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6.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7.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8.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9.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0.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1.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2.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3.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4.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5.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6.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7.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8.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9.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30.xml" ContentType="application/vnd.openxmlformats-officedocument.drawingml.chart+xml"/>
  <Override PartName="/word/charts/style29.xml" ContentType="application/vnd.ms-office.chartstyle+xml"/>
  <Override PartName="/word/charts/colors29.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152" w:rsidRPr="00584F61" w:rsidRDefault="00E91152" w:rsidP="00E91152">
      <w:pPr>
        <w:jc w:val="center"/>
        <w:rPr>
          <w:rFonts w:ascii="Calibri" w:hAnsi="Calibri"/>
          <w:sz w:val="36"/>
          <w:szCs w:val="36"/>
        </w:rPr>
      </w:pPr>
      <w:bookmarkStart w:id="0" w:name="_Toc419800526"/>
      <w:r w:rsidRPr="00584F61">
        <w:rPr>
          <w:rFonts w:ascii="Calibri" w:hAnsi="Calibri"/>
          <w:sz w:val="36"/>
          <w:szCs w:val="36"/>
        </w:rPr>
        <w:t>Statutární město Prostějov</w:t>
      </w:r>
    </w:p>
    <w:p w:rsidR="00E91152" w:rsidRPr="00584F61" w:rsidRDefault="00E91152" w:rsidP="00E91152">
      <w:pPr>
        <w:jc w:val="center"/>
        <w:rPr>
          <w:rFonts w:ascii="Calibri" w:hAnsi="Calibri"/>
          <w:sz w:val="32"/>
          <w:szCs w:val="32"/>
        </w:rPr>
      </w:pPr>
      <w:r w:rsidRPr="00584F61">
        <w:rPr>
          <w:rFonts w:ascii="Calibri" w:hAnsi="Calibri"/>
          <w:sz w:val="32"/>
          <w:szCs w:val="32"/>
        </w:rPr>
        <w:t>Finanční odbor MMPv</w:t>
      </w:r>
    </w:p>
    <w:p w:rsidR="00E91152" w:rsidRPr="00584F61" w:rsidRDefault="00E91152" w:rsidP="00E91152">
      <w:pPr>
        <w:jc w:val="center"/>
        <w:rPr>
          <w:rFonts w:ascii="Calibri" w:hAnsi="Calibri"/>
        </w:rPr>
      </w:pPr>
    </w:p>
    <w:p w:rsidR="00E91152" w:rsidRPr="00584F61" w:rsidRDefault="00E91152" w:rsidP="00E91152">
      <w:pPr>
        <w:jc w:val="center"/>
        <w:rPr>
          <w:rFonts w:ascii="Calibri" w:hAnsi="Calibri"/>
        </w:rPr>
      </w:pPr>
    </w:p>
    <w:p w:rsidR="00E91152" w:rsidRPr="00584F61" w:rsidRDefault="00E91152" w:rsidP="00E91152">
      <w:pPr>
        <w:jc w:val="center"/>
        <w:rPr>
          <w:rFonts w:ascii="Calibri" w:hAnsi="Calibri"/>
        </w:rPr>
      </w:pPr>
    </w:p>
    <w:p w:rsidR="00E91152" w:rsidRPr="00584F61" w:rsidRDefault="00E91152" w:rsidP="00E91152">
      <w:pPr>
        <w:jc w:val="center"/>
        <w:rPr>
          <w:rFonts w:ascii="Calibri" w:hAnsi="Calibri"/>
        </w:rPr>
      </w:pPr>
    </w:p>
    <w:p w:rsidR="00E91152" w:rsidRPr="00584F61" w:rsidRDefault="00E91152" w:rsidP="00E91152">
      <w:pPr>
        <w:jc w:val="center"/>
        <w:rPr>
          <w:rFonts w:ascii="Calibri" w:hAnsi="Calibri"/>
        </w:rPr>
      </w:pPr>
    </w:p>
    <w:p w:rsidR="00E91152" w:rsidRPr="00584F61" w:rsidRDefault="00E91152" w:rsidP="00E91152">
      <w:pPr>
        <w:jc w:val="center"/>
        <w:rPr>
          <w:rFonts w:ascii="Calibri" w:hAnsi="Calibri"/>
        </w:rPr>
      </w:pPr>
    </w:p>
    <w:p w:rsidR="00E91152" w:rsidRPr="00584F61" w:rsidRDefault="00E91152" w:rsidP="00E91152">
      <w:pPr>
        <w:jc w:val="center"/>
        <w:rPr>
          <w:rFonts w:ascii="Calibri" w:hAnsi="Calibri"/>
        </w:rPr>
      </w:pPr>
    </w:p>
    <w:p w:rsidR="00E91152" w:rsidRPr="00584F61" w:rsidRDefault="00E91152" w:rsidP="00E91152">
      <w:pPr>
        <w:jc w:val="center"/>
        <w:rPr>
          <w:rFonts w:ascii="Calibri" w:hAnsi="Calibri"/>
          <w:sz w:val="56"/>
          <w:szCs w:val="56"/>
        </w:rPr>
      </w:pPr>
      <w:r w:rsidRPr="00584F61">
        <w:rPr>
          <w:rFonts w:ascii="Calibri" w:hAnsi="Calibri"/>
          <w:sz w:val="56"/>
          <w:szCs w:val="56"/>
        </w:rPr>
        <w:t>Závěrečný účet statutárního města Prostějova za rok 20</w:t>
      </w:r>
      <w:r w:rsidR="00EE72E2">
        <w:rPr>
          <w:rFonts w:ascii="Calibri" w:hAnsi="Calibri"/>
          <w:sz w:val="56"/>
          <w:szCs w:val="56"/>
        </w:rPr>
        <w:t>2</w:t>
      </w:r>
      <w:r w:rsidR="00C94CCB">
        <w:rPr>
          <w:rFonts w:ascii="Calibri" w:hAnsi="Calibri"/>
          <w:sz w:val="56"/>
          <w:szCs w:val="56"/>
        </w:rPr>
        <w:t>2</w:t>
      </w:r>
    </w:p>
    <w:p w:rsidR="00E91152" w:rsidRPr="00584F61" w:rsidRDefault="00E91152" w:rsidP="00E91152">
      <w:pPr>
        <w:jc w:val="center"/>
        <w:rPr>
          <w:rFonts w:ascii="Calibri" w:hAnsi="Calibri"/>
        </w:rPr>
      </w:pPr>
    </w:p>
    <w:p w:rsidR="00E91152" w:rsidRPr="00584F61" w:rsidRDefault="00E91152" w:rsidP="00E91152">
      <w:pPr>
        <w:jc w:val="center"/>
        <w:rPr>
          <w:rFonts w:ascii="Calibri" w:hAnsi="Calibri"/>
        </w:rPr>
      </w:pPr>
    </w:p>
    <w:p w:rsidR="00E91152" w:rsidRPr="00584F61" w:rsidRDefault="00AD5963" w:rsidP="00E91152">
      <w:pPr>
        <w:jc w:val="center"/>
        <w:rPr>
          <w:rFonts w:ascii="Calibri" w:hAnsi="Calibri"/>
        </w:rPr>
      </w:pPr>
      <w:r w:rsidRPr="00ED553B">
        <w:rPr>
          <w:noProof/>
        </w:rPr>
        <w:drawing>
          <wp:inline distT="0" distB="0" distL="0" distR="0">
            <wp:extent cx="3382010" cy="4987925"/>
            <wp:effectExtent l="0" t="0" r="8890" b="3175"/>
            <wp:docPr id="1" name="Obrázek 2" descr="http://www.szdravpv.cz/wp-content/uploads/2015/04/radn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ttp://www.szdravpv.cz/wp-content/uploads/2015/04/radnic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2010" cy="4987925"/>
                    </a:xfrm>
                    <a:prstGeom prst="rect">
                      <a:avLst/>
                    </a:prstGeom>
                    <a:noFill/>
                    <a:ln>
                      <a:noFill/>
                    </a:ln>
                  </pic:spPr>
                </pic:pic>
              </a:graphicData>
            </a:graphic>
          </wp:inline>
        </w:drawing>
      </w:r>
    </w:p>
    <w:p w:rsidR="00E91152" w:rsidRDefault="00E91152" w:rsidP="00E91152">
      <w:pPr>
        <w:rPr>
          <w:rFonts w:ascii="Calibri" w:hAnsi="Calibri"/>
        </w:rPr>
      </w:pPr>
    </w:p>
    <w:p w:rsidR="00E91152" w:rsidRDefault="00E91152" w:rsidP="00E91152">
      <w:pPr>
        <w:rPr>
          <w:rFonts w:ascii="Calibri" w:hAnsi="Calibri"/>
        </w:rPr>
      </w:pPr>
    </w:p>
    <w:p w:rsidR="00D60326" w:rsidRPr="00584F61" w:rsidRDefault="00D60326" w:rsidP="00E91152">
      <w:pPr>
        <w:rPr>
          <w:rFonts w:ascii="Calibri" w:hAnsi="Calibri"/>
        </w:rPr>
      </w:pPr>
    </w:p>
    <w:p w:rsidR="00D60326" w:rsidRPr="004806B5" w:rsidRDefault="00FE00C0" w:rsidP="00C94CCB">
      <w:pPr>
        <w:tabs>
          <w:tab w:val="right" w:pos="9072"/>
        </w:tabs>
        <w:rPr>
          <w:rFonts w:ascii="Calibri" w:hAnsi="Calibri"/>
        </w:rPr>
      </w:pPr>
      <w:r>
        <w:rPr>
          <w:rFonts w:ascii="Calibri" w:hAnsi="Calibri"/>
        </w:rPr>
        <w:t>V Prostějově 09.05.202</w:t>
      </w:r>
      <w:r w:rsidR="00C94CCB">
        <w:rPr>
          <w:rFonts w:ascii="Calibri" w:hAnsi="Calibri"/>
        </w:rPr>
        <w:t>3</w:t>
      </w:r>
      <w:r>
        <w:rPr>
          <w:rFonts w:ascii="Calibri" w:hAnsi="Calibri"/>
        </w:rPr>
        <w:t xml:space="preserve">                                                              </w:t>
      </w:r>
      <w:r w:rsidR="00D60326">
        <w:rPr>
          <w:rFonts w:ascii="Calibri" w:hAnsi="Calibri"/>
        </w:rPr>
        <w:t>Zpracoval</w:t>
      </w:r>
      <w:r w:rsidR="00C94CCB">
        <w:rPr>
          <w:rFonts w:ascii="Calibri" w:hAnsi="Calibri"/>
        </w:rPr>
        <w:t>a</w:t>
      </w:r>
      <w:r w:rsidR="00E91152" w:rsidRPr="004806B5">
        <w:rPr>
          <w:rFonts w:ascii="Calibri" w:hAnsi="Calibri"/>
        </w:rPr>
        <w:t>:</w:t>
      </w:r>
      <w:r>
        <w:rPr>
          <w:rFonts w:ascii="Calibri" w:hAnsi="Calibri"/>
        </w:rPr>
        <w:tab/>
      </w:r>
      <w:r w:rsidR="00E91152" w:rsidRPr="004806B5">
        <w:rPr>
          <w:rFonts w:ascii="Calibri" w:hAnsi="Calibri"/>
        </w:rPr>
        <w:t xml:space="preserve"> Ing. </w:t>
      </w:r>
      <w:r>
        <w:rPr>
          <w:rFonts w:ascii="Calibri" w:hAnsi="Calibri"/>
        </w:rPr>
        <w:t>Eva Ptáčková</w:t>
      </w:r>
      <w:r w:rsidR="00D60326">
        <w:rPr>
          <w:rFonts w:ascii="Calibri" w:hAnsi="Calibri"/>
        </w:rPr>
        <w:t xml:space="preserve">  </w:t>
      </w:r>
      <w:r w:rsidR="00D60326">
        <w:rPr>
          <w:rFonts w:ascii="Calibri" w:hAnsi="Calibri"/>
        </w:rPr>
        <w:tab/>
        <w:t xml:space="preserve">   </w:t>
      </w:r>
      <w:r w:rsidR="00D60326">
        <w:rPr>
          <w:rFonts w:ascii="Calibri" w:hAnsi="Calibri"/>
        </w:rPr>
        <w:tab/>
      </w:r>
      <w:r w:rsidR="00D60326">
        <w:rPr>
          <w:rFonts w:ascii="Calibri" w:hAnsi="Calibri"/>
        </w:rPr>
        <w:tab/>
      </w:r>
    </w:p>
    <w:p w:rsidR="001E57E3" w:rsidRPr="004C0A74" w:rsidRDefault="00E91152" w:rsidP="00D60326">
      <w:pPr>
        <w:spacing w:after="240"/>
        <w:rPr>
          <w:rFonts w:ascii="Calibri" w:hAnsi="Calibri" w:cs="Arial"/>
          <w:b/>
          <w:i/>
          <w:sz w:val="32"/>
          <w:szCs w:val="32"/>
        </w:rPr>
      </w:pPr>
      <w:r>
        <w:rPr>
          <w:rFonts w:ascii="Calibri" w:hAnsi="Calibri"/>
        </w:rPr>
        <w:br w:type="page"/>
      </w:r>
      <w:bookmarkEnd w:id="0"/>
      <w:r w:rsidR="004159DD" w:rsidRPr="004C0A74">
        <w:rPr>
          <w:rFonts w:ascii="Calibri" w:hAnsi="Calibri" w:cs="Arial"/>
          <w:b/>
          <w:i/>
          <w:sz w:val="32"/>
          <w:szCs w:val="32"/>
        </w:rPr>
        <w:lastRenderedPageBreak/>
        <w:t>Úvod</w:t>
      </w:r>
    </w:p>
    <w:p w:rsidR="007C1381" w:rsidRDefault="00F061FA" w:rsidP="008D7D8A">
      <w:pPr>
        <w:jc w:val="both"/>
        <w:rPr>
          <w:rFonts w:ascii="Calibri" w:hAnsi="Calibri" w:cs="Calibri"/>
          <w:b/>
          <w:sz w:val="22"/>
          <w:szCs w:val="22"/>
        </w:rPr>
      </w:pPr>
      <w:r w:rsidRPr="004C0A74">
        <w:rPr>
          <w:rFonts w:ascii="Calibri" w:hAnsi="Calibri" w:cs="Calibri"/>
          <w:b/>
          <w:sz w:val="22"/>
          <w:szCs w:val="22"/>
        </w:rPr>
        <w:t xml:space="preserve">Rozpočtové hospodaření statutárního města </w:t>
      </w:r>
      <w:r w:rsidR="00786E8D" w:rsidRPr="004C0A74">
        <w:rPr>
          <w:rFonts w:ascii="Calibri" w:hAnsi="Calibri" w:cs="Calibri"/>
          <w:b/>
          <w:sz w:val="22"/>
          <w:szCs w:val="22"/>
        </w:rPr>
        <w:t>Prostějova</w:t>
      </w:r>
      <w:r w:rsidR="004806B5" w:rsidRPr="004C0A74">
        <w:rPr>
          <w:rFonts w:ascii="Calibri" w:hAnsi="Calibri" w:cs="Calibri"/>
          <w:b/>
          <w:sz w:val="22"/>
          <w:szCs w:val="22"/>
        </w:rPr>
        <w:t xml:space="preserve"> skončilo v roce 202</w:t>
      </w:r>
      <w:r w:rsidR="00C94CCB">
        <w:rPr>
          <w:rFonts w:ascii="Calibri" w:hAnsi="Calibri" w:cs="Calibri"/>
          <w:b/>
          <w:sz w:val="22"/>
          <w:szCs w:val="22"/>
        </w:rPr>
        <w:t>2</w:t>
      </w:r>
      <w:r w:rsidRPr="004C0A74">
        <w:rPr>
          <w:rFonts w:ascii="Calibri" w:hAnsi="Calibri" w:cs="Calibri"/>
          <w:b/>
          <w:sz w:val="22"/>
          <w:szCs w:val="22"/>
        </w:rPr>
        <w:t xml:space="preserve"> </w:t>
      </w:r>
      <w:r w:rsidR="003C0784" w:rsidRPr="004C0A74">
        <w:rPr>
          <w:rFonts w:ascii="Calibri" w:hAnsi="Calibri" w:cs="Calibri"/>
          <w:b/>
          <w:sz w:val="22"/>
          <w:szCs w:val="22"/>
        </w:rPr>
        <w:t>kladným</w:t>
      </w:r>
      <w:r w:rsidR="006344E3" w:rsidRPr="004C0A74">
        <w:rPr>
          <w:rFonts w:ascii="Calibri" w:hAnsi="Calibri" w:cs="Calibri"/>
          <w:b/>
          <w:sz w:val="22"/>
          <w:szCs w:val="22"/>
        </w:rPr>
        <w:t xml:space="preserve"> saldem příjmů a výdajů ve výši </w:t>
      </w:r>
      <w:r w:rsidR="00C94CCB">
        <w:rPr>
          <w:rFonts w:ascii="Calibri" w:hAnsi="Calibri" w:cs="Calibri"/>
          <w:b/>
          <w:sz w:val="22"/>
          <w:szCs w:val="22"/>
        </w:rPr>
        <w:t>114,13</w:t>
      </w:r>
      <w:r w:rsidR="006344E3" w:rsidRPr="004C0A74">
        <w:rPr>
          <w:rFonts w:ascii="Calibri" w:hAnsi="Calibri" w:cs="Calibri"/>
          <w:b/>
          <w:sz w:val="22"/>
          <w:szCs w:val="22"/>
        </w:rPr>
        <w:t xml:space="preserve"> mil.</w:t>
      </w:r>
      <w:r w:rsidR="00305C5D" w:rsidRPr="004C0A74">
        <w:rPr>
          <w:rFonts w:ascii="Calibri" w:hAnsi="Calibri" w:cs="Calibri"/>
          <w:b/>
          <w:sz w:val="22"/>
          <w:szCs w:val="22"/>
        </w:rPr>
        <w:t xml:space="preserve"> Kč.</w:t>
      </w:r>
      <w:r w:rsidR="001658DD" w:rsidRPr="004C0A74">
        <w:rPr>
          <w:rFonts w:ascii="Calibri" w:hAnsi="Calibri" w:cs="Calibri"/>
          <w:b/>
          <w:sz w:val="22"/>
          <w:szCs w:val="22"/>
        </w:rPr>
        <w:t xml:space="preserve"> </w:t>
      </w:r>
    </w:p>
    <w:p w:rsidR="007C1381" w:rsidRDefault="007C1381" w:rsidP="008D7D8A">
      <w:pPr>
        <w:jc w:val="both"/>
        <w:rPr>
          <w:rFonts w:ascii="Calibri" w:hAnsi="Calibri" w:cs="Calibri"/>
          <w:b/>
          <w:sz w:val="22"/>
          <w:szCs w:val="22"/>
        </w:rPr>
      </w:pPr>
    </w:p>
    <w:p w:rsidR="00785ED9" w:rsidRDefault="00786E8D" w:rsidP="008D7D8A">
      <w:pPr>
        <w:jc w:val="both"/>
        <w:rPr>
          <w:rFonts w:asciiTheme="minorHAnsi" w:hAnsiTheme="minorHAnsi" w:cstheme="minorHAnsi"/>
          <w:sz w:val="22"/>
          <w:szCs w:val="22"/>
        </w:rPr>
      </w:pPr>
      <w:r w:rsidRPr="004C0A74">
        <w:rPr>
          <w:rFonts w:ascii="Calibri" w:hAnsi="Calibri" w:cs="Calibri"/>
          <w:sz w:val="22"/>
          <w:szCs w:val="22"/>
        </w:rPr>
        <w:t>Oproti plánované rozpočtované ztrátě k</w:t>
      </w:r>
      <w:r w:rsidR="001476D7" w:rsidRPr="004C0A74">
        <w:rPr>
          <w:rFonts w:ascii="Calibri" w:hAnsi="Calibri" w:cs="Calibri"/>
          <w:sz w:val="22"/>
          <w:szCs w:val="22"/>
        </w:rPr>
        <w:t xml:space="preserve"> </w:t>
      </w:r>
      <w:r w:rsidRPr="004C0A74">
        <w:rPr>
          <w:rFonts w:ascii="Calibri" w:hAnsi="Calibri" w:cs="Calibri"/>
          <w:sz w:val="22"/>
          <w:szCs w:val="22"/>
        </w:rPr>
        <w:t>31.</w:t>
      </w:r>
      <w:r w:rsidR="004C0A74" w:rsidRPr="004C0A74">
        <w:rPr>
          <w:rFonts w:ascii="Calibri" w:hAnsi="Calibri" w:cs="Calibri"/>
          <w:sz w:val="22"/>
          <w:szCs w:val="22"/>
        </w:rPr>
        <w:t xml:space="preserve"> </w:t>
      </w:r>
      <w:r w:rsidRPr="004C0A74">
        <w:rPr>
          <w:rFonts w:ascii="Calibri" w:hAnsi="Calibri" w:cs="Calibri"/>
          <w:sz w:val="22"/>
          <w:szCs w:val="22"/>
        </w:rPr>
        <w:t>12</w:t>
      </w:r>
      <w:r w:rsidR="003C0784" w:rsidRPr="004C0A74">
        <w:rPr>
          <w:rFonts w:ascii="Calibri" w:hAnsi="Calibri" w:cs="Calibri"/>
          <w:sz w:val="22"/>
          <w:szCs w:val="22"/>
        </w:rPr>
        <w:t>.</w:t>
      </w:r>
      <w:r w:rsidR="004C0A74" w:rsidRPr="004C0A74">
        <w:rPr>
          <w:rFonts w:ascii="Calibri" w:hAnsi="Calibri" w:cs="Calibri"/>
          <w:sz w:val="22"/>
          <w:szCs w:val="22"/>
        </w:rPr>
        <w:t xml:space="preserve"> </w:t>
      </w:r>
      <w:r w:rsidR="003C0784" w:rsidRPr="004C0A74">
        <w:rPr>
          <w:rFonts w:ascii="Calibri" w:hAnsi="Calibri" w:cs="Calibri"/>
          <w:sz w:val="22"/>
          <w:szCs w:val="22"/>
        </w:rPr>
        <w:t>202</w:t>
      </w:r>
      <w:r w:rsidR="00C94CCB">
        <w:rPr>
          <w:rFonts w:ascii="Calibri" w:hAnsi="Calibri" w:cs="Calibri"/>
          <w:sz w:val="22"/>
          <w:szCs w:val="22"/>
        </w:rPr>
        <w:t>2</w:t>
      </w:r>
      <w:r w:rsidR="006A44B3" w:rsidRPr="004C0A74">
        <w:rPr>
          <w:rFonts w:ascii="Calibri" w:hAnsi="Calibri" w:cs="Calibri"/>
          <w:sz w:val="22"/>
          <w:szCs w:val="22"/>
        </w:rPr>
        <w:t xml:space="preserve"> ve výši </w:t>
      </w:r>
      <w:r w:rsidR="00C94CCB">
        <w:rPr>
          <w:rFonts w:ascii="Calibri" w:hAnsi="Calibri" w:cs="Calibri"/>
          <w:sz w:val="22"/>
          <w:szCs w:val="22"/>
        </w:rPr>
        <w:t>208,43</w:t>
      </w:r>
      <w:r w:rsidR="00B05860" w:rsidRPr="004C0A74">
        <w:rPr>
          <w:rFonts w:ascii="Calibri" w:hAnsi="Calibri" w:cs="Calibri"/>
          <w:sz w:val="22"/>
          <w:szCs w:val="22"/>
        </w:rPr>
        <w:t> mil. </w:t>
      </w:r>
      <w:r w:rsidR="006A44B3" w:rsidRPr="004C0A74">
        <w:rPr>
          <w:rFonts w:ascii="Calibri" w:hAnsi="Calibri" w:cs="Calibri"/>
          <w:sz w:val="22"/>
          <w:szCs w:val="22"/>
        </w:rPr>
        <w:t xml:space="preserve">Kč jde o výsledek z hlediska rozpočtového hospodaření statutárního města Prostějova za rok </w:t>
      </w:r>
      <w:r w:rsidR="003C0784" w:rsidRPr="004C0A74">
        <w:rPr>
          <w:rFonts w:ascii="Calibri" w:hAnsi="Calibri" w:cs="Calibri"/>
          <w:sz w:val="22"/>
          <w:szCs w:val="22"/>
        </w:rPr>
        <w:t>202</w:t>
      </w:r>
      <w:r w:rsidR="00C94CCB">
        <w:rPr>
          <w:rFonts w:ascii="Calibri" w:hAnsi="Calibri" w:cs="Calibri"/>
          <w:sz w:val="22"/>
          <w:szCs w:val="22"/>
        </w:rPr>
        <w:t>2</w:t>
      </w:r>
      <w:r w:rsidR="00EB5C79" w:rsidRPr="004C0A74">
        <w:rPr>
          <w:rFonts w:ascii="Calibri" w:hAnsi="Calibri" w:cs="Calibri"/>
          <w:sz w:val="22"/>
          <w:szCs w:val="22"/>
        </w:rPr>
        <w:t xml:space="preserve"> </w:t>
      </w:r>
      <w:r w:rsidR="00EB5C79" w:rsidRPr="004C0A74">
        <w:rPr>
          <w:rFonts w:ascii="Calibri" w:hAnsi="Calibri" w:cs="Calibri"/>
          <w:b/>
          <w:sz w:val="22"/>
          <w:szCs w:val="22"/>
        </w:rPr>
        <w:t>velmi</w:t>
      </w:r>
      <w:r w:rsidR="006A44B3" w:rsidRPr="004C0A74">
        <w:rPr>
          <w:rFonts w:ascii="Calibri" w:hAnsi="Calibri" w:cs="Calibri"/>
          <w:b/>
          <w:sz w:val="22"/>
          <w:szCs w:val="22"/>
        </w:rPr>
        <w:t xml:space="preserve"> příznivý</w:t>
      </w:r>
      <w:r w:rsidR="008D7D8A" w:rsidRPr="004C0A74">
        <w:rPr>
          <w:rFonts w:asciiTheme="minorHAnsi" w:hAnsiTheme="minorHAnsi" w:cstheme="minorHAnsi"/>
          <w:sz w:val="22"/>
          <w:szCs w:val="22"/>
        </w:rPr>
        <w:t>.</w:t>
      </w:r>
      <w:r w:rsidR="007C1381">
        <w:rPr>
          <w:rFonts w:asciiTheme="minorHAnsi" w:hAnsiTheme="minorHAnsi" w:cstheme="minorHAnsi"/>
          <w:sz w:val="22"/>
          <w:szCs w:val="22"/>
        </w:rPr>
        <w:t xml:space="preserve"> </w:t>
      </w:r>
      <w:r w:rsidR="00C94CCB">
        <w:rPr>
          <w:rFonts w:asciiTheme="minorHAnsi" w:hAnsiTheme="minorHAnsi" w:cstheme="minorHAnsi"/>
          <w:sz w:val="22"/>
          <w:szCs w:val="22"/>
        </w:rPr>
        <w:t>B</w:t>
      </w:r>
      <w:r w:rsidR="00785ED9">
        <w:rPr>
          <w:rFonts w:asciiTheme="minorHAnsi" w:hAnsiTheme="minorHAnsi" w:cstheme="minorHAnsi"/>
          <w:sz w:val="22"/>
          <w:szCs w:val="22"/>
        </w:rPr>
        <w:t>ylo dosaženo vyššího p</w:t>
      </w:r>
      <w:r w:rsidR="008120CA">
        <w:rPr>
          <w:rFonts w:asciiTheme="minorHAnsi" w:hAnsiTheme="minorHAnsi" w:cstheme="minorHAnsi"/>
          <w:sz w:val="22"/>
          <w:szCs w:val="22"/>
        </w:rPr>
        <w:t>lnění rozpočtu na straně příjmů</w:t>
      </w:r>
      <w:r w:rsidR="007C1381">
        <w:rPr>
          <w:rFonts w:asciiTheme="minorHAnsi" w:hAnsiTheme="minorHAnsi" w:cstheme="minorHAnsi"/>
          <w:sz w:val="22"/>
          <w:szCs w:val="22"/>
        </w:rPr>
        <w:t xml:space="preserve"> (1</w:t>
      </w:r>
      <w:r w:rsidR="00C94CCB">
        <w:rPr>
          <w:rFonts w:asciiTheme="minorHAnsi" w:hAnsiTheme="minorHAnsi" w:cstheme="minorHAnsi"/>
          <w:sz w:val="22"/>
          <w:szCs w:val="22"/>
        </w:rPr>
        <w:t xml:space="preserve">21,14 </w:t>
      </w:r>
      <w:r w:rsidR="007C1381">
        <w:rPr>
          <w:rFonts w:asciiTheme="minorHAnsi" w:hAnsiTheme="minorHAnsi" w:cstheme="minorHAnsi"/>
          <w:sz w:val="22"/>
          <w:szCs w:val="22"/>
        </w:rPr>
        <w:t xml:space="preserve">% upraveného rozpočtu) </w:t>
      </w:r>
      <w:r w:rsidR="00785ED9">
        <w:rPr>
          <w:rFonts w:asciiTheme="minorHAnsi" w:hAnsiTheme="minorHAnsi" w:cstheme="minorHAnsi"/>
          <w:sz w:val="22"/>
          <w:szCs w:val="22"/>
        </w:rPr>
        <w:t>a také k úspoře na straně výdajů</w:t>
      </w:r>
      <w:r w:rsidR="00801702">
        <w:rPr>
          <w:rFonts w:asciiTheme="minorHAnsi" w:hAnsiTheme="minorHAnsi" w:cstheme="minorHAnsi"/>
          <w:sz w:val="22"/>
          <w:szCs w:val="22"/>
        </w:rPr>
        <w:t xml:space="preserve">, kde bylo uspořeno </w:t>
      </w:r>
      <w:r w:rsidR="00C404E6">
        <w:rPr>
          <w:rFonts w:asciiTheme="minorHAnsi" w:hAnsiTheme="minorHAnsi" w:cstheme="minorHAnsi"/>
          <w:sz w:val="22"/>
          <w:szCs w:val="22"/>
        </w:rPr>
        <w:t>8,06</w:t>
      </w:r>
      <w:r w:rsidR="00801702">
        <w:rPr>
          <w:rFonts w:asciiTheme="minorHAnsi" w:hAnsiTheme="minorHAnsi" w:cstheme="minorHAnsi"/>
          <w:sz w:val="22"/>
          <w:szCs w:val="22"/>
        </w:rPr>
        <w:t xml:space="preserve"> % upraveného rozpočtu.</w:t>
      </w:r>
    </w:p>
    <w:p w:rsidR="00FF1AC7" w:rsidRPr="00D60326" w:rsidRDefault="00FF1AC7" w:rsidP="00FF1AC7">
      <w:pPr>
        <w:pStyle w:val="Odstavecseseznamem"/>
        <w:rPr>
          <w:color w:val="808080" w:themeColor="background1" w:themeShade="80"/>
          <w:sz w:val="22"/>
          <w:szCs w:val="22"/>
        </w:rPr>
      </w:pPr>
    </w:p>
    <w:p w:rsidR="00F93BE2" w:rsidRPr="00222A04" w:rsidRDefault="00EB5C79" w:rsidP="00F93BE2">
      <w:pPr>
        <w:jc w:val="both"/>
        <w:rPr>
          <w:rFonts w:asciiTheme="minorHAnsi" w:hAnsiTheme="minorHAnsi" w:cstheme="minorHAnsi"/>
          <w:sz w:val="22"/>
          <w:szCs w:val="22"/>
        </w:rPr>
      </w:pPr>
      <w:r w:rsidRPr="00222A04">
        <w:rPr>
          <w:rFonts w:asciiTheme="minorHAnsi" w:hAnsiTheme="minorHAnsi" w:cstheme="minorHAnsi"/>
          <w:b/>
          <w:sz w:val="22"/>
          <w:szCs w:val="22"/>
        </w:rPr>
        <w:t>Celkové příjmy</w:t>
      </w:r>
      <w:r w:rsidR="00092BEA" w:rsidRPr="00222A04">
        <w:rPr>
          <w:rFonts w:asciiTheme="minorHAnsi" w:hAnsiTheme="minorHAnsi" w:cstheme="minorHAnsi"/>
          <w:sz w:val="22"/>
          <w:szCs w:val="22"/>
        </w:rPr>
        <w:t xml:space="preserve"> města dosáhly výše </w:t>
      </w:r>
      <w:r w:rsidR="00C404E6">
        <w:rPr>
          <w:rFonts w:asciiTheme="minorHAnsi" w:hAnsiTheme="minorHAnsi" w:cstheme="minorHAnsi"/>
          <w:sz w:val="22"/>
          <w:szCs w:val="22"/>
        </w:rPr>
        <w:t>1 268,67</w:t>
      </w:r>
      <w:r w:rsidR="00222A04" w:rsidRPr="00222A04">
        <w:rPr>
          <w:rFonts w:asciiTheme="minorHAnsi" w:hAnsiTheme="minorHAnsi" w:cstheme="minorHAnsi"/>
          <w:sz w:val="22"/>
          <w:szCs w:val="22"/>
        </w:rPr>
        <w:t xml:space="preserve"> </w:t>
      </w:r>
      <w:r w:rsidR="00B05860" w:rsidRPr="00222A04">
        <w:rPr>
          <w:rFonts w:asciiTheme="minorHAnsi" w:hAnsiTheme="minorHAnsi" w:cstheme="minorHAnsi"/>
          <w:sz w:val="22"/>
          <w:szCs w:val="22"/>
        </w:rPr>
        <w:t>mil. </w:t>
      </w:r>
      <w:r w:rsidRPr="00222A04">
        <w:rPr>
          <w:rFonts w:asciiTheme="minorHAnsi" w:hAnsiTheme="minorHAnsi" w:cstheme="minorHAnsi"/>
          <w:sz w:val="22"/>
          <w:szCs w:val="22"/>
        </w:rPr>
        <w:t xml:space="preserve">Kč a oproti upravenému </w:t>
      </w:r>
      <w:r w:rsidR="00222A04" w:rsidRPr="00222A04">
        <w:rPr>
          <w:rFonts w:asciiTheme="minorHAnsi" w:hAnsiTheme="minorHAnsi" w:cstheme="minorHAnsi"/>
          <w:sz w:val="22"/>
          <w:szCs w:val="22"/>
        </w:rPr>
        <w:t>rozpočtu byly přeplněny o </w:t>
      </w:r>
      <w:r w:rsidR="00C404E6">
        <w:rPr>
          <w:rFonts w:asciiTheme="minorHAnsi" w:hAnsiTheme="minorHAnsi" w:cstheme="minorHAnsi"/>
          <w:sz w:val="22"/>
          <w:szCs w:val="22"/>
        </w:rPr>
        <w:t>221,37</w:t>
      </w:r>
      <w:r w:rsidR="00222A04" w:rsidRPr="00222A04">
        <w:rPr>
          <w:rFonts w:asciiTheme="minorHAnsi" w:hAnsiTheme="minorHAnsi" w:cstheme="minorHAnsi"/>
          <w:sz w:val="22"/>
          <w:szCs w:val="22"/>
        </w:rPr>
        <w:t> </w:t>
      </w:r>
      <w:r w:rsidRPr="00222A04">
        <w:rPr>
          <w:rFonts w:asciiTheme="minorHAnsi" w:hAnsiTheme="minorHAnsi" w:cstheme="minorHAnsi"/>
          <w:sz w:val="22"/>
          <w:szCs w:val="22"/>
        </w:rPr>
        <w:t>mil. Kč (</w:t>
      </w:r>
      <w:r w:rsidR="00C404E6">
        <w:rPr>
          <w:rFonts w:asciiTheme="minorHAnsi" w:hAnsiTheme="minorHAnsi" w:cstheme="minorHAnsi"/>
          <w:sz w:val="22"/>
          <w:szCs w:val="22"/>
        </w:rPr>
        <w:t>21,14</w:t>
      </w:r>
      <w:r w:rsidRPr="00222A04">
        <w:rPr>
          <w:rFonts w:asciiTheme="minorHAnsi" w:hAnsiTheme="minorHAnsi" w:cstheme="minorHAnsi"/>
          <w:sz w:val="22"/>
          <w:szCs w:val="22"/>
        </w:rPr>
        <w:t xml:space="preserve"> %).</w:t>
      </w:r>
    </w:p>
    <w:p w:rsidR="00F93BE7" w:rsidRPr="00D60326" w:rsidRDefault="00F93BE7" w:rsidP="00F93BE2">
      <w:pPr>
        <w:jc w:val="both"/>
        <w:rPr>
          <w:rFonts w:asciiTheme="minorHAnsi" w:hAnsiTheme="minorHAnsi" w:cstheme="minorHAnsi"/>
          <w:color w:val="808080" w:themeColor="background1" w:themeShade="80"/>
          <w:sz w:val="22"/>
          <w:szCs w:val="22"/>
        </w:rPr>
      </w:pPr>
    </w:p>
    <w:p w:rsidR="00597849" w:rsidRPr="00D60326" w:rsidRDefault="007676E8" w:rsidP="00F93BE2">
      <w:pPr>
        <w:pStyle w:val="Odstavecseseznamem"/>
        <w:rPr>
          <w:rFonts w:asciiTheme="minorHAnsi" w:hAnsiTheme="minorHAnsi" w:cstheme="minorHAnsi"/>
          <w:color w:val="808080" w:themeColor="background1" w:themeShade="80"/>
          <w:sz w:val="22"/>
          <w:szCs w:val="22"/>
        </w:rPr>
      </w:pPr>
      <w:r w:rsidRPr="00093891">
        <w:rPr>
          <w:rFonts w:asciiTheme="minorHAnsi" w:hAnsiTheme="minorHAnsi" w:cstheme="minorHAnsi"/>
          <w:sz w:val="22"/>
          <w:szCs w:val="22"/>
        </w:rPr>
        <w:t>Příjmy</w:t>
      </w:r>
      <w:r w:rsidR="00256A9C" w:rsidRPr="00093891">
        <w:rPr>
          <w:rFonts w:asciiTheme="minorHAnsi" w:hAnsiTheme="minorHAnsi" w:cstheme="minorHAnsi"/>
          <w:sz w:val="22"/>
          <w:szCs w:val="22"/>
        </w:rPr>
        <w:t xml:space="preserve"> města jsou </w:t>
      </w:r>
      <w:r w:rsidR="006F4BAC" w:rsidRPr="00093891">
        <w:rPr>
          <w:rFonts w:asciiTheme="minorHAnsi" w:hAnsiTheme="minorHAnsi" w:cstheme="minorHAnsi"/>
          <w:sz w:val="22"/>
          <w:szCs w:val="22"/>
        </w:rPr>
        <w:t>závislé zejména</w:t>
      </w:r>
      <w:r w:rsidR="00256A9C" w:rsidRPr="00093891">
        <w:rPr>
          <w:rFonts w:asciiTheme="minorHAnsi" w:hAnsiTheme="minorHAnsi" w:cstheme="minorHAnsi"/>
          <w:sz w:val="22"/>
          <w:szCs w:val="22"/>
        </w:rPr>
        <w:t xml:space="preserve"> na </w:t>
      </w:r>
      <w:r w:rsidR="00256A9C" w:rsidRPr="00093891">
        <w:rPr>
          <w:rFonts w:asciiTheme="minorHAnsi" w:hAnsiTheme="minorHAnsi" w:cstheme="minorHAnsi"/>
          <w:sz w:val="22"/>
          <w:szCs w:val="22"/>
          <w:u w:val="single"/>
        </w:rPr>
        <w:t>daňových příjmech</w:t>
      </w:r>
      <w:r w:rsidR="006F4BAC" w:rsidRPr="00093891">
        <w:rPr>
          <w:rFonts w:asciiTheme="minorHAnsi" w:hAnsiTheme="minorHAnsi" w:cstheme="minorHAnsi"/>
          <w:sz w:val="22"/>
          <w:szCs w:val="22"/>
        </w:rPr>
        <w:t xml:space="preserve"> (</w:t>
      </w:r>
      <w:r w:rsidR="00093891" w:rsidRPr="00093891">
        <w:rPr>
          <w:rFonts w:asciiTheme="minorHAnsi" w:hAnsiTheme="minorHAnsi" w:cstheme="minorHAnsi"/>
          <w:sz w:val="22"/>
          <w:szCs w:val="22"/>
        </w:rPr>
        <w:t>7</w:t>
      </w:r>
      <w:r w:rsidR="00C404E6">
        <w:rPr>
          <w:rFonts w:asciiTheme="minorHAnsi" w:hAnsiTheme="minorHAnsi" w:cstheme="minorHAnsi"/>
          <w:sz w:val="22"/>
          <w:szCs w:val="22"/>
        </w:rPr>
        <w:t>8</w:t>
      </w:r>
      <w:r w:rsidR="006F4BAC" w:rsidRPr="00093891">
        <w:rPr>
          <w:rFonts w:asciiTheme="minorHAnsi" w:hAnsiTheme="minorHAnsi" w:cstheme="minorHAnsi"/>
          <w:sz w:val="22"/>
          <w:szCs w:val="22"/>
        </w:rPr>
        <w:t xml:space="preserve"> % celkových příjmů).</w:t>
      </w:r>
      <w:r w:rsidR="00F93BE7" w:rsidRPr="00093891">
        <w:rPr>
          <w:rFonts w:asciiTheme="minorHAnsi" w:hAnsiTheme="minorHAnsi" w:cstheme="minorHAnsi"/>
          <w:sz w:val="22"/>
          <w:szCs w:val="22"/>
        </w:rPr>
        <w:t xml:space="preserve"> Jejich rozpočet je proto sestavován </w:t>
      </w:r>
      <w:r w:rsidR="00A50E49" w:rsidRPr="00093891">
        <w:rPr>
          <w:rFonts w:asciiTheme="minorHAnsi" w:hAnsiTheme="minorHAnsi" w:cstheme="minorHAnsi"/>
          <w:sz w:val="22"/>
          <w:szCs w:val="22"/>
        </w:rPr>
        <w:t>z důvodu opatrnosti</w:t>
      </w:r>
      <w:r w:rsidR="00486AA1" w:rsidRPr="00093891">
        <w:rPr>
          <w:rFonts w:asciiTheme="minorHAnsi" w:hAnsiTheme="minorHAnsi" w:cstheme="minorHAnsi"/>
          <w:sz w:val="22"/>
          <w:szCs w:val="22"/>
        </w:rPr>
        <w:t xml:space="preserve"> velmi</w:t>
      </w:r>
      <w:r w:rsidR="00A50E49" w:rsidRPr="00093891">
        <w:rPr>
          <w:rFonts w:asciiTheme="minorHAnsi" w:hAnsiTheme="minorHAnsi" w:cstheme="minorHAnsi"/>
          <w:sz w:val="22"/>
          <w:szCs w:val="22"/>
        </w:rPr>
        <w:t xml:space="preserve"> konzervativně</w:t>
      </w:r>
      <w:r w:rsidR="00801702">
        <w:rPr>
          <w:rFonts w:asciiTheme="minorHAnsi" w:hAnsiTheme="minorHAnsi" w:cstheme="minorHAnsi"/>
          <w:sz w:val="22"/>
          <w:szCs w:val="22"/>
        </w:rPr>
        <w:t xml:space="preserve">. </w:t>
      </w:r>
      <w:r w:rsidR="00801702" w:rsidRPr="00E661A0">
        <w:rPr>
          <w:rFonts w:asciiTheme="minorHAnsi" w:hAnsiTheme="minorHAnsi" w:cstheme="minorHAnsi"/>
          <w:sz w:val="22"/>
          <w:szCs w:val="22"/>
        </w:rPr>
        <w:t>D</w:t>
      </w:r>
      <w:r w:rsidR="00597849" w:rsidRPr="00E661A0">
        <w:rPr>
          <w:rFonts w:asciiTheme="minorHAnsi" w:hAnsiTheme="minorHAnsi" w:cstheme="minorHAnsi"/>
          <w:sz w:val="22"/>
          <w:szCs w:val="22"/>
        </w:rPr>
        <w:t>aňové příjmy (sdílené daně, výlučné daně, místní poplatky, sp</w:t>
      </w:r>
      <w:r w:rsidR="00E661A0" w:rsidRPr="00E661A0">
        <w:rPr>
          <w:rFonts w:asciiTheme="minorHAnsi" w:hAnsiTheme="minorHAnsi" w:cstheme="minorHAnsi"/>
          <w:sz w:val="22"/>
          <w:szCs w:val="22"/>
        </w:rPr>
        <w:t>rávní poplatky apod.)</w:t>
      </w:r>
      <w:r w:rsidR="00597849" w:rsidRPr="00E661A0">
        <w:rPr>
          <w:rFonts w:asciiTheme="minorHAnsi" w:hAnsiTheme="minorHAnsi" w:cstheme="minorHAnsi"/>
          <w:sz w:val="22"/>
          <w:szCs w:val="22"/>
        </w:rPr>
        <w:t xml:space="preserve"> dosáhly plnění </w:t>
      </w:r>
      <w:r w:rsidR="00C404E6">
        <w:rPr>
          <w:rFonts w:asciiTheme="minorHAnsi" w:hAnsiTheme="minorHAnsi" w:cstheme="minorHAnsi"/>
          <w:sz w:val="22"/>
          <w:szCs w:val="22"/>
        </w:rPr>
        <w:t>126,81</w:t>
      </w:r>
      <w:r w:rsidR="00145024">
        <w:rPr>
          <w:rFonts w:asciiTheme="minorHAnsi" w:hAnsiTheme="minorHAnsi" w:cstheme="minorHAnsi"/>
          <w:sz w:val="22"/>
          <w:szCs w:val="22"/>
        </w:rPr>
        <w:t xml:space="preserve"> % upraveného rozpočtu</w:t>
      </w:r>
      <w:r w:rsidR="00597849" w:rsidRPr="00E661A0">
        <w:rPr>
          <w:rFonts w:asciiTheme="minorHAnsi" w:hAnsiTheme="minorHAnsi" w:cstheme="minorHAnsi"/>
          <w:sz w:val="22"/>
          <w:szCs w:val="22"/>
        </w:rPr>
        <w:t>.</w:t>
      </w:r>
      <w:r w:rsidR="00E879E2">
        <w:rPr>
          <w:rFonts w:asciiTheme="minorHAnsi" w:hAnsiTheme="minorHAnsi" w:cstheme="minorHAnsi"/>
          <w:sz w:val="22"/>
          <w:szCs w:val="22"/>
        </w:rPr>
        <w:t xml:space="preserve"> Jejich výše v roce 2022 činila 982,7 mil. Kč.</w:t>
      </w:r>
      <w:r w:rsidR="00E661A0">
        <w:rPr>
          <w:rFonts w:asciiTheme="minorHAnsi" w:hAnsiTheme="minorHAnsi" w:cstheme="minorHAnsi"/>
          <w:sz w:val="22"/>
          <w:szCs w:val="22"/>
        </w:rPr>
        <w:t xml:space="preserve"> </w:t>
      </w:r>
      <w:r w:rsidR="00062007">
        <w:rPr>
          <w:rFonts w:asciiTheme="minorHAnsi" w:hAnsiTheme="minorHAnsi" w:cstheme="minorHAnsi"/>
          <w:sz w:val="22"/>
          <w:szCs w:val="22"/>
        </w:rPr>
        <w:t xml:space="preserve">Meziročně došlo k nárůstu daňových příjmů o </w:t>
      </w:r>
      <w:r w:rsidR="00145024">
        <w:rPr>
          <w:rFonts w:asciiTheme="minorHAnsi" w:hAnsiTheme="minorHAnsi" w:cstheme="minorHAnsi"/>
          <w:sz w:val="22"/>
          <w:szCs w:val="22"/>
        </w:rPr>
        <w:t>153,59</w:t>
      </w:r>
      <w:r w:rsidR="00062007">
        <w:rPr>
          <w:rFonts w:asciiTheme="minorHAnsi" w:hAnsiTheme="minorHAnsi" w:cstheme="minorHAnsi"/>
          <w:sz w:val="22"/>
          <w:szCs w:val="22"/>
        </w:rPr>
        <w:t xml:space="preserve"> mil. Kč.</w:t>
      </w:r>
      <w:r w:rsidR="00597849" w:rsidRPr="00E661A0">
        <w:rPr>
          <w:rFonts w:asciiTheme="minorHAnsi" w:hAnsiTheme="minorHAnsi" w:cstheme="minorHAnsi"/>
          <w:sz w:val="22"/>
          <w:szCs w:val="22"/>
        </w:rPr>
        <w:t xml:space="preserve"> </w:t>
      </w:r>
      <w:r w:rsidR="00062007">
        <w:rPr>
          <w:rFonts w:asciiTheme="minorHAnsi" w:hAnsiTheme="minorHAnsi" w:cstheme="minorHAnsi"/>
          <w:sz w:val="22"/>
          <w:szCs w:val="22"/>
        </w:rPr>
        <w:t>K nejvyššímu nárůstu došlo u DPH (</w:t>
      </w:r>
      <w:r w:rsidR="00127C89">
        <w:rPr>
          <w:rFonts w:asciiTheme="minorHAnsi" w:hAnsiTheme="minorHAnsi" w:cstheme="minorHAnsi"/>
          <w:sz w:val="22"/>
          <w:szCs w:val="22"/>
        </w:rPr>
        <w:t>o 64,07</w:t>
      </w:r>
      <w:r w:rsidR="00062007">
        <w:rPr>
          <w:rFonts w:asciiTheme="minorHAnsi" w:hAnsiTheme="minorHAnsi" w:cstheme="minorHAnsi"/>
          <w:sz w:val="22"/>
          <w:szCs w:val="22"/>
        </w:rPr>
        <w:t> mil. Kč)</w:t>
      </w:r>
      <w:r w:rsidR="00127C89">
        <w:rPr>
          <w:rFonts w:asciiTheme="minorHAnsi" w:hAnsiTheme="minorHAnsi" w:cstheme="minorHAnsi"/>
          <w:sz w:val="22"/>
          <w:szCs w:val="22"/>
        </w:rPr>
        <w:t>, daně z hazardních her (o 43,93 mil. Kč)</w:t>
      </w:r>
      <w:r w:rsidR="00062007">
        <w:rPr>
          <w:rFonts w:asciiTheme="minorHAnsi" w:hAnsiTheme="minorHAnsi" w:cstheme="minorHAnsi"/>
          <w:sz w:val="22"/>
          <w:szCs w:val="22"/>
        </w:rPr>
        <w:t xml:space="preserve"> a u da</w:t>
      </w:r>
      <w:r w:rsidR="00E879E2">
        <w:rPr>
          <w:rFonts w:asciiTheme="minorHAnsi" w:hAnsiTheme="minorHAnsi" w:cstheme="minorHAnsi"/>
          <w:sz w:val="22"/>
          <w:szCs w:val="22"/>
        </w:rPr>
        <w:t>ní z příjmů právnických osob (o </w:t>
      </w:r>
      <w:r w:rsidR="00127C89">
        <w:rPr>
          <w:rFonts w:asciiTheme="minorHAnsi" w:hAnsiTheme="minorHAnsi" w:cstheme="minorHAnsi"/>
          <w:sz w:val="22"/>
          <w:szCs w:val="22"/>
        </w:rPr>
        <w:t>24,5</w:t>
      </w:r>
      <w:r w:rsidR="00E879E2">
        <w:rPr>
          <w:rFonts w:asciiTheme="minorHAnsi" w:hAnsiTheme="minorHAnsi" w:cstheme="minorHAnsi"/>
          <w:sz w:val="22"/>
          <w:szCs w:val="22"/>
        </w:rPr>
        <w:t> </w:t>
      </w:r>
      <w:r w:rsidR="00062007">
        <w:rPr>
          <w:rFonts w:asciiTheme="minorHAnsi" w:hAnsiTheme="minorHAnsi" w:cstheme="minorHAnsi"/>
          <w:sz w:val="22"/>
          <w:szCs w:val="22"/>
        </w:rPr>
        <w:t xml:space="preserve">mil. Kč). </w:t>
      </w:r>
    </w:p>
    <w:p w:rsidR="00597849" w:rsidRPr="00D60326" w:rsidRDefault="00597849" w:rsidP="00F93BE2">
      <w:pPr>
        <w:pStyle w:val="Odstavecseseznamem"/>
        <w:rPr>
          <w:rFonts w:asciiTheme="minorHAnsi" w:hAnsiTheme="minorHAnsi" w:cstheme="minorHAnsi"/>
          <w:color w:val="808080" w:themeColor="background1" w:themeShade="80"/>
          <w:sz w:val="22"/>
          <w:szCs w:val="22"/>
        </w:rPr>
      </w:pPr>
    </w:p>
    <w:p w:rsidR="0070172D" w:rsidRPr="00D60326" w:rsidRDefault="00104540" w:rsidP="00346778">
      <w:pPr>
        <w:pStyle w:val="Odstavecseseznamem"/>
        <w:rPr>
          <w:rFonts w:asciiTheme="minorHAnsi" w:hAnsiTheme="minorHAnsi" w:cstheme="minorHAnsi"/>
          <w:color w:val="808080" w:themeColor="background1" w:themeShade="80"/>
          <w:sz w:val="18"/>
        </w:rPr>
      </w:pPr>
      <w:r w:rsidRPr="00021AE4">
        <w:rPr>
          <w:rFonts w:asciiTheme="minorHAnsi" w:hAnsiTheme="minorHAnsi" w:cstheme="minorHAnsi"/>
          <w:sz w:val="22"/>
          <w:szCs w:val="22"/>
          <w:u w:val="single"/>
        </w:rPr>
        <w:t>Nedaňové příjmy</w:t>
      </w:r>
      <w:r w:rsidR="00BF567B" w:rsidRPr="00BF567B">
        <w:rPr>
          <w:rFonts w:asciiTheme="minorHAnsi" w:hAnsiTheme="minorHAnsi" w:cstheme="minorHAnsi"/>
          <w:sz w:val="22"/>
          <w:szCs w:val="22"/>
        </w:rPr>
        <w:t xml:space="preserve"> (</w:t>
      </w:r>
      <w:r w:rsidR="00BF567B">
        <w:rPr>
          <w:rFonts w:asciiTheme="minorHAnsi" w:hAnsiTheme="minorHAnsi" w:cstheme="minorHAnsi"/>
          <w:sz w:val="22"/>
          <w:szCs w:val="22"/>
        </w:rPr>
        <w:t>169,77 mil. Kč)</w:t>
      </w:r>
      <w:r w:rsidRPr="00021AE4">
        <w:rPr>
          <w:rFonts w:asciiTheme="minorHAnsi" w:hAnsiTheme="minorHAnsi" w:cstheme="minorHAnsi"/>
          <w:sz w:val="22"/>
          <w:szCs w:val="22"/>
        </w:rPr>
        <w:t xml:space="preserve"> jsou tvořeny zejména příjmy z pronájmu majetku, z poskytovaných služeb, z odvodů příspěvkových organizací a přijatými sankčními platbami. Tyto příjmy byly naplněny na </w:t>
      </w:r>
      <w:r w:rsidR="00021AE4" w:rsidRPr="00021AE4">
        <w:rPr>
          <w:rFonts w:asciiTheme="minorHAnsi" w:hAnsiTheme="minorHAnsi" w:cstheme="minorHAnsi"/>
          <w:sz w:val="22"/>
          <w:szCs w:val="22"/>
        </w:rPr>
        <w:t>1</w:t>
      </w:r>
      <w:r w:rsidR="00BF567B">
        <w:rPr>
          <w:rFonts w:asciiTheme="minorHAnsi" w:hAnsiTheme="minorHAnsi" w:cstheme="minorHAnsi"/>
          <w:sz w:val="22"/>
          <w:szCs w:val="22"/>
        </w:rPr>
        <w:t xml:space="preserve">17,8 </w:t>
      </w:r>
      <w:r w:rsidRPr="00021AE4">
        <w:rPr>
          <w:rFonts w:asciiTheme="minorHAnsi" w:hAnsiTheme="minorHAnsi" w:cstheme="minorHAnsi"/>
          <w:sz w:val="22"/>
          <w:szCs w:val="22"/>
        </w:rPr>
        <w:t>% upraveného rozpočtu</w:t>
      </w:r>
      <w:r w:rsidR="00E879E2">
        <w:rPr>
          <w:rFonts w:asciiTheme="minorHAnsi" w:hAnsiTheme="minorHAnsi" w:cstheme="minorHAnsi"/>
          <w:sz w:val="22"/>
          <w:szCs w:val="22"/>
        </w:rPr>
        <w:t>.</w:t>
      </w:r>
      <w:r w:rsidR="007C5071" w:rsidRPr="00021AE4">
        <w:rPr>
          <w:rFonts w:asciiTheme="minorHAnsi" w:hAnsiTheme="minorHAnsi" w:cstheme="minorHAnsi"/>
          <w:sz w:val="22"/>
          <w:szCs w:val="22"/>
        </w:rPr>
        <w:t xml:space="preserve"> </w:t>
      </w:r>
      <w:r w:rsidR="00346778" w:rsidRPr="00346778">
        <w:rPr>
          <w:rFonts w:asciiTheme="minorHAnsi" w:hAnsiTheme="minorHAnsi" w:cstheme="minorHAnsi"/>
          <w:sz w:val="22"/>
          <w:szCs w:val="22"/>
        </w:rPr>
        <w:t>V porovnání s rokem 202</w:t>
      </w:r>
      <w:r w:rsidR="00E879E2">
        <w:rPr>
          <w:rFonts w:asciiTheme="minorHAnsi" w:hAnsiTheme="minorHAnsi" w:cstheme="minorHAnsi"/>
          <w:sz w:val="22"/>
          <w:szCs w:val="22"/>
        </w:rPr>
        <w:t>1</w:t>
      </w:r>
      <w:r w:rsidR="00346778" w:rsidRPr="00346778">
        <w:rPr>
          <w:rFonts w:asciiTheme="minorHAnsi" w:hAnsiTheme="minorHAnsi" w:cstheme="minorHAnsi"/>
          <w:sz w:val="22"/>
          <w:szCs w:val="22"/>
        </w:rPr>
        <w:t xml:space="preserve"> došlo k nárůstu o </w:t>
      </w:r>
      <w:r w:rsidR="00E879E2">
        <w:rPr>
          <w:rFonts w:asciiTheme="minorHAnsi" w:hAnsiTheme="minorHAnsi" w:cstheme="minorHAnsi"/>
          <w:sz w:val="22"/>
          <w:szCs w:val="22"/>
        </w:rPr>
        <w:t>19,39</w:t>
      </w:r>
      <w:r w:rsidR="00346778" w:rsidRPr="00346778">
        <w:rPr>
          <w:rFonts w:asciiTheme="minorHAnsi" w:hAnsiTheme="minorHAnsi" w:cstheme="minorHAnsi"/>
          <w:sz w:val="22"/>
          <w:szCs w:val="22"/>
        </w:rPr>
        <w:t xml:space="preserve"> mil. Kč.</w:t>
      </w:r>
    </w:p>
    <w:p w:rsidR="007C5071" w:rsidRPr="00D60326" w:rsidRDefault="007C5071" w:rsidP="00E50E9C">
      <w:pPr>
        <w:pStyle w:val="Odstavecseseznamem"/>
        <w:rPr>
          <w:rFonts w:asciiTheme="minorHAnsi" w:hAnsiTheme="minorHAnsi" w:cstheme="minorHAnsi"/>
          <w:color w:val="808080" w:themeColor="background1" w:themeShade="80"/>
          <w:sz w:val="22"/>
          <w:szCs w:val="22"/>
        </w:rPr>
      </w:pPr>
    </w:p>
    <w:p w:rsidR="00942442" w:rsidRPr="005F2270" w:rsidRDefault="00D07587" w:rsidP="00D34245">
      <w:pPr>
        <w:keepNext/>
        <w:keepLines/>
        <w:jc w:val="both"/>
        <w:rPr>
          <w:rFonts w:asciiTheme="minorHAnsi" w:hAnsiTheme="minorHAnsi" w:cstheme="minorHAnsi"/>
          <w:sz w:val="22"/>
          <w:szCs w:val="22"/>
        </w:rPr>
      </w:pPr>
      <w:r w:rsidRPr="00D07587">
        <w:rPr>
          <w:rFonts w:asciiTheme="minorHAnsi" w:hAnsiTheme="minorHAnsi" w:cstheme="minorHAnsi"/>
          <w:sz w:val="22"/>
          <w:szCs w:val="22"/>
          <w:u w:val="single"/>
        </w:rPr>
        <w:t>Kapitálové</w:t>
      </w:r>
      <w:r w:rsidR="000F316D" w:rsidRPr="005F2270">
        <w:rPr>
          <w:rFonts w:asciiTheme="minorHAnsi" w:hAnsiTheme="minorHAnsi" w:cstheme="minorHAnsi"/>
          <w:sz w:val="22"/>
          <w:szCs w:val="22"/>
          <w:u w:val="single"/>
        </w:rPr>
        <w:t xml:space="preserve"> příjm</w:t>
      </w:r>
      <w:r>
        <w:rPr>
          <w:rFonts w:asciiTheme="minorHAnsi" w:hAnsiTheme="minorHAnsi" w:cstheme="minorHAnsi"/>
          <w:sz w:val="22"/>
          <w:szCs w:val="22"/>
          <w:u w:val="single"/>
        </w:rPr>
        <w:t>y</w:t>
      </w:r>
      <w:r w:rsidR="00A223D1">
        <w:rPr>
          <w:rFonts w:asciiTheme="minorHAnsi" w:hAnsiTheme="minorHAnsi" w:cstheme="minorHAnsi"/>
          <w:sz w:val="22"/>
          <w:szCs w:val="22"/>
        </w:rPr>
        <w:t xml:space="preserve"> činily 5,1 mil. Kč</w:t>
      </w:r>
      <w:r>
        <w:rPr>
          <w:rFonts w:asciiTheme="minorHAnsi" w:hAnsiTheme="minorHAnsi" w:cstheme="minorHAnsi"/>
          <w:sz w:val="22"/>
          <w:szCs w:val="22"/>
        </w:rPr>
        <w:t>.</w:t>
      </w:r>
      <w:r w:rsidR="00A223D1">
        <w:rPr>
          <w:rFonts w:asciiTheme="minorHAnsi" w:hAnsiTheme="minorHAnsi" w:cstheme="minorHAnsi"/>
          <w:sz w:val="22"/>
          <w:szCs w:val="22"/>
        </w:rPr>
        <w:t xml:space="preserve"> </w:t>
      </w:r>
      <w:r>
        <w:rPr>
          <w:rFonts w:asciiTheme="minorHAnsi" w:hAnsiTheme="minorHAnsi" w:cstheme="minorHAnsi"/>
          <w:sz w:val="22"/>
          <w:szCs w:val="22"/>
        </w:rPr>
        <w:t>V roce 2022 se</w:t>
      </w:r>
      <w:r w:rsidR="00ED5D4A" w:rsidRPr="005F2270">
        <w:rPr>
          <w:rFonts w:asciiTheme="minorHAnsi" w:hAnsiTheme="minorHAnsi" w:cstheme="minorHAnsi"/>
          <w:sz w:val="22"/>
          <w:szCs w:val="22"/>
        </w:rPr>
        <w:t xml:space="preserve"> </w:t>
      </w:r>
      <w:r w:rsidR="00700670" w:rsidRPr="005F2270">
        <w:rPr>
          <w:rFonts w:asciiTheme="minorHAnsi" w:hAnsiTheme="minorHAnsi" w:cstheme="minorHAnsi"/>
          <w:sz w:val="22"/>
          <w:szCs w:val="22"/>
        </w:rPr>
        <w:t>neuskutečnil</w:t>
      </w:r>
      <w:r>
        <w:rPr>
          <w:rFonts w:asciiTheme="minorHAnsi" w:hAnsiTheme="minorHAnsi" w:cstheme="minorHAnsi"/>
          <w:sz w:val="22"/>
          <w:szCs w:val="22"/>
        </w:rPr>
        <w:t>y</w:t>
      </w:r>
      <w:r w:rsidR="00700670" w:rsidRPr="005F2270">
        <w:rPr>
          <w:rFonts w:asciiTheme="minorHAnsi" w:hAnsiTheme="minorHAnsi" w:cstheme="minorHAnsi"/>
          <w:sz w:val="22"/>
          <w:szCs w:val="22"/>
        </w:rPr>
        <w:t xml:space="preserve"> finančně významn</w:t>
      </w:r>
      <w:r>
        <w:rPr>
          <w:rFonts w:asciiTheme="minorHAnsi" w:hAnsiTheme="minorHAnsi" w:cstheme="minorHAnsi"/>
          <w:sz w:val="22"/>
          <w:szCs w:val="22"/>
        </w:rPr>
        <w:t>é</w:t>
      </w:r>
      <w:r w:rsidR="00700670" w:rsidRPr="005F2270">
        <w:rPr>
          <w:rFonts w:asciiTheme="minorHAnsi" w:hAnsiTheme="minorHAnsi" w:cstheme="minorHAnsi"/>
          <w:sz w:val="22"/>
          <w:szCs w:val="22"/>
        </w:rPr>
        <w:t xml:space="preserve"> prodej</w:t>
      </w:r>
      <w:r>
        <w:rPr>
          <w:rFonts w:asciiTheme="minorHAnsi" w:hAnsiTheme="minorHAnsi" w:cstheme="minorHAnsi"/>
          <w:sz w:val="22"/>
          <w:szCs w:val="22"/>
        </w:rPr>
        <w:t>e</w:t>
      </w:r>
      <w:r w:rsidR="00700670" w:rsidRPr="005F2270">
        <w:rPr>
          <w:rFonts w:asciiTheme="minorHAnsi" w:hAnsiTheme="minorHAnsi" w:cstheme="minorHAnsi"/>
          <w:sz w:val="22"/>
          <w:szCs w:val="22"/>
        </w:rPr>
        <w:t xml:space="preserve"> pozemků</w:t>
      </w:r>
      <w:r>
        <w:rPr>
          <w:rFonts w:asciiTheme="minorHAnsi" w:hAnsiTheme="minorHAnsi" w:cstheme="minorHAnsi"/>
          <w:sz w:val="22"/>
          <w:szCs w:val="22"/>
        </w:rPr>
        <w:t>.</w:t>
      </w:r>
    </w:p>
    <w:p w:rsidR="00942442" w:rsidRPr="00D60326" w:rsidRDefault="00942442" w:rsidP="00D34245">
      <w:pPr>
        <w:keepNext/>
        <w:keepLines/>
        <w:jc w:val="both"/>
        <w:rPr>
          <w:rFonts w:asciiTheme="minorHAnsi" w:hAnsiTheme="minorHAnsi" w:cstheme="minorHAnsi"/>
          <w:color w:val="808080" w:themeColor="background1" w:themeShade="80"/>
          <w:sz w:val="22"/>
          <w:szCs w:val="22"/>
        </w:rPr>
      </w:pPr>
    </w:p>
    <w:p w:rsidR="00942442" w:rsidRPr="00CF5A2B" w:rsidRDefault="00D66313" w:rsidP="00D34245">
      <w:pPr>
        <w:keepNext/>
        <w:keepLines/>
        <w:jc w:val="both"/>
        <w:rPr>
          <w:rFonts w:asciiTheme="minorHAnsi" w:hAnsiTheme="minorHAnsi" w:cstheme="minorHAnsi"/>
          <w:sz w:val="22"/>
          <w:szCs w:val="22"/>
        </w:rPr>
      </w:pPr>
      <w:r w:rsidRPr="00B57E26">
        <w:rPr>
          <w:rFonts w:asciiTheme="minorHAnsi" w:hAnsiTheme="minorHAnsi" w:cstheme="minorHAnsi"/>
          <w:sz w:val="22"/>
          <w:szCs w:val="22"/>
        </w:rPr>
        <w:t>Měst</w:t>
      </w:r>
      <w:r w:rsidR="00D07587">
        <w:rPr>
          <w:rFonts w:asciiTheme="minorHAnsi" w:hAnsiTheme="minorHAnsi" w:cstheme="minorHAnsi"/>
          <w:sz w:val="22"/>
          <w:szCs w:val="22"/>
        </w:rPr>
        <w:t>o</w:t>
      </w:r>
      <w:r w:rsidRPr="00B57E26">
        <w:rPr>
          <w:rFonts w:asciiTheme="minorHAnsi" w:hAnsiTheme="minorHAnsi" w:cstheme="minorHAnsi"/>
          <w:sz w:val="22"/>
          <w:szCs w:val="22"/>
        </w:rPr>
        <w:t xml:space="preserve"> Prostějov v roce 20</w:t>
      </w:r>
      <w:r w:rsidR="00E53FA5" w:rsidRPr="00B57E26">
        <w:rPr>
          <w:rFonts w:asciiTheme="minorHAnsi" w:hAnsiTheme="minorHAnsi" w:cstheme="minorHAnsi"/>
          <w:sz w:val="22"/>
          <w:szCs w:val="22"/>
        </w:rPr>
        <w:t>2</w:t>
      </w:r>
      <w:r w:rsidR="00D07587">
        <w:rPr>
          <w:rFonts w:asciiTheme="minorHAnsi" w:hAnsiTheme="minorHAnsi" w:cstheme="minorHAnsi"/>
          <w:sz w:val="22"/>
          <w:szCs w:val="22"/>
        </w:rPr>
        <w:t>2</w:t>
      </w:r>
      <w:r w:rsidRPr="00B57E26">
        <w:rPr>
          <w:rFonts w:asciiTheme="minorHAnsi" w:hAnsiTheme="minorHAnsi" w:cstheme="minorHAnsi"/>
          <w:sz w:val="22"/>
          <w:szCs w:val="22"/>
        </w:rPr>
        <w:t xml:space="preserve"> </w:t>
      </w:r>
      <w:r w:rsidR="00D07587">
        <w:rPr>
          <w:rFonts w:asciiTheme="minorHAnsi" w:hAnsiTheme="minorHAnsi" w:cstheme="minorHAnsi"/>
          <w:sz w:val="22"/>
          <w:szCs w:val="22"/>
        </w:rPr>
        <w:t>získalo</w:t>
      </w:r>
      <w:r w:rsidRPr="00B57E26">
        <w:rPr>
          <w:rFonts w:asciiTheme="minorHAnsi" w:hAnsiTheme="minorHAnsi" w:cstheme="minorHAnsi"/>
          <w:sz w:val="22"/>
          <w:szCs w:val="22"/>
        </w:rPr>
        <w:t xml:space="preserve"> </w:t>
      </w:r>
      <w:r w:rsidR="00104540" w:rsidRPr="00B57E26">
        <w:rPr>
          <w:rFonts w:asciiTheme="minorHAnsi" w:hAnsiTheme="minorHAnsi" w:cstheme="minorHAnsi"/>
          <w:sz w:val="22"/>
          <w:szCs w:val="22"/>
          <w:u w:val="single"/>
        </w:rPr>
        <w:t>dotace</w:t>
      </w:r>
      <w:r w:rsidR="00BB7936" w:rsidRPr="00B57E26">
        <w:rPr>
          <w:rFonts w:asciiTheme="minorHAnsi" w:hAnsiTheme="minorHAnsi" w:cstheme="minorHAnsi"/>
          <w:sz w:val="22"/>
          <w:szCs w:val="22"/>
        </w:rPr>
        <w:t xml:space="preserve"> v</w:t>
      </w:r>
      <w:r w:rsidR="005F2270" w:rsidRPr="00B57E26">
        <w:rPr>
          <w:rFonts w:asciiTheme="minorHAnsi" w:hAnsiTheme="minorHAnsi" w:cstheme="minorHAnsi"/>
          <w:sz w:val="22"/>
          <w:szCs w:val="22"/>
        </w:rPr>
        <w:t>e</w:t>
      </w:r>
      <w:r w:rsidR="00BB7936" w:rsidRPr="00B57E26">
        <w:rPr>
          <w:rFonts w:asciiTheme="minorHAnsi" w:hAnsiTheme="minorHAnsi" w:cstheme="minorHAnsi"/>
          <w:sz w:val="22"/>
          <w:szCs w:val="22"/>
        </w:rPr>
        <w:t xml:space="preserve"> výši </w:t>
      </w:r>
      <w:r w:rsidR="00D07587">
        <w:rPr>
          <w:rFonts w:asciiTheme="minorHAnsi" w:hAnsiTheme="minorHAnsi" w:cstheme="minorHAnsi"/>
          <w:sz w:val="22"/>
          <w:szCs w:val="22"/>
        </w:rPr>
        <w:t>111,1</w:t>
      </w:r>
      <w:r w:rsidR="00BB7936" w:rsidRPr="00B57E26">
        <w:rPr>
          <w:rFonts w:asciiTheme="minorHAnsi" w:hAnsiTheme="minorHAnsi" w:cstheme="minorHAnsi"/>
          <w:sz w:val="22"/>
          <w:szCs w:val="22"/>
        </w:rPr>
        <w:t> mil. </w:t>
      </w:r>
      <w:r w:rsidR="00104540" w:rsidRPr="00B57E26">
        <w:rPr>
          <w:rFonts w:asciiTheme="minorHAnsi" w:hAnsiTheme="minorHAnsi" w:cstheme="minorHAnsi"/>
          <w:sz w:val="22"/>
          <w:szCs w:val="22"/>
        </w:rPr>
        <w:t>Kč, což představuje m</w:t>
      </w:r>
      <w:r w:rsidR="00BB7936" w:rsidRPr="00B57E26">
        <w:rPr>
          <w:rFonts w:asciiTheme="minorHAnsi" w:hAnsiTheme="minorHAnsi" w:cstheme="minorHAnsi"/>
          <w:sz w:val="22"/>
          <w:szCs w:val="22"/>
        </w:rPr>
        <w:t xml:space="preserve">eziroční </w:t>
      </w:r>
      <w:r w:rsidR="005F2270" w:rsidRPr="00B57E26">
        <w:rPr>
          <w:rFonts w:asciiTheme="minorHAnsi" w:hAnsiTheme="minorHAnsi" w:cstheme="minorHAnsi"/>
          <w:sz w:val="22"/>
          <w:szCs w:val="22"/>
        </w:rPr>
        <w:t>pokles</w:t>
      </w:r>
      <w:r w:rsidR="00D07587">
        <w:rPr>
          <w:rFonts w:asciiTheme="minorHAnsi" w:hAnsiTheme="minorHAnsi" w:cstheme="minorHAnsi"/>
          <w:sz w:val="22"/>
          <w:szCs w:val="22"/>
        </w:rPr>
        <w:t xml:space="preserve"> o 35,73 </w:t>
      </w:r>
      <w:r w:rsidR="00BB7936" w:rsidRPr="00B57E26">
        <w:rPr>
          <w:rFonts w:asciiTheme="minorHAnsi" w:hAnsiTheme="minorHAnsi" w:cstheme="minorHAnsi"/>
          <w:sz w:val="22"/>
          <w:szCs w:val="22"/>
        </w:rPr>
        <w:t>mil. </w:t>
      </w:r>
      <w:r w:rsidR="00104540" w:rsidRPr="00B57E26">
        <w:rPr>
          <w:rFonts w:asciiTheme="minorHAnsi" w:hAnsiTheme="minorHAnsi" w:cstheme="minorHAnsi"/>
          <w:sz w:val="22"/>
          <w:szCs w:val="22"/>
        </w:rPr>
        <w:t xml:space="preserve">Kč. </w:t>
      </w:r>
      <w:r w:rsidR="009565E8" w:rsidRPr="00D509A0">
        <w:rPr>
          <w:rFonts w:asciiTheme="minorHAnsi" w:hAnsiTheme="minorHAnsi" w:cstheme="minorHAnsi"/>
          <w:sz w:val="22"/>
          <w:szCs w:val="22"/>
        </w:rPr>
        <w:t xml:space="preserve">Rozpočet přijatých dotací byl </w:t>
      </w:r>
      <w:r w:rsidR="001A6261" w:rsidRPr="00D509A0">
        <w:rPr>
          <w:rFonts w:asciiTheme="minorHAnsi" w:hAnsiTheme="minorHAnsi" w:cstheme="minorHAnsi"/>
          <w:sz w:val="22"/>
          <w:szCs w:val="22"/>
        </w:rPr>
        <w:t>plněn</w:t>
      </w:r>
      <w:r w:rsidR="009565E8" w:rsidRPr="00D509A0">
        <w:rPr>
          <w:rFonts w:asciiTheme="minorHAnsi" w:hAnsiTheme="minorHAnsi" w:cstheme="minorHAnsi"/>
          <w:sz w:val="22"/>
          <w:szCs w:val="22"/>
        </w:rPr>
        <w:t xml:space="preserve"> na </w:t>
      </w:r>
      <w:r w:rsidR="00CF5A2B" w:rsidRPr="00D509A0">
        <w:rPr>
          <w:rFonts w:asciiTheme="minorHAnsi" w:hAnsiTheme="minorHAnsi" w:cstheme="minorHAnsi"/>
          <w:sz w:val="22"/>
          <w:szCs w:val="22"/>
        </w:rPr>
        <w:t>89,</w:t>
      </w:r>
      <w:r w:rsidR="00D07587">
        <w:rPr>
          <w:rFonts w:asciiTheme="minorHAnsi" w:hAnsiTheme="minorHAnsi" w:cstheme="minorHAnsi"/>
          <w:sz w:val="22"/>
          <w:szCs w:val="22"/>
        </w:rPr>
        <w:t>98</w:t>
      </w:r>
      <w:r w:rsidR="001A6261" w:rsidRPr="00D509A0">
        <w:rPr>
          <w:rFonts w:asciiTheme="minorHAnsi" w:hAnsiTheme="minorHAnsi" w:cstheme="minorHAnsi"/>
          <w:sz w:val="22"/>
          <w:szCs w:val="22"/>
        </w:rPr>
        <w:t xml:space="preserve"> </w:t>
      </w:r>
      <w:r w:rsidR="003C280C" w:rsidRPr="00D509A0">
        <w:rPr>
          <w:rFonts w:asciiTheme="minorHAnsi" w:hAnsiTheme="minorHAnsi" w:cstheme="minorHAnsi"/>
          <w:sz w:val="22"/>
          <w:szCs w:val="22"/>
        </w:rPr>
        <w:t>%.</w:t>
      </w:r>
    </w:p>
    <w:p w:rsidR="003C280C" w:rsidRPr="00D60326" w:rsidRDefault="003C280C" w:rsidP="00D34245">
      <w:pPr>
        <w:keepNext/>
        <w:keepLines/>
        <w:jc w:val="both"/>
        <w:rPr>
          <w:rFonts w:asciiTheme="minorHAnsi" w:hAnsiTheme="minorHAnsi" w:cstheme="minorHAnsi"/>
          <w:color w:val="808080" w:themeColor="background1" w:themeShade="80"/>
          <w:sz w:val="22"/>
          <w:szCs w:val="22"/>
        </w:rPr>
      </w:pPr>
    </w:p>
    <w:p w:rsidR="00DA0F7E" w:rsidRPr="00CF5A2B" w:rsidRDefault="00DA0F7E" w:rsidP="00DA0F7E">
      <w:pPr>
        <w:spacing w:after="120"/>
        <w:jc w:val="both"/>
        <w:rPr>
          <w:rFonts w:asciiTheme="minorHAnsi" w:hAnsiTheme="minorHAnsi" w:cstheme="minorHAnsi"/>
          <w:sz w:val="22"/>
          <w:szCs w:val="22"/>
        </w:rPr>
      </w:pPr>
      <w:r w:rsidRPr="00CF5A2B">
        <w:rPr>
          <w:rFonts w:asciiTheme="minorHAnsi" w:hAnsiTheme="minorHAnsi" w:cstheme="minorHAnsi"/>
          <w:b/>
          <w:sz w:val="22"/>
          <w:szCs w:val="22"/>
        </w:rPr>
        <w:t>Celkové výdaje</w:t>
      </w:r>
      <w:r w:rsidRPr="00CF5A2B">
        <w:rPr>
          <w:rFonts w:asciiTheme="minorHAnsi" w:hAnsiTheme="minorHAnsi" w:cstheme="minorHAnsi"/>
          <w:sz w:val="22"/>
          <w:szCs w:val="22"/>
        </w:rPr>
        <w:t xml:space="preserve"> města dosáhly ve skutečnosti výše </w:t>
      </w:r>
      <w:r w:rsidR="00D07587">
        <w:rPr>
          <w:rFonts w:asciiTheme="minorHAnsi" w:hAnsiTheme="minorHAnsi" w:cstheme="minorHAnsi"/>
          <w:sz w:val="22"/>
          <w:szCs w:val="22"/>
        </w:rPr>
        <w:t>1 154,54</w:t>
      </w:r>
      <w:r w:rsidR="00BB72C1" w:rsidRPr="00CF5A2B">
        <w:rPr>
          <w:rFonts w:asciiTheme="minorHAnsi" w:hAnsiTheme="minorHAnsi" w:cstheme="minorHAnsi"/>
          <w:sz w:val="22"/>
          <w:szCs w:val="22"/>
        </w:rPr>
        <w:t> mil. </w:t>
      </w:r>
      <w:r w:rsidRPr="00CF5A2B">
        <w:rPr>
          <w:rFonts w:asciiTheme="minorHAnsi" w:hAnsiTheme="minorHAnsi" w:cstheme="minorHAnsi"/>
          <w:sz w:val="22"/>
          <w:szCs w:val="22"/>
        </w:rPr>
        <w:t>Kč a oproti upravenému rozpočtu vykaz</w:t>
      </w:r>
      <w:r w:rsidR="00BB72C1" w:rsidRPr="00CF5A2B">
        <w:rPr>
          <w:rFonts w:asciiTheme="minorHAnsi" w:hAnsiTheme="minorHAnsi" w:cstheme="minorHAnsi"/>
          <w:sz w:val="22"/>
          <w:szCs w:val="22"/>
        </w:rPr>
        <w:t xml:space="preserve">ují úsporu </w:t>
      </w:r>
      <w:r w:rsidR="00D07587">
        <w:rPr>
          <w:rFonts w:asciiTheme="minorHAnsi" w:hAnsiTheme="minorHAnsi" w:cstheme="minorHAnsi"/>
          <w:sz w:val="22"/>
          <w:szCs w:val="22"/>
        </w:rPr>
        <w:t>101,2</w:t>
      </w:r>
      <w:r w:rsidR="00CF5A2B" w:rsidRPr="00CF5A2B">
        <w:rPr>
          <w:rFonts w:asciiTheme="minorHAnsi" w:hAnsiTheme="minorHAnsi" w:cstheme="minorHAnsi"/>
          <w:sz w:val="22"/>
          <w:szCs w:val="22"/>
        </w:rPr>
        <w:t xml:space="preserve"> </w:t>
      </w:r>
      <w:r w:rsidRPr="00CF5A2B">
        <w:rPr>
          <w:rFonts w:asciiTheme="minorHAnsi" w:hAnsiTheme="minorHAnsi" w:cstheme="minorHAnsi"/>
          <w:sz w:val="22"/>
          <w:szCs w:val="22"/>
        </w:rPr>
        <w:t>mil.</w:t>
      </w:r>
      <w:r w:rsidR="000953EA" w:rsidRPr="00CF5A2B">
        <w:rPr>
          <w:rFonts w:asciiTheme="minorHAnsi" w:hAnsiTheme="minorHAnsi" w:cstheme="minorHAnsi"/>
          <w:sz w:val="22"/>
          <w:szCs w:val="22"/>
        </w:rPr>
        <w:t> </w:t>
      </w:r>
      <w:r w:rsidRPr="00CF5A2B">
        <w:rPr>
          <w:rFonts w:asciiTheme="minorHAnsi" w:hAnsiTheme="minorHAnsi" w:cstheme="minorHAnsi"/>
          <w:sz w:val="22"/>
          <w:szCs w:val="22"/>
        </w:rPr>
        <w:t>Kč, v procentuálním vyjádření</w:t>
      </w:r>
      <w:r w:rsidR="00BB72C1" w:rsidRPr="00CF5A2B">
        <w:rPr>
          <w:rFonts w:asciiTheme="minorHAnsi" w:hAnsiTheme="minorHAnsi" w:cstheme="minorHAnsi"/>
          <w:sz w:val="22"/>
          <w:szCs w:val="22"/>
        </w:rPr>
        <w:t xml:space="preserve"> jde o plnění rozpočtu na </w:t>
      </w:r>
      <w:r w:rsidR="00D07587">
        <w:rPr>
          <w:rFonts w:asciiTheme="minorHAnsi" w:hAnsiTheme="minorHAnsi" w:cstheme="minorHAnsi"/>
          <w:sz w:val="22"/>
          <w:szCs w:val="22"/>
        </w:rPr>
        <w:t>91,94</w:t>
      </w:r>
      <w:r w:rsidR="007B7DB9" w:rsidRPr="00CF5A2B">
        <w:rPr>
          <w:rFonts w:asciiTheme="minorHAnsi" w:hAnsiTheme="minorHAnsi" w:cstheme="minorHAnsi"/>
          <w:sz w:val="22"/>
          <w:szCs w:val="22"/>
        </w:rPr>
        <w:t> </w:t>
      </w:r>
      <w:r w:rsidRPr="00CF5A2B">
        <w:rPr>
          <w:rFonts w:asciiTheme="minorHAnsi" w:hAnsiTheme="minorHAnsi" w:cstheme="minorHAnsi"/>
          <w:sz w:val="22"/>
          <w:szCs w:val="22"/>
        </w:rPr>
        <w:t>%.</w:t>
      </w:r>
    </w:p>
    <w:p w:rsidR="001D2A10" w:rsidRPr="0034632D" w:rsidRDefault="0010559C" w:rsidP="00263CF0">
      <w:pPr>
        <w:pStyle w:val="Odstavecseseznamem"/>
        <w:rPr>
          <w:sz w:val="22"/>
          <w:szCs w:val="22"/>
        </w:rPr>
      </w:pPr>
      <w:r w:rsidRPr="00CF5A2B">
        <w:rPr>
          <w:sz w:val="22"/>
          <w:szCs w:val="22"/>
        </w:rPr>
        <w:t>C</w:t>
      </w:r>
      <w:r w:rsidR="008B43E7" w:rsidRPr="00CF5A2B">
        <w:rPr>
          <w:sz w:val="22"/>
          <w:szCs w:val="22"/>
        </w:rPr>
        <w:t>elkové</w:t>
      </w:r>
      <w:r w:rsidR="00DA0F7E" w:rsidRPr="00CF5A2B">
        <w:rPr>
          <w:sz w:val="22"/>
          <w:szCs w:val="22"/>
        </w:rPr>
        <w:t xml:space="preserve"> výdaje města jsou</w:t>
      </w:r>
      <w:r w:rsidR="008B43E7" w:rsidRPr="00CF5A2B">
        <w:rPr>
          <w:sz w:val="22"/>
          <w:szCs w:val="22"/>
        </w:rPr>
        <w:t xml:space="preserve"> </w:t>
      </w:r>
      <w:r w:rsidR="00037150">
        <w:rPr>
          <w:sz w:val="22"/>
          <w:szCs w:val="22"/>
        </w:rPr>
        <w:t>ze 79 %</w:t>
      </w:r>
      <w:r w:rsidRPr="00CF5A2B">
        <w:rPr>
          <w:sz w:val="22"/>
          <w:szCs w:val="22"/>
        </w:rPr>
        <w:t xml:space="preserve"> tvořeny </w:t>
      </w:r>
      <w:r w:rsidRPr="00CF5A2B">
        <w:rPr>
          <w:sz w:val="22"/>
          <w:szCs w:val="22"/>
          <w:u w:val="single"/>
        </w:rPr>
        <w:t>b</w:t>
      </w:r>
      <w:r w:rsidR="00DA0F7E" w:rsidRPr="00CF5A2B">
        <w:rPr>
          <w:sz w:val="22"/>
          <w:szCs w:val="22"/>
          <w:u w:val="single"/>
        </w:rPr>
        <w:t>ěžným</w:t>
      </w:r>
      <w:r w:rsidR="00EA3C77" w:rsidRPr="00CF5A2B">
        <w:rPr>
          <w:sz w:val="22"/>
          <w:szCs w:val="22"/>
          <w:u w:val="single"/>
        </w:rPr>
        <w:t>i (provozními)</w:t>
      </w:r>
      <w:r w:rsidR="00DA0F7E" w:rsidRPr="00CF5A2B">
        <w:rPr>
          <w:sz w:val="22"/>
          <w:szCs w:val="22"/>
          <w:u w:val="single"/>
        </w:rPr>
        <w:t xml:space="preserve"> výd</w:t>
      </w:r>
      <w:r w:rsidR="008B43E7" w:rsidRPr="00CF5A2B">
        <w:rPr>
          <w:sz w:val="22"/>
          <w:szCs w:val="22"/>
          <w:u w:val="single"/>
        </w:rPr>
        <w:t>aji</w:t>
      </w:r>
      <w:r w:rsidR="008B43E7" w:rsidRPr="00CF5A2B">
        <w:rPr>
          <w:sz w:val="22"/>
          <w:szCs w:val="22"/>
        </w:rPr>
        <w:t xml:space="preserve">, </w:t>
      </w:r>
      <w:r w:rsidRPr="00CF5A2B">
        <w:rPr>
          <w:sz w:val="22"/>
          <w:szCs w:val="22"/>
        </w:rPr>
        <w:t xml:space="preserve">to je výdaji </w:t>
      </w:r>
      <w:r w:rsidR="00DA0F7E" w:rsidRPr="00CF5A2B">
        <w:rPr>
          <w:sz w:val="22"/>
          <w:szCs w:val="22"/>
        </w:rPr>
        <w:t xml:space="preserve">na zajištění provozu magistrátu </w:t>
      </w:r>
      <w:r w:rsidR="00FC2147" w:rsidRPr="00CF5A2B">
        <w:rPr>
          <w:sz w:val="22"/>
          <w:szCs w:val="22"/>
        </w:rPr>
        <w:t xml:space="preserve">a </w:t>
      </w:r>
      <w:r w:rsidR="00CC62CE" w:rsidRPr="00CF5A2B">
        <w:rPr>
          <w:sz w:val="22"/>
          <w:szCs w:val="22"/>
        </w:rPr>
        <w:t>organizací, které jsou</w:t>
      </w:r>
      <w:r w:rsidR="00FC2147" w:rsidRPr="00CF5A2B">
        <w:rPr>
          <w:sz w:val="22"/>
          <w:szCs w:val="22"/>
        </w:rPr>
        <w:t xml:space="preserve"> napojené na rozpočet města.</w:t>
      </w:r>
      <w:r w:rsidR="008B43E7" w:rsidRPr="00CF5A2B">
        <w:rPr>
          <w:sz w:val="22"/>
          <w:szCs w:val="22"/>
        </w:rPr>
        <w:t xml:space="preserve"> Běž</w:t>
      </w:r>
      <w:r w:rsidR="00091426" w:rsidRPr="00CF5A2B">
        <w:rPr>
          <w:sz w:val="22"/>
          <w:szCs w:val="22"/>
        </w:rPr>
        <w:t xml:space="preserve">né výdaje dosáhly čerpání </w:t>
      </w:r>
      <w:r w:rsidR="00037150">
        <w:rPr>
          <w:sz w:val="22"/>
          <w:szCs w:val="22"/>
        </w:rPr>
        <w:t>94,2</w:t>
      </w:r>
      <w:r w:rsidR="00091426" w:rsidRPr="00CF5A2B">
        <w:rPr>
          <w:sz w:val="22"/>
          <w:szCs w:val="22"/>
        </w:rPr>
        <w:t> </w:t>
      </w:r>
      <w:r w:rsidR="008B43E7" w:rsidRPr="00CF5A2B">
        <w:rPr>
          <w:sz w:val="22"/>
          <w:szCs w:val="22"/>
        </w:rPr>
        <w:t>% upraveného rozpočtu, co</w:t>
      </w:r>
      <w:r w:rsidR="004B371D" w:rsidRPr="00CF5A2B">
        <w:rPr>
          <w:sz w:val="22"/>
          <w:szCs w:val="22"/>
        </w:rPr>
        <w:t xml:space="preserve">ž představuje úsporu </w:t>
      </w:r>
      <w:r w:rsidR="00037150">
        <w:rPr>
          <w:sz w:val="22"/>
          <w:szCs w:val="22"/>
        </w:rPr>
        <w:t>56,49</w:t>
      </w:r>
      <w:r w:rsidR="004B371D" w:rsidRPr="00CF5A2B">
        <w:rPr>
          <w:sz w:val="22"/>
          <w:szCs w:val="22"/>
        </w:rPr>
        <w:t> mil. </w:t>
      </w:r>
      <w:r w:rsidR="008B43E7" w:rsidRPr="00CF5A2B">
        <w:rPr>
          <w:sz w:val="22"/>
          <w:szCs w:val="22"/>
        </w:rPr>
        <w:t>K</w:t>
      </w:r>
      <w:r w:rsidRPr="00CF5A2B">
        <w:rPr>
          <w:sz w:val="22"/>
          <w:szCs w:val="22"/>
        </w:rPr>
        <w:t xml:space="preserve">č. </w:t>
      </w:r>
      <w:r w:rsidRPr="00AA30F7">
        <w:rPr>
          <w:sz w:val="22"/>
          <w:szCs w:val="22"/>
        </w:rPr>
        <w:t>K výrazným úsporám</w:t>
      </w:r>
      <w:r w:rsidR="00235D05" w:rsidRPr="00AA30F7">
        <w:rPr>
          <w:sz w:val="22"/>
          <w:szCs w:val="22"/>
        </w:rPr>
        <w:t xml:space="preserve"> oproti plánovanému rozpočtu</w:t>
      </w:r>
      <w:r w:rsidRPr="00AA30F7">
        <w:rPr>
          <w:sz w:val="22"/>
          <w:szCs w:val="22"/>
        </w:rPr>
        <w:t xml:space="preserve"> došlo </w:t>
      </w:r>
      <w:r w:rsidR="00FA1559" w:rsidRPr="00AA30F7">
        <w:rPr>
          <w:sz w:val="22"/>
          <w:szCs w:val="22"/>
        </w:rPr>
        <w:t xml:space="preserve">zejména ve výdajích </w:t>
      </w:r>
      <w:r w:rsidR="0039585C">
        <w:rPr>
          <w:sz w:val="22"/>
          <w:szCs w:val="22"/>
        </w:rPr>
        <w:t xml:space="preserve">na neinvestiční nákupy a související výdaje (o 22,97 mil. Kč) a také ve výdajích </w:t>
      </w:r>
      <w:r w:rsidR="00FA1559" w:rsidRPr="00AA30F7">
        <w:rPr>
          <w:sz w:val="22"/>
          <w:szCs w:val="22"/>
        </w:rPr>
        <w:t>na platy a související</w:t>
      </w:r>
      <w:r w:rsidR="00CD68AB" w:rsidRPr="00AA30F7">
        <w:rPr>
          <w:sz w:val="22"/>
          <w:szCs w:val="22"/>
        </w:rPr>
        <w:t>ch výdajích</w:t>
      </w:r>
      <w:r w:rsidR="004B371D" w:rsidRPr="00AA30F7">
        <w:rPr>
          <w:sz w:val="22"/>
          <w:szCs w:val="22"/>
        </w:rPr>
        <w:t xml:space="preserve"> (úspora </w:t>
      </w:r>
      <w:r w:rsidR="0039585C">
        <w:rPr>
          <w:sz w:val="22"/>
          <w:szCs w:val="22"/>
        </w:rPr>
        <w:t>16,44</w:t>
      </w:r>
      <w:r w:rsidR="004B371D" w:rsidRPr="00AA30F7">
        <w:rPr>
          <w:sz w:val="22"/>
          <w:szCs w:val="22"/>
        </w:rPr>
        <w:t> mil. </w:t>
      </w:r>
      <w:r w:rsidR="00FA1559" w:rsidRPr="00AA30F7">
        <w:rPr>
          <w:sz w:val="22"/>
          <w:szCs w:val="22"/>
        </w:rPr>
        <w:t>Kč)</w:t>
      </w:r>
      <w:r w:rsidR="0039585C">
        <w:rPr>
          <w:sz w:val="22"/>
          <w:szCs w:val="22"/>
        </w:rPr>
        <w:t>.</w:t>
      </w:r>
      <w:r w:rsidR="00FA1559" w:rsidRPr="0034632D">
        <w:rPr>
          <w:sz w:val="22"/>
          <w:szCs w:val="22"/>
        </w:rPr>
        <w:t xml:space="preserve"> V rámci meziročního srovnání</w:t>
      </w:r>
      <w:r w:rsidR="00EA3C77" w:rsidRPr="0034632D">
        <w:rPr>
          <w:sz w:val="22"/>
          <w:szCs w:val="22"/>
        </w:rPr>
        <w:t xml:space="preserve"> došlo </w:t>
      </w:r>
      <w:r w:rsidR="001D5FF6" w:rsidRPr="0034632D">
        <w:rPr>
          <w:sz w:val="22"/>
          <w:szCs w:val="22"/>
        </w:rPr>
        <w:t>k</w:t>
      </w:r>
      <w:r w:rsidR="00CA6C24" w:rsidRPr="0034632D">
        <w:rPr>
          <w:sz w:val="22"/>
          <w:szCs w:val="22"/>
        </w:rPr>
        <w:t> </w:t>
      </w:r>
      <w:r w:rsidR="004D53A5">
        <w:rPr>
          <w:sz w:val="22"/>
          <w:szCs w:val="22"/>
        </w:rPr>
        <w:t>nárůstu</w:t>
      </w:r>
      <w:r w:rsidR="00CA6C24" w:rsidRPr="0034632D">
        <w:rPr>
          <w:sz w:val="22"/>
          <w:szCs w:val="22"/>
        </w:rPr>
        <w:t xml:space="preserve"> </w:t>
      </w:r>
      <w:r w:rsidR="00C538DD" w:rsidRPr="0034632D">
        <w:rPr>
          <w:sz w:val="22"/>
          <w:szCs w:val="22"/>
        </w:rPr>
        <w:t xml:space="preserve">provozních </w:t>
      </w:r>
      <w:r w:rsidR="00CA6C24" w:rsidRPr="0034632D">
        <w:rPr>
          <w:sz w:val="22"/>
          <w:szCs w:val="22"/>
        </w:rPr>
        <w:t>výdajů</w:t>
      </w:r>
      <w:r w:rsidR="00EA3C77" w:rsidRPr="0034632D">
        <w:rPr>
          <w:sz w:val="22"/>
          <w:szCs w:val="22"/>
        </w:rPr>
        <w:t xml:space="preserve"> </w:t>
      </w:r>
      <w:r w:rsidR="002771A6" w:rsidRPr="0034632D">
        <w:rPr>
          <w:sz w:val="22"/>
          <w:szCs w:val="22"/>
        </w:rPr>
        <w:t xml:space="preserve">o </w:t>
      </w:r>
      <w:r w:rsidR="004D53A5">
        <w:rPr>
          <w:sz w:val="22"/>
          <w:szCs w:val="22"/>
        </w:rPr>
        <w:t>71,59</w:t>
      </w:r>
      <w:r w:rsidR="002771A6" w:rsidRPr="0034632D">
        <w:rPr>
          <w:sz w:val="22"/>
          <w:szCs w:val="22"/>
        </w:rPr>
        <w:t> mil. </w:t>
      </w:r>
      <w:r w:rsidR="00263CF0" w:rsidRPr="0034632D">
        <w:rPr>
          <w:sz w:val="22"/>
          <w:szCs w:val="22"/>
        </w:rPr>
        <w:t xml:space="preserve">Kč. </w:t>
      </w:r>
    </w:p>
    <w:p w:rsidR="001D2A10" w:rsidRPr="00D60326" w:rsidRDefault="001D2A10" w:rsidP="00E50E9C">
      <w:pPr>
        <w:pStyle w:val="Odstavecseseznamem"/>
        <w:rPr>
          <w:color w:val="808080" w:themeColor="background1" w:themeShade="80"/>
          <w:sz w:val="22"/>
          <w:szCs w:val="22"/>
          <w:u w:val="single"/>
        </w:rPr>
      </w:pPr>
    </w:p>
    <w:p w:rsidR="001E651E" w:rsidRDefault="00F061FA" w:rsidP="00E50E9C">
      <w:pPr>
        <w:pStyle w:val="Odstavecseseznamem"/>
        <w:rPr>
          <w:sz w:val="22"/>
          <w:szCs w:val="22"/>
        </w:rPr>
      </w:pPr>
      <w:r w:rsidRPr="002F49CD">
        <w:rPr>
          <w:sz w:val="22"/>
          <w:szCs w:val="22"/>
          <w:u w:val="single"/>
        </w:rPr>
        <w:t>Kapitálové</w:t>
      </w:r>
      <w:r w:rsidR="0010559C" w:rsidRPr="002F49CD">
        <w:rPr>
          <w:sz w:val="22"/>
          <w:szCs w:val="22"/>
          <w:u w:val="single"/>
        </w:rPr>
        <w:t xml:space="preserve"> (investiční) </w:t>
      </w:r>
      <w:r w:rsidRPr="002F49CD">
        <w:rPr>
          <w:sz w:val="22"/>
          <w:szCs w:val="22"/>
          <w:u w:val="single"/>
        </w:rPr>
        <w:t>výdaje</w:t>
      </w:r>
      <w:r w:rsidRPr="002F49CD">
        <w:rPr>
          <w:sz w:val="22"/>
          <w:szCs w:val="22"/>
        </w:rPr>
        <w:t xml:space="preserve"> rozpočtu města </w:t>
      </w:r>
      <w:r w:rsidR="0010559C" w:rsidRPr="002F49CD">
        <w:rPr>
          <w:sz w:val="22"/>
          <w:szCs w:val="22"/>
        </w:rPr>
        <w:t xml:space="preserve">byly plánovány v celkovém objemu </w:t>
      </w:r>
      <w:r w:rsidR="004D53A5">
        <w:rPr>
          <w:sz w:val="22"/>
          <w:szCs w:val="22"/>
        </w:rPr>
        <w:t>282,51</w:t>
      </w:r>
      <w:r w:rsidR="002F49CD" w:rsidRPr="002F49CD">
        <w:rPr>
          <w:sz w:val="22"/>
          <w:szCs w:val="22"/>
        </w:rPr>
        <w:t xml:space="preserve"> </w:t>
      </w:r>
      <w:r w:rsidR="0010559C" w:rsidRPr="002F49CD">
        <w:rPr>
          <w:sz w:val="22"/>
          <w:szCs w:val="22"/>
        </w:rPr>
        <w:t xml:space="preserve">mil. Kč, nakonec se proinvestovalo </w:t>
      </w:r>
      <w:r w:rsidR="004D53A5">
        <w:rPr>
          <w:sz w:val="22"/>
          <w:szCs w:val="22"/>
        </w:rPr>
        <w:t>84,17</w:t>
      </w:r>
      <w:r w:rsidR="00235D05" w:rsidRPr="002F49CD">
        <w:rPr>
          <w:sz w:val="22"/>
          <w:szCs w:val="22"/>
        </w:rPr>
        <w:t> </w:t>
      </w:r>
      <w:r w:rsidR="0010559C" w:rsidRPr="002F49CD">
        <w:rPr>
          <w:sz w:val="22"/>
          <w:szCs w:val="22"/>
        </w:rPr>
        <w:t xml:space="preserve">% upraveného rozpočtu, </w:t>
      </w:r>
      <w:r w:rsidR="002F49CD" w:rsidRPr="002F49CD">
        <w:rPr>
          <w:sz w:val="22"/>
          <w:szCs w:val="22"/>
        </w:rPr>
        <w:t xml:space="preserve">tedy </w:t>
      </w:r>
      <w:r w:rsidR="004D53A5">
        <w:rPr>
          <w:sz w:val="22"/>
          <w:szCs w:val="22"/>
        </w:rPr>
        <w:t>237,8</w:t>
      </w:r>
      <w:r w:rsidR="0010559C" w:rsidRPr="002F49CD">
        <w:rPr>
          <w:sz w:val="22"/>
          <w:szCs w:val="22"/>
        </w:rPr>
        <w:t xml:space="preserve"> mil. Kč.</w:t>
      </w:r>
      <w:r w:rsidR="001E651E">
        <w:rPr>
          <w:sz w:val="22"/>
          <w:szCs w:val="22"/>
        </w:rPr>
        <w:t xml:space="preserve"> Na pokles kapitálových výdajů měly největší podíl neuskutečněné stavební investice (</w:t>
      </w:r>
      <w:r w:rsidR="003C1D98">
        <w:rPr>
          <w:sz w:val="22"/>
          <w:szCs w:val="22"/>
        </w:rPr>
        <w:t>18,72</w:t>
      </w:r>
      <w:r w:rsidR="001E651E">
        <w:rPr>
          <w:sz w:val="22"/>
          <w:szCs w:val="22"/>
        </w:rPr>
        <w:t xml:space="preserve"> mil. Kč</w:t>
      </w:r>
      <w:r w:rsidR="00B70A13">
        <w:rPr>
          <w:sz w:val="22"/>
          <w:szCs w:val="22"/>
        </w:rPr>
        <w:t>), neuskutečnění investiční akce kapitoly Krizové řízení – Digitalizace VISO a povodňového plánu města (</w:t>
      </w:r>
      <w:r w:rsidR="00AC01B6">
        <w:rPr>
          <w:sz w:val="22"/>
          <w:szCs w:val="22"/>
        </w:rPr>
        <w:t>11,63 mil. Kč), neuskutečnění nákupu cisternové automobilové stříkačky pro JSDH Vrahovice (6,3 mil. Kč) aj.</w:t>
      </w:r>
    </w:p>
    <w:p w:rsidR="00B70A13" w:rsidRDefault="00B70A13" w:rsidP="00E50E9C">
      <w:pPr>
        <w:pStyle w:val="Odstavecseseznamem"/>
        <w:rPr>
          <w:sz w:val="22"/>
          <w:szCs w:val="22"/>
        </w:rPr>
      </w:pPr>
    </w:p>
    <w:p w:rsidR="00D04519" w:rsidRPr="007508FE" w:rsidRDefault="00F061FA" w:rsidP="00E50E9C">
      <w:pPr>
        <w:pStyle w:val="Odstavecseseznamem"/>
        <w:rPr>
          <w:sz w:val="22"/>
          <w:szCs w:val="22"/>
        </w:rPr>
      </w:pPr>
      <w:r w:rsidRPr="007508FE">
        <w:rPr>
          <w:b/>
          <w:sz w:val="22"/>
          <w:szCs w:val="22"/>
        </w:rPr>
        <w:t>Provozní výsledek hospodaření</w:t>
      </w:r>
      <w:r w:rsidR="00D75076" w:rsidRPr="007508FE">
        <w:rPr>
          <w:sz w:val="22"/>
          <w:szCs w:val="22"/>
        </w:rPr>
        <w:t>, tj.</w:t>
      </w:r>
      <w:r w:rsidR="00D75076" w:rsidRPr="007508FE">
        <w:rPr>
          <w:b/>
          <w:sz w:val="22"/>
          <w:szCs w:val="22"/>
        </w:rPr>
        <w:t xml:space="preserve"> </w:t>
      </w:r>
      <w:r w:rsidR="00D75076" w:rsidRPr="007508FE">
        <w:rPr>
          <w:sz w:val="22"/>
          <w:szCs w:val="22"/>
        </w:rPr>
        <w:t>rozdíl mezi běžnými příjmy (</w:t>
      </w:r>
      <w:r w:rsidRPr="007508FE">
        <w:rPr>
          <w:sz w:val="22"/>
          <w:szCs w:val="22"/>
        </w:rPr>
        <w:t>daně, ned</w:t>
      </w:r>
      <w:r w:rsidR="00D75076" w:rsidRPr="007508FE">
        <w:rPr>
          <w:sz w:val="22"/>
          <w:szCs w:val="22"/>
        </w:rPr>
        <w:t>aňové příjmy a provozní dotace) a mezi běžnými výdaji (</w:t>
      </w:r>
      <w:r w:rsidRPr="007508FE">
        <w:rPr>
          <w:sz w:val="22"/>
          <w:szCs w:val="22"/>
        </w:rPr>
        <w:t xml:space="preserve">provoz města a jeho organizací) </w:t>
      </w:r>
      <w:r w:rsidRPr="007508FE">
        <w:rPr>
          <w:b/>
          <w:sz w:val="22"/>
          <w:szCs w:val="22"/>
        </w:rPr>
        <w:t xml:space="preserve">dosáhl přebytku </w:t>
      </w:r>
      <w:r w:rsidR="00AC01B6">
        <w:rPr>
          <w:b/>
          <w:sz w:val="22"/>
          <w:szCs w:val="22"/>
        </w:rPr>
        <w:t>341,91</w:t>
      </w:r>
      <w:r w:rsidR="006D3F0E" w:rsidRPr="007508FE">
        <w:rPr>
          <w:b/>
          <w:sz w:val="22"/>
          <w:szCs w:val="22"/>
        </w:rPr>
        <w:t xml:space="preserve"> mil.</w:t>
      </w:r>
      <w:r w:rsidR="00FB0153" w:rsidRPr="007508FE">
        <w:rPr>
          <w:b/>
          <w:sz w:val="22"/>
          <w:szCs w:val="22"/>
        </w:rPr>
        <w:t> </w:t>
      </w:r>
      <w:r w:rsidR="003F2E92" w:rsidRPr="007508FE">
        <w:rPr>
          <w:b/>
          <w:sz w:val="22"/>
          <w:szCs w:val="22"/>
        </w:rPr>
        <w:t>Kč.</w:t>
      </w:r>
      <w:r w:rsidRPr="007508FE">
        <w:rPr>
          <w:b/>
          <w:sz w:val="22"/>
          <w:szCs w:val="22"/>
        </w:rPr>
        <w:t xml:space="preserve"> </w:t>
      </w:r>
      <w:r w:rsidR="002565C8" w:rsidRPr="007508FE">
        <w:rPr>
          <w:sz w:val="22"/>
          <w:szCs w:val="22"/>
        </w:rPr>
        <w:t xml:space="preserve">Provozní saldo hospodaření představuje fakticky vlastní finance, které ročně zbývají na „volnou útratu“, tedy na investice, ale také na budoucí reprodukci majetku, či na úspory, tedy tvorbu rezerv. </w:t>
      </w:r>
      <w:r w:rsidR="001B3F1B" w:rsidRPr="007508FE">
        <w:rPr>
          <w:sz w:val="22"/>
          <w:szCs w:val="22"/>
        </w:rPr>
        <w:t xml:space="preserve">Ing. Luděk Tesař, ekonom zpracovávající pro město Prostějov střednědobé výhledy rozpočtu, doporučuje městu </w:t>
      </w:r>
      <w:r w:rsidR="00FB0153" w:rsidRPr="007508FE">
        <w:rPr>
          <w:sz w:val="22"/>
          <w:szCs w:val="22"/>
        </w:rPr>
        <w:t xml:space="preserve">držet </w:t>
      </w:r>
      <w:r w:rsidR="001B3F1B" w:rsidRPr="007508FE">
        <w:rPr>
          <w:sz w:val="22"/>
          <w:szCs w:val="22"/>
        </w:rPr>
        <w:t>hladinu provozního výsledku hospodaření nad 200</w:t>
      </w:r>
      <w:r w:rsidR="00FB0153" w:rsidRPr="007508FE">
        <w:rPr>
          <w:sz w:val="22"/>
          <w:szCs w:val="22"/>
        </w:rPr>
        <w:t> </w:t>
      </w:r>
      <w:r w:rsidR="001B3F1B" w:rsidRPr="007508FE">
        <w:rPr>
          <w:sz w:val="22"/>
          <w:szCs w:val="22"/>
        </w:rPr>
        <w:t>mil.</w:t>
      </w:r>
      <w:r w:rsidR="00FB0153" w:rsidRPr="007508FE">
        <w:rPr>
          <w:sz w:val="22"/>
          <w:szCs w:val="22"/>
        </w:rPr>
        <w:t> </w:t>
      </w:r>
      <w:r w:rsidR="00EC4329" w:rsidRPr="007508FE">
        <w:rPr>
          <w:sz w:val="22"/>
          <w:szCs w:val="22"/>
        </w:rPr>
        <w:t>Kč</w:t>
      </w:r>
      <w:r w:rsidR="00C94890" w:rsidRPr="007508FE">
        <w:rPr>
          <w:sz w:val="22"/>
          <w:szCs w:val="22"/>
        </w:rPr>
        <w:t xml:space="preserve">. </w:t>
      </w:r>
      <w:r w:rsidR="003F2E92" w:rsidRPr="007508FE">
        <w:rPr>
          <w:sz w:val="22"/>
          <w:szCs w:val="22"/>
        </w:rPr>
        <w:t xml:space="preserve">Podíl provozního salda na běžných příjmech </w:t>
      </w:r>
      <w:r w:rsidR="00121236" w:rsidRPr="007508FE">
        <w:rPr>
          <w:sz w:val="22"/>
          <w:szCs w:val="22"/>
        </w:rPr>
        <w:t>činí</w:t>
      </w:r>
      <w:r w:rsidR="003F2E92" w:rsidRPr="007508FE">
        <w:rPr>
          <w:sz w:val="22"/>
          <w:szCs w:val="22"/>
        </w:rPr>
        <w:t xml:space="preserve"> </w:t>
      </w:r>
      <w:r w:rsidR="000D7631">
        <w:rPr>
          <w:sz w:val="22"/>
          <w:szCs w:val="22"/>
        </w:rPr>
        <w:t>27,17</w:t>
      </w:r>
      <w:r w:rsidR="00E36989" w:rsidRPr="007508FE">
        <w:rPr>
          <w:sz w:val="22"/>
          <w:szCs w:val="22"/>
        </w:rPr>
        <w:t> </w:t>
      </w:r>
      <w:r w:rsidR="003F2E92" w:rsidRPr="007508FE">
        <w:rPr>
          <w:sz w:val="22"/>
          <w:szCs w:val="22"/>
        </w:rPr>
        <w:t xml:space="preserve">%. Optimální hodnota tohoto podílu činí 20 %, neměla by klesnout pod 10 %. </w:t>
      </w:r>
    </w:p>
    <w:p w:rsidR="002565C8" w:rsidRPr="00D60326" w:rsidRDefault="003F2E92" w:rsidP="00E50E9C">
      <w:pPr>
        <w:pStyle w:val="Odstavecseseznamem"/>
        <w:rPr>
          <w:color w:val="808080" w:themeColor="background1" w:themeShade="80"/>
          <w:sz w:val="22"/>
          <w:szCs w:val="22"/>
        </w:rPr>
      </w:pPr>
      <w:r w:rsidRPr="00D60326">
        <w:rPr>
          <w:color w:val="808080" w:themeColor="background1" w:themeShade="80"/>
          <w:sz w:val="22"/>
          <w:szCs w:val="22"/>
        </w:rPr>
        <w:t xml:space="preserve"> </w:t>
      </w:r>
    </w:p>
    <w:p w:rsidR="00F061FA" w:rsidRPr="007508FE" w:rsidRDefault="00F061FA" w:rsidP="00E50E9C">
      <w:pPr>
        <w:pStyle w:val="Odstavecseseznamem"/>
        <w:rPr>
          <w:b/>
          <w:sz w:val="22"/>
          <w:szCs w:val="22"/>
        </w:rPr>
      </w:pPr>
      <w:r w:rsidRPr="007508FE">
        <w:rPr>
          <w:b/>
          <w:sz w:val="22"/>
          <w:szCs w:val="22"/>
        </w:rPr>
        <w:lastRenderedPageBreak/>
        <w:t>Kapitálový výsledek hospodaření</w:t>
      </w:r>
      <w:r w:rsidR="00D75076" w:rsidRPr="007508FE">
        <w:rPr>
          <w:sz w:val="22"/>
          <w:szCs w:val="22"/>
        </w:rPr>
        <w:t xml:space="preserve">, tj. </w:t>
      </w:r>
      <w:r w:rsidRPr="007508FE">
        <w:rPr>
          <w:sz w:val="22"/>
          <w:szCs w:val="22"/>
        </w:rPr>
        <w:t>rozdíl mez</w:t>
      </w:r>
      <w:r w:rsidR="00BD504D" w:rsidRPr="007508FE">
        <w:rPr>
          <w:sz w:val="22"/>
          <w:szCs w:val="22"/>
        </w:rPr>
        <w:t xml:space="preserve">i kapitálovými příjmy (prodej </w:t>
      </w:r>
      <w:r w:rsidR="007508FE" w:rsidRPr="007508FE">
        <w:rPr>
          <w:sz w:val="22"/>
          <w:szCs w:val="22"/>
        </w:rPr>
        <w:t>kapitálového majetku a </w:t>
      </w:r>
      <w:r w:rsidRPr="007508FE">
        <w:rPr>
          <w:sz w:val="22"/>
          <w:szCs w:val="22"/>
        </w:rPr>
        <w:t>investiční dotace) a mezi kapitál</w:t>
      </w:r>
      <w:r w:rsidR="00D75076" w:rsidRPr="007508FE">
        <w:rPr>
          <w:sz w:val="22"/>
          <w:szCs w:val="22"/>
        </w:rPr>
        <w:t>ovými výdaji (investiční akce a </w:t>
      </w:r>
      <w:r w:rsidRPr="007508FE">
        <w:rPr>
          <w:sz w:val="22"/>
          <w:szCs w:val="22"/>
        </w:rPr>
        <w:t>investiční projekty)</w:t>
      </w:r>
      <w:r w:rsidR="0091532E" w:rsidRPr="007508FE">
        <w:rPr>
          <w:sz w:val="22"/>
          <w:szCs w:val="22"/>
        </w:rPr>
        <w:t>,</w:t>
      </w:r>
      <w:r w:rsidRPr="007508FE">
        <w:rPr>
          <w:sz w:val="22"/>
          <w:szCs w:val="22"/>
        </w:rPr>
        <w:t xml:space="preserve"> </w:t>
      </w:r>
      <w:r w:rsidR="007508FE" w:rsidRPr="007508FE">
        <w:rPr>
          <w:b/>
          <w:sz w:val="22"/>
          <w:szCs w:val="22"/>
        </w:rPr>
        <w:t>skončil s deficitem ve </w:t>
      </w:r>
      <w:r w:rsidRPr="007508FE">
        <w:rPr>
          <w:b/>
          <w:sz w:val="22"/>
          <w:szCs w:val="22"/>
        </w:rPr>
        <w:t xml:space="preserve">výši </w:t>
      </w:r>
      <w:r w:rsidR="00DE231B">
        <w:rPr>
          <w:b/>
          <w:sz w:val="22"/>
          <w:szCs w:val="22"/>
        </w:rPr>
        <w:t>227,78</w:t>
      </w:r>
      <w:r w:rsidR="00622479" w:rsidRPr="007508FE">
        <w:rPr>
          <w:b/>
          <w:sz w:val="22"/>
          <w:szCs w:val="22"/>
        </w:rPr>
        <w:t xml:space="preserve"> mil. </w:t>
      </w:r>
      <w:r w:rsidRPr="007508FE">
        <w:rPr>
          <w:b/>
          <w:sz w:val="22"/>
          <w:szCs w:val="22"/>
        </w:rPr>
        <w:t xml:space="preserve">Kč. </w:t>
      </w:r>
      <w:r w:rsidR="000B0CCD" w:rsidRPr="007508FE">
        <w:rPr>
          <w:b/>
          <w:sz w:val="22"/>
          <w:szCs w:val="22"/>
        </w:rPr>
        <w:t xml:space="preserve"> </w:t>
      </w:r>
    </w:p>
    <w:p w:rsidR="00D04519" w:rsidRPr="00D60326" w:rsidRDefault="00D04519" w:rsidP="00E50E9C">
      <w:pPr>
        <w:pStyle w:val="Odstavecseseznamem"/>
        <w:rPr>
          <w:color w:val="808080" w:themeColor="background1" w:themeShade="80"/>
          <w:sz w:val="22"/>
          <w:szCs w:val="22"/>
        </w:rPr>
      </w:pPr>
    </w:p>
    <w:p w:rsidR="00F061FA" w:rsidRPr="007508FE" w:rsidRDefault="00F061FA" w:rsidP="008B536E">
      <w:pPr>
        <w:spacing w:after="120"/>
        <w:jc w:val="both"/>
        <w:rPr>
          <w:rFonts w:ascii="Calibri" w:hAnsi="Calibri" w:cs="Calibri"/>
          <w:sz w:val="22"/>
          <w:szCs w:val="22"/>
        </w:rPr>
      </w:pPr>
      <w:r w:rsidRPr="007508FE">
        <w:rPr>
          <w:rFonts w:ascii="Calibri" w:hAnsi="Calibri" w:cs="Calibri"/>
          <w:sz w:val="22"/>
          <w:szCs w:val="22"/>
        </w:rPr>
        <w:t xml:space="preserve">Celkový výsledek hospodaření města tedy </w:t>
      </w:r>
      <w:r w:rsidR="00FD597B" w:rsidRPr="007508FE">
        <w:rPr>
          <w:rFonts w:ascii="Calibri" w:hAnsi="Calibri" w:cs="Calibri"/>
          <w:sz w:val="22"/>
          <w:szCs w:val="22"/>
        </w:rPr>
        <w:t>skončil</w:t>
      </w:r>
      <w:r w:rsidR="006344E3" w:rsidRPr="007508FE">
        <w:rPr>
          <w:rFonts w:ascii="Calibri" w:hAnsi="Calibri" w:cs="Calibri"/>
          <w:sz w:val="22"/>
          <w:szCs w:val="22"/>
        </w:rPr>
        <w:t xml:space="preserve"> </w:t>
      </w:r>
      <w:r w:rsidR="00FD597B" w:rsidRPr="007508FE">
        <w:rPr>
          <w:rFonts w:ascii="Calibri" w:hAnsi="Calibri" w:cs="Calibri"/>
          <w:sz w:val="22"/>
          <w:szCs w:val="22"/>
        </w:rPr>
        <w:t>kladným</w:t>
      </w:r>
      <w:r w:rsidR="006344E3" w:rsidRPr="007508FE">
        <w:rPr>
          <w:rFonts w:ascii="Calibri" w:hAnsi="Calibri" w:cs="Calibri"/>
          <w:sz w:val="22"/>
          <w:szCs w:val="22"/>
        </w:rPr>
        <w:t xml:space="preserve"> saldem příjmů a výdajů ve výši </w:t>
      </w:r>
      <w:r w:rsidR="00DE231B">
        <w:rPr>
          <w:rFonts w:ascii="Calibri" w:hAnsi="Calibri" w:cs="Calibri"/>
          <w:sz w:val="22"/>
          <w:szCs w:val="22"/>
        </w:rPr>
        <w:t>114,13</w:t>
      </w:r>
      <w:r w:rsidRPr="007508FE">
        <w:rPr>
          <w:rFonts w:ascii="Calibri" w:hAnsi="Calibri" w:cs="Calibri"/>
          <w:sz w:val="22"/>
          <w:szCs w:val="22"/>
        </w:rPr>
        <w:t xml:space="preserve"> </w:t>
      </w:r>
      <w:r w:rsidR="00BD504D" w:rsidRPr="007508FE">
        <w:rPr>
          <w:rFonts w:ascii="Calibri" w:hAnsi="Calibri" w:cs="Calibri"/>
          <w:sz w:val="22"/>
          <w:szCs w:val="22"/>
        </w:rPr>
        <w:t>mil. Kč.</w:t>
      </w:r>
      <w:r w:rsidR="00FD597B" w:rsidRPr="007508FE">
        <w:rPr>
          <w:rFonts w:ascii="Calibri" w:hAnsi="Calibri" w:cs="Calibri"/>
          <w:sz w:val="22"/>
          <w:szCs w:val="22"/>
        </w:rPr>
        <w:t xml:space="preserve"> </w:t>
      </w:r>
      <w:r w:rsidR="00D729C0" w:rsidRPr="007508FE">
        <w:rPr>
          <w:rFonts w:ascii="Calibri" w:hAnsi="Calibri" w:cs="Calibri"/>
          <w:sz w:val="22"/>
          <w:szCs w:val="22"/>
        </w:rPr>
        <w:t xml:space="preserve">Byl snížen deficitní rozdíl, který byl </w:t>
      </w:r>
      <w:r w:rsidR="00680706" w:rsidRPr="007508FE">
        <w:rPr>
          <w:rFonts w:ascii="Calibri" w:hAnsi="Calibri" w:cs="Calibri"/>
          <w:sz w:val="22"/>
          <w:szCs w:val="22"/>
        </w:rPr>
        <w:t>v upraveném rozpočtu</w:t>
      </w:r>
      <w:r w:rsidR="00D729C0" w:rsidRPr="007508FE">
        <w:rPr>
          <w:rFonts w:ascii="Calibri" w:hAnsi="Calibri" w:cs="Calibri"/>
          <w:sz w:val="22"/>
          <w:szCs w:val="22"/>
        </w:rPr>
        <w:t xml:space="preserve"> ve výši </w:t>
      </w:r>
      <w:r w:rsidR="00DE231B">
        <w:rPr>
          <w:rFonts w:ascii="Calibri" w:hAnsi="Calibri" w:cs="Calibri"/>
          <w:sz w:val="22"/>
          <w:szCs w:val="22"/>
        </w:rPr>
        <w:t>208,43</w:t>
      </w:r>
      <w:r w:rsidR="00D729C0" w:rsidRPr="007508FE">
        <w:rPr>
          <w:rFonts w:ascii="Calibri" w:hAnsi="Calibri" w:cs="Calibri"/>
          <w:sz w:val="22"/>
          <w:szCs w:val="22"/>
        </w:rPr>
        <w:t xml:space="preserve"> mil. Kč</w:t>
      </w:r>
      <w:r w:rsidR="00680706" w:rsidRPr="007508FE">
        <w:rPr>
          <w:rFonts w:ascii="Calibri" w:hAnsi="Calibri" w:cs="Calibri"/>
          <w:sz w:val="22"/>
          <w:szCs w:val="22"/>
        </w:rPr>
        <w:t xml:space="preserve">. V rámci schváleného rozpočtu byl plánován deficit ve výši </w:t>
      </w:r>
      <w:r w:rsidR="00DE231B">
        <w:rPr>
          <w:rFonts w:ascii="Calibri" w:hAnsi="Calibri" w:cs="Calibri"/>
          <w:sz w:val="22"/>
          <w:szCs w:val="22"/>
        </w:rPr>
        <w:t>153,63</w:t>
      </w:r>
      <w:r w:rsidR="00622479" w:rsidRPr="007508FE">
        <w:rPr>
          <w:rFonts w:ascii="Calibri" w:hAnsi="Calibri" w:cs="Calibri"/>
          <w:sz w:val="22"/>
          <w:szCs w:val="22"/>
        </w:rPr>
        <w:t xml:space="preserve"> mil. </w:t>
      </w:r>
      <w:r w:rsidR="00680706" w:rsidRPr="007508FE">
        <w:rPr>
          <w:rFonts w:ascii="Calibri" w:hAnsi="Calibri" w:cs="Calibri"/>
          <w:sz w:val="22"/>
          <w:szCs w:val="22"/>
        </w:rPr>
        <w:t xml:space="preserve">Kč. </w:t>
      </w:r>
      <w:r w:rsidR="00BD504D" w:rsidRPr="007508FE">
        <w:rPr>
          <w:rFonts w:ascii="Calibri" w:hAnsi="Calibri" w:cs="Calibri"/>
          <w:sz w:val="22"/>
          <w:szCs w:val="22"/>
        </w:rPr>
        <w:t>Skutečný v</w:t>
      </w:r>
      <w:r w:rsidRPr="007508FE">
        <w:rPr>
          <w:rFonts w:ascii="Calibri" w:hAnsi="Calibri" w:cs="Calibri"/>
          <w:sz w:val="22"/>
          <w:szCs w:val="22"/>
        </w:rPr>
        <w:t xml:space="preserve">ýsledek hospodaření tak výrazně přesahuje </w:t>
      </w:r>
      <w:r w:rsidR="00BD504D" w:rsidRPr="007508FE">
        <w:rPr>
          <w:rFonts w:ascii="Calibri" w:hAnsi="Calibri" w:cs="Calibri"/>
          <w:sz w:val="22"/>
          <w:szCs w:val="22"/>
        </w:rPr>
        <w:t xml:space="preserve">výsledek </w:t>
      </w:r>
      <w:r w:rsidR="001B3F1B" w:rsidRPr="007508FE">
        <w:rPr>
          <w:rFonts w:ascii="Calibri" w:hAnsi="Calibri" w:cs="Calibri"/>
          <w:sz w:val="22"/>
          <w:szCs w:val="22"/>
        </w:rPr>
        <w:t xml:space="preserve">rozpočtového </w:t>
      </w:r>
      <w:r w:rsidR="00BD504D" w:rsidRPr="007508FE">
        <w:rPr>
          <w:rFonts w:ascii="Calibri" w:hAnsi="Calibri" w:cs="Calibri"/>
          <w:sz w:val="22"/>
          <w:szCs w:val="22"/>
        </w:rPr>
        <w:t>hospodaření schválený</w:t>
      </w:r>
      <w:r w:rsidRPr="007508FE">
        <w:rPr>
          <w:rFonts w:ascii="Calibri" w:hAnsi="Calibri" w:cs="Calibri"/>
          <w:sz w:val="22"/>
          <w:szCs w:val="22"/>
        </w:rPr>
        <w:t xml:space="preserve"> zastupitelstvem města.</w:t>
      </w:r>
      <w:r w:rsidR="00FD597B" w:rsidRPr="007508FE">
        <w:rPr>
          <w:rFonts w:ascii="Calibri" w:hAnsi="Calibri" w:cs="Calibri"/>
          <w:sz w:val="22"/>
          <w:szCs w:val="22"/>
        </w:rPr>
        <w:t xml:space="preserve"> </w:t>
      </w:r>
    </w:p>
    <w:p w:rsidR="00F061FA" w:rsidRPr="007508FE" w:rsidRDefault="00065FEF" w:rsidP="00493DCB">
      <w:pPr>
        <w:pStyle w:val="Odstavecseseznamem"/>
        <w:rPr>
          <w:sz w:val="22"/>
          <w:szCs w:val="22"/>
        </w:rPr>
      </w:pPr>
      <w:r w:rsidRPr="007508FE">
        <w:rPr>
          <w:sz w:val="22"/>
          <w:szCs w:val="22"/>
        </w:rPr>
        <w:t xml:space="preserve">Účetní výsledek hospodaření dosáhl hodnoty </w:t>
      </w:r>
      <w:r w:rsidR="00DE231B">
        <w:rPr>
          <w:sz w:val="22"/>
          <w:szCs w:val="22"/>
        </w:rPr>
        <w:t>245,43</w:t>
      </w:r>
      <w:r w:rsidRPr="007508FE">
        <w:rPr>
          <w:sz w:val="22"/>
          <w:szCs w:val="22"/>
        </w:rPr>
        <w:t xml:space="preserve"> mil. Kč před zdaněním, </w:t>
      </w:r>
      <w:r w:rsidR="00DE231B">
        <w:rPr>
          <w:sz w:val="22"/>
          <w:szCs w:val="22"/>
        </w:rPr>
        <w:t>220,72</w:t>
      </w:r>
      <w:r w:rsidRPr="007508FE">
        <w:rPr>
          <w:sz w:val="22"/>
          <w:szCs w:val="22"/>
        </w:rPr>
        <w:t xml:space="preserve"> mil. Kč po zdanění.</w:t>
      </w:r>
      <w:r w:rsidR="00613DC2" w:rsidRPr="007508FE">
        <w:rPr>
          <w:sz w:val="22"/>
          <w:szCs w:val="22"/>
        </w:rPr>
        <w:t xml:space="preserve"> </w:t>
      </w:r>
      <w:r w:rsidR="003C0784" w:rsidRPr="007508FE">
        <w:rPr>
          <w:b/>
          <w:sz w:val="22"/>
          <w:szCs w:val="22"/>
        </w:rPr>
        <w:t>Hospodaření města za rok 202</w:t>
      </w:r>
      <w:r w:rsidR="00DE231B">
        <w:rPr>
          <w:b/>
          <w:sz w:val="22"/>
          <w:szCs w:val="22"/>
        </w:rPr>
        <w:t>2</w:t>
      </w:r>
      <w:r w:rsidR="00F061FA" w:rsidRPr="007508FE">
        <w:rPr>
          <w:b/>
          <w:sz w:val="22"/>
          <w:szCs w:val="22"/>
        </w:rPr>
        <w:t xml:space="preserve"> ověřila auditorská </w:t>
      </w:r>
      <w:r w:rsidR="001B3F1B" w:rsidRPr="007508FE">
        <w:rPr>
          <w:b/>
          <w:sz w:val="22"/>
          <w:szCs w:val="22"/>
        </w:rPr>
        <w:t>společnost</w:t>
      </w:r>
      <w:r w:rsidR="00F061FA" w:rsidRPr="007508FE">
        <w:rPr>
          <w:b/>
          <w:sz w:val="22"/>
          <w:szCs w:val="22"/>
        </w:rPr>
        <w:t xml:space="preserve"> </w:t>
      </w:r>
      <w:r w:rsidR="009029A3" w:rsidRPr="007508FE">
        <w:rPr>
          <w:b/>
          <w:sz w:val="22"/>
          <w:szCs w:val="22"/>
        </w:rPr>
        <w:t>AUDIT TEAM,</w:t>
      </w:r>
      <w:r w:rsidR="00F061FA" w:rsidRPr="007508FE">
        <w:rPr>
          <w:b/>
          <w:sz w:val="22"/>
          <w:szCs w:val="22"/>
        </w:rPr>
        <w:t xml:space="preserve"> s.</w:t>
      </w:r>
      <w:r w:rsidR="00DE231B">
        <w:rPr>
          <w:b/>
          <w:sz w:val="22"/>
          <w:szCs w:val="22"/>
        </w:rPr>
        <w:t xml:space="preserve"> </w:t>
      </w:r>
      <w:r w:rsidR="00F061FA" w:rsidRPr="007508FE">
        <w:rPr>
          <w:b/>
          <w:sz w:val="22"/>
          <w:szCs w:val="22"/>
        </w:rPr>
        <w:t>r.</w:t>
      </w:r>
      <w:r w:rsidR="00DE231B">
        <w:rPr>
          <w:b/>
          <w:sz w:val="22"/>
          <w:szCs w:val="22"/>
        </w:rPr>
        <w:t xml:space="preserve"> </w:t>
      </w:r>
      <w:r w:rsidR="00F061FA" w:rsidRPr="007508FE">
        <w:rPr>
          <w:b/>
          <w:sz w:val="22"/>
          <w:szCs w:val="22"/>
        </w:rPr>
        <w:t>o.</w:t>
      </w:r>
      <w:r w:rsidR="004F7588" w:rsidRPr="007508FE">
        <w:rPr>
          <w:sz w:val="22"/>
          <w:szCs w:val="22"/>
        </w:rPr>
        <w:t>, se </w:t>
      </w:r>
      <w:r w:rsidR="009029A3" w:rsidRPr="007508FE">
        <w:rPr>
          <w:sz w:val="22"/>
          <w:szCs w:val="22"/>
        </w:rPr>
        <w:t>sídlem Jeremenkova 1211/40b, Hodolany, 779 00 Olomouc</w:t>
      </w:r>
      <w:r w:rsidR="00F061FA" w:rsidRPr="007508FE">
        <w:rPr>
          <w:b/>
          <w:sz w:val="22"/>
          <w:szCs w:val="22"/>
        </w:rPr>
        <w:t xml:space="preserve"> </w:t>
      </w:r>
      <w:r w:rsidR="00F061FA" w:rsidRPr="007508FE">
        <w:rPr>
          <w:sz w:val="22"/>
          <w:szCs w:val="22"/>
        </w:rPr>
        <w:t>s výrokem, že účetní závěrka podáv</w:t>
      </w:r>
      <w:r w:rsidR="007508FE" w:rsidRPr="007508FE">
        <w:rPr>
          <w:sz w:val="22"/>
          <w:szCs w:val="22"/>
        </w:rPr>
        <w:t>á věrný a poctivý obraz aktiv a </w:t>
      </w:r>
      <w:r w:rsidR="00F061FA" w:rsidRPr="007508FE">
        <w:rPr>
          <w:sz w:val="22"/>
          <w:szCs w:val="22"/>
        </w:rPr>
        <w:t xml:space="preserve">pasiv </w:t>
      </w:r>
      <w:r w:rsidR="006E3961" w:rsidRPr="007508FE">
        <w:rPr>
          <w:sz w:val="22"/>
          <w:szCs w:val="22"/>
        </w:rPr>
        <w:t>s</w:t>
      </w:r>
      <w:r w:rsidR="00F061FA" w:rsidRPr="007508FE">
        <w:rPr>
          <w:sz w:val="22"/>
          <w:szCs w:val="22"/>
        </w:rPr>
        <w:t xml:space="preserve">tatutárního města </w:t>
      </w:r>
      <w:r w:rsidR="006E3961" w:rsidRPr="007508FE">
        <w:rPr>
          <w:sz w:val="22"/>
          <w:szCs w:val="22"/>
        </w:rPr>
        <w:t>Prostějova</w:t>
      </w:r>
      <w:r w:rsidR="003C0784" w:rsidRPr="007508FE">
        <w:rPr>
          <w:sz w:val="22"/>
          <w:szCs w:val="22"/>
        </w:rPr>
        <w:t xml:space="preserve"> k 31.</w:t>
      </w:r>
      <w:r w:rsidR="007508FE" w:rsidRPr="007508FE">
        <w:rPr>
          <w:sz w:val="22"/>
          <w:szCs w:val="22"/>
        </w:rPr>
        <w:t xml:space="preserve"> </w:t>
      </w:r>
      <w:r w:rsidR="003C0784" w:rsidRPr="007508FE">
        <w:rPr>
          <w:sz w:val="22"/>
          <w:szCs w:val="22"/>
        </w:rPr>
        <w:t>12.</w:t>
      </w:r>
      <w:r w:rsidR="007508FE" w:rsidRPr="007508FE">
        <w:rPr>
          <w:sz w:val="22"/>
          <w:szCs w:val="22"/>
        </w:rPr>
        <w:t xml:space="preserve"> </w:t>
      </w:r>
      <w:r w:rsidR="003C0784" w:rsidRPr="007508FE">
        <w:rPr>
          <w:sz w:val="22"/>
          <w:szCs w:val="22"/>
        </w:rPr>
        <w:t>202</w:t>
      </w:r>
      <w:r w:rsidR="00DE231B">
        <w:rPr>
          <w:sz w:val="22"/>
          <w:szCs w:val="22"/>
        </w:rPr>
        <w:t>2</w:t>
      </w:r>
      <w:r w:rsidR="00F061FA" w:rsidRPr="007508FE">
        <w:rPr>
          <w:sz w:val="22"/>
          <w:szCs w:val="22"/>
        </w:rPr>
        <w:t xml:space="preserve"> a</w:t>
      </w:r>
      <w:r w:rsidR="004F7588" w:rsidRPr="007508FE">
        <w:rPr>
          <w:sz w:val="22"/>
          <w:szCs w:val="22"/>
        </w:rPr>
        <w:t> </w:t>
      </w:r>
      <w:r w:rsidR="00F061FA" w:rsidRPr="007508FE">
        <w:rPr>
          <w:sz w:val="22"/>
          <w:szCs w:val="22"/>
        </w:rPr>
        <w:t xml:space="preserve">nákladů a výnosů a výsledku jeho hospodaření za rok </w:t>
      </w:r>
      <w:r w:rsidR="00277381" w:rsidRPr="007508FE">
        <w:rPr>
          <w:sz w:val="22"/>
          <w:szCs w:val="22"/>
        </w:rPr>
        <w:t>202</w:t>
      </w:r>
      <w:r w:rsidR="00DE231B">
        <w:rPr>
          <w:sz w:val="22"/>
          <w:szCs w:val="22"/>
        </w:rPr>
        <w:t>2</w:t>
      </w:r>
      <w:r w:rsidR="00F061FA" w:rsidRPr="007508FE">
        <w:rPr>
          <w:sz w:val="22"/>
          <w:szCs w:val="22"/>
        </w:rPr>
        <w:t xml:space="preserve"> v souladu s českými účetními předpisy.</w:t>
      </w:r>
    </w:p>
    <w:p w:rsidR="00FD597B" w:rsidRPr="00D60326" w:rsidRDefault="00FD597B" w:rsidP="00493DCB">
      <w:pPr>
        <w:pStyle w:val="Odstavecseseznamem"/>
        <w:rPr>
          <w:color w:val="808080" w:themeColor="background1" w:themeShade="80"/>
          <w:sz w:val="22"/>
          <w:szCs w:val="22"/>
        </w:rPr>
      </w:pPr>
    </w:p>
    <w:p w:rsidR="00DA0F7E" w:rsidRPr="007508FE" w:rsidRDefault="00DA0F7E" w:rsidP="00DA0F7E">
      <w:pPr>
        <w:jc w:val="both"/>
        <w:rPr>
          <w:rStyle w:val="Siln"/>
          <w:rFonts w:asciiTheme="minorHAnsi" w:hAnsiTheme="minorHAnsi" w:cstheme="minorHAnsi"/>
          <w:b w:val="0"/>
          <w:sz w:val="22"/>
          <w:szCs w:val="22"/>
        </w:rPr>
      </w:pPr>
      <w:r w:rsidRPr="007508FE">
        <w:rPr>
          <w:rStyle w:val="Siln"/>
          <w:rFonts w:asciiTheme="minorHAnsi" w:hAnsiTheme="minorHAnsi" w:cstheme="minorHAnsi"/>
          <w:b w:val="0"/>
          <w:sz w:val="22"/>
          <w:szCs w:val="22"/>
        </w:rPr>
        <w:t xml:space="preserve">Jako významný faktor, který se podílí na pozitivním výsledku hospodaření, je i </w:t>
      </w:r>
      <w:r w:rsidRPr="007508FE">
        <w:rPr>
          <w:rStyle w:val="Siln"/>
          <w:rFonts w:asciiTheme="minorHAnsi" w:hAnsiTheme="minorHAnsi" w:cstheme="minorHAnsi"/>
          <w:sz w:val="22"/>
          <w:szCs w:val="22"/>
        </w:rPr>
        <w:t>nulový ukazatel dluhové služby</w:t>
      </w:r>
      <w:r w:rsidRPr="007508FE">
        <w:rPr>
          <w:rStyle w:val="Siln"/>
          <w:rFonts w:asciiTheme="minorHAnsi" w:hAnsiTheme="minorHAnsi" w:cstheme="minorHAnsi"/>
          <w:b w:val="0"/>
          <w:sz w:val="22"/>
          <w:szCs w:val="22"/>
        </w:rPr>
        <w:t>, který je dán tím, že město Prostějov ke svým dobrým finančním výsledkům nepotřebuje žádné bankovní úvěry a je schopno tak vysoké investiční výdaje financovat ze svého rozpočtu a finančních rezerv.</w:t>
      </w:r>
    </w:p>
    <w:p w:rsidR="00BE09A8" w:rsidRPr="00D60326" w:rsidRDefault="00F376F0" w:rsidP="00F376F0">
      <w:pPr>
        <w:rPr>
          <w:rFonts w:ascii="Calibri" w:hAnsi="Calibri" w:cs="Calibri"/>
          <w:color w:val="808080" w:themeColor="background1" w:themeShade="80"/>
          <w:sz w:val="22"/>
          <w:szCs w:val="22"/>
        </w:rPr>
      </w:pPr>
      <w:r w:rsidRPr="00D60326">
        <w:rPr>
          <w:color w:val="808080" w:themeColor="background1" w:themeShade="80"/>
          <w:sz w:val="22"/>
          <w:szCs w:val="22"/>
        </w:rPr>
        <w:br w:type="page"/>
      </w:r>
    </w:p>
    <w:p w:rsidR="00F376F0" w:rsidRPr="00F376F0" w:rsidRDefault="00F376F0" w:rsidP="00F376F0">
      <w:pPr>
        <w:pStyle w:val="Default"/>
        <w:jc w:val="both"/>
        <w:rPr>
          <w:rFonts w:ascii="Calibri" w:hAnsi="Calibri" w:cs="Calibri"/>
        </w:rPr>
      </w:pPr>
    </w:p>
    <w:p w:rsidR="00F376F0" w:rsidRPr="004E3E64" w:rsidRDefault="00F376F0" w:rsidP="004E2BA6">
      <w:pPr>
        <w:pStyle w:val="Nadpis2"/>
        <w:keepLines/>
      </w:pPr>
      <w:r>
        <w:t>Rozpočtový</w:t>
      </w:r>
      <w:r w:rsidRPr="004E3E64">
        <w:t xml:space="preserve">  výsledek hospodaření statutárn</w:t>
      </w:r>
      <w:r w:rsidR="00110398">
        <w:t xml:space="preserve">ího města </w:t>
      </w:r>
      <w:r w:rsidR="00D60326">
        <w:t>Prostějova za rok 202</w:t>
      </w:r>
      <w:r w:rsidR="002950E6">
        <w:t>2</w:t>
      </w:r>
    </w:p>
    <w:p w:rsidR="003F1E07" w:rsidRDefault="003F1E07" w:rsidP="0024764D">
      <w:pPr>
        <w:pStyle w:val="Nadpis3"/>
      </w:pPr>
      <w:bookmarkStart w:id="1" w:name="_Toc39129486"/>
      <w:r w:rsidRPr="00493DCB">
        <w:t>Rozpočtov</w:t>
      </w:r>
      <w:r w:rsidR="00D60326">
        <w:t>ý výsledek hospodaření roku 202</w:t>
      </w:r>
      <w:r w:rsidR="002950E6">
        <w:t>2</w:t>
      </w:r>
      <w:r w:rsidRPr="00493DCB">
        <w:t xml:space="preserve"> (v Kč)</w:t>
      </w:r>
      <w:bookmarkEnd w:id="1"/>
    </w:p>
    <w:tbl>
      <w:tblPr>
        <w:tblW w:w="8900" w:type="dxa"/>
        <w:tblCellMar>
          <w:left w:w="70" w:type="dxa"/>
          <w:right w:w="70" w:type="dxa"/>
        </w:tblCellMar>
        <w:tblLook w:val="04A0" w:firstRow="1" w:lastRow="0" w:firstColumn="1" w:lastColumn="0" w:noHBand="0" w:noVBand="1"/>
      </w:tblPr>
      <w:tblGrid>
        <w:gridCol w:w="500"/>
        <w:gridCol w:w="2840"/>
        <w:gridCol w:w="1560"/>
        <w:gridCol w:w="1560"/>
        <w:gridCol w:w="1560"/>
        <w:gridCol w:w="880"/>
      </w:tblGrid>
      <w:tr w:rsidR="002950E6" w:rsidTr="002950E6">
        <w:trPr>
          <w:trHeight w:val="765"/>
        </w:trPr>
        <w:tc>
          <w:tcPr>
            <w:tcW w:w="500" w:type="dxa"/>
            <w:tcBorders>
              <w:top w:val="single" w:sz="4" w:space="0" w:color="auto"/>
              <w:left w:val="single" w:sz="4" w:space="0" w:color="auto"/>
              <w:bottom w:val="single" w:sz="4" w:space="0" w:color="auto"/>
              <w:right w:val="single" w:sz="4" w:space="0" w:color="auto"/>
            </w:tcBorders>
            <w:shd w:val="clear" w:color="FF6600" w:fill="E26B0A"/>
            <w:noWrap/>
            <w:vAlign w:val="center"/>
            <w:hideMark/>
          </w:tcPr>
          <w:p w:rsidR="002950E6" w:rsidRDefault="002950E6">
            <w:pPr>
              <w:jc w:val="center"/>
              <w:rPr>
                <w:rFonts w:ascii="Calibri" w:hAnsi="Calibri" w:cs="Calibri"/>
                <w:b/>
                <w:bCs/>
                <w:color w:val="000000"/>
                <w:sz w:val="20"/>
                <w:szCs w:val="20"/>
              </w:rPr>
            </w:pPr>
            <w:r>
              <w:rPr>
                <w:rFonts w:ascii="Calibri" w:hAnsi="Calibri" w:cs="Calibri"/>
                <w:b/>
                <w:bCs/>
                <w:color w:val="000000"/>
                <w:sz w:val="20"/>
                <w:szCs w:val="20"/>
              </w:rPr>
              <w:t>č.ř.</w:t>
            </w:r>
          </w:p>
        </w:tc>
        <w:tc>
          <w:tcPr>
            <w:tcW w:w="2840" w:type="dxa"/>
            <w:tcBorders>
              <w:top w:val="single" w:sz="4" w:space="0" w:color="auto"/>
              <w:left w:val="nil"/>
              <w:bottom w:val="single" w:sz="4" w:space="0" w:color="auto"/>
              <w:right w:val="single" w:sz="4" w:space="0" w:color="auto"/>
            </w:tcBorders>
            <w:shd w:val="clear" w:color="FF6600" w:fill="E26B0A"/>
            <w:noWrap/>
            <w:vAlign w:val="center"/>
            <w:hideMark/>
          </w:tcPr>
          <w:p w:rsidR="002950E6" w:rsidRDefault="002950E6">
            <w:pPr>
              <w:jc w:val="center"/>
              <w:rPr>
                <w:rFonts w:ascii="Calibri" w:hAnsi="Calibri" w:cs="Calibri"/>
                <w:b/>
                <w:bCs/>
                <w:color w:val="000000"/>
                <w:sz w:val="20"/>
                <w:szCs w:val="20"/>
              </w:rPr>
            </w:pPr>
            <w:r>
              <w:rPr>
                <w:rFonts w:ascii="Calibri" w:hAnsi="Calibri" w:cs="Calibri"/>
                <w:b/>
                <w:bCs/>
                <w:color w:val="000000"/>
                <w:sz w:val="20"/>
                <w:szCs w:val="20"/>
              </w:rPr>
              <w:t>Druhové třídění</w:t>
            </w:r>
          </w:p>
        </w:tc>
        <w:tc>
          <w:tcPr>
            <w:tcW w:w="1560" w:type="dxa"/>
            <w:tcBorders>
              <w:top w:val="single" w:sz="4" w:space="0" w:color="auto"/>
              <w:left w:val="nil"/>
              <w:bottom w:val="single" w:sz="4" w:space="0" w:color="auto"/>
              <w:right w:val="single" w:sz="4" w:space="0" w:color="auto"/>
            </w:tcBorders>
            <w:shd w:val="clear" w:color="FF6600" w:fill="E26B0A"/>
            <w:vAlign w:val="center"/>
            <w:hideMark/>
          </w:tcPr>
          <w:p w:rsidR="002950E6" w:rsidRDefault="002950E6">
            <w:pPr>
              <w:jc w:val="center"/>
              <w:rPr>
                <w:rFonts w:ascii="Calibri" w:hAnsi="Calibri" w:cs="Calibri"/>
                <w:b/>
                <w:bCs/>
                <w:color w:val="000000"/>
                <w:sz w:val="20"/>
                <w:szCs w:val="20"/>
              </w:rPr>
            </w:pPr>
            <w:r>
              <w:rPr>
                <w:rFonts w:ascii="Calibri" w:hAnsi="Calibri" w:cs="Calibri"/>
                <w:b/>
                <w:bCs/>
                <w:color w:val="000000"/>
                <w:sz w:val="20"/>
                <w:szCs w:val="20"/>
              </w:rPr>
              <w:t>Schválený rozpočet 2022</w:t>
            </w:r>
          </w:p>
        </w:tc>
        <w:tc>
          <w:tcPr>
            <w:tcW w:w="1560" w:type="dxa"/>
            <w:tcBorders>
              <w:top w:val="single" w:sz="4" w:space="0" w:color="auto"/>
              <w:left w:val="nil"/>
              <w:bottom w:val="single" w:sz="4" w:space="0" w:color="auto"/>
              <w:right w:val="single" w:sz="4" w:space="0" w:color="auto"/>
            </w:tcBorders>
            <w:shd w:val="clear" w:color="FF6600" w:fill="E26B0A"/>
            <w:vAlign w:val="center"/>
            <w:hideMark/>
          </w:tcPr>
          <w:p w:rsidR="002950E6" w:rsidRDefault="002950E6">
            <w:pPr>
              <w:jc w:val="center"/>
              <w:rPr>
                <w:rFonts w:ascii="Calibri" w:hAnsi="Calibri" w:cs="Calibri"/>
                <w:b/>
                <w:bCs/>
                <w:color w:val="000000"/>
                <w:sz w:val="20"/>
                <w:szCs w:val="20"/>
              </w:rPr>
            </w:pPr>
            <w:r>
              <w:rPr>
                <w:rFonts w:ascii="Calibri" w:hAnsi="Calibri" w:cs="Calibri"/>
                <w:b/>
                <w:bCs/>
                <w:color w:val="000000"/>
                <w:sz w:val="20"/>
                <w:szCs w:val="20"/>
              </w:rPr>
              <w:t>Upravený rozpočet 2022</w:t>
            </w:r>
          </w:p>
        </w:tc>
        <w:tc>
          <w:tcPr>
            <w:tcW w:w="1560" w:type="dxa"/>
            <w:tcBorders>
              <w:top w:val="single" w:sz="4" w:space="0" w:color="auto"/>
              <w:left w:val="nil"/>
              <w:bottom w:val="single" w:sz="4" w:space="0" w:color="auto"/>
              <w:right w:val="single" w:sz="4" w:space="0" w:color="auto"/>
            </w:tcBorders>
            <w:shd w:val="clear" w:color="FF6600" w:fill="E26B0A"/>
            <w:vAlign w:val="center"/>
            <w:hideMark/>
          </w:tcPr>
          <w:p w:rsidR="002950E6" w:rsidRDefault="002950E6">
            <w:pPr>
              <w:jc w:val="center"/>
              <w:rPr>
                <w:rFonts w:ascii="Calibri" w:hAnsi="Calibri" w:cs="Calibri"/>
                <w:b/>
                <w:bCs/>
                <w:color w:val="000000"/>
                <w:sz w:val="20"/>
                <w:szCs w:val="20"/>
              </w:rPr>
            </w:pPr>
            <w:r>
              <w:rPr>
                <w:rFonts w:ascii="Calibri" w:hAnsi="Calibri" w:cs="Calibri"/>
                <w:b/>
                <w:bCs/>
                <w:color w:val="000000"/>
                <w:sz w:val="20"/>
                <w:szCs w:val="20"/>
              </w:rPr>
              <w:t>Skutečnost hospodaření k 31.12.2022</w:t>
            </w:r>
          </w:p>
        </w:tc>
        <w:tc>
          <w:tcPr>
            <w:tcW w:w="880" w:type="dxa"/>
            <w:tcBorders>
              <w:top w:val="single" w:sz="4" w:space="0" w:color="auto"/>
              <w:left w:val="nil"/>
              <w:bottom w:val="single" w:sz="4" w:space="0" w:color="auto"/>
              <w:right w:val="single" w:sz="4" w:space="0" w:color="auto"/>
            </w:tcBorders>
            <w:shd w:val="clear" w:color="FF6600" w:fill="E26B0A"/>
            <w:vAlign w:val="center"/>
            <w:hideMark/>
          </w:tcPr>
          <w:p w:rsidR="002950E6" w:rsidRDefault="002950E6">
            <w:pPr>
              <w:jc w:val="center"/>
              <w:rPr>
                <w:rFonts w:ascii="Calibri" w:hAnsi="Calibri" w:cs="Calibri"/>
                <w:b/>
                <w:bCs/>
                <w:color w:val="000000"/>
                <w:sz w:val="20"/>
                <w:szCs w:val="20"/>
              </w:rPr>
            </w:pPr>
            <w:r>
              <w:rPr>
                <w:rFonts w:ascii="Calibri" w:hAnsi="Calibri" w:cs="Calibri"/>
                <w:b/>
                <w:bCs/>
                <w:color w:val="000000"/>
                <w:sz w:val="20"/>
                <w:szCs w:val="20"/>
              </w:rPr>
              <w:t>% plnění rozpočtu</w:t>
            </w:r>
          </w:p>
        </w:tc>
      </w:tr>
      <w:tr w:rsidR="002950E6" w:rsidTr="002950E6">
        <w:trPr>
          <w:trHeight w:val="300"/>
        </w:trPr>
        <w:tc>
          <w:tcPr>
            <w:tcW w:w="500" w:type="dxa"/>
            <w:tcBorders>
              <w:top w:val="nil"/>
              <w:left w:val="single" w:sz="4" w:space="0" w:color="auto"/>
              <w:bottom w:val="single" w:sz="4" w:space="0" w:color="auto"/>
              <w:right w:val="single" w:sz="4" w:space="0" w:color="auto"/>
            </w:tcBorders>
            <w:shd w:val="clear" w:color="FFE699" w:fill="FCD5B4"/>
            <w:noWrap/>
            <w:vAlign w:val="center"/>
            <w:hideMark/>
          </w:tcPr>
          <w:p w:rsidR="002950E6" w:rsidRDefault="002950E6">
            <w:pPr>
              <w:jc w:val="center"/>
              <w:rPr>
                <w:rFonts w:ascii="Calibri" w:hAnsi="Calibri" w:cs="Calibri"/>
                <w:b/>
                <w:bCs/>
                <w:color w:val="000000"/>
                <w:sz w:val="20"/>
                <w:szCs w:val="20"/>
              </w:rPr>
            </w:pPr>
            <w:r>
              <w:rPr>
                <w:rFonts w:ascii="Calibri" w:hAnsi="Calibri" w:cs="Calibri"/>
                <w:b/>
                <w:bCs/>
                <w:color w:val="000000"/>
                <w:sz w:val="20"/>
                <w:szCs w:val="20"/>
              </w:rPr>
              <w:t>1</w:t>
            </w:r>
          </w:p>
        </w:tc>
        <w:tc>
          <w:tcPr>
            <w:tcW w:w="2840" w:type="dxa"/>
            <w:tcBorders>
              <w:top w:val="nil"/>
              <w:left w:val="nil"/>
              <w:bottom w:val="single" w:sz="4" w:space="0" w:color="auto"/>
              <w:right w:val="single" w:sz="4" w:space="0" w:color="auto"/>
            </w:tcBorders>
            <w:shd w:val="clear" w:color="FFE699" w:fill="FCD5B4"/>
            <w:noWrap/>
            <w:vAlign w:val="center"/>
            <w:hideMark/>
          </w:tcPr>
          <w:p w:rsidR="002950E6" w:rsidRDefault="002950E6">
            <w:pPr>
              <w:rPr>
                <w:rFonts w:ascii="Calibri" w:hAnsi="Calibri" w:cs="Calibri"/>
                <w:b/>
                <w:bCs/>
                <w:color w:val="000000"/>
                <w:sz w:val="20"/>
                <w:szCs w:val="20"/>
              </w:rPr>
            </w:pPr>
            <w:r>
              <w:rPr>
                <w:rFonts w:ascii="Calibri" w:hAnsi="Calibri" w:cs="Calibri"/>
                <w:b/>
                <w:bCs/>
                <w:color w:val="000000"/>
                <w:sz w:val="20"/>
                <w:szCs w:val="20"/>
              </w:rPr>
              <w:t>Celkové příjmy</w:t>
            </w:r>
          </w:p>
        </w:tc>
        <w:tc>
          <w:tcPr>
            <w:tcW w:w="1560" w:type="dxa"/>
            <w:tcBorders>
              <w:top w:val="nil"/>
              <w:left w:val="nil"/>
              <w:bottom w:val="single" w:sz="4" w:space="0" w:color="auto"/>
              <w:right w:val="single" w:sz="4" w:space="0" w:color="auto"/>
            </w:tcBorders>
            <w:shd w:val="clear" w:color="FFE699" w:fill="FCD5B4"/>
            <w:noWrap/>
            <w:vAlign w:val="center"/>
            <w:hideMark/>
          </w:tcPr>
          <w:p w:rsidR="002950E6" w:rsidRDefault="002950E6">
            <w:pPr>
              <w:jc w:val="right"/>
              <w:rPr>
                <w:rFonts w:ascii="Calibri" w:hAnsi="Calibri" w:cs="Calibri"/>
                <w:b/>
                <w:bCs/>
                <w:color w:val="000000"/>
                <w:sz w:val="20"/>
                <w:szCs w:val="20"/>
              </w:rPr>
            </w:pPr>
            <w:r>
              <w:rPr>
                <w:rFonts w:ascii="Calibri" w:hAnsi="Calibri" w:cs="Calibri"/>
                <w:b/>
                <w:bCs/>
                <w:color w:val="000000"/>
                <w:sz w:val="20"/>
                <w:szCs w:val="20"/>
              </w:rPr>
              <w:t>1 000 899 682,00</w:t>
            </w:r>
          </w:p>
        </w:tc>
        <w:tc>
          <w:tcPr>
            <w:tcW w:w="1560" w:type="dxa"/>
            <w:tcBorders>
              <w:top w:val="nil"/>
              <w:left w:val="nil"/>
              <w:bottom w:val="single" w:sz="4" w:space="0" w:color="auto"/>
              <w:right w:val="single" w:sz="4" w:space="0" w:color="auto"/>
            </w:tcBorders>
            <w:shd w:val="clear" w:color="FFE699" w:fill="FCD5B4"/>
            <w:noWrap/>
            <w:vAlign w:val="center"/>
            <w:hideMark/>
          </w:tcPr>
          <w:p w:rsidR="002950E6" w:rsidRDefault="002950E6">
            <w:pPr>
              <w:jc w:val="right"/>
              <w:rPr>
                <w:rFonts w:ascii="Calibri" w:hAnsi="Calibri" w:cs="Calibri"/>
                <w:b/>
                <w:bCs/>
                <w:color w:val="000000"/>
                <w:sz w:val="20"/>
                <w:szCs w:val="20"/>
              </w:rPr>
            </w:pPr>
            <w:r>
              <w:rPr>
                <w:rFonts w:ascii="Calibri" w:hAnsi="Calibri" w:cs="Calibri"/>
                <w:b/>
                <w:bCs/>
                <w:color w:val="000000"/>
                <w:sz w:val="20"/>
                <w:szCs w:val="20"/>
              </w:rPr>
              <w:t>1 047 299 050,93</w:t>
            </w:r>
          </w:p>
        </w:tc>
        <w:tc>
          <w:tcPr>
            <w:tcW w:w="1560" w:type="dxa"/>
            <w:tcBorders>
              <w:top w:val="nil"/>
              <w:left w:val="nil"/>
              <w:bottom w:val="single" w:sz="4" w:space="0" w:color="auto"/>
              <w:right w:val="single" w:sz="4" w:space="0" w:color="auto"/>
            </w:tcBorders>
            <w:shd w:val="clear" w:color="FFE699" w:fill="FCD5B4"/>
            <w:noWrap/>
            <w:vAlign w:val="center"/>
            <w:hideMark/>
          </w:tcPr>
          <w:p w:rsidR="002950E6" w:rsidRDefault="002950E6">
            <w:pPr>
              <w:jc w:val="right"/>
              <w:rPr>
                <w:rFonts w:ascii="Calibri" w:hAnsi="Calibri" w:cs="Calibri"/>
                <w:b/>
                <w:bCs/>
                <w:color w:val="000000"/>
                <w:sz w:val="20"/>
                <w:szCs w:val="20"/>
              </w:rPr>
            </w:pPr>
            <w:r>
              <w:rPr>
                <w:rFonts w:ascii="Calibri" w:hAnsi="Calibri" w:cs="Calibri"/>
                <w:b/>
                <w:bCs/>
                <w:color w:val="000000"/>
                <w:sz w:val="20"/>
                <w:szCs w:val="20"/>
              </w:rPr>
              <w:t>1 268 670 353,65</w:t>
            </w:r>
          </w:p>
        </w:tc>
        <w:tc>
          <w:tcPr>
            <w:tcW w:w="880" w:type="dxa"/>
            <w:tcBorders>
              <w:top w:val="nil"/>
              <w:left w:val="nil"/>
              <w:bottom w:val="single" w:sz="4" w:space="0" w:color="auto"/>
              <w:right w:val="single" w:sz="4" w:space="0" w:color="auto"/>
            </w:tcBorders>
            <w:shd w:val="clear" w:color="FFE699" w:fill="FCD5B4"/>
            <w:noWrap/>
            <w:vAlign w:val="center"/>
            <w:hideMark/>
          </w:tcPr>
          <w:p w:rsidR="002950E6" w:rsidRDefault="002950E6">
            <w:pPr>
              <w:jc w:val="right"/>
              <w:rPr>
                <w:rFonts w:ascii="Calibri" w:hAnsi="Calibri" w:cs="Calibri"/>
                <w:b/>
                <w:bCs/>
                <w:color w:val="000000"/>
                <w:sz w:val="20"/>
                <w:szCs w:val="20"/>
              </w:rPr>
            </w:pPr>
            <w:r>
              <w:rPr>
                <w:rFonts w:ascii="Calibri" w:hAnsi="Calibri" w:cs="Calibri"/>
                <w:b/>
                <w:bCs/>
                <w:color w:val="000000"/>
                <w:sz w:val="20"/>
                <w:szCs w:val="20"/>
              </w:rPr>
              <w:t>121,14</w:t>
            </w:r>
          </w:p>
        </w:tc>
      </w:tr>
      <w:tr w:rsidR="002950E6" w:rsidTr="002950E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950E6" w:rsidRDefault="002950E6">
            <w:pPr>
              <w:jc w:val="center"/>
              <w:rPr>
                <w:rFonts w:ascii="Calibri" w:hAnsi="Calibri" w:cs="Calibri"/>
                <w:color w:val="000000"/>
                <w:sz w:val="20"/>
                <w:szCs w:val="20"/>
              </w:rPr>
            </w:pPr>
            <w:r>
              <w:rPr>
                <w:rFonts w:ascii="Calibri" w:hAnsi="Calibri" w:cs="Calibri"/>
                <w:color w:val="000000"/>
                <w:sz w:val="20"/>
                <w:szCs w:val="20"/>
              </w:rPr>
              <w:t>2</w:t>
            </w:r>
          </w:p>
        </w:tc>
        <w:tc>
          <w:tcPr>
            <w:tcW w:w="2840" w:type="dxa"/>
            <w:tcBorders>
              <w:top w:val="nil"/>
              <w:left w:val="nil"/>
              <w:bottom w:val="single" w:sz="4" w:space="0" w:color="auto"/>
              <w:right w:val="single" w:sz="4" w:space="0" w:color="auto"/>
            </w:tcBorders>
            <w:shd w:val="clear" w:color="auto" w:fill="auto"/>
            <w:noWrap/>
            <w:vAlign w:val="center"/>
            <w:hideMark/>
          </w:tcPr>
          <w:p w:rsidR="002950E6" w:rsidRDefault="002950E6">
            <w:pPr>
              <w:rPr>
                <w:rFonts w:ascii="Calibri" w:hAnsi="Calibri" w:cs="Calibri"/>
                <w:color w:val="000000"/>
                <w:sz w:val="20"/>
                <w:szCs w:val="20"/>
              </w:rPr>
            </w:pPr>
            <w:r>
              <w:rPr>
                <w:rFonts w:ascii="Calibri" w:hAnsi="Calibri" w:cs="Calibri"/>
                <w:color w:val="000000"/>
                <w:sz w:val="20"/>
                <w:szCs w:val="20"/>
              </w:rPr>
              <w:t>třída 1 - daňové příjmy</w:t>
            </w:r>
          </w:p>
        </w:tc>
        <w:tc>
          <w:tcPr>
            <w:tcW w:w="156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color w:val="000000"/>
                <w:sz w:val="20"/>
                <w:szCs w:val="20"/>
              </w:rPr>
            </w:pPr>
            <w:r>
              <w:rPr>
                <w:rFonts w:ascii="Calibri" w:hAnsi="Calibri" w:cs="Calibri"/>
                <w:color w:val="000000"/>
                <w:sz w:val="20"/>
                <w:szCs w:val="20"/>
              </w:rPr>
              <w:t>777 929 604,28</w:t>
            </w:r>
          </w:p>
        </w:tc>
        <w:tc>
          <w:tcPr>
            <w:tcW w:w="156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color w:val="000000"/>
                <w:sz w:val="20"/>
                <w:szCs w:val="20"/>
              </w:rPr>
            </w:pPr>
            <w:r>
              <w:rPr>
                <w:rFonts w:ascii="Calibri" w:hAnsi="Calibri" w:cs="Calibri"/>
                <w:color w:val="000000"/>
                <w:sz w:val="20"/>
                <w:szCs w:val="20"/>
              </w:rPr>
              <w:t>774 962 313,94</w:t>
            </w:r>
          </w:p>
        </w:tc>
        <w:tc>
          <w:tcPr>
            <w:tcW w:w="156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color w:val="000000"/>
                <w:sz w:val="20"/>
                <w:szCs w:val="20"/>
              </w:rPr>
            </w:pPr>
            <w:r>
              <w:rPr>
                <w:rFonts w:ascii="Calibri" w:hAnsi="Calibri" w:cs="Calibri"/>
                <w:color w:val="000000"/>
                <w:sz w:val="20"/>
                <w:szCs w:val="20"/>
              </w:rPr>
              <w:t>982 699 253,25</w:t>
            </w:r>
          </w:p>
        </w:tc>
        <w:tc>
          <w:tcPr>
            <w:tcW w:w="88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color w:val="000000"/>
                <w:sz w:val="20"/>
                <w:szCs w:val="20"/>
              </w:rPr>
            </w:pPr>
            <w:r>
              <w:rPr>
                <w:rFonts w:ascii="Calibri" w:hAnsi="Calibri" w:cs="Calibri"/>
                <w:color w:val="000000"/>
                <w:sz w:val="20"/>
                <w:szCs w:val="20"/>
              </w:rPr>
              <w:t>126,81</w:t>
            </w:r>
          </w:p>
        </w:tc>
      </w:tr>
      <w:tr w:rsidR="002950E6" w:rsidTr="002950E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950E6" w:rsidRDefault="002950E6">
            <w:pPr>
              <w:jc w:val="center"/>
              <w:rPr>
                <w:rFonts w:ascii="Calibri" w:hAnsi="Calibri" w:cs="Calibri"/>
                <w:color w:val="000000"/>
                <w:sz w:val="20"/>
                <w:szCs w:val="20"/>
              </w:rPr>
            </w:pPr>
            <w:r>
              <w:rPr>
                <w:rFonts w:ascii="Calibri" w:hAnsi="Calibri" w:cs="Calibri"/>
                <w:color w:val="000000"/>
                <w:sz w:val="20"/>
                <w:szCs w:val="20"/>
              </w:rPr>
              <w:t>3</w:t>
            </w:r>
          </w:p>
        </w:tc>
        <w:tc>
          <w:tcPr>
            <w:tcW w:w="2840" w:type="dxa"/>
            <w:tcBorders>
              <w:top w:val="nil"/>
              <w:left w:val="nil"/>
              <w:bottom w:val="single" w:sz="4" w:space="0" w:color="auto"/>
              <w:right w:val="single" w:sz="4" w:space="0" w:color="auto"/>
            </w:tcBorders>
            <w:shd w:val="clear" w:color="auto" w:fill="auto"/>
            <w:noWrap/>
            <w:vAlign w:val="center"/>
            <w:hideMark/>
          </w:tcPr>
          <w:p w:rsidR="002950E6" w:rsidRDefault="002950E6">
            <w:pPr>
              <w:rPr>
                <w:rFonts w:ascii="Calibri" w:hAnsi="Calibri" w:cs="Calibri"/>
                <w:color w:val="000000"/>
                <w:sz w:val="20"/>
                <w:szCs w:val="20"/>
              </w:rPr>
            </w:pPr>
            <w:r>
              <w:rPr>
                <w:rFonts w:ascii="Calibri" w:hAnsi="Calibri" w:cs="Calibri"/>
                <w:color w:val="000000"/>
                <w:sz w:val="20"/>
                <w:szCs w:val="20"/>
              </w:rPr>
              <w:t>třída 2 - nedaňové příjmy</w:t>
            </w:r>
          </w:p>
        </w:tc>
        <w:tc>
          <w:tcPr>
            <w:tcW w:w="156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color w:val="000000"/>
                <w:sz w:val="20"/>
                <w:szCs w:val="20"/>
              </w:rPr>
            </w:pPr>
            <w:r>
              <w:rPr>
                <w:rFonts w:ascii="Calibri" w:hAnsi="Calibri" w:cs="Calibri"/>
                <w:color w:val="000000"/>
                <w:sz w:val="20"/>
                <w:szCs w:val="20"/>
              </w:rPr>
              <w:t>137 916 079,00</w:t>
            </w:r>
          </w:p>
        </w:tc>
        <w:tc>
          <w:tcPr>
            <w:tcW w:w="156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color w:val="000000"/>
                <w:sz w:val="20"/>
                <w:szCs w:val="20"/>
              </w:rPr>
            </w:pPr>
            <w:r>
              <w:rPr>
                <w:rFonts w:ascii="Calibri" w:hAnsi="Calibri" w:cs="Calibri"/>
                <w:color w:val="000000"/>
                <w:sz w:val="20"/>
                <w:szCs w:val="20"/>
              </w:rPr>
              <w:t>144 118 074,02</w:t>
            </w:r>
          </w:p>
        </w:tc>
        <w:tc>
          <w:tcPr>
            <w:tcW w:w="156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color w:val="000000"/>
                <w:sz w:val="20"/>
                <w:szCs w:val="20"/>
              </w:rPr>
            </w:pPr>
            <w:r>
              <w:rPr>
                <w:rFonts w:ascii="Calibri" w:hAnsi="Calibri" w:cs="Calibri"/>
                <w:color w:val="000000"/>
                <w:sz w:val="20"/>
                <w:szCs w:val="20"/>
              </w:rPr>
              <w:t>169 765 898,22</w:t>
            </w:r>
          </w:p>
        </w:tc>
        <w:tc>
          <w:tcPr>
            <w:tcW w:w="88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color w:val="000000"/>
                <w:sz w:val="20"/>
                <w:szCs w:val="20"/>
              </w:rPr>
            </w:pPr>
            <w:r>
              <w:rPr>
                <w:rFonts w:ascii="Calibri" w:hAnsi="Calibri" w:cs="Calibri"/>
                <w:color w:val="000000"/>
                <w:sz w:val="20"/>
                <w:szCs w:val="20"/>
              </w:rPr>
              <w:t>117,80</w:t>
            </w:r>
          </w:p>
        </w:tc>
      </w:tr>
      <w:tr w:rsidR="002950E6" w:rsidTr="002950E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950E6" w:rsidRDefault="002950E6">
            <w:pPr>
              <w:jc w:val="center"/>
              <w:rPr>
                <w:rFonts w:ascii="Calibri" w:hAnsi="Calibri" w:cs="Calibri"/>
                <w:color w:val="000000"/>
                <w:sz w:val="20"/>
                <w:szCs w:val="20"/>
              </w:rPr>
            </w:pPr>
            <w:r>
              <w:rPr>
                <w:rFonts w:ascii="Calibri" w:hAnsi="Calibri" w:cs="Calibri"/>
                <w:color w:val="000000"/>
                <w:sz w:val="20"/>
                <w:szCs w:val="20"/>
              </w:rPr>
              <w:t>4</w:t>
            </w:r>
          </w:p>
        </w:tc>
        <w:tc>
          <w:tcPr>
            <w:tcW w:w="2840" w:type="dxa"/>
            <w:tcBorders>
              <w:top w:val="nil"/>
              <w:left w:val="nil"/>
              <w:bottom w:val="single" w:sz="4" w:space="0" w:color="auto"/>
              <w:right w:val="single" w:sz="4" w:space="0" w:color="auto"/>
            </w:tcBorders>
            <w:shd w:val="clear" w:color="auto" w:fill="auto"/>
            <w:noWrap/>
            <w:vAlign w:val="center"/>
            <w:hideMark/>
          </w:tcPr>
          <w:p w:rsidR="002950E6" w:rsidRDefault="002950E6">
            <w:pPr>
              <w:rPr>
                <w:rFonts w:ascii="Calibri" w:hAnsi="Calibri" w:cs="Calibri"/>
                <w:color w:val="000000"/>
                <w:sz w:val="20"/>
                <w:szCs w:val="20"/>
              </w:rPr>
            </w:pPr>
            <w:r>
              <w:rPr>
                <w:rFonts w:ascii="Calibri" w:hAnsi="Calibri" w:cs="Calibri"/>
                <w:color w:val="000000"/>
                <w:sz w:val="20"/>
                <w:szCs w:val="20"/>
              </w:rPr>
              <w:t>třída 3 - kapitálové příjmy</w:t>
            </w:r>
          </w:p>
        </w:tc>
        <w:tc>
          <w:tcPr>
            <w:tcW w:w="156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color w:val="000000"/>
                <w:sz w:val="20"/>
                <w:szCs w:val="20"/>
              </w:rPr>
            </w:pPr>
            <w:r>
              <w:rPr>
                <w:rFonts w:ascii="Calibri" w:hAnsi="Calibri" w:cs="Calibri"/>
                <w:color w:val="000000"/>
                <w:sz w:val="20"/>
                <w:szCs w:val="20"/>
              </w:rPr>
              <w:t>1 003 000,00</w:t>
            </w:r>
          </w:p>
        </w:tc>
        <w:tc>
          <w:tcPr>
            <w:tcW w:w="156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color w:val="000000"/>
                <w:sz w:val="20"/>
                <w:szCs w:val="20"/>
              </w:rPr>
            </w:pPr>
            <w:r>
              <w:rPr>
                <w:rFonts w:ascii="Calibri" w:hAnsi="Calibri" w:cs="Calibri"/>
                <w:color w:val="000000"/>
                <w:sz w:val="20"/>
                <w:szCs w:val="20"/>
              </w:rPr>
              <w:t>4 740 148,00</w:t>
            </w:r>
          </w:p>
        </w:tc>
        <w:tc>
          <w:tcPr>
            <w:tcW w:w="156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color w:val="000000"/>
                <w:sz w:val="20"/>
                <w:szCs w:val="20"/>
              </w:rPr>
            </w:pPr>
            <w:r>
              <w:rPr>
                <w:rFonts w:ascii="Calibri" w:hAnsi="Calibri" w:cs="Calibri"/>
                <w:color w:val="000000"/>
                <w:sz w:val="20"/>
                <w:szCs w:val="20"/>
              </w:rPr>
              <w:t>5 103 947,93</w:t>
            </w:r>
          </w:p>
        </w:tc>
        <w:tc>
          <w:tcPr>
            <w:tcW w:w="88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color w:val="000000"/>
                <w:sz w:val="20"/>
                <w:szCs w:val="20"/>
              </w:rPr>
            </w:pPr>
            <w:r>
              <w:rPr>
                <w:rFonts w:ascii="Calibri" w:hAnsi="Calibri" w:cs="Calibri"/>
                <w:color w:val="000000"/>
                <w:sz w:val="20"/>
                <w:szCs w:val="20"/>
              </w:rPr>
              <w:t>107,67</w:t>
            </w:r>
          </w:p>
        </w:tc>
      </w:tr>
      <w:tr w:rsidR="002950E6" w:rsidTr="002950E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950E6" w:rsidRDefault="002950E6">
            <w:pPr>
              <w:jc w:val="center"/>
              <w:rPr>
                <w:rFonts w:ascii="Calibri" w:hAnsi="Calibri" w:cs="Calibri"/>
                <w:color w:val="000000"/>
                <w:sz w:val="20"/>
                <w:szCs w:val="20"/>
              </w:rPr>
            </w:pPr>
            <w:r>
              <w:rPr>
                <w:rFonts w:ascii="Calibri" w:hAnsi="Calibri" w:cs="Calibri"/>
                <w:color w:val="000000"/>
                <w:sz w:val="20"/>
                <w:szCs w:val="20"/>
              </w:rPr>
              <w:t>5</w:t>
            </w:r>
          </w:p>
        </w:tc>
        <w:tc>
          <w:tcPr>
            <w:tcW w:w="2840" w:type="dxa"/>
            <w:tcBorders>
              <w:top w:val="nil"/>
              <w:left w:val="nil"/>
              <w:bottom w:val="single" w:sz="4" w:space="0" w:color="auto"/>
              <w:right w:val="single" w:sz="4" w:space="0" w:color="auto"/>
            </w:tcBorders>
            <w:shd w:val="clear" w:color="auto" w:fill="auto"/>
            <w:noWrap/>
            <w:vAlign w:val="center"/>
            <w:hideMark/>
          </w:tcPr>
          <w:p w:rsidR="002950E6" w:rsidRDefault="002950E6">
            <w:pPr>
              <w:rPr>
                <w:rFonts w:ascii="Calibri" w:hAnsi="Calibri" w:cs="Calibri"/>
                <w:color w:val="000000"/>
                <w:sz w:val="20"/>
                <w:szCs w:val="20"/>
              </w:rPr>
            </w:pPr>
            <w:r>
              <w:rPr>
                <w:rFonts w:ascii="Calibri" w:hAnsi="Calibri" w:cs="Calibri"/>
                <w:color w:val="000000"/>
                <w:sz w:val="20"/>
                <w:szCs w:val="20"/>
              </w:rPr>
              <w:t>třída 4 - přijaté dotace</w:t>
            </w:r>
          </w:p>
        </w:tc>
        <w:tc>
          <w:tcPr>
            <w:tcW w:w="156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color w:val="000000"/>
                <w:sz w:val="20"/>
                <w:szCs w:val="20"/>
              </w:rPr>
            </w:pPr>
            <w:r>
              <w:rPr>
                <w:rFonts w:ascii="Calibri" w:hAnsi="Calibri" w:cs="Calibri"/>
                <w:color w:val="000000"/>
                <w:sz w:val="20"/>
                <w:szCs w:val="20"/>
              </w:rPr>
              <w:t>84 050 998,72</w:t>
            </w:r>
          </w:p>
        </w:tc>
        <w:tc>
          <w:tcPr>
            <w:tcW w:w="156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color w:val="000000"/>
                <w:sz w:val="20"/>
                <w:szCs w:val="20"/>
              </w:rPr>
            </w:pPr>
            <w:r>
              <w:rPr>
                <w:rFonts w:ascii="Calibri" w:hAnsi="Calibri" w:cs="Calibri"/>
                <w:color w:val="000000"/>
                <w:sz w:val="20"/>
                <w:szCs w:val="20"/>
              </w:rPr>
              <w:t>123 478 514,97</w:t>
            </w:r>
          </w:p>
        </w:tc>
        <w:tc>
          <w:tcPr>
            <w:tcW w:w="156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color w:val="000000"/>
                <w:sz w:val="20"/>
                <w:szCs w:val="20"/>
              </w:rPr>
            </w:pPr>
            <w:r>
              <w:rPr>
                <w:rFonts w:ascii="Calibri" w:hAnsi="Calibri" w:cs="Calibri"/>
                <w:color w:val="000000"/>
                <w:sz w:val="20"/>
                <w:szCs w:val="20"/>
              </w:rPr>
              <w:t>111 101 254,25</w:t>
            </w:r>
          </w:p>
        </w:tc>
        <w:tc>
          <w:tcPr>
            <w:tcW w:w="88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color w:val="000000"/>
                <w:sz w:val="20"/>
                <w:szCs w:val="20"/>
              </w:rPr>
            </w:pPr>
            <w:r>
              <w:rPr>
                <w:rFonts w:ascii="Calibri" w:hAnsi="Calibri" w:cs="Calibri"/>
                <w:color w:val="000000"/>
                <w:sz w:val="20"/>
                <w:szCs w:val="20"/>
              </w:rPr>
              <w:t>89,98</w:t>
            </w:r>
          </w:p>
        </w:tc>
      </w:tr>
      <w:tr w:rsidR="002950E6" w:rsidTr="002950E6">
        <w:trPr>
          <w:trHeight w:val="300"/>
        </w:trPr>
        <w:tc>
          <w:tcPr>
            <w:tcW w:w="500" w:type="dxa"/>
            <w:tcBorders>
              <w:top w:val="nil"/>
              <w:left w:val="single" w:sz="4" w:space="0" w:color="auto"/>
              <w:bottom w:val="single" w:sz="4" w:space="0" w:color="auto"/>
              <w:right w:val="single" w:sz="4" w:space="0" w:color="auto"/>
            </w:tcBorders>
            <w:shd w:val="clear" w:color="FFE699" w:fill="FCD5B4"/>
            <w:noWrap/>
            <w:vAlign w:val="center"/>
            <w:hideMark/>
          </w:tcPr>
          <w:p w:rsidR="002950E6" w:rsidRDefault="002950E6">
            <w:pPr>
              <w:jc w:val="center"/>
              <w:rPr>
                <w:rFonts w:ascii="Calibri" w:hAnsi="Calibri" w:cs="Calibri"/>
                <w:b/>
                <w:bCs/>
                <w:color w:val="000000"/>
                <w:sz w:val="20"/>
                <w:szCs w:val="20"/>
              </w:rPr>
            </w:pPr>
            <w:r>
              <w:rPr>
                <w:rFonts w:ascii="Calibri" w:hAnsi="Calibri" w:cs="Calibri"/>
                <w:b/>
                <w:bCs/>
                <w:color w:val="000000"/>
                <w:sz w:val="20"/>
                <w:szCs w:val="20"/>
              </w:rPr>
              <w:t>6</w:t>
            </w:r>
          </w:p>
        </w:tc>
        <w:tc>
          <w:tcPr>
            <w:tcW w:w="2840" w:type="dxa"/>
            <w:tcBorders>
              <w:top w:val="nil"/>
              <w:left w:val="nil"/>
              <w:bottom w:val="single" w:sz="4" w:space="0" w:color="auto"/>
              <w:right w:val="single" w:sz="4" w:space="0" w:color="auto"/>
            </w:tcBorders>
            <w:shd w:val="clear" w:color="FFE699" w:fill="FCD5B4"/>
            <w:noWrap/>
            <w:vAlign w:val="center"/>
            <w:hideMark/>
          </w:tcPr>
          <w:p w:rsidR="002950E6" w:rsidRDefault="002950E6">
            <w:pPr>
              <w:rPr>
                <w:rFonts w:ascii="Calibri" w:hAnsi="Calibri" w:cs="Calibri"/>
                <w:b/>
                <w:bCs/>
                <w:color w:val="000000"/>
                <w:sz w:val="20"/>
                <w:szCs w:val="20"/>
              </w:rPr>
            </w:pPr>
            <w:r>
              <w:rPr>
                <w:rFonts w:ascii="Calibri" w:hAnsi="Calibri" w:cs="Calibri"/>
                <w:b/>
                <w:bCs/>
                <w:color w:val="000000"/>
                <w:sz w:val="20"/>
                <w:szCs w:val="20"/>
              </w:rPr>
              <w:t>Celkové výdaje</w:t>
            </w:r>
          </w:p>
        </w:tc>
        <w:tc>
          <w:tcPr>
            <w:tcW w:w="1560" w:type="dxa"/>
            <w:tcBorders>
              <w:top w:val="nil"/>
              <w:left w:val="nil"/>
              <w:bottom w:val="single" w:sz="4" w:space="0" w:color="auto"/>
              <w:right w:val="single" w:sz="4" w:space="0" w:color="auto"/>
            </w:tcBorders>
            <w:shd w:val="clear" w:color="FFE699" w:fill="FCD5B4"/>
            <w:noWrap/>
            <w:vAlign w:val="center"/>
            <w:hideMark/>
          </w:tcPr>
          <w:p w:rsidR="002950E6" w:rsidRDefault="002950E6">
            <w:pPr>
              <w:jc w:val="right"/>
              <w:rPr>
                <w:rFonts w:ascii="Calibri" w:hAnsi="Calibri" w:cs="Calibri"/>
                <w:b/>
                <w:bCs/>
                <w:color w:val="000000"/>
                <w:sz w:val="20"/>
                <w:szCs w:val="20"/>
              </w:rPr>
            </w:pPr>
            <w:r>
              <w:rPr>
                <w:rFonts w:ascii="Calibri" w:hAnsi="Calibri" w:cs="Calibri"/>
                <w:b/>
                <w:bCs/>
                <w:color w:val="000000"/>
                <w:sz w:val="20"/>
                <w:szCs w:val="20"/>
              </w:rPr>
              <w:t>1 154 531 030,00</w:t>
            </w:r>
          </w:p>
        </w:tc>
        <w:tc>
          <w:tcPr>
            <w:tcW w:w="1560" w:type="dxa"/>
            <w:tcBorders>
              <w:top w:val="nil"/>
              <w:left w:val="nil"/>
              <w:bottom w:val="single" w:sz="4" w:space="0" w:color="auto"/>
              <w:right w:val="single" w:sz="4" w:space="0" w:color="auto"/>
            </w:tcBorders>
            <w:shd w:val="clear" w:color="FFE699" w:fill="FCD5B4"/>
            <w:noWrap/>
            <w:vAlign w:val="center"/>
            <w:hideMark/>
          </w:tcPr>
          <w:p w:rsidR="002950E6" w:rsidRDefault="002950E6">
            <w:pPr>
              <w:jc w:val="right"/>
              <w:rPr>
                <w:rFonts w:ascii="Calibri" w:hAnsi="Calibri" w:cs="Calibri"/>
                <w:b/>
                <w:bCs/>
                <w:color w:val="000000"/>
                <w:sz w:val="20"/>
                <w:szCs w:val="20"/>
              </w:rPr>
            </w:pPr>
            <w:r>
              <w:rPr>
                <w:rFonts w:ascii="Calibri" w:hAnsi="Calibri" w:cs="Calibri"/>
                <w:b/>
                <w:bCs/>
                <w:color w:val="000000"/>
                <w:sz w:val="20"/>
                <w:szCs w:val="20"/>
              </w:rPr>
              <w:t>1 255 733 640,35</w:t>
            </w:r>
          </w:p>
        </w:tc>
        <w:tc>
          <w:tcPr>
            <w:tcW w:w="1560" w:type="dxa"/>
            <w:tcBorders>
              <w:top w:val="nil"/>
              <w:left w:val="nil"/>
              <w:bottom w:val="single" w:sz="4" w:space="0" w:color="auto"/>
              <w:right w:val="single" w:sz="4" w:space="0" w:color="auto"/>
            </w:tcBorders>
            <w:shd w:val="clear" w:color="FFE699" w:fill="FCD5B4"/>
            <w:noWrap/>
            <w:vAlign w:val="center"/>
            <w:hideMark/>
          </w:tcPr>
          <w:p w:rsidR="002950E6" w:rsidRDefault="002950E6">
            <w:pPr>
              <w:jc w:val="right"/>
              <w:rPr>
                <w:rFonts w:ascii="Calibri" w:hAnsi="Calibri" w:cs="Calibri"/>
                <w:b/>
                <w:bCs/>
                <w:color w:val="000000"/>
                <w:sz w:val="20"/>
                <w:szCs w:val="20"/>
              </w:rPr>
            </w:pPr>
            <w:r>
              <w:rPr>
                <w:rFonts w:ascii="Calibri" w:hAnsi="Calibri" w:cs="Calibri"/>
                <w:b/>
                <w:bCs/>
                <w:color w:val="000000"/>
                <w:sz w:val="20"/>
                <w:szCs w:val="20"/>
              </w:rPr>
              <w:t>1 154 538 269,85</w:t>
            </w:r>
          </w:p>
        </w:tc>
        <w:tc>
          <w:tcPr>
            <w:tcW w:w="880" w:type="dxa"/>
            <w:tcBorders>
              <w:top w:val="nil"/>
              <w:left w:val="nil"/>
              <w:bottom w:val="single" w:sz="4" w:space="0" w:color="auto"/>
              <w:right w:val="single" w:sz="4" w:space="0" w:color="auto"/>
            </w:tcBorders>
            <w:shd w:val="clear" w:color="FFE699" w:fill="FCD5B4"/>
            <w:noWrap/>
            <w:vAlign w:val="center"/>
            <w:hideMark/>
          </w:tcPr>
          <w:p w:rsidR="002950E6" w:rsidRDefault="002950E6">
            <w:pPr>
              <w:jc w:val="right"/>
              <w:rPr>
                <w:rFonts w:ascii="Calibri" w:hAnsi="Calibri" w:cs="Calibri"/>
                <w:b/>
                <w:bCs/>
                <w:color w:val="000000"/>
                <w:sz w:val="20"/>
                <w:szCs w:val="20"/>
              </w:rPr>
            </w:pPr>
            <w:r>
              <w:rPr>
                <w:rFonts w:ascii="Calibri" w:hAnsi="Calibri" w:cs="Calibri"/>
                <w:b/>
                <w:bCs/>
                <w:color w:val="000000"/>
                <w:sz w:val="20"/>
                <w:szCs w:val="20"/>
              </w:rPr>
              <w:t>91,94</w:t>
            </w:r>
          </w:p>
        </w:tc>
      </w:tr>
      <w:tr w:rsidR="002950E6" w:rsidTr="002950E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950E6" w:rsidRDefault="002950E6">
            <w:pPr>
              <w:jc w:val="center"/>
              <w:rPr>
                <w:rFonts w:ascii="Calibri" w:hAnsi="Calibri" w:cs="Calibri"/>
                <w:color w:val="000000"/>
                <w:sz w:val="20"/>
                <w:szCs w:val="20"/>
              </w:rPr>
            </w:pPr>
            <w:r>
              <w:rPr>
                <w:rFonts w:ascii="Calibri" w:hAnsi="Calibri" w:cs="Calibri"/>
                <w:color w:val="000000"/>
                <w:sz w:val="20"/>
                <w:szCs w:val="20"/>
              </w:rPr>
              <w:t>7</w:t>
            </w:r>
          </w:p>
        </w:tc>
        <w:tc>
          <w:tcPr>
            <w:tcW w:w="2840" w:type="dxa"/>
            <w:tcBorders>
              <w:top w:val="nil"/>
              <w:left w:val="nil"/>
              <w:bottom w:val="single" w:sz="4" w:space="0" w:color="auto"/>
              <w:right w:val="single" w:sz="4" w:space="0" w:color="auto"/>
            </w:tcBorders>
            <w:shd w:val="clear" w:color="auto" w:fill="auto"/>
            <w:noWrap/>
            <w:vAlign w:val="center"/>
            <w:hideMark/>
          </w:tcPr>
          <w:p w:rsidR="002950E6" w:rsidRDefault="002950E6">
            <w:pPr>
              <w:rPr>
                <w:rFonts w:ascii="Calibri" w:hAnsi="Calibri" w:cs="Calibri"/>
                <w:color w:val="000000"/>
                <w:sz w:val="20"/>
                <w:szCs w:val="20"/>
              </w:rPr>
            </w:pPr>
            <w:r>
              <w:rPr>
                <w:rFonts w:ascii="Calibri" w:hAnsi="Calibri" w:cs="Calibri"/>
                <w:color w:val="000000"/>
                <w:sz w:val="20"/>
                <w:szCs w:val="20"/>
              </w:rPr>
              <w:t>třída 5 - běžné výdaje</w:t>
            </w:r>
          </w:p>
        </w:tc>
        <w:tc>
          <w:tcPr>
            <w:tcW w:w="156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color w:val="000000"/>
                <w:sz w:val="20"/>
                <w:szCs w:val="20"/>
              </w:rPr>
            </w:pPr>
            <w:r>
              <w:rPr>
                <w:rFonts w:ascii="Calibri" w:hAnsi="Calibri" w:cs="Calibri"/>
                <w:color w:val="000000"/>
                <w:sz w:val="20"/>
                <w:szCs w:val="20"/>
              </w:rPr>
              <w:t>865 485 480,00</w:t>
            </w:r>
          </w:p>
        </w:tc>
        <w:tc>
          <w:tcPr>
            <w:tcW w:w="156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color w:val="000000"/>
                <w:sz w:val="20"/>
                <w:szCs w:val="20"/>
              </w:rPr>
            </w:pPr>
            <w:r>
              <w:rPr>
                <w:rFonts w:ascii="Calibri" w:hAnsi="Calibri" w:cs="Calibri"/>
                <w:color w:val="000000"/>
                <w:sz w:val="20"/>
                <w:szCs w:val="20"/>
              </w:rPr>
              <w:t>973 226 593,05</w:t>
            </w:r>
          </w:p>
        </w:tc>
        <w:tc>
          <w:tcPr>
            <w:tcW w:w="156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color w:val="000000"/>
                <w:sz w:val="20"/>
                <w:szCs w:val="20"/>
              </w:rPr>
            </w:pPr>
            <w:r>
              <w:rPr>
                <w:rFonts w:ascii="Calibri" w:hAnsi="Calibri" w:cs="Calibri"/>
                <w:color w:val="000000"/>
                <w:sz w:val="20"/>
                <w:szCs w:val="20"/>
              </w:rPr>
              <w:t>916 738 437,70</w:t>
            </w:r>
          </w:p>
        </w:tc>
        <w:tc>
          <w:tcPr>
            <w:tcW w:w="88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color w:val="000000"/>
                <w:sz w:val="20"/>
                <w:szCs w:val="20"/>
              </w:rPr>
            </w:pPr>
            <w:r>
              <w:rPr>
                <w:rFonts w:ascii="Calibri" w:hAnsi="Calibri" w:cs="Calibri"/>
                <w:color w:val="000000"/>
                <w:sz w:val="20"/>
                <w:szCs w:val="20"/>
              </w:rPr>
              <w:t>94,20</w:t>
            </w:r>
          </w:p>
        </w:tc>
      </w:tr>
      <w:tr w:rsidR="002950E6" w:rsidTr="002950E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950E6" w:rsidRDefault="002950E6">
            <w:pPr>
              <w:jc w:val="center"/>
              <w:rPr>
                <w:rFonts w:ascii="Calibri" w:hAnsi="Calibri" w:cs="Calibri"/>
                <w:color w:val="000000"/>
                <w:sz w:val="20"/>
                <w:szCs w:val="20"/>
              </w:rPr>
            </w:pPr>
            <w:r>
              <w:rPr>
                <w:rFonts w:ascii="Calibri" w:hAnsi="Calibri" w:cs="Calibri"/>
                <w:color w:val="000000"/>
                <w:sz w:val="20"/>
                <w:szCs w:val="20"/>
              </w:rPr>
              <w:t>8</w:t>
            </w:r>
          </w:p>
        </w:tc>
        <w:tc>
          <w:tcPr>
            <w:tcW w:w="2840" w:type="dxa"/>
            <w:tcBorders>
              <w:top w:val="nil"/>
              <w:left w:val="nil"/>
              <w:bottom w:val="single" w:sz="4" w:space="0" w:color="auto"/>
              <w:right w:val="single" w:sz="4" w:space="0" w:color="auto"/>
            </w:tcBorders>
            <w:shd w:val="clear" w:color="auto" w:fill="auto"/>
            <w:noWrap/>
            <w:vAlign w:val="center"/>
            <w:hideMark/>
          </w:tcPr>
          <w:p w:rsidR="002950E6" w:rsidRDefault="002950E6">
            <w:pPr>
              <w:rPr>
                <w:rFonts w:ascii="Calibri" w:hAnsi="Calibri" w:cs="Calibri"/>
                <w:color w:val="000000"/>
                <w:sz w:val="20"/>
                <w:szCs w:val="20"/>
              </w:rPr>
            </w:pPr>
            <w:r>
              <w:rPr>
                <w:rFonts w:ascii="Calibri" w:hAnsi="Calibri" w:cs="Calibri"/>
                <w:color w:val="000000"/>
                <w:sz w:val="20"/>
                <w:szCs w:val="20"/>
              </w:rPr>
              <w:t>třída 6 - kapitálové výdaje</w:t>
            </w:r>
          </w:p>
        </w:tc>
        <w:tc>
          <w:tcPr>
            <w:tcW w:w="156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color w:val="000000"/>
                <w:sz w:val="20"/>
                <w:szCs w:val="20"/>
              </w:rPr>
            </w:pPr>
            <w:r>
              <w:rPr>
                <w:rFonts w:ascii="Calibri" w:hAnsi="Calibri" w:cs="Calibri"/>
                <w:color w:val="000000"/>
                <w:sz w:val="20"/>
                <w:szCs w:val="20"/>
              </w:rPr>
              <w:t>289 045 550,00</w:t>
            </w:r>
          </w:p>
        </w:tc>
        <w:tc>
          <w:tcPr>
            <w:tcW w:w="156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color w:val="000000"/>
                <w:sz w:val="20"/>
                <w:szCs w:val="20"/>
              </w:rPr>
            </w:pPr>
            <w:r>
              <w:rPr>
                <w:rFonts w:ascii="Calibri" w:hAnsi="Calibri" w:cs="Calibri"/>
                <w:color w:val="000000"/>
                <w:sz w:val="20"/>
                <w:szCs w:val="20"/>
              </w:rPr>
              <w:t>282 507 047,30</w:t>
            </w:r>
          </w:p>
        </w:tc>
        <w:tc>
          <w:tcPr>
            <w:tcW w:w="156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color w:val="000000"/>
                <w:sz w:val="20"/>
                <w:szCs w:val="20"/>
              </w:rPr>
            </w:pPr>
            <w:r>
              <w:rPr>
                <w:rFonts w:ascii="Calibri" w:hAnsi="Calibri" w:cs="Calibri"/>
                <w:color w:val="000000"/>
                <w:sz w:val="20"/>
                <w:szCs w:val="20"/>
              </w:rPr>
              <w:t>237 799 832,15</w:t>
            </w:r>
          </w:p>
        </w:tc>
        <w:tc>
          <w:tcPr>
            <w:tcW w:w="88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color w:val="000000"/>
                <w:sz w:val="20"/>
                <w:szCs w:val="20"/>
              </w:rPr>
            </w:pPr>
            <w:r>
              <w:rPr>
                <w:rFonts w:ascii="Calibri" w:hAnsi="Calibri" w:cs="Calibri"/>
                <w:color w:val="000000"/>
                <w:sz w:val="20"/>
                <w:szCs w:val="20"/>
              </w:rPr>
              <w:t>84,17</w:t>
            </w:r>
          </w:p>
        </w:tc>
      </w:tr>
      <w:tr w:rsidR="002950E6" w:rsidTr="002950E6">
        <w:trPr>
          <w:trHeight w:val="300"/>
        </w:trPr>
        <w:tc>
          <w:tcPr>
            <w:tcW w:w="500" w:type="dxa"/>
            <w:tcBorders>
              <w:top w:val="nil"/>
              <w:left w:val="single" w:sz="4" w:space="0" w:color="auto"/>
              <w:bottom w:val="single" w:sz="4" w:space="0" w:color="auto"/>
              <w:right w:val="single" w:sz="4" w:space="0" w:color="auto"/>
            </w:tcBorders>
            <w:shd w:val="clear" w:color="F4B183" w:fill="FABF8F"/>
            <w:noWrap/>
            <w:vAlign w:val="center"/>
            <w:hideMark/>
          </w:tcPr>
          <w:p w:rsidR="002950E6" w:rsidRDefault="002950E6">
            <w:pPr>
              <w:jc w:val="center"/>
              <w:rPr>
                <w:rFonts w:ascii="Calibri" w:hAnsi="Calibri" w:cs="Calibri"/>
                <w:b/>
                <w:bCs/>
                <w:color w:val="000000"/>
                <w:sz w:val="20"/>
                <w:szCs w:val="20"/>
              </w:rPr>
            </w:pPr>
            <w:r>
              <w:rPr>
                <w:rFonts w:ascii="Calibri" w:hAnsi="Calibri" w:cs="Calibri"/>
                <w:b/>
                <w:bCs/>
                <w:color w:val="000000"/>
                <w:sz w:val="20"/>
                <w:szCs w:val="20"/>
              </w:rPr>
              <w:t>9</w:t>
            </w:r>
          </w:p>
        </w:tc>
        <w:tc>
          <w:tcPr>
            <w:tcW w:w="2840" w:type="dxa"/>
            <w:tcBorders>
              <w:top w:val="nil"/>
              <w:left w:val="nil"/>
              <w:bottom w:val="single" w:sz="4" w:space="0" w:color="auto"/>
              <w:right w:val="single" w:sz="4" w:space="0" w:color="auto"/>
            </w:tcBorders>
            <w:shd w:val="clear" w:color="F4B183" w:fill="FABF8F"/>
            <w:noWrap/>
            <w:vAlign w:val="center"/>
            <w:hideMark/>
          </w:tcPr>
          <w:p w:rsidR="002950E6" w:rsidRDefault="002950E6">
            <w:pPr>
              <w:rPr>
                <w:rFonts w:ascii="Calibri" w:hAnsi="Calibri" w:cs="Calibri"/>
                <w:b/>
                <w:bCs/>
                <w:color w:val="000000"/>
                <w:sz w:val="20"/>
                <w:szCs w:val="20"/>
              </w:rPr>
            </w:pPr>
            <w:r>
              <w:rPr>
                <w:rFonts w:ascii="Calibri" w:hAnsi="Calibri" w:cs="Calibri"/>
                <w:b/>
                <w:bCs/>
                <w:color w:val="000000"/>
                <w:sz w:val="20"/>
                <w:szCs w:val="20"/>
              </w:rPr>
              <w:t>Výsledek hospodaření</w:t>
            </w:r>
          </w:p>
        </w:tc>
        <w:tc>
          <w:tcPr>
            <w:tcW w:w="1560" w:type="dxa"/>
            <w:tcBorders>
              <w:top w:val="nil"/>
              <w:left w:val="nil"/>
              <w:bottom w:val="single" w:sz="4" w:space="0" w:color="auto"/>
              <w:right w:val="single" w:sz="4" w:space="0" w:color="auto"/>
            </w:tcBorders>
            <w:shd w:val="clear" w:color="F4B183" w:fill="FABF8F"/>
            <w:noWrap/>
            <w:vAlign w:val="center"/>
            <w:hideMark/>
          </w:tcPr>
          <w:p w:rsidR="002950E6" w:rsidRDefault="002950E6">
            <w:pPr>
              <w:jc w:val="right"/>
              <w:rPr>
                <w:rFonts w:ascii="Calibri" w:hAnsi="Calibri" w:cs="Calibri"/>
                <w:b/>
                <w:bCs/>
                <w:color w:val="000000"/>
                <w:sz w:val="20"/>
                <w:szCs w:val="20"/>
              </w:rPr>
            </w:pPr>
            <w:r>
              <w:rPr>
                <w:rFonts w:ascii="Calibri" w:hAnsi="Calibri" w:cs="Calibri"/>
                <w:b/>
                <w:bCs/>
                <w:color w:val="000000"/>
                <w:sz w:val="20"/>
                <w:szCs w:val="20"/>
              </w:rPr>
              <w:t>-153 631 348,00</w:t>
            </w:r>
          </w:p>
        </w:tc>
        <w:tc>
          <w:tcPr>
            <w:tcW w:w="1560" w:type="dxa"/>
            <w:tcBorders>
              <w:top w:val="nil"/>
              <w:left w:val="nil"/>
              <w:bottom w:val="single" w:sz="4" w:space="0" w:color="auto"/>
              <w:right w:val="single" w:sz="4" w:space="0" w:color="auto"/>
            </w:tcBorders>
            <w:shd w:val="clear" w:color="F4B183" w:fill="FABF8F"/>
            <w:noWrap/>
            <w:vAlign w:val="center"/>
            <w:hideMark/>
          </w:tcPr>
          <w:p w:rsidR="002950E6" w:rsidRDefault="002950E6">
            <w:pPr>
              <w:jc w:val="right"/>
              <w:rPr>
                <w:rFonts w:ascii="Calibri" w:hAnsi="Calibri" w:cs="Calibri"/>
                <w:b/>
                <w:bCs/>
                <w:color w:val="000000"/>
                <w:sz w:val="20"/>
                <w:szCs w:val="20"/>
              </w:rPr>
            </w:pPr>
            <w:r>
              <w:rPr>
                <w:rFonts w:ascii="Calibri" w:hAnsi="Calibri" w:cs="Calibri"/>
                <w:b/>
                <w:bCs/>
                <w:color w:val="000000"/>
                <w:sz w:val="20"/>
                <w:szCs w:val="20"/>
              </w:rPr>
              <w:t>-208 434 589,42</w:t>
            </w:r>
          </w:p>
        </w:tc>
        <w:tc>
          <w:tcPr>
            <w:tcW w:w="1560" w:type="dxa"/>
            <w:tcBorders>
              <w:top w:val="nil"/>
              <w:left w:val="nil"/>
              <w:bottom w:val="single" w:sz="4" w:space="0" w:color="auto"/>
              <w:right w:val="single" w:sz="4" w:space="0" w:color="auto"/>
            </w:tcBorders>
            <w:shd w:val="clear" w:color="C5E0B4" w:fill="C4D79B"/>
            <w:noWrap/>
            <w:vAlign w:val="center"/>
            <w:hideMark/>
          </w:tcPr>
          <w:p w:rsidR="002950E6" w:rsidRDefault="002950E6">
            <w:pPr>
              <w:jc w:val="right"/>
              <w:rPr>
                <w:rFonts w:ascii="Calibri" w:hAnsi="Calibri" w:cs="Calibri"/>
                <w:b/>
                <w:bCs/>
                <w:color w:val="000000"/>
                <w:sz w:val="20"/>
                <w:szCs w:val="20"/>
              </w:rPr>
            </w:pPr>
            <w:r>
              <w:rPr>
                <w:rFonts w:ascii="Calibri" w:hAnsi="Calibri" w:cs="Calibri"/>
                <w:b/>
                <w:bCs/>
                <w:color w:val="000000"/>
                <w:sz w:val="20"/>
                <w:szCs w:val="20"/>
              </w:rPr>
              <w:t>114 132 083,80</w:t>
            </w:r>
          </w:p>
        </w:tc>
        <w:tc>
          <w:tcPr>
            <w:tcW w:w="880" w:type="dxa"/>
            <w:tcBorders>
              <w:top w:val="nil"/>
              <w:left w:val="nil"/>
              <w:bottom w:val="single" w:sz="4" w:space="0" w:color="auto"/>
              <w:right w:val="single" w:sz="4" w:space="0" w:color="auto"/>
            </w:tcBorders>
            <w:shd w:val="clear" w:color="F4B183" w:fill="FABF8F"/>
            <w:noWrap/>
            <w:vAlign w:val="center"/>
            <w:hideMark/>
          </w:tcPr>
          <w:p w:rsidR="002950E6" w:rsidRDefault="002950E6">
            <w:pPr>
              <w:rPr>
                <w:rFonts w:ascii="Calibri" w:hAnsi="Calibri" w:cs="Calibri"/>
                <w:b/>
                <w:bCs/>
                <w:color w:val="FFFFFF"/>
                <w:sz w:val="20"/>
                <w:szCs w:val="20"/>
              </w:rPr>
            </w:pPr>
            <w:r>
              <w:rPr>
                <w:rFonts w:ascii="Calibri" w:hAnsi="Calibri" w:cs="Calibri"/>
                <w:b/>
                <w:bCs/>
                <w:color w:val="FFFFFF"/>
                <w:sz w:val="20"/>
                <w:szCs w:val="20"/>
              </w:rPr>
              <w:t> </w:t>
            </w:r>
          </w:p>
        </w:tc>
      </w:tr>
    </w:tbl>
    <w:p w:rsidR="00027C60" w:rsidRDefault="00027C60" w:rsidP="004E2BA6">
      <w:pPr>
        <w:keepNext/>
        <w:keepLines/>
        <w:jc w:val="both"/>
        <w:rPr>
          <w:rFonts w:ascii="Calibri" w:hAnsi="Calibri"/>
          <w:b/>
        </w:rPr>
      </w:pPr>
    </w:p>
    <w:tbl>
      <w:tblPr>
        <w:tblW w:w="8900" w:type="dxa"/>
        <w:tblCellMar>
          <w:left w:w="70" w:type="dxa"/>
          <w:right w:w="70" w:type="dxa"/>
        </w:tblCellMar>
        <w:tblLook w:val="04A0" w:firstRow="1" w:lastRow="0" w:firstColumn="1" w:lastColumn="0" w:noHBand="0" w:noVBand="1"/>
      </w:tblPr>
      <w:tblGrid>
        <w:gridCol w:w="500"/>
        <w:gridCol w:w="2840"/>
        <w:gridCol w:w="1560"/>
        <w:gridCol w:w="1560"/>
        <w:gridCol w:w="1560"/>
        <w:gridCol w:w="880"/>
      </w:tblGrid>
      <w:tr w:rsidR="002950E6" w:rsidTr="002950E6">
        <w:trPr>
          <w:trHeight w:val="765"/>
        </w:trPr>
        <w:tc>
          <w:tcPr>
            <w:tcW w:w="500" w:type="dxa"/>
            <w:tcBorders>
              <w:top w:val="single" w:sz="4" w:space="0" w:color="auto"/>
              <w:left w:val="single" w:sz="4" w:space="0" w:color="auto"/>
              <w:bottom w:val="single" w:sz="4" w:space="0" w:color="auto"/>
              <w:right w:val="single" w:sz="4" w:space="0" w:color="auto"/>
            </w:tcBorders>
            <w:shd w:val="clear" w:color="FF6600" w:fill="E26B0A"/>
            <w:noWrap/>
            <w:vAlign w:val="center"/>
            <w:hideMark/>
          </w:tcPr>
          <w:p w:rsidR="002950E6" w:rsidRDefault="002950E6">
            <w:pPr>
              <w:jc w:val="center"/>
              <w:rPr>
                <w:rFonts w:ascii="Calibri" w:hAnsi="Calibri" w:cs="Calibri"/>
                <w:b/>
                <w:bCs/>
                <w:color w:val="000000"/>
                <w:sz w:val="20"/>
                <w:szCs w:val="20"/>
              </w:rPr>
            </w:pPr>
            <w:r>
              <w:rPr>
                <w:rFonts w:ascii="Calibri" w:hAnsi="Calibri" w:cs="Calibri"/>
                <w:b/>
                <w:bCs/>
                <w:color w:val="000000"/>
                <w:sz w:val="20"/>
                <w:szCs w:val="20"/>
              </w:rPr>
              <w:t>č.ř.</w:t>
            </w:r>
          </w:p>
        </w:tc>
        <w:tc>
          <w:tcPr>
            <w:tcW w:w="2840" w:type="dxa"/>
            <w:tcBorders>
              <w:top w:val="single" w:sz="4" w:space="0" w:color="auto"/>
              <w:left w:val="nil"/>
              <w:bottom w:val="single" w:sz="4" w:space="0" w:color="auto"/>
              <w:right w:val="single" w:sz="4" w:space="0" w:color="auto"/>
            </w:tcBorders>
            <w:shd w:val="clear" w:color="FF6600" w:fill="E26B0A"/>
            <w:noWrap/>
            <w:vAlign w:val="center"/>
            <w:hideMark/>
          </w:tcPr>
          <w:p w:rsidR="002950E6" w:rsidRDefault="002950E6">
            <w:pPr>
              <w:jc w:val="center"/>
              <w:rPr>
                <w:rFonts w:ascii="Calibri" w:hAnsi="Calibri" w:cs="Calibri"/>
                <w:b/>
                <w:bCs/>
                <w:color w:val="000000"/>
                <w:sz w:val="20"/>
                <w:szCs w:val="20"/>
              </w:rPr>
            </w:pPr>
            <w:r>
              <w:rPr>
                <w:rFonts w:ascii="Calibri" w:hAnsi="Calibri" w:cs="Calibri"/>
                <w:b/>
                <w:bCs/>
                <w:color w:val="000000"/>
                <w:sz w:val="20"/>
                <w:szCs w:val="20"/>
              </w:rPr>
              <w:t>Provozní rozpočet</w:t>
            </w:r>
          </w:p>
        </w:tc>
        <w:tc>
          <w:tcPr>
            <w:tcW w:w="1560" w:type="dxa"/>
            <w:tcBorders>
              <w:top w:val="single" w:sz="4" w:space="0" w:color="auto"/>
              <w:left w:val="nil"/>
              <w:bottom w:val="single" w:sz="4" w:space="0" w:color="auto"/>
              <w:right w:val="single" w:sz="4" w:space="0" w:color="auto"/>
            </w:tcBorders>
            <w:shd w:val="clear" w:color="FF6600" w:fill="E26B0A"/>
            <w:vAlign w:val="center"/>
            <w:hideMark/>
          </w:tcPr>
          <w:p w:rsidR="002950E6" w:rsidRDefault="002950E6">
            <w:pPr>
              <w:jc w:val="center"/>
              <w:rPr>
                <w:rFonts w:ascii="Calibri" w:hAnsi="Calibri" w:cs="Calibri"/>
                <w:b/>
                <w:bCs/>
                <w:color w:val="000000"/>
                <w:sz w:val="20"/>
                <w:szCs w:val="20"/>
              </w:rPr>
            </w:pPr>
            <w:r>
              <w:rPr>
                <w:rFonts w:ascii="Calibri" w:hAnsi="Calibri" w:cs="Calibri"/>
                <w:b/>
                <w:bCs/>
                <w:color w:val="000000"/>
                <w:sz w:val="20"/>
                <w:szCs w:val="20"/>
              </w:rPr>
              <w:t>Schválený rozpočet 2022</w:t>
            </w:r>
          </w:p>
        </w:tc>
        <w:tc>
          <w:tcPr>
            <w:tcW w:w="1560" w:type="dxa"/>
            <w:tcBorders>
              <w:top w:val="single" w:sz="4" w:space="0" w:color="auto"/>
              <w:left w:val="nil"/>
              <w:bottom w:val="single" w:sz="4" w:space="0" w:color="auto"/>
              <w:right w:val="single" w:sz="4" w:space="0" w:color="auto"/>
            </w:tcBorders>
            <w:shd w:val="clear" w:color="FF6600" w:fill="E26B0A"/>
            <w:vAlign w:val="center"/>
            <w:hideMark/>
          </w:tcPr>
          <w:p w:rsidR="002950E6" w:rsidRDefault="002950E6">
            <w:pPr>
              <w:jc w:val="center"/>
              <w:rPr>
                <w:rFonts w:ascii="Calibri" w:hAnsi="Calibri" w:cs="Calibri"/>
                <w:b/>
                <w:bCs/>
                <w:color w:val="000000"/>
                <w:sz w:val="20"/>
                <w:szCs w:val="20"/>
              </w:rPr>
            </w:pPr>
            <w:r>
              <w:rPr>
                <w:rFonts w:ascii="Calibri" w:hAnsi="Calibri" w:cs="Calibri"/>
                <w:b/>
                <w:bCs/>
                <w:color w:val="000000"/>
                <w:sz w:val="20"/>
                <w:szCs w:val="20"/>
              </w:rPr>
              <w:t>Upravený rozpočet 2022</w:t>
            </w:r>
          </w:p>
        </w:tc>
        <w:tc>
          <w:tcPr>
            <w:tcW w:w="1560" w:type="dxa"/>
            <w:tcBorders>
              <w:top w:val="single" w:sz="4" w:space="0" w:color="auto"/>
              <w:left w:val="nil"/>
              <w:bottom w:val="single" w:sz="4" w:space="0" w:color="auto"/>
              <w:right w:val="single" w:sz="4" w:space="0" w:color="auto"/>
            </w:tcBorders>
            <w:shd w:val="clear" w:color="FF6600" w:fill="E26B0A"/>
            <w:vAlign w:val="center"/>
            <w:hideMark/>
          </w:tcPr>
          <w:p w:rsidR="002950E6" w:rsidRDefault="002950E6">
            <w:pPr>
              <w:jc w:val="center"/>
              <w:rPr>
                <w:rFonts w:ascii="Calibri" w:hAnsi="Calibri" w:cs="Calibri"/>
                <w:b/>
                <w:bCs/>
                <w:color w:val="000000"/>
                <w:sz w:val="20"/>
                <w:szCs w:val="20"/>
              </w:rPr>
            </w:pPr>
            <w:r>
              <w:rPr>
                <w:rFonts w:ascii="Calibri" w:hAnsi="Calibri" w:cs="Calibri"/>
                <w:b/>
                <w:bCs/>
                <w:color w:val="000000"/>
                <w:sz w:val="20"/>
                <w:szCs w:val="20"/>
              </w:rPr>
              <w:t>Skutečnost hospodaření k 31.12.2022</w:t>
            </w:r>
          </w:p>
        </w:tc>
        <w:tc>
          <w:tcPr>
            <w:tcW w:w="880" w:type="dxa"/>
            <w:tcBorders>
              <w:top w:val="single" w:sz="4" w:space="0" w:color="auto"/>
              <w:left w:val="nil"/>
              <w:bottom w:val="single" w:sz="4" w:space="0" w:color="auto"/>
              <w:right w:val="single" w:sz="4" w:space="0" w:color="auto"/>
            </w:tcBorders>
            <w:shd w:val="clear" w:color="FF6600" w:fill="E26B0A"/>
            <w:vAlign w:val="center"/>
            <w:hideMark/>
          </w:tcPr>
          <w:p w:rsidR="002950E6" w:rsidRDefault="002950E6">
            <w:pPr>
              <w:jc w:val="center"/>
              <w:rPr>
                <w:rFonts w:ascii="Calibri" w:hAnsi="Calibri" w:cs="Calibri"/>
                <w:b/>
                <w:bCs/>
                <w:color w:val="000000"/>
                <w:sz w:val="20"/>
                <w:szCs w:val="20"/>
              </w:rPr>
            </w:pPr>
            <w:r>
              <w:rPr>
                <w:rFonts w:ascii="Calibri" w:hAnsi="Calibri" w:cs="Calibri"/>
                <w:b/>
                <w:bCs/>
                <w:color w:val="000000"/>
                <w:sz w:val="20"/>
                <w:szCs w:val="20"/>
              </w:rPr>
              <w:t>% plnění rozpočtu</w:t>
            </w:r>
          </w:p>
        </w:tc>
      </w:tr>
      <w:tr w:rsidR="002950E6" w:rsidTr="002950E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950E6" w:rsidRDefault="002950E6">
            <w:pPr>
              <w:jc w:val="center"/>
              <w:rPr>
                <w:rFonts w:ascii="Calibri" w:hAnsi="Calibri" w:cs="Calibri"/>
                <w:b/>
                <w:bCs/>
                <w:color w:val="000000"/>
                <w:sz w:val="20"/>
                <w:szCs w:val="20"/>
              </w:rPr>
            </w:pPr>
            <w:r>
              <w:rPr>
                <w:rFonts w:ascii="Calibri" w:hAnsi="Calibri" w:cs="Calibri"/>
                <w:b/>
                <w:bCs/>
                <w:color w:val="000000"/>
                <w:sz w:val="20"/>
                <w:szCs w:val="20"/>
              </w:rPr>
              <w:t>1</w:t>
            </w:r>
          </w:p>
        </w:tc>
        <w:tc>
          <w:tcPr>
            <w:tcW w:w="2840" w:type="dxa"/>
            <w:tcBorders>
              <w:top w:val="nil"/>
              <w:left w:val="nil"/>
              <w:bottom w:val="single" w:sz="4" w:space="0" w:color="auto"/>
              <w:right w:val="single" w:sz="4" w:space="0" w:color="auto"/>
            </w:tcBorders>
            <w:shd w:val="clear" w:color="auto" w:fill="auto"/>
            <w:noWrap/>
            <w:vAlign w:val="center"/>
            <w:hideMark/>
          </w:tcPr>
          <w:p w:rsidR="002950E6" w:rsidRDefault="002950E6">
            <w:pPr>
              <w:rPr>
                <w:rFonts w:ascii="Calibri" w:hAnsi="Calibri" w:cs="Calibri"/>
                <w:b/>
                <w:bCs/>
                <w:color w:val="000000"/>
                <w:sz w:val="20"/>
                <w:szCs w:val="20"/>
              </w:rPr>
            </w:pPr>
            <w:r>
              <w:rPr>
                <w:rFonts w:ascii="Calibri" w:hAnsi="Calibri" w:cs="Calibri"/>
                <w:b/>
                <w:bCs/>
                <w:color w:val="000000"/>
                <w:sz w:val="20"/>
                <w:szCs w:val="20"/>
              </w:rPr>
              <w:t>Běžné příjmy</w:t>
            </w:r>
          </w:p>
        </w:tc>
        <w:tc>
          <w:tcPr>
            <w:tcW w:w="156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b/>
                <w:bCs/>
                <w:color w:val="000000"/>
                <w:sz w:val="20"/>
                <w:szCs w:val="20"/>
              </w:rPr>
            </w:pPr>
            <w:r>
              <w:rPr>
                <w:rFonts w:ascii="Calibri" w:hAnsi="Calibri" w:cs="Calibri"/>
                <w:b/>
                <w:bCs/>
                <w:color w:val="000000"/>
                <w:sz w:val="20"/>
                <w:szCs w:val="20"/>
              </w:rPr>
              <w:t>985 932 083,28</w:t>
            </w:r>
          </w:p>
        </w:tc>
        <w:tc>
          <w:tcPr>
            <w:tcW w:w="156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b/>
                <w:bCs/>
                <w:color w:val="000000"/>
                <w:sz w:val="20"/>
                <w:szCs w:val="20"/>
              </w:rPr>
            </w:pPr>
            <w:r>
              <w:rPr>
                <w:rFonts w:ascii="Calibri" w:hAnsi="Calibri" w:cs="Calibri"/>
                <w:b/>
                <w:bCs/>
                <w:color w:val="000000"/>
                <w:sz w:val="20"/>
                <w:szCs w:val="20"/>
              </w:rPr>
              <w:t>1 025 420 083,34</w:t>
            </w:r>
          </w:p>
        </w:tc>
        <w:tc>
          <w:tcPr>
            <w:tcW w:w="156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b/>
                <w:bCs/>
                <w:color w:val="000000"/>
                <w:sz w:val="20"/>
                <w:szCs w:val="20"/>
              </w:rPr>
            </w:pPr>
            <w:r>
              <w:rPr>
                <w:rFonts w:ascii="Calibri" w:hAnsi="Calibri" w:cs="Calibri"/>
                <w:b/>
                <w:bCs/>
                <w:color w:val="000000"/>
                <w:sz w:val="20"/>
                <w:szCs w:val="20"/>
              </w:rPr>
              <w:t>1 258 653 264,85</w:t>
            </w:r>
          </w:p>
        </w:tc>
        <w:tc>
          <w:tcPr>
            <w:tcW w:w="88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b/>
                <w:bCs/>
                <w:color w:val="000000"/>
                <w:sz w:val="20"/>
                <w:szCs w:val="20"/>
              </w:rPr>
            </w:pPr>
            <w:r>
              <w:rPr>
                <w:rFonts w:ascii="Calibri" w:hAnsi="Calibri" w:cs="Calibri"/>
                <w:b/>
                <w:bCs/>
                <w:color w:val="000000"/>
                <w:sz w:val="20"/>
                <w:szCs w:val="20"/>
              </w:rPr>
              <w:t>122,75</w:t>
            </w:r>
          </w:p>
        </w:tc>
      </w:tr>
      <w:tr w:rsidR="002950E6" w:rsidTr="002950E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950E6" w:rsidRDefault="002950E6">
            <w:pPr>
              <w:jc w:val="center"/>
              <w:rPr>
                <w:rFonts w:ascii="Calibri" w:hAnsi="Calibri" w:cs="Calibri"/>
                <w:color w:val="000000"/>
                <w:sz w:val="20"/>
                <w:szCs w:val="20"/>
              </w:rPr>
            </w:pPr>
            <w:r>
              <w:rPr>
                <w:rFonts w:ascii="Calibri" w:hAnsi="Calibri" w:cs="Calibri"/>
                <w:color w:val="000000"/>
                <w:sz w:val="20"/>
                <w:szCs w:val="20"/>
              </w:rPr>
              <w:t>2</w:t>
            </w:r>
          </w:p>
        </w:tc>
        <w:tc>
          <w:tcPr>
            <w:tcW w:w="2840" w:type="dxa"/>
            <w:tcBorders>
              <w:top w:val="nil"/>
              <w:left w:val="nil"/>
              <w:bottom w:val="single" w:sz="4" w:space="0" w:color="auto"/>
              <w:right w:val="single" w:sz="4" w:space="0" w:color="auto"/>
            </w:tcBorders>
            <w:shd w:val="clear" w:color="auto" w:fill="auto"/>
            <w:noWrap/>
            <w:vAlign w:val="center"/>
            <w:hideMark/>
          </w:tcPr>
          <w:p w:rsidR="002950E6" w:rsidRDefault="002950E6">
            <w:pPr>
              <w:rPr>
                <w:rFonts w:ascii="Calibri" w:hAnsi="Calibri" w:cs="Calibri"/>
                <w:color w:val="000000"/>
                <w:sz w:val="20"/>
                <w:szCs w:val="20"/>
              </w:rPr>
            </w:pPr>
            <w:r>
              <w:rPr>
                <w:rFonts w:ascii="Calibri" w:hAnsi="Calibri" w:cs="Calibri"/>
                <w:color w:val="000000"/>
                <w:sz w:val="20"/>
                <w:szCs w:val="20"/>
              </w:rPr>
              <w:t>z toho daňové příjmy</w:t>
            </w:r>
          </w:p>
        </w:tc>
        <w:tc>
          <w:tcPr>
            <w:tcW w:w="156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color w:val="000000"/>
                <w:sz w:val="20"/>
                <w:szCs w:val="20"/>
              </w:rPr>
            </w:pPr>
            <w:r>
              <w:rPr>
                <w:rFonts w:ascii="Calibri" w:hAnsi="Calibri" w:cs="Calibri"/>
                <w:color w:val="000000"/>
                <w:sz w:val="20"/>
                <w:szCs w:val="20"/>
              </w:rPr>
              <w:t>777 929 604,28</w:t>
            </w:r>
          </w:p>
        </w:tc>
        <w:tc>
          <w:tcPr>
            <w:tcW w:w="156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color w:val="000000"/>
                <w:sz w:val="20"/>
                <w:szCs w:val="20"/>
              </w:rPr>
            </w:pPr>
            <w:r>
              <w:rPr>
                <w:rFonts w:ascii="Calibri" w:hAnsi="Calibri" w:cs="Calibri"/>
                <w:color w:val="000000"/>
                <w:sz w:val="20"/>
                <w:szCs w:val="20"/>
              </w:rPr>
              <w:t>774 962 313,94</w:t>
            </w:r>
          </w:p>
        </w:tc>
        <w:tc>
          <w:tcPr>
            <w:tcW w:w="156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color w:val="000000"/>
                <w:sz w:val="20"/>
                <w:szCs w:val="20"/>
              </w:rPr>
            </w:pPr>
            <w:r>
              <w:rPr>
                <w:rFonts w:ascii="Calibri" w:hAnsi="Calibri" w:cs="Calibri"/>
                <w:color w:val="000000"/>
                <w:sz w:val="20"/>
                <w:szCs w:val="20"/>
              </w:rPr>
              <w:t>982 699 253,25</w:t>
            </w:r>
          </w:p>
        </w:tc>
        <w:tc>
          <w:tcPr>
            <w:tcW w:w="88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color w:val="000000"/>
                <w:sz w:val="20"/>
                <w:szCs w:val="20"/>
              </w:rPr>
            </w:pPr>
            <w:r>
              <w:rPr>
                <w:rFonts w:ascii="Calibri" w:hAnsi="Calibri" w:cs="Calibri"/>
                <w:color w:val="000000"/>
                <w:sz w:val="20"/>
                <w:szCs w:val="20"/>
              </w:rPr>
              <w:t>126,81</w:t>
            </w:r>
          </w:p>
        </w:tc>
      </w:tr>
      <w:tr w:rsidR="002950E6" w:rsidTr="002950E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950E6" w:rsidRDefault="002950E6">
            <w:pPr>
              <w:jc w:val="center"/>
              <w:rPr>
                <w:rFonts w:ascii="Calibri" w:hAnsi="Calibri" w:cs="Calibri"/>
                <w:color w:val="000000"/>
                <w:sz w:val="20"/>
                <w:szCs w:val="20"/>
              </w:rPr>
            </w:pPr>
            <w:r>
              <w:rPr>
                <w:rFonts w:ascii="Calibri" w:hAnsi="Calibri" w:cs="Calibri"/>
                <w:color w:val="000000"/>
                <w:sz w:val="20"/>
                <w:szCs w:val="20"/>
              </w:rPr>
              <w:t>3</w:t>
            </w:r>
          </w:p>
        </w:tc>
        <w:tc>
          <w:tcPr>
            <w:tcW w:w="2840" w:type="dxa"/>
            <w:tcBorders>
              <w:top w:val="nil"/>
              <w:left w:val="nil"/>
              <w:bottom w:val="single" w:sz="4" w:space="0" w:color="auto"/>
              <w:right w:val="single" w:sz="4" w:space="0" w:color="auto"/>
            </w:tcBorders>
            <w:shd w:val="clear" w:color="auto" w:fill="auto"/>
            <w:noWrap/>
            <w:vAlign w:val="center"/>
            <w:hideMark/>
          </w:tcPr>
          <w:p w:rsidR="002950E6" w:rsidRDefault="002950E6">
            <w:pPr>
              <w:rPr>
                <w:rFonts w:ascii="Calibri" w:hAnsi="Calibri" w:cs="Calibri"/>
                <w:color w:val="000000"/>
                <w:sz w:val="20"/>
                <w:szCs w:val="20"/>
              </w:rPr>
            </w:pPr>
            <w:r>
              <w:rPr>
                <w:rFonts w:ascii="Calibri" w:hAnsi="Calibri" w:cs="Calibri"/>
                <w:color w:val="000000"/>
                <w:sz w:val="20"/>
                <w:szCs w:val="20"/>
              </w:rPr>
              <w:t xml:space="preserve">            nedaňové příjmy</w:t>
            </w:r>
          </w:p>
        </w:tc>
        <w:tc>
          <w:tcPr>
            <w:tcW w:w="156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color w:val="000000"/>
                <w:sz w:val="20"/>
                <w:szCs w:val="20"/>
              </w:rPr>
            </w:pPr>
            <w:r>
              <w:rPr>
                <w:rFonts w:ascii="Calibri" w:hAnsi="Calibri" w:cs="Calibri"/>
                <w:color w:val="000000"/>
                <w:sz w:val="20"/>
                <w:szCs w:val="20"/>
              </w:rPr>
              <w:t>137 916 079,00</w:t>
            </w:r>
          </w:p>
        </w:tc>
        <w:tc>
          <w:tcPr>
            <w:tcW w:w="156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color w:val="000000"/>
                <w:sz w:val="20"/>
                <w:szCs w:val="20"/>
              </w:rPr>
            </w:pPr>
            <w:r>
              <w:rPr>
                <w:rFonts w:ascii="Calibri" w:hAnsi="Calibri" w:cs="Calibri"/>
                <w:color w:val="000000"/>
                <w:sz w:val="20"/>
                <w:szCs w:val="20"/>
              </w:rPr>
              <w:t>144 118 074,02</w:t>
            </w:r>
          </w:p>
        </w:tc>
        <w:tc>
          <w:tcPr>
            <w:tcW w:w="156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color w:val="000000"/>
                <w:sz w:val="20"/>
                <w:szCs w:val="20"/>
              </w:rPr>
            </w:pPr>
            <w:r>
              <w:rPr>
                <w:rFonts w:ascii="Calibri" w:hAnsi="Calibri" w:cs="Calibri"/>
                <w:color w:val="000000"/>
                <w:sz w:val="20"/>
                <w:szCs w:val="20"/>
              </w:rPr>
              <w:t>169 765 898,22</w:t>
            </w:r>
          </w:p>
        </w:tc>
        <w:tc>
          <w:tcPr>
            <w:tcW w:w="88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color w:val="000000"/>
                <w:sz w:val="20"/>
                <w:szCs w:val="20"/>
              </w:rPr>
            </w:pPr>
            <w:r>
              <w:rPr>
                <w:rFonts w:ascii="Calibri" w:hAnsi="Calibri" w:cs="Calibri"/>
                <w:color w:val="000000"/>
                <w:sz w:val="20"/>
                <w:szCs w:val="20"/>
              </w:rPr>
              <w:t>117,80</w:t>
            </w:r>
          </w:p>
        </w:tc>
      </w:tr>
      <w:tr w:rsidR="002950E6" w:rsidTr="002950E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950E6" w:rsidRDefault="002950E6">
            <w:pPr>
              <w:jc w:val="center"/>
              <w:rPr>
                <w:rFonts w:ascii="Calibri" w:hAnsi="Calibri" w:cs="Calibri"/>
                <w:color w:val="000000"/>
                <w:sz w:val="20"/>
                <w:szCs w:val="20"/>
              </w:rPr>
            </w:pPr>
            <w:r>
              <w:rPr>
                <w:rFonts w:ascii="Calibri" w:hAnsi="Calibri" w:cs="Calibri"/>
                <w:color w:val="000000"/>
                <w:sz w:val="20"/>
                <w:szCs w:val="20"/>
              </w:rPr>
              <w:t>4</w:t>
            </w:r>
          </w:p>
        </w:tc>
        <w:tc>
          <w:tcPr>
            <w:tcW w:w="2840" w:type="dxa"/>
            <w:tcBorders>
              <w:top w:val="nil"/>
              <w:left w:val="nil"/>
              <w:bottom w:val="single" w:sz="4" w:space="0" w:color="auto"/>
              <w:right w:val="single" w:sz="4" w:space="0" w:color="auto"/>
            </w:tcBorders>
            <w:shd w:val="clear" w:color="auto" w:fill="auto"/>
            <w:noWrap/>
            <w:vAlign w:val="center"/>
            <w:hideMark/>
          </w:tcPr>
          <w:p w:rsidR="002950E6" w:rsidRDefault="002950E6">
            <w:pPr>
              <w:rPr>
                <w:rFonts w:ascii="Calibri" w:hAnsi="Calibri" w:cs="Calibri"/>
                <w:color w:val="000000"/>
                <w:sz w:val="20"/>
                <w:szCs w:val="20"/>
              </w:rPr>
            </w:pPr>
            <w:r>
              <w:rPr>
                <w:rFonts w:ascii="Calibri" w:hAnsi="Calibri" w:cs="Calibri"/>
                <w:color w:val="000000"/>
                <w:sz w:val="20"/>
                <w:szCs w:val="20"/>
              </w:rPr>
              <w:t xml:space="preserve">            provozní dotace</w:t>
            </w:r>
          </w:p>
        </w:tc>
        <w:tc>
          <w:tcPr>
            <w:tcW w:w="156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color w:val="000000"/>
                <w:sz w:val="20"/>
                <w:szCs w:val="20"/>
              </w:rPr>
            </w:pPr>
            <w:r>
              <w:rPr>
                <w:rFonts w:ascii="Calibri" w:hAnsi="Calibri" w:cs="Calibri"/>
                <w:color w:val="000000"/>
                <w:sz w:val="20"/>
                <w:szCs w:val="20"/>
              </w:rPr>
              <w:t>70 086 400,00</w:t>
            </w:r>
          </w:p>
        </w:tc>
        <w:tc>
          <w:tcPr>
            <w:tcW w:w="156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color w:val="000000"/>
                <w:sz w:val="20"/>
                <w:szCs w:val="20"/>
              </w:rPr>
            </w:pPr>
            <w:r>
              <w:rPr>
                <w:rFonts w:ascii="Calibri" w:hAnsi="Calibri" w:cs="Calibri"/>
                <w:color w:val="000000"/>
                <w:sz w:val="20"/>
                <w:szCs w:val="20"/>
              </w:rPr>
              <w:t>106 339 695,38</w:t>
            </w:r>
          </w:p>
        </w:tc>
        <w:tc>
          <w:tcPr>
            <w:tcW w:w="156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color w:val="000000"/>
                <w:sz w:val="20"/>
                <w:szCs w:val="20"/>
              </w:rPr>
            </w:pPr>
            <w:r>
              <w:rPr>
                <w:rFonts w:ascii="Calibri" w:hAnsi="Calibri" w:cs="Calibri"/>
                <w:color w:val="000000"/>
                <w:sz w:val="20"/>
                <w:szCs w:val="20"/>
              </w:rPr>
              <w:t>106 188 113,38</w:t>
            </w:r>
          </w:p>
        </w:tc>
        <w:tc>
          <w:tcPr>
            <w:tcW w:w="88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color w:val="000000"/>
                <w:sz w:val="20"/>
                <w:szCs w:val="20"/>
              </w:rPr>
            </w:pPr>
            <w:r>
              <w:rPr>
                <w:rFonts w:ascii="Calibri" w:hAnsi="Calibri" w:cs="Calibri"/>
                <w:color w:val="000000"/>
                <w:sz w:val="20"/>
                <w:szCs w:val="20"/>
              </w:rPr>
              <w:t>99,86</w:t>
            </w:r>
          </w:p>
        </w:tc>
      </w:tr>
      <w:tr w:rsidR="002950E6" w:rsidTr="002950E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950E6" w:rsidRDefault="002950E6">
            <w:pPr>
              <w:jc w:val="center"/>
              <w:rPr>
                <w:rFonts w:ascii="Calibri" w:hAnsi="Calibri" w:cs="Calibri"/>
                <w:b/>
                <w:bCs/>
                <w:color w:val="000000"/>
                <w:sz w:val="20"/>
                <w:szCs w:val="20"/>
              </w:rPr>
            </w:pPr>
            <w:r>
              <w:rPr>
                <w:rFonts w:ascii="Calibri" w:hAnsi="Calibri" w:cs="Calibri"/>
                <w:b/>
                <w:bCs/>
                <w:color w:val="000000"/>
                <w:sz w:val="20"/>
                <w:szCs w:val="20"/>
              </w:rPr>
              <w:t>5</w:t>
            </w:r>
          </w:p>
        </w:tc>
        <w:tc>
          <w:tcPr>
            <w:tcW w:w="2840" w:type="dxa"/>
            <w:tcBorders>
              <w:top w:val="nil"/>
              <w:left w:val="nil"/>
              <w:bottom w:val="single" w:sz="4" w:space="0" w:color="auto"/>
              <w:right w:val="single" w:sz="4" w:space="0" w:color="auto"/>
            </w:tcBorders>
            <w:shd w:val="clear" w:color="auto" w:fill="auto"/>
            <w:noWrap/>
            <w:vAlign w:val="center"/>
            <w:hideMark/>
          </w:tcPr>
          <w:p w:rsidR="002950E6" w:rsidRDefault="002950E6">
            <w:pPr>
              <w:rPr>
                <w:rFonts w:ascii="Calibri" w:hAnsi="Calibri" w:cs="Calibri"/>
                <w:b/>
                <w:bCs/>
                <w:color w:val="000000"/>
                <w:sz w:val="20"/>
                <w:szCs w:val="20"/>
              </w:rPr>
            </w:pPr>
            <w:r>
              <w:rPr>
                <w:rFonts w:ascii="Calibri" w:hAnsi="Calibri" w:cs="Calibri"/>
                <w:b/>
                <w:bCs/>
                <w:color w:val="000000"/>
                <w:sz w:val="20"/>
                <w:szCs w:val="20"/>
              </w:rPr>
              <w:t>Běžné výdaje</w:t>
            </w:r>
          </w:p>
        </w:tc>
        <w:tc>
          <w:tcPr>
            <w:tcW w:w="156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b/>
                <w:bCs/>
                <w:color w:val="000000"/>
                <w:sz w:val="20"/>
                <w:szCs w:val="20"/>
              </w:rPr>
            </w:pPr>
            <w:r>
              <w:rPr>
                <w:rFonts w:ascii="Calibri" w:hAnsi="Calibri" w:cs="Calibri"/>
                <w:b/>
                <w:bCs/>
                <w:color w:val="000000"/>
                <w:sz w:val="20"/>
                <w:szCs w:val="20"/>
              </w:rPr>
              <w:t>865 485 480,00</w:t>
            </w:r>
          </w:p>
        </w:tc>
        <w:tc>
          <w:tcPr>
            <w:tcW w:w="156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b/>
                <w:bCs/>
                <w:color w:val="000000"/>
                <w:sz w:val="20"/>
                <w:szCs w:val="20"/>
              </w:rPr>
            </w:pPr>
            <w:r>
              <w:rPr>
                <w:rFonts w:ascii="Calibri" w:hAnsi="Calibri" w:cs="Calibri"/>
                <w:b/>
                <w:bCs/>
                <w:color w:val="000000"/>
                <w:sz w:val="20"/>
                <w:szCs w:val="20"/>
              </w:rPr>
              <w:t>973 226 593,05</w:t>
            </w:r>
          </w:p>
        </w:tc>
        <w:tc>
          <w:tcPr>
            <w:tcW w:w="156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b/>
                <w:bCs/>
                <w:color w:val="000000"/>
                <w:sz w:val="20"/>
                <w:szCs w:val="20"/>
              </w:rPr>
            </w:pPr>
            <w:r>
              <w:rPr>
                <w:rFonts w:ascii="Calibri" w:hAnsi="Calibri" w:cs="Calibri"/>
                <w:b/>
                <w:bCs/>
                <w:color w:val="000000"/>
                <w:sz w:val="20"/>
                <w:szCs w:val="20"/>
              </w:rPr>
              <w:t>916 738 437,70</w:t>
            </w:r>
          </w:p>
        </w:tc>
        <w:tc>
          <w:tcPr>
            <w:tcW w:w="88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b/>
                <w:bCs/>
                <w:color w:val="000000"/>
                <w:sz w:val="20"/>
                <w:szCs w:val="20"/>
              </w:rPr>
            </w:pPr>
            <w:r>
              <w:rPr>
                <w:rFonts w:ascii="Calibri" w:hAnsi="Calibri" w:cs="Calibri"/>
                <w:b/>
                <w:bCs/>
                <w:color w:val="000000"/>
                <w:sz w:val="20"/>
                <w:szCs w:val="20"/>
              </w:rPr>
              <w:t>94,20</w:t>
            </w:r>
          </w:p>
        </w:tc>
      </w:tr>
      <w:tr w:rsidR="002950E6" w:rsidTr="002950E6">
        <w:trPr>
          <w:trHeight w:val="300"/>
        </w:trPr>
        <w:tc>
          <w:tcPr>
            <w:tcW w:w="500" w:type="dxa"/>
            <w:tcBorders>
              <w:top w:val="nil"/>
              <w:left w:val="single" w:sz="4" w:space="0" w:color="auto"/>
              <w:bottom w:val="single" w:sz="4" w:space="0" w:color="auto"/>
              <w:right w:val="single" w:sz="4" w:space="0" w:color="auto"/>
            </w:tcBorders>
            <w:shd w:val="clear" w:color="F4B183" w:fill="FABF8F"/>
            <w:noWrap/>
            <w:vAlign w:val="center"/>
            <w:hideMark/>
          </w:tcPr>
          <w:p w:rsidR="002950E6" w:rsidRDefault="002950E6">
            <w:pPr>
              <w:jc w:val="center"/>
              <w:rPr>
                <w:rFonts w:ascii="Calibri" w:hAnsi="Calibri" w:cs="Calibri"/>
                <w:b/>
                <w:bCs/>
                <w:color w:val="000000"/>
                <w:sz w:val="20"/>
                <w:szCs w:val="20"/>
              </w:rPr>
            </w:pPr>
            <w:r>
              <w:rPr>
                <w:rFonts w:ascii="Calibri" w:hAnsi="Calibri" w:cs="Calibri"/>
                <w:b/>
                <w:bCs/>
                <w:color w:val="000000"/>
                <w:sz w:val="20"/>
                <w:szCs w:val="20"/>
              </w:rPr>
              <w:t>6</w:t>
            </w:r>
          </w:p>
        </w:tc>
        <w:tc>
          <w:tcPr>
            <w:tcW w:w="2840" w:type="dxa"/>
            <w:tcBorders>
              <w:top w:val="nil"/>
              <w:left w:val="nil"/>
              <w:bottom w:val="single" w:sz="4" w:space="0" w:color="auto"/>
              <w:right w:val="single" w:sz="4" w:space="0" w:color="auto"/>
            </w:tcBorders>
            <w:shd w:val="clear" w:color="F4B183" w:fill="FABF8F"/>
            <w:noWrap/>
            <w:vAlign w:val="center"/>
            <w:hideMark/>
          </w:tcPr>
          <w:p w:rsidR="002950E6" w:rsidRDefault="002950E6">
            <w:pPr>
              <w:rPr>
                <w:rFonts w:ascii="Calibri" w:hAnsi="Calibri" w:cs="Calibri"/>
                <w:b/>
                <w:bCs/>
                <w:color w:val="000000"/>
                <w:sz w:val="20"/>
                <w:szCs w:val="20"/>
              </w:rPr>
            </w:pPr>
            <w:r>
              <w:rPr>
                <w:rFonts w:ascii="Calibri" w:hAnsi="Calibri" w:cs="Calibri"/>
                <w:b/>
                <w:bCs/>
                <w:color w:val="000000"/>
                <w:sz w:val="20"/>
                <w:szCs w:val="20"/>
              </w:rPr>
              <w:t>Provozní přebytek</w:t>
            </w:r>
          </w:p>
        </w:tc>
        <w:tc>
          <w:tcPr>
            <w:tcW w:w="1560" w:type="dxa"/>
            <w:tcBorders>
              <w:top w:val="nil"/>
              <w:left w:val="nil"/>
              <w:bottom w:val="single" w:sz="4" w:space="0" w:color="auto"/>
              <w:right w:val="single" w:sz="4" w:space="0" w:color="auto"/>
            </w:tcBorders>
            <w:shd w:val="clear" w:color="F4B183" w:fill="FABF8F"/>
            <w:noWrap/>
            <w:vAlign w:val="center"/>
            <w:hideMark/>
          </w:tcPr>
          <w:p w:rsidR="002950E6" w:rsidRDefault="002950E6">
            <w:pPr>
              <w:jc w:val="right"/>
              <w:rPr>
                <w:rFonts w:ascii="Calibri" w:hAnsi="Calibri" w:cs="Calibri"/>
                <w:b/>
                <w:bCs/>
                <w:color w:val="000000"/>
                <w:sz w:val="20"/>
                <w:szCs w:val="20"/>
              </w:rPr>
            </w:pPr>
            <w:r>
              <w:rPr>
                <w:rFonts w:ascii="Calibri" w:hAnsi="Calibri" w:cs="Calibri"/>
                <w:b/>
                <w:bCs/>
                <w:color w:val="000000"/>
                <w:sz w:val="20"/>
                <w:szCs w:val="20"/>
              </w:rPr>
              <w:t>120 446 603,28</w:t>
            </w:r>
          </w:p>
        </w:tc>
        <w:tc>
          <w:tcPr>
            <w:tcW w:w="1560" w:type="dxa"/>
            <w:tcBorders>
              <w:top w:val="nil"/>
              <w:left w:val="nil"/>
              <w:bottom w:val="single" w:sz="4" w:space="0" w:color="auto"/>
              <w:right w:val="single" w:sz="4" w:space="0" w:color="auto"/>
            </w:tcBorders>
            <w:shd w:val="clear" w:color="F4B183" w:fill="FABF8F"/>
            <w:noWrap/>
            <w:vAlign w:val="center"/>
            <w:hideMark/>
          </w:tcPr>
          <w:p w:rsidR="002950E6" w:rsidRDefault="002950E6">
            <w:pPr>
              <w:jc w:val="right"/>
              <w:rPr>
                <w:rFonts w:ascii="Calibri" w:hAnsi="Calibri" w:cs="Calibri"/>
                <w:b/>
                <w:bCs/>
                <w:color w:val="000000"/>
                <w:sz w:val="20"/>
                <w:szCs w:val="20"/>
              </w:rPr>
            </w:pPr>
            <w:r>
              <w:rPr>
                <w:rFonts w:ascii="Calibri" w:hAnsi="Calibri" w:cs="Calibri"/>
                <w:b/>
                <w:bCs/>
                <w:color w:val="000000"/>
                <w:sz w:val="20"/>
                <w:szCs w:val="20"/>
              </w:rPr>
              <w:t>52 193 490,29</w:t>
            </w:r>
          </w:p>
        </w:tc>
        <w:tc>
          <w:tcPr>
            <w:tcW w:w="1560" w:type="dxa"/>
            <w:tcBorders>
              <w:top w:val="nil"/>
              <w:left w:val="nil"/>
              <w:bottom w:val="single" w:sz="4" w:space="0" w:color="auto"/>
              <w:right w:val="single" w:sz="4" w:space="0" w:color="auto"/>
            </w:tcBorders>
            <w:shd w:val="clear" w:color="C5E0B4" w:fill="D8E4BC"/>
            <w:noWrap/>
            <w:vAlign w:val="center"/>
            <w:hideMark/>
          </w:tcPr>
          <w:p w:rsidR="002950E6" w:rsidRDefault="002950E6">
            <w:pPr>
              <w:jc w:val="right"/>
              <w:rPr>
                <w:rFonts w:ascii="Calibri" w:hAnsi="Calibri" w:cs="Calibri"/>
                <w:b/>
                <w:bCs/>
                <w:color w:val="000000"/>
                <w:sz w:val="20"/>
                <w:szCs w:val="20"/>
              </w:rPr>
            </w:pPr>
            <w:r>
              <w:rPr>
                <w:rFonts w:ascii="Calibri" w:hAnsi="Calibri" w:cs="Calibri"/>
                <w:b/>
                <w:bCs/>
                <w:color w:val="000000"/>
                <w:sz w:val="20"/>
                <w:szCs w:val="20"/>
              </w:rPr>
              <w:t>341 914 827,15</w:t>
            </w:r>
          </w:p>
        </w:tc>
        <w:tc>
          <w:tcPr>
            <w:tcW w:w="880" w:type="dxa"/>
            <w:tcBorders>
              <w:top w:val="nil"/>
              <w:left w:val="nil"/>
              <w:bottom w:val="single" w:sz="4" w:space="0" w:color="auto"/>
              <w:right w:val="single" w:sz="4" w:space="0" w:color="auto"/>
            </w:tcBorders>
            <w:shd w:val="clear" w:color="F4B183" w:fill="FABF8F"/>
            <w:noWrap/>
            <w:vAlign w:val="center"/>
            <w:hideMark/>
          </w:tcPr>
          <w:p w:rsidR="002950E6" w:rsidRDefault="002950E6">
            <w:pPr>
              <w:rPr>
                <w:rFonts w:ascii="Calibri" w:hAnsi="Calibri" w:cs="Calibri"/>
                <w:b/>
                <w:bCs/>
                <w:color w:val="FFFFFF"/>
                <w:sz w:val="20"/>
                <w:szCs w:val="20"/>
              </w:rPr>
            </w:pPr>
            <w:r>
              <w:rPr>
                <w:rFonts w:ascii="Calibri" w:hAnsi="Calibri" w:cs="Calibri"/>
                <w:b/>
                <w:bCs/>
                <w:color w:val="FFFFFF"/>
                <w:sz w:val="20"/>
                <w:szCs w:val="20"/>
              </w:rPr>
              <w:t> </w:t>
            </w:r>
          </w:p>
        </w:tc>
      </w:tr>
    </w:tbl>
    <w:p w:rsidR="002950E6" w:rsidRDefault="002950E6" w:rsidP="004E2BA6">
      <w:pPr>
        <w:keepNext/>
        <w:keepLines/>
        <w:jc w:val="both"/>
        <w:rPr>
          <w:rFonts w:ascii="Calibri" w:hAnsi="Calibri"/>
          <w:b/>
        </w:rPr>
      </w:pPr>
    </w:p>
    <w:tbl>
      <w:tblPr>
        <w:tblW w:w="8900" w:type="dxa"/>
        <w:tblCellMar>
          <w:left w:w="70" w:type="dxa"/>
          <w:right w:w="70" w:type="dxa"/>
        </w:tblCellMar>
        <w:tblLook w:val="04A0" w:firstRow="1" w:lastRow="0" w:firstColumn="1" w:lastColumn="0" w:noHBand="0" w:noVBand="1"/>
      </w:tblPr>
      <w:tblGrid>
        <w:gridCol w:w="500"/>
        <w:gridCol w:w="2840"/>
        <w:gridCol w:w="1560"/>
        <w:gridCol w:w="1560"/>
        <w:gridCol w:w="1560"/>
        <w:gridCol w:w="880"/>
      </w:tblGrid>
      <w:tr w:rsidR="002950E6" w:rsidTr="002950E6">
        <w:trPr>
          <w:trHeight w:val="765"/>
        </w:trPr>
        <w:tc>
          <w:tcPr>
            <w:tcW w:w="500" w:type="dxa"/>
            <w:tcBorders>
              <w:top w:val="single" w:sz="4" w:space="0" w:color="auto"/>
              <w:left w:val="single" w:sz="4" w:space="0" w:color="auto"/>
              <w:bottom w:val="single" w:sz="4" w:space="0" w:color="auto"/>
              <w:right w:val="single" w:sz="4" w:space="0" w:color="auto"/>
            </w:tcBorders>
            <w:shd w:val="clear" w:color="FF6600" w:fill="E26B0A"/>
            <w:noWrap/>
            <w:vAlign w:val="center"/>
            <w:hideMark/>
          </w:tcPr>
          <w:p w:rsidR="002950E6" w:rsidRDefault="002950E6">
            <w:pPr>
              <w:jc w:val="center"/>
              <w:rPr>
                <w:rFonts w:ascii="Calibri" w:hAnsi="Calibri" w:cs="Calibri"/>
                <w:b/>
                <w:bCs/>
                <w:color w:val="000000"/>
                <w:sz w:val="20"/>
                <w:szCs w:val="20"/>
              </w:rPr>
            </w:pPr>
            <w:r>
              <w:rPr>
                <w:rFonts w:ascii="Calibri" w:hAnsi="Calibri" w:cs="Calibri"/>
                <w:b/>
                <w:bCs/>
                <w:color w:val="000000"/>
                <w:sz w:val="20"/>
                <w:szCs w:val="20"/>
              </w:rPr>
              <w:t>č.ř.</w:t>
            </w:r>
          </w:p>
        </w:tc>
        <w:tc>
          <w:tcPr>
            <w:tcW w:w="2840" w:type="dxa"/>
            <w:tcBorders>
              <w:top w:val="single" w:sz="4" w:space="0" w:color="auto"/>
              <w:left w:val="nil"/>
              <w:bottom w:val="single" w:sz="4" w:space="0" w:color="auto"/>
              <w:right w:val="single" w:sz="4" w:space="0" w:color="auto"/>
            </w:tcBorders>
            <w:shd w:val="clear" w:color="FF6600" w:fill="E26B0A"/>
            <w:noWrap/>
            <w:vAlign w:val="center"/>
            <w:hideMark/>
          </w:tcPr>
          <w:p w:rsidR="002950E6" w:rsidRDefault="002950E6">
            <w:pPr>
              <w:jc w:val="center"/>
              <w:rPr>
                <w:rFonts w:ascii="Calibri" w:hAnsi="Calibri" w:cs="Calibri"/>
                <w:b/>
                <w:bCs/>
                <w:color w:val="000000"/>
                <w:sz w:val="20"/>
                <w:szCs w:val="20"/>
              </w:rPr>
            </w:pPr>
            <w:r>
              <w:rPr>
                <w:rFonts w:ascii="Calibri" w:hAnsi="Calibri" w:cs="Calibri"/>
                <w:b/>
                <w:bCs/>
                <w:color w:val="000000"/>
                <w:sz w:val="20"/>
                <w:szCs w:val="20"/>
              </w:rPr>
              <w:t>Kapitálový rozpočet</w:t>
            </w:r>
          </w:p>
        </w:tc>
        <w:tc>
          <w:tcPr>
            <w:tcW w:w="1560" w:type="dxa"/>
            <w:tcBorders>
              <w:top w:val="single" w:sz="4" w:space="0" w:color="auto"/>
              <w:left w:val="nil"/>
              <w:bottom w:val="single" w:sz="4" w:space="0" w:color="auto"/>
              <w:right w:val="single" w:sz="4" w:space="0" w:color="auto"/>
            </w:tcBorders>
            <w:shd w:val="clear" w:color="FF6600" w:fill="E26B0A"/>
            <w:vAlign w:val="center"/>
            <w:hideMark/>
          </w:tcPr>
          <w:p w:rsidR="002950E6" w:rsidRDefault="002950E6">
            <w:pPr>
              <w:jc w:val="center"/>
              <w:rPr>
                <w:rFonts w:ascii="Calibri" w:hAnsi="Calibri" w:cs="Calibri"/>
                <w:b/>
                <w:bCs/>
                <w:color w:val="000000"/>
                <w:sz w:val="20"/>
                <w:szCs w:val="20"/>
              </w:rPr>
            </w:pPr>
            <w:r>
              <w:rPr>
                <w:rFonts w:ascii="Calibri" w:hAnsi="Calibri" w:cs="Calibri"/>
                <w:b/>
                <w:bCs/>
                <w:color w:val="000000"/>
                <w:sz w:val="20"/>
                <w:szCs w:val="20"/>
              </w:rPr>
              <w:t>Schválený rozpočet 2022</w:t>
            </w:r>
          </w:p>
        </w:tc>
        <w:tc>
          <w:tcPr>
            <w:tcW w:w="1560" w:type="dxa"/>
            <w:tcBorders>
              <w:top w:val="single" w:sz="4" w:space="0" w:color="auto"/>
              <w:left w:val="nil"/>
              <w:bottom w:val="single" w:sz="4" w:space="0" w:color="auto"/>
              <w:right w:val="single" w:sz="4" w:space="0" w:color="auto"/>
            </w:tcBorders>
            <w:shd w:val="clear" w:color="FF6600" w:fill="E26B0A"/>
            <w:vAlign w:val="center"/>
            <w:hideMark/>
          </w:tcPr>
          <w:p w:rsidR="002950E6" w:rsidRDefault="002950E6">
            <w:pPr>
              <w:jc w:val="center"/>
              <w:rPr>
                <w:rFonts w:ascii="Calibri" w:hAnsi="Calibri" w:cs="Calibri"/>
                <w:b/>
                <w:bCs/>
                <w:color w:val="000000"/>
                <w:sz w:val="20"/>
                <w:szCs w:val="20"/>
              </w:rPr>
            </w:pPr>
            <w:r>
              <w:rPr>
                <w:rFonts w:ascii="Calibri" w:hAnsi="Calibri" w:cs="Calibri"/>
                <w:b/>
                <w:bCs/>
                <w:color w:val="000000"/>
                <w:sz w:val="20"/>
                <w:szCs w:val="20"/>
              </w:rPr>
              <w:t>Upravený rozpočet 2022</w:t>
            </w:r>
          </w:p>
        </w:tc>
        <w:tc>
          <w:tcPr>
            <w:tcW w:w="1560" w:type="dxa"/>
            <w:tcBorders>
              <w:top w:val="single" w:sz="4" w:space="0" w:color="auto"/>
              <w:left w:val="nil"/>
              <w:bottom w:val="single" w:sz="4" w:space="0" w:color="auto"/>
              <w:right w:val="single" w:sz="4" w:space="0" w:color="auto"/>
            </w:tcBorders>
            <w:shd w:val="clear" w:color="FF6600" w:fill="E26B0A"/>
            <w:vAlign w:val="center"/>
            <w:hideMark/>
          </w:tcPr>
          <w:p w:rsidR="002950E6" w:rsidRDefault="002950E6">
            <w:pPr>
              <w:jc w:val="center"/>
              <w:rPr>
                <w:rFonts w:ascii="Calibri" w:hAnsi="Calibri" w:cs="Calibri"/>
                <w:b/>
                <w:bCs/>
                <w:color w:val="000000"/>
                <w:sz w:val="20"/>
                <w:szCs w:val="20"/>
              </w:rPr>
            </w:pPr>
            <w:r>
              <w:rPr>
                <w:rFonts w:ascii="Calibri" w:hAnsi="Calibri" w:cs="Calibri"/>
                <w:b/>
                <w:bCs/>
                <w:color w:val="000000"/>
                <w:sz w:val="20"/>
                <w:szCs w:val="20"/>
              </w:rPr>
              <w:t>Skutečnost hospodaření k 31.12.2022</w:t>
            </w:r>
          </w:p>
        </w:tc>
        <w:tc>
          <w:tcPr>
            <w:tcW w:w="880" w:type="dxa"/>
            <w:tcBorders>
              <w:top w:val="single" w:sz="4" w:space="0" w:color="auto"/>
              <w:left w:val="nil"/>
              <w:bottom w:val="single" w:sz="4" w:space="0" w:color="auto"/>
              <w:right w:val="single" w:sz="4" w:space="0" w:color="auto"/>
            </w:tcBorders>
            <w:shd w:val="clear" w:color="FF6600" w:fill="E26B0A"/>
            <w:vAlign w:val="center"/>
            <w:hideMark/>
          </w:tcPr>
          <w:p w:rsidR="002950E6" w:rsidRDefault="002950E6">
            <w:pPr>
              <w:jc w:val="center"/>
              <w:rPr>
                <w:rFonts w:ascii="Calibri" w:hAnsi="Calibri" w:cs="Calibri"/>
                <w:b/>
                <w:bCs/>
                <w:color w:val="000000"/>
                <w:sz w:val="20"/>
                <w:szCs w:val="20"/>
              </w:rPr>
            </w:pPr>
            <w:r>
              <w:rPr>
                <w:rFonts w:ascii="Calibri" w:hAnsi="Calibri" w:cs="Calibri"/>
                <w:b/>
                <w:bCs/>
                <w:color w:val="000000"/>
                <w:sz w:val="20"/>
                <w:szCs w:val="20"/>
              </w:rPr>
              <w:t>% plnění rozpočtu</w:t>
            </w:r>
          </w:p>
        </w:tc>
      </w:tr>
      <w:tr w:rsidR="002950E6" w:rsidTr="002950E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950E6" w:rsidRDefault="002950E6">
            <w:pPr>
              <w:jc w:val="center"/>
              <w:rPr>
                <w:rFonts w:ascii="Calibri" w:hAnsi="Calibri" w:cs="Calibri"/>
                <w:b/>
                <w:bCs/>
                <w:color w:val="000000"/>
                <w:sz w:val="20"/>
                <w:szCs w:val="20"/>
              </w:rPr>
            </w:pPr>
            <w:r>
              <w:rPr>
                <w:rFonts w:ascii="Calibri" w:hAnsi="Calibri" w:cs="Calibri"/>
                <w:b/>
                <w:bCs/>
                <w:color w:val="000000"/>
                <w:sz w:val="20"/>
                <w:szCs w:val="20"/>
              </w:rPr>
              <w:t>1</w:t>
            </w:r>
          </w:p>
        </w:tc>
        <w:tc>
          <w:tcPr>
            <w:tcW w:w="2840" w:type="dxa"/>
            <w:tcBorders>
              <w:top w:val="nil"/>
              <w:left w:val="nil"/>
              <w:bottom w:val="single" w:sz="4" w:space="0" w:color="auto"/>
              <w:right w:val="single" w:sz="4" w:space="0" w:color="auto"/>
            </w:tcBorders>
            <w:shd w:val="clear" w:color="auto" w:fill="auto"/>
            <w:noWrap/>
            <w:vAlign w:val="center"/>
            <w:hideMark/>
          </w:tcPr>
          <w:p w:rsidR="002950E6" w:rsidRDefault="002950E6">
            <w:pPr>
              <w:rPr>
                <w:rFonts w:ascii="Calibri" w:hAnsi="Calibri" w:cs="Calibri"/>
                <w:b/>
                <w:bCs/>
                <w:color w:val="000000"/>
                <w:sz w:val="20"/>
                <w:szCs w:val="20"/>
              </w:rPr>
            </w:pPr>
            <w:r>
              <w:rPr>
                <w:rFonts w:ascii="Calibri" w:hAnsi="Calibri" w:cs="Calibri"/>
                <w:b/>
                <w:bCs/>
                <w:color w:val="000000"/>
                <w:sz w:val="20"/>
                <w:szCs w:val="20"/>
              </w:rPr>
              <w:t>Kapitálové příjmy</w:t>
            </w:r>
          </w:p>
        </w:tc>
        <w:tc>
          <w:tcPr>
            <w:tcW w:w="156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b/>
                <w:bCs/>
                <w:color w:val="000000"/>
                <w:sz w:val="20"/>
                <w:szCs w:val="20"/>
              </w:rPr>
            </w:pPr>
            <w:r>
              <w:rPr>
                <w:rFonts w:ascii="Calibri" w:hAnsi="Calibri" w:cs="Calibri"/>
                <w:b/>
                <w:bCs/>
                <w:color w:val="000000"/>
                <w:sz w:val="20"/>
                <w:szCs w:val="20"/>
              </w:rPr>
              <w:t>14 967 598,72</w:t>
            </w:r>
          </w:p>
        </w:tc>
        <w:tc>
          <w:tcPr>
            <w:tcW w:w="156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b/>
                <w:bCs/>
                <w:color w:val="000000"/>
                <w:sz w:val="20"/>
                <w:szCs w:val="20"/>
              </w:rPr>
            </w:pPr>
            <w:r>
              <w:rPr>
                <w:rFonts w:ascii="Calibri" w:hAnsi="Calibri" w:cs="Calibri"/>
                <w:b/>
                <w:bCs/>
                <w:color w:val="000000"/>
                <w:sz w:val="20"/>
                <w:szCs w:val="20"/>
              </w:rPr>
              <w:t>21 878 967,59</w:t>
            </w:r>
          </w:p>
        </w:tc>
        <w:tc>
          <w:tcPr>
            <w:tcW w:w="156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b/>
                <w:bCs/>
                <w:color w:val="000000"/>
                <w:sz w:val="20"/>
                <w:szCs w:val="20"/>
              </w:rPr>
            </w:pPr>
            <w:r>
              <w:rPr>
                <w:rFonts w:ascii="Calibri" w:hAnsi="Calibri" w:cs="Calibri"/>
                <w:b/>
                <w:bCs/>
                <w:color w:val="000000"/>
                <w:sz w:val="20"/>
                <w:szCs w:val="20"/>
              </w:rPr>
              <w:t>10 017 088,80</w:t>
            </w:r>
          </w:p>
        </w:tc>
        <w:tc>
          <w:tcPr>
            <w:tcW w:w="88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b/>
                <w:bCs/>
                <w:color w:val="000000"/>
                <w:sz w:val="20"/>
                <w:szCs w:val="20"/>
              </w:rPr>
            </w:pPr>
            <w:r>
              <w:rPr>
                <w:rFonts w:ascii="Calibri" w:hAnsi="Calibri" w:cs="Calibri"/>
                <w:b/>
                <w:bCs/>
                <w:color w:val="000000"/>
                <w:sz w:val="20"/>
                <w:szCs w:val="20"/>
              </w:rPr>
              <w:t>45,78</w:t>
            </w:r>
          </w:p>
        </w:tc>
      </w:tr>
      <w:tr w:rsidR="002950E6" w:rsidTr="002950E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950E6" w:rsidRDefault="002950E6">
            <w:pPr>
              <w:jc w:val="center"/>
              <w:rPr>
                <w:rFonts w:ascii="Calibri" w:hAnsi="Calibri" w:cs="Calibri"/>
                <w:color w:val="000000"/>
                <w:sz w:val="20"/>
                <w:szCs w:val="20"/>
              </w:rPr>
            </w:pPr>
            <w:r>
              <w:rPr>
                <w:rFonts w:ascii="Calibri" w:hAnsi="Calibri" w:cs="Calibri"/>
                <w:color w:val="000000"/>
                <w:sz w:val="20"/>
                <w:szCs w:val="20"/>
              </w:rPr>
              <w:t>2</w:t>
            </w:r>
          </w:p>
        </w:tc>
        <w:tc>
          <w:tcPr>
            <w:tcW w:w="2840" w:type="dxa"/>
            <w:tcBorders>
              <w:top w:val="nil"/>
              <w:left w:val="nil"/>
              <w:bottom w:val="single" w:sz="4" w:space="0" w:color="auto"/>
              <w:right w:val="single" w:sz="4" w:space="0" w:color="auto"/>
            </w:tcBorders>
            <w:shd w:val="clear" w:color="auto" w:fill="auto"/>
            <w:noWrap/>
            <w:vAlign w:val="center"/>
            <w:hideMark/>
          </w:tcPr>
          <w:p w:rsidR="002950E6" w:rsidRDefault="002950E6">
            <w:pPr>
              <w:rPr>
                <w:rFonts w:ascii="Calibri" w:hAnsi="Calibri" w:cs="Calibri"/>
                <w:color w:val="000000"/>
                <w:sz w:val="20"/>
                <w:szCs w:val="20"/>
              </w:rPr>
            </w:pPr>
            <w:r>
              <w:rPr>
                <w:rFonts w:ascii="Calibri" w:hAnsi="Calibri" w:cs="Calibri"/>
                <w:color w:val="000000"/>
                <w:sz w:val="20"/>
                <w:szCs w:val="20"/>
              </w:rPr>
              <w:t>z toho příjmy z prodeje majetku</w:t>
            </w:r>
          </w:p>
        </w:tc>
        <w:tc>
          <w:tcPr>
            <w:tcW w:w="156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color w:val="000000"/>
                <w:sz w:val="20"/>
                <w:szCs w:val="20"/>
              </w:rPr>
            </w:pPr>
            <w:r>
              <w:rPr>
                <w:rFonts w:ascii="Calibri" w:hAnsi="Calibri" w:cs="Calibri"/>
                <w:color w:val="000000"/>
                <w:sz w:val="20"/>
                <w:szCs w:val="20"/>
              </w:rPr>
              <w:t>1 003 000,00</w:t>
            </w:r>
          </w:p>
        </w:tc>
        <w:tc>
          <w:tcPr>
            <w:tcW w:w="156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color w:val="000000"/>
                <w:sz w:val="20"/>
                <w:szCs w:val="20"/>
              </w:rPr>
            </w:pPr>
            <w:r>
              <w:rPr>
                <w:rFonts w:ascii="Calibri" w:hAnsi="Calibri" w:cs="Calibri"/>
                <w:color w:val="000000"/>
                <w:sz w:val="20"/>
                <w:szCs w:val="20"/>
              </w:rPr>
              <w:t>4 740 148,00</w:t>
            </w:r>
          </w:p>
        </w:tc>
        <w:tc>
          <w:tcPr>
            <w:tcW w:w="156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color w:val="000000"/>
                <w:sz w:val="20"/>
                <w:szCs w:val="20"/>
              </w:rPr>
            </w:pPr>
            <w:r>
              <w:rPr>
                <w:rFonts w:ascii="Calibri" w:hAnsi="Calibri" w:cs="Calibri"/>
                <w:color w:val="000000"/>
                <w:sz w:val="20"/>
                <w:szCs w:val="20"/>
              </w:rPr>
              <w:t>5 103 947,93</w:t>
            </w:r>
          </w:p>
        </w:tc>
        <w:tc>
          <w:tcPr>
            <w:tcW w:w="88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color w:val="000000"/>
                <w:sz w:val="20"/>
                <w:szCs w:val="20"/>
              </w:rPr>
            </w:pPr>
            <w:r>
              <w:rPr>
                <w:rFonts w:ascii="Calibri" w:hAnsi="Calibri" w:cs="Calibri"/>
                <w:color w:val="000000"/>
                <w:sz w:val="20"/>
                <w:szCs w:val="20"/>
              </w:rPr>
              <w:t>107,67</w:t>
            </w:r>
          </w:p>
        </w:tc>
      </w:tr>
      <w:tr w:rsidR="002950E6" w:rsidTr="002950E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950E6" w:rsidRDefault="002950E6">
            <w:pPr>
              <w:jc w:val="center"/>
              <w:rPr>
                <w:rFonts w:ascii="Calibri" w:hAnsi="Calibri" w:cs="Calibri"/>
                <w:color w:val="000000"/>
                <w:sz w:val="20"/>
                <w:szCs w:val="20"/>
              </w:rPr>
            </w:pPr>
            <w:r>
              <w:rPr>
                <w:rFonts w:ascii="Calibri" w:hAnsi="Calibri" w:cs="Calibri"/>
                <w:color w:val="000000"/>
                <w:sz w:val="20"/>
                <w:szCs w:val="20"/>
              </w:rPr>
              <w:t>3</w:t>
            </w:r>
          </w:p>
        </w:tc>
        <w:tc>
          <w:tcPr>
            <w:tcW w:w="2840" w:type="dxa"/>
            <w:tcBorders>
              <w:top w:val="nil"/>
              <w:left w:val="nil"/>
              <w:bottom w:val="single" w:sz="4" w:space="0" w:color="auto"/>
              <w:right w:val="single" w:sz="4" w:space="0" w:color="auto"/>
            </w:tcBorders>
            <w:shd w:val="clear" w:color="auto" w:fill="auto"/>
            <w:noWrap/>
            <w:vAlign w:val="center"/>
            <w:hideMark/>
          </w:tcPr>
          <w:p w:rsidR="002950E6" w:rsidRDefault="002950E6">
            <w:pPr>
              <w:rPr>
                <w:rFonts w:ascii="Calibri" w:hAnsi="Calibri" w:cs="Calibri"/>
                <w:color w:val="000000"/>
                <w:sz w:val="20"/>
                <w:szCs w:val="20"/>
              </w:rPr>
            </w:pPr>
            <w:r>
              <w:rPr>
                <w:rFonts w:ascii="Calibri" w:hAnsi="Calibri" w:cs="Calibri"/>
                <w:color w:val="000000"/>
                <w:sz w:val="20"/>
                <w:szCs w:val="20"/>
              </w:rPr>
              <w:t xml:space="preserve">            kapitálové dotace</w:t>
            </w:r>
          </w:p>
        </w:tc>
        <w:tc>
          <w:tcPr>
            <w:tcW w:w="156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color w:val="000000"/>
                <w:sz w:val="20"/>
                <w:szCs w:val="20"/>
              </w:rPr>
            </w:pPr>
            <w:r>
              <w:rPr>
                <w:rFonts w:ascii="Calibri" w:hAnsi="Calibri" w:cs="Calibri"/>
                <w:color w:val="000000"/>
                <w:sz w:val="20"/>
                <w:szCs w:val="20"/>
              </w:rPr>
              <w:t>13 964 598,72</w:t>
            </w:r>
          </w:p>
        </w:tc>
        <w:tc>
          <w:tcPr>
            <w:tcW w:w="156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color w:val="000000"/>
                <w:sz w:val="20"/>
                <w:szCs w:val="20"/>
              </w:rPr>
            </w:pPr>
            <w:r>
              <w:rPr>
                <w:rFonts w:ascii="Calibri" w:hAnsi="Calibri" w:cs="Calibri"/>
                <w:color w:val="000000"/>
                <w:sz w:val="20"/>
                <w:szCs w:val="20"/>
              </w:rPr>
              <w:t>17 138 819,59</w:t>
            </w:r>
          </w:p>
        </w:tc>
        <w:tc>
          <w:tcPr>
            <w:tcW w:w="156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color w:val="000000"/>
                <w:sz w:val="20"/>
                <w:szCs w:val="20"/>
              </w:rPr>
            </w:pPr>
            <w:r>
              <w:rPr>
                <w:rFonts w:ascii="Calibri" w:hAnsi="Calibri" w:cs="Calibri"/>
                <w:color w:val="000000"/>
                <w:sz w:val="20"/>
                <w:szCs w:val="20"/>
              </w:rPr>
              <w:t>4 913 140,87</w:t>
            </w:r>
          </w:p>
        </w:tc>
        <w:tc>
          <w:tcPr>
            <w:tcW w:w="88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color w:val="000000"/>
                <w:sz w:val="20"/>
                <w:szCs w:val="20"/>
              </w:rPr>
            </w:pPr>
            <w:r>
              <w:rPr>
                <w:rFonts w:ascii="Calibri" w:hAnsi="Calibri" w:cs="Calibri"/>
                <w:color w:val="000000"/>
                <w:sz w:val="20"/>
                <w:szCs w:val="20"/>
              </w:rPr>
              <w:t>28,67</w:t>
            </w:r>
          </w:p>
        </w:tc>
      </w:tr>
      <w:tr w:rsidR="002950E6" w:rsidTr="002950E6">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950E6" w:rsidRDefault="002950E6">
            <w:pPr>
              <w:jc w:val="center"/>
              <w:rPr>
                <w:rFonts w:ascii="Calibri" w:hAnsi="Calibri" w:cs="Calibri"/>
                <w:b/>
                <w:bCs/>
                <w:color w:val="000000"/>
                <w:sz w:val="20"/>
                <w:szCs w:val="20"/>
              </w:rPr>
            </w:pPr>
            <w:r>
              <w:rPr>
                <w:rFonts w:ascii="Calibri" w:hAnsi="Calibri" w:cs="Calibri"/>
                <w:b/>
                <w:bCs/>
                <w:color w:val="000000"/>
                <w:sz w:val="20"/>
                <w:szCs w:val="20"/>
              </w:rPr>
              <w:t>4</w:t>
            </w:r>
          </w:p>
        </w:tc>
        <w:tc>
          <w:tcPr>
            <w:tcW w:w="2840" w:type="dxa"/>
            <w:tcBorders>
              <w:top w:val="nil"/>
              <w:left w:val="nil"/>
              <w:bottom w:val="single" w:sz="4" w:space="0" w:color="auto"/>
              <w:right w:val="single" w:sz="4" w:space="0" w:color="auto"/>
            </w:tcBorders>
            <w:shd w:val="clear" w:color="auto" w:fill="auto"/>
            <w:noWrap/>
            <w:vAlign w:val="center"/>
            <w:hideMark/>
          </w:tcPr>
          <w:p w:rsidR="002950E6" w:rsidRDefault="002950E6">
            <w:pPr>
              <w:rPr>
                <w:rFonts w:ascii="Calibri" w:hAnsi="Calibri" w:cs="Calibri"/>
                <w:b/>
                <w:bCs/>
                <w:color w:val="000000"/>
                <w:sz w:val="20"/>
                <w:szCs w:val="20"/>
              </w:rPr>
            </w:pPr>
            <w:r>
              <w:rPr>
                <w:rFonts w:ascii="Calibri" w:hAnsi="Calibri" w:cs="Calibri"/>
                <w:b/>
                <w:bCs/>
                <w:color w:val="000000"/>
                <w:sz w:val="20"/>
                <w:szCs w:val="20"/>
              </w:rPr>
              <w:t>Kapitálové výdaje</w:t>
            </w:r>
          </w:p>
        </w:tc>
        <w:tc>
          <w:tcPr>
            <w:tcW w:w="156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b/>
                <w:bCs/>
                <w:color w:val="000000"/>
                <w:sz w:val="20"/>
                <w:szCs w:val="20"/>
              </w:rPr>
            </w:pPr>
            <w:r>
              <w:rPr>
                <w:rFonts w:ascii="Calibri" w:hAnsi="Calibri" w:cs="Calibri"/>
                <w:b/>
                <w:bCs/>
                <w:color w:val="000000"/>
                <w:sz w:val="20"/>
                <w:szCs w:val="20"/>
              </w:rPr>
              <w:t>289 045 550,00</w:t>
            </w:r>
          </w:p>
        </w:tc>
        <w:tc>
          <w:tcPr>
            <w:tcW w:w="156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b/>
                <w:bCs/>
                <w:color w:val="000000"/>
                <w:sz w:val="20"/>
                <w:szCs w:val="20"/>
              </w:rPr>
            </w:pPr>
            <w:r>
              <w:rPr>
                <w:rFonts w:ascii="Calibri" w:hAnsi="Calibri" w:cs="Calibri"/>
                <w:b/>
                <w:bCs/>
                <w:color w:val="000000"/>
                <w:sz w:val="20"/>
                <w:szCs w:val="20"/>
              </w:rPr>
              <w:t>282 507 047,30</w:t>
            </w:r>
          </w:p>
        </w:tc>
        <w:tc>
          <w:tcPr>
            <w:tcW w:w="156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b/>
                <w:bCs/>
                <w:color w:val="000000"/>
                <w:sz w:val="20"/>
                <w:szCs w:val="20"/>
              </w:rPr>
            </w:pPr>
            <w:r>
              <w:rPr>
                <w:rFonts w:ascii="Calibri" w:hAnsi="Calibri" w:cs="Calibri"/>
                <w:b/>
                <w:bCs/>
                <w:color w:val="000000"/>
                <w:sz w:val="20"/>
                <w:szCs w:val="20"/>
              </w:rPr>
              <w:t>237 799 832,15</w:t>
            </w:r>
          </w:p>
        </w:tc>
        <w:tc>
          <w:tcPr>
            <w:tcW w:w="880" w:type="dxa"/>
            <w:tcBorders>
              <w:top w:val="nil"/>
              <w:left w:val="nil"/>
              <w:bottom w:val="single" w:sz="4" w:space="0" w:color="auto"/>
              <w:right w:val="single" w:sz="4" w:space="0" w:color="auto"/>
            </w:tcBorders>
            <w:shd w:val="clear" w:color="auto" w:fill="auto"/>
            <w:noWrap/>
            <w:vAlign w:val="center"/>
            <w:hideMark/>
          </w:tcPr>
          <w:p w:rsidR="002950E6" w:rsidRDefault="002950E6">
            <w:pPr>
              <w:jc w:val="right"/>
              <w:rPr>
                <w:rFonts w:ascii="Calibri" w:hAnsi="Calibri" w:cs="Calibri"/>
                <w:b/>
                <w:bCs/>
                <w:color w:val="000000"/>
                <w:sz w:val="20"/>
                <w:szCs w:val="20"/>
              </w:rPr>
            </w:pPr>
            <w:r>
              <w:rPr>
                <w:rFonts w:ascii="Calibri" w:hAnsi="Calibri" w:cs="Calibri"/>
                <w:b/>
                <w:bCs/>
                <w:color w:val="000000"/>
                <w:sz w:val="20"/>
                <w:szCs w:val="20"/>
              </w:rPr>
              <w:t>84,17</w:t>
            </w:r>
          </w:p>
        </w:tc>
      </w:tr>
      <w:tr w:rsidR="002950E6" w:rsidTr="002950E6">
        <w:trPr>
          <w:trHeight w:val="300"/>
        </w:trPr>
        <w:tc>
          <w:tcPr>
            <w:tcW w:w="500" w:type="dxa"/>
            <w:tcBorders>
              <w:top w:val="nil"/>
              <w:left w:val="single" w:sz="4" w:space="0" w:color="auto"/>
              <w:bottom w:val="single" w:sz="4" w:space="0" w:color="auto"/>
              <w:right w:val="single" w:sz="4" w:space="0" w:color="auto"/>
            </w:tcBorders>
            <w:shd w:val="clear" w:color="F4B183" w:fill="FABF8F"/>
            <w:noWrap/>
            <w:vAlign w:val="center"/>
            <w:hideMark/>
          </w:tcPr>
          <w:p w:rsidR="002950E6" w:rsidRDefault="002950E6">
            <w:pPr>
              <w:jc w:val="center"/>
              <w:rPr>
                <w:rFonts w:ascii="Calibri" w:hAnsi="Calibri" w:cs="Calibri"/>
                <w:b/>
                <w:bCs/>
                <w:color w:val="000000"/>
                <w:sz w:val="20"/>
                <w:szCs w:val="20"/>
              </w:rPr>
            </w:pPr>
            <w:r>
              <w:rPr>
                <w:rFonts w:ascii="Calibri" w:hAnsi="Calibri" w:cs="Calibri"/>
                <w:b/>
                <w:bCs/>
                <w:color w:val="000000"/>
                <w:sz w:val="20"/>
                <w:szCs w:val="20"/>
              </w:rPr>
              <w:t>5</w:t>
            </w:r>
          </w:p>
        </w:tc>
        <w:tc>
          <w:tcPr>
            <w:tcW w:w="2840" w:type="dxa"/>
            <w:tcBorders>
              <w:top w:val="nil"/>
              <w:left w:val="nil"/>
              <w:bottom w:val="single" w:sz="4" w:space="0" w:color="auto"/>
              <w:right w:val="single" w:sz="4" w:space="0" w:color="auto"/>
            </w:tcBorders>
            <w:shd w:val="clear" w:color="F4B183" w:fill="FABF8F"/>
            <w:noWrap/>
            <w:vAlign w:val="center"/>
            <w:hideMark/>
          </w:tcPr>
          <w:p w:rsidR="002950E6" w:rsidRDefault="002950E6">
            <w:pPr>
              <w:rPr>
                <w:rFonts w:ascii="Calibri" w:hAnsi="Calibri" w:cs="Calibri"/>
                <w:b/>
                <w:bCs/>
                <w:color w:val="000000"/>
                <w:sz w:val="20"/>
                <w:szCs w:val="20"/>
              </w:rPr>
            </w:pPr>
            <w:r>
              <w:rPr>
                <w:rFonts w:ascii="Calibri" w:hAnsi="Calibri" w:cs="Calibri"/>
                <w:b/>
                <w:bCs/>
                <w:color w:val="000000"/>
                <w:sz w:val="20"/>
                <w:szCs w:val="20"/>
              </w:rPr>
              <w:t>Kapitálový deficit</w:t>
            </w:r>
          </w:p>
        </w:tc>
        <w:tc>
          <w:tcPr>
            <w:tcW w:w="1560" w:type="dxa"/>
            <w:tcBorders>
              <w:top w:val="nil"/>
              <w:left w:val="nil"/>
              <w:bottom w:val="single" w:sz="4" w:space="0" w:color="auto"/>
              <w:right w:val="single" w:sz="4" w:space="0" w:color="auto"/>
            </w:tcBorders>
            <w:shd w:val="clear" w:color="F4B183" w:fill="FABF8F"/>
            <w:noWrap/>
            <w:vAlign w:val="center"/>
            <w:hideMark/>
          </w:tcPr>
          <w:p w:rsidR="002950E6" w:rsidRDefault="002950E6">
            <w:pPr>
              <w:jc w:val="right"/>
              <w:rPr>
                <w:rFonts w:ascii="Calibri" w:hAnsi="Calibri" w:cs="Calibri"/>
                <w:b/>
                <w:bCs/>
                <w:color w:val="000000"/>
                <w:sz w:val="20"/>
                <w:szCs w:val="20"/>
              </w:rPr>
            </w:pPr>
            <w:r>
              <w:rPr>
                <w:rFonts w:ascii="Calibri" w:hAnsi="Calibri" w:cs="Calibri"/>
                <w:b/>
                <w:bCs/>
                <w:color w:val="000000"/>
                <w:sz w:val="20"/>
                <w:szCs w:val="20"/>
              </w:rPr>
              <w:t>-274 077 951,28</w:t>
            </w:r>
          </w:p>
        </w:tc>
        <w:tc>
          <w:tcPr>
            <w:tcW w:w="1560" w:type="dxa"/>
            <w:tcBorders>
              <w:top w:val="nil"/>
              <w:left w:val="nil"/>
              <w:bottom w:val="single" w:sz="4" w:space="0" w:color="auto"/>
              <w:right w:val="single" w:sz="4" w:space="0" w:color="auto"/>
            </w:tcBorders>
            <w:shd w:val="clear" w:color="F4B183" w:fill="FABF8F"/>
            <w:noWrap/>
            <w:vAlign w:val="center"/>
            <w:hideMark/>
          </w:tcPr>
          <w:p w:rsidR="002950E6" w:rsidRDefault="002950E6">
            <w:pPr>
              <w:jc w:val="right"/>
              <w:rPr>
                <w:rFonts w:ascii="Calibri" w:hAnsi="Calibri" w:cs="Calibri"/>
                <w:b/>
                <w:bCs/>
                <w:color w:val="000000"/>
                <w:sz w:val="20"/>
                <w:szCs w:val="20"/>
              </w:rPr>
            </w:pPr>
            <w:r>
              <w:rPr>
                <w:rFonts w:ascii="Calibri" w:hAnsi="Calibri" w:cs="Calibri"/>
                <w:b/>
                <w:bCs/>
                <w:color w:val="000000"/>
                <w:sz w:val="20"/>
                <w:szCs w:val="20"/>
              </w:rPr>
              <w:t>-260 628 079,71</w:t>
            </w:r>
          </w:p>
        </w:tc>
        <w:tc>
          <w:tcPr>
            <w:tcW w:w="1560" w:type="dxa"/>
            <w:tcBorders>
              <w:top w:val="nil"/>
              <w:left w:val="nil"/>
              <w:bottom w:val="single" w:sz="4" w:space="0" w:color="auto"/>
              <w:right w:val="single" w:sz="4" w:space="0" w:color="auto"/>
            </w:tcBorders>
            <w:shd w:val="clear" w:color="C5E0B4" w:fill="D8E4BC"/>
            <w:noWrap/>
            <w:vAlign w:val="center"/>
            <w:hideMark/>
          </w:tcPr>
          <w:p w:rsidR="002950E6" w:rsidRDefault="002950E6">
            <w:pPr>
              <w:jc w:val="right"/>
              <w:rPr>
                <w:rFonts w:ascii="Calibri" w:hAnsi="Calibri" w:cs="Calibri"/>
                <w:b/>
                <w:bCs/>
                <w:color w:val="000000"/>
                <w:sz w:val="20"/>
                <w:szCs w:val="20"/>
              </w:rPr>
            </w:pPr>
            <w:r>
              <w:rPr>
                <w:rFonts w:ascii="Calibri" w:hAnsi="Calibri" w:cs="Calibri"/>
                <w:b/>
                <w:bCs/>
                <w:color w:val="000000"/>
                <w:sz w:val="20"/>
                <w:szCs w:val="20"/>
              </w:rPr>
              <w:t>-227 782 743,35</w:t>
            </w:r>
          </w:p>
        </w:tc>
        <w:tc>
          <w:tcPr>
            <w:tcW w:w="880" w:type="dxa"/>
            <w:tcBorders>
              <w:top w:val="nil"/>
              <w:left w:val="nil"/>
              <w:bottom w:val="single" w:sz="4" w:space="0" w:color="auto"/>
              <w:right w:val="single" w:sz="4" w:space="0" w:color="auto"/>
            </w:tcBorders>
            <w:shd w:val="clear" w:color="F4B183" w:fill="FABF8F"/>
            <w:noWrap/>
            <w:vAlign w:val="center"/>
            <w:hideMark/>
          </w:tcPr>
          <w:p w:rsidR="002950E6" w:rsidRDefault="002950E6">
            <w:pPr>
              <w:jc w:val="right"/>
              <w:rPr>
                <w:rFonts w:ascii="Calibri" w:hAnsi="Calibri" w:cs="Calibri"/>
                <w:color w:val="000000"/>
                <w:sz w:val="20"/>
                <w:szCs w:val="20"/>
              </w:rPr>
            </w:pPr>
            <w:r>
              <w:rPr>
                <w:rFonts w:ascii="Calibri" w:hAnsi="Calibri" w:cs="Calibri"/>
                <w:color w:val="000000"/>
                <w:sz w:val="20"/>
                <w:szCs w:val="20"/>
              </w:rPr>
              <w:t xml:space="preserve"> </w:t>
            </w:r>
          </w:p>
        </w:tc>
      </w:tr>
    </w:tbl>
    <w:p w:rsidR="002950E6" w:rsidRDefault="002950E6" w:rsidP="004E2BA6">
      <w:pPr>
        <w:keepNext/>
        <w:keepLines/>
        <w:jc w:val="both"/>
        <w:rPr>
          <w:rFonts w:ascii="Calibri" w:hAnsi="Calibri"/>
          <w:b/>
        </w:rPr>
      </w:pPr>
    </w:p>
    <w:tbl>
      <w:tblPr>
        <w:tblW w:w="8900" w:type="dxa"/>
        <w:tblCellMar>
          <w:left w:w="70" w:type="dxa"/>
          <w:right w:w="70" w:type="dxa"/>
        </w:tblCellMar>
        <w:tblLook w:val="04A0" w:firstRow="1" w:lastRow="0" w:firstColumn="1" w:lastColumn="0" w:noHBand="0" w:noVBand="1"/>
      </w:tblPr>
      <w:tblGrid>
        <w:gridCol w:w="3340"/>
        <w:gridCol w:w="1560"/>
        <w:gridCol w:w="1560"/>
        <w:gridCol w:w="1560"/>
        <w:gridCol w:w="880"/>
      </w:tblGrid>
      <w:tr w:rsidR="002950E6" w:rsidTr="002950E6">
        <w:trPr>
          <w:trHeight w:val="300"/>
        </w:trPr>
        <w:tc>
          <w:tcPr>
            <w:tcW w:w="3340" w:type="dxa"/>
            <w:tcBorders>
              <w:top w:val="single" w:sz="4" w:space="0" w:color="auto"/>
              <w:left w:val="single" w:sz="4" w:space="0" w:color="auto"/>
              <w:bottom w:val="single" w:sz="4" w:space="0" w:color="auto"/>
              <w:right w:val="single" w:sz="4" w:space="0" w:color="auto"/>
            </w:tcBorders>
            <w:shd w:val="clear" w:color="FF6600" w:fill="E26B0A"/>
            <w:noWrap/>
            <w:vAlign w:val="center"/>
            <w:hideMark/>
          </w:tcPr>
          <w:p w:rsidR="002950E6" w:rsidRDefault="002950E6">
            <w:pPr>
              <w:jc w:val="center"/>
              <w:rPr>
                <w:rFonts w:ascii="Calibri" w:hAnsi="Calibri" w:cs="Calibri"/>
                <w:b/>
                <w:bCs/>
                <w:color w:val="000000"/>
                <w:sz w:val="20"/>
                <w:szCs w:val="20"/>
              </w:rPr>
            </w:pPr>
            <w:r>
              <w:rPr>
                <w:rFonts w:ascii="Calibri" w:hAnsi="Calibri" w:cs="Calibri"/>
                <w:b/>
                <w:bCs/>
                <w:color w:val="000000"/>
                <w:sz w:val="20"/>
                <w:szCs w:val="20"/>
              </w:rPr>
              <w:t>Výsledek hospodaření</w:t>
            </w:r>
          </w:p>
        </w:tc>
        <w:tc>
          <w:tcPr>
            <w:tcW w:w="1560" w:type="dxa"/>
            <w:tcBorders>
              <w:top w:val="single" w:sz="4" w:space="0" w:color="auto"/>
              <w:left w:val="nil"/>
              <w:bottom w:val="single" w:sz="4" w:space="0" w:color="auto"/>
              <w:right w:val="single" w:sz="4" w:space="0" w:color="auto"/>
            </w:tcBorders>
            <w:shd w:val="clear" w:color="FF6600" w:fill="E26B0A"/>
            <w:noWrap/>
            <w:vAlign w:val="center"/>
            <w:hideMark/>
          </w:tcPr>
          <w:p w:rsidR="002950E6" w:rsidRDefault="002950E6">
            <w:pPr>
              <w:rPr>
                <w:rFonts w:ascii="Calibri" w:hAnsi="Calibri" w:cs="Calibri"/>
                <w:b/>
                <w:bCs/>
                <w:color w:val="000000"/>
                <w:sz w:val="20"/>
                <w:szCs w:val="20"/>
              </w:rPr>
            </w:pPr>
            <w:r>
              <w:rPr>
                <w:rFonts w:ascii="Calibri" w:hAnsi="Calibri" w:cs="Calibri"/>
                <w:b/>
                <w:bCs/>
                <w:color w:val="000000"/>
                <w:sz w:val="20"/>
                <w:szCs w:val="20"/>
              </w:rPr>
              <w:t> </w:t>
            </w:r>
          </w:p>
        </w:tc>
        <w:tc>
          <w:tcPr>
            <w:tcW w:w="1560" w:type="dxa"/>
            <w:tcBorders>
              <w:top w:val="single" w:sz="4" w:space="0" w:color="auto"/>
              <w:left w:val="nil"/>
              <w:bottom w:val="single" w:sz="4" w:space="0" w:color="auto"/>
              <w:right w:val="single" w:sz="4" w:space="0" w:color="auto"/>
            </w:tcBorders>
            <w:shd w:val="clear" w:color="FF6600" w:fill="E26B0A"/>
            <w:noWrap/>
            <w:vAlign w:val="center"/>
            <w:hideMark/>
          </w:tcPr>
          <w:p w:rsidR="002950E6" w:rsidRDefault="002950E6">
            <w:pPr>
              <w:rPr>
                <w:rFonts w:ascii="Calibri" w:hAnsi="Calibri" w:cs="Calibri"/>
                <w:b/>
                <w:bCs/>
                <w:color w:val="000000"/>
                <w:sz w:val="20"/>
                <w:szCs w:val="20"/>
              </w:rPr>
            </w:pPr>
            <w:r>
              <w:rPr>
                <w:rFonts w:ascii="Calibri" w:hAnsi="Calibri" w:cs="Calibri"/>
                <w:b/>
                <w:bCs/>
                <w:color w:val="000000"/>
                <w:sz w:val="20"/>
                <w:szCs w:val="20"/>
              </w:rPr>
              <w:t> </w:t>
            </w:r>
          </w:p>
        </w:tc>
        <w:tc>
          <w:tcPr>
            <w:tcW w:w="1560" w:type="dxa"/>
            <w:tcBorders>
              <w:top w:val="single" w:sz="4" w:space="0" w:color="auto"/>
              <w:left w:val="nil"/>
              <w:bottom w:val="single" w:sz="4" w:space="0" w:color="auto"/>
              <w:right w:val="single" w:sz="4" w:space="0" w:color="auto"/>
            </w:tcBorders>
            <w:shd w:val="clear" w:color="C5E0B4" w:fill="C4D79B"/>
            <w:noWrap/>
            <w:vAlign w:val="center"/>
            <w:hideMark/>
          </w:tcPr>
          <w:p w:rsidR="002950E6" w:rsidRDefault="002950E6">
            <w:pPr>
              <w:jc w:val="right"/>
              <w:rPr>
                <w:rFonts w:ascii="Calibri" w:hAnsi="Calibri" w:cs="Calibri"/>
                <w:b/>
                <w:bCs/>
                <w:color w:val="000000"/>
                <w:sz w:val="20"/>
                <w:szCs w:val="20"/>
              </w:rPr>
            </w:pPr>
            <w:r>
              <w:rPr>
                <w:rFonts w:ascii="Calibri" w:hAnsi="Calibri" w:cs="Calibri"/>
                <w:b/>
                <w:bCs/>
                <w:color w:val="000000"/>
                <w:sz w:val="20"/>
                <w:szCs w:val="20"/>
              </w:rPr>
              <w:t>114 132 083,80</w:t>
            </w:r>
          </w:p>
        </w:tc>
        <w:tc>
          <w:tcPr>
            <w:tcW w:w="880" w:type="dxa"/>
            <w:tcBorders>
              <w:top w:val="single" w:sz="4" w:space="0" w:color="auto"/>
              <w:left w:val="nil"/>
              <w:bottom w:val="single" w:sz="4" w:space="0" w:color="auto"/>
              <w:right w:val="single" w:sz="4" w:space="0" w:color="auto"/>
            </w:tcBorders>
            <w:shd w:val="clear" w:color="FF6600" w:fill="E26B0A"/>
            <w:noWrap/>
            <w:vAlign w:val="center"/>
            <w:hideMark/>
          </w:tcPr>
          <w:p w:rsidR="002950E6" w:rsidRDefault="002950E6">
            <w:pPr>
              <w:rPr>
                <w:rFonts w:ascii="Calibri" w:hAnsi="Calibri" w:cs="Calibri"/>
                <w:b/>
                <w:bCs/>
                <w:color w:val="000000"/>
                <w:sz w:val="20"/>
                <w:szCs w:val="20"/>
              </w:rPr>
            </w:pPr>
            <w:r>
              <w:rPr>
                <w:rFonts w:ascii="Calibri" w:hAnsi="Calibri" w:cs="Calibri"/>
                <w:b/>
                <w:bCs/>
                <w:color w:val="000000"/>
                <w:sz w:val="20"/>
                <w:szCs w:val="20"/>
              </w:rPr>
              <w:t> </w:t>
            </w:r>
          </w:p>
        </w:tc>
      </w:tr>
    </w:tbl>
    <w:p w:rsidR="002950E6" w:rsidRDefault="002950E6" w:rsidP="004E2BA6">
      <w:pPr>
        <w:keepNext/>
        <w:keepLines/>
        <w:jc w:val="both"/>
        <w:rPr>
          <w:rFonts w:ascii="Calibri" w:hAnsi="Calibri"/>
          <w:b/>
        </w:rPr>
      </w:pPr>
    </w:p>
    <w:p w:rsidR="002950E6" w:rsidRDefault="002950E6" w:rsidP="004E2BA6">
      <w:pPr>
        <w:keepNext/>
        <w:keepLines/>
        <w:jc w:val="both"/>
        <w:rPr>
          <w:rFonts w:ascii="Calibri" w:hAnsi="Calibri"/>
          <w:b/>
        </w:rPr>
      </w:pPr>
    </w:p>
    <w:p w:rsidR="002950E6" w:rsidRDefault="002950E6" w:rsidP="004E2BA6">
      <w:pPr>
        <w:keepNext/>
        <w:keepLines/>
        <w:jc w:val="both"/>
        <w:rPr>
          <w:rFonts w:ascii="Calibri" w:hAnsi="Calibri"/>
          <w:b/>
        </w:rPr>
      </w:pPr>
    </w:p>
    <w:p w:rsidR="002950E6" w:rsidRDefault="002950E6" w:rsidP="004E2BA6">
      <w:pPr>
        <w:keepNext/>
        <w:keepLines/>
        <w:jc w:val="both"/>
        <w:rPr>
          <w:rFonts w:ascii="Calibri" w:hAnsi="Calibri"/>
          <w:b/>
        </w:rPr>
      </w:pPr>
    </w:p>
    <w:p w:rsidR="00027C60" w:rsidRDefault="00027C60" w:rsidP="004E2BA6">
      <w:pPr>
        <w:keepNext/>
        <w:keepLines/>
        <w:jc w:val="both"/>
        <w:rPr>
          <w:rFonts w:ascii="Calibri" w:hAnsi="Calibri"/>
          <w:b/>
        </w:rPr>
      </w:pPr>
    </w:p>
    <w:p w:rsidR="00740593" w:rsidRDefault="00740593" w:rsidP="004E2BA6">
      <w:pPr>
        <w:keepNext/>
        <w:keepLines/>
        <w:jc w:val="both"/>
        <w:rPr>
          <w:rFonts w:ascii="Calibri" w:hAnsi="Calibri"/>
          <w:b/>
        </w:rPr>
      </w:pPr>
    </w:p>
    <w:p w:rsidR="004C5C9B" w:rsidRDefault="004C5C9B" w:rsidP="008D3212">
      <w:pPr>
        <w:rPr>
          <w:rFonts w:ascii="Calibri" w:hAnsi="Calibri" w:cs="Calibri"/>
        </w:rPr>
      </w:pPr>
    </w:p>
    <w:p w:rsidR="003C0784" w:rsidRDefault="003C0784" w:rsidP="008D3212">
      <w:pPr>
        <w:rPr>
          <w:rFonts w:ascii="Calibri" w:hAnsi="Calibri" w:cs="Calibri"/>
        </w:rPr>
      </w:pPr>
      <w:r>
        <w:rPr>
          <w:rFonts w:ascii="Calibri" w:hAnsi="Calibri" w:cs="Calibri"/>
        </w:rPr>
        <w:br w:type="page"/>
      </w:r>
    </w:p>
    <w:p w:rsidR="003C0784" w:rsidRPr="009144D8" w:rsidRDefault="0012660A" w:rsidP="003C0784">
      <w:pPr>
        <w:pStyle w:val="Nadpis1"/>
        <w:rPr>
          <w:sz w:val="28"/>
          <w:szCs w:val="28"/>
        </w:rPr>
      </w:pPr>
      <w:bookmarkStart w:id="2" w:name="_Toc39129485"/>
      <w:r w:rsidRPr="009144D8">
        <w:rPr>
          <w:sz w:val="28"/>
          <w:szCs w:val="28"/>
        </w:rPr>
        <w:lastRenderedPageBreak/>
        <w:t xml:space="preserve">Účetní výsledek hospodaření statutárního města Prostějova </w:t>
      </w:r>
      <w:r w:rsidR="003C0784" w:rsidRPr="009144D8">
        <w:rPr>
          <w:sz w:val="28"/>
          <w:szCs w:val="28"/>
        </w:rPr>
        <w:t>k 31.</w:t>
      </w:r>
      <w:r w:rsidR="002950E6">
        <w:rPr>
          <w:sz w:val="28"/>
          <w:szCs w:val="28"/>
        </w:rPr>
        <w:t xml:space="preserve"> </w:t>
      </w:r>
      <w:r w:rsidR="003C0784" w:rsidRPr="009144D8">
        <w:rPr>
          <w:sz w:val="28"/>
          <w:szCs w:val="28"/>
        </w:rPr>
        <w:t>12.</w:t>
      </w:r>
      <w:r w:rsidR="002950E6">
        <w:rPr>
          <w:sz w:val="28"/>
          <w:szCs w:val="28"/>
        </w:rPr>
        <w:t xml:space="preserve"> </w:t>
      </w:r>
      <w:r w:rsidR="003C0784" w:rsidRPr="009144D8">
        <w:rPr>
          <w:sz w:val="28"/>
          <w:szCs w:val="28"/>
        </w:rPr>
        <w:t>20</w:t>
      </w:r>
      <w:bookmarkEnd w:id="2"/>
      <w:r w:rsidR="00626517">
        <w:rPr>
          <w:sz w:val="28"/>
          <w:szCs w:val="28"/>
        </w:rPr>
        <w:t>2</w:t>
      </w:r>
      <w:r w:rsidR="002950E6">
        <w:rPr>
          <w:sz w:val="28"/>
          <w:szCs w:val="28"/>
        </w:rPr>
        <w:t>2</w:t>
      </w:r>
    </w:p>
    <w:p w:rsidR="003C0784" w:rsidRPr="001B3ED3" w:rsidRDefault="003C0784" w:rsidP="003C0784">
      <w:pPr>
        <w:pStyle w:val="Default"/>
        <w:jc w:val="both"/>
        <w:rPr>
          <w:rFonts w:ascii="Calibri" w:hAnsi="Calibri"/>
          <w:b/>
          <w:bCs/>
          <w:color w:val="auto"/>
          <w:sz w:val="22"/>
          <w:szCs w:val="22"/>
        </w:rPr>
      </w:pPr>
      <w:r w:rsidRPr="001B3ED3">
        <w:rPr>
          <w:rFonts w:ascii="Calibri" w:hAnsi="Calibri"/>
          <w:b/>
          <w:bCs/>
          <w:color w:val="auto"/>
          <w:sz w:val="22"/>
          <w:szCs w:val="22"/>
        </w:rPr>
        <w:t>Město P</w:t>
      </w:r>
      <w:r w:rsidR="00626517">
        <w:rPr>
          <w:rFonts w:ascii="Calibri" w:hAnsi="Calibri"/>
          <w:b/>
          <w:bCs/>
          <w:color w:val="auto"/>
          <w:sz w:val="22"/>
          <w:szCs w:val="22"/>
        </w:rPr>
        <w:t>rostějov hospodařilo v roce 202</w:t>
      </w:r>
      <w:r w:rsidR="002950E6">
        <w:rPr>
          <w:rFonts w:ascii="Calibri" w:hAnsi="Calibri"/>
          <w:b/>
          <w:bCs/>
          <w:color w:val="auto"/>
          <w:sz w:val="22"/>
          <w:szCs w:val="22"/>
        </w:rPr>
        <w:t>2</w:t>
      </w:r>
      <w:r w:rsidRPr="001B3ED3">
        <w:rPr>
          <w:rFonts w:ascii="Calibri" w:hAnsi="Calibri"/>
          <w:b/>
          <w:bCs/>
          <w:color w:val="auto"/>
          <w:sz w:val="22"/>
          <w:szCs w:val="22"/>
        </w:rPr>
        <w:t xml:space="preserve"> s účetním ziskem </w:t>
      </w:r>
      <w:r w:rsidR="002950E6">
        <w:rPr>
          <w:rFonts w:ascii="Calibri" w:hAnsi="Calibri"/>
          <w:b/>
          <w:bCs/>
          <w:color w:val="auto"/>
          <w:sz w:val="22"/>
          <w:szCs w:val="22"/>
        </w:rPr>
        <w:t>220,72</w:t>
      </w:r>
      <w:r w:rsidR="00626517">
        <w:rPr>
          <w:rFonts w:ascii="Calibri" w:hAnsi="Calibri"/>
          <w:b/>
          <w:bCs/>
          <w:color w:val="auto"/>
          <w:sz w:val="22"/>
          <w:szCs w:val="22"/>
        </w:rPr>
        <w:t xml:space="preserve"> </w:t>
      </w:r>
      <w:r w:rsidRPr="001B3ED3">
        <w:rPr>
          <w:rFonts w:ascii="Calibri" w:hAnsi="Calibri"/>
          <w:b/>
          <w:bCs/>
          <w:color w:val="auto"/>
          <w:sz w:val="22"/>
          <w:szCs w:val="22"/>
        </w:rPr>
        <w:t>milionů korun</w:t>
      </w:r>
      <w:r w:rsidR="002950E6">
        <w:rPr>
          <w:rFonts w:ascii="Calibri" w:hAnsi="Calibri"/>
          <w:b/>
          <w:bCs/>
          <w:color w:val="auto"/>
          <w:sz w:val="22"/>
          <w:szCs w:val="22"/>
        </w:rPr>
        <w:t xml:space="preserve"> po zdanění</w:t>
      </w:r>
      <w:r w:rsidRPr="001B3ED3">
        <w:rPr>
          <w:rFonts w:ascii="Calibri" w:hAnsi="Calibri"/>
          <w:b/>
          <w:bCs/>
          <w:color w:val="auto"/>
          <w:sz w:val="22"/>
          <w:szCs w:val="22"/>
        </w:rPr>
        <w:t>, přestože finanční toky (saldo rozpočtu města) byly nižší (</w:t>
      </w:r>
      <w:r w:rsidR="002950E6">
        <w:rPr>
          <w:rFonts w:ascii="Calibri" w:hAnsi="Calibri"/>
          <w:b/>
          <w:bCs/>
          <w:color w:val="auto"/>
          <w:sz w:val="22"/>
          <w:szCs w:val="22"/>
        </w:rPr>
        <w:t>114,13</w:t>
      </w:r>
      <w:r w:rsidRPr="001B3ED3">
        <w:rPr>
          <w:rFonts w:ascii="Calibri" w:hAnsi="Calibri"/>
          <w:b/>
          <w:bCs/>
          <w:color w:val="auto"/>
          <w:sz w:val="22"/>
          <w:szCs w:val="22"/>
        </w:rPr>
        <w:t xml:space="preserve"> mil. Kč). </w:t>
      </w:r>
    </w:p>
    <w:p w:rsidR="003C0784" w:rsidRPr="00C0468B" w:rsidRDefault="003C0784" w:rsidP="003C0784">
      <w:pPr>
        <w:pStyle w:val="Default"/>
        <w:jc w:val="both"/>
        <w:rPr>
          <w:rFonts w:ascii="Calibri" w:hAnsi="Calibri"/>
          <w:b/>
          <w:bCs/>
          <w:color w:val="auto"/>
          <w:sz w:val="22"/>
          <w:szCs w:val="22"/>
        </w:rPr>
      </w:pPr>
    </w:p>
    <w:p w:rsidR="003C0784" w:rsidRPr="00C0468B" w:rsidRDefault="003C0784" w:rsidP="003C0784">
      <w:pPr>
        <w:pStyle w:val="Nadpis2"/>
        <w:rPr>
          <w:sz w:val="22"/>
          <w:szCs w:val="22"/>
        </w:rPr>
      </w:pPr>
      <w:r w:rsidRPr="00C0468B">
        <w:rPr>
          <w:sz w:val="22"/>
          <w:szCs w:val="22"/>
        </w:rPr>
        <w:t>Účetní  výsledek hospodaření statutár</w:t>
      </w:r>
      <w:r>
        <w:rPr>
          <w:sz w:val="22"/>
          <w:szCs w:val="22"/>
        </w:rPr>
        <w:t>n</w:t>
      </w:r>
      <w:r w:rsidR="00626517">
        <w:rPr>
          <w:sz w:val="22"/>
          <w:szCs w:val="22"/>
        </w:rPr>
        <w:t>ího města Prostějova za rok 202</w:t>
      </w:r>
      <w:r w:rsidR="002950E6">
        <w:rPr>
          <w:sz w:val="22"/>
          <w:szCs w:val="22"/>
        </w:rPr>
        <w:t>2</w:t>
      </w:r>
    </w:p>
    <w:p w:rsidR="003C0784" w:rsidRPr="00C0468B" w:rsidRDefault="003C0784" w:rsidP="003C0784">
      <w:pPr>
        <w:pStyle w:val="Default"/>
        <w:jc w:val="both"/>
        <w:rPr>
          <w:rFonts w:ascii="Calibri" w:hAnsi="Calibri"/>
          <w:color w:val="auto"/>
          <w:sz w:val="22"/>
          <w:szCs w:val="22"/>
        </w:rPr>
      </w:pPr>
      <w:r w:rsidRPr="00C0468B">
        <w:rPr>
          <w:rFonts w:ascii="Calibri" w:hAnsi="Calibri"/>
          <w:color w:val="auto"/>
          <w:sz w:val="22"/>
          <w:szCs w:val="22"/>
        </w:rPr>
        <w:t>Před zdaněním (</w:t>
      </w:r>
      <w:r w:rsidRPr="00C0468B">
        <w:rPr>
          <w:rFonts w:ascii="Calibri" w:hAnsi="Calibri" w:cs="Arial"/>
          <w:color w:val="auto"/>
          <w:sz w:val="22"/>
          <w:szCs w:val="22"/>
        </w:rPr>
        <w:t>hrubý účetní zisk)</w:t>
      </w:r>
      <w:r w:rsidRPr="00C0468B">
        <w:rPr>
          <w:rFonts w:ascii="Calibri" w:hAnsi="Calibri"/>
          <w:color w:val="auto"/>
          <w:sz w:val="22"/>
          <w:szCs w:val="22"/>
        </w:rPr>
        <w:t xml:space="preserve">: </w:t>
      </w:r>
      <w:r w:rsidR="00626517">
        <w:rPr>
          <w:rFonts w:ascii="Calibri" w:hAnsi="Calibri"/>
          <w:color w:val="auto"/>
          <w:sz w:val="22"/>
          <w:szCs w:val="22"/>
        </w:rPr>
        <w:tab/>
      </w:r>
      <w:r w:rsidR="002950E6">
        <w:rPr>
          <w:rFonts w:ascii="Calibri" w:hAnsi="Calibri"/>
          <w:color w:val="auto"/>
          <w:sz w:val="22"/>
          <w:szCs w:val="22"/>
        </w:rPr>
        <w:t>245 431 653,62</w:t>
      </w:r>
      <w:r w:rsidR="00626517">
        <w:rPr>
          <w:rFonts w:ascii="Calibri" w:hAnsi="Calibri"/>
          <w:color w:val="auto"/>
          <w:sz w:val="22"/>
          <w:szCs w:val="22"/>
        </w:rPr>
        <w:t xml:space="preserve"> Kč </w:t>
      </w:r>
      <w:r w:rsidR="00626517">
        <w:rPr>
          <w:rFonts w:ascii="Calibri" w:hAnsi="Calibri"/>
          <w:color w:val="auto"/>
          <w:sz w:val="22"/>
          <w:szCs w:val="22"/>
        </w:rPr>
        <w:tab/>
        <w:t>(v roce 202</w:t>
      </w:r>
      <w:r w:rsidR="002950E6">
        <w:rPr>
          <w:rFonts w:ascii="Calibri" w:hAnsi="Calibri"/>
          <w:color w:val="auto"/>
          <w:sz w:val="22"/>
          <w:szCs w:val="22"/>
        </w:rPr>
        <w:t>1</w:t>
      </w:r>
      <w:r w:rsidRPr="00C0468B">
        <w:rPr>
          <w:rFonts w:ascii="Calibri" w:hAnsi="Calibri"/>
          <w:color w:val="auto"/>
          <w:sz w:val="22"/>
          <w:szCs w:val="22"/>
        </w:rPr>
        <w:t xml:space="preserve"> </w:t>
      </w:r>
      <w:r w:rsidRPr="00C0468B">
        <w:rPr>
          <w:rFonts w:ascii="Calibri" w:hAnsi="Calibri"/>
          <w:color w:val="auto"/>
          <w:sz w:val="22"/>
          <w:szCs w:val="22"/>
        </w:rPr>
        <w:tab/>
      </w:r>
      <w:r w:rsidR="002950E6">
        <w:rPr>
          <w:rFonts w:ascii="Calibri" w:hAnsi="Calibri"/>
          <w:color w:val="auto"/>
          <w:sz w:val="22"/>
          <w:szCs w:val="22"/>
        </w:rPr>
        <w:t>198 286 341,69</w:t>
      </w:r>
      <w:r w:rsidR="00626517">
        <w:rPr>
          <w:rFonts w:ascii="Calibri" w:hAnsi="Calibri"/>
          <w:color w:val="auto"/>
          <w:sz w:val="22"/>
          <w:szCs w:val="22"/>
        </w:rPr>
        <w:t xml:space="preserve"> </w:t>
      </w:r>
      <w:r w:rsidRPr="00C0468B">
        <w:rPr>
          <w:rFonts w:ascii="Calibri" w:hAnsi="Calibri"/>
          <w:color w:val="auto"/>
          <w:sz w:val="22"/>
          <w:szCs w:val="22"/>
        </w:rPr>
        <w:t>Kč)</w:t>
      </w:r>
    </w:p>
    <w:p w:rsidR="003C0784" w:rsidRPr="00C0468B" w:rsidRDefault="003C0784" w:rsidP="003C0784">
      <w:pPr>
        <w:pStyle w:val="Default"/>
        <w:jc w:val="both"/>
        <w:rPr>
          <w:rFonts w:ascii="Calibri" w:hAnsi="Calibri"/>
          <w:b/>
          <w:color w:val="auto"/>
          <w:sz w:val="22"/>
          <w:szCs w:val="22"/>
        </w:rPr>
      </w:pPr>
      <w:r w:rsidRPr="00C0468B">
        <w:rPr>
          <w:rFonts w:ascii="Calibri" w:hAnsi="Calibri"/>
          <w:b/>
          <w:color w:val="auto"/>
          <w:sz w:val="22"/>
          <w:szCs w:val="22"/>
        </w:rPr>
        <w:t>Po zdanění (disponibilní zisk):</w:t>
      </w:r>
      <w:r w:rsidRPr="00C0468B">
        <w:rPr>
          <w:rFonts w:ascii="Calibri" w:hAnsi="Calibri"/>
          <w:b/>
          <w:color w:val="auto"/>
          <w:sz w:val="22"/>
          <w:szCs w:val="22"/>
        </w:rPr>
        <w:tab/>
      </w:r>
      <w:r w:rsidRPr="00C0468B">
        <w:rPr>
          <w:rFonts w:ascii="Calibri" w:hAnsi="Calibri"/>
          <w:b/>
          <w:color w:val="auto"/>
          <w:sz w:val="22"/>
          <w:szCs w:val="22"/>
        </w:rPr>
        <w:tab/>
      </w:r>
      <w:r w:rsidR="002950E6">
        <w:rPr>
          <w:rFonts w:ascii="Calibri" w:hAnsi="Calibri"/>
          <w:b/>
          <w:color w:val="auto"/>
          <w:sz w:val="22"/>
          <w:szCs w:val="22"/>
        </w:rPr>
        <w:t>220 719 783,62</w:t>
      </w:r>
      <w:r w:rsidR="00626517">
        <w:rPr>
          <w:rFonts w:ascii="Calibri" w:hAnsi="Calibri"/>
          <w:b/>
          <w:color w:val="auto"/>
          <w:sz w:val="22"/>
          <w:szCs w:val="22"/>
        </w:rPr>
        <w:t xml:space="preserve"> Kč</w:t>
      </w:r>
      <w:r w:rsidR="00626517">
        <w:rPr>
          <w:rFonts w:ascii="Calibri" w:hAnsi="Calibri"/>
          <w:b/>
          <w:color w:val="auto"/>
          <w:sz w:val="22"/>
          <w:szCs w:val="22"/>
        </w:rPr>
        <w:tab/>
        <w:t>(v roce 202</w:t>
      </w:r>
      <w:r w:rsidR="002950E6">
        <w:rPr>
          <w:rFonts w:ascii="Calibri" w:hAnsi="Calibri"/>
          <w:b/>
          <w:color w:val="auto"/>
          <w:sz w:val="22"/>
          <w:szCs w:val="22"/>
        </w:rPr>
        <w:t>1</w:t>
      </w:r>
      <w:r w:rsidRPr="00C0468B">
        <w:rPr>
          <w:rFonts w:ascii="Calibri" w:hAnsi="Calibri"/>
          <w:b/>
          <w:color w:val="auto"/>
          <w:sz w:val="22"/>
          <w:szCs w:val="22"/>
        </w:rPr>
        <w:t xml:space="preserve"> </w:t>
      </w:r>
      <w:r w:rsidRPr="00C0468B">
        <w:rPr>
          <w:rFonts w:ascii="Calibri" w:hAnsi="Calibri"/>
          <w:b/>
          <w:color w:val="auto"/>
          <w:sz w:val="22"/>
          <w:szCs w:val="22"/>
        </w:rPr>
        <w:tab/>
      </w:r>
      <w:r w:rsidR="002950E6">
        <w:rPr>
          <w:rFonts w:ascii="Calibri" w:hAnsi="Calibri"/>
          <w:b/>
          <w:color w:val="auto"/>
          <w:sz w:val="22"/>
          <w:szCs w:val="22"/>
        </w:rPr>
        <w:t xml:space="preserve">174 777 591,69 </w:t>
      </w:r>
      <w:r w:rsidRPr="00C0468B">
        <w:rPr>
          <w:rFonts w:ascii="Calibri" w:hAnsi="Calibri"/>
          <w:b/>
          <w:color w:val="auto"/>
          <w:sz w:val="22"/>
          <w:szCs w:val="22"/>
        </w:rPr>
        <w:t>Kč</w:t>
      </w:r>
      <w:r w:rsidRPr="00C0468B">
        <w:rPr>
          <w:rFonts w:ascii="Calibri" w:hAnsi="Calibri"/>
          <w:b/>
          <w:i/>
          <w:color w:val="auto"/>
          <w:sz w:val="22"/>
          <w:szCs w:val="22"/>
        </w:rPr>
        <w:t>)</w:t>
      </w:r>
    </w:p>
    <w:p w:rsidR="003C0784" w:rsidRPr="00C0468B" w:rsidRDefault="003C0784" w:rsidP="003C0784">
      <w:pPr>
        <w:pStyle w:val="Default"/>
        <w:jc w:val="both"/>
        <w:rPr>
          <w:rFonts w:ascii="Calibri" w:hAnsi="Calibri"/>
          <w:color w:val="auto"/>
          <w:sz w:val="22"/>
          <w:szCs w:val="22"/>
        </w:rPr>
      </w:pPr>
    </w:p>
    <w:p w:rsidR="003C0784" w:rsidRPr="00C0468B" w:rsidRDefault="003C0784" w:rsidP="003C0784">
      <w:pPr>
        <w:pStyle w:val="Default"/>
        <w:jc w:val="both"/>
        <w:rPr>
          <w:rFonts w:ascii="Calibri" w:hAnsi="Calibri"/>
          <w:color w:val="auto"/>
          <w:sz w:val="22"/>
          <w:szCs w:val="22"/>
        </w:rPr>
      </w:pPr>
      <w:r w:rsidRPr="00C0468B">
        <w:rPr>
          <w:rFonts w:ascii="Calibri" w:hAnsi="Calibri"/>
          <w:color w:val="auto"/>
          <w:sz w:val="22"/>
          <w:szCs w:val="22"/>
        </w:rPr>
        <w:t>Hospodářský výsledek měs</w:t>
      </w:r>
      <w:r>
        <w:rPr>
          <w:rFonts w:ascii="Calibri" w:hAnsi="Calibri"/>
          <w:color w:val="auto"/>
          <w:sz w:val="22"/>
          <w:szCs w:val="22"/>
        </w:rPr>
        <w:t xml:space="preserve">ta za rok </w:t>
      </w:r>
      <w:r w:rsidR="007C1E49">
        <w:rPr>
          <w:rFonts w:ascii="Calibri" w:hAnsi="Calibri"/>
          <w:color w:val="auto"/>
          <w:sz w:val="22"/>
          <w:szCs w:val="22"/>
        </w:rPr>
        <w:t>202</w:t>
      </w:r>
      <w:r w:rsidR="002950E6">
        <w:rPr>
          <w:rFonts w:ascii="Calibri" w:hAnsi="Calibri"/>
          <w:color w:val="auto"/>
          <w:sz w:val="22"/>
          <w:szCs w:val="22"/>
        </w:rPr>
        <w:t>2</w:t>
      </w:r>
      <w:r w:rsidRPr="00C0468B">
        <w:rPr>
          <w:rFonts w:ascii="Calibri" w:hAnsi="Calibri"/>
          <w:color w:val="auto"/>
          <w:sz w:val="22"/>
          <w:szCs w:val="22"/>
        </w:rPr>
        <w:t xml:space="preserve"> dosáhl hodnoty </w:t>
      </w:r>
      <w:r w:rsidR="002950E6">
        <w:rPr>
          <w:rFonts w:ascii="Calibri" w:hAnsi="Calibri"/>
          <w:b/>
          <w:color w:val="auto"/>
          <w:sz w:val="22"/>
          <w:szCs w:val="22"/>
        </w:rPr>
        <w:t>220 719 783,62</w:t>
      </w:r>
      <w:r w:rsidRPr="00C0468B">
        <w:rPr>
          <w:rFonts w:ascii="Calibri" w:hAnsi="Calibri"/>
          <w:b/>
          <w:color w:val="auto"/>
          <w:sz w:val="22"/>
          <w:szCs w:val="22"/>
        </w:rPr>
        <w:t xml:space="preserve"> Kč </w:t>
      </w:r>
      <w:r w:rsidRPr="00C0468B">
        <w:rPr>
          <w:rFonts w:ascii="Calibri" w:hAnsi="Calibri"/>
          <w:color w:val="auto"/>
          <w:sz w:val="22"/>
          <w:szCs w:val="22"/>
        </w:rPr>
        <w:t xml:space="preserve">po zdanění. Jedná se o </w:t>
      </w:r>
      <w:r w:rsidRPr="00C0468B">
        <w:rPr>
          <w:rFonts w:ascii="Calibri" w:hAnsi="Calibri"/>
          <w:b/>
          <w:color w:val="auto"/>
          <w:sz w:val="22"/>
          <w:szCs w:val="22"/>
        </w:rPr>
        <w:t>účetní výsledek hospodaření dle výkazu zisku a ztráty</w:t>
      </w:r>
      <w:r w:rsidRPr="00C0468B">
        <w:rPr>
          <w:rFonts w:ascii="Calibri" w:hAnsi="Calibri"/>
          <w:color w:val="auto"/>
          <w:sz w:val="22"/>
          <w:szCs w:val="22"/>
        </w:rPr>
        <w:t xml:space="preserve">, ve kterém je zachycen </w:t>
      </w:r>
      <w:r w:rsidRPr="00C0468B">
        <w:rPr>
          <w:rFonts w:ascii="Calibri" w:hAnsi="Calibri"/>
          <w:b/>
          <w:color w:val="auto"/>
          <w:sz w:val="22"/>
          <w:szCs w:val="22"/>
        </w:rPr>
        <w:t>zlepšený hospodářský výsledek města (zisk) jako kladný rozdíl mezi výnosy a náklady</w:t>
      </w:r>
      <w:r w:rsidRPr="00C0468B">
        <w:rPr>
          <w:rFonts w:ascii="Calibri" w:hAnsi="Calibri"/>
          <w:color w:val="auto"/>
          <w:sz w:val="22"/>
          <w:szCs w:val="22"/>
        </w:rPr>
        <w:t xml:space="preserve"> s ohledem na akruální princip, tedy rozdíl mezi skutečně realizovanými výnosy bez ohledu na to, zda byly n</w:t>
      </w:r>
      <w:r>
        <w:rPr>
          <w:rFonts w:ascii="Calibri" w:hAnsi="Calibri"/>
          <w:color w:val="auto"/>
          <w:sz w:val="22"/>
          <w:szCs w:val="22"/>
        </w:rPr>
        <w:t>ebo nebyly zaplaceny v roce 202</w:t>
      </w:r>
      <w:r w:rsidR="00515AFF">
        <w:rPr>
          <w:rFonts w:ascii="Calibri" w:hAnsi="Calibri"/>
          <w:color w:val="auto"/>
          <w:sz w:val="22"/>
          <w:szCs w:val="22"/>
        </w:rPr>
        <w:t>2</w:t>
      </w:r>
      <w:r w:rsidRPr="00C0468B">
        <w:rPr>
          <w:rFonts w:ascii="Calibri" w:hAnsi="Calibri"/>
          <w:color w:val="auto"/>
          <w:sz w:val="22"/>
          <w:szCs w:val="22"/>
        </w:rPr>
        <w:t xml:space="preserve">, a skutečnými náklady, bez ohledu na to, zda byly </w:t>
      </w:r>
      <w:r>
        <w:rPr>
          <w:rFonts w:ascii="Calibri" w:hAnsi="Calibri"/>
          <w:color w:val="auto"/>
          <w:sz w:val="22"/>
          <w:szCs w:val="22"/>
        </w:rPr>
        <w:t>n</w:t>
      </w:r>
      <w:r w:rsidR="007C1E49">
        <w:rPr>
          <w:rFonts w:ascii="Calibri" w:hAnsi="Calibri"/>
          <w:color w:val="auto"/>
          <w:sz w:val="22"/>
          <w:szCs w:val="22"/>
        </w:rPr>
        <w:t>ebo nebyly zaplaceny v roce 202</w:t>
      </w:r>
      <w:r w:rsidR="00515AFF">
        <w:rPr>
          <w:rFonts w:ascii="Calibri" w:hAnsi="Calibri"/>
          <w:color w:val="auto"/>
          <w:sz w:val="22"/>
          <w:szCs w:val="22"/>
        </w:rPr>
        <w:t>2</w:t>
      </w:r>
      <w:r w:rsidRPr="00C0468B">
        <w:rPr>
          <w:rFonts w:ascii="Calibri" w:hAnsi="Calibri"/>
          <w:color w:val="auto"/>
          <w:sz w:val="22"/>
          <w:szCs w:val="22"/>
        </w:rPr>
        <w:t xml:space="preserve">. V nákladech se objevují i nepeněžní náklady, jako jsou odpisy, opravné položky a další. </w:t>
      </w:r>
    </w:p>
    <w:p w:rsidR="003C0784" w:rsidRDefault="003C0784" w:rsidP="003C0784">
      <w:pPr>
        <w:pStyle w:val="Nadpis3"/>
      </w:pPr>
      <w:r w:rsidRPr="00C0468B">
        <w:t>Účetní výsledek hospodaření roku 20</w:t>
      </w:r>
      <w:r w:rsidR="007C1E49">
        <w:t>2</w:t>
      </w:r>
      <w:r w:rsidR="00515AFF">
        <w:t>2</w:t>
      </w:r>
      <w:r w:rsidRPr="00C0468B">
        <w:t xml:space="preserve"> (v Kč)</w:t>
      </w:r>
    </w:p>
    <w:tbl>
      <w:tblPr>
        <w:tblW w:w="8580" w:type="dxa"/>
        <w:tblCellMar>
          <w:left w:w="70" w:type="dxa"/>
          <w:right w:w="70" w:type="dxa"/>
        </w:tblCellMar>
        <w:tblLook w:val="04A0" w:firstRow="1" w:lastRow="0" w:firstColumn="1" w:lastColumn="0" w:noHBand="0" w:noVBand="1"/>
      </w:tblPr>
      <w:tblGrid>
        <w:gridCol w:w="4900"/>
        <w:gridCol w:w="1860"/>
        <w:gridCol w:w="1820"/>
      </w:tblGrid>
      <w:tr w:rsidR="00515AFF" w:rsidTr="00515AFF">
        <w:trPr>
          <w:trHeight w:val="300"/>
        </w:trPr>
        <w:tc>
          <w:tcPr>
            <w:tcW w:w="4900" w:type="dxa"/>
            <w:tcBorders>
              <w:top w:val="single" w:sz="4" w:space="0" w:color="auto"/>
              <w:left w:val="single" w:sz="4" w:space="0" w:color="auto"/>
              <w:bottom w:val="single" w:sz="4" w:space="0" w:color="auto"/>
              <w:right w:val="single" w:sz="4" w:space="0" w:color="auto"/>
            </w:tcBorders>
            <w:shd w:val="clear" w:color="FABF8F" w:fill="F4B183"/>
            <w:noWrap/>
            <w:vAlign w:val="center"/>
            <w:hideMark/>
          </w:tcPr>
          <w:p w:rsidR="00515AFF" w:rsidRDefault="00515AFF">
            <w:pPr>
              <w:jc w:val="both"/>
              <w:rPr>
                <w:rFonts w:ascii="Calibri" w:hAnsi="Calibri" w:cs="Calibri"/>
                <w:b/>
                <w:bCs/>
                <w:color w:val="000000"/>
                <w:sz w:val="20"/>
                <w:szCs w:val="20"/>
              </w:rPr>
            </w:pPr>
            <w:r>
              <w:rPr>
                <w:rFonts w:ascii="Calibri" w:hAnsi="Calibri" w:cs="Calibri"/>
                <w:b/>
                <w:bCs/>
                <w:color w:val="000000"/>
                <w:sz w:val="20"/>
                <w:szCs w:val="20"/>
              </w:rPr>
              <w:t>VÝKAZ ZISKU A ZTRÁTY k 31. 12. 2022</w:t>
            </w:r>
          </w:p>
        </w:tc>
        <w:tc>
          <w:tcPr>
            <w:tcW w:w="1860" w:type="dxa"/>
            <w:tcBorders>
              <w:top w:val="single" w:sz="4" w:space="0" w:color="auto"/>
              <w:left w:val="nil"/>
              <w:bottom w:val="single" w:sz="4" w:space="0" w:color="auto"/>
              <w:right w:val="single" w:sz="4" w:space="0" w:color="auto"/>
            </w:tcBorders>
            <w:shd w:val="clear" w:color="FABF8F" w:fill="F4B183"/>
            <w:noWrap/>
            <w:vAlign w:val="center"/>
            <w:hideMark/>
          </w:tcPr>
          <w:p w:rsidR="00515AFF" w:rsidRDefault="00515AFF">
            <w:pPr>
              <w:jc w:val="center"/>
              <w:rPr>
                <w:rFonts w:ascii="Calibri" w:hAnsi="Calibri" w:cs="Calibri"/>
                <w:b/>
                <w:bCs/>
                <w:color w:val="000000"/>
                <w:sz w:val="22"/>
                <w:szCs w:val="22"/>
              </w:rPr>
            </w:pPr>
            <w:r>
              <w:rPr>
                <w:rFonts w:ascii="Calibri" w:hAnsi="Calibri" w:cs="Calibri"/>
                <w:b/>
                <w:bCs/>
                <w:color w:val="000000"/>
                <w:sz w:val="22"/>
                <w:szCs w:val="22"/>
              </w:rPr>
              <w:t>Běžné období</w:t>
            </w:r>
          </w:p>
        </w:tc>
        <w:tc>
          <w:tcPr>
            <w:tcW w:w="1820" w:type="dxa"/>
            <w:tcBorders>
              <w:top w:val="single" w:sz="4" w:space="0" w:color="auto"/>
              <w:left w:val="nil"/>
              <w:bottom w:val="single" w:sz="4" w:space="0" w:color="auto"/>
              <w:right w:val="single" w:sz="4" w:space="0" w:color="auto"/>
            </w:tcBorders>
            <w:shd w:val="clear" w:color="FABF8F" w:fill="F4B183"/>
            <w:noWrap/>
            <w:vAlign w:val="center"/>
            <w:hideMark/>
          </w:tcPr>
          <w:p w:rsidR="00515AFF" w:rsidRDefault="00515AFF">
            <w:pPr>
              <w:jc w:val="center"/>
              <w:rPr>
                <w:rFonts w:ascii="Calibri" w:hAnsi="Calibri" w:cs="Calibri"/>
                <w:b/>
                <w:bCs/>
                <w:color w:val="000000"/>
                <w:sz w:val="22"/>
                <w:szCs w:val="22"/>
              </w:rPr>
            </w:pPr>
            <w:r>
              <w:rPr>
                <w:rFonts w:ascii="Calibri" w:hAnsi="Calibri" w:cs="Calibri"/>
                <w:b/>
                <w:bCs/>
                <w:color w:val="000000"/>
                <w:sz w:val="22"/>
                <w:szCs w:val="22"/>
              </w:rPr>
              <w:t>Minulé období</w:t>
            </w:r>
          </w:p>
        </w:tc>
      </w:tr>
      <w:tr w:rsidR="00515AFF" w:rsidTr="00515AFF">
        <w:trPr>
          <w:trHeight w:val="300"/>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515AFF" w:rsidRDefault="00515AFF">
            <w:pPr>
              <w:rPr>
                <w:rFonts w:ascii="Calibri" w:hAnsi="Calibri" w:cs="Calibri"/>
                <w:color w:val="000000"/>
                <w:sz w:val="20"/>
                <w:szCs w:val="20"/>
              </w:rPr>
            </w:pPr>
            <w:r>
              <w:rPr>
                <w:rFonts w:ascii="Calibri" w:hAnsi="Calibri" w:cs="Calibri"/>
                <w:color w:val="000000"/>
                <w:sz w:val="20"/>
                <w:szCs w:val="20"/>
              </w:rPr>
              <w:t xml:space="preserve">Náklady z činnosti   </w:t>
            </w:r>
          </w:p>
        </w:tc>
        <w:tc>
          <w:tcPr>
            <w:tcW w:w="1860" w:type="dxa"/>
            <w:tcBorders>
              <w:top w:val="nil"/>
              <w:left w:val="nil"/>
              <w:bottom w:val="single" w:sz="4" w:space="0" w:color="auto"/>
              <w:right w:val="single" w:sz="4" w:space="0" w:color="auto"/>
            </w:tcBorders>
            <w:shd w:val="clear" w:color="auto" w:fill="auto"/>
            <w:noWrap/>
            <w:vAlign w:val="center"/>
            <w:hideMark/>
          </w:tcPr>
          <w:p w:rsidR="00515AFF" w:rsidRDefault="00515AFF">
            <w:pPr>
              <w:jc w:val="right"/>
              <w:rPr>
                <w:rFonts w:ascii="Calibri" w:hAnsi="Calibri" w:cs="Calibri"/>
                <w:color w:val="000000"/>
                <w:sz w:val="20"/>
                <w:szCs w:val="20"/>
              </w:rPr>
            </w:pPr>
            <w:r>
              <w:rPr>
                <w:rFonts w:ascii="Calibri" w:hAnsi="Calibri" w:cs="Calibri"/>
                <w:color w:val="000000"/>
                <w:sz w:val="20"/>
                <w:szCs w:val="20"/>
              </w:rPr>
              <w:t>749 767 236,59</w:t>
            </w:r>
          </w:p>
        </w:tc>
        <w:tc>
          <w:tcPr>
            <w:tcW w:w="1820" w:type="dxa"/>
            <w:tcBorders>
              <w:top w:val="nil"/>
              <w:left w:val="nil"/>
              <w:bottom w:val="single" w:sz="4" w:space="0" w:color="auto"/>
              <w:right w:val="single" w:sz="4" w:space="0" w:color="auto"/>
            </w:tcBorders>
            <w:shd w:val="clear" w:color="auto" w:fill="auto"/>
            <w:noWrap/>
            <w:vAlign w:val="center"/>
            <w:hideMark/>
          </w:tcPr>
          <w:p w:rsidR="00515AFF" w:rsidRDefault="00515AFF">
            <w:pPr>
              <w:jc w:val="right"/>
              <w:rPr>
                <w:rFonts w:ascii="Calibri" w:hAnsi="Calibri" w:cs="Calibri"/>
                <w:color w:val="000000"/>
                <w:sz w:val="20"/>
                <w:szCs w:val="20"/>
              </w:rPr>
            </w:pPr>
            <w:r>
              <w:rPr>
                <w:rFonts w:ascii="Calibri" w:hAnsi="Calibri" w:cs="Calibri"/>
                <w:color w:val="000000"/>
                <w:sz w:val="20"/>
                <w:szCs w:val="20"/>
              </w:rPr>
              <w:t>696 959 873,11</w:t>
            </w:r>
          </w:p>
        </w:tc>
      </w:tr>
      <w:tr w:rsidR="00515AFF" w:rsidTr="00515AFF">
        <w:trPr>
          <w:trHeight w:val="300"/>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515AFF" w:rsidRDefault="00515AFF">
            <w:pPr>
              <w:rPr>
                <w:rFonts w:ascii="Calibri" w:hAnsi="Calibri" w:cs="Calibri"/>
                <w:color w:val="000000"/>
                <w:sz w:val="20"/>
                <w:szCs w:val="20"/>
              </w:rPr>
            </w:pPr>
            <w:r>
              <w:rPr>
                <w:rFonts w:ascii="Calibri" w:hAnsi="Calibri" w:cs="Calibri"/>
                <w:color w:val="000000"/>
                <w:sz w:val="20"/>
                <w:szCs w:val="20"/>
              </w:rPr>
              <w:t>Finanční náklady</w:t>
            </w:r>
          </w:p>
        </w:tc>
        <w:tc>
          <w:tcPr>
            <w:tcW w:w="1860" w:type="dxa"/>
            <w:tcBorders>
              <w:top w:val="nil"/>
              <w:left w:val="nil"/>
              <w:bottom w:val="single" w:sz="4" w:space="0" w:color="auto"/>
              <w:right w:val="single" w:sz="4" w:space="0" w:color="auto"/>
            </w:tcBorders>
            <w:shd w:val="clear" w:color="auto" w:fill="auto"/>
            <w:noWrap/>
            <w:vAlign w:val="center"/>
            <w:hideMark/>
          </w:tcPr>
          <w:p w:rsidR="00515AFF" w:rsidRDefault="00515AFF">
            <w:pPr>
              <w:jc w:val="right"/>
              <w:rPr>
                <w:rFonts w:ascii="Calibri" w:hAnsi="Calibri" w:cs="Calibri"/>
                <w:color w:val="000000"/>
                <w:sz w:val="20"/>
                <w:szCs w:val="20"/>
              </w:rPr>
            </w:pPr>
            <w:r>
              <w:rPr>
                <w:rFonts w:ascii="Calibri" w:hAnsi="Calibri" w:cs="Calibri"/>
                <w:color w:val="000000"/>
                <w:sz w:val="20"/>
                <w:szCs w:val="20"/>
              </w:rPr>
              <w:t>2 205 648,24</w:t>
            </w:r>
          </w:p>
        </w:tc>
        <w:tc>
          <w:tcPr>
            <w:tcW w:w="1820" w:type="dxa"/>
            <w:tcBorders>
              <w:top w:val="nil"/>
              <w:left w:val="nil"/>
              <w:bottom w:val="single" w:sz="4" w:space="0" w:color="auto"/>
              <w:right w:val="single" w:sz="4" w:space="0" w:color="auto"/>
            </w:tcBorders>
            <w:shd w:val="clear" w:color="auto" w:fill="auto"/>
            <w:noWrap/>
            <w:vAlign w:val="center"/>
            <w:hideMark/>
          </w:tcPr>
          <w:p w:rsidR="00515AFF" w:rsidRDefault="00515AFF">
            <w:pPr>
              <w:jc w:val="right"/>
              <w:rPr>
                <w:rFonts w:ascii="Calibri" w:hAnsi="Calibri" w:cs="Calibri"/>
                <w:color w:val="000000"/>
                <w:sz w:val="20"/>
                <w:szCs w:val="20"/>
              </w:rPr>
            </w:pPr>
            <w:r>
              <w:rPr>
                <w:rFonts w:ascii="Calibri" w:hAnsi="Calibri" w:cs="Calibri"/>
                <w:color w:val="000000"/>
                <w:sz w:val="20"/>
                <w:szCs w:val="20"/>
              </w:rPr>
              <w:t>77,04</w:t>
            </w:r>
          </w:p>
        </w:tc>
      </w:tr>
      <w:tr w:rsidR="00515AFF" w:rsidTr="00515AFF">
        <w:trPr>
          <w:trHeight w:val="300"/>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515AFF" w:rsidRDefault="00515AFF">
            <w:pPr>
              <w:rPr>
                <w:rFonts w:ascii="Calibri" w:hAnsi="Calibri" w:cs="Calibri"/>
                <w:color w:val="000000"/>
                <w:sz w:val="20"/>
                <w:szCs w:val="20"/>
              </w:rPr>
            </w:pPr>
            <w:r>
              <w:rPr>
                <w:rFonts w:ascii="Calibri" w:hAnsi="Calibri" w:cs="Calibri"/>
                <w:color w:val="000000"/>
                <w:sz w:val="20"/>
                <w:szCs w:val="20"/>
              </w:rPr>
              <w:t>Náklady na transfery</w:t>
            </w:r>
          </w:p>
        </w:tc>
        <w:tc>
          <w:tcPr>
            <w:tcW w:w="1860" w:type="dxa"/>
            <w:tcBorders>
              <w:top w:val="nil"/>
              <w:left w:val="nil"/>
              <w:bottom w:val="single" w:sz="4" w:space="0" w:color="auto"/>
              <w:right w:val="single" w:sz="4" w:space="0" w:color="auto"/>
            </w:tcBorders>
            <w:shd w:val="clear" w:color="auto" w:fill="auto"/>
            <w:noWrap/>
            <w:vAlign w:val="center"/>
            <w:hideMark/>
          </w:tcPr>
          <w:p w:rsidR="00515AFF" w:rsidRDefault="00515AFF">
            <w:pPr>
              <w:jc w:val="right"/>
              <w:rPr>
                <w:rFonts w:ascii="Calibri" w:hAnsi="Calibri" w:cs="Calibri"/>
                <w:color w:val="000000"/>
                <w:sz w:val="20"/>
                <w:szCs w:val="20"/>
              </w:rPr>
            </w:pPr>
            <w:r>
              <w:rPr>
                <w:rFonts w:ascii="Calibri" w:hAnsi="Calibri" w:cs="Calibri"/>
                <w:color w:val="000000"/>
                <w:sz w:val="20"/>
                <w:szCs w:val="20"/>
              </w:rPr>
              <w:t>264 470 101,47</w:t>
            </w:r>
          </w:p>
        </w:tc>
        <w:tc>
          <w:tcPr>
            <w:tcW w:w="1820" w:type="dxa"/>
            <w:tcBorders>
              <w:top w:val="nil"/>
              <w:left w:val="nil"/>
              <w:bottom w:val="single" w:sz="4" w:space="0" w:color="auto"/>
              <w:right w:val="single" w:sz="4" w:space="0" w:color="auto"/>
            </w:tcBorders>
            <w:shd w:val="clear" w:color="auto" w:fill="auto"/>
            <w:noWrap/>
            <w:vAlign w:val="center"/>
            <w:hideMark/>
          </w:tcPr>
          <w:p w:rsidR="00515AFF" w:rsidRDefault="00515AFF">
            <w:pPr>
              <w:jc w:val="right"/>
              <w:rPr>
                <w:rFonts w:ascii="Calibri" w:hAnsi="Calibri" w:cs="Calibri"/>
                <w:color w:val="000000"/>
                <w:sz w:val="20"/>
                <w:szCs w:val="20"/>
              </w:rPr>
            </w:pPr>
            <w:r>
              <w:rPr>
                <w:rFonts w:ascii="Calibri" w:hAnsi="Calibri" w:cs="Calibri"/>
                <w:color w:val="000000"/>
                <w:sz w:val="20"/>
                <w:szCs w:val="20"/>
              </w:rPr>
              <w:t>216 143 535,03</w:t>
            </w:r>
          </w:p>
        </w:tc>
      </w:tr>
      <w:tr w:rsidR="00515AFF" w:rsidTr="00515AFF">
        <w:trPr>
          <w:trHeight w:val="300"/>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515AFF" w:rsidRDefault="00515AFF">
            <w:pPr>
              <w:rPr>
                <w:rFonts w:ascii="Calibri" w:hAnsi="Calibri" w:cs="Calibri"/>
                <w:color w:val="000000"/>
                <w:sz w:val="20"/>
                <w:szCs w:val="20"/>
              </w:rPr>
            </w:pPr>
            <w:r>
              <w:rPr>
                <w:rFonts w:ascii="Calibri" w:hAnsi="Calibri" w:cs="Calibri"/>
                <w:color w:val="000000"/>
                <w:sz w:val="20"/>
                <w:szCs w:val="20"/>
              </w:rPr>
              <w:t xml:space="preserve">Daň z příjmů </w:t>
            </w:r>
          </w:p>
        </w:tc>
        <w:tc>
          <w:tcPr>
            <w:tcW w:w="1860" w:type="dxa"/>
            <w:tcBorders>
              <w:top w:val="nil"/>
              <w:left w:val="nil"/>
              <w:bottom w:val="single" w:sz="4" w:space="0" w:color="auto"/>
              <w:right w:val="single" w:sz="4" w:space="0" w:color="auto"/>
            </w:tcBorders>
            <w:shd w:val="clear" w:color="auto" w:fill="auto"/>
            <w:noWrap/>
            <w:vAlign w:val="center"/>
            <w:hideMark/>
          </w:tcPr>
          <w:p w:rsidR="00515AFF" w:rsidRDefault="00515AFF">
            <w:pPr>
              <w:jc w:val="right"/>
              <w:rPr>
                <w:rFonts w:ascii="Calibri" w:hAnsi="Calibri" w:cs="Calibri"/>
                <w:color w:val="000000"/>
                <w:sz w:val="20"/>
                <w:szCs w:val="20"/>
              </w:rPr>
            </w:pPr>
            <w:r>
              <w:rPr>
                <w:rFonts w:ascii="Calibri" w:hAnsi="Calibri" w:cs="Calibri"/>
                <w:color w:val="000000"/>
                <w:sz w:val="20"/>
                <w:szCs w:val="20"/>
              </w:rPr>
              <w:t>24 711 870,00</w:t>
            </w:r>
          </w:p>
        </w:tc>
        <w:tc>
          <w:tcPr>
            <w:tcW w:w="1820" w:type="dxa"/>
            <w:tcBorders>
              <w:top w:val="nil"/>
              <w:left w:val="nil"/>
              <w:bottom w:val="single" w:sz="4" w:space="0" w:color="auto"/>
              <w:right w:val="single" w:sz="4" w:space="0" w:color="auto"/>
            </w:tcBorders>
            <w:shd w:val="clear" w:color="auto" w:fill="auto"/>
            <w:noWrap/>
            <w:vAlign w:val="center"/>
            <w:hideMark/>
          </w:tcPr>
          <w:p w:rsidR="00515AFF" w:rsidRDefault="00515AFF">
            <w:pPr>
              <w:jc w:val="right"/>
              <w:rPr>
                <w:rFonts w:ascii="Calibri" w:hAnsi="Calibri" w:cs="Calibri"/>
                <w:color w:val="000000"/>
                <w:sz w:val="20"/>
                <w:szCs w:val="20"/>
              </w:rPr>
            </w:pPr>
            <w:r>
              <w:rPr>
                <w:rFonts w:ascii="Calibri" w:hAnsi="Calibri" w:cs="Calibri"/>
                <w:color w:val="000000"/>
                <w:sz w:val="20"/>
                <w:szCs w:val="20"/>
              </w:rPr>
              <w:t>23 508 750,00</w:t>
            </w:r>
          </w:p>
        </w:tc>
      </w:tr>
      <w:tr w:rsidR="00515AFF" w:rsidTr="00515AFF">
        <w:trPr>
          <w:trHeight w:val="300"/>
        </w:trPr>
        <w:tc>
          <w:tcPr>
            <w:tcW w:w="4900" w:type="dxa"/>
            <w:tcBorders>
              <w:top w:val="nil"/>
              <w:left w:val="single" w:sz="4" w:space="0" w:color="auto"/>
              <w:bottom w:val="single" w:sz="4" w:space="0" w:color="auto"/>
              <w:right w:val="single" w:sz="4" w:space="0" w:color="auto"/>
            </w:tcBorders>
            <w:shd w:val="clear" w:color="FABF8F" w:fill="F4B183"/>
            <w:noWrap/>
            <w:vAlign w:val="center"/>
            <w:hideMark/>
          </w:tcPr>
          <w:p w:rsidR="00515AFF" w:rsidRDefault="00515AFF">
            <w:pPr>
              <w:rPr>
                <w:rFonts w:ascii="Calibri" w:hAnsi="Calibri" w:cs="Calibri"/>
                <w:b/>
                <w:bCs/>
                <w:color w:val="000000"/>
                <w:sz w:val="20"/>
                <w:szCs w:val="20"/>
              </w:rPr>
            </w:pPr>
            <w:r>
              <w:rPr>
                <w:rFonts w:ascii="Calibri" w:hAnsi="Calibri" w:cs="Calibri"/>
                <w:b/>
                <w:bCs/>
                <w:color w:val="000000"/>
                <w:sz w:val="20"/>
                <w:szCs w:val="20"/>
              </w:rPr>
              <w:t xml:space="preserve">NÁKLADY CELKEM   </w:t>
            </w:r>
          </w:p>
        </w:tc>
        <w:tc>
          <w:tcPr>
            <w:tcW w:w="1860" w:type="dxa"/>
            <w:tcBorders>
              <w:top w:val="nil"/>
              <w:left w:val="nil"/>
              <w:bottom w:val="single" w:sz="4" w:space="0" w:color="auto"/>
              <w:right w:val="single" w:sz="4" w:space="0" w:color="auto"/>
            </w:tcBorders>
            <w:shd w:val="clear" w:color="FABF8F" w:fill="F4B183"/>
            <w:noWrap/>
            <w:vAlign w:val="center"/>
            <w:hideMark/>
          </w:tcPr>
          <w:p w:rsidR="00515AFF" w:rsidRDefault="00515AFF">
            <w:pPr>
              <w:jc w:val="right"/>
              <w:rPr>
                <w:rFonts w:ascii="Calibri" w:hAnsi="Calibri" w:cs="Calibri"/>
                <w:b/>
                <w:bCs/>
                <w:color w:val="000000"/>
                <w:sz w:val="20"/>
                <w:szCs w:val="20"/>
              </w:rPr>
            </w:pPr>
            <w:r>
              <w:rPr>
                <w:rFonts w:ascii="Calibri" w:hAnsi="Calibri" w:cs="Calibri"/>
                <w:b/>
                <w:bCs/>
                <w:color w:val="000000"/>
                <w:sz w:val="20"/>
                <w:szCs w:val="20"/>
              </w:rPr>
              <w:t>1 041 154 856,30</w:t>
            </w:r>
          </w:p>
        </w:tc>
        <w:tc>
          <w:tcPr>
            <w:tcW w:w="1820" w:type="dxa"/>
            <w:tcBorders>
              <w:top w:val="nil"/>
              <w:left w:val="nil"/>
              <w:bottom w:val="single" w:sz="4" w:space="0" w:color="auto"/>
              <w:right w:val="single" w:sz="4" w:space="0" w:color="auto"/>
            </w:tcBorders>
            <w:shd w:val="clear" w:color="FABF8F" w:fill="F4B183"/>
            <w:noWrap/>
            <w:vAlign w:val="center"/>
            <w:hideMark/>
          </w:tcPr>
          <w:p w:rsidR="00515AFF" w:rsidRDefault="00515AFF">
            <w:pPr>
              <w:jc w:val="right"/>
              <w:rPr>
                <w:rFonts w:ascii="Calibri" w:hAnsi="Calibri" w:cs="Calibri"/>
                <w:b/>
                <w:bCs/>
                <w:color w:val="000000"/>
                <w:sz w:val="20"/>
                <w:szCs w:val="20"/>
              </w:rPr>
            </w:pPr>
            <w:r>
              <w:rPr>
                <w:rFonts w:ascii="Calibri" w:hAnsi="Calibri" w:cs="Calibri"/>
                <w:b/>
                <w:bCs/>
                <w:color w:val="000000"/>
                <w:sz w:val="20"/>
                <w:szCs w:val="20"/>
              </w:rPr>
              <w:t>936 612 235,18</w:t>
            </w:r>
          </w:p>
        </w:tc>
      </w:tr>
      <w:tr w:rsidR="00515AFF" w:rsidTr="00515AFF">
        <w:trPr>
          <w:trHeight w:val="300"/>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515AFF" w:rsidRDefault="00515AFF">
            <w:pPr>
              <w:rPr>
                <w:rFonts w:ascii="Calibri" w:hAnsi="Calibri" w:cs="Calibri"/>
                <w:color w:val="000000"/>
                <w:sz w:val="20"/>
                <w:szCs w:val="20"/>
              </w:rPr>
            </w:pPr>
            <w:r>
              <w:rPr>
                <w:rFonts w:ascii="Calibri" w:hAnsi="Calibri" w:cs="Calibri"/>
                <w:color w:val="000000"/>
                <w:sz w:val="20"/>
                <w:szCs w:val="20"/>
              </w:rPr>
              <w:t>Výnosy z činnosti</w:t>
            </w:r>
          </w:p>
        </w:tc>
        <w:tc>
          <w:tcPr>
            <w:tcW w:w="1860" w:type="dxa"/>
            <w:tcBorders>
              <w:top w:val="nil"/>
              <w:left w:val="nil"/>
              <w:bottom w:val="single" w:sz="4" w:space="0" w:color="auto"/>
              <w:right w:val="single" w:sz="4" w:space="0" w:color="auto"/>
            </w:tcBorders>
            <w:shd w:val="clear" w:color="auto" w:fill="auto"/>
            <w:noWrap/>
            <w:vAlign w:val="center"/>
            <w:hideMark/>
          </w:tcPr>
          <w:p w:rsidR="00515AFF" w:rsidRDefault="00515AFF">
            <w:pPr>
              <w:jc w:val="right"/>
              <w:rPr>
                <w:rFonts w:ascii="Calibri" w:hAnsi="Calibri" w:cs="Calibri"/>
                <w:color w:val="000000"/>
                <w:sz w:val="20"/>
                <w:szCs w:val="20"/>
              </w:rPr>
            </w:pPr>
            <w:r>
              <w:rPr>
                <w:rFonts w:ascii="Calibri" w:hAnsi="Calibri" w:cs="Calibri"/>
                <w:color w:val="000000"/>
                <w:sz w:val="20"/>
                <w:szCs w:val="20"/>
              </w:rPr>
              <w:t>214 751 040,75</w:t>
            </w:r>
          </w:p>
        </w:tc>
        <w:tc>
          <w:tcPr>
            <w:tcW w:w="1820" w:type="dxa"/>
            <w:tcBorders>
              <w:top w:val="nil"/>
              <w:left w:val="nil"/>
              <w:bottom w:val="single" w:sz="4" w:space="0" w:color="auto"/>
              <w:right w:val="single" w:sz="4" w:space="0" w:color="auto"/>
            </w:tcBorders>
            <w:shd w:val="clear" w:color="auto" w:fill="auto"/>
            <w:noWrap/>
            <w:vAlign w:val="center"/>
            <w:hideMark/>
          </w:tcPr>
          <w:p w:rsidR="00515AFF" w:rsidRDefault="00515AFF">
            <w:pPr>
              <w:jc w:val="right"/>
              <w:rPr>
                <w:rFonts w:ascii="Calibri" w:hAnsi="Calibri" w:cs="Calibri"/>
                <w:color w:val="000000"/>
                <w:sz w:val="20"/>
                <w:szCs w:val="20"/>
              </w:rPr>
            </w:pPr>
            <w:r>
              <w:rPr>
                <w:rFonts w:ascii="Calibri" w:hAnsi="Calibri" w:cs="Calibri"/>
                <w:color w:val="000000"/>
                <w:sz w:val="20"/>
                <w:szCs w:val="20"/>
              </w:rPr>
              <w:t>197 592 084,44</w:t>
            </w:r>
          </w:p>
        </w:tc>
      </w:tr>
      <w:tr w:rsidR="00515AFF" w:rsidTr="00515AFF">
        <w:trPr>
          <w:trHeight w:val="300"/>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515AFF" w:rsidRDefault="00515AFF">
            <w:pPr>
              <w:rPr>
                <w:rFonts w:ascii="Calibri" w:hAnsi="Calibri" w:cs="Calibri"/>
                <w:color w:val="000000"/>
                <w:sz w:val="20"/>
                <w:szCs w:val="20"/>
              </w:rPr>
            </w:pPr>
            <w:r>
              <w:rPr>
                <w:rFonts w:ascii="Calibri" w:hAnsi="Calibri" w:cs="Calibri"/>
                <w:color w:val="000000"/>
                <w:sz w:val="20"/>
                <w:szCs w:val="20"/>
              </w:rPr>
              <w:t>Finanční výnosy</w:t>
            </w:r>
          </w:p>
        </w:tc>
        <w:tc>
          <w:tcPr>
            <w:tcW w:w="1860" w:type="dxa"/>
            <w:tcBorders>
              <w:top w:val="nil"/>
              <w:left w:val="nil"/>
              <w:bottom w:val="single" w:sz="4" w:space="0" w:color="auto"/>
              <w:right w:val="single" w:sz="4" w:space="0" w:color="auto"/>
            </w:tcBorders>
            <w:shd w:val="clear" w:color="auto" w:fill="auto"/>
            <w:noWrap/>
            <w:vAlign w:val="center"/>
            <w:hideMark/>
          </w:tcPr>
          <w:p w:rsidR="00515AFF" w:rsidRDefault="00515AFF">
            <w:pPr>
              <w:jc w:val="right"/>
              <w:rPr>
                <w:rFonts w:ascii="Calibri" w:hAnsi="Calibri" w:cs="Calibri"/>
                <w:color w:val="000000"/>
                <w:sz w:val="20"/>
                <w:szCs w:val="20"/>
              </w:rPr>
            </w:pPr>
            <w:r>
              <w:rPr>
                <w:rFonts w:ascii="Calibri" w:hAnsi="Calibri" w:cs="Calibri"/>
                <w:color w:val="000000"/>
                <w:sz w:val="20"/>
                <w:szCs w:val="20"/>
              </w:rPr>
              <w:t>9 152 277,56</w:t>
            </w:r>
          </w:p>
        </w:tc>
        <w:tc>
          <w:tcPr>
            <w:tcW w:w="1820" w:type="dxa"/>
            <w:tcBorders>
              <w:top w:val="nil"/>
              <w:left w:val="nil"/>
              <w:bottom w:val="single" w:sz="4" w:space="0" w:color="auto"/>
              <w:right w:val="single" w:sz="4" w:space="0" w:color="auto"/>
            </w:tcBorders>
            <w:shd w:val="clear" w:color="auto" w:fill="auto"/>
            <w:noWrap/>
            <w:vAlign w:val="center"/>
            <w:hideMark/>
          </w:tcPr>
          <w:p w:rsidR="00515AFF" w:rsidRDefault="00515AFF">
            <w:pPr>
              <w:jc w:val="right"/>
              <w:rPr>
                <w:rFonts w:ascii="Calibri" w:hAnsi="Calibri" w:cs="Calibri"/>
                <w:color w:val="000000"/>
                <w:sz w:val="20"/>
                <w:szCs w:val="20"/>
              </w:rPr>
            </w:pPr>
            <w:r>
              <w:rPr>
                <w:rFonts w:ascii="Calibri" w:hAnsi="Calibri" w:cs="Calibri"/>
                <w:color w:val="000000"/>
                <w:sz w:val="20"/>
                <w:szCs w:val="20"/>
              </w:rPr>
              <w:t>15 419 000,75</w:t>
            </w:r>
          </w:p>
        </w:tc>
      </w:tr>
      <w:tr w:rsidR="00515AFF" w:rsidTr="00515AFF">
        <w:trPr>
          <w:trHeight w:val="300"/>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515AFF" w:rsidRDefault="00515AFF">
            <w:pPr>
              <w:rPr>
                <w:rFonts w:ascii="Calibri" w:hAnsi="Calibri" w:cs="Calibri"/>
                <w:color w:val="000000"/>
                <w:sz w:val="20"/>
                <w:szCs w:val="20"/>
              </w:rPr>
            </w:pPr>
            <w:r>
              <w:rPr>
                <w:rFonts w:ascii="Calibri" w:hAnsi="Calibri" w:cs="Calibri"/>
                <w:color w:val="000000"/>
                <w:sz w:val="20"/>
                <w:szCs w:val="20"/>
              </w:rPr>
              <w:t>Výnosy z transferů</w:t>
            </w:r>
          </w:p>
        </w:tc>
        <w:tc>
          <w:tcPr>
            <w:tcW w:w="1860" w:type="dxa"/>
            <w:tcBorders>
              <w:top w:val="nil"/>
              <w:left w:val="nil"/>
              <w:bottom w:val="single" w:sz="4" w:space="0" w:color="auto"/>
              <w:right w:val="single" w:sz="4" w:space="0" w:color="auto"/>
            </w:tcBorders>
            <w:shd w:val="clear" w:color="auto" w:fill="auto"/>
            <w:noWrap/>
            <w:vAlign w:val="center"/>
            <w:hideMark/>
          </w:tcPr>
          <w:p w:rsidR="00515AFF" w:rsidRDefault="00515AFF">
            <w:pPr>
              <w:jc w:val="right"/>
              <w:rPr>
                <w:rFonts w:ascii="Calibri" w:hAnsi="Calibri" w:cs="Calibri"/>
                <w:color w:val="000000"/>
                <w:sz w:val="20"/>
                <w:szCs w:val="20"/>
              </w:rPr>
            </w:pPr>
            <w:r>
              <w:rPr>
                <w:rFonts w:ascii="Calibri" w:hAnsi="Calibri" w:cs="Calibri"/>
                <w:color w:val="000000"/>
                <w:sz w:val="20"/>
                <w:szCs w:val="20"/>
              </w:rPr>
              <w:t>105 367 587,68</w:t>
            </w:r>
          </w:p>
        </w:tc>
        <w:tc>
          <w:tcPr>
            <w:tcW w:w="1820" w:type="dxa"/>
            <w:tcBorders>
              <w:top w:val="nil"/>
              <w:left w:val="nil"/>
              <w:bottom w:val="single" w:sz="4" w:space="0" w:color="auto"/>
              <w:right w:val="single" w:sz="4" w:space="0" w:color="auto"/>
            </w:tcBorders>
            <w:shd w:val="clear" w:color="auto" w:fill="auto"/>
            <w:noWrap/>
            <w:vAlign w:val="center"/>
            <w:hideMark/>
          </w:tcPr>
          <w:p w:rsidR="00515AFF" w:rsidRDefault="00515AFF">
            <w:pPr>
              <w:jc w:val="right"/>
              <w:rPr>
                <w:rFonts w:ascii="Calibri" w:hAnsi="Calibri" w:cs="Calibri"/>
                <w:color w:val="000000"/>
                <w:sz w:val="20"/>
                <w:szCs w:val="20"/>
              </w:rPr>
            </w:pPr>
            <w:r>
              <w:rPr>
                <w:rFonts w:ascii="Calibri" w:hAnsi="Calibri" w:cs="Calibri"/>
                <w:color w:val="000000"/>
                <w:sz w:val="20"/>
                <w:szCs w:val="20"/>
              </w:rPr>
              <w:t>116 655 966,99</w:t>
            </w:r>
          </w:p>
        </w:tc>
      </w:tr>
      <w:tr w:rsidR="00515AFF" w:rsidTr="00515AFF">
        <w:trPr>
          <w:trHeight w:val="300"/>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515AFF" w:rsidRDefault="00515AFF">
            <w:pPr>
              <w:rPr>
                <w:rFonts w:ascii="Calibri" w:hAnsi="Calibri" w:cs="Calibri"/>
                <w:color w:val="000000"/>
                <w:sz w:val="20"/>
                <w:szCs w:val="20"/>
              </w:rPr>
            </w:pPr>
            <w:r>
              <w:rPr>
                <w:rFonts w:ascii="Calibri" w:hAnsi="Calibri" w:cs="Calibri"/>
                <w:color w:val="000000"/>
                <w:sz w:val="20"/>
                <w:szCs w:val="20"/>
              </w:rPr>
              <w:t>Výnosy ze sdílených daní a poplatků</w:t>
            </w:r>
          </w:p>
        </w:tc>
        <w:tc>
          <w:tcPr>
            <w:tcW w:w="1860" w:type="dxa"/>
            <w:tcBorders>
              <w:top w:val="nil"/>
              <w:left w:val="nil"/>
              <w:bottom w:val="single" w:sz="4" w:space="0" w:color="auto"/>
              <w:right w:val="single" w:sz="4" w:space="0" w:color="auto"/>
            </w:tcBorders>
            <w:shd w:val="clear" w:color="auto" w:fill="auto"/>
            <w:noWrap/>
            <w:vAlign w:val="center"/>
            <w:hideMark/>
          </w:tcPr>
          <w:p w:rsidR="00515AFF" w:rsidRDefault="00515AFF">
            <w:pPr>
              <w:jc w:val="right"/>
              <w:rPr>
                <w:rFonts w:ascii="Calibri" w:hAnsi="Calibri" w:cs="Calibri"/>
                <w:color w:val="000000"/>
                <w:sz w:val="20"/>
                <w:szCs w:val="20"/>
              </w:rPr>
            </w:pPr>
            <w:r>
              <w:rPr>
                <w:rFonts w:ascii="Calibri" w:hAnsi="Calibri" w:cs="Calibri"/>
                <w:color w:val="000000"/>
                <w:sz w:val="20"/>
                <w:szCs w:val="20"/>
              </w:rPr>
              <w:t>932 603 733,93</w:t>
            </w:r>
          </w:p>
        </w:tc>
        <w:tc>
          <w:tcPr>
            <w:tcW w:w="1820" w:type="dxa"/>
            <w:tcBorders>
              <w:top w:val="nil"/>
              <w:left w:val="nil"/>
              <w:bottom w:val="single" w:sz="4" w:space="0" w:color="auto"/>
              <w:right w:val="single" w:sz="4" w:space="0" w:color="auto"/>
            </w:tcBorders>
            <w:shd w:val="clear" w:color="auto" w:fill="auto"/>
            <w:noWrap/>
            <w:vAlign w:val="center"/>
            <w:hideMark/>
          </w:tcPr>
          <w:p w:rsidR="00515AFF" w:rsidRDefault="00515AFF">
            <w:pPr>
              <w:jc w:val="right"/>
              <w:rPr>
                <w:rFonts w:ascii="Calibri" w:hAnsi="Calibri" w:cs="Calibri"/>
                <w:color w:val="000000"/>
                <w:sz w:val="20"/>
                <w:szCs w:val="20"/>
              </w:rPr>
            </w:pPr>
            <w:r>
              <w:rPr>
                <w:rFonts w:ascii="Calibri" w:hAnsi="Calibri" w:cs="Calibri"/>
                <w:color w:val="000000"/>
                <w:sz w:val="20"/>
                <w:szCs w:val="20"/>
              </w:rPr>
              <w:t>781 722 774,69</w:t>
            </w:r>
          </w:p>
        </w:tc>
      </w:tr>
      <w:tr w:rsidR="00515AFF" w:rsidTr="00515AFF">
        <w:trPr>
          <w:trHeight w:val="300"/>
        </w:trPr>
        <w:tc>
          <w:tcPr>
            <w:tcW w:w="4900" w:type="dxa"/>
            <w:tcBorders>
              <w:top w:val="nil"/>
              <w:left w:val="single" w:sz="4" w:space="0" w:color="auto"/>
              <w:bottom w:val="single" w:sz="4" w:space="0" w:color="auto"/>
              <w:right w:val="single" w:sz="4" w:space="0" w:color="auto"/>
            </w:tcBorders>
            <w:shd w:val="clear" w:color="FABF8F" w:fill="F4B183"/>
            <w:noWrap/>
            <w:vAlign w:val="center"/>
            <w:hideMark/>
          </w:tcPr>
          <w:p w:rsidR="00515AFF" w:rsidRDefault="00515AFF">
            <w:pPr>
              <w:rPr>
                <w:rFonts w:ascii="Calibri" w:hAnsi="Calibri" w:cs="Calibri"/>
                <w:b/>
                <w:bCs/>
                <w:color w:val="000000"/>
                <w:sz w:val="20"/>
                <w:szCs w:val="20"/>
              </w:rPr>
            </w:pPr>
            <w:r>
              <w:rPr>
                <w:rFonts w:ascii="Calibri" w:hAnsi="Calibri" w:cs="Calibri"/>
                <w:b/>
                <w:bCs/>
                <w:color w:val="000000"/>
                <w:sz w:val="20"/>
                <w:szCs w:val="20"/>
              </w:rPr>
              <w:t>VÝNOSY CELKEM</w:t>
            </w:r>
          </w:p>
        </w:tc>
        <w:tc>
          <w:tcPr>
            <w:tcW w:w="1860" w:type="dxa"/>
            <w:tcBorders>
              <w:top w:val="nil"/>
              <w:left w:val="nil"/>
              <w:bottom w:val="single" w:sz="4" w:space="0" w:color="auto"/>
              <w:right w:val="single" w:sz="4" w:space="0" w:color="auto"/>
            </w:tcBorders>
            <w:shd w:val="clear" w:color="FABF8F" w:fill="F4B183"/>
            <w:noWrap/>
            <w:vAlign w:val="center"/>
            <w:hideMark/>
          </w:tcPr>
          <w:p w:rsidR="00515AFF" w:rsidRDefault="00515AFF">
            <w:pPr>
              <w:jc w:val="right"/>
              <w:rPr>
                <w:rFonts w:ascii="Calibri" w:hAnsi="Calibri" w:cs="Calibri"/>
                <w:b/>
                <w:bCs/>
                <w:color w:val="000000"/>
                <w:sz w:val="20"/>
                <w:szCs w:val="20"/>
              </w:rPr>
            </w:pPr>
            <w:r>
              <w:rPr>
                <w:rFonts w:ascii="Calibri" w:hAnsi="Calibri" w:cs="Calibri"/>
                <w:b/>
                <w:bCs/>
                <w:color w:val="000000"/>
                <w:sz w:val="20"/>
                <w:szCs w:val="20"/>
              </w:rPr>
              <w:t>1 261 874 639,92</w:t>
            </w:r>
          </w:p>
        </w:tc>
        <w:tc>
          <w:tcPr>
            <w:tcW w:w="1820" w:type="dxa"/>
            <w:tcBorders>
              <w:top w:val="nil"/>
              <w:left w:val="nil"/>
              <w:bottom w:val="single" w:sz="4" w:space="0" w:color="auto"/>
              <w:right w:val="single" w:sz="4" w:space="0" w:color="auto"/>
            </w:tcBorders>
            <w:shd w:val="clear" w:color="FABF8F" w:fill="F4B183"/>
            <w:noWrap/>
            <w:vAlign w:val="center"/>
            <w:hideMark/>
          </w:tcPr>
          <w:p w:rsidR="00515AFF" w:rsidRDefault="00515AFF">
            <w:pPr>
              <w:jc w:val="right"/>
              <w:rPr>
                <w:rFonts w:ascii="Calibri" w:hAnsi="Calibri" w:cs="Calibri"/>
                <w:b/>
                <w:bCs/>
                <w:color w:val="000000"/>
                <w:sz w:val="20"/>
                <w:szCs w:val="20"/>
              </w:rPr>
            </w:pPr>
            <w:r>
              <w:rPr>
                <w:rFonts w:ascii="Calibri" w:hAnsi="Calibri" w:cs="Calibri"/>
                <w:b/>
                <w:bCs/>
                <w:color w:val="000000"/>
                <w:sz w:val="20"/>
                <w:szCs w:val="20"/>
              </w:rPr>
              <w:t>1 111 389 826,87</w:t>
            </w:r>
          </w:p>
        </w:tc>
      </w:tr>
      <w:tr w:rsidR="00515AFF" w:rsidTr="00515AFF">
        <w:trPr>
          <w:trHeight w:val="300"/>
        </w:trPr>
        <w:tc>
          <w:tcPr>
            <w:tcW w:w="4900" w:type="dxa"/>
            <w:tcBorders>
              <w:top w:val="nil"/>
              <w:left w:val="single" w:sz="4" w:space="0" w:color="auto"/>
              <w:bottom w:val="single" w:sz="4" w:space="0" w:color="auto"/>
              <w:right w:val="single" w:sz="4" w:space="0" w:color="auto"/>
            </w:tcBorders>
            <w:shd w:val="clear" w:color="FDE9D9" w:fill="FBE5D6"/>
            <w:noWrap/>
            <w:vAlign w:val="center"/>
            <w:hideMark/>
          </w:tcPr>
          <w:p w:rsidR="00515AFF" w:rsidRDefault="00515AFF">
            <w:pPr>
              <w:rPr>
                <w:rFonts w:ascii="Calibri" w:hAnsi="Calibri" w:cs="Calibri"/>
                <w:b/>
                <w:bCs/>
                <w:color w:val="000000"/>
                <w:sz w:val="20"/>
                <w:szCs w:val="20"/>
              </w:rPr>
            </w:pPr>
            <w:r>
              <w:rPr>
                <w:rFonts w:ascii="Calibri" w:hAnsi="Calibri" w:cs="Calibri"/>
                <w:b/>
                <w:bCs/>
                <w:color w:val="000000"/>
                <w:sz w:val="20"/>
                <w:szCs w:val="20"/>
              </w:rPr>
              <w:t>Výsledek hospodaření před zdaněním</w:t>
            </w:r>
          </w:p>
        </w:tc>
        <w:tc>
          <w:tcPr>
            <w:tcW w:w="1860" w:type="dxa"/>
            <w:tcBorders>
              <w:top w:val="nil"/>
              <w:left w:val="nil"/>
              <w:bottom w:val="single" w:sz="4" w:space="0" w:color="auto"/>
              <w:right w:val="single" w:sz="4" w:space="0" w:color="auto"/>
            </w:tcBorders>
            <w:shd w:val="clear" w:color="FDE9D9" w:fill="FBE5D6"/>
            <w:noWrap/>
            <w:vAlign w:val="center"/>
            <w:hideMark/>
          </w:tcPr>
          <w:p w:rsidR="00515AFF" w:rsidRDefault="00515AFF">
            <w:pPr>
              <w:jc w:val="right"/>
              <w:rPr>
                <w:rFonts w:ascii="Calibri" w:hAnsi="Calibri" w:cs="Calibri"/>
                <w:b/>
                <w:bCs/>
                <w:color w:val="000000"/>
                <w:sz w:val="20"/>
                <w:szCs w:val="20"/>
              </w:rPr>
            </w:pPr>
            <w:r>
              <w:rPr>
                <w:rFonts w:ascii="Calibri" w:hAnsi="Calibri" w:cs="Calibri"/>
                <w:b/>
                <w:bCs/>
                <w:color w:val="000000"/>
                <w:sz w:val="20"/>
                <w:szCs w:val="20"/>
              </w:rPr>
              <w:t>245 431 653,62</w:t>
            </w:r>
          </w:p>
        </w:tc>
        <w:tc>
          <w:tcPr>
            <w:tcW w:w="1820" w:type="dxa"/>
            <w:tcBorders>
              <w:top w:val="nil"/>
              <w:left w:val="nil"/>
              <w:bottom w:val="single" w:sz="4" w:space="0" w:color="auto"/>
              <w:right w:val="single" w:sz="4" w:space="0" w:color="auto"/>
            </w:tcBorders>
            <w:shd w:val="clear" w:color="FDE9D9" w:fill="FBE5D6"/>
            <w:noWrap/>
            <w:vAlign w:val="center"/>
            <w:hideMark/>
          </w:tcPr>
          <w:p w:rsidR="00515AFF" w:rsidRDefault="00515AFF">
            <w:pPr>
              <w:jc w:val="right"/>
              <w:rPr>
                <w:rFonts w:ascii="Calibri" w:hAnsi="Calibri" w:cs="Calibri"/>
                <w:b/>
                <w:bCs/>
                <w:color w:val="000000"/>
                <w:sz w:val="20"/>
                <w:szCs w:val="20"/>
              </w:rPr>
            </w:pPr>
            <w:r>
              <w:rPr>
                <w:rFonts w:ascii="Calibri" w:hAnsi="Calibri" w:cs="Calibri"/>
                <w:b/>
                <w:bCs/>
                <w:color w:val="000000"/>
                <w:sz w:val="20"/>
                <w:szCs w:val="20"/>
              </w:rPr>
              <w:t>198 286 341,69</w:t>
            </w:r>
          </w:p>
        </w:tc>
      </w:tr>
      <w:tr w:rsidR="00515AFF" w:rsidTr="00515AFF">
        <w:trPr>
          <w:trHeight w:val="300"/>
        </w:trPr>
        <w:tc>
          <w:tcPr>
            <w:tcW w:w="4900" w:type="dxa"/>
            <w:tcBorders>
              <w:top w:val="nil"/>
              <w:left w:val="single" w:sz="4" w:space="0" w:color="auto"/>
              <w:bottom w:val="single" w:sz="4" w:space="0" w:color="auto"/>
              <w:right w:val="single" w:sz="4" w:space="0" w:color="auto"/>
            </w:tcBorders>
            <w:shd w:val="clear" w:color="FABF8F" w:fill="F4B183"/>
            <w:noWrap/>
            <w:vAlign w:val="center"/>
            <w:hideMark/>
          </w:tcPr>
          <w:p w:rsidR="00515AFF" w:rsidRDefault="00515AFF">
            <w:pPr>
              <w:rPr>
                <w:rFonts w:ascii="Calibri" w:hAnsi="Calibri" w:cs="Calibri"/>
                <w:b/>
                <w:bCs/>
                <w:color w:val="000000"/>
                <w:sz w:val="20"/>
                <w:szCs w:val="20"/>
              </w:rPr>
            </w:pPr>
            <w:r>
              <w:rPr>
                <w:rFonts w:ascii="Calibri" w:hAnsi="Calibri" w:cs="Calibri"/>
                <w:b/>
                <w:bCs/>
                <w:color w:val="000000"/>
                <w:sz w:val="20"/>
                <w:szCs w:val="20"/>
              </w:rPr>
              <w:t>VÝSLEDEK HOSPODAŘENÍ běžného účetního období</w:t>
            </w:r>
          </w:p>
        </w:tc>
        <w:tc>
          <w:tcPr>
            <w:tcW w:w="1860" w:type="dxa"/>
            <w:tcBorders>
              <w:top w:val="nil"/>
              <w:left w:val="nil"/>
              <w:bottom w:val="single" w:sz="4" w:space="0" w:color="auto"/>
              <w:right w:val="single" w:sz="4" w:space="0" w:color="auto"/>
            </w:tcBorders>
            <w:shd w:val="clear" w:color="FABF8F" w:fill="F4B183"/>
            <w:noWrap/>
            <w:vAlign w:val="center"/>
            <w:hideMark/>
          </w:tcPr>
          <w:p w:rsidR="00515AFF" w:rsidRDefault="00515AFF">
            <w:pPr>
              <w:jc w:val="right"/>
              <w:rPr>
                <w:rFonts w:ascii="Calibri" w:hAnsi="Calibri" w:cs="Calibri"/>
                <w:b/>
                <w:bCs/>
                <w:color w:val="000000"/>
                <w:sz w:val="20"/>
                <w:szCs w:val="20"/>
              </w:rPr>
            </w:pPr>
            <w:r>
              <w:rPr>
                <w:rFonts w:ascii="Calibri" w:hAnsi="Calibri" w:cs="Calibri"/>
                <w:b/>
                <w:bCs/>
                <w:color w:val="000000"/>
                <w:sz w:val="20"/>
                <w:szCs w:val="20"/>
              </w:rPr>
              <w:t>220 719 783,62</w:t>
            </w:r>
          </w:p>
        </w:tc>
        <w:tc>
          <w:tcPr>
            <w:tcW w:w="1820" w:type="dxa"/>
            <w:tcBorders>
              <w:top w:val="nil"/>
              <w:left w:val="nil"/>
              <w:bottom w:val="single" w:sz="4" w:space="0" w:color="auto"/>
              <w:right w:val="single" w:sz="4" w:space="0" w:color="auto"/>
            </w:tcBorders>
            <w:shd w:val="clear" w:color="FABF8F" w:fill="F4B183"/>
            <w:noWrap/>
            <w:vAlign w:val="center"/>
            <w:hideMark/>
          </w:tcPr>
          <w:p w:rsidR="00515AFF" w:rsidRDefault="00515AFF">
            <w:pPr>
              <w:jc w:val="right"/>
              <w:rPr>
                <w:rFonts w:ascii="Calibri" w:hAnsi="Calibri" w:cs="Calibri"/>
                <w:b/>
                <w:bCs/>
                <w:color w:val="000000"/>
                <w:sz w:val="20"/>
                <w:szCs w:val="20"/>
              </w:rPr>
            </w:pPr>
            <w:r>
              <w:rPr>
                <w:rFonts w:ascii="Calibri" w:hAnsi="Calibri" w:cs="Calibri"/>
                <w:b/>
                <w:bCs/>
                <w:color w:val="000000"/>
                <w:sz w:val="20"/>
                <w:szCs w:val="20"/>
              </w:rPr>
              <w:t>174 777 591,69</w:t>
            </w:r>
          </w:p>
        </w:tc>
      </w:tr>
    </w:tbl>
    <w:p w:rsidR="00515AFF" w:rsidRDefault="00515AFF" w:rsidP="00515AFF"/>
    <w:p w:rsidR="007C7337" w:rsidRDefault="007C7337" w:rsidP="003C0784">
      <w:pPr>
        <w:pStyle w:val="Default"/>
        <w:jc w:val="both"/>
        <w:rPr>
          <w:rFonts w:ascii="Calibri" w:eastAsia="Times New Roman" w:hAnsi="Calibri" w:cs="Calibri"/>
          <w:color w:val="auto"/>
          <w:sz w:val="22"/>
          <w:szCs w:val="22"/>
          <w:lang w:eastAsia="cs-CZ"/>
        </w:rPr>
      </w:pPr>
    </w:p>
    <w:p w:rsidR="003C0784" w:rsidRPr="00C0468B" w:rsidRDefault="003C0784" w:rsidP="003C0784">
      <w:pPr>
        <w:pStyle w:val="Default"/>
        <w:jc w:val="both"/>
        <w:rPr>
          <w:rFonts w:ascii="Calibri" w:hAnsi="Calibri" w:cs="Calibri"/>
          <w:color w:val="auto"/>
          <w:sz w:val="22"/>
          <w:szCs w:val="22"/>
        </w:rPr>
      </w:pPr>
      <w:r w:rsidRPr="00C0468B">
        <w:rPr>
          <w:rFonts w:ascii="Calibri" w:eastAsia="Times New Roman" w:hAnsi="Calibri" w:cs="Calibri"/>
          <w:color w:val="auto"/>
          <w:sz w:val="22"/>
          <w:szCs w:val="22"/>
          <w:lang w:eastAsia="cs-CZ"/>
        </w:rPr>
        <w:t xml:space="preserve">Tento výsledek nelze poměřovat s rozpočtovým výsledkem hospodaření (saldem rozpočtu v běžném roce), který je pouze podrobným přehledem o účelu a druhu proběhlých peněžních toků. </w:t>
      </w:r>
      <w:r w:rsidRPr="00C0468B">
        <w:rPr>
          <w:rFonts w:ascii="Calibri" w:hAnsi="Calibri" w:cs="Calibri"/>
          <w:color w:val="auto"/>
          <w:sz w:val="22"/>
          <w:szCs w:val="22"/>
        </w:rPr>
        <w:t xml:space="preserve">Výsledek hospodaření dle výkazu zisku a ztráty se tedy nemůže rovnat výsledku rozpočtového hospodaření (zůstatku finančních prostředků na rozpočtových účtech). Jedná se o dva rozdílné náhledy. Výsledek hospodaření dle výkazu zisku a ztráty a zůstatek peněžních prostředků (rozdíl mezi příjmy a výdaji) nelze ani např. sčítat, nebo odčítat apod., protože se jedná o hodnoty jednoho hospodaření vykázané z různých hledisek. </w:t>
      </w:r>
    </w:p>
    <w:p w:rsidR="003C0784" w:rsidRPr="00110398" w:rsidRDefault="003C0784" w:rsidP="003C0784">
      <w:pPr>
        <w:pStyle w:val="Default"/>
        <w:jc w:val="both"/>
        <w:rPr>
          <w:rFonts w:ascii="Calibri" w:hAnsi="Calibri" w:cs="Calibri"/>
          <w:color w:val="A6A6A6" w:themeColor="background1" w:themeShade="A6"/>
          <w:sz w:val="22"/>
          <w:szCs w:val="22"/>
        </w:rPr>
      </w:pPr>
    </w:p>
    <w:p w:rsidR="003C0784" w:rsidRDefault="003C0784" w:rsidP="008D3212">
      <w:pPr>
        <w:rPr>
          <w:rFonts w:ascii="Calibri" w:hAnsi="Calibri" w:cs="Calibri"/>
        </w:rPr>
      </w:pPr>
    </w:p>
    <w:p w:rsidR="007C7337" w:rsidRDefault="007C7337" w:rsidP="008D3212">
      <w:pPr>
        <w:rPr>
          <w:rFonts w:ascii="Calibri" w:hAnsi="Calibri" w:cs="Calibri"/>
        </w:rPr>
      </w:pPr>
    </w:p>
    <w:p w:rsidR="007C7337" w:rsidRDefault="007C7337" w:rsidP="008D3212">
      <w:pPr>
        <w:rPr>
          <w:rFonts w:ascii="Calibri" w:hAnsi="Calibri" w:cs="Calibri"/>
        </w:rPr>
      </w:pPr>
    </w:p>
    <w:p w:rsidR="007C7337" w:rsidRDefault="007C7337" w:rsidP="008D3212">
      <w:pPr>
        <w:rPr>
          <w:rFonts w:ascii="Calibri" w:hAnsi="Calibri" w:cs="Calibri"/>
        </w:rPr>
      </w:pPr>
    </w:p>
    <w:p w:rsidR="007C7337" w:rsidRDefault="007C7337" w:rsidP="008D3212">
      <w:pPr>
        <w:rPr>
          <w:rFonts w:ascii="Calibri" w:hAnsi="Calibri" w:cs="Calibri"/>
        </w:rPr>
      </w:pPr>
    </w:p>
    <w:p w:rsidR="00283944" w:rsidRDefault="00283944" w:rsidP="004E2BA6">
      <w:pPr>
        <w:pStyle w:val="Nadpis2"/>
      </w:pPr>
      <w:bookmarkStart w:id="3" w:name="_Toc39129488"/>
      <w:r w:rsidRPr="003A02DD">
        <w:lastRenderedPageBreak/>
        <w:t>Ukazatel dluhové služby (v tis. Kč)</w:t>
      </w:r>
      <w:bookmarkEnd w:id="3"/>
    </w:p>
    <w:tbl>
      <w:tblPr>
        <w:tblW w:w="9634" w:type="dxa"/>
        <w:tblCellMar>
          <w:left w:w="70" w:type="dxa"/>
          <w:right w:w="70" w:type="dxa"/>
        </w:tblCellMar>
        <w:tblLook w:val="04A0" w:firstRow="1" w:lastRow="0" w:firstColumn="1" w:lastColumn="0" w:noHBand="0" w:noVBand="1"/>
      </w:tblPr>
      <w:tblGrid>
        <w:gridCol w:w="340"/>
        <w:gridCol w:w="2632"/>
        <w:gridCol w:w="1701"/>
        <w:gridCol w:w="992"/>
        <w:gridCol w:w="993"/>
        <w:gridCol w:w="992"/>
        <w:gridCol w:w="992"/>
        <w:gridCol w:w="992"/>
      </w:tblGrid>
      <w:tr w:rsidR="007C7337" w:rsidTr="007C7337">
        <w:trPr>
          <w:trHeight w:val="1200"/>
        </w:trPr>
        <w:tc>
          <w:tcPr>
            <w:tcW w:w="340" w:type="dxa"/>
            <w:tcBorders>
              <w:top w:val="single" w:sz="4" w:space="0" w:color="auto"/>
              <w:left w:val="single" w:sz="4" w:space="0" w:color="auto"/>
              <w:bottom w:val="single" w:sz="4" w:space="0" w:color="auto"/>
              <w:right w:val="single" w:sz="4" w:space="0" w:color="auto"/>
            </w:tcBorders>
            <w:shd w:val="clear" w:color="FF6600" w:fill="E26B0A"/>
            <w:noWrap/>
            <w:vAlign w:val="center"/>
            <w:hideMark/>
          </w:tcPr>
          <w:p w:rsidR="007C7337" w:rsidRDefault="007C7337">
            <w:pPr>
              <w:jc w:val="center"/>
              <w:rPr>
                <w:rFonts w:ascii="Calibri" w:hAnsi="Calibri" w:cs="Calibri"/>
                <w:color w:val="000000"/>
                <w:sz w:val="20"/>
                <w:szCs w:val="20"/>
              </w:rPr>
            </w:pPr>
            <w:r>
              <w:rPr>
                <w:rFonts w:ascii="Calibri" w:hAnsi="Calibri" w:cs="Calibri"/>
                <w:color w:val="000000"/>
                <w:sz w:val="20"/>
                <w:szCs w:val="20"/>
              </w:rPr>
              <w:t>ř.</w:t>
            </w:r>
          </w:p>
        </w:tc>
        <w:tc>
          <w:tcPr>
            <w:tcW w:w="2632" w:type="dxa"/>
            <w:tcBorders>
              <w:top w:val="single" w:sz="4" w:space="0" w:color="auto"/>
              <w:left w:val="nil"/>
              <w:bottom w:val="single" w:sz="4" w:space="0" w:color="auto"/>
              <w:right w:val="single" w:sz="4" w:space="0" w:color="auto"/>
            </w:tcBorders>
            <w:shd w:val="clear" w:color="FF6600" w:fill="E26B0A"/>
            <w:noWrap/>
            <w:vAlign w:val="center"/>
            <w:hideMark/>
          </w:tcPr>
          <w:p w:rsidR="007C7337" w:rsidRDefault="007C7337">
            <w:pPr>
              <w:jc w:val="center"/>
              <w:rPr>
                <w:rFonts w:ascii="Calibri" w:hAnsi="Calibri" w:cs="Calibri"/>
                <w:color w:val="000000"/>
                <w:sz w:val="18"/>
                <w:szCs w:val="18"/>
              </w:rPr>
            </w:pPr>
            <w:r>
              <w:rPr>
                <w:rFonts w:ascii="Calibri" w:hAnsi="Calibri" w:cs="Calibri"/>
                <w:color w:val="000000"/>
                <w:sz w:val="18"/>
                <w:szCs w:val="18"/>
              </w:rPr>
              <w:t>Název položky</w:t>
            </w:r>
          </w:p>
        </w:tc>
        <w:tc>
          <w:tcPr>
            <w:tcW w:w="1701" w:type="dxa"/>
            <w:tcBorders>
              <w:top w:val="single" w:sz="4" w:space="0" w:color="auto"/>
              <w:left w:val="nil"/>
              <w:bottom w:val="single" w:sz="4" w:space="0" w:color="auto"/>
              <w:right w:val="single" w:sz="4" w:space="0" w:color="auto"/>
            </w:tcBorders>
            <w:shd w:val="clear" w:color="FF6600" w:fill="E26B0A"/>
            <w:vAlign w:val="center"/>
            <w:hideMark/>
          </w:tcPr>
          <w:p w:rsidR="007C7337" w:rsidRDefault="007C7337">
            <w:pPr>
              <w:jc w:val="center"/>
              <w:rPr>
                <w:rFonts w:ascii="Calibri" w:hAnsi="Calibri" w:cs="Calibri"/>
                <w:color w:val="000000"/>
                <w:sz w:val="18"/>
                <w:szCs w:val="18"/>
              </w:rPr>
            </w:pPr>
            <w:r>
              <w:rPr>
                <w:rFonts w:ascii="Calibri" w:hAnsi="Calibri" w:cs="Calibri"/>
                <w:color w:val="000000"/>
                <w:sz w:val="18"/>
                <w:szCs w:val="18"/>
              </w:rPr>
              <w:t>Odkaz na rozpočtovou skladbu nebo na jiné vymezení ukazatele</w:t>
            </w:r>
          </w:p>
        </w:tc>
        <w:tc>
          <w:tcPr>
            <w:tcW w:w="992" w:type="dxa"/>
            <w:tcBorders>
              <w:top w:val="single" w:sz="4" w:space="0" w:color="auto"/>
              <w:left w:val="nil"/>
              <w:bottom w:val="single" w:sz="4" w:space="0" w:color="auto"/>
              <w:right w:val="single" w:sz="4" w:space="0" w:color="auto"/>
            </w:tcBorders>
            <w:shd w:val="clear" w:color="FF6600" w:fill="E26B0A"/>
            <w:vAlign w:val="center"/>
            <w:hideMark/>
          </w:tcPr>
          <w:p w:rsidR="007C7337" w:rsidRDefault="007C7337">
            <w:pPr>
              <w:jc w:val="center"/>
              <w:rPr>
                <w:rFonts w:ascii="Calibri" w:hAnsi="Calibri" w:cs="Calibri"/>
                <w:color w:val="000000"/>
                <w:sz w:val="18"/>
                <w:szCs w:val="18"/>
              </w:rPr>
            </w:pPr>
            <w:r>
              <w:rPr>
                <w:rFonts w:ascii="Calibri" w:hAnsi="Calibri" w:cs="Calibri"/>
                <w:color w:val="000000"/>
                <w:sz w:val="18"/>
                <w:szCs w:val="18"/>
              </w:rPr>
              <w:t>Skutečnost k 31.12.2018</w:t>
            </w:r>
          </w:p>
        </w:tc>
        <w:tc>
          <w:tcPr>
            <w:tcW w:w="993" w:type="dxa"/>
            <w:tcBorders>
              <w:top w:val="single" w:sz="4" w:space="0" w:color="auto"/>
              <w:left w:val="nil"/>
              <w:bottom w:val="single" w:sz="4" w:space="0" w:color="auto"/>
              <w:right w:val="single" w:sz="4" w:space="0" w:color="auto"/>
            </w:tcBorders>
            <w:shd w:val="clear" w:color="FF6600" w:fill="E26B0A"/>
            <w:vAlign w:val="center"/>
            <w:hideMark/>
          </w:tcPr>
          <w:p w:rsidR="007C7337" w:rsidRDefault="007C7337">
            <w:pPr>
              <w:jc w:val="center"/>
              <w:rPr>
                <w:rFonts w:ascii="Calibri" w:hAnsi="Calibri" w:cs="Calibri"/>
                <w:color w:val="000000"/>
                <w:sz w:val="18"/>
                <w:szCs w:val="18"/>
              </w:rPr>
            </w:pPr>
            <w:r>
              <w:rPr>
                <w:rFonts w:ascii="Calibri" w:hAnsi="Calibri" w:cs="Calibri"/>
                <w:color w:val="000000"/>
                <w:sz w:val="18"/>
                <w:szCs w:val="18"/>
              </w:rPr>
              <w:t>Skutečnost k 31.12.2019</w:t>
            </w:r>
          </w:p>
        </w:tc>
        <w:tc>
          <w:tcPr>
            <w:tcW w:w="992" w:type="dxa"/>
            <w:tcBorders>
              <w:top w:val="single" w:sz="4" w:space="0" w:color="auto"/>
              <w:left w:val="nil"/>
              <w:bottom w:val="single" w:sz="4" w:space="0" w:color="auto"/>
              <w:right w:val="single" w:sz="4" w:space="0" w:color="auto"/>
            </w:tcBorders>
            <w:shd w:val="clear" w:color="FF6600" w:fill="E26B0A"/>
            <w:vAlign w:val="center"/>
            <w:hideMark/>
          </w:tcPr>
          <w:p w:rsidR="007C7337" w:rsidRDefault="007C7337">
            <w:pPr>
              <w:jc w:val="center"/>
              <w:rPr>
                <w:rFonts w:ascii="Calibri" w:hAnsi="Calibri" w:cs="Calibri"/>
                <w:color w:val="000000"/>
                <w:sz w:val="18"/>
                <w:szCs w:val="18"/>
              </w:rPr>
            </w:pPr>
            <w:r>
              <w:rPr>
                <w:rFonts w:ascii="Calibri" w:hAnsi="Calibri" w:cs="Calibri"/>
                <w:color w:val="000000"/>
                <w:sz w:val="18"/>
                <w:szCs w:val="18"/>
              </w:rPr>
              <w:t>Skutečnost k 31.12.2020</w:t>
            </w:r>
          </w:p>
        </w:tc>
        <w:tc>
          <w:tcPr>
            <w:tcW w:w="992" w:type="dxa"/>
            <w:tcBorders>
              <w:top w:val="single" w:sz="4" w:space="0" w:color="auto"/>
              <w:left w:val="nil"/>
              <w:bottom w:val="single" w:sz="4" w:space="0" w:color="auto"/>
              <w:right w:val="single" w:sz="4" w:space="0" w:color="auto"/>
            </w:tcBorders>
            <w:shd w:val="clear" w:color="FF6600" w:fill="E26B0A"/>
            <w:vAlign w:val="center"/>
            <w:hideMark/>
          </w:tcPr>
          <w:p w:rsidR="007C7337" w:rsidRDefault="007C7337">
            <w:pPr>
              <w:jc w:val="center"/>
              <w:rPr>
                <w:rFonts w:ascii="Calibri" w:hAnsi="Calibri" w:cs="Calibri"/>
                <w:color w:val="000000"/>
                <w:sz w:val="18"/>
                <w:szCs w:val="18"/>
              </w:rPr>
            </w:pPr>
            <w:r>
              <w:rPr>
                <w:rFonts w:ascii="Calibri" w:hAnsi="Calibri" w:cs="Calibri"/>
                <w:color w:val="000000"/>
                <w:sz w:val="18"/>
                <w:szCs w:val="18"/>
              </w:rPr>
              <w:t>Skutečnost k 31.12.2021</w:t>
            </w:r>
          </w:p>
        </w:tc>
        <w:tc>
          <w:tcPr>
            <w:tcW w:w="992" w:type="dxa"/>
            <w:tcBorders>
              <w:top w:val="nil"/>
              <w:left w:val="nil"/>
              <w:bottom w:val="nil"/>
              <w:right w:val="single" w:sz="4" w:space="0" w:color="auto"/>
            </w:tcBorders>
            <w:shd w:val="clear" w:color="FF6600" w:fill="E26B0A"/>
            <w:vAlign w:val="center"/>
            <w:hideMark/>
          </w:tcPr>
          <w:p w:rsidR="007C7337" w:rsidRDefault="007C7337">
            <w:pPr>
              <w:jc w:val="center"/>
              <w:rPr>
                <w:rFonts w:ascii="Calibri" w:hAnsi="Calibri" w:cs="Calibri"/>
                <w:color w:val="000000"/>
                <w:sz w:val="18"/>
                <w:szCs w:val="18"/>
              </w:rPr>
            </w:pPr>
            <w:r>
              <w:rPr>
                <w:rFonts w:ascii="Calibri" w:hAnsi="Calibri" w:cs="Calibri"/>
                <w:color w:val="000000"/>
                <w:sz w:val="18"/>
                <w:szCs w:val="18"/>
              </w:rPr>
              <w:t>Skutečnost k 31.12.2022</w:t>
            </w:r>
          </w:p>
        </w:tc>
      </w:tr>
      <w:tr w:rsidR="007C7337" w:rsidTr="007C7337">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7C7337" w:rsidRDefault="007C7337">
            <w:pPr>
              <w:rPr>
                <w:rFonts w:ascii="Calibri" w:hAnsi="Calibri" w:cs="Calibri"/>
                <w:color w:val="000000"/>
                <w:sz w:val="20"/>
                <w:szCs w:val="20"/>
              </w:rPr>
            </w:pPr>
            <w:r>
              <w:rPr>
                <w:rFonts w:ascii="Calibri" w:hAnsi="Calibri" w:cs="Calibri"/>
                <w:color w:val="000000"/>
                <w:sz w:val="20"/>
                <w:szCs w:val="20"/>
              </w:rPr>
              <w:t>1.</w:t>
            </w:r>
          </w:p>
        </w:tc>
        <w:tc>
          <w:tcPr>
            <w:tcW w:w="2632" w:type="dxa"/>
            <w:tcBorders>
              <w:top w:val="nil"/>
              <w:left w:val="nil"/>
              <w:bottom w:val="single" w:sz="4" w:space="0" w:color="auto"/>
              <w:right w:val="single" w:sz="4" w:space="0" w:color="auto"/>
            </w:tcBorders>
            <w:shd w:val="clear" w:color="auto" w:fill="auto"/>
            <w:noWrap/>
            <w:vAlign w:val="center"/>
            <w:hideMark/>
          </w:tcPr>
          <w:p w:rsidR="007C7337" w:rsidRDefault="007C7337">
            <w:pPr>
              <w:rPr>
                <w:rFonts w:ascii="Calibri" w:hAnsi="Calibri" w:cs="Calibri"/>
                <w:color w:val="000000"/>
                <w:sz w:val="18"/>
                <w:szCs w:val="18"/>
              </w:rPr>
            </w:pPr>
            <w:r>
              <w:rPr>
                <w:rFonts w:ascii="Calibri" w:hAnsi="Calibri" w:cs="Calibri"/>
                <w:color w:val="000000"/>
                <w:sz w:val="18"/>
                <w:szCs w:val="18"/>
              </w:rPr>
              <w:t>Daňové příjmy (po konsolidaci)</w:t>
            </w:r>
          </w:p>
        </w:tc>
        <w:tc>
          <w:tcPr>
            <w:tcW w:w="1701" w:type="dxa"/>
            <w:tcBorders>
              <w:top w:val="nil"/>
              <w:left w:val="nil"/>
              <w:bottom w:val="single" w:sz="4" w:space="0" w:color="auto"/>
              <w:right w:val="single" w:sz="4" w:space="0" w:color="auto"/>
            </w:tcBorders>
            <w:shd w:val="clear" w:color="auto" w:fill="auto"/>
            <w:noWrap/>
            <w:vAlign w:val="center"/>
            <w:hideMark/>
          </w:tcPr>
          <w:p w:rsidR="007C7337" w:rsidRDefault="007C7337">
            <w:pPr>
              <w:rPr>
                <w:rFonts w:ascii="Calibri" w:hAnsi="Calibri" w:cs="Calibri"/>
                <w:color w:val="000000"/>
                <w:sz w:val="18"/>
                <w:szCs w:val="18"/>
              </w:rPr>
            </w:pPr>
            <w:r>
              <w:rPr>
                <w:rFonts w:ascii="Calibri" w:hAnsi="Calibri" w:cs="Calibri"/>
                <w:color w:val="000000"/>
                <w:sz w:val="18"/>
                <w:szCs w:val="18"/>
              </w:rPr>
              <w:t>třída 1</w:t>
            </w:r>
          </w:p>
        </w:tc>
        <w:tc>
          <w:tcPr>
            <w:tcW w:w="992" w:type="dxa"/>
            <w:tcBorders>
              <w:top w:val="nil"/>
              <w:left w:val="nil"/>
              <w:bottom w:val="single" w:sz="4" w:space="0" w:color="auto"/>
              <w:right w:val="single" w:sz="4" w:space="0" w:color="auto"/>
            </w:tcBorders>
            <w:shd w:val="clear" w:color="auto" w:fill="auto"/>
            <w:noWrap/>
            <w:vAlign w:val="center"/>
            <w:hideMark/>
          </w:tcPr>
          <w:p w:rsidR="007C7337" w:rsidRDefault="007C7337">
            <w:pPr>
              <w:jc w:val="right"/>
              <w:rPr>
                <w:rFonts w:ascii="Calibri" w:hAnsi="Calibri" w:cs="Calibri"/>
                <w:color w:val="000000"/>
                <w:sz w:val="18"/>
                <w:szCs w:val="18"/>
              </w:rPr>
            </w:pPr>
            <w:r>
              <w:rPr>
                <w:rFonts w:ascii="Calibri" w:hAnsi="Calibri" w:cs="Calibri"/>
                <w:color w:val="000000"/>
                <w:sz w:val="18"/>
                <w:szCs w:val="18"/>
              </w:rPr>
              <w:t>768 810</w:t>
            </w:r>
          </w:p>
        </w:tc>
        <w:tc>
          <w:tcPr>
            <w:tcW w:w="993" w:type="dxa"/>
            <w:tcBorders>
              <w:top w:val="nil"/>
              <w:left w:val="nil"/>
              <w:bottom w:val="single" w:sz="4" w:space="0" w:color="auto"/>
              <w:right w:val="single" w:sz="4" w:space="0" w:color="auto"/>
            </w:tcBorders>
            <w:shd w:val="clear" w:color="auto" w:fill="auto"/>
            <w:noWrap/>
            <w:vAlign w:val="center"/>
            <w:hideMark/>
          </w:tcPr>
          <w:p w:rsidR="007C7337" w:rsidRDefault="007C7337">
            <w:pPr>
              <w:jc w:val="right"/>
              <w:rPr>
                <w:rFonts w:ascii="Calibri" w:hAnsi="Calibri" w:cs="Calibri"/>
                <w:color w:val="000000"/>
                <w:sz w:val="18"/>
                <w:szCs w:val="18"/>
              </w:rPr>
            </w:pPr>
            <w:r>
              <w:rPr>
                <w:rFonts w:ascii="Calibri" w:hAnsi="Calibri" w:cs="Calibri"/>
                <w:color w:val="000000"/>
                <w:sz w:val="18"/>
                <w:szCs w:val="18"/>
              </w:rPr>
              <w:t>820 132</w:t>
            </w:r>
          </w:p>
        </w:tc>
        <w:tc>
          <w:tcPr>
            <w:tcW w:w="992" w:type="dxa"/>
            <w:tcBorders>
              <w:top w:val="nil"/>
              <w:left w:val="nil"/>
              <w:bottom w:val="single" w:sz="4" w:space="0" w:color="auto"/>
              <w:right w:val="single" w:sz="4" w:space="0" w:color="auto"/>
            </w:tcBorders>
            <w:shd w:val="clear" w:color="auto" w:fill="auto"/>
            <w:noWrap/>
            <w:vAlign w:val="center"/>
            <w:hideMark/>
          </w:tcPr>
          <w:p w:rsidR="007C7337" w:rsidRDefault="007C7337">
            <w:pPr>
              <w:jc w:val="right"/>
              <w:rPr>
                <w:rFonts w:ascii="Calibri" w:hAnsi="Calibri" w:cs="Calibri"/>
                <w:color w:val="000000"/>
                <w:sz w:val="18"/>
                <w:szCs w:val="18"/>
              </w:rPr>
            </w:pPr>
            <w:r>
              <w:rPr>
                <w:rFonts w:ascii="Calibri" w:hAnsi="Calibri" w:cs="Calibri"/>
                <w:color w:val="000000"/>
                <w:sz w:val="18"/>
                <w:szCs w:val="18"/>
              </w:rPr>
              <w:t>767 090</w:t>
            </w:r>
          </w:p>
        </w:tc>
        <w:tc>
          <w:tcPr>
            <w:tcW w:w="992" w:type="dxa"/>
            <w:tcBorders>
              <w:top w:val="nil"/>
              <w:left w:val="nil"/>
              <w:bottom w:val="single" w:sz="4" w:space="0" w:color="auto"/>
              <w:right w:val="single" w:sz="4" w:space="0" w:color="auto"/>
            </w:tcBorders>
            <w:shd w:val="clear" w:color="auto" w:fill="auto"/>
            <w:noWrap/>
            <w:vAlign w:val="center"/>
            <w:hideMark/>
          </w:tcPr>
          <w:p w:rsidR="007C7337" w:rsidRDefault="007C7337">
            <w:pPr>
              <w:jc w:val="right"/>
              <w:rPr>
                <w:rFonts w:ascii="Calibri" w:hAnsi="Calibri" w:cs="Calibri"/>
                <w:color w:val="000000"/>
                <w:sz w:val="18"/>
                <w:szCs w:val="18"/>
              </w:rPr>
            </w:pPr>
            <w:r>
              <w:rPr>
                <w:rFonts w:ascii="Calibri" w:hAnsi="Calibri" w:cs="Calibri"/>
                <w:color w:val="000000"/>
                <w:sz w:val="18"/>
                <w:szCs w:val="18"/>
              </w:rPr>
              <w:t>829 114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C7337" w:rsidRDefault="007C7337">
            <w:pPr>
              <w:jc w:val="right"/>
              <w:rPr>
                <w:rFonts w:ascii="Calibri" w:hAnsi="Calibri" w:cs="Calibri"/>
                <w:color w:val="000000"/>
                <w:sz w:val="18"/>
                <w:szCs w:val="18"/>
              </w:rPr>
            </w:pPr>
            <w:r>
              <w:rPr>
                <w:rFonts w:ascii="Calibri" w:hAnsi="Calibri" w:cs="Calibri"/>
                <w:color w:val="000000"/>
                <w:sz w:val="18"/>
                <w:szCs w:val="18"/>
              </w:rPr>
              <w:t>982 699</w:t>
            </w:r>
          </w:p>
        </w:tc>
      </w:tr>
      <w:tr w:rsidR="007C7337" w:rsidTr="007C7337">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7C7337" w:rsidRDefault="007C7337">
            <w:pPr>
              <w:rPr>
                <w:rFonts w:ascii="Calibri" w:hAnsi="Calibri" w:cs="Calibri"/>
                <w:color w:val="000000"/>
                <w:sz w:val="20"/>
                <w:szCs w:val="20"/>
              </w:rPr>
            </w:pPr>
            <w:r>
              <w:rPr>
                <w:rFonts w:ascii="Calibri" w:hAnsi="Calibri" w:cs="Calibri"/>
                <w:color w:val="000000"/>
                <w:sz w:val="20"/>
                <w:szCs w:val="20"/>
              </w:rPr>
              <w:t>2.</w:t>
            </w:r>
          </w:p>
        </w:tc>
        <w:tc>
          <w:tcPr>
            <w:tcW w:w="2632" w:type="dxa"/>
            <w:tcBorders>
              <w:top w:val="nil"/>
              <w:left w:val="nil"/>
              <w:bottom w:val="single" w:sz="4" w:space="0" w:color="auto"/>
              <w:right w:val="single" w:sz="4" w:space="0" w:color="auto"/>
            </w:tcBorders>
            <w:shd w:val="clear" w:color="auto" w:fill="auto"/>
            <w:noWrap/>
            <w:vAlign w:val="center"/>
            <w:hideMark/>
          </w:tcPr>
          <w:p w:rsidR="007C7337" w:rsidRDefault="007C7337">
            <w:pPr>
              <w:rPr>
                <w:rFonts w:ascii="Calibri" w:hAnsi="Calibri" w:cs="Calibri"/>
                <w:color w:val="000000"/>
                <w:sz w:val="18"/>
                <w:szCs w:val="18"/>
              </w:rPr>
            </w:pPr>
            <w:r>
              <w:rPr>
                <w:rFonts w:ascii="Calibri" w:hAnsi="Calibri" w:cs="Calibri"/>
                <w:color w:val="000000"/>
                <w:sz w:val="18"/>
                <w:szCs w:val="18"/>
              </w:rPr>
              <w:t>Nedaňové příjmy (po konsolidaci)</w:t>
            </w:r>
          </w:p>
        </w:tc>
        <w:tc>
          <w:tcPr>
            <w:tcW w:w="1701" w:type="dxa"/>
            <w:tcBorders>
              <w:top w:val="nil"/>
              <w:left w:val="nil"/>
              <w:bottom w:val="single" w:sz="4" w:space="0" w:color="auto"/>
              <w:right w:val="single" w:sz="4" w:space="0" w:color="auto"/>
            </w:tcBorders>
            <w:shd w:val="clear" w:color="auto" w:fill="auto"/>
            <w:noWrap/>
            <w:vAlign w:val="center"/>
            <w:hideMark/>
          </w:tcPr>
          <w:p w:rsidR="007C7337" w:rsidRDefault="007C7337">
            <w:pPr>
              <w:rPr>
                <w:rFonts w:ascii="Calibri" w:hAnsi="Calibri" w:cs="Calibri"/>
                <w:color w:val="000000"/>
                <w:sz w:val="18"/>
                <w:szCs w:val="18"/>
              </w:rPr>
            </w:pPr>
            <w:r>
              <w:rPr>
                <w:rFonts w:ascii="Calibri" w:hAnsi="Calibri" w:cs="Calibri"/>
                <w:color w:val="000000"/>
                <w:sz w:val="18"/>
                <w:szCs w:val="18"/>
              </w:rPr>
              <w:t>třída 2</w:t>
            </w:r>
          </w:p>
        </w:tc>
        <w:tc>
          <w:tcPr>
            <w:tcW w:w="992" w:type="dxa"/>
            <w:tcBorders>
              <w:top w:val="nil"/>
              <w:left w:val="nil"/>
              <w:bottom w:val="single" w:sz="4" w:space="0" w:color="auto"/>
              <w:right w:val="single" w:sz="4" w:space="0" w:color="auto"/>
            </w:tcBorders>
            <w:shd w:val="clear" w:color="auto" w:fill="auto"/>
            <w:noWrap/>
            <w:vAlign w:val="center"/>
            <w:hideMark/>
          </w:tcPr>
          <w:p w:rsidR="007C7337" w:rsidRDefault="007C7337">
            <w:pPr>
              <w:jc w:val="right"/>
              <w:rPr>
                <w:rFonts w:ascii="Calibri" w:hAnsi="Calibri" w:cs="Calibri"/>
                <w:color w:val="000000"/>
                <w:sz w:val="18"/>
                <w:szCs w:val="18"/>
              </w:rPr>
            </w:pPr>
            <w:r>
              <w:rPr>
                <w:rFonts w:ascii="Calibri" w:hAnsi="Calibri" w:cs="Calibri"/>
                <w:color w:val="000000"/>
                <w:sz w:val="18"/>
                <w:szCs w:val="18"/>
              </w:rPr>
              <w:t>137 032</w:t>
            </w:r>
          </w:p>
        </w:tc>
        <w:tc>
          <w:tcPr>
            <w:tcW w:w="993" w:type="dxa"/>
            <w:tcBorders>
              <w:top w:val="nil"/>
              <w:left w:val="nil"/>
              <w:bottom w:val="single" w:sz="4" w:space="0" w:color="auto"/>
              <w:right w:val="single" w:sz="4" w:space="0" w:color="auto"/>
            </w:tcBorders>
            <w:shd w:val="clear" w:color="auto" w:fill="auto"/>
            <w:noWrap/>
            <w:vAlign w:val="center"/>
            <w:hideMark/>
          </w:tcPr>
          <w:p w:rsidR="007C7337" w:rsidRDefault="007C7337">
            <w:pPr>
              <w:jc w:val="right"/>
              <w:rPr>
                <w:rFonts w:ascii="Calibri" w:hAnsi="Calibri" w:cs="Calibri"/>
                <w:color w:val="000000"/>
                <w:sz w:val="18"/>
                <w:szCs w:val="18"/>
              </w:rPr>
            </w:pPr>
            <w:r>
              <w:rPr>
                <w:rFonts w:ascii="Calibri" w:hAnsi="Calibri" w:cs="Calibri"/>
                <w:color w:val="000000"/>
                <w:sz w:val="18"/>
                <w:szCs w:val="18"/>
              </w:rPr>
              <w:t>131 745</w:t>
            </w:r>
          </w:p>
        </w:tc>
        <w:tc>
          <w:tcPr>
            <w:tcW w:w="992" w:type="dxa"/>
            <w:tcBorders>
              <w:top w:val="nil"/>
              <w:left w:val="nil"/>
              <w:bottom w:val="single" w:sz="4" w:space="0" w:color="auto"/>
              <w:right w:val="single" w:sz="4" w:space="0" w:color="auto"/>
            </w:tcBorders>
            <w:shd w:val="clear" w:color="auto" w:fill="auto"/>
            <w:noWrap/>
            <w:vAlign w:val="center"/>
            <w:hideMark/>
          </w:tcPr>
          <w:p w:rsidR="007C7337" w:rsidRDefault="007C7337">
            <w:pPr>
              <w:jc w:val="right"/>
              <w:rPr>
                <w:rFonts w:ascii="Calibri" w:hAnsi="Calibri" w:cs="Calibri"/>
                <w:color w:val="000000"/>
                <w:sz w:val="18"/>
                <w:szCs w:val="18"/>
              </w:rPr>
            </w:pPr>
            <w:r>
              <w:rPr>
                <w:rFonts w:ascii="Calibri" w:hAnsi="Calibri" w:cs="Calibri"/>
                <w:color w:val="000000"/>
                <w:sz w:val="18"/>
                <w:szCs w:val="18"/>
              </w:rPr>
              <w:t>147 829</w:t>
            </w:r>
          </w:p>
        </w:tc>
        <w:tc>
          <w:tcPr>
            <w:tcW w:w="992" w:type="dxa"/>
            <w:tcBorders>
              <w:top w:val="nil"/>
              <w:left w:val="nil"/>
              <w:bottom w:val="single" w:sz="4" w:space="0" w:color="auto"/>
              <w:right w:val="single" w:sz="4" w:space="0" w:color="auto"/>
            </w:tcBorders>
            <w:shd w:val="clear" w:color="auto" w:fill="auto"/>
            <w:noWrap/>
            <w:vAlign w:val="center"/>
            <w:hideMark/>
          </w:tcPr>
          <w:p w:rsidR="007C7337" w:rsidRDefault="007C7337">
            <w:pPr>
              <w:jc w:val="right"/>
              <w:rPr>
                <w:rFonts w:ascii="Calibri" w:hAnsi="Calibri" w:cs="Calibri"/>
                <w:color w:val="000000"/>
                <w:sz w:val="18"/>
                <w:szCs w:val="18"/>
              </w:rPr>
            </w:pPr>
            <w:r>
              <w:rPr>
                <w:rFonts w:ascii="Calibri" w:hAnsi="Calibri" w:cs="Calibri"/>
                <w:color w:val="000000"/>
                <w:sz w:val="18"/>
                <w:szCs w:val="18"/>
              </w:rPr>
              <w:t>150 380</w:t>
            </w:r>
          </w:p>
        </w:tc>
        <w:tc>
          <w:tcPr>
            <w:tcW w:w="992" w:type="dxa"/>
            <w:tcBorders>
              <w:top w:val="nil"/>
              <w:left w:val="nil"/>
              <w:bottom w:val="single" w:sz="4" w:space="0" w:color="auto"/>
              <w:right w:val="single" w:sz="4" w:space="0" w:color="auto"/>
            </w:tcBorders>
            <w:shd w:val="clear" w:color="auto" w:fill="auto"/>
            <w:noWrap/>
            <w:vAlign w:val="center"/>
            <w:hideMark/>
          </w:tcPr>
          <w:p w:rsidR="007C7337" w:rsidRDefault="007C7337">
            <w:pPr>
              <w:jc w:val="right"/>
              <w:rPr>
                <w:rFonts w:ascii="Calibri" w:hAnsi="Calibri" w:cs="Calibri"/>
                <w:color w:val="000000"/>
                <w:sz w:val="18"/>
                <w:szCs w:val="18"/>
              </w:rPr>
            </w:pPr>
            <w:r>
              <w:rPr>
                <w:rFonts w:ascii="Calibri" w:hAnsi="Calibri" w:cs="Calibri"/>
                <w:color w:val="000000"/>
                <w:sz w:val="18"/>
                <w:szCs w:val="18"/>
              </w:rPr>
              <w:t>169 766</w:t>
            </w:r>
          </w:p>
        </w:tc>
      </w:tr>
      <w:tr w:rsidR="007C7337" w:rsidTr="007C7337">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7C7337" w:rsidRDefault="007C7337">
            <w:pPr>
              <w:rPr>
                <w:rFonts w:ascii="Calibri" w:hAnsi="Calibri" w:cs="Calibri"/>
                <w:color w:val="000000"/>
                <w:sz w:val="20"/>
                <w:szCs w:val="20"/>
              </w:rPr>
            </w:pPr>
            <w:r>
              <w:rPr>
                <w:rFonts w:ascii="Calibri" w:hAnsi="Calibri" w:cs="Calibri"/>
                <w:color w:val="000000"/>
                <w:sz w:val="20"/>
                <w:szCs w:val="20"/>
              </w:rPr>
              <w:t>3.</w:t>
            </w:r>
          </w:p>
        </w:tc>
        <w:tc>
          <w:tcPr>
            <w:tcW w:w="2632" w:type="dxa"/>
            <w:tcBorders>
              <w:top w:val="nil"/>
              <w:left w:val="nil"/>
              <w:bottom w:val="single" w:sz="4" w:space="0" w:color="auto"/>
              <w:right w:val="single" w:sz="4" w:space="0" w:color="auto"/>
            </w:tcBorders>
            <w:shd w:val="clear" w:color="auto" w:fill="auto"/>
            <w:noWrap/>
            <w:vAlign w:val="center"/>
            <w:hideMark/>
          </w:tcPr>
          <w:p w:rsidR="007C7337" w:rsidRDefault="007C7337">
            <w:pPr>
              <w:rPr>
                <w:rFonts w:ascii="Calibri" w:hAnsi="Calibri" w:cs="Calibri"/>
                <w:color w:val="000000"/>
                <w:sz w:val="18"/>
                <w:szCs w:val="18"/>
              </w:rPr>
            </w:pPr>
            <w:r>
              <w:rPr>
                <w:rFonts w:ascii="Calibri" w:hAnsi="Calibri" w:cs="Calibri"/>
                <w:color w:val="000000"/>
                <w:sz w:val="18"/>
                <w:szCs w:val="18"/>
              </w:rPr>
              <w:t>Přijaté dotace</w:t>
            </w:r>
          </w:p>
        </w:tc>
        <w:tc>
          <w:tcPr>
            <w:tcW w:w="1701" w:type="dxa"/>
            <w:tcBorders>
              <w:top w:val="nil"/>
              <w:left w:val="nil"/>
              <w:bottom w:val="single" w:sz="4" w:space="0" w:color="auto"/>
              <w:right w:val="single" w:sz="4" w:space="0" w:color="auto"/>
            </w:tcBorders>
            <w:shd w:val="clear" w:color="auto" w:fill="auto"/>
            <w:noWrap/>
            <w:vAlign w:val="center"/>
            <w:hideMark/>
          </w:tcPr>
          <w:p w:rsidR="007C7337" w:rsidRDefault="007C7337">
            <w:pPr>
              <w:rPr>
                <w:rFonts w:ascii="Calibri" w:hAnsi="Calibri" w:cs="Calibri"/>
                <w:color w:val="000000"/>
                <w:sz w:val="18"/>
                <w:szCs w:val="18"/>
              </w:rPr>
            </w:pPr>
            <w:r>
              <w:rPr>
                <w:rFonts w:ascii="Calibri" w:hAnsi="Calibri" w:cs="Calibri"/>
                <w:color w:val="000000"/>
                <w:sz w:val="18"/>
                <w:szCs w:val="18"/>
              </w:rPr>
              <w:t>položka 4112 + 4212</w:t>
            </w:r>
          </w:p>
        </w:tc>
        <w:tc>
          <w:tcPr>
            <w:tcW w:w="992" w:type="dxa"/>
            <w:tcBorders>
              <w:top w:val="nil"/>
              <w:left w:val="nil"/>
              <w:bottom w:val="single" w:sz="4" w:space="0" w:color="auto"/>
              <w:right w:val="single" w:sz="4" w:space="0" w:color="auto"/>
            </w:tcBorders>
            <w:shd w:val="clear" w:color="auto" w:fill="auto"/>
            <w:noWrap/>
            <w:vAlign w:val="center"/>
            <w:hideMark/>
          </w:tcPr>
          <w:p w:rsidR="007C7337" w:rsidRDefault="007C7337">
            <w:pPr>
              <w:jc w:val="right"/>
              <w:rPr>
                <w:rFonts w:ascii="Calibri" w:hAnsi="Calibri" w:cs="Calibri"/>
                <w:color w:val="000000"/>
                <w:sz w:val="18"/>
                <w:szCs w:val="18"/>
              </w:rPr>
            </w:pPr>
            <w:r>
              <w:rPr>
                <w:rFonts w:ascii="Calibri" w:hAnsi="Calibri" w:cs="Calibri"/>
                <w:color w:val="000000"/>
                <w:sz w:val="18"/>
                <w:szCs w:val="18"/>
              </w:rPr>
              <w:t>57 445</w:t>
            </w:r>
          </w:p>
        </w:tc>
        <w:tc>
          <w:tcPr>
            <w:tcW w:w="993" w:type="dxa"/>
            <w:tcBorders>
              <w:top w:val="nil"/>
              <w:left w:val="nil"/>
              <w:bottom w:val="single" w:sz="4" w:space="0" w:color="auto"/>
              <w:right w:val="single" w:sz="4" w:space="0" w:color="auto"/>
            </w:tcBorders>
            <w:shd w:val="clear" w:color="auto" w:fill="auto"/>
            <w:noWrap/>
            <w:vAlign w:val="center"/>
            <w:hideMark/>
          </w:tcPr>
          <w:p w:rsidR="007C7337" w:rsidRDefault="007C7337">
            <w:pPr>
              <w:jc w:val="right"/>
              <w:rPr>
                <w:rFonts w:ascii="Calibri" w:hAnsi="Calibri" w:cs="Calibri"/>
                <w:color w:val="000000"/>
                <w:sz w:val="18"/>
                <w:szCs w:val="18"/>
              </w:rPr>
            </w:pPr>
            <w:r>
              <w:rPr>
                <w:rFonts w:ascii="Calibri" w:hAnsi="Calibri" w:cs="Calibri"/>
                <w:color w:val="000000"/>
                <w:sz w:val="18"/>
                <w:szCs w:val="18"/>
              </w:rPr>
              <w:t>63 206</w:t>
            </w:r>
          </w:p>
        </w:tc>
        <w:tc>
          <w:tcPr>
            <w:tcW w:w="992" w:type="dxa"/>
            <w:tcBorders>
              <w:top w:val="nil"/>
              <w:left w:val="nil"/>
              <w:bottom w:val="single" w:sz="4" w:space="0" w:color="auto"/>
              <w:right w:val="single" w:sz="4" w:space="0" w:color="auto"/>
            </w:tcBorders>
            <w:shd w:val="clear" w:color="auto" w:fill="auto"/>
            <w:noWrap/>
            <w:vAlign w:val="center"/>
            <w:hideMark/>
          </w:tcPr>
          <w:p w:rsidR="007C7337" w:rsidRDefault="007C7337">
            <w:pPr>
              <w:jc w:val="right"/>
              <w:rPr>
                <w:rFonts w:ascii="Calibri" w:hAnsi="Calibri" w:cs="Calibri"/>
                <w:color w:val="000000"/>
                <w:sz w:val="18"/>
                <w:szCs w:val="18"/>
              </w:rPr>
            </w:pPr>
            <w:r>
              <w:rPr>
                <w:rFonts w:ascii="Calibri" w:hAnsi="Calibri" w:cs="Calibri"/>
                <w:color w:val="000000"/>
                <w:sz w:val="18"/>
                <w:szCs w:val="18"/>
              </w:rPr>
              <w:t>66 048</w:t>
            </w:r>
          </w:p>
        </w:tc>
        <w:tc>
          <w:tcPr>
            <w:tcW w:w="992" w:type="dxa"/>
            <w:tcBorders>
              <w:top w:val="nil"/>
              <w:left w:val="nil"/>
              <w:bottom w:val="single" w:sz="4" w:space="0" w:color="auto"/>
              <w:right w:val="single" w:sz="4" w:space="0" w:color="auto"/>
            </w:tcBorders>
            <w:shd w:val="clear" w:color="auto" w:fill="auto"/>
            <w:noWrap/>
            <w:vAlign w:val="center"/>
            <w:hideMark/>
          </w:tcPr>
          <w:p w:rsidR="007C7337" w:rsidRDefault="007C7337">
            <w:pPr>
              <w:jc w:val="right"/>
              <w:rPr>
                <w:rFonts w:ascii="Calibri" w:hAnsi="Calibri" w:cs="Calibri"/>
                <w:color w:val="000000"/>
                <w:sz w:val="18"/>
                <w:szCs w:val="18"/>
              </w:rPr>
            </w:pPr>
            <w:r>
              <w:rPr>
                <w:rFonts w:ascii="Calibri" w:hAnsi="Calibri" w:cs="Calibri"/>
                <w:color w:val="000000"/>
                <w:sz w:val="18"/>
                <w:szCs w:val="18"/>
              </w:rPr>
              <w:t>69 197</w:t>
            </w:r>
          </w:p>
        </w:tc>
        <w:tc>
          <w:tcPr>
            <w:tcW w:w="992" w:type="dxa"/>
            <w:tcBorders>
              <w:top w:val="nil"/>
              <w:left w:val="nil"/>
              <w:bottom w:val="single" w:sz="4" w:space="0" w:color="auto"/>
              <w:right w:val="single" w:sz="4" w:space="0" w:color="auto"/>
            </w:tcBorders>
            <w:shd w:val="clear" w:color="auto" w:fill="auto"/>
            <w:noWrap/>
            <w:vAlign w:val="center"/>
            <w:hideMark/>
          </w:tcPr>
          <w:p w:rsidR="007C7337" w:rsidRDefault="007C7337">
            <w:pPr>
              <w:jc w:val="right"/>
              <w:rPr>
                <w:rFonts w:ascii="Calibri" w:hAnsi="Calibri" w:cs="Calibri"/>
                <w:color w:val="000000"/>
                <w:sz w:val="18"/>
                <w:szCs w:val="18"/>
              </w:rPr>
            </w:pPr>
            <w:r>
              <w:rPr>
                <w:rFonts w:ascii="Calibri" w:hAnsi="Calibri" w:cs="Calibri"/>
                <w:color w:val="000000"/>
                <w:sz w:val="18"/>
                <w:szCs w:val="18"/>
              </w:rPr>
              <w:t>69 076</w:t>
            </w:r>
          </w:p>
        </w:tc>
      </w:tr>
      <w:tr w:rsidR="007C7337" w:rsidTr="007C7337">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7C7337" w:rsidRDefault="007C7337">
            <w:pPr>
              <w:rPr>
                <w:rFonts w:ascii="Calibri" w:hAnsi="Calibri" w:cs="Calibri"/>
                <w:i/>
                <w:iCs/>
                <w:color w:val="000000"/>
                <w:sz w:val="20"/>
                <w:szCs w:val="20"/>
              </w:rPr>
            </w:pPr>
            <w:r>
              <w:rPr>
                <w:rFonts w:ascii="Calibri" w:hAnsi="Calibri" w:cs="Calibri"/>
                <w:i/>
                <w:iCs/>
                <w:color w:val="000000"/>
                <w:sz w:val="20"/>
                <w:szCs w:val="20"/>
              </w:rPr>
              <w:t>4.</w:t>
            </w:r>
          </w:p>
        </w:tc>
        <w:tc>
          <w:tcPr>
            <w:tcW w:w="2632" w:type="dxa"/>
            <w:tcBorders>
              <w:top w:val="nil"/>
              <w:left w:val="nil"/>
              <w:bottom w:val="single" w:sz="4" w:space="0" w:color="auto"/>
              <w:right w:val="single" w:sz="4" w:space="0" w:color="auto"/>
            </w:tcBorders>
            <w:shd w:val="clear" w:color="auto" w:fill="auto"/>
            <w:noWrap/>
            <w:vAlign w:val="center"/>
            <w:hideMark/>
          </w:tcPr>
          <w:p w:rsidR="007C7337" w:rsidRDefault="007C7337">
            <w:pPr>
              <w:rPr>
                <w:rFonts w:ascii="Calibri" w:hAnsi="Calibri" w:cs="Calibri"/>
                <w:i/>
                <w:iCs/>
                <w:color w:val="000000"/>
                <w:sz w:val="18"/>
                <w:szCs w:val="18"/>
              </w:rPr>
            </w:pPr>
            <w:r>
              <w:rPr>
                <w:rFonts w:ascii="Calibri" w:hAnsi="Calibri" w:cs="Calibri"/>
                <w:i/>
                <w:iCs/>
                <w:color w:val="000000"/>
                <w:sz w:val="18"/>
                <w:szCs w:val="18"/>
              </w:rPr>
              <w:t>Dluhová základna</w:t>
            </w:r>
          </w:p>
        </w:tc>
        <w:tc>
          <w:tcPr>
            <w:tcW w:w="1701" w:type="dxa"/>
            <w:tcBorders>
              <w:top w:val="nil"/>
              <w:left w:val="nil"/>
              <w:bottom w:val="single" w:sz="4" w:space="0" w:color="auto"/>
              <w:right w:val="single" w:sz="4" w:space="0" w:color="auto"/>
            </w:tcBorders>
            <w:shd w:val="clear" w:color="auto" w:fill="auto"/>
            <w:noWrap/>
            <w:vAlign w:val="center"/>
            <w:hideMark/>
          </w:tcPr>
          <w:p w:rsidR="007C7337" w:rsidRDefault="007C7337">
            <w:pPr>
              <w:rPr>
                <w:rFonts w:ascii="Calibri" w:hAnsi="Calibri" w:cs="Calibri"/>
                <w:i/>
                <w:iCs/>
                <w:color w:val="000000"/>
                <w:sz w:val="18"/>
                <w:szCs w:val="18"/>
              </w:rPr>
            </w:pPr>
            <w:r>
              <w:rPr>
                <w:rFonts w:ascii="Calibri" w:hAnsi="Calibri" w:cs="Calibri"/>
                <w:i/>
                <w:iCs/>
                <w:color w:val="000000"/>
                <w:sz w:val="18"/>
                <w:szCs w:val="18"/>
              </w:rPr>
              <w:t>ř. 1 + ř. 2 + ř. 3</w:t>
            </w:r>
          </w:p>
        </w:tc>
        <w:tc>
          <w:tcPr>
            <w:tcW w:w="992" w:type="dxa"/>
            <w:tcBorders>
              <w:top w:val="nil"/>
              <w:left w:val="nil"/>
              <w:bottom w:val="single" w:sz="4" w:space="0" w:color="auto"/>
              <w:right w:val="single" w:sz="4" w:space="0" w:color="auto"/>
            </w:tcBorders>
            <w:shd w:val="clear" w:color="auto" w:fill="auto"/>
            <w:noWrap/>
            <w:vAlign w:val="center"/>
            <w:hideMark/>
          </w:tcPr>
          <w:p w:rsidR="007C7337" w:rsidRDefault="007C7337">
            <w:pPr>
              <w:jc w:val="right"/>
              <w:rPr>
                <w:rFonts w:ascii="Calibri" w:hAnsi="Calibri" w:cs="Calibri"/>
                <w:i/>
                <w:iCs/>
                <w:color w:val="000000"/>
                <w:sz w:val="18"/>
                <w:szCs w:val="18"/>
              </w:rPr>
            </w:pPr>
            <w:r>
              <w:rPr>
                <w:rFonts w:ascii="Calibri" w:hAnsi="Calibri" w:cs="Calibri"/>
                <w:i/>
                <w:iCs/>
                <w:color w:val="000000"/>
                <w:sz w:val="18"/>
                <w:szCs w:val="18"/>
              </w:rPr>
              <w:t>963 287</w:t>
            </w:r>
          </w:p>
        </w:tc>
        <w:tc>
          <w:tcPr>
            <w:tcW w:w="993" w:type="dxa"/>
            <w:tcBorders>
              <w:top w:val="nil"/>
              <w:left w:val="nil"/>
              <w:bottom w:val="single" w:sz="4" w:space="0" w:color="auto"/>
              <w:right w:val="single" w:sz="4" w:space="0" w:color="auto"/>
            </w:tcBorders>
            <w:shd w:val="clear" w:color="auto" w:fill="auto"/>
            <w:noWrap/>
            <w:vAlign w:val="center"/>
            <w:hideMark/>
          </w:tcPr>
          <w:p w:rsidR="007C7337" w:rsidRDefault="007C7337">
            <w:pPr>
              <w:jc w:val="right"/>
              <w:rPr>
                <w:rFonts w:ascii="Calibri" w:hAnsi="Calibri" w:cs="Calibri"/>
                <w:i/>
                <w:iCs/>
                <w:color w:val="000000"/>
                <w:sz w:val="18"/>
                <w:szCs w:val="18"/>
              </w:rPr>
            </w:pPr>
            <w:r>
              <w:rPr>
                <w:rFonts w:ascii="Calibri" w:hAnsi="Calibri" w:cs="Calibri"/>
                <w:i/>
                <w:iCs/>
                <w:color w:val="000000"/>
                <w:sz w:val="18"/>
                <w:szCs w:val="18"/>
              </w:rPr>
              <w:t>1 015 083</w:t>
            </w:r>
          </w:p>
        </w:tc>
        <w:tc>
          <w:tcPr>
            <w:tcW w:w="992" w:type="dxa"/>
            <w:tcBorders>
              <w:top w:val="nil"/>
              <w:left w:val="nil"/>
              <w:bottom w:val="single" w:sz="4" w:space="0" w:color="auto"/>
              <w:right w:val="single" w:sz="4" w:space="0" w:color="auto"/>
            </w:tcBorders>
            <w:shd w:val="clear" w:color="auto" w:fill="auto"/>
            <w:noWrap/>
            <w:vAlign w:val="center"/>
            <w:hideMark/>
          </w:tcPr>
          <w:p w:rsidR="007C7337" w:rsidRDefault="007C7337">
            <w:pPr>
              <w:jc w:val="right"/>
              <w:rPr>
                <w:rFonts w:ascii="Calibri" w:hAnsi="Calibri" w:cs="Calibri"/>
                <w:i/>
                <w:iCs/>
                <w:color w:val="000000"/>
                <w:sz w:val="18"/>
                <w:szCs w:val="18"/>
              </w:rPr>
            </w:pPr>
            <w:r>
              <w:rPr>
                <w:rFonts w:ascii="Calibri" w:hAnsi="Calibri" w:cs="Calibri"/>
                <w:i/>
                <w:iCs/>
                <w:color w:val="000000"/>
                <w:sz w:val="18"/>
                <w:szCs w:val="18"/>
              </w:rPr>
              <w:t>980 967</w:t>
            </w:r>
          </w:p>
        </w:tc>
        <w:tc>
          <w:tcPr>
            <w:tcW w:w="992" w:type="dxa"/>
            <w:tcBorders>
              <w:top w:val="nil"/>
              <w:left w:val="nil"/>
              <w:bottom w:val="single" w:sz="4" w:space="0" w:color="auto"/>
              <w:right w:val="single" w:sz="4" w:space="0" w:color="auto"/>
            </w:tcBorders>
            <w:shd w:val="clear" w:color="auto" w:fill="auto"/>
            <w:noWrap/>
            <w:vAlign w:val="center"/>
            <w:hideMark/>
          </w:tcPr>
          <w:p w:rsidR="007C7337" w:rsidRDefault="007C7337">
            <w:pPr>
              <w:jc w:val="right"/>
              <w:rPr>
                <w:rFonts w:ascii="Calibri" w:hAnsi="Calibri" w:cs="Calibri"/>
                <w:i/>
                <w:iCs/>
                <w:color w:val="000000"/>
                <w:sz w:val="18"/>
                <w:szCs w:val="18"/>
              </w:rPr>
            </w:pPr>
            <w:r>
              <w:rPr>
                <w:rFonts w:ascii="Calibri" w:hAnsi="Calibri" w:cs="Calibri"/>
                <w:i/>
                <w:iCs/>
                <w:color w:val="000000"/>
                <w:sz w:val="18"/>
                <w:szCs w:val="18"/>
              </w:rPr>
              <w:t>1 048 691</w:t>
            </w:r>
          </w:p>
        </w:tc>
        <w:tc>
          <w:tcPr>
            <w:tcW w:w="992" w:type="dxa"/>
            <w:tcBorders>
              <w:top w:val="nil"/>
              <w:left w:val="nil"/>
              <w:bottom w:val="single" w:sz="4" w:space="0" w:color="auto"/>
              <w:right w:val="single" w:sz="4" w:space="0" w:color="auto"/>
            </w:tcBorders>
            <w:shd w:val="clear" w:color="auto" w:fill="auto"/>
            <w:noWrap/>
            <w:vAlign w:val="center"/>
            <w:hideMark/>
          </w:tcPr>
          <w:p w:rsidR="007C7337" w:rsidRDefault="007C7337">
            <w:pPr>
              <w:jc w:val="right"/>
              <w:rPr>
                <w:rFonts w:ascii="Calibri" w:hAnsi="Calibri" w:cs="Calibri"/>
                <w:i/>
                <w:iCs/>
                <w:color w:val="000000"/>
                <w:sz w:val="18"/>
                <w:szCs w:val="18"/>
              </w:rPr>
            </w:pPr>
            <w:r>
              <w:rPr>
                <w:rFonts w:ascii="Calibri" w:hAnsi="Calibri" w:cs="Calibri"/>
                <w:i/>
                <w:iCs/>
                <w:color w:val="000000"/>
                <w:sz w:val="18"/>
                <w:szCs w:val="18"/>
              </w:rPr>
              <w:t>1 221 542</w:t>
            </w:r>
          </w:p>
        </w:tc>
      </w:tr>
      <w:tr w:rsidR="007C7337" w:rsidTr="007C7337">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7C7337" w:rsidRDefault="007C7337">
            <w:pPr>
              <w:rPr>
                <w:rFonts w:ascii="Calibri" w:hAnsi="Calibri" w:cs="Calibri"/>
                <w:color w:val="000000"/>
                <w:sz w:val="20"/>
                <w:szCs w:val="20"/>
              </w:rPr>
            </w:pPr>
            <w:r>
              <w:rPr>
                <w:rFonts w:ascii="Calibri" w:hAnsi="Calibri" w:cs="Calibri"/>
                <w:color w:val="000000"/>
                <w:sz w:val="20"/>
                <w:szCs w:val="20"/>
              </w:rPr>
              <w:t>5.</w:t>
            </w:r>
          </w:p>
        </w:tc>
        <w:tc>
          <w:tcPr>
            <w:tcW w:w="2632" w:type="dxa"/>
            <w:tcBorders>
              <w:top w:val="nil"/>
              <w:left w:val="nil"/>
              <w:bottom w:val="single" w:sz="4" w:space="0" w:color="auto"/>
              <w:right w:val="single" w:sz="4" w:space="0" w:color="auto"/>
            </w:tcBorders>
            <w:shd w:val="clear" w:color="auto" w:fill="auto"/>
            <w:noWrap/>
            <w:vAlign w:val="center"/>
            <w:hideMark/>
          </w:tcPr>
          <w:p w:rsidR="007C7337" w:rsidRDefault="007C7337">
            <w:pPr>
              <w:rPr>
                <w:rFonts w:ascii="Calibri" w:hAnsi="Calibri" w:cs="Calibri"/>
                <w:color w:val="000000"/>
                <w:sz w:val="18"/>
                <w:szCs w:val="18"/>
              </w:rPr>
            </w:pPr>
            <w:r>
              <w:rPr>
                <w:rFonts w:ascii="Calibri" w:hAnsi="Calibri" w:cs="Calibri"/>
                <w:color w:val="000000"/>
                <w:sz w:val="18"/>
                <w:szCs w:val="18"/>
              </w:rPr>
              <w:t>Úroky</w:t>
            </w:r>
          </w:p>
        </w:tc>
        <w:tc>
          <w:tcPr>
            <w:tcW w:w="1701" w:type="dxa"/>
            <w:tcBorders>
              <w:top w:val="nil"/>
              <w:left w:val="nil"/>
              <w:bottom w:val="single" w:sz="4" w:space="0" w:color="auto"/>
              <w:right w:val="single" w:sz="4" w:space="0" w:color="auto"/>
            </w:tcBorders>
            <w:shd w:val="clear" w:color="auto" w:fill="auto"/>
            <w:noWrap/>
            <w:vAlign w:val="center"/>
            <w:hideMark/>
          </w:tcPr>
          <w:p w:rsidR="007C7337" w:rsidRDefault="007C7337">
            <w:pPr>
              <w:rPr>
                <w:rFonts w:ascii="Calibri" w:hAnsi="Calibri" w:cs="Calibri"/>
                <w:color w:val="000000"/>
                <w:sz w:val="18"/>
                <w:szCs w:val="18"/>
              </w:rPr>
            </w:pPr>
            <w:r>
              <w:rPr>
                <w:rFonts w:ascii="Calibri" w:hAnsi="Calibri" w:cs="Calibri"/>
                <w:color w:val="000000"/>
                <w:sz w:val="18"/>
                <w:szCs w:val="18"/>
              </w:rPr>
              <w:t>položka 5141</w:t>
            </w:r>
          </w:p>
        </w:tc>
        <w:tc>
          <w:tcPr>
            <w:tcW w:w="992" w:type="dxa"/>
            <w:tcBorders>
              <w:top w:val="nil"/>
              <w:left w:val="nil"/>
              <w:bottom w:val="single" w:sz="4" w:space="0" w:color="auto"/>
              <w:right w:val="single" w:sz="4" w:space="0" w:color="auto"/>
            </w:tcBorders>
            <w:shd w:val="clear" w:color="auto" w:fill="auto"/>
            <w:noWrap/>
            <w:vAlign w:val="center"/>
            <w:hideMark/>
          </w:tcPr>
          <w:p w:rsidR="007C7337" w:rsidRDefault="007C7337">
            <w:pPr>
              <w:jc w:val="right"/>
              <w:rPr>
                <w:rFonts w:ascii="Calibri" w:hAnsi="Calibri" w:cs="Calibri"/>
                <w:color w:val="000000"/>
                <w:sz w:val="18"/>
                <w:szCs w:val="18"/>
              </w:rPr>
            </w:pPr>
            <w:r>
              <w:rPr>
                <w:rFonts w:ascii="Calibri" w:hAnsi="Calibri" w:cs="Calibri"/>
                <w:color w:val="000000"/>
                <w:sz w:val="18"/>
                <w:szCs w:val="18"/>
              </w:rPr>
              <w:t>0</w:t>
            </w:r>
          </w:p>
        </w:tc>
        <w:tc>
          <w:tcPr>
            <w:tcW w:w="993" w:type="dxa"/>
            <w:tcBorders>
              <w:top w:val="nil"/>
              <w:left w:val="nil"/>
              <w:bottom w:val="single" w:sz="4" w:space="0" w:color="auto"/>
              <w:right w:val="single" w:sz="4" w:space="0" w:color="auto"/>
            </w:tcBorders>
            <w:shd w:val="clear" w:color="auto" w:fill="auto"/>
            <w:noWrap/>
            <w:vAlign w:val="center"/>
            <w:hideMark/>
          </w:tcPr>
          <w:p w:rsidR="007C7337" w:rsidRDefault="007C7337">
            <w:pPr>
              <w:jc w:val="right"/>
              <w:rPr>
                <w:rFonts w:ascii="Calibri" w:hAnsi="Calibri" w:cs="Calibri"/>
                <w:color w:val="000000"/>
                <w:sz w:val="18"/>
                <w:szCs w:val="18"/>
              </w:rPr>
            </w:pPr>
            <w:r>
              <w:rPr>
                <w:rFonts w:ascii="Calibri" w:hAnsi="Calibri" w:cs="Calibri"/>
                <w:color w:val="000000"/>
                <w:sz w:val="18"/>
                <w:szCs w:val="18"/>
              </w:rPr>
              <w:t>0</w:t>
            </w:r>
          </w:p>
        </w:tc>
        <w:tc>
          <w:tcPr>
            <w:tcW w:w="992" w:type="dxa"/>
            <w:tcBorders>
              <w:top w:val="nil"/>
              <w:left w:val="nil"/>
              <w:bottom w:val="single" w:sz="4" w:space="0" w:color="auto"/>
              <w:right w:val="single" w:sz="4" w:space="0" w:color="auto"/>
            </w:tcBorders>
            <w:shd w:val="clear" w:color="auto" w:fill="auto"/>
            <w:noWrap/>
            <w:vAlign w:val="center"/>
            <w:hideMark/>
          </w:tcPr>
          <w:p w:rsidR="007C7337" w:rsidRDefault="007C7337">
            <w:pPr>
              <w:jc w:val="right"/>
              <w:rPr>
                <w:rFonts w:ascii="Calibri" w:hAnsi="Calibri" w:cs="Calibri"/>
                <w:color w:val="000000"/>
                <w:sz w:val="18"/>
                <w:szCs w:val="18"/>
              </w:rPr>
            </w:pPr>
            <w:r>
              <w:rPr>
                <w:rFonts w:ascii="Calibri" w:hAnsi="Calibri" w:cs="Calibri"/>
                <w:color w:val="000000"/>
                <w:sz w:val="18"/>
                <w:szCs w:val="18"/>
              </w:rPr>
              <w:t>0</w:t>
            </w:r>
          </w:p>
        </w:tc>
        <w:tc>
          <w:tcPr>
            <w:tcW w:w="992" w:type="dxa"/>
            <w:tcBorders>
              <w:top w:val="nil"/>
              <w:left w:val="nil"/>
              <w:bottom w:val="single" w:sz="4" w:space="0" w:color="auto"/>
              <w:right w:val="single" w:sz="4" w:space="0" w:color="auto"/>
            </w:tcBorders>
            <w:shd w:val="clear" w:color="auto" w:fill="auto"/>
            <w:noWrap/>
            <w:vAlign w:val="center"/>
            <w:hideMark/>
          </w:tcPr>
          <w:p w:rsidR="007C7337" w:rsidRDefault="007C7337">
            <w:pPr>
              <w:jc w:val="right"/>
              <w:rPr>
                <w:rFonts w:ascii="Calibri" w:hAnsi="Calibri" w:cs="Calibri"/>
                <w:color w:val="000000"/>
                <w:sz w:val="18"/>
                <w:szCs w:val="18"/>
              </w:rPr>
            </w:pPr>
            <w:r>
              <w:rPr>
                <w:rFonts w:ascii="Calibri" w:hAnsi="Calibri" w:cs="Calibri"/>
                <w:color w:val="000000"/>
                <w:sz w:val="18"/>
                <w:szCs w:val="18"/>
              </w:rPr>
              <w:t>0</w:t>
            </w:r>
          </w:p>
        </w:tc>
        <w:tc>
          <w:tcPr>
            <w:tcW w:w="992" w:type="dxa"/>
            <w:tcBorders>
              <w:top w:val="nil"/>
              <w:left w:val="nil"/>
              <w:bottom w:val="single" w:sz="4" w:space="0" w:color="auto"/>
              <w:right w:val="single" w:sz="4" w:space="0" w:color="auto"/>
            </w:tcBorders>
            <w:shd w:val="clear" w:color="auto" w:fill="auto"/>
            <w:noWrap/>
            <w:vAlign w:val="center"/>
            <w:hideMark/>
          </w:tcPr>
          <w:p w:rsidR="007C7337" w:rsidRDefault="007C7337">
            <w:pPr>
              <w:jc w:val="right"/>
              <w:rPr>
                <w:rFonts w:ascii="Calibri" w:hAnsi="Calibri" w:cs="Calibri"/>
                <w:color w:val="000000"/>
                <w:sz w:val="18"/>
                <w:szCs w:val="18"/>
              </w:rPr>
            </w:pPr>
            <w:r>
              <w:rPr>
                <w:rFonts w:ascii="Calibri" w:hAnsi="Calibri" w:cs="Calibri"/>
                <w:color w:val="000000"/>
                <w:sz w:val="18"/>
                <w:szCs w:val="18"/>
              </w:rPr>
              <w:t>0</w:t>
            </w:r>
          </w:p>
        </w:tc>
      </w:tr>
      <w:tr w:rsidR="007C7337" w:rsidTr="007C7337">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7C7337" w:rsidRDefault="007C7337">
            <w:pPr>
              <w:rPr>
                <w:rFonts w:ascii="Calibri" w:hAnsi="Calibri" w:cs="Calibri"/>
                <w:color w:val="000000"/>
                <w:sz w:val="20"/>
                <w:szCs w:val="20"/>
              </w:rPr>
            </w:pPr>
            <w:r>
              <w:rPr>
                <w:rFonts w:ascii="Calibri" w:hAnsi="Calibri" w:cs="Calibri"/>
                <w:color w:val="000000"/>
                <w:sz w:val="20"/>
                <w:szCs w:val="20"/>
              </w:rPr>
              <w:t>6.</w:t>
            </w:r>
          </w:p>
        </w:tc>
        <w:tc>
          <w:tcPr>
            <w:tcW w:w="2632" w:type="dxa"/>
            <w:tcBorders>
              <w:top w:val="nil"/>
              <w:left w:val="nil"/>
              <w:bottom w:val="single" w:sz="4" w:space="0" w:color="auto"/>
              <w:right w:val="single" w:sz="4" w:space="0" w:color="auto"/>
            </w:tcBorders>
            <w:shd w:val="clear" w:color="auto" w:fill="auto"/>
            <w:noWrap/>
            <w:vAlign w:val="center"/>
            <w:hideMark/>
          </w:tcPr>
          <w:p w:rsidR="007C7337" w:rsidRDefault="007C7337">
            <w:pPr>
              <w:rPr>
                <w:rFonts w:ascii="Calibri" w:hAnsi="Calibri" w:cs="Calibri"/>
                <w:color w:val="000000"/>
                <w:sz w:val="18"/>
                <w:szCs w:val="18"/>
              </w:rPr>
            </w:pPr>
            <w:r>
              <w:rPr>
                <w:rFonts w:ascii="Calibri" w:hAnsi="Calibri" w:cs="Calibri"/>
                <w:color w:val="000000"/>
                <w:sz w:val="18"/>
                <w:szCs w:val="18"/>
              </w:rPr>
              <w:t>Splátky jistin a dluhopisů</w:t>
            </w:r>
          </w:p>
        </w:tc>
        <w:tc>
          <w:tcPr>
            <w:tcW w:w="1701" w:type="dxa"/>
            <w:tcBorders>
              <w:top w:val="nil"/>
              <w:left w:val="nil"/>
              <w:bottom w:val="single" w:sz="4" w:space="0" w:color="auto"/>
              <w:right w:val="single" w:sz="4" w:space="0" w:color="auto"/>
            </w:tcBorders>
            <w:shd w:val="clear" w:color="auto" w:fill="auto"/>
            <w:noWrap/>
            <w:vAlign w:val="center"/>
            <w:hideMark/>
          </w:tcPr>
          <w:p w:rsidR="007C7337" w:rsidRDefault="007C7337">
            <w:pPr>
              <w:rPr>
                <w:rFonts w:ascii="Calibri" w:hAnsi="Calibri" w:cs="Calibri"/>
                <w:color w:val="000000"/>
                <w:sz w:val="18"/>
                <w:szCs w:val="18"/>
              </w:rPr>
            </w:pPr>
            <w:r>
              <w:rPr>
                <w:rFonts w:ascii="Calibri" w:hAnsi="Calibri" w:cs="Calibri"/>
                <w:color w:val="000000"/>
                <w:sz w:val="18"/>
                <w:szCs w:val="18"/>
              </w:rPr>
              <w:t>položky 8xx2 a 8xx4</w:t>
            </w:r>
          </w:p>
        </w:tc>
        <w:tc>
          <w:tcPr>
            <w:tcW w:w="992" w:type="dxa"/>
            <w:tcBorders>
              <w:top w:val="nil"/>
              <w:left w:val="nil"/>
              <w:bottom w:val="single" w:sz="4" w:space="0" w:color="auto"/>
              <w:right w:val="single" w:sz="4" w:space="0" w:color="auto"/>
            </w:tcBorders>
            <w:shd w:val="clear" w:color="auto" w:fill="auto"/>
            <w:noWrap/>
            <w:vAlign w:val="center"/>
            <w:hideMark/>
          </w:tcPr>
          <w:p w:rsidR="007C7337" w:rsidRDefault="007C7337">
            <w:pPr>
              <w:jc w:val="right"/>
              <w:rPr>
                <w:rFonts w:ascii="Calibri" w:hAnsi="Calibri" w:cs="Calibri"/>
                <w:color w:val="000000"/>
                <w:sz w:val="18"/>
                <w:szCs w:val="18"/>
              </w:rPr>
            </w:pPr>
            <w:r>
              <w:rPr>
                <w:rFonts w:ascii="Calibri" w:hAnsi="Calibri" w:cs="Calibri"/>
                <w:color w:val="000000"/>
                <w:sz w:val="18"/>
                <w:szCs w:val="18"/>
              </w:rPr>
              <w:t>0</w:t>
            </w:r>
          </w:p>
        </w:tc>
        <w:tc>
          <w:tcPr>
            <w:tcW w:w="993" w:type="dxa"/>
            <w:tcBorders>
              <w:top w:val="nil"/>
              <w:left w:val="nil"/>
              <w:bottom w:val="single" w:sz="4" w:space="0" w:color="auto"/>
              <w:right w:val="single" w:sz="4" w:space="0" w:color="auto"/>
            </w:tcBorders>
            <w:shd w:val="clear" w:color="auto" w:fill="auto"/>
            <w:noWrap/>
            <w:vAlign w:val="center"/>
            <w:hideMark/>
          </w:tcPr>
          <w:p w:rsidR="007C7337" w:rsidRDefault="007C7337">
            <w:pPr>
              <w:jc w:val="right"/>
              <w:rPr>
                <w:rFonts w:ascii="Calibri" w:hAnsi="Calibri" w:cs="Calibri"/>
                <w:color w:val="000000"/>
                <w:sz w:val="18"/>
                <w:szCs w:val="18"/>
              </w:rPr>
            </w:pPr>
            <w:r>
              <w:rPr>
                <w:rFonts w:ascii="Calibri" w:hAnsi="Calibri" w:cs="Calibri"/>
                <w:color w:val="000000"/>
                <w:sz w:val="18"/>
                <w:szCs w:val="18"/>
              </w:rPr>
              <w:t>0</w:t>
            </w:r>
          </w:p>
        </w:tc>
        <w:tc>
          <w:tcPr>
            <w:tcW w:w="992" w:type="dxa"/>
            <w:tcBorders>
              <w:top w:val="nil"/>
              <w:left w:val="nil"/>
              <w:bottom w:val="single" w:sz="4" w:space="0" w:color="auto"/>
              <w:right w:val="single" w:sz="4" w:space="0" w:color="auto"/>
            </w:tcBorders>
            <w:shd w:val="clear" w:color="auto" w:fill="auto"/>
            <w:noWrap/>
            <w:vAlign w:val="center"/>
            <w:hideMark/>
          </w:tcPr>
          <w:p w:rsidR="007C7337" w:rsidRDefault="007C7337">
            <w:pPr>
              <w:jc w:val="right"/>
              <w:rPr>
                <w:rFonts w:ascii="Calibri" w:hAnsi="Calibri" w:cs="Calibri"/>
                <w:color w:val="000000"/>
                <w:sz w:val="18"/>
                <w:szCs w:val="18"/>
              </w:rPr>
            </w:pPr>
            <w:r>
              <w:rPr>
                <w:rFonts w:ascii="Calibri" w:hAnsi="Calibri" w:cs="Calibri"/>
                <w:color w:val="000000"/>
                <w:sz w:val="18"/>
                <w:szCs w:val="18"/>
              </w:rPr>
              <w:t>0</w:t>
            </w:r>
          </w:p>
        </w:tc>
        <w:tc>
          <w:tcPr>
            <w:tcW w:w="992" w:type="dxa"/>
            <w:tcBorders>
              <w:top w:val="nil"/>
              <w:left w:val="nil"/>
              <w:bottom w:val="single" w:sz="4" w:space="0" w:color="auto"/>
              <w:right w:val="single" w:sz="4" w:space="0" w:color="auto"/>
            </w:tcBorders>
            <w:shd w:val="clear" w:color="auto" w:fill="auto"/>
            <w:noWrap/>
            <w:vAlign w:val="center"/>
            <w:hideMark/>
          </w:tcPr>
          <w:p w:rsidR="007C7337" w:rsidRDefault="007C7337">
            <w:pPr>
              <w:jc w:val="right"/>
              <w:rPr>
                <w:rFonts w:ascii="Calibri" w:hAnsi="Calibri" w:cs="Calibri"/>
                <w:color w:val="000000"/>
                <w:sz w:val="18"/>
                <w:szCs w:val="18"/>
              </w:rPr>
            </w:pPr>
            <w:r>
              <w:rPr>
                <w:rFonts w:ascii="Calibri" w:hAnsi="Calibri" w:cs="Calibri"/>
                <w:color w:val="000000"/>
                <w:sz w:val="18"/>
                <w:szCs w:val="18"/>
              </w:rPr>
              <w:t>0</w:t>
            </w:r>
          </w:p>
        </w:tc>
        <w:tc>
          <w:tcPr>
            <w:tcW w:w="992" w:type="dxa"/>
            <w:tcBorders>
              <w:top w:val="nil"/>
              <w:left w:val="nil"/>
              <w:bottom w:val="single" w:sz="4" w:space="0" w:color="auto"/>
              <w:right w:val="single" w:sz="4" w:space="0" w:color="auto"/>
            </w:tcBorders>
            <w:shd w:val="clear" w:color="auto" w:fill="auto"/>
            <w:noWrap/>
            <w:vAlign w:val="center"/>
            <w:hideMark/>
          </w:tcPr>
          <w:p w:rsidR="007C7337" w:rsidRDefault="007C7337">
            <w:pPr>
              <w:jc w:val="right"/>
              <w:rPr>
                <w:rFonts w:ascii="Calibri" w:hAnsi="Calibri" w:cs="Calibri"/>
                <w:color w:val="000000"/>
                <w:sz w:val="18"/>
                <w:szCs w:val="18"/>
              </w:rPr>
            </w:pPr>
            <w:r>
              <w:rPr>
                <w:rFonts w:ascii="Calibri" w:hAnsi="Calibri" w:cs="Calibri"/>
                <w:color w:val="000000"/>
                <w:sz w:val="18"/>
                <w:szCs w:val="18"/>
              </w:rPr>
              <w:t>0</w:t>
            </w:r>
          </w:p>
        </w:tc>
      </w:tr>
      <w:tr w:rsidR="007C7337" w:rsidTr="007C7337">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7C7337" w:rsidRDefault="007C7337">
            <w:pPr>
              <w:rPr>
                <w:rFonts w:ascii="Calibri" w:hAnsi="Calibri" w:cs="Calibri"/>
                <w:color w:val="000000"/>
                <w:sz w:val="20"/>
                <w:szCs w:val="20"/>
              </w:rPr>
            </w:pPr>
            <w:r>
              <w:rPr>
                <w:rFonts w:ascii="Calibri" w:hAnsi="Calibri" w:cs="Calibri"/>
                <w:color w:val="000000"/>
                <w:sz w:val="20"/>
                <w:szCs w:val="20"/>
              </w:rPr>
              <w:t>7.</w:t>
            </w:r>
          </w:p>
        </w:tc>
        <w:tc>
          <w:tcPr>
            <w:tcW w:w="2632" w:type="dxa"/>
            <w:tcBorders>
              <w:top w:val="nil"/>
              <w:left w:val="nil"/>
              <w:bottom w:val="single" w:sz="4" w:space="0" w:color="auto"/>
              <w:right w:val="single" w:sz="4" w:space="0" w:color="auto"/>
            </w:tcBorders>
            <w:shd w:val="clear" w:color="auto" w:fill="auto"/>
            <w:noWrap/>
            <w:vAlign w:val="center"/>
            <w:hideMark/>
          </w:tcPr>
          <w:p w:rsidR="007C7337" w:rsidRDefault="007C7337">
            <w:pPr>
              <w:rPr>
                <w:rFonts w:ascii="Calibri" w:hAnsi="Calibri" w:cs="Calibri"/>
                <w:color w:val="000000"/>
                <w:sz w:val="18"/>
                <w:szCs w:val="18"/>
              </w:rPr>
            </w:pPr>
            <w:r>
              <w:rPr>
                <w:rFonts w:ascii="Calibri" w:hAnsi="Calibri" w:cs="Calibri"/>
                <w:color w:val="000000"/>
                <w:sz w:val="18"/>
                <w:szCs w:val="18"/>
              </w:rPr>
              <w:t>Splátky leasingu</w:t>
            </w:r>
          </w:p>
        </w:tc>
        <w:tc>
          <w:tcPr>
            <w:tcW w:w="1701" w:type="dxa"/>
            <w:tcBorders>
              <w:top w:val="nil"/>
              <w:left w:val="nil"/>
              <w:bottom w:val="single" w:sz="4" w:space="0" w:color="auto"/>
              <w:right w:val="single" w:sz="4" w:space="0" w:color="auto"/>
            </w:tcBorders>
            <w:shd w:val="clear" w:color="auto" w:fill="auto"/>
            <w:noWrap/>
            <w:vAlign w:val="center"/>
            <w:hideMark/>
          </w:tcPr>
          <w:p w:rsidR="007C7337" w:rsidRDefault="007C7337">
            <w:pPr>
              <w:rPr>
                <w:rFonts w:ascii="Calibri" w:hAnsi="Calibri" w:cs="Calibri"/>
                <w:color w:val="000000"/>
                <w:sz w:val="18"/>
                <w:szCs w:val="18"/>
              </w:rPr>
            </w:pPr>
            <w:r>
              <w:rPr>
                <w:rFonts w:ascii="Calibri" w:hAnsi="Calibri" w:cs="Calibri"/>
                <w:color w:val="000000"/>
                <w:sz w:val="18"/>
                <w:szCs w:val="18"/>
              </w:rPr>
              <w:t>položka 5178</w:t>
            </w:r>
          </w:p>
        </w:tc>
        <w:tc>
          <w:tcPr>
            <w:tcW w:w="992" w:type="dxa"/>
            <w:tcBorders>
              <w:top w:val="nil"/>
              <w:left w:val="nil"/>
              <w:bottom w:val="single" w:sz="4" w:space="0" w:color="auto"/>
              <w:right w:val="single" w:sz="4" w:space="0" w:color="auto"/>
            </w:tcBorders>
            <w:shd w:val="clear" w:color="auto" w:fill="auto"/>
            <w:noWrap/>
            <w:vAlign w:val="center"/>
            <w:hideMark/>
          </w:tcPr>
          <w:p w:rsidR="007C7337" w:rsidRDefault="007C7337">
            <w:pPr>
              <w:jc w:val="right"/>
              <w:rPr>
                <w:rFonts w:ascii="Calibri" w:hAnsi="Calibri" w:cs="Calibri"/>
                <w:color w:val="000000"/>
                <w:sz w:val="18"/>
                <w:szCs w:val="18"/>
              </w:rPr>
            </w:pPr>
            <w:r>
              <w:rPr>
                <w:rFonts w:ascii="Calibri" w:hAnsi="Calibri" w:cs="Calibri"/>
                <w:color w:val="000000"/>
                <w:sz w:val="18"/>
                <w:szCs w:val="18"/>
              </w:rPr>
              <w:t>0</w:t>
            </w:r>
          </w:p>
        </w:tc>
        <w:tc>
          <w:tcPr>
            <w:tcW w:w="993" w:type="dxa"/>
            <w:tcBorders>
              <w:top w:val="nil"/>
              <w:left w:val="nil"/>
              <w:bottom w:val="single" w:sz="4" w:space="0" w:color="auto"/>
              <w:right w:val="single" w:sz="4" w:space="0" w:color="auto"/>
            </w:tcBorders>
            <w:shd w:val="clear" w:color="auto" w:fill="auto"/>
            <w:noWrap/>
            <w:vAlign w:val="center"/>
            <w:hideMark/>
          </w:tcPr>
          <w:p w:rsidR="007C7337" w:rsidRDefault="007C7337">
            <w:pPr>
              <w:jc w:val="right"/>
              <w:rPr>
                <w:rFonts w:ascii="Calibri" w:hAnsi="Calibri" w:cs="Calibri"/>
                <w:color w:val="000000"/>
                <w:sz w:val="18"/>
                <w:szCs w:val="18"/>
              </w:rPr>
            </w:pPr>
            <w:r>
              <w:rPr>
                <w:rFonts w:ascii="Calibri" w:hAnsi="Calibri" w:cs="Calibri"/>
                <w:color w:val="000000"/>
                <w:sz w:val="18"/>
                <w:szCs w:val="18"/>
              </w:rPr>
              <w:t>0</w:t>
            </w:r>
          </w:p>
        </w:tc>
        <w:tc>
          <w:tcPr>
            <w:tcW w:w="992" w:type="dxa"/>
            <w:tcBorders>
              <w:top w:val="nil"/>
              <w:left w:val="nil"/>
              <w:bottom w:val="single" w:sz="4" w:space="0" w:color="auto"/>
              <w:right w:val="single" w:sz="4" w:space="0" w:color="auto"/>
            </w:tcBorders>
            <w:shd w:val="clear" w:color="auto" w:fill="auto"/>
            <w:noWrap/>
            <w:vAlign w:val="center"/>
            <w:hideMark/>
          </w:tcPr>
          <w:p w:rsidR="007C7337" w:rsidRDefault="007C7337">
            <w:pPr>
              <w:jc w:val="right"/>
              <w:rPr>
                <w:rFonts w:ascii="Calibri" w:hAnsi="Calibri" w:cs="Calibri"/>
                <w:color w:val="000000"/>
                <w:sz w:val="18"/>
                <w:szCs w:val="18"/>
              </w:rPr>
            </w:pPr>
            <w:r>
              <w:rPr>
                <w:rFonts w:ascii="Calibri" w:hAnsi="Calibri" w:cs="Calibri"/>
                <w:color w:val="000000"/>
                <w:sz w:val="18"/>
                <w:szCs w:val="18"/>
              </w:rPr>
              <w:t>0</w:t>
            </w:r>
          </w:p>
        </w:tc>
        <w:tc>
          <w:tcPr>
            <w:tcW w:w="992" w:type="dxa"/>
            <w:tcBorders>
              <w:top w:val="nil"/>
              <w:left w:val="nil"/>
              <w:bottom w:val="single" w:sz="4" w:space="0" w:color="auto"/>
              <w:right w:val="single" w:sz="4" w:space="0" w:color="auto"/>
            </w:tcBorders>
            <w:shd w:val="clear" w:color="auto" w:fill="auto"/>
            <w:noWrap/>
            <w:vAlign w:val="center"/>
            <w:hideMark/>
          </w:tcPr>
          <w:p w:rsidR="007C7337" w:rsidRDefault="007C7337">
            <w:pPr>
              <w:jc w:val="right"/>
              <w:rPr>
                <w:rFonts w:ascii="Calibri" w:hAnsi="Calibri" w:cs="Calibri"/>
                <w:color w:val="000000"/>
                <w:sz w:val="18"/>
                <w:szCs w:val="18"/>
              </w:rPr>
            </w:pPr>
            <w:r>
              <w:rPr>
                <w:rFonts w:ascii="Calibri" w:hAnsi="Calibri" w:cs="Calibri"/>
                <w:color w:val="000000"/>
                <w:sz w:val="18"/>
                <w:szCs w:val="18"/>
              </w:rPr>
              <w:t>0</w:t>
            </w:r>
          </w:p>
        </w:tc>
        <w:tc>
          <w:tcPr>
            <w:tcW w:w="992" w:type="dxa"/>
            <w:tcBorders>
              <w:top w:val="nil"/>
              <w:left w:val="nil"/>
              <w:bottom w:val="single" w:sz="4" w:space="0" w:color="auto"/>
              <w:right w:val="single" w:sz="4" w:space="0" w:color="auto"/>
            </w:tcBorders>
            <w:shd w:val="clear" w:color="auto" w:fill="auto"/>
            <w:noWrap/>
            <w:vAlign w:val="center"/>
            <w:hideMark/>
          </w:tcPr>
          <w:p w:rsidR="007C7337" w:rsidRDefault="007C7337">
            <w:pPr>
              <w:jc w:val="right"/>
              <w:rPr>
                <w:rFonts w:ascii="Calibri" w:hAnsi="Calibri" w:cs="Calibri"/>
                <w:color w:val="000000"/>
                <w:sz w:val="18"/>
                <w:szCs w:val="18"/>
              </w:rPr>
            </w:pPr>
            <w:r>
              <w:rPr>
                <w:rFonts w:ascii="Calibri" w:hAnsi="Calibri" w:cs="Calibri"/>
                <w:color w:val="000000"/>
                <w:sz w:val="18"/>
                <w:szCs w:val="18"/>
              </w:rPr>
              <w:t>0</w:t>
            </w:r>
          </w:p>
        </w:tc>
      </w:tr>
      <w:tr w:rsidR="007C7337" w:rsidTr="007C7337">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7C7337" w:rsidRDefault="007C7337">
            <w:pPr>
              <w:rPr>
                <w:rFonts w:ascii="Calibri" w:hAnsi="Calibri" w:cs="Calibri"/>
                <w:i/>
                <w:iCs/>
                <w:color w:val="000000"/>
                <w:sz w:val="20"/>
                <w:szCs w:val="20"/>
              </w:rPr>
            </w:pPr>
            <w:r>
              <w:rPr>
                <w:rFonts w:ascii="Calibri" w:hAnsi="Calibri" w:cs="Calibri"/>
                <w:i/>
                <w:iCs/>
                <w:color w:val="000000"/>
                <w:sz w:val="20"/>
                <w:szCs w:val="20"/>
              </w:rPr>
              <w:t>8.</w:t>
            </w:r>
          </w:p>
        </w:tc>
        <w:tc>
          <w:tcPr>
            <w:tcW w:w="2632" w:type="dxa"/>
            <w:tcBorders>
              <w:top w:val="nil"/>
              <w:left w:val="nil"/>
              <w:bottom w:val="single" w:sz="4" w:space="0" w:color="auto"/>
              <w:right w:val="single" w:sz="4" w:space="0" w:color="auto"/>
            </w:tcBorders>
            <w:shd w:val="clear" w:color="auto" w:fill="auto"/>
            <w:noWrap/>
            <w:vAlign w:val="center"/>
            <w:hideMark/>
          </w:tcPr>
          <w:p w:rsidR="007C7337" w:rsidRDefault="007C7337">
            <w:pPr>
              <w:rPr>
                <w:rFonts w:ascii="Calibri" w:hAnsi="Calibri" w:cs="Calibri"/>
                <w:i/>
                <w:iCs/>
                <w:color w:val="000000"/>
                <w:sz w:val="18"/>
                <w:szCs w:val="18"/>
              </w:rPr>
            </w:pPr>
            <w:r>
              <w:rPr>
                <w:rFonts w:ascii="Calibri" w:hAnsi="Calibri" w:cs="Calibri"/>
                <w:i/>
                <w:iCs/>
                <w:color w:val="000000"/>
                <w:sz w:val="18"/>
                <w:szCs w:val="18"/>
              </w:rPr>
              <w:t>Dluhová služba</w:t>
            </w:r>
          </w:p>
        </w:tc>
        <w:tc>
          <w:tcPr>
            <w:tcW w:w="1701" w:type="dxa"/>
            <w:tcBorders>
              <w:top w:val="nil"/>
              <w:left w:val="nil"/>
              <w:bottom w:val="single" w:sz="4" w:space="0" w:color="auto"/>
              <w:right w:val="single" w:sz="4" w:space="0" w:color="auto"/>
            </w:tcBorders>
            <w:shd w:val="clear" w:color="auto" w:fill="auto"/>
            <w:noWrap/>
            <w:vAlign w:val="center"/>
            <w:hideMark/>
          </w:tcPr>
          <w:p w:rsidR="007C7337" w:rsidRDefault="007C7337">
            <w:pPr>
              <w:rPr>
                <w:rFonts w:ascii="Calibri" w:hAnsi="Calibri" w:cs="Calibri"/>
                <w:i/>
                <w:iCs/>
                <w:color w:val="000000"/>
                <w:sz w:val="18"/>
                <w:szCs w:val="18"/>
              </w:rPr>
            </w:pPr>
            <w:r>
              <w:rPr>
                <w:rFonts w:ascii="Calibri" w:hAnsi="Calibri" w:cs="Calibri"/>
                <w:i/>
                <w:iCs/>
                <w:color w:val="000000"/>
                <w:sz w:val="18"/>
                <w:szCs w:val="18"/>
              </w:rPr>
              <w:t>ř. 5 + ř. 6 + ř. 7</w:t>
            </w:r>
          </w:p>
        </w:tc>
        <w:tc>
          <w:tcPr>
            <w:tcW w:w="992" w:type="dxa"/>
            <w:tcBorders>
              <w:top w:val="nil"/>
              <w:left w:val="nil"/>
              <w:bottom w:val="single" w:sz="4" w:space="0" w:color="auto"/>
              <w:right w:val="single" w:sz="4" w:space="0" w:color="auto"/>
            </w:tcBorders>
            <w:shd w:val="clear" w:color="auto" w:fill="auto"/>
            <w:noWrap/>
            <w:vAlign w:val="center"/>
            <w:hideMark/>
          </w:tcPr>
          <w:p w:rsidR="007C7337" w:rsidRDefault="007C7337">
            <w:pPr>
              <w:jc w:val="right"/>
              <w:rPr>
                <w:rFonts w:ascii="Calibri" w:hAnsi="Calibri" w:cs="Calibri"/>
                <w:i/>
                <w:iCs/>
                <w:color w:val="000000"/>
                <w:sz w:val="18"/>
                <w:szCs w:val="18"/>
              </w:rPr>
            </w:pPr>
            <w:r>
              <w:rPr>
                <w:rFonts w:ascii="Calibri" w:hAnsi="Calibri" w:cs="Calibri"/>
                <w:i/>
                <w:iCs/>
                <w:color w:val="000000"/>
                <w:sz w:val="18"/>
                <w:szCs w:val="18"/>
              </w:rPr>
              <w:t>0</w:t>
            </w:r>
          </w:p>
        </w:tc>
        <w:tc>
          <w:tcPr>
            <w:tcW w:w="993" w:type="dxa"/>
            <w:tcBorders>
              <w:top w:val="nil"/>
              <w:left w:val="nil"/>
              <w:bottom w:val="single" w:sz="4" w:space="0" w:color="auto"/>
              <w:right w:val="single" w:sz="4" w:space="0" w:color="auto"/>
            </w:tcBorders>
            <w:shd w:val="clear" w:color="auto" w:fill="auto"/>
            <w:noWrap/>
            <w:vAlign w:val="center"/>
            <w:hideMark/>
          </w:tcPr>
          <w:p w:rsidR="007C7337" w:rsidRDefault="007C7337">
            <w:pPr>
              <w:jc w:val="right"/>
              <w:rPr>
                <w:rFonts w:ascii="Calibri" w:hAnsi="Calibri" w:cs="Calibri"/>
                <w:i/>
                <w:iCs/>
                <w:color w:val="000000"/>
                <w:sz w:val="18"/>
                <w:szCs w:val="18"/>
              </w:rPr>
            </w:pPr>
            <w:r>
              <w:rPr>
                <w:rFonts w:ascii="Calibri" w:hAnsi="Calibri" w:cs="Calibri"/>
                <w:i/>
                <w:iCs/>
                <w:color w:val="000000"/>
                <w:sz w:val="18"/>
                <w:szCs w:val="18"/>
              </w:rPr>
              <w:t>0</w:t>
            </w:r>
          </w:p>
        </w:tc>
        <w:tc>
          <w:tcPr>
            <w:tcW w:w="992" w:type="dxa"/>
            <w:tcBorders>
              <w:top w:val="nil"/>
              <w:left w:val="nil"/>
              <w:bottom w:val="single" w:sz="4" w:space="0" w:color="auto"/>
              <w:right w:val="single" w:sz="4" w:space="0" w:color="auto"/>
            </w:tcBorders>
            <w:shd w:val="clear" w:color="auto" w:fill="auto"/>
            <w:noWrap/>
            <w:vAlign w:val="center"/>
            <w:hideMark/>
          </w:tcPr>
          <w:p w:rsidR="007C7337" w:rsidRDefault="007C7337">
            <w:pPr>
              <w:jc w:val="right"/>
              <w:rPr>
                <w:rFonts w:ascii="Calibri" w:hAnsi="Calibri" w:cs="Calibri"/>
                <w:i/>
                <w:iCs/>
                <w:color w:val="000000"/>
                <w:sz w:val="18"/>
                <w:szCs w:val="18"/>
              </w:rPr>
            </w:pPr>
            <w:r>
              <w:rPr>
                <w:rFonts w:ascii="Calibri" w:hAnsi="Calibri" w:cs="Calibri"/>
                <w:i/>
                <w:iCs/>
                <w:color w:val="000000"/>
                <w:sz w:val="18"/>
                <w:szCs w:val="18"/>
              </w:rPr>
              <w:t>0</w:t>
            </w:r>
          </w:p>
        </w:tc>
        <w:tc>
          <w:tcPr>
            <w:tcW w:w="992" w:type="dxa"/>
            <w:tcBorders>
              <w:top w:val="nil"/>
              <w:left w:val="nil"/>
              <w:bottom w:val="single" w:sz="4" w:space="0" w:color="auto"/>
              <w:right w:val="single" w:sz="4" w:space="0" w:color="auto"/>
            </w:tcBorders>
            <w:shd w:val="clear" w:color="auto" w:fill="auto"/>
            <w:noWrap/>
            <w:vAlign w:val="center"/>
            <w:hideMark/>
          </w:tcPr>
          <w:p w:rsidR="007C7337" w:rsidRDefault="007C7337">
            <w:pPr>
              <w:jc w:val="right"/>
              <w:rPr>
                <w:rFonts w:ascii="Calibri" w:hAnsi="Calibri" w:cs="Calibri"/>
                <w:i/>
                <w:iCs/>
                <w:color w:val="000000"/>
                <w:sz w:val="18"/>
                <w:szCs w:val="18"/>
              </w:rPr>
            </w:pPr>
            <w:r>
              <w:rPr>
                <w:rFonts w:ascii="Calibri" w:hAnsi="Calibri" w:cs="Calibri"/>
                <w:i/>
                <w:iCs/>
                <w:color w:val="000000"/>
                <w:sz w:val="18"/>
                <w:szCs w:val="18"/>
              </w:rPr>
              <w:t>0</w:t>
            </w:r>
          </w:p>
        </w:tc>
        <w:tc>
          <w:tcPr>
            <w:tcW w:w="992" w:type="dxa"/>
            <w:tcBorders>
              <w:top w:val="nil"/>
              <w:left w:val="nil"/>
              <w:bottom w:val="single" w:sz="4" w:space="0" w:color="auto"/>
              <w:right w:val="single" w:sz="4" w:space="0" w:color="auto"/>
            </w:tcBorders>
            <w:shd w:val="clear" w:color="auto" w:fill="auto"/>
            <w:noWrap/>
            <w:vAlign w:val="center"/>
            <w:hideMark/>
          </w:tcPr>
          <w:p w:rsidR="007C7337" w:rsidRDefault="007C7337">
            <w:pPr>
              <w:jc w:val="right"/>
              <w:rPr>
                <w:rFonts w:ascii="Calibri" w:hAnsi="Calibri" w:cs="Calibri"/>
                <w:i/>
                <w:iCs/>
                <w:color w:val="000000"/>
                <w:sz w:val="18"/>
                <w:szCs w:val="18"/>
              </w:rPr>
            </w:pPr>
            <w:r>
              <w:rPr>
                <w:rFonts w:ascii="Calibri" w:hAnsi="Calibri" w:cs="Calibri"/>
                <w:i/>
                <w:iCs/>
                <w:color w:val="000000"/>
                <w:sz w:val="18"/>
                <w:szCs w:val="18"/>
              </w:rPr>
              <w:t>0</w:t>
            </w:r>
          </w:p>
        </w:tc>
      </w:tr>
      <w:tr w:rsidR="007C7337" w:rsidTr="007C7337">
        <w:trPr>
          <w:trHeight w:val="300"/>
        </w:trPr>
        <w:tc>
          <w:tcPr>
            <w:tcW w:w="340" w:type="dxa"/>
            <w:tcBorders>
              <w:top w:val="nil"/>
              <w:left w:val="single" w:sz="4" w:space="0" w:color="auto"/>
              <w:bottom w:val="single" w:sz="4" w:space="0" w:color="auto"/>
              <w:right w:val="single" w:sz="4" w:space="0" w:color="auto"/>
            </w:tcBorders>
            <w:shd w:val="clear" w:color="F4B183" w:fill="FABF8F"/>
            <w:noWrap/>
            <w:vAlign w:val="center"/>
            <w:hideMark/>
          </w:tcPr>
          <w:p w:rsidR="007C7337" w:rsidRDefault="007C7337">
            <w:pPr>
              <w:rPr>
                <w:rFonts w:ascii="Calibri" w:hAnsi="Calibri" w:cs="Calibri"/>
                <w:b/>
                <w:bCs/>
                <w:color w:val="000000"/>
                <w:sz w:val="20"/>
                <w:szCs w:val="20"/>
              </w:rPr>
            </w:pPr>
            <w:r>
              <w:rPr>
                <w:rFonts w:ascii="Calibri" w:hAnsi="Calibri" w:cs="Calibri"/>
                <w:b/>
                <w:bCs/>
                <w:color w:val="000000"/>
                <w:sz w:val="20"/>
                <w:szCs w:val="20"/>
              </w:rPr>
              <w:t>9.</w:t>
            </w:r>
          </w:p>
        </w:tc>
        <w:tc>
          <w:tcPr>
            <w:tcW w:w="2632" w:type="dxa"/>
            <w:tcBorders>
              <w:top w:val="nil"/>
              <w:left w:val="nil"/>
              <w:bottom w:val="single" w:sz="4" w:space="0" w:color="auto"/>
              <w:right w:val="single" w:sz="4" w:space="0" w:color="auto"/>
            </w:tcBorders>
            <w:shd w:val="clear" w:color="F4B183" w:fill="FABF8F"/>
            <w:noWrap/>
            <w:vAlign w:val="center"/>
            <w:hideMark/>
          </w:tcPr>
          <w:p w:rsidR="007C7337" w:rsidRDefault="007C7337">
            <w:pPr>
              <w:rPr>
                <w:rFonts w:ascii="Calibri" w:hAnsi="Calibri" w:cs="Calibri"/>
                <w:b/>
                <w:bCs/>
                <w:color w:val="000000"/>
                <w:sz w:val="18"/>
                <w:szCs w:val="18"/>
              </w:rPr>
            </w:pPr>
            <w:r>
              <w:rPr>
                <w:rFonts w:ascii="Calibri" w:hAnsi="Calibri" w:cs="Calibri"/>
                <w:b/>
                <w:bCs/>
                <w:color w:val="000000"/>
                <w:sz w:val="18"/>
                <w:szCs w:val="18"/>
              </w:rPr>
              <w:t>Ukazatel dluhové služby</w:t>
            </w:r>
          </w:p>
        </w:tc>
        <w:tc>
          <w:tcPr>
            <w:tcW w:w="1701" w:type="dxa"/>
            <w:tcBorders>
              <w:top w:val="nil"/>
              <w:left w:val="nil"/>
              <w:bottom w:val="single" w:sz="4" w:space="0" w:color="auto"/>
              <w:right w:val="single" w:sz="4" w:space="0" w:color="auto"/>
            </w:tcBorders>
            <w:shd w:val="clear" w:color="F4B183" w:fill="FABF8F"/>
            <w:noWrap/>
            <w:vAlign w:val="center"/>
            <w:hideMark/>
          </w:tcPr>
          <w:p w:rsidR="007C7337" w:rsidRDefault="007C7337">
            <w:pPr>
              <w:rPr>
                <w:rFonts w:ascii="Calibri" w:hAnsi="Calibri" w:cs="Calibri"/>
                <w:b/>
                <w:bCs/>
                <w:color w:val="000000"/>
                <w:sz w:val="18"/>
                <w:szCs w:val="18"/>
              </w:rPr>
            </w:pPr>
            <w:r>
              <w:rPr>
                <w:rFonts w:ascii="Calibri" w:hAnsi="Calibri" w:cs="Calibri"/>
                <w:b/>
                <w:bCs/>
                <w:color w:val="000000"/>
                <w:sz w:val="18"/>
                <w:szCs w:val="18"/>
              </w:rPr>
              <w:t>ř. 8 děleno ř. 4 v %</w:t>
            </w:r>
          </w:p>
        </w:tc>
        <w:tc>
          <w:tcPr>
            <w:tcW w:w="992" w:type="dxa"/>
            <w:tcBorders>
              <w:top w:val="nil"/>
              <w:left w:val="nil"/>
              <w:bottom w:val="single" w:sz="4" w:space="0" w:color="auto"/>
              <w:right w:val="single" w:sz="4" w:space="0" w:color="auto"/>
            </w:tcBorders>
            <w:shd w:val="clear" w:color="F4B183" w:fill="FABF8F"/>
            <w:noWrap/>
            <w:vAlign w:val="center"/>
            <w:hideMark/>
          </w:tcPr>
          <w:p w:rsidR="007C7337" w:rsidRDefault="007C7337">
            <w:pPr>
              <w:jc w:val="right"/>
              <w:rPr>
                <w:rFonts w:ascii="Calibri" w:hAnsi="Calibri" w:cs="Calibri"/>
                <w:b/>
                <w:bCs/>
                <w:color w:val="000000"/>
                <w:sz w:val="18"/>
                <w:szCs w:val="18"/>
              </w:rPr>
            </w:pPr>
            <w:r>
              <w:rPr>
                <w:rFonts w:ascii="Calibri" w:hAnsi="Calibri" w:cs="Calibri"/>
                <w:b/>
                <w:bCs/>
                <w:color w:val="000000"/>
                <w:sz w:val="18"/>
                <w:szCs w:val="18"/>
              </w:rPr>
              <w:t>0,00 %</w:t>
            </w:r>
          </w:p>
        </w:tc>
        <w:tc>
          <w:tcPr>
            <w:tcW w:w="993" w:type="dxa"/>
            <w:tcBorders>
              <w:top w:val="nil"/>
              <w:left w:val="nil"/>
              <w:bottom w:val="single" w:sz="4" w:space="0" w:color="auto"/>
              <w:right w:val="single" w:sz="4" w:space="0" w:color="auto"/>
            </w:tcBorders>
            <w:shd w:val="clear" w:color="F4B183" w:fill="FABF8F"/>
            <w:noWrap/>
            <w:vAlign w:val="center"/>
            <w:hideMark/>
          </w:tcPr>
          <w:p w:rsidR="007C7337" w:rsidRDefault="007C7337">
            <w:pPr>
              <w:jc w:val="right"/>
              <w:rPr>
                <w:rFonts w:ascii="Calibri" w:hAnsi="Calibri" w:cs="Calibri"/>
                <w:b/>
                <w:bCs/>
                <w:color w:val="000000"/>
                <w:sz w:val="18"/>
                <w:szCs w:val="18"/>
              </w:rPr>
            </w:pPr>
            <w:r>
              <w:rPr>
                <w:rFonts w:ascii="Calibri" w:hAnsi="Calibri" w:cs="Calibri"/>
                <w:b/>
                <w:bCs/>
                <w:color w:val="000000"/>
                <w:sz w:val="18"/>
                <w:szCs w:val="18"/>
              </w:rPr>
              <w:t>0,00 %</w:t>
            </w:r>
          </w:p>
        </w:tc>
        <w:tc>
          <w:tcPr>
            <w:tcW w:w="992" w:type="dxa"/>
            <w:tcBorders>
              <w:top w:val="nil"/>
              <w:left w:val="nil"/>
              <w:bottom w:val="single" w:sz="4" w:space="0" w:color="auto"/>
              <w:right w:val="single" w:sz="4" w:space="0" w:color="auto"/>
            </w:tcBorders>
            <w:shd w:val="clear" w:color="F4B183" w:fill="FABF8F"/>
            <w:noWrap/>
            <w:vAlign w:val="center"/>
            <w:hideMark/>
          </w:tcPr>
          <w:p w:rsidR="007C7337" w:rsidRDefault="007C7337">
            <w:pPr>
              <w:jc w:val="right"/>
              <w:rPr>
                <w:rFonts w:ascii="Calibri" w:hAnsi="Calibri" w:cs="Calibri"/>
                <w:b/>
                <w:bCs/>
                <w:color w:val="000000"/>
                <w:sz w:val="18"/>
                <w:szCs w:val="18"/>
              </w:rPr>
            </w:pPr>
            <w:r>
              <w:rPr>
                <w:rFonts w:ascii="Calibri" w:hAnsi="Calibri" w:cs="Calibri"/>
                <w:b/>
                <w:bCs/>
                <w:color w:val="000000"/>
                <w:sz w:val="18"/>
                <w:szCs w:val="18"/>
              </w:rPr>
              <w:t>0,00 %</w:t>
            </w:r>
          </w:p>
        </w:tc>
        <w:tc>
          <w:tcPr>
            <w:tcW w:w="992" w:type="dxa"/>
            <w:tcBorders>
              <w:top w:val="nil"/>
              <w:left w:val="nil"/>
              <w:bottom w:val="single" w:sz="4" w:space="0" w:color="auto"/>
              <w:right w:val="single" w:sz="4" w:space="0" w:color="auto"/>
            </w:tcBorders>
            <w:shd w:val="clear" w:color="F4B183" w:fill="FABF8F"/>
            <w:noWrap/>
            <w:vAlign w:val="center"/>
            <w:hideMark/>
          </w:tcPr>
          <w:p w:rsidR="007C7337" w:rsidRDefault="007C7337">
            <w:pPr>
              <w:jc w:val="right"/>
              <w:rPr>
                <w:rFonts w:ascii="Calibri" w:hAnsi="Calibri" w:cs="Calibri"/>
                <w:b/>
                <w:bCs/>
                <w:color w:val="000000"/>
                <w:sz w:val="18"/>
                <w:szCs w:val="18"/>
              </w:rPr>
            </w:pPr>
            <w:r>
              <w:rPr>
                <w:rFonts w:ascii="Calibri" w:hAnsi="Calibri" w:cs="Calibri"/>
                <w:b/>
                <w:bCs/>
                <w:color w:val="000000"/>
                <w:sz w:val="18"/>
                <w:szCs w:val="18"/>
              </w:rPr>
              <w:t>0,00 %</w:t>
            </w:r>
          </w:p>
        </w:tc>
        <w:tc>
          <w:tcPr>
            <w:tcW w:w="992" w:type="dxa"/>
            <w:tcBorders>
              <w:top w:val="nil"/>
              <w:left w:val="nil"/>
              <w:bottom w:val="single" w:sz="4" w:space="0" w:color="auto"/>
              <w:right w:val="single" w:sz="4" w:space="0" w:color="auto"/>
            </w:tcBorders>
            <w:shd w:val="clear" w:color="F4B183" w:fill="FABF8F"/>
            <w:noWrap/>
            <w:vAlign w:val="center"/>
            <w:hideMark/>
          </w:tcPr>
          <w:p w:rsidR="007C7337" w:rsidRDefault="007C7337">
            <w:pPr>
              <w:jc w:val="right"/>
              <w:rPr>
                <w:rFonts w:ascii="Calibri" w:hAnsi="Calibri" w:cs="Calibri"/>
                <w:b/>
                <w:bCs/>
                <w:color w:val="000000"/>
                <w:sz w:val="18"/>
                <w:szCs w:val="18"/>
              </w:rPr>
            </w:pPr>
            <w:r>
              <w:rPr>
                <w:rFonts w:ascii="Calibri" w:hAnsi="Calibri" w:cs="Calibri"/>
                <w:b/>
                <w:bCs/>
                <w:color w:val="000000"/>
                <w:sz w:val="18"/>
                <w:szCs w:val="18"/>
              </w:rPr>
              <w:t>0,00 %</w:t>
            </w:r>
          </w:p>
        </w:tc>
      </w:tr>
    </w:tbl>
    <w:p w:rsidR="007C7337" w:rsidRDefault="007C7337" w:rsidP="007C7337"/>
    <w:p w:rsidR="007C7337" w:rsidRDefault="007C7337" w:rsidP="007C7337"/>
    <w:p w:rsidR="00283944" w:rsidRDefault="0021057E" w:rsidP="00A7279D">
      <w:pPr>
        <w:pStyle w:val="Nadpis2"/>
      </w:pPr>
      <w:bookmarkStart w:id="4" w:name="_Toc39129489"/>
      <w:r w:rsidRPr="003B1EFD">
        <w:t xml:space="preserve">Rekapitulace hospodaření </w:t>
      </w:r>
      <w:r w:rsidR="00FA2BEA">
        <w:t>za rok 202</w:t>
      </w:r>
      <w:r w:rsidR="007C7337">
        <w:t>2</w:t>
      </w:r>
      <w:r w:rsidR="00283944" w:rsidRPr="003B1EFD">
        <w:t xml:space="preserve"> (v Kč)</w:t>
      </w:r>
      <w:bookmarkEnd w:id="4"/>
    </w:p>
    <w:tbl>
      <w:tblPr>
        <w:tblW w:w="7900" w:type="dxa"/>
        <w:tblCellMar>
          <w:left w:w="70" w:type="dxa"/>
          <w:right w:w="70" w:type="dxa"/>
        </w:tblCellMar>
        <w:tblLook w:val="04A0" w:firstRow="1" w:lastRow="0" w:firstColumn="1" w:lastColumn="0" w:noHBand="0" w:noVBand="1"/>
      </w:tblPr>
      <w:tblGrid>
        <w:gridCol w:w="1720"/>
        <w:gridCol w:w="1590"/>
        <w:gridCol w:w="1590"/>
        <w:gridCol w:w="1420"/>
        <w:gridCol w:w="1580"/>
      </w:tblGrid>
      <w:tr w:rsidR="007C7337" w:rsidTr="007C7337">
        <w:trPr>
          <w:trHeight w:val="338"/>
        </w:trPr>
        <w:tc>
          <w:tcPr>
            <w:tcW w:w="1720" w:type="dxa"/>
            <w:vMerge w:val="restart"/>
            <w:tcBorders>
              <w:top w:val="single" w:sz="4" w:space="0" w:color="auto"/>
              <w:left w:val="single" w:sz="4" w:space="0" w:color="auto"/>
              <w:bottom w:val="single" w:sz="4" w:space="0" w:color="auto"/>
              <w:right w:val="single" w:sz="4" w:space="0" w:color="auto"/>
            </w:tcBorders>
            <w:shd w:val="clear" w:color="99CCFF" w:fill="66CCFF"/>
            <w:noWrap/>
            <w:vAlign w:val="center"/>
            <w:hideMark/>
          </w:tcPr>
          <w:p w:rsidR="007C7337" w:rsidRPr="007C7337" w:rsidRDefault="007C7337">
            <w:pPr>
              <w:rPr>
                <w:rFonts w:ascii="Calibri" w:hAnsi="Calibri" w:cs="Calibri"/>
                <w:color w:val="000000"/>
                <w:sz w:val="20"/>
                <w:szCs w:val="20"/>
              </w:rPr>
            </w:pPr>
            <w:r w:rsidRPr="007C7337">
              <w:rPr>
                <w:rFonts w:ascii="Calibri" w:hAnsi="Calibri" w:cs="Calibri"/>
                <w:color w:val="000000"/>
                <w:sz w:val="20"/>
                <w:szCs w:val="20"/>
              </w:rPr>
              <w:t>Příjmy a výdaje</w:t>
            </w:r>
          </w:p>
        </w:tc>
        <w:tc>
          <w:tcPr>
            <w:tcW w:w="3180" w:type="dxa"/>
            <w:gridSpan w:val="2"/>
            <w:tcBorders>
              <w:top w:val="single" w:sz="4" w:space="0" w:color="auto"/>
              <w:left w:val="nil"/>
              <w:bottom w:val="single" w:sz="4" w:space="0" w:color="auto"/>
              <w:right w:val="single" w:sz="4" w:space="0" w:color="auto"/>
            </w:tcBorders>
            <w:shd w:val="clear" w:color="99CCFF" w:fill="66CCFF"/>
            <w:noWrap/>
            <w:vAlign w:val="center"/>
            <w:hideMark/>
          </w:tcPr>
          <w:p w:rsidR="007C7337" w:rsidRPr="007C7337" w:rsidRDefault="007C7337">
            <w:pPr>
              <w:jc w:val="center"/>
              <w:rPr>
                <w:rFonts w:ascii="Calibri" w:hAnsi="Calibri" w:cs="Calibri"/>
                <w:color w:val="000000"/>
                <w:sz w:val="20"/>
                <w:szCs w:val="20"/>
              </w:rPr>
            </w:pPr>
            <w:r w:rsidRPr="007C7337">
              <w:rPr>
                <w:rFonts w:ascii="Calibri" w:hAnsi="Calibri" w:cs="Calibri"/>
                <w:color w:val="000000"/>
                <w:sz w:val="20"/>
                <w:szCs w:val="20"/>
              </w:rPr>
              <w:t>Rozpočet</w:t>
            </w:r>
          </w:p>
        </w:tc>
        <w:tc>
          <w:tcPr>
            <w:tcW w:w="1420" w:type="dxa"/>
            <w:vMerge w:val="restart"/>
            <w:tcBorders>
              <w:top w:val="single" w:sz="4" w:space="0" w:color="auto"/>
              <w:left w:val="single" w:sz="4" w:space="0" w:color="auto"/>
              <w:bottom w:val="single" w:sz="4" w:space="0" w:color="auto"/>
              <w:right w:val="single" w:sz="4" w:space="0" w:color="auto"/>
            </w:tcBorders>
            <w:shd w:val="clear" w:color="99CCFF" w:fill="66CCFF"/>
            <w:vAlign w:val="center"/>
            <w:hideMark/>
          </w:tcPr>
          <w:p w:rsidR="007C7337" w:rsidRPr="007C7337" w:rsidRDefault="007C7337">
            <w:pPr>
              <w:jc w:val="center"/>
              <w:rPr>
                <w:rFonts w:ascii="Calibri" w:hAnsi="Calibri" w:cs="Calibri"/>
                <w:color w:val="000000"/>
                <w:sz w:val="20"/>
                <w:szCs w:val="20"/>
              </w:rPr>
            </w:pPr>
            <w:r w:rsidRPr="007C7337">
              <w:rPr>
                <w:rFonts w:ascii="Calibri" w:hAnsi="Calibri" w:cs="Calibri"/>
                <w:color w:val="000000"/>
                <w:sz w:val="20"/>
                <w:szCs w:val="20"/>
              </w:rPr>
              <w:t>Rozpočtová opatření</w:t>
            </w:r>
          </w:p>
        </w:tc>
        <w:tc>
          <w:tcPr>
            <w:tcW w:w="1580" w:type="dxa"/>
            <w:vMerge w:val="restart"/>
            <w:tcBorders>
              <w:top w:val="single" w:sz="4" w:space="0" w:color="auto"/>
              <w:left w:val="single" w:sz="4" w:space="0" w:color="auto"/>
              <w:bottom w:val="single" w:sz="4" w:space="0" w:color="auto"/>
              <w:right w:val="single" w:sz="4" w:space="0" w:color="auto"/>
            </w:tcBorders>
            <w:shd w:val="clear" w:color="99CCFF" w:fill="66CCFF"/>
            <w:noWrap/>
            <w:vAlign w:val="center"/>
            <w:hideMark/>
          </w:tcPr>
          <w:p w:rsidR="007C7337" w:rsidRPr="007C7337" w:rsidRDefault="007C7337">
            <w:pPr>
              <w:jc w:val="center"/>
              <w:rPr>
                <w:rFonts w:ascii="Calibri" w:hAnsi="Calibri" w:cs="Calibri"/>
                <w:color w:val="000000"/>
                <w:sz w:val="20"/>
                <w:szCs w:val="20"/>
              </w:rPr>
            </w:pPr>
            <w:r w:rsidRPr="007C7337">
              <w:rPr>
                <w:rFonts w:ascii="Calibri" w:hAnsi="Calibri" w:cs="Calibri"/>
                <w:color w:val="000000"/>
                <w:sz w:val="20"/>
                <w:szCs w:val="20"/>
              </w:rPr>
              <w:t>Skutečnost</w:t>
            </w:r>
          </w:p>
        </w:tc>
      </w:tr>
      <w:tr w:rsidR="007C7337" w:rsidTr="007C7337">
        <w:trPr>
          <w:trHeight w:val="360"/>
        </w:trPr>
        <w:tc>
          <w:tcPr>
            <w:tcW w:w="1720" w:type="dxa"/>
            <w:vMerge/>
            <w:tcBorders>
              <w:top w:val="single" w:sz="4" w:space="0" w:color="auto"/>
              <w:left w:val="single" w:sz="4" w:space="0" w:color="auto"/>
              <w:bottom w:val="single" w:sz="4" w:space="0" w:color="auto"/>
              <w:right w:val="single" w:sz="4" w:space="0" w:color="auto"/>
            </w:tcBorders>
            <w:vAlign w:val="center"/>
            <w:hideMark/>
          </w:tcPr>
          <w:p w:rsidR="007C7337" w:rsidRPr="007C7337" w:rsidRDefault="007C7337">
            <w:pPr>
              <w:rPr>
                <w:rFonts w:ascii="Calibri" w:hAnsi="Calibri" w:cs="Calibri"/>
                <w:color w:val="000000"/>
                <w:sz w:val="20"/>
                <w:szCs w:val="20"/>
              </w:rPr>
            </w:pPr>
          </w:p>
        </w:tc>
        <w:tc>
          <w:tcPr>
            <w:tcW w:w="1590" w:type="dxa"/>
            <w:tcBorders>
              <w:top w:val="nil"/>
              <w:left w:val="nil"/>
              <w:bottom w:val="single" w:sz="4" w:space="0" w:color="auto"/>
              <w:right w:val="single" w:sz="4" w:space="0" w:color="auto"/>
            </w:tcBorders>
            <w:shd w:val="clear" w:color="99CCFF" w:fill="66CCFF"/>
            <w:noWrap/>
            <w:vAlign w:val="center"/>
            <w:hideMark/>
          </w:tcPr>
          <w:p w:rsidR="007C7337" w:rsidRPr="007C7337" w:rsidRDefault="007C7337">
            <w:pPr>
              <w:jc w:val="center"/>
              <w:rPr>
                <w:rFonts w:ascii="Calibri" w:hAnsi="Calibri" w:cs="Calibri"/>
                <w:color w:val="000000"/>
                <w:sz w:val="20"/>
                <w:szCs w:val="20"/>
              </w:rPr>
            </w:pPr>
            <w:r w:rsidRPr="007C7337">
              <w:rPr>
                <w:rFonts w:ascii="Calibri" w:hAnsi="Calibri" w:cs="Calibri"/>
                <w:color w:val="000000"/>
                <w:sz w:val="20"/>
                <w:szCs w:val="20"/>
              </w:rPr>
              <w:t>Schválený</w:t>
            </w:r>
          </w:p>
        </w:tc>
        <w:tc>
          <w:tcPr>
            <w:tcW w:w="1590" w:type="dxa"/>
            <w:tcBorders>
              <w:top w:val="nil"/>
              <w:left w:val="nil"/>
              <w:bottom w:val="single" w:sz="4" w:space="0" w:color="auto"/>
              <w:right w:val="single" w:sz="4" w:space="0" w:color="auto"/>
            </w:tcBorders>
            <w:shd w:val="clear" w:color="99CCFF" w:fill="66CCFF"/>
            <w:noWrap/>
            <w:vAlign w:val="center"/>
            <w:hideMark/>
          </w:tcPr>
          <w:p w:rsidR="007C7337" w:rsidRPr="007C7337" w:rsidRDefault="007C7337">
            <w:pPr>
              <w:jc w:val="center"/>
              <w:rPr>
                <w:rFonts w:ascii="Calibri" w:hAnsi="Calibri" w:cs="Calibri"/>
                <w:color w:val="000000"/>
                <w:sz w:val="20"/>
                <w:szCs w:val="20"/>
              </w:rPr>
            </w:pPr>
            <w:r w:rsidRPr="007C7337">
              <w:rPr>
                <w:rFonts w:ascii="Calibri" w:hAnsi="Calibri" w:cs="Calibri"/>
                <w:color w:val="000000"/>
                <w:sz w:val="20"/>
                <w:szCs w:val="20"/>
              </w:rPr>
              <w:t>Upravený</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7C7337" w:rsidRPr="007C7337" w:rsidRDefault="007C7337">
            <w:pPr>
              <w:rPr>
                <w:rFonts w:ascii="Calibri" w:hAnsi="Calibri" w:cs="Calibri"/>
                <w:color w:val="000000"/>
                <w:sz w:val="20"/>
                <w:szCs w:val="20"/>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7C7337" w:rsidRPr="007C7337" w:rsidRDefault="007C7337">
            <w:pPr>
              <w:rPr>
                <w:rFonts w:ascii="Calibri" w:hAnsi="Calibri" w:cs="Calibri"/>
                <w:color w:val="000000"/>
                <w:sz w:val="20"/>
                <w:szCs w:val="20"/>
              </w:rPr>
            </w:pPr>
          </w:p>
        </w:tc>
      </w:tr>
      <w:tr w:rsidR="007C7337" w:rsidTr="007C7337">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7C7337" w:rsidRPr="007C7337" w:rsidRDefault="007C7337">
            <w:pPr>
              <w:rPr>
                <w:rFonts w:ascii="Calibri" w:hAnsi="Calibri" w:cs="Calibri"/>
                <w:color w:val="000000"/>
                <w:sz w:val="20"/>
                <w:szCs w:val="20"/>
              </w:rPr>
            </w:pPr>
            <w:r w:rsidRPr="007C7337">
              <w:rPr>
                <w:rFonts w:ascii="Calibri" w:hAnsi="Calibri" w:cs="Calibri"/>
                <w:color w:val="000000"/>
                <w:sz w:val="20"/>
                <w:szCs w:val="20"/>
              </w:rPr>
              <w:t>Daňové příjmy</w:t>
            </w:r>
          </w:p>
        </w:tc>
        <w:tc>
          <w:tcPr>
            <w:tcW w:w="1590" w:type="dxa"/>
            <w:tcBorders>
              <w:top w:val="nil"/>
              <w:left w:val="nil"/>
              <w:bottom w:val="single" w:sz="4" w:space="0" w:color="auto"/>
              <w:right w:val="single" w:sz="4" w:space="0" w:color="auto"/>
            </w:tcBorders>
            <w:shd w:val="clear" w:color="auto" w:fill="auto"/>
            <w:noWrap/>
            <w:vAlign w:val="center"/>
            <w:hideMark/>
          </w:tcPr>
          <w:p w:rsidR="007C7337" w:rsidRPr="007C7337" w:rsidRDefault="007C7337">
            <w:pPr>
              <w:jc w:val="right"/>
              <w:rPr>
                <w:rFonts w:ascii="Calibri" w:hAnsi="Calibri" w:cs="Calibri"/>
                <w:color w:val="000000"/>
                <w:sz w:val="20"/>
                <w:szCs w:val="20"/>
              </w:rPr>
            </w:pPr>
            <w:r w:rsidRPr="007C7337">
              <w:rPr>
                <w:rFonts w:ascii="Calibri" w:hAnsi="Calibri" w:cs="Calibri"/>
                <w:color w:val="000000"/>
                <w:sz w:val="20"/>
                <w:szCs w:val="20"/>
              </w:rPr>
              <w:t>777 929 604,28</w:t>
            </w:r>
          </w:p>
        </w:tc>
        <w:tc>
          <w:tcPr>
            <w:tcW w:w="1590" w:type="dxa"/>
            <w:tcBorders>
              <w:top w:val="nil"/>
              <w:left w:val="nil"/>
              <w:bottom w:val="single" w:sz="4" w:space="0" w:color="auto"/>
              <w:right w:val="single" w:sz="4" w:space="0" w:color="auto"/>
            </w:tcBorders>
            <w:shd w:val="clear" w:color="auto" w:fill="auto"/>
            <w:noWrap/>
            <w:vAlign w:val="center"/>
            <w:hideMark/>
          </w:tcPr>
          <w:p w:rsidR="007C7337" w:rsidRPr="007C7337" w:rsidRDefault="007C7337">
            <w:pPr>
              <w:jc w:val="right"/>
              <w:rPr>
                <w:rFonts w:ascii="Calibri" w:hAnsi="Calibri" w:cs="Calibri"/>
                <w:color w:val="000000"/>
                <w:sz w:val="20"/>
                <w:szCs w:val="20"/>
              </w:rPr>
            </w:pPr>
            <w:r w:rsidRPr="007C7337">
              <w:rPr>
                <w:rFonts w:ascii="Calibri" w:hAnsi="Calibri" w:cs="Calibri"/>
                <w:color w:val="000000"/>
                <w:sz w:val="20"/>
                <w:szCs w:val="20"/>
              </w:rPr>
              <w:t>774 962 313,94</w:t>
            </w:r>
          </w:p>
        </w:tc>
        <w:tc>
          <w:tcPr>
            <w:tcW w:w="1420" w:type="dxa"/>
            <w:tcBorders>
              <w:top w:val="nil"/>
              <w:left w:val="nil"/>
              <w:bottom w:val="single" w:sz="4" w:space="0" w:color="auto"/>
              <w:right w:val="single" w:sz="4" w:space="0" w:color="auto"/>
            </w:tcBorders>
            <w:shd w:val="clear" w:color="auto" w:fill="auto"/>
            <w:noWrap/>
            <w:vAlign w:val="center"/>
            <w:hideMark/>
          </w:tcPr>
          <w:p w:rsidR="007C7337" w:rsidRPr="007C7337" w:rsidRDefault="007C7337">
            <w:pPr>
              <w:jc w:val="right"/>
              <w:rPr>
                <w:rFonts w:ascii="Calibri" w:hAnsi="Calibri" w:cs="Calibri"/>
                <w:color w:val="000000"/>
                <w:sz w:val="20"/>
                <w:szCs w:val="20"/>
              </w:rPr>
            </w:pPr>
            <w:r w:rsidRPr="007C7337">
              <w:rPr>
                <w:rFonts w:ascii="Calibri" w:hAnsi="Calibri" w:cs="Calibri"/>
                <w:color w:val="000000"/>
                <w:sz w:val="20"/>
                <w:szCs w:val="20"/>
              </w:rPr>
              <w:t>-2 967 290,34</w:t>
            </w:r>
          </w:p>
        </w:tc>
        <w:tc>
          <w:tcPr>
            <w:tcW w:w="1580" w:type="dxa"/>
            <w:tcBorders>
              <w:top w:val="nil"/>
              <w:left w:val="nil"/>
              <w:bottom w:val="single" w:sz="4" w:space="0" w:color="auto"/>
              <w:right w:val="single" w:sz="4" w:space="0" w:color="auto"/>
            </w:tcBorders>
            <w:shd w:val="clear" w:color="auto" w:fill="auto"/>
            <w:noWrap/>
            <w:vAlign w:val="center"/>
            <w:hideMark/>
          </w:tcPr>
          <w:p w:rsidR="007C7337" w:rsidRPr="007C7337" w:rsidRDefault="007C7337">
            <w:pPr>
              <w:jc w:val="right"/>
              <w:rPr>
                <w:rFonts w:ascii="Calibri" w:hAnsi="Calibri" w:cs="Calibri"/>
                <w:color w:val="000000"/>
                <w:sz w:val="20"/>
                <w:szCs w:val="20"/>
              </w:rPr>
            </w:pPr>
            <w:r w:rsidRPr="007C7337">
              <w:rPr>
                <w:rFonts w:ascii="Calibri" w:hAnsi="Calibri" w:cs="Calibri"/>
                <w:color w:val="000000"/>
                <w:sz w:val="20"/>
                <w:szCs w:val="20"/>
              </w:rPr>
              <w:t>982 699 253,25</w:t>
            </w:r>
          </w:p>
        </w:tc>
      </w:tr>
      <w:tr w:rsidR="007C7337" w:rsidTr="007C7337">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7C7337" w:rsidRPr="007C7337" w:rsidRDefault="007C7337">
            <w:pPr>
              <w:rPr>
                <w:rFonts w:ascii="Calibri" w:hAnsi="Calibri" w:cs="Calibri"/>
                <w:color w:val="000000"/>
                <w:sz w:val="20"/>
                <w:szCs w:val="20"/>
              </w:rPr>
            </w:pPr>
            <w:r w:rsidRPr="007C7337">
              <w:rPr>
                <w:rFonts w:ascii="Calibri" w:hAnsi="Calibri" w:cs="Calibri"/>
                <w:color w:val="000000"/>
                <w:sz w:val="20"/>
                <w:szCs w:val="20"/>
              </w:rPr>
              <w:t>Nedaňové příjmy</w:t>
            </w:r>
          </w:p>
        </w:tc>
        <w:tc>
          <w:tcPr>
            <w:tcW w:w="1590" w:type="dxa"/>
            <w:tcBorders>
              <w:top w:val="nil"/>
              <w:left w:val="nil"/>
              <w:bottom w:val="single" w:sz="4" w:space="0" w:color="auto"/>
              <w:right w:val="single" w:sz="4" w:space="0" w:color="auto"/>
            </w:tcBorders>
            <w:shd w:val="clear" w:color="auto" w:fill="auto"/>
            <w:noWrap/>
            <w:vAlign w:val="center"/>
            <w:hideMark/>
          </w:tcPr>
          <w:p w:rsidR="007C7337" w:rsidRPr="007C7337" w:rsidRDefault="007C7337">
            <w:pPr>
              <w:jc w:val="right"/>
              <w:rPr>
                <w:rFonts w:ascii="Calibri" w:hAnsi="Calibri" w:cs="Calibri"/>
                <w:color w:val="000000"/>
                <w:sz w:val="20"/>
                <w:szCs w:val="20"/>
              </w:rPr>
            </w:pPr>
            <w:r w:rsidRPr="007C7337">
              <w:rPr>
                <w:rFonts w:ascii="Calibri" w:hAnsi="Calibri" w:cs="Calibri"/>
                <w:color w:val="000000"/>
                <w:sz w:val="20"/>
                <w:szCs w:val="20"/>
              </w:rPr>
              <w:t>137 916 079,00</w:t>
            </w:r>
          </w:p>
        </w:tc>
        <w:tc>
          <w:tcPr>
            <w:tcW w:w="1590" w:type="dxa"/>
            <w:tcBorders>
              <w:top w:val="nil"/>
              <w:left w:val="nil"/>
              <w:bottom w:val="single" w:sz="4" w:space="0" w:color="auto"/>
              <w:right w:val="single" w:sz="4" w:space="0" w:color="auto"/>
            </w:tcBorders>
            <w:shd w:val="clear" w:color="auto" w:fill="auto"/>
            <w:noWrap/>
            <w:vAlign w:val="center"/>
            <w:hideMark/>
          </w:tcPr>
          <w:p w:rsidR="007C7337" w:rsidRPr="007C7337" w:rsidRDefault="007C7337">
            <w:pPr>
              <w:jc w:val="right"/>
              <w:rPr>
                <w:rFonts w:ascii="Calibri" w:hAnsi="Calibri" w:cs="Calibri"/>
                <w:color w:val="000000"/>
                <w:sz w:val="20"/>
                <w:szCs w:val="20"/>
              </w:rPr>
            </w:pPr>
            <w:r w:rsidRPr="007C7337">
              <w:rPr>
                <w:rFonts w:ascii="Calibri" w:hAnsi="Calibri" w:cs="Calibri"/>
                <w:color w:val="000000"/>
                <w:sz w:val="20"/>
                <w:szCs w:val="20"/>
              </w:rPr>
              <w:t>144 118 074,02</w:t>
            </w:r>
          </w:p>
        </w:tc>
        <w:tc>
          <w:tcPr>
            <w:tcW w:w="1420" w:type="dxa"/>
            <w:tcBorders>
              <w:top w:val="nil"/>
              <w:left w:val="nil"/>
              <w:bottom w:val="single" w:sz="4" w:space="0" w:color="auto"/>
              <w:right w:val="single" w:sz="4" w:space="0" w:color="auto"/>
            </w:tcBorders>
            <w:shd w:val="clear" w:color="auto" w:fill="auto"/>
            <w:noWrap/>
            <w:vAlign w:val="center"/>
            <w:hideMark/>
          </w:tcPr>
          <w:p w:rsidR="007C7337" w:rsidRPr="007C7337" w:rsidRDefault="007C7337">
            <w:pPr>
              <w:jc w:val="right"/>
              <w:rPr>
                <w:rFonts w:ascii="Calibri" w:hAnsi="Calibri" w:cs="Calibri"/>
                <w:color w:val="000000"/>
                <w:sz w:val="20"/>
                <w:szCs w:val="20"/>
              </w:rPr>
            </w:pPr>
            <w:r w:rsidRPr="007C7337">
              <w:rPr>
                <w:rFonts w:ascii="Calibri" w:hAnsi="Calibri" w:cs="Calibri"/>
                <w:color w:val="000000"/>
                <w:sz w:val="20"/>
                <w:szCs w:val="20"/>
              </w:rPr>
              <w:t>6 201 995,02</w:t>
            </w:r>
          </w:p>
        </w:tc>
        <w:tc>
          <w:tcPr>
            <w:tcW w:w="1580" w:type="dxa"/>
            <w:tcBorders>
              <w:top w:val="nil"/>
              <w:left w:val="nil"/>
              <w:bottom w:val="single" w:sz="4" w:space="0" w:color="auto"/>
              <w:right w:val="single" w:sz="4" w:space="0" w:color="auto"/>
            </w:tcBorders>
            <w:shd w:val="clear" w:color="auto" w:fill="auto"/>
            <w:noWrap/>
            <w:vAlign w:val="center"/>
            <w:hideMark/>
          </w:tcPr>
          <w:p w:rsidR="007C7337" w:rsidRPr="007C7337" w:rsidRDefault="007C7337">
            <w:pPr>
              <w:jc w:val="right"/>
              <w:rPr>
                <w:rFonts w:ascii="Calibri" w:hAnsi="Calibri" w:cs="Calibri"/>
                <w:color w:val="000000"/>
                <w:sz w:val="20"/>
                <w:szCs w:val="20"/>
              </w:rPr>
            </w:pPr>
            <w:r w:rsidRPr="007C7337">
              <w:rPr>
                <w:rFonts w:ascii="Calibri" w:hAnsi="Calibri" w:cs="Calibri"/>
                <w:color w:val="000000"/>
                <w:sz w:val="20"/>
                <w:szCs w:val="20"/>
              </w:rPr>
              <w:t>169 765 898,22</w:t>
            </w:r>
          </w:p>
        </w:tc>
      </w:tr>
      <w:tr w:rsidR="007C7337" w:rsidTr="007C7337">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7C7337" w:rsidRPr="007C7337" w:rsidRDefault="007C7337">
            <w:pPr>
              <w:rPr>
                <w:rFonts w:ascii="Calibri" w:hAnsi="Calibri" w:cs="Calibri"/>
                <w:color w:val="000000"/>
                <w:sz w:val="20"/>
                <w:szCs w:val="20"/>
              </w:rPr>
            </w:pPr>
            <w:r w:rsidRPr="007C7337">
              <w:rPr>
                <w:rFonts w:ascii="Calibri" w:hAnsi="Calibri" w:cs="Calibri"/>
                <w:color w:val="000000"/>
                <w:sz w:val="20"/>
                <w:szCs w:val="20"/>
              </w:rPr>
              <w:t>Kapitálové příjmy</w:t>
            </w:r>
          </w:p>
        </w:tc>
        <w:tc>
          <w:tcPr>
            <w:tcW w:w="1590" w:type="dxa"/>
            <w:tcBorders>
              <w:top w:val="nil"/>
              <w:left w:val="nil"/>
              <w:bottom w:val="single" w:sz="4" w:space="0" w:color="auto"/>
              <w:right w:val="single" w:sz="4" w:space="0" w:color="auto"/>
            </w:tcBorders>
            <w:shd w:val="clear" w:color="auto" w:fill="auto"/>
            <w:noWrap/>
            <w:vAlign w:val="center"/>
            <w:hideMark/>
          </w:tcPr>
          <w:p w:rsidR="007C7337" w:rsidRPr="007C7337" w:rsidRDefault="007C7337">
            <w:pPr>
              <w:jc w:val="right"/>
              <w:rPr>
                <w:rFonts w:ascii="Calibri" w:hAnsi="Calibri" w:cs="Calibri"/>
                <w:color w:val="000000"/>
                <w:sz w:val="20"/>
                <w:szCs w:val="20"/>
              </w:rPr>
            </w:pPr>
            <w:r w:rsidRPr="007C7337">
              <w:rPr>
                <w:rFonts w:ascii="Calibri" w:hAnsi="Calibri" w:cs="Calibri"/>
                <w:color w:val="000000"/>
                <w:sz w:val="20"/>
                <w:szCs w:val="20"/>
              </w:rPr>
              <w:t>1 003 000,00</w:t>
            </w:r>
          </w:p>
        </w:tc>
        <w:tc>
          <w:tcPr>
            <w:tcW w:w="1590" w:type="dxa"/>
            <w:tcBorders>
              <w:top w:val="nil"/>
              <w:left w:val="nil"/>
              <w:bottom w:val="single" w:sz="4" w:space="0" w:color="auto"/>
              <w:right w:val="single" w:sz="4" w:space="0" w:color="auto"/>
            </w:tcBorders>
            <w:shd w:val="clear" w:color="auto" w:fill="auto"/>
            <w:noWrap/>
            <w:vAlign w:val="center"/>
            <w:hideMark/>
          </w:tcPr>
          <w:p w:rsidR="007C7337" w:rsidRPr="007C7337" w:rsidRDefault="007C7337">
            <w:pPr>
              <w:jc w:val="right"/>
              <w:rPr>
                <w:rFonts w:ascii="Calibri" w:hAnsi="Calibri" w:cs="Calibri"/>
                <w:color w:val="000000"/>
                <w:sz w:val="20"/>
                <w:szCs w:val="20"/>
              </w:rPr>
            </w:pPr>
            <w:r w:rsidRPr="007C7337">
              <w:rPr>
                <w:rFonts w:ascii="Calibri" w:hAnsi="Calibri" w:cs="Calibri"/>
                <w:color w:val="000000"/>
                <w:sz w:val="20"/>
                <w:szCs w:val="20"/>
              </w:rPr>
              <w:t>4 740 148,00</w:t>
            </w:r>
          </w:p>
        </w:tc>
        <w:tc>
          <w:tcPr>
            <w:tcW w:w="1420" w:type="dxa"/>
            <w:tcBorders>
              <w:top w:val="nil"/>
              <w:left w:val="nil"/>
              <w:bottom w:val="single" w:sz="4" w:space="0" w:color="auto"/>
              <w:right w:val="single" w:sz="4" w:space="0" w:color="auto"/>
            </w:tcBorders>
            <w:shd w:val="clear" w:color="auto" w:fill="auto"/>
            <w:noWrap/>
            <w:vAlign w:val="center"/>
            <w:hideMark/>
          </w:tcPr>
          <w:p w:rsidR="007C7337" w:rsidRPr="007C7337" w:rsidRDefault="007C7337">
            <w:pPr>
              <w:jc w:val="right"/>
              <w:rPr>
                <w:rFonts w:ascii="Calibri" w:hAnsi="Calibri" w:cs="Calibri"/>
                <w:color w:val="000000"/>
                <w:sz w:val="20"/>
                <w:szCs w:val="20"/>
              </w:rPr>
            </w:pPr>
            <w:r w:rsidRPr="007C7337">
              <w:rPr>
                <w:rFonts w:ascii="Calibri" w:hAnsi="Calibri" w:cs="Calibri"/>
                <w:color w:val="000000"/>
                <w:sz w:val="20"/>
                <w:szCs w:val="20"/>
              </w:rPr>
              <w:t>3 737 148,00</w:t>
            </w:r>
          </w:p>
        </w:tc>
        <w:tc>
          <w:tcPr>
            <w:tcW w:w="1580" w:type="dxa"/>
            <w:tcBorders>
              <w:top w:val="nil"/>
              <w:left w:val="nil"/>
              <w:bottom w:val="single" w:sz="4" w:space="0" w:color="auto"/>
              <w:right w:val="single" w:sz="4" w:space="0" w:color="auto"/>
            </w:tcBorders>
            <w:shd w:val="clear" w:color="auto" w:fill="auto"/>
            <w:noWrap/>
            <w:vAlign w:val="center"/>
            <w:hideMark/>
          </w:tcPr>
          <w:p w:rsidR="007C7337" w:rsidRPr="007C7337" w:rsidRDefault="007C7337">
            <w:pPr>
              <w:jc w:val="right"/>
              <w:rPr>
                <w:rFonts w:ascii="Calibri" w:hAnsi="Calibri" w:cs="Calibri"/>
                <w:color w:val="000000"/>
                <w:sz w:val="20"/>
                <w:szCs w:val="20"/>
              </w:rPr>
            </w:pPr>
            <w:r w:rsidRPr="007C7337">
              <w:rPr>
                <w:rFonts w:ascii="Calibri" w:hAnsi="Calibri" w:cs="Calibri"/>
                <w:color w:val="000000"/>
                <w:sz w:val="20"/>
                <w:szCs w:val="20"/>
              </w:rPr>
              <w:t>5 103 947,93</w:t>
            </w:r>
          </w:p>
        </w:tc>
      </w:tr>
      <w:tr w:rsidR="007C7337" w:rsidTr="007C7337">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7C7337" w:rsidRPr="007C7337" w:rsidRDefault="007C7337">
            <w:pPr>
              <w:rPr>
                <w:rFonts w:ascii="Calibri" w:hAnsi="Calibri" w:cs="Calibri"/>
                <w:color w:val="000000"/>
                <w:sz w:val="20"/>
                <w:szCs w:val="20"/>
              </w:rPr>
            </w:pPr>
            <w:r w:rsidRPr="007C7337">
              <w:rPr>
                <w:rFonts w:ascii="Calibri" w:hAnsi="Calibri" w:cs="Calibri"/>
                <w:color w:val="000000"/>
                <w:sz w:val="20"/>
                <w:szCs w:val="20"/>
              </w:rPr>
              <w:t>Přijaté dotace</w:t>
            </w:r>
          </w:p>
        </w:tc>
        <w:tc>
          <w:tcPr>
            <w:tcW w:w="1590" w:type="dxa"/>
            <w:tcBorders>
              <w:top w:val="nil"/>
              <w:left w:val="nil"/>
              <w:bottom w:val="single" w:sz="4" w:space="0" w:color="auto"/>
              <w:right w:val="single" w:sz="4" w:space="0" w:color="auto"/>
            </w:tcBorders>
            <w:shd w:val="clear" w:color="auto" w:fill="auto"/>
            <w:noWrap/>
            <w:vAlign w:val="center"/>
            <w:hideMark/>
          </w:tcPr>
          <w:p w:rsidR="007C7337" w:rsidRPr="007C7337" w:rsidRDefault="007C7337">
            <w:pPr>
              <w:jc w:val="right"/>
              <w:rPr>
                <w:rFonts w:ascii="Calibri" w:hAnsi="Calibri" w:cs="Calibri"/>
                <w:color w:val="000000"/>
                <w:sz w:val="20"/>
                <w:szCs w:val="20"/>
              </w:rPr>
            </w:pPr>
            <w:r w:rsidRPr="007C7337">
              <w:rPr>
                <w:rFonts w:ascii="Calibri" w:hAnsi="Calibri" w:cs="Calibri"/>
                <w:color w:val="000000"/>
                <w:sz w:val="20"/>
                <w:szCs w:val="20"/>
              </w:rPr>
              <w:t>84 050 998,72</w:t>
            </w:r>
          </w:p>
        </w:tc>
        <w:tc>
          <w:tcPr>
            <w:tcW w:w="1590" w:type="dxa"/>
            <w:tcBorders>
              <w:top w:val="nil"/>
              <w:left w:val="nil"/>
              <w:bottom w:val="single" w:sz="4" w:space="0" w:color="auto"/>
              <w:right w:val="single" w:sz="4" w:space="0" w:color="auto"/>
            </w:tcBorders>
            <w:shd w:val="clear" w:color="auto" w:fill="auto"/>
            <w:noWrap/>
            <w:vAlign w:val="center"/>
            <w:hideMark/>
          </w:tcPr>
          <w:p w:rsidR="007C7337" w:rsidRPr="007C7337" w:rsidRDefault="007C7337">
            <w:pPr>
              <w:jc w:val="right"/>
              <w:rPr>
                <w:rFonts w:ascii="Calibri" w:hAnsi="Calibri" w:cs="Calibri"/>
                <w:color w:val="000000"/>
                <w:sz w:val="20"/>
                <w:szCs w:val="20"/>
              </w:rPr>
            </w:pPr>
            <w:r w:rsidRPr="007C7337">
              <w:rPr>
                <w:rFonts w:ascii="Calibri" w:hAnsi="Calibri" w:cs="Calibri"/>
                <w:color w:val="000000"/>
                <w:sz w:val="20"/>
                <w:szCs w:val="20"/>
              </w:rPr>
              <w:t>123 478 514,97</w:t>
            </w:r>
          </w:p>
        </w:tc>
        <w:tc>
          <w:tcPr>
            <w:tcW w:w="1420" w:type="dxa"/>
            <w:tcBorders>
              <w:top w:val="nil"/>
              <w:left w:val="nil"/>
              <w:bottom w:val="single" w:sz="4" w:space="0" w:color="auto"/>
              <w:right w:val="single" w:sz="4" w:space="0" w:color="auto"/>
            </w:tcBorders>
            <w:shd w:val="clear" w:color="auto" w:fill="auto"/>
            <w:noWrap/>
            <w:vAlign w:val="center"/>
            <w:hideMark/>
          </w:tcPr>
          <w:p w:rsidR="007C7337" w:rsidRPr="007C7337" w:rsidRDefault="007C7337">
            <w:pPr>
              <w:jc w:val="right"/>
              <w:rPr>
                <w:rFonts w:ascii="Calibri" w:hAnsi="Calibri" w:cs="Calibri"/>
                <w:color w:val="000000"/>
                <w:sz w:val="20"/>
                <w:szCs w:val="20"/>
              </w:rPr>
            </w:pPr>
            <w:r w:rsidRPr="007C7337">
              <w:rPr>
                <w:rFonts w:ascii="Calibri" w:hAnsi="Calibri" w:cs="Calibri"/>
                <w:color w:val="000000"/>
                <w:sz w:val="20"/>
                <w:szCs w:val="20"/>
              </w:rPr>
              <w:t>39 427 516,25</w:t>
            </w:r>
          </w:p>
        </w:tc>
        <w:tc>
          <w:tcPr>
            <w:tcW w:w="1580" w:type="dxa"/>
            <w:tcBorders>
              <w:top w:val="nil"/>
              <w:left w:val="nil"/>
              <w:bottom w:val="single" w:sz="4" w:space="0" w:color="auto"/>
              <w:right w:val="single" w:sz="4" w:space="0" w:color="auto"/>
            </w:tcBorders>
            <w:shd w:val="clear" w:color="auto" w:fill="auto"/>
            <w:noWrap/>
            <w:vAlign w:val="center"/>
            <w:hideMark/>
          </w:tcPr>
          <w:p w:rsidR="007C7337" w:rsidRPr="007C7337" w:rsidRDefault="007C7337">
            <w:pPr>
              <w:jc w:val="right"/>
              <w:rPr>
                <w:rFonts w:ascii="Calibri" w:hAnsi="Calibri" w:cs="Calibri"/>
                <w:color w:val="000000"/>
                <w:sz w:val="20"/>
                <w:szCs w:val="20"/>
              </w:rPr>
            </w:pPr>
            <w:r w:rsidRPr="007C7337">
              <w:rPr>
                <w:rFonts w:ascii="Calibri" w:hAnsi="Calibri" w:cs="Calibri"/>
                <w:color w:val="000000"/>
                <w:sz w:val="20"/>
                <w:szCs w:val="20"/>
              </w:rPr>
              <w:t>111 101 254,25</w:t>
            </w:r>
          </w:p>
        </w:tc>
      </w:tr>
      <w:tr w:rsidR="007C7337" w:rsidTr="007C7337">
        <w:trPr>
          <w:trHeight w:val="300"/>
        </w:trPr>
        <w:tc>
          <w:tcPr>
            <w:tcW w:w="1720" w:type="dxa"/>
            <w:tcBorders>
              <w:top w:val="nil"/>
              <w:left w:val="single" w:sz="4" w:space="0" w:color="auto"/>
              <w:bottom w:val="single" w:sz="4" w:space="0" w:color="auto"/>
              <w:right w:val="single" w:sz="4" w:space="0" w:color="auto"/>
            </w:tcBorders>
            <w:shd w:val="clear" w:color="DBDBDB" w:fill="D9D9D9"/>
            <w:noWrap/>
            <w:vAlign w:val="center"/>
            <w:hideMark/>
          </w:tcPr>
          <w:p w:rsidR="007C7337" w:rsidRPr="007C7337" w:rsidRDefault="007C7337">
            <w:pPr>
              <w:rPr>
                <w:rFonts w:ascii="Calibri" w:hAnsi="Calibri" w:cs="Calibri"/>
                <w:color w:val="000000"/>
                <w:sz w:val="20"/>
                <w:szCs w:val="20"/>
              </w:rPr>
            </w:pPr>
            <w:r w:rsidRPr="007C7337">
              <w:rPr>
                <w:rFonts w:ascii="Calibri" w:hAnsi="Calibri" w:cs="Calibri"/>
                <w:color w:val="000000"/>
                <w:sz w:val="20"/>
                <w:szCs w:val="20"/>
              </w:rPr>
              <w:t>Příjmy celkem</w:t>
            </w:r>
          </w:p>
        </w:tc>
        <w:tc>
          <w:tcPr>
            <w:tcW w:w="1590" w:type="dxa"/>
            <w:tcBorders>
              <w:top w:val="nil"/>
              <w:left w:val="nil"/>
              <w:bottom w:val="single" w:sz="4" w:space="0" w:color="auto"/>
              <w:right w:val="single" w:sz="4" w:space="0" w:color="auto"/>
            </w:tcBorders>
            <w:shd w:val="clear" w:color="DBDBDB" w:fill="D9D9D9"/>
            <w:noWrap/>
            <w:vAlign w:val="center"/>
            <w:hideMark/>
          </w:tcPr>
          <w:p w:rsidR="007C7337" w:rsidRPr="007C7337" w:rsidRDefault="007C7337">
            <w:pPr>
              <w:jc w:val="right"/>
              <w:rPr>
                <w:rFonts w:ascii="Calibri" w:hAnsi="Calibri" w:cs="Calibri"/>
                <w:color w:val="000000"/>
                <w:sz w:val="20"/>
                <w:szCs w:val="20"/>
              </w:rPr>
            </w:pPr>
            <w:r w:rsidRPr="007C7337">
              <w:rPr>
                <w:rFonts w:ascii="Calibri" w:hAnsi="Calibri" w:cs="Calibri"/>
                <w:color w:val="000000"/>
                <w:sz w:val="20"/>
                <w:szCs w:val="20"/>
              </w:rPr>
              <w:t>1 000 899 682,00</w:t>
            </w:r>
          </w:p>
        </w:tc>
        <w:tc>
          <w:tcPr>
            <w:tcW w:w="1590" w:type="dxa"/>
            <w:tcBorders>
              <w:top w:val="nil"/>
              <w:left w:val="nil"/>
              <w:bottom w:val="single" w:sz="4" w:space="0" w:color="auto"/>
              <w:right w:val="single" w:sz="4" w:space="0" w:color="auto"/>
            </w:tcBorders>
            <w:shd w:val="clear" w:color="DBDBDB" w:fill="D9D9D9"/>
            <w:noWrap/>
            <w:vAlign w:val="center"/>
            <w:hideMark/>
          </w:tcPr>
          <w:p w:rsidR="007C7337" w:rsidRPr="007C7337" w:rsidRDefault="007C7337">
            <w:pPr>
              <w:jc w:val="right"/>
              <w:rPr>
                <w:rFonts w:ascii="Calibri" w:hAnsi="Calibri" w:cs="Calibri"/>
                <w:color w:val="000000"/>
                <w:sz w:val="20"/>
                <w:szCs w:val="20"/>
              </w:rPr>
            </w:pPr>
            <w:r w:rsidRPr="007C7337">
              <w:rPr>
                <w:rFonts w:ascii="Calibri" w:hAnsi="Calibri" w:cs="Calibri"/>
                <w:color w:val="000000"/>
                <w:sz w:val="20"/>
                <w:szCs w:val="20"/>
              </w:rPr>
              <w:t>1 047 299 050,93</w:t>
            </w:r>
          </w:p>
        </w:tc>
        <w:tc>
          <w:tcPr>
            <w:tcW w:w="1420" w:type="dxa"/>
            <w:tcBorders>
              <w:top w:val="nil"/>
              <w:left w:val="nil"/>
              <w:bottom w:val="single" w:sz="4" w:space="0" w:color="auto"/>
              <w:right w:val="single" w:sz="4" w:space="0" w:color="auto"/>
            </w:tcBorders>
            <w:shd w:val="clear" w:color="DBDBDB" w:fill="D9D9D9"/>
            <w:noWrap/>
            <w:vAlign w:val="center"/>
            <w:hideMark/>
          </w:tcPr>
          <w:p w:rsidR="007C7337" w:rsidRPr="007C7337" w:rsidRDefault="007C7337">
            <w:pPr>
              <w:jc w:val="right"/>
              <w:rPr>
                <w:rFonts w:ascii="Calibri" w:hAnsi="Calibri" w:cs="Calibri"/>
                <w:color w:val="000000"/>
                <w:sz w:val="20"/>
                <w:szCs w:val="20"/>
              </w:rPr>
            </w:pPr>
            <w:r w:rsidRPr="007C7337">
              <w:rPr>
                <w:rFonts w:ascii="Calibri" w:hAnsi="Calibri" w:cs="Calibri"/>
                <w:color w:val="000000"/>
                <w:sz w:val="20"/>
                <w:szCs w:val="20"/>
              </w:rPr>
              <w:t>46 399 368,93</w:t>
            </w:r>
          </w:p>
        </w:tc>
        <w:tc>
          <w:tcPr>
            <w:tcW w:w="1580" w:type="dxa"/>
            <w:tcBorders>
              <w:top w:val="nil"/>
              <w:left w:val="nil"/>
              <w:bottom w:val="single" w:sz="4" w:space="0" w:color="auto"/>
              <w:right w:val="single" w:sz="4" w:space="0" w:color="auto"/>
            </w:tcBorders>
            <w:shd w:val="clear" w:color="DBDBDB" w:fill="D9D9D9"/>
            <w:noWrap/>
            <w:vAlign w:val="center"/>
            <w:hideMark/>
          </w:tcPr>
          <w:p w:rsidR="007C7337" w:rsidRPr="007C7337" w:rsidRDefault="007C7337">
            <w:pPr>
              <w:jc w:val="right"/>
              <w:rPr>
                <w:rFonts w:ascii="Calibri" w:hAnsi="Calibri" w:cs="Calibri"/>
                <w:color w:val="000000"/>
                <w:sz w:val="20"/>
                <w:szCs w:val="20"/>
              </w:rPr>
            </w:pPr>
            <w:r w:rsidRPr="007C7337">
              <w:rPr>
                <w:rFonts w:ascii="Calibri" w:hAnsi="Calibri" w:cs="Calibri"/>
                <w:color w:val="000000"/>
                <w:sz w:val="20"/>
                <w:szCs w:val="20"/>
              </w:rPr>
              <w:t>1 268 670 353,65</w:t>
            </w:r>
          </w:p>
        </w:tc>
      </w:tr>
      <w:tr w:rsidR="007C7337" w:rsidTr="007C7337">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7C7337" w:rsidRPr="007C7337" w:rsidRDefault="007C7337">
            <w:pPr>
              <w:rPr>
                <w:rFonts w:ascii="Calibri" w:hAnsi="Calibri" w:cs="Calibri"/>
                <w:color w:val="000000"/>
                <w:sz w:val="20"/>
                <w:szCs w:val="20"/>
              </w:rPr>
            </w:pPr>
            <w:r w:rsidRPr="007C7337">
              <w:rPr>
                <w:rFonts w:ascii="Calibri" w:hAnsi="Calibri" w:cs="Calibri"/>
                <w:color w:val="000000"/>
                <w:sz w:val="20"/>
                <w:szCs w:val="20"/>
              </w:rPr>
              <w:t>Běžné výdaje</w:t>
            </w:r>
          </w:p>
        </w:tc>
        <w:tc>
          <w:tcPr>
            <w:tcW w:w="1590" w:type="dxa"/>
            <w:tcBorders>
              <w:top w:val="nil"/>
              <w:left w:val="nil"/>
              <w:bottom w:val="single" w:sz="4" w:space="0" w:color="auto"/>
              <w:right w:val="single" w:sz="4" w:space="0" w:color="auto"/>
            </w:tcBorders>
            <w:shd w:val="clear" w:color="auto" w:fill="auto"/>
            <w:noWrap/>
            <w:vAlign w:val="center"/>
            <w:hideMark/>
          </w:tcPr>
          <w:p w:rsidR="007C7337" w:rsidRPr="007C7337" w:rsidRDefault="007C7337">
            <w:pPr>
              <w:jc w:val="right"/>
              <w:rPr>
                <w:rFonts w:ascii="Calibri" w:hAnsi="Calibri" w:cs="Calibri"/>
                <w:color w:val="000000"/>
                <w:sz w:val="20"/>
                <w:szCs w:val="20"/>
              </w:rPr>
            </w:pPr>
            <w:r w:rsidRPr="007C7337">
              <w:rPr>
                <w:rFonts w:ascii="Calibri" w:hAnsi="Calibri" w:cs="Calibri"/>
                <w:color w:val="000000"/>
                <w:sz w:val="20"/>
                <w:szCs w:val="20"/>
              </w:rPr>
              <w:t>865 485 480,00</w:t>
            </w:r>
          </w:p>
        </w:tc>
        <w:tc>
          <w:tcPr>
            <w:tcW w:w="1590" w:type="dxa"/>
            <w:tcBorders>
              <w:top w:val="nil"/>
              <w:left w:val="nil"/>
              <w:bottom w:val="single" w:sz="4" w:space="0" w:color="auto"/>
              <w:right w:val="single" w:sz="4" w:space="0" w:color="auto"/>
            </w:tcBorders>
            <w:shd w:val="clear" w:color="auto" w:fill="auto"/>
            <w:noWrap/>
            <w:vAlign w:val="center"/>
            <w:hideMark/>
          </w:tcPr>
          <w:p w:rsidR="007C7337" w:rsidRPr="007C7337" w:rsidRDefault="007C7337">
            <w:pPr>
              <w:jc w:val="right"/>
              <w:rPr>
                <w:rFonts w:ascii="Calibri" w:hAnsi="Calibri" w:cs="Calibri"/>
                <w:color w:val="000000"/>
                <w:sz w:val="20"/>
                <w:szCs w:val="20"/>
              </w:rPr>
            </w:pPr>
            <w:r w:rsidRPr="007C7337">
              <w:rPr>
                <w:rFonts w:ascii="Calibri" w:hAnsi="Calibri" w:cs="Calibri"/>
                <w:color w:val="000000"/>
                <w:sz w:val="20"/>
                <w:szCs w:val="20"/>
              </w:rPr>
              <w:t>973 226 593,05</w:t>
            </w:r>
          </w:p>
        </w:tc>
        <w:tc>
          <w:tcPr>
            <w:tcW w:w="1420" w:type="dxa"/>
            <w:tcBorders>
              <w:top w:val="nil"/>
              <w:left w:val="nil"/>
              <w:bottom w:val="single" w:sz="4" w:space="0" w:color="auto"/>
              <w:right w:val="single" w:sz="4" w:space="0" w:color="auto"/>
            </w:tcBorders>
            <w:shd w:val="clear" w:color="auto" w:fill="auto"/>
            <w:noWrap/>
            <w:vAlign w:val="center"/>
            <w:hideMark/>
          </w:tcPr>
          <w:p w:rsidR="007C7337" w:rsidRPr="007C7337" w:rsidRDefault="007C7337">
            <w:pPr>
              <w:jc w:val="right"/>
              <w:rPr>
                <w:rFonts w:ascii="Calibri" w:hAnsi="Calibri" w:cs="Calibri"/>
                <w:color w:val="000000"/>
                <w:sz w:val="20"/>
                <w:szCs w:val="20"/>
              </w:rPr>
            </w:pPr>
            <w:r w:rsidRPr="007C7337">
              <w:rPr>
                <w:rFonts w:ascii="Calibri" w:hAnsi="Calibri" w:cs="Calibri"/>
                <w:color w:val="000000"/>
                <w:sz w:val="20"/>
                <w:szCs w:val="20"/>
              </w:rPr>
              <w:t>107 741 113,05</w:t>
            </w:r>
          </w:p>
        </w:tc>
        <w:tc>
          <w:tcPr>
            <w:tcW w:w="1580" w:type="dxa"/>
            <w:tcBorders>
              <w:top w:val="nil"/>
              <w:left w:val="nil"/>
              <w:bottom w:val="single" w:sz="4" w:space="0" w:color="auto"/>
              <w:right w:val="single" w:sz="4" w:space="0" w:color="auto"/>
            </w:tcBorders>
            <w:shd w:val="clear" w:color="auto" w:fill="auto"/>
            <w:noWrap/>
            <w:vAlign w:val="center"/>
            <w:hideMark/>
          </w:tcPr>
          <w:p w:rsidR="007C7337" w:rsidRPr="007C7337" w:rsidRDefault="007C7337">
            <w:pPr>
              <w:jc w:val="right"/>
              <w:rPr>
                <w:rFonts w:ascii="Calibri" w:hAnsi="Calibri" w:cs="Calibri"/>
                <w:color w:val="000000"/>
                <w:sz w:val="20"/>
                <w:szCs w:val="20"/>
              </w:rPr>
            </w:pPr>
            <w:r w:rsidRPr="007C7337">
              <w:rPr>
                <w:rFonts w:ascii="Calibri" w:hAnsi="Calibri" w:cs="Calibri"/>
                <w:color w:val="000000"/>
                <w:sz w:val="20"/>
                <w:szCs w:val="20"/>
              </w:rPr>
              <w:t>916 738 437,70</w:t>
            </w:r>
          </w:p>
        </w:tc>
      </w:tr>
      <w:tr w:rsidR="007C7337" w:rsidTr="007C7337">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7C7337" w:rsidRPr="007C7337" w:rsidRDefault="007C7337">
            <w:pPr>
              <w:rPr>
                <w:rFonts w:ascii="Calibri" w:hAnsi="Calibri" w:cs="Calibri"/>
                <w:color w:val="000000"/>
                <w:sz w:val="20"/>
                <w:szCs w:val="20"/>
              </w:rPr>
            </w:pPr>
            <w:r w:rsidRPr="007C7337">
              <w:rPr>
                <w:rFonts w:ascii="Calibri" w:hAnsi="Calibri" w:cs="Calibri"/>
                <w:color w:val="000000"/>
                <w:sz w:val="20"/>
                <w:szCs w:val="20"/>
              </w:rPr>
              <w:t>Kapitálové výdaje</w:t>
            </w:r>
          </w:p>
        </w:tc>
        <w:tc>
          <w:tcPr>
            <w:tcW w:w="1590" w:type="dxa"/>
            <w:tcBorders>
              <w:top w:val="nil"/>
              <w:left w:val="nil"/>
              <w:bottom w:val="single" w:sz="4" w:space="0" w:color="auto"/>
              <w:right w:val="single" w:sz="4" w:space="0" w:color="auto"/>
            </w:tcBorders>
            <w:shd w:val="clear" w:color="auto" w:fill="auto"/>
            <w:noWrap/>
            <w:vAlign w:val="center"/>
            <w:hideMark/>
          </w:tcPr>
          <w:p w:rsidR="007C7337" w:rsidRPr="007C7337" w:rsidRDefault="007C7337">
            <w:pPr>
              <w:jc w:val="right"/>
              <w:rPr>
                <w:rFonts w:ascii="Calibri" w:hAnsi="Calibri" w:cs="Calibri"/>
                <w:color w:val="000000"/>
                <w:sz w:val="20"/>
                <w:szCs w:val="20"/>
              </w:rPr>
            </w:pPr>
            <w:r w:rsidRPr="007C7337">
              <w:rPr>
                <w:rFonts w:ascii="Calibri" w:hAnsi="Calibri" w:cs="Calibri"/>
                <w:color w:val="000000"/>
                <w:sz w:val="20"/>
                <w:szCs w:val="20"/>
              </w:rPr>
              <w:t>289 045 550,00</w:t>
            </w:r>
          </w:p>
        </w:tc>
        <w:tc>
          <w:tcPr>
            <w:tcW w:w="1590" w:type="dxa"/>
            <w:tcBorders>
              <w:top w:val="nil"/>
              <w:left w:val="nil"/>
              <w:bottom w:val="single" w:sz="4" w:space="0" w:color="auto"/>
              <w:right w:val="single" w:sz="4" w:space="0" w:color="auto"/>
            </w:tcBorders>
            <w:shd w:val="clear" w:color="auto" w:fill="auto"/>
            <w:noWrap/>
            <w:vAlign w:val="center"/>
            <w:hideMark/>
          </w:tcPr>
          <w:p w:rsidR="007C7337" w:rsidRPr="007C7337" w:rsidRDefault="007C7337">
            <w:pPr>
              <w:jc w:val="right"/>
              <w:rPr>
                <w:rFonts w:ascii="Calibri" w:hAnsi="Calibri" w:cs="Calibri"/>
                <w:color w:val="000000"/>
                <w:sz w:val="20"/>
                <w:szCs w:val="20"/>
              </w:rPr>
            </w:pPr>
            <w:r w:rsidRPr="007C7337">
              <w:rPr>
                <w:rFonts w:ascii="Calibri" w:hAnsi="Calibri" w:cs="Calibri"/>
                <w:color w:val="000000"/>
                <w:sz w:val="20"/>
                <w:szCs w:val="20"/>
              </w:rPr>
              <w:t>282 507 047,30</w:t>
            </w:r>
          </w:p>
        </w:tc>
        <w:tc>
          <w:tcPr>
            <w:tcW w:w="1420" w:type="dxa"/>
            <w:tcBorders>
              <w:top w:val="nil"/>
              <w:left w:val="nil"/>
              <w:bottom w:val="single" w:sz="4" w:space="0" w:color="auto"/>
              <w:right w:val="single" w:sz="4" w:space="0" w:color="auto"/>
            </w:tcBorders>
            <w:shd w:val="clear" w:color="auto" w:fill="auto"/>
            <w:noWrap/>
            <w:vAlign w:val="center"/>
            <w:hideMark/>
          </w:tcPr>
          <w:p w:rsidR="007C7337" w:rsidRPr="007C7337" w:rsidRDefault="007C7337">
            <w:pPr>
              <w:jc w:val="right"/>
              <w:rPr>
                <w:rFonts w:ascii="Calibri" w:hAnsi="Calibri" w:cs="Calibri"/>
                <w:color w:val="000000"/>
                <w:sz w:val="20"/>
                <w:szCs w:val="20"/>
              </w:rPr>
            </w:pPr>
            <w:r w:rsidRPr="007C7337">
              <w:rPr>
                <w:rFonts w:ascii="Calibri" w:hAnsi="Calibri" w:cs="Calibri"/>
                <w:color w:val="000000"/>
                <w:sz w:val="20"/>
                <w:szCs w:val="20"/>
              </w:rPr>
              <w:t>-6 538 502,70</w:t>
            </w:r>
          </w:p>
        </w:tc>
        <w:tc>
          <w:tcPr>
            <w:tcW w:w="1580" w:type="dxa"/>
            <w:tcBorders>
              <w:top w:val="nil"/>
              <w:left w:val="nil"/>
              <w:bottom w:val="single" w:sz="4" w:space="0" w:color="auto"/>
              <w:right w:val="single" w:sz="4" w:space="0" w:color="auto"/>
            </w:tcBorders>
            <w:shd w:val="clear" w:color="auto" w:fill="auto"/>
            <w:noWrap/>
            <w:vAlign w:val="center"/>
            <w:hideMark/>
          </w:tcPr>
          <w:p w:rsidR="007C7337" w:rsidRPr="007C7337" w:rsidRDefault="007C7337">
            <w:pPr>
              <w:jc w:val="right"/>
              <w:rPr>
                <w:rFonts w:ascii="Calibri" w:hAnsi="Calibri" w:cs="Calibri"/>
                <w:color w:val="000000"/>
                <w:sz w:val="20"/>
                <w:szCs w:val="20"/>
              </w:rPr>
            </w:pPr>
            <w:r w:rsidRPr="007C7337">
              <w:rPr>
                <w:rFonts w:ascii="Calibri" w:hAnsi="Calibri" w:cs="Calibri"/>
                <w:color w:val="000000"/>
                <w:sz w:val="20"/>
                <w:szCs w:val="20"/>
              </w:rPr>
              <w:t>237 799 832,15</w:t>
            </w:r>
          </w:p>
        </w:tc>
      </w:tr>
      <w:tr w:rsidR="007C7337" w:rsidTr="007C7337">
        <w:trPr>
          <w:trHeight w:val="300"/>
        </w:trPr>
        <w:tc>
          <w:tcPr>
            <w:tcW w:w="1720" w:type="dxa"/>
            <w:tcBorders>
              <w:top w:val="nil"/>
              <w:left w:val="single" w:sz="4" w:space="0" w:color="auto"/>
              <w:bottom w:val="single" w:sz="4" w:space="0" w:color="auto"/>
              <w:right w:val="single" w:sz="4" w:space="0" w:color="auto"/>
            </w:tcBorders>
            <w:shd w:val="clear" w:color="DBDBDB" w:fill="D9D9D9"/>
            <w:noWrap/>
            <w:vAlign w:val="center"/>
            <w:hideMark/>
          </w:tcPr>
          <w:p w:rsidR="007C7337" w:rsidRPr="007C7337" w:rsidRDefault="007C7337">
            <w:pPr>
              <w:rPr>
                <w:rFonts w:ascii="Calibri" w:hAnsi="Calibri" w:cs="Calibri"/>
                <w:color w:val="000000"/>
                <w:sz w:val="20"/>
                <w:szCs w:val="20"/>
              </w:rPr>
            </w:pPr>
            <w:r w:rsidRPr="007C7337">
              <w:rPr>
                <w:rFonts w:ascii="Calibri" w:hAnsi="Calibri" w:cs="Calibri"/>
                <w:color w:val="000000"/>
                <w:sz w:val="20"/>
                <w:szCs w:val="20"/>
              </w:rPr>
              <w:t>Výdaje celkem</w:t>
            </w:r>
          </w:p>
        </w:tc>
        <w:tc>
          <w:tcPr>
            <w:tcW w:w="1590" w:type="dxa"/>
            <w:tcBorders>
              <w:top w:val="nil"/>
              <w:left w:val="nil"/>
              <w:bottom w:val="single" w:sz="4" w:space="0" w:color="auto"/>
              <w:right w:val="single" w:sz="4" w:space="0" w:color="auto"/>
            </w:tcBorders>
            <w:shd w:val="clear" w:color="DBDBDB" w:fill="D9D9D9"/>
            <w:noWrap/>
            <w:vAlign w:val="center"/>
            <w:hideMark/>
          </w:tcPr>
          <w:p w:rsidR="007C7337" w:rsidRPr="007C7337" w:rsidRDefault="007C7337">
            <w:pPr>
              <w:jc w:val="right"/>
              <w:rPr>
                <w:rFonts w:ascii="Calibri" w:hAnsi="Calibri" w:cs="Calibri"/>
                <w:color w:val="000000"/>
                <w:sz w:val="20"/>
                <w:szCs w:val="20"/>
              </w:rPr>
            </w:pPr>
            <w:r w:rsidRPr="007C7337">
              <w:rPr>
                <w:rFonts w:ascii="Calibri" w:hAnsi="Calibri" w:cs="Calibri"/>
                <w:color w:val="000000"/>
                <w:sz w:val="20"/>
                <w:szCs w:val="20"/>
              </w:rPr>
              <w:t>1 154 531 030,00</w:t>
            </w:r>
          </w:p>
        </w:tc>
        <w:tc>
          <w:tcPr>
            <w:tcW w:w="1590" w:type="dxa"/>
            <w:tcBorders>
              <w:top w:val="nil"/>
              <w:left w:val="nil"/>
              <w:bottom w:val="single" w:sz="4" w:space="0" w:color="auto"/>
              <w:right w:val="single" w:sz="4" w:space="0" w:color="auto"/>
            </w:tcBorders>
            <w:shd w:val="clear" w:color="DBDBDB" w:fill="D9D9D9"/>
            <w:noWrap/>
            <w:vAlign w:val="center"/>
            <w:hideMark/>
          </w:tcPr>
          <w:p w:rsidR="007C7337" w:rsidRPr="007C7337" w:rsidRDefault="007C7337">
            <w:pPr>
              <w:jc w:val="right"/>
              <w:rPr>
                <w:rFonts w:ascii="Calibri" w:hAnsi="Calibri" w:cs="Calibri"/>
                <w:color w:val="000000"/>
                <w:sz w:val="20"/>
                <w:szCs w:val="20"/>
              </w:rPr>
            </w:pPr>
            <w:r w:rsidRPr="007C7337">
              <w:rPr>
                <w:rFonts w:ascii="Calibri" w:hAnsi="Calibri" w:cs="Calibri"/>
                <w:color w:val="000000"/>
                <w:sz w:val="20"/>
                <w:szCs w:val="20"/>
              </w:rPr>
              <w:t>1 255 733 640,35</w:t>
            </w:r>
          </w:p>
        </w:tc>
        <w:tc>
          <w:tcPr>
            <w:tcW w:w="1420" w:type="dxa"/>
            <w:tcBorders>
              <w:top w:val="nil"/>
              <w:left w:val="nil"/>
              <w:bottom w:val="single" w:sz="4" w:space="0" w:color="auto"/>
              <w:right w:val="single" w:sz="4" w:space="0" w:color="auto"/>
            </w:tcBorders>
            <w:shd w:val="clear" w:color="DBDBDB" w:fill="D9D9D9"/>
            <w:noWrap/>
            <w:vAlign w:val="center"/>
            <w:hideMark/>
          </w:tcPr>
          <w:p w:rsidR="007C7337" w:rsidRPr="007C7337" w:rsidRDefault="007C7337">
            <w:pPr>
              <w:jc w:val="right"/>
              <w:rPr>
                <w:rFonts w:ascii="Calibri" w:hAnsi="Calibri" w:cs="Calibri"/>
                <w:color w:val="000000"/>
                <w:sz w:val="20"/>
                <w:szCs w:val="20"/>
              </w:rPr>
            </w:pPr>
            <w:r w:rsidRPr="007C7337">
              <w:rPr>
                <w:rFonts w:ascii="Calibri" w:hAnsi="Calibri" w:cs="Calibri"/>
                <w:color w:val="000000"/>
                <w:sz w:val="20"/>
                <w:szCs w:val="20"/>
              </w:rPr>
              <w:t>101 202 610,35</w:t>
            </w:r>
          </w:p>
        </w:tc>
        <w:tc>
          <w:tcPr>
            <w:tcW w:w="1580" w:type="dxa"/>
            <w:tcBorders>
              <w:top w:val="nil"/>
              <w:left w:val="nil"/>
              <w:bottom w:val="single" w:sz="4" w:space="0" w:color="auto"/>
              <w:right w:val="single" w:sz="4" w:space="0" w:color="auto"/>
            </w:tcBorders>
            <w:shd w:val="clear" w:color="DBDBDB" w:fill="D9D9D9"/>
            <w:noWrap/>
            <w:vAlign w:val="center"/>
            <w:hideMark/>
          </w:tcPr>
          <w:p w:rsidR="007C7337" w:rsidRPr="007C7337" w:rsidRDefault="007C7337">
            <w:pPr>
              <w:jc w:val="right"/>
              <w:rPr>
                <w:rFonts w:ascii="Calibri" w:hAnsi="Calibri" w:cs="Calibri"/>
                <w:color w:val="000000"/>
                <w:sz w:val="20"/>
                <w:szCs w:val="20"/>
              </w:rPr>
            </w:pPr>
            <w:r w:rsidRPr="007C7337">
              <w:rPr>
                <w:rFonts w:ascii="Calibri" w:hAnsi="Calibri" w:cs="Calibri"/>
                <w:color w:val="000000"/>
                <w:sz w:val="20"/>
                <w:szCs w:val="20"/>
              </w:rPr>
              <w:t>1 154 538 269,85</w:t>
            </w:r>
          </w:p>
        </w:tc>
      </w:tr>
    </w:tbl>
    <w:p w:rsidR="007C7337" w:rsidRDefault="007C7337" w:rsidP="007C7337"/>
    <w:p w:rsidR="007C7337" w:rsidRPr="007C7337" w:rsidRDefault="007C7337" w:rsidP="007C7337"/>
    <w:p w:rsidR="00315A0F" w:rsidRDefault="00315A0F" w:rsidP="00F061FA">
      <w:pPr>
        <w:jc w:val="both"/>
        <w:rPr>
          <w:rFonts w:ascii="Calibri" w:hAnsi="Calibri"/>
          <w:sz w:val="20"/>
          <w:szCs w:val="20"/>
        </w:rPr>
      </w:pPr>
    </w:p>
    <w:p w:rsidR="00482592" w:rsidRDefault="00482592">
      <w:pPr>
        <w:rPr>
          <w:rFonts w:ascii="Calibri" w:hAnsi="Calibri"/>
          <w:sz w:val="20"/>
          <w:szCs w:val="20"/>
        </w:rPr>
      </w:pPr>
      <w:r>
        <w:rPr>
          <w:rFonts w:ascii="Calibri" w:hAnsi="Calibri"/>
          <w:sz w:val="20"/>
          <w:szCs w:val="20"/>
        </w:rPr>
        <w:br w:type="page"/>
      </w:r>
    </w:p>
    <w:p w:rsidR="00097DF3" w:rsidRDefault="00E90F51" w:rsidP="00E30451">
      <w:pPr>
        <w:pStyle w:val="Nadpis1"/>
      </w:pPr>
      <w:bookmarkStart w:id="5" w:name="_Toc39129490"/>
      <w:r>
        <w:lastRenderedPageBreak/>
        <w:t>Celkové příjmy (</w:t>
      </w:r>
      <w:r w:rsidR="007C7337">
        <w:t>1 268,67</w:t>
      </w:r>
      <w:r w:rsidR="00482592" w:rsidRPr="00A7279D">
        <w:t xml:space="preserve"> mil. Kč)</w:t>
      </w:r>
      <w:bookmarkEnd w:id="5"/>
    </w:p>
    <w:tbl>
      <w:tblPr>
        <w:tblW w:w="9493" w:type="dxa"/>
        <w:tblCellMar>
          <w:left w:w="70" w:type="dxa"/>
          <w:right w:w="70" w:type="dxa"/>
        </w:tblCellMar>
        <w:tblLook w:val="04A0" w:firstRow="1" w:lastRow="0" w:firstColumn="1" w:lastColumn="0" w:noHBand="0" w:noVBand="1"/>
      </w:tblPr>
      <w:tblGrid>
        <w:gridCol w:w="1973"/>
        <w:gridCol w:w="1841"/>
        <w:gridCol w:w="1745"/>
        <w:gridCol w:w="1099"/>
        <w:gridCol w:w="2835"/>
      </w:tblGrid>
      <w:tr w:rsidR="00513B61" w:rsidTr="00513B61">
        <w:trPr>
          <w:trHeight w:val="300"/>
        </w:trPr>
        <w:tc>
          <w:tcPr>
            <w:tcW w:w="9493" w:type="dxa"/>
            <w:gridSpan w:val="5"/>
            <w:tcBorders>
              <w:top w:val="single" w:sz="4" w:space="0" w:color="auto"/>
              <w:left w:val="single" w:sz="4" w:space="0" w:color="auto"/>
              <w:bottom w:val="single" w:sz="4" w:space="0" w:color="auto"/>
              <w:right w:val="single" w:sz="4" w:space="0" w:color="auto"/>
            </w:tcBorders>
            <w:shd w:val="clear" w:color="F4B183" w:fill="FABF8F"/>
            <w:vAlign w:val="center"/>
            <w:hideMark/>
          </w:tcPr>
          <w:p w:rsidR="00513B61" w:rsidRPr="00513B61" w:rsidRDefault="00513B61">
            <w:pPr>
              <w:jc w:val="center"/>
              <w:rPr>
                <w:rFonts w:ascii="Calibri" w:hAnsi="Calibri" w:cs="Calibri"/>
                <w:color w:val="000000"/>
                <w:sz w:val="20"/>
                <w:szCs w:val="20"/>
              </w:rPr>
            </w:pPr>
            <w:r w:rsidRPr="00513B61">
              <w:rPr>
                <w:rFonts w:ascii="Calibri" w:hAnsi="Calibri" w:cs="Calibri"/>
                <w:color w:val="000000"/>
                <w:sz w:val="20"/>
                <w:szCs w:val="20"/>
              </w:rPr>
              <w:t>PŘÍJMY (v Kč)</w:t>
            </w:r>
          </w:p>
        </w:tc>
      </w:tr>
      <w:tr w:rsidR="00513B61" w:rsidTr="00513B61">
        <w:trPr>
          <w:trHeight w:val="600"/>
        </w:trPr>
        <w:tc>
          <w:tcPr>
            <w:tcW w:w="1973" w:type="dxa"/>
            <w:tcBorders>
              <w:top w:val="nil"/>
              <w:left w:val="single" w:sz="4" w:space="0" w:color="auto"/>
              <w:bottom w:val="single" w:sz="4" w:space="0" w:color="auto"/>
              <w:right w:val="single" w:sz="4" w:space="0" w:color="auto"/>
            </w:tcBorders>
            <w:shd w:val="clear" w:color="FBE5D6" w:fill="FDE9D9"/>
            <w:vAlign w:val="center"/>
            <w:hideMark/>
          </w:tcPr>
          <w:p w:rsidR="00513B61" w:rsidRPr="00513B61" w:rsidRDefault="00513B61">
            <w:pPr>
              <w:jc w:val="center"/>
              <w:rPr>
                <w:rFonts w:ascii="Calibri" w:hAnsi="Calibri" w:cs="Calibri"/>
                <w:color w:val="000000"/>
                <w:sz w:val="20"/>
                <w:szCs w:val="20"/>
              </w:rPr>
            </w:pPr>
            <w:r w:rsidRPr="00513B61">
              <w:rPr>
                <w:rFonts w:ascii="Calibri" w:hAnsi="Calibri" w:cs="Calibri"/>
                <w:color w:val="000000"/>
                <w:sz w:val="20"/>
                <w:szCs w:val="20"/>
              </w:rPr>
              <w:t>Schválený rozpočet</w:t>
            </w:r>
          </w:p>
        </w:tc>
        <w:tc>
          <w:tcPr>
            <w:tcW w:w="1841" w:type="dxa"/>
            <w:tcBorders>
              <w:top w:val="nil"/>
              <w:left w:val="nil"/>
              <w:bottom w:val="single" w:sz="4" w:space="0" w:color="auto"/>
              <w:right w:val="single" w:sz="4" w:space="0" w:color="auto"/>
            </w:tcBorders>
            <w:shd w:val="clear" w:color="FBE5D6" w:fill="FDE9D9"/>
            <w:vAlign w:val="center"/>
            <w:hideMark/>
          </w:tcPr>
          <w:p w:rsidR="00513B61" w:rsidRPr="00513B61" w:rsidRDefault="00513B61">
            <w:pPr>
              <w:jc w:val="center"/>
              <w:rPr>
                <w:rFonts w:ascii="Calibri" w:hAnsi="Calibri" w:cs="Calibri"/>
                <w:color w:val="000000"/>
                <w:sz w:val="20"/>
                <w:szCs w:val="20"/>
              </w:rPr>
            </w:pPr>
            <w:r w:rsidRPr="00513B61">
              <w:rPr>
                <w:rFonts w:ascii="Calibri" w:hAnsi="Calibri" w:cs="Calibri"/>
                <w:color w:val="000000"/>
                <w:sz w:val="20"/>
                <w:szCs w:val="20"/>
              </w:rPr>
              <w:t>Upravený rozpočet</w:t>
            </w:r>
          </w:p>
        </w:tc>
        <w:tc>
          <w:tcPr>
            <w:tcW w:w="1745" w:type="dxa"/>
            <w:tcBorders>
              <w:top w:val="nil"/>
              <w:left w:val="nil"/>
              <w:bottom w:val="single" w:sz="4" w:space="0" w:color="auto"/>
              <w:right w:val="single" w:sz="4" w:space="0" w:color="auto"/>
            </w:tcBorders>
            <w:shd w:val="clear" w:color="FBE5D6" w:fill="FDE9D9"/>
            <w:noWrap/>
            <w:vAlign w:val="center"/>
            <w:hideMark/>
          </w:tcPr>
          <w:p w:rsidR="00513B61" w:rsidRPr="00513B61" w:rsidRDefault="00513B61">
            <w:pPr>
              <w:jc w:val="center"/>
              <w:rPr>
                <w:rFonts w:ascii="Calibri" w:hAnsi="Calibri" w:cs="Calibri"/>
                <w:color w:val="000000"/>
                <w:sz w:val="20"/>
                <w:szCs w:val="20"/>
              </w:rPr>
            </w:pPr>
            <w:r w:rsidRPr="00513B61">
              <w:rPr>
                <w:rFonts w:ascii="Calibri" w:hAnsi="Calibri" w:cs="Calibri"/>
                <w:color w:val="000000"/>
                <w:sz w:val="20"/>
                <w:szCs w:val="20"/>
              </w:rPr>
              <w:t>Skutečnost</w:t>
            </w:r>
          </w:p>
        </w:tc>
        <w:tc>
          <w:tcPr>
            <w:tcW w:w="1099" w:type="dxa"/>
            <w:tcBorders>
              <w:top w:val="nil"/>
              <w:left w:val="nil"/>
              <w:bottom w:val="single" w:sz="4" w:space="0" w:color="auto"/>
              <w:right w:val="single" w:sz="4" w:space="0" w:color="auto"/>
            </w:tcBorders>
            <w:shd w:val="clear" w:color="FBE5D6" w:fill="FDE9D9"/>
            <w:noWrap/>
            <w:vAlign w:val="center"/>
            <w:hideMark/>
          </w:tcPr>
          <w:p w:rsidR="00513B61" w:rsidRPr="00513B61" w:rsidRDefault="00513B61">
            <w:pPr>
              <w:jc w:val="center"/>
              <w:rPr>
                <w:rFonts w:ascii="Calibri" w:hAnsi="Calibri" w:cs="Calibri"/>
                <w:color w:val="000000"/>
                <w:sz w:val="20"/>
                <w:szCs w:val="20"/>
              </w:rPr>
            </w:pPr>
            <w:r w:rsidRPr="00513B61">
              <w:rPr>
                <w:rFonts w:ascii="Calibri" w:hAnsi="Calibri" w:cs="Calibri"/>
                <w:color w:val="000000"/>
                <w:sz w:val="20"/>
                <w:szCs w:val="20"/>
              </w:rPr>
              <w:t>Sk/RU v %</w:t>
            </w:r>
          </w:p>
        </w:tc>
        <w:tc>
          <w:tcPr>
            <w:tcW w:w="2835" w:type="dxa"/>
            <w:tcBorders>
              <w:top w:val="nil"/>
              <w:left w:val="nil"/>
              <w:bottom w:val="single" w:sz="4" w:space="0" w:color="auto"/>
              <w:right w:val="single" w:sz="4" w:space="0" w:color="auto"/>
            </w:tcBorders>
            <w:shd w:val="clear" w:color="FBE5D6" w:fill="FDE9D9"/>
            <w:noWrap/>
            <w:vAlign w:val="center"/>
            <w:hideMark/>
          </w:tcPr>
          <w:p w:rsidR="00513B61" w:rsidRPr="00513B61" w:rsidRDefault="00513B61">
            <w:pPr>
              <w:jc w:val="center"/>
              <w:rPr>
                <w:rFonts w:ascii="Calibri" w:hAnsi="Calibri" w:cs="Calibri"/>
                <w:color w:val="000000"/>
                <w:sz w:val="20"/>
                <w:szCs w:val="20"/>
              </w:rPr>
            </w:pPr>
            <w:r w:rsidRPr="00513B61">
              <w:rPr>
                <w:rFonts w:ascii="Calibri" w:hAnsi="Calibri" w:cs="Calibri"/>
                <w:color w:val="000000"/>
                <w:sz w:val="20"/>
                <w:szCs w:val="20"/>
              </w:rPr>
              <w:t>Poznámka</w:t>
            </w:r>
          </w:p>
        </w:tc>
      </w:tr>
      <w:tr w:rsidR="00513B61" w:rsidTr="00513B61">
        <w:trPr>
          <w:trHeight w:val="300"/>
        </w:trPr>
        <w:tc>
          <w:tcPr>
            <w:tcW w:w="1973" w:type="dxa"/>
            <w:tcBorders>
              <w:top w:val="nil"/>
              <w:left w:val="single" w:sz="4" w:space="0" w:color="auto"/>
              <w:bottom w:val="single" w:sz="4" w:space="0" w:color="auto"/>
              <w:right w:val="single" w:sz="4" w:space="0" w:color="auto"/>
            </w:tcBorders>
            <w:shd w:val="clear" w:color="auto" w:fill="auto"/>
            <w:vAlign w:val="center"/>
            <w:hideMark/>
          </w:tcPr>
          <w:p w:rsidR="00513B61" w:rsidRPr="00513B61" w:rsidRDefault="00513B61">
            <w:pPr>
              <w:jc w:val="right"/>
              <w:rPr>
                <w:rFonts w:ascii="Calibri" w:hAnsi="Calibri" w:cs="Calibri"/>
                <w:color w:val="000000"/>
                <w:sz w:val="20"/>
                <w:szCs w:val="20"/>
              </w:rPr>
            </w:pPr>
            <w:r w:rsidRPr="00513B61">
              <w:rPr>
                <w:rFonts w:ascii="Calibri" w:hAnsi="Calibri" w:cs="Calibri"/>
                <w:color w:val="000000"/>
                <w:sz w:val="20"/>
                <w:szCs w:val="20"/>
              </w:rPr>
              <w:t>1 000 899 682,00</w:t>
            </w:r>
          </w:p>
        </w:tc>
        <w:tc>
          <w:tcPr>
            <w:tcW w:w="1841" w:type="dxa"/>
            <w:tcBorders>
              <w:top w:val="nil"/>
              <w:left w:val="nil"/>
              <w:bottom w:val="single" w:sz="4" w:space="0" w:color="auto"/>
              <w:right w:val="single" w:sz="4" w:space="0" w:color="auto"/>
            </w:tcBorders>
            <w:shd w:val="clear" w:color="auto" w:fill="auto"/>
            <w:vAlign w:val="center"/>
            <w:hideMark/>
          </w:tcPr>
          <w:p w:rsidR="00513B61" w:rsidRPr="00513B61" w:rsidRDefault="00513B61">
            <w:pPr>
              <w:jc w:val="right"/>
              <w:rPr>
                <w:rFonts w:ascii="Calibri" w:hAnsi="Calibri" w:cs="Calibri"/>
                <w:color w:val="000000"/>
                <w:sz w:val="20"/>
                <w:szCs w:val="20"/>
              </w:rPr>
            </w:pPr>
            <w:r w:rsidRPr="00513B61">
              <w:rPr>
                <w:rFonts w:ascii="Calibri" w:hAnsi="Calibri" w:cs="Calibri"/>
                <w:color w:val="000000"/>
                <w:sz w:val="20"/>
                <w:szCs w:val="20"/>
              </w:rPr>
              <w:t>1 047 299 050,93</w:t>
            </w:r>
          </w:p>
        </w:tc>
        <w:tc>
          <w:tcPr>
            <w:tcW w:w="1745" w:type="dxa"/>
            <w:tcBorders>
              <w:top w:val="nil"/>
              <w:left w:val="nil"/>
              <w:bottom w:val="single" w:sz="4" w:space="0" w:color="auto"/>
              <w:right w:val="single" w:sz="4" w:space="0" w:color="auto"/>
            </w:tcBorders>
            <w:shd w:val="clear" w:color="auto" w:fill="auto"/>
            <w:noWrap/>
            <w:vAlign w:val="center"/>
            <w:hideMark/>
          </w:tcPr>
          <w:p w:rsidR="00513B61" w:rsidRPr="00513B61" w:rsidRDefault="00513B61">
            <w:pPr>
              <w:jc w:val="right"/>
              <w:rPr>
                <w:rFonts w:ascii="Calibri" w:hAnsi="Calibri" w:cs="Calibri"/>
                <w:color w:val="000000"/>
                <w:sz w:val="20"/>
                <w:szCs w:val="20"/>
              </w:rPr>
            </w:pPr>
            <w:r w:rsidRPr="00513B61">
              <w:rPr>
                <w:rFonts w:ascii="Calibri" w:hAnsi="Calibri" w:cs="Calibri"/>
                <w:color w:val="000000"/>
                <w:sz w:val="20"/>
                <w:szCs w:val="20"/>
              </w:rPr>
              <w:t>2 832 555 544,97</w:t>
            </w:r>
          </w:p>
        </w:tc>
        <w:tc>
          <w:tcPr>
            <w:tcW w:w="1099" w:type="dxa"/>
            <w:tcBorders>
              <w:top w:val="nil"/>
              <w:left w:val="nil"/>
              <w:bottom w:val="single" w:sz="4" w:space="0" w:color="auto"/>
              <w:right w:val="single" w:sz="4" w:space="0" w:color="auto"/>
            </w:tcBorders>
            <w:shd w:val="clear" w:color="auto" w:fill="auto"/>
            <w:noWrap/>
            <w:vAlign w:val="center"/>
            <w:hideMark/>
          </w:tcPr>
          <w:p w:rsidR="00513B61" w:rsidRPr="00513B61" w:rsidRDefault="00513B61">
            <w:pPr>
              <w:jc w:val="right"/>
              <w:rPr>
                <w:rFonts w:ascii="Calibri" w:hAnsi="Calibri" w:cs="Calibri"/>
                <w:color w:val="000000"/>
                <w:sz w:val="20"/>
                <w:szCs w:val="20"/>
              </w:rPr>
            </w:pPr>
            <w:r w:rsidRPr="00513B61">
              <w:rPr>
                <w:rFonts w:ascii="Calibri" w:hAnsi="Calibri" w:cs="Calibri"/>
                <w:color w:val="000000"/>
                <w:sz w:val="20"/>
                <w:szCs w:val="20"/>
              </w:rPr>
              <w:t>270,46%</w:t>
            </w:r>
          </w:p>
        </w:tc>
        <w:tc>
          <w:tcPr>
            <w:tcW w:w="2835" w:type="dxa"/>
            <w:tcBorders>
              <w:top w:val="nil"/>
              <w:left w:val="nil"/>
              <w:bottom w:val="single" w:sz="4" w:space="0" w:color="auto"/>
              <w:right w:val="single" w:sz="4" w:space="0" w:color="auto"/>
            </w:tcBorders>
            <w:shd w:val="clear" w:color="auto" w:fill="auto"/>
            <w:noWrap/>
            <w:vAlign w:val="center"/>
            <w:hideMark/>
          </w:tcPr>
          <w:p w:rsidR="00513B61" w:rsidRPr="00513B61" w:rsidRDefault="00513B61">
            <w:pPr>
              <w:rPr>
                <w:rFonts w:ascii="Calibri" w:hAnsi="Calibri" w:cs="Calibri"/>
                <w:color w:val="000000"/>
                <w:sz w:val="20"/>
                <w:szCs w:val="20"/>
              </w:rPr>
            </w:pPr>
            <w:r w:rsidRPr="00513B61">
              <w:rPr>
                <w:rFonts w:ascii="Calibri" w:hAnsi="Calibri" w:cs="Calibri"/>
                <w:color w:val="000000"/>
                <w:sz w:val="20"/>
                <w:szCs w:val="20"/>
              </w:rPr>
              <w:t>Příjmy před konsolidací</w:t>
            </w:r>
          </w:p>
        </w:tc>
      </w:tr>
      <w:tr w:rsidR="00513B61" w:rsidTr="00513B61">
        <w:trPr>
          <w:trHeight w:val="300"/>
        </w:trPr>
        <w:tc>
          <w:tcPr>
            <w:tcW w:w="1973" w:type="dxa"/>
            <w:tcBorders>
              <w:top w:val="nil"/>
              <w:left w:val="single" w:sz="4" w:space="0" w:color="auto"/>
              <w:bottom w:val="single" w:sz="4" w:space="0" w:color="auto"/>
              <w:right w:val="single" w:sz="4" w:space="0" w:color="auto"/>
            </w:tcBorders>
            <w:shd w:val="clear" w:color="auto" w:fill="auto"/>
            <w:vAlign w:val="center"/>
            <w:hideMark/>
          </w:tcPr>
          <w:p w:rsidR="00513B61" w:rsidRPr="00513B61" w:rsidRDefault="00513B61">
            <w:pPr>
              <w:jc w:val="right"/>
              <w:rPr>
                <w:rFonts w:ascii="Calibri" w:hAnsi="Calibri" w:cs="Calibri"/>
                <w:color w:val="000000"/>
                <w:sz w:val="20"/>
                <w:szCs w:val="20"/>
              </w:rPr>
            </w:pPr>
            <w:r w:rsidRPr="00513B61">
              <w:rPr>
                <w:rFonts w:ascii="Calibri" w:hAnsi="Calibri" w:cs="Calibri"/>
                <w:color w:val="000000"/>
                <w:sz w:val="20"/>
                <w:szCs w:val="20"/>
              </w:rPr>
              <w:t>1 000 899 682,00</w:t>
            </w:r>
          </w:p>
        </w:tc>
        <w:tc>
          <w:tcPr>
            <w:tcW w:w="1841" w:type="dxa"/>
            <w:tcBorders>
              <w:top w:val="nil"/>
              <w:left w:val="nil"/>
              <w:bottom w:val="single" w:sz="4" w:space="0" w:color="auto"/>
              <w:right w:val="single" w:sz="4" w:space="0" w:color="auto"/>
            </w:tcBorders>
            <w:shd w:val="clear" w:color="auto" w:fill="auto"/>
            <w:noWrap/>
            <w:vAlign w:val="center"/>
            <w:hideMark/>
          </w:tcPr>
          <w:p w:rsidR="00513B61" w:rsidRPr="00513B61" w:rsidRDefault="00513B61">
            <w:pPr>
              <w:jc w:val="right"/>
              <w:rPr>
                <w:rFonts w:ascii="Calibri" w:hAnsi="Calibri" w:cs="Calibri"/>
                <w:color w:val="000000"/>
                <w:sz w:val="20"/>
                <w:szCs w:val="20"/>
              </w:rPr>
            </w:pPr>
            <w:r w:rsidRPr="00513B61">
              <w:rPr>
                <w:rFonts w:ascii="Calibri" w:hAnsi="Calibri" w:cs="Calibri"/>
                <w:color w:val="000000"/>
                <w:sz w:val="20"/>
                <w:szCs w:val="20"/>
              </w:rPr>
              <w:t>1 047 299 050,93</w:t>
            </w:r>
          </w:p>
        </w:tc>
        <w:tc>
          <w:tcPr>
            <w:tcW w:w="1745" w:type="dxa"/>
            <w:tcBorders>
              <w:top w:val="nil"/>
              <w:left w:val="nil"/>
              <w:bottom w:val="single" w:sz="4" w:space="0" w:color="auto"/>
              <w:right w:val="single" w:sz="4" w:space="0" w:color="auto"/>
            </w:tcBorders>
            <w:shd w:val="clear" w:color="auto" w:fill="auto"/>
            <w:noWrap/>
            <w:vAlign w:val="center"/>
            <w:hideMark/>
          </w:tcPr>
          <w:p w:rsidR="00513B61" w:rsidRPr="00513B61" w:rsidRDefault="00513B61">
            <w:pPr>
              <w:jc w:val="right"/>
              <w:rPr>
                <w:rFonts w:ascii="Calibri" w:hAnsi="Calibri" w:cs="Calibri"/>
                <w:color w:val="000000"/>
                <w:sz w:val="20"/>
                <w:szCs w:val="20"/>
              </w:rPr>
            </w:pPr>
            <w:r w:rsidRPr="00513B61">
              <w:rPr>
                <w:rFonts w:ascii="Calibri" w:hAnsi="Calibri" w:cs="Calibri"/>
                <w:color w:val="000000"/>
                <w:sz w:val="20"/>
                <w:szCs w:val="20"/>
              </w:rPr>
              <w:t>1 268 670 353,65</w:t>
            </w:r>
          </w:p>
        </w:tc>
        <w:tc>
          <w:tcPr>
            <w:tcW w:w="1099" w:type="dxa"/>
            <w:tcBorders>
              <w:top w:val="nil"/>
              <w:left w:val="nil"/>
              <w:bottom w:val="single" w:sz="4" w:space="0" w:color="auto"/>
              <w:right w:val="single" w:sz="4" w:space="0" w:color="auto"/>
            </w:tcBorders>
            <w:shd w:val="clear" w:color="auto" w:fill="auto"/>
            <w:noWrap/>
            <w:vAlign w:val="center"/>
            <w:hideMark/>
          </w:tcPr>
          <w:p w:rsidR="00513B61" w:rsidRPr="00513B61" w:rsidRDefault="00513B61">
            <w:pPr>
              <w:jc w:val="right"/>
              <w:rPr>
                <w:rFonts w:ascii="Calibri" w:hAnsi="Calibri" w:cs="Calibri"/>
                <w:color w:val="000000"/>
                <w:sz w:val="20"/>
                <w:szCs w:val="20"/>
              </w:rPr>
            </w:pPr>
            <w:r w:rsidRPr="00513B61">
              <w:rPr>
                <w:rFonts w:ascii="Calibri" w:hAnsi="Calibri" w:cs="Calibri"/>
                <w:color w:val="000000"/>
                <w:sz w:val="20"/>
                <w:szCs w:val="20"/>
              </w:rPr>
              <w:t>121,14%</w:t>
            </w:r>
          </w:p>
        </w:tc>
        <w:tc>
          <w:tcPr>
            <w:tcW w:w="2835" w:type="dxa"/>
            <w:tcBorders>
              <w:top w:val="nil"/>
              <w:left w:val="nil"/>
              <w:bottom w:val="single" w:sz="4" w:space="0" w:color="auto"/>
              <w:right w:val="single" w:sz="4" w:space="0" w:color="auto"/>
            </w:tcBorders>
            <w:shd w:val="clear" w:color="auto" w:fill="auto"/>
            <w:noWrap/>
            <w:vAlign w:val="center"/>
            <w:hideMark/>
          </w:tcPr>
          <w:p w:rsidR="00513B61" w:rsidRPr="00513B61" w:rsidRDefault="00513B61">
            <w:pPr>
              <w:rPr>
                <w:rFonts w:ascii="Calibri" w:hAnsi="Calibri" w:cs="Calibri"/>
                <w:color w:val="000000"/>
                <w:sz w:val="20"/>
                <w:szCs w:val="20"/>
              </w:rPr>
            </w:pPr>
            <w:r w:rsidRPr="00513B61">
              <w:rPr>
                <w:rFonts w:ascii="Calibri" w:hAnsi="Calibri" w:cs="Calibri"/>
                <w:color w:val="000000"/>
                <w:sz w:val="20"/>
                <w:szCs w:val="20"/>
              </w:rPr>
              <w:t>Příjmy po konsolidaci</w:t>
            </w:r>
          </w:p>
        </w:tc>
      </w:tr>
    </w:tbl>
    <w:p w:rsidR="007C7337" w:rsidRPr="007C7337" w:rsidRDefault="007C7337" w:rsidP="007C7337"/>
    <w:p w:rsidR="0070467E" w:rsidRPr="008946CC" w:rsidRDefault="0070467E" w:rsidP="006E59F8">
      <w:pPr>
        <w:jc w:val="both"/>
        <w:rPr>
          <w:rFonts w:ascii="Calibri" w:hAnsi="Calibri" w:cs="Calibri"/>
          <w:sz w:val="22"/>
          <w:szCs w:val="22"/>
        </w:rPr>
      </w:pPr>
      <w:r w:rsidRPr="008946CC">
        <w:rPr>
          <w:rFonts w:ascii="Calibri" w:hAnsi="Calibri" w:cs="Calibri"/>
          <w:sz w:val="22"/>
          <w:szCs w:val="22"/>
        </w:rPr>
        <w:t>Upravený r</w:t>
      </w:r>
      <w:r w:rsidR="00D339B3">
        <w:rPr>
          <w:rFonts w:ascii="Calibri" w:hAnsi="Calibri" w:cs="Calibri"/>
          <w:sz w:val="22"/>
          <w:szCs w:val="22"/>
        </w:rPr>
        <w:t>ozpočet příjmů města k 31.</w:t>
      </w:r>
      <w:r w:rsidR="003D1320">
        <w:rPr>
          <w:rFonts w:ascii="Calibri" w:hAnsi="Calibri" w:cs="Calibri"/>
          <w:sz w:val="22"/>
          <w:szCs w:val="22"/>
        </w:rPr>
        <w:t xml:space="preserve"> </w:t>
      </w:r>
      <w:r w:rsidR="00D339B3">
        <w:rPr>
          <w:rFonts w:ascii="Calibri" w:hAnsi="Calibri" w:cs="Calibri"/>
          <w:sz w:val="22"/>
          <w:szCs w:val="22"/>
        </w:rPr>
        <w:t>12.</w:t>
      </w:r>
      <w:r w:rsidR="003D1320">
        <w:rPr>
          <w:rFonts w:ascii="Calibri" w:hAnsi="Calibri" w:cs="Calibri"/>
          <w:sz w:val="22"/>
          <w:szCs w:val="22"/>
        </w:rPr>
        <w:t xml:space="preserve"> </w:t>
      </w:r>
      <w:r w:rsidR="00D339B3">
        <w:rPr>
          <w:rFonts w:ascii="Calibri" w:hAnsi="Calibri" w:cs="Calibri"/>
          <w:sz w:val="22"/>
          <w:szCs w:val="22"/>
        </w:rPr>
        <w:t>202</w:t>
      </w:r>
      <w:r w:rsidR="00513B61">
        <w:rPr>
          <w:rFonts w:ascii="Calibri" w:hAnsi="Calibri" w:cs="Calibri"/>
          <w:sz w:val="22"/>
          <w:szCs w:val="22"/>
        </w:rPr>
        <w:t>2</w:t>
      </w:r>
      <w:r w:rsidRPr="008946CC">
        <w:rPr>
          <w:rFonts w:ascii="Calibri" w:hAnsi="Calibri" w:cs="Calibri"/>
          <w:sz w:val="22"/>
          <w:szCs w:val="22"/>
        </w:rPr>
        <w:t xml:space="preserve"> činí </w:t>
      </w:r>
      <w:r w:rsidR="00513B61">
        <w:rPr>
          <w:rFonts w:ascii="Calibri" w:hAnsi="Calibri" w:cs="Calibri"/>
          <w:sz w:val="22"/>
          <w:szCs w:val="22"/>
        </w:rPr>
        <w:t>1 047,30</w:t>
      </w:r>
      <w:r w:rsidR="004504E9" w:rsidRPr="008946CC">
        <w:rPr>
          <w:rFonts w:ascii="Calibri" w:hAnsi="Calibri" w:cs="Calibri"/>
          <w:sz w:val="22"/>
          <w:szCs w:val="22"/>
        </w:rPr>
        <w:t> mil. </w:t>
      </w:r>
      <w:r w:rsidRPr="008946CC">
        <w:rPr>
          <w:rFonts w:ascii="Calibri" w:hAnsi="Calibri" w:cs="Calibri"/>
          <w:sz w:val="22"/>
          <w:szCs w:val="22"/>
        </w:rPr>
        <w:t xml:space="preserve">Kč a je naplněn ve výši </w:t>
      </w:r>
      <w:r w:rsidR="00E334B3">
        <w:rPr>
          <w:rFonts w:ascii="Calibri" w:hAnsi="Calibri" w:cs="Calibri"/>
          <w:sz w:val="22"/>
          <w:szCs w:val="22"/>
        </w:rPr>
        <w:t>1</w:t>
      </w:r>
      <w:r w:rsidR="003460A3">
        <w:rPr>
          <w:rFonts w:ascii="Calibri" w:hAnsi="Calibri" w:cs="Calibri"/>
          <w:sz w:val="22"/>
          <w:szCs w:val="22"/>
        </w:rPr>
        <w:t> 268,67</w:t>
      </w:r>
      <w:r w:rsidR="00DC67B6" w:rsidRPr="008946CC">
        <w:rPr>
          <w:rFonts w:ascii="Calibri" w:hAnsi="Calibri" w:cs="Calibri"/>
          <w:sz w:val="22"/>
          <w:szCs w:val="22"/>
        </w:rPr>
        <w:t> </w:t>
      </w:r>
      <w:r w:rsidRPr="008946CC">
        <w:rPr>
          <w:rFonts w:ascii="Calibri" w:hAnsi="Calibri" w:cs="Calibri"/>
          <w:sz w:val="22"/>
          <w:szCs w:val="22"/>
        </w:rPr>
        <w:t>mil.</w:t>
      </w:r>
      <w:r w:rsidR="00DA5266">
        <w:rPr>
          <w:rFonts w:ascii="Calibri" w:hAnsi="Calibri" w:cs="Calibri"/>
          <w:sz w:val="22"/>
          <w:szCs w:val="22"/>
        </w:rPr>
        <w:t> Kč (v </w:t>
      </w:r>
      <w:r w:rsidRPr="008946CC">
        <w:rPr>
          <w:rFonts w:ascii="Calibri" w:hAnsi="Calibri" w:cs="Calibri"/>
          <w:sz w:val="22"/>
          <w:szCs w:val="22"/>
        </w:rPr>
        <w:t xml:space="preserve">konsolidované podobě), což představuje plnění na </w:t>
      </w:r>
      <w:r w:rsidR="003460A3">
        <w:rPr>
          <w:rFonts w:ascii="Calibri" w:hAnsi="Calibri" w:cs="Calibri"/>
          <w:sz w:val="22"/>
          <w:szCs w:val="22"/>
        </w:rPr>
        <w:t>121,14</w:t>
      </w:r>
      <w:r w:rsidRPr="008946CC">
        <w:rPr>
          <w:rFonts w:ascii="Calibri" w:hAnsi="Calibri" w:cs="Calibri"/>
          <w:sz w:val="22"/>
          <w:szCs w:val="22"/>
        </w:rPr>
        <w:t xml:space="preserve"> %.</w:t>
      </w:r>
    </w:p>
    <w:p w:rsidR="0070467E" w:rsidRPr="008946CC" w:rsidRDefault="0070467E" w:rsidP="0070467E">
      <w:pPr>
        <w:rPr>
          <w:rFonts w:ascii="Calibri" w:hAnsi="Calibri" w:cs="Calibri"/>
          <w:sz w:val="22"/>
          <w:szCs w:val="22"/>
        </w:rPr>
      </w:pPr>
    </w:p>
    <w:p w:rsidR="00DC67B6" w:rsidRPr="0070467E" w:rsidRDefault="00DC67B6" w:rsidP="0046164D">
      <w:pPr>
        <w:pStyle w:val="Nadpis1"/>
      </w:pPr>
      <w:bookmarkStart w:id="6" w:name="_Toc39129491"/>
      <w:r>
        <w:t xml:space="preserve">Celkové příjmy dle </w:t>
      </w:r>
      <w:r w:rsidR="00E95707">
        <w:t>druhového třídění</w:t>
      </w:r>
      <w:bookmarkEnd w:id="6"/>
    </w:p>
    <w:p w:rsidR="0070467E" w:rsidRDefault="0070467E" w:rsidP="0070467E">
      <w:pPr>
        <w:rPr>
          <w:rFonts w:ascii="Calibri" w:hAnsi="Calibri" w:cs="Calibri"/>
          <w:sz w:val="22"/>
          <w:szCs w:val="22"/>
        </w:rPr>
      </w:pPr>
      <w:r w:rsidRPr="008946CC">
        <w:rPr>
          <w:rFonts w:ascii="Calibri" w:hAnsi="Calibri" w:cs="Calibri"/>
          <w:sz w:val="22"/>
          <w:szCs w:val="22"/>
        </w:rPr>
        <w:t>Největší podíl na skutečných příjm</w:t>
      </w:r>
      <w:r w:rsidR="006E59F8" w:rsidRPr="008946CC">
        <w:rPr>
          <w:rFonts w:ascii="Calibri" w:hAnsi="Calibri" w:cs="Calibri"/>
          <w:sz w:val="22"/>
          <w:szCs w:val="22"/>
        </w:rPr>
        <w:t>ech města mají daňov</w:t>
      </w:r>
      <w:r w:rsidR="004947FE">
        <w:rPr>
          <w:rFonts w:ascii="Calibri" w:hAnsi="Calibri" w:cs="Calibri"/>
          <w:sz w:val="22"/>
          <w:szCs w:val="22"/>
        </w:rPr>
        <w:t>é příjmy (</w:t>
      </w:r>
      <w:r w:rsidR="00137738">
        <w:rPr>
          <w:rFonts w:ascii="Calibri" w:hAnsi="Calibri" w:cs="Calibri"/>
          <w:sz w:val="22"/>
          <w:szCs w:val="22"/>
        </w:rPr>
        <w:t>7</w:t>
      </w:r>
      <w:r w:rsidR="003460A3">
        <w:rPr>
          <w:rFonts w:ascii="Calibri" w:hAnsi="Calibri" w:cs="Calibri"/>
          <w:sz w:val="22"/>
          <w:szCs w:val="22"/>
        </w:rPr>
        <w:t>8</w:t>
      </w:r>
      <w:r w:rsidR="004947FE">
        <w:rPr>
          <w:rFonts w:ascii="Calibri" w:hAnsi="Calibri" w:cs="Calibri"/>
          <w:sz w:val="22"/>
          <w:szCs w:val="22"/>
        </w:rPr>
        <w:t xml:space="preserve"> %), přijaté dotace (</w:t>
      </w:r>
      <w:r w:rsidR="003460A3">
        <w:rPr>
          <w:rFonts w:ascii="Calibri" w:hAnsi="Calibri" w:cs="Calibri"/>
          <w:sz w:val="22"/>
          <w:szCs w:val="22"/>
        </w:rPr>
        <w:t>9</w:t>
      </w:r>
      <w:r w:rsidRPr="008946CC">
        <w:rPr>
          <w:rFonts w:ascii="Calibri" w:hAnsi="Calibri" w:cs="Calibri"/>
          <w:sz w:val="22"/>
          <w:szCs w:val="22"/>
        </w:rPr>
        <w:t xml:space="preserve"> %), nedaňové příjmy (1</w:t>
      </w:r>
      <w:r w:rsidR="00137738">
        <w:rPr>
          <w:rFonts w:ascii="Calibri" w:hAnsi="Calibri" w:cs="Calibri"/>
          <w:sz w:val="22"/>
          <w:szCs w:val="22"/>
        </w:rPr>
        <w:t>3</w:t>
      </w:r>
      <w:r w:rsidRPr="008946CC">
        <w:rPr>
          <w:rFonts w:ascii="Calibri" w:hAnsi="Calibri" w:cs="Calibri"/>
          <w:sz w:val="22"/>
          <w:szCs w:val="22"/>
        </w:rPr>
        <w:t xml:space="preserve"> %) a pouze </w:t>
      </w:r>
      <w:r w:rsidR="003460A3">
        <w:rPr>
          <w:rFonts w:ascii="Calibri" w:hAnsi="Calibri" w:cs="Calibri"/>
          <w:sz w:val="22"/>
          <w:szCs w:val="22"/>
        </w:rPr>
        <w:t>0,4</w:t>
      </w:r>
      <w:r w:rsidRPr="008946CC">
        <w:rPr>
          <w:rFonts w:ascii="Calibri" w:hAnsi="Calibri" w:cs="Calibri"/>
          <w:sz w:val="22"/>
          <w:szCs w:val="22"/>
        </w:rPr>
        <w:t xml:space="preserve"> % příjmy kapitálové.</w:t>
      </w:r>
    </w:p>
    <w:p w:rsidR="009617BB" w:rsidRDefault="009617BB" w:rsidP="0070467E">
      <w:pPr>
        <w:rPr>
          <w:rFonts w:ascii="Calibri" w:hAnsi="Calibri" w:cs="Calibri"/>
          <w:sz w:val="22"/>
          <w:szCs w:val="22"/>
        </w:rPr>
      </w:pPr>
    </w:p>
    <w:p w:rsidR="003460A3" w:rsidRDefault="003460A3" w:rsidP="0070467E">
      <w:pPr>
        <w:rPr>
          <w:rFonts w:ascii="Calibri" w:hAnsi="Calibri" w:cs="Calibri"/>
          <w:sz w:val="22"/>
          <w:szCs w:val="22"/>
        </w:rPr>
      </w:pPr>
      <w:r>
        <w:rPr>
          <w:noProof/>
        </w:rPr>
        <w:drawing>
          <wp:inline distT="0" distB="0" distL="0" distR="0" wp14:anchorId="0300601D" wp14:editId="4D1EAB9A">
            <wp:extent cx="5379085" cy="2842054"/>
            <wp:effectExtent l="0" t="0" r="12065" b="15875"/>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460A3" w:rsidRDefault="003460A3" w:rsidP="0070467E">
      <w:pPr>
        <w:rPr>
          <w:rFonts w:ascii="Calibri" w:hAnsi="Calibri" w:cs="Calibri"/>
          <w:sz w:val="22"/>
          <w:szCs w:val="22"/>
        </w:rPr>
      </w:pPr>
    </w:p>
    <w:p w:rsidR="003460A3" w:rsidRDefault="003460A3" w:rsidP="0070467E">
      <w:pPr>
        <w:rPr>
          <w:rFonts w:ascii="Calibri" w:hAnsi="Calibri" w:cs="Calibri"/>
          <w:sz w:val="22"/>
          <w:szCs w:val="22"/>
        </w:rPr>
      </w:pPr>
      <w:r>
        <w:rPr>
          <w:noProof/>
        </w:rPr>
        <w:drawing>
          <wp:inline distT="0" distB="0" distL="0" distR="0" wp14:anchorId="75B3AB21" wp14:editId="35117D34">
            <wp:extent cx="5404022" cy="2767330"/>
            <wp:effectExtent l="0" t="0" r="6350" b="1397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460A3" w:rsidRDefault="003460A3" w:rsidP="0070467E">
      <w:pPr>
        <w:rPr>
          <w:rFonts w:ascii="Calibri" w:hAnsi="Calibri" w:cs="Calibri"/>
          <w:sz w:val="22"/>
          <w:szCs w:val="22"/>
        </w:rPr>
      </w:pPr>
    </w:p>
    <w:p w:rsidR="002F2196" w:rsidRPr="00A7279D" w:rsidRDefault="000E297F" w:rsidP="000C2CF9">
      <w:pPr>
        <w:pStyle w:val="Nadpis2"/>
      </w:pPr>
      <w:bookmarkStart w:id="7" w:name="_Toc39129492"/>
      <w:r w:rsidRPr="00A7279D">
        <w:lastRenderedPageBreak/>
        <w:t xml:space="preserve">Třída 1: </w:t>
      </w:r>
      <w:r w:rsidR="00320FAD" w:rsidRPr="00A7279D">
        <w:t>Daňové příjmy</w:t>
      </w:r>
      <w:bookmarkEnd w:id="7"/>
      <w:r w:rsidR="00DB50DC">
        <w:t xml:space="preserve"> (</w:t>
      </w:r>
      <w:r w:rsidR="003460A3">
        <w:t>982,7</w:t>
      </w:r>
      <w:r w:rsidR="00DB50DC">
        <w:t xml:space="preserve"> mil. Kč)</w:t>
      </w:r>
    </w:p>
    <w:p w:rsidR="00AF2579" w:rsidRPr="008946CC" w:rsidRDefault="00820291" w:rsidP="00482A59">
      <w:pPr>
        <w:jc w:val="both"/>
        <w:rPr>
          <w:rFonts w:asciiTheme="minorHAnsi" w:hAnsiTheme="minorHAnsi" w:cstheme="minorHAnsi"/>
        </w:rPr>
      </w:pPr>
      <w:r>
        <w:rPr>
          <w:rFonts w:asciiTheme="minorHAnsi" w:hAnsiTheme="minorHAnsi" w:cstheme="minorHAnsi"/>
          <w:sz w:val="22"/>
          <w:szCs w:val="22"/>
        </w:rPr>
        <w:t>Daňové příjmy v roce 202</w:t>
      </w:r>
      <w:r w:rsidR="003460A3">
        <w:rPr>
          <w:rFonts w:asciiTheme="minorHAnsi" w:hAnsiTheme="minorHAnsi" w:cstheme="minorHAnsi"/>
          <w:sz w:val="22"/>
          <w:szCs w:val="22"/>
        </w:rPr>
        <w:t>2</w:t>
      </w:r>
      <w:r w:rsidR="00AF2579" w:rsidRPr="008946CC">
        <w:rPr>
          <w:rFonts w:asciiTheme="minorHAnsi" w:hAnsiTheme="minorHAnsi" w:cstheme="minorHAnsi"/>
          <w:sz w:val="22"/>
          <w:szCs w:val="22"/>
        </w:rPr>
        <w:t xml:space="preserve"> byly plněny na </w:t>
      </w:r>
      <w:r w:rsidR="00B05C7B">
        <w:rPr>
          <w:rFonts w:asciiTheme="minorHAnsi" w:hAnsiTheme="minorHAnsi" w:cstheme="minorHAnsi"/>
          <w:sz w:val="22"/>
          <w:szCs w:val="22"/>
        </w:rPr>
        <w:t>12</w:t>
      </w:r>
      <w:r w:rsidR="003460A3">
        <w:rPr>
          <w:rFonts w:asciiTheme="minorHAnsi" w:hAnsiTheme="minorHAnsi" w:cstheme="minorHAnsi"/>
          <w:sz w:val="22"/>
          <w:szCs w:val="22"/>
        </w:rPr>
        <w:t>6</w:t>
      </w:r>
      <w:r w:rsidR="00B05C7B">
        <w:rPr>
          <w:rFonts w:asciiTheme="minorHAnsi" w:hAnsiTheme="minorHAnsi" w:cstheme="minorHAnsi"/>
          <w:sz w:val="22"/>
          <w:szCs w:val="22"/>
        </w:rPr>
        <w:t>,8</w:t>
      </w:r>
      <w:r w:rsidR="003460A3">
        <w:rPr>
          <w:rFonts w:asciiTheme="minorHAnsi" w:hAnsiTheme="minorHAnsi" w:cstheme="minorHAnsi"/>
          <w:sz w:val="22"/>
          <w:szCs w:val="22"/>
        </w:rPr>
        <w:t>1</w:t>
      </w:r>
      <w:r w:rsidR="00914724">
        <w:rPr>
          <w:rFonts w:asciiTheme="minorHAnsi" w:hAnsiTheme="minorHAnsi" w:cstheme="minorHAnsi"/>
          <w:sz w:val="22"/>
          <w:szCs w:val="22"/>
        </w:rPr>
        <w:t> </w:t>
      </w:r>
      <w:r w:rsidR="00AF2579" w:rsidRPr="008946CC">
        <w:rPr>
          <w:rFonts w:asciiTheme="minorHAnsi" w:hAnsiTheme="minorHAnsi" w:cstheme="minorHAnsi"/>
          <w:sz w:val="22"/>
          <w:szCs w:val="22"/>
        </w:rPr>
        <w:t>% a jejich</w:t>
      </w:r>
      <w:r w:rsidR="00482A59" w:rsidRPr="008946CC">
        <w:rPr>
          <w:rFonts w:asciiTheme="minorHAnsi" w:hAnsiTheme="minorHAnsi" w:cstheme="minorHAnsi"/>
          <w:sz w:val="22"/>
          <w:szCs w:val="22"/>
        </w:rPr>
        <w:t xml:space="preserve"> podíl</w:t>
      </w:r>
      <w:r w:rsidR="00AF2579" w:rsidRPr="008946CC">
        <w:rPr>
          <w:rFonts w:asciiTheme="minorHAnsi" w:hAnsiTheme="minorHAnsi" w:cstheme="minorHAnsi"/>
          <w:sz w:val="22"/>
          <w:szCs w:val="22"/>
        </w:rPr>
        <w:t xml:space="preserve"> na c</w:t>
      </w:r>
      <w:r w:rsidR="000C2CF9">
        <w:rPr>
          <w:rFonts w:asciiTheme="minorHAnsi" w:hAnsiTheme="minorHAnsi" w:cstheme="minorHAnsi"/>
          <w:sz w:val="22"/>
          <w:szCs w:val="22"/>
        </w:rPr>
        <w:t>elkových skutečných příjmech po </w:t>
      </w:r>
      <w:r w:rsidR="00AF2579" w:rsidRPr="008946CC">
        <w:rPr>
          <w:rFonts w:asciiTheme="minorHAnsi" w:hAnsiTheme="minorHAnsi" w:cstheme="minorHAnsi"/>
          <w:sz w:val="22"/>
          <w:szCs w:val="22"/>
        </w:rPr>
        <w:t xml:space="preserve">konsolidaci činil </w:t>
      </w:r>
      <w:r w:rsidR="003460A3">
        <w:rPr>
          <w:rFonts w:asciiTheme="minorHAnsi" w:hAnsiTheme="minorHAnsi" w:cstheme="minorHAnsi"/>
          <w:sz w:val="22"/>
          <w:szCs w:val="22"/>
        </w:rPr>
        <w:t>77,46</w:t>
      </w:r>
      <w:r w:rsidR="00AF2579" w:rsidRPr="008946CC">
        <w:rPr>
          <w:rFonts w:asciiTheme="minorHAnsi" w:hAnsiTheme="minorHAnsi" w:cstheme="minorHAnsi"/>
          <w:sz w:val="22"/>
          <w:szCs w:val="22"/>
        </w:rPr>
        <w:t xml:space="preserve"> %.</w:t>
      </w:r>
    </w:p>
    <w:p w:rsidR="00BE2AD3" w:rsidRDefault="00254EA6" w:rsidP="0024764D">
      <w:pPr>
        <w:pStyle w:val="Nadpis3"/>
        <w:rPr>
          <w:b w:val="0"/>
        </w:rPr>
      </w:pPr>
      <w:bookmarkStart w:id="8" w:name="_Toc39129493"/>
      <w:r w:rsidRPr="00EC4458">
        <w:rPr>
          <w:b w:val="0"/>
        </w:rPr>
        <w:t>Srovnání daňových příjmů v letech 201</w:t>
      </w:r>
      <w:r w:rsidR="00111F01">
        <w:rPr>
          <w:b w:val="0"/>
        </w:rPr>
        <w:t>5</w:t>
      </w:r>
      <w:r w:rsidR="00820291" w:rsidRPr="00EC4458">
        <w:rPr>
          <w:b w:val="0"/>
        </w:rPr>
        <w:t xml:space="preserve"> – 202</w:t>
      </w:r>
      <w:r w:rsidR="00111F01">
        <w:rPr>
          <w:b w:val="0"/>
        </w:rPr>
        <w:t>2</w:t>
      </w:r>
      <w:r w:rsidR="00BE2AD3" w:rsidRPr="00EC4458">
        <w:rPr>
          <w:b w:val="0"/>
        </w:rPr>
        <w:t xml:space="preserve">  (v tis. Kč)</w:t>
      </w:r>
      <w:bookmarkEnd w:id="8"/>
      <w:r w:rsidR="005F3D8A" w:rsidRPr="00EC4458">
        <w:rPr>
          <w:b w:val="0"/>
        </w:rPr>
        <w:t xml:space="preserve"> </w:t>
      </w:r>
    </w:p>
    <w:tbl>
      <w:tblPr>
        <w:tblW w:w="9351" w:type="dxa"/>
        <w:tblCellMar>
          <w:left w:w="70" w:type="dxa"/>
          <w:right w:w="70" w:type="dxa"/>
        </w:tblCellMar>
        <w:tblLook w:val="04A0" w:firstRow="1" w:lastRow="0" w:firstColumn="1" w:lastColumn="0" w:noHBand="0" w:noVBand="1"/>
      </w:tblPr>
      <w:tblGrid>
        <w:gridCol w:w="2547"/>
        <w:gridCol w:w="850"/>
        <w:gridCol w:w="851"/>
        <w:gridCol w:w="850"/>
        <w:gridCol w:w="851"/>
        <w:gridCol w:w="850"/>
        <w:gridCol w:w="851"/>
        <w:gridCol w:w="850"/>
        <w:gridCol w:w="851"/>
      </w:tblGrid>
      <w:tr w:rsidR="00111F01" w:rsidRPr="00111F01" w:rsidTr="00111F01">
        <w:trPr>
          <w:trHeight w:val="300"/>
        </w:trPr>
        <w:tc>
          <w:tcPr>
            <w:tcW w:w="2547" w:type="dxa"/>
            <w:tcBorders>
              <w:top w:val="single" w:sz="4" w:space="0" w:color="auto"/>
              <w:left w:val="single" w:sz="4" w:space="0" w:color="auto"/>
              <w:bottom w:val="single" w:sz="4" w:space="0" w:color="auto"/>
              <w:right w:val="single" w:sz="4" w:space="0" w:color="auto"/>
            </w:tcBorders>
            <w:shd w:val="clear" w:color="D6A100" w:fill="FFC000"/>
            <w:noWrap/>
            <w:vAlign w:val="bottom"/>
            <w:hideMark/>
          </w:tcPr>
          <w:p w:rsidR="00111F01" w:rsidRPr="00111F01" w:rsidRDefault="00111F01">
            <w:pPr>
              <w:rPr>
                <w:rFonts w:ascii="Calibri" w:hAnsi="Calibri" w:cs="Calibri"/>
                <w:b/>
                <w:bCs/>
                <w:color w:val="000000"/>
                <w:sz w:val="18"/>
                <w:szCs w:val="18"/>
              </w:rPr>
            </w:pPr>
            <w:r w:rsidRPr="00111F01">
              <w:rPr>
                <w:rFonts w:ascii="Calibri" w:hAnsi="Calibri" w:cs="Calibri"/>
                <w:b/>
                <w:bCs/>
                <w:color w:val="000000"/>
                <w:sz w:val="18"/>
                <w:szCs w:val="18"/>
              </w:rPr>
              <w:t>Příjem</w:t>
            </w:r>
          </w:p>
        </w:tc>
        <w:tc>
          <w:tcPr>
            <w:tcW w:w="850" w:type="dxa"/>
            <w:tcBorders>
              <w:top w:val="single" w:sz="4" w:space="0" w:color="auto"/>
              <w:left w:val="nil"/>
              <w:bottom w:val="single" w:sz="4" w:space="0" w:color="auto"/>
              <w:right w:val="single" w:sz="4" w:space="0" w:color="auto"/>
            </w:tcBorders>
            <w:shd w:val="clear" w:color="D6A100" w:fill="FFC000"/>
            <w:noWrap/>
            <w:vAlign w:val="bottom"/>
            <w:hideMark/>
          </w:tcPr>
          <w:p w:rsidR="00111F01" w:rsidRPr="00111F01" w:rsidRDefault="00111F01">
            <w:pPr>
              <w:jc w:val="center"/>
              <w:rPr>
                <w:rFonts w:ascii="Calibri" w:hAnsi="Calibri" w:cs="Calibri"/>
                <w:b/>
                <w:bCs/>
                <w:color w:val="000000"/>
                <w:sz w:val="18"/>
                <w:szCs w:val="18"/>
              </w:rPr>
            </w:pPr>
            <w:r w:rsidRPr="00111F01">
              <w:rPr>
                <w:rFonts w:ascii="Calibri" w:hAnsi="Calibri" w:cs="Calibri"/>
                <w:b/>
                <w:bCs/>
                <w:color w:val="000000"/>
                <w:sz w:val="18"/>
                <w:szCs w:val="18"/>
              </w:rPr>
              <w:t>2015</w:t>
            </w:r>
          </w:p>
        </w:tc>
        <w:tc>
          <w:tcPr>
            <w:tcW w:w="851" w:type="dxa"/>
            <w:tcBorders>
              <w:top w:val="single" w:sz="4" w:space="0" w:color="auto"/>
              <w:left w:val="nil"/>
              <w:bottom w:val="single" w:sz="4" w:space="0" w:color="auto"/>
              <w:right w:val="single" w:sz="4" w:space="0" w:color="auto"/>
            </w:tcBorders>
            <w:shd w:val="clear" w:color="D6A100" w:fill="FFC000"/>
            <w:noWrap/>
            <w:vAlign w:val="bottom"/>
            <w:hideMark/>
          </w:tcPr>
          <w:p w:rsidR="00111F01" w:rsidRPr="00111F01" w:rsidRDefault="00111F01">
            <w:pPr>
              <w:jc w:val="center"/>
              <w:rPr>
                <w:rFonts w:ascii="Calibri" w:hAnsi="Calibri" w:cs="Calibri"/>
                <w:b/>
                <w:bCs/>
                <w:color w:val="000000"/>
                <w:sz w:val="18"/>
                <w:szCs w:val="18"/>
              </w:rPr>
            </w:pPr>
            <w:r w:rsidRPr="00111F01">
              <w:rPr>
                <w:rFonts w:ascii="Calibri" w:hAnsi="Calibri" w:cs="Calibri"/>
                <w:b/>
                <w:bCs/>
                <w:color w:val="000000"/>
                <w:sz w:val="18"/>
                <w:szCs w:val="18"/>
              </w:rPr>
              <w:t>2016</w:t>
            </w:r>
          </w:p>
        </w:tc>
        <w:tc>
          <w:tcPr>
            <w:tcW w:w="850" w:type="dxa"/>
            <w:tcBorders>
              <w:top w:val="single" w:sz="4" w:space="0" w:color="auto"/>
              <w:left w:val="nil"/>
              <w:bottom w:val="single" w:sz="4" w:space="0" w:color="auto"/>
              <w:right w:val="single" w:sz="4" w:space="0" w:color="auto"/>
            </w:tcBorders>
            <w:shd w:val="clear" w:color="D6A100" w:fill="FFC000"/>
            <w:noWrap/>
            <w:vAlign w:val="bottom"/>
            <w:hideMark/>
          </w:tcPr>
          <w:p w:rsidR="00111F01" w:rsidRPr="00111F01" w:rsidRDefault="00111F01">
            <w:pPr>
              <w:jc w:val="center"/>
              <w:rPr>
                <w:rFonts w:ascii="Calibri" w:hAnsi="Calibri" w:cs="Calibri"/>
                <w:b/>
                <w:bCs/>
                <w:color w:val="000000"/>
                <w:sz w:val="18"/>
                <w:szCs w:val="18"/>
              </w:rPr>
            </w:pPr>
            <w:r w:rsidRPr="00111F01">
              <w:rPr>
                <w:rFonts w:ascii="Calibri" w:hAnsi="Calibri" w:cs="Calibri"/>
                <w:b/>
                <w:bCs/>
                <w:color w:val="000000"/>
                <w:sz w:val="18"/>
                <w:szCs w:val="18"/>
              </w:rPr>
              <w:t>2017</w:t>
            </w:r>
          </w:p>
        </w:tc>
        <w:tc>
          <w:tcPr>
            <w:tcW w:w="851" w:type="dxa"/>
            <w:tcBorders>
              <w:top w:val="single" w:sz="4" w:space="0" w:color="auto"/>
              <w:left w:val="nil"/>
              <w:bottom w:val="single" w:sz="4" w:space="0" w:color="auto"/>
              <w:right w:val="single" w:sz="4" w:space="0" w:color="auto"/>
            </w:tcBorders>
            <w:shd w:val="clear" w:color="D6A100" w:fill="FFC000"/>
            <w:noWrap/>
            <w:vAlign w:val="bottom"/>
            <w:hideMark/>
          </w:tcPr>
          <w:p w:rsidR="00111F01" w:rsidRPr="00111F01" w:rsidRDefault="00111F01">
            <w:pPr>
              <w:jc w:val="center"/>
              <w:rPr>
                <w:rFonts w:ascii="Calibri" w:hAnsi="Calibri" w:cs="Calibri"/>
                <w:b/>
                <w:bCs/>
                <w:color w:val="000000"/>
                <w:sz w:val="18"/>
                <w:szCs w:val="18"/>
              </w:rPr>
            </w:pPr>
            <w:r w:rsidRPr="00111F01">
              <w:rPr>
                <w:rFonts w:ascii="Calibri" w:hAnsi="Calibri" w:cs="Calibri"/>
                <w:b/>
                <w:bCs/>
                <w:color w:val="000000"/>
                <w:sz w:val="18"/>
                <w:szCs w:val="18"/>
              </w:rPr>
              <w:t>2018</w:t>
            </w:r>
          </w:p>
        </w:tc>
        <w:tc>
          <w:tcPr>
            <w:tcW w:w="850" w:type="dxa"/>
            <w:tcBorders>
              <w:top w:val="single" w:sz="4" w:space="0" w:color="auto"/>
              <w:left w:val="nil"/>
              <w:bottom w:val="single" w:sz="4" w:space="0" w:color="auto"/>
              <w:right w:val="single" w:sz="4" w:space="0" w:color="auto"/>
            </w:tcBorders>
            <w:shd w:val="clear" w:color="D6A100" w:fill="FFC000"/>
            <w:noWrap/>
            <w:vAlign w:val="bottom"/>
            <w:hideMark/>
          </w:tcPr>
          <w:p w:rsidR="00111F01" w:rsidRPr="00111F01" w:rsidRDefault="00111F01">
            <w:pPr>
              <w:jc w:val="center"/>
              <w:rPr>
                <w:rFonts w:ascii="Calibri" w:hAnsi="Calibri" w:cs="Calibri"/>
                <w:b/>
                <w:bCs/>
                <w:color w:val="000000"/>
                <w:sz w:val="18"/>
                <w:szCs w:val="18"/>
              </w:rPr>
            </w:pPr>
            <w:r w:rsidRPr="00111F01">
              <w:rPr>
                <w:rFonts w:ascii="Calibri" w:hAnsi="Calibri" w:cs="Calibri"/>
                <w:b/>
                <w:bCs/>
                <w:color w:val="000000"/>
                <w:sz w:val="18"/>
                <w:szCs w:val="18"/>
              </w:rPr>
              <w:t>2019</w:t>
            </w:r>
          </w:p>
        </w:tc>
        <w:tc>
          <w:tcPr>
            <w:tcW w:w="851" w:type="dxa"/>
            <w:tcBorders>
              <w:top w:val="single" w:sz="4" w:space="0" w:color="auto"/>
              <w:left w:val="nil"/>
              <w:bottom w:val="single" w:sz="4" w:space="0" w:color="auto"/>
              <w:right w:val="single" w:sz="4" w:space="0" w:color="auto"/>
            </w:tcBorders>
            <w:shd w:val="clear" w:color="D6A100" w:fill="FFC000"/>
            <w:noWrap/>
            <w:vAlign w:val="bottom"/>
            <w:hideMark/>
          </w:tcPr>
          <w:p w:rsidR="00111F01" w:rsidRPr="00111F01" w:rsidRDefault="00111F01">
            <w:pPr>
              <w:jc w:val="center"/>
              <w:rPr>
                <w:rFonts w:ascii="Calibri" w:hAnsi="Calibri" w:cs="Calibri"/>
                <w:b/>
                <w:bCs/>
                <w:color w:val="000000"/>
                <w:sz w:val="18"/>
                <w:szCs w:val="18"/>
              </w:rPr>
            </w:pPr>
            <w:r w:rsidRPr="00111F01">
              <w:rPr>
                <w:rFonts w:ascii="Calibri" w:hAnsi="Calibri" w:cs="Calibri"/>
                <w:b/>
                <w:bCs/>
                <w:color w:val="000000"/>
                <w:sz w:val="18"/>
                <w:szCs w:val="18"/>
              </w:rPr>
              <w:t>2020</w:t>
            </w:r>
          </w:p>
        </w:tc>
        <w:tc>
          <w:tcPr>
            <w:tcW w:w="850" w:type="dxa"/>
            <w:tcBorders>
              <w:top w:val="single" w:sz="4" w:space="0" w:color="auto"/>
              <w:left w:val="nil"/>
              <w:bottom w:val="single" w:sz="4" w:space="0" w:color="auto"/>
              <w:right w:val="single" w:sz="4" w:space="0" w:color="auto"/>
            </w:tcBorders>
            <w:shd w:val="clear" w:color="D6A100" w:fill="FFC000"/>
            <w:noWrap/>
            <w:vAlign w:val="bottom"/>
            <w:hideMark/>
          </w:tcPr>
          <w:p w:rsidR="00111F01" w:rsidRPr="00111F01" w:rsidRDefault="00111F01">
            <w:pPr>
              <w:jc w:val="center"/>
              <w:rPr>
                <w:rFonts w:ascii="Calibri" w:hAnsi="Calibri" w:cs="Calibri"/>
                <w:b/>
                <w:bCs/>
                <w:color w:val="000000"/>
                <w:sz w:val="18"/>
                <w:szCs w:val="18"/>
              </w:rPr>
            </w:pPr>
            <w:r w:rsidRPr="00111F01">
              <w:rPr>
                <w:rFonts w:ascii="Calibri" w:hAnsi="Calibri" w:cs="Calibri"/>
                <w:b/>
                <w:bCs/>
                <w:color w:val="000000"/>
                <w:sz w:val="18"/>
                <w:szCs w:val="18"/>
              </w:rPr>
              <w:t>2021</w:t>
            </w:r>
          </w:p>
        </w:tc>
        <w:tc>
          <w:tcPr>
            <w:tcW w:w="851" w:type="dxa"/>
            <w:tcBorders>
              <w:top w:val="single" w:sz="4" w:space="0" w:color="auto"/>
              <w:left w:val="nil"/>
              <w:bottom w:val="single" w:sz="4" w:space="0" w:color="auto"/>
              <w:right w:val="single" w:sz="4" w:space="0" w:color="auto"/>
            </w:tcBorders>
            <w:shd w:val="clear" w:color="D6A100" w:fill="FFC000"/>
            <w:noWrap/>
            <w:vAlign w:val="bottom"/>
            <w:hideMark/>
          </w:tcPr>
          <w:p w:rsidR="00111F01" w:rsidRPr="00111F01" w:rsidRDefault="00111F01">
            <w:pPr>
              <w:jc w:val="center"/>
              <w:rPr>
                <w:rFonts w:ascii="Calibri" w:hAnsi="Calibri" w:cs="Calibri"/>
                <w:b/>
                <w:bCs/>
                <w:color w:val="000000"/>
                <w:sz w:val="18"/>
                <w:szCs w:val="18"/>
              </w:rPr>
            </w:pPr>
            <w:r w:rsidRPr="00111F01">
              <w:rPr>
                <w:rFonts w:ascii="Calibri" w:hAnsi="Calibri" w:cs="Calibri"/>
                <w:b/>
                <w:bCs/>
                <w:color w:val="000000"/>
                <w:sz w:val="18"/>
                <w:szCs w:val="18"/>
              </w:rPr>
              <w:t>2022</w:t>
            </w:r>
          </w:p>
        </w:tc>
      </w:tr>
      <w:tr w:rsidR="00111F01" w:rsidRPr="00111F01" w:rsidTr="00111F01">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111F01" w:rsidRPr="00111F01" w:rsidRDefault="00111F01">
            <w:pPr>
              <w:rPr>
                <w:rFonts w:ascii="Calibri" w:hAnsi="Calibri" w:cs="Calibri"/>
                <w:color w:val="000000"/>
                <w:sz w:val="18"/>
                <w:szCs w:val="18"/>
              </w:rPr>
            </w:pPr>
            <w:r w:rsidRPr="00111F01">
              <w:rPr>
                <w:rFonts w:ascii="Calibri" w:hAnsi="Calibri" w:cs="Calibri"/>
                <w:color w:val="000000"/>
                <w:sz w:val="18"/>
                <w:szCs w:val="18"/>
              </w:rPr>
              <w:t>Daně z příjmů fyzických osob</w:t>
            </w:r>
          </w:p>
        </w:tc>
        <w:tc>
          <w:tcPr>
            <w:tcW w:w="850"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126 078</w:t>
            </w:r>
          </w:p>
        </w:tc>
        <w:tc>
          <w:tcPr>
            <w:tcW w:w="851"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144 116</w:t>
            </w:r>
          </w:p>
        </w:tc>
        <w:tc>
          <w:tcPr>
            <w:tcW w:w="850"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156 642</w:t>
            </w:r>
          </w:p>
        </w:tc>
        <w:tc>
          <w:tcPr>
            <w:tcW w:w="851"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177 652</w:t>
            </w:r>
          </w:p>
        </w:tc>
        <w:tc>
          <w:tcPr>
            <w:tcW w:w="850"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198 475</w:t>
            </w:r>
          </w:p>
        </w:tc>
        <w:tc>
          <w:tcPr>
            <w:tcW w:w="851"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188 620</w:t>
            </w:r>
          </w:p>
        </w:tc>
        <w:tc>
          <w:tcPr>
            <w:tcW w:w="850"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150 980</w:t>
            </w:r>
          </w:p>
        </w:tc>
        <w:tc>
          <w:tcPr>
            <w:tcW w:w="851"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170 001</w:t>
            </w:r>
          </w:p>
        </w:tc>
      </w:tr>
      <w:tr w:rsidR="00111F01" w:rsidRPr="00111F01" w:rsidTr="00111F01">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111F01" w:rsidRPr="00111F01" w:rsidRDefault="00111F01">
            <w:pPr>
              <w:rPr>
                <w:rFonts w:ascii="Calibri" w:hAnsi="Calibri" w:cs="Calibri"/>
                <w:color w:val="000000"/>
                <w:sz w:val="18"/>
                <w:szCs w:val="18"/>
              </w:rPr>
            </w:pPr>
            <w:r w:rsidRPr="00111F01">
              <w:rPr>
                <w:rFonts w:ascii="Calibri" w:hAnsi="Calibri" w:cs="Calibri"/>
                <w:color w:val="000000"/>
                <w:sz w:val="18"/>
                <w:szCs w:val="18"/>
              </w:rPr>
              <w:t>Daně z příjmů právnických osob</w:t>
            </w:r>
          </w:p>
        </w:tc>
        <w:tc>
          <w:tcPr>
            <w:tcW w:w="850"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134 978</w:t>
            </w:r>
          </w:p>
        </w:tc>
        <w:tc>
          <w:tcPr>
            <w:tcW w:w="851"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148 365</w:t>
            </w:r>
          </w:p>
        </w:tc>
        <w:tc>
          <w:tcPr>
            <w:tcW w:w="850"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148 012</w:t>
            </w:r>
          </w:p>
        </w:tc>
        <w:tc>
          <w:tcPr>
            <w:tcW w:w="851"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149 665</w:t>
            </w:r>
          </w:p>
        </w:tc>
        <w:tc>
          <w:tcPr>
            <w:tcW w:w="850"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171 903</w:t>
            </w:r>
          </w:p>
        </w:tc>
        <w:tc>
          <w:tcPr>
            <w:tcW w:w="851"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140 049</w:t>
            </w:r>
          </w:p>
        </w:tc>
        <w:tc>
          <w:tcPr>
            <w:tcW w:w="850"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189 112</w:t>
            </w:r>
          </w:p>
        </w:tc>
        <w:tc>
          <w:tcPr>
            <w:tcW w:w="851"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213 608</w:t>
            </w:r>
          </w:p>
        </w:tc>
      </w:tr>
      <w:tr w:rsidR="00111F01" w:rsidRPr="00111F01" w:rsidTr="00111F01">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111F01" w:rsidRPr="00111F01" w:rsidRDefault="00111F01">
            <w:pPr>
              <w:rPr>
                <w:rFonts w:ascii="Calibri" w:hAnsi="Calibri" w:cs="Calibri"/>
                <w:color w:val="000000"/>
                <w:sz w:val="18"/>
                <w:szCs w:val="18"/>
              </w:rPr>
            </w:pPr>
            <w:r w:rsidRPr="00111F01">
              <w:rPr>
                <w:rFonts w:ascii="Calibri" w:hAnsi="Calibri" w:cs="Calibri"/>
                <w:color w:val="000000"/>
                <w:sz w:val="18"/>
                <w:szCs w:val="18"/>
              </w:rPr>
              <w:t>DPH</w:t>
            </w:r>
          </w:p>
        </w:tc>
        <w:tc>
          <w:tcPr>
            <w:tcW w:w="850"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217 849</w:t>
            </w:r>
          </w:p>
        </w:tc>
        <w:tc>
          <w:tcPr>
            <w:tcW w:w="851"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230 162</w:t>
            </w:r>
          </w:p>
        </w:tc>
        <w:tc>
          <w:tcPr>
            <w:tcW w:w="850"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260 245</w:t>
            </w:r>
          </w:p>
        </w:tc>
        <w:tc>
          <w:tcPr>
            <w:tcW w:w="851"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308 492</w:t>
            </w:r>
          </w:p>
        </w:tc>
        <w:tc>
          <w:tcPr>
            <w:tcW w:w="850"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321 399</w:t>
            </w:r>
          </w:p>
        </w:tc>
        <w:tc>
          <w:tcPr>
            <w:tcW w:w="851"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316 642</w:t>
            </w:r>
          </w:p>
        </w:tc>
        <w:tc>
          <w:tcPr>
            <w:tcW w:w="850"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368 146</w:t>
            </w:r>
          </w:p>
        </w:tc>
        <w:tc>
          <w:tcPr>
            <w:tcW w:w="851"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432 214</w:t>
            </w:r>
          </w:p>
        </w:tc>
      </w:tr>
      <w:tr w:rsidR="00111F01" w:rsidRPr="00111F01" w:rsidTr="00111F01">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111F01" w:rsidRPr="00111F01" w:rsidRDefault="00111F01">
            <w:pPr>
              <w:rPr>
                <w:rFonts w:ascii="Calibri" w:hAnsi="Calibri" w:cs="Calibri"/>
                <w:color w:val="000000"/>
                <w:sz w:val="18"/>
                <w:szCs w:val="18"/>
              </w:rPr>
            </w:pPr>
            <w:r w:rsidRPr="00111F01">
              <w:rPr>
                <w:rFonts w:ascii="Calibri" w:hAnsi="Calibri" w:cs="Calibri"/>
                <w:color w:val="000000"/>
                <w:sz w:val="18"/>
                <w:szCs w:val="18"/>
              </w:rPr>
              <w:t>Místní poplatky</w:t>
            </w:r>
          </w:p>
        </w:tc>
        <w:tc>
          <w:tcPr>
            <w:tcW w:w="850"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26 839</w:t>
            </w:r>
          </w:p>
        </w:tc>
        <w:tc>
          <w:tcPr>
            <w:tcW w:w="851"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26 507</w:t>
            </w:r>
          </w:p>
        </w:tc>
        <w:tc>
          <w:tcPr>
            <w:tcW w:w="850"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26 771</w:t>
            </w:r>
          </w:p>
        </w:tc>
        <w:tc>
          <w:tcPr>
            <w:tcW w:w="851"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26 208</w:t>
            </w:r>
          </w:p>
        </w:tc>
        <w:tc>
          <w:tcPr>
            <w:tcW w:w="850"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26 489</w:t>
            </w:r>
          </w:p>
        </w:tc>
        <w:tc>
          <w:tcPr>
            <w:tcW w:w="851"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25 823</w:t>
            </w:r>
          </w:p>
        </w:tc>
        <w:tc>
          <w:tcPr>
            <w:tcW w:w="850"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28 615</w:t>
            </w:r>
          </w:p>
        </w:tc>
        <w:tc>
          <w:tcPr>
            <w:tcW w:w="851"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29 896</w:t>
            </w:r>
          </w:p>
        </w:tc>
      </w:tr>
      <w:tr w:rsidR="00111F01" w:rsidRPr="00111F01" w:rsidTr="00111F01">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111F01" w:rsidRPr="00111F01" w:rsidRDefault="00111F01">
            <w:pPr>
              <w:rPr>
                <w:rFonts w:ascii="Calibri" w:hAnsi="Calibri" w:cs="Calibri"/>
                <w:color w:val="000000"/>
                <w:sz w:val="18"/>
                <w:szCs w:val="18"/>
              </w:rPr>
            </w:pPr>
            <w:r w:rsidRPr="00111F01">
              <w:rPr>
                <w:rFonts w:ascii="Calibri" w:hAnsi="Calibri" w:cs="Calibri"/>
                <w:color w:val="000000"/>
                <w:sz w:val="18"/>
                <w:szCs w:val="18"/>
              </w:rPr>
              <w:t>Správní poplatky</w:t>
            </w:r>
          </w:p>
        </w:tc>
        <w:tc>
          <w:tcPr>
            <w:tcW w:w="850"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19 185</w:t>
            </w:r>
          </w:p>
        </w:tc>
        <w:tc>
          <w:tcPr>
            <w:tcW w:w="851"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19 942</w:t>
            </w:r>
          </w:p>
        </w:tc>
        <w:tc>
          <w:tcPr>
            <w:tcW w:w="850"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21 302</w:t>
            </w:r>
          </w:p>
        </w:tc>
        <w:tc>
          <w:tcPr>
            <w:tcW w:w="851"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20 418</w:t>
            </w:r>
          </w:p>
        </w:tc>
        <w:tc>
          <w:tcPr>
            <w:tcW w:w="850"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19 860</w:t>
            </w:r>
          </w:p>
        </w:tc>
        <w:tc>
          <w:tcPr>
            <w:tcW w:w="851"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17 074</w:t>
            </w:r>
          </w:p>
        </w:tc>
        <w:tc>
          <w:tcPr>
            <w:tcW w:w="850"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18 815</w:t>
            </w:r>
          </w:p>
        </w:tc>
        <w:tc>
          <w:tcPr>
            <w:tcW w:w="851"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20 086</w:t>
            </w:r>
          </w:p>
        </w:tc>
      </w:tr>
      <w:tr w:rsidR="00111F01" w:rsidRPr="00111F01" w:rsidTr="00111F01">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111F01" w:rsidRPr="00111F01" w:rsidRDefault="00111F01">
            <w:pPr>
              <w:rPr>
                <w:rFonts w:ascii="Calibri" w:hAnsi="Calibri" w:cs="Calibri"/>
                <w:color w:val="000000"/>
                <w:sz w:val="18"/>
                <w:szCs w:val="18"/>
              </w:rPr>
            </w:pPr>
            <w:r w:rsidRPr="00111F01">
              <w:rPr>
                <w:rFonts w:ascii="Calibri" w:hAnsi="Calibri" w:cs="Calibri"/>
                <w:color w:val="000000"/>
                <w:sz w:val="18"/>
                <w:szCs w:val="18"/>
              </w:rPr>
              <w:t>Daně z hazardních her</w:t>
            </w:r>
          </w:p>
        </w:tc>
        <w:tc>
          <w:tcPr>
            <w:tcW w:w="850"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50 090</w:t>
            </w:r>
          </w:p>
        </w:tc>
        <w:tc>
          <w:tcPr>
            <w:tcW w:w="851"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55 519</w:t>
            </w:r>
          </w:p>
        </w:tc>
        <w:tc>
          <w:tcPr>
            <w:tcW w:w="850"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69 563</w:t>
            </w:r>
          </w:p>
        </w:tc>
        <w:tc>
          <w:tcPr>
            <w:tcW w:w="851"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54 921</w:t>
            </w:r>
          </w:p>
        </w:tc>
        <w:tc>
          <w:tcPr>
            <w:tcW w:w="850"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51 230</w:t>
            </w:r>
          </w:p>
        </w:tc>
        <w:tc>
          <w:tcPr>
            <w:tcW w:w="851"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45 121</w:t>
            </w:r>
          </w:p>
        </w:tc>
        <w:tc>
          <w:tcPr>
            <w:tcW w:w="850"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39 580</w:t>
            </w:r>
          </w:p>
        </w:tc>
        <w:tc>
          <w:tcPr>
            <w:tcW w:w="851"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83 513</w:t>
            </w:r>
          </w:p>
        </w:tc>
      </w:tr>
      <w:tr w:rsidR="00111F01" w:rsidRPr="00111F01" w:rsidTr="00111F01">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111F01" w:rsidRPr="00111F01" w:rsidRDefault="00111F01">
            <w:pPr>
              <w:rPr>
                <w:rFonts w:ascii="Calibri" w:hAnsi="Calibri" w:cs="Calibri"/>
                <w:color w:val="000000"/>
                <w:sz w:val="18"/>
                <w:szCs w:val="18"/>
              </w:rPr>
            </w:pPr>
            <w:r w:rsidRPr="00111F01">
              <w:rPr>
                <w:rFonts w:ascii="Calibri" w:hAnsi="Calibri" w:cs="Calibri"/>
                <w:color w:val="000000"/>
                <w:sz w:val="18"/>
                <w:szCs w:val="18"/>
              </w:rPr>
              <w:t>Daň z nemovitých věcí</w:t>
            </w:r>
          </w:p>
        </w:tc>
        <w:tc>
          <w:tcPr>
            <w:tcW w:w="850"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28 586</w:t>
            </w:r>
          </w:p>
        </w:tc>
        <w:tc>
          <w:tcPr>
            <w:tcW w:w="851"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28 875</w:t>
            </w:r>
          </w:p>
        </w:tc>
        <w:tc>
          <w:tcPr>
            <w:tcW w:w="850"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29 529</w:t>
            </w:r>
          </w:p>
        </w:tc>
        <w:tc>
          <w:tcPr>
            <w:tcW w:w="851"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29 612</w:t>
            </w:r>
          </w:p>
        </w:tc>
        <w:tc>
          <w:tcPr>
            <w:tcW w:w="850"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30 014</w:t>
            </w:r>
          </w:p>
        </w:tc>
        <w:tc>
          <w:tcPr>
            <w:tcW w:w="851"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28 330</w:t>
            </w:r>
          </w:p>
        </w:tc>
        <w:tc>
          <w:tcPr>
            <w:tcW w:w="850"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30 856</w:t>
            </w:r>
          </w:p>
        </w:tc>
        <w:tc>
          <w:tcPr>
            <w:tcW w:w="851"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31 485</w:t>
            </w:r>
          </w:p>
        </w:tc>
      </w:tr>
      <w:tr w:rsidR="00111F01" w:rsidRPr="00111F01" w:rsidTr="00111F01">
        <w:trPr>
          <w:trHeight w:val="30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111F01" w:rsidRPr="00111F01" w:rsidRDefault="00111F01">
            <w:pPr>
              <w:rPr>
                <w:rFonts w:ascii="Calibri" w:hAnsi="Calibri" w:cs="Calibri"/>
                <w:color w:val="000000"/>
                <w:sz w:val="18"/>
                <w:szCs w:val="18"/>
              </w:rPr>
            </w:pPr>
            <w:r w:rsidRPr="00111F01">
              <w:rPr>
                <w:rFonts w:ascii="Calibri" w:hAnsi="Calibri" w:cs="Calibri"/>
                <w:color w:val="000000"/>
                <w:sz w:val="18"/>
                <w:szCs w:val="18"/>
              </w:rPr>
              <w:t>Ostatní *</w:t>
            </w:r>
          </w:p>
        </w:tc>
        <w:tc>
          <w:tcPr>
            <w:tcW w:w="850"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364</w:t>
            </w:r>
          </w:p>
        </w:tc>
        <w:tc>
          <w:tcPr>
            <w:tcW w:w="851"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421</w:t>
            </w:r>
          </w:p>
        </w:tc>
        <w:tc>
          <w:tcPr>
            <w:tcW w:w="850"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484</w:t>
            </w:r>
          </w:p>
        </w:tc>
        <w:tc>
          <w:tcPr>
            <w:tcW w:w="851"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1 843</w:t>
            </w:r>
          </w:p>
        </w:tc>
        <w:tc>
          <w:tcPr>
            <w:tcW w:w="850"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762</w:t>
            </w:r>
          </w:p>
        </w:tc>
        <w:tc>
          <w:tcPr>
            <w:tcW w:w="851"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5 433</w:t>
            </w:r>
          </w:p>
        </w:tc>
        <w:tc>
          <w:tcPr>
            <w:tcW w:w="850"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3 011</w:t>
            </w:r>
          </w:p>
        </w:tc>
        <w:tc>
          <w:tcPr>
            <w:tcW w:w="851" w:type="dxa"/>
            <w:tcBorders>
              <w:top w:val="nil"/>
              <w:left w:val="nil"/>
              <w:bottom w:val="single" w:sz="4" w:space="0" w:color="auto"/>
              <w:right w:val="single" w:sz="4" w:space="0" w:color="auto"/>
            </w:tcBorders>
            <w:shd w:val="clear" w:color="auto" w:fill="auto"/>
            <w:noWrap/>
            <w:vAlign w:val="bottom"/>
            <w:hideMark/>
          </w:tcPr>
          <w:p w:rsidR="00111F01" w:rsidRPr="00111F01" w:rsidRDefault="00111F01">
            <w:pPr>
              <w:jc w:val="right"/>
              <w:rPr>
                <w:rFonts w:ascii="Calibri" w:hAnsi="Calibri" w:cs="Calibri"/>
                <w:color w:val="000000"/>
                <w:sz w:val="18"/>
                <w:szCs w:val="18"/>
              </w:rPr>
            </w:pPr>
            <w:r w:rsidRPr="00111F01">
              <w:rPr>
                <w:rFonts w:ascii="Calibri" w:hAnsi="Calibri" w:cs="Calibri"/>
                <w:color w:val="000000"/>
                <w:sz w:val="18"/>
                <w:szCs w:val="18"/>
              </w:rPr>
              <w:t>1 897</w:t>
            </w:r>
          </w:p>
        </w:tc>
      </w:tr>
      <w:tr w:rsidR="00111F01" w:rsidRPr="00111F01" w:rsidTr="00111F01">
        <w:trPr>
          <w:trHeight w:val="300"/>
        </w:trPr>
        <w:tc>
          <w:tcPr>
            <w:tcW w:w="2547" w:type="dxa"/>
            <w:tcBorders>
              <w:top w:val="nil"/>
              <w:left w:val="single" w:sz="4" w:space="0" w:color="auto"/>
              <w:bottom w:val="single" w:sz="4" w:space="0" w:color="auto"/>
              <w:right w:val="single" w:sz="4" w:space="0" w:color="auto"/>
            </w:tcBorders>
            <w:shd w:val="clear" w:color="D6A100" w:fill="FFC000"/>
            <w:noWrap/>
            <w:vAlign w:val="bottom"/>
            <w:hideMark/>
          </w:tcPr>
          <w:p w:rsidR="00111F01" w:rsidRPr="00111F01" w:rsidRDefault="00111F01">
            <w:pPr>
              <w:rPr>
                <w:rFonts w:ascii="Calibri" w:hAnsi="Calibri" w:cs="Calibri"/>
                <w:b/>
                <w:bCs/>
                <w:color w:val="000000"/>
                <w:sz w:val="18"/>
                <w:szCs w:val="18"/>
              </w:rPr>
            </w:pPr>
            <w:r w:rsidRPr="00111F01">
              <w:rPr>
                <w:rFonts w:ascii="Calibri" w:hAnsi="Calibri" w:cs="Calibri"/>
                <w:b/>
                <w:bCs/>
                <w:color w:val="000000"/>
                <w:sz w:val="18"/>
                <w:szCs w:val="18"/>
              </w:rPr>
              <w:t>Daňové příjmy celkem</w:t>
            </w:r>
          </w:p>
        </w:tc>
        <w:tc>
          <w:tcPr>
            <w:tcW w:w="850" w:type="dxa"/>
            <w:tcBorders>
              <w:top w:val="nil"/>
              <w:left w:val="nil"/>
              <w:bottom w:val="single" w:sz="4" w:space="0" w:color="auto"/>
              <w:right w:val="single" w:sz="4" w:space="0" w:color="auto"/>
            </w:tcBorders>
            <w:shd w:val="clear" w:color="D6A100" w:fill="FFC000"/>
            <w:noWrap/>
            <w:vAlign w:val="bottom"/>
            <w:hideMark/>
          </w:tcPr>
          <w:p w:rsidR="00111F01" w:rsidRPr="00111F01" w:rsidRDefault="00111F01">
            <w:pPr>
              <w:jc w:val="right"/>
              <w:rPr>
                <w:rFonts w:ascii="Calibri" w:hAnsi="Calibri" w:cs="Calibri"/>
                <w:b/>
                <w:bCs/>
                <w:color w:val="000000"/>
                <w:sz w:val="18"/>
                <w:szCs w:val="18"/>
              </w:rPr>
            </w:pPr>
            <w:r w:rsidRPr="00111F01">
              <w:rPr>
                <w:rFonts w:ascii="Calibri" w:hAnsi="Calibri" w:cs="Calibri"/>
                <w:b/>
                <w:bCs/>
                <w:color w:val="000000"/>
                <w:sz w:val="18"/>
                <w:szCs w:val="18"/>
              </w:rPr>
              <w:t>603 971</w:t>
            </w:r>
          </w:p>
        </w:tc>
        <w:tc>
          <w:tcPr>
            <w:tcW w:w="851" w:type="dxa"/>
            <w:tcBorders>
              <w:top w:val="nil"/>
              <w:left w:val="nil"/>
              <w:bottom w:val="single" w:sz="4" w:space="0" w:color="auto"/>
              <w:right w:val="single" w:sz="4" w:space="0" w:color="auto"/>
            </w:tcBorders>
            <w:shd w:val="clear" w:color="D6A100" w:fill="FFC000"/>
            <w:noWrap/>
            <w:vAlign w:val="bottom"/>
            <w:hideMark/>
          </w:tcPr>
          <w:p w:rsidR="00111F01" w:rsidRPr="00111F01" w:rsidRDefault="00111F01">
            <w:pPr>
              <w:jc w:val="right"/>
              <w:rPr>
                <w:rFonts w:ascii="Calibri" w:hAnsi="Calibri" w:cs="Calibri"/>
                <w:b/>
                <w:bCs/>
                <w:color w:val="000000"/>
                <w:sz w:val="18"/>
                <w:szCs w:val="18"/>
              </w:rPr>
            </w:pPr>
            <w:r w:rsidRPr="00111F01">
              <w:rPr>
                <w:rFonts w:ascii="Calibri" w:hAnsi="Calibri" w:cs="Calibri"/>
                <w:b/>
                <w:bCs/>
                <w:color w:val="000000"/>
                <w:sz w:val="18"/>
                <w:szCs w:val="18"/>
              </w:rPr>
              <w:t>653 906</w:t>
            </w:r>
          </w:p>
        </w:tc>
        <w:tc>
          <w:tcPr>
            <w:tcW w:w="850" w:type="dxa"/>
            <w:tcBorders>
              <w:top w:val="nil"/>
              <w:left w:val="nil"/>
              <w:bottom w:val="single" w:sz="4" w:space="0" w:color="auto"/>
              <w:right w:val="single" w:sz="4" w:space="0" w:color="auto"/>
            </w:tcBorders>
            <w:shd w:val="clear" w:color="D6A100" w:fill="FFC000"/>
            <w:noWrap/>
            <w:vAlign w:val="bottom"/>
            <w:hideMark/>
          </w:tcPr>
          <w:p w:rsidR="00111F01" w:rsidRPr="00111F01" w:rsidRDefault="00111F01">
            <w:pPr>
              <w:jc w:val="right"/>
              <w:rPr>
                <w:rFonts w:ascii="Calibri" w:hAnsi="Calibri" w:cs="Calibri"/>
                <w:b/>
                <w:bCs/>
                <w:color w:val="000000"/>
                <w:sz w:val="18"/>
                <w:szCs w:val="18"/>
              </w:rPr>
            </w:pPr>
            <w:r w:rsidRPr="00111F01">
              <w:rPr>
                <w:rFonts w:ascii="Calibri" w:hAnsi="Calibri" w:cs="Calibri"/>
                <w:b/>
                <w:bCs/>
                <w:color w:val="000000"/>
                <w:sz w:val="18"/>
                <w:szCs w:val="18"/>
              </w:rPr>
              <w:t>712 548</w:t>
            </w:r>
          </w:p>
        </w:tc>
        <w:tc>
          <w:tcPr>
            <w:tcW w:w="851" w:type="dxa"/>
            <w:tcBorders>
              <w:top w:val="nil"/>
              <w:left w:val="nil"/>
              <w:bottom w:val="single" w:sz="4" w:space="0" w:color="auto"/>
              <w:right w:val="single" w:sz="4" w:space="0" w:color="auto"/>
            </w:tcBorders>
            <w:shd w:val="clear" w:color="D6A100" w:fill="FFC000"/>
            <w:noWrap/>
            <w:vAlign w:val="bottom"/>
            <w:hideMark/>
          </w:tcPr>
          <w:p w:rsidR="00111F01" w:rsidRPr="00111F01" w:rsidRDefault="00111F01">
            <w:pPr>
              <w:jc w:val="right"/>
              <w:rPr>
                <w:rFonts w:ascii="Calibri" w:hAnsi="Calibri" w:cs="Calibri"/>
                <w:b/>
                <w:bCs/>
                <w:color w:val="000000"/>
                <w:sz w:val="18"/>
                <w:szCs w:val="18"/>
              </w:rPr>
            </w:pPr>
            <w:r w:rsidRPr="00111F01">
              <w:rPr>
                <w:rFonts w:ascii="Calibri" w:hAnsi="Calibri" w:cs="Calibri"/>
                <w:b/>
                <w:bCs/>
                <w:color w:val="000000"/>
                <w:sz w:val="18"/>
                <w:szCs w:val="18"/>
              </w:rPr>
              <w:t>768 810</w:t>
            </w:r>
          </w:p>
        </w:tc>
        <w:tc>
          <w:tcPr>
            <w:tcW w:w="850" w:type="dxa"/>
            <w:tcBorders>
              <w:top w:val="nil"/>
              <w:left w:val="nil"/>
              <w:bottom w:val="single" w:sz="4" w:space="0" w:color="auto"/>
              <w:right w:val="single" w:sz="4" w:space="0" w:color="auto"/>
            </w:tcBorders>
            <w:shd w:val="clear" w:color="D6A100" w:fill="FFC000"/>
            <w:noWrap/>
            <w:vAlign w:val="bottom"/>
            <w:hideMark/>
          </w:tcPr>
          <w:p w:rsidR="00111F01" w:rsidRPr="00111F01" w:rsidRDefault="00111F01">
            <w:pPr>
              <w:jc w:val="right"/>
              <w:rPr>
                <w:rFonts w:ascii="Calibri" w:hAnsi="Calibri" w:cs="Calibri"/>
                <w:b/>
                <w:bCs/>
                <w:color w:val="000000"/>
                <w:sz w:val="18"/>
                <w:szCs w:val="18"/>
              </w:rPr>
            </w:pPr>
            <w:r w:rsidRPr="00111F01">
              <w:rPr>
                <w:rFonts w:ascii="Calibri" w:hAnsi="Calibri" w:cs="Calibri"/>
                <w:b/>
                <w:bCs/>
                <w:color w:val="000000"/>
                <w:sz w:val="18"/>
                <w:szCs w:val="18"/>
              </w:rPr>
              <w:t>820 132</w:t>
            </w:r>
          </w:p>
        </w:tc>
        <w:tc>
          <w:tcPr>
            <w:tcW w:w="851" w:type="dxa"/>
            <w:tcBorders>
              <w:top w:val="nil"/>
              <w:left w:val="nil"/>
              <w:bottom w:val="single" w:sz="4" w:space="0" w:color="auto"/>
              <w:right w:val="single" w:sz="4" w:space="0" w:color="auto"/>
            </w:tcBorders>
            <w:shd w:val="clear" w:color="D6A100" w:fill="FFC000"/>
            <w:noWrap/>
            <w:vAlign w:val="bottom"/>
            <w:hideMark/>
          </w:tcPr>
          <w:p w:rsidR="00111F01" w:rsidRPr="00111F01" w:rsidRDefault="00111F01">
            <w:pPr>
              <w:jc w:val="right"/>
              <w:rPr>
                <w:rFonts w:ascii="Calibri" w:hAnsi="Calibri" w:cs="Calibri"/>
                <w:b/>
                <w:bCs/>
                <w:color w:val="000000"/>
                <w:sz w:val="18"/>
                <w:szCs w:val="18"/>
              </w:rPr>
            </w:pPr>
            <w:r w:rsidRPr="00111F01">
              <w:rPr>
                <w:rFonts w:ascii="Calibri" w:hAnsi="Calibri" w:cs="Calibri"/>
                <w:b/>
                <w:bCs/>
                <w:color w:val="000000"/>
                <w:sz w:val="18"/>
                <w:szCs w:val="18"/>
              </w:rPr>
              <w:t>767 090</w:t>
            </w:r>
          </w:p>
        </w:tc>
        <w:tc>
          <w:tcPr>
            <w:tcW w:w="850" w:type="dxa"/>
            <w:tcBorders>
              <w:top w:val="nil"/>
              <w:left w:val="nil"/>
              <w:bottom w:val="single" w:sz="4" w:space="0" w:color="auto"/>
              <w:right w:val="single" w:sz="4" w:space="0" w:color="auto"/>
            </w:tcBorders>
            <w:shd w:val="clear" w:color="D6A100" w:fill="FFC000"/>
            <w:noWrap/>
            <w:vAlign w:val="bottom"/>
            <w:hideMark/>
          </w:tcPr>
          <w:p w:rsidR="00111F01" w:rsidRPr="00111F01" w:rsidRDefault="00111F01">
            <w:pPr>
              <w:jc w:val="right"/>
              <w:rPr>
                <w:rFonts w:ascii="Calibri" w:hAnsi="Calibri" w:cs="Calibri"/>
                <w:b/>
                <w:bCs/>
                <w:color w:val="000000"/>
                <w:sz w:val="18"/>
                <w:szCs w:val="18"/>
              </w:rPr>
            </w:pPr>
            <w:r w:rsidRPr="00111F01">
              <w:rPr>
                <w:rFonts w:ascii="Calibri" w:hAnsi="Calibri" w:cs="Calibri"/>
                <w:b/>
                <w:bCs/>
                <w:color w:val="000000"/>
                <w:sz w:val="18"/>
                <w:szCs w:val="18"/>
              </w:rPr>
              <w:t>829 114</w:t>
            </w:r>
          </w:p>
        </w:tc>
        <w:tc>
          <w:tcPr>
            <w:tcW w:w="851" w:type="dxa"/>
            <w:tcBorders>
              <w:top w:val="nil"/>
              <w:left w:val="nil"/>
              <w:bottom w:val="single" w:sz="4" w:space="0" w:color="auto"/>
              <w:right w:val="single" w:sz="4" w:space="0" w:color="auto"/>
            </w:tcBorders>
            <w:shd w:val="clear" w:color="D6A100" w:fill="FFC000"/>
            <w:noWrap/>
            <w:vAlign w:val="bottom"/>
            <w:hideMark/>
          </w:tcPr>
          <w:p w:rsidR="00111F01" w:rsidRPr="00111F01" w:rsidRDefault="00111F01">
            <w:pPr>
              <w:jc w:val="right"/>
              <w:rPr>
                <w:rFonts w:ascii="Calibri" w:hAnsi="Calibri" w:cs="Calibri"/>
                <w:b/>
                <w:bCs/>
                <w:color w:val="000000"/>
                <w:sz w:val="18"/>
                <w:szCs w:val="18"/>
              </w:rPr>
            </w:pPr>
            <w:r w:rsidRPr="00111F01">
              <w:rPr>
                <w:rFonts w:ascii="Calibri" w:hAnsi="Calibri" w:cs="Calibri"/>
                <w:b/>
                <w:bCs/>
                <w:color w:val="000000"/>
                <w:sz w:val="18"/>
                <w:szCs w:val="18"/>
              </w:rPr>
              <w:t>982 699</w:t>
            </w:r>
          </w:p>
        </w:tc>
      </w:tr>
    </w:tbl>
    <w:p w:rsidR="00820291" w:rsidRDefault="00820291" w:rsidP="00820291">
      <w:pPr>
        <w:rPr>
          <w:rFonts w:ascii="Calibri" w:hAnsi="Calibri" w:cs="Calibri"/>
          <w:sz w:val="18"/>
          <w:szCs w:val="18"/>
        </w:rPr>
      </w:pPr>
      <w:r>
        <w:t>* </w:t>
      </w:r>
      <w:r w:rsidRPr="003520C7">
        <w:rPr>
          <w:rFonts w:ascii="Calibri" w:hAnsi="Calibri" w:cs="Calibri"/>
          <w:sz w:val="18"/>
          <w:szCs w:val="18"/>
        </w:rPr>
        <w:t>Odvody za odnětí ze zeměděls</w:t>
      </w:r>
      <w:r>
        <w:rPr>
          <w:rFonts w:ascii="Calibri" w:hAnsi="Calibri" w:cs="Calibri"/>
          <w:sz w:val="18"/>
          <w:szCs w:val="18"/>
        </w:rPr>
        <w:t>kého půdního fondu (POL 1334), o</w:t>
      </w:r>
      <w:r w:rsidRPr="003520C7">
        <w:rPr>
          <w:rFonts w:ascii="Calibri" w:hAnsi="Calibri" w:cs="Calibri"/>
          <w:sz w:val="18"/>
          <w:szCs w:val="18"/>
        </w:rPr>
        <w:t>statní odvody z vybraných činností a služeb jinde neuvedené (POL 1359)</w:t>
      </w:r>
      <w:r w:rsidR="000C2CF9">
        <w:rPr>
          <w:rFonts w:ascii="Calibri" w:hAnsi="Calibri" w:cs="Calibri"/>
          <w:sz w:val="18"/>
          <w:szCs w:val="18"/>
        </w:rPr>
        <w:t>, příjmy</w:t>
      </w:r>
      <w:r>
        <w:rPr>
          <w:rFonts w:ascii="Calibri" w:hAnsi="Calibri" w:cs="Calibri"/>
          <w:sz w:val="18"/>
          <w:szCs w:val="18"/>
        </w:rPr>
        <w:t xml:space="preserve"> úhrad za dobývání nerostů a </w:t>
      </w:r>
      <w:r w:rsidR="00EC4458">
        <w:rPr>
          <w:rFonts w:ascii="Calibri" w:hAnsi="Calibri" w:cs="Calibri"/>
          <w:sz w:val="18"/>
          <w:szCs w:val="18"/>
        </w:rPr>
        <w:t>poplatků</w:t>
      </w:r>
      <w:r>
        <w:rPr>
          <w:rFonts w:ascii="Calibri" w:hAnsi="Calibri" w:cs="Calibri"/>
          <w:sz w:val="18"/>
          <w:szCs w:val="18"/>
        </w:rPr>
        <w:t xml:space="preserve"> za geologické práce (POL 1356)</w:t>
      </w:r>
    </w:p>
    <w:p w:rsidR="00EC4458" w:rsidRDefault="00EC4458" w:rsidP="00820291">
      <w:pPr>
        <w:rPr>
          <w:rFonts w:ascii="Calibri" w:hAnsi="Calibri" w:cs="Calibri"/>
          <w:sz w:val="18"/>
          <w:szCs w:val="18"/>
        </w:rPr>
      </w:pPr>
    </w:p>
    <w:p w:rsidR="00EC4458" w:rsidRDefault="00111F01" w:rsidP="00111F01">
      <w:pPr>
        <w:jc w:val="center"/>
        <w:rPr>
          <w:rFonts w:ascii="Calibri" w:hAnsi="Calibri" w:cs="Calibri"/>
          <w:sz w:val="18"/>
          <w:szCs w:val="18"/>
        </w:rPr>
      </w:pPr>
      <w:r>
        <w:rPr>
          <w:noProof/>
        </w:rPr>
        <w:drawing>
          <wp:inline distT="0" distB="0" distL="0" distR="0" wp14:anchorId="4D36C313" wp14:editId="10677349">
            <wp:extent cx="4342765" cy="2792627"/>
            <wp:effectExtent l="0" t="0" r="635" b="8255"/>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C4458" w:rsidRDefault="00EC4458" w:rsidP="00820291">
      <w:pPr>
        <w:rPr>
          <w:rFonts w:ascii="Calibri" w:hAnsi="Calibri" w:cs="Calibri"/>
          <w:sz w:val="18"/>
          <w:szCs w:val="18"/>
        </w:rPr>
      </w:pPr>
    </w:p>
    <w:p w:rsidR="00EC4458" w:rsidRDefault="00EC4458" w:rsidP="00820291">
      <w:pPr>
        <w:rPr>
          <w:rFonts w:ascii="Calibri" w:hAnsi="Calibri" w:cs="Calibri"/>
          <w:sz w:val="18"/>
          <w:szCs w:val="18"/>
        </w:rPr>
      </w:pPr>
    </w:p>
    <w:tbl>
      <w:tblPr>
        <w:tblW w:w="8642" w:type="dxa"/>
        <w:tblCellMar>
          <w:left w:w="70" w:type="dxa"/>
          <w:right w:w="70" w:type="dxa"/>
        </w:tblCellMar>
        <w:tblLook w:val="04A0" w:firstRow="1" w:lastRow="0" w:firstColumn="1" w:lastColumn="0" w:noHBand="0" w:noVBand="1"/>
      </w:tblPr>
      <w:tblGrid>
        <w:gridCol w:w="2972"/>
        <w:gridCol w:w="709"/>
        <w:gridCol w:w="709"/>
        <w:gridCol w:w="708"/>
        <w:gridCol w:w="709"/>
        <w:gridCol w:w="709"/>
        <w:gridCol w:w="709"/>
        <w:gridCol w:w="708"/>
        <w:gridCol w:w="709"/>
      </w:tblGrid>
      <w:tr w:rsidR="00440ACC" w:rsidRPr="00440ACC" w:rsidTr="00440ACC">
        <w:trPr>
          <w:trHeight w:val="300"/>
        </w:trPr>
        <w:tc>
          <w:tcPr>
            <w:tcW w:w="2972" w:type="dxa"/>
            <w:tcBorders>
              <w:top w:val="single" w:sz="4" w:space="0" w:color="auto"/>
              <w:left w:val="single" w:sz="4" w:space="0" w:color="auto"/>
              <w:bottom w:val="single" w:sz="4" w:space="0" w:color="auto"/>
              <w:right w:val="single" w:sz="4" w:space="0" w:color="auto"/>
            </w:tcBorders>
            <w:shd w:val="clear" w:color="D6A100" w:fill="FFC000"/>
            <w:noWrap/>
            <w:vAlign w:val="bottom"/>
            <w:hideMark/>
          </w:tcPr>
          <w:p w:rsidR="00111F01" w:rsidRPr="00440ACC" w:rsidRDefault="00111F01">
            <w:pPr>
              <w:rPr>
                <w:rFonts w:ascii="Calibri" w:hAnsi="Calibri" w:cs="Calibri"/>
                <w:color w:val="000000"/>
                <w:sz w:val="17"/>
                <w:szCs w:val="17"/>
              </w:rPr>
            </w:pPr>
          </w:p>
        </w:tc>
        <w:tc>
          <w:tcPr>
            <w:tcW w:w="709" w:type="dxa"/>
            <w:tcBorders>
              <w:top w:val="single" w:sz="4" w:space="0" w:color="auto"/>
              <w:left w:val="nil"/>
              <w:bottom w:val="single" w:sz="4" w:space="0" w:color="auto"/>
              <w:right w:val="single" w:sz="4" w:space="0" w:color="auto"/>
            </w:tcBorders>
            <w:shd w:val="clear" w:color="D6A100" w:fill="FFC000"/>
            <w:noWrap/>
            <w:vAlign w:val="bottom"/>
            <w:hideMark/>
          </w:tcPr>
          <w:p w:rsidR="00111F01" w:rsidRPr="00440ACC" w:rsidRDefault="00111F01">
            <w:pPr>
              <w:jc w:val="center"/>
              <w:rPr>
                <w:rFonts w:ascii="Calibri" w:hAnsi="Calibri" w:cs="Calibri"/>
                <w:color w:val="000000"/>
                <w:sz w:val="17"/>
                <w:szCs w:val="17"/>
              </w:rPr>
            </w:pPr>
            <w:r w:rsidRPr="00440ACC">
              <w:rPr>
                <w:rFonts w:ascii="Calibri" w:hAnsi="Calibri" w:cs="Calibri"/>
                <w:color w:val="000000"/>
                <w:sz w:val="17"/>
                <w:szCs w:val="17"/>
              </w:rPr>
              <w:t>2015</w:t>
            </w:r>
          </w:p>
        </w:tc>
        <w:tc>
          <w:tcPr>
            <w:tcW w:w="709" w:type="dxa"/>
            <w:tcBorders>
              <w:top w:val="single" w:sz="4" w:space="0" w:color="auto"/>
              <w:left w:val="nil"/>
              <w:bottom w:val="single" w:sz="4" w:space="0" w:color="auto"/>
              <w:right w:val="single" w:sz="4" w:space="0" w:color="auto"/>
            </w:tcBorders>
            <w:shd w:val="clear" w:color="D6A100" w:fill="FFC000"/>
            <w:noWrap/>
            <w:vAlign w:val="bottom"/>
            <w:hideMark/>
          </w:tcPr>
          <w:p w:rsidR="00111F01" w:rsidRPr="00440ACC" w:rsidRDefault="00111F01">
            <w:pPr>
              <w:jc w:val="center"/>
              <w:rPr>
                <w:rFonts w:ascii="Calibri" w:hAnsi="Calibri" w:cs="Calibri"/>
                <w:color w:val="000000"/>
                <w:sz w:val="17"/>
                <w:szCs w:val="17"/>
              </w:rPr>
            </w:pPr>
            <w:r w:rsidRPr="00440ACC">
              <w:rPr>
                <w:rFonts w:ascii="Calibri" w:hAnsi="Calibri" w:cs="Calibri"/>
                <w:color w:val="000000"/>
                <w:sz w:val="17"/>
                <w:szCs w:val="17"/>
              </w:rPr>
              <w:t>2016</w:t>
            </w:r>
          </w:p>
        </w:tc>
        <w:tc>
          <w:tcPr>
            <w:tcW w:w="708" w:type="dxa"/>
            <w:tcBorders>
              <w:top w:val="single" w:sz="4" w:space="0" w:color="auto"/>
              <w:left w:val="nil"/>
              <w:bottom w:val="single" w:sz="4" w:space="0" w:color="auto"/>
              <w:right w:val="single" w:sz="4" w:space="0" w:color="auto"/>
            </w:tcBorders>
            <w:shd w:val="clear" w:color="D6A100" w:fill="FFC000"/>
            <w:noWrap/>
            <w:vAlign w:val="bottom"/>
            <w:hideMark/>
          </w:tcPr>
          <w:p w:rsidR="00111F01" w:rsidRPr="00440ACC" w:rsidRDefault="00111F01">
            <w:pPr>
              <w:jc w:val="center"/>
              <w:rPr>
                <w:rFonts w:ascii="Calibri" w:hAnsi="Calibri" w:cs="Calibri"/>
                <w:color w:val="000000"/>
                <w:sz w:val="17"/>
                <w:szCs w:val="17"/>
              </w:rPr>
            </w:pPr>
            <w:r w:rsidRPr="00440ACC">
              <w:rPr>
                <w:rFonts w:ascii="Calibri" w:hAnsi="Calibri" w:cs="Calibri"/>
                <w:color w:val="000000"/>
                <w:sz w:val="17"/>
                <w:szCs w:val="17"/>
              </w:rPr>
              <w:t>2017</w:t>
            </w:r>
          </w:p>
        </w:tc>
        <w:tc>
          <w:tcPr>
            <w:tcW w:w="709" w:type="dxa"/>
            <w:tcBorders>
              <w:top w:val="single" w:sz="4" w:space="0" w:color="auto"/>
              <w:left w:val="nil"/>
              <w:bottom w:val="single" w:sz="4" w:space="0" w:color="auto"/>
              <w:right w:val="single" w:sz="4" w:space="0" w:color="auto"/>
            </w:tcBorders>
            <w:shd w:val="clear" w:color="D6A100" w:fill="FFC000"/>
            <w:noWrap/>
            <w:vAlign w:val="bottom"/>
            <w:hideMark/>
          </w:tcPr>
          <w:p w:rsidR="00111F01" w:rsidRPr="00440ACC" w:rsidRDefault="00111F01">
            <w:pPr>
              <w:jc w:val="center"/>
              <w:rPr>
                <w:rFonts w:ascii="Calibri" w:hAnsi="Calibri" w:cs="Calibri"/>
                <w:color w:val="000000"/>
                <w:sz w:val="17"/>
                <w:szCs w:val="17"/>
              </w:rPr>
            </w:pPr>
            <w:r w:rsidRPr="00440ACC">
              <w:rPr>
                <w:rFonts w:ascii="Calibri" w:hAnsi="Calibri" w:cs="Calibri"/>
                <w:color w:val="000000"/>
                <w:sz w:val="17"/>
                <w:szCs w:val="17"/>
              </w:rPr>
              <w:t>2018</w:t>
            </w:r>
          </w:p>
        </w:tc>
        <w:tc>
          <w:tcPr>
            <w:tcW w:w="709" w:type="dxa"/>
            <w:tcBorders>
              <w:top w:val="single" w:sz="4" w:space="0" w:color="auto"/>
              <w:left w:val="nil"/>
              <w:bottom w:val="single" w:sz="4" w:space="0" w:color="auto"/>
              <w:right w:val="single" w:sz="4" w:space="0" w:color="auto"/>
            </w:tcBorders>
            <w:shd w:val="clear" w:color="D6A100" w:fill="FFC000"/>
            <w:noWrap/>
            <w:vAlign w:val="bottom"/>
            <w:hideMark/>
          </w:tcPr>
          <w:p w:rsidR="00111F01" w:rsidRPr="00440ACC" w:rsidRDefault="00111F01">
            <w:pPr>
              <w:jc w:val="center"/>
              <w:rPr>
                <w:rFonts w:ascii="Calibri" w:hAnsi="Calibri" w:cs="Calibri"/>
                <w:color w:val="000000"/>
                <w:sz w:val="17"/>
                <w:szCs w:val="17"/>
              </w:rPr>
            </w:pPr>
            <w:r w:rsidRPr="00440ACC">
              <w:rPr>
                <w:rFonts w:ascii="Calibri" w:hAnsi="Calibri" w:cs="Calibri"/>
                <w:color w:val="000000"/>
                <w:sz w:val="17"/>
                <w:szCs w:val="17"/>
              </w:rPr>
              <w:t>2019</w:t>
            </w:r>
          </w:p>
        </w:tc>
        <w:tc>
          <w:tcPr>
            <w:tcW w:w="709" w:type="dxa"/>
            <w:tcBorders>
              <w:top w:val="single" w:sz="4" w:space="0" w:color="auto"/>
              <w:left w:val="nil"/>
              <w:bottom w:val="single" w:sz="4" w:space="0" w:color="auto"/>
              <w:right w:val="single" w:sz="4" w:space="0" w:color="auto"/>
            </w:tcBorders>
            <w:shd w:val="clear" w:color="D6A100" w:fill="FFC000"/>
            <w:noWrap/>
            <w:vAlign w:val="bottom"/>
            <w:hideMark/>
          </w:tcPr>
          <w:p w:rsidR="00111F01" w:rsidRPr="00440ACC" w:rsidRDefault="00111F01">
            <w:pPr>
              <w:jc w:val="center"/>
              <w:rPr>
                <w:rFonts w:ascii="Calibri" w:hAnsi="Calibri" w:cs="Calibri"/>
                <w:color w:val="000000"/>
                <w:sz w:val="17"/>
                <w:szCs w:val="17"/>
              </w:rPr>
            </w:pPr>
            <w:r w:rsidRPr="00440ACC">
              <w:rPr>
                <w:rFonts w:ascii="Calibri" w:hAnsi="Calibri" w:cs="Calibri"/>
                <w:color w:val="000000"/>
                <w:sz w:val="17"/>
                <w:szCs w:val="17"/>
              </w:rPr>
              <w:t>2020</w:t>
            </w:r>
          </w:p>
        </w:tc>
        <w:tc>
          <w:tcPr>
            <w:tcW w:w="708" w:type="dxa"/>
            <w:tcBorders>
              <w:top w:val="single" w:sz="4" w:space="0" w:color="auto"/>
              <w:left w:val="nil"/>
              <w:bottom w:val="single" w:sz="4" w:space="0" w:color="auto"/>
              <w:right w:val="single" w:sz="4" w:space="0" w:color="auto"/>
            </w:tcBorders>
            <w:shd w:val="clear" w:color="D6A100" w:fill="FFC000"/>
            <w:noWrap/>
            <w:vAlign w:val="bottom"/>
            <w:hideMark/>
          </w:tcPr>
          <w:p w:rsidR="00111F01" w:rsidRPr="00440ACC" w:rsidRDefault="00111F01">
            <w:pPr>
              <w:jc w:val="center"/>
              <w:rPr>
                <w:rFonts w:ascii="Calibri" w:hAnsi="Calibri" w:cs="Calibri"/>
                <w:color w:val="000000"/>
                <w:sz w:val="17"/>
                <w:szCs w:val="17"/>
              </w:rPr>
            </w:pPr>
            <w:r w:rsidRPr="00440ACC">
              <w:rPr>
                <w:rFonts w:ascii="Calibri" w:hAnsi="Calibri" w:cs="Calibri"/>
                <w:color w:val="000000"/>
                <w:sz w:val="17"/>
                <w:szCs w:val="17"/>
              </w:rPr>
              <w:t>2021</w:t>
            </w:r>
          </w:p>
        </w:tc>
        <w:tc>
          <w:tcPr>
            <w:tcW w:w="709" w:type="dxa"/>
            <w:tcBorders>
              <w:top w:val="single" w:sz="4" w:space="0" w:color="auto"/>
              <w:left w:val="nil"/>
              <w:bottom w:val="single" w:sz="4" w:space="0" w:color="auto"/>
              <w:right w:val="single" w:sz="4" w:space="0" w:color="auto"/>
            </w:tcBorders>
            <w:shd w:val="clear" w:color="D6A100" w:fill="FFC000"/>
            <w:noWrap/>
            <w:vAlign w:val="bottom"/>
            <w:hideMark/>
          </w:tcPr>
          <w:p w:rsidR="00111F01" w:rsidRPr="00440ACC" w:rsidRDefault="00111F01">
            <w:pPr>
              <w:jc w:val="center"/>
              <w:rPr>
                <w:rFonts w:ascii="Calibri" w:hAnsi="Calibri" w:cs="Calibri"/>
                <w:color w:val="000000"/>
                <w:sz w:val="17"/>
                <w:szCs w:val="17"/>
              </w:rPr>
            </w:pPr>
            <w:r w:rsidRPr="00440ACC">
              <w:rPr>
                <w:rFonts w:ascii="Calibri" w:hAnsi="Calibri" w:cs="Calibri"/>
                <w:color w:val="000000"/>
                <w:sz w:val="17"/>
                <w:szCs w:val="17"/>
              </w:rPr>
              <w:t>2022</w:t>
            </w:r>
          </w:p>
        </w:tc>
      </w:tr>
      <w:tr w:rsidR="00440ACC" w:rsidRPr="00440ACC" w:rsidTr="00440ACC">
        <w:trPr>
          <w:trHeight w:val="300"/>
        </w:trPr>
        <w:tc>
          <w:tcPr>
            <w:tcW w:w="2972" w:type="dxa"/>
            <w:tcBorders>
              <w:top w:val="nil"/>
              <w:left w:val="single" w:sz="4" w:space="0" w:color="auto"/>
              <w:bottom w:val="single" w:sz="4" w:space="0" w:color="auto"/>
              <w:right w:val="single" w:sz="4" w:space="0" w:color="auto"/>
            </w:tcBorders>
            <w:shd w:val="clear" w:color="FCD5B4" w:fill="FFE699"/>
            <w:noWrap/>
            <w:vAlign w:val="bottom"/>
            <w:hideMark/>
          </w:tcPr>
          <w:p w:rsidR="00111F01" w:rsidRPr="00440ACC" w:rsidRDefault="00111F01">
            <w:pPr>
              <w:rPr>
                <w:rFonts w:ascii="Calibri" w:hAnsi="Calibri" w:cs="Calibri"/>
                <w:color w:val="000000"/>
                <w:sz w:val="17"/>
                <w:szCs w:val="17"/>
              </w:rPr>
            </w:pPr>
            <w:r w:rsidRPr="00440ACC">
              <w:rPr>
                <w:rFonts w:ascii="Calibri" w:hAnsi="Calibri" w:cs="Calibri"/>
                <w:color w:val="000000"/>
                <w:sz w:val="17"/>
                <w:szCs w:val="17"/>
              </w:rPr>
              <w:t>Daňové příjmy celkem</w:t>
            </w:r>
          </w:p>
        </w:tc>
        <w:tc>
          <w:tcPr>
            <w:tcW w:w="709" w:type="dxa"/>
            <w:tcBorders>
              <w:top w:val="nil"/>
              <w:left w:val="nil"/>
              <w:bottom w:val="single" w:sz="4" w:space="0" w:color="auto"/>
              <w:right w:val="single" w:sz="4" w:space="0" w:color="auto"/>
            </w:tcBorders>
            <w:shd w:val="clear" w:color="FCD5B4" w:fill="FFE699"/>
            <w:noWrap/>
            <w:vAlign w:val="bottom"/>
            <w:hideMark/>
          </w:tcPr>
          <w:p w:rsidR="00111F01" w:rsidRPr="00440ACC" w:rsidRDefault="00111F01">
            <w:pPr>
              <w:jc w:val="right"/>
              <w:rPr>
                <w:rFonts w:ascii="Calibri" w:hAnsi="Calibri" w:cs="Calibri"/>
                <w:b/>
                <w:bCs/>
                <w:color w:val="000000"/>
                <w:sz w:val="17"/>
                <w:szCs w:val="17"/>
              </w:rPr>
            </w:pPr>
            <w:r w:rsidRPr="00440ACC">
              <w:rPr>
                <w:rFonts w:ascii="Calibri" w:hAnsi="Calibri" w:cs="Calibri"/>
                <w:b/>
                <w:bCs/>
                <w:color w:val="000000"/>
                <w:sz w:val="17"/>
                <w:szCs w:val="17"/>
              </w:rPr>
              <w:t>603 971</w:t>
            </w:r>
          </w:p>
        </w:tc>
        <w:tc>
          <w:tcPr>
            <w:tcW w:w="709" w:type="dxa"/>
            <w:tcBorders>
              <w:top w:val="nil"/>
              <w:left w:val="nil"/>
              <w:bottom w:val="single" w:sz="4" w:space="0" w:color="auto"/>
              <w:right w:val="single" w:sz="4" w:space="0" w:color="auto"/>
            </w:tcBorders>
            <w:shd w:val="clear" w:color="FCD5B4" w:fill="FFE699"/>
            <w:noWrap/>
            <w:vAlign w:val="bottom"/>
            <w:hideMark/>
          </w:tcPr>
          <w:p w:rsidR="00111F01" w:rsidRPr="00440ACC" w:rsidRDefault="00111F01">
            <w:pPr>
              <w:jc w:val="right"/>
              <w:rPr>
                <w:rFonts w:ascii="Calibri" w:hAnsi="Calibri" w:cs="Calibri"/>
                <w:b/>
                <w:bCs/>
                <w:color w:val="000000"/>
                <w:sz w:val="17"/>
                <w:szCs w:val="17"/>
              </w:rPr>
            </w:pPr>
            <w:r w:rsidRPr="00440ACC">
              <w:rPr>
                <w:rFonts w:ascii="Calibri" w:hAnsi="Calibri" w:cs="Calibri"/>
                <w:b/>
                <w:bCs/>
                <w:color w:val="000000"/>
                <w:sz w:val="17"/>
                <w:szCs w:val="17"/>
              </w:rPr>
              <w:t>653 906</w:t>
            </w:r>
          </w:p>
        </w:tc>
        <w:tc>
          <w:tcPr>
            <w:tcW w:w="708" w:type="dxa"/>
            <w:tcBorders>
              <w:top w:val="nil"/>
              <w:left w:val="nil"/>
              <w:bottom w:val="single" w:sz="4" w:space="0" w:color="auto"/>
              <w:right w:val="single" w:sz="4" w:space="0" w:color="auto"/>
            </w:tcBorders>
            <w:shd w:val="clear" w:color="FCD5B4" w:fill="FFE699"/>
            <w:noWrap/>
            <w:vAlign w:val="bottom"/>
            <w:hideMark/>
          </w:tcPr>
          <w:p w:rsidR="00111F01" w:rsidRPr="00440ACC" w:rsidRDefault="00111F01">
            <w:pPr>
              <w:jc w:val="right"/>
              <w:rPr>
                <w:rFonts w:ascii="Calibri" w:hAnsi="Calibri" w:cs="Calibri"/>
                <w:b/>
                <w:bCs/>
                <w:color w:val="000000"/>
                <w:sz w:val="17"/>
                <w:szCs w:val="17"/>
              </w:rPr>
            </w:pPr>
            <w:r w:rsidRPr="00440ACC">
              <w:rPr>
                <w:rFonts w:ascii="Calibri" w:hAnsi="Calibri" w:cs="Calibri"/>
                <w:b/>
                <w:bCs/>
                <w:color w:val="000000"/>
                <w:sz w:val="17"/>
                <w:szCs w:val="17"/>
              </w:rPr>
              <w:t>712 548</w:t>
            </w:r>
          </w:p>
        </w:tc>
        <w:tc>
          <w:tcPr>
            <w:tcW w:w="709" w:type="dxa"/>
            <w:tcBorders>
              <w:top w:val="nil"/>
              <w:left w:val="nil"/>
              <w:bottom w:val="single" w:sz="4" w:space="0" w:color="auto"/>
              <w:right w:val="single" w:sz="4" w:space="0" w:color="auto"/>
            </w:tcBorders>
            <w:shd w:val="clear" w:color="FCD5B4" w:fill="FFE699"/>
            <w:noWrap/>
            <w:vAlign w:val="bottom"/>
            <w:hideMark/>
          </w:tcPr>
          <w:p w:rsidR="00111F01" w:rsidRPr="00440ACC" w:rsidRDefault="00111F01">
            <w:pPr>
              <w:jc w:val="right"/>
              <w:rPr>
                <w:rFonts w:ascii="Calibri" w:hAnsi="Calibri" w:cs="Calibri"/>
                <w:b/>
                <w:bCs/>
                <w:color w:val="000000"/>
                <w:sz w:val="17"/>
                <w:szCs w:val="17"/>
              </w:rPr>
            </w:pPr>
            <w:r w:rsidRPr="00440ACC">
              <w:rPr>
                <w:rFonts w:ascii="Calibri" w:hAnsi="Calibri" w:cs="Calibri"/>
                <w:b/>
                <w:bCs/>
                <w:color w:val="000000"/>
                <w:sz w:val="17"/>
                <w:szCs w:val="17"/>
              </w:rPr>
              <w:t>768 810</w:t>
            </w:r>
          </w:p>
        </w:tc>
        <w:tc>
          <w:tcPr>
            <w:tcW w:w="709" w:type="dxa"/>
            <w:tcBorders>
              <w:top w:val="nil"/>
              <w:left w:val="nil"/>
              <w:bottom w:val="single" w:sz="4" w:space="0" w:color="auto"/>
              <w:right w:val="single" w:sz="4" w:space="0" w:color="auto"/>
            </w:tcBorders>
            <w:shd w:val="clear" w:color="FCD5B4" w:fill="FFE699"/>
            <w:noWrap/>
            <w:vAlign w:val="bottom"/>
            <w:hideMark/>
          </w:tcPr>
          <w:p w:rsidR="00111F01" w:rsidRPr="00440ACC" w:rsidRDefault="00111F01">
            <w:pPr>
              <w:jc w:val="right"/>
              <w:rPr>
                <w:rFonts w:ascii="Calibri" w:hAnsi="Calibri" w:cs="Calibri"/>
                <w:b/>
                <w:bCs/>
                <w:color w:val="000000"/>
                <w:sz w:val="17"/>
                <w:szCs w:val="17"/>
              </w:rPr>
            </w:pPr>
            <w:r w:rsidRPr="00440ACC">
              <w:rPr>
                <w:rFonts w:ascii="Calibri" w:hAnsi="Calibri" w:cs="Calibri"/>
                <w:b/>
                <w:bCs/>
                <w:color w:val="000000"/>
                <w:sz w:val="17"/>
                <w:szCs w:val="17"/>
              </w:rPr>
              <w:t>820 132</w:t>
            </w:r>
          </w:p>
        </w:tc>
        <w:tc>
          <w:tcPr>
            <w:tcW w:w="709" w:type="dxa"/>
            <w:tcBorders>
              <w:top w:val="nil"/>
              <w:left w:val="nil"/>
              <w:bottom w:val="single" w:sz="4" w:space="0" w:color="auto"/>
              <w:right w:val="single" w:sz="4" w:space="0" w:color="auto"/>
            </w:tcBorders>
            <w:shd w:val="clear" w:color="FCD5B4" w:fill="FFE699"/>
            <w:noWrap/>
            <w:vAlign w:val="bottom"/>
            <w:hideMark/>
          </w:tcPr>
          <w:p w:rsidR="00111F01" w:rsidRPr="00440ACC" w:rsidRDefault="00111F01">
            <w:pPr>
              <w:jc w:val="right"/>
              <w:rPr>
                <w:rFonts w:ascii="Calibri" w:hAnsi="Calibri" w:cs="Calibri"/>
                <w:b/>
                <w:bCs/>
                <w:color w:val="000000"/>
                <w:sz w:val="17"/>
                <w:szCs w:val="17"/>
              </w:rPr>
            </w:pPr>
            <w:r w:rsidRPr="00440ACC">
              <w:rPr>
                <w:rFonts w:ascii="Calibri" w:hAnsi="Calibri" w:cs="Calibri"/>
                <w:b/>
                <w:bCs/>
                <w:color w:val="000000"/>
                <w:sz w:val="17"/>
                <w:szCs w:val="17"/>
              </w:rPr>
              <w:t>767 090</w:t>
            </w:r>
          </w:p>
        </w:tc>
        <w:tc>
          <w:tcPr>
            <w:tcW w:w="708" w:type="dxa"/>
            <w:tcBorders>
              <w:top w:val="nil"/>
              <w:left w:val="nil"/>
              <w:bottom w:val="single" w:sz="4" w:space="0" w:color="auto"/>
              <w:right w:val="single" w:sz="4" w:space="0" w:color="auto"/>
            </w:tcBorders>
            <w:shd w:val="clear" w:color="FCD5B4" w:fill="FFE699"/>
            <w:noWrap/>
            <w:vAlign w:val="bottom"/>
            <w:hideMark/>
          </w:tcPr>
          <w:p w:rsidR="00111F01" w:rsidRPr="00440ACC" w:rsidRDefault="00111F01">
            <w:pPr>
              <w:jc w:val="right"/>
              <w:rPr>
                <w:rFonts w:ascii="Calibri" w:hAnsi="Calibri" w:cs="Calibri"/>
                <w:b/>
                <w:bCs/>
                <w:color w:val="000000"/>
                <w:sz w:val="17"/>
                <w:szCs w:val="17"/>
              </w:rPr>
            </w:pPr>
            <w:r w:rsidRPr="00440ACC">
              <w:rPr>
                <w:rFonts w:ascii="Calibri" w:hAnsi="Calibri" w:cs="Calibri"/>
                <w:b/>
                <w:bCs/>
                <w:color w:val="000000"/>
                <w:sz w:val="17"/>
                <w:szCs w:val="17"/>
              </w:rPr>
              <w:t>829 114</w:t>
            </w:r>
          </w:p>
        </w:tc>
        <w:tc>
          <w:tcPr>
            <w:tcW w:w="709" w:type="dxa"/>
            <w:tcBorders>
              <w:top w:val="nil"/>
              <w:left w:val="nil"/>
              <w:bottom w:val="single" w:sz="4" w:space="0" w:color="auto"/>
              <w:right w:val="single" w:sz="4" w:space="0" w:color="auto"/>
            </w:tcBorders>
            <w:shd w:val="clear" w:color="FCD5B4" w:fill="FFE699"/>
            <w:noWrap/>
            <w:vAlign w:val="bottom"/>
            <w:hideMark/>
          </w:tcPr>
          <w:p w:rsidR="00111F01" w:rsidRPr="00440ACC" w:rsidRDefault="00111F01">
            <w:pPr>
              <w:jc w:val="right"/>
              <w:rPr>
                <w:rFonts w:ascii="Calibri" w:hAnsi="Calibri" w:cs="Calibri"/>
                <w:b/>
                <w:bCs/>
                <w:color w:val="000000"/>
                <w:sz w:val="17"/>
                <w:szCs w:val="17"/>
              </w:rPr>
            </w:pPr>
            <w:r w:rsidRPr="00440ACC">
              <w:rPr>
                <w:rFonts w:ascii="Calibri" w:hAnsi="Calibri" w:cs="Calibri"/>
                <w:b/>
                <w:bCs/>
                <w:color w:val="000000"/>
                <w:sz w:val="17"/>
                <w:szCs w:val="17"/>
              </w:rPr>
              <w:t>982 699</w:t>
            </w:r>
          </w:p>
        </w:tc>
      </w:tr>
      <w:tr w:rsidR="00440ACC" w:rsidRPr="00440ACC" w:rsidTr="00440ACC">
        <w:trPr>
          <w:trHeight w:val="300"/>
        </w:trPr>
        <w:tc>
          <w:tcPr>
            <w:tcW w:w="2972" w:type="dxa"/>
            <w:tcBorders>
              <w:top w:val="nil"/>
              <w:left w:val="single" w:sz="4" w:space="0" w:color="auto"/>
              <w:bottom w:val="single" w:sz="4" w:space="0" w:color="auto"/>
              <w:right w:val="single" w:sz="4" w:space="0" w:color="auto"/>
            </w:tcBorders>
            <w:shd w:val="clear" w:color="FDE9D9" w:fill="FFF2CC"/>
            <w:noWrap/>
            <w:vAlign w:val="bottom"/>
            <w:hideMark/>
          </w:tcPr>
          <w:p w:rsidR="00111F01" w:rsidRPr="00440ACC" w:rsidRDefault="00111F01">
            <w:pPr>
              <w:rPr>
                <w:rFonts w:ascii="Calibri" w:hAnsi="Calibri" w:cs="Calibri"/>
                <w:color w:val="000000"/>
                <w:sz w:val="17"/>
                <w:szCs w:val="17"/>
              </w:rPr>
            </w:pPr>
            <w:r w:rsidRPr="00440ACC">
              <w:rPr>
                <w:rFonts w:ascii="Calibri" w:hAnsi="Calibri" w:cs="Calibri"/>
                <w:color w:val="000000"/>
                <w:sz w:val="17"/>
                <w:szCs w:val="17"/>
              </w:rPr>
              <w:t>Meziroční změna absolutně</w:t>
            </w:r>
          </w:p>
        </w:tc>
        <w:tc>
          <w:tcPr>
            <w:tcW w:w="709" w:type="dxa"/>
            <w:tcBorders>
              <w:top w:val="nil"/>
              <w:left w:val="nil"/>
              <w:bottom w:val="single" w:sz="4" w:space="0" w:color="auto"/>
              <w:right w:val="single" w:sz="4" w:space="0" w:color="auto"/>
            </w:tcBorders>
            <w:shd w:val="clear" w:color="FDE9D9" w:fill="FFF2CC"/>
            <w:noWrap/>
            <w:vAlign w:val="bottom"/>
            <w:hideMark/>
          </w:tcPr>
          <w:p w:rsidR="00111F01" w:rsidRPr="00440ACC" w:rsidRDefault="00111F01">
            <w:pPr>
              <w:jc w:val="right"/>
              <w:rPr>
                <w:rFonts w:ascii="Calibri" w:hAnsi="Calibri" w:cs="Calibri"/>
                <w:color w:val="000000"/>
                <w:sz w:val="17"/>
                <w:szCs w:val="17"/>
              </w:rPr>
            </w:pPr>
            <w:r w:rsidRPr="00440ACC">
              <w:rPr>
                <w:rFonts w:ascii="Calibri" w:hAnsi="Calibri" w:cs="Calibri"/>
                <w:color w:val="000000"/>
                <w:sz w:val="17"/>
                <w:szCs w:val="17"/>
              </w:rPr>
              <w:t>12 778</w:t>
            </w:r>
          </w:p>
        </w:tc>
        <w:tc>
          <w:tcPr>
            <w:tcW w:w="709" w:type="dxa"/>
            <w:tcBorders>
              <w:top w:val="nil"/>
              <w:left w:val="nil"/>
              <w:bottom w:val="single" w:sz="4" w:space="0" w:color="auto"/>
              <w:right w:val="single" w:sz="4" w:space="0" w:color="auto"/>
            </w:tcBorders>
            <w:shd w:val="clear" w:color="FDE9D9" w:fill="FFF2CC"/>
            <w:noWrap/>
            <w:vAlign w:val="bottom"/>
            <w:hideMark/>
          </w:tcPr>
          <w:p w:rsidR="00111F01" w:rsidRPr="00440ACC" w:rsidRDefault="00111F01">
            <w:pPr>
              <w:jc w:val="right"/>
              <w:rPr>
                <w:rFonts w:ascii="Calibri" w:hAnsi="Calibri" w:cs="Calibri"/>
                <w:color w:val="000000"/>
                <w:sz w:val="17"/>
                <w:szCs w:val="17"/>
              </w:rPr>
            </w:pPr>
            <w:r w:rsidRPr="00440ACC">
              <w:rPr>
                <w:rFonts w:ascii="Calibri" w:hAnsi="Calibri" w:cs="Calibri"/>
                <w:color w:val="000000"/>
                <w:sz w:val="17"/>
                <w:szCs w:val="17"/>
              </w:rPr>
              <w:t>49 935</w:t>
            </w:r>
          </w:p>
        </w:tc>
        <w:tc>
          <w:tcPr>
            <w:tcW w:w="708" w:type="dxa"/>
            <w:tcBorders>
              <w:top w:val="nil"/>
              <w:left w:val="nil"/>
              <w:bottom w:val="single" w:sz="4" w:space="0" w:color="auto"/>
              <w:right w:val="single" w:sz="4" w:space="0" w:color="auto"/>
            </w:tcBorders>
            <w:shd w:val="clear" w:color="FDE9D9" w:fill="FFF2CC"/>
            <w:noWrap/>
            <w:vAlign w:val="bottom"/>
            <w:hideMark/>
          </w:tcPr>
          <w:p w:rsidR="00111F01" w:rsidRPr="00440ACC" w:rsidRDefault="00111F01">
            <w:pPr>
              <w:jc w:val="right"/>
              <w:rPr>
                <w:rFonts w:ascii="Calibri" w:hAnsi="Calibri" w:cs="Calibri"/>
                <w:color w:val="000000"/>
                <w:sz w:val="17"/>
                <w:szCs w:val="17"/>
              </w:rPr>
            </w:pPr>
            <w:r w:rsidRPr="00440ACC">
              <w:rPr>
                <w:rFonts w:ascii="Calibri" w:hAnsi="Calibri" w:cs="Calibri"/>
                <w:color w:val="000000"/>
                <w:sz w:val="17"/>
                <w:szCs w:val="17"/>
              </w:rPr>
              <w:t>58 642</w:t>
            </w:r>
          </w:p>
        </w:tc>
        <w:tc>
          <w:tcPr>
            <w:tcW w:w="709" w:type="dxa"/>
            <w:tcBorders>
              <w:top w:val="nil"/>
              <w:left w:val="nil"/>
              <w:bottom w:val="single" w:sz="4" w:space="0" w:color="auto"/>
              <w:right w:val="single" w:sz="4" w:space="0" w:color="auto"/>
            </w:tcBorders>
            <w:shd w:val="clear" w:color="FDE9D9" w:fill="FFF2CC"/>
            <w:noWrap/>
            <w:vAlign w:val="bottom"/>
            <w:hideMark/>
          </w:tcPr>
          <w:p w:rsidR="00111F01" w:rsidRPr="00440ACC" w:rsidRDefault="00111F01">
            <w:pPr>
              <w:jc w:val="right"/>
              <w:rPr>
                <w:rFonts w:ascii="Calibri" w:hAnsi="Calibri" w:cs="Calibri"/>
                <w:color w:val="000000"/>
                <w:sz w:val="17"/>
                <w:szCs w:val="17"/>
              </w:rPr>
            </w:pPr>
            <w:r w:rsidRPr="00440ACC">
              <w:rPr>
                <w:rFonts w:ascii="Calibri" w:hAnsi="Calibri" w:cs="Calibri"/>
                <w:color w:val="000000"/>
                <w:sz w:val="17"/>
                <w:szCs w:val="17"/>
              </w:rPr>
              <w:t>56 262</w:t>
            </w:r>
          </w:p>
        </w:tc>
        <w:tc>
          <w:tcPr>
            <w:tcW w:w="709" w:type="dxa"/>
            <w:tcBorders>
              <w:top w:val="nil"/>
              <w:left w:val="nil"/>
              <w:bottom w:val="single" w:sz="4" w:space="0" w:color="auto"/>
              <w:right w:val="single" w:sz="4" w:space="0" w:color="auto"/>
            </w:tcBorders>
            <w:shd w:val="clear" w:color="FDE9D9" w:fill="FFF2CC"/>
            <w:noWrap/>
            <w:vAlign w:val="bottom"/>
            <w:hideMark/>
          </w:tcPr>
          <w:p w:rsidR="00111F01" w:rsidRPr="00440ACC" w:rsidRDefault="00111F01">
            <w:pPr>
              <w:jc w:val="right"/>
              <w:rPr>
                <w:rFonts w:ascii="Calibri" w:hAnsi="Calibri" w:cs="Calibri"/>
                <w:color w:val="000000"/>
                <w:sz w:val="17"/>
                <w:szCs w:val="17"/>
              </w:rPr>
            </w:pPr>
            <w:r w:rsidRPr="00440ACC">
              <w:rPr>
                <w:rFonts w:ascii="Calibri" w:hAnsi="Calibri" w:cs="Calibri"/>
                <w:color w:val="000000"/>
                <w:sz w:val="17"/>
                <w:szCs w:val="17"/>
              </w:rPr>
              <w:t>51 322</w:t>
            </w:r>
          </w:p>
        </w:tc>
        <w:tc>
          <w:tcPr>
            <w:tcW w:w="709" w:type="dxa"/>
            <w:tcBorders>
              <w:top w:val="nil"/>
              <w:left w:val="nil"/>
              <w:bottom w:val="single" w:sz="4" w:space="0" w:color="auto"/>
              <w:right w:val="single" w:sz="4" w:space="0" w:color="auto"/>
            </w:tcBorders>
            <w:shd w:val="clear" w:color="FDE9D9" w:fill="FFF2CC"/>
            <w:noWrap/>
            <w:vAlign w:val="bottom"/>
            <w:hideMark/>
          </w:tcPr>
          <w:p w:rsidR="00111F01" w:rsidRPr="00440ACC" w:rsidRDefault="00111F01">
            <w:pPr>
              <w:jc w:val="right"/>
              <w:rPr>
                <w:rFonts w:ascii="Calibri" w:hAnsi="Calibri" w:cs="Calibri"/>
                <w:color w:val="000000"/>
                <w:sz w:val="17"/>
                <w:szCs w:val="17"/>
              </w:rPr>
            </w:pPr>
            <w:r w:rsidRPr="00440ACC">
              <w:rPr>
                <w:rFonts w:ascii="Calibri" w:hAnsi="Calibri" w:cs="Calibri"/>
                <w:color w:val="000000"/>
                <w:sz w:val="17"/>
                <w:szCs w:val="17"/>
              </w:rPr>
              <w:t>-53 042</w:t>
            </w:r>
          </w:p>
        </w:tc>
        <w:tc>
          <w:tcPr>
            <w:tcW w:w="708" w:type="dxa"/>
            <w:tcBorders>
              <w:top w:val="nil"/>
              <w:left w:val="nil"/>
              <w:bottom w:val="single" w:sz="4" w:space="0" w:color="auto"/>
              <w:right w:val="single" w:sz="4" w:space="0" w:color="auto"/>
            </w:tcBorders>
            <w:shd w:val="clear" w:color="FDE9D9" w:fill="FFF2CC"/>
            <w:noWrap/>
            <w:vAlign w:val="bottom"/>
            <w:hideMark/>
          </w:tcPr>
          <w:p w:rsidR="00111F01" w:rsidRPr="00440ACC" w:rsidRDefault="00111F01">
            <w:pPr>
              <w:jc w:val="right"/>
              <w:rPr>
                <w:rFonts w:ascii="Calibri" w:hAnsi="Calibri" w:cs="Calibri"/>
                <w:color w:val="000000"/>
                <w:sz w:val="17"/>
                <w:szCs w:val="17"/>
              </w:rPr>
            </w:pPr>
            <w:r w:rsidRPr="00440ACC">
              <w:rPr>
                <w:rFonts w:ascii="Calibri" w:hAnsi="Calibri" w:cs="Calibri"/>
                <w:color w:val="000000"/>
                <w:sz w:val="17"/>
                <w:szCs w:val="17"/>
              </w:rPr>
              <w:t>62 024</w:t>
            </w:r>
          </w:p>
        </w:tc>
        <w:tc>
          <w:tcPr>
            <w:tcW w:w="709" w:type="dxa"/>
            <w:tcBorders>
              <w:top w:val="nil"/>
              <w:left w:val="nil"/>
              <w:bottom w:val="single" w:sz="4" w:space="0" w:color="auto"/>
              <w:right w:val="single" w:sz="4" w:space="0" w:color="auto"/>
            </w:tcBorders>
            <w:shd w:val="clear" w:color="FDE9D9" w:fill="FFF2CC"/>
            <w:noWrap/>
            <w:vAlign w:val="bottom"/>
            <w:hideMark/>
          </w:tcPr>
          <w:p w:rsidR="00111F01" w:rsidRPr="00440ACC" w:rsidRDefault="00111F01">
            <w:pPr>
              <w:jc w:val="right"/>
              <w:rPr>
                <w:rFonts w:ascii="Calibri" w:hAnsi="Calibri" w:cs="Calibri"/>
                <w:color w:val="000000"/>
                <w:sz w:val="17"/>
                <w:szCs w:val="17"/>
              </w:rPr>
            </w:pPr>
            <w:r w:rsidRPr="00440ACC">
              <w:rPr>
                <w:rFonts w:ascii="Calibri" w:hAnsi="Calibri" w:cs="Calibri"/>
                <w:color w:val="000000"/>
                <w:sz w:val="17"/>
                <w:szCs w:val="17"/>
              </w:rPr>
              <w:t>153 586</w:t>
            </w:r>
          </w:p>
        </w:tc>
      </w:tr>
      <w:tr w:rsidR="00440ACC" w:rsidRPr="00440ACC" w:rsidTr="00440ACC">
        <w:trPr>
          <w:trHeight w:val="300"/>
        </w:trPr>
        <w:tc>
          <w:tcPr>
            <w:tcW w:w="2972" w:type="dxa"/>
            <w:tcBorders>
              <w:top w:val="nil"/>
              <w:left w:val="single" w:sz="4" w:space="0" w:color="auto"/>
              <w:bottom w:val="single" w:sz="4" w:space="0" w:color="auto"/>
              <w:right w:val="single" w:sz="4" w:space="0" w:color="auto"/>
            </w:tcBorders>
            <w:shd w:val="clear" w:color="FDE9D9" w:fill="FFF2CC"/>
            <w:noWrap/>
            <w:vAlign w:val="bottom"/>
            <w:hideMark/>
          </w:tcPr>
          <w:p w:rsidR="00111F01" w:rsidRPr="00440ACC" w:rsidRDefault="00111F01">
            <w:pPr>
              <w:rPr>
                <w:rFonts w:ascii="Calibri" w:hAnsi="Calibri" w:cs="Calibri"/>
                <w:color w:val="000000"/>
                <w:sz w:val="17"/>
                <w:szCs w:val="17"/>
              </w:rPr>
            </w:pPr>
            <w:r w:rsidRPr="00440ACC">
              <w:rPr>
                <w:rFonts w:ascii="Calibri" w:hAnsi="Calibri" w:cs="Calibri"/>
                <w:color w:val="000000"/>
                <w:sz w:val="17"/>
                <w:szCs w:val="17"/>
              </w:rPr>
              <w:t>Meziroční změna procentuálně</w:t>
            </w:r>
          </w:p>
        </w:tc>
        <w:tc>
          <w:tcPr>
            <w:tcW w:w="709" w:type="dxa"/>
            <w:tcBorders>
              <w:top w:val="nil"/>
              <w:left w:val="nil"/>
              <w:bottom w:val="single" w:sz="4" w:space="0" w:color="auto"/>
              <w:right w:val="single" w:sz="4" w:space="0" w:color="auto"/>
            </w:tcBorders>
            <w:shd w:val="clear" w:color="FDE9D9" w:fill="FFF2CC"/>
            <w:noWrap/>
            <w:vAlign w:val="bottom"/>
            <w:hideMark/>
          </w:tcPr>
          <w:p w:rsidR="00111F01" w:rsidRPr="00440ACC" w:rsidRDefault="00111F01">
            <w:pPr>
              <w:jc w:val="right"/>
              <w:rPr>
                <w:rFonts w:ascii="Calibri" w:hAnsi="Calibri" w:cs="Calibri"/>
                <w:color w:val="000000"/>
                <w:sz w:val="17"/>
                <w:szCs w:val="17"/>
              </w:rPr>
            </w:pPr>
            <w:r w:rsidRPr="00440ACC">
              <w:rPr>
                <w:rFonts w:ascii="Calibri" w:hAnsi="Calibri" w:cs="Calibri"/>
                <w:color w:val="000000"/>
                <w:sz w:val="17"/>
                <w:szCs w:val="17"/>
              </w:rPr>
              <w:t>2 %</w:t>
            </w:r>
          </w:p>
        </w:tc>
        <w:tc>
          <w:tcPr>
            <w:tcW w:w="709" w:type="dxa"/>
            <w:tcBorders>
              <w:top w:val="nil"/>
              <w:left w:val="nil"/>
              <w:bottom w:val="single" w:sz="4" w:space="0" w:color="auto"/>
              <w:right w:val="single" w:sz="4" w:space="0" w:color="auto"/>
            </w:tcBorders>
            <w:shd w:val="clear" w:color="FDE9D9" w:fill="FFF2CC"/>
            <w:noWrap/>
            <w:vAlign w:val="bottom"/>
            <w:hideMark/>
          </w:tcPr>
          <w:p w:rsidR="00111F01" w:rsidRPr="00440ACC" w:rsidRDefault="00111F01">
            <w:pPr>
              <w:jc w:val="right"/>
              <w:rPr>
                <w:rFonts w:ascii="Calibri" w:hAnsi="Calibri" w:cs="Calibri"/>
                <w:color w:val="000000"/>
                <w:sz w:val="17"/>
                <w:szCs w:val="17"/>
              </w:rPr>
            </w:pPr>
            <w:r w:rsidRPr="00440ACC">
              <w:rPr>
                <w:rFonts w:ascii="Calibri" w:hAnsi="Calibri" w:cs="Calibri"/>
                <w:color w:val="000000"/>
                <w:sz w:val="17"/>
                <w:szCs w:val="17"/>
              </w:rPr>
              <w:t>8 %</w:t>
            </w:r>
          </w:p>
        </w:tc>
        <w:tc>
          <w:tcPr>
            <w:tcW w:w="708" w:type="dxa"/>
            <w:tcBorders>
              <w:top w:val="nil"/>
              <w:left w:val="nil"/>
              <w:bottom w:val="single" w:sz="4" w:space="0" w:color="auto"/>
              <w:right w:val="single" w:sz="4" w:space="0" w:color="auto"/>
            </w:tcBorders>
            <w:shd w:val="clear" w:color="FDE9D9" w:fill="FFF2CC"/>
            <w:noWrap/>
            <w:vAlign w:val="bottom"/>
            <w:hideMark/>
          </w:tcPr>
          <w:p w:rsidR="00111F01" w:rsidRPr="00440ACC" w:rsidRDefault="00111F01">
            <w:pPr>
              <w:jc w:val="right"/>
              <w:rPr>
                <w:rFonts w:ascii="Calibri" w:hAnsi="Calibri" w:cs="Calibri"/>
                <w:color w:val="000000"/>
                <w:sz w:val="17"/>
                <w:szCs w:val="17"/>
              </w:rPr>
            </w:pPr>
            <w:r w:rsidRPr="00440ACC">
              <w:rPr>
                <w:rFonts w:ascii="Calibri" w:hAnsi="Calibri" w:cs="Calibri"/>
                <w:color w:val="000000"/>
                <w:sz w:val="17"/>
                <w:szCs w:val="17"/>
              </w:rPr>
              <w:t>9 %</w:t>
            </w:r>
          </w:p>
        </w:tc>
        <w:tc>
          <w:tcPr>
            <w:tcW w:w="709" w:type="dxa"/>
            <w:tcBorders>
              <w:top w:val="nil"/>
              <w:left w:val="nil"/>
              <w:bottom w:val="single" w:sz="4" w:space="0" w:color="auto"/>
              <w:right w:val="single" w:sz="4" w:space="0" w:color="auto"/>
            </w:tcBorders>
            <w:shd w:val="clear" w:color="FDE9D9" w:fill="FFF2CC"/>
            <w:noWrap/>
            <w:vAlign w:val="bottom"/>
            <w:hideMark/>
          </w:tcPr>
          <w:p w:rsidR="00111F01" w:rsidRPr="00440ACC" w:rsidRDefault="00111F01">
            <w:pPr>
              <w:jc w:val="right"/>
              <w:rPr>
                <w:rFonts w:ascii="Calibri" w:hAnsi="Calibri" w:cs="Calibri"/>
                <w:color w:val="000000"/>
                <w:sz w:val="17"/>
                <w:szCs w:val="17"/>
              </w:rPr>
            </w:pPr>
            <w:r w:rsidRPr="00440ACC">
              <w:rPr>
                <w:rFonts w:ascii="Calibri" w:hAnsi="Calibri" w:cs="Calibri"/>
                <w:color w:val="000000"/>
                <w:sz w:val="17"/>
                <w:szCs w:val="17"/>
              </w:rPr>
              <w:t>8 %</w:t>
            </w:r>
          </w:p>
        </w:tc>
        <w:tc>
          <w:tcPr>
            <w:tcW w:w="709" w:type="dxa"/>
            <w:tcBorders>
              <w:top w:val="nil"/>
              <w:left w:val="nil"/>
              <w:bottom w:val="single" w:sz="4" w:space="0" w:color="auto"/>
              <w:right w:val="single" w:sz="4" w:space="0" w:color="auto"/>
            </w:tcBorders>
            <w:shd w:val="clear" w:color="FDE9D9" w:fill="FFF2CC"/>
            <w:noWrap/>
            <w:vAlign w:val="bottom"/>
            <w:hideMark/>
          </w:tcPr>
          <w:p w:rsidR="00111F01" w:rsidRPr="00440ACC" w:rsidRDefault="00111F01">
            <w:pPr>
              <w:jc w:val="right"/>
              <w:rPr>
                <w:rFonts w:ascii="Calibri" w:hAnsi="Calibri" w:cs="Calibri"/>
                <w:color w:val="000000"/>
                <w:sz w:val="17"/>
                <w:szCs w:val="17"/>
              </w:rPr>
            </w:pPr>
            <w:r w:rsidRPr="00440ACC">
              <w:rPr>
                <w:rFonts w:ascii="Calibri" w:hAnsi="Calibri" w:cs="Calibri"/>
                <w:color w:val="000000"/>
                <w:sz w:val="17"/>
                <w:szCs w:val="17"/>
              </w:rPr>
              <w:t>7 %</w:t>
            </w:r>
          </w:p>
        </w:tc>
        <w:tc>
          <w:tcPr>
            <w:tcW w:w="709" w:type="dxa"/>
            <w:tcBorders>
              <w:top w:val="nil"/>
              <w:left w:val="nil"/>
              <w:bottom w:val="single" w:sz="4" w:space="0" w:color="auto"/>
              <w:right w:val="single" w:sz="4" w:space="0" w:color="auto"/>
            </w:tcBorders>
            <w:shd w:val="clear" w:color="FDE9D9" w:fill="FFF2CC"/>
            <w:noWrap/>
            <w:vAlign w:val="bottom"/>
            <w:hideMark/>
          </w:tcPr>
          <w:p w:rsidR="00111F01" w:rsidRPr="00440ACC" w:rsidRDefault="00111F01">
            <w:pPr>
              <w:jc w:val="right"/>
              <w:rPr>
                <w:rFonts w:ascii="Calibri" w:hAnsi="Calibri" w:cs="Calibri"/>
                <w:color w:val="000000"/>
                <w:sz w:val="17"/>
                <w:szCs w:val="17"/>
              </w:rPr>
            </w:pPr>
            <w:r w:rsidRPr="00440ACC">
              <w:rPr>
                <w:rFonts w:ascii="Calibri" w:hAnsi="Calibri" w:cs="Calibri"/>
                <w:color w:val="000000"/>
                <w:sz w:val="17"/>
                <w:szCs w:val="17"/>
              </w:rPr>
              <w:t>-6 %</w:t>
            </w:r>
          </w:p>
        </w:tc>
        <w:tc>
          <w:tcPr>
            <w:tcW w:w="708" w:type="dxa"/>
            <w:tcBorders>
              <w:top w:val="nil"/>
              <w:left w:val="nil"/>
              <w:bottom w:val="single" w:sz="4" w:space="0" w:color="auto"/>
              <w:right w:val="single" w:sz="4" w:space="0" w:color="auto"/>
            </w:tcBorders>
            <w:shd w:val="clear" w:color="FDE9D9" w:fill="FFF2CC"/>
            <w:noWrap/>
            <w:vAlign w:val="bottom"/>
            <w:hideMark/>
          </w:tcPr>
          <w:p w:rsidR="00111F01" w:rsidRPr="00440ACC" w:rsidRDefault="00111F01">
            <w:pPr>
              <w:jc w:val="right"/>
              <w:rPr>
                <w:rFonts w:ascii="Calibri" w:hAnsi="Calibri" w:cs="Calibri"/>
                <w:color w:val="000000"/>
                <w:sz w:val="17"/>
                <w:szCs w:val="17"/>
              </w:rPr>
            </w:pPr>
            <w:r w:rsidRPr="00440ACC">
              <w:rPr>
                <w:rFonts w:ascii="Calibri" w:hAnsi="Calibri" w:cs="Calibri"/>
                <w:color w:val="000000"/>
                <w:sz w:val="17"/>
                <w:szCs w:val="17"/>
              </w:rPr>
              <w:t>8 %</w:t>
            </w:r>
          </w:p>
        </w:tc>
        <w:tc>
          <w:tcPr>
            <w:tcW w:w="709" w:type="dxa"/>
            <w:tcBorders>
              <w:top w:val="nil"/>
              <w:left w:val="nil"/>
              <w:bottom w:val="single" w:sz="4" w:space="0" w:color="auto"/>
              <w:right w:val="single" w:sz="4" w:space="0" w:color="auto"/>
            </w:tcBorders>
            <w:shd w:val="clear" w:color="FDE9D9" w:fill="FFF2CC"/>
            <w:noWrap/>
            <w:vAlign w:val="bottom"/>
            <w:hideMark/>
          </w:tcPr>
          <w:p w:rsidR="00111F01" w:rsidRPr="00440ACC" w:rsidRDefault="00111F01">
            <w:pPr>
              <w:jc w:val="right"/>
              <w:rPr>
                <w:rFonts w:ascii="Calibri" w:hAnsi="Calibri" w:cs="Calibri"/>
                <w:color w:val="000000"/>
                <w:sz w:val="17"/>
                <w:szCs w:val="17"/>
              </w:rPr>
            </w:pPr>
            <w:r w:rsidRPr="00440ACC">
              <w:rPr>
                <w:rFonts w:ascii="Calibri" w:hAnsi="Calibri" w:cs="Calibri"/>
                <w:color w:val="000000"/>
                <w:sz w:val="17"/>
                <w:szCs w:val="17"/>
              </w:rPr>
              <w:t>19 %</w:t>
            </w:r>
          </w:p>
        </w:tc>
      </w:tr>
      <w:tr w:rsidR="00440ACC" w:rsidRPr="00440ACC" w:rsidTr="00440ACC">
        <w:trPr>
          <w:trHeight w:val="300"/>
        </w:trPr>
        <w:tc>
          <w:tcPr>
            <w:tcW w:w="2972" w:type="dxa"/>
            <w:tcBorders>
              <w:top w:val="nil"/>
              <w:left w:val="single" w:sz="4" w:space="0" w:color="auto"/>
              <w:bottom w:val="single" w:sz="4" w:space="0" w:color="auto"/>
              <w:right w:val="single" w:sz="4" w:space="0" w:color="auto"/>
            </w:tcBorders>
            <w:shd w:val="clear" w:color="FDE9D9" w:fill="FFF2CC"/>
            <w:noWrap/>
            <w:vAlign w:val="bottom"/>
            <w:hideMark/>
          </w:tcPr>
          <w:p w:rsidR="00111F01" w:rsidRPr="00440ACC" w:rsidRDefault="00440ACC">
            <w:pPr>
              <w:rPr>
                <w:rFonts w:ascii="Calibri" w:hAnsi="Calibri" w:cs="Calibri"/>
                <w:color w:val="000000"/>
                <w:sz w:val="17"/>
                <w:szCs w:val="17"/>
              </w:rPr>
            </w:pPr>
            <w:r w:rsidRPr="00440ACC">
              <w:rPr>
                <w:rFonts w:ascii="Calibri" w:hAnsi="Calibri" w:cs="Calibri"/>
                <w:color w:val="000000"/>
                <w:sz w:val="17"/>
                <w:szCs w:val="17"/>
              </w:rPr>
              <w:t>Podíl daň.</w:t>
            </w:r>
            <w:r w:rsidR="00111F01" w:rsidRPr="00440ACC">
              <w:rPr>
                <w:rFonts w:ascii="Calibri" w:hAnsi="Calibri" w:cs="Calibri"/>
                <w:color w:val="000000"/>
                <w:sz w:val="17"/>
                <w:szCs w:val="17"/>
              </w:rPr>
              <w:t xml:space="preserve"> příjmů na celkových příjmech</w:t>
            </w:r>
          </w:p>
        </w:tc>
        <w:tc>
          <w:tcPr>
            <w:tcW w:w="709" w:type="dxa"/>
            <w:tcBorders>
              <w:top w:val="nil"/>
              <w:left w:val="nil"/>
              <w:bottom w:val="single" w:sz="4" w:space="0" w:color="auto"/>
              <w:right w:val="single" w:sz="4" w:space="0" w:color="auto"/>
            </w:tcBorders>
            <w:shd w:val="clear" w:color="FDE9D9" w:fill="FFF2CC"/>
            <w:noWrap/>
            <w:vAlign w:val="bottom"/>
            <w:hideMark/>
          </w:tcPr>
          <w:p w:rsidR="00111F01" w:rsidRPr="00440ACC" w:rsidRDefault="00111F01">
            <w:pPr>
              <w:jc w:val="right"/>
              <w:rPr>
                <w:rFonts w:ascii="Calibri" w:hAnsi="Calibri" w:cs="Calibri"/>
                <w:color w:val="000000"/>
                <w:sz w:val="17"/>
                <w:szCs w:val="17"/>
              </w:rPr>
            </w:pPr>
            <w:r w:rsidRPr="00440ACC">
              <w:rPr>
                <w:rFonts w:ascii="Calibri" w:hAnsi="Calibri" w:cs="Calibri"/>
                <w:color w:val="000000"/>
                <w:sz w:val="17"/>
                <w:szCs w:val="17"/>
              </w:rPr>
              <w:t>71 %</w:t>
            </w:r>
          </w:p>
        </w:tc>
        <w:tc>
          <w:tcPr>
            <w:tcW w:w="709" w:type="dxa"/>
            <w:tcBorders>
              <w:top w:val="nil"/>
              <w:left w:val="nil"/>
              <w:bottom w:val="single" w:sz="4" w:space="0" w:color="auto"/>
              <w:right w:val="single" w:sz="4" w:space="0" w:color="auto"/>
            </w:tcBorders>
            <w:shd w:val="clear" w:color="FDE9D9" w:fill="FFF2CC"/>
            <w:noWrap/>
            <w:vAlign w:val="bottom"/>
            <w:hideMark/>
          </w:tcPr>
          <w:p w:rsidR="00111F01" w:rsidRPr="00440ACC" w:rsidRDefault="00111F01">
            <w:pPr>
              <w:jc w:val="right"/>
              <w:rPr>
                <w:rFonts w:ascii="Calibri" w:hAnsi="Calibri" w:cs="Calibri"/>
                <w:color w:val="000000"/>
                <w:sz w:val="17"/>
                <w:szCs w:val="17"/>
              </w:rPr>
            </w:pPr>
            <w:r w:rsidRPr="00440ACC">
              <w:rPr>
                <w:rFonts w:ascii="Calibri" w:hAnsi="Calibri" w:cs="Calibri"/>
                <w:color w:val="000000"/>
                <w:sz w:val="17"/>
                <w:szCs w:val="17"/>
              </w:rPr>
              <w:t>76 %</w:t>
            </w:r>
          </w:p>
        </w:tc>
        <w:tc>
          <w:tcPr>
            <w:tcW w:w="708" w:type="dxa"/>
            <w:tcBorders>
              <w:top w:val="nil"/>
              <w:left w:val="nil"/>
              <w:bottom w:val="single" w:sz="4" w:space="0" w:color="auto"/>
              <w:right w:val="single" w:sz="4" w:space="0" w:color="auto"/>
            </w:tcBorders>
            <w:shd w:val="clear" w:color="FDE9D9" w:fill="FFF2CC"/>
            <w:noWrap/>
            <w:vAlign w:val="bottom"/>
            <w:hideMark/>
          </w:tcPr>
          <w:p w:rsidR="00111F01" w:rsidRPr="00440ACC" w:rsidRDefault="00111F01">
            <w:pPr>
              <w:jc w:val="right"/>
              <w:rPr>
                <w:rFonts w:ascii="Calibri" w:hAnsi="Calibri" w:cs="Calibri"/>
                <w:color w:val="000000"/>
                <w:sz w:val="17"/>
                <w:szCs w:val="17"/>
              </w:rPr>
            </w:pPr>
            <w:r w:rsidRPr="00440ACC">
              <w:rPr>
                <w:rFonts w:ascii="Calibri" w:hAnsi="Calibri" w:cs="Calibri"/>
                <w:color w:val="000000"/>
                <w:sz w:val="17"/>
                <w:szCs w:val="17"/>
              </w:rPr>
              <w:t>76 %</w:t>
            </w:r>
          </w:p>
        </w:tc>
        <w:tc>
          <w:tcPr>
            <w:tcW w:w="709" w:type="dxa"/>
            <w:tcBorders>
              <w:top w:val="nil"/>
              <w:left w:val="nil"/>
              <w:bottom w:val="single" w:sz="4" w:space="0" w:color="auto"/>
              <w:right w:val="single" w:sz="4" w:space="0" w:color="auto"/>
            </w:tcBorders>
            <w:shd w:val="clear" w:color="FDE9D9" w:fill="FFF2CC"/>
            <w:noWrap/>
            <w:vAlign w:val="bottom"/>
            <w:hideMark/>
          </w:tcPr>
          <w:p w:rsidR="00111F01" w:rsidRPr="00440ACC" w:rsidRDefault="00111F01">
            <w:pPr>
              <w:jc w:val="right"/>
              <w:rPr>
                <w:rFonts w:ascii="Calibri" w:hAnsi="Calibri" w:cs="Calibri"/>
                <w:color w:val="000000"/>
                <w:sz w:val="17"/>
                <w:szCs w:val="17"/>
              </w:rPr>
            </w:pPr>
            <w:r w:rsidRPr="00440ACC">
              <w:rPr>
                <w:rFonts w:ascii="Calibri" w:hAnsi="Calibri" w:cs="Calibri"/>
                <w:color w:val="000000"/>
                <w:sz w:val="17"/>
                <w:szCs w:val="17"/>
              </w:rPr>
              <w:t>69 %</w:t>
            </w:r>
          </w:p>
        </w:tc>
        <w:tc>
          <w:tcPr>
            <w:tcW w:w="709" w:type="dxa"/>
            <w:tcBorders>
              <w:top w:val="nil"/>
              <w:left w:val="nil"/>
              <w:bottom w:val="single" w:sz="4" w:space="0" w:color="auto"/>
              <w:right w:val="single" w:sz="4" w:space="0" w:color="auto"/>
            </w:tcBorders>
            <w:shd w:val="clear" w:color="FDE9D9" w:fill="FFF2CC"/>
            <w:noWrap/>
            <w:vAlign w:val="bottom"/>
            <w:hideMark/>
          </w:tcPr>
          <w:p w:rsidR="00111F01" w:rsidRPr="00440ACC" w:rsidRDefault="00111F01">
            <w:pPr>
              <w:jc w:val="right"/>
              <w:rPr>
                <w:rFonts w:ascii="Calibri" w:hAnsi="Calibri" w:cs="Calibri"/>
                <w:color w:val="000000"/>
                <w:sz w:val="17"/>
                <w:szCs w:val="17"/>
              </w:rPr>
            </w:pPr>
            <w:r w:rsidRPr="00440ACC">
              <w:rPr>
                <w:rFonts w:ascii="Calibri" w:hAnsi="Calibri" w:cs="Calibri"/>
                <w:color w:val="000000"/>
                <w:sz w:val="17"/>
                <w:szCs w:val="17"/>
              </w:rPr>
              <w:t>72 %</w:t>
            </w:r>
          </w:p>
        </w:tc>
        <w:tc>
          <w:tcPr>
            <w:tcW w:w="709" w:type="dxa"/>
            <w:tcBorders>
              <w:top w:val="nil"/>
              <w:left w:val="nil"/>
              <w:bottom w:val="single" w:sz="4" w:space="0" w:color="auto"/>
              <w:right w:val="single" w:sz="4" w:space="0" w:color="auto"/>
            </w:tcBorders>
            <w:shd w:val="clear" w:color="FDE9D9" w:fill="FFF2CC"/>
            <w:noWrap/>
            <w:vAlign w:val="bottom"/>
            <w:hideMark/>
          </w:tcPr>
          <w:p w:rsidR="00111F01" w:rsidRPr="00440ACC" w:rsidRDefault="00111F01">
            <w:pPr>
              <w:jc w:val="right"/>
              <w:rPr>
                <w:rFonts w:ascii="Calibri" w:hAnsi="Calibri" w:cs="Calibri"/>
                <w:color w:val="000000"/>
                <w:sz w:val="17"/>
                <w:szCs w:val="17"/>
              </w:rPr>
            </w:pPr>
            <w:r w:rsidRPr="00440ACC">
              <w:rPr>
                <w:rFonts w:ascii="Calibri" w:hAnsi="Calibri" w:cs="Calibri"/>
                <w:color w:val="000000"/>
                <w:sz w:val="17"/>
                <w:szCs w:val="17"/>
              </w:rPr>
              <w:t>63 %</w:t>
            </w:r>
          </w:p>
        </w:tc>
        <w:tc>
          <w:tcPr>
            <w:tcW w:w="708" w:type="dxa"/>
            <w:tcBorders>
              <w:top w:val="nil"/>
              <w:left w:val="nil"/>
              <w:bottom w:val="single" w:sz="4" w:space="0" w:color="auto"/>
              <w:right w:val="single" w:sz="4" w:space="0" w:color="auto"/>
            </w:tcBorders>
            <w:shd w:val="clear" w:color="FDE9D9" w:fill="FFF2CC"/>
            <w:noWrap/>
            <w:vAlign w:val="bottom"/>
            <w:hideMark/>
          </w:tcPr>
          <w:p w:rsidR="00111F01" w:rsidRPr="00440ACC" w:rsidRDefault="00111F01">
            <w:pPr>
              <w:jc w:val="right"/>
              <w:rPr>
                <w:rFonts w:ascii="Calibri" w:hAnsi="Calibri" w:cs="Calibri"/>
                <w:color w:val="000000"/>
                <w:sz w:val="17"/>
                <w:szCs w:val="17"/>
              </w:rPr>
            </w:pPr>
            <w:r w:rsidRPr="00440ACC">
              <w:rPr>
                <w:rFonts w:ascii="Calibri" w:hAnsi="Calibri" w:cs="Calibri"/>
                <w:color w:val="000000"/>
                <w:sz w:val="17"/>
                <w:szCs w:val="17"/>
              </w:rPr>
              <w:t>73 %</w:t>
            </w:r>
          </w:p>
        </w:tc>
        <w:tc>
          <w:tcPr>
            <w:tcW w:w="709" w:type="dxa"/>
            <w:tcBorders>
              <w:top w:val="nil"/>
              <w:left w:val="nil"/>
              <w:bottom w:val="single" w:sz="4" w:space="0" w:color="auto"/>
              <w:right w:val="single" w:sz="4" w:space="0" w:color="auto"/>
            </w:tcBorders>
            <w:shd w:val="clear" w:color="FDE9D9" w:fill="FFF2CC"/>
            <w:noWrap/>
            <w:vAlign w:val="bottom"/>
            <w:hideMark/>
          </w:tcPr>
          <w:p w:rsidR="00111F01" w:rsidRPr="00440ACC" w:rsidRDefault="00111F01">
            <w:pPr>
              <w:jc w:val="right"/>
              <w:rPr>
                <w:rFonts w:ascii="Calibri" w:hAnsi="Calibri" w:cs="Calibri"/>
                <w:color w:val="000000"/>
                <w:sz w:val="17"/>
                <w:szCs w:val="17"/>
              </w:rPr>
            </w:pPr>
            <w:r w:rsidRPr="00440ACC">
              <w:rPr>
                <w:rFonts w:ascii="Calibri" w:hAnsi="Calibri" w:cs="Calibri"/>
                <w:color w:val="000000"/>
                <w:sz w:val="17"/>
                <w:szCs w:val="17"/>
              </w:rPr>
              <w:t>77 %</w:t>
            </w:r>
          </w:p>
        </w:tc>
      </w:tr>
    </w:tbl>
    <w:p w:rsidR="00111F01" w:rsidRDefault="00111F01" w:rsidP="00820291">
      <w:pPr>
        <w:rPr>
          <w:rFonts w:ascii="Calibri" w:hAnsi="Calibri" w:cs="Calibri"/>
          <w:sz w:val="18"/>
          <w:szCs w:val="18"/>
        </w:rPr>
      </w:pPr>
    </w:p>
    <w:p w:rsidR="00111F01" w:rsidRDefault="00111F01" w:rsidP="00820291">
      <w:pPr>
        <w:rPr>
          <w:rFonts w:ascii="Calibri" w:hAnsi="Calibri" w:cs="Calibri"/>
          <w:sz w:val="18"/>
          <w:szCs w:val="18"/>
        </w:rPr>
      </w:pPr>
    </w:p>
    <w:p w:rsidR="00E126A7" w:rsidRDefault="00E126A7" w:rsidP="00B006A9">
      <w:pPr>
        <w:rPr>
          <w:rFonts w:ascii="Calibri" w:hAnsi="Calibri" w:cs="Calibri"/>
          <w:sz w:val="18"/>
          <w:szCs w:val="18"/>
        </w:rPr>
      </w:pPr>
    </w:p>
    <w:p w:rsidR="00EC4458" w:rsidRDefault="00EC4458" w:rsidP="00EC4458">
      <w:pPr>
        <w:jc w:val="center"/>
        <w:rPr>
          <w:rFonts w:ascii="Calibri" w:hAnsi="Calibri" w:cs="Calibri"/>
          <w:sz w:val="18"/>
          <w:szCs w:val="18"/>
        </w:rPr>
      </w:pPr>
    </w:p>
    <w:p w:rsidR="00EC4458" w:rsidRDefault="00EC4458" w:rsidP="00B006A9">
      <w:pPr>
        <w:rPr>
          <w:rFonts w:ascii="Calibri" w:hAnsi="Calibri" w:cs="Calibri"/>
          <w:sz w:val="18"/>
          <w:szCs w:val="18"/>
        </w:rPr>
      </w:pPr>
    </w:p>
    <w:p w:rsidR="003520C7" w:rsidRDefault="003520C7" w:rsidP="00823C30">
      <w:pPr>
        <w:jc w:val="center"/>
      </w:pPr>
    </w:p>
    <w:p w:rsidR="002B02DF" w:rsidRDefault="002B02DF" w:rsidP="00823C30">
      <w:pPr>
        <w:jc w:val="center"/>
      </w:pPr>
    </w:p>
    <w:p w:rsidR="00430104" w:rsidRDefault="00430104" w:rsidP="00823C30">
      <w:pPr>
        <w:jc w:val="center"/>
      </w:pPr>
    </w:p>
    <w:p w:rsidR="002B02DF" w:rsidRDefault="002B02DF" w:rsidP="00823C30">
      <w:pPr>
        <w:jc w:val="center"/>
      </w:pPr>
    </w:p>
    <w:p w:rsidR="003520C7" w:rsidRDefault="002D4F4D" w:rsidP="002D4F4D">
      <w:pPr>
        <w:pStyle w:val="Nadpis2"/>
      </w:pPr>
      <w:r>
        <w:lastRenderedPageBreak/>
        <w:t>Sdílené daně</w:t>
      </w:r>
    </w:p>
    <w:p w:rsidR="00C6321B" w:rsidRDefault="00C6321B" w:rsidP="0024764D">
      <w:pPr>
        <w:pStyle w:val="Nadpis3"/>
        <w:rPr>
          <w:b w:val="0"/>
        </w:rPr>
      </w:pPr>
      <w:bookmarkStart w:id="9" w:name="_Toc39129494"/>
      <w:r w:rsidRPr="00EC4458">
        <w:rPr>
          <w:b w:val="0"/>
        </w:rPr>
        <w:t>Srovnání sdí</w:t>
      </w:r>
      <w:r w:rsidR="00B03ADD" w:rsidRPr="00EC4458">
        <w:rPr>
          <w:b w:val="0"/>
        </w:rPr>
        <w:t>lených daní v letech 20</w:t>
      </w:r>
      <w:r w:rsidR="008B1A53">
        <w:rPr>
          <w:b w:val="0"/>
        </w:rPr>
        <w:t>20</w:t>
      </w:r>
      <w:r w:rsidR="00430104" w:rsidRPr="00EC4458">
        <w:rPr>
          <w:b w:val="0"/>
        </w:rPr>
        <w:t xml:space="preserve"> – 202</w:t>
      </w:r>
      <w:r w:rsidR="008B1A53">
        <w:rPr>
          <w:b w:val="0"/>
        </w:rPr>
        <w:t>2</w:t>
      </w:r>
      <w:r w:rsidRPr="00EC4458">
        <w:rPr>
          <w:b w:val="0"/>
        </w:rPr>
        <w:t xml:space="preserve"> (v Kč)</w:t>
      </w:r>
      <w:bookmarkEnd w:id="9"/>
    </w:p>
    <w:p w:rsidR="008B1A53" w:rsidRDefault="008B1A53" w:rsidP="008B1A53"/>
    <w:tbl>
      <w:tblPr>
        <w:tblW w:w="8784" w:type="dxa"/>
        <w:tblCellMar>
          <w:left w:w="70" w:type="dxa"/>
          <w:right w:w="70" w:type="dxa"/>
        </w:tblCellMar>
        <w:tblLook w:val="04A0" w:firstRow="1" w:lastRow="0" w:firstColumn="1" w:lastColumn="0" w:noHBand="0" w:noVBand="1"/>
      </w:tblPr>
      <w:tblGrid>
        <w:gridCol w:w="414"/>
        <w:gridCol w:w="521"/>
        <w:gridCol w:w="3596"/>
        <w:gridCol w:w="1418"/>
        <w:gridCol w:w="1417"/>
        <w:gridCol w:w="1418"/>
      </w:tblGrid>
      <w:tr w:rsidR="008B1A53" w:rsidRPr="008B1A53" w:rsidTr="008B1A53">
        <w:trPr>
          <w:trHeight w:val="300"/>
        </w:trPr>
        <w:tc>
          <w:tcPr>
            <w:tcW w:w="4531" w:type="dxa"/>
            <w:gridSpan w:val="3"/>
            <w:tcBorders>
              <w:top w:val="single" w:sz="4" w:space="0" w:color="auto"/>
              <w:left w:val="single" w:sz="4" w:space="0" w:color="auto"/>
              <w:bottom w:val="single" w:sz="4" w:space="0" w:color="auto"/>
              <w:right w:val="single" w:sz="4" w:space="0" w:color="auto"/>
            </w:tcBorders>
            <w:shd w:val="clear" w:color="D6A100" w:fill="FFC000"/>
            <w:noWrap/>
            <w:vAlign w:val="bottom"/>
            <w:hideMark/>
          </w:tcPr>
          <w:p w:rsidR="008B1A53" w:rsidRPr="008B1A53" w:rsidRDefault="008B1A53">
            <w:pPr>
              <w:jc w:val="center"/>
              <w:rPr>
                <w:rFonts w:ascii="Calibri" w:hAnsi="Calibri" w:cs="Calibri"/>
                <w:color w:val="000000"/>
                <w:sz w:val="18"/>
                <w:szCs w:val="18"/>
              </w:rPr>
            </w:pPr>
            <w:r w:rsidRPr="008B1A53">
              <w:rPr>
                <w:rFonts w:ascii="Calibri" w:hAnsi="Calibri" w:cs="Calibri"/>
                <w:color w:val="000000"/>
                <w:sz w:val="18"/>
                <w:szCs w:val="18"/>
              </w:rPr>
              <w:t> </w:t>
            </w:r>
          </w:p>
        </w:tc>
        <w:tc>
          <w:tcPr>
            <w:tcW w:w="1418" w:type="dxa"/>
            <w:tcBorders>
              <w:top w:val="single" w:sz="4" w:space="0" w:color="auto"/>
              <w:left w:val="nil"/>
              <w:bottom w:val="single" w:sz="4" w:space="0" w:color="auto"/>
              <w:right w:val="single" w:sz="4" w:space="0" w:color="auto"/>
            </w:tcBorders>
            <w:shd w:val="clear" w:color="D6A100" w:fill="FFC000"/>
            <w:noWrap/>
            <w:vAlign w:val="bottom"/>
            <w:hideMark/>
          </w:tcPr>
          <w:p w:rsidR="008B1A53" w:rsidRPr="008B1A53" w:rsidRDefault="008B1A53">
            <w:pPr>
              <w:jc w:val="center"/>
              <w:rPr>
                <w:rFonts w:ascii="Calibri" w:hAnsi="Calibri" w:cs="Calibri"/>
                <w:color w:val="000000"/>
                <w:sz w:val="18"/>
                <w:szCs w:val="18"/>
              </w:rPr>
            </w:pPr>
            <w:r w:rsidRPr="008B1A53">
              <w:rPr>
                <w:rFonts w:ascii="Calibri" w:hAnsi="Calibri" w:cs="Calibri"/>
                <w:color w:val="000000"/>
                <w:sz w:val="18"/>
                <w:szCs w:val="18"/>
              </w:rPr>
              <w:t>2020</w:t>
            </w:r>
          </w:p>
        </w:tc>
        <w:tc>
          <w:tcPr>
            <w:tcW w:w="1417" w:type="dxa"/>
            <w:tcBorders>
              <w:top w:val="single" w:sz="4" w:space="0" w:color="auto"/>
              <w:left w:val="nil"/>
              <w:bottom w:val="single" w:sz="4" w:space="0" w:color="auto"/>
              <w:right w:val="single" w:sz="4" w:space="0" w:color="auto"/>
            </w:tcBorders>
            <w:shd w:val="clear" w:color="D6A100" w:fill="FFC000"/>
            <w:noWrap/>
            <w:vAlign w:val="bottom"/>
            <w:hideMark/>
          </w:tcPr>
          <w:p w:rsidR="008B1A53" w:rsidRPr="008B1A53" w:rsidRDefault="008B1A53">
            <w:pPr>
              <w:jc w:val="center"/>
              <w:rPr>
                <w:rFonts w:ascii="Calibri" w:hAnsi="Calibri" w:cs="Calibri"/>
                <w:color w:val="000000"/>
                <w:sz w:val="18"/>
                <w:szCs w:val="18"/>
              </w:rPr>
            </w:pPr>
            <w:r w:rsidRPr="008B1A53">
              <w:rPr>
                <w:rFonts w:ascii="Calibri" w:hAnsi="Calibri" w:cs="Calibri"/>
                <w:color w:val="000000"/>
                <w:sz w:val="18"/>
                <w:szCs w:val="18"/>
              </w:rPr>
              <w:t>2021</w:t>
            </w:r>
          </w:p>
        </w:tc>
        <w:tc>
          <w:tcPr>
            <w:tcW w:w="1418" w:type="dxa"/>
            <w:tcBorders>
              <w:top w:val="single" w:sz="4" w:space="0" w:color="auto"/>
              <w:left w:val="nil"/>
              <w:bottom w:val="single" w:sz="4" w:space="0" w:color="auto"/>
              <w:right w:val="single" w:sz="4" w:space="0" w:color="auto"/>
            </w:tcBorders>
            <w:shd w:val="clear" w:color="D6A100" w:fill="FFC000"/>
            <w:noWrap/>
            <w:vAlign w:val="bottom"/>
            <w:hideMark/>
          </w:tcPr>
          <w:p w:rsidR="008B1A53" w:rsidRPr="008B1A53" w:rsidRDefault="008B1A53">
            <w:pPr>
              <w:jc w:val="center"/>
              <w:rPr>
                <w:rFonts w:ascii="Calibri" w:hAnsi="Calibri" w:cs="Calibri"/>
                <w:color w:val="000000"/>
                <w:sz w:val="18"/>
                <w:szCs w:val="18"/>
              </w:rPr>
            </w:pPr>
            <w:r w:rsidRPr="008B1A53">
              <w:rPr>
                <w:rFonts w:ascii="Calibri" w:hAnsi="Calibri" w:cs="Calibri"/>
                <w:color w:val="000000"/>
                <w:sz w:val="18"/>
                <w:szCs w:val="18"/>
              </w:rPr>
              <w:t>2022</w:t>
            </w:r>
          </w:p>
        </w:tc>
      </w:tr>
      <w:tr w:rsidR="008B1A53" w:rsidRPr="008B1A53" w:rsidTr="008B1A53">
        <w:trPr>
          <w:trHeight w:val="300"/>
        </w:trPr>
        <w:tc>
          <w:tcPr>
            <w:tcW w:w="453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1A53" w:rsidRPr="008B1A53" w:rsidRDefault="008B1A53">
            <w:pPr>
              <w:rPr>
                <w:rFonts w:ascii="Calibri" w:hAnsi="Calibri" w:cs="Calibri"/>
                <w:b/>
                <w:bCs/>
                <w:color w:val="000000"/>
                <w:sz w:val="18"/>
                <w:szCs w:val="18"/>
              </w:rPr>
            </w:pPr>
            <w:r w:rsidRPr="008B1A53">
              <w:rPr>
                <w:rFonts w:ascii="Calibri" w:hAnsi="Calibri" w:cs="Calibri"/>
                <w:b/>
                <w:bCs/>
                <w:color w:val="000000"/>
                <w:sz w:val="18"/>
                <w:szCs w:val="18"/>
              </w:rPr>
              <w:t>Sdílené daně</w:t>
            </w:r>
          </w:p>
        </w:tc>
        <w:tc>
          <w:tcPr>
            <w:tcW w:w="1418" w:type="dxa"/>
            <w:tcBorders>
              <w:top w:val="nil"/>
              <w:left w:val="nil"/>
              <w:bottom w:val="single" w:sz="4" w:space="0" w:color="auto"/>
              <w:right w:val="single" w:sz="4" w:space="0" w:color="auto"/>
            </w:tcBorders>
            <w:shd w:val="clear" w:color="auto" w:fill="auto"/>
            <w:noWrap/>
            <w:vAlign w:val="bottom"/>
            <w:hideMark/>
          </w:tcPr>
          <w:p w:rsidR="008B1A53" w:rsidRPr="008B1A53" w:rsidRDefault="008B1A53">
            <w:pPr>
              <w:jc w:val="right"/>
              <w:rPr>
                <w:rFonts w:ascii="Calibri" w:hAnsi="Calibri" w:cs="Calibri"/>
                <w:b/>
                <w:bCs/>
                <w:color w:val="000000"/>
                <w:sz w:val="18"/>
                <w:szCs w:val="18"/>
              </w:rPr>
            </w:pPr>
            <w:r w:rsidRPr="008B1A53">
              <w:rPr>
                <w:rFonts w:ascii="Calibri" w:hAnsi="Calibri" w:cs="Calibri"/>
                <w:b/>
                <w:bCs/>
                <w:color w:val="000000"/>
                <w:sz w:val="18"/>
                <w:szCs w:val="18"/>
              </w:rPr>
              <w:t>645 310 183,90</w:t>
            </w:r>
          </w:p>
        </w:tc>
        <w:tc>
          <w:tcPr>
            <w:tcW w:w="1417" w:type="dxa"/>
            <w:tcBorders>
              <w:top w:val="nil"/>
              <w:left w:val="nil"/>
              <w:bottom w:val="single" w:sz="4" w:space="0" w:color="auto"/>
              <w:right w:val="single" w:sz="4" w:space="0" w:color="auto"/>
            </w:tcBorders>
            <w:shd w:val="clear" w:color="auto" w:fill="auto"/>
            <w:noWrap/>
            <w:vAlign w:val="bottom"/>
            <w:hideMark/>
          </w:tcPr>
          <w:p w:rsidR="008B1A53" w:rsidRPr="008B1A53" w:rsidRDefault="008B1A53">
            <w:pPr>
              <w:jc w:val="right"/>
              <w:rPr>
                <w:rFonts w:ascii="Calibri" w:hAnsi="Calibri" w:cs="Calibri"/>
                <w:b/>
                <w:bCs/>
                <w:color w:val="000000"/>
                <w:sz w:val="18"/>
                <w:szCs w:val="18"/>
              </w:rPr>
            </w:pPr>
            <w:r w:rsidRPr="008B1A53">
              <w:rPr>
                <w:rFonts w:ascii="Calibri" w:hAnsi="Calibri" w:cs="Calibri"/>
                <w:b/>
                <w:bCs/>
                <w:color w:val="000000"/>
                <w:sz w:val="18"/>
                <w:szCs w:val="18"/>
              </w:rPr>
              <w:t>708 237 373,05</w:t>
            </w:r>
          </w:p>
        </w:tc>
        <w:tc>
          <w:tcPr>
            <w:tcW w:w="1418" w:type="dxa"/>
            <w:tcBorders>
              <w:top w:val="nil"/>
              <w:left w:val="nil"/>
              <w:bottom w:val="single" w:sz="4" w:space="0" w:color="auto"/>
              <w:right w:val="single" w:sz="4" w:space="0" w:color="auto"/>
            </w:tcBorders>
            <w:shd w:val="clear" w:color="auto" w:fill="auto"/>
            <w:noWrap/>
            <w:vAlign w:val="bottom"/>
            <w:hideMark/>
          </w:tcPr>
          <w:p w:rsidR="008B1A53" w:rsidRPr="008B1A53" w:rsidRDefault="008B1A53">
            <w:pPr>
              <w:jc w:val="right"/>
              <w:rPr>
                <w:rFonts w:ascii="Calibri" w:hAnsi="Calibri" w:cs="Calibri"/>
                <w:b/>
                <w:bCs/>
                <w:color w:val="000000"/>
                <w:sz w:val="18"/>
                <w:szCs w:val="18"/>
              </w:rPr>
            </w:pPr>
            <w:r w:rsidRPr="008B1A53">
              <w:rPr>
                <w:rFonts w:ascii="Calibri" w:hAnsi="Calibri" w:cs="Calibri"/>
                <w:b/>
                <w:bCs/>
                <w:color w:val="000000"/>
                <w:sz w:val="18"/>
                <w:szCs w:val="18"/>
              </w:rPr>
              <w:t>815 822 002,12</w:t>
            </w:r>
          </w:p>
        </w:tc>
      </w:tr>
      <w:tr w:rsidR="008B1A53" w:rsidRPr="008B1A53" w:rsidTr="008B1A53">
        <w:trPr>
          <w:trHeight w:val="300"/>
        </w:trPr>
        <w:tc>
          <w:tcPr>
            <w:tcW w:w="414" w:type="dxa"/>
            <w:tcBorders>
              <w:top w:val="nil"/>
              <w:left w:val="single" w:sz="4" w:space="0" w:color="auto"/>
              <w:bottom w:val="single" w:sz="4" w:space="0" w:color="auto"/>
              <w:right w:val="single" w:sz="4" w:space="0" w:color="auto"/>
            </w:tcBorders>
            <w:shd w:val="clear" w:color="FFF2CC" w:fill="FFFFCC"/>
            <w:noWrap/>
            <w:vAlign w:val="bottom"/>
            <w:hideMark/>
          </w:tcPr>
          <w:p w:rsidR="008B1A53" w:rsidRPr="008B1A53" w:rsidRDefault="008B1A53">
            <w:pPr>
              <w:jc w:val="right"/>
              <w:rPr>
                <w:rFonts w:ascii="Calibri" w:hAnsi="Calibri" w:cs="Calibri"/>
                <w:color w:val="000000"/>
                <w:sz w:val="18"/>
                <w:szCs w:val="18"/>
              </w:rPr>
            </w:pPr>
            <w:r w:rsidRPr="008B1A53">
              <w:rPr>
                <w:rFonts w:ascii="Calibri" w:hAnsi="Calibri" w:cs="Calibri"/>
                <w:color w:val="000000"/>
                <w:sz w:val="18"/>
                <w:szCs w:val="18"/>
              </w:rPr>
              <w:t>111</w:t>
            </w:r>
          </w:p>
        </w:tc>
        <w:tc>
          <w:tcPr>
            <w:tcW w:w="4117" w:type="dxa"/>
            <w:gridSpan w:val="2"/>
            <w:tcBorders>
              <w:top w:val="single" w:sz="4" w:space="0" w:color="auto"/>
              <w:left w:val="nil"/>
              <w:bottom w:val="single" w:sz="4" w:space="0" w:color="auto"/>
              <w:right w:val="single" w:sz="4" w:space="0" w:color="auto"/>
            </w:tcBorders>
            <w:shd w:val="clear" w:color="FFF2CC" w:fill="FFFFCC"/>
            <w:noWrap/>
            <w:vAlign w:val="bottom"/>
            <w:hideMark/>
          </w:tcPr>
          <w:p w:rsidR="008B1A53" w:rsidRPr="008B1A53" w:rsidRDefault="008B1A53">
            <w:pPr>
              <w:rPr>
                <w:rFonts w:ascii="Calibri" w:hAnsi="Calibri" w:cs="Calibri"/>
                <w:color w:val="000000"/>
                <w:sz w:val="18"/>
                <w:szCs w:val="18"/>
              </w:rPr>
            </w:pPr>
            <w:r w:rsidRPr="008B1A53">
              <w:rPr>
                <w:rFonts w:ascii="Calibri" w:hAnsi="Calibri" w:cs="Calibri"/>
                <w:color w:val="000000"/>
                <w:sz w:val="18"/>
                <w:szCs w:val="18"/>
              </w:rPr>
              <w:t>Daně z příjmů fyzických osob</w:t>
            </w:r>
          </w:p>
        </w:tc>
        <w:tc>
          <w:tcPr>
            <w:tcW w:w="1418" w:type="dxa"/>
            <w:tcBorders>
              <w:top w:val="nil"/>
              <w:left w:val="nil"/>
              <w:bottom w:val="single" w:sz="4" w:space="0" w:color="auto"/>
              <w:right w:val="single" w:sz="4" w:space="0" w:color="auto"/>
            </w:tcBorders>
            <w:shd w:val="clear" w:color="FFF2CC" w:fill="FFFFCC"/>
            <w:noWrap/>
            <w:vAlign w:val="bottom"/>
            <w:hideMark/>
          </w:tcPr>
          <w:p w:rsidR="008B1A53" w:rsidRPr="008B1A53" w:rsidRDefault="008B1A53">
            <w:pPr>
              <w:jc w:val="right"/>
              <w:rPr>
                <w:rFonts w:ascii="Calibri" w:hAnsi="Calibri" w:cs="Calibri"/>
                <w:color w:val="000000"/>
                <w:sz w:val="18"/>
                <w:szCs w:val="18"/>
              </w:rPr>
            </w:pPr>
            <w:r w:rsidRPr="008B1A53">
              <w:rPr>
                <w:rFonts w:ascii="Calibri" w:hAnsi="Calibri" w:cs="Calibri"/>
                <w:color w:val="000000"/>
                <w:sz w:val="18"/>
                <w:szCs w:val="18"/>
              </w:rPr>
              <w:t>188 619 600,51</w:t>
            </w:r>
          </w:p>
        </w:tc>
        <w:tc>
          <w:tcPr>
            <w:tcW w:w="1417" w:type="dxa"/>
            <w:tcBorders>
              <w:top w:val="nil"/>
              <w:left w:val="nil"/>
              <w:bottom w:val="single" w:sz="4" w:space="0" w:color="auto"/>
              <w:right w:val="single" w:sz="4" w:space="0" w:color="auto"/>
            </w:tcBorders>
            <w:shd w:val="clear" w:color="FFF2CC" w:fill="FFFFCC"/>
            <w:noWrap/>
            <w:vAlign w:val="bottom"/>
            <w:hideMark/>
          </w:tcPr>
          <w:p w:rsidR="008B1A53" w:rsidRPr="008B1A53" w:rsidRDefault="008B1A53">
            <w:pPr>
              <w:jc w:val="right"/>
              <w:rPr>
                <w:rFonts w:ascii="Calibri" w:hAnsi="Calibri" w:cs="Calibri"/>
                <w:color w:val="000000"/>
                <w:sz w:val="18"/>
                <w:szCs w:val="18"/>
              </w:rPr>
            </w:pPr>
            <w:r w:rsidRPr="008B1A53">
              <w:rPr>
                <w:rFonts w:ascii="Calibri" w:hAnsi="Calibri" w:cs="Calibri"/>
                <w:color w:val="000000"/>
                <w:sz w:val="18"/>
                <w:szCs w:val="18"/>
              </w:rPr>
              <w:t>150 980 174,59</w:t>
            </w:r>
          </w:p>
        </w:tc>
        <w:tc>
          <w:tcPr>
            <w:tcW w:w="1418" w:type="dxa"/>
            <w:tcBorders>
              <w:top w:val="nil"/>
              <w:left w:val="nil"/>
              <w:bottom w:val="single" w:sz="4" w:space="0" w:color="auto"/>
              <w:right w:val="single" w:sz="4" w:space="0" w:color="auto"/>
            </w:tcBorders>
            <w:shd w:val="clear" w:color="FFF2CC" w:fill="FFFFCC"/>
            <w:noWrap/>
            <w:vAlign w:val="bottom"/>
            <w:hideMark/>
          </w:tcPr>
          <w:p w:rsidR="008B1A53" w:rsidRPr="008B1A53" w:rsidRDefault="008B1A53">
            <w:pPr>
              <w:jc w:val="right"/>
              <w:rPr>
                <w:rFonts w:ascii="Calibri" w:hAnsi="Calibri" w:cs="Calibri"/>
                <w:color w:val="000000"/>
                <w:sz w:val="18"/>
                <w:szCs w:val="18"/>
              </w:rPr>
            </w:pPr>
            <w:r w:rsidRPr="008B1A53">
              <w:rPr>
                <w:rFonts w:ascii="Calibri" w:hAnsi="Calibri" w:cs="Calibri"/>
                <w:color w:val="000000"/>
                <w:sz w:val="18"/>
                <w:szCs w:val="18"/>
              </w:rPr>
              <w:t>170 000 639,87</w:t>
            </w:r>
          </w:p>
        </w:tc>
      </w:tr>
      <w:tr w:rsidR="008B1A53" w:rsidRPr="008B1A53" w:rsidTr="008B1A53">
        <w:trPr>
          <w:trHeight w:val="300"/>
        </w:trPr>
        <w:tc>
          <w:tcPr>
            <w:tcW w:w="41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B1A53" w:rsidRPr="008B1A53" w:rsidRDefault="008B1A53">
            <w:pPr>
              <w:jc w:val="center"/>
              <w:rPr>
                <w:rFonts w:ascii="Calibri" w:hAnsi="Calibri" w:cs="Calibri"/>
                <w:color w:val="000000"/>
                <w:sz w:val="18"/>
                <w:szCs w:val="18"/>
              </w:rPr>
            </w:pPr>
            <w:r w:rsidRPr="008B1A53">
              <w:rPr>
                <w:rFonts w:ascii="Calibri" w:hAnsi="Calibri" w:cs="Calibri"/>
                <w:color w:val="000000"/>
                <w:sz w:val="18"/>
                <w:szCs w:val="18"/>
              </w:rPr>
              <w:t> </w:t>
            </w:r>
          </w:p>
        </w:tc>
        <w:tc>
          <w:tcPr>
            <w:tcW w:w="521" w:type="dxa"/>
            <w:tcBorders>
              <w:top w:val="nil"/>
              <w:left w:val="nil"/>
              <w:bottom w:val="single" w:sz="4" w:space="0" w:color="auto"/>
              <w:right w:val="single" w:sz="4" w:space="0" w:color="auto"/>
            </w:tcBorders>
            <w:shd w:val="clear" w:color="auto" w:fill="auto"/>
            <w:noWrap/>
            <w:vAlign w:val="bottom"/>
            <w:hideMark/>
          </w:tcPr>
          <w:p w:rsidR="008B1A53" w:rsidRPr="008B1A53" w:rsidRDefault="008B1A53">
            <w:pPr>
              <w:jc w:val="right"/>
              <w:rPr>
                <w:rFonts w:ascii="Calibri" w:hAnsi="Calibri" w:cs="Calibri"/>
                <w:color w:val="000000"/>
                <w:sz w:val="18"/>
                <w:szCs w:val="18"/>
              </w:rPr>
            </w:pPr>
            <w:r w:rsidRPr="008B1A53">
              <w:rPr>
                <w:rFonts w:ascii="Calibri" w:hAnsi="Calibri" w:cs="Calibri"/>
                <w:color w:val="000000"/>
                <w:sz w:val="18"/>
                <w:szCs w:val="18"/>
              </w:rPr>
              <w:t>1111</w:t>
            </w:r>
          </w:p>
        </w:tc>
        <w:tc>
          <w:tcPr>
            <w:tcW w:w="3596" w:type="dxa"/>
            <w:tcBorders>
              <w:top w:val="nil"/>
              <w:left w:val="nil"/>
              <w:bottom w:val="single" w:sz="4" w:space="0" w:color="auto"/>
              <w:right w:val="single" w:sz="4" w:space="0" w:color="auto"/>
            </w:tcBorders>
            <w:shd w:val="clear" w:color="auto" w:fill="auto"/>
            <w:noWrap/>
            <w:vAlign w:val="bottom"/>
            <w:hideMark/>
          </w:tcPr>
          <w:p w:rsidR="008B1A53" w:rsidRPr="008B1A53" w:rsidRDefault="008B1A53">
            <w:pPr>
              <w:rPr>
                <w:rFonts w:ascii="Calibri" w:hAnsi="Calibri" w:cs="Calibri"/>
                <w:color w:val="000000"/>
                <w:sz w:val="18"/>
                <w:szCs w:val="18"/>
              </w:rPr>
            </w:pPr>
            <w:r w:rsidRPr="008B1A53">
              <w:rPr>
                <w:rFonts w:ascii="Calibri" w:hAnsi="Calibri" w:cs="Calibri"/>
                <w:color w:val="000000"/>
                <w:sz w:val="18"/>
                <w:szCs w:val="18"/>
              </w:rPr>
              <w:t>Daň z příjmů fyzických osob placená plátci</w:t>
            </w:r>
          </w:p>
        </w:tc>
        <w:tc>
          <w:tcPr>
            <w:tcW w:w="1418" w:type="dxa"/>
            <w:tcBorders>
              <w:top w:val="nil"/>
              <w:left w:val="nil"/>
              <w:bottom w:val="single" w:sz="4" w:space="0" w:color="auto"/>
              <w:right w:val="single" w:sz="4" w:space="0" w:color="auto"/>
            </w:tcBorders>
            <w:shd w:val="clear" w:color="auto" w:fill="auto"/>
            <w:noWrap/>
            <w:vAlign w:val="bottom"/>
            <w:hideMark/>
          </w:tcPr>
          <w:p w:rsidR="008B1A53" w:rsidRPr="008B1A53" w:rsidRDefault="008B1A53">
            <w:pPr>
              <w:jc w:val="right"/>
              <w:rPr>
                <w:rFonts w:ascii="Calibri" w:hAnsi="Calibri" w:cs="Calibri"/>
                <w:color w:val="000000"/>
                <w:sz w:val="18"/>
                <w:szCs w:val="18"/>
              </w:rPr>
            </w:pPr>
            <w:r w:rsidRPr="008B1A53">
              <w:rPr>
                <w:rFonts w:ascii="Calibri" w:hAnsi="Calibri" w:cs="Calibri"/>
                <w:color w:val="000000"/>
                <w:sz w:val="18"/>
                <w:szCs w:val="18"/>
              </w:rPr>
              <w:t>168 467 378,15</w:t>
            </w:r>
          </w:p>
        </w:tc>
        <w:tc>
          <w:tcPr>
            <w:tcW w:w="1417" w:type="dxa"/>
            <w:tcBorders>
              <w:top w:val="nil"/>
              <w:left w:val="nil"/>
              <w:bottom w:val="single" w:sz="4" w:space="0" w:color="auto"/>
              <w:right w:val="single" w:sz="4" w:space="0" w:color="auto"/>
            </w:tcBorders>
            <w:shd w:val="clear" w:color="auto" w:fill="auto"/>
            <w:noWrap/>
            <w:vAlign w:val="bottom"/>
            <w:hideMark/>
          </w:tcPr>
          <w:p w:rsidR="008B1A53" w:rsidRPr="008B1A53" w:rsidRDefault="008B1A53">
            <w:pPr>
              <w:jc w:val="right"/>
              <w:rPr>
                <w:rFonts w:ascii="Calibri" w:hAnsi="Calibri" w:cs="Calibri"/>
                <w:color w:val="000000"/>
                <w:sz w:val="18"/>
                <w:szCs w:val="18"/>
              </w:rPr>
            </w:pPr>
            <w:r w:rsidRPr="008B1A53">
              <w:rPr>
                <w:rFonts w:ascii="Calibri" w:hAnsi="Calibri" w:cs="Calibri"/>
                <w:color w:val="000000"/>
                <w:sz w:val="18"/>
                <w:szCs w:val="18"/>
              </w:rPr>
              <w:t>123 950 441,60</w:t>
            </w:r>
          </w:p>
        </w:tc>
        <w:tc>
          <w:tcPr>
            <w:tcW w:w="1418" w:type="dxa"/>
            <w:tcBorders>
              <w:top w:val="nil"/>
              <w:left w:val="nil"/>
              <w:bottom w:val="single" w:sz="4" w:space="0" w:color="auto"/>
              <w:right w:val="single" w:sz="4" w:space="0" w:color="auto"/>
            </w:tcBorders>
            <w:shd w:val="clear" w:color="auto" w:fill="auto"/>
            <w:noWrap/>
            <w:vAlign w:val="bottom"/>
            <w:hideMark/>
          </w:tcPr>
          <w:p w:rsidR="008B1A53" w:rsidRPr="008B1A53" w:rsidRDefault="008B1A53">
            <w:pPr>
              <w:jc w:val="right"/>
              <w:rPr>
                <w:rFonts w:ascii="Calibri" w:hAnsi="Calibri" w:cs="Calibri"/>
                <w:color w:val="000000"/>
                <w:sz w:val="18"/>
                <w:szCs w:val="18"/>
              </w:rPr>
            </w:pPr>
            <w:r w:rsidRPr="008B1A53">
              <w:rPr>
                <w:rFonts w:ascii="Calibri" w:hAnsi="Calibri" w:cs="Calibri"/>
                <w:color w:val="000000"/>
                <w:sz w:val="18"/>
                <w:szCs w:val="18"/>
              </w:rPr>
              <w:t>133 515 165,25</w:t>
            </w:r>
          </w:p>
        </w:tc>
      </w:tr>
      <w:tr w:rsidR="008B1A53" w:rsidRPr="008B1A53" w:rsidTr="008B1A53">
        <w:trPr>
          <w:trHeight w:val="300"/>
        </w:trPr>
        <w:tc>
          <w:tcPr>
            <w:tcW w:w="414" w:type="dxa"/>
            <w:vMerge/>
            <w:tcBorders>
              <w:top w:val="nil"/>
              <w:left w:val="single" w:sz="4" w:space="0" w:color="auto"/>
              <w:bottom w:val="single" w:sz="4" w:space="0" w:color="auto"/>
              <w:right w:val="single" w:sz="4" w:space="0" w:color="auto"/>
            </w:tcBorders>
            <w:vAlign w:val="center"/>
            <w:hideMark/>
          </w:tcPr>
          <w:p w:rsidR="008B1A53" w:rsidRPr="008B1A53" w:rsidRDefault="008B1A53">
            <w:pPr>
              <w:rPr>
                <w:rFonts w:ascii="Calibri" w:hAnsi="Calibri" w:cs="Calibri"/>
                <w:color w:val="000000"/>
                <w:sz w:val="18"/>
                <w:szCs w:val="18"/>
              </w:rPr>
            </w:pPr>
          </w:p>
        </w:tc>
        <w:tc>
          <w:tcPr>
            <w:tcW w:w="521" w:type="dxa"/>
            <w:tcBorders>
              <w:top w:val="nil"/>
              <w:left w:val="nil"/>
              <w:bottom w:val="single" w:sz="4" w:space="0" w:color="auto"/>
              <w:right w:val="single" w:sz="4" w:space="0" w:color="auto"/>
            </w:tcBorders>
            <w:shd w:val="clear" w:color="auto" w:fill="auto"/>
            <w:noWrap/>
            <w:vAlign w:val="bottom"/>
            <w:hideMark/>
          </w:tcPr>
          <w:p w:rsidR="008B1A53" w:rsidRPr="008B1A53" w:rsidRDefault="008B1A53">
            <w:pPr>
              <w:jc w:val="right"/>
              <w:rPr>
                <w:rFonts w:ascii="Calibri" w:hAnsi="Calibri" w:cs="Calibri"/>
                <w:color w:val="000000"/>
                <w:sz w:val="18"/>
                <w:szCs w:val="18"/>
              </w:rPr>
            </w:pPr>
            <w:r w:rsidRPr="008B1A53">
              <w:rPr>
                <w:rFonts w:ascii="Calibri" w:hAnsi="Calibri" w:cs="Calibri"/>
                <w:color w:val="000000"/>
                <w:sz w:val="18"/>
                <w:szCs w:val="18"/>
              </w:rPr>
              <w:t>1112</w:t>
            </w:r>
          </w:p>
        </w:tc>
        <w:tc>
          <w:tcPr>
            <w:tcW w:w="3596" w:type="dxa"/>
            <w:tcBorders>
              <w:top w:val="nil"/>
              <w:left w:val="nil"/>
              <w:bottom w:val="single" w:sz="4" w:space="0" w:color="auto"/>
              <w:right w:val="single" w:sz="4" w:space="0" w:color="auto"/>
            </w:tcBorders>
            <w:shd w:val="clear" w:color="auto" w:fill="auto"/>
            <w:noWrap/>
            <w:vAlign w:val="bottom"/>
            <w:hideMark/>
          </w:tcPr>
          <w:p w:rsidR="008B1A53" w:rsidRPr="008B1A53" w:rsidRDefault="008B1A53">
            <w:pPr>
              <w:rPr>
                <w:rFonts w:ascii="Calibri" w:hAnsi="Calibri" w:cs="Calibri"/>
                <w:color w:val="000000"/>
                <w:sz w:val="18"/>
                <w:szCs w:val="18"/>
              </w:rPr>
            </w:pPr>
            <w:r w:rsidRPr="008B1A53">
              <w:rPr>
                <w:rFonts w:ascii="Calibri" w:hAnsi="Calibri" w:cs="Calibri"/>
                <w:color w:val="000000"/>
                <w:sz w:val="18"/>
                <w:szCs w:val="18"/>
              </w:rPr>
              <w:t>Daň z příjmů fyzických osob placená poplatníky</w:t>
            </w:r>
          </w:p>
        </w:tc>
        <w:tc>
          <w:tcPr>
            <w:tcW w:w="1418" w:type="dxa"/>
            <w:tcBorders>
              <w:top w:val="nil"/>
              <w:left w:val="nil"/>
              <w:bottom w:val="single" w:sz="4" w:space="0" w:color="auto"/>
              <w:right w:val="single" w:sz="4" w:space="0" w:color="auto"/>
            </w:tcBorders>
            <w:shd w:val="clear" w:color="auto" w:fill="auto"/>
            <w:noWrap/>
            <w:vAlign w:val="bottom"/>
            <w:hideMark/>
          </w:tcPr>
          <w:p w:rsidR="008B1A53" w:rsidRPr="008B1A53" w:rsidRDefault="008B1A53">
            <w:pPr>
              <w:jc w:val="right"/>
              <w:rPr>
                <w:rFonts w:ascii="Calibri" w:hAnsi="Calibri" w:cs="Calibri"/>
                <w:color w:val="000000"/>
                <w:sz w:val="18"/>
                <w:szCs w:val="18"/>
              </w:rPr>
            </w:pPr>
            <w:r w:rsidRPr="008B1A53">
              <w:rPr>
                <w:rFonts w:ascii="Calibri" w:hAnsi="Calibri" w:cs="Calibri"/>
                <w:color w:val="000000"/>
                <w:sz w:val="18"/>
                <w:szCs w:val="18"/>
              </w:rPr>
              <w:t>2 528 095,55</w:t>
            </w:r>
          </w:p>
        </w:tc>
        <w:tc>
          <w:tcPr>
            <w:tcW w:w="1417" w:type="dxa"/>
            <w:tcBorders>
              <w:top w:val="nil"/>
              <w:left w:val="nil"/>
              <w:bottom w:val="single" w:sz="4" w:space="0" w:color="auto"/>
              <w:right w:val="single" w:sz="4" w:space="0" w:color="auto"/>
            </w:tcBorders>
            <w:shd w:val="clear" w:color="auto" w:fill="auto"/>
            <w:noWrap/>
            <w:vAlign w:val="bottom"/>
            <w:hideMark/>
          </w:tcPr>
          <w:p w:rsidR="008B1A53" w:rsidRPr="008B1A53" w:rsidRDefault="008B1A53">
            <w:pPr>
              <w:jc w:val="right"/>
              <w:rPr>
                <w:rFonts w:ascii="Calibri" w:hAnsi="Calibri" w:cs="Calibri"/>
                <w:color w:val="000000"/>
                <w:sz w:val="18"/>
                <w:szCs w:val="18"/>
              </w:rPr>
            </w:pPr>
            <w:r w:rsidRPr="008B1A53">
              <w:rPr>
                <w:rFonts w:ascii="Calibri" w:hAnsi="Calibri" w:cs="Calibri"/>
                <w:color w:val="000000"/>
                <w:sz w:val="18"/>
                <w:szCs w:val="18"/>
              </w:rPr>
              <w:t>7 521 844,16</w:t>
            </w:r>
          </w:p>
        </w:tc>
        <w:tc>
          <w:tcPr>
            <w:tcW w:w="1418" w:type="dxa"/>
            <w:tcBorders>
              <w:top w:val="nil"/>
              <w:left w:val="nil"/>
              <w:bottom w:val="single" w:sz="4" w:space="0" w:color="auto"/>
              <w:right w:val="single" w:sz="4" w:space="0" w:color="auto"/>
            </w:tcBorders>
            <w:shd w:val="clear" w:color="auto" w:fill="auto"/>
            <w:noWrap/>
            <w:vAlign w:val="bottom"/>
            <w:hideMark/>
          </w:tcPr>
          <w:p w:rsidR="008B1A53" w:rsidRPr="008B1A53" w:rsidRDefault="008B1A53">
            <w:pPr>
              <w:jc w:val="right"/>
              <w:rPr>
                <w:rFonts w:ascii="Calibri" w:hAnsi="Calibri" w:cs="Calibri"/>
                <w:color w:val="000000"/>
                <w:sz w:val="18"/>
                <w:szCs w:val="18"/>
              </w:rPr>
            </w:pPr>
            <w:r w:rsidRPr="008B1A53">
              <w:rPr>
                <w:rFonts w:ascii="Calibri" w:hAnsi="Calibri" w:cs="Calibri"/>
                <w:color w:val="000000"/>
                <w:sz w:val="18"/>
                <w:szCs w:val="18"/>
              </w:rPr>
              <w:t>11 320 684,86</w:t>
            </w:r>
          </w:p>
        </w:tc>
      </w:tr>
      <w:tr w:rsidR="008B1A53" w:rsidRPr="008B1A53" w:rsidTr="008B1A53">
        <w:trPr>
          <w:trHeight w:val="300"/>
        </w:trPr>
        <w:tc>
          <w:tcPr>
            <w:tcW w:w="414" w:type="dxa"/>
            <w:vMerge/>
            <w:tcBorders>
              <w:top w:val="nil"/>
              <w:left w:val="single" w:sz="4" w:space="0" w:color="auto"/>
              <w:bottom w:val="single" w:sz="4" w:space="0" w:color="auto"/>
              <w:right w:val="single" w:sz="4" w:space="0" w:color="auto"/>
            </w:tcBorders>
            <w:vAlign w:val="center"/>
            <w:hideMark/>
          </w:tcPr>
          <w:p w:rsidR="008B1A53" w:rsidRPr="008B1A53" w:rsidRDefault="008B1A53">
            <w:pPr>
              <w:rPr>
                <w:rFonts w:ascii="Calibri" w:hAnsi="Calibri" w:cs="Calibri"/>
                <w:color w:val="000000"/>
                <w:sz w:val="18"/>
                <w:szCs w:val="18"/>
              </w:rPr>
            </w:pPr>
          </w:p>
        </w:tc>
        <w:tc>
          <w:tcPr>
            <w:tcW w:w="521" w:type="dxa"/>
            <w:tcBorders>
              <w:top w:val="nil"/>
              <w:left w:val="nil"/>
              <w:bottom w:val="single" w:sz="4" w:space="0" w:color="auto"/>
              <w:right w:val="single" w:sz="4" w:space="0" w:color="auto"/>
            </w:tcBorders>
            <w:shd w:val="clear" w:color="auto" w:fill="auto"/>
            <w:noWrap/>
            <w:vAlign w:val="bottom"/>
            <w:hideMark/>
          </w:tcPr>
          <w:p w:rsidR="008B1A53" w:rsidRPr="008B1A53" w:rsidRDefault="008B1A53">
            <w:pPr>
              <w:jc w:val="right"/>
              <w:rPr>
                <w:rFonts w:ascii="Calibri" w:hAnsi="Calibri" w:cs="Calibri"/>
                <w:color w:val="000000"/>
                <w:sz w:val="18"/>
                <w:szCs w:val="18"/>
              </w:rPr>
            </w:pPr>
            <w:r w:rsidRPr="008B1A53">
              <w:rPr>
                <w:rFonts w:ascii="Calibri" w:hAnsi="Calibri" w:cs="Calibri"/>
                <w:color w:val="000000"/>
                <w:sz w:val="18"/>
                <w:szCs w:val="18"/>
              </w:rPr>
              <w:t>1113</w:t>
            </w:r>
          </w:p>
        </w:tc>
        <w:tc>
          <w:tcPr>
            <w:tcW w:w="3596" w:type="dxa"/>
            <w:tcBorders>
              <w:top w:val="nil"/>
              <w:left w:val="nil"/>
              <w:bottom w:val="single" w:sz="4" w:space="0" w:color="auto"/>
              <w:right w:val="single" w:sz="4" w:space="0" w:color="auto"/>
            </w:tcBorders>
            <w:shd w:val="clear" w:color="auto" w:fill="auto"/>
            <w:noWrap/>
            <w:vAlign w:val="bottom"/>
            <w:hideMark/>
          </w:tcPr>
          <w:p w:rsidR="008B1A53" w:rsidRPr="008B1A53" w:rsidRDefault="008B1A53">
            <w:pPr>
              <w:rPr>
                <w:rFonts w:ascii="Calibri" w:hAnsi="Calibri" w:cs="Calibri"/>
                <w:color w:val="000000"/>
                <w:sz w:val="18"/>
                <w:szCs w:val="18"/>
              </w:rPr>
            </w:pPr>
            <w:r w:rsidRPr="008B1A53">
              <w:rPr>
                <w:rFonts w:ascii="Calibri" w:hAnsi="Calibri" w:cs="Calibri"/>
                <w:color w:val="000000"/>
                <w:sz w:val="18"/>
                <w:szCs w:val="18"/>
              </w:rPr>
              <w:t>Daň z příjmů fyzických osob vybíraná srážkou</w:t>
            </w:r>
          </w:p>
        </w:tc>
        <w:tc>
          <w:tcPr>
            <w:tcW w:w="1418" w:type="dxa"/>
            <w:tcBorders>
              <w:top w:val="nil"/>
              <w:left w:val="nil"/>
              <w:bottom w:val="single" w:sz="4" w:space="0" w:color="auto"/>
              <w:right w:val="single" w:sz="4" w:space="0" w:color="auto"/>
            </w:tcBorders>
            <w:shd w:val="clear" w:color="auto" w:fill="auto"/>
            <w:noWrap/>
            <w:vAlign w:val="bottom"/>
            <w:hideMark/>
          </w:tcPr>
          <w:p w:rsidR="008B1A53" w:rsidRPr="008B1A53" w:rsidRDefault="008B1A53">
            <w:pPr>
              <w:jc w:val="right"/>
              <w:rPr>
                <w:rFonts w:ascii="Calibri" w:hAnsi="Calibri" w:cs="Calibri"/>
                <w:color w:val="000000"/>
                <w:sz w:val="18"/>
                <w:szCs w:val="18"/>
              </w:rPr>
            </w:pPr>
            <w:r w:rsidRPr="008B1A53">
              <w:rPr>
                <w:rFonts w:ascii="Calibri" w:hAnsi="Calibri" w:cs="Calibri"/>
                <w:color w:val="000000"/>
                <w:sz w:val="18"/>
                <w:szCs w:val="18"/>
              </w:rPr>
              <w:t>17 624 126,81</w:t>
            </w:r>
          </w:p>
        </w:tc>
        <w:tc>
          <w:tcPr>
            <w:tcW w:w="1417" w:type="dxa"/>
            <w:tcBorders>
              <w:top w:val="nil"/>
              <w:left w:val="nil"/>
              <w:bottom w:val="single" w:sz="4" w:space="0" w:color="auto"/>
              <w:right w:val="single" w:sz="4" w:space="0" w:color="auto"/>
            </w:tcBorders>
            <w:shd w:val="clear" w:color="auto" w:fill="auto"/>
            <w:noWrap/>
            <w:vAlign w:val="bottom"/>
            <w:hideMark/>
          </w:tcPr>
          <w:p w:rsidR="008B1A53" w:rsidRPr="008B1A53" w:rsidRDefault="008B1A53">
            <w:pPr>
              <w:jc w:val="right"/>
              <w:rPr>
                <w:rFonts w:ascii="Calibri" w:hAnsi="Calibri" w:cs="Calibri"/>
                <w:color w:val="000000"/>
                <w:sz w:val="18"/>
                <w:szCs w:val="18"/>
              </w:rPr>
            </w:pPr>
            <w:r w:rsidRPr="008B1A53">
              <w:rPr>
                <w:rFonts w:ascii="Calibri" w:hAnsi="Calibri" w:cs="Calibri"/>
                <w:color w:val="000000"/>
                <w:sz w:val="18"/>
                <w:szCs w:val="18"/>
              </w:rPr>
              <w:t>19 507 888,83</w:t>
            </w:r>
          </w:p>
        </w:tc>
        <w:tc>
          <w:tcPr>
            <w:tcW w:w="1418" w:type="dxa"/>
            <w:tcBorders>
              <w:top w:val="nil"/>
              <w:left w:val="nil"/>
              <w:bottom w:val="single" w:sz="4" w:space="0" w:color="auto"/>
              <w:right w:val="single" w:sz="4" w:space="0" w:color="auto"/>
            </w:tcBorders>
            <w:shd w:val="clear" w:color="auto" w:fill="auto"/>
            <w:noWrap/>
            <w:vAlign w:val="bottom"/>
            <w:hideMark/>
          </w:tcPr>
          <w:p w:rsidR="008B1A53" w:rsidRPr="008B1A53" w:rsidRDefault="008B1A53">
            <w:pPr>
              <w:jc w:val="right"/>
              <w:rPr>
                <w:rFonts w:ascii="Calibri" w:hAnsi="Calibri" w:cs="Calibri"/>
                <w:color w:val="000000"/>
                <w:sz w:val="18"/>
                <w:szCs w:val="18"/>
              </w:rPr>
            </w:pPr>
            <w:r w:rsidRPr="008B1A53">
              <w:rPr>
                <w:rFonts w:ascii="Calibri" w:hAnsi="Calibri" w:cs="Calibri"/>
                <w:color w:val="000000"/>
                <w:sz w:val="18"/>
                <w:szCs w:val="18"/>
              </w:rPr>
              <w:t>25 164 789,76</w:t>
            </w:r>
          </w:p>
        </w:tc>
      </w:tr>
      <w:tr w:rsidR="008B1A53" w:rsidRPr="008B1A53" w:rsidTr="008B1A53">
        <w:trPr>
          <w:trHeight w:val="300"/>
        </w:trPr>
        <w:tc>
          <w:tcPr>
            <w:tcW w:w="414" w:type="dxa"/>
            <w:tcBorders>
              <w:top w:val="nil"/>
              <w:left w:val="single" w:sz="4" w:space="0" w:color="auto"/>
              <w:bottom w:val="single" w:sz="4" w:space="0" w:color="auto"/>
              <w:right w:val="single" w:sz="4" w:space="0" w:color="auto"/>
            </w:tcBorders>
            <w:shd w:val="clear" w:color="FFF2CC" w:fill="FFFFCC"/>
            <w:noWrap/>
            <w:vAlign w:val="bottom"/>
            <w:hideMark/>
          </w:tcPr>
          <w:p w:rsidR="008B1A53" w:rsidRPr="008B1A53" w:rsidRDefault="008B1A53">
            <w:pPr>
              <w:jc w:val="right"/>
              <w:rPr>
                <w:rFonts w:ascii="Calibri" w:hAnsi="Calibri" w:cs="Calibri"/>
                <w:color w:val="000000"/>
                <w:sz w:val="18"/>
                <w:szCs w:val="18"/>
              </w:rPr>
            </w:pPr>
            <w:r w:rsidRPr="008B1A53">
              <w:rPr>
                <w:rFonts w:ascii="Calibri" w:hAnsi="Calibri" w:cs="Calibri"/>
                <w:color w:val="000000"/>
                <w:sz w:val="18"/>
                <w:szCs w:val="18"/>
              </w:rPr>
              <w:t>112</w:t>
            </w:r>
          </w:p>
        </w:tc>
        <w:tc>
          <w:tcPr>
            <w:tcW w:w="4117" w:type="dxa"/>
            <w:gridSpan w:val="2"/>
            <w:tcBorders>
              <w:top w:val="single" w:sz="4" w:space="0" w:color="auto"/>
              <w:left w:val="nil"/>
              <w:bottom w:val="single" w:sz="4" w:space="0" w:color="auto"/>
              <w:right w:val="single" w:sz="4" w:space="0" w:color="auto"/>
            </w:tcBorders>
            <w:shd w:val="clear" w:color="FFF2CC" w:fill="FFFFCC"/>
            <w:noWrap/>
            <w:vAlign w:val="bottom"/>
            <w:hideMark/>
          </w:tcPr>
          <w:p w:rsidR="008B1A53" w:rsidRPr="008B1A53" w:rsidRDefault="008B1A53">
            <w:pPr>
              <w:rPr>
                <w:rFonts w:ascii="Calibri" w:hAnsi="Calibri" w:cs="Calibri"/>
                <w:color w:val="000000"/>
                <w:sz w:val="18"/>
                <w:szCs w:val="18"/>
              </w:rPr>
            </w:pPr>
            <w:r w:rsidRPr="008B1A53">
              <w:rPr>
                <w:rFonts w:ascii="Calibri" w:hAnsi="Calibri" w:cs="Calibri"/>
                <w:color w:val="000000"/>
                <w:sz w:val="18"/>
                <w:szCs w:val="18"/>
              </w:rPr>
              <w:t>Daně z příjmů právnických osob</w:t>
            </w:r>
          </w:p>
        </w:tc>
        <w:tc>
          <w:tcPr>
            <w:tcW w:w="1418" w:type="dxa"/>
            <w:tcBorders>
              <w:top w:val="nil"/>
              <w:left w:val="nil"/>
              <w:bottom w:val="single" w:sz="4" w:space="0" w:color="auto"/>
              <w:right w:val="single" w:sz="4" w:space="0" w:color="auto"/>
            </w:tcBorders>
            <w:shd w:val="clear" w:color="FFF2CC" w:fill="FFFFCC"/>
            <w:noWrap/>
            <w:vAlign w:val="bottom"/>
            <w:hideMark/>
          </w:tcPr>
          <w:p w:rsidR="008B1A53" w:rsidRPr="008B1A53" w:rsidRDefault="008B1A53">
            <w:pPr>
              <w:jc w:val="right"/>
              <w:rPr>
                <w:rFonts w:ascii="Calibri" w:hAnsi="Calibri" w:cs="Calibri"/>
                <w:color w:val="000000"/>
                <w:sz w:val="18"/>
                <w:szCs w:val="18"/>
              </w:rPr>
            </w:pPr>
            <w:r w:rsidRPr="008B1A53">
              <w:rPr>
                <w:rFonts w:ascii="Calibri" w:hAnsi="Calibri" w:cs="Calibri"/>
                <w:color w:val="000000"/>
                <w:sz w:val="18"/>
                <w:szCs w:val="18"/>
              </w:rPr>
              <w:t>140 048 665,34</w:t>
            </w:r>
          </w:p>
        </w:tc>
        <w:tc>
          <w:tcPr>
            <w:tcW w:w="1417" w:type="dxa"/>
            <w:tcBorders>
              <w:top w:val="nil"/>
              <w:left w:val="nil"/>
              <w:bottom w:val="single" w:sz="4" w:space="0" w:color="auto"/>
              <w:right w:val="single" w:sz="4" w:space="0" w:color="auto"/>
            </w:tcBorders>
            <w:shd w:val="clear" w:color="FFF2CC" w:fill="FFFFCC"/>
            <w:noWrap/>
            <w:vAlign w:val="bottom"/>
            <w:hideMark/>
          </w:tcPr>
          <w:p w:rsidR="008B1A53" w:rsidRPr="008B1A53" w:rsidRDefault="008B1A53">
            <w:pPr>
              <w:jc w:val="right"/>
              <w:rPr>
                <w:rFonts w:ascii="Calibri" w:hAnsi="Calibri" w:cs="Calibri"/>
                <w:color w:val="000000"/>
                <w:sz w:val="18"/>
                <w:szCs w:val="18"/>
              </w:rPr>
            </w:pPr>
            <w:r w:rsidRPr="008B1A53">
              <w:rPr>
                <w:rFonts w:ascii="Calibri" w:hAnsi="Calibri" w:cs="Calibri"/>
                <w:color w:val="000000"/>
                <w:sz w:val="18"/>
                <w:szCs w:val="18"/>
              </w:rPr>
              <w:t>189 111 607,64</w:t>
            </w:r>
          </w:p>
        </w:tc>
        <w:tc>
          <w:tcPr>
            <w:tcW w:w="1418" w:type="dxa"/>
            <w:tcBorders>
              <w:top w:val="nil"/>
              <w:left w:val="nil"/>
              <w:bottom w:val="single" w:sz="4" w:space="0" w:color="auto"/>
              <w:right w:val="single" w:sz="4" w:space="0" w:color="auto"/>
            </w:tcBorders>
            <w:shd w:val="clear" w:color="FFF2CC" w:fill="FFFFCC"/>
            <w:noWrap/>
            <w:vAlign w:val="bottom"/>
            <w:hideMark/>
          </w:tcPr>
          <w:p w:rsidR="008B1A53" w:rsidRPr="008B1A53" w:rsidRDefault="008B1A53">
            <w:pPr>
              <w:jc w:val="right"/>
              <w:rPr>
                <w:rFonts w:ascii="Calibri" w:hAnsi="Calibri" w:cs="Calibri"/>
                <w:color w:val="000000"/>
                <w:sz w:val="18"/>
                <w:szCs w:val="18"/>
              </w:rPr>
            </w:pPr>
            <w:r w:rsidRPr="008B1A53">
              <w:rPr>
                <w:rFonts w:ascii="Calibri" w:hAnsi="Calibri" w:cs="Calibri"/>
                <w:color w:val="000000"/>
                <w:sz w:val="18"/>
                <w:szCs w:val="18"/>
              </w:rPr>
              <w:t>213 607 610,71</w:t>
            </w:r>
          </w:p>
        </w:tc>
      </w:tr>
      <w:tr w:rsidR="008B1A53" w:rsidRPr="008B1A53" w:rsidTr="008B1A53">
        <w:trPr>
          <w:trHeight w:val="300"/>
        </w:trPr>
        <w:tc>
          <w:tcPr>
            <w:tcW w:w="41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B1A53" w:rsidRPr="008B1A53" w:rsidRDefault="008B1A53">
            <w:pPr>
              <w:jc w:val="center"/>
              <w:rPr>
                <w:rFonts w:ascii="Calibri" w:hAnsi="Calibri" w:cs="Calibri"/>
                <w:color w:val="000000"/>
                <w:sz w:val="18"/>
                <w:szCs w:val="18"/>
              </w:rPr>
            </w:pPr>
            <w:r w:rsidRPr="008B1A53">
              <w:rPr>
                <w:rFonts w:ascii="Calibri" w:hAnsi="Calibri" w:cs="Calibri"/>
                <w:color w:val="000000"/>
                <w:sz w:val="18"/>
                <w:szCs w:val="18"/>
              </w:rPr>
              <w:t> </w:t>
            </w:r>
          </w:p>
        </w:tc>
        <w:tc>
          <w:tcPr>
            <w:tcW w:w="521" w:type="dxa"/>
            <w:tcBorders>
              <w:top w:val="nil"/>
              <w:left w:val="nil"/>
              <w:bottom w:val="single" w:sz="4" w:space="0" w:color="auto"/>
              <w:right w:val="single" w:sz="4" w:space="0" w:color="auto"/>
            </w:tcBorders>
            <w:shd w:val="clear" w:color="auto" w:fill="auto"/>
            <w:noWrap/>
            <w:vAlign w:val="bottom"/>
            <w:hideMark/>
          </w:tcPr>
          <w:p w:rsidR="008B1A53" w:rsidRPr="008B1A53" w:rsidRDefault="008B1A53">
            <w:pPr>
              <w:jc w:val="right"/>
              <w:rPr>
                <w:rFonts w:ascii="Calibri" w:hAnsi="Calibri" w:cs="Calibri"/>
                <w:color w:val="000000"/>
                <w:sz w:val="18"/>
                <w:szCs w:val="18"/>
              </w:rPr>
            </w:pPr>
            <w:r w:rsidRPr="008B1A53">
              <w:rPr>
                <w:rFonts w:ascii="Calibri" w:hAnsi="Calibri" w:cs="Calibri"/>
                <w:color w:val="000000"/>
                <w:sz w:val="18"/>
                <w:szCs w:val="18"/>
              </w:rPr>
              <w:t>1121</w:t>
            </w:r>
          </w:p>
        </w:tc>
        <w:tc>
          <w:tcPr>
            <w:tcW w:w="3596" w:type="dxa"/>
            <w:tcBorders>
              <w:top w:val="nil"/>
              <w:left w:val="nil"/>
              <w:bottom w:val="single" w:sz="4" w:space="0" w:color="auto"/>
              <w:right w:val="single" w:sz="4" w:space="0" w:color="auto"/>
            </w:tcBorders>
            <w:shd w:val="clear" w:color="auto" w:fill="auto"/>
            <w:noWrap/>
            <w:vAlign w:val="bottom"/>
            <w:hideMark/>
          </w:tcPr>
          <w:p w:rsidR="008B1A53" w:rsidRPr="008B1A53" w:rsidRDefault="008B1A53">
            <w:pPr>
              <w:rPr>
                <w:rFonts w:ascii="Calibri" w:hAnsi="Calibri" w:cs="Calibri"/>
                <w:color w:val="000000"/>
                <w:sz w:val="18"/>
                <w:szCs w:val="18"/>
              </w:rPr>
            </w:pPr>
            <w:r w:rsidRPr="008B1A53">
              <w:rPr>
                <w:rFonts w:ascii="Calibri" w:hAnsi="Calibri" w:cs="Calibri"/>
                <w:color w:val="000000"/>
                <w:sz w:val="18"/>
                <w:szCs w:val="18"/>
              </w:rPr>
              <w:t>Daň z příjmů právnických osob</w:t>
            </w:r>
          </w:p>
        </w:tc>
        <w:tc>
          <w:tcPr>
            <w:tcW w:w="1418" w:type="dxa"/>
            <w:tcBorders>
              <w:top w:val="nil"/>
              <w:left w:val="nil"/>
              <w:bottom w:val="single" w:sz="4" w:space="0" w:color="auto"/>
              <w:right w:val="single" w:sz="4" w:space="0" w:color="auto"/>
            </w:tcBorders>
            <w:shd w:val="clear" w:color="auto" w:fill="auto"/>
            <w:noWrap/>
            <w:vAlign w:val="bottom"/>
            <w:hideMark/>
          </w:tcPr>
          <w:p w:rsidR="008B1A53" w:rsidRPr="008B1A53" w:rsidRDefault="008B1A53">
            <w:pPr>
              <w:jc w:val="right"/>
              <w:rPr>
                <w:rFonts w:ascii="Calibri" w:hAnsi="Calibri" w:cs="Calibri"/>
                <w:color w:val="000000"/>
                <w:sz w:val="18"/>
                <w:szCs w:val="18"/>
              </w:rPr>
            </w:pPr>
            <w:r w:rsidRPr="008B1A53">
              <w:rPr>
                <w:rFonts w:ascii="Calibri" w:hAnsi="Calibri" w:cs="Calibri"/>
                <w:color w:val="000000"/>
                <w:sz w:val="18"/>
                <w:szCs w:val="18"/>
              </w:rPr>
              <w:t>115 435 405,34</w:t>
            </w:r>
          </w:p>
        </w:tc>
        <w:tc>
          <w:tcPr>
            <w:tcW w:w="1417" w:type="dxa"/>
            <w:tcBorders>
              <w:top w:val="nil"/>
              <w:left w:val="nil"/>
              <w:bottom w:val="single" w:sz="4" w:space="0" w:color="auto"/>
              <w:right w:val="single" w:sz="4" w:space="0" w:color="auto"/>
            </w:tcBorders>
            <w:shd w:val="clear" w:color="auto" w:fill="auto"/>
            <w:noWrap/>
            <w:vAlign w:val="bottom"/>
            <w:hideMark/>
          </w:tcPr>
          <w:p w:rsidR="008B1A53" w:rsidRPr="008B1A53" w:rsidRDefault="008B1A53">
            <w:pPr>
              <w:jc w:val="right"/>
              <w:rPr>
                <w:rFonts w:ascii="Calibri" w:hAnsi="Calibri" w:cs="Calibri"/>
                <w:color w:val="000000"/>
                <w:sz w:val="18"/>
                <w:szCs w:val="18"/>
              </w:rPr>
            </w:pPr>
            <w:r w:rsidRPr="008B1A53">
              <w:rPr>
                <w:rFonts w:ascii="Calibri" w:hAnsi="Calibri" w:cs="Calibri"/>
                <w:color w:val="000000"/>
                <w:sz w:val="18"/>
                <w:szCs w:val="18"/>
              </w:rPr>
              <w:t>164 587 047,64</w:t>
            </w:r>
          </w:p>
        </w:tc>
        <w:tc>
          <w:tcPr>
            <w:tcW w:w="1418" w:type="dxa"/>
            <w:tcBorders>
              <w:top w:val="nil"/>
              <w:left w:val="nil"/>
              <w:bottom w:val="single" w:sz="4" w:space="0" w:color="auto"/>
              <w:right w:val="single" w:sz="4" w:space="0" w:color="auto"/>
            </w:tcBorders>
            <w:shd w:val="clear" w:color="auto" w:fill="auto"/>
            <w:noWrap/>
            <w:vAlign w:val="bottom"/>
            <w:hideMark/>
          </w:tcPr>
          <w:p w:rsidR="008B1A53" w:rsidRPr="008B1A53" w:rsidRDefault="008B1A53">
            <w:pPr>
              <w:jc w:val="right"/>
              <w:rPr>
                <w:rFonts w:ascii="Calibri" w:hAnsi="Calibri" w:cs="Calibri"/>
                <w:color w:val="000000"/>
                <w:sz w:val="18"/>
                <w:szCs w:val="18"/>
              </w:rPr>
            </w:pPr>
            <w:r w:rsidRPr="008B1A53">
              <w:rPr>
                <w:rFonts w:ascii="Calibri" w:hAnsi="Calibri" w:cs="Calibri"/>
                <w:color w:val="000000"/>
                <w:sz w:val="18"/>
                <w:szCs w:val="18"/>
              </w:rPr>
              <w:t>190 288 860,71</w:t>
            </w:r>
          </w:p>
        </w:tc>
      </w:tr>
      <w:tr w:rsidR="008B1A53" w:rsidRPr="008B1A53" w:rsidTr="008B1A53">
        <w:trPr>
          <w:trHeight w:val="300"/>
        </w:trPr>
        <w:tc>
          <w:tcPr>
            <w:tcW w:w="414" w:type="dxa"/>
            <w:vMerge/>
            <w:tcBorders>
              <w:top w:val="nil"/>
              <w:left w:val="single" w:sz="4" w:space="0" w:color="auto"/>
              <w:bottom w:val="single" w:sz="4" w:space="0" w:color="auto"/>
              <w:right w:val="single" w:sz="4" w:space="0" w:color="auto"/>
            </w:tcBorders>
            <w:vAlign w:val="center"/>
            <w:hideMark/>
          </w:tcPr>
          <w:p w:rsidR="008B1A53" w:rsidRPr="008B1A53" w:rsidRDefault="008B1A53">
            <w:pPr>
              <w:rPr>
                <w:rFonts w:ascii="Calibri" w:hAnsi="Calibri" w:cs="Calibri"/>
                <w:color w:val="000000"/>
                <w:sz w:val="18"/>
                <w:szCs w:val="18"/>
              </w:rPr>
            </w:pPr>
          </w:p>
        </w:tc>
        <w:tc>
          <w:tcPr>
            <w:tcW w:w="521" w:type="dxa"/>
            <w:tcBorders>
              <w:top w:val="nil"/>
              <w:left w:val="nil"/>
              <w:bottom w:val="single" w:sz="4" w:space="0" w:color="auto"/>
              <w:right w:val="single" w:sz="4" w:space="0" w:color="auto"/>
            </w:tcBorders>
            <w:shd w:val="clear" w:color="auto" w:fill="auto"/>
            <w:noWrap/>
            <w:vAlign w:val="bottom"/>
            <w:hideMark/>
          </w:tcPr>
          <w:p w:rsidR="008B1A53" w:rsidRPr="008B1A53" w:rsidRDefault="008B1A53">
            <w:pPr>
              <w:jc w:val="right"/>
              <w:rPr>
                <w:rFonts w:ascii="Calibri" w:hAnsi="Calibri" w:cs="Calibri"/>
                <w:color w:val="000000"/>
                <w:sz w:val="18"/>
                <w:szCs w:val="18"/>
              </w:rPr>
            </w:pPr>
            <w:r w:rsidRPr="008B1A53">
              <w:rPr>
                <w:rFonts w:ascii="Calibri" w:hAnsi="Calibri" w:cs="Calibri"/>
                <w:color w:val="000000"/>
                <w:sz w:val="18"/>
                <w:szCs w:val="18"/>
              </w:rPr>
              <w:t>1122</w:t>
            </w:r>
          </w:p>
        </w:tc>
        <w:tc>
          <w:tcPr>
            <w:tcW w:w="3596" w:type="dxa"/>
            <w:tcBorders>
              <w:top w:val="nil"/>
              <w:left w:val="nil"/>
              <w:bottom w:val="single" w:sz="4" w:space="0" w:color="auto"/>
              <w:right w:val="single" w:sz="4" w:space="0" w:color="auto"/>
            </w:tcBorders>
            <w:shd w:val="clear" w:color="auto" w:fill="auto"/>
            <w:noWrap/>
            <w:vAlign w:val="bottom"/>
            <w:hideMark/>
          </w:tcPr>
          <w:p w:rsidR="008B1A53" w:rsidRPr="008B1A53" w:rsidRDefault="008B1A53">
            <w:pPr>
              <w:rPr>
                <w:rFonts w:ascii="Calibri" w:hAnsi="Calibri" w:cs="Calibri"/>
                <w:color w:val="000000"/>
                <w:sz w:val="18"/>
                <w:szCs w:val="18"/>
              </w:rPr>
            </w:pPr>
            <w:r w:rsidRPr="008B1A53">
              <w:rPr>
                <w:rFonts w:ascii="Calibri" w:hAnsi="Calibri" w:cs="Calibri"/>
                <w:color w:val="000000"/>
                <w:sz w:val="18"/>
                <w:szCs w:val="18"/>
              </w:rPr>
              <w:t>Daň z příjmů právnických osob za obce</w:t>
            </w:r>
          </w:p>
        </w:tc>
        <w:tc>
          <w:tcPr>
            <w:tcW w:w="1418" w:type="dxa"/>
            <w:tcBorders>
              <w:top w:val="nil"/>
              <w:left w:val="nil"/>
              <w:bottom w:val="single" w:sz="4" w:space="0" w:color="auto"/>
              <w:right w:val="single" w:sz="4" w:space="0" w:color="auto"/>
            </w:tcBorders>
            <w:shd w:val="clear" w:color="auto" w:fill="auto"/>
            <w:noWrap/>
            <w:vAlign w:val="bottom"/>
            <w:hideMark/>
          </w:tcPr>
          <w:p w:rsidR="008B1A53" w:rsidRPr="008B1A53" w:rsidRDefault="008B1A53">
            <w:pPr>
              <w:jc w:val="right"/>
              <w:rPr>
                <w:rFonts w:ascii="Calibri" w:hAnsi="Calibri" w:cs="Calibri"/>
                <w:color w:val="000000"/>
                <w:sz w:val="18"/>
                <w:szCs w:val="18"/>
              </w:rPr>
            </w:pPr>
            <w:r w:rsidRPr="008B1A53">
              <w:rPr>
                <w:rFonts w:ascii="Calibri" w:hAnsi="Calibri" w:cs="Calibri"/>
                <w:color w:val="000000"/>
                <w:sz w:val="18"/>
                <w:szCs w:val="18"/>
              </w:rPr>
              <w:t>24 613 260,00</w:t>
            </w:r>
          </w:p>
        </w:tc>
        <w:tc>
          <w:tcPr>
            <w:tcW w:w="1417" w:type="dxa"/>
            <w:tcBorders>
              <w:top w:val="nil"/>
              <w:left w:val="nil"/>
              <w:bottom w:val="single" w:sz="4" w:space="0" w:color="auto"/>
              <w:right w:val="single" w:sz="4" w:space="0" w:color="auto"/>
            </w:tcBorders>
            <w:shd w:val="clear" w:color="auto" w:fill="auto"/>
            <w:noWrap/>
            <w:vAlign w:val="bottom"/>
            <w:hideMark/>
          </w:tcPr>
          <w:p w:rsidR="008B1A53" w:rsidRPr="008B1A53" w:rsidRDefault="008B1A53">
            <w:pPr>
              <w:jc w:val="right"/>
              <w:rPr>
                <w:rFonts w:ascii="Calibri" w:hAnsi="Calibri" w:cs="Calibri"/>
                <w:color w:val="000000"/>
                <w:sz w:val="18"/>
                <w:szCs w:val="18"/>
              </w:rPr>
            </w:pPr>
            <w:r w:rsidRPr="008B1A53">
              <w:rPr>
                <w:rFonts w:ascii="Calibri" w:hAnsi="Calibri" w:cs="Calibri"/>
                <w:color w:val="000000"/>
                <w:sz w:val="18"/>
                <w:szCs w:val="18"/>
              </w:rPr>
              <w:t>24 524 560,00</w:t>
            </w:r>
          </w:p>
        </w:tc>
        <w:tc>
          <w:tcPr>
            <w:tcW w:w="1418" w:type="dxa"/>
            <w:tcBorders>
              <w:top w:val="nil"/>
              <w:left w:val="nil"/>
              <w:bottom w:val="single" w:sz="4" w:space="0" w:color="auto"/>
              <w:right w:val="single" w:sz="4" w:space="0" w:color="auto"/>
            </w:tcBorders>
            <w:shd w:val="clear" w:color="auto" w:fill="auto"/>
            <w:noWrap/>
            <w:vAlign w:val="bottom"/>
            <w:hideMark/>
          </w:tcPr>
          <w:p w:rsidR="008B1A53" w:rsidRPr="008B1A53" w:rsidRDefault="008B1A53">
            <w:pPr>
              <w:jc w:val="right"/>
              <w:rPr>
                <w:rFonts w:ascii="Calibri" w:hAnsi="Calibri" w:cs="Calibri"/>
                <w:color w:val="000000"/>
                <w:sz w:val="18"/>
                <w:szCs w:val="18"/>
              </w:rPr>
            </w:pPr>
            <w:r w:rsidRPr="008B1A53">
              <w:rPr>
                <w:rFonts w:ascii="Calibri" w:hAnsi="Calibri" w:cs="Calibri"/>
                <w:color w:val="000000"/>
                <w:sz w:val="18"/>
                <w:szCs w:val="18"/>
              </w:rPr>
              <w:t>23 318 750,00</w:t>
            </w:r>
          </w:p>
        </w:tc>
      </w:tr>
      <w:tr w:rsidR="008B1A53" w:rsidRPr="008B1A53" w:rsidTr="008B1A53">
        <w:trPr>
          <w:trHeight w:val="300"/>
        </w:trPr>
        <w:tc>
          <w:tcPr>
            <w:tcW w:w="414" w:type="dxa"/>
            <w:tcBorders>
              <w:top w:val="nil"/>
              <w:left w:val="single" w:sz="4" w:space="0" w:color="auto"/>
              <w:bottom w:val="single" w:sz="4" w:space="0" w:color="auto"/>
              <w:right w:val="single" w:sz="4" w:space="0" w:color="auto"/>
            </w:tcBorders>
            <w:shd w:val="clear" w:color="FFF2CC" w:fill="FFFFCC"/>
            <w:noWrap/>
            <w:vAlign w:val="bottom"/>
            <w:hideMark/>
          </w:tcPr>
          <w:p w:rsidR="008B1A53" w:rsidRPr="008B1A53" w:rsidRDefault="008B1A53">
            <w:pPr>
              <w:jc w:val="right"/>
              <w:rPr>
                <w:rFonts w:ascii="Calibri" w:hAnsi="Calibri" w:cs="Calibri"/>
                <w:color w:val="000000"/>
                <w:sz w:val="18"/>
                <w:szCs w:val="18"/>
              </w:rPr>
            </w:pPr>
            <w:r w:rsidRPr="008B1A53">
              <w:rPr>
                <w:rFonts w:ascii="Calibri" w:hAnsi="Calibri" w:cs="Calibri"/>
                <w:color w:val="000000"/>
                <w:sz w:val="18"/>
                <w:szCs w:val="18"/>
              </w:rPr>
              <w:t>121</w:t>
            </w:r>
          </w:p>
        </w:tc>
        <w:tc>
          <w:tcPr>
            <w:tcW w:w="4117" w:type="dxa"/>
            <w:gridSpan w:val="2"/>
            <w:tcBorders>
              <w:top w:val="single" w:sz="4" w:space="0" w:color="auto"/>
              <w:left w:val="nil"/>
              <w:bottom w:val="single" w:sz="4" w:space="0" w:color="auto"/>
              <w:right w:val="single" w:sz="4" w:space="0" w:color="auto"/>
            </w:tcBorders>
            <w:shd w:val="clear" w:color="FFF2CC" w:fill="FFFFCC"/>
            <w:noWrap/>
            <w:vAlign w:val="bottom"/>
            <w:hideMark/>
          </w:tcPr>
          <w:p w:rsidR="008B1A53" w:rsidRPr="008B1A53" w:rsidRDefault="008B1A53">
            <w:pPr>
              <w:rPr>
                <w:rFonts w:ascii="Calibri" w:hAnsi="Calibri" w:cs="Calibri"/>
                <w:color w:val="000000"/>
                <w:sz w:val="18"/>
                <w:szCs w:val="18"/>
              </w:rPr>
            </w:pPr>
            <w:r w:rsidRPr="008B1A53">
              <w:rPr>
                <w:rFonts w:ascii="Calibri" w:hAnsi="Calibri" w:cs="Calibri"/>
                <w:color w:val="000000"/>
                <w:sz w:val="18"/>
                <w:szCs w:val="18"/>
              </w:rPr>
              <w:t>Obecné daně ze zboží a služeb v tuzemsku</w:t>
            </w:r>
          </w:p>
        </w:tc>
        <w:tc>
          <w:tcPr>
            <w:tcW w:w="1418" w:type="dxa"/>
            <w:tcBorders>
              <w:top w:val="nil"/>
              <w:left w:val="nil"/>
              <w:bottom w:val="single" w:sz="4" w:space="0" w:color="auto"/>
              <w:right w:val="single" w:sz="4" w:space="0" w:color="auto"/>
            </w:tcBorders>
            <w:shd w:val="clear" w:color="FFF2CC" w:fill="FFFFCC"/>
            <w:noWrap/>
            <w:vAlign w:val="bottom"/>
            <w:hideMark/>
          </w:tcPr>
          <w:p w:rsidR="008B1A53" w:rsidRPr="008B1A53" w:rsidRDefault="008B1A53">
            <w:pPr>
              <w:jc w:val="right"/>
              <w:rPr>
                <w:rFonts w:ascii="Calibri" w:hAnsi="Calibri" w:cs="Calibri"/>
                <w:color w:val="000000"/>
                <w:sz w:val="18"/>
                <w:szCs w:val="18"/>
              </w:rPr>
            </w:pPr>
            <w:r w:rsidRPr="008B1A53">
              <w:rPr>
                <w:rFonts w:ascii="Calibri" w:hAnsi="Calibri" w:cs="Calibri"/>
                <w:color w:val="000000"/>
                <w:sz w:val="18"/>
                <w:szCs w:val="18"/>
              </w:rPr>
              <w:t>316 641 918,05</w:t>
            </w:r>
          </w:p>
        </w:tc>
        <w:tc>
          <w:tcPr>
            <w:tcW w:w="1417" w:type="dxa"/>
            <w:tcBorders>
              <w:top w:val="nil"/>
              <w:left w:val="nil"/>
              <w:bottom w:val="single" w:sz="4" w:space="0" w:color="auto"/>
              <w:right w:val="single" w:sz="4" w:space="0" w:color="auto"/>
            </w:tcBorders>
            <w:shd w:val="clear" w:color="FFF2CC" w:fill="FFFFCC"/>
            <w:noWrap/>
            <w:vAlign w:val="bottom"/>
            <w:hideMark/>
          </w:tcPr>
          <w:p w:rsidR="008B1A53" w:rsidRPr="008B1A53" w:rsidRDefault="008B1A53">
            <w:pPr>
              <w:jc w:val="right"/>
              <w:rPr>
                <w:rFonts w:ascii="Calibri" w:hAnsi="Calibri" w:cs="Calibri"/>
                <w:color w:val="000000"/>
                <w:sz w:val="18"/>
                <w:szCs w:val="18"/>
              </w:rPr>
            </w:pPr>
            <w:r w:rsidRPr="008B1A53">
              <w:rPr>
                <w:rFonts w:ascii="Calibri" w:hAnsi="Calibri" w:cs="Calibri"/>
                <w:color w:val="000000"/>
                <w:sz w:val="18"/>
                <w:szCs w:val="18"/>
              </w:rPr>
              <w:t>368 145 590,82</w:t>
            </w:r>
          </w:p>
        </w:tc>
        <w:tc>
          <w:tcPr>
            <w:tcW w:w="1418" w:type="dxa"/>
            <w:tcBorders>
              <w:top w:val="nil"/>
              <w:left w:val="nil"/>
              <w:bottom w:val="single" w:sz="4" w:space="0" w:color="auto"/>
              <w:right w:val="single" w:sz="4" w:space="0" w:color="auto"/>
            </w:tcBorders>
            <w:shd w:val="clear" w:color="FFF2CC" w:fill="FFFFCC"/>
            <w:noWrap/>
            <w:vAlign w:val="bottom"/>
            <w:hideMark/>
          </w:tcPr>
          <w:p w:rsidR="008B1A53" w:rsidRPr="008B1A53" w:rsidRDefault="008B1A53">
            <w:pPr>
              <w:jc w:val="right"/>
              <w:rPr>
                <w:rFonts w:ascii="Calibri" w:hAnsi="Calibri" w:cs="Calibri"/>
                <w:color w:val="000000"/>
                <w:sz w:val="18"/>
                <w:szCs w:val="18"/>
              </w:rPr>
            </w:pPr>
            <w:r w:rsidRPr="008B1A53">
              <w:rPr>
                <w:rFonts w:ascii="Calibri" w:hAnsi="Calibri" w:cs="Calibri"/>
                <w:color w:val="000000"/>
                <w:sz w:val="18"/>
                <w:szCs w:val="18"/>
              </w:rPr>
              <w:t>432 213 751,54</w:t>
            </w:r>
          </w:p>
        </w:tc>
      </w:tr>
      <w:tr w:rsidR="008B1A53" w:rsidRPr="008B1A53" w:rsidTr="008B1A53">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8B1A53" w:rsidRPr="008B1A53" w:rsidRDefault="008B1A53">
            <w:pPr>
              <w:rPr>
                <w:rFonts w:ascii="Calibri" w:hAnsi="Calibri" w:cs="Calibri"/>
                <w:color w:val="000000"/>
                <w:sz w:val="18"/>
                <w:szCs w:val="18"/>
              </w:rPr>
            </w:pPr>
            <w:r w:rsidRPr="008B1A53">
              <w:rPr>
                <w:rFonts w:ascii="Calibri" w:hAnsi="Calibri" w:cs="Calibri"/>
                <w:color w:val="000000"/>
                <w:sz w:val="18"/>
                <w:szCs w:val="18"/>
              </w:rPr>
              <w:t> </w:t>
            </w:r>
          </w:p>
        </w:tc>
        <w:tc>
          <w:tcPr>
            <w:tcW w:w="521" w:type="dxa"/>
            <w:tcBorders>
              <w:top w:val="nil"/>
              <w:left w:val="nil"/>
              <w:bottom w:val="single" w:sz="4" w:space="0" w:color="auto"/>
              <w:right w:val="single" w:sz="4" w:space="0" w:color="auto"/>
            </w:tcBorders>
            <w:shd w:val="clear" w:color="auto" w:fill="auto"/>
            <w:noWrap/>
            <w:vAlign w:val="bottom"/>
            <w:hideMark/>
          </w:tcPr>
          <w:p w:rsidR="008B1A53" w:rsidRPr="008B1A53" w:rsidRDefault="008B1A53">
            <w:pPr>
              <w:jc w:val="right"/>
              <w:rPr>
                <w:rFonts w:ascii="Calibri" w:hAnsi="Calibri" w:cs="Calibri"/>
                <w:color w:val="000000"/>
                <w:sz w:val="18"/>
                <w:szCs w:val="18"/>
              </w:rPr>
            </w:pPr>
            <w:r w:rsidRPr="008B1A53">
              <w:rPr>
                <w:rFonts w:ascii="Calibri" w:hAnsi="Calibri" w:cs="Calibri"/>
                <w:color w:val="000000"/>
                <w:sz w:val="18"/>
                <w:szCs w:val="18"/>
              </w:rPr>
              <w:t>1211</w:t>
            </w:r>
          </w:p>
        </w:tc>
        <w:tc>
          <w:tcPr>
            <w:tcW w:w="3596" w:type="dxa"/>
            <w:tcBorders>
              <w:top w:val="nil"/>
              <w:left w:val="nil"/>
              <w:bottom w:val="single" w:sz="4" w:space="0" w:color="auto"/>
              <w:right w:val="single" w:sz="4" w:space="0" w:color="auto"/>
            </w:tcBorders>
            <w:shd w:val="clear" w:color="auto" w:fill="auto"/>
            <w:noWrap/>
            <w:vAlign w:val="bottom"/>
            <w:hideMark/>
          </w:tcPr>
          <w:p w:rsidR="008B1A53" w:rsidRPr="008B1A53" w:rsidRDefault="008B1A53">
            <w:pPr>
              <w:rPr>
                <w:rFonts w:ascii="Calibri" w:hAnsi="Calibri" w:cs="Calibri"/>
                <w:color w:val="000000"/>
                <w:sz w:val="18"/>
                <w:szCs w:val="18"/>
              </w:rPr>
            </w:pPr>
            <w:r w:rsidRPr="008B1A53">
              <w:rPr>
                <w:rFonts w:ascii="Calibri" w:hAnsi="Calibri" w:cs="Calibri"/>
                <w:color w:val="000000"/>
                <w:sz w:val="18"/>
                <w:szCs w:val="18"/>
              </w:rPr>
              <w:t>Daň z přidané hodnoty</w:t>
            </w:r>
          </w:p>
        </w:tc>
        <w:tc>
          <w:tcPr>
            <w:tcW w:w="1418" w:type="dxa"/>
            <w:tcBorders>
              <w:top w:val="nil"/>
              <w:left w:val="nil"/>
              <w:bottom w:val="single" w:sz="4" w:space="0" w:color="auto"/>
              <w:right w:val="single" w:sz="4" w:space="0" w:color="auto"/>
            </w:tcBorders>
            <w:shd w:val="clear" w:color="auto" w:fill="auto"/>
            <w:noWrap/>
            <w:vAlign w:val="bottom"/>
            <w:hideMark/>
          </w:tcPr>
          <w:p w:rsidR="008B1A53" w:rsidRPr="008B1A53" w:rsidRDefault="008B1A53">
            <w:pPr>
              <w:jc w:val="right"/>
              <w:rPr>
                <w:rFonts w:ascii="Calibri" w:hAnsi="Calibri" w:cs="Calibri"/>
                <w:color w:val="000000"/>
                <w:sz w:val="18"/>
                <w:szCs w:val="18"/>
              </w:rPr>
            </w:pPr>
            <w:r w:rsidRPr="008B1A53">
              <w:rPr>
                <w:rFonts w:ascii="Calibri" w:hAnsi="Calibri" w:cs="Calibri"/>
                <w:color w:val="000000"/>
                <w:sz w:val="18"/>
                <w:szCs w:val="18"/>
              </w:rPr>
              <w:t>316 641 918,05</w:t>
            </w:r>
          </w:p>
        </w:tc>
        <w:tc>
          <w:tcPr>
            <w:tcW w:w="1417" w:type="dxa"/>
            <w:tcBorders>
              <w:top w:val="nil"/>
              <w:left w:val="nil"/>
              <w:bottom w:val="single" w:sz="4" w:space="0" w:color="auto"/>
              <w:right w:val="single" w:sz="4" w:space="0" w:color="auto"/>
            </w:tcBorders>
            <w:shd w:val="clear" w:color="auto" w:fill="auto"/>
            <w:noWrap/>
            <w:vAlign w:val="bottom"/>
            <w:hideMark/>
          </w:tcPr>
          <w:p w:rsidR="008B1A53" w:rsidRPr="008B1A53" w:rsidRDefault="008B1A53">
            <w:pPr>
              <w:jc w:val="right"/>
              <w:rPr>
                <w:rFonts w:ascii="Calibri" w:hAnsi="Calibri" w:cs="Calibri"/>
                <w:color w:val="000000"/>
                <w:sz w:val="18"/>
                <w:szCs w:val="18"/>
              </w:rPr>
            </w:pPr>
            <w:r w:rsidRPr="008B1A53">
              <w:rPr>
                <w:rFonts w:ascii="Calibri" w:hAnsi="Calibri" w:cs="Calibri"/>
                <w:color w:val="000000"/>
                <w:sz w:val="18"/>
                <w:szCs w:val="18"/>
              </w:rPr>
              <w:t>368 145 590,82</w:t>
            </w:r>
          </w:p>
        </w:tc>
        <w:tc>
          <w:tcPr>
            <w:tcW w:w="1418" w:type="dxa"/>
            <w:tcBorders>
              <w:top w:val="nil"/>
              <w:left w:val="nil"/>
              <w:bottom w:val="single" w:sz="4" w:space="0" w:color="auto"/>
              <w:right w:val="single" w:sz="4" w:space="0" w:color="auto"/>
            </w:tcBorders>
            <w:shd w:val="clear" w:color="auto" w:fill="auto"/>
            <w:noWrap/>
            <w:vAlign w:val="bottom"/>
            <w:hideMark/>
          </w:tcPr>
          <w:p w:rsidR="008B1A53" w:rsidRPr="008B1A53" w:rsidRDefault="008B1A53">
            <w:pPr>
              <w:jc w:val="right"/>
              <w:rPr>
                <w:rFonts w:ascii="Calibri" w:hAnsi="Calibri" w:cs="Calibri"/>
                <w:color w:val="000000"/>
                <w:sz w:val="18"/>
                <w:szCs w:val="18"/>
              </w:rPr>
            </w:pPr>
            <w:r w:rsidRPr="008B1A53">
              <w:rPr>
                <w:rFonts w:ascii="Calibri" w:hAnsi="Calibri" w:cs="Calibri"/>
                <w:color w:val="000000"/>
                <w:sz w:val="18"/>
                <w:szCs w:val="18"/>
              </w:rPr>
              <w:t>432 213 751,54</w:t>
            </w:r>
          </w:p>
        </w:tc>
      </w:tr>
    </w:tbl>
    <w:p w:rsidR="008B1A53" w:rsidRDefault="008B1A53" w:rsidP="008B1A53"/>
    <w:p w:rsidR="008B1A53" w:rsidRPr="008B1A53" w:rsidRDefault="008B1A53" w:rsidP="008B1A53"/>
    <w:p w:rsidR="00430104" w:rsidRPr="00430104" w:rsidRDefault="008B1A53" w:rsidP="008B1A53">
      <w:pPr>
        <w:jc w:val="center"/>
      </w:pPr>
      <w:r>
        <w:rPr>
          <w:noProof/>
        </w:rPr>
        <w:drawing>
          <wp:inline distT="0" distB="0" distL="0" distR="0" wp14:anchorId="6CB9E1C4" wp14:editId="2302B8AB">
            <wp:extent cx="4304665" cy="2776152"/>
            <wp:effectExtent l="0" t="0" r="635" b="5715"/>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46DCD" w:rsidRDefault="00D46DCD" w:rsidP="00F061FA">
      <w:pPr>
        <w:jc w:val="both"/>
        <w:rPr>
          <w:noProof/>
        </w:rPr>
      </w:pPr>
    </w:p>
    <w:p w:rsidR="00AF4AD0" w:rsidRDefault="00AF4AD0" w:rsidP="00F061FA">
      <w:pPr>
        <w:jc w:val="both"/>
        <w:rPr>
          <w:noProof/>
        </w:rPr>
      </w:pPr>
    </w:p>
    <w:p w:rsidR="00AF4AD0" w:rsidRDefault="00AF4AD0" w:rsidP="00F061FA">
      <w:pPr>
        <w:jc w:val="both"/>
        <w:rPr>
          <w:noProof/>
        </w:rPr>
      </w:pPr>
    </w:p>
    <w:p w:rsidR="00430104" w:rsidRDefault="00430104" w:rsidP="00AF4AD0">
      <w:pPr>
        <w:jc w:val="center"/>
        <w:rPr>
          <w:rFonts w:ascii="Calibri" w:hAnsi="Calibri"/>
          <w:sz w:val="20"/>
          <w:szCs w:val="20"/>
        </w:rPr>
      </w:pPr>
    </w:p>
    <w:p w:rsidR="0093243D" w:rsidRDefault="0093243D" w:rsidP="00F061FA">
      <w:pPr>
        <w:jc w:val="both"/>
        <w:rPr>
          <w:rFonts w:ascii="Calibri" w:hAnsi="Calibri"/>
          <w:sz w:val="20"/>
          <w:szCs w:val="20"/>
        </w:rPr>
      </w:pPr>
    </w:p>
    <w:p w:rsidR="0093243D" w:rsidRPr="00D14A72" w:rsidRDefault="0093243D" w:rsidP="00F061FA">
      <w:pPr>
        <w:jc w:val="both"/>
        <w:rPr>
          <w:rFonts w:ascii="Calibri" w:hAnsi="Calibri"/>
          <w:sz w:val="20"/>
          <w:szCs w:val="20"/>
        </w:rPr>
      </w:pPr>
    </w:p>
    <w:p w:rsidR="00C6321B" w:rsidRDefault="00C6321B" w:rsidP="002D4F4D">
      <w:pPr>
        <w:pStyle w:val="Nadpis2"/>
        <w:jc w:val="center"/>
      </w:pPr>
    </w:p>
    <w:p w:rsidR="00C6321B" w:rsidRDefault="00C6321B" w:rsidP="00C6321B">
      <w:pPr>
        <w:jc w:val="center"/>
      </w:pPr>
    </w:p>
    <w:p w:rsidR="00C6321B" w:rsidRDefault="00C6321B" w:rsidP="00295F1F"/>
    <w:p w:rsidR="00295F1F" w:rsidRDefault="00295F1F" w:rsidP="00295F1F"/>
    <w:p w:rsidR="00295F1F" w:rsidRDefault="00295F1F" w:rsidP="00295F1F"/>
    <w:p w:rsidR="00295F1F" w:rsidRDefault="00295F1F" w:rsidP="00295F1F"/>
    <w:p w:rsidR="00295F1F" w:rsidRDefault="00295F1F" w:rsidP="00295F1F"/>
    <w:p w:rsidR="00295F1F" w:rsidRDefault="00295F1F" w:rsidP="00295F1F"/>
    <w:p w:rsidR="00295F1F" w:rsidRDefault="00295F1F" w:rsidP="00295F1F"/>
    <w:p w:rsidR="00295F1F" w:rsidRDefault="00295F1F" w:rsidP="00295F1F"/>
    <w:p w:rsidR="00295F1F" w:rsidRPr="003647CC" w:rsidRDefault="00295F1F" w:rsidP="00295F1F">
      <w:pPr>
        <w:rPr>
          <w:rFonts w:asciiTheme="minorHAnsi" w:hAnsiTheme="minorHAnsi" w:cstheme="minorHAnsi"/>
          <w:sz w:val="22"/>
          <w:szCs w:val="22"/>
          <w:u w:val="single"/>
        </w:rPr>
      </w:pPr>
      <w:r w:rsidRPr="003647CC">
        <w:rPr>
          <w:rFonts w:asciiTheme="minorHAnsi" w:hAnsiTheme="minorHAnsi" w:cstheme="minorHAnsi"/>
          <w:sz w:val="22"/>
          <w:szCs w:val="22"/>
          <w:u w:val="single"/>
        </w:rPr>
        <w:lastRenderedPageBreak/>
        <w:t>Inkaso daní dle jednotlivých měsíců v roce 2022 (v tis. Kč)</w:t>
      </w:r>
    </w:p>
    <w:p w:rsidR="00430104" w:rsidRDefault="00430104" w:rsidP="003647CC">
      <w:pPr>
        <w:pStyle w:val="Nadpis2"/>
        <w:spacing w:after="0"/>
        <w:jc w:val="center"/>
      </w:pPr>
    </w:p>
    <w:p w:rsidR="00F33B1F" w:rsidRPr="00F33B1F" w:rsidRDefault="001E7D53" w:rsidP="003647CC">
      <w:r w:rsidRPr="001E7D53">
        <w:rPr>
          <w:noProof/>
        </w:rPr>
        <w:drawing>
          <wp:inline distT="0" distB="0" distL="0" distR="0">
            <wp:extent cx="8311218" cy="2721830"/>
            <wp:effectExtent l="0" t="5715" r="8255" b="825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6200000">
                      <a:off x="0" y="0"/>
                      <a:ext cx="8365908" cy="2739740"/>
                    </a:xfrm>
                    <a:prstGeom prst="rect">
                      <a:avLst/>
                    </a:prstGeom>
                    <a:noFill/>
                    <a:ln>
                      <a:noFill/>
                    </a:ln>
                  </pic:spPr>
                </pic:pic>
              </a:graphicData>
            </a:graphic>
          </wp:inline>
        </w:drawing>
      </w:r>
    </w:p>
    <w:p w:rsidR="00295F1F" w:rsidRDefault="00295F1F" w:rsidP="00295F1F"/>
    <w:p w:rsidR="002D4F4D" w:rsidRDefault="002D4F4D" w:rsidP="002D4F4D">
      <w:pPr>
        <w:pStyle w:val="Nadpis2"/>
      </w:pPr>
      <w:bookmarkStart w:id="10" w:name="_Toc39129496"/>
      <w:r>
        <w:lastRenderedPageBreak/>
        <w:t>Daně a poplatky z vybraných činností a služeb</w:t>
      </w:r>
    </w:p>
    <w:p w:rsidR="004711D2" w:rsidRDefault="00DE0FA4" w:rsidP="0024764D">
      <w:pPr>
        <w:pStyle w:val="Nadpis3"/>
        <w:rPr>
          <w:b w:val="0"/>
        </w:rPr>
      </w:pPr>
      <w:r w:rsidRPr="00A53C4D">
        <w:rPr>
          <w:b w:val="0"/>
        </w:rPr>
        <w:t>Srovnání daní a poplatků z vybraných činností a služeb v letech 20</w:t>
      </w:r>
      <w:r w:rsidR="003647CC">
        <w:rPr>
          <w:b w:val="0"/>
        </w:rPr>
        <w:t>20</w:t>
      </w:r>
      <w:r w:rsidRPr="00A53C4D">
        <w:rPr>
          <w:b w:val="0"/>
        </w:rPr>
        <w:t xml:space="preserve"> </w:t>
      </w:r>
      <w:r w:rsidR="002E4D8C" w:rsidRPr="00A53C4D">
        <w:rPr>
          <w:b w:val="0"/>
        </w:rPr>
        <w:t>–</w:t>
      </w:r>
      <w:r w:rsidR="009865E7" w:rsidRPr="00A53C4D">
        <w:rPr>
          <w:b w:val="0"/>
        </w:rPr>
        <w:t xml:space="preserve"> 202</w:t>
      </w:r>
      <w:r w:rsidR="003647CC">
        <w:rPr>
          <w:b w:val="0"/>
        </w:rPr>
        <w:t>2</w:t>
      </w:r>
      <w:r w:rsidR="004711D2" w:rsidRPr="00A53C4D">
        <w:rPr>
          <w:b w:val="0"/>
        </w:rPr>
        <w:t xml:space="preserve"> (v Kč)</w:t>
      </w:r>
      <w:bookmarkEnd w:id="10"/>
    </w:p>
    <w:tbl>
      <w:tblPr>
        <w:tblW w:w="9493" w:type="dxa"/>
        <w:tblCellMar>
          <w:left w:w="70" w:type="dxa"/>
          <w:right w:w="70" w:type="dxa"/>
        </w:tblCellMar>
        <w:tblLook w:val="04A0" w:firstRow="1" w:lastRow="0" w:firstColumn="1" w:lastColumn="0" w:noHBand="0" w:noVBand="1"/>
      </w:tblPr>
      <w:tblGrid>
        <w:gridCol w:w="414"/>
        <w:gridCol w:w="505"/>
        <w:gridCol w:w="4746"/>
        <w:gridCol w:w="1276"/>
        <w:gridCol w:w="1276"/>
        <w:gridCol w:w="1276"/>
      </w:tblGrid>
      <w:tr w:rsidR="00485C44" w:rsidTr="00485C44">
        <w:trPr>
          <w:trHeight w:val="300"/>
        </w:trPr>
        <w:tc>
          <w:tcPr>
            <w:tcW w:w="5665" w:type="dxa"/>
            <w:gridSpan w:val="3"/>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485C44" w:rsidRDefault="00485C44">
            <w:pPr>
              <w:jc w:val="center"/>
              <w:rPr>
                <w:rFonts w:ascii="Calibri" w:hAnsi="Calibri" w:cs="Calibri"/>
                <w:color w:val="000000"/>
                <w:sz w:val="18"/>
                <w:szCs w:val="18"/>
              </w:rPr>
            </w:pPr>
            <w:r>
              <w:rPr>
                <w:rFonts w:ascii="Calibri" w:hAnsi="Calibri" w:cs="Calibri"/>
                <w:color w:val="000000"/>
                <w:sz w:val="18"/>
                <w:szCs w:val="18"/>
              </w:rPr>
              <w:t> </w:t>
            </w:r>
          </w:p>
        </w:tc>
        <w:tc>
          <w:tcPr>
            <w:tcW w:w="1276" w:type="dxa"/>
            <w:tcBorders>
              <w:top w:val="single" w:sz="4" w:space="0" w:color="auto"/>
              <w:left w:val="nil"/>
              <w:bottom w:val="single" w:sz="4" w:space="0" w:color="auto"/>
              <w:right w:val="single" w:sz="4" w:space="0" w:color="auto"/>
            </w:tcBorders>
            <w:shd w:val="clear" w:color="000000" w:fill="FFC000"/>
            <w:noWrap/>
            <w:vAlign w:val="center"/>
            <w:hideMark/>
          </w:tcPr>
          <w:p w:rsidR="00485C44" w:rsidRDefault="00485C44">
            <w:pPr>
              <w:jc w:val="center"/>
              <w:rPr>
                <w:rFonts w:ascii="Calibri" w:hAnsi="Calibri" w:cs="Calibri"/>
                <w:color w:val="000000"/>
                <w:sz w:val="18"/>
                <w:szCs w:val="18"/>
              </w:rPr>
            </w:pPr>
            <w:r>
              <w:rPr>
                <w:rFonts w:ascii="Calibri" w:hAnsi="Calibri" w:cs="Calibri"/>
                <w:color w:val="000000"/>
                <w:sz w:val="18"/>
                <w:szCs w:val="18"/>
              </w:rPr>
              <w:t>2020</w:t>
            </w:r>
          </w:p>
        </w:tc>
        <w:tc>
          <w:tcPr>
            <w:tcW w:w="1276" w:type="dxa"/>
            <w:tcBorders>
              <w:top w:val="single" w:sz="4" w:space="0" w:color="auto"/>
              <w:left w:val="nil"/>
              <w:bottom w:val="single" w:sz="4" w:space="0" w:color="auto"/>
              <w:right w:val="single" w:sz="4" w:space="0" w:color="auto"/>
            </w:tcBorders>
            <w:shd w:val="clear" w:color="000000" w:fill="FFC000"/>
            <w:noWrap/>
            <w:vAlign w:val="center"/>
            <w:hideMark/>
          </w:tcPr>
          <w:p w:rsidR="00485C44" w:rsidRDefault="00485C44">
            <w:pPr>
              <w:jc w:val="center"/>
              <w:rPr>
                <w:rFonts w:ascii="Calibri" w:hAnsi="Calibri" w:cs="Calibri"/>
                <w:color w:val="000000"/>
                <w:sz w:val="18"/>
                <w:szCs w:val="18"/>
              </w:rPr>
            </w:pPr>
            <w:r>
              <w:rPr>
                <w:rFonts w:ascii="Calibri" w:hAnsi="Calibri" w:cs="Calibri"/>
                <w:color w:val="000000"/>
                <w:sz w:val="18"/>
                <w:szCs w:val="18"/>
              </w:rPr>
              <w:t>2021</w:t>
            </w:r>
          </w:p>
        </w:tc>
        <w:tc>
          <w:tcPr>
            <w:tcW w:w="1276" w:type="dxa"/>
            <w:tcBorders>
              <w:top w:val="single" w:sz="4" w:space="0" w:color="auto"/>
              <w:left w:val="nil"/>
              <w:bottom w:val="single" w:sz="4" w:space="0" w:color="auto"/>
              <w:right w:val="single" w:sz="4" w:space="0" w:color="auto"/>
            </w:tcBorders>
            <w:shd w:val="clear" w:color="000000" w:fill="FFC000"/>
            <w:noWrap/>
            <w:vAlign w:val="center"/>
            <w:hideMark/>
          </w:tcPr>
          <w:p w:rsidR="00485C44" w:rsidRDefault="00485C44">
            <w:pPr>
              <w:jc w:val="center"/>
              <w:rPr>
                <w:rFonts w:ascii="Calibri" w:hAnsi="Calibri" w:cs="Calibri"/>
                <w:color w:val="000000"/>
                <w:sz w:val="18"/>
                <w:szCs w:val="18"/>
              </w:rPr>
            </w:pPr>
            <w:r>
              <w:rPr>
                <w:rFonts w:ascii="Calibri" w:hAnsi="Calibri" w:cs="Calibri"/>
                <w:color w:val="000000"/>
                <w:sz w:val="18"/>
                <w:szCs w:val="18"/>
              </w:rPr>
              <w:t>2022</w:t>
            </w:r>
          </w:p>
        </w:tc>
      </w:tr>
      <w:tr w:rsidR="00485C44" w:rsidTr="00485C44">
        <w:trPr>
          <w:trHeight w:val="300"/>
        </w:trPr>
        <w:tc>
          <w:tcPr>
            <w:tcW w:w="56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C44" w:rsidRDefault="00485C44">
            <w:pPr>
              <w:rPr>
                <w:rFonts w:ascii="Calibri" w:hAnsi="Calibri" w:cs="Calibri"/>
                <w:b/>
                <w:bCs/>
                <w:color w:val="000000"/>
                <w:sz w:val="18"/>
                <w:szCs w:val="18"/>
              </w:rPr>
            </w:pPr>
            <w:r>
              <w:rPr>
                <w:rFonts w:ascii="Calibri" w:hAnsi="Calibri" w:cs="Calibri"/>
                <w:b/>
                <w:bCs/>
                <w:color w:val="000000"/>
                <w:sz w:val="18"/>
                <w:szCs w:val="18"/>
              </w:rPr>
              <w:t>Daně a poplatky z vybraných činností a služeb</w:t>
            </w:r>
          </w:p>
        </w:tc>
        <w:tc>
          <w:tcPr>
            <w:tcW w:w="1276" w:type="dxa"/>
            <w:tcBorders>
              <w:top w:val="nil"/>
              <w:left w:val="nil"/>
              <w:bottom w:val="single" w:sz="4" w:space="0" w:color="auto"/>
              <w:right w:val="single" w:sz="4" w:space="0" w:color="auto"/>
            </w:tcBorders>
            <w:shd w:val="clear" w:color="auto" w:fill="auto"/>
            <w:noWrap/>
            <w:vAlign w:val="center"/>
            <w:hideMark/>
          </w:tcPr>
          <w:p w:rsidR="00485C44" w:rsidRDefault="00485C44">
            <w:pPr>
              <w:jc w:val="right"/>
              <w:rPr>
                <w:rFonts w:ascii="Calibri" w:hAnsi="Calibri" w:cs="Calibri"/>
                <w:b/>
                <w:bCs/>
                <w:color w:val="000000"/>
                <w:sz w:val="18"/>
                <w:szCs w:val="18"/>
              </w:rPr>
            </w:pPr>
            <w:r>
              <w:rPr>
                <w:rFonts w:ascii="Calibri" w:hAnsi="Calibri" w:cs="Calibri"/>
                <w:b/>
                <w:bCs/>
                <w:color w:val="000000"/>
                <w:sz w:val="18"/>
                <w:szCs w:val="18"/>
              </w:rPr>
              <w:t>93 450 305,40</w:t>
            </w:r>
          </w:p>
        </w:tc>
        <w:tc>
          <w:tcPr>
            <w:tcW w:w="1276" w:type="dxa"/>
            <w:tcBorders>
              <w:top w:val="nil"/>
              <w:left w:val="nil"/>
              <w:bottom w:val="single" w:sz="4" w:space="0" w:color="auto"/>
              <w:right w:val="single" w:sz="4" w:space="0" w:color="auto"/>
            </w:tcBorders>
            <w:shd w:val="clear" w:color="auto" w:fill="auto"/>
            <w:noWrap/>
            <w:vAlign w:val="center"/>
            <w:hideMark/>
          </w:tcPr>
          <w:p w:rsidR="00485C44" w:rsidRDefault="00485C44">
            <w:pPr>
              <w:jc w:val="right"/>
              <w:rPr>
                <w:rFonts w:ascii="Calibri" w:hAnsi="Calibri" w:cs="Calibri"/>
                <w:b/>
                <w:bCs/>
                <w:color w:val="000000"/>
                <w:sz w:val="18"/>
                <w:szCs w:val="18"/>
              </w:rPr>
            </w:pPr>
            <w:r>
              <w:rPr>
                <w:rFonts w:ascii="Calibri" w:hAnsi="Calibri" w:cs="Calibri"/>
                <w:b/>
                <w:bCs/>
                <w:color w:val="000000"/>
                <w:sz w:val="18"/>
                <w:szCs w:val="18"/>
              </w:rPr>
              <w:t>90 020 460,60</w:t>
            </w:r>
          </w:p>
        </w:tc>
        <w:tc>
          <w:tcPr>
            <w:tcW w:w="1276" w:type="dxa"/>
            <w:tcBorders>
              <w:top w:val="nil"/>
              <w:left w:val="nil"/>
              <w:bottom w:val="single" w:sz="4" w:space="0" w:color="auto"/>
              <w:right w:val="single" w:sz="4" w:space="0" w:color="auto"/>
            </w:tcBorders>
            <w:shd w:val="clear" w:color="auto" w:fill="auto"/>
            <w:noWrap/>
            <w:vAlign w:val="center"/>
            <w:hideMark/>
          </w:tcPr>
          <w:p w:rsidR="00485C44" w:rsidRDefault="00485C44">
            <w:pPr>
              <w:jc w:val="right"/>
              <w:rPr>
                <w:rFonts w:ascii="Calibri" w:hAnsi="Calibri" w:cs="Calibri"/>
                <w:b/>
                <w:bCs/>
                <w:color w:val="000000"/>
                <w:sz w:val="18"/>
                <w:szCs w:val="18"/>
              </w:rPr>
            </w:pPr>
            <w:r>
              <w:rPr>
                <w:rFonts w:ascii="Calibri" w:hAnsi="Calibri" w:cs="Calibri"/>
                <w:b/>
                <w:bCs/>
                <w:color w:val="000000"/>
                <w:sz w:val="18"/>
                <w:szCs w:val="18"/>
              </w:rPr>
              <w:t>135 392 072,73</w:t>
            </w:r>
          </w:p>
        </w:tc>
      </w:tr>
      <w:tr w:rsidR="00485C44" w:rsidTr="00485C44">
        <w:trPr>
          <w:trHeight w:val="300"/>
        </w:trPr>
        <w:tc>
          <w:tcPr>
            <w:tcW w:w="414" w:type="dxa"/>
            <w:tcBorders>
              <w:top w:val="nil"/>
              <w:left w:val="single" w:sz="4" w:space="0" w:color="auto"/>
              <w:bottom w:val="single" w:sz="4" w:space="0" w:color="auto"/>
              <w:right w:val="single" w:sz="4" w:space="0" w:color="auto"/>
            </w:tcBorders>
            <w:shd w:val="clear" w:color="FCD5B4" w:fill="FFE699"/>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133</w:t>
            </w:r>
          </w:p>
        </w:tc>
        <w:tc>
          <w:tcPr>
            <w:tcW w:w="5251" w:type="dxa"/>
            <w:gridSpan w:val="2"/>
            <w:tcBorders>
              <w:top w:val="single" w:sz="4" w:space="0" w:color="auto"/>
              <w:left w:val="nil"/>
              <w:bottom w:val="single" w:sz="4" w:space="0" w:color="auto"/>
              <w:right w:val="single" w:sz="4" w:space="0" w:color="auto"/>
            </w:tcBorders>
            <w:shd w:val="clear" w:color="FCD5B4" w:fill="FFE699"/>
            <w:noWrap/>
            <w:vAlign w:val="center"/>
            <w:hideMark/>
          </w:tcPr>
          <w:p w:rsidR="00485C44" w:rsidRDefault="00485C44">
            <w:pPr>
              <w:rPr>
                <w:rFonts w:ascii="Calibri" w:hAnsi="Calibri" w:cs="Calibri"/>
                <w:color w:val="000000"/>
                <w:sz w:val="18"/>
                <w:szCs w:val="18"/>
              </w:rPr>
            </w:pPr>
            <w:r>
              <w:rPr>
                <w:rFonts w:ascii="Calibri" w:hAnsi="Calibri" w:cs="Calibri"/>
                <w:color w:val="000000"/>
                <w:sz w:val="18"/>
                <w:szCs w:val="18"/>
              </w:rPr>
              <w:t>Poplatky a odvody v oblasti životního prostředí</w:t>
            </w:r>
          </w:p>
        </w:tc>
        <w:tc>
          <w:tcPr>
            <w:tcW w:w="1276" w:type="dxa"/>
            <w:tcBorders>
              <w:top w:val="nil"/>
              <w:left w:val="nil"/>
              <w:bottom w:val="single" w:sz="4" w:space="0" w:color="auto"/>
              <w:right w:val="single" w:sz="4" w:space="0" w:color="auto"/>
            </w:tcBorders>
            <w:shd w:val="clear" w:color="FCD5B4" w:fill="FFE699"/>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5 200 904,46</w:t>
            </w:r>
          </w:p>
        </w:tc>
        <w:tc>
          <w:tcPr>
            <w:tcW w:w="1276" w:type="dxa"/>
            <w:tcBorders>
              <w:top w:val="nil"/>
              <w:left w:val="nil"/>
              <w:bottom w:val="single" w:sz="4" w:space="0" w:color="auto"/>
              <w:right w:val="single" w:sz="4" w:space="0" w:color="auto"/>
            </w:tcBorders>
            <w:shd w:val="clear" w:color="FCD5B4" w:fill="FFE699"/>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2 778 650,50</w:t>
            </w:r>
          </w:p>
        </w:tc>
        <w:tc>
          <w:tcPr>
            <w:tcW w:w="1276" w:type="dxa"/>
            <w:tcBorders>
              <w:top w:val="nil"/>
              <w:left w:val="nil"/>
              <w:bottom w:val="single" w:sz="4" w:space="0" w:color="auto"/>
              <w:right w:val="single" w:sz="4" w:space="0" w:color="auto"/>
            </w:tcBorders>
            <w:shd w:val="clear" w:color="FCD5B4" w:fill="FFE699"/>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1 571 329,23</w:t>
            </w:r>
          </w:p>
        </w:tc>
      </w:tr>
      <w:tr w:rsidR="00485C44" w:rsidTr="00485C44">
        <w:trPr>
          <w:trHeight w:val="300"/>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485C44" w:rsidRDefault="00485C44">
            <w:pPr>
              <w:rPr>
                <w:rFonts w:ascii="Calibri" w:hAnsi="Calibri" w:cs="Calibri"/>
                <w:color w:val="000000"/>
                <w:sz w:val="18"/>
                <w:szCs w:val="18"/>
              </w:rPr>
            </w:pPr>
            <w:r>
              <w:rPr>
                <w:rFonts w:ascii="Calibri" w:hAnsi="Calibri" w:cs="Calibri"/>
                <w:color w:val="000000"/>
                <w:sz w:val="18"/>
                <w:szCs w:val="18"/>
              </w:rPr>
              <w:t> </w:t>
            </w:r>
          </w:p>
        </w:tc>
        <w:tc>
          <w:tcPr>
            <w:tcW w:w="505" w:type="dxa"/>
            <w:tcBorders>
              <w:top w:val="nil"/>
              <w:left w:val="nil"/>
              <w:bottom w:val="single" w:sz="4" w:space="0" w:color="auto"/>
              <w:right w:val="single" w:sz="4" w:space="0" w:color="auto"/>
            </w:tcBorders>
            <w:shd w:val="clear" w:color="auto" w:fill="auto"/>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1334</w:t>
            </w:r>
          </w:p>
        </w:tc>
        <w:tc>
          <w:tcPr>
            <w:tcW w:w="4746" w:type="dxa"/>
            <w:tcBorders>
              <w:top w:val="nil"/>
              <w:left w:val="nil"/>
              <w:bottom w:val="single" w:sz="4" w:space="0" w:color="auto"/>
              <w:right w:val="single" w:sz="4" w:space="0" w:color="auto"/>
            </w:tcBorders>
            <w:shd w:val="clear" w:color="auto" w:fill="auto"/>
            <w:noWrap/>
            <w:vAlign w:val="center"/>
            <w:hideMark/>
          </w:tcPr>
          <w:p w:rsidR="00485C44" w:rsidRDefault="00485C44">
            <w:pPr>
              <w:rPr>
                <w:rFonts w:ascii="Calibri" w:hAnsi="Calibri" w:cs="Calibri"/>
                <w:color w:val="000000"/>
                <w:sz w:val="18"/>
                <w:szCs w:val="18"/>
              </w:rPr>
            </w:pPr>
            <w:r>
              <w:rPr>
                <w:rFonts w:ascii="Calibri" w:hAnsi="Calibri" w:cs="Calibri"/>
                <w:color w:val="000000"/>
                <w:sz w:val="18"/>
                <w:szCs w:val="18"/>
              </w:rPr>
              <w:t>Odvody z odnětí půdy ze zemědělského půdního fondu</w:t>
            </w:r>
          </w:p>
        </w:tc>
        <w:tc>
          <w:tcPr>
            <w:tcW w:w="1276" w:type="dxa"/>
            <w:tcBorders>
              <w:top w:val="nil"/>
              <w:left w:val="nil"/>
              <w:bottom w:val="single" w:sz="4" w:space="0" w:color="auto"/>
              <w:right w:val="single" w:sz="4" w:space="0" w:color="auto"/>
            </w:tcBorders>
            <w:shd w:val="clear" w:color="auto" w:fill="auto"/>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5 200 904,46</w:t>
            </w:r>
          </w:p>
        </w:tc>
        <w:tc>
          <w:tcPr>
            <w:tcW w:w="1276" w:type="dxa"/>
            <w:tcBorders>
              <w:top w:val="nil"/>
              <w:left w:val="nil"/>
              <w:bottom w:val="single" w:sz="4" w:space="0" w:color="auto"/>
              <w:right w:val="single" w:sz="4" w:space="0" w:color="auto"/>
            </w:tcBorders>
            <w:shd w:val="clear" w:color="auto" w:fill="auto"/>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2 778 650,50</w:t>
            </w:r>
          </w:p>
        </w:tc>
        <w:tc>
          <w:tcPr>
            <w:tcW w:w="1276" w:type="dxa"/>
            <w:tcBorders>
              <w:top w:val="nil"/>
              <w:left w:val="nil"/>
              <w:bottom w:val="single" w:sz="4" w:space="0" w:color="auto"/>
              <w:right w:val="single" w:sz="4" w:space="0" w:color="auto"/>
            </w:tcBorders>
            <w:shd w:val="clear" w:color="auto" w:fill="auto"/>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1 571 329,23</w:t>
            </w:r>
          </w:p>
        </w:tc>
      </w:tr>
      <w:tr w:rsidR="00485C44" w:rsidTr="00485C44">
        <w:trPr>
          <w:trHeight w:val="300"/>
        </w:trPr>
        <w:tc>
          <w:tcPr>
            <w:tcW w:w="414" w:type="dxa"/>
            <w:tcBorders>
              <w:top w:val="nil"/>
              <w:left w:val="single" w:sz="4" w:space="0" w:color="auto"/>
              <w:bottom w:val="single" w:sz="4" w:space="0" w:color="auto"/>
              <w:right w:val="single" w:sz="4" w:space="0" w:color="auto"/>
            </w:tcBorders>
            <w:shd w:val="clear" w:color="FCD5B4" w:fill="FFE699"/>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134</w:t>
            </w:r>
          </w:p>
        </w:tc>
        <w:tc>
          <w:tcPr>
            <w:tcW w:w="5251" w:type="dxa"/>
            <w:gridSpan w:val="2"/>
            <w:tcBorders>
              <w:top w:val="single" w:sz="4" w:space="0" w:color="auto"/>
              <w:left w:val="nil"/>
              <w:bottom w:val="single" w:sz="4" w:space="0" w:color="auto"/>
              <w:right w:val="single" w:sz="4" w:space="0" w:color="auto"/>
            </w:tcBorders>
            <w:shd w:val="clear" w:color="FCD5B4" w:fill="FFE699"/>
            <w:noWrap/>
            <w:vAlign w:val="center"/>
            <w:hideMark/>
          </w:tcPr>
          <w:p w:rsidR="00485C44" w:rsidRDefault="00485C44">
            <w:pPr>
              <w:rPr>
                <w:rFonts w:ascii="Calibri" w:hAnsi="Calibri" w:cs="Calibri"/>
                <w:color w:val="000000"/>
                <w:sz w:val="18"/>
                <w:szCs w:val="18"/>
              </w:rPr>
            </w:pPr>
            <w:r>
              <w:rPr>
                <w:rFonts w:ascii="Calibri" w:hAnsi="Calibri" w:cs="Calibri"/>
                <w:color w:val="000000"/>
                <w:sz w:val="18"/>
                <w:szCs w:val="18"/>
              </w:rPr>
              <w:t>Místní poplatky z vybraných činností a služeb</w:t>
            </w:r>
          </w:p>
        </w:tc>
        <w:tc>
          <w:tcPr>
            <w:tcW w:w="1276" w:type="dxa"/>
            <w:tcBorders>
              <w:top w:val="nil"/>
              <w:left w:val="nil"/>
              <w:bottom w:val="single" w:sz="4" w:space="0" w:color="auto"/>
              <w:right w:val="single" w:sz="4" w:space="0" w:color="auto"/>
            </w:tcBorders>
            <w:shd w:val="clear" w:color="FCD5B4" w:fill="FFE699"/>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25 822 917,90</w:t>
            </w:r>
          </w:p>
        </w:tc>
        <w:tc>
          <w:tcPr>
            <w:tcW w:w="1276" w:type="dxa"/>
            <w:tcBorders>
              <w:top w:val="nil"/>
              <w:left w:val="nil"/>
              <w:bottom w:val="single" w:sz="4" w:space="0" w:color="auto"/>
              <w:right w:val="single" w:sz="4" w:space="0" w:color="auto"/>
            </w:tcBorders>
            <w:shd w:val="clear" w:color="FCD5B4" w:fill="FFE699"/>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28 614 937,46</w:t>
            </w:r>
          </w:p>
        </w:tc>
        <w:tc>
          <w:tcPr>
            <w:tcW w:w="1276" w:type="dxa"/>
            <w:tcBorders>
              <w:top w:val="nil"/>
              <w:left w:val="nil"/>
              <w:bottom w:val="single" w:sz="4" w:space="0" w:color="auto"/>
              <w:right w:val="single" w:sz="4" w:space="0" w:color="auto"/>
            </w:tcBorders>
            <w:shd w:val="clear" w:color="FCD5B4" w:fill="FFE699"/>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29 896 247,65</w:t>
            </w:r>
          </w:p>
        </w:tc>
      </w:tr>
      <w:tr w:rsidR="00485C44" w:rsidTr="00485C44">
        <w:trPr>
          <w:trHeight w:val="300"/>
        </w:trPr>
        <w:tc>
          <w:tcPr>
            <w:tcW w:w="414" w:type="dxa"/>
            <w:vMerge w:val="restart"/>
            <w:tcBorders>
              <w:top w:val="nil"/>
              <w:left w:val="single" w:sz="4" w:space="0" w:color="auto"/>
              <w:right w:val="single" w:sz="4" w:space="0" w:color="auto"/>
            </w:tcBorders>
            <w:shd w:val="clear" w:color="auto" w:fill="auto"/>
            <w:noWrap/>
            <w:vAlign w:val="center"/>
            <w:hideMark/>
          </w:tcPr>
          <w:p w:rsidR="00485C44" w:rsidRDefault="00485C44">
            <w:pPr>
              <w:jc w:val="center"/>
              <w:rPr>
                <w:rFonts w:ascii="Calibri" w:hAnsi="Calibri" w:cs="Calibri"/>
                <w:color w:val="000000"/>
                <w:sz w:val="18"/>
                <w:szCs w:val="18"/>
              </w:rPr>
            </w:pPr>
            <w:r>
              <w:rPr>
                <w:rFonts w:ascii="Calibri" w:hAnsi="Calibri" w:cs="Calibri"/>
                <w:color w:val="000000"/>
                <w:sz w:val="18"/>
                <w:szCs w:val="18"/>
              </w:rPr>
              <w:t> </w:t>
            </w:r>
          </w:p>
          <w:p w:rsidR="00485C44" w:rsidRDefault="00485C44" w:rsidP="001D0783">
            <w:pPr>
              <w:jc w:val="center"/>
              <w:rPr>
                <w:rFonts w:ascii="Calibri" w:hAnsi="Calibri" w:cs="Calibri"/>
                <w:color w:val="000000"/>
                <w:sz w:val="18"/>
                <w:szCs w:val="18"/>
              </w:rPr>
            </w:pPr>
            <w:r>
              <w:rPr>
                <w:rFonts w:ascii="Calibri" w:hAnsi="Calibri" w:cs="Calibri"/>
                <w:color w:val="000000"/>
                <w:sz w:val="18"/>
                <w:szCs w:val="18"/>
              </w:rPr>
              <w:t> </w:t>
            </w:r>
          </w:p>
        </w:tc>
        <w:tc>
          <w:tcPr>
            <w:tcW w:w="505" w:type="dxa"/>
            <w:tcBorders>
              <w:top w:val="nil"/>
              <w:left w:val="nil"/>
              <w:bottom w:val="single" w:sz="4" w:space="0" w:color="auto"/>
              <w:right w:val="single" w:sz="4" w:space="0" w:color="auto"/>
            </w:tcBorders>
            <w:shd w:val="clear" w:color="auto" w:fill="auto"/>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1340</w:t>
            </w:r>
          </w:p>
        </w:tc>
        <w:tc>
          <w:tcPr>
            <w:tcW w:w="4746" w:type="dxa"/>
            <w:tcBorders>
              <w:top w:val="nil"/>
              <w:left w:val="nil"/>
              <w:bottom w:val="single" w:sz="4" w:space="0" w:color="auto"/>
              <w:right w:val="single" w:sz="4" w:space="0" w:color="auto"/>
            </w:tcBorders>
            <w:shd w:val="clear" w:color="auto" w:fill="auto"/>
            <w:noWrap/>
            <w:vAlign w:val="center"/>
            <w:hideMark/>
          </w:tcPr>
          <w:p w:rsidR="00485C44" w:rsidRDefault="00485C44">
            <w:pPr>
              <w:rPr>
                <w:rFonts w:ascii="Calibri" w:hAnsi="Calibri" w:cs="Calibri"/>
                <w:color w:val="000000"/>
                <w:sz w:val="18"/>
                <w:szCs w:val="18"/>
              </w:rPr>
            </w:pPr>
            <w:r>
              <w:rPr>
                <w:rFonts w:ascii="Calibri" w:hAnsi="Calibri" w:cs="Calibri"/>
                <w:color w:val="000000"/>
                <w:sz w:val="18"/>
                <w:szCs w:val="18"/>
              </w:rPr>
              <w:t>Poplatek za likvidaci komunálního odpadu</w:t>
            </w:r>
          </w:p>
        </w:tc>
        <w:tc>
          <w:tcPr>
            <w:tcW w:w="1276" w:type="dxa"/>
            <w:tcBorders>
              <w:top w:val="nil"/>
              <w:left w:val="nil"/>
              <w:bottom w:val="single" w:sz="4" w:space="0" w:color="auto"/>
              <w:right w:val="single" w:sz="4" w:space="0" w:color="auto"/>
            </w:tcBorders>
            <w:shd w:val="clear" w:color="auto" w:fill="auto"/>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23 282 997,11</w:t>
            </w:r>
          </w:p>
        </w:tc>
        <w:tc>
          <w:tcPr>
            <w:tcW w:w="1276" w:type="dxa"/>
            <w:tcBorders>
              <w:top w:val="nil"/>
              <w:left w:val="nil"/>
              <w:bottom w:val="single" w:sz="4" w:space="0" w:color="auto"/>
              <w:right w:val="single" w:sz="4" w:space="0" w:color="auto"/>
            </w:tcBorders>
            <w:shd w:val="clear" w:color="auto" w:fill="auto"/>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24 175 810,69</w:t>
            </w:r>
          </w:p>
        </w:tc>
        <w:tc>
          <w:tcPr>
            <w:tcW w:w="1276" w:type="dxa"/>
            <w:tcBorders>
              <w:top w:val="nil"/>
              <w:left w:val="nil"/>
              <w:bottom w:val="single" w:sz="4" w:space="0" w:color="auto"/>
              <w:right w:val="single" w:sz="4" w:space="0" w:color="auto"/>
            </w:tcBorders>
            <w:shd w:val="clear" w:color="auto" w:fill="auto"/>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0,00</w:t>
            </w:r>
          </w:p>
        </w:tc>
      </w:tr>
      <w:tr w:rsidR="00485C44" w:rsidTr="00485C44">
        <w:trPr>
          <w:trHeight w:val="300"/>
        </w:trPr>
        <w:tc>
          <w:tcPr>
            <w:tcW w:w="414" w:type="dxa"/>
            <w:vMerge/>
            <w:tcBorders>
              <w:left w:val="single" w:sz="4" w:space="0" w:color="auto"/>
              <w:right w:val="single" w:sz="4" w:space="0" w:color="auto"/>
            </w:tcBorders>
            <w:vAlign w:val="center"/>
            <w:hideMark/>
          </w:tcPr>
          <w:p w:rsidR="00485C44" w:rsidRDefault="00485C44" w:rsidP="001D0783">
            <w:pPr>
              <w:jc w:val="center"/>
              <w:rPr>
                <w:rFonts w:ascii="Calibri" w:hAnsi="Calibri" w:cs="Calibri"/>
                <w:color w:val="000000"/>
                <w:sz w:val="18"/>
                <w:szCs w:val="18"/>
              </w:rPr>
            </w:pPr>
          </w:p>
        </w:tc>
        <w:tc>
          <w:tcPr>
            <w:tcW w:w="505" w:type="dxa"/>
            <w:tcBorders>
              <w:top w:val="nil"/>
              <w:left w:val="nil"/>
              <w:bottom w:val="single" w:sz="4" w:space="0" w:color="auto"/>
              <w:right w:val="single" w:sz="4" w:space="0" w:color="auto"/>
            </w:tcBorders>
            <w:shd w:val="clear" w:color="auto" w:fill="auto"/>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1341</w:t>
            </w:r>
          </w:p>
        </w:tc>
        <w:tc>
          <w:tcPr>
            <w:tcW w:w="4746" w:type="dxa"/>
            <w:tcBorders>
              <w:top w:val="nil"/>
              <w:left w:val="nil"/>
              <w:bottom w:val="single" w:sz="4" w:space="0" w:color="auto"/>
              <w:right w:val="single" w:sz="4" w:space="0" w:color="auto"/>
            </w:tcBorders>
            <w:shd w:val="clear" w:color="auto" w:fill="auto"/>
            <w:noWrap/>
            <w:vAlign w:val="center"/>
            <w:hideMark/>
          </w:tcPr>
          <w:p w:rsidR="00485C44" w:rsidRDefault="00485C44">
            <w:pPr>
              <w:rPr>
                <w:rFonts w:ascii="Calibri" w:hAnsi="Calibri" w:cs="Calibri"/>
                <w:color w:val="000000"/>
                <w:sz w:val="18"/>
                <w:szCs w:val="18"/>
              </w:rPr>
            </w:pPr>
            <w:r>
              <w:rPr>
                <w:rFonts w:ascii="Calibri" w:hAnsi="Calibri" w:cs="Calibri"/>
                <w:color w:val="000000"/>
                <w:sz w:val="18"/>
                <w:szCs w:val="18"/>
              </w:rPr>
              <w:t>Poplatek ze psů</w:t>
            </w:r>
          </w:p>
        </w:tc>
        <w:tc>
          <w:tcPr>
            <w:tcW w:w="1276" w:type="dxa"/>
            <w:tcBorders>
              <w:top w:val="nil"/>
              <w:left w:val="nil"/>
              <w:bottom w:val="single" w:sz="4" w:space="0" w:color="auto"/>
              <w:right w:val="single" w:sz="4" w:space="0" w:color="auto"/>
            </w:tcBorders>
            <w:shd w:val="clear" w:color="auto" w:fill="auto"/>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1 420 052,34</w:t>
            </w:r>
          </w:p>
        </w:tc>
        <w:tc>
          <w:tcPr>
            <w:tcW w:w="1276" w:type="dxa"/>
            <w:tcBorders>
              <w:top w:val="nil"/>
              <w:left w:val="nil"/>
              <w:bottom w:val="single" w:sz="4" w:space="0" w:color="auto"/>
              <w:right w:val="single" w:sz="4" w:space="0" w:color="auto"/>
            </w:tcBorders>
            <w:shd w:val="clear" w:color="auto" w:fill="auto"/>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1 422 928,77</w:t>
            </w:r>
          </w:p>
        </w:tc>
        <w:tc>
          <w:tcPr>
            <w:tcW w:w="1276" w:type="dxa"/>
            <w:tcBorders>
              <w:top w:val="nil"/>
              <w:left w:val="nil"/>
              <w:bottom w:val="single" w:sz="4" w:space="0" w:color="auto"/>
              <w:right w:val="single" w:sz="4" w:space="0" w:color="auto"/>
            </w:tcBorders>
            <w:shd w:val="clear" w:color="auto" w:fill="auto"/>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1 436 040,36</w:t>
            </w:r>
          </w:p>
        </w:tc>
      </w:tr>
      <w:tr w:rsidR="00485C44" w:rsidTr="00485C44">
        <w:trPr>
          <w:trHeight w:val="300"/>
        </w:trPr>
        <w:tc>
          <w:tcPr>
            <w:tcW w:w="414" w:type="dxa"/>
            <w:vMerge/>
            <w:tcBorders>
              <w:left w:val="single" w:sz="4" w:space="0" w:color="auto"/>
              <w:right w:val="single" w:sz="4" w:space="0" w:color="auto"/>
            </w:tcBorders>
            <w:vAlign w:val="center"/>
            <w:hideMark/>
          </w:tcPr>
          <w:p w:rsidR="00485C44" w:rsidRDefault="00485C44" w:rsidP="001D0783">
            <w:pPr>
              <w:jc w:val="center"/>
              <w:rPr>
                <w:rFonts w:ascii="Calibri" w:hAnsi="Calibri" w:cs="Calibri"/>
                <w:color w:val="000000"/>
                <w:sz w:val="18"/>
                <w:szCs w:val="18"/>
              </w:rPr>
            </w:pPr>
          </w:p>
        </w:tc>
        <w:tc>
          <w:tcPr>
            <w:tcW w:w="505" w:type="dxa"/>
            <w:tcBorders>
              <w:top w:val="nil"/>
              <w:left w:val="nil"/>
              <w:bottom w:val="single" w:sz="4" w:space="0" w:color="auto"/>
              <w:right w:val="single" w:sz="4" w:space="0" w:color="auto"/>
            </w:tcBorders>
            <w:shd w:val="clear" w:color="auto" w:fill="auto"/>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1343</w:t>
            </w:r>
          </w:p>
        </w:tc>
        <w:tc>
          <w:tcPr>
            <w:tcW w:w="4746" w:type="dxa"/>
            <w:tcBorders>
              <w:top w:val="nil"/>
              <w:left w:val="nil"/>
              <w:bottom w:val="single" w:sz="4" w:space="0" w:color="auto"/>
              <w:right w:val="single" w:sz="4" w:space="0" w:color="auto"/>
            </w:tcBorders>
            <w:shd w:val="clear" w:color="auto" w:fill="auto"/>
            <w:noWrap/>
            <w:vAlign w:val="center"/>
            <w:hideMark/>
          </w:tcPr>
          <w:p w:rsidR="00485C44" w:rsidRDefault="00485C44">
            <w:pPr>
              <w:rPr>
                <w:rFonts w:ascii="Calibri" w:hAnsi="Calibri" w:cs="Calibri"/>
                <w:color w:val="000000"/>
                <w:sz w:val="18"/>
                <w:szCs w:val="18"/>
              </w:rPr>
            </w:pPr>
            <w:r>
              <w:rPr>
                <w:rFonts w:ascii="Calibri" w:hAnsi="Calibri" w:cs="Calibri"/>
                <w:color w:val="000000"/>
                <w:sz w:val="18"/>
                <w:szCs w:val="18"/>
              </w:rPr>
              <w:t>Poplatek za užívání veřejného prostranství</w:t>
            </w:r>
          </w:p>
        </w:tc>
        <w:tc>
          <w:tcPr>
            <w:tcW w:w="1276" w:type="dxa"/>
            <w:tcBorders>
              <w:top w:val="nil"/>
              <w:left w:val="nil"/>
              <w:bottom w:val="single" w:sz="4" w:space="0" w:color="auto"/>
              <w:right w:val="single" w:sz="4" w:space="0" w:color="auto"/>
            </w:tcBorders>
            <w:shd w:val="clear" w:color="auto" w:fill="auto"/>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1 119 868,45</w:t>
            </w:r>
          </w:p>
        </w:tc>
        <w:tc>
          <w:tcPr>
            <w:tcW w:w="1276" w:type="dxa"/>
            <w:tcBorders>
              <w:top w:val="nil"/>
              <w:left w:val="nil"/>
              <w:bottom w:val="single" w:sz="4" w:space="0" w:color="auto"/>
              <w:right w:val="single" w:sz="4" w:space="0" w:color="auto"/>
            </w:tcBorders>
            <w:shd w:val="clear" w:color="auto" w:fill="auto"/>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3 016 198,00</w:t>
            </w:r>
          </w:p>
        </w:tc>
        <w:tc>
          <w:tcPr>
            <w:tcW w:w="1276" w:type="dxa"/>
            <w:tcBorders>
              <w:top w:val="nil"/>
              <w:left w:val="nil"/>
              <w:bottom w:val="single" w:sz="4" w:space="0" w:color="auto"/>
              <w:right w:val="single" w:sz="4" w:space="0" w:color="auto"/>
            </w:tcBorders>
            <w:shd w:val="clear" w:color="auto" w:fill="auto"/>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4 804 717,11</w:t>
            </w:r>
          </w:p>
        </w:tc>
      </w:tr>
      <w:tr w:rsidR="00485C44" w:rsidTr="00485C44">
        <w:trPr>
          <w:trHeight w:val="300"/>
        </w:trPr>
        <w:tc>
          <w:tcPr>
            <w:tcW w:w="414" w:type="dxa"/>
            <w:vMerge/>
            <w:tcBorders>
              <w:left w:val="single" w:sz="4" w:space="0" w:color="auto"/>
              <w:bottom w:val="single" w:sz="4" w:space="0" w:color="auto"/>
              <w:right w:val="single" w:sz="4" w:space="0" w:color="auto"/>
            </w:tcBorders>
            <w:shd w:val="clear" w:color="auto" w:fill="auto"/>
            <w:noWrap/>
            <w:vAlign w:val="center"/>
            <w:hideMark/>
          </w:tcPr>
          <w:p w:rsidR="00485C44" w:rsidRDefault="00485C44">
            <w:pPr>
              <w:jc w:val="center"/>
              <w:rPr>
                <w:rFonts w:ascii="Calibri" w:hAnsi="Calibri" w:cs="Calibri"/>
                <w:color w:val="000000"/>
                <w:sz w:val="18"/>
                <w:szCs w:val="18"/>
              </w:rPr>
            </w:pPr>
          </w:p>
        </w:tc>
        <w:tc>
          <w:tcPr>
            <w:tcW w:w="505" w:type="dxa"/>
            <w:tcBorders>
              <w:top w:val="nil"/>
              <w:left w:val="nil"/>
              <w:bottom w:val="single" w:sz="4" w:space="0" w:color="auto"/>
              <w:right w:val="single" w:sz="4" w:space="0" w:color="auto"/>
            </w:tcBorders>
            <w:shd w:val="clear" w:color="auto" w:fill="auto"/>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1345</w:t>
            </w:r>
          </w:p>
        </w:tc>
        <w:tc>
          <w:tcPr>
            <w:tcW w:w="4746" w:type="dxa"/>
            <w:tcBorders>
              <w:top w:val="nil"/>
              <w:left w:val="nil"/>
              <w:bottom w:val="single" w:sz="4" w:space="0" w:color="auto"/>
              <w:right w:val="single" w:sz="4" w:space="0" w:color="auto"/>
            </w:tcBorders>
            <w:shd w:val="clear" w:color="auto" w:fill="auto"/>
            <w:noWrap/>
            <w:vAlign w:val="center"/>
            <w:hideMark/>
          </w:tcPr>
          <w:p w:rsidR="00485C44" w:rsidRDefault="00485C44">
            <w:pPr>
              <w:rPr>
                <w:rFonts w:ascii="Calibri" w:hAnsi="Calibri" w:cs="Calibri"/>
                <w:color w:val="000000"/>
                <w:sz w:val="18"/>
                <w:szCs w:val="18"/>
              </w:rPr>
            </w:pPr>
            <w:r>
              <w:rPr>
                <w:rFonts w:ascii="Calibri" w:hAnsi="Calibri" w:cs="Calibri"/>
                <w:color w:val="000000"/>
                <w:sz w:val="18"/>
                <w:szCs w:val="18"/>
              </w:rPr>
              <w:t>Příjem z poplatků za obecní systém odpadového hospodářství</w:t>
            </w:r>
          </w:p>
        </w:tc>
        <w:tc>
          <w:tcPr>
            <w:tcW w:w="1276" w:type="dxa"/>
            <w:tcBorders>
              <w:top w:val="nil"/>
              <w:left w:val="nil"/>
              <w:bottom w:val="single" w:sz="4" w:space="0" w:color="auto"/>
              <w:right w:val="single" w:sz="4" w:space="0" w:color="auto"/>
            </w:tcBorders>
            <w:shd w:val="clear" w:color="auto" w:fill="auto"/>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23 655 490,18</w:t>
            </w:r>
          </w:p>
        </w:tc>
      </w:tr>
      <w:tr w:rsidR="00485C44" w:rsidTr="00485C44">
        <w:trPr>
          <w:trHeight w:val="300"/>
        </w:trPr>
        <w:tc>
          <w:tcPr>
            <w:tcW w:w="414" w:type="dxa"/>
            <w:tcBorders>
              <w:top w:val="nil"/>
              <w:left w:val="single" w:sz="4" w:space="0" w:color="auto"/>
              <w:bottom w:val="single" w:sz="4" w:space="0" w:color="auto"/>
              <w:right w:val="single" w:sz="4" w:space="0" w:color="auto"/>
            </w:tcBorders>
            <w:shd w:val="clear" w:color="FCD5B4" w:fill="FFE699"/>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135</w:t>
            </w:r>
          </w:p>
        </w:tc>
        <w:tc>
          <w:tcPr>
            <w:tcW w:w="5251" w:type="dxa"/>
            <w:gridSpan w:val="2"/>
            <w:tcBorders>
              <w:top w:val="single" w:sz="4" w:space="0" w:color="auto"/>
              <w:left w:val="nil"/>
              <w:bottom w:val="single" w:sz="4" w:space="0" w:color="auto"/>
              <w:right w:val="single" w:sz="4" w:space="0" w:color="auto"/>
            </w:tcBorders>
            <w:shd w:val="clear" w:color="FCD5B4" w:fill="FFE699"/>
            <w:noWrap/>
            <w:vAlign w:val="center"/>
            <w:hideMark/>
          </w:tcPr>
          <w:p w:rsidR="00485C44" w:rsidRDefault="00485C44">
            <w:pPr>
              <w:rPr>
                <w:rFonts w:ascii="Calibri" w:hAnsi="Calibri" w:cs="Calibri"/>
                <w:color w:val="000000"/>
                <w:sz w:val="18"/>
                <w:szCs w:val="18"/>
              </w:rPr>
            </w:pPr>
            <w:r>
              <w:rPr>
                <w:rFonts w:ascii="Calibri" w:hAnsi="Calibri" w:cs="Calibri"/>
                <w:color w:val="000000"/>
                <w:sz w:val="18"/>
                <w:szCs w:val="18"/>
              </w:rPr>
              <w:t>Ostatní odvody z vybraných činností a služeb</w:t>
            </w:r>
          </w:p>
        </w:tc>
        <w:tc>
          <w:tcPr>
            <w:tcW w:w="1276" w:type="dxa"/>
            <w:tcBorders>
              <w:top w:val="nil"/>
              <w:left w:val="nil"/>
              <w:bottom w:val="single" w:sz="4" w:space="0" w:color="auto"/>
              <w:right w:val="single" w:sz="4" w:space="0" w:color="auto"/>
            </w:tcBorders>
            <w:shd w:val="clear" w:color="FCD5B4" w:fill="FFE699"/>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231 698,59</w:t>
            </w:r>
          </w:p>
        </w:tc>
        <w:tc>
          <w:tcPr>
            <w:tcW w:w="1276" w:type="dxa"/>
            <w:tcBorders>
              <w:top w:val="nil"/>
              <w:left w:val="nil"/>
              <w:bottom w:val="single" w:sz="4" w:space="0" w:color="auto"/>
              <w:right w:val="single" w:sz="4" w:space="0" w:color="auto"/>
            </w:tcBorders>
            <w:shd w:val="clear" w:color="FCD5B4" w:fill="FFE699"/>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232 351,04</w:t>
            </w:r>
          </w:p>
        </w:tc>
        <w:tc>
          <w:tcPr>
            <w:tcW w:w="1276" w:type="dxa"/>
            <w:tcBorders>
              <w:top w:val="nil"/>
              <w:left w:val="nil"/>
              <w:bottom w:val="single" w:sz="4" w:space="0" w:color="auto"/>
              <w:right w:val="single" w:sz="4" w:space="0" w:color="auto"/>
            </w:tcBorders>
            <w:shd w:val="clear" w:color="FCD5B4" w:fill="FFE699"/>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325 791,67</w:t>
            </w:r>
          </w:p>
        </w:tc>
      </w:tr>
      <w:tr w:rsidR="00485C44" w:rsidTr="00485C44">
        <w:trPr>
          <w:trHeight w:val="301"/>
        </w:trPr>
        <w:tc>
          <w:tcPr>
            <w:tcW w:w="4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5C44" w:rsidRDefault="00485C44">
            <w:pPr>
              <w:jc w:val="center"/>
              <w:rPr>
                <w:rFonts w:ascii="Calibri" w:hAnsi="Calibri" w:cs="Calibri"/>
                <w:color w:val="000000"/>
                <w:sz w:val="18"/>
                <w:szCs w:val="18"/>
              </w:rPr>
            </w:pPr>
            <w:r>
              <w:rPr>
                <w:rFonts w:ascii="Calibri" w:hAnsi="Calibri" w:cs="Calibri"/>
                <w:color w:val="000000"/>
                <w:sz w:val="18"/>
                <w:szCs w:val="18"/>
              </w:rPr>
              <w:t> </w:t>
            </w:r>
          </w:p>
        </w:tc>
        <w:tc>
          <w:tcPr>
            <w:tcW w:w="505" w:type="dxa"/>
            <w:tcBorders>
              <w:top w:val="nil"/>
              <w:left w:val="nil"/>
              <w:bottom w:val="single" w:sz="4" w:space="0" w:color="auto"/>
              <w:right w:val="single" w:sz="4" w:space="0" w:color="auto"/>
            </w:tcBorders>
            <w:shd w:val="clear" w:color="auto" w:fill="auto"/>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1356</w:t>
            </w:r>
          </w:p>
        </w:tc>
        <w:tc>
          <w:tcPr>
            <w:tcW w:w="4746" w:type="dxa"/>
            <w:tcBorders>
              <w:top w:val="nil"/>
              <w:left w:val="nil"/>
              <w:bottom w:val="single" w:sz="4" w:space="0" w:color="auto"/>
              <w:right w:val="single" w:sz="4" w:space="0" w:color="auto"/>
            </w:tcBorders>
            <w:shd w:val="clear" w:color="auto" w:fill="auto"/>
            <w:vAlign w:val="center"/>
            <w:hideMark/>
          </w:tcPr>
          <w:p w:rsidR="00485C44" w:rsidRDefault="00485C44">
            <w:pPr>
              <w:rPr>
                <w:rFonts w:ascii="Calibri" w:hAnsi="Calibri" w:cs="Calibri"/>
                <w:color w:val="000000"/>
                <w:sz w:val="18"/>
                <w:szCs w:val="18"/>
              </w:rPr>
            </w:pPr>
            <w:r>
              <w:rPr>
                <w:rFonts w:ascii="Calibri" w:hAnsi="Calibri" w:cs="Calibri"/>
                <w:color w:val="000000"/>
                <w:sz w:val="18"/>
                <w:szCs w:val="18"/>
              </w:rPr>
              <w:t>Příjmy z úhrad za dobývání nerostů a poplatků za geologické práce</w:t>
            </w:r>
          </w:p>
        </w:tc>
        <w:tc>
          <w:tcPr>
            <w:tcW w:w="1276" w:type="dxa"/>
            <w:tcBorders>
              <w:top w:val="nil"/>
              <w:left w:val="nil"/>
              <w:bottom w:val="single" w:sz="4" w:space="0" w:color="auto"/>
              <w:right w:val="single" w:sz="4" w:space="0" w:color="auto"/>
            </w:tcBorders>
            <w:shd w:val="clear" w:color="auto" w:fill="auto"/>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8 601,02</w:t>
            </w:r>
          </w:p>
        </w:tc>
        <w:tc>
          <w:tcPr>
            <w:tcW w:w="1276" w:type="dxa"/>
            <w:tcBorders>
              <w:top w:val="nil"/>
              <w:left w:val="nil"/>
              <w:bottom w:val="single" w:sz="4" w:space="0" w:color="auto"/>
              <w:right w:val="single" w:sz="4" w:space="0" w:color="auto"/>
            </w:tcBorders>
            <w:shd w:val="clear" w:color="auto" w:fill="auto"/>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8 601,02</w:t>
            </w:r>
          </w:p>
        </w:tc>
        <w:tc>
          <w:tcPr>
            <w:tcW w:w="1276" w:type="dxa"/>
            <w:tcBorders>
              <w:top w:val="nil"/>
              <w:left w:val="nil"/>
              <w:bottom w:val="single" w:sz="4" w:space="0" w:color="auto"/>
              <w:right w:val="single" w:sz="4" w:space="0" w:color="auto"/>
            </w:tcBorders>
            <w:shd w:val="clear" w:color="auto" w:fill="auto"/>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8 601,02</w:t>
            </w:r>
          </w:p>
        </w:tc>
      </w:tr>
      <w:tr w:rsidR="00485C44" w:rsidTr="00485C44">
        <w:trPr>
          <w:trHeight w:val="300"/>
        </w:trPr>
        <w:tc>
          <w:tcPr>
            <w:tcW w:w="414" w:type="dxa"/>
            <w:vMerge/>
            <w:tcBorders>
              <w:top w:val="nil"/>
              <w:left w:val="single" w:sz="4" w:space="0" w:color="auto"/>
              <w:bottom w:val="single" w:sz="4" w:space="0" w:color="auto"/>
              <w:right w:val="single" w:sz="4" w:space="0" w:color="auto"/>
            </w:tcBorders>
            <w:vAlign w:val="center"/>
            <w:hideMark/>
          </w:tcPr>
          <w:p w:rsidR="00485C44" w:rsidRDefault="00485C44">
            <w:pPr>
              <w:rPr>
                <w:rFonts w:ascii="Calibri" w:hAnsi="Calibri" w:cs="Calibri"/>
                <w:color w:val="000000"/>
                <w:sz w:val="18"/>
                <w:szCs w:val="18"/>
              </w:rPr>
            </w:pPr>
          </w:p>
        </w:tc>
        <w:tc>
          <w:tcPr>
            <w:tcW w:w="505" w:type="dxa"/>
            <w:tcBorders>
              <w:top w:val="nil"/>
              <w:left w:val="nil"/>
              <w:bottom w:val="single" w:sz="4" w:space="0" w:color="auto"/>
              <w:right w:val="single" w:sz="4" w:space="0" w:color="auto"/>
            </w:tcBorders>
            <w:shd w:val="clear" w:color="auto" w:fill="auto"/>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1359</w:t>
            </w:r>
          </w:p>
        </w:tc>
        <w:tc>
          <w:tcPr>
            <w:tcW w:w="4746" w:type="dxa"/>
            <w:tcBorders>
              <w:top w:val="nil"/>
              <w:left w:val="nil"/>
              <w:bottom w:val="single" w:sz="4" w:space="0" w:color="auto"/>
              <w:right w:val="single" w:sz="4" w:space="0" w:color="auto"/>
            </w:tcBorders>
            <w:shd w:val="clear" w:color="auto" w:fill="auto"/>
            <w:vAlign w:val="center"/>
            <w:hideMark/>
          </w:tcPr>
          <w:p w:rsidR="00485C44" w:rsidRDefault="00485C44">
            <w:pPr>
              <w:rPr>
                <w:rFonts w:ascii="Calibri" w:hAnsi="Calibri" w:cs="Calibri"/>
                <w:color w:val="000000"/>
                <w:sz w:val="18"/>
                <w:szCs w:val="18"/>
              </w:rPr>
            </w:pPr>
            <w:r>
              <w:rPr>
                <w:rFonts w:ascii="Calibri" w:hAnsi="Calibri" w:cs="Calibri"/>
                <w:color w:val="000000"/>
                <w:sz w:val="18"/>
                <w:szCs w:val="18"/>
              </w:rPr>
              <w:t>Ostatní odvody z vybraných činností a služeb jinde neuvedené</w:t>
            </w:r>
          </w:p>
        </w:tc>
        <w:tc>
          <w:tcPr>
            <w:tcW w:w="1276" w:type="dxa"/>
            <w:tcBorders>
              <w:top w:val="nil"/>
              <w:left w:val="nil"/>
              <w:bottom w:val="single" w:sz="4" w:space="0" w:color="auto"/>
              <w:right w:val="single" w:sz="4" w:space="0" w:color="auto"/>
            </w:tcBorders>
            <w:shd w:val="clear" w:color="auto" w:fill="auto"/>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223 097,57</w:t>
            </w:r>
          </w:p>
        </w:tc>
        <w:tc>
          <w:tcPr>
            <w:tcW w:w="1276" w:type="dxa"/>
            <w:tcBorders>
              <w:top w:val="nil"/>
              <w:left w:val="nil"/>
              <w:bottom w:val="single" w:sz="4" w:space="0" w:color="auto"/>
              <w:right w:val="single" w:sz="4" w:space="0" w:color="auto"/>
            </w:tcBorders>
            <w:shd w:val="clear" w:color="auto" w:fill="auto"/>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223 750,02</w:t>
            </w:r>
          </w:p>
        </w:tc>
        <w:tc>
          <w:tcPr>
            <w:tcW w:w="1276" w:type="dxa"/>
            <w:tcBorders>
              <w:top w:val="nil"/>
              <w:left w:val="nil"/>
              <w:bottom w:val="single" w:sz="4" w:space="0" w:color="auto"/>
              <w:right w:val="single" w:sz="4" w:space="0" w:color="auto"/>
            </w:tcBorders>
            <w:shd w:val="clear" w:color="auto" w:fill="auto"/>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317 190,65</w:t>
            </w:r>
          </w:p>
        </w:tc>
      </w:tr>
      <w:tr w:rsidR="00485C44" w:rsidTr="00485C44">
        <w:trPr>
          <w:trHeight w:val="300"/>
        </w:trPr>
        <w:tc>
          <w:tcPr>
            <w:tcW w:w="414" w:type="dxa"/>
            <w:tcBorders>
              <w:top w:val="nil"/>
              <w:left w:val="single" w:sz="4" w:space="0" w:color="auto"/>
              <w:bottom w:val="single" w:sz="4" w:space="0" w:color="auto"/>
              <w:right w:val="single" w:sz="4" w:space="0" w:color="auto"/>
            </w:tcBorders>
            <w:shd w:val="clear" w:color="FCD5B4" w:fill="FFE699"/>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136</w:t>
            </w:r>
          </w:p>
        </w:tc>
        <w:tc>
          <w:tcPr>
            <w:tcW w:w="5251" w:type="dxa"/>
            <w:gridSpan w:val="2"/>
            <w:tcBorders>
              <w:top w:val="single" w:sz="4" w:space="0" w:color="auto"/>
              <w:left w:val="nil"/>
              <w:bottom w:val="single" w:sz="4" w:space="0" w:color="auto"/>
              <w:right w:val="single" w:sz="4" w:space="0" w:color="auto"/>
            </w:tcBorders>
            <w:shd w:val="clear" w:color="FCD5B4" w:fill="FFE699"/>
            <w:noWrap/>
            <w:vAlign w:val="center"/>
            <w:hideMark/>
          </w:tcPr>
          <w:p w:rsidR="00485C44" w:rsidRDefault="00485C44">
            <w:pPr>
              <w:rPr>
                <w:rFonts w:ascii="Calibri" w:hAnsi="Calibri" w:cs="Calibri"/>
                <w:color w:val="000000"/>
                <w:sz w:val="18"/>
                <w:szCs w:val="18"/>
              </w:rPr>
            </w:pPr>
            <w:r>
              <w:rPr>
                <w:rFonts w:ascii="Calibri" w:hAnsi="Calibri" w:cs="Calibri"/>
                <w:color w:val="000000"/>
                <w:sz w:val="18"/>
                <w:szCs w:val="18"/>
              </w:rPr>
              <w:t>Správní poplatky</w:t>
            </w:r>
          </w:p>
        </w:tc>
        <w:tc>
          <w:tcPr>
            <w:tcW w:w="1276" w:type="dxa"/>
            <w:tcBorders>
              <w:top w:val="nil"/>
              <w:left w:val="nil"/>
              <w:bottom w:val="single" w:sz="4" w:space="0" w:color="auto"/>
              <w:right w:val="single" w:sz="4" w:space="0" w:color="auto"/>
            </w:tcBorders>
            <w:shd w:val="clear" w:color="FCD5B4" w:fill="FFE699"/>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17 074 136,00</w:t>
            </w:r>
          </w:p>
        </w:tc>
        <w:tc>
          <w:tcPr>
            <w:tcW w:w="1276" w:type="dxa"/>
            <w:tcBorders>
              <w:top w:val="nil"/>
              <w:left w:val="nil"/>
              <w:bottom w:val="single" w:sz="4" w:space="0" w:color="auto"/>
              <w:right w:val="single" w:sz="4" w:space="0" w:color="auto"/>
            </w:tcBorders>
            <w:shd w:val="clear" w:color="FCD5B4" w:fill="FFE699"/>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18 814 762,00</w:t>
            </w:r>
          </w:p>
        </w:tc>
        <w:tc>
          <w:tcPr>
            <w:tcW w:w="1276" w:type="dxa"/>
            <w:tcBorders>
              <w:top w:val="nil"/>
              <w:left w:val="nil"/>
              <w:bottom w:val="single" w:sz="4" w:space="0" w:color="auto"/>
              <w:right w:val="single" w:sz="4" w:space="0" w:color="auto"/>
            </w:tcBorders>
            <w:shd w:val="clear" w:color="FCD5B4" w:fill="FFE699"/>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20 086 161,00</w:t>
            </w:r>
          </w:p>
        </w:tc>
      </w:tr>
      <w:tr w:rsidR="00485C44" w:rsidTr="00485C44">
        <w:trPr>
          <w:trHeight w:val="300"/>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485C44" w:rsidRDefault="00485C44">
            <w:pPr>
              <w:rPr>
                <w:rFonts w:ascii="Calibri" w:hAnsi="Calibri" w:cs="Calibri"/>
                <w:color w:val="000000"/>
                <w:sz w:val="18"/>
                <w:szCs w:val="18"/>
              </w:rPr>
            </w:pPr>
            <w:r>
              <w:rPr>
                <w:rFonts w:ascii="Calibri" w:hAnsi="Calibri" w:cs="Calibri"/>
                <w:color w:val="000000"/>
                <w:sz w:val="18"/>
                <w:szCs w:val="18"/>
              </w:rPr>
              <w:t> </w:t>
            </w:r>
          </w:p>
        </w:tc>
        <w:tc>
          <w:tcPr>
            <w:tcW w:w="505" w:type="dxa"/>
            <w:tcBorders>
              <w:top w:val="nil"/>
              <w:left w:val="nil"/>
              <w:bottom w:val="single" w:sz="4" w:space="0" w:color="auto"/>
              <w:right w:val="single" w:sz="4" w:space="0" w:color="auto"/>
            </w:tcBorders>
            <w:shd w:val="clear" w:color="auto" w:fill="auto"/>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1361</w:t>
            </w:r>
          </w:p>
        </w:tc>
        <w:tc>
          <w:tcPr>
            <w:tcW w:w="4746" w:type="dxa"/>
            <w:tcBorders>
              <w:top w:val="nil"/>
              <w:left w:val="nil"/>
              <w:bottom w:val="single" w:sz="4" w:space="0" w:color="auto"/>
              <w:right w:val="single" w:sz="4" w:space="0" w:color="auto"/>
            </w:tcBorders>
            <w:shd w:val="clear" w:color="auto" w:fill="auto"/>
            <w:noWrap/>
            <w:vAlign w:val="center"/>
            <w:hideMark/>
          </w:tcPr>
          <w:p w:rsidR="00485C44" w:rsidRDefault="00485C44">
            <w:pPr>
              <w:rPr>
                <w:rFonts w:ascii="Calibri" w:hAnsi="Calibri" w:cs="Calibri"/>
                <w:color w:val="000000"/>
                <w:sz w:val="18"/>
                <w:szCs w:val="18"/>
              </w:rPr>
            </w:pPr>
            <w:r>
              <w:rPr>
                <w:rFonts w:ascii="Calibri" w:hAnsi="Calibri" w:cs="Calibri"/>
                <w:color w:val="000000"/>
                <w:sz w:val="18"/>
                <w:szCs w:val="18"/>
              </w:rPr>
              <w:t>Správní poplatky</w:t>
            </w:r>
          </w:p>
        </w:tc>
        <w:tc>
          <w:tcPr>
            <w:tcW w:w="1276" w:type="dxa"/>
            <w:tcBorders>
              <w:top w:val="nil"/>
              <w:left w:val="nil"/>
              <w:bottom w:val="single" w:sz="4" w:space="0" w:color="auto"/>
              <w:right w:val="single" w:sz="4" w:space="0" w:color="auto"/>
            </w:tcBorders>
            <w:shd w:val="clear" w:color="auto" w:fill="auto"/>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17 074 136,00</w:t>
            </w:r>
          </w:p>
        </w:tc>
        <w:tc>
          <w:tcPr>
            <w:tcW w:w="1276" w:type="dxa"/>
            <w:tcBorders>
              <w:top w:val="nil"/>
              <w:left w:val="nil"/>
              <w:bottom w:val="single" w:sz="4" w:space="0" w:color="auto"/>
              <w:right w:val="single" w:sz="4" w:space="0" w:color="auto"/>
            </w:tcBorders>
            <w:shd w:val="clear" w:color="auto" w:fill="auto"/>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18 814 762,00</w:t>
            </w:r>
          </w:p>
        </w:tc>
        <w:tc>
          <w:tcPr>
            <w:tcW w:w="1276" w:type="dxa"/>
            <w:tcBorders>
              <w:top w:val="nil"/>
              <w:left w:val="nil"/>
              <w:bottom w:val="single" w:sz="4" w:space="0" w:color="auto"/>
              <w:right w:val="single" w:sz="4" w:space="0" w:color="auto"/>
            </w:tcBorders>
            <w:shd w:val="clear" w:color="auto" w:fill="auto"/>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20 086 161,00</w:t>
            </w:r>
          </w:p>
        </w:tc>
      </w:tr>
      <w:tr w:rsidR="00485C44" w:rsidTr="00485C44">
        <w:trPr>
          <w:trHeight w:val="301"/>
        </w:trPr>
        <w:tc>
          <w:tcPr>
            <w:tcW w:w="414" w:type="dxa"/>
            <w:tcBorders>
              <w:top w:val="nil"/>
              <w:left w:val="single" w:sz="4" w:space="0" w:color="auto"/>
              <w:bottom w:val="single" w:sz="4" w:space="0" w:color="auto"/>
              <w:right w:val="single" w:sz="4" w:space="0" w:color="auto"/>
            </w:tcBorders>
            <w:shd w:val="clear" w:color="FCD5B4" w:fill="FFE699"/>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138</w:t>
            </w:r>
          </w:p>
        </w:tc>
        <w:tc>
          <w:tcPr>
            <w:tcW w:w="5251" w:type="dxa"/>
            <w:gridSpan w:val="2"/>
            <w:tcBorders>
              <w:top w:val="single" w:sz="4" w:space="0" w:color="auto"/>
              <w:left w:val="nil"/>
              <w:bottom w:val="single" w:sz="4" w:space="0" w:color="auto"/>
              <w:right w:val="single" w:sz="4" w:space="0" w:color="auto"/>
            </w:tcBorders>
            <w:shd w:val="clear" w:color="FCD5B4" w:fill="FFE699"/>
            <w:vAlign w:val="center"/>
            <w:hideMark/>
          </w:tcPr>
          <w:p w:rsidR="00485C44" w:rsidRDefault="00485C44">
            <w:pPr>
              <w:rPr>
                <w:rFonts w:ascii="Calibri" w:hAnsi="Calibri" w:cs="Calibri"/>
                <w:color w:val="000000"/>
                <w:sz w:val="18"/>
                <w:szCs w:val="18"/>
              </w:rPr>
            </w:pPr>
            <w:r>
              <w:rPr>
                <w:rFonts w:ascii="Calibri" w:hAnsi="Calibri" w:cs="Calibri"/>
                <w:color w:val="000000"/>
                <w:sz w:val="18"/>
                <w:szCs w:val="18"/>
              </w:rPr>
              <w:t>Daně, poplatky a jiná obdobná peněžitá plnění v oblasti hazardních her</w:t>
            </w:r>
          </w:p>
        </w:tc>
        <w:tc>
          <w:tcPr>
            <w:tcW w:w="1276" w:type="dxa"/>
            <w:tcBorders>
              <w:top w:val="nil"/>
              <w:left w:val="nil"/>
              <w:bottom w:val="single" w:sz="4" w:space="0" w:color="auto"/>
              <w:right w:val="single" w:sz="4" w:space="0" w:color="auto"/>
            </w:tcBorders>
            <w:shd w:val="clear" w:color="FCD5B4" w:fill="FFE699"/>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45 120 648,45</w:t>
            </w:r>
          </w:p>
        </w:tc>
        <w:tc>
          <w:tcPr>
            <w:tcW w:w="1276" w:type="dxa"/>
            <w:tcBorders>
              <w:top w:val="nil"/>
              <w:left w:val="nil"/>
              <w:bottom w:val="single" w:sz="4" w:space="0" w:color="auto"/>
              <w:right w:val="single" w:sz="4" w:space="0" w:color="auto"/>
            </w:tcBorders>
            <w:shd w:val="clear" w:color="FCD5B4" w:fill="FFE699"/>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39 579 759,60</w:t>
            </w:r>
          </w:p>
        </w:tc>
        <w:tc>
          <w:tcPr>
            <w:tcW w:w="1276" w:type="dxa"/>
            <w:tcBorders>
              <w:top w:val="nil"/>
              <w:left w:val="nil"/>
              <w:bottom w:val="single" w:sz="4" w:space="0" w:color="auto"/>
              <w:right w:val="single" w:sz="4" w:space="0" w:color="auto"/>
            </w:tcBorders>
            <w:shd w:val="clear" w:color="FCD5B4" w:fill="FFE699"/>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83 512 543,18</w:t>
            </w:r>
          </w:p>
        </w:tc>
      </w:tr>
      <w:tr w:rsidR="00485C44" w:rsidTr="00485C44">
        <w:trPr>
          <w:trHeight w:val="300"/>
        </w:trPr>
        <w:tc>
          <w:tcPr>
            <w:tcW w:w="4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5C44" w:rsidRDefault="00485C44">
            <w:pPr>
              <w:jc w:val="center"/>
              <w:rPr>
                <w:rFonts w:ascii="Calibri" w:hAnsi="Calibri" w:cs="Calibri"/>
                <w:color w:val="000000"/>
                <w:sz w:val="18"/>
                <w:szCs w:val="18"/>
              </w:rPr>
            </w:pPr>
            <w:r>
              <w:rPr>
                <w:rFonts w:ascii="Calibri" w:hAnsi="Calibri" w:cs="Calibri"/>
                <w:color w:val="000000"/>
                <w:sz w:val="18"/>
                <w:szCs w:val="18"/>
              </w:rPr>
              <w:t> </w:t>
            </w:r>
          </w:p>
        </w:tc>
        <w:tc>
          <w:tcPr>
            <w:tcW w:w="505" w:type="dxa"/>
            <w:tcBorders>
              <w:top w:val="nil"/>
              <w:left w:val="nil"/>
              <w:bottom w:val="single" w:sz="4" w:space="0" w:color="auto"/>
              <w:right w:val="single" w:sz="4" w:space="0" w:color="auto"/>
            </w:tcBorders>
            <w:shd w:val="clear" w:color="auto" w:fill="auto"/>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1381</w:t>
            </w:r>
          </w:p>
        </w:tc>
        <w:tc>
          <w:tcPr>
            <w:tcW w:w="4746" w:type="dxa"/>
            <w:tcBorders>
              <w:top w:val="nil"/>
              <w:left w:val="nil"/>
              <w:bottom w:val="single" w:sz="4" w:space="0" w:color="auto"/>
              <w:right w:val="single" w:sz="4" w:space="0" w:color="auto"/>
            </w:tcBorders>
            <w:shd w:val="clear" w:color="auto" w:fill="auto"/>
            <w:vAlign w:val="center"/>
            <w:hideMark/>
          </w:tcPr>
          <w:p w:rsidR="00485C44" w:rsidRDefault="00485C44">
            <w:pPr>
              <w:rPr>
                <w:rFonts w:ascii="Calibri" w:hAnsi="Calibri" w:cs="Calibri"/>
                <w:color w:val="000000"/>
                <w:sz w:val="18"/>
                <w:szCs w:val="18"/>
              </w:rPr>
            </w:pPr>
            <w:r>
              <w:rPr>
                <w:rFonts w:ascii="Calibri" w:hAnsi="Calibri" w:cs="Calibri"/>
                <w:color w:val="000000"/>
                <w:sz w:val="18"/>
                <w:szCs w:val="18"/>
              </w:rPr>
              <w:t>Daň z hazardních her s výjimko</w:t>
            </w:r>
            <w:r w:rsidR="001E7D53">
              <w:rPr>
                <w:rFonts w:ascii="Calibri" w:hAnsi="Calibri" w:cs="Calibri"/>
                <w:color w:val="000000"/>
                <w:sz w:val="18"/>
                <w:szCs w:val="18"/>
              </w:rPr>
              <w:t>u dílčí daně z technických her</w:t>
            </w:r>
          </w:p>
        </w:tc>
        <w:tc>
          <w:tcPr>
            <w:tcW w:w="1276" w:type="dxa"/>
            <w:tcBorders>
              <w:top w:val="nil"/>
              <w:left w:val="nil"/>
              <w:bottom w:val="single" w:sz="4" w:space="0" w:color="auto"/>
              <w:right w:val="single" w:sz="4" w:space="0" w:color="auto"/>
            </w:tcBorders>
            <w:shd w:val="clear" w:color="auto" w:fill="auto"/>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4 363 470,23</w:t>
            </w:r>
          </w:p>
        </w:tc>
        <w:tc>
          <w:tcPr>
            <w:tcW w:w="1276" w:type="dxa"/>
            <w:tcBorders>
              <w:top w:val="nil"/>
              <w:left w:val="nil"/>
              <w:bottom w:val="single" w:sz="4" w:space="0" w:color="auto"/>
              <w:right w:val="single" w:sz="4" w:space="0" w:color="auto"/>
            </w:tcBorders>
            <w:shd w:val="clear" w:color="auto" w:fill="auto"/>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5 430 913,60</w:t>
            </w:r>
          </w:p>
        </w:tc>
        <w:tc>
          <w:tcPr>
            <w:tcW w:w="1276" w:type="dxa"/>
            <w:tcBorders>
              <w:top w:val="nil"/>
              <w:left w:val="nil"/>
              <w:bottom w:val="single" w:sz="4" w:space="0" w:color="auto"/>
              <w:right w:val="single" w:sz="4" w:space="0" w:color="auto"/>
            </w:tcBorders>
            <w:shd w:val="clear" w:color="auto" w:fill="auto"/>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6 115 110,87</w:t>
            </w:r>
          </w:p>
        </w:tc>
      </w:tr>
      <w:tr w:rsidR="00485C44" w:rsidTr="00485C44">
        <w:trPr>
          <w:trHeight w:val="480"/>
        </w:trPr>
        <w:tc>
          <w:tcPr>
            <w:tcW w:w="414" w:type="dxa"/>
            <w:vMerge/>
            <w:tcBorders>
              <w:top w:val="nil"/>
              <w:left w:val="single" w:sz="4" w:space="0" w:color="auto"/>
              <w:bottom w:val="single" w:sz="4" w:space="0" w:color="auto"/>
              <w:right w:val="single" w:sz="4" w:space="0" w:color="auto"/>
            </w:tcBorders>
            <w:vAlign w:val="center"/>
            <w:hideMark/>
          </w:tcPr>
          <w:p w:rsidR="00485C44" w:rsidRDefault="00485C44">
            <w:pPr>
              <w:rPr>
                <w:rFonts w:ascii="Calibri" w:hAnsi="Calibri" w:cs="Calibri"/>
                <w:color w:val="000000"/>
                <w:sz w:val="18"/>
                <w:szCs w:val="18"/>
              </w:rPr>
            </w:pPr>
          </w:p>
        </w:tc>
        <w:tc>
          <w:tcPr>
            <w:tcW w:w="505" w:type="dxa"/>
            <w:tcBorders>
              <w:top w:val="nil"/>
              <w:left w:val="nil"/>
              <w:bottom w:val="single" w:sz="4" w:space="0" w:color="auto"/>
              <w:right w:val="single" w:sz="4" w:space="0" w:color="auto"/>
            </w:tcBorders>
            <w:shd w:val="clear" w:color="auto" w:fill="auto"/>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1382</w:t>
            </w:r>
          </w:p>
        </w:tc>
        <w:tc>
          <w:tcPr>
            <w:tcW w:w="4746" w:type="dxa"/>
            <w:tcBorders>
              <w:top w:val="nil"/>
              <w:left w:val="nil"/>
              <w:bottom w:val="single" w:sz="4" w:space="0" w:color="auto"/>
              <w:right w:val="single" w:sz="4" w:space="0" w:color="auto"/>
            </w:tcBorders>
            <w:shd w:val="clear" w:color="auto" w:fill="auto"/>
            <w:vAlign w:val="center"/>
            <w:hideMark/>
          </w:tcPr>
          <w:p w:rsidR="00485C44" w:rsidRDefault="00485C44">
            <w:pPr>
              <w:rPr>
                <w:rFonts w:ascii="Calibri" w:hAnsi="Calibri" w:cs="Calibri"/>
                <w:color w:val="000000"/>
                <w:sz w:val="18"/>
                <w:szCs w:val="18"/>
              </w:rPr>
            </w:pPr>
            <w:r>
              <w:rPr>
                <w:rFonts w:ascii="Calibri" w:hAnsi="Calibri" w:cs="Calibri"/>
                <w:color w:val="000000"/>
                <w:sz w:val="18"/>
                <w:szCs w:val="18"/>
              </w:rPr>
              <w:t>Zrušený odvod z loterií a podobných her kromě z výherních hracích přístrojů</w:t>
            </w:r>
          </w:p>
        </w:tc>
        <w:tc>
          <w:tcPr>
            <w:tcW w:w="1276" w:type="dxa"/>
            <w:tcBorders>
              <w:top w:val="nil"/>
              <w:left w:val="nil"/>
              <w:bottom w:val="single" w:sz="4" w:space="0" w:color="auto"/>
              <w:right w:val="single" w:sz="4" w:space="0" w:color="auto"/>
            </w:tcBorders>
            <w:shd w:val="clear" w:color="auto" w:fill="auto"/>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1 184,41</w:t>
            </w:r>
          </w:p>
        </w:tc>
        <w:tc>
          <w:tcPr>
            <w:tcW w:w="1276" w:type="dxa"/>
            <w:tcBorders>
              <w:top w:val="nil"/>
              <w:left w:val="nil"/>
              <w:bottom w:val="single" w:sz="4" w:space="0" w:color="auto"/>
              <w:right w:val="single" w:sz="4" w:space="0" w:color="auto"/>
            </w:tcBorders>
            <w:shd w:val="clear" w:color="auto" w:fill="auto"/>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278,69</w:t>
            </w:r>
          </w:p>
        </w:tc>
        <w:tc>
          <w:tcPr>
            <w:tcW w:w="1276" w:type="dxa"/>
            <w:tcBorders>
              <w:top w:val="nil"/>
              <w:left w:val="nil"/>
              <w:bottom w:val="single" w:sz="4" w:space="0" w:color="auto"/>
              <w:right w:val="single" w:sz="4" w:space="0" w:color="auto"/>
            </w:tcBorders>
            <w:shd w:val="clear" w:color="auto" w:fill="auto"/>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4 387,60</w:t>
            </w:r>
          </w:p>
        </w:tc>
      </w:tr>
      <w:tr w:rsidR="00485C44" w:rsidTr="00485C44">
        <w:trPr>
          <w:trHeight w:val="300"/>
        </w:trPr>
        <w:tc>
          <w:tcPr>
            <w:tcW w:w="414" w:type="dxa"/>
            <w:vMerge/>
            <w:tcBorders>
              <w:top w:val="nil"/>
              <w:left w:val="single" w:sz="4" w:space="0" w:color="auto"/>
              <w:bottom w:val="single" w:sz="4" w:space="0" w:color="auto"/>
              <w:right w:val="single" w:sz="4" w:space="0" w:color="auto"/>
            </w:tcBorders>
            <w:vAlign w:val="center"/>
            <w:hideMark/>
          </w:tcPr>
          <w:p w:rsidR="00485C44" w:rsidRDefault="00485C44">
            <w:pPr>
              <w:rPr>
                <w:rFonts w:ascii="Calibri" w:hAnsi="Calibri" w:cs="Calibri"/>
                <w:color w:val="000000"/>
                <w:sz w:val="18"/>
                <w:szCs w:val="18"/>
              </w:rPr>
            </w:pPr>
          </w:p>
        </w:tc>
        <w:tc>
          <w:tcPr>
            <w:tcW w:w="505" w:type="dxa"/>
            <w:tcBorders>
              <w:top w:val="nil"/>
              <w:left w:val="nil"/>
              <w:bottom w:val="single" w:sz="4" w:space="0" w:color="auto"/>
              <w:right w:val="single" w:sz="4" w:space="0" w:color="auto"/>
            </w:tcBorders>
            <w:shd w:val="clear" w:color="auto" w:fill="auto"/>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1383</w:t>
            </w:r>
          </w:p>
        </w:tc>
        <w:tc>
          <w:tcPr>
            <w:tcW w:w="4746" w:type="dxa"/>
            <w:tcBorders>
              <w:top w:val="nil"/>
              <w:left w:val="nil"/>
              <w:bottom w:val="single" w:sz="4" w:space="0" w:color="auto"/>
              <w:right w:val="single" w:sz="4" w:space="0" w:color="auto"/>
            </w:tcBorders>
            <w:shd w:val="clear" w:color="auto" w:fill="auto"/>
            <w:vAlign w:val="center"/>
            <w:hideMark/>
          </w:tcPr>
          <w:p w:rsidR="00485C44" w:rsidRDefault="00485C44">
            <w:pPr>
              <w:rPr>
                <w:rFonts w:ascii="Calibri" w:hAnsi="Calibri" w:cs="Calibri"/>
                <w:color w:val="000000"/>
                <w:sz w:val="18"/>
                <w:szCs w:val="18"/>
              </w:rPr>
            </w:pPr>
            <w:r>
              <w:rPr>
                <w:rFonts w:ascii="Calibri" w:hAnsi="Calibri" w:cs="Calibri"/>
                <w:color w:val="000000"/>
                <w:sz w:val="18"/>
                <w:szCs w:val="18"/>
              </w:rPr>
              <w:t>Zrušený odvod z výherních hracích přístrojů</w:t>
            </w:r>
          </w:p>
        </w:tc>
        <w:tc>
          <w:tcPr>
            <w:tcW w:w="1276" w:type="dxa"/>
            <w:tcBorders>
              <w:top w:val="nil"/>
              <w:left w:val="nil"/>
              <w:bottom w:val="single" w:sz="4" w:space="0" w:color="auto"/>
              <w:right w:val="single" w:sz="4" w:space="0" w:color="auto"/>
            </w:tcBorders>
            <w:shd w:val="clear" w:color="auto" w:fill="auto"/>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755,80</w:t>
            </w:r>
          </w:p>
        </w:tc>
        <w:tc>
          <w:tcPr>
            <w:tcW w:w="1276" w:type="dxa"/>
            <w:tcBorders>
              <w:top w:val="nil"/>
              <w:left w:val="nil"/>
              <w:bottom w:val="single" w:sz="4" w:space="0" w:color="auto"/>
              <w:right w:val="single" w:sz="4" w:space="0" w:color="auto"/>
            </w:tcBorders>
            <w:shd w:val="clear" w:color="auto" w:fill="auto"/>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0,00</w:t>
            </w:r>
          </w:p>
        </w:tc>
      </w:tr>
      <w:tr w:rsidR="00485C44" w:rsidTr="00485C44">
        <w:trPr>
          <w:trHeight w:val="300"/>
        </w:trPr>
        <w:tc>
          <w:tcPr>
            <w:tcW w:w="414" w:type="dxa"/>
            <w:vMerge/>
            <w:tcBorders>
              <w:top w:val="nil"/>
              <w:left w:val="single" w:sz="4" w:space="0" w:color="auto"/>
              <w:bottom w:val="single" w:sz="4" w:space="0" w:color="auto"/>
              <w:right w:val="single" w:sz="4" w:space="0" w:color="auto"/>
            </w:tcBorders>
            <w:vAlign w:val="center"/>
            <w:hideMark/>
          </w:tcPr>
          <w:p w:rsidR="00485C44" w:rsidRDefault="00485C44">
            <w:pPr>
              <w:rPr>
                <w:rFonts w:ascii="Calibri" w:hAnsi="Calibri" w:cs="Calibri"/>
                <w:color w:val="000000"/>
                <w:sz w:val="18"/>
                <w:szCs w:val="18"/>
              </w:rPr>
            </w:pPr>
          </w:p>
        </w:tc>
        <w:tc>
          <w:tcPr>
            <w:tcW w:w="505" w:type="dxa"/>
            <w:tcBorders>
              <w:top w:val="nil"/>
              <w:left w:val="nil"/>
              <w:bottom w:val="single" w:sz="4" w:space="0" w:color="auto"/>
              <w:right w:val="single" w:sz="4" w:space="0" w:color="auto"/>
            </w:tcBorders>
            <w:shd w:val="clear" w:color="auto" w:fill="auto"/>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1385</w:t>
            </w:r>
          </w:p>
        </w:tc>
        <w:tc>
          <w:tcPr>
            <w:tcW w:w="4746" w:type="dxa"/>
            <w:tcBorders>
              <w:top w:val="nil"/>
              <w:left w:val="nil"/>
              <w:bottom w:val="single" w:sz="4" w:space="0" w:color="auto"/>
              <w:right w:val="single" w:sz="4" w:space="0" w:color="auto"/>
            </w:tcBorders>
            <w:shd w:val="clear" w:color="auto" w:fill="auto"/>
            <w:vAlign w:val="center"/>
            <w:hideMark/>
          </w:tcPr>
          <w:p w:rsidR="00485C44" w:rsidRDefault="00485C44">
            <w:pPr>
              <w:rPr>
                <w:rFonts w:ascii="Calibri" w:hAnsi="Calibri" w:cs="Calibri"/>
                <w:color w:val="000000"/>
                <w:sz w:val="18"/>
                <w:szCs w:val="18"/>
              </w:rPr>
            </w:pPr>
            <w:r>
              <w:rPr>
                <w:rFonts w:ascii="Calibri" w:hAnsi="Calibri" w:cs="Calibri"/>
                <w:color w:val="000000"/>
                <w:sz w:val="18"/>
                <w:szCs w:val="18"/>
              </w:rPr>
              <w:t>Dílčí daň z technických her</w:t>
            </w:r>
          </w:p>
        </w:tc>
        <w:tc>
          <w:tcPr>
            <w:tcW w:w="1276" w:type="dxa"/>
            <w:tcBorders>
              <w:top w:val="nil"/>
              <w:left w:val="nil"/>
              <w:bottom w:val="single" w:sz="4" w:space="0" w:color="auto"/>
              <w:right w:val="single" w:sz="4" w:space="0" w:color="auto"/>
            </w:tcBorders>
            <w:shd w:val="clear" w:color="auto" w:fill="auto"/>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40 755 238,01</w:t>
            </w:r>
          </w:p>
        </w:tc>
        <w:tc>
          <w:tcPr>
            <w:tcW w:w="1276" w:type="dxa"/>
            <w:tcBorders>
              <w:top w:val="nil"/>
              <w:left w:val="nil"/>
              <w:bottom w:val="single" w:sz="4" w:space="0" w:color="auto"/>
              <w:right w:val="single" w:sz="4" w:space="0" w:color="auto"/>
            </w:tcBorders>
            <w:shd w:val="clear" w:color="auto" w:fill="auto"/>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34 148 567,31</w:t>
            </w:r>
          </w:p>
        </w:tc>
        <w:tc>
          <w:tcPr>
            <w:tcW w:w="1276" w:type="dxa"/>
            <w:tcBorders>
              <w:top w:val="nil"/>
              <w:left w:val="nil"/>
              <w:bottom w:val="single" w:sz="4" w:space="0" w:color="auto"/>
              <w:right w:val="single" w:sz="4" w:space="0" w:color="auto"/>
            </w:tcBorders>
            <w:shd w:val="clear" w:color="auto" w:fill="auto"/>
            <w:noWrap/>
            <w:vAlign w:val="center"/>
            <w:hideMark/>
          </w:tcPr>
          <w:p w:rsidR="00485C44" w:rsidRDefault="00485C44">
            <w:pPr>
              <w:jc w:val="right"/>
              <w:rPr>
                <w:rFonts w:ascii="Calibri" w:hAnsi="Calibri" w:cs="Calibri"/>
                <w:color w:val="000000"/>
                <w:sz w:val="18"/>
                <w:szCs w:val="18"/>
              </w:rPr>
            </w:pPr>
            <w:r>
              <w:rPr>
                <w:rFonts w:ascii="Calibri" w:hAnsi="Calibri" w:cs="Calibri"/>
                <w:color w:val="000000"/>
                <w:sz w:val="18"/>
                <w:szCs w:val="18"/>
              </w:rPr>
              <w:t>77 393 044,71</w:t>
            </w:r>
          </w:p>
        </w:tc>
      </w:tr>
    </w:tbl>
    <w:p w:rsidR="00A53C4D" w:rsidRDefault="00A53C4D" w:rsidP="00A53C4D"/>
    <w:p w:rsidR="00485C44" w:rsidRDefault="00485C44" w:rsidP="00A53C4D"/>
    <w:p w:rsidR="003647CC" w:rsidRDefault="00485C44" w:rsidP="00485C44">
      <w:pPr>
        <w:jc w:val="center"/>
      </w:pPr>
      <w:r>
        <w:rPr>
          <w:noProof/>
        </w:rPr>
        <w:drawing>
          <wp:inline distT="0" distB="0" distL="0" distR="0" wp14:anchorId="11A7D5D7" wp14:editId="2254F256">
            <wp:extent cx="4304665" cy="2809102"/>
            <wp:effectExtent l="0" t="0" r="635" b="10795"/>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647CC" w:rsidRDefault="003647CC" w:rsidP="00A53C4D"/>
    <w:p w:rsidR="00A53C4D" w:rsidRDefault="00A53C4D" w:rsidP="00A53C4D"/>
    <w:p w:rsidR="00C4700D" w:rsidRDefault="00C4700D" w:rsidP="00A53C4D"/>
    <w:p w:rsidR="00C4700D" w:rsidRPr="00A53C4D" w:rsidRDefault="00C4700D" w:rsidP="00A53C4D"/>
    <w:p w:rsidR="00C5545B" w:rsidRDefault="00C5545B" w:rsidP="00A53C4D">
      <w:pPr>
        <w:jc w:val="center"/>
      </w:pPr>
    </w:p>
    <w:p w:rsidR="006B3A2E" w:rsidRDefault="006B3A2E" w:rsidP="006B3A2E">
      <w:pPr>
        <w:jc w:val="center"/>
      </w:pPr>
    </w:p>
    <w:p w:rsidR="00D46DCD" w:rsidRDefault="00D46DCD" w:rsidP="00823C30"/>
    <w:p w:rsidR="003642CE" w:rsidRDefault="00522A72" w:rsidP="00C4700D">
      <w:pPr>
        <w:pStyle w:val="Nadpis2"/>
      </w:pPr>
      <w:bookmarkStart w:id="11" w:name="_Toc39129497"/>
      <w:r>
        <w:lastRenderedPageBreak/>
        <w:t xml:space="preserve">Třída 2: </w:t>
      </w:r>
      <w:r w:rsidR="003642CE">
        <w:t xml:space="preserve">Nedaňové </w:t>
      </w:r>
      <w:r w:rsidR="003642CE" w:rsidRPr="00522A72">
        <w:t>příjmy</w:t>
      </w:r>
      <w:r w:rsidR="000B3C60">
        <w:t xml:space="preserve"> (</w:t>
      </w:r>
      <w:r w:rsidR="000445D7">
        <w:t>169,77</w:t>
      </w:r>
      <w:r w:rsidR="00A96BE3">
        <w:t xml:space="preserve"> mil. Kč)</w:t>
      </w:r>
      <w:bookmarkEnd w:id="11"/>
    </w:p>
    <w:p w:rsidR="00A96BE3" w:rsidRPr="008946CC" w:rsidRDefault="00A96BE3" w:rsidP="00A96BE3">
      <w:pPr>
        <w:rPr>
          <w:rFonts w:asciiTheme="minorHAnsi" w:hAnsiTheme="minorHAnsi" w:cstheme="minorHAnsi"/>
        </w:rPr>
      </w:pPr>
    </w:p>
    <w:p w:rsidR="00D746D5" w:rsidRPr="008946CC" w:rsidRDefault="00650D99" w:rsidP="003642CE">
      <w:pPr>
        <w:jc w:val="both"/>
        <w:rPr>
          <w:rFonts w:asciiTheme="minorHAnsi" w:hAnsiTheme="minorHAnsi" w:cstheme="minorHAnsi"/>
          <w:sz w:val="22"/>
          <w:szCs w:val="22"/>
        </w:rPr>
      </w:pPr>
      <w:r w:rsidRPr="008946CC">
        <w:rPr>
          <w:rFonts w:asciiTheme="minorHAnsi" w:hAnsiTheme="minorHAnsi" w:cstheme="minorHAnsi"/>
          <w:sz w:val="22"/>
          <w:szCs w:val="22"/>
        </w:rPr>
        <w:t>Ned</w:t>
      </w:r>
      <w:r w:rsidR="009A374E">
        <w:rPr>
          <w:rFonts w:asciiTheme="minorHAnsi" w:hAnsiTheme="minorHAnsi" w:cstheme="minorHAnsi"/>
          <w:sz w:val="22"/>
          <w:szCs w:val="22"/>
        </w:rPr>
        <w:t>aňové příjmy v roce 202</w:t>
      </w:r>
      <w:r w:rsidR="000445D7">
        <w:rPr>
          <w:rFonts w:asciiTheme="minorHAnsi" w:hAnsiTheme="minorHAnsi" w:cstheme="minorHAnsi"/>
          <w:sz w:val="22"/>
          <w:szCs w:val="22"/>
        </w:rPr>
        <w:t>2</w:t>
      </w:r>
      <w:r w:rsidR="003642CE" w:rsidRPr="008946CC">
        <w:rPr>
          <w:rFonts w:asciiTheme="minorHAnsi" w:hAnsiTheme="minorHAnsi" w:cstheme="minorHAnsi"/>
          <w:sz w:val="22"/>
          <w:szCs w:val="22"/>
        </w:rPr>
        <w:t xml:space="preserve"> byly plněny na </w:t>
      </w:r>
      <w:r w:rsidR="000445D7">
        <w:rPr>
          <w:rFonts w:asciiTheme="minorHAnsi" w:hAnsiTheme="minorHAnsi" w:cstheme="minorHAnsi"/>
          <w:sz w:val="22"/>
          <w:szCs w:val="22"/>
        </w:rPr>
        <w:t>117,8</w:t>
      </w:r>
      <w:r w:rsidR="003642CE" w:rsidRPr="008946CC">
        <w:rPr>
          <w:rFonts w:asciiTheme="minorHAnsi" w:hAnsiTheme="minorHAnsi" w:cstheme="minorHAnsi"/>
          <w:sz w:val="22"/>
          <w:szCs w:val="22"/>
        </w:rPr>
        <w:t xml:space="preserve"> % a jejich podíl na celkových skutečný</w:t>
      </w:r>
      <w:r w:rsidR="00C4700D">
        <w:rPr>
          <w:rFonts w:asciiTheme="minorHAnsi" w:hAnsiTheme="minorHAnsi" w:cstheme="minorHAnsi"/>
          <w:sz w:val="22"/>
          <w:szCs w:val="22"/>
        </w:rPr>
        <w:t>ch příjmech po </w:t>
      </w:r>
      <w:r w:rsidR="00E132AE">
        <w:rPr>
          <w:rFonts w:asciiTheme="minorHAnsi" w:hAnsiTheme="minorHAnsi" w:cstheme="minorHAnsi"/>
          <w:sz w:val="22"/>
          <w:szCs w:val="22"/>
        </w:rPr>
        <w:t>konsolidaci činil</w:t>
      </w:r>
      <w:r w:rsidR="003642CE" w:rsidRPr="008946CC">
        <w:rPr>
          <w:rFonts w:asciiTheme="minorHAnsi" w:hAnsiTheme="minorHAnsi" w:cstheme="minorHAnsi"/>
          <w:sz w:val="22"/>
          <w:szCs w:val="22"/>
        </w:rPr>
        <w:t xml:space="preserve"> </w:t>
      </w:r>
      <w:r w:rsidR="00CA722E">
        <w:rPr>
          <w:rFonts w:asciiTheme="minorHAnsi" w:hAnsiTheme="minorHAnsi" w:cstheme="minorHAnsi"/>
          <w:sz w:val="22"/>
          <w:szCs w:val="22"/>
        </w:rPr>
        <w:t>13,</w:t>
      </w:r>
      <w:r w:rsidR="00DA4399">
        <w:rPr>
          <w:rFonts w:asciiTheme="minorHAnsi" w:hAnsiTheme="minorHAnsi" w:cstheme="minorHAnsi"/>
          <w:sz w:val="22"/>
          <w:szCs w:val="22"/>
        </w:rPr>
        <w:t>38</w:t>
      </w:r>
      <w:r w:rsidR="00CA722E">
        <w:rPr>
          <w:rFonts w:asciiTheme="minorHAnsi" w:hAnsiTheme="minorHAnsi" w:cstheme="minorHAnsi"/>
          <w:sz w:val="22"/>
          <w:szCs w:val="22"/>
        </w:rPr>
        <w:t> </w:t>
      </w:r>
      <w:r w:rsidR="003642CE" w:rsidRPr="008946CC">
        <w:rPr>
          <w:rFonts w:asciiTheme="minorHAnsi" w:hAnsiTheme="minorHAnsi" w:cstheme="minorHAnsi"/>
          <w:sz w:val="22"/>
          <w:szCs w:val="22"/>
        </w:rPr>
        <w:t>%.</w:t>
      </w:r>
    </w:p>
    <w:p w:rsidR="00E34538" w:rsidRPr="008946CC" w:rsidRDefault="00E34538" w:rsidP="003642CE">
      <w:pPr>
        <w:jc w:val="both"/>
        <w:rPr>
          <w:rFonts w:asciiTheme="minorHAnsi" w:hAnsiTheme="minorHAnsi" w:cstheme="minorHAnsi"/>
          <w:sz w:val="22"/>
          <w:szCs w:val="22"/>
        </w:rPr>
      </w:pPr>
    </w:p>
    <w:p w:rsidR="00E34538" w:rsidRPr="00690E50" w:rsidRDefault="00E34538" w:rsidP="003642CE">
      <w:pPr>
        <w:jc w:val="both"/>
        <w:rPr>
          <w:rFonts w:asciiTheme="minorHAnsi" w:hAnsiTheme="minorHAnsi" w:cstheme="minorHAnsi"/>
          <w:sz w:val="22"/>
          <w:szCs w:val="22"/>
        </w:rPr>
      </w:pPr>
      <w:r w:rsidRPr="00690E50">
        <w:rPr>
          <w:rFonts w:asciiTheme="minorHAnsi" w:hAnsiTheme="minorHAnsi" w:cstheme="minorHAnsi"/>
          <w:sz w:val="22"/>
          <w:szCs w:val="22"/>
        </w:rPr>
        <w:t>Nedaňové příjmy města jsou tvořeny zejména příjmy</w:t>
      </w:r>
      <w:r w:rsidR="004A51FC" w:rsidRPr="00690E50">
        <w:rPr>
          <w:rFonts w:asciiTheme="minorHAnsi" w:hAnsiTheme="minorHAnsi" w:cstheme="minorHAnsi"/>
          <w:sz w:val="22"/>
          <w:szCs w:val="22"/>
        </w:rPr>
        <w:t xml:space="preserve"> z pronájmu majetku (</w:t>
      </w:r>
      <w:r w:rsidR="00F95765">
        <w:rPr>
          <w:rFonts w:asciiTheme="minorHAnsi" w:hAnsiTheme="minorHAnsi" w:cstheme="minorHAnsi"/>
          <w:sz w:val="22"/>
          <w:szCs w:val="22"/>
        </w:rPr>
        <w:t>72,89</w:t>
      </w:r>
      <w:r w:rsidR="004A51FC" w:rsidRPr="00690E50">
        <w:rPr>
          <w:rFonts w:asciiTheme="minorHAnsi" w:hAnsiTheme="minorHAnsi" w:cstheme="minorHAnsi"/>
          <w:sz w:val="22"/>
          <w:szCs w:val="22"/>
        </w:rPr>
        <w:t> mil. </w:t>
      </w:r>
      <w:r w:rsidRPr="00690E50">
        <w:rPr>
          <w:rFonts w:asciiTheme="minorHAnsi" w:hAnsiTheme="minorHAnsi" w:cstheme="minorHAnsi"/>
          <w:sz w:val="22"/>
          <w:szCs w:val="22"/>
        </w:rPr>
        <w:t>Kč), příjmy z po</w:t>
      </w:r>
      <w:r w:rsidR="00A20660" w:rsidRPr="00690E50">
        <w:rPr>
          <w:rFonts w:asciiTheme="minorHAnsi" w:hAnsiTheme="minorHAnsi" w:cstheme="minorHAnsi"/>
          <w:sz w:val="22"/>
          <w:szCs w:val="22"/>
        </w:rPr>
        <w:t>skytování služeb a výrobků (</w:t>
      </w:r>
      <w:r w:rsidR="00F95765">
        <w:rPr>
          <w:rFonts w:asciiTheme="minorHAnsi" w:hAnsiTheme="minorHAnsi" w:cstheme="minorHAnsi"/>
          <w:sz w:val="22"/>
          <w:szCs w:val="22"/>
        </w:rPr>
        <w:t>33,01</w:t>
      </w:r>
      <w:r w:rsidRPr="00690E50">
        <w:rPr>
          <w:rFonts w:asciiTheme="minorHAnsi" w:hAnsiTheme="minorHAnsi" w:cstheme="minorHAnsi"/>
          <w:sz w:val="22"/>
          <w:szCs w:val="22"/>
        </w:rPr>
        <w:t xml:space="preserve"> mil. Kč) a příjmy z odvodů příspěvkových organizací (</w:t>
      </w:r>
      <w:r w:rsidR="001A785A">
        <w:rPr>
          <w:rFonts w:asciiTheme="minorHAnsi" w:hAnsiTheme="minorHAnsi" w:cstheme="minorHAnsi"/>
          <w:sz w:val="22"/>
          <w:szCs w:val="22"/>
        </w:rPr>
        <w:t>23,49</w:t>
      </w:r>
      <w:r w:rsidR="00E27F58" w:rsidRPr="00690E50">
        <w:rPr>
          <w:rFonts w:asciiTheme="minorHAnsi" w:hAnsiTheme="minorHAnsi" w:cstheme="minorHAnsi"/>
          <w:sz w:val="22"/>
          <w:szCs w:val="22"/>
        </w:rPr>
        <w:t> </w:t>
      </w:r>
      <w:r w:rsidRPr="00690E50">
        <w:rPr>
          <w:rFonts w:asciiTheme="minorHAnsi" w:hAnsiTheme="minorHAnsi" w:cstheme="minorHAnsi"/>
          <w:sz w:val="22"/>
          <w:szCs w:val="22"/>
        </w:rPr>
        <w:t xml:space="preserve">mil. Kč). </w:t>
      </w:r>
    </w:p>
    <w:p w:rsidR="00E27F58" w:rsidRPr="00690E50" w:rsidRDefault="00E27F58" w:rsidP="003642CE">
      <w:pPr>
        <w:jc w:val="both"/>
        <w:rPr>
          <w:rFonts w:asciiTheme="minorHAnsi" w:hAnsiTheme="minorHAnsi" w:cstheme="minorHAnsi"/>
          <w:sz w:val="22"/>
          <w:szCs w:val="22"/>
        </w:rPr>
      </w:pPr>
    </w:p>
    <w:p w:rsidR="00E27F58" w:rsidRDefault="00E27F58" w:rsidP="003642CE">
      <w:pPr>
        <w:jc w:val="both"/>
        <w:rPr>
          <w:rFonts w:asciiTheme="minorHAnsi" w:hAnsiTheme="minorHAnsi" w:cstheme="minorHAnsi"/>
          <w:sz w:val="22"/>
          <w:szCs w:val="22"/>
        </w:rPr>
      </w:pPr>
      <w:r w:rsidRPr="00A20660">
        <w:rPr>
          <w:rFonts w:asciiTheme="minorHAnsi" w:hAnsiTheme="minorHAnsi" w:cstheme="minorHAnsi"/>
          <w:sz w:val="22"/>
          <w:szCs w:val="22"/>
        </w:rPr>
        <w:t>Bližší informace viz komentáře k pods</w:t>
      </w:r>
      <w:r w:rsidR="004A51FC" w:rsidRPr="00A20660">
        <w:rPr>
          <w:rFonts w:asciiTheme="minorHAnsi" w:hAnsiTheme="minorHAnsi" w:cstheme="minorHAnsi"/>
          <w:sz w:val="22"/>
          <w:szCs w:val="22"/>
        </w:rPr>
        <w:t>eskupení položek 21, 22, 23, 24 rozpočtové skladby.</w:t>
      </w:r>
    </w:p>
    <w:p w:rsidR="00690E50" w:rsidRDefault="00690E50" w:rsidP="003642CE">
      <w:pPr>
        <w:jc w:val="both"/>
        <w:rPr>
          <w:rFonts w:asciiTheme="minorHAnsi" w:hAnsiTheme="minorHAnsi" w:cstheme="minorHAnsi"/>
          <w:sz w:val="22"/>
          <w:szCs w:val="22"/>
        </w:rPr>
      </w:pPr>
    </w:p>
    <w:p w:rsidR="00690E50" w:rsidRDefault="00690E50" w:rsidP="003642CE">
      <w:pPr>
        <w:jc w:val="both"/>
        <w:rPr>
          <w:rFonts w:asciiTheme="minorHAnsi" w:hAnsiTheme="minorHAnsi" w:cstheme="minorHAnsi"/>
          <w:sz w:val="22"/>
          <w:szCs w:val="22"/>
        </w:rPr>
      </w:pPr>
      <w:r>
        <w:rPr>
          <w:rFonts w:asciiTheme="minorHAnsi" w:hAnsiTheme="minorHAnsi" w:cstheme="minorHAnsi"/>
          <w:sz w:val="22"/>
          <w:szCs w:val="22"/>
        </w:rPr>
        <w:t>Srovnání nedaňových příjmů v letech 201</w:t>
      </w:r>
      <w:r w:rsidR="001A785A">
        <w:rPr>
          <w:rFonts w:asciiTheme="minorHAnsi" w:hAnsiTheme="minorHAnsi" w:cstheme="minorHAnsi"/>
          <w:sz w:val="22"/>
          <w:szCs w:val="22"/>
        </w:rPr>
        <w:t>5</w:t>
      </w:r>
      <w:r>
        <w:rPr>
          <w:rFonts w:asciiTheme="minorHAnsi" w:hAnsiTheme="minorHAnsi" w:cstheme="minorHAnsi"/>
          <w:sz w:val="22"/>
          <w:szCs w:val="22"/>
        </w:rPr>
        <w:t xml:space="preserve"> – 202</w:t>
      </w:r>
      <w:r w:rsidR="001A785A">
        <w:rPr>
          <w:rFonts w:asciiTheme="minorHAnsi" w:hAnsiTheme="minorHAnsi" w:cstheme="minorHAnsi"/>
          <w:sz w:val="22"/>
          <w:szCs w:val="22"/>
        </w:rPr>
        <w:t>2</w:t>
      </w:r>
      <w:r>
        <w:rPr>
          <w:rFonts w:asciiTheme="minorHAnsi" w:hAnsiTheme="minorHAnsi" w:cstheme="minorHAnsi"/>
          <w:sz w:val="22"/>
          <w:szCs w:val="22"/>
        </w:rPr>
        <w:t xml:space="preserve"> (v tis. Kč) – podseskupení položek</w:t>
      </w:r>
    </w:p>
    <w:tbl>
      <w:tblPr>
        <w:tblW w:w="8784" w:type="dxa"/>
        <w:tblCellMar>
          <w:left w:w="70" w:type="dxa"/>
          <w:right w:w="70" w:type="dxa"/>
        </w:tblCellMar>
        <w:tblLook w:val="04A0" w:firstRow="1" w:lastRow="0" w:firstColumn="1" w:lastColumn="0" w:noHBand="0" w:noVBand="1"/>
      </w:tblPr>
      <w:tblGrid>
        <w:gridCol w:w="3114"/>
        <w:gridCol w:w="709"/>
        <w:gridCol w:w="708"/>
        <w:gridCol w:w="709"/>
        <w:gridCol w:w="709"/>
        <w:gridCol w:w="709"/>
        <w:gridCol w:w="708"/>
        <w:gridCol w:w="709"/>
        <w:gridCol w:w="709"/>
      </w:tblGrid>
      <w:tr w:rsidR="001A785A" w:rsidTr="00BB4C7E">
        <w:trPr>
          <w:trHeight w:val="300"/>
        </w:trPr>
        <w:tc>
          <w:tcPr>
            <w:tcW w:w="3114" w:type="dxa"/>
            <w:tcBorders>
              <w:top w:val="single" w:sz="4" w:space="0" w:color="auto"/>
              <w:left w:val="single" w:sz="4" w:space="0" w:color="auto"/>
              <w:bottom w:val="single" w:sz="4" w:space="0" w:color="auto"/>
              <w:right w:val="single" w:sz="4" w:space="0" w:color="auto"/>
            </w:tcBorders>
            <w:shd w:val="clear" w:color="D6A100" w:fill="FFC000"/>
            <w:noWrap/>
            <w:vAlign w:val="center"/>
            <w:hideMark/>
          </w:tcPr>
          <w:p w:rsidR="001A785A" w:rsidRPr="001A785A" w:rsidRDefault="001A785A">
            <w:pPr>
              <w:rPr>
                <w:rFonts w:ascii="Calibri" w:hAnsi="Calibri" w:cs="Calibri"/>
                <w:color w:val="000000"/>
                <w:sz w:val="17"/>
                <w:szCs w:val="17"/>
              </w:rPr>
            </w:pPr>
            <w:r w:rsidRPr="001A785A">
              <w:rPr>
                <w:rFonts w:ascii="Calibri" w:hAnsi="Calibri" w:cs="Calibri"/>
                <w:color w:val="000000"/>
                <w:sz w:val="17"/>
                <w:szCs w:val="17"/>
              </w:rPr>
              <w:t> </w:t>
            </w:r>
          </w:p>
        </w:tc>
        <w:tc>
          <w:tcPr>
            <w:tcW w:w="709" w:type="dxa"/>
            <w:tcBorders>
              <w:top w:val="single" w:sz="4" w:space="0" w:color="auto"/>
              <w:left w:val="nil"/>
              <w:bottom w:val="single" w:sz="4" w:space="0" w:color="auto"/>
              <w:right w:val="single" w:sz="4" w:space="0" w:color="auto"/>
            </w:tcBorders>
            <w:shd w:val="clear" w:color="D6A100" w:fill="FFC000"/>
            <w:noWrap/>
            <w:vAlign w:val="center"/>
            <w:hideMark/>
          </w:tcPr>
          <w:p w:rsidR="001A785A" w:rsidRPr="001A785A" w:rsidRDefault="001A785A">
            <w:pPr>
              <w:jc w:val="center"/>
              <w:rPr>
                <w:rFonts w:ascii="Calibri" w:hAnsi="Calibri" w:cs="Calibri"/>
                <w:color w:val="000000"/>
                <w:sz w:val="17"/>
                <w:szCs w:val="17"/>
              </w:rPr>
            </w:pPr>
            <w:r w:rsidRPr="001A785A">
              <w:rPr>
                <w:rFonts w:ascii="Calibri" w:hAnsi="Calibri" w:cs="Calibri"/>
                <w:color w:val="000000"/>
                <w:sz w:val="17"/>
                <w:szCs w:val="17"/>
              </w:rPr>
              <w:t>2015</w:t>
            </w:r>
          </w:p>
        </w:tc>
        <w:tc>
          <w:tcPr>
            <w:tcW w:w="708" w:type="dxa"/>
            <w:tcBorders>
              <w:top w:val="single" w:sz="4" w:space="0" w:color="auto"/>
              <w:left w:val="nil"/>
              <w:bottom w:val="single" w:sz="4" w:space="0" w:color="auto"/>
              <w:right w:val="single" w:sz="4" w:space="0" w:color="auto"/>
            </w:tcBorders>
            <w:shd w:val="clear" w:color="D6A100" w:fill="FFC000"/>
            <w:noWrap/>
            <w:vAlign w:val="center"/>
            <w:hideMark/>
          </w:tcPr>
          <w:p w:rsidR="001A785A" w:rsidRPr="001A785A" w:rsidRDefault="001A785A">
            <w:pPr>
              <w:jc w:val="center"/>
              <w:rPr>
                <w:rFonts w:ascii="Calibri" w:hAnsi="Calibri" w:cs="Calibri"/>
                <w:color w:val="000000"/>
                <w:sz w:val="17"/>
                <w:szCs w:val="17"/>
              </w:rPr>
            </w:pPr>
            <w:r w:rsidRPr="001A785A">
              <w:rPr>
                <w:rFonts w:ascii="Calibri" w:hAnsi="Calibri" w:cs="Calibri"/>
                <w:color w:val="000000"/>
                <w:sz w:val="17"/>
                <w:szCs w:val="17"/>
              </w:rPr>
              <w:t>2016</w:t>
            </w:r>
          </w:p>
        </w:tc>
        <w:tc>
          <w:tcPr>
            <w:tcW w:w="709" w:type="dxa"/>
            <w:tcBorders>
              <w:top w:val="single" w:sz="4" w:space="0" w:color="auto"/>
              <w:left w:val="nil"/>
              <w:bottom w:val="single" w:sz="4" w:space="0" w:color="auto"/>
              <w:right w:val="single" w:sz="4" w:space="0" w:color="auto"/>
            </w:tcBorders>
            <w:shd w:val="clear" w:color="D6A100" w:fill="FFC000"/>
            <w:noWrap/>
            <w:vAlign w:val="center"/>
            <w:hideMark/>
          </w:tcPr>
          <w:p w:rsidR="001A785A" w:rsidRPr="001A785A" w:rsidRDefault="001A785A">
            <w:pPr>
              <w:jc w:val="center"/>
              <w:rPr>
                <w:rFonts w:ascii="Calibri" w:hAnsi="Calibri" w:cs="Calibri"/>
                <w:color w:val="000000"/>
                <w:sz w:val="17"/>
                <w:szCs w:val="17"/>
              </w:rPr>
            </w:pPr>
            <w:r w:rsidRPr="001A785A">
              <w:rPr>
                <w:rFonts w:ascii="Calibri" w:hAnsi="Calibri" w:cs="Calibri"/>
                <w:color w:val="000000"/>
                <w:sz w:val="17"/>
                <w:szCs w:val="17"/>
              </w:rPr>
              <w:t>2017</w:t>
            </w:r>
          </w:p>
        </w:tc>
        <w:tc>
          <w:tcPr>
            <w:tcW w:w="709" w:type="dxa"/>
            <w:tcBorders>
              <w:top w:val="single" w:sz="4" w:space="0" w:color="auto"/>
              <w:left w:val="nil"/>
              <w:bottom w:val="single" w:sz="4" w:space="0" w:color="auto"/>
              <w:right w:val="single" w:sz="4" w:space="0" w:color="auto"/>
            </w:tcBorders>
            <w:shd w:val="clear" w:color="D6A100" w:fill="FFC000"/>
            <w:noWrap/>
            <w:vAlign w:val="center"/>
            <w:hideMark/>
          </w:tcPr>
          <w:p w:rsidR="001A785A" w:rsidRPr="001A785A" w:rsidRDefault="001A785A">
            <w:pPr>
              <w:jc w:val="center"/>
              <w:rPr>
                <w:rFonts w:ascii="Calibri" w:hAnsi="Calibri" w:cs="Calibri"/>
                <w:color w:val="000000"/>
                <w:sz w:val="17"/>
                <w:szCs w:val="17"/>
              </w:rPr>
            </w:pPr>
            <w:r w:rsidRPr="001A785A">
              <w:rPr>
                <w:rFonts w:ascii="Calibri" w:hAnsi="Calibri" w:cs="Calibri"/>
                <w:color w:val="000000"/>
                <w:sz w:val="17"/>
                <w:szCs w:val="17"/>
              </w:rPr>
              <w:t>2018</w:t>
            </w:r>
          </w:p>
        </w:tc>
        <w:tc>
          <w:tcPr>
            <w:tcW w:w="709" w:type="dxa"/>
            <w:tcBorders>
              <w:top w:val="single" w:sz="4" w:space="0" w:color="auto"/>
              <w:left w:val="nil"/>
              <w:bottom w:val="single" w:sz="4" w:space="0" w:color="auto"/>
              <w:right w:val="single" w:sz="4" w:space="0" w:color="auto"/>
            </w:tcBorders>
            <w:shd w:val="clear" w:color="D6A100" w:fill="FFC000"/>
            <w:noWrap/>
            <w:vAlign w:val="center"/>
            <w:hideMark/>
          </w:tcPr>
          <w:p w:rsidR="001A785A" w:rsidRPr="001A785A" w:rsidRDefault="001A785A">
            <w:pPr>
              <w:jc w:val="center"/>
              <w:rPr>
                <w:rFonts w:ascii="Calibri" w:hAnsi="Calibri" w:cs="Calibri"/>
                <w:color w:val="000000"/>
                <w:sz w:val="17"/>
                <w:szCs w:val="17"/>
              </w:rPr>
            </w:pPr>
            <w:r w:rsidRPr="001A785A">
              <w:rPr>
                <w:rFonts w:ascii="Calibri" w:hAnsi="Calibri" w:cs="Calibri"/>
                <w:color w:val="000000"/>
                <w:sz w:val="17"/>
                <w:szCs w:val="17"/>
              </w:rPr>
              <w:t>2019</w:t>
            </w:r>
          </w:p>
        </w:tc>
        <w:tc>
          <w:tcPr>
            <w:tcW w:w="708" w:type="dxa"/>
            <w:tcBorders>
              <w:top w:val="single" w:sz="4" w:space="0" w:color="auto"/>
              <w:left w:val="nil"/>
              <w:bottom w:val="single" w:sz="4" w:space="0" w:color="auto"/>
              <w:right w:val="single" w:sz="4" w:space="0" w:color="auto"/>
            </w:tcBorders>
            <w:shd w:val="clear" w:color="D6A100" w:fill="FFC000"/>
            <w:noWrap/>
            <w:vAlign w:val="center"/>
            <w:hideMark/>
          </w:tcPr>
          <w:p w:rsidR="001A785A" w:rsidRPr="001A785A" w:rsidRDefault="001A785A">
            <w:pPr>
              <w:jc w:val="center"/>
              <w:rPr>
                <w:rFonts w:ascii="Calibri" w:hAnsi="Calibri" w:cs="Calibri"/>
                <w:color w:val="000000"/>
                <w:sz w:val="17"/>
                <w:szCs w:val="17"/>
              </w:rPr>
            </w:pPr>
            <w:r w:rsidRPr="001A785A">
              <w:rPr>
                <w:rFonts w:ascii="Calibri" w:hAnsi="Calibri" w:cs="Calibri"/>
                <w:color w:val="000000"/>
                <w:sz w:val="17"/>
                <w:szCs w:val="17"/>
              </w:rPr>
              <w:t>2020</w:t>
            </w:r>
          </w:p>
        </w:tc>
        <w:tc>
          <w:tcPr>
            <w:tcW w:w="709" w:type="dxa"/>
            <w:tcBorders>
              <w:top w:val="single" w:sz="4" w:space="0" w:color="auto"/>
              <w:left w:val="nil"/>
              <w:bottom w:val="single" w:sz="4" w:space="0" w:color="auto"/>
              <w:right w:val="single" w:sz="4" w:space="0" w:color="auto"/>
            </w:tcBorders>
            <w:shd w:val="clear" w:color="D6A100" w:fill="FFC000"/>
            <w:noWrap/>
            <w:vAlign w:val="center"/>
            <w:hideMark/>
          </w:tcPr>
          <w:p w:rsidR="001A785A" w:rsidRPr="001A785A" w:rsidRDefault="001A785A">
            <w:pPr>
              <w:jc w:val="center"/>
              <w:rPr>
                <w:rFonts w:ascii="Calibri" w:hAnsi="Calibri" w:cs="Calibri"/>
                <w:color w:val="000000"/>
                <w:sz w:val="17"/>
                <w:szCs w:val="17"/>
              </w:rPr>
            </w:pPr>
            <w:r w:rsidRPr="001A785A">
              <w:rPr>
                <w:rFonts w:ascii="Calibri" w:hAnsi="Calibri" w:cs="Calibri"/>
                <w:color w:val="000000"/>
                <w:sz w:val="17"/>
                <w:szCs w:val="17"/>
              </w:rPr>
              <w:t>2021</w:t>
            </w:r>
          </w:p>
        </w:tc>
        <w:tc>
          <w:tcPr>
            <w:tcW w:w="709" w:type="dxa"/>
            <w:tcBorders>
              <w:top w:val="single" w:sz="4" w:space="0" w:color="auto"/>
              <w:left w:val="nil"/>
              <w:bottom w:val="single" w:sz="4" w:space="0" w:color="auto"/>
              <w:right w:val="single" w:sz="4" w:space="0" w:color="auto"/>
            </w:tcBorders>
            <w:shd w:val="clear" w:color="D6A100" w:fill="FFC000"/>
            <w:noWrap/>
            <w:vAlign w:val="center"/>
            <w:hideMark/>
          </w:tcPr>
          <w:p w:rsidR="001A785A" w:rsidRPr="001A785A" w:rsidRDefault="001A785A">
            <w:pPr>
              <w:jc w:val="center"/>
              <w:rPr>
                <w:rFonts w:ascii="Calibri" w:hAnsi="Calibri" w:cs="Calibri"/>
                <w:color w:val="000000"/>
                <w:sz w:val="17"/>
                <w:szCs w:val="17"/>
              </w:rPr>
            </w:pPr>
            <w:r w:rsidRPr="001A785A">
              <w:rPr>
                <w:rFonts w:ascii="Calibri" w:hAnsi="Calibri" w:cs="Calibri"/>
                <w:color w:val="000000"/>
                <w:sz w:val="17"/>
                <w:szCs w:val="17"/>
              </w:rPr>
              <w:t>2022</w:t>
            </w:r>
          </w:p>
        </w:tc>
      </w:tr>
      <w:tr w:rsidR="00BB4C7E" w:rsidTr="00BB4C7E">
        <w:trPr>
          <w:trHeight w:val="49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1A785A" w:rsidRPr="001A785A" w:rsidRDefault="001A785A">
            <w:pPr>
              <w:rPr>
                <w:rFonts w:ascii="Calibri" w:hAnsi="Calibri" w:cs="Calibri"/>
                <w:color w:val="000000"/>
                <w:sz w:val="17"/>
                <w:szCs w:val="17"/>
              </w:rPr>
            </w:pPr>
            <w:r w:rsidRPr="001A785A">
              <w:rPr>
                <w:rFonts w:ascii="Calibri" w:hAnsi="Calibri" w:cs="Calibri"/>
                <w:color w:val="000000"/>
                <w:sz w:val="17"/>
                <w:szCs w:val="17"/>
              </w:rPr>
              <w:t>Příjmy z vlastní činnosti a odvody přebytků organizací s přímým vztahem</w:t>
            </w:r>
          </w:p>
        </w:tc>
        <w:tc>
          <w:tcPr>
            <w:tcW w:w="709" w:type="dxa"/>
            <w:tcBorders>
              <w:top w:val="nil"/>
              <w:left w:val="nil"/>
              <w:bottom w:val="single" w:sz="4" w:space="0" w:color="auto"/>
              <w:right w:val="single" w:sz="4" w:space="0" w:color="auto"/>
            </w:tcBorders>
            <w:shd w:val="clear" w:color="auto" w:fill="auto"/>
            <w:noWrap/>
            <w:vAlign w:val="center"/>
            <w:hideMark/>
          </w:tcPr>
          <w:p w:rsidR="001A785A" w:rsidRPr="001A785A" w:rsidRDefault="001A785A">
            <w:pPr>
              <w:jc w:val="right"/>
              <w:rPr>
                <w:rFonts w:ascii="Calibri" w:hAnsi="Calibri" w:cs="Calibri"/>
                <w:color w:val="000000"/>
                <w:sz w:val="17"/>
                <w:szCs w:val="17"/>
              </w:rPr>
            </w:pPr>
            <w:r w:rsidRPr="001A785A">
              <w:rPr>
                <w:rFonts w:ascii="Calibri" w:hAnsi="Calibri" w:cs="Calibri"/>
                <w:color w:val="000000"/>
                <w:sz w:val="17"/>
                <w:szCs w:val="17"/>
              </w:rPr>
              <w:t>106 221</w:t>
            </w:r>
          </w:p>
        </w:tc>
        <w:tc>
          <w:tcPr>
            <w:tcW w:w="708" w:type="dxa"/>
            <w:tcBorders>
              <w:top w:val="nil"/>
              <w:left w:val="nil"/>
              <w:bottom w:val="single" w:sz="4" w:space="0" w:color="auto"/>
              <w:right w:val="single" w:sz="4" w:space="0" w:color="auto"/>
            </w:tcBorders>
            <w:shd w:val="clear" w:color="auto" w:fill="auto"/>
            <w:noWrap/>
            <w:vAlign w:val="center"/>
            <w:hideMark/>
          </w:tcPr>
          <w:p w:rsidR="001A785A" w:rsidRPr="001A785A" w:rsidRDefault="001A785A">
            <w:pPr>
              <w:jc w:val="right"/>
              <w:rPr>
                <w:rFonts w:ascii="Calibri" w:hAnsi="Calibri" w:cs="Calibri"/>
                <w:color w:val="000000"/>
                <w:sz w:val="17"/>
                <w:szCs w:val="17"/>
              </w:rPr>
            </w:pPr>
            <w:r w:rsidRPr="001A785A">
              <w:rPr>
                <w:rFonts w:ascii="Calibri" w:hAnsi="Calibri" w:cs="Calibri"/>
                <w:color w:val="000000"/>
                <w:sz w:val="17"/>
                <w:szCs w:val="17"/>
              </w:rPr>
              <w:t>110 792</w:t>
            </w:r>
          </w:p>
        </w:tc>
        <w:tc>
          <w:tcPr>
            <w:tcW w:w="709" w:type="dxa"/>
            <w:tcBorders>
              <w:top w:val="nil"/>
              <w:left w:val="nil"/>
              <w:bottom w:val="single" w:sz="4" w:space="0" w:color="auto"/>
              <w:right w:val="single" w:sz="4" w:space="0" w:color="auto"/>
            </w:tcBorders>
            <w:shd w:val="clear" w:color="auto" w:fill="auto"/>
            <w:noWrap/>
            <w:vAlign w:val="center"/>
            <w:hideMark/>
          </w:tcPr>
          <w:p w:rsidR="001A785A" w:rsidRPr="001A785A" w:rsidRDefault="001A785A">
            <w:pPr>
              <w:jc w:val="right"/>
              <w:rPr>
                <w:rFonts w:ascii="Calibri" w:hAnsi="Calibri" w:cs="Calibri"/>
                <w:color w:val="000000"/>
                <w:sz w:val="17"/>
                <w:szCs w:val="17"/>
              </w:rPr>
            </w:pPr>
            <w:r w:rsidRPr="001A785A">
              <w:rPr>
                <w:rFonts w:ascii="Calibri" w:hAnsi="Calibri" w:cs="Calibri"/>
                <w:color w:val="000000"/>
                <w:sz w:val="17"/>
                <w:szCs w:val="17"/>
              </w:rPr>
              <w:t>98 390</w:t>
            </w:r>
          </w:p>
        </w:tc>
        <w:tc>
          <w:tcPr>
            <w:tcW w:w="709" w:type="dxa"/>
            <w:tcBorders>
              <w:top w:val="nil"/>
              <w:left w:val="nil"/>
              <w:bottom w:val="single" w:sz="4" w:space="0" w:color="auto"/>
              <w:right w:val="single" w:sz="4" w:space="0" w:color="auto"/>
            </w:tcBorders>
            <w:shd w:val="clear" w:color="auto" w:fill="auto"/>
            <w:noWrap/>
            <w:vAlign w:val="center"/>
            <w:hideMark/>
          </w:tcPr>
          <w:p w:rsidR="001A785A" w:rsidRPr="001A785A" w:rsidRDefault="001A785A">
            <w:pPr>
              <w:jc w:val="right"/>
              <w:rPr>
                <w:rFonts w:ascii="Calibri" w:hAnsi="Calibri" w:cs="Calibri"/>
                <w:color w:val="000000"/>
                <w:sz w:val="17"/>
                <w:szCs w:val="17"/>
              </w:rPr>
            </w:pPr>
            <w:r w:rsidRPr="001A785A">
              <w:rPr>
                <w:rFonts w:ascii="Calibri" w:hAnsi="Calibri" w:cs="Calibri"/>
                <w:color w:val="000000"/>
                <w:sz w:val="17"/>
                <w:szCs w:val="17"/>
              </w:rPr>
              <w:t>106 429</w:t>
            </w:r>
          </w:p>
        </w:tc>
        <w:tc>
          <w:tcPr>
            <w:tcW w:w="709" w:type="dxa"/>
            <w:tcBorders>
              <w:top w:val="nil"/>
              <w:left w:val="nil"/>
              <w:bottom w:val="single" w:sz="4" w:space="0" w:color="auto"/>
              <w:right w:val="single" w:sz="4" w:space="0" w:color="auto"/>
            </w:tcBorders>
            <w:shd w:val="clear" w:color="auto" w:fill="auto"/>
            <w:noWrap/>
            <w:vAlign w:val="center"/>
            <w:hideMark/>
          </w:tcPr>
          <w:p w:rsidR="001A785A" w:rsidRPr="001A785A" w:rsidRDefault="001A785A">
            <w:pPr>
              <w:jc w:val="right"/>
              <w:rPr>
                <w:rFonts w:ascii="Calibri" w:hAnsi="Calibri" w:cs="Calibri"/>
                <w:color w:val="000000"/>
                <w:sz w:val="17"/>
                <w:szCs w:val="17"/>
              </w:rPr>
            </w:pPr>
            <w:r w:rsidRPr="001A785A">
              <w:rPr>
                <w:rFonts w:ascii="Calibri" w:hAnsi="Calibri" w:cs="Calibri"/>
                <w:color w:val="000000"/>
                <w:sz w:val="17"/>
                <w:szCs w:val="17"/>
              </w:rPr>
              <w:t>112 972</w:t>
            </w:r>
          </w:p>
        </w:tc>
        <w:tc>
          <w:tcPr>
            <w:tcW w:w="708" w:type="dxa"/>
            <w:tcBorders>
              <w:top w:val="nil"/>
              <w:left w:val="nil"/>
              <w:bottom w:val="single" w:sz="4" w:space="0" w:color="auto"/>
              <w:right w:val="single" w:sz="4" w:space="0" w:color="auto"/>
            </w:tcBorders>
            <w:shd w:val="clear" w:color="auto" w:fill="auto"/>
            <w:noWrap/>
            <w:vAlign w:val="center"/>
            <w:hideMark/>
          </w:tcPr>
          <w:p w:rsidR="001A785A" w:rsidRPr="001A785A" w:rsidRDefault="001A785A">
            <w:pPr>
              <w:jc w:val="right"/>
              <w:rPr>
                <w:rFonts w:ascii="Calibri" w:hAnsi="Calibri" w:cs="Calibri"/>
                <w:color w:val="000000"/>
                <w:sz w:val="17"/>
                <w:szCs w:val="17"/>
              </w:rPr>
            </w:pPr>
            <w:r w:rsidRPr="001A785A">
              <w:rPr>
                <w:rFonts w:ascii="Calibri" w:hAnsi="Calibri" w:cs="Calibri"/>
                <w:color w:val="000000"/>
                <w:sz w:val="17"/>
                <w:szCs w:val="17"/>
              </w:rPr>
              <w:t>130 359</w:t>
            </w:r>
          </w:p>
        </w:tc>
        <w:tc>
          <w:tcPr>
            <w:tcW w:w="709" w:type="dxa"/>
            <w:tcBorders>
              <w:top w:val="nil"/>
              <w:left w:val="nil"/>
              <w:bottom w:val="single" w:sz="4" w:space="0" w:color="auto"/>
              <w:right w:val="single" w:sz="4" w:space="0" w:color="auto"/>
            </w:tcBorders>
            <w:shd w:val="clear" w:color="auto" w:fill="auto"/>
            <w:noWrap/>
            <w:vAlign w:val="center"/>
            <w:hideMark/>
          </w:tcPr>
          <w:p w:rsidR="001A785A" w:rsidRPr="001A785A" w:rsidRDefault="001A785A">
            <w:pPr>
              <w:jc w:val="right"/>
              <w:rPr>
                <w:rFonts w:ascii="Calibri" w:hAnsi="Calibri" w:cs="Calibri"/>
                <w:color w:val="000000"/>
                <w:sz w:val="17"/>
                <w:szCs w:val="17"/>
              </w:rPr>
            </w:pPr>
            <w:r w:rsidRPr="001A785A">
              <w:rPr>
                <w:rFonts w:ascii="Calibri" w:hAnsi="Calibri" w:cs="Calibri"/>
                <w:color w:val="000000"/>
                <w:sz w:val="17"/>
                <w:szCs w:val="17"/>
              </w:rPr>
              <w:t>124 079</w:t>
            </w:r>
          </w:p>
        </w:tc>
        <w:tc>
          <w:tcPr>
            <w:tcW w:w="709" w:type="dxa"/>
            <w:tcBorders>
              <w:top w:val="nil"/>
              <w:left w:val="nil"/>
              <w:bottom w:val="single" w:sz="4" w:space="0" w:color="auto"/>
              <w:right w:val="single" w:sz="4" w:space="0" w:color="auto"/>
            </w:tcBorders>
            <w:shd w:val="clear" w:color="auto" w:fill="auto"/>
            <w:noWrap/>
            <w:vAlign w:val="center"/>
            <w:hideMark/>
          </w:tcPr>
          <w:p w:rsidR="001A785A" w:rsidRPr="001A785A" w:rsidRDefault="001A785A">
            <w:pPr>
              <w:jc w:val="right"/>
              <w:rPr>
                <w:rFonts w:ascii="Calibri" w:hAnsi="Calibri" w:cs="Calibri"/>
                <w:color w:val="000000"/>
                <w:sz w:val="17"/>
                <w:szCs w:val="17"/>
              </w:rPr>
            </w:pPr>
            <w:r w:rsidRPr="001A785A">
              <w:rPr>
                <w:rFonts w:ascii="Calibri" w:hAnsi="Calibri" w:cs="Calibri"/>
                <w:color w:val="000000"/>
                <w:sz w:val="17"/>
                <w:szCs w:val="17"/>
              </w:rPr>
              <w:t>141 713</w:t>
            </w:r>
          </w:p>
        </w:tc>
      </w:tr>
      <w:tr w:rsidR="00BB4C7E" w:rsidTr="00BB4C7E">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1A785A" w:rsidRPr="001A785A" w:rsidRDefault="001A785A">
            <w:pPr>
              <w:rPr>
                <w:rFonts w:ascii="Calibri" w:hAnsi="Calibri" w:cs="Calibri"/>
                <w:color w:val="000000"/>
                <w:sz w:val="17"/>
                <w:szCs w:val="17"/>
              </w:rPr>
            </w:pPr>
            <w:r w:rsidRPr="001A785A">
              <w:rPr>
                <w:rFonts w:ascii="Calibri" w:hAnsi="Calibri" w:cs="Calibri"/>
                <w:color w:val="000000"/>
                <w:sz w:val="17"/>
                <w:szCs w:val="17"/>
              </w:rPr>
              <w:t>Přijaté sankční platby a vratky transferů</w:t>
            </w:r>
          </w:p>
        </w:tc>
        <w:tc>
          <w:tcPr>
            <w:tcW w:w="709" w:type="dxa"/>
            <w:tcBorders>
              <w:top w:val="nil"/>
              <w:left w:val="nil"/>
              <w:bottom w:val="single" w:sz="4" w:space="0" w:color="auto"/>
              <w:right w:val="single" w:sz="4" w:space="0" w:color="auto"/>
            </w:tcBorders>
            <w:shd w:val="clear" w:color="auto" w:fill="auto"/>
            <w:noWrap/>
            <w:vAlign w:val="center"/>
            <w:hideMark/>
          </w:tcPr>
          <w:p w:rsidR="001A785A" w:rsidRPr="001A785A" w:rsidRDefault="001A785A">
            <w:pPr>
              <w:jc w:val="right"/>
              <w:rPr>
                <w:rFonts w:ascii="Calibri" w:hAnsi="Calibri" w:cs="Calibri"/>
                <w:color w:val="000000"/>
                <w:sz w:val="17"/>
                <w:szCs w:val="17"/>
              </w:rPr>
            </w:pPr>
            <w:r w:rsidRPr="001A785A">
              <w:rPr>
                <w:rFonts w:ascii="Calibri" w:hAnsi="Calibri" w:cs="Calibri"/>
                <w:color w:val="000000"/>
                <w:sz w:val="17"/>
                <w:szCs w:val="17"/>
              </w:rPr>
              <w:t>6 967</w:t>
            </w:r>
          </w:p>
        </w:tc>
        <w:tc>
          <w:tcPr>
            <w:tcW w:w="708" w:type="dxa"/>
            <w:tcBorders>
              <w:top w:val="nil"/>
              <w:left w:val="nil"/>
              <w:bottom w:val="single" w:sz="4" w:space="0" w:color="auto"/>
              <w:right w:val="single" w:sz="4" w:space="0" w:color="auto"/>
            </w:tcBorders>
            <w:shd w:val="clear" w:color="auto" w:fill="auto"/>
            <w:noWrap/>
            <w:vAlign w:val="center"/>
            <w:hideMark/>
          </w:tcPr>
          <w:p w:rsidR="001A785A" w:rsidRPr="001A785A" w:rsidRDefault="001A785A">
            <w:pPr>
              <w:jc w:val="right"/>
              <w:rPr>
                <w:rFonts w:ascii="Calibri" w:hAnsi="Calibri" w:cs="Calibri"/>
                <w:color w:val="000000"/>
                <w:sz w:val="17"/>
                <w:szCs w:val="17"/>
              </w:rPr>
            </w:pPr>
            <w:r w:rsidRPr="001A785A">
              <w:rPr>
                <w:rFonts w:ascii="Calibri" w:hAnsi="Calibri" w:cs="Calibri"/>
                <w:color w:val="000000"/>
                <w:sz w:val="17"/>
                <w:szCs w:val="17"/>
              </w:rPr>
              <w:t>6 179</w:t>
            </w:r>
          </w:p>
        </w:tc>
        <w:tc>
          <w:tcPr>
            <w:tcW w:w="709" w:type="dxa"/>
            <w:tcBorders>
              <w:top w:val="nil"/>
              <w:left w:val="nil"/>
              <w:bottom w:val="single" w:sz="4" w:space="0" w:color="auto"/>
              <w:right w:val="single" w:sz="4" w:space="0" w:color="auto"/>
            </w:tcBorders>
            <w:shd w:val="clear" w:color="auto" w:fill="auto"/>
            <w:noWrap/>
            <w:vAlign w:val="center"/>
            <w:hideMark/>
          </w:tcPr>
          <w:p w:rsidR="001A785A" w:rsidRPr="001A785A" w:rsidRDefault="001A785A">
            <w:pPr>
              <w:jc w:val="right"/>
              <w:rPr>
                <w:rFonts w:ascii="Calibri" w:hAnsi="Calibri" w:cs="Calibri"/>
                <w:color w:val="000000"/>
                <w:sz w:val="17"/>
                <w:szCs w:val="17"/>
              </w:rPr>
            </w:pPr>
            <w:r w:rsidRPr="001A785A">
              <w:rPr>
                <w:rFonts w:ascii="Calibri" w:hAnsi="Calibri" w:cs="Calibri"/>
                <w:color w:val="000000"/>
                <w:sz w:val="17"/>
                <w:szCs w:val="17"/>
              </w:rPr>
              <w:t>9 558</w:t>
            </w:r>
          </w:p>
        </w:tc>
        <w:tc>
          <w:tcPr>
            <w:tcW w:w="709" w:type="dxa"/>
            <w:tcBorders>
              <w:top w:val="nil"/>
              <w:left w:val="nil"/>
              <w:bottom w:val="single" w:sz="4" w:space="0" w:color="auto"/>
              <w:right w:val="single" w:sz="4" w:space="0" w:color="auto"/>
            </w:tcBorders>
            <w:shd w:val="clear" w:color="auto" w:fill="auto"/>
            <w:noWrap/>
            <w:vAlign w:val="center"/>
            <w:hideMark/>
          </w:tcPr>
          <w:p w:rsidR="001A785A" w:rsidRPr="001A785A" w:rsidRDefault="001A785A">
            <w:pPr>
              <w:jc w:val="right"/>
              <w:rPr>
                <w:rFonts w:ascii="Calibri" w:hAnsi="Calibri" w:cs="Calibri"/>
                <w:color w:val="000000"/>
                <w:sz w:val="17"/>
                <w:szCs w:val="17"/>
              </w:rPr>
            </w:pPr>
            <w:r w:rsidRPr="001A785A">
              <w:rPr>
                <w:rFonts w:ascii="Calibri" w:hAnsi="Calibri" w:cs="Calibri"/>
                <w:color w:val="000000"/>
                <w:sz w:val="17"/>
                <w:szCs w:val="17"/>
              </w:rPr>
              <w:t>6 818</w:t>
            </w:r>
          </w:p>
        </w:tc>
        <w:tc>
          <w:tcPr>
            <w:tcW w:w="709" w:type="dxa"/>
            <w:tcBorders>
              <w:top w:val="nil"/>
              <w:left w:val="nil"/>
              <w:bottom w:val="single" w:sz="4" w:space="0" w:color="auto"/>
              <w:right w:val="single" w:sz="4" w:space="0" w:color="auto"/>
            </w:tcBorders>
            <w:shd w:val="clear" w:color="auto" w:fill="auto"/>
            <w:noWrap/>
            <w:vAlign w:val="center"/>
            <w:hideMark/>
          </w:tcPr>
          <w:p w:rsidR="001A785A" w:rsidRPr="001A785A" w:rsidRDefault="001A785A">
            <w:pPr>
              <w:jc w:val="right"/>
              <w:rPr>
                <w:rFonts w:ascii="Calibri" w:hAnsi="Calibri" w:cs="Calibri"/>
                <w:color w:val="000000"/>
                <w:sz w:val="17"/>
                <w:szCs w:val="17"/>
              </w:rPr>
            </w:pPr>
            <w:r w:rsidRPr="001A785A">
              <w:rPr>
                <w:rFonts w:ascii="Calibri" w:hAnsi="Calibri" w:cs="Calibri"/>
                <w:color w:val="000000"/>
                <w:sz w:val="17"/>
                <w:szCs w:val="17"/>
              </w:rPr>
              <w:t>7 850</w:t>
            </w:r>
          </w:p>
        </w:tc>
        <w:tc>
          <w:tcPr>
            <w:tcW w:w="708" w:type="dxa"/>
            <w:tcBorders>
              <w:top w:val="nil"/>
              <w:left w:val="nil"/>
              <w:bottom w:val="single" w:sz="4" w:space="0" w:color="auto"/>
              <w:right w:val="single" w:sz="4" w:space="0" w:color="auto"/>
            </w:tcBorders>
            <w:shd w:val="clear" w:color="auto" w:fill="auto"/>
            <w:noWrap/>
            <w:vAlign w:val="center"/>
            <w:hideMark/>
          </w:tcPr>
          <w:p w:rsidR="001A785A" w:rsidRPr="001A785A" w:rsidRDefault="001A785A">
            <w:pPr>
              <w:jc w:val="right"/>
              <w:rPr>
                <w:rFonts w:ascii="Calibri" w:hAnsi="Calibri" w:cs="Calibri"/>
                <w:color w:val="000000"/>
                <w:sz w:val="17"/>
                <w:szCs w:val="17"/>
              </w:rPr>
            </w:pPr>
            <w:r w:rsidRPr="001A785A">
              <w:rPr>
                <w:rFonts w:ascii="Calibri" w:hAnsi="Calibri" w:cs="Calibri"/>
                <w:color w:val="000000"/>
                <w:sz w:val="17"/>
                <w:szCs w:val="17"/>
              </w:rPr>
              <w:t>6 899</w:t>
            </w:r>
          </w:p>
        </w:tc>
        <w:tc>
          <w:tcPr>
            <w:tcW w:w="709" w:type="dxa"/>
            <w:tcBorders>
              <w:top w:val="nil"/>
              <w:left w:val="nil"/>
              <w:bottom w:val="single" w:sz="4" w:space="0" w:color="auto"/>
              <w:right w:val="single" w:sz="4" w:space="0" w:color="auto"/>
            </w:tcBorders>
            <w:shd w:val="clear" w:color="auto" w:fill="auto"/>
            <w:noWrap/>
            <w:vAlign w:val="center"/>
            <w:hideMark/>
          </w:tcPr>
          <w:p w:rsidR="001A785A" w:rsidRPr="001A785A" w:rsidRDefault="001A785A">
            <w:pPr>
              <w:jc w:val="right"/>
              <w:rPr>
                <w:rFonts w:ascii="Calibri" w:hAnsi="Calibri" w:cs="Calibri"/>
                <w:color w:val="000000"/>
                <w:sz w:val="17"/>
                <w:szCs w:val="17"/>
              </w:rPr>
            </w:pPr>
            <w:r w:rsidRPr="001A785A">
              <w:rPr>
                <w:rFonts w:ascii="Calibri" w:hAnsi="Calibri" w:cs="Calibri"/>
                <w:color w:val="000000"/>
                <w:sz w:val="17"/>
                <w:szCs w:val="17"/>
              </w:rPr>
              <w:t>9 356</w:t>
            </w:r>
          </w:p>
        </w:tc>
        <w:tc>
          <w:tcPr>
            <w:tcW w:w="709" w:type="dxa"/>
            <w:tcBorders>
              <w:top w:val="nil"/>
              <w:left w:val="nil"/>
              <w:bottom w:val="single" w:sz="4" w:space="0" w:color="auto"/>
              <w:right w:val="single" w:sz="4" w:space="0" w:color="auto"/>
            </w:tcBorders>
            <w:shd w:val="clear" w:color="auto" w:fill="auto"/>
            <w:noWrap/>
            <w:vAlign w:val="center"/>
            <w:hideMark/>
          </w:tcPr>
          <w:p w:rsidR="001A785A" w:rsidRPr="001A785A" w:rsidRDefault="001A785A">
            <w:pPr>
              <w:jc w:val="right"/>
              <w:rPr>
                <w:rFonts w:ascii="Calibri" w:hAnsi="Calibri" w:cs="Calibri"/>
                <w:color w:val="000000"/>
                <w:sz w:val="17"/>
                <w:szCs w:val="17"/>
              </w:rPr>
            </w:pPr>
            <w:r w:rsidRPr="001A785A">
              <w:rPr>
                <w:rFonts w:ascii="Calibri" w:hAnsi="Calibri" w:cs="Calibri"/>
                <w:color w:val="000000"/>
                <w:sz w:val="17"/>
                <w:szCs w:val="17"/>
              </w:rPr>
              <w:t>12 951</w:t>
            </w:r>
          </w:p>
        </w:tc>
      </w:tr>
      <w:tr w:rsidR="00BB4C7E" w:rsidTr="00BB4C7E">
        <w:trPr>
          <w:trHeight w:val="49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1A785A" w:rsidRPr="001A785A" w:rsidRDefault="001A785A">
            <w:pPr>
              <w:rPr>
                <w:rFonts w:ascii="Calibri" w:hAnsi="Calibri" w:cs="Calibri"/>
                <w:color w:val="000000"/>
                <w:sz w:val="17"/>
                <w:szCs w:val="17"/>
              </w:rPr>
            </w:pPr>
            <w:r w:rsidRPr="001A785A">
              <w:rPr>
                <w:rFonts w:ascii="Calibri" w:hAnsi="Calibri" w:cs="Calibri"/>
                <w:color w:val="000000"/>
                <w:sz w:val="17"/>
                <w:szCs w:val="17"/>
              </w:rPr>
              <w:t>Příjmy z prodeje nekapitálového majetku a ostatní nedaňové příjmy</w:t>
            </w:r>
          </w:p>
        </w:tc>
        <w:tc>
          <w:tcPr>
            <w:tcW w:w="709" w:type="dxa"/>
            <w:tcBorders>
              <w:top w:val="nil"/>
              <w:left w:val="nil"/>
              <w:bottom w:val="single" w:sz="4" w:space="0" w:color="auto"/>
              <w:right w:val="single" w:sz="4" w:space="0" w:color="auto"/>
            </w:tcBorders>
            <w:shd w:val="clear" w:color="auto" w:fill="auto"/>
            <w:noWrap/>
            <w:vAlign w:val="center"/>
            <w:hideMark/>
          </w:tcPr>
          <w:p w:rsidR="001A785A" w:rsidRPr="001A785A" w:rsidRDefault="001A785A">
            <w:pPr>
              <w:jc w:val="right"/>
              <w:rPr>
                <w:rFonts w:ascii="Calibri" w:hAnsi="Calibri" w:cs="Calibri"/>
                <w:color w:val="000000"/>
                <w:sz w:val="17"/>
                <w:szCs w:val="17"/>
              </w:rPr>
            </w:pPr>
            <w:r w:rsidRPr="001A785A">
              <w:rPr>
                <w:rFonts w:ascii="Calibri" w:hAnsi="Calibri" w:cs="Calibri"/>
                <w:color w:val="000000"/>
                <w:sz w:val="17"/>
                <w:szCs w:val="17"/>
              </w:rPr>
              <w:t>13 629</w:t>
            </w:r>
          </w:p>
        </w:tc>
        <w:tc>
          <w:tcPr>
            <w:tcW w:w="708" w:type="dxa"/>
            <w:tcBorders>
              <w:top w:val="nil"/>
              <w:left w:val="nil"/>
              <w:bottom w:val="single" w:sz="4" w:space="0" w:color="auto"/>
              <w:right w:val="single" w:sz="4" w:space="0" w:color="auto"/>
            </w:tcBorders>
            <w:shd w:val="clear" w:color="auto" w:fill="auto"/>
            <w:noWrap/>
            <w:vAlign w:val="center"/>
            <w:hideMark/>
          </w:tcPr>
          <w:p w:rsidR="001A785A" w:rsidRPr="001A785A" w:rsidRDefault="001A785A">
            <w:pPr>
              <w:jc w:val="right"/>
              <w:rPr>
                <w:rFonts w:ascii="Calibri" w:hAnsi="Calibri" w:cs="Calibri"/>
                <w:color w:val="000000"/>
                <w:sz w:val="17"/>
                <w:szCs w:val="17"/>
              </w:rPr>
            </w:pPr>
            <w:r w:rsidRPr="001A785A">
              <w:rPr>
                <w:rFonts w:ascii="Calibri" w:hAnsi="Calibri" w:cs="Calibri"/>
                <w:color w:val="000000"/>
                <w:sz w:val="17"/>
                <w:szCs w:val="17"/>
              </w:rPr>
              <w:t>8 477</w:t>
            </w:r>
          </w:p>
        </w:tc>
        <w:tc>
          <w:tcPr>
            <w:tcW w:w="709" w:type="dxa"/>
            <w:tcBorders>
              <w:top w:val="nil"/>
              <w:left w:val="nil"/>
              <w:bottom w:val="single" w:sz="4" w:space="0" w:color="auto"/>
              <w:right w:val="single" w:sz="4" w:space="0" w:color="auto"/>
            </w:tcBorders>
            <w:shd w:val="clear" w:color="auto" w:fill="auto"/>
            <w:noWrap/>
            <w:vAlign w:val="center"/>
            <w:hideMark/>
          </w:tcPr>
          <w:p w:rsidR="001A785A" w:rsidRPr="001A785A" w:rsidRDefault="001A785A">
            <w:pPr>
              <w:jc w:val="right"/>
              <w:rPr>
                <w:rFonts w:ascii="Calibri" w:hAnsi="Calibri" w:cs="Calibri"/>
                <w:color w:val="000000"/>
                <w:sz w:val="17"/>
                <w:szCs w:val="17"/>
              </w:rPr>
            </w:pPr>
            <w:r w:rsidRPr="001A785A">
              <w:rPr>
                <w:rFonts w:ascii="Calibri" w:hAnsi="Calibri" w:cs="Calibri"/>
                <w:color w:val="000000"/>
                <w:sz w:val="17"/>
                <w:szCs w:val="17"/>
              </w:rPr>
              <w:t>12 664</w:t>
            </w:r>
          </w:p>
        </w:tc>
        <w:tc>
          <w:tcPr>
            <w:tcW w:w="709" w:type="dxa"/>
            <w:tcBorders>
              <w:top w:val="nil"/>
              <w:left w:val="nil"/>
              <w:bottom w:val="single" w:sz="4" w:space="0" w:color="auto"/>
              <w:right w:val="single" w:sz="4" w:space="0" w:color="auto"/>
            </w:tcBorders>
            <w:shd w:val="clear" w:color="auto" w:fill="auto"/>
            <w:noWrap/>
            <w:vAlign w:val="center"/>
            <w:hideMark/>
          </w:tcPr>
          <w:p w:rsidR="001A785A" w:rsidRPr="001A785A" w:rsidRDefault="001A785A">
            <w:pPr>
              <w:jc w:val="right"/>
              <w:rPr>
                <w:rFonts w:ascii="Calibri" w:hAnsi="Calibri" w:cs="Calibri"/>
                <w:color w:val="000000"/>
                <w:sz w:val="17"/>
                <w:szCs w:val="17"/>
              </w:rPr>
            </w:pPr>
            <w:r w:rsidRPr="001A785A">
              <w:rPr>
                <w:rFonts w:ascii="Calibri" w:hAnsi="Calibri" w:cs="Calibri"/>
                <w:color w:val="000000"/>
                <w:sz w:val="17"/>
                <w:szCs w:val="17"/>
              </w:rPr>
              <w:t>23 595</w:t>
            </w:r>
          </w:p>
        </w:tc>
        <w:tc>
          <w:tcPr>
            <w:tcW w:w="709" w:type="dxa"/>
            <w:tcBorders>
              <w:top w:val="nil"/>
              <w:left w:val="nil"/>
              <w:bottom w:val="single" w:sz="4" w:space="0" w:color="auto"/>
              <w:right w:val="single" w:sz="4" w:space="0" w:color="auto"/>
            </w:tcBorders>
            <w:shd w:val="clear" w:color="auto" w:fill="auto"/>
            <w:noWrap/>
            <w:vAlign w:val="center"/>
            <w:hideMark/>
          </w:tcPr>
          <w:p w:rsidR="001A785A" w:rsidRPr="001A785A" w:rsidRDefault="001A785A">
            <w:pPr>
              <w:jc w:val="right"/>
              <w:rPr>
                <w:rFonts w:ascii="Calibri" w:hAnsi="Calibri" w:cs="Calibri"/>
                <w:color w:val="000000"/>
                <w:sz w:val="17"/>
                <w:szCs w:val="17"/>
              </w:rPr>
            </w:pPr>
            <w:r w:rsidRPr="001A785A">
              <w:rPr>
                <w:rFonts w:ascii="Calibri" w:hAnsi="Calibri" w:cs="Calibri"/>
                <w:color w:val="000000"/>
                <w:sz w:val="17"/>
                <w:szCs w:val="17"/>
              </w:rPr>
              <w:t>10 742</w:t>
            </w:r>
          </w:p>
        </w:tc>
        <w:tc>
          <w:tcPr>
            <w:tcW w:w="708" w:type="dxa"/>
            <w:tcBorders>
              <w:top w:val="nil"/>
              <w:left w:val="nil"/>
              <w:bottom w:val="single" w:sz="4" w:space="0" w:color="auto"/>
              <w:right w:val="single" w:sz="4" w:space="0" w:color="auto"/>
            </w:tcBorders>
            <w:shd w:val="clear" w:color="auto" w:fill="auto"/>
            <w:noWrap/>
            <w:vAlign w:val="center"/>
            <w:hideMark/>
          </w:tcPr>
          <w:p w:rsidR="001A785A" w:rsidRPr="001A785A" w:rsidRDefault="001A785A">
            <w:pPr>
              <w:jc w:val="right"/>
              <w:rPr>
                <w:rFonts w:ascii="Calibri" w:hAnsi="Calibri" w:cs="Calibri"/>
                <w:color w:val="000000"/>
                <w:sz w:val="17"/>
                <w:szCs w:val="17"/>
              </w:rPr>
            </w:pPr>
            <w:r w:rsidRPr="001A785A">
              <w:rPr>
                <w:rFonts w:ascii="Calibri" w:hAnsi="Calibri" w:cs="Calibri"/>
                <w:color w:val="000000"/>
                <w:sz w:val="17"/>
                <w:szCs w:val="17"/>
              </w:rPr>
              <w:t>10 377</w:t>
            </w:r>
          </w:p>
        </w:tc>
        <w:tc>
          <w:tcPr>
            <w:tcW w:w="709" w:type="dxa"/>
            <w:tcBorders>
              <w:top w:val="nil"/>
              <w:left w:val="nil"/>
              <w:bottom w:val="single" w:sz="4" w:space="0" w:color="auto"/>
              <w:right w:val="single" w:sz="4" w:space="0" w:color="auto"/>
            </w:tcBorders>
            <w:shd w:val="clear" w:color="auto" w:fill="auto"/>
            <w:noWrap/>
            <w:vAlign w:val="center"/>
            <w:hideMark/>
          </w:tcPr>
          <w:p w:rsidR="001A785A" w:rsidRPr="001A785A" w:rsidRDefault="001A785A">
            <w:pPr>
              <w:jc w:val="right"/>
              <w:rPr>
                <w:rFonts w:ascii="Calibri" w:hAnsi="Calibri" w:cs="Calibri"/>
                <w:color w:val="000000"/>
                <w:sz w:val="17"/>
                <w:szCs w:val="17"/>
              </w:rPr>
            </w:pPr>
            <w:r w:rsidRPr="001A785A">
              <w:rPr>
                <w:rFonts w:ascii="Calibri" w:hAnsi="Calibri" w:cs="Calibri"/>
                <w:color w:val="000000"/>
                <w:sz w:val="17"/>
                <w:szCs w:val="17"/>
              </w:rPr>
              <w:t>16 299</w:t>
            </w:r>
          </w:p>
        </w:tc>
        <w:tc>
          <w:tcPr>
            <w:tcW w:w="709" w:type="dxa"/>
            <w:tcBorders>
              <w:top w:val="nil"/>
              <w:left w:val="nil"/>
              <w:bottom w:val="single" w:sz="4" w:space="0" w:color="auto"/>
              <w:right w:val="single" w:sz="4" w:space="0" w:color="auto"/>
            </w:tcBorders>
            <w:shd w:val="clear" w:color="auto" w:fill="auto"/>
            <w:noWrap/>
            <w:vAlign w:val="center"/>
            <w:hideMark/>
          </w:tcPr>
          <w:p w:rsidR="001A785A" w:rsidRPr="001A785A" w:rsidRDefault="001A785A">
            <w:pPr>
              <w:jc w:val="right"/>
              <w:rPr>
                <w:rFonts w:ascii="Calibri" w:hAnsi="Calibri" w:cs="Calibri"/>
                <w:color w:val="000000"/>
                <w:sz w:val="17"/>
                <w:szCs w:val="17"/>
              </w:rPr>
            </w:pPr>
            <w:r w:rsidRPr="001A785A">
              <w:rPr>
                <w:rFonts w:ascii="Calibri" w:hAnsi="Calibri" w:cs="Calibri"/>
                <w:color w:val="000000"/>
                <w:sz w:val="17"/>
                <w:szCs w:val="17"/>
              </w:rPr>
              <w:t>14 862</w:t>
            </w:r>
          </w:p>
        </w:tc>
      </w:tr>
      <w:tr w:rsidR="00BB4C7E" w:rsidTr="00BB4C7E">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1A785A" w:rsidRPr="001A785A" w:rsidRDefault="001A785A">
            <w:pPr>
              <w:rPr>
                <w:rFonts w:ascii="Calibri" w:hAnsi="Calibri" w:cs="Calibri"/>
                <w:color w:val="000000"/>
                <w:sz w:val="17"/>
                <w:szCs w:val="17"/>
              </w:rPr>
            </w:pPr>
            <w:r w:rsidRPr="001A785A">
              <w:rPr>
                <w:rFonts w:ascii="Calibri" w:hAnsi="Calibri" w:cs="Calibri"/>
                <w:color w:val="000000"/>
                <w:sz w:val="17"/>
                <w:szCs w:val="17"/>
              </w:rPr>
              <w:t>Přijaté splátky půjčených prostředků</w:t>
            </w:r>
          </w:p>
        </w:tc>
        <w:tc>
          <w:tcPr>
            <w:tcW w:w="709" w:type="dxa"/>
            <w:tcBorders>
              <w:top w:val="nil"/>
              <w:left w:val="nil"/>
              <w:bottom w:val="single" w:sz="4" w:space="0" w:color="auto"/>
              <w:right w:val="single" w:sz="4" w:space="0" w:color="auto"/>
            </w:tcBorders>
            <w:shd w:val="clear" w:color="auto" w:fill="auto"/>
            <w:noWrap/>
            <w:vAlign w:val="center"/>
            <w:hideMark/>
          </w:tcPr>
          <w:p w:rsidR="001A785A" w:rsidRPr="001A785A" w:rsidRDefault="001A785A">
            <w:pPr>
              <w:jc w:val="right"/>
              <w:rPr>
                <w:rFonts w:ascii="Calibri" w:hAnsi="Calibri" w:cs="Calibri"/>
                <w:color w:val="000000"/>
                <w:sz w:val="17"/>
                <w:szCs w:val="17"/>
              </w:rPr>
            </w:pPr>
            <w:r w:rsidRPr="001A785A">
              <w:rPr>
                <w:rFonts w:ascii="Calibri" w:hAnsi="Calibri" w:cs="Calibri"/>
                <w:color w:val="000000"/>
                <w:sz w:val="17"/>
                <w:szCs w:val="17"/>
              </w:rPr>
              <w:t>1 623</w:t>
            </w:r>
          </w:p>
        </w:tc>
        <w:tc>
          <w:tcPr>
            <w:tcW w:w="708" w:type="dxa"/>
            <w:tcBorders>
              <w:top w:val="nil"/>
              <w:left w:val="nil"/>
              <w:bottom w:val="single" w:sz="4" w:space="0" w:color="auto"/>
              <w:right w:val="single" w:sz="4" w:space="0" w:color="auto"/>
            </w:tcBorders>
            <w:shd w:val="clear" w:color="auto" w:fill="auto"/>
            <w:noWrap/>
            <w:vAlign w:val="center"/>
            <w:hideMark/>
          </w:tcPr>
          <w:p w:rsidR="001A785A" w:rsidRPr="001A785A" w:rsidRDefault="001A785A">
            <w:pPr>
              <w:jc w:val="right"/>
              <w:rPr>
                <w:rFonts w:ascii="Calibri" w:hAnsi="Calibri" w:cs="Calibri"/>
                <w:color w:val="000000"/>
                <w:sz w:val="17"/>
                <w:szCs w:val="17"/>
              </w:rPr>
            </w:pPr>
            <w:r w:rsidRPr="001A785A">
              <w:rPr>
                <w:rFonts w:ascii="Calibri" w:hAnsi="Calibri" w:cs="Calibri"/>
                <w:color w:val="000000"/>
                <w:sz w:val="17"/>
                <w:szCs w:val="17"/>
              </w:rPr>
              <w:t>1 375</w:t>
            </w:r>
          </w:p>
        </w:tc>
        <w:tc>
          <w:tcPr>
            <w:tcW w:w="709" w:type="dxa"/>
            <w:tcBorders>
              <w:top w:val="nil"/>
              <w:left w:val="nil"/>
              <w:bottom w:val="single" w:sz="4" w:space="0" w:color="auto"/>
              <w:right w:val="single" w:sz="4" w:space="0" w:color="auto"/>
            </w:tcBorders>
            <w:shd w:val="clear" w:color="auto" w:fill="auto"/>
            <w:noWrap/>
            <w:vAlign w:val="center"/>
            <w:hideMark/>
          </w:tcPr>
          <w:p w:rsidR="001A785A" w:rsidRPr="001A785A" w:rsidRDefault="001A785A">
            <w:pPr>
              <w:jc w:val="right"/>
              <w:rPr>
                <w:rFonts w:ascii="Calibri" w:hAnsi="Calibri" w:cs="Calibri"/>
                <w:color w:val="000000"/>
                <w:sz w:val="17"/>
                <w:szCs w:val="17"/>
              </w:rPr>
            </w:pPr>
            <w:r w:rsidRPr="001A785A">
              <w:rPr>
                <w:rFonts w:ascii="Calibri" w:hAnsi="Calibri" w:cs="Calibri"/>
                <w:color w:val="000000"/>
                <w:sz w:val="17"/>
                <w:szCs w:val="17"/>
              </w:rPr>
              <w:t>216</w:t>
            </w:r>
          </w:p>
        </w:tc>
        <w:tc>
          <w:tcPr>
            <w:tcW w:w="709" w:type="dxa"/>
            <w:tcBorders>
              <w:top w:val="nil"/>
              <w:left w:val="nil"/>
              <w:bottom w:val="single" w:sz="4" w:space="0" w:color="auto"/>
              <w:right w:val="single" w:sz="4" w:space="0" w:color="auto"/>
            </w:tcBorders>
            <w:shd w:val="clear" w:color="auto" w:fill="auto"/>
            <w:noWrap/>
            <w:vAlign w:val="center"/>
            <w:hideMark/>
          </w:tcPr>
          <w:p w:rsidR="001A785A" w:rsidRPr="001A785A" w:rsidRDefault="001A785A">
            <w:pPr>
              <w:jc w:val="right"/>
              <w:rPr>
                <w:rFonts w:ascii="Calibri" w:hAnsi="Calibri" w:cs="Calibri"/>
                <w:color w:val="000000"/>
                <w:sz w:val="17"/>
                <w:szCs w:val="17"/>
              </w:rPr>
            </w:pPr>
            <w:r w:rsidRPr="001A785A">
              <w:rPr>
                <w:rFonts w:ascii="Calibri" w:hAnsi="Calibri" w:cs="Calibri"/>
                <w:color w:val="000000"/>
                <w:sz w:val="17"/>
                <w:szCs w:val="17"/>
              </w:rPr>
              <w:t>190</w:t>
            </w:r>
          </w:p>
        </w:tc>
        <w:tc>
          <w:tcPr>
            <w:tcW w:w="709" w:type="dxa"/>
            <w:tcBorders>
              <w:top w:val="nil"/>
              <w:left w:val="nil"/>
              <w:bottom w:val="single" w:sz="4" w:space="0" w:color="auto"/>
              <w:right w:val="single" w:sz="4" w:space="0" w:color="auto"/>
            </w:tcBorders>
            <w:shd w:val="clear" w:color="auto" w:fill="auto"/>
            <w:noWrap/>
            <w:vAlign w:val="center"/>
            <w:hideMark/>
          </w:tcPr>
          <w:p w:rsidR="001A785A" w:rsidRPr="001A785A" w:rsidRDefault="001A785A">
            <w:pPr>
              <w:jc w:val="right"/>
              <w:rPr>
                <w:rFonts w:ascii="Calibri" w:hAnsi="Calibri" w:cs="Calibri"/>
                <w:color w:val="000000"/>
                <w:sz w:val="17"/>
                <w:szCs w:val="17"/>
              </w:rPr>
            </w:pPr>
            <w:r w:rsidRPr="001A785A">
              <w:rPr>
                <w:rFonts w:ascii="Calibri" w:hAnsi="Calibri" w:cs="Calibri"/>
                <w:color w:val="000000"/>
                <w:sz w:val="17"/>
                <w:szCs w:val="17"/>
              </w:rPr>
              <w:t>182</w:t>
            </w:r>
          </w:p>
        </w:tc>
        <w:tc>
          <w:tcPr>
            <w:tcW w:w="708" w:type="dxa"/>
            <w:tcBorders>
              <w:top w:val="nil"/>
              <w:left w:val="nil"/>
              <w:bottom w:val="single" w:sz="4" w:space="0" w:color="auto"/>
              <w:right w:val="single" w:sz="4" w:space="0" w:color="auto"/>
            </w:tcBorders>
            <w:shd w:val="clear" w:color="auto" w:fill="auto"/>
            <w:noWrap/>
            <w:vAlign w:val="center"/>
            <w:hideMark/>
          </w:tcPr>
          <w:p w:rsidR="001A785A" w:rsidRPr="001A785A" w:rsidRDefault="001A785A">
            <w:pPr>
              <w:jc w:val="right"/>
              <w:rPr>
                <w:rFonts w:ascii="Calibri" w:hAnsi="Calibri" w:cs="Calibri"/>
                <w:color w:val="000000"/>
                <w:sz w:val="17"/>
                <w:szCs w:val="17"/>
              </w:rPr>
            </w:pPr>
            <w:r w:rsidRPr="001A785A">
              <w:rPr>
                <w:rFonts w:ascii="Calibri" w:hAnsi="Calibri" w:cs="Calibri"/>
                <w:color w:val="000000"/>
                <w:sz w:val="17"/>
                <w:szCs w:val="17"/>
              </w:rPr>
              <w:t>195</w:t>
            </w:r>
          </w:p>
        </w:tc>
        <w:tc>
          <w:tcPr>
            <w:tcW w:w="709" w:type="dxa"/>
            <w:tcBorders>
              <w:top w:val="nil"/>
              <w:left w:val="nil"/>
              <w:bottom w:val="single" w:sz="4" w:space="0" w:color="auto"/>
              <w:right w:val="single" w:sz="4" w:space="0" w:color="auto"/>
            </w:tcBorders>
            <w:shd w:val="clear" w:color="auto" w:fill="auto"/>
            <w:noWrap/>
            <w:vAlign w:val="center"/>
            <w:hideMark/>
          </w:tcPr>
          <w:p w:rsidR="001A785A" w:rsidRPr="001A785A" w:rsidRDefault="001A785A">
            <w:pPr>
              <w:jc w:val="right"/>
              <w:rPr>
                <w:rFonts w:ascii="Calibri" w:hAnsi="Calibri" w:cs="Calibri"/>
                <w:color w:val="000000"/>
                <w:sz w:val="17"/>
                <w:szCs w:val="17"/>
              </w:rPr>
            </w:pPr>
            <w:r w:rsidRPr="001A785A">
              <w:rPr>
                <w:rFonts w:ascii="Calibri" w:hAnsi="Calibri" w:cs="Calibri"/>
                <w:color w:val="000000"/>
                <w:sz w:val="17"/>
                <w:szCs w:val="17"/>
              </w:rPr>
              <w:t>647</w:t>
            </w:r>
          </w:p>
        </w:tc>
        <w:tc>
          <w:tcPr>
            <w:tcW w:w="709" w:type="dxa"/>
            <w:tcBorders>
              <w:top w:val="nil"/>
              <w:left w:val="nil"/>
              <w:bottom w:val="single" w:sz="4" w:space="0" w:color="auto"/>
              <w:right w:val="single" w:sz="4" w:space="0" w:color="auto"/>
            </w:tcBorders>
            <w:shd w:val="clear" w:color="auto" w:fill="auto"/>
            <w:noWrap/>
            <w:vAlign w:val="center"/>
            <w:hideMark/>
          </w:tcPr>
          <w:p w:rsidR="001A785A" w:rsidRPr="001A785A" w:rsidRDefault="001A785A">
            <w:pPr>
              <w:jc w:val="right"/>
              <w:rPr>
                <w:rFonts w:ascii="Calibri" w:hAnsi="Calibri" w:cs="Calibri"/>
                <w:color w:val="000000"/>
                <w:sz w:val="17"/>
                <w:szCs w:val="17"/>
              </w:rPr>
            </w:pPr>
            <w:r w:rsidRPr="001A785A">
              <w:rPr>
                <w:rFonts w:ascii="Calibri" w:hAnsi="Calibri" w:cs="Calibri"/>
                <w:color w:val="000000"/>
                <w:sz w:val="17"/>
                <w:szCs w:val="17"/>
              </w:rPr>
              <w:t>240</w:t>
            </w:r>
          </w:p>
        </w:tc>
      </w:tr>
      <w:tr w:rsidR="001A785A" w:rsidTr="00BB4C7E">
        <w:trPr>
          <w:trHeight w:val="300"/>
        </w:trPr>
        <w:tc>
          <w:tcPr>
            <w:tcW w:w="3114" w:type="dxa"/>
            <w:tcBorders>
              <w:top w:val="nil"/>
              <w:left w:val="single" w:sz="4" w:space="0" w:color="auto"/>
              <w:bottom w:val="single" w:sz="4" w:space="0" w:color="auto"/>
              <w:right w:val="single" w:sz="4" w:space="0" w:color="auto"/>
            </w:tcBorders>
            <w:shd w:val="clear" w:color="FCD5B4" w:fill="FFE699"/>
            <w:vAlign w:val="center"/>
            <w:hideMark/>
          </w:tcPr>
          <w:p w:rsidR="001A785A" w:rsidRPr="001A785A" w:rsidRDefault="001A785A">
            <w:pPr>
              <w:rPr>
                <w:rFonts w:ascii="Calibri" w:hAnsi="Calibri" w:cs="Calibri"/>
                <w:b/>
                <w:bCs/>
                <w:color w:val="000000"/>
                <w:sz w:val="17"/>
                <w:szCs w:val="17"/>
              </w:rPr>
            </w:pPr>
            <w:r w:rsidRPr="001A785A">
              <w:rPr>
                <w:rFonts w:ascii="Calibri" w:hAnsi="Calibri" w:cs="Calibri"/>
                <w:b/>
                <w:bCs/>
                <w:color w:val="000000"/>
                <w:sz w:val="17"/>
                <w:szCs w:val="17"/>
              </w:rPr>
              <w:t>Nedaňové příjmy celkem</w:t>
            </w:r>
          </w:p>
        </w:tc>
        <w:tc>
          <w:tcPr>
            <w:tcW w:w="709" w:type="dxa"/>
            <w:tcBorders>
              <w:top w:val="nil"/>
              <w:left w:val="nil"/>
              <w:bottom w:val="single" w:sz="4" w:space="0" w:color="auto"/>
              <w:right w:val="single" w:sz="4" w:space="0" w:color="auto"/>
            </w:tcBorders>
            <w:shd w:val="clear" w:color="FCD5B4" w:fill="FFE699"/>
            <w:noWrap/>
            <w:vAlign w:val="center"/>
            <w:hideMark/>
          </w:tcPr>
          <w:p w:rsidR="001A785A" w:rsidRPr="001A785A" w:rsidRDefault="001A785A">
            <w:pPr>
              <w:jc w:val="right"/>
              <w:rPr>
                <w:rFonts w:ascii="Calibri" w:hAnsi="Calibri" w:cs="Calibri"/>
                <w:b/>
                <w:bCs/>
                <w:color w:val="000000"/>
                <w:sz w:val="17"/>
                <w:szCs w:val="17"/>
              </w:rPr>
            </w:pPr>
            <w:r w:rsidRPr="001A785A">
              <w:rPr>
                <w:rFonts w:ascii="Calibri" w:hAnsi="Calibri" w:cs="Calibri"/>
                <w:b/>
                <w:bCs/>
                <w:color w:val="000000"/>
                <w:sz w:val="17"/>
                <w:szCs w:val="17"/>
              </w:rPr>
              <w:t>128 439</w:t>
            </w:r>
          </w:p>
        </w:tc>
        <w:tc>
          <w:tcPr>
            <w:tcW w:w="708" w:type="dxa"/>
            <w:tcBorders>
              <w:top w:val="nil"/>
              <w:left w:val="nil"/>
              <w:bottom w:val="single" w:sz="4" w:space="0" w:color="auto"/>
              <w:right w:val="single" w:sz="4" w:space="0" w:color="auto"/>
            </w:tcBorders>
            <w:shd w:val="clear" w:color="FCD5B4" w:fill="FFE699"/>
            <w:noWrap/>
            <w:vAlign w:val="center"/>
            <w:hideMark/>
          </w:tcPr>
          <w:p w:rsidR="001A785A" w:rsidRPr="001A785A" w:rsidRDefault="001A785A">
            <w:pPr>
              <w:jc w:val="right"/>
              <w:rPr>
                <w:rFonts w:ascii="Calibri" w:hAnsi="Calibri" w:cs="Calibri"/>
                <w:b/>
                <w:bCs/>
                <w:color w:val="000000"/>
                <w:sz w:val="17"/>
                <w:szCs w:val="17"/>
              </w:rPr>
            </w:pPr>
            <w:r w:rsidRPr="001A785A">
              <w:rPr>
                <w:rFonts w:ascii="Calibri" w:hAnsi="Calibri" w:cs="Calibri"/>
                <w:b/>
                <w:bCs/>
                <w:color w:val="000000"/>
                <w:sz w:val="17"/>
                <w:szCs w:val="17"/>
              </w:rPr>
              <w:t>126 823</w:t>
            </w:r>
          </w:p>
        </w:tc>
        <w:tc>
          <w:tcPr>
            <w:tcW w:w="709" w:type="dxa"/>
            <w:tcBorders>
              <w:top w:val="nil"/>
              <w:left w:val="nil"/>
              <w:bottom w:val="single" w:sz="4" w:space="0" w:color="auto"/>
              <w:right w:val="single" w:sz="4" w:space="0" w:color="auto"/>
            </w:tcBorders>
            <w:shd w:val="clear" w:color="FCD5B4" w:fill="FFE699"/>
            <w:noWrap/>
            <w:vAlign w:val="center"/>
            <w:hideMark/>
          </w:tcPr>
          <w:p w:rsidR="001A785A" w:rsidRPr="001A785A" w:rsidRDefault="001A785A">
            <w:pPr>
              <w:jc w:val="right"/>
              <w:rPr>
                <w:rFonts w:ascii="Calibri" w:hAnsi="Calibri" w:cs="Calibri"/>
                <w:b/>
                <w:bCs/>
                <w:color w:val="000000"/>
                <w:sz w:val="17"/>
                <w:szCs w:val="17"/>
              </w:rPr>
            </w:pPr>
            <w:r w:rsidRPr="001A785A">
              <w:rPr>
                <w:rFonts w:ascii="Calibri" w:hAnsi="Calibri" w:cs="Calibri"/>
                <w:b/>
                <w:bCs/>
                <w:color w:val="000000"/>
                <w:sz w:val="17"/>
                <w:szCs w:val="17"/>
              </w:rPr>
              <w:t>120 828</w:t>
            </w:r>
          </w:p>
        </w:tc>
        <w:tc>
          <w:tcPr>
            <w:tcW w:w="709" w:type="dxa"/>
            <w:tcBorders>
              <w:top w:val="nil"/>
              <w:left w:val="nil"/>
              <w:bottom w:val="single" w:sz="4" w:space="0" w:color="auto"/>
              <w:right w:val="single" w:sz="4" w:space="0" w:color="auto"/>
            </w:tcBorders>
            <w:shd w:val="clear" w:color="FCD5B4" w:fill="FFE699"/>
            <w:noWrap/>
            <w:vAlign w:val="center"/>
            <w:hideMark/>
          </w:tcPr>
          <w:p w:rsidR="001A785A" w:rsidRPr="001A785A" w:rsidRDefault="001A785A">
            <w:pPr>
              <w:jc w:val="right"/>
              <w:rPr>
                <w:rFonts w:ascii="Calibri" w:hAnsi="Calibri" w:cs="Calibri"/>
                <w:b/>
                <w:bCs/>
                <w:color w:val="000000"/>
                <w:sz w:val="17"/>
                <w:szCs w:val="17"/>
              </w:rPr>
            </w:pPr>
            <w:r w:rsidRPr="001A785A">
              <w:rPr>
                <w:rFonts w:ascii="Calibri" w:hAnsi="Calibri" w:cs="Calibri"/>
                <w:b/>
                <w:bCs/>
                <w:color w:val="000000"/>
                <w:sz w:val="17"/>
                <w:szCs w:val="17"/>
              </w:rPr>
              <w:t>137 032</w:t>
            </w:r>
          </w:p>
        </w:tc>
        <w:tc>
          <w:tcPr>
            <w:tcW w:w="709" w:type="dxa"/>
            <w:tcBorders>
              <w:top w:val="nil"/>
              <w:left w:val="nil"/>
              <w:bottom w:val="single" w:sz="4" w:space="0" w:color="auto"/>
              <w:right w:val="single" w:sz="4" w:space="0" w:color="auto"/>
            </w:tcBorders>
            <w:shd w:val="clear" w:color="FCD5B4" w:fill="FFE699"/>
            <w:noWrap/>
            <w:vAlign w:val="center"/>
            <w:hideMark/>
          </w:tcPr>
          <w:p w:rsidR="001A785A" w:rsidRPr="001A785A" w:rsidRDefault="001A785A">
            <w:pPr>
              <w:jc w:val="right"/>
              <w:rPr>
                <w:rFonts w:ascii="Calibri" w:hAnsi="Calibri" w:cs="Calibri"/>
                <w:b/>
                <w:bCs/>
                <w:color w:val="000000"/>
                <w:sz w:val="17"/>
                <w:szCs w:val="17"/>
              </w:rPr>
            </w:pPr>
            <w:r w:rsidRPr="001A785A">
              <w:rPr>
                <w:rFonts w:ascii="Calibri" w:hAnsi="Calibri" w:cs="Calibri"/>
                <w:b/>
                <w:bCs/>
                <w:color w:val="000000"/>
                <w:sz w:val="17"/>
                <w:szCs w:val="17"/>
              </w:rPr>
              <w:t>131 745</w:t>
            </w:r>
          </w:p>
        </w:tc>
        <w:tc>
          <w:tcPr>
            <w:tcW w:w="708" w:type="dxa"/>
            <w:tcBorders>
              <w:top w:val="nil"/>
              <w:left w:val="nil"/>
              <w:bottom w:val="single" w:sz="4" w:space="0" w:color="auto"/>
              <w:right w:val="single" w:sz="4" w:space="0" w:color="auto"/>
            </w:tcBorders>
            <w:shd w:val="clear" w:color="FCD5B4" w:fill="FFE699"/>
            <w:noWrap/>
            <w:vAlign w:val="center"/>
            <w:hideMark/>
          </w:tcPr>
          <w:p w:rsidR="001A785A" w:rsidRPr="001A785A" w:rsidRDefault="001A785A">
            <w:pPr>
              <w:jc w:val="right"/>
              <w:rPr>
                <w:rFonts w:ascii="Calibri" w:hAnsi="Calibri" w:cs="Calibri"/>
                <w:b/>
                <w:bCs/>
                <w:color w:val="000000"/>
                <w:sz w:val="17"/>
                <w:szCs w:val="17"/>
              </w:rPr>
            </w:pPr>
            <w:r w:rsidRPr="001A785A">
              <w:rPr>
                <w:rFonts w:ascii="Calibri" w:hAnsi="Calibri" w:cs="Calibri"/>
                <w:b/>
                <w:bCs/>
                <w:color w:val="000000"/>
                <w:sz w:val="17"/>
                <w:szCs w:val="17"/>
              </w:rPr>
              <w:t>147 829</w:t>
            </w:r>
          </w:p>
        </w:tc>
        <w:tc>
          <w:tcPr>
            <w:tcW w:w="709" w:type="dxa"/>
            <w:tcBorders>
              <w:top w:val="nil"/>
              <w:left w:val="nil"/>
              <w:bottom w:val="single" w:sz="4" w:space="0" w:color="auto"/>
              <w:right w:val="single" w:sz="4" w:space="0" w:color="auto"/>
            </w:tcBorders>
            <w:shd w:val="clear" w:color="FCD5B4" w:fill="FFE699"/>
            <w:noWrap/>
            <w:vAlign w:val="center"/>
            <w:hideMark/>
          </w:tcPr>
          <w:p w:rsidR="001A785A" w:rsidRPr="001A785A" w:rsidRDefault="001A785A">
            <w:pPr>
              <w:jc w:val="right"/>
              <w:rPr>
                <w:rFonts w:ascii="Calibri" w:hAnsi="Calibri" w:cs="Calibri"/>
                <w:b/>
                <w:bCs/>
                <w:color w:val="000000"/>
                <w:sz w:val="17"/>
                <w:szCs w:val="17"/>
              </w:rPr>
            </w:pPr>
            <w:r w:rsidRPr="001A785A">
              <w:rPr>
                <w:rFonts w:ascii="Calibri" w:hAnsi="Calibri" w:cs="Calibri"/>
                <w:b/>
                <w:bCs/>
                <w:color w:val="000000"/>
                <w:sz w:val="17"/>
                <w:szCs w:val="17"/>
              </w:rPr>
              <w:t>150 380</w:t>
            </w:r>
          </w:p>
        </w:tc>
        <w:tc>
          <w:tcPr>
            <w:tcW w:w="709" w:type="dxa"/>
            <w:tcBorders>
              <w:top w:val="nil"/>
              <w:left w:val="nil"/>
              <w:bottom w:val="single" w:sz="4" w:space="0" w:color="auto"/>
              <w:right w:val="single" w:sz="4" w:space="0" w:color="auto"/>
            </w:tcBorders>
            <w:shd w:val="clear" w:color="FCD5B4" w:fill="FFE699"/>
            <w:noWrap/>
            <w:vAlign w:val="center"/>
            <w:hideMark/>
          </w:tcPr>
          <w:p w:rsidR="001A785A" w:rsidRPr="001A785A" w:rsidRDefault="001A785A">
            <w:pPr>
              <w:jc w:val="right"/>
              <w:rPr>
                <w:rFonts w:ascii="Calibri" w:hAnsi="Calibri" w:cs="Calibri"/>
                <w:b/>
                <w:bCs/>
                <w:color w:val="000000"/>
                <w:sz w:val="17"/>
                <w:szCs w:val="17"/>
              </w:rPr>
            </w:pPr>
            <w:r w:rsidRPr="001A785A">
              <w:rPr>
                <w:rFonts w:ascii="Calibri" w:hAnsi="Calibri" w:cs="Calibri"/>
                <w:b/>
                <w:bCs/>
                <w:color w:val="000000"/>
                <w:sz w:val="17"/>
                <w:szCs w:val="17"/>
              </w:rPr>
              <w:t>169 766</w:t>
            </w:r>
          </w:p>
        </w:tc>
      </w:tr>
    </w:tbl>
    <w:p w:rsidR="001A785A" w:rsidRDefault="001A785A" w:rsidP="003642CE">
      <w:pPr>
        <w:jc w:val="both"/>
        <w:rPr>
          <w:rFonts w:asciiTheme="minorHAnsi" w:hAnsiTheme="minorHAnsi" w:cstheme="minorHAnsi"/>
          <w:sz w:val="22"/>
          <w:szCs w:val="22"/>
        </w:rPr>
      </w:pPr>
    </w:p>
    <w:p w:rsidR="00BB4C7E" w:rsidRDefault="00BB4C7E" w:rsidP="003642CE">
      <w:pPr>
        <w:jc w:val="both"/>
        <w:rPr>
          <w:rFonts w:asciiTheme="minorHAnsi" w:hAnsiTheme="minorHAnsi" w:cstheme="minorHAnsi"/>
          <w:sz w:val="22"/>
          <w:szCs w:val="22"/>
        </w:rPr>
      </w:pPr>
    </w:p>
    <w:p w:rsidR="001A785A" w:rsidRDefault="001A785A" w:rsidP="001A785A">
      <w:pPr>
        <w:jc w:val="center"/>
        <w:rPr>
          <w:rFonts w:asciiTheme="minorHAnsi" w:hAnsiTheme="minorHAnsi" w:cstheme="minorHAnsi"/>
          <w:sz w:val="22"/>
          <w:szCs w:val="22"/>
        </w:rPr>
      </w:pPr>
      <w:r>
        <w:rPr>
          <w:noProof/>
        </w:rPr>
        <w:drawing>
          <wp:inline distT="0" distB="0" distL="0" distR="0" wp14:anchorId="2B337137" wp14:editId="4597FC74">
            <wp:extent cx="5180965" cy="2809102"/>
            <wp:effectExtent l="0" t="0" r="635" b="10795"/>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A785A" w:rsidRDefault="001A785A" w:rsidP="003642CE">
      <w:pPr>
        <w:jc w:val="both"/>
        <w:rPr>
          <w:rFonts w:asciiTheme="minorHAnsi" w:hAnsiTheme="minorHAnsi" w:cstheme="minorHAnsi"/>
          <w:sz w:val="22"/>
          <w:szCs w:val="22"/>
        </w:rPr>
      </w:pPr>
    </w:p>
    <w:p w:rsidR="00BB4C7E" w:rsidRDefault="00BB4C7E" w:rsidP="003642CE">
      <w:pPr>
        <w:jc w:val="both"/>
        <w:rPr>
          <w:rFonts w:asciiTheme="minorHAnsi" w:hAnsiTheme="minorHAnsi" w:cstheme="minorHAnsi"/>
          <w:sz w:val="22"/>
          <w:szCs w:val="22"/>
        </w:rPr>
      </w:pPr>
    </w:p>
    <w:tbl>
      <w:tblPr>
        <w:tblW w:w="9460" w:type="dxa"/>
        <w:tblCellMar>
          <w:left w:w="70" w:type="dxa"/>
          <w:right w:w="70" w:type="dxa"/>
        </w:tblCellMar>
        <w:tblLook w:val="04A0" w:firstRow="1" w:lastRow="0" w:firstColumn="1" w:lastColumn="0" w:noHBand="0" w:noVBand="1"/>
      </w:tblPr>
      <w:tblGrid>
        <w:gridCol w:w="3640"/>
        <w:gridCol w:w="700"/>
        <w:gridCol w:w="700"/>
        <w:gridCol w:w="700"/>
        <w:gridCol w:w="800"/>
        <w:gridCol w:w="700"/>
        <w:gridCol w:w="700"/>
        <w:gridCol w:w="760"/>
        <w:gridCol w:w="760"/>
      </w:tblGrid>
      <w:tr w:rsidR="001A785A" w:rsidTr="001A785A">
        <w:trPr>
          <w:trHeight w:val="300"/>
        </w:trPr>
        <w:tc>
          <w:tcPr>
            <w:tcW w:w="3640" w:type="dxa"/>
            <w:tcBorders>
              <w:top w:val="single" w:sz="4" w:space="0" w:color="auto"/>
              <w:left w:val="single" w:sz="4" w:space="0" w:color="auto"/>
              <w:bottom w:val="single" w:sz="4" w:space="0" w:color="auto"/>
              <w:right w:val="single" w:sz="4" w:space="0" w:color="auto"/>
            </w:tcBorders>
            <w:shd w:val="clear" w:color="D6A100" w:fill="FFC000"/>
            <w:noWrap/>
            <w:vAlign w:val="bottom"/>
            <w:hideMark/>
          </w:tcPr>
          <w:p w:rsidR="001A785A" w:rsidRDefault="001A785A">
            <w:pPr>
              <w:rPr>
                <w:rFonts w:ascii="Calibri" w:hAnsi="Calibri" w:cs="Calibri"/>
                <w:color w:val="000000"/>
                <w:sz w:val="17"/>
                <w:szCs w:val="17"/>
              </w:rPr>
            </w:pPr>
            <w:r>
              <w:rPr>
                <w:rFonts w:ascii="Calibri" w:hAnsi="Calibri" w:cs="Calibri"/>
                <w:color w:val="000000"/>
                <w:sz w:val="17"/>
                <w:szCs w:val="17"/>
              </w:rPr>
              <w:t> </w:t>
            </w:r>
          </w:p>
        </w:tc>
        <w:tc>
          <w:tcPr>
            <w:tcW w:w="700" w:type="dxa"/>
            <w:tcBorders>
              <w:top w:val="single" w:sz="4" w:space="0" w:color="auto"/>
              <w:left w:val="nil"/>
              <w:bottom w:val="single" w:sz="4" w:space="0" w:color="auto"/>
              <w:right w:val="single" w:sz="4" w:space="0" w:color="auto"/>
            </w:tcBorders>
            <w:shd w:val="clear" w:color="D6A100" w:fill="FFC000"/>
            <w:noWrap/>
            <w:vAlign w:val="bottom"/>
            <w:hideMark/>
          </w:tcPr>
          <w:p w:rsidR="001A785A" w:rsidRDefault="001A785A">
            <w:pPr>
              <w:jc w:val="center"/>
              <w:rPr>
                <w:rFonts w:ascii="Calibri" w:hAnsi="Calibri" w:cs="Calibri"/>
                <w:color w:val="000000"/>
                <w:sz w:val="17"/>
                <w:szCs w:val="17"/>
              </w:rPr>
            </w:pPr>
            <w:r>
              <w:rPr>
                <w:rFonts w:ascii="Calibri" w:hAnsi="Calibri" w:cs="Calibri"/>
                <w:color w:val="000000"/>
                <w:sz w:val="17"/>
                <w:szCs w:val="17"/>
              </w:rPr>
              <w:t>2015</w:t>
            </w:r>
          </w:p>
        </w:tc>
        <w:tc>
          <w:tcPr>
            <w:tcW w:w="700" w:type="dxa"/>
            <w:tcBorders>
              <w:top w:val="single" w:sz="4" w:space="0" w:color="auto"/>
              <w:left w:val="nil"/>
              <w:bottom w:val="single" w:sz="4" w:space="0" w:color="auto"/>
              <w:right w:val="single" w:sz="4" w:space="0" w:color="auto"/>
            </w:tcBorders>
            <w:shd w:val="clear" w:color="D6A100" w:fill="FFC000"/>
            <w:noWrap/>
            <w:vAlign w:val="bottom"/>
            <w:hideMark/>
          </w:tcPr>
          <w:p w:rsidR="001A785A" w:rsidRDefault="001A785A">
            <w:pPr>
              <w:jc w:val="center"/>
              <w:rPr>
                <w:rFonts w:ascii="Calibri" w:hAnsi="Calibri" w:cs="Calibri"/>
                <w:color w:val="000000"/>
                <w:sz w:val="17"/>
                <w:szCs w:val="17"/>
              </w:rPr>
            </w:pPr>
            <w:r>
              <w:rPr>
                <w:rFonts w:ascii="Calibri" w:hAnsi="Calibri" w:cs="Calibri"/>
                <w:color w:val="000000"/>
                <w:sz w:val="17"/>
                <w:szCs w:val="17"/>
              </w:rPr>
              <w:t>2016</w:t>
            </w:r>
          </w:p>
        </w:tc>
        <w:tc>
          <w:tcPr>
            <w:tcW w:w="700" w:type="dxa"/>
            <w:tcBorders>
              <w:top w:val="single" w:sz="4" w:space="0" w:color="auto"/>
              <w:left w:val="nil"/>
              <w:bottom w:val="single" w:sz="4" w:space="0" w:color="auto"/>
              <w:right w:val="single" w:sz="4" w:space="0" w:color="auto"/>
            </w:tcBorders>
            <w:shd w:val="clear" w:color="D6A100" w:fill="FFC000"/>
            <w:noWrap/>
            <w:vAlign w:val="bottom"/>
            <w:hideMark/>
          </w:tcPr>
          <w:p w:rsidR="001A785A" w:rsidRDefault="001A785A">
            <w:pPr>
              <w:jc w:val="center"/>
              <w:rPr>
                <w:rFonts w:ascii="Calibri" w:hAnsi="Calibri" w:cs="Calibri"/>
                <w:color w:val="000000"/>
                <w:sz w:val="17"/>
                <w:szCs w:val="17"/>
              </w:rPr>
            </w:pPr>
            <w:r>
              <w:rPr>
                <w:rFonts w:ascii="Calibri" w:hAnsi="Calibri" w:cs="Calibri"/>
                <w:color w:val="000000"/>
                <w:sz w:val="17"/>
                <w:szCs w:val="17"/>
              </w:rPr>
              <w:t>2017</w:t>
            </w:r>
          </w:p>
        </w:tc>
        <w:tc>
          <w:tcPr>
            <w:tcW w:w="800" w:type="dxa"/>
            <w:tcBorders>
              <w:top w:val="single" w:sz="4" w:space="0" w:color="auto"/>
              <w:left w:val="nil"/>
              <w:bottom w:val="single" w:sz="4" w:space="0" w:color="auto"/>
              <w:right w:val="single" w:sz="4" w:space="0" w:color="auto"/>
            </w:tcBorders>
            <w:shd w:val="clear" w:color="D6A100" w:fill="FFC000"/>
            <w:noWrap/>
            <w:vAlign w:val="bottom"/>
            <w:hideMark/>
          </w:tcPr>
          <w:p w:rsidR="001A785A" w:rsidRDefault="001A785A">
            <w:pPr>
              <w:jc w:val="center"/>
              <w:rPr>
                <w:rFonts w:ascii="Calibri" w:hAnsi="Calibri" w:cs="Calibri"/>
                <w:color w:val="000000"/>
                <w:sz w:val="17"/>
                <w:szCs w:val="17"/>
              </w:rPr>
            </w:pPr>
            <w:r>
              <w:rPr>
                <w:rFonts w:ascii="Calibri" w:hAnsi="Calibri" w:cs="Calibri"/>
                <w:color w:val="000000"/>
                <w:sz w:val="17"/>
                <w:szCs w:val="17"/>
              </w:rPr>
              <w:t>2018</w:t>
            </w:r>
          </w:p>
        </w:tc>
        <w:tc>
          <w:tcPr>
            <w:tcW w:w="700" w:type="dxa"/>
            <w:tcBorders>
              <w:top w:val="single" w:sz="4" w:space="0" w:color="auto"/>
              <w:left w:val="nil"/>
              <w:bottom w:val="single" w:sz="4" w:space="0" w:color="auto"/>
              <w:right w:val="single" w:sz="4" w:space="0" w:color="auto"/>
            </w:tcBorders>
            <w:shd w:val="clear" w:color="D6A100" w:fill="FFC000"/>
            <w:noWrap/>
            <w:vAlign w:val="bottom"/>
            <w:hideMark/>
          </w:tcPr>
          <w:p w:rsidR="001A785A" w:rsidRDefault="001A785A">
            <w:pPr>
              <w:jc w:val="center"/>
              <w:rPr>
                <w:rFonts w:ascii="Calibri" w:hAnsi="Calibri" w:cs="Calibri"/>
                <w:color w:val="000000"/>
                <w:sz w:val="17"/>
                <w:szCs w:val="17"/>
              </w:rPr>
            </w:pPr>
            <w:r>
              <w:rPr>
                <w:rFonts w:ascii="Calibri" w:hAnsi="Calibri" w:cs="Calibri"/>
                <w:color w:val="000000"/>
                <w:sz w:val="17"/>
                <w:szCs w:val="17"/>
              </w:rPr>
              <w:t>2019</w:t>
            </w:r>
          </w:p>
        </w:tc>
        <w:tc>
          <w:tcPr>
            <w:tcW w:w="700" w:type="dxa"/>
            <w:tcBorders>
              <w:top w:val="single" w:sz="4" w:space="0" w:color="auto"/>
              <w:left w:val="nil"/>
              <w:bottom w:val="single" w:sz="4" w:space="0" w:color="auto"/>
              <w:right w:val="single" w:sz="4" w:space="0" w:color="auto"/>
            </w:tcBorders>
            <w:shd w:val="clear" w:color="D6A100" w:fill="FFC000"/>
            <w:noWrap/>
            <w:vAlign w:val="bottom"/>
            <w:hideMark/>
          </w:tcPr>
          <w:p w:rsidR="001A785A" w:rsidRDefault="001A785A">
            <w:pPr>
              <w:jc w:val="center"/>
              <w:rPr>
                <w:rFonts w:ascii="Calibri" w:hAnsi="Calibri" w:cs="Calibri"/>
                <w:color w:val="000000"/>
                <w:sz w:val="17"/>
                <w:szCs w:val="17"/>
              </w:rPr>
            </w:pPr>
            <w:r>
              <w:rPr>
                <w:rFonts w:ascii="Calibri" w:hAnsi="Calibri" w:cs="Calibri"/>
                <w:color w:val="000000"/>
                <w:sz w:val="17"/>
                <w:szCs w:val="17"/>
              </w:rPr>
              <w:t>2020</w:t>
            </w:r>
          </w:p>
        </w:tc>
        <w:tc>
          <w:tcPr>
            <w:tcW w:w="760" w:type="dxa"/>
            <w:tcBorders>
              <w:top w:val="single" w:sz="4" w:space="0" w:color="auto"/>
              <w:left w:val="nil"/>
              <w:bottom w:val="single" w:sz="4" w:space="0" w:color="auto"/>
              <w:right w:val="single" w:sz="4" w:space="0" w:color="auto"/>
            </w:tcBorders>
            <w:shd w:val="clear" w:color="D6A100" w:fill="FFC000"/>
            <w:noWrap/>
            <w:vAlign w:val="bottom"/>
            <w:hideMark/>
          </w:tcPr>
          <w:p w:rsidR="001A785A" w:rsidRDefault="001A785A">
            <w:pPr>
              <w:jc w:val="center"/>
              <w:rPr>
                <w:rFonts w:ascii="Calibri" w:hAnsi="Calibri" w:cs="Calibri"/>
                <w:color w:val="000000"/>
                <w:sz w:val="17"/>
                <w:szCs w:val="17"/>
              </w:rPr>
            </w:pPr>
            <w:r>
              <w:rPr>
                <w:rFonts w:ascii="Calibri" w:hAnsi="Calibri" w:cs="Calibri"/>
                <w:color w:val="000000"/>
                <w:sz w:val="17"/>
                <w:szCs w:val="17"/>
              </w:rPr>
              <w:t>2021</w:t>
            </w:r>
          </w:p>
        </w:tc>
        <w:tc>
          <w:tcPr>
            <w:tcW w:w="760" w:type="dxa"/>
            <w:tcBorders>
              <w:top w:val="single" w:sz="4" w:space="0" w:color="auto"/>
              <w:left w:val="nil"/>
              <w:bottom w:val="single" w:sz="4" w:space="0" w:color="auto"/>
              <w:right w:val="single" w:sz="4" w:space="0" w:color="auto"/>
            </w:tcBorders>
            <w:shd w:val="clear" w:color="D6A100" w:fill="FFC000"/>
            <w:noWrap/>
            <w:vAlign w:val="bottom"/>
            <w:hideMark/>
          </w:tcPr>
          <w:p w:rsidR="001A785A" w:rsidRDefault="001A785A">
            <w:pPr>
              <w:jc w:val="center"/>
              <w:rPr>
                <w:rFonts w:ascii="Calibri" w:hAnsi="Calibri" w:cs="Calibri"/>
                <w:color w:val="000000"/>
                <w:sz w:val="17"/>
                <w:szCs w:val="17"/>
              </w:rPr>
            </w:pPr>
            <w:r>
              <w:rPr>
                <w:rFonts w:ascii="Calibri" w:hAnsi="Calibri" w:cs="Calibri"/>
                <w:color w:val="000000"/>
                <w:sz w:val="17"/>
                <w:szCs w:val="17"/>
              </w:rPr>
              <w:t>2022</w:t>
            </w:r>
          </w:p>
        </w:tc>
      </w:tr>
      <w:tr w:rsidR="001A785A" w:rsidTr="001A785A">
        <w:trPr>
          <w:trHeight w:val="300"/>
        </w:trPr>
        <w:tc>
          <w:tcPr>
            <w:tcW w:w="3640" w:type="dxa"/>
            <w:tcBorders>
              <w:top w:val="nil"/>
              <w:left w:val="single" w:sz="4" w:space="0" w:color="auto"/>
              <w:bottom w:val="single" w:sz="4" w:space="0" w:color="auto"/>
              <w:right w:val="single" w:sz="4" w:space="0" w:color="auto"/>
            </w:tcBorders>
            <w:shd w:val="clear" w:color="FCD5B4" w:fill="FFE699"/>
            <w:noWrap/>
            <w:vAlign w:val="bottom"/>
            <w:hideMark/>
          </w:tcPr>
          <w:p w:rsidR="001A785A" w:rsidRDefault="001A785A">
            <w:pPr>
              <w:rPr>
                <w:rFonts w:ascii="Calibri" w:hAnsi="Calibri" w:cs="Calibri"/>
                <w:color w:val="000000"/>
                <w:sz w:val="17"/>
                <w:szCs w:val="17"/>
              </w:rPr>
            </w:pPr>
            <w:r>
              <w:rPr>
                <w:rFonts w:ascii="Calibri" w:hAnsi="Calibri" w:cs="Calibri"/>
                <w:color w:val="000000"/>
                <w:sz w:val="17"/>
                <w:szCs w:val="17"/>
              </w:rPr>
              <w:t>Nedaňové příjmy celkem</w:t>
            </w:r>
          </w:p>
        </w:tc>
        <w:tc>
          <w:tcPr>
            <w:tcW w:w="700" w:type="dxa"/>
            <w:tcBorders>
              <w:top w:val="nil"/>
              <w:left w:val="nil"/>
              <w:bottom w:val="single" w:sz="4" w:space="0" w:color="auto"/>
              <w:right w:val="single" w:sz="4" w:space="0" w:color="auto"/>
            </w:tcBorders>
            <w:shd w:val="clear" w:color="FCD5B4" w:fill="FFE699"/>
            <w:noWrap/>
            <w:vAlign w:val="bottom"/>
            <w:hideMark/>
          </w:tcPr>
          <w:p w:rsidR="001A785A" w:rsidRDefault="001A785A">
            <w:pPr>
              <w:jc w:val="right"/>
              <w:rPr>
                <w:rFonts w:ascii="Calibri" w:hAnsi="Calibri" w:cs="Calibri"/>
                <w:b/>
                <w:bCs/>
                <w:color w:val="000000"/>
                <w:sz w:val="17"/>
                <w:szCs w:val="17"/>
              </w:rPr>
            </w:pPr>
            <w:r>
              <w:rPr>
                <w:rFonts w:ascii="Calibri" w:hAnsi="Calibri" w:cs="Calibri"/>
                <w:b/>
                <w:bCs/>
                <w:color w:val="000000"/>
                <w:sz w:val="17"/>
                <w:szCs w:val="17"/>
              </w:rPr>
              <w:t>128 439</w:t>
            </w:r>
          </w:p>
        </w:tc>
        <w:tc>
          <w:tcPr>
            <w:tcW w:w="700" w:type="dxa"/>
            <w:tcBorders>
              <w:top w:val="nil"/>
              <w:left w:val="nil"/>
              <w:bottom w:val="single" w:sz="4" w:space="0" w:color="auto"/>
              <w:right w:val="single" w:sz="4" w:space="0" w:color="auto"/>
            </w:tcBorders>
            <w:shd w:val="clear" w:color="FCD5B4" w:fill="FFE699"/>
            <w:noWrap/>
            <w:vAlign w:val="bottom"/>
            <w:hideMark/>
          </w:tcPr>
          <w:p w:rsidR="001A785A" w:rsidRDefault="001A785A">
            <w:pPr>
              <w:jc w:val="right"/>
              <w:rPr>
                <w:rFonts w:ascii="Calibri" w:hAnsi="Calibri" w:cs="Calibri"/>
                <w:b/>
                <w:bCs/>
                <w:color w:val="000000"/>
                <w:sz w:val="17"/>
                <w:szCs w:val="17"/>
              </w:rPr>
            </w:pPr>
            <w:r>
              <w:rPr>
                <w:rFonts w:ascii="Calibri" w:hAnsi="Calibri" w:cs="Calibri"/>
                <w:b/>
                <w:bCs/>
                <w:color w:val="000000"/>
                <w:sz w:val="17"/>
                <w:szCs w:val="17"/>
              </w:rPr>
              <w:t>126 823</w:t>
            </w:r>
          </w:p>
        </w:tc>
        <w:tc>
          <w:tcPr>
            <w:tcW w:w="700" w:type="dxa"/>
            <w:tcBorders>
              <w:top w:val="nil"/>
              <w:left w:val="nil"/>
              <w:bottom w:val="single" w:sz="4" w:space="0" w:color="auto"/>
              <w:right w:val="single" w:sz="4" w:space="0" w:color="auto"/>
            </w:tcBorders>
            <w:shd w:val="clear" w:color="FCD5B4" w:fill="FFE699"/>
            <w:noWrap/>
            <w:vAlign w:val="bottom"/>
            <w:hideMark/>
          </w:tcPr>
          <w:p w:rsidR="001A785A" w:rsidRDefault="001A785A">
            <w:pPr>
              <w:jc w:val="right"/>
              <w:rPr>
                <w:rFonts w:ascii="Calibri" w:hAnsi="Calibri" w:cs="Calibri"/>
                <w:b/>
                <w:bCs/>
                <w:color w:val="000000"/>
                <w:sz w:val="17"/>
                <w:szCs w:val="17"/>
              </w:rPr>
            </w:pPr>
            <w:r>
              <w:rPr>
                <w:rFonts w:ascii="Calibri" w:hAnsi="Calibri" w:cs="Calibri"/>
                <w:b/>
                <w:bCs/>
                <w:color w:val="000000"/>
                <w:sz w:val="17"/>
                <w:szCs w:val="17"/>
              </w:rPr>
              <w:t>120 828</w:t>
            </w:r>
          </w:p>
        </w:tc>
        <w:tc>
          <w:tcPr>
            <w:tcW w:w="800" w:type="dxa"/>
            <w:tcBorders>
              <w:top w:val="nil"/>
              <w:left w:val="nil"/>
              <w:bottom w:val="single" w:sz="4" w:space="0" w:color="auto"/>
              <w:right w:val="single" w:sz="4" w:space="0" w:color="auto"/>
            </w:tcBorders>
            <w:shd w:val="clear" w:color="FCD5B4" w:fill="FFE699"/>
            <w:noWrap/>
            <w:vAlign w:val="bottom"/>
            <w:hideMark/>
          </w:tcPr>
          <w:p w:rsidR="001A785A" w:rsidRDefault="001A785A">
            <w:pPr>
              <w:jc w:val="right"/>
              <w:rPr>
                <w:rFonts w:ascii="Calibri" w:hAnsi="Calibri" w:cs="Calibri"/>
                <w:b/>
                <w:bCs/>
                <w:color w:val="000000"/>
                <w:sz w:val="17"/>
                <w:szCs w:val="17"/>
              </w:rPr>
            </w:pPr>
            <w:r>
              <w:rPr>
                <w:rFonts w:ascii="Calibri" w:hAnsi="Calibri" w:cs="Calibri"/>
                <w:b/>
                <w:bCs/>
                <w:color w:val="000000"/>
                <w:sz w:val="17"/>
                <w:szCs w:val="17"/>
              </w:rPr>
              <w:t>137 032</w:t>
            </w:r>
          </w:p>
        </w:tc>
        <w:tc>
          <w:tcPr>
            <w:tcW w:w="700" w:type="dxa"/>
            <w:tcBorders>
              <w:top w:val="nil"/>
              <w:left w:val="nil"/>
              <w:bottom w:val="single" w:sz="4" w:space="0" w:color="auto"/>
              <w:right w:val="single" w:sz="4" w:space="0" w:color="auto"/>
            </w:tcBorders>
            <w:shd w:val="clear" w:color="FCD5B4" w:fill="FFE699"/>
            <w:noWrap/>
            <w:vAlign w:val="bottom"/>
            <w:hideMark/>
          </w:tcPr>
          <w:p w:rsidR="001A785A" w:rsidRDefault="001A785A">
            <w:pPr>
              <w:jc w:val="right"/>
              <w:rPr>
                <w:rFonts w:ascii="Calibri" w:hAnsi="Calibri" w:cs="Calibri"/>
                <w:b/>
                <w:bCs/>
                <w:color w:val="000000"/>
                <w:sz w:val="17"/>
                <w:szCs w:val="17"/>
              </w:rPr>
            </w:pPr>
            <w:r>
              <w:rPr>
                <w:rFonts w:ascii="Calibri" w:hAnsi="Calibri" w:cs="Calibri"/>
                <w:b/>
                <w:bCs/>
                <w:color w:val="000000"/>
                <w:sz w:val="17"/>
                <w:szCs w:val="17"/>
              </w:rPr>
              <w:t>131 745</w:t>
            </w:r>
          </w:p>
        </w:tc>
        <w:tc>
          <w:tcPr>
            <w:tcW w:w="700" w:type="dxa"/>
            <w:tcBorders>
              <w:top w:val="nil"/>
              <w:left w:val="nil"/>
              <w:bottom w:val="single" w:sz="4" w:space="0" w:color="auto"/>
              <w:right w:val="single" w:sz="4" w:space="0" w:color="auto"/>
            </w:tcBorders>
            <w:shd w:val="clear" w:color="FCD5B4" w:fill="FFE699"/>
            <w:noWrap/>
            <w:vAlign w:val="bottom"/>
            <w:hideMark/>
          </w:tcPr>
          <w:p w:rsidR="001A785A" w:rsidRDefault="001A785A">
            <w:pPr>
              <w:jc w:val="right"/>
              <w:rPr>
                <w:rFonts w:ascii="Calibri" w:hAnsi="Calibri" w:cs="Calibri"/>
                <w:b/>
                <w:bCs/>
                <w:color w:val="000000"/>
                <w:sz w:val="17"/>
                <w:szCs w:val="17"/>
              </w:rPr>
            </w:pPr>
            <w:r>
              <w:rPr>
                <w:rFonts w:ascii="Calibri" w:hAnsi="Calibri" w:cs="Calibri"/>
                <w:b/>
                <w:bCs/>
                <w:color w:val="000000"/>
                <w:sz w:val="17"/>
                <w:szCs w:val="17"/>
              </w:rPr>
              <w:t>147 829</w:t>
            </w:r>
          </w:p>
        </w:tc>
        <w:tc>
          <w:tcPr>
            <w:tcW w:w="760" w:type="dxa"/>
            <w:tcBorders>
              <w:top w:val="nil"/>
              <w:left w:val="nil"/>
              <w:bottom w:val="single" w:sz="4" w:space="0" w:color="auto"/>
              <w:right w:val="single" w:sz="4" w:space="0" w:color="auto"/>
            </w:tcBorders>
            <w:shd w:val="clear" w:color="FCD5B4" w:fill="FFE699"/>
            <w:noWrap/>
            <w:vAlign w:val="bottom"/>
            <w:hideMark/>
          </w:tcPr>
          <w:p w:rsidR="001A785A" w:rsidRDefault="001A785A">
            <w:pPr>
              <w:jc w:val="right"/>
              <w:rPr>
                <w:rFonts w:ascii="Calibri" w:hAnsi="Calibri" w:cs="Calibri"/>
                <w:b/>
                <w:bCs/>
                <w:color w:val="000000"/>
                <w:sz w:val="17"/>
                <w:szCs w:val="17"/>
              </w:rPr>
            </w:pPr>
            <w:r>
              <w:rPr>
                <w:rFonts w:ascii="Calibri" w:hAnsi="Calibri" w:cs="Calibri"/>
                <w:b/>
                <w:bCs/>
                <w:color w:val="000000"/>
                <w:sz w:val="17"/>
                <w:szCs w:val="17"/>
              </w:rPr>
              <w:t>150 380</w:t>
            </w:r>
          </w:p>
        </w:tc>
        <w:tc>
          <w:tcPr>
            <w:tcW w:w="760" w:type="dxa"/>
            <w:tcBorders>
              <w:top w:val="nil"/>
              <w:left w:val="nil"/>
              <w:bottom w:val="single" w:sz="4" w:space="0" w:color="auto"/>
              <w:right w:val="single" w:sz="4" w:space="0" w:color="auto"/>
            </w:tcBorders>
            <w:shd w:val="clear" w:color="FCD5B4" w:fill="FFE699"/>
            <w:noWrap/>
            <w:vAlign w:val="bottom"/>
            <w:hideMark/>
          </w:tcPr>
          <w:p w:rsidR="001A785A" w:rsidRDefault="001A785A">
            <w:pPr>
              <w:jc w:val="right"/>
              <w:rPr>
                <w:rFonts w:ascii="Calibri" w:hAnsi="Calibri" w:cs="Calibri"/>
                <w:b/>
                <w:bCs/>
                <w:color w:val="000000"/>
                <w:sz w:val="17"/>
                <w:szCs w:val="17"/>
              </w:rPr>
            </w:pPr>
            <w:r>
              <w:rPr>
                <w:rFonts w:ascii="Calibri" w:hAnsi="Calibri" w:cs="Calibri"/>
                <w:b/>
                <w:bCs/>
                <w:color w:val="000000"/>
                <w:sz w:val="17"/>
                <w:szCs w:val="17"/>
              </w:rPr>
              <w:t>169 766</w:t>
            </w:r>
          </w:p>
        </w:tc>
      </w:tr>
      <w:tr w:rsidR="001A785A" w:rsidTr="001A785A">
        <w:trPr>
          <w:trHeight w:val="300"/>
        </w:trPr>
        <w:tc>
          <w:tcPr>
            <w:tcW w:w="3640" w:type="dxa"/>
            <w:tcBorders>
              <w:top w:val="nil"/>
              <w:left w:val="single" w:sz="4" w:space="0" w:color="auto"/>
              <w:bottom w:val="single" w:sz="4" w:space="0" w:color="auto"/>
              <w:right w:val="single" w:sz="4" w:space="0" w:color="auto"/>
            </w:tcBorders>
            <w:shd w:val="clear" w:color="FDE9D9" w:fill="FFF2CC"/>
            <w:noWrap/>
            <w:vAlign w:val="bottom"/>
            <w:hideMark/>
          </w:tcPr>
          <w:p w:rsidR="001A785A" w:rsidRDefault="001A785A">
            <w:pPr>
              <w:rPr>
                <w:rFonts w:ascii="Calibri" w:hAnsi="Calibri" w:cs="Calibri"/>
                <w:color w:val="000000"/>
                <w:sz w:val="17"/>
                <w:szCs w:val="17"/>
              </w:rPr>
            </w:pPr>
            <w:r>
              <w:rPr>
                <w:rFonts w:ascii="Calibri" w:hAnsi="Calibri" w:cs="Calibri"/>
                <w:color w:val="000000"/>
                <w:sz w:val="17"/>
                <w:szCs w:val="17"/>
              </w:rPr>
              <w:t>Meziroční změna absolutně</w:t>
            </w:r>
          </w:p>
        </w:tc>
        <w:tc>
          <w:tcPr>
            <w:tcW w:w="700" w:type="dxa"/>
            <w:tcBorders>
              <w:top w:val="nil"/>
              <w:left w:val="nil"/>
              <w:bottom w:val="single" w:sz="4" w:space="0" w:color="auto"/>
              <w:right w:val="single" w:sz="4" w:space="0" w:color="auto"/>
            </w:tcBorders>
            <w:shd w:val="clear" w:color="FDE9D9" w:fill="FFF2CC"/>
            <w:noWrap/>
            <w:vAlign w:val="bottom"/>
            <w:hideMark/>
          </w:tcPr>
          <w:p w:rsidR="001A785A" w:rsidRDefault="001A785A">
            <w:pPr>
              <w:jc w:val="right"/>
              <w:rPr>
                <w:rFonts w:ascii="Calibri" w:hAnsi="Calibri" w:cs="Calibri"/>
                <w:color w:val="000000"/>
                <w:sz w:val="17"/>
                <w:szCs w:val="17"/>
              </w:rPr>
            </w:pPr>
            <w:r>
              <w:rPr>
                <w:rFonts w:ascii="Calibri" w:hAnsi="Calibri" w:cs="Calibri"/>
                <w:color w:val="000000"/>
                <w:sz w:val="17"/>
                <w:szCs w:val="17"/>
              </w:rPr>
              <w:t>12 057</w:t>
            </w:r>
          </w:p>
        </w:tc>
        <w:tc>
          <w:tcPr>
            <w:tcW w:w="700" w:type="dxa"/>
            <w:tcBorders>
              <w:top w:val="nil"/>
              <w:left w:val="nil"/>
              <w:bottom w:val="single" w:sz="4" w:space="0" w:color="auto"/>
              <w:right w:val="single" w:sz="4" w:space="0" w:color="auto"/>
            </w:tcBorders>
            <w:shd w:val="clear" w:color="FDE9D9" w:fill="FFF2CC"/>
            <w:noWrap/>
            <w:vAlign w:val="bottom"/>
            <w:hideMark/>
          </w:tcPr>
          <w:p w:rsidR="001A785A" w:rsidRDefault="001A785A">
            <w:pPr>
              <w:jc w:val="right"/>
              <w:rPr>
                <w:rFonts w:ascii="Calibri" w:hAnsi="Calibri" w:cs="Calibri"/>
                <w:color w:val="000000"/>
                <w:sz w:val="17"/>
                <w:szCs w:val="17"/>
              </w:rPr>
            </w:pPr>
            <w:r>
              <w:rPr>
                <w:rFonts w:ascii="Calibri" w:hAnsi="Calibri" w:cs="Calibri"/>
                <w:color w:val="000000"/>
                <w:sz w:val="17"/>
                <w:szCs w:val="17"/>
              </w:rPr>
              <w:t>-1 616</w:t>
            </w:r>
          </w:p>
        </w:tc>
        <w:tc>
          <w:tcPr>
            <w:tcW w:w="700" w:type="dxa"/>
            <w:tcBorders>
              <w:top w:val="nil"/>
              <w:left w:val="nil"/>
              <w:bottom w:val="single" w:sz="4" w:space="0" w:color="auto"/>
              <w:right w:val="single" w:sz="4" w:space="0" w:color="auto"/>
            </w:tcBorders>
            <w:shd w:val="clear" w:color="FDE9D9" w:fill="FFF2CC"/>
            <w:noWrap/>
            <w:vAlign w:val="bottom"/>
            <w:hideMark/>
          </w:tcPr>
          <w:p w:rsidR="001A785A" w:rsidRDefault="001A785A">
            <w:pPr>
              <w:jc w:val="right"/>
              <w:rPr>
                <w:rFonts w:ascii="Calibri" w:hAnsi="Calibri" w:cs="Calibri"/>
                <w:color w:val="000000"/>
                <w:sz w:val="17"/>
                <w:szCs w:val="17"/>
              </w:rPr>
            </w:pPr>
            <w:r>
              <w:rPr>
                <w:rFonts w:ascii="Calibri" w:hAnsi="Calibri" w:cs="Calibri"/>
                <w:color w:val="000000"/>
                <w:sz w:val="17"/>
                <w:szCs w:val="17"/>
              </w:rPr>
              <w:t>-5 995</w:t>
            </w:r>
          </w:p>
        </w:tc>
        <w:tc>
          <w:tcPr>
            <w:tcW w:w="800" w:type="dxa"/>
            <w:tcBorders>
              <w:top w:val="nil"/>
              <w:left w:val="nil"/>
              <w:bottom w:val="single" w:sz="4" w:space="0" w:color="auto"/>
              <w:right w:val="single" w:sz="4" w:space="0" w:color="auto"/>
            </w:tcBorders>
            <w:shd w:val="clear" w:color="FDE9D9" w:fill="FFF2CC"/>
            <w:noWrap/>
            <w:vAlign w:val="bottom"/>
            <w:hideMark/>
          </w:tcPr>
          <w:p w:rsidR="001A785A" w:rsidRDefault="001A785A">
            <w:pPr>
              <w:jc w:val="right"/>
              <w:rPr>
                <w:rFonts w:ascii="Calibri" w:hAnsi="Calibri" w:cs="Calibri"/>
                <w:color w:val="000000"/>
                <w:sz w:val="17"/>
                <w:szCs w:val="17"/>
              </w:rPr>
            </w:pPr>
            <w:r>
              <w:rPr>
                <w:rFonts w:ascii="Calibri" w:hAnsi="Calibri" w:cs="Calibri"/>
                <w:color w:val="000000"/>
                <w:sz w:val="17"/>
                <w:szCs w:val="17"/>
              </w:rPr>
              <w:t>16 204</w:t>
            </w:r>
          </w:p>
        </w:tc>
        <w:tc>
          <w:tcPr>
            <w:tcW w:w="700" w:type="dxa"/>
            <w:tcBorders>
              <w:top w:val="nil"/>
              <w:left w:val="nil"/>
              <w:bottom w:val="single" w:sz="4" w:space="0" w:color="auto"/>
              <w:right w:val="single" w:sz="4" w:space="0" w:color="auto"/>
            </w:tcBorders>
            <w:shd w:val="clear" w:color="FDE9D9" w:fill="FFF2CC"/>
            <w:noWrap/>
            <w:vAlign w:val="bottom"/>
            <w:hideMark/>
          </w:tcPr>
          <w:p w:rsidR="001A785A" w:rsidRDefault="001A785A">
            <w:pPr>
              <w:jc w:val="right"/>
              <w:rPr>
                <w:rFonts w:ascii="Calibri" w:hAnsi="Calibri" w:cs="Calibri"/>
                <w:color w:val="000000"/>
                <w:sz w:val="17"/>
                <w:szCs w:val="17"/>
              </w:rPr>
            </w:pPr>
            <w:r>
              <w:rPr>
                <w:rFonts w:ascii="Calibri" w:hAnsi="Calibri" w:cs="Calibri"/>
                <w:color w:val="000000"/>
                <w:sz w:val="17"/>
                <w:szCs w:val="17"/>
              </w:rPr>
              <w:t>-5 287</w:t>
            </w:r>
          </w:p>
        </w:tc>
        <w:tc>
          <w:tcPr>
            <w:tcW w:w="700" w:type="dxa"/>
            <w:tcBorders>
              <w:top w:val="nil"/>
              <w:left w:val="nil"/>
              <w:bottom w:val="single" w:sz="4" w:space="0" w:color="auto"/>
              <w:right w:val="single" w:sz="4" w:space="0" w:color="auto"/>
            </w:tcBorders>
            <w:shd w:val="clear" w:color="FDE9D9" w:fill="FFF2CC"/>
            <w:noWrap/>
            <w:vAlign w:val="bottom"/>
            <w:hideMark/>
          </w:tcPr>
          <w:p w:rsidR="001A785A" w:rsidRDefault="001A785A">
            <w:pPr>
              <w:jc w:val="right"/>
              <w:rPr>
                <w:rFonts w:ascii="Calibri" w:hAnsi="Calibri" w:cs="Calibri"/>
                <w:color w:val="000000"/>
                <w:sz w:val="17"/>
                <w:szCs w:val="17"/>
              </w:rPr>
            </w:pPr>
            <w:r>
              <w:rPr>
                <w:rFonts w:ascii="Calibri" w:hAnsi="Calibri" w:cs="Calibri"/>
                <w:color w:val="000000"/>
                <w:sz w:val="17"/>
                <w:szCs w:val="17"/>
              </w:rPr>
              <w:t>16 084</w:t>
            </w:r>
          </w:p>
        </w:tc>
        <w:tc>
          <w:tcPr>
            <w:tcW w:w="760" w:type="dxa"/>
            <w:tcBorders>
              <w:top w:val="nil"/>
              <w:left w:val="nil"/>
              <w:bottom w:val="single" w:sz="4" w:space="0" w:color="auto"/>
              <w:right w:val="single" w:sz="4" w:space="0" w:color="auto"/>
            </w:tcBorders>
            <w:shd w:val="clear" w:color="FDE9D9" w:fill="FFF2CC"/>
            <w:noWrap/>
            <w:vAlign w:val="bottom"/>
            <w:hideMark/>
          </w:tcPr>
          <w:p w:rsidR="001A785A" w:rsidRDefault="001A785A">
            <w:pPr>
              <w:jc w:val="right"/>
              <w:rPr>
                <w:rFonts w:ascii="Calibri" w:hAnsi="Calibri" w:cs="Calibri"/>
                <w:color w:val="000000"/>
                <w:sz w:val="17"/>
                <w:szCs w:val="17"/>
              </w:rPr>
            </w:pPr>
            <w:r>
              <w:rPr>
                <w:rFonts w:ascii="Calibri" w:hAnsi="Calibri" w:cs="Calibri"/>
                <w:color w:val="000000"/>
                <w:sz w:val="17"/>
                <w:szCs w:val="17"/>
              </w:rPr>
              <w:t>2 551</w:t>
            </w:r>
          </w:p>
        </w:tc>
        <w:tc>
          <w:tcPr>
            <w:tcW w:w="760" w:type="dxa"/>
            <w:tcBorders>
              <w:top w:val="nil"/>
              <w:left w:val="nil"/>
              <w:bottom w:val="single" w:sz="4" w:space="0" w:color="auto"/>
              <w:right w:val="single" w:sz="4" w:space="0" w:color="auto"/>
            </w:tcBorders>
            <w:shd w:val="clear" w:color="FDE9D9" w:fill="FFF2CC"/>
            <w:noWrap/>
            <w:vAlign w:val="bottom"/>
            <w:hideMark/>
          </w:tcPr>
          <w:p w:rsidR="001A785A" w:rsidRDefault="001A785A">
            <w:pPr>
              <w:jc w:val="right"/>
              <w:rPr>
                <w:rFonts w:ascii="Calibri" w:hAnsi="Calibri" w:cs="Calibri"/>
                <w:color w:val="000000"/>
                <w:sz w:val="17"/>
                <w:szCs w:val="17"/>
              </w:rPr>
            </w:pPr>
            <w:r>
              <w:rPr>
                <w:rFonts w:ascii="Calibri" w:hAnsi="Calibri" w:cs="Calibri"/>
                <w:color w:val="000000"/>
                <w:sz w:val="17"/>
                <w:szCs w:val="17"/>
              </w:rPr>
              <w:t>19 386</w:t>
            </w:r>
          </w:p>
        </w:tc>
      </w:tr>
      <w:tr w:rsidR="001A785A" w:rsidTr="001A785A">
        <w:trPr>
          <w:trHeight w:val="300"/>
        </w:trPr>
        <w:tc>
          <w:tcPr>
            <w:tcW w:w="3640" w:type="dxa"/>
            <w:tcBorders>
              <w:top w:val="nil"/>
              <w:left w:val="single" w:sz="4" w:space="0" w:color="auto"/>
              <w:bottom w:val="single" w:sz="4" w:space="0" w:color="auto"/>
              <w:right w:val="single" w:sz="4" w:space="0" w:color="auto"/>
            </w:tcBorders>
            <w:shd w:val="clear" w:color="FDE9D9" w:fill="FFF2CC"/>
            <w:noWrap/>
            <w:vAlign w:val="bottom"/>
            <w:hideMark/>
          </w:tcPr>
          <w:p w:rsidR="001A785A" w:rsidRDefault="001A785A">
            <w:pPr>
              <w:rPr>
                <w:rFonts w:ascii="Calibri" w:hAnsi="Calibri" w:cs="Calibri"/>
                <w:color w:val="000000"/>
                <w:sz w:val="17"/>
                <w:szCs w:val="17"/>
              </w:rPr>
            </w:pPr>
            <w:r>
              <w:rPr>
                <w:rFonts w:ascii="Calibri" w:hAnsi="Calibri" w:cs="Calibri"/>
                <w:color w:val="000000"/>
                <w:sz w:val="17"/>
                <w:szCs w:val="17"/>
              </w:rPr>
              <w:t>Meziroční změna procentuálně</w:t>
            </w:r>
          </w:p>
        </w:tc>
        <w:tc>
          <w:tcPr>
            <w:tcW w:w="700" w:type="dxa"/>
            <w:tcBorders>
              <w:top w:val="nil"/>
              <w:left w:val="nil"/>
              <w:bottom w:val="single" w:sz="4" w:space="0" w:color="auto"/>
              <w:right w:val="single" w:sz="4" w:space="0" w:color="auto"/>
            </w:tcBorders>
            <w:shd w:val="clear" w:color="FDE9D9" w:fill="FFF2CC"/>
            <w:noWrap/>
            <w:vAlign w:val="bottom"/>
            <w:hideMark/>
          </w:tcPr>
          <w:p w:rsidR="001A785A" w:rsidRDefault="001A785A">
            <w:pPr>
              <w:jc w:val="right"/>
              <w:rPr>
                <w:rFonts w:ascii="Calibri" w:hAnsi="Calibri" w:cs="Calibri"/>
                <w:color w:val="000000"/>
                <w:sz w:val="17"/>
                <w:szCs w:val="17"/>
              </w:rPr>
            </w:pPr>
            <w:r>
              <w:rPr>
                <w:rFonts w:ascii="Calibri" w:hAnsi="Calibri" w:cs="Calibri"/>
                <w:color w:val="000000"/>
                <w:sz w:val="17"/>
                <w:szCs w:val="17"/>
              </w:rPr>
              <w:t>10 %</w:t>
            </w:r>
          </w:p>
        </w:tc>
        <w:tc>
          <w:tcPr>
            <w:tcW w:w="700" w:type="dxa"/>
            <w:tcBorders>
              <w:top w:val="nil"/>
              <w:left w:val="nil"/>
              <w:bottom w:val="single" w:sz="4" w:space="0" w:color="auto"/>
              <w:right w:val="single" w:sz="4" w:space="0" w:color="auto"/>
            </w:tcBorders>
            <w:shd w:val="clear" w:color="FDE9D9" w:fill="FFF2CC"/>
            <w:noWrap/>
            <w:vAlign w:val="bottom"/>
            <w:hideMark/>
          </w:tcPr>
          <w:p w:rsidR="001A785A" w:rsidRDefault="001A785A">
            <w:pPr>
              <w:jc w:val="right"/>
              <w:rPr>
                <w:rFonts w:ascii="Calibri" w:hAnsi="Calibri" w:cs="Calibri"/>
                <w:color w:val="000000"/>
                <w:sz w:val="17"/>
                <w:szCs w:val="17"/>
              </w:rPr>
            </w:pPr>
            <w:r>
              <w:rPr>
                <w:rFonts w:ascii="Calibri" w:hAnsi="Calibri" w:cs="Calibri"/>
                <w:color w:val="000000"/>
                <w:sz w:val="17"/>
                <w:szCs w:val="17"/>
              </w:rPr>
              <w:t>-1 %</w:t>
            </w:r>
          </w:p>
        </w:tc>
        <w:tc>
          <w:tcPr>
            <w:tcW w:w="700" w:type="dxa"/>
            <w:tcBorders>
              <w:top w:val="nil"/>
              <w:left w:val="nil"/>
              <w:bottom w:val="single" w:sz="4" w:space="0" w:color="auto"/>
              <w:right w:val="single" w:sz="4" w:space="0" w:color="auto"/>
            </w:tcBorders>
            <w:shd w:val="clear" w:color="FDE9D9" w:fill="FFF2CC"/>
            <w:noWrap/>
            <w:vAlign w:val="bottom"/>
            <w:hideMark/>
          </w:tcPr>
          <w:p w:rsidR="001A785A" w:rsidRDefault="001A785A">
            <w:pPr>
              <w:jc w:val="right"/>
              <w:rPr>
                <w:rFonts w:ascii="Calibri" w:hAnsi="Calibri" w:cs="Calibri"/>
                <w:color w:val="000000"/>
                <w:sz w:val="17"/>
                <w:szCs w:val="17"/>
              </w:rPr>
            </w:pPr>
            <w:r>
              <w:rPr>
                <w:rFonts w:ascii="Calibri" w:hAnsi="Calibri" w:cs="Calibri"/>
                <w:color w:val="000000"/>
                <w:sz w:val="17"/>
                <w:szCs w:val="17"/>
              </w:rPr>
              <w:t>-5 %</w:t>
            </w:r>
          </w:p>
        </w:tc>
        <w:tc>
          <w:tcPr>
            <w:tcW w:w="800" w:type="dxa"/>
            <w:tcBorders>
              <w:top w:val="nil"/>
              <w:left w:val="nil"/>
              <w:bottom w:val="single" w:sz="4" w:space="0" w:color="auto"/>
              <w:right w:val="single" w:sz="4" w:space="0" w:color="auto"/>
            </w:tcBorders>
            <w:shd w:val="clear" w:color="FDE9D9" w:fill="FFF2CC"/>
            <w:noWrap/>
            <w:vAlign w:val="bottom"/>
            <w:hideMark/>
          </w:tcPr>
          <w:p w:rsidR="001A785A" w:rsidRDefault="001A785A">
            <w:pPr>
              <w:jc w:val="right"/>
              <w:rPr>
                <w:rFonts w:ascii="Calibri" w:hAnsi="Calibri" w:cs="Calibri"/>
                <w:color w:val="000000"/>
                <w:sz w:val="17"/>
                <w:szCs w:val="17"/>
              </w:rPr>
            </w:pPr>
            <w:r>
              <w:rPr>
                <w:rFonts w:ascii="Calibri" w:hAnsi="Calibri" w:cs="Calibri"/>
                <w:color w:val="000000"/>
                <w:sz w:val="17"/>
                <w:szCs w:val="17"/>
              </w:rPr>
              <w:t>13 %</w:t>
            </w:r>
          </w:p>
        </w:tc>
        <w:tc>
          <w:tcPr>
            <w:tcW w:w="700" w:type="dxa"/>
            <w:tcBorders>
              <w:top w:val="nil"/>
              <w:left w:val="nil"/>
              <w:bottom w:val="single" w:sz="4" w:space="0" w:color="auto"/>
              <w:right w:val="single" w:sz="4" w:space="0" w:color="auto"/>
            </w:tcBorders>
            <w:shd w:val="clear" w:color="FDE9D9" w:fill="FFF2CC"/>
            <w:noWrap/>
            <w:vAlign w:val="bottom"/>
            <w:hideMark/>
          </w:tcPr>
          <w:p w:rsidR="001A785A" w:rsidRDefault="001A785A">
            <w:pPr>
              <w:jc w:val="right"/>
              <w:rPr>
                <w:rFonts w:ascii="Calibri" w:hAnsi="Calibri" w:cs="Calibri"/>
                <w:color w:val="000000"/>
                <w:sz w:val="17"/>
                <w:szCs w:val="17"/>
              </w:rPr>
            </w:pPr>
            <w:r>
              <w:rPr>
                <w:rFonts w:ascii="Calibri" w:hAnsi="Calibri" w:cs="Calibri"/>
                <w:color w:val="000000"/>
                <w:sz w:val="17"/>
                <w:szCs w:val="17"/>
              </w:rPr>
              <w:t>-4 %</w:t>
            </w:r>
          </w:p>
        </w:tc>
        <w:tc>
          <w:tcPr>
            <w:tcW w:w="700" w:type="dxa"/>
            <w:tcBorders>
              <w:top w:val="nil"/>
              <w:left w:val="nil"/>
              <w:bottom w:val="single" w:sz="4" w:space="0" w:color="auto"/>
              <w:right w:val="single" w:sz="4" w:space="0" w:color="auto"/>
            </w:tcBorders>
            <w:shd w:val="clear" w:color="FDE9D9" w:fill="FFF2CC"/>
            <w:noWrap/>
            <w:vAlign w:val="bottom"/>
            <w:hideMark/>
          </w:tcPr>
          <w:p w:rsidR="001A785A" w:rsidRDefault="001A785A">
            <w:pPr>
              <w:jc w:val="right"/>
              <w:rPr>
                <w:rFonts w:ascii="Calibri" w:hAnsi="Calibri" w:cs="Calibri"/>
                <w:color w:val="000000"/>
                <w:sz w:val="17"/>
                <w:szCs w:val="17"/>
              </w:rPr>
            </w:pPr>
            <w:r>
              <w:rPr>
                <w:rFonts w:ascii="Calibri" w:hAnsi="Calibri" w:cs="Calibri"/>
                <w:color w:val="000000"/>
                <w:sz w:val="17"/>
                <w:szCs w:val="17"/>
              </w:rPr>
              <w:t>12 %</w:t>
            </w:r>
          </w:p>
        </w:tc>
        <w:tc>
          <w:tcPr>
            <w:tcW w:w="760" w:type="dxa"/>
            <w:tcBorders>
              <w:top w:val="nil"/>
              <w:left w:val="nil"/>
              <w:bottom w:val="single" w:sz="4" w:space="0" w:color="auto"/>
              <w:right w:val="single" w:sz="4" w:space="0" w:color="auto"/>
            </w:tcBorders>
            <w:shd w:val="clear" w:color="FDE9D9" w:fill="FFF2CC"/>
            <w:noWrap/>
            <w:vAlign w:val="bottom"/>
            <w:hideMark/>
          </w:tcPr>
          <w:p w:rsidR="001A785A" w:rsidRDefault="001A785A">
            <w:pPr>
              <w:jc w:val="right"/>
              <w:rPr>
                <w:rFonts w:ascii="Calibri" w:hAnsi="Calibri" w:cs="Calibri"/>
                <w:color w:val="000000"/>
                <w:sz w:val="17"/>
                <w:szCs w:val="17"/>
              </w:rPr>
            </w:pPr>
            <w:r>
              <w:rPr>
                <w:rFonts w:ascii="Calibri" w:hAnsi="Calibri" w:cs="Calibri"/>
                <w:color w:val="000000"/>
                <w:sz w:val="17"/>
                <w:szCs w:val="17"/>
              </w:rPr>
              <w:t>2 %</w:t>
            </w:r>
          </w:p>
        </w:tc>
        <w:tc>
          <w:tcPr>
            <w:tcW w:w="760" w:type="dxa"/>
            <w:tcBorders>
              <w:top w:val="nil"/>
              <w:left w:val="nil"/>
              <w:bottom w:val="single" w:sz="4" w:space="0" w:color="auto"/>
              <w:right w:val="single" w:sz="4" w:space="0" w:color="auto"/>
            </w:tcBorders>
            <w:shd w:val="clear" w:color="FDE9D9" w:fill="FFF2CC"/>
            <w:noWrap/>
            <w:vAlign w:val="bottom"/>
            <w:hideMark/>
          </w:tcPr>
          <w:p w:rsidR="001A785A" w:rsidRDefault="001A785A">
            <w:pPr>
              <w:jc w:val="right"/>
              <w:rPr>
                <w:rFonts w:ascii="Calibri" w:hAnsi="Calibri" w:cs="Calibri"/>
                <w:color w:val="000000"/>
                <w:sz w:val="17"/>
                <w:szCs w:val="17"/>
              </w:rPr>
            </w:pPr>
            <w:r>
              <w:rPr>
                <w:rFonts w:ascii="Calibri" w:hAnsi="Calibri" w:cs="Calibri"/>
                <w:color w:val="000000"/>
                <w:sz w:val="17"/>
                <w:szCs w:val="17"/>
              </w:rPr>
              <w:t>13 %</w:t>
            </w:r>
          </w:p>
        </w:tc>
      </w:tr>
      <w:tr w:rsidR="001A785A" w:rsidTr="001A785A">
        <w:trPr>
          <w:trHeight w:val="300"/>
        </w:trPr>
        <w:tc>
          <w:tcPr>
            <w:tcW w:w="3640" w:type="dxa"/>
            <w:tcBorders>
              <w:top w:val="nil"/>
              <w:left w:val="single" w:sz="4" w:space="0" w:color="auto"/>
              <w:bottom w:val="single" w:sz="4" w:space="0" w:color="auto"/>
              <w:right w:val="single" w:sz="4" w:space="0" w:color="auto"/>
            </w:tcBorders>
            <w:shd w:val="clear" w:color="FDE9D9" w:fill="FFF2CC"/>
            <w:noWrap/>
            <w:vAlign w:val="bottom"/>
            <w:hideMark/>
          </w:tcPr>
          <w:p w:rsidR="001A785A" w:rsidRDefault="001A785A">
            <w:pPr>
              <w:rPr>
                <w:rFonts w:ascii="Calibri" w:hAnsi="Calibri" w:cs="Calibri"/>
                <w:color w:val="000000"/>
                <w:sz w:val="17"/>
                <w:szCs w:val="17"/>
              </w:rPr>
            </w:pPr>
            <w:r>
              <w:rPr>
                <w:rFonts w:ascii="Calibri" w:hAnsi="Calibri" w:cs="Calibri"/>
                <w:color w:val="000000"/>
                <w:sz w:val="17"/>
                <w:szCs w:val="17"/>
              </w:rPr>
              <w:t>Podíl nedaňových příjmů na celkových příjmech</w:t>
            </w:r>
          </w:p>
        </w:tc>
        <w:tc>
          <w:tcPr>
            <w:tcW w:w="700" w:type="dxa"/>
            <w:tcBorders>
              <w:top w:val="nil"/>
              <w:left w:val="nil"/>
              <w:bottom w:val="single" w:sz="4" w:space="0" w:color="auto"/>
              <w:right w:val="single" w:sz="4" w:space="0" w:color="auto"/>
            </w:tcBorders>
            <w:shd w:val="clear" w:color="FDE9D9" w:fill="FFF2CC"/>
            <w:noWrap/>
            <w:vAlign w:val="bottom"/>
            <w:hideMark/>
          </w:tcPr>
          <w:p w:rsidR="001A785A" w:rsidRDefault="001A785A">
            <w:pPr>
              <w:jc w:val="right"/>
              <w:rPr>
                <w:rFonts w:ascii="Calibri" w:hAnsi="Calibri" w:cs="Calibri"/>
                <w:color w:val="000000"/>
                <w:sz w:val="17"/>
                <w:szCs w:val="17"/>
              </w:rPr>
            </w:pPr>
            <w:r>
              <w:rPr>
                <w:rFonts w:ascii="Calibri" w:hAnsi="Calibri" w:cs="Calibri"/>
                <w:color w:val="000000"/>
                <w:sz w:val="17"/>
                <w:szCs w:val="17"/>
              </w:rPr>
              <w:t>15 %</w:t>
            </w:r>
          </w:p>
        </w:tc>
        <w:tc>
          <w:tcPr>
            <w:tcW w:w="700" w:type="dxa"/>
            <w:tcBorders>
              <w:top w:val="nil"/>
              <w:left w:val="nil"/>
              <w:bottom w:val="single" w:sz="4" w:space="0" w:color="auto"/>
              <w:right w:val="single" w:sz="4" w:space="0" w:color="auto"/>
            </w:tcBorders>
            <w:shd w:val="clear" w:color="FDE9D9" w:fill="FFF2CC"/>
            <w:noWrap/>
            <w:vAlign w:val="bottom"/>
            <w:hideMark/>
          </w:tcPr>
          <w:p w:rsidR="001A785A" w:rsidRDefault="001A785A">
            <w:pPr>
              <w:jc w:val="right"/>
              <w:rPr>
                <w:rFonts w:ascii="Calibri" w:hAnsi="Calibri" w:cs="Calibri"/>
                <w:color w:val="000000"/>
                <w:sz w:val="17"/>
                <w:szCs w:val="17"/>
              </w:rPr>
            </w:pPr>
            <w:r>
              <w:rPr>
                <w:rFonts w:ascii="Calibri" w:hAnsi="Calibri" w:cs="Calibri"/>
                <w:color w:val="000000"/>
                <w:sz w:val="17"/>
                <w:szCs w:val="17"/>
              </w:rPr>
              <w:t>15 %</w:t>
            </w:r>
          </w:p>
        </w:tc>
        <w:tc>
          <w:tcPr>
            <w:tcW w:w="700" w:type="dxa"/>
            <w:tcBorders>
              <w:top w:val="nil"/>
              <w:left w:val="nil"/>
              <w:bottom w:val="single" w:sz="4" w:space="0" w:color="auto"/>
              <w:right w:val="single" w:sz="4" w:space="0" w:color="auto"/>
            </w:tcBorders>
            <w:shd w:val="clear" w:color="FDE9D9" w:fill="FFF2CC"/>
            <w:noWrap/>
            <w:vAlign w:val="bottom"/>
            <w:hideMark/>
          </w:tcPr>
          <w:p w:rsidR="001A785A" w:rsidRDefault="001A785A">
            <w:pPr>
              <w:jc w:val="right"/>
              <w:rPr>
                <w:rFonts w:ascii="Calibri" w:hAnsi="Calibri" w:cs="Calibri"/>
                <w:color w:val="000000"/>
                <w:sz w:val="17"/>
                <w:szCs w:val="17"/>
              </w:rPr>
            </w:pPr>
            <w:r>
              <w:rPr>
                <w:rFonts w:ascii="Calibri" w:hAnsi="Calibri" w:cs="Calibri"/>
                <w:color w:val="000000"/>
                <w:sz w:val="17"/>
                <w:szCs w:val="17"/>
              </w:rPr>
              <w:t>13 %</w:t>
            </w:r>
          </w:p>
        </w:tc>
        <w:tc>
          <w:tcPr>
            <w:tcW w:w="800" w:type="dxa"/>
            <w:tcBorders>
              <w:top w:val="nil"/>
              <w:left w:val="nil"/>
              <w:bottom w:val="single" w:sz="4" w:space="0" w:color="auto"/>
              <w:right w:val="single" w:sz="4" w:space="0" w:color="auto"/>
            </w:tcBorders>
            <w:shd w:val="clear" w:color="FDE9D9" w:fill="FFF2CC"/>
            <w:noWrap/>
            <w:vAlign w:val="bottom"/>
            <w:hideMark/>
          </w:tcPr>
          <w:p w:rsidR="001A785A" w:rsidRDefault="001A785A">
            <w:pPr>
              <w:jc w:val="right"/>
              <w:rPr>
                <w:rFonts w:ascii="Calibri" w:hAnsi="Calibri" w:cs="Calibri"/>
                <w:color w:val="000000"/>
                <w:sz w:val="17"/>
                <w:szCs w:val="17"/>
              </w:rPr>
            </w:pPr>
            <w:r>
              <w:rPr>
                <w:rFonts w:ascii="Calibri" w:hAnsi="Calibri" w:cs="Calibri"/>
                <w:color w:val="000000"/>
                <w:sz w:val="17"/>
                <w:szCs w:val="17"/>
              </w:rPr>
              <w:t>12 %</w:t>
            </w:r>
          </w:p>
        </w:tc>
        <w:tc>
          <w:tcPr>
            <w:tcW w:w="700" w:type="dxa"/>
            <w:tcBorders>
              <w:top w:val="nil"/>
              <w:left w:val="nil"/>
              <w:bottom w:val="single" w:sz="4" w:space="0" w:color="auto"/>
              <w:right w:val="single" w:sz="4" w:space="0" w:color="auto"/>
            </w:tcBorders>
            <w:shd w:val="clear" w:color="FDE9D9" w:fill="FFF2CC"/>
            <w:noWrap/>
            <w:vAlign w:val="bottom"/>
            <w:hideMark/>
          </w:tcPr>
          <w:p w:rsidR="001A785A" w:rsidRDefault="001A785A">
            <w:pPr>
              <w:jc w:val="right"/>
              <w:rPr>
                <w:rFonts w:ascii="Calibri" w:hAnsi="Calibri" w:cs="Calibri"/>
                <w:color w:val="000000"/>
                <w:sz w:val="17"/>
                <w:szCs w:val="17"/>
              </w:rPr>
            </w:pPr>
            <w:r>
              <w:rPr>
                <w:rFonts w:ascii="Calibri" w:hAnsi="Calibri" w:cs="Calibri"/>
                <w:color w:val="000000"/>
                <w:sz w:val="17"/>
                <w:szCs w:val="17"/>
              </w:rPr>
              <w:t>11 %</w:t>
            </w:r>
          </w:p>
        </w:tc>
        <w:tc>
          <w:tcPr>
            <w:tcW w:w="700" w:type="dxa"/>
            <w:tcBorders>
              <w:top w:val="nil"/>
              <w:left w:val="nil"/>
              <w:bottom w:val="single" w:sz="4" w:space="0" w:color="auto"/>
              <w:right w:val="single" w:sz="4" w:space="0" w:color="auto"/>
            </w:tcBorders>
            <w:shd w:val="clear" w:color="FDE9D9" w:fill="FFF2CC"/>
            <w:noWrap/>
            <w:vAlign w:val="bottom"/>
            <w:hideMark/>
          </w:tcPr>
          <w:p w:rsidR="001A785A" w:rsidRDefault="001A785A">
            <w:pPr>
              <w:jc w:val="right"/>
              <w:rPr>
                <w:rFonts w:ascii="Calibri" w:hAnsi="Calibri" w:cs="Calibri"/>
                <w:color w:val="000000"/>
                <w:sz w:val="17"/>
                <w:szCs w:val="17"/>
              </w:rPr>
            </w:pPr>
            <w:r>
              <w:rPr>
                <w:rFonts w:ascii="Calibri" w:hAnsi="Calibri" w:cs="Calibri"/>
                <w:color w:val="000000"/>
                <w:sz w:val="17"/>
                <w:szCs w:val="17"/>
              </w:rPr>
              <w:t>12 %</w:t>
            </w:r>
          </w:p>
        </w:tc>
        <w:tc>
          <w:tcPr>
            <w:tcW w:w="760" w:type="dxa"/>
            <w:tcBorders>
              <w:top w:val="nil"/>
              <w:left w:val="nil"/>
              <w:bottom w:val="single" w:sz="4" w:space="0" w:color="auto"/>
              <w:right w:val="single" w:sz="4" w:space="0" w:color="auto"/>
            </w:tcBorders>
            <w:shd w:val="clear" w:color="FDE9D9" w:fill="FFF2CC"/>
            <w:noWrap/>
            <w:vAlign w:val="bottom"/>
            <w:hideMark/>
          </w:tcPr>
          <w:p w:rsidR="001A785A" w:rsidRDefault="001A785A">
            <w:pPr>
              <w:jc w:val="right"/>
              <w:rPr>
                <w:rFonts w:ascii="Calibri" w:hAnsi="Calibri" w:cs="Calibri"/>
                <w:color w:val="000000"/>
                <w:sz w:val="17"/>
                <w:szCs w:val="17"/>
              </w:rPr>
            </w:pPr>
            <w:r>
              <w:rPr>
                <w:rFonts w:ascii="Calibri" w:hAnsi="Calibri" w:cs="Calibri"/>
                <w:color w:val="000000"/>
                <w:sz w:val="17"/>
                <w:szCs w:val="17"/>
              </w:rPr>
              <w:t>13 %</w:t>
            </w:r>
          </w:p>
        </w:tc>
        <w:tc>
          <w:tcPr>
            <w:tcW w:w="760" w:type="dxa"/>
            <w:tcBorders>
              <w:top w:val="nil"/>
              <w:left w:val="nil"/>
              <w:bottom w:val="single" w:sz="4" w:space="0" w:color="auto"/>
              <w:right w:val="single" w:sz="4" w:space="0" w:color="auto"/>
            </w:tcBorders>
            <w:shd w:val="clear" w:color="FDE9D9" w:fill="FFF2CC"/>
            <w:noWrap/>
            <w:vAlign w:val="bottom"/>
            <w:hideMark/>
          </w:tcPr>
          <w:p w:rsidR="001A785A" w:rsidRDefault="001A785A">
            <w:pPr>
              <w:jc w:val="right"/>
              <w:rPr>
                <w:rFonts w:ascii="Calibri" w:hAnsi="Calibri" w:cs="Calibri"/>
                <w:color w:val="000000"/>
                <w:sz w:val="17"/>
                <w:szCs w:val="17"/>
              </w:rPr>
            </w:pPr>
            <w:r>
              <w:rPr>
                <w:rFonts w:ascii="Calibri" w:hAnsi="Calibri" w:cs="Calibri"/>
                <w:color w:val="000000"/>
                <w:sz w:val="17"/>
                <w:szCs w:val="17"/>
              </w:rPr>
              <w:t>13 %</w:t>
            </w:r>
          </w:p>
        </w:tc>
      </w:tr>
    </w:tbl>
    <w:p w:rsidR="0023624C" w:rsidRDefault="0023624C" w:rsidP="003642CE">
      <w:pPr>
        <w:jc w:val="both"/>
      </w:pPr>
    </w:p>
    <w:p w:rsidR="0023624C" w:rsidRDefault="0023624C" w:rsidP="003642CE">
      <w:pPr>
        <w:jc w:val="both"/>
      </w:pPr>
    </w:p>
    <w:p w:rsidR="00690E50" w:rsidRDefault="00690E50" w:rsidP="00690E50">
      <w:pPr>
        <w:jc w:val="center"/>
      </w:pPr>
    </w:p>
    <w:p w:rsidR="00650D99" w:rsidRDefault="00650D99" w:rsidP="0023624C">
      <w:pPr>
        <w:jc w:val="center"/>
      </w:pPr>
    </w:p>
    <w:p w:rsidR="008D1008" w:rsidRDefault="008D1008" w:rsidP="00650D99">
      <w:pPr>
        <w:jc w:val="center"/>
      </w:pPr>
    </w:p>
    <w:p w:rsidR="002B02DF" w:rsidRDefault="002B02DF" w:rsidP="00650D99">
      <w:pPr>
        <w:jc w:val="center"/>
      </w:pPr>
    </w:p>
    <w:p w:rsidR="00684520" w:rsidRPr="00910F21" w:rsidRDefault="00684520" w:rsidP="00224F3C">
      <w:pPr>
        <w:pStyle w:val="Nadpis2"/>
        <w:keepLines/>
      </w:pPr>
      <w:bookmarkStart w:id="12" w:name="_Toc39129499"/>
      <w:r w:rsidRPr="00910F21">
        <w:lastRenderedPageBreak/>
        <w:t>Příjmy z vlastní činnost</w:t>
      </w:r>
      <w:r w:rsidR="00C55B73" w:rsidRPr="00910F21">
        <w:t>i</w:t>
      </w:r>
      <w:r w:rsidRPr="00910F21">
        <w:t xml:space="preserve"> a odvody přebytků organizací s přímým vztahem</w:t>
      </w:r>
      <w:bookmarkEnd w:id="12"/>
    </w:p>
    <w:p w:rsidR="00A20660" w:rsidRPr="00910F21" w:rsidRDefault="00ED2433" w:rsidP="00224F3C">
      <w:pPr>
        <w:keepNext/>
        <w:keepLines/>
        <w:rPr>
          <w:rFonts w:ascii="Calibri" w:hAnsi="Calibri" w:cs="Calibri"/>
          <w:sz w:val="22"/>
          <w:szCs w:val="22"/>
        </w:rPr>
      </w:pPr>
      <w:r w:rsidRPr="00910F21">
        <w:rPr>
          <w:rFonts w:ascii="Calibri" w:hAnsi="Calibri" w:cs="Calibri"/>
          <w:sz w:val="22"/>
          <w:szCs w:val="22"/>
          <w:u w:val="single"/>
        </w:rPr>
        <w:t>Pronájem majetku</w:t>
      </w:r>
      <w:r w:rsidRPr="00910F21">
        <w:rPr>
          <w:rFonts w:ascii="Calibri" w:hAnsi="Calibri" w:cs="Calibri"/>
          <w:sz w:val="22"/>
          <w:szCs w:val="22"/>
        </w:rPr>
        <w:t xml:space="preserve"> přinesl do rozpočtu města </w:t>
      </w:r>
      <w:r w:rsidR="00BB4C7E">
        <w:rPr>
          <w:rFonts w:ascii="Calibri" w:hAnsi="Calibri" w:cs="Calibri"/>
          <w:sz w:val="22"/>
          <w:szCs w:val="22"/>
        </w:rPr>
        <w:t>72,89</w:t>
      </w:r>
      <w:r w:rsidRPr="00910F21">
        <w:rPr>
          <w:rFonts w:ascii="Calibri" w:hAnsi="Calibri" w:cs="Calibri"/>
          <w:sz w:val="22"/>
          <w:szCs w:val="22"/>
        </w:rPr>
        <w:t xml:space="preserve"> mil. Kč. Jedná se o:</w:t>
      </w:r>
    </w:p>
    <w:p w:rsidR="00ED2433" w:rsidRPr="003B206F" w:rsidRDefault="00421DDA" w:rsidP="003B206F">
      <w:pPr>
        <w:pStyle w:val="Odstavecseseznamem"/>
        <w:keepNext/>
        <w:keepLines/>
        <w:numPr>
          <w:ilvl w:val="0"/>
          <w:numId w:val="10"/>
        </w:numPr>
        <w:ind w:left="714" w:hanging="357"/>
        <w:rPr>
          <w:rFonts w:asciiTheme="minorHAnsi" w:hAnsiTheme="minorHAnsi" w:cstheme="minorHAnsi"/>
          <w:sz w:val="22"/>
          <w:szCs w:val="22"/>
        </w:rPr>
      </w:pPr>
      <w:r w:rsidRPr="00412CCD">
        <w:rPr>
          <w:rFonts w:asciiTheme="minorHAnsi" w:hAnsiTheme="minorHAnsi" w:cstheme="minorHAnsi"/>
          <w:sz w:val="22"/>
          <w:szCs w:val="22"/>
        </w:rPr>
        <w:t>p</w:t>
      </w:r>
      <w:r w:rsidR="00ED2433" w:rsidRPr="00412CCD">
        <w:rPr>
          <w:rFonts w:asciiTheme="minorHAnsi" w:hAnsiTheme="minorHAnsi" w:cstheme="minorHAnsi"/>
          <w:sz w:val="22"/>
          <w:szCs w:val="22"/>
        </w:rPr>
        <w:t xml:space="preserve">ronájem </w:t>
      </w:r>
      <w:r w:rsidRPr="00412CCD">
        <w:rPr>
          <w:rFonts w:asciiTheme="minorHAnsi" w:hAnsiTheme="minorHAnsi" w:cstheme="minorHAnsi"/>
          <w:sz w:val="22"/>
          <w:szCs w:val="22"/>
        </w:rPr>
        <w:t xml:space="preserve">bytových, </w:t>
      </w:r>
      <w:r w:rsidR="00ED2433" w:rsidRPr="00412CCD">
        <w:rPr>
          <w:rFonts w:asciiTheme="minorHAnsi" w:hAnsiTheme="minorHAnsi" w:cstheme="minorHAnsi"/>
          <w:sz w:val="22"/>
          <w:szCs w:val="22"/>
        </w:rPr>
        <w:t xml:space="preserve">nebytových </w:t>
      </w:r>
      <w:r w:rsidRPr="00412CCD">
        <w:rPr>
          <w:rFonts w:asciiTheme="minorHAnsi" w:hAnsiTheme="minorHAnsi" w:cstheme="minorHAnsi"/>
          <w:sz w:val="22"/>
          <w:szCs w:val="22"/>
        </w:rPr>
        <w:t xml:space="preserve">a ostatních </w:t>
      </w:r>
      <w:r w:rsidR="00ED2433" w:rsidRPr="00412CCD">
        <w:rPr>
          <w:rFonts w:asciiTheme="minorHAnsi" w:hAnsiTheme="minorHAnsi" w:cstheme="minorHAnsi"/>
          <w:sz w:val="22"/>
          <w:szCs w:val="22"/>
        </w:rPr>
        <w:t>prostor</w:t>
      </w:r>
      <w:r w:rsidR="00E126A7" w:rsidRPr="00412CCD">
        <w:rPr>
          <w:rFonts w:asciiTheme="minorHAnsi" w:hAnsiTheme="minorHAnsi" w:cstheme="minorHAnsi"/>
          <w:sz w:val="22"/>
          <w:szCs w:val="22"/>
        </w:rPr>
        <w:t xml:space="preserve"> (</w:t>
      </w:r>
      <w:r w:rsidR="00B936F7">
        <w:rPr>
          <w:rFonts w:asciiTheme="minorHAnsi" w:hAnsiTheme="minorHAnsi" w:cstheme="minorHAnsi"/>
          <w:sz w:val="22"/>
          <w:szCs w:val="22"/>
        </w:rPr>
        <w:t>59,37</w:t>
      </w:r>
      <w:r w:rsidR="00B24090" w:rsidRPr="00412CCD">
        <w:rPr>
          <w:rFonts w:asciiTheme="minorHAnsi" w:hAnsiTheme="minorHAnsi" w:cstheme="minorHAnsi"/>
          <w:sz w:val="22"/>
          <w:szCs w:val="22"/>
        </w:rPr>
        <w:t xml:space="preserve"> mil. Kč)</w:t>
      </w:r>
      <w:r w:rsidR="00224F3C" w:rsidRPr="00412CCD">
        <w:rPr>
          <w:rFonts w:asciiTheme="minorHAnsi" w:hAnsiTheme="minorHAnsi" w:cstheme="minorHAnsi"/>
          <w:sz w:val="22"/>
          <w:szCs w:val="22"/>
        </w:rPr>
        <w:t>,</w:t>
      </w:r>
      <w:r w:rsidR="003B206F">
        <w:rPr>
          <w:rFonts w:asciiTheme="minorHAnsi" w:hAnsiTheme="minorHAnsi" w:cstheme="minorHAnsi"/>
          <w:sz w:val="22"/>
          <w:szCs w:val="22"/>
        </w:rPr>
        <w:t xml:space="preserve"> zahrnuje: </w:t>
      </w:r>
    </w:p>
    <w:p w:rsidR="00A20660" w:rsidRPr="00AE2F33" w:rsidRDefault="00A20660" w:rsidP="000C7BB7">
      <w:pPr>
        <w:pStyle w:val="Odstavecseseznamem"/>
        <w:keepNext/>
        <w:keepLines/>
        <w:numPr>
          <w:ilvl w:val="2"/>
          <w:numId w:val="10"/>
        </w:numPr>
        <w:ind w:left="851" w:hanging="284"/>
        <w:rPr>
          <w:rFonts w:asciiTheme="minorHAnsi" w:hAnsiTheme="minorHAnsi" w:cstheme="minorHAnsi"/>
          <w:sz w:val="22"/>
          <w:szCs w:val="22"/>
        </w:rPr>
      </w:pPr>
      <w:r w:rsidRPr="00AE2F33">
        <w:rPr>
          <w:rFonts w:asciiTheme="minorHAnsi" w:hAnsiTheme="minorHAnsi" w:cstheme="minorHAnsi"/>
          <w:sz w:val="22"/>
          <w:szCs w:val="22"/>
        </w:rPr>
        <w:t xml:space="preserve">byty </w:t>
      </w:r>
      <w:r w:rsidR="00EE7AF6" w:rsidRPr="00AE2F33">
        <w:rPr>
          <w:rFonts w:asciiTheme="minorHAnsi" w:hAnsiTheme="minorHAnsi" w:cstheme="minorHAnsi"/>
          <w:sz w:val="22"/>
          <w:szCs w:val="22"/>
        </w:rPr>
        <w:t>ve správě DSP</w:t>
      </w:r>
      <w:r w:rsidR="005607E8">
        <w:rPr>
          <w:rFonts w:asciiTheme="minorHAnsi" w:hAnsiTheme="minorHAnsi" w:cstheme="minorHAnsi"/>
          <w:sz w:val="22"/>
          <w:szCs w:val="22"/>
        </w:rPr>
        <w:t>,</w:t>
      </w:r>
      <w:r w:rsidR="00EE7AF6" w:rsidRPr="00AE2F33">
        <w:rPr>
          <w:rFonts w:asciiTheme="minorHAnsi" w:hAnsiTheme="minorHAnsi" w:cstheme="minorHAnsi"/>
          <w:sz w:val="22"/>
          <w:szCs w:val="22"/>
        </w:rPr>
        <w:t xml:space="preserve"> </w:t>
      </w:r>
    </w:p>
    <w:p w:rsidR="00A20660" w:rsidRPr="00AE2F33" w:rsidRDefault="00A20660" w:rsidP="000C7BB7">
      <w:pPr>
        <w:pStyle w:val="Odstavecseseznamem"/>
        <w:numPr>
          <w:ilvl w:val="2"/>
          <w:numId w:val="10"/>
        </w:numPr>
        <w:ind w:left="851" w:hanging="284"/>
        <w:rPr>
          <w:rFonts w:asciiTheme="minorHAnsi" w:hAnsiTheme="minorHAnsi" w:cstheme="minorHAnsi"/>
          <w:sz w:val="22"/>
          <w:szCs w:val="22"/>
        </w:rPr>
      </w:pPr>
      <w:r w:rsidRPr="00AE2F33">
        <w:rPr>
          <w:rFonts w:asciiTheme="minorHAnsi" w:hAnsiTheme="minorHAnsi" w:cstheme="minorHAnsi"/>
          <w:sz w:val="22"/>
          <w:szCs w:val="22"/>
        </w:rPr>
        <w:t>nebytové prostory</w:t>
      </w:r>
      <w:r w:rsidR="00EE7AF6" w:rsidRPr="00AE2F33">
        <w:rPr>
          <w:rFonts w:asciiTheme="minorHAnsi" w:hAnsiTheme="minorHAnsi" w:cstheme="minorHAnsi"/>
          <w:sz w:val="22"/>
          <w:szCs w:val="22"/>
        </w:rPr>
        <w:t xml:space="preserve"> ve správě DSP</w:t>
      </w:r>
      <w:r w:rsidR="005607E8">
        <w:rPr>
          <w:rFonts w:asciiTheme="minorHAnsi" w:hAnsiTheme="minorHAnsi" w:cstheme="minorHAnsi"/>
          <w:sz w:val="22"/>
          <w:szCs w:val="22"/>
        </w:rPr>
        <w:t>,</w:t>
      </w:r>
      <w:r w:rsidRPr="00AE2F33">
        <w:rPr>
          <w:rFonts w:asciiTheme="minorHAnsi" w:hAnsiTheme="minorHAnsi" w:cstheme="minorHAnsi"/>
          <w:sz w:val="22"/>
          <w:szCs w:val="22"/>
        </w:rPr>
        <w:t xml:space="preserve"> </w:t>
      </w:r>
    </w:p>
    <w:p w:rsidR="00130374" w:rsidRPr="00AE2F33" w:rsidRDefault="00130374" w:rsidP="000C7BB7">
      <w:pPr>
        <w:pStyle w:val="Odstavecseseznamem"/>
        <w:numPr>
          <w:ilvl w:val="2"/>
          <w:numId w:val="10"/>
        </w:numPr>
        <w:ind w:left="851" w:hanging="284"/>
        <w:rPr>
          <w:rFonts w:asciiTheme="minorHAnsi" w:hAnsiTheme="minorHAnsi" w:cstheme="minorHAnsi"/>
          <w:sz w:val="22"/>
          <w:szCs w:val="22"/>
        </w:rPr>
      </w:pPr>
      <w:r w:rsidRPr="00AE2F33">
        <w:rPr>
          <w:rFonts w:asciiTheme="minorHAnsi" w:hAnsiTheme="minorHAnsi" w:cstheme="minorHAnsi"/>
          <w:sz w:val="22"/>
          <w:szCs w:val="22"/>
        </w:rPr>
        <w:t xml:space="preserve">pronájmy </w:t>
      </w:r>
      <w:r w:rsidR="00EE7AF6" w:rsidRPr="00AE2F33">
        <w:rPr>
          <w:rFonts w:asciiTheme="minorHAnsi" w:hAnsiTheme="minorHAnsi" w:cstheme="minorHAnsi"/>
          <w:sz w:val="22"/>
          <w:szCs w:val="22"/>
        </w:rPr>
        <w:t>organizacím, jejichž zřizovatelem není město Prostějov – střední školy,</w:t>
      </w:r>
      <w:r w:rsidR="000C7BB7">
        <w:rPr>
          <w:rFonts w:asciiTheme="minorHAnsi" w:hAnsiTheme="minorHAnsi" w:cstheme="minorHAnsi"/>
          <w:sz w:val="22"/>
          <w:szCs w:val="22"/>
        </w:rPr>
        <w:t xml:space="preserve"> Muzeum a </w:t>
      </w:r>
      <w:r w:rsidR="00907BE6" w:rsidRPr="00AE2F33">
        <w:rPr>
          <w:rFonts w:asciiTheme="minorHAnsi" w:hAnsiTheme="minorHAnsi" w:cstheme="minorHAnsi"/>
          <w:sz w:val="22"/>
          <w:szCs w:val="22"/>
        </w:rPr>
        <w:t>galerie v</w:t>
      </w:r>
      <w:r w:rsidR="00224F3C" w:rsidRPr="00AE2F33">
        <w:rPr>
          <w:rFonts w:asciiTheme="minorHAnsi" w:hAnsiTheme="minorHAnsi" w:cstheme="minorHAnsi"/>
          <w:sz w:val="22"/>
          <w:szCs w:val="22"/>
        </w:rPr>
        <w:t> </w:t>
      </w:r>
      <w:r w:rsidR="00907BE6" w:rsidRPr="00AE2F33">
        <w:rPr>
          <w:rFonts w:asciiTheme="minorHAnsi" w:hAnsiTheme="minorHAnsi" w:cstheme="minorHAnsi"/>
          <w:sz w:val="22"/>
          <w:szCs w:val="22"/>
        </w:rPr>
        <w:t>Prostějov</w:t>
      </w:r>
      <w:r w:rsidR="00224F3C" w:rsidRPr="00AE2F33">
        <w:rPr>
          <w:rFonts w:asciiTheme="minorHAnsi" w:hAnsiTheme="minorHAnsi" w:cstheme="minorHAnsi"/>
          <w:sz w:val="22"/>
          <w:szCs w:val="22"/>
        </w:rPr>
        <w:t>ě </w:t>
      </w:r>
      <w:r w:rsidR="00412CCD" w:rsidRPr="00AE2F33">
        <w:rPr>
          <w:rFonts w:asciiTheme="minorHAnsi" w:hAnsiTheme="minorHAnsi" w:cstheme="minorHAnsi"/>
          <w:sz w:val="22"/>
          <w:szCs w:val="22"/>
        </w:rPr>
        <w:t xml:space="preserve">. </w:t>
      </w:r>
      <w:r w:rsidR="00907BE6" w:rsidRPr="00AE2F33">
        <w:rPr>
          <w:rFonts w:asciiTheme="minorHAnsi" w:hAnsiTheme="minorHAnsi" w:cstheme="minorHAnsi"/>
          <w:sz w:val="22"/>
          <w:szCs w:val="22"/>
        </w:rPr>
        <w:t>Tyto příjmy jsou zdrojem Fondu reinvestic nájemného, který slouží k zajištění oprav a investic do t</w:t>
      </w:r>
      <w:r w:rsidR="005607E8">
        <w:rPr>
          <w:rFonts w:asciiTheme="minorHAnsi" w:hAnsiTheme="minorHAnsi" w:cstheme="minorHAnsi"/>
          <w:sz w:val="22"/>
          <w:szCs w:val="22"/>
        </w:rPr>
        <w:t>ěchto pronajímaných nemovitostí;</w:t>
      </w:r>
    </w:p>
    <w:p w:rsidR="00907BE6" w:rsidRPr="00AE2F33" w:rsidRDefault="00AE2F33" w:rsidP="000C7BB7">
      <w:pPr>
        <w:pStyle w:val="Odstavecseseznamem"/>
        <w:numPr>
          <w:ilvl w:val="2"/>
          <w:numId w:val="10"/>
        </w:numPr>
        <w:ind w:left="851" w:hanging="284"/>
        <w:rPr>
          <w:rFonts w:asciiTheme="minorHAnsi" w:hAnsiTheme="minorHAnsi" w:cstheme="minorHAnsi"/>
          <w:sz w:val="22"/>
          <w:szCs w:val="22"/>
        </w:rPr>
      </w:pPr>
      <w:r w:rsidRPr="00AE2F33">
        <w:rPr>
          <w:rFonts w:asciiTheme="minorHAnsi" w:hAnsiTheme="minorHAnsi" w:cstheme="minorHAnsi"/>
          <w:sz w:val="22"/>
          <w:szCs w:val="22"/>
        </w:rPr>
        <w:t>o</w:t>
      </w:r>
      <w:r w:rsidR="00907BE6" w:rsidRPr="00AE2F33">
        <w:rPr>
          <w:rFonts w:asciiTheme="minorHAnsi" w:hAnsiTheme="minorHAnsi" w:cstheme="minorHAnsi"/>
          <w:sz w:val="22"/>
          <w:szCs w:val="22"/>
        </w:rPr>
        <w:t>statní</w:t>
      </w:r>
      <w:r w:rsidRPr="00AE2F33">
        <w:rPr>
          <w:rFonts w:asciiTheme="minorHAnsi" w:hAnsiTheme="minorHAnsi" w:cstheme="minorHAnsi"/>
          <w:sz w:val="22"/>
          <w:szCs w:val="22"/>
        </w:rPr>
        <w:t xml:space="preserve"> </w:t>
      </w:r>
      <w:r w:rsidR="00DA418E" w:rsidRPr="00AE2F33">
        <w:rPr>
          <w:rFonts w:asciiTheme="minorHAnsi" w:hAnsiTheme="minorHAnsi" w:cstheme="minorHAnsi"/>
          <w:sz w:val="22"/>
          <w:szCs w:val="22"/>
        </w:rPr>
        <w:t>–  </w:t>
      </w:r>
      <w:r w:rsidR="00EE07A3" w:rsidRPr="00AE2F33">
        <w:rPr>
          <w:rFonts w:asciiTheme="minorHAnsi" w:hAnsiTheme="minorHAnsi" w:cstheme="minorHAnsi"/>
          <w:sz w:val="22"/>
          <w:szCs w:val="22"/>
        </w:rPr>
        <w:t>kap.</w:t>
      </w:r>
      <w:r w:rsidR="00E132AE" w:rsidRPr="00AE2F33">
        <w:rPr>
          <w:rFonts w:asciiTheme="minorHAnsi" w:hAnsiTheme="minorHAnsi" w:cstheme="minorHAnsi"/>
          <w:sz w:val="22"/>
          <w:szCs w:val="22"/>
        </w:rPr>
        <w:t> </w:t>
      </w:r>
      <w:r w:rsidR="00224F3C" w:rsidRPr="00AE2F33">
        <w:rPr>
          <w:rFonts w:asciiTheme="minorHAnsi" w:hAnsiTheme="minorHAnsi" w:cstheme="minorHAnsi"/>
          <w:sz w:val="22"/>
          <w:szCs w:val="22"/>
        </w:rPr>
        <w:t>50</w:t>
      </w:r>
      <w:r w:rsidR="00E132AE" w:rsidRPr="00AE2F33">
        <w:rPr>
          <w:rFonts w:asciiTheme="minorHAnsi" w:hAnsiTheme="minorHAnsi" w:cstheme="minorHAnsi"/>
          <w:sz w:val="22"/>
          <w:szCs w:val="22"/>
        </w:rPr>
        <w:t>:</w:t>
      </w:r>
      <w:r w:rsidR="00DA418E" w:rsidRPr="00AE2F33">
        <w:rPr>
          <w:rFonts w:asciiTheme="minorHAnsi" w:hAnsiTheme="minorHAnsi" w:cstheme="minorHAnsi"/>
          <w:sz w:val="22"/>
          <w:szCs w:val="22"/>
        </w:rPr>
        <w:t xml:space="preserve"> </w:t>
      </w:r>
      <w:r w:rsidR="00E132AE" w:rsidRPr="00AE2F33">
        <w:rPr>
          <w:rFonts w:asciiTheme="minorHAnsi" w:hAnsiTheme="minorHAnsi" w:cstheme="minorHAnsi"/>
          <w:sz w:val="22"/>
          <w:szCs w:val="22"/>
        </w:rPr>
        <w:t> </w:t>
      </w:r>
      <w:r w:rsidR="000C7BB7">
        <w:rPr>
          <w:rFonts w:asciiTheme="minorHAnsi" w:hAnsiTheme="minorHAnsi" w:cstheme="minorHAnsi"/>
          <w:sz w:val="22"/>
          <w:szCs w:val="22"/>
        </w:rPr>
        <w:t>příjmy z pronájmu nebytových</w:t>
      </w:r>
      <w:r w:rsidR="00224F3C" w:rsidRPr="00AE2F33">
        <w:rPr>
          <w:rFonts w:asciiTheme="minorHAnsi" w:hAnsiTheme="minorHAnsi" w:cstheme="minorHAnsi"/>
          <w:sz w:val="22"/>
          <w:szCs w:val="22"/>
        </w:rPr>
        <w:t xml:space="preserve"> prostor</w:t>
      </w:r>
      <w:r w:rsidR="00EE07A3" w:rsidRPr="00AE2F33">
        <w:rPr>
          <w:rFonts w:asciiTheme="minorHAnsi" w:hAnsiTheme="minorHAnsi" w:cstheme="minorHAnsi"/>
          <w:sz w:val="22"/>
          <w:szCs w:val="22"/>
        </w:rPr>
        <w:t xml:space="preserve">, </w:t>
      </w:r>
      <w:r w:rsidR="00224F3C" w:rsidRPr="00AE2F33">
        <w:rPr>
          <w:rFonts w:asciiTheme="minorHAnsi" w:hAnsiTheme="minorHAnsi" w:cstheme="minorHAnsi"/>
          <w:sz w:val="22"/>
          <w:szCs w:val="22"/>
        </w:rPr>
        <w:t>příjmy z pronájmu s</w:t>
      </w:r>
      <w:r w:rsidR="000C7BB7">
        <w:rPr>
          <w:rFonts w:asciiTheme="minorHAnsi" w:hAnsiTheme="minorHAnsi" w:cstheme="minorHAnsi"/>
          <w:sz w:val="22"/>
          <w:szCs w:val="22"/>
        </w:rPr>
        <w:t>portovního</w:t>
      </w:r>
      <w:r w:rsidR="00EE07A3" w:rsidRPr="00AE2F33">
        <w:rPr>
          <w:rFonts w:asciiTheme="minorHAnsi" w:hAnsiTheme="minorHAnsi" w:cstheme="minorHAnsi"/>
          <w:sz w:val="22"/>
          <w:szCs w:val="22"/>
        </w:rPr>
        <w:t xml:space="preserve"> areál</w:t>
      </w:r>
      <w:r w:rsidR="00224F3C" w:rsidRPr="00AE2F33">
        <w:rPr>
          <w:rFonts w:asciiTheme="minorHAnsi" w:hAnsiTheme="minorHAnsi" w:cstheme="minorHAnsi"/>
          <w:sz w:val="22"/>
          <w:szCs w:val="22"/>
        </w:rPr>
        <w:t>u</w:t>
      </w:r>
      <w:r w:rsidR="00A13480" w:rsidRPr="00AE2F33">
        <w:rPr>
          <w:rFonts w:asciiTheme="minorHAnsi" w:hAnsiTheme="minorHAnsi" w:cstheme="minorHAnsi"/>
          <w:sz w:val="22"/>
          <w:szCs w:val="22"/>
        </w:rPr>
        <w:t xml:space="preserve"> na sídlišti</w:t>
      </w:r>
      <w:r w:rsidR="00EE07A3" w:rsidRPr="00AE2F33">
        <w:rPr>
          <w:rFonts w:asciiTheme="minorHAnsi" w:hAnsiTheme="minorHAnsi" w:cstheme="minorHAnsi"/>
          <w:sz w:val="22"/>
          <w:szCs w:val="22"/>
        </w:rPr>
        <w:t xml:space="preserve"> E. Beneše</w:t>
      </w:r>
      <w:r w:rsidR="00A13480" w:rsidRPr="00AE2F33">
        <w:rPr>
          <w:rFonts w:asciiTheme="minorHAnsi" w:hAnsiTheme="minorHAnsi" w:cstheme="minorHAnsi"/>
          <w:sz w:val="22"/>
          <w:szCs w:val="22"/>
        </w:rPr>
        <w:t xml:space="preserve"> </w:t>
      </w:r>
      <w:r w:rsidR="00EE07A3" w:rsidRPr="00AE2F33">
        <w:rPr>
          <w:rFonts w:asciiTheme="minorHAnsi" w:hAnsiTheme="minorHAnsi" w:cstheme="minorHAnsi"/>
          <w:sz w:val="22"/>
          <w:szCs w:val="22"/>
        </w:rPr>
        <w:t>ad.</w:t>
      </w:r>
      <w:r w:rsidR="005607E8">
        <w:rPr>
          <w:rFonts w:asciiTheme="minorHAnsi" w:hAnsiTheme="minorHAnsi" w:cstheme="minorHAnsi"/>
          <w:sz w:val="22"/>
          <w:szCs w:val="22"/>
        </w:rPr>
        <w:t>,</w:t>
      </w:r>
    </w:p>
    <w:p w:rsidR="00ED2433" w:rsidRPr="00AE2F33" w:rsidRDefault="00421DDA" w:rsidP="001F580B">
      <w:pPr>
        <w:pStyle w:val="Odstavecseseznamem"/>
        <w:numPr>
          <w:ilvl w:val="0"/>
          <w:numId w:val="10"/>
        </w:numPr>
        <w:ind w:left="714" w:hanging="357"/>
        <w:rPr>
          <w:rFonts w:asciiTheme="minorHAnsi" w:hAnsiTheme="minorHAnsi" w:cstheme="minorHAnsi"/>
          <w:sz w:val="22"/>
          <w:szCs w:val="22"/>
        </w:rPr>
      </w:pPr>
      <w:r w:rsidRPr="00AE2F33">
        <w:rPr>
          <w:rFonts w:asciiTheme="minorHAnsi" w:hAnsiTheme="minorHAnsi" w:cstheme="minorHAnsi"/>
          <w:sz w:val="22"/>
          <w:szCs w:val="22"/>
        </w:rPr>
        <w:t>p</w:t>
      </w:r>
      <w:r w:rsidR="00ED2433" w:rsidRPr="00AE2F33">
        <w:rPr>
          <w:rFonts w:asciiTheme="minorHAnsi" w:hAnsiTheme="minorHAnsi" w:cstheme="minorHAnsi"/>
          <w:sz w:val="22"/>
          <w:szCs w:val="22"/>
        </w:rPr>
        <w:t>ronájem pozemků</w:t>
      </w:r>
      <w:r w:rsidR="00A20660" w:rsidRPr="00AE2F33">
        <w:rPr>
          <w:rFonts w:asciiTheme="minorHAnsi" w:hAnsiTheme="minorHAnsi" w:cstheme="minorHAnsi"/>
          <w:sz w:val="22"/>
          <w:szCs w:val="22"/>
        </w:rPr>
        <w:t xml:space="preserve"> (</w:t>
      </w:r>
      <w:r w:rsidR="00AE2F33" w:rsidRPr="00AE2F33">
        <w:rPr>
          <w:rFonts w:asciiTheme="minorHAnsi" w:hAnsiTheme="minorHAnsi" w:cstheme="minorHAnsi"/>
          <w:sz w:val="22"/>
          <w:szCs w:val="22"/>
        </w:rPr>
        <w:t>6,</w:t>
      </w:r>
      <w:r w:rsidR="001447E5">
        <w:rPr>
          <w:rFonts w:asciiTheme="minorHAnsi" w:hAnsiTheme="minorHAnsi" w:cstheme="minorHAnsi"/>
          <w:sz w:val="22"/>
          <w:szCs w:val="22"/>
        </w:rPr>
        <w:t>02</w:t>
      </w:r>
      <w:r w:rsidRPr="00AE2F33">
        <w:rPr>
          <w:rFonts w:asciiTheme="minorHAnsi" w:hAnsiTheme="minorHAnsi" w:cstheme="minorHAnsi"/>
          <w:sz w:val="22"/>
          <w:szCs w:val="22"/>
        </w:rPr>
        <w:t xml:space="preserve"> mil. Kč),</w:t>
      </w:r>
    </w:p>
    <w:p w:rsidR="00D74634" w:rsidRPr="00AE2F33" w:rsidRDefault="00421DDA" w:rsidP="001F580B">
      <w:pPr>
        <w:pStyle w:val="Odstavecseseznamem"/>
        <w:numPr>
          <w:ilvl w:val="0"/>
          <w:numId w:val="10"/>
        </w:numPr>
        <w:ind w:left="714" w:hanging="357"/>
        <w:rPr>
          <w:rFonts w:asciiTheme="minorHAnsi" w:hAnsiTheme="minorHAnsi" w:cstheme="minorHAnsi"/>
          <w:sz w:val="22"/>
          <w:szCs w:val="22"/>
        </w:rPr>
      </w:pPr>
      <w:r w:rsidRPr="00AE2F33">
        <w:rPr>
          <w:rFonts w:asciiTheme="minorHAnsi" w:hAnsiTheme="minorHAnsi" w:cstheme="minorHAnsi"/>
          <w:sz w:val="22"/>
          <w:szCs w:val="22"/>
        </w:rPr>
        <w:t>p</w:t>
      </w:r>
      <w:r w:rsidR="00ED2433" w:rsidRPr="00AE2F33">
        <w:rPr>
          <w:rFonts w:asciiTheme="minorHAnsi" w:hAnsiTheme="minorHAnsi" w:cstheme="minorHAnsi"/>
          <w:sz w:val="22"/>
          <w:szCs w:val="22"/>
        </w:rPr>
        <w:t>ronájem movitých věcí</w:t>
      </w:r>
      <w:r w:rsidRPr="00AE2F33">
        <w:rPr>
          <w:rFonts w:asciiTheme="minorHAnsi" w:hAnsiTheme="minorHAnsi" w:cstheme="minorHAnsi"/>
          <w:sz w:val="22"/>
          <w:szCs w:val="22"/>
        </w:rPr>
        <w:t xml:space="preserve"> (</w:t>
      </w:r>
      <w:r w:rsidR="001447E5">
        <w:rPr>
          <w:rFonts w:asciiTheme="minorHAnsi" w:hAnsiTheme="minorHAnsi" w:cstheme="minorHAnsi"/>
          <w:sz w:val="22"/>
          <w:szCs w:val="22"/>
        </w:rPr>
        <w:t>1,51</w:t>
      </w:r>
      <w:r w:rsidR="005607E8">
        <w:rPr>
          <w:rFonts w:asciiTheme="minorHAnsi" w:hAnsiTheme="minorHAnsi" w:cstheme="minorHAnsi"/>
          <w:sz w:val="22"/>
          <w:szCs w:val="22"/>
        </w:rPr>
        <w:t xml:space="preserve"> </w:t>
      </w:r>
      <w:r w:rsidRPr="00AE2F33">
        <w:rPr>
          <w:rFonts w:asciiTheme="minorHAnsi" w:hAnsiTheme="minorHAnsi" w:cstheme="minorHAnsi"/>
          <w:sz w:val="22"/>
          <w:szCs w:val="22"/>
        </w:rPr>
        <w:t>mil. Kč)</w:t>
      </w:r>
      <w:r w:rsidR="00770583" w:rsidRPr="00AE2F33">
        <w:rPr>
          <w:rFonts w:asciiTheme="minorHAnsi" w:hAnsiTheme="minorHAnsi" w:cstheme="minorHAnsi"/>
          <w:sz w:val="22"/>
          <w:szCs w:val="22"/>
        </w:rPr>
        <w:t>,</w:t>
      </w:r>
    </w:p>
    <w:p w:rsidR="00ED7CC7" w:rsidRPr="00A505C8" w:rsidRDefault="00205A14" w:rsidP="001F580B">
      <w:pPr>
        <w:pStyle w:val="Odstavecseseznamem"/>
        <w:numPr>
          <w:ilvl w:val="0"/>
          <w:numId w:val="10"/>
        </w:numPr>
        <w:ind w:left="714" w:hanging="357"/>
        <w:rPr>
          <w:rFonts w:asciiTheme="minorHAnsi" w:hAnsiTheme="minorHAnsi" w:cstheme="minorHAnsi"/>
          <w:sz w:val="22"/>
          <w:szCs w:val="22"/>
        </w:rPr>
      </w:pPr>
      <w:r w:rsidRPr="00A505C8">
        <w:rPr>
          <w:rFonts w:asciiTheme="minorHAnsi" w:hAnsiTheme="minorHAnsi" w:cstheme="minorHAnsi"/>
          <w:sz w:val="22"/>
          <w:szCs w:val="22"/>
        </w:rPr>
        <w:t>o</w:t>
      </w:r>
      <w:r w:rsidR="00ED2433" w:rsidRPr="00A505C8">
        <w:rPr>
          <w:rFonts w:asciiTheme="minorHAnsi" w:hAnsiTheme="minorHAnsi" w:cstheme="minorHAnsi"/>
          <w:sz w:val="22"/>
          <w:szCs w:val="22"/>
        </w:rPr>
        <w:t>st</w:t>
      </w:r>
      <w:r w:rsidR="00523EE3" w:rsidRPr="00A505C8">
        <w:rPr>
          <w:rFonts w:asciiTheme="minorHAnsi" w:hAnsiTheme="minorHAnsi" w:cstheme="minorHAnsi"/>
          <w:sz w:val="22"/>
          <w:szCs w:val="22"/>
        </w:rPr>
        <w:t>atní p</w:t>
      </w:r>
      <w:r w:rsidR="00ED2433" w:rsidRPr="00A505C8">
        <w:rPr>
          <w:rFonts w:asciiTheme="minorHAnsi" w:hAnsiTheme="minorHAnsi" w:cstheme="minorHAnsi"/>
          <w:sz w:val="22"/>
          <w:szCs w:val="22"/>
        </w:rPr>
        <w:t>říjmy z</w:t>
      </w:r>
      <w:r w:rsidR="00ED7CC7" w:rsidRPr="00A505C8">
        <w:rPr>
          <w:rFonts w:asciiTheme="minorHAnsi" w:hAnsiTheme="minorHAnsi" w:cstheme="minorHAnsi"/>
          <w:sz w:val="22"/>
          <w:szCs w:val="22"/>
        </w:rPr>
        <w:t> </w:t>
      </w:r>
      <w:r w:rsidR="00ED2433" w:rsidRPr="00A505C8">
        <w:rPr>
          <w:rFonts w:asciiTheme="minorHAnsi" w:hAnsiTheme="minorHAnsi" w:cstheme="minorHAnsi"/>
          <w:sz w:val="22"/>
          <w:szCs w:val="22"/>
        </w:rPr>
        <w:t>pronájmu</w:t>
      </w:r>
      <w:r w:rsidR="00ED7CC7" w:rsidRPr="00A505C8">
        <w:rPr>
          <w:rFonts w:asciiTheme="minorHAnsi" w:hAnsiTheme="minorHAnsi" w:cstheme="minorHAnsi"/>
          <w:sz w:val="22"/>
          <w:szCs w:val="22"/>
        </w:rPr>
        <w:t xml:space="preserve"> (</w:t>
      </w:r>
      <w:r w:rsidR="00A505C8" w:rsidRPr="00A505C8">
        <w:rPr>
          <w:rFonts w:asciiTheme="minorHAnsi" w:hAnsiTheme="minorHAnsi" w:cstheme="minorHAnsi"/>
          <w:sz w:val="22"/>
          <w:szCs w:val="22"/>
        </w:rPr>
        <w:t>5,</w:t>
      </w:r>
      <w:r w:rsidR="001447E5">
        <w:rPr>
          <w:rFonts w:asciiTheme="minorHAnsi" w:hAnsiTheme="minorHAnsi" w:cstheme="minorHAnsi"/>
          <w:sz w:val="22"/>
          <w:szCs w:val="22"/>
        </w:rPr>
        <w:t>9</w:t>
      </w:r>
      <w:r w:rsidR="00A505C8" w:rsidRPr="00A505C8">
        <w:rPr>
          <w:rFonts w:asciiTheme="minorHAnsi" w:hAnsiTheme="minorHAnsi" w:cstheme="minorHAnsi"/>
          <w:sz w:val="22"/>
          <w:szCs w:val="22"/>
        </w:rPr>
        <w:t xml:space="preserve">9 </w:t>
      </w:r>
      <w:r w:rsidR="00ED7CC7" w:rsidRPr="00A505C8">
        <w:rPr>
          <w:rFonts w:asciiTheme="minorHAnsi" w:hAnsiTheme="minorHAnsi" w:cstheme="minorHAnsi"/>
          <w:sz w:val="22"/>
          <w:szCs w:val="22"/>
        </w:rPr>
        <w:t>mil. Kč)</w:t>
      </w:r>
      <w:r w:rsidR="005607E8">
        <w:rPr>
          <w:rFonts w:asciiTheme="minorHAnsi" w:hAnsiTheme="minorHAnsi" w:cstheme="minorHAnsi"/>
          <w:sz w:val="22"/>
          <w:szCs w:val="22"/>
        </w:rPr>
        <w:t>.</w:t>
      </w:r>
    </w:p>
    <w:p w:rsidR="001E0837" w:rsidRPr="002B02DF" w:rsidRDefault="001E0837" w:rsidP="00861046">
      <w:pPr>
        <w:pStyle w:val="Odstavecseseznamem"/>
        <w:ind w:left="720"/>
        <w:rPr>
          <w:rFonts w:asciiTheme="minorHAnsi" w:hAnsiTheme="minorHAnsi" w:cstheme="minorHAnsi"/>
          <w:color w:val="A6A6A6" w:themeColor="background1" w:themeShade="A6"/>
          <w:sz w:val="22"/>
          <w:szCs w:val="22"/>
        </w:rPr>
      </w:pPr>
    </w:p>
    <w:p w:rsidR="00AB64E0" w:rsidRPr="002B02DF" w:rsidRDefault="00AB64E0" w:rsidP="00AB64E0">
      <w:pPr>
        <w:rPr>
          <w:rFonts w:asciiTheme="minorHAnsi" w:hAnsiTheme="minorHAnsi" w:cstheme="minorHAnsi"/>
          <w:color w:val="A6A6A6" w:themeColor="background1" w:themeShade="A6"/>
          <w:sz w:val="22"/>
          <w:szCs w:val="22"/>
        </w:rPr>
      </w:pPr>
      <w:r w:rsidRPr="00A505C8">
        <w:rPr>
          <w:rFonts w:asciiTheme="minorHAnsi" w:hAnsiTheme="minorHAnsi" w:cstheme="minorHAnsi"/>
          <w:sz w:val="22"/>
          <w:szCs w:val="22"/>
          <w:u w:val="single"/>
        </w:rPr>
        <w:t>Příjmy z</w:t>
      </w:r>
      <w:r w:rsidR="001E0837" w:rsidRPr="00A505C8">
        <w:rPr>
          <w:rFonts w:asciiTheme="minorHAnsi" w:hAnsiTheme="minorHAnsi" w:cstheme="minorHAnsi"/>
          <w:sz w:val="22"/>
          <w:szCs w:val="22"/>
          <w:u w:val="single"/>
        </w:rPr>
        <w:t> </w:t>
      </w:r>
      <w:r w:rsidRPr="00A505C8">
        <w:rPr>
          <w:rFonts w:asciiTheme="minorHAnsi" w:hAnsiTheme="minorHAnsi" w:cstheme="minorHAnsi"/>
          <w:sz w:val="22"/>
          <w:szCs w:val="22"/>
          <w:u w:val="single"/>
        </w:rPr>
        <w:t>vlastní</w:t>
      </w:r>
      <w:r w:rsidR="001E0837" w:rsidRPr="00A505C8">
        <w:rPr>
          <w:rFonts w:asciiTheme="minorHAnsi" w:hAnsiTheme="minorHAnsi" w:cstheme="minorHAnsi"/>
          <w:sz w:val="22"/>
          <w:szCs w:val="22"/>
          <w:u w:val="single"/>
        </w:rPr>
        <w:t xml:space="preserve"> činnosti</w:t>
      </w:r>
      <w:r w:rsidR="00767F36" w:rsidRPr="00A505C8">
        <w:rPr>
          <w:rFonts w:asciiTheme="minorHAnsi" w:hAnsiTheme="minorHAnsi" w:cstheme="minorHAnsi"/>
          <w:sz w:val="22"/>
          <w:szCs w:val="22"/>
        </w:rPr>
        <w:t xml:space="preserve"> přinesly do rozpočtu města </w:t>
      </w:r>
      <w:r w:rsidR="001447E5">
        <w:rPr>
          <w:rFonts w:asciiTheme="minorHAnsi" w:hAnsiTheme="minorHAnsi" w:cstheme="minorHAnsi"/>
          <w:sz w:val="22"/>
          <w:szCs w:val="22"/>
        </w:rPr>
        <w:t>35,85</w:t>
      </w:r>
      <w:r w:rsidR="001E0837" w:rsidRPr="00A505C8">
        <w:rPr>
          <w:rFonts w:asciiTheme="minorHAnsi" w:hAnsiTheme="minorHAnsi" w:cstheme="minorHAnsi"/>
          <w:sz w:val="22"/>
          <w:szCs w:val="22"/>
        </w:rPr>
        <w:t xml:space="preserve"> mil. Kč. Jedná se o:</w:t>
      </w:r>
    </w:p>
    <w:p w:rsidR="001E0837" w:rsidRPr="00A505C8" w:rsidRDefault="001E0837" w:rsidP="001F580B">
      <w:pPr>
        <w:pStyle w:val="Odstavecseseznamem"/>
        <w:numPr>
          <w:ilvl w:val="0"/>
          <w:numId w:val="11"/>
        </w:numPr>
        <w:ind w:left="714" w:hanging="357"/>
        <w:rPr>
          <w:rFonts w:asciiTheme="minorHAnsi" w:hAnsiTheme="minorHAnsi" w:cstheme="minorHAnsi"/>
          <w:sz w:val="22"/>
          <w:szCs w:val="22"/>
        </w:rPr>
      </w:pPr>
      <w:r w:rsidRPr="00A505C8">
        <w:rPr>
          <w:rFonts w:asciiTheme="minorHAnsi" w:hAnsiTheme="minorHAnsi" w:cstheme="minorHAnsi"/>
          <w:sz w:val="22"/>
          <w:szCs w:val="22"/>
        </w:rPr>
        <w:t>příjmy z poskytování služeb a výrobků (</w:t>
      </w:r>
      <w:r w:rsidR="001447E5">
        <w:rPr>
          <w:rFonts w:asciiTheme="minorHAnsi" w:hAnsiTheme="minorHAnsi" w:cstheme="minorHAnsi"/>
          <w:sz w:val="22"/>
          <w:szCs w:val="22"/>
        </w:rPr>
        <w:t>33,01</w:t>
      </w:r>
      <w:r w:rsidRPr="00A505C8">
        <w:rPr>
          <w:rFonts w:asciiTheme="minorHAnsi" w:hAnsiTheme="minorHAnsi" w:cstheme="minorHAnsi"/>
          <w:sz w:val="22"/>
          <w:szCs w:val="22"/>
        </w:rPr>
        <w:t xml:space="preserve"> mil. Kč)</w:t>
      </w:r>
      <w:r w:rsidR="00770583" w:rsidRPr="00A505C8">
        <w:rPr>
          <w:rFonts w:asciiTheme="minorHAnsi" w:hAnsiTheme="minorHAnsi" w:cstheme="minorHAnsi"/>
          <w:sz w:val="22"/>
          <w:szCs w:val="22"/>
        </w:rPr>
        <w:t>,</w:t>
      </w:r>
    </w:p>
    <w:p w:rsidR="00936C3B" w:rsidRPr="00273DEE" w:rsidRDefault="00606589" w:rsidP="001F580B">
      <w:pPr>
        <w:pStyle w:val="Odstavecseseznamem"/>
        <w:numPr>
          <w:ilvl w:val="1"/>
          <w:numId w:val="11"/>
        </w:numPr>
        <w:ind w:left="1434" w:hanging="357"/>
        <w:rPr>
          <w:rFonts w:asciiTheme="minorHAnsi" w:hAnsiTheme="minorHAnsi" w:cstheme="minorHAnsi"/>
          <w:sz w:val="22"/>
          <w:szCs w:val="22"/>
        </w:rPr>
      </w:pPr>
      <w:r w:rsidRPr="00273DEE">
        <w:rPr>
          <w:rFonts w:asciiTheme="minorHAnsi" w:hAnsiTheme="minorHAnsi" w:cstheme="minorHAnsi"/>
          <w:sz w:val="22"/>
          <w:szCs w:val="22"/>
        </w:rPr>
        <w:t>kap. 90</w:t>
      </w:r>
      <w:r w:rsidR="0074286F" w:rsidRPr="00273DEE">
        <w:rPr>
          <w:rFonts w:asciiTheme="minorHAnsi" w:hAnsiTheme="minorHAnsi" w:cstheme="minorHAnsi"/>
          <w:sz w:val="22"/>
          <w:szCs w:val="22"/>
        </w:rPr>
        <w:t>:</w:t>
      </w:r>
      <w:r w:rsidR="00484690" w:rsidRPr="00273DEE">
        <w:rPr>
          <w:rFonts w:asciiTheme="minorHAnsi" w:hAnsiTheme="minorHAnsi" w:cstheme="minorHAnsi"/>
          <w:sz w:val="22"/>
          <w:szCs w:val="22"/>
        </w:rPr>
        <w:t xml:space="preserve"> </w:t>
      </w:r>
      <w:r w:rsidR="00110A52">
        <w:rPr>
          <w:rFonts w:asciiTheme="minorHAnsi" w:hAnsiTheme="minorHAnsi" w:cstheme="minorHAnsi"/>
          <w:bCs/>
          <w:sz w:val="22"/>
          <w:szCs w:val="22"/>
        </w:rPr>
        <w:t>20,75</w:t>
      </w:r>
      <w:r w:rsidR="00484690" w:rsidRPr="00273DEE">
        <w:rPr>
          <w:rFonts w:asciiTheme="minorHAnsi" w:hAnsiTheme="minorHAnsi" w:cstheme="minorHAnsi"/>
          <w:bCs/>
          <w:sz w:val="22"/>
          <w:szCs w:val="22"/>
        </w:rPr>
        <w:t xml:space="preserve"> mil.</w:t>
      </w:r>
      <w:r w:rsidR="000402C3" w:rsidRPr="00273DEE">
        <w:rPr>
          <w:rFonts w:asciiTheme="minorHAnsi" w:hAnsiTheme="minorHAnsi" w:cstheme="minorHAnsi"/>
          <w:bCs/>
          <w:sz w:val="22"/>
          <w:szCs w:val="22"/>
        </w:rPr>
        <w:t xml:space="preserve"> Kč</w:t>
      </w:r>
      <w:r w:rsidR="00484690" w:rsidRPr="00273DEE">
        <w:rPr>
          <w:rFonts w:asciiTheme="minorHAnsi" w:hAnsiTheme="minorHAnsi" w:cstheme="minorHAnsi"/>
          <w:bCs/>
          <w:sz w:val="22"/>
          <w:szCs w:val="22"/>
        </w:rPr>
        <w:t xml:space="preserve"> </w:t>
      </w:r>
      <w:r w:rsidR="00484690" w:rsidRPr="00273DEE">
        <w:rPr>
          <w:rFonts w:asciiTheme="minorHAnsi" w:hAnsiTheme="minorHAnsi" w:cstheme="minorHAnsi"/>
          <w:sz w:val="22"/>
          <w:szCs w:val="22"/>
        </w:rPr>
        <w:t xml:space="preserve">(dodávka tepla a </w:t>
      </w:r>
      <w:r w:rsidR="00E321D0" w:rsidRPr="00273DEE">
        <w:rPr>
          <w:rFonts w:asciiTheme="minorHAnsi" w:hAnsiTheme="minorHAnsi" w:cstheme="minorHAnsi"/>
          <w:sz w:val="22"/>
          <w:szCs w:val="22"/>
        </w:rPr>
        <w:t>T</w:t>
      </w:r>
      <w:r w:rsidR="00484690" w:rsidRPr="00273DEE">
        <w:rPr>
          <w:rFonts w:asciiTheme="minorHAnsi" w:hAnsiTheme="minorHAnsi" w:cstheme="minorHAnsi"/>
          <w:sz w:val="22"/>
          <w:szCs w:val="22"/>
        </w:rPr>
        <w:t xml:space="preserve">UV do bytů, </w:t>
      </w:r>
      <w:r w:rsidR="00B67DD9" w:rsidRPr="00273DEE">
        <w:rPr>
          <w:rFonts w:asciiTheme="minorHAnsi" w:hAnsiTheme="minorHAnsi" w:cstheme="minorHAnsi"/>
          <w:sz w:val="22"/>
          <w:szCs w:val="22"/>
        </w:rPr>
        <w:t xml:space="preserve">zajišťování služeb do bytů, </w:t>
      </w:r>
      <w:r w:rsidR="000402C3" w:rsidRPr="00273DEE">
        <w:rPr>
          <w:rFonts w:asciiTheme="minorHAnsi" w:hAnsiTheme="minorHAnsi" w:cstheme="minorHAnsi"/>
          <w:sz w:val="22"/>
          <w:szCs w:val="22"/>
        </w:rPr>
        <w:t>revize</w:t>
      </w:r>
      <w:r w:rsidR="00A505C8" w:rsidRPr="00273DEE">
        <w:rPr>
          <w:rFonts w:asciiTheme="minorHAnsi" w:hAnsiTheme="minorHAnsi" w:cstheme="minorHAnsi"/>
          <w:sz w:val="22"/>
          <w:szCs w:val="22"/>
        </w:rPr>
        <w:t xml:space="preserve">, </w:t>
      </w:r>
      <w:r w:rsidR="00B67DD9" w:rsidRPr="00273DEE">
        <w:rPr>
          <w:rFonts w:asciiTheme="minorHAnsi" w:hAnsiTheme="minorHAnsi" w:cstheme="minorHAnsi"/>
          <w:sz w:val="22"/>
          <w:szCs w:val="22"/>
        </w:rPr>
        <w:t xml:space="preserve">elektrická energie, </w:t>
      </w:r>
      <w:r w:rsidR="0042381F" w:rsidRPr="00273DEE">
        <w:rPr>
          <w:rFonts w:asciiTheme="minorHAnsi" w:hAnsiTheme="minorHAnsi" w:cstheme="minorHAnsi"/>
          <w:sz w:val="22"/>
          <w:szCs w:val="22"/>
        </w:rPr>
        <w:t>veř. WC</w:t>
      </w:r>
      <w:r w:rsidR="00FA6FEE" w:rsidRPr="00273DEE">
        <w:rPr>
          <w:rFonts w:asciiTheme="minorHAnsi" w:hAnsiTheme="minorHAnsi" w:cstheme="minorHAnsi"/>
          <w:sz w:val="22"/>
          <w:szCs w:val="22"/>
        </w:rPr>
        <w:t>, hřbitovní služby ad.</w:t>
      </w:r>
      <w:r w:rsidR="00484690" w:rsidRPr="00273DEE">
        <w:rPr>
          <w:rFonts w:asciiTheme="minorHAnsi" w:hAnsiTheme="minorHAnsi" w:cstheme="minorHAnsi"/>
          <w:sz w:val="22"/>
          <w:szCs w:val="22"/>
        </w:rPr>
        <w:t>)</w:t>
      </w:r>
      <w:r w:rsidR="00770583" w:rsidRPr="00273DEE">
        <w:rPr>
          <w:rFonts w:asciiTheme="minorHAnsi" w:hAnsiTheme="minorHAnsi" w:cstheme="minorHAnsi"/>
          <w:sz w:val="22"/>
          <w:szCs w:val="22"/>
        </w:rPr>
        <w:t>,</w:t>
      </w:r>
    </w:p>
    <w:p w:rsidR="00936C3B" w:rsidRPr="002B02DF" w:rsidRDefault="00484690" w:rsidP="001F580B">
      <w:pPr>
        <w:pStyle w:val="Odstavecseseznamem"/>
        <w:numPr>
          <w:ilvl w:val="1"/>
          <w:numId w:val="11"/>
        </w:numPr>
        <w:ind w:left="1434" w:hanging="357"/>
        <w:rPr>
          <w:rFonts w:asciiTheme="minorHAnsi" w:hAnsiTheme="minorHAnsi" w:cstheme="minorHAnsi"/>
          <w:color w:val="A6A6A6" w:themeColor="background1" w:themeShade="A6"/>
          <w:sz w:val="22"/>
          <w:szCs w:val="22"/>
        </w:rPr>
      </w:pPr>
      <w:r w:rsidRPr="00273DEE">
        <w:rPr>
          <w:rFonts w:asciiTheme="minorHAnsi" w:hAnsiTheme="minorHAnsi" w:cstheme="minorHAnsi"/>
          <w:sz w:val="22"/>
          <w:szCs w:val="22"/>
        </w:rPr>
        <w:t>kap</w:t>
      </w:r>
      <w:r w:rsidRPr="000E022A">
        <w:rPr>
          <w:rFonts w:asciiTheme="minorHAnsi" w:hAnsiTheme="minorHAnsi" w:cstheme="minorHAnsi"/>
          <w:sz w:val="22"/>
          <w:szCs w:val="22"/>
        </w:rPr>
        <w:t>. 41</w:t>
      </w:r>
      <w:r w:rsidR="0074286F" w:rsidRPr="000E022A">
        <w:rPr>
          <w:rFonts w:asciiTheme="minorHAnsi" w:hAnsiTheme="minorHAnsi" w:cstheme="minorHAnsi"/>
          <w:sz w:val="22"/>
          <w:szCs w:val="22"/>
        </w:rPr>
        <w:t>:</w:t>
      </w:r>
      <w:r w:rsidRPr="000E022A">
        <w:rPr>
          <w:rFonts w:asciiTheme="minorHAnsi" w:hAnsiTheme="minorHAnsi" w:cstheme="minorHAnsi"/>
          <w:b/>
          <w:bCs/>
          <w:sz w:val="22"/>
          <w:szCs w:val="22"/>
        </w:rPr>
        <w:t xml:space="preserve"> </w:t>
      </w:r>
      <w:r w:rsidR="00110A52">
        <w:rPr>
          <w:rFonts w:asciiTheme="minorHAnsi" w:hAnsiTheme="minorHAnsi" w:cstheme="minorHAnsi"/>
          <w:bCs/>
          <w:sz w:val="22"/>
          <w:szCs w:val="22"/>
        </w:rPr>
        <w:t xml:space="preserve">6,33 </w:t>
      </w:r>
      <w:r w:rsidRPr="000E022A">
        <w:rPr>
          <w:rFonts w:asciiTheme="minorHAnsi" w:hAnsiTheme="minorHAnsi" w:cstheme="minorHAnsi"/>
          <w:bCs/>
          <w:sz w:val="22"/>
          <w:szCs w:val="22"/>
        </w:rPr>
        <w:t>mil.</w:t>
      </w:r>
      <w:r w:rsidR="000402C3" w:rsidRPr="000E022A">
        <w:rPr>
          <w:rFonts w:asciiTheme="minorHAnsi" w:hAnsiTheme="minorHAnsi" w:cstheme="minorHAnsi"/>
          <w:bCs/>
          <w:sz w:val="22"/>
          <w:szCs w:val="22"/>
        </w:rPr>
        <w:t xml:space="preserve"> Kč</w:t>
      </w:r>
      <w:r w:rsidR="000402C3" w:rsidRPr="000E022A">
        <w:rPr>
          <w:rFonts w:asciiTheme="minorHAnsi" w:hAnsiTheme="minorHAnsi" w:cstheme="minorHAnsi"/>
          <w:b/>
          <w:bCs/>
          <w:sz w:val="22"/>
          <w:szCs w:val="22"/>
        </w:rPr>
        <w:t xml:space="preserve"> </w:t>
      </w:r>
      <w:r w:rsidRPr="000E022A">
        <w:rPr>
          <w:rFonts w:asciiTheme="minorHAnsi" w:hAnsiTheme="minorHAnsi" w:cstheme="minorHAnsi"/>
          <w:sz w:val="22"/>
          <w:szCs w:val="22"/>
        </w:rPr>
        <w:t>(za užívání autobusového nádraží</w:t>
      </w:r>
      <w:r w:rsidR="004D577C" w:rsidRPr="000E022A">
        <w:rPr>
          <w:rFonts w:asciiTheme="minorHAnsi" w:hAnsiTheme="minorHAnsi" w:cstheme="minorHAnsi"/>
          <w:sz w:val="22"/>
          <w:szCs w:val="22"/>
        </w:rPr>
        <w:t xml:space="preserve">, </w:t>
      </w:r>
      <w:r w:rsidR="000E022A" w:rsidRPr="000E022A">
        <w:rPr>
          <w:rFonts w:asciiTheme="minorHAnsi" w:hAnsiTheme="minorHAnsi" w:cstheme="minorHAnsi"/>
          <w:sz w:val="22"/>
          <w:szCs w:val="22"/>
        </w:rPr>
        <w:t>ad.)</w:t>
      </w:r>
      <w:r w:rsidR="005607E8">
        <w:rPr>
          <w:rFonts w:asciiTheme="minorHAnsi" w:hAnsiTheme="minorHAnsi" w:cstheme="minorHAnsi"/>
          <w:sz w:val="22"/>
          <w:szCs w:val="22"/>
        </w:rPr>
        <w:t>,</w:t>
      </w:r>
    </w:p>
    <w:p w:rsidR="00936C3B" w:rsidRPr="000E022A" w:rsidRDefault="006209E1" w:rsidP="001F580B">
      <w:pPr>
        <w:pStyle w:val="Odstavecseseznamem"/>
        <w:numPr>
          <w:ilvl w:val="1"/>
          <w:numId w:val="11"/>
        </w:numPr>
        <w:ind w:left="1434" w:hanging="357"/>
        <w:rPr>
          <w:rFonts w:asciiTheme="minorHAnsi" w:hAnsiTheme="minorHAnsi" w:cstheme="minorHAnsi"/>
          <w:sz w:val="22"/>
          <w:szCs w:val="22"/>
        </w:rPr>
      </w:pPr>
      <w:r w:rsidRPr="000E022A">
        <w:rPr>
          <w:rFonts w:asciiTheme="minorHAnsi" w:hAnsiTheme="minorHAnsi" w:cstheme="minorHAnsi"/>
          <w:sz w:val="22"/>
          <w:szCs w:val="22"/>
        </w:rPr>
        <w:t>kap. 50</w:t>
      </w:r>
      <w:r w:rsidR="0074286F" w:rsidRPr="000E022A">
        <w:rPr>
          <w:rFonts w:asciiTheme="minorHAnsi" w:hAnsiTheme="minorHAnsi" w:cstheme="minorHAnsi"/>
          <w:sz w:val="22"/>
          <w:szCs w:val="22"/>
        </w:rPr>
        <w:t>:</w:t>
      </w:r>
      <w:r w:rsidR="00484690" w:rsidRPr="000E022A">
        <w:rPr>
          <w:rFonts w:asciiTheme="minorHAnsi" w:hAnsiTheme="minorHAnsi" w:cstheme="minorHAnsi"/>
          <w:sz w:val="22"/>
          <w:szCs w:val="22"/>
        </w:rPr>
        <w:t xml:space="preserve"> </w:t>
      </w:r>
      <w:r w:rsidR="00DA51B8">
        <w:rPr>
          <w:rFonts w:asciiTheme="minorHAnsi" w:hAnsiTheme="minorHAnsi" w:cstheme="minorHAnsi"/>
          <w:bCs/>
          <w:sz w:val="22"/>
          <w:szCs w:val="22"/>
        </w:rPr>
        <w:t>3,04</w:t>
      </w:r>
      <w:r w:rsidRPr="000E022A">
        <w:rPr>
          <w:rFonts w:asciiTheme="minorHAnsi" w:hAnsiTheme="minorHAnsi" w:cstheme="minorHAnsi"/>
          <w:bCs/>
          <w:sz w:val="22"/>
          <w:szCs w:val="22"/>
        </w:rPr>
        <w:t xml:space="preserve"> mil. Kč</w:t>
      </w:r>
      <w:r w:rsidR="00484690" w:rsidRPr="000E022A">
        <w:rPr>
          <w:rFonts w:asciiTheme="minorHAnsi" w:hAnsiTheme="minorHAnsi" w:cstheme="minorHAnsi"/>
          <w:b/>
          <w:bCs/>
          <w:sz w:val="22"/>
          <w:szCs w:val="22"/>
        </w:rPr>
        <w:t xml:space="preserve"> </w:t>
      </w:r>
      <w:r w:rsidR="00484690" w:rsidRPr="000E022A">
        <w:rPr>
          <w:rFonts w:asciiTheme="minorHAnsi" w:hAnsiTheme="minorHAnsi" w:cstheme="minorHAnsi"/>
          <w:sz w:val="22"/>
          <w:szCs w:val="22"/>
        </w:rPr>
        <w:t>(</w:t>
      </w:r>
      <w:r w:rsidR="000E022A" w:rsidRPr="000E022A">
        <w:rPr>
          <w:rFonts w:asciiTheme="minorHAnsi" w:hAnsiTheme="minorHAnsi" w:cstheme="minorHAnsi"/>
          <w:sz w:val="22"/>
          <w:szCs w:val="22"/>
        </w:rPr>
        <w:t>přefakturace vodného a </w:t>
      </w:r>
      <w:r w:rsidRPr="000E022A">
        <w:rPr>
          <w:rFonts w:asciiTheme="minorHAnsi" w:hAnsiTheme="minorHAnsi" w:cstheme="minorHAnsi"/>
          <w:sz w:val="22"/>
          <w:szCs w:val="22"/>
        </w:rPr>
        <w:t xml:space="preserve">stočného, </w:t>
      </w:r>
      <w:r w:rsidR="00484690" w:rsidRPr="000E022A">
        <w:rPr>
          <w:rFonts w:asciiTheme="minorHAnsi" w:hAnsiTheme="minorHAnsi" w:cstheme="minorHAnsi"/>
          <w:sz w:val="22"/>
          <w:szCs w:val="22"/>
        </w:rPr>
        <w:t>reklamy)</w:t>
      </w:r>
      <w:r w:rsidR="00770583" w:rsidRPr="000E022A">
        <w:rPr>
          <w:rFonts w:asciiTheme="minorHAnsi" w:hAnsiTheme="minorHAnsi" w:cstheme="minorHAnsi"/>
          <w:sz w:val="22"/>
          <w:szCs w:val="22"/>
        </w:rPr>
        <w:t>,</w:t>
      </w:r>
    </w:p>
    <w:p w:rsidR="00936C3B" w:rsidRPr="00273DEE" w:rsidRDefault="00484690" w:rsidP="001F580B">
      <w:pPr>
        <w:pStyle w:val="Odstavecseseznamem"/>
        <w:numPr>
          <w:ilvl w:val="1"/>
          <w:numId w:val="11"/>
        </w:numPr>
        <w:ind w:left="1434" w:hanging="357"/>
        <w:rPr>
          <w:rFonts w:asciiTheme="minorHAnsi" w:hAnsiTheme="minorHAnsi" w:cstheme="minorHAnsi"/>
          <w:sz w:val="22"/>
          <w:szCs w:val="22"/>
        </w:rPr>
      </w:pPr>
      <w:r w:rsidRPr="00273DEE">
        <w:rPr>
          <w:rFonts w:asciiTheme="minorHAnsi" w:hAnsiTheme="minorHAnsi" w:cstheme="minorHAnsi"/>
          <w:sz w:val="22"/>
          <w:szCs w:val="22"/>
        </w:rPr>
        <w:t>kap.</w:t>
      </w:r>
      <w:r w:rsidR="005567C1" w:rsidRPr="00273DEE">
        <w:rPr>
          <w:rFonts w:asciiTheme="minorHAnsi" w:hAnsiTheme="minorHAnsi" w:cstheme="minorHAnsi"/>
          <w:sz w:val="22"/>
          <w:szCs w:val="22"/>
        </w:rPr>
        <w:t xml:space="preserve"> </w:t>
      </w:r>
      <w:r w:rsidRPr="00273DEE">
        <w:rPr>
          <w:rFonts w:asciiTheme="minorHAnsi" w:hAnsiTheme="minorHAnsi" w:cstheme="minorHAnsi"/>
          <w:sz w:val="22"/>
          <w:szCs w:val="22"/>
        </w:rPr>
        <w:t>19</w:t>
      </w:r>
      <w:r w:rsidR="00C6090B" w:rsidRPr="00273DEE">
        <w:rPr>
          <w:rFonts w:asciiTheme="minorHAnsi" w:hAnsiTheme="minorHAnsi" w:cstheme="minorHAnsi"/>
          <w:sz w:val="22"/>
          <w:szCs w:val="22"/>
        </w:rPr>
        <w:t xml:space="preserve"> – DUHA KK u hradeb</w:t>
      </w:r>
      <w:r w:rsidR="0074286F" w:rsidRPr="00273DEE">
        <w:rPr>
          <w:rFonts w:asciiTheme="minorHAnsi" w:hAnsiTheme="minorHAnsi" w:cstheme="minorHAnsi"/>
          <w:sz w:val="22"/>
          <w:szCs w:val="22"/>
        </w:rPr>
        <w:t xml:space="preserve">: </w:t>
      </w:r>
      <w:r w:rsidR="00570AEF">
        <w:rPr>
          <w:rFonts w:asciiTheme="minorHAnsi" w:hAnsiTheme="minorHAnsi" w:cstheme="minorHAnsi"/>
          <w:bCs/>
          <w:sz w:val="22"/>
          <w:szCs w:val="22"/>
        </w:rPr>
        <w:t>2,54</w:t>
      </w:r>
      <w:r w:rsidRPr="00273DEE">
        <w:rPr>
          <w:rFonts w:asciiTheme="minorHAnsi" w:hAnsiTheme="minorHAnsi" w:cstheme="minorHAnsi"/>
          <w:bCs/>
          <w:sz w:val="22"/>
          <w:szCs w:val="22"/>
        </w:rPr>
        <w:t xml:space="preserve"> mil.</w:t>
      </w:r>
      <w:r w:rsidR="00C6090B" w:rsidRPr="00273DEE">
        <w:rPr>
          <w:rFonts w:asciiTheme="minorHAnsi" w:hAnsiTheme="minorHAnsi" w:cstheme="minorHAnsi"/>
          <w:bCs/>
          <w:sz w:val="22"/>
          <w:szCs w:val="22"/>
        </w:rPr>
        <w:t xml:space="preserve"> Kč</w:t>
      </w:r>
      <w:r w:rsidRPr="00273DEE">
        <w:rPr>
          <w:rFonts w:asciiTheme="minorHAnsi" w:hAnsiTheme="minorHAnsi" w:cstheme="minorHAnsi"/>
          <w:bCs/>
          <w:sz w:val="22"/>
          <w:szCs w:val="22"/>
        </w:rPr>
        <w:t xml:space="preserve"> </w:t>
      </w:r>
      <w:r w:rsidRPr="00273DEE">
        <w:rPr>
          <w:rFonts w:asciiTheme="minorHAnsi" w:hAnsiTheme="minorHAnsi" w:cstheme="minorHAnsi"/>
          <w:sz w:val="22"/>
          <w:szCs w:val="22"/>
        </w:rPr>
        <w:t>(taneční kurzy, vstupné</w:t>
      </w:r>
      <w:r w:rsidR="00273DEE" w:rsidRPr="00273DEE">
        <w:rPr>
          <w:rFonts w:asciiTheme="minorHAnsi" w:hAnsiTheme="minorHAnsi" w:cstheme="minorHAnsi"/>
          <w:sz w:val="22"/>
          <w:szCs w:val="22"/>
        </w:rPr>
        <w:t>).</w:t>
      </w:r>
    </w:p>
    <w:p w:rsidR="00C6090B" w:rsidRPr="00273DEE" w:rsidRDefault="00C6090B" w:rsidP="00273DEE">
      <w:pPr>
        <w:pStyle w:val="Odstavecseseznamem"/>
        <w:numPr>
          <w:ilvl w:val="0"/>
          <w:numId w:val="11"/>
        </w:numPr>
        <w:ind w:left="714" w:hanging="357"/>
        <w:rPr>
          <w:rFonts w:asciiTheme="minorHAnsi" w:hAnsiTheme="minorHAnsi" w:cstheme="minorHAnsi"/>
          <w:sz w:val="22"/>
          <w:szCs w:val="22"/>
        </w:rPr>
      </w:pPr>
      <w:r w:rsidRPr="00273DEE">
        <w:rPr>
          <w:rFonts w:asciiTheme="minorHAnsi" w:hAnsiTheme="minorHAnsi" w:cstheme="minorHAnsi"/>
          <w:sz w:val="22"/>
          <w:szCs w:val="22"/>
        </w:rPr>
        <w:t>příjmy z prodeje zboží (</w:t>
      </w:r>
      <w:r w:rsidR="00570AEF">
        <w:rPr>
          <w:rFonts w:asciiTheme="minorHAnsi" w:hAnsiTheme="minorHAnsi" w:cstheme="minorHAnsi"/>
          <w:sz w:val="22"/>
          <w:szCs w:val="22"/>
        </w:rPr>
        <w:t>143,9</w:t>
      </w:r>
      <w:r w:rsidRPr="00273DEE">
        <w:rPr>
          <w:rFonts w:asciiTheme="minorHAnsi" w:hAnsiTheme="minorHAnsi" w:cstheme="minorHAnsi"/>
          <w:sz w:val="22"/>
          <w:szCs w:val="22"/>
        </w:rPr>
        <w:t xml:space="preserve"> tis. Kč)</w:t>
      </w:r>
      <w:r w:rsidR="00770583" w:rsidRPr="00273DEE">
        <w:rPr>
          <w:rFonts w:asciiTheme="minorHAnsi" w:hAnsiTheme="minorHAnsi" w:cstheme="minorHAnsi"/>
          <w:sz w:val="22"/>
          <w:szCs w:val="22"/>
        </w:rPr>
        <w:t>,</w:t>
      </w:r>
    </w:p>
    <w:p w:rsidR="002141E9" w:rsidRPr="003B206F" w:rsidRDefault="00EB171E" w:rsidP="003B206F">
      <w:pPr>
        <w:pStyle w:val="Odstavecseseznamem"/>
        <w:numPr>
          <w:ilvl w:val="0"/>
          <w:numId w:val="11"/>
        </w:numPr>
        <w:ind w:left="714" w:hanging="357"/>
        <w:rPr>
          <w:rFonts w:asciiTheme="minorHAnsi" w:hAnsiTheme="minorHAnsi" w:cstheme="minorHAnsi"/>
          <w:sz w:val="22"/>
          <w:szCs w:val="22"/>
        </w:rPr>
      </w:pPr>
      <w:r w:rsidRPr="00273DEE">
        <w:rPr>
          <w:rFonts w:asciiTheme="minorHAnsi" w:hAnsiTheme="minorHAnsi" w:cstheme="minorHAnsi"/>
          <w:sz w:val="22"/>
          <w:szCs w:val="22"/>
        </w:rPr>
        <w:t>ostatní příjmy z vlastní činnosti</w:t>
      </w:r>
      <w:r w:rsidR="002141E9" w:rsidRPr="00273DEE">
        <w:rPr>
          <w:rFonts w:asciiTheme="minorHAnsi" w:hAnsiTheme="minorHAnsi" w:cstheme="minorHAnsi"/>
          <w:sz w:val="22"/>
          <w:szCs w:val="22"/>
        </w:rPr>
        <w:t xml:space="preserve"> (</w:t>
      </w:r>
      <w:r w:rsidR="00570AEF">
        <w:rPr>
          <w:rFonts w:asciiTheme="minorHAnsi" w:hAnsiTheme="minorHAnsi" w:cstheme="minorHAnsi"/>
          <w:sz w:val="22"/>
          <w:szCs w:val="22"/>
        </w:rPr>
        <w:t>2,7</w:t>
      </w:r>
      <w:r w:rsidR="002141E9" w:rsidRPr="00273DEE">
        <w:rPr>
          <w:rFonts w:asciiTheme="minorHAnsi" w:hAnsiTheme="minorHAnsi" w:cstheme="minorHAnsi"/>
          <w:sz w:val="22"/>
          <w:szCs w:val="22"/>
        </w:rPr>
        <w:t xml:space="preserve"> mil. Kč)</w:t>
      </w:r>
      <w:r w:rsidR="003B206F">
        <w:rPr>
          <w:rFonts w:asciiTheme="minorHAnsi" w:hAnsiTheme="minorHAnsi" w:cstheme="minorHAnsi"/>
          <w:sz w:val="22"/>
          <w:szCs w:val="22"/>
        </w:rPr>
        <w:t xml:space="preserve"> – kap. 50 – smlouvy o zřízení věcného břemene.</w:t>
      </w:r>
    </w:p>
    <w:p w:rsidR="00F619CC" w:rsidRPr="002B02DF" w:rsidRDefault="00F619CC" w:rsidP="00F619CC">
      <w:pPr>
        <w:rPr>
          <w:rFonts w:asciiTheme="minorHAnsi" w:hAnsiTheme="minorHAnsi" w:cstheme="minorHAnsi"/>
          <w:color w:val="A6A6A6" w:themeColor="background1" w:themeShade="A6"/>
          <w:sz w:val="22"/>
          <w:szCs w:val="22"/>
        </w:rPr>
      </w:pPr>
    </w:p>
    <w:p w:rsidR="00C23AD5" w:rsidRPr="008C4A96" w:rsidRDefault="00F619CC" w:rsidP="00381E78">
      <w:pPr>
        <w:jc w:val="both"/>
        <w:rPr>
          <w:rFonts w:asciiTheme="minorHAnsi" w:hAnsiTheme="minorHAnsi" w:cstheme="minorHAnsi"/>
          <w:sz w:val="22"/>
          <w:szCs w:val="22"/>
        </w:rPr>
      </w:pPr>
      <w:r w:rsidRPr="008C4A96">
        <w:rPr>
          <w:rFonts w:asciiTheme="minorHAnsi" w:hAnsiTheme="minorHAnsi" w:cstheme="minorHAnsi"/>
          <w:sz w:val="22"/>
          <w:szCs w:val="22"/>
          <w:u w:val="single"/>
        </w:rPr>
        <w:t>Odvody příspěvkových organizací</w:t>
      </w:r>
      <w:r w:rsidRPr="008C4A96">
        <w:rPr>
          <w:rFonts w:asciiTheme="minorHAnsi" w:hAnsiTheme="minorHAnsi" w:cstheme="minorHAnsi"/>
          <w:sz w:val="22"/>
          <w:szCs w:val="22"/>
        </w:rPr>
        <w:t xml:space="preserve"> činil</w:t>
      </w:r>
      <w:r w:rsidR="00C2412A" w:rsidRPr="008C4A96">
        <w:rPr>
          <w:rFonts w:asciiTheme="minorHAnsi" w:hAnsiTheme="minorHAnsi" w:cstheme="minorHAnsi"/>
          <w:sz w:val="22"/>
          <w:szCs w:val="22"/>
        </w:rPr>
        <w:t>y</w:t>
      </w:r>
      <w:r w:rsidRPr="008C4A96">
        <w:rPr>
          <w:rFonts w:asciiTheme="minorHAnsi" w:hAnsiTheme="minorHAnsi" w:cstheme="minorHAnsi"/>
          <w:sz w:val="22"/>
          <w:szCs w:val="22"/>
        </w:rPr>
        <w:t xml:space="preserve"> v roce </w:t>
      </w:r>
      <w:r w:rsidR="00C2412A" w:rsidRPr="008C4A96">
        <w:rPr>
          <w:rFonts w:asciiTheme="minorHAnsi" w:hAnsiTheme="minorHAnsi" w:cstheme="minorHAnsi"/>
          <w:sz w:val="22"/>
          <w:szCs w:val="22"/>
        </w:rPr>
        <w:t>20</w:t>
      </w:r>
      <w:r w:rsidR="007F2CA5" w:rsidRPr="008C4A96">
        <w:rPr>
          <w:rFonts w:asciiTheme="minorHAnsi" w:hAnsiTheme="minorHAnsi" w:cstheme="minorHAnsi"/>
          <w:sz w:val="22"/>
          <w:szCs w:val="22"/>
        </w:rPr>
        <w:t>2</w:t>
      </w:r>
      <w:r w:rsidR="00570AEF">
        <w:rPr>
          <w:rFonts w:asciiTheme="minorHAnsi" w:hAnsiTheme="minorHAnsi" w:cstheme="minorHAnsi"/>
          <w:sz w:val="22"/>
          <w:szCs w:val="22"/>
        </w:rPr>
        <w:t>2</w:t>
      </w:r>
      <w:r w:rsidR="007F2CA5" w:rsidRPr="008C4A96">
        <w:rPr>
          <w:rFonts w:asciiTheme="minorHAnsi" w:hAnsiTheme="minorHAnsi" w:cstheme="minorHAnsi"/>
          <w:sz w:val="22"/>
          <w:szCs w:val="22"/>
        </w:rPr>
        <w:t xml:space="preserve"> </w:t>
      </w:r>
      <w:r w:rsidR="00570AEF">
        <w:rPr>
          <w:rFonts w:asciiTheme="minorHAnsi" w:hAnsiTheme="minorHAnsi" w:cstheme="minorHAnsi"/>
          <w:sz w:val="22"/>
          <w:szCs w:val="22"/>
        </w:rPr>
        <w:t>23,49</w:t>
      </w:r>
      <w:r w:rsidR="00C2412A" w:rsidRPr="008C4A96">
        <w:rPr>
          <w:rFonts w:asciiTheme="minorHAnsi" w:hAnsiTheme="minorHAnsi" w:cstheme="minorHAnsi"/>
          <w:sz w:val="22"/>
          <w:szCs w:val="22"/>
        </w:rPr>
        <w:t> mil. </w:t>
      </w:r>
      <w:r w:rsidRPr="008C4A96">
        <w:rPr>
          <w:rFonts w:asciiTheme="minorHAnsi" w:hAnsiTheme="minorHAnsi" w:cstheme="minorHAnsi"/>
          <w:sz w:val="22"/>
          <w:szCs w:val="22"/>
        </w:rPr>
        <w:t>Kč. Příspěvkové organizace dostávají z rozpočtu města příspěvek na odpisy, přičemž část připadající na odpisy budov odvádějí zpět zřizovateli.</w:t>
      </w:r>
      <w:r w:rsidR="00381E78" w:rsidRPr="008C4A96">
        <w:rPr>
          <w:rFonts w:asciiTheme="minorHAnsi" w:hAnsiTheme="minorHAnsi" w:cstheme="minorHAnsi"/>
          <w:sz w:val="22"/>
          <w:szCs w:val="22"/>
        </w:rPr>
        <w:t xml:space="preserve"> </w:t>
      </w:r>
    </w:p>
    <w:p w:rsidR="00C50A05" w:rsidRPr="008C4A96" w:rsidRDefault="00C50A05" w:rsidP="00381E78">
      <w:pPr>
        <w:jc w:val="both"/>
        <w:rPr>
          <w:rFonts w:asciiTheme="minorHAnsi" w:hAnsiTheme="minorHAnsi" w:cstheme="minorHAnsi"/>
          <w:sz w:val="22"/>
          <w:szCs w:val="22"/>
        </w:rPr>
      </w:pPr>
    </w:p>
    <w:p w:rsidR="00C50A05" w:rsidRPr="002B02DF" w:rsidRDefault="00C50A05" w:rsidP="008B774E">
      <w:pPr>
        <w:jc w:val="both"/>
        <w:rPr>
          <w:rFonts w:asciiTheme="minorHAnsi" w:hAnsiTheme="minorHAnsi" w:cstheme="minorHAnsi"/>
          <w:color w:val="A6A6A6" w:themeColor="background1" w:themeShade="A6"/>
          <w:sz w:val="22"/>
          <w:szCs w:val="22"/>
        </w:rPr>
      </w:pPr>
      <w:r w:rsidRPr="00D930F6">
        <w:rPr>
          <w:rFonts w:asciiTheme="minorHAnsi" w:hAnsiTheme="minorHAnsi" w:cstheme="minorHAnsi"/>
          <w:sz w:val="22"/>
          <w:szCs w:val="22"/>
          <w:u w:val="single"/>
        </w:rPr>
        <w:t>Výnosy z finančního majetku</w:t>
      </w:r>
      <w:r w:rsidRPr="00D930F6">
        <w:rPr>
          <w:rFonts w:asciiTheme="minorHAnsi" w:hAnsiTheme="minorHAnsi" w:cstheme="minorHAnsi"/>
          <w:sz w:val="22"/>
          <w:szCs w:val="22"/>
        </w:rPr>
        <w:t xml:space="preserve"> do rozpočtu města přinesly </w:t>
      </w:r>
      <w:r w:rsidR="000A0AD3" w:rsidRPr="00D930F6">
        <w:rPr>
          <w:rFonts w:asciiTheme="minorHAnsi" w:hAnsiTheme="minorHAnsi" w:cstheme="minorHAnsi"/>
          <w:sz w:val="22"/>
          <w:szCs w:val="22"/>
        </w:rPr>
        <w:t xml:space="preserve">částku </w:t>
      </w:r>
      <w:r w:rsidR="00570AEF">
        <w:rPr>
          <w:rFonts w:asciiTheme="minorHAnsi" w:hAnsiTheme="minorHAnsi" w:cstheme="minorHAnsi"/>
          <w:sz w:val="22"/>
          <w:szCs w:val="22"/>
        </w:rPr>
        <w:t>9,49</w:t>
      </w:r>
      <w:r w:rsidRPr="00D930F6">
        <w:rPr>
          <w:rFonts w:asciiTheme="minorHAnsi" w:hAnsiTheme="minorHAnsi" w:cstheme="minorHAnsi"/>
          <w:sz w:val="22"/>
          <w:szCs w:val="22"/>
        </w:rPr>
        <w:t xml:space="preserve"> mil. Kč.</w:t>
      </w:r>
      <w:r w:rsidR="008B774E" w:rsidRPr="00D930F6">
        <w:rPr>
          <w:rFonts w:asciiTheme="minorHAnsi" w:hAnsiTheme="minorHAnsi" w:cstheme="minorHAnsi"/>
          <w:sz w:val="22"/>
          <w:szCs w:val="22"/>
        </w:rPr>
        <w:t xml:space="preserve"> </w:t>
      </w:r>
      <w:r w:rsidR="00D930F6">
        <w:rPr>
          <w:rFonts w:asciiTheme="minorHAnsi" w:hAnsiTheme="minorHAnsi" w:cstheme="minorHAnsi"/>
          <w:sz w:val="22"/>
          <w:szCs w:val="22"/>
        </w:rPr>
        <w:t xml:space="preserve">Příjmy z úroků činily </w:t>
      </w:r>
      <w:r w:rsidR="00570AEF">
        <w:rPr>
          <w:rFonts w:asciiTheme="minorHAnsi" w:hAnsiTheme="minorHAnsi" w:cstheme="minorHAnsi"/>
          <w:sz w:val="22"/>
          <w:szCs w:val="22"/>
        </w:rPr>
        <w:t>7,02</w:t>
      </w:r>
      <w:r w:rsidR="00D930F6">
        <w:rPr>
          <w:rFonts w:asciiTheme="minorHAnsi" w:hAnsiTheme="minorHAnsi" w:cstheme="minorHAnsi"/>
          <w:sz w:val="22"/>
          <w:szCs w:val="22"/>
        </w:rPr>
        <w:t xml:space="preserve"> tis. Kč. </w:t>
      </w:r>
      <w:r w:rsidR="008B774E" w:rsidRPr="00D930F6">
        <w:rPr>
          <w:rFonts w:asciiTheme="minorHAnsi" w:hAnsiTheme="minorHAnsi" w:cstheme="minorHAnsi"/>
          <w:sz w:val="22"/>
          <w:szCs w:val="22"/>
        </w:rPr>
        <w:t>Na di</w:t>
      </w:r>
      <w:r w:rsidR="000A104A" w:rsidRPr="00D930F6">
        <w:rPr>
          <w:rFonts w:asciiTheme="minorHAnsi" w:hAnsiTheme="minorHAnsi" w:cstheme="minorHAnsi"/>
          <w:sz w:val="22"/>
          <w:szCs w:val="22"/>
        </w:rPr>
        <w:t xml:space="preserve">videndách město inkasovalo </w:t>
      </w:r>
      <w:r w:rsidR="00457FDD">
        <w:rPr>
          <w:rFonts w:asciiTheme="minorHAnsi" w:hAnsiTheme="minorHAnsi" w:cstheme="minorHAnsi"/>
          <w:sz w:val="22"/>
          <w:szCs w:val="22"/>
        </w:rPr>
        <w:t>2,47</w:t>
      </w:r>
      <w:r w:rsidR="00E352C8" w:rsidRPr="00D930F6">
        <w:rPr>
          <w:rFonts w:asciiTheme="minorHAnsi" w:hAnsiTheme="minorHAnsi" w:cstheme="minorHAnsi"/>
          <w:sz w:val="22"/>
          <w:szCs w:val="22"/>
        </w:rPr>
        <w:t> </w:t>
      </w:r>
      <w:r w:rsidR="003B407D" w:rsidRPr="00D930F6">
        <w:rPr>
          <w:rFonts w:asciiTheme="minorHAnsi" w:hAnsiTheme="minorHAnsi" w:cstheme="minorHAnsi"/>
          <w:sz w:val="22"/>
          <w:szCs w:val="22"/>
        </w:rPr>
        <w:t>mil. </w:t>
      </w:r>
      <w:r w:rsidR="008B774E" w:rsidRPr="00D930F6">
        <w:rPr>
          <w:rFonts w:asciiTheme="minorHAnsi" w:hAnsiTheme="minorHAnsi" w:cstheme="minorHAnsi"/>
          <w:sz w:val="22"/>
          <w:szCs w:val="22"/>
        </w:rPr>
        <w:t>Kč, konkrétně</w:t>
      </w:r>
      <w:r w:rsidR="00D930F6">
        <w:rPr>
          <w:rFonts w:asciiTheme="minorHAnsi" w:hAnsiTheme="minorHAnsi" w:cstheme="minorHAnsi"/>
          <w:sz w:val="22"/>
          <w:szCs w:val="22"/>
        </w:rPr>
        <w:t xml:space="preserve"> </w:t>
      </w:r>
      <w:r w:rsidR="001D0783">
        <w:rPr>
          <w:rFonts w:asciiTheme="minorHAnsi" w:hAnsiTheme="minorHAnsi" w:cstheme="minorHAnsi"/>
          <w:sz w:val="22"/>
          <w:szCs w:val="22"/>
        </w:rPr>
        <w:t>2 184,24</w:t>
      </w:r>
      <w:r w:rsidR="00D930F6">
        <w:rPr>
          <w:rFonts w:asciiTheme="minorHAnsi" w:hAnsiTheme="minorHAnsi" w:cstheme="minorHAnsi"/>
          <w:sz w:val="22"/>
          <w:szCs w:val="22"/>
        </w:rPr>
        <w:t xml:space="preserve"> tis. </w:t>
      </w:r>
      <w:r w:rsidR="00D930F6" w:rsidRPr="00D930F6">
        <w:rPr>
          <w:rFonts w:asciiTheme="minorHAnsi" w:hAnsiTheme="minorHAnsi" w:cstheme="minorHAnsi"/>
          <w:sz w:val="22"/>
          <w:szCs w:val="22"/>
        </w:rPr>
        <w:t xml:space="preserve">Kč od </w:t>
      </w:r>
      <w:r w:rsidR="001D0783">
        <w:rPr>
          <w:rFonts w:asciiTheme="minorHAnsi" w:hAnsiTheme="minorHAnsi" w:cstheme="minorHAnsi"/>
          <w:sz w:val="22"/>
          <w:szCs w:val="22"/>
        </w:rPr>
        <w:t xml:space="preserve">FCC </w:t>
      </w:r>
      <w:r w:rsidR="008B774E" w:rsidRPr="00D930F6">
        <w:rPr>
          <w:rFonts w:asciiTheme="minorHAnsi" w:hAnsiTheme="minorHAnsi" w:cstheme="minorHAnsi"/>
          <w:sz w:val="22"/>
          <w:szCs w:val="22"/>
        </w:rPr>
        <w:t>a </w:t>
      </w:r>
      <w:r w:rsidR="00D930F6" w:rsidRPr="00D930F6">
        <w:rPr>
          <w:rFonts w:asciiTheme="minorHAnsi" w:hAnsiTheme="minorHAnsi" w:cstheme="minorHAnsi"/>
          <w:sz w:val="22"/>
          <w:szCs w:val="22"/>
        </w:rPr>
        <w:t>286,07</w:t>
      </w:r>
      <w:r w:rsidR="000A0AD3" w:rsidRPr="00D930F6">
        <w:rPr>
          <w:rFonts w:asciiTheme="minorHAnsi" w:hAnsiTheme="minorHAnsi" w:cstheme="minorHAnsi"/>
          <w:sz w:val="22"/>
          <w:szCs w:val="22"/>
        </w:rPr>
        <w:t> tis. </w:t>
      </w:r>
      <w:r w:rsidR="008B774E" w:rsidRPr="00D930F6">
        <w:rPr>
          <w:rFonts w:asciiTheme="minorHAnsi" w:hAnsiTheme="minorHAnsi" w:cstheme="minorHAnsi"/>
          <w:sz w:val="22"/>
          <w:szCs w:val="22"/>
        </w:rPr>
        <w:t>Kč od FTL.</w:t>
      </w:r>
    </w:p>
    <w:p w:rsidR="003B08F1" w:rsidRDefault="00F141B3" w:rsidP="00230C98">
      <w:pPr>
        <w:pStyle w:val="Nadpis3"/>
        <w:keepLines/>
        <w:rPr>
          <w:b w:val="0"/>
        </w:rPr>
      </w:pPr>
      <w:bookmarkStart w:id="13" w:name="_Toc39129500"/>
      <w:r w:rsidRPr="003B206F">
        <w:rPr>
          <w:b w:val="0"/>
        </w:rPr>
        <w:t xml:space="preserve">Příjmy z vlastní činnosti a odvody přebytků organizací s přímým </w:t>
      </w:r>
      <w:r w:rsidR="000E028E" w:rsidRPr="003B206F">
        <w:rPr>
          <w:b w:val="0"/>
        </w:rPr>
        <w:t>vztahem</w:t>
      </w:r>
      <w:r w:rsidR="007840A1" w:rsidRPr="003B206F">
        <w:rPr>
          <w:b w:val="0"/>
        </w:rPr>
        <w:t xml:space="preserve"> v letech 20</w:t>
      </w:r>
      <w:r w:rsidR="001D0783">
        <w:rPr>
          <w:b w:val="0"/>
        </w:rPr>
        <w:t>20</w:t>
      </w:r>
      <w:r w:rsidR="003E40CF" w:rsidRPr="003B206F">
        <w:rPr>
          <w:b w:val="0"/>
        </w:rPr>
        <w:t xml:space="preserve"> – 20</w:t>
      </w:r>
      <w:r w:rsidR="001D0783">
        <w:rPr>
          <w:b w:val="0"/>
        </w:rPr>
        <w:t>22</w:t>
      </w:r>
      <w:r w:rsidR="007840A1" w:rsidRPr="003B206F">
        <w:rPr>
          <w:b w:val="0"/>
        </w:rPr>
        <w:t xml:space="preserve"> (v Kč)</w:t>
      </w:r>
      <w:bookmarkEnd w:id="13"/>
    </w:p>
    <w:tbl>
      <w:tblPr>
        <w:tblW w:w="9067" w:type="dxa"/>
        <w:tblCellMar>
          <w:left w:w="70" w:type="dxa"/>
          <w:right w:w="70" w:type="dxa"/>
        </w:tblCellMar>
        <w:tblLook w:val="04A0" w:firstRow="1" w:lastRow="0" w:firstColumn="1" w:lastColumn="0" w:noHBand="0" w:noVBand="1"/>
      </w:tblPr>
      <w:tblGrid>
        <w:gridCol w:w="414"/>
        <w:gridCol w:w="505"/>
        <w:gridCol w:w="4179"/>
        <w:gridCol w:w="1276"/>
        <w:gridCol w:w="1276"/>
        <w:gridCol w:w="1417"/>
      </w:tblGrid>
      <w:tr w:rsidR="001D0783" w:rsidTr="001D0783">
        <w:trPr>
          <w:trHeight w:val="242"/>
        </w:trPr>
        <w:tc>
          <w:tcPr>
            <w:tcW w:w="5098" w:type="dxa"/>
            <w:gridSpan w:val="3"/>
            <w:tcBorders>
              <w:top w:val="single" w:sz="4" w:space="0" w:color="auto"/>
              <w:left w:val="single" w:sz="4" w:space="0" w:color="auto"/>
              <w:bottom w:val="single" w:sz="4" w:space="0" w:color="auto"/>
              <w:right w:val="single" w:sz="4" w:space="0" w:color="auto"/>
            </w:tcBorders>
            <w:shd w:val="clear" w:color="D6A100" w:fill="FFC000"/>
            <w:noWrap/>
            <w:vAlign w:val="bottom"/>
            <w:hideMark/>
          </w:tcPr>
          <w:p w:rsidR="001D0783" w:rsidRDefault="001D0783">
            <w:pPr>
              <w:jc w:val="center"/>
              <w:rPr>
                <w:rFonts w:ascii="Calibri" w:hAnsi="Calibri" w:cs="Calibri"/>
                <w:color w:val="000000"/>
                <w:sz w:val="18"/>
                <w:szCs w:val="18"/>
              </w:rPr>
            </w:pPr>
            <w:r>
              <w:rPr>
                <w:rFonts w:ascii="Calibri" w:hAnsi="Calibri" w:cs="Calibri"/>
                <w:color w:val="000000"/>
                <w:sz w:val="18"/>
                <w:szCs w:val="18"/>
              </w:rPr>
              <w:t> </w:t>
            </w:r>
          </w:p>
        </w:tc>
        <w:tc>
          <w:tcPr>
            <w:tcW w:w="1276" w:type="dxa"/>
            <w:tcBorders>
              <w:top w:val="single" w:sz="4" w:space="0" w:color="auto"/>
              <w:left w:val="nil"/>
              <w:bottom w:val="single" w:sz="4" w:space="0" w:color="auto"/>
              <w:right w:val="single" w:sz="4" w:space="0" w:color="auto"/>
            </w:tcBorders>
            <w:shd w:val="clear" w:color="D6A100" w:fill="FFC000"/>
            <w:noWrap/>
            <w:vAlign w:val="bottom"/>
            <w:hideMark/>
          </w:tcPr>
          <w:p w:rsidR="001D0783" w:rsidRDefault="001D0783">
            <w:pPr>
              <w:jc w:val="center"/>
              <w:rPr>
                <w:rFonts w:ascii="Calibri" w:hAnsi="Calibri" w:cs="Calibri"/>
                <w:color w:val="000000"/>
                <w:sz w:val="18"/>
                <w:szCs w:val="18"/>
              </w:rPr>
            </w:pPr>
            <w:r>
              <w:rPr>
                <w:rFonts w:ascii="Calibri" w:hAnsi="Calibri" w:cs="Calibri"/>
                <w:color w:val="000000"/>
                <w:sz w:val="18"/>
                <w:szCs w:val="18"/>
              </w:rPr>
              <w:t>2020</w:t>
            </w:r>
          </w:p>
        </w:tc>
        <w:tc>
          <w:tcPr>
            <w:tcW w:w="1276" w:type="dxa"/>
            <w:tcBorders>
              <w:top w:val="single" w:sz="4" w:space="0" w:color="auto"/>
              <w:left w:val="nil"/>
              <w:bottom w:val="single" w:sz="4" w:space="0" w:color="auto"/>
              <w:right w:val="single" w:sz="4" w:space="0" w:color="auto"/>
            </w:tcBorders>
            <w:shd w:val="clear" w:color="D6A100" w:fill="FFC000"/>
            <w:noWrap/>
            <w:vAlign w:val="bottom"/>
            <w:hideMark/>
          </w:tcPr>
          <w:p w:rsidR="001D0783" w:rsidRDefault="001D0783">
            <w:pPr>
              <w:jc w:val="center"/>
              <w:rPr>
                <w:rFonts w:ascii="Calibri" w:hAnsi="Calibri" w:cs="Calibri"/>
                <w:color w:val="000000"/>
                <w:sz w:val="18"/>
                <w:szCs w:val="18"/>
              </w:rPr>
            </w:pPr>
            <w:r>
              <w:rPr>
                <w:rFonts w:ascii="Calibri" w:hAnsi="Calibri" w:cs="Calibri"/>
                <w:color w:val="000000"/>
                <w:sz w:val="18"/>
                <w:szCs w:val="18"/>
              </w:rPr>
              <w:t>2021</w:t>
            </w:r>
          </w:p>
        </w:tc>
        <w:tc>
          <w:tcPr>
            <w:tcW w:w="1417" w:type="dxa"/>
            <w:tcBorders>
              <w:top w:val="single" w:sz="4" w:space="0" w:color="auto"/>
              <w:left w:val="nil"/>
              <w:bottom w:val="single" w:sz="4" w:space="0" w:color="auto"/>
              <w:right w:val="single" w:sz="4" w:space="0" w:color="auto"/>
            </w:tcBorders>
            <w:shd w:val="clear" w:color="D6A100" w:fill="FFC000"/>
            <w:noWrap/>
            <w:vAlign w:val="bottom"/>
            <w:hideMark/>
          </w:tcPr>
          <w:p w:rsidR="001D0783" w:rsidRDefault="001D0783">
            <w:pPr>
              <w:jc w:val="center"/>
              <w:rPr>
                <w:rFonts w:ascii="Calibri" w:hAnsi="Calibri" w:cs="Calibri"/>
                <w:color w:val="000000"/>
                <w:sz w:val="18"/>
                <w:szCs w:val="18"/>
              </w:rPr>
            </w:pPr>
            <w:r>
              <w:rPr>
                <w:rFonts w:ascii="Calibri" w:hAnsi="Calibri" w:cs="Calibri"/>
                <w:color w:val="000000"/>
                <w:sz w:val="18"/>
                <w:szCs w:val="18"/>
              </w:rPr>
              <w:t>2022</w:t>
            </w:r>
          </w:p>
        </w:tc>
      </w:tr>
      <w:tr w:rsidR="001D0783" w:rsidTr="001D0783">
        <w:trPr>
          <w:trHeight w:val="289"/>
        </w:trPr>
        <w:tc>
          <w:tcPr>
            <w:tcW w:w="5098" w:type="dxa"/>
            <w:gridSpan w:val="3"/>
            <w:tcBorders>
              <w:top w:val="single" w:sz="4" w:space="0" w:color="auto"/>
              <w:left w:val="single" w:sz="4" w:space="0" w:color="auto"/>
              <w:bottom w:val="single" w:sz="4" w:space="0" w:color="auto"/>
              <w:right w:val="single" w:sz="4" w:space="0" w:color="000000"/>
            </w:tcBorders>
            <w:shd w:val="clear" w:color="FCD5B4" w:fill="FFE699"/>
            <w:noWrap/>
            <w:vAlign w:val="bottom"/>
            <w:hideMark/>
          </w:tcPr>
          <w:p w:rsidR="001D0783" w:rsidRDefault="001D0783">
            <w:pPr>
              <w:rPr>
                <w:rFonts w:ascii="Calibri" w:hAnsi="Calibri" w:cs="Calibri"/>
                <w:color w:val="000000"/>
                <w:sz w:val="18"/>
                <w:szCs w:val="18"/>
              </w:rPr>
            </w:pPr>
            <w:r>
              <w:rPr>
                <w:rFonts w:ascii="Calibri" w:hAnsi="Calibri" w:cs="Calibri"/>
                <w:color w:val="000000"/>
                <w:sz w:val="18"/>
                <w:szCs w:val="18"/>
              </w:rPr>
              <w:t>Příjmy z vl.činnosti a odvody přebytků organizací s přímým vztahem</w:t>
            </w:r>
          </w:p>
        </w:tc>
        <w:tc>
          <w:tcPr>
            <w:tcW w:w="1276" w:type="dxa"/>
            <w:tcBorders>
              <w:top w:val="nil"/>
              <w:left w:val="nil"/>
              <w:bottom w:val="single" w:sz="4" w:space="0" w:color="auto"/>
              <w:right w:val="single" w:sz="4" w:space="0" w:color="auto"/>
            </w:tcBorders>
            <w:shd w:val="clear" w:color="FCD5B4" w:fill="FFE699"/>
            <w:noWrap/>
            <w:vAlign w:val="bottom"/>
            <w:hideMark/>
          </w:tcPr>
          <w:p w:rsidR="001D0783" w:rsidRPr="009C6088" w:rsidRDefault="001D0783">
            <w:pPr>
              <w:jc w:val="right"/>
              <w:rPr>
                <w:rFonts w:ascii="Calibri" w:hAnsi="Calibri" w:cs="Calibri"/>
                <w:b/>
                <w:color w:val="000000"/>
                <w:sz w:val="18"/>
                <w:szCs w:val="18"/>
              </w:rPr>
            </w:pPr>
            <w:r w:rsidRPr="009C6088">
              <w:rPr>
                <w:rFonts w:ascii="Calibri" w:hAnsi="Calibri" w:cs="Calibri"/>
                <w:b/>
                <w:color w:val="000000"/>
                <w:sz w:val="18"/>
                <w:szCs w:val="18"/>
              </w:rPr>
              <w:t>130 358 570,27</w:t>
            </w:r>
          </w:p>
        </w:tc>
        <w:tc>
          <w:tcPr>
            <w:tcW w:w="1276" w:type="dxa"/>
            <w:tcBorders>
              <w:top w:val="nil"/>
              <w:left w:val="nil"/>
              <w:bottom w:val="single" w:sz="4" w:space="0" w:color="auto"/>
              <w:right w:val="single" w:sz="4" w:space="0" w:color="auto"/>
            </w:tcBorders>
            <w:shd w:val="clear" w:color="FCD5B4" w:fill="FFE699"/>
            <w:noWrap/>
            <w:vAlign w:val="bottom"/>
            <w:hideMark/>
          </w:tcPr>
          <w:p w:rsidR="001D0783" w:rsidRPr="009C6088" w:rsidRDefault="001D0783">
            <w:pPr>
              <w:jc w:val="right"/>
              <w:rPr>
                <w:rFonts w:ascii="Calibri" w:hAnsi="Calibri" w:cs="Calibri"/>
                <w:b/>
                <w:color w:val="000000"/>
                <w:sz w:val="18"/>
                <w:szCs w:val="18"/>
              </w:rPr>
            </w:pPr>
            <w:r w:rsidRPr="009C6088">
              <w:rPr>
                <w:rFonts w:ascii="Calibri" w:hAnsi="Calibri" w:cs="Calibri"/>
                <w:b/>
                <w:color w:val="000000"/>
                <w:sz w:val="18"/>
                <w:szCs w:val="18"/>
              </w:rPr>
              <w:t>124 079 317,48</w:t>
            </w:r>
          </w:p>
        </w:tc>
        <w:tc>
          <w:tcPr>
            <w:tcW w:w="1417" w:type="dxa"/>
            <w:tcBorders>
              <w:top w:val="nil"/>
              <w:left w:val="nil"/>
              <w:bottom w:val="single" w:sz="4" w:space="0" w:color="auto"/>
              <w:right w:val="single" w:sz="4" w:space="0" w:color="auto"/>
            </w:tcBorders>
            <w:shd w:val="clear" w:color="FCD5B4" w:fill="FFE699"/>
            <w:noWrap/>
            <w:vAlign w:val="bottom"/>
            <w:hideMark/>
          </w:tcPr>
          <w:p w:rsidR="001D0783" w:rsidRPr="009C6088" w:rsidRDefault="001D0783">
            <w:pPr>
              <w:jc w:val="right"/>
              <w:rPr>
                <w:rFonts w:ascii="Calibri" w:hAnsi="Calibri" w:cs="Calibri"/>
                <w:b/>
                <w:color w:val="000000"/>
                <w:sz w:val="18"/>
                <w:szCs w:val="18"/>
              </w:rPr>
            </w:pPr>
            <w:r w:rsidRPr="009C6088">
              <w:rPr>
                <w:rFonts w:ascii="Calibri" w:hAnsi="Calibri" w:cs="Calibri"/>
                <w:b/>
                <w:color w:val="000000"/>
                <w:sz w:val="18"/>
                <w:szCs w:val="18"/>
              </w:rPr>
              <w:t>141 713 192,65</w:t>
            </w:r>
          </w:p>
        </w:tc>
      </w:tr>
      <w:tr w:rsidR="001D0783" w:rsidTr="001D0783">
        <w:trPr>
          <w:trHeight w:val="289"/>
        </w:trPr>
        <w:tc>
          <w:tcPr>
            <w:tcW w:w="414" w:type="dxa"/>
            <w:tcBorders>
              <w:top w:val="nil"/>
              <w:left w:val="single" w:sz="4" w:space="0" w:color="auto"/>
              <w:bottom w:val="single" w:sz="4" w:space="0" w:color="auto"/>
              <w:right w:val="single" w:sz="4" w:space="0" w:color="auto"/>
            </w:tcBorders>
            <w:shd w:val="clear" w:color="FDE9D9" w:fill="FFF2CC"/>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211</w:t>
            </w:r>
          </w:p>
        </w:tc>
        <w:tc>
          <w:tcPr>
            <w:tcW w:w="4684" w:type="dxa"/>
            <w:gridSpan w:val="2"/>
            <w:tcBorders>
              <w:top w:val="single" w:sz="4" w:space="0" w:color="auto"/>
              <w:left w:val="nil"/>
              <w:bottom w:val="single" w:sz="4" w:space="0" w:color="auto"/>
              <w:right w:val="single" w:sz="4" w:space="0" w:color="auto"/>
            </w:tcBorders>
            <w:shd w:val="clear" w:color="FDE9D9" w:fill="FFF2CC"/>
            <w:noWrap/>
            <w:vAlign w:val="bottom"/>
            <w:hideMark/>
          </w:tcPr>
          <w:p w:rsidR="001D0783" w:rsidRDefault="001D0783">
            <w:pPr>
              <w:rPr>
                <w:rFonts w:ascii="Calibri" w:hAnsi="Calibri" w:cs="Calibri"/>
                <w:color w:val="000000"/>
                <w:sz w:val="18"/>
                <w:szCs w:val="18"/>
              </w:rPr>
            </w:pPr>
            <w:r>
              <w:rPr>
                <w:rFonts w:ascii="Calibri" w:hAnsi="Calibri" w:cs="Calibri"/>
                <w:color w:val="000000"/>
                <w:sz w:val="18"/>
                <w:szCs w:val="18"/>
              </w:rPr>
              <w:t>Příjmy z vlastní činnosti</w:t>
            </w:r>
          </w:p>
        </w:tc>
        <w:tc>
          <w:tcPr>
            <w:tcW w:w="1276" w:type="dxa"/>
            <w:tcBorders>
              <w:top w:val="nil"/>
              <w:left w:val="nil"/>
              <w:bottom w:val="single" w:sz="4" w:space="0" w:color="auto"/>
              <w:right w:val="single" w:sz="4" w:space="0" w:color="auto"/>
            </w:tcBorders>
            <w:shd w:val="clear" w:color="FDE9D9" w:fill="FFF2CC"/>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29 965 569,61</w:t>
            </w:r>
          </w:p>
        </w:tc>
        <w:tc>
          <w:tcPr>
            <w:tcW w:w="1276" w:type="dxa"/>
            <w:tcBorders>
              <w:top w:val="nil"/>
              <w:left w:val="nil"/>
              <w:bottom w:val="single" w:sz="4" w:space="0" w:color="auto"/>
              <w:right w:val="single" w:sz="4" w:space="0" w:color="auto"/>
            </w:tcBorders>
            <w:shd w:val="clear" w:color="FDE9D9" w:fill="FFF2CC"/>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30 578 436,76</w:t>
            </w:r>
          </w:p>
        </w:tc>
        <w:tc>
          <w:tcPr>
            <w:tcW w:w="1417" w:type="dxa"/>
            <w:tcBorders>
              <w:top w:val="nil"/>
              <w:left w:val="nil"/>
              <w:bottom w:val="single" w:sz="4" w:space="0" w:color="auto"/>
              <w:right w:val="single" w:sz="4" w:space="0" w:color="auto"/>
            </w:tcBorders>
            <w:shd w:val="clear" w:color="FDE9D9" w:fill="FFF2CC"/>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35 853 915,01</w:t>
            </w:r>
          </w:p>
        </w:tc>
      </w:tr>
      <w:tr w:rsidR="001D0783" w:rsidTr="001D0783">
        <w:trPr>
          <w:trHeight w:val="289"/>
        </w:trPr>
        <w:tc>
          <w:tcPr>
            <w:tcW w:w="41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D0783" w:rsidRDefault="001D0783">
            <w:pPr>
              <w:jc w:val="center"/>
              <w:rPr>
                <w:rFonts w:ascii="Calibri" w:hAnsi="Calibri" w:cs="Calibri"/>
                <w:color w:val="000000"/>
                <w:sz w:val="18"/>
                <w:szCs w:val="18"/>
              </w:rPr>
            </w:pPr>
            <w:r>
              <w:rPr>
                <w:rFonts w:ascii="Calibri" w:hAnsi="Calibri" w:cs="Calibri"/>
                <w:color w:val="000000"/>
                <w:sz w:val="18"/>
                <w:szCs w:val="18"/>
              </w:rPr>
              <w:t> </w:t>
            </w:r>
          </w:p>
        </w:tc>
        <w:tc>
          <w:tcPr>
            <w:tcW w:w="505" w:type="dxa"/>
            <w:tcBorders>
              <w:top w:val="nil"/>
              <w:left w:val="nil"/>
              <w:bottom w:val="single" w:sz="4" w:space="0" w:color="auto"/>
              <w:right w:val="single" w:sz="4" w:space="0" w:color="auto"/>
            </w:tcBorders>
            <w:shd w:val="clear" w:color="auto" w:fill="auto"/>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2111</w:t>
            </w:r>
          </w:p>
        </w:tc>
        <w:tc>
          <w:tcPr>
            <w:tcW w:w="4179" w:type="dxa"/>
            <w:tcBorders>
              <w:top w:val="nil"/>
              <w:left w:val="nil"/>
              <w:bottom w:val="single" w:sz="4" w:space="0" w:color="auto"/>
              <w:right w:val="single" w:sz="4" w:space="0" w:color="auto"/>
            </w:tcBorders>
            <w:shd w:val="clear" w:color="auto" w:fill="auto"/>
            <w:noWrap/>
            <w:vAlign w:val="bottom"/>
            <w:hideMark/>
          </w:tcPr>
          <w:p w:rsidR="001D0783" w:rsidRDefault="001D0783">
            <w:pPr>
              <w:rPr>
                <w:rFonts w:ascii="Calibri" w:hAnsi="Calibri" w:cs="Calibri"/>
                <w:color w:val="000000"/>
                <w:sz w:val="18"/>
                <w:szCs w:val="18"/>
              </w:rPr>
            </w:pPr>
            <w:r>
              <w:rPr>
                <w:rFonts w:ascii="Calibri" w:hAnsi="Calibri" w:cs="Calibri"/>
                <w:color w:val="000000"/>
                <w:sz w:val="18"/>
                <w:szCs w:val="18"/>
              </w:rPr>
              <w:t>Příjmy z poskytování služeb a výrobků</w:t>
            </w:r>
          </w:p>
        </w:tc>
        <w:tc>
          <w:tcPr>
            <w:tcW w:w="1276" w:type="dxa"/>
            <w:tcBorders>
              <w:top w:val="nil"/>
              <w:left w:val="nil"/>
              <w:bottom w:val="single" w:sz="4" w:space="0" w:color="auto"/>
              <w:right w:val="single" w:sz="4" w:space="0" w:color="auto"/>
            </w:tcBorders>
            <w:shd w:val="clear" w:color="auto" w:fill="auto"/>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28 726 381,09</w:t>
            </w:r>
          </w:p>
        </w:tc>
        <w:tc>
          <w:tcPr>
            <w:tcW w:w="1276" w:type="dxa"/>
            <w:tcBorders>
              <w:top w:val="nil"/>
              <w:left w:val="nil"/>
              <w:bottom w:val="single" w:sz="4" w:space="0" w:color="auto"/>
              <w:right w:val="single" w:sz="4" w:space="0" w:color="auto"/>
            </w:tcBorders>
            <w:shd w:val="clear" w:color="auto" w:fill="auto"/>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28 842 584,18</w:t>
            </w:r>
          </w:p>
        </w:tc>
        <w:tc>
          <w:tcPr>
            <w:tcW w:w="1417" w:type="dxa"/>
            <w:tcBorders>
              <w:top w:val="nil"/>
              <w:left w:val="nil"/>
              <w:bottom w:val="single" w:sz="4" w:space="0" w:color="auto"/>
              <w:right w:val="single" w:sz="4" w:space="0" w:color="auto"/>
            </w:tcBorders>
            <w:shd w:val="clear" w:color="auto" w:fill="auto"/>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33 011 702,50</w:t>
            </w:r>
          </w:p>
        </w:tc>
      </w:tr>
      <w:tr w:rsidR="001D0783" w:rsidTr="001D0783">
        <w:trPr>
          <w:trHeight w:val="289"/>
        </w:trPr>
        <w:tc>
          <w:tcPr>
            <w:tcW w:w="414" w:type="dxa"/>
            <w:vMerge/>
            <w:tcBorders>
              <w:top w:val="nil"/>
              <w:left w:val="single" w:sz="4" w:space="0" w:color="auto"/>
              <w:bottom w:val="single" w:sz="4" w:space="0" w:color="auto"/>
              <w:right w:val="single" w:sz="4" w:space="0" w:color="auto"/>
            </w:tcBorders>
            <w:vAlign w:val="center"/>
            <w:hideMark/>
          </w:tcPr>
          <w:p w:rsidR="001D0783" w:rsidRDefault="001D0783">
            <w:pPr>
              <w:rPr>
                <w:rFonts w:ascii="Calibri" w:hAnsi="Calibri" w:cs="Calibri"/>
                <w:color w:val="000000"/>
                <w:sz w:val="18"/>
                <w:szCs w:val="18"/>
              </w:rPr>
            </w:pPr>
          </w:p>
        </w:tc>
        <w:tc>
          <w:tcPr>
            <w:tcW w:w="505" w:type="dxa"/>
            <w:tcBorders>
              <w:top w:val="nil"/>
              <w:left w:val="nil"/>
              <w:bottom w:val="single" w:sz="4" w:space="0" w:color="auto"/>
              <w:right w:val="single" w:sz="4" w:space="0" w:color="auto"/>
            </w:tcBorders>
            <w:shd w:val="clear" w:color="auto" w:fill="auto"/>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2112</w:t>
            </w:r>
          </w:p>
        </w:tc>
        <w:tc>
          <w:tcPr>
            <w:tcW w:w="4179" w:type="dxa"/>
            <w:tcBorders>
              <w:top w:val="nil"/>
              <w:left w:val="nil"/>
              <w:bottom w:val="single" w:sz="4" w:space="0" w:color="auto"/>
              <w:right w:val="single" w:sz="4" w:space="0" w:color="auto"/>
            </w:tcBorders>
            <w:shd w:val="clear" w:color="auto" w:fill="auto"/>
            <w:noWrap/>
            <w:vAlign w:val="bottom"/>
            <w:hideMark/>
          </w:tcPr>
          <w:p w:rsidR="001D0783" w:rsidRDefault="001D0783">
            <w:pPr>
              <w:rPr>
                <w:rFonts w:ascii="Calibri" w:hAnsi="Calibri" w:cs="Calibri"/>
                <w:color w:val="000000"/>
                <w:sz w:val="18"/>
                <w:szCs w:val="18"/>
              </w:rPr>
            </w:pPr>
            <w:r>
              <w:rPr>
                <w:rFonts w:ascii="Calibri" w:hAnsi="Calibri" w:cs="Calibri"/>
                <w:color w:val="000000"/>
                <w:sz w:val="18"/>
                <w:szCs w:val="18"/>
              </w:rPr>
              <w:t>Příjmy z prodeje zboží</w:t>
            </w:r>
          </w:p>
        </w:tc>
        <w:tc>
          <w:tcPr>
            <w:tcW w:w="1276" w:type="dxa"/>
            <w:tcBorders>
              <w:top w:val="nil"/>
              <w:left w:val="nil"/>
              <w:bottom w:val="single" w:sz="4" w:space="0" w:color="auto"/>
              <w:right w:val="single" w:sz="4" w:space="0" w:color="auto"/>
            </w:tcBorders>
            <w:shd w:val="clear" w:color="auto" w:fill="auto"/>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48 249,00</w:t>
            </w:r>
          </w:p>
        </w:tc>
        <w:tc>
          <w:tcPr>
            <w:tcW w:w="1276" w:type="dxa"/>
            <w:tcBorders>
              <w:top w:val="nil"/>
              <w:left w:val="nil"/>
              <w:bottom w:val="single" w:sz="4" w:space="0" w:color="auto"/>
              <w:right w:val="single" w:sz="4" w:space="0" w:color="auto"/>
            </w:tcBorders>
            <w:shd w:val="clear" w:color="auto" w:fill="auto"/>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14 732,00</w:t>
            </w:r>
          </w:p>
        </w:tc>
        <w:tc>
          <w:tcPr>
            <w:tcW w:w="1417" w:type="dxa"/>
            <w:tcBorders>
              <w:top w:val="nil"/>
              <w:left w:val="nil"/>
              <w:bottom w:val="single" w:sz="4" w:space="0" w:color="auto"/>
              <w:right w:val="single" w:sz="4" w:space="0" w:color="auto"/>
            </w:tcBorders>
            <w:shd w:val="clear" w:color="auto" w:fill="auto"/>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143 902,00</w:t>
            </w:r>
          </w:p>
        </w:tc>
      </w:tr>
      <w:tr w:rsidR="001D0783" w:rsidTr="001D0783">
        <w:trPr>
          <w:trHeight w:val="289"/>
        </w:trPr>
        <w:tc>
          <w:tcPr>
            <w:tcW w:w="414" w:type="dxa"/>
            <w:vMerge/>
            <w:tcBorders>
              <w:top w:val="nil"/>
              <w:left w:val="single" w:sz="4" w:space="0" w:color="auto"/>
              <w:bottom w:val="single" w:sz="4" w:space="0" w:color="auto"/>
              <w:right w:val="single" w:sz="4" w:space="0" w:color="auto"/>
            </w:tcBorders>
            <w:vAlign w:val="center"/>
            <w:hideMark/>
          </w:tcPr>
          <w:p w:rsidR="001D0783" w:rsidRDefault="001D0783">
            <w:pPr>
              <w:rPr>
                <w:rFonts w:ascii="Calibri" w:hAnsi="Calibri" w:cs="Calibri"/>
                <w:color w:val="000000"/>
                <w:sz w:val="18"/>
                <w:szCs w:val="18"/>
              </w:rPr>
            </w:pPr>
          </w:p>
        </w:tc>
        <w:tc>
          <w:tcPr>
            <w:tcW w:w="505" w:type="dxa"/>
            <w:tcBorders>
              <w:top w:val="nil"/>
              <w:left w:val="nil"/>
              <w:bottom w:val="single" w:sz="4" w:space="0" w:color="auto"/>
              <w:right w:val="single" w:sz="4" w:space="0" w:color="auto"/>
            </w:tcBorders>
            <w:shd w:val="clear" w:color="auto" w:fill="auto"/>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2119</w:t>
            </w:r>
          </w:p>
        </w:tc>
        <w:tc>
          <w:tcPr>
            <w:tcW w:w="4179" w:type="dxa"/>
            <w:tcBorders>
              <w:top w:val="nil"/>
              <w:left w:val="nil"/>
              <w:bottom w:val="single" w:sz="4" w:space="0" w:color="auto"/>
              <w:right w:val="single" w:sz="4" w:space="0" w:color="auto"/>
            </w:tcBorders>
            <w:shd w:val="clear" w:color="auto" w:fill="auto"/>
            <w:noWrap/>
            <w:vAlign w:val="bottom"/>
            <w:hideMark/>
          </w:tcPr>
          <w:p w:rsidR="001D0783" w:rsidRDefault="001D0783">
            <w:pPr>
              <w:rPr>
                <w:rFonts w:ascii="Calibri" w:hAnsi="Calibri" w:cs="Calibri"/>
                <w:color w:val="000000"/>
                <w:sz w:val="18"/>
                <w:szCs w:val="18"/>
              </w:rPr>
            </w:pPr>
            <w:r>
              <w:rPr>
                <w:rFonts w:ascii="Calibri" w:hAnsi="Calibri" w:cs="Calibri"/>
                <w:color w:val="000000"/>
                <w:sz w:val="18"/>
                <w:szCs w:val="18"/>
              </w:rPr>
              <w:t>Ostatní příjmy z vlastní činnosti</w:t>
            </w:r>
          </w:p>
        </w:tc>
        <w:tc>
          <w:tcPr>
            <w:tcW w:w="1276" w:type="dxa"/>
            <w:tcBorders>
              <w:top w:val="nil"/>
              <w:left w:val="nil"/>
              <w:bottom w:val="single" w:sz="4" w:space="0" w:color="auto"/>
              <w:right w:val="single" w:sz="4" w:space="0" w:color="auto"/>
            </w:tcBorders>
            <w:shd w:val="clear" w:color="auto" w:fill="auto"/>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1 190 939,52</w:t>
            </w:r>
          </w:p>
        </w:tc>
        <w:tc>
          <w:tcPr>
            <w:tcW w:w="1276" w:type="dxa"/>
            <w:tcBorders>
              <w:top w:val="nil"/>
              <w:left w:val="nil"/>
              <w:bottom w:val="single" w:sz="4" w:space="0" w:color="auto"/>
              <w:right w:val="single" w:sz="4" w:space="0" w:color="auto"/>
            </w:tcBorders>
            <w:shd w:val="clear" w:color="auto" w:fill="auto"/>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1 721 120,58</w:t>
            </w:r>
          </w:p>
        </w:tc>
        <w:tc>
          <w:tcPr>
            <w:tcW w:w="1417" w:type="dxa"/>
            <w:tcBorders>
              <w:top w:val="nil"/>
              <w:left w:val="nil"/>
              <w:bottom w:val="single" w:sz="4" w:space="0" w:color="auto"/>
              <w:right w:val="single" w:sz="4" w:space="0" w:color="auto"/>
            </w:tcBorders>
            <w:shd w:val="clear" w:color="auto" w:fill="auto"/>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2 698 310,51</w:t>
            </w:r>
          </w:p>
        </w:tc>
      </w:tr>
      <w:tr w:rsidR="001D0783" w:rsidTr="001D0783">
        <w:trPr>
          <w:trHeight w:val="289"/>
        </w:trPr>
        <w:tc>
          <w:tcPr>
            <w:tcW w:w="414" w:type="dxa"/>
            <w:tcBorders>
              <w:top w:val="nil"/>
              <w:left w:val="single" w:sz="4" w:space="0" w:color="auto"/>
              <w:bottom w:val="single" w:sz="4" w:space="0" w:color="auto"/>
              <w:right w:val="single" w:sz="4" w:space="0" w:color="auto"/>
            </w:tcBorders>
            <w:shd w:val="clear" w:color="FDE9D9" w:fill="FFF2CC"/>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212</w:t>
            </w:r>
          </w:p>
        </w:tc>
        <w:tc>
          <w:tcPr>
            <w:tcW w:w="4684" w:type="dxa"/>
            <w:gridSpan w:val="2"/>
            <w:tcBorders>
              <w:top w:val="single" w:sz="4" w:space="0" w:color="auto"/>
              <w:left w:val="nil"/>
              <w:bottom w:val="single" w:sz="4" w:space="0" w:color="auto"/>
              <w:right w:val="single" w:sz="4" w:space="0" w:color="auto"/>
            </w:tcBorders>
            <w:shd w:val="clear" w:color="FDE9D9" w:fill="FFF2CC"/>
            <w:noWrap/>
            <w:vAlign w:val="bottom"/>
            <w:hideMark/>
          </w:tcPr>
          <w:p w:rsidR="001D0783" w:rsidRDefault="001D0783">
            <w:pPr>
              <w:rPr>
                <w:rFonts w:ascii="Calibri" w:hAnsi="Calibri" w:cs="Calibri"/>
                <w:color w:val="000000"/>
                <w:sz w:val="18"/>
                <w:szCs w:val="18"/>
              </w:rPr>
            </w:pPr>
            <w:r>
              <w:rPr>
                <w:rFonts w:ascii="Calibri" w:hAnsi="Calibri" w:cs="Calibri"/>
                <w:color w:val="000000"/>
                <w:sz w:val="18"/>
                <w:szCs w:val="18"/>
              </w:rPr>
              <w:t>Odvody přebytků organizací s přímým vztahem</w:t>
            </w:r>
          </w:p>
        </w:tc>
        <w:tc>
          <w:tcPr>
            <w:tcW w:w="1276" w:type="dxa"/>
            <w:tcBorders>
              <w:top w:val="nil"/>
              <w:left w:val="nil"/>
              <w:bottom w:val="single" w:sz="4" w:space="0" w:color="auto"/>
              <w:right w:val="single" w:sz="4" w:space="0" w:color="auto"/>
            </w:tcBorders>
            <w:shd w:val="clear" w:color="FDE9D9" w:fill="FFF2CC"/>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15 613 695,03</w:t>
            </w:r>
          </w:p>
        </w:tc>
        <w:tc>
          <w:tcPr>
            <w:tcW w:w="1276" w:type="dxa"/>
            <w:tcBorders>
              <w:top w:val="nil"/>
              <w:left w:val="nil"/>
              <w:bottom w:val="single" w:sz="4" w:space="0" w:color="auto"/>
              <w:right w:val="single" w:sz="4" w:space="0" w:color="auto"/>
            </w:tcBorders>
            <w:shd w:val="clear" w:color="FDE9D9" w:fill="FFF2CC"/>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17 367 988,92</w:t>
            </w:r>
          </w:p>
        </w:tc>
        <w:tc>
          <w:tcPr>
            <w:tcW w:w="1417" w:type="dxa"/>
            <w:tcBorders>
              <w:top w:val="nil"/>
              <w:left w:val="nil"/>
              <w:bottom w:val="single" w:sz="4" w:space="0" w:color="auto"/>
              <w:right w:val="single" w:sz="4" w:space="0" w:color="auto"/>
            </w:tcBorders>
            <w:shd w:val="clear" w:color="FDE9D9" w:fill="FFF2CC"/>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23 486 457,96</w:t>
            </w:r>
          </w:p>
        </w:tc>
      </w:tr>
      <w:tr w:rsidR="001D0783" w:rsidTr="001D0783">
        <w:trPr>
          <w:trHeight w:val="289"/>
        </w:trPr>
        <w:tc>
          <w:tcPr>
            <w:tcW w:w="41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D0783" w:rsidRDefault="001D0783">
            <w:pPr>
              <w:jc w:val="center"/>
              <w:rPr>
                <w:rFonts w:ascii="Calibri" w:hAnsi="Calibri" w:cs="Calibri"/>
                <w:color w:val="000000"/>
                <w:sz w:val="18"/>
                <w:szCs w:val="18"/>
              </w:rPr>
            </w:pPr>
            <w:r>
              <w:rPr>
                <w:rFonts w:ascii="Calibri" w:hAnsi="Calibri" w:cs="Calibri"/>
                <w:color w:val="000000"/>
                <w:sz w:val="18"/>
                <w:szCs w:val="18"/>
              </w:rPr>
              <w:t> </w:t>
            </w:r>
          </w:p>
        </w:tc>
        <w:tc>
          <w:tcPr>
            <w:tcW w:w="505" w:type="dxa"/>
            <w:tcBorders>
              <w:top w:val="nil"/>
              <w:left w:val="nil"/>
              <w:bottom w:val="single" w:sz="4" w:space="0" w:color="auto"/>
              <w:right w:val="single" w:sz="4" w:space="0" w:color="auto"/>
            </w:tcBorders>
            <w:shd w:val="clear" w:color="auto" w:fill="auto"/>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2122</w:t>
            </w:r>
          </w:p>
        </w:tc>
        <w:tc>
          <w:tcPr>
            <w:tcW w:w="4179" w:type="dxa"/>
            <w:tcBorders>
              <w:top w:val="nil"/>
              <w:left w:val="nil"/>
              <w:bottom w:val="single" w:sz="4" w:space="0" w:color="auto"/>
              <w:right w:val="single" w:sz="4" w:space="0" w:color="auto"/>
            </w:tcBorders>
            <w:shd w:val="clear" w:color="auto" w:fill="auto"/>
            <w:noWrap/>
            <w:vAlign w:val="bottom"/>
            <w:hideMark/>
          </w:tcPr>
          <w:p w:rsidR="001D0783" w:rsidRDefault="001D0783">
            <w:pPr>
              <w:rPr>
                <w:rFonts w:ascii="Calibri" w:hAnsi="Calibri" w:cs="Calibri"/>
                <w:color w:val="000000"/>
                <w:sz w:val="18"/>
                <w:szCs w:val="18"/>
              </w:rPr>
            </w:pPr>
            <w:r>
              <w:rPr>
                <w:rFonts w:ascii="Calibri" w:hAnsi="Calibri" w:cs="Calibri"/>
                <w:color w:val="000000"/>
                <w:sz w:val="18"/>
                <w:szCs w:val="18"/>
              </w:rPr>
              <w:t>Odvody příspěvkových organizací</w:t>
            </w:r>
          </w:p>
        </w:tc>
        <w:tc>
          <w:tcPr>
            <w:tcW w:w="1276" w:type="dxa"/>
            <w:tcBorders>
              <w:top w:val="nil"/>
              <w:left w:val="nil"/>
              <w:bottom w:val="single" w:sz="4" w:space="0" w:color="auto"/>
              <w:right w:val="single" w:sz="4" w:space="0" w:color="auto"/>
            </w:tcBorders>
            <w:shd w:val="clear" w:color="auto" w:fill="auto"/>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15 613 695,03</w:t>
            </w:r>
          </w:p>
        </w:tc>
        <w:tc>
          <w:tcPr>
            <w:tcW w:w="1276" w:type="dxa"/>
            <w:tcBorders>
              <w:top w:val="nil"/>
              <w:left w:val="nil"/>
              <w:bottom w:val="single" w:sz="4" w:space="0" w:color="auto"/>
              <w:right w:val="single" w:sz="4" w:space="0" w:color="auto"/>
            </w:tcBorders>
            <w:shd w:val="clear" w:color="auto" w:fill="auto"/>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17 367 988,92</w:t>
            </w:r>
          </w:p>
        </w:tc>
        <w:tc>
          <w:tcPr>
            <w:tcW w:w="1417" w:type="dxa"/>
            <w:tcBorders>
              <w:top w:val="nil"/>
              <w:left w:val="nil"/>
              <w:bottom w:val="single" w:sz="4" w:space="0" w:color="auto"/>
              <w:right w:val="single" w:sz="4" w:space="0" w:color="auto"/>
            </w:tcBorders>
            <w:shd w:val="clear" w:color="auto" w:fill="auto"/>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23 486 457,96</w:t>
            </w:r>
          </w:p>
        </w:tc>
      </w:tr>
      <w:tr w:rsidR="001D0783" w:rsidTr="001D0783">
        <w:trPr>
          <w:trHeight w:val="289"/>
        </w:trPr>
        <w:tc>
          <w:tcPr>
            <w:tcW w:w="414" w:type="dxa"/>
            <w:vMerge/>
            <w:tcBorders>
              <w:top w:val="nil"/>
              <w:left w:val="single" w:sz="4" w:space="0" w:color="auto"/>
              <w:bottom w:val="single" w:sz="4" w:space="0" w:color="auto"/>
              <w:right w:val="single" w:sz="4" w:space="0" w:color="auto"/>
            </w:tcBorders>
            <w:vAlign w:val="center"/>
            <w:hideMark/>
          </w:tcPr>
          <w:p w:rsidR="001D0783" w:rsidRDefault="001D0783">
            <w:pPr>
              <w:rPr>
                <w:rFonts w:ascii="Calibri" w:hAnsi="Calibri" w:cs="Calibri"/>
                <w:color w:val="000000"/>
                <w:sz w:val="18"/>
                <w:szCs w:val="18"/>
              </w:rPr>
            </w:pPr>
          </w:p>
        </w:tc>
        <w:tc>
          <w:tcPr>
            <w:tcW w:w="505" w:type="dxa"/>
            <w:tcBorders>
              <w:top w:val="nil"/>
              <w:left w:val="nil"/>
              <w:bottom w:val="single" w:sz="4" w:space="0" w:color="auto"/>
              <w:right w:val="single" w:sz="4" w:space="0" w:color="auto"/>
            </w:tcBorders>
            <w:shd w:val="clear" w:color="auto" w:fill="auto"/>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2123</w:t>
            </w:r>
          </w:p>
        </w:tc>
        <w:tc>
          <w:tcPr>
            <w:tcW w:w="4179" w:type="dxa"/>
            <w:tcBorders>
              <w:top w:val="nil"/>
              <w:left w:val="nil"/>
              <w:bottom w:val="single" w:sz="4" w:space="0" w:color="auto"/>
              <w:right w:val="single" w:sz="4" w:space="0" w:color="auto"/>
            </w:tcBorders>
            <w:shd w:val="clear" w:color="auto" w:fill="auto"/>
            <w:noWrap/>
            <w:vAlign w:val="bottom"/>
            <w:hideMark/>
          </w:tcPr>
          <w:p w:rsidR="001D0783" w:rsidRDefault="001D0783">
            <w:pPr>
              <w:rPr>
                <w:rFonts w:ascii="Calibri" w:hAnsi="Calibri" w:cs="Calibri"/>
                <w:color w:val="000000"/>
                <w:sz w:val="18"/>
                <w:szCs w:val="18"/>
              </w:rPr>
            </w:pPr>
            <w:r>
              <w:rPr>
                <w:rFonts w:ascii="Calibri" w:hAnsi="Calibri" w:cs="Calibri"/>
                <w:color w:val="000000"/>
                <w:sz w:val="18"/>
                <w:szCs w:val="18"/>
              </w:rPr>
              <w:t>Ostatní odvody příspěvkových organizací</w:t>
            </w:r>
          </w:p>
        </w:tc>
        <w:tc>
          <w:tcPr>
            <w:tcW w:w="1276" w:type="dxa"/>
            <w:tcBorders>
              <w:top w:val="nil"/>
              <w:left w:val="nil"/>
              <w:bottom w:val="single" w:sz="4" w:space="0" w:color="auto"/>
              <w:right w:val="single" w:sz="4" w:space="0" w:color="auto"/>
            </w:tcBorders>
            <w:shd w:val="clear" w:color="auto" w:fill="auto"/>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0,00</w:t>
            </w:r>
          </w:p>
        </w:tc>
      </w:tr>
      <w:tr w:rsidR="001D0783" w:rsidTr="001D0783">
        <w:trPr>
          <w:trHeight w:val="289"/>
        </w:trPr>
        <w:tc>
          <w:tcPr>
            <w:tcW w:w="414" w:type="dxa"/>
            <w:tcBorders>
              <w:top w:val="nil"/>
              <w:left w:val="single" w:sz="4" w:space="0" w:color="auto"/>
              <w:bottom w:val="single" w:sz="4" w:space="0" w:color="auto"/>
              <w:right w:val="single" w:sz="4" w:space="0" w:color="auto"/>
            </w:tcBorders>
            <w:shd w:val="clear" w:color="FDE9D9" w:fill="FFF2CC"/>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213</w:t>
            </w:r>
          </w:p>
        </w:tc>
        <w:tc>
          <w:tcPr>
            <w:tcW w:w="4684" w:type="dxa"/>
            <w:gridSpan w:val="2"/>
            <w:tcBorders>
              <w:top w:val="single" w:sz="4" w:space="0" w:color="auto"/>
              <w:left w:val="nil"/>
              <w:bottom w:val="single" w:sz="4" w:space="0" w:color="auto"/>
              <w:right w:val="single" w:sz="4" w:space="0" w:color="auto"/>
            </w:tcBorders>
            <w:shd w:val="clear" w:color="FDE9D9" w:fill="FFF2CC"/>
            <w:noWrap/>
            <w:vAlign w:val="bottom"/>
            <w:hideMark/>
          </w:tcPr>
          <w:p w:rsidR="001D0783" w:rsidRDefault="001D0783">
            <w:pPr>
              <w:rPr>
                <w:rFonts w:ascii="Calibri" w:hAnsi="Calibri" w:cs="Calibri"/>
                <w:color w:val="000000"/>
                <w:sz w:val="18"/>
                <w:szCs w:val="18"/>
              </w:rPr>
            </w:pPr>
            <w:r>
              <w:rPr>
                <w:rFonts w:ascii="Calibri" w:hAnsi="Calibri" w:cs="Calibri"/>
                <w:color w:val="000000"/>
                <w:sz w:val="18"/>
                <w:szCs w:val="18"/>
              </w:rPr>
              <w:t>Příjmy z pronájmu majetku</w:t>
            </w:r>
          </w:p>
        </w:tc>
        <w:tc>
          <w:tcPr>
            <w:tcW w:w="1276" w:type="dxa"/>
            <w:tcBorders>
              <w:top w:val="nil"/>
              <w:left w:val="nil"/>
              <w:bottom w:val="single" w:sz="4" w:space="0" w:color="auto"/>
              <w:right w:val="single" w:sz="4" w:space="0" w:color="auto"/>
            </w:tcBorders>
            <w:shd w:val="clear" w:color="FDE9D9" w:fill="FFF2CC"/>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81 543 069,64</w:t>
            </w:r>
          </w:p>
        </w:tc>
        <w:tc>
          <w:tcPr>
            <w:tcW w:w="1276" w:type="dxa"/>
            <w:tcBorders>
              <w:top w:val="nil"/>
              <w:left w:val="nil"/>
              <w:bottom w:val="single" w:sz="4" w:space="0" w:color="auto"/>
              <w:right w:val="single" w:sz="4" w:space="0" w:color="auto"/>
            </w:tcBorders>
            <w:shd w:val="clear" w:color="FDE9D9" w:fill="FFF2CC"/>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71 613 639,09</w:t>
            </w:r>
          </w:p>
        </w:tc>
        <w:tc>
          <w:tcPr>
            <w:tcW w:w="1417" w:type="dxa"/>
            <w:tcBorders>
              <w:top w:val="nil"/>
              <w:left w:val="nil"/>
              <w:bottom w:val="single" w:sz="4" w:space="0" w:color="auto"/>
              <w:right w:val="single" w:sz="4" w:space="0" w:color="auto"/>
            </w:tcBorders>
            <w:shd w:val="clear" w:color="FDE9D9" w:fill="FFF2CC"/>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72 887 363,48</w:t>
            </w:r>
          </w:p>
        </w:tc>
      </w:tr>
      <w:tr w:rsidR="001D0783" w:rsidTr="001D0783">
        <w:trPr>
          <w:trHeight w:val="289"/>
        </w:trPr>
        <w:tc>
          <w:tcPr>
            <w:tcW w:w="41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D0783" w:rsidRDefault="001D0783">
            <w:pPr>
              <w:jc w:val="center"/>
              <w:rPr>
                <w:rFonts w:ascii="Calibri" w:hAnsi="Calibri" w:cs="Calibri"/>
                <w:color w:val="000000"/>
                <w:sz w:val="18"/>
                <w:szCs w:val="18"/>
              </w:rPr>
            </w:pPr>
            <w:r>
              <w:rPr>
                <w:rFonts w:ascii="Calibri" w:hAnsi="Calibri" w:cs="Calibri"/>
                <w:color w:val="000000"/>
                <w:sz w:val="18"/>
                <w:szCs w:val="18"/>
              </w:rPr>
              <w:t> </w:t>
            </w:r>
          </w:p>
        </w:tc>
        <w:tc>
          <w:tcPr>
            <w:tcW w:w="505" w:type="dxa"/>
            <w:tcBorders>
              <w:top w:val="nil"/>
              <w:left w:val="nil"/>
              <w:bottom w:val="single" w:sz="4" w:space="0" w:color="auto"/>
              <w:right w:val="single" w:sz="4" w:space="0" w:color="auto"/>
            </w:tcBorders>
            <w:shd w:val="clear" w:color="auto" w:fill="auto"/>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2131</w:t>
            </w:r>
          </w:p>
        </w:tc>
        <w:tc>
          <w:tcPr>
            <w:tcW w:w="4179" w:type="dxa"/>
            <w:tcBorders>
              <w:top w:val="nil"/>
              <w:left w:val="nil"/>
              <w:bottom w:val="single" w:sz="4" w:space="0" w:color="auto"/>
              <w:right w:val="single" w:sz="4" w:space="0" w:color="auto"/>
            </w:tcBorders>
            <w:shd w:val="clear" w:color="auto" w:fill="auto"/>
            <w:noWrap/>
            <w:vAlign w:val="bottom"/>
            <w:hideMark/>
          </w:tcPr>
          <w:p w:rsidR="001D0783" w:rsidRDefault="001D0783">
            <w:pPr>
              <w:rPr>
                <w:rFonts w:ascii="Calibri" w:hAnsi="Calibri" w:cs="Calibri"/>
                <w:color w:val="000000"/>
                <w:sz w:val="18"/>
                <w:szCs w:val="18"/>
              </w:rPr>
            </w:pPr>
            <w:r>
              <w:rPr>
                <w:rFonts w:ascii="Calibri" w:hAnsi="Calibri" w:cs="Calibri"/>
                <w:color w:val="000000"/>
                <w:sz w:val="18"/>
                <w:szCs w:val="18"/>
              </w:rPr>
              <w:t>Příjmy z pronájmu pozemků</w:t>
            </w:r>
          </w:p>
        </w:tc>
        <w:tc>
          <w:tcPr>
            <w:tcW w:w="1276" w:type="dxa"/>
            <w:tcBorders>
              <w:top w:val="nil"/>
              <w:left w:val="nil"/>
              <w:bottom w:val="single" w:sz="4" w:space="0" w:color="auto"/>
              <w:right w:val="single" w:sz="4" w:space="0" w:color="auto"/>
            </w:tcBorders>
            <w:shd w:val="clear" w:color="auto" w:fill="auto"/>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5 943 733,30</w:t>
            </w:r>
          </w:p>
        </w:tc>
        <w:tc>
          <w:tcPr>
            <w:tcW w:w="1276" w:type="dxa"/>
            <w:tcBorders>
              <w:top w:val="nil"/>
              <w:left w:val="nil"/>
              <w:bottom w:val="single" w:sz="4" w:space="0" w:color="auto"/>
              <w:right w:val="single" w:sz="4" w:space="0" w:color="auto"/>
            </w:tcBorders>
            <w:shd w:val="clear" w:color="auto" w:fill="auto"/>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6 582 608,12</w:t>
            </w:r>
          </w:p>
        </w:tc>
        <w:tc>
          <w:tcPr>
            <w:tcW w:w="1417" w:type="dxa"/>
            <w:tcBorders>
              <w:top w:val="nil"/>
              <w:left w:val="nil"/>
              <w:bottom w:val="single" w:sz="4" w:space="0" w:color="auto"/>
              <w:right w:val="single" w:sz="4" w:space="0" w:color="auto"/>
            </w:tcBorders>
            <w:shd w:val="clear" w:color="auto" w:fill="auto"/>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6 018 153,71</w:t>
            </w:r>
          </w:p>
        </w:tc>
      </w:tr>
      <w:tr w:rsidR="001D0783" w:rsidTr="001D0783">
        <w:trPr>
          <w:trHeight w:val="289"/>
        </w:trPr>
        <w:tc>
          <w:tcPr>
            <w:tcW w:w="414" w:type="dxa"/>
            <w:vMerge/>
            <w:tcBorders>
              <w:top w:val="nil"/>
              <w:left w:val="single" w:sz="4" w:space="0" w:color="auto"/>
              <w:bottom w:val="single" w:sz="4" w:space="0" w:color="auto"/>
              <w:right w:val="single" w:sz="4" w:space="0" w:color="auto"/>
            </w:tcBorders>
            <w:vAlign w:val="center"/>
            <w:hideMark/>
          </w:tcPr>
          <w:p w:rsidR="001D0783" w:rsidRDefault="001D0783">
            <w:pPr>
              <w:rPr>
                <w:rFonts w:ascii="Calibri" w:hAnsi="Calibri" w:cs="Calibri"/>
                <w:color w:val="000000"/>
                <w:sz w:val="18"/>
                <w:szCs w:val="18"/>
              </w:rPr>
            </w:pPr>
          </w:p>
        </w:tc>
        <w:tc>
          <w:tcPr>
            <w:tcW w:w="505" w:type="dxa"/>
            <w:tcBorders>
              <w:top w:val="nil"/>
              <w:left w:val="nil"/>
              <w:bottom w:val="single" w:sz="4" w:space="0" w:color="auto"/>
              <w:right w:val="single" w:sz="4" w:space="0" w:color="auto"/>
            </w:tcBorders>
            <w:shd w:val="clear" w:color="auto" w:fill="auto"/>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2132</w:t>
            </w:r>
          </w:p>
        </w:tc>
        <w:tc>
          <w:tcPr>
            <w:tcW w:w="4179" w:type="dxa"/>
            <w:tcBorders>
              <w:top w:val="nil"/>
              <w:left w:val="nil"/>
              <w:bottom w:val="single" w:sz="4" w:space="0" w:color="auto"/>
              <w:right w:val="single" w:sz="4" w:space="0" w:color="auto"/>
            </w:tcBorders>
            <w:shd w:val="clear" w:color="auto" w:fill="auto"/>
            <w:noWrap/>
            <w:vAlign w:val="bottom"/>
            <w:hideMark/>
          </w:tcPr>
          <w:p w:rsidR="001D0783" w:rsidRDefault="001D0783" w:rsidP="001D0783">
            <w:pPr>
              <w:rPr>
                <w:rFonts w:ascii="Calibri" w:hAnsi="Calibri" w:cs="Calibri"/>
                <w:color w:val="000000"/>
                <w:sz w:val="18"/>
                <w:szCs w:val="18"/>
              </w:rPr>
            </w:pPr>
            <w:r>
              <w:rPr>
                <w:rFonts w:ascii="Calibri" w:hAnsi="Calibri" w:cs="Calibri"/>
                <w:color w:val="000000"/>
                <w:sz w:val="18"/>
                <w:szCs w:val="18"/>
              </w:rPr>
              <w:t>Příjmy z pronájmu ost. nemovitostí a jejich částí</w:t>
            </w:r>
          </w:p>
        </w:tc>
        <w:tc>
          <w:tcPr>
            <w:tcW w:w="1276" w:type="dxa"/>
            <w:tcBorders>
              <w:top w:val="nil"/>
              <w:left w:val="nil"/>
              <w:bottom w:val="single" w:sz="4" w:space="0" w:color="auto"/>
              <w:right w:val="single" w:sz="4" w:space="0" w:color="auto"/>
            </w:tcBorders>
            <w:shd w:val="clear" w:color="auto" w:fill="auto"/>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53 224 186,04</w:t>
            </w:r>
          </w:p>
        </w:tc>
        <w:tc>
          <w:tcPr>
            <w:tcW w:w="1276" w:type="dxa"/>
            <w:tcBorders>
              <w:top w:val="nil"/>
              <w:left w:val="nil"/>
              <w:bottom w:val="single" w:sz="4" w:space="0" w:color="auto"/>
              <w:right w:val="single" w:sz="4" w:space="0" w:color="auto"/>
            </w:tcBorders>
            <w:shd w:val="clear" w:color="auto" w:fill="auto"/>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58 706 009,22</w:t>
            </w:r>
          </w:p>
        </w:tc>
        <w:tc>
          <w:tcPr>
            <w:tcW w:w="1417" w:type="dxa"/>
            <w:tcBorders>
              <w:top w:val="nil"/>
              <w:left w:val="nil"/>
              <w:bottom w:val="single" w:sz="4" w:space="0" w:color="auto"/>
              <w:right w:val="single" w:sz="4" w:space="0" w:color="auto"/>
            </w:tcBorders>
            <w:shd w:val="clear" w:color="auto" w:fill="auto"/>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59 373 362,50</w:t>
            </w:r>
          </w:p>
        </w:tc>
      </w:tr>
      <w:tr w:rsidR="001D0783" w:rsidTr="001D0783">
        <w:trPr>
          <w:trHeight w:val="289"/>
        </w:trPr>
        <w:tc>
          <w:tcPr>
            <w:tcW w:w="414" w:type="dxa"/>
            <w:vMerge/>
            <w:tcBorders>
              <w:top w:val="nil"/>
              <w:left w:val="single" w:sz="4" w:space="0" w:color="auto"/>
              <w:bottom w:val="single" w:sz="4" w:space="0" w:color="auto"/>
              <w:right w:val="single" w:sz="4" w:space="0" w:color="auto"/>
            </w:tcBorders>
            <w:vAlign w:val="center"/>
            <w:hideMark/>
          </w:tcPr>
          <w:p w:rsidR="001D0783" w:rsidRDefault="001D0783">
            <w:pPr>
              <w:rPr>
                <w:rFonts w:ascii="Calibri" w:hAnsi="Calibri" w:cs="Calibri"/>
                <w:color w:val="000000"/>
                <w:sz w:val="18"/>
                <w:szCs w:val="18"/>
              </w:rPr>
            </w:pPr>
          </w:p>
        </w:tc>
        <w:tc>
          <w:tcPr>
            <w:tcW w:w="505" w:type="dxa"/>
            <w:tcBorders>
              <w:top w:val="nil"/>
              <w:left w:val="nil"/>
              <w:bottom w:val="single" w:sz="4" w:space="0" w:color="auto"/>
              <w:right w:val="single" w:sz="4" w:space="0" w:color="auto"/>
            </w:tcBorders>
            <w:shd w:val="clear" w:color="auto" w:fill="auto"/>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2133</w:t>
            </w:r>
          </w:p>
        </w:tc>
        <w:tc>
          <w:tcPr>
            <w:tcW w:w="4179" w:type="dxa"/>
            <w:tcBorders>
              <w:top w:val="nil"/>
              <w:left w:val="nil"/>
              <w:bottom w:val="single" w:sz="4" w:space="0" w:color="auto"/>
              <w:right w:val="single" w:sz="4" w:space="0" w:color="auto"/>
            </w:tcBorders>
            <w:shd w:val="clear" w:color="auto" w:fill="auto"/>
            <w:noWrap/>
            <w:vAlign w:val="bottom"/>
            <w:hideMark/>
          </w:tcPr>
          <w:p w:rsidR="001D0783" w:rsidRDefault="001D0783">
            <w:pPr>
              <w:rPr>
                <w:rFonts w:ascii="Calibri" w:hAnsi="Calibri" w:cs="Calibri"/>
                <w:color w:val="000000"/>
                <w:sz w:val="18"/>
                <w:szCs w:val="18"/>
              </w:rPr>
            </w:pPr>
            <w:r>
              <w:rPr>
                <w:rFonts w:ascii="Calibri" w:hAnsi="Calibri" w:cs="Calibri"/>
                <w:color w:val="000000"/>
                <w:sz w:val="18"/>
                <w:szCs w:val="18"/>
              </w:rPr>
              <w:t>Příjmy z pronájmu movitých věcí</w:t>
            </w:r>
          </w:p>
        </w:tc>
        <w:tc>
          <w:tcPr>
            <w:tcW w:w="1276" w:type="dxa"/>
            <w:tcBorders>
              <w:top w:val="nil"/>
              <w:left w:val="nil"/>
              <w:bottom w:val="single" w:sz="4" w:space="0" w:color="auto"/>
              <w:right w:val="single" w:sz="4" w:space="0" w:color="auto"/>
            </w:tcBorders>
            <w:shd w:val="clear" w:color="auto" w:fill="auto"/>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837 990,48</w:t>
            </w:r>
          </w:p>
        </w:tc>
        <w:tc>
          <w:tcPr>
            <w:tcW w:w="1276" w:type="dxa"/>
            <w:tcBorders>
              <w:top w:val="nil"/>
              <w:left w:val="nil"/>
              <w:bottom w:val="single" w:sz="4" w:space="0" w:color="auto"/>
              <w:right w:val="single" w:sz="4" w:space="0" w:color="auto"/>
            </w:tcBorders>
            <w:shd w:val="clear" w:color="auto" w:fill="auto"/>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538 270,08</w:t>
            </w:r>
          </w:p>
        </w:tc>
        <w:tc>
          <w:tcPr>
            <w:tcW w:w="1417" w:type="dxa"/>
            <w:tcBorders>
              <w:top w:val="nil"/>
              <w:left w:val="nil"/>
              <w:bottom w:val="single" w:sz="4" w:space="0" w:color="auto"/>
              <w:right w:val="single" w:sz="4" w:space="0" w:color="auto"/>
            </w:tcBorders>
            <w:shd w:val="clear" w:color="auto" w:fill="auto"/>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1 507 368,43</w:t>
            </w:r>
          </w:p>
        </w:tc>
      </w:tr>
      <w:tr w:rsidR="001D0783" w:rsidTr="001D0783">
        <w:trPr>
          <w:trHeight w:val="289"/>
        </w:trPr>
        <w:tc>
          <w:tcPr>
            <w:tcW w:w="414" w:type="dxa"/>
            <w:vMerge/>
            <w:tcBorders>
              <w:top w:val="nil"/>
              <w:left w:val="single" w:sz="4" w:space="0" w:color="auto"/>
              <w:bottom w:val="single" w:sz="4" w:space="0" w:color="auto"/>
              <w:right w:val="single" w:sz="4" w:space="0" w:color="auto"/>
            </w:tcBorders>
            <w:vAlign w:val="center"/>
            <w:hideMark/>
          </w:tcPr>
          <w:p w:rsidR="001D0783" w:rsidRDefault="001D0783">
            <w:pPr>
              <w:rPr>
                <w:rFonts w:ascii="Calibri" w:hAnsi="Calibri" w:cs="Calibri"/>
                <w:color w:val="000000"/>
                <w:sz w:val="18"/>
                <w:szCs w:val="18"/>
              </w:rPr>
            </w:pPr>
          </w:p>
        </w:tc>
        <w:tc>
          <w:tcPr>
            <w:tcW w:w="505" w:type="dxa"/>
            <w:tcBorders>
              <w:top w:val="nil"/>
              <w:left w:val="nil"/>
              <w:bottom w:val="single" w:sz="4" w:space="0" w:color="auto"/>
              <w:right w:val="single" w:sz="4" w:space="0" w:color="auto"/>
            </w:tcBorders>
            <w:shd w:val="clear" w:color="auto" w:fill="auto"/>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2139</w:t>
            </w:r>
          </w:p>
        </w:tc>
        <w:tc>
          <w:tcPr>
            <w:tcW w:w="4179" w:type="dxa"/>
            <w:tcBorders>
              <w:top w:val="nil"/>
              <w:left w:val="nil"/>
              <w:bottom w:val="single" w:sz="4" w:space="0" w:color="auto"/>
              <w:right w:val="single" w:sz="4" w:space="0" w:color="auto"/>
            </w:tcBorders>
            <w:shd w:val="clear" w:color="auto" w:fill="auto"/>
            <w:noWrap/>
            <w:vAlign w:val="bottom"/>
            <w:hideMark/>
          </w:tcPr>
          <w:p w:rsidR="001D0783" w:rsidRDefault="001D0783">
            <w:pPr>
              <w:rPr>
                <w:rFonts w:ascii="Calibri" w:hAnsi="Calibri" w:cs="Calibri"/>
                <w:color w:val="000000"/>
                <w:sz w:val="18"/>
                <w:szCs w:val="18"/>
              </w:rPr>
            </w:pPr>
            <w:r>
              <w:rPr>
                <w:rFonts w:ascii="Calibri" w:hAnsi="Calibri" w:cs="Calibri"/>
                <w:color w:val="000000"/>
                <w:sz w:val="18"/>
                <w:szCs w:val="18"/>
              </w:rPr>
              <w:t>Ostatní příjmy z pronájmu majetku</w:t>
            </w:r>
          </w:p>
        </w:tc>
        <w:tc>
          <w:tcPr>
            <w:tcW w:w="1276" w:type="dxa"/>
            <w:tcBorders>
              <w:top w:val="nil"/>
              <w:left w:val="nil"/>
              <w:bottom w:val="single" w:sz="4" w:space="0" w:color="auto"/>
              <w:right w:val="single" w:sz="4" w:space="0" w:color="auto"/>
            </w:tcBorders>
            <w:shd w:val="clear" w:color="auto" w:fill="auto"/>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21 537 159,82</w:t>
            </w:r>
          </w:p>
        </w:tc>
        <w:tc>
          <w:tcPr>
            <w:tcW w:w="1276" w:type="dxa"/>
            <w:tcBorders>
              <w:top w:val="nil"/>
              <w:left w:val="nil"/>
              <w:bottom w:val="single" w:sz="4" w:space="0" w:color="auto"/>
              <w:right w:val="single" w:sz="4" w:space="0" w:color="auto"/>
            </w:tcBorders>
            <w:shd w:val="clear" w:color="auto" w:fill="auto"/>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5 786 751,67</w:t>
            </w:r>
          </w:p>
        </w:tc>
        <w:tc>
          <w:tcPr>
            <w:tcW w:w="1417" w:type="dxa"/>
            <w:tcBorders>
              <w:top w:val="nil"/>
              <w:left w:val="nil"/>
              <w:bottom w:val="single" w:sz="4" w:space="0" w:color="auto"/>
              <w:right w:val="single" w:sz="4" w:space="0" w:color="auto"/>
            </w:tcBorders>
            <w:shd w:val="clear" w:color="auto" w:fill="auto"/>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5 988 478,84</w:t>
            </w:r>
          </w:p>
        </w:tc>
      </w:tr>
      <w:tr w:rsidR="001D0783" w:rsidTr="001D0783">
        <w:trPr>
          <w:trHeight w:val="289"/>
        </w:trPr>
        <w:tc>
          <w:tcPr>
            <w:tcW w:w="414" w:type="dxa"/>
            <w:tcBorders>
              <w:top w:val="nil"/>
              <w:left w:val="single" w:sz="4" w:space="0" w:color="auto"/>
              <w:bottom w:val="single" w:sz="4" w:space="0" w:color="auto"/>
              <w:right w:val="single" w:sz="4" w:space="0" w:color="auto"/>
            </w:tcBorders>
            <w:shd w:val="clear" w:color="FDE9D9" w:fill="FFF2CC"/>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214</w:t>
            </w:r>
          </w:p>
        </w:tc>
        <w:tc>
          <w:tcPr>
            <w:tcW w:w="4684" w:type="dxa"/>
            <w:gridSpan w:val="2"/>
            <w:tcBorders>
              <w:top w:val="single" w:sz="4" w:space="0" w:color="auto"/>
              <w:left w:val="nil"/>
              <w:bottom w:val="single" w:sz="4" w:space="0" w:color="auto"/>
              <w:right w:val="single" w:sz="4" w:space="0" w:color="auto"/>
            </w:tcBorders>
            <w:shd w:val="clear" w:color="FDE9D9" w:fill="FFF2CC"/>
            <w:noWrap/>
            <w:vAlign w:val="bottom"/>
            <w:hideMark/>
          </w:tcPr>
          <w:p w:rsidR="001D0783" w:rsidRDefault="001D0783">
            <w:pPr>
              <w:rPr>
                <w:rFonts w:ascii="Calibri" w:hAnsi="Calibri" w:cs="Calibri"/>
                <w:color w:val="000000"/>
                <w:sz w:val="18"/>
                <w:szCs w:val="18"/>
              </w:rPr>
            </w:pPr>
            <w:r>
              <w:rPr>
                <w:rFonts w:ascii="Calibri" w:hAnsi="Calibri" w:cs="Calibri"/>
                <w:color w:val="000000"/>
                <w:sz w:val="18"/>
                <w:szCs w:val="18"/>
              </w:rPr>
              <w:t>Výnosy z finančního majetku</w:t>
            </w:r>
          </w:p>
        </w:tc>
        <w:tc>
          <w:tcPr>
            <w:tcW w:w="1276" w:type="dxa"/>
            <w:tcBorders>
              <w:top w:val="nil"/>
              <w:left w:val="nil"/>
              <w:bottom w:val="single" w:sz="4" w:space="0" w:color="auto"/>
              <w:right w:val="single" w:sz="4" w:space="0" w:color="auto"/>
            </w:tcBorders>
            <w:shd w:val="clear" w:color="FDE9D9" w:fill="FFF2CC"/>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3 236 235,99</w:t>
            </w:r>
          </w:p>
        </w:tc>
        <w:tc>
          <w:tcPr>
            <w:tcW w:w="1276" w:type="dxa"/>
            <w:tcBorders>
              <w:top w:val="nil"/>
              <w:left w:val="nil"/>
              <w:bottom w:val="single" w:sz="4" w:space="0" w:color="auto"/>
              <w:right w:val="single" w:sz="4" w:space="0" w:color="auto"/>
            </w:tcBorders>
            <w:shd w:val="clear" w:color="FDE9D9" w:fill="FFF2CC"/>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4 519 252,71</w:t>
            </w:r>
          </w:p>
        </w:tc>
        <w:tc>
          <w:tcPr>
            <w:tcW w:w="1417" w:type="dxa"/>
            <w:tcBorders>
              <w:top w:val="nil"/>
              <w:left w:val="nil"/>
              <w:bottom w:val="single" w:sz="4" w:space="0" w:color="auto"/>
              <w:right w:val="single" w:sz="4" w:space="0" w:color="auto"/>
            </w:tcBorders>
            <w:shd w:val="clear" w:color="FDE9D9" w:fill="FFF2CC"/>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9 485 456,20</w:t>
            </w:r>
          </w:p>
        </w:tc>
      </w:tr>
      <w:tr w:rsidR="001D0783" w:rsidTr="001D0783">
        <w:trPr>
          <w:trHeight w:val="289"/>
        </w:trPr>
        <w:tc>
          <w:tcPr>
            <w:tcW w:w="41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D0783" w:rsidRDefault="001D0783">
            <w:pPr>
              <w:jc w:val="center"/>
              <w:rPr>
                <w:rFonts w:ascii="Calibri" w:hAnsi="Calibri" w:cs="Calibri"/>
                <w:color w:val="000000"/>
                <w:sz w:val="18"/>
                <w:szCs w:val="18"/>
              </w:rPr>
            </w:pPr>
            <w:r>
              <w:rPr>
                <w:rFonts w:ascii="Calibri" w:hAnsi="Calibri" w:cs="Calibri"/>
                <w:color w:val="000000"/>
                <w:sz w:val="18"/>
                <w:szCs w:val="18"/>
              </w:rPr>
              <w:t> </w:t>
            </w:r>
          </w:p>
        </w:tc>
        <w:tc>
          <w:tcPr>
            <w:tcW w:w="505" w:type="dxa"/>
            <w:tcBorders>
              <w:top w:val="nil"/>
              <w:left w:val="nil"/>
              <w:bottom w:val="single" w:sz="4" w:space="0" w:color="auto"/>
              <w:right w:val="single" w:sz="4" w:space="0" w:color="auto"/>
            </w:tcBorders>
            <w:shd w:val="clear" w:color="auto" w:fill="auto"/>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2141</w:t>
            </w:r>
          </w:p>
        </w:tc>
        <w:tc>
          <w:tcPr>
            <w:tcW w:w="4179" w:type="dxa"/>
            <w:tcBorders>
              <w:top w:val="nil"/>
              <w:left w:val="nil"/>
              <w:bottom w:val="single" w:sz="4" w:space="0" w:color="auto"/>
              <w:right w:val="single" w:sz="4" w:space="0" w:color="auto"/>
            </w:tcBorders>
            <w:shd w:val="clear" w:color="auto" w:fill="auto"/>
            <w:noWrap/>
            <w:vAlign w:val="bottom"/>
            <w:hideMark/>
          </w:tcPr>
          <w:p w:rsidR="001D0783" w:rsidRDefault="001D0783">
            <w:pPr>
              <w:rPr>
                <w:rFonts w:ascii="Calibri" w:hAnsi="Calibri" w:cs="Calibri"/>
                <w:color w:val="000000"/>
                <w:sz w:val="18"/>
                <w:szCs w:val="18"/>
              </w:rPr>
            </w:pPr>
            <w:r>
              <w:rPr>
                <w:rFonts w:ascii="Calibri" w:hAnsi="Calibri" w:cs="Calibri"/>
                <w:color w:val="000000"/>
                <w:sz w:val="18"/>
                <w:szCs w:val="18"/>
              </w:rPr>
              <w:t>Příjmy z úroků (část)</w:t>
            </w:r>
          </w:p>
        </w:tc>
        <w:tc>
          <w:tcPr>
            <w:tcW w:w="1276" w:type="dxa"/>
            <w:tcBorders>
              <w:top w:val="nil"/>
              <w:left w:val="nil"/>
              <w:bottom w:val="single" w:sz="4" w:space="0" w:color="auto"/>
              <w:right w:val="single" w:sz="4" w:space="0" w:color="auto"/>
            </w:tcBorders>
            <w:shd w:val="clear" w:color="auto" w:fill="auto"/>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894 773,12</w:t>
            </w:r>
          </w:p>
        </w:tc>
        <w:tc>
          <w:tcPr>
            <w:tcW w:w="1276" w:type="dxa"/>
            <w:tcBorders>
              <w:top w:val="nil"/>
              <w:left w:val="nil"/>
              <w:bottom w:val="single" w:sz="4" w:space="0" w:color="auto"/>
              <w:right w:val="single" w:sz="4" w:space="0" w:color="auto"/>
            </w:tcBorders>
            <w:shd w:val="clear" w:color="auto" w:fill="auto"/>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134 826,61</w:t>
            </w:r>
          </w:p>
        </w:tc>
        <w:tc>
          <w:tcPr>
            <w:tcW w:w="1417" w:type="dxa"/>
            <w:tcBorders>
              <w:top w:val="nil"/>
              <w:left w:val="nil"/>
              <w:bottom w:val="single" w:sz="4" w:space="0" w:color="auto"/>
              <w:right w:val="single" w:sz="4" w:space="0" w:color="auto"/>
            </w:tcBorders>
            <w:shd w:val="clear" w:color="auto" w:fill="auto"/>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7 015 153,23</w:t>
            </w:r>
          </w:p>
        </w:tc>
      </w:tr>
      <w:tr w:rsidR="001D0783" w:rsidTr="001D0783">
        <w:trPr>
          <w:trHeight w:val="289"/>
        </w:trPr>
        <w:tc>
          <w:tcPr>
            <w:tcW w:w="414" w:type="dxa"/>
            <w:vMerge/>
            <w:tcBorders>
              <w:top w:val="nil"/>
              <w:left w:val="single" w:sz="4" w:space="0" w:color="auto"/>
              <w:bottom w:val="single" w:sz="4" w:space="0" w:color="auto"/>
              <w:right w:val="single" w:sz="4" w:space="0" w:color="auto"/>
            </w:tcBorders>
            <w:vAlign w:val="center"/>
            <w:hideMark/>
          </w:tcPr>
          <w:p w:rsidR="001D0783" w:rsidRDefault="001D0783">
            <w:pPr>
              <w:rPr>
                <w:rFonts w:ascii="Calibri" w:hAnsi="Calibri" w:cs="Calibri"/>
                <w:color w:val="000000"/>
                <w:sz w:val="18"/>
                <w:szCs w:val="18"/>
              </w:rPr>
            </w:pPr>
          </w:p>
        </w:tc>
        <w:tc>
          <w:tcPr>
            <w:tcW w:w="505" w:type="dxa"/>
            <w:tcBorders>
              <w:top w:val="nil"/>
              <w:left w:val="nil"/>
              <w:bottom w:val="single" w:sz="4" w:space="0" w:color="auto"/>
              <w:right w:val="single" w:sz="4" w:space="0" w:color="auto"/>
            </w:tcBorders>
            <w:shd w:val="clear" w:color="auto" w:fill="auto"/>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2142</w:t>
            </w:r>
          </w:p>
        </w:tc>
        <w:tc>
          <w:tcPr>
            <w:tcW w:w="4179" w:type="dxa"/>
            <w:tcBorders>
              <w:top w:val="nil"/>
              <w:left w:val="nil"/>
              <w:bottom w:val="single" w:sz="4" w:space="0" w:color="auto"/>
              <w:right w:val="single" w:sz="4" w:space="0" w:color="auto"/>
            </w:tcBorders>
            <w:shd w:val="clear" w:color="auto" w:fill="auto"/>
            <w:noWrap/>
            <w:vAlign w:val="bottom"/>
            <w:hideMark/>
          </w:tcPr>
          <w:p w:rsidR="001D0783" w:rsidRDefault="001D0783">
            <w:pPr>
              <w:rPr>
                <w:rFonts w:ascii="Calibri" w:hAnsi="Calibri" w:cs="Calibri"/>
                <w:color w:val="000000"/>
                <w:sz w:val="18"/>
                <w:szCs w:val="18"/>
              </w:rPr>
            </w:pPr>
            <w:r>
              <w:rPr>
                <w:rFonts w:ascii="Calibri" w:hAnsi="Calibri" w:cs="Calibri"/>
                <w:color w:val="000000"/>
                <w:sz w:val="18"/>
                <w:szCs w:val="18"/>
              </w:rPr>
              <w:t>Příjmy z podílů na zisku a z dividend</w:t>
            </w:r>
          </w:p>
        </w:tc>
        <w:tc>
          <w:tcPr>
            <w:tcW w:w="1276" w:type="dxa"/>
            <w:tcBorders>
              <w:top w:val="nil"/>
              <w:left w:val="nil"/>
              <w:bottom w:val="single" w:sz="4" w:space="0" w:color="auto"/>
              <w:right w:val="single" w:sz="4" w:space="0" w:color="auto"/>
            </w:tcBorders>
            <w:shd w:val="clear" w:color="auto" w:fill="auto"/>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2 341 462,87</w:t>
            </w:r>
          </w:p>
        </w:tc>
        <w:tc>
          <w:tcPr>
            <w:tcW w:w="1276" w:type="dxa"/>
            <w:tcBorders>
              <w:top w:val="nil"/>
              <w:left w:val="nil"/>
              <w:bottom w:val="single" w:sz="4" w:space="0" w:color="auto"/>
              <w:right w:val="single" w:sz="4" w:space="0" w:color="auto"/>
            </w:tcBorders>
            <w:shd w:val="clear" w:color="auto" w:fill="auto"/>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4 384 137,02</w:t>
            </w:r>
          </w:p>
        </w:tc>
        <w:tc>
          <w:tcPr>
            <w:tcW w:w="1417" w:type="dxa"/>
            <w:tcBorders>
              <w:top w:val="nil"/>
              <w:left w:val="nil"/>
              <w:bottom w:val="single" w:sz="4" w:space="0" w:color="auto"/>
              <w:right w:val="single" w:sz="4" w:space="0" w:color="auto"/>
            </w:tcBorders>
            <w:shd w:val="clear" w:color="auto" w:fill="auto"/>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2 470 302,97</w:t>
            </w:r>
          </w:p>
        </w:tc>
      </w:tr>
      <w:tr w:rsidR="001D0783" w:rsidTr="001D0783">
        <w:trPr>
          <w:trHeight w:val="289"/>
        </w:trPr>
        <w:tc>
          <w:tcPr>
            <w:tcW w:w="414" w:type="dxa"/>
            <w:vMerge/>
            <w:tcBorders>
              <w:top w:val="nil"/>
              <w:left w:val="single" w:sz="4" w:space="0" w:color="auto"/>
              <w:bottom w:val="single" w:sz="4" w:space="0" w:color="auto"/>
              <w:right w:val="single" w:sz="4" w:space="0" w:color="auto"/>
            </w:tcBorders>
            <w:vAlign w:val="center"/>
            <w:hideMark/>
          </w:tcPr>
          <w:p w:rsidR="001D0783" w:rsidRDefault="001D0783">
            <w:pPr>
              <w:rPr>
                <w:rFonts w:ascii="Calibri" w:hAnsi="Calibri" w:cs="Calibri"/>
                <w:color w:val="000000"/>
                <w:sz w:val="18"/>
                <w:szCs w:val="18"/>
              </w:rPr>
            </w:pPr>
          </w:p>
        </w:tc>
        <w:tc>
          <w:tcPr>
            <w:tcW w:w="505" w:type="dxa"/>
            <w:tcBorders>
              <w:top w:val="nil"/>
              <w:left w:val="nil"/>
              <w:bottom w:val="single" w:sz="4" w:space="0" w:color="auto"/>
              <w:right w:val="single" w:sz="4" w:space="0" w:color="auto"/>
            </w:tcBorders>
            <w:shd w:val="clear" w:color="auto" w:fill="auto"/>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2143</w:t>
            </w:r>
          </w:p>
        </w:tc>
        <w:tc>
          <w:tcPr>
            <w:tcW w:w="4179" w:type="dxa"/>
            <w:tcBorders>
              <w:top w:val="nil"/>
              <w:left w:val="nil"/>
              <w:bottom w:val="single" w:sz="4" w:space="0" w:color="auto"/>
              <w:right w:val="single" w:sz="4" w:space="0" w:color="auto"/>
            </w:tcBorders>
            <w:shd w:val="clear" w:color="auto" w:fill="auto"/>
            <w:noWrap/>
            <w:vAlign w:val="bottom"/>
            <w:hideMark/>
          </w:tcPr>
          <w:p w:rsidR="001D0783" w:rsidRDefault="001D0783">
            <w:pPr>
              <w:rPr>
                <w:rFonts w:ascii="Calibri" w:hAnsi="Calibri" w:cs="Calibri"/>
                <w:color w:val="000000"/>
                <w:sz w:val="18"/>
                <w:szCs w:val="18"/>
              </w:rPr>
            </w:pPr>
            <w:r>
              <w:rPr>
                <w:rFonts w:ascii="Calibri" w:hAnsi="Calibri" w:cs="Calibri"/>
                <w:color w:val="000000"/>
                <w:sz w:val="18"/>
                <w:szCs w:val="18"/>
              </w:rPr>
              <w:t>Kursové rozdíly v příjmech</w:t>
            </w:r>
          </w:p>
        </w:tc>
        <w:tc>
          <w:tcPr>
            <w:tcW w:w="1276" w:type="dxa"/>
            <w:tcBorders>
              <w:top w:val="nil"/>
              <w:left w:val="nil"/>
              <w:bottom w:val="single" w:sz="4" w:space="0" w:color="auto"/>
              <w:right w:val="single" w:sz="4" w:space="0" w:color="auto"/>
            </w:tcBorders>
            <w:shd w:val="clear" w:color="auto" w:fill="auto"/>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289,08</w:t>
            </w:r>
          </w:p>
        </w:tc>
        <w:tc>
          <w:tcPr>
            <w:tcW w:w="1417" w:type="dxa"/>
            <w:tcBorders>
              <w:top w:val="nil"/>
              <w:left w:val="nil"/>
              <w:bottom w:val="single" w:sz="4" w:space="0" w:color="auto"/>
              <w:right w:val="single" w:sz="4" w:space="0" w:color="auto"/>
            </w:tcBorders>
            <w:shd w:val="clear" w:color="auto" w:fill="auto"/>
            <w:noWrap/>
            <w:vAlign w:val="bottom"/>
            <w:hideMark/>
          </w:tcPr>
          <w:p w:rsidR="001D0783" w:rsidRDefault="001D0783">
            <w:pPr>
              <w:jc w:val="right"/>
              <w:rPr>
                <w:rFonts w:ascii="Calibri" w:hAnsi="Calibri" w:cs="Calibri"/>
                <w:color w:val="000000"/>
                <w:sz w:val="18"/>
                <w:szCs w:val="18"/>
              </w:rPr>
            </w:pPr>
            <w:r>
              <w:rPr>
                <w:rFonts w:ascii="Calibri" w:hAnsi="Calibri" w:cs="Calibri"/>
                <w:color w:val="000000"/>
                <w:sz w:val="18"/>
                <w:szCs w:val="18"/>
              </w:rPr>
              <w:t>0,00</w:t>
            </w:r>
          </w:p>
        </w:tc>
      </w:tr>
    </w:tbl>
    <w:p w:rsidR="001D0783" w:rsidRDefault="001D0783" w:rsidP="001D0783"/>
    <w:p w:rsidR="001D0783" w:rsidRDefault="001D0783" w:rsidP="001D0783">
      <w:pPr>
        <w:jc w:val="center"/>
      </w:pPr>
      <w:r>
        <w:rPr>
          <w:noProof/>
        </w:rPr>
        <w:drawing>
          <wp:inline distT="0" distB="0" distL="0" distR="0" wp14:anchorId="7CA0EF43" wp14:editId="4F281828">
            <wp:extent cx="4571365" cy="2809103"/>
            <wp:effectExtent l="0" t="0" r="635" b="10795"/>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D0783" w:rsidRDefault="001D0783" w:rsidP="001D0783"/>
    <w:p w:rsidR="007C1499" w:rsidRPr="000C7BB7" w:rsidRDefault="007C1499" w:rsidP="007C1499">
      <w:pPr>
        <w:pStyle w:val="Nadpis2"/>
      </w:pPr>
      <w:r w:rsidRPr="000C7BB7">
        <w:t>Přijaté sankční platby a vratky transferů</w:t>
      </w:r>
    </w:p>
    <w:p w:rsidR="00287487" w:rsidRPr="00926ED0" w:rsidRDefault="00287487" w:rsidP="0055622D">
      <w:pPr>
        <w:jc w:val="both"/>
        <w:rPr>
          <w:rFonts w:asciiTheme="minorHAnsi" w:hAnsiTheme="minorHAnsi" w:cstheme="minorHAnsi"/>
          <w:sz w:val="22"/>
          <w:szCs w:val="22"/>
        </w:rPr>
      </w:pPr>
      <w:r w:rsidRPr="00926ED0">
        <w:rPr>
          <w:rFonts w:asciiTheme="minorHAnsi" w:hAnsiTheme="minorHAnsi" w:cstheme="minorHAnsi"/>
          <w:sz w:val="22"/>
          <w:szCs w:val="22"/>
        </w:rPr>
        <w:t xml:space="preserve">Město Prostějov </w:t>
      </w:r>
      <w:r w:rsidR="00B41A4F" w:rsidRPr="00926ED0">
        <w:rPr>
          <w:rFonts w:asciiTheme="minorHAnsi" w:hAnsiTheme="minorHAnsi" w:cstheme="minorHAnsi"/>
          <w:sz w:val="22"/>
          <w:szCs w:val="22"/>
        </w:rPr>
        <w:t xml:space="preserve">přijalo </w:t>
      </w:r>
      <w:r w:rsidR="00B41A4F" w:rsidRPr="00926ED0">
        <w:rPr>
          <w:rFonts w:asciiTheme="minorHAnsi" w:hAnsiTheme="minorHAnsi" w:cstheme="minorHAnsi"/>
          <w:sz w:val="22"/>
          <w:szCs w:val="22"/>
          <w:u w:val="single"/>
        </w:rPr>
        <w:t>sankční platby</w:t>
      </w:r>
      <w:r w:rsidR="00B41A4F" w:rsidRPr="00926ED0">
        <w:rPr>
          <w:rFonts w:asciiTheme="minorHAnsi" w:hAnsiTheme="minorHAnsi" w:cstheme="minorHAnsi"/>
          <w:sz w:val="22"/>
          <w:szCs w:val="22"/>
        </w:rPr>
        <w:t xml:space="preserve"> ve výši</w:t>
      </w:r>
      <w:r w:rsidR="00BA37BE" w:rsidRPr="00926ED0">
        <w:rPr>
          <w:rFonts w:asciiTheme="minorHAnsi" w:hAnsiTheme="minorHAnsi" w:cstheme="minorHAnsi"/>
          <w:sz w:val="22"/>
          <w:szCs w:val="22"/>
        </w:rPr>
        <w:t xml:space="preserve"> </w:t>
      </w:r>
      <w:r w:rsidR="005607E8">
        <w:rPr>
          <w:rFonts w:asciiTheme="minorHAnsi" w:hAnsiTheme="minorHAnsi" w:cstheme="minorHAnsi"/>
          <w:sz w:val="22"/>
          <w:szCs w:val="22"/>
        </w:rPr>
        <w:t>12,95</w:t>
      </w:r>
      <w:r w:rsidR="00E805DC" w:rsidRPr="00926ED0">
        <w:rPr>
          <w:rFonts w:asciiTheme="minorHAnsi" w:hAnsiTheme="minorHAnsi" w:cstheme="minorHAnsi"/>
          <w:sz w:val="22"/>
          <w:szCs w:val="22"/>
        </w:rPr>
        <w:t xml:space="preserve"> </w:t>
      </w:r>
      <w:r w:rsidR="00404A90" w:rsidRPr="00926ED0">
        <w:rPr>
          <w:rFonts w:asciiTheme="minorHAnsi" w:hAnsiTheme="minorHAnsi" w:cstheme="minorHAnsi"/>
          <w:sz w:val="22"/>
          <w:szCs w:val="22"/>
        </w:rPr>
        <w:t>mil. K</w:t>
      </w:r>
      <w:r w:rsidR="00866DE7" w:rsidRPr="00926ED0">
        <w:rPr>
          <w:rFonts w:asciiTheme="minorHAnsi" w:hAnsiTheme="minorHAnsi" w:cstheme="minorHAnsi"/>
          <w:sz w:val="22"/>
          <w:szCs w:val="22"/>
        </w:rPr>
        <w:t>č:</w:t>
      </w:r>
    </w:p>
    <w:p w:rsidR="00926ED0" w:rsidRPr="00926ED0" w:rsidRDefault="00926ED0" w:rsidP="00926ED0">
      <w:pPr>
        <w:pStyle w:val="Odstavecseseznamem"/>
        <w:numPr>
          <w:ilvl w:val="0"/>
          <w:numId w:val="12"/>
        </w:numPr>
        <w:ind w:left="714" w:hanging="357"/>
        <w:rPr>
          <w:rFonts w:asciiTheme="minorHAnsi" w:hAnsiTheme="minorHAnsi" w:cstheme="minorHAnsi"/>
          <w:sz w:val="22"/>
          <w:szCs w:val="22"/>
        </w:rPr>
      </w:pPr>
      <w:r w:rsidRPr="00926ED0">
        <w:rPr>
          <w:rFonts w:asciiTheme="minorHAnsi" w:hAnsiTheme="minorHAnsi" w:cstheme="minorHAnsi"/>
          <w:sz w:val="22"/>
          <w:szCs w:val="22"/>
        </w:rPr>
        <w:t>kap. 13 - městská policie (</w:t>
      </w:r>
      <w:r w:rsidR="000F0DC6">
        <w:rPr>
          <w:rFonts w:asciiTheme="minorHAnsi" w:hAnsiTheme="minorHAnsi" w:cstheme="minorHAnsi"/>
          <w:sz w:val="22"/>
          <w:szCs w:val="22"/>
        </w:rPr>
        <w:t>947,81</w:t>
      </w:r>
      <w:r w:rsidRPr="00926ED0">
        <w:rPr>
          <w:rFonts w:asciiTheme="minorHAnsi" w:hAnsiTheme="minorHAnsi" w:cstheme="minorHAnsi"/>
          <w:sz w:val="22"/>
          <w:szCs w:val="22"/>
        </w:rPr>
        <w:t xml:space="preserve"> tis. Kč),</w:t>
      </w:r>
    </w:p>
    <w:p w:rsidR="0079490E" w:rsidRPr="00926ED0" w:rsidRDefault="00404A90" w:rsidP="0055622D">
      <w:pPr>
        <w:pStyle w:val="Odstavecseseznamem"/>
        <w:numPr>
          <w:ilvl w:val="0"/>
          <w:numId w:val="12"/>
        </w:numPr>
        <w:ind w:left="714" w:hanging="357"/>
        <w:rPr>
          <w:rFonts w:asciiTheme="minorHAnsi" w:hAnsiTheme="minorHAnsi" w:cstheme="minorHAnsi"/>
          <w:sz w:val="22"/>
          <w:szCs w:val="22"/>
        </w:rPr>
      </w:pPr>
      <w:r w:rsidRPr="00926ED0">
        <w:rPr>
          <w:rFonts w:asciiTheme="minorHAnsi" w:hAnsiTheme="minorHAnsi" w:cstheme="minorHAnsi"/>
          <w:sz w:val="22"/>
          <w:szCs w:val="22"/>
        </w:rPr>
        <w:t>kap. 16</w:t>
      </w:r>
      <w:r w:rsidR="00A12ADA" w:rsidRPr="00926ED0">
        <w:rPr>
          <w:rFonts w:asciiTheme="minorHAnsi" w:hAnsiTheme="minorHAnsi" w:cstheme="minorHAnsi"/>
          <w:sz w:val="22"/>
          <w:szCs w:val="22"/>
        </w:rPr>
        <w:t xml:space="preserve"> - </w:t>
      </w:r>
      <w:r w:rsidRPr="00926ED0">
        <w:rPr>
          <w:rFonts w:asciiTheme="minorHAnsi" w:hAnsiTheme="minorHAnsi" w:cstheme="minorHAnsi"/>
          <w:sz w:val="22"/>
          <w:szCs w:val="22"/>
        </w:rPr>
        <w:t xml:space="preserve"> </w:t>
      </w:r>
      <w:r w:rsidR="00727AF1" w:rsidRPr="00926ED0">
        <w:rPr>
          <w:rFonts w:asciiTheme="minorHAnsi" w:hAnsiTheme="minorHAnsi" w:cstheme="minorHAnsi"/>
          <w:sz w:val="22"/>
          <w:szCs w:val="22"/>
        </w:rPr>
        <w:t>občanské záležitosti (</w:t>
      </w:r>
      <w:r w:rsidR="000F0DC6">
        <w:rPr>
          <w:rFonts w:asciiTheme="minorHAnsi" w:hAnsiTheme="minorHAnsi" w:cstheme="minorHAnsi"/>
          <w:sz w:val="22"/>
          <w:szCs w:val="22"/>
        </w:rPr>
        <w:t>10 815,62</w:t>
      </w:r>
      <w:r w:rsidR="00866DE7" w:rsidRPr="00926ED0">
        <w:rPr>
          <w:rFonts w:asciiTheme="minorHAnsi" w:hAnsiTheme="minorHAnsi" w:cstheme="minorHAnsi"/>
          <w:sz w:val="22"/>
          <w:szCs w:val="22"/>
        </w:rPr>
        <w:t xml:space="preserve"> tis. Kč) –</w:t>
      </w:r>
      <w:r w:rsidR="006B6A43" w:rsidRPr="00926ED0">
        <w:rPr>
          <w:rFonts w:asciiTheme="minorHAnsi" w:hAnsiTheme="minorHAnsi" w:cstheme="minorHAnsi"/>
          <w:sz w:val="22"/>
          <w:szCs w:val="22"/>
        </w:rPr>
        <w:t xml:space="preserve"> </w:t>
      </w:r>
      <w:r w:rsidR="00926ED0" w:rsidRPr="00926ED0">
        <w:rPr>
          <w:rFonts w:asciiTheme="minorHAnsi" w:hAnsiTheme="minorHAnsi" w:cstheme="minorHAnsi"/>
          <w:sz w:val="22"/>
          <w:szCs w:val="22"/>
        </w:rPr>
        <w:t xml:space="preserve">z toho </w:t>
      </w:r>
      <w:r w:rsidR="00B70C65" w:rsidRPr="00926ED0">
        <w:rPr>
          <w:rFonts w:asciiTheme="minorHAnsi" w:hAnsiTheme="minorHAnsi" w:cstheme="minorHAnsi"/>
          <w:sz w:val="22"/>
          <w:szCs w:val="22"/>
        </w:rPr>
        <w:t xml:space="preserve">sankční platby </w:t>
      </w:r>
      <w:r w:rsidR="00363084" w:rsidRPr="00926ED0">
        <w:rPr>
          <w:rFonts w:asciiTheme="minorHAnsi" w:hAnsiTheme="minorHAnsi" w:cstheme="minorHAnsi"/>
          <w:sz w:val="22"/>
          <w:szCs w:val="22"/>
        </w:rPr>
        <w:t>na úseku dopravy</w:t>
      </w:r>
      <w:r w:rsidR="00926ED0" w:rsidRPr="00926ED0">
        <w:rPr>
          <w:rFonts w:asciiTheme="minorHAnsi" w:hAnsiTheme="minorHAnsi" w:cstheme="minorHAnsi"/>
          <w:sz w:val="22"/>
          <w:szCs w:val="22"/>
        </w:rPr>
        <w:t xml:space="preserve"> </w:t>
      </w:r>
      <w:r w:rsidR="000F0DC6">
        <w:rPr>
          <w:rFonts w:asciiTheme="minorHAnsi" w:hAnsiTheme="minorHAnsi" w:cstheme="minorHAnsi"/>
          <w:sz w:val="22"/>
          <w:szCs w:val="22"/>
        </w:rPr>
        <w:t>9 884</w:t>
      </w:r>
      <w:r w:rsidR="00926ED0" w:rsidRPr="00926ED0">
        <w:rPr>
          <w:rFonts w:asciiTheme="minorHAnsi" w:hAnsiTheme="minorHAnsi" w:cstheme="minorHAnsi"/>
          <w:sz w:val="22"/>
          <w:szCs w:val="22"/>
        </w:rPr>
        <w:t>,0</w:t>
      </w:r>
      <w:r w:rsidR="000F0DC6">
        <w:rPr>
          <w:rFonts w:asciiTheme="minorHAnsi" w:hAnsiTheme="minorHAnsi" w:cstheme="minorHAnsi"/>
          <w:sz w:val="22"/>
          <w:szCs w:val="22"/>
        </w:rPr>
        <w:t>2</w:t>
      </w:r>
      <w:r w:rsidR="00926ED0" w:rsidRPr="00926ED0">
        <w:rPr>
          <w:rFonts w:asciiTheme="minorHAnsi" w:hAnsiTheme="minorHAnsi" w:cstheme="minorHAnsi"/>
          <w:sz w:val="22"/>
          <w:szCs w:val="22"/>
        </w:rPr>
        <w:t> </w:t>
      </w:r>
      <w:r w:rsidR="00621EFE" w:rsidRPr="00926ED0">
        <w:rPr>
          <w:rFonts w:asciiTheme="minorHAnsi" w:hAnsiTheme="minorHAnsi" w:cstheme="minorHAnsi"/>
          <w:sz w:val="22"/>
          <w:szCs w:val="22"/>
        </w:rPr>
        <w:t>tis</w:t>
      </w:r>
      <w:r w:rsidR="00B70C65" w:rsidRPr="00926ED0">
        <w:rPr>
          <w:rFonts w:asciiTheme="minorHAnsi" w:hAnsiTheme="minorHAnsi" w:cstheme="minorHAnsi"/>
          <w:sz w:val="22"/>
          <w:szCs w:val="22"/>
        </w:rPr>
        <w:t>. Kč</w:t>
      </w:r>
      <w:r w:rsidR="00926ED0" w:rsidRPr="00926ED0">
        <w:rPr>
          <w:rFonts w:asciiTheme="minorHAnsi" w:hAnsiTheme="minorHAnsi" w:cstheme="minorHAnsi"/>
          <w:sz w:val="22"/>
          <w:szCs w:val="22"/>
        </w:rPr>
        <w:t>.</w:t>
      </w:r>
      <w:r w:rsidR="00B730D4" w:rsidRPr="00926ED0">
        <w:rPr>
          <w:rFonts w:asciiTheme="minorHAnsi" w:hAnsiTheme="minorHAnsi" w:cstheme="minorHAnsi"/>
          <w:sz w:val="22"/>
          <w:szCs w:val="22"/>
        </w:rPr>
        <w:t xml:space="preserve"> </w:t>
      </w:r>
    </w:p>
    <w:p w:rsidR="00926ED0" w:rsidRPr="00926ED0" w:rsidRDefault="00926ED0" w:rsidP="0055622D">
      <w:pPr>
        <w:pStyle w:val="Odstavecseseznamem"/>
        <w:numPr>
          <w:ilvl w:val="0"/>
          <w:numId w:val="12"/>
        </w:numPr>
        <w:ind w:left="714" w:hanging="357"/>
        <w:rPr>
          <w:rFonts w:asciiTheme="minorHAnsi" w:hAnsiTheme="minorHAnsi" w:cstheme="minorHAnsi"/>
          <w:sz w:val="22"/>
          <w:szCs w:val="22"/>
        </w:rPr>
      </w:pPr>
      <w:r w:rsidRPr="00926ED0">
        <w:rPr>
          <w:rFonts w:asciiTheme="minorHAnsi" w:hAnsiTheme="minorHAnsi" w:cstheme="minorHAnsi"/>
          <w:sz w:val="22"/>
          <w:szCs w:val="22"/>
        </w:rPr>
        <w:t>kap. 21 – sociální věci (</w:t>
      </w:r>
      <w:r w:rsidR="000F0DC6">
        <w:rPr>
          <w:rFonts w:asciiTheme="minorHAnsi" w:hAnsiTheme="minorHAnsi" w:cstheme="minorHAnsi"/>
          <w:sz w:val="22"/>
          <w:szCs w:val="22"/>
        </w:rPr>
        <w:t>1,65</w:t>
      </w:r>
      <w:r w:rsidRPr="00926ED0">
        <w:rPr>
          <w:rFonts w:asciiTheme="minorHAnsi" w:hAnsiTheme="minorHAnsi" w:cstheme="minorHAnsi"/>
          <w:sz w:val="22"/>
          <w:szCs w:val="22"/>
        </w:rPr>
        <w:t xml:space="preserve"> tis. Kč),</w:t>
      </w:r>
    </w:p>
    <w:p w:rsidR="00926ED0" w:rsidRPr="00926ED0" w:rsidRDefault="00926ED0" w:rsidP="0055622D">
      <w:pPr>
        <w:pStyle w:val="Odstavecseseznamem"/>
        <w:numPr>
          <w:ilvl w:val="0"/>
          <w:numId w:val="12"/>
        </w:numPr>
        <w:ind w:left="714" w:hanging="357"/>
        <w:rPr>
          <w:rFonts w:asciiTheme="minorHAnsi" w:hAnsiTheme="minorHAnsi" w:cstheme="minorHAnsi"/>
          <w:sz w:val="22"/>
          <w:szCs w:val="22"/>
        </w:rPr>
      </w:pPr>
      <w:r w:rsidRPr="00926ED0">
        <w:rPr>
          <w:rFonts w:asciiTheme="minorHAnsi" w:hAnsiTheme="minorHAnsi" w:cstheme="minorHAnsi"/>
          <w:sz w:val="22"/>
          <w:szCs w:val="22"/>
        </w:rPr>
        <w:t>kap. 30 - obecní živnostenský úřad (</w:t>
      </w:r>
      <w:r w:rsidR="000F0DC6">
        <w:rPr>
          <w:rFonts w:asciiTheme="minorHAnsi" w:hAnsiTheme="minorHAnsi" w:cstheme="minorHAnsi"/>
          <w:sz w:val="22"/>
          <w:szCs w:val="22"/>
        </w:rPr>
        <w:t>152,10</w:t>
      </w:r>
      <w:r w:rsidRPr="00926ED0">
        <w:rPr>
          <w:rFonts w:asciiTheme="minorHAnsi" w:hAnsiTheme="minorHAnsi" w:cstheme="minorHAnsi"/>
          <w:sz w:val="22"/>
          <w:szCs w:val="22"/>
        </w:rPr>
        <w:t xml:space="preserve"> tis. Kč),</w:t>
      </w:r>
    </w:p>
    <w:p w:rsidR="00926ED0" w:rsidRDefault="00926ED0" w:rsidP="00926ED0">
      <w:pPr>
        <w:pStyle w:val="Odstavecseseznamem"/>
        <w:numPr>
          <w:ilvl w:val="0"/>
          <w:numId w:val="12"/>
        </w:numPr>
        <w:rPr>
          <w:rFonts w:asciiTheme="minorHAnsi" w:hAnsiTheme="minorHAnsi" w:cstheme="minorHAnsi"/>
          <w:sz w:val="22"/>
          <w:szCs w:val="22"/>
        </w:rPr>
      </w:pPr>
      <w:r w:rsidRPr="00926ED0">
        <w:rPr>
          <w:rFonts w:asciiTheme="minorHAnsi" w:hAnsiTheme="minorHAnsi" w:cstheme="minorHAnsi"/>
          <w:sz w:val="22"/>
          <w:szCs w:val="22"/>
        </w:rPr>
        <w:t>kap. 40 - životní prostředí (</w:t>
      </w:r>
      <w:r w:rsidR="000F0DC6">
        <w:rPr>
          <w:rFonts w:asciiTheme="minorHAnsi" w:hAnsiTheme="minorHAnsi" w:cstheme="minorHAnsi"/>
          <w:sz w:val="22"/>
          <w:szCs w:val="22"/>
        </w:rPr>
        <w:t>157,51</w:t>
      </w:r>
      <w:r w:rsidRPr="00926ED0">
        <w:rPr>
          <w:rFonts w:asciiTheme="minorHAnsi" w:hAnsiTheme="minorHAnsi" w:cstheme="minorHAnsi"/>
          <w:sz w:val="22"/>
          <w:szCs w:val="22"/>
        </w:rPr>
        <w:t xml:space="preserve"> tis. Kč),</w:t>
      </w:r>
    </w:p>
    <w:p w:rsidR="000F0DC6" w:rsidRDefault="000F0DC6" w:rsidP="00926ED0">
      <w:pPr>
        <w:pStyle w:val="Odstavecseseznamem"/>
        <w:numPr>
          <w:ilvl w:val="0"/>
          <w:numId w:val="12"/>
        </w:numPr>
        <w:rPr>
          <w:rFonts w:asciiTheme="minorHAnsi" w:hAnsiTheme="minorHAnsi" w:cstheme="minorHAnsi"/>
          <w:sz w:val="22"/>
          <w:szCs w:val="22"/>
        </w:rPr>
      </w:pPr>
      <w:r>
        <w:rPr>
          <w:rFonts w:asciiTheme="minorHAnsi" w:hAnsiTheme="minorHAnsi" w:cstheme="minorHAnsi"/>
          <w:sz w:val="22"/>
          <w:szCs w:val="22"/>
        </w:rPr>
        <w:t>kap. 41 – doprava (5,51 tis. Kč),</w:t>
      </w:r>
    </w:p>
    <w:p w:rsidR="000F0DC6" w:rsidRPr="00926ED0" w:rsidRDefault="000F0DC6" w:rsidP="00926ED0">
      <w:pPr>
        <w:pStyle w:val="Odstavecseseznamem"/>
        <w:numPr>
          <w:ilvl w:val="0"/>
          <w:numId w:val="12"/>
        </w:numPr>
        <w:rPr>
          <w:rFonts w:asciiTheme="minorHAnsi" w:hAnsiTheme="minorHAnsi" w:cstheme="minorHAnsi"/>
          <w:sz w:val="22"/>
          <w:szCs w:val="22"/>
        </w:rPr>
      </w:pPr>
      <w:r>
        <w:rPr>
          <w:rFonts w:asciiTheme="minorHAnsi" w:hAnsiTheme="minorHAnsi" w:cstheme="minorHAnsi"/>
          <w:sz w:val="22"/>
          <w:szCs w:val="22"/>
        </w:rPr>
        <w:t>kap. 70 – finanční (80,74 tis. Kč)</w:t>
      </w:r>
    </w:p>
    <w:p w:rsidR="00886DDB" w:rsidRPr="00926ED0" w:rsidRDefault="00886DDB" w:rsidP="0055622D">
      <w:pPr>
        <w:pStyle w:val="Odstavecseseznamem"/>
        <w:numPr>
          <w:ilvl w:val="0"/>
          <w:numId w:val="12"/>
        </w:numPr>
        <w:ind w:left="714" w:hanging="357"/>
        <w:rPr>
          <w:rFonts w:asciiTheme="minorHAnsi" w:hAnsiTheme="minorHAnsi" w:cstheme="minorHAnsi"/>
          <w:sz w:val="22"/>
          <w:szCs w:val="22"/>
        </w:rPr>
      </w:pPr>
      <w:r w:rsidRPr="00926ED0">
        <w:rPr>
          <w:rFonts w:asciiTheme="minorHAnsi" w:hAnsiTheme="minorHAnsi" w:cstheme="minorHAnsi"/>
          <w:sz w:val="22"/>
          <w:szCs w:val="22"/>
        </w:rPr>
        <w:t>kap. 90 - správa a údržba majetku města (</w:t>
      </w:r>
      <w:r w:rsidR="000F0DC6">
        <w:rPr>
          <w:rFonts w:asciiTheme="minorHAnsi" w:hAnsiTheme="minorHAnsi" w:cstheme="minorHAnsi"/>
          <w:sz w:val="22"/>
          <w:szCs w:val="22"/>
        </w:rPr>
        <w:t>293,96</w:t>
      </w:r>
      <w:r w:rsidRPr="00926ED0">
        <w:rPr>
          <w:rFonts w:asciiTheme="minorHAnsi" w:hAnsiTheme="minorHAnsi" w:cstheme="minorHAnsi"/>
          <w:sz w:val="22"/>
          <w:szCs w:val="22"/>
        </w:rPr>
        <w:t xml:space="preserve"> tis. Kč),</w:t>
      </w:r>
    </w:p>
    <w:p w:rsidR="00552EE6" w:rsidRDefault="00552EE6" w:rsidP="0024764D">
      <w:pPr>
        <w:pStyle w:val="Nadpis3"/>
        <w:rPr>
          <w:b w:val="0"/>
        </w:rPr>
      </w:pPr>
      <w:bookmarkStart w:id="14" w:name="_Toc39129501"/>
      <w:r w:rsidRPr="00B42442">
        <w:rPr>
          <w:b w:val="0"/>
        </w:rPr>
        <w:t>Srovnání přijatých sankčních plateb</w:t>
      </w:r>
      <w:r w:rsidR="009C6088">
        <w:rPr>
          <w:b w:val="0"/>
        </w:rPr>
        <w:t xml:space="preserve"> a vratek transferů v letech 2020</w:t>
      </w:r>
      <w:r w:rsidR="00BB0601" w:rsidRPr="00B42442">
        <w:rPr>
          <w:b w:val="0"/>
        </w:rPr>
        <w:t xml:space="preserve"> – 202</w:t>
      </w:r>
      <w:r w:rsidR="009C6088">
        <w:rPr>
          <w:b w:val="0"/>
        </w:rPr>
        <w:t>2</w:t>
      </w:r>
      <w:r w:rsidRPr="00B42442">
        <w:rPr>
          <w:b w:val="0"/>
        </w:rPr>
        <w:t xml:space="preserve"> (v Kč)</w:t>
      </w:r>
      <w:bookmarkEnd w:id="14"/>
    </w:p>
    <w:tbl>
      <w:tblPr>
        <w:tblW w:w="9634" w:type="dxa"/>
        <w:tblCellMar>
          <w:left w:w="70" w:type="dxa"/>
          <w:right w:w="70" w:type="dxa"/>
        </w:tblCellMar>
        <w:tblLook w:val="04A0" w:firstRow="1" w:lastRow="0" w:firstColumn="1" w:lastColumn="0" w:noHBand="0" w:noVBand="1"/>
      </w:tblPr>
      <w:tblGrid>
        <w:gridCol w:w="414"/>
        <w:gridCol w:w="505"/>
        <w:gridCol w:w="4888"/>
        <w:gridCol w:w="1276"/>
        <w:gridCol w:w="1276"/>
        <w:gridCol w:w="1275"/>
      </w:tblGrid>
      <w:tr w:rsidR="009C6088" w:rsidTr="009C6088">
        <w:trPr>
          <w:trHeight w:val="300"/>
        </w:trPr>
        <w:tc>
          <w:tcPr>
            <w:tcW w:w="5807" w:type="dxa"/>
            <w:gridSpan w:val="3"/>
            <w:tcBorders>
              <w:top w:val="single" w:sz="4" w:space="0" w:color="auto"/>
              <w:left w:val="single" w:sz="4" w:space="0" w:color="auto"/>
              <w:bottom w:val="single" w:sz="4" w:space="0" w:color="auto"/>
              <w:right w:val="single" w:sz="4" w:space="0" w:color="auto"/>
            </w:tcBorders>
            <w:shd w:val="clear" w:color="D6A100" w:fill="FFC000"/>
            <w:noWrap/>
            <w:vAlign w:val="center"/>
            <w:hideMark/>
          </w:tcPr>
          <w:p w:rsidR="009C6088" w:rsidRDefault="009C6088">
            <w:pPr>
              <w:jc w:val="center"/>
              <w:rPr>
                <w:rFonts w:ascii="Calibri" w:hAnsi="Calibri" w:cs="Calibri"/>
                <w:color w:val="000000"/>
                <w:sz w:val="18"/>
                <w:szCs w:val="18"/>
              </w:rPr>
            </w:pPr>
            <w:r>
              <w:rPr>
                <w:rFonts w:ascii="Calibri" w:hAnsi="Calibri" w:cs="Calibri"/>
                <w:color w:val="000000"/>
                <w:sz w:val="18"/>
                <w:szCs w:val="18"/>
              </w:rPr>
              <w:t> </w:t>
            </w:r>
          </w:p>
        </w:tc>
        <w:tc>
          <w:tcPr>
            <w:tcW w:w="1276" w:type="dxa"/>
            <w:tcBorders>
              <w:top w:val="single" w:sz="4" w:space="0" w:color="auto"/>
              <w:left w:val="nil"/>
              <w:bottom w:val="single" w:sz="4" w:space="0" w:color="auto"/>
              <w:right w:val="single" w:sz="4" w:space="0" w:color="auto"/>
            </w:tcBorders>
            <w:shd w:val="clear" w:color="D6A100" w:fill="FFC000"/>
            <w:noWrap/>
            <w:vAlign w:val="center"/>
            <w:hideMark/>
          </w:tcPr>
          <w:p w:rsidR="009C6088" w:rsidRDefault="009C6088">
            <w:pPr>
              <w:jc w:val="center"/>
              <w:rPr>
                <w:rFonts w:ascii="Calibri" w:hAnsi="Calibri" w:cs="Calibri"/>
                <w:color w:val="000000"/>
                <w:sz w:val="18"/>
                <w:szCs w:val="18"/>
              </w:rPr>
            </w:pPr>
            <w:r>
              <w:rPr>
                <w:rFonts w:ascii="Calibri" w:hAnsi="Calibri" w:cs="Calibri"/>
                <w:color w:val="000000"/>
                <w:sz w:val="18"/>
                <w:szCs w:val="18"/>
              </w:rPr>
              <w:t>2020</w:t>
            </w:r>
          </w:p>
        </w:tc>
        <w:tc>
          <w:tcPr>
            <w:tcW w:w="1276" w:type="dxa"/>
            <w:tcBorders>
              <w:top w:val="single" w:sz="4" w:space="0" w:color="auto"/>
              <w:left w:val="nil"/>
              <w:bottom w:val="single" w:sz="4" w:space="0" w:color="auto"/>
              <w:right w:val="single" w:sz="4" w:space="0" w:color="auto"/>
            </w:tcBorders>
            <w:shd w:val="clear" w:color="D6A100" w:fill="FFC000"/>
            <w:noWrap/>
            <w:vAlign w:val="center"/>
            <w:hideMark/>
          </w:tcPr>
          <w:p w:rsidR="009C6088" w:rsidRDefault="009C6088">
            <w:pPr>
              <w:jc w:val="center"/>
              <w:rPr>
                <w:rFonts w:ascii="Calibri" w:hAnsi="Calibri" w:cs="Calibri"/>
                <w:color w:val="000000"/>
                <w:sz w:val="18"/>
                <w:szCs w:val="18"/>
              </w:rPr>
            </w:pPr>
            <w:r>
              <w:rPr>
                <w:rFonts w:ascii="Calibri" w:hAnsi="Calibri" w:cs="Calibri"/>
                <w:color w:val="000000"/>
                <w:sz w:val="18"/>
                <w:szCs w:val="18"/>
              </w:rPr>
              <w:t>2021</w:t>
            </w:r>
          </w:p>
        </w:tc>
        <w:tc>
          <w:tcPr>
            <w:tcW w:w="1275" w:type="dxa"/>
            <w:tcBorders>
              <w:top w:val="single" w:sz="4" w:space="0" w:color="auto"/>
              <w:left w:val="nil"/>
              <w:bottom w:val="single" w:sz="4" w:space="0" w:color="auto"/>
              <w:right w:val="single" w:sz="4" w:space="0" w:color="auto"/>
            </w:tcBorders>
            <w:shd w:val="clear" w:color="D6A100" w:fill="FFC000"/>
            <w:noWrap/>
            <w:vAlign w:val="center"/>
            <w:hideMark/>
          </w:tcPr>
          <w:p w:rsidR="009C6088" w:rsidRDefault="009C6088">
            <w:pPr>
              <w:jc w:val="center"/>
              <w:rPr>
                <w:rFonts w:ascii="Calibri" w:hAnsi="Calibri" w:cs="Calibri"/>
                <w:color w:val="000000"/>
                <w:sz w:val="18"/>
                <w:szCs w:val="18"/>
              </w:rPr>
            </w:pPr>
            <w:r>
              <w:rPr>
                <w:rFonts w:ascii="Calibri" w:hAnsi="Calibri" w:cs="Calibri"/>
                <w:color w:val="000000"/>
                <w:sz w:val="18"/>
                <w:szCs w:val="18"/>
              </w:rPr>
              <w:t>2022</w:t>
            </w:r>
          </w:p>
        </w:tc>
      </w:tr>
      <w:tr w:rsidR="009C6088" w:rsidTr="009C6088">
        <w:trPr>
          <w:trHeight w:val="300"/>
        </w:trPr>
        <w:tc>
          <w:tcPr>
            <w:tcW w:w="5807" w:type="dxa"/>
            <w:gridSpan w:val="3"/>
            <w:tcBorders>
              <w:top w:val="single" w:sz="4" w:space="0" w:color="auto"/>
              <w:left w:val="single" w:sz="4" w:space="0" w:color="auto"/>
              <w:bottom w:val="single" w:sz="4" w:space="0" w:color="auto"/>
              <w:right w:val="single" w:sz="4" w:space="0" w:color="auto"/>
            </w:tcBorders>
            <w:shd w:val="clear" w:color="FCD5B4" w:fill="FFE699"/>
            <w:noWrap/>
            <w:vAlign w:val="center"/>
            <w:hideMark/>
          </w:tcPr>
          <w:p w:rsidR="009C6088" w:rsidRDefault="009C6088">
            <w:pPr>
              <w:rPr>
                <w:rFonts w:ascii="Calibri" w:hAnsi="Calibri" w:cs="Calibri"/>
                <w:color w:val="000000"/>
                <w:sz w:val="18"/>
                <w:szCs w:val="18"/>
              </w:rPr>
            </w:pPr>
            <w:r>
              <w:rPr>
                <w:rFonts w:ascii="Calibri" w:hAnsi="Calibri" w:cs="Calibri"/>
                <w:color w:val="000000"/>
                <w:sz w:val="18"/>
                <w:szCs w:val="18"/>
              </w:rPr>
              <w:t>Přijaté sankční platby a vratky transferů</w:t>
            </w:r>
          </w:p>
        </w:tc>
        <w:tc>
          <w:tcPr>
            <w:tcW w:w="1276" w:type="dxa"/>
            <w:tcBorders>
              <w:top w:val="nil"/>
              <w:left w:val="nil"/>
              <w:bottom w:val="single" w:sz="4" w:space="0" w:color="auto"/>
              <w:right w:val="single" w:sz="4" w:space="0" w:color="auto"/>
            </w:tcBorders>
            <w:shd w:val="clear" w:color="FCD5B4" w:fill="FFE699"/>
            <w:noWrap/>
            <w:vAlign w:val="center"/>
            <w:hideMark/>
          </w:tcPr>
          <w:p w:rsidR="009C6088" w:rsidRPr="009C6088" w:rsidRDefault="009C6088">
            <w:pPr>
              <w:jc w:val="right"/>
              <w:rPr>
                <w:rFonts w:ascii="Calibri" w:hAnsi="Calibri" w:cs="Calibri"/>
                <w:b/>
                <w:color w:val="000000"/>
                <w:sz w:val="18"/>
                <w:szCs w:val="18"/>
              </w:rPr>
            </w:pPr>
            <w:r w:rsidRPr="009C6088">
              <w:rPr>
                <w:rFonts w:ascii="Calibri" w:hAnsi="Calibri" w:cs="Calibri"/>
                <w:b/>
                <w:color w:val="000000"/>
                <w:sz w:val="18"/>
                <w:szCs w:val="18"/>
              </w:rPr>
              <w:t>6 898 727,52</w:t>
            </w:r>
          </w:p>
        </w:tc>
        <w:tc>
          <w:tcPr>
            <w:tcW w:w="1276" w:type="dxa"/>
            <w:tcBorders>
              <w:top w:val="nil"/>
              <w:left w:val="nil"/>
              <w:bottom w:val="single" w:sz="4" w:space="0" w:color="auto"/>
              <w:right w:val="single" w:sz="4" w:space="0" w:color="auto"/>
            </w:tcBorders>
            <w:shd w:val="clear" w:color="FCD5B4" w:fill="FFE699"/>
            <w:noWrap/>
            <w:vAlign w:val="center"/>
            <w:hideMark/>
          </w:tcPr>
          <w:p w:rsidR="009C6088" w:rsidRPr="009C6088" w:rsidRDefault="009C6088">
            <w:pPr>
              <w:jc w:val="right"/>
              <w:rPr>
                <w:rFonts w:ascii="Calibri" w:hAnsi="Calibri" w:cs="Calibri"/>
                <w:b/>
                <w:color w:val="000000"/>
                <w:sz w:val="18"/>
                <w:szCs w:val="18"/>
              </w:rPr>
            </w:pPr>
            <w:r w:rsidRPr="009C6088">
              <w:rPr>
                <w:rFonts w:ascii="Calibri" w:hAnsi="Calibri" w:cs="Calibri"/>
                <w:b/>
                <w:color w:val="000000"/>
                <w:sz w:val="18"/>
                <w:szCs w:val="18"/>
              </w:rPr>
              <w:t>9 355 511,82</w:t>
            </w:r>
          </w:p>
        </w:tc>
        <w:tc>
          <w:tcPr>
            <w:tcW w:w="1275" w:type="dxa"/>
            <w:tcBorders>
              <w:top w:val="nil"/>
              <w:left w:val="nil"/>
              <w:bottom w:val="single" w:sz="4" w:space="0" w:color="auto"/>
              <w:right w:val="single" w:sz="4" w:space="0" w:color="auto"/>
            </w:tcBorders>
            <w:shd w:val="clear" w:color="FCD5B4" w:fill="FFE699"/>
            <w:noWrap/>
            <w:vAlign w:val="center"/>
            <w:hideMark/>
          </w:tcPr>
          <w:p w:rsidR="009C6088" w:rsidRPr="009C6088" w:rsidRDefault="009C6088">
            <w:pPr>
              <w:jc w:val="right"/>
              <w:rPr>
                <w:rFonts w:ascii="Calibri" w:hAnsi="Calibri" w:cs="Calibri"/>
                <w:b/>
                <w:color w:val="000000"/>
                <w:sz w:val="18"/>
                <w:szCs w:val="18"/>
              </w:rPr>
            </w:pPr>
            <w:r w:rsidRPr="009C6088">
              <w:rPr>
                <w:rFonts w:ascii="Calibri" w:hAnsi="Calibri" w:cs="Calibri"/>
                <w:b/>
                <w:color w:val="000000"/>
                <w:sz w:val="18"/>
                <w:szCs w:val="18"/>
              </w:rPr>
              <w:t>12 950 881,55</w:t>
            </w:r>
          </w:p>
        </w:tc>
      </w:tr>
      <w:tr w:rsidR="009C6088" w:rsidTr="009C6088">
        <w:trPr>
          <w:trHeight w:val="300"/>
        </w:trPr>
        <w:tc>
          <w:tcPr>
            <w:tcW w:w="414" w:type="dxa"/>
            <w:tcBorders>
              <w:top w:val="nil"/>
              <w:left w:val="single" w:sz="4" w:space="0" w:color="auto"/>
              <w:bottom w:val="single" w:sz="4" w:space="0" w:color="auto"/>
              <w:right w:val="single" w:sz="4" w:space="0" w:color="auto"/>
            </w:tcBorders>
            <w:shd w:val="clear" w:color="FDE9D9" w:fill="FFF2CC"/>
            <w:noWrap/>
            <w:vAlign w:val="center"/>
            <w:hideMark/>
          </w:tcPr>
          <w:p w:rsidR="009C6088" w:rsidRDefault="009C6088">
            <w:pPr>
              <w:jc w:val="right"/>
              <w:rPr>
                <w:rFonts w:ascii="Calibri" w:hAnsi="Calibri" w:cs="Calibri"/>
                <w:color w:val="000000"/>
                <w:sz w:val="18"/>
                <w:szCs w:val="18"/>
              </w:rPr>
            </w:pPr>
            <w:r>
              <w:rPr>
                <w:rFonts w:ascii="Calibri" w:hAnsi="Calibri" w:cs="Calibri"/>
                <w:color w:val="000000"/>
                <w:sz w:val="18"/>
                <w:szCs w:val="18"/>
              </w:rPr>
              <w:t>221</w:t>
            </w:r>
          </w:p>
        </w:tc>
        <w:tc>
          <w:tcPr>
            <w:tcW w:w="5393" w:type="dxa"/>
            <w:gridSpan w:val="2"/>
            <w:tcBorders>
              <w:top w:val="single" w:sz="4" w:space="0" w:color="auto"/>
              <w:left w:val="nil"/>
              <w:bottom w:val="single" w:sz="4" w:space="0" w:color="auto"/>
              <w:right w:val="single" w:sz="4" w:space="0" w:color="auto"/>
            </w:tcBorders>
            <w:shd w:val="clear" w:color="FDE9D9" w:fill="FFF2CC"/>
            <w:noWrap/>
            <w:vAlign w:val="center"/>
            <w:hideMark/>
          </w:tcPr>
          <w:p w:rsidR="009C6088" w:rsidRDefault="009C6088">
            <w:pPr>
              <w:rPr>
                <w:rFonts w:ascii="Calibri" w:hAnsi="Calibri" w:cs="Calibri"/>
                <w:color w:val="000000"/>
                <w:sz w:val="18"/>
                <w:szCs w:val="18"/>
              </w:rPr>
            </w:pPr>
            <w:r>
              <w:rPr>
                <w:rFonts w:ascii="Calibri" w:hAnsi="Calibri" w:cs="Calibri"/>
                <w:color w:val="000000"/>
                <w:sz w:val="18"/>
                <w:szCs w:val="18"/>
              </w:rPr>
              <w:t>Přijaté sankční platby</w:t>
            </w:r>
          </w:p>
        </w:tc>
        <w:tc>
          <w:tcPr>
            <w:tcW w:w="1276" w:type="dxa"/>
            <w:tcBorders>
              <w:top w:val="nil"/>
              <w:left w:val="nil"/>
              <w:bottom w:val="single" w:sz="4" w:space="0" w:color="auto"/>
              <w:right w:val="single" w:sz="4" w:space="0" w:color="auto"/>
            </w:tcBorders>
            <w:shd w:val="clear" w:color="FDE9D9" w:fill="FFF2CC"/>
            <w:noWrap/>
            <w:vAlign w:val="center"/>
            <w:hideMark/>
          </w:tcPr>
          <w:p w:rsidR="009C6088" w:rsidRDefault="009C6088">
            <w:pPr>
              <w:jc w:val="right"/>
              <w:rPr>
                <w:rFonts w:ascii="Calibri" w:hAnsi="Calibri" w:cs="Calibri"/>
                <w:color w:val="000000"/>
                <w:sz w:val="18"/>
                <w:szCs w:val="18"/>
              </w:rPr>
            </w:pPr>
            <w:r>
              <w:rPr>
                <w:rFonts w:ascii="Calibri" w:hAnsi="Calibri" w:cs="Calibri"/>
                <w:color w:val="000000"/>
                <w:sz w:val="18"/>
                <w:szCs w:val="18"/>
              </w:rPr>
              <w:t>6 811 663,38</w:t>
            </w:r>
          </w:p>
        </w:tc>
        <w:tc>
          <w:tcPr>
            <w:tcW w:w="1276" w:type="dxa"/>
            <w:tcBorders>
              <w:top w:val="nil"/>
              <w:left w:val="nil"/>
              <w:bottom w:val="single" w:sz="4" w:space="0" w:color="auto"/>
              <w:right w:val="single" w:sz="4" w:space="0" w:color="auto"/>
            </w:tcBorders>
            <w:shd w:val="clear" w:color="FDE9D9" w:fill="FFF2CC"/>
            <w:noWrap/>
            <w:vAlign w:val="center"/>
            <w:hideMark/>
          </w:tcPr>
          <w:p w:rsidR="009C6088" w:rsidRDefault="009C6088">
            <w:pPr>
              <w:jc w:val="right"/>
              <w:rPr>
                <w:rFonts w:ascii="Calibri" w:hAnsi="Calibri" w:cs="Calibri"/>
                <w:color w:val="000000"/>
                <w:sz w:val="18"/>
                <w:szCs w:val="18"/>
              </w:rPr>
            </w:pPr>
            <w:r>
              <w:rPr>
                <w:rFonts w:ascii="Calibri" w:hAnsi="Calibri" w:cs="Calibri"/>
                <w:color w:val="000000"/>
                <w:sz w:val="18"/>
                <w:szCs w:val="18"/>
              </w:rPr>
              <w:t>9 138 905,90</w:t>
            </w:r>
          </w:p>
        </w:tc>
        <w:tc>
          <w:tcPr>
            <w:tcW w:w="1275" w:type="dxa"/>
            <w:tcBorders>
              <w:top w:val="nil"/>
              <w:left w:val="nil"/>
              <w:bottom w:val="single" w:sz="4" w:space="0" w:color="auto"/>
              <w:right w:val="single" w:sz="4" w:space="0" w:color="auto"/>
            </w:tcBorders>
            <w:shd w:val="clear" w:color="FDE9D9" w:fill="FFF2CC"/>
            <w:noWrap/>
            <w:vAlign w:val="center"/>
            <w:hideMark/>
          </w:tcPr>
          <w:p w:rsidR="009C6088" w:rsidRDefault="009C6088">
            <w:pPr>
              <w:jc w:val="right"/>
              <w:rPr>
                <w:rFonts w:ascii="Calibri" w:hAnsi="Calibri" w:cs="Calibri"/>
                <w:color w:val="000000"/>
                <w:sz w:val="18"/>
                <w:szCs w:val="18"/>
              </w:rPr>
            </w:pPr>
            <w:r>
              <w:rPr>
                <w:rFonts w:ascii="Calibri" w:hAnsi="Calibri" w:cs="Calibri"/>
                <w:color w:val="000000"/>
                <w:sz w:val="18"/>
                <w:szCs w:val="18"/>
              </w:rPr>
              <w:t>12 868 494,09</w:t>
            </w:r>
          </w:p>
        </w:tc>
      </w:tr>
      <w:tr w:rsidR="009C6088" w:rsidTr="009C6088">
        <w:trPr>
          <w:trHeight w:val="300"/>
        </w:trPr>
        <w:tc>
          <w:tcPr>
            <w:tcW w:w="4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C6088" w:rsidRDefault="009C6088">
            <w:pPr>
              <w:jc w:val="center"/>
              <w:rPr>
                <w:rFonts w:ascii="Calibri" w:hAnsi="Calibri" w:cs="Calibri"/>
                <w:color w:val="000000"/>
                <w:sz w:val="18"/>
                <w:szCs w:val="18"/>
              </w:rPr>
            </w:pPr>
            <w:r>
              <w:rPr>
                <w:rFonts w:ascii="Calibri" w:hAnsi="Calibri" w:cs="Calibri"/>
                <w:color w:val="000000"/>
                <w:sz w:val="18"/>
                <w:szCs w:val="18"/>
              </w:rPr>
              <w:t> </w:t>
            </w:r>
          </w:p>
        </w:tc>
        <w:tc>
          <w:tcPr>
            <w:tcW w:w="505" w:type="dxa"/>
            <w:tcBorders>
              <w:top w:val="nil"/>
              <w:left w:val="nil"/>
              <w:bottom w:val="single" w:sz="4" w:space="0" w:color="auto"/>
              <w:right w:val="single" w:sz="4" w:space="0" w:color="auto"/>
            </w:tcBorders>
            <w:shd w:val="clear" w:color="auto" w:fill="auto"/>
            <w:noWrap/>
            <w:vAlign w:val="center"/>
            <w:hideMark/>
          </w:tcPr>
          <w:p w:rsidR="009C6088" w:rsidRDefault="009C6088">
            <w:pPr>
              <w:jc w:val="right"/>
              <w:rPr>
                <w:rFonts w:ascii="Calibri" w:hAnsi="Calibri" w:cs="Calibri"/>
                <w:color w:val="000000"/>
                <w:sz w:val="18"/>
                <w:szCs w:val="18"/>
              </w:rPr>
            </w:pPr>
            <w:r>
              <w:rPr>
                <w:rFonts w:ascii="Calibri" w:hAnsi="Calibri" w:cs="Calibri"/>
                <w:color w:val="000000"/>
                <w:sz w:val="18"/>
                <w:szCs w:val="18"/>
              </w:rPr>
              <w:t>2211</w:t>
            </w:r>
          </w:p>
        </w:tc>
        <w:tc>
          <w:tcPr>
            <w:tcW w:w="4888" w:type="dxa"/>
            <w:tcBorders>
              <w:top w:val="nil"/>
              <w:left w:val="nil"/>
              <w:bottom w:val="single" w:sz="4" w:space="0" w:color="auto"/>
              <w:right w:val="single" w:sz="4" w:space="0" w:color="auto"/>
            </w:tcBorders>
            <w:shd w:val="clear" w:color="auto" w:fill="auto"/>
            <w:noWrap/>
            <w:vAlign w:val="center"/>
            <w:hideMark/>
          </w:tcPr>
          <w:p w:rsidR="009C6088" w:rsidRDefault="009C6088">
            <w:pPr>
              <w:rPr>
                <w:rFonts w:ascii="Calibri" w:hAnsi="Calibri" w:cs="Calibri"/>
                <w:color w:val="000000"/>
                <w:sz w:val="18"/>
                <w:szCs w:val="18"/>
              </w:rPr>
            </w:pPr>
            <w:r>
              <w:rPr>
                <w:rFonts w:ascii="Calibri" w:hAnsi="Calibri" w:cs="Calibri"/>
                <w:color w:val="000000"/>
                <w:sz w:val="18"/>
                <w:szCs w:val="18"/>
              </w:rPr>
              <w:t>Sankční platby přijaté od státu, obcí a krajů</w:t>
            </w:r>
          </w:p>
        </w:tc>
        <w:tc>
          <w:tcPr>
            <w:tcW w:w="1276" w:type="dxa"/>
            <w:tcBorders>
              <w:top w:val="nil"/>
              <w:left w:val="nil"/>
              <w:bottom w:val="single" w:sz="4" w:space="0" w:color="auto"/>
              <w:right w:val="single" w:sz="4" w:space="0" w:color="auto"/>
            </w:tcBorders>
            <w:shd w:val="clear" w:color="auto" w:fill="auto"/>
            <w:noWrap/>
            <w:vAlign w:val="center"/>
            <w:hideMark/>
          </w:tcPr>
          <w:p w:rsidR="009C6088" w:rsidRDefault="009C6088">
            <w:pPr>
              <w:jc w:val="right"/>
              <w:rPr>
                <w:rFonts w:ascii="Calibri" w:hAnsi="Calibri" w:cs="Calibri"/>
                <w:color w:val="000000"/>
                <w:sz w:val="18"/>
                <w:szCs w:val="18"/>
              </w:rPr>
            </w:pPr>
            <w:r>
              <w:rPr>
                <w:rFonts w:ascii="Calibri" w:hAnsi="Calibri" w:cs="Calibri"/>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9C6088" w:rsidRDefault="009C6088">
            <w:pPr>
              <w:jc w:val="right"/>
              <w:rPr>
                <w:rFonts w:ascii="Calibri" w:hAnsi="Calibri" w:cs="Calibri"/>
                <w:color w:val="000000"/>
                <w:sz w:val="18"/>
                <w:szCs w:val="18"/>
              </w:rPr>
            </w:pPr>
            <w:r>
              <w:rPr>
                <w:rFonts w:ascii="Calibri" w:hAnsi="Calibri" w:cs="Calibri"/>
                <w:color w:val="000000"/>
                <w:sz w:val="18"/>
                <w:szCs w:val="18"/>
              </w:rPr>
              <w:t>0,00</w:t>
            </w:r>
          </w:p>
        </w:tc>
        <w:tc>
          <w:tcPr>
            <w:tcW w:w="1275" w:type="dxa"/>
            <w:tcBorders>
              <w:top w:val="nil"/>
              <w:left w:val="nil"/>
              <w:bottom w:val="single" w:sz="4" w:space="0" w:color="auto"/>
              <w:right w:val="single" w:sz="4" w:space="0" w:color="auto"/>
            </w:tcBorders>
            <w:shd w:val="clear" w:color="auto" w:fill="auto"/>
            <w:noWrap/>
            <w:vAlign w:val="center"/>
            <w:hideMark/>
          </w:tcPr>
          <w:p w:rsidR="009C6088" w:rsidRDefault="009C6088">
            <w:pPr>
              <w:jc w:val="right"/>
              <w:rPr>
                <w:rFonts w:ascii="Calibri" w:hAnsi="Calibri" w:cs="Calibri"/>
                <w:color w:val="000000"/>
                <w:sz w:val="18"/>
                <w:szCs w:val="18"/>
              </w:rPr>
            </w:pPr>
            <w:r>
              <w:rPr>
                <w:rFonts w:ascii="Calibri" w:hAnsi="Calibri" w:cs="Calibri"/>
                <w:color w:val="000000"/>
                <w:sz w:val="18"/>
                <w:szCs w:val="18"/>
              </w:rPr>
              <w:t>0,00</w:t>
            </w:r>
          </w:p>
        </w:tc>
      </w:tr>
      <w:tr w:rsidR="009C6088" w:rsidTr="009C6088">
        <w:trPr>
          <w:trHeight w:val="300"/>
        </w:trPr>
        <w:tc>
          <w:tcPr>
            <w:tcW w:w="414" w:type="dxa"/>
            <w:vMerge/>
            <w:tcBorders>
              <w:top w:val="nil"/>
              <w:left w:val="single" w:sz="4" w:space="0" w:color="auto"/>
              <w:bottom w:val="single" w:sz="4" w:space="0" w:color="auto"/>
              <w:right w:val="single" w:sz="4" w:space="0" w:color="auto"/>
            </w:tcBorders>
            <w:vAlign w:val="center"/>
            <w:hideMark/>
          </w:tcPr>
          <w:p w:rsidR="009C6088" w:rsidRDefault="009C6088">
            <w:pPr>
              <w:rPr>
                <w:rFonts w:ascii="Calibri" w:hAnsi="Calibri" w:cs="Calibri"/>
                <w:color w:val="000000"/>
                <w:sz w:val="18"/>
                <w:szCs w:val="18"/>
              </w:rPr>
            </w:pPr>
          </w:p>
        </w:tc>
        <w:tc>
          <w:tcPr>
            <w:tcW w:w="505" w:type="dxa"/>
            <w:tcBorders>
              <w:top w:val="nil"/>
              <w:left w:val="nil"/>
              <w:bottom w:val="single" w:sz="4" w:space="0" w:color="auto"/>
              <w:right w:val="single" w:sz="4" w:space="0" w:color="auto"/>
            </w:tcBorders>
            <w:shd w:val="clear" w:color="auto" w:fill="auto"/>
            <w:noWrap/>
            <w:vAlign w:val="center"/>
            <w:hideMark/>
          </w:tcPr>
          <w:p w:rsidR="009C6088" w:rsidRDefault="009C6088">
            <w:pPr>
              <w:jc w:val="right"/>
              <w:rPr>
                <w:rFonts w:ascii="Calibri" w:hAnsi="Calibri" w:cs="Calibri"/>
                <w:color w:val="000000"/>
                <w:sz w:val="18"/>
                <w:szCs w:val="18"/>
              </w:rPr>
            </w:pPr>
            <w:r>
              <w:rPr>
                <w:rFonts w:ascii="Calibri" w:hAnsi="Calibri" w:cs="Calibri"/>
                <w:color w:val="000000"/>
                <w:sz w:val="18"/>
                <w:szCs w:val="18"/>
              </w:rPr>
              <w:t>2212</w:t>
            </w:r>
          </w:p>
        </w:tc>
        <w:tc>
          <w:tcPr>
            <w:tcW w:w="4888" w:type="dxa"/>
            <w:tcBorders>
              <w:top w:val="nil"/>
              <w:left w:val="nil"/>
              <w:bottom w:val="single" w:sz="4" w:space="0" w:color="auto"/>
              <w:right w:val="single" w:sz="4" w:space="0" w:color="auto"/>
            </w:tcBorders>
            <w:shd w:val="clear" w:color="auto" w:fill="auto"/>
            <w:noWrap/>
            <w:vAlign w:val="center"/>
            <w:hideMark/>
          </w:tcPr>
          <w:p w:rsidR="009C6088" w:rsidRDefault="009C6088">
            <w:pPr>
              <w:rPr>
                <w:rFonts w:ascii="Calibri" w:hAnsi="Calibri" w:cs="Calibri"/>
                <w:color w:val="000000"/>
                <w:sz w:val="18"/>
                <w:szCs w:val="18"/>
              </w:rPr>
            </w:pPr>
            <w:r>
              <w:rPr>
                <w:rFonts w:ascii="Calibri" w:hAnsi="Calibri" w:cs="Calibri"/>
                <w:color w:val="000000"/>
                <w:sz w:val="18"/>
                <w:szCs w:val="18"/>
              </w:rPr>
              <w:t>Sankční platby přijaté od jiných subjektů</w:t>
            </w:r>
          </w:p>
        </w:tc>
        <w:tc>
          <w:tcPr>
            <w:tcW w:w="1276" w:type="dxa"/>
            <w:tcBorders>
              <w:top w:val="nil"/>
              <w:left w:val="nil"/>
              <w:bottom w:val="single" w:sz="4" w:space="0" w:color="auto"/>
              <w:right w:val="single" w:sz="4" w:space="0" w:color="auto"/>
            </w:tcBorders>
            <w:shd w:val="clear" w:color="auto" w:fill="auto"/>
            <w:noWrap/>
            <w:vAlign w:val="center"/>
            <w:hideMark/>
          </w:tcPr>
          <w:p w:rsidR="009C6088" w:rsidRDefault="009C6088">
            <w:pPr>
              <w:jc w:val="right"/>
              <w:rPr>
                <w:rFonts w:ascii="Calibri" w:hAnsi="Calibri" w:cs="Calibri"/>
                <w:color w:val="000000"/>
                <w:sz w:val="18"/>
                <w:szCs w:val="18"/>
              </w:rPr>
            </w:pPr>
            <w:r>
              <w:rPr>
                <w:rFonts w:ascii="Calibri" w:hAnsi="Calibri" w:cs="Calibri"/>
                <w:color w:val="000000"/>
                <w:sz w:val="18"/>
                <w:szCs w:val="18"/>
              </w:rPr>
              <w:t>6 811 663,38</w:t>
            </w:r>
          </w:p>
        </w:tc>
        <w:tc>
          <w:tcPr>
            <w:tcW w:w="1276" w:type="dxa"/>
            <w:tcBorders>
              <w:top w:val="nil"/>
              <w:left w:val="nil"/>
              <w:bottom w:val="single" w:sz="4" w:space="0" w:color="auto"/>
              <w:right w:val="single" w:sz="4" w:space="0" w:color="auto"/>
            </w:tcBorders>
            <w:shd w:val="clear" w:color="auto" w:fill="auto"/>
            <w:noWrap/>
            <w:vAlign w:val="center"/>
            <w:hideMark/>
          </w:tcPr>
          <w:p w:rsidR="009C6088" w:rsidRDefault="009C6088">
            <w:pPr>
              <w:jc w:val="right"/>
              <w:rPr>
                <w:rFonts w:ascii="Calibri" w:hAnsi="Calibri" w:cs="Calibri"/>
                <w:color w:val="000000"/>
                <w:sz w:val="18"/>
                <w:szCs w:val="18"/>
              </w:rPr>
            </w:pPr>
            <w:r>
              <w:rPr>
                <w:rFonts w:ascii="Calibri" w:hAnsi="Calibri" w:cs="Calibri"/>
                <w:color w:val="000000"/>
                <w:sz w:val="18"/>
                <w:szCs w:val="18"/>
              </w:rPr>
              <w:t>9 138 905,90</w:t>
            </w:r>
          </w:p>
        </w:tc>
        <w:tc>
          <w:tcPr>
            <w:tcW w:w="1275" w:type="dxa"/>
            <w:tcBorders>
              <w:top w:val="nil"/>
              <w:left w:val="nil"/>
              <w:bottom w:val="single" w:sz="4" w:space="0" w:color="auto"/>
              <w:right w:val="single" w:sz="4" w:space="0" w:color="auto"/>
            </w:tcBorders>
            <w:shd w:val="clear" w:color="auto" w:fill="auto"/>
            <w:noWrap/>
            <w:vAlign w:val="center"/>
            <w:hideMark/>
          </w:tcPr>
          <w:p w:rsidR="009C6088" w:rsidRDefault="009C6088">
            <w:pPr>
              <w:jc w:val="right"/>
              <w:rPr>
                <w:rFonts w:ascii="Calibri" w:hAnsi="Calibri" w:cs="Calibri"/>
                <w:color w:val="000000"/>
                <w:sz w:val="18"/>
                <w:szCs w:val="18"/>
              </w:rPr>
            </w:pPr>
            <w:r>
              <w:rPr>
                <w:rFonts w:ascii="Calibri" w:hAnsi="Calibri" w:cs="Calibri"/>
                <w:color w:val="000000"/>
                <w:sz w:val="18"/>
                <w:szCs w:val="18"/>
              </w:rPr>
              <w:t>12 868 494,09</w:t>
            </w:r>
          </w:p>
        </w:tc>
      </w:tr>
      <w:tr w:rsidR="009C6088" w:rsidTr="009C6088">
        <w:trPr>
          <w:trHeight w:val="300"/>
        </w:trPr>
        <w:tc>
          <w:tcPr>
            <w:tcW w:w="414" w:type="dxa"/>
            <w:tcBorders>
              <w:top w:val="nil"/>
              <w:left w:val="single" w:sz="4" w:space="0" w:color="auto"/>
              <w:bottom w:val="single" w:sz="4" w:space="0" w:color="auto"/>
              <w:right w:val="single" w:sz="4" w:space="0" w:color="auto"/>
            </w:tcBorders>
            <w:shd w:val="clear" w:color="FDE9D9" w:fill="FFF2CC"/>
            <w:noWrap/>
            <w:vAlign w:val="center"/>
            <w:hideMark/>
          </w:tcPr>
          <w:p w:rsidR="009C6088" w:rsidRDefault="009C6088">
            <w:pPr>
              <w:jc w:val="right"/>
              <w:rPr>
                <w:rFonts w:ascii="Calibri" w:hAnsi="Calibri" w:cs="Calibri"/>
                <w:color w:val="000000"/>
                <w:sz w:val="18"/>
                <w:szCs w:val="18"/>
              </w:rPr>
            </w:pPr>
            <w:r>
              <w:rPr>
                <w:rFonts w:ascii="Calibri" w:hAnsi="Calibri" w:cs="Calibri"/>
                <w:color w:val="000000"/>
                <w:sz w:val="18"/>
                <w:szCs w:val="18"/>
              </w:rPr>
              <w:t>222</w:t>
            </w:r>
          </w:p>
        </w:tc>
        <w:tc>
          <w:tcPr>
            <w:tcW w:w="5393" w:type="dxa"/>
            <w:gridSpan w:val="2"/>
            <w:tcBorders>
              <w:top w:val="single" w:sz="4" w:space="0" w:color="auto"/>
              <w:left w:val="nil"/>
              <w:bottom w:val="single" w:sz="4" w:space="0" w:color="auto"/>
              <w:right w:val="single" w:sz="4" w:space="0" w:color="auto"/>
            </w:tcBorders>
            <w:shd w:val="clear" w:color="FDE9D9" w:fill="FFF2CC"/>
            <w:noWrap/>
            <w:vAlign w:val="center"/>
            <w:hideMark/>
          </w:tcPr>
          <w:p w:rsidR="009C6088" w:rsidRDefault="009C6088">
            <w:pPr>
              <w:rPr>
                <w:rFonts w:ascii="Calibri" w:hAnsi="Calibri" w:cs="Calibri"/>
                <w:color w:val="000000"/>
                <w:sz w:val="18"/>
                <w:szCs w:val="18"/>
              </w:rPr>
            </w:pPr>
            <w:r>
              <w:rPr>
                <w:rFonts w:ascii="Calibri" w:hAnsi="Calibri" w:cs="Calibri"/>
                <w:color w:val="000000"/>
                <w:sz w:val="18"/>
                <w:szCs w:val="18"/>
              </w:rPr>
              <w:t>Přijaté vratky transferů a ostatní příjmy z finančního vypořádání</w:t>
            </w:r>
          </w:p>
        </w:tc>
        <w:tc>
          <w:tcPr>
            <w:tcW w:w="1276" w:type="dxa"/>
            <w:tcBorders>
              <w:top w:val="nil"/>
              <w:left w:val="nil"/>
              <w:bottom w:val="single" w:sz="4" w:space="0" w:color="auto"/>
              <w:right w:val="single" w:sz="4" w:space="0" w:color="auto"/>
            </w:tcBorders>
            <w:shd w:val="clear" w:color="FDE9D9" w:fill="FFF2CC"/>
            <w:noWrap/>
            <w:vAlign w:val="center"/>
            <w:hideMark/>
          </w:tcPr>
          <w:p w:rsidR="009C6088" w:rsidRDefault="009C6088">
            <w:pPr>
              <w:jc w:val="right"/>
              <w:rPr>
                <w:rFonts w:ascii="Calibri" w:hAnsi="Calibri" w:cs="Calibri"/>
                <w:color w:val="000000"/>
                <w:sz w:val="18"/>
                <w:szCs w:val="18"/>
              </w:rPr>
            </w:pPr>
            <w:r>
              <w:rPr>
                <w:rFonts w:ascii="Calibri" w:hAnsi="Calibri" w:cs="Calibri"/>
                <w:color w:val="000000"/>
                <w:sz w:val="18"/>
                <w:szCs w:val="18"/>
              </w:rPr>
              <w:t>87 064,14</w:t>
            </w:r>
          </w:p>
        </w:tc>
        <w:tc>
          <w:tcPr>
            <w:tcW w:w="1276" w:type="dxa"/>
            <w:tcBorders>
              <w:top w:val="nil"/>
              <w:left w:val="nil"/>
              <w:bottom w:val="single" w:sz="4" w:space="0" w:color="auto"/>
              <w:right w:val="single" w:sz="4" w:space="0" w:color="auto"/>
            </w:tcBorders>
            <w:shd w:val="clear" w:color="FDE9D9" w:fill="FFF2CC"/>
            <w:noWrap/>
            <w:vAlign w:val="center"/>
            <w:hideMark/>
          </w:tcPr>
          <w:p w:rsidR="009C6088" w:rsidRDefault="009C6088">
            <w:pPr>
              <w:jc w:val="right"/>
              <w:rPr>
                <w:rFonts w:ascii="Calibri" w:hAnsi="Calibri" w:cs="Calibri"/>
                <w:color w:val="000000"/>
                <w:sz w:val="18"/>
                <w:szCs w:val="18"/>
              </w:rPr>
            </w:pPr>
            <w:r>
              <w:rPr>
                <w:rFonts w:ascii="Calibri" w:hAnsi="Calibri" w:cs="Calibri"/>
                <w:color w:val="000000"/>
                <w:sz w:val="18"/>
                <w:szCs w:val="18"/>
              </w:rPr>
              <w:t>216 605,92</w:t>
            </w:r>
          </w:p>
        </w:tc>
        <w:tc>
          <w:tcPr>
            <w:tcW w:w="1275" w:type="dxa"/>
            <w:tcBorders>
              <w:top w:val="nil"/>
              <w:left w:val="nil"/>
              <w:bottom w:val="single" w:sz="4" w:space="0" w:color="auto"/>
              <w:right w:val="single" w:sz="4" w:space="0" w:color="auto"/>
            </w:tcBorders>
            <w:shd w:val="clear" w:color="FDE9D9" w:fill="FFF2CC"/>
            <w:noWrap/>
            <w:vAlign w:val="center"/>
            <w:hideMark/>
          </w:tcPr>
          <w:p w:rsidR="009C6088" w:rsidRDefault="009C6088">
            <w:pPr>
              <w:jc w:val="right"/>
              <w:rPr>
                <w:rFonts w:ascii="Calibri" w:hAnsi="Calibri" w:cs="Calibri"/>
                <w:color w:val="000000"/>
                <w:sz w:val="18"/>
                <w:szCs w:val="18"/>
              </w:rPr>
            </w:pPr>
            <w:r>
              <w:rPr>
                <w:rFonts w:ascii="Calibri" w:hAnsi="Calibri" w:cs="Calibri"/>
                <w:color w:val="000000"/>
                <w:sz w:val="18"/>
                <w:szCs w:val="18"/>
              </w:rPr>
              <w:t>82 387,46</w:t>
            </w:r>
          </w:p>
        </w:tc>
      </w:tr>
      <w:tr w:rsidR="009C6088" w:rsidTr="009C6088">
        <w:trPr>
          <w:trHeight w:val="300"/>
        </w:trPr>
        <w:tc>
          <w:tcPr>
            <w:tcW w:w="4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C6088" w:rsidRDefault="009C6088">
            <w:pPr>
              <w:jc w:val="center"/>
              <w:rPr>
                <w:rFonts w:ascii="Calibri" w:hAnsi="Calibri" w:cs="Calibri"/>
                <w:color w:val="000000"/>
                <w:sz w:val="18"/>
                <w:szCs w:val="18"/>
              </w:rPr>
            </w:pPr>
            <w:r>
              <w:rPr>
                <w:rFonts w:ascii="Calibri" w:hAnsi="Calibri" w:cs="Calibri"/>
                <w:color w:val="000000"/>
                <w:sz w:val="18"/>
                <w:szCs w:val="18"/>
              </w:rPr>
              <w:t> </w:t>
            </w:r>
          </w:p>
        </w:tc>
        <w:tc>
          <w:tcPr>
            <w:tcW w:w="505" w:type="dxa"/>
            <w:tcBorders>
              <w:top w:val="nil"/>
              <w:left w:val="nil"/>
              <w:bottom w:val="single" w:sz="4" w:space="0" w:color="auto"/>
              <w:right w:val="single" w:sz="4" w:space="0" w:color="auto"/>
            </w:tcBorders>
            <w:shd w:val="clear" w:color="auto" w:fill="auto"/>
            <w:noWrap/>
            <w:vAlign w:val="center"/>
            <w:hideMark/>
          </w:tcPr>
          <w:p w:rsidR="009C6088" w:rsidRDefault="009C6088">
            <w:pPr>
              <w:jc w:val="right"/>
              <w:rPr>
                <w:rFonts w:ascii="Calibri" w:hAnsi="Calibri" w:cs="Calibri"/>
                <w:color w:val="000000"/>
                <w:sz w:val="18"/>
                <w:szCs w:val="18"/>
              </w:rPr>
            </w:pPr>
            <w:r>
              <w:rPr>
                <w:rFonts w:ascii="Calibri" w:hAnsi="Calibri" w:cs="Calibri"/>
                <w:color w:val="000000"/>
                <w:sz w:val="18"/>
                <w:szCs w:val="18"/>
              </w:rPr>
              <w:t>2221</w:t>
            </w:r>
          </w:p>
        </w:tc>
        <w:tc>
          <w:tcPr>
            <w:tcW w:w="4888" w:type="dxa"/>
            <w:tcBorders>
              <w:top w:val="nil"/>
              <w:left w:val="nil"/>
              <w:bottom w:val="single" w:sz="4" w:space="0" w:color="auto"/>
              <w:right w:val="single" w:sz="4" w:space="0" w:color="auto"/>
            </w:tcBorders>
            <w:shd w:val="clear" w:color="auto" w:fill="auto"/>
            <w:noWrap/>
            <w:vAlign w:val="center"/>
            <w:hideMark/>
          </w:tcPr>
          <w:p w:rsidR="009C6088" w:rsidRDefault="009C6088">
            <w:pPr>
              <w:rPr>
                <w:rFonts w:ascii="Calibri" w:hAnsi="Calibri" w:cs="Calibri"/>
                <w:color w:val="000000"/>
                <w:sz w:val="18"/>
                <w:szCs w:val="18"/>
              </w:rPr>
            </w:pPr>
            <w:r>
              <w:rPr>
                <w:rFonts w:ascii="Calibri" w:hAnsi="Calibri" w:cs="Calibri"/>
                <w:color w:val="000000"/>
                <w:sz w:val="18"/>
                <w:szCs w:val="18"/>
              </w:rPr>
              <w:t>Přijaté vratky transferů od jiných veřejných rozpočtů</w:t>
            </w:r>
          </w:p>
        </w:tc>
        <w:tc>
          <w:tcPr>
            <w:tcW w:w="1276" w:type="dxa"/>
            <w:tcBorders>
              <w:top w:val="nil"/>
              <w:left w:val="nil"/>
              <w:bottom w:val="single" w:sz="4" w:space="0" w:color="auto"/>
              <w:right w:val="single" w:sz="4" w:space="0" w:color="auto"/>
            </w:tcBorders>
            <w:shd w:val="clear" w:color="auto" w:fill="auto"/>
            <w:noWrap/>
            <w:vAlign w:val="center"/>
            <w:hideMark/>
          </w:tcPr>
          <w:p w:rsidR="009C6088" w:rsidRDefault="009C6088">
            <w:pPr>
              <w:jc w:val="right"/>
              <w:rPr>
                <w:rFonts w:ascii="Calibri" w:hAnsi="Calibri" w:cs="Calibri"/>
                <w:color w:val="000000"/>
                <w:sz w:val="18"/>
                <w:szCs w:val="18"/>
              </w:rPr>
            </w:pPr>
            <w:r>
              <w:rPr>
                <w:rFonts w:ascii="Calibri" w:hAnsi="Calibri" w:cs="Calibri"/>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9C6088" w:rsidRDefault="009C6088">
            <w:pPr>
              <w:jc w:val="right"/>
              <w:rPr>
                <w:rFonts w:ascii="Calibri" w:hAnsi="Calibri" w:cs="Calibri"/>
                <w:color w:val="000000"/>
                <w:sz w:val="18"/>
                <w:szCs w:val="18"/>
              </w:rPr>
            </w:pPr>
            <w:r>
              <w:rPr>
                <w:rFonts w:ascii="Calibri" w:hAnsi="Calibri" w:cs="Calibri"/>
                <w:color w:val="000000"/>
                <w:sz w:val="18"/>
                <w:szCs w:val="18"/>
              </w:rPr>
              <w:t>0,00</w:t>
            </w:r>
          </w:p>
        </w:tc>
        <w:tc>
          <w:tcPr>
            <w:tcW w:w="1275" w:type="dxa"/>
            <w:tcBorders>
              <w:top w:val="nil"/>
              <w:left w:val="nil"/>
              <w:bottom w:val="single" w:sz="4" w:space="0" w:color="auto"/>
              <w:right w:val="single" w:sz="4" w:space="0" w:color="auto"/>
            </w:tcBorders>
            <w:shd w:val="clear" w:color="auto" w:fill="auto"/>
            <w:noWrap/>
            <w:vAlign w:val="center"/>
            <w:hideMark/>
          </w:tcPr>
          <w:p w:rsidR="009C6088" w:rsidRDefault="009C6088">
            <w:pPr>
              <w:jc w:val="right"/>
              <w:rPr>
                <w:rFonts w:ascii="Calibri" w:hAnsi="Calibri" w:cs="Calibri"/>
                <w:color w:val="000000"/>
                <w:sz w:val="18"/>
                <w:szCs w:val="18"/>
              </w:rPr>
            </w:pPr>
            <w:r>
              <w:rPr>
                <w:rFonts w:ascii="Calibri" w:hAnsi="Calibri" w:cs="Calibri"/>
                <w:color w:val="000000"/>
                <w:sz w:val="18"/>
                <w:szCs w:val="18"/>
              </w:rPr>
              <w:t>0,00</w:t>
            </w:r>
          </w:p>
        </w:tc>
      </w:tr>
      <w:tr w:rsidR="009C6088" w:rsidTr="009C6088">
        <w:trPr>
          <w:trHeight w:val="495"/>
        </w:trPr>
        <w:tc>
          <w:tcPr>
            <w:tcW w:w="414" w:type="dxa"/>
            <w:vMerge/>
            <w:tcBorders>
              <w:top w:val="nil"/>
              <w:left w:val="single" w:sz="4" w:space="0" w:color="auto"/>
              <w:bottom w:val="single" w:sz="4" w:space="0" w:color="auto"/>
              <w:right w:val="single" w:sz="4" w:space="0" w:color="auto"/>
            </w:tcBorders>
            <w:vAlign w:val="center"/>
            <w:hideMark/>
          </w:tcPr>
          <w:p w:rsidR="009C6088" w:rsidRDefault="009C6088">
            <w:pPr>
              <w:rPr>
                <w:rFonts w:ascii="Calibri" w:hAnsi="Calibri" w:cs="Calibri"/>
                <w:color w:val="000000"/>
                <w:sz w:val="18"/>
                <w:szCs w:val="18"/>
              </w:rPr>
            </w:pPr>
          </w:p>
        </w:tc>
        <w:tc>
          <w:tcPr>
            <w:tcW w:w="505" w:type="dxa"/>
            <w:tcBorders>
              <w:top w:val="nil"/>
              <w:left w:val="nil"/>
              <w:bottom w:val="single" w:sz="4" w:space="0" w:color="auto"/>
              <w:right w:val="single" w:sz="4" w:space="0" w:color="auto"/>
            </w:tcBorders>
            <w:shd w:val="clear" w:color="auto" w:fill="auto"/>
            <w:noWrap/>
            <w:vAlign w:val="center"/>
            <w:hideMark/>
          </w:tcPr>
          <w:p w:rsidR="009C6088" w:rsidRDefault="009C6088">
            <w:pPr>
              <w:jc w:val="right"/>
              <w:rPr>
                <w:rFonts w:ascii="Calibri" w:hAnsi="Calibri" w:cs="Calibri"/>
                <w:color w:val="000000"/>
                <w:sz w:val="18"/>
                <w:szCs w:val="18"/>
              </w:rPr>
            </w:pPr>
            <w:r>
              <w:rPr>
                <w:rFonts w:ascii="Calibri" w:hAnsi="Calibri" w:cs="Calibri"/>
                <w:color w:val="000000"/>
                <w:sz w:val="18"/>
                <w:szCs w:val="18"/>
              </w:rPr>
              <w:t>2222</w:t>
            </w:r>
          </w:p>
        </w:tc>
        <w:tc>
          <w:tcPr>
            <w:tcW w:w="4888" w:type="dxa"/>
            <w:tcBorders>
              <w:top w:val="nil"/>
              <w:left w:val="nil"/>
              <w:bottom w:val="single" w:sz="4" w:space="0" w:color="auto"/>
              <w:right w:val="single" w:sz="4" w:space="0" w:color="auto"/>
            </w:tcBorders>
            <w:shd w:val="clear" w:color="auto" w:fill="auto"/>
            <w:vAlign w:val="center"/>
            <w:hideMark/>
          </w:tcPr>
          <w:p w:rsidR="009C6088" w:rsidRDefault="009C6088">
            <w:pPr>
              <w:rPr>
                <w:rFonts w:ascii="Calibri" w:hAnsi="Calibri" w:cs="Calibri"/>
                <w:color w:val="000000"/>
                <w:sz w:val="18"/>
                <w:szCs w:val="18"/>
              </w:rPr>
            </w:pPr>
            <w:r>
              <w:rPr>
                <w:rFonts w:ascii="Calibri" w:hAnsi="Calibri" w:cs="Calibri"/>
                <w:color w:val="000000"/>
                <w:sz w:val="18"/>
                <w:szCs w:val="18"/>
              </w:rPr>
              <w:t>Ostatní příjmy z finančního vypořádání předchozích let od jiných veřejných rozpočtů</w:t>
            </w:r>
          </w:p>
        </w:tc>
        <w:tc>
          <w:tcPr>
            <w:tcW w:w="1276" w:type="dxa"/>
            <w:tcBorders>
              <w:top w:val="nil"/>
              <w:left w:val="nil"/>
              <w:bottom w:val="single" w:sz="4" w:space="0" w:color="auto"/>
              <w:right w:val="single" w:sz="4" w:space="0" w:color="auto"/>
            </w:tcBorders>
            <w:shd w:val="clear" w:color="auto" w:fill="auto"/>
            <w:noWrap/>
            <w:vAlign w:val="center"/>
            <w:hideMark/>
          </w:tcPr>
          <w:p w:rsidR="009C6088" w:rsidRDefault="009C6088">
            <w:pPr>
              <w:jc w:val="right"/>
              <w:rPr>
                <w:rFonts w:ascii="Calibri" w:hAnsi="Calibri" w:cs="Calibri"/>
                <w:color w:val="000000"/>
                <w:sz w:val="18"/>
                <w:szCs w:val="18"/>
              </w:rPr>
            </w:pPr>
            <w:r>
              <w:rPr>
                <w:rFonts w:ascii="Calibri" w:hAnsi="Calibri" w:cs="Calibri"/>
                <w:color w:val="000000"/>
                <w:sz w:val="18"/>
                <w:szCs w:val="18"/>
              </w:rPr>
              <w:t>86 265,53</w:t>
            </w:r>
          </w:p>
        </w:tc>
        <w:tc>
          <w:tcPr>
            <w:tcW w:w="1276" w:type="dxa"/>
            <w:tcBorders>
              <w:top w:val="nil"/>
              <w:left w:val="nil"/>
              <w:bottom w:val="single" w:sz="4" w:space="0" w:color="auto"/>
              <w:right w:val="single" w:sz="4" w:space="0" w:color="auto"/>
            </w:tcBorders>
            <w:shd w:val="clear" w:color="auto" w:fill="auto"/>
            <w:noWrap/>
            <w:vAlign w:val="center"/>
            <w:hideMark/>
          </w:tcPr>
          <w:p w:rsidR="009C6088" w:rsidRDefault="009C6088">
            <w:pPr>
              <w:jc w:val="right"/>
              <w:rPr>
                <w:rFonts w:ascii="Calibri" w:hAnsi="Calibri" w:cs="Calibri"/>
                <w:color w:val="000000"/>
                <w:sz w:val="18"/>
                <w:szCs w:val="18"/>
              </w:rPr>
            </w:pPr>
            <w:r>
              <w:rPr>
                <w:rFonts w:ascii="Calibri" w:hAnsi="Calibri" w:cs="Calibri"/>
                <w:color w:val="000000"/>
                <w:sz w:val="18"/>
                <w:szCs w:val="18"/>
              </w:rPr>
              <w:t>215 895,05</w:t>
            </w:r>
          </w:p>
        </w:tc>
        <w:tc>
          <w:tcPr>
            <w:tcW w:w="1275" w:type="dxa"/>
            <w:tcBorders>
              <w:top w:val="nil"/>
              <w:left w:val="nil"/>
              <w:bottom w:val="single" w:sz="4" w:space="0" w:color="auto"/>
              <w:right w:val="single" w:sz="4" w:space="0" w:color="auto"/>
            </w:tcBorders>
            <w:shd w:val="clear" w:color="auto" w:fill="auto"/>
            <w:noWrap/>
            <w:vAlign w:val="center"/>
            <w:hideMark/>
          </w:tcPr>
          <w:p w:rsidR="009C6088" w:rsidRDefault="009C6088">
            <w:pPr>
              <w:jc w:val="right"/>
              <w:rPr>
                <w:rFonts w:ascii="Calibri" w:hAnsi="Calibri" w:cs="Calibri"/>
                <w:color w:val="000000"/>
                <w:sz w:val="18"/>
                <w:szCs w:val="18"/>
              </w:rPr>
            </w:pPr>
            <w:r>
              <w:rPr>
                <w:rFonts w:ascii="Calibri" w:hAnsi="Calibri" w:cs="Calibri"/>
                <w:color w:val="000000"/>
                <w:sz w:val="18"/>
                <w:szCs w:val="18"/>
              </w:rPr>
              <w:t>80 735,15</w:t>
            </w:r>
          </w:p>
        </w:tc>
      </w:tr>
      <w:tr w:rsidR="009C6088" w:rsidTr="009C6088">
        <w:trPr>
          <w:trHeight w:val="300"/>
        </w:trPr>
        <w:tc>
          <w:tcPr>
            <w:tcW w:w="414" w:type="dxa"/>
            <w:vMerge/>
            <w:tcBorders>
              <w:top w:val="nil"/>
              <w:left w:val="single" w:sz="4" w:space="0" w:color="auto"/>
              <w:bottom w:val="single" w:sz="4" w:space="0" w:color="auto"/>
              <w:right w:val="single" w:sz="4" w:space="0" w:color="auto"/>
            </w:tcBorders>
            <w:vAlign w:val="center"/>
            <w:hideMark/>
          </w:tcPr>
          <w:p w:rsidR="009C6088" w:rsidRDefault="009C6088">
            <w:pPr>
              <w:rPr>
                <w:rFonts w:ascii="Calibri" w:hAnsi="Calibri" w:cs="Calibri"/>
                <w:color w:val="000000"/>
                <w:sz w:val="18"/>
                <w:szCs w:val="18"/>
              </w:rPr>
            </w:pPr>
          </w:p>
        </w:tc>
        <w:tc>
          <w:tcPr>
            <w:tcW w:w="505" w:type="dxa"/>
            <w:tcBorders>
              <w:top w:val="nil"/>
              <w:left w:val="nil"/>
              <w:bottom w:val="single" w:sz="4" w:space="0" w:color="auto"/>
              <w:right w:val="single" w:sz="4" w:space="0" w:color="auto"/>
            </w:tcBorders>
            <w:shd w:val="clear" w:color="auto" w:fill="auto"/>
            <w:noWrap/>
            <w:vAlign w:val="center"/>
            <w:hideMark/>
          </w:tcPr>
          <w:p w:rsidR="009C6088" w:rsidRDefault="009C6088">
            <w:pPr>
              <w:jc w:val="right"/>
              <w:rPr>
                <w:rFonts w:ascii="Calibri" w:hAnsi="Calibri" w:cs="Calibri"/>
                <w:color w:val="000000"/>
                <w:sz w:val="18"/>
                <w:szCs w:val="18"/>
              </w:rPr>
            </w:pPr>
            <w:r>
              <w:rPr>
                <w:rFonts w:ascii="Calibri" w:hAnsi="Calibri" w:cs="Calibri"/>
                <w:color w:val="000000"/>
                <w:sz w:val="18"/>
                <w:szCs w:val="18"/>
              </w:rPr>
              <w:t>2229</w:t>
            </w:r>
          </w:p>
        </w:tc>
        <w:tc>
          <w:tcPr>
            <w:tcW w:w="4888" w:type="dxa"/>
            <w:tcBorders>
              <w:top w:val="nil"/>
              <w:left w:val="nil"/>
              <w:bottom w:val="single" w:sz="4" w:space="0" w:color="auto"/>
              <w:right w:val="single" w:sz="4" w:space="0" w:color="auto"/>
            </w:tcBorders>
            <w:shd w:val="clear" w:color="auto" w:fill="auto"/>
            <w:noWrap/>
            <w:vAlign w:val="center"/>
            <w:hideMark/>
          </w:tcPr>
          <w:p w:rsidR="009C6088" w:rsidRDefault="009C6088">
            <w:pPr>
              <w:rPr>
                <w:rFonts w:ascii="Calibri" w:hAnsi="Calibri" w:cs="Calibri"/>
                <w:color w:val="000000"/>
                <w:sz w:val="18"/>
                <w:szCs w:val="18"/>
              </w:rPr>
            </w:pPr>
            <w:r>
              <w:rPr>
                <w:rFonts w:ascii="Calibri" w:hAnsi="Calibri" w:cs="Calibri"/>
                <w:color w:val="000000"/>
                <w:sz w:val="18"/>
                <w:szCs w:val="18"/>
              </w:rPr>
              <w:t>Ostatní přijaté vratky transferů</w:t>
            </w:r>
          </w:p>
        </w:tc>
        <w:tc>
          <w:tcPr>
            <w:tcW w:w="1276" w:type="dxa"/>
            <w:tcBorders>
              <w:top w:val="nil"/>
              <w:left w:val="nil"/>
              <w:bottom w:val="single" w:sz="4" w:space="0" w:color="auto"/>
              <w:right w:val="single" w:sz="4" w:space="0" w:color="auto"/>
            </w:tcBorders>
            <w:shd w:val="clear" w:color="auto" w:fill="auto"/>
            <w:noWrap/>
            <w:vAlign w:val="center"/>
            <w:hideMark/>
          </w:tcPr>
          <w:p w:rsidR="009C6088" w:rsidRDefault="009C6088">
            <w:pPr>
              <w:jc w:val="right"/>
              <w:rPr>
                <w:rFonts w:ascii="Calibri" w:hAnsi="Calibri" w:cs="Calibri"/>
                <w:color w:val="000000"/>
                <w:sz w:val="18"/>
                <w:szCs w:val="18"/>
              </w:rPr>
            </w:pPr>
            <w:r>
              <w:rPr>
                <w:rFonts w:ascii="Calibri" w:hAnsi="Calibri" w:cs="Calibri"/>
                <w:color w:val="000000"/>
                <w:sz w:val="18"/>
                <w:szCs w:val="18"/>
              </w:rPr>
              <w:t>798,61</w:t>
            </w:r>
          </w:p>
        </w:tc>
        <w:tc>
          <w:tcPr>
            <w:tcW w:w="1276" w:type="dxa"/>
            <w:tcBorders>
              <w:top w:val="nil"/>
              <w:left w:val="nil"/>
              <w:bottom w:val="single" w:sz="4" w:space="0" w:color="auto"/>
              <w:right w:val="single" w:sz="4" w:space="0" w:color="auto"/>
            </w:tcBorders>
            <w:shd w:val="clear" w:color="auto" w:fill="auto"/>
            <w:noWrap/>
            <w:vAlign w:val="center"/>
            <w:hideMark/>
          </w:tcPr>
          <w:p w:rsidR="009C6088" w:rsidRDefault="009C6088">
            <w:pPr>
              <w:jc w:val="right"/>
              <w:rPr>
                <w:rFonts w:ascii="Calibri" w:hAnsi="Calibri" w:cs="Calibri"/>
                <w:color w:val="000000"/>
                <w:sz w:val="18"/>
                <w:szCs w:val="18"/>
              </w:rPr>
            </w:pPr>
            <w:r>
              <w:rPr>
                <w:rFonts w:ascii="Calibri" w:hAnsi="Calibri" w:cs="Calibri"/>
                <w:color w:val="000000"/>
                <w:sz w:val="18"/>
                <w:szCs w:val="18"/>
              </w:rPr>
              <w:t>710,87</w:t>
            </w:r>
          </w:p>
        </w:tc>
        <w:tc>
          <w:tcPr>
            <w:tcW w:w="1275" w:type="dxa"/>
            <w:tcBorders>
              <w:top w:val="nil"/>
              <w:left w:val="nil"/>
              <w:bottom w:val="single" w:sz="4" w:space="0" w:color="auto"/>
              <w:right w:val="single" w:sz="4" w:space="0" w:color="auto"/>
            </w:tcBorders>
            <w:shd w:val="clear" w:color="auto" w:fill="auto"/>
            <w:noWrap/>
            <w:vAlign w:val="center"/>
            <w:hideMark/>
          </w:tcPr>
          <w:p w:rsidR="009C6088" w:rsidRDefault="009C6088">
            <w:pPr>
              <w:jc w:val="right"/>
              <w:rPr>
                <w:rFonts w:ascii="Calibri" w:hAnsi="Calibri" w:cs="Calibri"/>
                <w:color w:val="000000"/>
                <w:sz w:val="18"/>
                <w:szCs w:val="18"/>
              </w:rPr>
            </w:pPr>
            <w:r>
              <w:rPr>
                <w:rFonts w:ascii="Calibri" w:hAnsi="Calibri" w:cs="Calibri"/>
                <w:color w:val="000000"/>
                <w:sz w:val="18"/>
                <w:szCs w:val="18"/>
              </w:rPr>
              <w:t>1 652,31</w:t>
            </w:r>
          </w:p>
        </w:tc>
      </w:tr>
    </w:tbl>
    <w:p w:rsidR="009C6088" w:rsidRDefault="009C6088" w:rsidP="009C6088"/>
    <w:p w:rsidR="009C6088" w:rsidRDefault="009C6088" w:rsidP="009C6088">
      <w:pPr>
        <w:jc w:val="center"/>
      </w:pPr>
      <w:r>
        <w:rPr>
          <w:noProof/>
        </w:rPr>
        <w:lastRenderedPageBreak/>
        <w:drawing>
          <wp:inline distT="0" distB="0" distL="0" distR="0" wp14:anchorId="3AA0E088" wp14:editId="0E90BA21">
            <wp:extent cx="4571365" cy="2784389"/>
            <wp:effectExtent l="0" t="0" r="635" b="16510"/>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C6088" w:rsidRDefault="009C6088" w:rsidP="009C6088"/>
    <w:p w:rsidR="00BB0601" w:rsidRPr="00BB0601" w:rsidRDefault="00BB0601" w:rsidP="00BB0601"/>
    <w:p w:rsidR="003B5D3D" w:rsidRPr="005E0565" w:rsidRDefault="003B5D3D" w:rsidP="003B5D3D">
      <w:pPr>
        <w:pStyle w:val="Nadpis2"/>
        <w:keepLines/>
      </w:pPr>
      <w:r w:rsidRPr="005E0565">
        <w:t>Příjmy z prodeje nekapitálového majetku a ostatní nedaňové příjmy</w:t>
      </w:r>
    </w:p>
    <w:p w:rsidR="003936CB" w:rsidRDefault="003936CB" w:rsidP="0024764D">
      <w:pPr>
        <w:pStyle w:val="Nadpis3"/>
        <w:rPr>
          <w:b w:val="0"/>
        </w:rPr>
      </w:pPr>
      <w:bookmarkStart w:id="15" w:name="_Toc39129502"/>
      <w:r w:rsidRPr="00CF7DBD">
        <w:rPr>
          <w:b w:val="0"/>
        </w:rPr>
        <w:t>Srovnání příjmů z prodeje nekapitálového majetku a ostatní nedaňové příjmy v letech 20</w:t>
      </w:r>
      <w:r w:rsidR="00FE013B">
        <w:rPr>
          <w:b w:val="0"/>
        </w:rPr>
        <w:t>20</w:t>
      </w:r>
      <w:r w:rsidR="00F90F6A" w:rsidRPr="00CF7DBD">
        <w:rPr>
          <w:b w:val="0"/>
        </w:rPr>
        <w:t xml:space="preserve"> – 202</w:t>
      </w:r>
      <w:r w:rsidR="00FE013B">
        <w:rPr>
          <w:b w:val="0"/>
        </w:rPr>
        <w:t>2</w:t>
      </w:r>
      <w:r w:rsidR="00F90F6A" w:rsidRPr="00CF7DBD">
        <w:rPr>
          <w:b w:val="0"/>
        </w:rPr>
        <w:t xml:space="preserve"> </w:t>
      </w:r>
      <w:r w:rsidR="00BD7287" w:rsidRPr="00CF7DBD">
        <w:rPr>
          <w:b w:val="0"/>
        </w:rPr>
        <w:t>(v </w:t>
      </w:r>
      <w:r w:rsidRPr="00CF7DBD">
        <w:rPr>
          <w:b w:val="0"/>
        </w:rPr>
        <w:t>Kč)</w:t>
      </w:r>
      <w:bookmarkEnd w:id="15"/>
    </w:p>
    <w:tbl>
      <w:tblPr>
        <w:tblW w:w="9493" w:type="dxa"/>
        <w:tblCellMar>
          <w:left w:w="70" w:type="dxa"/>
          <w:right w:w="70" w:type="dxa"/>
        </w:tblCellMar>
        <w:tblLook w:val="04A0" w:firstRow="1" w:lastRow="0" w:firstColumn="1" w:lastColumn="0" w:noHBand="0" w:noVBand="1"/>
      </w:tblPr>
      <w:tblGrid>
        <w:gridCol w:w="414"/>
        <w:gridCol w:w="505"/>
        <w:gridCol w:w="4746"/>
        <w:gridCol w:w="1276"/>
        <w:gridCol w:w="1276"/>
        <w:gridCol w:w="1276"/>
      </w:tblGrid>
      <w:tr w:rsidR="00FE013B" w:rsidTr="00FE013B">
        <w:trPr>
          <w:trHeight w:val="300"/>
        </w:trPr>
        <w:tc>
          <w:tcPr>
            <w:tcW w:w="5665" w:type="dxa"/>
            <w:gridSpan w:val="3"/>
            <w:tcBorders>
              <w:top w:val="single" w:sz="4" w:space="0" w:color="auto"/>
              <w:left w:val="single" w:sz="4" w:space="0" w:color="auto"/>
              <w:bottom w:val="single" w:sz="4" w:space="0" w:color="auto"/>
              <w:right w:val="single" w:sz="4" w:space="0" w:color="auto"/>
            </w:tcBorders>
            <w:shd w:val="clear" w:color="D6A100" w:fill="FFC000"/>
            <w:noWrap/>
            <w:vAlign w:val="bottom"/>
            <w:hideMark/>
          </w:tcPr>
          <w:p w:rsidR="00FE013B" w:rsidRDefault="00FE013B">
            <w:pPr>
              <w:jc w:val="center"/>
              <w:rPr>
                <w:rFonts w:ascii="Calibri" w:hAnsi="Calibri" w:cs="Calibri"/>
                <w:color w:val="000000"/>
                <w:sz w:val="18"/>
                <w:szCs w:val="18"/>
              </w:rPr>
            </w:pPr>
            <w:r>
              <w:rPr>
                <w:rFonts w:ascii="Calibri" w:hAnsi="Calibri" w:cs="Calibri"/>
                <w:color w:val="000000"/>
                <w:sz w:val="18"/>
                <w:szCs w:val="18"/>
              </w:rPr>
              <w:t> </w:t>
            </w:r>
          </w:p>
        </w:tc>
        <w:tc>
          <w:tcPr>
            <w:tcW w:w="1276" w:type="dxa"/>
            <w:tcBorders>
              <w:top w:val="single" w:sz="4" w:space="0" w:color="auto"/>
              <w:left w:val="nil"/>
              <w:bottom w:val="single" w:sz="4" w:space="0" w:color="auto"/>
              <w:right w:val="single" w:sz="4" w:space="0" w:color="auto"/>
            </w:tcBorders>
            <w:shd w:val="clear" w:color="D6A100" w:fill="FFC000"/>
            <w:noWrap/>
            <w:vAlign w:val="bottom"/>
            <w:hideMark/>
          </w:tcPr>
          <w:p w:rsidR="00FE013B" w:rsidRDefault="00FE013B">
            <w:pPr>
              <w:jc w:val="center"/>
              <w:rPr>
                <w:rFonts w:ascii="Calibri" w:hAnsi="Calibri" w:cs="Calibri"/>
                <w:color w:val="000000"/>
                <w:sz w:val="18"/>
                <w:szCs w:val="18"/>
              </w:rPr>
            </w:pPr>
            <w:r>
              <w:rPr>
                <w:rFonts w:ascii="Calibri" w:hAnsi="Calibri" w:cs="Calibri"/>
                <w:color w:val="000000"/>
                <w:sz w:val="18"/>
                <w:szCs w:val="18"/>
              </w:rPr>
              <w:t>2020</w:t>
            </w:r>
          </w:p>
        </w:tc>
        <w:tc>
          <w:tcPr>
            <w:tcW w:w="1276" w:type="dxa"/>
            <w:tcBorders>
              <w:top w:val="single" w:sz="4" w:space="0" w:color="auto"/>
              <w:left w:val="nil"/>
              <w:bottom w:val="single" w:sz="4" w:space="0" w:color="auto"/>
              <w:right w:val="single" w:sz="4" w:space="0" w:color="auto"/>
            </w:tcBorders>
            <w:shd w:val="clear" w:color="D6A100" w:fill="FFC000"/>
            <w:noWrap/>
            <w:vAlign w:val="bottom"/>
            <w:hideMark/>
          </w:tcPr>
          <w:p w:rsidR="00FE013B" w:rsidRDefault="00FE013B">
            <w:pPr>
              <w:jc w:val="center"/>
              <w:rPr>
                <w:rFonts w:ascii="Calibri" w:hAnsi="Calibri" w:cs="Calibri"/>
                <w:color w:val="000000"/>
                <w:sz w:val="18"/>
                <w:szCs w:val="18"/>
              </w:rPr>
            </w:pPr>
            <w:r>
              <w:rPr>
                <w:rFonts w:ascii="Calibri" w:hAnsi="Calibri" w:cs="Calibri"/>
                <w:color w:val="000000"/>
                <w:sz w:val="18"/>
                <w:szCs w:val="18"/>
              </w:rPr>
              <w:t>2021</w:t>
            </w:r>
          </w:p>
        </w:tc>
        <w:tc>
          <w:tcPr>
            <w:tcW w:w="1276" w:type="dxa"/>
            <w:tcBorders>
              <w:top w:val="single" w:sz="4" w:space="0" w:color="auto"/>
              <w:left w:val="nil"/>
              <w:bottom w:val="single" w:sz="4" w:space="0" w:color="auto"/>
              <w:right w:val="single" w:sz="4" w:space="0" w:color="auto"/>
            </w:tcBorders>
            <w:shd w:val="clear" w:color="D6A100" w:fill="FFC000"/>
            <w:noWrap/>
            <w:vAlign w:val="bottom"/>
            <w:hideMark/>
          </w:tcPr>
          <w:p w:rsidR="00FE013B" w:rsidRDefault="00FE013B">
            <w:pPr>
              <w:jc w:val="center"/>
              <w:rPr>
                <w:rFonts w:ascii="Calibri" w:hAnsi="Calibri" w:cs="Calibri"/>
                <w:color w:val="000000"/>
                <w:sz w:val="18"/>
                <w:szCs w:val="18"/>
              </w:rPr>
            </w:pPr>
            <w:r>
              <w:rPr>
                <w:rFonts w:ascii="Calibri" w:hAnsi="Calibri" w:cs="Calibri"/>
                <w:color w:val="000000"/>
                <w:sz w:val="18"/>
                <w:szCs w:val="18"/>
              </w:rPr>
              <w:t>2022</w:t>
            </w:r>
          </w:p>
        </w:tc>
      </w:tr>
      <w:tr w:rsidR="00FE013B" w:rsidTr="00FE013B">
        <w:trPr>
          <w:trHeight w:val="300"/>
        </w:trPr>
        <w:tc>
          <w:tcPr>
            <w:tcW w:w="5665" w:type="dxa"/>
            <w:gridSpan w:val="3"/>
            <w:tcBorders>
              <w:top w:val="single" w:sz="4" w:space="0" w:color="auto"/>
              <w:left w:val="single" w:sz="4" w:space="0" w:color="auto"/>
              <w:bottom w:val="single" w:sz="4" w:space="0" w:color="auto"/>
              <w:right w:val="single" w:sz="4" w:space="0" w:color="auto"/>
            </w:tcBorders>
            <w:shd w:val="clear" w:color="FFE699" w:fill="FFD965"/>
            <w:noWrap/>
            <w:vAlign w:val="bottom"/>
            <w:hideMark/>
          </w:tcPr>
          <w:p w:rsidR="00FE013B" w:rsidRDefault="00FE013B">
            <w:pPr>
              <w:rPr>
                <w:rFonts w:ascii="Calibri" w:hAnsi="Calibri" w:cs="Calibri"/>
                <w:b/>
                <w:bCs/>
                <w:color w:val="000000"/>
                <w:sz w:val="18"/>
                <w:szCs w:val="18"/>
              </w:rPr>
            </w:pPr>
            <w:r>
              <w:rPr>
                <w:rFonts w:ascii="Calibri" w:hAnsi="Calibri" w:cs="Calibri"/>
                <w:b/>
                <w:bCs/>
                <w:color w:val="000000"/>
                <w:sz w:val="18"/>
                <w:szCs w:val="18"/>
              </w:rPr>
              <w:t>Příjmy z prodeje nekapitálového majetku a ostatní nedaňové příjmy</w:t>
            </w:r>
          </w:p>
        </w:tc>
        <w:tc>
          <w:tcPr>
            <w:tcW w:w="1276" w:type="dxa"/>
            <w:tcBorders>
              <w:top w:val="nil"/>
              <w:left w:val="nil"/>
              <w:bottom w:val="single" w:sz="4" w:space="0" w:color="auto"/>
              <w:right w:val="single" w:sz="4" w:space="0" w:color="auto"/>
            </w:tcBorders>
            <w:shd w:val="clear" w:color="FFE699" w:fill="FFD965"/>
            <w:noWrap/>
            <w:vAlign w:val="bottom"/>
            <w:hideMark/>
          </w:tcPr>
          <w:p w:rsidR="00FE013B" w:rsidRDefault="00FE013B">
            <w:pPr>
              <w:jc w:val="right"/>
              <w:rPr>
                <w:rFonts w:ascii="Calibri" w:hAnsi="Calibri" w:cs="Calibri"/>
                <w:b/>
                <w:bCs/>
                <w:color w:val="000000"/>
                <w:sz w:val="18"/>
                <w:szCs w:val="18"/>
              </w:rPr>
            </w:pPr>
            <w:r>
              <w:rPr>
                <w:rFonts w:ascii="Calibri" w:hAnsi="Calibri" w:cs="Calibri"/>
                <w:b/>
                <w:bCs/>
                <w:color w:val="000000"/>
                <w:sz w:val="18"/>
                <w:szCs w:val="18"/>
              </w:rPr>
              <w:t>10 376 821,64</w:t>
            </w:r>
          </w:p>
        </w:tc>
        <w:tc>
          <w:tcPr>
            <w:tcW w:w="1276" w:type="dxa"/>
            <w:tcBorders>
              <w:top w:val="nil"/>
              <w:left w:val="nil"/>
              <w:bottom w:val="single" w:sz="4" w:space="0" w:color="auto"/>
              <w:right w:val="single" w:sz="4" w:space="0" w:color="auto"/>
            </w:tcBorders>
            <w:shd w:val="clear" w:color="FFE699" w:fill="FFD965"/>
            <w:noWrap/>
            <w:vAlign w:val="bottom"/>
            <w:hideMark/>
          </w:tcPr>
          <w:p w:rsidR="00FE013B" w:rsidRDefault="00FE013B">
            <w:pPr>
              <w:jc w:val="right"/>
              <w:rPr>
                <w:rFonts w:ascii="Calibri" w:hAnsi="Calibri" w:cs="Calibri"/>
                <w:b/>
                <w:bCs/>
                <w:color w:val="000000"/>
                <w:sz w:val="18"/>
                <w:szCs w:val="18"/>
              </w:rPr>
            </w:pPr>
            <w:r>
              <w:rPr>
                <w:rFonts w:ascii="Calibri" w:hAnsi="Calibri" w:cs="Calibri"/>
                <w:b/>
                <w:bCs/>
                <w:color w:val="000000"/>
                <w:sz w:val="18"/>
                <w:szCs w:val="18"/>
              </w:rPr>
              <w:t>16 298 604,64</w:t>
            </w:r>
          </w:p>
        </w:tc>
        <w:tc>
          <w:tcPr>
            <w:tcW w:w="1276" w:type="dxa"/>
            <w:tcBorders>
              <w:top w:val="nil"/>
              <w:left w:val="nil"/>
              <w:bottom w:val="single" w:sz="4" w:space="0" w:color="auto"/>
              <w:right w:val="single" w:sz="4" w:space="0" w:color="auto"/>
            </w:tcBorders>
            <w:shd w:val="clear" w:color="FFE699" w:fill="FFD965"/>
            <w:noWrap/>
            <w:vAlign w:val="bottom"/>
            <w:hideMark/>
          </w:tcPr>
          <w:p w:rsidR="00FE013B" w:rsidRDefault="00FE013B">
            <w:pPr>
              <w:jc w:val="right"/>
              <w:rPr>
                <w:rFonts w:ascii="Calibri" w:hAnsi="Calibri" w:cs="Calibri"/>
                <w:b/>
                <w:bCs/>
                <w:color w:val="000000"/>
                <w:sz w:val="18"/>
                <w:szCs w:val="18"/>
              </w:rPr>
            </w:pPr>
            <w:r>
              <w:rPr>
                <w:rFonts w:ascii="Calibri" w:hAnsi="Calibri" w:cs="Calibri"/>
                <w:b/>
                <w:bCs/>
                <w:color w:val="000000"/>
                <w:sz w:val="18"/>
                <w:szCs w:val="18"/>
              </w:rPr>
              <w:t>14 861 572,02</w:t>
            </w:r>
          </w:p>
        </w:tc>
      </w:tr>
      <w:tr w:rsidR="00FE013B" w:rsidTr="00FE013B">
        <w:trPr>
          <w:trHeight w:val="300"/>
        </w:trPr>
        <w:tc>
          <w:tcPr>
            <w:tcW w:w="414" w:type="dxa"/>
            <w:tcBorders>
              <w:top w:val="nil"/>
              <w:left w:val="single" w:sz="4" w:space="0" w:color="auto"/>
              <w:bottom w:val="single" w:sz="4" w:space="0" w:color="auto"/>
              <w:right w:val="single" w:sz="4" w:space="0" w:color="auto"/>
            </w:tcBorders>
            <w:shd w:val="clear" w:color="FDE9D9" w:fill="FFF2CC"/>
            <w:noWrap/>
            <w:vAlign w:val="bottom"/>
            <w:hideMark/>
          </w:tcPr>
          <w:p w:rsidR="00FE013B" w:rsidRDefault="00FE013B">
            <w:pPr>
              <w:jc w:val="right"/>
              <w:rPr>
                <w:rFonts w:ascii="Calibri" w:hAnsi="Calibri" w:cs="Calibri"/>
                <w:color w:val="000000"/>
                <w:sz w:val="18"/>
                <w:szCs w:val="18"/>
              </w:rPr>
            </w:pPr>
            <w:r>
              <w:rPr>
                <w:rFonts w:ascii="Calibri" w:hAnsi="Calibri" w:cs="Calibri"/>
                <w:color w:val="000000"/>
                <w:sz w:val="18"/>
                <w:szCs w:val="18"/>
              </w:rPr>
              <w:t>231</w:t>
            </w:r>
          </w:p>
        </w:tc>
        <w:tc>
          <w:tcPr>
            <w:tcW w:w="5251" w:type="dxa"/>
            <w:gridSpan w:val="2"/>
            <w:tcBorders>
              <w:top w:val="single" w:sz="4" w:space="0" w:color="auto"/>
              <w:left w:val="nil"/>
              <w:bottom w:val="single" w:sz="4" w:space="0" w:color="auto"/>
              <w:right w:val="single" w:sz="4" w:space="0" w:color="auto"/>
            </w:tcBorders>
            <w:shd w:val="clear" w:color="FDE9D9" w:fill="FFF2CC"/>
            <w:noWrap/>
            <w:vAlign w:val="bottom"/>
            <w:hideMark/>
          </w:tcPr>
          <w:p w:rsidR="00FE013B" w:rsidRDefault="00FE013B">
            <w:pPr>
              <w:rPr>
                <w:rFonts w:ascii="Calibri" w:hAnsi="Calibri" w:cs="Calibri"/>
                <w:color w:val="000000"/>
                <w:sz w:val="18"/>
                <w:szCs w:val="18"/>
              </w:rPr>
            </w:pPr>
            <w:r>
              <w:rPr>
                <w:rFonts w:ascii="Calibri" w:hAnsi="Calibri" w:cs="Calibri"/>
                <w:color w:val="000000"/>
                <w:sz w:val="18"/>
                <w:szCs w:val="18"/>
              </w:rPr>
              <w:t>Příjmy z prodeje krátkodobého a drobného dlouhodobého majetku</w:t>
            </w:r>
          </w:p>
        </w:tc>
        <w:tc>
          <w:tcPr>
            <w:tcW w:w="1276" w:type="dxa"/>
            <w:tcBorders>
              <w:top w:val="nil"/>
              <w:left w:val="nil"/>
              <w:bottom w:val="single" w:sz="4" w:space="0" w:color="auto"/>
              <w:right w:val="single" w:sz="4" w:space="0" w:color="auto"/>
            </w:tcBorders>
            <w:shd w:val="clear" w:color="FDE9D9" w:fill="FFF2CC"/>
            <w:noWrap/>
            <w:vAlign w:val="bottom"/>
            <w:hideMark/>
          </w:tcPr>
          <w:p w:rsidR="00FE013B" w:rsidRDefault="00FE013B">
            <w:pPr>
              <w:jc w:val="right"/>
              <w:rPr>
                <w:rFonts w:ascii="Calibri" w:hAnsi="Calibri" w:cs="Calibri"/>
                <w:color w:val="000000"/>
                <w:sz w:val="18"/>
                <w:szCs w:val="18"/>
              </w:rPr>
            </w:pPr>
            <w:r>
              <w:rPr>
                <w:rFonts w:ascii="Calibri" w:hAnsi="Calibri" w:cs="Calibri"/>
                <w:color w:val="000000"/>
                <w:sz w:val="18"/>
                <w:szCs w:val="18"/>
              </w:rPr>
              <w:t>257 510,00</w:t>
            </w:r>
          </w:p>
        </w:tc>
        <w:tc>
          <w:tcPr>
            <w:tcW w:w="1276" w:type="dxa"/>
            <w:tcBorders>
              <w:top w:val="nil"/>
              <w:left w:val="nil"/>
              <w:bottom w:val="single" w:sz="4" w:space="0" w:color="auto"/>
              <w:right w:val="single" w:sz="4" w:space="0" w:color="auto"/>
            </w:tcBorders>
            <w:shd w:val="clear" w:color="FDE9D9" w:fill="FFF2CC"/>
            <w:noWrap/>
            <w:vAlign w:val="bottom"/>
            <w:hideMark/>
          </w:tcPr>
          <w:p w:rsidR="00FE013B" w:rsidRDefault="00FE013B">
            <w:pPr>
              <w:jc w:val="right"/>
              <w:rPr>
                <w:rFonts w:ascii="Calibri" w:hAnsi="Calibri" w:cs="Calibri"/>
                <w:color w:val="000000"/>
                <w:sz w:val="18"/>
                <w:szCs w:val="18"/>
              </w:rPr>
            </w:pPr>
            <w:r>
              <w:rPr>
                <w:rFonts w:ascii="Calibri" w:hAnsi="Calibri" w:cs="Calibri"/>
                <w:color w:val="000000"/>
                <w:sz w:val="18"/>
                <w:szCs w:val="18"/>
              </w:rPr>
              <w:t>150 995,00</w:t>
            </w:r>
          </w:p>
        </w:tc>
        <w:tc>
          <w:tcPr>
            <w:tcW w:w="1276" w:type="dxa"/>
            <w:tcBorders>
              <w:top w:val="nil"/>
              <w:left w:val="nil"/>
              <w:bottom w:val="single" w:sz="4" w:space="0" w:color="auto"/>
              <w:right w:val="single" w:sz="4" w:space="0" w:color="auto"/>
            </w:tcBorders>
            <w:shd w:val="clear" w:color="FDE9D9" w:fill="FFF2CC"/>
            <w:noWrap/>
            <w:vAlign w:val="bottom"/>
            <w:hideMark/>
          </w:tcPr>
          <w:p w:rsidR="00FE013B" w:rsidRDefault="00FE013B">
            <w:pPr>
              <w:jc w:val="right"/>
              <w:rPr>
                <w:rFonts w:ascii="Calibri" w:hAnsi="Calibri" w:cs="Calibri"/>
                <w:color w:val="000000"/>
                <w:sz w:val="18"/>
                <w:szCs w:val="18"/>
              </w:rPr>
            </w:pPr>
            <w:r>
              <w:rPr>
                <w:rFonts w:ascii="Calibri" w:hAnsi="Calibri" w:cs="Calibri"/>
                <w:color w:val="000000"/>
                <w:sz w:val="18"/>
                <w:szCs w:val="18"/>
              </w:rPr>
              <w:t>356 198,00</w:t>
            </w:r>
          </w:p>
        </w:tc>
      </w:tr>
      <w:tr w:rsidR="00FE013B" w:rsidTr="00FE013B">
        <w:trPr>
          <w:trHeight w:val="495"/>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FE013B" w:rsidRDefault="00FE013B">
            <w:pPr>
              <w:rPr>
                <w:rFonts w:ascii="Calibri" w:hAnsi="Calibri" w:cs="Calibri"/>
                <w:color w:val="000000"/>
                <w:sz w:val="18"/>
                <w:szCs w:val="18"/>
              </w:rPr>
            </w:pPr>
            <w:r>
              <w:rPr>
                <w:rFonts w:ascii="Calibri" w:hAnsi="Calibri" w:cs="Calibri"/>
                <w:color w:val="000000"/>
                <w:sz w:val="18"/>
                <w:szCs w:val="18"/>
              </w:rPr>
              <w:t> </w:t>
            </w:r>
          </w:p>
        </w:tc>
        <w:tc>
          <w:tcPr>
            <w:tcW w:w="505" w:type="dxa"/>
            <w:tcBorders>
              <w:top w:val="nil"/>
              <w:left w:val="nil"/>
              <w:bottom w:val="single" w:sz="4" w:space="0" w:color="auto"/>
              <w:right w:val="single" w:sz="4" w:space="0" w:color="auto"/>
            </w:tcBorders>
            <w:shd w:val="clear" w:color="auto" w:fill="auto"/>
            <w:noWrap/>
            <w:vAlign w:val="center"/>
            <w:hideMark/>
          </w:tcPr>
          <w:p w:rsidR="00FE013B" w:rsidRDefault="00FE013B">
            <w:pPr>
              <w:jc w:val="right"/>
              <w:rPr>
                <w:rFonts w:ascii="Calibri" w:hAnsi="Calibri" w:cs="Calibri"/>
                <w:color w:val="000000"/>
                <w:sz w:val="18"/>
                <w:szCs w:val="18"/>
              </w:rPr>
            </w:pPr>
            <w:r>
              <w:rPr>
                <w:rFonts w:ascii="Calibri" w:hAnsi="Calibri" w:cs="Calibri"/>
                <w:color w:val="000000"/>
                <w:sz w:val="18"/>
                <w:szCs w:val="18"/>
              </w:rPr>
              <w:t>2310</w:t>
            </w:r>
          </w:p>
        </w:tc>
        <w:tc>
          <w:tcPr>
            <w:tcW w:w="4746" w:type="dxa"/>
            <w:tcBorders>
              <w:top w:val="nil"/>
              <w:left w:val="nil"/>
              <w:bottom w:val="single" w:sz="4" w:space="0" w:color="auto"/>
              <w:right w:val="single" w:sz="4" w:space="0" w:color="auto"/>
            </w:tcBorders>
            <w:shd w:val="clear" w:color="auto" w:fill="auto"/>
            <w:vAlign w:val="bottom"/>
            <w:hideMark/>
          </w:tcPr>
          <w:p w:rsidR="00FE013B" w:rsidRDefault="00FE013B">
            <w:pPr>
              <w:rPr>
                <w:rFonts w:ascii="Calibri" w:hAnsi="Calibri" w:cs="Calibri"/>
                <w:color w:val="000000"/>
                <w:sz w:val="18"/>
                <w:szCs w:val="18"/>
              </w:rPr>
            </w:pPr>
            <w:r>
              <w:rPr>
                <w:rFonts w:ascii="Calibri" w:hAnsi="Calibri" w:cs="Calibri"/>
                <w:color w:val="000000"/>
                <w:sz w:val="18"/>
                <w:szCs w:val="18"/>
              </w:rPr>
              <w:t>Příjmy z prodeje krátkodobého a drobného dlouhodobého majetku</w:t>
            </w:r>
          </w:p>
        </w:tc>
        <w:tc>
          <w:tcPr>
            <w:tcW w:w="1276" w:type="dxa"/>
            <w:tcBorders>
              <w:top w:val="nil"/>
              <w:left w:val="nil"/>
              <w:bottom w:val="single" w:sz="4" w:space="0" w:color="auto"/>
              <w:right w:val="single" w:sz="4" w:space="0" w:color="auto"/>
            </w:tcBorders>
            <w:shd w:val="clear" w:color="auto" w:fill="auto"/>
            <w:noWrap/>
            <w:vAlign w:val="center"/>
            <w:hideMark/>
          </w:tcPr>
          <w:p w:rsidR="00FE013B" w:rsidRDefault="00FE013B">
            <w:pPr>
              <w:jc w:val="right"/>
              <w:rPr>
                <w:rFonts w:ascii="Calibri" w:hAnsi="Calibri" w:cs="Calibri"/>
                <w:color w:val="000000"/>
                <w:sz w:val="18"/>
                <w:szCs w:val="18"/>
              </w:rPr>
            </w:pPr>
            <w:r>
              <w:rPr>
                <w:rFonts w:ascii="Calibri" w:hAnsi="Calibri" w:cs="Calibri"/>
                <w:color w:val="000000"/>
                <w:sz w:val="18"/>
                <w:szCs w:val="18"/>
              </w:rPr>
              <w:t>257 510,00</w:t>
            </w:r>
          </w:p>
        </w:tc>
        <w:tc>
          <w:tcPr>
            <w:tcW w:w="1276" w:type="dxa"/>
            <w:tcBorders>
              <w:top w:val="nil"/>
              <w:left w:val="nil"/>
              <w:bottom w:val="single" w:sz="4" w:space="0" w:color="auto"/>
              <w:right w:val="single" w:sz="4" w:space="0" w:color="auto"/>
            </w:tcBorders>
            <w:shd w:val="clear" w:color="auto" w:fill="auto"/>
            <w:noWrap/>
            <w:vAlign w:val="center"/>
            <w:hideMark/>
          </w:tcPr>
          <w:p w:rsidR="00FE013B" w:rsidRDefault="00FE013B">
            <w:pPr>
              <w:jc w:val="right"/>
              <w:rPr>
                <w:rFonts w:ascii="Calibri" w:hAnsi="Calibri" w:cs="Calibri"/>
                <w:color w:val="000000"/>
                <w:sz w:val="18"/>
                <w:szCs w:val="18"/>
              </w:rPr>
            </w:pPr>
            <w:r>
              <w:rPr>
                <w:rFonts w:ascii="Calibri" w:hAnsi="Calibri" w:cs="Calibri"/>
                <w:color w:val="000000"/>
                <w:sz w:val="18"/>
                <w:szCs w:val="18"/>
              </w:rPr>
              <w:t>150 995,00</w:t>
            </w:r>
          </w:p>
        </w:tc>
        <w:tc>
          <w:tcPr>
            <w:tcW w:w="1276" w:type="dxa"/>
            <w:tcBorders>
              <w:top w:val="nil"/>
              <w:left w:val="nil"/>
              <w:bottom w:val="single" w:sz="4" w:space="0" w:color="auto"/>
              <w:right w:val="single" w:sz="4" w:space="0" w:color="auto"/>
            </w:tcBorders>
            <w:shd w:val="clear" w:color="auto" w:fill="auto"/>
            <w:noWrap/>
            <w:vAlign w:val="center"/>
            <w:hideMark/>
          </w:tcPr>
          <w:p w:rsidR="00FE013B" w:rsidRDefault="00FE013B">
            <w:pPr>
              <w:jc w:val="right"/>
              <w:rPr>
                <w:rFonts w:ascii="Calibri" w:hAnsi="Calibri" w:cs="Calibri"/>
                <w:color w:val="000000"/>
                <w:sz w:val="18"/>
                <w:szCs w:val="18"/>
              </w:rPr>
            </w:pPr>
            <w:r>
              <w:rPr>
                <w:rFonts w:ascii="Calibri" w:hAnsi="Calibri" w:cs="Calibri"/>
                <w:color w:val="000000"/>
                <w:sz w:val="18"/>
                <w:szCs w:val="18"/>
              </w:rPr>
              <w:t>356 198,00</w:t>
            </w:r>
          </w:p>
        </w:tc>
      </w:tr>
      <w:tr w:rsidR="00FE013B" w:rsidTr="00FE013B">
        <w:trPr>
          <w:trHeight w:val="300"/>
        </w:trPr>
        <w:tc>
          <w:tcPr>
            <w:tcW w:w="414" w:type="dxa"/>
            <w:tcBorders>
              <w:top w:val="nil"/>
              <w:left w:val="single" w:sz="4" w:space="0" w:color="auto"/>
              <w:bottom w:val="single" w:sz="4" w:space="0" w:color="auto"/>
              <w:right w:val="single" w:sz="4" w:space="0" w:color="auto"/>
            </w:tcBorders>
            <w:shd w:val="clear" w:color="FDE9D9" w:fill="FFF2CC"/>
            <w:noWrap/>
            <w:vAlign w:val="bottom"/>
            <w:hideMark/>
          </w:tcPr>
          <w:p w:rsidR="00FE013B" w:rsidRDefault="00FE013B">
            <w:pPr>
              <w:jc w:val="right"/>
              <w:rPr>
                <w:rFonts w:ascii="Calibri" w:hAnsi="Calibri" w:cs="Calibri"/>
                <w:color w:val="000000"/>
                <w:sz w:val="18"/>
                <w:szCs w:val="18"/>
              </w:rPr>
            </w:pPr>
            <w:r>
              <w:rPr>
                <w:rFonts w:ascii="Calibri" w:hAnsi="Calibri" w:cs="Calibri"/>
                <w:color w:val="000000"/>
                <w:sz w:val="18"/>
                <w:szCs w:val="18"/>
              </w:rPr>
              <w:t>232</w:t>
            </w:r>
          </w:p>
        </w:tc>
        <w:tc>
          <w:tcPr>
            <w:tcW w:w="5251" w:type="dxa"/>
            <w:gridSpan w:val="2"/>
            <w:tcBorders>
              <w:top w:val="single" w:sz="4" w:space="0" w:color="auto"/>
              <w:left w:val="nil"/>
              <w:bottom w:val="single" w:sz="4" w:space="0" w:color="auto"/>
              <w:right w:val="single" w:sz="4" w:space="0" w:color="auto"/>
            </w:tcBorders>
            <w:shd w:val="clear" w:color="FDE9D9" w:fill="FFF2CC"/>
            <w:noWrap/>
            <w:vAlign w:val="bottom"/>
            <w:hideMark/>
          </w:tcPr>
          <w:p w:rsidR="00FE013B" w:rsidRDefault="00FE013B">
            <w:pPr>
              <w:rPr>
                <w:rFonts w:ascii="Calibri" w:hAnsi="Calibri" w:cs="Calibri"/>
                <w:color w:val="000000"/>
                <w:sz w:val="18"/>
                <w:szCs w:val="18"/>
              </w:rPr>
            </w:pPr>
            <w:r>
              <w:rPr>
                <w:rFonts w:ascii="Calibri" w:hAnsi="Calibri" w:cs="Calibri"/>
                <w:color w:val="000000"/>
                <w:sz w:val="18"/>
                <w:szCs w:val="18"/>
              </w:rPr>
              <w:t>Ostatní nedaňové příjmy</w:t>
            </w:r>
          </w:p>
        </w:tc>
        <w:tc>
          <w:tcPr>
            <w:tcW w:w="1276" w:type="dxa"/>
            <w:tcBorders>
              <w:top w:val="nil"/>
              <w:left w:val="nil"/>
              <w:bottom w:val="single" w:sz="4" w:space="0" w:color="auto"/>
              <w:right w:val="single" w:sz="4" w:space="0" w:color="auto"/>
            </w:tcBorders>
            <w:shd w:val="clear" w:color="FDE9D9" w:fill="FFF2CC"/>
            <w:noWrap/>
            <w:vAlign w:val="bottom"/>
            <w:hideMark/>
          </w:tcPr>
          <w:p w:rsidR="00FE013B" w:rsidRDefault="00FE013B">
            <w:pPr>
              <w:jc w:val="right"/>
              <w:rPr>
                <w:rFonts w:ascii="Calibri" w:hAnsi="Calibri" w:cs="Calibri"/>
                <w:color w:val="000000"/>
                <w:sz w:val="18"/>
                <w:szCs w:val="18"/>
              </w:rPr>
            </w:pPr>
            <w:r>
              <w:rPr>
                <w:rFonts w:ascii="Calibri" w:hAnsi="Calibri" w:cs="Calibri"/>
                <w:color w:val="000000"/>
                <w:sz w:val="18"/>
                <w:szCs w:val="18"/>
              </w:rPr>
              <w:t>10 119 311,64</w:t>
            </w:r>
          </w:p>
        </w:tc>
        <w:tc>
          <w:tcPr>
            <w:tcW w:w="1276" w:type="dxa"/>
            <w:tcBorders>
              <w:top w:val="nil"/>
              <w:left w:val="nil"/>
              <w:bottom w:val="single" w:sz="4" w:space="0" w:color="auto"/>
              <w:right w:val="single" w:sz="4" w:space="0" w:color="auto"/>
            </w:tcBorders>
            <w:shd w:val="clear" w:color="FDE9D9" w:fill="FFF2CC"/>
            <w:noWrap/>
            <w:vAlign w:val="bottom"/>
            <w:hideMark/>
          </w:tcPr>
          <w:p w:rsidR="00FE013B" w:rsidRDefault="00FE013B">
            <w:pPr>
              <w:jc w:val="right"/>
              <w:rPr>
                <w:rFonts w:ascii="Calibri" w:hAnsi="Calibri" w:cs="Calibri"/>
                <w:color w:val="000000"/>
                <w:sz w:val="18"/>
                <w:szCs w:val="18"/>
              </w:rPr>
            </w:pPr>
            <w:r>
              <w:rPr>
                <w:rFonts w:ascii="Calibri" w:hAnsi="Calibri" w:cs="Calibri"/>
                <w:color w:val="000000"/>
                <w:sz w:val="18"/>
                <w:szCs w:val="18"/>
              </w:rPr>
              <w:t>16 147 609,64</w:t>
            </w:r>
          </w:p>
        </w:tc>
        <w:tc>
          <w:tcPr>
            <w:tcW w:w="1276" w:type="dxa"/>
            <w:tcBorders>
              <w:top w:val="nil"/>
              <w:left w:val="nil"/>
              <w:bottom w:val="single" w:sz="4" w:space="0" w:color="auto"/>
              <w:right w:val="single" w:sz="4" w:space="0" w:color="auto"/>
            </w:tcBorders>
            <w:shd w:val="clear" w:color="FDE9D9" w:fill="FFF2CC"/>
            <w:noWrap/>
            <w:vAlign w:val="bottom"/>
            <w:hideMark/>
          </w:tcPr>
          <w:p w:rsidR="00FE013B" w:rsidRDefault="00FE013B">
            <w:pPr>
              <w:jc w:val="right"/>
              <w:rPr>
                <w:rFonts w:ascii="Calibri" w:hAnsi="Calibri" w:cs="Calibri"/>
                <w:color w:val="000000"/>
                <w:sz w:val="18"/>
                <w:szCs w:val="18"/>
              </w:rPr>
            </w:pPr>
            <w:r>
              <w:rPr>
                <w:rFonts w:ascii="Calibri" w:hAnsi="Calibri" w:cs="Calibri"/>
                <w:color w:val="000000"/>
                <w:sz w:val="18"/>
                <w:szCs w:val="18"/>
              </w:rPr>
              <w:t>14 505 374,02</w:t>
            </w:r>
          </w:p>
        </w:tc>
      </w:tr>
      <w:tr w:rsidR="00FE013B" w:rsidTr="00FE013B">
        <w:trPr>
          <w:trHeight w:val="300"/>
        </w:trPr>
        <w:tc>
          <w:tcPr>
            <w:tcW w:w="41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FE013B" w:rsidRDefault="00FE013B">
            <w:pPr>
              <w:jc w:val="center"/>
              <w:rPr>
                <w:rFonts w:ascii="Calibri" w:hAnsi="Calibri" w:cs="Calibri"/>
                <w:color w:val="000000"/>
                <w:sz w:val="18"/>
                <w:szCs w:val="18"/>
              </w:rPr>
            </w:pPr>
            <w:r>
              <w:rPr>
                <w:rFonts w:ascii="Calibri" w:hAnsi="Calibri" w:cs="Calibri"/>
                <w:color w:val="000000"/>
                <w:sz w:val="18"/>
                <w:szCs w:val="18"/>
              </w:rPr>
              <w:t> </w:t>
            </w:r>
          </w:p>
        </w:tc>
        <w:tc>
          <w:tcPr>
            <w:tcW w:w="505" w:type="dxa"/>
            <w:tcBorders>
              <w:top w:val="nil"/>
              <w:left w:val="nil"/>
              <w:bottom w:val="single" w:sz="4" w:space="0" w:color="auto"/>
              <w:right w:val="single" w:sz="4" w:space="0" w:color="auto"/>
            </w:tcBorders>
            <w:shd w:val="clear" w:color="auto" w:fill="auto"/>
            <w:noWrap/>
            <w:vAlign w:val="bottom"/>
            <w:hideMark/>
          </w:tcPr>
          <w:p w:rsidR="00FE013B" w:rsidRDefault="00FE013B">
            <w:pPr>
              <w:jc w:val="right"/>
              <w:rPr>
                <w:rFonts w:ascii="Calibri" w:hAnsi="Calibri" w:cs="Calibri"/>
                <w:color w:val="000000"/>
                <w:sz w:val="18"/>
                <w:szCs w:val="18"/>
              </w:rPr>
            </w:pPr>
            <w:r>
              <w:rPr>
                <w:rFonts w:ascii="Calibri" w:hAnsi="Calibri" w:cs="Calibri"/>
                <w:color w:val="000000"/>
                <w:sz w:val="18"/>
                <w:szCs w:val="18"/>
              </w:rPr>
              <w:t>2321</w:t>
            </w:r>
          </w:p>
        </w:tc>
        <w:tc>
          <w:tcPr>
            <w:tcW w:w="4746" w:type="dxa"/>
            <w:tcBorders>
              <w:top w:val="nil"/>
              <w:left w:val="nil"/>
              <w:bottom w:val="single" w:sz="4" w:space="0" w:color="auto"/>
              <w:right w:val="single" w:sz="4" w:space="0" w:color="auto"/>
            </w:tcBorders>
            <w:shd w:val="clear" w:color="auto" w:fill="auto"/>
            <w:noWrap/>
            <w:vAlign w:val="bottom"/>
            <w:hideMark/>
          </w:tcPr>
          <w:p w:rsidR="00FE013B" w:rsidRDefault="00FE013B">
            <w:pPr>
              <w:rPr>
                <w:rFonts w:ascii="Calibri" w:hAnsi="Calibri" w:cs="Calibri"/>
                <w:color w:val="000000"/>
                <w:sz w:val="18"/>
                <w:szCs w:val="18"/>
              </w:rPr>
            </w:pPr>
            <w:r>
              <w:rPr>
                <w:rFonts w:ascii="Calibri" w:hAnsi="Calibri" w:cs="Calibri"/>
                <w:color w:val="000000"/>
                <w:sz w:val="18"/>
                <w:szCs w:val="18"/>
              </w:rPr>
              <w:t>Přijaté neinvestiční dary</w:t>
            </w:r>
          </w:p>
        </w:tc>
        <w:tc>
          <w:tcPr>
            <w:tcW w:w="1276" w:type="dxa"/>
            <w:tcBorders>
              <w:top w:val="nil"/>
              <w:left w:val="nil"/>
              <w:bottom w:val="single" w:sz="4" w:space="0" w:color="auto"/>
              <w:right w:val="single" w:sz="4" w:space="0" w:color="auto"/>
            </w:tcBorders>
            <w:shd w:val="clear" w:color="auto" w:fill="auto"/>
            <w:noWrap/>
            <w:vAlign w:val="bottom"/>
            <w:hideMark/>
          </w:tcPr>
          <w:p w:rsidR="00FE013B" w:rsidRDefault="00FE013B">
            <w:pPr>
              <w:jc w:val="right"/>
              <w:rPr>
                <w:rFonts w:ascii="Calibri" w:hAnsi="Calibri" w:cs="Calibri"/>
                <w:color w:val="000000"/>
                <w:sz w:val="18"/>
                <w:szCs w:val="18"/>
              </w:rPr>
            </w:pPr>
            <w:r>
              <w:rPr>
                <w:rFonts w:ascii="Calibri" w:hAnsi="Calibri" w:cs="Calibri"/>
                <w:color w:val="000000"/>
                <w:sz w:val="18"/>
                <w:szCs w:val="18"/>
              </w:rPr>
              <w:t>3 000,00</w:t>
            </w:r>
          </w:p>
        </w:tc>
        <w:tc>
          <w:tcPr>
            <w:tcW w:w="1276" w:type="dxa"/>
            <w:tcBorders>
              <w:top w:val="nil"/>
              <w:left w:val="nil"/>
              <w:bottom w:val="single" w:sz="4" w:space="0" w:color="auto"/>
              <w:right w:val="single" w:sz="4" w:space="0" w:color="auto"/>
            </w:tcBorders>
            <w:shd w:val="clear" w:color="auto" w:fill="auto"/>
            <w:noWrap/>
            <w:vAlign w:val="bottom"/>
            <w:hideMark/>
          </w:tcPr>
          <w:p w:rsidR="00FE013B" w:rsidRDefault="00FE013B">
            <w:pPr>
              <w:jc w:val="right"/>
              <w:rPr>
                <w:rFonts w:ascii="Calibri" w:hAnsi="Calibri" w:cs="Calibri"/>
                <w:color w:val="000000"/>
                <w:sz w:val="18"/>
                <w:szCs w:val="18"/>
              </w:rPr>
            </w:pPr>
            <w:r>
              <w:rPr>
                <w:rFonts w:ascii="Calibri" w:hAnsi="Calibri" w:cs="Calibri"/>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FE013B" w:rsidRDefault="00FE013B">
            <w:pPr>
              <w:jc w:val="right"/>
              <w:rPr>
                <w:rFonts w:ascii="Calibri" w:hAnsi="Calibri" w:cs="Calibri"/>
                <w:color w:val="000000"/>
                <w:sz w:val="18"/>
                <w:szCs w:val="18"/>
              </w:rPr>
            </w:pPr>
            <w:r>
              <w:rPr>
                <w:rFonts w:ascii="Calibri" w:hAnsi="Calibri" w:cs="Calibri"/>
                <w:color w:val="000000"/>
                <w:sz w:val="18"/>
                <w:szCs w:val="18"/>
              </w:rPr>
              <w:t>63 896,00</w:t>
            </w:r>
          </w:p>
        </w:tc>
      </w:tr>
      <w:tr w:rsidR="00FE013B" w:rsidTr="00FE013B">
        <w:trPr>
          <w:trHeight w:val="300"/>
        </w:trPr>
        <w:tc>
          <w:tcPr>
            <w:tcW w:w="414" w:type="dxa"/>
            <w:vMerge/>
            <w:tcBorders>
              <w:top w:val="nil"/>
              <w:left w:val="single" w:sz="4" w:space="0" w:color="auto"/>
              <w:bottom w:val="single" w:sz="4" w:space="0" w:color="auto"/>
              <w:right w:val="single" w:sz="4" w:space="0" w:color="auto"/>
            </w:tcBorders>
            <w:vAlign w:val="center"/>
            <w:hideMark/>
          </w:tcPr>
          <w:p w:rsidR="00FE013B" w:rsidRDefault="00FE013B">
            <w:pPr>
              <w:rPr>
                <w:rFonts w:ascii="Calibri" w:hAnsi="Calibri" w:cs="Calibri"/>
                <w:color w:val="000000"/>
                <w:sz w:val="18"/>
                <w:szCs w:val="18"/>
              </w:rPr>
            </w:pPr>
          </w:p>
        </w:tc>
        <w:tc>
          <w:tcPr>
            <w:tcW w:w="505" w:type="dxa"/>
            <w:tcBorders>
              <w:top w:val="nil"/>
              <w:left w:val="nil"/>
              <w:bottom w:val="single" w:sz="4" w:space="0" w:color="auto"/>
              <w:right w:val="single" w:sz="4" w:space="0" w:color="auto"/>
            </w:tcBorders>
            <w:shd w:val="clear" w:color="auto" w:fill="auto"/>
            <w:noWrap/>
            <w:vAlign w:val="bottom"/>
            <w:hideMark/>
          </w:tcPr>
          <w:p w:rsidR="00FE013B" w:rsidRDefault="00FE013B">
            <w:pPr>
              <w:jc w:val="right"/>
              <w:rPr>
                <w:rFonts w:ascii="Calibri" w:hAnsi="Calibri" w:cs="Calibri"/>
                <w:color w:val="000000"/>
                <w:sz w:val="18"/>
                <w:szCs w:val="18"/>
              </w:rPr>
            </w:pPr>
            <w:r>
              <w:rPr>
                <w:rFonts w:ascii="Calibri" w:hAnsi="Calibri" w:cs="Calibri"/>
                <w:color w:val="000000"/>
                <w:sz w:val="18"/>
                <w:szCs w:val="18"/>
              </w:rPr>
              <w:t>2322</w:t>
            </w:r>
          </w:p>
        </w:tc>
        <w:tc>
          <w:tcPr>
            <w:tcW w:w="4746" w:type="dxa"/>
            <w:tcBorders>
              <w:top w:val="nil"/>
              <w:left w:val="nil"/>
              <w:bottom w:val="single" w:sz="4" w:space="0" w:color="auto"/>
              <w:right w:val="single" w:sz="4" w:space="0" w:color="auto"/>
            </w:tcBorders>
            <w:shd w:val="clear" w:color="auto" w:fill="auto"/>
            <w:noWrap/>
            <w:vAlign w:val="bottom"/>
            <w:hideMark/>
          </w:tcPr>
          <w:p w:rsidR="00FE013B" w:rsidRDefault="00FE013B">
            <w:pPr>
              <w:rPr>
                <w:rFonts w:ascii="Calibri" w:hAnsi="Calibri" w:cs="Calibri"/>
                <w:color w:val="000000"/>
                <w:sz w:val="18"/>
                <w:szCs w:val="18"/>
              </w:rPr>
            </w:pPr>
            <w:r>
              <w:rPr>
                <w:rFonts w:ascii="Calibri" w:hAnsi="Calibri" w:cs="Calibri"/>
                <w:color w:val="000000"/>
                <w:sz w:val="18"/>
                <w:szCs w:val="18"/>
              </w:rPr>
              <w:t>Přijaté pojistné náhrady</w:t>
            </w:r>
          </w:p>
        </w:tc>
        <w:tc>
          <w:tcPr>
            <w:tcW w:w="1276" w:type="dxa"/>
            <w:tcBorders>
              <w:top w:val="nil"/>
              <w:left w:val="nil"/>
              <w:bottom w:val="single" w:sz="4" w:space="0" w:color="auto"/>
              <w:right w:val="single" w:sz="4" w:space="0" w:color="auto"/>
            </w:tcBorders>
            <w:shd w:val="clear" w:color="auto" w:fill="auto"/>
            <w:noWrap/>
            <w:vAlign w:val="bottom"/>
            <w:hideMark/>
          </w:tcPr>
          <w:p w:rsidR="00FE013B" w:rsidRDefault="00FE013B">
            <w:pPr>
              <w:jc w:val="right"/>
              <w:rPr>
                <w:rFonts w:ascii="Calibri" w:hAnsi="Calibri" w:cs="Calibri"/>
                <w:color w:val="000000"/>
                <w:sz w:val="18"/>
                <w:szCs w:val="18"/>
              </w:rPr>
            </w:pPr>
            <w:r>
              <w:rPr>
                <w:rFonts w:ascii="Calibri" w:hAnsi="Calibri" w:cs="Calibri"/>
                <w:color w:val="000000"/>
                <w:sz w:val="18"/>
                <w:szCs w:val="18"/>
              </w:rPr>
              <w:t>368 649,00</w:t>
            </w:r>
          </w:p>
        </w:tc>
        <w:tc>
          <w:tcPr>
            <w:tcW w:w="1276" w:type="dxa"/>
            <w:tcBorders>
              <w:top w:val="nil"/>
              <w:left w:val="nil"/>
              <w:bottom w:val="single" w:sz="4" w:space="0" w:color="auto"/>
              <w:right w:val="single" w:sz="4" w:space="0" w:color="auto"/>
            </w:tcBorders>
            <w:shd w:val="clear" w:color="auto" w:fill="auto"/>
            <w:noWrap/>
            <w:vAlign w:val="bottom"/>
            <w:hideMark/>
          </w:tcPr>
          <w:p w:rsidR="00FE013B" w:rsidRDefault="00FE013B">
            <w:pPr>
              <w:jc w:val="right"/>
              <w:rPr>
                <w:rFonts w:ascii="Calibri" w:hAnsi="Calibri" w:cs="Calibri"/>
                <w:color w:val="000000"/>
                <w:sz w:val="18"/>
                <w:szCs w:val="18"/>
              </w:rPr>
            </w:pPr>
            <w:r>
              <w:rPr>
                <w:rFonts w:ascii="Calibri" w:hAnsi="Calibri" w:cs="Calibri"/>
                <w:color w:val="000000"/>
                <w:sz w:val="18"/>
                <w:szCs w:val="18"/>
              </w:rPr>
              <w:t>1 483 856,00</w:t>
            </w:r>
          </w:p>
        </w:tc>
        <w:tc>
          <w:tcPr>
            <w:tcW w:w="1276" w:type="dxa"/>
            <w:tcBorders>
              <w:top w:val="nil"/>
              <w:left w:val="nil"/>
              <w:bottom w:val="single" w:sz="4" w:space="0" w:color="auto"/>
              <w:right w:val="single" w:sz="4" w:space="0" w:color="auto"/>
            </w:tcBorders>
            <w:shd w:val="clear" w:color="auto" w:fill="auto"/>
            <w:noWrap/>
            <w:vAlign w:val="bottom"/>
            <w:hideMark/>
          </w:tcPr>
          <w:p w:rsidR="00FE013B" w:rsidRDefault="00FE013B">
            <w:pPr>
              <w:jc w:val="right"/>
              <w:rPr>
                <w:rFonts w:ascii="Calibri" w:hAnsi="Calibri" w:cs="Calibri"/>
                <w:color w:val="000000"/>
                <w:sz w:val="18"/>
                <w:szCs w:val="18"/>
              </w:rPr>
            </w:pPr>
            <w:r>
              <w:rPr>
                <w:rFonts w:ascii="Calibri" w:hAnsi="Calibri" w:cs="Calibri"/>
                <w:color w:val="000000"/>
                <w:sz w:val="18"/>
                <w:szCs w:val="18"/>
              </w:rPr>
              <w:t>655 076,00</w:t>
            </w:r>
          </w:p>
        </w:tc>
      </w:tr>
      <w:tr w:rsidR="00FE013B" w:rsidTr="00FE013B">
        <w:trPr>
          <w:trHeight w:val="300"/>
        </w:trPr>
        <w:tc>
          <w:tcPr>
            <w:tcW w:w="414" w:type="dxa"/>
            <w:vMerge/>
            <w:tcBorders>
              <w:top w:val="nil"/>
              <w:left w:val="single" w:sz="4" w:space="0" w:color="auto"/>
              <w:bottom w:val="single" w:sz="4" w:space="0" w:color="auto"/>
              <w:right w:val="single" w:sz="4" w:space="0" w:color="auto"/>
            </w:tcBorders>
            <w:vAlign w:val="center"/>
            <w:hideMark/>
          </w:tcPr>
          <w:p w:rsidR="00FE013B" w:rsidRDefault="00FE013B">
            <w:pPr>
              <w:rPr>
                <w:rFonts w:ascii="Calibri" w:hAnsi="Calibri" w:cs="Calibri"/>
                <w:color w:val="000000"/>
                <w:sz w:val="18"/>
                <w:szCs w:val="18"/>
              </w:rPr>
            </w:pPr>
          </w:p>
        </w:tc>
        <w:tc>
          <w:tcPr>
            <w:tcW w:w="505" w:type="dxa"/>
            <w:tcBorders>
              <w:top w:val="nil"/>
              <w:left w:val="nil"/>
              <w:bottom w:val="single" w:sz="4" w:space="0" w:color="auto"/>
              <w:right w:val="single" w:sz="4" w:space="0" w:color="auto"/>
            </w:tcBorders>
            <w:shd w:val="clear" w:color="auto" w:fill="auto"/>
            <w:noWrap/>
            <w:vAlign w:val="bottom"/>
            <w:hideMark/>
          </w:tcPr>
          <w:p w:rsidR="00FE013B" w:rsidRDefault="00FE013B">
            <w:pPr>
              <w:jc w:val="right"/>
              <w:rPr>
                <w:rFonts w:ascii="Calibri" w:hAnsi="Calibri" w:cs="Calibri"/>
                <w:color w:val="000000"/>
                <w:sz w:val="18"/>
                <w:szCs w:val="18"/>
              </w:rPr>
            </w:pPr>
            <w:r>
              <w:rPr>
                <w:rFonts w:ascii="Calibri" w:hAnsi="Calibri" w:cs="Calibri"/>
                <w:color w:val="000000"/>
                <w:sz w:val="18"/>
                <w:szCs w:val="18"/>
              </w:rPr>
              <w:t>2324</w:t>
            </w:r>
          </w:p>
        </w:tc>
        <w:tc>
          <w:tcPr>
            <w:tcW w:w="4746" w:type="dxa"/>
            <w:tcBorders>
              <w:top w:val="nil"/>
              <w:left w:val="nil"/>
              <w:bottom w:val="single" w:sz="4" w:space="0" w:color="auto"/>
              <w:right w:val="single" w:sz="4" w:space="0" w:color="auto"/>
            </w:tcBorders>
            <w:shd w:val="clear" w:color="auto" w:fill="auto"/>
            <w:noWrap/>
            <w:vAlign w:val="bottom"/>
            <w:hideMark/>
          </w:tcPr>
          <w:p w:rsidR="00FE013B" w:rsidRDefault="00FE013B">
            <w:pPr>
              <w:rPr>
                <w:rFonts w:ascii="Calibri" w:hAnsi="Calibri" w:cs="Calibri"/>
                <w:color w:val="000000"/>
                <w:sz w:val="18"/>
                <w:szCs w:val="18"/>
              </w:rPr>
            </w:pPr>
            <w:r>
              <w:rPr>
                <w:rFonts w:ascii="Calibri" w:hAnsi="Calibri" w:cs="Calibri"/>
                <w:color w:val="000000"/>
                <w:sz w:val="18"/>
                <w:szCs w:val="18"/>
              </w:rPr>
              <w:t>Přijaté nekapitálové příspěvky a náhrady</w:t>
            </w:r>
          </w:p>
        </w:tc>
        <w:tc>
          <w:tcPr>
            <w:tcW w:w="1276" w:type="dxa"/>
            <w:tcBorders>
              <w:top w:val="nil"/>
              <w:left w:val="nil"/>
              <w:bottom w:val="single" w:sz="4" w:space="0" w:color="auto"/>
              <w:right w:val="single" w:sz="4" w:space="0" w:color="auto"/>
            </w:tcBorders>
            <w:shd w:val="clear" w:color="auto" w:fill="auto"/>
            <w:noWrap/>
            <w:vAlign w:val="bottom"/>
            <w:hideMark/>
          </w:tcPr>
          <w:p w:rsidR="00FE013B" w:rsidRDefault="00FE013B">
            <w:pPr>
              <w:jc w:val="right"/>
              <w:rPr>
                <w:rFonts w:ascii="Calibri" w:hAnsi="Calibri" w:cs="Calibri"/>
                <w:color w:val="000000"/>
                <w:sz w:val="18"/>
                <w:szCs w:val="18"/>
              </w:rPr>
            </w:pPr>
            <w:r>
              <w:rPr>
                <w:rFonts w:ascii="Calibri" w:hAnsi="Calibri" w:cs="Calibri"/>
                <w:color w:val="000000"/>
                <w:sz w:val="18"/>
                <w:szCs w:val="18"/>
              </w:rPr>
              <w:t>9 379 996,50</w:t>
            </w:r>
          </w:p>
        </w:tc>
        <w:tc>
          <w:tcPr>
            <w:tcW w:w="1276" w:type="dxa"/>
            <w:tcBorders>
              <w:top w:val="nil"/>
              <w:left w:val="nil"/>
              <w:bottom w:val="single" w:sz="4" w:space="0" w:color="auto"/>
              <w:right w:val="single" w:sz="4" w:space="0" w:color="auto"/>
            </w:tcBorders>
            <w:shd w:val="clear" w:color="auto" w:fill="auto"/>
            <w:noWrap/>
            <w:vAlign w:val="bottom"/>
            <w:hideMark/>
          </w:tcPr>
          <w:p w:rsidR="00FE013B" w:rsidRDefault="00FE013B">
            <w:pPr>
              <w:jc w:val="right"/>
              <w:rPr>
                <w:rFonts w:ascii="Calibri" w:hAnsi="Calibri" w:cs="Calibri"/>
                <w:color w:val="000000"/>
                <w:sz w:val="18"/>
                <w:szCs w:val="18"/>
              </w:rPr>
            </w:pPr>
            <w:r>
              <w:rPr>
                <w:rFonts w:ascii="Calibri" w:hAnsi="Calibri" w:cs="Calibri"/>
                <w:color w:val="000000"/>
                <w:sz w:val="18"/>
                <w:szCs w:val="18"/>
              </w:rPr>
              <w:t>11 210 408,54</w:t>
            </w:r>
          </w:p>
        </w:tc>
        <w:tc>
          <w:tcPr>
            <w:tcW w:w="1276" w:type="dxa"/>
            <w:tcBorders>
              <w:top w:val="nil"/>
              <w:left w:val="nil"/>
              <w:bottom w:val="single" w:sz="4" w:space="0" w:color="auto"/>
              <w:right w:val="single" w:sz="4" w:space="0" w:color="auto"/>
            </w:tcBorders>
            <w:shd w:val="clear" w:color="auto" w:fill="auto"/>
            <w:noWrap/>
            <w:vAlign w:val="bottom"/>
            <w:hideMark/>
          </w:tcPr>
          <w:p w:rsidR="00FE013B" w:rsidRDefault="00FE013B">
            <w:pPr>
              <w:jc w:val="right"/>
              <w:rPr>
                <w:rFonts w:ascii="Calibri" w:hAnsi="Calibri" w:cs="Calibri"/>
                <w:color w:val="000000"/>
                <w:sz w:val="18"/>
                <w:szCs w:val="18"/>
              </w:rPr>
            </w:pPr>
            <w:r>
              <w:rPr>
                <w:rFonts w:ascii="Calibri" w:hAnsi="Calibri" w:cs="Calibri"/>
                <w:color w:val="000000"/>
                <w:sz w:val="18"/>
                <w:szCs w:val="18"/>
              </w:rPr>
              <w:t>13 730 428,02</w:t>
            </w:r>
          </w:p>
        </w:tc>
      </w:tr>
      <w:tr w:rsidR="00FE013B" w:rsidTr="00FE013B">
        <w:trPr>
          <w:trHeight w:val="300"/>
        </w:trPr>
        <w:tc>
          <w:tcPr>
            <w:tcW w:w="414" w:type="dxa"/>
            <w:vMerge/>
            <w:tcBorders>
              <w:top w:val="nil"/>
              <w:left w:val="single" w:sz="4" w:space="0" w:color="auto"/>
              <w:bottom w:val="single" w:sz="4" w:space="0" w:color="auto"/>
              <w:right w:val="single" w:sz="4" w:space="0" w:color="auto"/>
            </w:tcBorders>
            <w:vAlign w:val="center"/>
            <w:hideMark/>
          </w:tcPr>
          <w:p w:rsidR="00FE013B" w:rsidRDefault="00FE013B">
            <w:pPr>
              <w:rPr>
                <w:rFonts w:ascii="Calibri" w:hAnsi="Calibri" w:cs="Calibri"/>
                <w:color w:val="000000"/>
                <w:sz w:val="18"/>
                <w:szCs w:val="18"/>
              </w:rPr>
            </w:pPr>
          </w:p>
        </w:tc>
        <w:tc>
          <w:tcPr>
            <w:tcW w:w="505" w:type="dxa"/>
            <w:tcBorders>
              <w:top w:val="nil"/>
              <w:left w:val="nil"/>
              <w:bottom w:val="single" w:sz="4" w:space="0" w:color="auto"/>
              <w:right w:val="single" w:sz="4" w:space="0" w:color="auto"/>
            </w:tcBorders>
            <w:shd w:val="clear" w:color="auto" w:fill="auto"/>
            <w:noWrap/>
            <w:vAlign w:val="bottom"/>
            <w:hideMark/>
          </w:tcPr>
          <w:p w:rsidR="00FE013B" w:rsidRDefault="00FE013B">
            <w:pPr>
              <w:jc w:val="right"/>
              <w:rPr>
                <w:rFonts w:ascii="Calibri" w:hAnsi="Calibri" w:cs="Calibri"/>
                <w:color w:val="000000"/>
                <w:sz w:val="18"/>
                <w:szCs w:val="18"/>
              </w:rPr>
            </w:pPr>
            <w:r>
              <w:rPr>
                <w:rFonts w:ascii="Calibri" w:hAnsi="Calibri" w:cs="Calibri"/>
                <w:color w:val="000000"/>
                <w:sz w:val="18"/>
                <w:szCs w:val="18"/>
              </w:rPr>
              <w:t>2329</w:t>
            </w:r>
          </w:p>
        </w:tc>
        <w:tc>
          <w:tcPr>
            <w:tcW w:w="4746" w:type="dxa"/>
            <w:tcBorders>
              <w:top w:val="nil"/>
              <w:left w:val="nil"/>
              <w:bottom w:val="single" w:sz="4" w:space="0" w:color="auto"/>
              <w:right w:val="single" w:sz="4" w:space="0" w:color="auto"/>
            </w:tcBorders>
            <w:shd w:val="clear" w:color="auto" w:fill="auto"/>
            <w:noWrap/>
            <w:vAlign w:val="bottom"/>
            <w:hideMark/>
          </w:tcPr>
          <w:p w:rsidR="00FE013B" w:rsidRDefault="00FE013B" w:rsidP="00FE013B">
            <w:pPr>
              <w:rPr>
                <w:rFonts w:ascii="Calibri" w:hAnsi="Calibri" w:cs="Calibri"/>
                <w:color w:val="000000"/>
                <w:sz w:val="18"/>
                <w:szCs w:val="18"/>
              </w:rPr>
            </w:pPr>
            <w:r>
              <w:rPr>
                <w:rFonts w:ascii="Calibri" w:hAnsi="Calibri" w:cs="Calibri"/>
                <w:color w:val="000000"/>
                <w:sz w:val="18"/>
                <w:szCs w:val="18"/>
              </w:rPr>
              <w:t>Ostatní nedaňové příjmy jinde nezařazené</w:t>
            </w:r>
          </w:p>
        </w:tc>
        <w:tc>
          <w:tcPr>
            <w:tcW w:w="1276" w:type="dxa"/>
            <w:tcBorders>
              <w:top w:val="nil"/>
              <w:left w:val="nil"/>
              <w:bottom w:val="single" w:sz="4" w:space="0" w:color="auto"/>
              <w:right w:val="single" w:sz="4" w:space="0" w:color="auto"/>
            </w:tcBorders>
            <w:shd w:val="clear" w:color="auto" w:fill="auto"/>
            <w:noWrap/>
            <w:vAlign w:val="bottom"/>
            <w:hideMark/>
          </w:tcPr>
          <w:p w:rsidR="00FE013B" w:rsidRDefault="00FE013B">
            <w:pPr>
              <w:jc w:val="right"/>
              <w:rPr>
                <w:rFonts w:ascii="Calibri" w:hAnsi="Calibri" w:cs="Calibri"/>
                <w:color w:val="000000"/>
                <w:sz w:val="18"/>
                <w:szCs w:val="18"/>
              </w:rPr>
            </w:pPr>
            <w:r>
              <w:rPr>
                <w:rFonts w:ascii="Calibri" w:hAnsi="Calibri" w:cs="Calibri"/>
                <w:color w:val="000000"/>
                <w:sz w:val="18"/>
                <w:szCs w:val="18"/>
              </w:rPr>
              <w:t>367 666,14</w:t>
            </w:r>
          </w:p>
        </w:tc>
        <w:tc>
          <w:tcPr>
            <w:tcW w:w="1276" w:type="dxa"/>
            <w:tcBorders>
              <w:top w:val="nil"/>
              <w:left w:val="nil"/>
              <w:bottom w:val="single" w:sz="4" w:space="0" w:color="auto"/>
              <w:right w:val="single" w:sz="4" w:space="0" w:color="auto"/>
            </w:tcBorders>
            <w:shd w:val="clear" w:color="auto" w:fill="auto"/>
            <w:noWrap/>
            <w:vAlign w:val="bottom"/>
            <w:hideMark/>
          </w:tcPr>
          <w:p w:rsidR="00FE013B" w:rsidRDefault="00FE013B">
            <w:pPr>
              <w:jc w:val="right"/>
              <w:rPr>
                <w:rFonts w:ascii="Calibri" w:hAnsi="Calibri" w:cs="Calibri"/>
                <w:color w:val="000000"/>
                <w:sz w:val="18"/>
                <w:szCs w:val="18"/>
              </w:rPr>
            </w:pPr>
            <w:r>
              <w:rPr>
                <w:rFonts w:ascii="Calibri" w:hAnsi="Calibri" w:cs="Calibri"/>
                <w:color w:val="000000"/>
                <w:sz w:val="18"/>
                <w:szCs w:val="18"/>
              </w:rPr>
              <w:t>3 453 345,10</w:t>
            </w:r>
          </w:p>
        </w:tc>
        <w:tc>
          <w:tcPr>
            <w:tcW w:w="1276" w:type="dxa"/>
            <w:tcBorders>
              <w:top w:val="nil"/>
              <w:left w:val="nil"/>
              <w:bottom w:val="single" w:sz="4" w:space="0" w:color="auto"/>
              <w:right w:val="single" w:sz="4" w:space="0" w:color="auto"/>
            </w:tcBorders>
            <w:shd w:val="clear" w:color="auto" w:fill="auto"/>
            <w:noWrap/>
            <w:vAlign w:val="bottom"/>
            <w:hideMark/>
          </w:tcPr>
          <w:p w:rsidR="00FE013B" w:rsidRDefault="00FE013B">
            <w:pPr>
              <w:jc w:val="right"/>
              <w:rPr>
                <w:rFonts w:ascii="Calibri" w:hAnsi="Calibri" w:cs="Calibri"/>
                <w:color w:val="000000"/>
                <w:sz w:val="18"/>
                <w:szCs w:val="18"/>
              </w:rPr>
            </w:pPr>
            <w:r>
              <w:rPr>
                <w:rFonts w:ascii="Calibri" w:hAnsi="Calibri" w:cs="Calibri"/>
                <w:color w:val="000000"/>
                <w:sz w:val="18"/>
                <w:szCs w:val="18"/>
              </w:rPr>
              <w:t>55 974,00</w:t>
            </w:r>
          </w:p>
        </w:tc>
      </w:tr>
    </w:tbl>
    <w:p w:rsidR="00CF7DBD" w:rsidRDefault="00CF7DBD" w:rsidP="00CF7DBD"/>
    <w:p w:rsidR="005B4A64" w:rsidRDefault="005B4A64" w:rsidP="00CF7DBD"/>
    <w:p w:rsidR="00FE013B" w:rsidRDefault="00FE013B" w:rsidP="00FE013B">
      <w:pPr>
        <w:jc w:val="center"/>
      </w:pPr>
      <w:r>
        <w:rPr>
          <w:noProof/>
        </w:rPr>
        <w:drawing>
          <wp:inline distT="0" distB="0" distL="0" distR="0" wp14:anchorId="353F251A" wp14:editId="199EDEBB">
            <wp:extent cx="4571365" cy="2784389"/>
            <wp:effectExtent l="0" t="0" r="635" b="16510"/>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E013B" w:rsidRDefault="00FE013B" w:rsidP="00CF7DBD"/>
    <w:p w:rsidR="003936CB" w:rsidRDefault="008A549C" w:rsidP="008A549C">
      <w:pPr>
        <w:pStyle w:val="Nadpis2"/>
      </w:pPr>
      <w:r>
        <w:lastRenderedPageBreak/>
        <w:t>Splátky půjčených prostředků od obyvatelstva</w:t>
      </w:r>
    </w:p>
    <w:p w:rsidR="003936CB" w:rsidRDefault="003936CB" w:rsidP="0024764D">
      <w:pPr>
        <w:pStyle w:val="Nadpis3"/>
        <w:rPr>
          <w:b w:val="0"/>
        </w:rPr>
      </w:pPr>
      <w:bookmarkStart w:id="16" w:name="_Toc39129503"/>
      <w:r w:rsidRPr="00061ECB">
        <w:rPr>
          <w:b w:val="0"/>
        </w:rPr>
        <w:t>Srovnání splátek půjčených prostředků od obyvatelstva v letech 20</w:t>
      </w:r>
      <w:r w:rsidR="00FE013B">
        <w:rPr>
          <w:b w:val="0"/>
        </w:rPr>
        <w:t>20</w:t>
      </w:r>
      <w:r w:rsidR="00C30798" w:rsidRPr="00061ECB">
        <w:rPr>
          <w:b w:val="0"/>
        </w:rPr>
        <w:t xml:space="preserve"> – 202</w:t>
      </w:r>
      <w:r w:rsidR="00FE013B">
        <w:rPr>
          <w:b w:val="0"/>
        </w:rPr>
        <w:t>2</w:t>
      </w:r>
      <w:r w:rsidRPr="00061ECB">
        <w:rPr>
          <w:b w:val="0"/>
        </w:rPr>
        <w:t xml:space="preserve"> (v Kč)</w:t>
      </w:r>
      <w:bookmarkEnd w:id="16"/>
    </w:p>
    <w:tbl>
      <w:tblPr>
        <w:tblW w:w="9493" w:type="dxa"/>
        <w:tblCellMar>
          <w:left w:w="70" w:type="dxa"/>
          <w:right w:w="70" w:type="dxa"/>
        </w:tblCellMar>
        <w:tblLook w:val="04A0" w:firstRow="1" w:lastRow="0" w:firstColumn="1" w:lastColumn="0" w:noHBand="0" w:noVBand="1"/>
      </w:tblPr>
      <w:tblGrid>
        <w:gridCol w:w="414"/>
        <w:gridCol w:w="505"/>
        <w:gridCol w:w="5597"/>
        <w:gridCol w:w="992"/>
        <w:gridCol w:w="992"/>
        <w:gridCol w:w="993"/>
      </w:tblGrid>
      <w:tr w:rsidR="00FE013B" w:rsidTr="00FE013B">
        <w:trPr>
          <w:trHeight w:val="300"/>
        </w:trPr>
        <w:tc>
          <w:tcPr>
            <w:tcW w:w="6516" w:type="dxa"/>
            <w:gridSpan w:val="3"/>
            <w:tcBorders>
              <w:top w:val="single" w:sz="4" w:space="0" w:color="auto"/>
              <w:left w:val="single" w:sz="4" w:space="0" w:color="auto"/>
              <w:bottom w:val="single" w:sz="4" w:space="0" w:color="auto"/>
              <w:right w:val="single" w:sz="4" w:space="0" w:color="auto"/>
            </w:tcBorders>
            <w:shd w:val="clear" w:color="D6A100" w:fill="FFC000"/>
            <w:noWrap/>
            <w:vAlign w:val="bottom"/>
            <w:hideMark/>
          </w:tcPr>
          <w:p w:rsidR="00FE013B" w:rsidRDefault="00FE013B">
            <w:pPr>
              <w:jc w:val="center"/>
              <w:rPr>
                <w:rFonts w:ascii="Calibri" w:hAnsi="Calibri" w:cs="Calibri"/>
                <w:color w:val="000000"/>
                <w:sz w:val="18"/>
                <w:szCs w:val="18"/>
              </w:rPr>
            </w:pPr>
            <w:r>
              <w:rPr>
                <w:rFonts w:ascii="Calibri" w:hAnsi="Calibri" w:cs="Calibri"/>
                <w:color w:val="000000"/>
                <w:sz w:val="18"/>
                <w:szCs w:val="18"/>
              </w:rPr>
              <w:t> </w:t>
            </w:r>
          </w:p>
        </w:tc>
        <w:tc>
          <w:tcPr>
            <w:tcW w:w="992" w:type="dxa"/>
            <w:tcBorders>
              <w:top w:val="single" w:sz="4" w:space="0" w:color="auto"/>
              <w:left w:val="nil"/>
              <w:bottom w:val="single" w:sz="4" w:space="0" w:color="auto"/>
              <w:right w:val="single" w:sz="4" w:space="0" w:color="auto"/>
            </w:tcBorders>
            <w:shd w:val="clear" w:color="D6A100" w:fill="FFC000"/>
            <w:noWrap/>
            <w:vAlign w:val="bottom"/>
            <w:hideMark/>
          </w:tcPr>
          <w:p w:rsidR="00FE013B" w:rsidRDefault="00FE013B">
            <w:pPr>
              <w:jc w:val="center"/>
              <w:rPr>
                <w:rFonts w:ascii="Calibri" w:hAnsi="Calibri" w:cs="Calibri"/>
                <w:color w:val="000000"/>
                <w:sz w:val="18"/>
                <w:szCs w:val="18"/>
              </w:rPr>
            </w:pPr>
            <w:r>
              <w:rPr>
                <w:rFonts w:ascii="Calibri" w:hAnsi="Calibri" w:cs="Calibri"/>
                <w:color w:val="000000"/>
                <w:sz w:val="18"/>
                <w:szCs w:val="18"/>
              </w:rPr>
              <w:t>2020</w:t>
            </w:r>
          </w:p>
        </w:tc>
        <w:tc>
          <w:tcPr>
            <w:tcW w:w="992" w:type="dxa"/>
            <w:tcBorders>
              <w:top w:val="single" w:sz="4" w:space="0" w:color="auto"/>
              <w:left w:val="nil"/>
              <w:bottom w:val="single" w:sz="4" w:space="0" w:color="auto"/>
              <w:right w:val="single" w:sz="4" w:space="0" w:color="auto"/>
            </w:tcBorders>
            <w:shd w:val="clear" w:color="D6A100" w:fill="FFC000"/>
            <w:noWrap/>
            <w:vAlign w:val="bottom"/>
            <w:hideMark/>
          </w:tcPr>
          <w:p w:rsidR="00FE013B" w:rsidRDefault="00FE013B">
            <w:pPr>
              <w:jc w:val="center"/>
              <w:rPr>
                <w:rFonts w:ascii="Calibri" w:hAnsi="Calibri" w:cs="Calibri"/>
                <w:color w:val="000000"/>
                <w:sz w:val="18"/>
                <w:szCs w:val="18"/>
              </w:rPr>
            </w:pPr>
            <w:r>
              <w:rPr>
                <w:rFonts w:ascii="Calibri" w:hAnsi="Calibri" w:cs="Calibri"/>
                <w:color w:val="000000"/>
                <w:sz w:val="18"/>
                <w:szCs w:val="18"/>
              </w:rPr>
              <w:t>2021</w:t>
            </w:r>
          </w:p>
        </w:tc>
        <w:tc>
          <w:tcPr>
            <w:tcW w:w="993" w:type="dxa"/>
            <w:tcBorders>
              <w:top w:val="single" w:sz="4" w:space="0" w:color="auto"/>
              <w:left w:val="nil"/>
              <w:bottom w:val="single" w:sz="4" w:space="0" w:color="auto"/>
              <w:right w:val="single" w:sz="4" w:space="0" w:color="auto"/>
            </w:tcBorders>
            <w:shd w:val="clear" w:color="D6A100" w:fill="FFC000"/>
            <w:noWrap/>
            <w:vAlign w:val="bottom"/>
            <w:hideMark/>
          </w:tcPr>
          <w:p w:rsidR="00FE013B" w:rsidRDefault="00FE013B">
            <w:pPr>
              <w:jc w:val="center"/>
              <w:rPr>
                <w:rFonts w:ascii="Calibri" w:hAnsi="Calibri" w:cs="Calibri"/>
                <w:color w:val="000000"/>
                <w:sz w:val="18"/>
                <w:szCs w:val="18"/>
              </w:rPr>
            </w:pPr>
            <w:r>
              <w:rPr>
                <w:rFonts w:ascii="Calibri" w:hAnsi="Calibri" w:cs="Calibri"/>
                <w:color w:val="000000"/>
                <w:sz w:val="18"/>
                <w:szCs w:val="18"/>
              </w:rPr>
              <w:t>2022</w:t>
            </w:r>
          </w:p>
        </w:tc>
      </w:tr>
      <w:tr w:rsidR="00FE013B" w:rsidTr="00FE013B">
        <w:trPr>
          <w:trHeight w:val="300"/>
        </w:trPr>
        <w:tc>
          <w:tcPr>
            <w:tcW w:w="6516" w:type="dxa"/>
            <w:gridSpan w:val="3"/>
            <w:tcBorders>
              <w:top w:val="single" w:sz="4" w:space="0" w:color="auto"/>
              <w:left w:val="single" w:sz="4" w:space="0" w:color="auto"/>
              <w:bottom w:val="single" w:sz="4" w:space="0" w:color="auto"/>
              <w:right w:val="single" w:sz="4" w:space="0" w:color="auto"/>
            </w:tcBorders>
            <w:shd w:val="clear" w:color="FFE699" w:fill="FFD965"/>
            <w:noWrap/>
            <w:vAlign w:val="bottom"/>
            <w:hideMark/>
          </w:tcPr>
          <w:p w:rsidR="00FE013B" w:rsidRDefault="00FE013B">
            <w:pPr>
              <w:rPr>
                <w:rFonts w:ascii="Calibri" w:hAnsi="Calibri" w:cs="Calibri"/>
                <w:b/>
                <w:bCs/>
                <w:color w:val="000000"/>
                <w:sz w:val="18"/>
                <w:szCs w:val="18"/>
              </w:rPr>
            </w:pPr>
            <w:r>
              <w:rPr>
                <w:rFonts w:ascii="Calibri" w:hAnsi="Calibri" w:cs="Calibri"/>
                <w:b/>
                <w:bCs/>
                <w:color w:val="000000"/>
                <w:sz w:val="18"/>
                <w:szCs w:val="18"/>
              </w:rPr>
              <w:t>Přijaté splátky půjčených prostředků</w:t>
            </w:r>
          </w:p>
        </w:tc>
        <w:tc>
          <w:tcPr>
            <w:tcW w:w="992" w:type="dxa"/>
            <w:tcBorders>
              <w:top w:val="nil"/>
              <w:left w:val="nil"/>
              <w:bottom w:val="single" w:sz="4" w:space="0" w:color="auto"/>
              <w:right w:val="single" w:sz="4" w:space="0" w:color="auto"/>
            </w:tcBorders>
            <w:shd w:val="clear" w:color="FFE699" w:fill="FFD965"/>
            <w:noWrap/>
            <w:vAlign w:val="bottom"/>
            <w:hideMark/>
          </w:tcPr>
          <w:p w:rsidR="00FE013B" w:rsidRDefault="00FE013B">
            <w:pPr>
              <w:jc w:val="right"/>
              <w:rPr>
                <w:rFonts w:ascii="Calibri" w:hAnsi="Calibri" w:cs="Calibri"/>
                <w:b/>
                <w:bCs/>
                <w:color w:val="000000"/>
                <w:sz w:val="18"/>
                <w:szCs w:val="18"/>
              </w:rPr>
            </w:pPr>
            <w:r>
              <w:rPr>
                <w:rFonts w:ascii="Calibri" w:hAnsi="Calibri" w:cs="Calibri"/>
                <w:b/>
                <w:bCs/>
                <w:color w:val="000000"/>
                <w:sz w:val="18"/>
                <w:szCs w:val="18"/>
              </w:rPr>
              <w:t>194 865,00</w:t>
            </w:r>
          </w:p>
        </w:tc>
        <w:tc>
          <w:tcPr>
            <w:tcW w:w="992" w:type="dxa"/>
            <w:tcBorders>
              <w:top w:val="nil"/>
              <w:left w:val="nil"/>
              <w:bottom w:val="single" w:sz="4" w:space="0" w:color="auto"/>
              <w:right w:val="single" w:sz="4" w:space="0" w:color="auto"/>
            </w:tcBorders>
            <w:shd w:val="clear" w:color="FFE699" w:fill="FFD965"/>
            <w:noWrap/>
            <w:vAlign w:val="bottom"/>
            <w:hideMark/>
          </w:tcPr>
          <w:p w:rsidR="00FE013B" w:rsidRDefault="00FE013B">
            <w:pPr>
              <w:jc w:val="right"/>
              <w:rPr>
                <w:rFonts w:ascii="Calibri" w:hAnsi="Calibri" w:cs="Calibri"/>
                <w:b/>
                <w:bCs/>
                <w:color w:val="000000"/>
                <w:sz w:val="18"/>
                <w:szCs w:val="18"/>
              </w:rPr>
            </w:pPr>
            <w:r>
              <w:rPr>
                <w:rFonts w:ascii="Calibri" w:hAnsi="Calibri" w:cs="Calibri"/>
                <w:b/>
                <w:bCs/>
                <w:color w:val="000000"/>
                <w:sz w:val="18"/>
                <w:szCs w:val="18"/>
              </w:rPr>
              <w:t>646 623,00</w:t>
            </w:r>
          </w:p>
        </w:tc>
        <w:tc>
          <w:tcPr>
            <w:tcW w:w="993" w:type="dxa"/>
            <w:tcBorders>
              <w:top w:val="nil"/>
              <w:left w:val="nil"/>
              <w:bottom w:val="single" w:sz="4" w:space="0" w:color="auto"/>
              <w:right w:val="single" w:sz="4" w:space="0" w:color="auto"/>
            </w:tcBorders>
            <w:shd w:val="clear" w:color="FFE699" w:fill="FFD965"/>
            <w:noWrap/>
            <w:vAlign w:val="bottom"/>
            <w:hideMark/>
          </w:tcPr>
          <w:p w:rsidR="00FE013B" w:rsidRDefault="00FE013B">
            <w:pPr>
              <w:jc w:val="right"/>
              <w:rPr>
                <w:rFonts w:ascii="Calibri" w:hAnsi="Calibri" w:cs="Calibri"/>
                <w:b/>
                <w:bCs/>
                <w:color w:val="000000"/>
                <w:sz w:val="18"/>
                <w:szCs w:val="18"/>
              </w:rPr>
            </w:pPr>
            <w:r>
              <w:rPr>
                <w:rFonts w:ascii="Calibri" w:hAnsi="Calibri" w:cs="Calibri"/>
                <w:b/>
                <w:bCs/>
                <w:color w:val="000000"/>
                <w:sz w:val="18"/>
                <w:szCs w:val="18"/>
              </w:rPr>
              <w:t>240 252,00</w:t>
            </w:r>
          </w:p>
        </w:tc>
      </w:tr>
      <w:tr w:rsidR="00FE013B" w:rsidTr="00FE013B">
        <w:trPr>
          <w:trHeight w:val="300"/>
        </w:trPr>
        <w:tc>
          <w:tcPr>
            <w:tcW w:w="414" w:type="dxa"/>
            <w:tcBorders>
              <w:top w:val="nil"/>
              <w:left w:val="single" w:sz="4" w:space="0" w:color="auto"/>
              <w:bottom w:val="single" w:sz="4" w:space="0" w:color="auto"/>
              <w:right w:val="single" w:sz="4" w:space="0" w:color="auto"/>
            </w:tcBorders>
            <w:shd w:val="clear" w:color="FDE9D9" w:fill="FFF2CC"/>
            <w:noWrap/>
            <w:vAlign w:val="bottom"/>
            <w:hideMark/>
          </w:tcPr>
          <w:p w:rsidR="00FE013B" w:rsidRDefault="00FE013B">
            <w:pPr>
              <w:jc w:val="right"/>
              <w:rPr>
                <w:rFonts w:ascii="Calibri" w:hAnsi="Calibri" w:cs="Calibri"/>
                <w:color w:val="000000"/>
                <w:sz w:val="18"/>
                <w:szCs w:val="18"/>
              </w:rPr>
            </w:pPr>
            <w:r>
              <w:rPr>
                <w:rFonts w:ascii="Calibri" w:hAnsi="Calibri" w:cs="Calibri"/>
                <w:color w:val="000000"/>
                <w:sz w:val="18"/>
                <w:szCs w:val="18"/>
              </w:rPr>
              <w:t>241</w:t>
            </w:r>
          </w:p>
        </w:tc>
        <w:tc>
          <w:tcPr>
            <w:tcW w:w="6102" w:type="dxa"/>
            <w:gridSpan w:val="2"/>
            <w:tcBorders>
              <w:top w:val="single" w:sz="4" w:space="0" w:color="auto"/>
              <w:left w:val="nil"/>
              <w:bottom w:val="single" w:sz="4" w:space="0" w:color="auto"/>
              <w:right w:val="single" w:sz="4" w:space="0" w:color="auto"/>
            </w:tcBorders>
            <w:shd w:val="clear" w:color="FDE9D9" w:fill="FFF2CC"/>
            <w:noWrap/>
            <w:vAlign w:val="bottom"/>
            <w:hideMark/>
          </w:tcPr>
          <w:p w:rsidR="00FE013B" w:rsidRDefault="00FE013B">
            <w:pPr>
              <w:rPr>
                <w:rFonts w:ascii="Calibri" w:hAnsi="Calibri" w:cs="Calibri"/>
                <w:color w:val="000000"/>
                <w:sz w:val="18"/>
                <w:szCs w:val="18"/>
              </w:rPr>
            </w:pPr>
            <w:r>
              <w:rPr>
                <w:rFonts w:ascii="Calibri" w:hAnsi="Calibri" w:cs="Calibri"/>
                <w:color w:val="000000"/>
                <w:sz w:val="18"/>
                <w:szCs w:val="18"/>
              </w:rPr>
              <w:t>Splátky půjčených prostředků od podnikatelů</w:t>
            </w:r>
          </w:p>
        </w:tc>
        <w:tc>
          <w:tcPr>
            <w:tcW w:w="992" w:type="dxa"/>
            <w:tcBorders>
              <w:top w:val="nil"/>
              <w:left w:val="nil"/>
              <w:bottom w:val="single" w:sz="4" w:space="0" w:color="auto"/>
              <w:right w:val="single" w:sz="4" w:space="0" w:color="auto"/>
            </w:tcBorders>
            <w:shd w:val="clear" w:color="FDE9D9" w:fill="FFF2CC"/>
            <w:noWrap/>
            <w:vAlign w:val="bottom"/>
            <w:hideMark/>
          </w:tcPr>
          <w:p w:rsidR="00FE013B" w:rsidRDefault="00FE013B">
            <w:pPr>
              <w:jc w:val="right"/>
              <w:rPr>
                <w:rFonts w:ascii="Calibri" w:hAnsi="Calibri" w:cs="Calibri"/>
                <w:color w:val="000000"/>
                <w:sz w:val="18"/>
                <w:szCs w:val="18"/>
              </w:rPr>
            </w:pPr>
            <w:r>
              <w:rPr>
                <w:rFonts w:ascii="Calibri" w:hAnsi="Calibri" w:cs="Calibri"/>
                <w:color w:val="000000"/>
                <w:sz w:val="18"/>
                <w:szCs w:val="18"/>
              </w:rPr>
              <w:t>0,00</w:t>
            </w:r>
          </w:p>
        </w:tc>
        <w:tc>
          <w:tcPr>
            <w:tcW w:w="992" w:type="dxa"/>
            <w:tcBorders>
              <w:top w:val="nil"/>
              <w:left w:val="nil"/>
              <w:bottom w:val="single" w:sz="4" w:space="0" w:color="auto"/>
              <w:right w:val="single" w:sz="4" w:space="0" w:color="auto"/>
            </w:tcBorders>
            <w:shd w:val="clear" w:color="FDE9D9" w:fill="FFF2CC"/>
            <w:noWrap/>
            <w:vAlign w:val="bottom"/>
            <w:hideMark/>
          </w:tcPr>
          <w:p w:rsidR="00FE013B" w:rsidRDefault="00FE013B">
            <w:pPr>
              <w:jc w:val="right"/>
              <w:rPr>
                <w:rFonts w:ascii="Calibri" w:hAnsi="Calibri" w:cs="Calibri"/>
                <w:color w:val="000000"/>
                <w:sz w:val="18"/>
                <w:szCs w:val="18"/>
              </w:rPr>
            </w:pPr>
            <w:r>
              <w:rPr>
                <w:rFonts w:ascii="Calibri" w:hAnsi="Calibri" w:cs="Calibri"/>
                <w:color w:val="000000"/>
                <w:sz w:val="18"/>
                <w:szCs w:val="18"/>
              </w:rPr>
              <w:t>410 000,00</w:t>
            </w:r>
          </w:p>
        </w:tc>
        <w:tc>
          <w:tcPr>
            <w:tcW w:w="993" w:type="dxa"/>
            <w:tcBorders>
              <w:top w:val="nil"/>
              <w:left w:val="nil"/>
              <w:bottom w:val="single" w:sz="4" w:space="0" w:color="auto"/>
              <w:right w:val="single" w:sz="4" w:space="0" w:color="auto"/>
            </w:tcBorders>
            <w:shd w:val="clear" w:color="FDE9D9" w:fill="FFF2CC"/>
            <w:noWrap/>
            <w:vAlign w:val="bottom"/>
            <w:hideMark/>
          </w:tcPr>
          <w:p w:rsidR="00FE013B" w:rsidRDefault="00FE013B">
            <w:pPr>
              <w:jc w:val="right"/>
              <w:rPr>
                <w:rFonts w:ascii="Calibri" w:hAnsi="Calibri" w:cs="Calibri"/>
                <w:color w:val="000000"/>
                <w:sz w:val="18"/>
                <w:szCs w:val="18"/>
              </w:rPr>
            </w:pPr>
            <w:r>
              <w:rPr>
                <w:rFonts w:ascii="Calibri" w:hAnsi="Calibri" w:cs="Calibri"/>
                <w:color w:val="000000"/>
                <w:sz w:val="18"/>
                <w:szCs w:val="18"/>
              </w:rPr>
              <w:t>0,00</w:t>
            </w:r>
          </w:p>
        </w:tc>
      </w:tr>
      <w:tr w:rsidR="00FE013B" w:rsidTr="00FE013B">
        <w:trPr>
          <w:trHeight w:val="57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FE013B" w:rsidRDefault="00FE013B">
            <w:pPr>
              <w:rPr>
                <w:rFonts w:ascii="Calibri" w:hAnsi="Calibri" w:cs="Calibri"/>
                <w:color w:val="000000"/>
                <w:sz w:val="18"/>
                <w:szCs w:val="18"/>
              </w:rPr>
            </w:pPr>
            <w:r>
              <w:rPr>
                <w:rFonts w:ascii="Calibri" w:hAnsi="Calibri" w:cs="Calibri"/>
                <w:color w:val="000000"/>
                <w:sz w:val="18"/>
                <w:szCs w:val="18"/>
              </w:rPr>
              <w:t> </w:t>
            </w:r>
          </w:p>
        </w:tc>
        <w:tc>
          <w:tcPr>
            <w:tcW w:w="505" w:type="dxa"/>
            <w:tcBorders>
              <w:top w:val="nil"/>
              <w:left w:val="nil"/>
              <w:bottom w:val="single" w:sz="4" w:space="0" w:color="auto"/>
              <w:right w:val="single" w:sz="4" w:space="0" w:color="auto"/>
            </w:tcBorders>
            <w:shd w:val="clear" w:color="auto" w:fill="auto"/>
            <w:noWrap/>
            <w:vAlign w:val="center"/>
            <w:hideMark/>
          </w:tcPr>
          <w:p w:rsidR="00FE013B" w:rsidRDefault="00FE013B">
            <w:pPr>
              <w:jc w:val="right"/>
              <w:rPr>
                <w:rFonts w:ascii="Calibri" w:hAnsi="Calibri" w:cs="Calibri"/>
                <w:color w:val="000000"/>
                <w:sz w:val="18"/>
                <w:szCs w:val="18"/>
              </w:rPr>
            </w:pPr>
            <w:r>
              <w:rPr>
                <w:rFonts w:ascii="Calibri" w:hAnsi="Calibri" w:cs="Calibri"/>
                <w:color w:val="000000"/>
                <w:sz w:val="18"/>
                <w:szCs w:val="18"/>
              </w:rPr>
              <w:t>2412</w:t>
            </w:r>
          </w:p>
        </w:tc>
        <w:tc>
          <w:tcPr>
            <w:tcW w:w="5597" w:type="dxa"/>
            <w:tcBorders>
              <w:top w:val="nil"/>
              <w:left w:val="nil"/>
              <w:bottom w:val="single" w:sz="4" w:space="0" w:color="auto"/>
              <w:right w:val="single" w:sz="4" w:space="0" w:color="auto"/>
            </w:tcBorders>
            <w:shd w:val="clear" w:color="auto" w:fill="auto"/>
            <w:vAlign w:val="center"/>
            <w:hideMark/>
          </w:tcPr>
          <w:p w:rsidR="00FE013B" w:rsidRDefault="00FE013B">
            <w:pPr>
              <w:rPr>
                <w:rFonts w:ascii="Calibri" w:hAnsi="Calibri" w:cs="Calibri"/>
                <w:color w:val="000000"/>
                <w:sz w:val="18"/>
                <w:szCs w:val="18"/>
              </w:rPr>
            </w:pPr>
            <w:r>
              <w:rPr>
                <w:rFonts w:ascii="Calibri" w:hAnsi="Calibri" w:cs="Calibri"/>
                <w:color w:val="000000"/>
                <w:sz w:val="18"/>
                <w:szCs w:val="18"/>
              </w:rPr>
              <w:t>Splátky půjčených prostředků od podnikatelských nefinančních subjektů - právnických osob</w:t>
            </w:r>
          </w:p>
        </w:tc>
        <w:tc>
          <w:tcPr>
            <w:tcW w:w="992" w:type="dxa"/>
            <w:tcBorders>
              <w:top w:val="nil"/>
              <w:left w:val="nil"/>
              <w:bottom w:val="single" w:sz="4" w:space="0" w:color="auto"/>
              <w:right w:val="single" w:sz="4" w:space="0" w:color="auto"/>
            </w:tcBorders>
            <w:shd w:val="clear" w:color="auto" w:fill="auto"/>
            <w:noWrap/>
            <w:vAlign w:val="center"/>
            <w:hideMark/>
          </w:tcPr>
          <w:p w:rsidR="00FE013B" w:rsidRDefault="00FE013B">
            <w:pPr>
              <w:jc w:val="right"/>
              <w:rPr>
                <w:rFonts w:ascii="Calibri" w:hAnsi="Calibri" w:cs="Calibri"/>
                <w:color w:val="000000"/>
                <w:sz w:val="18"/>
                <w:szCs w:val="18"/>
              </w:rPr>
            </w:pPr>
            <w:r>
              <w:rPr>
                <w:rFonts w:ascii="Calibri" w:hAnsi="Calibri" w:cs="Calibri"/>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FE013B" w:rsidRDefault="00FE013B">
            <w:pPr>
              <w:jc w:val="right"/>
              <w:rPr>
                <w:rFonts w:ascii="Calibri" w:hAnsi="Calibri" w:cs="Calibri"/>
                <w:color w:val="000000"/>
                <w:sz w:val="18"/>
                <w:szCs w:val="18"/>
              </w:rPr>
            </w:pPr>
            <w:r>
              <w:rPr>
                <w:rFonts w:ascii="Calibri" w:hAnsi="Calibri" w:cs="Calibri"/>
                <w:color w:val="000000"/>
                <w:sz w:val="18"/>
                <w:szCs w:val="18"/>
              </w:rPr>
              <w:t>410 000,00</w:t>
            </w:r>
          </w:p>
        </w:tc>
        <w:tc>
          <w:tcPr>
            <w:tcW w:w="993" w:type="dxa"/>
            <w:tcBorders>
              <w:top w:val="nil"/>
              <w:left w:val="nil"/>
              <w:bottom w:val="single" w:sz="4" w:space="0" w:color="auto"/>
              <w:right w:val="single" w:sz="4" w:space="0" w:color="auto"/>
            </w:tcBorders>
            <w:shd w:val="clear" w:color="auto" w:fill="auto"/>
            <w:noWrap/>
            <w:vAlign w:val="center"/>
            <w:hideMark/>
          </w:tcPr>
          <w:p w:rsidR="00FE013B" w:rsidRDefault="00FE013B">
            <w:pPr>
              <w:jc w:val="right"/>
              <w:rPr>
                <w:rFonts w:ascii="Calibri" w:hAnsi="Calibri" w:cs="Calibri"/>
                <w:color w:val="000000"/>
                <w:sz w:val="18"/>
                <w:szCs w:val="18"/>
              </w:rPr>
            </w:pPr>
            <w:r>
              <w:rPr>
                <w:rFonts w:ascii="Calibri" w:hAnsi="Calibri" w:cs="Calibri"/>
                <w:color w:val="000000"/>
                <w:sz w:val="18"/>
                <w:szCs w:val="18"/>
              </w:rPr>
              <w:t>0,00</w:t>
            </w:r>
          </w:p>
        </w:tc>
      </w:tr>
      <w:tr w:rsidR="00FE013B" w:rsidTr="00FE013B">
        <w:trPr>
          <w:trHeight w:val="300"/>
        </w:trPr>
        <w:tc>
          <w:tcPr>
            <w:tcW w:w="414" w:type="dxa"/>
            <w:tcBorders>
              <w:top w:val="nil"/>
              <w:left w:val="single" w:sz="4" w:space="0" w:color="auto"/>
              <w:bottom w:val="single" w:sz="4" w:space="0" w:color="auto"/>
              <w:right w:val="single" w:sz="4" w:space="0" w:color="auto"/>
            </w:tcBorders>
            <w:shd w:val="clear" w:color="FDE9D9" w:fill="FFF2CC"/>
            <w:noWrap/>
            <w:vAlign w:val="bottom"/>
            <w:hideMark/>
          </w:tcPr>
          <w:p w:rsidR="00FE013B" w:rsidRDefault="00FE013B">
            <w:pPr>
              <w:jc w:val="right"/>
              <w:rPr>
                <w:rFonts w:ascii="Calibri" w:hAnsi="Calibri" w:cs="Calibri"/>
                <w:color w:val="000000"/>
                <w:sz w:val="18"/>
                <w:szCs w:val="18"/>
              </w:rPr>
            </w:pPr>
            <w:r>
              <w:rPr>
                <w:rFonts w:ascii="Calibri" w:hAnsi="Calibri" w:cs="Calibri"/>
                <w:color w:val="000000"/>
                <w:sz w:val="18"/>
                <w:szCs w:val="18"/>
              </w:rPr>
              <w:t>245</w:t>
            </w:r>
          </w:p>
        </w:tc>
        <w:tc>
          <w:tcPr>
            <w:tcW w:w="6102" w:type="dxa"/>
            <w:gridSpan w:val="2"/>
            <w:tcBorders>
              <w:top w:val="single" w:sz="4" w:space="0" w:color="auto"/>
              <w:left w:val="nil"/>
              <w:bottom w:val="single" w:sz="4" w:space="0" w:color="auto"/>
              <w:right w:val="single" w:sz="4" w:space="0" w:color="auto"/>
            </w:tcBorders>
            <w:shd w:val="clear" w:color="FDE9D9" w:fill="FFF2CC"/>
            <w:noWrap/>
            <w:vAlign w:val="center"/>
            <w:hideMark/>
          </w:tcPr>
          <w:p w:rsidR="00FE013B" w:rsidRDefault="00FE013B">
            <w:pPr>
              <w:rPr>
                <w:rFonts w:ascii="Calibri" w:hAnsi="Calibri" w:cs="Calibri"/>
                <w:color w:val="000000"/>
                <w:sz w:val="18"/>
                <w:szCs w:val="18"/>
              </w:rPr>
            </w:pPr>
            <w:r>
              <w:rPr>
                <w:rFonts w:ascii="Calibri" w:hAnsi="Calibri" w:cs="Calibri"/>
                <w:color w:val="000000"/>
                <w:sz w:val="18"/>
                <w:szCs w:val="18"/>
              </w:rPr>
              <w:t>Splátky půjčených prostředků od zřízených a podobných subjektů</w:t>
            </w:r>
          </w:p>
        </w:tc>
        <w:tc>
          <w:tcPr>
            <w:tcW w:w="992" w:type="dxa"/>
            <w:tcBorders>
              <w:top w:val="nil"/>
              <w:left w:val="nil"/>
              <w:bottom w:val="single" w:sz="4" w:space="0" w:color="auto"/>
              <w:right w:val="single" w:sz="4" w:space="0" w:color="auto"/>
            </w:tcBorders>
            <w:shd w:val="clear" w:color="FDE9D9" w:fill="FFF2CC"/>
            <w:noWrap/>
            <w:vAlign w:val="center"/>
            <w:hideMark/>
          </w:tcPr>
          <w:p w:rsidR="00FE013B" w:rsidRDefault="00FE013B">
            <w:pPr>
              <w:jc w:val="right"/>
              <w:rPr>
                <w:rFonts w:ascii="Calibri" w:hAnsi="Calibri" w:cs="Calibri"/>
                <w:color w:val="000000"/>
                <w:sz w:val="18"/>
                <w:szCs w:val="18"/>
              </w:rPr>
            </w:pPr>
            <w:r>
              <w:rPr>
                <w:rFonts w:ascii="Calibri" w:hAnsi="Calibri" w:cs="Calibri"/>
                <w:color w:val="000000"/>
                <w:sz w:val="18"/>
                <w:szCs w:val="18"/>
              </w:rPr>
              <w:t>0,00</w:t>
            </w:r>
          </w:p>
        </w:tc>
        <w:tc>
          <w:tcPr>
            <w:tcW w:w="992" w:type="dxa"/>
            <w:tcBorders>
              <w:top w:val="nil"/>
              <w:left w:val="nil"/>
              <w:bottom w:val="single" w:sz="4" w:space="0" w:color="auto"/>
              <w:right w:val="single" w:sz="4" w:space="0" w:color="auto"/>
            </w:tcBorders>
            <w:shd w:val="clear" w:color="FDE9D9" w:fill="FFF2CC"/>
            <w:noWrap/>
            <w:vAlign w:val="center"/>
            <w:hideMark/>
          </w:tcPr>
          <w:p w:rsidR="00FE013B" w:rsidRDefault="00FE013B">
            <w:pPr>
              <w:jc w:val="right"/>
              <w:rPr>
                <w:rFonts w:ascii="Calibri" w:hAnsi="Calibri" w:cs="Calibri"/>
                <w:color w:val="000000"/>
                <w:sz w:val="18"/>
                <w:szCs w:val="18"/>
              </w:rPr>
            </w:pPr>
            <w:r>
              <w:rPr>
                <w:rFonts w:ascii="Calibri" w:hAnsi="Calibri" w:cs="Calibri"/>
                <w:color w:val="000000"/>
                <w:sz w:val="18"/>
                <w:szCs w:val="18"/>
              </w:rPr>
              <w:t>0,00</w:t>
            </w:r>
          </w:p>
        </w:tc>
        <w:tc>
          <w:tcPr>
            <w:tcW w:w="993" w:type="dxa"/>
            <w:tcBorders>
              <w:top w:val="nil"/>
              <w:left w:val="nil"/>
              <w:bottom w:val="single" w:sz="4" w:space="0" w:color="auto"/>
              <w:right w:val="single" w:sz="4" w:space="0" w:color="auto"/>
            </w:tcBorders>
            <w:shd w:val="clear" w:color="FDE9D9" w:fill="FFF2CC"/>
            <w:noWrap/>
            <w:vAlign w:val="center"/>
            <w:hideMark/>
          </w:tcPr>
          <w:p w:rsidR="00FE013B" w:rsidRDefault="00FE013B">
            <w:pPr>
              <w:jc w:val="right"/>
              <w:rPr>
                <w:rFonts w:ascii="Calibri" w:hAnsi="Calibri" w:cs="Calibri"/>
                <w:color w:val="000000"/>
                <w:sz w:val="18"/>
                <w:szCs w:val="18"/>
              </w:rPr>
            </w:pPr>
            <w:r>
              <w:rPr>
                <w:rFonts w:ascii="Calibri" w:hAnsi="Calibri" w:cs="Calibri"/>
                <w:color w:val="000000"/>
                <w:sz w:val="18"/>
                <w:szCs w:val="18"/>
              </w:rPr>
              <w:t>0,00</w:t>
            </w:r>
          </w:p>
        </w:tc>
      </w:tr>
      <w:tr w:rsidR="00FE013B" w:rsidTr="00FE013B">
        <w:trPr>
          <w:trHeight w:val="375"/>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FE013B" w:rsidRDefault="00FE013B">
            <w:pPr>
              <w:rPr>
                <w:rFonts w:ascii="Calibri" w:hAnsi="Calibri" w:cs="Calibri"/>
                <w:color w:val="000000"/>
                <w:sz w:val="18"/>
                <w:szCs w:val="18"/>
              </w:rPr>
            </w:pPr>
            <w:r>
              <w:rPr>
                <w:rFonts w:ascii="Calibri" w:hAnsi="Calibri" w:cs="Calibri"/>
                <w:color w:val="000000"/>
                <w:sz w:val="18"/>
                <w:szCs w:val="18"/>
              </w:rPr>
              <w:t> </w:t>
            </w:r>
          </w:p>
        </w:tc>
        <w:tc>
          <w:tcPr>
            <w:tcW w:w="505" w:type="dxa"/>
            <w:tcBorders>
              <w:top w:val="nil"/>
              <w:left w:val="nil"/>
              <w:bottom w:val="single" w:sz="4" w:space="0" w:color="auto"/>
              <w:right w:val="single" w:sz="4" w:space="0" w:color="auto"/>
            </w:tcBorders>
            <w:shd w:val="clear" w:color="auto" w:fill="auto"/>
            <w:noWrap/>
            <w:vAlign w:val="center"/>
            <w:hideMark/>
          </w:tcPr>
          <w:p w:rsidR="00FE013B" w:rsidRDefault="00FE013B">
            <w:pPr>
              <w:jc w:val="right"/>
              <w:rPr>
                <w:rFonts w:ascii="Calibri" w:hAnsi="Calibri" w:cs="Calibri"/>
                <w:color w:val="000000"/>
                <w:sz w:val="18"/>
                <w:szCs w:val="18"/>
              </w:rPr>
            </w:pPr>
            <w:r>
              <w:rPr>
                <w:rFonts w:ascii="Calibri" w:hAnsi="Calibri" w:cs="Calibri"/>
                <w:color w:val="000000"/>
                <w:sz w:val="18"/>
                <w:szCs w:val="18"/>
              </w:rPr>
              <w:t>2451</w:t>
            </w:r>
          </w:p>
        </w:tc>
        <w:tc>
          <w:tcPr>
            <w:tcW w:w="5597" w:type="dxa"/>
            <w:tcBorders>
              <w:top w:val="nil"/>
              <w:left w:val="nil"/>
              <w:bottom w:val="single" w:sz="4" w:space="0" w:color="auto"/>
              <w:right w:val="single" w:sz="4" w:space="0" w:color="auto"/>
            </w:tcBorders>
            <w:shd w:val="clear" w:color="auto" w:fill="auto"/>
            <w:vAlign w:val="center"/>
            <w:hideMark/>
          </w:tcPr>
          <w:p w:rsidR="00FE013B" w:rsidRDefault="00FE013B">
            <w:pPr>
              <w:rPr>
                <w:rFonts w:ascii="Calibri" w:hAnsi="Calibri" w:cs="Calibri"/>
                <w:color w:val="000000"/>
                <w:sz w:val="18"/>
                <w:szCs w:val="18"/>
              </w:rPr>
            </w:pPr>
            <w:r>
              <w:rPr>
                <w:rFonts w:ascii="Calibri" w:hAnsi="Calibri" w:cs="Calibri"/>
                <w:color w:val="000000"/>
                <w:sz w:val="18"/>
                <w:szCs w:val="18"/>
              </w:rPr>
              <w:t>Splátky půjčených prostředků od příspěvkových organizací</w:t>
            </w:r>
          </w:p>
        </w:tc>
        <w:tc>
          <w:tcPr>
            <w:tcW w:w="992" w:type="dxa"/>
            <w:tcBorders>
              <w:top w:val="nil"/>
              <w:left w:val="nil"/>
              <w:bottom w:val="single" w:sz="4" w:space="0" w:color="auto"/>
              <w:right w:val="single" w:sz="4" w:space="0" w:color="auto"/>
            </w:tcBorders>
            <w:shd w:val="clear" w:color="auto" w:fill="auto"/>
            <w:noWrap/>
            <w:vAlign w:val="center"/>
            <w:hideMark/>
          </w:tcPr>
          <w:p w:rsidR="00FE013B" w:rsidRDefault="00FE013B">
            <w:pPr>
              <w:jc w:val="right"/>
              <w:rPr>
                <w:rFonts w:ascii="Calibri" w:hAnsi="Calibri" w:cs="Calibri"/>
                <w:color w:val="000000"/>
                <w:sz w:val="18"/>
                <w:szCs w:val="18"/>
              </w:rPr>
            </w:pPr>
            <w:r>
              <w:rPr>
                <w:rFonts w:ascii="Calibri" w:hAnsi="Calibri" w:cs="Calibri"/>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FE013B" w:rsidRDefault="00FE013B">
            <w:pPr>
              <w:jc w:val="right"/>
              <w:rPr>
                <w:rFonts w:ascii="Calibri" w:hAnsi="Calibri" w:cs="Calibri"/>
                <w:color w:val="000000"/>
                <w:sz w:val="18"/>
                <w:szCs w:val="18"/>
              </w:rPr>
            </w:pPr>
            <w:r>
              <w:rPr>
                <w:rFonts w:ascii="Calibri" w:hAnsi="Calibri" w:cs="Calibri"/>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FE013B" w:rsidRDefault="00FE013B">
            <w:pPr>
              <w:jc w:val="right"/>
              <w:rPr>
                <w:rFonts w:ascii="Calibri" w:hAnsi="Calibri" w:cs="Calibri"/>
                <w:color w:val="000000"/>
                <w:sz w:val="18"/>
                <w:szCs w:val="18"/>
              </w:rPr>
            </w:pPr>
            <w:r>
              <w:rPr>
                <w:rFonts w:ascii="Calibri" w:hAnsi="Calibri" w:cs="Calibri"/>
                <w:color w:val="000000"/>
                <w:sz w:val="18"/>
                <w:szCs w:val="18"/>
              </w:rPr>
              <w:t>0,00</w:t>
            </w:r>
          </w:p>
        </w:tc>
      </w:tr>
      <w:tr w:rsidR="00FE013B" w:rsidTr="00FE013B">
        <w:trPr>
          <w:trHeight w:val="300"/>
        </w:trPr>
        <w:tc>
          <w:tcPr>
            <w:tcW w:w="414" w:type="dxa"/>
            <w:tcBorders>
              <w:top w:val="nil"/>
              <w:left w:val="single" w:sz="4" w:space="0" w:color="auto"/>
              <w:bottom w:val="single" w:sz="4" w:space="0" w:color="auto"/>
              <w:right w:val="single" w:sz="4" w:space="0" w:color="auto"/>
            </w:tcBorders>
            <w:shd w:val="clear" w:color="FDE9D9" w:fill="FFF2CC"/>
            <w:noWrap/>
            <w:vAlign w:val="bottom"/>
            <w:hideMark/>
          </w:tcPr>
          <w:p w:rsidR="00FE013B" w:rsidRDefault="00FE013B">
            <w:pPr>
              <w:jc w:val="right"/>
              <w:rPr>
                <w:rFonts w:ascii="Calibri" w:hAnsi="Calibri" w:cs="Calibri"/>
                <w:color w:val="000000"/>
                <w:sz w:val="18"/>
                <w:szCs w:val="18"/>
              </w:rPr>
            </w:pPr>
            <w:r>
              <w:rPr>
                <w:rFonts w:ascii="Calibri" w:hAnsi="Calibri" w:cs="Calibri"/>
                <w:color w:val="000000"/>
                <w:sz w:val="18"/>
                <w:szCs w:val="18"/>
              </w:rPr>
              <w:t>246</w:t>
            </w:r>
          </w:p>
        </w:tc>
        <w:tc>
          <w:tcPr>
            <w:tcW w:w="6102" w:type="dxa"/>
            <w:gridSpan w:val="2"/>
            <w:tcBorders>
              <w:top w:val="single" w:sz="4" w:space="0" w:color="auto"/>
              <w:left w:val="nil"/>
              <w:bottom w:val="single" w:sz="4" w:space="0" w:color="auto"/>
              <w:right w:val="single" w:sz="4" w:space="0" w:color="auto"/>
            </w:tcBorders>
            <w:shd w:val="clear" w:color="FDE9D9" w:fill="FFF2CC"/>
            <w:noWrap/>
            <w:vAlign w:val="bottom"/>
            <w:hideMark/>
          </w:tcPr>
          <w:p w:rsidR="00FE013B" w:rsidRDefault="00FE013B">
            <w:pPr>
              <w:rPr>
                <w:rFonts w:ascii="Calibri" w:hAnsi="Calibri" w:cs="Calibri"/>
                <w:color w:val="000000"/>
                <w:sz w:val="18"/>
                <w:szCs w:val="18"/>
              </w:rPr>
            </w:pPr>
            <w:r>
              <w:rPr>
                <w:rFonts w:ascii="Calibri" w:hAnsi="Calibri" w:cs="Calibri"/>
                <w:color w:val="000000"/>
                <w:sz w:val="18"/>
                <w:szCs w:val="18"/>
              </w:rPr>
              <w:t>Splátky půjčených prostředků od obyvatelstva</w:t>
            </w:r>
          </w:p>
        </w:tc>
        <w:tc>
          <w:tcPr>
            <w:tcW w:w="992" w:type="dxa"/>
            <w:tcBorders>
              <w:top w:val="nil"/>
              <w:left w:val="nil"/>
              <w:bottom w:val="single" w:sz="4" w:space="0" w:color="auto"/>
              <w:right w:val="single" w:sz="4" w:space="0" w:color="auto"/>
            </w:tcBorders>
            <w:shd w:val="clear" w:color="FDE9D9" w:fill="FFF2CC"/>
            <w:noWrap/>
            <w:vAlign w:val="bottom"/>
            <w:hideMark/>
          </w:tcPr>
          <w:p w:rsidR="00FE013B" w:rsidRDefault="00FE013B">
            <w:pPr>
              <w:jc w:val="right"/>
              <w:rPr>
                <w:rFonts w:ascii="Calibri" w:hAnsi="Calibri" w:cs="Calibri"/>
                <w:color w:val="000000"/>
                <w:sz w:val="18"/>
                <w:szCs w:val="18"/>
              </w:rPr>
            </w:pPr>
            <w:r>
              <w:rPr>
                <w:rFonts w:ascii="Calibri" w:hAnsi="Calibri" w:cs="Calibri"/>
                <w:color w:val="000000"/>
                <w:sz w:val="18"/>
                <w:szCs w:val="18"/>
              </w:rPr>
              <w:t>194 865,00</w:t>
            </w:r>
          </w:p>
        </w:tc>
        <w:tc>
          <w:tcPr>
            <w:tcW w:w="992" w:type="dxa"/>
            <w:tcBorders>
              <w:top w:val="nil"/>
              <w:left w:val="nil"/>
              <w:bottom w:val="single" w:sz="4" w:space="0" w:color="auto"/>
              <w:right w:val="single" w:sz="4" w:space="0" w:color="auto"/>
            </w:tcBorders>
            <w:shd w:val="clear" w:color="FDE9D9" w:fill="FFF2CC"/>
            <w:noWrap/>
            <w:vAlign w:val="bottom"/>
            <w:hideMark/>
          </w:tcPr>
          <w:p w:rsidR="00FE013B" w:rsidRDefault="00FE013B">
            <w:pPr>
              <w:jc w:val="right"/>
              <w:rPr>
                <w:rFonts w:ascii="Calibri" w:hAnsi="Calibri" w:cs="Calibri"/>
                <w:color w:val="000000"/>
                <w:sz w:val="18"/>
                <w:szCs w:val="18"/>
              </w:rPr>
            </w:pPr>
            <w:r>
              <w:rPr>
                <w:rFonts w:ascii="Calibri" w:hAnsi="Calibri" w:cs="Calibri"/>
                <w:color w:val="000000"/>
                <w:sz w:val="18"/>
                <w:szCs w:val="18"/>
              </w:rPr>
              <w:t>236 623,00</w:t>
            </w:r>
          </w:p>
        </w:tc>
        <w:tc>
          <w:tcPr>
            <w:tcW w:w="993" w:type="dxa"/>
            <w:tcBorders>
              <w:top w:val="nil"/>
              <w:left w:val="nil"/>
              <w:bottom w:val="single" w:sz="4" w:space="0" w:color="auto"/>
              <w:right w:val="single" w:sz="4" w:space="0" w:color="auto"/>
            </w:tcBorders>
            <w:shd w:val="clear" w:color="FDE9D9" w:fill="FFF2CC"/>
            <w:noWrap/>
            <w:vAlign w:val="bottom"/>
            <w:hideMark/>
          </w:tcPr>
          <w:p w:rsidR="00FE013B" w:rsidRDefault="00FE013B">
            <w:pPr>
              <w:jc w:val="right"/>
              <w:rPr>
                <w:rFonts w:ascii="Calibri" w:hAnsi="Calibri" w:cs="Calibri"/>
                <w:color w:val="000000"/>
                <w:sz w:val="18"/>
                <w:szCs w:val="18"/>
              </w:rPr>
            </w:pPr>
            <w:r>
              <w:rPr>
                <w:rFonts w:ascii="Calibri" w:hAnsi="Calibri" w:cs="Calibri"/>
                <w:color w:val="000000"/>
                <w:sz w:val="18"/>
                <w:szCs w:val="18"/>
              </w:rPr>
              <w:t>240 252,00</w:t>
            </w:r>
          </w:p>
        </w:tc>
      </w:tr>
      <w:tr w:rsidR="00FE013B" w:rsidTr="00FE013B">
        <w:trPr>
          <w:trHeight w:val="300"/>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FE013B" w:rsidRDefault="00FE013B">
            <w:pPr>
              <w:rPr>
                <w:rFonts w:ascii="Calibri" w:hAnsi="Calibri" w:cs="Calibri"/>
                <w:color w:val="000000"/>
                <w:sz w:val="18"/>
                <w:szCs w:val="18"/>
              </w:rPr>
            </w:pPr>
            <w:r>
              <w:rPr>
                <w:rFonts w:ascii="Calibri" w:hAnsi="Calibri" w:cs="Calibri"/>
                <w:color w:val="000000"/>
                <w:sz w:val="18"/>
                <w:szCs w:val="18"/>
              </w:rPr>
              <w:t> </w:t>
            </w:r>
          </w:p>
        </w:tc>
        <w:tc>
          <w:tcPr>
            <w:tcW w:w="505" w:type="dxa"/>
            <w:tcBorders>
              <w:top w:val="nil"/>
              <w:left w:val="nil"/>
              <w:bottom w:val="single" w:sz="4" w:space="0" w:color="auto"/>
              <w:right w:val="single" w:sz="4" w:space="0" w:color="auto"/>
            </w:tcBorders>
            <w:shd w:val="clear" w:color="auto" w:fill="auto"/>
            <w:noWrap/>
            <w:vAlign w:val="bottom"/>
            <w:hideMark/>
          </w:tcPr>
          <w:p w:rsidR="00FE013B" w:rsidRDefault="00FE013B">
            <w:pPr>
              <w:jc w:val="right"/>
              <w:rPr>
                <w:rFonts w:ascii="Calibri" w:hAnsi="Calibri" w:cs="Calibri"/>
                <w:color w:val="000000"/>
                <w:sz w:val="18"/>
                <w:szCs w:val="18"/>
              </w:rPr>
            </w:pPr>
            <w:r>
              <w:rPr>
                <w:rFonts w:ascii="Calibri" w:hAnsi="Calibri" w:cs="Calibri"/>
                <w:color w:val="000000"/>
                <w:sz w:val="18"/>
                <w:szCs w:val="18"/>
              </w:rPr>
              <w:t>2460</w:t>
            </w:r>
          </w:p>
        </w:tc>
        <w:tc>
          <w:tcPr>
            <w:tcW w:w="5597" w:type="dxa"/>
            <w:tcBorders>
              <w:top w:val="nil"/>
              <w:left w:val="nil"/>
              <w:bottom w:val="single" w:sz="4" w:space="0" w:color="auto"/>
              <w:right w:val="single" w:sz="4" w:space="0" w:color="auto"/>
            </w:tcBorders>
            <w:shd w:val="clear" w:color="auto" w:fill="auto"/>
            <w:noWrap/>
            <w:vAlign w:val="bottom"/>
            <w:hideMark/>
          </w:tcPr>
          <w:p w:rsidR="00FE013B" w:rsidRDefault="00FE013B">
            <w:pPr>
              <w:rPr>
                <w:rFonts w:ascii="Calibri" w:hAnsi="Calibri" w:cs="Calibri"/>
                <w:color w:val="000000"/>
                <w:sz w:val="18"/>
                <w:szCs w:val="18"/>
              </w:rPr>
            </w:pPr>
            <w:r>
              <w:rPr>
                <w:rFonts w:ascii="Calibri" w:hAnsi="Calibri" w:cs="Calibri"/>
                <w:color w:val="000000"/>
                <w:sz w:val="18"/>
                <w:szCs w:val="18"/>
              </w:rPr>
              <w:t>Splátky půjčených prostředků od obyvatelstva</w:t>
            </w:r>
          </w:p>
        </w:tc>
        <w:tc>
          <w:tcPr>
            <w:tcW w:w="992" w:type="dxa"/>
            <w:tcBorders>
              <w:top w:val="nil"/>
              <w:left w:val="nil"/>
              <w:bottom w:val="single" w:sz="4" w:space="0" w:color="auto"/>
              <w:right w:val="single" w:sz="4" w:space="0" w:color="auto"/>
            </w:tcBorders>
            <w:shd w:val="clear" w:color="auto" w:fill="auto"/>
            <w:noWrap/>
            <w:vAlign w:val="bottom"/>
            <w:hideMark/>
          </w:tcPr>
          <w:p w:rsidR="00FE013B" w:rsidRDefault="00FE013B">
            <w:pPr>
              <w:jc w:val="right"/>
              <w:rPr>
                <w:rFonts w:ascii="Calibri" w:hAnsi="Calibri" w:cs="Calibri"/>
                <w:color w:val="000000"/>
                <w:sz w:val="18"/>
                <w:szCs w:val="18"/>
              </w:rPr>
            </w:pPr>
            <w:r>
              <w:rPr>
                <w:rFonts w:ascii="Calibri" w:hAnsi="Calibri" w:cs="Calibri"/>
                <w:color w:val="000000"/>
                <w:sz w:val="18"/>
                <w:szCs w:val="18"/>
              </w:rPr>
              <w:t>194 865,00</w:t>
            </w:r>
          </w:p>
        </w:tc>
        <w:tc>
          <w:tcPr>
            <w:tcW w:w="992" w:type="dxa"/>
            <w:tcBorders>
              <w:top w:val="nil"/>
              <w:left w:val="nil"/>
              <w:bottom w:val="single" w:sz="4" w:space="0" w:color="auto"/>
              <w:right w:val="single" w:sz="4" w:space="0" w:color="auto"/>
            </w:tcBorders>
            <w:shd w:val="clear" w:color="auto" w:fill="auto"/>
            <w:noWrap/>
            <w:vAlign w:val="bottom"/>
            <w:hideMark/>
          </w:tcPr>
          <w:p w:rsidR="00FE013B" w:rsidRDefault="00FE013B">
            <w:pPr>
              <w:jc w:val="right"/>
              <w:rPr>
                <w:rFonts w:ascii="Calibri" w:hAnsi="Calibri" w:cs="Calibri"/>
                <w:color w:val="000000"/>
                <w:sz w:val="18"/>
                <w:szCs w:val="18"/>
              </w:rPr>
            </w:pPr>
            <w:r>
              <w:rPr>
                <w:rFonts w:ascii="Calibri" w:hAnsi="Calibri" w:cs="Calibri"/>
                <w:color w:val="000000"/>
                <w:sz w:val="18"/>
                <w:szCs w:val="18"/>
              </w:rPr>
              <w:t>236 623,00</w:t>
            </w:r>
          </w:p>
        </w:tc>
        <w:tc>
          <w:tcPr>
            <w:tcW w:w="993" w:type="dxa"/>
            <w:tcBorders>
              <w:top w:val="nil"/>
              <w:left w:val="nil"/>
              <w:bottom w:val="single" w:sz="4" w:space="0" w:color="auto"/>
              <w:right w:val="single" w:sz="4" w:space="0" w:color="auto"/>
            </w:tcBorders>
            <w:shd w:val="clear" w:color="auto" w:fill="auto"/>
            <w:noWrap/>
            <w:vAlign w:val="bottom"/>
            <w:hideMark/>
          </w:tcPr>
          <w:p w:rsidR="00FE013B" w:rsidRDefault="00FE013B">
            <w:pPr>
              <w:jc w:val="right"/>
              <w:rPr>
                <w:rFonts w:ascii="Calibri" w:hAnsi="Calibri" w:cs="Calibri"/>
                <w:color w:val="000000"/>
                <w:sz w:val="18"/>
                <w:szCs w:val="18"/>
              </w:rPr>
            </w:pPr>
            <w:r>
              <w:rPr>
                <w:rFonts w:ascii="Calibri" w:hAnsi="Calibri" w:cs="Calibri"/>
                <w:color w:val="000000"/>
                <w:sz w:val="18"/>
                <w:szCs w:val="18"/>
              </w:rPr>
              <w:t>240 252,00</w:t>
            </w:r>
          </w:p>
        </w:tc>
      </w:tr>
    </w:tbl>
    <w:p w:rsidR="00061ECB" w:rsidRDefault="00061ECB" w:rsidP="00061ECB"/>
    <w:p w:rsidR="005B4A64" w:rsidRDefault="005B4A64" w:rsidP="00061ECB"/>
    <w:p w:rsidR="005B4A64" w:rsidRDefault="005B4A64" w:rsidP="00061ECB"/>
    <w:p w:rsidR="00FE013B" w:rsidRDefault="00FE013B" w:rsidP="00FE013B">
      <w:pPr>
        <w:jc w:val="center"/>
      </w:pPr>
      <w:r>
        <w:rPr>
          <w:noProof/>
        </w:rPr>
        <w:drawing>
          <wp:inline distT="0" distB="0" distL="0" distR="0" wp14:anchorId="08B7B4E9" wp14:editId="25A5133F">
            <wp:extent cx="4571365" cy="2776151"/>
            <wp:effectExtent l="0" t="0" r="635" b="5715"/>
            <wp:docPr id="24" name="Graf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E013B" w:rsidRDefault="00FE013B" w:rsidP="00061ECB"/>
    <w:p w:rsidR="00FE013B" w:rsidRDefault="00FE013B" w:rsidP="00061ECB"/>
    <w:p w:rsidR="00061ECB" w:rsidRDefault="00061ECB" w:rsidP="00061ECB"/>
    <w:p w:rsidR="00061ECB" w:rsidRDefault="00061ECB" w:rsidP="00061ECB"/>
    <w:p w:rsidR="00061ECB" w:rsidRPr="00061ECB" w:rsidRDefault="00061ECB" w:rsidP="00061ECB"/>
    <w:p w:rsidR="003936CB" w:rsidRDefault="003936CB" w:rsidP="003936CB">
      <w:pPr>
        <w:jc w:val="center"/>
      </w:pPr>
    </w:p>
    <w:p w:rsidR="003936CB" w:rsidRDefault="003936CB" w:rsidP="003936CB">
      <w:pPr>
        <w:jc w:val="center"/>
      </w:pPr>
    </w:p>
    <w:p w:rsidR="00D46DCD" w:rsidRDefault="00D46DCD" w:rsidP="003936CB">
      <w:pPr>
        <w:jc w:val="center"/>
      </w:pPr>
    </w:p>
    <w:p w:rsidR="002D4F4D" w:rsidRDefault="002D4F4D" w:rsidP="003936CB">
      <w:pPr>
        <w:jc w:val="center"/>
      </w:pPr>
    </w:p>
    <w:p w:rsidR="003936CB" w:rsidRDefault="003936CB" w:rsidP="003936CB">
      <w:pPr>
        <w:jc w:val="center"/>
      </w:pPr>
    </w:p>
    <w:p w:rsidR="004E040E" w:rsidRDefault="004E040E" w:rsidP="003936CB">
      <w:pPr>
        <w:jc w:val="center"/>
      </w:pPr>
    </w:p>
    <w:p w:rsidR="004E040E" w:rsidRDefault="004E040E" w:rsidP="003936CB">
      <w:pPr>
        <w:jc w:val="center"/>
      </w:pPr>
    </w:p>
    <w:p w:rsidR="003936CB" w:rsidRDefault="003936CB" w:rsidP="003936CB">
      <w:pPr>
        <w:jc w:val="center"/>
      </w:pPr>
    </w:p>
    <w:p w:rsidR="00AF4E49" w:rsidRDefault="00AF4E49" w:rsidP="003936CB">
      <w:pPr>
        <w:jc w:val="center"/>
      </w:pPr>
    </w:p>
    <w:p w:rsidR="003936CB" w:rsidRPr="00130374" w:rsidRDefault="00E03BA8" w:rsidP="00061ECB">
      <w:pPr>
        <w:pStyle w:val="Nadpis2"/>
        <w:keepLines/>
      </w:pPr>
      <w:bookmarkStart w:id="17" w:name="_Toc39129504"/>
      <w:r w:rsidRPr="00130374">
        <w:lastRenderedPageBreak/>
        <w:t xml:space="preserve">Třída 3: </w:t>
      </w:r>
      <w:r w:rsidR="003936CB" w:rsidRPr="00130374">
        <w:t>Kapitálové příjmy</w:t>
      </w:r>
      <w:r w:rsidR="00674616">
        <w:t xml:space="preserve"> (</w:t>
      </w:r>
      <w:r w:rsidR="00204411">
        <w:t>5,1</w:t>
      </w:r>
      <w:r w:rsidR="00A41823" w:rsidRPr="00130374">
        <w:t xml:space="preserve"> mil. Kč)</w:t>
      </w:r>
      <w:bookmarkEnd w:id="17"/>
    </w:p>
    <w:p w:rsidR="003936CB" w:rsidRPr="00130374" w:rsidRDefault="00674616" w:rsidP="004E040E">
      <w:pPr>
        <w:keepNext/>
        <w:keepLines/>
        <w:jc w:val="both"/>
        <w:rPr>
          <w:rFonts w:asciiTheme="minorHAnsi" w:hAnsiTheme="minorHAnsi" w:cstheme="minorHAnsi"/>
          <w:sz w:val="22"/>
          <w:szCs w:val="22"/>
        </w:rPr>
      </w:pPr>
      <w:r>
        <w:rPr>
          <w:rFonts w:asciiTheme="minorHAnsi" w:hAnsiTheme="minorHAnsi" w:cstheme="minorHAnsi"/>
          <w:sz w:val="22"/>
          <w:szCs w:val="22"/>
        </w:rPr>
        <w:t xml:space="preserve">Kapitálové příjmy </w:t>
      </w:r>
      <w:r w:rsidR="00E84F58">
        <w:rPr>
          <w:rFonts w:asciiTheme="minorHAnsi" w:hAnsiTheme="minorHAnsi" w:cstheme="minorHAnsi"/>
          <w:sz w:val="22"/>
          <w:szCs w:val="22"/>
        </w:rPr>
        <w:t xml:space="preserve">byly </w:t>
      </w:r>
      <w:r>
        <w:rPr>
          <w:rFonts w:asciiTheme="minorHAnsi" w:hAnsiTheme="minorHAnsi" w:cstheme="minorHAnsi"/>
          <w:sz w:val="22"/>
          <w:szCs w:val="22"/>
        </w:rPr>
        <w:t>v roce 202</w:t>
      </w:r>
      <w:r w:rsidR="00204411">
        <w:rPr>
          <w:rFonts w:asciiTheme="minorHAnsi" w:hAnsiTheme="minorHAnsi" w:cstheme="minorHAnsi"/>
          <w:sz w:val="22"/>
          <w:szCs w:val="22"/>
        </w:rPr>
        <w:t>2</w:t>
      </w:r>
      <w:r w:rsidR="003936CB" w:rsidRPr="00130374">
        <w:rPr>
          <w:rFonts w:asciiTheme="minorHAnsi" w:hAnsiTheme="minorHAnsi" w:cstheme="minorHAnsi"/>
          <w:sz w:val="22"/>
          <w:szCs w:val="22"/>
        </w:rPr>
        <w:t xml:space="preserve"> plněny na </w:t>
      </w:r>
      <w:r w:rsidR="00204411">
        <w:rPr>
          <w:rFonts w:asciiTheme="minorHAnsi" w:hAnsiTheme="minorHAnsi" w:cstheme="minorHAnsi"/>
          <w:sz w:val="22"/>
          <w:szCs w:val="22"/>
        </w:rPr>
        <w:t>107,67</w:t>
      </w:r>
      <w:r w:rsidR="003936CB" w:rsidRPr="00130374">
        <w:rPr>
          <w:rFonts w:asciiTheme="minorHAnsi" w:hAnsiTheme="minorHAnsi" w:cstheme="minorHAnsi"/>
          <w:sz w:val="22"/>
          <w:szCs w:val="22"/>
        </w:rPr>
        <w:t xml:space="preserve"> % a jejich podíl na celkových skutečný</w:t>
      </w:r>
      <w:r w:rsidR="00061ECB">
        <w:rPr>
          <w:rFonts w:asciiTheme="minorHAnsi" w:hAnsiTheme="minorHAnsi" w:cstheme="minorHAnsi"/>
          <w:sz w:val="22"/>
          <w:szCs w:val="22"/>
        </w:rPr>
        <w:t>ch příjmech po </w:t>
      </w:r>
      <w:r w:rsidR="00FF35E1">
        <w:rPr>
          <w:rFonts w:asciiTheme="minorHAnsi" w:hAnsiTheme="minorHAnsi" w:cstheme="minorHAnsi"/>
          <w:sz w:val="22"/>
          <w:szCs w:val="22"/>
        </w:rPr>
        <w:t>konsolidaci činil</w:t>
      </w:r>
      <w:r>
        <w:rPr>
          <w:rFonts w:asciiTheme="minorHAnsi" w:hAnsiTheme="minorHAnsi" w:cstheme="minorHAnsi"/>
          <w:sz w:val="22"/>
          <w:szCs w:val="22"/>
        </w:rPr>
        <w:t xml:space="preserve"> </w:t>
      </w:r>
      <w:r w:rsidR="00A02F05">
        <w:rPr>
          <w:rFonts w:asciiTheme="minorHAnsi" w:hAnsiTheme="minorHAnsi" w:cstheme="minorHAnsi"/>
          <w:sz w:val="22"/>
          <w:szCs w:val="22"/>
        </w:rPr>
        <w:t>0,</w:t>
      </w:r>
      <w:r w:rsidR="00204411">
        <w:rPr>
          <w:rFonts w:asciiTheme="minorHAnsi" w:hAnsiTheme="minorHAnsi" w:cstheme="minorHAnsi"/>
          <w:sz w:val="22"/>
          <w:szCs w:val="22"/>
        </w:rPr>
        <w:t>4</w:t>
      </w:r>
      <w:r w:rsidR="003936CB" w:rsidRPr="00130374">
        <w:rPr>
          <w:rFonts w:asciiTheme="minorHAnsi" w:hAnsiTheme="minorHAnsi" w:cstheme="minorHAnsi"/>
          <w:sz w:val="22"/>
          <w:szCs w:val="22"/>
        </w:rPr>
        <w:t xml:space="preserve"> %.</w:t>
      </w:r>
    </w:p>
    <w:p w:rsidR="00A41823" w:rsidRPr="00BE5757" w:rsidRDefault="00A41823" w:rsidP="004E040E">
      <w:pPr>
        <w:keepNext/>
        <w:keepLines/>
        <w:jc w:val="both"/>
        <w:rPr>
          <w:rFonts w:asciiTheme="minorHAnsi" w:hAnsiTheme="minorHAnsi" w:cstheme="minorHAnsi"/>
          <w:color w:val="A6A6A6" w:themeColor="background1" w:themeShade="A6"/>
          <w:sz w:val="22"/>
          <w:szCs w:val="22"/>
        </w:rPr>
      </w:pPr>
    </w:p>
    <w:p w:rsidR="00CF7937" w:rsidRPr="001F28BE" w:rsidRDefault="00CF7937" w:rsidP="00CF7937">
      <w:pPr>
        <w:pStyle w:val="Nadpis2"/>
      </w:pPr>
      <w:bookmarkStart w:id="18" w:name="_Toc39129505"/>
      <w:r w:rsidRPr="001F28BE">
        <w:t>P</w:t>
      </w:r>
      <w:r w:rsidR="00061ECB">
        <w:t>říjmy z prodeje pozemků</w:t>
      </w:r>
      <w:r w:rsidR="00FD688B" w:rsidRPr="001F28BE">
        <w:t xml:space="preserve"> (</w:t>
      </w:r>
      <w:r w:rsidR="00204411">
        <w:t>5 011,95</w:t>
      </w:r>
      <w:r w:rsidR="00FD688B" w:rsidRPr="001F28BE">
        <w:t xml:space="preserve"> tis. Kč)</w:t>
      </w:r>
      <w:bookmarkEnd w:id="18"/>
    </w:p>
    <w:p w:rsidR="00A41823" w:rsidRPr="00A02F05" w:rsidRDefault="00A41823" w:rsidP="006D5A4F">
      <w:pPr>
        <w:keepNext/>
        <w:keepLines/>
        <w:jc w:val="both"/>
        <w:rPr>
          <w:rFonts w:asciiTheme="minorHAnsi" w:hAnsiTheme="minorHAnsi" w:cstheme="minorHAnsi"/>
          <w:color w:val="A6A6A6" w:themeColor="background1" w:themeShade="A6"/>
          <w:sz w:val="22"/>
          <w:szCs w:val="22"/>
        </w:rPr>
      </w:pPr>
      <w:r w:rsidRPr="00061ECB">
        <w:rPr>
          <w:rFonts w:asciiTheme="minorHAnsi" w:hAnsiTheme="minorHAnsi" w:cstheme="minorHAnsi"/>
          <w:sz w:val="22"/>
          <w:szCs w:val="22"/>
        </w:rPr>
        <w:t xml:space="preserve">Kapitálové příjmy jsou tvořeny </w:t>
      </w:r>
      <w:r w:rsidR="005607E8">
        <w:rPr>
          <w:rFonts w:asciiTheme="minorHAnsi" w:hAnsiTheme="minorHAnsi" w:cstheme="minorHAnsi"/>
          <w:sz w:val="22"/>
          <w:szCs w:val="22"/>
        </w:rPr>
        <w:t>převážně</w:t>
      </w:r>
      <w:r w:rsidRPr="00061ECB">
        <w:rPr>
          <w:rFonts w:asciiTheme="minorHAnsi" w:hAnsiTheme="minorHAnsi" w:cstheme="minorHAnsi"/>
          <w:sz w:val="22"/>
          <w:szCs w:val="22"/>
        </w:rPr>
        <w:t xml:space="preserve"> příj</w:t>
      </w:r>
      <w:r w:rsidR="00AA2BCB" w:rsidRPr="00061ECB">
        <w:rPr>
          <w:rFonts w:asciiTheme="minorHAnsi" w:hAnsiTheme="minorHAnsi" w:cstheme="minorHAnsi"/>
          <w:sz w:val="22"/>
          <w:szCs w:val="22"/>
        </w:rPr>
        <w:t xml:space="preserve">my z prodeje pozemků. </w:t>
      </w:r>
    </w:p>
    <w:p w:rsidR="00896D4F" w:rsidRPr="00AA2BCB" w:rsidRDefault="00896D4F" w:rsidP="004E040E">
      <w:pPr>
        <w:keepNext/>
        <w:keepLines/>
        <w:jc w:val="both"/>
        <w:rPr>
          <w:rFonts w:asciiTheme="minorHAnsi" w:hAnsiTheme="minorHAnsi" w:cstheme="minorHAnsi"/>
          <w:sz w:val="22"/>
          <w:szCs w:val="22"/>
        </w:rPr>
      </w:pPr>
    </w:p>
    <w:p w:rsidR="000E2DA2" w:rsidRDefault="000E2DA2" w:rsidP="0024764D">
      <w:pPr>
        <w:pStyle w:val="Nadpis3"/>
        <w:rPr>
          <w:b w:val="0"/>
        </w:rPr>
      </w:pPr>
      <w:bookmarkStart w:id="19" w:name="_Toc39129506"/>
      <w:r w:rsidRPr="00C366C4">
        <w:rPr>
          <w:b w:val="0"/>
        </w:rPr>
        <w:t>Srovnání kapitálových příjmů v letech 201</w:t>
      </w:r>
      <w:r w:rsidR="00204411">
        <w:rPr>
          <w:b w:val="0"/>
        </w:rPr>
        <w:t>5</w:t>
      </w:r>
      <w:r w:rsidR="00D24B82" w:rsidRPr="00C366C4">
        <w:rPr>
          <w:b w:val="0"/>
        </w:rPr>
        <w:t xml:space="preserve"> – 202</w:t>
      </w:r>
      <w:r w:rsidR="00204411">
        <w:rPr>
          <w:b w:val="0"/>
        </w:rPr>
        <w:t>2</w:t>
      </w:r>
      <w:r w:rsidRPr="00C366C4">
        <w:rPr>
          <w:b w:val="0"/>
        </w:rPr>
        <w:t xml:space="preserve"> (v tis. Kč)</w:t>
      </w:r>
      <w:bookmarkEnd w:id="19"/>
    </w:p>
    <w:tbl>
      <w:tblPr>
        <w:tblW w:w="9351" w:type="dxa"/>
        <w:tblCellMar>
          <w:left w:w="70" w:type="dxa"/>
          <w:right w:w="70" w:type="dxa"/>
        </w:tblCellMar>
        <w:tblLook w:val="04A0" w:firstRow="1" w:lastRow="0" w:firstColumn="1" w:lastColumn="0" w:noHBand="0" w:noVBand="1"/>
      </w:tblPr>
      <w:tblGrid>
        <w:gridCol w:w="3681"/>
        <w:gridCol w:w="709"/>
        <w:gridCol w:w="708"/>
        <w:gridCol w:w="709"/>
        <w:gridCol w:w="709"/>
        <w:gridCol w:w="709"/>
        <w:gridCol w:w="708"/>
        <w:gridCol w:w="709"/>
        <w:gridCol w:w="709"/>
      </w:tblGrid>
      <w:tr w:rsidR="00204411" w:rsidTr="00E86106">
        <w:trPr>
          <w:trHeight w:val="300"/>
        </w:trPr>
        <w:tc>
          <w:tcPr>
            <w:tcW w:w="3681" w:type="dxa"/>
            <w:tcBorders>
              <w:top w:val="single" w:sz="4" w:space="0" w:color="auto"/>
              <w:left w:val="single" w:sz="4" w:space="0" w:color="auto"/>
              <w:bottom w:val="single" w:sz="4" w:space="0" w:color="auto"/>
              <w:right w:val="single" w:sz="4" w:space="0" w:color="auto"/>
            </w:tcBorders>
            <w:shd w:val="clear" w:color="D6A100" w:fill="FFC000"/>
            <w:noWrap/>
            <w:vAlign w:val="bottom"/>
            <w:hideMark/>
          </w:tcPr>
          <w:p w:rsidR="00204411" w:rsidRDefault="00204411">
            <w:pPr>
              <w:rPr>
                <w:rFonts w:ascii="Calibri" w:hAnsi="Calibri" w:cs="Calibri"/>
                <w:color w:val="000000"/>
                <w:sz w:val="18"/>
                <w:szCs w:val="18"/>
              </w:rPr>
            </w:pPr>
            <w:r>
              <w:rPr>
                <w:rFonts w:ascii="Calibri" w:hAnsi="Calibri" w:cs="Calibri"/>
                <w:color w:val="000000"/>
                <w:sz w:val="18"/>
                <w:szCs w:val="18"/>
              </w:rPr>
              <w:t> </w:t>
            </w:r>
          </w:p>
        </w:tc>
        <w:tc>
          <w:tcPr>
            <w:tcW w:w="709" w:type="dxa"/>
            <w:tcBorders>
              <w:top w:val="single" w:sz="4" w:space="0" w:color="auto"/>
              <w:left w:val="nil"/>
              <w:bottom w:val="single" w:sz="4" w:space="0" w:color="auto"/>
              <w:right w:val="single" w:sz="4" w:space="0" w:color="auto"/>
            </w:tcBorders>
            <w:shd w:val="clear" w:color="D6A100" w:fill="FFC000"/>
            <w:noWrap/>
            <w:vAlign w:val="bottom"/>
            <w:hideMark/>
          </w:tcPr>
          <w:p w:rsidR="00204411" w:rsidRDefault="00204411">
            <w:pPr>
              <w:jc w:val="center"/>
              <w:rPr>
                <w:rFonts w:ascii="Calibri" w:hAnsi="Calibri" w:cs="Calibri"/>
                <w:color w:val="000000"/>
                <w:sz w:val="18"/>
                <w:szCs w:val="18"/>
              </w:rPr>
            </w:pPr>
            <w:r>
              <w:rPr>
                <w:rFonts w:ascii="Calibri" w:hAnsi="Calibri" w:cs="Calibri"/>
                <w:color w:val="000000"/>
                <w:sz w:val="18"/>
                <w:szCs w:val="18"/>
              </w:rPr>
              <w:t>2015</w:t>
            </w:r>
          </w:p>
        </w:tc>
        <w:tc>
          <w:tcPr>
            <w:tcW w:w="708" w:type="dxa"/>
            <w:tcBorders>
              <w:top w:val="single" w:sz="4" w:space="0" w:color="auto"/>
              <w:left w:val="nil"/>
              <w:bottom w:val="single" w:sz="4" w:space="0" w:color="auto"/>
              <w:right w:val="single" w:sz="4" w:space="0" w:color="auto"/>
            </w:tcBorders>
            <w:shd w:val="clear" w:color="D6A100" w:fill="FFC000"/>
            <w:noWrap/>
            <w:vAlign w:val="bottom"/>
            <w:hideMark/>
          </w:tcPr>
          <w:p w:rsidR="00204411" w:rsidRDefault="00204411">
            <w:pPr>
              <w:jc w:val="center"/>
              <w:rPr>
                <w:rFonts w:ascii="Calibri" w:hAnsi="Calibri" w:cs="Calibri"/>
                <w:color w:val="000000"/>
                <w:sz w:val="18"/>
                <w:szCs w:val="18"/>
              </w:rPr>
            </w:pPr>
            <w:r>
              <w:rPr>
                <w:rFonts w:ascii="Calibri" w:hAnsi="Calibri" w:cs="Calibri"/>
                <w:color w:val="000000"/>
                <w:sz w:val="18"/>
                <w:szCs w:val="18"/>
              </w:rPr>
              <w:t>2016</w:t>
            </w:r>
          </w:p>
        </w:tc>
        <w:tc>
          <w:tcPr>
            <w:tcW w:w="709" w:type="dxa"/>
            <w:tcBorders>
              <w:top w:val="single" w:sz="4" w:space="0" w:color="auto"/>
              <w:left w:val="nil"/>
              <w:bottom w:val="single" w:sz="4" w:space="0" w:color="auto"/>
              <w:right w:val="single" w:sz="4" w:space="0" w:color="auto"/>
            </w:tcBorders>
            <w:shd w:val="clear" w:color="D6A100" w:fill="FFC000"/>
            <w:noWrap/>
            <w:vAlign w:val="bottom"/>
            <w:hideMark/>
          </w:tcPr>
          <w:p w:rsidR="00204411" w:rsidRDefault="00204411">
            <w:pPr>
              <w:jc w:val="center"/>
              <w:rPr>
                <w:rFonts w:ascii="Calibri" w:hAnsi="Calibri" w:cs="Calibri"/>
                <w:color w:val="000000"/>
                <w:sz w:val="18"/>
                <w:szCs w:val="18"/>
              </w:rPr>
            </w:pPr>
            <w:r>
              <w:rPr>
                <w:rFonts w:ascii="Calibri" w:hAnsi="Calibri" w:cs="Calibri"/>
                <w:color w:val="000000"/>
                <w:sz w:val="18"/>
                <w:szCs w:val="18"/>
              </w:rPr>
              <w:t>2017</w:t>
            </w:r>
          </w:p>
        </w:tc>
        <w:tc>
          <w:tcPr>
            <w:tcW w:w="709" w:type="dxa"/>
            <w:tcBorders>
              <w:top w:val="single" w:sz="4" w:space="0" w:color="auto"/>
              <w:left w:val="nil"/>
              <w:bottom w:val="single" w:sz="4" w:space="0" w:color="auto"/>
              <w:right w:val="single" w:sz="4" w:space="0" w:color="auto"/>
            </w:tcBorders>
            <w:shd w:val="clear" w:color="D6A100" w:fill="FFC000"/>
            <w:noWrap/>
            <w:vAlign w:val="bottom"/>
            <w:hideMark/>
          </w:tcPr>
          <w:p w:rsidR="00204411" w:rsidRDefault="00204411">
            <w:pPr>
              <w:jc w:val="center"/>
              <w:rPr>
                <w:rFonts w:ascii="Calibri" w:hAnsi="Calibri" w:cs="Calibri"/>
                <w:color w:val="000000"/>
                <w:sz w:val="18"/>
                <w:szCs w:val="18"/>
              </w:rPr>
            </w:pPr>
            <w:r>
              <w:rPr>
                <w:rFonts w:ascii="Calibri" w:hAnsi="Calibri" w:cs="Calibri"/>
                <w:color w:val="000000"/>
                <w:sz w:val="18"/>
                <w:szCs w:val="18"/>
              </w:rPr>
              <w:t>2018</w:t>
            </w:r>
          </w:p>
        </w:tc>
        <w:tc>
          <w:tcPr>
            <w:tcW w:w="709" w:type="dxa"/>
            <w:tcBorders>
              <w:top w:val="single" w:sz="4" w:space="0" w:color="auto"/>
              <w:left w:val="nil"/>
              <w:bottom w:val="single" w:sz="4" w:space="0" w:color="auto"/>
              <w:right w:val="single" w:sz="4" w:space="0" w:color="auto"/>
            </w:tcBorders>
            <w:shd w:val="clear" w:color="D6A100" w:fill="FFC000"/>
            <w:noWrap/>
            <w:vAlign w:val="bottom"/>
            <w:hideMark/>
          </w:tcPr>
          <w:p w:rsidR="00204411" w:rsidRDefault="00204411">
            <w:pPr>
              <w:jc w:val="center"/>
              <w:rPr>
                <w:rFonts w:ascii="Calibri" w:hAnsi="Calibri" w:cs="Calibri"/>
                <w:color w:val="000000"/>
                <w:sz w:val="18"/>
                <w:szCs w:val="18"/>
              </w:rPr>
            </w:pPr>
            <w:r>
              <w:rPr>
                <w:rFonts w:ascii="Calibri" w:hAnsi="Calibri" w:cs="Calibri"/>
                <w:color w:val="000000"/>
                <w:sz w:val="18"/>
                <w:szCs w:val="18"/>
              </w:rPr>
              <w:t>2019</w:t>
            </w:r>
          </w:p>
        </w:tc>
        <w:tc>
          <w:tcPr>
            <w:tcW w:w="708" w:type="dxa"/>
            <w:tcBorders>
              <w:top w:val="single" w:sz="4" w:space="0" w:color="auto"/>
              <w:left w:val="nil"/>
              <w:bottom w:val="single" w:sz="4" w:space="0" w:color="auto"/>
              <w:right w:val="single" w:sz="4" w:space="0" w:color="auto"/>
            </w:tcBorders>
            <w:shd w:val="clear" w:color="D6A100" w:fill="FFC000"/>
            <w:noWrap/>
            <w:vAlign w:val="bottom"/>
            <w:hideMark/>
          </w:tcPr>
          <w:p w:rsidR="00204411" w:rsidRDefault="00204411">
            <w:pPr>
              <w:jc w:val="center"/>
              <w:rPr>
                <w:rFonts w:ascii="Calibri" w:hAnsi="Calibri" w:cs="Calibri"/>
                <w:color w:val="000000"/>
                <w:sz w:val="18"/>
                <w:szCs w:val="18"/>
              </w:rPr>
            </w:pPr>
            <w:r>
              <w:rPr>
                <w:rFonts w:ascii="Calibri" w:hAnsi="Calibri" w:cs="Calibri"/>
                <w:color w:val="000000"/>
                <w:sz w:val="18"/>
                <w:szCs w:val="18"/>
              </w:rPr>
              <w:t>2020</w:t>
            </w:r>
          </w:p>
        </w:tc>
        <w:tc>
          <w:tcPr>
            <w:tcW w:w="709" w:type="dxa"/>
            <w:tcBorders>
              <w:top w:val="single" w:sz="4" w:space="0" w:color="auto"/>
              <w:left w:val="nil"/>
              <w:bottom w:val="single" w:sz="4" w:space="0" w:color="auto"/>
              <w:right w:val="single" w:sz="4" w:space="0" w:color="auto"/>
            </w:tcBorders>
            <w:shd w:val="clear" w:color="D6A100" w:fill="FFC000"/>
            <w:noWrap/>
            <w:vAlign w:val="bottom"/>
            <w:hideMark/>
          </w:tcPr>
          <w:p w:rsidR="00204411" w:rsidRDefault="00204411">
            <w:pPr>
              <w:jc w:val="center"/>
              <w:rPr>
                <w:rFonts w:ascii="Calibri" w:hAnsi="Calibri" w:cs="Calibri"/>
                <w:color w:val="000000"/>
                <w:sz w:val="18"/>
                <w:szCs w:val="18"/>
              </w:rPr>
            </w:pPr>
            <w:r>
              <w:rPr>
                <w:rFonts w:ascii="Calibri" w:hAnsi="Calibri" w:cs="Calibri"/>
                <w:color w:val="000000"/>
                <w:sz w:val="18"/>
                <w:szCs w:val="18"/>
              </w:rPr>
              <w:t>2021</w:t>
            </w:r>
          </w:p>
        </w:tc>
        <w:tc>
          <w:tcPr>
            <w:tcW w:w="709" w:type="dxa"/>
            <w:tcBorders>
              <w:top w:val="single" w:sz="4" w:space="0" w:color="auto"/>
              <w:left w:val="nil"/>
              <w:bottom w:val="single" w:sz="4" w:space="0" w:color="auto"/>
              <w:right w:val="single" w:sz="4" w:space="0" w:color="auto"/>
            </w:tcBorders>
            <w:shd w:val="clear" w:color="D6A100" w:fill="FFC000"/>
            <w:noWrap/>
            <w:vAlign w:val="bottom"/>
            <w:hideMark/>
          </w:tcPr>
          <w:p w:rsidR="00204411" w:rsidRDefault="00204411">
            <w:pPr>
              <w:jc w:val="center"/>
              <w:rPr>
                <w:rFonts w:ascii="Calibri" w:hAnsi="Calibri" w:cs="Calibri"/>
                <w:color w:val="000000"/>
                <w:sz w:val="18"/>
                <w:szCs w:val="18"/>
              </w:rPr>
            </w:pPr>
            <w:r>
              <w:rPr>
                <w:rFonts w:ascii="Calibri" w:hAnsi="Calibri" w:cs="Calibri"/>
                <w:color w:val="000000"/>
                <w:sz w:val="18"/>
                <w:szCs w:val="18"/>
              </w:rPr>
              <w:t>2022</w:t>
            </w:r>
          </w:p>
        </w:tc>
      </w:tr>
      <w:tr w:rsidR="00204411" w:rsidTr="00E86106">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204411" w:rsidRDefault="00204411">
            <w:pPr>
              <w:rPr>
                <w:rFonts w:ascii="Calibri" w:hAnsi="Calibri" w:cs="Calibri"/>
                <w:color w:val="000000"/>
                <w:sz w:val="18"/>
                <w:szCs w:val="18"/>
              </w:rPr>
            </w:pPr>
            <w:r>
              <w:rPr>
                <w:rFonts w:ascii="Calibri" w:hAnsi="Calibri" w:cs="Calibri"/>
                <w:color w:val="000000"/>
                <w:sz w:val="18"/>
                <w:szCs w:val="18"/>
              </w:rPr>
              <w:t>Příjmy z prodeje pozemků</w:t>
            </w:r>
          </w:p>
        </w:tc>
        <w:tc>
          <w:tcPr>
            <w:tcW w:w="709" w:type="dxa"/>
            <w:tcBorders>
              <w:top w:val="nil"/>
              <w:left w:val="nil"/>
              <w:bottom w:val="single" w:sz="4" w:space="0" w:color="auto"/>
              <w:right w:val="single" w:sz="4" w:space="0" w:color="auto"/>
            </w:tcBorders>
            <w:shd w:val="clear" w:color="auto" w:fill="auto"/>
            <w:noWrap/>
            <w:vAlign w:val="bottom"/>
            <w:hideMark/>
          </w:tcPr>
          <w:p w:rsidR="00204411" w:rsidRDefault="00204411">
            <w:pPr>
              <w:jc w:val="right"/>
              <w:rPr>
                <w:rFonts w:ascii="Calibri" w:hAnsi="Calibri" w:cs="Calibri"/>
                <w:color w:val="000000"/>
                <w:sz w:val="18"/>
                <w:szCs w:val="18"/>
              </w:rPr>
            </w:pPr>
            <w:r>
              <w:rPr>
                <w:rFonts w:ascii="Calibri" w:hAnsi="Calibri" w:cs="Calibri"/>
                <w:color w:val="000000"/>
                <w:sz w:val="18"/>
                <w:szCs w:val="18"/>
              </w:rPr>
              <w:t>7 619</w:t>
            </w:r>
          </w:p>
        </w:tc>
        <w:tc>
          <w:tcPr>
            <w:tcW w:w="708" w:type="dxa"/>
            <w:tcBorders>
              <w:top w:val="nil"/>
              <w:left w:val="nil"/>
              <w:bottom w:val="single" w:sz="4" w:space="0" w:color="auto"/>
              <w:right w:val="single" w:sz="4" w:space="0" w:color="auto"/>
            </w:tcBorders>
            <w:shd w:val="clear" w:color="auto" w:fill="auto"/>
            <w:noWrap/>
            <w:vAlign w:val="bottom"/>
            <w:hideMark/>
          </w:tcPr>
          <w:p w:rsidR="00204411" w:rsidRDefault="00204411">
            <w:pPr>
              <w:jc w:val="right"/>
              <w:rPr>
                <w:rFonts w:ascii="Calibri" w:hAnsi="Calibri" w:cs="Calibri"/>
                <w:color w:val="000000"/>
                <w:sz w:val="18"/>
                <w:szCs w:val="18"/>
              </w:rPr>
            </w:pPr>
            <w:r>
              <w:rPr>
                <w:rFonts w:ascii="Calibri" w:hAnsi="Calibri" w:cs="Calibri"/>
                <w:color w:val="000000"/>
                <w:sz w:val="18"/>
                <w:szCs w:val="18"/>
              </w:rPr>
              <w:t>1 433</w:t>
            </w:r>
          </w:p>
        </w:tc>
        <w:tc>
          <w:tcPr>
            <w:tcW w:w="709" w:type="dxa"/>
            <w:tcBorders>
              <w:top w:val="nil"/>
              <w:left w:val="nil"/>
              <w:bottom w:val="single" w:sz="4" w:space="0" w:color="auto"/>
              <w:right w:val="single" w:sz="4" w:space="0" w:color="auto"/>
            </w:tcBorders>
            <w:shd w:val="clear" w:color="auto" w:fill="auto"/>
            <w:noWrap/>
            <w:vAlign w:val="bottom"/>
            <w:hideMark/>
          </w:tcPr>
          <w:p w:rsidR="00204411" w:rsidRDefault="00204411">
            <w:pPr>
              <w:jc w:val="right"/>
              <w:rPr>
                <w:rFonts w:ascii="Calibri" w:hAnsi="Calibri" w:cs="Calibri"/>
                <w:color w:val="000000"/>
                <w:sz w:val="18"/>
                <w:szCs w:val="18"/>
              </w:rPr>
            </w:pPr>
            <w:r>
              <w:rPr>
                <w:rFonts w:ascii="Calibri" w:hAnsi="Calibri" w:cs="Calibri"/>
                <w:color w:val="000000"/>
                <w:sz w:val="18"/>
                <w:szCs w:val="18"/>
              </w:rPr>
              <w:t>6 797</w:t>
            </w:r>
          </w:p>
        </w:tc>
        <w:tc>
          <w:tcPr>
            <w:tcW w:w="709" w:type="dxa"/>
            <w:tcBorders>
              <w:top w:val="nil"/>
              <w:left w:val="nil"/>
              <w:bottom w:val="single" w:sz="4" w:space="0" w:color="auto"/>
              <w:right w:val="single" w:sz="4" w:space="0" w:color="auto"/>
            </w:tcBorders>
            <w:shd w:val="clear" w:color="auto" w:fill="auto"/>
            <w:noWrap/>
            <w:vAlign w:val="bottom"/>
            <w:hideMark/>
          </w:tcPr>
          <w:p w:rsidR="00204411" w:rsidRDefault="00204411">
            <w:pPr>
              <w:jc w:val="right"/>
              <w:rPr>
                <w:rFonts w:ascii="Calibri" w:hAnsi="Calibri" w:cs="Calibri"/>
                <w:color w:val="000000"/>
                <w:sz w:val="18"/>
                <w:szCs w:val="18"/>
              </w:rPr>
            </w:pPr>
            <w:r>
              <w:rPr>
                <w:rFonts w:ascii="Calibri" w:hAnsi="Calibri" w:cs="Calibri"/>
                <w:color w:val="000000"/>
                <w:sz w:val="18"/>
                <w:szCs w:val="18"/>
              </w:rPr>
              <w:t>88 555</w:t>
            </w:r>
          </w:p>
        </w:tc>
        <w:tc>
          <w:tcPr>
            <w:tcW w:w="709" w:type="dxa"/>
            <w:tcBorders>
              <w:top w:val="nil"/>
              <w:left w:val="nil"/>
              <w:bottom w:val="single" w:sz="4" w:space="0" w:color="auto"/>
              <w:right w:val="single" w:sz="4" w:space="0" w:color="auto"/>
            </w:tcBorders>
            <w:shd w:val="clear" w:color="auto" w:fill="auto"/>
            <w:noWrap/>
            <w:vAlign w:val="bottom"/>
            <w:hideMark/>
          </w:tcPr>
          <w:p w:rsidR="00204411" w:rsidRDefault="00204411">
            <w:pPr>
              <w:jc w:val="right"/>
              <w:rPr>
                <w:rFonts w:ascii="Calibri" w:hAnsi="Calibri" w:cs="Calibri"/>
                <w:color w:val="000000"/>
                <w:sz w:val="18"/>
                <w:szCs w:val="18"/>
              </w:rPr>
            </w:pPr>
            <w:r>
              <w:rPr>
                <w:rFonts w:ascii="Calibri" w:hAnsi="Calibri" w:cs="Calibri"/>
                <w:color w:val="000000"/>
                <w:sz w:val="18"/>
                <w:szCs w:val="18"/>
              </w:rPr>
              <w:t>20 244</w:t>
            </w:r>
          </w:p>
        </w:tc>
        <w:tc>
          <w:tcPr>
            <w:tcW w:w="708" w:type="dxa"/>
            <w:tcBorders>
              <w:top w:val="nil"/>
              <w:left w:val="nil"/>
              <w:bottom w:val="single" w:sz="4" w:space="0" w:color="auto"/>
              <w:right w:val="single" w:sz="4" w:space="0" w:color="auto"/>
            </w:tcBorders>
            <w:shd w:val="clear" w:color="auto" w:fill="auto"/>
            <w:noWrap/>
            <w:vAlign w:val="bottom"/>
            <w:hideMark/>
          </w:tcPr>
          <w:p w:rsidR="00204411" w:rsidRDefault="00204411">
            <w:pPr>
              <w:jc w:val="right"/>
              <w:rPr>
                <w:rFonts w:ascii="Calibri" w:hAnsi="Calibri" w:cs="Calibri"/>
                <w:color w:val="000000"/>
                <w:sz w:val="18"/>
                <w:szCs w:val="18"/>
              </w:rPr>
            </w:pPr>
            <w:r>
              <w:rPr>
                <w:rFonts w:ascii="Calibri" w:hAnsi="Calibri" w:cs="Calibri"/>
                <w:color w:val="000000"/>
                <w:sz w:val="18"/>
                <w:szCs w:val="18"/>
              </w:rPr>
              <w:t>14 415</w:t>
            </w:r>
          </w:p>
        </w:tc>
        <w:tc>
          <w:tcPr>
            <w:tcW w:w="709" w:type="dxa"/>
            <w:tcBorders>
              <w:top w:val="nil"/>
              <w:left w:val="nil"/>
              <w:bottom w:val="single" w:sz="4" w:space="0" w:color="auto"/>
              <w:right w:val="single" w:sz="4" w:space="0" w:color="auto"/>
            </w:tcBorders>
            <w:shd w:val="clear" w:color="auto" w:fill="auto"/>
            <w:noWrap/>
            <w:vAlign w:val="bottom"/>
            <w:hideMark/>
          </w:tcPr>
          <w:p w:rsidR="00204411" w:rsidRDefault="00204411">
            <w:pPr>
              <w:jc w:val="right"/>
              <w:rPr>
                <w:rFonts w:ascii="Calibri" w:hAnsi="Calibri" w:cs="Calibri"/>
                <w:color w:val="000000"/>
                <w:sz w:val="18"/>
                <w:szCs w:val="18"/>
              </w:rPr>
            </w:pPr>
            <w:r>
              <w:rPr>
                <w:rFonts w:ascii="Calibri" w:hAnsi="Calibri" w:cs="Calibri"/>
                <w:color w:val="000000"/>
                <w:sz w:val="18"/>
                <w:szCs w:val="18"/>
              </w:rPr>
              <w:t>6 015</w:t>
            </w:r>
          </w:p>
        </w:tc>
        <w:tc>
          <w:tcPr>
            <w:tcW w:w="709" w:type="dxa"/>
            <w:tcBorders>
              <w:top w:val="nil"/>
              <w:left w:val="nil"/>
              <w:bottom w:val="single" w:sz="4" w:space="0" w:color="auto"/>
              <w:right w:val="single" w:sz="4" w:space="0" w:color="auto"/>
            </w:tcBorders>
            <w:shd w:val="clear" w:color="auto" w:fill="auto"/>
            <w:noWrap/>
            <w:vAlign w:val="bottom"/>
            <w:hideMark/>
          </w:tcPr>
          <w:p w:rsidR="00204411" w:rsidRDefault="00204411">
            <w:pPr>
              <w:jc w:val="right"/>
              <w:rPr>
                <w:rFonts w:ascii="Calibri" w:hAnsi="Calibri" w:cs="Calibri"/>
                <w:color w:val="000000"/>
                <w:sz w:val="18"/>
                <w:szCs w:val="18"/>
              </w:rPr>
            </w:pPr>
            <w:r>
              <w:rPr>
                <w:rFonts w:ascii="Calibri" w:hAnsi="Calibri" w:cs="Calibri"/>
                <w:color w:val="000000"/>
                <w:sz w:val="18"/>
                <w:szCs w:val="18"/>
              </w:rPr>
              <w:t>5 012</w:t>
            </w:r>
          </w:p>
        </w:tc>
      </w:tr>
      <w:tr w:rsidR="00204411" w:rsidTr="00E86106">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204411" w:rsidRDefault="00204411">
            <w:pPr>
              <w:rPr>
                <w:rFonts w:ascii="Calibri" w:hAnsi="Calibri" w:cs="Calibri"/>
                <w:color w:val="000000"/>
                <w:sz w:val="18"/>
                <w:szCs w:val="18"/>
              </w:rPr>
            </w:pPr>
            <w:r>
              <w:rPr>
                <w:rFonts w:ascii="Calibri" w:hAnsi="Calibri" w:cs="Calibri"/>
                <w:color w:val="000000"/>
                <w:sz w:val="18"/>
                <w:szCs w:val="18"/>
              </w:rPr>
              <w:t>Příjmy z prodeje ostatních nemovitostí</w:t>
            </w:r>
          </w:p>
        </w:tc>
        <w:tc>
          <w:tcPr>
            <w:tcW w:w="709" w:type="dxa"/>
            <w:tcBorders>
              <w:top w:val="nil"/>
              <w:left w:val="nil"/>
              <w:bottom w:val="single" w:sz="4" w:space="0" w:color="auto"/>
              <w:right w:val="single" w:sz="4" w:space="0" w:color="auto"/>
            </w:tcBorders>
            <w:shd w:val="clear" w:color="auto" w:fill="auto"/>
            <w:noWrap/>
            <w:vAlign w:val="bottom"/>
            <w:hideMark/>
          </w:tcPr>
          <w:p w:rsidR="00204411" w:rsidRDefault="00204411">
            <w:pPr>
              <w:jc w:val="right"/>
              <w:rPr>
                <w:rFonts w:ascii="Calibri" w:hAnsi="Calibri" w:cs="Calibri"/>
                <w:color w:val="000000"/>
                <w:sz w:val="18"/>
                <w:szCs w:val="18"/>
              </w:rPr>
            </w:pPr>
            <w:r>
              <w:rPr>
                <w:rFonts w:ascii="Calibri" w:hAnsi="Calibri" w:cs="Calibri"/>
                <w:color w:val="000000"/>
                <w:sz w:val="18"/>
                <w:szCs w:val="18"/>
              </w:rPr>
              <w:t>2 923</w:t>
            </w:r>
          </w:p>
        </w:tc>
        <w:tc>
          <w:tcPr>
            <w:tcW w:w="708" w:type="dxa"/>
            <w:tcBorders>
              <w:top w:val="nil"/>
              <w:left w:val="nil"/>
              <w:bottom w:val="single" w:sz="4" w:space="0" w:color="auto"/>
              <w:right w:val="single" w:sz="4" w:space="0" w:color="auto"/>
            </w:tcBorders>
            <w:shd w:val="clear" w:color="auto" w:fill="auto"/>
            <w:noWrap/>
            <w:vAlign w:val="bottom"/>
            <w:hideMark/>
          </w:tcPr>
          <w:p w:rsidR="00204411" w:rsidRDefault="00204411">
            <w:pPr>
              <w:jc w:val="right"/>
              <w:rPr>
                <w:rFonts w:ascii="Calibri" w:hAnsi="Calibri" w:cs="Calibri"/>
                <w:color w:val="000000"/>
                <w:sz w:val="18"/>
                <w:szCs w:val="18"/>
              </w:rPr>
            </w:pPr>
            <w:r>
              <w:rPr>
                <w:rFonts w:ascii="Calibri" w:hAnsi="Calibri" w:cs="Calibri"/>
                <w:color w:val="000000"/>
                <w:sz w:val="18"/>
                <w:szCs w:val="18"/>
              </w:rPr>
              <w:t>526</w:t>
            </w:r>
          </w:p>
        </w:tc>
        <w:tc>
          <w:tcPr>
            <w:tcW w:w="709" w:type="dxa"/>
            <w:tcBorders>
              <w:top w:val="nil"/>
              <w:left w:val="nil"/>
              <w:bottom w:val="single" w:sz="4" w:space="0" w:color="auto"/>
              <w:right w:val="single" w:sz="4" w:space="0" w:color="auto"/>
            </w:tcBorders>
            <w:shd w:val="clear" w:color="auto" w:fill="auto"/>
            <w:noWrap/>
            <w:vAlign w:val="bottom"/>
            <w:hideMark/>
          </w:tcPr>
          <w:p w:rsidR="00204411" w:rsidRDefault="00204411">
            <w:pPr>
              <w:jc w:val="right"/>
              <w:rPr>
                <w:rFonts w:ascii="Calibri" w:hAnsi="Calibri" w:cs="Calibri"/>
                <w:color w:val="000000"/>
                <w:sz w:val="18"/>
                <w:szCs w:val="18"/>
              </w:rPr>
            </w:pPr>
            <w:r>
              <w:rPr>
                <w:rFonts w:ascii="Calibri" w:hAnsi="Calibri" w:cs="Calibri"/>
                <w:color w:val="000000"/>
                <w:sz w:val="18"/>
                <w:szCs w:val="18"/>
              </w:rPr>
              <w:t>838</w:t>
            </w:r>
          </w:p>
        </w:tc>
        <w:tc>
          <w:tcPr>
            <w:tcW w:w="709" w:type="dxa"/>
            <w:tcBorders>
              <w:top w:val="nil"/>
              <w:left w:val="nil"/>
              <w:bottom w:val="single" w:sz="4" w:space="0" w:color="auto"/>
              <w:right w:val="single" w:sz="4" w:space="0" w:color="auto"/>
            </w:tcBorders>
            <w:shd w:val="clear" w:color="auto" w:fill="auto"/>
            <w:noWrap/>
            <w:vAlign w:val="bottom"/>
            <w:hideMark/>
          </w:tcPr>
          <w:p w:rsidR="00204411" w:rsidRDefault="00204411">
            <w:pPr>
              <w:jc w:val="right"/>
              <w:rPr>
                <w:rFonts w:ascii="Calibri" w:hAnsi="Calibri" w:cs="Calibri"/>
                <w:color w:val="000000"/>
                <w:sz w:val="18"/>
                <w:szCs w:val="18"/>
              </w:rPr>
            </w:pPr>
            <w:r>
              <w:rPr>
                <w:rFonts w:ascii="Calibri" w:hAnsi="Calibri" w:cs="Calibri"/>
                <w:color w:val="000000"/>
                <w:sz w:val="18"/>
                <w:szCs w:val="18"/>
              </w:rPr>
              <w:t>2 796</w:t>
            </w:r>
          </w:p>
        </w:tc>
        <w:tc>
          <w:tcPr>
            <w:tcW w:w="709" w:type="dxa"/>
            <w:tcBorders>
              <w:top w:val="nil"/>
              <w:left w:val="nil"/>
              <w:bottom w:val="single" w:sz="4" w:space="0" w:color="auto"/>
              <w:right w:val="single" w:sz="4" w:space="0" w:color="auto"/>
            </w:tcBorders>
            <w:shd w:val="clear" w:color="auto" w:fill="auto"/>
            <w:noWrap/>
            <w:vAlign w:val="bottom"/>
            <w:hideMark/>
          </w:tcPr>
          <w:p w:rsidR="00204411" w:rsidRDefault="00204411">
            <w:pPr>
              <w:jc w:val="right"/>
              <w:rPr>
                <w:rFonts w:ascii="Calibri" w:hAnsi="Calibri" w:cs="Calibri"/>
                <w:color w:val="000000"/>
                <w:sz w:val="18"/>
                <w:szCs w:val="18"/>
              </w:rPr>
            </w:pPr>
            <w:r>
              <w:rPr>
                <w:rFonts w:ascii="Calibri" w:hAnsi="Calibri" w:cs="Calibri"/>
                <w:color w:val="000000"/>
                <w:sz w:val="18"/>
                <w:szCs w:val="18"/>
              </w:rPr>
              <w:t>0</w:t>
            </w:r>
          </w:p>
        </w:tc>
        <w:tc>
          <w:tcPr>
            <w:tcW w:w="708" w:type="dxa"/>
            <w:tcBorders>
              <w:top w:val="nil"/>
              <w:left w:val="nil"/>
              <w:bottom w:val="single" w:sz="4" w:space="0" w:color="auto"/>
              <w:right w:val="single" w:sz="4" w:space="0" w:color="auto"/>
            </w:tcBorders>
            <w:shd w:val="clear" w:color="auto" w:fill="auto"/>
            <w:noWrap/>
            <w:vAlign w:val="bottom"/>
            <w:hideMark/>
          </w:tcPr>
          <w:p w:rsidR="00204411" w:rsidRDefault="00204411">
            <w:pPr>
              <w:jc w:val="right"/>
              <w:rPr>
                <w:rFonts w:ascii="Calibri" w:hAnsi="Calibri" w:cs="Calibri"/>
                <w:color w:val="000000"/>
                <w:sz w:val="18"/>
                <w:szCs w:val="18"/>
              </w:rPr>
            </w:pPr>
            <w:r>
              <w:rPr>
                <w:rFonts w:ascii="Calibri" w:hAnsi="Calibri" w:cs="Calibri"/>
                <w:color w:val="000000"/>
                <w:sz w:val="18"/>
                <w:szCs w:val="18"/>
              </w:rPr>
              <w:t>0</w:t>
            </w:r>
          </w:p>
        </w:tc>
        <w:tc>
          <w:tcPr>
            <w:tcW w:w="709" w:type="dxa"/>
            <w:tcBorders>
              <w:top w:val="nil"/>
              <w:left w:val="nil"/>
              <w:bottom w:val="single" w:sz="4" w:space="0" w:color="auto"/>
              <w:right w:val="single" w:sz="4" w:space="0" w:color="auto"/>
            </w:tcBorders>
            <w:shd w:val="clear" w:color="auto" w:fill="auto"/>
            <w:noWrap/>
            <w:vAlign w:val="bottom"/>
            <w:hideMark/>
          </w:tcPr>
          <w:p w:rsidR="00204411" w:rsidRDefault="00204411">
            <w:pPr>
              <w:jc w:val="right"/>
              <w:rPr>
                <w:rFonts w:ascii="Calibri" w:hAnsi="Calibri" w:cs="Calibri"/>
                <w:color w:val="000000"/>
                <w:sz w:val="18"/>
                <w:szCs w:val="18"/>
              </w:rPr>
            </w:pPr>
            <w:r>
              <w:rPr>
                <w:rFonts w:ascii="Calibri" w:hAnsi="Calibri" w:cs="Calibri"/>
                <w:color w:val="000000"/>
                <w:sz w:val="18"/>
                <w:szCs w:val="18"/>
              </w:rPr>
              <w:t>0</w:t>
            </w:r>
          </w:p>
        </w:tc>
        <w:tc>
          <w:tcPr>
            <w:tcW w:w="709" w:type="dxa"/>
            <w:tcBorders>
              <w:top w:val="nil"/>
              <w:left w:val="nil"/>
              <w:bottom w:val="single" w:sz="4" w:space="0" w:color="auto"/>
              <w:right w:val="single" w:sz="4" w:space="0" w:color="auto"/>
            </w:tcBorders>
            <w:shd w:val="clear" w:color="auto" w:fill="auto"/>
            <w:noWrap/>
            <w:vAlign w:val="bottom"/>
            <w:hideMark/>
          </w:tcPr>
          <w:p w:rsidR="00204411" w:rsidRDefault="00204411">
            <w:pPr>
              <w:jc w:val="right"/>
              <w:rPr>
                <w:rFonts w:ascii="Calibri" w:hAnsi="Calibri" w:cs="Calibri"/>
                <w:color w:val="000000"/>
                <w:sz w:val="18"/>
                <w:szCs w:val="18"/>
              </w:rPr>
            </w:pPr>
            <w:r>
              <w:rPr>
                <w:rFonts w:ascii="Calibri" w:hAnsi="Calibri" w:cs="Calibri"/>
                <w:color w:val="000000"/>
                <w:sz w:val="18"/>
                <w:szCs w:val="18"/>
              </w:rPr>
              <w:t>0</w:t>
            </w:r>
          </w:p>
        </w:tc>
      </w:tr>
      <w:tr w:rsidR="00204411" w:rsidTr="00E86106">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204411" w:rsidRDefault="00204411">
            <w:pPr>
              <w:rPr>
                <w:rFonts w:ascii="Calibri" w:hAnsi="Calibri" w:cs="Calibri"/>
                <w:color w:val="000000"/>
                <w:sz w:val="18"/>
                <w:szCs w:val="18"/>
              </w:rPr>
            </w:pPr>
            <w:r>
              <w:rPr>
                <w:rFonts w:ascii="Calibri" w:hAnsi="Calibri" w:cs="Calibri"/>
                <w:color w:val="000000"/>
                <w:sz w:val="18"/>
                <w:szCs w:val="18"/>
              </w:rPr>
              <w:t>Příjmy z prodeje ostat.hmot.dlouhodob.majetku</w:t>
            </w:r>
          </w:p>
        </w:tc>
        <w:tc>
          <w:tcPr>
            <w:tcW w:w="709" w:type="dxa"/>
            <w:tcBorders>
              <w:top w:val="nil"/>
              <w:left w:val="nil"/>
              <w:bottom w:val="single" w:sz="4" w:space="0" w:color="auto"/>
              <w:right w:val="single" w:sz="4" w:space="0" w:color="auto"/>
            </w:tcBorders>
            <w:shd w:val="clear" w:color="auto" w:fill="auto"/>
            <w:noWrap/>
            <w:vAlign w:val="bottom"/>
            <w:hideMark/>
          </w:tcPr>
          <w:p w:rsidR="00204411" w:rsidRDefault="00204411">
            <w:pPr>
              <w:jc w:val="right"/>
              <w:rPr>
                <w:rFonts w:ascii="Calibri" w:hAnsi="Calibri" w:cs="Calibri"/>
                <w:color w:val="000000"/>
                <w:sz w:val="18"/>
                <w:szCs w:val="18"/>
              </w:rPr>
            </w:pPr>
            <w:r>
              <w:rPr>
                <w:rFonts w:ascii="Calibri" w:hAnsi="Calibri" w:cs="Calibri"/>
                <w:color w:val="000000"/>
                <w:sz w:val="18"/>
                <w:szCs w:val="18"/>
              </w:rPr>
              <w:t>0</w:t>
            </w:r>
          </w:p>
        </w:tc>
        <w:tc>
          <w:tcPr>
            <w:tcW w:w="708" w:type="dxa"/>
            <w:tcBorders>
              <w:top w:val="nil"/>
              <w:left w:val="nil"/>
              <w:bottom w:val="single" w:sz="4" w:space="0" w:color="auto"/>
              <w:right w:val="single" w:sz="4" w:space="0" w:color="auto"/>
            </w:tcBorders>
            <w:shd w:val="clear" w:color="auto" w:fill="auto"/>
            <w:noWrap/>
            <w:vAlign w:val="bottom"/>
            <w:hideMark/>
          </w:tcPr>
          <w:p w:rsidR="00204411" w:rsidRDefault="00204411">
            <w:pPr>
              <w:jc w:val="right"/>
              <w:rPr>
                <w:rFonts w:ascii="Calibri" w:hAnsi="Calibri" w:cs="Calibri"/>
                <w:color w:val="000000"/>
                <w:sz w:val="18"/>
                <w:szCs w:val="18"/>
              </w:rPr>
            </w:pPr>
            <w:r>
              <w:rPr>
                <w:rFonts w:ascii="Calibri" w:hAnsi="Calibri" w:cs="Calibri"/>
                <w:color w:val="000000"/>
                <w:sz w:val="18"/>
                <w:szCs w:val="18"/>
              </w:rPr>
              <w:t>165</w:t>
            </w:r>
          </w:p>
        </w:tc>
        <w:tc>
          <w:tcPr>
            <w:tcW w:w="709" w:type="dxa"/>
            <w:tcBorders>
              <w:top w:val="nil"/>
              <w:left w:val="nil"/>
              <w:bottom w:val="single" w:sz="4" w:space="0" w:color="auto"/>
              <w:right w:val="single" w:sz="4" w:space="0" w:color="auto"/>
            </w:tcBorders>
            <w:shd w:val="clear" w:color="auto" w:fill="auto"/>
            <w:noWrap/>
            <w:vAlign w:val="bottom"/>
            <w:hideMark/>
          </w:tcPr>
          <w:p w:rsidR="00204411" w:rsidRDefault="00204411">
            <w:pPr>
              <w:jc w:val="right"/>
              <w:rPr>
                <w:rFonts w:ascii="Calibri" w:hAnsi="Calibri" w:cs="Calibri"/>
                <w:color w:val="000000"/>
                <w:sz w:val="18"/>
                <w:szCs w:val="18"/>
              </w:rPr>
            </w:pPr>
            <w:r>
              <w:rPr>
                <w:rFonts w:ascii="Calibri" w:hAnsi="Calibri" w:cs="Calibri"/>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bottom"/>
            <w:hideMark/>
          </w:tcPr>
          <w:p w:rsidR="00204411" w:rsidRDefault="00204411">
            <w:pPr>
              <w:jc w:val="right"/>
              <w:rPr>
                <w:rFonts w:ascii="Calibri" w:hAnsi="Calibri" w:cs="Calibri"/>
                <w:color w:val="000000"/>
                <w:sz w:val="18"/>
                <w:szCs w:val="18"/>
              </w:rPr>
            </w:pPr>
            <w:r>
              <w:rPr>
                <w:rFonts w:ascii="Calibri" w:hAnsi="Calibri" w:cs="Calibri"/>
                <w:color w:val="000000"/>
                <w:sz w:val="18"/>
                <w:szCs w:val="18"/>
              </w:rPr>
              <w:t>93</w:t>
            </w:r>
          </w:p>
        </w:tc>
        <w:tc>
          <w:tcPr>
            <w:tcW w:w="709" w:type="dxa"/>
            <w:tcBorders>
              <w:top w:val="nil"/>
              <w:left w:val="nil"/>
              <w:bottom w:val="single" w:sz="4" w:space="0" w:color="auto"/>
              <w:right w:val="single" w:sz="4" w:space="0" w:color="auto"/>
            </w:tcBorders>
            <w:shd w:val="clear" w:color="auto" w:fill="auto"/>
            <w:noWrap/>
            <w:vAlign w:val="bottom"/>
            <w:hideMark/>
          </w:tcPr>
          <w:p w:rsidR="00204411" w:rsidRDefault="00204411">
            <w:pPr>
              <w:jc w:val="right"/>
              <w:rPr>
                <w:rFonts w:ascii="Calibri" w:hAnsi="Calibri" w:cs="Calibri"/>
                <w:color w:val="000000"/>
                <w:sz w:val="18"/>
                <w:szCs w:val="18"/>
              </w:rPr>
            </w:pPr>
            <w:r>
              <w:rPr>
                <w:rFonts w:ascii="Calibri" w:hAnsi="Calibri" w:cs="Calibri"/>
                <w:color w:val="000000"/>
                <w:sz w:val="18"/>
                <w:szCs w:val="18"/>
              </w:rPr>
              <w:t>60</w:t>
            </w:r>
          </w:p>
        </w:tc>
        <w:tc>
          <w:tcPr>
            <w:tcW w:w="708" w:type="dxa"/>
            <w:tcBorders>
              <w:top w:val="nil"/>
              <w:left w:val="nil"/>
              <w:bottom w:val="single" w:sz="4" w:space="0" w:color="auto"/>
              <w:right w:val="single" w:sz="4" w:space="0" w:color="auto"/>
            </w:tcBorders>
            <w:shd w:val="clear" w:color="auto" w:fill="auto"/>
            <w:noWrap/>
            <w:vAlign w:val="bottom"/>
            <w:hideMark/>
          </w:tcPr>
          <w:p w:rsidR="00204411" w:rsidRDefault="00204411">
            <w:pPr>
              <w:jc w:val="right"/>
              <w:rPr>
                <w:rFonts w:ascii="Calibri" w:hAnsi="Calibri" w:cs="Calibri"/>
                <w:color w:val="000000"/>
                <w:sz w:val="18"/>
                <w:szCs w:val="18"/>
              </w:rPr>
            </w:pPr>
            <w:r>
              <w:rPr>
                <w:rFonts w:ascii="Calibri" w:hAnsi="Calibri" w:cs="Calibri"/>
                <w:color w:val="000000"/>
                <w:sz w:val="18"/>
                <w:szCs w:val="18"/>
              </w:rPr>
              <w:t>25</w:t>
            </w:r>
          </w:p>
        </w:tc>
        <w:tc>
          <w:tcPr>
            <w:tcW w:w="709" w:type="dxa"/>
            <w:tcBorders>
              <w:top w:val="nil"/>
              <w:left w:val="nil"/>
              <w:bottom w:val="single" w:sz="4" w:space="0" w:color="auto"/>
              <w:right w:val="single" w:sz="4" w:space="0" w:color="auto"/>
            </w:tcBorders>
            <w:shd w:val="clear" w:color="auto" w:fill="auto"/>
            <w:noWrap/>
            <w:vAlign w:val="bottom"/>
            <w:hideMark/>
          </w:tcPr>
          <w:p w:rsidR="00204411" w:rsidRDefault="00204411">
            <w:pPr>
              <w:jc w:val="right"/>
              <w:rPr>
                <w:rFonts w:ascii="Calibri" w:hAnsi="Calibri" w:cs="Calibri"/>
                <w:color w:val="000000"/>
                <w:sz w:val="18"/>
                <w:szCs w:val="18"/>
              </w:rPr>
            </w:pPr>
            <w:r>
              <w:rPr>
                <w:rFonts w:ascii="Calibri" w:hAnsi="Calibri" w:cs="Calibri"/>
                <w:color w:val="000000"/>
                <w:sz w:val="18"/>
                <w:szCs w:val="18"/>
              </w:rPr>
              <w:t>0</w:t>
            </w:r>
          </w:p>
        </w:tc>
        <w:tc>
          <w:tcPr>
            <w:tcW w:w="709" w:type="dxa"/>
            <w:tcBorders>
              <w:top w:val="nil"/>
              <w:left w:val="nil"/>
              <w:bottom w:val="single" w:sz="4" w:space="0" w:color="auto"/>
              <w:right w:val="single" w:sz="4" w:space="0" w:color="auto"/>
            </w:tcBorders>
            <w:shd w:val="clear" w:color="auto" w:fill="auto"/>
            <w:noWrap/>
            <w:vAlign w:val="bottom"/>
            <w:hideMark/>
          </w:tcPr>
          <w:p w:rsidR="00204411" w:rsidRDefault="00204411">
            <w:pPr>
              <w:jc w:val="right"/>
              <w:rPr>
                <w:rFonts w:ascii="Calibri" w:hAnsi="Calibri" w:cs="Calibri"/>
                <w:color w:val="000000"/>
                <w:sz w:val="18"/>
                <w:szCs w:val="18"/>
              </w:rPr>
            </w:pPr>
            <w:r>
              <w:rPr>
                <w:rFonts w:ascii="Calibri" w:hAnsi="Calibri" w:cs="Calibri"/>
                <w:color w:val="000000"/>
                <w:sz w:val="18"/>
                <w:szCs w:val="18"/>
              </w:rPr>
              <w:t>92</w:t>
            </w:r>
          </w:p>
        </w:tc>
      </w:tr>
      <w:tr w:rsidR="00204411" w:rsidTr="00E86106">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204411" w:rsidRDefault="00204411">
            <w:pPr>
              <w:rPr>
                <w:rFonts w:ascii="Calibri" w:hAnsi="Calibri" w:cs="Calibri"/>
                <w:color w:val="000000"/>
                <w:sz w:val="18"/>
                <w:szCs w:val="18"/>
              </w:rPr>
            </w:pPr>
            <w:r>
              <w:rPr>
                <w:rFonts w:ascii="Calibri" w:hAnsi="Calibri" w:cs="Calibri"/>
                <w:color w:val="000000"/>
                <w:sz w:val="18"/>
                <w:szCs w:val="18"/>
              </w:rPr>
              <w:t>P</w:t>
            </w:r>
            <w:r w:rsidR="00E86106">
              <w:rPr>
                <w:rFonts w:ascii="Calibri" w:hAnsi="Calibri" w:cs="Calibri"/>
                <w:color w:val="000000"/>
                <w:sz w:val="18"/>
                <w:szCs w:val="18"/>
              </w:rPr>
              <w:t xml:space="preserve">řijaté dary na pořízení dlouhodobého </w:t>
            </w:r>
            <w:r>
              <w:rPr>
                <w:rFonts w:ascii="Calibri" w:hAnsi="Calibri" w:cs="Calibri"/>
                <w:color w:val="000000"/>
                <w:sz w:val="18"/>
                <w:szCs w:val="18"/>
              </w:rPr>
              <w:t>majetku</w:t>
            </w:r>
          </w:p>
        </w:tc>
        <w:tc>
          <w:tcPr>
            <w:tcW w:w="709" w:type="dxa"/>
            <w:tcBorders>
              <w:top w:val="nil"/>
              <w:left w:val="nil"/>
              <w:bottom w:val="single" w:sz="4" w:space="0" w:color="auto"/>
              <w:right w:val="single" w:sz="4" w:space="0" w:color="auto"/>
            </w:tcBorders>
            <w:shd w:val="clear" w:color="auto" w:fill="auto"/>
            <w:noWrap/>
            <w:vAlign w:val="bottom"/>
            <w:hideMark/>
          </w:tcPr>
          <w:p w:rsidR="00204411" w:rsidRDefault="00204411">
            <w:pPr>
              <w:jc w:val="right"/>
              <w:rPr>
                <w:rFonts w:ascii="Calibri" w:hAnsi="Calibri" w:cs="Calibri"/>
                <w:color w:val="000000"/>
                <w:sz w:val="18"/>
                <w:szCs w:val="18"/>
              </w:rPr>
            </w:pPr>
            <w:r>
              <w:rPr>
                <w:rFonts w:ascii="Calibri" w:hAnsi="Calibri" w:cs="Calibri"/>
                <w:color w:val="000000"/>
                <w:sz w:val="18"/>
                <w:szCs w:val="18"/>
              </w:rPr>
              <w:t>120</w:t>
            </w:r>
          </w:p>
        </w:tc>
        <w:tc>
          <w:tcPr>
            <w:tcW w:w="708" w:type="dxa"/>
            <w:tcBorders>
              <w:top w:val="nil"/>
              <w:left w:val="nil"/>
              <w:bottom w:val="single" w:sz="4" w:space="0" w:color="auto"/>
              <w:right w:val="single" w:sz="4" w:space="0" w:color="auto"/>
            </w:tcBorders>
            <w:shd w:val="clear" w:color="auto" w:fill="auto"/>
            <w:noWrap/>
            <w:vAlign w:val="bottom"/>
            <w:hideMark/>
          </w:tcPr>
          <w:p w:rsidR="00204411" w:rsidRDefault="00204411">
            <w:pPr>
              <w:jc w:val="right"/>
              <w:rPr>
                <w:rFonts w:ascii="Calibri" w:hAnsi="Calibri" w:cs="Calibri"/>
                <w:color w:val="000000"/>
                <w:sz w:val="18"/>
                <w:szCs w:val="18"/>
              </w:rPr>
            </w:pPr>
            <w:r>
              <w:rPr>
                <w:rFonts w:ascii="Calibri" w:hAnsi="Calibri" w:cs="Calibri"/>
                <w:color w:val="000000"/>
                <w:sz w:val="18"/>
                <w:szCs w:val="18"/>
              </w:rPr>
              <w:t>0</w:t>
            </w:r>
          </w:p>
        </w:tc>
        <w:tc>
          <w:tcPr>
            <w:tcW w:w="709" w:type="dxa"/>
            <w:tcBorders>
              <w:top w:val="nil"/>
              <w:left w:val="nil"/>
              <w:bottom w:val="single" w:sz="4" w:space="0" w:color="auto"/>
              <w:right w:val="single" w:sz="4" w:space="0" w:color="auto"/>
            </w:tcBorders>
            <w:shd w:val="clear" w:color="auto" w:fill="auto"/>
            <w:noWrap/>
            <w:vAlign w:val="bottom"/>
            <w:hideMark/>
          </w:tcPr>
          <w:p w:rsidR="00204411" w:rsidRDefault="00204411">
            <w:pPr>
              <w:jc w:val="right"/>
              <w:rPr>
                <w:rFonts w:ascii="Calibri" w:hAnsi="Calibri" w:cs="Calibri"/>
                <w:color w:val="000000"/>
                <w:sz w:val="18"/>
                <w:szCs w:val="18"/>
              </w:rPr>
            </w:pPr>
            <w:r>
              <w:rPr>
                <w:rFonts w:ascii="Calibri" w:hAnsi="Calibri" w:cs="Calibri"/>
                <w:color w:val="000000"/>
                <w:sz w:val="18"/>
                <w:szCs w:val="18"/>
              </w:rPr>
              <w:t>0</w:t>
            </w:r>
          </w:p>
        </w:tc>
        <w:tc>
          <w:tcPr>
            <w:tcW w:w="709" w:type="dxa"/>
            <w:tcBorders>
              <w:top w:val="nil"/>
              <w:left w:val="nil"/>
              <w:bottom w:val="single" w:sz="4" w:space="0" w:color="auto"/>
              <w:right w:val="single" w:sz="4" w:space="0" w:color="auto"/>
            </w:tcBorders>
            <w:shd w:val="clear" w:color="auto" w:fill="auto"/>
            <w:noWrap/>
            <w:vAlign w:val="bottom"/>
            <w:hideMark/>
          </w:tcPr>
          <w:p w:rsidR="00204411" w:rsidRDefault="00204411">
            <w:pPr>
              <w:jc w:val="right"/>
              <w:rPr>
                <w:rFonts w:ascii="Calibri" w:hAnsi="Calibri" w:cs="Calibri"/>
                <w:color w:val="000000"/>
                <w:sz w:val="18"/>
                <w:szCs w:val="18"/>
              </w:rPr>
            </w:pPr>
            <w:r>
              <w:rPr>
                <w:rFonts w:ascii="Calibri" w:hAnsi="Calibri" w:cs="Calibri"/>
                <w:color w:val="000000"/>
                <w:sz w:val="18"/>
                <w:szCs w:val="18"/>
              </w:rPr>
              <w:t>0</w:t>
            </w:r>
          </w:p>
        </w:tc>
        <w:tc>
          <w:tcPr>
            <w:tcW w:w="709" w:type="dxa"/>
            <w:tcBorders>
              <w:top w:val="nil"/>
              <w:left w:val="nil"/>
              <w:bottom w:val="single" w:sz="4" w:space="0" w:color="auto"/>
              <w:right w:val="single" w:sz="4" w:space="0" w:color="auto"/>
            </w:tcBorders>
            <w:shd w:val="clear" w:color="auto" w:fill="auto"/>
            <w:noWrap/>
            <w:vAlign w:val="bottom"/>
            <w:hideMark/>
          </w:tcPr>
          <w:p w:rsidR="00204411" w:rsidRDefault="00204411">
            <w:pPr>
              <w:jc w:val="right"/>
              <w:rPr>
                <w:rFonts w:ascii="Calibri" w:hAnsi="Calibri" w:cs="Calibri"/>
                <w:color w:val="000000"/>
                <w:sz w:val="18"/>
                <w:szCs w:val="18"/>
              </w:rPr>
            </w:pPr>
            <w:r>
              <w:rPr>
                <w:rFonts w:ascii="Calibri" w:hAnsi="Calibri" w:cs="Calibri"/>
                <w:color w:val="000000"/>
                <w:sz w:val="18"/>
                <w:szCs w:val="18"/>
              </w:rPr>
              <w:t>0</w:t>
            </w:r>
          </w:p>
        </w:tc>
        <w:tc>
          <w:tcPr>
            <w:tcW w:w="708" w:type="dxa"/>
            <w:tcBorders>
              <w:top w:val="nil"/>
              <w:left w:val="nil"/>
              <w:bottom w:val="single" w:sz="4" w:space="0" w:color="auto"/>
              <w:right w:val="single" w:sz="4" w:space="0" w:color="auto"/>
            </w:tcBorders>
            <w:shd w:val="clear" w:color="auto" w:fill="auto"/>
            <w:noWrap/>
            <w:vAlign w:val="bottom"/>
            <w:hideMark/>
          </w:tcPr>
          <w:p w:rsidR="00204411" w:rsidRDefault="00204411">
            <w:pPr>
              <w:jc w:val="right"/>
              <w:rPr>
                <w:rFonts w:ascii="Calibri" w:hAnsi="Calibri" w:cs="Calibri"/>
                <w:color w:val="000000"/>
                <w:sz w:val="18"/>
                <w:szCs w:val="18"/>
              </w:rPr>
            </w:pPr>
            <w:r>
              <w:rPr>
                <w:rFonts w:ascii="Calibri" w:hAnsi="Calibri" w:cs="Calibri"/>
                <w:color w:val="000000"/>
                <w:sz w:val="18"/>
                <w:szCs w:val="18"/>
              </w:rPr>
              <w:t>100</w:t>
            </w:r>
          </w:p>
        </w:tc>
        <w:tc>
          <w:tcPr>
            <w:tcW w:w="709" w:type="dxa"/>
            <w:tcBorders>
              <w:top w:val="nil"/>
              <w:left w:val="nil"/>
              <w:bottom w:val="single" w:sz="4" w:space="0" w:color="auto"/>
              <w:right w:val="single" w:sz="4" w:space="0" w:color="auto"/>
            </w:tcBorders>
            <w:shd w:val="clear" w:color="auto" w:fill="auto"/>
            <w:noWrap/>
            <w:vAlign w:val="bottom"/>
            <w:hideMark/>
          </w:tcPr>
          <w:p w:rsidR="00204411" w:rsidRDefault="00204411">
            <w:pPr>
              <w:jc w:val="right"/>
              <w:rPr>
                <w:rFonts w:ascii="Calibri" w:hAnsi="Calibri" w:cs="Calibri"/>
                <w:color w:val="000000"/>
                <w:sz w:val="18"/>
                <w:szCs w:val="18"/>
              </w:rPr>
            </w:pPr>
            <w:r>
              <w:rPr>
                <w:rFonts w:ascii="Calibri" w:hAnsi="Calibri" w:cs="Calibri"/>
                <w:color w:val="000000"/>
                <w:sz w:val="18"/>
                <w:szCs w:val="18"/>
              </w:rPr>
              <w:t>0</w:t>
            </w:r>
          </w:p>
        </w:tc>
        <w:tc>
          <w:tcPr>
            <w:tcW w:w="709" w:type="dxa"/>
            <w:tcBorders>
              <w:top w:val="nil"/>
              <w:left w:val="nil"/>
              <w:bottom w:val="single" w:sz="4" w:space="0" w:color="auto"/>
              <w:right w:val="single" w:sz="4" w:space="0" w:color="auto"/>
            </w:tcBorders>
            <w:shd w:val="clear" w:color="auto" w:fill="auto"/>
            <w:noWrap/>
            <w:vAlign w:val="bottom"/>
            <w:hideMark/>
          </w:tcPr>
          <w:p w:rsidR="00204411" w:rsidRDefault="00204411">
            <w:pPr>
              <w:jc w:val="right"/>
              <w:rPr>
                <w:rFonts w:ascii="Calibri" w:hAnsi="Calibri" w:cs="Calibri"/>
                <w:color w:val="000000"/>
                <w:sz w:val="18"/>
                <w:szCs w:val="18"/>
              </w:rPr>
            </w:pPr>
            <w:r>
              <w:rPr>
                <w:rFonts w:ascii="Calibri" w:hAnsi="Calibri" w:cs="Calibri"/>
                <w:color w:val="000000"/>
                <w:sz w:val="18"/>
                <w:szCs w:val="18"/>
              </w:rPr>
              <w:t>0</w:t>
            </w:r>
          </w:p>
        </w:tc>
      </w:tr>
      <w:tr w:rsidR="00204411" w:rsidTr="00E86106">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204411" w:rsidRDefault="00E86106">
            <w:pPr>
              <w:rPr>
                <w:rFonts w:ascii="Calibri" w:hAnsi="Calibri" w:cs="Calibri"/>
                <w:color w:val="000000"/>
                <w:sz w:val="18"/>
                <w:szCs w:val="18"/>
              </w:rPr>
            </w:pPr>
            <w:r>
              <w:rPr>
                <w:rFonts w:ascii="Calibri" w:hAnsi="Calibri" w:cs="Calibri"/>
                <w:color w:val="000000"/>
                <w:sz w:val="18"/>
                <w:szCs w:val="18"/>
              </w:rPr>
              <w:t xml:space="preserve">Přijaté příspěvky na poř. </w:t>
            </w:r>
            <w:r w:rsidR="00204411">
              <w:rPr>
                <w:rFonts w:ascii="Calibri" w:hAnsi="Calibri" w:cs="Calibri"/>
                <w:color w:val="000000"/>
                <w:sz w:val="18"/>
                <w:szCs w:val="18"/>
              </w:rPr>
              <w:t>dlouhodob.</w:t>
            </w:r>
            <w:r>
              <w:rPr>
                <w:rFonts w:ascii="Calibri" w:hAnsi="Calibri" w:cs="Calibri"/>
                <w:color w:val="000000"/>
                <w:sz w:val="18"/>
                <w:szCs w:val="18"/>
              </w:rPr>
              <w:t xml:space="preserve"> </w:t>
            </w:r>
            <w:r w:rsidR="00204411">
              <w:rPr>
                <w:rFonts w:ascii="Calibri" w:hAnsi="Calibri" w:cs="Calibri"/>
                <w:color w:val="000000"/>
                <w:sz w:val="18"/>
                <w:szCs w:val="18"/>
              </w:rPr>
              <w:t>majetku</w:t>
            </w:r>
          </w:p>
        </w:tc>
        <w:tc>
          <w:tcPr>
            <w:tcW w:w="709" w:type="dxa"/>
            <w:tcBorders>
              <w:top w:val="nil"/>
              <w:left w:val="nil"/>
              <w:bottom w:val="single" w:sz="4" w:space="0" w:color="auto"/>
              <w:right w:val="single" w:sz="4" w:space="0" w:color="auto"/>
            </w:tcBorders>
            <w:shd w:val="clear" w:color="auto" w:fill="auto"/>
            <w:noWrap/>
            <w:vAlign w:val="bottom"/>
            <w:hideMark/>
          </w:tcPr>
          <w:p w:rsidR="00204411" w:rsidRDefault="00204411">
            <w:pPr>
              <w:jc w:val="right"/>
              <w:rPr>
                <w:rFonts w:ascii="Calibri" w:hAnsi="Calibri" w:cs="Calibri"/>
                <w:color w:val="000000"/>
                <w:sz w:val="18"/>
                <w:szCs w:val="18"/>
              </w:rPr>
            </w:pPr>
            <w:r>
              <w:rPr>
                <w:rFonts w:ascii="Calibri" w:hAnsi="Calibri" w:cs="Calibri"/>
                <w:color w:val="000000"/>
                <w:sz w:val="18"/>
                <w:szCs w:val="18"/>
              </w:rPr>
              <w:t>0</w:t>
            </w:r>
          </w:p>
        </w:tc>
        <w:tc>
          <w:tcPr>
            <w:tcW w:w="708" w:type="dxa"/>
            <w:tcBorders>
              <w:top w:val="nil"/>
              <w:left w:val="nil"/>
              <w:bottom w:val="single" w:sz="4" w:space="0" w:color="auto"/>
              <w:right w:val="single" w:sz="4" w:space="0" w:color="auto"/>
            </w:tcBorders>
            <w:shd w:val="clear" w:color="auto" w:fill="auto"/>
            <w:noWrap/>
            <w:vAlign w:val="bottom"/>
            <w:hideMark/>
          </w:tcPr>
          <w:p w:rsidR="00204411" w:rsidRDefault="00204411">
            <w:pPr>
              <w:jc w:val="right"/>
              <w:rPr>
                <w:rFonts w:ascii="Calibri" w:hAnsi="Calibri" w:cs="Calibri"/>
                <w:color w:val="000000"/>
                <w:sz w:val="18"/>
                <w:szCs w:val="18"/>
              </w:rPr>
            </w:pPr>
            <w:r>
              <w:rPr>
                <w:rFonts w:ascii="Calibri" w:hAnsi="Calibri" w:cs="Calibri"/>
                <w:color w:val="000000"/>
                <w:sz w:val="18"/>
                <w:szCs w:val="18"/>
              </w:rPr>
              <w:t>300</w:t>
            </w:r>
          </w:p>
        </w:tc>
        <w:tc>
          <w:tcPr>
            <w:tcW w:w="709" w:type="dxa"/>
            <w:tcBorders>
              <w:top w:val="nil"/>
              <w:left w:val="nil"/>
              <w:bottom w:val="single" w:sz="4" w:space="0" w:color="auto"/>
              <w:right w:val="single" w:sz="4" w:space="0" w:color="auto"/>
            </w:tcBorders>
            <w:shd w:val="clear" w:color="auto" w:fill="auto"/>
            <w:noWrap/>
            <w:vAlign w:val="bottom"/>
            <w:hideMark/>
          </w:tcPr>
          <w:p w:rsidR="00204411" w:rsidRDefault="00204411">
            <w:pPr>
              <w:jc w:val="right"/>
              <w:rPr>
                <w:rFonts w:ascii="Calibri" w:hAnsi="Calibri" w:cs="Calibri"/>
                <w:color w:val="000000"/>
                <w:sz w:val="18"/>
                <w:szCs w:val="18"/>
              </w:rPr>
            </w:pPr>
            <w:r>
              <w:rPr>
                <w:rFonts w:ascii="Calibri" w:hAnsi="Calibri" w:cs="Calibri"/>
                <w:color w:val="000000"/>
                <w:sz w:val="18"/>
                <w:szCs w:val="18"/>
              </w:rPr>
              <w:t>0</w:t>
            </w:r>
          </w:p>
        </w:tc>
        <w:tc>
          <w:tcPr>
            <w:tcW w:w="709" w:type="dxa"/>
            <w:tcBorders>
              <w:top w:val="nil"/>
              <w:left w:val="nil"/>
              <w:bottom w:val="single" w:sz="4" w:space="0" w:color="auto"/>
              <w:right w:val="single" w:sz="4" w:space="0" w:color="auto"/>
            </w:tcBorders>
            <w:shd w:val="clear" w:color="auto" w:fill="auto"/>
            <w:noWrap/>
            <w:vAlign w:val="bottom"/>
            <w:hideMark/>
          </w:tcPr>
          <w:p w:rsidR="00204411" w:rsidRDefault="00204411">
            <w:pPr>
              <w:jc w:val="right"/>
              <w:rPr>
                <w:rFonts w:ascii="Calibri" w:hAnsi="Calibri" w:cs="Calibri"/>
                <w:color w:val="000000"/>
                <w:sz w:val="18"/>
                <w:szCs w:val="18"/>
              </w:rPr>
            </w:pPr>
            <w:r>
              <w:rPr>
                <w:rFonts w:ascii="Calibri" w:hAnsi="Calibri" w:cs="Calibri"/>
                <w:color w:val="000000"/>
                <w:sz w:val="18"/>
                <w:szCs w:val="18"/>
              </w:rPr>
              <w:t>0</w:t>
            </w:r>
          </w:p>
        </w:tc>
        <w:tc>
          <w:tcPr>
            <w:tcW w:w="709" w:type="dxa"/>
            <w:tcBorders>
              <w:top w:val="nil"/>
              <w:left w:val="nil"/>
              <w:bottom w:val="single" w:sz="4" w:space="0" w:color="auto"/>
              <w:right w:val="single" w:sz="4" w:space="0" w:color="auto"/>
            </w:tcBorders>
            <w:shd w:val="clear" w:color="auto" w:fill="auto"/>
            <w:noWrap/>
            <w:vAlign w:val="bottom"/>
            <w:hideMark/>
          </w:tcPr>
          <w:p w:rsidR="00204411" w:rsidRDefault="00204411">
            <w:pPr>
              <w:jc w:val="right"/>
              <w:rPr>
                <w:rFonts w:ascii="Calibri" w:hAnsi="Calibri" w:cs="Calibri"/>
                <w:color w:val="000000"/>
                <w:sz w:val="18"/>
                <w:szCs w:val="18"/>
              </w:rPr>
            </w:pPr>
            <w:r>
              <w:rPr>
                <w:rFonts w:ascii="Calibri" w:hAnsi="Calibri" w:cs="Calibri"/>
                <w:color w:val="000000"/>
                <w:sz w:val="18"/>
                <w:szCs w:val="18"/>
              </w:rPr>
              <w:t>0</w:t>
            </w:r>
          </w:p>
        </w:tc>
        <w:tc>
          <w:tcPr>
            <w:tcW w:w="708" w:type="dxa"/>
            <w:tcBorders>
              <w:top w:val="nil"/>
              <w:left w:val="nil"/>
              <w:bottom w:val="single" w:sz="4" w:space="0" w:color="auto"/>
              <w:right w:val="single" w:sz="4" w:space="0" w:color="auto"/>
            </w:tcBorders>
            <w:shd w:val="clear" w:color="auto" w:fill="auto"/>
            <w:noWrap/>
            <w:vAlign w:val="bottom"/>
            <w:hideMark/>
          </w:tcPr>
          <w:p w:rsidR="00204411" w:rsidRDefault="00204411">
            <w:pPr>
              <w:jc w:val="right"/>
              <w:rPr>
                <w:rFonts w:ascii="Calibri" w:hAnsi="Calibri" w:cs="Calibri"/>
                <w:color w:val="000000"/>
                <w:sz w:val="18"/>
                <w:szCs w:val="18"/>
              </w:rPr>
            </w:pPr>
            <w:r>
              <w:rPr>
                <w:rFonts w:ascii="Calibri" w:hAnsi="Calibri" w:cs="Calibri"/>
                <w:color w:val="000000"/>
                <w:sz w:val="18"/>
                <w:szCs w:val="18"/>
              </w:rPr>
              <w:t>0</w:t>
            </w:r>
          </w:p>
        </w:tc>
        <w:tc>
          <w:tcPr>
            <w:tcW w:w="709" w:type="dxa"/>
            <w:tcBorders>
              <w:top w:val="nil"/>
              <w:left w:val="nil"/>
              <w:bottom w:val="single" w:sz="4" w:space="0" w:color="auto"/>
              <w:right w:val="single" w:sz="4" w:space="0" w:color="auto"/>
            </w:tcBorders>
            <w:shd w:val="clear" w:color="auto" w:fill="auto"/>
            <w:noWrap/>
            <w:vAlign w:val="bottom"/>
            <w:hideMark/>
          </w:tcPr>
          <w:p w:rsidR="00204411" w:rsidRDefault="00204411">
            <w:pPr>
              <w:jc w:val="right"/>
              <w:rPr>
                <w:rFonts w:ascii="Calibri" w:hAnsi="Calibri" w:cs="Calibri"/>
                <w:color w:val="000000"/>
                <w:sz w:val="18"/>
                <w:szCs w:val="18"/>
              </w:rPr>
            </w:pPr>
            <w:r>
              <w:rPr>
                <w:rFonts w:ascii="Calibri" w:hAnsi="Calibri" w:cs="Calibri"/>
                <w:color w:val="000000"/>
                <w:sz w:val="18"/>
                <w:szCs w:val="18"/>
              </w:rPr>
              <w:t>0</w:t>
            </w:r>
          </w:p>
        </w:tc>
        <w:tc>
          <w:tcPr>
            <w:tcW w:w="709" w:type="dxa"/>
            <w:tcBorders>
              <w:top w:val="nil"/>
              <w:left w:val="nil"/>
              <w:bottom w:val="single" w:sz="4" w:space="0" w:color="auto"/>
              <w:right w:val="single" w:sz="4" w:space="0" w:color="auto"/>
            </w:tcBorders>
            <w:shd w:val="clear" w:color="auto" w:fill="auto"/>
            <w:noWrap/>
            <w:vAlign w:val="bottom"/>
            <w:hideMark/>
          </w:tcPr>
          <w:p w:rsidR="00204411" w:rsidRDefault="00204411">
            <w:pPr>
              <w:jc w:val="right"/>
              <w:rPr>
                <w:rFonts w:ascii="Calibri" w:hAnsi="Calibri" w:cs="Calibri"/>
                <w:color w:val="000000"/>
                <w:sz w:val="18"/>
                <w:szCs w:val="18"/>
              </w:rPr>
            </w:pPr>
            <w:r>
              <w:rPr>
                <w:rFonts w:ascii="Calibri" w:hAnsi="Calibri" w:cs="Calibri"/>
                <w:color w:val="000000"/>
                <w:sz w:val="18"/>
                <w:szCs w:val="18"/>
              </w:rPr>
              <w:t>0</w:t>
            </w:r>
          </w:p>
        </w:tc>
      </w:tr>
      <w:tr w:rsidR="00204411" w:rsidTr="00E86106">
        <w:trPr>
          <w:trHeight w:val="300"/>
        </w:trPr>
        <w:tc>
          <w:tcPr>
            <w:tcW w:w="3681" w:type="dxa"/>
            <w:tcBorders>
              <w:top w:val="nil"/>
              <w:left w:val="single" w:sz="4" w:space="0" w:color="auto"/>
              <w:bottom w:val="single" w:sz="4" w:space="0" w:color="auto"/>
              <w:right w:val="single" w:sz="4" w:space="0" w:color="auto"/>
            </w:tcBorders>
            <w:shd w:val="clear" w:color="FFE699" w:fill="FFD965"/>
            <w:noWrap/>
            <w:vAlign w:val="bottom"/>
            <w:hideMark/>
          </w:tcPr>
          <w:p w:rsidR="00204411" w:rsidRDefault="00204411">
            <w:pPr>
              <w:rPr>
                <w:rFonts w:ascii="Calibri" w:hAnsi="Calibri" w:cs="Calibri"/>
                <w:color w:val="000000"/>
                <w:sz w:val="18"/>
                <w:szCs w:val="18"/>
              </w:rPr>
            </w:pPr>
            <w:r>
              <w:rPr>
                <w:rFonts w:ascii="Calibri" w:hAnsi="Calibri" w:cs="Calibri"/>
                <w:color w:val="000000"/>
                <w:sz w:val="18"/>
                <w:szCs w:val="18"/>
              </w:rPr>
              <w:t>Kapitálové příjmy celkem</w:t>
            </w:r>
          </w:p>
        </w:tc>
        <w:tc>
          <w:tcPr>
            <w:tcW w:w="709" w:type="dxa"/>
            <w:tcBorders>
              <w:top w:val="nil"/>
              <w:left w:val="nil"/>
              <w:bottom w:val="single" w:sz="4" w:space="0" w:color="auto"/>
              <w:right w:val="single" w:sz="4" w:space="0" w:color="auto"/>
            </w:tcBorders>
            <w:shd w:val="clear" w:color="FFE699" w:fill="FFD965"/>
            <w:noWrap/>
            <w:vAlign w:val="bottom"/>
            <w:hideMark/>
          </w:tcPr>
          <w:p w:rsidR="00204411" w:rsidRDefault="00204411">
            <w:pPr>
              <w:jc w:val="right"/>
              <w:rPr>
                <w:rFonts w:ascii="Calibri" w:hAnsi="Calibri" w:cs="Calibri"/>
                <w:color w:val="000000"/>
                <w:sz w:val="18"/>
                <w:szCs w:val="18"/>
              </w:rPr>
            </w:pPr>
            <w:r>
              <w:rPr>
                <w:rFonts w:ascii="Calibri" w:hAnsi="Calibri" w:cs="Calibri"/>
                <w:color w:val="000000"/>
                <w:sz w:val="18"/>
                <w:szCs w:val="18"/>
              </w:rPr>
              <w:t>10 662</w:t>
            </w:r>
          </w:p>
        </w:tc>
        <w:tc>
          <w:tcPr>
            <w:tcW w:w="708" w:type="dxa"/>
            <w:tcBorders>
              <w:top w:val="nil"/>
              <w:left w:val="nil"/>
              <w:bottom w:val="single" w:sz="4" w:space="0" w:color="auto"/>
              <w:right w:val="single" w:sz="4" w:space="0" w:color="auto"/>
            </w:tcBorders>
            <w:shd w:val="clear" w:color="FFE699" w:fill="FFD965"/>
            <w:noWrap/>
            <w:vAlign w:val="bottom"/>
            <w:hideMark/>
          </w:tcPr>
          <w:p w:rsidR="00204411" w:rsidRDefault="00204411">
            <w:pPr>
              <w:jc w:val="right"/>
              <w:rPr>
                <w:rFonts w:ascii="Calibri" w:hAnsi="Calibri" w:cs="Calibri"/>
                <w:color w:val="000000"/>
                <w:sz w:val="18"/>
                <w:szCs w:val="18"/>
              </w:rPr>
            </w:pPr>
            <w:r>
              <w:rPr>
                <w:rFonts w:ascii="Calibri" w:hAnsi="Calibri" w:cs="Calibri"/>
                <w:color w:val="000000"/>
                <w:sz w:val="18"/>
                <w:szCs w:val="18"/>
              </w:rPr>
              <w:t>2 424</w:t>
            </w:r>
          </w:p>
        </w:tc>
        <w:tc>
          <w:tcPr>
            <w:tcW w:w="709" w:type="dxa"/>
            <w:tcBorders>
              <w:top w:val="nil"/>
              <w:left w:val="nil"/>
              <w:bottom w:val="single" w:sz="4" w:space="0" w:color="auto"/>
              <w:right w:val="single" w:sz="4" w:space="0" w:color="auto"/>
            </w:tcBorders>
            <w:shd w:val="clear" w:color="FFE699" w:fill="FFD965"/>
            <w:noWrap/>
            <w:vAlign w:val="bottom"/>
            <w:hideMark/>
          </w:tcPr>
          <w:p w:rsidR="00204411" w:rsidRDefault="00204411">
            <w:pPr>
              <w:jc w:val="right"/>
              <w:rPr>
                <w:rFonts w:ascii="Calibri" w:hAnsi="Calibri" w:cs="Calibri"/>
                <w:color w:val="000000"/>
                <w:sz w:val="18"/>
                <w:szCs w:val="18"/>
              </w:rPr>
            </w:pPr>
            <w:r>
              <w:rPr>
                <w:rFonts w:ascii="Calibri" w:hAnsi="Calibri" w:cs="Calibri"/>
                <w:color w:val="000000"/>
                <w:sz w:val="18"/>
                <w:szCs w:val="18"/>
              </w:rPr>
              <w:t>7 636</w:t>
            </w:r>
          </w:p>
        </w:tc>
        <w:tc>
          <w:tcPr>
            <w:tcW w:w="709" w:type="dxa"/>
            <w:tcBorders>
              <w:top w:val="nil"/>
              <w:left w:val="nil"/>
              <w:bottom w:val="single" w:sz="4" w:space="0" w:color="auto"/>
              <w:right w:val="single" w:sz="4" w:space="0" w:color="auto"/>
            </w:tcBorders>
            <w:shd w:val="clear" w:color="FFE699" w:fill="FFD965"/>
            <w:noWrap/>
            <w:vAlign w:val="bottom"/>
            <w:hideMark/>
          </w:tcPr>
          <w:p w:rsidR="00204411" w:rsidRDefault="00204411">
            <w:pPr>
              <w:jc w:val="right"/>
              <w:rPr>
                <w:rFonts w:ascii="Calibri" w:hAnsi="Calibri" w:cs="Calibri"/>
                <w:color w:val="000000"/>
                <w:sz w:val="18"/>
                <w:szCs w:val="18"/>
              </w:rPr>
            </w:pPr>
            <w:r>
              <w:rPr>
                <w:rFonts w:ascii="Calibri" w:hAnsi="Calibri" w:cs="Calibri"/>
                <w:color w:val="000000"/>
                <w:sz w:val="18"/>
                <w:szCs w:val="18"/>
              </w:rPr>
              <w:t>91 444</w:t>
            </w:r>
          </w:p>
        </w:tc>
        <w:tc>
          <w:tcPr>
            <w:tcW w:w="709" w:type="dxa"/>
            <w:tcBorders>
              <w:top w:val="nil"/>
              <w:left w:val="nil"/>
              <w:bottom w:val="single" w:sz="4" w:space="0" w:color="auto"/>
              <w:right w:val="single" w:sz="4" w:space="0" w:color="auto"/>
            </w:tcBorders>
            <w:shd w:val="clear" w:color="FFE699" w:fill="FFD965"/>
            <w:noWrap/>
            <w:vAlign w:val="bottom"/>
            <w:hideMark/>
          </w:tcPr>
          <w:p w:rsidR="00204411" w:rsidRDefault="00204411">
            <w:pPr>
              <w:jc w:val="right"/>
              <w:rPr>
                <w:rFonts w:ascii="Calibri" w:hAnsi="Calibri" w:cs="Calibri"/>
                <w:color w:val="000000"/>
                <w:sz w:val="18"/>
                <w:szCs w:val="18"/>
              </w:rPr>
            </w:pPr>
            <w:r>
              <w:rPr>
                <w:rFonts w:ascii="Calibri" w:hAnsi="Calibri" w:cs="Calibri"/>
                <w:color w:val="000000"/>
                <w:sz w:val="18"/>
                <w:szCs w:val="18"/>
              </w:rPr>
              <w:t>20 304</w:t>
            </w:r>
          </w:p>
        </w:tc>
        <w:tc>
          <w:tcPr>
            <w:tcW w:w="708" w:type="dxa"/>
            <w:tcBorders>
              <w:top w:val="nil"/>
              <w:left w:val="nil"/>
              <w:bottom w:val="single" w:sz="4" w:space="0" w:color="auto"/>
              <w:right w:val="single" w:sz="4" w:space="0" w:color="auto"/>
            </w:tcBorders>
            <w:shd w:val="clear" w:color="FFE699" w:fill="FFD965"/>
            <w:noWrap/>
            <w:vAlign w:val="bottom"/>
            <w:hideMark/>
          </w:tcPr>
          <w:p w:rsidR="00204411" w:rsidRDefault="00204411">
            <w:pPr>
              <w:jc w:val="right"/>
              <w:rPr>
                <w:rFonts w:ascii="Calibri" w:hAnsi="Calibri" w:cs="Calibri"/>
                <w:color w:val="000000"/>
                <w:sz w:val="18"/>
                <w:szCs w:val="18"/>
              </w:rPr>
            </w:pPr>
            <w:r>
              <w:rPr>
                <w:rFonts w:ascii="Calibri" w:hAnsi="Calibri" w:cs="Calibri"/>
                <w:color w:val="000000"/>
                <w:sz w:val="18"/>
                <w:szCs w:val="18"/>
              </w:rPr>
              <w:t>14 540</w:t>
            </w:r>
          </w:p>
        </w:tc>
        <w:tc>
          <w:tcPr>
            <w:tcW w:w="709" w:type="dxa"/>
            <w:tcBorders>
              <w:top w:val="nil"/>
              <w:left w:val="nil"/>
              <w:bottom w:val="single" w:sz="4" w:space="0" w:color="auto"/>
              <w:right w:val="single" w:sz="4" w:space="0" w:color="auto"/>
            </w:tcBorders>
            <w:shd w:val="clear" w:color="FFE699" w:fill="FFD965"/>
            <w:noWrap/>
            <w:vAlign w:val="bottom"/>
            <w:hideMark/>
          </w:tcPr>
          <w:p w:rsidR="00204411" w:rsidRDefault="00204411">
            <w:pPr>
              <w:jc w:val="right"/>
              <w:rPr>
                <w:rFonts w:ascii="Calibri" w:hAnsi="Calibri" w:cs="Calibri"/>
                <w:color w:val="000000"/>
                <w:sz w:val="18"/>
                <w:szCs w:val="18"/>
              </w:rPr>
            </w:pPr>
            <w:r>
              <w:rPr>
                <w:rFonts w:ascii="Calibri" w:hAnsi="Calibri" w:cs="Calibri"/>
                <w:color w:val="000000"/>
                <w:sz w:val="18"/>
                <w:szCs w:val="18"/>
              </w:rPr>
              <w:t>6 015</w:t>
            </w:r>
          </w:p>
        </w:tc>
        <w:tc>
          <w:tcPr>
            <w:tcW w:w="709" w:type="dxa"/>
            <w:tcBorders>
              <w:top w:val="nil"/>
              <w:left w:val="nil"/>
              <w:bottom w:val="single" w:sz="4" w:space="0" w:color="auto"/>
              <w:right w:val="single" w:sz="4" w:space="0" w:color="auto"/>
            </w:tcBorders>
            <w:shd w:val="clear" w:color="FFE699" w:fill="FFD965"/>
            <w:noWrap/>
            <w:vAlign w:val="bottom"/>
            <w:hideMark/>
          </w:tcPr>
          <w:p w:rsidR="00204411" w:rsidRDefault="00204411">
            <w:pPr>
              <w:jc w:val="right"/>
              <w:rPr>
                <w:rFonts w:ascii="Calibri" w:hAnsi="Calibri" w:cs="Calibri"/>
                <w:color w:val="000000"/>
                <w:sz w:val="18"/>
                <w:szCs w:val="18"/>
              </w:rPr>
            </w:pPr>
            <w:r>
              <w:rPr>
                <w:rFonts w:ascii="Calibri" w:hAnsi="Calibri" w:cs="Calibri"/>
                <w:color w:val="000000"/>
                <w:sz w:val="18"/>
                <w:szCs w:val="18"/>
              </w:rPr>
              <w:t>5 104</w:t>
            </w:r>
          </w:p>
        </w:tc>
      </w:tr>
    </w:tbl>
    <w:p w:rsidR="00204411" w:rsidRDefault="00204411" w:rsidP="00204411"/>
    <w:p w:rsidR="00204411" w:rsidRDefault="00E86106" w:rsidP="00204411">
      <w:r>
        <w:rPr>
          <w:noProof/>
        </w:rPr>
        <w:drawing>
          <wp:inline distT="0" distB="0" distL="0" distR="0" wp14:anchorId="77D12D13" wp14:editId="75AD1284">
            <wp:extent cx="6030595" cy="2776151"/>
            <wp:effectExtent l="0" t="0" r="8255" b="5715"/>
            <wp:docPr id="25" name="Graf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04411" w:rsidRPr="00204411" w:rsidRDefault="00204411" w:rsidP="00204411"/>
    <w:tbl>
      <w:tblPr>
        <w:tblW w:w="9067" w:type="dxa"/>
        <w:tblCellMar>
          <w:left w:w="70" w:type="dxa"/>
          <w:right w:w="70" w:type="dxa"/>
        </w:tblCellMar>
        <w:tblLook w:val="04A0" w:firstRow="1" w:lastRow="0" w:firstColumn="1" w:lastColumn="0" w:noHBand="0" w:noVBand="1"/>
      </w:tblPr>
      <w:tblGrid>
        <w:gridCol w:w="3397"/>
        <w:gridCol w:w="709"/>
        <w:gridCol w:w="709"/>
        <w:gridCol w:w="709"/>
        <w:gridCol w:w="708"/>
        <w:gridCol w:w="709"/>
        <w:gridCol w:w="709"/>
        <w:gridCol w:w="709"/>
        <w:gridCol w:w="708"/>
      </w:tblGrid>
      <w:tr w:rsidR="00E86106" w:rsidTr="00E86106">
        <w:trPr>
          <w:trHeight w:val="300"/>
        </w:trPr>
        <w:tc>
          <w:tcPr>
            <w:tcW w:w="3397" w:type="dxa"/>
            <w:tcBorders>
              <w:top w:val="single" w:sz="4" w:space="0" w:color="auto"/>
              <w:left w:val="single" w:sz="4" w:space="0" w:color="auto"/>
              <w:bottom w:val="single" w:sz="4" w:space="0" w:color="auto"/>
              <w:right w:val="single" w:sz="4" w:space="0" w:color="auto"/>
            </w:tcBorders>
            <w:shd w:val="clear" w:color="D6A100" w:fill="FFC000"/>
            <w:noWrap/>
            <w:vAlign w:val="center"/>
            <w:hideMark/>
          </w:tcPr>
          <w:p w:rsidR="00E86106" w:rsidRDefault="00E86106">
            <w:pPr>
              <w:rPr>
                <w:rFonts w:ascii="Calibri" w:hAnsi="Calibri" w:cs="Calibri"/>
                <w:color w:val="000000"/>
                <w:sz w:val="18"/>
                <w:szCs w:val="18"/>
              </w:rPr>
            </w:pPr>
            <w:r>
              <w:rPr>
                <w:rFonts w:ascii="Calibri" w:hAnsi="Calibri" w:cs="Calibri"/>
                <w:color w:val="000000"/>
                <w:sz w:val="18"/>
                <w:szCs w:val="18"/>
              </w:rPr>
              <w:t> </w:t>
            </w:r>
          </w:p>
        </w:tc>
        <w:tc>
          <w:tcPr>
            <w:tcW w:w="709" w:type="dxa"/>
            <w:tcBorders>
              <w:top w:val="single" w:sz="4" w:space="0" w:color="auto"/>
              <w:left w:val="nil"/>
              <w:bottom w:val="single" w:sz="4" w:space="0" w:color="auto"/>
              <w:right w:val="single" w:sz="4" w:space="0" w:color="auto"/>
            </w:tcBorders>
            <w:shd w:val="clear" w:color="D6A100" w:fill="FFC000"/>
            <w:noWrap/>
            <w:vAlign w:val="center"/>
            <w:hideMark/>
          </w:tcPr>
          <w:p w:rsidR="00E86106" w:rsidRDefault="00E86106">
            <w:pPr>
              <w:jc w:val="center"/>
              <w:rPr>
                <w:rFonts w:ascii="Calibri" w:hAnsi="Calibri" w:cs="Calibri"/>
                <w:color w:val="000000"/>
                <w:sz w:val="18"/>
                <w:szCs w:val="18"/>
              </w:rPr>
            </w:pPr>
            <w:r>
              <w:rPr>
                <w:rFonts w:ascii="Calibri" w:hAnsi="Calibri" w:cs="Calibri"/>
                <w:color w:val="000000"/>
                <w:sz w:val="18"/>
                <w:szCs w:val="18"/>
              </w:rPr>
              <w:t>2015</w:t>
            </w:r>
          </w:p>
        </w:tc>
        <w:tc>
          <w:tcPr>
            <w:tcW w:w="709" w:type="dxa"/>
            <w:tcBorders>
              <w:top w:val="single" w:sz="4" w:space="0" w:color="auto"/>
              <w:left w:val="nil"/>
              <w:bottom w:val="single" w:sz="4" w:space="0" w:color="auto"/>
              <w:right w:val="single" w:sz="4" w:space="0" w:color="auto"/>
            </w:tcBorders>
            <w:shd w:val="clear" w:color="D6A100" w:fill="FFC000"/>
            <w:noWrap/>
            <w:vAlign w:val="center"/>
            <w:hideMark/>
          </w:tcPr>
          <w:p w:rsidR="00E86106" w:rsidRDefault="00E86106">
            <w:pPr>
              <w:jc w:val="center"/>
              <w:rPr>
                <w:rFonts w:ascii="Calibri" w:hAnsi="Calibri" w:cs="Calibri"/>
                <w:color w:val="000000"/>
                <w:sz w:val="18"/>
                <w:szCs w:val="18"/>
              </w:rPr>
            </w:pPr>
            <w:r>
              <w:rPr>
                <w:rFonts w:ascii="Calibri" w:hAnsi="Calibri" w:cs="Calibri"/>
                <w:color w:val="000000"/>
                <w:sz w:val="18"/>
                <w:szCs w:val="18"/>
              </w:rPr>
              <w:t>2016</w:t>
            </w:r>
          </w:p>
        </w:tc>
        <w:tc>
          <w:tcPr>
            <w:tcW w:w="709" w:type="dxa"/>
            <w:tcBorders>
              <w:top w:val="single" w:sz="4" w:space="0" w:color="auto"/>
              <w:left w:val="nil"/>
              <w:bottom w:val="single" w:sz="4" w:space="0" w:color="auto"/>
              <w:right w:val="single" w:sz="4" w:space="0" w:color="auto"/>
            </w:tcBorders>
            <w:shd w:val="clear" w:color="D6A100" w:fill="FFC000"/>
            <w:noWrap/>
            <w:vAlign w:val="center"/>
            <w:hideMark/>
          </w:tcPr>
          <w:p w:rsidR="00E86106" w:rsidRDefault="00E86106">
            <w:pPr>
              <w:jc w:val="center"/>
              <w:rPr>
                <w:rFonts w:ascii="Calibri" w:hAnsi="Calibri" w:cs="Calibri"/>
                <w:color w:val="000000"/>
                <w:sz w:val="18"/>
                <w:szCs w:val="18"/>
              </w:rPr>
            </w:pPr>
            <w:r>
              <w:rPr>
                <w:rFonts w:ascii="Calibri" w:hAnsi="Calibri" w:cs="Calibri"/>
                <w:color w:val="000000"/>
                <w:sz w:val="18"/>
                <w:szCs w:val="18"/>
              </w:rPr>
              <w:t>2017</w:t>
            </w:r>
          </w:p>
        </w:tc>
        <w:tc>
          <w:tcPr>
            <w:tcW w:w="708" w:type="dxa"/>
            <w:tcBorders>
              <w:top w:val="single" w:sz="4" w:space="0" w:color="auto"/>
              <w:left w:val="nil"/>
              <w:bottom w:val="single" w:sz="4" w:space="0" w:color="auto"/>
              <w:right w:val="single" w:sz="4" w:space="0" w:color="auto"/>
            </w:tcBorders>
            <w:shd w:val="clear" w:color="D6A100" w:fill="FFC000"/>
            <w:noWrap/>
            <w:vAlign w:val="center"/>
            <w:hideMark/>
          </w:tcPr>
          <w:p w:rsidR="00E86106" w:rsidRDefault="00E86106">
            <w:pPr>
              <w:jc w:val="center"/>
              <w:rPr>
                <w:rFonts w:ascii="Calibri" w:hAnsi="Calibri" w:cs="Calibri"/>
                <w:color w:val="000000"/>
                <w:sz w:val="18"/>
                <w:szCs w:val="18"/>
              </w:rPr>
            </w:pPr>
            <w:r>
              <w:rPr>
                <w:rFonts w:ascii="Calibri" w:hAnsi="Calibri" w:cs="Calibri"/>
                <w:color w:val="000000"/>
                <w:sz w:val="18"/>
                <w:szCs w:val="18"/>
              </w:rPr>
              <w:t>2018</w:t>
            </w:r>
          </w:p>
        </w:tc>
        <w:tc>
          <w:tcPr>
            <w:tcW w:w="709" w:type="dxa"/>
            <w:tcBorders>
              <w:top w:val="single" w:sz="4" w:space="0" w:color="auto"/>
              <w:left w:val="nil"/>
              <w:bottom w:val="single" w:sz="4" w:space="0" w:color="auto"/>
              <w:right w:val="single" w:sz="4" w:space="0" w:color="auto"/>
            </w:tcBorders>
            <w:shd w:val="clear" w:color="D6A100" w:fill="FFC000"/>
            <w:noWrap/>
            <w:vAlign w:val="center"/>
            <w:hideMark/>
          </w:tcPr>
          <w:p w:rsidR="00E86106" w:rsidRDefault="00E86106">
            <w:pPr>
              <w:jc w:val="center"/>
              <w:rPr>
                <w:rFonts w:ascii="Calibri" w:hAnsi="Calibri" w:cs="Calibri"/>
                <w:color w:val="000000"/>
                <w:sz w:val="18"/>
                <w:szCs w:val="18"/>
              </w:rPr>
            </w:pPr>
            <w:r>
              <w:rPr>
                <w:rFonts w:ascii="Calibri" w:hAnsi="Calibri" w:cs="Calibri"/>
                <w:color w:val="000000"/>
                <w:sz w:val="18"/>
                <w:szCs w:val="18"/>
              </w:rPr>
              <w:t>2019</w:t>
            </w:r>
          </w:p>
        </w:tc>
        <w:tc>
          <w:tcPr>
            <w:tcW w:w="709" w:type="dxa"/>
            <w:tcBorders>
              <w:top w:val="single" w:sz="4" w:space="0" w:color="auto"/>
              <w:left w:val="nil"/>
              <w:bottom w:val="single" w:sz="4" w:space="0" w:color="auto"/>
              <w:right w:val="single" w:sz="4" w:space="0" w:color="auto"/>
            </w:tcBorders>
            <w:shd w:val="clear" w:color="D6A100" w:fill="FFC000"/>
            <w:noWrap/>
            <w:vAlign w:val="center"/>
            <w:hideMark/>
          </w:tcPr>
          <w:p w:rsidR="00E86106" w:rsidRDefault="00E86106">
            <w:pPr>
              <w:jc w:val="center"/>
              <w:rPr>
                <w:rFonts w:ascii="Calibri" w:hAnsi="Calibri" w:cs="Calibri"/>
                <w:color w:val="000000"/>
                <w:sz w:val="18"/>
                <w:szCs w:val="18"/>
              </w:rPr>
            </w:pPr>
            <w:r>
              <w:rPr>
                <w:rFonts w:ascii="Calibri" w:hAnsi="Calibri" w:cs="Calibri"/>
                <w:color w:val="000000"/>
                <w:sz w:val="18"/>
                <w:szCs w:val="18"/>
              </w:rPr>
              <w:t>2020</w:t>
            </w:r>
          </w:p>
        </w:tc>
        <w:tc>
          <w:tcPr>
            <w:tcW w:w="709" w:type="dxa"/>
            <w:tcBorders>
              <w:top w:val="single" w:sz="4" w:space="0" w:color="auto"/>
              <w:left w:val="nil"/>
              <w:bottom w:val="single" w:sz="4" w:space="0" w:color="auto"/>
              <w:right w:val="single" w:sz="4" w:space="0" w:color="auto"/>
            </w:tcBorders>
            <w:shd w:val="clear" w:color="D6A100" w:fill="FFC000"/>
            <w:noWrap/>
            <w:vAlign w:val="center"/>
            <w:hideMark/>
          </w:tcPr>
          <w:p w:rsidR="00E86106" w:rsidRDefault="00E86106">
            <w:pPr>
              <w:jc w:val="center"/>
              <w:rPr>
                <w:rFonts w:ascii="Calibri" w:hAnsi="Calibri" w:cs="Calibri"/>
                <w:color w:val="000000"/>
                <w:sz w:val="18"/>
                <w:szCs w:val="18"/>
              </w:rPr>
            </w:pPr>
            <w:r>
              <w:rPr>
                <w:rFonts w:ascii="Calibri" w:hAnsi="Calibri" w:cs="Calibri"/>
                <w:color w:val="000000"/>
                <w:sz w:val="18"/>
                <w:szCs w:val="18"/>
              </w:rPr>
              <w:t>2021</w:t>
            </w:r>
          </w:p>
        </w:tc>
        <w:tc>
          <w:tcPr>
            <w:tcW w:w="708" w:type="dxa"/>
            <w:tcBorders>
              <w:top w:val="single" w:sz="4" w:space="0" w:color="auto"/>
              <w:left w:val="nil"/>
              <w:bottom w:val="single" w:sz="4" w:space="0" w:color="auto"/>
              <w:right w:val="single" w:sz="4" w:space="0" w:color="auto"/>
            </w:tcBorders>
            <w:shd w:val="clear" w:color="D6A100" w:fill="FFC000"/>
            <w:noWrap/>
            <w:vAlign w:val="center"/>
            <w:hideMark/>
          </w:tcPr>
          <w:p w:rsidR="00E86106" w:rsidRDefault="00E86106">
            <w:pPr>
              <w:jc w:val="center"/>
              <w:rPr>
                <w:rFonts w:ascii="Calibri" w:hAnsi="Calibri" w:cs="Calibri"/>
                <w:color w:val="000000"/>
                <w:sz w:val="18"/>
                <w:szCs w:val="18"/>
              </w:rPr>
            </w:pPr>
            <w:r>
              <w:rPr>
                <w:rFonts w:ascii="Calibri" w:hAnsi="Calibri" w:cs="Calibri"/>
                <w:color w:val="000000"/>
                <w:sz w:val="18"/>
                <w:szCs w:val="18"/>
              </w:rPr>
              <w:t>2022</w:t>
            </w:r>
          </w:p>
        </w:tc>
      </w:tr>
      <w:tr w:rsidR="00E86106" w:rsidTr="00E86106">
        <w:trPr>
          <w:trHeight w:val="300"/>
        </w:trPr>
        <w:tc>
          <w:tcPr>
            <w:tcW w:w="3397" w:type="dxa"/>
            <w:tcBorders>
              <w:top w:val="nil"/>
              <w:left w:val="single" w:sz="4" w:space="0" w:color="auto"/>
              <w:bottom w:val="single" w:sz="4" w:space="0" w:color="auto"/>
              <w:right w:val="single" w:sz="4" w:space="0" w:color="auto"/>
            </w:tcBorders>
            <w:shd w:val="clear" w:color="FCD5B4" w:fill="FFE699"/>
            <w:noWrap/>
            <w:vAlign w:val="center"/>
            <w:hideMark/>
          </w:tcPr>
          <w:p w:rsidR="00E86106" w:rsidRDefault="00E86106">
            <w:pPr>
              <w:rPr>
                <w:rFonts w:ascii="Calibri" w:hAnsi="Calibri" w:cs="Calibri"/>
                <w:color w:val="000000"/>
                <w:sz w:val="18"/>
                <w:szCs w:val="18"/>
              </w:rPr>
            </w:pPr>
            <w:r>
              <w:rPr>
                <w:rFonts w:ascii="Calibri" w:hAnsi="Calibri" w:cs="Calibri"/>
                <w:color w:val="000000"/>
                <w:sz w:val="18"/>
                <w:szCs w:val="18"/>
              </w:rPr>
              <w:t>Kapitálové příjmy celkem</w:t>
            </w:r>
          </w:p>
        </w:tc>
        <w:tc>
          <w:tcPr>
            <w:tcW w:w="709" w:type="dxa"/>
            <w:tcBorders>
              <w:top w:val="nil"/>
              <w:left w:val="nil"/>
              <w:bottom w:val="single" w:sz="4" w:space="0" w:color="auto"/>
              <w:right w:val="single" w:sz="4" w:space="0" w:color="auto"/>
            </w:tcBorders>
            <w:shd w:val="clear" w:color="FCD5B4" w:fill="FFE699"/>
            <w:noWrap/>
            <w:vAlign w:val="center"/>
            <w:hideMark/>
          </w:tcPr>
          <w:p w:rsidR="00E86106" w:rsidRDefault="00E86106">
            <w:pPr>
              <w:jc w:val="right"/>
              <w:rPr>
                <w:rFonts w:ascii="Calibri" w:hAnsi="Calibri" w:cs="Calibri"/>
                <w:color w:val="000000"/>
                <w:sz w:val="18"/>
                <w:szCs w:val="18"/>
              </w:rPr>
            </w:pPr>
            <w:r>
              <w:rPr>
                <w:rFonts w:ascii="Calibri" w:hAnsi="Calibri" w:cs="Calibri"/>
                <w:color w:val="000000"/>
                <w:sz w:val="18"/>
                <w:szCs w:val="18"/>
              </w:rPr>
              <w:t>10 662</w:t>
            </w:r>
          </w:p>
        </w:tc>
        <w:tc>
          <w:tcPr>
            <w:tcW w:w="709" w:type="dxa"/>
            <w:tcBorders>
              <w:top w:val="nil"/>
              <w:left w:val="nil"/>
              <w:bottom w:val="single" w:sz="4" w:space="0" w:color="auto"/>
              <w:right w:val="single" w:sz="4" w:space="0" w:color="auto"/>
            </w:tcBorders>
            <w:shd w:val="clear" w:color="FCD5B4" w:fill="FFE699"/>
            <w:noWrap/>
            <w:vAlign w:val="center"/>
            <w:hideMark/>
          </w:tcPr>
          <w:p w:rsidR="00E86106" w:rsidRDefault="00E86106">
            <w:pPr>
              <w:jc w:val="right"/>
              <w:rPr>
                <w:rFonts w:ascii="Calibri" w:hAnsi="Calibri" w:cs="Calibri"/>
                <w:color w:val="000000"/>
                <w:sz w:val="18"/>
                <w:szCs w:val="18"/>
              </w:rPr>
            </w:pPr>
            <w:r>
              <w:rPr>
                <w:rFonts w:ascii="Calibri" w:hAnsi="Calibri" w:cs="Calibri"/>
                <w:color w:val="000000"/>
                <w:sz w:val="18"/>
                <w:szCs w:val="18"/>
              </w:rPr>
              <w:t>2 424</w:t>
            </w:r>
          </w:p>
        </w:tc>
        <w:tc>
          <w:tcPr>
            <w:tcW w:w="709" w:type="dxa"/>
            <w:tcBorders>
              <w:top w:val="nil"/>
              <w:left w:val="nil"/>
              <w:bottom w:val="single" w:sz="4" w:space="0" w:color="auto"/>
              <w:right w:val="single" w:sz="4" w:space="0" w:color="auto"/>
            </w:tcBorders>
            <w:shd w:val="clear" w:color="FCD5B4" w:fill="FFE699"/>
            <w:noWrap/>
            <w:vAlign w:val="center"/>
            <w:hideMark/>
          </w:tcPr>
          <w:p w:rsidR="00E86106" w:rsidRDefault="00E86106">
            <w:pPr>
              <w:jc w:val="right"/>
              <w:rPr>
                <w:rFonts w:ascii="Calibri" w:hAnsi="Calibri" w:cs="Calibri"/>
                <w:color w:val="000000"/>
                <w:sz w:val="18"/>
                <w:szCs w:val="18"/>
              </w:rPr>
            </w:pPr>
            <w:r>
              <w:rPr>
                <w:rFonts w:ascii="Calibri" w:hAnsi="Calibri" w:cs="Calibri"/>
                <w:color w:val="000000"/>
                <w:sz w:val="18"/>
                <w:szCs w:val="18"/>
              </w:rPr>
              <w:t>7 636</w:t>
            </w:r>
          </w:p>
        </w:tc>
        <w:tc>
          <w:tcPr>
            <w:tcW w:w="708" w:type="dxa"/>
            <w:tcBorders>
              <w:top w:val="nil"/>
              <w:left w:val="nil"/>
              <w:bottom w:val="single" w:sz="4" w:space="0" w:color="auto"/>
              <w:right w:val="single" w:sz="4" w:space="0" w:color="auto"/>
            </w:tcBorders>
            <w:shd w:val="clear" w:color="FCD5B4" w:fill="FFE699"/>
            <w:noWrap/>
            <w:vAlign w:val="center"/>
            <w:hideMark/>
          </w:tcPr>
          <w:p w:rsidR="00E86106" w:rsidRDefault="00E86106">
            <w:pPr>
              <w:jc w:val="right"/>
              <w:rPr>
                <w:rFonts w:ascii="Calibri" w:hAnsi="Calibri" w:cs="Calibri"/>
                <w:color w:val="000000"/>
                <w:sz w:val="18"/>
                <w:szCs w:val="18"/>
              </w:rPr>
            </w:pPr>
            <w:r>
              <w:rPr>
                <w:rFonts w:ascii="Calibri" w:hAnsi="Calibri" w:cs="Calibri"/>
                <w:color w:val="000000"/>
                <w:sz w:val="18"/>
                <w:szCs w:val="18"/>
              </w:rPr>
              <w:t>91 444</w:t>
            </w:r>
          </w:p>
        </w:tc>
        <w:tc>
          <w:tcPr>
            <w:tcW w:w="709" w:type="dxa"/>
            <w:tcBorders>
              <w:top w:val="nil"/>
              <w:left w:val="nil"/>
              <w:bottom w:val="single" w:sz="4" w:space="0" w:color="auto"/>
              <w:right w:val="single" w:sz="4" w:space="0" w:color="auto"/>
            </w:tcBorders>
            <w:shd w:val="clear" w:color="FCD5B4" w:fill="FFE699"/>
            <w:noWrap/>
            <w:vAlign w:val="center"/>
            <w:hideMark/>
          </w:tcPr>
          <w:p w:rsidR="00E86106" w:rsidRDefault="00E86106">
            <w:pPr>
              <w:jc w:val="right"/>
              <w:rPr>
                <w:rFonts w:ascii="Calibri" w:hAnsi="Calibri" w:cs="Calibri"/>
                <w:color w:val="000000"/>
                <w:sz w:val="18"/>
                <w:szCs w:val="18"/>
              </w:rPr>
            </w:pPr>
            <w:r>
              <w:rPr>
                <w:rFonts w:ascii="Calibri" w:hAnsi="Calibri" w:cs="Calibri"/>
                <w:color w:val="000000"/>
                <w:sz w:val="18"/>
                <w:szCs w:val="18"/>
              </w:rPr>
              <w:t>20 304</w:t>
            </w:r>
          </w:p>
        </w:tc>
        <w:tc>
          <w:tcPr>
            <w:tcW w:w="709" w:type="dxa"/>
            <w:tcBorders>
              <w:top w:val="nil"/>
              <w:left w:val="nil"/>
              <w:bottom w:val="single" w:sz="4" w:space="0" w:color="auto"/>
              <w:right w:val="single" w:sz="4" w:space="0" w:color="auto"/>
            </w:tcBorders>
            <w:shd w:val="clear" w:color="FCD5B4" w:fill="FFE699"/>
            <w:noWrap/>
            <w:vAlign w:val="center"/>
            <w:hideMark/>
          </w:tcPr>
          <w:p w:rsidR="00E86106" w:rsidRDefault="00E86106">
            <w:pPr>
              <w:jc w:val="right"/>
              <w:rPr>
                <w:rFonts w:ascii="Calibri" w:hAnsi="Calibri" w:cs="Calibri"/>
                <w:color w:val="000000"/>
                <w:sz w:val="18"/>
                <w:szCs w:val="18"/>
              </w:rPr>
            </w:pPr>
            <w:r>
              <w:rPr>
                <w:rFonts w:ascii="Calibri" w:hAnsi="Calibri" w:cs="Calibri"/>
                <w:color w:val="000000"/>
                <w:sz w:val="18"/>
                <w:szCs w:val="18"/>
              </w:rPr>
              <w:t>14 540</w:t>
            </w:r>
          </w:p>
        </w:tc>
        <w:tc>
          <w:tcPr>
            <w:tcW w:w="709" w:type="dxa"/>
            <w:tcBorders>
              <w:top w:val="nil"/>
              <w:left w:val="nil"/>
              <w:bottom w:val="single" w:sz="4" w:space="0" w:color="auto"/>
              <w:right w:val="single" w:sz="4" w:space="0" w:color="auto"/>
            </w:tcBorders>
            <w:shd w:val="clear" w:color="FCD5B4" w:fill="FFE699"/>
            <w:noWrap/>
            <w:vAlign w:val="center"/>
            <w:hideMark/>
          </w:tcPr>
          <w:p w:rsidR="00E86106" w:rsidRDefault="00E86106">
            <w:pPr>
              <w:jc w:val="right"/>
              <w:rPr>
                <w:rFonts w:ascii="Calibri" w:hAnsi="Calibri" w:cs="Calibri"/>
                <w:color w:val="000000"/>
                <w:sz w:val="18"/>
                <w:szCs w:val="18"/>
              </w:rPr>
            </w:pPr>
            <w:r>
              <w:rPr>
                <w:rFonts w:ascii="Calibri" w:hAnsi="Calibri" w:cs="Calibri"/>
                <w:color w:val="000000"/>
                <w:sz w:val="18"/>
                <w:szCs w:val="18"/>
              </w:rPr>
              <w:t>6 015</w:t>
            </w:r>
          </w:p>
        </w:tc>
        <w:tc>
          <w:tcPr>
            <w:tcW w:w="708" w:type="dxa"/>
            <w:tcBorders>
              <w:top w:val="nil"/>
              <w:left w:val="nil"/>
              <w:bottom w:val="single" w:sz="4" w:space="0" w:color="auto"/>
              <w:right w:val="single" w:sz="4" w:space="0" w:color="auto"/>
            </w:tcBorders>
            <w:shd w:val="clear" w:color="FCD5B4" w:fill="FFE699"/>
            <w:noWrap/>
            <w:vAlign w:val="center"/>
            <w:hideMark/>
          </w:tcPr>
          <w:p w:rsidR="00E86106" w:rsidRDefault="00E86106">
            <w:pPr>
              <w:jc w:val="right"/>
              <w:rPr>
                <w:rFonts w:ascii="Calibri" w:hAnsi="Calibri" w:cs="Calibri"/>
                <w:color w:val="000000"/>
                <w:sz w:val="18"/>
                <w:szCs w:val="18"/>
              </w:rPr>
            </w:pPr>
            <w:r>
              <w:rPr>
                <w:rFonts w:ascii="Calibri" w:hAnsi="Calibri" w:cs="Calibri"/>
                <w:color w:val="000000"/>
                <w:sz w:val="18"/>
                <w:szCs w:val="18"/>
              </w:rPr>
              <w:t>5 104</w:t>
            </w:r>
          </w:p>
        </w:tc>
      </w:tr>
      <w:tr w:rsidR="00E86106" w:rsidTr="00E86106">
        <w:trPr>
          <w:trHeight w:val="300"/>
        </w:trPr>
        <w:tc>
          <w:tcPr>
            <w:tcW w:w="3397" w:type="dxa"/>
            <w:tcBorders>
              <w:top w:val="nil"/>
              <w:left w:val="single" w:sz="4" w:space="0" w:color="auto"/>
              <w:bottom w:val="single" w:sz="4" w:space="0" w:color="auto"/>
              <w:right w:val="single" w:sz="4" w:space="0" w:color="auto"/>
            </w:tcBorders>
            <w:shd w:val="clear" w:color="FDE9D9" w:fill="FFF2CC"/>
            <w:noWrap/>
            <w:vAlign w:val="center"/>
            <w:hideMark/>
          </w:tcPr>
          <w:p w:rsidR="00E86106" w:rsidRDefault="00E86106">
            <w:pPr>
              <w:rPr>
                <w:rFonts w:ascii="Calibri" w:hAnsi="Calibri" w:cs="Calibri"/>
                <w:color w:val="000000"/>
                <w:sz w:val="18"/>
                <w:szCs w:val="18"/>
              </w:rPr>
            </w:pPr>
            <w:r>
              <w:rPr>
                <w:rFonts w:ascii="Calibri" w:hAnsi="Calibri" w:cs="Calibri"/>
                <w:color w:val="000000"/>
                <w:sz w:val="18"/>
                <w:szCs w:val="18"/>
              </w:rPr>
              <w:t>Meziroční změna absolutně</w:t>
            </w:r>
          </w:p>
        </w:tc>
        <w:tc>
          <w:tcPr>
            <w:tcW w:w="709" w:type="dxa"/>
            <w:tcBorders>
              <w:top w:val="nil"/>
              <w:left w:val="nil"/>
              <w:bottom w:val="single" w:sz="4" w:space="0" w:color="auto"/>
              <w:right w:val="single" w:sz="4" w:space="0" w:color="auto"/>
            </w:tcBorders>
            <w:shd w:val="clear" w:color="FDE9D9" w:fill="FFF2CC"/>
            <w:noWrap/>
            <w:vAlign w:val="center"/>
            <w:hideMark/>
          </w:tcPr>
          <w:p w:rsidR="00E86106" w:rsidRDefault="00E86106">
            <w:pPr>
              <w:jc w:val="right"/>
              <w:rPr>
                <w:rFonts w:ascii="Calibri" w:hAnsi="Calibri" w:cs="Calibri"/>
                <w:color w:val="000000"/>
                <w:sz w:val="18"/>
                <w:szCs w:val="18"/>
              </w:rPr>
            </w:pPr>
            <w:r>
              <w:rPr>
                <w:rFonts w:ascii="Calibri" w:hAnsi="Calibri" w:cs="Calibri"/>
                <w:color w:val="000000"/>
                <w:sz w:val="18"/>
                <w:szCs w:val="18"/>
              </w:rPr>
              <w:t>-20 504</w:t>
            </w:r>
          </w:p>
        </w:tc>
        <w:tc>
          <w:tcPr>
            <w:tcW w:w="709" w:type="dxa"/>
            <w:tcBorders>
              <w:top w:val="nil"/>
              <w:left w:val="nil"/>
              <w:bottom w:val="single" w:sz="4" w:space="0" w:color="auto"/>
              <w:right w:val="single" w:sz="4" w:space="0" w:color="auto"/>
            </w:tcBorders>
            <w:shd w:val="clear" w:color="FDE9D9" w:fill="FFF2CC"/>
            <w:noWrap/>
            <w:vAlign w:val="center"/>
            <w:hideMark/>
          </w:tcPr>
          <w:p w:rsidR="00E86106" w:rsidRDefault="00E86106">
            <w:pPr>
              <w:jc w:val="right"/>
              <w:rPr>
                <w:rFonts w:ascii="Calibri" w:hAnsi="Calibri" w:cs="Calibri"/>
                <w:color w:val="000000"/>
                <w:sz w:val="18"/>
                <w:szCs w:val="18"/>
              </w:rPr>
            </w:pPr>
            <w:r>
              <w:rPr>
                <w:rFonts w:ascii="Calibri" w:hAnsi="Calibri" w:cs="Calibri"/>
                <w:color w:val="000000"/>
                <w:sz w:val="18"/>
                <w:szCs w:val="18"/>
              </w:rPr>
              <w:t>-8 238</w:t>
            </w:r>
          </w:p>
        </w:tc>
        <w:tc>
          <w:tcPr>
            <w:tcW w:w="709" w:type="dxa"/>
            <w:tcBorders>
              <w:top w:val="nil"/>
              <w:left w:val="nil"/>
              <w:bottom w:val="single" w:sz="4" w:space="0" w:color="auto"/>
              <w:right w:val="single" w:sz="4" w:space="0" w:color="auto"/>
            </w:tcBorders>
            <w:shd w:val="clear" w:color="FDE9D9" w:fill="FFF2CC"/>
            <w:noWrap/>
            <w:vAlign w:val="center"/>
            <w:hideMark/>
          </w:tcPr>
          <w:p w:rsidR="00E86106" w:rsidRDefault="00E86106">
            <w:pPr>
              <w:jc w:val="right"/>
              <w:rPr>
                <w:rFonts w:ascii="Calibri" w:hAnsi="Calibri" w:cs="Calibri"/>
                <w:color w:val="000000"/>
                <w:sz w:val="18"/>
                <w:szCs w:val="18"/>
              </w:rPr>
            </w:pPr>
            <w:r>
              <w:rPr>
                <w:rFonts w:ascii="Calibri" w:hAnsi="Calibri" w:cs="Calibri"/>
                <w:color w:val="000000"/>
                <w:sz w:val="18"/>
                <w:szCs w:val="18"/>
              </w:rPr>
              <w:t>5 212</w:t>
            </w:r>
          </w:p>
        </w:tc>
        <w:tc>
          <w:tcPr>
            <w:tcW w:w="708" w:type="dxa"/>
            <w:tcBorders>
              <w:top w:val="nil"/>
              <w:left w:val="nil"/>
              <w:bottom w:val="single" w:sz="4" w:space="0" w:color="auto"/>
              <w:right w:val="single" w:sz="4" w:space="0" w:color="auto"/>
            </w:tcBorders>
            <w:shd w:val="clear" w:color="FDE9D9" w:fill="FFF2CC"/>
            <w:noWrap/>
            <w:vAlign w:val="center"/>
            <w:hideMark/>
          </w:tcPr>
          <w:p w:rsidR="00E86106" w:rsidRDefault="00E86106">
            <w:pPr>
              <w:jc w:val="right"/>
              <w:rPr>
                <w:rFonts w:ascii="Calibri" w:hAnsi="Calibri" w:cs="Calibri"/>
                <w:color w:val="000000"/>
                <w:sz w:val="18"/>
                <w:szCs w:val="18"/>
              </w:rPr>
            </w:pPr>
            <w:r>
              <w:rPr>
                <w:rFonts w:ascii="Calibri" w:hAnsi="Calibri" w:cs="Calibri"/>
                <w:color w:val="000000"/>
                <w:sz w:val="18"/>
                <w:szCs w:val="18"/>
              </w:rPr>
              <w:t>83 808</w:t>
            </w:r>
          </w:p>
        </w:tc>
        <w:tc>
          <w:tcPr>
            <w:tcW w:w="709" w:type="dxa"/>
            <w:tcBorders>
              <w:top w:val="nil"/>
              <w:left w:val="nil"/>
              <w:bottom w:val="single" w:sz="4" w:space="0" w:color="auto"/>
              <w:right w:val="single" w:sz="4" w:space="0" w:color="auto"/>
            </w:tcBorders>
            <w:shd w:val="clear" w:color="FDE9D9" w:fill="FFF2CC"/>
            <w:noWrap/>
            <w:vAlign w:val="center"/>
            <w:hideMark/>
          </w:tcPr>
          <w:p w:rsidR="00E86106" w:rsidRDefault="00E86106">
            <w:pPr>
              <w:jc w:val="right"/>
              <w:rPr>
                <w:rFonts w:ascii="Calibri" w:hAnsi="Calibri" w:cs="Calibri"/>
                <w:color w:val="000000"/>
                <w:sz w:val="18"/>
                <w:szCs w:val="18"/>
              </w:rPr>
            </w:pPr>
            <w:r>
              <w:rPr>
                <w:rFonts w:ascii="Calibri" w:hAnsi="Calibri" w:cs="Calibri"/>
                <w:color w:val="000000"/>
                <w:sz w:val="18"/>
                <w:szCs w:val="18"/>
              </w:rPr>
              <w:t>-71 140</w:t>
            </w:r>
          </w:p>
        </w:tc>
        <w:tc>
          <w:tcPr>
            <w:tcW w:w="709" w:type="dxa"/>
            <w:tcBorders>
              <w:top w:val="nil"/>
              <w:left w:val="nil"/>
              <w:bottom w:val="single" w:sz="4" w:space="0" w:color="auto"/>
              <w:right w:val="single" w:sz="4" w:space="0" w:color="auto"/>
            </w:tcBorders>
            <w:shd w:val="clear" w:color="FDE9D9" w:fill="FFF2CC"/>
            <w:noWrap/>
            <w:vAlign w:val="center"/>
            <w:hideMark/>
          </w:tcPr>
          <w:p w:rsidR="00E86106" w:rsidRDefault="00E86106">
            <w:pPr>
              <w:jc w:val="right"/>
              <w:rPr>
                <w:rFonts w:ascii="Calibri" w:hAnsi="Calibri" w:cs="Calibri"/>
                <w:color w:val="000000"/>
                <w:sz w:val="18"/>
                <w:szCs w:val="18"/>
              </w:rPr>
            </w:pPr>
            <w:r>
              <w:rPr>
                <w:rFonts w:ascii="Calibri" w:hAnsi="Calibri" w:cs="Calibri"/>
                <w:color w:val="000000"/>
                <w:sz w:val="18"/>
                <w:szCs w:val="18"/>
              </w:rPr>
              <w:t>-5 764</w:t>
            </w:r>
          </w:p>
        </w:tc>
        <w:tc>
          <w:tcPr>
            <w:tcW w:w="709" w:type="dxa"/>
            <w:tcBorders>
              <w:top w:val="nil"/>
              <w:left w:val="nil"/>
              <w:bottom w:val="single" w:sz="4" w:space="0" w:color="auto"/>
              <w:right w:val="single" w:sz="4" w:space="0" w:color="auto"/>
            </w:tcBorders>
            <w:shd w:val="clear" w:color="FDE9D9" w:fill="FFF2CC"/>
            <w:noWrap/>
            <w:vAlign w:val="center"/>
            <w:hideMark/>
          </w:tcPr>
          <w:p w:rsidR="00E86106" w:rsidRDefault="00E86106">
            <w:pPr>
              <w:jc w:val="right"/>
              <w:rPr>
                <w:rFonts w:ascii="Calibri" w:hAnsi="Calibri" w:cs="Calibri"/>
                <w:color w:val="000000"/>
                <w:sz w:val="18"/>
                <w:szCs w:val="18"/>
              </w:rPr>
            </w:pPr>
            <w:r>
              <w:rPr>
                <w:rFonts w:ascii="Calibri" w:hAnsi="Calibri" w:cs="Calibri"/>
                <w:color w:val="000000"/>
                <w:sz w:val="18"/>
                <w:szCs w:val="18"/>
              </w:rPr>
              <w:t>-8 525</w:t>
            </w:r>
          </w:p>
        </w:tc>
        <w:tc>
          <w:tcPr>
            <w:tcW w:w="708" w:type="dxa"/>
            <w:tcBorders>
              <w:top w:val="nil"/>
              <w:left w:val="nil"/>
              <w:bottom w:val="single" w:sz="4" w:space="0" w:color="auto"/>
              <w:right w:val="single" w:sz="4" w:space="0" w:color="auto"/>
            </w:tcBorders>
            <w:shd w:val="clear" w:color="FDE9D9" w:fill="FFF2CC"/>
            <w:noWrap/>
            <w:vAlign w:val="center"/>
            <w:hideMark/>
          </w:tcPr>
          <w:p w:rsidR="00E86106" w:rsidRDefault="00E86106">
            <w:pPr>
              <w:jc w:val="right"/>
              <w:rPr>
                <w:rFonts w:ascii="Calibri" w:hAnsi="Calibri" w:cs="Calibri"/>
                <w:color w:val="000000"/>
                <w:sz w:val="18"/>
                <w:szCs w:val="18"/>
              </w:rPr>
            </w:pPr>
            <w:r>
              <w:rPr>
                <w:rFonts w:ascii="Calibri" w:hAnsi="Calibri" w:cs="Calibri"/>
                <w:color w:val="000000"/>
                <w:sz w:val="18"/>
                <w:szCs w:val="18"/>
              </w:rPr>
              <w:t>-911</w:t>
            </w:r>
          </w:p>
        </w:tc>
      </w:tr>
      <w:tr w:rsidR="00E86106" w:rsidTr="00E86106">
        <w:trPr>
          <w:trHeight w:val="300"/>
        </w:trPr>
        <w:tc>
          <w:tcPr>
            <w:tcW w:w="3397" w:type="dxa"/>
            <w:tcBorders>
              <w:top w:val="nil"/>
              <w:left w:val="single" w:sz="4" w:space="0" w:color="auto"/>
              <w:bottom w:val="single" w:sz="4" w:space="0" w:color="auto"/>
              <w:right w:val="single" w:sz="4" w:space="0" w:color="auto"/>
            </w:tcBorders>
            <w:shd w:val="clear" w:color="FDE9D9" w:fill="FFF2CC"/>
            <w:noWrap/>
            <w:vAlign w:val="center"/>
            <w:hideMark/>
          </w:tcPr>
          <w:p w:rsidR="00E86106" w:rsidRDefault="00E86106">
            <w:pPr>
              <w:rPr>
                <w:rFonts w:ascii="Calibri" w:hAnsi="Calibri" w:cs="Calibri"/>
                <w:color w:val="000000"/>
                <w:sz w:val="18"/>
                <w:szCs w:val="18"/>
              </w:rPr>
            </w:pPr>
            <w:r>
              <w:rPr>
                <w:rFonts w:ascii="Calibri" w:hAnsi="Calibri" w:cs="Calibri"/>
                <w:color w:val="000000"/>
                <w:sz w:val="18"/>
                <w:szCs w:val="18"/>
              </w:rPr>
              <w:t>Meziroční změna procentuálně</w:t>
            </w:r>
          </w:p>
        </w:tc>
        <w:tc>
          <w:tcPr>
            <w:tcW w:w="709" w:type="dxa"/>
            <w:tcBorders>
              <w:top w:val="nil"/>
              <w:left w:val="nil"/>
              <w:bottom w:val="single" w:sz="4" w:space="0" w:color="auto"/>
              <w:right w:val="single" w:sz="4" w:space="0" w:color="auto"/>
            </w:tcBorders>
            <w:shd w:val="clear" w:color="FDE9D9" w:fill="FFF2CC"/>
            <w:noWrap/>
            <w:vAlign w:val="center"/>
            <w:hideMark/>
          </w:tcPr>
          <w:p w:rsidR="00E86106" w:rsidRDefault="00E86106">
            <w:pPr>
              <w:jc w:val="right"/>
              <w:rPr>
                <w:rFonts w:ascii="Calibri" w:hAnsi="Calibri" w:cs="Calibri"/>
                <w:color w:val="000000"/>
                <w:sz w:val="18"/>
                <w:szCs w:val="18"/>
              </w:rPr>
            </w:pPr>
            <w:r>
              <w:rPr>
                <w:rFonts w:ascii="Calibri" w:hAnsi="Calibri" w:cs="Calibri"/>
                <w:color w:val="000000"/>
                <w:sz w:val="18"/>
                <w:szCs w:val="18"/>
              </w:rPr>
              <w:t>-66 %</w:t>
            </w:r>
          </w:p>
        </w:tc>
        <w:tc>
          <w:tcPr>
            <w:tcW w:w="709" w:type="dxa"/>
            <w:tcBorders>
              <w:top w:val="nil"/>
              <w:left w:val="nil"/>
              <w:bottom w:val="single" w:sz="4" w:space="0" w:color="auto"/>
              <w:right w:val="single" w:sz="4" w:space="0" w:color="auto"/>
            </w:tcBorders>
            <w:shd w:val="clear" w:color="FDE9D9" w:fill="FFF2CC"/>
            <w:noWrap/>
            <w:vAlign w:val="center"/>
            <w:hideMark/>
          </w:tcPr>
          <w:p w:rsidR="00E86106" w:rsidRDefault="00E86106">
            <w:pPr>
              <w:jc w:val="right"/>
              <w:rPr>
                <w:rFonts w:ascii="Calibri" w:hAnsi="Calibri" w:cs="Calibri"/>
                <w:color w:val="000000"/>
                <w:sz w:val="18"/>
                <w:szCs w:val="18"/>
              </w:rPr>
            </w:pPr>
            <w:r>
              <w:rPr>
                <w:rFonts w:ascii="Calibri" w:hAnsi="Calibri" w:cs="Calibri"/>
                <w:color w:val="000000"/>
                <w:sz w:val="18"/>
                <w:szCs w:val="18"/>
              </w:rPr>
              <w:t>-77 %</w:t>
            </w:r>
          </w:p>
        </w:tc>
        <w:tc>
          <w:tcPr>
            <w:tcW w:w="709" w:type="dxa"/>
            <w:tcBorders>
              <w:top w:val="nil"/>
              <w:left w:val="nil"/>
              <w:bottom w:val="single" w:sz="4" w:space="0" w:color="auto"/>
              <w:right w:val="single" w:sz="4" w:space="0" w:color="auto"/>
            </w:tcBorders>
            <w:shd w:val="clear" w:color="FDE9D9" w:fill="FFF2CC"/>
            <w:noWrap/>
            <w:vAlign w:val="center"/>
            <w:hideMark/>
          </w:tcPr>
          <w:p w:rsidR="00E86106" w:rsidRDefault="00E86106">
            <w:pPr>
              <w:jc w:val="right"/>
              <w:rPr>
                <w:rFonts w:ascii="Calibri" w:hAnsi="Calibri" w:cs="Calibri"/>
                <w:color w:val="000000"/>
                <w:sz w:val="18"/>
                <w:szCs w:val="18"/>
              </w:rPr>
            </w:pPr>
            <w:r>
              <w:rPr>
                <w:rFonts w:ascii="Calibri" w:hAnsi="Calibri" w:cs="Calibri"/>
                <w:color w:val="000000"/>
                <w:sz w:val="18"/>
                <w:szCs w:val="18"/>
              </w:rPr>
              <w:t>215 %</w:t>
            </w:r>
          </w:p>
        </w:tc>
        <w:tc>
          <w:tcPr>
            <w:tcW w:w="708" w:type="dxa"/>
            <w:tcBorders>
              <w:top w:val="nil"/>
              <w:left w:val="nil"/>
              <w:bottom w:val="single" w:sz="4" w:space="0" w:color="auto"/>
              <w:right w:val="single" w:sz="4" w:space="0" w:color="auto"/>
            </w:tcBorders>
            <w:shd w:val="clear" w:color="FDE9D9" w:fill="FFF2CC"/>
            <w:noWrap/>
            <w:vAlign w:val="center"/>
            <w:hideMark/>
          </w:tcPr>
          <w:p w:rsidR="00E86106" w:rsidRDefault="00E86106">
            <w:pPr>
              <w:jc w:val="right"/>
              <w:rPr>
                <w:rFonts w:ascii="Calibri" w:hAnsi="Calibri" w:cs="Calibri"/>
                <w:color w:val="000000"/>
                <w:sz w:val="18"/>
                <w:szCs w:val="18"/>
              </w:rPr>
            </w:pPr>
            <w:r>
              <w:rPr>
                <w:rFonts w:ascii="Calibri" w:hAnsi="Calibri" w:cs="Calibri"/>
                <w:color w:val="000000"/>
                <w:sz w:val="18"/>
                <w:szCs w:val="18"/>
              </w:rPr>
              <w:t>1098 %</w:t>
            </w:r>
          </w:p>
        </w:tc>
        <w:tc>
          <w:tcPr>
            <w:tcW w:w="709" w:type="dxa"/>
            <w:tcBorders>
              <w:top w:val="nil"/>
              <w:left w:val="nil"/>
              <w:bottom w:val="single" w:sz="4" w:space="0" w:color="auto"/>
              <w:right w:val="single" w:sz="4" w:space="0" w:color="auto"/>
            </w:tcBorders>
            <w:shd w:val="clear" w:color="FDE9D9" w:fill="FFF2CC"/>
            <w:noWrap/>
            <w:vAlign w:val="center"/>
            <w:hideMark/>
          </w:tcPr>
          <w:p w:rsidR="00E86106" w:rsidRDefault="00E86106">
            <w:pPr>
              <w:jc w:val="right"/>
              <w:rPr>
                <w:rFonts w:ascii="Calibri" w:hAnsi="Calibri" w:cs="Calibri"/>
                <w:color w:val="000000"/>
                <w:sz w:val="18"/>
                <w:szCs w:val="18"/>
              </w:rPr>
            </w:pPr>
            <w:r>
              <w:rPr>
                <w:rFonts w:ascii="Calibri" w:hAnsi="Calibri" w:cs="Calibri"/>
                <w:color w:val="000000"/>
                <w:sz w:val="18"/>
                <w:szCs w:val="18"/>
              </w:rPr>
              <w:t>-78 %</w:t>
            </w:r>
          </w:p>
        </w:tc>
        <w:tc>
          <w:tcPr>
            <w:tcW w:w="709" w:type="dxa"/>
            <w:tcBorders>
              <w:top w:val="nil"/>
              <w:left w:val="nil"/>
              <w:bottom w:val="single" w:sz="4" w:space="0" w:color="auto"/>
              <w:right w:val="single" w:sz="4" w:space="0" w:color="auto"/>
            </w:tcBorders>
            <w:shd w:val="clear" w:color="FDE9D9" w:fill="FFF2CC"/>
            <w:noWrap/>
            <w:vAlign w:val="center"/>
            <w:hideMark/>
          </w:tcPr>
          <w:p w:rsidR="00E86106" w:rsidRDefault="00E86106">
            <w:pPr>
              <w:jc w:val="right"/>
              <w:rPr>
                <w:rFonts w:ascii="Calibri" w:hAnsi="Calibri" w:cs="Calibri"/>
                <w:color w:val="000000"/>
                <w:sz w:val="18"/>
                <w:szCs w:val="18"/>
              </w:rPr>
            </w:pPr>
            <w:r>
              <w:rPr>
                <w:rFonts w:ascii="Calibri" w:hAnsi="Calibri" w:cs="Calibri"/>
                <w:color w:val="000000"/>
                <w:sz w:val="18"/>
                <w:szCs w:val="18"/>
              </w:rPr>
              <w:t>-28 %</w:t>
            </w:r>
          </w:p>
        </w:tc>
        <w:tc>
          <w:tcPr>
            <w:tcW w:w="709" w:type="dxa"/>
            <w:tcBorders>
              <w:top w:val="nil"/>
              <w:left w:val="nil"/>
              <w:bottom w:val="single" w:sz="4" w:space="0" w:color="auto"/>
              <w:right w:val="single" w:sz="4" w:space="0" w:color="auto"/>
            </w:tcBorders>
            <w:shd w:val="clear" w:color="FDE9D9" w:fill="FFF2CC"/>
            <w:noWrap/>
            <w:vAlign w:val="center"/>
            <w:hideMark/>
          </w:tcPr>
          <w:p w:rsidR="00E86106" w:rsidRDefault="00E86106">
            <w:pPr>
              <w:jc w:val="right"/>
              <w:rPr>
                <w:rFonts w:ascii="Calibri" w:hAnsi="Calibri" w:cs="Calibri"/>
                <w:color w:val="000000"/>
                <w:sz w:val="18"/>
                <w:szCs w:val="18"/>
              </w:rPr>
            </w:pPr>
            <w:r>
              <w:rPr>
                <w:rFonts w:ascii="Calibri" w:hAnsi="Calibri" w:cs="Calibri"/>
                <w:color w:val="000000"/>
                <w:sz w:val="18"/>
                <w:szCs w:val="18"/>
              </w:rPr>
              <w:t>-59 %</w:t>
            </w:r>
          </w:p>
        </w:tc>
        <w:tc>
          <w:tcPr>
            <w:tcW w:w="708" w:type="dxa"/>
            <w:tcBorders>
              <w:top w:val="nil"/>
              <w:left w:val="nil"/>
              <w:bottom w:val="single" w:sz="4" w:space="0" w:color="auto"/>
              <w:right w:val="single" w:sz="4" w:space="0" w:color="auto"/>
            </w:tcBorders>
            <w:shd w:val="clear" w:color="FDE9D9" w:fill="FFF2CC"/>
            <w:noWrap/>
            <w:vAlign w:val="center"/>
            <w:hideMark/>
          </w:tcPr>
          <w:p w:rsidR="00E86106" w:rsidRDefault="00E86106">
            <w:pPr>
              <w:jc w:val="right"/>
              <w:rPr>
                <w:rFonts w:ascii="Calibri" w:hAnsi="Calibri" w:cs="Calibri"/>
                <w:color w:val="000000"/>
                <w:sz w:val="18"/>
                <w:szCs w:val="18"/>
              </w:rPr>
            </w:pPr>
            <w:r>
              <w:rPr>
                <w:rFonts w:ascii="Calibri" w:hAnsi="Calibri" w:cs="Calibri"/>
                <w:color w:val="000000"/>
                <w:sz w:val="18"/>
                <w:szCs w:val="18"/>
              </w:rPr>
              <w:t>-15 %</w:t>
            </w:r>
          </w:p>
        </w:tc>
      </w:tr>
      <w:tr w:rsidR="00E86106" w:rsidTr="00E86106">
        <w:trPr>
          <w:trHeight w:val="133"/>
        </w:trPr>
        <w:tc>
          <w:tcPr>
            <w:tcW w:w="3397" w:type="dxa"/>
            <w:tcBorders>
              <w:top w:val="nil"/>
              <w:left w:val="single" w:sz="4" w:space="0" w:color="auto"/>
              <w:bottom w:val="single" w:sz="4" w:space="0" w:color="auto"/>
              <w:right w:val="single" w:sz="4" w:space="0" w:color="auto"/>
            </w:tcBorders>
            <w:shd w:val="clear" w:color="FDE9D9" w:fill="FFF2CC"/>
            <w:noWrap/>
            <w:vAlign w:val="center"/>
            <w:hideMark/>
          </w:tcPr>
          <w:p w:rsidR="00E86106" w:rsidRDefault="00E86106">
            <w:pPr>
              <w:rPr>
                <w:rFonts w:ascii="Calibri" w:hAnsi="Calibri" w:cs="Calibri"/>
                <w:color w:val="000000"/>
                <w:sz w:val="18"/>
                <w:szCs w:val="18"/>
              </w:rPr>
            </w:pPr>
            <w:r>
              <w:rPr>
                <w:rFonts w:ascii="Calibri" w:hAnsi="Calibri" w:cs="Calibri"/>
                <w:color w:val="000000"/>
                <w:sz w:val="18"/>
                <w:szCs w:val="18"/>
              </w:rPr>
              <w:t>Podíl kapitál. příjmů na celkových příjmech</w:t>
            </w:r>
          </w:p>
        </w:tc>
        <w:tc>
          <w:tcPr>
            <w:tcW w:w="709" w:type="dxa"/>
            <w:tcBorders>
              <w:top w:val="nil"/>
              <w:left w:val="nil"/>
              <w:bottom w:val="single" w:sz="4" w:space="0" w:color="auto"/>
              <w:right w:val="single" w:sz="4" w:space="0" w:color="auto"/>
            </w:tcBorders>
            <w:shd w:val="clear" w:color="FDE9D9" w:fill="FFF2CC"/>
            <w:noWrap/>
            <w:vAlign w:val="center"/>
            <w:hideMark/>
          </w:tcPr>
          <w:p w:rsidR="00E86106" w:rsidRDefault="00E86106">
            <w:pPr>
              <w:jc w:val="right"/>
              <w:rPr>
                <w:rFonts w:ascii="Calibri" w:hAnsi="Calibri" w:cs="Calibri"/>
                <w:color w:val="000000"/>
                <w:sz w:val="18"/>
                <w:szCs w:val="18"/>
              </w:rPr>
            </w:pPr>
            <w:r>
              <w:rPr>
                <w:rFonts w:ascii="Calibri" w:hAnsi="Calibri" w:cs="Calibri"/>
                <w:color w:val="000000"/>
                <w:sz w:val="18"/>
                <w:szCs w:val="18"/>
              </w:rPr>
              <w:t>1 %</w:t>
            </w:r>
          </w:p>
        </w:tc>
        <w:tc>
          <w:tcPr>
            <w:tcW w:w="709" w:type="dxa"/>
            <w:tcBorders>
              <w:top w:val="nil"/>
              <w:left w:val="nil"/>
              <w:bottom w:val="single" w:sz="4" w:space="0" w:color="auto"/>
              <w:right w:val="single" w:sz="4" w:space="0" w:color="auto"/>
            </w:tcBorders>
            <w:shd w:val="clear" w:color="FDE9D9" w:fill="FFF2CC"/>
            <w:noWrap/>
            <w:vAlign w:val="center"/>
            <w:hideMark/>
          </w:tcPr>
          <w:p w:rsidR="00E86106" w:rsidRDefault="00E86106">
            <w:pPr>
              <w:jc w:val="right"/>
              <w:rPr>
                <w:rFonts w:ascii="Calibri" w:hAnsi="Calibri" w:cs="Calibri"/>
                <w:color w:val="000000"/>
                <w:sz w:val="18"/>
                <w:szCs w:val="18"/>
              </w:rPr>
            </w:pPr>
            <w:r>
              <w:rPr>
                <w:rFonts w:ascii="Calibri" w:hAnsi="Calibri" w:cs="Calibri"/>
                <w:color w:val="000000"/>
                <w:sz w:val="18"/>
                <w:szCs w:val="18"/>
              </w:rPr>
              <w:t>0 %</w:t>
            </w:r>
          </w:p>
        </w:tc>
        <w:tc>
          <w:tcPr>
            <w:tcW w:w="709" w:type="dxa"/>
            <w:tcBorders>
              <w:top w:val="nil"/>
              <w:left w:val="nil"/>
              <w:bottom w:val="single" w:sz="4" w:space="0" w:color="auto"/>
              <w:right w:val="single" w:sz="4" w:space="0" w:color="auto"/>
            </w:tcBorders>
            <w:shd w:val="clear" w:color="FDE9D9" w:fill="FFF2CC"/>
            <w:noWrap/>
            <w:vAlign w:val="center"/>
            <w:hideMark/>
          </w:tcPr>
          <w:p w:rsidR="00E86106" w:rsidRDefault="00E86106">
            <w:pPr>
              <w:jc w:val="right"/>
              <w:rPr>
                <w:rFonts w:ascii="Calibri" w:hAnsi="Calibri" w:cs="Calibri"/>
                <w:color w:val="000000"/>
                <w:sz w:val="18"/>
                <w:szCs w:val="18"/>
              </w:rPr>
            </w:pPr>
            <w:r>
              <w:rPr>
                <w:rFonts w:ascii="Calibri" w:hAnsi="Calibri" w:cs="Calibri"/>
                <w:color w:val="000000"/>
                <w:sz w:val="18"/>
                <w:szCs w:val="18"/>
              </w:rPr>
              <w:t>1 %</w:t>
            </w:r>
          </w:p>
        </w:tc>
        <w:tc>
          <w:tcPr>
            <w:tcW w:w="708" w:type="dxa"/>
            <w:tcBorders>
              <w:top w:val="nil"/>
              <w:left w:val="nil"/>
              <w:bottom w:val="single" w:sz="4" w:space="0" w:color="auto"/>
              <w:right w:val="single" w:sz="4" w:space="0" w:color="auto"/>
            </w:tcBorders>
            <w:shd w:val="clear" w:color="FDE9D9" w:fill="FFF2CC"/>
            <w:noWrap/>
            <w:vAlign w:val="center"/>
            <w:hideMark/>
          </w:tcPr>
          <w:p w:rsidR="00E86106" w:rsidRDefault="00E86106">
            <w:pPr>
              <w:jc w:val="right"/>
              <w:rPr>
                <w:rFonts w:ascii="Calibri" w:hAnsi="Calibri" w:cs="Calibri"/>
                <w:color w:val="000000"/>
                <w:sz w:val="18"/>
                <w:szCs w:val="18"/>
              </w:rPr>
            </w:pPr>
            <w:r>
              <w:rPr>
                <w:rFonts w:ascii="Calibri" w:hAnsi="Calibri" w:cs="Calibri"/>
                <w:color w:val="000000"/>
                <w:sz w:val="18"/>
                <w:szCs w:val="18"/>
              </w:rPr>
              <w:t>8 %</w:t>
            </w:r>
          </w:p>
        </w:tc>
        <w:tc>
          <w:tcPr>
            <w:tcW w:w="709" w:type="dxa"/>
            <w:tcBorders>
              <w:top w:val="nil"/>
              <w:left w:val="nil"/>
              <w:bottom w:val="single" w:sz="4" w:space="0" w:color="auto"/>
              <w:right w:val="single" w:sz="4" w:space="0" w:color="auto"/>
            </w:tcBorders>
            <w:shd w:val="clear" w:color="FDE9D9" w:fill="FFF2CC"/>
            <w:noWrap/>
            <w:vAlign w:val="center"/>
            <w:hideMark/>
          </w:tcPr>
          <w:p w:rsidR="00E86106" w:rsidRDefault="00E86106">
            <w:pPr>
              <w:jc w:val="right"/>
              <w:rPr>
                <w:rFonts w:ascii="Calibri" w:hAnsi="Calibri" w:cs="Calibri"/>
                <w:color w:val="000000"/>
                <w:sz w:val="18"/>
                <w:szCs w:val="18"/>
              </w:rPr>
            </w:pPr>
            <w:r>
              <w:rPr>
                <w:rFonts w:ascii="Calibri" w:hAnsi="Calibri" w:cs="Calibri"/>
                <w:color w:val="000000"/>
                <w:sz w:val="18"/>
                <w:szCs w:val="18"/>
              </w:rPr>
              <w:t>2 %</w:t>
            </w:r>
          </w:p>
        </w:tc>
        <w:tc>
          <w:tcPr>
            <w:tcW w:w="709" w:type="dxa"/>
            <w:tcBorders>
              <w:top w:val="nil"/>
              <w:left w:val="nil"/>
              <w:bottom w:val="single" w:sz="4" w:space="0" w:color="auto"/>
              <w:right w:val="single" w:sz="4" w:space="0" w:color="auto"/>
            </w:tcBorders>
            <w:shd w:val="clear" w:color="FDE9D9" w:fill="FFF2CC"/>
            <w:noWrap/>
            <w:vAlign w:val="center"/>
            <w:hideMark/>
          </w:tcPr>
          <w:p w:rsidR="00E86106" w:rsidRDefault="00E86106">
            <w:pPr>
              <w:jc w:val="right"/>
              <w:rPr>
                <w:rFonts w:ascii="Calibri" w:hAnsi="Calibri" w:cs="Calibri"/>
                <w:color w:val="000000"/>
                <w:sz w:val="18"/>
                <w:szCs w:val="18"/>
              </w:rPr>
            </w:pPr>
            <w:r>
              <w:rPr>
                <w:rFonts w:ascii="Calibri" w:hAnsi="Calibri" w:cs="Calibri"/>
                <w:color w:val="000000"/>
                <w:sz w:val="18"/>
                <w:szCs w:val="18"/>
              </w:rPr>
              <w:t>1 %</w:t>
            </w:r>
          </w:p>
        </w:tc>
        <w:tc>
          <w:tcPr>
            <w:tcW w:w="709" w:type="dxa"/>
            <w:tcBorders>
              <w:top w:val="nil"/>
              <w:left w:val="nil"/>
              <w:bottom w:val="single" w:sz="4" w:space="0" w:color="auto"/>
              <w:right w:val="single" w:sz="4" w:space="0" w:color="auto"/>
            </w:tcBorders>
            <w:shd w:val="clear" w:color="FDE9D9" w:fill="FFF2CC"/>
            <w:noWrap/>
            <w:vAlign w:val="center"/>
            <w:hideMark/>
          </w:tcPr>
          <w:p w:rsidR="00E86106" w:rsidRDefault="00E86106">
            <w:pPr>
              <w:jc w:val="right"/>
              <w:rPr>
                <w:rFonts w:ascii="Calibri" w:hAnsi="Calibri" w:cs="Calibri"/>
                <w:color w:val="000000"/>
                <w:sz w:val="18"/>
                <w:szCs w:val="18"/>
              </w:rPr>
            </w:pPr>
            <w:r>
              <w:rPr>
                <w:rFonts w:ascii="Calibri" w:hAnsi="Calibri" w:cs="Calibri"/>
                <w:color w:val="000000"/>
                <w:sz w:val="18"/>
                <w:szCs w:val="18"/>
              </w:rPr>
              <w:t>1 %</w:t>
            </w:r>
          </w:p>
        </w:tc>
        <w:tc>
          <w:tcPr>
            <w:tcW w:w="708" w:type="dxa"/>
            <w:tcBorders>
              <w:top w:val="nil"/>
              <w:left w:val="nil"/>
              <w:bottom w:val="single" w:sz="4" w:space="0" w:color="auto"/>
              <w:right w:val="single" w:sz="4" w:space="0" w:color="auto"/>
            </w:tcBorders>
            <w:shd w:val="clear" w:color="FDE9D9" w:fill="FFF2CC"/>
            <w:noWrap/>
            <w:vAlign w:val="center"/>
            <w:hideMark/>
          </w:tcPr>
          <w:p w:rsidR="00E86106" w:rsidRDefault="00E86106">
            <w:pPr>
              <w:jc w:val="right"/>
              <w:rPr>
                <w:rFonts w:ascii="Calibri" w:hAnsi="Calibri" w:cs="Calibri"/>
                <w:color w:val="000000"/>
                <w:sz w:val="18"/>
                <w:szCs w:val="18"/>
              </w:rPr>
            </w:pPr>
            <w:r>
              <w:rPr>
                <w:rFonts w:ascii="Calibri" w:hAnsi="Calibri" w:cs="Calibri"/>
                <w:color w:val="000000"/>
                <w:sz w:val="18"/>
                <w:szCs w:val="18"/>
              </w:rPr>
              <w:t>0 %</w:t>
            </w:r>
          </w:p>
        </w:tc>
      </w:tr>
    </w:tbl>
    <w:p w:rsidR="00C366C4" w:rsidRDefault="00C366C4" w:rsidP="00C366C4"/>
    <w:p w:rsidR="00C366C4" w:rsidRPr="00C366C4" w:rsidRDefault="00C366C4" w:rsidP="00C366C4"/>
    <w:p w:rsidR="00F6152C" w:rsidRDefault="00F6152C" w:rsidP="00F6152C"/>
    <w:p w:rsidR="00405DC3" w:rsidRPr="00F6152C" w:rsidRDefault="00405DC3" w:rsidP="00F6152C"/>
    <w:p w:rsidR="006D5A4F" w:rsidRDefault="006D5A4F" w:rsidP="00405DC3">
      <w:pPr>
        <w:pStyle w:val="Nadpis2"/>
        <w:keepLines/>
      </w:pPr>
      <w:bookmarkStart w:id="20" w:name="_Toc39129507"/>
      <w:bookmarkStart w:id="21" w:name="_Ref39394880"/>
    </w:p>
    <w:p w:rsidR="006D5A4F" w:rsidRPr="006D5A4F" w:rsidRDefault="006D5A4F" w:rsidP="006D5A4F"/>
    <w:p w:rsidR="0087769D" w:rsidRDefault="00E03BA8" w:rsidP="00405DC3">
      <w:pPr>
        <w:pStyle w:val="Nadpis2"/>
        <w:keepLines/>
      </w:pPr>
      <w:r>
        <w:lastRenderedPageBreak/>
        <w:t xml:space="preserve">Třída 4: </w:t>
      </w:r>
      <w:r w:rsidR="0087769D">
        <w:t>Přijaté transfery</w:t>
      </w:r>
      <w:r w:rsidR="007E7FE7">
        <w:t xml:space="preserve"> (</w:t>
      </w:r>
      <w:r w:rsidR="00594B94">
        <w:t>111,10</w:t>
      </w:r>
      <w:r w:rsidR="007E7FE7">
        <w:t xml:space="preserve"> mil. Kč)</w:t>
      </w:r>
      <w:bookmarkEnd w:id="20"/>
      <w:bookmarkEnd w:id="21"/>
    </w:p>
    <w:p w:rsidR="0087769D" w:rsidRPr="005E2168" w:rsidRDefault="00405DC3" w:rsidP="0069071E">
      <w:pPr>
        <w:keepNext/>
        <w:keepLines/>
        <w:jc w:val="both"/>
        <w:rPr>
          <w:rFonts w:asciiTheme="minorHAnsi" w:hAnsiTheme="minorHAnsi" w:cstheme="minorHAnsi"/>
          <w:sz w:val="22"/>
          <w:szCs w:val="22"/>
        </w:rPr>
      </w:pPr>
      <w:r>
        <w:rPr>
          <w:rFonts w:asciiTheme="minorHAnsi" w:hAnsiTheme="minorHAnsi" w:cstheme="minorHAnsi"/>
          <w:sz w:val="22"/>
          <w:szCs w:val="22"/>
        </w:rPr>
        <w:t>Příjmy z přijatých transferů</w:t>
      </w:r>
      <w:r w:rsidR="0087769D" w:rsidRPr="005E2168">
        <w:rPr>
          <w:rFonts w:asciiTheme="minorHAnsi" w:hAnsiTheme="minorHAnsi" w:cstheme="minorHAnsi"/>
          <w:sz w:val="22"/>
          <w:szCs w:val="22"/>
        </w:rPr>
        <w:t xml:space="preserve"> v roce 20</w:t>
      </w:r>
      <w:r w:rsidR="00DF05E4">
        <w:rPr>
          <w:rFonts w:asciiTheme="minorHAnsi" w:hAnsiTheme="minorHAnsi" w:cstheme="minorHAnsi"/>
          <w:sz w:val="22"/>
          <w:szCs w:val="22"/>
        </w:rPr>
        <w:t>2</w:t>
      </w:r>
      <w:r w:rsidR="00594B94">
        <w:rPr>
          <w:rFonts w:asciiTheme="minorHAnsi" w:hAnsiTheme="minorHAnsi" w:cstheme="minorHAnsi"/>
          <w:sz w:val="22"/>
          <w:szCs w:val="22"/>
        </w:rPr>
        <w:t>2</w:t>
      </w:r>
      <w:r w:rsidR="0087769D" w:rsidRPr="005E2168">
        <w:rPr>
          <w:rFonts w:asciiTheme="minorHAnsi" w:hAnsiTheme="minorHAnsi" w:cstheme="minorHAnsi"/>
          <w:sz w:val="22"/>
          <w:szCs w:val="22"/>
        </w:rPr>
        <w:t xml:space="preserve"> byly plněny na </w:t>
      </w:r>
      <w:r w:rsidR="00DF05E4">
        <w:rPr>
          <w:rFonts w:asciiTheme="minorHAnsi" w:hAnsiTheme="minorHAnsi" w:cstheme="minorHAnsi"/>
          <w:sz w:val="22"/>
          <w:szCs w:val="22"/>
        </w:rPr>
        <w:t>89,</w:t>
      </w:r>
      <w:r w:rsidR="00594B94">
        <w:rPr>
          <w:rFonts w:asciiTheme="minorHAnsi" w:hAnsiTheme="minorHAnsi" w:cstheme="minorHAnsi"/>
          <w:sz w:val="22"/>
          <w:szCs w:val="22"/>
        </w:rPr>
        <w:t>98</w:t>
      </w:r>
      <w:r w:rsidR="0087769D" w:rsidRPr="005E2168">
        <w:rPr>
          <w:rFonts w:asciiTheme="minorHAnsi" w:hAnsiTheme="minorHAnsi" w:cstheme="minorHAnsi"/>
          <w:sz w:val="22"/>
          <w:szCs w:val="22"/>
        </w:rPr>
        <w:t xml:space="preserve"> % a jejich podíl na celkových skutečných příjmech po konsolidaci činil </w:t>
      </w:r>
      <w:r w:rsidR="00594B94">
        <w:rPr>
          <w:rFonts w:asciiTheme="minorHAnsi" w:hAnsiTheme="minorHAnsi" w:cstheme="minorHAnsi"/>
          <w:sz w:val="22"/>
          <w:szCs w:val="22"/>
        </w:rPr>
        <w:t>8,76</w:t>
      </w:r>
      <w:r w:rsidR="0087769D" w:rsidRPr="005E2168">
        <w:rPr>
          <w:rFonts w:asciiTheme="minorHAnsi" w:hAnsiTheme="minorHAnsi" w:cstheme="minorHAnsi"/>
          <w:sz w:val="22"/>
          <w:szCs w:val="22"/>
        </w:rPr>
        <w:t xml:space="preserve"> %.</w:t>
      </w:r>
    </w:p>
    <w:p w:rsidR="00022E6A" w:rsidRDefault="00022E6A" w:rsidP="0024764D">
      <w:pPr>
        <w:pStyle w:val="Nadpis3"/>
        <w:rPr>
          <w:b w:val="0"/>
        </w:rPr>
      </w:pPr>
      <w:bookmarkStart w:id="22" w:name="_Toc39129508"/>
      <w:r w:rsidRPr="00405DC3">
        <w:rPr>
          <w:b w:val="0"/>
        </w:rPr>
        <w:t>Srovnání p</w:t>
      </w:r>
      <w:r w:rsidR="00575B95" w:rsidRPr="00405DC3">
        <w:rPr>
          <w:b w:val="0"/>
        </w:rPr>
        <w:t>řijatých transferů v letech 201</w:t>
      </w:r>
      <w:r w:rsidR="00594B94">
        <w:rPr>
          <w:b w:val="0"/>
        </w:rPr>
        <w:t>5</w:t>
      </w:r>
      <w:r w:rsidR="004A44EC" w:rsidRPr="00405DC3">
        <w:rPr>
          <w:b w:val="0"/>
        </w:rPr>
        <w:t xml:space="preserve"> </w:t>
      </w:r>
      <w:r w:rsidRPr="00405DC3">
        <w:rPr>
          <w:b w:val="0"/>
        </w:rPr>
        <w:t>-</w:t>
      </w:r>
      <w:r w:rsidR="004A44EC" w:rsidRPr="00405DC3">
        <w:rPr>
          <w:b w:val="0"/>
        </w:rPr>
        <w:t xml:space="preserve"> </w:t>
      </w:r>
      <w:r w:rsidR="00575B95" w:rsidRPr="00405DC3">
        <w:rPr>
          <w:b w:val="0"/>
        </w:rPr>
        <w:t>202</w:t>
      </w:r>
      <w:r w:rsidR="00594B94">
        <w:rPr>
          <w:b w:val="0"/>
        </w:rPr>
        <w:t>2</w:t>
      </w:r>
      <w:r w:rsidRPr="00405DC3">
        <w:rPr>
          <w:b w:val="0"/>
        </w:rPr>
        <w:t xml:space="preserve"> v tis. Kč</w:t>
      </w:r>
      <w:bookmarkEnd w:id="22"/>
    </w:p>
    <w:tbl>
      <w:tblPr>
        <w:tblW w:w="9493" w:type="dxa"/>
        <w:tblCellMar>
          <w:left w:w="70" w:type="dxa"/>
          <w:right w:w="70" w:type="dxa"/>
        </w:tblCellMar>
        <w:tblLook w:val="04A0" w:firstRow="1" w:lastRow="0" w:firstColumn="1" w:lastColumn="0" w:noHBand="0" w:noVBand="1"/>
      </w:tblPr>
      <w:tblGrid>
        <w:gridCol w:w="3256"/>
        <w:gridCol w:w="708"/>
        <w:gridCol w:w="709"/>
        <w:gridCol w:w="709"/>
        <w:gridCol w:w="709"/>
        <w:gridCol w:w="850"/>
        <w:gridCol w:w="799"/>
        <w:gridCol w:w="902"/>
        <w:gridCol w:w="851"/>
      </w:tblGrid>
      <w:tr w:rsidR="00594B94" w:rsidTr="00594B94">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B94" w:rsidRDefault="00594B94">
            <w:pPr>
              <w:rPr>
                <w:rFonts w:ascii="Calibri" w:hAnsi="Calibri" w:cs="Calibri"/>
                <w:color w:val="000000"/>
                <w:sz w:val="22"/>
                <w:szCs w:val="22"/>
              </w:rPr>
            </w:pPr>
            <w:r>
              <w:rPr>
                <w:rFonts w:ascii="Calibri" w:hAnsi="Calibri" w:cs="Calibri"/>
                <w:color w:val="000000"/>
                <w:sz w:val="22"/>
                <w:szCs w:val="22"/>
              </w:rPr>
              <w:t> </w:t>
            </w:r>
          </w:p>
        </w:tc>
        <w:tc>
          <w:tcPr>
            <w:tcW w:w="708" w:type="dxa"/>
            <w:tcBorders>
              <w:top w:val="single" w:sz="4" w:space="0" w:color="auto"/>
              <w:left w:val="nil"/>
              <w:bottom w:val="single" w:sz="4" w:space="0" w:color="auto"/>
              <w:right w:val="single" w:sz="4" w:space="0" w:color="auto"/>
            </w:tcBorders>
            <w:shd w:val="clear" w:color="D6A100" w:fill="FFC000"/>
            <w:noWrap/>
            <w:vAlign w:val="center"/>
            <w:hideMark/>
          </w:tcPr>
          <w:p w:rsidR="00594B94" w:rsidRDefault="00594B94">
            <w:pPr>
              <w:jc w:val="center"/>
              <w:rPr>
                <w:rFonts w:ascii="Calibri" w:hAnsi="Calibri" w:cs="Calibri"/>
                <w:color w:val="000000"/>
                <w:sz w:val="18"/>
                <w:szCs w:val="18"/>
              </w:rPr>
            </w:pPr>
            <w:r>
              <w:rPr>
                <w:rFonts w:ascii="Calibri" w:hAnsi="Calibri" w:cs="Calibri"/>
                <w:color w:val="000000"/>
                <w:sz w:val="18"/>
                <w:szCs w:val="18"/>
              </w:rPr>
              <w:t>2015</w:t>
            </w:r>
          </w:p>
        </w:tc>
        <w:tc>
          <w:tcPr>
            <w:tcW w:w="709" w:type="dxa"/>
            <w:tcBorders>
              <w:top w:val="single" w:sz="4" w:space="0" w:color="auto"/>
              <w:left w:val="nil"/>
              <w:bottom w:val="single" w:sz="4" w:space="0" w:color="auto"/>
              <w:right w:val="single" w:sz="4" w:space="0" w:color="auto"/>
            </w:tcBorders>
            <w:shd w:val="clear" w:color="D6A100" w:fill="FFC000"/>
            <w:noWrap/>
            <w:vAlign w:val="center"/>
            <w:hideMark/>
          </w:tcPr>
          <w:p w:rsidR="00594B94" w:rsidRDefault="00594B94">
            <w:pPr>
              <w:jc w:val="center"/>
              <w:rPr>
                <w:rFonts w:ascii="Calibri" w:hAnsi="Calibri" w:cs="Calibri"/>
                <w:color w:val="000000"/>
                <w:sz w:val="18"/>
                <w:szCs w:val="18"/>
              </w:rPr>
            </w:pPr>
            <w:r>
              <w:rPr>
                <w:rFonts w:ascii="Calibri" w:hAnsi="Calibri" w:cs="Calibri"/>
                <w:color w:val="000000"/>
                <w:sz w:val="18"/>
                <w:szCs w:val="18"/>
              </w:rPr>
              <w:t>2016</w:t>
            </w:r>
          </w:p>
        </w:tc>
        <w:tc>
          <w:tcPr>
            <w:tcW w:w="709" w:type="dxa"/>
            <w:tcBorders>
              <w:top w:val="single" w:sz="4" w:space="0" w:color="auto"/>
              <w:left w:val="nil"/>
              <w:bottom w:val="single" w:sz="4" w:space="0" w:color="auto"/>
              <w:right w:val="single" w:sz="4" w:space="0" w:color="auto"/>
            </w:tcBorders>
            <w:shd w:val="clear" w:color="D6A100" w:fill="FFC000"/>
            <w:noWrap/>
            <w:vAlign w:val="center"/>
            <w:hideMark/>
          </w:tcPr>
          <w:p w:rsidR="00594B94" w:rsidRDefault="00594B94">
            <w:pPr>
              <w:jc w:val="center"/>
              <w:rPr>
                <w:rFonts w:ascii="Calibri" w:hAnsi="Calibri" w:cs="Calibri"/>
                <w:color w:val="000000"/>
                <w:sz w:val="18"/>
                <w:szCs w:val="18"/>
              </w:rPr>
            </w:pPr>
            <w:r>
              <w:rPr>
                <w:rFonts w:ascii="Calibri" w:hAnsi="Calibri" w:cs="Calibri"/>
                <w:color w:val="000000"/>
                <w:sz w:val="18"/>
                <w:szCs w:val="18"/>
              </w:rPr>
              <w:t>2017</w:t>
            </w:r>
          </w:p>
        </w:tc>
        <w:tc>
          <w:tcPr>
            <w:tcW w:w="709" w:type="dxa"/>
            <w:tcBorders>
              <w:top w:val="single" w:sz="4" w:space="0" w:color="auto"/>
              <w:left w:val="nil"/>
              <w:bottom w:val="single" w:sz="4" w:space="0" w:color="auto"/>
              <w:right w:val="single" w:sz="4" w:space="0" w:color="auto"/>
            </w:tcBorders>
            <w:shd w:val="clear" w:color="D6A100" w:fill="FFC000"/>
            <w:noWrap/>
            <w:vAlign w:val="center"/>
            <w:hideMark/>
          </w:tcPr>
          <w:p w:rsidR="00594B94" w:rsidRDefault="00594B94">
            <w:pPr>
              <w:jc w:val="center"/>
              <w:rPr>
                <w:rFonts w:ascii="Calibri" w:hAnsi="Calibri" w:cs="Calibri"/>
                <w:color w:val="000000"/>
                <w:sz w:val="18"/>
                <w:szCs w:val="18"/>
              </w:rPr>
            </w:pPr>
            <w:r>
              <w:rPr>
                <w:rFonts w:ascii="Calibri" w:hAnsi="Calibri" w:cs="Calibri"/>
                <w:color w:val="000000"/>
                <w:sz w:val="18"/>
                <w:szCs w:val="18"/>
              </w:rPr>
              <w:t>2018</w:t>
            </w:r>
          </w:p>
        </w:tc>
        <w:tc>
          <w:tcPr>
            <w:tcW w:w="850" w:type="dxa"/>
            <w:tcBorders>
              <w:top w:val="single" w:sz="4" w:space="0" w:color="auto"/>
              <w:left w:val="nil"/>
              <w:bottom w:val="single" w:sz="4" w:space="0" w:color="auto"/>
              <w:right w:val="single" w:sz="4" w:space="0" w:color="auto"/>
            </w:tcBorders>
            <w:shd w:val="clear" w:color="D6A100" w:fill="FFC000"/>
            <w:noWrap/>
            <w:vAlign w:val="center"/>
            <w:hideMark/>
          </w:tcPr>
          <w:p w:rsidR="00594B94" w:rsidRDefault="00594B94">
            <w:pPr>
              <w:jc w:val="center"/>
              <w:rPr>
                <w:rFonts w:ascii="Calibri" w:hAnsi="Calibri" w:cs="Calibri"/>
                <w:color w:val="000000"/>
                <w:sz w:val="18"/>
                <w:szCs w:val="18"/>
              </w:rPr>
            </w:pPr>
            <w:r>
              <w:rPr>
                <w:rFonts w:ascii="Calibri" w:hAnsi="Calibri" w:cs="Calibri"/>
                <w:color w:val="000000"/>
                <w:sz w:val="18"/>
                <w:szCs w:val="18"/>
              </w:rPr>
              <w:t>2019</w:t>
            </w:r>
          </w:p>
        </w:tc>
        <w:tc>
          <w:tcPr>
            <w:tcW w:w="799" w:type="dxa"/>
            <w:tcBorders>
              <w:top w:val="single" w:sz="4" w:space="0" w:color="auto"/>
              <w:left w:val="nil"/>
              <w:bottom w:val="single" w:sz="4" w:space="0" w:color="auto"/>
              <w:right w:val="single" w:sz="4" w:space="0" w:color="auto"/>
            </w:tcBorders>
            <w:shd w:val="clear" w:color="D6A100" w:fill="FFC000"/>
            <w:noWrap/>
            <w:vAlign w:val="center"/>
            <w:hideMark/>
          </w:tcPr>
          <w:p w:rsidR="00594B94" w:rsidRDefault="00594B94">
            <w:pPr>
              <w:jc w:val="center"/>
              <w:rPr>
                <w:rFonts w:ascii="Calibri" w:hAnsi="Calibri" w:cs="Calibri"/>
                <w:color w:val="000000"/>
                <w:sz w:val="18"/>
                <w:szCs w:val="18"/>
              </w:rPr>
            </w:pPr>
            <w:r>
              <w:rPr>
                <w:rFonts w:ascii="Calibri" w:hAnsi="Calibri" w:cs="Calibri"/>
                <w:color w:val="000000"/>
                <w:sz w:val="18"/>
                <w:szCs w:val="18"/>
              </w:rPr>
              <w:t>2020</w:t>
            </w:r>
          </w:p>
        </w:tc>
        <w:tc>
          <w:tcPr>
            <w:tcW w:w="902" w:type="dxa"/>
            <w:tcBorders>
              <w:top w:val="single" w:sz="4" w:space="0" w:color="auto"/>
              <w:left w:val="nil"/>
              <w:bottom w:val="single" w:sz="4" w:space="0" w:color="auto"/>
              <w:right w:val="single" w:sz="4" w:space="0" w:color="auto"/>
            </w:tcBorders>
            <w:shd w:val="clear" w:color="D6A100" w:fill="FFC000"/>
            <w:noWrap/>
            <w:vAlign w:val="center"/>
            <w:hideMark/>
          </w:tcPr>
          <w:p w:rsidR="00594B94" w:rsidRDefault="00594B94">
            <w:pPr>
              <w:jc w:val="center"/>
              <w:rPr>
                <w:rFonts w:ascii="Calibri" w:hAnsi="Calibri" w:cs="Calibri"/>
                <w:color w:val="000000"/>
                <w:sz w:val="18"/>
                <w:szCs w:val="18"/>
              </w:rPr>
            </w:pPr>
            <w:r>
              <w:rPr>
                <w:rFonts w:ascii="Calibri" w:hAnsi="Calibri" w:cs="Calibri"/>
                <w:color w:val="000000"/>
                <w:sz w:val="18"/>
                <w:szCs w:val="18"/>
              </w:rPr>
              <w:t>2021</w:t>
            </w:r>
          </w:p>
        </w:tc>
        <w:tc>
          <w:tcPr>
            <w:tcW w:w="851" w:type="dxa"/>
            <w:tcBorders>
              <w:top w:val="single" w:sz="4" w:space="0" w:color="auto"/>
              <w:left w:val="nil"/>
              <w:bottom w:val="single" w:sz="4" w:space="0" w:color="auto"/>
              <w:right w:val="single" w:sz="4" w:space="0" w:color="auto"/>
            </w:tcBorders>
            <w:shd w:val="clear" w:color="D6A100" w:fill="FFC000"/>
            <w:noWrap/>
            <w:vAlign w:val="center"/>
            <w:hideMark/>
          </w:tcPr>
          <w:p w:rsidR="00594B94" w:rsidRDefault="00594B94">
            <w:pPr>
              <w:jc w:val="center"/>
              <w:rPr>
                <w:rFonts w:ascii="Calibri" w:hAnsi="Calibri" w:cs="Calibri"/>
                <w:color w:val="000000"/>
                <w:sz w:val="18"/>
                <w:szCs w:val="18"/>
              </w:rPr>
            </w:pPr>
            <w:r>
              <w:rPr>
                <w:rFonts w:ascii="Calibri" w:hAnsi="Calibri" w:cs="Calibri"/>
                <w:color w:val="000000"/>
                <w:sz w:val="18"/>
                <w:szCs w:val="18"/>
              </w:rPr>
              <w:t>2022</w:t>
            </w:r>
          </w:p>
        </w:tc>
      </w:tr>
      <w:tr w:rsidR="00594B94" w:rsidTr="00594B94">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B94" w:rsidRDefault="00594B94">
            <w:pPr>
              <w:rPr>
                <w:rFonts w:ascii="Calibri" w:hAnsi="Calibri" w:cs="Calibri"/>
                <w:color w:val="000000"/>
                <w:sz w:val="18"/>
                <w:szCs w:val="18"/>
              </w:rPr>
            </w:pPr>
            <w:r>
              <w:rPr>
                <w:rFonts w:ascii="Calibri" w:hAnsi="Calibri" w:cs="Calibri"/>
                <w:color w:val="000000"/>
                <w:sz w:val="18"/>
                <w:szCs w:val="18"/>
              </w:rPr>
              <w:t>Neinvestiční přijaté transfery</w:t>
            </w:r>
          </w:p>
        </w:tc>
        <w:tc>
          <w:tcPr>
            <w:tcW w:w="708" w:type="dxa"/>
            <w:tcBorders>
              <w:top w:val="nil"/>
              <w:left w:val="nil"/>
              <w:bottom w:val="single" w:sz="4" w:space="0" w:color="auto"/>
              <w:right w:val="single" w:sz="4" w:space="0" w:color="auto"/>
            </w:tcBorders>
            <w:shd w:val="clear" w:color="auto" w:fill="auto"/>
            <w:noWrap/>
            <w:vAlign w:val="center"/>
            <w:hideMark/>
          </w:tcPr>
          <w:p w:rsidR="00594B94" w:rsidRDefault="00594B94">
            <w:pPr>
              <w:jc w:val="right"/>
              <w:rPr>
                <w:rFonts w:ascii="Calibri" w:hAnsi="Calibri" w:cs="Calibri"/>
                <w:color w:val="000000"/>
                <w:sz w:val="18"/>
                <w:szCs w:val="18"/>
              </w:rPr>
            </w:pPr>
            <w:r>
              <w:rPr>
                <w:rFonts w:ascii="Calibri" w:hAnsi="Calibri" w:cs="Calibri"/>
                <w:color w:val="000000"/>
                <w:sz w:val="18"/>
                <w:szCs w:val="18"/>
              </w:rPr>
              <w:t>75 780</w:t>
            </w:r>
          </w:p>
        </w:tc>
        <w:tc>
          <w:tcPr>
            <w:tcW w:w="709" w:type="dxa"/>
            <w:tcBorders>
              <w:top w:val="nil"/>
              <w:left w:val="nil"/>
              <w:bottom w:val="single" w:sz="4" w:space="0" w:color="auto"/>
              <w:right w:val="single" w:sz="4" w:space="0" w:color="auto"/>
            </w:tcBorders>
            <w:shd w:val="clear" w:color="auto" w:fill="auto"/>
            <w:noWrap/>
            <w:vAlign w:val="center"/>
            <w:hideMark/>
          </w:tcPr>
          <w:p w:rsidR="00594B94" w:rsidRDefault="00594B94">
            <w:pPr>
              <w:jc w:val="right"/>
              <w:rPr>
                <w:rFonts w:ascii="Calibri" w:hAnsi="Calibri" w:cs="Calibri"/>
                <w:color w:val="000000"/>
                <w:sz w:val="18"/>
                <w:szCs w:val="18"/>
              </w:rPr>
            </w:pPr>
            <w:r>
              <w:rPr>
                <w:rFonts w:ascii="Calibri" w:hAnsi="Calibri" w:cs="Calibri"/>
                <w:color w:val="000000"/>
                <w:sz w:val="18"/>
                <w:szCs w:val="18"/>
              </w:rPr>
              <w:t>72 781</w:t>
            </w:r>
          </w:p>
        </w:tc>
        <w:tc>
          <w:tcPr>
            <w:tcW w:w="709" w:type="dxa"/>
            <w:tcBorders>
              <w:top w:val="nil"/>
              <w:left w:val="nil"/>
              <w:bottom w:val="single" w:sz="4" w:space="0" w:color="auto"/>
              <w:right w:val="single" w:sz="4" w:space="0" w:color="auto"/>
            </w:tcBorders>
            <w:shd w:val="clear" w:color="auto" w:fill="auto"/>
            <w:noWrap/>
            <w:vAlign w:val="center"/>
            <w:hideMark/>
          </w:tcPr>
          <w:p w:rsidR="00594B94" w:rsidRDefault="00594B94">
            <w:pPr>
              <w:jc w:val="right"/>
              <w:rPr>
                <w:rFonts w:ascii="Calibri" w:hAnsi="Calibri" w:cs="Calibri"/>
                <w:color w:val="000000"/>
                <w:sz w:val="18"/>
                <w:szCs w:val="18"/>
              </w:rPr>
            </w:pPr>
            <w:r>
              <w:rPr>
                <w:rFonts w:ascii="Calibri" w:hAnsi="Calibri" w:cs="Calibri"/>
                <w:color w:val="000000"/>
                <w:sz w:val="18"/>
                <w:szCs w:val="18"/>
              </w:rPr>
              <w:t>89 631</w:t>
            </w:r>
          </w:p>
        </w:tc>
        <w:tc>
          <w:tcPr>
            <w:tcW w:w="709" w:type="dxa"/>
            <w:tcBorders>
              <w:top w:val="nil"/>
              <w:left w:val="nil"/>
              <w:bottom w:val="single" w:sz="4" w:space="0" w:color="auto"/>
              <w:right w:val="single" w:sz="4" w:space="0" w:color="auto"/>
            </w:tcBorders>
            <w:shd w:val="clear" w:color="auto" w:fill="auto"/>
            <w:noWrap/>
            <w:vAlign w:val="center"/>
            <w:hideMark/>
          </w:tcPr>
          <w:p w:rsidR="00594B94" w:rsidRDefault="00594B94">
            <w:pPr>
              <w:jc w:val="right"/>
              <w:rPr>
                <w:rFonts w:ascii="Calibri" w:hAnsi="Calibri" w:cs="Calibri"/>
                <w:color w:val="000000"/>
                <w:sz w:val="18"/>
                <w:szCs w:val="18"/>
              </w:rPr>
            </w:pPr>
            <w:r>
              <w:rPr>
                <w:rFonts w:ascii="Calibri" w:hAnsi="Calibri" w:cs="Calibri"/>
                <w:color w:val="000000"/>
                <w:sz w:val="18"/>
                <w:szCs w:val="18"/>
              </w:rPr>
              <w:t>96 872</w:t>
            </w:r>
          </w:p>
        </w:tc>
        <w:tc>
          <w:tcPr>
            <w:tcW w:w="850" w:type="dxa"/>
            <w:tcBorders>
              <w:top w:val="nil"/>
              <w:left w:val="nil"/>
              <w:bottom w:val="single" w:sz="4" w:space="0" w:color="auto"/>
              <w:right w:val="single" w:sz="4" w:space="0" w:color="auto"/>
            </w:tcBorders>
            <w:shd w:val="clear" w:color="auto" w:fill="auto"/>
            <w:noWrap/>
            <w:vAlign w:val="center"/>
            <w:hideMark/>
          </w:tcPr>
          <w:p w:rsidR="00594B94" w:rsidRDefault="00594B94">
            <w:pPr>
              <w:jc w:val="right"/>
              <w:rPr>
                <w:rFonts w:ascii="Calibri" w:hAnsi="Calibri" w:cs="Calibri"/>
                <w:color w:val="000000"/>
                <w:sz w:val="18"/>
                <w:szCs w:val="18"/>
              </w:rPr>
            </w:pPr>
            <w:r>
              <w:rPr>
                <w:rFonts w:ascii="Calibri" w:hAnsi="Calibri" w:cs="Calibri"/>
                <w:color w:val="000000"/>
                <w:sz w:val="18"/>
                <w:szCs w:val="18"/>
              </w:rPr>
              <w:t>132 253</w:t>
            </w:r>
          </w:p>
        </w:tc>
        <w:tc>
          <w:tcPr>
            <w:tcW w:w="799" w:type="dxa"/>
            <w:tcBorders>
              <w:top w:val="nil"/>
              <w:left w:val="nil"/>
              <w:bottom w:val="single" w:sz="4" w:space="0" w:color="auto"/>
              <w:right w:val="single" w:sz="4" w:space="0" w:color="auto"/>
            </w:tcBorders>
            <w:shd w:val="clear" w:color="auto" w:fill="auto"/>
            <w:noWrap/>
            <w:vAlign w:val="center"/>
            <w:hideMark/>
          </w:tcPr>
          <w:p w:rsidR="00594B94" w:rsidRDefault="00594B94">
            <w:pPr>
              <w:jc w:val="right"/>
              <w:rPr>
                <w:rFonts w:ascii="Calibri" w:hAnsi="Calibri" w:cs="Calibri"/>
                <w:color w:val="000000"/>
                <w:sz w:val="18"/>
                <w:szCs w:val="18"/>
              </w:rPr>
            </w:pPr>
            <w:r>
              <w:rPr>
                <w:rFonts w:ascii="Calibri" w:hAnsi="Calibri" w:cs="Calibri"/>
                <w:color w:val="000000"/>
                <w:sz w:val="18"/>
                <w:szCs w:val="18"/>
              </w:rPr>
              <w:t>191 728</w:t>
            </w:r>
          </w:p>
        </w:tc>
        <w:tc>
          <w:tcPr>
            <w:tcW w:w="902" w:type="dxa"/>
            <w:tcBorders>
              <w:top w:val="nil"/>
              <w:left w:val="nil"/>
              <w:bottom w:val="single" w:sz="4" w:space="0" w:color="auto"/>
              <w:right w:val="single" w:sz="4" w:space="0" w:color="auto"/>
            </w:tcBorders>
            <w:shd w:val="clear" w:color="auto" w:fill="auto"/>
            <w:noWrap/>
            <w:vAlign w:val="center"/>
            <w:hideMark/>
          </w:tcPr>
          <w:p w:rsidR="00594B94" w:rsidRDefault="00594B94">
            <w:pPr>
              <w:jc w:val="right"/>
              <w:rPr>
                <w:rFonts w:ascii="Calibri" w:hAnsi="Calibri" w:cs="Calibri"/>
                <w:color w:val="000000"/>
                <w:sz w:val="18"/>
                <w:szCs w:val="18"/>
              </w:rPr>
            </w:pPr>
            <w:r>
              <w:rPr>
                <w:rFonts w:ascii="Calibri" w:hAnsi="Calibri" w:cs="Calibri"/>
                <w:color w:val="000000"/>
                <w:sz w:val="18"/>
                <w:szCs w:val="18"/>
              </w:rPr>
              <w:t>121 981</w:t>
            </w:r>
          </w:p>
        </w:tc>
        <w:tc>
          <w:tcPr>
            <w:tcW w:w="851" w:type="dxa"/>
            <w:tcBorders>
              <w:top w:val="nil"/>
              <w:left w:val="nil"/>
              <w:bottom w:val="single" w:sz="4" w:space="0" w:color="auto"/>
              <w:right w:val="single" w:sz="4" w:space="0" w:color="auto"/>
            </w:tcBorders>
            <w:shd w:val="clear" w:color="auto" w:fill="auto"/>
            <w:noWrap/>
            <w:vAlign w:val="center"/>
            <w:hideMark/>
          </w:tcPr>
          <w:p w:rsidR="00594B94" w:rsidRDefault="00594B94">
            <w:pPr>
              <w:jc w:val="right"/>
              <w:rPr>
                <w:rFonts w:ascii="Calibri" w:hAnsi="Calibri" w:cs="Calibri"/>
                <w:color w:val="000000"/>
                <w:sz w:val="18"/>
                <w:szCs w:val="18"/>
              </w:rPr>
            </w:pPr>
            <w:r>
              <w:rPr>
                <w:rFonts w:ascii="Calibri" w:hAnsi="Calibri" w:cs="Calibri"/>
                <w:color w:val="000000"/>
                <w:sz w:val="18"/>
                <w:szCs w:val="18"/>
              </w:rPr>
              <w:t>106 188</w:t>
            </w:r>
          </w:p>
        </w:tc>
      </w:tr>
      <w:tr w:rsidR="00594B94" w:rsidTr="00594B94">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B94" w:rsidRDefault="00594B94">
            <w:pPr>
              <w:rPr>
                <w:rFonts w:ascii="Calibri" w:hAnsi="Calibri" w:cs="Calibri"/>
                <w:color w:val="000000"/>
                <w:sz w:val="18"/>
                <w:szCs w:val="18"/>
              </w:rPr>
            </w:pPr>
            <w:r>
              <w:rPr>
                <w:rFonts w:ascii="Calibri" w:hAnsi="Calibri" w:cs="Calibri"/>
                <w:color w:val="000000"/>
                <w:sz w:val="18"/>
                <w:szCs w:val="18"/>
              </w:rPr>
              <w:t>Investiční přijaté transfery</w:t>
            </w:r>
          </w:p>
        </w:tc>
        <w:tc>
          <w:tcPr>
            <w:tcW w:w="708" w:type="dxa"/>
            <w:tcBorders>
              <w:top w:val="nil"/>
              <w:left w:val="nil"/>
              <w:bottom w:val="single" w:sz="4" w:space="0" w:color="auto"/>
              <w:right w:val="single" w:sz="4" w:space="0" w:color="auto"/>
            </w:tcBorders>
            <w:shd w:val="clear" w:color="auto" w:fill="auto"/>
            <w:noWrap/>
            <w:vAlign w:val="center"/>
            <w:hideMark/>
          </w:tcPr>
          <w:p w:rsidR="00594B94" w:rsidRDefault="00594B94">
            <w:pPr>
              <w:jc w:val="right"/>
              <w:rPr>
                <w:rFonts w:ascii="Calibri" w:hAnsi="Calibri" w:cs="Calibri"/>
                <w:color w:val="000000"/>
                <w:sz w:val="18"/>
                <w:szCs w:val="18"/>
              </w:rPr>
            </w:pPr>
            <w:r>
              <w:rPr>
                <w:rFonts w:ascii="Calibri" w:hAnsi="Calibri" w:cs="Calibri"/>
                <w:color w:val="000000"/>
                <w:sz w:val="18"/>
                <w:szCs w:val="18"/>
              </w:rPr>
              <w:t>33 960</w:t>
            </w:r>
          </w:p>
        </w:tc>
        <w:tc>
          <w:tcPr>
            <w:tcW w:w="709" w:type="dxa"/>
            <w:tcBorders>
              <w:top w:val="nil"/>
              <w:left w:val="nil"/>
              <w:bottom w:val="single" w:sz="4" w:space="0" w:color="auto"/>
              <w:right w:val="single" w:sz="4" w:space="0" w:color="auto"/>
            </w:tcBorders>
            <w:shd w:val="clear" w:color="auto" w:fill="auto"/>
            <w:noWrap/>
            <w:vAlign w:val="center"/>
            <w:hideMark/>
          </w:tcPr>
          <w:p w:rsidR="00594B94" w:rsidRDefault="00594B94">
            <w:pPr>
              <w:jc w:val="right"/>
              <w:rPr>
                <w:rFonts w:ascii="Calibri" w:hAnsi="Calibri" w:cs="Calibri"/>
                <w:color w:val="000000"/>
                <w:sz w:val="18"/>
                <w:szCs w:val="18"/>
              </w:rPr>
            </w:pPr>
            <w:r>
              <w:rPr>
                <w:rFonts w:ascii="Calibri" w:hAnsi="Calibri" w:cs="Calibri"/>
                <w:color w:val="000000"/>
                <w:sz w:val="18"/>
                <w:szCs w:val="18"/>
              </w:rPr>
              <w:t>602</w:t>
            </w:r>
          </w:p>
        </w:tc>
        <w:tc>
          <w:tcPr>
            <w:tcW w:w="709" w:type="dxa"/>
            <w:tcBorders>
              <w:top w:val="nil"/>
              <w:left w:val="nil"/>
              <w:bottom w:val="single" w:sz="4" w:space="0" w:color="auto"/>
              <w:right w:val="single" w:sz="4" w:space="0" w:color="auto"/>
            </w:tcBorders>
            <w:shd w:val="clear" w:color="auto" w:fill="auto"/>
            <w:noWrap/>
            <w:vAlign w:val="center"/>
            <w:hideMark/>
          </w:tcPr>
          <w:p w:rsidR="00594B94" w:rsidRDefault="00594B94">
            <w:pPr>
              <w:jc w:val="right"/>
              <w:rPr>
                <w:rFonts w:ascii="Calibri" w:hAnsi="Calibri" w:cs="Calibri"/>
                <w:color w:val="000000"/>
                <w:sz w:val="18"/>
                <w:szCs w:val="18"/>
              </w:rPr>
            </w:pPr>
            <w:r>
              <w:rPr>
                <w:rFonts w:ascii="Calibri" w:hAnsi="Calibri" w:cs="Calibri"/>
                <w:color w:val="000000"/>
                <w:sz w:val="18"/>
                <w:szCs w:val="18"/>
              </w:rPr>
              <w:t>9 543</w:t>
            </w:r>
          </w:p>
        </w:tc>
        <w:tc>
          <w:tcPr>
            <w:tcW w:w="709" w:type="dxa"/>
            <w:tcBorders>
              <w:top w:val="nil"/>
              <w:left w:val="nil"/>
              <w:bottom w:val="single" w:sz="4" w:space="0" w:color="auto"/>
              <w:right w:val="single" w:sz="4" w:space="0" w:color="auto"/>
            </w:tcBorders>
            <w:shd w:val="clear" w:color="auto" w:fill="auto"/>
            <w:noWrap/>
            <w:vAlign w:val="center"/>
            <w:hideMark/>
          </w:tcPr>
          <w:p w:rsidR="00594B94" w:rsidRDefault="00594B94">
            <w:pPr>
              <w:jc w:val="right"/>
              <w:rPr>
                <w:rFonts w:ascii="Calibri" w:hAnsi="Calibri" w:cs="Calibri"/>
                <w:color w:val="000000"/>
                <w:sz w:val="18"/>
                <w:szCs w:val="18"/>
              </w:rPr>
            </w:pPr>
            <w:r>
              <w:rPr>
                <w:rFonts w:ascii="Calibri" w:hAnsi="Calibri" w:cs="Calibri"/>
                <w:color w:val="000000"/>
                <w:sz w:val="18"/>
                <w:szCs w:val="18"/>
              </w:rPr>
              <w:t>19 812</w:t>
            </w:r>
          </w:p>
        </w:tc>
        <w:tc>
          <w:tcPr>
            <w:tcW w:w="850" w:type="dxa"/>
            <w:tcBorders>
              <w:top w:val="nil"/>
              <w:left w:val="nil"/>
              <w:bottom w:val="single" w:sz="4" w:space="0" w:color="auto"/>
              <w:right w:val="single" w:sz="4" w:space="0" w:color="auto"/>
            </w:tcBorders>
            <w:shd w:val="clear" w:color="auto" w:fill="auto"/>
            <w:noWrap/>
            <w:vAlign w:val="center"/>
            <w:hideMark/>
          </w:tcPr>
          <w:p w:rsidR="00594B94" w:rsidRDefault="00594B94">
            <w:pPr>
              <w:jc w:val="right"/>
              <w:rPr>
                <w:rFonts w:ascii="Calibri" w:hAnsi="Calibri" w:cs="Calibri"/>
                <w:color w:val="000000"/>
                <w:sz w:val="18"/>
                <w:szCs w:val="18"/>
              </w:rPr>
            </w:pPr>
            <w:r>
              <w:rPr>
                <w:rFonts w:ascii="Calibri" w:hAnsi="Calibri" w:cs="Calibri"/>
                <w:color w:val="000000"/>
                <w:sz w:val="18"/>
                <w:szCs w:val="18"/>
              </w:rPr>
              <w:t>42 427</w:t>
            </w:r>
          </w:p>
        </w:tc>
        <w:tc>
          <w:tcPr>
            <w:tcW w:w="799" w:type="dxa"/>
            <w:tcBorders>
              <w:top w:val="nil"/>
              <w:left w:val="nil"/>
              <w:bottom w:val="single" w:sz="4" w:space="0" w:color="auto"/>
              <w:right w:val="single" w:sz="4" w:space="0" w:color="auto"/>
            </w:tcBorders>
            <w:shd w:val="clear" w:color="auto" w:fill="auto"/>
            <w:noWrap/>
            <w:vAlign w:val="center"/>
            <w:hideMark/>
          </w:tcPr>
          <w:p w:rsidR="00594B94" w:rsidRDefault="00594B94">
            <w:pPr>
              <w:jc w:val="right"/>
              <w:rPr>
                <w:rFonts w:ascii="Calibri" w:hAnsi="Calibri" w:cs="Calibri"/>
                <w:color w:val="000000"/>
                <w:sz w:val="18"/>
                <w:szCs w:val="18"/>
              </w:rPr>
            </w:pPr>
            <w:r>
              <w:rPr>
                <w:rFonts w:ascii="Calibri" w:hAnsi="Calibri" w:cs="Calibri"/>
                <w:color w:val="000000"/>
                <w:sz w:val="18"/>
                <w:szCs w:val="18"/>
              </w:rPr>
              <w:t>99 381</w:t>
            </w:r>
          </w:p>
        </w:tc>
        <w:tc>
          <w:tcPr>
            <w:tcW w:w="902" w:type="dxa"/>
            <w:tcBorders>
              <w:top w:val="nil"/>
              <w:left w:val="nil"/>
              <w:bottom w:val="single" w:sz="4" w:space="0" w:color="auto"/>
              <w:right w:val="single" w:sz="4" w:space="0" w:color="auto"/>
            </w:tcBorders>
            <w:shd w:val="clear" w:color="auto" w:fill="auto"/>
            <w:noWrap/>
            <w:vAlign w:val="center"/>
            <w:hideMark/>
          </w:tcPr>
          <w:p w:rsidR="00594B94" w:rsidRDefault="00594B94">
            <w:pPr>
              <w:jc w:val="right"/>
              <w:rPr>
                <w:rFonts w:ascii="Calibri" w:hAnsi="Calibri" w:cs="Calibri"/>
                <w:color w:val="000000"/>
                <w:sz w:val="18"/>
                <w:szCs w:val="18"/>
              </w:rPr>
            </w:pPr>
            <w:r>
              <w:rPr>
                <w:rFonts w:ascii="Calibri" w:hAnsi="Calibri" w:cs="Calibri"/>
                <w:color w:val="000000"/>
                <w:sz w:val="18"/>
                <w:szCs w:val="18"/>
              </w:rPr>
              <w:t>24 849</w:t>
            </w:r>
          </w:p>
        </w:tc>
        <w:tc>
          <w:tcPr>
            <w:tcW w:w="851" w:type="dxa"/>
            <w:tcBorders>
              <w:top w:val="nil"/>
              <w:left w:val="nil"/>
              <w:bottom w:val="single" w:sz="4" w:space="0" w:color="auto"/>
              <w:right w:val="single" w:sz="4" w:space="0" w:color="auto"/>
            </w:tcBorders>
            <w:shd w:val="clear" w:color="auto" w:fill="auto"/>
            <w:noWrap/>
            <w:vAlign w:val="center"/>
            <w:hideMark/>
          </w:tcPr>
          <w:p w:rsidR="00594B94" w:rsidRDefault="00594B94">
            <w:pPr>
              <w:jc w:val="right"/>
              <w:rPr>
                <w:rFonts w:ascii="Calibri" w:hAnsi="Calibri" w:cs="Calibri"/>
                <w:color w:val="000000"/>
                <w:sz w:val="18"/>
                <w:szCs w:val="18"/>
              </w:rPr>
            </w:pPr>
            <w:r>
              <w:rPr>
                <w:rFonts w:ascii="Calibri" w:hAnsi="Calibri" w:cs="Calibri"/>
                <w:color w:val="000000"/>
                <w:sz w:val="18"/>
                <w:szCs w:val="18"/>
              </w:rPr>
              <w:t>4 913</w:t>
            </w:r>
          </w:p>
        </w:tc>
      </w:tr>
      <w:tr w:rsidR="00594B94" w:rsidTr="00594B94">
        <w:trPr>
          <w:trHeight w:val="300"/>
        </w:trPr>
        <w:tc>
          <w:tcPr>
            <w:tcW w:w="3256" w:type="dxa"/>
            <w:tcBorders>
              <w:top w:val="single" w:sz="4" w:space="0" w:color="auto"/>
              <w:left w:val="single" w:sz="4" w:space="0" w:color="auto"/>
              <w:bottom w:val="single" w:sz="4" w:space="0" w:color="auto"/>
              <w:right w:val="single" w:sz="4" w:space="0" w:color="auto"/>
            </w:tcBorders>
            <w:shd w:val="clear" w:color="FCD5B4" w:fill="FFE699"/>
            <w:noWrap/>
            <w:vAlign w:val="center"/>
            <w:hideMark/>
          </w:tcPr>
          <w:p w:rsidR="00594B94" w:rsidRPr="00594B94" w:rsidRDefault="00594B94">
            <w:pPr>
              <w:rPr>
                <w:rFonts w:ascii="Calibri" w:hAnsi="Calibri" w:cs="Calibri"/>
                <w:b/>
                <w:bCs/>
                <w:color w:val="000000"/>
                <w:sz w:val="18"/>
                <w:szCs w:val="18"/>
              </w:rPr>
            </w:pPr>
            <w:r w:rsidRPr="00594B94">
              <w:rPr>
                <w:rFonts w:ascii="Calibri" w:hAnsi="Calibri" w:cs="Calibri"/>
                <w:b/>
                <w:bCs/>
                <w:color w:val="000000"/>
                <w:sz w:val="18"/>
                <w:szCs w:val="18"/>
              </w:rPr>
              <w:t>Přijaté transfery celkem</w:t>
            </w:r>
          </w:p>
        </w:tc>
        <w:tc>
          <w:tcPr>
            <w:tcW w:w="708" w:type="dxa"/>
            <w:tcBorders>
              <w:top w:val="nil"/>
              <w:left w:val="nil"/>
              <w:bottom w:val="single" w:sz="4" w:space="0" w:color="auto"/>
              <w:right w:val="single" w:sz="4" w:space="0" w:color="auto"/>
            </w:tcBorders>
            <w:shd w:val="clear" w:color="FCD5B4" w:fill="FFE699"/>
            <w:noWrap/>
            <w:vAlign w:val="center"/>
            <w:hideMark/>
          </w:tcPr>
          <w:p w:rsidR="00594B94" w:rsidRPr="00594B94" w:rsidRDefault="00594B94">
            <w:pPr>
              <w:jc w:val="right"/>
              <w:rPr>
                <w:rFonts w:ascii="Calibri" w:hAnsi="Calibri" w:cs="Calibri"/>
                <w:b/>
                <w:bCs/>
                <w:color w:val="000000"/>
                <w:sz w:val="17"/>
                <w:szCs w:val="17"/>
              </w:rPr>
            </w:pPr>
            <w:r w:rsidRPr="00594B94">
              <w:rPr>
                <w:rFonts w:ascii="Calibri" w:hAnsi="Calibri" w:cs="Calibri"/>
                <w:b/>
                <w:bCs/>
                <w:color w:val="000000"/>
                <w:sz w:val="17"/>
                <w:szCs w:val="17"/>
              </w:rPr>
              <w:t>109 740</w:t>
            </w:r>
          </w:p>
        </w:tc>
        <w:tc>
          <w:tcPr>
            <w:tcW w:w="709" w:type="dxa"/>
            <w:tcBorders>
              <w:top w:val="nil"/>
              <w:left w:val="nil"/>
              <w:bottom w:val="single" w:sz="4" w:space="0" w:color="auto"/>
              <w:right w:val="single" w:sz="4" w:space="0" w:color="auto"/>
            </w:tcBorders>
            <w:shd w:val="clear" w:color="FCD5B4" w:fill="FFE699"/>
            <w:noWrap/>
            <w:vAlign w:val="center"/>
            <w:hideMark/>
          </w:tcPr>
          <w:p w:rsidR="00594B94" w:rsidRPr="00594B94" w:rsidRDefault="00594B94">
            <w:pPr>
              <w:jc w:val="right"/>
              <w:rPr>
                <w:rFonts w:ascii="Calibri" w:hAnsi="Calibri" w:cs="Calibri"/>
                <w:b/>
                <w:bCs/>
                <w:color w:val="000000"/>
                <w:sz w:val="17"/>
                <w:szCs w:val="17"/>
              </w:rPr>
            </w:pPr>
            <w:r w:rsidRPr="00594B94">
              <w:rPr>
                <w:rFonts w:ascii="Calibri" w:hAnsi="Calibri" w:cs="Calibri"/>
                <w:b/>
                <w:bCs/>
                <w:color w:val="000000"/>
                <w:sz w:val="17"/>
                <w:szCs w:val="17"/>
              </w:rPr>
              <w:t>73 383</w:t>
            </w:r>
          </w:p>
        </w:tc>
        <w:tc>
          <w:tcPr>
            <w:tcW w:w="709" w:type="dxa"/>
            <w:tcBorders>
              <w:top w:val="nil"/>
              <w:left w:val="nil"/>
              <w:bottom w:val="single" w:sz="4" w:space="0" w:color="auto"/>
              <w:right w:val="single" w:sz="4" w:space="0" w:color="auto"/>
            </w:tcBorders>
            <w:shd w:val="clear" w:color="FCD5B4" w:fill="FFE699"/>
            <w:noWrap/>
            <w:vAlign w:val="center"/>
            <w:hideMark/>
          </w:tcPr>
          <w:p w:rsidR="00594B94" w:rsidRPr="00594B94" w:rsidRDefault="00594B94">
            <w:pPr>
              <w:jc w:val="right"/>
              <w:rPr>
                <w:rFonts w:ascii="Calibri" w:hAnsi="Calibri" w:cs="Calibri"/>
                <w:b/>
                <w:bCs/>
                <w:color w:val="000000"/>
                <w:sz w:val="17"/>
                <w:szCs w:val="17"/>
              </w:rPr>
            </w:pPr>
            <w:r w:rsidRPr="00594B94">
              <w:rPr>
                <w:rFonts w:ascii="Calibri" w:hAnsi="Calibri" w:cs="Calibri"/>
                <w:b/>
                <w:bCs/>
                <w:color w:val="000000"/>
                <w:sz w:val="17"/>
                <w:szCs w:val="17"/>
              </w:rPr>
              <w:t>99 174</w:t>
            </w:r>
          </w:p>
        </w:tc>
        <w:tc>
          <w:tcPr>
            <w:tcW w:w="709" w:type="dxa"/>
            <w:tcBorders>
              <w:top w:val="nil"/>
              <w:left w:val="nil"/>
              <w:bottom w:val="single" w:sz="4" w:space="0" w:color="auto"/>
              <w:right w:val="single" w:sz="4" w:space="0" w:color="auto"/>
            </w:tcBorders>
            <w:shd w:val="clear" w:color="FCD5B4" w:fill="FFE699"/>
            <w:noWrap/>
            <w:vAlign w:val="center"/>
            <w:hideMark/>
          </w:tcPr>
          <w:p w:rsidR="00594B94" w:rsidRPr="00594B94" w:rsidRDefault="00594B94">
            <w:pPr>
              <w:jc w:val="right"/>
              <w:rPr>
                <w:rFonts w:ascii="Calibri" w:hAnsi="Calibri" w:cs="Calibri"/>
                <w:b/>
                <w:bCs/>
                <w:color w:val="000000"/>
                <w:sz w:val="17"/>
                <w:szCs w:val="17"/>
              </w:rPr>
            </w:pPr>
            <w:r w:rsidRPr="00594B94">
              <w:rPr>
                <w:rFonts w:ascii="Calibri" w:hAnsi="Calibri" w:cs="Calibri"/>
                <w:b/>
                <w:bCs/>
                <w:color w:val="000000"/>
                <w:sz w:val="17"/>
                <w:szCs w:val="17"/>
              </w:rPr>
              <w:t>116 684</w:t>
            </w:r>
          </w:p>
        </w:tc>
        <w:tc>
          <w:tcPr>
            <w:tcW w:w="850" w:type="dxa"/>
            <w:tcBorders>
              <w:top w:val="nil"/>
              <w:left w:val="nil"/>
              <w:bottom w:val="single" w:sz="4" w:space="0" w:color="auto"/>
              <w:right w:val="single" w:sz="4" w:space="0" w:color="auto"/>
            </w:tcBorders>
            <w:shd w:val="clear" w:color="FCD5B4" w:fill="FFE699"/>
            <w:noWrap/>
            <w:vAlign w:val="center"/>
            <w:hideMark/>
          </w:tcPr>
          <w:p w:rsidR="00594B94" w:rsidRPr="00594B94" w:rsidRDefault="00594B94">
            <w:pPr>
              <w:jc w:val="right"/>
              <w:rPr>
                <w:rFonts w:ascii="Calibri" w:hAnsi="Calibri" w:cs="Calibri"/>
                <w:b/>
                <w:bCs/>
                <w:color w:val="000000"/>
                <w:sz w:val="17"/>
                <w:szCs w:val="17"/>
              </w:rPr>
            </w:pPr>
            <w:r w:rsidRPr="00594B94">
              <w:rPr>
                <w:rFonts w:ascii="Calibri" w:hAnsi="Calibri" w:cs="Calibri"/>
                <w:b/>
                <w:bCs/>
                <w:color w:val="000000"/>
                <w:sz w:val="17"/>
                <w:szCs w:val="17"/>
              </w:rPr>
              <w:t>174 680</w:t>
            </w:r>
          </w:p>
        </w:tc>
        <w:tc>
          <w:tcPr>
            <w:tcW w:w="799" w:type="dxa"/>
            <w:tcBorders>
              <w:top w:val="nil"/>
              <w:left w:val="nil"/>
              <w:bottom w:val="single" w:sz="4" w:space="0" w:color="auto"/>
              <w:right w:val="single" w:sz="4" w:space="0" w:color="auto"/>
            </w:tcBorders>
            <w:shd w:val="clear" w:color="FCD5B4" w:fill="FFE699"/>
            <w:noWrap/>
            <w:vAlign w:val="center"/>
            <w:hideMark/>
          </w:tcPr>
          <w:p w:rsidR="00594B94" w:rsidRPr="00594B94" w:rsidRDefault="00594B94">
            <w:pPr>
              <w:jc w:val="right"/>
              <w:rPr>
                <w:rFonts w:ascii="Calibri" w:hAnsi="Calibri" w:cs="Calibri"/>
                <w:b/>
                <w:bCs/>
                <w:color w:val="000000"/>
                <w:sz w:val="17"/>
                <w:szCs w:val="17"/>
              </w:rPr>
            </w:pPr>
            <w:r w:rsidRPr="00594B94">
              <w:rPr>
                <w:rFonts w:ascii="Calibri" w:hAnsi="Calibri" w:cs="Calibri"/>
                <w:b/>
                <w:bCs/>
                <w:color w:val="000000"/>
                <w:sz w:val="17"/>
                <w:szCs w:val="17"/>
              </w:rPr>
              <w:t>291 109</w:t>
            </w:r>
          </w:p>
        </w:tc>
        <w:tc>
          <w:tcPr>
            <w:tcW w:w="902" w:type="dxa"/>
            <w:tcBorders>
              <w:top w:val="nil"/>
              <w:left w:val="nil"/>
              <w:bottom w:val="single" w:sz="4" w:space="0" w:color="auto"/>
              <w:right w:val="single" w:sz="4" w:space="0" w:color="auto"/>
            </w:tcBorders>
            <w:shd w:val="clear" w:color="FCD5B4" w:fill="FFE699"/>
            <w:noWrap/>
            <w:vAlign w:val="center"/>
            <w:hideMark/>
          </w:tcPr>
          <w:p w:rsidR="00594B94" w:rsidRPr="00594B94" w:rsidRDefault="00594B94">
            <w:pPr>
              <w:jc w:val="right"/>
              <w:rPr>
                <w:rFonts w:ascii="Calibri" w:hAnsi="Calibri" w:cs="Calibri"/>
                <w:b/>
                <w:bCs/>
                <w:color w:val="000000"/>
                <w:sz w:val="17"/>
                <w:szCs w:val="17"/>
              </w:rPr>
            </w:pPr>
            <w:r w:rsidRPr="00594B94">
              <w:rPr>
                <w:rFonts w:ascii="Calibri" w:hAnsi="Calibri" w:cs="Calibri"/>
                <w:b/>
                <w:bCs/>
                <w:color w:val="000000"/>
                <w:sz w:val="17"/>
                <w:szCs w:val="17"/>
              </w:rPr>
              <w:t>146 830</w:t>
            </w:r>
          </w:p>
        </w:tc>
        <w:tc>
          <w:tcPr>
            <w:tcW w:w="851" w:type="dxa"/>
            <w:tcBorders>
              <w:top w:val="nil"/>
              <w:left w:val="nil"/>
              <w:bottom w:val="single" w:sz="4" w:space="0" w:color="auto"/>
              <w:right w:val="single" w:sz="4" w:space="0" w:color="auto"/>
            </w:tcBorders>
            <w:shd w:val="clear" w:color="FCD5B4" w:fill="FFE699"/>
            <w:noWrap/>
            <w:vAlign w:val="center"/>
            <w:hideMark/>
          </w:tcPr>
          <w:p w:rsidR="00594B94" w:rsidRPr="00594B94" w:rsidRDefault="00594B94">
            <w:pPr>
              <w:jc w:val="right"/>
              <w:rPr>
                <w:rFonts w:ascii="Calibri" w:hAnsi="Calibri" w:cs="Calibri"/>
                <w:b/>
                <w:bCs/>
                <w:color w:val="000000"/>
                <w:sz w:val="17"/>
                <w:szCs w:val="17"/>
              </w:rPr>
            </w:pPr>
            <w:r w:rsidRPr="00594B94">
              <w:rPr>
                <w:rFonts w:ascii="Calibri" w:hAnsi="Calibri" w:cs="Calibri"/>
                <w:b/>
                <w:bCs/>
                <w:color w:val="000000"/>
                <w:sz w:val="17"/>
                <w:szCs w:val="17"/>
              </w:rPr>
              <w:t>111 101</w:t>
            </w:r>
          </w:p>
        </w:tc>
      </w:tr>
      <w:tr w:rsidR="00594B94" w:rsidTr="00594B94">
        <w:trPr>
          <w:trHeight w:val="300"/>
        </w:trPr>
        <w:tc>
          <w:tcPr>
            <w:tcW w:w="3256" w:type="dxa"/>
            <w:tcBorders>
              <w:top w:val="single" w:sz="4" w:space="0" w:color="auto"/>
              <w:left w:val="single" w:sz="4" w:space="0" w:color="auto"/>
              <w:bottom w:val="single" w:sz="4" w:space="0" w:color="auto"/>
              <w:right w:val="single" w:sz="4" w:space="0" w:color="auto"/>
            </w:tcBorders>
            <w:shd w:val="clear" w:color="FDE9D9" w:fill="FFF2CC"/>
            <w:noWrap/>
            <w:vAlign w:val="center"/>
            <w:hideMark/>
          </w:tcPr>
          <w:p w:rsidR="00594B94" w:rsidRDefault="00594B94">
            <w:pPr>
              <w:rPr>
                <w:rFonts w:ascii="Calibri" w:hAnsi="Calibri" w:cs="Calibri"/>
                <w:color w:val="000000"/>
                <w:sz w:val="18"/>
                <w:szCs w:val="18"/>
              </w:rPr>
            </w:pPr>
            <w:r>
              <w:rPr>
                <w:rFonts w:ascii="Calibri" w:hAnsi="Calibri" w:cs="Calibri"/>
                <w:color w:val="000000"/>
                <w:sz w:val="18"/>
                <w:szCs w:val="18"/>
              </w:rPr>
              <w:t>Meziroční změna absolutně</w:t>
            </w:r>
          </w:p>
        </w:tc>
        <w:tc>
          <w:tcPr>
            <w:tcW w:w="708" w:type="dxa"/>
            <w:tcBorders>
              <w:top w:val="nil"/>
              <w:left w:val="nil"/>
              <w:bottom w:val="single" w:sz="4" w:space="0" w:color="auto"/>
              <w:right w:val="single" w:sz="4" w:space="0" w:color="auto"/>
            </w:tcBorders>
            <w:shd w:val="clear" w:color="FDE9D9" w:fill="FFF2CC"/>
            <w:noWrap/>
            <w:vAlign w:val="center"/>
            <w:hideMark/>
          </w:tcPr>
          <w:p w:rsidR="00594B94" w:rsidRDefault="00594B94">
            <w:pPr>
              <w:jc w:val="right"/>
              <w:rPr>
                <w:rFonts w:ascii="Calibri" w:hAnsi="Calibri" w:cs="Calibri"/>
                <w:color w:val="000000"/>
                <w:sz w:val="18"/>
                <w:szCs w:val="18"/>
              </w:rPr>
            </w:pPr>
            <w:r>
              <w:rPr>
                <w:rFonts w:ascii="Calibri" w:hAnsi="Calibri" w:cs="Calibri"/>
                <w:color w:val="000000"/>
                <w:sz w:val="18"/>
                <w:szCs w:val="18"/>
              </w:rPr>
              <w:t>-3 431</w:t>
            </w:r>
          </w:p>
        </w:tc>
        <w:tc>
          <w:tcPr>
            <w:tcW w:w="709" w:type="dxa"/>
            <w:tcBorders>
              <w:top w:val="nil"/>
              <w:left w:val="nil"/>
              <w:bottom w:val="single" w:sz="4" w:space="0" w:color="auto"/>
              <w:right w:val="single" w:sz="4" w:space="0" w:color="auto"/>
            </w:tcBorders>
            <w:shd w:val="clear" w:color="FDE9D9" w:fill="FFF2CC"/>
            <w:noWrap/>
            <w:vAlign w:val="center"/>
            <w:hideMark/>
          </w:tcPr>
          <w:p w:rsidR="00594B94" w:rsidRDefault="00594B94">
            <w:pPr>
              <w:jc w:val="right"/>
              <w:rPr>
                <w:rFonts w:ascii="Calibri" w:hAnsi="Calibri" w:cs="Calibri"/>
                <w:color w:val="000000"/>
                <w:sz w:val="18"/>
                <w:szCs w:val="18"/>
              </w:rPr>
            </w:pPr>
            <w:r>
              <w:rPr>
                <w:rFonts w:ascii="Calibri" w:hAnsi="Calibri" w:cs="Calibri"/>
                <w:color w:val="000000"/>
                <w:sz w:val="18"/>
                <w:szCs w:val="18"/>
              </w:rPr>
              <w:t>-36 357</w:t>
            </w:r>
          </w:p>
        </w:tc>
        <w:tc>
          <w:tcPr>
            <w:tcW w:w="709" w:type="dxa"/>
            <w:tcBorders>
              <w:top w:val="nil"/>
              <w:left w:val="nil"/>
              <w:bottom w:val="single" w:sz="4" w:space="0" w:color="auto"/>
              <w:right w:val="single" w:sz="4" w:space="0" w:color="auto"/>
            </w:tcBorders>
            <w:shd w:val="clear" w:color="FDE9D9" w:fill="FFF2CC"/>
            <w:noWrap/>
            <w:vAlign w:val="center"/>
            <w:hideMark/>
          </w:tcPr>
          <w:p w:rsidR="00594B94" w:rsidRDefault="00594B94">
            <w:pPr>
              <w:jc w:val="right"/>
              <w:rPr>
                <w:rFonts w:ascii="Calibri" w:hAnsi="Calibri" w:cs="Calibri"/>
                <w:color w:val="000000"/>
                <w:sz w:val="18"/>
                <w:szCs w:val="18"/>
              </w:rPr>
            </w:pPr>
            <w:r>
              <w:rPr>
                <w:rFonts w:ascii="Calibri" w:hAnsi="Calibri" w:cs="Calibri"/>
                <w:color w:val="000000"/>
                <w:sz w:val="18"/>
                <w:szCs w:val="18"/>
              </w:rPr>
              <w:t>25 790</w:t>
            </w:r>
          </w:p>
        </w:tc>
        <w:tc>
          <w:tcPr>
            <w:tcW w:w="709" w:type="dxa"/>
            <w:tcBorders>
              <w:top w:val="nil"/>
              <w:left w:val="nil"/>
              <w:bottom w:val="single" w:sz="4" w:space="0" w:color="auto"/>
              <w:right w:val="single" w:sz="4" w:space="0" w:color="auto"/>
            </w:tcBorders>
            <w:shd w:val="clear" w:color="FDE9D9" w:fill="FFF2CC"/>
            <w:noWrap/>
            <w:vAlign w:val="center"/>
            <w:hideMark/>
          </w:tcPr>
          <w:p w:rsidR="00594B94" w:rsidRDefault="00594B94">
            <w:pPr>
              <w:jc w:val="right"/>
              <w:rPr>
                <w:rFonts w:ascii="Calibri" w:hAnsi="Calibri" w:cs="Calibri"/>
                <w:color w:val="000000"/>
                <w:sz w:val="18"/>
                <w:szCs w:val="18"/>
              </w:rPr>
            </w:pPr>
            <w:r>
              <w:rPr>
                <w:rFonts w:ascii="Calibri" w:hAnsi="Calibri" w:cs="Calibri"/>
                <w:color w:val="000000"/>
                <w:sz w:val="18"/>
                <w:szCs w:val="18"/>
              </w:rPr>
              <w:t>17 511</w:t>
            </w:r>
          </w:p>
        </w:tc>
        <w:tc>
          <w:tcPr>
            <w:tcW w:w="850" w:type="dxa"/>
            <w:tcBorders>
              <w:top w:val="nil"/>
              <w:left w:val="nil"/>
              <w:bottom w:val="single" w:sz="4" w:space="0" w:color="auto"/>
              <w:right w:val="single" w:sz="4" w:space="0" w:color="auto"/>
            </w:tcBorders>
            <w:shd w:val="clear" w:color="FDE9D9" w:fill="FFF2CC"/>
            <w:noWrap/>
            <w:vAlign w:val="center"/>
            <w:hideMark/>
          </w:tcPr>
          <w:p w:rsidR="00594B94" w:rsidRDefault="00594B94">
            <w:pPr>
              <w:jc w:val="right"/>
              <w:rPr>
                <w:rFonts w:ascii="Calibri" w:hAnsi="Calibri" w:cs="Calibri"/>
                <w:color w:val="000000"/>
                <w:sz w:val="18"/>
                <w:szCs w:val="18"/>
              </w:rPr>
            </w:pPr>
            <w:r>
              <w:rPr>
                <w:rFonts w:ascii="Calibri" w:hAnsi="Calibri" w:cs="Calibri"/>
                <w:color w:val="000000"/>
                <w:sz w:val="18"/>
                <w:szCs w:val="18"/>
              </w:rPr>
              <w:t>57 996</w:t>
            </w:r>
          </w:p>
        </w:tc>
        <w:tc>
          <w:tcPr>
            <w:tcW w:w="799" w:type="dxa"/>
            <w:tcBorders>
              <w:top w:val="nil"/>
              <w:left w:val="nil"/>
              <w:bottom w:val="single" w:sz="4" w:space="0" w:color="auto"/>
              <w:right w:val="single" w:sz="4" w:space="0" w:color="auto"/>
            </w:tcBorders>
            <w:shd w:val="clear" w:color="FDE9D9" w:fill="FFF2CC"/>
            <w:noWrap/>
            <w:vAlign w:val="center"/>
            <w:hideMark/>
          </w:tcPr>
          <w:p w:rsidR="00594B94" w:rsidRDefault="00594B94">
            <w:pPr>
              <w:jc w:val="right"/>
              <w:rPr>
                <w:rFonts w:ascii="Calibri" w:hAnsi="Calibri" w:cs="Calibri"/>
                <w:color w:val="000000"/>
                <w:sz w:val="18"/>
                <w:szCs w:val="18"/>
              </w:rPr>
            </w:pPr>
            <w:r>
              <w:rPr>
                <w:rFonts w:ascii="Calibri" w:hAnsi="Calibri" w:cs="Calibri"/>
                <w:color w:val="000000"/>
                <w:sz w:val="18"/>
                <w:szCs w:val="18"/>
              </w:rPr>
              <w:t>116 429</w:t>
            </w:r>
          </w:p>
        </w:tc>
        <w:tc>
          <w:tcPr>
            <w:tcW w:w="902" w:type="dxa"/>
            <w:tcBorders>
              <w:top w:val="nil"/>
              <w:left w:val="nil"/>
              <w:bottom w:val="single" w:sz="4" w:space="0" w:color="auto"/>
              <w:right w:val="single" w:sz="4" w:space="0" w:color="auto"/>
            </w:tcBorders>
            <w:shd w:val="clear" w:color="FDE9D9" w:fill="FFF2CC"/>
            <w:noWrap/>
            <w:vAlign w:val="center"/>
            <w:hideMark/>
          </w:tcPr>
          <w:p w:rsidR="00594B94" w:rsidRDefault="00594B94">
            <w:pPr>
              <w:jc w:val="right"/>
              <w:rPr>
                <w:rFonts w:ascii="Calibri" w:hAnsi="Calibri" w:cs="Calibri"/>
                <w:color w:val="000000"/>
                <w:sz w:val="18"/>
                <w:szCs w:val="18"/>
              </w:rPr>
            </w:pPr>
            <w:r>
              <w:rPr>
                <w:rFonts w:ascii="Calibri" w:hAnsi="Calibri" w:cs="Calibri"/>
                <w:color w:val="000000"/>
                <w:sz w:val="18"/>
                <w:szCs w:val="18"/>
              </w:rPr>
              <w:t>-144 279</w:t>
            </w:r>
          </w:p>
        </w:tc>
        <w:tc>
          <w:tcPr>
            <w:tcW w:w="851" w:type="dxa"/>
            <w:tcBorders>
              <w:top w:val="nil"/>
              <w:left w:val="nil"/>
              <w:bottom w:val="single" w:sz="4" w:space="0" w:color="auto"/>
              <w:right w:val="single" w:sz="4" w:space="0" w:color="auto"/>
            </w:tcBorders>
            <w:shd w:val="clear" w:color="FDE9D9" w:fill="FFF2CC"/>
            <w:noWrap/>
            <w:vAlign w:val="center"/>
            <w:hideMark/>
          </w:tcPr>
          <w:p w:rsidR="00594B94" w:rsidRDefault="00594B94">
            <w:pPr>
              <w:jc w:val="right"/>
              <w:rPr>
                <w:rFonts w:ascii="Calibri" w:hAnsi="Calibri" w:cs="Calibri"/>
                <w:color w:val="000000"/>
                <w:sz w:val="18"/>
                <w:szCs w:val="18"/>
              </w:rPr>
            </w:pPr>
            <w:r>
              <w:rPr>
                <w:rFonts w:ascii="Calibri" w:hAnsi="Calibri" w:cs="Calibri"/>
                <w:color w:val="000000"/>
                <w:sz w:val="18"/>
                <w:szCs w:val="18"/>
              </w:rPr>
              <w:t>-35 729</w:t>
            </w:r>
          </w:p>
        </w:tc>
      </w:tr>
      <w:tr w:rsidR="00594B94" w:rsidTr="00594B94">
        <w:trPr>
          <w:trHeight w:val="300"/>
        </w:trPr>
        <w:tc>
          <w:tcPr>
            <w:tcW w:w="3256" w:type="dxa"/>
            <w:tcBorders>
              <w:top w:val="single" w:sz="4" w:space="0" w:color="auto"/>
              <w:left w:val="single" w:sz="4" w:space="0" w:color="auto"/>
              <w:bottom w:val="single" w:sz="4" w:space="0" w:color="auto"/>
              <w:right w:val="single" w:sz="4" w:space="0" w:color="auto"/>
            </w:tcBorders>
            <w:shd w:val="clear" w:color="FDE9D9" w:fill="FFF2CC"/>
            <w:noWrap/>
            <w:vAlign w:val="center"/>
            <w:hideMark/>
          </w:tcPr>
          <w:p w:rsidR="00594B94" w:rsidRDefault="00594B94">
            <w:pPr>
              <w:rPr>
                <w:rFonts w:ascii="Calibri" w:hAnsi="Calibri" w:cs="Calibri"/>
                <w:color w:val="000000"/>
                <w:sz w:val="18"/>
                <w:szCs w:val="18"/>
              </w:rPr>
            </w:pPr>
            <w:r>
              <w:rPr>
                <w:rFonts w:ascii="Calibri" w:hAnsi="Calibri" w:cs="Calibri"/>
                <w:color w:val="000000"/>
                <w:sz w:val="18"/>
                <w:szCs w:val="18"/>
              </w:rPr>
              <w:t>Meziroční změna procentuálně</w:t>
            </w:r>
          </w:p>
        </w:tc>
        <w:tc>
          <w:tcPr>
            <w:tcW w:w="708" w:type="dxa"/>
            <w:tcBorders>
              <w:top w:val="nil"/>
              <w:left w:val="nil"/>
              <w:bottom w:val="single" w:sz="4" w:space="0" w:color="auto"/>
              <w:right w:val="single" w:sz="4" w:space="0" w:color="auto"/>
            </w:tcBorders>
            <w:shd w:val="clear" w:color="FDE9D9" w:fill="FFF2CC"/>
            <w:noWrap/>
            <w:vAlign w:val="center"/>
            <w:hideMark/>
          </w:tcPr>
          <w:p w:rsidR="00594B94" w:rsidRDefault="00594B94">
            <w:pPr>
              <w:jc w:val="right"/>
              <w:rPr>
                <w:rFonts w:ascii="Calibri" w:hAnsi="Calibri" w:cs="Calibri"/>
                <w:color w:val="000000"/>
                <w:sz w:val="18"/>
                <w:szCs w:val="18"/>
              </w:rPr>
            </w:pPr>
            <w:r>
              <w:rPr>
                <w:rFonts w:ascii="Calibri" w:hAnsi="Calibri" w:cs="Calibri"/>
                <w:color w:val="000000"/>
                <w:sz w:val="18"/>
                <w:szCs w:val="18"/>
              </w:rPr>
              <w:t>-3 %</w:t>
            </w:r>
          </w:p>
        </w:tc>
        <w:tc>
          <w:tcPr>
            <w:tcW w:w="709" w:type="dxa"/>
            <w:tcBorders>
              <w:top w:val="nil"/>
              <w:left w:val="nil"/>
              <w:bottom w:val="single" w:sz="4" w:space="0" w:color="auto"/>
              <w:right w:val="single" w:sz="4" w:space="0" w:color="auto"/>
            </w:tcBorders>
            <w:shd w:val="clear" w:color="FDE9D9" w:fill="FFF2CC"/>
            <w:noWrap/>
            <w:vAlign w:val="center"/>
            <w:hideMark/>
          </w:tcPr>
          <w:p w:rsidR="00594B94" w:rsidRDefault="00594B94">
            <w:pPr>
              <w:jc w:val="right"/>
              <w:rPr>
                <w:rFonts w:ascii="Calibri" w:hAnsi="Calibri" w:cs="Calibri"/>
                <w:color w:val="000000"/>
                <w:sz w:val="18"/>
                <w:szCs w:val="18"/>
              </w:rPr>
            </w:pPr>
            <w:r>
              <w:rPr>
                <w:rFonts w:ascii="Calibri" w:hAnsi="Calibri" w:cs="Calibri"/>
                <w:color w:val="000000"/>
                <w:sz w:val="18"/>
                <w:szCs w:val="18"/>
              </w:rPr>
              <w:t>-33 %</w:t>
            </w:r>
          </w:p>
        </w:tc>
        <w:tc>
          <w:tcPr>
            <w:tcW w:w="709" w:type="dxa"/>
            <w:tcBorders>
              <w:top w:val="nil"/>
              <w:left w:val="nil"/>
              <w:bottom w:val="single" w:sz="4" w:space="0" w:color="auto"/>
              <w:right w:val="single" w:sz="4" w:space="0" w:color="auto"/>
            </w:tcBorders>
            <w:shd w:val="clear" w:color="FDE9D9" w:fill="FFF2CC"/>
            <w:noWrap/>
            <w:vAlign w:val="center"/>
            <w:hideMark/>
          </w:tcPr>
          <w:p w:rsidR="00594B94" w:rsidRDefault="00594B94">
            <w:pPr>
              <w:jc w:val="right"/>
              <w:rPr>
                <w:rFonts w:ascii="Calibri" w:hAnsi="Calibri" w:cs="Calibri"/>
                <w:color w:val="000000"/>
                <w:sz w:val="18"/>
                <w:szCs w:val="18"/>
              </w:rPr>
            </w:pPr>
            <w:r>
              <w:rPr>
                <w:rFonts w:ascii="Calibri" w:hAnsi="Calibri" w:cs="Calibri"/>
                <w:color w:val="000000"/>
                <w:sz w:val="18"/>
                <w:szCs w:val="18"/>
              </w:rPr>
              <w:t>35 %</w:t>
            </w:r>
          </w:p>
        </w:tc>
        <w:tc>
          <w:tcPr>
            <w:tcW w:w="709" w:type="dxa"/>
            <w:tcBorders>
              <w:top w:val="nil"/>
              <w:left w:val="nil"/>
              <w:bottom w:val="single" w:sz="4" w:space="0" w:color="auto"/>
              <w:right w:val="single" w:sz="4" w:space="0" w:color="auto"/>
            </w:tcBorders>
            <w:shd w:val="clear" w:color="FDE9D9" w:fill="FFF2CC"/>
            <w:noWrap/>
            <w:vAlign w:val="center"/>
            <w:hideMark/>
          </w:tcPr>
          <w:p w:rsidR="00594B94" w:rsidRDefault="00594B94">
            <w:pPr>
              <w:jc w:val="right"/>
              <w:rPr>
                <w:rFonts w:ascii="Calibri" w:hAnsi="Calibri" w:cs="Calibri"/>
                <w:color w:val="000000"/>
                <w:sz w:val="18"/>
                <w:szCs w:val="18"/>
              </w:rPr>
            </w:pPr>
            <w:r>
              <w:rPr>
                <w:rFonts w:ascii="Calibri" w:hAnsi="Calibri" w:cs="Calibri"/>
                <w:color w:val="000000"/>
                <w:sz w:val="18"/>
                <w:szCs w:val="18"/>
              </w:rPr>
              <w:t>18 %</w:t>
            </w:r>
          </w:p>
        </w:tc>
        <w:tc>
          <w:tcPr>
            <w:tcW w:w="850" w:type="dxa"/>
            <w:tcBorders>
              <w:top w:val="nil"/>
              <w:left w:val="nil"/>
              <w:bottom w:val="single" w:sz="4" w:space="0" w:color="auto"/>
              <w:right w:val="single" w:sz="4" w:space="0" w:color="auto"/>
            </w:tcBorders>
            <w:shd w:val="clear" w:color="FDE9D9" w:fill="FFF2CC"/>
            <w:noWrap/>
            <w:vAlign w:val="center"/>
            <w:hideMark/>
          </w:tcPr>
          <w:p w:rsidR="00594B94" w:rsidRDefault="00594B94">
            <w:pPr>
              <w:jc w:val="right"/>
              <w:rPr>
                <w:rFonts w:ascii="Calibri" w:hAnsi="Calibri" w:cs="Calibri"/>
                <w:color w:val="000000"/>
                <w:sz w:val="18"/>
                <w:szCs w:val="18"/>
              </w:rPr>
            </w:pPr>
            <w:r>
              <w:rPr>
                <w:rFonts w:ascii="Calibri" w:hAnsi="Calibri" w:cs="Calibri"/>
                <w:color w:val="000000"/>
                <w:sz w:val="18"/>
                <w:szCs w:val="18"/>
              </w:rPr>
              <w:t>50 %</w:t>
            </w:r>
          </w:p>
        </w:tc>
        <w:tc>
          <w:tcPr>
            <w:tcW w:w="799" w:type="dxa"/>
            <w:tcBorders>
              <w:top w:val="nil"/>
              <w:left w:val="nil"/>
              <w:bottom w:val="single" w:sz="4" w:space="0" w:color="auto"/>
              <w:right w:val="single" w:sz="4" w:space="0" w:color="auto"/>
            </w:tcBorders>
            <w:shd w:val="clear" w:color="FDE9D9" w:fill="FFF2CC"/>
            <w:noWrap/>
            <w:vAlign w:val="center"/>
            <w:hideMark/>
          </w:tcPr>
          <w:p w:rsidR="00594B94" w:rsidRDefault="00594B94">
            <w:pPr>
              <w:jc w:val="right"/>
              <w:rPr>
                <w:rFonts w:ascii="Calibri" w:hAnsi="Calibri" w:cs="Calibri"/>
                <w:color w:val="000000"/>
                <w:sz w:val="18"/>
                <w:szCs w:val="18"/>
              </w:rPr>
            </w:pPr>
            <w:r>
              <w:rPr>
                <w:rFonts w:ascii="Calibri" w:hAnsi="Calibri" w:cs="Calibri"/>
                <w:color w:val="000000"/>
                <w:sz w:val="18"/>
                <w:szCs w:val="18"/>
              </w:rPr>
              <w:t>67 %</w:t>
            </w:r>
          </w:p>
        </w:tc>
        <w:tc>
          <w:tcPr>
            <w:tcW w:w="902" w:type="dxa"/>
            <w:tcBorders>
              <w:top w:val="nil"/>
              <w:left w:val="nil"/>
              <w:bottom w:val="single" w:sz="4" w:space="0" w:color="auto"/>
              <w:right w:val="single" w:sz="4" w:space="0" w:color="auto"/>
            </w:tcBorders>
            <w:shd w:val="clear" w:color="FDE9D9" w:fill="FFF2CC"/>
            <w:noWrap/>
            <w:vAlign w:val="center"/>
            <w:hideMark/>
          </w:tcPr>
          <w:p w:rsidR="00594B94" w:rsidRDefault="00594B94">
            <w:pPr>
              <w:jc w:val="right"/>
              <w:rPr>
                <w:rFonts w:ascii="Calibri" w:hAnsi="Calibri" w:cs="Calibri"/>
                <w:color w:val="000000"/>
                <w:sz w:val="18"/>
                <w:szCs w:val="18"/>
              </w:rPr>
            </w:pPr>
            <w:r>
              <w:rPr>
                <w:rFonts w:ascii="Calibri" w:hAnsi="Calibri" w:cs="Calibri"/>
                <w:color w:val="000000"/>
                <w:sz w:val="18"/>
                <w:szCs w:val="18"/>
              </w:rPr>
              <w:t>-50 %</w:t>
            </w:r>
          </w:p>
        </w:tc>
        <w:tc>
          <w:tcPr>
            <w:tcW w:w="851" w:type="dxa"/>
            <w:tcBorders>
              <w:top w:val="nil"/>
              <w:left w:val="nil"/>
              <w:bottom w:val="single" w:sz="4" w:space="0" w:color="auto"/>
              <w:right w:val="single" w:sz="4" w:space="0" w:color="auto"/>
            </w:tcBorders>
            <w:shd w:val="clear" w:color="FDE9D9" w:fill="FFF2CC"/>
            <w:noWrap/>
            <w:vAlign w:val="center"/>
            <w:hideMark/>
          </w:tcPr>
          <w:p w:rsidR="00594B94" w:rsidRDefault="00594B94">
            <w:pPr>
              <w:jc w:val="right"/>
              <w:rPr>
                <w:rFonts w:ascii="Calibri" w:hAnsi="Calibri" w:cs="Calibri"/>
                <w:color w:val="000000"/>
                <w:sz w:val="18"/>
                <w:szCs w:val="18"/>
              </w:rPr>
            </w:pPr>
            <w:r>
              <w:rPr>
                <w:rFonts w:ascii="Calibri" w:hAnsi="Calibri" w:cs="Calibri"/>
                <w:color w:val="000000"/>
                <w:sz w:val="18"/>
                <w:szCs w:val="18"/>
              </w:rPr>
              <w:t>-24 %</w:t>
            </w:r>
          </w:p>
        </w:tc>
      </w:tr>
      <w:tr w:rsidR="00594B94" w:rsidTr="00594B94">
        <w:trPr>
          <w:trHeight w:val="300"/>
        </w:trPr>
        <w:tc>
          <w:tcPr>
            <w:tcW w:w="3256" w:type="dxa"/>
            <w:tcBorders>
              <w:top w:val="single" w:sz="4" w:space="0" w:color="auto"/>
              <w:left w:val="single" w:sz="4" w:space="0" w:color="auto"/>
              <w:bottom w:val="single" w:sz="4" w:space="0" w:color="auto"/>
              <w:right w:val="single" w:sz="4" w:space="0" w:color="auto"/>
            </w:tcBorders>
            <w:shd w:val="clear" w:color="FDE9D9" w:fill="FFF2CC"/>
            <w:noWrap/>
            <w:vAlign w:val="center"/>
            <w:hideMark/>
          </w:tcPr>
          <w:p w:rsidR="00594B94" w:rsidRDefault="00594B94">
            <w:pPr>
              <w:rPr>
                <w:rFonts w:ascii="Calibri" w:hAnsi="Calibri" w:cs="Calibri"/>
                <w:color w:val="000000"/>
                <w:sz w:val="18"/>
                <w:szCs w:val="18"/>
              </w:rPr>
            </w:pPr>
            <w:r>
              <w:rPr>
                <w:rFonts w:ascii="Calibri" w:hAnsi="Calibri" w:cs="Calibri"/>
                <w:color w:val="000000"/>
                <w:sz w:val="18"/>
                <w:szCs w:val="18"/>
              </w:rPr>
              <w:t>Podíl přijatých transferů na celk. příjmech</w:t>
            </w:r>
          </w:p>
        </w:tc>
        <w:tc>
          <w:tcPr>
            <w:tcW w:w="708" w:type="dxa"/>
            <w:tcBorders>
              <w:top w:val="nil"/>
              <w:left w:val="nil"/>
              <w:bottom w:val="single" w:sz="4" w:space="0" w:color="auto"/>
              <w:right w:val="single" w:sz="4" w:space="0" w:color="auto"/>
            </w:tcBorders>
            <w:shd w:val="clear" w:color="FDE9D9" w:fill="FFF2CC"/>
            <w:noWrap/>
            <w:vAlign w:val="center"/>
            <w:hideMark/>
          </w:tcPr>
          <w:p w:rsidR="00594B94" w:rsidRDefault="00594B94">
            <w:pPr>
              <w:jc w:val="right"/>
              <w:rPr>
                <w:rFonts w:ascii="Calibri" w:hAnsi="Calibri" w:cs="Calibri"/>
                <w:color w:val="000000"/>
                <w:sz w:val="18"/>
                <w:szCs w:val="18"/>
              </w:rPr>
            </w:pPr>
            <w:r>
              <w:rPr>
                <w:rFonts w:ascii="Calibri" w:hAnsi="Calibri" w:cs="Calibri"/>
                <w:color w:val="000000"/>
                <w:sz w:val="18"/>
                <w:szCs w:val="18"/>
              </w:rPr>
              <w:t>13 %</w:t>
            </w:r>
          </w:p>
        </w:tc>
        <w:tc>
          <w:tcPr>
            <w:tcW w:w="709" w:type="dxa"/>
            <w:tcBorders>
              <w:top w:val="nil"/>
              <w:left w:val="nil"/>
              <w:bottom w:val="single" w:sz="4" w:space="0" w:color="auto"/>
              <w:right w:val="single" w:sz="4" w:space="0" w:color="auto"/>
            </w:tcBorders>
            <w:shd w:val="clear" w:color="FDE9D9" w:fill="FFF2CC"/>
            <w:noWrap/>
            <w:vAlign w:val="center"/>
            <w:hideMark/>
          </w:tcPr>
          <w:p w:rsidR="00594B94" w:rsidRDefault="00594B94">
            <w:pPr>
              <w:jc w:val="right"/>
              <w:rPr>
                <w:rFonts w:ascii="Calibri" w:hAnsi="Calibri" w:cs="Calibri"/>
                <w:color w:val="000000"/>
                <w:sz w:val="18"/>
                <w:szCs w:val="18"/>
              </w:rPr>
            </w:pPr>
            <w:r>
              <w:rPr>
                <w:rFonts w:ascii="Calibri" w:hAnsi="Calibri" w:cs="Calibri"/>
                <w:color w:val="000000"/>
                <w:sz w:val="18"/>
                <w:szCs w:val="18"/>
              </w:rPr>
              <w:t>9 %</w:t>
            </w:r>
          </w:p>
        </w:tc>
        <w:tc>
          <w:tcPr>
            <w:tcW w:w="709" w:type="dxa"/>
            <w:tcBorders>
              <w:top w:val="nil"/>
              <w:left w:val="nil"/>
              <w:bottom w:val="single" w:sz="4" w:space="0" w:color="auto"/>
              <w:right w:val="single" w:sz="4" w:space="0" w:color="auto"/>
            </w:tcBorders>
            <w:shd w:val="clear" w:color="FDE9D9" w:fill="FFF2CC"/>
            <w:noWrap/>
            <w:vAlign w:val="center"/>
            <w:hideMark/>
          </w:tcPr>
          <w:p w:rsidR="00594B94" w:rsidRDefault="00594B94">
            <w:pPr>
              <w:jc w:val="right"/>
              <w:rPr>
                <w:rFonts w:ascii="Calibri" w:hAnsi="Calibri" w:cs="Calibri"/>
                <w:color w:val="000000"/>
                <w:sz w:val="18"/>
                <w:szCs w:val="18"/>
              </w:rPr>
            </w:pPr>
            <w:r>
              <w:rPr>
                <w:rFonts w:ascii="Calibri" w:hAnsi="Calibri" w:cs="Calibri"/>
                <w:color w:val="000000"/>
                <w:sz w:val="18"/>
                <w:szCs w:val="18"/>
              </w:rPr>
              <w:t>11 %</w:t>
            </w:r>
          </w:p>
        </w:tc>
        <w:tc>
          <w:tcPr>
            <w:tcW w:w="709" w:type="dxa"/>
            <w:tcBorders>
              <w:top w:val="nil"/>
              <w:left w:val="nil"/>
              <w:bottom w:val="single" w:sz="4" w:space="0" w:color="auto"/>
              <w:right w:val="single" w:sz="4" w:space="0" w:color="auto"/>
            </w:tcBorders>
            <w:shd w:val="clear" w:color="FDE9D9" w:fill="FFF2CC"/>
            <w:noWrap/>
            <w:vAlign w:val="center"/>
            <w:hideMark/>
          </w:tcPr>
          <w:p w:rsidR="00594B94" w:rsidRDefault="00594B94">
            <w:pPr>
              <w:jc w:val="right"/>
              <w:rPr>
                <w:rFonts w:ascii="Calibri" w:hAnsi="Calibri" w:cs="Calibri"/>
                <w:color w:val="000000"/>
                <w:sz w:val="18"/>
                <w:szCs w:val="18"/>
              </w:rPr>
            </w:pPr>
            <w:r>
              <w:rPr>
                <w:rFonts w:ascii="Calibri" w:hAnsi="Calibri" w:cs="Calibri"/>
                <w:color w:val="000000"/>
                <w:sz w:val="18"/>
                <w:szCs w:val="18"/>
              </w:rPr>
              <w:t>10 %</w:t>
            </w:r>
          </w:p>
        </w:tc>
        <w:tc>
          <w:tcPr>
            <w:tcW w:w="850" w:type="dxa"/>
            <w:tcBorders>
              <w:top w:val="nil"/>
              <w:left w:val="nil"/>
              <w:bottom w:val="single" w:sz="4" w:space="0" w:color="auto"/>
              <w:right w:val="single" w:sz="4" w:space="0" w:color="auto"/>
            </w:tcBorders>
            <w:shd w:val="clear" w:color="FDE9D9" w:fill="FFF2CC"/>
            <w:noWrap/>
            <w:vAlign w:val="center"/>
            <w:hideMark/>
          </w:tcPr>
          <w:p w:rsidR="00594B94" w:rsidRDefault="00594B94">
            <w:pPr>
              <w:jc w:val="right"/>
              <w:rPr>
                <w:rFonts w:ascii="Calibri" w:hAnsi="Calibri" w:cs="Calibri"/>
                <w:color w:val="000000"/>
                <w:sz w:val="18"/>
                <w:szCs w:val="18"/>
              </w:rPr>
            </w:pPr>
            <w:r>
              <w:rPr>
                <w:rFonts w:ascii="Calibri" w:hAnsi="Calibri" w:cs="Calibri"/>
                <w:color w:val="000000"/>
                <w:sz w:val="18"/>
                <w:szCs w:val="18"/>
              </w:rPr>
              <w:t>15 %</w:t>
            </w:r>
          </w:p>
        </w:tc>
        <w:tc>
          <w:tcPr>
            <w:tcW w:w="799" w:type="dxa"/>
            <w:tcBorders>
              <w:top w:val="nil"/>
              <w:left w:val="nil"/>
              <w:bottom w:val="single" w:sz="4" w:space="0" w:color="auto"/>
              <w:right w:val="single" w:sz="4" w:space="0" w:color="auto"/>
            </w:tcBorders>
            <w:shd w:val="clear" w:color="FDE9D9" w:fill="FFF2CC"/>
            <w:noWrap/>
            <w:vAlign w:val="center"/>
            <w:hideMark/>
          </w:tcPr>
          <w:p w:rsidR="00594B94" w:rsidRDefault="00594B94">
            <w:pPr>
              <w:jc w:val="right"/>
              <w:rPr>
                <w:rFonts w:ascii="Calibri" w:hAnsi="Calibri" w:cs="Calibri"/>
                <w:color w:val="000000"/>
                <w:sz w:val="18"/>
                <w:szCs w:val="18"/>
              </w:rPr>
            </w:pPr>
            <w:r>
              <w:rPr>
                <w:rFonts w:ascii="Calibri" w:hAnsi="Calibri" w:cs="Calibri"/>
                <w:color w:val="000000"/>
                <w:sz w:val="18"/>
                <w:szCs w:val="18"/>
              </w:rPr>
              <w:t>24 %</w:t>
            </w:r>
          </w:p>
        </w:tc>
        <w:tc>
          <w:tcPr>
            <w:tcW w:w="902" w:type="dxa"/>
            <w:tcBorders>
              <w:top w:val="nil"/>
              <w:left w:val="nil"/>
              <w:bottom w:val="single" w:sz="4" w:space="0" w:color="auto"/>
              <w:right w:val="single" w:sz="4" w:space="0" w:color="auto"/>
            </w:tcBorders>
            <w:shd w:val="clear" w:color="FDE9D9" w:fill="FFF2CC"/>
            <w:noWrap/>
            <w:vAlign w:val="center"/>
            <w:hideMark/>
          </w:tcPr>
          <w:p w:rsidR="00594B94" w:rsidRDefault="00594B94">
            <w:pPr>
              <w:jc w:val="right"/>
              <w:rPr>
                <w:rFonts w:ascii="Calibri" w:hAnsi="Calibri" w:cs="Calibri"/>
                <w:color w:val="000000"/>
                <w:sz w:val="18"/>
                <w:szCs w:val="18"/>
              </w:rPr>
            </w:pPr>
            <w:r>
              <w:rPr>
                <w:rFonts w:ascii="Calibri" w:hAnsi="Calibri" w:cs="Calibri"/>
                <w:color w:val="000000"/>
                <w:sz w:val="18"/>
                <w:szCs w:val="18"/>
              </w:rPr>
              <w:t>13 %</w:t>
            </w:r>
          </w:p>
        </w:tc>
        <w:tc>
          <w:tcPr>
            <w:tcW w:w="851" w:type="dxa"/>
            <w:tcBorders>
              <w:top w:val="nil"/>
              <w:left w:val="nil"/>
              <w:bottom w:val="single" w:sz="4" w:space="0" w:color="auto"/>
              <w:right w:val="single" w:sz="4" w:space="0" w:color="auto"/>
            </w:tcBorders>
            <w:shd w:val="clear" w:color="FDE9D9" w:fill="FFF2CC"/>
            <w:noWrap/>
            <w:vAlign w:val="center"/>
            <w:hideMark/>
          </w:tcPr>
          <w:p w:rsidR="00594B94" w:rsidRDefault="00594B94">
            <w:pPr>
              <w:jc w:val="right"/>
              <w:rPr>
                <w:rFonts w:ascii="Calibri" w:hAnsi="Calibri" w:cs="Calibri"/>
                <w:color w:val="000000"/>
                <w:sz w:val="18"/>
                <w:szCs w:val="18"/>
              </w:rPr>
            </w:pPr>
            <w:r>
              <w:rPr>
                <w:rFonts w:ascii="Calibri" w:hAnsi="Calibri" w:cs="Calibri"/>
                <w:color w:val="000000"/>
                <w:sz w:val="18"/>
                <w:szCs w:val="18"/>
              </w:rPr>
              <w:t>9 %</w:t>
            </w:r>
          </w:p>
        </w:tc>
      </w:tr>
    </w:tbl>
    <w:p w:rsidR="00594B94" w:rsidRDefault="00594B94" w:rsidP="00594B94"/>
    <w:p w:rsidR="00594B94" w:rsidRDefault="00594B94" w:rsidP="00594B94">
      <w:pPr>
        <w:jc w:val="center"/>
      </w:pPr>
      <w:r>
        <w:rPr>
          <w:noProof/>
        </w:rPr>
        <w:drawing>
          <wp:inline distT="0" distB="0" distL="0" distR="0" wp14:anchorId="0C18B389" wp14:editId="6AEB8433">
            <wp:extent cx="4571365" cy="2809103"/>
            <wp:effectExtent l="0" t="0" r="635" b="10795"/>
            <wp:docPr id="27"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94B94" w:rsidRPr="00594B94" w:rsidRDefault="00594B94" w:rsidP="00594B94"/>
    <w:p w:rsidR="0087769D" w:rsidRDefault="0087769D" w:rsidP="008627B0">
      <w:pPr>
        <w:jc w:val="center"/>
        <w:rPr>
          <w:rFonts w:ascii="Calibri" w:hAnsi="Calibri"/>
          <w:b/>
          <w:sz w:val="20"/>
          <w:szCs w:val="20"/>
        </w:rPr>
      </w:pPr>
    </w:p>
    <w:p w:rsidR="0087769D" w:rsidRPr="00E5615D" w:rsidRDefault="00DF51C2" w:rsidP="00DF51C2">
      <w:pPr>
        <w:pStyle w:val="Nadpis2"/>
      </w:pPr>
      <w:bookmarkStart w:id="23" w:name="_Toc39129509"/>
      <w:r w:rsidRPr="00E5615D">
        <w:t>Neinvestiční transfery</w:t>
      </w:r>
      <w:bookmarkEnd w:id="23"/>
    </w:p>
    <w:p w:rsidR="00DF51C2" w:rsidRDefault="00DF51C2" w:rsidP="00DF51C2">
      <w:pPr>
        <w:jc w:val="both"/>
        <w:rPr>
          <w:rFonts w:asciiTheme="minorHAnsi" w:hAnsiTheme="minorHAnsi" w:cstheme="minorHAnsi"/>
          <w:sz w:val="22"/>
          <w:szCs w:val="22"/>
        </w:rPr>
      </w:pPr>
      <w:r w:rsidRPr="00E5615D">
        <w:rPr>
          <w:rFonts w:asciiTheme="minorHAnsi" w:hAnsiTheme="minorHAnsi" w:cstheme="minorHAnsi"/>
          <w:sz w:val="22"/>
          <w:szCs w:val="22"/>
        </w:rPr>
        <w:t>Město Prostějov obdrželo v roce 20</w:t>
      </w:r>
      <w:r w:rsidR="002C2707" w:rsidRPr="00E5615D">
        <w:rPr>
          <w:rFonts w:asciiTheme="minorHAnsi" w:hAnsiTheme="minorHAnsi" w:cstheme="minorHAnsi"/>
          <w:sz w:val="22"/>
          <w:szCs w:val="22"/>
        </w:rPr>
        <w:t>2</w:t>
      </w:r>
      <w:r w:rsidR="00594B94">
        <w:rPr>
          <w:rFonts w:asciiTheme="minorHAnsi" w:hAnsiTheme="minorHAnsi" w:cstheme="minorHAnsi"/>
          <w:sz w:val="22"/>
          <w:szCs w:val="22"/>
        </w:rPr>
        <w:t>2</w:t>
      </w:r>
      <w:r w:rsidRPr="00E5615D">
        <w:rPr>
          <w:rFonts w:asciiTheme="minorHAnsi" w:hAnsiTheme="minorHAnsi" w:cstheme="minorHAnsi"/>
          <w:sz w:val="22"/>
          <w:szCs w:val="22"/>
        </w:rPr>
        <w:t xml:space="preserve"> tyto neinvestiční dotace </w:t>
      </w:r>
      <w:r w:rsidRPr="00E5615D">
        <w:rPr>
          <w:rFonts w:asciiTheme="minorHAnsi" w:hAnsiTheme="minorHAnsi" w:cstheme="minorHAnsi"/>
          <w:sz w:val="22"/>
          <w:szCs w:val="22"/>
          <w:u w:val="single"/>
        </w:rPr>
        <w:t>ze státního rozpočtu</w:t>
      </w:r>
      <w:r w:rsidRPr="00E5615D">
        <w:rPr>
          <w:rFonts w:asciiTheme="minorHAnsi" w:hAnsiTheme="minorHAnsi" w:cstheme="minorHAnsi"/>
          <w:sz w:val="22"/>
          <w:szCs w:val="22"/>
        </w:rPr>
        <w:t>:</w:t>
      </w:r>
    </w:p>
    <w:p w:rsidR="00D6578A" w:rsidRDefault="00890D9D" w:rsidP="00D6578A">
      <w:pPr>
        <w:pStyle w:val="Odstavecseseznamem"/>
        <w:numPr>
          <w:ilvl w:val="0"/>
          <w:numId w:val="12"/>
        </w:numPr>
        <w:rPr>
          <w:rFonts w:asciiTheme="minorHAnsi" w:hAnsiTheme="minorHAnsi" w:cstheme="minorHAnsi"/>
          <w:sz w:val="22"/>
          <w:szCs w:val="22"/>
        </w:rPr>
      </w:pPr>
      <w:r>
        <w:rPr>
          <w:rFonts w:asciiTheme="minorHAnsi" w:hAnsiTheme="minorHAnsi" w:cstheme="minorHAnsi"/>
          <w:sz w:val="22"/>
          <w:szCs w:val="22"/>
        </w:rPr>
        <w:t>volba prezidenta (428,6 tis. Kč)</w:t>
      </w:r>
      <w:r w:rsidR="00D6578A">
        <w:rPr>
          <w:rFonts w:asciiTheme="minorHAnsi" w:hAnsiTheme="minorHAnsi" w:cstheme="minorHAnsi"/>
          <w:sz w:val="22"/>
          <w:szCs w:val="22"/>
        </w:rPr>
        <w:t>,</w:t>
      </w:r>
    </w:p>
    <w:p w:rsidR="00D6578A" w:rsidRDefault="00D6578A" w:rsidP="00D6578A">
      <w:pPr>
        <w:pStyle w:val="Odstavecseseznamem"/>
        <w:numPr>
          <w:ilvl w:val="0"/>
          <w:numId w:val="12"/>
        </w:numPr>
        <w:rPr>
          <w:rFonts w:asciiTheme="minorHAnsi" w:hAnsiTheme="minorHAnsi" w:cstheme="minorHAnsi"/>
          <w:sz w:val="22"/>
          <w:szCs w:val="22"/>
        </w:rPr>
      </w:pPr>
      <w:r>
        <w:rPr>
          <w:rFonts w:asciiTheme="minorHAnsi" w:hAnsiTheme="minorHAnsi" w:cstheme="minorHAnsi"/>
          <w:sz w:val="22"/>
          <w:szCs w:val="22"/>
        </w:rPr>
        <w:t xml:space="preserve">jednorázový </w:t>
      </w:r>
      <w:r w:rsidR="00890D9D">
        <w:rPr>
          <w:rFonts w:asciiTheme="minorHAnsi" w:hAnsiTheme="minorHAnsi" w:cstheme="minorHAnsi"/>
          <w:sz w:val="22"/>
          <w:szCs w:val="22"/>
        </w:rPr>
        <w:t>nenávratný příspěvek</w:t>
      </w:r>
      <w:r>
        <w:rPr>
          <w:rFonts w:asciiTheme="minorHAnsi" w:hAnsiTheme="minorHAnsi" w:cstheme="minorHAnsi"/>
          <w:sz w:val="22"/>
          <w:szCs w:val="22"/>
        </w:rPr>
        <w:t xml:space="preserve"> – covid (</w:t>
      </w:r>
      <w:r w:rsidR="00890D9D">
        <w:rPr>
          <w:rFonts w:asciiTheme="minorHAnsi" w:hAnsiTheme="minorHAnsi" w:cstheme="minorHAnsi"/>
          <w:sz w:val="22"/>
          <w:szCs w:val="22"/>
        </w:rPr>
        <w:t>2,97</w:t>
      </w:r>
      <w:r>
        <w:rPr>
          <w:rFonts w:asciiTheme="minorHAnsi" w:hAnsiTheme="minorHAnsi" w:cstheme="minorHAnsi"/>
          <w:sz w:val="22"/>
          <w:szCs w:val="22"/>
        </w:rPr>
        <w:t xml:space="preserve"> mil. Kč),</w:t>
      </w:r>
    </w:p>
    <w:p w:rsidR="00D6578A" w:rsidRDefault="00890D9D" w:rsidP="00D6578A">
      <w:pPr>
        <w:pStyle w:val="Odstavecseseznamem"/>
        <w:numPr>
          <w:ilvl w:val="0"/>
          <w:numId w:val="12"/>
        </w:numPr>
        <w:rPr>
          <w:rFonts w:asciiTheme="minorHAnsi" w:hAnsiTheme="minorHAnsi" w:cstheme="minorHAnsi"/>
          <w:sz w:val="22"/>
          <w:szCs w:val="22"/>
        </w:rPr>
      </w:pPr>
      <w:r>
        <w:rPr>
          <w:rFonts w:asciiTheme="minorHAnsi" w:hAnsiTheme="minorHAnsi" w:cstheme="minorHAnsi"/>
          <w:sz w:val="22"/>
          <w:szCs w:val="22"/>
        </w:rPr>
        <w:t>volby do Senátu a do zastupitelstev obcí</w:t>
      </w:r>
      <w:r w:rsidR="00D6578A">
        <w:rPr>
          <w:rFonts w:asciiTheme="minorHAnsi" w:hAnsiTheme="minorHAnsi" w:cstheme="minorHAnsi"/>
          <w:sz w:val="22"/>
          <w:szCs w:val="22"/>
        </w:rPr>
        <w:t xml:space="preserve"> (1,</w:t>
      </w:r>
      <w:r>
        <w:rPr>
          <w:rFonts w:asciiTheme="minorHAnsi" w:hAnsiTheme="minorHAnsi" w:cstheme="minorHAnsi"/>
          <w:sz w:val="22"/>
          <w:szCs w:val="22"/>
        </w:rPr>
        <w:t>43</w:t>
      </w:r>
      <w:r w:rsidR="00D6578A">
        <w:rPr>
          <w:rFonts w:asciiTheme="minorHAnsi" w:hAnsiTheme="minorHAnsi" w:cstheme="minorHAnsi"/>
          <w:sz w:val="22"/>
          <w:szCs w:val="22"/>
        </w:rPr>
        <w:t xml:space="preserve"> mil. Kč),</w:t>
      </w:r>
    </w:p>
    <w:p w:rsidR="00D6578A" w:rsidRDefault="00D6578A" w:rsidP="00D6578A">
      <w:pPr>
        <w:pStyle w:val="Odstavecseseznamem"/>
        <w:numPr>
          <w:ilvl w:val="0"/>
          <w:numId w:val="12"/>
        </w:numPr>
        <w:rPr>
          <w:rFonts w:asciiTheme="minorHAnsi" w:hAnsiTheme="minorHAnsi" w:cstheme="minorHAnsi"/>
          <w:sz w:val="22"/>
          <w:szCs w:val="22"/>
        </w:rPr>
      </w:pPr>
      <w:r>
        <w:rPr>
          <w:rFonts w:asciiTheme="minorHAnsi" w:hAnsiTheme="minorHAnsi" w:cstheme="minorHAnsi"/>
          <w:sz w:val="22"/>
          <w:szCs w:val="22"/>
        </w:rPr>
        <w:t>výkon státní správy (69,</w:t>
      </w:r>
      <w:r w:rsidR="00890D9D">
        <w:rPr>
          <w:rFonts w:asciiTheme="minorHAnsi" w:hAnsiTheme="minorHAnsi" w:cstheme="minorHAnsi"/>
          <w:sz w:val="22"/>
          <w:szCs w:val="22"/>
        </w:rPr>
        <w:t>08</w:t>
      </w:r>
      <w:r>
        <w:rPr>
          <w:rFonts w:asciiTheme="minorHAnsi" w:hAnsiTheme="minorHAnsi" w:cstheme="minorHAnsi"/>
          <w:sz w:val="22"/>
          <w:szCs w:val="22"/>
        </w:rPr>
        <w:t xml:space="preserve"> mil. Kč),</w:t>
      </w:r>
    </w:p>
    <w:p w:rsidR="00D6578A" w:rsidRDefault="00D6578A" w:rsidP="00D6578A">
      <w:pPr>
        <w:pStyle w:val="Odstavecseseznamem"/>
        <w:numPr>
          <w:ilvl w:val="0"/>
          <w:numId w:val="12"/>
        </w:numPr>
        <w:rPr>
          <w:rFonts w:asciiTheme="minorHAnsi" w:hAnsiTheme="minorHAnsi" w:cstheme="minorHAnsi"/>
          <w:sz w:val="22"/>
          <w:szCs w:val="22"/>
        </w:rPr>
      </w:pPr>
      <w:r>
        <w:rPr>
          <w:rFonts w:asciiTheme="minorHAnsi" w:hAnsiTheme="minorHAnsi" w:cstheme="minorHAnsi"/>
          <w:sz w:val="22"/>
          <w:szCs w:val="22"/>
        </w:rPr>
        <w:t>státní příspěvek na výkon pěstounské péče (</w:t>
      </w:r>
      <w:r w:rsidR="00890D9D">
        <w:rPr>
          <w:rFonts w:asciiTheme="minorHAnsi" w:hAnsiTheme="minorHAnsi" w:cstheme="minorHAnsi"/>
          <w:sz w:val="22"/>
          <w:szCs w:val="22"/>
        </w:rPr>
        <w:t>598,5</w:t>
      </w:r>
      <w:r>
        <w:rPr>
          <w:rFonts w:asciiTheme="minorHAnsi" w:hAnsiTheme="minorHAnsi" w:cstheme="minorHAnsi"/>
          <w:sz w:val="22"/>
          <w:szCs w:val="22"/>
        </w:rPr>
        <w:t xml:space="preserve"> tis. Kč),</w:t>
      </w:r>
    </w:p>
    <w:p w:rsidR="00D6578A" w:rsidRDefault="00D6578A" w:rsidP="00D6578A">
      <w:pPr>
        <w:pStyle w:val="Odstavecseseznamem"/>
        <w:numPr>
          <w:ilvl w:val="0"/>
          <w:numId w:val="12"/>
        </w:numPr>
        <w:rPr>
          <w:rFonts w:asciiTheme="minorHAnsi" w:hAnsiTheme="minorHAnsi" w:cstheme="minorHAnsi"/>
          <w:sz w:val="22"/>
          <w:szCs w:val="22"/>
        </w:rPr>
      </w:pPr>
      <w:r>
        <w:rPr>
          <w:rFonts w:asciiTheme="minorHAnsi" w:hAnsiTheme="minorHAnsi" w:cstheme="minorHAnsi"/>
          <w:sz w:val="22"/>
          <w:szCs w:val="22"/>
        </w:rPr>
        <w:t>SPOD</w:t>
      </w:r>
      <w:r w:rsidR="00890D9D">
        <w:rPr>
          <w:rFonts w:asciiTheme="minorHAnsi" w:hAnsiTheme="minorHAnsi" w:cstheme="minorHAnsi"/>
          <w:sz w:val="22"/>
          <w:szCs w:val="22"/>
        </w:rPr>
        <w:t xml:space="preserve"> – doplatek za rok 2021</w:t>
      </w:r>
      <w:r>
        <w:rPr>
          <w:rFonts w:asciiTheme="minorHAnsi" w:hAnsiTheme="minorHAnsi" w:cstheme="minorHAnsi"/>
          <w:sz w:val="22"/>
          <w:szCs w:val="22"/>
        </w:rPr>
        <w:t xml:space="preserve"> (</w:t>
      </w:r>
      <w:r w:rsidR="00890D9D">
        <w:rPr>
          <w:rFonts w:asciiTheme="minorHAnsi" w:hAnsiTheme="minorHAnsi" w:cstheme="minorHAnsi"/>
          <w:sz w:val="22"/>
          <w:szCs w:val="22"/>
        </w:rPr>
        <w:t>1,47</w:t>
      </w:r>
      <w:r>
        <w:rPr>
          <w:rFonts w:asciiTheme="minorHAnsi" w:hAnsiTheme="minorHAnsi" w:cstheme="minorHAnsi"/>
          <w:sz w:val="22"/>
          <w:szCs w:val="22"/>
        </w:rPr>
        <w:t xml:space="preserve"> mil. Kč),</w:t>
      </w:r>
    </w:p>
    <w:p w:rsidR="00890D9D" w:rsidRDefault="00890D9D" w:rsidP="00D6578A">
      <w:pPr>
        <w:pStyle w:val="Odstavecseseznamem"/>
        <w:numPr>
          <w:ilvl w:val="0"/>
          <w:numId w:val="12"/>
        </w:numPr>
        <w:rPr>
          <w:rFonts w:asciiTheme="minorHAnsi" w:hAnsiTheme="minorHAnsi" w:cstheme="minorHAnsi"/>
          <w:sz w:val="22"/>
          <w:szCs w:val="22"/>
        </w:rPr>
      </w:pPr>
      <w:r>
        <w:rPr>
          <w:rFonts w:asciiTheme="minorHAnsi" w:hAnsiTheme="minorHAnsi" w:cstheme="minorHAnsi"/>
          <w:sz w:val="22"/>
          <w:szCs w:val="22"/>
        </w:rPr>
        <w:t>SPOD (12,9 mil. Kč),</w:t>
      </w:r>
    </w:p>
    <w:p w:rsidR="00D6578A" w:rsidRDefault="00D6578A" w:rsidP="00D6578A">
      <w:pPr>
        <w:pStyle w:val="Odstavecseseznamem"/>
        <w:numPr>
          <w:ilvl w:val="0"/>
          <w:numId w:val="12"/>
        </w:numPr>
        <w:rPr>
          <w:rFonts w:asciiTheme="minorHAnsi" w:hAnsiTheme="minorHAnsi" w:cstheme="minorHAnsi"/>
          <w:sz w:val="22"/>
          <w:szCs w:val="22"/>
        </w:rPr>
      </w:pPr>
      <w:r>
        <w:rPr>
          <w:rFonts w:asciiTheme="minorHAnsi" w:hAnsiTheme="minorHAnsi" w:cstheme="minorHAnsi"/>
          <w:sz w:val="22"/>
          <w:szCs w:val="22"/>
        </w:rPr>
        <w:t>výkon sociální práce mimo SPOD (</w:t>
      </w:r>
      <w:r w:rsidR="00890D9D">
        <w:rPr>
          <w:rFonts w:asciiTheme="minorHAnsi" w:hAnsiTheme="minorHAnsi" w:cstheme="minorHAnsi"/>
          <w:sz w:val="22"/>
          <w:szCs w:val="22"/>
        </w:rPr>
        <w:t>3,58</w:t>
      </w:r>
      <w:r>
        <w:rPr>
          <w:rFonts w:asciiTheme="minorHAnsi" w:hAnsiTheme="minorHAnsi" w:cstheme="minorHAnsi"/>
          <w:sz w:val="22"/>
          <w:szCs w:val="22"/>
        </w:rPr>
        <w:t xml:space="preserve"> mil. Kč),</w:t>
      </w:r>
    </w:p>
    <w:p w:rsidR="00D6578A" w:rsidRDefault="00D6578A" w:rsidP="00D6578A">
      <w:pPr>
        <w:pStyle w:val="Odstavecseseznamem"/>
        <w:numPr>
          <w:ilvl w:val="0"/>
          <w:numId w:val="12"/>
        </w:numPr>
        <w:rPr>
          <w:rFonts w:asciiTheme="minorHAnsi" w:hAnsiTheme="minorHAnsi" w:cstheme="minorHAnsi"/>
          <w:sz w:val="22"/>
          <w:szCs w:val="22"/>
        </w:rPr>
      </w:pPr>
      <w:r>
        <w:rPr>
          <w:rFonts w:asciiTheme="minorHAnsi" w:hAnsiTheme="minorHAnsi" w:cstheme="minorHAnsi"/>
          <w:sz w:val="22"/>
          <w:szCs w:val="22"/>
        </w:rPr>
        <w:t>aktivní politika zaměstnanosti (</w:t>
      </w:r>
      <w:r w:rsidR="00890D9D">
        <w:rPr>
          <w:rFonts w:asciiTheme="minorHAnsi" w:hAnsiTheme="minorHAnsi" w:cstheme="minorHAnsi"/>
          <w:sz w:val="22"/>
          <w:szCs w:val="22"/>
        </w:rPr>
        <w:t>896</w:t>
      </w:r>
      <w:r>
        <w:rPr>
          <w:rFonts w:asciiTheme="minorHAnsi" w:hAnsiTheme="minorHAnsi" w:cstheme="minorHAnsi"/>
          <w:sz w:val="22"/>
          <w:szCs w:val="22"/>
        </w:rPr>
        <w:t xml:space="preserve"> tis. Kč),</w:t>
      </w:r>
    </w:p>
    <w:p w:rsidR="00D6578A" w:rsidRDefault="00D6578A" w:rsidP="00D6578A">
      <w:pPr>
        <w:pStyle w:val="Odstavecseseznamem"/>
        <w:numPr>
          <w:ilvl w:val="0"/>
          <w:numId w:val="12"/>
        </w:numPr>
        <w:rPr>
          <w:rFonts w:asciiTheme="minorHAnsi" w:hAnsiTheme="minorHAnsi" w:cstheme="minorHAnsi"/>
          <w:sz w:val="22"/>
          <w:szCs w:val="22"/>
        </w:rPr>
      </w:pPr>
      <w:r>
        <w:rPr>
          <w:rFonts w:asciiTheme="minorHAnsi" w:hAnsiTheme="minorHAnsi" w:cstheme="minorHAnsi"/>
          <w:sz w:val="22"/>
          <w:szCs w:val="22"/>
        </w:rPr>
        <w:t>zabezpečení akceschopnosti JSDH (</w:t>
      </w:r>
      <w:r w:rsidR="00890D9D">
        <w:rPr>
          <w:rFonts w:asciiTheme="minorHAnsi" w:hAnsiTheme="minorHAnsi" w:cstheme="minorHAnsi"/>
          <w:sz w:val="22"/>
          <w:szCs w:val="22"/>
        </w:rPr>
        <w:t>312,70</w:t>
      </w:r>
      <w:r>
        <w:rPr>
          <w:rFonts w:asciiTheme="minorHAnsi" w:hAnsiTheme="minorHAnsi" w:cstheme="minorHAnsi"/>
          <w:sz w:val="22"/>
          <w:szCs w:val="22"/>
        </w:rPr>
        <w:t xml:space="preserve"> tis. Kč),</w:t>
      </w:r>
    </w:p>
    <w:p w:rsidR="00D6578A" w:rsidRDefault="00D6578A" w:rsidP="00D6578A">
      <w:pPr>
        <w:pStyle w:val="Odstavecseseznamem"/>
        <w:numPr>
          <w:ilvl w:val="0"/>
          <w:numId w:val="12"/>
        </w:numPr>
        <w:rPr>
          <w:rFonts w:asciiTheme="minorHAnsi" w:hAnsiTheme="minorHAnsi" w:cstheme="minorHAnsi"/>
          <w:sz w:val="22"/>
          <w:szCs w:val="22"/>
        </w:rPr>
      </w:pPr>
      <w:r>
        <w:rPr>
          <w:rFonts w:asciiTheme="minorHAnsi" w:hAnsiTheme="minorHAnsi" w:cstheme="minorHAnsi"/>
          <w:sz w:val="22"/>
          <w:szCs w:val="22"/>
        </w:rPr>
        <w:t>prevence kriminality (</w:t>
      </w:r>
      <w:r w:rsidR="00890D9D">
        <w:rPr>
          <w:rFonts w:asciiTheme="minorHAnsi" w:hAnsiTheme="minorHAnsi" w:cstheme="minorHAnsi"/>
          <w:sz w:val="22"/>
          <w:szCs w:val="22"/>
        </w:rPr>
        <w:t>18,08</w:t>
      </w:r>
      <w:r>
        <w:rPr>
          <w:rFonts w:asciiTheme="minorHAnsi" w:hAnsiTheme="minorHAnsi" w:cstheme="minorHAnsi"/>
          <w:sz w:val="22"/>
          <w:szCs w:val="22"/>
        </w:rPr>
        <w:t xml:space="preserve"> tis. Kč),</w:t>
      </w:r>
    </w:p>
    <w:p w:rsidR="00BF624E" w:rsidRDefault="00BF624E" w:rsidP="00D6578A">
      <w:pPr>
        <w:pStyle w:val="Odstavecseseznamem"/>
        <w:numPr>
          <w:ilvl w:val="0"/>
          <w:numId w:val="12"/>
        </w:numPr>
        <w:rPr>
          <w:rFonts w:asciiTheme="minorHAnsi" w:hAnsiTheme="minorHAnsi" w:cstheme="minorHAnsi"/>
          <w:sz w:val="22"/>
          <w:szCs w:val="22"/>
        </w:rPr>
      </w:pPr>
      <w:r>
        <w:rPr>
          <w:rFonts w:asciiTheme="minorHAnsi" w:hAnsiTheme="minorHAnsi" w:cstheme="minorHAnsi"/>
          <w:sz w:val="22"/>
          <w:szCs w:val="22"/>
        </w:rPr>
        <w:t>účelové dotace na rozvoj informační sítě veřejných knihoven (</w:t>
      </w:r>
      <w:r w:rsidR="00890D9D">
        <w:rPr>
          <w:rFonts w:asciiTheme="minorHAnsi" w:hAnsiTheme="minorHAnsi" w:cstheme="minorHAnsi"/>
          <w:sz w:val="22"/>
          <w:szCs w:val="22"/>
        </w:rPr>
        <w:t>60</w:t>
      </w:r>
      <w:r>
        <w:rPr>
          <w:rFonts w:asciiTheme="minorHAnsi" w:hAnsiTheme="minorHAnsi" w:cstheme="minorHAnsi"/>
          <w:sz w:val="22"/>
          <w:szCs w:val="22"/>
        </w:rPr>
        <w:t xml:space="preserve"> tis. Kč),</w:t>
      </w:r>
    </w:p>
    <w:p w:rsidR="00BF624E" w:rsidRDefault="00BF624E" w:rsidP="00D6578A">
      <w:pPr>
        <w:pStyle w:val="Odstavecseseznamem"/>
        <w:numPr>
          <w:ilvl w:val="0"/>
          <w:numId w:val="12"/>
        </w:numPr>
        <w:rPr>
          <w:rFonts w:asciiTheme="minorHAnsi" w:hAnsiTheme="minorHAnsi" w:cstheme="minorHAnsi"/>
          <w:sz w:val="22"/>
          <w:szCs w:val="22"/>
        </w:rPr>
      </w:pPr>
      <w:r>
        <w:rPr>
          <w:rFonts w:asciiTheme="minorHAnsi" w:hAnsiTheme="minorHAnsi" w:cstheme="minorHAnsi"/>
          <w:sz w:val="22"/>
          <w:szCs w:val="22"/>
        </w:rPr>
        <w:t>účelová dotace na Program regenerace městské památkové rezervace (</w:t>
      </w:r>
      <w:r w:rsidR="00890D9D">
        <w:rPr>
          <w:rFonts w:asciiTheme="minorHAnsi" w:hAnsiTheme="minorHAnsi" w:cstheme="minorHAnsi"/>
          <w:sz w:val="22"/>
          <w:szCs w:val="22"/>
        </w:rPr>
        <w:t>570 tis.</w:t>
      </w:r>
      <w:r>
        <w:rPr>
          <w:rFonts w:asciiTheme="minorHAnsi" w:hAnsiTheme="minorHAnsi" w:cstheme="minorHAnsi"/>
          <w:sz w:val="22"/>
          <w:szCs w:val="22"/>
        </w:rPr>
        <w:t xml:space="preserve"> Kč),</w:t>
      </w:r>
    </w:p>
    <w:p w:rsidR="00BF624E" w:rsidRDefault="00BF624E" w:rsidP="00D6578A">
      <w:pPr>
        <w:pStyle w:val="Odstavecseseznamem"/>
        <w:numPr>
          <w:ilvl w:val="0"/>
          <w:numId w:val="12"/>
        </w:numPr>
        <w:rPr>
          <w:rFonts w:asciiTheme="minorHAnsi" w:hAnsiTheme="minorHAnsi" w:cstheme="minorHAnsi"/>
          <w:sz w:val="22"/>
          <w:szCs w:val="22"/>
        </w:rPr>
      </w:pPr>
      <w:r>
        <w:rPr>
          <w:rFonts w:asciiTheme="minorHAnsi" w:hAnsiTheme="minorHAnsi" w:cstheme="minorHAnsi"/>
          <w:sz w:val="22"/>
          <w:szCs w:val="22"/>
        </w:rPr>
        <w:t>účelové dotace na kulturní akce (300 tis. Kč),</w:t>
      </w:r>
    </w:p>
    <w:p w:rsidR="00BF624E" w:rsidRDefault="00BF624E" w:rsidP="00D6578A">
      <w:pPr>
        <w:pStyle w:val="Odstavecseseznamem"/>
        <w:numPr>
          <w:ilvl w:val="0"/>
          <w:numId w:val="12"/>
        </w:numPr>
        <w:rPr>
          <w:rFonts w:asciiTheme="minorHAnsi" w:hAnsiTheme="minorHAnsi" w:cstheme="minorHAnsi"/>
          <w:sz w:val="22"/>
          <w:szCs w:val="22"/>
        </w:rPr>
      </w:pPr>
      <w:r>
        <w:rPr>
          <w:rFonts w:asciiTheme="minorHAnsi" w:hAnsiTheme="minorHAnsi" w:cstheme="minorHAnsi"/>
          <w:sz w:val="22"/>
          <w:szCs w:val="22"/>
        </w:rPr>
        <w:t>OP VVV – projekty využívající zjednodušené vykazování (</w:t>
      </w:r>
      <w:r w:rsidR="00583F24">
        <w:rPr>
          <w:rFonts w:asciiTheme="minorHAnsi" w:hAnsiTheme="minorHAnsi" w:cstheme="minorHAnsi"/>
          <w:sz w:val="22"/>
          <w:szCs w:val="22"/>
        </w:rPr>
        <w:t>675,44 tis</w:t>
      </w:r>
      <w:r>
        <w:rPr>
          <w:rFonts w:asciiTheme="minorHAnsi" w:hAnsiTheme="minorHAnsi" w:cstheme="minorHAnsi"/>
          <w:sz w:val="22"/>
          <w:szCs w:val="22"/>
        </w:rPr>
        <w:t>. Kč),</w:t>
      </w:r>
    </w:p>
    <w:p w:rsidR="00BF624E" w:rsidRDefault="00BF624E" w:rsidP="00D6578A">
      <w:pPr>
        <w:pStyle w:val="Odstavecseseznamem"/>
        <w:numPr>
          <w:ilvl w:val="0"/>
          <w:numId w:val="12"/>
        </w:numPr>
        <w:rPr>
          <w:rFonts w:asciiTheme="minorHAnsi" w:hAnsiTheme="minorHAnsi" w:cstheme="minorHAnsi"/>
          <w:sz w:val="22"/>
          <w:szCs w:val="22"/>
        </w:rPr>
      </w:pPr>
      <w:r>
        <w:rPr>
          <w:rFonts w:asciiTheme="minorHAnsi" w:hAnsiTheme="minorHAnsi" w:cstheme="minorHAnsi"/>
          <w:sz w:val="22"/>
          <w:szCs w:val="22"/>
        </w:rPr>
        <w:t>veřejně prospěšné práce (</w:t>
      </w:r>
      <w:r w:rsidR="00583F24">
        <w:rPr>
          <w:rFonts w:asciiTheme="minorHAnsi" w:hAnsiTheme="minorHAnsi" w:cstheme="minorHAnsi"/>
          <w:sz w:val="22"/>
          <w:szCs w:val="22"/>
        </w:rPr>
        <w:t>356,8</w:t>
      </w:r>
      <w:r>
        <w:rPr>
          <w:rFonts w:asciiTheme="minorHAnsi" w:hAnsiTheme="minorHAnsi" w:cstheme="minorHAnsi"/>
          <w:sz w:val="22"/>
          <w:szCs w:val="22"/>
        </w:rPr>
        <w:t xml:space="preserve"> tis. Kč),</w:t>
      </w:r>
    </w:p>
    <w:p w:rsidR="00BF624E" w:rsidRDefault="00BF624E" w:rsidP="00D6578A">
      <w:pPr>
        <w:pStyle w:val="Odstavecseseznamem"/>
        <w:numPr>
          <w:ilvl w:val="0"/>
          <w:numId w:val="12"/>
        </w:numPr>
        <w:rPr>
          <w:rFonts w:asciiTheme="minorHAnsi" w:hAnsiTheme="minorHAnsi" w:cstheme="minorHAnsi"/>
          <w:sz w:val="22"/>
          <w:szCs w:val="22"/>
        </w:rPr>
      </w:pPr>
      <w:r>
        <w:rPr>
          <w:rFonts w:asciiTheme="minorHAnsi" w:hAnsiTheme="minorHAnsi" w:cstheme="minorHAnsi"/>
          <w:sz w:val="22"/>
          <w:szCs w:val="22"/>
        </w:rPr>
        <w:lastRenderedPageBreak/>
        <w:t xml:space="preserve">operační program </w:t>
      </w:r>
      <w:r w:rsidR="00583F24">
        <w:rPr>
          <w:rFonts w:asciiTheme="minorHAnsi" w:hAnsiTheme="minorHAnsi" w:cstheme="minorHAnsi"/>
          <w:sz w:val="22"/>
          <w:szCs w:val="22"/>
        </w:rPr>
        <w:t>J. A. Komenský</w:t>
      </w:r>
      <w:r>
        <w:rPr>
          <w:rFonts w:asciiTheme="minorHAnsi" w:hAnsiTheme="minorHAnsi" w:cstheme="minorHAnsi"/>
          <w:sz w:val="22"/>
          <w:szCs w:val="22"/>
        </w:rPr>
        <w:t xml:space="preserve"> (</w:t>
      </w:r>
      <w:r w:rsidR="00583F24">
        <w:rPr>
          <w:rFonts w:asciiTheme="minorHAnsi" w:hAnsiTheme="minorHAnsi" w:cstheme="minorHAnsi"/>
          <w:sz w:val="22"/>
          <w:szCs w:val="22"/>
        </w:rPr>
        <w:t>4,14 mil</w:t>
      </w:r>
      <w:r>
        <w:rPr>
          <w:rFonts w:asciiTheme="minorHAnsi" w:hAnsiTheme="minorHAnsi" w:cstheme="minorHAnsi"/>
          <w:sz w:val="22"/>
          <w:szCs w:val="22"/>
        </w:rPr>
        <w:t>. Kč)</w:t>
      </w:r>
      <w:r w:rsidR="00583F24">
        <w:rPr>
          <w:rFonts w:asciiTheme="minorHAnsi" w:hAnsiTheme="minorHAnsi" w:cstheme="minorHAnsi"/>
          <w:sz w:val="22"/>
          <w:szCs w:val="22"/>
        </w:rPr>
        <w:t>.</w:t>
      </w:r>
    </w:p>
    <w:p w:rsidR="00051747" w:rsidRPr="00A33345" w:rsidRDefault="00051747" w:rsidP="00DF51C2">
      <w:pPr>
        <w:jc w:val="both"/>
        <w:rPr>
          <w:rFonts w:asciiTheme="minorHAnsi" w:hAnsiTheme="minorHAnsi" w:cstheme="minorHAnsi"/>
          <w:color w:val="A6A6A6" w:themeColor="background1" w:themeShade="A6"/>
          <w:sz w:val="22"/>
          <w:szCs w:val="22"/>
        </w:rPr>
      </w:pPr>
    </w:p>
    <w:p w:rsidR="00DF51C2" w:rsidRPr="00FC7050" w:rsidRDefault="00DF51C2" w:rsidP="00DF51C2">
      <w:pPr>
        <w:jc w:val="both"/>
        <w:rPr>
          <w:rFonts w:asciiTheme="minorHAnsi" w:hAnsiTheme="minorHAnsi" w:cstheme="minorHAnsi"/>
          <w:sz w:val="22"/>
          <w:szCs w:val="22"/>
        </w:rPr>
      </w:pPr>
      <w:r w:rsidRPr="00FC7050">
        <w:rPr>
          <w:rFonts w:asciiTheme="minorHAnsi" w:hAnsiTheme="minorHAnsi" w:cstheme="minorHAnsi"/>
          <w:sz w:val="22"/>
          <w:szCs w:val="22"/>
          <w:u w:val="single"/>
        </w:rPr>
        <w:t>Od Olomouckého kraje</w:t>
      </w:r>
      <w:r w:rsidRPr="00FC7050">
        <w:rPr>
          <w:rFonts w:asciiTheme="minorHAnsi" w:hAnsiTheme="minorHAnsi" w:cstheme="minorHAnsi"/>
          <w:sz w:val="22"/>
          <w:szCs w:val="22"/>
        </w:rPr>
        <w:t xml:space="preserve"> město obdrželo neinvestiční </w:t>
      </w:r>
      <w:r w:rsidR="00AC70D1" w:rsidRPr="00FC7050">
        <w:rPr>
          <w:rFonts w:asciiTheme="minorHAnsi" w:hAnsiTheme="minorHAnsi" w:cstheme="minorHAnsi"/>
          <w:sz w:val="22"/>
          <w:szCs w:val="22"/>
        </w:rPr>
        <w:t xml:space="preserve">dotace v celkové výši </w:t>
      </w:r>
      <w:r w:rsidR="002E3EF3">
        <w:rPr>
          <w:rFonts w:asciiTheme="minorHAnsi" w:hAnsiTheme="minorHAnsi" w:cstheme="minorHAnsi"/>
          <w:sz w:val="22"/>
          <w:szCs w:val="22"/>
        </w:rPr>
        <w:t xml:space="preserve">5,44 </w:t>
      </w:r>
      <w:r w:rsidR="00AC70D1" w:rsidRPr="00FC7050">
        <w:rPr>
          <w:rFonts w:asciiTheme="minorHAnsi" w:hAnsiTheme="minorHAnsi" w:cstheme="minorHAnsi"/>
          <w:sz w:val="22"/>
          <w:szCs w:val="22"/>
        </w:rPr>
        <w:t>mil. </w:t>
      </w:r>
      <w:r w:rsidRPr="00FC7050">
        <w:rPr>
          <w:rFonts w:asciiTheme="minorHAnsi" w:hAnsiTheme="minorHAnsi" w:cstheme="minorHAnsi"/>
          <w:sz w:val="22"/>
          <w:szCs w:val="22"/>
        </w:rPr>
        <w:t>Kč. Šlo o tyto dotace:</w:t>
      </w:r>
    </w:p>
    <w:p w:rsidR="002E3EF3" w:rsidRDefault="002E3EF3" w:rsidP="001F580B">
      <w:pPr>
        <w:pStyle w:val="Odstavecseseznamem"/>
        <w:numPr>
          <w:ilvl w:val="0"/>
          <w:numId w:val="7"/>
        </w:numPr>
        <w:spacing w:after="100" w:afterAutospacing="1"/>
        <w:ind w:left="714" w:hanging="357"/>
        <w:rPr>
          <w:rFonts w:asciiTheme="minorHAnsi" w:hAnsiTheme="minorHAnsi" w:cstheme="minorHAnsi"/>
          <w:sz w:val="22"/>
          <w:szCs w:val="22"/>
        </w:rPr>
      </w:pPr>
      <w:r>
        <w:rPr>
          <w:rFonts w:asciiTheme="minorHAnsi" w:hAnsiTheme="minorHAnsi" w:cstheme="minorHAnsi"/>
          <w:sz w:val="22"/>
          <w:szCs w:val="22"/>
        </w:rPr>
        <w:t>Zelená škola Olomouckého kraje – ZŠ Valenty (25 tis. Kč),</w:t>
      </w:r>
    </w:p>
    <w:p w:rsidR="002E3EF3" w:rsidRDefault="002E3EF3" w:rsidP="001F580B">
      <w:pPr>
        <w:pStyle w:val="Odstavecseseznamem"/>
        <w:numPr>
          <w:ilvl w:val="0"/>
          <w:numId w:val="7"/>
        </w:numPr>
        <w:spacing w:after="100" w:afterAutospacing="1"/>
        <w:ind w:left="714" w:hanging="357"/>
        <w:rPr>
          <w:rFonts w:asciiTheme="minorHAnsi" w:hAnsiTheme="minorHAnsi" w:cstheme="minorHAnsi"/>
          <w:sz w:val="22"/>
          <w:szCs w:val="22"/>
        </w:rPr>
      </w:pPr>
      <w:r>
        <w:rPr>
          <w:rFonts w:asciiTheme="minorHAnsi" w:hAnsiTheme="minorHAnsi" w:cstheme="minorHAnsi"/>
          <w:sz w:val="22"/>
          <w:szCs w:val="22"/>
        </w:rPr>
        <w:t>realizace krajských a okresních přehlídek Sportcentrum DDM (39,62 tis. Kč),</w:t>
      </w:r>
    </w:p>
    <w:p w:rsidR="00DF51C2" w:rsidRPr="007733D2" w:rsidRDefault="00DF51C2" w:rsidP="001F580B">
      <w:pPr>
        <w:pStyle w:val="Odstavecseseznamem"/>
        <w:numPr>
          <w:ilvl w:val="0"/>
          <w:numId w:val="7"/>
        </w:numPr>
        <w:spacing w:after="100" w:afterAutospacing="1"/>
        <w:ind w:left="714" w:hanging="357"/>
        <w:rPr>
          <w:rFonts w:asciiTheme="minorHAnsi" w:hAnsiTheme="minorHAnsi" w:cstheme="minorHAnsi"/>
          <w:sz w:val="22"/>
          <w:szCs w:val="22"/>
        </w:rPr>
      </w:pPr>
      <w:r w:rsidRPr="007733D2">
        <w:rPr>
          <w:rFonts w:asciiTheme="minorHAnsi" w:hAnsiTheme="minorHAnsi" w:cstheme="minorHAnsi"/>
          <w:sz w:val="22"/>
          <w:szCs w:val="22"/>
        </w:rPr>
        <w:t>pro Městskou knihovnu na zajištěn</w:t>
      </w:r>
      <w:r w:rsidR="00A356C3" w:rsidRPr="007733D2">
        <w:rPr>
          <w:rFonts w:asciiTheme="minorHAnsi" w:hAnsiTheme="minorHAnsi" w:cstheme="minorHAnsi"/>
          <w:sz w:val="22"/>
          <w:szCs w:val="22"/>
        </w:rPr>
        <w:t xml:space="preserve">í regionálních </w:t>
      </w:r>
      <w:r w:rsidR="00FC7050" w:rsidRPr="007733D2">
        <w:rPr>
          <w:rFonts w:asciiTheme="minorHAnsi" w:hAnsiTheme="minorHAnsi" w:cstheme="minorHAnsi"/>
          <w:sz w:val="22"/>
          <w:szCs w:val="22"/>
        </w:rPr>
        <w:t>funkcí v roce 202</w:t>
      </w:r>
      <w:r w:rsidR="002E3EF3">
        <w:rPr>
          <w:rFonts w:asciiTheme="minorHAnsi" w:hAnsiTheme="minorHAnsi" w:cstheme="minorHAnsi"/>
          <w:sz w:val="22"/>
          <w:szCs w:val="22"/>
        </w:rPr>
        <w:t xml:space="preserve">2 </w:t>
      </w:r>
      <w:r w:rsidR="00A356C3" w:rsidRPr="007733D2">
        <w:rPr>
          <w:rFonts w:asciiTheme="minorHAnsi" w:hAnsiTheme="minorHAnsi" w:cstheme="minorHAnsi"/>
          <w:sz w:val="22"/>
          <w:szCs w:val="22"/>
        </w:rPr>
        <w:t>(2,</w:t>
      </w:r>
      <w:r w:rsidR="00FC7050" w:rsidRPr="007733D2">
        <w:rPr>
          <w:rFonts w:asciiTheme="minorHAnsi" w:hAnsiTheme="minorHAnsi" w:cstheme="minorHAnsi"/>
          <w:sz w:val="22"/>
          <w:szCs w:val="22"/>
        </w:rPr>
        <w:t>5</w:t>
      </w:r>
      <w:r w:rsidR="002E3EF3">
        <w:rPr>
          <w:rFonts w:asciiTheme="minorHAnsi" w:hAnsiTheme="minorHAnsi" w:cstheme="minorHAnsi"/>
          <w:sz w:val="22"/>
          <w:szCs w:val="22"/>
        </w:rPr>
        <w:t>6</w:t>
      </w:r>
      <w:r w:rsidRPr="007733D2">
        <w:rPr>
          <w:rFonts w:asciiTheme="minorHAnsi" w:hAnsiTheme="minorHAnsi" w:cstheme="minorHAnsi"/>
          <w:sz w:val="22"/>
          <w:szCs w:val="22"/>
        </w:rPr>
        <w:t xml:space="preserve"> mil. Kč),</w:t>
      </w:r>
    </w:p>
    <w:p w:rsidR="00FC7050" w:rsidRPr="007733D2" w:rsidRDefault="00FC7050" w:rsidP="001F580B">
      <w:pPr>
        <w:pStyle w:val="Odstavecseseznamem"/>
        <w:numPr>
          <w:ilvl w:val="0"/>
          <w:numId w:val="7"/>
        </w:numPr>
        <w:spacing w:after="100" w:afterAutospacing="1"/>
        <w:ind w:left="714" w:hanging="357"/>
        <w:rPr>
          <w:rFonts w:asciiTheme="minorHAnsi" w:hAnsiTheme="minorHAnsi" w:cstheme="minorHAnsi"/>
          <w:sz w:val="22"/>
          <w:szCs w:val="22"/>
        </w:rPr>
      </w:pPr>
      <w:r w:rsidRPr="007733D2">
        <w:rPr>
          <w:rFonts w:asciiTheme="minorHAnsi" w:hAnsiTheme="minorHAnsi" w:cstheme="minorHAnsi"/>
          <w:sz w:val="22"/>
          <w:szCs w:val="22"/>
        </w:rPr>
        <w:t>BESIP (1 mil. Kč),</w:t>
      </w:r>
    </w:p>
    <w:p w:rsidR="00FC7050" w:rsidRDefault="007733D2" w:rsidP="001F580B">
      <w:pPr>
        <w:pStyle w:val="Odstavecseseznamem"/>
        <w:numPr>
          <w:ilvl w:val="0"/>
          <w:numId w:val="7"/>
        </w:numPr>
        <w:spacing w:after="100" w:afterAutospacing="1"/>
        <w:ind w:left="714" w:hanging="357"/>
        <w:rPr>
          <w:rFonts w:asciiTheme="minorHAnsi" w:hAnsiTheme="minorHAnsi" w:cstheme="minorHAnsi"/>
          <w:sz w:val="22"/>
          <w:szCs w:val="22"/>
        </w:rPr>
      </w:pPr>
      <w:r w:rsidRPr="007733D2">
        <w:rPr>
          <w:rFonts w:asciiTheme="minorHAnsi" w:hAnsiTheme="minorHAnsi" w:cstheme="minorHAnsi"/>
          <w:sz w:val="22"/>
          <w:szCs w:val="22"/>
        </w:rPr>
        <w:t>JSDH – zajištění akceschopnosti jednotky sboru dobrovolných hasičů (</w:t>
      </w:r>
      <w:r w:rsidR="002E3EF3">
        <w:rPr>
          <w:rFonts w:asciiTheme="minorHAnsi" w:hAnsiTheme="minorHAnsi" w:cstheme="minorHAnsi"/>
          <w:sz w:val="22"/>
          <w:szCs w:val="22"/>
        </w:rPr>
        <w:t>118,3 tis. Kč),</w:t>
      </w:r>
    </w:p>
    <w:p w:rsidR="002E3EF3" w:rsidRDefault="002E3EF3" w:rsidP="001F580B">
      <w:pPr>
        <w:pStyle w:val="Odstavecseseznamem"/>
        <w:numPr>
          <w:ilvl w:val="0"/>
          <w:numId w:val="7"/>
        </w:numPr>
        <w:spacing w:after="100" w:afterAutospacing="1"/>
        <w:ind w:left="714" w:hanging="357"/>
        <w:rPr>
          <w:rFonts w:asciiTheme="minorHAnsi" w:hAnsiTheme="minorHAnsi" w:cstheme="minorHAnsi"/>
          <w:sz w:val="22"/>
          <w:szCs w:val="22"/>
        </w:rPr>
      </w:pPr>
      <w:r>
        <w:rPr>
          <w:rFonts w:asciiTheme="minorHAnsi" w:hAnsiTheme="minorHAnsi" w:cstheme="minorHAnsi"/>
          <w:sz w:val="22"/>
          <w:szCs w:val="22"/>
        </w:rPr>
        <w:t>výsadba květin, stromů, keřů (450 tis. Kč),</w:t>
      </w:r>
    </w:p>
    <w:p w:rsidR="002E3EF3" w:rsidRDefault="002E3EF3" w:rsidP="001F580B">
      <w:pPr>
        <w:pStyle w:val="Odstavecseseznamem"/>
        <w:numPr>
          <w:ilvl w:val="0"/>
          <w:numId w:val="7"/>
        </w:numPr>
        <w:spacing w:after="100" w:afterAutospacing="1"/>
        <w:ind w:left="714" w:hanging="357"/>
        <w:rPr>
          <w:rFonts w:asciiTheme="minorHAnsi" w:hAnsiTheme="minorHAnsi" w:cstheme="minorHAnsi"/>
          <w:sz w:val="22"/>
          <w:szCs w:val="22"/>
        </w:rPr>
      </w:pPr>
      <w:r>
        <w:rPr>
          <w:rFonts w:asciiTheme="minorHAnsi" w:hAnsiTheme="minorHAnsi" w:cstheme="minorHAnsi"/>
          <w:sz w:val="22"/>
          <w:szCs w:val="22"/>
        </w:rPr>
        <w:t>třídění a hospodaření s odpady (30 tis. Kč),</w:t>
      </w:r>
    </w:p>
    <w:p w:rsidR="002E3EF3" w:rsidRPr="007733D2" w:rsidRDefault="002E3EF3" w:rsidP="001F580B">
      <w:pPr>
        <w:pStyle w:val="Odstavecseseznamem"/>
        <w:numPr>
          <w:ilvl w:val="0"/>
          <w:numId w:val="7"/>
        </w:numPr>
        <w:spacing w:after="100" w:afterAutospacing="1"/>
        <w:ind w:left="714" w:hanging="357"/>
        <w:rPr>
          <w:rFonts w:asciiTheme="minorHAnsi" w:hAnsiTheme="minorHAnsi" w:cstheme="minorHAnsi"/>
          <w:sz w:val="22"/>
          <w:szCs w:val="22"/>
        </w:rPr>
      </w:pPr>
      <w:r>
        <w:rPr>
          <w:rFonts w:asciiTheme="minorHAnsi" w:hAnsiTheme="minorHAnsi" w:cstheme="minorHAnsi"/>
          <w:sz w:val="22"/>
          <w:szCs w:val="22"/>
        </w:rPr>
        <w:t>obnova kulturních památek (200 tis. Kč),</w:t>
      </w:r>
    </w:p>
    <w:p w:rsidR="00A356C3" w:rsidRDefault="00A356C3" w:rsidP="001F580B">
      <w:pPr>
        <w:pStyle w:val="Odstavecseseznamem"/>
        <w:numPr>
          <w:ilvl w:val="0"/>
          <w:numId w:val="7"/>
        </w:numPr>
        <w:spacing w:after="100" w:afterAutospacing="1"/>
        <w:ind w:left="714" w:hanging="357"/>
        <w:rPr>
          <w:rFonts w:asciiTheme="minorHAnsi" w:hAnsiTheme="minorHAnsi" w:cstheme="minorHAnsi"/>
          <w:sz w:val="22"/>
          <w:szCs w:val="22"/>
        </w:rPr>
      </w:pPr>
      <w:r w:rsidRPr="007733D2">
        <w:rPr>
          <w:rFonts w:asciiTheme="minorHAnsi" w:hAnsiTheme="minorHAnsi" w:cstheme="minorHAnsi"/>
          <w:sz w:val="22"/>
          <w:szCs w:val="22"/>
        </w:rPr>
        <w:t>p</w:t>
      </w:r>
      <w:r w:rsidR="007733D2" w:rsidRPr="007733D2">
        <w:rPr>
          <w:rFonts w:asciiTheme="minorHAnsi" w:hAnsiTheme="minorHAnsi" w:cstheme="minorHAnsi"/>
          <w:sz w:val="22"/>
          <w:szCs w:val="22"/>
        </w:rPr>
        <w:t>odpora kulturních aktivit (5</w:t>
      </w:r>
      <w:r w:rsidR="002E3EF3">
        <w:rPr>
          <w:rFonts w:asciiTheme="minorHAnsi" w:hAnsiTheme="minorHAnsi" w:cstheme="minorHAnsi"/>
          <w:sz w:val="22"/>
          <w:szCs w:val="22"/>
        </w:rPr>
        <w:t>7</w:t>
      </w:r>
      <w:r w:rsidR="007733D2" w:rsidRPr="007733D2">
        <w:rPr>
          <w:rFonts w:asciiTheme="minorHAnsi" w:hAnsiTheme="minorHAnsi" w:cstheme="minorHAnsi"/>
          <w:sz w:val="22"/>
          <w:szCs w:val="22"/>
        </w:rPr>
        <w:t>0 tis</w:t>
      </w:r>
      <w:r w:rsidRPr="007733D2">
        <w:rPr>
          <w:rFonts w:asciiTheme="minorHAnsi" w:hAnsiTheme="minorHAnsi" w:cstheme="minorHAnsi"/>
          <w:sz w:val="22"/>
          <w:szCs w:val="22"/>
        </w:rPr>
        <w:t>. Kč),</w:t>
      </w:r>
    </w:p>
    <w:p w:rsidR="002E3EF3" w:rsidRDefault="002E3EF3" w:rsidP="001F580B">
      <w:pPr>
        <w:pStyle w:val="Odstavecseseznamem"/>
        <w:numPr>
          <w:ilvl w:val="0"/>
          <w:numId w:val="7"/>
        </w:numPr>
        <w:spacing w:after="100" w:afterAutospacing="1"/>
        <w:ind w:left="714" w:hanging="357"/>
        <w:rPr>
          <w:rFonts w:asciiTheme="minorHAnsi" w:hAnsiTheme="minorHAnsi" w:cstheme="minorHAnsi"/>
          <w:sz w:val="22"/>
          <w:szCs w:val="22"/>
        </w:rPr>
      </w:pPr>
      <w:r>
        <w:rPr>
          <w:rFonts w:asciiTheme="minorHAnsi" w:hAnsiTheme="minorHAnsi" w:cstheme="minorHAnsi"/>
          <w:sz w:val="22"/>
          <w:szCs w:val="22"/>
        </w:rPr>
        <w:t>soutěže (356,57 tis. Kč),</w:t>
      </w:r>
    </w:p>
    <w:p w:rsidR="002E3EF3" w:rsidRPr="007733D2" w:rsidRDefault="002E3EF3" w:rsidP="001F580B">
      <w:pPr>
        <w:pStyle w:val="Odstavecseseznamem"/>
        <w:numPr>
          <w:ilvl w:val="0"/>
          <w:numId w:val="7"/>
        </w:numPr>
        <w:spacing w:after="100" w:afterAutospacing="1"/>
        <w:ind w:left="714" w:hanging="357"/>
        <w:rPr>
          <w:rFonts w:asciiTheme="minorHAnsi" w:hAnsiTheme="minorHAnsi" w:cstheme="minorHAnsi"/>
          <w:sz w:val="22"/>
          <w:szCs w:val="22"/>
        </w:rPr>
      </w:pPr>
      <w:r>
        <w:rPr>
          <w:rFonts w:asciiTheme="minorHAnsi" w:hAnsiTheme="minorHAnsi" w:cstheme="minorHAnsi"/>
          <w:sz w:val="22"/>
          <w:szCs w:val="22"/>
        </w:rPr>
        <w:t>Obědy do škol (93,25 tis. Kč).</w:t>
      </w:r>
    </w:p>
    <w:p w:rsidR="00DF51C2" w:rsidRPr="007733D2" w:rsidRDefault="007733D2" w:rsidP="00DF51C2">
      <w:pPr>
        <w:spacing w:after="100" w:afterAutospacing="1"/>
        <w:jc w:val="both"/>
        <w:rPr>
          <w:rFonts w:asciiTheme="minorHAnsi" w:hAnsiTheme="minorHAnsi" w:cstheme="minorHAnsi"/>
          <w:sz w:val="22"/>
          <w:szCs w:val="22"/>
        </w:rPr>
      </w:pPr>
      <w:r w:rsidRPr="007733D2">
        <w:rPr>
          <w:rFonts w:asciiTheme="minorHAnsi" w:hAnsiTheme="minorHAnsi" w:cstheme="minorHAnsi"/>
          <w:sz w:val="22"/>
          <w:szCs w:val="22"/>
        </w:rPr>
        <w:t>V n</w:t>
      </w:r>
      <w:r w:rsidR="00DF51C2" w:rsidRPr="007733D2">
        <w:rPr>
          <w:rFonts w:asciiTheme="minorHAnsi" w:hAnsiTheme="minorHAnsi" w:cstheme="minorHAnsi"/>
          <w:sz w:val="22"/>
          <w:szCs w:val="22"/>
        </w:rPr>
        <w:t>einvestiční</w:t>
      </w:r>
      <w:r w:rsidRPr="007733D2">
        <w:rPr>
          <w:rFonts w:asciiTheme="minorHAnsi" w:hAnsiTheme="minorHAnsi" w:cstheme="minorHAnsi"/>
          <w:sz w:val="22"/>
          <w:szCs w:val="22"/>
        </w:rPr>
        <w:t>ch transferech</w:t>
      </w:r>
      <w:r w:rsidR="00DF51C2" w:rsidRPr="007733D2">
        <w:rPr>
          <w:rFonts w:asciiTheme="minorHAnsi" w:hAnsiTheme="minorHAnsi" w:cstheme="minorHAnsi"/>
          <w:sz w:val="22"/>
          <w:szCs w:val="22"/>
        </w:rPr>
        <w:t xml:space="preserve"> </w:t>
      </w:r>
      <w:r w:rsidR="00DF51C2" w:rsidRPr="007733D2">
        <w:rPr>
          <w:rFonts w:asciiTheme="minorHAnsi" w:hAnsiTheme="minorHAnsi" w:cstheme="minorHAnsi"/>
          <w:sz w:val="22"/>
          <w:szCs w:val="22"/>
          <w:u w:val="single"/>
        </w:rPr>
        <w:t>od obcí</w:t>
      </w:r>
      <w:r w:rsidR="00DF51C2" w:rsidRPr="007733D2">
        <w:rPr>
          <w:rFonts w:asciiTheme="minorHAnsi" w:hAnsiTheme="minorHAnsi" w:cstheme="minorHAnsi"/>
          <w:sz w:val="22"/>
          <w:szCs w:val="22"/>
        </w:rPr>
        <w:t xml:space="preserve"> </w:t>
      </w:r>
      <w:r w:rsidRPr="007733D2">
        <w:rPr>
          <w:rFonts w:asciiTheme="minorHAnsi" w:hAnsiTheme="minorHAnsi" w:cstheme="minorHAnsi"/>
          <w:sz w:val="22"/>
          <w:szCs w:val="22"/>
        </w:rPr>
        <w:t>jsou zahrnuty</w:t>
      </w:r>
      <w:r w:rsidR="00DF51C2" w:rsidRPr="007733D2">
        <w:rPr>
          <w:rFonts w:asciiTheme="minorHAnsi" w:hAnsiTheme="minorHAnsi" w:cstheme="minorHAnsi"/>
          <w:sz w:val="22"/>
          <w:szCs w:val="22"/>
        </w:rPr>
        <w:t xml:space="preserve"> příjmy z veřejnosprávních smluv o zajišťování výkonu přenesené působnosti na úseku projednávání přestupků. V roce 202</w:t>
      </w:r>
      <w:r w:rsidR="002E3EF3">
        <w:rPr>
          <w:rFonts w:asciiTheme="minorHAnsi" w:hAnsiTheme="minorHAnsi" w:cstheme="minorHAnsi"/>
          <w:sz w:val="22"/>
          <w:szCs w:val="22"/>
        </w:rPr>
        <w:t>2</w:t>
      </w:r>
      <w:r w:rsidR="00DF51C2" w:rsidRPr="007733D2">
        <w:rPr>
          <w:rFonts w:asciiTheme="minorHAnsi" w:hAnsiTheme="minorHAnsi" w:cstheme="minorHAnsi"/>
          <w:sz w:val="22"/>
          <w:szCs w:val="22"/>
        </w:rPr>
        <w:t xml:space="preserve"> šlo</w:t>
      </w:r>
      <w:r w:rsidR="00AC70D1" w:rsidRPr="007733D2">
        <w:rPr>
          <w:rFonts w:asciiTheme="minorHAnsi" w:hAnsiTheme="minorHAnsi" w:cstheme="minorHAnsi"/>
          <w:sz w:val="22"/>
          <w:szCs w:val="22"/>
        </w:rPr>
        <w:t xml:space="preserve"> o příjmy ve výši </w:t>
      </w:r>
      <w:r w:rsidRPr="007733D2">
        <w:rPr>
          <w:rFonts w:asciiTheme="minorHAnsi" w:hAnsiTheme="minorHAnsi" w:cstheme="minorHAnsi"/>
          <w:sz w:val="22"/>
          <w:szCs w:val="22"/>
        </w:rPr>
        <w:t>9</w:t>
      </w:r>
      <w:r w:rsidR="002E3EF3">
        <w:rPr>
          <w:rFonts w:asciiTheme="minorHAnsi" w:hAnsiTheme="minorHAnsi" w:cstheme="minorHAnsi"/>
          <w:sz w:val="22"/>
          <w:szCs w:val="22"/>
        </w:rPr>
        <w:t>64</w:t>
      </w:r>
      <w:r w:rsidRPr="007733D2">
        <w:rPr>
          <w:rFonts w:asciiTheme="minorHAnsi" w:hAnsiTheme="minorHAnsi" w:cstheme="minorHAnsi"/>
          <w:sz w:val="22"/>
          <w:szCs w:val="22"/>
        </w:rPr>
        <w:t>,</w:t>
      </w:r>
      <w:r w:rsidR="002E3EF3">
        <w:rPr>
          <w:rFonts w:asciiTheme="minorHAnsi" w:hAnsiTheme="minorHAnsi" w:cstheme="minorHAnsi"/>
          <w:sz w:val="22"/>
          <w:szCs w:val="22"/>
        </w:rPr>
        <w:t>63</w:t>
      </w:r>
      <w:r w:rsidR="00AC70D1" w:rsidRPr="007733D2">
        <w:rPr>
          <w:rFonts w:asciiTheme="minorHAnsi" w:hAnsiTheme="minorHAnsi" w:cstheme="minorHAnsi"/>
          <w:sz w:val="22"/>
          <w:szCs w:val="22"/>
        </w:rPr>
        <w:t> tis. Kč.</w:t>
      </w:r>
    </w:p>
    <w:p w:rsidR="00BD5A21" w:rsidRDefault="00634D48" w:rsidP="0024764D">
      <w:pPr>
        <w:pStyle w:val="Nadpis3"/>
        <w:rPr>
          <w:b w:val="0"/>
        </w:rPr>
      </w:pPr>
      <w:bookmarkStart w:id="24" w:name="_Toc39129510"/>
      <w:r w:rsidRPr="007733D2">
        <w:rPr>
          <w:b w:val="0"/>
        </w:rPr>
        <w:t>Srovnání neinvestičních přijatých transferů v letech 20</w:t>
      </w:r>
      <w:r w:rsidR="002E3EF3">
        <w:rPr>
          <w:b w:val="0"/>
        </w:rPr>
        <w:t>20</w:t>
      </w:r>
      <w:r w:rsidR="000A42D8" w:rsidRPr="007733D2">
        <w:rPr>
          <w:b w:val="0"/>
        </w:rPr>
        <w:t xml:space="preserve"> – 202</w:t>
      </w:r>
      <w:r w:rsidR="002E3EF3">
        <w:rPr>
          <w:b w:val="0"/>
        </w:rPr>
        <w:t>2</w:t>
      </w:r>
      <w:r w:rsidR="00F32C73" w:rsidRPr="007733D2">
        <w:rPr>
          <w:b w:val="0"/>
        </w:rPr>
        <w:t xml:space="preserve"> (v </w:t>
      </w:r>
      <w:r w:rsidRPr="007733D2">
        <w:rPr>
          <w:b w:val="0"/>
        </w:rPr>
        <w:t>Kč)</w:t>
      </w:r>
      <w:bookmarkEnd w:id="24"/>
    </w:p>
    <w:tbl>
      <w:tblPr>
        <w:tblW w:w="9493" w:type="dxa"/>
        <w:tblCellMar>
          <w:left w:w="70" w:type="dxa"/>
          <w:right w:w="70" w:type="dxa"/>
        </w:tblCellMar>
        <w:tblLook w:val="04A0" w:firstRow="1" w:lastRow="0" w:firstColumn="1" w:lastColumn="0" w:noHBand="0" w:noVBand="1"/>
      </w:tblPr>
      <w:tblGrid>
        <w:gridCol w:w="384"/>
        <w:gridCol w:w="465"/>
        <w:gridCol w:w="4816"/>
        <w:gridCol w:w="1276"/>
        <w:gridCol w:w="1276"/>
        <w:gridCol w:w="1276"/>
      </w:tblGrid>
      <w:tr w:rsidR="002E3EF3" w:rsidTr="002E3EF3">
        <w:trPr>
          <w:trHeight w:val="300"/>
        </w:trPr>
        <w:tc>
          <w:tcPr>
            <w:tcW w:w="5665" w:type="dxa"/>
            <w:gridSpan w:val="3"/>
            <w:tcBorders>
              <w:top w:val="single" w:sz="4" w:space="0" w:color="auto"/>
              <w:left w:val="single" w:sz="4" w:space="0" w:color="auto"/>
              <w:bottom w:val="single" w:sz="4" w:space="0" w:color="auto"/>
              <w:right w:val="single" w:sz="4" w:space="0" w:color="auto"/>
            </w:tcBorders>
            <w:shd w:val="clear" w:color="D6A100" w:fill="FFC000"/>
            <w:noWrap/>
            <w:vAlign w:val="center"/>
            <w:hideMark/>
          </w:tcPr>
          <w:p w:rsidR="002E3EF3" w:rsidRDefault="002E3EF3">
            <w:pPr>
              <w:jc w:val="center"/>
              <w:rPr>
                <w:rFonts w:ascii="Calibri" w:hAnsi="Calibri" w:cs="Calibri"/>
                <w:color w:val="000000"/>
                <w:sz w:val="16"/>
                <w:szCs w:val="16"/>
              </w:rPr>
            </w:pPr>
            <w:r>
              <w:rPr>
                <w:rFonts w:ascii="Calibri" w:hAnsi="Calibri" w:cs="Calibri"/>
                <w:color w:val="000000"/>
                <w:sz w:val="16"/>
                <w:szCs w:val="16"/>
              </w:rPr>
              <w:t> </w:t>
            </w:r>
          </w:p>
        </w:tc>
        <w:tc>
          <w:tcPr>
            <w:tcW w:w="1276" w:type="dxa"/>
            <w:tcBorders>
              <w:top w:val="single" w:sz="4" w:space="0" w:color="auto"/>
              <w:left w:val="nil"/>
              <w:bottom w:val="single" w:sz="4" w:space="0" w:color="auto"/>
              <w:right w:val="single" w:sz="4" w:space="0" w:color="auto"/>
            </w:tcBorders>
            <w:shd w:val="clear" w:color="D6A100" w:fill="FFC000"/>
            <w:noWrap/>
            <w:vAlign w:val="center"/>
            <w:hideMark/>
          </w:tcPr>
          <w:p w:rsidR="002E3EF3" w:rsidRDefault="002E3EF3">
            <w:pPr>
              <w:jc w:val="center"/>
              <w:rPr>
                <w:rFonts w:ascii="Calibri" w:hAnsi="Calibri" w:cs="Calibri"/>
                <w:color w:val="000000"/>
                <w:sz w:val="16"/>
                <w:szCs w:val="16"/>
              </w:rPr>
            </w:pPr>
            <w:r>
              <w:rPr>
                <w:rFonts w:ascii="Calibri" w:hAnsi="Calibri" w:cs="Calibri"/>
                <w:color w:val="000000"/>
                <w:sz w:val="16"/>
                <w:szCs w:val="16"/>
              </w:rPr>
              <w:t>2020</w:t>
            </w:r>
          </w:p>
        </w:tc>
        <w:tc>
          <w:tcPr>
            <w:tcW w:w="1276" w:type="dxa"/>
            <w:tcBorders>
              <w:top w:val="single" w:sz="4" w:space="0" w:color="auto"/>
              <w:left w:val="nil"/>
              <w:bottom w:val="single" w:sz="4" w:space="0" w:color="auto"/>
              <w:right w:val="single" w:sz="4" w:space="0" w:color="auto"/>
            </w:tcBorders>
            <w:shd w:val="clear" w:color="D6A100" w:fill="FFC000"/>
            <w:noWrap/>
            <w:vAlign w:val="center"/>
            <w:hideMark/>
          </w:tcPr>
          <w:p w:rsidR="002E3EF3" w:rsidRDefault="002E3EF3">
            <w:pPr>
              <w:jc w:val="center"/>
              <w:rPr>
                <w:rFonts w:ascii="Calibri" w:hAnsi="Calibri" w:cs="Calibri"/>
                <w:color w:val="000000"/>
                <w:sz w:val="16"/>
                <w:szCs w:val="16"/>
              </w:rPr>
            </w:pPr>
            <w:r>
              <w:rPr>
                <w:rFonts w:ascii="Calibri" w:hAnsi="Calibri" w:cs="Calibri"/>
                <w:color w:val="000000"/>
                <w:sz w:val="16"/>
                <w:szCs w:val="16"/>
              </w:rPr>
              <w:t>2021</w:t>
            </w:r>
          </w:p>
        </w:tc>
        <w:tc>
          <w:tcPr>
            <w:tcW w:w="1276" w:type="dxa"/>
            <w:tcBorders>
              <w:top w:val="single" w:sz="4" w:space="0" w:color="auto"/>
              <w:left w:val="nil"/>
              <w:bottom w:val="single" w:sz="4" w:space="0" w:color="auto"/>
              <w:right w:val="single" w:sz="4" w:space="0" w:color="auto"/>
            </w:tcBorders>
            <w:shd w:val="clear" w:color="D6A100" w:fill="FFC000"/>
            <w:noWrap/>
            <w:vAlign w:val="center"/>
            <w:hideMark/>
          </w:tcPr>
          <w:p w:rsidR="002E3EF3" w:rsidRDefault="002E3EF3">
            <w:pPr>
              <w:jc w:val="center"/>
              <w:rPr>
                <w:rFonts w:ascii="Calibri" w:hAnsi="Calibri" w:cs="Calibri"/>
                <w:color w:val="000000"/>
                <w:sz w:val="16"/>
                <w:szCs w:val="16"/>
              </w:rPr>
            </w:pPr>
            <w:r>
              <w:rPr>
                <w:rFonts w:ascii="Calibri" w:hAnsi="Calibri" w:cs="Calibri"/>
                <w:color w:val="000000"/>
                <w:sz w:val="16"/>
                <w:szCs w:val="16"/>
              </w:rPr>
              <w:t>2022</w:t>
            </w:r>
          </w:p>
        </w:tc>
      </w:tr>
      <w:tr w:rsidR="002E3EF3" w:rsidTr="002E3EF3">
        <w:trPr>
          <w:trHeight w:val="300"/>
        </w:trPr>
        <w:tc>
          <w:tcPr>
            <w:tcW w:w="5665" w:type="dxa"/>
            <w:gridSpan w:val="3"/>
            <w:tcBorders>
              <w:top w:val="single" w:sz="4" w:space="0" w:color="auto"/>
              <w:left w:val="single" w:sz="4" w:space="0" w:color="auto"/>
              <w:bottom w:val="single" w:sz="4" w:space="0" w:color="auto"/>
              <w:right w:val="single" w:sz="4" w:space="0" w:color="auto"/>
            </w:tcBorders>
            <w:shd w:val="clear" w:color="FCD5B4" w:fill="FFE699"/>
            <w:noWrap/>
            <w:vAlign w:val="center"/>
            <w:hideMark/>
          </w:tcPr>
          <w:p w:rsidR="002E3EF3" w:rsidRDefault="002E3EF3">
            <w:pPr>
              <w:rPr>
                <w:rFonts w:ascii="Calibri" w:hAnsi="Calibri" w:cs="Calibri"/>
                <w:b/>
                <w:bCs/>
                <w:color w:val="000000"/>
                <w:sz w:val="16"/>
                <w:szCs w:val="16"/>
              </w:rPr>
            </w:pPr>
            <w:r>
              <w:rPr>
                <w:rFonts w:ascii="Calibri" w:hAnsi="Calibri" w:cs="Calibri"/>
                <w:b/>
                <w:bCs/>
                <w:color w:val="000000"/>
                <w:sz w:val="16"/>
                <w:szCs w:val="16"/>
              </w:rPr>
              <w:t>Neinvestiční přijaté transfery</w:t>
            </w:r>
          </w:p>
        </w:tc>
        <w:tc>
          <w:tcPr>
            <w:tcW w:w="1276" w:type="dxa"/>
            <w:tcBorders>
              <w:top w:val="nil"/>
              <w:left w:val="nil"/>
              <w:bottom w:val="single" w:sz="4" w:space="0" w:color="auto"/>
              <w:right w:val="single" w:sz="4" w:space="0" w:color="auto"/>
            </w:tcBorders>
            <w:shd w:val="clear" w:color="FCD5B4" w:fill="FFE699"/>
            <w:noWrap/>
            <w:vAlign w:val="center"/>
            <w:hideMark/>
          </w:tcPr>
          <w:p w:rsidR="002E3EF3" w:rsidRDefault="002E3EF3">
            <w:pPr>
              <w:jc w:val="right"/>
              <w:rPr>
                <w:rFonts w:ascii="Calibri" w:hAnsi="Calibri" w:cs="Calibri"/>
                <w:b/>
                <w:bCs/>
                <w:color w:val="000000"/>
                <w:sz w:val="16"/>
                <w:szCs w:val="16"/>
              </w:rPr>
            </w:pPr>
            <w:r>
              <w:rPr>
                <w:rFonts w:ascii="Calibri" w:hAnsi="Calibri" w:cs="Calibri"/>
                <w:b/>
                <w:bCs/>
                <w:color w:val="000000"/>
                <w:sz w:val="16"/>
                <w:szCs w:val="16"/>
              </w:rPr>
              <w:t>191 728 452,28</w:t>
            </w:r>
          </w:p>
        </w:tc>
        <w:tc>
          <w:tcPr>
            <w:tcW w:w="1276" w:type="dxa"/>
            <w:tcBorders>
              <w:top w:val="nil"/>
              <w:left w:val="nil"/>
              <w:bottom w:val="single" w:sz="4" w:space="0" w:color="auto"/>
              <w:right w:val="single" w:sz="4" w:space="0" w:color="auto"/>
            </w:tcBorders>
            <w:shd w:val="clear" w:color="FCD5B4" w:fill="FFE699"/>
            <w:noWrap/>
            <w:vAlign w:val="center"/>
            <w:hideMark/>
          </w:tcPr>
          <w:p w:rsidR="002E3EF3" w:rsidRDefault="002E3EF3">
            <w:pPr>
              <w:jc w:val="right"/>
              <w:rPr>
                <w:rFonts w:ascii="Calibri" w:hAnsi="Calibri" w:cs="Calibri"/>
                <w:b/>
                <w:bCs/>
                <w:color w:val="000000"/>
                <w:sz w:val="16"/>
                <w:szCs w:val="16"/>
              </w:rPr>
            </w:pPr>
            <w:r>
              <w:rPr>
                <w:rFonts w:ascii="Calibri" w:hAnsi="Calibri" w:cs="Calibri"/>
                <w:b/>
                <w:bCs/>
                <w:color w:val="000000"/>
                <w:sz w:val="16"/>
                <w:szCs w:val="16"/>
              </w:rPr>
              <w:t>121 981 254,97</w:t>
            </w:r>
          </w:p>
        </w:tc>
        <w:tc>
          <w:tcPr>
            <w:tcW w:w="1276" w:type="dxa"/>
            <w:tcBorders>
              <w:top w:val="nil"/>
              <w:left w:val="nil"/>
              <w:bottom w:val="single" w:sz="4" w:space="0" w:color="auto"/>
              <w:right w:val="single" w:sz="4" w:space="0" w:color="auto"/>
            </w:tcBorders>
            <w:shd w:val="clear" w:color="FCD5B4" w:fill="FFE699"/>
            <w:noWrap/>
            <w:vAlign w:val="center"/>
            <w:hideMark/>
          </w:tcPr>
          <w:p w:rsidR="002E3EF3" w:rsidRDefault="002E3EF3">
            <w:pPr>
              <w:jc w:val="right"/>
              <w:rPr>
                <w:rFonts w:ascii="Calibri" w:hAnsi="Calibri" w:cs="Calibri"/>
                <w:b/>
                <w:bCs/>
                <w:color w:val="000000"/>
                <w:sz w:val="16"/>
                <w:szCs w:val="16"/>
              </w:rPr>
            </w:pPr>
            <w:r>
              <w:rPr>
                <w:rFonts w:ascii="Calibri" w:hAnsi="Calibri" w:cs="Calibri"/>
                <w:b/>
                <w:bCs/>
                <w:color w:val="000000"/>
                <w:sz w:val="16"/>
                <w:szCs w:val="16"/>
              </w:rPr>
              <w:t>106 188 113,38</w:t>
            </w:r>
          </w:p>
        </w:tc>
      </w:tr>
      <w:tr w:rsidR="002E3EF3" w:rsidTr="002E3EF3">
        <w:trPr>
          <w:trHeight w:val="300"/>
        </w:trPr>
        <w:tc>
          <w:tcPr>
            <w:tcW w:w="384" w:type="dxa"/>
            <w:tcBorders>
              <w:top w:val="nil"/>
              <w:left w:val="single" w:sz="4" w:space="0" w:color="auto"/>
              <w:bottom w:val="single" w:sz="4" w:space="0" w:color="auto"/>
              <w:right w:val="single" w:sz="4" w:space="0" w:color="auto"/>
            </w:tcBorders>
            <w:shd w:val="clear" w:color="FDE9D9" w:fill="FFF2CC"/>
            <w:noWrap/>
            <w:vAlign w:val="center"/>
            <w:hideMark/>
          </w:tcPr>
          <w:p w:rsidR="002E3EF3" w:rsidRDefault="002E3EF3">
            <w:pPr>
              <w:jc w:val="right"/>
              <w:rPr>
                <w:rFonts w:ascii="Calibri" w:hAnsi="Calibri" w:cs="Calibri"/>
                <w:color w:val="000000"/>
                <w:sz w:val="16"/>
                <w:szCs w:val="16"/>
              </w:rPr>
            </w:pPr>
            <w:r>
              <w:rPr>
                <w:rFonts w:ascii="Calibri" w:hAnsi="Calibri" w:cs="Calibri"/>
                <w:color w:val="000000"/>
                <w:sz w:val="16"/>
                <w:szCs w:val="16"/>
              </w:rPr>
              <w:t>411</w:t>
            </w:r>
          </w:p>
        </w:tc>
        <w:tc>
          <w:tcPr>
            <w:tcW w:w="5281" w:type="dxa"/>
            <w:gridSpan w:val="2"/>
            <w:tcBorders>
              <w:top w:val="single" w:sz="4" w:space="0" w:color="auto"/>
              <w:left w:val="nil"/>
              <w:bottom w:val="single" w:sz="4" w:space="0" w:color="auto"/>
              <w:right w:val="single" w:sz="4" w:space="0" w:color="auto"/>
            </w:tcBorders>
            <w:shd w:val="clear" w:color="FDE9D9" w:fill="FFF2CC"/>
            <w:noWrap/>
            <w:vAlign w:val="center"/>
            <w:hideMark/>
          </w:tcPr>
          <w:p w:rsidR="002E3EF3" w:rsidRDefault="002E3EF3">
            <w:pPr>
              <w:rPr>
                <w:rFonts w:ascii="Calibri" w:hAnsi="Calibri" w:cs="Calibri"/>
                <w:color w:val="000000"/>
                <w:sz w:val="16"/>
                <w:szCs w:val="16"/>
              </w:rPr>
            </w:pPr>
            <w:r>
              <w:rPr>
                <w:rFonts w:ascii="Calibri" w:hAnsi="Calibri" w:cs="Calibri"/>
                <w:color w:val="000000"/>
                <w:sz w:val="16"/>
                <w:szCs w:val="16"/>
              </w:rPr>
              <w:t>Neinvestiční přijaté transfery od veřejných rozpočtů ústřední úrovně</w:t>
            </w:r>
          </w:p>
        </w:tc>
        <w:tc>
          <w:tcPr>
            <w:tcW w:w="1276" w:type="dxa"/>
            <w:tcBorders>
              <w:top w:val="nil"/>
              <w:left w:val="nil"/>
              <w:bottom w:val="single" w:sz="4" w:space="0" w:color="auto"/>
              <w:right w:val="single" w:sz="4" w:space="0" w:color="auto"/>
            </w:tcBorders>
            <w:shd w:val="clear" w:color="FDE9D9" w:fill="FFF2CC"/>
            <w:noWrap/>
            <w:vAlign w:val="center"/>
            <w:hideMark/>
          </w:tcPr>
          <w:p w:rsidR="002E3EF3" w:rsidRDefault="002E3EF3">
            <w:pPr>
              <w:jc w:val="right"/>
              <w:rPr>
                <w:rFonts w:ascii="Calibri" w:hAnsi="Calibri" w:cs="Calibri"/>
                <w:color w:val="000000"/>
                <w:sz w:val="16"/>
                <w:szCs w:val="16"/>
              </w:rPr>
            </w:pPr>
            <w:r>
              <w:rPr>
                <w:rFonts w:ascii="Calibri" w:hAnsi="Calibri" w:cs="Calibri"/>
                <w:color w:val="000000"/>
                <w:sz w:val="16"/>
                <w:szCs w:val="16"/>
              </w:rPr>
              <w:t>186 418 028,78</w:t>
            </w:r>
          </w:p>
        </w:tc>
        <w:tc>
          <w:tcPr>
            <w:tcW w:w="1276" w:type="dxa"/>
            <w:tcBorders>
              <w:top w:val="nil"/>
              <w:left w:val="nil"/>
              <w:bottom w:val="single" w:sz="4" w:space="0" w:color="auto"/>
              <w:right w:val="single" w:sz="4" w:space="0" w:color="auto"/>
            </w:tcBorders>
            <w:shd w:val="clear" w:color="FDE9D9" w:fill="FFF2CC"/>
            <w:noWrap/>
            <w:vAlign w:val="center"/>
            <w:hideMark/>
          </w:tcPr>
          <w:p w:rsidR="002E3EF3" w:rsidRDefault="002E3EF3">
            <w:pPr>
              <w:jc w:val="right"/>
              <w:rPr>
                <w:rFonts w:ascii="Calibri" w:hAnsi="Calibri" w:cs="Calibri"/>
                <w:color w:val="000000"/>
                <w:sz w:val="16"/>
                <w:szCs w:val="16"/>
              </w:rPr>
            </w:pPr>
            <w:r>
              <w:rPr>
                <w:rFonts w:ascii="Calibri" w:hAnsi="Calibri" w:cs="Calibri"/>
                <w:color w:val="000000"/>
                <w:sz w:val="16"/>
                <w:szCs w:val="16"/>
              </w:rPr>
              <w:t>116 371 599,71</w:t>
            </w:r>
          </w:p>
        </w:tc>
        <w:tc>
          <w:tcPr>
            <w:tcW w:w="1276" w:type="dxa"/>
            <w:tcBorders>
              <w:top w:val="nil"/>
              <w:left w:val="nil"/>
              <w:bottom w:val="single" w:sz="4" w:space="0" w:color="auto"/>
              <w:right w:val="single" w:sz="4" w:space="0" w:color="auto"/>
            </w:tcBorders>
            <w:shd w:val="clear" w:color="FDE9D9" w:fill="FFF2CC"/>
            <w:noWrap/>
            <w:vAlign w:val="center"/>
            <w:hideMark/>
          </w:tcPr>
          <w:p w:rsidR="002E3EF3" w:rsidRDefault="002E3EF3">
            <w:pPr>
              <w:jc w:val="right"/>
              <w:rPr>
                <w:rFonts w:ascii="Calibri" w:hAnsi="Calibri" w:cs="Calibri"/>
                <w:color w:val="000000"/>
                <w:sz w:val="16"/>
                <w:szCs w:val="16"/>
              </w:rPr>
            </w:pPr>
            <w:r>
              <w:rPr>
                <w:rFonts w:ascii="Calibri" w:hAnsi="Calibri" w:cs="Calibri"/>
                <w:color w:val="000000"/>
                <w:sz w:val="16"/>
                <w:szCs w:val="16"/>
              </w:rPr>
              <w:t>99 782 059,34</w:t>
            </w:r>
          </w:p>
        </w:tc>
      </w:tr>
      <w:tr w:rsidR="002E3EF3" w:rsidTr="002E3EF3">
        <w:trPr>
          <w:trHeight w:val="465"/>
        </w:trPr>
        <w:tc>
          <w:tcPr>
            <w:tcW w:w="3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3EF3" w:rsidRDefault="002E3EF3">
            <w:pPr>
              <w:jc w:val="center"/>
              <w:rPr>
                <w:rFonts w:ascii="Calibri" w:hAnsi="Calibri" w:cs="Calibri"/>
                <w:color w:val="000000"/>
                <w:sz w:val="16"/>
                <w:szCs w:val="16"/>
              </w:rPr>
            </w:pPr>
            <w:r>
              <w:rPr>
                <w:rFonts w:ascii="Calibri" w:hAnsi="Calibri" w:cs="Calibri"/>
                <w:color w:val="000000"/>
                <w:sz w:val="16"/>
                <w:szCs w:val="16"/>
              </w:rPr>
              <w:t> </w:t>
            </w:r>
          </w:p>
        </w:tc>
        <w:tc>
          <w:tcPr>
            <w:tcW w:w="465" w:type="dxa"/>
            <w:tcBorders>
              <w:top w:val="nil"/>
              <w:left w:val="nil"/>
              <w:bottom w:val="single" w:sz="4" w:space="0" w:color="auto"/>
              <w:right w:val="single" w:sz="4" w:space="0" w:color="auto"/>
            </w:tcBorders>
            <w:shd w:val="clear" w:color="auto" w:fill="auto"/>
            <w:noWrap/>
            <w:vAlign w:val="center"/>
            <w:hideMark/>
          </w:tcPr>
          <w:p w:rsidR="002E3EF3" w:rsidRDefault="002E3EF3">
            <w:pPr>
              <w:jc w:val="right"/>
              <w:rPr>
                <w:rFonts w:ascii="Calibri" w:hAnsi="Calibri" w:cs="Calibri"/>
                <w:color w:val="000000"/>
                <w:sz w:val="16"/>
                <w:szCs w:val="16"/>
              </w:rPr>
            </w:pPr>
            <w:r>
              <w:rPr>
                <w:rFonts w:ascii="Calibri" w:hAnsi="Calibri" w:cs="Calibri"/>
                <w:color w:val="000000"/>
                <w:sz w:val="16"/>
                <w:szCs w:val="16"/>
              </w:rPr>
              <w:t>4111</w:t>
            </w:r>
          </w:p>
        </w:tc>
        <w:tc>
          <w:tcPr>
            <w:tcW w:w="4816" w:type="dxa"/>
            <w:tcBorders>
              <w:top w:val="nil"/>
              <w:left w:val="nil"/>
              <w:bottom w:val="single" w:sz="4" w:space="0" w:color="auto"/>
              <w:right w:val="single" w:sz="4" w:space="0" w:color="auto"/>
            </w:tcBorders>
            <w:shd w:val="clear" w:color="auto" w:fill="auto"/>
            <w:vAlign w:val="center"/>
            <w:hideMark/>
          </w:tcPr>
          <w:p w:rsidR="002E3EF3" w:rsidRDefault="002E3EF3">
            <w:pPr>
              <w:rPr>
                <w:rFonts w:ascii="Calibri" w:hAnsi="Calibri" w:cs="Calibri"/>
                <w:color w:val="000000"/>
                <w:sz w:val="16"/>
                <w:szCs w:val="16"/>
              </w:rPr>
            </w:pPr>
            <w:r>
              <w:rPr>
                <w:rFonts w:ascii="Calibri" w:hAnsi="Calibri" w:cs="Calibri"/>
                <w:color w:val="000000"/>
                <w:sz w:val="16"/>
                <w:szCs w:val="16"/>
              </w:rPr>
              <w:t>Neinvestiční přijaté transfery z všeobecné pokladní správy stát. rozpočtu</w:t>
            </w:r>
          </w:p>
        </w:tc>
        <w:tc>
          <w:tcPr>
            <w:tcW w:w="1276" w:type="dxa"/>
            <w:tcBorders>
              <w:top w:val="nil"/>
              <w:left w:val="nil"/>
              <w:bottom w:val="single" w:sz="4" w:space="0" w:color="auto"/>
              <w:right w:val="single" w:sz="4" w:space="0" w:color="auto"/>
            </w:tcBorders>
            <w:shd w:val="clear" w:color="auto" w:fill="auto"/>
            <w:noWrap/>
            <w:vAlign w:val="center"/>
            <w:hideMark/>
          </w:tcPr>
          <w:p w:rsidR="002E3EF3" w:rsidRDefault="002E3EF3">
            <w:pPr>
              <w:jc w:val="right"/>
              <w:rPr>
                <w:rFonts w:ascii="Calibri" w:hAnsi="Calibri" w:cs="Calibri"/>
                <w:color w:val="000000"/>
                <w:sz w:val="16"/>
                <w:szCs w:val="16"/>
              </w:rPr>
            </w:pPr>
            <w:r>
              <w:rPr>
                <w:rFonts w:ascii="Calibri" w:hAnsi="Calibri" w:cs="Calibri"/>
                <w:color w:val="000000"/>
                <w:sz w:val="16"/>
                <w:szCs w:val="16"/>
              </w:rPr>
              <w:t>56 068 719,40</w:t>
            </w:r>
          </w:p>
        </w:tc>
        <w:tc>
          <w:tcPr>
            <w:tcW w:w="1276" w:type="dxa"/>
            <w:tcBorders>
              <w:top w:val="nil"/>
              <w:left w:val="nil"/>
              <w:bottom w:val="single" w:sz="4" w:space="0" w:color="auto"/>
              <w:right w:val="single" w:sz="4" w:space="0" w:color="auto"/>
            </w:tcBorders>
            <w:shd w:val="clear" w:color="auto" w:fill="auto"/>
            <w:noWrap/>
            <w:vAlign w:val="center"/>
            <w:hideMark/>
          </w:tcPr>
          <w:p w:rsidR="002E3EF3" w:rsidRDefault="002E3EF3">
            <w:pPr>
              <w:jc w:val="right"/>
              <w:rPr>
                <w:rFonts w:ascii="Calibri" w:hAnsi="Calibri" w:cs="Calibri"/>
                <w:color w:val="000000"/>
                <w:sz w:val="16"/>
                <w:szCs w:val="16"/>
              </w:rPr>
            </w:pPr>
            <w:r>
              <w:rPr>
                <w:rFonts w:ascii="Calibri" w:hAnsi="Calibri" w:cs="Calibri"/>
                <w:color w:val="000000"/>
                <w:sz w:val="16"/>
                <w:szCs w:val="16"/>
              </w:rPr>
              <w:t>11 694 482,33</w:t>
            </w:r>
          </w:p>
        </w:tc>
        <w:tc>
          <w:tcPr>
            <w:tcW w:w="1276" w:type="dxa"/>
            <w:tcBorders>
              <w:top w:val="nil"/>
              <w:left w:val="nil"/>
              <w:bottom w:val="single" w:sz="4" w:space="0" w:color="auto"/>
              <w:right w:val="single" w:sz="4" w:space="0" w:color="auto"/>
            </w:tcBorders>
            <w:shd w:val="clear" w:color="auto" w:fill="auto"/>
            <w:noWrap/>
            <w:vAlign w:val="center"/>
            <w:hideMark/>
          </w:tcPr>
          <w:p w:rsidR="002E3EF3" w:rsidRDefault="002E3EF3">
            <w:pPr>
              <w:jc w:val="right"/>
              <w:rPr>
                <w:rFonts w:ascii="Calibri" w:hAnsi="Calibri" w:cs="Calibri"/>
                <w:color w:val="000000"/>
                <w:sz w:val="16"/>
                <w:szCs w:val="16"/>
              </w:rPr>
            </w:pPr>
            <w:r>
              <w:rPr>
                <w:rFonts w:ascii="Calibri" w:hAnsi="Calibri" w:cs="Calibri"/>
                <w:color w:val="000000"/>
                <w:sz w:val="16"/>
                <w:szCs w:val="16"/>
              </w:rPr>
              <w:t>4 823 890,34</w:t>
            </w:r>
          </w:p>
        </w:tc>
      </w:tr>
      <w:tr w:rsidR="002E3EF3" w:rsidTr="002E3EF3">
        <w:trPr>
          <w:trHeight w:val="465"/>
        </w:trPr>
        <w:tc>
          <w:tcPr>
            <w:tcW w:w="384" w:type="dxa"/>
            <w:vMerge/>
            <w:tcBorders>
              <w:top w:val="nil"/>
              <w:left w:val="single" w:sz="4" w:space="0" w:color="auto"/>
              <w:bottom w:val="single" w:sz="4" w:space="0" w:color="auto"/>
              <w:right w:val="single" w:sz="4" w:space="0" w:color="auto"/>
            </w:tcBorders>
            <w:vAlign w:val="center"/>
            <w:hideMark/>
          </w:tcPr>
          <w:p w:rsidR="002E3EF3" w:rsidRDefault="002E3EF3">
            <w:pPr>
              <w:rPr>
                <w:rFonts w:ascii="Calibri" w:hAnsi="Calibri" w:cs="Calibri"/>
                <w:color w:val="000000"/>
                <w:sz w:val="16"/>
                <w:szCs w:val="16"/>
              </w:rPr>
            </w:pPr>
          </w:p>
        </w:tc>
        <w:tc>
          <w:tcPr>
            <w:tcW w:w="465" w:type="dxa"/>
            <w:tcBorders>
              <w:top w:val="nil"/>
              <w:left w:val="nil"/>
              <w:bottom w:val="single" w:sz="4" w:space="0" w:color="auto"/>
              <w:right w:val="single" w:sz="4" w:space="0" w:color="auto"/>
            </w:tcBorders>
            <w:shd w:val="clear" w:color="auto" w:fill="auto"/>
            <w:noWrap/>
            <w:vAlign w:val="center"/>
            <w:hideMark/>
          </w:tcPr>
          <w:p w:rsidR="002E3EF3" w:rsidRDefault="002E3EF3">
            <w:pPr>
              <w:jc w:val="right"/>
              <w:rPr>
                <w:rFonts w:ascii="Calibri" w:hAnsi="Calibri" w:cs="Calibri"/>
                <w:color w:val="000000"/>
                <w:sz w:val="16"/>
                <w:szCs w:val="16"/>
              </w:rPr>
            </w:pPr>
            <w:r>
              <w:rPr>
                <w:rFonts w:ascii="Calibri" w:hAnsi="Calibri" w:cs="Calibri"/>
                <w:color w:val="000000"/>
                <w:sz w:val="16"/>
                <w:szCs w:val="16"/>
              </w:rPr>
              <w:t>4112</w:t>
            </w:r>
          </w:p>
        </w:tc>
        <w:tc>
          <w:tcPr>
            <w:tcW w:w="4816" w:type="dxa"/>
            <w:tcBorders>
              <w:top w:val="nil"/>
              <w:left w:val="nil"/>
              <w:bottom w:val="single" w:sz="4" w:space="0" w:color="auto"/>
              <w:right w:val="single" w:sz="4" w:space="0" w:color="auto"/>
            </w:tcBorders>
            <w:shd w:val="clear" w:color="auto" w:fill="auto"/>
            <w:vAlign w:val="center"/>
            <w:hideMark/>
          </w:tcPr>
          <w:p w:rsidR="002E3EF3" w:rsidRDefault="002E3EF3">
            <w:pPr>
              <w:rPr>
                <w:rFonts w:ascii="Calibri" w:hAnsi="Calibri" w:cs="Calibri"/>
                <w:color w:val="000000"/>
                <w:sz w:val="16"/>
                <w:szCs w:val="16"/>
              </w:rPr>
            </w:pPr>
            <w:r>
              <w:rPr>
                <w:rFonts w:ascii="Calibri" w:hAnsi="Calibri" w:cs="Calibri"/>
                <w:color w:val="000000"/>
                <w:sz w:val="16"/>
                <w:szCs w:val="16"/>
              </w:rPr>
              <w:t>Neinvestiční přijaté transfery ze státního rozpočtu v rámci souhrnného dotačního vztahu</w:t>
            </w:r>
          </w:p>
        </w:tc>
        <w:tc>
          <w:tcPr>
            <w:tcW w:w="1276" w:type="dxa"/>
            <w:tcBorders>
              <w:top w:val="nil"/>
              <w:left w:val="nil"/>
              <w:bottom w:val="single" w:sz="4" w:space="0" w:color="auto"/>
              <w:right w:val="single" w:sz="4" w:space="0" w:color="auto"/>
            </w:tcBorders>
            <w:shd w:val="clear" w:color="auto" w:fill="auto"/>
            <w:noWrap/>
            <w:vAlign w:val="center"/>
            <w:hideMark/>
          </w:tcPr>
          <w:p w:rsidR="002E3EF3" w:rsidRDefault="002E3EF3">
            <w:pPr>
              <w:jc w:val="right"/>
              <w:rPr>
                <w:rFonts w:ascii="Calibri" w:hAnsi="Calibri" w:cs="Calibri"/>
                <w:color w:val="000000"/>
                <w:sz w:val="16"/>
                <w:szCs w:val="16"/>
              </w:rPr>
            </w:pPr>
            <w:r>
              <w:rPr>
                <w:rFonts w:ascii="Calibri" w:hAnsi="Calibri" w:cs="Calibri"/>
                <w:color w:val="000000"/>
                <w:sz w:val="16"/>
                <w:szCs w:val="16"/>
              </w:rPr>
              <w:t>66 047 600,00</w:t>
            </w:r>
          </w:p>
        </w:tc>
        <w:tc>
          <w:tcPr>
            <w:tcW w:w="1276" w:type="dxa"/>
            <w:tcBorders>
              <w:top w:val="nil"/>
              <w:left w:val="nil"/>
              <w:bottom w:val="single" w:sz="4" w:space="0" w:color="auto"/>
              <w:right w:val="single" w:sz="4" w:space="0" w:color="auto"/>
            </w:tcBorders>
            <w:shd w:val="clear" w:color="auto" w:fill="auto"/>
            <w:noWrap/>
            <w:vAlign w:val="center"/>
            <w:hideMark/>
          </w:tcPr>
          <w:p w:rsidR="002E3EF3" w:rsidRDefault="002E3EF3">
            <w:pPr>
              <w:jc w:val="right"/>
              <w:rPr>
                <w:rFonts w:ascii="Calibri" w:hAnsi="Calibri" w:cs="Calibri"/>
                <w:color w:val="000000"/>
                <w:sz w:val="16"/>
                <w:szCs w:val="16"/>
              </w:rPr>
            </w:pPr>
            <w:r>
              <w:rPr>
                <w:rFonts w:ascii="Calibri" w:hAnsi="Calibri" w:cs="Calibri"/>
                <w:color w:val="000000"/>
                <w:sz w:val="16"/>
                <w:szCs w:val="16"/>
              </w:rPr>
              <w:t>69 197 200,00</w:t>
            </w:r>
          </w:p>
        </w:tc>
        <w:tc>
          <w:tcPr>
            <w:tcW w:w="1276" w:type="dxa"/>
            <w:tcBorders>
              <w:top w:val="nil"/>
              <w:left w:val="nil"/>
              <w:bottom w:val="single" w:sz="4" w:space="0" w:color="auto"/>
              <w:right w:val="single" w:sz="4" w:space="0" w:color="auto"/>
            </w:tcBorders>
            <w:shd w:val="clear" w:color="auto" w:fill="auto"/>
            <w:noWrap/>
            <w:vAlign w:val="center"/>
            <w:hideMark/>
          </w:tcPr>
          <w:p w:rsidR="002E3EF3" w:rsidRDefault="002E3EF3">
            <w:pPr>
              <w:jc w:val="right"/>
              <w:rPr>
                <w:rFonts w:ascii="Calibri" w:hAnsi="Calibri" w:cs="Calibri"/>
                <w:color w:val="000000"/>
                <w:sz w:val="16"/>
                <w:szCs w:val="16"/>
              </w:rPr>
            </w:pPr>
            <w:r>
              <w:rPr>
                <w:rFonts w:ascii="Calibri" w:hAnsi="Calibri" w:cs="Calibri"/>
                <w:color w:val="000000"/>
                <w:sz w:val="16"/>
                <w:szCs w:val="16"/>
              </w:rPr>
              <w:t>69 076 400,00</w:t>
            </w:r>
          </w:p>
        </w:tc>
      </w:tr>
      <w:tr w:rsidR="002E3EF3" w:rsidTr="002E3EF3">
        <w:trPr>
          <w:trHeight w:val="300"/>
        </w:trPr>
        <w:tc>
          <w:tcPr>
            <w:tcW w:w="384" w:type="dxa"/>
            <w:vMerge/>
            <w:tcBorders>
              <w:top w:val="nil"/>
              <w:left w:val="single" w:sz="4" w:space="0" w:color="auto"/>
              <w:bottom w:val="single" w:sz="4" w:space="0" w:color="auto"/>
              <w:right w:val="single" w:sz="4" w:space="0" w:color="auto"/>
            </w:tcBorders>
            <w:vAlign w:val="center"/>
            <w:hideMark/>
          </w:tcPr>
          <w:p w:rsidR="002E3EF3" w:rsidRDefault="002E3EF3">
            <w:pPr>
              <w:rPr>
                <w:rFonts w:ascii="Calibri" w:hAnsi="Calibri" w:cs="Calibri"/>
                <w:color w:val="000000"/>
                <w:sz w:val="16"/>
                <w:szCs w:val="16"/>
              </w:rPr>
            </w:pPr>
          </w:p>
        </w:tc>
        <w:tc>
          <w:tcPr>
            <w:tcW w:w="465" w:type="dxa"/>
            <w:tcBorders>
              <w:top w:val="nil"/>
              <w:left w:val="nil"/>
              <w:bottom w:val="single" w:sz="4" w:space="0" w:color="auto"/>
              <w:right w:val="single" w:sz="4" w:space="0" w:color="auto"/>
            </w:tcBorders>
            <w:shd w:val="clear" w:color="auto" w:fill="auto"/>
            <w:noWrap/>
            <w:vAlign w:val="center"/>
            <w:hideMark/>
          </w:tcPr>
          <w:p w:rsidR="002E3EF3" w:rsidRDefault="002E3EF3">
            <w:pPr>
              <w:jc w:val="right"/>
              <w:rPr>
                <w:rFonts w:ascii="Calibri" w:hAnsi="Calibri" w:cs="Calibri"/>
                <w:color w:val="000000"/>
                <w:sz w:val="16"/>
                <w:szCs w:val="16"/>
              </w:rPr>
            </w:pPr>
            <w:r>
              <w:rPr>
                <w:rFonts w:ascii="Calibri" w:hAnsi="Calibri" w:cs="Calibri"/>
                <w:color w:val="000000"/>
                <w:sz w:val="16"/>
                <w:szCs w:val="16"/>
              </w:rPr>
              <w:t>4113</w:t>
            </w:r>
          </w:p>
        </w:tc>
        <w:tc>
          <w:tcPr>
            <w:tcW w:w="4816" w:type="dxa"/>
            <w:tcBorders>
              <w:top w:val="nil"/>
              <w:left w:val="nil"/>
              <w:bottom w:val="single" w:sz="4" w:space="0" w:color="auto"/>
              <w:right w:val="single" w:sz="4" w:space="0" w:color="auto"/>
            </w:tcBorders>
            <w:shd w:val="clear" w:color="auto" w:fill="auto"/>
            <w:noWrap/>
            <w:vAlign w:val="center"/>
            <w:hideMark/>
          </w:tcPr>
          <w:p w:rsidR="002E3EF3" w:rsidRDefault="002E3EF3">
            <w:pPr>
              <w:rPr>
                <w:rFonts w:ascii="Calibri" w:hAnsi="Calibri" w:cs="Calibri"/>
                <w:color w:val="000000"/>
                <w:sz w:val="16"/>
                <w:szCs w:val="16"/>
              </w:rPr>
            </w:pPr>
            <w:r>
              <w:rPr>
                <w:rFonts w:ascii="Calibri" w:hAnsi="Calibri" w:cs="Calibri"/>
                <w:color w:val="000000"/>
                <w:sz w:val="16"/>
                <w:szCs w:val="16"/>
              </w:rPr>
              <w:t>Neinvestiční přijaté transfery ze státních fondů</w:t>
            </w:r>
          </w:p>
        </w:tc>
        <w:tc>
          <w:tcPr>
            <w:tcW w:w="1276" w:type="dxa"/>
            <w:tcBorders>
              <w:top w:val="nil"/>
              <w:left w:val="nil"/>
              <w:bottom w:val="single" w:sz="4" w:space="0" w:color="auto"/>
              <w:right w:val="single" w:sz="4" w:space="0" w:color="auto"/>
            </w:tcBorders>
            <w:shd w:val="clear" w:color="auto" w:fill="auto"/>
            <w:noWrap/>
            <w:vAlign w:val="center"/>
            <w:hideMark/>
          </w:tcPr>
          <w:p w:rsidR="002E3EF3" w:rsidRDefault="002E3EF3">
            <w:pPr>
              <w:jc w:val="right"/>
              <w:rPr>
                <w:rFonts w:ascii="Calibri" w:hAnsi="Calibri" w:cs="Calibri"/>
                <w:color w:val="000000"/>
                <w:sz w:val="16"/>
                <w:szCs w:val="16"/>
              </w:rPr>
            </w:pPr>
            <w:r>
              <w:rPr>
                <w:rFonts w:ascii="Calibri" w:hAnsi="Calibri" w:cs="Calibri"/>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E3EF3" w:rsidRDefault="002E3EF3">
            <w:pPr>
              <w:jc w:val="right"/>
              <w:rPr>
                <w:rFonts w:ascii="Calibri" w:hAnsi="Calibri" w:cs="Calibri"/>
                <w:color w:val="000000"/>
                <w:sz w:val="16"/>
                <w:szCs w:val="16"/>
              </w:rPr>
            </w:pPr>
            <w:r>
              <w:rPr>
                <w:rFonts w:ascii="Calibri" w:hAnsi="Calibri" w:cs="Calibri"/>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E3EF3" w:rsidRDefault="002E3EF3">
            <w:pPr>
              <w:jc w:val="right"/>
              <w:rPr>
                <w:rFonts w:ascii="Calibri" w:hAnsi="Calibri" w:cs="Calibri"/>
                <w:color w:val="000000"/>
                <w:sz w:val="16"/>
                <w:szCs w:val="16"/>
              </w:rPr>
            </w:pPr>
            <w:r>
              <w:rPr>
                <w:rFonts w:ascii="Calibri" w:hAnsi="Calibri" w:cs="Calibri"/>
                <w:color w:val="000000"/>
                <w:sz w:val="16"/>
                <w:szCs w:val="16"/>
              </w:rPr>
              <w:t>0,00</w:t>
            </w:r>
          </w:p>
        </w:tc>
      </w:tr>
      <w:tr w:rsidR="002E3EF3" w:rsidTr="002E3EF3">
        <w:trPr>
          <w:trHeight w:val="300"/>
        </w:trPr>
        <w:tc>
          <w:tcPr>
            <w:tcW w:w="384" w:type="dxa"/>
            <w:vMerge/>
            <w:tcBorders>
              <w:top w:val="nil"/>
              <w:left w:val="single" w:sz="4" w:space="0" w:color="auto"/>
              <w:bottom w:val="single" w:sz="4" w:space="0" w:color="auto"/>
              <w:right w:val="single" w:sz="4" w:space="0" w:color="auto"/>
            </w:tcBorders>
            <w:vAlign w:val="center"/>
            <w:hideMark/>
          </w:tcPr>
          <w:p w:rsidR="002E3EF3" w:rsidRDefault="002E3EF3">
            <w:pPr>
              <w:rPr>
                <w:rFonts w:ascii="Calibri" w:hAnsi="Calibri" w:cs="Calibri"/>
                <w:color w:val="000000"/>
                <w:sz w:val="16"/>
                <w:szCs w:val="16"/>
              </w:rPr>
            </w:pPr>
          </w:p>
        </w:tc>
        <w:tc>
          <w:tcPr>
            <w:tcW w:w="465" w:type="dxa"/>
            <w:tcBorders>
              <w:top w:val="nil"/>
              <w:left w:val="nil"/>
              <w:bottom w:val="single" w:sz="4" w:space="0" w:color="auto"/>
              <w:right w:val="single" w:sz="4" w:space="0" w:color="auto"/>
            </w:tcBorders>
            <w:shd w:val="clear" w:color="auto" w:fill="auto"/>
            <w:noWrap/>
            <w:vAlign w:val="center"/>
            <w:hideMark/>
          </w:tcPr>
          <w:p w:rsidR="002E3EF3" w:rsidRDefault="002E3EF3">
            <w:pPr>
              <w:jc w:val="right"/>
              <w:rPr>
                <w:rFonts w:ascii="Calibri" w:hAnsi="Calibri" w:cs="Calibri"/>
                <w:color w:val="000000"/>
                <w:sz w:val="16"/>
                <w:szCs w:val="16"/>
              </w:rPr>
            </w:pPr>
            <w:r>
              <w:rPr>
                <w:rFonts w:ascii="Calibri" w:hAnsi="Calibri" w:cs="Calibri"/>
                <w:color w:val="000000"/>
                <w:sz w:val="16"/>
                <w:szCs w:val="16"/>
              </w:rPr>
              <w:t>4116</w:t>
            </w:r>
          </w:p>
        </w:tc>
        <w:tc>
          <w:tcPr>
            <w:tcW w:w="4816" w:type="dxa"/>
            <w:tcBorders>
              <w:top w:val="nil"/>
              <w:left w:val="nil"/>
              <w:bottom w:val="single" w:sz="4" w:space="0" w:color="auto"/>
              <w:right w:val="single" w:sz="4" w:space="0" w:color="auto"/>
            </w:tcBorders>
            <w:shd w:val="clear" w:color="auto" w:fill="auto"/>
            <w:noWrap/>
            <w:vAlign w:val="center"/>
            <w:hideMark/>
          </w:tcPr>
          <w:p w:rsidR="002E3EF3" w:rsidRDefault="002E3EF3">
            <w:pPr>
              <w:rPr>
                <w:rFonts w:ascii="Calibri" w:hAnsi="Calibri" w:cs="Calibri"/>
                <w:color w:val="000000"/>
                <w:sz w:val="16"/>
                <w:szCs w:val="16"/>
              </w:rPr>
            </w:pPr>
            <w:r>
              <w:rPr>
                <w:rFonts w:ascii="Calibri" w:hAnsi="Calibri" w:cs="Calibri"/>
                <w:color w:val="000000"/>
                <w:sz w:val="16"/>
                <w:szCs w:val="16"/>
              </w:rPr>
              <w:t>Ostatní neinv.přijaté transfery ze státního rozpočtu</w:t>
            </w:r>
          </w:p>
        </w:tc>
        <w:tc>
          <w:tcPr>
            <w:tcW w:w="1276" w:type="dxa"/>
            <w:tcBorders>
              <w:top w:val="nil"/>
              <w:left w:val="nil"/>
              <w:bottom w:val="single" w:sz="4" w:space="0" w:color="auto"/>
              <w:right w:val="single" w:sz="4" w:space="0" w:color="auto"/>
            </w:tcBorders>
            <w:shd w:val="clear" w:color="auto" w:fill="auto"/>
            <w:noWrap/>
            <w:vAlign w:val="center"/>
            <w:hideMark/>
          </w:tcPr>
          <w:p w:rsidR="002E3EF3" w:rsidRDefault="002E3EF3">
            <w:pPr>
              <w:jc w:val="right"/>
              <w:rPr>
                <w:rFonts w:ascii="Calibri" w:hAnsi="Calibri" w:cs="Calibri"/>
                <w:color w:val="000000"/>
                <w:sz w:val="16"/>
                <w:szCs w:val="16"/>
              </w:rPr>
            </w:pPr>
            <w:r>
              <w:rPr>
                <w:rFonts w:ascii="Calibri" w:hAnsi="Calibri" w:cs="Calibri"/>
                <w:color w:val="000000"/>
                <w:sz w:val="16"/>
                <w:szCs w:val="16"/>
              </w:rPr>
              <w:t>64 301 709,38</w:t>
            </w:r>
          </w:p>
        </w:tc>
        <w:tc>
          <w:tcPr>
            <w:tcW w:w="1276" w:type="dxa"/>
            <w:tcBorders>
              <w:top w:val="nil"/>
              <w:left w:val="nil"/>
              <w:bottom w:val="single" w:sz="4" w:space="0" w:color="auto"/>
              <w:right w:val="single" w:sz="4" w:space="0" w:color="auto"/>
            </w:tcBorders>
            <w:shd w:val="clear" w:color="auto" w:fill="auto"/>
            <w:noWrap/>
            <w:vAlign w:val="center"/>
            <w:hideMark/>
          </w:tcPr>
          <w:p w:rsidR="002E3EF3" w:rsidRDefault="002E3EF3">
            <w:pPr>
              <w:jc w:val="right"/>
              <w:rPr>
                <w:rFonts w:ascii="Calibri" w:hAnsi="Calibri" w:cs="Calibri"/>
                <w:color w:val="000000"/>
                <w:sz w:val="16"/>
                <w:szCs w:val="16"/>
              </w:rPr>
            </w:pPr>
            <w:r>
              <w:rPr>
                <w:rFonts w:ascii="Calibri" w:hAnsi="Calibri" w:cs="Calibri"/>
                <w:color w:val="000000"/>
                <w:sz w:val="16"/>
                <w:szCs w:val="16"/>
              </w:rPr>
              <w:t>35 479 917,38</w:t>
            </w:r>
          </w:p>
        </w:tc>
        <w:tc>
          <w:tcPr>
            <w:tcW w:w="1276" w:type="dxa"/>
            <w:tcBorders>
              <w:top w:val="nil"/>
              <w:left w:val="nil"/>
              <w:bottom w:val="single" w:sz="4" w:space="0" w:color="auto"/>
              <w:right w:val="single" w:sz="4" w:space="0" w:color="auto"/>
            </w:tcBorders>
            <w:shd w:val="clear" w:color="auto" w:fill="auto"/>
            <w:noWrap/>
            <w:vAlign w:val="center"/>
            <w:hideMark/>
          </w:tcPr>
          <w:p w:rsidR="002E3EF3" w:rsidRDefault="002E3EF3">
            <w:pPr>
              <w:jc w:val="right"/>
              <w:rPr>
                <w:rFonts w:ascii="Calibri" w:hAnsi="Calibri" w:cs="Calibri"/>
                <w:color w:val="000000"/>
                <w:sz w:val="16"/>
                <w:szCs w:val="16"/>
              </w:rPr>
            </w:pPr>
            <w:r>
              <w:rPr>
                <w:rFonts w:ascii="Calibri" w:hAnsi="Calibri" w:cs="Calibri"/>
                <w:color w:val="000000"/>
                <w:sz w:val="16"/>
                <w:szCs w:val="16"/>
              </w:rPr>
              <w:t>25 881 769,00</w:t>
            </w:r>
          </w:p>
        </w:tc>
      </w:tr>
      <w:tr w:rsidR="002E3EF3" w:rsidTr="002E3EF3">
        <w:trPr>
          <w:trHeight w:val="300"/>
        </w:trPr>
        <w:tc>
          <w:tcPr>
            <w:tcW w:w="384" w:type="dxa"/>
            <w:tcBorders>
              <w:top w:val="nil"/>
              <w:left w:val="single" w:sz="4" w:space="0" w:color="auto"/>
              <w:bottom w:val="single" w:sz="4" w:space="0" w:color="auto"/>
              <w:right w:val="single" w:sz="4" w:space="0" w:color="auto"/>
            </w:tcBorders>
            <w:shd w:val="clear" w:color="FDE9D9" w:fill="FFF2CC"/>
            <w:noWrap/>
            <w:vAlign w:val="center"/>
            <w:hideMark/>
          </w:tcPr>
          <w:p w:rsidR="002E3EF3" w:rsidRDefault="002E3EF3">
            <w:pPr>
              <w:jc w:val="right"/>
              <w:rPr>
                <w:rFonts w:ascii="Calibri" w:hAnsi="Calibri" w:cs="Calibri"/>
                <w:color w:val="000000"/>
                <w:sz w:val="16"/>
                <w:szCs w:val="16"/>
              </w:rPr>
            </w:pPr>
            <w:r>
              <w:rPr>
                <w:rFonts w:ascii="Calibri" w:hAnsi="Calibri" w:cs="Calibri"/>
                <w:color w:val="000000"/>
                <w:sz w:val="16"/>
                <w:szCs w:val="16"/>
              </w:rPr>
              <w:t>412</w:t>
            </w:r>
          </w:p>
        </w:tc>
        <w:tc>
          <w:tcPr>
            <w:tcW w:w="5281" w:type="dxa"/>
            <w:gridSpan w:val="2"/>
            <w:tcBorders>
              <w:top w:val="single" w:sz="4" w:space="0" w:color="auto"/>
              <w:left w:val="nil"/>
              <w:bottom w:val="single" w:sz="4" w:space="0" w:color="auto"/>
              <w:right w:val="single" w:sz="4" w:space="0" w:color="auto"/>
            </w:tcBorders>
            <w:shd w:val="clear" w:color="FDE9D9" w:fill="FFF2CC"/>
            <w:noWrap/>
            <w:vAlign w:val="center"/>
            <w:hideMark/>
          </w:tcPr>
          <w:p w:rsidR="002E3EF3" w:rsidRDefault="002E3EF3">
            <w:pPr>
              <w:rPr>
                <w:rFonts w:ascii="Calibri" w:hAnsi="Calibri" w:cs="Calibri"/>
                <w:color w:val="000000"/>
                <w:sz w:val="16"/>
                <w:szCs w:val="16"/>
              </w:rPr>
            </w:pPr>
            <w:r>
              <w:rPr>
                <w:rFonts w:ascii="Calibri" w:hAnsi="Calibri" w:cs="Calibri"/>
                <w:color w:val="000000"/>
                <w:sz w:val="16"/>
                <w:szCs w:val="16"/>
              </w:rPr>
              <w:t>Neinvestiční přijaté transfery od veřejných rozpočtů územní úrovně</w:t>
            </w:r>
          </w:p>
        </w:tc>
        <w:tc>
          <w:tcPr>
            <w:tcW w:w="1276" w:type="dxa"/>
            <w:tcBorders>
              <w:top w:val="nil"/>
              <w:left w:val="nil"/>
              <w:bottom w:val="single" w:sz="4" w:space="0" w:color="auto"/>
              <w:right w:val="single" w:sz="4" w:space="0" w:color="auto"/>
            </w:tcBorders>
            <w:shd w:val="clear" w:color="FDE9D9" w:fill="FFF2CC"/>
            <w:noWrap/>
            <w:vAlign w:val="center"/>
            <w:hideMark/>
          </w:tcPr>
          <w:p w:rsidR="002E3EF3" w:rsidRDefault="002E3EF3">
            <w:pPr>
              <w:jc w:val="right"/>
              <w:rPr>
                <w:rFonts w:ascii="Calibri" w:hAnsi="Calibri" w:cs="Calibri"/>
                <w:color w:val="000000"/>
                <w:sz w:val="16"/>
                <w:szCs w:val="16"/>
              </w:rPr>
            </w:pPr>
            <w:r>
              <w:rPr>
                <w:rFonts w:ascii="Calibri" w:hAnsi="Calibri" w:cs="Calibri"/>
                <w:color w:val="000000"/>
                <w:sz w:val="16"/>
                <w:szCs w:val="16"/>
              </w:rPr>
              <w:t>5 310 423,50</w:t>
            </w:r>
          </w:p>
        </w:tc>
        <w:tc>
          <w:tcPr>
            <w:tcW w:w="1276" w:type="dxa"/>
            <w:tcBorders>
              <w:top w:val="nil"/>
              <w:left w:val="nil"/>
              <w:bottom w:val="single" w:sz="4" w:space="0" w:color="auto"/>
              <w:right w:val="single" w:sz="4" w:space="0" w:color="auto"/>
            </w:tcBorders>
            <w:shd w:val="clear" w:color="FDE9D9" w:fill="FFF2CC"/>
            <w:noWrap/>
            <w:vAlign w:val="center"/>
            <w:hideMark/>
          </w:tcPr>
          <w:p w:rsidR="002E3EF3" w:rsidRDefault="002E3EF3">
            <w:pPr>
              <w:jc w:val="right"/>
              <w:rPr>
                <w:rFonts w:ascii="Calibri" w:hAnsi="Calibri" w:cs="Calibri"/>
                <w:color w:val="000000"/>
                <w:sz w:val="16"/>
                <w:szCs w:val="16"/>
              </w:rPr>
            </w:pPr>
            <w:r>
              <w:rPr>
                <w:rFonts w:ascii="Calibri" w:hAnsi="Calibri" w:cs="Calibri"/>
                <w:color w:val="000000"/>
                <w:sz w:val="16"/>
                <w:szCs w:val="16"/>
              </w:rPr>
              <w:t>5 609 655,26</w:t>
            </w:r>
          </w:p>
        </w:tc>
        <w:tc>
          <w:tcPr>
            <w:tcW w:w="1276" w:type="dxa"/>
            <w:tcBorders>
              <w:top w:val="nil"/>
              <w:left w:val="nil"/>
              <w:bottom w:val="single" w:sz="4" w:space="0" w:color="auto"/>
              <w:right w:val="single" w:sz="4" w:space="0" w:color="auto"/>
            </w:tcBorders>
            <w:shd w:val="clear" w:color="FDE9D9" w:fill="FFF2CC"/>
            <w:noWrap/>
            <w:vAlign w:val="center"/>
            <w:hideMark/>
          </w:tcPr>
          <w:p w:rsidR="002E3EF3" w:rsidRDefault="002E3EF3">
            <w:pPr>
              <w:jc w:val="right"/>
              <w:rPr>
                <w:rFonts w:ascii="Calibri" w:hAnsi="Calibri" w:cs="Calibri"/>
                <w:color w:val="000000"/>
                <w:sz w:val="16"/>
                <w:szCs w:val="16"/>
              </w:rPr>
            </w:pPr>
            <w:r>
              <w:rPr>
                <w:rFonts w:ascii="Calibri" w:hAnsi="Calibri" w:cs="Calibri"/>
                <w:color w:val="000000"/>
                <w:sz w:val="16"/>
                <w:szCs w:val="16"/>
              </w:rPr>
              <w:t>6 406 054,04</w:t>
            </w:r>
          </w:p>
        </w:tc>
      </w:tr>
      <w:tr w:rsidR="002E3EF3" w:rsidTr="002E3EF3">
        <w:trPr>
          <w:trHeight w:val="300"/>
        </w:trPr>
        <w:tc>
          <w:tcPr>
            <w:tcW w:w="3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3EF3" w:rsidRDefault="002E3EF3">
            <w:pPr>
              <w:jc w:val="center"/>
              <w:rPr>
                <w:rFonts w:ascii="Calibri" w:hAnsi="Calibri" w:cs="Calibri"/>
                <w:color w:val="000000"/>
                <w:sz w:val="16"/>
                <w:szCs w:val="16"/>
              </w:rPr>
            </w:pPr>
            <w:r>
              <w:rPr>
                <w:rFonts w:ascii="Calibri" w:hAnsi="Calibri" w:cs="Calibri"/>
                <w:color w:val="000000"/>
                <w:sz w:val="16"/>
                <w:szCs w:val="16"/>
              </w:rPr>
              <w:t> </w:t>
            </w:r>
          </w:p>
        </w:tc>
        <w:tc>
          <w:tcPr>
            <w:tcW w:w="465" w:type="dxa"/>
            <w:tcBorders>
              <w:top w:val="nil"/>
              <w:left w:val="nil"/>
              <w:bottom w:val="single" w:sz="4" w:space="0" w:color="auto"/>
              <w:right w:val="single" w:sz="4" w:space="0" w:color="auto"/>
            </w:tcBorders>
            <w:shd w:val="clear" w:color="auto" w:fill="auto"/>
            <w:noWrap/>
            <w:vAlign w:val="center"/>
            <w:hideMark/>
          </w:tcPr>
          <w:p w:rsidR="002E3EF3" w:rsidRDefault="002E3EF3">
            <w:pPr>
              <w:jc w:val="right"/>
              <w:rPr>
                <w:rFonts w:ascii="Calibri" w:hAnsi="Calibri" w:cs="Calibri"/>
                <w:color w:val="000000"/>
                <w:sz w:val="16"/>
                <w:szCs w:val="16"/>
              </w:rPr>
            </w:pPr>
            <w:r>
              <w:rPr>
                <w:rFonts w:ascii="Calibri" w:hAnsi="Calibri" w:cs="Calibri"/>
                <w:color w:val="000000"/>
                <w:sz w:val="16"/>
                <w:szCs w:val="16"/>
              </w:rPr>
              <w:t>4121</w:t>
            </w:r>
          </w:p>
        </w:tc>
        <w:tc>
          <w:tcPr>
            <w:tcW w:w="4816" w:type="dxa"/>
            <w:tcBorders>
              <w:top w:val="nil"/>
              <w:left w:val="nil"/>
              <w:bottom w:val="single" w:sz="4" w:space="0" w:color="auto"/>
              <w:right w:val="single" w:sz="4" w:space="0" w:color="auto"/>
            </w:tcBorders>
            <w:shd w:val="clear" w:color="auto" w:fill="auto"/>
            <w:noWrap/>
            <w:vAlign w:val="center"/>
            <w:hideMark/>
          </w:tcPr>
          <w:p w:rsidR="002E3EF3" w:rsidRDefault="002E3EF3">
            <w:pPr>
              <w:rPr>
                <w:rFonts w:ascii="Calibri" w:hAnsi="Calibri" w:cs="Calibri"/>
                <w:color w:val="000000"/>
                <w:sz w:val="16"/>
                <w:szCs w:val="16"/>
              </w:rPr>
            </w:pPr>
            <w:r>
              <w:rPr>
                <w:rFonts w:ascii="Calibri" w:hAnsi="Calibri" w:cs="Calibri"/>
                <w:color w:val="000000"/>
                <w:sz w:val="16"/>
                <w:szCs w:val="16"/>
              </w:rPr>
              <w:t>Neinvestiční přijaté transfery od obcí</w:t>
            </w:r>
          </w:p>
        </w:tc>
        <w:tc>
          <w:tcPr>
            <w:tcW w:w="1276" w:type="dxa"/>
            <w:tcBorders>
              <w:top w:val="nil"/>
              <w:left w:val="nil"/>
              <w:bottom w:val="single" w:sz="4" w:space="0" w:color="auto"/>
              <w:right w:val="single" w:sz="4" w:space="0" w:color="auto"/>
            </w:tcBorders>
            <w:shd w:val="clear" w:color="auto" w:fill="auto"/>
            <w:noWrap/>
            <w:vAlign w:val="center"/>
            <w:hideMark/>
          </w:tcPr>
          <w:p w:rsidR="002E3EF3" w:rsidRDefault="002E3EF3">
            <w:pPr>
              <w:jc w:val="right"/>
              <w:rPr>
                <w:rFonts w:ascii="Calibri" w:hAnsi="Calibri" w:cs="Calibri"/>
                <w:color w:val="000000"/>
                <w:sz w:val="16"/>
                <w:szCs w:val="16"/>
              </w:rPr>
            </w:pPr>
            <w:r>
              <w:rPr>
                <w:rFonts w:ascii="Calibri" w:hAnsi="Calibri" w:cs="Calibri"/>
                <w:color w:val="000000"/>
                <w:sz w:val="16"/>
                <w:szCs w:val="16"/>
              </w:rPr>
              <w:t>884 544,00</w:t>
            </w:r>
          </w:p>
        </w:tc>
        <w:tc>
          <w:tcPr>
            <w:tcW w:w="1276" w:type="dxa"/>
            <w:tcBorders>
              <w:top w:val="nil"/>
              <w:left w:val="nil"/>
              <w:bottom w:val="single" w:sz="4" w:space="0" w:color="auto"/>
              <w:right w:val="single" w:sz="4" w:space="0" w:color="auto"/>
            </w:tcBorders>
            <w:shd w:val="clear" w:color="auto" w:fill="auto"/>
            <w:noWrap/>
            <w:vAlign w:val="center"/>
            <w:hideMark/>
          </w:tcPr>
          <w:p w:rsidR="002E3EF3" w:rsidRDefault="002E3EF3">
            <w:pPr>
              <w:jc w:val="right"/>
              <w:rPr>
                <w:rFonts w:ascii="Calibri" w:hAnsi="Calibri" w:cs="Calibri"/>
                <w:color w:val="000000"/>
                <w:sz w:val="16"/>
                <w:szCs w:val="16"/>
              </w:rPr>
            </w:pPr>
            <w:r>
              <w:rPr>
                <w:rFonts w:ascii="Calibri" w:hAnsi="Calibri" w:cs="Calibri"/>
                <w:color w:val="000000"/>
                <w:sz w:val="16"/>
                <w:szCs w:val="16"/>
              </w:rPr>
              <w:t>1 107 427,22</w:t>
            </w:r>
          </w:p>
        </w:tc>
        <w:tc>
          <w:tcPr>
            <w:tcW w:w="1276" w:type="dxa"/>
            <w:tcBorders>
              <w:top w:val="nil"/>
              <w:left w:val="nil"/>
              <w:bottom w:val="single" w:sz="4" w:space="0" w:color="auto"/>
              <w:right w:val="single" w:sz="4" w:space="0" w:color="auto"/>
            </w:tcBorders>
            <w:shd w:val="clear" w:color="auto" w:fill="auto"/>
            <w:noWrap/>
            <w:vAlign w:val="center"/>
            <w:hideMark/>
          </w:tcPr>
          <w:p w:rsidR="002E3EF3" w:rsidRDefault="002E3EF3">
            <w:pPr>
              <w:jc w:val="right"/>
              <w:rPr>
                <w:rFonts w:ascii="Calibri" w:hAnsi="Calibri" w:cs="Calibri"/>
                <w:color w:val="000000"/>
                <w:sz w:val="16"/>
                <w:szCs w:val="16"/>
              </w:rPr>
            </w:pPr>
            <w:r>
              <w:rPr>
                <w:rFonts w:ascii="Calibri" w:hAnsi="Calibri" w:cs="Calibri"/>
                <w:color w:val="000000"/>
                <w:sz w:val="16"/>
                <w:szCs w:val="16"/>
              </w:rPr>
              <w:t>964 630,00</w:t>
            </w:r>
          </w:p>
        </w:tc>
      </w:tr>
      <w:tr w:rsidR="002E3EF3" w:rsidTr="002E3EF3">
        <w:trPr>
          <w:trHeight w:val="300"/>
        </w:trPr>
        <w:tc>
          <w:tcPr>
            <w:tcW w:w="384" w:type="dxa"/>
            <w:vMerge/>
            <w:tcBorders>
              <w:top w:val="nil"/>
              <w:left w:val="single" w:sz="4" w:space="0" w:color="auto"/>
              <w:bottom w:val="single" w:sz="4" w:space="0" w:color="auto"/>
              <w:right w:val="single" w:sz="4" w:space="0" w:color="auto"/>
            </w:tcBorders>
            <w:vAlign w:val="center"/>
            <w:hideMark/>
          </w:tcPr>
          <w:p w:rsidR="002E3EF3" w:rsidRDefault="002E3EF3">
            <w:pPr>
              <w:rPr>
                <w:rFonts w:ascii="Calibri" w:hAnsi="Calibri" w:cs="Calibri"/>
                <w:color w:val="000000"/>
                <w:sz w:val="16"/>
                <w:szCs w:val="16"/>
              </w:rPr>
            </w:pPr>
          </w:p>
        </w:tc>
        <w:tc>
          <w:tcPr>
            <w:tcW w:w="465" w:type="dxa"/>
            <w:tcBorders>
              <w:top w:val="nil"/>
              <w:left w:val="nil"/>
              <w:bottom w:val="single" w:sz="4" w:space="0" w:color="auto"/>
              <w:right w:val="single" w:sz="4" w:space="0" w:color="auto"/>
            </w:tcBorders>
            <w:shd w:val="clear" w:color="auto" w:fill="auto"/>
            <w:noWrap/>
            <w:vAlign w:val="center"/>
            <w:hideMark/>
          </w:tcPr>
          <w:p w:rsidR="002E3EF3" w:rsidRDefault="002E3EF3">
            <w:pPr>
              <w:jc w:val="right"/>
              <w:rPr>
                <w:rFonts w:ascii="Calibri" w:hAnsi="Calibri" w:cs="Calibri"/>
                <w:color w:val="000000"/>
                <w:sz w:val="16"/>
                <w:szCs w:val="16"/>
              </w:rPr>
            </w:pPr>
            <w:r>
              <w:rPr>
                <w:rFonts w:ascii="Calibri" w:hAnsi="Calibri" w:cs="Calibri"/>
                <w:color w:val="000000"/>
                <w:sz w:val="16"/>
                <w:szCs w:val="16"/>
              </w:rPr>
              <w:t>4122</w:t>
            </w:r>
          </w:p>
        </w:tc>
        <w:tc>
          <w:tcPr>
            <w:tcW w:w="4816" w:type="dxa"/>
            <w:tcBorders>
              <w:top w:val="nil"/>
              <w:left w:val="nil"/>
              <w:bottom w:val="single" w:sz="4" w:space="0" w:color="auto"/>
              <w:right w:val="single" w:sz="4" w:space="0" w:color="auto"/>
            </w:tcBorders>
            <w:shd w:val="clear" w:color="auto" w:fill="auto"/>
            <w:vAlign w:val="center"/>
            <w:hideMark/>
          </w:tcPr>
          <w:p w:rsidR="002E3EF3" w:rsidRDefault="002E3EF3">
            <w:pPr>
              <w:rPr>
                <w:rFonts w:ascii="Calibri" w:hAnsi="Calibri" w:cs="Calibri"/>
                <w:color w:val="000000"/>
                <w:sz w:val="16"/>
                <w:szCs w:val="16"/>
              </w:rPr>
            </w:pPr>
            <w:r>
              <w:rPr>
                <w:rFonts w:ascii="Calibri" w:hAnsi="Calibri" w:cs="Calibri"/>
                <w:color w:val="000000"/>
                <w:sz w:val="16"/>
                <w:szCs w:val="16"/>
              </w:rPr>
              <w:t>Neinvestiční přijaté transfery od krajů</w:t>
            </w:r>
          </w:p>
        </w:tc>
        <w:tc>
          <w:tcPr>
            <w:tcW w:w="1276" w:type="dxa"/>
            <w:tcBorders>
              <w:top w:val="nil"/>
              <w:left w:val="nil"/>
              <w:bottom w:val="single" w:sz="4" w:space="0" w:color="auto"/>
              <w:right w:val="single" w:sz="4" w:space="0" w:color="auto"/>
            </w:tcBorders>
            <w:shd w:val="clear" w:color="auto" w:fill="auto"/>
            <w:noWrap/>
            <w:vAlign w:val="center"/>
            <w:hideMark/>
          </w:tcPr>
          <w:p w:rsidR="002E3EF3" w:rsidRDefault="002E3EF3">
            <w:pPr>
              <w:jc w:val="right"/>
              <w:rPr>
                <w:rFonts w:ascii="Calibri" w:hAnsi="Calibri" w:cs="Calibri"/>
                <w:color w:val="000000"/>
                <w:sz w:val="16"/>
                <w:szCs w:val="16"/>
              </w:rPr>
            </w:pPr>
            <w:r>
              <w:rPr>
                <w:rFonts w:ascii="Calibri" w:hAnsi="Calibri" w:cs="Calibri"/>
                <w:color w:val="000000"/>
                <w:sz w:val="16"/>
                <w:szCs w:val="16"/>
              </w:rPr>
              <w:t>4 425 879,50</w:t>
            </w:r>
          </w:p>
        </w:tc>
        <w:tc>
          <w:tcPr>
            <w:tcW w:w="1276" w:type="dxa"/>
            <w:tcBorders>
              <w:top w:val="nil"/>
              <w:left w:val="nil"/>
              <w:bottom w:val="single" w:sz="4" w:space="0" w:color="auto"/>
              <w:right w:val="single" w:sz="4" w:space="0" w:color="auto"/>
            </w:tcBorders>
            <w:shd w:val="clear" w:color="auto" w:fill="auto"/>
            <w:noWrap/>
            <w:vAlign w:val="center"/>
            <w:hideMark/>
          </w:tcPr>
          <w:p w:rsidR="002E3EF3" w:rsidRDefault="002E3EF3">
            <w:pPr>
              <w:jc w:val="right"/>
              <w:rPr>
                <w:rFonts w:ascii="Calibri" w:hAnsi="Calibri" w:cs="Calibri"/>
                <w:color w:val="000000"/>
                <w:sz w:val="16"/>
                <w:szCs w:val="16"/>
              </w:rPr>
            </w:pPr>
            <w:r>
              <w:rPr>
                <w:rFonts w:ascii="Calibri" w:hAnsi="Calibri" w:cs="Calibri"/>
                <w:color w:val="000000"/>
                <w:sz w:val="16"/>
                <w:szCs w:val="16"/>
              </w:rPr>
              <w:t>4 502 228,04</w:t>
            </w:r>
          </w:p>
        </w:tc>
        <w:tc>
          <w:tcPr>
            <w:tcW w:w="1276" w:type="dxa"/>
            <w:tcBorders>
              <w:top w:val="nil"/>
              <w:left w:val="nil"/>
              <w:bottom w:val="single" w:sz="4" w:space="0" w:color="auto"/>
              <w:right w:val="single" w:sz="4" w:space="0" w:color="auto"/>
            </w:tcBorders>
            <w:shd w:val="clear" w:color="auto" w:fill="auto"/>
            <w:noWrap/>
            <w:vAlign w:val="center"/>
            <w:hideMark/>
          </w:tcPr>
          <w:p w:rsidR="002E3EF3" w:rsidRDefault="002E3EF3">
            <w:pPr>
              <w:jc w:val="right"/>
              <w:rPr>
                <w:rFonts w:ascii="Calibri" w:hAnsi="Calibri" w:cs="Calibri"/>
                <w:color w:val="000000"/>
                <w:sz w:val="16"/>
                <w:szCs w:val="16"/>
              </w:rPr>
            </w:pPr>
            <w:r>
              <w:rPr>
                <w:rFonts w:ascii="Calibri" w:hAnsi="Calibri" w:cs="Calibri"/>
                <w:color w:val="000000"/>
                <w:sz w:val="16"/>
                <w:szCs w:val="16"/>
              </w:rPr>
              <w:t>5 441 424,04</w:t>
            </w:r>
          </w:p>
        </w:tc>
      </w:tr>
    </w:tbl>
    <w:p w:rsidR="002E3EF3" w:rsidRDefault="002E3EF3" w:rsidP="002E3EF3"/>
    <w:p w:rsidR="002E3EF3" w:rsidRDefault="002E3EF3" w:rsidP="002E3EF3">
      <w:pPr>
        <w:jc w:val="center"/>
      </w:pPr>
      <w:r>
        <w:rPr>
          <w:noProof/>
        </w:rPr>
        <w:drawing>
          <wp:inline distT="0" distB="0" distL="0" distR="0" wp14:anchorId="77FD3B43" wp14:editId="40C14210">
            <wp:extent cx="4495165" cy="2842055"/>
            <wp:effectExtent l="0" t="0" r="635" b="15875"/>
            <wp:docPr id="29" name="Graf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E3EF3" w:rsidRDefault="002E3EF3" w:rsidP="002E3EF3"/>
    <w:p w:rsidR="002E3EF3" w:rsidRPr="002E3EF3" w:rsidRDefault="002E3EF3" w:rsidP="002E3EF3"/>
    <w:p w:rsidR="00076F1E" w:rsidRPr="00C70240" w:rsidRDefault="00237609" w:rsidP="00237609">
      <w:pPr>
        <w:pStyle w:val="Nadpis2"/>
      </w:pPr>
      <w:bookmarkStart w:id="25" w:name="_Toc39129511"/>
      <w:bookmarkStart w:id="26" w:name="_Ref40164057"/>
      <w:r w:rsidRPr="00C70240">
        <w:lastRenderedPageBreak/>
        <w:t>Investiční transfery</w:t>
      </w:r>
      <w:bookmarkEnd w:id="25"/>
      <w:bookmarkEnd w:id="26"/>
    </w:p>
    <w:p w:rsidR="00E07CEE" w:rsidRPr="00C70240" w:rsidRDefault="00E07CEE" w:rsidP="00E07CEE">
      <w:pPr>
        <w:rPr>
          <w:rFonts w:asciiTheme="minorHAnsi" w:hAnsiTheme="minorHAnsi" w:cstheme="minorHAnsi"/>
          <w:sz w:val="22"/>
          <w:szCs w:val="22"/>
        </w:rPr>
      </w:pPr>
      <w:r w:rsidRPr="00C70240">
        <w:rPr>
          <w:rFonts w:asciiTheme="minorHAnsi" w:hAnsiTheme="minorHAnsi" w:cstheme="minorHAnsi"/>
          <w:sz w:val="22"/>
          <w:szCs w:val="22"/>
        </w:rPr>
        <w:t>Na investiční akce se městu Prostějov podařilo v roce 20</w:t>
      </w:r>
      <w:r w:rsidR="003A4240" w:rsidRPr="00C70240">
        <w:rPr>
          <w:rFonts w:asciiTheme="minorHAnsi" w:hAnsiTheme="minorHAnsi" w:cstheme="minorHAnsi"/>
          <w:sz w:val="22"/>
          <w:szCs w:val="22"/>
        </w:rPr>
        <w:t>2</w:t>
      </w:r>
      <w:r w:rsidR="00E12522">
        <w:rPr>
          <w:rFonts w:asciiTheme="minorHAnsi" w:hAnsiTheme="minorHAnsi" w:cstheme="minorHAnsi"/>
          <w:sz w:val="22"/>
          <w:szCs w:val="22"/>
        </w:rPr>
        <w:t>2</w:t>
      </w:r>
      <w:r w:rsidRPr="00C70240">
        <w:rPr>
          <w:rFonts w:asciiTheme="minorHAnsi" w:hAnsiTheme="minorHAnsi" w:cstheme="minorHAnsi"/>
          <w:sz w:val="22"/>
          <w:szCs w:val="22"/>
        </w:rPr>
        <w:t xml:space="preserve"> získat finanční prostředky</w:t>
      </w:r>
      <w:r w:rsidR="0093284C" w:rsidRPr="00C70240">
        <w:rPr>
          <w:rFonts w:asciiTheme="minorHAnsi" w:hAnsiTheme="minorHAnsi" w:cstheme="minorHAnsi"/>
          <w:sz w:val="22"/>
          <w:szCs w:val="22"/>
        </w:rPr>
        <w:t xml:space="preserve"> </w:t>
      </w:r>
      <w:r w:rsidR="0093284C" w:rsidRPr="00C70240">
        <w:rPr>
          <w:rFonts w:asciiTheme="minorHAnsi" w:hAnsiTheme="minorHAnsi" w:cstheme="minorHAnsi"/>
          <w:sz w:val="22"/>
          <w:szCs w:val="22"/>
          <w:u w:val="single"/>
        </w:rPr>
        <w:t>ze státního rozpočtu</w:t>
      </w:r>
      <w:r w:rsidRPr="00C70240">
        <w:rPr>
          <w:rFonts w:asciiTheme="minorHAnsi" w:hAnsiTheme="minorHAnsi" w:cstheme="minorHAnsi"/>
          <w:sz w:val="22"/>
          <w:szCs w:val="22"/>
        </w:rPr>
        <w:t xml:space="preserve"> ve výši </w:t>
      </w:r>
      <w:r w:rsidR="00E12522">
        <w:rPr>
          <w:rFonts w:asciiTheme="minorHAnsi" w:hAnsiTheme="minorHAnsi" w:cstheme="minorHAnsi"/>
          <w:sz w:val="22"/>
          <w:szCs w:val="22"/>
        </w:rPr>
        <w:t>3</w:t>
      </w:r>
      <w:r w:rsidRPr="00C70240">
        <w:rPr>
          <w:rFonts w:asciiTheme="minorHAnsi" w:hAnsiTheme="minorHAnsi" w:cstheme="minorHAnsi"/>
          <w:sz w:val="22"/>
          <w:szCs w:val="22"/>
        </w:rPr>
        <w:t> mil. Kč.</w:t>
      </w:r>
    </w:p>
    <w:p w:rsidR="00E07CEE" w:rsidRPr="00EC2546" w:rsidRDefault="00E12522" w:rsidP="00E07CEE">
      <w:pPr>
        <w:rPr>
          <w:rFonts w:asciiTheme="minorHAnsi" w:hAnsiTheme="minorHAnsi" w:cstheme="minorHAnsi"/>
          <w:sz w:val="22"/>
          <w:szCs w:val="22"/>
        </w:rPr>
      </w:pPr>
      <w:r>
        <w:rPr>
          <w:rFonts w:asciiTheme="minorHAnsi" w:hAnsiTheme="minorHAnsi" w:cstheme="minorHAnsi"/>
          <w:sz w:val="22"/>
          <w:szCs w:val="22"/>
        </w:rPr>
        <w:t>Jednalo se o</w:t>
      </w:r>
      <w:r w:rsidR="008B0937" w:rsidRPr="00EC2546">
        <w:rPr>
          <w:rFonts w:asciiTheme="minorHAnsi" w:hAnsiTheme="minorHAnsi" w:cstheme="minorHAnsi"/>
          <w:sz w:val="22"/>
          <w:szCs w:val="22"/>
        </w:rPr>
        <w:t>:</w:t>
      </w:r>
    </w:p>
    <w:p w:rsidR="003A4240" w:rsidRPr="00EC2546" w:rsidRDefault="00E12522" w:rsidP="003A4240">
      <w:pPr>
        <w:pStyle w:val="Odstavecseseznamem"/>
        <w:numPr>
          <w:ilvl w:val="0"/>
          <w:numId w:val="8"/>
        </w:numPr>
        <w:rPr>
          <w:rFonts w:asciiTheme="minorHAnsi" w:hAnsiTheme="minorHAnsi" w:cstheme="minorHAnsi"/>
          <w:sz w:val="22"/>
          <w:szCs w:val="22"/>
        </w:rPr>
      </w:pPr>
      <w:r>
        <w:rPr>
          <w:rFonts w:asciiTheme="minorHAnsi" w:hAnsiTheme="minorHAnsi" w:cstheme="minorHAnsi"/>
          <w:sz w:val="22"/>
          <w:szCs w:val="22"/>
        </w:rPr>
        <w:t>Modernizace a rozšíření zobrazovací stěny pro městský kamerový systém</w:t>
      </w:r>
      <w:r w:rsidR="00EC2546" w:rsidRPr="00EC2546">
        <w:rPr>
          <w:rFonts w:asciiTheme="minorHAnsi" w:hAnsiTheme="minorHAnsi" w:cstheme="minorHAnsi"/>
          <w:sz w:val="22"/>
          <w:szCs w:val="22"/>
        </w:rPr>
        <w:t xml:space="preserve"> (</w:t>
      </w:r>
      <w:r>
        <w:rPr>
          <w:rFonts w:asciiTheme="minorHAnsi" w:hAnsiTheme="minorHAnsi" w:cstheme="minorHAnsi"/>
          <w:sz w:val="22"/>
          <w:szCs w:val="22"/>
        </w:rPr>
        <w:t>898,87 tis</w:t>
      </w:r>
      <w:r w:rsidR="00EC2546" w:rsidRPr="00EC2546">
        <w:rPr>
          <w:rFonts w:asciiTheme="minorHAnsi" w:hAnsiTheme="minorHAnsi" w:cstheme="minorHAnsi"/>
          <w:sz w:val="22"/>
          <w:szCs w:val="22"/>
        </w:rPr>
        <w:t>. Kč),</w:t>
      </w:r>
    </w:p>
    <w:p w:rsidR="00EC2546" w:rsidRDefault="00EC2546" w:rsidP="003A4240">
      <w:pPr>
        <w:pStyle w:val="Odstavecseseznamem"/>
        <w:numPr>
          <w:ilvl w:val="0"/>
          <w:numId w:val="8"/>
        </w:numPr>
        <w:rPr>
          <w:rFonts w:asciiTheme="minorHAnsi" w:hAnsiTheme="minorHAnsi" w:cstheme="minorHAnsi"/>
          <w:sz w:val="22"/>
          <w:szCs w:val="22"/>
        </w:rPr>
      </w:pPr>
      <w:r w:rsidRPr="00EC2546">
        <w:rPr>
          <w:rFonts w:asciiTheme="minorHAnsi" w:hAnsiTheme="minorHAnsi" w:cstheme="minorHAnsi"/>
          <w:sz w:val="22"/>
          <w:szCs w:val="22"/>
        </w:rPr>
        <w:t>IROP – Integrovaný regionální OP – program č. 1170 (</w:t>
      </w:r>
      <w:r w:rsidR="00E12522">
        <w:rPr>
          <w:rFonts w:asciiTheme="minorHAnsi" w:hAnsiTheme="minorHAnsi" w:cstheme="minorHAnsi"/>
          <w:sz w:val="22"/>
          <w:szCs w:val="22"/>
        </w:rPr>
        <w:t>358,79 tis. Kč),</w:t>
      </w:r>
    </w:p>
    <w:p w:rsidR="00E12522" w:rsidRPr="00EC2546" w:rsidRDefault="00E12522" w:rsidP="003A4240">
      <w:pPr>
        <w:pStyle w:val="Odstavecseseznamem"/>
        <w:numPr>
          <w:ilvl w:val="0"/>
          <w:numId w:val="8"/>
        </w:numPr>
        <w:rPr>
          <w:rFonts w:asciiTheme="minorHAnsi" w:hAnsiTheme="minorHAnsi" w:cstheme="minorHAnsi"/>
          <w:sz w:val="22"/>
          <w:szCs w:val="22"/>
        </w:rPr>
      </w:pPr>
      <w:r>
        <w:rPr>
          <w:rFonts w:asciiTheme="minorHAnsi" w:hAnsiTheme="minorHAnsi" w:cstheme="minorHAnsi"/>
          <w:sz w:val="22"/>
          <w:szCs w:val="22"/>
        </w:rPr>
        <w:t xml:space="preserve">Rekonstrukce osvětlení </w:t>
      </w:r>
      <w:r w:rsidR="00BD631D">
        <w:rPr>
          <w:rFonts w:asciiTheme="minorHAnsi" w:hAnsiTheme="minorHAnsi" w:cstheme="minorHAnsi"/>
          <w:sz w:val="22"/>
          <w:szCs w:val="22"/>
        </w:rPr>
        <w:t>(1,74 mil. Kč).</w:t>
      </w:r>
    </w:p>
    <w:p w:rsidR="003A4240" w:rsidRPr="009457D3" w:rsidRDefault="003A4240" w:rsidP="00265CF2">
      <w:pPr>
        <w:pStyle w:val="Odstavecseseznamem"/>
        <w:ind w:left="720"/>
        <w:rPr>
          <w:rFonts w:asciiTheme="minorHAnsi" w:hAnsiTheme="minorHAnsi" w:cstheme="minorHAnsi"/>
          <w:color w:val="A6A6A6" w:themeColor="background1" w:themeShade="A6"/>
          <w:sz w:val="22"/>
          <w:szCs w:val="22"/>
        </w:rPr>
      </w:pPr>
    </w:p>
    <w:p w:rsidR="0093284C" w:rsidRPr="00C70240" w:rsidRDefault="008A1AF5" w:rsidP="0093284C">
      <w:pPr>
        <w:rPr>
          <w:rFonts w:asciiTheme="minorHAnsi" w:hAnsiTheme="minorHAnsi" w:cstheme="minorHAnsi"/>
          <w:sz w:val="22"/>
          <w:szCs w:val="22"/>
        </w:rPr>
      </w:pPr>
      <w:r w:rsidRPr="00C70240">
        <w:rPr>
          <w:rFonts w:asciiTheme="minorHAnsi" w:hAnsiTheme="minorHAnsi" w:cstheme="minorHAnsi"/>
          <w:sz w:val="22"/>
          <w:szCs w:val="22"/>
          <w:u w:val="single"/>
        </w:rPr>
        <w:t>Olomoucký kraj</w:t>
      </w:r>
      <w:r w:rsidR="0093284C" w:rsidRPr="00C70240">
        <w:rPr>
          <w:rFonts w:asciiTheme="minorHAnsi" w:hAnsiTheme="minorHAnsi" w:cstheme="minorHAnsi"/>
          <w:sz w:val="22"/>
          <w:szCs w:val="22"/>
        </w:rPr>
        <w:t xml:space="preserve"> </w:t>
      </w:r>
      <w:r w:rsidRPr="00C70240">
        <w:rPr>
          <w:rFonts w:asciiTheme="minorHAnsi" w:hAnsiTheme="minorHAnsi" w:cstheme="minorHAnsi"/>
          <w:sz w:val="22"/>
          <w:szCs w:val="22"/>
        </w:rPr>
        <w:t>finančně podpořil</w:t>
      </w:r>
      <w:r w:rsidR="0093284C" w:rsidRPr="00C70240">
        <w:rPr>
          <w:rFonts w:asciiTheme="minorHAnsi" w:hAnsiTheme="minorHAnsi" w:cstheme="minorHAnsi"/>
          <w:sz w:val="22"/>
          <w:szCs w:val="22"/>
        </w:rPr>
        <w:t xml:space="preserve"> tyto akce:</w:t>
      </w:r>
    </w:p>
    <w:p w:rsidR="0093284C" w:rsidRPr="00EC2546" w:rsidRDefault="00BD631D" w:rsidP="001F580B">
      <w:pPr>
        <w:pStyle w:val="Odstavecseseznamem"/>
        <w:numPr>
          <w:ilvl w:val="0"/>
          <w:numId w:val="9"/>
        </w:numPr>
        <w:ind w:left="714" w:hanging="357"/>
        <w:rPr>
          <w:rFonts w:asciiTheme="minorHAnsi" w:hAnsiTheme="minorHAnsi" w:cstheme="minorHAnsi"/>
          <w:sz w:val="22"/>
          <w:szCs w:val="22"/>
        </w:rPr>
      </w:pPr>
      <w:r>
        <w:rPr>
          <w:rFonts w:asciiTheme="minorHAnsi" w:hAnsiTheme="minorHAnsi" w:cstheme="minorHAnsi"/>
          <w:sz w:val="22"/>
          <w:szCs w:val="22"/>
        </w:rPr>
        <w:t>JSDH</w:t>
      </w:r>
      <w:r w:rsidR="00C70240" w:rsidRPr="00EC2546">
        <w:rPr>
          <w:rFonts w:asciiTheme="minorHAnsi" w:hAnsiTheme="minorHAnsi" w:cstheme="minorHAnsi"/>
          <w:sz w:val="22"/>
          <w:szCs w:val="22"/>
        </w:rPr>
        <w:t xml:space="preserve"> </w:t>
      </w:r>
      <w:r w:rsidR="009C2D7D" w:rsidRPr="00EC2546">
        <w:rPr>
          <w:rFonts w:asciiTheme="minorHAnsi" w:hAnsiTheme="minorHAnsi" w:cstheme="minorHAnsi"/>
          <w:sz w:val="22"/>
          <w:szCs w:val="22"/>
        </w:rPr>
        <w:t>(</w:t>
      </w:r>
      <w:r w:rsidR="00C70240" w:rsidRPr="00EC2546">
        <w:rPr>
          <w:rFonts w:asciiTheme="minorHAnsi" w:hAnsiTheme="minorHAnsi" w:cstheme="minorHAnsi"/>
          <w:sz w:val="22"/>
          <w:szCs w:val="22"/>
        </w:rPr>
        <w:t>1</w:t>
      </w:r>
      <w:r>
        <w:rPr>
          <w:rFonts w:asciiTheme="minorHAnsi" w:hAnsiTheme="minorHAnsi" w:cstheme="minorHAnsi"/>
          <w:sz w:val="22"/>
          <w:szCs w:val="22"/>
        </w:rPr>
        <w:t>4 tis</w:t>
      </w:r>
      <w:r w:rsidR="0093284C" w:rsidRPr="00EC2546">
        <w:rPr>
          <w:rFonts w:asciiTheme="minorHAnsi" w:hAnsiTheme="minorHAnsi" w:cstheme="minorHAnsi"/>
          <w:sz w:val="22"/>
          <w:szCs w:val="22"/>
        </w:rPr>
        <w:t>. Kč)</w:t>
      </w:r>
      <w:r w:rsidR="00AF72D6" w:rsidRPr="00EC2546">
        <w:rPr>
          <w:rFonts w:asciiTheme="minorHAnsi" w:hAnsiTheme="minorHAnsi" w:cstheme="minorHAnsi"/>
          <w:sz w:val="22"/>
          <w:szCs w:val="22"/>
        </w:rPr>
        <w:t>,</w:t>
      </w:r>
    </w:p>
    <w:p w:rsidR="009C2D7D" w:rsidRPr="00EC2546" w:rsidRDefault="003D26F4" w:rsidP="009C2D7D">
      <w:pPr>
        <w:pStyle w:val="Default"/>
        <w:numPr>
          <w:ilvl w:val="0"/>
          <w:numId w:val="9"/>
        </w:numPr>
        <w:rPr>
          <w:rFonts w:ascii="Arial" w:eastAsia="Times New Roman" w:hAnsi="Arial" w:cs="Arial"/>
          <w:color w:val="auto"/>
          <w:lang w:eastAsia="cs-CZ"/>
        </w:rPr>
      </w:pPr>
      <w:r>
        <w:rPr>
          <w:rFonts w:asciiTheme="minorHAnsi" w:hAnsiTheme="minorHAnsi" w:cstheme="minorHAnsi"/>
          <w:color w:val="auto"/>
          <w:sz w:val="22"/>
          <w:szCs w:val="22"/>
        </w:rPr>
        <w:t>Pořízení auta pro JSDH</w:t>
      </w:r>
      <w:r w:rsidR="00C70240" w:rsidRPr="00EC2546">
        <w:rPr>
          <w:rFonts w:asciiTheme="minorHAnsi" w:hAnsiTheme="minorHAnsi" w:cstheme="minorHAnsi"/>
          <w:color w:val="auto"/>
          <w:sz w:val="22"/>
          <w:szCs w:val="22"/>
        </w:rPr>
        <w:t xml:space="preserve"> (</w:t>
      </w:r>
      <w:r>
        <w:rPr>
          <w:rFonts w:asciiTheme="minorHAnsi" w:hAnsiTheme="minorHAnsi" w:cstheme="minorHAnsi"/>
          <w:color w:val="auto"/>
          <w:sz w:val="22"/>
          <w:szCs w:val="22"/>
        </w:rPr>
        <w:t>300</w:t>
      </w:r>
      <w:r w:rsidR="00C70240" w:rsidRPr="00EC2546">
        <w:rPr>
          <w:rFonts w:asciiTheme="minorHAnsi" w:hAnsiTheme="minorHAnsi" w:cstheme="minorHAnsi"/>
          <w:color w:val="auto"/>
          <w:sz w:val="22"/>
          <w:szCs w:val="22"/>
        </w:rPr>
        <w:t xml:space="preserve"> tis. Kč),</w:t>
      </w:r>
    </w:p>
    <w:p w:rsidR="00F92E5F" w:rsidRDefault="00DD3D18" w:rsidP="009C2D7D">
      <w:pPr>
        <w:pStyle w:val="Odstavecseseznamem"/>
        <w:numPr>
          <w:ilvl w:val="0"/>
          <w:numId w:val="9"/>
        </w:numPr>
        <w:ind w:left="714" w:hanging="357"/>
        <w:rPr>
          <w:rFonts w:asciiTheme="minorHAnsi" w:hAnsiTheme="minorHAnsi" w:cstheme="minorHAnsi"/>
          <w:sz w:val="22"/>
          <w:szCs w:val="22"/>
        </w:rPr>
      </w:pPr>
      <w:r w:rsidRPr="00EC2546">
        <w:rPr>
          <w:rFonts w:asciiTheme="minorHAnsi" w:hAnsiTheme="minorHAnsi" w:cstheme="minorHAnsi"/>
          <w:sz w:val="22"/>
          <w:szCs w:val="22"/>
        </w:rPr>
        <w:t>Návštěvnické zázemí v Kolářových sadech (405,5 tis. Kč),</w:t>
      </w:r>
    </w:p>
    <w:p w:rsidR="00EC2546" w:rsidRDefault="003D26F4" w:rsidP="009C2D7D">
      <w:pPr>
        <w:pStyle w:val="Odstavecseseznamem"/>
        <w:numPr>
          <w:ilvl w:val="0"/>
          <w:numId w:val="9"/>
        </w:numPr>
        <w:ind w:left="714" w:hanging="357"/>
        <w:rPr>
          <w:rFonts w:asciiTheme="minorHAnsi" w:hAnsiTheme="minorHAnsi" w:cstheme="minorHAnsi"/>
          <w:sz w:val="22"/>
          <w:szCs w:val="22"/>
        </w:rPr>
      </w:pPr>
      <w:r>
        <w:rPr>
          <w:rFonts w:asciiTheme="minorHAnsi" w:hAnsiTheme="minorHAnsi" w:cstheme="minorHAnsi"/>
          <w:sz w:val="22"/>
          <w:szCs w:val="22"/>
        </w:rPr>
        <w:t>Záznamová zařízení pro MKDS, navýšení kapacity úložiště</w:t>
      </w:r>
      <w:r w:rsidR="00EC2546">
        <w:rPr>
          <w:rFonts w:asciiTheme="minorHAnsi" w:hAnsiTheme="minorHAnsi" w:cstheme="minorHAnsi"/>
          <w:sz w:val="22"/>
          <w:szCs w:val="22"/>
        </w:rPr>
        <w:t xml:space="preserve"> (</w:t>
      </w:r>
      <w:r>
        <w:rPr>
          <w:rFonts w:asciiTheme="minorHAnsi" w:hAnsiTheme="minorHAnsi" w:cstheme="minorHAnsi"/>
          <w:sz w:val="22"/>
          <w:szCs w:val="22"/>
        </w:rPr>
        <w:t>43,9</w:t>
      </w:r>
      <w:r w:rsidR="00EC2546">
        <w:rPr>
          <w:rFonts w:asciiTheme="minorHAnsi" w:hAnsiTheme="minorHAnsi" w:cstheme="minorHAnsi"/>
          <w:sz w:val="22"/>
          <w:szCs w:val="22"/>
        </w:rPr>
        <w:t xml:space="preserve"> tis. Kč),</w:t>
      </w:r>
    </w:p>
    <w:p w:rsidR="00EC2546" w:rsidRPr="00EC2546" w:rsidRDefault="003D26F4" w:rsidP="009C2D7D">
      <w:pPr>
        <w:pStyle w:val="Odstavecseseznamem"/>
        <w:numPr>
          <w:ilvl w:val="0"/>
          <w:numId w:val="9"/>
        </w:numPr>
        <w:ind w:left="714" w:hanging="357"/>
        <w:rPr>
          <w:rFonts w:asciiTheme="minorHAnsi" w:hAnsiTheme="minorHAnsi" w:cstheme="minorHAnsi"/>
          <w:sz w:val="22"/>
          <w:szCs w:val="22"/>
        </w:rPr>
      </w:pPr>
      <w:r>
        <w:rPr>
          <w:rFonts w:asciiTheme="minorHAnsi" w:hAnsiTheme="minorHAnsi" w:cstheme="minorHAnsi"/>
          <w:sz w:val="22"/>
          <w:szCs w:val="22"/>
        </w:rPr>
        <w:t>Výstavba a rekonstrukce tělovýchovných a sportovních zařízení</w:t>
      </w:r>
      <w:r w:rsidR="00EC2546">
        <w:rPr>
          <w:rFonts w:asciiTheme="minorHAnsi" w:hAnsiTheme="minorHAnsi" w:cstheme="minorHAnsi"/>
          <w:sz w:val="22"/>
          <w:szCs w:val="22"/>
        </w:rPr>
        <w:t xml:space="preserve"> (</w:t>
      </w:r>
      <w:r>
        <w:rPr>
          <w:rFonts w:asciiTheme="minorHAnsi" w:hAnsiTheme="minorHAnsi" w:cstheme="minorHAnsi"/>
          <w:sz w:val="22"/>
          <w:szCs w:val="22"/>
        </w:rPr>
        <w:t>1,56 mil. Kč) – konkrétně se jednalo o Rekonstrukci hřiště v areálu SOŠPO ul. Rejskova, Prostějov (230 tis. Kč), Zimní stadion – rekonstrukce šaten (664,33 tis. Kč) a Zimní stadion – výměna kopilitů na východní straně (664,33 tis. Kč).</w:t>
      </w:r>
    </w:p>
    <w:p w:rsidR="00076F1E" w:rsidRDefault="00076F1E" w:rsidP="0024764D">
      <w:pPr>
        <w:pStyle w:val="Nadpis3"/>
        <w:rPr>
          <w:b w:val="0"/>
        </w:rPr>
      </w:pPr>
      <w:bookmarkStart w:id="27" w:name="_Toc39129512"/>
      <w:r w:rsidRPr="00EC2546">
        <w:rPr>
          <w:b w:val="0"/>
        </w:rPr>
        <w:t>Srovnání investičních přijatých transferů v letech 20</w:t>
      </w:r>
      <w:r w:rsidR="003D26F4">
        <w:rPr>
          <w:b w:val="0"/>
        </w:rPr>
        <w:t>20</w:t>
      </w:r>
      <w:r w:rsidR="00AC4945" w:rsidRPr="00EC2546">
        <w:rPr>
          <w:b w:val="0"/>
        </w:rPr>
        <w:t xml:space="preserve"> – 202</w:t>
      </w:r>
      <w:r w:rsidR="003D26F4">
        <w:rPr>
          <w:b w:val="0"/>
        </w:rPr>
        <w:t>2</w:t>
      </w:r>
      <w:r w:rsidRPr="00EC2546">
        <w:rPr>
          <w:b w:val="0"/>
        </w:rPr>
        <w:t xml:space="preserve"> (v Kč)</w:t>
      </w:r>
      <w:bookmarkEnd w:id="27"/>
    </w:p>
    <w:tbl>
      <w:tblPr>
        <w:tblW w:w="9493" w:type="dxa"/>
        <w:tblCellMar>
          <w:left w:w="70" w:type="dxa"/>
          <w:right w:w="70" w:type="dxa"/>
        </w:tblCellMar>
        <w:tblLook w:val="04A0" w:firstRow="1" w:lastRow="0" w:firstColumn="1" w:lastColumn="0" w:noHBand="0" w:noVBand="1"/>
      </w:tblPr>
      <w:tblGrid>
        <w:gridCol w:w="384"/>
        <w:gridCol w:w="465"/>
        <w:gridCol w:w="4816"/>
        <w:gridCol w:w="1276"/>
        <w:gridCol w:w="1276"/>
        <w:gridCol w:w="1276"/>
      </w:tblGrid>
      <w:tr w:rsidR="003D26F4" w:rsidTr="003D26F4">
        <w:trPr>
          <w:trHeight w:val="300"/>
        </w:trPr>
        <w:tc>
          <w:tcPr>
            <w:tcW w:w="5665" w:type="dxa"/>
            <w:gridSpan w:val="3"/>
            <w:tcBorders>
              <w:top w:val="single" w:sz="4" w:space="0" w:color="auto"/>
              <w:left w:val="single" w:sz="4" w:space="0" w:color="auto"/>
              <w:bottom w:val="single" w:sz="4" w:space="0" w:color="auto"/>
              <w:right w:val="single" w:sz="4" w:space="0" w:color="auto"/>
            </w:tcBorders>
            <w:shd w:val="clear" w:color="D6A100" w:fill="FFC000"/>
            <w:noWrap/>
            <w:vAlign w:val="center"/>
            <w:hideMark/>
          </w:tcPr>
          <w:p w:rsidR="003D26F4" w:rsidRDefault="003D26F4">
            <w:pPr>
              <w:jc w:val="center"/>
              <w:rPr>
                <w:rFonts w:ascii="Calibri" w:hAnsi="Calibri" w:cs="Calibri"/>
                <w:color w:val="000000"/>
                <w:sz w:val="16"/>
                <w:szCs w:val="16"/>
              </w:rPr>
            </w:pPr>
            <w:r>
              <w:rPr>
                <w:rFonts w:ascii="Calibri" w:hAnsi="Calibri" w:cs="Calibri"/>
                <w:color w:val="000000"/>
                <w:sz w:val="16"/>
                <w:szCs w:val="16"/>
              </w:rPr>
              <w:t> </w:t>
            </w:r>
          </w:p>
        </w:tc>
        <w:tc>
          <w:tcPr>
            <w:tcW w:w="1276" w:type="dxa"/>
            <w:tcBorders>
              <w:top w:val="single" w:sz="4" w:space="0" w:color="auto"/>
              <w:left w:val="nil"/>
              <w:bottom w:val="single" w:sz="4" w:space="0" w:color="auto"/>
              <w:right w:val="single" w:sz="4" w:space="0" w:color="auto"/>
            </w:tcBorders>
            <w:shd w:val="clear" w:color="D6A100" w:fill="FFC000"/>
            <w:noWrap/>
            <w:vAlign w:val="center"/>
            <w:hideMark/>
          </w:tcPr>
          <w:p w:rsidR="003D26F4" w:rsidRDefault="003D26F4">
            <w:pPr>
              <w:jc w:val="center"/>
              <w:rPr>
                <w:rFonts w:ascii="Calibri" w:hAnsi="Calibri" w:cs="Calibri"/>
                <w:color w:val="000000"/>
                <w:sz w:val="16"/>
                <w:szCs w:val="16"/>
              </w:rPr>
            </w:pPr>
            <w:r>
              <w:rPr>
                <w:rFonts w:ascii="Calibri" w:hAnsi="Calibri" w:cs="Calibri"/>
                <w:color w:val="000000"/>
                <w:sz w:val="16"/>
                <w:szCs w:val="16"/>
              </w:rPr>
              <w:t>2020</w:t>
            </w:r>
          </w:p>
        </w:tc>
        <w:tc>
          <w:tcPr>
            <w:tcW w:w="1276" w:type="dxa"/>
            <w:tcBorders>
              <w:top w:val="single" w:sz="4" w:space="0" w:color="auto"/>
              <w:left w:val="nil"/>
              <w:bottom w:val="single" w:sz="4" w:space="0" w:color="auto"/>
              <w:right w:val="single" w:sz="4" w:space="0" w:color="auto"/>
            </w:tcBorders>
            <w:shd w:val="clear" w:color="D6A100" w:fill="FFC000"/>
            <w:noWrap/>
            <w:vAlign w:val="center"/>
            <w:hideMark/>
          </w:tcPr>
          <w:p w:rsidR="003D26F4" w:rsidRDefault="003D26F4">
            <w:pPr>
              <w:jc w:val="center"/>
              <w:rPr>
                <w:rFonts w:ascii="Calibri" w:hAnsi="Calibri" w:cs="Calibri"/>
                <w:color w:val="000000"/>
                <w:sz w:val="16"/>
                <w:szCs w:val="16"/>
              </w:rPr>
            </w:pPr>
            <w:r>
              <w:rPr>
                <w:rFonts w:ascii="Calibri" w:hAnsi="Calibri" w:cs="Calibri"/>
                <w:color w:val="000000"/>
                <w:sz w:val="16"/>
                <w:szCs w:val="16"/>
              </w:rPr>
              <w:t>2021</w:t>
            </w:r>
          </w:p>
        </w:tc>
        <w:tc>
          <w:tcPr>
            <w:tcW w:w="1276" w:type="dxa"/>
            <w:tcBorders>
              <w:top w:val="single" w:sz="4" w:space="0" w:color="auto"/>
              <w:left w:val="nil"/>
              <w:bottom w:val="single" w:sz="4" w:space="0" w:color="auto"/>
              <w:right w:val="single" w:sz="4" w:space="0" w:color="auto"/>
            </w:tcBorders>
            <w:shd w:val="clear" w:color="D6A100" w:fill="FFC000"/>
            <w:noWrap/>
            <w:vAlign w:val="center"/>
            <w:hideMark/>
          </w:tcPr>
          <w:p w:rsidR="003D26F4" w:rsidRDefault="003D26F4">
            <w:pPr>
              <w:jc w:val="center"/>
              <w:rPr>
                <w:rFonts w:ascii="Calibri" w:hAnsi="Calibri" w:cs="Calibri"/>
                <w:color w:val="000000"/>
                <w:sz w:val="16"/>
                <w:szCs w:val="16"/>
              </w:rPr>
            </w:pPr>
            <w:r>
              <w:rPr>
                <w:rFonts w:ascii="Calibri" w:hAnsi="Calibri" w:cs="Calibri"/>
                <w:color w:val="000000"/>
                <w:sz w:val="16"/>
                <w:szCs w:val="16"/>
              </w:rPr>
              <w:t>2022</w:t>
            </w:r>
          </w:p>
        </w:tc>
      </w:tr>
      <w:tr w:rsidR="003D26F4" w:rsidTr="003D26F4">
        <w:trPr>
          <w:trHeight w:val="300"/>
        </w:trPr>
        <w:tc>
          <w:tcPr>
            <w:tcW w:w="5665" w:type="dxa"/>
            <w:gridSpan w:val="3"/>
            <w:tcBorders>
              <w:top w:val="single" w:sz="4" w:space="0" w:color="auto"/>
              <w:left w:val="single" w:sz="4" w:space="0" w:color="auto"/>
              <w:bottom w:val="single" w:sz="4" w:space="0" w:color="auto"/>
              <w:right w:val="single" w:sz="4" w:space="0" w:color="auto"/>
            </w:tcBorders>
            <w:shd w:val="clear" w:color="FCD5B4" w:fill="FFE699"/>
            <w:noWrap/>
            <w:vAlign w:val="center"/>
            <w:hideMark/>
          </w:tcPr>
          <w:p w:rsidR="003D26F4" w:rsidRDefault="003D26F4">
            <w:pPr>
              <w:rPr>
                <w:rFonts w:ascii="Calibri" w:hAnsi="Calibri" w:cs="Calibri"/>
                <w:b/>
                <w:bCs/>
                <w:color w:val="000000"/>
                <w:sz w:val="16"/>
                <w:szCs w:val="16"/>
              </w:rPr>
            </w:pPr>
            <w:r>
              <w:rPr>
                <w:rFonts w:ascii="Calibri" w:hAnsi="Calibri" w:cs="Calibri"/>
                <w:b/>
                <w:bCs/>
                <w:color w:val="000000"/>
                <w:sz w:val="16"/>
                <w:szCs w:val="16"/>
              </w:rPr>
              <w:t>Investiční přijaté transfery</w:t>
            </w:r>
          </w:p>
        </w:tc>
        <w:tc>
          <w:tcPr>
            <w:tcW w:w="1276" w:type="dxa"/>
            <w:tcBorders>
              <w:top w:val="nil"/>
              <w:left w:val="nil"/>
              <w:bottom w:val="single" w:sz="4" w:space="0" w:color="auto"/>
              <w:right w:val="single" w:sz="4" w:space="0" w:color="auto"/>
            </w:tcBorders>
            <w:shd w:val="clear" w:color="FCD5B4" w:fill="FFE699"/>
            <w:noWrap/>
            <w:vAlign w:val="center"/>
            <w:hideMark/>
          </w:tcPr>
          <w:p w:rsidR="003D26F4" w:rsidRDefault="003D26F4">
            <w:pPr>
              <w:jc w:val="right"/>
              <w:rPr>
                <w:rFonts w:ascii="Calibri" w:hAnsi="Calibri" w:cs="Calibri"/>
                <w:b/>
                <w:bCs/>
                <w:color w:val="000000"/>
                <w:sz w:val="16"/>
                <w:szCs w:val="16"/>
              </w:rPr>
            </w:pPr>
            <w:r>
              <w:rPr>
                <w:rFonts w:ascii="Calibri" w:hAnsi="Calibri" w:cs="Calibri"/>
                <w:b/>
                <w:bCs/>
                <w:color w:val="000000"/>
                <w:sz w:val="16"/>
                <w:szCs w:val="16"/>
              </w:rPr>
              <w:t>99 380 742,60</w:t>
            </w:r>
          </w:p>
        </w:tc>
        <w:tc>
          <w:tcPr>
            <w:tcW w:w="1276" w:type="dxa"/>
            <w:tcBorders>
              <w:top w:val="nil"/>
              <w:left w:val="nil"/>
              <w:bottom w:val="single" w:sz="4" w:space="0" w:color="auto"/>
              <w:right w:val="single" w:sz="4" w:space="0" w:color="auto"/>
            </w:tcBorders>
            <w:shd w:val="clear" w:color="FCD5B4" w:fill="FFE699"/>
            <w:noWrap/>
            <w:vAlign w:val="center"/>
            <w:hideMark/>
          </w:tcPr>
          <w:p w:rsidR="003D26F4" w:rsidRDefault="003D26F4">
            <w:pPr>
              <w:jc w:val="right"/>
              <w:rPr>
                <w:rFonts w:ascii="Calibri" w:hAnsi="Calibri" w:cs="Calibri"/>
                <w:b/>
                <w:bCs/>
                <w:color w:val="000000"/>
                <w:sz w:val="16"/>
                <w:szCs w:val="16"/>
              </w:rPr>
            </w:pPr>
            <w:r>
              <w:rPr>
                <w:rFonts w:ascii="Calibri" w:hAnsi="Calibri" w:cs="Calibri"/>
                <w:b/>
                <w:bCs/>
                <w:color w:val="000000"/>
                <w:sz w:val="16"/>
                <w:szCs w:val="16"/>
              </w:rPr>
              <w:t>24 849 040,35</w:t>
            </w:r>
          </w:p>
        </w:tc>
        <w:tc>
          <w:tcPr>
            <w:tcW w:w="1276" w:type="dxa"/>
            <w:tcBorders>
              <w:top w:val="nil"/>
              <w:left w:val="nil"/>
              <w:bottom w:val="single" w:sz="4" w:space="0" w:color="auto"/>
              <w:right w:val="single" w:sz="4" w:space="0" w:color="auto"/>
            </w:tcBorders>
            <w:shd w:val="clear" w:color="FCD5B4" w:fill="FFE699"/>
            <w:noWrap/>
            <w:vAlign w:val="center"/>
            <w:hideMark/>
          </w:tcPr>
          <w:p w:rsidR="003D26F4" w:rsidRDefault="003D26F4">
            <w:pPr>
              <w:jc w:val="right"/>
              <w:rPr>
                <w:rFonts w:ascii="Calibri" w:hAnsi="Calibri" w:cs="Calibri"/>
                <w:b/>
                <w:bCs/>
                <w:color w:val="000000"/>
                <w:sz w:val="16"/>
                <w:szCs w:val="16"/>
              </w:rPr>
            </w:pPr>
            <w:r>
              <w:rPr>
                <w:rFonts w:ascii="Calibri" w:hAnsi="Calibri" w:cs="Calibri"/>
                <w:b/>
                <w:bCs/>
                <w:color w:val="000000"/>
                <w:sz w:val="16"/>
                <w:szCs w:val="16"/>
              </w:rPr>
              <w:t>4 913 140,87</w:t>
            </w:r>
          </w:p>
        </w:tc>
      </w:tr>
      <w:tr w:rsidR="003D26F4" w:rsidTr="003D26F4">
        <w:trPr>
          <w:trHeight w:val="300"/>
        </w:trPr>
        <w:tc>
          <w:tcPr>
            <w:tcW w:w="384" w:type="dxa"/>
            <w:tcBorders>
              <w:top w:val="nil"/>
              <w:left w:val="single" w:sz="4" w:space="0" w:color="auto"/>
              <w:bottom w:val="single" w:sz="4" w:space="0" w:color="auto"/>
              <w:right w:val="single" w:sz="4" w:space="0" w:color="auto"/>
            </w:tcBorders>
            <w:shd w:val="clear" w:color="FDE9D9" w:fill="FFF2CC"/>
            <w:noWrap/>
            <w:vAlign w:val="center"/>
            <w:hideMark/>
          </w:tcPr>
          <w:p w:rsidR="003D26F4" w:rsidRDefault="003D26F4">
            <w:pPr>
              <w:jc w:val="right"/>
              <w:rPr>
                <w:rFonts w:ascii="Calibri" w:hAnsi="Calibri" w:cs="Calibri"/>
                <w:color w:val="000000"/>
                <w:sz w:val="16"/>
                <w:szCs w:val="16"/>
              </w:rPr>
            </w:pPr>
            <w:r>
              <w:rPr>
                <w:rFonts w:ascii="Calibri" w:hAnsi="Calibri" w:cs="Calibri"/>
                <w:color w:val="000000"/>
                <w:sz w:val="16"/>
                <w:szCs w:val="16"/>
              </w:rPr>
              <w:t>421</w:t>
            </w:r>
          </w:p>
        </w:tc>
        <w:tc>
          <w:tcPr>
            <w:tcW w:w="5281" w:type="dxa"/>
            <w:gridSpan w:val="2"/>
            <w:tcBorders>
              <w:top w:val="single" w:sz="4" w:space="0" w:color="auto"/>
              <w:left w:val="nil"/>
              <w:bottom w:val="single" w:sz="4" w:space="0" w:color="auto"/>
              <w:right w:val="single" w:sz="4" w:space="0" w:color="auto"/>
            </w:tcBorders>
            <w:shd w:val="clear" w:color="FDE9D9" w:fill="FFF2CC"/>
            <w:noWrap/>
            <w:vAlign w:val="center"/>
            <w:hideMark/>
          </w:tcPr>
          <w:p w:rsidR="003D26F4" w:rsidRDefault="003D26F4">
            <w:pPr>
              <w:rPr>
                <w:rFonts w:ascii="Calibri" w:hAnsi="Calibri" w:cs="Calibri"/>
                <w:color w:val="000000"/>
                <w:sz w:val="16"/>
                <w:szCs w:val="16"/>
              </w:rPr>
            </w:pPr>
            <w:r>
              <w:rPr>
                <w:rFonts w:ascii="Calibri" w:hAnsi="Calibri" w:cs="Calibri"/>
                <w:color w:val="000000"/>
                <w:sz w:val="16"/>
                <w:szCs w:val="16"/>
              </w:rPr>
              <w:t>Investiční přijaté transfery od veřejných rozpočtů ústřední úrovně</w:t>
            </w:r>
          </w:p>
        </w:tc>
        <w:tc>
          <w:tcPr>
            <w:tcW w:w="1276" w:type="dxa"/>
            <w:tcBorders>
              <w:top w:val="nil"/>
              <w:left w:val="nil"/>
              <w:bottom w:val="single" w:sz="4" w:space="0" w:color="auto"/>
              <w:right w:val="single" w:sz="4" w:space="0" w:color="auto"/>
            </w:tcBorders>
            <w:shd w:val="clear" w:color="FDE9D9" w:fill="FFF2CC"/>
            <w:noWrap/>
            <w:vAlign w:val="center"/>
            <w:hideMark/>
          </w:tcPr>
          <w:p w:rsidR="003D26F4" w:rsidRDefault="003D26F4">
            <w:pPr>
              <w:jc w:val="right"/>
              <w:rPr>
                <w:rFonts w:ascii="Calibri" w:hAnsi="Calibri" w:cs="Calibri"/>
                <w:color w:val="000000"/>
                <w:sz w:val="16"/>
                <w:szCs w:val="16"/>
              </w:rPr>
            </w:pPr>
            <w:r>
              <w:rPr>
                <w:rFonts w:ascii="Calibri" w:hAnsi="Calibri" w:cs="Calibri"/>
                <w:color w:val="000000"/>
                <w:sz w:val="16"/>
                <w:szCs w:val="16"/>
              </w:rPr>
              <w:t>89 562 390,73</w:t>
            </w:r>
          </w:p>
        </w:tc>
        <w:tc>
          <w:tcPr>
            <w:tcW w:w="1276" w:type="dxa"/>
            <w:tcBorders>
              <w:top w:val="nil"/>
              <w:left w:val="nil"/>
              <w:bottom w:val="single" w:sz="4" w:space="0" w:color="auto"/>
              <w:right w:val="single" w:sz="4" w:space="0" w:color="auto"/>
            </w:tcBorders>
            <w:shd w:val="clear" w:color="FDE9D9" w:fill="FFF2CC"/>
            <w:noWrap/>
            <w:vAlign w:val="center"/>
            <w:hideMark/>
          </w:tcPr>
          <w:p w:rsidR="003D26F4" w:rsidRDefault="003D26F4">
            <w:pPr>
              <w:jc w:val="right"/>
              <w:rPr>
                <w:rFonts w:ascii="Calibri" w:hAnsi="Calibri" w:cs="Calibri"/>
                <w:color w:val="000000"/>
                <w:sz w:val="16"/>
                <w:szCs w:val="16"/>
              </w:rPr>
            </w:pPr>
            <w:r>
              <w:rPr>
                <w:rFonts w:ascii="Calibri" w:hAnsi="Calibri" w:cs="Calibri"/>
                <w:color w:val="000000"/>
                <w:sz w:val="16"/>
                <w:szCs w:val="16"/>
              </w:rPr>
              <w:t>22 546 284,89</w:t>
            </w:r>
          </w:p>
        </w:tc>
        <w:tc>
          <w:tcPr>
            <w:tcW w:w="1276" w:type="dxa"/>
            <w:tcBorders>
              <w:top w:val="nil"/>
              <w:left w:val="nil"/>
              <w:bottom w:val="single" w:sz="4" w:space="0" w:color="auto"/>
              <w:right w:val="single" w:sz="4" w:space="0" w:color="auto"/>
            </w:tcBorders>
            <w:shd w:val="clear" w:color="FDE9D9" w:fill="FFF2CC"/>
            <w:noWrap/>
            <w:vAlign w:val="center"/>
            <w:hideMark/>
          </w:tcPr>
          <w:p w:rsidR="003D26F4" w:rsidRDefault="003D26F4">
            <w:pPr>
              <w:jc w:val="right"/>
              <w:rPr>
                <w:rFonts w:ascii="Calibri" w:hAnsi="Calibri" w:cs="Calibri"/>
                <w:color w:val="000000"/>
                <w:sz w:val="16"/>
                <w:szCs w:val="16"/>
              </w:rPr>
            </w:pPr>
            <w:r>
              <w:rPr>
                <w:rFonts w:ascii="Calibri" w:hAnsi="Calibri" w:cs="Calibri"/>
                <w:color w:val="000000"/>
                <w:sz w:val="16"/>
                <w:szCs w:val="16"/>
              </w:rPr>
              <w:t>2 996 574,87</w:t>
            </w:r>
          </w:p>
        </w:tc>
      </w:tr>
      <w:tr w:rsidR="003D26F4" w:rsidTr="003D26F4">
        <w:trPr>
          <w:trHeight w:val="300"/>
        </w:trPr>
        <w:tc>
          <w:tcPr>
            <w:tcW w:w="384" w:type="dxa"/>
            <w:vMerge w:val="restart"/>
            <w:tcBorders>
              <w:top w:val="nil"/>
              <w:left w:val="single" w:sz="4" w:space="0" w:color="auto"/>
              <w:bottom w:val="nil"/>
              <w:right w:val="single" w:sz="4" w:space="0" w:color="auto"/>
            </w:tcBorders>
            <w:shd w:val="clear" w:color="auto" w:fill="auto"/>
            <w:noWrap/>
            <w:vAlign w:val="center"/>
            <w:hideMark/>
          </w:tcPr>
          <w:p w:rsidR="003D26F4" w:rsidRDefault="003D26F4">
            <w:pPr>
              <w:jc w:val="center"/>
              <w:rPr>
                <w:rFonts w:ascii="Calibri" w:hAnsi="Calibri" w:cs="Calibri"/>
                <w:color w:val="000000"/>
                <w:sz w:val="16"/>
                <w:szCs w:val="16"/>
              </w:rPr>
            </w:pPr>
            <w:r>
              <w:rPr>
                <w:rFonts w:ascii="Calibri" w:hAnsi="Calibri" w:cs="Calibri"/>
                <w:color w:val="000000"/>
                <w:sz w:val="16"/>
                <w:szCs w:val="16"/>
              </w:rPr>
              <w:t> </w:t>
            </w:r>
          </w:p>
        </w:tc>
        <w:tc>
          <w:tcPr>
            <w:tcW w:w="465" w:type="dxa"/>
            <w:tcBorders>
              <w:top w:val="nil"/>
              <w:left w:val="nil"/>
              <w:bottom w:val="single" w:sz="4" w:space="0" w:color="auto"/>
              <w:right w:val="single" w:sz="4" w:space="0" w:color="auto"/>
            </w:tcBorders>
            <w:shd w:val="clear" w:color="auto" w:fill="auto"/>
            <w:noWrap/>
            <w:vAlign w:val="center"/>
            <w:hideMark/>
          </w:tcPr>
          <w:p w:rsidR="003D26F4" w:rsidRDefault="003D26F4">
            <w:pPr>
              <w:jc w:val="right"/>
              <w:rPr>
                <w:rFonts w:ascii="Calibri" w:hAnsi="Calibri" w:cs="Calibri"/>
                <w:color w:val="000000"/>
                <w:sz w:val="16"/>
                <w:szCs w:val="16"/>
              </w:rPr>
            </w:pPr>
            <w:r>
              <w:rPr>
                <w:rFonts w:ascii="Calibri" w:hAnsi="Calibri" w:cs="Calibri"/>
                <w:color w:val="000000"/>
                <w:sz w:val="16"/>
                <w:szCs w:val="16"/>
              </w:rPr>
              <w:t>4213</w:t>
            </w:r>
          </w:p>
        </w:tc>
        <w:tc>
          <w:tcPr>
            <w:tcW w:w="4816" w:type="dxa"/>
            <w:tcBorders>
              <w:top w:val="nil"/>
              <w:left w:val="nil"/>
              <w:bottom w:val="single" w:sz="4" w:space="0" w:color="auto"/>
              <w:right w:val="single" w:sz="4" w:space="0" w:color="auto"/>
            </w:tcBorders>
            <w:shd w:val="clear" w:color="auto" w:fill="auto"/>
            <w:noWrap/>
            <w:vAlign w:val="center"/>
            <w:hideMark/>
          </w:tcPr>
          <w:p w:rsidR="003D26F4" w:rsidRDefault="003D26F4">
            <w:pPr>
              <w:rPr>
                <w:rFonts w:ascii="Calibri" w:hAnsi="Calibri" w:cs="Calibri"/>
                <w:color w:val="000000"/>
                <w:sz w:val="16"/>
                <w:szCs w:val="16"/>
              </w:rPr>
            </w:pPr>
            <w:r>
              <w:rPr>
                <w:rFonts w:ascii="Calibri" w:hAnsi="Calibri" w:cs="Calibri"/>
                <w:color w:val="000000"/>
                <w:sz w:val="16"/>
                <w:szCs w:val="16"/>
              </w:rPr>
              <w:t>Investiční přijaté transfery ze státních fondů</w:t>
            </w:r>
          </w:p>
        </w:tc>
        <w:tc>
          <w:tcPr>
            <w:tcW w:w="1276" w:type="dxa"/>
            <w:tcBorders>
              <w:top w:val="nil"/>
              <w:left w:val="nil"/>
              <w:bottom w:val="single" w:sz="4" w:space="0" w:color="auto"/>
              <w:right w:val="single" w:sz="4" w:space="0" w:color="auto"/>
            </w:tcBorders>
            <w:shd w:val="clear" w:color="auto" w:fill="auto"/>
            <w:noWrap/>
            <w:vAlign w:val="center"/>
            <w:hideMark/>
          </w:tcPr>
          <w:p w:rsidR="003D26F4" w:rsidRDefault="003D26F4">
            <w:pPr>
              <w:jc w:val="right"/>
              <w:rPr>
                <w:rFonts w:ascii="Calibri" w:hAnsi="Calibri" w:cs="Calibri"/>
                <w:color w:val="000000"/>
                <w:sz w:val="16"/>
                <w:szCs w:val="16"/>
              </w:rPr>
            </w:pPr>
            <w:r>
              <w:rPr>
                <w:rFonts w:ascii="Calibri" w:hAnsi="Calibri" w:cs="Calibri"/>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D26F4" w:rsidRDefault="003D26F4">
            <w:pPr>
              <w:jc w:val="right"/>
              <w:rPr>
                <w:rFonts w:ascii="Calibri" w:hAnsi="Calibri" w:cs="Calibri"/>
                <w:color w:val="000000"/>
                <w:sz w:val="16"/>
                <w:szCs w:val="16"/>
              </w:rPr>
            </w:pPr>
            <w:r>
              <w:rPr>
                <w:rFonts w:ascii="Calibri" w:hAnsi="Calibri" w:cs="Calibri"/>
                <w:color w:val="000000"/>
                <w:sz w:val="16"/>
                <w:szCs w:val="16"/>
              </w:rPr>
              <w:t>10 109 876,74</w:t>
            </w:r>
          </w:p>
        </w:tc>
        <w:tc>
          <w:tcPr>
            <w:tcW w:w="1276" w:type="dxa"/>
            <w:tcBorders>
              <w:top w:val="nil"/>
              <w:left w:val="nil"/>
              <w:bottom w:val="single" w:sz="4" w:space="0" w:color="auto"/>
              <w:right w:val="single" w:sz="4" w:space="0" w:color="auto"/>
            </w:tcBorders>
            <w:shd w:val="clear" w:color="auto" w:fill="auto"/>
            <w:noWrap/>
            <w:vAlign w:val="center"/>
            <w:hideMark/>
          </w:tcPr>
          <w:p w:rsidR="003D26F4" w:rsidRDefault="003D26F4">
            <w:pPr>
              <w:jc w:val="right"/>
              <w:rPr>
                <w:rFonts w:ascii="Calibri" w:hAnsi="Calibri" w:cs="Calibri"/>
                <w:color w:val="000000"/>
                <w:sz w:val="16"/>
                <w:szCs w:val="16"/>
              </w:rPr>
            </w:pPr>
            <w:r>
              <w:rPr>
                <w:rFonts w:ascii="Calibri" w:hAnsi="Calibri" w:cs="Calibri"/>
                <w:color w:val="000000"/>
                <w:sz w:val="16"/>
                <w:szCs w:val="16"/>
              </w:rPr>
              <w:t>0,00</w:t>
            </w:r>
          </w:p>
        </w:tc>
      </w:tr>
      <w:tr w:rsidR="003D26F4" w:rsidTr="003D26F4">
        <w:trPr>
          <w:trHeight w:val="300"/>
        </w:trPr>
        <w:tc>
          <w:tcPr>
            <w:tcW w:w="384" w:type="dxa"/>
            <w:vMerge/>
            <w:tcBorders>
              <w:top w:val="nil"/>
              <w:left w:val="single" w:sz="4" w:space="0" w:color="auto"/>
              <w:bottom w:val="nil"/>
              <w:right w:val="single" w:sz="4" w:space="0" w:color="auto"/>
            </w:tcBorders>
            <w:vAlign w:val="center"/>
            <w:hideMark/>
          </w:tcPr>
          <w:p w:rsidR="003D26F4" w:rsidRDefault="003D26F4">
            <w:pPr>
              <w:rPr>
                <w:rFonts w:ascii="Calibri" w:hAnsi="Calibri" w:cs="Calibri"/>
                <w:color w:val="000000"/>
                <w:sz w:val="16"/>
                <w:szCs w:val="16"/>
              </w:rPr>
            </w:pPr>
          </w:p>
        </w:tc>
        <w:tc>
          <w:tcPr>
            <w:tcW w:w="465" w:type="dxa"/>
            <w:tcBorders>
              <w:top w:val="nil"/>
              <w:left w:val="nil"/>
              <w:bottom w:val="single" w:sz="4" w:space="0" w:color="auto"/>
              <w:right w:val="single" w:sz="4" w:space="0" w:color="auto"/>
            </w:tcBorders>
            <w:shd w:val="clear" w:color="auto" w:fill="auto"/>
            <w:noWrap/>
            <w:vAlign w:val="center"/>
            <w:hideMark/>
          </w:tcPr>
          <w:p w:rsidR="003D26F4" w:rsidRDefault="003D26F4">
            <w:pPr>
              <w:jc w:val="right"/>
              <w:rPr>
                <w:rFonts w:ascii="Calibri" w:hAnsi="Calibri" w:cs="Calibri"/>
                <w:color w:val="000000"/>
                <w:sz w:val="16"/>
                <w:szCs w:val="16"/>
              </w:rPr>
            </w:pPr>
            <w:r>
              <w:rPr>
                <w:rFonts w:ascii="Calibri" w:hAnsi="Calibri" w:cs="Calibri"/>
                <w:color w:val="000000"/>
                <w:sz w:val="16"/>
                <w:szCs w:val="16"/>
              </w:rPr>
              <w:t>4216</w:t>
            </w:r>
          </w:p>
        </w:tc>
        <w:tc>
          <w:tcPr>
            <w:tcW w:w="4816" w:type="dxa"/>
            <w:tcBorders>
              <w:top w:val="nil"/>
              <w:left w:val="nil"/>
              <w:bottom w:val="single" w:sz="4" w:space="0" w:color="auto"/>
              <w:right w:val="single" w:sz="4" w:space="0" w:color="auto"/>
            </w:tcBorders>
            <w:shd w:val="clear" w:color="auto" w:fill="auto"/>
            <w:noWrap/>
            <w:vAlign w:val="center"/>
            <w:hideMark/>
          </w:tcPr>
          <w:p w:rsidR="003D26F4" w:rsidRDefault="003D26F4">
            <w:pPr>
              <w:rPr>
                <w:rFonts w:ascii="Calibri" w:hAnsi="Calibri" w:cs="Calibri"/>
                <w:color w:val="000000"/>
                <w:sz w:val="16"/>
                <w:szCs w:val="16"/>
              </w:rPr>
            </w:pPr>
            <w:r>
              <w:rPr>
                <w:rFonts w:ascii="Calibri" w:hAnsi="Calibri" w:cs="Calibri"/>
                <w:color w:val="000000"/>
                <w:sz w:val="16"/>
                <w:szCs w:val="16"/>
              </w:rPr>
              <w:t>Ostatní investiční transfery ze státního rozpočtu</w:t>
            </w:r>
          </w:p>
        </w:tc>
        <w:tc>
          <w:tcPr>
            <w:tcW w:w="1276" w:type="dxa"/>
            <w:tcBorders>
              <w:top w:val="nil"/>
              <w:left w:val="nil"/>
              <w:bottom w:val="single" w:sz="4" w:space="0" w:color="auto"/>
              <w:right w:val="single" w:sz="4" w:space="0" w:color="auto"/>
            </w:tcBorders>
            <w:shd w:val="clear" w:color="auto" w:fill="auto"/>
            <w:noWrap/>
            <w:vAlign w:val="center"/>
            <w:hideMark/>
          </w:tcPr>
          <w:p w:rsidR="003D26F4" w:rsidRDefault="003D26F4">
            <w:pPr>
              <w:jc w:val="right"/>
              <w:rPr>
                <w:rFonts w:ascii="Calibri" w:hAnsi="Calibri" w:cs="Calibri"/>
                <w:color w:val="000000"/>
                <w:sz w:val="16"/>
                <w:szCs w:val="16"/>
              </w:rPr>
            </w:pPr>
            <w:r>
              <w:rPr>
                <w:rFonts w:ascii="Calibri" w:hAnsi="Calibri" w:cs="Calibri"/>
                <w:color w:val="000000"/>
                <w:sz w:val="16"/>
                <w:szCs w:val="16"/>
              </w:rPr>
              <w:t>89 562 390,73</w:t>
            </w:r>
          </w:p>
        </w:tc>
        <w:tc>
          <w:tcPr>
            <w:tcW w:w="1276" w:type="dxa"/>
            <w:tcBorders>
              <w:top w:val="nil"/>
              <w:left w:val="nil"/>
              <w:bottom w:val="single" w:sz="4" w:space="0" w:color="auto"/>
              <w:right w:val="single" w:sz="4" w:space="0" w:color="auto"/>
            </w:tcBorders>
            <w:shd w:val="clear" w:color="auto" w:fill="auto"/>
            <w:noWrap/>
            <w:vAlign w:val="center"/>
            <w:hideMark/>
          </w:tcPr>
          <w:p w:rsidR="003D26F4" w:rsidRDefault="003D26F4">
            <w:pPr>
              <w:jc w:val="right"/>
              <w:rPr>
                <w:rFonts w:ascii="Calibri" w:hAnsi="Calibri" w:cs="Calibri"/>
                <w:color w:val="000000"/>
                <w:sz w:val="16"/>
                <w:szCs w:val="16"/>
              </w:rPr>
            </w:pPr>
            <w:r>
              <w:rPr>
                <w:rFonts w:ascii="Calibri" w:hAnsi="Calibri" w:cs="Calibri"/>
                <w:color w:val="000000"/>
                <w:sz w:val="16"/>
                <w:szCs w:val="16"/>
              </w:rPr>
              <w:t>12 436 408,15</w:t>
            </w:r>
          </w:p>
        </w:tc>
        <w:tc>
          <w:tcPr>
            <w:tcW w:w="1276" w:type="dxa"/>
            <w:tcBorders>
              <w:top w:val="nil"/>
              <w:left w:val="nil"/>
              <w:bottom w:val="single" w:sz="4" w:space="0" w:color="auto"/>
              <w:right w:val="single" w:sz="4" w:space="0" w:color="auto"/>
            </w:tcBorders>
            <w:shd w:val="clear" w:color="auto" w:fill="auto"/>
            <w:noWrap/>
            <w:vAlign w:val="center"/>
            <w:hideMark/>
          </w:tcPr>
          <w:p w:rsidR="003D26F4" w:rsidRDefault="003D26F4">
            <w:pPr>
              <w:jc w:val="right"/>
              <w:rPr>
                <w:rFonts w:ascii="Calibri" w:hAnsi="Calibri" w:cs="Calibri"/>
                <w:color w:val="000000"/>
                <w:sz w:val="16"/>
                <w:szCs w:val="16"/>
              </w:rPr>
            </w:pPr>
            <w:r>
              <w:rPr>
                <w:rFonts w:ascii="Calibri" w:hAnsi="Calibri" w:cs="Calibri"/>
                <w:color w:val="000000"/>
                <w:sz w:val="16"/>
                <w:szCs w:val="16"/>
              </w:rPr>
              <w:t>2 996 574,87</w:t>
            </w:r>
          </w:p>
        </w:tc>
      </w:tr>
      <w:tr w:rsidR="003D26F4" w:rsidTr="003D26F4">
        <w:trPr>
          <w:trHeight w:val="300"/>
        </w:trPr>
        <w:tc>
          <w:tcPr>
            <w:tcW w:w="384" w:type="dxa"/>
            <w:tcBorders>
              <w:top w:val="single" w:sz="4" w:space="0" w:color="auto"/>
              <w:left w:val="single" w:sz="4" w:space="0" w:color="auto"/>
              <w:bottom w:val="single" w:sz="4" w:space="0" w:color="auto"/>
              <w:right w:val="single" w:sz="4" w:space="0" w:color="auto"/>
            </w:tcBorders>
            <w:shd w:val="clear" w:color="FDE9D9" w:fill="FFF2CC"/>
            <w:noWrap/>
            <w:vAlign w:val="center"/>
            <w:hideMark/>
          </w:tcPr>
          <w:p w:rsidR="003D26F4" w:rsidRDefault="003D26F4">
            <w:pPr>
              <w:jc w:val="right"/>
              <w:rPr>
                <w:rFonts w:ascii="Calibri" w:hAnsi="Calibri" w:cs="Calibri"/>
                <w:color w:val="000000"/>
                <w:sz w:val="16"/>
                <w:szCs w:val="16"/>
              </w:rPr>
            </w:pPr>
            <w:r>
              <w:rPr>
                <w:rFonts w:ascii="Calibri" w:hAnsi="Calibri" w:cs="Calibri"/>
                <w:color w:val="000000"/>
                <w:sz w:val="16"/>
                <w:szCs w:val="16"/>
              </w:rPr>
              <w:t>422</w:t>
            </w:r>
          </w:p>
        </w:tc>
        <w:tc>
          <w:tcPr>
            <w:tcW w:w="5281" w:type="dxa"/>
            <w:gridSpan w:val="2"/>
            <w:tcBorders>
              <w:top w:val="single" w:sz="4" w:space="0" w:color="auto"/>
              <w:left w:val="nil"/>
              <w:bottom w:val="single" w:sz="4" w:space="0" w:color="auto"/>
              <w:right w:val="single" w:sz="4" w:space="0" w:color="auto"/>
            </w:tcBorders>
            <w:shd w:val="clear" w:color="FDE9D9" w:fill="FFF2CC"/>
            <w:noWrap/>
            <w:vAlign w:val="center"/>
            <w:hideMark/>
          </w:tcPr>
          <w:p w:rsidR="003D26F4" w:rsidRDefault="003D26F4">
            <w:pPr>
              <w:rPr>
                <w:rFonts w:ascii="Calibri" w:hAnsi="Calibri" w:cs="Calibri"/>
                <w:color w:val="000000"/>
                <w:sz w:val="16"/>
                <w:szCs w:val="16"/>
              </w:rPr>
            </w:pPr>
            <w:r>
              <w:rPr>
                <w:rFonts w:ascii="Calibri" w:hAnsi="Calibri" w:cs="Calibri"/>
                <w:color w:val="000000"/>
                <w:sz w:val="16"/>
                <w:szCs w:val="16"/>
              </w:rPr>
              <w:t>Investiční přijaté transfery od veřejných rozpočtů územní úrovně</w:t>
            </w:r>
          </w:p>
        </w:tc>
        <w:tc>
          <w:tcPr>
            <w:tcW w:w="1276" w:type="dxa"/>
            <w:tcBorders>
              <w:top w:val="nil"/>
              <w:left w:val="nil"/>
              <w:bottom w:val="single" w:sz="4" w:space="0" w:color="auto"/>
              <w:right w:val="single" w:sz="4" w:space="0" w:color="auto"/>
            </w:tcBorders>
            <w:shd w:val="clear" w:color="FDE9D9" w:fill="FFF2CC"/>
            <w:noWrap/>
            <w:vAlign w:val="center"/>
            <w:hideMark/>
          </w:tcPr>
          <w:p w:rsidR="003D26F4" w:rsidRDefault="003D26F4">
            <w:pPr>
              <w:jc w:val="right"/>
              <w:rPr>
                <w:rFonts w:ascii="Calibri" w:hAnsi="Calibri" w:cs="Calibri"/>
                <w:color w:val="000000"/>
                <w:sz w:val="16"/>
                <w:szCs w:val="16"/>
              </w:rPr>
            </w:pPr>
            <w:r>
              <w:rPr>
                <w:rFonts w:ascii="Calibri" w:hAnsi="Calibri" w:cs="Calibri"/>
                <w:color w:val="000000"/>
                <w:sz w:val="16"/>
                <w:szCs w:val="16"/>
              </w:rPr>
              <w:t>9 818 351,87</w:t>
            </w:r>
          </w:p>
        </w:tc>
        <w:tc>
          <w:tcPr>
            <w:tcW w:w="1276" w:type="dxa"/>
            <w:tcBorders>
              <w:top w:val="nil"/>
              <w:left w:val="nil"/>
              <w:bottom w:val="single" w:sz="4" w:space="0" w:color="auto"/>
              <w:right w:val="single" w:sz="4" w:space="0" w:color="auto"/>
            </w:tcBorders>
            <w:shd w:val="clear" w:color="FDE9D9" w:fill="FFF2CC"/>
            <w:noWrap/>
            <w:vAlign w:val="center"/>
            <w:hideMark/>
          </w:tcPr>
          <w:p w:rsidR="003D26F4" w:rsidRDefault="003D26F4">
            <w:pPr>
              <w:jc w:val="right"/>
              <w:rPr>
                <w:rFonts w:ascii="Calibri" w:hAnsi="Calibri" w:cs="Calibri"/>
                <w:color w:val="000000"/>
                <w:sz w:val="16"/>
                <w:szCs w:val="16"/>
              </w:rPr>
            </w:pPr>
            <w:r>
              <w:rPr>
                <w:rFonts w:ascii="Calibri" w:hAnsi="Calibri" w:cs="Calibri"/>
                <w:color w:val="000000"/>
                <w:sz w:val="16"/>
                <w:szCs w:val="16"/>
              </w:rPr>
              <w:t>2 302 755,46</w:t>
            </w:r>
          </w:p>
        </w:tc>
        <w:tc>
          <w:tcPr>
            <w:tcW w:w="1276" w:type="dxa"/>
            <w:tcBorders>
              <w:top w:val="nil"/>
              <w:left w:val="nil"/>
              <w:bottom w:val="single" w:sz="4" w:space="0" w:color="auto"/>
              <w:right w:val="single" w:sz="4" w:space="0" w:color="auto"/>
            </w:tcBorders>
            <w:shd w:val="clear" w:color="FDE9D9" w:fill="FFF2CC"/>
            <w:noWrap/>
            <w:vAlign w:val="center"/>
            <w:hideMark/>
          </w:tcPr>
          <w:p w:rsidR="003D26F4" w:rsidRDefault="003D26F4">
            <w:pPr>
              <w:jc w:val="right"/>
              <w:rPr>
                <w:rFonts w:ascii="Calibri" w:hAnsi="Calibri" w:cs="Calibri"/>
                <w:color w:val="000000"/>
                <w:sz w:val="16"/>
                <w:szCs w:val="16"/>
              </w:rPr>
            </w:pPr>
            <w:r>
              <w:rPr>
                <w:rFonts w:ascii="Calibri" w:hAnsi="Calibri" w:cs="Calibri"/>
                <w:color w:val="000000"/>
                <w:sz w:val="16"/>
                <w:szCs w:val="16"/>
              </w:rPr>
              <w:t>1 916 566,00</w:t>
            </w:r>
          </w:p>
        </w:tc>
      </w:tr>
      <w:tr w:rsidR="003D26F4" w:rsidTr="003D26F4">
        <w:trPr>
          <w:trHeight w:val="300"/>
        </w:trPr>
        <w:tc>
          <w:tcPr>
            <w:tcW w:w="3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D26F4" w:rsidRDefault="003D26F4">
            <w:pPr>
              <w:jc w:val="center"/>
              <w:rPr>
                <w:rFonts w:ascii="Calibri" w:hAnsi="Calibri" w:cs="Calibri"/>
                <w:color w:val="000000"/>
                <w:sz w:val="16"/>
                <w:szCs w:val="16"/>
              </w:rPr>
            </w:pPr>
            <w:r>
              <w:rPr>
                <w:rFonts w:ascii="Calibri" w:hAnsi="Calibri" w:cs="Calibri"/>
                <w:color w:val="000000"/>
                <w:sz w:val="16"/>
                <w:szCs w:val="16"/>
              </w:rPr>
              <w:t> </w:t>
            </w:r>
          </w:p>
        </w:tc>
        <w:tc>
          <w:tcPr>
            <w:tcW w:w="465" w:type="dxa"/>
            <w:tcBorders>
              <w:top w:val="nil"/>
              <w:left w:val="nil"/>
              <w:bottom w:val="single" w:sz="4" w:space="0" w:color="auto"/>
              <w:right w:val="single" w:sz="4" w:space="0" w:color="auto"/>
            </w:tcBorders>
            <w:shd w:val="clear" w:color="auto" w:fill="auto"/>
            <w:noWrap/>
            <w:vAlign w:val="center"/>
            <w:hideMark/>
          </w:tcPr>
          <w:p w:rsidR="003D26F4" w:rsidRDefault="003D26F4">
            <w:pPr>
              <w:jc w:val="right"/>
              <w:rPr>
                <w:rFonts w:ascii="Calibri" w:hAnsi="Calibri" w:cs="Calibri"/>
                <w:color w:val="000000"/>
                <w:sz w:val="16"/>
                <w:szCs w:val="16"/>
              </w:rPr>
            </w:pPr>
            <w:r>
              <w:rPr>
                <w:rFonts w:ascii="Calibri" w:hAnsi="Calibri" w:cs="Calibri"/>
                <w:color w:val="000000"/>
                <w:sz w:val="16"/>
                <w:szCs w:val="16"/>
              </w:rPr>
              <w:t>4222</w:t>
            </w:r>
          </w:p>
        </w:tc>
        <w:tc>
          <w:tcPr>
            <w:tcW w:w="4816" w:type="dxa"/>
            <w:tcBorders>
              <w:top w:val="nil"/>
              <w:left w:val="nil"/>
              <w:bottom w:val="single" w:sz="4" w:space="0" w:color="auto"/>
              <w:right w:val="single" w:sz="4" w:space="0" w:color="auto"/>
            </w:tcBorders>
            <w:shd w:val="clear" w:color="auto" w:fill="auto"/>
            <w:noWrap/>
            <w:vAlign w:val="center"/>
            <w:hideMark/>
          </w:tcPr>
          <w:p w:rsidR="003D26F4" w:rsidRDefault="003D26F4">
            <w:pPr>
              <w:rPr>
                <w:rFonts w:ascii="Calibri" w:hAnsi="Calibri" w:cs="Calibri"/>
                <w:color w:val="000000"/>
                <w:sz w:val="16"/>
                <w:szCs w:val="16"/>
              </w:rPr>
            </w:pPr>
            <w:r>
              <w:rPr>
                <w:rFonts w:ascii="Calibri" w:hAnsi="Calibri" w:cs="Calibri"/>
                <w:color w:val="000000"/>
                <w:sz w:val="16"/>
                <w:szCs w:val="16"/>
              </w:rPr>
              <w:t>Investiční přijaté transfery od krajů</w:t>
            </w:r>
          </w:p>
        </w:tc>
        <w:tc>
          <w:tcPr>
            <w:tcW w:w="1276" w:type="dxa"/>
            <w:tcBorders>
              <w:top w:val="nil"/>
              <w:left w:val="nil"/>
              <w:bottom w:val="single" w:sz="4" w:space="0" w:color="auto"/>
              <w:right w:val="single" w:sz="4" w:space="0" w:color="auto"/>
            </w:tcBorders>
            <w:shd w:val="clear" w:color="auto" w:fill="auto"/>
            <w:noWrap/>
            <w:vAlign w:val="center"/>
            <w:hideMark/>
          </w:tcPr>
          <w:p w:rsidR="003D26F4" w:rsidRDefault="003D26F4">
            <w:pPr>
              <w:jc w:val="right"/>
              <w:rPr>
                <w:rFonts w:ascii="Calibri" w:hAnsi="Calibri" w:cs="Calibri"/>
                <w:color w:val="000000"/>
                <w:sz w:val="16"/>
                <w:szCs w:val="16"/>
              </w:rPr>
            </w:pPr>
            <w:r>
              <w:rPr>
                <w:rFonts w:ascii="Calibri" w:hAnsi="Calibri" w:cs="Calibri"/>
                <w:color w:val="000000"/>
                <w:sz w:val="16"/>
                <w:szCs w:val="16"/>
              </w:rPr>
              <w:t>9 818 351,87</w:t>
            </w:r>
          </w:p>
        </w:tc>
        <w:tc>
          <w:tcPr>
            <w:tcW w:w="1276" w:type="dxa"/>
            <w:tcBorders>
              <w:top w:val="nil"/>
              <w:left w:val="nil"/>
              <w:bottom w:val="single" w:sz="4" w:space="0" w:color="auto"/>
              <w:right w:val="single" w:sz="4" w:space="0" w:color="auto"/>
            </w:tcBorders>
            <w:shd w:val="clear" w:color="auto" w:fill="auto"/>
            <w:noWrap/>
            <w:vAlign w:val="center"/>
            <w:hideMark/>
          </w:tcPr>
          <w:p w:rsidR="003D26F4" w:rsidRDefault="003D26F4">
            <w:pPr>
              <w:jc w:val="right"/>
              <w:rPr>
                <w:rFonts w:ascii="Calibri" w:hAnsi="Calibri" w:cs="Calibri"/>
                <w:color w:val="000000"/>
                <w:sz w:val="16"/>
                <w:szCs w:val="16"/>
              </w:rPr>
            </w:pPr>
            <w:r>
              <w:rPr>
                <w:rFonts w:ascii="Calibri" w:hAnsi="Calibri" w:cs="Calibri"/>
                <w:color w:val="000000"/>
                <w:sz w:val="16"/>
                <w:szCs w:val="16"/>
              </w:rPr>
              <w:t>2 302 755,46</w:t>
            </w:r>
          </w:p>
        </w:tc>
        <w:tc>
          <w:tcPr>
            <w:tcW w:w="1276" w:type="dxa"/>
            <w:tcBorders>
              <w:top w:val="nil"/>
              <w:left w:val="nil"/>
              <w:bottom w:val="single" w:sz="4" w:space="0" w:color="auto"/>
              <w:right w:val="single" w:sz="4" w:space="0" w:color="auto"/>
            </w:tcBorders>
            <w:shd w:val="clear" w:color="auto" w:fill="auto"/>
            <w:noWrap/>
            <w:vAlign w:val="center"/>
            <w:hideMark/>
          </w:tcPr>
          <w:p w:rsidR="003D26F4" w:rsidRDefault="003D26F4">
            <w:pPr>
              <w:jc w:val="right"/>
              <w:rPr>
                <w:rFonts w:ascii="Calibri" w:hAnsi="Calibri" w:cs="Calibri"/>
                <w:color w:val="000000"/>
                <w:sz w:val="16"/>
                <w:szCs w:val="16"/>
              </w:rPr>
            </w:pPr>
            <w:r>
              <w:rPr>
                <w:rFonts w:ascii="Calibri" w:hAnsi="Calibri" w:cs="Calibri"/>
                <w:color w:val="000000"/>
                <w:sz w:val="16"/>
                <w:szCs w:val="16"/>
              </w:rPr>
              <w:t>1 916 566,00</w:t>
            </w:r>
          </w:p>
        </w:tc>
      </w:tr>
      <w:tr w:rsidR="003D26F4" w:rsidTr="003D26F4">
        <w:trPr>
          <w:trHeight w:val="300"/>
        </w:trPr>
        <w:tc>
          <w:tcPr>
            <w:tcW w:w="384" w:type="dxa"/>
            <w:vMerge/>
            <w:tcBorders>
              <w:top w:val="nil"/>
              <w:left w:val="single" w:sz="4" w:space="0" w:color="auto"/>
              <w:bottom w:val="single" w:sz="4" w:space="0" w:color="auto"/>
              <w:right w:val="single" w:sz="4" w:space="0" w:color="auto"/>
            </w:tcBorders>
            <w:vAlign w:val="center"/>
            <w:hideMark/>
          </w:tcPr>
          <w:p w:rsidR="003D26F4" w:rsidRDefault="003D26F4">
            <w:pPr>
              <w:rPr>
                <w:rFonts w:ascii="Calibri" w:hAnsi="Calibri" w:cs="Calibri"/>
                <w:color w:val="000000"/>
                <w:sz w:val="16"/>
                <w:szCs w:val="16"/>
              </w:rPr>
            </w:pPr>
          </w:p>
        </w:tc>
        <w:tc>
          <w:tcPr>
            <w:tcW w:w="465" w:type="dxa"/>
            <w:tcBorders>
              <w:top w:val="nil"/>
              <w:left w:val="nil"/>
              <w:bottom w:val="single" w:sz="4" w:space="0" w:color="auto"/>
              <w:right w:val="single" w:sz="4" w:space="0" w:color="auto"/>
            </w:tcBorders>
            <w:shd w:val="clear" w:color="auto" w:fill="auto"/>
            <w:noWrap/>
            <w:vAlign w:val="center"/>
            <w:hideMark/>
          </w:tcPr>
          <w:p w:rsidR="003D26F4" w:rsidRDefault="003D26F4">
            <w:pPr>
              <w:jc w:val="right"/>
              <w:rPr>
                <w:rFonts w:ascii="Calibri" w:hAnsi="Calibri" w:cs="Calibri"/>
                <w:color w:val="000000"/>
                <w:sz w:val="16"/>
                <w:szCs w:val="16"/>
              </w:rPr>
            </w:pPr>
            <w:r>
              <w:rPr>
                <w:rFonts w:ascii="Calibri" w:hAnsi="Calibri" w:cs="Calibri"/>
                <w:color w:val="000000"/>
                <w:sz w:val="16"/>
                <w:szCs w:val="16"/>
              </w:rPr>
              <w:t>4223</w:t>
            </w:r>
          </w:p>
        </w:tc>
        <w:tc>
          <w:tcPr>
            <w:tcW w:w="4816" w:type="dxa"/>
            <w:tcBorders>
              <w:top w:val="nil"/>
              <w:left w:val="nil"/>
              <w:bottom w:val="single" w:sz="4" w:space="0" w:color="auto"/>
              <w:right w:val="single" w:sz="4" w:space="0" w:color="auto"/>
            </w:tcBorders>
            <w:shd w:val="clear" w:color="auto" w:fill="auto"/>
            <w:vAlign w:val="center"/>
            <w:hideMark/>
          </w:tcPr>
          <w:p w:rsidR="003D26F4" w:rsidRDefault="003D26F4">
            <w:pPr>
              <w:rPr>
                <w:rFonts w:ascii="Calibri" w:hAnsi="Calibri" w:cs="Calibri"/>
                <w:color w:val="000000"/>
                <w:sz w:val="16"/>
                <w:szCs w:val="16"/>
              </w:rPr>
            </w:pPr>
            <w:r>
              <w:rPr>
                <w:rFonts w:ascii="Calibri" w:hAnsi="Calibri" w:cs="Calibri"/>
                <w:color w:val="000000"/>
                <w:sz w:val="16"/>
                <w:szCs w:val="16"/>
              </w:rPr>
              <w:t>Investiční přijaté transfery od regionálních rad</w:t>
            </w:r>
          </w:p>
        </w:tc>
        <w:tc>
          <w:tcPr>
            <w:tcW w:w="1276" w:type="dxa"/>
            <w:tcBorders>
              <w:top w:val="nil"/>
              <w:left w:val="nil"/>
              <w:bottom w:val="single" w:sz="4" w:space="0" w:color="auto"/>
              <w:right w:val="single" w:sz="4" w:space="0" w:color="auto"/>
            </w:tcBorders>
            <w:shd w:val="clear" w:color="auto" w:fill="auto"/>
            <w:noWrap/>
            <w:vAlign w:val="center"/>
            <w:hideMark/>
          </w:tcPr>
          <w:p w:rsidR="003D26F4" w:rsidRDefault="003D26F4">
            <w:pPr>
              <w:jc w:val="right"/>
              <w:rPr>
                <w:rFonts w:ascii="Calibri" w:hAnsi="Calibri" w:cs="Calibri"/>
                <w:color w:val="000000"/>
                <w:sz w:val="16"/>
                <w:szCs w:val="16"/>
              </w:rPr>
            </w:pPr>
            <w:r>
              <w:rPr>
                <w:rFonts w:ascii="Calibri" w:hAnsi="Calibri" w:cs="Calibri"/>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D26F4" w:rsidRDefault="003D26F4">
            <w:pPr>
              <w:jc w:val="right"/>
              <w:rPr>
                <w:rFonts w:ascii="Calibri" w:hAnsi="Calibri" w:cs="Calibri"/>
                <w:color w:val="000000"/>
                <w:sz w:val="16"/>
                <w:szCs w:val="16"/>
              </w:rPr>
            </w:pPr>
            <w:r>
              <w:rPr>
                <w:rFonts w:ascii="Calibri" w:hAnsi="Calibri" w:cs="Calibri"/>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D26F4" w:rsidRDefault="003D26F4">
            <w:pPr>
              <w:jc w:val="right"/>
              <w:rPr>
                <w:rFonts w:ascii="Calibri" w:hAnsi="Calibri" w:cs="Calibri"/>
                <w:color w:val="000000"/>
                <w:sz w:val="16"/>
                <w:szCs w:val="16"/>
              </w:rPr>
            </w:pPr>
            <w:r>
              <w:rPr>
                <w:rFonts w:ascii="Calibri" w:hAnsi="Calibri" w:cs="Calibri"/>
                <w:color w:val="000000"/>
                <w:sz w:val="16"/>
                <w:szCs w:val="16"/>
              </w:rPr>
              <w:t>0,00</w:t>
            </w:r>
          </w:p>
        </w:tc>
      </w:tr>
    </w:tbl>
    <w:p w:rsidR="003D26F4" w:rsidRDefault="003D26F4" w:rsidP="003D26F4"/>
    <w:p w:rsidR="003D26F4" w:rsidRDefault="003D26F4" w:rsidP="003D26F4">
      <w:pPr>
        <w:jc w:val="center"/>
      </w:pPr>
      <w:r>
        <w:rPr>
          <w:noProof/>
        </w:rPr>
        <w:drawing>
          <wp:inline distT="0" distB="0" distL="0" distR="0" wp14:anchorId="16628460" wp14:editId="7E9A734A">
            <wp:extent cx="4571365" cy="2784390"/>
            <wp:effectExtent l="0" t="0" r="635" b="16510"/>
            <wp:docPr id="31" name="Graf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D26F4" w:rsidRDefault="003D26F4" w:rsidP="003D26F4"/>
    <w:p w:rsidR="003D26F4" w:rsidRPr="003D26F4" w:rsidRDefault="003D26F4" w:rsidP="003D26F4"/>
    <w:p w:rsidR="00EC2546" w:rsidRPr="00EC2546" w:rsidRDefault="00EC2546" w:rsidP="00EC2546"/>
    <w:p w:rsidR="009A55EE" w:rsidRDefault="009A55EE" w:rsidP="00A7057E">
      <w:pPr>
        <w:jc w:val="center"/>
      </w:pPr>
    </w:p>
    <w:p w:rsidR="009A55EE" w:rsidRPr="009A55EE" w:rsidRDefault="009A55EE" w:rsidP="009A55EE"/>
    <w:p w:rsidR="000A42D8" w:rsidRDefault="000A42D8" w:rsidP="008627B0">
      <w:pPr>
        <w:jc w:val="center"/>
        <w:rPr>
          <w:rFonts w:ascii="Calibri" w:hAnsi="Calibri"/>
          <w:b/>
          <w:sz w:val="20"/>
          <w:szCs w:val="20"/>
        </w:rPr>
      </w:pPr>
    </w:p>
    <w:p w:rsidR="00B462F5" w:rsidRDefault="00B462F5" w:rsidP="0024764D">
      <w:pPr>
        <w:pStyle w:val="Nadpis3"/>
      </w:pPr>
      <w:bookmarkStart w:id="28" w:name="_Toc39129513"/>
      <w:r w:rsidRPr="00A46EE8">
        <w:lastRenderedPageBreak/>
        <w:t>Vyhodnoce</w:t>
      </w:r>
      <w:r w:rsidR="007C7740">
        <w:t>ní rozpočtu – rok 202</w:t>
      </w:r>
      <w:r w:rsidR="003D26F4">
        <w:t>2</w:t>
      </w:r>
      <w:r w:rsidRPr="00A46EE8">
        <w:t xml:space="preserve"> – </w:t>
      </w:r>
      <w:r w:rsidR="005161DA">
        <w:t>p</w:t>
      </w:r>
      <w:r w:rsidRPr="00A46EE8">
        <w:t>říjmy po konsolidaci</w:t>
      </w:r>
      <w:r w:rsidR="005350F5" w:rsidRPr="00A46EE8">
        <w:t xml:space="preserve"> (v Kč)</w:t>
      </w:r>
      <w:bookmarkEnd w:id="28"/>
    </w:p>
    <w:tbl>
      <w:tblPr>
        <w:tblW w:w="9484" w:type="dxa"/>
        <w:tblCellMar>
          <w:left w:w="70" w:type="dxa"/>
          <w:right w:w="70" w:type="dxa"/>
        </w:tblCellMar>
        <w:tblLook w:val="04A0" w:firstRow="1" w:lastRow="0" w:firstColumn="1" w:lastColumn="0" w:noHBand="0" w:noVBand="1"/>
      </w:tblPr>
      <w:tblGrid>
        <w:gridCol w:w="485"/>
        <w:gridCol w:w="3920"/>
        <w:gridCol w:w="1460"/>
        <w:gridCol w:w="1360"/>
        <w:gridCol w:w="1380"/>
        <w:gridCol w:w="879"/>
      </w:tblGrid>
      <w:tr w:rsidR="005C744D" w:rsidTr="005C744D">
        <w:trPr>
          <w:trHeight w:val="450"/>
        </w:trPr>
        <w:tc>
          <w:tcPr>
            <w:tcW w:w="485" w:type="dxa"/>
            <w:tcBorders>
              <w:top w:val="single" w:sz="4" w:space="0" w:color="auto"/>
              <w:left w:val="single" w:sz="4" w:space="0" w:color="auto"/>
              <w:bottom w:val="single" w:sz="4" w:space="0" w:color="auto"/>
              <w:right w:val="single" w:sz="4" w:space="0" w:color="auto"/>
            </w:tcBorders>
            <w:shd w:val="clear" w:color="D6A100" w:fill="FFC000"/>
            <w:vAlign w:val="center"/>
            <w:hideMark/>
          </w:tcPr>
          <w:p w:rsidR="005C744D" w:rsidRDefault="005C744D">
            <w:pPr>
              <w:jc w:val="center"/>
              <w:rPr>
                <w:rFonts w:ascii="Calibri" w:hAnsi="Calibri" w:cs="Calibri"/>
                <w:b/>
                <w:bCs/>
                <w:color w:val="000000"/>
                <w:sz w:val="17"/>
                <w:szCs w:val="17"/>
              </w:rPr>
            </w:pPr>
            <w:r>
              <w:rPr>
                <w:rFonts w:ascii="Calibri" w:hAnsi="Calibri" w:cs="Calibri"/>
                <w:b/>
                <w:bCs/>
                <w:color w:val="000000"/>
                <w:sz w:val="17"/>
                <w:szCs w:val="17"/>
              </w:rPr>
              <w:t>Pol.</w:t>
            </w:r>
          </w:p>
        </w:tc>
        <w:tc>
          <w:tcPr>
            <w:tcW w:w="3920" w:type="dxa"/>
            <w:tcBorders>
              <w:top w:val="single" w:sz="4" w:space="0" w:color="auto"/>
              <w:left w:val="nil"/>
              <w:bottom w:val="single" w:sz="4" w:space="0" w:color="auto"/>
              <w:right w:val="single" w:sz="4" w:space="0" w:color="auto"/>
            </w:tcBorders>
            <w:shd w:val="clear" w:color="D6A100" w:fill="FFC000"/>
            <w:vAlign w:val="center"/>
            <w:hideMark/>
          </w:tcPr>
          <w:p w:rsidR="005C744D" w:rsidRDefault="005C744D">
            <w:pPr>
              <w:jc w:val="center"/>
              <w:rPr>
                <w:rFonts w:ascii="Calibri" w:hAnsi="Calibri" w:cs="Calibri"/>
                <w:b/>
                <w:bCs/>
                <w:color w:val="000000"/>
                <w:sz w:val="17"/>
                <w:szCs w:val="17"/>
              </w:rPr>
            </w:pPr>
            <w:r>
              <w:rPr>
                <w:rFonts w:ascii="Calibri" w:hAnsi="Calibri" w:cs="Calibri"/>
                <w:b/>
                <w:bCs/>
                <w:color w:val="000000"/>
                <w:sz w:val="17"/>
                <w:szCs w:val="17"/>
              </w:rPr>
              <w:t>Název položky</w:t>
            </w:r>
          </w:p>
        </w:tc>
        <w:tc>
          <w:tcPr>
            <w:tcW w:w="1460" w:type="dxa"/>
            <w:tcBorders>
              <w:top w:val="single" w:sz="4" w:space="0" w:color="auto"/>
              <w:left w:val="nil"/>
              <w:bottom w:val="single" w:sz="4" w:space="0" w:color="auto"/>
              <w:right w:val="single" w:sz="4" w:space="0" w:color="auto"/>
            </w:tcBorders>
            <w:shd w:val="clear" w:color="D6A100" w:fill="FFC000"/>
            <w:vAlign w:val="center"/>
            <w:hideMark/>
          </w:tcPr>
          <w:p w:rsidR="005C744D" w:rsidRDefault="005C744D">
            <w:pPr>
              <w:jc w:val="center"/>
              <w:rPr>
                <w:rFonts w:ascii="Calibri" w:hAnsi="Calibri" w:cs="Calibri"/>
                <w:b/>
                <w:bCs/>
                <w:color w:val="000000"/>
                <w:sz w:val="17"/>
                <w:szCs w:val="17"/>
              </w:rPr>
            </w:pPr>
            <w:r>
              <w:rPr>
                <w:rFonts w:ascii="Calibri" w:hAnsi="Calibri" w:cs="Calibri"/>
                <w:b/>
                <w:bCs/>
                <w:color w:val="000000"/>
                <w:sz w:val="17"/>
                <w:szCs w:val="17"/>
              </w:rPr>
              <w:t>Schválený rozpočet</w:t>
            </w:r>
          </w:p>
        </w:tc>
        <w:tc>
          <w:tcPr>
            <w:tcW w:w="1360" w:type="dxa"/>
            <w:tcBorders>
              <w:top w:val="single" w:sz="4" w:space="0" w:color="auto"/>
              <w:left w:val="nil"/>
              <w:bottom w:val="single" w:sz="4" w:space="0" w:color="auto"/>
              <w:right w:val="single" w:sz="4" w:space="0" w:color="auto"/>
            </w:tcBorders>
            <w:shd w:val="clear" w:color="D6A100" w:fill="FFC000"/>
            <w:vAlign w:val="center"/>
            <w:hideMark/>
          </w:tcPr>
          <w:p w:rsidR="005C744D" w:rsidRDefault="005C744D">
            <w:pPr>
              <w:jc w:val="center"/>
              <w:rPr>
                <w:rFonts w:ascii="Calibri" w:hAnsi="Calibri" w:cs="Calibri"/>
                <w:b/>
                <w:bCs/>
                <w:color w:val="000000"/>
                <w:sz w:val="17"/>
                <w:szCs w:val="17"/>
              </w:rPr>
            </w:pPr>
            <w:r>
              <w:rPr>
                <w:rFonts w:ascii="Calibri" w:hAnsi="Calibri" w:cs="Calibri"/>
                <w:b/>
                <w:bCs/>
                <w:color w:val="000000"/>
                <w:sz w:val="17"/>
                <w:szCs w:val="17"/>
              </w:rPr>
              <w:t>Upravený rozpočet</w:t>
            </w:r>
          </w:p>
        </w:tc>
        <w:tc>
          <w:tcPr>
            <w:tcW w:w="1380" w:type="dxa"/>
            <w:tcBorders>
              <w:top w:val="single" w:sz="4" w:space="0" w:color="auto"/>
              <w:left w:val="nil"/>
              <w:bottom w:val="single" w:sz="4" w:space="0" w:color="auto"/>
              <w:right w:val="single" w:sz="4" w:space="0" w:color="auto"/>
            </w:tcBorders>
            <w:shd w:val="clear" w:color="D6A100" w:fill="FFC000"/>
            <w:vAlign w:val="center"/>
            <w:hideMark/>
          </w:tcPr>
          <w:p w:rsidR="005C744D" w:rsidRDefault="005C744D">
            <w:pPr>
              <w:jc w:val="center"/>
              <w:rPr>
                <w:rFonts w:ascii="Calibri" w:hAnsi="Calibri" w:cs="Calibri"/>
                <w:b/>
                <w:bCs/>
                <w:color w:val="000000"/>
                <w:sz w:val="17"/>
                <w:szCs w:val="17"/>
              </w:rPr>
            </w:pPr>
            <w:r>
              <w:rPr>
                <w:rFonts w:ascii="Calibri" w:hAnsi="Calibri" w:cs="Calibri"/>
                <w:b/>
                <w:bCs/>
                <w:color w:val="000000"/>
                <w:sz w:val="17"/>
                <w:szCs w:val="17"/>
              </w:rPr>
              <w:t>Skutečnost</w:t>
            </w:r>
          </w:p>
        </w:tc>
        <w:tc>
          <w:tcPr>
            <w:tcW w:w="879" w:type="dxa"/>
            <w:tcBorders>
              <w:top w:val="single" w:sz="4" w:space="0" w:color="auto"/>
              <w:left w:val="nil"/>
              <w:bottom w:val="single" w:sz="4" w:space="0" w:color="auto"/>
              <w:right w:val="single" w:sz="4" w:space="0" w:color="auto"/>
            </w:tcBorders>
            <w:shd w:val="clear" w:color="D6A100" w:fill="FFC000"/>
            <w:vAlign w:val="center"/>
            <w:hideMark/>
          </w:tcPr>
          <w:p w:rsidR="005C744D" w:rsidRDefault="005C744D">
            <w:pPr>
              <w:rPr>
                <w:rFonts w:ascii="Calibri" w:hAnsi="Calibri" w:cs="Calibri"/>
                <w:b/>
                <w:bCs/>
                <w:color w:val="000000"/>
                <w:sz w:val="17"/>
                <w:szCs w:val="17"/>
              </w:rPr>
            </w:pPr>
            <w:r>
              <w:rPr>
                <w:rFonts w:ascii="Calibri" w:hAnsi="Calibri" w:cs="Calibri"/>
                <w:b/>
                <w:bCs/>
                <w:color w:val="000000"/>
                <w:sz w:val="17"/>
                <w:szCs w:val="17"/>
              </w:rPr>
              <w:t>% plnění Skut./Upr.</w:t>
            </w:r>
          </w:p>
        </w:tc>
      </w:tr>
      <w:tr w:rsidR="005C744D" w:rsidTr="005C744D">
        <w:trPr>
          <w:trHeight w:val="25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5C744D" w:rsidRDefault="005C744D">
            <w:pPr>
              <w:rPr>
                <w:rFonts w:ascii="Calibri" w:hAnsi="Calibri" w:cs="Calibri"/>
                <w:sz w:val="17"/>
                <w:szCs w:val="17"/>
              </w:rPr>
            </w:pPr>
            <w:r>
              <w:rPr>
                <w:rFonts w:ascii="Calibri" w:hAnsi="Calibri" w:cs="Calibri"/>
                <w:sz w:val="17"/>
                <w:szCs w:val="17"/>
              </w:rPr>
              <w:t>1111</w:t>
            </w:r>
          </w:p>
        </w:tc>
        <w:tc>
          <w:tcPr>
            <w:tcW w:w="3920" w:type="dxa"/>
            <w:tcBorders>
              <w:top w:val="nil"/>
              <w:left w:val="nil"/>
              <w:bottom w:val="single" w:sz="4" w:space="0" w:color="auto"/>
              <w:right w:val="single" w:sz="4" w:space="0" w:color="auto"/>
            </w:tcBorders>
            <w:shd w:val="clear" w:color="auto" w:fill="auto"/>
            <w:noWrap/>
            <w:vAlign w:val="center"/>
            <w:hideMark/>
          </w:tcPr>
          <w:p w:rsidR="005C744D" w:rsidRDefault="005C744D">
            <w:pPr>
              <w:rPr>
                <w:rFonts w:ascii="Calibri" w:hAnsi="Calibri" w:cs="Calibri"/>
                <w:sz w:val="17"/>
                <w:szCs w:val="17"/>
              </w:rPr>
            </w:pPr>
            <w:r>
              <w:rPr>
                <w:rFonts w:ascii="Calibri" w:hAnsi="Calibri" w:cs="Calibri"/>
                <w:sz w:val="17"/>
                <w:szCs w:val="17"/>
              </w:rPr>
              <w:t>Příjem z daně z příjmů FO placené plátci</w:t>
            </w:r>
          </w:p>
        </w:tc>
        <w:tc>
          <w:tcPr>
            <w:tcW w:w="146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115 000 000,00</w:t>
            </w:r>
          </w:p>
        </w:tc>
        <w:tc>
          <w:tcPr>
            <w:tcW w:w="136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112 032 709,66</w:t>
            </w:r>
          </w:p>
        </w:tc>
        <w:tc>
          <w:tcPr>
            <w:tcW w:w="138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133 515 165,25</w:t>
            </w:r>
          </w:p>
        </w:tc>
        <w:tc>
          <w:tcPr>
            <w:tcW w:w="879"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119,18%</w:t>
            </w:r>
          </w:p>
        </w:tc>
      </w:tr>
      <w:tr w:rsidR="005C744D" w:rsidTr="005C744D">
        <w:trPr>
          <w:trHeight w:val="255"/>
        </w:trPr>
        <w:tc>
          <w:tcPr>
            <w:tcW w:w="485" w:type="dxa"/>
            <w:tcBorders>
              <w:top w:val="nil"/>
              <w:left w:val="single" w:sz="4" w:space="0" w:color="auto"/>
              <w:bottom w:val="single" w:sz="4" w:space="0" w:color="auto"/>
              <w:right w:val="single" w:sz="4" w:space="0" w:color="auto"/>
            </w:tcBorders>
            <w:shd w:val="clear" w:color="000000" w:fill="D9D9D9"/>
            <w:noWrap/>
            <w:vAlign w:val="center"/>
            <w:hideMark/>
          </w:tcPr>
          <w:p w:rsidR="005C744D" w:rsidRDefault="005C744D">
            <w:pPr>
              <w:rPr>
                <w:rFonts w:ascii="Calibri" w:hAnsi="Calibri" w:cs="Calibri"/>
                <w:sz w:val="17"/>
                <w:szCs w:val="17"/>
              </w:rPr>
            </w:pPr>
            <w:r>
              <w:rPr>
                <w:rFonts w:ascii="Calibri" w:hAnsi="Calibri" w:cs="Calibri"/>
                <w:sz w:val="17"/>
                <w:szCs w:val="17"/>
              </w:rPr>
              <w:t>1112</w:t>
            </w:r>
          </w:p>
        </w:tc>
        <w:tc>
          <w:tcPr>
            <w:tcW w:w="3920" w:type="dxa"/>
            <w:tcBorders>
              <w:top w:val="nil"/>
              <w:left w:val="nil"/>
              <w:bottom w:val="single" w:sz="4" w:space="0" w:color="auto"/>
              <w:right w:val="single" w:sz="4" w:space="0" w:color="auto"/>
            </w:tcBorders>
            <w:shd w:val="clear" w:color="000000" w:fill="D9D9D9"/>
            <w:noWrap/>
            <w:vAlign w:val="center"/>
            <w:hideMark/>
          </w:tcPr>
          <w:p w:rsidR="005C744D" w:rsidRDefault="005C744D">
            <w:pPr>
              <w:rPr>
                <w:rFonts w:ascii="Calibri" w:hAnsi="Calibri" w:cs="Calibri"/>
                <w:sz w:val="17"/>
                <w:szCs w:val="17"/>
              </w:rPr>
            </w:pPr>
            <w:r>
              <w:rPr>
                <w:rFonts w:ascii="Calibri" w:hAnsi="Calibri" w:cs="Calibri"/>
                <w:sz w:val="17"/>
                <w:szCs w:val="17"/>
              </w:rPr>
              <w:t>Příjem z daně z příjmů FO placené poplatníky</w:t>
            </w:r>
          </w:p>
        </w:tc>
        <w:tc>
          <w:tcPr>
            <w:tcW w:w="146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4 000 000,00</w:t>
            </w:r>
          </w:p>
        </w:tc>
        <w:tc>
          <w:tcPr>
            <w:tcW w:w="136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4 000 000,00</w:t>
            </w:r>
          </w:p>
        </w:tc>
        <w:tc>
          <w:tcPr>
            <w:tcW w:w="138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11 320 684,86</w:t>
            </w:r>
          </w:p>
        </w:tc>
        <w:tc>
          <w:tcPr>
            <w:tcW w:w="879"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283,02%</w:t>
            </w:r>
          </w:p>
        </w:tc>
      </w:tr>
      <w:tr w:rsidR="005C744D" w:rsidTr="005C744D">
        <w:trPr>
          <w:trHeight w:val="25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5C744D" w:rsidRDefault="005C744D">
            <w:pPr>
              <w:rPr>
                <w:rFonts w:ascii="Calibri" w:hAnsi="Calibri" w:cs="Calibri"/>
                <w:sz w:val="17"/>
                <w:szCs w:val="17"/>
              </w:rPr>
            </w:pPr>
            <w:r>
              <w:rPr>
                <w:rFonts w:ascii="Calibri" w:hAnsi="Calibri" w:cs="Calibri"/>
                <w:sz w:val="17"/>
                <w:szCs w:val="17"/>
              </w:rPr>
              <w:t>1113</w:t>
            </w:r>
          </w:p>
        </w:tc>
        <w:tc>
          <w:tcPr>
            <w:tcW w:w="3920" w:type="dxa"/>
            <w:tcBorders>
              <w:top w:val="nil"/>
              <w:left w:val="nil"/>
              <w:bottom w:val="single" w:sz="4" w:space="0" w:color="auto"/>
              <w:right w:val="single" w:sz="4" w:space="0" w:color="auto"/>
            </w:tcBorders>
            <w:shd w:val="clear" w:color="auto" w:fill="auto"/>
            <w:noWrap/>
            <w:vAlign w:val="center"/>
            <w:hideMark/>
          </w:tcPr>
          <w:p w:rsidR="005C744D" w:rsidRDefault="005C744D">
            <w:pPr>
              <w:rPr>
                <w:rFonts w:ascii="Calibri" w:hAnsi="Calibri" w:cs="Calibri"/>
                <w:sz w:val="17"/>
                <w:szCs w:val="17"/>
              </w:rPr>
            </w:pPr>
            <w:r>
              <w:rPr>
                <w:rFonts w:ascii="Calibri" w:hAnsi="Calibri" w:cs="Calibri"/>
                <w:sz w:val="17"/>
                <w:szCs w:val="17"/>
              </w:rPr>
              <w:t>Příjem z daně z příjmů FO vybírané srážkou</w:t>
            </w:r>
          </w:p>
        </w:tc>
        <w:tc>
          <w:tcPr>
            <w:tcW w:w="146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18 000 000,00</w:t>
            </w:r>
          </w:p>
        </w:tc>
        <w:tc>
          <w:tcPr>
            <w:tcW w:w="136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18 000 000,00</w:t>
            </w:r>
          </w:p>
        </w:tc>
        <w:tc>
          <w:tcPr>
            <w:tcW w:w="138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25 164 789,76</w:t>
            </w:r>
          </w:p>
        </w:tc>
        <w:tc>
          <w:tcPr>
            <w:tcW w:w="879"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139,80%</w:t>
            </w:r>
          </w:p>
        </w:tc>
      </w:tr>
      <w:tr w:rsidR="005C744D" w:rsidTr="005C744D">
        <w:trPr>
          <w:trHeight w:val="255"/>
        </w:trPr>
        <w:tc>
          <w:tcPr>
            <w:tcW w:w="485" w:type="dxa"/>
            <w:tcBorders>
              <w:top w:val="nil"/>
              <w:left w:val="single" w:sz="4" w:space="0" w:color="auto"/>
              <w:bottom w:val="single" w:sz="4" w:space="0" w:color="auto"/>
              <w:right w:val="single" w:sz="4" w:space="0" w:color="auto"/>
            </w:tcBorders>
            <w:shd w:val="clear" w:color="000000" w:fill="D9D9D9"/>
            <w:noWrap/>
            <w:vAlign w:val="center"/>
            <w:hideMark/>
          </w:tcPr>
          <w:p w:rsidR="005C744D" w:rsidRDefault="005C744D">
            <w:pPr>
              <w:rPr>
                <w:rFonts w:ascii="Calibri" w:hAnsi="Calibri" w:cs="Calibri"/>
                <w:sz w:val="17"/>
                <w:szCs w:val="17"/>
              </w:rPr>
            </w:pPr>
            <w:r>
              <w:rPr>
                <w:rFonts w:ascii="Calibri" w:hAnsi="Calibri" w:cs="Calibri"/>
                <w:sz w:val="17"/>
                <w:szCs w:val="17"/>
              </w:rPr>
              <w:t>1121</w:t>
            </w:r>
          </w:p>
        </w:tc>
        <w:tc>
          <w:tcPr>
            <w:tcW w:w="3920" w:type="dxa"/>
            <w:tcBorders>
              <w:top w:val="nil"/>
              <w:left w:val="nil"/>
              <w:bottom w:val="single" w:sz="4" w:space="0" w:color="auto"/>
              <w:right w:val="single" w:sz="4" w:space="0" w:color="auto"/>
            </w:tcBorders>
            <w:shd w:val="clear" w:color="000000" w:fill="D9D9D9"/>
            <w:noWrap/>
            <w:vAlign w:val="center"/>
            <w:hideMark/>
          </w:tcPr>
          <w:p w:rsidR="005C744D" w:rsidRDefault="005C744D">
            <w:pPr>
              <w:rPr>
                <w:rFonts w:ascii="Calibri" w:hAnsi="Calibri" w:cs="Calibri"/>
                <w:sz w:val="17"/>
                <w:szCs w:val="17"/>
              </w:rPr>
            </w:pPr>
            <w:r>
              <w:rPr>
                <w:rFonts w:ascii="Calibri" w:hAnsi="Calibri" w:cs="Calibri"/>
                <w:sz w:val="17"/>
                <w:szCs w:val="17"/>
              </w:rPr>
              <w:t>Příjem z daně z příjmů právnických osob</w:t>
            </w:r>
          </w:p>
        </w:tc>
        <w:tc>
          <w:tcPr>
            <w:tcW w:w="146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140 000 000,00</w:t>
            </w:r>
          </w:p>
        </w:tc>
        <w:tc>
          <w:tcPr>
            <w:tcW w:w="136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140 000 000,00</w:t>
            </w:r>
          </w:p>
        </w:tc>
        <w:tc>
          <w:tcPr>
            <w:tcW w:w="138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190 288 860,71</w:t>
            </w:r>
          </w:p>
        </w:tc>
        <w:tc>
          <w:tcPr>
            <w:tcW w:w="879"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135,92%</w:t>
            </w:r>
          </w:p>
        </w:tc>
      </w:tr>
      <w:tr w:rsidR="005C744D" w:rsidTr="005C744D">
        <w:trPr>
          <w:trHeight w:val="25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5C744D" w:rsidRDefault="005C744D">
            <w:pPr>
              <w:rPr>
                <w:rFonts w:ascii="Calibri" w:hAnsi="Calibri" w:cs="Calibri"/>
                <w:sz w:val="17"/>
                <w:szCs w:val="17"/>
              </w:rPr>
            </w:pPr>
            <w:r>
              <w:rPr>
                <w:rFonts w:ascii="Calibri" w:hAnsi="Calibri" w:cs="Calibri"/>
                <w:sz w:val="17"/>
                <w:szCs w:val="17"/>
              </w:rPr>
              <w:t>1122</w:t>
            </w:r>
          </w:p>
        </w:tc>
        <w:tc>
          <w:tcPr>
            <w:tcW w:w="3920" w:type="dxa"/>
            <w:tcBorders>
              <w:top w:val="nil"/>
              <w:left w:val="nil"/>
              <w:bottom w:val="single" w:sz="4" w:space="0" w:color="auto"/>
              <w:right w:val="single" w:sz="4" w:space="0" w:color="auto"/>
            </w:tcBorders>
            <w:shd w:val="clear" w:color="auto" w:fill="auto"/>
            <w:noWrap/>
            <w:vAlign w:val="center"/>
            <w:hideMark/>
          </w:tcPr>
          <w:p w:rsidR="005C744D" w:rsidRDefault="005C744D">
            <w:pPr>
              <w:rPr>
                <w:rFonts w:ascii="Calibri" w:hAnsi="Calibri" w:cs="Calibri"/>
                <w:sz w:val="17"/>
                <w:szCs w:val="17"/>
              </w:rPr>
            </w:pPr>
            <w:r>
              <w:rPr>
                <w:rFonts w:ascii="Calibri" w:hAnsi="Calibri" w:cs="Calibri"/>
                <w:sz w:val="17"/>
                <w:szCs w:val="17"/>
              </w:rPr>
              <w:t>Příjem z daně z příjmu právnických osob za obce</w:t>
            </w:r>
          </w:p>
        </w:tc>
        <w:tc>
          <w:tcPr>
            <w:tcW w:w="146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24 000 000,00</w:t>
            </w:r>
          </w:p>
        </w:tc>
        <w:tc>
          <w:tcPr>
            <w:tcW w:w="136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24 000 000,00</w:t>
            </w:r>
          </w:p>
        </w:tc>
        <w:tc>
          <w:tcPr>
            <w:tcW w:w="138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23 318 750,00</w:t>
            </w:r>
          </w:p>
        </w:tc>
        <w:tc>
          <w:tcPr>
            <w:tcW w:w="879"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97,16%</w:t>
            </w:r>
          </w:p>
        </w:tc>
      </w:tr>
      <w:tr w:rsidR="005C744D" w:rsidTr="005C744D">
        <w:trPr>
          <w:trHeight w:val="255"/>
        </w:trPr>
        <w:tc>
          <w:tcPr>
            <w:tcW w:w="485" w:type="dxa"/>
            <w:tcBorders>
              <w:top w:val="nil"/>
              <w:left w:val="single" w:sz="4" w:space="0" w:color="auto"/>
              <w:bottom w:val="single" w:sz="4" w:space="0" w:color="auto"/>
              <w:right w:val="single" w:sz="4" w:space="0" w:color="auto"/>
            </w:tcBorders>
            <w:shd w:val="clear" w:color="000000" w:fill="D9D9D9"/>
            <w:noWrap/>
            <w:vAlign w:val="center"/>
            <w:hideMark/>
          </w:tcPr>
          <w:p w:rsidR="005C744D" w:rsidRDefault="005C744D">
            <w:pPr>
              <w:rPr>
                <w:rFonts w:ascii="Calibri" w:hAnsi="Calibri" w:cs="Calibri"/>
                <w:sz w:val="17"/>
                <w:szCs w:val="17"/>
              </w:rPr>
            </w:pPr>
            <w:r>
              <w:rPr>
                <w:rFonts w:ascii="Calibri" w:hAnsi="Calibri" w:cs="Calibri"/>
                <w:sz w:val="17"/>
                <w:szCs w:val="17"/>
              </w:rPr>
              <w:t>1211</w:t>
            </w:r>
          </w:p>
        </w:tc>
        <w:tc>
          <w:tcPr>
            <w:tcW w:w="3920" w:type="dxa"/>
            <w:tcBorders>
              <w:top w:val="nil"/>
              <w:left w:val="nil"/>
              <w:bottom w:val="single" w:sz="4" w:space="0" w:color="auto"/>
              <w:right w:val="single" w:sz="4" w:space="0" w:color="auto"/>
            </w:tcBorders>
            <w:shd w:val="clear" w:color="000000" w:fill="D9D9D9"/>
            <w:noWrap/>
            <w:vAlign w:val="center"/>
            <w:hideMark/>
          </w:tcPr>
          <w:p w:rsidR="005C744D" w:rsidRDefault="005C744D">
            <w:pPr>
              <w:rPr>
                <w:rFonts w:ascii="Calibri" w:hAnsi="Calibri" w:cs="Calibri"/>
                <w:sz w:val="17"/>
                <w:szCs w:val="17"/>
              </w:rPr>
            </w:pPr>
            <w:r>
              <w:rPr>
                <w:rFonts w:ascii="Calibri" w:hAnsi="Calibri" w:cs="Calibri"/>
                <w:sz w:val="17"/>
                <w:szCs w:val="17"/>
              </w:rPr>
              <w:t>Příjem z daně z přidané hodnoty</w:t>
            </w:r>
          </w:p>
        </w:tc>
        <w:tc>
          <w:tcPr>
            <w:tcW w:w="146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360 000 000,00</w:t>
            </w:r>
          </w:p>
        </w:tc>
        <w:tc>
          <w:tcPr>
            <w:tcW w:w="136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360 000 000,00</w:t>
            </w:r>
          </w:p>
        </w:tc>
        <w:tc>
          <w:tcPr>
            <w:tcW w:w="138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432 213 751,54</w:t>
            </w:r>
          </w:p>
        </w:tc>
        <w:tc>
          <w:tcPr>
            <w:tcW w:w="879"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120,06%</w:t>
            </w:r>
          </w:p>
        </w:tc>
      </w:tr>
      <w:tr w:rsidR="005C744D" w:rsidTr="005C744D">
        <w:trPr>
          <w:trHeight w:val="25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5C744D" w:rsidRDefault="005C744D">
            <w:pPr>
              <w:rPr>
                <w:rFonts w:ascii="Calibri" w:hAnsi="Calibri" w:cs="Calibri"/>
                <w:sz w:val="17"/>
                <w:szCs w:val="17"/>
              </w:rPr>
            </w:pPr>
            <w:r>
              <w:rPr>
                <w:rFonts w:ascii="Calibri" w:hAnsi="Calibri" w:cs="Calibri"/>
                <w:sz w:val="17"/>
                <w:szCs w:val="17"/>
              </w:rPr>
              <w:t>1334</w:t>
            </w:r>
          </w:p>
        </w:tc>
        <w:tc>
          <w:tcPr>
            <w:tcW w:w="3920" w:type="dxa"/>
            <w:tcBorders>
              <w:top w:val="nil"/>
              <w:left w:val="nil"/>
              <w:bottom w:val="single" w:sz="4" w:space="0" w:color="auto"/>
              <w:right w:val="single" w:sz="4" w:space="0" w:color="auto"/>
            </w:tcBorders>
            <w:shd w:val="clear" w:color="auto" w:fill="auto"/>
            <w:noWrap/>
            <w:vAlign w:val="center"/>
            <w:hideMark/>
          </w:tcPr>
          <w:p w:rsidR="005C744D" w:rsidRDefault="005C744D">
            <w:pPr>
              <w:rPr>
                <w:rFonts w:ascii="Calibri" w:hAnsi="Calibri" w:cs="Calibri"/>
                <w:sz w:val="17"/>
                <w:szCs w:val="17"/>
              </w:rPr>
            </w:pPr>
            <w:r>
              <w:rPr>
                <w:rFonts w:ascii="Calibri" w:hAnsi="Calibri" w:cs="Calibri"/>
                <w:sz w:val="17"/>
                <w:szCs w:val="17"/>
              </w:rPr>
              <w:t>Příjem z odvodů za odnětí půdy ze zem. půdního fond</w:t>
            </w:r>
          </w:p>
        </w:tc>
        <w:tc>
          <w:tcPr>
            <w:tcW w:w="146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2 000 000,00</w:t>
            </w:r>
          </w:p>
        </w:tc>
        <w:tc>
          <w:tcPr>
            <w:tcW w:w="136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2 000 000,00</w:t>
            </w:r>
          </w:p>
        </w:tc>
        <w:tc>
          <w:tcPr>
            <w:tcW w:w="138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1 571 329,23</w:t>
            </w:r>
          </w:p>
        </w:tc>
        <w:tc>
          <w:tcPr>
            <w:tcW w:w="879"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78,57%</w:t>
            </w:r>
          </w:p>
        </w:tc>
      </w:tr>
      <w:tr w:rsidR="005C744D" w:rsidTr="005C744D">
        <w:trPr>
          <w:trHeight w:val="255"/>
        </w:trPr>
        <w:tc>
          <w:tcPr>
            <w:tcW w:w="485" w:type="dxa"/>
            <w:tcBorders>
              <w:top w:val="nil"/>
              <w:left w:val="single" w:sz="4" w:space="0" w:color="auto"/>
              <w:bottom w:val="single" w:sz="4" w:space="0" w:color="auto"/>
              <w:right w:val="single" w:sz="4" w:space="0" w:color="auto"/>
            </w:tcBorders>
            <w:shd w:val="clear" w:color="000000" w:fill="D9D9D9"/>
            <w:noWrap/>
            <w:vAlign w:val="center"/>
            <w:hideMark/>
          </w:tcPr>
          <w:p w:rsidR="005C744D" w:rsidRDefault="005C744D">
            <w:pPr>
              <w:rPr>
                <w:rFonts w:ascii="Calibri" w:hAnsi="Calibri" w:cs="Calibri"/>
                <w:sz w:val="17"/>
                <w:szCs w:val="17"/>
              </w:rPr>
            </w:pPr>
            <w:r>
              <w:rPr>
                <w:rFonts w:ascii="Calibri" w:hAnsi="Calibri" w:cs="Calibri"/>
                <w:sz w:val="17"/>
                <w:szCs w:val="17"/>
              </w:rPr>
              <w:t>1341</w:t>
            </w:r>
          </w:p>
        </w:tc>
        <w:tc>
          <w:tcPr>
            <w:tcW w:w="3920" w:type="dxa"/>
            <w:tcBorders>
              <w:top w:val="nil"/>
              <w:left w:val="nil"/>
              <w:bottom w:val="single" w:sz="4" w:space="0" w:color="auto"/>
              <w:right w:val="single" w:sz="4" w:space="0" w:color="auto"/>
            </w:tcBorders>
            <w:shd w:val="clear" w:color="000000" w:fill="D9D9D9"/>
            <w:noWrap/>
            <w:vAlign w:val="center"/>
            <w:hideMark/>
          </w:tcPr>
          <w:p w:rsidR="005C744D" w:rsidRDefault="005C744D">
            <w:pPr>
              <w:rPr>
                <w:rFonts w:ascii="Calibri" w:hAnsi="Calibri" w:cs="Calibri"/>
                <w:sz w:val="17"/>
                <w:szCs w:val="17"/>
              </w:rPr>
            </w:pPr>
            <w:r>
              <w:rPr>
                <w:rFonts w:ascii="Calibri" w:hAnsi="Calibri" w:cs="Calibri"/>
                <w:sz w:val="17"/>
                <w:szCs w:val="17"/>
              </w:rPr>
              <w:t>Příjem z poplatku ze psů</w:t>
            </w:r>
          </w:p>
        </w:tc>
        <w:tc>
          <w:tcPr>
            <w:tcW w:w="146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1 270 000,00</w:t>
            </w:r>
          </w:p>
        </w:tc>
        <w:tc>
          <w:tcPr>
            <w:tcW w:w="136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1 270 000,00</w:t>
            </w:r>
          </w:p>
        </w:tc>
        <w:tc>
          <w:tcPr>
            <w:tcW w:w="138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1 436 040,36</w:t>
            </w:r>
          </w:p>
        </w:tc>
        <w:tc>
          <w:tcPr>
            <w:tcW w:w="879"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113,07%</w:t>
            </w:r>
          </w:p>
        </w:tc>
      </w:tr>
      <w:tr w:rsidR="005C744D" w:rsidTr="005C744D">
        <w:trPr>
          <w:trHeight w:val="25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5C744D" w:rsidRDefault="005C744D">
            <w:pPr>
              <w:rPr>
                <w:rFonts w:ascii="Calibri" w:hAnsi="Calibri" w:cs="Calibri"/>
                <w:sz w:val="17"/>
                <w:szCs w:val="17"/>
              </w:rPr>
            </w:pPr>
            <w:r>
              <w:rPr>
                <w:rFonts w:ascii="Calibri" w:hAnsi="Calibri" w:cs="Calibri"/>
                <w:sz w:val="17"/>
                <w:szCs w:val="17"/>
              </w:rPr>
              <w:t>1343</w:t>
            </w:r>
          </w:p>
        </w:tc>
        <w:tc>
          <w:tcPr>
            <w:tcW w:w="3920" w:type="dxa"/>
            <w:tcBorders>
              <w:top w:val="nil"/>
              <w:left w:val="nil"/>
              <w:bottom w:val="single" w:sz="4" w:space="0" w:color="auto"/>
              <w:right w:val="single" w:sz="4" w:space="0" w:color="auto"/>
            </w:tcBorders>
            <w:shd w:val="clear" w:color="auto" w:fill="auto"/>
            <w:noWrap/>
            <w:vAlign w:val="center"/>
            <w:hideMark/>
          </w:tcPr>
          <w:p w:rsidR="005C744D" w:rsidRDefault="005C744D">
            <w:pPr>
              <w:rPr>
                <w:rFonts w:ascii="Calibri" w:hAnsi="Calibri" w:cs="Calibri"/>
                <w:sz w:val="17"/>
                <w:szCs w:val="17"/>
              </w:rPr>
            </w:pPr>
            <w:r>
              <w:rPr>
                <w:rFonts w:ascii="Calibri" w:hAnsi="Calibri" w:cs="Calibri"/>
                <w:sz w:val="17"/>
                <w:szCs w:val="17"/>
              </w:rPr>
              <w:t>Příjem z poplatku za užívání veřejného prostranství</w:t>
            </w:r>
          </w:p>
        </w:tc>
        <w:tc>
          <w:tcPr>
            <w:tcW w:w="146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1 600 000,00</w:t>
            </w:r>
          </w:p>
        </w:tc>
        <w:tc>
          <w:tcPr>
            <w:tcW w:w="136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1 600 000,00</w:t>
            </w:r>
          </w:p>
        </w:tc>
        <w:tc>
          <w:tcPr>
            <w:tcW w:w="138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4 804 717,11</w:t>
            </w:r>
          </w:p>
        </w:tc>
        <w:tc>
          <w:tcPr>
            <w:tcW w:w="879"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300,29%</w:t>
            </w:r>
          </w:p>
        </w:tc>
      </w:tr>
      <w:tr w:rsidR="005C744D" w:rsidTr="005C744D">
        <w:trPr>
          <w:trHeight w:val="255"/>
        </w:trPr>
        <w:tc>
          <w:tcPr>
            <w:tcW w:w="485" w:type="dxa"/>
            <w:tcBorders>
              <w:top w:val="nil"/>
              <w:left w:val="single" w:sz="4" w:space="0" w:color="auto"/>
              <w:bottom w:val="single" w:sz="4" w:space="0" w:color="auto"/>
              <w:right w:val="single" w:sz="4" w:space="0" w:color="auto"/>
            </w:tcBorders>
            <w:shd w:val="clear" w:color="000000" w:fill="D9D9D9"/>
            <w:noWrap/>
            <w:vAlign w:val="center"/>
            <w:hideMark/>
          </w:tcPr>
          <w:p w:rsidR="005C744D" w:rsidRDefault="005C744D">
            <w:pPr>
              <w:rPr>
                <w:rFonts w:ascii="Calibri" w:hAnsi="Calibri" w:cs="Calibri"/>
                <w:sz w:val="17"/>
                <w:szCs w:val="17"/>
              </w:rPr>
            </w:pPr>
            <w:r>
              <w:rPr>
                <w:rFonts w:ascii="Calibri" w:hAnsi="Calibri" w:cs="Calibri"/>
                <w:sz w:val="17"/>
                <w:szCs w:val="17"/>
              </w:rPr>
              <w:t>1345</w:t>
            </w:r>
          </w:p>
        </w:tc>
        <w:tc>
          <w:tcPr>
            <w:tcW w:w="3920" w:type="dxa"/>
            <w:tcBorders>
              <w:top w:val="nil"/>
              <w:left w:val="nil"/>
              <w:bottom w:val="single" w:sz="4" w:space="0" w:color="auto"/>
              <w:right w:val="single" w:sz="4" w:space="0" w:color="auto"/>
            </w:tcBorders>
            <w:shd w:val="clear" w:color="000000" w:fill="D9D9D9"/>
            <w:noWrap/>
            <w:vAlign w:val="center"/>
            <w:hideMark/>
          </w:tcPr>
          <w:p w:rsidR="005C744D" w:rsidRDefault="005C744D">
            <w:pPr>
              <w:rPr>
                <w:rFonts w:ascii="Calibri" w:hAnsi="Calibri" w:cs="Calibri"/>
                <w:sz w:val="17"/>
                <w:szCs w:val="17"/>
              </w:rPr>
            </w:pPr>
            <w:r>
              <w:rPr>
                <w:rFonts w:ascii="Calibri" w:hAnsi="Calibri" w:cs="Calibri"/>
                <w:sz w:val="17"/>
                <w:szCs w:val="17"/>
              </w:rPr>
              <w:t>Příjem z popl.za obecní systém odpadového hospdář.</w:t>
            </w:r>
          </w:p>
        </w:tc>
        <w:tc>
          <w:tcPr>
            <w:tcW w:w="146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23 500 000,00</w:t>
            </w:r>
          </w:p>
        </w:tc>
        <w:tc>
          <w:tcPr>
            <w:tcW w:w="136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23 500 000,00</w:t>
            </w:r>
          </w:p>
        </w:tc>
        <w:tc>
          <w:tcPr>
            <w:tcW w:w="138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23 655 490,18</w:t>
            </w:r>
          </w:p>
        </w:tc>
        <w:tc>
          <w:tcPr>
            <w:tcW w:w="879"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100,66%</w:t>
            </w:r>
          </w:p>
        </w:tc>
      </w:tr>
      <w:tr w:rsidR="005C744D" w:rsidTr="005C744D">
        <w:trPr>
          <w:trHeight w:val="25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5C744D" w:rsidRDefault="005C744D">
            <w:pPr>
              <w:rPr>
                <w:rFonts w:ascii="Calibri" w:hAnsi="Calibri" w:cs="Calibri"/>
                <w:sz w:val="17"/>
                <w:szCs w:val="17"/>
              </w:rPr>
            </w:pPr>
            <w:r>
              <w:rPr>
                <w:rFonts w:ascii="Calibri" w:hAnsi="Calibri" w:cs="Calibri"/>
                <w:sz w:val="17"/>
                <w:szCs w:val="17"/>
              </w:rPr>
              <w:t>1356</w:t>
            </w:r>
          </w:p>
        </w:tc>
        <w:tc>
          <w:tcPr>
            <w:tcW w:w="3920" w:type="dxa"/>
            <w:tcBorders>
              <w:top w:val="nil"/>
              <w:left w:val="nil"/>
              <w:bottom w:val="single" w:sz="4" w:space="0" w:color="auto"/>
              <w:right w:val="single" w:sz="4" w:space="0" w:color="auto"/>
            </w:tcBorders>
            <w:shd w:val="clear" w:color="auto" w:fill="auto"/>
            <w:noWrap/>
            <w:vAlign w:val="center"/>
            <w:hideMark/>
          </w:tcPr>
          <w:p w:rsidR="005C744D" w:rsidRDefault="005C744D">
            <w:pPr>
              <w:rPr>
                <w:rFonts w:ascii="Calibri" w:hAnsi="Calibri" w:cs="Calibri"/>
                <w:sz w:val="17"/>
                <w:szCs w:val="17"/>
              </w:rPr>
            </w:pPr>
            <w:r>
              <w:rPr>
                <w:rFonts w:ascii="Calibri" w:hAnsi="Calibri" w:cs="Calibri"/>
                <w:sz w:val="17"/>
                <w:szCs w:val="17"/>
              </w:rPr>
              <w:t>Příjem z úhrad za dobýv. ner. a popl.za geo. práce</w:t>
            </w:r>
          </w:p>
        </w:tc>
        <w:tc>
          <w:tcPr>
            <w:tcW w:w="146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0,00</w:t>
            </w:r>
          </w:p>
        </w:tc>
        <w:tc>
          <w:tcPr>
            <w:tcW w:w="136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0,00</w:t>
            </w:r>
          </w:p>
        </w:tc>
        <w:tc>
          <w:tcPr>
            <w:tcW w:w="138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8 601,02</w:t>
            </w:r>
          </w:p>
        </w:tc>
        <w:tc>
          <w:tcPr>
            <w:tcW w:w="879"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w:t>
            </w:r>
          </w:p>
        </w:tc>
      </w:tr>
      <w:tr w:rsidR="005C744D" w:rsidTr="005C744D">
        <w:trPr>
          <w:trHeight w:val="255"/>
        </w:trPr>
        <w:tc>
          <w:tcPr>
            <w:tcW w:w="485" w:type="dxa"/>
            <w:tcBorders>
              <w:top w:val="nil"/>
              <w:left w:val="single" w:sz="4" w:space="0" w:color="auto"/>
              <w:bottom w:val="single" w:sz="4" w:space="0" w:color="auto"/>
              <w:right w:val="single" w:sz="4" w:space="0" w:color="auto"/>
            </w:tcBorders>
            <w:shd w:val="clear" w:color="000000" w:fill="D9D9D9"/>
            <w:noWrap/>
            <w:vAlign w:val="center"/>
            <w:hideMark/>
          </w:tcPr>
          <w:p w:rsidR="005C744D" w:rsidRDefault="005C744D">
            <w:pPr>
              <w:rPr>
                <w:rFonts w:ascii="Calibri" w:hAnsi="Calibri" w:cs="Calibri"/>
                <w:sz w:val="17"/>
                <w:szCs w:val="17"/>
              </w:rPr>
            </w:pPr>
            <w:r>
              <w:rPr>
                <w:rFonts w:ascii="Calibri" w:hAnsi="Calibri" w:cs="Calibri"/>
                <w:sz w:val="17"/>
                <w:szCs w:val="17"/>
              </w:rPr>
              <w:t>1359</w:t>
            </w:r>
          </w:p>
        </w:tc>
        <w:tc>
          <w:tcPr>
            <w:tcW w:w="3920" w:type="dxa"/>
            <w:tcBorders>
              <w:top w:val="nil"/>
              <w:left w:val="nil"/>
              <w:bottom w:val="single" w:sz="4" w:space="0" w:color="auto"/>
              <w:right w:val="single" w:sz="4" w:space="0" w:color="auto"/>
            </w:tcBorders>
            <w:shd w:val="clear" w:color="000000" w:fill="D9D9D9"/>
            <w:noWrap/>
            <w:vAlign w:val="center"/>
            <w:hideMark/>
          </w:tcPr>
          <w:p w:rsidR="005C744D" w:rsidRDefault="005C744D">
            <w:pPr>
              <w:rPr>
                <w:rFonts w:ascii="Calibri" w:hAnsi="Calibri" w:cs="Calibri"/>
                <w:sz w:val="17"/>
                <w:szCs w:val="17"/>
              </w:rPr>
            </w:pPr>
            <w:r>
              <w:rPr>
                <w:rFonts w:ascii="Calibri" w:hAnsi="Calibri" w:cs="Calibri"/>
                <w:sz w:val="17"/>
                <w:szCs w:val="17"/>
              </w:rPr>
              <w:t>Příjem z popl. z vybraných činností a služeb j. n.</w:t>
            </w:r>
          </w:p>
        </w:tc>
        <w:tc>
          <w:tcPr>
            <w:tcW w:w="146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438 600,00</w:t>
            </w:r>
          </w:p>
        </w:tc>
        <w:tc>
          <w:tcPr>
            <w:tcW w:w="136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438 600,00</w:t>
            </w:r>
          </w:p>
        </w:tc>
        <w:tc>
          <w:tcPr>
            <w:tcW w:w="138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317 190,65</w:t>
            </w:r>
          </w:p>
        </w:tc>
        <w:tc>
          <w:tcPr>
            <w:tcW w:w="879"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72,32%</w:t>
            </w:r>
          </w:p>
        </w:tc>
      </w:tr>
      <w:tr w:rsidR="005C744D" w:rsidTr="005C744D">
        <w:trPr>
          <w:trHeight w:val="25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5C744D" w:rsidRDefault="005C744D">
            <w:pPr>
              <w:rPr>
                <w:rFonts w:ascii="Calibri" w:hAnsi="Calibri" w:cs="Calibri"/>
                <w:sz w:val="17"/>
                <w:szCs w:val="17"/>
              </w:rPr>
            </w:pPr>
            <w:r>
              <w:rPr>
                <w:rFonts w:ascii="Calibri" w:hAnsi="Calibri" w:cs="Calibri"/>
                <w:sz w:val="17"/>
                <w:szCs w:val="17"/>
              </w:rPr>
              <w:t>1361</w:t>
            </w:r>
          </w:p>
        </w:tc>
        <w:tc>
          <w:tcPr>
            <w:tcW w:w="3920" w:type="dxa"/>
            <w:tcBorders>
              <w:top w:val="nil"/>
              <w:left w:val="nil"/>
              <w:bottom w:val="single" w:sz="4" w:space="0" w:color="auto"/>
              <w:right w:val="single" w:sz="4" w:space="0" w:color="auto"/>
            </w:tcBorders>
            <w:shd w:val="clear" w:color="auto" w:fill="auto"/>
            <w:noWrap/>
            <w:vAlign w:val="center"/>
            <w:hideMark/>
          </w:tcPr>
          <w:p w:rsidR="005C744D" w:rsidRDefault="005C744D">
            <w:pPr>
              <w:rPr>
                <w:rFonts w:ascii="Calibri" w:hAnsi="Calibri" w:cs="Calibri"/>
                <w:sz w:val="17"/>
                <w:szCs w:val="17"/>
              </w:rPr>
            </w:pPr>
            <w:r>
              <w:rPr>
                <w:rFonts w:ascii="Calibri" w:hAnsi="Calibri" w:cs="Calibri"/>
                <w:sz w:val="17"/>
                <w:szCs w:val="17"/>
              </w:rPr>
              <w:t>Příjem ze správních poplatků</w:t>
            </w:r>
          </w:p>
        </w:tc>
        <w:tc>
          <w:tcPr>
            <w:tcW w:w="146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19 921 004,28</w:t>
            </w:r>
          </w:p>
        </w:tc>
        <w:tc>
          <w:tcPr>
            <w:tcW w:w="136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19 921 004,28</w:t>
            </w:r>
          </w:p>
        </w:tc>
        <w:tc>
          <w:tcPr>
            <w:tcW w:w="138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20 086 161,00</w:t>
            </w:r>
          </w:p>
        </w:tc>
        <w:tc>
          <w:tcPr>
            <w:tcW w:w="879"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100,83%</w:t>
            </w:r>
          </w:p>
        </w:tc>
      </w:tr>
      <w:tr w:rsidR="005C744D" w:rsidTr="005C744D">
        <w:trPr>
          <w:trHeight w:val="255"/>
        </w:trPr>
        <w:tc>
          <w:tcPr>
            <w:tcW w:w="485" w:type="dxa"/>
            <w:tcBorders>
              <w:top w:val="nil"/>
              <w:left w:val="single" w:sz="4" w:space="0" w:color="auto"/>
              <w:bottom w:val="single" w:sz="4" w:space="0" w:color="auto"/>
              <w:right w:val="single" w:sz="4" w:space="0" w:color="auto"/>
            </w:tcBorders>
            <w:shd w:val="clear" w:color="000000" w:fill="D9D9D9"/>
            <w:noWrap/>
            <w:vAlign w:val="center"/>
            <w:hideMark/>
          </w:tcPr>
          <w:p w:rsidR="005C744D" w:rsidRDefault="005C744D">
            <w:pPr>
              <w:rPr>
                <w:rFonts w:ascii="Calibri" w:hAnsi="Calibri" w:cs="Calibri"/>
                <w:sz w:val="17"/>
                <w:szCs w:val="17"/>
              </w:rPr>
            </w:pPr>
            <w:r>
              <w:rPr>
                <w:rFonts w:ascii="Calibri" w:hAnsi="Calibri" w:cs="Calibri"/>
                <w:sz w:val="17"/>
                <w:szCs w:val="17"/>
              </w:rPr>
              <w:t>1381</w:t>
            </w:r>
          </w:p>
        </w:tc>
        <w:tc>
          <w:tcPr>
            <w:tcW w:w="3920" w:type="dxa"/>
            <w:tcBorders>
              <w:top w:val="nil"/>
              <w:left w:val="nil"/>
              <w:bottom w:val="single" w:sz="4" w:space="0" w:color="auto"/>
              <w:right w:val="single" w:sz="4" w:space="0" w:color="auto"/>
            </w:tcBorders>
            <w:shd w:val="clear" w:color="000000" w:fill="D9D9D9"/>
            <w:noWrap/>
            <w:vAlign w:val="center"/>
            <w:hideMark/>
          </w:tcPr>
          <w:p w:rsidR="005C744D" w:rsidRDefault="005C744D">
            <w:pPr>
              <w:rPr>
                <w:rFonts w:ascii="Calibri" w:hAnsi="Calibri" w:cs="Calibri"/>
                <w:sz w:val="17"/>
                <w:szCs w:val="17"/>
              </w:rPr>
            </w:pPr>
            <w:r>
              <w:rPr>
                <w:rFonts w:ascii="Calibri" w:hAnsi="Calibri" w:cs="Calibri"/>
                <w:sz w:val="17"/>
                <w:szCs w:val="17"/>
              </w:rPr>
              <w:t>Příjem z daně z hazardních her s výjimkou tech. her</w:t>
            </w:r>
          </w:p>
        </w:tc>
        <w:tc>
          <w:tcPr>
            <w:tcW w:w="146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3 200 000,00</w:t>
            </w:r>
          </w:p>
        </w:tc>
        <w:tc>
          <w:tcPr>
            <w:tcW w:w="136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3 200 000,00</w:t>
            </w:r>
          </w:p>
        </w:tc>
        <w:tc>
          <w:tcPr>
            <w:tcW w:w="138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6 115 110,87</w:t>
            </w:r>
          </w:p>
        </w:tc>
        <w:tc>
          <w:tcPr>
            <w:tcW w:w="879"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191,10%</w:t>
            </w:r>
          </w:p>
        </w:tc>
      </w:tr>
      <w:tr w:rsidR="005C744D" w:rsidTr="005C744D">
        <w:trPr>
          <w:trHeight w:val="25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5C744D" w:rsidRDefault="005C744D">
            <w:pPr>
              <w:rPr>
                <w:rFonts w:ascii="Calibri" w:hAnsi="Calibri" w:cs="Calibri"/>
                <w:sz w:val="17"/>
                <w:szCs w:val="17"/>
              </w:rPr>
            </w:pPr>
            <w:r>
              <w:rPr>
                <w:rFonts w:ascii="Calibri" w:hAnsi="Calibri" w:cs="Calibri"/>
                <w:sz w:val="17"/>
                <w:szCs w:val="17"/>
              </w:rPr>
              <w:t>1382</w:t>
            </w:r>
          </w:p>
        </w:tc>
        <w:tc>
          <w:tcPr>
            <w:tcW w:w="3920" w:type="dxa"/>
            <w:tcBorders>
              <w:top w:val="nil"/>
              <w:left w:val="nil"/>
              <w:bottom w:val="single" w:sz="4" w:space="0" w:color="auto"/>
              <w:right w:val="single" w:sz="4" w:space="0" w:color="auto"/>
            </w:tcBorders>
            <w:shd w:val="clear" w:color="auto" w:fill="auto"/>
            <w:noWrap/>
            <w:vAlign w:val="center"/>
            <w:hideMark/>
          </w:tcPr>
          <w:p w:rsidR="005C744D" w:rsidRDefault="005C744D" w:rsidP="005C744D">
            <w:pPr>
              <w:rPr>
                <w:rFonts w:ascii="Calibri" w:hAnsi="Calibri" w:cs="Calibri"/>
                <w:sz w:val="17"/>
                <w:szCs w:val="17"/>
              </w:rPr>
            </w:pPr>
            <w:r>
              <w:rPr>
                <w:rFonts w:ascii="Calibri" w:hAnsi="Calibri" w:cs="Calibri"/>
                <w:sz w:val="17"/>
                <w:szCs w:val="17"/>
              </w:rPr>
              <w:t>Příjem z daně ze zrušen. odvod z loterií  a pod. her</w:t>
            </w:r>
          </w:p>
        </w:tc>
        <w:tc>
          <w:tcPr>
            <w:tcW w:w="146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0,00</w:t>
            </w:r>
          </w:p>
        </w:tc>
        <w:tc>
          <w:tcPr>
            <w:tcW w:w="136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0,00</w:t>
            </w:r>
          </w:p>
        </w:tc>
        <w:tc>
          <w:tcPr>
            <w:tcW w:w="138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4 387,60</w:t>
            </w:r>
          </w:p>
        </w:tc>
        <w:tc>
          <w:tcPr>
            <w:tcW w:w="879"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w:t>
            </w:r>
          </w:p>
        </w:tc>
      </w:tr>
      <w:tr w:rsidR="005C744D" w:rsidTr="005C744D">
        <w:trPr>
          <w:trHeight w:val="255"/>
        </w:trPr>
        <w:tc>
          <w:tcPr>
            <w:tcW w:w="485" w:type="dxa"/>
            <w:tcBorders>
              <w:top w:val="nil"/>
              <w:left w:val="single" w:sz="4" w:space="0" w:color="auto"/>
              <w:bottom w:val="single" w:sz="4" w:space="0" w:color="auto"/>
              <w:right w:val="single" w:sz="4" w:space="0" w:color="auto"/>
            </w:tcBorders>
            <w:shd w:val="clear" w:color="000000" w:fill="D9D9D9"/>
            <w:noWrap/>
            <w:vAlign w:val="center"/>
            <w:hideMark/>
          </w:tcPr>
          <w:p w:rsidR="005C744D" w:rsidRDefault="005C744D">
            <w:pPr>
              <w:rPr>
                <w:rFonts w:ascii="Calibri" w:hAnsi="Calibri" w:cs="Calibri"/>
                <w:sz w:val="17"/>
                <w:szCs w:val="17"/>
              </w:rPr>
            </w:pPr>
            <w:r>
              <w:rPr>
                <w:rFonts w:ascii="Calibri" w:hAnsi="Calibri" w:cs="Calibri"/>
                <w:sz w:val="17"/>
                <w:szCs w:val="17"/>
              </w:rPr>
              <w:t>1385</w:t>
            </w:r>
          </w:p>
        </w:tc>
        <w:tc>
          <w:tcPr>
            <w:tcW w:w="3920" w:type="dxa"/>
            <w:tcBorders>
              <w:top w:val="nil"/>
              <w:left w:val="nil"/>
              <w:bottom w:val="single" w:sz="4" w:space="0" w:color="auto"/>
              <w:right w:val="single" w:sz="4" w:space="0" w:color="auto"/>
            </w:tcBorders>
            <w:shd w:val="clear" w:color="000000" w:fill="D9D9D9"/>
            <w:noWrap/>
            <w:vAlign w:val="center"/>
            <w:hideMark/>
          </w:tcPr>
          <w:p w:rsidR="005C744D" w:rsidRDefault="005C744D">
            <w:pPr>
              <w:rPr>
                <w:rFonts w:ascii="Calibri" w:hAnsi="Calibri" w:cs="Calibri"/>
                <w:sz w:val="17"/>
                <w:szCs w:val="17"/>
              </w:rPr>
            </w:pPr>
            <w:r>
              <w:rPr>
                <w:rFonts w:ascii="Calibri" w:hAnsi="Calibri" w:cs="Calibri"/>
                <w:sz w:val="17"/>
                <w:szCs w:val="17"/>
              </w:rPr>
              <w:t>Příjem z dílčí daně z technických her</w:t>
            </w:r>
          </w:p>
        </w:tc>
        <w:tc>
          <w:tcPr>
            <w:tcW w:w="146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37 000 000,00</w:t>
            </w:r>
          </w:p>
        </w:tc>
        <w:tc>
          <w:tcPr>
            <w:tcW w:w="136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37 000 000,00</w:t>
            </w:r>
          </w:p>
        </w:tc>
        <w:tc>
          <w:tcPr>
            <w:tcW w:w="138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77 393 044,71</w:t>
            </w:r>
          </w:p>
        </w:tc>
        <w:tc>
          <w:tcPr>
            <w:tcW w:w="879"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209,17%</w:t>
            </w:r>
          </w:p>
        </w:tc>
      </w:tr>
      <w:tr w:rsidR="005C744D" w:rsidTr="005C744D">
        <w:trPr>
          <w:trHeight w:val="25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5C744D" w:rsidRDefault="005C744D">
            <w:pPr>
              <w:rPr>
                <w:rFonts w:ascii="Calibri" w:hAnsi="Calibri" w:cs="Calibri"/>
                <w:sz w:val="17"/>
                <w:szCs w:val="17"/>
              </w:rPr>
            </w:pPr>
            <w:r>
              <w:rPr>
                <w:rFonts w:ascii="Calibri" w:hAnsi="Calibri" w:cs="Calibri"/>
                <w:sz w:val="17"/>
                <w:szCs w:val="17"/>
              </w:rPr>
              <w:t>1511</w:t>
            </w:r>
          </w:p>
        </w:tc>
        <w:tc>
          <w:tcPr>
            <w:tcW w:w="3920" w:type="dxa"/>
            <w:tcBorders>
              <w:top w:val="nil"/>
              <w:left w:val="nil"/>
              <w:bottom w:val="single" w:sz="4" w:space="0" w:color="auto"/>
              <w:right w:val="single" w:sz="4" w:space="0" w:color="auto"/>
            </w:tcBorders>
            <w:shd w:val="clear" w:color="auto" w:fill="auto"/>
            <w:noWrap/>
            <w:vAlign w:val="center"/>
            <w:hideMark/>
          </w:tcPr>
          <w:p w:rsidR="005C744D" w:rsidRDefault="005C744D">
            <w:pPr>
              <w:rPr>
                <w:rFonts w:ascii="Calibri" w:hAnsi="Calibri" w:cs="Calibri"/>
                <w:sz w:val="17"/>
                <w:szCs w:val="17"/>
              </w:rPr>
            </w:pPr>
            <w:r>
              <w:rPr>
                <w:rFonts w:ascii="Calibri" w:hAnsi="Calibri" w:cs="Calibri"/>
                <w:sz w:val="17"/>
                <w:szCs w:val="17"/>
              </w:rPr>
              <w:t>Příjem z daně z nemovitých věcí</w:t>
            </w:r>
          </w:p>
        </w:tc>
        <w:tc>
          <w:tcPr>
            <w:tcW w:w="146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28 000 000,00</w:t>
            </w:r>
          </w:p>
        </w:tc>
        <w:tc>
          <w:tcPr>
            <w:tcW w:w="136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28 000 000,00</w:t>
            </w:r>
          </w:p>
        </w:tc>
        <w:tc>
          <w:tcPr>
            <w:tcW w:w="138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31 485 178,40</w:t>
            </w:r>
          </w:p>
        </w:tc>
        <w:tc>
          <w:tcPr>
            <w:tcW w:w="879"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112,45%</w:t>
            </w:r>
          </w:p>
        </w:tc>
      </w:tr>
      <w:tr w:rsidR="005C744D" w:rsidTr="005C744D">
        <w:trPr>
          <w:trHeight w:val="255"/>
        </w:trPr>
        <w:tc>
          <w:tcPr>
            <w:tcW w:w="4405" w:type="dxa"/>
            <w:gridSpan w:val="2"/>
            <w:tcBorders>
              <w:top w:val="single" w:sz="4" w:space="0" w:color="auto"/>
              <w:left w:val="single" w:sz="4" w:space="0" w:color="auto"/>
              <w:bottom w:val="single" w:sz="4" w:space="0" w:color="auto"/>
              <w:right w:val="single" w:sz="4" w:space="0" w:color="000000"/>
            </w:tcBorders>
            <w:shd w:val="clear" w:color="D6A100" w:fill="FFC000"/>
            <w:noWrap/>
            <w:vAlign w:val="center"/>
            <w:hideMark/>
          </w:tcPr>
          <w:p w:rsidR="005C744D" w:rsidRDefault="005C744D">
            <w:pPr>
              <w:rPr>
                <w:rFonts w:ascii="Calibri" w:hAnsi="Calibri" w:cs="Calibri"/>
                <w:b/>
                <w:bCs/>
                <w:color w:val="000000"/>
                <w:sz w:val="17"/>
                <w:szCs w:val="17"/>
              </w:rPr>
            </w:pPr>
            <w:r>
              <w:rPr>
                <w:rFonts w:ascii="Calibri" w:hAnsi="Calibri" w:cs="Calibri"/>
                <w:b/>
                <w:bCs/>
                <w:color w:val="000000"/>
                <w:sz w:val="17"/>
                <w:szCs w:val="17"/>
              </w:rPr>
              <w:t>DAŇOVÉ PŘÍJMY CELKEM</w:t>
            </w:r>
          </w:p>
        </w:tc>
        <w:tc>
          <w:tcPr>
            <w:tcW w:w="1460" w:type="dxa"/>
            <w:tcBorders>
              <w:top w:val="nil"/>
              <w:left w:val="nil"/>
              <w:bottom w:val="single" w:sz="4" w:space="0" w:color="auto"/>
              <w:right w:val="single" w:sz="4" w:space="0" w:color="auto"/>
            </w:tcBorders>
            <w:shd w:val="clear" w:color="000000" w:fill="FFC000"/>
            <w:noWrap/>
            <w:vAlign w:val="center"/>
            <w:hideMark/>
          </w:tcPr>
          <w:p w:rsidR="005C744D" w:rsidRDefault="005C744D">
            <w:pPr>
              <w:jc w:val="right"/>
              <w:rPr>
                <w:rFonts w:ascii="Calibri" w:hAnsi="Calibri" w:cs="Calibri"/>
                <w:b/>
                <w:bCs/>
                <w:color w:val="000000"/>
                <w:sz w:val="17"/>
                <w:szCs w:val="17"/>
              </w:rPr>
            </w:pPr>
            <w:r>
              <w:rPr>
                <w:rFonts w:ascii="Calibri" w:hAnsi="Calibri" w:cs="Calibri"/>
                <w:b/>
                <w:bCs/>
                <w:color w:val="000000"/>
                <w:sz w:val="17"/>
                <w:szCs w:val="17"/>
              </w:rPr>
              <w:t>777 929 604,28</w:t>
            </w:r>
          </w:p>
        </w:tc>
        <w:tc>
          <w:tcPr>
            <w:tcW w:w="1360" w:type="dxa"/>
            <w:tcBorders>
              <w:top w:val="nil"/>
              <w:left w:val="nil"/>
              <w:bottom w:val="single" w:sz="4" w:space="0" w:color="auto"/>
              <w:right w:val="single" w:sz="4" w:space="0" w:color="auto"/>
            </w:tcBorders>
            <w:shd w:val="clear" w:color="000000" w:fill="FFC000"/>
            <w:noWrap/>
            <w:vAlign w:val="center"/>
            <w:hideMark/>
          </w:tcPr>
          <w:p w:rsidR="005C744D" w:rsidRDefault="005C744D">
            <w:pPr>
              <w:jc w:val="right"/>
              <w:rPr>
                <w:rFonts w:ascii="Calibri" w:hAnsi="Calibri" w:cs="Calibri"/>
                <w:b/>
                <w:bCs/>
                <w:color w:val="000000"/>
                <w:sz w:val="17"/>
                <w:szCs w:val="17"/>
              </w:rPr>
            </w:pPr>
            <w:r>
              <w:rPr>
                <w:rFonts w:ascii="Calibri" w:hAnsi="Calibri" w:cs="Calibri"/>
                <w:b/>
                <w:bCs/>
                <w:color w:val="000000"/>
                <w:sz w:val="17"/>
                <w:szCs w:val="17"/>
              </w:rPr>
              <w:t>774 962 313,94</w:t>
            </w:r>
          </w:p>
        </w:tc>
        <w:tc>
          <w:tcPr>
            <w:tcW w:w="1380" w:type="dxa"/>
            <w:tcBorders>
              <w:top w:val="nil"/>
              <w:left w:val="nil"/>
              <w:bottom w:val="single" w:sz="4" w:space="0" w:color="auto"/>
              <w:right w:val="single" w:sz="4" w:space="0" w:color="auto"/>
            </w:tcBorders>
            <w:shd w:val="clear" w:color="000000" w:fill="FFC000"/>
            <w:noWrap/>
            <w:vAlign w:val="center"/>
            <w:hideMark/>
          </w:tcPr>
          <w:p w:rsidR="005C744D" w:rsidRDefault="005C744D">
            <w:pPr>
              <w:jc w:val="right"/>
              <w:rPr>
                <w:rFonts w:ascii="Calibri" w:hAnsi="Calibri" w:cs="Calibri"/>
                <w:b/>
                <w:bCs/>
                <w:color w:val="000000"/>
                <w:sz w:val="17"/>
                <w:szCs w:val="17"/>
              </w:rPr>
            </w:pPr>
            <w:r>
              <w:rPr>
                <w:rFonts w:ascii="Calibri" w:hAnsi="Calibri" w:cs="Calibri"/>
                <w:b/>
                <w:bCs/>
                <w:color w:val="000000"/>
                <w:sz w:val="17"/>
                <w:szCs w:val="17"/>
              </w:rPr>
              <w:t>982 699 253,25</w:t>
            </w:r>
          </w:p>
        </w:tc>
        <w:tc>
          <w:tcPr>
            <w:tcW w:w="879" w:type="dxa"/>
            <w:tcBorders>
              <w:top w:val="nil"/>
              <w:left w:val="nil"/>
              <w:bottom w:val="single" w:sz="4" w:space="0" w:color="auto"/>
              <w:right w:val="single" w:sz="4" w:space="0" w:color="auto"/>
            </w:tcBorders>
            <w:shd w:val="clear" w:color="000000" w:fill="FFC000"/>
            <w:noWrap/>
            <w:vAlign w:val="center"/>
            <w:hideMark/>
          </w:tcPr>
          <w:p w:rsidR="005C744D" w:rsidRDefault="005C744D">
            <w:pPr>
              <w:jc w:val="right"/>
              <w:rPr>
                <w:rFonts w:ascii="Calibri" w:hAnsi="Calibri" w:cs="Calibri"/>
                <w:b/>
                <w:bCs/>
                <w:color w:val="000000"/>
                <w:sz w:val="17"/>
                <w:szCs w:val="17"/>
              </w:rPr>
            </w:pPr>
            <w:r>
              <w:rPr>
                <w:rFonts w:ascii="Calibri" w:hAnsi="Calibri" w:cs="Calibri"/>
                <w:b/>
                <w:bCs/>
                <w:color w:val="000000"/>
                <w:sz w:val="17"/>
                <w:szCs w:val="17"/>
              </w:rPr>
              <w:t>126,81%</w:t>
            </w:r>
          </w:p>
        </w:tc>
      </w:tr>
      <w:tr w:rsidR="005C744D" w:rsidTr="005C744D">
        <w:trPr>
          <w:trHeight w:val="25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5C744D" w:rsidRDefault="005C744D">
            <w:pPr>
              <w:rPr>
                <w:rFonts w:ascii="Calibri" w:hAnsi="Calibri" w:cs="Calibri"/>
                <w:sz w:val="17"/>
                <w:szCs w:val="17"/>
              </w:rPr>
            </w:pPr>
            <w:r>
              <w:rPr>
                <w:rFonts w:ascii="Calibri" w:hAnsi="Calibri" w:cs="Calibri"/>
                <w:sz w:val="17"/>
                <w:szCs w:val="17"/>
              </w:rPr>
              <w:t>2111</w:t>
            </w:r>
          </w:p>
        </w:tc>
        <w:tc>
          <w:tcPr>
            <w:tcW w:w="3920" w:type="dxa"/>
            <w:tcBorders>
              <w:top w:val="nil"/>
              <w:left w:val="nil"/>
              <w:bottom w:val="single" w:sz="4" w:space="0" w:color="auto"/>
              <w:right w:val="single" w:sz="4" w:space="0" w:color="auto"/>
            </w:tcBorders>
            <w:shd w:val="clear" w:color="auto" w:fill="auto"/>
            <w:noWrap/>
            <w:vAlign w:val="center"/>
            <w:hideMark/>
          </w:tcPr>
          <w:p w:rsidR="005C744D" w:rsidRDefault="005C744D">
            <w:pPr>
              <w:rPr>
                <w:rFonts w:ascii="Calibri" w:hAnsi="Calibri" w:cs="Calibri"/>
                <w:sz w:val="17"/>
                <w:szCs w:val="17"/>
              </w:rPr>
            </w:pPr>
            <w:r>
              <w:rPr>
                <w:rFonts w:ascii="Calibri" w:hAnsi="Calibri" w:cs="Calibri"/>
                <w:sz w:val="17"/>
                <w:szCs w:val="17"/>
              </w:rPr>
              <w:t>Příjem z poskytování služeb, výrobků, prací, výkon</w:t>
            </w:r>
          </w:p>
        </w:tc>
        <w:tc>
          <w:tcPr>
            <w:tcW w:w="146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34 817 004,00</w:t>
            </w:r>
          </w:p>
        </w:tc>
        <w:tc>
          <w:tcPr>
            <w:tcW w:w="136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35 242 555,00</w:t>
            </w:r>
          </w:p>
        </w:tc>
        <w:tc>
          <w:tcPr>
            <w:tcW w:w="138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33 011 702,50</w:t>
            </w:r>
          </w:p>
        </w:tc>
        <w:tc>
          <w:tcPr>
            <w:tcW w:w="879"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93,67%</w:t>
            </w:r>
          </w:p>
        </w:tc>
      </w:tr>
      <w:tr w:rsidR="005C744D" w:rsidTr="005C744D">
        <w:trPr>
          <w:trHeight w:val="255"/>
        </w:trPr>
        <w:tc>
          <w:tcPr>
            <w:tcW w:w="485" w:type="dxa"/>
            <w:tcBorders>
              <w:top w:val="nil"/>
              <w:left w:val="single" w:sz="4" w:space="0" w:color="auto"/>
              <w:bottom w:val="single" w:sz="4" w:space="0" w:color="auto"/>
              <w:right w:val="single" w:sz="4" w:space="0" w:color="auto"/>
            </w:tcBorders>
            <w:shd w:val="clear" w:color="000000" w:fill="D9D9D9"/>
            <w:noWrap/>
            <w:vAlign w:val="center"/>
            <w:hideMark/>
          </w:tcPr>
          <w:p w:rsidR="005C744D" w:rsidRDefault="005C744D">
            <w:pPr>
              <w:rPr>
                <w:rFonts w:ascii="Calibri" w:hAnsi="Calibri" w:cs="Calibri"/>
                <w:sz w:val="17"/>
                <w:szCs w:val="17"/>
              </w:rPr>
            </w:pPr>
            <w:r>
              <w:rPr>
                <w:rFonts w:ascii="Calibri" w:hAnsi="Calibri" w:cs="Calibri"/>
                <w:sz w:val="17"/>
                <w:szCs w:val="17"/>
              </w:rPr>
              <w:t>2112</w:t>
            </w:r>
          </w:p>
        </w:tc>
        <w:tc>
          <w:tcPr>
            <w:tcW w:w="3920" w:type="dxa"/>
            <w:tcBorders>
              <w:top w:val="nil"/>
              <w:left w:val="nil"/>
              <w:bottom w:val="single" w:sz="4" w:space="0" w:color="auto"/>
              <w:right w:val="single" w:sz="4" w:space="0" w:color="auto"/>
            </w:tcBorders>
            <w:shd w:val="clear" w:color="000000" w:fill="D9D9D9"/>
            <w:noWrap/>
            <w:vAlign w:val="center"/>
            <w:hideMark/>
          </w:tcPr>
          <w:p w:rsidR="005C744D" w:rsidRDefault="005C744D">
            <w:pPr>
              <w:rPr>
                <w:rFonts w:ascii="Calibri" w:hAnsi="Calibri" w:cs="Calibri"/>
                <w:sz w:val="17"/>
                <w:szCs w:val="17"/>
              </w:rPr>
            </w:pPr>
            <w:r>
              <w:rPr>
                <w:rFonts w:ascii="Calibri" w:hAnsi="Calibri" w:cs="Calibri"/>
                <w:sz w:val="17"/>
                <w:szCs w:val="17"/>
              </w:rPr>
              <w:t>Příjem z prodeje zboží (nakoupeného za úč. prodeje)</w:t>
            </w:r>
          </w:p>
        </w:tc>
        <w:tc>
          <w:tcPr>
            <w:tcW w:w="146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100 000,00</w:t>
            </w:r>
          </w:p>
        </w:tc>
        <w:tc>
          <w:tcPr>
            <w:tcW w:w="136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100 000,00</w:t>
            </w:r>
          </w:p>
        </w:tc>
        <w:tc>
          <w:tcPr>
            <w:tcW w:w="138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143 902,00</w:t>
            </w:r>
          </w:p>
        </w:tc>
        <w:tc>
          <w:tcPr>
            <w:tcW w:w="879"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143,90%</w:t>
            </w:r>
          </w:p>
        </w:tc>
      </w:tr>
      <w:tr w:rsidR="005C744D" w:rsidTr="005C744D">
        <w:trPr>
          <w:trHeight w:val="25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5C744D" w:rsidRDefault="005C744D">
            <w:pPr>
              <w:rPr>
                <w:rFonts w:ascii="Calibri" w:hAnsi="Calibri" w:cs="Calibri"/>
                <w:sz w:val="17"/>
                <w:szCs w:val="17"/>
              </w:rPr>
            </w:pPr>
            <w:r>
              <w:rPr>
                <w:rFonts w:ascii="Calibri" w:hAnsi="Calibri" w:cs="Calibri"/>
                <w:sz w:val="17"/>
                <w:szCs w:val="17"/>
              </w:rPr>
              <w:t>2119</w:t>
            </w:r>
          </w:p>
        </w:tc>
        <w:tc>
          <w:tcPr>
            <w:tcW w:w="3920" w:type="dxa"/>
            <w:tcBorders>
              <w:top w:val="nil"/>
              <w:left w:val="nil"/>
              <w:bottom w:val="single" w:sz="4" w:space="0" w:color="auto"/>
              <w:right w:val="single" w:sz="4" w:space="0" w:color="auto"/>
            </w:tcBorders>
            <w:shd w:val="clear" w:color="auto" w:fill="auto"/>
            <w:noWrap/>
            <w:vAlign w:val="center"/>
            <w:hideMark/>
          </w:tcPr>
          <w:p w:rsidR="005C744D" w:rsidRDefault="005C744D">
            <w:pPr>
              <w:rPr>
                <w:rFonts w:ascii="Calibri" w:hAnsi="Calibri" w:cs="Calibri"/>
                <w:sz w:val="17"/>
                <w:szCs w:val="17"/>
              </w:rPr>
            </w:pPr>
            <w:r>
              <w:rPr>
                <w:rFonts w:ascii="Calibri" w:hAnsi="Calibri" w:cs="Calibri"/>
                <w:sz w:val="17"/>
                <w:szCs w:val="17"/>
              </w:rPr>
              <w:t>Ostatní příjmy z vlastní činnosti</w:t>
            </w:r>
          </w:p>
        </w:tc>
        <w:tc>
          <w:tcPr>
            <w:tcW w:w="146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1 050 000,00</w:t>
            </w:r>
          </w:p>
        </w:tc>
        <w:tc>
          <w:tcPr>
            <w:tcW w:w="136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2 570 354,19</w:t>
            </w:r>
          </w:p>
        </w:tc>
        <w:tc>
          <w:tcPr>
            <w:tcW w:w="138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2 698 310,51</w:t>
            </w:r>
          </w:p>
        </w:tc>
        <w:tc>
          <w:tcPr>
            <w:tcW w:w="879"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104,98%</w:t>
            </w:r>
          </w:p>
        </w:tc>
      </w:tr>
      <w:tr w:rsidR="005C744D" w:rsidTr="005C744D">
        <w:trPr>
          <w:trHeight w:val="255"/>
        </w:trPr>
        <w:tc>
          <w:tcPr>
            <w:tcW w:w="485" w:type="dxa"/>
            <w:tcBorders>
              <w:top w:val="nil"/>
              <w:left w:val="single" w:sz="4" w:space="0" w:color="auto"/>
              <w:bottom w:val="single" w:sz="4" w:space="0" w:color="auto"/>
              <w:right w:val="single" w:sz="4" w:space="0" w:color="auto"/>
            </w:tcBorders>
            <w:shd w:val="clear" w:color="000000" w:fill="D9D9D9"/>
            <w:noWrap/>
            <w:vAlign w:val="center"/>
            <w:hideMark/>
          </w:tcPr>
          <w:p w:rsidR="005C744D" w:rsidRDefault="005C744D">
            <w:pPr>
              <w:rPr>
                <w:rFonts w:ascii="Calibri" w:hAnsi="Calibri" w:cs="Calibri"/>
                <w:sz w:val="17"/>
                <w:szCs w:val="17"/>
              </w:rPr>
            </w:pPr>
            <w:r>
              <w:rPr>
                <w:rFonts w:ascii="Calibri" w:hAnsi="Calibri" w:cs="Calibri"/>
                <w:sz w:val="17"/>
                <w:szCs w:val="17"/>
              </w:rPr>
              <w:t>2122</w:t>
            </w:r>
          </w:p>
        </w:tc>
        <w:tc>
          <w:tcPr>
            <w:tcW w:w="3920" w:type="dxa"/>
            <w:tcBorders>
              <w:top w:val="nil"/>
              <w:left w:val="nil"/>
              <w:bottom w:val="single" w:sz="4" w:space="0" w:color="auto"/>
              <w:right w:val="single" w:sz="4" w:space="0" w:color="auto"/>
            </w:tcBorders>
            <w:shd w:val="clear" w:color="000000" w:fill="D9D9D9"/>
            <w:noWrap/>
            <w:vAlign w:val="center"/>
            <w:hideMark/>
          </w:tcPr>
          <w:p w:rsidR="005C744D" w:rsidRDefault="005C744D">
            <w:pPr>
              <w:rPr>
                <w:rFonts w:ascii="Calibri" w:hAnsi="Calibri" w:cs="Calibri"/>
                <w:sz w:val="17"/>
                <w:szCs w:val="17"/>
              </w:rPr>
            </w:pPr>
            <w:r>
              <w:rPr>
                <w:rFonts w:ascii="Calibri" w:hAnsi="Calibri" w:cs="Calibri"/>
                <w:sz w:val="17"/>
                <w:szCs w:val="17"/>
              </w:rPr>
              <w:t>Příjem z odvodů příspěvkových organizací</w:t>
            </w:r>
          </w:p>
        </w:tc>
        <w:tc>
          <w:tcPr>
            <w:tcW w:w="146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18 241 055,00</w:t>
            </w:r>
          </w:p>
        </w:tc>
        <w:tc>
          <w:tcPr>
            <w:tcW w:w="136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20 466 750,25</w:t>
            </w:r>
          </w:p>
        </w:tc>
        <w:tc>
          <w:tcPr>
            <w:tcW w:w="138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23 486 457,96</w:t>
            </w:r>
          </w:p>
        </w:tc>
        <w:tc>
          <w:tcPr>
            <w:tcW w:w="879"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114,75%</w:t>
            </w:r>
          </w:p>
        </w:tc>
      </w:tr>
      <w:tr w:rsidR="005C744D" w:rsidTr="005C744D">
        <w:trPr>
          <w:trHeight w:val="25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5C744D" w:rsidRDefault="005C744D">
            <w:pPr>
              <w:rPr>
                <w:rFonts w:ascii="Calibri" w:hAnsi="Calibri" w:cs="Calibri"/>
                <w:sz w:val="17"/>
                <w:szCs w:val="17"/>
              </w:rPr>
            </w:pPr>
            <w:r>
              <w:rPr>
                <w:rFonts w:ascii="Calibri" w:hAnsi="Calibri" w:cs="Calibri"/>
                <w:sz w:val="17"/>
                <w:szCs w:val="17"/>
              </w:rPr>
              <w:t>2131</w:t>
            </w:r>
          </w:p>
        </w:tc>
        <w:tc>
          <w:tcPr>
            <w:tcW w:w="3920" w:type="dxa"/>
            <w:tcBorders>
              <w:top w:val="nil"/>
              <w:left w:val="nil"/>
              <w:bottom w:val="single" w:sz="4" w:space="0" w:color="auto"/>
              <w:right w:val="single" w:sz="4" w:space="0" w:color="auto"/>
            </w:tcBorders>
            <w:shd w:val="clear" w:color="auto" w:fill="auto"/>
            <w:noWrap/>
            <w:vAlign w:val="center"/>
            <w:hideMark/>
          </w:tcPr>
          <w:p w:rsidR="005C744D" w:rsidRDefault="005C744D">
            <w:pPr>
              <w:rPr>
                <w:rFonts w:ascii="Calibri" w:hAnsi="Calibri" w:cs="Calibri"/>
                <w:sz w:val="17"/>
                <w:szCs w:val="17"/>
              </w:rPr>
            </w:pPr>
            <w:r>
              <w:rPr>
                <w:rFonts w:ascii="Calibri" w:hAnsi="Calibri" w:cs="Calibri"/>
                <w:sz w:val="17"/>
                <w:szCs w:val="17"/>
              </w:rPr>
              <w:t>Příjem z pronájmu nebo pachtu pozemků</w:t>
            </w:r>
          </w:p>
        </w:tc>
        <w:tc>
          <w:tcPr>
            <w:tcW w:w="146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5 850 000,00</w:t>
            </w:r>
          </w:p>
        </w:tc>
        <w:tc>
          <w:tcPr>
            <w:tcW w:w="136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5 972 726,54</w:t>
            </w:r>
          </w:p>
        </w:tc>
        <w:tc>
          <w:tcPr>
            <w:tcW w:w="138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6 018 153,71</w:t>
            </w:r>
          </w:p>
        </w:tc>
        <w:tc>
          <w:tcPr>
            <w:tcW w:w="879"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100,76%</w:t>
            </w:r>
          </w:p>
        </w:tc>
      </w:tr>
      <w:tr w:rsidR="005C744D" w:rsidTr="005C744D">
        <w:trPr>
          <w:trHeight w:val="255"/>
        </w:trPr>
        <w:tc>
          <w:tcPr>
            <w:tcW w:w="485" w:type="dxa"/>
            <w:tcBorders>
              <w:top w:val="nil"/>
              <w:left w:val="single" w:sz="4" w:space="0" w:color="auto"/>
              <w:bottom w:val="single" w:sz="4" w:space="0" w:color="auto"/>
              <w:right w:val="single" w:sz="4" w:space="0" w:color="auto"/>
            </w:tcBorders>
            <w:shd w:val="clear" w:color="000000" w:fill="D9D9D9"/>
            <w:noWrap/>
            <w:vAlign w:val="center"/>
            <w:hideMark/>
          </w:tcPr>
          <w:p w:rsidR="005C744D" w:rsidRDefault="005C744D">
            <w:pPr>
              <w:rPr>
                <w:rFonts w:ascii="Calibri" w:hAnsi="Calibri" w:cs="Calibri"/>
                <w:sz w:val="17"/>
                <w:szCs w:val="17"/>
              </w:rPr>
            </w:pPr>
            <w:r>
              <w:rPr>
                <w:rFonts w:ascii="Calibri" w:hAnsi="Calibri" w:cs="Calibri"/>
                <w:sz w:val="17"/>
                <w:szCs w:val="17"/>
              </w:rPr>
              <w:t>2132</w:t>
            </w:r>
          </w:p>
        </w:tc>
        <w:tc>
          <w:tcPr>
            <w:tcW w:w="3920" w:type="dxa"/>
            <w:tcBorders>
              <w:top w:val="nil"/>
              <w:left w:val="nil"/>
              <w:bottom w:val="single" w:sz="4" w:space="0" w:color="auto"/>
              <w:right w:val="single" w:sz="4" w:space="0" w:color="auto"/>
            </w:tcBorders>
            <w:shd w:val="clear" w:color="000000" w:fill="D9D9D9"/>
            <w:noWrap/>
            <w:vAlign w:val="center"/>
            <w:hideMark/>
          </w:tcPr>
          <w:p w:rsidR="005C744D" w:rsidRDefault="005C744D">
            <w:pPr>
              <w:rPr>
                <w:rFonts w:ascii="Calibri" w:hAnsi="Calibri" w:cs="Calibri"/>
                <w:sz w:val="17"/>
                <w:szCs w:val="17"/>
              </w:rPr>
            </w:pPr>
            <w:r>
              <w:rPr>
                <w:rFonts w:ascii="Calibri" w:hAnsi="Calibri" w:cs="Calibri"/>
                <w:sz w:val="17"/>
                <w:szCs w:val="17"/>
              </w:rPr>
              <w:t>Příjmy z pronájmu nebo pachtu ost. nemovitých věcí</w:t>
            </w:r>
          </w:p>
        </w:tc>
        <w:tc>
          <w:tcPr>
            <w:tcW w:w="146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57 066 644,00</w:t>
            </w:r>
          </w:p>
        </w:tc>
        <w:tc>
          <w:tcPr>
            <w:tcW w:w="136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57 184 961,34</w:t>
            </w:r>
          </w:p>
        </w:tc>
        <w:tc>
          <w:tcPr>
            <w:tcW w:w="138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59 373 362,50</w:t>
            </w:r>
          </w:p>
        </w:tc>
        <w:tc>
          <w:tcPr>
            <w:tcW w:w="879"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103,83%</w:t>
            </w:r>
          </w:p>
        </w:tc>
      </w:tr>
      <w:tr w:rsidR="005C744D" w:rsidTr="005C744D">
        <w:trPr>
          <w:trHeight w:val="25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5C744D" w:rsidRDefault="005C744D">
            <w:pPr>
              <w:rPr>
                <w:rFonts w:ascii="Calibri" w:hAnsi="Calibri" w:cs="Calibri"/>
                <w:sz w:val="17"/>
                <w:szCs w:val="17"/>
              </w:rPr>
            </w:pPr>
            <w:r>
              <w:rPr>
                <w:rFonts w:ascii="Calibri" w:hAnsi="Calibri" w:cs="Calibri"/>
                <w:sz w:val="17"/>
                <w:szCs w:val="17"/>
              </w:rPr>
              <w:t>2133</w:t>
            </w:r>
          </w:p>
        </w:tc>
        <w:tc>
          <w:tcPr>
            <w:tcW w:w="3920" w:type="dxa"/>
            <w:tcBorders>
              <w:top w:val="nil"/>
              <w:left w:val="nil"/>
              <w:bottom w:val="single" w:sz="4" w:space="0" w:color="auto"/>
              <w:right w:val="single" w:sz="4" w:space="0" w:color="auto"/>
            </w:tcBorders>
            <w:shd w:val="clear" w:color="auto" w:fill="auto"/>
            <w:noWrap/>
            <w:vAlign w:val="center"/>
            <w:hideMark/>
          </w:tcPr>
          <w:p w:rsidR="005C744D" w:rsidRDefault="005C744D">
            <w:pPr>
              <w:rPr>
                <w:rFonts w:ascii="Calibri" w:hAnsi="Calibri" w:cs="Calibri"/>
                <w:sz w:val="17"/>
                <w:szCs w:val="17"/>
              </w:rPr>
            </w:pPr>
            <w:r>
              <w:rPr>
                <w:rFonts w:ascii="Calibri" w:hAnsi="Calibri" w:cs="Calibri"/>
                <w:sz w:val="17"/>
                <w:szCs w:val="17"/>
              </w:rPr>
              <w:t>Příjmy z pronájmu nebo pachtu movitých věcí</w:t>
            </w:r>
          </w:p>
        </w:tc>
        <w:tc>
          <w:tcPr>
            <w:tcW w:w="146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801 296,00</w:t>
            </w:r>
          </w:p>
        </w:tc>
        <w:tc>
          <w:tcPr>
            <w:tcW w:w="136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946 159,51</w:t>
            </w:r>
          </w:p>
        </w:tc>
        <w:tc>
          <w:tcPr>
            <w:tcW w:w="138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1 507 368,43</w:t>
            </w:r>
          </w:p>
        </w:tc>
        <w:tc>
          <w:tcPr>
            <w:tcW w:w="879"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159,31%</w:t>
            </w:r>
          </w:p>
        </w:tc>
      </w:tr>
      <w:tr w:rsidR="005C744D" w:rsidTr="005C744D">
        <w:trPr>
          <w:trHeight w:val="255"/>
        </w:trPr>
        <w:tc>
          <w:tcPr>
            <w:tcW w:w="485" w:type="dxa"/>
            <w:tcBorders>
              <w:top w:val="nil"/>
              <w:left w:val="single" w:sz="4" w:space="0" w:color="auto"/>
              <w:bottom w:val="single" w:sz="4" w:space="0" w:color="auto"/>
              <w:right w:val="single" w:sz="4" w:space="0" w:color="auto"/>
            </w:tcBorders>
            <w:shd w:val="clear" w:color="000000" w:fill="D9D9D9"/>
            <w:noWrap/>
            <w:vAlign w:val="center"/>
            <w:hideMark/>
          </w:tcPr>
          <w:p w:rsidR="005C744D" w:rsidRDefault="005C744D">
            <w:pPr>
              <w:rPr>
                <w:rFonts w:ascii="Calibri" w:hAnsi="Calibri" w:cs="Calibri"/>
                <w:sz w:val="17"/>
                <w:szCs w:val="17"/>
              </w:rPr>
            </w:pPr>
            <w:r>
              <w:rPr>
                <w:rFonts w:ascii="Calibri" w:hAnsi="Calibri" w:cs="Calibri"/>
                <w:sz w:val="17"/>
                <w:szCs w:val="17"/>
              </w:rPr>
              <w:t>2139</w:t>
            </w:r>
          </w:p>
        </w:tc>
        <w:tc>
          <w:tcPr>
            <w:tcW w:w="3920" w:type="dxa"/>
            <w:tcBorders>
              <w:top w:val="nil"/>
              <w:left w:val="nil"/>
              <w:bottom w:val="single" w:sz="4" w:space="0" w:color="auto"/>
              <w:right w:val="single" w:sz="4" w:space="0" w:color="auto"/>
            </w:tcBorders>
            <w:shd w:val="clear" w:color="000000" w:fill="D9D9D9"/>
            <w:noWrap/>
            <w:vAlign w:val="center"/>
            <w:hideMark/>
          </w:tcPr>
          <w:p w:rsidR="005C744D" w:rsidRDefault="005C744D">
            <w:pPr>
              <w:rPr>
                <w:rFonts w:ascii="Calibri" w:hAnsi="Calibri" w:cs="Calibri"/>
                <w:sz w:val="17"/>
                <w:szCs w:val="17"/>
              </w:rPr>
            </w:pPr>
            <w:r>
              <w:rPr>
                <w:rFonts w:ascii="Calibri" w:hAnsi="Calibri" w:cs="Calibri"/>
                <w:sz w:val="17"/>
                <w:szCs w:val="17"/>
              </w:rPr>
              <w:t>Ostatní příjmy z pronájmu nebo pachtu majetku</w:t>
            </w:r>
          </w:p>
        </w:tc>
        <w:tc>
          <w:tcPr>
            <w:tcW w:w="146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3 733 080,00</w:t>
            </w:r>
          </w:p>
        </w:tc>
        <w:tc>
          <w:tcPr>
            <w:tcW w:w="136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3 733 080,00</w:t>
            </w:r>
          </w:p>
        </w:tc>
        <w:tc>
          <w:tcPr>
            <w:tcW w:w="138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5 988 478,84</w:t>
            </w:r>
          </w:p>
        </w:tc>
        <w:tc>
          <w:tcPr>
            <w:tcW w:w="879"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160,42%</w:t>
            </w:r>
          </w:p>
        </w:tc>
      </w:tr>
      <w:tr w:rsidR="005C744D" w:rsidTr="005C744D">
        <w:trPr>
          <w:trHeight w:val="25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5C744D" w:rsidRDefault="005C744D">
            <w:pPr>
              <w:rPr>
                <w:rFonts w:ascii="Calibri" w:hAnsi="Calibri" w:cs="Calibri"/>
                <w:sz w:val="17"/>
                <w:szCs w:val="17"/>
              </w:rPr>
            </w:pPr>
            <w:r>
              <w:rPr>
                <w:rFonts w:ascii="Calibri" w:hAnsi="Calibri" w:cs="Calibri"/>
                <w:sz w:val="17"/>
                <w:szCs w:val="17"/>
              </w:rPr>
              <w:t>2141</w:t>
            </w:r>
          </w:p>
        </w:tc>
        <w:tc>
          <w:tcPr>
            <w:tcW w:w="3920" w:type="dxa"/>
            <w:tcBorders>
              <w:top w:val="nil"/>
              <w:left w:val="nil"/>
              <w:bottom w:val="single" w:sz="4" w:space="0" w:color="auto"/>
              <w:right w:val="single" w:sz="4" w:space="0" w:color="auto"/>
            </w:tcBorders>
            <w:shd w:val="clear" w:color="auto" w:fill="auto"/>
            <w:noWrap/>
            <w:vAlign w:val="center"/>
            <w:hideMark/>
          </w:tcPr>
          <w:p w:rsidR="005C744D" w:rsidRDefault="005C744D">
            <w:pPr>
              <w:rPr>
                <w:rFonts w:ascii="Calibri" w:hAnsi="Calibri" w:cs="Calibri"/>
                <w:sz w:val="17"/>
                <w:szCs w:val="17"/>
              </w:rPr>
            </w:pPr>
            <w:r>
              <w:rPr>
                <w:rFonts w:ascii="Calibri" w:hAnsi="Calibri" w:cs="Calibri"/>
                <w:sz w:val="17"/>
                <w:szCs w:val="17"/>
              </w:rPr>
              <w:t>Příjem z úroků</w:t>
            </w:r>
          </w:p>
        </w:tc>
        <w:tc>
          <w:tcPr>
            <w:tcW w:w="146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500 000,00</w:t>
            </w:r>
          </w:p>
        </w:tc>
        <w:tc>
          <w:tcPr>
            <w:tcW w:w="136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500 000,00</w:t>
            </w:r>
          </w:p>
        </w:tc>
        <w:tc>
          <w:tcPr>
            <w:tcW w:w="138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7 015 153,23</w:t>
            </w:r>
          </w:p>
        </w:tc>
        <w:tc>
          <w:tcPr>
            <w:tcW w:w="879"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1403,03%</w:t>
            </w:r>
          </w:p>
        </w:tc>
      </w:tr>
      <w:tr w:rsidR="005C744D" w:rsidTr="005C744D">
        <w:trPr>
          <w:trHeight w:val="255"/>
        </w:trPr>
        <w:tc>
          <w:tcPr>
            <w:tcW w:w="485" w:type="dxa"/>
            <w:tcBorders>
              <w:top w:val="nil"/>
              <w:left w:val="single" w:sz="4" w:space="0" w:color="auto"/>
              <w:bottom w:val="single" w:sz="4" w:space="0" w:color="auto"/>
              <w:right w:val="single" w:sz="4" w:space="0" w:color="auto"/>
            </w:tcBorders>
            <w:shd w:val="clear" w:color="000000" w:fill="D9D9D9"/>
            <w:noWrap/>
            <w:vAlign w:val="center"/>
            <w:hideMark/>
          </w:tcPr>
          <w:p w:rsidR="005C744D" w:rsidRDefault="005C744D">
            <w:pPr>
              <w:rPr>
                <w:rFonts w:ascii="Calibri" w:hAnsi="Calibri" w:cs="Calibri"/>
                <w:sz w:val="17"/>
                <w:szCs w:val="17"/>
              </w:rPr>
            </w:pPr>
            <w:r>
              <w:rPr>
                <w:rFonts w:ascii="Calibri" w:hAnsi="Calibri" w:cs="Calibri"/>
                <w:sz w:val="17"/>
                <w:szCs w:val="17"/>
              </w:rPr>
              <w:t>2142</w:t>
            </w:r>
          </w:p>
        </w:tc>
        <w:tc>
          <w:tcPr>
            <w:tcW w:w="3920" w:type="dxa"/>
            <w:tcBorders>
              <w:top w:val="nil"/>
              <w:left w:val="nil"/>
              <w:bottom w:val="single" w:sz="4" w:space="0" w:color="auto"/>
              <w:right w:val="single" w:sz="4" w:space="0" w:color="auto"/>
            </w:tcBorders>
            <w:shd w:val="clear" w:color="000000" w:fill="D9D9D9"/>
            <w:noWrap/>
            <w:vAlign w:val="center"/>
            <w:hideMark/>
          </w:tcPr>
          <w:p w:rsidR="005C744D" w:rsidRDefault="005C744D">
            <w:pPr>
              <w:rPr>
                <w:rFonts w:ascii="Calibri" w:hAnsi="Calibri" w:cs="Calibri"/>
                <w:sz w:val="17"/>
                <w:szCs w:val="17"/>
              </w:rPr>
            </w:pPr>
            <w:r>
              <w:rPr>
                <w:rFonts w:ascii="Calibri" w:hAnsi="Calibri" w:cs="Calibri"/>
                <w:sz w:val="17"/>
                <w:szCs w:val="17"/>
              </w:rPr>
              <w:t>Příjem z podílů na zisku a dividend</w:t>
            </w:r>
          </w:p>
        </w:tc>
        <w:tc>
          <w:tcPr>
            <w:tcW w:w="146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2 500 000,00</w:t>
            </w:r>
          </w:p>
        </w:tc>
        <w:tc>
          <w:tcPr>
            <w:tcW w:w="136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2 500 000,00</w:t>
            </w:r>
          </w:p>
        </w:tc>
        <w:tc>
          <w:tcPr>
            <w:tcW w:w="138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2 470 302,97</w:t>
            </w:r>
          </w:p>
        </w:tc>
        <w:tc>
          <w:tcPr>
            <w:tcW w:w="879"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98,81%</w:t>
            </w:r>
          </w:p>
        </w:tc>
      </w:tr>
      <w:tr w:rsidR="005C744D" w:rsidTr="005C744D">
        <w:trPr>
          <w:trHeight w:val="25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5C744D" w:rsidRDefault="005C744D">
            <w:pPr>
              <w:rPr>
                <w:rFonts w:ascii="Calibri" w:hAnsi="Calibri" w:cs="Calibri"/>
                <w:sz w:val="17"/>
                <w:szCs w:val="17"/>
              </w:rPr>
            </w:pPr>
            <w:r>
              <w:rPr>
                <w:rFonts w:ascii="Calibri" w:hAnsi="Calibri" w:cs="Calibri"/>
                <w:sz w:val="17"/>
                <w:szCs w:val="17"/>
              </w:rPr>
              <w:t>2212</w:t>
            </w:r>
          </w:p>
        </w:tc>
        <w:tc>
          <w:tcPr>
            <w:tcW w:w="3920" w:type="dxa"/>
            <w:tcBorders>
              <w:top w:val="nil"/>
              <w:left w:val="nil"/>
              <w:bottom w:val="single" w:sz="4" w:space="0" w:color="auto"/>
              <w:right w:val="single" w:sz="4" w:space="0" w:color="auto"/>
            </w:tcBorders>
            <w:shd w:val="clear" w:color="auto" w:fill="auto"/>
            <w:noWrap/>
            <w:vAlign w:val="center"/>
            <w:hideMark/>
          </w:tcPr>
          <w:p w:rsidR="005C744D" w:rsidRDefault="005C744D">
            <w:pPr>
              <w:rPr>
                <w:rFonts w:ascii="Calibri" w:hAnsi="Calibri" w:cs="Calibri"/>
                <w:sz w:val="17"/>
                <w:szCs w:val="17"/>
              </w:rPr>
            </w:pPr>
            <w:r>
              <w:rPr>
                <w:rFonts w:ascii="Calibri" w:hAnsi="Calibri" w:cs="Calibri"/>
                <w:sz w:val="17"/>
                <w:szCs w:val="17"/>
              </w:rPr>
              <w:t>Příjem sankčních plateb od jiných osob</w:t>
            </w:r>
          </w:p>
        </w:tc>
        <w:tc>
          <w:tcPr>
            <w:tcW w:w="146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6 390 000,00</w:t>
            </w:r>
          </w:p>
        </w:tc>
        <w:tc>
          <w:tcPr>
            <w:tcW w:w="136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6 390 000,00</w:t>
            </w:r>
          </w:p>
        </w:tc>
        <w:tc>
          <w:tcPr>
            <w:tcW w:w="138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12 868 494,09</w:t>
            </w:r>
          </w:p>
        </w:tc>
        <w:tc>
          <w:tcPr>
            <w:tcW w:w="879"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201,38%</w:t>
            </w:r>
          </w:p>
        </w:tc>
      </w:tr>
      <w:tr w:rsidR="005C744D" w:rsidTr="005C744D">
        <w:trPr>
          <w:trHeight w:val="255"/>
        </w:trPr>
        <w:tc>
          <w:tcPr>
            <w:tcW w:w="485" w:type="dxa"/>
            <w:tcBorders>
              <w:top w:val="nil"/>
              <w:left w:val="single" w:sz="4" w:space="0" w:color="auto"/>
              <w:bottom w:val="single" w:sz="4" w:space="0" w:color="auto"/>
              <w:right w:val="single" w:sz="4" w:space="0" w:color="auto"/>
            </w:tcBorders>
            <w:shd w:val="clear" w:color="000000" w:fill="D9D9D9"/>
            <w:noWrap/>
            <w:vAlign w:val="center"/>
            <w:hideMark/>
          </w:tcPr>
          <w:p w:rsidR="005C744D" w:rsidRDefault="005C744D">
            <w:pPr>
              <w:rPr>
                <w:rFonts w:ascii="Calibri" w:hAnsi="Calibri" w:cs="Calibri"/>
                <w:sz w:val="17"/>
                <w:szCs w:val="17"/>
              </w:rPr>
            </w:pPr>
            <w:r>
              <w:rPr>
                <w:rFonts w:ascii="Calibri" w:hAnsi="Calibri" w:cs="Calibri"/>
                <w:sz w:val="17"/>
                <w:szCs w:val="17"/>
              </w:rPr>
              <w:t>2222</w:t>
            </w:r>
          </w:p>
        </w:tc>
        <w:tc>
          <w:tcPr>
            <w:tcW w:w="3920" w:type="dxa"/>
            <w:tcBorders>
              <w:top w:val="nil"/>
              <w:left w:val="nil"/>
              <w:bottom w:val="single" w:sz="4" w:space="0" w:color="auto"/>
              <w:right w:val="single" w:sz="4" w:space="0" w:color="auto"/>
            </w:tcBorders>
            <w:shd w:val="clear" w:color="000000" w:fill="D9D9D9"/>
            <w:noWrap/>
            <w:vAlign w:val="center"/>
            <w:hideMark/>
          </w:tcPr>
          <w:p w:rsidR="005C744D" w:rsidRDefault="005C744D">
            <w:pPr>
              <w:rPr>
                <w:rFonts w:ascii="Calibri" w:hAnsi="Calibri" w:cs="Calibri"/>
                <w:sz w:val="17"/>
                <w:szCs w:val="17"/>
              </w:rPr>
            </w:pPr>
            <w:r>
              <w:rPr>
                <w:rFonts w:ascii="Calibri" w:hAnsi="Calibri" w:cs="Calibri"/>
                <w:sz w:val="17"/>
                <w:szCs w:val="17"/>
              </w:rPr>
              <w:t>Ostatní příjmy z fin. vypořádání od jiných rozpočtů</w:t>
            </w:r>
          </w:p>
        </w:tc>
        <w:tc>
          <w:tcPr>
            <w:tcW w:w="146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0,00</w:t>
            </w:r>
          </w:p>
        </w:tc>
        <w:tc>
          <w:tcPr>
            <w:tcW w:w="136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161 470,30</w:t>
            </w:r>
          </w:p>
        </w:tc>
        <w:tc>
          <w:tcPr>
            <w:tcW w:w="138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80 735,15</w:t>
            </w:r>
          </w:p>
        </w:tc>
        <w:tc>
          <w:tcPr>
            <w:tcW w:w="879"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50,00%</w:t>
            </w:r>
          </w:p>
        </w:tc>
      </w:tr>
      <w:tr w:rsidR="005C744D" w:rsidTr="005C744D">
        <w:trPr>
          <w:trHeight w:val="25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5C744D" w:rsidRDefault="005C744D">
            <w:pPr>
              <w:rPr>
                <w:rFonts w:ascii="Calibri" w:hAnsi="Calibri" w:cs="Calibri"/>
                <w:sz w:val="17"/>
                <w:szCs w:val="17"/>
              </w:rPr>
            </w:pPr>
            <w:r>
              <w:rPr>
                <w:rFonts w:ascii="Calibri" w:hAnsi="Calibri" w:cs="Calibri"/>
                <w:sz w:val="17"/>
                <w:szCs w:val="17"/>
              </w:rPr>
              <w:t>2229</w:t>
            </w:r>
          </w:p>
        </w:tc>
        <w:tc>
          <w:tcPr>
            <w:tcW w:w="3920" w:type="dxa"/>
            <w:tcBorders>
              <w:top w:val="nil"/>
              <w:left w:val="nil"/>
              <w:bottom w:val="single" w:sz="4" w:space="0" w:color="auto"/>
              <w:right w:val="single" w:sz="4" w:space="0" w:color="auto"/>
            </w:tcBorders>
            <w:shd w:val="clear" w:color="auto" w:fill="auto"/>
            <w:noWrap/>
            <w:vAlign w:val="center"/>
            <w:hideMark/>
          </w:tcPr>
          <w:p w:rsidR="005C744D" w:rsidRDefault="005C744D">
            <w:pPr>
              <w:rPr>
                <w:rFonts w:ascii="Calibri" w:hAnsi="Calibri" w:cs="Calibri"/>
                <w:sz w:val="17"/>
                <w:szCs w:val="17"/>
              </w:rPr>
            </w:pPr>
            <w:r>
              <w:rPr>
                <w:rFonts w:ascii="Calibri" w:hAnsi="Calibri" w:cs="Calibri"/>
                <w:sz w:val="17"/>
                <w:szCs w:val="17"/>
              </w:rPr>
              <w:t>Ostatní přijaté vratky transferů a podobné příjmy</w:t>
            </w:r>
          </w:p>
        </w:tc>
        <w:tc>
          <w:tcPr>
            <w:tcW w:w="146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0,00</w:t>
            </w:r>
          </w:p>
        </w:tc>
        <w:tc>
          <w:tcPr>
            <w:tcW w:w="136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0,00</w:t>
            </w:r>
          </w:p>
        </w:tc>
        <w:tc>
          <w:tcPr>
            <w:tcW w:w="138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1 652,31</w:t>
            </w:r>
          </w:p>
        </w:tc>
        <w:tc>
          <w:tcPr>
            <w:tcW w:w="879"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w:t>
            </w:r>
          </w:p>
        </w:tc>
      </w:tr>
      <w:tr w:rsidR="005C744D" w:rsidTr="005C744D">
        <w:trPr>
          <w:trHeight w:val="255"/>
        </w:trPr>
        <w:tc>
          <w:tcPr>
            <w:tcW w:w="485" w:type="dxa"/>
            <w:tcBorders>
              <w:top w:val="nil"/>
              <w:left w:val="single" w:sz="4" w:space="0" w:color="auto"/>
              <w:bottom w:val="single" w:sz="4" w:space="0" w:color="auto"/>
              <w:right w:val="single" w:sz="4" w:space="0" w:color="auto"/>
            </w:tcBorders>
            <w:shd w:val="clear" w:color="000000" w:fill="D9D9D9"/>
            <w:noWrap/>
            <w:vAlign w:val="center"/>
            <w:hideMark/>
          </w:tcPr>
          <w:p w:rsidR="005C744D" w:rsidRDefault="005C744D">
            <w:pPr>
              <w:rPr>
                <w:rFonts w:ascii="Calibri" w:hAnsi="Calibri" w:cs="Calibri"/>
                <w:sz w:val="17"/>
                <w:szCs w:val="17"/>
              </w:rPr>
            </w:pPr>
            <w:r>
              <w:rPr>
                <w:rFonts w:ascii="Calibri" w:hAnsi="Calibri" w:cs="Calibri"/>
                <w:sz w:val="17"/>
                <w:szCs w:val="17"/>
              </w:rPr>
              <w:t>2310</w:t>
            </w:r>
          </w:p>
        </w:tc>
        <w:tc>
          <w:tcPr>
            <w:tcW w:w="3920" w:type="dxa"/>
            <w:tcBorders>
              <w:top w:val="nil"/>
              <w:left w:val="nil"/>
              <w:bottom w:val="single" w:sz="4" w:space="0" w:color="auto"/>
              <w:right w:val="single" w:sz="4" w:space="0" w:color="auto"/>
            </w:tcBorders>
            <w:shd w:val="clear" w:color="000000" w:fill="D9D9D9"/>
            <w:noWrap/>
            <w:vAlign w:val="center"/>
            <w:hideMark/>
          </w:tcPr>
          <w:p w:rsidR="005C744D" w:rsidRDefault="005C744D">
            <w:pPr>
              <w:rPr>
                <w:rFonts w:ascii="Calibri" w:hAnsi="Calibri" w:cs="Calibri"/>
                <w:sz w:val="17"/>
                <w:szCs w:val="17"/>
              </w:rPr>
            </w:pPr>
            <w:r>
              <w:rPr>
                <w:rFonts w:ascii="Calibri" w:hAnsi="Calibri" w:cs="Calibri"/>
                <w:sz w:val="17"/>
                <w:szCs w:val="17"/>
              </w:rPr>
              <w:t>Příjem z prodeje krátkodobého a dr. dl. neiv. majetku</w:t>
            </w:r>
          </w:p>
        </w:tc>
        <w:tc>
          <w:tcPr>
            <w:tcW w:w="146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122 000,00</w:t>
            </w:r>
          </w:p>
        </w:tc>
        <w:tc>
          <w:tcPr>
            <w:tcW w:w="136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210 650,00</w:t>
            </w:r>
          </w:p>
        </w:tc>
        <w:tc>
          <w:tcPr>
            <w:tcW w:w="138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356 198,00</w:t>
            </w:r>
          </w:p>
        </w:tc>
        <w:tc>
          <w:tcPr>
            <w:tcW w:w="879"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169,09%</w:t>
            </w:r>
          </w:p>
        </w:tc>
      </w:tr>
      <w:tr w:rsidR="005C744D" w:rsidTr="005C744D">
        <w:trPr>
          <w:trHeight w:val="25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5C744D" w:rsidRDefault="005C744D">
            <w:pPr>
              <w:rPr>
                <w:rFonts w:ascii="Calibri" w:hAnsi="Calibri" w:cs="Calibri"/>
                <w:sz w:val="17"/>
                <w:szCs w:val="17"/>
              </w:rPr>
            </w:pPr>
            <w:r>
              <w:rPr>
                <w:rFonts w:ascii="Calibri" w:hAnsi="Calibri" w:cs="Calibri"/>
                <w:sz w:val="17"/>
                <w:szCs w:val="17"/>
              </w:rPr>
              <w:t>2321</w:t>
            </w:r>
          </w:p>
        </w:tc>
        <w:tc>
          <w:tcPr>
            <w:tcW w:w="3920" w:type="dxa"/>
            <w:tcBorders>
              <w:top w:val="nil"/>
              <w:left w:val="nil"/>
              <w:bottom w:val="single" w:sz="4" w:space="0" w:color="auto"/>
              <w:right w:val="single" w:sz="4" w:space="0" w:color="auto"/>
            </w:tcBorders>
            <w:shd w:val="clear" w:color="auto" w:fill="auto"/>
            <w:noWrap/>
            <w:vAlign w:val="center"/>
            <w:hideMark/>
          </w:tcPr>
          <w:p w:rsidR="005C744D" w:rsidRDefault="005C744D">
            <w:pPr>
              <w:rPr>
                <w:rFonts w:ascii="Calibri" w:hAnsi="Calibri" w:cs="Calibri"/>
                <w:sz w:val="17"/>
                <w:szCs w:val="17"/>
              </w:rPr>
            </w:pPr>
            <w:r>
              <w:rPr>
                <w:rFonts w:ascii="Calibri" w:hAnsi="Calibri" w:cs="Calibri"/>
                <w:sz w:val="17"/>
                <w:szCs w:val="17"/>
              </w:rPr>
              <w:t>Přijaté peněžité neinvestiční dary</w:t>
            </w:r>
          </w:p>
        </w:tc>
        <w:tc>
          <w:tcPr>
            <w:tcW w:w="146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0,00</w:t>
            </w:r>
          </w:p>
        </w:tc>
        <w:tc>
          <w:tcPr>
            <w:tcW w:w="136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0,00</w:t>
            </w:r>
          </w:p>
        </w:tc>
        <w:tc>
          <w:tcPr>
            <w:tcW w:w="138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63 896,00</w:t>
            </w:r>
          </w:p>
        </w:tc>
        <w:tc>
          <w:tcPr>
            <w:tcW w:w="879"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w:t>
            </w:r>
          </w:p>
        </w:tc>
      </w:tr>
      <w:tr w:rsidR="005C744D" w:rsidTr="005C744D">
        <w:trPr>
          <w:trHeight w:val="255"/>
        </w:trPr>
        <w:tc>
          <w:tcPr>
            <w:tcW w:w="485" w:type="dxa"/>
            <w:tcBorders>
              <w:top w:val="nil"/>
              <w:left w:val="single" w:sz="4" w:space="0" w:color="auto"/>
              <w:bottom w:val="single" w:sz="4" w:space="0" w:color="auto"/>
              <w:right w:val="single" w:sz="4" w:space="0" w:color="auto"/>
            </w:tcBorders>
            <w:shd w:val="clear" w:color="000000" w:fill="D9D9D9"/>
            <w:noWrap/>
            <w:vAlign w:val="center"/>
            <w:hideMark/>
          </w:tcPr>
          <w:p w:rsidR="005C744D" w:rsidRDefault="005C744D">
            <w:pPr>
              <w:rPr>
                <w:rFonts w:ascii="Calibri" w:hAnsi="Calibri" w:cs="Calibri"/>
                <w:sz w:val="17"/>
                <w:szCs w:val="17"/>
              </w:rPr>
            </w:pPr>
            <w:r>
              <w:rPr>
                <w:rFonts w:ascii="Calibri" w:hAnsi="Calibri" w:cs="Calibri"/>
                <w:sz w:val="17"/>
                <w:szCs w:val="17"/>
              </w:rPr>
              <w:t>2322</w:t>
            </w:r>
          </w:p>
        </w:tc>
        <w:tc>
          <w:tcPr>
            <w:tcW w:w="3920" w:type="dxa"/>
            <w:tcBorders>
              <w:top w:val="nil"/>
              <w:left w:val="nil"/>
              <w:bottom w:val="single" w:sz="4" w:space="0" w:color="auto"/>
              <w:right w:val="single" w:sz="4" w:space="0" w:color="auto"/>
            </w:tcBorders>
            <w:shd w:val="clear" w:color="000000" w:fill="D9D9D9"/>
            <w:noWrap/>
            <w:vAlign w:val="center"/>
            <w:hideMark/>
          </w:tcPr>
          <w:p w:rsidR="005C744D" w:rsidRDefault="005C744D">
            <w:pPr>
              <w:rPr>
                <w:rFonts w:ascii="Calibri" w:hAnsi="Calibri" w:cs="Calibri"/>
                <w:sz w:val="17"/>
                <w:szCs w:val="17"/>
              </w:rPr>
            </w:pPr>
            <w:r>
              <w:rPr>
                <w:rFonts w:ascii="Calibri" w:hAnsi="Calibri" w:cs="Calibri"/>
                <w:sz w:val="17"/>
                <w:szCs w:val="17"/>
              </w:rPr>
              <w:t>Příjem z pojistných plnění</w:t>
            </w:r>
          </w:p>
        </w:tc>
        <w:tc>
          <w:tcPr>
            <w:tcW w:w="146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400 000,00</w:t>
            </w:r>
          </w:p>
        </w:tc>
        <w:tc>
          <w:tcPr>
            <w:tcW w:w="136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837 981,00</w:t>
            </w:r>
          </w:p>
        </w:tc>
        <w:tc>
          <w:tcPr>
            <w:tcW w:w="138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655 076,00</w:t>
            </w:r>
          </w:p>
        </w:tc>
        <w:tc>
          <w:tcPr>
            <w:tcW w:w="879"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78,17%</w:t>
            </w:r>
          </w:p>
        </w:tc>
      </w:tr>
      <w:tr w:rsidR="005C744D" w:rsidTr="005C744D">
        <w:trPr>
          <w:trHeight w:val="25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5C744D" w:rsidRDefault="005C744D">
            <w:pPr>
              <w:rPr>
                <w:rFonts w:ascii="Calibri" w:hAnsi="Calibri" w:cs="Calibri"/>
                <w:sz w:val="17"/>
                <w:szCs w:val="17"/>
              </w:rPr>
            </w:pPr>
            <w:r>
              <w:rPr>
                <w:rFonts w:ascii="Calibri" w:hAnsi="Calibri" w:cs="Calibri"/>
                <w:sz w:val="17"/>
                <w:szCs w:val="17"/>
              </w:rPr>
              <w:t>2324</w:t>
            </w:r>
          </w:p>
        </w:tc>
        <w:tc>
          <w:tcPr>
            <w:tcW w:w="3920" w:type="dxa"/>
            <w:tcBorders>
              <w:top w:val="nil"/>
              <w:left w:val="nil"/>
              <w:bottom w:val="single" w:sz="4" w:space="0" w:color="auto"/>
              <w:right w:val="single" w:sz="4" w:space="0" w:color="auto"/>
            </w:tcBorders>
            <w:shd w:val="clear" w:color="auto" w:fill="auto"/>
            <w:noWrap/>
            <w:vAlign w:val="center"/>
            <w:hideMark/>
          </w:tcPr>
          <w:p w:rsidR="005C744D" w:rsidRDefault="005C744D">
            <w:pPr>
              <w:rPr>
                <w:rFonts w:ascii="Calibri" w:hAnsi="Calibri" w:cs="Calibri"/>
                <w:sz w:val="17"/>
                <w:szCs w:val="17"/>
              </w:rPr>
            </w:pPr>
            <w:r>
              <w:rPr>
                <w:rFonts w:ascii="Calibri" w:hAnsi="Calibri" w:cs="Calibri"/>
                <w:sz w:val="17"/>
                <w:szCs w:val="17"/>
              </w:rPr>
              <w:t>Přijaté neinvestiční příspěvky a náhrady</w:t>
            </w:r>
          </w:p>
        </w:tc>
        <w:tc>
          <w:tcPr>
            <w:tcW w:w="146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6 055 000,00</w:t>
            </w:r>
          </w:p>
        </w:tc>
        <w:tc>
          <w:tcPr>
            <w:tcW w:w="136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6 971 528,89</w:t>
            </w:r>
          </w:p>
        </w:tc>
        <w:tc>
          <w:tcPr>
            <w:tcW w:w="138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13 730 428,02</w:t>
            </w:r>
          </w:p>
        </w:tc>
        <w:tc>
          <w:tcPr>
            <w:tcW w:w="879"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196,95%</w:t>
            </w:r>
          </w:p>
        </w:tc>
      </w:tr>
      <w:tr w:rsidR="005C744D" w:rsidTr="005C744D">
        <w:trPr>
          <w:trHeight w:val="255"/>
        </w:trPr>
        <w:tc>
          <w:tcPr>
            <w:tcW w:w="485" w:type="dxa"/>
            <w:tcBorders>
              <w:top w:val="nil"/>
              <w:left w:val="single" w:sz="4" w:space="0" w:color="auto"/>
              <w:bottom w:val="single" w:sz="4" w:space="0" w:color="auto"/>
              <w:right w:val="single" w:sz="4" w:space="0" w:color="auto"/>
            </w:tcBorders>
            <w:shd w:val="clear" w:color="000000" w:fill="D9D9D9"/>
            <w:noWrap/>
            <w:vAlign w:val="center"/>
            <w:hideMark/>
          </w:tcPr>
          <w:p w:rsidR="005C744D" w:rsidRDefault="005C744D">
            <w:pPr>
              <w:rPr>
                <w:rFonts w:ascii="Calibri" w:hAnsi="Calibri" w:cs="Calibri"/>
                <w:sz w:val="17"/>
                <w:szCs w:val="17"/>
              </w:rPr>
            </w:pPr>
            <w:r>
              <w:rPr>
                <w:rFonts w:ascii="Calibri" w:hAnsi="Calibri" w:cs="Calibri"/>
                <w:sz w:val="17"/>
                <w:szCs w:val="17"/>
              </w:rPr>
              <w:t>2329</w:t>
            </w:r>
          </w:p>
        </w:tc>
        <w:tc>
          <w:tcPr>
            <w:tcW w:w="3920" w:type="dxa"/>
            <w:tcBorders>
              <w:top w:val="nil"/>
              <w:left w:val="nil"/>
              <w:bottom w:val="single" w:sz="4" w:space="0" w:color="auto"/>
              <w:right w:val="single" w:sz="4" w:space="0" w:color="auto"/>
            </w:tcBorders>
            <w:shd w:val="clear" w:color="000000" w:fill="D9D9D9"/>
            <w:noWrap/>
            <w:vAlign w:val="center"/>
            <w:hideMark/>
          </w:tcPr>
          <w:p w:rsidR="005C744D" w:rsidRDefault="005C744D">
            <w:pPr>
              <w:rPr>
                <w:rFonts w:ascii="Calibri" w:hAnsi="Calibri" w:cs="Calibri"/>
                <w:sz w:val="17"/>
                <w:szCs w:val="17"/>
              </w:rPr>
            </w:pPr>
            <w:r>
              <w:rPr>
                <w:rFonts w:ascii="Calibri" w:hAnsi="Calibri" w:cs="Calibri"/>
                <w:sz w:val="17"/>
                <w:szCs w:val="17"/>
              </w:rPr>
              <w:t>Ostatní nedaňové příjmy jinde nezařazené</w:t>
            </w:r>
          </w:p>
        </w:tc>
        <w:tc>
          <w:tcPr>
            <w:tcW w:w="146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90 000,00</w:t>
            </w:r>
          </w:p>
        </w:tc>
        <w:tc>
          <w:tcPr>
            <w:tcW w:w="136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129 857,00</w:t>
            </w:r>
          </w:p>
        </w:tc>
        <w:tc>
          <w:tcPr>
            <w:tcW w:w="138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55 974,00</w:t>
            </w:r>
          </w:p>
        </w:tc>
        <w:tc>
          <w:tcPr>
            <w:tcW w:w="879"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43,10%</w:t>
            </w:r>
          </w:p>
        </w:tc>
      </w:tr>
      <w:tr w:rsidR="005C744D" w:rsidTr="005C744D">
        <w:trPr>
          <w:trHeight w:val="25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5C744D" w:rsidRDefault="005C744D">
            <w:pPr>
              <w:rPr>
                <w:rFonts w:ascii="Calibri" w:hAnsi="Calibri" w:cs="Calibri"/>
                <w:sz w:val="17"/>
                <w:szCs w:val="17"/>
              </w:rPr>
            </w:pPr>
            <w:r>
              <w:rPr>
                <w:rFonts w:ascii="Calibri" w:hAnsi="Calibri" w:cs="Calibri"/>
                <w:sz w:val="17"/>
                <w:szCs w:val="17"/>
              </w:rPr>
              <w:t>2460</w:t>
            </w:r>
          </w:p>
        </w:tc>
        <w:tc>
          <w:tcPr>
            <w:tcW w:w="3920" w:type="dxa"/>
            <w:tcBorders>
              <w:top w:val="nil"/>
              <w:left w:val="nil"/>
              <w:bottom w:val="single" w:sz="4" w:space="0" w:color="auto"/>
              <w:right w:val="single" w:sz="4" w:space="0" w:color="auto"/>
            </w:tcBorders>
            <w:shd w:val="clear" w:color="auto" w:fill="auto"/>
            <w:noWrap/>
            <w:vAlign w:val="center"/>
            <w:hideMark/>
          </w:tcPr>
          <w:p w:rsidR="005C744D" w:rsidRDefault="005C744D">
            <w:pPr>
              <w:rPr>
                <w:rFonts w:ascii="Calibri" w:hAnsi="Calibri" w:cs="Calibri"/>
                <w:sz w:val="17"/>
                <w:szCs w:val="17"/>
              </w:rPr>
            </w:pPr>
            <w:r>
              <w:rPr>
                <w:rFonts w:ascii="Calibri" w:hAnsi="Calibri" w:cs="Calibri"/>
                <w:sz w:val="17"/>
                <w:szCs w:val="17"/>
              </w:rPr>
              <w:t>Splátky půjčených prostředků od fyzických osob</w:t>
            </w:r>
          </w:p>
        </w:tc>
        <w:tc>
          <w:tcPr>
            <w:tcW w:w="146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200 000,00</w:t>
            </w:r>
          </w:p>
        </w:tc>
        <w:tc>
          <w:tcPr>
            <w:tcW w:w="136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200 000,00</w:t>
            </w:r>
          </w:p>
        </w:tc>
        <w:tc>
          <w:tcPr>
            <w:tcW w:w="138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240 252,00</w:t>
            </w:r>
          </w:p>
        </w:tc>
        <w:tc>
          <w:tcPr>
            <w:tcW w:w="879"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120,13%</w:t>
            </w:r>
          </w:p>
        </w:tc>
      </w:tr>
      <w:tr w:rsidR="005C744D" w:rsidTr="005C744D">
        <w:trPr>
          <w:trHeight w:val="255"/>
        </w:trPr>
        <w:tc>
          <w:tcPr>
            <w:tcW w:w="4405" w:type="dxa"/>
            <w:gridSpan w:val="2"/>
            <w:tcBorders>
              <w:top w:val="single" w:sz="4" w:space="0" w:color="auto"/>
              <w:left w:val="single" w:sz="4" w:space="0" w:color="auto"/>
              <w:bottom w:val="single" w:sz="4" w:space="0" w:color="auto"/>
              <w:right w:val="single" w:sz="4" w:space="0" w:color="000000"/>
            </w:tcBorders>
            <w:shd w:val="clear" w:color="D6A100" w:fill="FFC000"/>
            <w:noWrap/>
            <w:vAlign w:val="center"/>
            <w:hideMark/>
          </w:tcPr>
          <w:p w:rsidR="005C744D" w:rsidRDefault="005C744D">
            <w:pPr>
              <w:rPr>
                <w:rFonts w:ascii="Calibri" w:hAnsi="Calibri" w:cs="Calibri"/>
                <w:b/>
                <w:bCs/>
                <w:color w:val="000000"/>
                <w:sz w:val="17"/>
                <w:szCs w:val="17"/>
              </w:rPr>
            </w:pPr>
            <w:r>
              <w:rPr>
                <w:rFonts w:ascii="Calibri" w:hAnsi="Calibri" w:cs="Calibri"/>
                <w:b/>
                <w:bCs/>
                <w:color w:val="000000"/>
                <w:sz w:val="17"/>
                <w:szCs w:val="17"/>
              </w:rPr>
              <w:t>NEDAŇOVÉ PŘÍJMY CELKEM</w:t>
            </w:r>
          </w:p>
        </w:tc>
        <w:tc>
          <w:tcPr>
            <w:tcW w:w="1460" w:type="dxa"/>
            <w:tcBorders>
              <w:top w:val="nil"/>
              <w:left w:val="nil"/>
              <w:bottom w:val="single" w:sz="4" w:space="0" w:color="auto"/>
              <w:right w:val="single" w:sz="4" w:space="0" w:color="auto"/>
            </w:tcBorders>
            <w:shd w:val="clear" w:color="000000" w:fill="FFC000"/>
            <w:noWrap/>
            <w:vAlign w:val="center"/>
            <w:hideMark/>
          </w:tcPr>
          <w:p w:rsidR="005C744D" w:rsidRDefault="005C744D">
            <w:pPr>
              <w:jc w:val="right"/>
              <w:rPr>
                <w:rFonts w:ascii="Calibri" w:hAnsi="Calibri" w:cs="Calibri"/>
                <w:b/>
                <w:bCs/>
                <w:color w:val="000000"/>
                <w:sz w:val="17"/>
                <w:szCs w:val="17"/>
              </w:rPr>
            </w:pPr>
            <w:r>
              <w:rPr>
                <w:rFonts w:ascii="Calibri" w:hAnsi="Calibri" w:cs="Calibri"/>
                <w:b/>
                <w:bCs/>
                <w:color w:val="000000"/>
                <w:sz w:val="17"/>
                <w:szCs w:val="17"/>
              </w:rPr>
              <w:t>137 916 079,00</w:t>
            </w:r>
          </w:p>
        </w:tc>
        <w:tc>
          <w:tcPr>
            <w:tcW w:w="1360" w:type="dxa"/>
            <w:tcBorders>
              <w:top w:val="nil"/>
              <w:left w:val="nil"/>
              <w:bottom w:val="single" w:sz="4" w:space="0" w:color="auto"/>
              <w:right w:val="single" w:sz="4" w:space="0" w:color="auto"/>
            </w:tcBorders>
            <w:shd w:val="clear" w:color="000000" w:fill="FFC000"/>
            <w:noWrap/>
            <w:vAlign w:val="center"/>
            <w:hideMark/>
          </w:tcPr>
          <w:p w:rsidR="005C744D" w:rsidRDefault="005C744D">
            <w:pPr>
              <w:jc w:val="right"/>
              <w:rPr>
                <w:rFonts w:ascii="Calibri" w:hAnsi="Calibri" w:cs="Calibri"/>
                <w:b/>
                <w:bCs/>
                <w:color w:val="000000"/>
                <w:sz w:val="17"/>
                <w:szCs w:val="17"/>
              </w:rPr>
            </w:pPr>
            <w:r>
              <w:rPr>
                <w:rFonts w:ascii="Calibri" w:hAnsi="Calibri" w:cs="Calibri"/>
                <w:b/>
                <w:bCs/>
                <w:color w:val="000000"/>
                <w:sz w:val="17"/>
                <w:szCs w:val="17"/>
              </w:rPr>
              <w:t>144 118 074,02</w:t>
            </w:r>
          </w:p>
        </w:tc>
        <w:tc>
          <w:tcPr>
            <w:tcW w:w="1380" w:type="dxa"/>
            <w:tcBorders>
              <w:top w:val="nil"/>
              <w:left w:val="nil"/>
              <w:bottom w:val="single" w:sz="4" w:space="0" w:color="auto"/>
              <w:right w:val="single" w:sz="4" w:space="0" w:color="auto"/>
            </w:tcBorders>
            <w:shd w:val="clear" w:color="000000" w:fill="FFC000"/>
            <w:noWrap/>
            <w:vAlign w:val="center"/>
            <w:hideMark/>
          </w:tcPr>
          <w:p w:rsidR="005C744D" w:rsidRDefault="005C744D">
            <w:pPr>
              <w:jc w:val="right"/>
              <w:rPr>
                <w:rFonts w:ascii="Calibri" w:hAnsi="Calibri" w:cs="Calibri"/>
                <w:b/>
                <w:bCs/>
                <w:color w:val="000000"/>
                <w:sz w:val="17"/>
                <w:szCs w:val="17"/>
              </w:rPr>
            </w:pPr>
            <w:r>
              <w:rPr>
                <w:rFonts w:ascii="Calibri" w:hAnsi="Calibri" w:cs="Calibri"/>
                <w:b/>
                <w:bCs/>
                <w:color w:val="000000"/>
                <w:sz w:val="17"/>
                <w:szCs w:val="17"/>
              </w:rPr>
              <w:t>169 765 898,22</w:t>
            </w:r>
          </w:p>
        </w:tc>
        <w:tc>
          <w:tcPr>
            <w:tcW w:w="879" w:type="dxa"/>
            <w:tcBorders>
              <w:top w:val="nil"/>
              <w:left w:val="nil"/>
              <w:bottom w:val="single" w:sz="4" w:space="0" w:color="auto"/>
              <w:right w:val="single" w:sz="4" w:space="0" w:color="auto"/>
            </w:tcBorders>
            <w:shd w:val="clear" w:color="000000" w:fill="FFC000"/>
            <w:noWrap/>
            <w:vAlign w:val="center"/>
            <w:hideMark/>
          </w:tcPr>
          <w:p w:rsidR="005C744D" w:rsidRDefault="005C744D">
            <w:pPr>
              <w:jc w:val="right"/>
              <w:rPr>
                <w:rFonts w:ascii="Calibri" w:hAnsi="Calibri" w:cs="Calibri"/>
                <w:b/>
                <w:bCs/>
                <w:color w:val="000000"/>
                <w:sz w:val="17"/>
                <w:szCs w:val="17"/>
              </w:rPr>
            </w:pPr>
            <w:r>
              <w:rPr>
                <w:rFonts w:ascii="Calibri" w:hAnsi="Calibri" w:cs="Calibri"/>
                <w:b/>
                <w:bCs/>
                <w:color w:val="000000"/>
                <w:sz w:val="17"/>
                <w:szCs w:val="17"/>
              </w:rPr>
              <w:t>117,80%</w:t>
            </w:r>
          </w:p>
        </w:tc>
      </w:tr>
      <w:tr w:rsidR="005C744D" w:rsidTr="005C744D">
        <w:trPr>
          <w:trHeight w:val="25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5C744D" w:rsidRDefault="005C744D">
            <w:pPr>
              <w:rPr>
                <w:rFonts w:ascii="Calibri" w:hAnsi="Calibri" w:cs="Calibri"/>
                <w:sz w:val="17"/>
                <w:szCs w:val="17"/>
              </w:rPr>
            </w:pPr>
            <w:r>
              <w:rPr>
                <w:rFonts w:ascii="Calibri" w:hAnsi="Calibri" w:cs="Calibri"/>
                <w:sz w:val="17"/>
                <w:szCs w:val="17"/>
              </w:rPr>
              <w:t>3111</w:t>
            </w:r>
          </w:p>
        </w:tc>
        <w:tc>
          <w:tcPr>
            <w:tcW w:w="3920" w:type="dxa"/>
            <w:tcBorders>
              <w:top w:val="nil"/>
              <w:left w:val="nil"/>
              <w:bottom w:val="single" w:sz="4" w:space="0" w:color="auto"/>
              <w:right w:val="single" w:sz="4" w:space="0" w:color="auto"/>
            </w:tcBorders>
            <w:shd w:val="clear" w:color="auto" w:fill="auto"/>
            <w:noWrap/>
            <w:vAlign w:val="center"/>
            <w:hideMark/>
          </w:tcPr>
          <w:p w:rsidR="005C744D" w:rsidRDefault="005C744D">
            <w:pPr>
              <w:rPr>
                <w:rFonts w:ascii="Calibri" w:hAnsi="Calibri" w:cs="Calibri"/>
                <w:sz w:val="17"/>
                <w:szCs w:val="17"/>
              </w:rPr>
            </w:pPr>
            <w:r>
              <w:rPr>
                <w:rFonts w:ascii="Calibri" w:hAnsi="Calibri" w:cs="Calibri"/>
                <w:sz w:val="17"/>
                <w:szCs w:val="17"/>
              </w:rPr>
              <w:t>Příjem z prodeje pozemků</w:t>
            </w:r>
          </w:p>
        </w:tc>
        <w:tc>
          <w:tcPr>
            <w:tcW w:w="146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1 000 000,00</w:t>
            </w:r>
          </w:p>
        </w:tc>
        <w:tc>
          <w:tcPr>
            <w:tcW w:w="136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4 737 148,00</w:t>
            </w:r>
          </w:p>
        </w:tc>
        <w:tc>
          <w:tcPr>
            <w:tcW w:w="138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5 011 948,00</w:t>
            </w:r>
          </w:p>
        </w:tc>
        <w:tc>
          <w:tcPr>
            <w:tcW w:w="879"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105,80%</w:t>
            </w:r>
          </w:p>
        </w:tc>
      </w:tr>
      <w:tr w:rsidR="005C744D" w:rsidTr="005C744D">
        <w:trPr>
          <w:trHeight w:val="255"/>
        </w:trPr>
        <w:tc>
          <w:tcPr>
            <w:tcW w:w="485" w:type="dxa"/>
            <w:tcBorders>
              <w:top w:val="nil"/>
              <w:left w:val="single" w:sz="4" w:space="0" w:color="auto"/>
              <w:bottom w:val="single" w:sz="4" w:space="0" w:color="auto"/>
              <w:right w:val="single" w:sz="4" w:space="0" w:color="auto"/>
            </w:tcBorders>
            <w:shd w:val="clear" w:color="000000" w:fill="D9D9D9"/>
            <w:noWrap/>
            <w:vAlign w:val="center"/>
            <w:hideMark/>
          </w:tcPr>
          <w:p w:rsidR="005C744D" w:rsidRDefault="005C744D">
            <w:pPr>
              <w:rPr>
                <w:rFonts w:ascii="Calibri" w:hAnsi="Calibri" w:cs="Calibri"/>
                <w:sz w:val="17"/>
                <w:szCs w:val="17"/>
              </w:rPr>
            </w:pPr>
            <w:r>
              <w:rPr>
                <w:rFonts w:ascii="Calibri" w:hAnsi="Calibri" w:cs="Calibri"/>
                <w:sz w:val="17"/>
                <w:szCs w:val="17"/>
              </w:rPr>
              <w:t>3113</w:t>
            </w:r>
          </w:p>
        </w:tc>
        <w:tc>
          <w:tcPr>
            <w:tcW w:w="3920" w:type="dxa"/>
            <w:tcBorders>
              <w:top w:val="nil"/>
              <w:left w:val="nil"/>
              <w:bottom w:val="single" w:sz="4" w:space="0" w:color="auto"/>
              <w:right w:val="single" w:sz="4" w:space="0" w:color="auto"/>
            </w:tcBorders>
            <w:shd w:val="clear" w:color="000000" w:fill="D9D9D9"/>
            <w:noWrap/>
            <w:vAlign w:val="center"/>
            <w:hideMark/>
          </w:tcPr>
          <w:p w:rsidR="005C744D" w:rsidRDefault="005C744D">
            <w:pPr>
              <w:rPr>
                <w:rFonts w:ascii="Calibri" w:hAnsi="Calibri" w:cs="Calibri"/>
                <w:sz w:val="17"/>
                <w:szCs w:val="17"/>
              </w:rPr>
            </w:pPr>
            <w:r>
              <w:rPr>
                <w:rFonts w:ascii="Calibri" w:hAnsi="Calibri" w:cs="Calibri"/>
                <w:sz w:val="17"/>
                <w:szCs w:val="17"/>
              </w:rPr>
              <w:t>Příjem z prodeje ostat. hmot. dlouhodobého majetku</w:t>
            </w:r>
          </w:p>
        </w:tc>
        <w:tc>
          <w:tcPr>
            <w:tcW w:w="146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3 000,00</w:t>
            </w:r>
          </w:p>
        </w:tc>
        <w:tc>
          <w:tcPr>
            <w:tcW w:w="136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3 000,00</w:t>
            </w:r>
          </w:p>
        </w:tc>
        <w:tc>
          <w:tcPr>
            <w:tcW w:w="138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91 999,93</w:t>
            </w:r>
          </w:p>
        </w:tc>
        <w:tc>
          <w:tcPr>
            <w:tcW w:w="879"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3066,66%</w:t>
            </w:r>
          </w:p>
        </w:tc>
      </w:tr>
      <w:tr w:rsidR="005C744D" w:rsidTr="005C744D">
        <w:trPr>
          <w:trHeight w:val="255"/>
        </w:trPr>
        <w:tc>
          <w:tcPr>
            <w:tcW w:w="4405" w:type="dxa"/>
            <w:gridSpan w:val="2"/>
            <w:tcBorders>
              <w:top w:val="single" w:sz="4" w:space="0" w:color="auto"/>
              <w:left w:val="single" w:sz="4" w:space="0" w:color="auto"/>
              <w:bottom w:val="single" w:sz="4" w:space="0" w:color="auto"/>
              <w:right w:val="single" w:sz="4" w:space="0" w:color="000000"/>
            </w:tcBorders>
            <w:shd w:val="clear" w:color="D6A100" w:fill="FFC000"/>
            <w:noWrap/>
            <w:vAlign w:val="center"/>
            <w:hideMark/>
          </w:tcPr>
          <w:p w:rsidR="005C744D" w:rsidRDefault="005C744D">
            <w:pPr>
              <w:rPr>
                <w:rFonts w:ascii="Calibri" w:hAnsi="Calibri" w:cs="Calibri"/>
                <w:b/>
                <w:bCs/>
                <w:color w:val="000000"/>
                <w:sz w:val="17"/>
                <w:szCs w:val="17"/>
              </w:rPr>
            </w:pPr>
            <w:r>
              <w:rPr>
                <w:rFonts w:ascii="Calibri" w:hAnsi="Calibri" w:cs="Calibri"/>
                <w:b/>
                <w:bCs/>
                <w:color w:val="000000"/>
                <w:sz w:val="17"/>
                <w:szCs w:val="17"/>
              </w:rPr>
              <w:t>KAPITÁLOVÉ PŘÍJMY CELKEM</w:t>
            </w:r>
          </w:p>
        </w:tc>
        <w:tc>
          <w:tcPr>
            <w:tcW w:w="1460" w:type="dxa"/>
            <w:tcBorders>
              <w:top w:val="nil"/>
              <w:left w:val="nil"/>
              <w:bottom w:val="single" w:sz="4" w:space="0" w:color="auto"/>
              <w:right w:val="single" w:sz="4" w:space="0" w:color="auto"/>
            </w:tcBorders>
            <w:shd w:val="clear" w:color="000000" w:fill="FFC000"/>
            <w:noWrap/>
            <w:vAlign w:val="center"/>
            <w:hideMark/>
          </w:tcPr>
          <w:p w:rsidR="005C744D" w:rsidRDefault="005C744D">
            <w:pPr>
              <w:jc w:val="right"/>
              <w:rPr>
                <w:rFonts w:ascii="Calibri" w:hAnsi="Calibri" w:cs="Calibri"/>
                <w:b/>
                <w:bCs/>
                <w:color w:val="000000"/>
                <w:sz w:val="17"/>
                <w:szCs w:val="17"/>
              </w:rPr>
            </w:pPr>
            <w:r>
              <w:rPr>
                <w:rFonts w:ascii="Calibri" w:hAnsi="Calibri" w:cs="Calibri"/>
                <w:b/>
                <w:bCs/>
                <w:color w:val="000000"/>
                <w:sz w:val="17"/>
                <w:szCs w:val="17"/>
              </w:rPr>
              <w:t>1 003 000,00</w:t>
            </w:r>
          </w:p>
        </w:tc>
        <w:tc>
          <w:tcPr>
            <w:tcW w:w="1360" w:type="dxa"/>
            <w:tcBorders>
              <w:top w:val="nil"/>
              <w:left w:val="nil"/>
              <w:bottom w:val="single" w:sz="4" w:space="0" w:color="auto"/>
              <w:right w:val="single" w:sz="4" w:space="0" w:color="auto"/>
            </w:tcBorders>
            <w:shd w:val="clear" w:color="000000" w:fill="FFC000"/>
            <w:noWrap/>
            <w:vAlign w:val="center"/>
            <w:hideMark/>
          </w:tcPr>
          <w:p w:rsidR="005C744D" w:rsidRDefault="005C744D">
            <w:pPr>
              <w:jc w:val="right"/>
              <w:rPr>
                <w:rFonts w:ascii="Calibri" w:hAnsi="Calibri" w:cs="Calibri"/>
                <w:b/>
                <w:bCs/>
                <w:color w:val="000000"/>
                <w:sz w:val="17"/>
                <w:szCs w:val="17"/>
              </w:rPr>
            </w:pPr>
            <w:r>
              <w:rPr>
                <w:rFonts w:ascii="Calibri" w:hAnsi="Calibri" w:cs="Calibri"/>
                <w:b/>
                <w:bCs/>
                <w:color w:val="000000"/>
                <w:sz w:val="17"/>
                <w:szCs w:val="17"/>
              </w:rPr>
              <w:t>4 740 148,00</w:t>
            </w:r>
          </w:p>
        </w:tc>
        <w:tc>
          <w:tcPr>
            <w:tcW w:w="1380" w:type="dxa"/>
            <w:tcBorders>
              <w:top w:val="nil"/>
              <w:left w:val="nil"/>
              <w:bottom w:val="single" w:sz="4" w:space="0" w:color="auto"/>
              <w:right w:val="single" w:sz="4" w:space="0" w:color="auto"/>
            </w:tcBorders>
            <w:shd w:val="clear" w:color="000000" w:fill="FFC000"/>
            <w:noWrap/>
            <w:vAlign w:val="center"/>
            <w:hideMark/>
          </w:tcPr>
          <w:p w:rsidR="005C744D" w:rsidRDefault="005C744D">
            <w:pPr>
              <w:jc w:val="right"/>
              <w:rPr>
                <w:rFonts w:ascii="Calibri" w:hAnsi="Calibri" w:cs="Calibri"/>
                <w:b/>
                <w:bCs/>
                <w:color w:val="000000"/>
                <w:sz w:val="17"/>
                <w:szCs w:val="17"/>
              </w:rPr>
            </w:pPr>
            <w:r>
              <w:rPr>
                <w:rFonts w:ascii="Calibri" w:hAnsi="Calibri" w:cs="Calibri"/>
                <w:b/>
                <w:bCs/>
                <w:color w:val="000000"/>
                <w:sz w:val="17"/>
                <w:szCs w:val="17"/>
              </w:rPr>
              <w:t>5 103 947,93</w:t>
            </w:r>
          </w:p>
        </w:tc>
        <w:tc>
          <w:tcPr>
            <w:tcW w:w="879" w:type="dxa"/>
            <w:tcBorders>
              <w:top w:val="nil"/>
              <w:left w:val="nil"/>
              <w:bottom w:val="single" w:sz="4" w:space="0" w:color="auto"/>
              <w:right w:val="single" w:sz="4" w:space="0" w:color="auto"/>
            </w:tcBorders>
            <w:shd w:val="clear" w:color="000000" w:fill="FFC000"/>
            <w:noWrap/>
            <w:vAlign w:val="center"/>
            <w:hideMark/>
          </w:tcPr>
          <w:p w:rsidR="005C744D" w:rsidRDefault="005C744D">
            <w:pPr>
              <w:jc w:val="right"/>
              <w:rPr>
                <w:rFonts w:ascii="Calibri" w:hAnsi="Calibri" w:cs="Calibri"/>
                <w:b/>
                <w:bCs/>
                <w:color w:val="000000"/>
                <w:sz w:val="17"/>
                <w:szCs w:val="17"/>
              </w:rPr>
            </w:pPr>
            <w:r>
              <w:rPr>
                <w:rFonts w:ascii="Calibri" w:hAnsi="Calibri" w:cs="Calibri"/>
                <w:b/>
                <w:bCs/>
                <w:color w:val="000000"/>
                <w:sz w:val="17"/>
                <w:szCs w:val="17"/>
              </w:rPr>
              <w:t>107,67%</w:t>
            </w:r>
          </w:p>
        </w:tc>
      </w:tr>
      <w:tr w:rsidR="005C744D" w:rsidTr="005C744D">
        <w:trPr>
          <w:trHeight w:val="25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5C744D" w:rsidRDefault="005C744D">
            <w:pPr>
              <w:rPr>
                <w:rFonts w:ascii="Calibri" w:hAnsi="Calibri" w:cs="Calibri"/>
                <w:sz w:val="17"/>
                <w:szCs w:val="17"/>
              </w:rPr>
            </w:pPr>
            <w:r>
              <w:rPr>
                <w:rFonts w:ascii="Calibri" w:hAnsi="Calibri" w:cs="Calibri"/>
                <w:sz w:val="17"/>
                <w:szCs w:val="17"/>
              </w:rPr>
              <w:t>4111</w:t>
            </w:r>
          </w:p>
        </w:tc>
        <w:tc>
          <w:tcPr>
            <w:tcW w:w="3920" w:type="dxa"/>
            <w:tcBorders>
              <w:top w:val="nil"/>
              <w:left w:val="nil"/>
              <w:bottom w:val="single" w:sz="4" w:space="0" w:color="auto"/>
              <w:right w:val="single" w:sz="4" w:space="0" w:color="auto"/>
            </w:tcBorders>
            <w:shd w:val="clear" w:color="auto" w:fill="auto"/>
            <w:noWrap/>
            <w:vAlign w:val="center"/>
            <w:hideMark/>
          </w:tcPr>
          <w:p w:rsidR="005C744D" w:rsidRDefault="005C744D">
            <w:pPr>
              <w:rPr>
                <w:rFonts w:ascii="Calibri" w:hAnsi="Calibri" w:cs="Calibri"/>
                <w:sz w:val="17"/>
                <w:szCs w:val="17"/>
              </w:rPr>
            </w:pPr>
            <w:r>
              <w:rPr>
                <w:rFonts w:ascii="Calibri" w:hAnsi="Calibri" w:cs="Calibri"/>
                <w:sz w:val="17"/>
                <w:szCs w:val="17"/>
              </w:rPr>
              <w:t>Neinv. přijaté transf. z všeob. pokl. správy st. rozp.</w:t>
            </w:r>
          </w:p>
        </w:tc>
        <w:tc>
          <w:tcPr>
            <w:tcW w:w="146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0,00</w:t>
            </w:r>
          </w:p>
        </w:tc>
        <w:tc>
          <w:tcPr>
            <w:tcW w:w="136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4 823 890,34</w:t>
            </w:r>
          </w:p>
        </w:tc>
        <w:tc>
          <w:tcPr>
            <w:tcW w:w="138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4 823 890,34</w:t>
            </w:r>
          </w:p>
        </w:tc>
        <w:tc>
          <w:tcPr>
            <w:tcW w:w="879"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100,00%</w:t>
            </w:r>
          </w:p>
        </w:tc>
      </w:tr>
      <w:tr w:rsidR="005C744D" w:rsidTr="005C744D">
        <w:trPr>
          <w:trHeight w:val="255"/>
        </w:trPr>
        <w:tc>
          <w:tcPr>
            <w:tcW w:w="485" w:type="dxa"/>
            <w:tcBorders>
              <w:top w:val="nil"/>
              <w:left w:val="single" w:sz="4" w:space="0" w:color="auto"/>
              <w:bottom w:val="single" w:sz="4" w:space="0" w:color="auto"/>
              <w:right w:val="single" w:sz="4" w:space="0" w:color="auto"/>
            </w:tcBorders>
            <w:shd w:val="clear" w:color="000000" w:fill="D9D9D9"/>
            <w:noWrap/>
            <w:vAlign w:val="center"/>
            <w:hideMark/>
          </w:tcPr>
          <w:p w:rsidR="005C744D" w:rsidRDefault="005C744D">
            <w:pPr>
              <w:rPr>
                <w:rFonts w:ascii="Calibri" w:hAnsi="Calibri" w:cs="Calibri"/>
                <w:sz w:val="17"/>
                <w:szCs w:val="17"/>
              </w:rPr>
            </w:pPr>
            <w:r>
              <w:rPr>
                <w:rFonts w:ascii="Calibri" w:hAnsi="Calibri" w:cs="Calibri"/>
                <w:sz w:val="17"/>
                <w:szCs w:val="17"/>
              </w:rPr>
              <w:t>4112</w:t>
            </w:r>
          </w:p>
        </w:tc>
        <w:tc>
          <w:tcPr>
            <w:tcW w:w="3920" w:type="dxa"/>
            <w:tcBorders>
              <w:top w:val="nil"/>
              <w:left w:val="nil"/>
              <w:bottom w:val="single" w:sz="4" w:space="0" w:color="auto"/>
              <w:right w:val="single" w:sz="4" w:space="0" w:color="auto"/>
            </w:tcBorders>
            <w:shd w:val="clear" w:color="000000" w:fill="D9D9D9"/>
            <w:noWrap/>
            <w:vAlign w:val="center"/>
            <w:hideMark/>
          </w:tcPr>
          <w:p w:rsidR="005C744D" w:rsidRDefault="005C744D">
            <w:pPr>
              <w:rPr>
                <w:rFonts w:ascii="Calibri" w:hAnsi="Calibri" w:cs="Calibri"/>
                <w:sz w:val="17"/>
                <w:szCs w:val="17"/>
              </w:rPr>
            </w:pPr>
            <w:r>
              <w:rPr>
                <w:rFonts w:ascii="Calibri" w:hAnsi="Calibri" w:cs="Calibri"/>
                <w:sz w:val="17"/>
                <w:szCs w:val="17"/>
              </w:rPr>
              <w:t>Neinv. přijaté tra. ze SR v rámci souhrn. dot. vztahu</w:t>
            </w:r>
          </w:p>
        </w:tc>
        <w:tc>
          <w:tcPr>
            <w:tcW w:w="146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69 076 400,00</w:t>
            </w:r>
          </w:p>
        </w:tc>
        <w:tc>
          <w:tcPr>
            <w:tcW w:w="136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69 076 400,00</w:t>
            </w:r>
          </w:p>
        </w:tc>
        <w:tc>
          <w:tcPr>
            <w:tcW w:w="138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69 076 400,00</w:t>
            </w:r>
          </w:p>
        </w:tc>
        <w:tc>
          <w:tcPr>
            <w:tcW w:w="879"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100,00%</w:t>
            </w:r>
          </w:p>
        </w:tc>
      </w:tr>
      <w:tr w:rsidR="005C744D" w:rsidTr="005C744D">
        <w:trPr>
          <w:trHeight w:val="25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5C744D" w:rsidRDefault="005C744D">
            <w:pPr>
              <w:rPr>
                <w:rFonts w:ascii="Calibri" w:hAnsi="Calibri" w:cs="Calibri"/>
                <w:sz w:val="17"/>
                <w:szCs w:val="17"/>
              </w:rPr>
            </w:pPr>
            <w:r>
              <w:rPr>
                <w:rFonts w:ascii="Calibri" w:hAnsi="Calibri" w:cs="Calibri"/>
                <w:sz w:val="17"/>
                <w:szCs w:val="17"/>
              </w:rPr>
              <w:t>4116</w:t>
            </w:r>
          </w:p>
        </w:tc>
        <w:tc>
          <w:tcPr>
            <w:tcW w:w="3920" w:type="dxa"/>
            <w:tcBorders>
              <w:top w:val="nil"/>
              <w:left w:val="nil"/>
              <w:bottom w:val="single" w:sz="4" w:space="0" w:color="auto"/>
              <w:right w:val="single" w:sz="4" w:space="0" w:color="auto"/>
            </w:tcBorders>
            <w:shd w:val="clear" w:color="auto" w:fill="auto"/>
            <w:noWrap/>
            <w:vAlign w:val="center"/>
            <w:hideMark/>
          </w:tcPr>
          <w:p w:rsidR="005C744D" w:rsidRDefault="005C744D">
            <w:pPr>
              <w:rPr>
                <w:rFonts w:ascii="Calibri" w:hAnsi="Calibri" w:cs="Calibri"/>
                <w:sz w:val="17"/>
                <w:szCs w:val="17"/>
              </w:rPr>
            </w:pPr>
            <w:r>
              <w:rPr>
                <w:rFonts w:ascii="Calibri" w:hAnsi="Calibri" w:cs="Calibri"/>
                <w:sz w:val="17"/>
                <w:szCs w:val="17"/>
              </w:rPr>
              <w:t>Ostat. neinv. přijaté transfery ze státního rozpočtu</w:t>
            </w:r>
          </w:p>
        </w:tc>
        <w:tc>
          <w:tcPr>
            <w:tcW w:w="146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0,00</w:t>
            </w:r>
          </w:p>
        </w:tc>
        <w:tc>
          <w:tcPr>
            <w:tcW w:w="136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25 881 769,00</w:t>
            </w:r>
          </w:p>
        </w:tc>
        <w:tc>
          <w:tcPr>
            <w:tcW w:w="138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25 881 769,00</w:t>
            </w:r>
          </w:p>
        </w:tc>
        <w:tc>
          <w:tcPr>
            <w:tcW w:w="879"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100,00%</w:t>
            </w:r>
          </w:p>
        </w:tc>
      </w:tr>
      <w:tr w:rsidR="005C744D" w:rsidTr="005C744D">
        <w:trPr>
          <w:trHeight w:val="255"/>
        </w:trPr>
        <w:tc>
          <w:tcPr>
            <w:tcW w:w="485" w:type="dxa"/>
            <w:tcBorders>
              <w:top w:val="nil"/>
              <w:left w:val="single" w:sz="4" w:space="0" w:color="auto"/>
              <w:bottom w:val="single" w:sz="4" w:space="0" w:color="auto"/>
              <w:right w:val="single" w:sz="4" w:space="0" w:color="auto"/>
            </w:tcBorders>
            <w:shd w:val="clear" w:color="000000" w:fill="D9D9D9"/>
            <w:noWrap/>
            <w:vAlign w:val="center"/>
            <w:hideMark/>
          </w:tcPr>
          <w:p w:rsidR="005C744D" w:rsidRDefault="005C744D">
            <w:pPr>
              <w:rPr>
                <w:rFonts w:ascii="Calibri" w:hAnsi="Calibri" w:cs="Calibri"/>
                <w:sz w:val="17"/>
                <w:szCs w:val="17"/>
              </w:rPr>
            </w:pPr>
            <w:r>
              <w:rPr>
                <w:rFonts w:ascii="Calibri" w:hAnsi="Calibri" w:cs="Calibri"/>
                <w:sz w:val="17"/>
                <w:szCs w:val="17"/>
              </w:rPr>
              <w:t>4121</w:t>
            </w:r>
          </w:p>
        </w:tc>
        <w:tc>
          <w:tcPr>
            <w:tcW w:w="3920" w:type="dxa"/>
            <w:tcBorders>
              <w:top w:val="nil"/>
              <w:left w:val="nil"/>
              <w:bottom w:val="single" w:sz="4" w:space="0" w:color="auto"/>
              <w:right w:val="single" w:sz="4" w:space="0" w:color="auto"/>
            </w:tcBorders>
            <w:shd w:val="clear" w:color="000000" w:fill="D9D9D9"/>
            <w:noWrap/>
            <w:vAlign w:val="center"/>
            <w:hideMark/>
          </w:tcPr>
          <w:p w:rsidR="005C744D" w:rsidRDefault="005C744D">
            <w:pPr>
              <w:rPr>
                <w:rFonts w:ascii="Calibri" w:hAnsi="Calibri" w:cs="Calibri"/>
                <w:sz w:val="17"/>
                <w:szCs w:val="17"/>
              </w:rPr>
            </w:pPr>
            <w:r>
              <w:rPr>
                <w:rFonts w:ascii="Calibri" w:hAnsi="Calibri" w:cs="Calibri"/>
                <w:sz w:val="17"/>
                <w:szCs w:val="17"/>
              </w:rPr>
              <w:t>Neinvestiční přijaté transfery od obcí</w:t>
            </w:r>
          </w:p>
        </w:tc>
        <w:tc>
          <w:tcPr>
            <w:tcW w:w="146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1 010 000,00</w:t>
            </w:r>
          </w:p>
        </w:tc>
        <w:tc>
          <w:tcPr>
            <w:tcW w:w="136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1 010 000,00</w:t>
            </w:r>
          </w:p>
        </w:tc>
        <w:tc>
          <w:tcPr>
            <w:tcW w:w="138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964 630,00</w:t>
            </w:r>
          </w:p>
        </w:tc>
        <w:tc>
          <w:tcPr>
            <w:tcW w:w="879"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95,51%</w:t>
            </w:r>
          </w:p>
        </w:tc>
      </w:tr>
      <w:tr w:rsidR="005C744D" w:rsidTr="005C744D">
        <w:trPr>
          <w:trHeight w:val="25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5C744D" w:rsidRDefault="005C744D">
            <w:pPr>
              <w:rPr>
                <w:rFonts w:ascii="Calibri" w:hAnsi="Calibri" w:cs="Calibri"/>
                <w:sz w:val="17"/>
                <w:szCs w:val="17"/>
              </w:rPr>
            </w:pPr>
            <w:r>
              <w:rPr>
                <w:rFonts w:ascii="Calibri" w:hAnsi="Calibri" w:cs="Calibri"/>
                <w:sz w:val="17"/>
                <w:szCs w:val="17"/>
              </w:rPr>
              <w:t>4122</w:t>
            </w:r>
          </w:p>
        </w:tc>
        <w:tc>
          <w:tcPr>
            <w:tcW w:w="3920" w:type="dxa"/>
            <w:tcBorders>
              <w:top w:val="nil"/>
              <w:left w:val="nil"/>
              <w:bottom w:val="single" w:sz="4" w:space="0" w:color="auto"/>
              <w:right w:val="single" w:sz="4" w:space="0" w:color="auto"/>
            </w:tcBorders>
            <w:shd w:val="clear" w:color="auto" w:fill="auto"/>
            <w:noWrap/>
            <w:vAlign w:val="center"/>
            <w:hideMark/>
          </w:tcPr>
          <w:p w:rsidR="005C744D" w:rsidRDefault="005C744D">
            <w:pPr>
              <w:rPr>
                <w:rFonts w:ascii="Calibri" w:hAnsi="Calibri" w:cs="Calibri"/>
                <w:sz w:val="17"/>
                <w:szCs w:val="17"/>
              </w:rPr>
            </w:pPr>
            <w:r>
              <w:rPr>
                <w:rFonts w:ascii="Calibri" w:hAnsi="Calibri" w:cs="Calibri"/>
                <w:sz w:val="17"/>
                <w:szCs w:val="17"/>
              </w:rPr>
              <w:t>Neinvestiční přijaté transfery od krajů</w:t>
            </w:r>
          </w:p>
        </w:tc>
        <w:tc>
          <w:tcPr>
            <w:tcW w:w="146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0,00</w:t>
            </w:r>
          </w:p>
        </w:tc>
        <w:tc>
          <w:tcPr>
            <w:tcW w:w="136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5 547 636,04</w:t>
            </w:r>
          </w:p>
        </w:tc>
        <w:tc>
          <w:tcPr>
            <w:tcW w:w="138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5 441 424,04</w:t>
            </w:r>
          </w:p>
        </w:tc>
        <w:tc>
          <w:tcPr>
            <w:tcW w:w="879"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98,09%</w:t>
            </w:r>
          </w:p>
        </w:tc>
      </w:tr>
      <w:tr w:rsidR="005C744D" w:rsidTr="005C744D">
        <w:trPr>
          <w:trHeight w:val="255"/>
        </w:trPr>
        <w:tc>
          <w:tcPr>
            <w:tcW w:w="485" w:type="dxa"/>
            <w:tcBorders>
              <w:top w:val="nil"/>
              <w:left w:val="single" w:sz="4" w:space="0" w:color="auto"/>
              <w:bottom w:val="single" w:sz="4" w:space="0" w:color="auto"/>
              <w:right w:val="single" w:sz="4" w:space="0" w:color="auto"/>
            </w:tcBorders>
            <w:shd w:val="clear" w:color="000000" w:fill="D9D9D9"/>
            <w:noWrap/>
            <w:vAlign w:val="center"/>
            <w:hideMark/>
          </w:tcPr>
          <w:p w:rsidR="005C744D" w:rsidRDefault="005C744D">
            <w:pPr>
              <w:rPr>
                <w:rFonts w:ascii="Calibri" w:hAnsi="Calibri" w:cs="Calibri"/>
                <w:sz w:val="17"/>
                <w:szCs w:val="17"/>
              </w:rPr>
            </w:pPr>
            <w:r>
              <w:rPr>
                <w:rFonts w:ascii="Calibri" w:hAnsi="Calibri" w:cs="Calibri"/>
                <w:sz w:val="17"/>
                <w:szCs w:val="17"/>
              </w:rPr>
              <w:t>4216</w:t>
            </w:r>
          </w:p>
        </w:tc>
        <w:tc>
          <w:tcPr>
            <w:tcW w:w="3920" w:type="dxa"/>
            <w:tcBorders>
              <w:top w:val="nil"/>
              <w:left w:val="nil"/>
              <w:bottom w:val="single" w:sz="4" w:space="0" w:color="auto"/>
              <w:right w:val="single" w:sz="4" w:space="0" w:color="auto"/>
            </w:tcBorders>
            <w:shd w:val="clear" w:color="000000" w:fill="D9D9D9"/>
            <w:noWrap/>
            <w:vAlign w:val="center"/>
            <w:hideMark/>
          </w:tcPr>
          <w:p w:rsidR="005C744D" w:rsidRDefault="005C744D">
            <w:pPr>
              <w:rPr>
                <w:rFonts w:ascii="Calibri" w:hAnsi="Calibri" w:cs="Calibri"/>
                <w:sz w:val="17"/>
                <w:szCs w:val="17"/>
              </w:rPr>
            </w:pPr>
            <w:r>
              <w:rPr>
                <w:rFonts w:ascii="Calibri" w:hAnsi="Calibri" w:cs="Calibri"/>
                <w:sz w:val="17"/>
                <w:szCs w:val="17"/>
              </w:rPr>
              <w:t>Ostat. inves. přijaté transfery ze státního rozpočtu</w:t>
            </w:r>
          </w:p>
        </w:tc>
        <w:tc>
          <w:tcPr>
            <w:tcW w:w="146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13 964 598,72</w:t>
            </w:r>
          </w:p>
        </w:tc>
        <w:tc>
          <w:tcPr>
            <w:tcW w:w="136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15 222 253,59</w:t>
            </w:r>
          </w:p>
        </w:tc>
        <w:tc>
          <w:tcPr>
            <w:tcW w:w="1380"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2 996 574,87</w:t>
            </w:r>
          </w:p>
        </w:tc>
        <w:tc>
          <w:tcPr>
            <w:tcW w:w="879" w:type="dxa"/>
            <w:tcBorders>
              <w:top w:val="nil"/>
              <w:left w:val="nil"/>
              <w:bottom w:val="single" w:sz="4" w:space="0" w:color="auto"/>
              <w:right w:val="single" w:sz="4" w:space="0" w:color="auto"/>
            </w:tcBorders>
            <w:shd w:val="clear" w:color="000000" w:fill="D9D9D9"/>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19,69%</w:t>
            </w:r>
          </w:p>
        </w:tc>
      </w:tr>
      <w:tr w:rsidR="005C744D" w:rsidTr="005C744D">
        <w:trPr>
          <w:trHeight w:val="25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5C744D" w:rsidRDefault="005C744D">
            <w:pPr>
              <w:rPr>
                <w:rFonts w:ascii="Calibri" w:hAnsi="Calibri" w:cs="Calibri"/>
                <w:sz w:val="17"/>
                <w:szCs w:val="17"/>
              </w:rPr>
            </w:pPr>
            <w:r>
              <w:rPr>
                <w:rFonts w:ascii="Calibri" w:hAnsi="Calibri" w:cs="Calibri"/>
                <w:sz w:val="17"/>
                <w:szCs w:val="17"/>
              </w:rPr>
              <w:t>4222</w:t>
            </w:r>
          </w:p>
        </w:tc>
        <w:tc>
          <w:tcPr>
            <w:tcW w:w="3920" w:type="dxa"/>
            <w:tcBorders>
              <w:top w:val="nil"/>
              <w:left w:val="nil"/>
              <w:bottom w:val="single" w:sz="4" w:space="0" w:color="auto"/>
              <w:right w:val="single" w:sz="4" w:space="0" w:color="auto"/>
            </w:tcBorders>
            <w:shd w:val="clear" w:color="auto" w:fill="auto"/>
            <w:noWrap/>
            <w:vAlign w:val="center"/>
            <w:hideMark/>
          </w:tcPr>
          <w:p w:rsidR="005C744D" w:rsidRDefault="005C744D">
            <w:pPr>
              <w:rPr>
                <w:rFonts w:ascii="Calibri" w:hAnsi="Calibri" w:cs="Calibri"/>
                <w:sz w:val="17"/>
                <w:szCs w:val="17"/>
              </w:rPr>
            </w:pPr>
            <w:r>
              <w:rPr>
                <w:rFonts w:ascii="Calibri" w:hAnsi="Calibri" w:cs="Calibri"/>
                <w:sz w:val="17"/>
                <w:szCs w:val="17"/>
              </w:rPr>
              <w:t>Investiční přijaté transfery od krajů</w:t>
            </w:r>
          </w:p>
        </w:tc>
        <w:tc>
          <w:tcPr>
            <w:tcW w:w="146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0,00</w:t>
            </w:r>
          </w:p>
        </w:tc>
        <w:tc>
          <w:tcPr>
            <w:tcW w:w="136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1 916 566,00</w:t>
            </w:r>
          </w:p>
        </w:tc>
        <w:tc>
          <w:tcPr>
            <w:tcW w:w="1380"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1 916 566,00</w:t>
            </w:r>
          </w:p>
        </w:tc>
        <w:tc>
          <w:tcPr>
            <w:tcW w:w="879"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17"/>
                <w:szCs w:val="17"/>
              </w:rPr>
            </w:pPr>
            <w:r>
              <w:rPr>
                <w:rFonts w:ascii="Calibri" w:hAnsi="Calibri" w:cs="Calibri"/>
                <w:color w:val="000000"/>
                <w:sz w:val="17"/>
                <w:szCs w:val="17"/>
              </w:rPr>
              <w:t>100,00%</w:t>
            </w:r>
          </w:p>
        </w:tc>
      </w:tr>
      <w:tr w:rsidR="005C744D" w:rsidTr="005C744D">
        <w:trPr>
          <w:trHeight w:val="255"/>
        </w:trPr>
        <w:tc>
          <w:tcPr>
            <w:tcW w:w="4405" w:type="dxa"/>
            <w:gridSpan w:val="2"/>
            <w:tcBorders>
              <w:top w:val="single" w:sz="4" w:space="0" w:color="auto"/>
              <w:left w:val="single" w:sz="4" w:space="0" w:color="auto"/>
              <w:bottom w:val="single" w:sz="4" w:space="0" w:color="auto"/>
              <w:right w:val="single" w:sz="4" w:space="0" w:color="000000"/>
            </w:tcBorders>
            <w:shd w:val="clear" w:color="D6A100" w:fill="FFC000"/>
            <w:noWrap/>
            <w:vAlign w:val="center"/>
            <w:hideMark/>
          </w:tcPr>
          <w:p w:rsidR="005C744D" w:rsidRDefault="005C744D">
            <w:pPr>
              <w:rPr>
                <w:rFonts w:ascii="Calibri" w:hAnsi="Calibri" w:cs="Calibri"/>
                <w:b/>
                <w:bCs/>
                <w:color w:val="000000"/>
                <w:sz w:val="17"/>
                <w:szCs w:val="17"/>
              </w:rPr>
            </w:pPr>
            <w:r>
              <w:rPr>
                <w:rFonts w:ascii="Calibri" w:hAnsi="Calibri" w:cs="Calibri"/>
                <w:b/>
                <w:bCs/>
                <w:color w:val="000000"/>
                <w:sz w:val="17"/>
                <w:szCs w:val="17"/>
              </w:rPr>
              <w:t>PŘIJATÉ DOTACE CELKEM</w:t>
            </w:r>
          </w:p>
        </w:tc>
        <w:tc>
          <w:tcPr>
            <w:tcW w:w="1460" w:type="dxa"/>
            <w:tcBorders>
              <w:top w:val="nil"/>
              <w:left w:val="nil"/>
              <w:bottom w:val="single" w:sz="4" w:space="0" w:color="auto"/>
              <w:right w:val="single" w:sz="4" w:space="0" w:color="auto"/>
            </w:tcBorders>
            <w:shd w:val="clear" w:color="000000" w:fill="FFC000"/>
            <w:noWrap/>
            <w:vAlign w:val="center"/>
            <w:hideMark/>
          </w:tcPr>
          <w:p w:rsidR="005C744D" w:rsidRDefault="005C744D">
            <w:pPr>
              <w:jc w:val="right"/>
              <w:rPr>
                <w:rFonts w:ascii="Calibri" w:hAnsi="Calibri" w:cs="Calibri"/>
                <w:b/>
                <w:bCs/>
                <w:color w:val="000000"/>
                <w:sz w:val="17"/>
                <w:szCs w:val="17"/>
              </w:rPr>
            </w:pPr>
            <w:r>
              <w:rPr>
                <w:rFonts w:ascii="Calibri" w:hAnsi="Calibri" w:cs="Calibri"/>
                <w:b/>
                <w:bCs/>
                <w:color w:val="000000"/>
                <w:sz w:val="17"/>
                <w:szCs w:val="17"/>
              </w:rPr>
              <w:t>84 050 998,72</w:t>
            </w:r>
          </w:p>
        </w:tc>
        <w:tc>
          <w:tcPr>
            <w:tcW w:w="1360" w:type="dxa"/>
            <w:tcBorders>
              <w:top w:val="nil"/>
              <w:left w:val="nil"/>
              <w:bottom w:val="single" w:sz="4" w:space="0" w:color="auto"/>
              <w:right w:val="single" w:sz="4" w:space="0" w:color="auto"/>
            </w:tcBorders>
            <w:shd w:val="clear" w:color="000000" w:fill="FFC000"/>
            <w:noWrap/>
            <w:vAlign w:val="center"/>
            <w:hideMark/>
          </w:tcPr>
          <w:p w:rsidR="005C744D" w:rsidRDefault="005C744D">
            <w:pPr>
              <w:jc w:val="right"/>
              <w:rPr>
                <w:rFonts w:ascii="Calibri" w:hAnsi="Calibri" w:cs="Calibri"/>
                <w:b/>
                <w:bCs/>
                <w:color w:val="000000"/>
                <w:sz w:val="17"/>
                <w:szCs w:val="17"/>
              </w:rPr>
            </w:pPr>
            <w:r>
              <w:rPr>
                <w:rFonts w:ascii="Calibri" w:hAnsi="Calibri" w:cs="Calibri"/>
                <w:b/>
                <w:bCs/>
                <w:color w:val="000000"/>
                <w:sz w:val="17"/>
                <w:szCs w:val="17"/>
              </w:rPr>
              <w:t>123 478 514,97</w:t>
            </w:r>
          </w:p>
        </w:tc>
        <w:tc>
          <w:tcPr>
            <w:tcW w:w="1380" w:type="dxa"/>
            <w:tcBorders>
              <w:top w:val="nil"/>
              <w:left w:val="nil"/>
              <w:bottom w:val="single" w:sz="4" w:space="0" w:color="auto"/>
              <w:right w:val="single" w:sz="4" w:space="0" w:color="auto"/>
            </w:tcBorders>
            <w:shd w:val="clear" w:color="000000" w:fill="FFC000"/>
            <w:noWrap/>
            <w:vAlign w:val="center"/>
            <w:hideMark/>
          </w:tcPr>
          <w:p w:rsidR="005C744D" w:rsidRDefault="005C744D">
            <w:pPr>
              <w:jc w:val="right"/>
              <w:rPr>
                <w:rFonts w:ascii="Calibri" w:hAnsi="Calibri" w:cs="Calibri"/>
                <w:b/>
                <w:bCs/>
                <w:color w:val="000000"/>
                <w:sz w:val="17"/>
                <w:szCs w:val="17"/>
              </w:rPr>
            </w:pPr>
            <w:r>
              <w:rPr>
                <w:rFonts w:ascii="Calibri" w:hAnsi="Calibri" w:cs="Calibri"/>
                <w:b/>
                <w:bCs/>
                <w:color w:val="000000"/>
                <w:sz w:val="17"/>
                <w:szCs w:val="17"/>
              </w:rPr>
              <w:t>111 101 254,25</w:t>
            </w:r>
          </w:p>
        </w:tc>
        <w:tc>
          <w:tcPr>
            <w:tcW w:w="879" w:type="dxa"/>
            <w:tcBorders>
              <w:top w:val="nil"/>
              <w:left w:val="nil"/>
              <w:bottom w:val="single" w:sz="4" w:space="0" w:color="auto"/>
              <w:right w:val="single" w:sz="4" w:space="0" w:color="auto"/>
            </w:tcBorders>
            <w:shd w:val="clear" w:color="000000" w:fill="FFC000"/>
            <w:noWrap/>
            <w:vAlign w:val="center"/>
            <w:hideMark/>
          </w:tcPr>
          <w:p w:rsidR="005C744D" w:rsidRDefault="005C744D">
            <w:pPr>
              <w:jc w:val="right"/>
              <w:rPr>
                <w:rFonts w:ascii="Calibri" w:hAnsi="Calibri" w:cs="Calibri"/>
                <w:b/>
                <w:bCs/>
                <w:color w:val="000000"/>
                <w:sz w:val="17"/>
                <w:szCs w:val="17"/>
              </w:rPr>
            </w:pPr>
            <w:r>
              <w:rPr>
                <w:rFonts w:ascii="Calibri" w:hAnsi="Calibri" w:cs="Calibri"/>
                <w:b/>
                <w:bCs/>
                <w:color w:val="000000"/>
                <w:sz w:val="17"/>
                <w:szCs w:val="17"/>
              </w:rPr>
              <w:t>89,98%</w:t>
            </w:r>
          </w:p>
        </w:tc>
      </w:tr>
      <w:tr w:rsidR="005C744D" w:rsidTr="005C744D">
        <w:trPr>
          <w:trHeight w:val="255"/>
        </w:trPr>
        <w:tc>
          <w:tcPr>
            <w:tcW w:w="4405" w:type="dxa"/>
            <w:gridSpan w:val="2"/>
            <w:tcBorders>
              <w:top w:val="single" w:sz="4" w:space="0" w:color="auto"/>
              <w:left w:val="single" w:sz="4" w:space="0" w:color="auto"/>
              <w:bottom w:val="single" w:sz="4" w:space="0" w:color="auto"/>
              <w:right w:val="single" w:sz="4" w:space="0" w:color="000000"/>
            </w:tcBorders>
            <w:shd w:val="clear" w:color="EE8137" w:fill="ED7D31"/>
            <w:noWrap/>
            <w:vAlign w:val="center"/>
            <w:hideMark/>
          </w:tcPr>
          <w:p w:rsidR="005C744D" w:rsidRDefault="005C744D">
            <w:pPr>
              <w:rPr>
                <w:rFonts w:ascii="Calibri" w:hAnsi="Calibri" w:cs="Calibri"/>
                <w:b/>
                <w:bCs/>
                <w:color w:val="000000"/>
                <w:sz w:val="17"/>
                <w:szCs w:val="17"/>
              </w:rPr>
            </w:pPr>
            <w:r>
              <w:rPr>
                <w:rFonts w:ascii="Calibri" w:hAnsi="Calibri" w:cs="Calibri"/>
                <w:b/>
                <w:bCs/>
                <w:color w:val="000000"/>
                <w:sz w:val="17"/>
                <w:szCs w:val="17"/>
              </w:rPr>
              <w:t>PŘÍJMY CELKEM</w:t>
            </w:r>
          </w:p>
        </w:tc>
        <w:tc>
          <w:tcPr>
            <w:tcW w:w="1460" w:type="dxa"/>
            <w:tcBorders>
              <w:top w:val="nil"/>
              <w:left w:val="nil"/>
              <w:bottom w:val="single" w:sz="4" w:space="0" w:color="auto"/>
              <w:right w:val="single" w:sz="4" w:space="0" w:color="auto"/>
            </w:tcBorders>
            <w:shd w:val="clear" w:color="EE8137" w:fill="ED7D31"/>
            <w:noWrap/>
            <w:vAlign w:val="center"/>
            <w:hideMark/>
          </w:tcPr>
          <w:p w:rsidR="005C744D" w:rsidRDefault="005C744D">
            <w:pPr>
              <w:jc w:val="right"/>
              <w:rPr>
                <w:rFonts w:ascii="Calibri" w:hAnsi="Calibri" w:cs="Calibri"/>
                <w:b/>
                <w:bCs/>
                <w:color w:val="000000"/>
                <w:sz w:val="17"/>
                <w:szCs w:val="17"/>
              </w:rPr>
            </w:pPr>
            <w:r>
              <w:rPr>
                <w:rFonts w:ascii="Calibri" w:hAnsi="Calibri" w:cs="Calibri"/>
                <w:b/>
                <w:bCs/>
                <w:color w:val="000000"/>
                <w:sz w:val="17"/>
                <w:szCs w:val="17"/>
              </w:rPr>
              <w:t>1 000 899 682,00</w:t>
            </w:r>
          </w:p>
        </w:tc>
        <w:tc>
          <w:tcPr>
            <w:tcW w:w="1360" w:type="dxa"/>
            <w:tcBorders>
              <w:top w:val="nil"/>
              <w:left w:val="nil"/>
              <w:bottom w:val="single" w:sz="4" w:space="0" w:color="auto"/>
              <w:right w:val="single" w:sz="4" w:space="0" w:color="auto"/>
            </w:tcBorders>
            <w:shd w:val="clear" w:color="EE8137" w:fill="ED7D31"/>
            <w:noWrap/>
            <w:vAlign w:val="center"/>
            <w:hideMark/>
          </w:tcPr>
          <w:p w:rsidR="005C744D" w:rsidRDefault="005C744D">
            <w:pPr>
              <w:jc w:val="right"/>
              <w:rPr>
                <w:rFonts w:ascii="Calibri" w:hAnsi="Calibri" w:cs="Calibri"/>
                <w:b/>
                <w:bCs/>
                <w:color w:val="000000"/>
                <w:sz w:val="17"/>
                <w:szCs w:val="17"/>
              </w:rPr>
            </w:pPr>
            <w:r>
              <w:rPr>
                <w:rFonts w:ascii="Calibri" w:hAnsi="Calibri" w:cs="Calibri"/>
                <w:b/>
                <w:bCs/>
                <w:color w:val="000000"/>
                <w:sz w:val="17"/>
                <w:szCs w:val="17"/>
              </w:rPr>
              <w:t>1 047 299 050,93</w:t>
            </w:r>
          </w:p>
        </w:tc>
        <w:tc>
          <w:tcPr>
            <w:tcW w:w="1380" w:type="dxa"/>
            <w:tcBorders>
              <w:top w:val="nil"/>
              <w:left w:val="nil"/>
              <w:bottom w:val="single" w:sz="4" w:space="0" w:color="auto"/>
              <w:right w:val="single" w:sz="4" w:space="0" w:color="auto"/>
            </w:tcBorders>
            <w:shd w:val="clear" w:color="EE8137" w:fill="ED7D31"/>
            <w:noWrap/>
            <w:vAlign w:val="center"/>
            <w:hideMark/>
          </w:tcPr>
          <w:p w:rsidR="005C744D" w:rsidRDefault="005C744D">
            <w:pPr>
              <w:jc w:val="right"/>
              <w:rPr>
                <w:rFonts w:ascii="Calibri" w:hAnsi="Calibri" w:cs="Calibri"/>
                <w:b/>
                <w:bCs/>
                <w:color w:val="000000"/>
                <w:sz w:val="17"/>
                <w:szCs w:val="17"/>
              </w:rPr>
            </w:pPr>
            <w:r>
              <w:rPr>
                <w:rFonts w:ascii="Calibri" w:hAnsi="Calibri" w:cs="Calibri"/>
                <w:b/>
                <w:bCs/>
                <w:color w:val="000000"/>
                <w:sz w:val="17"/>
                <w:szCs w:val="17"/>
              </w:rPr>
              <w:t>1 268 670 353,65</w:t>
            </w:r>
          </w:p>
        </w:tc>
        <w:tc>
          <w:tcPr>
            <w:tcW w:w="879" w:type="dxa"/>
            <w:tcBorders>
              <w:top w:val="nil"/>
              <w:left w:val="nil"/>
              <w:bottom w:val="single" w:sz="4" w:space="0" w:color="auto"/>
              <w:right w:val="single" w:sz="4" w:space="0" w:color="auto"/>
            </w:tcBorders>
            <w:shd w:val="clear" w:color="000000" w:fill="ED7D31"/>
            <w:noWrap/>
            <w:vAlign w:val="center"/>
            <w:hideMark/>
          </w:tcPr>
          <w:p w:rsidR="005C744D" w:rsidRDefault="005C744D">
            <w:pPr>
              <w:jc w:val="right"/>
              <w:rPr>
                <w:rFonts w:ascii="Calibri" w:hAnsi="Calibri" w:cs="Calibri"/>
                <w:b/>
                <w:bCs/>
                <w:color w:val="000000"/>
                <w:sz w:val="17"/>
                <w:szCs w:val="17"/>
              </w:rPr>
            </w:pPr>
            <w:r>
              <w:rPr>
                <w:rFonts w:ascii="Calibri" w:hAnsi="Calibri" w:cs="Calibri"/>
                <w:b/>
                <w:bCs/>
                <w:color w:val="000000"/>
                <w:sz w:val="17"/>
                <w:szCs w:val="17"/>
              </w:rPr>
              <w:t>121,14%</w:t>
            </w:r>
          </w:p>
        </w:tc>
      </w:tr>
    </w:tbl>
    <w:p w:rsidR="00F67F54" w:rsidRDefault="00F67F54" w:rsidP="000522BE">
      <w:pPr>
        <w:pStyle w:val="Nadpis1"/>
      </w:pPr>
      <w:bookmarkStart w:id="29" w:name="_Toc39129514"/>
      <w:r>
        <w:lastRenderedPageBreak/>
        <w:t>Celkové příjmy dle odvětví</w:t>
      </w:r>
      <w:bookmarkEnd w:id="29"/>
    </w:p>
    <w:p w:rsidR="00F67F54" w:rsidRDefault="00F67F54" w:rsidP="0024764D">
      <w:pPr>
        <w:pStyle w:val="Nadpis3"/>
        <w:rPr>
          <w:b w:val="0"/>
        </w:rPr>
      </w:pPr>
      <w:bookmarkStart w:id="30" w:name="_Toc39129515"/>
      <w:r w:rsidRPr="000522BE">
        <w:rPr>
          <w:b w:val="0"/>
        </w:rPr>
        <w:t>Vyhodnocení celkových příjmů za skupiny odvětvového třídění</w:t>
      </w:r>
      <w:r w:rsidR="00266A28" w:rsidRPr="000522BE">
        <w:rPr>
          <w:b w:val="0"/>
        </w:rPr>
        <w:t xml:space="preserve"> </w:t>
      </w:r>
      <w:r w:rsidR="00C50283" w:rsidRPr="000522BE">
        <w:rPr>
          <w:b w:val="0"/>
        </w:rPr>
        <w:t>- rok 202</w:t>
      </w:r>
      <w:r w:rsidR="005C744D">
        <w:rPr>
          <w:b w:val="0"/>
        </w:rPr>
        <w:t>2</w:t>
      </w:r>
      <w:r w:rsidRPr="000522BE">
        <w:rPr>
          <w:b w:val="0"/>
        </w:rPr>
        <w:t xml:space="preserve"> (v </w:t>
      </w:r>
      <w:r w:rsidR="003F1790" w:rsidRPr="000522BE">
        <w:rPr>
          <w:b w:val="0"/>
        </w:rPr>
        <w:t xml:space="preserve">tis. </w:t>
      </w:r>
      <w:r w:rsidRPr="000522BE">
        <w:rPr>
          <w:b w:val="0"/>
        </w:rPr>
        <w:t>Kč)</w:t>
      </w:r>
      <w:bookmarkEnd w:id="30"/>
    </w:p>
    <w:tbl>
      <w:tblPr>
        <w:tblW w:w="9493" w:type="dxa"/>
        <w:tblCellMar>
          <w:left w:w="70" w:type="dxa"/>
          <w:right w:w="70" w:type="dxa"/>
        </w:tblCellMar>
        <w:tblLook w:val="04A0" w:firstRow="1" w:lastRow="0" w:firstColumn="1" w:lastColumn="0" w:noHBand="0" w:noVBand="1"/>
      </w:tblPr>
      <w:tblGrid>
        <w:gridCol w:w="4673"/>
        <w:gridCol w:w="1276"/>
        <w:gridCol w:w="1276"/>
        <w:gridCol w:w="1275"/>
        <w:gridCol w:w="993"/>
      </w:tblGrid>
      <w:tr w:rsidR="005C744D" w:rsidTr="005C744D">
        <w:trPr>
          <w:trHeight w:val="510"/>
        </w:trPr>
        <w:tc>
          <w:tcPr>
            <w:tcW w:w="4673" w:type="dxa"/>
            <w:tcBorders>
              <w:top w:val="single" w:sz="4" w:space="0" w:color="auto"/>
              <w:left w:val="single" w:sz="4" w:space="0" w:color="auto"/>
              <w:bottom w:val="single" w:sz="4" w:space="0" w:color="auto"/>
              <w:right w:val="single" w:sz="4" w:space="0" w:color="auto"/>
            </w:tcBorders>
            <w:shd w:val="clear" w:color="EE8137" w:fill="F79646"/>
            <w:noWrap/>
            <w:vAlign w:val="center"/>
            <w:hideMark/>
          </w:tcPr>
          <w:p w:rsidR="005C744D" w:rsidRDefault="005C744D">
            <w:pPr>
              <w:jc w:val="center"/>
              <w:rPr>
                <w:rFonts w:ascii="Calibri" w:hAnsi="Calibri" w:cs="Calibri"/>
                <w:color w:val="000000"/>
                <w:sz w:val="20"/>
                <w:szCs w:val="20"/>
              </w:rPr>
            </w:pPr>
            <w:r>
              <w:rPr>
                <w:rFonts w:ascii="Calibri" w:hAnsi="Calibri" w:cs="Calibri"/>
                <w:color w:val="000000"/>
                <w:sz w:val="20"/>
                <w:szCs w:val="20"/>
              </w:rPr>
              <w:t>Název skupiny</w:t>
            </w:r>
          </w:p>
        </w:tc>
        <w:tc>
          <w:tcPr>
            <w:tcW w:w="1276" w:type="dxa"/>
            <w:tcBorders>
              <w:top w:val="single" w:sz="4" w:space="0" w:color="auto"/>
              <w:left w:val="nil"/>
              <w:bottom w:val="single" w:sz="4" w:space="0" w:color="auto"/>
              <w:right w:val="single" w:sz="4" w:space="0" w:color="auto"/>
            </w:tcBorders>
            <w:shd w:val="clear" w:color="EE8137" w:fill="F79646"/>
            <w:noWrap/>
            <w:vAlign w:val="center"/>
            <w:hideMark/>
          </w:tcPr>
          <w:p w:rsidR="005C744D" w:rsidRDefault="005C744D">
            <w:pPr>
              <w:jc w:val="center"/>
              <w:rPr>
                <w:rFonts w:ascii="Calibri" w:hAnsi="Calibri" w:cs="Calibri"/>
                <w:color w:val="000000"/>
                <w:sz w:val="20"/>
                <w:szCs w:val="20"/>
              </w:rPr>
            </w:pPr>
            <w:r>
              <w:rPr>
                <w:rFonts w:ascii="Calibri" w:hAnsi="Calibri" w:cs="Calibri"/>
                <w:color w:val="000000"/>
                <w:sz w:val="20"/>
                <w:szCs w:val="20"/>
              </w:rPr>
              <w:t>Schválený</w:t>
            </w:r>
          </w:p>
        </w:tc>
        <w:tc>
          <w:tcPr>
            <w:tcW w:w="1276" w:type="dxa"/>
            <w:tcBorders>
              <w:top w:val="single" w:sz="4" w:space="0" w:color="auto"/>
              <w:left w:val="nil"/>
              <w:bottom w:val="single" w:sz="4" w:space="0" w:color="auto"/>
              <w:right w:val="single" w:sz="4" w:space="0" w:color="auto"/>
            </w:tcBorders>
            <w:shd w:val="clear" w:color="EE8137" w:fill="F79646"/>
            <w:noWrap/>
            <w:vAlign w:val="center"/>
            <w:hideMark/>
          </w:tcPr>
          <w:p w:rsidR="005C744D" w:rsidRDefault="005C744D">
            <w:pPr>
              <w:jc w:val="center"/>
              <w:rPr>
                <w:rFonts w:ascii="Calibri" w:hAnsi="Calibri" w:cs="Calibri"/>
                <w:color w:val="000000"/>
                <w:sz w:val="20"/>
                <w:szCs w:val="20"/>
              </w:rPr>
            </w:pPr>
            <w:r>
              <w:rPr>
                <w:rFonts w:ascii="Calibri" w:hAnsi="Calibri" w:cs="Calibri"/>
                <w:color w:val="000000"/>
                <w:sz w:val="20"/>
                <w:szCs w:val="20"/>
              </w:rPr>
              <w:t>Upravený</w:t>
            </w:r>
          </w:p>
        </w:tc>
        <w:tc>
          <w:tcPr>
            <w:tcW w:w="1275" w:type="dxa"/>
            <w:tcBorders>
              <w:top w:val="single" w:sz="4" w:space="0" w:color="auto"/>
              <w:left w:val="nil"/>
              <w:bottom w:val="single" w:sz="4" w:space="0" w:color="auto"/>
              <w:right w:val="single" w:sz="4" w:space="0" w:color="auto"/>
            </w:tcBorders>
            <w:shd w:val="clear" w:color="EE8137" w:fill="F79646"/>
            <w:noWrap/>
            <w:vAlign w:val="center"/>
            <w:hideMark/>
          </w:tcPr>
          <w:p w:rsidR="005C744D" w:rsidRDefault="005C744D">
            <w:pPr>
              <w:jc w:val="center"/>
              <w:rPr>
                <w:rFonts w:ascii="Calibri" w:hAnsi="Calibri" w:cs="Calibri"/>
                <w:color w:val="000000"/>
                <w:sz w:val="20"/>
                <w:szCs w:val="20"/>
              </w:rPr>
            </w:pPr>
            <w:r>
              <w:rPr>
                <w:rFonts w:ascii="Calibri" w:hAnsi="Calibri" w:cs="Calibri"/>
                <w:color w:val="000000"/>
                <w:sz w:val="20"/>
                <w:szCs w:val="20"/>
              </w:rPr>
              <w:t>Skutečnost</w:t>
            </w:r>
          </w:p>
        </w:tc>
        <w:tc>
          <w:tcPr>
            <w:tcW w:w="993" w:type="dxa"/>
            <w:tcBorders>
              <w:top w:val="single" w:sz="4" w:space="0" w:color="auto"/>
              <w:left w:val="nil"/>
              <w:bottom w:val="single" w:sz="4" w:space="0" w:color="auto"/>
              <w:right w:val="single" w:sz="4" w:space="0" w:color="auto"/>
            </w:tcBorders>
            <w:shd w:val="clear" w:color="EE8137" w:fill="F79646"/>
            <w:vAlign w:val="center"/>
            <w:hideMark/>
          </w:tcPr>
          <w:p w:rsidR="005C744D" w:rsidRDefault="005C744D">
            <w:pPr>
              <w:jc w:val="center"/>
              <w:rPr>
                <w:rFonts w:ascii="Calibri" w:hAnsi="Calibri" w:cs="Calibri"/>
                <w:color w:val="000000"/>
                <w:sz w:val="20"/>
                <w:szCs w:val="20"/>
              </w:rPr>
            </w:pPr>
            <w:r>
              <w:rPr>
                <w:rFonts w:ascii="Calibri" w:hAnsi="Calibri" w:cs="Calibri"/>
                <w:color w:val="000000"/>
                <w:sz w:val="20"/>
                <w:szCs w:val="20"/>
              </w:rPr>
              <w:t>Plnění Sk./Upr.</w:t>
            </w:r>
          </w:p>
        </w:tc>
      </w:tr>
      <w:tr w:rsidR="005C744D" w:rsidTr="005C744D">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5C744D" w:rsidRDefault="005C744D">
            <w:pPr>
              <w:rPr>
                <w:rFonts w:ascii="Calibri" w:hAnsi="Calibri" w:cs="Calibri"/>
                <w:color w:val="000000"/>
                <w:sz w:val="20"/>
                <w:szCs w:val="20"/>
              </w:rPr>
            </w:pPr>
            <w:r>
              <w:rPr>
                <w:rFonts w:ascii="Calibri" w:hAnsi="Calibri" w:cs="Calibri"/>
                <w:color w:val="000000"/>
                <w:sz w:val="20"/>
                <w:szCs w:val="20"/>
              </w:rPr>
              <w:t>Bez ODPA</w:t>
            </w:r>
          </w:p>
        </w:tc>
        <w:tc>
          <w:tcPr>
            <w:tcW w:w="1276"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20"/>
                <w:szCs w:val="20"/>
              </w:rPr>
            </w:pPr>
            <w:r>
              <w:rPr>
                <w:rFonts w:ascii="Calibri" w:hAnsi="Calibri" w:cs="Calibri"/>
                <w:color w:val="000000"/>
                <w:sz w:val="20"/>
                <w:szCs w:val="20"/>
              </w:rPr>
              <w:t>862 180,60</w:t>
            </w:r>
          </w:p>
        </w:tc>
        <w:tc>
          <w:tcPr>
            <w:tcW w:w="1276"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20"/>
                <w:szCs w:val="20"/>
              </w:rPr>
            </w:pPr>
            <w:r>
              <w:rPr>
                <w:rFonts w:ascii="Calibri" w:hAnsi="Calibri" w:cs="Calibri"/>
                <w:color w:val="000000"/>
                <w:sz w:val="20"/>
                <w:szCs w:val="20"/>
              </w:rPr>
              <w:t>898 640,83</w:t>
            </w:r>
          </w:p>
        </w:tc>
        <w:tc>
          <w:tcPr>
            <w:tcW w:w="1275"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20"/>
                <w:szCs w:val="20"/>
              </w:rPr>
            </w:pPr>
            <w:r>
              <w:rPr>
                <w:rFonts w:ascii="Calibri" w:hAnsi="Calibri" w:cs="Calibri"/>
                <w:color w:val="000000"/>
                <w:sz w:val="20"/>
                <w:szCs w:val="20"/>
              </w:rPr>
              <w:t>1 094 040,76</w:t>
            </w:r>
          </w:p>
        </w:tc>
        <w:tc>
          <w:tcPr>
            <w:tcW w:w="993"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20"/>
                <w:szCs w:val="20"/>
              </w:rPr>
            </w:pPr>
            <w:r>
              <w:rPr>
                <w:rFonts w:ascii="Calibri" w:hAnsi="Calibri" w:cs="Calibri"/>
                <w:color w:val="000000"/>
                <w:sz w:val="20"/>
                <w:szCs w:val="20"/>
              </w:rPr>
              <w:t>121,74 %</w:t>
            </w:r>
          </w:p>
        </w:tc>
      </w:tr>
      <w:tr w:rsidR="005C744D" w:rsidTr="005C744D">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5C744D" w:rsidRDefault="005C744D">
            <w:pPr>
              <w:rPr>
                <w:rFonts w:ascii="Calibri" w:hAnsi="Calibri" w:cs="Calibri"/>
                <w:color w:val="000000"/>
                <w:sz w:val="20"/>
                <w:szCs w:val="20"/>
              </w:rPr>
            </w:pPr>
            <w:r>
              <w:rPr>
                <w:rFonts w:ascii="Calibri" w:hAnsi="Calibri" w:cs="Calibri"/>
                <w:color w:val="000000"/>
                <w:sz w:val="20"/>
                <w:szCs w:val="20"/>
              </w:rPr>
              <w:t>1 Zemědělství, lesní hospodářství a rybářství</w:t>
            </w:r>
          </w:p>
        </w:tc>
        <w:tc>
          <w:tcPr>
            <w:tcW w:w="1276"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20"/>
                <w:szCs w:val="20"/>
              </w:rPr>
            </w:pPr>
            <w:r>
              <w:rPr>
                <w:rFonts w:ascii="Calibri" w:hAnsi="Calibri" w:cs="Calibri"/>
                <w:color w:val="000000"/>
                <w:sz w:val="20"/>
                <w:szCs w:val="20"/>
              </w:rPr>
              <w:t>2 420,00</w:t>
            </w:r>
          </w:p>
        </w:tc>
        <w:tc>
          <w:tcPr>
            <w:tcW w:w="1276"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20"/>
                <w:szCs w:val="20"/>
              </w:rPr>
            </w:pPr>
            <w:r>
              <w:rPr>
                <w:rFonts w:ascii="Calibri" w:hAnsi="Calibri" w:cs="Calibri"/>
                <w:color w:val="000000"/>
                <w:sz w:val="20"/>
                <w:szCs w:val="20"/>
              </w:rPr>
              <w:t>2 420,00</w:t>
            </w:r>
          </w:p>
        </w:tc>
        <w:tc>
          <w:tcPr>
            <w:tcW w:w="1275"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20"/>
                <w:szCs w:val="20"/>
              </w:rPr>
            </w:pPr>
            <w:r>
              <w:rPr>
                <w:rFonts w:ascii="Calibri" w:hAnsi="Calibri" w:cs="Calibri"/>
                <w:color w:val="000000"/>
                <w:sz w:val="20"/>
                <w:szCs w:val="20"/>
              </w:rPr>
              <w:t>4 598,00</w:t>
            </w:r>
          </w:p>
        </w:tc>
        <w:tc>
          <w:tcPr>
            <w:tcW w:w="993"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20"/>
                <w:szCs w:val="20"/>
              </w:rPr>
            </w:pPr>
            <w:r>
              <w:rPr>
                <w:rFonts w:ascii="Calibri" w:hAnsi="Calibri" w:cs="Calibri"/>
                <w:color w:val="000000"/>
                <w:sz w:val="20"/>
                <w:szCs w:val="20"/>
              </w:rPr>
              <w:t>190,00 %</w:t>
            </w:r>
          </w:p>
        </w:tc>
      </w:tr>
      <w:tr w:rsidR="005C744D" w:rsidTr="005C744D">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5C744D" w:rsidRDefault="005C744D">
            <w:pPr>
              <w:rPr>
                <w:rFonts w:ascii="Calibri" w:hAnsi="Calibri" w:cs="Calibri"/>
                <w:color w:val="000000"/>
                <w:sz w:val="20"/>
                <w:szCs w:val="20"/>
              </w:rPr>
            </w:pPr>
            <w:r>
              <w:rPr>
                <w:rFonts w:ascii="Calibri" w:hAnsi="Calibri" w:cs="Calibri"/>
                <w:color w:val="000000"/>
                <w:sz w:val="20"/>
                <w:szCs w:val="20"/>
              </w:rPr>
              <w:t>2 Průmyslová a ostatní odvětví hospodářství</w:t>
            </w:r>
          </w:p>
        </w:tc>
        <w:tc>
          <w:tcPr>
            <w:tcW w:w="1276"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20"/>
                <w:szCs w:val="20"/>
              </w:rPr>
            </w:pPr>
            <w:r>
              <w:rPr>
                <w:rFonts w:ascii="Calibri" w:hAnsi="Calibri" w:cs="Calibri"/>
                <w:color w:val="000000"/>
                <w:sz w:val="20"/>
                <w:szCs w:val="20"/>
              </w:rPr>
              <w:t>6 110,00</w:t>
            </w:r>
          </w:p>
        </w:tc>
        <w:tc>
          <w:tcPr>
            <w:tcW w:w="1276"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20"/>
                <w:szCs w:val="20"/>
              </w:rPr>
            </w:pPr>
            <w:r>
              <w:rPr>
                <w:rFonts w:ascii="Calibri" w:hAnsi="Calibri" w:cs="Calibri"/>
                <w:color w:val="000000"/>
                <w:sz w:val="20"/>
                <w:szCs w:val="20"/>
              </w:rPr>
              <w:t>6 504,60</w:t>
            </w:r>
          </w:p>
        </w:tc>
        <w:tc>
          <w:tcPr>
            <w:tcW w:w="1275"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20"/>
                <w:szCs w:val="20"/>
              </w:rPr>
            </w:pPr>
            <w:r>
              <w:rPr>
                <w:rFonts w:ascii="Calibri" w:hAnsi="Calibri" w:cs="Calibri"/>
                <w:color w:val="000000"/>
                <w:sz w:val="20"/>
                <w:szCs w:val="20"/>
              </w:rPr>
              <w:t>12 462,83</w:t>
            </w:r>
          </w:p>
        </w:tc>
        <w:tc>
          <w:tcPr>
            <w:tcW w:w="993"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20"/>
                <w:szCs w:val="20"/>
              </w:rPr>
            </w:pPr>
            <w:r>
              <w:rPr>
                <w:rFonts w:ascii="Calibri" w:hAnsi="Calibri" w:cs="Calibri"/>
                <w:color w:val="000000"/>
                <w:sz w:val="20"/>
                <w:szCs w:val="20"/>
              </w:rPr>
              <w:t>191,60 %</w:t>
            </w:r>
          </w:p>
        </w:tc>
      </w:tr>
      <w:tr w:rsidR="005C744D" w:rsidTr="005C744D">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5C744D" w:rsidRDefault="005C744D">
            <w:pPr>
              <w:rPr>
                <w:rFonts w:ascii="Calibri" w:hAnsi="Calibri" w:cs="Calibri"/>
                <w:color w:val="000000"/>
                <w:sz w:val="20"/>
                <w:szCs w:val="20"/>
              </w:rPr>
            </w:pPr>
            <w:r>
              <w:rPr>
                <w:rFonts w:ascii="Calibri" w:hAnsi="Calibri" w:cs="Calibri"/>
                <w:color w:val="000000"/>
                <w:sz w:val="20"/>
                <w:szCs w:val="20"/>
              </w:rPr>
              <w:t>3 Služby pro obyvatelstvo</w:t>
            </w:r>
          </w:p>
        </w:tc>
        <w:tc>
          <w:tcPr>
            <w:tcW w:w="1276"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20"/>
                <w:szCs w:val="20"/>
              </w:rPr>
            </w:pPr>
            <w:r>
              <w:rPr>
                <w:rFonts w:ascii="Calibri" w:hAnsi="Calibri" w:cs="Calibri"/>
                <w:color w:val="000000"/>
                <w:sz w:val="20"/>
                <w:szCs w:val="20"/>
              </w:rPr>
              <w:t>119 194,08</w:t>
            </w:r>
          </w:p>
        </w:tc>
        <w:tc>
          <w:tcPr>
            <w:tcW w:w="1276"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20"/>
                <w:szCs w:val="20"/>
              </w:rPr>
            </w:pPr>
            <w:r>
              <w:rPr>
                <w:rFonts w:ascii="Calibri" w:hAnsi="Calibri" w:cs="Calibri"/>
                <w:color w:val="000000"/>
                <w:sz w:val="20"/>
                <w:szCs w:val="20"/>
              </w:rPr>
              <w:t>128 139,17</w:t>
            </w:r>
          </w:p>
        </w:tc>
        <w:tc>
          <w:tcPr>
            <w:tcW w:w="1275"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20"/>
                <w:szCs w:val="20"/>
              </w:rPr>
            </w:pPr>
            <w:r>
              <w:rPr>
                <w:rFonts w:ascii="Calibri" w:hAnsi="Calibri" w:cs="Calibri"/>
                <w:color w:val="000000"/>
                <w:sz w:val="20"/>
                <w:szCs w:val="20"/>
              </w:rPr>
              <w:t>137 093,59</w:t>
            </w:r>
          </w:p>
        </w:tc>
        <w:tc>
          <w:tcPr>
            <w:tcW w:w="993"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20"/>
                <w:szCs w:val="20"/>
              </w:rPr>
            </w:pPr>
            <w:r>
              <w:rPr>
                <w:rFonts w:ascii="Calibri" w:hAnsi="Calibri" w:cs="Calibri"/>
                <w:color w:val="000000"/>
                <w:sz w:val="20"/>
                <w:szCs w:val="20"/>
              </w:rPr>
              <w:t>106,99 %</w:t>
            </w:r>
          </w:p>
        </w:tc>
      </w:tr>
      <w:tr w:rsidR="005C744D" w:rsidTr="005C744D">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5C744D" w:rsidRDefault="005C744D">
            <w:pPr>
              <w:rPr>
                <w:rFonts w:ascii="Calibri" w:hAnsi="Calibri" w:cs="Calibri"/>
                <w:color w:val="000000"/>
                <w:sz w:val="20"/>
                <w:szCs w:val="20"/>
              </w:rPr>
            </w:pPr>
            <w:r>
              <w:rPr>
                <w:rFonts w:ascii="Calibri" w:hAnsi="Calibri" w:cs="Calibri"/>
                <w:color w:val="000000"/>
                <w:sz w:val="20"/>
                <w:szCs w:val="20"/>
              </w:rPr>
              <w:t>4 Sociální věci a politika zaměstnanosti</w:t>
            </w:r>
          </w:p>
        </w:tc>
        <w:tc>
          <w:tcPr>
            <w:tcW w:w="1276"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20"/>
                <w:szCs w:val="20"/>
              </w:rPr>
            </w:pPr>
            <w:r>
              <w:rPr>
                <w:rFonts w:ascii="Calibri" w:hAnsi="Calibri" w:cs="Calibri"/>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20"/>
                <w:szCs w:val="20"/>
              </w:rPr>
            </w:pPr>
            <w:r>
              <w:rPr>
                <w:rFonts w:ascii="Calibri" w:hAnsi="Calibri" w:cs="Calibri"/>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20"/>
                <w:szCs w:val="20"/>
              </w:rPr>
            </w:pPr>
            <w:r>
              <w:rPr>
                <w:rFonts w:ascii="Calibri" w:hAnsi="Calibri" w:cs="Calibri"/>
                <w:color w:val="000000"/>
                <w:sz w:val="20"/>
                <w:szCs w:val="20"/>
              </w:rPr>
              <w:t>308,97</w:t>
            </w:r>
          </w:p>
        </w:tc>
        <w:tc>
          <w:tcPr>
            <w:tcW w:w="993"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20"/>
                <w:szCs w:val="20"/>
              </w:rPr>
            </w:pPr>
            <w:r>
              <w:rPr>
                <w:rFonts w:ascii="Calibri" w:hAnsi="Calibri" w:cs="Calibri"/>
                <w:color w:val="000000"/>
                <w:sz w:val="20"/>
                <w:szCs w:val="20"/>
              </w:rPr>
              <w:t>*****</w:t>
            </w:r>
          </w:p>
        </w:tc>
      </w:tr>
      <w:tr w:rsidR="005C744D" w:rsidTr="005C744D">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5C744D" w:rsidRDefault="005C744D">
            <w:pPr>
              <w:rPr>
                <w:rFonts w:ascii="Calibri" w:hAnsi="Calibri" w:cs="Calibri"/>
                <w:color w:val="000000"/>
                <w:sz w:val="20"/>
                <w:szCs w:val="20"/>
              </w:rPr>
            </w:pPr>
            <w:r>
              <w:rPr>
                <w:rFonts w:ascii="Calibri" w:hAnsi="Calibri" w:cs="Calibri"/>
                <w:color w:val="000000"/>
                <w:sz w:val="20"/>
                <w:szCs w:val="20"/>
              </w:rPr>
              <w:t>5 Bezpečnost státu a právní ochrana</w:t>
            </w:r>
          </w:p>
        </w:tc>
        <w:tc>
          <w:tcPr>
            <w:tcW w:w="1276"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20"/>
                <w:szCs w:val="20"/>
              </w:rPr>
            </w:pPr>
            <w:r>
              <w:rPr>
                <w:rFonts w:ascii="Calibri" w:hAnsi="Calibri" w:cs="Calibri"/>
                <w:color w:val="000000"/>
                <w:sz w:val="20"/>
                <w:szCs w:val="20"/>
              </w:rPr>
              <w:t>1 070,00</w:t>
            </w:r>
          </w:p>
        </w:tc>
        <w:tc>
          <w:tcPr>
            <w:tcW w:w="1276"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20"/>
                <w:szCs w:val="20"/>
              </w:rPr>
            </w:pPr>
            <w:r>
              <w:rPr>
                <w:rFonts w:ascii="Calibri" w:hAnsi="Calibri" w:cs="Calibri"/>
                <w:color w:val="000000"/>
                <w:sz w:val="20"/>
                <w:szCs w:val="20"/>
              </w:rPr>
              <w:t>1 070,00</w:t>
            </w:r>
          </w:p>
        </w:tc>
        <w:tc>
          <w:tcPr>
            <w:tcW w:w="1275"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20"/>
                <w:szCs w:val="20"/>
              </w:rPr>
            </w:pPr>
            <w:r>
              <w:rPr>
                <w:rFonts w:ascii="Calibri" w:hAnsi="Calibri" w:cs="Calibri"/>
                <w:color w:val="000000"/>
                <w:sz w:val="20"/>
                <w:szCs w:val="20"/>
              </w:rPr>
              <w:t>1 118,63</w:t>
            </w:r>
          </w:p>
        </w:tc>
        <w:tc>
          <w:tcPr>
            <w:tcW w:w="993"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20"/>
                <w:szCs w:val="20"/>
              </w:rPr>
            </w:pPr>
            <w:r>
              <w:rPr>
                <w:rFonts w:ascii="Calibri" w:hAnsi="Calibri" w:cs="Calibri"/>
                <w:color w:val="000000"/>
                <w:sz w:val="20"/>
                <w:szCs w:val="20"/>
              </w:rPr>
              <w:t>104,55 %</w:t>
            </w:r>
          </w:p>
        </w:tc>
      </w:tr>
      <w:tr w:rsidR="005C744D" w:rsidTr="005C744D">
        <w:trPr>
          <w:trHeight w:val="30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rsidR="005C744D" w:rsidRDefault="005C744D">
            <w:pPr>
              <w:rPr>
                <w:rFonts w:ascii="Calibri" w:hAnsi="Calibri" w:cs="Calibri"/>
                <w:color w:val="000000"/>
                <w:sz w:val="20"/>
                <w:szCs w:val="20"/>
              </w:rPr>
            </w:pPr>
            <w:r>
              <w:rPr>
                <w:rFonts w:ascii="Calibri" w:hAnsi="Calibri" w:cs="Calibri"/>
                <w:color w:val="000000"/>
                <w:sz w:val="20"/>
                <w:szCs w:val="20"/>
              </w:rPr>
              <w:t>6 Všeobecná veřejná správa a služby</w:t>
            </w:r>
          </w:p>
        </w:tc>
        <w:tc>
          <w:tcPr>
            <w:tcW w:w="1276"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20"/>
                <w:szCs w:val="20"/>
              </w:rPr>
            </w:pPr>
            <w:r>
              <w:rPr>
                <w:rFonts w:ascii="Calibri" w:hAnsi="Calibri" w:cs="Calibri"/>
                <w:color w:val="000000"/>
                <w:sz w:val="20"/>
                <w:szCs w:val="20"/>
              </w:rPr>
              <w:t>9 925,00</w:t>
            </w:r>
          </w:p>
        </w:tc>
        <w:tc>
          <w:tcPr>
            <w:tcW w:w="1276"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20"/>
                <w:szCs w:val="20"/>
              </w:rPr>
            </w:pPr>
            <w:r>
              <w:rPr>
                <w:rFonts w:ascii="Calibri" w:hAnsi="Calibri" w:cs="Calibri"/>
                <w:color w:val="000000"/>
                <w:sz w:val="20"/>
                <w:szCs w:val="20"/>
              </w:rPr>
              <w:t>10 524,46</w:t>
            </w:r>
          </w:p>
        </w:tc>
        <w:tc>
          <w:tcPr>
            <w:tcW w:w="1275"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20"/>
                <w:szCs w:val="20"/>
              </w:rPr>
            </w:pPr>
            <w:r>
              <w:rPr>
                <w:rFonts w:ascii="Calibri" w:hAnsi="Calibri" w:cs="Calibri"/>
                <w:color w:val="000000"/>
                <w:sz w:val="20"/>
                <w:szCs w:val="20"/>
              </w:rPr>
              <w:t>19 047,57</w:t>
            </w:r>
          </w:p>
        </w:tc>
        <w:tc>
          <w:tcPr>
            <w:tcW w:w="993" w:type="dxa"/>
            <w:tcBorders>
              <w:top w:val="nil"/>
              <w:left w:val="nil"/>
              <w:bottom w:val="single" w:sz="4" w:space="0" w:color="auto"/>
              <w:right w:val="single" w:sz="4" w:space="0" w:color="auto"/>
            </w:tcBorders>
            <w:shd w:val="clear" w:color="auto" w:fill="auto"/>
            <w:noWrap/>
            <w:vAlign w:val="center"/>
            <w:hideMark/>
          </w:tcPr>
          <w:p w:rsidR="005C744D" w:rsidRDefault="005C744D">
            <w:pPr>
              <w:jc w:val="right"/>
              <w:rPr>
                <w:rFonts w:ascii="Calibri" w:hAnsi="Calibri" w:cs="Calibri"/>
                <w:color w:val="000000"/>
                <w:sz w:val="20"/>
                <w:szCs w:val="20"/>
              </w:rPr>
            </w:pPr>
            <w:r>
              <w:rPr>
                <w:rFonts w:ascii="Calibri" w:hAnsi="Calibri" w:cs="Calibri"/>
                <w:color w:val="000000"/>
                <w:sz w:val="20"/>
                <w:szCs w:val="20"/>
              </w:rPr>
              <w:t>180,98 %</w:t>
            </w:r>
          </w:p>
        </w:tc>
      </w:tr>
      <w:tr w:rsidR="005C744D" w:rsidTr="005C744D">
        <w:trPr>
          <w:trHeight w:val="300"/>
        </w:trPr>
        <w:tc>
          <w:tcPr>
            <w:tcW w:w="4673" w:type="dxa"/>
            <w:tcBorders>
              <w:top w:val="nil"/>
              <w:left w:val="single" w:sz="4" w:space="0" w:color="auto"/>
              <w:bottom w:val="single" w:sz="4" w:space="0" w:color="auto"/>
              <w:right w:val="single" w:sz="4" w:space="0" w:color="auto"/>
            </w:tcBorders>
            <w:shd w:val="clear" w:color="EE8137" w:fill="F79646"/>
            <w:noWrap/>
            <w:vAlign w:val="center"/>
            <w:hideMark/>
          </w:tcPr>
          <w:p w:rsidR="005C744D" w:rsidRDefault="005C744D">
            <w:pPr>
              <w:rPr>
                <w:rFonts w:ascii="Calibri" w:hAnsi="Calibri" w:cs="Calibri"/>
                <w:b/>
                <w:bCs/>
                <w:color w:val="000000"/>
                <w:sz w:val="20"/>
                <w:szCs w:val="20"/>
              </w:rPr>
            </w:pPr>
            <w:r>
              <w:rPr>
                <w:rFonts w:ascii="Calibri" w:hAnsi="Calibri" w:cs="Calibri"/>
                <w:b/>
                <w:bCs/>
                <w:color w:val="000000"/>
                <w:sz w:val="20"/>
                <w:szCs w:val="20"/>
              </w:rPr>
              <w:t>Příjmy celkem</w:t>
            </w:r>
          </w:p>
        </w:tc>
        <w:tc>
          <w:tcPr>
            <w:tcW w:w="1276" w:type="dxa"/>
            <w:tcBorders>
              <w:top w:val="nil"/>
              <w:left w:val="nil"/>
              <w:bottom w:val="single" w:sz="4" w:space="0" w:color="auto"/>
              <w:right w:val="single" w:sz="4" w:space="0" w:color="auto"/>
            </w:tcBorders>
            <w:shd w:val="clear" w:color="EE8137" w:fill="F79646"/>
            <w:noWrap/>
            <w:vAlign w:val="center"/>
            <w:hideMark/>
          </w:tcPr>
          <w:p w:rsidR="005C744D" w:rsidRDefault="005C744D">
            <w:pPr>
              <w:jc w:val="right"/>
              <w:rPr>
                <w:rFonts w:ascii="Calibri" w:hAnsi="Calibri" w:cs="Calibri"/>
                <w:b/>
                <w:bCs/>
                <w:color w:val="000000"/>
                <w:sz w:val="20"/>
                <w:szCs w:val="20"/>
              </w:rPr>
            </w:pPr>
            <w:r>
              <w:rPr>
                <w:rFonts w:ascii="Calibri" w:hAnsi="Calibri" w:cs="Calibri"/>
                <w:b/>
                <w:bCs/>
                <w:color w:val="000000"/>
                <w:sz w:val="20"/>
                <w:szCs w:val="20"/>
              </w:rPr>
              <w:t>1 000 899,68</w:t>
            </w:r>
          </w:p>
        </w:tc>
        <w:tc>
          <w:tcPr>
            <w:tcW w:w="1276" w:type="dxa"/>
            <w:tcBorders>
              <w:top w:val="nil"/>
              <w:left w:val="nil"/>
              <w:bottom w:val="single" w:sz="4" w:space="0" w:color="auto"/>
              <w:right w:val="single" w:sz="4" w:space="0" w:color="auto"/>
            </w:tcBorders>
            <w:shd w:val="clear" w:color="EE8137" w:fill="F79646"/>
            <w:noWrap/>
            <w:vAlign w:val="center"/>
            <w:hideMark/>
          </w:tcPr>
          <w:p w:rsidR="005C744D" w:rsidRDefault="005C744D">
            <w:pPr>
              <w:jc w:val="right"/>
              <w:rPr>
                <w:rFonts w:ascii="Calibri" w:hAnsi="Calibri" w:cs="Calibri"/>
                <w:b/>
                <w:bCs/>
                <w:color w:val="000000"/>
                <w:sz w:val="20"/>
                <w:szCs w:val="20"/>
              </w:rPr>
            </w:pPr>
            <w:r>
              <w:rPr>
                <w:rFonts w:ascii="Calibri" w:hAnsi="Calibri" w:cs="Calibri"/>
                <w:b/>
                <w:bCs/>
                <w:color w:val="000000"/>
                <w:sz w:val="20"/>
                <w:szCs w:val="20"/>
              </w:rPr>
              <w:t>1 047 299,05</w:t>
            </w:r>
          </w:p>
        </w:tc>
        <w:tc>
          <w:tcPr>
            <w:tcW w:w="1275" w:type="dxa"/>
            <w:tcBorders>
              <w:top w:val="nil"/>
              <w:left w:val="nil"/>
              <w:bottom w:val="single" w:sz="4" w:space="0" w:color="auto"/>
              <w:right w:val="single" w:sz="4" w:space="0" w:color="auto"/>
            </w:tcBorders>
            <w:shd w:val="clear" w:color="EE8137" w:fill="F79646"/>
            <w:noWrap/>
            <w:vAlign w:val="center"/>
            <w:hideMark/>
          </w:tcPr>
          <w:p w:rsidR="005C744D" w:rsidRDefault="005C744D">
            <w:pPr>
              <w:jc w:val="right"/>
              <w:rPr>
                <w:rFonts w:ascii="Calibri" w:hAnsi="Calibri" w:cs="Calibri"/>
                <w:b/>
                <w:bCs/>
                <w:color w:val="000000"/>
                <w:sz w:val="20"/>
                <w:szCs w:val="20"/>
              </w:rPr>
            </w:pPr>
            <w:r>
              <w:rPr>
                <w:rFonts w:ascii="Calibri" w:hAnsi="Calibri" w:cs="Calibri"/>
                <w:b/>
                <w:bCs/>
                <w:color w:val="000000"/>
                <w:sz w:val="20"/>
                <w:szCs w:val="20"/>
              </w:rPr>
              <w:t>1 268 670,35</w:t>
            </w:r>
          </w:p>
        </w:tc>
        <w:tc>
          <w:tcPr>
            <w:tcW w:w="993" w:type="dxa"/>
            <w:tcBorders>
              <w:top w:val="nil"/>
              <w:left w:val="nil"/>
              <w:bottom w:val="single" w:sz="4" w:space="0" w:color="auto"/>
              <w:right w:val="single" w:sz="4" w:space="0" w:color="auto"/>
            </w:tcBorders>
            <w:shd w:val="clear" w:color="EE8137" w:fill="F79646"/>
            <w:noWrap/>
            <w:vAlign w:val="center"/>
            <w:hideMark/>
          </w:tcPr>
          <w:p w:rsidR="005C744D" w:rsidRDefault="005C744D">
            <w:pPr>
              <w:jc w:val="right"/>
              <w:rPr>
                <w:rFonts w:ascii="Calibri" w:hAnsi="Calibri" w:cs="Calibri"/>
                <w:b/>
                <w:bCs/>
                <w:color w:val="000000"/>
                <w:sz w:val="20"/>
                <w:szCs w:val="20"/>
              </w:rPr>
            </w:pPr>
            <w:r>
              <w:rPr>
                <w:rFonts w:ascii="Calibri" w:hAnsi="Calibri" w:cs="Calibri"/>
                <w:b/>
                <w:bCs/>
                <w:color w:val="000000"/>
                <w:sz w:val="20"/>
                <w:szCs w:val="20"/>
              </w:rPr>
              <w:t>121,14 %</w:t>
            </w:r>
          </w:p>
        </w:tc>
      </w:tr>
    </w:tbl>
    <w:p w:rsidR="000522BE" w:rsidRDefault="000522BE" w:rsidP="000522BE">
      <w:r w:rsidRPr="00EC7485">
        <w:rPr>
          <w:rFonts w:asciiTheme="minorHAnsi" w:hAnsiTheme="minorHAnsi" w:cstheme="minorHAnsi"/>
          <w:sz w:val="18"/>
          <w:szCs w:val="18"/>
        </w:rPr>
        <w:t>* Příjmy, které nejsou odvět</w:t>
      </w:r>
      <w:r>
        <w:rPr>
          <w:rFonts w:asciiTheme="minorHAnsi" w:hAnsiTheme="minorHAnsi" w:cstheme="minorHAnsi"/>
          <w:sz w:val="18"/>
          <w:szCs w:val="18"/>
        </w:rPr>
        <w:t>vově tříděny</w:t>
      </w:r>
    </w:p>
    <w:p w:rsidR="000522BE" w:rsidRPr="000522BE" w:rsidRDefault="000522BE" w:rsidP="000522BE"/>
    <w:p w:rsidR="00A84C33" w:rsidRPr="001C7B0A" w:rsidRDefault="00A84C33" w:rsidP="00E81B03">
      <w:pPr>
        <w:jc w:val="both"/>
        <w:rPr>
          <w:rFonts w:asciiTheme="minorHAnsi" w:hAnsiTheme="minorHAnsi" w:cstheme="minorHAnsi"/>
          <w:color w:val="A6A6A6" w:themeColor="background1" w:themeShade="A6"/>
          <w:sz w:val="22"/>
          <w:szCs w:val="22"/>
        </w:rPr>
      </w:pPr>
      <w:r w:rsidRPr="00DA28C5">
        <w:rPr>
          <w:rFonts w:asciiTheme="minorHAnsi" w:hAnsiTheme="minorHAnsi" w:cstheme="minorHAnsi"/>
          <w:sz w:val="22"/>
          <w:szCs w:val="22"/>
        </w:rPr>
        <w:t>Odvětvové třídění příjmů rozpočtu je z hlediska vypovídací schopnosti doplňkové, neboť 8</w:t>
      </w:r>
      <w:r w:rsidR="001C7B0A">
        <w:rPr>
          <w:rFonts w:asciiTheme="minorHAnsi" w:hAnsiTheme="minorHAnsi" w:cstheme="minorHAnsi"/>
          <w:sz w:val="22"/>
          <w:szCs w:val="22"/>
        </w:rPr>
        <w:t>6</w:t>
      </w:r>
      <w:r w:rsidRPr="00DA28C5">
        <w:rPr>
          <w:rFonts w:asciiTheme="minorHAnsi" w:hAnsiTheme="minorHAnsi" w:cstheme="minorHAnsi"/>
          <w:sz w:val="22"/>
          <w:szCs w:val="22"/>
        </w:rPr>
        <w:t xml:space="preserve"> % příjmů </w:t>
      </w:r>
      <w:r w:rsidR="00C30528" w:rsidRPr="00DA28C5">
        <w:rPr>
          <w:rFonts w:asciiTheme="minorHAnsi" w:hAnsiTheme="minorHAnsi" w:cstheme="minorHAnsi"/>
          <w:sz w:val="22"/>
          <w:szCs w:val="22"/>
        </w:rPr>
        <w:t>nepodléhá odvětvovému třídění.</w:t>
      </w:r>
      <w:r w:rsidR="00FD1B47">
        <w:rPr>
          <w:rFonts w:asciiTheme="minorHAnsi" w:hAnsiTheme="minorHAnsi" w:cstheme="minorHAnsi"/>
          <w:sz w:val="22"/>
          <w:szCs w:val="22"/>
        </w:rPr>
        <w:t xml:space="preserve"> </w:t>
      </w:r>
      <w:r w:rsidRPr="00F97225">
        <w:rPr>
          <w:rFonts w:asciiTheme="minorHAnsi" w:hAnsiTheme="minorHAnsi" w:cstheme="minorHAnsi"/>
          <w:sz w:val="22"/>
          <w:szCs w:val="22"/>
        </w:rPr>
        <w:t xml:space="preserve">Jedná se </w:t>
      </w:r>
      <w:r w:rsidR="00F97225" w:rsidRPr="00F97225">
        <w:rPr>
          <w:rFonts w:asciiTheme="minorHAnsi" w:hAnsiTheme="minorHAnsi" w:cstheme="minorHAnsi"/>
          <w:sz w:val="22"/>
          <w:szCs w:val="22"/>
        </w:rPr>
        <w:t xml:space="preserve">např. </w:t>
      </w:r>
      <w:r w:rsidRPr="00F97225">
        <w:rPr>
          <w:rFonts w:asciiTheme="minorHAnsi" w:hAnsiTheme="minorHAnsi" w:cstheme="minorHAnsi"/>
          <w:sz w:val="22"/>
          <w:szCs w:val="22"/>
        </w:rPr>
        <w:t>o daňové příjmy, přijaté transfery a splátky půjčených prostředků od obyvatelstva.</w:t>
      </w:r>
    </w:p>
    <w:p w:rsidR="00A84C33" w:rsidRPr="001C7B0A" w:rsidRDefault="00A84C33" w:rsidP="00E81B03">
      <w:pPr>
        <w:jc w:val="both"/>
        <w:rPr>
          <w:rFonts w:asciiTheme="minorHAnsi" w:hAnsiTheme="minorHAnsi" w:cstheme="minorHAnsi"/>
          <w:color w:val="A6A6A6" w:themeColor="background1" w:themeShade="A6"/>
          <w:sz w:val="22"/>
          <w:szCs w:val="22"/>
        </w:rPr>
      </w:pPr>
    </w:p>
    <w:p w:rsidR="000E7600" w:rsidRPr="00F97225" w:rsidRDefault="000E7600" w:rsidP="00E81B03">
      <w:pPr>
        <w:spacing w:after="120"/>
        <w:jc w:val="both"/>
        <w:rPr>
          <w:rFonts w:asciiTheme="minorHAnsi" w:hAnsiTheme="minorHAnsi" w:cstheme="minorHAnsi"/>
          <w:sz w:val="22"/>
          <w:szCs w:val="22"/>
        </w:rPr>
      </w:pPr>
      <w:r w:rsidRPr="00F97225">
        <w:rPr>
          <w:rFonts w:asciiTheme="minorHAnsi" w:hAnsiTheme="minorHAnsi" w:cstheme="minorHAnsi"/>
          <w:sz w:val="22"/>
          <w:szCs w:val="22"/>
        </w:rPr>
        <w:t>Stručná charakteristika obsahu jednotlivých skupin odvětvového třídění.</w:t>
      </w:r>
    </w:p>
    <w:p w:rsidR="00A84C33" w:rsidRPr="00DB1E6B" w:rsidRDefault="003F5A0A" w:rsidP="006276B0">
      <w:pPr>
        <w:spacing w:after="120"/>
        <w:ind w:left="1134" w:hanging="1134"/>
        <w:jc w:val="both"/>
        <w:rPr>
          <w:rFonts w:asciiTheme="minorHAnsi" w:hAnsiTheme="minorHAnsi" w:cstheme="minorHAnsi"/>
          <w:sz w:val="22"/>
          <w:szCs w:val="22"/>
        </w:rPr>
      </w:pPr>
      <w:r w:rsidRPr="00DB1E6B">
        <w:rPr>
          <w:rFonts w:asciiTheme="minorHAnsi" w:hAnsiTheme="minorHAnsi" w:cstheme="minorHAnsi"/>
          <w:b/>
          <w:sz w:val="22"/>
          <w:szCs w:val="22"/>
        </w:rPr>
        <w:t>s</w:t>
      </w:r>
      <w:r w:rsidR="00A84C33" w:rsidRPr="00DB1E6B">
        <w:rPr>
          <w:rFonts w:asciiTheme="minorHAnsi" w:hAnsiTheme="minorHAnsi" w:cstheme="minorHAnsi"/>
          <w:b/>
          <w:sz w:val="22"/>
          <w:szCs w:val="22"/>
        </w:rPr>
        <w:t>kupina 1</w:t>
      </w:r>
      <w:r w:rsidR="00C676BA" w:rsidRPr="00DB1E6B">
        <w:rPr>
          <w:rFonts w:asciiTheme="minorHAnsi" w:hAnsiTheme="minorHAnsi" w:cstheme="minorHAnsi"/>
          <w:sz w:val="22"/>
          <w:szCs w:val="22"/>
        </w:rPr>
        <w:tab/>
      </w:r>
      <w:r w:rsidR="0021754E" w:rsidRPr="00DB1E6B">
        <w:rPr>
          <w:rFonts w:asciiTheme="minorHAnsi" w:hAnsiTheme="minorHAnsi" w:cstheme="minorHAnsi"/>
          <w:sz w:val="22"/>
          <w:szCs w:val="22"/>
        </w:rPr>
        <w:t>Lesy města Prostějova, s.</w:t>
      </w:r>
      <w:r w:rsidR="00F97225" w:rsidRPr="00DB1E6B">
        <w:rPr>
          <w:rFonts w:asciiTheme="minorHAnsi" w:hAnsiTheme="minorHAnsi" w:cstheme="minorHAnsi"/>
          <w:sz w:val="22"/>
          <w:szCs w:val="22"/>
        </w:rPr>
        <w:t xml:space="preserve"> </w:t>
      </w:r>
      <w:r w:rsidR="0021754E" w:rsidRPr="00DB1E6B">
        <w:rPr>
          <w:rFonts w:asciiTheme="minorHAnsi" w:hAnsiTheme="minorHAnsi" w:cstheme="minorHAnsi"/>
          <w:sz w:val="22"/>
          <w:szCs w:val="22"/>
        </w:rPr>
        <w:t>r.</w:t>
      </w:r>
      <w:r w:rsidR="00F97225" w:rsidRPr="00DB1E6B">
        <w:rPr>
          <w:rFonts w:asciiTheme="minorHAnsi" w:hAnsiTheme="minorHAnsi" w:cstheme="minorHAnsi"/>
          <w:sz w:val="22"/>
          <w:szCs w:val="22"/>
        </w:rPr>
        <w:t xml:space="preserve"> </w:t>
      </w:r>
      <w:r w:rsidR="0021754E" w:rsidRPr="00DB1E6B">
        <w:rPr>
          <w:rFonts w:asciiTheme="minorHAnsi" w:hAnsiTheme="minorHAnsi" w:cstheme="minorHAnsi"/>
          <w:sz w:val="22"/>
          <w:szCs w:val="22"/>
        </w:rPr>
        <w:t xml:space="preserve">o., </w:t>
      </w:r>
      <w:r w:rsidR="00E62AB5" w:rsidRPr="00DB1E6B">
        <w:rPr>
          <w:rFonts w:asciiTheme="minorHAnsi" w:hAnsiTheme="minorHAnsi" w:cstheme="minorHAnsi"/>
          <w:sz w:val="22"/>
          <w:szCs w:val="22"/>
        </w:rPr>
        <w:t xml:space="preserve"> – </w:t>
      </w:r>
      <w:r w:rsidR="00F97225" w:rsidRPr="00DB1E6B">
        <w:rPr>
          <w:rFonts w:asciiTheme="minorHAnsi" w:hAnsiTheme="minorHAnsi" w:cstheme="minorHAnsi"/>
          <w:sz w:val="22"/>
          <w:szCs w:val="22"/>
        </w:rPr>
        <w:t>ostatní příjmy z pronájmu majetku</w:t>
      </w:r>
      <w:r w:rsidR="00E62AB5" w:rsidRPr="00DB1E6B">
        <w:rPr>
          <w:rFonts w:asciiTheme="minorHAnsi" w:hAnsiTheme="minorHAnsi" w:cstheme="minorHAnsi"/>
          <w:sz w:val="22"/>
          <w:szCs w:val="22"/>
        </w:rPr>
        <w:t xml:space="preserve"> (</w:t>
      </w:r>
      <w:r w:rsidR="00F97225" w:rsidRPr="00DB1E6B">
        <w:rPr>
          <w:rFonts w:asciiTheme="minorHAnsi" w:hAnsiTheme="minorHAnsi" w:cstheme="minorHAnsi"/>
          <w:sz w:val="22"/>
          <w:szCs w:val="22"/>
        </w:rPr>
        <w:t>4,</w:t>
      </w:r>
      <w:r w:rsidR="003C2E4A">
        <w:rPr>
          <w:rFonts w:asciiTheme="minorHAnsi" w:hAnsiTheme="minorHAnsi" w:cstheme="minorHAnsi"/>
          <w:sz w:val="22"/>
          <w:szCs w:val="22"/>
        </w:rPr>
        <w:t>6</w:t>
      </w:r>
      <w:r w:rsidR="0021754E" w:rsidRPr="00DB1E6B">
        <w:rPr>
          <w:rFonts w:asciiTheme="minorHAnsi" w:hAnsiTheme="minorHAnsi" w:cstheme="minorHAnsi"/>
          <w:sz w:val="22"/>
          <w:szCs w:val="22"/>
        </w:rPr>
        <w:t> </w:t>
      </w:r>
      <w:r w:rsidR="00E62AB5" w:rsidRPr="00DB1E6B">
        <w:rPr>
          <w:rFonts w:asciiTheme="minorHAnsi" w:hAnsiTheme="minorHAnsi" w:cstheme="minorHAnsi"/>
          <w:sz w:val="22"/>
          <w:szCs w:val="22"/>
        </w:rPr>
        <w:t>mil. Kč),</w:t>
      </w:r>
    </w:p>
    <w:p w:rsidR="00A84C33" w:rsidRPr="00DB1E6B" w:rsidRDefault="003F5A0A" w:rsidP="006276B0">
      <w:pPr>
        <w:tabs>
          <w:tab w:val="left" w:pos="851"/>
        </w:tabs>
        <w:spacing w:after="120"/>
        <w:ind w:left="1134" w:hanging="1134"/>
        <w:jc w:val="both"/>
        <w:rPr>
          <w:rFonts w:asciiTheme="minorHAnsi" w:hAnsiTheme="minorHAnsi" w:cstheme="minorHAnsi"/>
          <w:sz w:val="22"/>
          <w:szCs w:val="22"/>
        </w:rPr>
      </w:pPr>
      <w:r w:rsidRPr="00DB1E6B">
        <w:rPr>
          <w:rFonts w:asciiTheme="minorHAnsi" w:hAnsiTheme="minorHAnsi" w:cstheme="minorHAnsi"/>
          <w:b/>
          <w:sz w:val="22"/>
          <w:szCs w:val="22"/>
        </w:rPr>
        <w:t>s</w:t>
      </w:r>
      <w:r w:rsidR="00A84C33" w:rsidRPr="00DB1E6B">
        <w:rPr>
          <w:rFonts w:asciiTheme="minorHAnsi" w:hAnsiTheme="minorHAnsi" w:cstheme="minorHAnsi"/>
          <w:b/>
          <w:sz w:val="22"/>
          <w:szCs w:val="22"/>
        </w:rPr>
        <w:t>kupina 2</w:t>
      </w:r>
      <w:r w:rsidR="00C676BA" w:rsidRPr="00DB1E6B">
        <w:rPr>
          <w:rFonts w:asciiTheme="minorHAnsi" w:hAnsiTheme="minorHAnsi" w:cstheme="minorHAnsi"/>
          <w:sz w:val="22"/>
          <w:szCs w:val="22"/>
        </w:rPr>
        <w:tab/>
      </w:r>
      <w:r w:rsidR="003C2E4A">
        <w:rPr>
          <w:rFonts w:asciiTheme="minorHAnsi" w:hAnsiTheme="minorHAnsi" w:cstheme="minorHAnsi"/>
          <w:sz w:val="22"/>
          <w:szCs w:val="22"/>
        </w:rPr>
        <w:t>S</w:t>
      </w:r>
      <w:r w:rsidR="00184279" w:rsidRPr="00DB1E6B">
        <w:rPr>
          <w:rFonts w:asciiTheme="minorHAnsi" w:hAnsiTheme="minorHAnsi" w:cstheme="minorHAnsi"/>
          <w:sz w:val="22"/>
          <w:szCs w:val="22"/>
        </w:rPr>
        <w:t xml:space="preserve">ankční </w:t>
      </w:r>
      <w:r w:rsidR="002C7B51" w:rsidRPr="00DB1E6B">
        <w:rPr>
          <w:rFonts w:asciiTheme="minorHAnsi" w:hAnsiTheme="minorHAnsi" w:cstheme="minorHAnsi"/>
          <w:sz w:val="22"/>
          <w:szCs w:val="22"/>
        </w:rPr>
        <w:t>platby na úseku dopravy (kap.</w:t>
      </w:r>
      <w:r w:rsidR="00AD472F" w:rsidRPr="00DB1E6B">
        <w:rPr>
          <w:rFonts w:asciiTheme="minorHAnsi" w:hAnsiTheme="minorHAnsi" w:cstheme="minorHAnsi"/>
          <w:sz w:val="22"/>
          <w:szCs w:val="22"/>
        </w:rPr>
        <w:t xml:space="preserve"> </w:t>
      </w:r>
      <w:r w:rsidR="002C7B51" w:rsidRPr="00DB1E6B">
        <w:rPr>
          <w:rFonts w:asciiTheme="minorHAnsi" w:hAnsiTheme="minorHAnsi" w:cstheme="minorHAnsi"/>
          <w:sz w:val="22"/>
          <w:szCs w:val="22"/>
        </w:rPr>
        <w:t>1</w:t>
      </w:r>
      <w:r w:rsidR="00DB1E6B" w:rsidRPr="00DB1E6B">
        <w:rPr>
          <w:rFonts w:asciiTheme="minorHAnsi" w:hAnsiTheme="minorHAnsi" w:cstheme="minorHAnsi"/>
          <w:sz w:val="22"/>
          <w:szCs w:val="22"/>
        </w:rPr>
        <w:t>6</w:t>
      </w:r>
      <w:r w:rsidR="002C7B51" w:rsidRPr="00DB1E6B">
        <w:rPr>
          <w:rFonts w:asciiTheme="minorHAnsi" w:hAnsiTheme="minorHAnsi" w:cstheme="minorHAnsi"/>
          <w:sz w:val="22"/>
          <w:szCs w:val="22"/>
          <w:lang w:val="en-US"/>
        </w:rPr>
        <w:t>;</w:t>
      </w:r>
      <w:r w:rsidR="00184279" w:rsidRPr="00DB1E6B">
        <w:rPr>
          <w:rFonts w:asciiTheme="minorHAnsi" w:hAnsiTheme="minorHAnsi" w:cstheme="minorHAnsi"/>
          <w:sz w:val="22"/>
          <w:szCs w:val="22"/>
        </w:rPr>
        <w:t xml:space="preserve"> </w:t>
      </w:r>
      <w:r w:rsidR="003C2E4A">
        <w:rPr>
          <w:rFonts w:asciiTheme="minorHAnsi" w:hAnsiTheme="minorHAnsi" w:cstheme="minorHAnsi"/>
          <w:sz w:val="22"/>
          <w:szCs w:val="22"/>
        </w:rPr>
        <w:t>9</w:t>
      </w:r>
      <w:r w:rsidR="00DB1E6B" w:rsidRPr="00DB1E6B">
        <w:rPr>
          <w:rFonts w:asciiTheme="minorHAnsi" w:hAnsiTheme="minorHAnsi" w:cstheme="minorHAnsi"/>
          <w:sz w:val="22"/>
          <w:szCs w:val="22"/>
        </w:rPr>
        <w:t>,9</w:t>
      </w:r>
      <w:r w:rsidR="003C2E4A">
        <w:rPr>
          <w:rFonts w:asciiTheme="minorHAnsi" w:hAnsiTheme="minorHAnsi" w:cstheme="minorHAnsi"/>
          <w:sz w:val="22"/>
          <w:szCs w:val="22"/>
        </w:rPr>
        <w:t>4</w:t>
      </w:r>
      <w:r w:rsidR="00184279" w:rsidRPr="00DB1E6B">
        <w:rPr>
          <w:rFonts w:asciiTheme="minorHAnsi" w:hAnsiTheme="minorHAnsi" w:cstheme="minorHAnsi"/>
          <w:sz w:val="22"/>
          <w:szCs w:val="22"/>
        </w:rPr>
        <w:t xml:space="preserve"> mil. Kč), přefakturace vodného a stočného (kap.</w:t>
      </w:r>
      <w:r w:rsidR="002C7B51" w:rsidRPr="00DB1E6B">
        <w:rPr>
          <w:rFonts w:asciiTheme="minorHAnsi" w:hAnsiTheme="minorHAnsi" w:cstheme="minorHAnsi"/>
          <w:sz w:val="22"/>
          <w:szCs w:val="22"/>
        </w:rPr>
        <w:t> </w:t>
      </w:r>
      <w:r w:rsidR="00184279" w:rsidRPr="00DB1E6B">
        <w:rPr>
          <w:rFonts w:asciiTheme="minorHAnsi" w:hAnsiTheme="minorHAnsi" w:cstheme="minorHAnsi"/>
          <w:sz w:val="22"/>
          <w:szCs w:val="22"/>
        </w:rPr>
        <w:t>50</w:t>
      </w:r>
      <w:r w:rsidR="002C7B51" w:rsidRPr="00DB1E6B">
        <w:rPr>
          <w:rFonts w:asciiTheme="minorHAnsi" w:hAnsiTheme="minorHAnsi" w:cstheme="minorHAnsi"/>
          <w:sz w:val="22"/>
          <w:szCs w:val="22"/>
          <w:lang w:val="en-US"/>
        </w:rPr>
        <w:t>;</w:t>
      </w:r>
      <w:r w:rsidR="00184279" w:rsidRPr="00DB1E6B">
        <w:rPr>
          <w:rFonts w:asciiTheme="minorHAnsi" w:hAnsiTheme="minorHAnsi" w:cstheme="minorHAnsi"/>
          <w:sz w:val="22"/>
          <w:szCs w:val="22"/>
        </w:rPr>
        <w:t xml:space="preserve"> </w:t>
      </w:r>
      <w:r w:rsidR="003C2E4A">
        <w:rPr>
          <w:rFonts w:asciiTheme="minorHAnsi" w:hAnsiTheme="minorHAnsi" w:cstheme="minorHAnsi"/>
          <w:sz w:val="22"/>
          <w:szCs w:val="22"/>
        </w:rPr>
        <w:t>2</w:t>
      </w:r>
      <w:r w:rsidR="00DA28C5" w:rsidRPr="00DB1E6B">
        <w:rPr>
          <w:rFonts w:asciiTheme="minorHAnsi" w:hAnsiTheme="minorHAnsi" w:cstheme="minorHAnsi"/>
          <w:sz w:val="22"/>
          <w:szCs w:val="22"/>
        </w:rPr>
        <w:t>,</w:t>
      </w:r>
      <w:r w:rsidR="003C2E4A">
        <w:rPr>
          <w:rFonts w:asciiTheme="minorHAnsi" w:hAnsiTheme="minorHAnsi" w:cstheme="minorHAnsi"/>
          <w:sz w:val="22"/>
          <w:szCs w:val="22"/>
        </w:rPr>
        <w:t>15</w:t>
      </w:r>
      <w:r w:rsidR="00184279" w:rsidRPr="00DB1E6B">
        <w:rPr>
          <w:rFonts w:asciiTheme="minorHAnsi" w:hAnsiTheme="minorHAnsi" w:cstheme="minorHAnsi"/>
          <w:sz w:val="22"/>
          <w:szCs w:val="22"/>
        </w:rPr>
        <w:t xml:space="preserve"> mil. Kč)</w:t>
      </w:r>
      <w:r w:rsidR="00DA28C5" w:rsidRPr="00DB1E6B">
        <w:rPr>
          <w:rFonts w:ascii="Arial" w:hAnsi="Arial" w:cs="Arial"/>
          <w:b/>
        </w:rPr>
        <w:t xml:space="preserve"> </w:t>
      </w:r>
      <w:r w:rsidR="006C1EAC" w:rsidRPr="00DB1E6B">
        <w:rPr>
          <w:rFonts w:asciiTheme="minorHAnsi" w:hAnsiTheme="minorHAnsi" w:cstheme="minorHAnsi"/>
          <w:sz w:val="22"/>
          <w:szCs w:val="22"/>
        </w:rPr>
        <w:t>ad.,</w:t>
      </w:r>
    </w:p>
    <w:p w:rsidR="00046C9A" w:rsidRPr="001C7B0A" w:rsidRDefault="003F5A0A" w:rsidP="006276B0">
      <w:pPr>
        <w:spacing w:after="120"/>
        <w:ind w:left="1134" w:hanging="1134"/>
        <w:jc w:val="both"/>
        <w:rPr>
          <w:rFonts w:asciiTheme="minorHAnsi" w:hAnsiTheme="minorHAnsi" w:cstheme="minorHAnsi"/>
          <w:color w:val="A6A6A6" w:themeColor="background1" w:themeShade="A6"/>
          <w:sz w:val="22"/>
          <w:szCs w:val="22"/>
        </w:rPr>
      </w:pPr>
      <w:r w:rsidRPr="00093A51">
        <w:rPr>
          <w:rFonts w:asciiTheme="minorHAnsi" w:hAnsiTheme="minorHAnsi" w:cstheme="minorHAnsi"/>
          <w:b/>
          <w:sz w:val="22"/>
          <w:szCs w:val="22"/>
        </w:rPr>
        <w:t>s</w:t>
      </w:r>
      <w:r w:rsidR="00A84C33" w:rsidRPr="00093A51">
        <w:rPr>
          <w:rFonts w:asciiTheme="minorHAnsi" w:hAnsiTheme="minorHAnsi" w:cstheme="minorHAnsi"/>
          <w:b/>
          <w:sz w:val="22"/>
          <w:szCs w:val="22"/>
        </w:rPr>
        <w:t>kupina 3</w:t>
      </w:r>
      <w:r w:rsidR="00C676BA" w:rsidRPr="001C7B0A">
        <w:rPr>
          <w:rFonts w:asciiTheme="minorHAnsi" w:hAnsiTheme="minorHAnsi" w:cstheme="minorHAnsi"/>
          <w:color w:val="A6A6A6" w:themeColor="background1" w:themeShade="A6"/>
          <w:sz w:val="22"/>
          <w:szCs w:val="22"/>
        </w:rPr>
        <w:tab/>
      </w:r>
      <w:r w:rsidR="00116D6C" w:rsidRPr="00093A51">
        <w:rPr>
          <w:rFonts w:asciiTheme="minorHAnsi" w:hAnsiTheme="minorHAnsi" w:cstheme="minorHAnsi"/>
          <w:sz w:val="22"/>
          <w:szCs w:val="22"/>
        </w:rPr>
        <w:t>P</w:t>
      </w:r>
      <w:r w:rsidR="00046C9A" w:rsidRPr="00093A51">
        <w:rPr>
          <w:rFonts w:asciiTheme="minorHAnsi" w:hAnsiTheme="minorHAnsi" w:cstheme="minorHAnsi"/>
          <w:sz w:val="22"/>
          <w:szCs w:val="22"/>
        </w:rPr>
        <w:t>říjmy z pronájmu majetku (</w:t>
      </w:r>
      <w:r w:rsidR="00093A51" w:rsidRPr="00093A51">
        <w:rPr>
          <w:rFonts w:asciiTheme="minorHAnsi" w:hAnsiTheme="minorHAnsi" w:cstheme="minorHAnsi"/>
          <w:sz w:val="22"/>
          <w:szCs w:val="22"/>
        </w:rPr>
        <w:t>6</w:t>
      </w:r>
      <w:r w:rsidR="003C2E4A">
        <w:rPr>
          <w:rFonts w:asciiTheme="minorHAnsi" w:hAnsiTheme="minorHAnsi" w:cstheme="minorHAnsi"/>
          <w:sz w:val="22"/>
          <w:szCs w:val="22"/>
        </w:rPr>
        <w:t>8</w:t>
      </w:r>
      <w:r w:rsidR="00093A51" w:rsidRPr="00093A51">
        <w:rPr>
          <w:rFonts w:asciiTheme="minorHAnsi" w:hAnsiTheme="minorHAnsi" w:cstheme="minorHAnsi"/>
          <w:sz w:val="22"/>
          <w:szCs w:val="22"/>
        </w:rPr>
        <w:t>,</w:t>
      </w:r>
      <w:r w:rsidR="003C2E4A">
        <w:rPr>
          <w:rFonts w:asciiTheme="minorHAnsi" w:hAnsiTheme="minorHAnsi" w:cstheme="minorHAnsi"/>
          <w:sz w:val="22"/>
          <w:szCs w:val="22"/>
        </w:rPr>
        <w:t>28</w:t>
      </w:r>
      <w:r w:rsidR="00046C9A" w:rsidRPr="00093A51">
        <w:rPr>
          <w:rFonts w:asciiTheme="minorHAnsi" w:hAnsiTheme="minorHAnsi" w:cstheme="minorHAnsi"/>
          <w:sz w:val="22"/>
          <w:szCs w:val="22"/>
        </w:rPr>
        <w:t xml:space="preserve"> mil. Kč),</w:t>
      </w:r>
      <w:r w:rsidR="00173283" w:rsidRPr="00093A51">
        <w:rPr>
          <w:rFonts w:asciiTheme="minorHAnsi" w:hAnsiTheme="minorHAnsi" w:cstheme="minorHAnsi"/>
          <w:sz w:val="22"/>
          <w:szCs w:val="22"/>
        </w:rPr>
        <w:t xml:space="preserve"> </w:t>
      </w:r>
      <w:r w:rsidR="00046C9A" w:rsidRPr="00093A51">
        <w:rPr>
          <w:rFonts w:asciiTheme="minorHAnsi" w:hAnsiTheme="minorHAnsi" w:cstheme="minorHAnsi"/>
          <w:sz w:val="22"/>
          <w:szCs w:val="22"/>
        </w:rPr>
        <w:t>příjmy z vlastní činnosti (</w:t>
      </w:r>
      <w:r w:rsidR="005574ED" w:rsidRPr="00093A51">
        <w:rPr>
          <w:rFonts w:asciiTheme="minorHAnsi" w:hAnsiTheme="minorHAnsi" w:cstheme="minorHAnsi"/>
          <w:sz w:val="22"/>
          <w:szCs w:val="22"/>
        </w:rPr>
        <w:t>2</w:t>
      </w:r>
      <w:r w:rsidR="003C2E4A">
        <w:rPr>
          <w:rFonts w:asciiTheme="minorHAnsi" w:hAnsiTheme="minorHAnsi" w:cstheme="minorHAnsi"/>
          <w:sz w:val="22"/>
          <w:szCs w:val="22"/>
        </w:rPr>
        <w:t>7</w:t>
      </w:r>
      <w:r w:rsidR="005574ED" w:rsidRPr="00093A51">
        <w:rPr>
          <w:rFonts w:asciiTheme="minorHAnsi" w:hAnsiTheme="minorHAnsi" w:cstheme="minorHAnsi"/>
          <w:sz w:val="22"/>
          <w:szCs w:val="22"/>
        </w:rPr>
        <w:t>,</w:t>
      </w:r>
      <w:r w:rsidR="003C2E4A">
        <w:rPr>
          <w:rFonts w:asciiTheme="minorHAnsi" w:hAnsiTheme="minorHAnsi" w:cstheme="minorHAnsi"/>
          <w:sz w:val="22"/>
          <w:szCs w:val="22"/>
        </w:rPr>
        <w:t>06</w:t>
      </w:r>
      <w:r w:rsidR="00046C9A" w:rsidRPr="00093A51">
        <w:rPr>
          <w:rFonts w:asciiTheme="minorHAnsi" w:hAnsiTheme="minorHAnsi" w:cstheme="minorHAnsi"/>
          <w:sz w:val="22"/>
          <w:szCs w:val="22"/>
        </w:rPr>
        <w:t xml:space="preserve"> mil. Kč), </w:t>
      </w:r>
      <w:r w:rsidR="00173283" w:rsidRPr="00093A51">
        <w:rPr>
          <w:rFonts w:asciiTheme="minorHAnsi" w:hAnsiTheme="minorHAnsi" w:cstheme="minorHAnsi"/>
          <w:sz w:val="22"/>
          <w:szCs w:val="22"/>
        </w:rPr>
        <w:t xml:space="preserve">příjmy z prodeje </w:t>
      </w:r>
      <w:r w:rsidR="00046C9A" w:rsidRPr="00093A51">
        <w:rPr>
          <w:rFonts w:asciiTheme="minorHAnsi" w:hAnsiTheme="minorHAnsi" w:cstheme="minorHAnsi"/>
          <w:sz w:val="22"/>
          <w:szCs w:val="22"/>
        </w:rPr>
        <w:t>pozemků</w:t>
      </w:r>
      <w:r w:rsidR="002C7B51" w:rsidRPr="00093A51">
        <w:rPr>
          <w:rFonts w:asciiTheme="minorHAnsi" w:hAnsiTheme="minorHAnsi" w:cstheme="minorHAnsi"/>
          <w:sz w:val="22"/>
          <w:szCs w:val="22"/>
        </w:rPr>
        <w:t xml:space="preserve"> </w:t>
      </w:r>
      <w:r w:rsidR="00173283" w:rsidRPr="00093A51">
        <w:rPr>
          <w:rFonts w:asciiTheme="minorHAnsi" w:hAnsiTheme="minorHAnsi" w:cstheme="minorHAnsi"/>
          <w:sz w:val="22"/>
          <w:szCs w:val="22"/>
        </w:rPr>
        <w:t>(</w:t>
      </w:r>
      <w:r w:rsidR="003C2E4A">
        <w:rPr>
          <w:rFonts w:asciiTheme="minorHAnsi" w:hAnsiTheme="minorHAnsi" w:cstheme="minorHAnsi"/>
          <w:sz w:val="22"/>
          <w:szCs w:val="22"/>
        </w:rPr>
        <w:t>5</w:t>
      </w:r>
      <w:r w:rsidR="00093A51" w:rsidRPr="00093A51">
        <w:rPr>
          <w:rFonts w:asciiTheme="minorHAnsi" w:hAnsiTheme="minorHAnsi" w:cstheme="minorHAnsi"/>
          <w:sz w:val="22"/>
          <w:szCs w:val="22"/>
        </w:rPr>
        <w:t>,01</w:t>
      </w:r>
      <w:r w:rsidR="00046C9A" w:rsidRPr="00093A51">
        <w:rPr>
          <w:rFonts w:asciiTheme="minorHAnsi" w:hAnsiTheme="minorHAnsi" w:cstheme="minorHAnsi"/>
          <w:sz w:val="22"/>
          <w:szCs w:val="22"/>
        </w:rPr>
        <w:t> </w:t>
      </w:r>
      <w:r w:rsidR="00173283" w:rsidRPr="00093A51">
        <w:rPr>
          <w:rFonts w:asciiTheme="minorHAnsi" w:hAnsiTheme="minorHAnsi" w:cstheme="minorHAnsi"/>
          <w:sz w:val="22"/>
          <w:szCs w:val="22"/>
        </w:rPr>
        <w:t>mil. Kč), odvody příspěvkových organizací (</w:t>
      </w:r>
      <w:r w:rsidR="003C2E4A">
        <w:rPr>
          <w:rFonts w:asciiTheme="minorHAnsi" w:hAnsiTheme="minorHAnsi" w:cstheme="minorHAnsi"/>
          <w:sz w:val="22"/>
          <w:szCs w:val="22"/>
        </w:rPr>
        <w:t>23,49</w:t>
      </w:r>
      <w:r w:rsidR="00046C9A" w:rsidRPr="00093A51">
        <w:rPr>
          <w:rFonts w:asciiTheme="minorHAnsi" w:hAnsiTheme="minorHAnsi" w:cstheme="minorHAnsi"/>
          <w:sz w:val="22"/>
          <w:szCs w:val="22"/>
        </w:rPr>
        <w:t> </w:t>
      </w:r>
      <w:r w:rsidR="00173283" w:rsidRPr="00093A51">
        <w:rPr>
          <w:rFonts w:asciiTheme="minorHAnsi" w:hAnsiTheme="minorHAnsi" w:cstheme="minorHAnsi"/>
          <w:sz w:val="22"/>
          <w:szCs w:val="22"/>
        </w:rPr>
        <w:t xml:space="preserve">mil. Kč), </w:t>
      </w:r>
      <w:r w:rsidR="006C1EAC" w:rsidRPr="00093A51">
        <w:rPr>
          <w:rFonts w:asciiTheme="minorHAnsi" w:hAnsiTheme="minorHAnsi" w:cstheme="minorHAnsi"/>
          <w:sz w:val="22"/>
          <w:szCs w:val="22"/>
        </w:rPr>
        <w:t xml:space="preserve">ad., </w:t>
      </w:r>
    </w:p>
    <w:p w:rsidR="00D3229F" w:rsidRPr="00B92465" w:rsidRDefault="003F5A0A" w:rsidP="006276B0">
      <w:pPr>
        <w:spacing w:after="120"/>
        <w:ind w:left="1134" w:right="74" w:hanging="1134"/>
        <w:jc w:val="both"/>
        <w:rPr>
          <w:rFonts w:asciiTheme="minorHAnsi" w:hAnsiTheme="minorHAnsi" w:cstheme="minorHAnsi"/>
          <w:sz w:val="22"/>
          <w:szCs w:val="22"/>
        </w:rPr>
      </w:pPr>
      <w:r w:rsidRPr="00B92465">
        <w:rPr>
          <w:rFonts w:asciiTheme="minorHAnsi" w:hAnsiTheme="minorHAnsi" w:cstheme="minorHAnsi"/>
          <w:b/>
          <w:sz w:val="22"/>
          <w:szCs w:val="22"/>
        </w:rPr>
        <w:t>s</w:t>
      </w:r>
      <w:r w:rsidR="00A84C33" w:rsidRPr="00B92465">
        <w:rPr>
          <w:rFonts w:asciiTheme="minorHAnsi" w:hAnsiTheme="minorHAnsi" w:cstheme="minorHAnsi"/>
          <w:b/>
          <w:sz w:val="22"/>
          <w:szCs w:val="22"/>
        </w:rPr>
        <w:t>kupina 4</w:t>
      </w:r>
      <w:r w:rsidR="00C676BA" w:rsidRPr="00B92465">
        <w:rPr>
          <w:rFonts w:asciiTheme="minorHAnsi" w:hAnsiTheme="minorHAnsi" w:cstheme="minorHAnsi"/>
          <w:b/>
          <w:sz w:val="22"/>
          <w:szCs w:val="22"/>
        </w:rPr>
        <w:tab/>
      </w:r>
      <w:r w:rsidR="00B92465" w:rsidRPr="00B92465">
        <w:rPr>
          <w:rFonts w:asciiTheme="minorHAnsi" w:hAnsiTheme="minorHAnsi" w:cstheme="minorHAnsi"/>
          <w:sz w:val="22"/>
          <w:szCs w:val="22"/>
        </w:rPr>
        <w:t>Sankční platby přijaté od jiných subjektů (</w:t>
      </w:r>
      <w:r w:rsidR="004525A2">
        <w:rPr>
          <w:rFonts w:asciiTheme="minorHAnsi" w:hAnsiTheme="minorHAnsi" w:cstheme="minorHAnsi"/>
          <w:sz w:val="22"/>
          <w:szCs w:val="22"/>
        </w:rPr>
        <w:t>293,96 tis</w:t>
      </w:r>
      <w:r w:rsidR="00B92465" w:rsidRPr="00B92465">
        <w:rPr>
          <w:rFonts w:asciiTheme="minorHAnsi" w:hAnsiTheme="minorHAnsi" w:cstheme="minorHAnsi"/>
          <w:sz w:val="22"/>
          <w:szCs w:val="22"/>
        </w:rPr>
        <w:t>. Kč),</w:t>
      </w:r>
    </w:p>
    <w:p w:rsidR="00A84C33" w:rsidRPr="00B92465" w:rsidRDefault="003F5A0A" w:rsidP="006276B0">
      <w:pPr>
        <w:spacing w:after="120"/>
        <w:ind w:left="1134" w:hanging="1134"/>
        <w:jc w:val="both"/>
        <w:rPr>
          <w:rFonts w:asciiTheme="minorHAnsi" w:hAnsiTheme="minorHAnsi" w:cstheme="minorHAnsi"/>
          <w:sz w:val="22"/>
          <w:szCs w:val="22"/>
        </w:rPr>
      </w:pPr>
      <w:r w:rsidRPr="00B92465">
        <w:rPr>
          <w:rFonts w:asciiTheme="minorHAnsi" w:hAnsiTheme="minorHAnsi" w:cstheme="minorHAnsi"/>
          <w:b/>
          <w:sz w:val="22"/>
          <w:szCs w:val="22"/>
        </w:rPr>
        <w:t>s</w:t>
      </w:r>
      <w:r w:rsidR="00B33BE2" w:rsidRPr="00B92465">
        <w:rPr>
          <w:rFonts w:asciiTheme="minorHAnsi" w:hAnsiTheme="minorHAnsi" w:cstheme="minorHAnsi"/>
          <w:b/>
          <w:sz w:val="22"/>
          <w:szCs w:val="22"/>
        </w:rPr>
        <w:t>kupina 5</w:t>
      </w:r>
      <w:r w:rsidR="00C676BA" w:rsidRPr="00B92465">
        <w:rPr>
          <w:rFonts w:asciiTheme="minorHAnsi" w:hAnsiTheme="minorHAnsi" w:cstheme="minorHAnsi"/>
          <w:sz w:val="22"/>
          <w:szCs w:val="22"/>
        </w:rPr>
        <w:tab/>
      </w:r>
      <w:r w:rsidR="00B33BE2" w:rsidRPr="00B92465">
        <w:rPr>
          <w:rFonts w:asciiTheme="minorHAnsi" w:hAnsiTheme="minorHAnsi" w:cstheme="minorHAnsi"/>
          <w:sz w:val="22"/>
          <w:szCs w:val="22"/>
        </w:rPr>
        <w:t>Městská policie – pokuty (</w:t>
      </w:r>
      <w:r w:rsidR="004525A2">
        <w:rPr>
          <w:rFonts w:asciiTheme="minorHAnsi" w:hAnsiTheme="minorHAnsi" w:cstheme="minorHAnsi"/>
          <w:sz w:val="22"/>
          <w:szCs w:val="22"/>
        </w:rPr>
        <w:t>947,81</w:t>
      </w:r>
      <w:r w:rsidR="00B33BE2" w:rsidRPr="00B92465">
        <w:rPr>
          <w:rFonts w:asciiTheme="minorHAnsi" w:hAnsiTheme="minorHAnsi" w:cstheme="minorHAnsi"/>
          <w:sz w:val="22"/>
          <w:szCs w:val="22"/>
        </w:rPr>
        <w:t xml:space="preserve"> tis. Kč)</w:t>
      </w:r>
      <w:r w:rsidR="006D6ACC" w:rsidRPr="00B92465">
        <w:rPr>
          <w:rFonts w:asciiTheme="minorHAnsi" w:hAnsiTheme="minorHAnsi" w:cstheme="minorHAnsi"/>
          <w:sz w:val="22"/>
          <w:szCs w:val="22"/>
        </w:rPr>
        <w:t>,</w:t>
      </w:r>
    </w:p>
    <w:p w:rsidR="00B33BE2" w:rsidRPr="00E32BE3" w:rsidRDefault="003F5A0A" w:rsidP="006276B0">
      <w:pPr>
        <w:ind w:left="1134" w:hanging="1134"/>
        <w:jc w:val="both"/>
        <w:rPr>
          <w:rFonts w:asciiTheme="minorHAnsi" w:hAnsiTheme="minorHAnsi" w:cstheme="minorHAnsi"/>
          <w:sz w:val="22"/>
          <w:szCs w:val="22"/>
        </w:rPr>
      </w:pPr>
      <w:r w:rsidRPr="00E32BE3">
        <w:rPr>
          <w:rFonts w:asciiTheme="minorHAnsi" w:hAnsiTheme="minorHAnsi" w:cstheme="minorHAnsi"/>
          <w:b/>
          <w:sz w:val="22"/>
          <w:szCs w:val="22"/>
        </w:rPr>
        <w:t>s</w:t>
      </w:r>
      <w:r w:rsidR="00B33BE2" w:rsidRPr="00E32BE3">
        <w:rPr>
          <w:rFonts w:asciiTheme="minorHAnsi" w:hAnsiTheme="minorHAnsi" w:cstheme="minorHAnsi"/>
          <w:b/>
          <w:sz w:val="22"/>
          <w:szCs w:val="22"/>
        </w:rPr>
        <w:t>kupina 6</w:t>
      </w:r>
      <w:r w:rsidR="00C676BA" w:rsidRPr="00E32BE3">
        <w:rPr>
          <w:rFonts w:asciiTheme="minorHAnsi" w:hAnsiTheme="minorHAnsi" w:cstheme="minorHAnsi"/>
          <w:sz w:val="22"/>
          <w:szCs w:val="22"/>
        </w:rPr>
        <w:tab/>
      </w:r>
      <w:r w:rsidR="008160C5" w:rsidRPr="00E32BE3">
        <w:rPr>
          <w:rFonts w:asciiTheme="minorHAnsi" w:hAnsiTheme="minorHAnsi" w:cstheme="minorHAnsi"/>
          <w:sz w:val="22"/>
          <w:szCs w:val="22"/>
        </w:rPr>
        <w:t>P</w:t>
      </w:r>
      <w:r w:rsidR="00892D31" w:rsidRPr="00E32BE3">
        <w:rPr>
          <w:rFonts w:asciiTheme="minorHAnsi" w:hAnsiTheme="minorHAnsi" w:cstheme="minorHAnsi"/>
          <w:sz w:val="22"/>
          <w:szCs w:val="22"/>
        </w:rPr>
        <w:t>říjmy z podílů na zisku a dividend (</w:t>
      </w:r>
      <w:r w:rsidR="004525A2">
        <w:rPr>
          <w:rFonts w:asciiTheme="minorHAnsi" w:hAnsiTheme="minorHAnsi" w:cstheme="minorHAnsi"/>
          <w:sz w:val="22"/>
          <w:szCs w:val="22"/>
        </w:rPr>
        <w:t>2,47</w:t>
      </w:r>
      <w:r w:rsidR="00892D31" w:rsidRPr="00E32BE3">
        <w:rPr>
          <w:rFonts w:asciiTheme="minorHAnsi" w:hAnsiTheme="minorHAnsi" w:cstheme="minorHAnsi"/>
          <w:sz w:val="22"/>
          <w:szCs w:val="22"/>
        </w:rPr>
        <w:t xml:space="preserve"> mil. Kč)</w:t>
      </w:r>
      <w:r w:rsidR="00B33BE2" w:rsidRPr="00E32BE3">
        <w:rPr>
          <w:rFonts w:asciiTheme="minorHAnsi" w:hAnsiTheme="minorHAnsi" w:cstheme="minorHAnsi"/>
          <w:sz w:val="22"/>
          <w:szCs w:val="22"/>
        </w:rPr>
        <w:t>,</w:t>
      </w:r>
      <w:r w:rsidR="004F16FE" w:rsidRPr="00E32BE3">
        <w:rPr>
          <w:rFonts w:asciiTheme="minorHAnsi" w:hAnsiTheme="minorHAnsi" w:cstheme="minorHAnsi"/>
          <w:sz w:val="22"/>
          <w:szCs w:val="22"/>
        </w:rPr>
        <w:t xml:space="preserve"> </w:t>
      </w:r>
      <w:r w:rsidR="004525A2">
        <w:rPr>
          <w:rFonts w:asciiTheme="minorHAnsi" w:hAnsiTheme="minorHAnsi" w:cstheme="minorHAnsi"/>
          <w:sz w:val="22"/>
          <w:szCs w:val="22"/>
        </w:rPr>
        <w:t xml:space="preserve">příjem z úroků (7,02 mil. Kč), </w:t>
      </w:r>
      <w:r w:rsidR="004F16FE" w:rsidRPr="00E32BE3">
        <w:rPr>
          <w:rFonts w:asciiTheme="minorHAnsi" w:hAnsiTheme="minorHAnsi" w:cstheme="minorHAnsi"/>
          <w:sz w:val="22"/>
          <w:szCs w:val="22"/>
        </w:rPr>
        <w:t>sankční platby p</w:t>
      </w:r>
      <w:r w:rsidR="008160C5" w:rsidRPr="00E32BE3">
        <w:rPr>
          <w:rFonts w:asciiTheme="minorHAnsi" w:hAnsiTheme="minorHAnsi" w:cstheme="minorHAnsi"/>
          <w:sz w:val="22"/>
          <w:szCs w:val="22"/>
        </w:rPr>
        <w:t>řijaté od jiných subjektů (1,</w:t>
      </w:r>
      <w:r w:rsidR="004525A2">
        <w:rPr>
          <w:rFonts w:asciiTheme="minorHAnsi" w:hAnsiTheme="minorHAnsi" w:cstheme="minorHAnsi"/>
          <w:sz w:val="22"/>
          <w:szCs w:val="22"/>
        </w:rPr>
        <w:t>66</w:t>
      </w:r>
      <w:r w:rsidR="008160C5" w:rsidRPr="00E32BE3">
        <w:rPr>
          <w:rFonts w:asciiTheme="minorHAnsi" w:hAnsiTheme="minorHAnsi" w:cstheme="minorHAnsi"/>
          <w:sz w:val="22"/>
          <w:szCs w:val="22"/>
        </w:rPr>
        <w:t> </w:t>
      </w:r>
      <w:r w:rsidR="004F16FE" w:rsidRPr="00E32BE3">
        <w:rPr>
          <w:rFonts w:asciiTheme="minorHAnsi" w:hAnsiTheme="minorHAnsi" w:cstheme="minorHAnsi"/>
          <w:sz w:val="22"/>
          <w:szCs w:val="22"/>
        </w:rPr>
        <w:t>mil. Kč</w:t>
      </w:r>
      <w:r w:rsidR="00892D31" w:rsidRPr="00E32BE3">
        <w:rPr>
          <w:rFonts w:asciiTheme="minorHAnsi" w:hAnsiTheme="minorHAnsi" w:cstheme="minorHAnsi"/>
          <w:sz w:val="22"/>
          <w:szCs w:val="22"/>
        </w:rPr>
        <w:t xml:space="preserve">), </w:t>
      </w:r>
      <w:r w:rsidR="00B33BE2" w:rsidRPr="00E32BE3">
        <w:rPr>
          <w:rFonts w:asciiTheme="minorHAnsi" w:hAnsiTheme="minorHAnsi" w:cstheme="minorHAnsi"/>
          <w:sz w:val="22"/>
          <w:szCs w:val="22"/>
        </w:rPr>
        <w:t>přijaté pojistné náhrady (</w:t>
      </w:r>
      <w:r w:rsidR="004525A2">
        <w:rPr>
          <w:rFonts w:asciiTheme="minorHAnsi" w:hAnsiTheme="minorHAnsi" w:cstheme="minorHAnsi"/>
          <w:sz w:val="22"/>
          <w:szCs w:val="22"/>
        </w:rPr>
        <w:t>655,08 tis</w:t>
      </w:r>
      <w:r w:rsidR="00B33BE2" w:rsidRPr="00E32BE3">
        <w:rPr>
          <w:rFonts w:asciiTheme="minorHAnsi" w:hAnsiTheme="minorHAnsi" w:cstheme="minorHAnsi"/>
          <w:sz w:val="22"/>
          <w:szCs w:val="22"/>
        </w:rPr>
        <w:t xml:space="preserve">. Kč), </w:t>
      </w:r>
      <w:r w:rsidR="00892D31" w:rsidRPr="00E32BE3">
        <w:rPr>
          <w:rFonts w:asciiTheme="minorHAnsi" w:hAnsiTheme="minorHAnsi" w:cstheme="minorHAnsi"/>
          <w:sz w:val="22"/>
          <w:szCs w:val="22"/>
        </w:rPr>
        <w:t xml:space="preserve">příjmy z poskytování </w:t>
      </w:r>
      <w:r w:rsidR="00E32BE3" w:rsidRPr="00E32BE3">
        <w:rPr>
          <w:rFonts w:asciiTheme="minorHAnsi" w:hAnsiTheme="minorHAnsi" w:cstheme="minorHAnsi"/>
          <w:sz w:val="22"/>
          <w:szCs w:val="22"/>
        </w:rPr>
        <w:t>služeb a výrobků</w:t>
      </w:r>
      <w:r w:rsidR="004F16FE" w:rsidRPr="00E32BE3">
        <w:rPr>
          <w:rFonts w:asciiTheme="minorHAnsi" w:hAnsiTheme="minorHAnsi" w:cstheme="minorHAnsi"/>
          <w:sz w:val="22"/>
          <w:szCs w:val="22"/>
        </w:rPr>
        <w:t xml:space="preserve"> (</w:t>
      </w:r>
      <w:r w:rsidR="004525A2">
        <w:rPr>
          <w:rFonts w:asciiTheme="minorHAnsi" w:hAnsiTheme="minorHAnsi" w:cstheme="minorHAnsi"/>
          <w:sz w:val="22"/>
          <w:szCs w:val="22"/>
        </w:rPr>
        <w:t>6</w:t>
      </w:r>
      <w:r w:rsidR="00E32BE3" w:rsidRPr="00E32BE3">
        <w:rPr>
          <w:rFonts w:asciiTheme="minorHAnsi" w:hAnsiTheme="minorHAnsi" w:cstheme="minorHAnsi"/>
          <w:sz w:val="22"/>
          <w:szCs w:val="22"/>
        </w:rPr>
        <w:t>,64 mil.</w:t>
      </w:r>
      <w:r w:rsidR="004F16FE" w:rsidRPr="00E32BE3">
        <w:rPr>
          <w:rFonts w:asciiTheme="minorHAnsi" w:hAnsiTheme="minorHAnsi" w:cstheme="minorHAnsi"/>
          <w:sz w:val="22"/>
          <w:szCs w:val="22"/>
        </w:rPr>
        <w:t xml:space="preserve"> Kč)</w:t>
      </w:r>
      <w:r w:rsidR="00AB2B93" w:rsidRPr="00E32BE3">
        <w:rPr>
          <w:rFonts w:asciiTheme="minorHAnsi" w:hAnsiTheme="minorHAnsi" w:cstheme="minorHAnsi"/>
          <w:sz w:val="22"/>
          <w:szCs w:val="22"/>
        </w:rPr>
        <w:t xml:space="preserve"> ad.</w:t>
      </w:r>
      <w:r w:rsidR="00B33BE2" w:rsidRPr="00E32BE3">
        <w:rPr>
          <w:rFonts w:asciiTheme="minorHAnsi" w:hAnsiTheme="minorHAnsi" w:cstheme="minorHAnsi"/>
          <w:sz w:val="22"/>
          <w:szCs w:val="22"/>
        </w:rPr>
        <w:t xml:space="preserve"> </w:t>
      </w:r>
    </w:p>
    <w:p w:rsidR="003F1790" w:rsidRPr="00E32BE3" w:rsidRDefault="003F1790" w:rsidP="00EC7485">
      <w:pPr>
        <w:rPr>
          <w:rFonts w:asciiTheme="minorHAnsi" w:hAnsiTheme="minorHAnsi" w:cstheme="minorHAnsi"/>
          <w:sz w:val="18"/>
          <w:szCs w:val="18"/>
        </w:rPr>
      </w:pPr>
      <w:r w:rsidRPr="00E32BE3">
        <w:rPr>
          <w:rFonts w:asciiTheme="minorHAnsi" w:hAnsiTheme="minorHAnsi" w:cstheme="minorHAnsi"/>
          <w:sz w:val="18"/>
          <w:szCs w:val="18"/>
        </w:rPr>
        <w:br w:type="page"/>
      </w:r>
    </w:p>
    <w:p w:rsidR="00472B6F" w:rsidRDefault="00472B6F" w:rsidP="00F6588C">
      <w:pPr>
        <w:pStyle w:val="Nadpis1"/>
      </w:pPr>
      <w:bookmarkStart w:id="31" w:name="_Toc16358210"/>
      <w:bookmarkStart w:id="32" w:name="_Toc39129516"/>
      <w:r>
        <w:lastRenderedPageBreak/>
        <w:t>Celkové výdaje</w:t>
      </w:r>
      <w:bookmarkEnd w:id="31"/>
      <w:r>
        <w:t xml:space="preserve"> ( 1</w:t>
      </w:r>
      <w:r w:rsidR="009E3E94">
        <w:t> 154,54</w:t>
      </w:r>
      <w:r>
        <w:t xml:space="preserve"> mil. Kč)</w:t>
      </w:r>
      <w:bookmarkEnd w:id="32"/>
    </w:p>
    <w:tbl>
      <w:tblPr>
        <w:tblW w:w="9493" w:type="dxa"/>
        <w:tblCellMar>
          <w:left w:w="70" w:type="dxa"/>
          <w:right w:w="70" w:type="dxa"/>
        </w:tblCellMar>
        <w:tblLook w:val="04A0" w:firstRow="1" w:lastRow="0" w:firstColumn="1" w:lastColumn="0" w:noHBand="0" w:noVBand="1"/>
      </w:tblPr>
      <w:tblGrid>
        <w:gridCol w:w="1980"/>
        <w:gridCol w:w="1984"/>
        <w:gridCol w:w="1701"/>
        <w:gridCol w:w="1134"/>
        <w:gridCol w:w="2694"/>
      </w:tblGrid>
      <w:tr w:rsidR="009E3E94" w:rsidTr="009E3E94">
        <w:trPr>
          <w:trHeight w:val="315"/>
        </w:trPr>
        <w:tc>
          <w:tcPr>
            <w:tcW w:w="9493" w:type="dxa"/>
            <w:gridSpan w:val="5"/>
            <w:tcBorders>
              <w:top w:val="single" w:sz="4" w:space="0" w:color="auto"/>
              <w:left w:val="single" w:sz="4" w:space="0" w:color="auto"/>
              <w:bottom w:val="single" w:sz="4" w:space="0" w:color="auto"/>
              <w:right w:val="single" w:sz="4" w:space="0" w:color="auto"/>
            </w:tcBorders>
            <w:shd w:val="clear" w:color="F4B183" w:fill="FABF8F"/>
            <w:vAlign w:val="center"/>
            <w:hideMark/>
          </w:tcPr>
          <w:p w:rsidR="009E3E94" w:rsidRDefault="009E3E94">
            <w:pPr>
              <w:jc w:val="center"/>
              <w:rPr>
                <w:rFonts w:ascii="Calibri" w:hAnsi="Calibri" w:cs="Calibri"/>
                <w:color w:val="000000"/>
                <w:sz w:val="22"/>
                <w:szCs w:val="22"/>
              </w:rPr>
            </w:pPr>
            <w:r>
              <w:rPr>
                <w:rFonts w:ascii="Calibri" w:hAnsi="Calibri" w:cs="Calibri"/>
                <w:color w:val="000000"/>
                <w:sz w:val="22"/>
                <w:szCs w:val="22"/>
              </w:rPr>
              <w:t>VÝDAJE</w:t>
            </w:r>
          </w:p>
        </w:tc>
      </w:tr>
      <w:tr w:rsidR="009E3E94" w:rsidTr="009E3E94">
        <w:trPr>
          <w:trHeight w:val="314"/>
        </w:trPr>
        <w:tc>
          <w:tcPr>
            <w:tcW w:w="1980" w:type="dxa"/>
            <w:tcBorders>
              <w:top w:val="nil"/>
              <w:left w:val="single" w:sz="4" w:space="0" w:color="auto"/>
              <w:bottom w:val="single" w:sz="4" w:space="0" w:color="auto"/>
              <w:right w:val="single" w:sz="4" w:space="0" w:color="auto"/>
            </w:tcBorders>
            <w:shd w:val="clear" w:color="FBE5D6" w:fill="FDE9D9"/>
            <w:vAlign w:val="center"/>
            <w:hideMark/>
          </w:tcPr>
          <w:p w:rsidR="009E3E94" w:rsidRDefault="009E3E94">
            <w:pPr>
              <w:jc w:val="center"/>
              <w:rPr>
                <w:rFonts w:ascii="Calibri" w:hAnsi="Calibri" w:cs="Calibri"/>
                <w:color w:val="000000"/>
                <w:sz w:val="22"/>
                <w:szCs w:val="22"/>
              </w:rPr>
            </w:pPr>
            <w:r>
              <w:rPr>
                <w:rFonts w:ascii="Calibri" w:hAnsi="Calibri" w:cs="Calibri"/>
                <w:color w:val="000000"/>
                <w:sz w:val="22"/>
                <w:szCs w:val="22"/>
              </w:rPr>
              <w:t>Schválený rozpočet</w:t>
            </w:r>
          </w:p>
        </w:tc>
        <w:tc>
          <w:tcPr>
            <w:tcW w:w="1984" w:type="dxa"/>
            <w:tcBorders>
              <w:top w:val="nil"/>
              <w:left w:val="nil"/>
              <w:bottom w:val="single" w:sz="4" w:space="0" w:color="auto"/>
              <w:right w:val="single" w:sz="4" w:space="0" w:color="auto"/>
            </w:tcBorders>
            <w:shd w:val="clear" w:color="FBE5D6" w:fill="FDE9D9"/>
            <w:vAlign w:val="center"/>
            <w:hideMark/>
          </w:tcPr>
          <w:p w:rsidR="009E3E94" w:rsidRDefault="009E3E94">
            <w:pPr>
              <w:jc w:val="center"/>
              <w:rPr>
                <w:rFonts w:ascii="Calibri" w:hAnsi="Calibri" w:cs="Calibri"/>
                <w:color w:val="000000"/>
                <w:sz w:val="22"/>
                <w:szCs w:val="22"/>
              </w:rPr>
            </w:pPr>
            <w:r>
              <w:rPr>
                <w:rFonts w:ascii="Calibri" w:hAnsi="Calibri" w:cs="Calibri"/>
                <w:color w:val="000000"/>
                <w:sz w:val="22"/>
                <w:szCs w:val="22"/>
              </w:rPr>
              <w:t>Rozpočet upravený</w:t>
            </w:r>
          </w:p>
        </w:tc>
        <w:tc>
          <w:tcPr>
            <w:tcW w:w="1701" w:type="dxa"/>
            <w:tcBorders>
              <w:top w:val="nil"/>
              <w:left w:val="nil"/>
              <w:bottom w:val="single" w:sz="4" w:space="0" w:color="auto"/>
              <w:right w:val="single" w:sz="4" w:space="0" w:color="auto"/>
            </w:tcBorders>
            <w:shd w:val="clear" w:color="FBE5D6" w:fill="FDE9D9"/>
            <w:noWrap/>
            <w:vAlign w:val="center"/>
            <w:hideMark/>
          </w:tcPr>
          <w:p w:rsidR="009E3E94" w:rsidRDefault="009E3E94">
            <w:pPr>
              <w:jc w:val="center"/>
              <w:rPr>
                <w:rFonts w:ascii="Calibri" w:hAnsi="Calibri" w:cs="Calibri"/>
                <w:color w:val="000000"/>
                <w:sz w:val="22"/>
                <w:szCs w:val="22"/>
              </w:rPr>
            </w:pPr>
            <w:r>
              <w:rPr>
                <w:rFonts w:ascii="Calibri" w:hAnsi="Calibri" w:cs="Calibri"/>
                <w:color w:val="000000"/>
                <w:sz w:val="22"/>
                <w:szCs w:val="22"/>
              </w:rPr>
              <w:t>Skutečnost</w:t>
            </w:r>
          </w:p>
        </w:tc>
        <w:tc>
          <w:tcPr>
            <w:tcW w:w="1134" w:type="dxa"/>
            <w:tcBorders>
              <w:top w:val="nil"/>
              <w:left w:val="nil"/>
              <w:bottom w:val="single" w:sz="4" w:space="0" w:color="auto"/>
              <w:right w:val="single" w:sz="4" w:space="0" w:color="auto"/>
            </w:tcBorders>
            <w:shd w:val="clear" w:color="FBE5D6" w:fill="FDE9D9"/>
            <w:noWrap/>
            <w:vAlign w:val="center"/>
            <w:hideMark/>
          </w:tcPr>
          <w:p w:rsidR="009E3E94" w:rsidRDefault="009E3E94">
            <w:pPr>
              <w:jc w:val="center"/>
              <w:rPr>
                <w:rFonts w:ascii="Calibri" w:hAnsi="Calibri" w:cs="Calibri"/>
                <w:color w:val="000000"/>
                <w:sz w:val="22"/>
                <w:szCs w:val="22"/>
              </w:rPr>
            </w:pPr>
            <w:r>
              <w:rPr>
                <w:rFonts w:ascii="Calibri" w:hAnsi="Calibri" w:cs="Calibri"/>
                <w:color w:val="000000"/>
                <w:sz w:val="22"/>
                <w:szCs w:val="22"/>
              </w:rPr>
              <w:t>Sk/RU v %</w:t>
            </w:r>
          </w:p>
        </w:tc>
        <w:tc>
          <w:tcPr>
            <w:tcW w:w="2694" w:type="dxa"/>
            <w:tcBorders>
              <w:top w:val="nil"/>
              <w:left w:val="nil"/>
              <w:bottom w:val="single" w:sz="4" w:space="0" w:color="auto"/>
              <w:right w:val="single" w:sz="4" w:space="0" w:color="auto"/>
            </w:tcBorders>
            <w:shd w:val="clear" w:color="FBE5D6" w:fill="FDE9D9"/>
            <w:noWrap/>
            <w:vAlign w:val="center"/>
            <w:hideMark/>
          </w:tcPr>
          <w:p w:rsidR="009E3E94" w:rsidRDefault="009E3E94">
            <w:pPr>
              <w:jc w:val="center"/>
              <w:rPr>
                <w:rFonts w:ascii="Calibri" w:hAnsi="Calibri" w:cs="Calibri"/>
                <w:color w:val="000000"/>
                <w:sz w:val="22"/>
                <w:szCs w:val="22"/>
              </w:rPr>
            </w:pPr>
            <w:r>
              <w:rPr>
                <w:rFonts w:ascii="Calibri" w:hAnsi="Calibri" w:cs="Calibri"/>
                <w:color w:val="000000"/>
                <w:sz w:val="22"/>
                <w:szCs w:val="22"/>
              </w:rPr>
              <w:t>Poznámka</w:t>
            </w:r>
          </w:p>
        </w:tc>
      </w:tr>
      <w:tr w:rsidR="009E3E94" w:rsidTr="009E3E94">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3E94" w:rsidRDefault="009E3E94">
            <w:pPr>
              <w:jc w:val="right"/>
              <w:rPr>
                <w:rFonts w:ascii="Calibri" w:hAnsi="Calibri" w:cs="Calibri"/>
                <w:color w:val="000000"/>
                <w:sz w:val="22"/>
                <w:szCs w:val="22"/>
              </w:rPr>
            </w:pPr>
            <w:r>
              <w:rPr>
                <w:rFonts w:ascii="Calibri" w:hAnsi="Calibri" w:cs="Calibri"/>
                <w:color w:val="000000"/>
                <w:sz w:val="22"/>
                <w:szCs w:val="22"/>
              </w:rPr>
              <w:t>1 154 531 030,00</w:t>
            </w:r>
          </w:p>
        </w:tc>
        <w:tc>
          <w:tcPr>
            <w:tcW w:w="1984" w:type="dxa"/>
            <w:tcBorders>
              <w:top w:val="nil"/>
              <w:left w:val="nil"/>
              <w:bottom w:val="single" w:sz="4" w:space="0" w:color="auto"/>
              <w:right w:val="single" w:sz="4" w:space="0" w:color="auto"/>
            </w:tcBorders>
            <w:shd w:val="clear" w:color="auto" w:fill="auto"/>
            <w:vAlign w:val="center"/>
            <w:hideMark/>
          </w:tcPr>
          <w:p w:rsidR="009E3E94" w:rsidRDefault="009E3E94">
            <w:pPr>
              <w:jc w:val="right"/>
              <w:rPr>
                <w:rFonts w:ascii="Calibri" w:hAnsi="Calibri" w:cs="Calibri"/>
                <w:color w:val="000000"/>
                <w:sz w:val="22"/>
                <w:szCs w:val="22"/>
              </w:rPr>
            </w:pPr>
            <w:r>
              <w:rPr>
                <w:rFonts w:ascii="Calibri" w:hAnsi="Calibri" w:cs="Calibri"/>
                <w:color w:val="000000"/>
                <w:sz w:val="22"/>
                <w:szCs w:val="22"/>
              </w:rPr>
              <w:t>1 255 733 640,35</w:t>
            </w:r>
          </w:p>
        </w:tc>
        <w:tc>
          <w:tcPr>
            <w:tcW w:w="1701" w:type="dxa"/>
            <w:tcBorders>
              <w:top w:val="nil"/>
              <w:left w:val="nil"/>
              <w:bottom w:val="single" w:sz="4" w:space="0" w:color="auto"/>
              <w:right w:val="single" w:sz="4" w:space="0" w:color="auto"/>
            </w:tcBorders>
            <w:shd w:val="clear" w:color="auto" w:fill="auto"/>
            <w:noWrap/>
            <w:vAlign w:val="center"/>
            <w:hideMark/>
          </w:tcPr>
          <w:p w:rsidR="009E3E94" w:rsidRDefault="009E3E94">
            <w:pPr>
              <w:jc w:val="right"/>
              <w:rPr>
                <w:rFonts w:ascii="Calibri" w:hAnsi="Calibri" w:cs="Calibri"/>
                <w:color w:val="000000"/>
                <w:sz w:val="22"/>
                <w:szCs w:val="22"/>
              </w:rPr>
            </w:pPr>
            <w:r>
              <w:rPr>
                <w:rFonts w:ascii="Calibri" w:hAnsi="Calibri" w:cs="Calibri"/>
                <w:color w:val="000000"/>
                <w:sz w:val="22"/>
                <w:szCs w:val="22"/>
              </w:rPr>
              <w:t>2 718 423 461,17</w:t>
            </w:r>
          </w:p>
        </w:tc>
        <w:tc>
          <w:tcPr>
            <w:tcW w:w="1134" w:type="dxa"/>
            <w:tcBorders>
              <w:top w:val="nil"/>
              <w:left w:val="nil"/>
              <w:bottom w:val="single" w:sz="4" w:space="0" w:color="auto"/>
              <w:right w:val="single" w:sz="4" w:space="0" w:color="auto"/>
            </w:tcBorders>
            <w:shd w:val="clear" w:color="auto" w:fill="auto"/>
            <w:noWrap/>
            <w:vAlign w:val="center"/>
            <w:hideMark/>
          </w:tcPr>
          <w:p w:rsidR="009E3E94" w:rsidRDefault="009E3E94">
            <w:pPr>
              <w:jc w:val="right"/>
              <w:rPr>
                <w:rFonts w:ascii="Calibri" w:hAnsi="Calibri" w:cs="Calibri"/>
                <w:color w:val="000000"/>
                <w:sz w:val="22"/>
                <w:szCs w:val="22"/>
              </w:rPr>
            </w:pPr>
            <w:r>
              <w:rPr>
                <w:rFonts w:ascii="Calibri" w:hAnsi="Calibri" w:cs="Calibri"/>
                <w:color w:val="000000"/>
                <w:sz w:val="22"/>
                <w:szCs w:val="22"/>
              </w:rPr>
              <w:t>216,48 %</w:t>
            </w:r>
          </w:p>
        </w:tc>
        <w:tc>
          <w:tcPr>
            <w:tcW w:w="2694" w:type="dxa"/>
            <w:tcBorders>
              <w:top w:val="nil"/>
              <w:left w:val="nil"/>
              <w:bottom w:val="single" w:sz="4" w:space="0" w:color="auto"/>
              <w:right w:val="single" w:sz="4" w:space="0" w:color="auto"/>
            </w:tcBorders>
            <w:shd w:val="clear" w:color="auto" w:fill="auto"/>
            <w:noWrap/>
            <w:vAlign w:val="center"/>
            <w:hideMark/>
          </w:tcPr>
          <w:p w:rsidR="009E3E94" w:rsidRDefault="009E3E94">
            <w:pPr>
              <w:rPr>
                <w:rFonts w:ascii="Calibri" w:hAnsi="Calibri" w:cs="Calibri"/>
                <w:color w:val="000000"/>
                <w:sz w:val="22"/>
                <w:szCs w:val="22"/>
              </w:rPr>
            </w:pPr>
            <w:r>
              <w:rPr>
                <w:rFonts w:ascii="Calibri" w:hAnsi="Calibri" w:cs="Calibri"/>
                <w:color w:val="000000"/>
                <w:sz w:val="22"/>
                <w:szCs w:val="22"/>
              </w:rPr>
              <w:t>Výdaje před konsolidací</w:t>
            </w:r>
          </w:p>
        </w:tc>
      </w:tr>
      <w:tr w:rsidR="009E3E94" w:rsidTr="009E3E94">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E3E94" w:rsidRDefault="009E3E94">
            <w:pPr>
              <w:jc w:val="right"/>
              <w:rPr>
                <w:rFonts w:ascii="Calibri" w:hAnsi="Calibri" w:cs="Calibri"/>
                <w:color w:val="000000"/>
                <w:sz w:val="22"/>
                <w:szCs w:val="22"/>
              </w:rPr>
            </w:pPr>
            <w:r>
              <w:rPr>
                <w:rFonts w:ascii="Calibri" w:hAnsi="Calibri" w:cs="Calibri"/>
                <w:color w:val="000000"/>
                <w:sz w:val="22"/>
                <w:szCs w:val="22"/>
              </w:rPr>
              <w:t>1 154 531 030,00</w:t>
            </w:r>
          </w:p>
        </w:tc>
        <w:tc>
          <w:tcPr>
            <w:tcW w:w="1984" w:type="dxa"/>
            <w:tcBorders>
              <w:top w:val="nil"/>
              <w:left w:val="nil"/>
              <w:bottom w:val="single" w:sz="4" w:space="0" w:color="auto"/>
              <w:right w:val="single" w:sz="4" w:space="0" w:color="auto"/>
            </w:tcBorders>
            <w:shd w:val="clear" w:color="auto" w:fill="auto"/>
            <w:vAlign w:val="center"/>
            <w:hideMark/>
          </w:tcPr>
          <w:p w:rsidR="009E3E94" w:rsidRDefault="009E3E94">
            <w:pPr>
              <w:jc w:val="right"/>
              <w:rPr>
                <w:rFonts w:ascii="Calibri" w:hAnsi="Calibri" w:cs="Calibri"/>
                <w:color w:val="000000"/>
                <w:sz w:val="22"/>
                <w:szCs w:val="22"/>
              </w:rPr>
            </w:pPr>
            <w:r>
              <w:rPr>
                <w:rFonts w:ascii="Calibri" w:hAnsi="Calibri" w:cs="Calibri"/>
                <w:color w:val="000000"/>
                <w:sz w:val="22"/>
                <w:szCs w:val="22"/>
              </w:rPr>
              <w:t>1 255 733 640,35</w:t>
            </w:r>
          </w:p>
        </w:tc>
        <w:tc>
          <w:tcPr>
            <w:tcW w:w="1701" w:type="dxa"/>
            <w:tcBorders>
              <w:top w:val="nil"/>
              <w:left w:val="nil"/>
              <w:bottom w:val="single" w:sz="4" w:space="0" w:color="auto"/>
              <w:right w:val="single" w:sz="4" w:space="0" w:color="auto"/>
            </w:tcBorders>
            <w:shd w:val="clear" w:color="auto" w:fill="auto"/>
            <w:vAlign w:val="center"/>
            <w:hideMark/>
          </w:tcPr>
          <w:p w:rsidR="009E3E94" w:rsidRDefault="009E3E94">
            <w:pPr>
              <w:jc w:val="right"/>
              <w:rPr>
                <w:rFonts w:ascii="Calibri" w:hAnsi="Calibri" w:cs="Calibri"/>
                <w:color w:val="000000"/>
                <w:sz w:val="22"/>
                <w:szCs w:val="22"/>
              </w:rPr>
            </w:pPr>
            <w:r>
              <w:rPr>
                <w:rFonts w:ascii="Calibri" w:hAnsi="Calibri" w:cs="Calibri"/>
                <w:color w:val="000000"/>
                <w:sz w:val="22"/>
                <w:szCs w:val="22"/>
              </w:rPr>
              <w:t>1 154 538 269,85</w:t>
            </w:r>
          </w:p>
        </w:tc>
        <w:tc>
          <w:tcPr>
            <w:tcW w:w="1134" w:type="dxa"/>
            <w:tcBorders>
              <w:top w:val="nil"/>
              <w:left w:val="nil"/>
              <w:bottom w:val="single" w:sz="4" w:space="0" w:color="auto"/>
              <w:right w:val="single" w:sz="4" w:space="0" w:color="auto"/>
            </w:tcBorders>
            <w:shd w:val="clear" w:color="auto" w:fill="auto"/>
            <w:noWrap/>
            <w:vAlign w:val="center"/>
            <w:hideMark/>
          </w:tcPr>
          <w:p w:rsidR="009E3E94" w:rsidRDefault="009E3E94">
            <w:pPr>
              <w:jc w:val="right"/>
              <w:rPr>
                <w:rFonts w:ascii="Calibri" w:hAnsi="Calibri" w:cs="Calibri"/>
                <w:color w:val="000000"/>
                <w:sz w:val="22"/>
                <w:szCs w:val="22"/>
              </w:rPr>
            </w:pPr>
            <w:r>
              <w:rPr>
                <w:rFonts w:ascii="Calibri" w:hAnsi="Calibri" w:cs="Calibri"/>
                <w:color w:val="000000"/>
                <w:sz w:val="22"/>
                <w:szCs w:val="22"/>
              </w:rPr>
              <w:t>91,94 %</w:t>
            </w:r>
          </w:p>
        </w:tc>
        <w:tc>
          <w:tcPr>
            <w:tcW w:w="2694" w:type="dxa"/>
            <w:tcBorders>
              <w:top w:val="nil"/>
              <w:left w:val="nil"/>
              <w:bottom w:val="single" w:sz="4" w:space="0" w:color="auto"/>
              <w:right w:val="single" w:sz="4" w:space="0" w:color="auto"/>
            </w:tcBorders>
            <w:shd w:val="clear" w:color="auto" w:fill="auto"/>
            <w:noWrap/>
            <w:vAlign w:val="center"/>
            <w:hideMark/>
          </w:tcPr>
          <w:p w:rsidR="009E3E94" w:rsidRDefault="009E3E94">
            <w:pPr>
              <w:rPr>
                <w:rFonts w:ascii="Calibri" w:hAnsi="Calibri" w:cs="Calibri"/>
                <w:color w:val="000000"/>
                <w:sz w:val="22"/>
                <w:szCs w:val="22"/>
              </w:rPr>
            </w:pPr>
            <w:r>
              <w:rPr>
                <w:rFonts w:ascii="Calibri" w:hAnsi="Calibri" w:cs="Calibri"/>
                <w:color w:val="000000"/>
                <w:sz w:val="22"/>
                <w:szCs w:val="22"/>
              </w:rPr>
              <w:t>Výdaje po konsolidaci</w:t>
            </w:r>
          </w:p>
        </w:tc>
      </w:tr>
    </w:tbl>
    <w:p w:rsidR="009E3E94" w:rsidRDefault="009E3E94" w:rsidP="009E3E94"/>
    <w:p w:rsidR="00472B6F" w:rsidRPr="008946CC" w:rsidRDefault="00472B6F" w:rsidP="00472B6F">
      <w:pPr>
        <w:jc w:val="both"/>
        <w:rPr>
          <w:rFonts w:ascii="Calibri" w:hAnsi="Calibri" w:cs="Calibri"/>
          <w:bCs/>
          <w:color w:val="000000" w:themeColor="text1"/>
          <w:sz w:val="22"/>
          <w:szCs w:val="22"/>
        </w:rPr>
      </w:pPr>
      <w:r w:rsidRPr="008946CC">
        <w:rPr>
          <w:rFonts w:ascii="Calibri" w:hAnsi="Calibri" w:cs="Calibri"/>
          <w:bCs/>
          <w:color w:val="000000" w:themeColor="text1"/>
          <w:sz w:val="22"/>
          <w:szCs w:val="22"/>
        </w:rPr>
        <w:t>Upravený rozpočet výdajů města  k</w:t>
      </w:r>
      <w:r w:rsidR="000116A4" w:rsidRPr="008946CC">
        <w:rPr>
          <w:rFonts w:ascii="Calibri" w:hAnsi="Calibri" w:cs="Calibri"/>
          <w:bCs/>
          <w:color w:val="000000" w:themeColor="text1"/>
          <w:sz w:val="22"/>
          <w:szCs w:val="22"/>
        </w:rPr>
        <w:t> 31.</w:t>
      </w:r>
      <w:r w:rsidR="00456CF1">
        <w:rPr>
          <w:rFonts w:ascii="Calibri" w:hAnsi="Calibri" w:cs="Calibri"/>
          <w:bCs/>
          <w:color w:val="000000" w:themeColor="text1"/>
          <w:sz w:val="22"/>
          <w:szCs w:val="22"/>
        </w:rPr>
        <w:t xml:space="preserve"> </w:t>
      </w:r>
      <w:r w:rsidR="000116A4" w:rsidRPr="008946CC">
        <w:rPr>
          <w:rFonts w:ascii="Calibri" w:hAnsi="Calibri" w:cs="Calibri"/>
          <w:bCs/>
          <w:color w:val="000000" w:themeColor="text1"/>
          <w:sz w:val="22"/>
          <w:szCs w:val="22"/>
        </w:rPr>
        <w:t>12.</w:t>
      </w:r>
      <w:r w:rsidR="00456CF1">
        <w:rPr>
          <w:rFonts w:ascii="Calibri" w:hAnsi="Calibri" w:cs="Calibri"/>
          <w:bCs/>
          <w:color w:val="000000" w:themeColor="text1"/>
          <w:sz w:val="22"/>
          <w:szCs w:val="22"/>
        </w:rPr>
        <w:t xml:space="preserve"> </w:t>
      </w:r>
      <w:r w:rsidR="008E436D">
        <w:rPr>
          <w:rFonts w:ascii="Calibri" w:hAnsi="Calibri" w:cs="Calibri"/>
          <w:bCs/>
          <w:color w:val="000000" w:themeColor="text1"/>
          <w:sz w:val="22"/>
          <w:szCs w:val="22"/>
        </w:rPr>
        <w:t>202</w:t>
      </w:r>
      <w:r w:rsidR="009E3E94">
        <w:rPr>
          <w:rFonts w:ascii="Calibri" w:hAnsi="Calibri" w:cs="Calibri"/>
          <w:bCs/>
          <w:color w:val="000000" w:themeColor="text1"/>
          <w:sz w:val="22"/>
          <w:szCs w:val="22"/>
        </w:rPr>
        <w:t>2</w:t>
      </w:r>
      <w:r w:rsidRPr="008946CC">
        <w:rPr>
          <w:rFonts w:ascii="Calibri" w:hAnsi="Calibri" w:cs="Calibri"/>
          <w:bCs/>
          <w:color w:val="000000" w:themeColor="text1"/>
          <w:sz w:val="22"/>
          <w:szCs w:val="22"/>
        </w:rPr>
        <w:t xml:space="preserve"> </w:t>
      </w:r>
      <w:r w:rsidR="000116A4" w:rsidRPr="008946CC">
        <w:rPr>
          <w:rFonts w:ascii="Calibri" w:hAnsi="Calibri" w:cs="Calibri"/>
          <w:bCs/>
          <w:color w:val="000000" w:themeColor="text1"/>
          <w:sz w:val="22"/>
          <w:szCs w:val="22"/>
        </w:rPr>
        <w:t>činí 1</w:t>
      </w:r>
      <w:r w:rsidR="009E3E94">
        <w:rPr>
          <w:rFonts w:ascii="Calibri" w:hAnsi="Calibri" w:cs="Calibri"/>
          <w:bCs/>
          <w:color w:val="000000" w:themeColor="text1"/>
          <w:sz w:val="22"/>
          <w:szCs w:val="22"/>
        </w:rPr>
        <w:t> 255,73</w:t>
      </w:r>
      <w:r w:rsidR="000116A4" w:rsidRPr="008946CC">
        <w:rPr>
          <w:rFonts w:ascii="Calibri" w:hAnsi="Calibri" w:cs="Calibri"/>
          <w:bCs/>
          <w:color w:val="000000" w:themeColor="text1"/>
          <w:sz w:val="22"/>
          <w:szCs w:val="22"/>
        </w:rPr>
        <w:t xml:space="preserve"> mil.</w:t>
      </w:r>
      <w:r w:rsidRPr="008946CC">
        <w:rPr>
          <w:rFonts w:ascii="Calibri" w:hAnsi="Calibri" w:cs="Calibri"/>
          <w:bCs/>
          <w:color w:val="000000" w:themeColor="text1"/>
          <w:sz w:val="22"/>
          <w:szCs w:val="22"/>
        </w:rPr>
        <w:t xml:space="preserve"> Kč, skutečně je k tomuto datu čerpáno </w:t>
      </w:r>
      <w:r w:rsidR="008E436D">
        <w:rPr>
          <w:rFonts w:ascii="Calibri" w:hAnsi="Calibri" w:cs="Calibri"/>
          <w:bCs/>
          <w:color w:val="000000" w:themeColor="text1"/>
          <w:sz w:val="22"/>
          <w:szCs w:val="22"/>
        </w:rPr>
        <w:t>1</w:t>
      </w:r>
      <w:r w:rsidR="009E3E94">
        <w:rPr>
          <w:rFonts w:ascii="Calibri" w:hAnsi="Calibri" w:cs="Calibri"/>
          <w:bCs/>
          <w:color w:val="000000" w:themeColor="text1"/>
          <w:sz w:val="22"/>
          <w:szCs w:val="22"/>
        </w:rPr>
        <w:t> 154,54</w:t>
      </w:r>
      <w:r w:rsidR="000116A4" w:rsidRPr="008946CC">
        <w:rPr>
          <w:rFonts w:ascii="Calibri" w:hAnsi="Calibri" w:cs="Calibri"/>
          <w:bCs/>
          <w:color w:val="000000" w:themeColor="text1"/>
          <w:sz w:val="22"/>
          <w:szCs w:val="22"/>
        </w:rPr>
        <w:t xml:space="preserve"> </w:t>
      </w:r>
      <w:r w:rsidRPr="008946CC">
        <w:rPr>
          <w:rFonts w:ascii="Calibri" w:hAnsi="Calibri" w:cs="Calibri"/>
          <w:bCs/>
          <w:color w:val="000000" w:themeColor="text1"/>
          <w:sz w:val="22"/>
          <w:szCs w:val="22"/>
        </w:rPr>
        <w:t xml:space="preserve">mil. Kč, což představuje </w:t>
      </w:r>
      <w:r w:rsidR="00034C45">
        <w:rPr>
          <w:rFonts w:ascii="Calibri" w:hAnsi="Calibri" w:cs="Calibri"/>
          <w:bCs/>
          <w:color w:val="000000" w:themeColor="text1"/>
          <w:sz w:val="22"/>
          <w:szCs w:val="22"/>
        </w:rPr>
        <w:t>plnění</w:t>
      </w:r>
      <w:r w:rsidRPr="008946CC">
        <w:rPr>
          <w:rFonts w:ascii="Calibri" w:hAnsi="Calibri" w:cs="Calibri"/>
          <w:bCs/>
          <w:color w:val="000000" w:themeColor="text1"/>
          <w:sz w:val="22"/>
          <w:szCs w:val="22"/>
        </w:rPr>
        <w:t xml:space="preserve"> rozpočtu ve výši </w:t>
      </w:r>
      <w:r w:rsidR="009E3E94">
        <w:rPr>
          <w:rFonts w:ascii="Calibri" w:hAnsi="Calibri" w:cs="Calibri"/>
          <w:bCs/>
          <w:color w:val="000000" w:themeColor="text1"/>
          <w:sz w:val="22"/>
          <w:szCs w:val="22"/>
        </w:rPr>
        <w:t>91,94</w:t>
      </w:r>
      <w:r w:rsidRPr="008946CC">
        <w:rPr>
          <w:rFonts w:ascii="Calibri" w:hAnsi="Calibri" w:cs="Calibri"/>
          <w:bCs/>
          <w:color w:val="000000" w:themeColor="text1"/>
          <w:sz w:val="22"/>
          <w:szCs w:val="22"/>
        </w:rPr>
        <w:t xml:space="preserve"> %.</w:t>
      </w:r>
    </w:p>
    <w:p w:rsidR="00472B6F" w:rsidRPr="008946CC" w:rsidRDefault="00472B6F" w:rsidP="00472B6F">
      <w:pPr>
        <w:jc w:val="both"/>
        <w:rPr>
          <w:rFonts w:ascii="Calibri" w:hAnsi="Calibri" w:cs="Calibri"/>
          <w:bCs/>
          <w:color w:val="000000" w:themeColor="text1"/>
          <w:sz w:val="22"/>
          <w:szCs w:val="22"/>
        </w:rPr>
      </w:pPr>
    </w:p>
    <w:p w:rsidR="00472B6F" w:rsidRDefault="00472B6F" w:rsidP="00472B6F">
      <w:pPr>
        <w:jc w:val="both"/>
        <w:rPr>
          <w:rFonts w:ascii="Calibri" w:hAnsi="Calibri" w:cs="Calibri"/>
          <w:bCs/>
          <w:color w:val="000000" w:themeColor="text1"/>
          <w:sz w:val="22"/>
          <w:szCs w:val="22"/>
        </w:rPr>
      </w:pPr>
      <w:r w:rsidRPr="008946CC">
        <w:rPr>
          <w:rFonts w:ascii="Calibri" w:hAnsi="Calibri" w:cs="Calibri"/>
          <w:bCs/>
          <w:color w:val="000000" w:themeColor="text1"/>
          <w:sz w:val="22"/>
          <w:szCs w:val="22"/>
        </w:rPr>
        <w:t>Největší podíl na skutečných výdajích města mají běžné</w:t>
      </w:r>
      <w:r w:rsidR="00CD121E">
        <w:rPr>
          <w:rFonts w:ascii="Calibri" w:hAnsi="Calibri" w:cs="Calibri"/>
          <w:bCs/>
          <w:color w:val="000000" w:themeColor="text1"/>
          <w:sz w:val="22"/>
          <w:szCs w:val="22"/>
        </w:rPr>
        <w:t xml:space="preserve"> (provozní)</w:t>
      </w:r>
      <w:r w:rsidRPr="008946CC">
        <w:rPr>
          <w:rFonts w:ascii="Calibri" w:hAnsi="Calibri" w:cs="Calibri"/>
          <w:bCs/>
          <w:color w:val="000000" w:themeColor="text1"/>
          <w:sz w:val="22"/>
          <w:szCs w:val="22"/>
        </w:rPr>
        <w:t xml:space="preserve"> výdaje, které představují </w:t>
      </w:r>
      <w:r w:rsidR="00CA0000">
        <w:rPr>
          <w:rFonts w:ascii="Calibri" w:hAnsi="Calibri" w:cs="Calibri"/>
          <w:bCs/>
          <w:color w:val="000000" w:themeColor="text1"/>
          <w:sz w:val="22"/>
          <w:szCs w:val="22"/>
        </w:rPr>
        <w:t>79,4</w:t>
      </w:r>
      <w:r w:rsidR="00262BED" w:rsidRPr="008946CC">
        <w:rPr>
          <w:rFonts w:ascii="Calibri" w:hAnsi="Calibri" w:cs="Calibri"/>
          <w:bCs/>
          <w:color w:val="000000" w:themeColor="text1"/>
          <w:sz w:val="22"/>
          <w:szCs w:val="22"/>
        </w:rPr>
        <w:t> </w:t>
      </w:r>
      <w:r w:rsidRPr="008946CC">
        <w:rPr>
          <w:rFonts w:ascii="Calibri" w:hAnsi="Calibri" w:cs="Calibri"/>
          <w:bCs/>
          <w:color w:val="000000" w:themeColor="text1"/>
          <w:sz w:val="22"/>
          <w:szCs w:val="22"/>
        </w:rPr>
        <w:t xml:space="preserve">% celkových výdajů města. Zbylých </w:t>
      </w:r>
      <w:r w:rsidR="00CA0000">
        <w:rPr>
          <w:rFonts w:ascii="Calibri" w:hAnsi="Calibri" w:cs="Calibri"/>
          <w:bCs/>
          <w:color w:val="000000" w:themeColor="text1"/>
          <w:sz w:val="22"/>
          <w:szCs w:val="22"/>
        </w:rPr>
        <w:t>20,6</w:t>
      </w:r>
      <w:r w:rsidR="00547E16">
        <w:rPr>
          <w:rFonts w:ascii="Calibri" w:hAnsi="Calibri" w:cs="Calibri"/>
          <w:bCs/>
          <w:color w:val="000000" w:themeColor="text1"/>
          <w:sz w:val="22"/>
          <w:szCs w:val="22"/>
        </w:rPr>
        <w:t> </w:t>
      </w:r>
      <w:r w:rsidRPr="008946CC">
        <w:rPr>
          <w:rFonts w:ascii="Calibri" w:hAnsi="Calibri" w:cs="Calibri"/>
          <w:bCs/>
          <w:color w:val="000000" w:themeColor="text1"/>
          <w:sz w:val="22"/>
          <w:szCs w:val="22"/>
        </w:rPr>
        <w:t>% pak představují výdaje kapitálové (investiční).</w:t>
      </w:r>
    </w:p>
    <w:p w:rsidR="009E3E94" w:rsidRDefault="009E3E94" w:rsidP="00472B6F">
      <w:pPr>
        <w:jc w:val="both"/>
        <w:rPr>
          <w:rFonts w:ascii="Calibri" w:hAnsi="Calibri" w:cs="Calibri"/>
          <w:bCs/>
          <w:color w:val="000000" w:themeColor="text1"/>
          <w:sz w:val="22"/>
          <w:szCs w:val="22"/>
        </w:rPr>
      </w:pPr>
    </w:p>
    <w:p w:rsidR="009E3E94" w:rsidRDefault="009E3E94" w:rsidP="009E3E94">
      <w:pPr>
        <w:jc w:val="center"/>
        <w:rPr>
          <w:rFonts w:ascii="Calibri" w:hAnsi="Calibri" w:cs="Calibri"/>
          <w:bCs/>
          <w:color w:val="000000" w:themeColor="text1"/>
          <w:sz w:val="22"/>
          <w:szCs w:val="22"/>
        </w:rPr>
      </w:pPr>
      <w:r>
        <w:rPr>
          <w:noProof/>
        </w:rPr>
        <w:drawing>
          <wp:inline distT="0" distB="0" distL="0" distR="0" wp14:anchorId="5ABC0DBC" wp14:editId="45AB4EC4">
            <wp:extent cx="4456670" cy="2726725"/>
            <wp:effectExtent l="0" t="0" r="1270" b="16510"/>
            <wp:docPr id="32" name="Graf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47E16" w:rsidRDefault="00547E16" w:rsidP="00547E16">
      <w:pPr>
        <w:jc w:val="center"/>
        <w:rPr>
          <w:rFonts w:ascii="Calibri" w:hAnsi="Calibri" w:cs="Calibri"/>
          <w:bCs/>
          <w:color w:val="000000" w:themeColor="text1"/>
          <w:sz w:val="22"/>
          <w:szCs w:val="22"/>
        </w:rPr>
      </w:pPr>
    </w:p>
    <w:p w:rsidR="003F1790" w:rsidRDefault="003F1790" w:rsidP="00456CF1">
      <w:pPr>
        <w:pStyle w:val="Nadpis1"/>
      </w:pPr>
      <w:bookmarkStart w:id="33" w:name="_Toc39129517"/>
      <w:r>
        <w:t>Celkové výdaje dle druhového třídění</w:t>
      </w:r>
      <w:bookmarkEnd w:id="33"/>
      <w:r>
        <w:t xml:space="preserve"> </w:t>
      </w:r>
    </w:p>
    <w:p w:rsidR="008E1A8F" w:rsidRPr="008E1A8F" w:rsidRDefault="008E1A8F" w:rsidP="00456CF1"/>
    <w:p w:rsidR="003F1790" w:rsidRPr="00D325DD" w:rsidRDefault="003F1790" w:rsidP="00456CF1">
      <w:pPr>
        <w:pStyle w:val="Nadpis1"/>
        <w:rPr>
          <w:rFonts w:asciiTheme="minorHAnsi" w:hAnsiTheme="minorHAnsi" w:cstheme="minorHAnsi"/>
        </w:rPr>
      </w:pPr>
      <w:bookmarkStart w:id="34" w:name="_Toc39129518"/>
      <w:r w:rsidRPr="00D325DD">
        <w:rPr>
          <w:rFonts w:asciiTheme="minorHAnsi" w:hAnsiTheme="minorHAnsi" w:cstheme="minorHAnsi"/>
        </w:rPr>
        <w:t>Třída 5: Běžné výdaje</w:t>
      </w:r>
      <w:r w:rsidR="00330D2C">
        <w:rPr>
          <w:rFonts w:asciiTheme="minorHAnsi" w:hAnsiTheme="minorHAnsi" w:cstheme="minorHAnsi"/>
        </w:rPr>
        <w:t xml:space="preserve"> (</w:t>
      </w:r>
      <w:r w:rsidR="00CA0000">
        <w:rPr>
          <w:rFonts w:asciiTheme="minorHAnsi" w:hAnsiTheme="minorHAnsi" w:cstheme="minorHAnsi"/>
        </w:rPr>
        <w:t>916,74</w:t>
      </w:r>
      <w:r w:rsidR="000E297F" w:rsidRPr="00D325DD">
        <w:rPr>
          <w:rFonts w:asciiTheme="minorHAnsi" w:hAnsiTheme="minorHAnsi" w:cstheme="minorHAnsi"/>
        </w:rPr>
        <w:t xml:space="preserve"> mil. Kč)</w:t>
      </w:r>
      <w:bookmarkEnd w:id="34"/>
    </w:p>
    <w:p w:rsidR="000E297F" w:rsidRPr="008946CC" w:rsidRDefault="00330D2C" w:rsidP="00ED3B89">
      <w:pPr>
        <w:jc w:val="both"/>
        <w:rPr>
          <w:rFonts w:asciiTheme="minorHAnsi" w:hAnsiTheme="minorHAnsi" w:cstheme="minorHAnsi"/>
          <w:sz w:val="22"/>
          <w:szCs w:val="22"/>
        </w:rPr>
      </w:pPr>
      <w:r>
        <w:rPr>
          <w:rFonts w:asciiTheme="minorHAnsi" w:hAnsiTheme="minorHAnsi" w:cstheme="minorHAnsi"/>
          <w:sz w:val="22"/>
          <w:szCs w:val="22"/>
        </w:rPr>
        <w:t>Běžné výdaje v roce 202</w:t>
      </w:r>
      <w:r w:rsidR="00CA0000">
        <w:rPr>
          <w:rFonts w:asciiTheme="minorHAnsi" w:hAnsiTheme="minorHAnsi" w:cstheme="minorHAnsi"/>
          <w:sz w:val="22"/>
          <w:szCs w:val="22"/>
        </w:rPr>
        <w:t>2</w:t>
      </w:r>
      <w:r w:rsidR="000E297F" w:rsidRPr="008946CC">
        <w:rPr>
          <w:rFonts w:asciiTheme="minorHAnsi" w:hAnsiTheme="minorHAnsi" w:cstheme="minorHAnsi"/>
          <w:sz w:val="22"/>
          <w:szCs w:val="22"/>
        </w:rPr>
        <w:t xml:space="preserve"> byly čerpány na </w:t>
      </w:r>
      <w:r w:rsidR="00CA0000">
        <w:rPr>
          <w:rFonts w:asciiTheme="minorHAnsi" w:hAnsiTheme="minorHAnsi" w:cstheme="minorHAnsi"/>
          <w:sz w:val="22"/>
          <w:szCs w:val="22"/>
        </w:rPr>
        <w:t>94,20</w:t>
      </w:r>
      <w:r w:rsidR="000E297F" w:rsidRPr="008946CC">
        <w:rPr>
          <w:rFonts w:asciiTheme="minorHAnsi" w:hAnsiTheme="minorHAnsi" w:cstheme="minorHAnsi"/>
          <w:sz w:val="22"/>
          <w:szCs w:val="22"/>
        </w:rPr>
        <w:t xml:space="preserve"> % a jejich podíl na celkových výdají</w:t>
      </w:r>
      <w:r w:rsidR="00142A84">
        <w:rPr>
          <w:rFonts w:asciiTheme="minorHAnsi" w:hAnsiTheme="minorHAnsi" w:cstheme="minorHAnsi"/>
          <w:sz w:val="22"/>
          <w:szCs w:val="22"/>
        </w:rPr>
        <w:t xml:space="preserve">ch města po konsolidaci činil </w:t>
      </w:r>
      <w:r w:rsidR="00CA0000">
        <w:rPr>
          <w:rFonts w:asciiTheme="minorHAnsi" w:hAnsiTheme="minorHAnsi" w:cstheme="minorHAnsi"/>
          <w:sz w:val="22"/>
          <w:szCs w:val="22"/>
        </w:rPr>
        <w:t>79,4</w:t>
      </w:r>
      <w:r w:rsidR="000E297F" w:rsidRPr="008946CC">
        <w:rPr>
          <w:rFonts w:asciiTheme="minorHAnsi" w:hAnsiTheme="minorHAnsi" w:cstheme="minorHAnsi"/>
          <w:sz w:val="22"/>
          <w:szCs w:val="22"/>
        </w:rPr>
        <w:t xml:space="preserve"> %.</w:t>
      </w:r>
    </w:p>
    <w:p w:rsidR="005A30E8" w:rsidRDefault="005A30E8" w:rsidP="0024764D">
      <w:pPr>
        <w:pStyle w:val="Nadpis3"/>
        <w:rPr>
          <w:b w:val="0"/>
        </w:rPr>
      </w:pPr>
      <w:r w:rsidRPr="00456CF1">
        <w:rPr>
          <w:b w:val="0"/>
        </w:rPr>
        <w:t>Srovnání běžných výdajů v letech 201</w:t>
      </w:r>
      <w:r w:rsidR="00CA0000">
        <w:rPr>
          <w:b w:val="0"/>
        </w:rPr>
        <w:t>5</w:t>
      </w:r>
      <w:r w:rsidR="00BD0F76" w:rsidRPr="00456CF1">
        <w:rPr>
          <w:b w:val="0"/>
        </w:rPr>
        <w:t xml:space="preserve"> </w:t>
      </w:r>
      <w:r w:rsidRPr="00456CF1">
        <w:rPr>
          <w:b w:val="0"/>
        </w:rPr>
        <w:t>-</w:t>
      </w:r>
      <w:r w:rsidR="00BD0F76" w:rsidRPr="00456CF1">
        <w:rPr>
          <w:b w:val="0"/>
        </w:rPr>
        <w:t xml:space="preserve"> </w:t>
      </w:r>
      <w:r w:rsidR="008A4C0B" w:rsidRPr="00456CF1">
        <w:rPr>
          <w:b w:val="0"/>
        </w:rPr>
        <w:t>202</w:t>
      </w:r>
      <w:r w:rsidR="00CA0000">
        <w:rPr>
          <w:b w:val="0"/>
        </w:rPr>
        <w:t>2</w:t>
      </w:r>
      <w:r w:rsidRPr="00456CF1">
        <w:rPr>
          <w:b w:val="0"/>
        </w:rPr>
        <w:t xml:space="preserve"> po konsolidaci v tis. Kč</w:t>
      </w:r>
    </w:p>
    <w:tbl>
      <w:tblPr>
        <w:tblW w:w="9809" w:type="dxa"/>
        <w:tblCellMar>
          <w:left w:w="70" w:type="dxa"/>
          <w:right w:w="70" w:type="dxa"/>
        </w:tblCellMar>
        <w:tblLook w:val="04A0" w:firstRow="1" w:lastRow="0" w:firstColumn="1" w:lastColumn="0" w:noHBand="0" w:noVBand="1"/>
      </w:tblPr>
      <w:tblGrid>
        <w:gridCol w:w="4106"/>
        <w:gridCol w:w="709"/>
        <w:gridCol w:w="709"/>
        <w:gridCol w:w="708"/>
        <w:gridCol w:w="709"/>
        <w:gridCol w:w="709"/>
        <w:gridCol w:w="709"/>
        <w:gridCol w:w="690"/>
        <w:gridCol w:w="760"/>
      </w:tblGrid>
      <w:tr w:rsidR="00CA0000" w:rsidTr="00CA0000">
        <w:trPr>
          <w:trHeight w:val="222"/>
        </w:trPr>
        <w:tc>
          <w:tcPr>
            <w:tcW w:w="4106" w:type="dxa"/>
            <w:tcBorders>
              <w:top w:val="single" w:sz="4" w:space="0" w:color="auto"/>
              <w:left w:val="single" w:sz="4" w:space="0" w:color="auto"/>
              <w:bottom w:val="single" w:sz="4" w:space="0" w:color="auto"/>
              <w:right w:val="single" w:sz="4" w:space="0" w:color="auto"/>
            </w:tcBorders>
            <w:shd w:val="clear" w:color="D6A100" w:fill="C6E0B4"/>
            <w:noWrap/>
            <w:vAlign w:val="center"/>
            <w:hideMark/>
          </w:tcPr>
          <w:p w:rsidR="00CA0000" w:rsidRDefault="00CA0000">
            <w:pPr>
              <w:rPr>
                <w:rFonts w:ascii="Calibri" w:hAnsi="Calibri" w:cs="Calibri"/>
                <w:color w:val="000000"/>
                <w:sz w:val="16"/>
                <w:szCs w:val="16"/>
              </w:rPr>
            </w:pPr>
            <w:r>
              <w:rPr>
                <w:rFonts w:ascii="Calibri" w:hAnsi="Calibri" w:cs="Calibri"/>
                <w:color w:val="000000"/>
                <w:sz w:val="16"/>
                <w:szCs w:val="16"/>
              </w:rPr>
              <w:t>Výdaj</w:t>
            </w:r>
          </w:p>
        </w:tc>
        <w:tc>
          <w:tcPr>
            <w:tcW w:w="709" w:type="dxa"/>
            <w:tcBorders>
              <w:top w:val="single" w:sz="4" w:space="0" w:color="auto"/>
              <w:left w:val="nil"/>
              <w:bottom w:val="single" w:sz="4" w:space="0" w:color="auto"/>
              <w:right w:val="single" w:sz="4" w:space="0" w:color="auto"/>
            </w:tcBorders>
            <w:shd w:val="clear" w:color="D6A100" w:fill="C6E0B4"/>
            <w:noWrap/>
            <w:vAlign w:val="center"/>
            <w:hideMark/>
          </w:tcPr>
          <w:p w:rsidR="00CA0000" w:rsidRDefault="00CA0000">
            <w:pPr>
              <w:jc w:val="center"/>
              <w:rPr>
                <w:rFonts w:ascii="Calibri" w:hAnsi="Calibri" w:cs="Calibri"/>
                <w:color w:val="000000"/>
                <w:sz w:val="16"/>
                <w:szCs w:val="16"/>
              </w:rPr>
            </w:pPr>
            <w:r>
              <w:rPr>
                <w:rFonts w:ascii="Calibri" w:hAnsi="Calibri" w:cs="Calibri"/>
                <w:color w:val="000000"/>
                <w:sz w:val="16"/>
                <w:szCs w:val="16"/>
              </w:rPr>
              <w:t>2015</w:t>
            </w:r>
          </w:p>
        </w:tc>
        <w:tc>
          <w:tcPr>
            <w:tcW w:w="709" w:type="dxa"/>
            <w:tcBorders>
              <w:top w:val="single" w:sz="4" w:space="0" w:color="auto"/>
              <w:left w:val="nil"/>
              <w:bottom w:val="single" w:sz="4" w:space="0" w:color="auto"/>
              <w:right w:val="single" w:sz="4" w:space="0" w:color="auto"/>
            </w:tcBorders>
            <w:shd w:val="clear" w:color="D6A100" w:fill="C6E0B4"/>
            <w:noWrap/>
            <w:vAlign w:val="center"/>
            <w:hideMark/>
          </w:tcPr>
          <w:p w:rsidR="00CA0000" w:rsidRDefault="00CA0000">
            <w:pPr>
              <w:jc w:val="center"/>
              <w:rPr>
                <w:rFonts w:ascii="Calibri" w:hAnsi="Calibri" w:cs="Calibri"/>
                <w:color w:val="000000"/>
                <w:sz w:val="16"/>
                <w:szCs w:val="16"/>
              </w:rPr>
            </w:pPr>
            <w:r>
              <w:rPr>
                <w:rFonts w:ascii="Calibri" w:hAnsi="Calibri" w:cs="Calibri"/>
                <w:color w:val="000000"/>
                <w:sz w:val="16"/>
                <w:szCs w:val="16"/>
              </w:rPr>
              <w:t>2016</w:t>
            </w:r>
          </w:p>
        </w:tc>
        <w:tc>
          <w:tcPr>
            <w:tcW w:w="708" w:type="dxa"/>
            <w:tcBorders>
              <w:top w:val="single" w:sz="4" w:space="0" w:color="auto"/>
              <w:left w:val="nil"/>
              <w:bottom w:val="single" w:sz="4" w:space="0" w:color="auto"/>
              <w:right w:val="single" w:sz="4" w:space="0" w:color="auto"/>
            </w:tcBorders>
            <w:shd w:val="clear" w:color="D6A100" w:fill="C6E0B4"/>
            <w:noWrap/>
            <w:vAlign w:val="center"/>
            <w:hideMark/>
          </w:tcPr>
          <w:p w:rsidR="00CA0000" w:rsidRDefault="00CA0000">
            <w:pPr>
              <w:jc w:val="center"/>
              <w:rPr>
                <w:rFonts w:ascii="Calibri" w:hAnsi="Calibri" w:cs="Calibri"/>
                <w:color w:val="000000"/>
                <w:sz w:val="16"/>
                <w:szCs w:val="16"/>
              </w:rPr>
            </w:pPr>
            <w:r>
              <w:rPr>
                <w:rFonts w:ascii="Calibri" w:hAnsi="Calibri" w:cs="Calibri"/>
                <w:color w:val="000000"/>
                <w:sz w:val="16"/>
                <w:szCs w:val="16"/>
              </w:rPr>
              <w:t>2017</w:t>
            </w:r>
          </w:p>
        </w:tc>
        <w:tc>
          <w:tcPr>
            <w:tcW w:w="709" w:type="dxa"/>
            <w:tcBorders>
              <w:top w:val="single" w:sz="4" w:space="0" w:color="auto"/>
              <w:left w:val="nil"/>
              <w:bottom w:val="single" w:sz="4" w:space="0" w:color="auto"/>
              <w:right w:val="single" w:sz="4" w:space="0" w:color="auto"/>
            </w:tcBorders>
            <w:shd w:val="clear" w:color="D6A100" w:fill="C6E0B4"/>
            <w:noWrap/>
            <w:vAlign w:val="center"/>
            <w:hideMark/>
          </w:tcPr>
          <w:p w:rsidR="00CA0000" w:rsidRDefault="00CA0000">
            <w:pPr>
              <w:jc w:val="center"/>
              <w:rPr>
                <w:rFonts w:ascii="Calibri" w:hAnsi="Calibri" w:cs="Calibri"/>
                <w:color w:val="000000"/>
                <w:sz w:val="16"/>
                <w:szCs w:val="16"/>
              </w:rPr>
            </w:pPr>
            <w:r>
              <w:rPr>
                <w:rFonts w:ascii="Calibri" w:hAnsi="Calibri" w:cs="Calibri"/>
                <w:color w:val="000000"/>
                <w:sz w:val="16"/>
                <w:szCs w:val="16"/>
              </w:rPr>
              <w:t>2018</w:t>
            </w:r>
          </w:p>
        </w:tc>
        <w:tc>
          <w:tcPr>
            <w:tcW w:w="709" w:type="dxa"/>
            <w:tcBorders>
              <w:top w:val="single" w:sz="4" w:space="0" w:color="auto"/>
              <w:left w:val="nil"/>
              <w:bottom w:val="single" w:sz="4" w:space="0" w:color="auto"/>
              <w:right w:val="single" w:sz="4" w:space="0" w:color="auto"/>
            </w:tcBorders>
            <w:shd w:val="clear" w:color="D6A100" w:fill="C6E0B4"/>
            <w:noWrap/>
            <w:vAlign w:val="center"/>
            <w:hideMark/>
          </w:tcPr>
          <w:p w:rsidR="00CA0000" w:rsidRDefault="00CA0000">
            <w:pPr>
              <w:jc w:val="center"/>
              <w:rPr>
                <w:rFonts w:ascii="Calibri" w:hAnsi="Calibri" w:cs="Calibri"/>
                <w:color w:val="000000"/>
                <w:sz w:val="16"/>
                <w:szCs w:val="16"/>
              </w:rPr>
            </w:pPr>
            <w:r>
              <w:rPr>
                <w:rFonts w:ascii="Calibri" w:hAnsi="Calibri" w:cs="Calibri"/>
                <w:color w:val="000000"/>
                <w:sz w:val="16"/>
                <w:szCs w:val="16"/>
              </w:rPr>
              <w:t>2019</w:t>
            </w:r>
          </w:p>
        </w:tc>
        <w:tc>
          <w:tcPr>
            <w:tcW w:w="709" w:type="dxa"/>
            <w:tcBorders>
              <w:top w:val="single" w:sz="4" w:space="0" w:color="auto"/>
              <w:left w:val="nil"/>
              <w:bottom w:val="single" w:sz="4" w:space="0" w:color="auto"/>
              <w:right w:val="single" w:sz="4" w:space="0" w:color="auto"/>
            </w:tcBorders>
            <w:shd w:val="clear" w:color="D6A100" w:fill="C6E0B4"/>
            <w:noWrap/>
            <w:vAlign w:val="center"/>
            <w:hideMark/>
          </w:tcPr>
          <w:p w:rsidR="00CA0000" w:rsidRDefault="00CA0000">
            <w:pPr>
              <w:jc w:val="center"/>
              <w:rPr>
                <w:rFonts w:ascii="Calibri" w:hAnsi="Calibri" w:cs="Calibri"/>
                <w:color w:val="000000"/>
                <w:sz w:val="16"/>
                <w:szCs w:val="16"/>
              </w:rPr>
            </w:pPr>
            <w:r>
              <w:rPr>
                <w:rFonts w:ascii="Calibri" w:hAnsi="Calibri" w:cs="Calibri"/>
                <w:color w:val="000000"/>
                <w:sz w:val="16"/>
                <w:szCs w:val="16"/>
              </w:rPr>
              <w:t>2020</w:t>
            </w:r>
          </w:p>
        </w:tc>
        <w:tc>
          <w:tcPr>
            <w:tcW w:w="690" w:type="dxa"/>
            <w:tcBorders>
              <w:top w:val="single" w:sz="4" w:space="0" w:color="auto"/>
              <w:left w:val="nil"/>
              <w:bottom w:val="single" w:sz="4" w:space="0" w:color="auto"/>
              <w:right w:val="single" w:sz="4" w:space="0" w:color="auto"/>
            </w:tcBorders>
            <w:shd w:val="clear" w:color="D6A100" w:fill="C6E0B4"/>
            <w:noWrap/>
            <w:vAlign w:val="center"/>
            <w:hideMark/>
          </w:tcPr>
          <w:p w:rsidR="00CA0000" w:rsidRDefault="00CA0000">
            <w:pPr>
              <w:jc w:val="center"/>
              <w:rPr>
                <w:rFonts w:ascii="Calibri" w:hAnsi="Calibri" w:cs="Calibri"/>
                <w:color w:val="000000"/>
                <w:sz w:val="16"/>
                <w:szCs w:val="16"/>
              </w:rPr>
            </w:pPr>
            <w:r>
              <w:rPr>
                <w:rFonts w:ascii="Calibri" w:hAnsi="Calibri" w:cs="Calibri"/>
                <w:color w:val="000000"/>
                <w:sz w:val="16"/>
                <w:szCs w:val="16"/>
              </w:rPr>
              <w:t>2021</w:t>
            </w:r>
          </w:p>
        </w:tc>
        <w:tc>
          <w:tcPr>
            <w:tcW w:w="760" w:type="dxa"/>
            <w:tcBorders>
              <w:top w:val="single" w:sz="4" w:space="0" w:color="auto"/>
              <w:left w:val="nil"/>
              <w:bottom w:val="single" w:sz="4" w:space="0" w:color="auto"/>
              <w:right w:val="single" w:sz="4" w:space="0" w:color="auto"/>
            </w:tcBorders>
            <w:shd w:val="clear" w:color="D6A100" w:fill="C6E0B4"/>
            <w:noWrap/>
            <w:vAlign w:val="center"/>
            <w:hideMark/>
          </w:tcPr>
          <w:p w:rsidR="00CA0000" w:rsidRDefault="00CA0000">
            <w:pPr>
              <w:jc w:val="center"/>
              <w:rPr>
                <w:rFonts w:ascii="Calibri" w:hAnsi="Calibri" w:cs="Calibri"/>
                <w:color w:val="000000"/>
                <w:sz w:val="16"/>
                <w:szCs w:val="16"/>
              </w:rPr>
            </w:pPr>
            <w:r>
              <w:rPr>
                <w:rFonts w:ascii="Calibri" w:hAnsi="Calibri" w:cs="Calibri"/>
                <w:color w:val="000000"/>
                <w:sz w:val="16"/>
                <w:szCs w:val="16"/>
              </w:rPr>
              <w:t>2022</w:t>
            </w:r>
          </w:p>
        </w:tc>
      </w:tr>
      <w:tr w:rsidR="00CA0000" w:rsidTr="00CA0000">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A0000" w:rsidRDefault="00CA0000">
            <w:pPr>
              <w:rPr>
                <w:rFonts w:ascii="Calibri" w:hAnsi="Calibri" w:cs="Calibri"/>
                <w:color w:val="000000"/>
                <w:sz w:val="16"/>
                <w:szCs w:val="16"/>
              </w:rPr>
            </w:pPr>
            <w:r>
              <w:rPr>
                <w:rFonts w:ascii="Calibri" w:hAnsi="Calibri" w:cs="Calibri"/>
                <w:color w:val="000000"/>
                <w:sz w:val="16"/>
                <w:szCs w:val="16"/>
              </w:rPr>
              <w:t>Platy a související podobné výdaje</w:t>
            </w:r>
          </w:p>
        </w:tc>
        <w:tc>
          <w:tcPr>
            <w:tcW w:w="709"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171 373</w:t>
            </w:r>
          </w:p>
        </w:tc>
        <w:tc>
          <w:tcPr>
            <w:tcW w:w="709"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186 902</w:t>
            </w:r>
          </w:p>
        </w:tc>
        <w:tc>
          <w:tcPr>
            <w:tcW w:w="708"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197 626</w:t>
            </w:r>
          </w:p>
        </w:tc>
        <w:tc>
          <w:tcPr>
            <w:tcW w:w="709"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208 494</w:t>
            </w:r>
          </w:p>
        </w:tc>
        <w:tc>
          <w:tcPr>
            <w:tcW w:w="709"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233 604</w:t>
            </w:r>
          </w:p>
        </w:tc>
        <w:tc>
          <w:tcPr>
            <w:tcW w:w="709"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243 451</w:t>
            </w:r>
          </w:p>
        </w:tc>
        <w:tc>
          <w:tcPr>
            <w:tcW w:w="690"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250 348</w:t>
            </w:r>
          </w:p>
        </w:tc>
        <w:tc>
          <w:tcPr>
            <w:tcW w:w="760"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264 500</w:t>
            </w:r>
          </w:p>
        </w:tc>
      </w:tr>
      <w:tr w:rsidR="00CA0000" w:rsidTr="00CA0000">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A0000" w:rsidRDefault="00CA0000">
            <w:pPr>
              <w:rPr>
                <w:rFonts w:ascii="Calibri" w:hAnsi="Calibri" w:cs="Calibri"/>
                <w:color w:val="000000"/>
                <w:sz w:val="16"/>
                <w:szCs w:val="16"/>
              </w:rPr>
            </w:pPr>
            <w:r>
              <w:rPr>
                <w:rFonts w:ascii="Calibri" w:hAnsi="Calibri" w:cs="Calibri"/>
                <w:color w:val="000000"/>
                <w:sz w:val="16"/>
                <w:szCs w:val="16"/>
              </w:rPr>
              <w:t>Neinvestiční nákupy a související výdaje</w:t>
            </w:r>
          </w:p>
        </w:tc>
        <w:tc>
          <w:tcPr>
            <w:tcW w:w="709"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310 100</w:t>
            </w:r>
          </w:p>
        </w:tc>
        <w:tc>
          <w:tcPr>
            <w:tcW w:w="709"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320 883</w:t>
            </w:r>
          </w:p>
        </w:tc>
        <w:tc>
          <w:tcPr>
            <w:tcW w:w="708"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328 647</w:t>
            </w:r>
          </w:p>
        </w:tc>
        <w:tc>
          <w:tcPr>
            <w:tcW w:w="709"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349 698</w:t>
            </w:r>
          </w:p>
        </w:tc>
        <w:tc>
          <w:tcPr>
            <w:tcW w:w="709"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426 373</w:t>
            </w:r>
          </w:p>
        </w:tc>
        <w:tc>
          <w:tcPr>
            <w:tcW w:w="709"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356 152</w:t>
            </w:r>
          </w:p>
        </w:tc>
        <w:tc>
          <w:tcPr>
            <w:tcW w:w="690"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359 369</w:t>
            </w:r>
          </w:p>
        </w:tc>
        <w:tc>
          <w:tcPr>
            <w:tcW w:w="760"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387 727</w:t>
            </w:r>
          </w:p>
        </w:tc>
      </w:tr>
      <w:tr w:rsidR="00CA0000" w:rsidTr="00CA0000">
        <w:trPr>
          <w:trHeight w:val="291"/>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CA0000" w:rsidRDefault="00CA0000">
            <w:pPr>
              <w:rPr>
                <w:rFonts w:ascii="Calibri" w:hAnsi="Calibri" w:cs="Calibri"/>
                <w:color w:val="000000"/>
                <w:sz w:val="16"/>
                <w:szCs w:val="16"/>
              </w:rPr>
            </w:pPr>
            <w:r>
              <w:rPr>
                <w:rFonts w:ascii="Calibri" w:hAnsi="Calibri" w:cs="Calibri"/>
                <w:color w:val="000000"/>
                <w:sz w:val="16"/>
                <w:szCs w:val="16"/>
              </w:rPr>
              <w:t>Neinvestiční transfery soukromoprávním subjektům</w:t>
            </w:r>
          </w:p>
        </w:tc>
        <w:tc>
          <w:tcPr>
            <w:tcW w:w="709"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32 364</w:t>
            </w:r>
          </w:p>
        </w:tc>
        <w:tc>
          <w:tcPr>
            <w:tcW w:w="709"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32 898</w:t>
            </w:r>
          </w:p>
        </w:tc>
        <w:tc>
          <w:tcPr>
            <w:tcW w:w="708"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31 944</w:t>
            </w:r>
          </w:p>
        </w:tc>
        <w:tc>
          <w:tcPr>
            <w:tcW w:w="709"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35 371</w:t>
            </w:r>
          </w:p>
        </w:tc>
        <w:tc>
          <w:tcPr>
            <w:tcW w:w="709"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45 510</w:t>
            </w:r>
          </w:p>
        </w:tc>
        <w:tc>
          <w:tcPr>
            <w:tcW w:w="709"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51 070</w:t>
            </w:r>
          </w:p>
        </w:tc>
        <w:tc>
          <w:tcPr>
            <w:tcW w:w="690"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47 947</w:t>
            </w:r>
          </w:p>
        </w:tc>
        <w:tc>
          <w:tcPr>
            <w:tcW w:w="760"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80 249</w:t>
            </w:r>
          </w:p>
        </w:tc>
      </w:tr>
      <w:tr w:rsidR="00CA0000" w:rsidTr="00CA0000">
        <w:trPr>
          <w:trHeight w:val="409"/>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CA0000" w:rsidRDefault="00CA0000">
            <w:pPr>
              <w:rPr>
                <w:rFonts w:ascii="Calibri" w:hAnsi="Calibri" w:cs="Calibri"/>
                <w:color w:val="000000"/>
                <w:sz w:val="16"/>
                <w:szCs w:val="16"/>
              </w:rPr>
            </w:pPr>
            <w:r>
              <w:rPr>
                <w:rFonts w:ascii="Calibri" w:hAnsi="Calibri" w:cs="Calibri"/>
                <w:color w:val="000000"/>
                <w:sz w:val="16"/>
                <w:szCs w:val="16"/>
              </w:rPr>
              <w:t>Neinvestiční transfery veřejnoprávním subjektům a mezi peněžními fondy téhož subjektu a platby daní</w:t>
            </w:r>
          </w:p>
        </w:tc>
        <w:tc>
          <w:tcPr>
            <w:tcW w:w="709"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115 236</w:t>
            </w:r>
          </w:p>
        </w:tc>
        <w:tc>
          <w:tcPr>
            <w:tcW w:w="709"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111 935</w:t>
            </w:r>
          </w:p>
        </w:tc>
        <w:tc>
          <w:tcPr>
            <w:tcW w:w="708"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133 860</w:t>
            </w:r>
          </w:p>
        </w:tc>
        <w:tc>
          <w:tcPr>
            <w:tcW w:w="709"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161 032</w:t>
            </w:r>
          </w:p>
        </w:tc>
        <w:tc>
          <w:tcPr>
            <w:tcW w:w="709"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176 980</w:t>
            </w:r>
          </w:p>
        </w:tc>
        <w:tc>
          <w:tcPr>
            <w:tcW w:w="709"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151 102</w:t>
            </w:r>
          </w:p>
        </w:tc>
        <w:tc>
          <w:tcPr>
            <w:tcW w:w="690"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179 154</w:t>
            </w:r>
          </w:p>
        </w:tc>
        <w:tc>
          <w:tcPr>
            <w:tcW w:w="760"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175 302</w:t>
            </w:r>
          </w:p>
        </w:tc>
      </w:tr>
      <w:tr w:rsidR="00CA0000" w:rsidTr="00CA0000">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A0000" w:rsidRDefault="00CA0000">
            <w:pPr>
              <w:rPr>
                <w:rFonts w:ascii="Calibri" w:hAnsi="Calibri" w:cs="Calibri"/>
                <w:color w:val="000000"/>
                <w:sz w:val="16"/>
                <w:szCs w:val="16"/>
              </w:rPr>
            </w:pPr>
            <w:r>
              <w:rPr>
                <w:rFonts w:ascii="Calibri" w:hAnsi="Calibri" w:cs="Calibri"/>
                <w:color w:val="000000"/>
                <w:sz w:val="16"/>
                <w:szCs w:val="16"/>
              </w:rPr>
              <w:t>Neinvestiční transfery obyvatelstvu</w:t>
            </w:r>
          </w:p>
        </w:tc>
        <w:tc>
          <w:tcPr>
            <w:tcW w:w="709"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3 570</w:t>
            </w:r>
          </w:p>
        </w:tc>
        <w:tc>
          <w:tcPr>
            <w:tcW w:w="709"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3 163</w:t>
            </w:r>
          </w:p>
        </w:tc>
        <w:tc>
          <w:tcPr>
            <w:tcW w:w="708"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3 855</w:t>
            </w:r>
          </w:p>
        </w:tc>
        <w:tc>
          <w:tcPr>
            <w:tcW w:w="709"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3 739</w:t>
            </w:r>
          </w:p>
        </w:tc>
        <w:tc>
          <w:tcPr>
            <w:tcW w:w="709"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4 841</w:t>
            </w:r>
          </w:p>
        </w:tc>
        <w:tc>
          <w:tcPr>
            <w:tcW w:w="709"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6 014</w:t>
            </w:r>
          </w:p>
        </w:tc>
        <w:tc>
          <w:tcPr>
            <w:tcW w:w="690"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7 088</w:t>
            </w:r>
          </w:p>
        </w:tc>
        <w:tc>
          <w:tcPr>
            <w:tcW w:w="760"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8 828</w:t>
            </w:r>
          </w:p>
        </w:tc>
      </w:tr>
      <w:tr w:rsidR="00CA0000" w:rsidTr="00CA0000">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A0000" w:rsidRDefault="00CA0000">
            <w:pPr>
              <w:rPr>
                <w:rFonts w:ascii="Calibri" w:hAnsi="Calibri" w:cs="Calibri"/>
                <w:color w:val="000000"/>
                <w:sz w:val="16"/>
                <w:szCs w:val="16"/>
              </w:rPr>
            </w:pPr>
            <w:r>
              <w:rPr>
                <w:rFonts w:ascii="Calibri" w:hAnsi="Calibri" w:cs="Calibri"/>
                <w:color w:val="000000"/>
                <w:sz w:val="16"/>
                <w:szCs w:val="16"/>
              </w:rPr>
              <w:t>Neinvestiční transfery a související platby do zahraničí</w:t>
            </w:r>
          </w:p>
        </w:tc>
        <w:tc>
          <w:tcPr>
            <w:tcW w:w="709"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0</w:t>
            </w:r>
          </w:p>
        </w:tc>
        <w:tc>
          <w:tcPr>
            <w:tcW w:w="708"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257</w:t>
            </w:r>
          </w:p>
        </w:tc>
        <w:tc>
          <w:tcPr>
            <w:tcW w:w="709"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0</w:t>
            </w:r>
          </w:p>
        </w:tc>
        <w:tc>
          <w:tcPr>
            <w:tcW w:w="690"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0</w:t>
            </w:r>
          </w:p>
        </w:tc>
        <w:tc>
          <w:tcPr>
            <w:tcW w:w="760"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0</w:t>
            </w:r>
          </w:p>
        </w:tc>
      </w:tr>
      <w:tr w:rsidR="00CA0000" w:rsidTr="00CA0000">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A0000" w:rsidRDefault="00CA0000">
            <w:pPr>
              <w:rPr>
                <w:rFonts w:ascii="Calibri" w:hAnsi="Calibri" w:cs="Calibri"/>
                <w:color w:val="000000"/>
                <w:sz w:val="16"/>
                <w:szCs w:val="16"/>
              </w:rPr>
            </w:pPr>
            <w:r>
              <w:rPr>
                <w:rFonts w:ascii="Calibri" w:hAnsi="Calibri" w:cs="Calibri"/>
                <w:color w:val="000000"/>
                <w:sz w:val="16"/>
                <w:szCs w:val="16"/>
              </w:rPr>
              <w:t>Neinvestiční půjčené prostředky</w:t>
            </w:r>
          </w:p>
        </w:tc>
        <w:tc>
          <w:tcPr>
            <w:tcW w:w="709"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244</w:t>
            </w:r>
          </w:p>
        </w:tc>
        <w:tc>
          <w:tcPr>
            <w:tcW w:w="709"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251</w:t>
            </w:r>
          </w:p>
        </w:tc>
        <w:tc>
          <w:tcPr>
            <w:tcW w:w="708"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176</w:t>
            </w:r>
          </w:p>
        </w:tc>
        <w:tc>
          <w:tcPr>
            <w:tcW w:w="709"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160</w:t>
            </w:r>
          </w:p>
        </w:tc>
        <w:tc>
          <w:tcPr>
            <w:tcW w:w="709"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382</w:t>
            </w:r>
          </w:p>
        </w:tc>
        <w:tc>
          <w:tcPr>
            <w:tcW w:w="709"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3 518</w:t>
            </w:r>
          </w:p>
        </w:tc>
        <w:tc>
          <w:tcPr>
            <w:tcW w:w="690"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759</w:t>
            </w:r>
          </w:p>
        </w:tc>
        <w:tc>
          <w:tcPr>
            <w:tcW w:w="760"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133</w:t>
            </w:r>
          </w:p>
        </w:tc>
      </w:tr>
      <w:tr w:rsidR="00CA0000" w:rsidTr="00CA0000">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CA0000" w:rsidRDefault="00CA0000">
            <w:pPr>
              <w:rPr>
                <w:rFonts w:ascii="Calibri" w:hAnsi="Calibri" w:cs="Calibri"/>
                <w:color w:val="000000"/>
                <w:sz w:val="16"/>
                <w:szCs w:val="16"/>
              </w:rPr>
            </w:pPr>
            <w:r>
              <w:rPr>
                <w:rFonts w:ascii="Calibri" w:hAnsi="Calibri" w:cs="Calibri"/>
                <w:color w:val="000000"/>
                <w:sz w:val="16"/>
                <w:szCs w:val="16"/>
              </w:rPr>
              <w:t>Ostatní neinvestiční výdaje</w:t>
            </w:r>
          </w:p>
        </w:tc>
        <w:tc>
          <w:tcPr>
            <w:tcW w:w="709"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625</w:t>
            </w:r>
          </w:p>
        </w:tc>
        <w:tc>
          <w:tcPr>
            <w:tcW w:w="709"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2 495</w:t>
            </w:r>
          </w:p>
        </w:tc>
        <w:tc>
          <w:tcPr>
            <w:tcW w:w="708"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2 511</w:t>
            </w:r>
          </w:p>
        </w:tc>
        <w:tc>
          <w:tcPr>
            <w:tcW w:w="709"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66</w:t>
            </w:r>
          </w:p>
        </w:tc>
        <w:tc>
          <w:tcPr>
            <w:tcW w:w="709"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0</w:t>
            </w:r>
          </w:p>
        </w:tc>
        <w:tc>
          <w:tcPr>
            <w:tcW w:w="690"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484</w:t>
            </w:r>
          </w:p>
        </w:tc>
        <w:tc>
          <w:tcPr>
            <w:tcW w:w="760"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0</w:t>
            </w:r>
          </w:p>
        </w:tc>
      </w:tr>
      <w:tr w:rsidR="00CA0000" w:rsidTr="00CA0000">
        <w:trPr>
          <w:trHeight w:val="314"/>
        </w:trPr>
        <w:tc>
          <w:tcPr>
            <w:tcW w:w="4106" w:type="dxa"/>
            <w:tcBorders>
              <w:top w:val="nil"/>
              <w:left w:val="single" w:sz="4" w:space="0" w:color="auto"/>
              <w:bottom w:val="single" w:sz="4" w:space="0" w:color="auto"/>
              <w:right w:val="single" w:sz="4" w:space="0" w:color="auto"/>
            </w:tcBorders>
            <w:shd w:val="clear" w:color="D6A100" w:fill="A9D08E"/>
            <w:noWrap/>
            <w:vAlign w:val="center"/>
            <w:hideMark/>
          </w:tcPr>
          <w:p w:rsidR="00CA0000" w:rsidRDefault="00CA0000">
            <w:pPr>
              <w:rPr>
                <w:rFonts w:ascii="Calibri" w:hAnsi="Calibri" w:cs="Calibri"/>
                <w:b/>
                <w:bCs/>
                <w:color w:val="000000"/>
                <w:sz w:val="16"/>
                <w:szCs w:val="16"/>
              </w:rPr>
            </w:pPr>
            <w:r>
              <w:rPr>
                <w:rFonts w:ascii="Calibri" w:hAnsi="Calibri" w:cs="Calibri"/>
                <w:b/>
                <w:bCs/>
                <w:color w:val="000000"/>
                <w:sz w:val="16"/>
                <w:szCs w:val="16"/>
              </w:rPr>
              <w:t>Běžné výdaje celkem</w:t>
            </w:r>
          </w:p>
        </w:tc>
        <w:tc>
          <w:tcPr>
            <w:tcW w:w="709" w:type="dxa"/>
            <w:tcBorders>
              <w:top w:val="nil"/>
              <w:left w:val="nil"/>
              <w:bottom w:val="single" w:sz="4" w:space="0" w:color="auto"/>
              <w:right w:val="single" w:sz="4" w:space="0" w:color="auto"/>
            </w:tcBorders>
            <w:shd w:val="clear" w:color="D6A100" w:fill="A9D08E"/>
            <w:noWrap/>
            <w:vAlign w:val="center"/>
            <w:hideMark/>
          </w:tcPr>
          <w:p w:rsidR="00CA0000" w:rsidRDefault="00CA0000">
            <w:pPr>
              <w:jc w:val="right"/>
              <w:rPr>
                <w:rFonts w:ascii="Calibri" w:hAnsi="Calibri" w:cs="Calibri"/>
                <w:b/>
                <w:bCs/>
                <w:color w:val="000000"/>
                <w:sz w:val="16"/>
                <w:szCs w:val="16"/>
              </w:rPr>
            </w:pPr>
            <w:r>
              <w:rPr>
                <w:rFonts w:ascii="Calibri" w:hAnsi="Calibri" w:cs="Calibri"/>
                <w:b/>
                <w:bCs/>
                <w:color w:val="000000"/>
                <w:sz w:val="16"/>
                <w:szCs w:val="16"/>
              </w:rPr>
              <w:t>633 512</w:t>
            </w:r>
          </w:p>
        </w:tc>
        <w:tc>
          <w:tcPr>
            <w:tcW w:w="709" w:type="dxa"/>
            <w:tcBorders>
              <w:top w:val="nil"/>
              <w:left w:val="nil"/>
              <w:bottom w:val="single" w:sz="4" w:space="0" w:color="auto"/>
              <w:right w:val="single" w:sz="4" w:space="0" w:color="auto"/>
            </w:tcBorders>
            <w:shd w:val="clear" w:color="D6A100" w:fill="A9D08E"/>
            <w:noWrap/>
            <w:vAlign w:val="center"/>
            <w:hideMark/>
          </w:tcPr>
          <w:p w:rsidR="00CA0000" w:rsidRDefault="00CA0000">
            <w:pPr>
              <w:jc w:val="right"/>
              <w:rPr>
                <w:rFonts w:ascii="Calibri" w:hAnsi="Calibri" w:cs="Calibri"/>
                <w:b/>
                <w:bCs/>
                <w:color w:val="000000"/>
                <w:sz w:val="16"/>
                <w:szCs w:val="16"/>
              </w:rPr>
            </w:pPr>
            <w:r>
              <w:rPr>
                <w:rFonts w:ascii="Calibri" w:hAnsi="Calibri" w:cs="Calibri"/>
                <w:b/>
                <w:bCs/>
                <w:color w:val="000000"/>
                <w:sz w:val="16"/>
                <w:szCs w:val="16"/>
              </w:rPr>
              <w:t>658 527</w:t>
            </w:r>
          </w:p>
        </w:tc>
        <w:tc>
          <w:tcPr>
            <w:tcW w:w="708" w:type="dxa"/>
            <w:tcBorders>
              <w:top w:val="nil"/>
              <w:left w:val="nil"/>
              <w:bottom w:val="single" w:sz="4" w:space="0" w:color="auto"/>
              <w:right w:val="single" w:sz="4" w:space="0" w:color="auto"/>
            </w:tcBorders>
            <w:shd w:val="clear" w:color="D6A100" w:fill="A9D08E"/>
            <w:noWrap/>
            <w:vAlign w:val="center"/>
            <w:hideMark/>
          </w:tcPr>
          <w:p w:rsidR="00CA0000" w:rsidRDefault="00CA0000">
            <w:pPr>
              <w:jc w:val="right"/>
              <w:rPr>
                <w:rFonts w:ascii="Calibri" w:hAnsi="Calibri" w:cs="Calibri"/>
                <w:b/>
                <w:bCs/>
                <w:color w:val="000000"/>
                <w:sz w:val="16"/>
                <w:szCs w:val="16"/>
              </w:rPr>
            </w:pPr>
            <w:r>
              <w:rPr>
                <w:rFonts w:ascii="Calibri" w:hAnsi="Calibri" w:cs="Calibri"/>
                <w:b/>
                <w:bCs/>
                <w:color w:val="000000"/>
                <w:sz w:val="16"/>
                <w:szCs w:val="16"/>
              </w:rPr>
              <w:t>698 620</w:t>
            </w:r>
          </w:p>
        </w:tc>
        <w:tc>
          <w:tcPr>
            <w:tcW w:w="709" w:type="dxa"/>
            <w:tcBorders>
              <w:top w:val="nil"/>
              <w:left w:val="nil"/>
              <w:bottom w:val="single" w:sz="4" w:space="0" w:color="auto"/>
              <w:right w:val="single" w:sz="4" w:space="0" w:color="auto"/>
            </w:tcBorders>
            <w:shd w:val="clear" w:color="D6A100" w:fill="A9D08E"/>
            <w:noWrap/>
            <w:vAlign w:val="center"/>
            <w:hideMark/>
          </w:tcPr>
          <w:p w:rsidR="00CA0000" w:rsidRDefault="00CA0000">
            <w:pPr>
              <w:jc w:val="right"/>
              <w:rPr>
                <w:rFonts w:ascii="Calibri" w:hAnsi="Calibri" w:cs="Calibri"/>
                <w:b/>
                <w:bCs/>
                <w:color w:val="000000"/>
                <w:sz w:val="16"/>
                <w:szCs w:val="16"/>
              </w:rPr>
            </w:pPr>
            <w:r>
              <w:rPr>
                <w:rFonts w:ascii="Calibri" w:hAnsi="Calibri" w:cs="Calibri"/>
                <w:b/>
                <w:bCs/>
                <w:color w:val="000000"/>
                <w:sz w:val="16"/>
                <w:szCs w:val="16"/>
              </w:rPr>
              <w:t>758 494</w:t>
            </w:r>
          </w:p>
        </w:tc>
        <w:tc>
          <w:tcPr>
            <w:tcW w:w="709" w:type="dxa"/>
            <w:tcBorders>
              <w:top w:val="nil"/>
              <w:left w:val="nil"/>
              <w:bottom w:val="single" w:sz="4" w:space="0" w:color="auto"/>
              <w:right w:val="single" w:sz="4" w:space="0" w:color="auto"/>
            </w:tcBorders>
            <w:shd w:val="clear" w:color="D6A100" w:fill="A9D08E"/>
            <w:noWrap/>
            <w:vAlign w:val="center"/>
            <w:hideMark/>
          </w:tcPr>
          <w:p w:rsidR="00CA0000" w:rsidRDefault="00CA0000">
            <w:pPr>
              <w:jc w:val="right"/>
              <w:rPr>
                <w:rFonts w:ascii="Calibri" w:hAnsi="Calibri" w:cs="Calibri"/>
                <w:b/>
                <w:bCs/>
                <w:color w:val="000000"/>
                <w:sz w:val="16"/>
                <w:szCs w:val="16"/>
              </w:rPr>
            </w:pPr>
            <w:r>
              <w:rPr>
                <w:rFonts w:ascii="Calibri" w:hAnsi="Calibri" w:cs="Calibri"/>
                <w:b/>
                <w:bCs/>
                <w:color w:val="000000"/>
                <w:sz w:val="16"/>
                <w:szCs w:val="16"/>
              </w:rPr>
              <w:t>888 014</w:t>
            </w:r>
          </w:p>
        </w:tc>
        <w:tc>
          <w:tcPr>
            <w:tcW w:w="709" w:type="dxa"/>
            <w:tcBorders>
              <w:top w:val="nil"/>
              <w:left w:val="nil"/>
              <w:bottom w:val="single" w:sz="4" w:space="0" w:color="auto"/>
              <w:right w:val="single" w:sz="4" w:space="0" w:color="auto"/>
            </w:tcBorders>
            <w:shd w:val="clear" w:color="D6A100" w:fill="A9D08E"/>
            <w:noWrap/>
            <w:vAlign w:val="center"/>
            <w:hideMark/>
          </w:tcPr>
          <w:p w:rsidR="00CA0000" w:rsidRDefault="00CA0000">
            <w:pPr>
              <w:jc w:val="right"/>
              <w:rPr>
                <w:rFonts w:ascii="Calibri" w:hAnsi="Calibri" w:cs="Calibri"/>
                <w:b/>
                <w:bCs/>
                <w:color w:val="000000"/>
                <w:sz w:val="16"/>
                <w:szCs w:val="16"/>
              </w:rPr>
            </w:pPr>
            <w:r>
              <w:rPr>
                <w:rFonts w:ascii="Calibri" w:hAnsi="Calibri" w:cs="Calibri"/>
                <w:b/>
                <w:bCs/>
                <w:color w:val="000000"/>
                <w:sz w:val="16"/>
                <w:szCs w:val="16"/>
              </w:rPr>
              <w:t>811 307</w:t>
            </w:r>
          </w:p>
        </w:tc>
        <w:tc>
          <w:tcPr>
            <w:tcW w:w="690" w:type="dxa"/>
            <w:tcBorders>
              <w:top w:val="nil"/>
              <w:left w:val="nil"/>
              <w:bottom w:val="single" w:sz="4" w:space="0" w:color="auto"/>
              <w:right w:val="single" w:sz="4" w:space="0" w:color="auto"/>
            </w:tcBorders>
            <w:shd w:val="clear" w:color="D6A100" w:fill="A9D08E"/>
            <w:noWrap/>
            <w:vAlign w:val="center"/>
            <w:hideMark/>
          </w:tcPr>
          <w:p w:rsidR="00CA0000" w:rsidRDefault="00CA0000">
            <w:pPr>
              <w:jc w:val="right"/>
              <w:rPr>
                <w:rFonts w:ascii="Calibri" w:hAnsi="Calibri" w:cs="Calibri"/>
                <w:b/>
                <w:bCs/>
                <w:color w:val="000000"/>
                <w:sz w:val="16"/>
                <w:szCs w:val="16"/>
              </w:rPr>
            </w:pPr>
            <w:r>
              <w:rPr>
                <w:rFonts w:ascii="Calibri" w:hAnsi="Calibri" w:cs="Calibri"/>
                <w:b/>
                <w:bCs/>
                <w:color w:val="000000"/>
                <w:sz w:val="16"/>
                <w:szCs w:val="16"/>
              </w:rPr>
              <w:t>845 147</w:t>
            </w:r>
          </w:p>
        </w:tc>
        <w:tc>
          <w:tcPr>
            <w:tcW w:w="760" w:type="dxa"/>
            <w:tcBorders>
              <w:top w:val="nil"/>
              <w:left w:val="nil"/>
              <w:bottom w:val="single" w:sz="4" w:space="0" w:color="auto"/>
              <w:right w:val="single" w:sz="4" w:space="0" w:color="auto"/>
            </w:tcBorders>
            <w:shd w:val="clear" w:color="D6A100" w:fill="A9D08E"/>
            <w:noWrap/>
            <w:vAlign w:val="center"/>
            <w:hideMark/>
          </w:tcPr>
          <w:p w:rsidR="00CA0000" w:rsidRDefault="00CA0000">
            <w:pPr>
              <w:jc w:val="right"/>
              <w:rPr>
                <w:rFonts w:ascii="Calibri" w:hAnsi="Calibri" w:cs="Calibri"/>
                <w:b/>
                <w:bCs/>
                <w:color w:val="000000"/>
                <w:sz w:val="16"/>
                <w:szCs w:val="16"/>
              </w:rPr>
            </w:pPr>
            <w:r>
              <w:rPr>
                <w:rFonts w:ascii="Calibri" w:hAnsi="Calibri" w:cs="Calibri"/>
                <w:b/>
                <w:bCs/>
                <w:color w:val="000000"/>
                <w:sz w:val="16"/>
                <w:szCs w:val="16"/>
              </w:rPr>
              <w:t>916 738</w:t>
            </w:r>
          </w:p>
        </w:tc>
      </w:tr>
    </w:tbl>
    <w:p w:rsidR="00CA0000" w:rsidRDefault="00CA0000" w:rsidP="00CA0000">
      <w:r>
        <w:rPr>
          <w:noProof/>
        </w:rPr>
        <w:lastRenderedPageBreak/>
        <w:drawing>
          <wp:inline distT="0" distB="0" distL="0" distR="0" wp14:anchorId="6BD239B5" wp14:editId="6E2D2606">
            <wp:extent cx="6030595" cy="2934970"/>
            <wp:effectExtent l="0" t="0" r="8255" b="17780"/>
            <wp:docPr id="33" name="Graf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A0000" w:rsidRDefault="00CA0000" w:rsidP="00CA0000"/>
    <w:tbl>
      <w:tblPr>
        <w:tblW w:w="9493" w:type="dxa"/>
        <w:tblCellMar>
          <w:left w:w="70" w:type="dxa"/>
          <w:right w:w="70" w:type="dxa"/>
        </w:tblCellMar>
        <w:tblLook w:val="04A0" w:firstRow="1" w:lastRow="0" w:firstColumn="1" w:lastColumn="0" w:noHBand="0" w:noVBand="1"/>
      </w:tblPr>
      <w:tblGrid>
        <w:gridCol w:w="3220"/>
        <w:gridCol w:w="820"/>
        <w:gridCol w:w="760"/>
        <w:gridCol w:w="820"/>
        <w:gridCol w:w="760"/>
        <w:gridCol w:w="800"/>
        <w:gridCol w:w="760"/>
        <w:gridCol w:w="800"/>
        <w:gridCol w:w="753"/>
      </w:tblGrid>
      <w:tr w:rsidR="00EE2AED" w:rsidTr="00EE2AED">
        <w:trPr>
          <w:trHeight w:val="300"/>
        </w:trPr>
        <w:tc>
          <w:tcPr>
            <w:tcW w:w="3220" w:type="dxa"/>
            <w:tcBorders>
              <w:top w:val="single" w:sz="4" w:space="0" w:color="auto"/>
              <w:left w:val="single" w:sz="4" w:space="0" w:color="auto"/>
              <w:bottom w:val="single" w:sz="4" w:space="0" w:color="auto"/>
              <w:right w:val="single" w:sz="4" w:space="0" w:color="auto"/>
            </w:tcBorders>
            <w:shd w:val="clear" w:color="D6A100" w:fill="C6E0B4"/>
            <w:noWrap/>
            <w:vAlign w:val="center"/>
            <w:hideMark/>
          </w:tcPr>
          <w:p w:rsidR="00EE2AED" w:rsidRDefault="00EE2AED">
            <w:pPr>
              <w:rPr>
                <w:rFonts w:ascii="Calibri" w:hAnsi="Calibri" w:cs="Calibri"/>
                <w:color w:val="000000"/>
                <w:sz w:val="16"/>
                <w:szCs w:val="16"/>
              </w:rPr>
            </w:pPr>
            <w:r>
              <w:rPr>
                <w:rFonts w:ascii="Calibri" w:hAnsi="Calibri" w:cs="Calibri"/>
                <w:color w:val="000000"/>
                <w:sz w:val="16"/>
                <w:szCs w:val="16"/>
              </w:rPr>
              <w:t> </w:t>
            </w:r>
          </w:p>
        </w:tc>
        <w:tc>
          <w:tcPr>
            <w:tcW w:w="820" w:type="dxa"/>
            <w:tcBorders>
              <w:top w:val="single" w:sz="4" w:space="0" w:color="auto"/>
              <w:left w:val="nil"/>
              <w:bottom w:val="single" w:sz="4" w:space="0" w:color="auto"/>
              <w:right w:val="single" w:sz="4" w:space="0" w:color="auto"/>
            </w:tcBorders>
            <w:shd w:val="clear" w:color="D6A100" w:fill="C6E0B4"/>
            <w:noWrap/>
            <w:vAlign w:val="center"/>
            <w:hideMark/>
          </w:tcPr>
          <w:p w:rsidR="00EE2AED" w:rsidRDefault="00EE2AED">
            <w:pPr>
              <w:jc w:val="center"/>
              <w:rPr>
                <w:rFonts w:ascii="Calibri" w:hAnsi="Calibri" w:cs="Calibri"/>
                <w:color w:val="000000"/>
                <w:sz w:val="16"/>
                <w:szCs w:val="16"/>
              </w:rPr>
            </w:pPr>
            <w:r>
              <w:rPr>
                <w:rFonts w:ascii="Calibri" w:hAnsi="Calibri" w:cs="Calibri"/>
                <w:color w:val="000000"/>
                <w:sz w:val="16"/>
                <w:szCs w:val="16"/>
              </w:rPr>
              <w:t>2015</w:t>
            </w:r>
          </w:p>
        </w:tc>
        <w:tc>
          <w:tcPr>
            <w:tcW w:w="760" w:type="dxa"/>
            <w:tcBorders>
              <w:top w:val="single" w:sz="4" w:space="0" w:color="auto"/>
              <w:left w:val="nil"/>
              <w:bottom w:val="single" w:sz="4" w:space="0" w:color="auto"/>
              <w:right w:val="single" w:sz="4" w:space="0" w:color="auto"/>
            </w:tcBorders>
            <w:shd w:val="clear" w:color="D6A100" w:fill="C6E0B4"/>
            <w:noWrap/>
            <w:vAlign w:val="center"/>
            <w:hideMark/>
          </w:tcPr>
          <w:p w:rsidR="00EE2AED" w:rsidRDefault="00EE2AED">
            <w:pPr>
              <w:jc w:val="center"/>
              <w:rPr>
                <w:rFonts w:ascii="Calibri" w:hAnsi="Calibri" w:cs="Calibri"/>
                <w:color w:val="000000"/>
                <w:sz w:val="16"/>
                <w:szCs w:val="16"/>
              </w:rPr>
            </w:pPr>
            <w:r>
              <w:rPr>
                <w:rFonts w:ascii="Calibri" w:hAnsi="Calibri" w:cs="Calibri"/>
                <w:color w:val="000000"/>
                <w:sz w:val="16"/>
                <w:szCs w:val="16"/>
              </w:rPr>
              <w:t>2016</w:t>
            </w:r>
          </w:p>
        </w:tc>
        <w:tc>
          <w:tcPr>
            <w:tcW w:w="820" w:type="dxa"/>
            <w:tcBorders>
              <w:top w:val="single" w:sz="4" w:space="0" w:color="auto"/>
              <w:left w:val="nil"/>
              <w:bottom w:val="single" w:sz="4" w:space="0" w:color="auto"/>
              <w:right w:val="single" w:sz="4" w:space="0" w:color="auto"/>
            </w:tcBorders>
            <w:shd w:val="clear" w:color="D6A100" w:fill="C6E0B4"/>
            <w:noWrap/>
            <w:vAlign w:val="center"/>
            <w:hideMark/>
          </w:tcPr>
          <w:p w:rsidR="00EE2AED" w:rsidRDefault="00EE2AED">
            <w:pPr>
              <w:jc w:val="center"/>
              <w:rPr>
                <w:rFonts w:ascii="Calibri" w:hAnsi="Calibri" w:cs="Calibri"/>
                <w:color w:val="000000"/>
                <w:sz w:val="16"/>
                <w:szCs w:val="16"/>
              </w:rPr>
            </w:pPr>
            <w:r>
              <w:rPr>
                <w:rFonts w:ascii="Calibri" w:hAnsi="Calibri" w:cs="Calibri"/>
                <w:color w:val="000000"/>
                <w:sz w:val="16"/>
                <w:szCs w:val="16"/>
              </w:rPr>
              <w:t>2017</w:t>
            </w:r>
          </w:p>
        </w:tc>
        <w:tc>
          <w:tcPr>
            <w:tcW w:w="760" w:type="dxa"/>
            <w:tcBorders>
              <w:top w:val="single" w:sz="4" w:space="0" w:color="auto"/>
              <w:left w:val="nil"/>
              <w:bottom w:val="single" w:sz="4" w:space="0" w:color="auto"/>
              <w:right w:val="single" w:sz="4" w:space="0" w:color="auto"/>
            </w:tcBorders>
            <w:shd w:val="clear" w:color="D6A100" w:fill="C6E0B4"/>
            <w:noWrap/>
            <w:vAlign w:val="center"/>
            <w:hideMark/>
          </w:tcPr>
          <w:p w:rsidR="00EE2AED" w:rsidRDefault="00EE2AED">
            <w:pPr>
              <w:jc w:val="center"/>
              <w:rPr>
                <w:rFonts w:ascii="Calibri" w:hAnsi="Calibri" w:cs="Calibri"/>
                <w:color w:val="000000"/>
                <w:sz w:val="16"/>
                <w:szCs w:val="16"/>
              </w:rPr>
            </w:pPr>
            <w:r>
              <w:rPr>
                <w:rFonts w:ascii="Calibri" w:hAnsi="Calibri" w:cs="Calibri"/>
                <w:color w:val="000000"/>
                <w:sz w:val="16"/>
                <w:szCs w:val="16"/>
              </w:rPr>
              <w:t>2018</w:t>
            </w:r>
          </w:p>
        </w:tc>
        <w:tc>
          <w:tcPr>
            <w:tcW w:w="800" w:type="dxa"/>
            <w:tcBorders>
              <w:top w:val="single" w:sz="4" w:space="0" w:color="auto"/>
              <w:left w:val="nil"/>
              <w:bottom w:val="single" w:sz="4" w:space="0" w:color="auto"/>
              <w:right w:val="single" w:sz="4" w:space="0" w:color="auto"/>
            </w:tcBorders>
            <w:shd w:val="clear" w:color="D6A100" w:fill="C6E0B4"/>
            <w:noWrap/>
            <w:vAlign w:val="center"/>
            <w:hideMark/>
          </w:tcPr>
          <w:p w:rsidR="00EE2AED" w:rsidRDefault="00EE2AED">
            <w:pPr>
              <w:jc w:val="center"/>
              <w:rPr>
                <w:rFonts w:ascii="Calibri" w:hAnsi="Calibri" w:cs="Calibri"/>
                <w:color w:val="000000"/>
                <w:sz w:val="16"/>
                <w:szCs w:val="16"/>
              </w:rPr>
            </w:pPr>
            <w:r>
              <w:rPr>
                <w:rFonts w:ascii="Calibri" w:hAnsi="Calibri" w:cs="Calibri"/>
                <w:color w:val="000000"/>
                <w:sz w:val="16"/>
                <w:szCs w:val="16"/>
              </w:rPr>
              <w:t>2019</w:t>
            </w:r>
          </w:p>
        </w:tc>
        <w:tc>
          <w:tcPr>
            <w:tcW w:w="760" w:type="dxa"/>
            <w:tcBorders>
              <w:top w:val="single" w:sz="4" w:space="0" w:color="auto"/>
              <w:left w:val="nil"/>
              <w:bottom w:val="single" w:sz="4" w:space="0" w:color="auto"/>
              <w:right w:val="single" w:sz="4" w:space="0" w:color="auto"/>
            </w:tcBorders>
            <w:shd w:val="clear" w:color="D6A100" w:fill="C6E0B4"/>
            <w:noWrap/>
            <w:vAlign w:val="center"/>
            <w:hideMark/>
          </w:tcPr>
          <w:p w:rsidR="00EE2AED" w:rsidRDefault="00EE2AED">
            <w:pPr>
              <w:jc w:val="center"/>
              <w:rPr>
                <w:rFonts w:ascii="Calibri" w:hAnsi="Calibri" w:cs="Calibri"/>
                <w:color w:val="000000"/>
                <w:sz w:val="16"/>
                <w:szCs w:val="16"/>
              </w:rPr>
            </w:pPr>
            <w:r>
              <w:rPr>
                <w:rFonts w:ascii="Calibri" w:hAnsi="Calibri" w:cs="Calibri"/>
                <w:color w:val="000000"/>
                <w:sz w:val="16"/>
                <w:szCs w:val="16"/>
              </w:rPr>
              <w:t>2020</w:t>
            </w:r>
          </w:p>
        </w:tc>
        <w:tc>
          <w:tcPr>
            <w:tcW w:w="800" w:type="dxa"/>
            <w:tcBorders>
              <w:top w:val="single" w:sz="4" w:space="0" w:color="auto"/>
              <w:left w:val="nil"/>
              <w:bottom w:val="single" w:sz="4" w:space="0" w:color="auto"/>
              <w:right w:val="single" w:sz="4" w:space="0" w:color="auto"/>
            </w:tcBorders>
            <w:shd w:val="clear" w:color="D6A100" w:fill="C6E0B4"/>
            <w:noWrap/>
            <w:vAlign w:val="center"/>
            <w:hideMark/>
          </w:tcPr>
          <w:p w:rsidR="00EE2AED" w:rsidRDefault="00EE2AED">
            <w:pPr>
              <w:jc w:val="center"/>
              <w:rPr>
                <w:rFonts w:ascii="Calibri" w:hAnsi="Calibri" w:cs="Calibri"/>
                <w:color w:val="000000"/>
                <w:sz w:val="16"/>
                <w:szCs w:val="16"/>
              </w:rPr>
            </w:pPr>
            <w:r>
              <w:rPr>
                <w:rFonts w:ascii="Calibri" w:hAnsi="Calibri" w:cs="Calibri"/>
                <w:color w:val="000000"/>
                <w:sz w:val="16"/>
                <w:szCs w:val="16"/>
              </w:rPr>
              <w:t>2021</w:t>
            </w:r>
          </w:p>
        </w:tc>
        <w:tc>
          <w:tcPr>
            <w:tcW w:w="753" w:type="dxa"/>
            <w:tcBorders>
              <w:top w:val="single" w:sz="4" w:space="0" w:color="auto"/>
              <w:left w:val="nil"/>
              <w:bottom w:val="single" w:sz="4" w:space="0" w:color="auto"/>
              <w:right w:val="single" w:sz="4" w:space="0" w:color="auto"/>
            </w:tcBorders>
            <w:shd w:val="clear" w:color="D6A100" w:fill="C6E0B4"/>
            <w:noWrap/>
            <w:vAlign w:val="center"/>
            <w:hideMark/>
          </w:tcPr>
          <w:p w:rsidR="00EE2AED" w:rsidRDefault="00EE2AED">
            <w:pPr>
              <w:jc w:val="center"/>
              <w:rPr>
                <w:rFonts w:ascii="Calibri" w:hAnsi="Calibri" w:cs="Calibri"/>
                <w:color w:val="000000"/>
                <w:sz w:val="16"/>
                <w:szCs w:val="16"/>
              </w:rPr>
            </w:pPr>
            <w:r>
              <w:rPr>
                <w:rFonts w:ascii="Calibri" w:hAnsi="Calibri" w:cs="Calibri"/>
                <w:color w:val="000000"/>
                <w:sz w:val="16"/>
                <w:szCs w:val="16"/>
              </w:rPr>
              <w:t>2022</w:t>
            </w:r>
          </w:p>
        </w:tc>
      </w:tr>
      <w:tr w:rsidR="00EE2AED" w:rsidTr="00EE2AED">
        <w:trPr>
          <w:trHeight w:val="300"/>
        </w:trPr>
        <w:tc>
          <w:tcPr>
            <w:tcW w:w="3220" w:type="dxa"/>
            <w:tcBorders>
              <w:top w:val="nil"/>
              <w:left w:val="single" w:sz="4" w:space="0" w:color="auto"/>
              <w:bottom w:val="single" w:sz="4" w:space="0" w:color="auto"/>
              <w:right w:val="single" w:sz="4" w:space="0" w:color="auto"/>
            </w:tcBorders>
            <w:shd w:val="clear" w:color="D6A100" w:fill="A9D08E"/>
            <w:noWrap/>
            <w:vAlign w:val="center"/>
            <w:hideMark/>
          </w:tcPr>
          <w:p w:rsidR="00EE2AED" w:rsidRDefault="00EE2AED">
            <w:pPr>
              <w:rPr>
                <w:rFonts w:ascii="Calibri" w:hAnsi="Calibri" w:cs="Calibri"/>
                <w:b/>
                <w:bCs/>
                <w:color w:val="000000"/>
                <w:sz w:val="16"/>
                <w:szCs w:val="16"/>
              </w:rPr>
            </w:pPr>
            <w:r>
              <w:rPr>
                <w:rFonts w:ascii="Calibri" w:hAnsi="Calibri" w:cs="Calibri"/>
                <w:b/>
                <w:bCs/>
                <w:color w:val="000000"/>
                <w:sz w:val="16"/>
                <w:szCs w:val="16"/>
              </w:rPr>
              <w:t>Běžné výdaje celkem</w:t>
            </w:r>
          </w:p>
        </w:tc>
        <w:tc>
          <w:tcPr>
            <w:tcW w:w="820" w:type="dxa"/>
            <w:tcBorders>
              <w:top w:val="nil"/>
              <w:left w:val="nil"/>
              <w:bottom w:val="single" w:sz="4" w:space="0" w:color="auto"/>
              <w:right w:val="single" w:sz="4" w:space="0" w:color="auto"/>
            </w:tcBorders>
            <w:shd w:val="clear" w:color="D6A100" w:fill="A9D08E"/>
            <w:noWrap/>
            <w:vAlign w:val="center"/>
            <w:hideMark/>
          </w:tcPr>
          <w:p w:rsidR="00EE2AED" w:rsidRDefault="00EE2AED">
            <w:pPr>
              <w:jc w:val="right"/>
              <w:rPr>
                <w:rFonts w:ascii="Calibri" w:hAnsi="Calibri" w:cs="Calibri"/>
                <w:b/>
                <w:bCs/>
                <w:color w:val="000000"/>
                <w:sz w:val="16"/>
                <w:szCs w:val="16"/>
              </w:rPr>
            </w:pPr>
            <w:r>
              <w:rPr>
                <w:rFonts w:ascii="Calibri" w:hAnsi="Calibri" w:cs="Calibri"/>
                <w:b/>
                <w:bCs/>
                <w:color w:val="000000"/>
                <w:sz w:val="16"/>
                <w:szCs w:val="16"/>
              </w:rPr>
              <w:t>633 512</w:t>
            </w:r>
          </w:p>
        </w:tc>
        <w:tc>
          <w:tcPr>
            <w:tcW w:w="760" w:type="dxa"/>
            <w:tcBorders>
              <w:top w:val="nil"/>
              <w:left w:val="nil"/>
              <w:bottom w:val="single" w:sz="4" w:space="0" w:color="auto"/>
              <w:right w:val="single" w:sz="4" w:space="0" w:color="auto"/>
            </w:tcBorders>
            <w:shd w:val="clear" w:color="D6A100" w:fill="A9D08E"/>
            <w:noWrap/>
            <w:vAlign w:val="center"/>
            <w:hideMark/>
          </w:tcPr>
          <w:p w:rsidR="00EE2AED" w:rsidRDefault="00EE2AED">
            <w:pPr>
              <w:jc w:val="right"/>
              <w:rPr>
                <w:rFonts w:ascii="Calibri" w:hAnsi="Calibri" w:cs="Calibri"/>
                <w:b/>
                <w:bCs/>
                <w:color w:val="000000"/>
                <w:sz w:val="16"/>
                <w:szCs w:val="16"/>
              </w:rPr>
            </w:pPr>
            <w:r>
              <w:rPr>
                <w:rFonts w:ascii="Calibri" w:hAnsi="Calibri" w:cs="Calibri"/>
                <w:b/>
                <w:bCs/>
                <w:color w:val="000000"/>
                <w:sz w:val="16"/>
                <w:szCs w:val="16"/>
              </w:rPr>
              <w:t>658 527</w:t>
            </w:r>
          </w:p>
        </w:tc>
        <w:tc>
          <w:tcPr>
            <w:tcW w:w="820" w:type="dxa"/>
            <w:tcBorders>
              <w:top w:val="nil"/>
              <w:left w:val="nil"/>
              <w:bottom w:val="single" w:sz="4" w:space="0" w:color="auto"/>
              <w:right w:val="single" w:sz="4" w:space="0" w:color="auto"/>
            </w:tcBorders>
            <w:shd w:val="clear" w:color="D6A100" w:fill="A9D08E"/>
            <w:noWrap/>
            <w:vAlign w:val="center"/>
            <w:hideMark/>
          </w:tcPr>
          <w:p w:rsidR="00EE2AED" w:rsidRDefault="00EE2AED">
            <w:pPr>
              <w:jc w:val="right"/>
              <w:rPr>
                <w:rFonts w:ascii="Calibri" w:hAnsi="Calibri" w:cs="Calibri"/>
                <w:b/>
                <w:bCs/>
                <w:color w:val="000000"/>
                <w:sz w:val="16"/>
                <w:szCs w:val="16"/>
              </w:rPr>
            </w:pPr>
            <w:r>
              <w:rPr>
                <w:rFonts w:ascii="Calibri" w:hAnsi="Calibri" w:cs="Calibri"/>
                <w:b/>
                <w:bCs/>
                <w:color w:val="000000"/>
                <w:sz w:val="16"/>
                <w:szCs w:val="16"/>
              </w:rPr>
              <w:t>698 620</w:t>
            </w:r>
          </w:p>
        </w:tc>
        <w:tc>
          <w:tcPr>
            <w:tcW w:w="760" w:type="dxa"/>
            <w:tcBorders>
              <w:top w:val="nil"/>
              <w:left w:val="nil"/>
              <w:bottom w:val="single" w:sz="4" w:space="0" w:color="auto"/>
              <w:right w:val="single" w:sz="4" w:space="0" w:color="auto"/>
            </w:tcBorders>
            <w:shd w:val="clear" w:color="D6A100" w:fill="A9D08E"/>
            <w:noWrap/>
            <w:vAlign w:val="center"/>
            <w:hideMark/>
          </w:tcPr>
          <w:p w:rsidR="00EE2AED" w:rsidRDefault="00EE2AED">
            <w:pPr>
              <w:jc w:val="right"/>
              <w:rPr>
                <w:rFonts w:ascii="Calibri" w:hAnsi="Calibri" w:cs="Calibri"/>
                <w:b/>
                <w:bCs/>
                <w:color w:val="000000"/>
                <w:sz w:val="16"/>
                <w:szCs w:val="16"/>
              </w:rPr>
            </w:pPr>
            <w:r>
              <w:rPr>
                <w:rFonts w:ascii="Calibri" w:hAnsi="Calibri" w:cs="Calibri"/>
                <w:b/>
                <w:bCs/>
                <w:color w:val="000000"/>
                <w:sz w:val="16"/>
                <w:szCs w:val="16"/>
              </w:rPr>
              <w:t>758 494</w:t>
            </w:r>
          </w:p>
        </w:tc>
        <w:tc>
          <w:tcPr>
            <w:tcW w:w="800" w:type="dxa"/>
            <w:tcBorders>
              <w:top w:val="nil"/>
              <w:left w:val="nil"/>
              <w:bottom w:val="single" w:sz="4" w:space="0" w:color="auto"/>
              <w:right w:val="single" w:sz="4" w:space="0" w:color="auto"/>
            </w:tcBorders>
            <w:shd w:val="clear" w:color="D6A100" w:fill="A9D08E"/>
            <w:noWrap/>
            <w:vAlign w:val="center"/>
            <w:hideMark/>
          </w:tcPr>
          <w:p w:rsidR="00EE2AED" w:rsidRDefault="00EE2AED">
            <w:pPr>
              <w:jc w:val="right"/>
              <w:rPr>
                <w:rFonts w:ascii="Calibri" w:hAnsi="Calibri" w:cs="Calibri"/>
                <w:b/>
                <w:bCs/>
                <w:color w:val="000000"/>
                <w:sz w:val="16"/>
                <w:szCs w:val="16"/>
              </w:rPr>
            </w:pPr>
            <w:r>
              <w:rPr>
                <w:rFonts w:ascii="Calibri" w:hAnsi="Calibri" w:cs="Calibri"/>
                <w:b/>
                <w:bCs/>
                <w:color w:val="000000"/>
                <w:sz w:val="16"/>
                <w:szCs w:val="16"/>
              </w:rPr>
              <w:t>888 014</w:t>
            </w:r>
          </w:p>
        </w:tc>
        <w:tc>
          <w:tcPr>
            <w:tcW w:w="760" w:type="dxa"/>
            <w:tcBorders>
              <w:top w:val="nil"/>
              <w:left w:val="nil"/>
              <w:bottom w:val="single" w:sz="4" w:space="0" w:color="auto"/>
              <w:right w:val="single" w:sz="4" w:space="0" w:color="auto"/>
            </w:tcBorders>
            <w:shd w:val="clear" w:color="D6A100" w:fill="A9D08E"/>
            <w:noWrap/>
            <w:vAlign w:val="center"/>
            <w:hideMark/>
          </w:tcPr>
          <w:p w:rsidR="00EE2AED" w:rsidRDefault="00EE2AED">
            <w:pPr>
              <w:jc w:val="right"/>
              <w:rPr>
                <w:rFonts w:ascii="Calibri" w:hAnsi="Calibri" w:cs="Calibri"/>
                <w:b/>
                <w:bCs/>
                <w:color w:val="000000"/>
                <w:sz w:val="16"/>
                <w:szCs w:val="16"/>
              </w:rPr>
            </w:pPr>
            <w:r>
              <w:rPr>
                <w:rFonts w:ascii="Calibri" w:hAnsi="Calibri" w:cs="Calibri"/>
                <w:b/>
                <w:bCs/>
                <w:color w:val="000000"/>
                <w:sz w:val="16"/>
                <w:szCs w:val="16"/>
              </w:rPr>
              <w:t>811 307</w:t>
            </w:r>
          </w:p>
        </w:tc>
        <w:tc>
          <w:tcPr>
            <w:tcW w:w="800" w:type="dxa"/>
            <w:tcBorders>
              <w:top w:val="nil"/>
              <w:left w:val="nil"/>
              <w:bottom w:val="single" w:sz="4" w:space="0" w:color="auto"/>
              <w:right w:val="single" w:sz="4" w:space="0" w:color="auto"/>
            </w:tcBorders>
            <w:shd w:val="clear" w:color="D6A100" w:fill="A9D08E"/>
            <w:noWrap/>
            <w:vAlign w:val="center"/>
            <w:hideMark/>
          </w:tcPr>
          <w:p w:rsidR="00EE2AED" w:rsidRDefault="00EE2AED">
            <w:pPr>
              <w:jc w:val="right"/>
              <w:rPr>
                <w:rFonts w:ascii="Calibri" w:hAnsi="Calibri" w:cs="Calibri"/>
                <w:b/>
                <w:bCs/>
                <w:color w:val="000000"/>
                <w:sz w:val="16"/>
                <w:szCs w:val="16"/>
              </w:rPr>
            </w:pPr>
            <w:r>
              <w:rPr>
                <w:rFonts w:ascii="Calibri" w:hAnsi="Calibri" w:cs="Calibri"/>
                <w:b/>
                <w:bCs/>
                <w:color w:val="000000"/>
                <w:sz w:val="16"/>
                <w:szCs w:val="16"/>
              </w:rPr>
              <w:t>845 147</w:t>
            </w:r>
          </w:p>
        </w:tc>
        <w:tc>
          <w:tcPr>
            <w:tcW w:w="753" w:type="dxa"/>
            <w:tcBorders>
              <w:top w:val="nil"/>
              <w:left w:val="nil"/>
              <w:bottom w:val="single" w:sz="4" w:space="0" w:color="auto"/>
              <w:right w:val="single" w:sz="4" w:space="0" w:color="auto"/>
            </w:tcBorders>
            <w:shd w:val="clear" w:color="D6A100" w:fill="A9D08E"/>
            <w:noWrap/>
            <w:vAlign w:val="center"/>
            <w:hideMark/>
          </w:tcPr>
          <w:p w:rsidR="00EE2AED" w:rsidRDefault="00EE2AED">
            <w:pPr>
              <w:jc w:val="right"/>
              <w:rPr>
                <w:rFonts w:ascii="Calibri" w:hAnsi="Calibri" w:cs="Calibri"/>
                <w:b/>
                <w:bCs/>
                <w:color w:val="000000"/>
                <w:sz w:val="16"/>
                <w:szCs w:val="16"/>
              </w:rPr>
            </w:pPr>
            <w:r>
              <w:rPr>
                <w:rFonts w:ascii="Calibri" w:hAnsi="Calibri" w:cs="Calibri"/>
                <w:b/>
                <w:bCs/>
                <w:color w:val="000000"/>
                <w:sz w:val="16"/>
                <w:szCs w:val="16"/>
              </w:rPr>
              <w:t>916 738</w:t>
            </w:r>
          </w:p>
        </w:tc>
      </w:tr>
      <w:tr w:rsidR="00EE2AED" w:rsidTr="00EE2AED">
        <w:trPr>
          <w:trHeight w:val="300"/>
        </w:trPr>
        <w:tc>
          <w:tcPr>
            <w:tcW w:w="3220" w:type="dxa"/>
            <w:tcBorders>
              <w:top w:val="nil"/>
              <w:left w:val="single" w:sz="4" w:space="0" w:color="auto"/>
              <w:bottom w:val="single" w:sz="4" w:space="0" w:color="auto"/>
              <w:right w:val="single" w:sz="4" w:space="0" w:color="auto"/>
            </w:tcBorders>
            <w:shd w:val="clear" w:color="FDE9D9" w:fill="E2EFDA"/>
            <w:noWrap/>
            <w:vAlign w:val="center"/>
            <w:hideMark/>
          </w:tcPr>
          <w:p w:rsidR="00EE2AED" w:rsidRDefault="00EE2AED">
            <w:pPr>
              <w:rPr>
                <w:rFonts w:ascii="Calibri" w:hAnsi="Calibri" w:cs="Calibri"/>
                <w:color w:val="000000"/>
                <w:sz w:val="16"/>
                <w:szCs w:val="16"/>
              </w:rPr>
            </w:pPr>
            <w:r>
              <w:rPr>
                <w:rFonts w:ascii="Calibri" w:hAnsi="Calibri" w:cs="Calibri"/>
                <w:color w:val="000000"/>
                <w:sz w:val="16"/>
                <w:szCs w:val="16"/>
              </w:rPr>
              <w:t>Meziroční změna absolutně</w:t>
            </w:r>
          </w:p>
        </w:tc>
        <w:tc>
          <w:tcPr>
            <w:tcW w:w="820" w:type="dxa"/>
            <w:tcBorders>
              <w:top w:val="nil"/>
              <w:left w:val="nil"/>
              <w:bottom w:val="single" w:sz="4" w:space="0" w:color="auto"/>
              <w:right w:val="single" w:sz="4" w:space="0" w:color="auto"/>
            </w:tcBorders>
            <w:shd w:val="clear" w:color="FDE9D9" w:fill="E2EFDA"/>
            <w:noWrap/>
            <w:vAlign w:val="center"/>
            <w:hideMark/>
          </w:tcPr>
          <w:p w:rsidR="00EE2AED" w:rsidRDefault="00EE2AED">
            <w:pPr>
              <w:jc w:val="right"/>
              <w:rPr>
                <w:rFonts w:ascii="Calibri" w:hAnsi="Calibri" w:cs="Calibri"/>
                <w:color w:val="000000"/>
                <w:sz w:val="16"/>
                <w:szCs w:val="16"/>
              </w:rPr>
            </w:pPr>
            <w:r>
              <w:rPr>
                <w:rFonts w:ascii="Calibri" w:hAnsi="Calibri" w:cs="Calibri"/>
                <w:color w:val="000000"/>
                <w:sz w:val="16"/>
                <w:szCs w:val="16"/>
              </w:rPr>
              <w:t>55 691</w:t>
            </w:r>
          </w:p>
        </w:tc>
        <w:tc>
          <w:tcPr>
            <w:tcW w:w="760" w:type="dxa"/>
            <w:tcBorders>
              <w:top w:val="nil"/>
              <w:left w:val="nil"/>
              <w:bottom w:val="single" w:sz="4" w:space="0" w:color="auto"/>
              <w:right w:val="single" w:sz="4" w:space="0" w:color="auto"/>
            </w:tcBorders>
            <w:shd w:val="clear" w:color="FDE9D9" w:fill="E2EFDA"/>
            <w:noWrap/>
            <w:vAlign w:val="center"/>
            <w:hideMark/>
          </w:tcPr>
          <w:p w:rsidR="00EE2AED" w:rsidRDefault="00EE2AED">
            <w:pPr>
              <w:jc w:val="right"/>
              <w:rPr>
                <w:rFonts w:ascii="Calibri" w:hAnsi="Calibri" w:cs="Calibri"/>
                <w:color w:val="000000"/>
                <w:sz w:val="16"/>
                <w:szCs w:val="16"/>
              </w:rPr>
            </w:pPr>
            <w:r>
              <w:rPr>
                <w:rFonts w:ascii="Calibri" w:hAnsi="Calibri" w:cs="Calibri"/>
                <w:color w:val="000000"/>
                <w:sz w:val="16"/>
                <w:szCs w:val="16"/>
              </w:rPr>
              <w:t>25 015</w:t>
            </w:r>
          </w:p>
        </w:tc>
        <w:tc>
          <w:tcPr>
            <w:tcW w:w="820" w:type="dxa"/>
            <w:tcBorders>
              <w:top w:val="nil"/>
              <w:left w:val="nil"/>
              <w:bottom w:val="single" w:sz="4" w:space="0" w:color="auto"/>
              <w:right w:val="single" w:sz="4" w:space="0" w:color="auto"/>
            </w:tcBorders>
            <w:shd w:val="clear" w:color="FDE9D9" w:fill="E2EFDA"/>
            <w:noWrap/>
            <w:vAlign w:val="center"/>
            <w:hideMark/>
          </w:tcPr>
          <w:p w:rsidR="00EE2AED" w:rsidRDefault="00EE2AED">
            <w:pPr>
              <w:jc w:val="right"/>
              <w:rPr>
                <w:rFonts w:ascii="Calibri" w:hAnsi="Calibri" w:cs="Calibri"/>
                <w:color w:val="000000"/>
                <w:sz w:val="16"/>
                <w:szCs w:val="16"/>
              </w:rPr>
            </w:pPr>
            <w:r>
              <w:rPr>
                <w:rFonts w:ascii="Calibri" w:hAnsi="Calibri" w:cs="Calibri"/>
                <w:color w:val="000000"/>
                <w:sz w:val="16"/>
                <w:szCs w:val="16"/>
              </w:rPr>
              <w:t>40 093</w:t>
            </w:r>
          </w:p>
        </w:tc>
        <w:tc>
          <w:tcPr>
            <w:tcW w:w="760" w:type="dxa"/>
            <w:tcBorders>
              <w:top w:val="nil"/>
              <w:left w:val="nil"/>
              <w:bottom w:val="single" w:sz="4" w:space="0" w:color="auto"/>
              <w:right w:val="single" w:sz="4" w:space="0" w:color="auto"/>
            </w:tcBorders>
            <w:shd w:val="clear" w:color="FDE9D9" w:fill="E2EFDA"/>
            <w:noWrap/>
            <w:vAlign w:val="center"/>
            <w:hideMark/>
          </w:tcPr>
          <w:p w:rsidR="00EE2AED" w:rsidRDefault="00EE2AED">
            <w:pPr>
              <w:jc w:val="right"/>
              <w:rPr>
                <w:rFonts w:ascii="Calibri" w:hAnsi="Calibri" w:cs="Calibri"/>
                <w:color w:val="000000"/>
                <w:sz w:val="16"/>
                <w:szCs w:val="16"/>
              </w:rPr>
            </w:pPr>
            <w:r>
              <w:rPr>
                <w:rFonts w:ascii="Calibri" w:hAnsi="Calibri" w:cs="Calibri"/>
                <w:color w:val="000000"/>
                <w:sz w:val="16"/>
                <w:szCs w:val="16"/>
              </w:rPr>
              <w:t>59 874</w:t>
            </w:r>
          </w:p>
        </w:tc>
        <w:tc>
          <w:tcPr>
            <w:tcW w:w="800" w:type="dxa"/>
            <w:tcBorders>
              <w:top w:val="nil"/>
              <w:left w:val="nil"/>
              <w:bottom w:val="single" w:sz="4" w:space="0" w:color="auto"/>
              <w:right w:val="single" w:sz="4" w:space="0" w:color="auto"/>
            </w:tcBorders>
            <w:shd w:val="clear" w:color="FDE9D9" w:fill="E2EFDA"/>
            <w:noWrap/>
            <w:vAlign w:val="center"/>
            <w:hideMark/>
          </w:tcPr>
          <w:p w:rsidR="00EE2AED" w:rsidRDefault="00EE2AED">
            <w:pPr>
              <w:jc w:val="right"/>
              <w:rPr>
                <w:rFonts w:ascii="Calibri" w:hAnsi="Calibri" w:cs="Calibri"/>
                <w:color w:val="000000"/>
                <w:sz w:val="16"/>
                <w:szCs w:val="16"/>
              </w:rPr>
            </w:pPr>
            <w:r>
              <w:rPr>
                <w:rFonts w:ascii="Calibri" w:hAnsi="Calibri" w:cs="Calibri"/>
                <w:color w:val="000000"/>
                <w:sz w:val="16"/>
                <w:szCs w:val="16"/>
              </w:rPr>
              <w:t>129 519</w:t>
            </w:r>
          </w:p>
        </w:tc>
        <w:tc>
          <w:tcPr>
            <w:tcW w:w="760" w:type="dxa"/>
            <w:tcBorders>
              <w:top w:val="nil"/>
              <w:left w:val="nil"/>
              <w:bottom w:val="single" w:sz="4" w:space="0" w:color="auto"/>
              <w:right w:val="single" w:sz="4" w:space="0" w:color="auto"/>
            </w:tcBorders>
            <w:shd w:val="clear" w:color="FDE9D9" w:fill="E2EFDA"/>
            <w:noWrap/>
            <w:vAlign w:val="center"/>
            <w:hideMark/>
          </w:tcPr>
          <w:p w:rsidR="00EE2AED" w:rsidRDefault="00EE2AED">
            <w:pPr>
              <w:jc w:val="right"/>
              <w:rPr>
                <w:rFonts w:ascii="Calibri" w:hAnsi="Calibri" w:cs="Calibri"/>
                <w:color w:val="000000"/>
                <w:sz w:val="16"/>
                <w:szCs w:val="16"/>
              </w:rPr>
            </w:pPr>
            <w:r>
              <w:rPr>
                <w:rFonts w:ascii="Calibri" w:hAnsi="Calibri" w:cs="Calibri"/>
                <w:color w:val="000000"/>
                <w:sz w:val="16"/>
                <w:szCs w:val="16"/>
              </w:rPr>
              <w:t>-76 707</w:t>
            </w:r>
          </w:p>
        </w:tc>
        <w:tc>
          <w:tcPr>
            <w:tcW w:w="800" w:type="dxa"/>
            <w:tcBorders>
              <w:top w:val="nil"/>
              <w:left w:val="nil"/>
              <w:bottom w:val="single" w:sz="4" w:space="0" w:color="auto"/>
              <w:right w:val="single" w:sz="4" w:space="0" w:color="auto"/>
            </w:tcBorders>
            <w:shd w:val="clear" w:color="FDE9D9" w:fill="E2EFDA"/>
            <w:noWrap/>
            <w:vAlign w:val="center"/>
            <w:hideMark/>
          </w:tcPr>
          <w:p w:rsidR="00EE2AED" w:rsidRDefault="00EE2AED">
            <w:pPr>
              <w:jc w:val="right"/>
              <w:rPr>
                <w:rFonts w:ascii="Calibri" w:hAnsi="Calibri" w:cs="Calibri"/>
                <w:color w:val="000000"/>
                <w:sz w:val="16"/>
                <w:szCs w:val="16"/>
              </w:rPr>
            </w:pPr>
            <w:r>
              <w:rPr>
                <w:rFonts w:ascii="Calibri" w:hAnsi="Calibri" w:cs="Calibri"/>
                <w:color w:val="000000"/>
                <w:sz w:val="16"/>
                <w:szCs w:val="16"/>
              </w:rPr>
              <w:t>33 840</w:t>
            </w:r>
          </w:p>
        </w:tc>
        <w:tc>
          <w:tcPr>
            <w:tcW w:w="753" w:type="dxa"/>
            <w:tcBorders>
              <w:top w:val="nil"/>
              <w:left w:val="nil"/>
              <w:bottom w:val="single" w:sz="4" w:space="0" w:color="auto"/>
              <w:right w:val="single" w:sz="4" w:space="0" w:color="auto"/>
            </w:tcBorders>
            <w:shd w:val="clear" w:color="FDE9D9" w:fill="E2EFDA"/>
            <w:noWrap/>
            <w:vAlign w:val="center"/>
            <w:hideMark/>
          </w:tcPr>
          <w:p w:rsidR="00EE2AED" w:rsidRDefault="00EE2AED">
            <w:pPr>
              <w:jc w:val="right"/>
              <w:rPr>
                <w:rFonts w:ascii="Calibri" w:hAnsi="Calibri" w:cs="Calibri"/>
                <w:color w:val="000000"/>
                <w:sz w:val="16"/>
                <w:szCs w:val="16"/>
              </w:rPr>
            </w:pPr>
            <w:r>
              <w:rPr>
                <w:rFonts w:ascii="Calibri" w:hAnsi="Calibri" w:cs="Calibri"/>
                <w:color w:val="000000"/>
                <w:sz w:val="16"/>
                <w:szCs w:val="16"/>
              </w:rPr>
              <w:t>71 591</w:t>
            </w:r>
          </w:p>
        </w:tc>
      </w:tr>
      <w:tr w:rsidR="00EE2AED" w:rsidTr="00EE2AED">
        <w:trPr>
          <w:trHeight w:val="300"/>
        </w:trPr>
        <w:tc>
          <w:tcPr>
            <w:tcW w:w="3220" w:type="dxa"/>
            <w:tcBorders>
              <w:top w:val="nil"/>
              <w:left w:val="single" w:sz="4" w:space="0" w:color="auto"/>
              <w:bottom w:val="single" w:sz="4" w:space="0" w:color="auto"/>
              <w:right w:val="single" w:sz="4" w:space="0" w:color="auto"/>
            </w:tcBorders>
            <w:shd w:val="clear" w:color="FDE9D9" w:fill="E2EFDA"/>
            <w:noWrap/>
            <w:vAlign w:val="center"/>
            <w:hideMark/>
          </w:tcPr>
          <w:p w:rsidR="00EE2AED" w:rsidRDefault="00EE2AED">
            <w:pPr>
              <w:rPr>
                <w:rFonts w:ascii="Calibri" w:hAnsi="Calibri" w:cs="Calibri"/>
                <w:color w:val="000000"/>
                <w:sz w:val="16"/>
                <w:szCs w:val="16"/>
              </w:rPr>
            </w:pPr>
            <w:r>
              <w:rPr>
                <w:rFonts w:ascii="Calibri" w:hAnsi="Calibri" w:cs="Calibri"/>
                <w:color w:val="000000"/>
                <w:sz w:val="16"/>
                <w:szCs w:val="16"/>
              </w:rPr>
              <w:t>Meziroční změna procentuálně</w:t>
            </w:r>
          </w:p>
        </w:tc>
        <w:tc>
          <w:tcPr>
            <w:tcW w:w="820" w:type="dxa"/>
            <w:tcBorders>
              <w:top w:val="nil"/>
              <w:left w:val="nil"/>
              <w:bottom w:val="single" w:sz="4" w:space="0" w:color="auto"/>
              <w:right w:val="single" w:sz="4" w:space="0" w:color="auto"/>
            </w:tcBorders>
            <w:shd w:val="clear" w:color="FDE9D9" w:fill="E2EFDA"/>
            <w:noWrap/>
            <w:vAlign w:val="center"/>
            <w:hideMark/>
          </w:tcPr>
          <w:p w:rsidR="00EE2AED" w:rsidRDefault="00EE2AED">
            <w:pPr>
              <w:jc w:val="right"/>
              <w:rPr>
                <w:rFonts w:ascii="Calibri" w:hAnsi="Calibri" w:cs="Calibri"/>
                <w:color w:val="000000"/>
                <w:sz w:val="16"/>
                <w:szCs w:val="16"/>
              </w:rPr>
            </w:pPr>
            <w:r>
              <w:rPr>
                <w:rFonts w:ascii="Calibri" w:hAnsi="Calibri" w:cs="Calibri"/>
                <w:color w:val="000000"/>
                <w:sz w:val="16"/>
                <w:szCs w:val="16"/>
              </w:rPr>
              <w:t>10 %</w:t>
            </w:r>
          </w:p>
        </w:tc>
        <w:tc>
          <w:tcPr>
            <w:tcW w:w="760" w:type="dxa"/>
            <w:tcBorders>
              <w:top w:val="nil"/>
              <w:left w:val="nil"/>
              <w:bottom w:val="single" w:sz="4" w:space="0" w:color="auto"/>
              <w:right w:val="single" w:sz="4" w:space="0" w:color="auto"/>
            </w:tcBorders>
            <w:shd w:val="clear" w:color="FDE9D9" w:fill="E2EFDA"/>
            <w:noWrap/>
            <w:vAlign w:val="center"/>
            <w:hideMark/>
          </w:tcPr>
          <w:p w:rsidR="00EE2AED" w:rsidRDefault="00EE2AED">
            <w:pPr>
              <w:jc w:val="right"/>
              <w:rPr>
                <w:rFonts w:ascii="Calibri" w:hAnsi="Calibri" w:cs="Calibri"/>
                <w:color w:val="000000"/>
                <w:sz w:val="16"/>
                <w:szCs w:val="16"/>
              </w:rPr>
            </w:pPr>
            <w:r>
              <w:rPr>
                <w:rFonts w:ascii="Calibri" w:hAnsi="Calibri" w:cs="Calibri"/>
                <w:color w:val="000000"/>
                <w:sz w:val="16"/>
                <w:szCs w:val="16"/>
              </w:rPr>
              <w:t>4 %</w:t>
            </w:r>
          </w:p>
        </w:tc>
        <w:tc>
          <w:tcPr>
            <w:tcW w:w="820" w:type="dxa"/>
            <w:tcBorders>
              <w:top w:val="nil"/>
              <w:left w:val="nil"/>
              <w:bottom w:val="single" w:sz="4" w:space="0" w:color="auto"/>
              <w:right w:val="single" w:sz="4" w:space="0" w:color="auto"/>
            </w:tcBorders>
            <w:shd w:val="clear" w:color="FDE9D9" w:fill="E2EFDA"/>
            <w:noWrap/>
            <w:vAlign w:val="center"/>
            <w:hideMark/>
          </w:tcPr>
          <w:p w:rsidR="00EE2AED" w:rsidRDefault="00EE2AED">
            <w:pPr>
              <w:jc w:val="right"/>
              <w:rPr>
                <w:rFonts w:ascii="Calibri" w:hAnsi="Calibri" w:cs="Calibri"/>
                <w:color w:val="000000"/>
                <w:sz w:val="16"/>
                <w:szCs w:val="16"/>
              </w:rPr>
            </w:pPr>
            <w:r>
              <w:rPr>
                <w:rFonts w:ascii="Calibri" w:hAnsi="Calibri" w:cs="Calibri"/>
                <w:color w:val="000000"/>
                <w:sz w:val="16"/>
                <w:szCs w:val="16"/>
              </w:rPr>
              <w:t>6 %</w:t>
            </w:r>
          </w:p>
        </w:tc>
        <w:tc>
          <w:tcPr>
            <w:tcW w:w="760" w:type="dxa"/>
            <w:tcBorders>
              <w:top w:val="nil"/>
              <w:left w:val="nil"/>
              <w:bottom w:val="single" w:sz="4" w:space="0" w:color="auto"/>
              <w:right w:val="single" w:sz="4" w:space="0" w:color="auto"/>
            </w:tcBorders>
            <w:shd w:val="clear" w:color="FDE9D9" w:fill="E2EFDA"/>
            <w:noWrap/>
            <w:vAlign w:val="center"/>
            <w:hideMark/>
          </w:tcPr>
          <w:p w:rsidR="00EE2AED" w:rsidRDefault="00EE2AED">
            <w:pPr>
              <w:jc w:val="right"/>
              <w:rPr>
                <w:rFonts w:ascii="Calibri" w:hAnsi="Calibri" w:cs="Calibri"/>
                <w:color w:val="000000"/>
                <w:sz w:val="16"/>
                <w:szCs w:val="16"/>
              </w:rPr>
            </w:pPr>
            <w:r>
              <w:rPr>
                <w:rFonts w:ascii="Calibri" w:hAnsi="Calibri" w:cs="Calibri"/>
                <w:color w:val="000000"/>
                <w:sz w:val="16"/>
                <w:szCs w:val="16"/>
              </w:rPr>
              <w:t>9 %</w:t>
            </w:r>
          </w:p>
        </w:tc>
        <w:tc>
          <w:tcPr>
            <w:tcW w:w="800" w:type="dxa"/>
            <w:tcBorders>
              <w:top w:val="nil"/>
              <w:left w:val="nil"/>
              <w:bottom w:val="single" w:sz="4" w:space="0" w:color="auto"/>
              <w:right w:val="single" w:sz="4" w:space="0" w:color="auto"/>
            </w:tcBorders>
            <w:shd w:val="clear" w:color="FDE9D9" w:fill="E2EFDA"/>
            <w:noWrap/>
            <w:vAlign w:val="center"/>
            <w:hideMark/>
          </w:tcPr>
          <w:p w:rsidR="00EE2AED" w:rsidRDefault="00EE2AED">
            <w:pPr>
              <w:jc w:val="right"/>
              <w:rPr>
                <w:rFonts w:ascii="Calibri" w:hAnsi="Calibri" w:cs="Calibri"/>
                <w:color w:val="000000"/>
                <w:sz w:val="16"/>
                <w:szCs w:val="16"/>
              </w:rPr>
            </w:pPr>
            <w:r>
              <w:rPr>
                <w:rFonts w:ascii="Calibri" w:hAnsi="Calibri" w:cs="Calibri"/>
                <w:color w:val="000000"/>
                <w:sz w:val="16"/>
                <w:szCs w:val="16"/>
              </w:rPr>
              <w:t>17 %</w:t>
            </w:r>
          </w:p>
        </w:tc>
        <w:tc>
          <w:tcPr>
            <w:tcW w:w="760" w:type="dxa"/>
            <w:tcBorders>
              <w:top w:val="nil"/>
              <w:left w:val="nil"/>
              <w:bottom w:val="single" w:sz="4" w:space="0" w:color="auto"/>
              <w:right w:val="single" w:sz="4" w:space="0" w:color="auto"/>
            </w:tcBorders>
            <w:shd w:val="clear" w:color="FDE9D9" w:fill="E2EFDA"/>
            <w:noWrap/>
            <w:vAlign w:val="center"/>
            <w:hideMark/>
          </w:tcPr>
          <w:p w:rsidR="00EE2AED" w:rsidRDefault="00EE2AED">
            <w:pPr>
              <w:jc w:val="right"/>
              <w:rPr>
                <w:rFonts w:ascii="Calibri" w:hAnsi="Calibri" w:cs="Calibri"/>
                <w:color w:val="000000"/>
                <w:sz w:val="16"/>
                <w:szCs w:val="16"/>
              </w:rPr>
            </w:pPr>
            <w:r>
              <w:rPr>
                <w:rFonts w:ascii="Calibri" w:hAnsi="Calibri" w:cs="Calibri"/>
                <w:color w:val="000000"/>
                <w:sz w:val="16"/>
                <w:szCs w:val="16"/>
              </w:rPr>
              <w:t>-9 %</w:t>
            </w:r>
          </w:p>
        </w:tc>
        <w:tc>
          <w:tcPr>
            <w:tcW w:w="800" w:type="dxa"/>
            <w:tcBorders>
              <w:top w:val="nil"/>
              <w:left w:val="nil"/>
              <w:bottom w:val="single" w:sz="4" w:space="0" w:color="auto"/>
              <w:right w:val="single" w:sz="4" w:space="0" w:color="auto"/>
            </w:tcBorders>
            <w:shd w:val="clear" w:color="FDE9D9" w:fill="E2EFDA"/>
            <w:noWrap/>
            <w:vAlign w:val="center"/>
            <w:hideMark/>
          </w:tcPr>
          <w:p w:rsidR="00EE2AED" w:rsidRDefault="00EE2AED">
            <w:pPr>
              <w:jc w:val="right"/>
              <w:rPr>
                <w:rFonts w:ascii="Calibri" w:hAnsi="Calibri" w:cs="Calibri"/>
                <w:color w:val="000000"/>
                <w:sz w:val="16"/>
                <w:szCs w:val="16"/>
              </w:rPr>
            </w:pPr>
            <w:r>
              <w:rPr>
                <w:rFonts w:ascii="Calibri" w:hAnsi="Calibri" w:cs="Calibri"/>
                <w:color w:val="000000"/>
                <w:sz w:val="16"/>
                <w:szCs w:val="16"/>
              </w:rPr>
              <w:t>4 %</w:t>
            </w:r>
          </w:p>
        </w:tc>
        <w:tc>
          <w:tcPr>
            <w:tcW w:w="753" w:type="dxa"/>
            <w:tcBorders>
              <w:top w:val="nil"/>
              <w:left w:val="nil"/>
              <w:bottom w:val="single" w:sz="4" w:space="0" w:color="auto"/>
              <w:right w:val="single" w:sz="4" w:space="0" w:color="auto"/>
            </w:tcBorders>
            <w:shd w:val="clear" w:color="FDE9D9" w:fill="E2EFDA"/>
            <w:noWrap/>
            <w:vAlign w:val="center"/>
            <w:hideMark/>
          </w:tcPr>
          <w:p w:rsidR="00EE2AED" w:rsidRDefault="00EE2AED">
            <w:pPr>
              <w:jc w:val="right"/>
              <w:rPr>
                <w:rFonts w:ascii="Calibri" w:hAnsi="Calibri" w:cs="Calibri"/>
                <w:color w:val="000000"/>
                <w:sz w:val="16"/>
                <w:szCs w:val="16"/>
              </w:rPr>
            </w:pPr>
            <w:r>
              <w:rPr>
                <w:rFonts w:ascii="Calibri" w:hAnsi="Calibri" w:cs="Calibri"/>
                <w:color w:val="000000"/>
                <w:sz w:val="16"/>
                <w:szCs w:val="16"/>
              </w:rPr>
              <w:t>8 %</w:t>
            </w:r>
          </w:p>
        </w:tc>
      </w:tr>
      <w:tr w:rsidR="00EE2AED" w:rsidTr="00EE2AED">
        <w:trPr>
          <w:trHeight w:val="300"/>
        </w:trPr>
        <w:tc>
          <w:tcPr>
            <w:tcW w:w="3220" w:type="dxa"/>
            <w:tcBorders>
              <w:top w:val="nil"/>
              <w:left w:val="single" w:sz="4" w:space="0" w:color="auto"/>
              <w:bottom w:val="single" w:sz="4" w:space="0" w:color="auto"/>
              <w:right w:val="single" w:sz="4" w:space="0" w:color="auto"/>
            </w:tcBorders>
            <w:shd w:val="clear" w:color="FDE9D9" w:fill="E2EFDA"/>
            <w:noWrap/>
            <w:vAlign w:val="center"/>
            <w:hideMark/>
          </w:tcPr>
          <w:p w:rsidR="00EE2AED" w:rsidRDefault="00EE2AED">
            <w:pPr>
              <w:rPr>
                <w:rFonts w:ascii="Calibri" w:hAnsi="Calibri" w:cs="Calibri"/>
                <w:color w:val="000000"/>
                <w:sz w:val="16"/>
                <w:szCs w:val="16"/>
              </w:rPr>
            </w:pPr>
            <w:r>
              <w:rPr>
                <w:rFonts w:ascii="Calibri" w:hAnsi="Calibri" w:cs="Calibri"/>
                <w:color w:val="000000"/>
                <w:sz w:val="16"/>
                <w:szCs w:val="16"/>
              </w:rPr>
              <w:t>Podíl běžných výdajů na celkových výdajích</w:t>
            </w:r>
          </w:p>
        </w:tc>
        <w:tc>
          <w:tcPr>
            <w:tcW w:w="820" w:type="dxa"/>
            <w:tcBorders>
              <w:top w:val="nil"/>
              <w:left w:val="nil"/>
              <w:bottom w:val="single" w:sz="4" w:space="0" w:color="auto"/>
              <w:right w:val="single" w:sz="4" w:space="0" w:color="auto"/>
            </w:tcBorders>
            <w:shd w:val="clear" w:color="FDE9D9" w:fill="E2EFDA"/>
            <w:noWrap/>
            <w:vAlign w:val="center"/>
            <w:hideMark/>
          </w:tcPr>
          <w:p w:rsidR="00EE2AED" w:rsidRDefault="00EE2AED">
            <w:pPr>
              <w:jc w:val="right"/>
              <w:rPr>
                <w:rFonts w:ascii="Calibri" w:hAnsi="Calibri" w:cs="Calibri"/>
                <w:color w:val="000000"/>
                <w:sz w:val="16"/>
                <w:szCs w:val="16"/>
              </w:rPr>
            </w:pPr>
            <w:r>
              <w:rPr>
                <w:rFonts w:ascii="Calibri" w:hAnsi="Calibri" w:cs="Calibri"/>
                <w:color w:val="000000"/>
                <w:sz w:val="16"/>
                <w:szCs w:val="16"/>
              </w:rPr>
              <w:t>77 %</w:t>
            </w:r>
          </w:p>
        </w:tc>
        <w:tc>
          <w:tcPr>
            <w:tcW w:w="760" w:type="dxa"/>
            <w:tcBorders>
              <w:top w:val="nil"/>
              <w:left w:val="nil"/>
              <w:bottom w:val="single" w:sz="4" w:space="0" w:color="auto"/>
              <w:right w:val="single" w:sz="4" w:space="0" w:color="auto"/>
            </w:tcBorders>
            <w:shd w:val="clear" w:color="FDE9D9" w:fill="E2EFDA"/>
            <w:noWrap/>
            <w:vAlign w:val="center"/>
            <w:hideMark/>
          </w:tcPr>
          <w:p w:rsidR="00EE2AED" w:rsidRDefault="00EE2AED">
            <w:pPr>
              <w:jc w:val="right"/>
              <w:rPr>
                <w:rFonts w:ascii="Calibri" w:hAnsi="Calibri" w:cs="Calibri"/>
                <w:color w:val="000000"/>
                <w:sz w:val="16"/>
                <w:szCs w:val="16"/>
              </w:rPr>
            </w:pPr>
            <w:r>
              <w:rPr>
                <w:rFonts w:ascii="Calibri" w:hAnsi="Calibri" w:cs="Calibri"/>
                <w:color w:val="000000"/>
                <w:sz w:val="16"/>
                <w:szCs w:val="16"/>
              </w:rPr>
              <w:t>81 %</w:t>
            </w:r>
          </w:p>
        </w:tc>
        <w:tc>
          <w:tcPr>
            <w:tcW w:w="820" w:type="dxa"/>
            <w:tcBorders>
              <w:top w:val="nil"/>
              <w:left w:val="nil"/>
              <w:bottom w:val="single" w:sz="4" w:space="0" w:color="auto"/>
              <w:right w:val="single" w:sz="4" w:space="0" w:color="auto"/>
            </w:tcBorders>
            <w:shd w:val="clear" w:color="FDE9D9" w:fill="E2EFDA"/>
            <w:noWrap/>
            <w:vAlign w:val="center"/>
            <w:hideMark/>
          </w:tcPr>
          <w:p w:rsidR="00EE2AED" w:rsidRDefault="00EE2AED">
            <w:pPr>
              <w:jc w:val="right"/>
              <w:rPr>
                <w:rFonts w:ascii="Calibri" w:hAnsi="Calibri" w:cs="Calibri"/>
                <w:color w:val="000000"/>
                <w:sz w:val="16"/>
                <w:szCs w:val="16"/>
              </w:rPr>
            </w:pPr>
            <w:r>
              <w:rPr>
                <w:rFonts w:ascii="Calibri" w:hAnsi="Calibri" w:cs="Calibri"/>
                <w:color w:val="000000"/>
                <w:sz w:val="16"/>
                <w:szCs w:val="16"/>
              </w:rPr>
              <w:t>73 %</w:t>
            </w:r>
          </w:p>
        </w:tc>
        <w:tc>
          <w:tcPr>
            <w:tcW w:w="760" w:type="dxa"/>
            <w:tcBorders>
              <w:top w:val="nil"/>
              <w:left w:val="nil"/>
              <w:bottom w:val="single" w:sz="4" w:space="0" w:color="auto"/>
              <w:right w:val="single" w:sz="4" w:space="0" w:color="auto"/>
            </w:tcBorders>
            <w:shd w:val="clear" w:color="FDE9D9" w:fill="E2EFDA"/>
            <w:noWrap/>
            <w:vAlign w:val="center"/>
            <w:hideMark/>
          </w:tcPr>
          <w:p w:rsidR="00EE2AED" w:rsidRDefault="00EE2AED">
            <w:pPr>
              <w:jc w:val="right"/>
              <w:rPr>
                <w:rFonts w:ascii="Calibri" w:hAnsi="Calibri" w:cs="Calibri"/>
                <w:color w:val="000000"/>
                <w:sz w:val="16"/>
                <w:szCs w:val="16"/>
              </w:rPr>
            </w:pPr>
            <w:r>
              <w:rPr>
                <w:rFonts w:ascii="Calibri" w:hAnsi="Calibri" w:cs="Calibri"/>
                <w:color w:val="000000"/>
                <w:sz w:val="16"/>
                <w:szCs w:val="16"/>
              </w:rPr>
              <w:t>67 %</w:t>
            </w:r>
          </w:p>
        </w:tc>
        <w:tc>
          <w:tcPr>
            <w:tcW w:w="800" w:type="dxa"/>
            <w:tcBorders>
              <w:top w:val="nil"/>
              <w:left w:val="nil"/>
              <w:bottom w:val="single" w:sz="4" w:space="0" w:color="auto"/>
              <w:right w:val="single" w:sz="4" w:space="0" w:color="auto"/>
            </w:tcBorders>
            <w:shd w:val="clear" w:color="FDE9D9" w:fill="E2EFDA"/>
            <w:noWrap/>
            <w:vAlign w:val="center"/>
            <w:hideMark/>
          </w:tcPr>
          <w:p w:rsidR="00EE2AED" w:rsidRDefault="00EE2AED">
            <w:pPr>
              <w:jc w:val="right"/>
              <w:rPr>
                <w:rFonts w:ascii="Calibri" w:hAnsi="Calibri" w:cs="Calibri"/>
                <w:color w:val="000000"/>
                <w:sz w:val="16"/>
                <w:szCs w:val="16"/>
              </w:rPr>
            </w:pPr>
            <w:r>
              <w:rPr>
                <w:rFonts w:ascii="Calibri" w:hAnsi="Calibri" w:cs="Calibri"/>
                <w:color w:val="000000"/>
                <w:sz w:val="16"/>
                <w:szCs w:val="16"/>
              </w:rPr>
              <w:t>74 %</w:t>
            </w:r>
          </w:p>
        </w:tc>
        <w:tc>
          <w:tcPr>
            <w:tcW w:w="760" w:type="dxa"/>
            <w:tcBorders>
              <w:top w:val="nil"/>
              <w:left w:val="nil"/>
              <w:bottom w:val="single" w:sz="4" w:space="0" w:color="auto"/>
              <w:right w:val="single" w:sz="4" w:space="0" w:color="auto"/>
            </w:tcBorders>
            <w:shd w:val="clear" w:color="FDE9D9" w:fill="E2EFDA"/>
            <w:noWrap/>
            <w:vAlign w:val="center"/>
            <w:hideMark/>
          </w:tcPr>
          <w:p w:rsidR="00EE2AED" w:rsidRDefault="00EE2AED">
            <w:pPr>
              <w:jc w:val="right"/>
              <w:rPr>
                <w:rFonts w:ascii="Calibri" w:hAnsi="Calibri" w:cs="Calibri"/>
                <w:color w:val="000000"/>
                <w:sz w:val="16"/>
                <w:szCs w:val="16"/>
              </w:rPr>
            </w:pPr>
            <w:r>
              <w:rPr>
                <w:rFonts w:ascii="Calibri" w:hAnsi="Calibri" w:cs="Calibri"/>
                <w:color w:val="000000"/>
                <w:sz w:val="16"/>
                <w:szCs w:val="16"/>
              </w:rPr>
              <w:t>78 %</w:t>
            </w:r>
          </w:p>
        </w:tc>
        <w:tc>
          <w:tcPr>
            <w:tcW w:w="800" w:type="dxa"/>
            <w:tcBorders>
              <w:top w:val="nil"/>
              <w:left w:val="nil"/>
              <w:bottom w:val="single" w:sz="4" w:space="0" w:color="auto"/>
              <w:right w:val="single" w:sz="4" w:space="0" w:color="auto"/>
            </w:tcBorders>
            <w:shd w:val="clear" w:color="FDE9D9" w:fill="E2EFDA"/>
            <w:noWrap/>
            <w:vAlign w:val="center"/>
            <w:hideMark/>
          </w:tcPr>
          <w:p w:rsidR="00EE2AED" w:rsidRDefault="00EE2AED">
            <w:pPr>
              <w:jc w:val="right"/>
              <w:rPr>
                <w:rFonts w:ascii="Calibri" w:hAnsi="Calibri" w:cs="Calibri"/>
                <w:color w:val="000000"/>
                <w:sz w:val="16"/>
                <w:szCs w:val="16"/>
              </w:rPr>
            </w:pPr>
            <w:r>
              <w:rPr>
                <w:rFonts w:ascii="Calibri" w:hAnsi="Calibri" w:cs="Calibri"/>
                <w:color w:val="000000"/>
                <w:sz w:val="16"/>
                <w:szCs w:val="16"/>
              </w:rPr>
              <w:t>76 %</w:t>
            </w:r>
          </w:p>
        </w:tc>
        <w:tc>
          <w:tcPr>
            <w:tcW w:w="753" w:type="dxa"/>
            <w:tcBorders>
              <w:top w:val="nil"/>
              <w:left w:val="nil"/>
              <w:bottom w:val="single" w:sz="4" w:space="0" w:color="auto"/>
              <w:right w:val="single" w:sz="4" w:space="0" w:color="auto"/>
            </w:tcBorders>
            <w:shd w:val="clear" w:color="FDE9D9" w:fill="E2EFDA"/>
            <w:noWrap/>
            <w:vAlign w:val="center"/>
            <w:hideMark/>
          </w:tcPr>
          <w:p w:rsidR="00EE2AED" w:rsidRDefault="00EE2AED">
            <w:pPr>
              <w:jc w:val="right"/>
              <w:rPr>
                <w:rFonts w:ascii="Calibri" w:hAnsi="Calibri" w:cs="Calibri"/>
                <w:color w:val="000000"/>
                <w:sz w:val="16"/>
                <w:szCs w:val="16"/>
              </w:rPr>
            </w:pPr>
            <w:r>
              <w:rPr>
                <w:rFonts w:ascii="Calibri" w:hAnsi="Calibri" w:cs="Calibri"/>
                <w:color w:val="000000"/>
                <w:sz w:val="16"/>
                <w:szCs w:val="16"/>
              </w:rPr>
              <w:t>79 %</w:t>
            </w:r>
          </w:p>
        </w:tc>
      </w:tr>
    </w:tbl>
    <w:p w:rsidR="00EE2AED" w:rsidRDefault="00EE2AED" w:rsidP="00CA0000"/>
    <w:p w:rsidR="00EE2AED" w:rsidRDefault="00EE2AED" w:rsidP="00CA0000"/>
    <w:p w:rsidR="00CA0000" w:rsidRPr="00CA0000" w:rsidRDefault="00CA0000" w:rsidP="00CA0000"/>
    <w:p w:rsidR="00DE202C" w:rsidRPr="00CD121E" w:rsidRDefault="00DE202C" w:rsidP="00DE202C">
      <w:pPr>
        <w:pStyle w:val="Nadpis2"/>
      </w:pPr>
      <w:r w:rsidRPr="00CD121E">
        <w:t>Platy a podobné a související výdaje</w:t>
      </w:r>
    </w:p>
    <w:p w:rsidR="003046D8" w:rsidRPr="00566CE5" w:rsidRDefault="003046D8" w:rsidP="00EE17A7">
      <w:pPr>
        <w:jc w:val="both"/>
        <w:rPr>
          <w:rFonts w:asciiTheme="minorHAnsi" w:hAnsiTheme="minorHAnsi" w:cstheme="minorHAnsi"/>
          <w:sz w:val="22"/>
          <w:szCs w:val="22"/>
        </w:rPr>
      </w:pPr>
      <w:r w:rsidRPr="00566CE5">
        <w:rPr>
          <w:rFonts w:asciiTheme="minorHAnsi" w:hAnsiTheme="minorHAnsi" w:cstheme="minorHAnsi"/>
          <w:sz w:val="22"/>
          <w:szCs w:val="22"/>
        </w:rPr>
        <w:t xml:space="preserve">Rozbor výdajů na platy, ostatní platby za provedenou práci a pojistné je obsahem rozborů </w:t>
      </w:r>
      <w:r w:rsidR="00370A41" w:rsidRPr="00566CE5">
        <w:rPr>
          <w:rFonts w:asciiTheme="minorHAnsi" w:hAnsiTheme="minorHAnsi" w:cstheme="minorHAnsi"/>
          <w:sz w:val="22"/>
          <w:szCs w:val="22"/>
        </w:rPr>
        <w:t>kap.</w:t>
      </w:r>
      <w:r w:rsidR="00EE17A7" w:rsidRPr="00566CE5">
        <w:rPr>
          <w:rFonts w:asciiTheme="minorHAnsi" w:hAnsiTheme="minorHAnsi" w:cstheme="minorHAnsi"/>
          <w:sz w:val="22"/>
          <w:szCs w:val="22"/>
        </w:rPr>
        <w:t xml:space="preserve"> 14</w:t>
      </w:r>
      <w:r w:rsidR="00FA2812" w:rsidRPr="00566CE5">
        <w:rPr>
          <w:rFonts w:asciiTheme="minorHAnsi" w:hAnsiTheme="minorHAnsi" w:cstheme="minorHAnsi"/>
          <w:sz w:val="22"/>
          <w:szCs w:val="22"/>
        </w:rPr>
        <w:t xml:space="preserve"> -</w:t>
      </w:r>
      <w:r w:rsidR="00EE17A7" w:rsidRPr="00566CE5">
        <w:rPr>
          <w:rFonts w:asciiTheme="minorHAnsi" w:hAnsiTheme="minorHAnsi" w:cstheme="minorHAnsi"/>
          <w:sz w:val="22"/>
          <w:szCs w:val="22"/>
        </w:rPr>
        <w:t xml:space="preserve"> kancelář tajemník</w:t>
      </w:r>
      <w:r w:rsidR="00566CE5" w:rsidRPr="00566CE5">
        <w:rPr>
          <w:rFonts w:asciiTheme="minorHAnsi" w:hAnsiTheme="minorHAnsi" w:cstheme="minorHAnsi"/>
          <w:sz w:val="22"/>
          <w:szCs w:val="22"/>
        </w:rPr>
        <w:t>a.</w:t>
      </w:r>
    </w:p>
    <w:p w:rsidR="00D5228D" w:rsidRDefault="00D5228D" w:rsidP="00D5228D">
      <w:pPr>
        <w:pStyle w:val="Nadpis3"/>
        <w:keepLines/>
        <w:rPr>
          <w:b w:val="0"/>
        </w:rPr>
      </w:pPr>
      <w:r w:rsidRPr="00566CE5">
        <w:rPr>
          <w:b w:val="0"/>
        </w:rPr>
        <w:t>Srovnání platů a podobných a souvisejících výdajů v letech 20</w:t>
      </w:r>
      <w:r w:rsidR="00CA0000">
        <w:rPr>
          <w:b w:val="0"/>
        </w:rPr>
        <w:t>20</w:t>
      </w:r>
      <w:r w:rsidR="00142A84" w:rsidRPr="00566CE5">
        <w:rPr>
          <w:b w:val="0"/>
        </w:rPr>
        <w:t xml:space="preserve"> - 202</w:t>
      </w:r>
      <w:r w:rsidR="00CA0000">
        <w:rPr>
          <w:b w:val="0"/>
        </w:rPr>
        <w:t>2</w:t>
      </w:r>
      <w:r w:rsidRPr="00566CE5">
        <w:rPr>
          <w:b w:val="0"/>
        </w:rPr>
        <w:t xml:space="preserve"> po konsolidaci v</w:t>
      </w:r>
      <w:r w:rsidR="00CA0000">
        <w:rPr>
          <w:b w:val="0"/>
        </w:rPr>
        <w:t> </w:t>
      </w:r>
      <w:r w:rsidRPr="00566CE5">
        <w:rPr>
          <w:b w:val="0"/>
        </w:rPr>
        <w:t>Kč</w:t>
      </w:r>
    </w:p>
    <w:tbl>
      <w:tblPr>
        <w:tblW w:w="9440" w:type="dxa"/>
        <w:tblCellMar>
          <w:left w:w="70" w:type="dxa"/>
          <w:right w:w="70" w:type="dxa"/>
        </w:tblCellMar>
        <w:tblLook w:val="04A0" w:firstRow="1" w:lastRow="0" w:firstColumn="1" w:lastColumn="0" w:noHBand="0" w:noVBand="1"/>
      </w:tblPr>
      <w:tblGrid>
        <w:gridCol w:w="440"/>
        <w:gridCol w:w="571"/>
        <w:gridCol w:w="4529"/>
        <w:gridCol w:w="1300"/>
        <w:gridCol w:w="1300"/>
        <w:gridCol w:w="1300"/>
      </w:tblGrid>
      <w:tr w:rsidR="00CA0000" w:rsidTr="00CA0000">
        <w:trPr>
          <w:trHeight w:val="300"/>
        </w:trPr>
        <w:tc>
          <w:tcPr>
            <w:tcW w:w="5540" w:type="dxa"/>
            <w:gridSpan w:val="3"/>
            <w:tcBorders>
              <w:top w:val="single" w:sz="4" w:space="0" w:color="auto"/>
              <w:left w:val="single" w:sz="4" w:space="0" w:color="auto"/>
              <w:bottom w:val="single" w:sz="4" w:space="0" w:color="auto"/>
              <w:right w:val="single" w:sz="4" w:space="0" w:color="000000"/>
            </w:tcBorders>
            <w:shd w:val="clear" w:color="D6A100" w:fill="C6E0B4"/>
            <w:noWrap/>
            <w:vAlign w:val="center"/>
            <w:hideMark/>
          </w:tcPr>
          <w:p w:rsidR="00CA0000" w:rsidRDefault="00CA0000">
            <w:pPr>
              <w:jc w:val="center"/>
              <w:rPr>
                <w:rFonts w:ascii="Calibri" w:hAnsi="Calibri" w:cs="Calibri"/>
                <w:color w:val="000000"/>
                <w:sz w:val="16"/>
                <w:szCs w:val="16"/>
              </w:rPr>
            </w:pPr>
            <w:r>
              <w:rPr>
                <w:rFonts w:ascii="Calibri" w:hAnsi="Calibri" w:cs="Calibri"/>
                <w:color w:val="000000"/>
                <w:sz w:val="16"/>
                <w:szCs w:val="16"/>
              </w:rPr>
              <w:t> </w:t>
            </w:r>
          </w:p>
        </w:tc>
        <w:tc>
          <w:tcPr>
            <w:tcW w:w="1300" w:type="dxa"/>
            <w:tcBorders>
              <w:top w:val="single" w:sz="4" w:space="0" w:color="auto"/>
              <w:left w:val="nil"/>
              <w:bottom w:val="single" w:sz="4" w:space="0" w:color="auto"/>
              <w:right w:val="single" w:sz="4" w:space="0" w:color="auto"/>
            </w:tcBorders>
            <w:shd w:val="clear" w:color="D6A100" w:fill="C6E0B4"/>
            <w:noWrap/>
            <w:vAlign w:val="center"/>
            <w:hideMark/>
          </w:tcPr>
          <w:p w:rsidR="00CA0000" w:rsidRDefault="00CA0000">
            <w:pPr>
              <w:jc w:val="center"/>
              <w:rPr>
                <w:rFonts w:ascii="Calibri" w:hAnsi="Calibri" w:cs="Calibri"/>
                <w:color w:val="000000"/>
                <w:sz w:val="16"/>
                <w:szCs w:val="16"/>
              </w:rPr>
            </w:pPr>
            <w:r>
              <w:rPr>
                <w:rFonts w:ascii="Calibri" w:hAnsi="Calibri" w:cs="Calibri"/>
                <w:color w:val="000000"/>
                <w:sz w:val="16"/>
                <w:szCs w:val="16"/>
              </w:rPr>
              <w:t>2020</w:t>
            </w:r>
          </w:p>
        </w:tc>
        <w:tc>
          <w:tcPr>
            <w:tcW w:w="1300" w:type="dxa"/>
            <w:tcBorders>
              <w:top w:val="single" w:sz="4" w:space="0" w:color="auto"/>
              <w:left w:val="nil"/>
              <w:bottom w:val="single" w:sz="4" w:space="0" w:color="auto"/>
              <w:right w:val="single" w:sz="4" w:space="0" w:color="auto"/>
            </w:tcBorders>
            <w:shd w:val="clear" w:color="D6A100" w:fill="C6E0B4"/>
            <w:noWrap/>
            <w:vAlign w:val="center"/>
            <w:hideMark/>
          </w:tcPr>
          <w:p w:rsidR="00CA0000" w:rsidRDefault="00CA0000">
            <w:pPr>
              <w:jc w:val="center"/>
              <w:rPr>
                <w:rFonts w:ascii="Calibri" w:hAnsi="Calibri" w:cs="Calibri"/>
                <w:color w:val="000000"/>
                <w:sz w:val="16"/>
                <w:szCs w:val="16"/>
              </w:rPr>
            </w:pPr>
            <w:r>
              <w:rPr>
                <w:rFonts w:ascii="Calibri" w:hAnsi="Calibri" w:cs="Calibri"/>
                <w:color w:val="000000"/>
                <w:sz w:val="16"/>
                <w:szCs w:val="16"/>
              </w:rPr>
              <w:t>2021</w:t>
            </w:r>
          </w:p>
        </w:tc>
        <w:tc>
          <w:tcPr>
            <w:tcW w:w="1300" w:type="dxa"/>
            <w:tcBorders>
              <w:top w:val="single" w:sz="4" w:space="0" w:color="auto"/>
              <w:left w:val="nil"/>
              <w:bottom w:val="single" w:sz="4" w:space="0" w:color="auto"/>
              <w:right w:val="single" w:sz="4" w:space="0" w:color="auto"/>
            </w:tcBorders>
            <w:shd w:val="clear" w:color="D6A100" w:fill="C6E0B4"/>
            <w:noWrap/>
            <w:vAlign w:val="center"/>
            <w:hideMark/>
          </w:tcPr>
          <w:p w:rsidR="00CA0000" w:rsidRDefault="00CA0000">
            <w:pPr>
              <w:jc w:val="center"/>
              <w:rPr>
                <w:rFonts w:ascii="Calibri" w:hAnsi="Calibri" w:cs="Calibri"/>
                <w:color w:val="000000"/>
                <w:sz w:val="16"/>
                <w:szCs w:val="16"/>
              </w:rPr>
            </w:pPr>
            <w:r>
              <w:rPr>
                <w:rFonts w:ascii="Calibri" w:hAnsi="Calibri" w:cs="Calibri"/>
                <w:color w:val="000000"/>
                <w:sz w:val="16"/>
                <w:szCs w:val="16"/>
              </w:rPr>
              <w:t>2022</w:t>
            </w:r>
          </w:p>
        </w:tc>
      </w:tr>
      <w:tr w:rsidR="00CA0000" w:rsidTr="00CA0000">
        <w:trPr>
          <w:trHeight w:val="300"/>
        </w:trPr>
        <w:tc>
          <w:tcPr>
            <w:tcW w:w="5540" w:type="dxa"/>
            <w:gridSpan w:val="3"/>
            <w:tcBorders>
              <w:top w:val="single" w:sz="4" w:space="0" w:color="auto"/>
              <w:left w:val="single" w:sz="4" w:space="0" w:color="auto"/>
              <w:bottom w:val="single" w:sz="4" w:space="0" w:color="auto"/>
              <w:right w:val="single" w:sz="4" w:space="0" w:color="000000"/>
            </w:tcBorders>
            <w:shd w:val="clear" w:color="000000" w:fill="A9D08E"/>
            <w:noWrap/>
            <w:vAlign w:val="center"/>
            <w:hideMark/>
          </w:tcPr>
          <w:p w:rsidR="00CA0000" w:rsidRDefault="00CA0000">
            <w:pPr>
              <w:rPr>
                <w:rFonts w:ascii="Calibri" w:hAnsi="Calibri" w:cs="Calibri"/>
                <w:b/>
                <w:bCs/>
                <w:color w:val="000000"/>
                <w:sz w:val="16"/>
                <w:szCs w:val="16"/>
              </w:rPr>
            </w:pPr>
            <w:r>
              <w:rPr>
                <w:rFonts w:ascii="Calibri" w:hAnsi="Calibri" w:cs="Calibri"/>
                <w:b/>
                <w:bCs/>
                <w:color w:val="000000"/>
                <w:sz w:val="16"/>
                <w:szCs w:val="16"/>
              </w:rPr>
              <w:t>Platy a podobné a související výdaje</w:t>
            </w:r>
          </w:p>
        </w:tc>
        <w:tc>
          <w:tcPr>
            <w:tcW w:w="1300" w:type="dxa"/>
            <w:tcBorders>
              <w:top w:val="nil"/>
              <w:left w:val="nil"/>
              <w:bottom w:val="single" w:sz="4" w:space="0" w:color="auto"/>
              <w:right w:val="single" w:sz="4" w:space="0" w:color="auto"/>
            </w:tcBorders>
            <w:shd w:val="clear" w:color="000000" w:fill="A9D08E"/>
            <w:noWrap/>
            <w:vAlign w:val="center"/>
            <w:hideMark/>
          </w:tcPr>
          <w:p w:rsidR="00CA0000" w:rsidRDefault="00CA0000">
            <w:pPr>
              <w:jc w:val="right"/>
              <w:rPr>
                <w:rFonts w:ascii="Calibri" w:hAnsi="Calibri" w:cs="Calibri"/>
                <w:b/>
                <w:bCs/>
                <w:color w:val="000000"/>
                <w:sz w:val="16"/>
                <w:szCs w:val="16"/>
              </w:rPr>
            </w:pPr>
            <w:r>
              <w:rPr>
                <w:rFonts w:ascii="Calibri" w:hAnsi="Calibri" w:cs="Calibri"/>
                <w:b/>
                <w:bCs/>
                <w:color w:val="000000"/>
                <w:sz w:val="16"/>
                <w:szCs w:val="16"/>
              </w:rPr>
              <w:t>243 451 188,82</w:t>
            </w:r>
          </w:p>
        </w:tc>
        <w:tc>
          <w:tcPr>
            <w:tcW w:w="1300" w:type="dxa"/>
            <w:tcBorders>
              <w:top w:val="nil"/>
              <w:left w:val="nil"/>
              <w:bottom w:val="single" w:sz="4" w:space="0" w:color="auto"/>
              <w:right w:val="single" w:sz="4" w:space="0" w:color="auto"/>
            </w:tcBorders>
            <w:shd w:val="clear" w:color="000000" w:fill="A9D08E"/>
            <w:noWrap/>
            <w:vAlign w:val="center"/>
            <w:hideMark/>
          </w:tcPr>
          <w:p w:rsidR="00CA0000" w:rsidRDefault="00CA0000">
            <w:pPr>
              <w:jc w:val="right"/>
              <w:rPr>
                <w:rFonts w:ascii="Calibri" w:hAnsi="Calibri" w:cs="Calibri"/>
                <w:b/>
                <w:bCs/>
                <w:color w:val="000000"/>
                <w:sz w:val="16"/>
                <w:szCs w:val="16"/>
              </w:rPr>
            </w:pPr>
            <w:r>
              <w:rPr>
                <w:rFonts w:ascii="Calibri" w:hAnsi="Calibri" w:cs="Calibri"/>
                <w:b/>
                <w:bCs/>
                <w:color w:val="000000"/>
                <w:sz w:val="16"/>
                <w:szCs w:val="16"/>
              </w:rPr>
              <w:t>250 347 876,85</w:t>
            </w:r>
          </w:p>
        </w:tc>
        <w:tc>
          <w:tcPr>
            <w:tcW w:w="1300" w:type="dxa"/>
            <w:tcBorders>
              <w:top w:val="nil"/>
              <w:left w:val="nil"/>
              <w:bottom w:val="single" w:sz="4" w:space="0" w:color="auto"/>
              <w:right w:val="single" w:sz="4" w:space="0" w:color="auto"/>
            </w:tcBorders>
            <w:shd w:val="clear" w:color="000000" w:fill="A9D08E"/>
            <w:noWrap/>
            <w:vAlign w:val="center"/>
            <w:hideMark/>
          </w:tcPr>
          <w:p w:rsidR="00CA0000" w:rsidRDefault="00CA0000">
            <w:pPr>
              <w:jc w:val="right"/>
              <w:rPr>
                <w:rFonts w:ascii="Calibri" w:hAnsi="Calibri" w:cs="Calibri"/>
                <w:b/>
                <w:bCs/>
                <w:color w:val="000000"/>
                <w:sz w:val="16"/>
                <w:szCs w:val="16"/>
              </w:rPr>
            </w:pPr>
            <w:r>
              <w:rPr>
                <w:rFonts w:ascii="Calibri" w:hAnsi="Calibri" w:cs="Calibri"/>
                <w:b/>
                <w:bCs/>
                <w:color w:val="000000"/>
                <w:sz w:val="16"/>
                <w:szCs w:val="16"/>
              </w:rPr>
              <w:t>264 499 596,60</w:t>
            </w:r>
          </w:p>
        </w:tc>
      </w:tr>
      <w:tr w:rsidR="00CA0000" w:rsidTr="00CA0000">
        <w:trPr>
          <w:trHeight w:val="300"/>
        </w:trPr>
        <w:tc>
          <w:tcPr>
            <w:tcW w:w="440" w:type="dxa"/>
            <w:tcBorders>
              <w:top w:val="nil"/>
              <w:left w:val="single" w:sz="4" w:space="0" w:color="auto"/>
              <w:bottom w:val="single" w:sz="4" w:space="0" w:color="auto"/>
              <w:right w:val="single" w:sz="4" w:space="0" w:color="auto"/>
            </w:tcBorders>
            <w:shd w:val="clear" w:color="FFF2CC" w:fill="E2EFDA"/>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501</w:t>
            </w:r>
          </w:p>
        </w:tc>
        <w:tc>
          <w:tcPr>
            <w:tcW w:w="5100" w:type="dxa"/>
            <w:gridSpan w:val="2"/>
            <w:tcBorders>
              <w:top w:val="single" w:sz="4" w:space="0" w:color="auto"/>
              <w:left w:val="nil"/>
              <w:bottom w:val="single" w:sz="4" w:space="0" w:color="auto"/>
              <w:right w:val="single" w:sz="4" w:space="0" w:color="auto"/>
            </w:tcBorders>
            <w:shd w:val="clear" w:color="FFF2CC" w:fill="E2EFDA"/>
            <w:noWrap/>
            <w:vAlign w:val="center"/>
            <w:hideMark/>
          </w:tcPr>
          <w:p w:rsidR="00CA0000" w:rsidRDefault="00CA0000">
            <w:pPr>
              <w:rPr>
                <w:rFonts w:ascii="Calibri" w:hAnsi="Calibri" w:cs="Calibri"/>
                <w:color w:val="000000"/>
                <w:sz w:val="16"/>
                <w:szCs w:val="16"/>
              </w:rPr>
            </w:pPr>
            <w:r>
              <w:rPr>
                <w:rFonts w:ascii="Calibri" w:hAnsi="Calibri" w:cs="Calibri"/>
                <w:color w:val="000000"/>
                <w:sz w:val="16"/>
                <w:szCs w:val="16"/>
              </w:rPr>
              <w:t>Platy</w:t>
            </w:r>
          </w:p>
        </w:tc>
        <w:tc>
          <w:tcPr>
            <w:tcW w:w="1300" w:type="dxa"/>
            <w:tcBorders>
              <w:top w:val="nil"/>
              <w:left w:val="nil"/>
              <w:bottom w:val="single" w:sz="4" w:space="0" w:color="auto"/>
              <w:right w:val="single" w:sz="4" w:space="0" w:color="auto"/>
            </w:tcBorders>
            <w:shd w:val="clear" w:color="FFF2CC" w:fill="E2EFDA"/>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166 780 388,91</w:t>
            </w:r>
          </w:p>
        </w:tc>
        <w:tc>
          <w:tcPr>
            <w:tcW w:w="1300" w:type="dxa"/>
            <w:tcBorders>
              <w:top w:val="nil"/>
              <w:left w:val="nil"/>
              <w:bottom w:val="single" w:sz="4" w:space="0" w:color="auto"/>
              <w:right w:val="single" w:sz="4" w:space="0" w:color="auto"/>
            </w:tcBorders>
            <w:shd w:val="clear" w:color="FFF2CC" w:fill="E2EFDA"/>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170 984 465,89</w:t>
            </w:r>
          </w:p>
        </w:tc>
        <w:tc>
          <w:tcPr>
            <w:tcW w:w="1300" w:type="dxa"/>
            <w:tcBorders>
              <w:top w:val="nil"/>
              <w:left w:val="nil"/>
              <w:bottom w:val="single" w:sz="4" w:space="0" w:color="auto"/>
              <w:right w:val="single" w:sz="4" w:space="0" w:color="auto"/>
            </w:tcBorders>
            <w:shd w:val="clear" w:color="FFF2CC" w:fill="E2EFDA"/>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178 772 788,32</w:t>
            </w:r>
          </w:p>
        </w:tc>
      </w:tr>
      <w:tr w:rsidR="00CA0000" w:rsidTr="00CA0000">
        <w:trPr>
          <w:trHeight w:val="46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A0000" w:rsidRDefault="00CA0000">
            <w:pPr>
              <w:rPr>
                <w:rFonts w:ascii="Calibri" w:hAnsi="Calibri" w:cs="Calibri"/>
                <w:color w:val="000000"/>
                <w:sz w:val="16"/>
                <w:szCs w:val="16"/>
              </w:rPr>
            </w:pPr>
            <w:r>
              <w:rPr>
                <w:rFonts w:ascii="Calibri" w:hAnsi="Calibri" w:cs="Calibri"/>
                <w:color w:val="000000"/>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rsidR="00CA0000" w:rsidRDefault="00CA0000">
            <w:pPr>
              <w:jc w:val="center"/>
              <w:rPr>
                <w:rFonts w:ascii="Calibri" w:hAnsi="Calibri" w:cs="Calibri"/>
                <w:color w:val="000000"/>
                <w:sz w:val="16"/>
                <w:szCs w:val="16"/>
              </w:rPr>
            </w:pPr>
            <w:r>
              <w:rPr>
                <w:rFonts w:ascii="Calibri" w:hAnsi="Calibri" w:cs="Calibri"/>
                <w:color w:val="000000"/>
                <w:sz w:val="16"/>
                <w:szCs w:val="16"/>
              </w:rPr>
              <w:t>5011</w:t>
            </w:r>
          </w:p>
        </w:tc>
        <w:tc>
          <w:tcPr>
            <w:tcW w:w="4529" w:type="dxa"/>
            <w:tcBorders>
              <w:top w:val="nil"/>
              <w:left w:val="nil"/>
              <w:bottom w:val="single" w:sz="4" w:space="0" w:color="auto"/>
              <w:right w:val="single" w:sz="4" w:space="0" w:color="auto"/>
            </w:tcBorders>
            <w:shd w:val="clear" w:color="auto" w:fill="auto"/>
            <w:vAlign w:val="center"/>
            <w:hideMark/>
          </w:tcPr>
          <w:p w:rsidR="00CA0000" w:rsidRDefault="00CA0000">
            <w:pPr>
              <w:rPr>
                <w:rFonts w:ascii="Calibri" w:hAnsi="Calibri" w:cs="Calibri"/>
                <w:color w:val="000000"/>
                <w:sz w:val="16"/>
                <w:szCs w:val="16"/>
              </w:rPr>
            </w:pPr>
            <w:r>
              <w:rPr>
                <w:rFonts w:ascii="Calibri" w:hAnsi="Calibri" w:cs="Calibri"/>
                <w:color w:val="000000"/>
                <w:sz w:val="16"/>
                <w:szCs w:val="16"/>
              </w:rPr>
              <w:t>Platy zaměstnanců v pracovním poměru vyjma zaměstnanců na služebních místech</w:t>
            </w:r>
          </w:p>
        </w:tc>
        <w:tc>
          <w:tcPr>
            <w:tcW w:w="1300"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166 716 493,50</w:t>
            </w:r>
          </w:p>
        </w:tc>
        <w:tc>
          <w:tcPr>
            <w:tcW w:w="1300"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170 925 114,00</w:t>
            </w:r>
          </w:p>
        </w:tc>
        <w:tc>
          <w:tcPr>
            <w:tcW w:w="1300"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178 681 485,00</w:t>
            </w:r>
          </w:p>
        </w:tc>
      </w:tr>
      <w:tr w:rsidR="00CA0000" w:rsidTr="00CA0000">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A0000" w:rsidRDefault="00CA0000">
            <w:pPr>
              <w:rPr>
                <w:rFonts w:ascii="Calibri" w:hAnsi="Calibri" w:cs="Calibri"/>
                <w:color w:val="000000"/>
                <w:sz w:val="16"/>
                <w:szCs w:val="16"/>
              </w:rPr>
            </w:pPr>
            <w:r>
              <w:rPr>
                <w:rFonts w:ascii="Calibri" w:hAnsi="Calibri" w:cs="Calibri"/>
                <w:color w:val="000000"/>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rsidR="00CA0000" w:rsidRDefault="00CA0000">
            <w:pPr>
              <w:jc w:val="center"/>
              <w:rPr>
                <w:rFonts w:ascii="Calibri" w:hAnsi="Calibri" w:cs="Calibri"/>
                <w:color w:val="000000"/>
                <w:sz w:val="16"/>
                <w:szCs w:val="16"/>
              </w:rPr>
            </w:pPr>
            <w:r>
              <w:rPr>
                <w:rFonts w:ascii="Calibri" w:hAnsi="Calibri" w:cs="Calibri"/>
                <w:color w:val="000000"/>
                <w:sz w:val="16"/>
                <w:szCs w:val="16"/>
              </w:rPr>
              <w:t>5019</w:t>
            </w:r>
          </w:p>
        </w:tc>
        <w:tc>
          <w:tcPr>
            <w:tcW w:w="4529" w:type="dxa"/>
            <w:tcBorders>
              <w:top w:val="nil"/>
              <w:left w:val="nil"/>
              <w:bottom w:val="single" w:sz="4" w:space="0" w:color="auto"/>
              <w:right w:val="single" w:sz="4" w:space="0" w:color="auto"/>
            </w:tcBorders>
            <w:shd w:val="clear" w:color="auto" w:fill="auto"/>
            <w:vAlign w:val="center"/>
            <w:hideMark/>
          </w:tcPr>
          <w:p w:rsidR="00CA0000" w:rsidRDefault="00CA0000">
            <w:pPr>
              <w:rPr>
                <w:rFonts w:ascii="Calibri" w:hAnsi="Calibri" w:cs="Calibri"/>
                <w:color w:val="000000"/>
                <w:sz w:val="16"/>
                <w:szCs w:val="16"/>
              </w:rPr>
            </w:pPr>
            <w:r>
              <w:rPr>
                <w:rFonts w:ascii="Calibri" w:hAnsi="Calibri" w:cs="Calibri"/>
                <w:color w:val="000000"/>
                <w:sz w:val="16"/>
                <w:szCs w:val="16"/>
              </w:rPr>
              <w:t>Ostatní platy</w:t>
            </w:r>
          </w:p>
        </w:tc>
        <w:tc>
          <w:tcPr>
            <w:tcW w:w="1300"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63 895,41</w:t>
            </w:r>
          </w:p>
        </w:tc>
        <w:tc>
          <w:tcPr>
            <w:tcW w:w="1300"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59 351,89</w:t>
            </w:r>
          </w:p>
        </w:tc>
        <w:tc>
          <w:tcPr>
            <w:tcW w:w="1300"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91 303,32</w:t>
            </w:r>
          </w:p>
        </w:tc>
      </w:tr>
      <w:tr w:rsidR="00CA0000" w:rsidTr="00CA0000">
        <w:trPr>
          <w:trHeight w:val="300"/>
        </w:trPr>
        <w:tc>
          <w:tcPr>
            <w:tcW w:w="440" w:type="dxa"/>
            <w:tcBorders>
              <w:top w:val="nil"/>
              <w:left w:val="single" w:sz="4" w:space="0" w:color="auto"/>
              <w:bottom w:val="single" w:sz="4" w:space="0" w:color="auto"/>
              <w:right w:val="single" w:sz="4" w:space="0" w:color="auto"/>
            </w:tcBorders>
            <w:shd w:val="clear" w:color="FFF2CC" w:fill="E2EFDA"/>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502</w:t>
            </w:r>
          </w:p>
        </w:tc>
        <w:tc>
          <w:tcPr>
            <w:tcW w:w="5100" w:type="dxa"/>
            <w:gridSpan w:val="2"/>
            <w:tcBorders>
              <w:top w:val="single" w:sz="4" w:space="0" w:color="auto"/>
              <w:left w:val="nil"/>
              <w:bottom w:val="single" w:sz="4" w:space="0" w:color="auto"/>
              <w:right w:val="single" w:sz="4" w:space="0" w:color="000000"/>
            </w:tcBorders>
            <w:shd w:val="clear" w:color="FFF2CC" w:fill="E2EFDA"/>
            <w:noWrap/>
            <w:vAlign w:val="center"/>
            <w:hideMark/>
          </w:tcPr>
          <w:p w:rsidR="00CA0000" w:rsidRDefault="00CA0000">
            <w:pPr>
              <w:rPr>
                <w:rFonts w:ascii="Calibri" w:hAnsi="Calibri" w:cs="Calibri"/>
                <w:color w:val="000000"/>
                <w:sz w:val="16"/>
                <w:szCs w:val="16"/>
              </w:rPr>
            </w:pPr>
            <w:r>
              <w:rPr>
                <w:rFonts w:ascii="Calibri" w:hAnsi="Calibri" w:cs="Calibri"/>
                <w:color w:val="000000"/>
                <w:sz w:val="16"/>
                <w:szCs w:val="16"/>
              </w:rPr>
              <w:t>Ostatní platby za provedenou práci</w:t>
            </w:r>
          </w:p>
        </w:tc>
        <w:tc>
          <w:tcPr>
            <w:tcW w:w="1300" w:type="dxa"/>
            <w:tcBorders>
              <w:top w:val="nil"/>
              <w:left w:val="nil"/>
              <w:bottom w:val="single" w:sz="4" w:space="0" w:color="auto"/>
              <w:right w:val="single" w:sz="4" w:space="0" w:color="auto"/>
            </w:tcBorders>
            <w:shd w:val="clear" w:color="FFF2CC" w:fill="E2EFDA"/>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14 243 933,00</w:t>
            </w:r>
          </w:p>
        </w:tc>
        <w:tc>
          <w:tcPr>
            <w:tcW w:w="1300" w:type="dxa"/>
            <w:tcBorders>
              <w:top w:val="nil"/>
              <w:left w:val="nil"/>
              <w:bottom w:val="single" w:sz="4" w:space="0" w:color="auto"/>
              <w:right w:val="single" w:sz="4" w:space="0" w:color="auto"/>
            </w:tcBorders>
            <w:shd w:val="clear" w:color="FFF2CC" w:fill="E2EFDA"/>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14 328 743,00</w:t>
            </w:r>
          </w:p>
        </w:tc>
        <w:tc>
          <w:tcPr>
            <w:tcW w:w="1300" w:type="dxa"/>
            <w:tcBorders>
              <w:top w:val="nil"/>
              <w:left w:val="nil"/>
              <w:bottom w:val="single" w:sz="4" w:space="0" w:color="auto"/>
              <w:right w:val="single" w:sz="4" w:space="0" w:color="auto"/>
            </w:tcBorders>
            <w:shd w:val="clear" w:color="FFF2CC" w:fill="E2EFDA"/>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15 877 870,00</w:t>
            </w:r>
          </w:p>
        </w:tc>
      </w:tr>
      <w:tr w:rsidR="00CA0000" w:rsidTr="00CA0000">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A0000" w:rsidRDefault="00CA0000">
            <w:pPr>
              <w:rPr>
                <w:rFonts w:ascii="Calibri" w:hAnsi="Calibri" w:cs="Calibri"/>
                <w:color w:val="000000"/>
                <w:sz w:val="16"/>
                <w:szCs w:val="16"/>
              </w:rPr>
            </w:pPr>
            <w:r>
              <w:rPr>
                <w:rFonts w:ascii="Calibri" w:hAnsi="Calibri" w:cs="Calibri"/>
                <w:color w:val="000000"/>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rsidR="00CA0000" w:rsidRDefault="00CA0000">
            <w:pPr>
              <w:jc w:val="center"/>
              <w:rPr>
                <w:rFonts w:ascii="Calibri" w:hAnsi="Calibri" w:cs="Calibri"/>
                <w:color w:val="000000"/>
                <w:sz w:val="16"/>
                <w:szCs w:val="16"/>
              </w:rPr>
            </w:pPr>
            <w:r>
              <w:rPr>
                <w:rFonts w:ascii="Calibri" w:hAnsi="Calibri" w:cs="Calibri"/>
                <w:color w:val="000000"/>
                <w:sz w:val="16"/>
                <w:szCs w:val="16"/>
              </w:rPr>
              <w:t>5021</w:t>
            </w:r>
          </w:p>
        </w:tc>
        <w:tc>
          <w:tcPr>
            <w:tcW w:w="4529" w:type="dxa"/>
            <w:tcBorders>
              <w:top w:val="nil"/>
              <w:left w:val="nil"/>
              <w:bottom w:val="single" w:sz="4" w:space="0" w:color="auto"/>
              <w:right w:val="single" w:sz="4" w:space="0" w:color="auto"/>
            </w:tcBorders>
            <w:shd w:val="clear" w:color="auto" w:fill="auto"/>
            <w:vAlign w:val="center"/>
            <w:hideMark/>
          </w:tcPr>
          <w:p w:rsidR="00CA0000" w:rsidRDefault="00CA0000">
            <w:pPr>
              <w:rPr>
                <w:rFonts w:ascii="Calibri" w:hAnsi="Calibri" w:cs="Calibri"/>
                <w:color w:val="000000"/>
                <w:sz w:val="16"/>
                <w:szCs w:val="16"/>
              </w:rPr>
            </w:pPr>
            <w:r>
              <w:rPr>
                <w:rFonts w:ascii="Calibri" w:hAnsi="Calibri" w:cs="Calibri"/>
                <w:color w:val="000000"/>
                <w:sz w:val="16"/>
                <w:szCs w:val="16"/>
              </w:rPr>
              <w:t>Ostatní osobní výdaje</w:t>
            </w:r>
          </w:p>
        </w:tc>
        <w:tc>
          <w:tcPr>
            <w:tcW w:w="1300"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3 949 668,00</w:t>
            </w:r>
          </w:p>
        </w:tc>
        <w:tc>
          <w:tcPr>
            <w:tcW w:w="1300"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4 287 732,00</w:t>
            </w:r>
          </w:p>
        </w:tc>
        <w:tc>
          <w:tcPr>
            <w:tcW w:w="1300"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4 874 700,00</w:t>
            </w:r>
          </w:p>
        </w:tc>
      </w:tr>
      <w:tr w:rsidR="00CA0000" w:rsidTr="00CA0000">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A0000" w:rsidRDefault="00CA0000">
            <w:pPr>
              <w:rPr>
                <w:rFonts w:ascii="Calibri" w:hAnsi="Calibri" w:cs="Calibri"/>
                <w:color w:val="000000"/>
                <w:sz w:val="16"/>
                <w:szCs w:val="16"/>
              </w:rPr>
            </w:pPr>
            <w:r>
              <w:rPr>
                <w:rFonts w:ascii="Calibri" w:hAnsi="Calibri" w:cs="Calibri"/>
                <w:color w:val="000000"/>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rsidR="00CA0000" w:rsidRDefault="00CA0000">
            <w:pPr>
              <w:jc w:val="center"/>
              <w:rPr>
                <w:rFonts w:ascii="Calibri" w:hAnsi="Calibri" w:cs="Calibri"/>
                <w:color w:val="000000"/>
                <w:sz w:val="16"/>
                <w:szCs w:val="16"/>
              </w:rPr>
            </w:pPr>
            <w:r>
              <w:rPr>
                <w:rFonts w:ascii="Calibri" w:hAnsi="Calibri" w:cs="Calibri"/>
                <w:color w:val="000000"/>
                <w:sz w:val="16"/>
                <w:szCs w:val="16"/>
              </w:rPr>
              <w:t>5023</w:t>
            </w:r>
          </w:p>
        </w:tc>
        <w:tc>
          <w:tcPr>
            <w:tcW w:w="4529" w:type="dxa"/>
            <w:tcBorders>
              <w:top w:val="nil"/>
              <w:left w:val="nil"/>
              <w:bottom w:val="single" w:sz="4" w:space="0" w:color="auto"/>
              <w:right w:val="single" w:sz="4" w:space="0" w:color="auto"/>
            </w:tcBorders>
            <w:shd w:val="clear" w:color="auto" w:fill="auto"/>
            <w:vAlign w:val="center"/>
            <w:hideMark/>
          </w:tcPr>
          <w:p w:rsidR="00CA0000" w:rsidRDefault="00CA0000">
            <w:pPr>
              <w:rPr>
                <w:rFonts w:ascii="Calibri" w:hAnsi="Calibri" w:cs="Calibri"/>
                <w:color w:val="000000"/>
                <w:sz w:val="16"/>
                <w:szCs w:val="16"/>
              </w:rPr>
            </w:pPr>
            <w:r>
              <w:rPr>
                <w:rFonts w:ascii="Calibri" w:hAnsi="Calibri" w:cs="Calibri"/>
                <w:color w:val="000000"/>
                <w:sz w:val="16"/>
                <w:szCs w:val="16"/>
              </w:rPr>
              <w:t>Odměny členů zastupitelstev obcí a krajů</w:t>
            </w:r>
          </w:p>
        </w:tc>
        <w:tc>
          <w:tcPr>
            <w:tcW w:w="1300"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10 294 265,00</w:t>
            </w:r>
          </w:p>
        </w:tc>
        <w:tc>
          <w:tcPr>
            <w:tcW w:w="1300"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9 792 598,00</w:t>
            </w:r>
          </w:p>
        </w:tc>
        <w:tc>
          <w:tcPr>
            <w:tcW w:w="1300"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10 178 946,00</w:t>
            </w:r>
          </w:p>
        </w:tc>
      </w:tr>
      <w:tr w:rsidR="00CA0000" w:rsidTr="00CA0000">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A0000" w:rsidRDefault="00CA0000">
            <w:pPr>
              <w:rPr>
                <w:rFonts w:ascii="Calibri" w:hAnsi="Calibri" w:cs="Calibri"/>
                <w:color w:val="000000"/>
                <w:sz w:val="16"/>
                <w:szCs w:val="16"/>
              </w:rPr>
            </w:pPr>
            <w:r>
              <w:rPr>
                <w:rFonts w:ascii="Calibri" w:hAnsi="Calibri" w:cs="Calibri"/>
                <w:color w:val="000000"/>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rsidR="00CA0000" w:rsidRDefault="00CA0000">
            <w:pPr>
              <w:jc w:val="center"/>
              <w:rPr>
                <w:rFonts w:ascii="Calibri" w:hAnsi="Calibri" w:cs="Calibri"/>
                <w:color w:val="000000"/>
                <w:sz w:val="16"/>
                <w:szCs w:val="16"/>
              </w:rPr>
            </w:pPr>
            <w:r>
              <w:rPr>
                <w:rFonts w:ascii="Calibri" w:hAnsi="Calibri" w:cs="Calibri"/>
                <w:color w:val="000000"/>
                <w:sz w:val="16"/>
                <w:szCs w:val="16"/>
              </w:rPr>
              <w:t>5024</w:t>
            </w:r>
          </w:p>
        </w:tc>
        <w:tc>
          <w:tcPr>
            <w:tcW w:w="4529" w:type="dxa"/>
            <w:tcBorders>
              <w:top w:val="nil"/>
              <w:left w:val="nil"/>
              <w:bottom w:val="single" w:sz="4" w:space="0" w:color="auto"/>
              <w:right w:val="single" w:sz="4" w:space="0" w:color="auto"/>
            </w:tcBorders>
            <w:shd w:val="clear" w:color="auto" w:fill="auto"/>
            <w:vAlign w:val="center"/>
            <w:hideMark/>
          </w:tcPr>
          <w:p w:rsidR="00CA0000" w:rsidRDefault="00CA0000">
            <w:pPr>
              <w:rPr>
                <w:rFonts w:ascii="Calibri" w:hAnsi="Calibri" w:cs="Calibri"/>
                <w:color w:val="000000"/>
                <w:sz w:val="16"/>
                <w:szCs w:val="16"/>
              </w:rPr>
            </w:pPr>
            <w:r>
              <w:rPr>
                <w:rFonts w:ascii="Calibri" w:hAnsi="Calibri" w:cs="Calibri"/>
                <w:color w:val="000000"/>
                <w:sz w:val="16"/>
                <w:szCs w:val="16"/>
              </w:rPr>
              <w:t>Odstupné</w:t>
            </w:r>
          </w:p>
        </w:tc>
        <w:tc>
          <w:tcPr>
            <w:tcW w:w="1300"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0,00</w:t>
            </w:r>
          </w:p>
        </w:tc>
        <w:tc>
          <w:tcPr>
            <w:tcW w:w="1300"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0,00</w:t>
            </w:r>
          </w:p>
        </w:tc>
        <w:tc>
          <w:tcPr>
            <w:tcW w:w="1300"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824 224,00</w:t>
            </w:r>
          </w:p>
        </w:tc>
      </w:tr>
      <w:tr w:rsidR="00CA0000" w:rsidTr="00CA0000">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A0000" w:rsidRDefault="00CA0000">
            <w:pPr>
              <w:rPr>
                <w:rFonts w:ascii="Calibri" w:hAnsi="Calibri" w:cs="Calibri"/>
                <w:color w:val="000000"/>
                <w:sz w:val="16"/>
                <w:szCs w:val="16"/>
              </w:rPr>
            </w:pPr>
            <w:r>
              <w:rPr>
                <w:rFonts w:ascii="Calibri" w:hAnsi="Calibri" w:cs="Calibri"/>
                <w:color w:val="000000"/>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rsidR="00CA0000" w:rsidRDefault="00CA0000">
            <w:pPr>
              <w:jc w:val="center"/>
              <w:rPr>
                <w:rFonts w:ascii="Calibri" w:hAnsi="Calibri" w:cs="Calibri"/>
                <w:color w:val="000000"/>
                <w:sz w:val="16"/>
                <w:szCs w:val="16"/>
              </w:rPr>
            </w:pPr>
            <w:r>
              <w:rPr>
                <w:rFonts w:ascii="Calibri" w:hAnsi="Calibri" w:cs="Calibri"/>
                <w:color w:val="000000"/>
                <w:sz w:val="16"/>
                <w:szCs w:val="16"/>
              </w:rPr>
              <w:t>5026</w:t>
            </w:r>
          </w:p>
        </w:tc>
        <w:tc>
          <w:tcPr>
            <w:tcW w:w="4529" w:type="dxa"/>
            <w:tcBorders>
              <w:top w:val="nil"/>
              <w:left w:val="nil"/>
              <w:bottom w:val="single" w:sz="4" w:space="0" w:color="auto"/>
              <w:right w:val="single" w:sz="4" w:space="0" w:color="auto"/>
            </w:tcBorders>
            <w:shd w:val="clear" w:color="auto" w:fill="auto"/>
            <w:vAlign w:val="center"/>
            <w:hideMark/>
          </w:tcPr>
          <w:p w:rsidR="00CA0000" w:rsidRDefault="00CA0000">
            <w:pPr>
              <w:rPr>
                <w:rFonts w:ascii="Calibri" w:hAnsi="Calibri" w:cs="Calibri"/>
                <w:color w:val="000000"/>
                <w:sz w:val="16"/>
                <w:szCs w:val="16"/>
              </w:rPr>
            </w:pPr>
            <w:r>
              <w:rPr>
                <w:rFonts w:ascii="Calibri" w:hAnsi="Calibri" w:cs="Calibri"/>
                <w:color w:val="000000"/>
                <w:sz w:val="16"/>
                <w:szCs w:val="16"/>
              </w:rPr>
              <w:t>Odchodné</w:t>
            </w:r>
          </w:p>
        </w:tc>
        <w:tc>
          <w:tcPr>
            <w:tcW w:w="1300"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0,00</w:t>
            </w:r>
          </w:p>
        </w:tc>
        <w:tc>
          <w:tcPr>
            <w:tcW w:w="1300"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248 413,00</w:t>
            </w:r>
          </w:p>
        </w:tc>
        <w:tc>
          <w:tcPr>
            <w:tcW w:w="1300"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0,00</w:t>
            </w:r>
          </w:p>
        </w:tc>
      </w:tr>
      <w:tr w:rsidR="00CA0000" w:rsidTr="00CA0000">
        <w:trPr>
          <w:trHeight w:val="300"/>
        </w:trPr>
        <w:tc>
          <w:tcPr>
            <w:tcW w:w="440" w:type="dxa"/>
            <w:tcBorders>
              <w:top w:val="nil"/>
              <w:left w:val="single" w:sz="4" w:space="0" w:color="auto"/>
              <w:bottom w:val="single" w:sz="4" w:space="0" w:color="auto"/>
              <w:right w:val="single" w:sz="4" w:space="0" w:color="auto"/>
            </w:tcBorders>
            <w:shd w:val="clear" w:color="FFF2CC" w:fill="E2EFDA"/>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503</w:t>
            </w:r>
          </w:p>
        </w:tc>
        <w:tc>
          <w:tcPr>
            <w:tcW w:w="5100" w:type="dxa"/>
            <w:gridSpan w:val="2"/>
            <w:tcBorders>
              <w:top w:val="single" w:sz="4" w:space="0" w:color="auto"/>
              <w:left w:val="nil"/>
              <w:bottom w:val="single" w:sz="4" w:space="0" w:color="auto"/>
              <w:right w:val="single" w:sz="4" w:space="0" w:color="000000"/>
            </w:tcBorders>
            <w:shd w:val="clear" w:color="FFF2CC" w:fill="E2EFDA"/>
            <w:noWrap/>
            <w:vAlign w:val="center"/>
            <w:hideMark/>
          </w:tcPr>
          <w:p w:rsidR="00CA0000" w:rsidRDefault="00CA0000">
            <w:pPr>
              <w:rPr>
                <w:rFonts w:ascii="Calibri" w:hAnsi="Calibri" w:cs="Calibri"/>
                <w:color w:val="000000"/>
                <w:sz w:val="16"/>
                <w:szCs w:val="16"/>
              </w:rPr>
            </w:pPr>
            <w:r>
              <w:rPr>
                <w:rFonts w:ascii="Calibri" w:hAnsi="Calibri" w:cs="Calibri"/>
                <w:color w:val="000000"/>
                <w:sz w:val="16"/>
                <w:szCs w:val="16"/>
              </w:rPr>
              <w:t>Povinné pojistné placené zaměstnavatelem</w:t>
            </w:r>
          </w:p>
        </w:tc>
        <w:tc>
          <w:tcPr>
            <w:tcW w:w="1300" w:type="dxa"/>
            <w:tcBorders>
              <w:top w:val="nil"/>
              <w:left w:val="nil"/>
              <w:bottom w:val="single" w:sz="4" w:space="0" w:color="auto"/>
              <w:right w:val="single" w:sz="4" w:space="0" w:color="auto"/>
            </w:tcBorders>
            <w:shd w:val="clear" w:color="FFF2CC" w:fill="E2EFDA"/>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60 789 231,24</w:t>
            </w:r>
          </w:p>
        </w:tc>
        <w:tc>
          <w:tcPr>
            <w:tcW w:w="1300" w:type="dxa"/>
            <w:tcBorders>
              <w:top w:val="nil"/>
              <w:left w:val="nil"/>
              <w:bottom w:val="single" w:sz="4" w:space="0" w:color="auto"/>
              <w:right w:val="single" w:sz="4" w:space="0" w:color="auto"/>
            </w:tcBorders>
            <w:shd w:val="clear" w:color="FFF2CC" w:fill="E2EFDA"/>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62 349 117,45</w:t>
            </w:r>
          </w:p>
        </w:tc>
        <w:tc>
          <w:tcPr>
            <w:tcW w:w="1300" w:type="dxa"/>
            <w:tcBorders>
              <w:top w:val="nil"/>
              <w:left w:val="nil"/>
              <w:bottom w:val="single" w:sz="4" w:space="0" w:color="auto"/>
              <w:right w:val="single" w:sz="4" w:space="0" w:color="auto"/>
            </w:tcBorders>
            <w:shd w:val="clear" w:color="FFF2CC" w:fill="E2EFDA"/>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64 998 912,60</w:t>
            </w:r>
          </w:p>
        </w:tc>
      </w:tr>
      <w:tr w:rsidR="00CA0000" w:rsidTr="00CA0000">
        <w:trPr>
          <w:trHeight w:val="46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A0000" w:rsidRDefault="00CA0000">
            <w:pPr>
              <w:rPr>
                <w:rFonts w:ascii="Calibri" w:hAnsi="Calibri" w:cs="Calibri"/>
                <w:color w:val="000000"/>
                <w:sz w:val="16"/>
                <w:szCs w:val="16"/>
              </w:rPr>
            </w:pPr>
            <w:r>
              <w:rPr>
                <w:rFonts w:ascii="Calibri" w:hAnsi="Calibri" w:cs="Calibri"/>
                <w:color w:val="000000"/>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rsidR="00CA0000" w:rsidRDefault="00CA0000">
            <w:pPr>
              <w:jc w:val="center"/>
              <w:rPr>
                <w:rFonts w:ascii="Calibri" w:hAnsi="Calibri" w:cs="Calibri"/>
                <w:color w:val="000000"/>
                <w:sz w:val="16"/>
                <w:szCs w:val="16"/>
              </w:rPr>
            </w:pPr>
            <w:r>
              <w:rPr>
                <w:rFonts w:ascii="Calibri" w:hAnsi="Calibri" w:cs="Calibri"/>
                <w:color w:val="000000"/>
                <w:sz w:val="16"/>
                <w:szCs w:val="16"/>
              </w:rPr>
              <w:t>5031</w:t>
            </w:r>
          </w:p>
        </w:tc>
        <w:tc>
          <w:tcPr>
            <w:tcW w:w="4529" w:type="dxa"/>
            <w:tcBorders>
              <w:top w:val="nil"/>
              <w:left w:val="nil"/>
              <w:bottom w:val="single" w:sz="4" w:space="0" w:color="auto"/>
              <w:right w:val="single" w:sz="4" w:space="0" w:color="auto"/>
            </w:tcBorders>
            <w:shd w:val="clear" w:color="auto" w:fill="auto"/>
            <w:vAlign w:val="center"/>
            <w:hideMark/>
          </w:tcPr>
          <w:p w:rsidR="00CA0000" w:rsidRDefault="00CA0000">
            <w:pPr>
              <w:rPr>
                <w:rFonts w:ascii="Calibri" w:hAnsi="Calibri" w:cs="Calibri"/>
                <w:color w:val="000000"/>
                <w:sz w:val="16"/>
                <w:szCs w:val="16"/>
              </w:rPr>
            </w:pPr>
            <w:r>
              <w:rPr>
                <w:rFonts w:ascii="Calibri" w:hAnsi="Calibri" w:cs="Calibri"/>
                <w:color w:val="000000"/>
                <w:sz w:val="16"/>
                <w:szCs w:val="16"/>
              </w:rPr>
              <w:t>Povinné pojistné na sociální zabezpečení a příspěvek na státní politiku zaměstnanosti</w:t>
            </w:r>
          </w:p>
        </w:tc>
        <w:tc>
          <w:tcPr>
            <w:tcW w:w="1300"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43 809 564,91</w:t>
            </w:r>
          </w:p>
        </w:tc>
        <w:tc>
          <w:tcPr>
            <w:tcW w:w="1300"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44 885 445,10</w:t>
            </w:r>
          </w:p>
        </w:tc>
        <w:tc>
          <w:tcPr>
            <w:tcW w:w="1300"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46 830 397,97</w:t>
            </w:r>
          </w:p>
        </w:tc>
      </w:tr>
      <w:tr w:rsidR="00CA0000" w:rsidTr="00CA0000">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A0000" w:rsidRDefault="00CA0000">
            <w:pPr>
              <w:rPr>
                <w:rFonts w:ascii="Calibri" w:hAnsi="Calibri" w:cs="Calibri"/>
                <w:color w:val="000000"/>
                <w:sz w:val="16"/>
                <w:szCs w:val="16"/>
              </w:rPr>
            </w:pPr>
            <w:r>
              <w:rPr>
                <w:rFonts w:ascii="Calibri" w:hAnsi="Calibri" w:cs="Calibri"/>
                <w:color w:val="000000"/>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rsidR="00CA0000" w:rsidRDefault="00CA0000">
            <w:pPr>
              <w:jc w:val="center"/>
              <w:rPr>
                <w:rFonts w:ascii="Calibri" w:hAnsi="Calibri" w:cs="Calibri"/>
                <w:color w:val="000000"/>
                <w:sz w:val="16"/>
                <w:szCs w:val="16"/>
              </w:rPr>
            </w:pPr>
            <w:r>
              <w:rPr>
                <w:rFonts w:ascii="Calibri" w:hAnsi="Calibri" w:cs="Calibri"/>
                <w:color w:val="000000"/>
                <w:sz w:val="16"/>
                <w:szCs w:val="16"/>
              </w:rPr>
              <w:t>5032</w:t>
            </w:r>
          </w:p>
        </w:tc>
        <w:tc>
          <w:tcPr>
            <w:tcW w:w="4529" w:type="dxa"/>
            <w:tcBorders>
              <w:top w:val="nil"/>
              <w:left w:val="nil"/>
              <w:bottom w:val="single" w:sz="4" w:space="0" w:color="auto"/>
              <w:right w:val="single" w:sz="4" w:space="0" w:color="auto"/>
            </w:tcBorders>
            <w:shd w:val="clear" w:color="auto" w:fill="auto"/>
            <w:vAlign w:val="center"/>
            <w:hideMark/>
          </w:tcPr>
          <w:p w:rsidR="00CA0000" w:rsidRDefault="00CA0000">
            <w:pPr>
              <w:rPr>
                <w:rFonts w:ascii="Calibri" w:hAnsi="Calibri" w:cs="Calibri"/>
                <w:color w:val="000000"/>
                <w:sz w:val="16"/>
                <w:szCs w:val="16"/>
              </w:rPr>
            </w:pPr>
            <w:r>
              <w:rPr>
                <w:rFonts w:ascii="Calibri" w:hAnsi="Calibri" w:cs="Calibri"/>
                <w:color w:val="000000"/>
                <w:sz w:val="16"/>
                <w:szCs w:val="16"/>
              </w:rPr>
              <w:t>Povinné pojistné na veřejné zdravotní pojištění</w:t>
            </w:r>
          </w:p>
        </w:tc>
        <w:tc>
          <w:tcPr>
            <w:tcW w:w="1300"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16 244 550,00</w:t>
            </w:r>
          </w:p>
        </w:tc>
        <w:tc>
          <w:tcPr>
            <w:tcW w:w="1300"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16 697 338,00</w:t>
            </w:r>
          </w:p>
        </w:tc>
        <w:tc>
          <w:tcPr>
            <w:tcW w:w="1300"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17 387 731,05</w:t>
            </w:r>
          </w:p>
        </w:tc>
      </w:tr>
      <w:tr w:rsidR="00CA0000" w:rsidTr="00CA0000">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A0000" w:rsidRDefault="00CA0000">
            <w:pPr>
              <w:rPr>
                <w:rFonts w:ascii="Calibri" w:hAnsi="Calibri" w:cs="Calibri"/>
                <w:color w:val="000000"/>
                <w:sz w:val="16"/>
                <w:szCs w:val="16"/>
              </w:rPr>
            </w:pPr>
            <w:r>
              <w:rPr>
                <w:rFonts w:ascii="Calibri" w:hAnsi="Calibri" w:cs="Calibri"/>
                <w:color w:val="000000"/>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rsidR="00CA0000" w:rsidRDefault="00CA0000">
            <w:pPr>
              <w:jc w:val="center"/>
              <w:rPr>
                <w:rFonts w:ascii="Calibri" w:hAnsi="Calibri" w:cs="Calibri"/>
                <w:color w:val="000000"/>
                <w:sz w:val="16"/>
                <w:szCs w:val="16"/>
              </w:rPr>
            </w:pPr>
            <w:r>
              <w:rPr>
                <w:rFonts w:ascii="Calibri" w:hAnsi="Calibri" w:cs="Calibri"/>
                <w:color w:val="000000"/>
                <w:sz w:val="16"/>
                <w:szCs w:val="16"/>
              </w:rPr>
              <w:t>5038</w:t>
            </w:r>
          </w:p>
        </w:tc>
        <w:tc>
          <w:tcPr>
            <w:tcW w:w="4529" w:type="dxa"/>
            <w:tcBorders>
              <w:top w:val="nil"/>
              <w:left w:val="nil"/>
              <w:bottom w:val="single" w:sz="4" w:space="0" w:color="auto"/>
              <w:right w:val="single" w:sz="4" w:space="0" w:color="auto"/>
            </w:tcBorders>
            <w:shd w:val="clear" w:color="auto" w:fill="auto"/>
            <w:vAlign w:val="center"/>
            <w:hideMark/>
          </w:tcPr>
          <w:p w:rsidR="00CA0000" w:rsidRDefault="00CA0000">
            <w:pPr>
              <w:rPr>
                <w:rFonts w:ascii="Calibri" w:hAnsi="Calibri" w:cs="Calibri"/>
                <w:color w:val="000000"/>
                <w:sz w:val="16"/>
                <w:szCs w:val="16"/>
              </w:rPr>
            </w:pPr>
            <w:r>
              <w:rPr>
                <w:rFonts w:ascii="Calibri" w:hAnsi="Calibri" w:cs="Calibri"/>
                <w:color w:val="000000"/>
                <w:sz w:val="16"/>
                <w:szCs w:val="16"/>
              </w:rPr>
              <w:t>Povinné pojistné na úrazové pojištění</w:t>
            </w:r>
          </w:p>
        </w:tc>
        <w:tc>
          <w:tcPr>
            <w:tcW w:w="1300"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735 116,33</w:t>
            </w:r>
          </w:p>
        </w:tc>
        <w:tc>
          <w:tcPr>
            <w:tcW w:w="1300"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766 334,35</w:t>
            </w:r>
          </w:p>
        </w:tc>
        <w:tc>
          <w:tcPr>
            <w:tcW w:w="1300"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780 783,58</w:t>
            </w:r>
          </w:p>
        </w:tc>
      </w:tr>
      <w:tr w:rsidR="00CA0000" w:rsidTr="00CA0000">
        <w:trPr>
          <w:trHeight w:val="300"/>
        </w:trPr>
        <w:tc>
          <w:tcPr>
            <w:tcW w:w="440" w:type="dxa"/>
            <w:tcBorders>
              <w:top w:val="nil"/>
              <w:left w:val="single" w:sz="4" w:space="0" w:color="auto"/>
              <w:bottom w:val="single" w:sz="4" w:space="0" w:color="auto"/>
              <w:right w:val="single" w:sz="4" w:space="0" w:color="auto"/>
            </w:tcBorders>
            <w:shd w:val="clear" w:color="FFF2CC" w:fill="E2EFDA"/>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504</w:t>
            </w:r>
          </w:p>
        </w:tc>
        <w:tc>
          <w:tcPr>
            <w:tcW w:w="5100" w:type="dxa"/>
            <w:gridSpan w:val="2"/>
            <w:tcBorders>
              <w:top w:val="single" w:sz="4" w:space="0" w:color="auto"/>
              <w:left w:val="nil"/>
              <w:bottom w:val="single" w:sz="4" w:space="0" w:color="auto"/>
              <w:right w:val="single" w:sz="4" w:space="0" w:color="000000"/>
            </w:tcBorders>
            <w:shd w:val="clear" w:color="FFF2CC" w:fill="E2EFDA"/>
            <w:noWrap/>
            <w:vAlign w:val="center"/>
            <w:hideMark/>
          </w:tcPr>
          <w:p w:rsidR="00CA0000" w:rsidRDefault="00CA0000">
            <w:pPr>
              <w:rPr>
                <w:rFonts w:ascii="Calibri" w:hAnsi="Calibri" w:cs="Calibri"/>
                <w:color w:val="000000"/>
                <w:sz w:val="16"/>
                <w:szCs w:val="16"/>
              </w:rPr>
            </w:pPr>
            <w:r>
              <w:rPr>
                <w:rFonts w:ascii="Calibri" w:hAnsi="Calibri" w:cs="Calibri"/>
                <w:color w:val="000000"/>
                <w:sz w:val="16"/>
                <w:szCs w:val="16"/>
              </w:rPr>
              <w:t>Odměny za užití duševního vlastnictví</w:t>
            </w:r>
          </w:p>
        </w:tc>
        <w:tc>
          <w:tcPr>
            <w:tcW w:w="1300" w:type="dxa"/>
            <w:tcBorders>
              <w:top w:val="nil"/>
              <w:left w:val="nil"/>
              <w:bottom w:val="single" w:sz="4" w:space="0" w:color="auto"/>
              <w:right w:val="single" w:sz="4" w:space="0" w:color="auto"/>
            </w:tcBorders>
            <w:shd w:val="clear" w:color="FFF2CC" w:fill="E2EFDA"/>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1 637 635,67</w:t>
            </w:r>
          </w:p>
        </w:tc>
        <w:tc>
          <w:tcPr>
            <w:tcW w:w="1300" w:type="dxa"/>
            <w:tcBorders>
              <w:top w:val="nil"/>
              <w:left w:val="nil"/>
              <w:bottom w:val="single" w:sz="4" w:space="0" w:color="auto"/>
              <w:right w:val="single" w:sz="4" w:space="0" w:color="auto"/>
            </w:tcBorders>
            <w:shd w:val="clear" w:color="FFF2CC" w:fill="E2EFDA"/>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2 685 550,51</w:t>
            </w:r>
          </w:p>
        </w:tc>
        <w:tc>
          <w:tcPr>
            <w:tcW w:w="1300" w:type="dxa"/>
            <w:tcBorders>
              <w:top w:val="nil"/>
              <w:left w:val="nil"/>
              <w:bottom w:val="single" w:sz="4" w:space="0" w:color="auto"/>
              <w:right w:val="single" w:sz="4" w:space="0" w:color="auto"/>
            </w:tcBorders>
            <w:shd w:val="clear" w:color="FFF2CC" w:fill="E2EFDA"/>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4 850 025,68</w:t>
            </w:r>
          </w:p>
        </w:tc>
      </w:tr>
      <w:tr w:rsidR="00CA0000" w:rsidTr="00CA0000">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CA0000" w:rsidRDefault="00CA0000">
            <w:pPr>
              <w:rPr>
                <w:rFonts w:ascii="Calibri" w:hAnsi="Calibri" w:cs="Calibri"/>
                <w:color w:val="000000"/>
                <w:sz w:val="16"/>
                <w:szCs w:val="16"/>
              </w:rPr>
            </w:pPr>
            <w:r>
              <w:rPr>
                <w:rFonts w:ascii="Calibri" w:hAnsi="Calibri" w:cs="Calibri"/>
                <w:color w:val="000000"/>
                <w:sz w:val="16"/>
                <w:szCs w:val="16"/>
              </w:rPr>
              <w:t> </w:t>
            </w:r>
          </w:p>
        </w:tc>
        <w:tc>
          <w:tcPr>
            <w:tcW w:w="571" w:type="dxa"/>
            <w:tcBorders>
              <w:top w:val="nil"/>
              <w:left w:val="nil"/>
              <w:bottom w:val="single" w:sz="4" w:space="0" w:color="auto"/>
              <w:right w:val="single" w:sz="4" w:space="0" w:color="auto"/>
            </w:tcBorders>
            <w:shd w:val="clear" w:color="auto" w:fill="auto"/>
            <w:noWrap/>
            <w:vAlign w:val="center"/>
            <w:hideMark/>
          </w:tcPr>
          <w:p w:rsidR="00CA0000" w:rsidRDefault="00CA0000">
            <w:pPr>
              <w:jc w:val="center"/>
              <w:rPr>
                <w:rFonts w:ascii="Calibri" w:hAnsi="Calibri" w:cs="Calibri"/>
                <w:color w:val="000000"/>
                <w:sz w:val="16"/>
                <w:szCs w:val="16"/>
              </w:rPr>
            </w:pPr>
            <w:r>
              <w:rPr>
                <w:rFonts w:ascii="Calibri" w:hAnsi="Calibri" w:cs="Calibri"/>
                <w:color w:val="000000"/>
                <w:sz w:val="16"/>
                <w:szCs w:val="16"/>
              </w:rPr>
              <w:t>5041</w:t>
            </w:r>
          </w:p>
        </w:tc>
        <w:tc>
          <w:tcPr>
            <w:tcW w:w="4529" w:type="dxa"/>
            <w:tcBorders>
              <w:top w:val="nil"/>
              <w:left w:val="nil"/>
              <w:bottom w:val="single" w:sz="4" w:space="0" w:color="auto"/>
              <w:right w:val="single" w:sz="4" w:space="0" w:color="auto"/>
            </w:tcBorders>
            <w:shd w:val="clear" w:color="auto" w:fill="auto"/>
            <w:vAlign w:val="center"/>
            <w:hideMark/>
          </w:tcPr>
          <w:p w:rsidR="00CA0000" w:rsidRDefault="00CA0000">
            <w:pPr>
              <w:rPr>
                <w:rFonts w:ascii="Calibri" w:hAnsi="Calibri" w:cs="Calibri"/>
                <w:color w:val="000000"/>
                <w:sz w:val="16"/>
                <w:szCs w:val="16"/>
              </w:rPr>
            </w:pPr>
            <w:r>
              <w:rPr>
                <w:rFonts w:ascii="Calibri" w:hAnsi="Calibri" w:cs="Calibri"/>
                <w:color w:val="000000"/>
                <w:sz w:val="16"/>
                <w:szCs w:val="16"/>
              </w:rPr>
              <w:t>Odměny za užití duševního vlastnictví</w:t>
            </w:r>
          </w:p>
        </w:tc>
        <w:tc>
          <w:tcPr>
            <w:tcW w:w="1300"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1 637 635,67</w:t>
            </w:r>
          </w:p>
        </w:tc>
        <w:tc>
          <w:tcPr>
            <w:tcW w:w="1300"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2 685 550,51</w:t>
            </w:r>
          </w:p>
        </w:tc>
        <w:tc>
          <w:tcPr>
            <w:tcW w:w="1300" w:type="dxa"/>
            <w:tcBorders>
              <w:top w:val="nil"/>
              <w:left w:val="nil"/>
              <w:bottom w:val="single" w:sz="4" w:space="0" w:color="auto"/>
              <w:right w:val="single" w:sz="4" w:space="0" w:color="auto"/>
            </w:tcBorders>
            <w:shd w:val="clear" w:color="auto" w:fill="auto"/>
            <w:noWrap/>
            <w:vAlign w:val="center"/>
            <w:hideMark/>
          </w:tcPr>
          <w:p w:rsidR="00CA0000" w:rsidRDefault="00CA0000">
            <w:pPr>
              <w:jc w:val="right"/>
              <w:rPr>
                <w:rFonts w:ascii="Calibri" w:hAnsi="Calibri" w:cs="Calibri"/>
                <w:color w:val="000000"/>
                <w:sz w:val="16"/>
                <w:szCs w:val="16"/>
              </w:rPr>
            </w:pPr>
            <w:r>
              <w:rPr>
                <w:rFonts w:ascii="Calibri" w:hAnsi="Calibri" w:cs="Calibri"/>
                <w:color w:val="000000"/>
                <w:sz w:val="16"/>
                <w:szCs w:val="16"/>
              </w:rPr>
              <w:t>4 850 025,68</w:t>
            </w:r>
          </w:p>
        </w:tc>
      </w:tr>
    </w:tbl>
    <w:p w:rsidR="00CA0000" w:rsidRDefault="00CA0000" w:rsidP="00CA0000"/>
    <w:p w:rsidR="00CA0000" w:rsidRPr="00CA0000" w:rsidRDefault="00CA0000" w:rsidP="00CA0000">
      <w:pPr>
        <w:jc w:val="center"/>
      </w:pPr>
      <w:r>
        <w:rPr>
          <w:noProof/>
        </w:rPr>
        <w:drawing>
          <wp:inline distT="0" distB="0" distL="0" distR="0" wp14:anchorId="39B2A464" wp14:editId="6721C5F7">
            <wp:extent cx="4336725" cy="2354040"/>
            <wp:effectExtent l="0" t="0" r="6985" b="8255"/>
            <wp:docPr id="35" name="Graf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06990" w:rsidRDefault="00D06990" w:rsidP="00792F07">
      <w:pPr>
        <w:jc w:val="center"/>
      </w:pPr>
    </w:p>
    <w:p w:rsidR="00D06990" w:rsidRDefault="00D06990" w:rsidP="00D06990"/>
    <w:p w:rsidR="001700B9" w:rsidRPr="00FC30DC" w:rsidRDefault="001700B9" w:rsidP="001700B9">
      <w:pPr>
        <w:pStyle w:val="Nadpis2"/>
      </w:pPr>
      <w:r w:rsidRPr="00FC30DC">
        <w:t>Neinvestiční nák</w:t>
      </w:r>
      <w:r w:rsidR="00B116F0" w:rsidRPr="00FC30DC">
        <w:t>u</w:t>
      </w:r>
      <w:r w:rsidRPr="00FC30DC">
        <w:t>py a související výdaje</w:t>
      </w:r>
      <w:r w:rsidR="00ED2E60" w:rsidRPr="00FC30DC">
        <w:t xml:space="preserve"> </w:t>
      </w:r>
    </w:p>
    <w:p w:rsidR="00ED2E60" w:rsidRPr="00FC30DC" w:rsidRDefault="00ED2E60" w:rsidP="00ED2E60">
      <w:pPr>
        <w:rPr>
          <w:rFonts w:asciiTheme="minorHAnsi" w:hAnsiTheme="minorHAnsi" w:cstheme="minorHAnsi"/>
          <w:sz w:val="22"/>
          <w:szCs w:val="22"/>
        </w:rPr>
      </w:pPr>
      <w:r w:rsidRPr="00FC30DC">
        <w:rPr>
          <w:rFonts w:asciiTheme="minorHAnsi" w:hAnsiTheme="minorHAnsi" w:cstheme="minorHAnsi"/>
          <w:sz w:val="22"/>
          <w:szCs w:val="22"/>
        </w:rPr>
        <w:t>Neinvestiční nákupy a související výdaje představují běžné výdaje jednotlivých kapitol.</w:t>
      </w:r>
    </w:p>
    <w:p w:rsidR="00CD2D46" w:rsidRPr="00FC30DC" w:rsidRDefault="00CD2D46" w:rsidP="00ED2E60">
      <w:pPr>
        <w:rPr>
          <w:rFonts w:asciiTheme="minorHAnsi" w:hAnsiTheme="minorHAnsi" w:cstheme="minorHAnsi"/>
          <w:sz w:val="22"/>
          <w:szCs w:val="22"/>
        </w:rPr>
      </w:pPr>
      <w:r w:rsidRPr="00FC30DC">
        <w:rPr>
          <w:rFonts w:asciiTheme="minorHAnsi" w:hAnsiTheme="minorHAnsi" w:cstheme="minorHAnsi"/>
          <w:sz w:val="22"/>
          <w:szCs w:val="22"/>
        </w:rPr>
        <w:t>Objemově největšími výdaji tohoto seskupení položek jsou:</w:t>
      </w:r>
    </w:p>
    <w:p w:rsidR="00B917C1" w:rsidRPr="00FC30DC" w:rsidRDefault="007114BA" w:rsidP="005F6A8D">
      <w:pPr>
        <w:numPr>
          <w:ilvl w:val="0"/>
          <w:numId w:val="27"/>
        </w:numPr>
        <w:rPr>
          <w:rFonts w:asciiTheme="minorHAnsi" w:hAnsiTheme="minorHAnsi" w:cstheme="minorHAnsi"/>
          <w:sz w:val="22"/>
          <w:szCs w:val="22"/>
        </w:rPr>
      </w:pPr>
      <w:r w:rsidRPr="00FC30DC">
        <w:rPr>
          <w:rFonts w:asciiTheme="minorHAnsi" w:hAnsiTheme="minorHAnsi" w:cstheme="minorHAnsi"/>
          <w:sz w:val="22"/>
          <w:szCs w:val="22"/>
          <w:u w:val="single"/>
        </w:rPr>
        <w:t>nákup ostatních služeb (</w:t>
      </w:r>
      <w:r w:rsidR="00022655">
        <w:rPr>
          <w:rFonts w:asciiTheme="minorHAnsi" w:hAnsiTheme="minorHAnsi" w:cstheme="minorHAnsi"/>
          <w:sz w:val="22"/>
          <w:szCs w:val="22"/>
          <w:u w:val="single"/>
        </w:rPr>
        <w:t>212,42</w:t>
      </w:r>
      <w:r w:rsidRPr="00FC30DC">
        <w:rPr>
          <w:rFonts w:asciiTheme="minorHAnsi" w:hAnsiTheme="minorHAnsi" w:cstheme="minorHAnsi"/>
          <w:sz w:val="22"/>
          <w:szCs w:val="22"/>
          <w:u w:val="single"/>
        </w:rPr>
        <w:t xml:space="preserve"> mil.</w:t>
      </w:r>
      <w:r w:rsidR="00CD2D46" w:rsidRPr="00FC30DC">
        <w:rPr>
          <w:rFonts w:asciiTheme="minorHAnsi" w:hAnsiTheme="minorHAnsi" w:cstheme="minorHAnsi"/>
          <w:sz w:val="22"/>
          <w:szCs w:val="22"/>
          <w:u w:val="single"/>
        </w:rPr>
        <w:t> Kč</w:t>
      </w:r>
      <w:r w:rsidR="00B917C1" w:rsidRPr="00FC30DC">
        <w:rPr>
          <w:rFonts w:asciiTheme="minorHAnsi" w:hAnsiTheme="minorHAnsi" w:cstheme="minorHAnsi"/>
          <w:sz w:val="22"/>
          <w:szCs w:val="22"/>
        </w:rPr>
        <w:t>)</w:t>
      </w:r>
      <w:r w:rsidR="00865B7B">
        <w:rPr>
          <w:rFonts w:asciiTheme="minorHAnsi" w:hAnsiTheme="minorHAnsi" w:cstheme="minorHAnsi"/>
          <w:sz w:val="22"/>
          <w:szCs w:val="22"/>
        </w:rPr>
        <w:t>, zahrnuto např.:</w:t>
      </w:r>
    </w:p>
    <w:p w:rsidR="00865B7B" w:rsidRPr="00865B7B" w:rsidRDefault="00865B7B" w:rsidP="00865B7B">
      <w:pPr>
        <w:numPr>
          <w:ilvl w:val="2"/>
          <w:numId w:val="13"/>
        </w:numPr>
        <w:tabs>
          <w:tab w:val="clear" w:pos="2160"/>
          <w:tab w:val="num" w:pos="1134"/>
        </w:tabs>
        <w:ind w:left="1276" w:hanging="567"/>
        <w:jc w:val="both"/>
        <w:rPr>
          <w:rFonts w:asciiTheme="minorHAnsi" w:hAnsiTheme="minorHAnsi" w:cstheme="minorHAnsi"/>
          <w:sz w:val="22"/>
          <w:szCs w:val="22"/>
        </w:rPr>
      </w:pPr>
      <w:r w:rsidRPr="00865B7B">
        <w:rPr>
          <w:rFonts w:asciiTheme="minorHAnsi" w:hAnsiTheme="minorHAnsi" w:cstheme="minorHAnsi"/>
          <w:sz w:val="22"/>
          <w:szCs w:val="22"/>
        </w:rPr>
        <w:t>sb</w:t>
      </w:r>
      <w:r w:rsidR="00336846">
        <w:rPr>
          <w:rFonts w:asciiTheme="minorHAnsi" w:hAnsiTheme="minorHAnsi" w:cstheme="minorHAnsi"/>
          <w:sz w:val="22"/>
          <w:szCs w:val="22"/>
        </w:rPr>
        <w:t xml:space="preserve">ěr a svoz komunálních odpadů (54,06 </w:t>
      </w:r>
      <w:r w:rsidRPr="00865B7B">
        <w:rPr>
          <w:rFonts w:asciiTheme="minorHAnsi" w:hAnsiTheme="minorHAnsi" w:cstheme="minorHAnsi"/>
          <w:sz w:val="22"/>
          <w:szCs w:val="22"/>
        </w:rPr>
        <w:t>mil. Kč), péče o vzhled obcí a veřejnou zeleň (</w:t>
      </w:r>
      <w:r w:rsidR="00336846">
        <w:rPr>
          <w:rFonts w:asciiTheme="minorHAnsi" w:hAnsiTheme="minorHAnsi" w:cstheme="minorHAnsi"/>
          <w:sz w:val="22"/>
          <w:szCs w:val="22"/>
        </w:rPr>
        <w:t>49,41</w:t>
      </w:r>
      <w:r w:rsidRPr="00865B7B">
        <w:rPr>
          <w:rFonts w:asciiTheme="minorHAnsi" w:hAnsiTheme="minorHAnsi" w:cstheme="minorHAnsi"/>
          <w:sz w:val="22"/>
          <w:szCs w:val="22"/>
        </w:rPr>
        <w:t> </w:t>
      </w:r>
      <w:r>
        <w:rPr>
          <w:rFonts w:asciiTheme="minorHAnsi" w:hAnsiTheme="minorHAnsi" w:cstheme="minorHAnsi"/>
          <w:sz w:val="22"/>
          <w:szCs w:val="22"/>
        </w:rPr>
        <w:t>mil. </w:t>
      </w:r>
      <w:r w:rsidRPr="00865B7B">
        <w:rPr>
          <w:rFonts w:asciiTheme="minorHAnsi" w:hAnsiTheme="minorHAnsi" w:cstheme="minorHAnsi"/>
          <w:sz w:val="22"/>
          <w:szCs w:val="22"/>
        </w:rPr>
        <w:t>Kč), čistění města – komunikace (</w:t>
      </w:r>
      <w:r w:rsidR="00336846">
        <w:rPr>
          <w:rFonts w:asciiTheme="minorHAnsi" w:hAnsiTheme="minorHAnsi" w:cstheme="minorHAnsi"/>
          <w:sz w:val="22"/>
          <w:szCs w:val="22"/>
        </w:rPr>
        <w:t>18,03</w:t>
      </w:r>
      <w:r w:rsidRPr="00865B7B">
        <w:rPr>
          <w:rFonts w:asciiTheme="minorHAnsi" w:hAnsiTheme="minorHAnsi" w:cstheme="minorHAnsi"/>
          <w:sz w:val="22"/>
          <w:szCs w:val="22"/>
        </w:rPr>
        <w:t xml:space="preserve"> mil. Kč), hřbitovní služby (</w:t>
      </w:r>
      <w:r w:rsidR="00336846">
        <w:rPr>
          <w:rFonts w:asciiTheme="minorHAnsi" w:hAnsiTheme="minorHAnsi" w:cstheme="minorHAnsi"/>
          <w:sz w:val="22"/>
          <w:szCs w:val="22"/>
        </w:rPr>
        <w:t>5,07</w:t>
      </w:r>
      <w:r w:rsidRPr="00865B7B">
        <w:rPr>
          <w:rFonts w:asciiTheme="minorHAnsi" w:hAnsiTheme="minorHAnsi" w:cstheme="minorHAnsi"/>
          <w:sz w:val="22"/>
          <w:szCs w:val="22"/>
        </w:rPr>
        <w:t xml:space="preserve"> mil. Kč), zimní údržba (</w:t>
      </w:r>
      <w:r w:rsidR="00336846">
        <w:rPr>
          <w:rFonts w:asciiTheme="minorHAnsi" w:hAnsiTheme="minorHAnsi" w:cstheme="minorHAnsi"/>
          <w:sz w:val="22"/>
          <w:szCs w:val="22"/>
        </w:rPr>
        <w:t>4,18</w:t>
      </w:r>
      <w:r w:rsidRPr="00865B7B">
        <w:rPr>
          <w:rFonts w:asciiTheme="minorHAnsi" w:hAnsiTheme="minorHAnsi" w:cstheme="minorHAnsi"/>
          <w:sz w:val="22"/>
          <w:szCs w:val="22"/>
        </w:rPr>
        <w:t xml:space="preserve"> mil. Kč), správa bytů a nebytových prostor (</w:t>
      </w:r>
      <w:r w:rsidR="00336846">
        <w:rPr>
          <w:rFonts w:asciiTheme="minorHAnsi" w:hAnsiTheme="minorHAnsi" w:cstheme="minorHAnsi"/>
          <w:sz w:val="22"/>
          <w:szCs w:val="22"/>
        </w:rPr>
        <w:t>11,51</w:t>
      </w:r>
      <w:r w:rsidRPr="00865B7B">
        <w:rPr>
          <w:rFonts w:asciiTheme="minorHAnsi" w:hAnsiTheme="minorHAnsi" w:cstheme="minorHAnsi"/>
          <w:sz w:val="22"/>
          <w:szCs w:val="22"/>
        </w:rPr>
        <w:t xml:space="preserve"> mil. Kč), zajištění služeb do nebytových prostor (3,</w:t>
      </w:r>
      <w:r w:rsidR="00336846">
        <w:rPr>
          <w:rFonts w:asciiTheme="minorHAnsi" w:hAnsiTheme="minorHAnsi" w:cstheme="minorHAnsi"/>
          <w:sz w:val="22"/>
          <w:szCs w:val="22"/>
        </w:rPr>
        <w:t>29</w:t>
      </w:r>
      <w:r w:rsidRPr="00865B7B">
        <w:rPr>
          <w:rFonts w:asciiTheme="minorHAnsi" w:hAnsiTheme="minorHAnsi" w:cstheme="minorHAnsi"/>
          <w:sz w:val="22"/>
          <w:szCs w:val="22"/>
        </w:rPr>
        <w:t xml:space="preserve"> mil. Kč), ad.,</w:t>
      </w:r>
    </w:p>
    <w:p w:rsidR="00B917C1" w:rsidRPr="00FC30DC" w:rsidRDefault="00AE63B5" w:rsidP="00865B7B">
      <w:pPr>
        <w:numPr>
          <w:ilvl w:val="2"/>
          <w:numId w:val="13"/>
        </w:numPr>
        <w:tabs>
          <w:tab w:val="clear" w:pos="2160"/>
          <w:tab w:val="num" w:pos="1134"/>
        </w:tabs>
        <w:ind w:left="1276" w:hanging="567"/>
        <w:jc w:val="both"/>
        <w:rPr>
          <w:rFonts w:asciiTheme="minorHAnsi" w:hAnsiTheme="minorHAnsi" w:cstheme="minorHAnsi"/>
          <w:sz w:val="22"/>
          <w:szCs w:val="22"/>
        </w:rPr>
      </w:pPr>
      <w:r w:rsidRPr="00FC30DC">
        <w:rPr>
          <w:rFonts w:asciiTheme="minorHAnsi" w:hAnsiTheme="minorHAnsi" w:cstheme="minorHAnsi"/>
          <w:sz w:val="22"/>
          <w:szCs w:val="22"/>
        </w:rPr>
        <w:t>r</w:t>
      </w:r>
      <w:r w:rsidR="00B917C1" w:rsidRPr="00FC30DC">
        <w:rPr>
          <w:rFonts w:asciiTheme="minorHAnsi" w:hAnsiTheme="minorHAnsi" w:cstheme="minorHAnsi"/>
          <w:sz w:val="22"/>
          <w:szCs w:val="22"/>
        </w:rPr>
        <w:t xml:space="preserve">eklamní a marketingové služby </w:t>
      </w:r>
      <w:r w:rsidR="00B917C1" w:rsidRPr="00FC30DC">
        <w:rPr>
          <w:rFonts w:asciiTheme="minorHAnsi" w:hAnsiTheme="minorHAnsi" w:cstheme="minorHAnsi"/>
          <w:szCs w:val="22"/>
        </w:rPr>
        <w:t>(</w:t>
      </w:r>
      <w:r w:rsidR="00FC30DC" w:rsidRPr="00FC30DC">
        <w:rPr>
          <w:rFonts w:asciiTheme="minorHAnsi" w:hAnsiTheme="minorHAnsi" w:cstheme="minorHAnsi"/>
          <w:sz w:val="22"/>
          <w:szCs w:val="22"/>
        </w:rPr>
        <w:t>13,</w:t>
      </w:r>
      <w:r w:rsidR="00336846">
        <w:rPr>
          <w:rFonts w:asciiTheme="minorHAnsi" w:hAnsiTheme="minorHAnsi" w:cstheme="minorHAnsi"/>
          <w:sz w:val="22"/>
          <w:szCs w:val="22"/>
        </w:rPr>
        <w:t>99</w:t>
      </w:r>
      <w:r w:rsidR="00FC30DC" w:rsidRPr="00FC30DC">
        <w:rPr>
          <w:rFonts w:asciiTheme="minorHAnsi" w:hAnsiTheme="minorHAnsi" w:cstheme="minorHAnsi"/>
          <w:sz w:val="22"/>
          <w:szCs w:val="22"/>
        </w:rPr>
        <w:t xml:space="preserve"> </w:t>
      </w:r>
      <w:r w:rsidR="00B917C1" w:rsidRPr="00FC30DC">
        <w:rPr>
          <w:rFonts w:asciiTheme="minorHAnsi" w:hAnsiTheme="minorHAnsi" w:cstheme="minorHAnsi"/>
          <w:sz w:val="22"/>
          <w:szCs w:val="22"/>
        </w:rPr>
        <w:t>mil. Kč)</w:t>
      </w:r>
      <w:r w:rsidR="00C67C1F" w:rsidRPr="00FC30DC">
        <w:rPr>
          <w:rFonts w:asciiTheme="minorHAnsi" w:hAnsiTheme="minorHAnsi" w:cstheme="minorHAnsi"/>
          <w:sz w:val="22"/>
          <w:szCs w:val="22"/>
        </w:rPr>
        <w:t>,</w:t>
      </w:r>
    </w:p>
    <w:p w:rsidR="002C25BD" w:rsidRPr="00FC30DC" w:rsidRDefault="002C25BD" w:rsidP="00865B7B">
      <w:pPr>
        <w:pStyle w:val="Odstavecseseznamem"/>
        <w:numPr>
          <w:ilvl w:val="3"/>
          <w:numId w:val="13"/>
        </w:numPr>
        <w:tabs>
          <w:tab w:val="clear" w:pos="2880"/>
          <w:tab w:val="num" w:pos="1134"/>
          <w:tab w:val="num" w:pos="1843"/>
        </w:tabs>
        <w:ind w:left="2874" w:hanging="1314"/>
        <w:rPr>
          <w:rFonts w:asciiTheme="minorHAnsi" w:hAnsiTheme="minorHAnsi" w:cstheme="minorHAnsi"/>
          <w:sz w:val="22"/>
          <w:szCs w:val="22"/>
        </w:rPr>
      </w:pPr>
      <w:r w:rsidRPr="00FC30DC">
        <w:rPr>
          <w:rFonts w:asciiTheme="minorHAnsi" w:hAnsiTheme="minorHAnsi" w:cstheme="minorHAnsi"/>
          <w:sz w:val="22"/>
          <w:szCs w:val="22"/>
        </w:rPr>
        <w:t>LHK Jestřábi Prostějov A-team, s.</w:t>
      </w:r>
      <w:r w:rsidR="00FC30DC" w:rsidRPr="00FC30DC">
        <w:rPr>
          <w:rFonts w:asciiTheme="minorHAnsi" w:hAnsiTheme="minorHAnsi" w:cstheme="minorHAnsi"/>
          <w:sz w:val="22"/>
          <w:szCs w:val="22"/>
        </w:rPr>
        <w:t xml:space="preserve"> </w:t>
      </w:r>
      <w:r w:rsidRPr="00FC30DC">
        <w:rPr>
          <w:rFonts w:asciiTheme="minorHAnsi" w:hAnsiTheme="minorHAnsi" w:cstheme="minorHAnsi"/>
          <w:sz w:val="22"/>
          <w:szCs w:val="22"/>
        </w:rPr>
        <w:t>r.</w:t>
      </w:r>
      <w:r w:rsidR="00FC30DC" w:rsidRPr="00FC30DC">
        <w:rPr>
          <w:rFonts w:asciiTheme="minorHAnsi" w:hAnsiTheme="minorHAnsi" w:cstheme="minorHAnsi"/>
          <w:sz w:val="22"/>
          <w:szCs w:val="22"/>
        </w:rPr>
        <w:t xml:space="preserve"> </w:t>
      </w:r>
      <w:r w:rsidRPr="00FC30DC">
        <w:rPr>
          <w:rFonts w:asciiTheme="minorHAnsi" w:hAnsiTheme="minorHAnsi" w:cstheme="minorHAnsi"/>
          <w:sz w:val="22"/>
          <w:szCs w:val="22"/>
        </w:rPr>
        <w:t>o. (</w:t>
      </w:r>
      <w:r w:rsidR="00336846">
        <w:rPr>
          <w:rFonts w:asciiTheme="minorHAnsi" w:hAnsiTheme="minorHAnsi" w:cstheme="minorHAnsi"/>
          <w:sz w:val="22"/>
          <w:szCs w:val="22"/>
        </w:rPr>
        <w:t>5</w:t>
      </w:r>
      <w:r w:rsidRPr="00FC30DC">
        <w:rPr>
          <w:rFonts w:asciiTheme="minorHAnsi" w:hAnsiTheme="minorHAnsi" w:cstheme="minorHAnsi"/>
          <w:sz w:val="22"/>
          <w:szCs w:val="22"/>
        </w:rPr>
        <w:t xml:space="preserve"> mil. Kč),</w:t>
      </w:r>
    </w:p>
    <w:p w:rsidR="002C25BD" w:rsidRPr="00FC30DC" w:rsidRDefault="002C25BD" w:rsidP="00865B7B">
      <w:pPr>
        <w:pStyle w:val="Odstavecseseznamem"/>
        <w:numPr>
          <w:ilvl w:val="3"/>
          <w:numId w:val="13"/>
        </w:numPr>
        <w:tabs>
          <w:tab w:val="clear" w:pos="2880"/>
          <w:tab w:val="num" w:pos="1134"/>
          <w:tab w:val="num" w:pos="1843"/>
        </w:tabs>
        <w:ind w:left="2874" w:hanging="1314"/>
        <w:rPr>
          <w:rFonts w:asciiTheme="minorHAnsi" w:hAnsiTheme="minorHAnsi" w:cstheme="minorHAnsi"/>
          <w:sz w:val="22"/>
          <w:szCs w:val="22"/>
        </w:rPr>
      </w:pPr>
      <w:r w:rsidRPr="00FC30DC">
        <w:rPr>
          <w:rFonts w:asciiTheme="minorHAnsi" w:hAnsiTheme="minorHAnsi" w:cstheme="minorHAnsi"/>
          <w:sz w:val="22"/>
          <w:szCs w:val="22"/>
        </w:rPr>
        <w:t xml:space="preserve">1. SK Prostějov, </w:t>
      </w:r>
      <w:r w:rsidR="00336846">
        <w:rPr>
          <w:rFonts w:asciiTheme="minorHAnsi" w:hAnsiTheme="minorHAnsi" w:cstheme="minorHAnsi"/>
          <w:sz w:val="22"/>
          <w:szCs w:val="22"/>
        </w:rPr>
        <w:t>fotbalový klub, a. s.</w:t>
      </w:r>
      <w:r w:rsidR="00FC30DC" w:rsidRPr="00FC30DC">
        <w:rPr>
          <w:rFonts w:asciiTheme="minorHAnsi" w:hAnsiTheme="minorHAnsi" w:cstheme="minorHAnsi"/>
          <w:sz w:val="22"/>
          <w:szCs w:val="22"/>
        </w:rPr>
        <w:t xml:space="preserve"> </w:t>
      </w:r>
      <w:r w:rsidRPr="00FC30DC">
        <w:rPr>
          <w:rFonts w:asciiTheme="minorHAnsi" w:hAnsiTheme="minorHAnsi" w:cstheme="minorHAnsi"/>
          <w:sz w:val="22"/>
          <w:szCs w:val="22"/>
        </w:rPr>
        <w:t xml:space="preserve"> (</w:t>
      </w:r>
      <w:r w:rsidR="00A00EDB">
        <w:rPr>
          <w:rFonts w:asciiTheme="minorHAnsi" w:hAnsiTheme="minorHAnsi" w:cstheme="minorHAnsi"/>
          <w:sz w:val="22"/>
          <w:szCs w:val="22"/>
        </w:rPr>
        <w:t>5</w:t>
      </w:r>
      <w:r w:rsidRPr="00FC30DC">
        <w:rPr>
          <w:rFonts w:asciiTheme="minorHAnsi" w:hAnsiTheme="minorHAnsi" w:cstheme="minorHAnsi"/>
          <w:sz w:val="22"/>
          <w:szCs w:val="22"/>
        </w:rPr>
        <w:t xml:space="preserve"> mil. Kč), </w:t>
      </w:r>
    </w:p>
    <w:p w:rsidR="002C25BD" w:rsidRPr="00FC30DC" w:rsidRDefault="00B917C1" w:rsidP="00865B7B">
      <w:pPr>
        <w:pStyle w:val="Odstavecseseznamem"/>
        <w:numPr>
          <w:ilvl w:val="3"/>
          <w:numId w:val="13"/>
        </w:numPr>
        <w:tabs>
          <w:tab w:val="clear" w:pos="2880"/>
          <w:tab w:val="num" w:pos="1134"/>
          <w:tab w:val="num" w:pos="1843"/>
        </w:tabs>
        <w:ind w:left="2874" w:hanging="1314"/>
        <w:rPr>
          <w:rFonts w:asciiTheme="minorHAnsi" w:hAnsiTheme="minorHAnsi" w:cstheme="minorHAnsi"/>
          <w:sz w:val="22"/>
          <w:szCs w:val="22"/>
        </w:rPr>
      </w:pPr>
      <w:r w:rsidRPr="00FC30DC">
        <w:rPr>
          <w:rFonts w:asciiTheme="minorHAnsi" w:hAnsiTheme="minorHAnsi" w:cstheme="minorHAnsi"/>
          <w:sz w:val="22"/>
          <w:szCs w:val="22"/>
        </w:rPr>
        <w:t>Prostějovský volejbal</w:t>
      </w:r>
      <w:r w:rsidR="00C67C1F" w:rsidRPr="00FC30DC">
        <w:rPr>
          <w:rFonts w:asciiTheme="minorHAnsi" w:hAnsiTheme="minorHAnsi" w:cstheme="minorHAnsi"/>
          <w:sz w:val="22"/>
          <w:szCs w:val="22"/>
        </w:rPr>
        <w:t>,</w:t>
      </w:r>
      <w:r w:rsidR="0012477A" w:rsidRPr="00FC30DC">
        <w:rPr>
          <w:rFonts w:asciiTheme="minorHAnsi" w:hAnsiTheme="minorHAnsi" w:cstheme="minorHAnsi"/>
          <w:sz w:val="22"/>
          <w:szCs w:val="22"/>
        </w:rPr>
        <w:t xml:space="preserve"> s.</w:t>
      </w:r>
      <w:r w:rsidR="00FC30DC" w:rsidRPr="00FC30DC">
        <w:rPr>
          <w:rFonts w:asciiTheme="minorHAnsi" w:hAnsiTheme="minorHAnsi" w:cstheme="minorHAnsi"/>
          <w:sz w:val="22"/>
          <w:szCs w:val="22"/>
        </w:rPr>
        <w:t xml:space="preserve"> </w:t>
      </w:r>
      <w:r w:rsidR="0012477A" w:rsidRPr="00FC30DC">
        <w:rPr>
          <w:rFonts w:asciiTheme="minorHAnsi" w:hAnsiTheme="minorHAnsi" w:cstheme="minorHAnsi"/>
          <w:sz w:val="22"/>
          <w:szCs w:val="22"/>
        </w:rPr>
        <w:t>r.</w:t>
      </w:r>
      <w:r w:rsidR="00FC30DC" w:rsidRPr="00FC30DC">
        <w:rPr>
          <w:rFonts w:asciiTheme="minorHAnsi" w:hAnsiTheme="minorHAnsi" w:cstheme="minorHAnsi"/>
          <w:sz w:val="22"/>
          <w:szCs w:val="22"/>
        </w:rPr>
        <w:t xml:space="preserve"> </w:t>
      </w:r>
      <w:r w:rsidR="0012477A" w:rsidRPr="00FC30DC">
        <w:rPr>
          <w:rFonts w:asciiTheme="minorHAnsi" w:hAnsiTheme="minorHAnsi" w:cstheme="minorHAnsi"/>
          <w:sz w:val="22"/>
          <w:szCs w:val="22"/>
        </w:rPr>
        <w:t>o.  (</w:t>
      </w:r>
      <w:r w:rsidR="00A00EDB">
        <w:rPr>
          <w:rFonts w:asciiTheme="minorHAnsi" w:hAnsiTheme="minorHAnsi" w:cstheme="minorHAnsi"/>
          <w:sz w:val="22"/>
          <w:szCs w:val="22"/>
        </w:rPr>
        <w:t>3,99</w:t>
      </w:r>
      <w:r w:rsidR="00336846">
        <w:rPr>
          <w:rFonts w:asciiTheme="minorHAnsi" w:hAnsiTheme="minorHAnsi" w:cstheme="minorHAnsi"/>
          <w:sz w:val="22"/>
          <w:szCs w:val="22"/>
        </w:rPr>
        <w:t xml:space="preserve"> </w:t>
      </w:r>
      <w:r w:rsidRPr="00FC30DC">
        <w:rPr>
          <w:rFonts w:asciiTheme="minorHAnsi" w:hAnsiTheme="minorHAnsi" w:cstheme="minorHAnsi"/>
          <w:sz w:val="22"/>
          <w:szCs w:val="22"/>
        </w:rPr>
        <w:t>mil. Kč)</w:t>
      </w:r>
      <w:r w:rsidR="00C67C1F" w:rsidRPr="00FC30DC">
        <w:rPr>
          <w:rFonts w:asciiTheme="minorHAnsi" w:hAnsiTheme="minorHAnsi" w:cstheme="minorHAnsi"/>
          <w:sz w:val="22"/>
          <w:szCs w:val="22"/>
        </w:rPr>
        <w:t>,</w:t>
      </w:r>
    </w:p>
    <w:p w:rsidR="00554F83" w:rsidRPr="00865B7B" w:rsidRDefault="00554F83" w:rsidP="00865B7B">
      <w:pPr>
        <w:numPr>
          <w:ilvl w:val="2"/>
          <w:numId w:val="13"/>
        </w:numPr>
        <w:tabs>
          <w:tab w:val="clear" w:pos="2160"/>
          <w:tab w:val="num" w:pos="1134"/>
        </w:tabs>
        <w:ind w:left="1276" w:hanging="567"/>
        <w:jc w:val="both"/>
        <w:rPr>
          <w:rFonts w:asciiTheme="minorHAnsi" w:hAnsiTheme="minorHAnsi" w:cstheme="minorHAnsi"/>
          <w:sz w:val="22"/>
          <w:szCs w:val="22"/>
        </w:rPr>
      </w:pPr>
      <w:r w:rsidRPr="00865B7B">
        <w:rPr>
          <w:rFonts w:asciiTheme="minorHAnsi" w:hAnsiTheme="minorHAnsi" w:cstheme="minorHAnsi"/>
          <w:sz w:val="22"/>
          <w:szCs w:val="22"/>
        </w:rPr>
        <w:t>kap. 11 – správa a zabezpečení (</w:t>
      </w:r>
      <w:r w:rsidR="00A00EDB">
        <w:rPr>
          <w:rFonts w:asciiTheme="minorHAnsi" w:hAnsiTheme="minorHAnsi" w:cstheme="minorHAnsi"/>
          <w:sz w:val="22"/>
          <w:szCs w:val="22"/>
        </w:rPr>
        <w:t>13,24</w:t>
      </w:r>
      <w:r w:rsidRPr="00865B7B">
        <w:rPr>
          <w:rFonts w:asciiTheme="minorHAnsi" w:hAnsiTheme="minorHAnsi" w:cstheme="minorHAnsi"/>
          <w:sz w:val="22"/>
          <w:szCs w:val="22"/>
        </w:rPr>
        <w:t xml:space="preserve"> mil. Kč)</w:t>
      </w:r>
    </w:p>
    <w:p w:rsidR="00554F83" w:rsidRDefault="00554F83" w:rsidP="00865B7B">
      <w:pPr>
        <w:numPr>
          <w:ilvl w:val="3"/>
          <w:numId w:val="13"/>
        </w:numPr>
        <w:tabs>
          <w:tab w:val="clear" w:pos="2880"/>
          <w:tab w:val="num" w:pos="1134"/>
          <w:tab w:val="num" w:pos="1985"/>
        </w:tabs>
        <w:ind w:left="1701" w:hanging="141"/>
        <w:jc w:val="both"/>
        <w:rPr>
          <w:rFonts w:asciiTheme="minorHAnsi" w:hAnsiTheme="minorHAnsi" w:cstheme="minorHAnsi"/>
          <w:sz w:val="22"/>
          <w:szCs w:val="22"/>
        </w:rPr>
      </w:pPr>
      <w:r w:rsidRPr="00865B7B">
        <w:rPr>
          <w:rFonts w:asciiTheme="minorHAnsi" w:hAnsiTheme="minorHAnsi" w:cstheme="minorHAnsi"/>
          <w:sz w:val="22"/>
          <w:szCs w:val="22"/>
        </w:rPr>
        <w:t>příspěvky na stravenky, revize, servisní práce, úklid budov, zveřejnění inzerátů, odvoz odpadu, platby bezpečnostní agentuře, znalecké posudky pro odd. přestupků</w:t>
      </w:r>
      <w:r w:rsidR="007A6A6C">
        <w:rPr>
          <w:rFonts w:asciiTheme="minorHAnsi" w:hAnsiTheme="minorHAnsi" w:cstheme="minorHAnsi"/>
          <w:sz w:val="22"/>
          <w:szCs w:val="22"/>
        </w:rPr>
        <w:t>, sociální pohřby</w:t>
      </w:r>
    </w:p>
    <w:p w:rsidR="00865B7B" w:rsidRPr="00865B7B" w:rsidRDefault="00865B7B" w:rsidP="00865B7B">
      <w:pPr>
        <w:ind w:left="1701"/>
        <w:jc w:val="both"/>
        <w:rPr>
          <w:rFonts w:asciiTheme="minorHAnsi" w:hAnsiTheme="minorHAnsi" w:cstheme="minorHAnsi"/>
          <w:sz w:val="22"/>
          <w:szCs w:val="22"/>
        </w:rPr>
      </w:pPr>
    </w:p>
    <w:p w:rsidR="007114BA" w:rsidRPr="00FC30DC" w:rsidRDefault="007114BA" w:rsidP="00F01E5D">
      <w:pPr>
        <w:keepNext/>
        <w:keepLines/>
        <w:numPr>
          <w:ilvl w:val="0"/>
          <w:numId w:val="27"/>
        </w:numPr>
        <w:spacing w:after="60"/>
        <w:ind w:left="714" w:hanging="357"/>
        <w:jc w:val="both"/>
        <w:rPr>
          <w:rFonts w:asciiTheme="minorHAnsi" w:hAnsiTheme="minorHAnsi" w:cstheme="minorHAnsi"/>
          <w:sz w:val="22"/>
          <w:szCs w:val="22"/>
        </w:rPr>
      </w:pPr>
      <w:r w:rsidRPr="00FC30DC">
        <w:rPr>
          <w:rFonts w:asciiTheme="minorHAnsi" w:hAnsiTheme="minorHAnsi" w:cstheme="minorHAnsi"/>
          <w:sz w:val="22"/>
          <w:szCs w:val="22"/>
          <w:u w:val="single"/>
        </w:rPr>
        <w:t>opravy a udržování</w:t>
      </w:r>
      <w:r w:rsidRPr="00FC30DC">
        <w:rPr>
          <w:rFonts w:asciiTheme="minorHAnsi" w:hAnsiTheme="minorHAnsi" w:cstheme="minorHAnsi"/>
          <w:sz w:val="22"/>
          <w:szCs w:val="22"/>
        </w:rPr>
        <w:t xml:space="preserve"> (</w:t>
      </w:r>
      <w:r w:rsidR="007A6A6C">
        <w:rPr>
          <w:rFonts w:asciiTheme="minorHAnsi" w:hAnsiTheme="minorHAnsi" w:cstheme="minorHAnsi"/>
          <w:sz w:val="22"/>
          <w:szCs w:val="22"/>
        </w:rPr>
        <w:t>97,46</w:t>
      </w:r>
      <w:r w:rsidR="00260EE3" w:rsidRPr="00FC30DC">
        <w:rPr>
          <w:rFonts w:asciiTheme="minorHAnsi" w:hAnsiTheme="minorHAnsi" w:cstheme="minorHAnsi"/>
          <w:sz w:val="22"/>
          <w:szCs w:val="22"/>
        </w:rPr>
        <w:t xml:space="preserve"> </w:t>
      </w:r>
      <w:r w:rsidRPr="00FC30DC">
        <w:rPr>
          <w:rFonts w:asciiTheme="minorHAnsi" w:hAnsiTheme="minorHAnsi" w:cstheme="minorHAnsi"/>
          <w:sz w:val="22"/>
          <w:szCs w:val="22"/>
        </w:rPr>
        <w:t>mil.</w:t>
      </w:r>
      <w:r w:rsidR="00CD2D46" w:rsidRPr="00FC30DC">
        <w:rPr>
          <w:rFonts w:asciiTheme="minorHAnsi" w:hAnsiTheme="minorHAnsi" w:cstheme="minorHAnsi"/>
          <w:sz w:val="22"/>
          <w:szCs w:val="22"/>
        </w:rPr>
        <w:t> Kč</w:t>
      </w:r>
      <w:r w:rsidRPr="00FC30DC">
        <w:rPr>
          <w:rFonts w:asciiTheme="minorHAnsi" w:hAnsiTheme="minorHAnsi" w:cstheme="minorHAnsi"/>
          <w:sz w:val="22"/>
          <w:szCs w:val="22"/>
        </w:rPr>
        <w:t>)</w:t>
      </w:r>
      <w:r w:rsidR="005F6A8D" w:rsidRPr="00FC30DC">
        <w:rPr>
          <w:rFonts w:asciiTheme="minorHAnsi" w:hAnsiTheme="minorHAnsi" w:cstheme="minorHAnsi"/>
          <w:sz w:val="22"/>
          <w:szCs w:val="22"/>
        </w:rPr>
        <w:t>,</w:t>
      </w:r>
    </w:p>
    <w:p w:rsidR="00A131A2" w:rsidRPr="00186822" w:rsidRDefault="007114BA" w:rsidP="005F6A8D">
      <w:pPr>
        <w:pStyle w:val="Odstavecseseznamem"/>
        <w:keepNext/>
        <w:keepLines/>
        <w:numPr>
          <w:ilvl w:val="0"/>
          <w:numId w:val="26"/>
        </w:numPr>
        <w:ind w:left="1276" w:hanging="283"/>
        <w:rPr>
          <w:rFonts w:asciiTheme="minorHAnsi" w:hAnsiTheme="minorHAnsi" w:cstheme="minorHAnsi"/>
          <w:sz w:val="22"/>
          <w:szCs w:val="22"/>
        </w:rPr>
      </w:pPr>
      <w:r w:rsidRPr="00186822">
        <w:rPr>
          <w:rFonts w:asciiTheme="minorHAnsi" w:hAnsiTheme="minorHAnsi" w:cstheme="minorHAnsi"/>
          <w:sz w:val="22"/>
          <w:szCs w:val="22"/>
        </w:rPr>
        <w:t>na kap. 90</w:t>
      </w:r>
      <w:r w:rsidR="005F6A8D" w:rsidRPr="00186822">
        <w:rPr>
          <w:rFonts w:asciiTheme="minorHAnsi" w:hAnsiTheme="minorHAnsi" w:cstheme="minorHAnsi"/>
          <w:sz w:val="22"/>
          <w:szCs w:val="22"/>
        </w:rPr>
        <w:t xml:space="preserve"> – správa a údržba majetku města </w:t>
      </w:r>
      <w:r w:rsidRPr="00186822">
        <w:rPr>
          <w:rFonts w:asciiTheme="minorHAnsi" w:hAnsiTheme="minorHAnsi" w:cstheme="minorHAnsi"/>
          <w:sz w:val="22"/>
          <w:szCs w:val="22"/>
        </w:rPr>
        <w:t xml:space="preserve"> (</w:t>
      </w:r>
      <w:r w:rsidR="00705F57">
        <w:rPr>
          <w:rFonts w:asciiTheme="minorHAnsi" w:hAnsiTheme="minorHAnsi" w:cstheme="minorHAnsi"/>
          <w:sz w:val="22"/>
          <w:szCs w:val="22"/>
        </w:rPr>
        <w:t xml:space="preserve">49,48 </w:t>
      </w:r>
      <w:r w:rsidR="00475983" w:rsidRPr="00186822">
        <w:rPr>
          <w:rFonts w:asciiTheme="minorHAnsi" w:hAnsiTheme="minorHAnsi" w:cstheme="minorHAnsi"/>
          <w:sz w:val="22"/>
          <w:szCs w:val="22"/>
        </w:rPr>
        <w:t>mil. Kč</w:t>
      </w:r>
      <w:r w:rsidRPr="00186822">
        <w:rPr>
          <w:rFonts w:asciiTheme="minorHAnsi" w:hAnsiTheme="minorHAnsi" w:cstheme="minorHAnsi"/>
          <w:sz w:val="22"/>
          <w:szCs w:val="22"/>
        </w:rPr>
        <w:t>)</w:t>
      </w:r>
      <w:r w:rsidR="00A131A2" w:rsidRPr="00186822">
        <w:rPr>
          <w:rFonts w:asciiTheme="minorHAnsi" w:hAnsiTheme="minorHAnsi" w:cstheme="minorHAnsi"/>
          <w:sz w:val="22"/>
          <w:szCs w:val="22"/>
        </w:rPr>
        <w:t>,</w:t>
      </w:r>
      <w:r w:rsidRPr="00186822">
        <w:rPr>
          <w:rFonts w:asciiTheme="minorHAnsi" w:hAnsiTheme="minorHAnsi" w:cstheme="minorHAnsi"/>
          <w:sz w:val="22"/>
          <w:szCs w:val="22"/>
        </w:rPr>
        <w:t xml:space="preserve"> </w:t>
      </w:r>
    </w:p>
    <w:p w:rsidR="00A131A2" w:rsidRPr="00186822" w:rsidRDefault="00475983" w:rsidP="00A131A2">
      <w:pPr>
        <w:pStyle w:val="Odstavecseseznamem"/>
        <w:keepNext/>
        <w:keepLines/>
        <w:numPr>
          <w:ilvl w:val="0"/>
          <w:numId w:val="27"/>
        </w:numPr>
        <w:tabs>
          <w:tab w:val="clear" w:pos="720"/>
          <w:tab w:val="num" w:pos="1843"/>
        </w:tabs>
        <w:ind w:left="1985" w:hanging="425"/>
        <w:rPr>
          <w:rFonts w:asciiTheme="minorHAnsi" w:hAnsiTheme="minorHAnsi" w:cstheme="minorHAnsi"/>
          <w:sz w:val="22"/>
          <w:szCs w:val="22"/>
        </w:rPr>
      </w:pPr>
      <w:r w:rsidRPr="00186822">
        <w:rPr>
          <w:rFonts w:asciiTheme="minorHAnsi" w:hAnsiTheme="minorHAnsi" w:cstheme="minorHAnsi"/>
          <w:sz w:val="22"/>
          <w:szCs w:val="22"/>
        </w:rPr>
        <w:t xml:space="preserve"> bytové a nebytové prostory</w:t>
      </w:r>
      <w:r w:rsidR="007114BA" w:rsidRPr="00186822">
        <w:rPr>
          <w:rFonts w:asciiTheme="minorHAnsi" w:hAnsiTheme="minorHAnsi" w:cstheme="minorHAnsi"/>
          <w:sz w:val="22"/>
          <w:szCs w:val="22"/>
        </w:rPr>
        <w:t xml:space="preserve"> (</w:t>
      </w:r>
      <w:r w:rsidR="00705F57">
        <w:rPr>
          <w:rFonts w:asciiTheme="minorHAnsi" w:hAnsiTheme="minorHAnsi" w:cstheme="minorHAnsi"/>
          <w:sz w:val="22"/>
          <w:szCs w:val="22"/>
        </w:rPr>
        <w:t>25,03</w:t>
      </w:r>
      <w:r w:rsidR="007114BA" w:rsidRPr="00186822">
        <w:rPr>
          <w:rFonts w:asciiTheme="minorHAnsi" w:hAnsiTheme="minorHAnsi" w:cstheme="minorHAnsi"/>
          <w:sz w:val="22"/>
          <w:szCs w:val="22"/>
        </w:rPr>
        <w:t xml:space="preserve"> mil.</w:t>
      </w:r>
      <w:r w:rsidRPr="00186822">
        <w:rPr>
          <w:rFonts w:asciiTheme="minorHAnsi" w:hAnsiTheme="minorHAnsi" w:cstheme="minorHAnsi"/>
          <w:sz w:val="22"/>
          <w:szCs w:val="22"/>
        </w:rPr>
        <w:t xml:space="preserve"> Kč</w:t>
      </w:r>
      <w:r w:rsidR="007114BA" w:rsidRPr="00186822">
        <w:rPr>
          <w:rFonts w:asciiTheme="minorHAnsi" w:hAnsiTheme="minorHAnsi" w:cstheme="minorHAnsi"/>
          <w:sz w:val="22"/>
          <w:szCs w:val="22"/>
        </w:rPr>
        <w:t>)</w:t>
      </w:r>
      <w:r w:rsidR="00A131A2" w:rsidRPr="00186822">
        <w:rPr>
          <w:rFonts w:asciiTheme="minorHAnsi" w:hAnsiTheme="minorHAnsi" w:cstheme="minorHAnsi"/>
          <w:sz w:val="22"/>
          <w:szCs w:val="22"/>
        </w:rPr>
        <w:t>,</w:t>
      </w:r>
    </w:p>
    <w:p w:rsidR="00A131A2" w:rsidRPr="00186822" w:rsidRDefault="007114BA" w:rsidP="00A131A2">
      <w:pPr>
        <w:pStyle w:val="Odstavecseseznamem"/>
        <w:keepNext/>
        <w:keepLines/>
        <w:numPr>
          <w:ilvl w:val="0"/>
          <w:numId w:val="27"/>
        </w:numPr>
        <w:tabs>
          <w:tab w:val="clear" w:pos="720"/>
          <w:tab w:val="num" w:pos="1843"/>
        </w:tabs>
        <w:ind w:left="1985" w:hanging="425"/>
        <w:rPr>
          <w:rFonts w:asciiTheme="minorHAnsi" w:hAnsiTheme="minorHAnsi" w:cstheme="minorHAnsi"/>
          <w:sz w:val="22"/>
          <w:szCs w:val="22"/>
        </w:rPr>
      </w:pPr>
      <w:r w:rsidRPr="00186822">
        <w:rPr>
          <w:rFonts w:asciiTheme="minorHAnsi" w:hAnsiTheme="minorHAnsi" w:cstheme="minorHAnsi"/>
          <w:sz w:val="22"/>
          <w:szCs w:val="22"/>
        </w:rPr>
        <w:t xml:space="preserve"> komunikace</w:t>
      </w:r>
      <w:r w:rsidR="00AE63B5" w:rsidRPr="00186822">
        <w:rPr>
          <w:rFonts w:asciiTheme="minorHAnsi" w:hAnsiTheme="minorHAnsi" w:cstheme="minorHAnsi"/>
          <w:sz w:val="22"/>
          <w:szCs w:val="22"/>
        </w:rPr>
        <w:t> </w:t>
      </w:r>
      <w:r w:rsidR="00475983" w:rsidRPr="00186822">
        <w:rPr>
          <w:rFonts w:asciiTheme="minorHAnsi" w:hAnsiTheme="minorHAnsi" w:cstheme="minorHAnsi"/>
          <w:sz w:val="22"/>
          <w:szCs w:val="22"/>
        </w:rPr>
        <w:t>-</w:t>
      </w:r>
      <w:r w:rsidR="00AE63B5" w:rsidRPr="00186822">
        <w:rPr>
          <w:rFonts w:asciiTheme="minorHAnsi" w:hAnsiTheme="minorHAnsi" w:cstheme="minorHAnsi"/>
          <w:sz w:val="22"/>
          <w:szCs w:val="22"/>
        </w:rPr>
        <w:t> </w:t>
      </w:r>
      <w:r w:rsidR="00475983" w:rsidRPr="00186822">
        <w:rPr>
          <w:rFonts w:asciiTheme="minorHAnsi" w:hAnsiTheme="minorHAnsi" w:cstheme="minorHAnsi"/>
          <w:sz w:val="22"/>
          <w:szCs w:val="22"/>
        </w:rPr>
        <w:t xml:space="preserve">zimní </w:t>
      </w:r>
      <w:r w:rsidR="00A131A2" w:rsidRPr="00186822">
        <w:rPr>
          <w:rFonts w:asciiTheme="minorHAnsi" w:hAnsiTheme="minorHAnsi" w:cstheme="minorHAnsi"/>
          <w:sz w:val="22"/>
          <w:szCs w:val="22"/>
        </w:rPr>
        <w:t xml:space="preserve"> </w:t>
      </w:r>
      <w:r w:rsidR="00475983" w:rsidRPr="00186822">
        <w:rPr>
          <w:rFonts w:asciiTheme="minorHAnsi" w:hAnsiTheme="minorHAnsi" w:cstheme="minorHAnsi"/>
          <w:sz w:val="22"/>
          <w:szCs w:val="22"/>
        </w:rPr>
        <w:t xml:space="preserve">údržba </w:t>
      </w:r>
      <w:r w:rsidRPr="00186822">
        <w:rPr>
          <w:rFonts w:asciiTheme="minorHAnsi" w:hAnsiTheme="minorHAnsi" w:cstheme="minorHAnsi"/>
          <w:sz w:val="22"/>
          <w:szCs w:val="22"/>
        </w:rPr>
        <w:t>(</w:t>
      </w:r>
      <w:r w:rsidR="00186822" w:rsidRPr="00186822">
        <w:rPr>
          <w:rFonts w:asciiTheme="minorHAnsi" w:hAnsiTheme="minorHAnsi" w:cstheme="minorHAnsi"/>
          <w:sz w:val="22"/>
          <w:szCs w:val="22"/>
        </w:rPr>
        <w:t>13</w:t>
      </w:r>
      <w:r w:rsidR="00705F57">
        <w:rPr>
          <w:rFonts w:asciiTheme="minorHAnsi" w:hAnsiTheme="minorHAnsi" w:cstheme="minorHAnsi"/>
          <w:sz w:val="22"/>
          <w:szCs w:val="22"/>
        </w:rPr>
        <w:t>,96</w:t>
      </w:r>
      <w:r w:rsidRPr="00186822">
        <w:rPr>
          <w:rFonts w:asciiTheme="minorHAnsi" w:hAnsiTheme="minorHAnsi" w:cstheme="minorHAnsi"/>
          <w:sz w:val="22"/>
          <w:szCs w:val="22"/>
        </w:rPr>
        <w:t xml:space="preserve"> mil.</w:t>
      </w:r>
      <w:r w:rsidR="00475983" w:rsidRPr="00186822">
        <w:rPr>
          <w:rFonts w:asciiTheme="minorHAnsi" w:hAnsiTheme="minorHAnsi" w:cstheme="minorHAnsi"/>
          <w:sz w:val="22"/>
          <w:szCs w:val="22"/>
        </w:rPr>
        <w:t xml:space="preserve"> Kč</w:t>
      </w:r>
      <w:r w:rsidRPr="00186822">
        <w:rPr>
          <w:rFonts w:asciiTheme="minorHAnsi" w:hAnsiTheme="minorHAnsi" w:cstheme="minorHAnsi"/>
          <w:sz w:val="22"/>
          <w:szCs w:val="22"/>
        </w:rPr>
        <w:t>)</w:t>
      </w:r>
      <w:r w:rsidR="00A131A2" w:rsidRPr="00186822">
        <w:rPr>
          <w:rFonts w:asciiTheme="minorHAnsi" w:hAnsiTheme="minorHAnsi" w:cstheme="minorHAnsi"/>
          <w:sz w:val="22"/>
          <w:szCs w:val="22"/>
        </w:rPr>
        <w:t>,</w:t>
      </w:r>
    </w:p>
    <w:p w:rsidR="005F6A8D" w:rsidRPr="00186822" w:rsidRDefault="007114BA" w:rsidP="00A131A2">
      <w:pPr>
        <w:pStyle w:val="Odstavecseseznamem"/>
        <w:keepNext/>
        <w:keepLines/>
        <w:numPr>
          <w:ilvl w:val="0"/>
          <w:numId w:val="27"/>
        </w:numPr>
        <w:tabs>
          <w:tab w:val="clear" w:pos="720"/>
          <w:tab w:val="num" w:pos="1843"/>
        </w:tabs>
        <w:ind w:left="1985" w:hanging="425"/>
        <w:rPr>
          <w:rFonts w:asciiTheme="minorHAnsi" w:hAnsiTheme="minorHAnsi" w:cstheme="minorHAnsi"/>
          <w:sz w:val="22"/>
          <w:szCs w:val="22"/>
        </w:rPr>
      </w:pPr>
      <w:r w:rsidRPr="00186822">
        <w:rPr>
          <w:rFonts w:asciiTheme="minorHAnsi" w:hAnsiTheme="minorHAnsi" w:cstheme="minorHAnsi"/>
          <w:sz w:val="22"/>
          <w:szCs w:val="22"/>
        </w:rPr>
        <w:t xml:space="preserve"> </w:t>
      </w:r>
      <w:r w:rsidR="00475983" w:rsidRPr="00186822">
        <w:rPr>
          <w:rFonts w:asciiTheme="minorHAnsi" w:hAnsiTheme="minorHAnsi" w:cstheme="minorHAnsi"/>
          <w:sz w:val="22"/>
          <w:szCs w:val="22"/>
        </w:rPr>
        <w:t xml:space="preserve">veřejné osvětlení </w:t>
      </w:r>
      <w:r w:rsidRPr="00186822">
        <w:rPr>
          <w:rFonts w:asciiTheme="minorHAnsi" w:hAnsiTheme="minorHAnsi" w:cstheme="minorHAnsi"/>
          <w:sz w:val="22"/>
          <w:szCs w:val="22"/>
        </w:rPr>
        <w:t xml:space="preserve"> (</w:t>
      </w:r>
      <w:r w:rsidR="00705F57">
        <w:rPr>
          <w:rFonts w:asciiTheme="minorHAnsi" w:hAnsiTheme="minorHAnsi" w:cstheme="minorHAnsi"/>
          <w:sz w:val="22"/>
          <w:szCs w:val="22"/>
        </w:rPr>
        <w:t>6,7</w:t>
      </w:r>
      <w:r w:rsidR="00475983" w:rsidRPr="00186822">
        <w:rPr>
          <w:rFonts w:asciiTheme="minorHAnsi" w:hAnsiTheme="minorHAnsi" w:cstheme="minorHAnsi"/>
          <w:sz w:val="22"/>
          <w:szCs w:val="22"/>
        </w:rPr>
        <w:t xml:space="preserve"> mil. Kč</w:t>
      </w:r>
      <w:r w:rsidRPr="00186822">
        <w:rPr>
          <w:rFonts w:asciiTheme="minorHAnsi" w:hAnsiTheme="minorHAnsi" w:cstheme="minorHAnsi"/>
          <w:sz w:val="22"/>
          <w:szCs w:val="22"/>
        </w:rPr>
        <w:t>)</w:t>
      </w:r>
      <w:r w:rsidR="005F6A8D" w:rsidRPr="00186822">
        <w:rPr>
          <w:rFonts w:asciiTheme="minorHAnsi" w:hAnsiTheme="minorHAnsi" w:cstheme="minorHAnsi"/>
          <w:sz w:val="22"/>
          <w:szCs w:val="22"/>
        </w:rPr>
        <w:t>,</w:t>
      </w:r>
    </w:p>
    <w:p w:rsidR="00A131A2" w:rsidRPr="00186822" w:rsidRDefault="00952B10" w:rsidP="00F01E5D">
      <w:pPr>
        <w:pStyle w:val="Odstavecseseznamem"/>
        <w:keepNext/>
        <w:keepLines/>
        <w:numPr>
          <w:ilvl w:val="0"/>
          <w:numId w:val="27"/>
        </w:numPr>
        <w:tabs>
          <w:tab w:val="clear" w:pos="720"/>
          <w:tab w:val="num" w:pos="1843"/>
        </w:tabs>
        <w:spacing w:after="120"/>
        <w:ind w:left="1984" w:hanging="425"/>
        <w:rPr>
          <w:rFonts w:asciiTheme="minorHAnsi" w:hAnsiTheme="minorHAnsi" w:cstheme="minorHAnsi"/>
          <w:sz w:val="22"/>
          <w:szCs w:val="22"/>
        </w:rPr>
      </w:pPr>
      <w:r w:rsidRPr="00186822">
        <w:rPr>
          <w:rFonts w:asciiTheme="minorHAnsi" w:hAnsiTheme="minorHAnsi" w:cstheme="minorHAnsi"/>
          <w:sz w:val="22"/>
          <w:szCs w:val="22"/>
        </w:rPr>
        <w:t>a další</w:t>
      </w:r>
      <w:r w:rsidR="00A131A2" w:rsidRPr="00186822">
        <w:rPr>
          <w:rFonts w:asciiTheme="minorHAnsi" w:hAnsiTheme="minorHAnsi" w:cstheme="minorHAnsi"/>
          <w:sz w:val="22"/>
          <w:szCs w:val="22"/>
        </w:rPr>
        <w:t>,</w:t>
      </w:r>
    </w:p>
    <w:p w:rsidR="00475983" w:rsidRPr="00186822" w:rsidRDefault="007114BA" w:rsidP="005F6A8D">
      <w:pPr>
        <w:pStyle w:val="Odstavecseseznamem"/>
        <w:keepNext/>
        <w:keepLines/>
        <w:numPr>
          <w:ilvl w:val="0"/>
          <w:numId w:val="26"/>
        </w:numPr>
        <w:ind w:left="1276" w:hanging="284"/>
        <w:rPr>
          <w:rFonts w:asciiTheme="minorHAnsi" w:hAnsiTheme="minorHAnsi" w:cstheme="minorHAnsi"/>
          <w:sz w:val="22"/>
          <w:szCs w:val="22"/>
        </w:rPr>
      </w:pPr>
      <w:r w:rsidRPr="00186822">
        <w:rPr>
          <w:rFonts w:asciiTheme="minorHAnsi" w:hAnsiTheme="minorHAnsi" w:cstheme="minorHAnsi"/>
          <w:sz w:val="22"/>
          <w:szCs w:val="22"/>
        </w:rPr>
        <w:t>na kap. 60</w:t>
      </w:r>
      <w:r w:rsidR="005F6A8D" w:rsidRPr="00186822">
        <w:rPr>
          <w:rFonts w:asciiTheme="minorHAnsi" w:hAnsiTheme="minorHAnsi" w:cstheme="minorHAnsi"/>
          <w:sz w:val="22"/>
          <w:szCs w:val="22"/>
        </w:rPr>
        <w:t xml:space="preserve"> – rozvoj a investice</w:t>
      </w:r>
      <w:r w:rsidRPr="00186822">
        <w:rPr>
          <w:rFonts w:asciiTheme="minorHAnsi" w:hAnsiTheme="minorHAnsi" w:cstheme="minorHAnsi"/>
          <w:sz w:val="22"/>
          <w:szCs w:val="22"/>
        </w:rPr>
        <w:t xml:space="preserve"> (</w:t>
      </w:r>
      <w:r w:rsidR="00705F57">
        <w:rPr>
          <w:rFonts w:asciiTheme="minorHAnsi" w:hAnsiTheme="minorHAnsi" w:cstheme="minorHAnsi"/>
          <w:sz w:val="22"/>
          <w:szCs w:val="22"/>
        </w:rPr>
        <w:t>42,85</w:t>
      </w:r>
      <w:r w:rsidRPr="00186822">
        <w:rPr>
          <w:rFonts w:asciiTheme="minorHAnsi" w:hAnsiTheme="minorHAnsi" w:cstheme="minorHAnsi"/>
          <w:sz w:val="22"/>
          <w:szCs w:val="22"/>
        </w:rPr>
        <w:t xml:space="preserve"> mil.</w:t>
      </w:r>
      <w:r w:rsidR="00475983" w:rsidRPr="00186822">
        <w:rPr>
          <w:rFonts w:asciiTheme="minorHAnsi" w:hAnsiTheme="minorHAnsi" w:cstheme="minorHAnsi"/>
          <w:sz w:val="22"/>
          <w:szCs w:val="22"/>
        </w:rPr>
        <w:t xml:space="preserve"> Kč)</w:t>
      </w:r>
      <w:r w:rsidR="005F6A8D" w:rsidRPr="00186822">
        <w:rPr>
          <w:rFonts w:asciiTheme="minorHAnsi" w:hAnsiTheme="minorHAnsi" w:cstheme="minorHAnsi"/>
          <w:sz w:val="22"/>
          <w:szCs w:val="22"/>
        </w:rPr>
        <w:t>,</w:t>
      </w:r>
    </w:p>
    <w:p w:rsidR="00F01E5D" w:rsidRDefault="00705F57" w:rsidP="00F01E5D">
      <w:pPr>
        <w:numPr>
          <w:ilvl w:val="3"/>
          <w:numId w:val="26"/>
        </w:numPr>
        <w:ind w:left="1985" w:hanging="425"/>
        <w:rPr>
          <w:rFonts w:asciiTheme="minorHAnsi" w:hAnsiTheme="minorHAnsi" w:cstheme="minorHAnsi"/>
          <w:sz w:val="22"/>
          <w:szCs w:val="22"/>
        </w:rPr>
      </w:pPr>
      <w:r>
        <w:rPr>
          <w:rFonts w:asciiTheme="minorHAnsi" w:hAnsiTheme="minorHAnsi" w:cstheme="minorHAnsi"/>
          <w:sz w:val="22"/>
          <w:szCs w:val="22"/>
        </w:rPr>
        <w:t>Městský hřbitov – rekonstrukce brány, zdiva a domu správy</w:t>
      </w:r>
      <w:r w:rsidR="00F01E5D" w:rsidRPr="00186822">
        <w:rPr>
          <w:rFonts w:asciiTheme="minorHAnsi" w:hAnsiTheme="minorHAnsi" w:cstheme="minorHAnsi"/>
          <w:sz w:val="22"/>
          <w:szCs w:val="22"/>
        </w:rPr>
        <w:t xml:space="preserve"> (</w:t>
      </w:r>
      <w:r>
        <w:rPr>
          <w:rFonts w:asciiTheme="minorHAnsi" w:hAnsiTheme="minorHAnsi" w:cstheme="minorHAnsi"/>
          <w:sz w:val="22"/>
          <w:szCs w:val="22"/>
        </w:rPr>
        <w:t>9,26</w:t>
      </w:r>
      <w:r w:rsidR="00F01E5D" w:rsidRPr="00186822">
        <w:rPr>
          <w:rFonts w:asciiTheme="minorHAnsi" w:hAnsiTheme="minorHAnsi" w:cstheme="minorHAnsi"/>
          <w:sz w:val="22"/>
          <w:szCs w:val="22"/>
        </w:rPr>
        <w:t xml:space="preserve"> mil. Kč),</w:t>
      </w:r>
    </w:p>
    <w:p w:rsidR="00186822" w:rsidRDefault="00705F57" w:rsidP="00705F57">
      <w:pPr>
        <w:numPr>
          <w:ilvl w:val="3"/>
          <w:numId w:val="26"/>
        </w:numPr>
        <w:ind w:left="1985" w:hanging="425"/>
        <w:rPr>
          <w:rFonts w:asciiTheme="minorHAnsi" w:hAnsiTheme="minorHAnsi" w:cstheme="minorHAnsi"/>
          <w:sz w:val="22"/>
          <w:szCs w:val="22"/>
        </w:rPr>
      </w:pPr>
      <w:r w:rsidRPr="00705F57">
        <w:rPr>
          <w:rFonts w:asciiTheme="minorHAnsi" w:hAnsiTheme="minorHAnsi" w:cstheme="minorHAnsi"/>
          <w:sz w:val="22"/>
          <w:szCs w:val="22"/>
        </w:rPr>
        <w:t>ZŠ Dr. Horáka -</w:t>
      </w:r>
      <w:r>
        <w:rPr>
          <w:rFonts w:asciiTheme="minorHAnsi" w:hAnsiTheme="minorHAnsi" w:cstheme="minorHAnsi"/>
          <w:sz w:val="22"/>
          <w:szCs w:val="22"/>
        </w:rPr>
        <w:t xml:space="preserve"> rekonstrukce</w:t>
      </w:r>
      <w:r w:rsidRPr="00705F57">
        <w:rPr>
          <w:rFonts w:asciiTheme="minorHAnsi" w:hAnsiTheme="minorHAnsi" w:cstheme="minorHAnsi"/>
          <w:sz w:val="22"/>
          <w:szCs w:val="22"/>
        </w:rPr>
        <w:t xml:space="preserve"> vodovodního potrubí </w:t>
      </w:r>
      <w:r w:rsidR="00186822" w:rsidRPr="00705F57">
        <w:rPr>
          <w:rFonts w:asciiTheme="minorHAnsi" w:hAnsiTheme="minorHAnsi" w:cstheme="minorHAnsi"/>
          <w:sz w:val="22"/>
          <w:szCs w:val="22"/>
        </w:rPr>
        <w:t>(</w:t>
      </w:r>
      <w:r>
        <w:rPr>
          <w:rFonts w:asciiTheme="minorHAnsi" w:hAnsiTheme="minorHAnsi" w:cstheme="minorHAnsi"/>
          <w:sz w:val="22"/>
          <w:szCs w:val="22"/>
        </w:rPr>
        <w:t>4,1</w:t>
      </w:r>
      <w:r w:rsidR="00186822" w:rsidRPr="00705F57">
        <w:rPr>
          <w:rFonts w:asciiTheme="minorHAnsi" w:hAnsiTheme="minorHAnsi" w:cstheme="minorHAnsi"/>
          <w:sz w:val="22"/>
          <w:szCs w:val="22"/>
        </w:rPr>
        <w:t xml:space="preserve"> mil. Kč),</w:t>
      </w:r>
    </w:p>
    <w:p w:rsidR="00F01E5D" w:rsidRDefault="00705F57" w:rsidP="00705F57">
      <w:pPr>
        <w:numPr>
          <w:ilvl w:val="3"/>
          <w:numId w:val="26"/>
        </w:numPr>
        <w:ind w:left="1985" w:hanging="425"/>
        <w:rPr>
          <w:rFonts w:asciiTheme="minorHAnsi" w:hAnsiTheme="minorHAnsi" w:cstheme="minorHAnsi"/>
          <w:sz w:val="22"/>
          <w:szCs w:val="22"/>
        </w:rPr>
      </w:pPr>
      <w:r>
        <w:rPr>
          <w:rFonts w:asciiTheme="minorHAnsi" w:hAnsiTheme="minorHAnsi" w:cstheme="minorHAnsi"/>
          <w:sz w:val="22"/>
          <w:szCs w:val="22"/>
        </w:rPr>
        <w:t xml:space="preserve">ZŠ Skálovo náměstí - </w:t>
      </w:r>
      <w:r w:rsidRPr="00705F57">
        <w:rPr>
          <w:rFonts w:asciiTheme="minorHAnsi" w:hAnsiTheme="minorHAnsi" w:cstheme="minorHAnsi"/>
          <w:sz w:val="22"/>
          <w:szCs w:val="22"/>
        </w:rPr>
        <w:t xml:space="preserve">oprava korunní římsy </w:t>
      </w:r>
      <w:r w:rsidR="00F01E5D" w:rsidRPr="00705F57">
        <w:rPr>
          <w:rFonts w:asciiTheme="minorHAnsi" w:hAnsiTheme="minorHAnsi" w:cstheme="minorHAnsi"/>
          <w:sz w:val="22"/>
          <w:szCs w:val="22"/>
        </w:rPr>
        <w:t>(</w:t>
      </w:r>
      <w:r>
        <w:rPr>
          <w:rFonts w:asciiTheme="minorHAnsi" w:hAnsiTheme="minorHAnsi" w:cstheme="minorHAnsi"/>
          <w:sz w:val="22"/>
          <w:szCs w:val="22"/>
        </w:rPr>
        <w:t>3,54</w:t>
      </w:r>
      <w:r w:rsidR="00F01E5D" w:rsidRPr="00705F57">
        <w:rPr>
          <w:rFonts w:asciiTheme="minorHAnsi" w:hAnsiTheme="minorHAnsi" w:cstheme="minorHAnsi"/>
          <w:sz w:val="22"/>
          <w:szCs w:val="22"/>
        </w:rPr>
        <w:t xml:space="preserve"> mil. Kč)</w:t>
      </w:r>
      <w:r w:rsidR="007C5594" w:rsidRPr="00705F57">
        <w:rPr>
          <w:rFonts w:asciiTheme="minorHAnsi" w:hAnsiTheme="minorHAnsi" w:cstheme="minorHAnsi"/>
          <w:sz w:val="22"/>
          <w:szCs w:val="22"/>
        </w:rPr>
        <w:t>,</w:t>
      </w:r>
    </w:p>
    <w:p w:rsidR="00705F57" w:rsidRDefault="00705F57" w:rsidP="00705F57">
      <w:pPr>
        <w:numPr>
          <w:ilvl w:val="3"/>
          <w:numId w:val="26"/>
        </w:numPr>
        <w:ind w:left="1985" w:hanging="425"/>
        <w:rPr>
          <w:rFonts w:asciiTheme="minorHAnsi" w:hAnsiTheme="minorHAnsi" w:cstheme="minorHAnsi"/>
          <w:sz w:val="22"/>
          <w:szCs w:val="22"/>
        </w:rPr>
      </w:pPr>
      <w:r w:rsidRPr="00705F57">
        <w:rPr>
          <w:rFonts w:asciiTheme="minorHAnsi" w:hAnsiTheme="minorHAnsi" w:cstheme="minorHAnsi"/>
          <w:sz w:val="22"/>
          <w:szCs w:val="22"/>
        </w:rPr>
        <w:t>Chodníky podél ulice Vrahovické vč. PD</w:t>
      </w:r>
      <w:r>
        <w:rPr>
          <w:rFonts w:asciiTheme="minorHAnsi" w:hAnsiTheme="minorHAnsi" w:cstheme="minorHAnsi"/>
          <w:sz w:val="22"/>
          <w:szCs w:val="22"/>
        </w:rPr>
        <w:t xml:space="preserve"> (3,77 mil. Kč),</w:t>
      </w:r>
    </w:p>
    <w:p w:rsidR="00705F57" w:rsidRDefault="00705F57" w:rsidP="00705F57">
      <w:pPr>
        <w:numPr>
          <w:ilvl w:val="3"/>
          <w:numId w:val="26"/>
        </w:numPr>
        <w:ind w:left="1985" w:hanging="425"/>
        <w:rPr>
          <w:rFonts w:asciiTheme="minorHAnsi" w:hAnsiTheme="minorHAnsi" w:cstheme="minorHAnsi"/>
          <w:sz w:val="22"/>
          <w:szCs w:val="22"/>
        </w:rPr>
      </w:pPr>
      <w:r w:rsidRPr="00705F57">
        <w:rPr>
          <w:rFonts w:asciiTheme="minorHAnsi" w:hAnsiTheme="minorHAnsi" w:cstheme="minorHAnsi"/>
          <w:sz w:val="22"/>
          <w:szCs w:val="22"/>
        </w:rPr>
        <w:t>ZŠ a MŠ Kollárova - havarijní stav rozvodů vody</w:t>
      </w:r>
      <w:r>
        <w:rPr>
          <w:rFonts w:asciiTheme="minorHAnsi" w:hAnsiTheme="minorHAnsi" w:cstheme="minorHAnsi"/>
          <w:sz w:val="22"/>
          <w:szCs w:val="22"/>
        </w:rPr>
        <w:t xml:space="preserve"> (4,68 mil. Kč),</w:t>
      </w:r>
    </w:p>
    <w:p w:rsidR="00705F57" w:rsidRPr="00705F57" w:rsidRDefault="00705F57" w:rsidP="00705F57">
      <w:pPr>
        <w:numPr>
          <w:ilvl w:val="3"/>
          <w:numId w:val="26"/>
        </w:numPr>
        <w:ind w:left="1985" w:hanging="425"/>
        <w:rPr>
          <w:rFonts w:asciiTheme="minorHAnsi" w:hAnsiTheme="minorHAnsi" w:cstheme="minorHAnsi"/>
          <w:sz w:val="22"/>
          <w:szCs w:val="22"/>
        </w:rPr>
      </w:pPr>
      <w:r w:rsidRPr="00705F57">
        <w:rPr>
          <w:rFonts w:asciiTheme="minorHAnsi" w:hAnsiTheme="minorHAnsi" w:cstheme="minorHAnsi"/>
          <w:sz w:val="22"/>
          <w:szCs w:val="22"/>
        </w:rPr>
        <w:t>ZŠ Palackého tř. - generální oprava střechy, okapů</w:t>
      </w:r>
      <w:r>
        <w:rPr>
          <w:rFonts w:asciiTheme="minorHAnsi" w:hAnsiTheme="minorHAnsi" w:cstheme="minorHAnsi"/>
          <w:sz w:val="22"/>
          <w:szCs w:val="22"/>
        </w:rPr>
        <w:t xml:space="preserve"> (6,59 mil. Kč),</w:t>
      </w:r>
    </w:p>
    <w:p w:rsidR="00F01E5D" w:rsidRPr="00186822" w:rsidRDefault="00F01E5D" w:rsidP="00F01E5D">
      <w:pPr>
        <w:numPr>
          <w:ilvl w:val="3"/>
          <w:numId w:val="26"/>
        </w:numPr>
        <w:spacing w:after="120"/>
        <w:ind w:left="1984" w:hanging="425"/>
        <w:rPr>
          <w:rFonts w:asciiTheme="minorHAnsi" w:hAnsiTheme="minorHAnsi" w:cstheme="minorHAnsi"/>
          <w:sz w:val="22"/>
          <w:szCs w:val="22"/>
        </w:rPr>
      </w:pPr>
      <w:r w:rsidRPr="00186822">
        <w:rPr>
          <w:rFonts w:asciiTheme="minorHAnsi" w:hAnsiTheme="minorHAnsi" w:cstheme="minorHAnsi"/>
          <w:sz w:val="22"/>
          <w:szCs w:val="22"/>
        </w:rPr>
        <w:t>a další.</w:t>
      </w:r>
    </w:p>
    <w:p w:rsidR="00F01E5D" w:rsidRPr="00186822" w:rsidRDefault="00350194" w:rsidP="005F6A8D">
      <w:pPr>
        <w:pStyle w:val="Odstavecseseznamem"/>
        <w:keepNext/>
        <w:keepLines/>
        <w:numPr>
          <w:ilvl w:val="0"/>
          <w:numId w:val="26"/>
        </w:numPr>
        <w:ind w:left="1276" w:hanging="284"/>
        <w:rPr>
          <w:rFonts w:asciiTheme="minorHAnsi" w:hAnsiTheme="minorHAnsi" w:cstheme="minorHAnsi"/>
          <w:sz w:val="22"/>
          <w:szCs w:val="22"/>
        </w:rPr>
      </w:pPr>
      <w:r w:rsidRPr="00186822">
        <w:rPr>
          <w:rFonts w:asciiTheme="minorHAnsi" w:hAnsiTheme="minorHAnsi" w:cstheme="minorHAnsi"/>
          <w:sz w:val="22"/>
          <w:szCs w:val="22"/>
        </w:rPr>
        <w:t>ostatní kapitoly (</w:t>
      </w:r>
      <w:r w:rsidR="00186822" w:rsidRPr="00186822">
        <w:rPr>
          <w:rFonts w:asciiTheme="minorHAnsi" w:hAnsiTheme="minorHAnsi" w:cstheme="minorHAnsi"/>
          <w:sz w:val="22"/>
          <w:szCs w:val="22"/>
        </w:rPr>
        <w:t>5,</w:t>
      </w:r>
      <w:r w:rsidR="00705F57">
        <w:rPr>
          <w:rFonts w:asciiTheme="minorHAnsi" w:hAnsiTheme="minorHAnsi" w:cstheme="minorHAnsi"/>
          <w:sz w:val="22"/>
          <w:szCs w:val="22"/>
        </w:rPr>
        <w:t>1</w:t>
      </w:r>
      <w:r w:rsidR="00C916F2">
        <w:rPr>
          <w:rFonts w:asciiTheme="minorHAnsi" w:hAnsiTheme="minorHAnsi" w:cstheme="minorHAnsi"/>
          <w:sz w:val="22"/>
          <w:szCs w:val="22"/>
        </w:rPr>
        <w:t>4</w:t>
      </w:r>
      <w:r w:rsidRPr="00186822">
        <w:rPr>
          <w:rFonts w:asciiTheme="minorHAnsi" w:hAnsiTheme="minorHAnsi" w:cstheme="minorHAnsi"/>
          <w:sz w:val="22"/>
          <w:szCs w:val="22"/>
        </w:rPr>
        <w:t xml:space="preserve"> mil. Kč)</w:t>
      </w:r>
    </w:p>
    <w:p w:rsidR="00F01E5D" w:rsidRPr="00FC30DC" w:rsidRDefault="00F01E5D" w:rsidP="00F01E5D">
      <w:pPr>
        <w:keepNext/>
        <w:keepLines/>
        <w:rPr>
          <w:rFonts w:asciiTheme="minorHAnsi" w:hAnsiTheme="minorHAnsi" w:cstheme="minorHAnsi"/>
          <w:sz w:val="22"/>
          <w:szCs w:val="22"/>
        </w:rPr>
      </w:pPr>
    </w:p>
    <w:p w:rsidR="001C52FA" w:rsidRPr="00746F04" w:rsidRDefault="001C52FA" w:rsidP="001C52FA">
      <w:pPr>
        <w:ind w:left="709"/>
        <w:rPr>
          <w:rFonts w:asciiTheme="minorHAnsi" w:hAnsiTheme="minorHAnsi" w:cstheme="minorHAnsi"/>
          <w:sz w:val="22"/>
          <w:szCs w:val="22"/>
          <w:u w:val="single"/>
        </w:rPr>
      </w:pPr>
    </w:p>
    <w:p w:rsidR="007342A6" w:rsidRDefault="007342A6" w:rsidP="0024764D">
      <w:pPr>
        <w:pStyle w:val="Nadpis3"/>
        <w:rPr>
          <w:b w:val="0"/>
        </w:rPr>
      </w:pPr>
      <w:r w:rsidRPr="00AC0898">
        <w:rPr>
          <w:b w:val="0"/>
        </w:rPr>
        <w:lastRenderedPageBreak/>
        <w:t>Srovnání neinvestičních nákupů a souvisejících výdajů v letech 20</w:t>
      </w:r>
      <w:r w:rsidR="00C916F2">
        <w:rPr>
          <w:b w:val="0"/>
        </w:rPr>
        <w:t>20</w:t>
      </w:r>
      <w:r w:rsidR="00455F10" w:rsidRPr="00AC0898">
        <w:rPr>
          <w:b w:val="0"/>
        </w:rPr>
        <w:t xml:space="preserve"> </w:t>
      </w:r>
      <w:r w:rsidRPr="00AC0898">
        <w:rPr>
          <w:b w:val="0"/>
        </w:rPr>
        <w:t>-</w:t>
      </w:r>
      <w:r w:rsidR="00455F10" w:rsidRPr="00AC0898">
        <w:rPr>
          <w:b w:val="0"/>
        </w:rPr>
        <w:t xml:space="preserve"> </w:t>
      </w:r>
      <w:r w:rsidR="0064780B" w:rsidRPr="00AC0898">
        <w:rPr>
          <w:b w:val="0"/>
        </w:rPr>
        <w:t>202</w:t>
      </w:r>
      <w:r w:rsidR="00C916F2">
        <w:rPr>
          <w:b w:val="0"/>
        </w:rPr>
        <w:t>2</w:t>
      </w:r>
      <w:r w:rsidRPr="00AC0898">
        <w:rPr>
          <w:b w:val="0"/>
        </w:rPr>
        <w:t xml:space="preserve"> po konsolidaci v</w:t>
      </w:r>
      <w:r w:rsidR="00C916F2">
        <w:rPr>
          <w:b w:val="0"/>
        </w:rPr>
        <w:t> </w:t>
      </w:r>
      <w:r w:rsidRPr="00AC0898">
        <w:rPr>
          <w:b w:val="0"/>
        </w:rPr>
        <w:t>Kč</w:t>
      </w:r>
    </w:p>
    <w:tbl>
      <w:tblPr>
        <w:tblW w:w="9493" w:type="dxa"/>
        <w:tblCellMar>
          <w:left w:w="70" w:type="dxa"/>
          <w:right w:w="70" w:type="dxa"/>
        </w:tblCellMar>
        <w:tblLook w:val="04A0" w:firstRow="1" w:lastRow="0" w:firstColumn="1" w:lastColumn="0" w:noHBand="0" w:noVBand="1"/>
      </w:tblPr>
      <w:tblGrid>
        <w:gridCol w:w="426"/>
        <w:gridCol w:w="552"/>
        <w:gridCol w:w="4687"/>
        <w:gridCol w:w="1276"/>
        <w:gridCol w:w="1276"/>
        <w:gridCol w:w="1276"/>
      </w:tblGrid>
      <w:tr w:rsidR="00C916F2" w:rsidTr="00C916F2">
        <w:trPr>
          <w:trHeight w:val="221"/>
        </w:trPr>
        <w:tc>
          <w:tcPr>
            <w:tcW w:w="5665" w:type="dxa"/>
            <w:gridSpan w:val="3"/>
            <w:tcBorders>
              <w:top w:val="single" w:sz="4" w:space="0" w:color="auto"/>
              <w:left w:val="single" w:sz="4" w:space="0" w:color="auto"/>
              <w:bottom w:val="single" w:sz="4" w:space="0" w:color="auto"/>
              <w:right w:val="single" w:sz="4" w:space="0" w:color="000000"/>
            </w:tcBorders>
            <w:shd w:val="clear" w:color="D6A100" w:fill="C6E0B4"/>
            <w:noWrap/>
            <w:vAlign w:val="center"/>
            <w:hideMark/>
          </w:tcPr>
          <w:p w:rsidR="00C916F2" w:rsidRDefault="00C916F2">
            <w:pPr>
              <w:jc w:val="center"/>
              <w:rPr>
                <w:rFonts w:ascii="Calibri" w:hAnsi="Calibri" w:cs="Calibri"/>
                <w:color w:val="000000"/>
                <w:sz w:val="16"/>
                <w:szCs w:val="16"/>
              </w:rPr>
            </w:pPr>
            <w:r>
              <w:rPr>
                <w:rFonts w:ascii="Calibri" w:hAnsi="Calibri" w:cs="Calibri"/>
                <w:color w:val="000000"/>
                <w:sz w:val="16"/>
                <w:szCs w:val="16"/>
              </w:rPr>
              <w:t> </w:t>
            </w:r>
          </w:p>
        </w:tc>
        <w:tc>
          <w:tcPr>
            <w:tcW w:w="1276" w:type="dxa"/>
            <w:tcBorders>
              <w:top w:val="single" w:sz="4" w:space="0" w:color="auto"/>
              <w:left w:val="nil"/>
              <w:bottom w:val="single" w:sz="4" w:space="0" w:color="auto"/>
              <w:right w:val="single" w:sz="4" w:space="0" w:color="auto"/>
            </w:tcBorders>
            <w:shd w:val="clear" w:color="D6A100" w:fill="C6E0B4"/>
            <w:noWrap/>
            <w:vAlign w:val="center"/>
            <w:hideMark/>
          </w:tcPr>
          <w:p w:rsidR="00C916F2" w:rsidRDefault="00C916F2">
            <w:pPr>
              <w:jc w:val="center"/>
              <w:rPr>
                <w:rFonts w:ascii="Calibri" w:hAnsi="Calibri" w:cs="Calibri"/>
                <w:color w:val="000000"/>
                <w:sz w:val="16"/>
                <w:szCs w:val="16"/>
              </w:rPr>
            </w:pPr>
            <w:r>
              <w:rPr>
                <w:rFonts w:ascii="Calibri" w:hAnsi="Calibri" w:cs="Calibri"/>
                <w:color w:val="000000"/>
                <w:sz w:val="16"/>
                <w:szCs w:val="16"/>
              </w:rPr>
              <w:t>2020</w:t>
            </w:r>
          </w:p>
        </w:tc>
        <w:tc>
          <w:tcPr>
            <w:tcW w:w="1276" w:type="dxa"/>
            <w:tcBorders>
              <w:top w:val="single" w:sz="4" w:space="0" w:color="auto"/>
              <w:left w:val="nil"/>
              <w:bottom w:val="single" w:sz="4" w:space="0" w:color="auto"/>
              <w:right w:val="single" w:sz="4" w:space="0" w:color="auto"/>
            </w:tcBorders>
            <w:shd w:val="clear" w:color="D6A100" w:fill="C6E0B4"/>
            <w:noWrap/>
            <w:vAlign w:val="center"/>
            <w:hideMark/>
          </w:tcPr>
          <w:p w:rsidR="00C916F2" w:rsidRDefault="00C916F2">
            <w:pPr>
              <w:jc w:val="center"/>
              <w:rPr>
                <w:rFonts w:ascii="Calibri" w:hAnsi="Calibri" w:cs="Calibri"/>
                <w:color w:val="000000"/>
                <w:sz w:val="16"/>
                <w:szCs w:val="16"/>
              </w:rPr>
            </w:pPr>
            <w:r>
              <w:rPr>
                <w:rFonts w:ascii="Calibri" w:hAnsi="Calibri" w:cs="Calibri"/>
                <w:color w:val="000000"/>
                <w:sz w:val="16"/>
                <w:szCs w:val="16"/>
              </w:rPr>
              <w:t>2021</w:t>
            </w:r>
          </w:p>
        </w:tc>
        <w:tc>
          <w:tcPr>
            <w:tcW w:w="1276" w:type="dxa"/>
            <w:tcBorders>
              <w:top w:val="single" w:sz="4" w:space="0" w:color="auto"/>
              <w:left w:val="nil"/>
              <w:bottom w:val="single" w:sz="4" w:space="0" w:color="auto"/>
              <w:right w:val="single" w:sz="4" w:space="0" w:color="auto"/>
            </w:tcBorders>
            <w:shd w:val="clear" w:color="D6A100" w:fill="C6E0B4"/>
            <w:noWrap/>
            <w:vAlign w:val="center"/>
            <w:hideMark/>
          </w:tcPr>
          <w:p w:rsidR="00C916F2" w:rsidRDefault="00C916F2">
            <w:pPr>
              <w:jc w:val="center"/>
              <w:rPr>
                <w:rFonts w:ascii="Calibri" w:hAnsi="Calibri" w:cs="Calibri"/>
                <w:color w:val="000000"/>
                <w:sz w:val="16"/>
                <w:szCs w:val="16"/>
              </w:rPr>
            </w:pPr>
            <w:r>
              <w:rPr>
                <w:rFonts w:ascii="Calibri" w:hAnsi="Calibri" w:cs="Calibri"/>
                <w:color w:val="000000"/>
                <w:sz w:val="16"/>
                <w:szCs w:val="16"/>
              </w:rPr>
              <w:t>2022</w:t>
            </w:r>
          </w:p>
        </w:tc>
      </w:tr>
      <w:tr w:rsidR="00C916F2" w:rsidTr="00C916F2">
        <w:trPr>
          <w:trHeight w:val="266"/>
        </w:trPr>
        <w:tc>
          <w:tcPr>
            <w:tcW w:w="5665" w:type="dxa"/>
            <w:gridSpan w:val="3"/>
            <w:tcBorders>
              <w:top w:val="single" w:sz="4" w:space="0" w:color="auto"/>
              <w:left w:val="single" w:sz="4" w:space="0" w:color="auto"/>
              <w:bottom w:val="single" w:sz="4" w:space="0" w:color="auto"/>
              <w:right w:val="single" w:sz="4" w:space="0" w:color="000000"/>
            </w:tcBorders>
            <w:shd w:val="clear" w:color="000000" w:fill="A9D08E"/>
            <w:noWrap/>
            <w:vAlign w:val="center"/>
            <w:hideMark/>
          </w:tcPr>
          <w:p w:rsidR="00C916F2" w:rsidRDefault="00C916F2">
            <w:pPr>
              <w:rPr>
                <w:rFonts w:ascii="Calibri" w:hAnsi="Calibri" w:cs="Calibri"/>
                <w:b/>
                <w:bCs/>
                <w:color w:val="000000"/>
                <w:sz w:val="16"/>
                <w:szCs w:val="16"/>
              </w:rPr>
            </w:pPr>
            <w:r>
              <w:rPr>
                <w:rFonts w:ascii="Calibri" w:hAnsi="Calibri" w:cs="Calibri"/>
                <w:b/>
                <w:bCs/>
                <w:color w:val="000000"/>
                <w:sz w:val="16"/>
                <w:szCs w:val="16"/>
              </w:rPr>
              <w:t>Neinvestiční nákupy a související výdaje</w:t>
            </w:r>
          </w:p>
        </w:tc>
        <w:tc>
          <w:tcPr>
            <w:tcW w:w="1276" w:type="dxa"/>
            <w:tcBorders>
              <w:top w:val="nil"/>
              <w:left w:val="nil"/>
              <w:bottom w:val="single" w:sz="4" w:space="0" w:color="auto"/>
              <w:right w:val="single" w:sz="4" w:space="0" w:color="auto"/>
            </w:tcBorders>
            <w:shd w:val="clear" w:color="000000" w:fill="A9D08E"/>
            <w:noWrap/>
            <w:vAlign w:val="center"/>
            <w:hideMark/>
          </w:tcPr>
          <w:p w:rsidR="00C916F2" w:rsidRDefault="00C916F2">
            <w:pPr>
              <w:jc w:val="right"/>
              <w:rPr>
                <w:rFonts w:ascii="Calibri" w:hAnsi="Calibri" w:cs="Calibri"/>
                <w:b/>
                <w:bCs/>
                <w:color w:val="000000"/>
                <w:sz w:val="16"/>
                <w:szCs w:val="16"/>
              </w:rPr>
            </w:pPr>
            <w:r>
              <w:rPr>
                <w:rFonts w:ascii="Calibri" w:hAnsi="Calibri" w:cs="Calibri"/>
                <w:b/>
                <w:bCs/>
                <w:color w:val="000000"/>
                <w:sz w:val="16"/>
                <w:szCs w:val="16"/>
              </w:rPr>
              <w:t>356 151 516,03</w:t>
            </w:r>
          </w:p>
        </w:tc>
        <w:tc>
          <w:tcPr>
            <w:tcW w:w="1276" w:type="dxa"/>
            <w:tcBorders>
              <w:top w:val="nil"/>
              <w:left w:val="nil"/>
              <w:bottom w:val="single" w:sz="4" w:space="0" w:color="auto"/>
              <w:right w:val="single" w:sz="4" w:space="0" w:color="auto"/>
            </w:tcBorders>
            <w:shd w:val="clear" w:color="000000" w:fill="A9D08E"/>
            <w:noWrap/>
            <w:vAlign w:val="center"/>
            <w:hideMark/>
          </w:tcPr>
          <w:p w:rsidR="00C916F2" w:rsidRDefault="00C916F2">
            <w:pPr>
              <w:jc w:val="right"/>
              <w:rPr>
                <w:rFonts w:ascii="Calibri" w:hAnsi="Calibri" w:cs="Calibri"/>
                <w:b/>
                <w:bCs/>
                <w:color w:val="000000"/>
                <w:sz w:val="16"/>
                <w:szCs w:val="16"/>
              </w:rPr>
            </w:pPr>
            <w:r>
              <w:rPr>
                <w:rFonts w:ascii="Calibri" w:hAnsi="Calibri" w:cs="Calibri"/>
                <w:b/>
                <w:bCs/>
                <w:color w:val="000000"/>
                <w:sz w:val="16"/>
                <w:szCs w:val="16"/>
              </w:rPr>
              <w:t>359 368 681,54</w:t>
            </w:r>
          </w:p>
        </w:tc>
        <w:tc>
          <w:tcPr>
            <w:tcW w:w="1276" w:type="dxa"/>
            <w:tcBorders>
              <w:top w:val="nil"/>
              <w:left w:val="nil"/>
              <w:bottom w:val="single" w:sz="4" w:space="0" w:color="auto"/>
              <w:right w:val="single" w:sz="4" w:space="0" w:color="auto"/>
            </w:tcBorders>
            <w:shd w:val="clear" w:color="000000" w:fill="A9D08E"/>
            <w:noWrap/>
            <w:vAlign w:val="center"/>
            <w:hideMark/>
          </w:tcPr>
          <w:p w:rsidR="00C916F2" w:rsidRDefault="00C916F2">
            <w:pPr>
              <w:jc w:val="right"/>
              <w:rPr>
                <w:rFonts w:ascii="Calibri" w:hAnsi="Calibri" w:cs="Calibri"/>
                <w:b/>
                <w:bCs/>
                <w:color w:val="000000"/>
                <w:sz w:val="16"/>
                <w:szCs w:val="16"/>
              </w:rPr>
            </w:pPr>
            <w:r>
              <w:rPr>
                <w:rFonts w:ascii="Calibri" w:hAnsi="Calibri" w:cs="Calibri"/>
                <w:b/>
                <w:bCs/>
                <w:color w:val="000000"/>
                <w:sz w:val="16"/>
                <w:szCs w:val="16"/>
              </w:rPr>
              <w:t>387 727 302,45</w:t>
            </w:r>
          </w:p>
        </w:tc>
      </w:tr>
      <w:tr w:rsidR="00C916F2" w:rsidTr="00C916F2">
        <w:trPr>
          <w:trHeight w:val="266"/>
        </w:trPr>
        <w:tc>
          <w:tcPr>
            <w:tcW w:w="426" w:type="dxa"/>
            <w:tcBorders>
              <w:top w:val="nil"/>
              <w:left w:val="single" w:sz="4" w:space="0" w:color="auto"/>
              <w:bottom w:val="single" w:sz="4" w:space="0" w:color="auto"/>
              <w:right w:val="single" w:sz="4" w:space="0" w:color="auto"/>
            </w:tcBorders>
            <w:shd w:val="clear" w:color="FFF2CC" w:fill="E2EFDA"/>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512</w:t>
            </w:r>
          </w:p>
        </w:tc>
        <w:tc>
          <w:tcPr>
            <w:tcW w:w="5239" w:type="dxa"/>
            <w:gridSpan w:val="2"/>
            <w:tcBorders>
              <w:top w:val="single" w:sz="4" w:space="0" w:color="auto"/>
              <w:left w:val="nil"/>
              <w:bottom w:val="single" w:sz="4" w:space="0" w:color="auto"/>
              <w:right w:val="single" w:sz="4" w:space="0" w:color="auto"/>
            </w:tcBorders>
            <w:shd w:val="clear" w:color="FFF2CC" w:fill="E2EFDA"/>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Výdaje na úpravu hmotných věcí a pořízení některých práv k hmotným věcem</w:t>
            </w:r>
          </w:p>
        </w:tc>
        <w:tc>
          <w:tcPr>
            <w:tcW w:w="1276" w:type="dxa"/>
            <w:tcBorders>
              <w:top w:val="nil"/>
              <w:left w:val="nil"/>
              <w:bottom w:val="single" w:sz="4" w:space="0" w:color="auto"/>
              <w:right w:val="single" w:sz="4" w:space="0" w:color="auto"/>
            </w:tcBorders>
            <w:shd w:val="clear" w:color="FFF2CC" w:fill="E2EFDA"/>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282 320,03</w:t>
            </w:r>
          </w:p>
        </w:tc>
        <w:tc>
          <w:tcPr>
            <w:tcW w:w="1276" w:type="dxa"/>
            <w:tcBorders>
              <w:top w:val="nil"/>
              <w:left w:val="nil"/>
              <w:bottom w:val="single" w:sz="4" w:space="0" w:color="auto"/>
              <w:right w:val="single" w:sz="4" w:space="0" w:color="auto"/>
            </w:tcBorders>
            <w:shd w:val="clear" w:color="FFF2CC" w:fill="E2EFDA"/>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129 793,95</w:t>
            </w:r>
          </w:p>
        </w:tc>
        <w:tc>
          <w:tcPr>
            <w:tcW w:w="1276" w:type="dxa"/>
            <w:tcBorders>
              <w:top w:val="nil"/>
              <w:left w:val="nil"/>
              <w:bottom w:val="single" w:sz="4" w:space="0" w:color="auto"/>
              <w:right w:val="single" w:sz="4" w:space="0" w:color="auto"/>
            </w:tcBorders>
            <w:shd w:val="clear" w:color="FFF2CC" w:fill="E2EFDA"/>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186 109,31</w:t>
            </w:r>
          </w:p>
        </w:tc>
      </w:tr>
      <w:tr w:rsidR="00C916F2" w:rsidTr="00C916F2">
        <w:trPr>
          <w:trHeight w:val="26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 </w:t>
            </w:r>
          </w:p>
        </w:tc>
        <w:tc>
          <w:tcPr>
            <w:tcW w:w="552" w:type="dxa"/>
            <w:tcBorders>
              <w:top w:val="nil"/>
              <w:left w:val="nil"/>
              <w:bottom w:val="single" w:sz="4" w:space="0" w:color="auto"/>
              <w:right w:val="single" w:sz="4" w:space="0" w:color="auto"/>
            </w:tcBorders>
            <w:shd w:val="clear" w:color="auto" w:fill="auto"/>
            <w:noWrap/>
            <w:vAlign w:val="center"/>
            <w:hideMark/>
          </w:tcPr>
          <w:p w:rsidR="00C916F2" w:rsidRDefault="00C916F2">
            <w:pPr>
              <w:jc w:val="center"/>
              <w:rPr>
                <w:rFonts w:ascii="Calibri" w:hAnsi="Calibri" w:cs="Calibri"/>
                <w:color w:val="000000"/>
                <w:sz w:val="16"/>
                <w:szCs w:val="16"/>
              </w:rPr>
            </w:pPr>
            <w:r>
              <w:rPr>
                <w:rFonts w:ascii="Calibri" w:hAnsi="Calibri" w:cs="Calibri"/>
                <w:color w:val="000000"/>
                <w:sz w:val="16"/>
                <w:szCs w:val="16"/>
              </w:rPr>
              <w:t>5122</w:t>
            </w:r>
          </w:p>
        </w:tc>
        <w:tc>
          <w:tcPr>
            <w:tcW w:w="4687" w:type="dxa"/>
            <w:tcBorders>
              <w:top w:val="nil"/>
              <w:left w:val="nil"/>
              <w:bottom w:val="single" w:sz="4" w:space="0" w:color="auto"/>
              <w:right w:val="single" w:sz="4" w:space="0" w:color="auto"/>
            </w:tcBorders>
            <w:shd w:val="clear" w:color="auto" w:fill="auto"/>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Podlimitní věcná břemena</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13 200,00</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109 117,95</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69 315,00</w:t>
            </w:r>
          </w:p>
        </w:tc>
      </w:tr>
      <w:tr w:rsidR="00C916F2" w:rsidTr="00C916F2">
        <w:trPr>
          <w:trHeight w:val="26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 </w:t>
            </w:r>
          </w:p>
        </w:tc>
        <w:tc>
          <w:tcPr>
            <w:tcW w:w="552" w:type="dxa"/>
            <w:tcBorders>
              <w:top w:val="nil"/>
              <w:left w:val="nil"/>
              <w:bottom w:val="single" w:sz="4" w:space="0" w:color="auto"/>
              <w:right w:val="single" w:sz="4" w:space="0" w:color="auto"/>
            </w:tcBorders>
            <w:shd w:val="clear" w:color="auto" w:fill="auto"/>
            <w:noWrap/>
            <w:vAlign w:val="center"/>
            <w:hideMark/>
          </w:tcPr>
          <w:p w:rsidR="00C916F2" w:rsidRDefault="00C916F2">
            <w:pPr>
              <w:jc w:val="center"/>
              <w:rPr>
                <w:rFonts w:ascii="Calibri" w:hAnsi="Calibri" w:cs="Calibri"/>
                <w:color w:val="000000"/>
                <w:sz w:val="16"/>
                <w:szCs w:val="16"/>
              </w:rPr>
            </w:pPr>
            <w:r>
              <w:rPr>
                <w:rFonts w:ascii="Calibri" w:hAnsi="Calibri" w:cs="Calibri"/>
                <w:color w:val="000000"/>
                <w:sz w:val="16"/>
                <w:szCs w:val="16"/>
              </w:rPr>
              <w:t>5123</w:t>
            </w:r>
          </w:p>
        </w:tc>
        <w:tc>
          <w:tcPr>
            <w:tcW w:w="4687" w:type="dxa"/>
            <w:tcBorders>
              <w:top w:val="nil"/>
              <w:left w:val="nil"/>
              <w:bottom w:val="single" w:sz="4" w:space="0" w:color="auto"/>
              <w:right w:val="single" w:sz="4" w:space="0" w:color="auto"/>
            </w:tcBorders>
            <w:shd w:val="clear" w:color="auto" w:fill="auto"/>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Podlimitní technické zhodnocení</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269 120,03</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20 676,00</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116 794,31</w:t>
            </w:r>
          </w:p>
        </w:tc>
      </w:tr>
      <w:tr w:rsidR="00C916F2" w:rsidTr="00C916F2">
        <w:trPr>
          <w:trHeight w:val="266"/>
        </w:trPr>
        <w:tc>
          <w:tcPr>
            <w:tcW w:w="426" w:type="dxa"/>
            <w:tcBorders>
              <w:top w:val="nil"/>
              <w:left w:val="single" w:sz="4" w:space="0" w:color="auto"/>
              <w:bottom w:val="single" w:sz="4" w:space="0" w:color="auto"/>
              <w:right w:val="single" w:sz="4" w:space="0" w:color="auto"/>
            </w:tcBorders>
            <w:shd w:val="clear" w:color="FFF2CC" w:fill="E2EFDA"/>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513</w:t>
            </w:r>
          </w:p>
        </w:tc>
        <w:tc>
          <w:tcPr>
            <w:tcW w:w="5239" w:type="dxa"/>
            <w:gridSpan w:val="2"/>
            <w:tcBorders>
              <w:top w:val="single" w:sz="4" w:space="0" w:color="auto"/>
              <w:left w:val="nil"/>
              <w:bottom w:val="single" w:sz="4" w:space="0" w:color="auto"/>
              <w:right w:val="single" w:sz="4" w:space="0" w:color="000000"/>
            </w:tcBorders>
            <w:shd w:val="clear" w:color="FFF2CC" w:fill="E2EFDA"/>
            <w:noWrap/>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Nákup materiálu</w:t>
            </w:r>
          </w:p>
        </w:tc>
        <w:tc>
          <w:tcPr>
            <w:tcW w:w="1276" w:type="dxa"/>
            <w:tcBorders>
              <w:top w:val="nil"/>
              <w:left w:val="nil"/>
              <w:bottom w:val="single" w:sz="4" w:space="0" w:color="auto"/>
              <w:right w:val="single" w:sz="4" w:space="0" w:color="auto"/>
            </w:tcBorders>
            <w:shd w:val="clear" w:color="FFF2CC" w:fill="E2EFDA"/>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14 674 730,53</w:t>
            </w:r>
          </w:p>
        </w:tc>
        <w:tc>
          <w:tcPr>
            <w:tcW w:w="1276" w:type="dxa"/>
            <w:tcBorders>
              <w:top w:val="nil"/>
              <w:left w:val="nil"/>
              <w:bottom w:val="single" w:sz="4" w:space="0" w:color="auto"/>
              <w:right w:val="single" w:sz="4" w:space="0" w:color="auto"/>
            </w:tcBorders>
            <w:shd w:val="clear" w:color="FFF2CC" w:fill="E2EFDA"/>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10 326 612,35</w:t>
            </w:r>
          </w:p>
        </w:tc>
        <w:tc>
          <w:tcPr>
            <w:tcW w:w="1276" w:type="dxa"/>
            <w:tcBorders>
              <w:top w:val="nil"/>
              <w:left w:val="nil"/>
              <w:bottom w:val="single" w:sz="4" w:space="0" w:color="auto"/>
              <w:right w:val="single" w:sz="4" w:space="0" w:color="auto"/>
            </w:tcBorders>
            <w:shd w:val="clear" w:color="FFF2CC" w:fill="E2EFDA"/>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11 914 598,74</w:t>
            </w:r>
          </w:p>
        </w:tc>
      </w:tr>
      <w:tr w:rsidR="00C916F2" w:rsidTr="00C916F2">
        <w:trPr>
          <w:trHeight w:val="26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 </w:t>
            </w:r>
          </w:p>
        </w:tc>
        <w:tc>
          <w:tcPr>
            <w:tcW w:w="552" w:type="dxa"/>
            <w:tcBorders>
              <w:top w:val="nil"/>
              <w:left w:val="nil"/>
              <w:bottom w:val="single" w:sz="4" w:space="0" w:color="auto"/>
              <w:right w:val="single" w:sz="4" w:space="0" w:color="auto"/>
            </w:tcBorders>
            <w:shd w:val="clear" w:color="auto" w:fill="auto"/>
            <w:noWrap/>
            <w:vAlign w:val="center"/>
            <w:hideMark/>
          </w:tcPr>
          <w:p w:rsidR="00C916F2" w:rsidRDefault="00C916F2">
            <w:pPr>
              <w:jc w:val="center"/>
              <w:rPr>
                <w:rFonts w:ascii="Calibri" w:hAnsi="Calibri" w:cs="Calibri"/>
                <w:color w:val="000000"/>
                <w:sz w:val="16"/>
                <w:szCs w:val="16"/>
              </w:rPr>
            </w:pPr>
            <w:r>
              <w:rPr>
                <w:rFonts w:ascii="Calibri" w:hAnsi="Calibri" w:cs="Calibri"/>
                <w:color w:val="000000"/>
                <w:sz w:val="16"/>
                <w:szCs w:val="16"/>
              </w:rPr>
              <w:t>5131</w:t>
            </w:r>
          </w:p>
        </w:tc>
        <w:tc>
          <w:tcPr>
            <w:tcW w:w="4687" w:type="dxa"/>
            <w:tcBorders>
              <w:top w:val="nil"/>
              <w:left w:val="nil"/>
              <w:bottom w:val="single" w:sz="4" w:space="0" w:color="auto"/>
              <w:right w:val="single" w:sz="4" w:space="0" w:color="auto"/>
            </w:tcBorders>
            <w:shd w:val="clear" w:color="auto" w:fill="auto"/>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Potraviny</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2 809,00</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2 482,00</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468,00</w:t>
            </w:r>
          </w:p>
        </w:tc>
      </w:tr>
      <w:tr w:rsidR="00C916F2" w:rsidTr="00C916F2">
        <w:trPr>
          <w:trHeight w:val="26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 </w:t>
            </w:r>
          </w:p>
        </w:tc>
        <w:tc>
          <w:tcPr>
            <w:tcW w:w="552" w:type="dxa"/>
            <w:tcBorders>
              <w:top w:val="nil"/>
              <w:left w:val="nil"/>
              <w:bottom w:val="single" w:sz="4" w:space="0" w:color="auto"/>
              <w:right w:val="single" w:sz="4" w:space="0" w:color="auto"/>
            </w:tcBorders>
            <w:shd w:val="clear" w:color="auto" w:fill="auto"/>
            <w:noWrap/>
            <w:vAlign w:val="center"/>
            <w:hideMark/>
          </w:tcPr>
          <w:p w:rsidR="00C916F2" w:rsidRDefault="00C916F2">
            <w:pPr>
              <w:jc w:val="center"/>
              <w:rPr>
                <w:rFonts w:ascii="Calibri" w:hAnsi="Calibri" w:cs="Calibri"/>
                <w:color w:val="000000"/>
                <w:sz w:val="16"/>
                <w:szCs w:val="16"/>
              </w:rPr>
            </w:pPr>
            <w:r>
              <w:rPr>
                <w:rFonts w:ascii="Calibri" w:hAnsi="Calibri" w:cs="Calibri"/>
                <w:color w:val="000000"/>
                <w:sz w:val="16"/>
                <w:szCs w:val="16"/>
              </w:rPr>
              <w:t>5132</w:t>
            </w:r>
          </w:p>
        </w:tc>
        <w:tc>
          <w:tcPr>
            <w:tcW w:w="4687" w:type="dxa"/>
            <w:tcBorders>
              <w:top w:val="nil"/>
              <w:left w:val="nil"/>
              <w:bottom w:val="single" w:sz="4" w:space="0" w:color="auto"/>
              <w:right w:val="single" w:sz="4" w:space="0" w:color="auto"/>
            </w:tcBorders>
            <w:shd w:val="clear" w:color="auto" w:fill="auto"/>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Ochranné pomůcky</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253 904,69</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368 688,64</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416 662,33</w:t>
            </w:r>
          </w:p>
        </w:tc>
      </w:tr>
      <w:tr w:rsidR="00C916F2" w:rsidTr="00C916F2">
        <w:trPr>
          <w:trHeight w:val="26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 </w:t>
            </w:r>
          </w:p>
        </w:tc>
        <w:tc>
          <w:tcPr>
            <w:tcW w:w="552" w:type="dxa"/>
            <w:tcBorders>
              <w:top w:val="nil"/>
              <w:left w:val="nil"/>
              <w:bottom w:val="single" w:sz="4" w:space="0" w:color="auto"/>
              <w:right w:val="single" w:sz="4" w:space="0" w:color="auto"/>
            </w:tcBorders>
            <w:shd w:val="clear" w:color="auto" w:fill="auto"/>
            <w:noWrap/>
            <w:vAlign w:val="center"/>
            <w:hideMark/>
          </w:tcPr>
          <w:p w:rsidR="00C916F2" w:rsidRDefault="00C916F2">
            <w:pPr>
              <w:jc w:val="center"/>
              <w:rPr>
                <w:rFonts w:ascii="Calibri" w:hAnsi="Calibri" w:cs="Calibri"/>
                <w:color w:val="000000"/>
                <w:sz w:val="16"/>
                <w:szCs w:val="16"/>
              </w:rPr>
            </w:pPr>
            <w:r>
              <w:rPr>
                <w:rFonts w:ascii="Calibri" w:hAnsi="Calibri" w:cs="Calibri"/>
                <w:color w:val="000000"/>
                <w:sz w:val="16"/>
                <w:szCs w:val="16"/>
              </w:rPr>
              <w:t>5133</w:t>
            </w:r>
          </w:p>
        </w:tc>
        <w:tc>
          <w:tcPr>
            <w:tcW w:w="4687" w:type="dxa"/>
            <w:tcBorders>
              <w:top w:val="nil"/>
              <w:left w:val="nil"/>
              <w:bottom w:val="single" w:sz="4" w:space="0" w:color="auto"/>
              <w:right w:val="single" w:sz="4" w:space="0" w:color="auto"/>
            </w:tcBorders>
            <w:shd w:val="clear" w:color="auto" w:fill="auto"/>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Léky a zdravotnický materiál</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29 584,15</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189 166,80</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12 682,94</w:t>
            </w:r>
          </w:p>
        </w:tc>
      </w:tr>
      <w:tr w:rsidR="00C916F2" w:rsidTr="00C916F2">
        <w:trPr>
          <w:trHeight w:val="26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 </w:t>
            </w:r>
          </w:p>
        </w:tc>
        <w:tc>
          <w:tcPr>
            <w:tcW w:w="552" w:type="dxa"/>
            <w:tcBorders>
              <w:top w:val="nil"/>
              <w:left w:val="nil"/>
              <w:bottom w:val="single" w:sz="4" w:space="0" w:color="auto"/>
              <w:right w:val="single" w:sz="4" w:space="0" w:color="auto"/>
            </w:tcBorders>
            <w:shd w:val="clear" w:color="auto" w:fill="auto"/>
            <w:noWrap/>
            <w:vAlign w:val="center"/>
            <w:hideMark/>
          </w:tcPr>
          <w:p w:rsidR="00C916F2" w:rsidRDefault="00C916F2">
            <w:pPr>
              <w:jc w:val="center"/>
              <w:rPr>
                <w:rFonts w:ascii="Calibri" w:hAnsi="Calibri" w:cs="Calibri"/>
                <w:color w:val="000000"/>
                <w:sz w:val="16"/>
                <w:szCs w:val="16"/>
              </w:rPr>
            </w:pPr>
            <w:r>
              <w:rPr>
                <w:rFonts w:ascii="Calibri" w:hAnsi="Calibri" w:cs="Calibri"/>
                <w:color w:val="000000"/>
                <w:sz w:val="16"/>
                <w:szCs w:val="16"/>
              </w:rPr>
              <w:t>5134</w:t>
            </w:r>
          </w:p>
        </w:tc>
        <w:tc>
          <w:tcPr>
            <w:tcW w:w="4687" w:type="dxa"/>
            <w:tcBorders>
              <w:top w:val="nil"/>
              <w:left w:val="nil"/>
              <w:bottom w:val="single" w:sz="4" w:space="0" w:color="auto"/>
              <w:right w:val="single" w:sz="4" w:space="0" w:color="auto"/>
            </w:tcBorders>
            <w:shd w:val="clear" w:color="auto" w:fill="auto"/>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Prádlo, oděv a obuv</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818 644,27</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691 387,18</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806 690,14</w:t>
            </w:r>
          </w:p>
        </w:tc>
      </w:tr>
      <w:tr w:rsidR="00C916F2" w:rsidTr="00C916F2">
        <w:trPr>
          <w:trHeight w:val="26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 </w:t>
            </w:r>
          </w:p>
        </w:tc>
        <w:tc>
          <w:tcPr>
            <w:tcW w:w="552" w:type="dxa"/>
            <w:tcBorders>
              <w:top w:val="nil"/>
              <w:left w:val="nil"/>
              <w:bottom w:val="single" w:sz="4" w:space="0" w:color="auto"/>
              <w:right w:val="single" w:sz="4" w:space="0" w:color="auto"/>
            </w:tcBorders>
            <w:shd w:val="clear" w:color="auto" w:fill="auto"/>
            <w:noWrap/>
            <w:vAlign w:val="center"/>
            <w:hideMark/>
          </w:tcPr>
          <w:p w:rsidR="00C916F2" w:rsidRDefault="00C916F2">
            <w:pPr>
              <w:jc w:val="center"/>
              <w:rPr>
                <w:rFonts w:ascii="Calibri" w:hAnsi="Calibri" w:cs="Calibri"/>
                <w:color w:val="000000"/>
                <w:sz w:val="16"/>
                <w:szCs w:val="16"/>
              </w:rPr>
            </w:pPr>
            <w:r>
              <w:rPr>
                <w:rFonts w:ascii="Calibri" w:hAnsi="Calibri" w:cs="Calibri"/>
                <w:color w:val="000000"/>
                <w:sz w:val="16"/>
                <w:szCs w:val="16"/>
              </w:rPr>
              <w:t>5136</w:t>
            </w:r>
          </w:p>
        </w:tc>
        <w:tc>
          <w:tcPr>
            <w:tcW w:w="4687" w:type="dxa"/>
            <w:tcBorders>
              <w:top w:val="nil"/>
              <w:left w:val="nil"/>
              <w:bottom w:val="single" w:sz="4" w:space="0" w:color="auto"/>
              <w:right w:val="single" w:sz="4" w:space="0" w:color="auto"/>
            </w:tcBorders>
            <w:shd w:val="clear" w:color="auto" w:fill="auto"/>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Knihy, učební pomůcky a tisk</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477 696,50</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451 713,00</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867 652,40</w:t>
            </w:r>
          </w:p>
        </w:tc>
      </w:tr>
      <w:tr w:rsidR="00C916F2" w:rsidTr="00C916F2">
        <w:trPr>
          <w:trHeight w:val="26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 </w:t>
            </w:r>
          </w:p>
        </w:tc>
        <w:tc>
          <w:tcPr>
            <w:tcW w:w="552" w:type="dxa"/>
            <w:tcBorders>
              <w:top w:val="nil"/>
              <w:left w:val="nil"/>
              <w:bottom w:val="single" w:sz="4" w:space="0" w:color="auto"/>
              <w:right w:val="single" w:sz="4" w:space="0" w:color="auto"/>
            </w:tcBorders>
            <w:shd w:val="clear" w:color="auto" w:fill="auto"/>
            <w:noWrap/>
            <w:vAlign w:val="center"/>
            <w:hideMark/>
          </w:tcPr>
          <w:p w:rsidR="00C916F2" w:rsidRDefault="00C916F2">
            <w:pPr>
              <w:jc w:val="center"/>
              <w:rPr>
                <w:rFonts w:ascii="Calibri" w:hAnsi="Calibri" w:cs="Calibri"/>
                <w:color w:val="000000"/>
                <w:sz w:val="16"/>
                <w:szCs w:val="16"/>
              </w:rPr>
            </w:pPr>
            <w:r>
              <w:rPr>
                <w:rFonts w:ascii="Calibri" w:hAnsi="Calibri" w:cs="Calibri"/>
                <w:color w:val="000000"/>
                <w:sz w:val="16"/>
                <w:szCs w:val="16"/>
              </w:rPr>
              <w:t>5137</w:t>
            </w:r>
          </w:p>
        </w:tc>
        <w:tc>
          <w:tcPr>
            <w:tcW w:w="4687" w:type="dxa"/>
            <w:tcBorders>
              <w:top w:val="nil"/>
              <w:left w:val="nil"/>
              <w:bottom w:val="single" w:sz="4" w:space="0" w:color="auto"/>
              <w:right w:val="single" w:sz="4" w:space="0" w:color="auto"/>
            </w:tcBorders>
            <w:shd w:val="clear" w:color="auto" w:fill="auto"/>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Drobný hmotný dlouhodobý majetek</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4 375 696,18</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3 351 883,63</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3 730 996,15</w:t>
            </w:r>
          </w:p>
        </w:tc>
      </w:tr>
      <w:tr w:rsidR="00C916F2" w:rsidTr="00C916F2">
        <w:trPr>
          <w:trHeight w:val="26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 </w:t>
            </w:r>
          </w:p>
        </w:tc>
        <w:tc>
          <w:tcPr>
            <w:tcW w:w="552" w:type="dxa"/>
            <w:tcBorders>
              <w:top w:val="nil"/>
              <w:left w:val="nil"/>
              <w:bottom w:val="single" w:sz="4" w:space="0" w:color="auto"/>
              <w:right w:val="single" w:sz="4" w:space="0" w:color="auto"/>
            </w:tcBorders>
            <w:shd w:val="clear" w:color="auto" w:fill="auto"/>
            <w:noWrap/>
            <w:vAlign w:val="center"/>
            <w:hideMark/>
          </w:tcPr>
          <w:p w:rsidR="00C916F2" w:rsidRDefault="00C916F2">
            <w:pPr>
              <w:jc w:val="center"/>
              <w:rPr>
                <w:rFonts w:ascii="Calibri" w:hAnsi="Calibri" w:cs="Calibri"/>
                <w:color w:val="000000"/>
                <w:sz w:val="16"/>
                <w:szCs w:val="16"/>
              </w:rPr>
            </w:pPr>
            <w:r>
              <w:rPr>
                <w:rFonts w:ascii="Calibri" w:hAnsi="Calibri" w:cs="Calibri"/>
                <w:color w:val="000000"/>
                <w:sz w:val="16"/>
                <w:szCs w:val="16"/>
              </w:rPr>
              <w:t>5138</w:t>
            </w:r>
          </w:p>
        </w:tc>
        <w:tc>
          <w:tcPr>
            <w:tcW w:w="4687" w:type="dxa"/>
            <w:tcBorders>
              <w:top w:val="nil"/>
              <w:left w:val="nil"/>
              <w:bottom w:val="single" w:sz="4" w:space="0" w:color="auto"/>
              <w:right w:val="single" w:sz="4" w:space="0" w:color="auto"/>
            </w:tcBorders>
            <w:shd w:val="clear" w:color="auto" w:fill="auto"/>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Nákup zboží (za účelem dalšího prodeje)</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27 924,01</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14 881,12</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49 868,97</w:t>
            </w:r>
          </w:p>
        </w:tc>
      </w:tr>
      <w:tr w:rsidR="00C916F2" w:rsidTr="00C916F2">
        <w:trPr>
          <w:trHeight w:val="26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 </w:t>
            </w:r>
          </w:p>
        </w:tc>
        <w:tc>
          <w:tcPr>
            <w:tcW w:w="552" w:type="dxa"/>
            <w:tcBorders>
              <w:top w:val="nil"/>
              <w:left w:val="nil"/>
              <w:bottom w:val="single" w:sz="4" w:space="0" w:color="auto"/>
              <w:right w:val="single" w:sz="4" w:space="0" w:color="auto"/>
            </w:tcBorders>
            <w:shd w:val="clear" w:color="auto" w:fill="auto"/>
            <w:noWrap/>
            <w:vAlign w:val="center"/>
            <w:hideMark/>
          </w:tcPr>
          <w:p w:rsidR="00C916F2" w:rsidRDefault="00C916F2">
            <w:pPr>
              <w:jc w:val="center"/>
              <w:rPr>
                <w:rFonts w:ascii="Calibri" w:hAnsi="Calibri" w:cs="Calibri"/>
                <w:color w:val="000000"/>
                <w:sz w:val="16"/>
                <w:szCs w:val="16"/>
              </w:rPr>
            </w:pPr>
            <w:r>
              <w:rPr>
                <w:rFonts w:ascii="Calibri" w:hAnsi="Calibri" w:cs="Calibri"/>
                <w:color w:val="000000"/>
                <w:sz w:val="16"/>
                <w:szCs w:val="16"/>
              </w:rPr>
              <w:t>5139</w:t>
            </w:r>
          </w:p>
        </w:tc>
        <w:tc>
          <w:tcPr>
            <w:tcW w:w="4687" w:type="dxa"/>
            <w:tcBorders>
              <w:top w:val="nil"/>
              <w:left w:val="nil"/>
              <w:bottom w:val="single" w:sz="4" w:space="0" w:color="auto"/>
              <w:right w:val="single" w:sz="4" w:space="0" w:color="auto"/>
            </w:tcBorders>
            <w:shd w:val="clear" w:color="auto" w:fill="auto"/>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Nákup materiálu jinde nezařazený</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8 688 471,73</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5 256 409,98</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6 029 577,81</w:t>
            </w:r>
          </w:p>
        </w:tc>
      </w:tr>
      <w:tr w:rsidR="00C916F2" w:rsidTr="00C916F2">
        <w:trPr>
          <w:trHeight w:val="266"/>
        </w:trPr>
        <w:tc>
          <w:tcPr>
            <w:tcW w:w="426" w:type="dxa"/>
            <w:tcBorders>
              <w:top w:val="nil"/>
              <w:left w:val="single" w:sz="4" w:space="0" w:color="auto"/>
              <w:bottom w:val="single" w:sz="4" w:space="0" w:color="auto"/>
              <w:right w:val="single" w:sz="4" w:space="0" w:color="auto"/>
            </w:tcBorders>
            <w:shd w:val="clear" w:color="FFF2CC" w:fill="E2EFDA"/>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514</w:t>
            </w:r>
          </w:p>
        </w:tc>
        <w:tc>
          <w:tcPr>
            <w:tcW w:w="5239" w:type="dxa"/>
            <w:gridSpan w:val="2"/>
            <w:tcBorders>
              <w:top w:val="single" w:sz="4" w:space="0" w:color="auto"/>
              <w:left w:val="nil"/>
              <w:bottom w:val="single" w:sz="4" w:space="0" w:color="auto"/>
              <w:right w:val="single" w:sz="4" w:space="0" w:color="000000"/>
            </w:tcBorders>
            <w:shd w:val="clear" w:color="FFF2CC" w:fill="E2EFDA"/>
            <w:noWrap/>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Úroky a ostatní finanční výdaje</w:t>
            </w:r>
          </w:p>
        </w:tc>
        <w:tc>
          <w:tcPr>
            <w:tcW w:w="1276" w:type="dxa"/>
            <w:tcBorders>
              <w:top w:val="nil"/>
              <w:left w:val="nil"/>
              <w:bottom w:val="single" w:sz="4" w:space="0" w:color="auto"/>
              <w:right w:val="single" w:sz="4" w:space="0" w:color="auto"/>
            </w:tcBorders>
            <w:shd w:val="clear" w:color="FFF2CC" w:fill="E2EFDA"/>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20 449,74</w:t>
            </w:r>
          </w:p>
        </w:tc>
        <w:tc>
          <w:tcPr>
            <w:tcW w:w="1276" w:type="dxa"/>
            <w:tcBorders>
              <w:top w:val="nil"/>
              <w:left w:val="nil"/>
              <w:bottom w:val="single" w:sz="4" w:space="0" w:color="auto"/>
              <w:right w:val="single" w:sz="4" w:space="0" w:color="auto"/>
            </w:tcBorders>
            <w:shd w:val="clear" w:color="FFF2CC" w:fill="E2EFDA"/>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1 139,03</w:t>
            </w:r>
          </w:p>
        </w:tc>
        <w:tc>
          <w:tcPr>
            <w:tcW w:w="1276" w:type="dxa"/>
            <w:tcBorders>
              <w:top w:val="nil"/>
              <w:left w:val="nil"/>
              <w:bottom w:val="single" w:sz="4" w:space="0" w:color="auto"/>
              <w:right w:val="single" w:sz="4" w:space="0" w:color="auto"/>
            </w:tcBorders>
            <w:shd w:val="clear" w:color="FFF2CC" w:fill="E2EFDA"/>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113,77</w:t>
            </w:r>
          </w:p>
        </w:tc>
      </w:tr>
      <w:tr w:rsidR="00C916F2" w:rsidTr="00C916F2">
        <w:trPr>
          <w:trHeight w:val="26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 </w:t>
            </w:r>
          </w:p>
        </w:tc>
        <w:tc>
          <w:tcPr>
            <w:tcW w:w="552" w:type="dxa"/>
            <w:tcBorders>
              <w:top w:val="nil"/>
              <w:left w:val="nil"/>
              <w:bottom w:val="single" w:sz="4" w:space="0" w:color="auto"/>
              <w:right w:val="single" w:sz="4" w:space="0" w:color="auto"/>
            </w:tcBorders>
            <w:shd w:val="clear" w:color="auto" w:fill="auto"/>
            <w:noWrap/>
            <w:vAlign w:val="center"/>
            <w:hideMark/>
          </w:tcPr>
          <w:p w:rsidR="00C916F2" w:rsidRDefault="00C916F2">
            <w:pPr>
              <w:jc w:val="center"/>
              <w:rPr>
                <w:rFonts w:ascii="Calibri" w:hAnsi="Calibri" w:cs="Calibri"/>
                <w:color w:val="000000"/>
                <w:sz w:val="16"/>
                <w:szCs w:val="16"/>
              </w:rPr>
            </w:pPr>
            <w:r>
              <w:rPr>
                <w:rFonts w:ascii="Calibri" w:hAnsi="Calibri" w:cs="Calibri"/>
                <w:color w:val="000000"/>
                <w:sz w:val="16"/>
                <w:szCs w:val="16"/>
              </w:rPr>
              <w:t>5142</w:t>
            </w:r>
          </w:p>
        </w:tc>
        <w:tc>
          <w:tcPr>
            <w:tcW w:w="4687" w:type="dxa"/>
            <w:tcBorders>
              <w:top w:val="nil"/>
              <w:left w:val="nil"/>
              <w:bottom w:val="single" w:sz="4" w:space="0" w:color="auto"/>
              <w:right w:val="single" w:sz="4" w:space="0" w:color="auto"/>
            </w:tcBorders>
            <w:shd w:val="clear" w:color="auto" w:fill="auto"/>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Kursové rozdíly ve výdajích</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20 449,74</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1 139,03</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113,77</w:t>
            </w:r>
          </w:p>
        </w:tc>
      </w:tr>
      <w:tr w:rsidR="00C916F2" w:rsidTr="00C916F2">
        <w:trPr>
          <w:trHeight w:val="266"/>
        </w:trPr>
        <w:tc>
          <w:tcPr>
            <w:tcW w:w="426" w:type="dxa"/>
            <w:tcBorders>
              <w:top w:val="nil"/>
              <w:left w:val="single" w:sz="4" w:space="0" w:color="auto"/>
              <w:bottom w:val="single" w:sz="4" w:space="0" w:color="auto"/>
              <w:right w:val="single" w:sz="4" w:space="0" w:color="auto"/>
            </w:tcBorders>
            <w:shd w:val="clear" w:color="FFF2CC" w:fill="E2EFDA"/>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515</w:t>
            </w:r>
          </w:p>
        </w:tc>
        <w:tc>
          <w:tcPr>
            <w:tcW w:w="5239" w:type="dxa"/>
            <w:gridSpan w:val="2"/>
            <w:tcBorders>
              <w:top w:val="single" w:sz="4" w:space="0" w:color="auto"/>
              <w:left w:val="nil"/>
              <w:bottom w:val="single" w:sz="4" w:space="0" w:color="auto"/>
              <w:right w:val="single" w:sz="4" w:space="0" w:color="000000"/>
            </w:tcBorders>
            <w:shd w:val="clear" w:color="FFF2CC" w:fill="E2EFDA"/>
            <w:noWrap/>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Nákup vody, paliv a energie</w:t>
            </w:r>
          </w:p>
        </w:tc>
        <w:tc>
          <w:tcPr>
            <w:tcW w:w="1276" w:type="dxa"/>
            <w:tcBorders>
              <w:top w:val="nil"/>
              <w:left w:val="nil"/>
              <w:bottom w:val="single" w:sz="4" w:space="0" w:color="auto"/>
              <w:right w:val="single" w:sz="4" w:space="0" w:color="auto"/>
            </w:tcBorders>
            <w:shd w:val="clear" w:color="FFF2CC" w:fill="E2EFDA"/>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32 282 853,35</w:t>
            </w:r>
          </w:p>
        </w:tc>
        <w:tc>
          <w:tcPr>
            <w:tcW w:w="1276" w:type="dxa"/>
            <w:tcBorders>
              <w:top w:val="nil"/>
              <w:left w:val="nil"/>
              <w:bottom w:val="single" w:sz="4" w:space="0" w:color="auto"/>
              <w:right w:val="single" w:sz="4" w:space="0" w:color="auto"/>
            </w:tcBorders>
            <w:shd w:val="clear" w:color="FFF2CC" w:fill="E2EFDA"/>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32 067 785,61</w:t>
            </w:r>
          </w:p>
        </w:tc>
        <w:tc>
          <w:tcPr>
            <w:tcW w:w="1276" w:type="dxa"/>
            <w:tcBorders>
              <w:top w:val="nil"/>
              <w:left w:val="nil"/>
              <w:bottom w:val="single" w:sz="4" w:space="0" w:color="auto"/>
              <w:right w:val="single" w:sz="4" w:space="0" w:color="auto"/>
            </w:tcBorders>
            <w:shd w:val="clear" w:color="FFF2CC" w:fill="E2EFDA"/>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38 541 080,11</w:t>
            </w:r>
          </w:p>
        </w:tc>
      </w:tr>
      <w:tr w:rsidR="00C916F2" w:rsidTr="00C916F2">
        <w:trPr>
          <w:trHeight w:val="26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 </w:t>
            </w:r>
          </w:p>
        </w:tc>
        <w:tc>
          <w:tcPr>
            <w:tcW w:w="552" w:type="dxa"/>
            <w:tcBorders>
              <w:top w:val="nil"/>
              <w:left w:val="nil"/>
              <w:bottom w:val="single" w:sz="4" w:space="0" w:color="auto"/>
              <w:right w:val="single" w:sz="4" w:space="0" w:color="auto"/>
            </w:tcBorders>
            <w:shd w:val="clear" w:color="auto" w:fill="auto"/>
            <w:noWrap/>
            <w:vAlign w:val="center"/>
            <w:hideMark/>
          </w:tcPr>
          <w:p w:rsidR="00C916F2" w:rsidRDefault="00C916F2">
            <w:pPr>
              <w:jc w:val="center"/>
              <w:rPr>
                <w:rFonts w:ascii="Calibri" w:hAnsi="Calibri" w:cs="Calibri"/>
                <w:color w:val="000000"/>
                <w:sz w:val="16"/>
                <w:szCs w:val="16"/>
              </w:rPr>
            </w:pPr>
            <w:r>
              <w:rPr>
                <w:rFonts w:ascii="Calibri" w:hAnsi="Calibri" w:cs="Calibri"/>
                <w:color w:val="000000"/>
                <w:sz w:val="16"/>
                <w:szCs w:val="16"/>
              </w:rPr>
              <w:t>5151</w:t>
            </w:r>
          </w:p>
        </w:tc>
        <w:tc>
          <w:tcPr>
            <w:tcW w:w="4687" w:type="dxa"/>
            <w:tcBorders>
              <w:top w:val="nil"/>
              <w:left w:val="nil"/>
              <w:bottom w:val="single" w:sz="4" w:space="0" w:color="auto"/>
              <w:right w:val="single" w:sz="4" w:space="0" w:color="auto"/>
            </w:tcBorders>
            <w:shd w:val="clear" w:color="auto" w:fill="auto"/>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Studená voda</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8 912 771,94</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8 651 856,37</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8 609 184,42</w:t>
            </w:r>
          </w:p>
        </w:tc>
      </w:tr>
      <w:tr w:rsidR="00C916F2" w:rsidTr="00C916F2">
        <w:trPr>
          <w:trHeight w:val="26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 </w:t>
            </w:r>
          </w:p>
        </w:tc>
        <w:tc>
          <w:tcPr>
            <w:tcW w:w="552" w:type="dxa"/>
            <w:tcBorders>
              <w:top w:val="nil"/>
              <w:left w:val="nil"/>
              <w:bottom w:val="single" w:sz="4" w:space="0" w:color="auto"/>
              <w:right w:val="single" w:sz="4" w:space="0" w:color="auto"/>
            </w:tcBorders>
            <w:shd w:val="clear" w:color="auto" w:fill="auto"/>
            <w:noWrap/>
            <w:vAlign w:val="center"/>
            <w:hideMark/>
          </w:tcPr>
          <w:p w:rsidR="00C916F2" w:rsidRDefault="00C916F2">
            <w:pPr>
              <w:jc w:val="center"/>
              <w:rPr>
                <w:rFonts w:ascii="Calibri" w:hAnsi="Calibri" w:cs="Calibri"/>
                <w:color w:val="000000"/>
                <w:sz w:val="16"/>
                <w:szCs w:val="16"/>
              </w:rPr>
            </w:pPr>
            <w:r>
              <w:rPr>
                <w:rFonts w:ascii="Calibri" w:hAnsi="Calibri" w:cs="Calibri"/>
                <w:color w:val="000000"/>
                <w:sz w:val="16"/>
                <w:szCs w:val="16"/>
              </w:rPr>
              <w:t>5152</w:t>
            </w:r>
          </w:p>
        </w:tc>
        <w:tc>
          <w:tcPr>
            <w:tcW w:w="4687" w:type="dxa"/>
            <w:tcBorders>
              <w:top w:val="nil"/>
              <w:left w:val="nil"/>
              <w:bottom w:val="single" w:sz="4" w:space="0" w:color="auto"/>
              <w:right w:val="single" w:sz="4" w:space="0" w:color="auto"/>
            </w:tcBorders>
            <w:shd w:val="clear" w:color="auto" w:fill="auto"/>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Teplo</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7 562 918,28</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7 238 502,15</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10 878 459,56</w:t>
            </w:r>
          </w:p>
        </w:tc>
      </w:tr>
      <w:tr w:rsidR="00C916F2" w:rsidTr="00C916F2">
        <w:trPr>
          <w:trHeight w:val="26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 </w:t>
            </w:r>
          </w:p>
        </w:tc>
        <w:tc>
          <w:tcPr>
            <w:tcW w:w="552" w:type="dxa"/>
            <w:tcBorders>
              <w:top w:val="nil"/>
              <w:left w:val="nil"/>
              <w:bottom w:val="single" w:sz="4" w:space="0" w:color="auto"/>
              <w:right w:val="single" w:sz="4" w:space="0" w:color="auto"/>
            </w:tcBorders>
            <w:shd w:val="clear" w:color="auto" w:fill="auto"/>
            <w:noWrap/>
            <w:vAlign w:val="center"/>
            <w:hideMark/>
          </w:tcPr>
          <w:p w:rsidR="00C916F2" w:rsidRDefault="00C916F2">
            <w:pPr>
              <w:jc w:val="center"/>
              <w:rPr>
                <w:rFonts w:ascii="Calibri" w:hAnsi="Calibri" w:cs="Calibri"/>
                <w:color w:val="000000"/>
                <w:sz w:val="16"/>
                <w:szCs w:val="16"/>
              </w:rPr>
            </w:pPr>
            <w:r>
              <w:rPr>
                <w:rFonts w:ascii="Calibri" w:hAnsi="Calibri" w:cs="Calibri"/>
                <w:color w:val="000000"/>
                <w:sz w:val="16"/>
                <w:szCs w:val="16"/>
              </w:rPr>
              <w:t>5153</w:t>
            </w:r>
          </w:p>
        </w:tc>
        <w:tc>
          <w:tcPr>
            <w:tcW w:w="4687" w:type="dxa"/>
            <w:tcBorders>
              <w:top w:val="nil"/>
              <w:left w:val="nil"/>
              <w:bottom w:val="single" w:sz="4" w:space="0" w:color="auto"/>
              <w:right w:val="single" w:sz="4" w:space="0" w:color="auto"/>
            </w:tcBorders>
            <w:shd w:val="clear" w:color="auto" w:fill="auto"/>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Plyn</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1 864 456,78</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2 340 725,05</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3 621 434,80</w:t>
            </w:r>
          </w:p>
        </w:tc>
      </w:tr>
      <w:tr w:rsidR="00C916F2" w:rsidTr="00C916F2">
        <w:trPr>
          <w:trHeight w:val="26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 </w:t>
            </w:r>
          </w:p>
        </w:tc>
        <w:tc>
          <w:tcPr>
            <w:tcW w:w="552" w:type="dxa"/>
            <w:tcBorders>
              <w:top w:val="nil"/>
              <w:left w:val="nil"/>
              <w:bottom w:val="single" w:sz="4" w:space="0" w:color="auto"/>
              <w:right w:val="single" w:sz="4" w:space="0" w:color="auto"/>
            </w:tcBorders>
            <w:shd w:val="clear" w:color="auto" w:fill="auto"/>
            <w:noWrap/>
            <w:vAlign w:val="center"/>
            <w:hideMark/>
          </w:tcPr>
          <w:p w:rsidR="00C916F2" w:rsidRDefault="00C916F2">
            <w:pPr>
              <w:jc w:val="center"/>
              <w:rPr>
                <w:rFonts w:ascii="Calibri" w:hAnsi="Calibri" w:cs="Calibri"/>
                <w:color w:val="000000"/>
                <w:sz w:val="16"/>
                <w:szCs w:val="16"/>
              </w:rPr>
            </w:pPr>
            <w:r>
              <w:rPr>
                <w:rFonts w:ascii="Calibri" w:hAnsi="Calibri" w:cs="Calibri"/>
                <w:color w:val="000000"/>
                <w:sz w:val="16"/>
                <w:szCs w:val="16"/>
              </w:rPr>
              <w:t>5154</w:t>
            </w:r>
          </w:p>
        </w:tc>
        <w:tc>
          <w:tcPr>
            <w:tcW w:w="4687" w:type="dxa"/>
            <w:tcBorders>
              <w:top w:val="nil"/>
              <w:left w:val="nil"/>
              <w:bottom w:val="single" w:sz="4" w:space="0" w:color="auto"/>
              <w:right w:val="single" w:sz="4" w:space="0" w:color="auto"/>
            </w:tcBorders>
            <w:shd w:val="clear" w:color="auto" w:fill="auto"/>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Elektrická energie</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10 221 630,35</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11 977 946,72</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11 169 875,38</w:t>
            </w:r>
          </w:p>
        </w:tc>
      </w:tr>
      <w:tr w:rsidR="00C916F2" w:rsidTr="00C916F2">
        <w:trPr>
          <w:trHeight w:val="26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 </w:t>
            </w:r>
          </w:p>
        </w:tc>
        <w:tc>
          <w:tcPr>
            <w:tcW w:w="552" w:type="dxa"/>
            <w:tcBorders>
              <w:top w:val="nil"/>
              <w:left w:val="nil"/>
              <w:bottom w:val="single" w:sz="4" w:space="0" w:color="auto"/>
              <w:right w:val="single" w:sz="4" w:space="0" w:color="auto"/>
            </w:tcBorders>
            <w:shd w:val="clear" w:color="auto" w:fill="auto"/>
            <w:noWrap/>
            <w:vAlign w:val="center"/>
            <w:hideMark/>
          </w:tcPr>
          <w:p w:rsidR="00C916F2" w:rsidRDefault="00C916F2">
            <w:pPr>
              <w:jc w:val="center"/>
              <w:rPr>
                <w:rFonts w:ascii="Calibri" w:hAnsi="Calibri" w:cs="Calibri"/>
                <w:color w:val="000000"/>
                <w:sz w:val="16"/>
                <w:szCs w:val="16"/>
              </w:rPr>
            </w:pPr>
            <w:r>
              <w:rPr>
                <w:rFonts w:ascii="Calibri" w:hAnsi="Calibri" w:cs="Calibri"/>
                <w:color w:val="000000"/>
                <w:sz w:val="16"/>
                <w:szCs w:val="16"/>
              </w:rPr>
              <w:t>5156</w:t>
            </w:r>
          </w:p>
        </w:tc>
        <w:tc>
          <w:tcPr>
            <w:tcW w:w="4687" w:type="dxa"/>
            <w:tcBorders>
              <w:top w:val="nil"/>
              <w:left w:val="nil"/>
              <w:bottom w:val="single" w:sz="4" w:space="0" w:color="auto"/>
              <w:right w:val="single" w:sz="4" w:space="0" w:color="auto"/>
            </w:tcBorders>
            <w:shd w:val="clear" w:color="auto" w:fill="auto"/>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Pohonné hmoty a maziva</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525 436,93</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580 014,78</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762 125,95</w:t>
            </w:r>
          </w:p>
        </w:tc>
      </w:tr>
      <w:tr w:rsidR="00C916F2" w:rsidTr="00C916F2">
        <w:trPr>
          <w:trHeight w:val="26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 </w:t>
            </w:r>
          </w:p>
        </w:tc>
        <w:tc>
          <w:tcPr>
            <w:tcW w:w="552" w:type="dxa"/>
            <w:tcBorders>
              <w:top w:val="nil"/>
              <w:left w:val="nil"/>
              <w:bottom w:val="single" w:sz="4" w:space="0" w:color="auto"/>
              <w:right w:val="single" w:sz="4" w:space="0" w:color="auto"/>
            </w:tcBorders>
            <w:shd w:val="clear" w:color="auto" w:fill="auto"/>
            <w:noWrap/>
            <w:vAlign w:val="center"/>
            <w:hideMark/>
          </w:tcPr>
          <w:p w:rsidR="00C916F2" w:rsidRDefault="00C916F2">
            <w:pPr>
              <w:jc w:val="center"/>
              <w:rPr>
                <w:rFonts w:ascii="Calibri" w:hAnsi="Calibri" w:cs="Calibri"/>
                <w:color w:val="000000"/>
                <w:sz w:val="16"/>
                <w:szCs w:val="16"/>
              </w:rPr>
            </w:pPr>
            <w:r>
              <w:rPr>
                <w:rFonts w:ascii="Calibri" w:hAnsi="Calibri" w:cs="Calibri"/>
                <w:color w:val="000000"/>
                <w:sz w:val="16"/>
                <w:szCs w:val="16"/>
              </w:rPr>
              <w:t>5157</w:t>
            </w:r>
          </w:p>
        </w:tc>
        <w:tc>
          <w:tcPr>
            <w:tcW w:w="4687" w:type="dxa"/>
            <w:tcBorders>
              <w:top w:val="nil"/>
              <w:left w:val="nil"/>
              <w:bottom w:val="single" w:sz="4" w:space="0" w:color="auto"/>
              <w:right w:val="single" w:sz="4" w:space="0" w:color="auto"/>
            </w:tcBorders>
            <w:shd w:val="clear" w:color="auto" w:fill="auto"/>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Teplá voda</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3 195 639,07</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1 278 740,54</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3 500 000,00</w:t>
            </w:r>
          </w:p>
        </w:tc>
      </w:tr>
      <w:tr w:rsidR="00C916F2" w:rsidTr="00C916F2">
        <w:trPr>
          <w:trHeight w:val="266"/>
        </w:trPr>
        <w:tc>
          <w:tcPr>
            <w:tcW w:w="426" w:type="dxa"/>
            <w:tcBorders>
              <w:top w:val="nil"/>
              <w:left w:val="single" w:sz="4" w:space="0" w:color="auto"/>
              <w:bottom w:val="single" w:sz="4" w:space="0" w:color="auto"/>
              <w:right w:val="single" w:sz="4" w:space="0" w:color="auto"/>
            </w:tcBorders>
            <w:shd w:val="clear" w:color="FFF2CC" w:fill="E2EFDA"/>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516</w:t>
            </w:r>
          </w:p>
        </w:tc>
        <w:tc>
          <w:tcPr>
            <w:tcW w:w="5239" w:type="dxa"/>
            <w:gridSpan w:val="2"/>
            <w:tcBorders>
              <w:top w:val="single" w:sz="4" w:space="0" w:color="auto"/>
              <w:left w:val="nil"/>
              <w:bottom w:val="single" w:sz="4" w:space="0" w:color="auto"/>
              <w:right w:val="single" w:sz="4" w:space="0" w:color="000000"/>
            </w:tcBorders>
            <w:shd w:val="clear" w:color="FFF2CC" w:fill="E2EFDA"/>
            <w:noWrap/>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Nákup služeb</w:t>
            </w:r>
          </w:p>
        </w:tc>
        <w:tc>
          <w:tcPr>
            <w:tcW w:w="1276" w:type="dxa"/>
            <w:tcBorders>
              <w:top w:val="nil"/>
              <w:left w:val="nil"/>
              <w:bottom w:val="single" w:sz="4" w:space="0" w:color="auto"/>
              <w:right w:val="single" w:sz="4" w:space="0" w:color="auto"/>
            </w:tcBorders>
            <w:shd w:val="clear" w:color="FFF2CC" w:fill="E2EFDA"/>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208 899 393,10</w:t>
            </w:r>
          </w:p>
        </w:tc>
        <w:tc>
          <w:tcPr>
            <w:tcW w:w="1276" w:type="dxa"/>
            <w:tcBorders>
              <w:top w:val="nil"/>
              <w:left w:val="nil"/>
              <w:bottom w:val="single" w:sz="4" w:space="0" w:color="auto"/>
              <w:right w:val="single" w:sz="4" w:space="0" w:color="auto"/>
            </w:tcBorders>
            <w:shd w:val="clear" w:color="FFF2CC" w:fill="E2EFDA"/>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215 500 392,23</w:t>
            </w:r>
          </w:p>
        </w:tc>
        <w:tc>
          <w:tcPr>
            <w:tcW w:w="1276" w:type="dxa"/>
            <w:tcBorders>
              <w:top w:val="nil"/>
              <w:left w:val="nil"/>
              <w:bottom w:val="single" w:sz="4" w:space="0" w:color="auto"/>
              <w:right w:val="single" w:sz="4" w:space="0" w:color="auto"/>
            </w:tcBorders>
            <w:shd w:val="clear" w:color="FFF2CC" w:fill="E2EFDA"/>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233 695 085,63</w:t>
            </w:r>
          </w:p>
        </w:tc>
      </w:tr>
      <w:tr w:rsidR="00C916F2" w:rsidTr="00C916F2">
        <w:trPr>
          <w:trHeight w:val="26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 </w:t>
            </w:r>
          </w:p>
        </w:tc>
        <w:tc>
          <w:tcPr>
            <w:tcW w:w="552" w:type="dxa"/>
            <w:tcBorders>
              <w:top w:val="nil"/>
              <w:left w:val="nil"/>
              <w:bottom w:val="single" w:sz="4" w:space="0" w:color="auto"/>
              <w:right w:val="single" w:sz="4" w:space="0" w:color="auto"/>
            </w:tcBorders>
            <w:shd w:val="clear" w:color="auto" w:fill="auto"/>
            <w:noWrap/>
            <w:vAlign w:val="center"/>
            <w:hideMark/>
          </w:tcPr>
          <w:p w:rsidR="00C916F2" w:rsidRDefault="00C916F2">
            <w:pPr>
              <w:jc w:val="center"/>
              <w:rPr>
                <w:rFonts w:ascii="Calibri" w:hAnsi="Calibri" w:cs="Calibri"/>
                <w:color w:val="000000"/>
                <w:sz w:val="16"/>
                <w:szCs w:val="16"/>
              </w:rPr>
            </w:pPr>
            <w:r>
              <w:rPr>
                <w:rFonts w:ascii="Calibri" w:hAnsi="Calibri" w:cs="Calibri"/>
                <w:color w:val="000000"/>
                <w:sz w:val="16"/>
                <w:szCs w:val="16"/>
              </w:rPr>
              <w:t>5161</w:t>
            </w:r>
          </w:p>
        </w:tc>
        <w:tc>
          <w:tcPr>
            <w:tcW w:w="4687" w:type="dxa"/>
            <w:tcBorders>
              <w:top w:val="nil"/>
              <w:left w:val="nil"/>
              <w:bottom w:val="single" w:sz="4" w:space="0" w:color="auto"/>
              <w:right w:val="single" w:sz="4" w:space="0" w:color="auto"/>
            </w:tcBorders>
            <w:shd w:val="clear" w:color="auto" w:fill="auto"/>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Poštovní služby</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2 279 645,09</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2 836 066,10</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3 755 163,89</w:t>
            </w:r>
          </w:p>
        </w:tc>
      </w:tr>
      <w:tr w:rsidR="00C916F2" w:rsidTr="00C916F2">
        <w:trPr>
          <w:trHeight w:val="26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 </w:t>
            </w:r>
          </w:p>
        </w:tc>
        <w:tc>
          <w:tcPr>
            <w:tcW w:w="552" w:type="dxa"/>
            <w:tcBorders>
              <w:top w:val="nil"/>
              <w:left w:val="nil"/>
              <w:bottom w:val="single" w:sz="4" w:space="0" w:color="auto"/>
              <w:right w:val="single" w:sz="4" w:space="0" w:color="auto"/>
            </w:tcBorders>
            <w:shd w:val="clear" w:color="auto" w:fill="auto"/>
            <w:noWrap/>
            <w:vAlign w:val="center"/>
            <w:hideMark/>
          </w:tcPr>
          <w:p w:rsidR="00C916F2" w:rsidRDefault="00C916F2">
            <w:pPr>
              <w:jc w:val="center"/>
              <w:rPr>
                <w:rFonts w:ascii="Calibri" w:hAnsi="Calibri" w:cs="Calibri"/>
                <w:color w:val="000000"/>
                <w:sz w:val="16"/>
                <w:szCs w:val="16"/>
              </w:rPr>
            </w:pPr>
            <w:r>
              <w:rPr>
                <w:rFonts w:ascii="Calibri" w:hAnsi="Calibri" w:cs="Calibri"/>
                <w:color w:val="000000"/>
                <w:sz w:val="16"/>
                <w:szCs w:val="16"/>
              </w:rPr>
              <w:t>5162</w:t>
            </w:r>
          </w:p>
        </w:tc>
        <w:tc>
          <w:tcPr>
            <w:tcW w:w="4687" w:type="dxa"/>
            <w:tcBorders>
              <w:top w:val="nil"/>
              <w:left w:val="nil"/>
              <w:bottom w:val="single" w:sz="4" w:space="0" w:color="auto"/>
              <w:right w:val="single" w:sz="4" w:space="0" w:color="auto"/>
            </w:tcBorders>
            <w:shd w:val="clear" w:color="auto" w:fill="auto"/>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Služby elektronických komunikací</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1 160 699,62</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1 205 370,89</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1 181 048,10</w:t>
            </w:r>
          </w:p>
        </w:tc>
      </w:tr>
      <w:tr w:rsidR="00C916F2" w:rsidTr="00C916F2">
        <w:trPr>
          <w:trHeight w:val="26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 </w:t>
            </w:r>
          </w:p>
        </w:tc>
        <w:tc>
          <w:tcPr>
            <w:tcW w:w="552" w:type="dxa"/>
            <w:tcBorders>
              <w:top w:val="nil"/>
              <w:left w:val="nil"/>
              <w:bottom w:val="single" w:sz="4" w:space="0" w:color="auto"/>
              <w:right w:val="single" w:sz="4" w:space="0" w:color="auto"/>
            </w:tcBorders>
            <w:shd w:val="clear" w:color="auto" w:fill="auto"/>
            <w:noWrap/>
            <w:vAlign w:val="center"/>
            <w:hideMark/>
          </w:tcPr>
          <w:p w:rsidR="00C916F2" w:rsidRDefault="00C916F2">
            <w:pPr>
              <w:jc w:val="center"/>
              <w:rPr>
                <w:rFonts w:ascii="Calibri" w:hAnsi="Calibri" w:cs="Calibri"/>
                <w:color w:val="000000"/>
                <w:sz w:val="16"/>
                <w:szCs w:val="16"/>
              </w:rPr>
            </w:pPr>
            <w:r>
              <w:rPr>
                <w:rFonts w:ascii="Calibri" w:hAnsi="Calibri" w:cs="Calibri"/>
                <w:color w:val="000000"/>
                <w:sz w:val="16"/>
                <w:szCs w:val="16"/>
              </w:rPr>
              <w:t>5163</w:t>
            </w:r>
          </w:p>
        </w:tc>
        <w:tc>
          <w:tcPr>
            <w:tcW w:w="4687" w:type="dxa"/>
            <w:tcBorders>
              <w:top w:val="nil"/>
              <w:left w:val="nil"/>
              <w:bottom w:val="single" w:sz="4" w:space="0" w:color="auto"/>
              <w:right w:val="single" w:sz="4" w:space="0" w:color="auto"/>
            </w:tcBorders>
            <w:shd w:val="clear" w:color="auto" w:fill="auto"/>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Služby peněžních ústavů</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3 538 851,65</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3 477 690,43</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3 390 048,68</w:t>
            </w:r>
          </w:p>
        </w:tc>
      </w:tr>
      <w:tr w:rsidR="00C916F2" w:rsidTr="00C916F2">
        <w:trPr>
          <w:trHeight w:val="26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 </w:t>
            </w:r>
          </w:p>
        </w:tc>
        <w:tc>
          <w:tcPr>
            <w:tcW w:w="552" w:type="dxa"/>
            <w:tcBorders>
              <w:top w:val="nil"/>
              <w:left w:val="nil"/>
              <w:bottom w:val="single" w:sz="4" w:space="0" w:color="auto"/>
              <w:right w:val="single" w:sz="4" w:space="0" w:color="auto"/>
            </w:tcBorders>
            <w:shd w:val="clear" w:color="auto" w:fill="auto"/>
            <w:noWrap/>
            <w:vAlign w:val="center"/>
            <w:hideMark/>
          </w:tcPr>
          <w:p w:rsidR="00C916F2" w:rsidRDefault="00C916F2">
            <w:pPr>
              <w:jc w:val="center"/>
              <w:rPr>
                <w:rFonts w:ascii="Calibri" w:hAnsi="Calibri" w:cs="Calibri"/>
                <w:color w:val="000000"/>
                <w:sz w:val="16"/>
                <w:szCs w:val="16"/>
              </w:rPr>
            </w:pPr>
            <w:r>
              <w:rPr>
                <w:rFonts w:ascii="Calibri" w:hAnsi="Calibri" w:cs="Calibri"/>
                <w:color w:val="000000"/>
                <w:sz w:val="16"/>
                <w:szCs w:val="16"/>
              </w:rPr>
              <w:t>5164</w:t>
            </w:r>
          </w:p>
        </w:tc>
        <w:tc>
          <w:tcPr>
            <w:tcW w:w="4687" w:type="dxa"/>
            <w:tcBorders>
              <w:top w:val="nil"/>
              <w:left w:val="nil"/>
              <w:bottom w:val="single" w:sz="4" w:space="0" w:color="auto"/>
              <w:right w:val="single" w:sz="4" w:space="0" w:color="auto"/>
            </w:tcBorders>
            <w:shd w:val="clear" w:color="auto" w:fill="auto"/>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Nájemné</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412 876,85</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2 329 165,50</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2 329 762,17</w:t>
            </w:r>
          </w:p>
        </w:tc>
      </w:tr>
      <w:tr w:rsidR="00C916F2" w:rsidTr="00C916F2">
        <w:trPr>
          <w:trHeight w:val="26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 </w:t>
            </w:r>
          </w:p>
        </w:tc>
        <w:tc>
          <w:tcPr>
            <w:tcW w:w="552" w:type="dxa"/>
            <w:tcBorders>
              <w:top w:val="nil"/>
              <w:left w:val="nil"/>
              <w:bottom w:val="single" w:sz="4" w:space="0" w:color="auto"/>
              <w:right w:val="single" w:sz="4" w:space="0" w:color="auto"/>
            </w:tcBorders>
            <w:shd w:val="clear" w:color="auto" w:fill="auto"/>
            <w:noWrap/>
            <w:vAlign w:val="center"/>
            <w:hideMark/>
          </w:tcPr>
          <w:p w:rsidR="00C916F2" w:rsidRDefault="00C916F2">
            <w:pPr>
              <w:jc w:val="center"/>
              <w:rPr>
                <w:rFonts w:ascii="Calibri" w:hAnsi="Calibri" w:cs="Calibri"/>
                <w:color w:val="000000"/>
                <w:sz w:val="16"/>
                <w:szCs w:val="16"/>
              </w:rPr>
            </w:pPr>
            <w:r>
              <w:rPr>
                <w:rFonts w:ascii="Calibri" w:hAnsi="Calibri" w:cs="Calibri"/>
                <w:color w:val="000000"/>
                <w:sz w:val="16"/>
                <w:szCs w:val="16"/>
              </w:rPr>
              <w:t>5166</w:t>
            </w:r>
          </w:p>
        </w:tc>
        <w:tc>
          <w:tcPr>
            <w:tcW w:w="4687" w:type="dxa"/>
            <w:tcBorders>
              <w:top w:val="nil"/>
              <w:left w:val="nil"/>
              <w:bottom w:val="single" w:sz="4" w:space="0" w:color="auto"/>
              <w:right w:val="single" w:sz="4" w:space="0" w:color="auto"/>
            </w:tcBorders>
            <w:shd w:val="clear" w:color="auto" w:fill="auto"/>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Konzultační, poradenské a právní služby</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1 615 451,86</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1 753 904,95</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1 903 194,45</w:t>
            </w:r>
          </w:p>
        </w:tc>
      </w:tr>
      <w:tr w:rsidR="00C916F2" w:rsidTr="00C916F2">
        <w:trPr>
          <w:trHeight w:val="26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 </w:t>
            </w:r>
          </w:p>
        </w:tc>
        <w:tc>
          <w:tcPr>
            <w:tcW w:w="552" w:type="dxa"/>
            <w:tcBorders>
              <w:top w:val="nil"/>
              <w:left w:val="nil"/>
              <w:bottom w:val="single" w:sz="4" w:space="0" w:color="auto"/>
              <w:right w:val="single" w:sz="4" w:space="0" w:color="auto"/>
            </w:tcBorders>
            <w:shd w:val="clear" w:color="auto" w:fill="auto"/>
            <w:noWrap/>
            <w:vAlign w:val="center"/>
            <w:hideMark/>
          </w:tcPr>
          <w:p w:rsidR="00C916F2" w:rsidRDefault="00C916F2">
            <w:pPr>
              <w:jc w:val="center"/>
              <w:rPr>
                <w:rFonts w:ascii="Calibri" w:hAnsi="Calibri" w:cs="Calibri"/>
                <w:color w:val="000000"/>
                <w:sz w:val="16"/>
                <w:szCs w:val="16"/>
              </w:rPr>
            </w:pPr>
            <w:r>
              <w:rPr>
                <w:rFonts w:ascii="Calibri" w:hAnsi="Calibri" w:cs="Calibri"/>
                <w:color w:val="000000"/>
                <w:sz w:val="16"/>
                <w:szCs w:val="16"/>
              </w:rPr>
              <w:t>5167</w:t>
            </w:r>
          </w:p>
        </w:tc>
        <w:tc>
          <w:tcPr>
            <w:tcW w:w="4687" w:type="dxa"/>
            <w:tcBorders>
              <w:top w:val="nil"/>
              <w:left w:val="nil"/>
              <w:bottom w:val="single" w:sz="4" w:space="0" w:color="auto"/>
              <w:right w:val="single" w:sz="4" w:space="0" w:color="auto"/>
            </w:tcBorders>
            <w:shd w:val="clear" w:color="auto" w:fill="auto"/>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Služby školení a vzdělávání</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2 207 720,43</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2 725 208,24</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2 530 855,10</w:t>
            </w:r>
          </w:p>
        </w:tc>
      </w:tr>
      <w:tr w:rsidR="00C916F2" w:rsidTr="00C916F2">
        <w:trPr>
          <w:trHeight w:val="26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 </w:t>
            </w:r>
          </w:p>
        </w:tc>
        <w:tc>
          <w:tcPr>
            <w:tcW w:w="552" w:type="dxa"/>
            <w:tcBorders>
              <w:top w:val="nil"/>
              <w:left w:val="nil"/>
              <w:bottom w:val="single" w:sz="4" w:space="0" w:color="auto"/>
              <w:right w:val="single" w:sz="4" w:space="0" w:color="auto"/>
            </w:tcBorders>
            <w:shd w:val="clear" w:color="auto" w:fill="auto"/>
            <w:noWrap/>
            <w:vAlign w:val="center"/>
            <w:hideMark/>
          </w:tcPr>
          <w:p w:rsidR="00C916F2" w:rsidRDefault="00C916F2">
            <w:pPr>
              <w:jc w:val="center"/>
              <w:rPr>
                <w:rFonts w:ascii="Calibri" w:hAnsi="Calibri" w:cs="Calibri"/>
                <w:color w:val="000000"/>
                <w:sz w:val="16"/>
                <w:szCs w:val="16"/>
              </w:rPr>
            </w:pPr>
            <w:r>
              <w:rPr>
                <w:rFonts w:ascii="Calibri" w:hAnsi="Calibri" w:cs="Calibri"/>
                <w:color w:val="000000"/>
                <w:sz w:val="16"/>
                <w:szCs w:val="16"/>
              </w:rPr>
              <w:t>5168</w:t>
            </w:r>
          </w:p>
        </w:tc>
        <w:tc>
          <w:tcPr>
            <w:tcW w:w="4687" w:type="dxa"/>
            <w:tcBorders>
              <w:top w:val="nil"/>
              <w:left w:val="nil"/>
              <w:bottom w:val="single" w:sz="4" w:space="0" w:color="auto"/>
              <w:right w:val="single" w:sz="4" w:space="0" w:color="auto"/>
            </w:tcBorders>
            <w:shd w:val="clear" w:color="auto" w:fill="auto"/>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Zpracování dat a služby související s informačními a komunikačními technologiemi</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5 893 556,80</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6 448 987,84</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6 185 744,90</w:t>
            </w:r>
          </w:p>
        </w:tc>
      </w:tr>
      <w:tr w:rsidR="00C916F2" w:rsidTr="00C916F2">
        <w:trPr>
          <w:trHeight w:val="26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 </w:t>
            </w:r>
          </w:p>
        </w:tc>
        <w:tc>
          <w:tcPr>
            <w:tcW w:w="552" w:type="dxa"/>
            <w:tcBorders>
              <w:top w:val="nil"/>
              <w:left w:val="nil"/>
              <w:bottom w:val="single" w:sz="4" w:space="0" w:color="auto"/>
              <w:right w:val="single" w:sz="4" w:space="0" w:color="auto"/>
            </w:tcBorders>
            <w:shd w:val="clear" w:color="auto" w:fill="auto"/>
            <w:noWrap/>
            <w:vAlign w:val="center"/>
            <w:hideMark/>
          </w:tcPr>
          <w:p w:rsidR="00C916F2" w:rsidRDefault="00C916F2">
            <w:pPr>
              <w:jc w:val="center"/>
              <w:rPr>
                <w:rFonts w:ascii="Calibri" w:hAnsi="Calibri" w:cs="Calibri"/>
                <w:color w:val="000000"/>
                <w:sz w:val="16"/>
                <w:szCs w:val="16"/>
              </w:rPr>
            </w:pPr>
            <w:r>
              <w:rPr>
                <w:rFonts w:ascii="Calibri" w:hAnsi="Calibri" w:cs="Calibri"/>
                <w:color w:val="000000"/>
                <w:sz w:val="16"/>
                <w:szCs w:val="16"/>
              </w:rPr>
              <w:t>5169</w:t>
            </w:r>
          </w:p>
        </w:tc>
        <w:tc>
          <w:tcPr>
            <w:tcW w:w="4687" w:type="dxa"/>
            <w:tcBorders>
              <w:top w:val="nil"/>
              <w:left w:val="nil"/>
              <w:bottom w:val="single" w:sz="4" w:space="0" w:color="auto"/>
              <w:right w:val="single" w:sz="4" w:space="0" w:color="auto"/>
            </w:tcBorders>
            <w:shd w:val="clear" w:color="auto" w:fill="auto"/>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Nákup ostatních služeb</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191 790 590,80</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194 723 998,28</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212 419 268,34</w:t>
            </w:r>
          </w:p>
        </w:tc>
      </w:tr>
      <w:tr w:rsidR="00C916F2" w:rsidTr="00C916F2">
        <w:trPr>
          <w:trHeight w:val="266"/>
        </w:trPr>
        <w:tc>
          <w:tcPr>
            <w:tcW w:w="426" w:type="dxa"/>
            <w:tcBorders>
              <w:top w:val="nil"/>
              <w:left w:val="single" w:sz="4" w:space="0" w:color="auto"/>
              <w:bottom w:val="single" w:sz="4" w:space="0" w:color="auto"/>
              <w:right w:val="single" w:sz="4" w:space="0" w:color="auto"/>
            </w:tcBorders>
            <w:shd w:val="clear" w:color="FFF2CC" w:fill="E2EFDA"/>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517</w:t>
            </w:r>
          </w:p>
        </w:tc>
        <w:tc>
          <w:tcPr>
            <w:tcW w:w="5239" w:type="dxa"/>
            <w:gridSpan w:val="2"/>
            <w:tcBorders>
              <w:top w:val="single" w:sz="4" w:space="0" w:color="auto"/>
              <w:left w:val="nil"/>
              <w:bottom w:val="single" w:sz="4" w:space="0" w:color="auto"/>
              <w:right w:val="single" w:sz="4" w:space="0" w:color="000000"/>
            </w:tcBorders>
            <w:shd w:val="clear" w:color="FFF2CC" w:fill="E2EFDA"/>
            <w:noWrap/>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Ostatní nákupy</w:t>
            </w:r>
          </w:p>
        </w:tc>
        <w:tc>
          <w:tcPr>
            <w:tcW w:w="1276" w:type="dxa"/>
            <w:tcBorders>
              <w:top w:val="nil"/>
              <w:left w:val="nil"/>
              <w:bottom w:val="single" w:sz="4" w:space="0" w:color="auto"/>
              <w:right w:val="single" w:sz="4" w:space="0" w:color="auto"/>
            </w:tcBorders>
            <w:shd w:val="clear" w:color="FFF2CC" w:fill="E2EFDA"/>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66 789 701,68</w:t>
            </w:r>
          </w:p>
        </w:tc>
        <w:tc>
          <w:tcPr>
            <w:tcW w:w="1276" w:type="dxa"/>
            <w:tcBorders>
              <w:top w:val="nil"/>
              <w:left w:val="nil"/>
              <w:bottom w:val="single" w:sz="4" w:space="0" w:color="auto"/>
              <w:right w:val="single" w:sz="4" w:space="0" w:color="auto"/>
            </w:tcBorders>
            <w:shd w:val="clear" w:color="FFF2CC" w:fill="E2EFDA"/>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68 248 967,70</w:t>
            </w:r>
          </w:p>
        </w:tc>
        <w:tc>
          <w:tcPr>
            <w:tcW w:w="1276" w:type="dxa"/>
            <w:tcBorders>
              <w:top w:val="nil"/>
              <w:left w:val="nil"/>
              <w:bottom w:val="single" w:sz="4" w:space="0" w:color="auto"/>
              <w:right w:val="single" w:sz="4" w:space="0" w:color="auto"/>
            </w:tcBorders>
            <w:shd w:val="clear" w:color="FFF2CC" w:fill="E2EFDA"/>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103 036 094,69</w:t>
            </w:r>
          </w:p>
        </w:tc>
      </w:tr>
      <w:tr w:rsidR="00C916F2" w:rsidTr="00C916F2">
        <w:trPr>
          <w:trHeight w:val="26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 </w:t>
            </w:r>
          </w:p>
        </w:tc>
        <w:tc>
          <w:tcPr>
            <w:tcW w:w="552" w:type="dxa"/>
            <w:tcBorders>
              <w:top w:val="nil"/>
              <w:left w:val="nil"/>
              <w:bottom w:val="single" w:sz="4" w:space="0" w:color="auto"/>
              <w:right w:val="single" w:sz="4" w:space="0" w:color="auto"/>
            </w:tcBorders>
            <w:shd w:val="clear" w:color="auto" w:fill="auto"/>
            <w:noWrap/>
            <w:vAlign w:val="center"/>
            <w:hideMark/>
          </w:tcPr>
          <w:p w:rsidR="00C916F2" w:rsidRDefault="00C916F2">
            <w:pPr>
              <w:jc w:val="center"/>
              <w:rPr>
                <w:rFonts w:ascii="Calibri" w:hAnsi="Calibri" w:cs="Calibri"/>
                <w:color w:val="000000"/>
                <w:sz w:val="16"/>
                <w:szCs w:val="16"/>
              </w:rPr>
            </w:pPr>
            <w:r>
              <w:rPr>
                <w:rFonts w:ascii="Calibri" w:hAnsi="Calibri" w:cs="Calibri"/>
                <w:color w:val="000000"/>
                <w:sz w:val="16"/>
                <w:szCs w:val="16"/>
              </w:rPr>
              <w:t>5171</w:t>
            </w:r>
          </w:p>
        </w:tc>
        <w:tc>
          <w:tcPr>
            <w:tcW w:w="4687" w:type="dxa"/>
            <w:tcBorders>
              <w:top w:val="nil"/>
              <w:left w:val="nil"/>
              <w:bottom w:val="single" w:sz="4" w:space="0" w:color="auto"/>
              <w:right w:val="single" w:sz="4" w:space="0" w:color="auto"/>
            </w:tcBorders>
            <w:shd w:val="clear" w:color="auto" w:fill="auto"/>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Opravy a udržování</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62 097 921,14</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63 479 038,85</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97 462 707,16</w:t>
            </w:r>
          </w:p>
        </w:tc>
      </w:tr>
      <w:tr w:rsidR="00C916F2" w:rsidTr="00C916F2">
        <w:trPr>
          <w:trHeight w:val="26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 </w:t>
            </w:r>
          </w:p>
        </w:tc>
        <w:tc>
          <w:tcPr>
            <w:tcW w:w="552" w:type="dxa"/>
            <w:tcBorders>
              <w:top w:val="nil"/>
              <w:left w:val="nil"/>
              <w:bottom w:val="single" w:sz="4" w:space="0" w:color="auto"/>
              <w:right w:val="single" w:sz="4" w:space="0" w:color="auto"/>
            </w:tcBorders>
            <w:shd w:val="clear" w:color="auto" w:fill="auto"/>
            <w:noWrap/>
            <w:vAlign w:val="center"/>
            <w:hideMark/>
          </w:tcPr>
          <w:p w:rsidR="00C916F2" w:rsidRDefault="00C916F2">
            <w:pPr>
              <w:jc w:val="center"/>
              <w:rPr>
                <w:rFonts w:ascii="Calibri" w:hAnsi="Calibri" w:cs="Calibri"/>
                <w:color w:val="000000"/>
                <w:sz w:val="16"/>
                <w:szCs w:val="16"/>
              </w:rPr>
            </w:pPr>
            <w:r>
              <w:rPr>
                <w:rFonts w:ascii="Calibri" w:hAnsi="Calibri" w:cs="Calibri"/>
                <w:color w:val="000000"/>
                <w:sz w:val="16"/>
                <w:szCs w:val="16"/>
              </w:rPr>
              <w:t>5172</w:t>
            </w:r>
          </w:p>
        </w:tc>
        <w:tc>
          <w:tcPr>
            <w:tcW w:w="4687" w:type="dxa"/>
            <w:tcBorders>
              <w:top w:val="nil"/>
              <w:left w:val="nil"/>
              <w:bottom w:val="single" w:sz="4" w:space="0" w:color="auto"/>
              <w:right w:val="single" w:sz="4" w:space="0" w:color="auto"/>
            </w:tcBorders>
            <w:shd w:val="clear" w:color="auto" w:fill="auto"/>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Programové vybavení</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808 210,36</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412 703,06</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519 157,39</w:t>
            </w:r>
          </w:p>
        </w:tc>
      </w:tr>
      <w:tr w:rsidR="00C916F2" w:rsidTr="00C916F2">
        <w:trPr>
          <w:trHeight w:val="26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 </w:t>
            </w:r>
          </w:p>
        </w:tc>
        <w:tc>
          <w:tcPr>
            <w:tcW w:w="552" w:type="dxa"/>
            <w:tcBorders>
              <w:top w:val="nil"/>
              <w:left w:val="nil"/>
              <w:bottom w:val="single" w:sz="4" w:space="0" w:color="auto"/>
              <w:right w:val="single" w:sz="4" w:space="0" w:color="auto"/>
            </w:tcBorders>
            <w:shd w:val="clear" w:color="auto" w:fill="auto"/>
            <w:noWrap/>
            <w:vAlign w:val="center"/>
            <w:hideMark/>
          </w:tcPr>
          <w:p w:rsidR="00C916F2" w:rsidRDefault="00C916F2">
            <w:pPr>
              <w:jc w:val="center"/>
              <w:rPr>
                <w:rFonts w:ascii="Calibri" w:hAnsi="Calibri" w:cs="Calibri"/>
                <w:color w:val="000000"/>
                <w:sz w:val="16"/>
                <w:szCs w:val="16"/>
              </w:rPr>
            </w:pPr>
            <w:r>
              <w:rPr>
                <w:rFonts w:ascii="Calibri" w:hAnsi="Calibri" w:cs="Calibri"/>
                <w:color w:val="000000"/>
                <w:sz w:val="16"/>
                <w:szCs w:val="16"/>
              </w:rPr>
              <w:t>5173</w:t>
            </w:r>
          </w:p>
        </w:tc>
        <w:tc>
          <w:tcPr>
            <w:tcW w:w="4687" w:type="dxa"/>
            <w:tcBorders>
              <w:top w:val="nil"/>
              <w:left w:val="nil"/>
              <w:bottom w:val="single" w:sz="4" w:space="0" w:color="auto"/>
              <w:right w:val="single" w:sz="4" w:space="0" w:color="auto"/>
            </w:tcBorders>
            <w:shd w:val="clear" w:color="auto" w:fill="auto"/>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Cestovné (tuzemské i zahraniční)</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458 139,48</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497 045,86</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599 673,01</w:t>
            </w:r>
          </w:p>
        </w:tc>
      </w:tr>
      <w:tr w:rsidR="00C916F2" w:rsidTr="00C916F2">
        <w:trPr>
          <w:trHeight w:val="26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 </w:t>
            </w:r>
          </w:p>
        </w:tc>
        <w:tc>
          <w:tcPr>
            <w:tcW w:w="552" w:type="dxa"/>
            <w:tcBorders>
              <w:top w:val="nil"/>
              <w:left w:val="nil"/>
              <w:bottom w:val="single" w:sz="4" w:space="0" w:color="auto"/>
              <w:right w:val="single" w:sz="4" w:space="0" w:color="auto"/>
            </w:tcBorders>
            <w:shd w:val="clear" w:color="auto" w:fill="auto"/>
            <w:noWrap/>
            <w:vAlign w:val="center"/>
            <w:hideMark/>
          </w:tcPr>
          <w:p w:rsidR="00C916F2" w:rsidRDefault="00C916F2">
            <w:pPr>
              <w:jc w:val="center"/>
              <w:rPr>
                <w:rFonts w:ascii="Calibri" w:hAnsi="Calibri" w:cs="Calibri"/>
                <w:color w:val="000000"/>
                <w:sz w:val="16"/>
                <w:szCs w:val="16"/>
              </w:rPr>
            </w:pPr>
            <w:r>
              <w:rPr>
                <w:rFonts w:ascii="Calibri" w:hAnsi="Calibri" w:cs="Calibri"/>
                <w:color w:val="000000"/>
                <w:sz w:val="16"/>
                <w:szCs w:val="16"/>
              </w:rPr>
              <w:t>5175</w:t>
            </w:r>
          </w:p>
        </w:tc>
        <w:tc>
          <w:tcPr>
            <w:tcW w:w="4687" w:type="dxa"/>
            <w:tcBorders>
              <w:top w:val="nil"/>
              <w:left w:val="nil"/>
              <w:bottom w:val="single" w:sz="4" w:space="0" w:color="auto"/>
              <w:right w:val="single" w:sz="4" w:space="0" w:color="auto"/>
            </w:tcBorders>
            <w:shd w:val="clear" w:color="auto" w:fill="auto"/>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Pohoštění</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550 909,10</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646 387,81</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1 178 385,55</w:t>
            </w:r>
          </w:p>
        </w:tc>
      </w:tr>
      <w:tr w:rsidR="00C916F2" w:rsidTr="00C916F2">
        <w:trPr>
          <w:trHeight w:val="26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 </w:t>
            </w:r>
          </w:p>
        </w:tc>
        <w:tc>
          <w:tcPr>
            <w:tcW w:w="552" w:type="dxa"/>
            <w:tcBorders>
              <w:top w:val="nil"/>
              <w:left w:val="nil"/>
              <w:bottom w:val="single" w:sz="4" w:space="0" w:color="auto"/>
              <w:right w:val="single" w:sz="4" w:space="0" w:color="auto"/>
            </w:tcBorders>
            <w:shd w:val="clear" w:color="auto" w:fill="auto"/>
            <w:noWrap/>
            <w:vAlign w:val="center"/>
            <w:hideMark/>
          </w:tcPr>
          <w:p w:rsidR="00C916F2" w:rsidRDefault="00C916F2">
            <w:pPr>
              <w:jc w:val="center"/>
              <w:rPr>
                <w:rFonts w:ascii="Calibri" w:hAnsi="Calibri" w:cs="Calibri"/>
                <w:color w:val="000000"/>
                <w:sz w:val="16"/>
                <w:szCs w:val="16"/>
              </w:rPr>
            </w:pPr>
            <w:r>
              <w:rPr>
                <w:rFonts w:ascii="Calibri" w:hAnsi="Calibri" w:cs="Calibri"/>
                <w:color w:val="000000"/>
                <w:sz w:val="16"/>
                <w:szCs w:val="16"/>
              </w:rPr>
              <w:t>5179</w:t>
            </w:r>
          </w:p>
        </w:tc>
        <w:tc>
          <w:tcPr>
            <w:tcW w:w="4687" w:type="dxa"/>
            <w:tcBorders>
              <w:top w:val="nil"/>
              <w:left w:val="nil"/>
              <w:bottom w:val="single" w:sz="4" w:space="0" w:color="auto"/>
              <w:right w:val="single" w:sz="4" w:space="0" w:color="auto"/>
            </w:tcBorders>
            <w:shd w:val="clear" w:color="auto" w:fill="auto"/>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Ostatní nákupy jinde nezařazené</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2 874 521,60</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3 213 792,12</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3 276 171,58</w:t>
            </w:r>
          </w:p>
        </w:tc>
      </w:tr>
      <w:tr w:rsidR="00C916F2" w:rsidTr="00C916F2">
        <w:trPr>
          <w:trHeight w:val="266"/>
        </w:trPr>
        <w:tc>
          <w:tcPr>
            <w:tcW w:w="426" w:type="dxa"/>
            <w:tcBorders>
              <w:top w:val="nil"/>
              <w:left w:val="single" w:sz="4" w:space="0" w:color="auto"/>
              <w:bottom w:val="single" w:sz="4" w:space="0" w:color="auto"/>
              <w:right w:val="single" w:sz="4" w:space="0" w:color="auto"/>
            </w:tcBorders>
            <w:shd w:val="clear" w:color="FFF2CC" w:fill="E2EFDA"/>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518</w:t>
            </w:r>
          </w:p>
        </w:tc>
        <w:tc>
          <w:tcPr>
            <w:tcW w:w="5239" w:type="dxa"/>
            <w:gridSpan w:val="2"/>
            <w:tcBorders>
              <w:top w:val="single" w:sz="4" w:space="0" w:color="auto"/>
              <w:left w:val="nil"/>
              <w:bottom w:val="single" w:sz="4" w:space="0" w:color="auto"/>
              <w:right w:val="single" w:sz="4" w:space="0" w:color="auto"/>
            </w:tcBorders>
            <w:shd w:val="clear" w:color="FFF2CC" w:fill="E2EFDA"/>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Výdaje na netransferové převody uvnitř organizace, na převzaté povinnosti a na jistoty</w:t>
            </w:r>
          </w:p>
        </w:tc>
        <w:tc>
          <w:tcPr>
            <w:tcW w:w="1276" w:type="dxa"/>
            <w:tcBorders>
              <w:top w:val="nil"/>
              <w:left w:val="nil"/>
              <w:bottom w:val="single" w:sz="4" w:space="0" w:color="auto"/>
              <w:right w:val="single" w:sz="4" w:space="0" w:color="auto"/>
            </w:tcBorders>
            <w:shd w:val="clear" w:color="FFF2CC" w:fill="E2EFDA"/>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48 000,00</w:t>
            </w:r>
          </w:p>
        </w:tc>
        <w:tc>
          <w:tcPr>
            <w:tcW w:w="1276" w:type="dxa"/>
            <w:tcBorders>
              <w:top w:val="nil"/>
              <w:left w:val="nil"/>
              <w:bottom w:val="single" w:sz="4" w:space="0" w:color="auto"/>
              <w:right w:val="single" w:sz="4" w:space="0" w:color="auto"/>
            </w:tcBorders>
            <w:shd w:val="clear" w:color="FFF2CC" w:fill="E2EFDA"/>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34 500,00</w:t>
            </w:r>
          </w:p>
        </w:tc>
        <w:tc>
          <w:tcPr>
            <w:tcW w:w="1276" w:type="dxa"/>
            <w:tcBorders>
              <w:top w:val="nil"/>
              <w:left w:val="nil"/>
              <w:bottom w:val="single" w:sz="4" w:space="0" w:color="auto"/>
              <w:right w:val="single" w:sz="4" w:space="0" w:color="auto"/>
            </w:tcBorders>
            <w:shd w:val="clear" w:color="FFF2CC" w:fill="E2EFDA"/>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0,00</w:t>
            </w:r>
          </w:p>
        </w:tc>
      </w:tr>
      <w:tr w:rsidR="00C916F2" w:rsidTr="00C916F2">
        <w:trPr>
          <w:trHeight w:val="26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 </w:t>
            </w:r>
          </w:p>
        </w:tc>
        <w:tc>
          <w:tcPr>
            <w:tcW w:w="552" w:type="dxa"/>
            <w:tcBorders>
              <w:top w:val="nil"/>
              <w:left w:val="nil"/>
              <w:bottom w:val="single" w:sz="4" w:space="0" w:color="auto"/>
              <w:right w:val="single" w:sz="4" w:space="0" w:color="auto"/>
            </w:tcBorders>
            <w:shd w:val="clear" w:color="auto" w:fill="auto"/>
            <w:noWrap/>
            <w:vAlign w:val="center"/>
            <w:hideMark/>
          </w:tcPr>
          <w:p w:rsidR="00C916F2" w:rsidRDefault="00C916F2">
            <w:pPr>
              <w:jc w:val="center"/>
              <w:rPr>
                <w:rFonts w:ascii="Calibri" w:hAnsi="Calibri" w:cs="Calibri"/>
                <w:color w:val="000000"/>
                <w:sz w:val="16"/>
                <w:szCs w:val="16"/>
              </w:rPr>
            </w:pPr>
            <w:r>
              <w:rPr>
                <w:rFonts w:ascii="Calibri" w:hAnsi="Calibri" w:cs="Calibri"/>
                <w:color w:val="000000"/>
                <w:sz w:val="16"/>
                <w:szCs w:val="16"/>
              </w:rPr>
              <w:t>5189</w:t>
            </w:r>
          </w:p>
        </w:tc>
        <w:tc>
          <w:tcPr>
            <w:tcW w:w="4687" w:type="dxa"/>
            <w:tcBorders>
              <w:top w:val="nil"/>
              <w:left w:val="nil"/>
              <w:bottom w:val="single" w:sz="4" w:space="0" w:color="auto"/>
              <w:right w:val="single" w:sz="4" w:space="0" w:color="auto"/>
            </w:tcBorders>
            <w:shd w:val="clear" w:color="auto" w:fill="auto"/>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Ostatní poskytované zálohy a jistiny</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48 000,00</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34 500,00</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0,00</w:t>
            </w:r>
          </w:p>
        </w:tc>
      </w:tr>
      <w:tr w:rsidR="00C916F2" w:rsidTr="00C916F2">
        <w:trPr>
          <w:trHeight w:val="266"/>
        </w:trPr>
        <w:tc>
          <w:tcPr>
            <w:tcW w:w="426" w:type="dxa"/>
            <w:tcBorders>
              <w:top w:val="nil"/>
              <w:left w:val="single" w:sz="4" w:space="0" w:color="auto"/>
              <w:bottom w:val="single" w:sz="4" w:space="0" w:color="auto"/>
              <w:right w:val="single" w:sz="4" w:space="0" w:color="auto"/>
            </w:tcBorders>
            <w:shd w:val="clear" w:color="FFF2CC" w:fill="E2EFDA"/>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519</w:t>
            </w:r>
          </w:p>
        </w:tc>
        <w:tc>
          <w:tcPr>
            <w:tcW w:w="5239" w:type="dxa"/>
            <w:gridSpan w:val="2"/>
            <w:tcBorders>
              <w:top w:val="single" w:sz="4" w:space="0" w:color="auto"/>
              <w:left w:val="nil"/>
              <w:bottom w:val="single" w:sz="4" w:space="0" w:color="auto"/>
              <w:right w:val="single" w:sz="4" w:space="0" w:color="auto"/>
            </w:tcBorders>
            <w:shd w:val="clear" w:color="FFF2CC" w:fill="E2EFDA"/>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Výdaje související s neinvestičními nákupy, příspěvky, náhradami a věcnými dary</w:t>
            </w:r>
          </w:p>
        </w:tc>
        <w:tc>
          <w:tcPr>
            <w:tcW w:w="1276" w:type="dxa"/>
            <w:tcBorders>
              <w:top w:val="nil"/>
              <w:left w:val="nil"/>
              <w:bottom w:val="single" w:sz="4" w:space="0" w:color="auto"/>
              <w:right w:val="single" w:sz="4" w:space="0" w:color="auto"/>
            </w:tcBorders>
            <w:shd w:val="clear" w:color="FFF2CC" w:fill="E2EFDA"/>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33 154 067,60</w:t>
            </w:r>
          </w:p>
        </w:tc>
        <w:tc>
          <w:tcPr>
            <w:tcW w:w="1276" w:type="dxa"/>
            <w:tcBorders>
              <w:top w:val="nil"/>
              <w:left w:val="nil"/>
              <w:bottom w:val="single" w:sz="4" w:space="0" w:color="auto"/>
              <w:right w:val="single" w:sz="4" w:space="0" w:color="auto"/>
            </w:tcBorders>
            <w:shd w:val="clear" w:color="FFF2CC" w:fill="E2EFDA"/>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33 059 490,67</w:t>
            </w:r>
          </w:p>
        </w:tc>
        <w:tc>
          <w:tcPr>
            <w:tcW w:w="1276" w:type="dxa"/>
            <w:tcBorders>
              <w:top w:val="nil"/>
              <w:left w:val="nil"/>
              <w:bottom w:val="single" w:sz="4" w:space="0" w:color="auto"/>
              <w:right w:val="single" w:sz="4" w:space="0" w:color="auto"/>
            </w:tcBorders>
            <w:shd w:val="clear" w:color="FFF2CC" w:fill="E2EFDA"/>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354 220,20</w:t>
            </w:r>
          </w:p>
        </w:tc>
      </w:tr>
      <w:tr w:rsidR="00C916F2" w:rsidTr="00C916F2">
        <w:trPr>
          <w:trHeight w:val="26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 </w:t>
            </w:r>
          </w:p>
        </w:tc>
        <w:tc>
          <w:tcPr>
            <w:tcW w:w="552" w:type="dxa"/>
            <w:tcBorders>
              <w:top w:val="nil"/>
              <w:left w:val="nil"/>
              <w:bottom w:val="single" w:sz="4" w:space="0" w:color="auto"/>
              <w:right w:val="single" w:sz="4" w:space="0" w:color="auto"/>
            </w:tcBorders>
            <w:shd w:val="clear" w:color="auto" w:fill="auto"/>
            <w:noWrap/>
            <w:vAlign w:val="center"/>
            <w:hideMark/>
          </w:tcPr>
          <w:p w:rsidR="00C916F2" w:rsidRDefault="00C916F2">
            <w:pPr>
              <w:jc w:val="center"/>
              <w:rPr>
                <w:rFonts w:ascii="Calibri" w:hAnsi="Calibri" w:cs="Calibri"/>
                <w:color w:val="000000"/>
                <w:sz w:val="16"/>
                <w:szCs w:val="16"/>
              </w:rPr>
            </w:pPr>
            <w:r>
              <w:rPr>
                <w:rFonts w:ascii="Calibri" w:hAnsi="Calibri" w:cs="Calibri"/>
                <w:color w:val="000000"/>
                <w:sz w:val="16"/>
                <w:szCs w:val="16"/>
              </w:rPr>
              <w:t>5191</w:t>
            </w:r>
          </w:p>
        </w:tc>
        <w:tc>
          <w:tcPr>
            <w:tcW w:w="4687" w:type="dxa"/>
            <w:tcBorders>
              <w:top w:val="nil"/>
              <w:left w:val="nil"/>
              <w:bottom w:val="single" w:sz="4" w:space="0" w:color="auto"/>
              <w:right w:val="single" w:sz="4" w:space="0" w:color="auto"/>
            </w:tcBorders>
            <w:shd w:val="clear" w:color="auto" w:fill="auto"/>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Zaplacené sankce a odstupné</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4 022,00</w:t>
            </w:r>
          </w:p>
        </w:tc>
      </w:tr>
      <w:tr w:rsidR="00C916F2" w:rsidTr="00C916F2">
        <w:trPr>
          <w:trHeight w:val="26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 </w:t>
            </w:r>
          </w:p>
        </w:tc>
        <w:tc>
          <w:tcPr>
            <w:tcW w:w="552" w:type="dxa"/>
            <w:tcBorders>
              <w:top w:val="nil"/>
              <w:left w:val="nil"/>
              <w:bottom w:val="single" w:sz="4" w:space="0" w:color="auto"/>
              <w:right w:val="single" w:sz="4" w:space="0" w:color="auto"/>
            </w:tcBorders>
            <w:shd w:val="clear" w:color="auto" w:fill="auto"/>
            <w:noWrap/>
            <w:vAlign w:val="center"/>
            <w:hideMark/>
          </w:tcPr>
          <w:p w:rsidR="00C916F2" w:rsidRDefault="00C916F2">
            <w:pPr>
              <w:jc w:val="center"/>
              <w:rPr>
                <w:rFonts w:ascii="Calibri" w:hAnsi="Calibri" w:cs="Calibri"/>
                <w:color w:val="000000"/>
                <w:sz w:val="16"/>
                <w:szCs w:val="16"/>
              </w:rPr>
            </w:pPr>
            <w:r>
              <w:rPr>
                <w:rFonts w:ascii="Calibri" w:hAnsi="Calibri" w:cs="Calibri"/>
                <w:color w:val="000000"/>
                <w:sz w:val="16"/>
                <w:szCs w:val="16"/>
              </w:rPr>
              <w:t>5192</w:t>
            </w:r>
          </w:p>
        </w:tc>
        <w:tc>
          <w:tcPr>
            <w:tcW w:w="4687" w:type="dxa"/>
            <w:tcBorders>
              <w:top w:val="nil"/>
              <w:left w:val="nil"/>
              <w:bottom w:val="single" w:sz="4" w:space="0" w:color="auto"/>
              <w:right w:val="single" w:sz="4" w:space="0" w:color="auto"/>
            </w:tcBorders>
            <w:shd w:val="clear" w:color="auto" w:fill="auto"/>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Poskytnuté náhrady</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74 053,00</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45 601,10</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86 105,00</w:t>
            </w:r>
          </w:p>
        </w:tc>
      </w:tr>
      <w:tr w:rsidR="00C916F2" w:rsidTr="00C916F2">
        <w:trPr>
          <w:trHeight w:val="26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 </w:t>
            </w:r>
          </w:p>
        </w:tc>
        <w:tc>
          <w:tcPr>
            <w:tcW w:w="552" w:type="dxa"/>
            <w:tcBorders>
              <w:top w:val="nil"/>
              <w:left w:val="nil"/>
              <w:bottom w:val="single" w:sz="4" w:space="0" w:color="auto"/>
              <w:right w:val="single" w:sz="4" w:space="0" w:color="auto"/>
            </w:tcBorders>
            <w:shd w:val="clear" w:color="auto" w:fill="auto"/>
            <w:noWrap/>
            <w:vAlign w:val="center"/>
            <w:hideMark/>
          </w:tcPr>
          <w:p w:rsidR="00C916F2" w:rsidRDefault="00C916F2">
            <w:pPr>
              <w:jc w:val="center"/>
              <w:rPr>
                <w:rFonts w:ascii="Calibri" w:hAnsi="Calibri" w:cs="Calibri"/>
                <w:color w:val="000000"/>
                <w:sz w:val="16"/>
                <w:szCs w:val="16"/>
              </w:rPr>
            </w:pPr>
            <w:r>
              <w:rPr>
                <w:rFonts w:ascii="Calibri" w:hAnsi="Calibri" w:cs="Calibri"/>
                <w:color w:val="000000"/>
                <w:sz w:val="16"/>
                <w:szCs w:val="16"/>
              </w:rPr>
              <w:t>5193</w:t>
            </w:r>
          </w:p>
        </w:tc>
        <w:tc>
          <w:tcPr>
            <w:tcW w:w="4687" w:type="dxa"/>
            <w:tcBorders>
              <w:top w:val="nil"/>
              <w:left w:val="nil"/>
              <w:bottom w:val="single" w:sz="4" w:space="0" w:color="auto"/>
              <w:right w:val="single" w:sz="4" w:space="0" w:color="auto"/>
            </w:tcBorders>
            <w:shd w:val="clear" w:color="auto" w:fill="auto"/>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Výdaje na dopravní územní obslužnost</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32 717 069,60</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32 625 578,00</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0,00</w:t>
            </w:r>
          </w:p>
        </w:tc>
      </w:tr>
      <w:tr w:rsidR="00C916F2" w:rsidTr="00C916F2">
        <w:trPr>
          <w:trHeight w:val="26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 </w:t>
            </w:r>
          </w:p>
        </w:tc>
        <w:tc>
          <w:tcPr>
            <w:tcW w:w="552" w:type="dxa"/>
            <w:tcBorders>
              <w:top w:val="nil"/>
              <w:left w:val="nil"/>
              <w:bottom w:val="single" w:sz="4" w:space="0" w:color="auto"/>
              <w:right w:val="single" w:sz="4" w:space="0" w:color="auto"/>
            </w:tcBorders>
            <w:shd w:val="clear" w:color="auto" w:fill="auto"/>
            <w:noWrap/>
            <w:vAlign w:val="center"/>
            <w:hideMark/>
          </w:tcPr>
          <w:p w:rsidR="00C916F2" w:rsidRDefault="00C916F2">
            <w:pPr>
              <w:jc w:val="center"/>
              <w:rPr>
                <w:rFonts w:ascii="Calibri" w:hAnsi="Calibri" w:cs="Calibri"/>
                <w:color w:val="000000"/>
                <w:sz w:val="16"/>
                <w:szCs w:val="16"/>
              </w:rPr>
            </w:pPr>
            <w:r>
              <w:rPr>
                <w:rFonts w:ascii="Calibri" w:hAnsi="Calibri" w:cs="Calibri"/>
                <w:color w:val="000000"/>
                <w:sz w:val="16"/>
                <w:szCs w:val="16"/>
              </w:rPr>
              <w:t>5194</w:t>
            </w:r>
          </w:p>
        </w:tc>
        <w:tc>
          <w:tcPr>
            <w:tcW w:w="4687" w:type="dxa"/>
            <w:tcBorders>
              <w:top w:val="nil"/>
              <w:left w:val="nil"/>
              <w:bottom w:val="single" w:sz="4" w:space="0" w:color="auto"/>
              <w:right w:val="single" w:sz="4" w:space="0" w:color="auto"/>
            </w:tcBorders>
            <w:shd w:val="clear" w:color="auto" w:fill="auto"/>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Věcné dary</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362 945,00</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388 311,57</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264 093,20</w:t>
            </w:r>
          </w:p>
        </w:tc>
      </w:tr>
      <w:tr w:rsidR="00C916F2" w:rsidTr="00C916F2">
        <w:trPr>
          <w:trHeight w:val="26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 </w:t>
            </w:r>
          </w:p>
        </w:tc>
        <w:tc>
          <w:tcPr>
            <w:tcW w:w="552" w:type="dxa"/>
            <w:tcBorders>
              <w:top w:val="nil"/>
              <w:left w:val="nil"/>
              <w:bottom w:val="single" w:sz="4" w:space="0" w:color="auto"/>
              <w:right w:val="single" w:sz="4" w:space="0" w:color="auto"/>
            </w:tcBorders>
            <w:shd w:val="clear" w:color="auto" w:fill="auto"/>
            <w:noWrap/>
            <w:vAlign w:val="center"/>
            <w:hideMark/>
          </w:tcPr>
          <w:p w:rsidR="00C916F2" w:rsidRDefault="00C916F2">
            <w:pPr>
              <w:jc w:val="center"/>
              <w:rPr>
                <w:rFonts w:ascii="Calibri" w:hAnsi="Calibri" w:cs="Calibri"/>
                <w:color w:val="000000"/>
                <w:sz w:val="16"/>
                <w:szCs w:val="16"/>
              </w:rPr>
            </w:pPr>
            <w:r>
              <w:rPr>
                <w:rFonts w:ascii="Calibri" w:hAnsi="Calibri" w:cs="Calibri"/>
                <w:color w:val="000000"/>
                <w:sz w:val="16"/>
                <w:szCs w:val="16"/>
              </w:rPr>
              <w:t>5195</w:t>
            </w:r>
          </w:p>
        </w:tc>
        <w:tc>
          <w:tcPr>
            <w:tcW w:w="4687" w:type="dxa"/>
            <w:tcBorders>
              <w:top w:val="nil"/>
              <w:left w:val="nil"/>
              <w:bottom w:val="single" w:sz="4" w:space="0" w:color="auto"/>
              <w:right w:val="single" w:sz="4" w:space="0" w:color="auto"/>
            </w:tcBorders>
            <w:shd w:val="clear" w:color="auto" w:fill="auto"/>
            <w:vAlign w:val="center"/>
            <w:hideMark/>
          </w:tcPr>
          <w:p w:rsidR="00C916F2" w:rsidRDefault="00C916F2">
            <w:pPr>
              <w:rPr>
                <w:rFonts w:ascii="Calibri" w:hAnsi="Calibri" w:cs="Calibri"/>
                <w:color w:val="000000"/>
                <w:sz w:val="16"/>
                <w:szCs w:val="16"/>
              </w:rPr>
            </w:pPr>
            <w:r>
              <w:rPr>
                <w:rFonts w:ascii="Calibri" w:hAnsi="Calibri" w:cs="Calibri"/>
                <w:color w:val="000000"/>
                <w:sz w:val="16"/>
                <w:szCs w:val="16"/>
              </w:rPr>
              <w:t>Odvody za neplnění povinnosti zaměstnávat zdravotně postižené</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916F2" w:rsidRDefault="00C916F2">
            <w:pPr>
              <w:jc w:val="right"/>
              <w:rPr>
                <w:rFonts w:ascii="Calibri" w:hAnsi="Calibri" w:cs="Calibri"/>
                <w:color w:val="000000"/>
                <w:sz w:val="16"/>
                <w:szCs w:val="16"/>
              </w:rPr>
            </w:pPr>
            <w:r>
              <w:rPr>
                <w:rFonts w:ascii="Calibri" w:hAnsi="Calibri" w:cs="Calibri"/>
                <w:color w:val="000000"/>
                <w:sz w:val="16"/>
                <w:szCs w:val="16"/>
              </w:rPr>
              <w:t>0,00</w:t>
            </w:r>
          </w:p>
        </w:tc>
      </w:tr>
    </w:tbl>
    <w:p w:rsidR="00C916F2" w:rsidRDefault="00C916F2" w:rsidP="00C916F2"/>
    <w:p w:rsidR="00C916F2" w:rsidRDefault="00C916F2" w:rsidP="00C916F2"/>
    <w:p w:rsidR="00C916F2" w:rsidRDefault="00C916F2" w:rsidP="00C916F2"/>
    <w:p w:rsidR="00C916F2" w:rsidRDefault="00C916F2" w:rsidP="00C916F2">
      <w:pPr>
        <w:jc w:val="center"/>
      </w:pPr>
      <w:r>
        <w:rPr>
          <w:noProof/>
        </w:rPr>
        <w:lastRenderedPageBreak/>
        <w:drawing>
          <wp:inline distT="0" distB="0" distL="0" distR="0" wp14:anchorId="26F2B407" wp14:editId="49A9D27A">
            <wp:extent cx="4336725" cy="2536920"/>
            <wp:effectExtent l="0" t="0" r="6985" b="15875"/>
            <wp:docPr id="37" name="Graf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916F2" w:rsidRPr="00C916F2" w:rsidRDefault="00C916F2" w:rsidP="00C916F2"/>
    <w:p w:rsidR="00114B3D" w:rsidRPr="00B24A7A" w:rsidRDefault="00D80A56" w:rsidP="00114B3D">
      <w:pPr>
        <w:pStyle w:val="Nadpis2"/>
        <w:rPr>
          <w:color w:val="A6A6A6" w:themeColor="background1" w:themeShade="A6"/>
        </w:rPr>
      </w:pPr>
      <w:r w:rsidRPr="006F0E26">
        <w:t>Neinvestiční transfery podnikatelským subjektům a neziskovým organizacím</w:t>
      </w:r>
    </w:p>
    <w:p w:rsidR="0012219E" w:rsidRDefault="004B4B14" w:rsidP="006F18BE">
      <w:pPr>
        <w:pStyle w:val="Odstavecseseznamem"/>
        <w:spacing w:after="120"/>
        <w:rPr>
          <w:sz w:val="22"/>
          <w:szCs w:val="22"/>
        </w:rPr>
      </w:pPr>
      <w:r w:rsidRPr="005724F8">
        <w:rPr>
          <w:sz w:val="22"/>
          <w:szCs w:val="22"/>
        </w:rPr>
        <w:t xml:space="preserve">Největší objem finančních prostředků dotací v této skupině příjemců </w:t>
      </w:r>
      <w:r w:rsidR="0012219E">
        <w:rPr>
          <w:sz w:val="22"/>
          <w:szCs w:val="22"/>
        </w:rPr>
        <w:t>směřoval podnikatelským subjektům, a to částkou 54,16 mil. Kč.</w:t>
      </w:r>
      <w:r w:rsidR="005D4381">
        <w:rPr>
          <w:sz w:val="22"/>
          <w:szCs w:val="22"/>
        </w:rPr>
        <w:t xml:space="preserve"> Částka 10,9 mil. Kč připadla Domovní správě Prostějov, s. r. o., na základě smlouvy o zajištění služeb obecného hospodářského zájmu na zajištění správy a provozu Společenského domu Prostějov, Městských lázní, Zimního stadionu a Koupaliště Vrahovice.</w:t>
      </w:r>
      <w:r w:rsidR="00E17629">
        <w:rPr>
          <w:sz w:val="22"/>
          <w:szCs w:val="22"/>
        </w:rPr>
        <w:t xml:space="preserve"> Na základě smlouvy o úhradě ztráty z plnění závazku veřejné služby bylo společnosti FTL – First Transport Lines, a. s., zaplaceno 35,25 mil. Kč. Na zajištění provozu cyklobusů bylo vynaloženo 300,77 tis. Kč. Povodí Moravy, s. p.</w:t>
      </w:r>
      <w:r w:rsidR="00BC0B03">
        <w:rPr>
          <w:sz w:val="22"/>
          <w:szCs w:val="22"/>
        </w:rPr>
        <w:t>,</w:t>
      </w:r>
      <w:r w:rsidR="00E17629">
        <w:rPr>
          <w:sz w:val="22"/>
          <w:szCs w:val="22"/>
        </w:rPr>
        <w:t xml:space="preserve"> bylo zasláno 50 tis. Kč na opatření ke zlepšení jakosti vod VD Plumlov. </w:t>
      </w:r>
      <w:r w:rsidR="00BC0B03">
        <w:rPr>
          <w:sz w:val="22"/>
          <w:szCs w:val="22"/>
        </w:rPr>
        <w:t xml:space="preserve">Částka </w:t>
      </w:r>
      <w:r w:rsidR="00E17629">
        <w:rPr>
          <w:sz w:val="22"/>
          <w:szCs w:val="22"/>
        </w:rPr>
        <w:t>130,2 tis. Kč byl</w:t>
      </w:r>
      <w:r w:rsidR="00BC0B03">
        <w:rPr>
          <w:sz w:val="22"/>
          <w:szCs w:val="22"/>
        </w:rPr>
        <w:t>a poskytnuta</w:t>
      </w:r>
      <w:r w:rsidR="00E17629">
        <w:rPr>
          <w:sz w:val="22"/>
          <w:szCs w:val="22"/>
        </w:rPr>
        <w:t xml:space="preserve"> společnosti Schola education na částečnou úhradu nákladů spojených s provozem adaptačních skupin pro ukrajinské děti. Zbytek, tedy </w:t>
      </w:r>
      <w:r w:rsidR="003837F2">
        <w:rPr>
          <w:sz w:val="22"/>
          <w:szCs w:val="22"/>
        </w:rPr>
        <w:t>7,53 mil. Kč bylo poskytnuto různým subjektům na základě smlouvy o poskytnutí dotace.</w:t>
      </w:r>
    </w:p>
    <w:p w:rsidR="0012219E" w:rsidRDefault="0012219E" w:rsidP="006F18BE">
      <w:pPr>
        <w:pStyle w:val="Odstavecseseznamem"/>
        <w:spacing w:after="120"/>
        <w:rPr>
          <w:sz w:val="22"/>
          <w:szCs w:val="22"/>
        </w:rPr>
      </w:pPr>
      <w:r>
        <w:rPr>
          <w:sz w:val="22"/>
          <w:szCs w:val="22"/>
        </w:rPr>
        <w:t xml:space="preserve">Neziskovým a podobným organizacím bylo poskytnuto 26,09 mil. Kč. </w:t>
      </w:r>
    </w:p>
    <w:p w:rsidR="004E233A" w:rsidRPr="001E601D" w:rsidRDefault="004E233A" w:rsidP="00530F53">
      <w:pPr>
        <w:pStyle w:val="Nadpis3"/>
        <w:jc w:val="both"/>
        <w:rPr>
          <w:b w:val="0"/>
          <w:color w:val="FF0000"/>
        </w:rPr>
      </w:pPr>
    </w:p>
    <w:tbl>
      <w:tblPr>
        <w:tblW w:w="9493" w:type="dxa"/>
        <w:tblCellMar>
          <w:left w:w="70" w:type="dxa"/>
          <w:right w:w="70" w:type="dxa"/>
        </w:tblCellMar>
        <w:tblLook w:val="04A0" w:firstRow="1" w:lastRow="0" w:firstColumn="1" w:lastColumn="0" w:noHBand="0" w:noVBand="1"/>
      </w:tblPr>
      <w:tblGrid>
        <w:gridCol w:w="441"/>
        <w:gridCol w:w="572"/>
        <w:gridCol w:w="4652"/>
        <w:gridCol w:w="1315"/>
        <w:gridCol w:w="1237"/>
        <w:gridCol w:w="1276"/>
      </w:tblGrid>
      <w:tr w:rsidR="0012219E" w:rsidTr="0012219E">
        <w:trPr>
          <w:trHeight w:val="300"/>
        </w:trPr>
        <w:tc>
          <w:tcPr>
            <w:tcW w:w="5665" w:type="dxa"/>
            <w:gridSpan w:val="3"/>
            <w:tcBorders>
              <w:top w:val="single" w:sz="4" w:space="0" w:color="auto"/>
              <w:left w:val="single" w:sz="4" w:space="0" w:color="auto"/>
              <w:bottom w:val="single" w:sz="4" w:space="0" w:color="auto"/>
              <w:right w:val="single" w:sz="4" w:space="0" w:color="auto"/>
            </w:tcBorders>
            <w:shd w:val="clear" w:color="D6A100" w:fill="C6E0B4"/>
            <w:noWrap/>
            <w:vAlign w:val="center"/>
            <w:hideMark/>
          </w:tcPr>
          <w:p w:rsidR="0012219E" w:rsidRDefault="0012219E">
            <w:pPr>
              <w:jc w:val="center"/>
              <w:rPr>
                <w:rFonts w:ascii="Calibri" w:hAnsi="Calibri" w:cs="Calibri"/>
                <w:color w:val="000000"/>
                <w:sz w:val="16"/>
                <w:szCs w:val="16"/>
              </w:rPr>
            </w:pPr>
            <w:r>
              <w:rPr>
                <w:rFonts w:ascii="Calibri" w:hAnsi="Calibri" w:cs="Calibri"/>
                <w:color w:val="000000"/>
                <w:sz w:val="16"/>
                <w:szCs w:val="16"/>
              </w:rPr>
              <w:t> </w:t>
            </w:r>
          </w:p>
        </w:tc>
        <w:tc>
          <w:tcPr>
            <w:tcW w:w="1315" w:type="dxa"/>
            <w:tcBorders>
              <w:top w:val="single" w:sz="4" w:space="0" w:color="auto"/>
              <w:left w:val="nil"/>
              <w:bottom w:val="single" w:sz="4" w:space="0" w:color="auto"/>
              <w:right w:val="single" w:sz="4" w:space="0" w:color="auto"/>
            </w:tcBorders>
            <w:shd w:val="clear" w:color="D6A100" w:fill="C6E0B4"/>
            <w:noWrap/>
            <w:vAlign w:val="center"/>
            <w:hideMark/>
          </w:tcPr>
          <w:p w:rsidR="0012219E" w:rsidRDefault="0012219E">
            <w:pPr>
              <w:jc w:val="center"/>
              <w:rPr>
                <w:rFonts w:ascii="Calibri" w:hAnsi="Calibri" w:cs="Calibri"/>
                <w:color w:val="000000"/>
                <w:sz w:val="16"/>
                <w:szCs w:val="16"/>
              </w:rPr>
            </w:pPr>
            <w:r>
              <w:rPr>
                <w:rFonts w:ascii="Calibri" w:hAnsi="Calibri" w:cs="Calibri"/>
                <w:color w:val="000000"/>
                <w:sz w:val="16"/>
                <w:szCs w:val="16"/>
              </w:rPr>
              <w:t>2020</w:t>
            </w:r>
          </w:p>
        </w:tc>
        <w:tc>
          <w:tcPr>
            <w:tcW w:w="1237" w:type="dxa"/>
            <w:tcBorders>
              <w:top w:val="single" w:sz="4" w:space="0" w:color="auto"/>
              <w:left w:val="nil"/>
              <w:bottom w:val="single" w:sz="4" w:space="0" w:color="auto"/>
              <w:right w:val="single" w:sz="4" w:space="0" w:color="auto"/>
            </w:tcBorders>
            <w:shd w:val="clear" w:color="D6A100" w:fill="C6E0B4"/>
            <w:noWrap/>
            <w:vAlign w:val="center"/>
            <w:hideMark/>
          </w:tcPr>
          <w:p w:rsidR="0012219E" w:rsidRDefault="0012219E">
            <w:pPr>
              <w:jc w:val="center"/>
              <w:rPr>
                <w:rFonts w:ascii="Calibri" w:hAnsi="Calibri" w:cs="Calibri"/>
                <w:color w:val="000000"/>
                <w:sz w:val="16"/>
                <w:szCs w:val="16"/>
              </w:rPr>
            </w:pPr>
            <w:r>
              <w:rPr>
                <w:rFonts w:ascii="Calibri" w:hAnsi="Calibri" w:cs="Calibri"/>
                <w:color w:val="000000"/>
                <w:sz w:val="16"/>
                <w:szCs w:val="16"/>
              </w:rPr>
              <w:t>2021</w:t>
            </w:r>
          </w:p>
        </w:tc>
        <w:tc>
          <w:tcPr>
            <w:tcW w:w="1276" w:type="dxa"/>
            <w:tcBorders>
              <w:top w:val="single" w:sz="4" w:space="0" w:color="auto"/>
              <w:left w:val="nil"/>
              <w:bottom w:val="single" w:sz="4" w:space="0" w:color="auto"/>
              <w:right w:val="single" w:sz="4" w:space="0" w:color="auto"/>
            </w:tcBorders>
            <w:shd w:val="clear" w:color="D6A100" w:fill="C6E0B4"/>
            <w:noWrap/>
            <w:vAlign w:val="center"/>
            <w:hideMark/>
          </w:tcPr>
          <w:p w:rsidR="0012219E" w:rsidRDefault="0012219E">
            <w:pPr>
              <w:jc w:val="center"/>
              <w:rPr>
                <w:rFonts w:ascii="Calibri" w:hAnsi="Calibri" w:cs="Calibri"/>
                <w:color w:val="000000"/>
                <w:sz w:val="16"/>
                <w:szCs w:val="16"/>
              </w:rPr>
            </w:pPr>
            <w:r>
              <w:rPr>
                <w:rFonts w:ascii="Calibri" w:hAnsi="Calibri" w:cs="Calibri"/>
                <w:color w:val="000000"/>
                <w:sz w:val="16"/>
                <w:szCs w:val="16"/>
              </w:rPr>
              <w:t>2022</w:t>
            </w:r>
          </w:p>
        </w:tc>
      </w:tr>
      <w:tr w:rsidR="0012219E" w:rsidTr="0012219E">
        <w:trPr>
          <w:trHeight w:val="300"/>
        </w:trPr>
        <w:tc>
          <w:tcPr>
            <w:tcW w:w="5665" w:type="dxa"/>
            <w:gridSpan w:val="3"/>
            <w:tcBorders>
              <w:top w:val="single" w:sz="4" w:space="0" w:color="auto"/>
              <w:left w:val="single" w:sz="4" w:space="0" w:color="auto"/>
              <w:bottom w:val="single" w:sz="4" w:space="0" w:color="auto"/>
              <w:right w:val="single" w:sz="4" w:space="0" w:color="auto"/>
            </w:tcBorders>
            <w:shd w:val="clear" w:color="000000" w:fill="A9D08E"/>
            <w:vAlign w:val="center"/>
            <w:hideMark/>
          </w:tcPr>
          <w:p w:rsidR="0012219E" w:rsidRDefault="0012219E">
            <w:pPr>
              <w:rPr>
                <w:rFonts w:ascii="Calibri" w:hAnsi="Calibri" w:cs="Calibri"/>
                <w:b/>
                <w:bCs/>
                <w:color w:val="000000"/>
                <w:sz w:val="16"/>
                <w:szCs w:val="16"/>
              </w:rPr>
            </w:pPr>
            <w:r>
              <w:rPr>
                <w:rFonts w:ascii="Calibri" w:hAnsi="Calibri" w:cs="Calibri"/>
                <w:b/>
                <w:bCs/>
                <w:color w:val="000000"/>
                <w:sz w:val="16"/>
                <w:szCs w:val="16"/>
              </w:rPr>
              <w:t>Neinvestiční transfery podnikatelským subjektům a neziskovým organizacím</w:t>
            </w:r>
          </w:p>
        </w:tc>
        <w:tc>
          <w:tcPr>
            <w:tcW w:w="1315" w:type="dxa"/>
            <w:tcBorders>
              <w:top w:val="nil"/>
              <w:left w:val="nil"/>
              <w:bottom w:val="single" w:sz="4" w:space="0" w:color="auto"/>
              <w:right w:val="single" w:sz="4" w:space="0" w:color="auto"/>
            </w:tcBorders>
            <w:shd w:val="clear" w:color="000000" w:fill="A9D08E"/>
            <w:noWrap/>
            <w:vAlign w:val="center"/>
            <w:hideMark/>
          </w:tcPr>
          <w:p w:rsidR="0012219E" w:rsidRDefault="0012219E">
            <w:pPr>
              <w:jc w:val="right"/>
              <w:rPr>
                <w:rFonts w:ascii="Calibri" w:hAnsi="Calibri" w:cs="Calibri"/>
                <w:b/>
                <w:bCs/>
                <w:color w:val="000000"/>
                <w:sz w:val="16"/>
                <w:szCs w:val="16"/>
              </w:rPr>
            </w:pPr>
            <w:r>
              <w:rPr>
                <w:rFonts w:ascii="Calibri" w:hAnsi="Calibri" w:cs="Calibri"/>
                <w:b/>
                <w:bCs/>
                <w:color w:val="000000"/>
                <w:sz w:val="16"/>
                <w:szCs w:val="16"/>
              </w:rPr>
              <w:t>51 070 308,80</w:t>
            </w:r>
          </w:p>
        </w:tc>
        <w:tc>
          <w:tcPr>
            <w:tcW w:w="1237" w:type="dxa"/>
            <w:tcBorders>
              <w:top w:val="nil"/>
              <w:left w:val="nil"/>
              <w:bottom w:val="single" w:sz="4" w:space="0" w:color="auto"/>
              <w:right w:val="single" w:sz="4" w:space="0" w:color="auto"/>
            </w:tcBorders>
            <w:shd w:val="clear" w:color="000000" w:fill="A9D08E"/>
            <w:noWrap/>
            <w:vAlign w:val="center"/>
            <w:hideMark/>
          </w:tcPr>
          <w:p w:rsidR="0012219E" w:rsidRDefault="0012219E">
            <w:pPr>
              <w:jc w:val="right"/>
              <w:rPr>
                <w:rFonts w:ascii="Calibri" w:hAnsi="Calibri" w:cs="Calibri"/>
                <w:b/>
                <w:bCs/>
                <w:color w:val="000000"/>
                <w:sz w:val="16"/>
                <w:szCs w:val="16"/>
              </w:rPr>
            </w:pPr>
            <w:r>
              <w:rPr>
                <w:rFonts w:ascii="Calibri" w:hAnsi="Calibri" w:cs="Calibri"/>
                <w:b/>
                <w:bCs/>
                <w:color w:val="000000"/>
                <w:sz w:val="16"/>
                <w:szCs w:val="16"/>
              </w:rPr>
              <w:t>47 946 607,42</w:t>
            </w:r>
          </w:p>
        </w:tc>
        <w:tc>
          <w:tcPr>
            <w:tcW w:w="1276" w:type="dxa"/>
            <w:tcBorders>
              <w:top w:val="nil"/>
              <w:left w:val="nil"/>
              <w:bottom w:val="single" w:sz="4" w:space="0" w:color="auto"/>
              <w:right w:val="single" w:sz="4" w:space="0" w:color="auto"/>
            </w:tcBorders>
            <w:shd w:val="clear" w:color="000000" w:fill="A9D08E"/>
            <w:noWrap/>
            <w:vAlign w:val="center"/>
            <w:hideMark/>
          </w:tcPr>
          <w:p w:rsidR="0012219E" w:rsidRDefault="0012219E">
            <w:pPr>
              <w:jc w:val="right"/>
              <w:rPr>
                <w:rFonts w:ascii="Calibri" w:hAnsi="Calibri" w:cs="Calibri"/>
                <w:b/>
                <w:bCs/>
                <w:color w:val="000000"/>
                <w:sz w:val="16"/>
                <w:szCs w:val="16"/>
              </w:rPr>
            </w:pPr>
            <w:r>
              <w:rPr>
                <w:rFonts w:ascii="Calibri" w:hAnsi="Calibri" w:cs="Calibri"/>
                <w:b/>
                <w:bCs/>
                <w:color w:val="000000"/>
                <w:sz w:val="16"/>
                <w:szCs w:val="16"/>
              </w:rPr>
              <w:t>80 248 593,64</w:t>
            </w:r>
          </w:p>
        </w:tc>
      </w:tr>
      <w:tr w:rsidR="0012219E" w:rsidTr="0012219E">
        <w:trPr>
          <w:trHeight w:val="300"/>
        </w:trPr>
        <w:tc>
          <w:tcPr>
            <w:tcW w:w="441" w:type="dxa"/>
            <w:tcBorders>
              <w:top w:val="nil"/>
              <w:left w:val="single" w:sz="4" w:space="0" w:color="auto"/>
              <w:bottom w:val="single" w:sz="4" w:space="0" w:color="auto"/>
              <w:right w:val="single" w:sz="4" w:space="0" w:color="auto"/>
            </w:tcBorders>
            <w:shd w:val="clear" w:color="FFF2CC" w:fill="E2EFDA"/>
            <w:noWrap/>
            <w:vAlign w:val="center"/>
            <w:hideMark/>
          </w:tcPr>
          <w:p w:rsidR="0012219E" w:rsidRDefault="0012219E">
            <w:pPr>
              <w:jc w:val="right"/>
              <w:rPr>
                <w:rFonts w:ascii="Calibri" w:hAnsi="Calibri" w:cs="Calibri"/>
                <w:color w:val="000000"/>
                <w:sz w:val="16"/>
                <w:szCs w:val="16"/>
              </w:rPr>
            </w:pPr>
            <w:r>
              <w:rPr>
                <w:rFonts w:ascii="Calibri" w:hAnsi="Calibri" w:cs="Calibri"/>
                <w:color w:val="000000"/>
                <w:sz w:val="16"/>
                <w:szCs w:val="16"/>
              </w:rPr>
              <w:t>521</w:t>
            </w:r>
          </w:p>
        </w:tc>
        <w:tc>
          <w:tcPr>
            <w:tcW w:w="5224" w:type="dxa"/>
            <w:gridSpan w:val="2"/>
            <w:tcBorders>
              <w:top w:val="single" w:sz="4" w:space="0" w:color="auto"/>
              <w:left w:val="nil"/>
              <w:bottom w:val="single" w:sz="4" w:space="0" w:color="auto"/>
              <w:right w:val="single" w:sz="4" w:space="0" w:color="auto"/>
            </w:tcBorders>
            <w:shd w:val="clear" w:color="FFF2CC" w:fill="E2EFDA"/>
            <w:noWrap/>
            <w:vAlign w:val="center"/>
            <w:hideMark/>
          </w:tcPr>
          <w:p w:rsidR="0012219E" w:rsidRDefault="0012219E">
            <w:pPr>
              <w:rPr>
                <w:rFonts w:ascii="Calibri" w:hAnsi="Calibri" w:cs="Calibri"/>
                <w:color w:val="000000"/>
                <w:sz w:val="16"/>
                <w:szCs w:val="16"/>
              </w:rPr>
            </w:pPr>
            <w:r>
              <w:rPr>
                <w:rFonts w:ascii="Calibri" w:hAnsi="Calibri" w:cs="Calibri"/>
                <w:color w:val="000000"/>
                <w:sz w:val="16"/>
                <w:szCs w:val="16"/>
              </w:rPr>
              <w:t>Neinvestiční transfery podnikatelským subjektům</w:t>
            </w:r>
          </w:p>
        </w:tc>
        <w:tc>
          <w:tcPr>
            <w:tcW w:w="1315" w:type="dxa"/>
            <w:tcBorders>
              <w:top w:val="nil"/>
              <w:left w:val="nil"/>
              <w:bottom w:val="single" w:sz="4" w:space="0" w:color="auto"/>
              <w:right w:val="single" w:sz="4" w:space="0" w:color="auto"/>
            </w:tcBorders>
            <w:shd w:val="clear" w:color="FFF2CC" w:fill="E2EFDA"/>
            <w:noWrap/>
            <w:vAlign w:val="center"/>
            <w:hideMark/>
          </w:tcPr>
          <w:p w:rsidR="0012219E" w:rsidRDefault="0012219E">
            <w:pPr>
              <w:jc w:val="right"/>
              <w:rPr>
                <w:rFonts w:ascii="Calibri" w:hAnsi="Calibri" w:cs="Calibri"/>
                <w:color w:val="000000"/>
                <w:sz w:val="16"/>
                <w:szCs w:val="16"/>
              </w:rPr>
            </w:pPr>
            <w:r>
              <w:rPr>
                <w:rFonts w:ascii="Calibri" w:hAnsi="Calibri" w:cs="Calibri"/>
                <w:color w:val="000000"/>
                <w:sz w:val="16"/>
                <w:szCs w:val="16"/>
              </w:rPr>
              <w:t>27 178 307,80</w:t>
            </w:r>
          </w:p>
        </w:tc>
        <w:tc>
          <w:tcPr>
            <w:tcW w:w="1237" w:type="dxa"/>
            <w:tcBorders>
              <w:top w:val="nil"/>
              <w:left w:val="nil"/>
              <w:bottom w:val="single" w:sz="4" w:space="0" w:color="auto"/>
              <w:right w:val="single" w:sz="4" w:space="0" w:color="auto"/>
            </w:tcBorders>
            <w:shd w:val="clear" w:color="FFF2CC" w:fill="E2EFDA"/>
            <w:noWrap/>
            <w:vAlign w:val="center"/>
            <w:hideMark/>
          </w:tcPr>
          <w:p w:rsidR="0012219E" w:rsidRDefault="0012219E">
            <w:pPr>
              <w:jc w:val="right"/>
              <w:rPr>
                <w:rFonts w:ascii="Calibri" w:hAnsi="Calibri" w:cs="Calibri"/>
                <w:color w:val="000000"/>
                <w:sz w:val="16"/>
                <w:szCs w:val="16"/>
              </w:rPr>
            </w:pPr>
            <w:r>
              <w:rPr>
                <w:rFonts w:ascii="Calibri" w:hAnsi="Calibri" w:cs="Calibri"/>
                <w:color w:val="000000"/>
                <w:sz w:val="16"/>
                <w:szCs w:val="16"/>
              </w:rPr>
              <w:t>22 392 155,06</w:t>
            </w:r>
          </w:p>
        </w:tc>
        <w:tc>
          <w:tcPr>
            <w:tcW w:w="1276" w:type="dxa"/>
            <w:tcBorders>
              <w:top w:val="nil"/>
              <w:left w:val="nil"/>
              <w:bottom w:val="single" w:sz="4" w:space="0" w:color="auto"/>
              <w:right w:val="single" w:sz="4" w:space="0" w:color="auto"/>
            </w:tcBorders>
            <w:shd w:val="clear" w:color="FFF2CC" w:fill="E2EFDA"/>
            <w:noWrap/>
            <w:vAlign w:val="center"/>
            <w:hideMark/>
          </w:tcPr>
          <w:p w:rsidR="0012219E" w:rsidRDefault="0012219E">
            <w:pPr>
              <w:jc w:val="right"/>
              <w:rPr>
                <w:rFonts w:ascii="Calibri" w:hAnsi="Calibri" w:cs="Calibri"/>
                <w:color w:val="000000"/>
                <w:sz w:val="16"/>
                <w:szCs w:val="16"/>
              </w:rPr>
            </w:pPr>
            <w:r>
              <w:rPr>
                <w:rFonts w:ascii="Calibri" w:hAnsi="Calibri" w:cs="Calibri"/>
                <w:color w:val="000000"/>
                <w:sz w:val="16"/>
                <w:szCs w:val="16"/>
              </w:rPr>
              <w:t>54 163 236,64</w:t>
            </w:r>
          </w:p>
        </w:tc>
      </w:tr>
      <w:tr w:rsidR="0012219E" w:rsidTr="0012219E">
        <w:trPr>
          <w:trHeight w:val="450"/>
        </w:trPr>
        <w:tc>
          <w:tcPr>
            <w:tcW w:w="4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219E" w:rsidRDefault="0012219E">
            <w:pPr>
              <w:jc w:val="center"/>
              <w:rPr>
                <w:rFonts w:ascii="Calibri" w:hAnsi="Calibri" w:cs="Calibri"/>
                <w:color w:val="000000"/>
                <w:sz w:val="16"/>
                <w:szCs w:val="16"/>
              </w:rPr>
            </w:pPr>
            <w:r>
              <w:rPr>
                <w:rFonts w:ascii="Calibri" w:hAnsi="Calibri" w:cs="Calibri"/>
                <w:color w:val="000000"/>
                <w:sz w:val="16"/>
                <w:szCs w:val="16"/>
              </w:rPr>
              <w:t> </w:t>
            </w:r>
          </w:p>
        </w:tc>
        <w:tc>
          <w:tcPr>
            <w:tcW w:w="572" w:type="dxa"/>
            <w:tcBorders>
              <w:top w:val="nil"/>
              <w:left w:val="nil"/>
              <w:bottom w:val="single" w:sz="4" w:space="0" w:color="auto"/>
              <w:right w:val="single" w:sz="4" w:space="0" w:color="auto"/>
            </w:tcBorders>
            <w:shd w:val="clear" w:color="auto" w:fill="auto"/>
            <w:noWrap/>
            <w:vAlign w:val="center"/>
            <w:hideMark/>
          </w:tcPr>
          <w:p w:rsidR="0012219E" w:rsidRDefault="0012219E">
            <w:pPr>
              <w:jc w:val="right"/>
              <w:rPr>
                <w:rFonts w:ascii="Calibri" w:hAnsi="Calibri" w:cs="Calibri"/>
                <w:color w:val="000000"/>
                <w:sz w:val="16"/>
                <w:szCs w:val="16"/>
              </w:rPr>
            </w:pPr>
            <w:r>
              <w:rPr>
                <w:rFonts w:ascii="Calibri" w:hAnsi="Calibri" w:cs="Calibri"/>
                <w:color w:val="000000"/>
                <w:sz w:val="16"/>
                <w:szCs w:val="16"/>
              </w:rPr>
              <w:t>5212</w:t>
            </w:r>
          </w:p>
        </w:tc>
        <w:tc>
          <w:tcPr>
            <w:tcW w:w="4652" w:type="dxa"/>
            <w:tcBorders>
              <w:top w:val="nil"/>
              <w:left w:val="nil"/>
              <w:bottom w:val="single" w:sz="4" w:space="0" w:color="auto"/>
              <w:right w:val="single" w:sz="4" w:space="0" w:color="auto"/>
            </w:tcBorders>
            <w:shd w:val="clear" w:color="auto" w:fill="auto"/>
            <w:vAlign w:val="center"/>
            <w:hideMark/>
          </w:tcPr>
          <w:p w:rsidR="0012219E" w:rsidRDefault="0012219E">
            <w:pPr>
              <w:rPr>
                <w:rFonts w:ascii="Calibri" w:hAnsi="Calibri" w:cs="Calibri"/>
                <w:color w:val="000000"/>
                <w:sz w:val="16"/>
                <w:szCs w:val="16"/>
              </w:rPr>
            </w:pPr>
            <w:r>
              <w:rPr>
                <w:rFonts w:ascii="Calibri" w:hAnsi="Calibri" w:cs="Calibri"/>
                <w:color w:val="000000"/>
                <w:sz w:val="16"/>
                <w:szCs w:val="16"/>
              </w:rPr>
              <w:t>Neinvestiční transfery nefinančním podnikatelským subjektům - fyzickým osobám</w:t>
            </w:r>
          </w:p>
        </w:tc>
        <w:tc>
          <w:tcPr>
            <w:tcW w:w="1315" w:type="dxa"/>
            <w:tcBorders>
              <w:top w:val="nil"/>
              <w:left w:val="nil"/>
              <w:bottom w:val="single" w:sz="4" w:space="0" w:color="auto"/>
              <w:right w:val="single" w:sz="4" w:space="0" w:color="auto"/>
            </w:tcBorders>
            <w:shd w:val="clear" w:color="auto" w:fill="auto"/>
            <w:noWrap/>
            <w:vAlign w:val="center"/>
            <w:hideMark/>
          </w:tcPr>
          <w:p w:rsidR="0012219E" w:rsidRDefault="0012219E">
            <w:pPr>
              <w:jc w:val="right"/>
              <w:rPr>
                <w:rFonts w:ascii="Calibri" w:hAnsi="Calibri" w:cs="Calibri"/>
                <w:color w:val="000000"/>
                <w:sz w:val="16"/>
                <w:szCs w:val="16"/>
              </w:rPr>
            </w:pPr>
            <w:r>
              <w:rPr>
                <w:rFonts w:ascii="Calibri" w:hAnsi="Calibri" w:cs="Calibri"/>
                <w:color w:val="000000"/>
                <w:sz w:val="16"/>
                <w:szCs w:val="16"/>
              </w:rPr>
              <w:t>3 771 110,80</w:t>
            </w:r>
          </w:p>
        </w:tc>
        <w:tc>
          <w:tcPr>
            <w:tcW w:w="1237" w:type="dxa"/>
            <w:tcBorders>
              <w:top w:val="nil"/>
              <w:left w:val="nil"/>
              <w:bottom w:val="single" w:sz="4" w:space="0" w:color="auto"/>
              <w:right w:val="single" w:sz="4" w:space="0" w:color="auto"/>
            </w:tcBorders>
            <w:shd w:val="clear" w:color="auto" w:fill="auto"/>
            <w:noWrap/>
            <w:vAlign w:val="center"/>
            <w:hideMark/>
          </w:tcPr>
          <w:p w:rsidR="0012219E" w:rsidRDefault="0012219E">
            <w:pPr>
              <w:jc w:val="right"/>
              <w:rPr>
                <w:rFonts w:ascii="Calibri" w:hAnsi="Calibri" w:cs="Calibri"/>
                <w:color w:val="000000"/>
                <w:sz w:val="16"/>
                <w:szCs w:val="16"/>
              </w:rPr>
            </w:pPr>
            <w:r>
              <w:rPr>
                <w:rFonts w:ascii="Calibri" w:hAnsi="Calibri" w:cs="Calibri"/>
                <w:color w:val="000000"/>
                <w:sz w:val="16"/>
                <w:szCs w:val="16"/>
              </w:rPr>
              <w:t>3 306 459,00</w:t>
            </w:r>
          </w:p>
        </w:tc>
        <w:tc>
          <w:tcPr>
            <w:tcW w:w="1276" w:type="dxa"/>
            <w:tcBorders>
              <w:top w:val="nil"/>
              <w:left w:val="nil"/>
              <w:bottom w:val="single" w:sz="4" w:space="0" w:color="auto"/>
              <w:right w:val="single" w:sz="4" w:space="0" w:color="auto"/>
            </w:tcBorders>
            <w:shd w:val="clear" w:color="auto" w:fill="auto"/>
            <w:noWrap/>
            <w:vAlign w:val="center"/>
            <w:hideMark/>
          </w:tcPr>
          <w:p w:rsidR="0012219E" w:rsidRDefault="0012219E">
            <w:pPr>
              <w:jc w:val="right"/>
              <w:rPr>
                <w:rFonts w:ascii="Calibri" w:hAnsi="Calibri" w:cs="Calibri"/>
                <w:color w:val="000000"/>
                <w:sz w:val="16"/>
                <w:szCs w:val="16"/>
              </w:rPr>
            </w:pPr>
            <w:r>
              <w:rPr>
                <w:rFonts w:ascii="Calibri" w:hAnsi="Calibri" w:cs="Calibri"/>
                <w:color w:val="000000"/>
                <w:sz w:val="16"/>
                <w:szCs w:val="16"/>
              </w:rPr>
              <w:t>173 000,00</w:t>
            </w:r>
          </w:p>
        </w:tc>
      </w:tr>
      <w:tr w:rsidR="0012219E" w:rsidTr="0012219E">
        <w:trPr>
          <w:trHeight w:val="450"/>
        </w:trPr>
        <w:tc>
          <w:tcPr>
            <w:tcW w:w="441" w:type="dxa"/>
            <w:vMerge/>
            <w:tcBorders>
              <w:top w:val="nil"/>
              <w:left w:val="single" w:sz="4" w:space="0" w:color="auto"/>
              <w:bottom w:val="single" w:sz="4" w:space="0" w:color="auto"/>
              <w:right w:val="single" w:sz="4" w:space="0" w:color="auto"/>
            </w:tcBorders>
            <w:vAlign w:val="center"/>
            <w:hideMark/>
          </w:tcPr>
          <w:p w:rsidR="0012219E" w:rsidRDefault="0012219E">
            <w:pPr>
              <w:rPr>
                <w:rFonts w:ascii="Calibri" w:hAnsi="Calibri" w:cs="Calibri"/>
                <w:color w:val="000000"/>
                <w:sz w:val="16"/>
                <w:szCs w:val="16"/>
              </w:rPr>
            </w:pPr>
          </w:p>
        </w:tc>
        <w:tc>
          <w:tcPr>
            <w:tcW w:w="572" w:type="dxa"/>
            <w:tcBorders>
              <w:top w:val="nil"/>
              <w:left w:val="nil"/>
              <w:bottom w:val="single" w:sz="4" w:space="0" w:color="auto"/>
              <w:right w:val="single" w:sz="4" w:space="0" w:color="auto"/>
            </w:tcBorders>
            <w:shd w:val="clear" w:color="auto" w:fill="auto"/>
            <w:noWrap/>
            <w:vAlign w:val="center"/>
            <w:hideMark/>
          </w:tcPr>
          <w:p w:rsidR="0012219E" w:rsidRDefault="0012219E">
            <w:pPr>
              <w:jc w:val="right"/>
              <w:rPr>
                <w:rFonts w:ascii="Calibri" w:hAnsi="Calibri" w:cs="Calibri"/>
                <w:color w:val="000000"/>
                <w:sz w:val="16"/>
                <w:szCs w:val="16"/>
              </w:rPr>
            </w:pPr>
            <w:r>
              <w:rPr>
                <w:rFonts w:ascii="Calibri" w:hAnsi="Calibri" w:cs="Calibri"/>
                <w:color w:val="000000"/>
                <w:sz w:val="16"/>
                <w:szCs w:val="16"/>
              </w:rPr>
              <w:t>5213</w:t>
            </w:r>
          </w:p>
        </w:tc>
        <w:tc>
          <w:tcPr>
            <w:tcW w:w="4652" w:type="dxa"/>
            <w:tcBorders>
              <w:top w:val="nil"/>
              <w:left w:val="nil"/>
              <w:bottom w:val="single" w:sz="4" w:space="0" w:color="auto"/>
              <w:right w:val="single" w:sz="4" w:space="0" w:color="auto"/>
            </w:tcBorders>
            <w:shd w:val="clear" w:color="auto" w:fill="auto"/>
            <w:vAlign w:val="center"/>
            <w:hideMark/>
          </w:tcPr>
          <w:p w:rsidR="0012219E" w:rsidRDefault="0012219E">
            <w:pPr>
              <w:rPr>
                <w:rFonts w:ascii="Calibri" w:hAnsi="Calibri" w:cs="Calibri"/>
                <w:color w:val="000000"/>
                <w:sz w:val="16"/>
                <w:szCs w:val="16"/>
              </w:rPr>
            </w:pPr>
            <w:r>
              <w:rPr>
                <w:rFonts w:ascii="Calibri" w:hAnsi="Calibri" w:cs="Calibri"/>
                <w:color w:val="000000"/>
                <w:sz w:val="16"/>
                <w:szCs w:val="16"/>
              </w:rPr>
              <w:t>Neinvestiční transfery nefinančním podnikatelským subjektům - právnickým osobám</w:t>
            </w:r>
          </w:p>
        </w:tc>
        <w:tc>
          <w:tcPr>
            <w:tcW w:w="1315" w:type="dxa"/>
            <w:tcBorders>
              <w:top w:val="nil"/>
              <w:left w:val="nil"/>
              <w:bottom w:val="single" w:sz="4" w:space="0" w:color="auto"/>
              <w:right w:val="single" w:sz="4" w:space="0" w:color="auto"/>
            </w:tcBorders>
            <w:shd w:val="clear" w:color="auto" w:fill="auto"/>
            <w:noWrap/>
            <w:vAlign w:val="center"/>
            <w:hideMark/>
          </w:tcPr>
          <w:p w:rsidR="0012219E" w:rsidRDefault="0012219E">
            <w:pPr>
              <w:jc w:val="right"/>
              <w:rPr>
                <w:rFonts w:ascii="Calibri" w:hAnsi="Calibri" w:cs="Calibri"/>
                <w:color w:val="000000"/>
                <w:sz w:val="16"/>
                <w:szCs w:val="16"/>
              </w:rPr>
            </w:pPr>
            <w:r>
              <w:rPr>
                <w:rFonts w:ascii="Calibri" w:hAnsi="Calibri" w:cs="Calibri"/>
                <w:color w:val="000000"/>
                <w:sz w:val="16"/>
                <w:szCs w:val="16"/>
              </w:rPr>
              <w:t>23 357 197,00</w:t>
            </w:r>
          </w:p>
        </w:tc>
        <w:tc>
          <w:tcPr>
            <w:tcW w:w="1237" w:type="dxa"/>
            <w:tcBorders>
              <w:top w:val="nil"/>
              <w:left w:val="nil"/>
              <w:bottom w:val="single" w:sz="4" w:space="0" w:color="auto"/>
              <w:right w:val="single" w:sz="4" w:space="0" w:color="auto"/>
            </w:tcBorders>
            <w:shd w:val="clear" w:color="auto" w:fill="auto"/>
            <w:noWrap/>
            <w:vAlign w:val="center"/>
            <w:hideMark/>
          </w:tcPr>
          <w:p w:rsidR="0012219E" w:rsidRDefault="0012219E">
            <w:pPr>
              <w:jc w:val="right"/>
              <w:rPr>
                <w:rFonts w:ascii="Calibri" w:hAnsi="Calibri" w:cs="Calibri"/>
                <w:color w:val="000000"/>
                <w:sz w:val="16"/>
                <w:szCs w:val="16"/>
              </w:rPr>
            </w:pPr>
            <w:r>
              <w:rPr>
                <w:rFonts w:ascii="Calibri" w:hAnsi="Calibri" w:cs="Calibri"/>
                <w:color w:val="000000"/>
                <w:sz w:val="16"/>
                <w:szCs w:val="16"/>
              </w:rPr>
              <w:t>19 035 696,06</w:t>
            </w:r>
          </w:p>
        </w:tc>
        <w:tc>
          <w:tcPr>
            <w:tcW w:w="1276" w:type="dxa"/>
            <w:tcBorders>
              <w:top w:val="nil"/>
              <w:left w:val="nil"/>
              <w:bottom w:val="single" w:sz="4" w:space="0" w:color="auto"/>
              <w:right w:val="single" w:sz="4" w:space="0" w:color="auto"/>
            </w:tcBorders>
            <w:shd w:val="clear" w:color="auto" w:fill="auto"/>
            <w:noWrap/>
            <w:vAlign w:val="center"/>
            <w:hideMark/>
          </w:tcPr>
          <w:p w:rsidR="0012219E" w:rsidRDefault="0012219E">
            <w:pPr>
              <w:jc w:val="right"/>
              <w:rPr>
                <w:rFonts w:ascii="Calibri" w:hAnsi="Calibri" w:cs="Calibri"/>
                <w:color w:val="000000"/>
                <w:sz w:val="16"/>
                <w:szCs w:val="16"/>
              </w:rPr>
            </w:pPr>
            <w:r>
              <w:rPr>
                <w:rFonts w:ascii="Calibri" w:hAnsi="Calibri" w:cs="Calibri"/>
                <w:color w:val="000000"/>
                <w:sz w:val="16"/>
                <w:szCs w:val="16"/>
              </w:rPr>
              <w:t>53 940 236,64</w:t>
            </w:r>
          </w:p>
        </w:tc>
      </w:tr>
      <w:tr w:rsidR="0012219E" w:rsidTr="0012219E">
        <w:trPr>
          <w:trHeight w:val="300"/>
        </w:trPr>
        <w:tc>
          <w:tcPr>
            <w:tcW w:w="441" w:type="dxa"/>
            <w:vMerge/>
            <w:tcBorders>
              <w:top w:val="nil"/>
              <w:left w:val="single" w:sz="4" w:space="0" w:color="auto"/>
              <w:bottom w:val="single" w:sz="4" w:space="0" w:color="auto"/>
              <w:right w:val="single" w:sz="4" w:space="0" w:color="auto"/>
            </w:tcBorders>
            <w:vAlign w:val="center"/>
            <w:hideMark/>
          </w:tcPr>
          <w:p w:rsidR="0012219E" w:rsidRDefault="0012219E">
            <w:pPr>
              <w:rPr>
                <w:rFonts w:ascii="Calibri" w:hAnsi="Calibri" w:cs="Calibri"/>
                <w:color w:val="000000"/>
                <w:sz w:val="16"/>
                <w:szCs w:val="16"/>
              </w:rPr>
            </w:pPr>
          </w:p>
        </w:tc>
        <w:tc>
          <w:tcPr>
            <w:tcW w:w="572" w:type="dxa"/>
            <w:tcBorders>
              <w:top w:val="nil"/>
              <w:left w:val="nil"/>
              <w:bottom w:val="single" w:sz="4" w:space="0" w:color="auto"/>
              <w:right w:val="single" w:sz="4" w:space="0" w:color="auto"/>
            </w:tcBorders>
            <w:shd w:val="clear" w:color="auto" w:fill="auto"/>
            <w:noWrap/>
            <w:vAlign w:val="center"/>
            <w:hideMark/>
          </w:tcPr>
          <w:p w:rsidR="0012219E" w:rsidRDefault="0012219E">
            <w:pPr>
              <w:jc w:val="right"/>
              <w:rPr>
                <w:rFonts w:ascii="Calibri" w:hAnsi="Calibri" w:cs="Calibri"/>
                <w:color w:val="000000"/>
                <w:sz w:val="16"/>
                <w:szCs w:val="16"/>
              </w:rPr>
            </w:pPr>
            <w:r>
              <w:rPr>
                <w:rFonts w:ascii="Calibri" w:hAnsi="Calibri" w:cs="Calibri"/>
                <w:color w:val="000000"/>
                <w:sz w:val="16"/>
                <w:szCs w:val="16"/>
              </w:rPr>
              <w:t>5219</w:t>
            </w:r>
          </w:p>
        </w:tc>
        <w:tc>
          <w:tcPr>
            <w:tcW w:w="4652" w:type="dxa"/>
            <w:tcBorders>
              <w:top w:val="nil"/>
              <w:left w:val="nil"/>
              <w:bottom w:val="single" w:sz="4" w:space="0" w:color="auto"/>
              <w:right w:val="single" w:sz="4" w:space="0" w:color="auto"/>
            </w:tcBorders>
            <w:shd w:val="clear" w:color="auto" w:fill="auto"/>
            <w:vAlign w:val="center"/>
            <w:hideMark/>
          </w:tcPr>
          <w:p w:rsidR="0012219E" w:rsidRDefault="0012219E">
            <w:pPr>
              <w:rPr>
                <w:rFonts w:ascii="Calibri" w:hAnsi="Calibri" w:cs="Calibri"/>
                <w:color w:val="000000"/>
                <w:sz w:val="16"/>
                <w:szCs w:val="16"/>
              </w:rPr>
            </w:pPr>
            <w:r>
              <w:rPr>
                <w:rFonts w:ascii="Calibri" w:hAnsi="Calibri" w:cs="Calibri"/>
                <w:color w:val="000000"/>
                <w:sz w:val="16"/>
                <w:szCs w:val="16"/>
              </w:rPr>
              <w:t>Ostatní neinvestiční transfery podnikatelským subjektům</w:t>
            </w:r>
          </w:p>
        </w:tc>
        <w:tc>
          <w:tcPr>
            <w:tcW w:w="1315" w:type="dxa"/>
            <w:tcBorders>
              <w:top w:val="nil"/>
              <w:left w:val="nil"/>
              <w:bottom w:val="single" w:sz="4" w:space="0" w:color="auto"/>
              <w:right w:val="single" w:sz="4" w:space="0" w:color="auto"/>
            </w:tcBorders>
            <w:shd w:val="clear" w:color="auto" w:fill="auto"/>
            <w:noWrap/>
            <w:vAlign w:val="center"/>
            <w:hideMark/>
          </w:tcPr>
          <w:p w:rsidR="0012219E" w:rsidRDefault="0012219E">
            <w:pPr>
              <w:jc w:val="right"/>
              <w:rPr>
                <w:rFonts w:ascii="Calibri" w:hAnsi="Calibri" w:cs="Calibri"/>
                <w:color w:val="000000"/>
                <w:sz w:val="16"/>
                <w:szCs w:val="16"/>
              </w:rPr>
            </w:pPr>
            <w:r>
              <w:rPr>
                <w:rFonts w:ascii="Calibri" w:hAnsi="Calibri" w:cs="Calibri"/>
                <w:color w:val="000000"/>
                <w:sz w:val="16"/>
                <w:szCs w:val="16"/>
              </w:rPr>
              <w:t>50 000,00</w:t>
            </w:r>
          </w:p>
        </w:tc>
        <w:tc>
          <w:tcPr>
            <w:tcW w:w="1237" w:type="dxa"/>
            <w:tcBorders>
              <w:top w:val="nil"/>
              <w:left w:val="nil"/>
              <w:bottom w:val="single" w:sz="4" w:space="0" w:color="auto"/>
              <w:right w:val="single" w:sz="4" w:space="0" w:color="auto"/>
            </w:tcBorders>
            <w:shd w:val="clear" w:color="auto" w:fill="auto"/>
            <w:noWrap/>
            <w:vAlign w:val="center"/>
            <w:hideMark/>
          </w:tcPr>
          <w:p w:rsidR="0012219E" w:rsidRDefault="0012219E">
            <w:pPr>
              <w:jc w:val="right"/>
              <w:rPr>
                <w:rFonts w:ascii="Calibri" w:hAnsi="Calibri" w:cs="Calibri"/>
                <w:color w:val="000000"/>
                <w:sz w:val="16"/>
                <w:szCs w:val="16"/>
              </w:rPr>
            </w:pPr>
            <w:r>
              <w:rPr>
                <w:rFonts w:ascii="Calibri" w:hAnsi="Calibri" w:cs="Calibri"/>
                <w:color w:val="000000"/>
                <w:sz w:val="16"/>
                <w:szCs w:val="16"/>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12219E" w:rsidRDefault="0012219E">
            <w:pPr>
              <w:jc w:val="right"/>
              <w:rPr>
                <w:rFonts w:ascii="Calibri" w:hAnsi="Calibri" w:cs="Calibri"/>
                <w:color w:val="000000"/>
                <w:sz w:val="16"/>
                <w:szCs w:val="16"/>
              </w:rPr>
            </w:pPr>
            <w:r>
              <w:rPr>
                <w:rFonts w:ascii="Calibri" w:hAnsi="Calibri" w:cs="Calibri"/>
                <w:color w:val="000000"/>
                <w:sz w:val="16"/>
                <w:szCs w:val="16"/>
              </w:rPr>
              <w:t>50 000,00</w:t>
            </w:r>
          </w:p>
        </w:tc>
      </w:tr>
      <w:tr w:rsidR="0012219E" w:rsidTr="0012219E">
        <w:trPr>
          <w:trHeight w:val="300"/>
        </w:trPr>
        <w:tc>
          <w:tcPr>
            <w:tcW w:w="441" w:type="dxa"/>
            <w:tcBorders>
              <w:top w:val="nil"/>
              <w:left w:val="single" w:sz="4" w:space="0" w:color="auto"/>
              <w:bottom w:val="single" w:sz="4" w:space="0" w:color="auto"/>
              <w:right w:val="single" w:sz="4" w:space="0" w:color="auto"/>
            </w:tcBorders>
            <w:shd w:val="clear" w:color="FFF2CC" w:fill="E2EFDA"/>
            <w:noWrap/>
            <w:vAlign w:val="center"/>
            <w:hideMark/>
          </w:tcPr>
          <w:p w:rsidR="0012219E" w:rsidRDefault="0012219E">
            <w:pPr>
              <w:jc w:val="right"/>
              <w:rPr>
                <w:rFonts w:ascii="Calibri" w:hAnsi="Calibri" w:cs="Calibri"/>
                <w:color w:val="000000"/>
                <w:sz w:val="16"/>
                <w:szCs w:val="16"/>
              </w:rPr>
            </w:pPr>
            <w:r>
              <w:rPr>
                <w:rFonts w:ascii="Calibri" w:hAnsi="Calibri" w:cs="Calibri"/>
                <w:color w:val="000000"/>
                <w:sz w:val="16"/>
                <w:szCs w:val="16"/>
              </w:rPr>
              <w:t>522</w:t>
            </w:r>
          </w:p>
        </w:tc>
        <w:tc>
          <w:tcPr>
            <w:tcW w:w="5224" w:type="dxa"/>
            <w:gridSpan w:val="2"/>
            <w:tcBorders>
              <w:top w:val="single" w:sz="4" w:space="0" w:color="auto"/>
              <w:left w:val="nil"/>
              <w:bottom w:val="single" w:sz="4" w:space="0" w:color="auto"/>
              <w:right w:val="single" w:sz="4" w:space="0" w:color="auto"/>
            </w:tcBorders>
            <w:shd w:val="clear" w:color="FFF2CC" w:fill="E2EFDA"/>
            <w:noWrap/>
            <w:vAlign w:val="center"/>
            <w:hideMark/>
          </w:tcPr>
          <w:p w:rsidR="0012219E" w:rsidRDefault="0012219E">
            <w:pPr>
              <w:rPr>
                <w:rFonts w:ascii="Calibri" w:hAnsi="Calibri" w:cs="Calibri"/>
                <w:color w:val="000000"/>
                <w:sz w:val="16"/>
                <w:szCs w:val="16"/>
              </w:rPr>
            </w:pPr>
            <w:r>
              <w:rPr>
                <w:rFonts w:ascii="Calibri" w:hAnsi="Calibri" w:cs="Calibri"/>
                <w:color w:val="000000"/>
                <w:sz w:val="16"/>
                <w:szCs w:val="16"/>
              </w:rPr>
              <w:t>Neinvestiční transfery neziskovým a podobným organizacím</w:t>
            </w:r>
          </w:p>
        </w:tc>
        <w:tc>
          <w:tcPr>
            <w:tcW w:w="1315" w:type="dxa"/>
            <w:tcBorders>
              <w:top w:val="nil"/>
              <w:left w:val="nil"/>
              <w:bottom w:val="single" w:sz="4" w:space="0" w:color="auto"/>
              <w:right w:val="single" w:sz="4" w:space="0" w:color="auto"/>
            </w:tcBorders>
            <w:shd w:val="clear" w:color="FFF2CC" w:fill="E2EFDA"/>
            <w:noWrap/>
            <w:vAlign w:val="center"/>
            <w:hideMark/>
          </w:tcPr>
          <w:p w:rsidR="0012219E" w:rsidRDefault="0012219E">
            <w:pPr>
              <w:jc w:val="right"/>
              <w:rPr>
                <w:rFonts w:ascii="Calibri" w:hAnsi="Calibri" w:cs="Calibri"/>
                <w:color w:val="000000"/>
                <w:sz w:val="16"/>
                <w:szCs w:val="16"/>
              </w:rPr>
            </w:pPr>
            <w:r>
              <w:rPr>
                <w:rFonts w:ascii="Calibri" w:hAnsi="Calibri" w:cs="Calibri"/>
                <w:color w:val="000000"/>
                <w:sz w:val="16"/>
                <w:szCs w:val="16"/>
              </w:rPr>
              <w:t>23 892 001,00</w:t>
            </w:r>
          </w:p>
        </w:tc>
        <w:tc>
          <w:tcPr>
            <w:tcW w:w="1237" w:type="dxa"/>
            <w:tcBorders>
              <w:top w:val="nil"/>
              <w:left w:val="nil"/>
              <w:bottom w:val="single" w:sz="4" w:space="0" w:color="auto"/>
              <w:right w:val="single" w:sz="4" w:space="0" w:color="auto"/>
            </w:tcBorders>
            <w:shd w:val="clear" w:color="FFF2CC" w:fill="E2EFDA"/>
            <w:noWrap/>
            <w:vAlign w:val="center"/>
            <w:hideMark/>
          </w:tcPr>
          <w:p w:rsidR="0012219E" w:rsidRDefault="0012219E">
            <w:pPr>
              <w:jc w:val="right"/>
              <w:rPr>
                <w:rFonts w:ascii="Calibri" w:hAnsi="Calibri" w:cs="Calibri"/>
                <w:color w:val="000000"/>
                <w:sz w:val="16"/>
                <w:szCs w:val="16"/>
              </w:rPr>
            </w:pPr>
            <w:r>
              <w:rPr>
                <w:rFonts w:ascii="Calibri" w:hAnsi="Calibri" w:cs="Calibri"/>
                <w:color w:val="000000"/>
                <w:sz w:val="16"/>
                <w:szCs w:val="16"/>
              </w:rPr>
              <w:t>25 554 452,36</w:t>
            </w:r>
          </w:p>
        </w:tc>
        <w:tc>
          <w:tcPr>
            <w:tcW w:w="1276" w:type="dxa"/>
            <w:tcBorders>
              <w:top w:val="nil"/>
              <w:left w:val="nil"/>
              <w:bottom w:val="single" w:sz="4" w:space="0" w:color="auto"/>
              <w:right w:val="single" w:sz="4" w:space="0" w:color="auto"/>
            </w:tcBorders>
            <w:shd w:val="clear" w:color="FFF2CC" w:fill="E2EFDA"/>
            <w:noWrap/>
            <w:vAlign w:val="center"/>
            <w:hideMark/>
          </w:tcPr>
          <w:p w:rsidR="0012219E" w:rsidRDefault="0012219E">
            <w:pPr>
              <w:jc w:val="right"/>
              <w:rPr>
                <w:rFonts w:ascii="Calibri" w:hAnsi="Calibri" w:cs="Calibri"/>
                <w:color w:val="000000"/>
                <w:sz w:val="16"/>
                <w:szCs w:val="16"/>
              </w:rPr>
            </w:pPr>
            <w:r>
              <w:rPr>
                <w:rFonts w:ascii="Calibri" w:hAnsi="Calibri" w:cs="Calibri"/>
                <w:color w:val="000000"/>
                <w:sz w:val="16"/>
                <w:szCs w:val="16"/>
              </w:rPr>
              <w:t>26 085 357,00</w:t>
            </w:r>
          </w:p>
        </w:tc>
      </w:tr>
      <w:tr w:rsidR="0012219E" w:rsidTr="0012219E">
        <w:trPr>
          <w:trHeight w:val="300"/>
        </w:trPr>
        <w:tc>
          <w:tcPr>
            <w:tcW w:w="4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219E" w:rsidRDefault="0012219E">
            <w:pPr>
              <w:jc w:val="center"/>
              <w:rPr>
                <w:rFonts w:ascii="Calibri" w:hAnsi="Calibri" w:cs="Calibri"/>
                <w:color w:val="000000"/>
                <w:sz w:val="16"/>
                <w:szCs w:val="16"/>
              </w:rPr>
            </w:pPr>
            <w:r>
              <w:rPr>
                <w:rFonts w:ascii="Calibri" w:hAnsi="Calibri" w:cs="Calibri"/>
                <w:color w:val="000000"/>
                <w:sz w:val="16"/>
                <w:szCs w:val="16"/>
              </w:rPr>
              <w:t> </w:t>
            </w:r>
          </w:p>
        </w:tc>
        <w:tc>
          <w:tcPr>
            <w:tcW w:w="572" w:type="dxa"/>
            <w:tcBorders>
              <w:top w:val="nil"/>
              <w:left w:val="nil"/>
              <w:bottom w:val="single" w:sz="4" w:space="0" w:color="auto"/>
              <w:right w:val="single" w:sz="4" w:space="0" w:color="auto"/>
            </w:tcBorders>
            <w:shd w:val="clear" w:color="auto" w:fill="auto"/>
            <w:noWrap/>
            <w:vAlign w:val="center"/>
            <w:hideMark/>
          </w:tcPr>
          <w:p w:rsidR="0012219E" w:rsidRDefault="0012219E">
            <w:pPr>
              <w:jc w:val="right"/>
              <w:rPr>
                <w:rFonts w:ascii="Calibri" w:hAnsi="Calibri" w:cs="Calibri"/>
                <w:color w:val="000000"/>
                <w:sz w:val="16"/>
                <w:szCs w:val="16"/>
              </w:rPr>
            </w:pPr>
            <w:r>
              <w:rPr>
                <w:rFonts w:ascii="Calibri" w:hAnsi="Calibri" w:cs="Calibri"/>
                <w:color w:val="000000"/>
                <w:sz w:val="16"/>
                <w:szCs w:val="16"/>
              </w:rPr>
              <w:t>5221</w:t>
            </w:r>
          </w:p>
        </w:tc>
        <w:tc>
          <w:tcPr>
            <w:tcW w:w="4652" w:type="dxa"/>
            <w:tcBorders>
              <w:top w:val="nil"/>
              <w:left w:val="nil"/>
              <w:bottom w:val="single" w:sz="4" w:space="0" w:color="auto"/>
              <w:right w:val="single" w:sz="4" w:space="0" w:color="auto"/>
            </w:tcBorders>
            <w:shd w:val="clear" w:color="auto" w:fill="auto"/>
            <w:vAlign w:val="center"/>
            <w:hideMark/>
          </w:tcPr>
          <w:p w:rsidR="0012219E" w:rsidRDefault="0012219E">
            <w:pPr>
              <w:rPr>
                <w:rFonts w:ascii="Calibri" w:hAnsi="Calibri" w:cs="Calibri"/>
                <w:color w:val="000000"/>
                <w:sz w:val="16"/>
                <w:szCs w:val="16"/>
              </w:rPr>
            </w:pPr>
            <w:r>
              <w:rPr>
                <w:rFonts w:ascii="Calibri" w:hAnsi="Calibri" w:cs="Calibri"/>
                <w:color w:val="000000"/>
                <w:sz w:val="16"/>
                <w:szCs w:val="16"/>
              </w:rPr>
              <w:t>Neinvestiční transfery obecně prospěšným společnostem</w:t>
            </w:r>
          </w:p>
        </w:tc>
        <w:tc>
          <w:tcPr>
            <w:tcW w:w="1315" w:type="dxa"/>
            <w:tcBorders>
              <w:top w:val="nil"/>
              <w:left w:val="nil"/>
              <w:bottom w:val="single" w:sz="4" w:space="0" w:color="auto"/>
              <w:right w:val="single" w:sz="4" w:space="0" w:color="auto"/>
            </w:tcBorders>
            <w:shd w:val="clear" w:color="auto" w:fill="auto"/>
            <w:noWrap/>
            <w:vAlign w:val="center"/>
            <w:hideMark/>
          </w:tcPr>
          <w:p w:rsidR="0012219E" w:rsidRDefault="0012219E">
            <w:pPr>
              <w:jc w:val="right"/>
              <w:rPr>
                <w:rFonts w:ascii="Calibri" w:hAnsi="Calibri" w:cs="Calibri"/>
                <w:color w:val="000000"/>
                <w:sz w:val="16"/>
                <w:szCs w:val="16"/>
              </w:rPr>
            </w:pPr>
            <w:r>
              <w:rPr>
                <w:rFonts w:ascii="Calibri" w:hAnsi="Calibri" w:cs="Calibri"/>
                <w:color w:val="000000"/>
                <w:sz w:val="16"/>
                <w:szCs w:val="16"/>
              </w:rPr>
              <w:t>2 420 000,00</w:t>
            </w:r>
          </w:p>
        </w:tc>
        <w:tc>
          <w:tcPr>
            <w:tcW w:w="1237" w:type="dxa"/>
            <w:tcBorders>
              <w:top w:val="nil"/>
              <w:left w:val="nil"/>
              <w:bottom w:val="single" w:sz="4" w:space="0" w:color="auto"/>
              <w:right w:val="single" w:sz="4" w:space="0" w:color="auto"/>
            </w:tcBorders>
            <w:shd w:val="clear" w:color="auto" w:fill="auto"/>
            <w:noWrap/>
            <w:vAlign w:val="center"/>
            <w:hideMark/>
          </w:tcPr>
          <w:p w:rsidR="0012219E" w:rsidRDefault="0012219E">
            <w:pPr>
              <w:jc w:val="right"/>
              <w:rPr>
                <w:rFonts w:ascii="Calibri" w:hAnsi="Calibri" w:cs="Calibri"/>
                <w:color w:val="000000"/>
                <w:sz w:val="16"/>
                <w:szCs w:val="16"/>
              </w:rPr>
            </w:pPr>
            <w:r>
              <w:rPr>
                <w:rFonts w:ascii="Calibri" w:hAnsi="Calibri" w:cs="Calibri"/>
                <w:color w:val="000000"/>
                <w:sz w:val="16"/>
                <w:szCs w:val="16"/>
              </w:rPr>
              <w:t>2 851 000,00</w:t>
            </w:r>
          </w:p>
        </w:tc>
        <w:tc>
          <w:tcPr>
            <w:tcW w:w="1276" w:type="dxa"/>
            <w:tcBorders>
              <w:top w:val="nil"/>
              <w:left w:val="nil"/>
              <w:bottom w:val="single" w:sz="4" w:space="0" w:color="auto"/>
              <w:right w:val="single" w:sz="4" w:space="0" w:color="auto"/>
            </w:tcBorders>
            <w:shd w:val="clear" w:color="auto" w:fill="auto"/>
            <w:noWrap/>
            <w:vAlign w:val="center"/>
            <w:hideMark/>
          </w:tcPr>
          <w:p w:rsidR="0012219E" w:rsidRDefault="0012219E">
            <w:pPr>
              <w:jc w:val="right"/>
              <w:rPr>
                <w:rFonts w:ascii="Calibri" w:hAnsi="Calibri" w:cs="Calibri"/>
                <w:color w:val="000000"/>
                <w:sz w:val="16"/>
                <w:szCs w:val="16"/>
              </w:rPr>
            </w:pPr>
            <w:r>
              <w:rPr>
                <w:rFonts w:ascii="Calibri" w:hAnsi="Calibri" w:cs="Calibri"/>
                <w:color w:val="000000"/>
                <w:sz w:val="16"/>
                <w:szCs w:val="16"/>
              </w:rPr>
              <w:t>2 402 450,00</w:t>
            </w:r>
          </w:p>
        </w:tc>
      </w:tr>
      <w:tr w:rsidR="0012219E" w:rsidTr="0012219E">
        <w:trPr>
          <w:trHeight w:val="300"/>
        </w:trPr>
        <w:tc>
          <w:tcPr>
            <w:tcW w:w="441" w:type="dxa"/>
            <w:vMerge/>
            <w:tcBorders>
              <w:top w:val="nil"/>
              <w:left w:val="single" w:sz="4" w:space="0" w:color="auto"/>
              <w:bottom w:val="single" w:sz="4" w:space="0" w:color="auto"/>
              <w:right w:val="single" w:sz="4" w:space="0" w:color="auto"/>
            </w:tcBorders>
            <w:vAlign w:val="center"/>
            <w:hideMark/>
          </w:tcPr>
          <w:p w:rsidR="0012219E" w:rsidRDefault="0012219E">
            <w:pPr>
              <w:rPr>
                <w:rFonts w:ascii="Calibri" w:hAnsi="Calibri" w:cs="Calibri"/>
                <w:color w:val="000000"/>
                <w:sz w:val="16"/>
                <w:szCs w:val="16"/>
              </w:rPr>
            </w:pPr>
          </w:p>
        </w:tc>
        <w:tc>
          <w:tcPr>
            <w:tcW w:w="572" w:type="dxa"/>
            <w:tcBorders>
              <w:top w:val="nil"/>
              <w:left w:val="nil"/>
              <w:bottom w:val="single" w:sz="4" w:space="0" w:color="auto"/>
              <w:right w:val="single" w:sz="4" w:space="0" w:color="auto"/>
            </w:tcBorders>
            <w:shd w:val="clear" w:color="auto" w:fill="auto"/>
            <w:noWrap/>
            <w:vAlign w:val="center"/>
            <w:hideMark/>
          </w:tcPr>
          <w:p w:rsidR="0012219E" w:rsidRDefault="0012219E">
            <w:pPr>
              <w:jc w:val="right"/>
              <w:rPr>
                <w:rFonts w:ascii="Calibri" w:hAnsi="Calibri" w:cs="Calibri"/>
                <w:color w:val="000000"/>
                <w:sz w:val="16"/>
                <w:szCs w:val="16"/>
              </w:rPr>
            </w:pPr>
            <w:r>
              <w:rPr>
                <w:rFonts w:ascii="Calibri" w:hAnsi="Calibri" w:cs="Calibri"/>
                <w:color w:val="000000"/>
                <w:sz w:val="16"/>
                <w:szCs w:val="16"/>
              </w:rPr>
              <w:t>5222</w:t>
            </w:r>
          </w:p>
        </w:tc>
        <w:tc>
          <w:tcPr>
            <w:tcW w:w="4652" w:type="dxa"/>
            <w:tcBorders>
              <w:top w:val="nil"/>
              <w:left w:val="nil"/>
              <w:bottom w:val="single" w:sz="4" w:space="0" w:color="auto"/>
              <w:right w:val="single" w:sz="4" w:space="0" w:color="auto"/>
            </w:tcBorders>
            <w:shd w:val="clear" w:color="auto" w:fill="auto"/>
            <w:vAlign w:val="center"/>
            <w:hideMark/>
          </w:tcPr>
          <w:p w:rsidR="0012219E" w:rsidRDefault="0012219E">
            <w:pPr>
              <w:rPr>
                <w:rFonts w:ascii="Calibri" w:hAnsi="Calibri" w:cs="Calibri"/>
                <w:color w:val="000000"/>
                <w:sz w:val="16"/>
                <w:szCs w:val="16"/>
              </w:rPr>
            </w:pPr>
            <w:r>
              <w:rPr>
                <w:rFonts w:ascii="Calibri" w:hAnsi="Calibri" w:cs="Calibri"/>
                <w:color w:val="000000"/>
                <w:sz w:val="16"/>
                <w:szCs w:val="16"/>
              </w:rPr>
              <w:t>Neinvestiční transfery spolkům</w:t>
            </w:r>
          </w:p>
        </w:tc>
        <w:tc>
          <w:tcPr>
            <w:tcW w:w="1315" w:type="dxa"/>
            <w:tcBorders>
              <w:top w:val="nil"/>
              <w:left w:val="nil"/>
              <w:bottom w:val="single" w:sz="4" w:space="0" w:color="auto"/>
              <w:right w:val="single" w:sz="4" w:space="0" w:color="auto"/>
            </w:tcBorders>
            <w:shd w:val="clear" w:color="auto" w:fill="auto"/>
            <w:noWrap/>
            <w:vAlign w:val="center"/>
            <w:hideMark/>
          </w:tcPr>
          <w:p w:rsidR="0012219E" w:rsidRDefault="0012219E">
            <w:pPr>
              <w:jc w:val="right"/>
              <w:rPr>
                <w:rFonts w:ascii="Calibri" w:hAnsi="Calibri" w:cs="Calibri"/>
                <w:color w:val="000000"/>
                <w:sz w:val="16"/>
                <w:szCs w:val="16"/>
              </w:rPr>
            </w:pPr>
            <w:r>
              <w:rPr>
                <w:rFonts w:ascii="Calibri" w:hAnsi="Calibri" w:cs="Calibri"/>
                <w:color w:val="000000"/>
                <w:sz w:val="16"/>
                <w:szCs w:val="16"/>
              </w:rPr>
              <w:t>19 906 701,00</w:t>
            </w:r>
          </w:p>
        </w:tc>
        <w:tc>
          <w:tcPr>
            <w:tcW w:w="1237" w:type="dxa"/>
            <w:tcBorders>
              <w:top w:val="nil"/>
              <w:left w:val="nil"/>
              <w:bottom w:val="single" w:sz="4" w:space="0" w:color="auto"/>
              <w:right w:val="single" w:sz="4" w:space="0" w:color="auto"/>
            </w:tcBorders>
            <w:shd w:val="clear" w:color="auto" w:fill="auto"/>
            <w:noWrap/>
            <w:vAlign w:val="center"/>
            <w:hideMark/>
          </w:tcPr>
          <w:p w:rsidR="0012219E" w:rsidRDefault="0012219E">
            <w:pPr>
              <w:jc w:val="right"/>
              <w:rPr>
                <w:rFonts w:ascii="Calibri" w:hAnsi="Calibri" w:cs="Calibri"/>
                <w:color w:val="000000"/>
                <w:sz w:val="16"/>
                <w:szCs w:val="16"/>
              </w:rPr>
            </w:pPr>
            <w:r>
              <w:rPr>
                <w:rFonts w:ascii="Calibri" w:hAnsi="Calibri" w:cs="Calibri"/>
                <w:color w:val="000000"/>
                <w:sz w:val="16"/>
                <w:szCs w:val="16"/>
              </w:rPr>
              <w:t>19 388 778,36</w:t>
            </w:r>
          </w:p>
        </w:tc>
        <w:tc>
          <w:tcPr>
            <w:tcW w:w="1276" w:type="dxa"/>
            <w:tcBorders>
              <w:top w:val="nil"/>
              <w:left w:val="nil"/>
              <w:bottom w:val="single" w:sz="4" w:space="0" w:color="auto"/>
              <w:right w:val="single" w:sz="4" w:space="0" w:color="auto"/>
            </w:tcBorders>
            <w:shd w:val="clear" w:color="auto" w:fill="auto"/>
            <w:noWrap/>
            <w:vAlign w:val="center"/>
            <w:hideMark/>
          </w:tcPr>
          <w:p w:rsidR="0012219E" w:rsidRDefault="0012219E">
            <w:pPr>
              <w:jc w:val="right"/>
              <w:rPr>
                <w:rFonts w:ascii="Calibri" w:hAnsi="Calibri" w:cs="Calibri"/>
                <w:color w:val="000000"/>
                <w:sz w:val="16"/>
                <w:szCs w:val="16"/>
              </w:rPr>
            </w:pPr>
            <w:r>
              <w:rPr>
                <w:rFonts w:ascii="Calibri" w:hAnsi="Calibri" w:cs="Calibri"/>
                <w:color w:val="000000"/>
                <w:sz w:val="16"/>
                <w:szCs w:val="16"/>
              </w:rPr>
              <w:t>21 420 907,00</w:t>
            </w:r>
          </w:p>
        </w:tc>
      </w:tr>
      <w:tr w:rsidR="0012219E" w:rsidTr="0012219E">
        <w:trPr>
          <w:trHeight w:val="300"/>
        </w:trPr>
        <w:tc>
          <w:tcPr>
            <w:tcW w:w="441" w:type="dxa"/>
            <w:vMerge/>
            <w:tcBorders>
              <w:top w:val="nil"/>
              <w:left w:val="single" w:sz="4" w:space="0" w:color="auto"/>
              <w:bottom w:val="single" w:sz="4" w:space="0" w:color="auto"/>
              <w:right w:val="single" w:sz="4" w:space="0" w:color="auto"/>
            </w:tcBorders>
            <w:vAlign w:val="center"/>
            <w:hideMark/>
          </w:tcPr>
          <w:p w:rsidR="0012219E" w:rsidRDefault="0012219E">
            <w:pPr>
              <w:rPr>
                <w:rFonts w:ascii="Calibri" w:hAnsi="Calibri" w:cs="Calibri"/>
                <w:color w:val="000000"/>
                <w:sz w:val="16"/>
                <w:szCs w:val="16"/>
              </w:rPr>
            </w:pPr>
          </w:p>
        </w:tc>
        <w:tc>
          <w:tcPr>
            <w:tcW w:w="572" w:type="dxa"/>
            <w:tcBorders>
              <w:top w:val="nil"/>
              <w:left w:val="nil"/>
              <w:bottom w:val="single" w:sz="4" w:space="0" w:color="auto"/>
              <w:right w:val="single" w:sz="4" w:space="0" w:color="auto"/>
            </w:tcBorders>
            <w:shd w:val="clear" w:color="auto" w:fill="auto"/>
            <w:noWrap/>
            <w:vAlign w:val="center"/>
            <w:hideMark/>
          </w:tcPr>
          <w:p w:rsidR="0012219E" w:rsidRDefault="0012219E">
            <w:pPr>
              <w:jc w:val="right"/>
              <w:rPr>
                <w:rFonts w:ascii="Calibri" w:hAnsi="Calibri" w:cs="Calibri"/>
                <w:color w:val="000000"/>
                <w:sz w:val="16"/>
                <w:szCs w:val="16"/>
              </w:rPr>
            </w:pPr>
            <w:r>
              <w:rPr>
                <w:rFonts w:ascii="Calibri" w:hAnsi="Calibri" w:cs="Calibri"/>
                <w:color w:val="000000"/>
                <w:sz w:val="16"/>
                <w:szCs w:val="16"/>
              </w:rPr>
              <w:t>5223</w:t>
            </w:r>
          </w:p>
        </w:tc>
        <w:tc>
          <w:tcPr>
            <w:tcW w:w="4652" w:type="dxa"/>
            <w:tcBorders>
              <w:top w:val="nil"/>
              <w:left w:val="nil"/>
              <w:bottom w:val="single" w:sz="4" w:space="0" w:color="auto"/>
              <w:right w:val="single" w:sz="4" w:space="0" w:color="auto"/>
            </w:tcBorders>
            <w:shd w:val="clear" w:color="auto" w:fill="auto"/>
            <w:vAlign w:val="center"/>
            <w:hideMark/>
          </w:tcPr>
          <w:p w:rsidR="0012219E" w:rsidRDefault="0012219E">
            <w:pPr>
              <w:rPr>
                <w:rFonts w:ascii="Calibri" w:hAnsi="Calibri" w:cs="Calibri"/>
                <w:color w:val="000000"/>
                <w:sz w:val="16"/>
                <w:szCs w:val="16"/>
              </w:rPr>
            </w:pPr>
            <w:r>
              <w:rPr>
                <w:rFonts w:ascii="Calibri" w:hAnsi="Calibri" w:cs="Calibri"/>
                <w:color w:val="000000"/>
                <w:sz w:val="16"/>
                <w:szCs w:val="16"/>
              </w:rPr>
              <w:t>Neinvestiční transfery církvím a náboženským společnostem</w:t>
            </w:r>
          </w:p>
        </w:tc>
        <w:tc>
          <w:tcPr>
            <w:tcW w:w="1315" w:type="dxa"/>
            <w:tcBorders>
              <w:top w:val="nil"/>
              <w:left w:val="nil"/>
              <w:bottom w:val="single" w:sz="4" w:space="0" w:color="auto"/>
              <w:right w:val="single" w:sz="4" w:space="0" w:color="auto"/>
            </w:tcBorders>
            <w:shd w:val="clear" w:color="auto" w:fill="auto"/>
            <w:noWrap/>
            <w:vAlign w:val="center"/>
            <w:hideMark/>
          </w:tcPr>
          <w:p w:rsidR="0012219E" w:rsidRDefault="0012219E">
            <w:pPr>
              <w:jc w:val="right"/>
              <w:rPr>
                <w:rFonts w:ascii="Calibri" w:hAnsi="Calibri" w:cs="Calibri"/>
                <w:color w:val="000000"/>
                <w:sz w:val="16"/>
                <w:szCs w:val="16"/>
              </w:rPr>
            </w:pPr>
            <w:r>
              <w:rPr>
                <w:rFonts w:ascii="Calibri" w:hAnsi="Calibri" w:cs="Calibri"/>
                <w:color w:val="000000"/>
                <w:sz w:val="16"/>
                <w:szCs w:val="16"/>
              </w:rPr>
              <w:t>1 470 000,00</w:t>
            </w:r>
          </w:p>
        </w:tc>
        <w:tc>
          <w:tcPr>
            <w:tcW w:w="1237" w:type="dxa"/>
            <w:tcBorders>
              <w:top w:val="nil"/>
              <w:left w:val="nil"/>
              <w:bottom w:val="single" w:sz="4" w:space="0" w:color="auto"/>
              <w:right w:val="single" w:sz="4" w:space="0" w:color="auto"/>
            </w:tcBorders>
            <w:shd w:val="clear" w:color="auto" w:fill="auto"/>
            <w:noWrap/>
            <w:vAlign w:val="center"/>
            <w:hideMark/>
          </w:tcPr>
          <w:p w:rsidR="0012219E" w:rsidRDefault="0012219E">
            <w:pPr>
              <w:jc w:val="right"/>
              <w:rPr>
                <w:rFonts w:ascii="Calibri" w:hAnsi="Calibri" w:cs="Calibri"/>
                <w:color w:val="000000"/>
                <w:sz w:val="16"/>
                <w:szCs w:val="16"/>
              </w:rPr>
            </w:pPr>
            <w:r>
              <w:rPr>
                <w:rFonts w:ascii="Calibri" w:hAnsi="Calibri" w:cs="Calibri"/>
                <w:color w:val="000000"/>
                <w:sz w:val="16"/>
                <w:szCs w:val="16"/>
              </w:rPr>
              <w:t>3 264 674,00</w:t>
            </w:r>
          </w:p>
        </w:tc>
        <w:tc>
          <w:tcPr>
            <w:tcW w:w="1276" w:type="dxa"/>
            <w:tcBorders>
              <w:top w:val="nil"/>
              <w:left w:val="nil"/>
              <w:bottom w:val="single" w:sz="4" w:space="0" w:color="auto"/>
              <w:right w:val="single" w:sz="4" w:space="0" w:color="auto"/>
            </w:tcBorders>
            <w:shd w:val="clear" w:color="auto" w:fill="auto"/>
            <w:noWrap/>
            <w:vAlign w:val="center"/>
            <w:hideMark/>
          </w:tcPr>
          <w:p w:rsidR="0012219E" w:rsidRDefault="0012219E">
            <w:pPr>
              <w:jc w:val="right"/>
              <w:rPr>
                <w:rFonts w:ascii="Calibri" w:hAnsi="Calibri" w:cs="Calibri"/>
                <w:color w:val="000000"/>
                <w:sz w:val="16"/>
                <w:szCs w:val="16"/>
              </w:rPr>
            </w:pPr>
            <w:r>
              <w:rPr>
                <w:rFonts w:ascii="Calibri" w:hAnsi="Calibri" w:cs="Calibri"/>
                <w:color w:val="000000"/>
                <w:sz w:val="16"/>
                <w:szCs w:val="16"/>
              </w:rPr>
              <w:t>2 212 000,00</w:t>
            </w:r>
          </w:p>
        </w:tc>
      </w:tr>
      <w:tr w:rsidR="0012219E" w:rsidTr="0012219E">
        <w:trPr>
          <w:trHeight w:val="300"/>
        </w:trPr>
        <w:tc>
          <w:tcPr>
            <w:tcW w:w="441" w:type="dxa"/>
            <w:vMerge/>
            <w:tcBorders>
              <w:top w:val="nil"/>
              <w:left w:val="single" w:sz="4" w:space="0" w:color="auto"/>
              <w:bottom w:val="single" w:sz="4" w:space="0" w:color="auto"/>
              <w:right w:val="single" w:sz="4" w:space="0" w:color="auto"/>
            </w:tcBorders>
            <w:vAlign w:val="center"/>
            <w:hideMark/>
          </w:tcPr>
          <w:p w:rsidR="0012219E" w:rsidRDefault="0012219E">
            <w:pPr>
              <w:rPr>
                <w:rFonts w:ascii="Calibri" w:hAnsi="Calibri" w:cs="Calibri"/>
                <w:color w:val="000000"/>
                <w:sz w:val="16"/>
                <w:szCs w:val="16"/>
              </w:rPr>
            </w:pPr>
          </w:p>
        </w:tc>
        <w:tc>
          <w:tcPr>
            <w:tcW w:w="572" w:type="dxa"/>
            <w:tcBorders>
              <w:top w:val="nil"/>
              <w:left w:val="nil"/>
              <w:bottom w:val="single" w:sz="4" w:space="0" w:color="auto"/>
              <w:right w:val="single" w:sz="4" w:space="0" w:color="auto"/>
            </w:tcBorders>
            <w:shd w:val="clear" w:color="auto" w:fill="auto"/>
            <w:noWrap/>
            <w:vAlign w:val="center"/>
            <w:hideMark/>
          </w:tcPr>
          <w:p w:rsidR="0012219E" w:rsidRDefault="0012219E">
            <w:pPr>
              <w:jc w:val="right"/>
              <w:rPr>
                <w:rFonts w:ascii="Calibri" w:hAnsi="Calibri" w:cs="Calibri"/>
                <w:color w:val="000000"/>
                <w:sz w:val="16"/>
                <w:szCs w:val="16"/>
              </w:rPr>
            </w:pPr>
            <w:r>
              <w:rPr>
                <w:rFonts w:ascii="Calibri" w:hAnsi="Calibri" w:cs="Calibri"/>
                <w:color w:val="000000"/>
                <w:sz w:val="16"/>
                <w:szCs w:val="16"/>
              </w:rPr>
              <w:t>5229</w:t>
            </w:r>
          </w:p>
        </w:tc>
        <w:tc>
          <w:tcPr>
            <w:tcW w:w="4652" w:type="dxa"/>
            <w:tcBorders>
              <w:top w:val="nil"/>
              <w:left w:val="nil"/>
              <w:bottom w:val="single" w:sz="4" w:space="0" w:color="auto"/>
              <w:right w:val="single" w:sz="4" w:space="0" w:color="auto"/>
            </w:tcBorders>
            <w:shd w:val="clear" w:color="auto" w:fill="auto"/>
            <w:vAlign w:val="center"/>
            <w:hideMark/>
          </w:tcPr>
          <w:p w:rsidR="0012219E" w:rsidRDefault="0012219E">
            <w:pPr>
              <w:rPr>
                <w:rFonts w:ascii="Calibri" w:hAnsi="Calibri" w:cs="Calibri"/>
                <w:color w:val="000000"/>
                <w:sz w:val="16"/>
                <w:szCs w:val="16"/>
              </w:rPr>
            </w:pPr>
            <w:r>
              <w:rPr>
                <w:rFonts w:ascii="Calibri" w:hAnsi="Calibri" w:cs="Calibri"/>
                <w:color w:val="000000"/>
                <w:sz w:val="16"/>
                <w:szCs w:val="16"/>
              </w:rPr>
              <w:t>Ostatní neinvestiční transfery neziskovým a podobným organizacím</w:t>
            </w:r>
          </w:p>
        </w:tc>
        <w:tc>
          <w:tcPr>
            <w:tcW w:w="1315" w:type="dxa"/>
            <w:tcBorders>
              <w:top w:val="nil"/>
              <w:left w:val="nil"/>
              <w:bottom w:val="single" w:sz="4" w:space="0" w:color="auto"/>
              <w:right w:val="single" w:sz="4" w:space="0" w:color="auto"/>
            </w:tcBorders>
            <w:shd w:val="clear" w:color="auto" w:fill="auto"/>
            <w:noWrap/>
            <w:vAlign w:val="center"/>
            <w:hideMark/>
          </w:tcPr>
          <w:p w:rsidR="0012219E" w:rsidRDefault="0012219E">
            <w:pPr>
              <w:jc w:val="right"/>
              <w:rPr>
                <w:rFonts w:ascii="Calibri" w:hAnsi="Calibri" w:cs="Calibri"/>
                <w:color w:val="000000"/>
                <w:sz w:val="16"/>
                <w:szCs w:val="16"/>
              </w:rPr>
            </w:pPr>
            <w:r>
              <w:rPr>
                <w:rFonts w:ascii="Calibri" w:hAnsi="Calibri" w:cs="Calibri"/>
                <w:color w:val="000000"/>
                <w:sz w:val="16"/>
                <w:szCs w:val="16"/>
              </w:rPr>
              <w:t>95 300,00</w:t>
            </w:r>
          </w:p>
        </w:tc>
        <w:tc>
          <w:tcPr>
            <w:tcW w:w="1237" w:type="dxa"/>
            <w:tcBorders>
              <w:top w:val="nil"/>
              <w:left w:val="nil"/>
              <w:bottom w:val="single" w:sz="4" w:space="0" w:color="auto"/>
              <w:right w:val="single" w:sz="4" w:space="0" w:color="auto"/>
            </w:tcBorders>
            <w:shd w:val="clear" w:color="auto" w:fill="auto"/>
            <w:noWrap/>
            <w:vAlign w:val="center"/>
            <w:hideMark/>
          </w:tcPr>
          <w:p w:rsidR="0012219E" w:rsidRDefault="0012219E">
            <w:pPr>
              <w:jc w:val="right"/>
              <w:rPr>
                <w:rFonts w:ascii="Calibri" w:hAnsi="Calibri" w:cs="Calibri"/>
                <w:color w:val="000000"/>
                <w:sz w:val="16"/>
                <w:szCs w:val="16"/>
              </w:rPr>
            </w:pPr>
            <w:r>
              <w:rPr>
                <w:rFonts w:ascii="Calibri" w:hAnsi="Calibri" w:cs="Calibri"/>
                <w:color w:val="000000"/>
                <w:sz w:val="16"/>
                <w:szCs w:val="16"/>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12219E" w:rsidRDefault="0012219E">
            <w:pPr>
              <w:jc w:val="right"/>
              <w:rPr>
                <w:rFonts w:ascii="Calibri" w:hAnsi="Calibri" w:cs="Calibri"/>
                <w:color w:val="000000"/>
                <w:sz w:val="16"/>
                <w:szCs w:val="16"/>
              </w:rPr>
            </w:pPr>
            <w:r>
              <w:rPr>
                <w:rFonts w:ascii="Calibri" w:hAnsi="Calibri" w:cs="Calibri"/>
                <w:color w:val="000000"/>
                <w:sz w:val="16"/>
                <w:szCs w:val="16"/>
              </w:rPr>
              <w:t>50 000,00</w:t>
            </w:r>
          </w:p>
        </w:tc>
      </w:tr>
    </w:tbl>
    <w:p w:rsidR="0012219E" w:rsidRDefault="0012219E" w:rsidP="0012219E"/>
    <w:p w:rsidR="0012219E" w:rsidRPr="0012219E" w:rsidRDefault="004500FB" w:rsidP="004500FB">
      <w:pPr>
        <w:jc w:val="center"/>
      </w:pPr>
      <w:r>
        <w:rPr>
          <w:noProof/>
        </w:rPr>
        <w:lastRenderedPageBreak/>
        <w:drawing>
          <wp:inline distT="0" distB="0" distL="0" distR="0" wp14:anchorId="09415ACE" wp14:editId="6EAEAD16">
            <wp:extent cx="4872075" cy="2453400"/>
            <wp:effectExtent l="0" t="0" r="5080" b="4445"/>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30F53" w:rsidRDefault="00530F53" w:rsidP="00530F53"/>
    <w:p w:rsidR="008E1A8F" w:rsidRPr="00530F53" w:rsidRDefault="0021611D" w:rsidP="0021611D">
      <w:pPr>
        <w:pStyle w:val="Nadpis2"/>
      </w:pPr>
      <w:r w:rsidRPr="00530F53">
        <w:t>Neivestiční transfery veřejnoprávním subjektům a platby daní</w:t>
      </w:r>
    </w:p>
    <w:p w:rsidR="005402EB" w:rsidRPr="00747317" w:rsidRDefault="00F43EDE" w:rsidP="00C02FC4">
      <w:pPr>
        <w:jc w:val="both"/>
        <w:rPr>
          <w:rFonts w:ascii="Calibri" w:hAnsi="Calibri" w:cs="Calibri"/>
          <w:sz w:val="22"/>
          <w:szCs w:val="22"/>
        </w:rPr>
      </w:pPr>
      <w:r w:rsidRPr="00747317">
        <w:rPr>
          <w:rFonts w:ascii="Calibri" w:hAnsi="Calibri" w:cs="Calibri"/>
          <w:sz w:val="22"/>
          <w:szCs w:val="22"/>
        </w:rPr>
        <w:t>V tomto seskupení položek tvoří finančně nejvýznamnější skupinu neinvestiční příspěvky zřízeným příspěvkovým organizacím (</w:t>
      </w:r>
      <w:r w:rsidR="00A33337">
        <w:rPr>
          <w:rFonts w:ascii="Calibri" w:hAnsi="Calibri" w:cs="Calibri"/>
          <w:sz w:val="22"/>
          <w:szCs w:val="22"/>
        </w:rPr>
        <w:t>126,76</w:t>
      </w:r>
      <w:r w:rsidR="00A476A2" w:rsidRPr="00747317">
        <w:rPr>
          <w:rFonts w:ascii="Calibri" w:hAnsi="Calibri" w:cs="Calibri"/>
          <w:sz w:val="22"/>
          <w:szCs w:val="22"/>
        </w:rPr>
        <w:t xml:space="preserve"> </w:t>
      </w:r>
      <w:r w:rsidRPr="00747317">
        <w:rPr>
          <w:rFonts w:ascii="Calibri" w:hAnsi="Calibri" w:cs="Calibri"/>
          <w:sz w:val="22"/>
          <w:szCs w:val="22"/>
        </w:rPr>
        <w:t>mil. K</w:t>
      </w:r>
      <w:r w:rsidR="00074800" w:rsidRPr="00747317">
        <w:rPr>
          <w:rFonts w:ascii="Calibri" w:hAnsi="Calibri" w:cs="Calibri"/>
          <w:sz w:val="22"/>
          <w:szCs w:val="22"/>
        </w:rPr>
        <w:t xml:space="preserve">č) a </w:t>
      </w:r>
      <w:r w:rsidR="00747317" w:rsidRPr="00747317">
        <w:rPr>
          <w:rFonts w:ascii="Calibri" w:hAnsi="Calibri" w:cs="Calibri"/>
          <w:sz w:val="22"/>
          <w:szCs w:val="22"/>
        </w:rPr>
        <w:t xml:space="preserve">neinvestiční </w:t>
      </w:r>
      <w:r w:rsidR="00074800" w:rsidRPr="00747317">
        <w:rPr>
          <w:rFonts w:ascii="Calibri" w:hAnsi="Calibri" w:cs="Calibri"/>
          <w:sz w:val="22"/>
          <w:szCs w:val="22"/>
        </w:rPr>
        <w:t>trans</w:t>
      </w:r>
      <w:r w:rsidR="00D32E5B" w:rsidRPr="00747317">
        <w:rPr>
          <w:rFonts w:ascii="Calibri" w:hAnsi="Calibri" w:cs="Calibri"/>
          <w:sz w:val="22"/>
          <w:szCs w:val="22"/>
        </w:rPr>
        <w:t>fery</w:t>
      </w:r>
      <w:r w:rsidR="005402EB" w:rsidRPr="00747317">
        <w:rPr>
          <w:rFonts w:ascii="Calibri" w:hAnsi="Calibri" w:cs="Calibri"/>
          <w:sz w:val="22"/>
          <w:szCs w:val="22"/>
        </w:rPr>
        <w:t xml:space="preserve"> zřízeným</w:t>
      </w:r>
      <w:r w:rsidR="00D32E5B" w:rsidRPr="00747317">
        <w:rPr>
          <w:rFonts w:ascii="Calibri" w:hAnsi="Calibri" w:cs="Calibri"/>
          <w:sz w:val="22"/>
          <w:szCs w:val="22"/>
        </w:rPr>
        <w:t xml:space="preserve"> příspěvkovým org</w:t>
      </w:r>
      <w:r w:rsidR="005402EB" w:rsidRPr="00747317">
        <w:rPr>
          <w:rFonts w:ascii="Calibri" w:hAnsi="Calibri" w:cs="Calibri"/>
          <w:sz w:val="22"/>
          <w:szCs w:val="22"/>
        </w:rPr>
        <w:t xml:space="preserve">anizacím </w:t>
      </w:r>
      <w:r w:rsidR="00747317" w:rsidRPr="00747317">
        <w:rPr>
          <w:rFonts w:ascii="Calibri" w:hAnsi="Calibri" w:cs="Calibri"/>
          <w:sz w:val="22"/>
          <w:szCs w:val="22"/>
        </w:rPr>
        <w:t>(</w:t>
      </w:r>
      <w:r w:rsidR="00A33337">
        <w:rPr>
          <w:rFonts w:ascii="Calibri" w:hAnsi="Calibri" w:cs="Calibri"/>
          <w:sz w:val="22"/>
          <w:szCs w:val="22"/>
        </w:rPr>
        <w:t>8,98</w:t>
      </w:r>
      <w:r w:rsidR="00747317" w:rsidRPr="00747317">
        <w:rPr>
          <w:rFonts w:ascii="Calibri" w:hAnsi="Calibri" w:cs="Calibri"/>
          <w:sz w:val="22"/>
          <w:szCs w:val="22"/>
        </w:rPr>
        <w:t xml:space="preserve"> mil. Kč)</w:t>
      </w:r>
      <w:r w:rsidR="00074800" w:rsidRPr="00747317">
        <w:rPr>
          <w:rFonts w:ascii="Calibri" w:hAnsi="Calibri" w:cs="Calibri"/>
          <w:sz w:val="22"/>
          <w:szCs w:val="22"/>
        </w:rPr>
        <w:t>, kdy město Prostěj</w:t>
      </w:r>
      <w:r w:rsidR="00C02FC4" w:rsidRPr="00747317">
        <w:rPr>
          <w:rFonts w:ascii="Calibri" w:hAnsi="Calibri" w:cs="Calibri"/>
          <w:sz w:val="22"/>
          <w:szCs w:val="22"/>
        </w:rPr>
        <w:t>ov figuruje v roli prostředníka (</w:t>
      </w:r>
      <w:r w:rsidR="00074800" w:rsidRPr="00747317">
        <w:rPr>
          <w:rFonts w:ascii="Calibri" w:hAnsi="Calibri" w:cs="Calibri"/>
          <w:sz w:val="22"/>
          <w:szCs w:val="22"/>
        </w:rPr>
        <w:t>jedná se o průtokov</w:t>
      </w:r>
      <w:r w:rsidR="00747317" w:rsidRPr="00747317">
        <w:rPr>
          <w:rFonts w:ascii="Calibri" w:hAnsi="Calibri" w:cs="Calibri"/>
          <w:sz w:val="22"/>
          <w:szCs w:val="22"/>
        </w:rPr>
        <w:t>é dotace</w:t>
      </w:r>
      <w:r w:rsidR="00C02FC4" w:rsidRPr="00747317">
        <w:rPr>
          <w:rFonts w:ascii="Calibri" w:hAnsi="Calibri" w:cs="Calibri"/>
          <w:sz w:val="22"/>
          <w:szCs w:val="22"/>
        </w:rPr>
        <w:t>)</w:t>
      </w:r>
      <w:r w:rsidR="00074800" w:rsidRPr="00747317">
        <w:rPr>
          <w:rFonts w:ascii="Calibri" w:hAnsi="Calibri" w:cs="Calibri"/>
          <w:sz w:val="22"/>
          <w:szCs w:val="22"/>
        </w:rPr>
        <w:t>.</w:t>
      </w:r>
      <w:r w:rsidR="00CC5AFD" w:rsidRPr="00747317">
        <w:rPr>
          <w:rFonts w:ascii="Calibri" w:hAnsi="Calibri" w:cs="Calibri"/>
          <w:sz w:val="22"/>
          <w:szCs w:val="22"/>
        </w:rPr>
        <w:t xml:space="preserve"> </w:t>
      </w:r>
      <w:r w:rsidR="005402EB" w:rsidRPr="00747317">
        <w:rPr>
          <w:rFonts w:ascii="Calibri" w:hAnsi="Calibri" w:cs="Calibri"/>
          <w:sz w:val="22"/>
          <w:szCs w:val="22"/>
        </w:rPr>
        <w:t xml:space="preserve">Cizím příspěvkovým organizacím pak ze svého rozpočtu poskytlo město Prostějov dotace ve výši </w:t>
      </w:r>
      <w:r w:rsidR="00747317" w:rsidRPr="00747317">
        <w:rPr>
          <w:rFonts w:ascii="Calibri" w:hAnsi="Calibri" w:cs="Calibri"/>
          <w:sz w:val="22"/>
          <w:szCs w:val="22"/>
        </w:rPr>
        <w:t>7,</w:t>
      </w:r>
      <w:r w:rsidR="00A33337">
        <w:rPr>
          <w:rFonts w:ascii="Calibri" w:hAnsi="Calibri" w:cs="Calibri"/>
          <w:sz w:val="22"/>
          <w:szCs w:val="22"/>
        </w:rPr>
        <w:t>38</w:t>
      </w:r>
      <w:r w:rsidR="005402EB" w:rsidRPr="00747317">
        <w:rPr>
          <w:rFonts w:ascii="Calibri" w:hAnsi="Calibri" w:cs="Calibri"/>
          <w:sz w:val="22"/>
          <w:szCs w:val="22"/>
        </w:rPr>
        <w:t> mil. Kč.</w:t>
      </w:r>
    </w:p>
    <w:p w:rsidR="00D32E5B" w:rsidRPr="00747317" w:rsidRDefault="00D32E5B" w:rsidP="00C02FC4">
      <w:pPr>
        <w:jc w:val="both"/>
        <w:rPr>
          <w:rFonts w:ascii="Calibri" w:hAnsi="Calibri" w:cs="Calibri"/>
          <w:sz w:val="22"/>
          <w:szCs w:val="22"/>
        </w:rPr>
      </w:pPr>
    </w:p>
    <w:p w:rsidR="00D32E5B" w:rsidRPr="00747317" w:rsidRDefault="00D32E5B" w:rsidP="00C02FC4">
      <w:pPr>
        <w:jc w:val="both"/>
        <w:rPr>
          <w:rFonts w:ascii="Calibri" w:hAnsi="Calibri" w:cs="Calibri"/>
          <w:sz w:val="22"/>
          <w:szCs w:val="22"/>
        </w:rPr>
      </w:pPr>
      <w:r w:rsidRPr="00747317">
        <w:rPr>
          <w:rFonts w:ascii="Calibri" w:hAnsi="Calibri" w:cs="Calibri"/>
          <w:sz w:val="22"/>
          <w:szCs w:val="22"/>
        </w:rPr>
        <w:t>Za rok 20</w:t>
      </w:r>
      <w:r w:rsidR="002F20A0" w:rsidRPr="00747317">
        <w:rPr>
          <w:rFonts w:ascii="Calibri" w:hAnsi="Calibri" w:cs="Calibri"/>
          <w:sz w:val="22"/>
          <w:szCs w:val="22"/>
        </w:rPr>
        <w:t>2</w:t>
      </w:r>
      <w:r w:rsidR="00A33337">
        <w:rPr>
          <w:rFonts w:ascii="Calibri" w:hAnsi="Calibri" w:cs="Calibri"/>
          <w:sz w:val="22"/>
          <w:szCs w:val="22"/>
        </w:rPr>
        <w:t>2</w:t>
      </w:r>
      <w:r w:rsidRPr="00747317">
        <w:rPr>
          <w:rFonts w:ascii="Calibri" w:hAnsi="Calibri" w:cs="Calibri"/>
          <w:sz w:val="22"/>
          <w:szCs w:val="22"/>
        </w:rPr>
        <w:t xml:space="preserve"> byla vyčíslena daň z příjmů právnických osob za obce ve výši </w:t>
      </w:r>
      <w:r w:rsidR="00A33337">
        <w:rPr>
          <w:rFonts w:ascii="Calibri" w:hAnsi="Calibri" w:cs="Calibri"/>
          <w:sz w:val="22"/>
          <w:szCs w:val="22"/>
        </w:rPr>
        <w:t>30,8</w:t>
      </w:r>
      <w:r w:rsidR="00747317" w:rsidRPr="00747317">
        <w:rPr>
          <w:rFonts w:ascii="Calibri" w:hAnsi="Calibri" w:cs="Calibri"/>
          <w:sz w:val="22"/>
          <w:szCs w:val="22"/>
        </w:rPr>
        <w:t xml:space="preserve"> mil. Kč, která je v celé výši i </w:t>
      </w:r>
      <w:r w:rsidRPr="00747317">
        <w:rPr>
          <w:rFonts w:ascii="Calibri" w:hAnsi="Calibri" w:cs="Calibri"/>
          <w:sz w:val="22"/>
          <w:szCs w:val="22"/>
        </w:rPr>
        <w:t>příjmem obce.</w:t>
      </w:r>
    </w:p>
    <w:p w:rsidR="005402EB" w:rsidRPr="00FD2D38" w:rsidRDefault="005402EB" w:rsidP="00C02FC4">
      <w:pPr>
        <w:jc w:val="both"/>
        <w:rPr>
          <w:rFonts w:ascii="Calibri" w:hAnsi="Calibri" w:cs="Calibri"/>
          <w:color w:val="A6A6A6" w:themeColor="background1" w:themeShade="A6"/>
          <w:sz w:val="22"/>
          <w:szCs w:val="22"/>
        </w:rPr>
      </w:pPr>
    </w:p>
    <w:p w:rsidR="005402EB" w:rsidRPr="00747317" w:rsidRDefault="009956CB" w:rsidP="00C02FC4">
      <w:pPr>
        <w:jc w:val="both"/>
        <w:rPr>
          <w:rFonts w:ascii="Calibri" w:hAnsi="Calibri" w:cs="Calibri"/>
          <w:sz w:val="22"/>
          <w:szCs w:val="22"/>
        </w:rPr>
      </w:pPr>
      <w:r>
        <w:rPr>
          <w:rFonts w:ascii="Calibri" w:hAnsi="Calibri" w:cs="Calibri"/>
          <w:sz w:val="22"/>
          <w:szCs w:val="22"/>
        </w:rPr>
        <w:t>Na položce 5321 je zahrnuta</w:t>
      </w:r>
      <w:r w:rsidR="005402EB" w:rsidRPr="00747317">
        <w:rPr>
          <w:rFonts w:ascii="Calibri" w:hAnsi="Calibri" w:cs="Calibri"/>
          <w:sz w:val="22"/>
          <w:szCs w:val="22"/>
        </w:rPr>
        <w:t xml:space="preserve"> dotace na výkon činností souvisejících s realizací integrovaného n</w:t>
      </w:r>
      <w:r>
        <w:rPr>
          <w:rFonts w:ascii="Calibri" w:hAnsi="Calibri" w:cs="Calibri"/>
          <w:sz w:val="22"/>
          <w:szCs w:val="22"/>
        </w:rPr>
        <w:t>ástroje ITI ve </w:t>
      </w:r>
      <w:r w:rsidR="002F20A0" w:rsidRPr="00747317">
        <w:rPr>
          <w:rFonts w:ascii="Calibri" w:hAnsi="Calibri" w:cs="Calibri"/>
          <w:sz w:val="22"/>
          <w:szCs w:val="22"/>
        </w:rPr>
        <w:t xml:space="preserve">výši </w:t>
      </w:r>
      <w:r>
        <w:rPr>
          <w:rFonts w:ascii="Calibri" w:hAnsi="Calibri" w:cs="Calibri"/>
          <w:sz w:val="22"/>
          <w:szCs w:val="22"/>
        </w:rPr>
        <w:t>129,17</w:t>
      </w:r>
      <w:r w:rsidR="002F20A0" w:rsidRPr="00747317">
        <w:rPr>
          <w:rFonts w:ascii="Calibri" w:hAnsi="Calibri" w:cs="Calibri"/>
          <w:sz w:val="22"/>
          <w:szCs w:val="22"/>
        </w:rPr>
        <w:t xml:space="preserve"> tis. Kč </w:t>
      </w:r>
      <w:r>
        <w:rPr>
          <w:rFonts w:ascii="Calibri" w:hAnsi="Calibri" w:cs="Calibri"/>
          <w:sz w:val="22"/>
          <w:szCs w:val="22"/>
        </w:rPr>
        <w:t xml:space="preserve">a dotace obci Olšany u Prostějova </w:t>
      </w:r>
      <w:r w:rsidR="00BC0B03">
        <w:rPr>
          <w:rFonts w:ascii="Calibri" w:hAnsi="Calibri" w:cs="Calibri"/>
          <w:sz w:val="22"/>
          <w:szCs w:val="22"/>
        </w:rPr>
        <w:t xml:space="preserve">ve výši 1 mil. Kč </w:t>
      </w:r>
      <w:r>
        <w:rPr>
          <w:rFonts w:ascii="Calibri" w:hAnsi="Calibri" w:cs="Calibri"/>
          <w:sz w:val="22"/>
          <w:szCs w:val="22"/>
        </w:rPr>
        <w:t>na sanační zásah, řešící ekologickou zátěž, která vznikla v průmyslové zóně bývalého průmyslového podniku SIGMA Lutín.</w:t>
      </w:r>
    </w:p>
    <w:p w:rsidR="008E58DC" w:rsidRPr="002F20A0" w:rsidRDefault="00747317" w:rsidP="00747317">
      <w:pPr>
        <w:jc w:val="both"/>
        <w:rPr>
          <w:rFonts w:ascii="Calibri" w:hAnsi="Calibri" w:cs="Calibri"/>
          <w:sz w:val="22"/>
          <w:szCs w:val="22"/>
        </w:rPr>
      </w:pPr>
      <w:r w:rsidRPr="00747317">
        <w:rPr>
          <w:rFonts w:ascii="Calibri" w:hAnsi="Calibri" w:cs="Calibri"/>
          <w:sz w:val="22"/>
          <w:szCs w:val="22"/>
        </w:rPr>
        <w:t xml:space="preserve">                                                                                                </w:t>
      </w:r>
    </w:p>
    <w:p w:rsidR="0021611D" w:rsidRDefault="0021611D" w:rsidP="006D5A4F">
      <w:pPr>
        <w:pStyle w:val="Nadpis3"/>
        <w:spacing w:before="0"/>
        <w:jc w:val="both"/>
        <w:rPr>
          <w:b w:val="0"/>
        </w:rPr>
      </w:pPr>
      <w:r w:rsidRPr="00D86BE2">
        <w:rPr>
          <w:b w:val="0"/>
        </w:rPr>
        <w:t xml:space="preserve">Srovnání neinvestičních transferů </w:t>
      </w:r>
      <w:r w:rsidR="004F6A97" w:rsidRPr="00D86BE2">
        <w:rPr>
          <w:b w:val="0"/>
        </w:rPr>
        <w:t xml:space="preserve">veřejnoprávním subjektům a platby daní </w:t>
      </w:r>
      <w:r w:rsidRPr="00D86BE2">
        <w:rPr>
          <w:b w:val="0"/>
        </w:rPr>
        <w:t>v letech 20</w:t>
      </w:r>
      <w:r w:rsidR="002B2B46">
        <w:rPr>
          <w:b w:val="0"/>
        </w:rPr>
        <w:t>20</w:t>
      </w:r>
      <w:r w:rsidR="00960B58" w:rsidRPr="00D86BE2">
        <w:rPr>
          <w:b w:val="0"/>
        </w:rPr>
        <w:t> </w:t>
      </w:r>
      <w:r w:rsidRPr="00D86BE2">
        <w:rPr>
          <w:b w:val="0"/>
        </w:rPr>
        <w:t>-</w:t>
      </w:r>
      <w:r w:rsidR="00960B58" w:rsidRPr="00D86BE2">
        <w:rPr>
          <w:b w:val="0"/>
        </w:rPr>
        <w:t> </w:t>
      </w:r>
      <w:r w:rsidR="00E35C02" w:rsidRPr="00D86BE2">
        <w:rPr>
          <w:b w:val="0"/>
        </w:rPr>
        <w:t>202</w:t>
      </w:r>
      <w:r w:rsidR="002B2B46">
        <w:rPr>
          <w:b w:val="0"/>
        </w:rPr>
        <w:t>2</w:t>
      </w:r>
      <w:r w:rsidR="009E58F2">
        <w:rPr>
          <w:b w:val="0"/>
        </w:rPr>
        <w:t xml:space="preserve"> po </w:t>
      </w:r>
      <w:r w:rsidRPr="00D86BE2">
        <w:rPr>
          <w:b w:val="0"/>
        </w:rPr>
        <w:t>konsolidaci v</w:t>
      </w:r>
      <w:r w:rsidR="00A33337">
        <w:rPr>
          <w:b w:val="0"/>
        </w:rPr>
        <w:t> </w:t>
      </w:r>
      <w:r w:rsidRPr="00D86BE2">
        <w:rPr>
          <w:b w:val="0"/>
        </w:rPr>
        <w:t>Kč</w:t>
      </w:r>
    </w:p>
    <w:tbl>
      <w:tblPr>
        <w:tblW w:w="9356" w:type="dxa"/>
        <w:tblInd w:w="-5" w:type="dxa"/>
        <w:tblCellMar>
          <w:left w:w="70" w:type="dxa"/>
          <w:right w:w="70" w:type="dxa"/>
        </w:tblCellMar>
        <w:tblLook w:val="04A0" w:firstRow="1" w:lastRow="0" w:firstColumn="1" w:lastColumn="0" w:noHBand="0" w:noVBand="1"/>
      </w:tblPr>
      <w:tblGrid>
        <w:gridCol w:w="384"/>
        <w:gridCol w:w="467"/>
        <w:gridCol w:w="4536"/>
        <w:gridCol w:w="1276"/>
        <w:gridCol w:w="1417"/>
        <w:gridCol w:w="1276"/>
      </w:tblGrid>
      <w:tr w:rsidR="00A33337" w:rsidTr="00A33337">
        <w:trPr>
          <w:trHeight w:val="300"/>
        </w:trPr>
        <w:tc>
          <w:tcPr>
            <w:tcW w:w="5387" w:type="dxa"/>
            <w:gridSpan w:val="3"/>
            <w:tcBorders>
              <w:top w:val="single" w:sz="4" w:space="0" w:color="auto"/>
              <w:left w:val="single" w:sz="4" w:space="0" w:color="auto"/>
              <w:bottom w:val="single" w:sz="4" w:space="0" w:color="auto"/>
              <w:right w:val="single" w:sz="4" w:space="0" w:color="000000"/>
            </w:tcBorders>
            <w:shd w:val="clear" w:color="D6A100" w:fill="C6E0B4"/>
            <w:noWrap/>
            <w:vAlign w:val="center"/>
            <w:hideMark/>
          </w:tcPr>
          <w:p w:rsidR="00A33337" w:rsidRDefault="00A33337">
            <w:pPr>
              <w:jc w:val="center"/>
              <w:rPr>
                <w:rFonts w:ascii="Calibri" w:hAnsi="Calibri" w:cs="Calibri"/>
                <w:color w:val="000000"/>
                <w:sz w:val="16"/>
                <w:szCs w:val="16"/>
              </w:rPr>
            </w:pPr>
            <w:r>
              <w:rPr>
                <w:rFonts w:ascii="Calibri" w:hAnsi="Calibri" w:cs="Calibri"/>
                <w:color w:val="000000"/>
                <w:sz w:val="16"/>
                <w:szCs w:val="16"/>
              </w:rPr>
              <w:t> </w:t>
            </w:r>
          </w:p>
        </w:tc>
        <w:tc>
          <w:tcPr>
            <w:tcW w:w="1276" w:type="dxa"/>
            <w:tcBorders>
              <w:top w:val="single" w:sz="4" w:space="0" w:color="auto"/>
              <w:left w:val="nil"/>
              <w:bottom w:val="single" w:sz="4" w:space="0" w:color="auto"/>
              <w:right w:val="single" w:sz="4" w:space="0" w:color="auto"/>
            </w:tcBorders>
            <w:shd w:val="clear" w:color="D6A100" w:fill="C6E0B4"/>
            <w:noWrap/>
            <w:vAlign w:val="center"/>
            <w:hideMark/>
          </w:tcPr>
          <w:p w:rsidR="00A33337" w:rsidRDefault="00A33337">
            <w:pPr>
              <w:jc w:val="center"/>
              <w:rPr>
                <w:rFonts w:ascii="Calibri" w:hAnsi="Calibri" w:cs="Calibri"/>
                <w:color w:val="000000"/>
                <w:sz w:val="16"/>
                <w:szCs w:val="16"/>
              </w:rPr>
            </w:pPr>
            <w:r>
              <w:rPr>
                <w:rFonts w:ascii="Calibri" w:hAnsi="Calibri" w:cs="Calibri"/>
                <w:color w:val="000000"/>
                <w:sz w:val="16"/>
                <w:szCs w:val="16"/>
              </w:rPr>
              <w:t>2020</w:t>
            </w:r>
          </w:p>
        </w:tc>
        <w:tc>
          <w:tcPr>
            <w:tcW w:w="1417" w:type="dxa"/>
            <w:tcBorders>
              <w:top w:val="single" w:sz="4" w:space="0" w:color="auto"/>
              <w:left w:val="nil"/>
              <w:bottom w:val="single" w:sz="4" w:space="0" w:color="auto"/>
              <w:right w:val="single" w:sz="4" w:space="0" w:color="auto"/>
            </w:tcBorders>
            <w:shd w:val="clear" w:color="D6A100" w:fill="C6E0B4"/>
            <w:noWrap/>
            <w:vAlign w:val="center"/>
            <w:hideMark/>
          </w:tcPr>
          <w:p w:rsidR="00A33337" w:rsidRDefault="00A33337">
            <w:pPr>
              <w:jc w:val="center"/>
              <w:rPr>
                <w:rFonts w:ascii="Calibri" w:hAnsi="Calibri" w:cs="Calibri"/>
                <w:color w:val="000000"/>
                <w:sz w:val="16"/>
                <w:szCs w:val="16"/>
              </w:rPr>
            </w:pPr>
            <w:r>
              <w:rPr>
                <w:rFonts w:ascii="Calibri" w:hAnsi="Calibri" w:cs="Calibri"/>
                <w:color w:val="000000"/>
                <w:sz w:val="16"/>
                <w:szCs w:val="16"/>
              </w:rPr>
              <w:t>2021</w:t>
            </w:r>
          </w:p>
        </w:tc>
        <w:tc>
          <w:tcPr>
            <w:tcW w:w="1276" w:type="dxa"/>
            <w:tcBorders>
              <w:top w:val="single" w:sz="4" w:space="0" w:color="auto"/>
              <w:left w:val="nil"/>
              <w:bottom w:val="single" w:sz="4" w:space="0" w:color="auto"/>
              <w:right w:val="single" w:sz="4" w:space="0" w:color="auto"/>
            </w:tcBorders>
            <w:shd w:val="clear" w:color="D6A100" w:fill="C6E0B4"/>
            <w:noWrap/>
            <w:vAlign w:val="center"/>
            <w:hideMark/>
          </w:tcPr>
          <w:p w:rsidR="00A33337" w:rsidRDefault="00A33337">
            <w:pPr>
              <w:jc w:val="center"/>
              <w:rPr>
                <w:rFonts w:ascii="Calibri" w:hAnsi="Calibri" w:cs="Calibri"/>
                <w:color w:val="000000"/>
                <w:sz w:val="16"/>
                <w:szCs w:val="16"/>
              </w:rPr>
            </w:pPr>
            <w:r>
              <w:rPr>
                <w:rFonts w:ascii="Calibri" w:hAnsi="Calibri" w:cs="Calibri"/>
                <w:color w:val="000000"/>
                <w:sz w:val="16"/>
                <w:szCs w:val="16"/>
              </w:rPr>
              <w:t>2022</w:t>
            </w:r>
          </w:p>
        </w:tc>
      </w:tr>
      <w:tr w:rsidR="00A33337" w:rsidTr="00A33337">
        <w:trPr>
          <w:trHeight w:val="300"/>
        </w:trPr>
        <w:tc>
          <w:tcPr>
            <w:tcW w:w="5387" w:type="dxa"/>
            <w:gridSpan w:val="3"/>
            <w:tcBorders>
              <w:top w:val="single" w:sz="4" w:space="0" w:color="auto"/>
              <w:left w:val="single" w:sz="4" w:space="0" w:color="auto"/>
              <w:bottom w:val="single" w:sz="4" w:space="0" w:color="auto"/>
              <w:right w:val="single" w:sz="4" w:space="0" w:color="auto"/>
            </w:tcBorders>
            <w:shd w:val="clear" w:color="000000" w:fill="A9D08E"/>
            <w:vAlign w:val="center"/>
            <w:hideMark/>
          </w:tcPr>
          <w:p w:rsidR="00A33337" w:rsidRDefault="00A33337">
            <w:pPr>
              <w:rPr>
                <w:rFonts w:ascii="Calibri" w:hAnsi="Calibri" w:cs="Calibri"/>
                <w:b/>
                <w:bCs/>
                <w:color w:val="000000"/>
                <w:sz w:val="16"/>
                <w:szCs w:val="16"/>
              </w:rPr>
            </w:pPr>
            <w:r>
              <w:rPr>
                <w:rFonts w:ascii="Calibri" w:hAnsi="Calibri" w:cs="Calibri"/>
                <w:b/>
                <w:bCs/>
                <w:color w:val="000000"/>
                <w:sz w:val="16"/>
                <w:szCs w:val="16"/>
              </w:rPr>
              <w:t>Neinvestiční transfery veřejnoprávním subjektům a platby daní</w:t>
            </w:r>
          </w:p>
        </w:tc>
        <w:tc>
          <w:tcPr>
            <w:tcW w:w="1276" w:type="dxa"/>
            <w:tcBorders>
              <w:top w:val="nil"/>
              <w:left w:val="nil"/>
              <w:bottom w:val="single" w:sz="4" w:space="0" w:color="auto"/>
              <w:right w:val="single" w:sz="4" w:space="0" w:color="auto"/>
            </w:tcBorders>
            <w:shd w:val="clear" w:color="000000" w:fill="A9D08E"/>
            <w:noWrap/>
            <w:vAlign w:val="center"/>
            <w:hideMark/>
          </w:tcPr>
          <w:p w:rsidR="00A33337" w:rsidRDefault="00A33337">
            <w:pPr>
              <w:jc w:val="right"/>
              <w:rPr>
                <w:rFonts w:ascii="Calibri" w:hAnsi="Calibri" w:cs="Calibri"/>
                <w:b/>
                <w:bCs/>
                <w:color w:val="000000"/>
                <w:sz w:val="16"/>
                <w:szCs w:val="16"/>
              </w:rPr>
            </w:pPr>
            <w:r>
              <w:rPr>
                <w:rFonts w:ascii="Calibri" w:hAnsi="Calibri" w:cs="Calibri"/>
                <w:b/>
                <w:bCs/>
                <w:color w:val="000000"/>
                <w:sz w:val="16"/>
                <w:szCs w:val="16"/>
              </w:rPr>
              <w:t>151 101 777,06</w:t>
            </w:r>
          </w:p>
        </w:tc>
        <w:tc>
          <w:tcPr>
            <w:tcW w:w="1417" w:type="dxa"/>
            <w:tcBorders>
              <w:top w:val="nil"/>
              <w:left w:val="nil"/>
              <w:bottom w:val="single" w:sz="4" w:space="0" w:color="auto"/>
              <w:right w:val="single" w:sz="4" w:space="0" w:color="auto"/>
            </w:tcBorders>
            <w:shd w:val="clear" w:color="000000" w:fill="A9D08E"/>
            <w:noWrap/>
            <w:vAlign w:val="center"/>
            <w:hideMark/>
          </w:tcPr>
          <w:p w:rsidR="00A33337" w:rsidRDefault="00A33337">
            <w:pPr>
              <w:jc w:val="right"/>
              <w:rPr>
                <w:rFonts w:ascii="Calibri" w:hAnsi="Calibri" w:cs="Calibri"/>
                <w:b/>
                <w:bCs/>
                <w:color w:val="000000"/>
                <w:sz w:val="16"/>
                <w:szCs w:val="16"/>
              </w:rPr>
            </w:pPr>
            <w:r>
              <w:rPr>
                <w:rFonts w:ascii="Calibri" w:hAnsi="Calibri" w:cs="Calibri"/>
                <w:b/>
                <w:bCs/>
                <w:color w:val="000000"/>
                <w:sz w:val="16"/>
                <w:szCs w:val="16"/>
              </w:rPr>
              <w:t>179 153 594,32</w:t>
            </w:r>
          </w:p>
        </w:tc>
        <w:tc>
          <w:tcPr>
            <w:tcW w:w="1276" w:type="dxa"/>
            <w:tcBorders>
              <w:top w:val="nil"/>
              <w:left w:val="nil"/>
              <w:bottom w:val="single" w:sz="4" w:space="0" w:color="auto"/>
              <w:right w:val="single" w:sz="4" w:space="0" w:color="auto"/>
            </w:tcBorders>
            <w:shd w:val="clear" w:color="000000" w:fill="A9D08E"/>
            <w:noWrap/>
            <w:vAlign w:val="center"/>
            <w:hideMark/>
          </w:tcPr>
          <w:p w:rsidR="00A33337" w:rsidRDefault="00A33337">
            <w:pPr>
              <w:jc w:val="right"/>
              <w:rPr>
                <w:rFonts w:ascii="Calibri" w:hAnsi="Calibri" w:cs="Calibri"/>
                <w:b/>
                <w:bCs/>
                <w:color w:val="000000"/>
                <w:sz w:val="16"/>
                <w:szCs w:val="16"/>
              </w:rPr>
            </w:pPr>
            <w:r>
              <w:rPr>
                <w:rFonts w:ascii="Calibri" w:hAnsi="Calibri" w:cs="Calibri"/>
                <w:b/>
                <w:bCs/>
                <w:color w:val="000000"/>
                <w:sz w:val="16"/>
                <w:szCs w:val="16"/>
              </w:rPr>
              <w:t>175 301 897,75</w:t>
            </w:r>
          </w:p>
        </w:tc>
      </w:tr>
      <w:tr w:rsidR="00A33337" w:rsidTr="00A33337">
        <w:trPr>
          <w:trHeight w:val="300"/>
        </w:trPr>
        <w:tc>
          <w:tcPr>
            <w:tcW w:w="384" w:type="dxa"/>
            <w:tcBorders>
              <w:top w:val="nil"/>
              <w:left w:val="single" w:sz="4" w:space="0" w:color="auto"/>
              <w:bottom w:val="single" w:sz="4" w:space="0" w:color="auto"/>
              <w:right w:val="single" w:sz="4" w:space="0" w:color="auto"/>
            </w:tcBorders>
            <w:shd w:val="clear" w:color="FFF2CC" w:fill="E2EFDA"/>
            <w:noWrap/>
            <w:vAlign w:val="center"/>
            <w:hideMark/>
          </w:tcPr>
          <w:p w:rsidR="00A33337" w:rsidRDefault="00A33337">
            <w:pPr>
              <w:jc w:val="right"/>
              <w:rPr>
                <w:rFonts w:ascii="Calibri" w:hAnsi="Calibri" w:cs="Calibri"/>
                <w:color w:val="000000"/>
                <w:sz w:val="16"/>
                <w:szCs w:val="16"/>
              </w:rPr>
            </w:pPr>
            <w:r>
              <w:rPr>
                <w:rFonts w:ascii="Calibri" w:hAnsi="Calibri" w:cs="Calibri"/>
                <w:color w:val="000000"/>
                <w:sz w:val="16"/>
                <w:szCs w:val="16"/>
              </w:rPr>
              <w:t>532</w:t>
            </w:r>
          </w:p>
        </w:tc>
        <w:tc>
          <w:tcPr>
            <w:tcW w:w="5003" w:type="dxa"/>
            <w:gridSpan w:val="2"/>
            <w:tcBorders>
              <w:top w:val="single" w:sz="4" w:space="0" w:color="auto"/>
              <w:left w:val="nil"/>
              <w:bottom w:val="single" w:sz="4" w:space="0" w:color="auto"/>
              <w:right w:val="single" w:sz="4" w:space="0" w:color="000000"/>
            </w:tcBorders>
            <w:shd w:val="clear" w:color="FFF2CC" w:fill="E2EFDA"/>
            <w:noWrap/>
            <w:vAlign w:val="center"/>
            <w:hideMark/>
          </w:tcPr>
          <w:p w:rsidR="00A33337" w:rsidRDefault="00A33337">
            <w:pPr>
              <w:rPr>
                <w:rFonts w:ascii="Calibri" w:hAnsi="Calibri" w:cs="Calibri"/>
                <w:color w:val="000000"/>
                <w:sz w:val="16"/>
                <w:szCs w:val="16"/>
              </w:rPr>
            </w:pPr>
            <w:r>
              <w:rPr>
                <w:rFonts w:ascii="Calibri" w:hAnsi="Calibri" w:cs="Calibri"/>
                <w:color w:val="000000"/>
                <w:sz w:val="16"/>
                <w:szCs w:val="16"/>
              </w:rPr>
              <w:t>Neinvestiční transfery veřejným rozpočtům územní úrovně</w:t>
            </w:r>
          </w:p>
        </w:tc>
        <w:tc>
          <w:tcPr>
            <w:tcW w:w="1276" w:type="dxa"/>
            <w:tcBorders>
              <w:top w:val="nil"/>
              <w:left w:val="nil"/>
              <w:bottom w:val="single" w:sz="4" w:space="0" w:color="auto"/>
              <w:right w:val="single" w:sz="4" w:space="0" w:color="auto"/>
            </w:tcBorders>
            <w:shd w:val="clear" w:color="FFF2CC" w:fill="E2EFDA"/>
            <w:noWrap/>
            <w:vAlign w:val="center"/>
            <w:hideMark/>
          </w:tcPr>
          <w:p w:rsidR="00A33337" w:rsidRDefault="00A33337">
            <w:pPr>
              <w:jc w:val="right"/>
              <w:rPr>
                <w:rFonts w:ascii="Calibri" w:hAnsi="Calibri" w:cs="Calibri"/>
                <w:color w:val="000000"/>
                <w:sz w:val="16"/>
                <w:szCs w:val="16"/>
              </w:rPr>
            </w:pPr>
            <w:r>
              <w:rPr>
                <w:rFonts w:ascii="Calibri" w:hAnsi="Calibri" w:cs="Calibri"/>
                <w:color w:val="000000"/>
                <w:sz w:val="16"/>
                <w:szCs w:val="16"/>
              </w:rPr>
              <w:t>230 953,00</w:t>
            </w:r>
          </w:p>
        </w:tc>
        <w:tc>
          <w:tcPr>
            <w:tcW w:w="1417" w:type="dxa"/>
            <w:tcBorders>
              <w:top w:val="nil"/>
              <w:left w:val="nil"/>
              <w:bottom w:val="single" w:sz="4" w:space="0" w:color="auto"/>
              <w:right w:val="single" w:sz="4" w:space="0" w:color="auto"/>
            </w:tcBorders>
            <w:shd w:val="clear" w:color="FFF2CC" w:fill="E2EFDA"/>
            <w:noWrap/>
            <w:vAlign w:val="center"/>
            <w:hideMark/>
          </w:tcPr>
          <w:p w:rsidR="00A33337" w:rsidRDefault="00A33337">
            <w:pPr>
              <w:jc w:val="right"/>
              <w:rPr>
                <w:rFonts w:ascii="Calibri" w:hAnsi="Calibri" w:cs="Calibri"/>
                <w:color w:val="000000"/>
                <w:sz w:val="16"/>
                <w:szCs w:val="16"/>
              </w:rPr>
            </w:pPr>
            <w:r>
              <w:rPr>
                <w:rFonts w:ascii="Calibri" w:hAnsi="Calibri" w:cs="Calibri"/>
                <w:color w:val="000000"/>
                <w:sz w:val="16"/>
                <w:szCs w:val="16"/>
              </w:rPr>
              <w:t>1 630 143,00</w:t>
            </w:r>
          </w:p>
        </w:tc>
        <w:tc>
          <w:tcPr>
            <w:tcW w:w="1276" w:type="dxa"/>
            <w:tcBorders>
              <w:top w:val="nil"/>
              <w:left w:val="nil"/>
              <w:bottom w:val="single" w:sz="4" w:space="0" w:color="auto"/>
              <w:right w:val="single" w:sz="4" w:space="0" w:color="auto"/>
            </w:tcBorders>
            <w:shd w:val="clear" w:color="FFF2CC" w:fill="E2EFDA"/>
            <w:noWrap/>
            <w:vAlign w:val="center"/>
            <w:hideMark/>
          </w:tcPr>
          <w:p w:rsidR="00A33337" w:rsidRDefault="00A33337">
            <w:pPr>
              <w:jc w:val="right"/>
              <w:rPr>
                <w:rFonts w:ascii="Calibri" w:hAnsi="Calibri" w:cs="Calibri"/>
                <w:color w:val="000000"/>
                <w:sz w:val="16"/>
                <w:szCs w:val="16"/>
              </w:rPr>
            </w:pPr>
            <w:r>
              <w:rPr>
                <w:rFonts w:ascii="Calibri" w:hAnsi="Calibri" w:cs="Calibri"/>
                <w:color w:val="000000"/>
                <w:sz w:val="16"/>
                <w:szCs w:val="16"/>
              </w:rPr>
              <w:t>1 129 165,00</w:t>
            </w:r>
          </w:p>
        </w:tc>
      </w:tr>
      <w:tr w:rsidR="00A33337" w:rsidTr="00A33337">
        <w:trPr>
          <w:trHeight w:val="300"/>
        </w:trPr>
        <w:tc>
          <w:tcPr>
            <w:tcW w:w="3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3337" w:rsidRDefault="00A33337">
            <w:pPr>
              <w:jc w:val="center"/>
              <w:rPr>
                <w:rFonts w:ascii="Calibri" w:hAnsi="Calibri" w:cs="Calibri"/>
                <w:color w:val="000000"/>
                <w:sz w:val="16"/>
                <w:szCs w:val="16"/>
              </w:rPr>
            </w:pPr>
            <w:r>
              <w:rPr>
                <w:rFonts w:ascii="Calibri" w:hAnsi="Calibri" w:cs="Calibri"/>
                <w:color w:val="000000"/>
                <w:sz w:val="16"/>
                <w:szCs w:val="16"/>
              </w:rPr>
              <w:t> </w:t>
            </w:r>
          </w:p>
        </w:tc>
        <w:tc>
          <w:tcPr>
            <w:tcW w:w="467" w:type="dxa"/>
            <w:tcBorders>
              <w:top w:val="nil"/>
              <w:left w:val="nil"/>
              <w:bottom w:val="single" w:sz="4" w:space="0" w:color="auto"/>
              <w:right w:val="single" w:sz="4" w:space="0" w:color="auto"/>
            </w:tcBorders>
            <w:shd w:val="clear" w:color="auto" w:fill="auto"/>
            <w:noWrap/>
            <w:vAlign w:val="center"/>
            <w:hideMark/>
          </w:tcPr>
          <w:p w:rsidR="00A33337" w:rsidRDefault="00A33337">
            <w:pPr>
              <w:jc w:val="center"/>
              <w:rPr>
                <w:rFonts w:ascii="Calibri" w:hAnsi="Calibri" w:cs="Calibri"/>
                <w:color w:val="000000"/>
                <w:sz w:val="16"/>
                <w:szCs w:val="16"/>
              </w:rPr>
            </w:pPr>
            <w:r>
              <w:rPr>
                <w:rFonts w:ascii="Calibri" w:hAnsi="Calibri" w:cs="Calibri"/>
                <w:color w:val="000000"/>
                <w:sz w:val="16"/>
                <w:szCs w:val="16"/>
              </w:rPr>
              <w:t>5321</w:t>
            </w:r>
          </w:p>
        </w:tc>
        <w:tc>
          <w:tcPr>
            <w:tcW w:w="4536" w:type="dxa"/>
            <w:tcBorders>
              <w:top w:val="nil"/>
              <w:left w:val="nil"/>
              <w:bottom w:val="single" w:sz="4" w:space="0" w:color="auto"/>
              <w:right w:val="single" w:sz="4" w:space="0" w:color="auto"/>
            </w:tcBorders>
            <w:shd w:val="clear" w:color="auto" w:fill="auto"/>
            <w:vAlign w:val="center"/>
            <w:hideMark/>
          </w:tcPr>
          <w:p w:rsidR="00A33337" w:rsidRDefault="00A33337">
            <w:pPr>
              <w:rPr>
                <w:rFonts w:ascii="Calibri" w:hAnsi="Calibri" w:cs="Calibri"/>
                <w:color w:val="000000"/>
                <w:sz w:val="16"/>
                <w:szCs w:val="16"/>
              </w:rPr>
            </w:pPr>
            <w:r>
              <w:rPr>
                <w:rFonts w:ascii="Calibri" w:hAnsi="Calibri" w:cs="Calibri"/>
                <w:color w:val="000000"/>
                <w:sz w:val="16"/>
                <w:szCs w:val="16"/>
              </w:rPr>
              <w:t>Neinvestiční transfery obcím</w:t>
            </w:r>
          </w:p>
        </w:tc>
        <w:tc>
          <w:tcPr>
            <w:tcW w:w="1276" w:type="dxa"/>
            <w:tcBorders>
              <w:top w:val="nil"/>
              <w:left w:val="nil"/>
              <w:bottom w:val="single" w:sz="4" w:space="0" w:color="auto"/>
              <w:right w:val="single" w:sz="4" w:space="0" w:color="auto"/>
            </w:tcBorders>
            <w:shd w:val="clear" w:color="auto" w:fill="auto"/>
            <w:noWrap/>
            <w:vAlign w:val="center"/>
            <w:hideMark/>
          </w:tcPr>
          <w:p w:rsidR="00A33337" w:rsidRDefault="00A33337">
            <w:pPr>
              <w:jc w:val="right"/>
              <w:rPr>
                <w:rFonts w:ascii="Calibri" w:hAnsi="Calibri" w:cs="Calibri"/>
                <w:color w:val="000000"/>
                <w:sz w:val="16"/>
                <w:szCs w:val="16"/>
              </w:rPr>
            </w:pPr>
            <w:r>
              <w:rPr>
                <w:rFonts w:ascii="Calibri" w:hAnsi="Calibri" w:cs="Calibri"/>
                <w:color w:val="000000"/>
                <w:sz w:val="16"/>
                <w:szCs w:val="16"/>
              </w:rPr>
              <w:t>130 953,00</w:t>
            </w:r>
          </w:p>
        </w:tc>
        <w:tc>
          <w:tcPr>
            <w:tcW w:w="1417" w:type="dxa"/>
            <w:tcBorders>
              <w:top w:val="nil"/>
              <w:left w:val="nil"/>
              <w:bottom w:val="single" w:sz="4" w:space="0" w:color="auto"/>
              <w:right w:val="single" w:sz="4" w:space="0" w:color="auto"/>
            </w:tcBorders>
            <w:shd w:val="clear" w:color="auto" w:fill="auto"/>
            <w:noWrap/>
            <w:vAlign w:val="center"/>
            <w:hideMark/>
          </w:tcPr>
          <w:p w:rsidR="00A33337" w:rsidRDefault="00A33337">
            <w:pPr>
              <w:jc w:val="right"/>
              <w:rPr>
                <w:rFonts w:ascii="Calibri" w:hAnsi="Calibri" w:cs="Calibri"/>
                <w:color w:val="000000"/>
                <w:sz w:val="16"/>
                <w:szCs w:val="16"/>
              </w:rPr>
            </w:pPr>
            <w:r>
              <w:rPr>
                <w:rFonts w:ascii="Calibri" w:hAnsi="Calibri" w:cs="Calibri"/>
                <w:color w:val="000000"/>
                <w:sz w:val="16"/>
                <w:szCs w:val="16"/>
              </w:rPr>
              <w:t>130 143,00</w:t>
            </w:r>
          </w:p>
        </w:tc>
        <w:tc>
          <w:tcPr>
            <w:tcW w:w="1276" w:type="dxa"/>
            <w:tcBorders>
              <w:top w:val="nil"/>
              <w:left w:val="nil"/>
              <w:bottom w:val="single" w:sz="4" w:space="0" w:color="auto"/>
              <w:right w:val="single" w:sz="4" w:space="0" w:color="auto"/>
            </w:tcBorders>
            <w:shd w:val="clear" w:color="auto" w:fill="auto"/>
            <w:noWrap/>
            <w:vAlign w:val="center"/>
            <w:hideMark/>
          </w:tcPr>
          <w:p w:rsidR="00A33337" w:rsidRDefault="00A33337">
            <w:pPr>
              <w:jc w:val="right"/>
              <w:rPr>
                <w:rFonts w:ascii="Calibri" w:hAnsi="Calibri" w:cs="Calibri"/>
                <w:color w:val="000000"/>
                <w:sz w:val="16"/>
                <w:szCs w:val="16"/>
              </w:rPr>
            </w:pPr>
            <w:r>
              <w:rPr>
                <w:rFonts w:ascii="Calibri" w:hAnsi="Calibri" w:cs="Calibri"/>
                <w:color w:val="000000"/>
                <w:sz w:val="16"/>
                <w:szCs w:val="16"/>
              </w:rPr>
              <w:t>1 129 165,00</w:t>
            </w:r>
          </w:p>
        </w:tc>
      </w:tr>
      <w:tr w:rsidR="00A33337" w:rsidTr="00A33337">
        <w:trPr>
          <w:trHeight w:val="300"/>
        </w:trPr>
        <w:tc>
          <w:tcPr>
            <w:tcW w:w="384" w:type="dxa"/>
            <w:vMerge/>
            <w:tcBorders>
              <w:top w:val="nil"/>
              <w:left w:val="single" w:sz="4" w:space="0" w:color="auto"/>
              <w:bottom w:val="single" w:sz="4" w:space="0" w:color="000000"/>
              <w:right w:val="single" w:sz="4" w:space="0" w:color="auto"/>
            </w:tcBorders>
            <w:vAlign w:val="center"/>
            <w:hideMark/>
          </w:tcPr>
          <w:p w:rsidR="00A33337" w:rsidRDefault="00A33337">
            <w:pPr>
              <w:rPr>
                <w:rFonts w:ascii="Calibri" w:hAnsi="Calibri" w:cs="Calibri"/>
                <w:color w:val="000000"/>
                <w:sz w:val="16"/>
                <w:szCs w:val="16"/>
              </w:rPr>
            </w:pPr>
          </w:p>
        </w:tc>
        <w:tc>
          <w:tcPr>
            <w:tcW w:w="467" w:type="dxa"/>
            <w:tcBorders>
              <w:top w:val="nil"/>
              <w:left w:val="nil"/>
              <w:bottom w:val="single" w:sz="4" w:space="0" w:color="auto"/>
              <w:right w:val="single" w:sz="4" w:space="0" w:color="auto"/>
            </w:tcBorders>
            <w:shd w:val="clear" w:color="auto" w:fill="auto"/>
            <w:noWrap/>
            <w:vAlign w:val="center"/>
            <w:hideMark/>
          </w:tcPr>
          <w:p w:rsidR="00A33337" w:rsidRDefault="00A33337">
            <w:pPr>
              <w:jc w:val="center"/>
              <w:rPr>
                <w:rFonts w:ascii="Calibri" w:hAnsi="Calibri" w:cs="Calibri"/>
                <w:color w:val="000000"/>
                <w:sz w:val="16"/>
                <w:szCs w:val="16"/>
              </w:rPr>
            </w:pPr>
            <w:r>
              <w:rPr>
                <w:rFonts w:ascii="Calibri" w:hAnsi="Calibri" w:cs="Calibri"/>
                <w:color w:val="000000"/>
                <w:sz w:val="16"/>
                <w:szCs w:val="16"/>
              </w:rPr>
              <w:t>5323</w:t>
            </w:r>
          </w:p>
        </w:tc>
        <w:tc>
          <w:tcPr>
            <w:tcW w:w="4536" w:type="dxa"/>
            <w:tcBorders>
              <w:top w:val="nil"/>
              <w:left w:val="nil"/>
              <w:bottom w:val="single" w:sz="4" w:space="0" w:color="auto"/>
              <w:right w:val="single" w:sz="4" w:space="0" w:color="auto"/>
            </w:tcBorders>
            <w:shd w:val="clear" w:color="auto" w:fill="auto"/>
            <w:vAlign w:val="center"/>
            <w:hideMark/>
          </w:tcPr>
          <w:p w:rsidR="00A33337" w:rsidRDefault="00A33337">
            <w:pPr>
              <w:rPr>
                <w:rFonts w:ascii="Calibri" w:hAnsi="Calibri" w:cs="Calibri"/>
                <w:color w:val="000000"/>
                <w:sz w:val="16"/>
                <w:szCs w:val="16"/>
              </w:rPr>
            </w:pPr>
            <w:r>
              <w:rPr>
                <w:rFonts w:ascii="Calibri" w:hAnsi="Calibri" w:cs="Calibri"/>
                <w:color w:val="000000"/>
                <w:sz w:val="16"/>
                <w:szCs w:val="16"/>
              </w:rPr>
              <w:t>Neinvestiční transfery krajům</w:t>
            </w:r>
          </w:p>
        </w:tc>
        <w:tc>
          <w:tcPr>
            <w:tcW w:w="1276" w:type="dxa"/>
            <w:tcBorders>
              <w:top w:val="nil"/>
              <w:left w:val="nil"/>
              <w:bottom w:val="single" w:sz="4" w:space="0" w:color="auto"/>
              <w:right w:val="single" w:sz="4" w:space="0" w:color="auto"/>
            </w:tcBorders>
            <w:shd w:val="clear" w:color="auto" w:fill="auto"/>
            <w:noWrap/>
            <w:vAlign w:val="center"/>
            <w:hideMark/>
          </w:tcPr>
          <w:p w:rsidR="00A33337" w:rsidRDefault="00A33337">
            <w:pPr>
              <w:jc w:val="right"/>
              <w:rPr>
                <w:rFonts w:ascii="Calibri" w:hAnsi="Calibri" w:cs="Calibri"/>
                <w:color w:val="000000"/>
                <w:sz w:val="16"/>
                <w:szCs w:val="16"/>
              </w:rPr>
            </w:pPr>
            <w:r>
              <w:rPr>
                <w:rFonts w:ascii="Calibri" w:hAnsi="Calibri" w:cs="Calibri"/>
                <w:color w:val="000000"/>
                <w:sz w:val="16"/>
                <w:szCs w:val="16"/>
              </w:rPr>
              <w:t>100 000,00</w:t>
            </w:r>
          </w:p>
        </w:tc>
        <w:tc>
          <w:tcPr>
            <w:tcW w:w="1417" w:type="dxa"/>
            <w:tcBorders>
              <w:top w:val="nil"/>
              <w:left w:val="nil"/>
              <w:bottom w:val="single" w:sz="4" w:space="0" w:color="auto"/>
              <w:right w:val="single" w:sz="4" w:space="0" w:color="auto"/>
            </w:tcBorders>
            <w:shd w:val="clear" w:color="auto" w:fill="auto"/>
            <w:noWrap/>
            <w:vAlign w:val="center"/>
            <w:hideMark/>
          </w:tcPr>
          <w:p w:rsidR="00A33337" w:rsidRDefault="00A33337">
            <w:pPr>
              <w:jc w:val="right"/>
              <w:rPr>
                <w:rFonts w:ascii="Calibri" w:hAnsi="Calibri" w:cs="Calibri"/>
                <w:color w:val="000000"/>
                <w:sz w:val="16"/>
                <w:szCs w:val="16"/>
              </w:rPr>
            </w:pPr>
            <w:r>
              <w:rPr>
                <w:rFonts w:ascii="Calibri" w:hAnsi="Calibri" w:cs="Calibri"/>
                <w:color w:val="000000"/>
                <w:sz w:val="16"/>
                <w:szCs w:val="16"/>
              </w:rPr>
              <w:t>1 500 000,00</w:t>
            </w:r>
          </w:p>
        </w:tc>
        <w:tc>
          <w:tcPr>
            <w:tcW w:w="1276" w:type="dxa"/>
            <w:tcBorders>
              <w:top w:val="nil"/>
              <w:left w:val="nil"/>
              <w:bottom w:val="single" w:sz="4" w:space="0" w:color="auto"/>
              <w:right w:val="single" w:sz="4" w:space="0" w:color="auto"/>
            </w:tcBorders>
            <w:shd w:val="clear" w:color="auto" w:fill="auto"/>
            <w:noWrap/>
            <w:vAlign w:val="center"/>
            <w:hideMark/>
          </w:tcPr>
          <w:p w:rsidR="00A33337" w:rsidRDefault="00A33337">
            <w:pPr>
              <w:jc w:val="right"/>
              <w:rPr>
                <w:rFonts w:ascii="Calibri" w:hAnsi="Calibri" w:cs="Calibri"/>
                <w:color w:val="000000"/>
                <w:sz w:val="16"/>
                <w:szCs w:val="16"/>
              </w:rPr>
            </w:pPr>
            <w:r>
              <w:rPr>
                <w:rFonts w:ascii="Calibri" w:hAnsi="Calibri" w:cs="Calibri"/>
                <w:color w:val="000000"/>
                <w:sz w:val="16"/>
                <w:szCs w:val="16"/>
              </w:rPr>
              <w:t>0,00</w:t>
            </w:r>
          </w:p>
        </w:tc>
      </w:tr>
      <w:tr w:rsidR="00A33337" w:rsidTr="00A33337">
        <w:trPr>
          <w:trHeight w:val="300"/>
        </w:trPr>
        <w:tc>
          <w:tcPr>
            <w:tcW w:w="384" w:type="dxa"/>
            <w:tcBorders>
              <w:top w:val="nil"/>
              <w:left w:val="single" w:sz="4" w:space="0" w:color="auto"/>
              <w:bottom w:val="single" w:sz="4" w:space="0" w:color="auto"/>
              <w:right w:val="single" w:sz="4" w:space="0" w:color="auto"/>
            </w:tcBorders>
            <w:shd w:val="clear" w:color="FFF2CC" w:fill="E2EFDA"/>
            <w:noWrap/>
            <w:vAlign w:val="center"/>
            <w:hideMark/>
          </w:tcPr>
          <w:p w:rsidR="00A33337" w:rsidRDefault="00A33337">
            <w:pPr>
              <w:jc w:val="right"/>
              <w:rPr>
                <w:rFonts w:ascii="Calibri" w:hAnsi="Calibri" w:cs="Calibri"/>
                <w:color w:val="000000"/>
                <w:sz w:val="16"/>
                <w:szCs w:val="16"/>
              </w:rPr>
            </w:pPr>
            <w:r>
              <w:rPr>
                <w:rFonts w:ascii="Calibri" w:hAnsi="Calibri" w:cs="Calibri"/>
                <w:color w:val="000000"/>
                <w:sz w:val="16"/>
                <w:szCs w:val="16"/>
              </w:rPr>
              <w:t>533</w:t>
            </w:r>
          </w:p>
        </w:tc>
        <w:tc>
          <w:tcPr>
            <w:tcW w:w="5003" w:type="dxa"/>
            <w:gridSpan w:val="2"/>
            <w:tcBorders>
              <w:top w:val="single" w:sz="4" w:space="0" w:color="auto"/>
              <w:left w:val="nil"/>
              <w:bottom w:val="single" w:sz="4" w:space="0" w:color="auto"/>
              <w:right w:val="single" w:sz="4" w:space="0" w:color="000000"/>
            </w:tcBorders>
            <w:shd w:val="clear" w:color="FFF2CC" w:fill="E2EFDA"/>
            <w:noWrap/>
            <w:vAlign w:val="center"/>
            <w:hideMark/>
          </w:tcPr>
          <w:p w:rsidR="00A33337" w:rsidRDefault="00A33337">
            <w:pPr>
              <w:rPr>
                <w:rFonts w:ascii="Calibri" w:hAnsi="Calibri" w:cs="Calibri"/>
                <w:color w:val="000000"/>
                <w:sz w:val="16"/>
                <w:szCs w:val="16"/>
              </w:rPr>
            </w:pPr>
            <w:r>
              <w:rPr>
                <w:rFonts w:ascii="Calibri" w:hAnsi="Calibri" w:cs="Calibri"/>
                <w:color w:val="000000"/>
                <w:sz w:val="16"/>
                <w:szCs w:val="16"/>
              </w:rPr>
              <w:t>Neinvestiční transfery příspěvkovým a podobným organizacím</w:t>
            </w:r>
          </w:p>
        </w:tc>
        <w:tc>
          <w:tcPr>
            <w:tcW w:w="1276" w:type="dxa"/>
            <w:tcBorders>
              <w:top w:val="nil"/>
              <w:left w:val="nil"/>
              <w:bottom w:val="single" w:sz="4" w:space="0" w:color="auto"/>
              <w:right w:val="single" w:sz="4" w:space="0" w:color="auto"/>
            </w:tcBorders>
            <w:shd w:val="clear" w:color="FFF2CC" w:fill="E2EFDA"/>
            <w:noWrap/>
            <w:vAlign w:val="center"/>
            <w:hideMark/>
          </w:tcPr>
          <w:p w:rsidR="00A33337" w:rsidRDefault="00A33337">
            <w:pPr>
              <w:jc w:val="right"/>
              <w:rPr>
                <w:rFonts w:ascii="Calibri" w:hAnsi="Calibri" w:cs="Calibri"/>
                <w:color w:val="000000"/>
                <w:sz w:val="16"/>
                <w:szCs w:val="16"/>
              </w:rPr>
            </w:pPr>
            <w:r>
              <w:rPr>
                <w:rFonts w:ascii="Calibri" w:hAnsi="Calibri" w:cs="Calibri"/>
                <w:color w:val="000000"/>
                <w:sz w:val="16"/>
                <w:szCs w:val="16"/>
              </w:rPr>
              <w:t>122 536 983,50</w:t>
            </w:r>
          </w:p>
        </w:tc>
        <w:tc>
          <w:tcPr>
            <w:tcW w:w="1417" w:type="dxa"/>
            <w:tcBorders>
              <w:top w:val="nil"/>
              <w:left w:val="nil"/>
              <w:bottom w:val="single" w:sz="4" w:space="0" w:color="auto"/>
              <w:right w:val="single" w:sz="4" w:space="0" w:color="auto"/>
            </w:tcBorders>
            <w:shd w:val="clear" w:color="FFF2CC" w:fill="E2EFDA"/>
            <w:noWrap/>
            <w:vAlign w:val="center"/>
            <w:hideMark/>
          </w:tcPr>
          <w:p w:rsidR="00A33337" w:rsidRDefault="00A33337">
            <w:pPr>
              <w:jc w:val="right"/>
              <w:rPr>
                <w:rFonts w:ascii="Calibri" w:hAnsi="Calibri" w:cs="Calibri"/>
                <w:color w:val="000000"/>
                <w:sz w:val="16"/>
                <w:szCs w:val="16"/>
              </w:rPr>
            </w:pPr>
            <w:r>
              <w:rPr>
                <w:rFonts w:ascii="Calibri" w:hAnsi="Calibri" w:cs="Calibri"/>
                <w:color w:val="000000"/>
                <w:sz w:val="16"/>
                <w:szCs w:val="16"/>
              </w:rPr>
              <w:t>139 614 798,67</w:t>
            </w:r>
          </w:p>
        </w:tc>
        <w:tc>
          <w:tcPr>
            <w:tcW w:w="1276" w:type="dxa"/>
            <w:tcBorders>
              <w:top w:val="nil"/>
              <w:left w:val="nil"/>
              <w:bottom w:val="single" w:sz="4" w:space="0" w:color="auto"/>
              <w:right w:val="single" w:sz="4" w:space="0" w:color="auto"/>
            </w:tcBorders>
            <w:shd w:val="clear" w:color="FFF2CC" w:fill="E2EFDA"/>
            <w:noWrap/>
            <w:vAlign w:val="center"/>
            <w:hideMark/>
          </w:tcPr>
          <w:p w:rsidR="00A33337" w:rsidRDefault="00A33337">
            <w:pPr>
              <w:jc w:val="right"/>
              <w:rPr>
                <w:rFonts w:ascii="Calibri" w:hAnsi="Calibri" w:cs="Calibri"/>
                <w:color w:val="000000"/>
                <w:sz w:val="16"/>
                <w:szCs w:val="16"/>
              </w:rPr>
            </w:pPr>
            <w:r>
              <w:rPr>
                <w:rFonts w:ascii="Calibri" w:hAnsi="Calibri" w:cs="Calibri"/>
                <w:color w:val="000000"/>
                <w:sz w:val="16"/>
                <w:szCs w:val="16"/>
              </w:rPr>
              <w:t>143 120 759,84</w:t>
            </w:r>
          </w:p>
        </w:tc>
      </w:tr>
      <w:tr w:rsidR="00A33337" w:rsidTr="00A33337">
        <w:trPr>
          <w:trHeight w:val="300"/>
        </w:trPr>
        <w:tc>
          <w:tcPr>
            <w:tcW w:w="384" w:type="dxa"/>
            <w:vMerge w:val="restart"/>
            <w:tcBorders>
              <w:top w:val="nil"/>
              <w:left w:val="single" w:sz="4" w:space="0" w:color="auto"/>
              <w:bottom w:val="nil"/>
              <w:right w:val="single" w:sz="4" w:space="0" w:color="auto"/>
            </w:tcBorders>
            <w:shd w:val="clear" w:color="auto" w:fill="auto"/>
            <w:noWrap/>
            <w:vAlign w:val="center"/>
            <w:hideMark/>
          </w:tcPr>
          <w:p w:rsidR="00A33337" w:rsidRDefault="00A33337">
            <w:pPr>
              <w:jc w:val="center"/>
              <w:rPr>
                <w:rFonts w:ascii="Calibri" w:hAnsi="Calibri" w:cs="Calibri"/>
                <w:color w:val="000000"/>
                <w:sz w:val="16"/>
                <w:szCs w:val="16"/>
              </w:rPr>
            </w:pPr>
            <w:r>
              <w:rPr>
                <w:rFonts w:ascii="Calibri" w:hAnsi="Calibri" w:cs="Calibri"/>
                <w:color w:val="000000"/>
                <w:sz w:val="16"/>
                <w:szCs w:val="16"/>
              </w:rPr>
              <w:t> </w:t>
            </w:r>
          </w:p>
        </w:tc>
        <w:tc>
          <w:tcPr>
            <w:tcW w:w="467" w:type="dxa"/>
            <w:tcBorders>
              <w:top w:val="nil"/>
              <w:left w:val="nil"/>
              <w:bottom w:val="single" w:sz="4" w:space="0" w:color="auto"/>
              <w:right w:val="single" w:sz="4" w:space="0" w:color="auto"/>
            </w:tcBorders>
            <w:shd w:val="clear" w:color="auto" w:fill="auto"/>
            <w:noWrap/>
            <w:vAlign w:val="center"/>
            <w:hideMark/>
          </w:tcPr>
          <w:p w:rsidR="00A33337" w:rsidRDefault="00A33337">
            <w:pPr>
              <w:jc w:val="center"/>
              <w:rPr>
                <w:rFonts w:ascii="Calibri" w:hAnsi="Calibri" w:cs="Calibri"/>
                <w:color w:val="000000"/>
                <w:sz w:val="16"/>
                <w:szCs w:val="16"/>
              </w:rPr>
            </w:pPr>
            <w:r>
              <w:rPr>
                <w:rFonts w:ascii="Calibri" w:hAnsi="Calibri" w:cs="Calibri"/>
                <w:color w:val="000000"/>
                <w:sz w:val="16"/>
                <w:szCs w:val="16"/>
              </w:rPr>
              <w:t>5331</w:t>
            </w:r>
          </w:p>
        </w:tc>
        <w:tc>
          <w:tcPr>
            <w:tcW w:w="4536" w:type="dxa"/>
            <w:tcBorders>
              <w:top w:val="nil"/>
              <w:left w:val="nil"/>
              <w:bottom w:val="single" w:sz="4" w:space="0" w:color="auto"/>
              <w:right w:val="single" w:sz="4" w:space="0" w:color="auto"/>
            </w:tcBorders>
            <w:shd w:val="clear" w:color="auto" w:fill="auto"/>
            <w:vAlign w:val="center"/>
            <w:hideMark/>
          </w:tcPr>
          <w:p w:rsidR="00A33337" w:rsidRDefault="00A33337">
            <w:pPr>
              <w:rPr>
                <w:rFonts w:ascii="Calibri" w:hAnsi="Calibri" w:cs="Calibri"/>
                <w:color w:val="000000"/>
                <w:sz w:val="16"/>
                <w:szCs w:val="16"/>
              </w:rPr>
            </w:pPr>
            <w:r>
              <w:rPr>
                <w:rFonts w:ascii="Calibri" w:hAnsi="Calibri" w:cs="Calibri"/>
                <w:color w:val="000000"/>
                <w:sz w:val="16"/>
                <w:szCs w:val="16"/>
              </w:rPr>
              <w:t>Neinvestiční příspěvky zřízeným příspěvkovým organizacím</w:t>
            </w:r>
          </w:p>
        </w:tc>
        <w:tc>
          <w:tcPr>
            <w:tcW w:w="1276" w:type="dxa"/>
            <w:tcBorders>
              <w:top w:val="nil"/>
              <w:left w:val="nil"/>
              <w:bottom w:val="single" w:sz="4" w:space="0" w:color="auto"/>
              <w:right w:val="single" w:sz="4" w:space="0" w:color="auto"/>
            </w:tcBorders>
            <w:shd w:val="clear" w:color="auto" w:fill="auto"/>
            <w:noWrap/>
            <w:vAlign w:val="center"/>
            <w:hideMark/>
          </w:tcPr>
          <w:p w:rsidR="00A33337" w:rsidRDefault="00A33337">
            <w:pPr>
              <w:jc w:val="right"/>
              <w:rPr>
                <w:rFonts w:ascii="Calibri" w:hAnsi="Calibri" w:cs="Calibri"/>
                <w:color w:val="000000"/>
                <w:sz w:val="16"/>
                <w:szCs w:val="16"/>
              </w:rPr>
            </w:pPr>
            <w:r>
              <w:rPr>
                <w:rFonts w:ascii="Calibri" w:hAnsi="Calibri" w:cs="Calibri"/>
                <w:color w:val="000000"/>
                <w:sz w:val="16"/>
                <w:szCs w:val="16"/>
              </w:rPr>
              <w:t>110 639 000,01</w:t>
            </w:r>
          </w:p>
        </w:tc>
        <w:tc>
          <w:tcPr>
            <w:tcW w:w="1417" w:type="dxa"/>
            <w:tcBorders>
              <w:top w:val="nil"/>
              <w:left w:val="nil"/>
              <w:bottom w:val="single" w:sz="4" w:space="0" w:color="auto"/>
              <w:right w:val="single" w:sz="4" w:space="0" w:color="auto"/>
            </w:tcBorders>
            <w:shd w:val="clear" w:color="auto" w:fill="auto"/>
            <w:noWrap/>
            <w:vAlign w:val="center"/>
            <w:hideMark/>
          </w:tcPr>
          <w:p w:rsidR="00A33337" w:rsidRDefault="00A33337">
            <w:pPr>
              <w:jc w:val="right"/>
              <w:rPr>
                <w:rFonts w:ascii="Calibri" w:hAnsi="Calibri" w:cs="Calibri"/>
                <w:color w:val="000000"/>
                <w:sz w:val="16"/>
                <w:szCs w:val="16"/>
              </w:rPr>
            </w:pPr>
            <w:r>
              <w:rPr>
                <w:rFonts w:ascii="Calibri" w:hAnsi="Calibri" w:cs="Calibri"/>
                <w:color w:val="000000"/>
                <w:sz w:val="16"/>
                <w:szCs w:val="16"/>
              </w:rPr>
              <w:t>116 945 995,50</w:t>
            </w:r>
          </w:p>
        </w:tc>
        <w:tc>
          <w:tcPr>
            <w:tcW w:w="1276" w:type="dxa"/>
            <w:tcBorders>
              <w:top w:val="nil"/>
              <w:left w:val="nil"/>
              <w:bottom w:val="single" w:sz="4" w:space="0" w:color="auto"/>
              <w:right w:val="single" w:sz="4" w:space="0" w:color="auto"/>
            </w:tcBorders>
            <w:shd w:val="clear" w:color="auto" w:fill="auto"/>
            <w:noWrap/>
            <w:vAlign w:val="center"/>
            <w:hideMark/>
          </w:tcPr>
          <w:p w:rsidR="00A33337" w:rsidRDefault="00A33337">
            <w:pPr>
              <w:jc w:val="right"/>
              <w:rPr>
                <w:rFonts w:ascii="Calibri" w:hAnsi="Calibri" w:cs="Calibri"/>
                <w:color w:val="000000"/>
                <w:sz w:val="16"/>
                <w:szCs w:val="16"/>
              </w:rPr>
            </w:pPr>
            <w:r>
              <w:rPr>
                <w:rFonts w:ascii="Calibri" w:hAnsi="Calibri" w:cs="Calibri"/>
                <w:color w:val="000000"/>
                <w:sz w:val="16"/>
                <w:szCs w:val="16"/>
              </w:rPr>
              <w:t>126 762 638,60</w:t>
            </w:r>
          </w:p>
        </w:tc>
      </w:tr>
      <w:tr w:rsidR="00A33337" w:rsidTr="00A33337">
        <w:trPr>
          <w:trHeight w:val="300"/>
        </w:trPr>
        <w:tc>
          <w:tcPr>
            <w:tcW w:w="384" w:type="dxa"/>
            <w:vMerge/>
            <w:tcBorders>
              <w:top w:val="nil"/>
              <w:left w:val="single" w:sz="4" w:space="0" w:color="auto"/>
              <w:bottom w:val="nil"/>
              <w:right w:val="single" w:sz="4" w:space="0" w:color="auto"/>
            </w:tcBorders>
            <w:vAlign w:val="center"/>
            <w:hideMark/>
          </w:tcPr>
          <w:p w:rsidR="00A33337" w:rsidRDefault="00A33337">
            <w:pPr>
              <w:rPr>
                <w:rFonts w:ascii="Calibri" w:hAnsi="Calibri" w:cs="Calibri"/>
                <w:color w:val="000000"/>
                <w:sz w:val="16"/>
                <w:szCs w:val="16"/>
              </w:rPr>
            </w:pPr>
          </w:p>
        </w:tc>
        <w:tc>
          <w:tcPr>
            <w:tcW w:w="467" w:type="dxa"/>
            <w:tcBorders>
              <w:top w:val="nil"/>
              <w:left w:val="nil"/>
              <w:bottom w:val="single" w:sz="4" w:space="0" w:color="auto"/>
              <w:right w:val="single" w:sz="4" w:space="0" w:color="auto"/>
            </w:tcBorders>
            <w:shd w:val="clear" w:color="auto" w:fill="auto"/>
            <w:noWrap/>
            <w:vAlign w:val="center"/>
            <w:hideMark/>
          </w:tcPr>
          <w:p w:rsidR="00A33337" w:rsidRDefault="00A33337">
            <w:pPr>
              <w:jc w:val="center"/>
              <w:rPr>
                <w:rFonts w:ascii="Calibri" w:hAnsi="Calibri" w:cs="Calibri"/>
                <w:color w:val="000000"/>
                <w:sz w:val="16"/>
                <w:szCs w:val="16"/>
              </w:rPr>
            </w:pPr>
            <w:r>
              <w:rPr>
                <w:rFonts w:ascii="Calibri" w:hAnsi="Calibri" w:cs="Calibri"/>
                <w:color w:val="000000"/>
                <w:sz w:val="16"/>
                <w:szCs w:val="16"/>
              </w:rPr>
              <w:t>5336</w:t>
            </w:r>
          </w:p>
        </w:tc>
        <w:tc>
          <w:tcPr>
            <w:tcW w:w="4536" w:type="dxa"/>
            <w:tcBorders>
              <w:top w:val="nil"/>
              <w:left w:val="nil"/>
              <w:bottom w:val="single" w:sz="4" w:space="0" w:color="auto"/>
              <w:right w:val="single" w:sz="4" w:space="0" w:color="auto"/>
            </w:tcBorders>
            <w:shd w:val="clear" w:color="auto" w:fill="auto"/>
            <w:vAlign w:val="center"/>
            <w:hideMark/>
          </w:tcPr>
          <w:p w:rsidR="00A33337" w:rsidRDefault="00A33337">
            <w:pPr>
              <w:rPr>
                <w:rFonts w:ascii="Calibri" w:hAnsi="Calibri" w:cs="Calibri"/>
                <w:color w:val="000000"/>
                <w:sz w:val="16"/>
                <w:szCs w:val="16"/>
              </w:rPr>
            </w:pPr>
            <w:r>
              <w:rPr>
                <w:rFonts w:ascii="Calibri" w:hAnsi="Calibri" w:cs="Calibri"/>
                <w:color w:val="000000"/>
                <w:sz w:val="16"/>
                <w:szCs w:val="16"/>
              </w:rPr>
              <w:t>Neinvestiční transfery zřízeným příspěvkovým organizacím</w:t>
            </w:r>
          </w:p>
        </w:tc>
        <w:tc>
          <w:tcPr>
            <w:tcW w:w="1276" w:type="dxa"/>
            <w:tcBorders>
              <w:top w:val="nil"/>
              <w:left w:val="nil"/>
              <w:bottom w:val="single" w:sz="4" w:space="0" w:color="auto"/>
              <w:right w:val="single" w:sz="4" w:space="0" w:color="auto"/>
            </w:tcBorders>
            <w:shd w:val="clear" w:color="auto" w:fill="auto"/>
            <w:noWrap/>
            <w:vAlign w:val="center"/>
            <w:hideMark/>
          </w:tcPr>
          <w:p w:rsidR="00A33337" w:rsidRDefault="00A33337">
            <w:pPr>
              <w:jc w:val="right"/>
              <w:rPr>
                <w:rFonts w:ascii="Calibri" w:hAnsi="Calibri" w:cs="Calibri"/>
                <w:color w:val="000000"/>
                <w:sz w:val="16"/>
                <w:szCs w:val="16"/>
              </w:rPr>
            </w:pPr>
            <w:r>
              <w:rPr>
                <w:rFonts w:ascii="Calibri" w:hAnsi="Calibri" w:cs="Calibri"/>
                <w:color w:val="000000"/>
                <w:sz w:val="16"/>
                <w:szCs w:val="16"/>
              </w:rPr>
              <w:t>4 968 990,50</w:t>
            </w:r>
          </w:p>
        </w:tc>
        <w:tc>
          <w:tcPr>
            <w:tcW w:w="1417" w:type="dxa"/>
            <w:tcBorders>
              <w:top w:val="nil"/>
              <w:left w:val="nil"/>
              <w:bottom w:val="single" w:sz="4" w:space="0" w:color="auto"/>
              <w:right w:val="single" w:sz="4" w:space="0" w:color="auto"/>
            </w:tcBorders>
            <w:shd w:val="clear" w:color="auto" w:fill="auto"/>
            <w:noWrap/>
            <w:vAlign w:val="center"/>
            <w:hideMark/>
          </w:tcPr>
          <w:p w:rsidR="00A33337" w:rsidRDefault="00A33337">
            <w:pPr>
              <w:jc w:val="right"/>
              <w:rPr>
                <w:rFonts w:ascii="Calibri" w:hAnsi="Calibri" w:cs="Calibri"/>
                <w:color w:val="000000"/>
                <w:sz w:val="16"/>
                <w:szCs w:val="16"/>
              </w:rPr>
            </w:pPr>
            <w:r>
              <w:rPr>
                <w:rFonts w:ascii="Calibri" w:hAnsi="Calibri" w:cs="Calibri"/>
                <w:color w:val="000000"/>
                <w:sz w:val="16"/>
                <w:szCs w:val="16"/>
              </w:rPr>
              <w:t>15 459 649,17</w:t>
            </w:r>
          </w:p>
        </w:tc>
        <w:tc>
          <w:tcPr>
            <w:tcW w:w="1276" w:type="dxa"/>
            <w:tcBorders>
              <w:top w:val="nil"/>
              <w:left w:val="nil"/>
              <w:bottom w:val="single" w:sz="4" w:space="0" w:color="auto"/>
              <w:right w:val="single" w:sz="4" w:space="0" w:color="auto"/>
            </w:tcBorders>
            <w:shd w:val="clear" w:color="auto" w:fill="auto"/>
            <w:noWrap/>
            <w:vAlign w:val="center"/>
            <w:hideMark/>
          </w:tcPr>
          <w:p w:rsidR="00A33337" w:rsidRDefault="00A33337">
            <w:pPr>
              <w:jc w:val="right"/>
              <w:rPr>
                <w:rFonts w:ascii="Calibri" w:hAnsi="Calibri" w:cs="Calibri"/>
                <w:color w:val="000000"/>
                <w:sz w:val="16"/>
                <w:szCs w:val="16"/>
              </w:rPr>
            </w:pPr>
            <w:r>
              <w:rPr>
                <w:rFonts w:ascii="Calibri" w:hAnsi="Calibri" w:cs="Calibri"/>
                <w:color w:val="000000"/>
                <w:sz w:val="16"/>
                <w:szCs w:val="16"/>
              </w:rPr>
              <w:t>8 976 961,04</w:t>
            </w:r>
          </w:p>
        </w:tc>
      </w:tr>
      <w:tr w:rsidR="00A33337" w:rsidTr="00A33337">
        <w:trPr>
          <w:trHeight w:val="300"/>
        </w:trPr>
        <w:tc>
          <w:tcPr>
            <w:tcW w:w="384" w:type="dxa"/>
            <w:vMerge/>
            <w:tcBorders>
              <w:top w:val="nil"/>
              <w:left w:val="single" w:sz="4" w:space="0" w:color="auto"/>
              <w:bottom w:val="nil"/>
              <w:right w:val="single" w:sz="4" w:space="0" w:color="auto"/>
            </w:tcBorders>
            <w:vAlign w:val="center"/>
            <w:hideMark/>
          </w:tcPr>
          <w:p w:rsidR="00A33337" w:rsidRDefault="00A33337">
            <w:pPr>
              <w:rPr>
                <w:rFonts w:ascii="Calibri" w:hAnsi="Calibri" w:cs="Calibri"/>
                <w:color w:val="000000"/>
                <w:sz w:val="16"/>
                <w:szCs w:val="16"/>
              </w:rPr>
            </w:pPr>
          </w:p>
        </w:tc>
        <w:tc>
          <w:tcPr>
            <w:tcW w:w="467" w:type="dxa"/>
            <w:tcBorders>
              <w:top w:val="nil"/>
              <w:left w:val="nil"/>
              <w:bottom w:val="single" w:sz="4" w:space="0" w:color="auto"/>
              <w:right w:val="single" w:sz="4" w:space="0" w:color="auto"/>
            </w:tcBorders>
            <w:shd w:val="clear" w:color="auto" w:fill="auto"/>
            <w:noWrap/>
            <w:vAlign w:val="center"/>
            <w:hideMark/>
          </w:tcPr>
          <w:p w:rsidR="00A33337" w:rsidRDefault="00A33337">
            <w:pPr>
              <w:jc w:val="center"/>
              <w:rPr>
                <w:rFonts w:ascii="Calibri" w:hAnsi="Calibri" w:cs="Calibri"/>
                <w:color w:val="000000"/>
                <w:sz w:val="16"/>
                <w:szCs w:val="16"/>
              </w:rPr>
            </w:pPr>
            <w:r>
              <w:rPr>
                <w:rFonts w:ascii="Calibri" w:hAnsi="Calibri" w:cs="Calibri"/>
                <w:color w:val="000000"/>
                <w:sz w:val="16"/>
                <w:szCs w:val="16"/>
              </w:rPr>
              <w:t>5339</w:t>
            </w:r>
          </w:p>
        </w:tc>
        <w:tc>
          <w:tcPr>
            <w:tcW w:w="4536" w:type="dxa"/>
            <w:tcBorders>
              <w:top w:val="nil"/>
              <w:left w:val="nil"/>
              <w:bottom w:val="single" w:sz="4" w:space="0" w:color="auto"/>
              <w:right w:val="single" w:sz="4" w:space="0" w:color="auto"/>
            </w:tcBorders>
            <w:shd w:val="clear" w:color="auto" w:fill="auto"/>
            <w:vAlign w:val="center"/>
            <w:hideMark/>
          </w:tcPr>
          <w:p w:rsidR="00A33337" w:rsidRDefault="00A33337">
            <w:pPr>
              <w:rPr>
                <w:rFonts w:ascii="Calibri" w:hAnsi="Calibri" w:cs="Calibri"/>
                <w:color w:val="000000"/>
                <w:sz w:val="16"/>
                <w:szCs w:val="16"/>
              </w:rPr>
            </w:pPr>
            <w:r>
              <w:rPr>
                <w:rFonts w:ascii="Calibri" w:hAnsi="Calibri" w:cs="Calibri"/>
                <w:color w:val="000000"/>
                <w:sz w:val="16"/>
                <w:szCs w:val="16"/>
              </w:rPr>
              <w:t>Neinvestiční transfery cizím příspěvkovým organizacím</w:t>
            </w:r>
          </w:p>
        </w:tc>
        <w:tc>
          <w:tcPr>
            <w:tcW w:w="1276" w:type="dxa"/>
            <w:tcBorders>
              <w:top w:val="nil"/>
              <w:left w:val="nil"/>
              <w:bottom w:val="single" w:sz="4" w:space="0" w:color="auto"/>
              <w:right w:val="single" w:sz="4" w:space="0" w:color="auto"/>
            </w:tcBorders>
            <w:shd w:val="clear" w:color="auto" w:fill="auto"/>
            <w:noWrap/>
            <w:vAlign w:val="center"/>
            <w:hideMark/>
          </w:tcPr>
          <w:p w:rsidR="00A33337" w:rsidRDefault="00A33337">
            <w:pPr>
              <w:jc w:val="right"/>
              <w:rPr>
                <w:rFonts w:ascii="Calibri" w:hAnsi="Calibri" w:cs="Calibri"/>
                <w:color w:val="000000"/>
                <w:sz w:val="16"/>
                <w:szCs w:val="16"/>
              </w:rPr>
            </w:pPr>
            <w:r>
              <w:rPr>
                <w:rFonts w:ascii="Calibri" w:hAnsi="Calibri" w:cs="Calibri"/>
                <w:color w:val="000000"/>
                <w:sz w:val="16"/>
                <w:szCs w:val="16"/>
              </w:rPr>
              <w:t>6 928 992,99</w:t>
            </w:r>
          </w:p>
        </w:tc>
        <w:tc>
          <w:tcPr>
            <w:tcW w:w="1417" w:type="dxa"/>
            <w:tcBorders>
              <w:top w:val="nil"/>
              <w:left w:val="nil"/>
              <w:bottom w:val="single" w:sz="4" w:space="0" w:color="auto"/>
              <w:right w:val="single" w:sz="4" w:space="0" w:color="auto"/>
            </w:tcBorders>
            <w:shd w:val="clear" w:color="auto" w:fill="auto"/>
            <w:noWrap/>
            <w:vAlign w:val="center"/>
            <w:hideMark/>
          </w:tcPr>
          <w:p w:rsidR="00A33337" w:rsidRDefault="00A33337">
            <w:pPr>
              <w:jc w:val="right"/>
              <w:rPr>
                <w:rFonts w:ascii="Calibri" w:hAnsi="Calibri" w:cs="Calibri"/>
                <w:color w:val="000000"/>
                <w:sz w:val="16"/>
                <w:szCs w:val="16"/>
              </w:rPr>
            </w:pPr>
            <w:r>
              <w:rPr>
                <w:rFonts w:ascii="Calibri" w:hAnsi="Calibri" w:cs="Calibri"/>
                <w:color w:val="000000"/>
                <w:sz w:val="16"/>
                <w:szCs w:val="16"/>
              </w:rPr>
              <w:t>7 209 154,00</w:t>
            </w:r>
          </w:p>
        </w:tc>
        <w:tc>
          <w:tcPr>
            <w:tcW w:w="1276" w:type="dxa"/>
            <w:tcBorders>
              <w:top w:val="nil"/>
              <w:left w:val="nil"/>
              <w:bottom w:val="single" w:sz="4" w:space="0" w:color="auto"/>
              <w:right w:val="single" w:sz="4" w:space="0" w:color="auto"/>
            </w:tcBorders>
            <w:shd w:val="clear" w:color="auto" w:fill="auto"/>
            <w:noWrap/>
            <w:vAlign w:val="center"/>
            <w:hideMark/>
          </w:tcPr>
          <w:p w:rsidR="00A33337" w:rsidRDefault="00A33337">
            <w:pPr>
              <w:jc w:val="right"/>
              <w:rPr>
                <w:rFonts w:ascii="Calibri" w:hAnsi="Calibri" w:cs="Calibri"/>
                <w:color w:val="000000"/>
                <w:sz w:val="16"/>
                <w:szCs w:val="16"/>
              </w:rPr>
            </w:pPr>
            <w:r>
              <w:rPr>
                <w:rFonts w:ascii="Calibri" w:hAnsi="Calibri" w:cs="Calibri"/>
                <w:color w:val="000000"/>
                <w:sz w:val="16"/>
                <w:szCs w:val="16"/>
              </w:rPr>
              <w:t>7 381 160,20</w:t>
            </w:r>
          </w:p>
        </w:tc>
      </w:tr>
      <w:tr w:rsidR="00A33337" w:rsidTr="00A33337">
        <w:trPr>
          <w:trHeight w:val="300"/>
        </w:trPr>
        <w:tc>
          <w:tcPr>
            <w:tcW w:w="384" w:type="dxa"/>
            <w:tcBorders>
              <w:top w:val="nil"/>
              <w:left w:val="single" w:sz="4" w:space="0" w:color="auto"/>
              <w:bottom w:val="single" w:sz="4" w:space="0" w:color="auto"/>
              <w:right w:val="single" w:sz="4" w:space="0" w:color="auto"/>
            </w:tcBorders>
            <w:shd w:val="clear" w:color="FFF2CC" w:fill="E2EFDA"/>
            <w:noWrap/>
            <w:vAlign w:val="center"/>
            <w:hideMark/>
          </w:tcPr>
          <w:p w:rsidR="00A33337" w:rsidRDefault="00A33337">
            <w:pPr>
              <w:jc w:val="right"/>
              <w:rPr>
                <w:rFonts w:ascii="Calibri" w:hAnsi="Calibri" w:cs="Calibri"/>
                <w:color w:val="000000"/>
                <w:sz w:val="16"/>
                <w:szCs w:val="16"/>
              </w:rPr>
            </w:pPr>
            <w:r>
              <w:rPr>
                <w:rFonts w:ascii="Calibri" w:hAnsi="Calibri" w:cs="Calibri"/>
                <w:color w:val="000000"/>
                <w:sz w:val="16"/>
                <w:szCs w:val="16"/>
              </w:rPr>
              <w:t>536</w:t>
            </w:r>
          </w:p>
        </w:tc>
        <w:tc>
          <w:tcPr>
            <w:tcW w:w="5003" w:type="dxa"/>
            <w:gridSpan w:val="2"/>
            <w:tcBorders>
              <w:top w:val="single" w:sz="4" w:space="0" w:color="auto"/>
              <w:left w:val="nil"/>
              <w:bottom w:val="single" w:sz="4" w:space="0" w:color="auto"/>
              <w:right w:val="single" w:sz="4" w:space="0" w:color="000000"/>
            </w:tcBorders>
            <w:shd w:val="clear" w:color="FFF2CC" w:fill="E2EFDA"/>
            <w:noWrap/>
            <w:vAlign w:val="center"/>
            <w:hideMark/>
          </w:tcPr>
          <w:p w:rsidR="00A33337" w:rsidRDefault="00A33337">
            <w:pPr>
              <w:rPr>
                <w:rFonts w:ascii="Calibri" w:hAnsi="Calibri" w:cs="Calibri"/>
                <w:color w:val="000000"/>
                <w:sz w:val="16"/>
                <w:szCs w:val="16"/>
              </w:rPr>
            </w:pPr>
            <w:r>
              <w:rPr>
                <w:rFonts w:ascii="Calibri" w:hAnsi="Calibri" w:cs="Calibri"/>
                <w:color w:val="000000"/>
                <w:sz w:val="16"/>
                <w:szCs w:val="16"/>
              </w:rPr>
              <w:t>Ostatní neinv. transfery jiným veřejným rozpočtům a další platby</w:t>
            </w:r>
          </w:p>
        </w:tc>
        <w:tc>
          <w:tcPr>
            <w:tcW w:w="1276" w:type="dxa"/>
            <w:tcBorders>
              <w:top w:val="nil"/>
              <w:left w:val="nil"/>
              <w:bottom w:val="single" w:sz="4" w:space="0" w:color="auto"/>
              <w:right w:val="single" w:sz="4" w:space="0" w:color="auto"/>
            </w:tcBorders>
            <w:shd w:val="clear" w:color="FFF2CC" w:fill="E2EFDA"/>
            <w:noWrap/>
            <w:vAlign w:val="center"/>
            <w:hideMark/>
          </w:tcPr>
          <w:p w:rsidR="00A33337" w:rsidRDefault="00A33337">
            <w:pPr>
              <w:jc w:val="right"/>
              <w:rPr>
                <w:rFonts w:ascii="Calibri" w:hAnsi="Calibri" w:cs="Calibri"/>
                <w:color w:val="000000"/>
                <w:sz w:val="16"/>
                <w:szCs w:val="16"/>
              </w:rPr>
            </w:pPr>
            <w:r>
              <w:rPr>
                <w:rFonts w:ascii="Calibri" w:hAnsi="Calibri" w:cs="Calibri"/>
                <w:color w:val="000000"/>
                <w:sz w:val="16"/>
                <w:szCs w:val="16"/>
              </w:rPr>
              <w:t>28 333 840,56</w:t>
            </w:r>
          </w:p>
        </w:tc>
        <w:tc>
          <w:tcPr>
            <w:tcW w:w="1417" w:type="dxa"/>
            <w:tcBorders>
              <w:top w:val="nil"/>
              <w:left w:val="nil"/>
              <w:bottom w:val="single" w:sz="4" w:space="0" w:color="auto"/>
              <w:right w:val="single" w:sz="4" w:space="0" w:color="auto"/>
            </w:tcBorders>
            <w:shd w:val="clear" w:color="FFF2CC" w:fill="E2EFDA"/>
            <w:noWrap/>
            <w:vAlign w:val="center"/>
            <w:hideMark/>
          </w:tcPr>
          <w:p w:rsidR="00A33337" w:rsidRDefault="00A33337">
            <w:pPr>
              <w:jc w:val="right"/>
              <w:rPr>
                <w:rFonts w:ascii="Calibri" w:hAnsi="Calibri" w:cs="Calibri"/>
                <w:color w:val="000000"/>
                <w:sz w:val="16"/>
                <w:szCs w:val="16"/>
              </w:rPr>
            </w:pPr>
            <w:r>
              <w:rPr>
                <w:rFonts w:ascii="Calibri" w:hAnsi="Calibri" w:cs="Calibri"/>
                <w:color w:val="000000"/>
                <w:sz w:val="16"/>
                <w:szCs w:val="16"/>
              </w:rPr>
              <w:t>37 908 652,65</w:t>
            </w:r>
          </w:p>
        </w:tc>
        <w:tc>
          <w:tcPr>
            <w:tcW w:w="1276" w:type="dxa"/>
            <w:tcBorders>
              <w:top w:val="nil"/>
              <w:left w:val="nil"/>
              <w:bottom w:val="single" w:sz="4" w:space="0" w:color="auto"/>
              <w:right w:val="single" w:sz="4" w:space="0" w:color="auto"/>
            </w:tcBorders>
            <w:shd w:val="clear" w:color="FFF2CC" w:fill="E2EFDA"/>
            <w:noWrap/>
            <w:vAlign w:val="center"/>
            <w:hideMark/>
          </w:tcPr>
          <w:p w:rsidR="00A33337" w:rsidRDefault="00A33337">
            <w:pPr>
              <w:jc w:val="right"/>
              <w:rPr>
                <w:rFonts w:ascii="Calibri" w:hAnsi="Calibri" w:cs="Calibri"/>
                <w:color w:val="000000"/>
                <w:sz w:val="16"/>
                <w:szCs w:val="16"/>
              </w:rPr>
            </w:pPr>
            <w:r>
              <w:rPr>
                <w:rFonts w:ascii="Calibri" w:hAnsi="Calibri" w:cs="Calibri"/>
                <w:color w:val="000000"/>
                <w:sz w:val="16"/>
                <w:szCs w:val="16"/>
              </w:rPr>
              <w:t>31 051 972,91</w:t>
            </w:r>
          </w:p>
        </w:tc>
      </w:tr>
      <w:tr w:rsidR="00A33337" w:rsidTr="00A33337">
        <w:trPr>
          <w:trHeight w:val="300"/>
        </w:trPr>
        <w:tc>
          <w:tcPr>
            <w:tcW w:w="3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3337" w:rsidRDefault="00A33337">
            <w:pPr>
              <w:jc w:val="center"/>
              <w:rPr>
                <w:rFonts w:ascii="Calibri" w:hAnsi="Calibri" w:cs="Calibri"/>
                <w:color w:val="000000"/>
                <w:sz w:val="16"/>
                <w:szCs w:val="16"/>
              </w:rPr>
            </w:pPr>
            <w:r>
              <w:rPr>
                <w:rFonts w:ascii="Calibri" w:hAnsi="Calibri" w:cs="Calibri"/>
                <w:color w:val="000000"/>
                <w:sz w:val="16"/>
                <w:szCs w:val="16"/>
              </w:rPr>
              <w:t> </w:t>
            </w:r>
          </w:p>
        </w:tc>
        <w:tc>
          <w:tcPr>
            <w:tcW w:w="467" w:type="dxa"/>
            <w:tcBorders>
              <w:top w:val="nil"/>
              <w:left w:val="nil"/>
              <w:bottom w:val="single" w:sz="4" w:space="0" w:color="auto"/>
              <w:right w:val="single" w:sz="4" w:space="0" w:color="auto"/>
            </w:tcBorders>
            <w:shd w:val="clear" w:color="auto" w:fill="auto"/>
            <w:noWrap/>
            <w:vAlign w:val="center"/>
            <w:hideMark/>
          </w:tcPr>
          <w:p w:rsidR="00A33337" w:rsidRDefault="00A33337">
            <w:pPr>
              <w:jc w:val="center"/>
              <w:rPr>
                <w:rFonts w:ascii="Calibri" w:hAnsi="Calibri" w:cs="Calibri"/>
                <w:color w:val="000000"/>
                <w:sz w:val="16"/>
                <w:szCs w:val="16"/>
              </w:rPr>
            </w:pPr>
            <w:r>
              <w:rPr>
                <w:rFonts w:ascii="Calibri" w:hAnsi="Calibri" w:cs="Calibri"/>
                <w:color w:val="000000"/>
                <w:sz w:val="16"/>
                <w:szCs w:val="16"/>
              </w:rPr>
              <w:t>5361</w:t>
            </w:r>
          </w:p>
        </w:tc>
        <w:tc>
          <w:tcPr>
            <w:tcW w:w="4536" w:type="dxa"/>
            <w:tcBorders>
              <w:top w:val="nil"/>
              <w:left w:val="nil"/>
              <w:bottom w:val="single" w:sz="4" w:space="0" w:color="auto"/>
              <w:right w:val="single" w:sz="4" w:space="0" w:color="auto"/>
            </w:tcBorders>
            <w:shd w:val="clear" w:color="auto" w:fill="auto"/>
            <w:vAlign w:val="center"/>
            <w:hideMark/>
          </w:tcPr>
          <w:p w:rsidR="00A33337" w:rsidRDefault="00A33337">
            <w:pPr>
              <w:rPr>
                <w:rFonts w:ascii="Calibri" w:hAnsi="Calibri" w:cs="Calibri"/>
                <w:color w:val="000000"/>
                <w:sz w:val="16"/>
                <w:szCs w:val="16"/>
              </w:rPr>
            </w:pPr>
            <w:r>
              <w:rPr>
                <w:rFonts w:ascii="Calibri" w:hAnsi="Calibri" w:cs="Calibri"/>
                <w:color w:val="000000"/>
                <w:sz w:val="16"/>
                <w:szCs w:val="16"/>
              </w:rPr>
              <w:t>Nákup kolků</w:t>
            </w:r>
          </w:p>
        </w:tc>
        <w:tc>
          <w:tcPr>
            <w:tcW w:w="1276" w:type="dxa"/>
            <w:tcBorders>
              <w:top w:val="nil"/>
              <w:left w:val="nil"/>
              <w:bottom w:val="single" w:sz="4" w:space="0" w:color="auto"/>
              <w:right w:val="single" w:sz="4" w:space="0" w:color="auto"/>
            </w:tcBorders>
            <w:shd w:val="clear" w:color="auto" w:fill="auto"/>
            <w:noWrap/>
            <w:vAlign w:val="center"/>
            <w:hideMark/>
          </w:tcPr>
          <w:p w:rsidR="00A33337" w:rsidRDefault="00A33337">
            <w:pPr>
              <w:jc w:val="right"/>
              <w:rPr>
                <w:rFonts w:ascii="Calibri" w:hAnsi="Calibri" w:cs="Calibri"/>
                <w:color w:val="000000"/>
                <w:sz w:val="16"/>
                <w:szCs w:val="16"/>
              </w:rPr>
            </w:pPr>
            <w:r>
              <w:rPr>
                <w:rFonts w:ascii="Calibri" w:hAnsi="Calibri" w:cs="Calibri"/>
                <w:color w:val="000000"/>
                <w:sz w:val="16"/>
                <w:szCs w:val="16"/>
              </w:rPr>
              <w:t>19 000,00</w:t>
            </w:r>
          </w:p>
        </w:tc>
        <w:tc>
          <w:tcPr>
            <w:tcW w:w="1417" w:type="dxa"/>
            <w:tcBorders>
              <w:top w:val="nil"/>
              <w:left w:val="nil"/>
              <w:bottom w:val="single" w:sz="4" w:space="0" w:color="auto"/>
              <w:right w:val="single" w:sz="4" w:space="0" w:color="auto"/>
            </w:tcBorders>
            <w:shd w:val="clear" w:color="auto" w:fill="auto"/>
            <w:noWrap/>
            <w:vAlign w:val="center"/>
            <w:hideMark/>
          </w:tcPr>
          <w:p w:rsidR="00A33337" w:rsidRDefault="00A33337">
            <w:pPr>
              <w:jc w:val="right"/>
              <w:rPr>
                <w:rFonts w:ascii="Calibri" w:hAnsi="Calibri" w:cs="Calibri"/>
                <w:color w:val="000000"/>
                <w:sz w:val="16"/>
                <w:szCs w:val="16"/>
              </w:rPr>
            </w:pPr>
            <w:r>
              <w:rPr>
                <w:rFonts w:ascii="Calibri" w:hAnsi="Calibri" w:cs="Calibri"/>
                <w:color w:val="000000"/>
                <w:sz w:val="16"/>
                <w:szCs w:val="16"/>
              </w:rPr>
              <w:t>26 400,00</w:t>
            </w:r>
          </w:p>
        </w:tc>
        <w:tc>
          <w:tcPr>
            <w:tcW w:w="1276" w:type="dxa"/>
            <w:tcBorders>
              <w:top w:val="nil"/>
              <w:left w:val="nil"/>
              <w:bottom w:val="single" w:sz="4" w:space="0" w:color="auto"/>
              <w:right w:val="single" w:sz="4" w:space="0" w:color="auto"/>
            </w:tcBorders>
            <w:shd w:val="clear" w:color="auto" w:fill="auto"/>
            <w:noWrap/>
            <w:vAlign w:val="center"/>
            <w:hideMark/>
          </w:tcPr>
          <w:p w:rsidR="00A33337" w:rsidRDefault="00A33337">
            <w:pPr>
              <w:jc w:val="right"/>
              <w:rPr>
                <w:rFonts w:ascii="Calibri" w:hAnsi="Calibri" w:cs="Calibri"/>
                <w:color w:val="000000"/>
                <w:sz w:val="16"/>
                <w:szCs w:val="16"/>
              </w:rPr>
            </w:pPr>
            <w:r>
              <w:rPr>
                <w:rFonts w:ascii="Calibri" w:hAnsi="Calibri" w:cs="Calibri"/>
                <w:color w:val="000000"/>
                <w:sz w:val="16"/>
                <w:szCs w:val="16"/>
              </w:rPr>
              <w:t>23 060,00</w:t>
            </w:r>
          </w:p>
        </w:tc>
      </w:tr>
      <w:tr w:rsidR="00A33337" w:rsidTr="00A33337">
        <w:trPr>
          <w:trHeight w:val="300"/>
        </w:trPr>
        <w:tc>
          <w:tcPr>
            <w:tcW w:w="384" w:type="dxa"/>
            <w:vMerge/>
            <w:tcBorders>
              <w:top w:val="nil"/>
              <w:left w:val="single" w:sz="4" w:space="0" w:color="auto"/>
              <w:bottom w:val="single" w:sz="4" w:space="0" w:color="000000"/>
              <w:right w:val="single" w:sz="4" w:space="0" w:color="auto"/>
            </w:tcBorders>
            <w:vAlign w:val="center"/>
            <w:hideMark/>
          </w:tcPr>
          <w:p w:rsidR="00A33337" w:rsidRDefault="00A33337">
            <w:pPr>
              <w:rPr>
                <w:rFonts w:ascii="Calibri" w:hAnsi="Calibri" w:cs="Calibri"/>
                <w:color w:val="000000"/>
                <w:sz w:val="16"/>
                <w:szCs w:val="16"/>
              </w:rPr>
            </w:pPr>
          </w:p>
        </w:tc>
        <w:tc>
          <w:tcPr>
            <w:tcW w:w="467" w:type="dxa"/>
            <w:tcBorders>
              <w:top w:val="nil"/>
              <w:left w:val="nil"/>
              <w:bottom w:val="single" w:sz="4" w:space="0" w:color="auto"/>
              <w:right w:val="single" w:sz="4" w:space="0" w:color="auto"/>
            </w:tcBorders>
            <w:shd w:val="clear" w:color="auto" w:fill="auto"/>
            <w:noWrap/>
            <w:vAlign w:val="center"/>
            <w:hideMark/>
          </w:tcPr>
          <w:p w:rsidR="00A33337" w:rsidRDefault="00A33337">
            <w:pPr>
              <w:jc w:val="center"/>
              <w:rPr>
                <w:rFonts w:ascii="Calibri" w:hAnsi="Calibri" w:cs="Calibri"/>
                <w:color w:val="000000"/>
                <w:sz w:val="16"/>
                <w:szCs w:val="16"/>
              </w:rPr>
            </w:pPr>
            <w:r>
              <w:rPr>
                <w:rFonts w:ascii="Calibri" w:hAnsi="Calibri" w:cs="Calibri"/>
                <w:color w:val="000000"/>
                <w:sz w:val="16"/>
                <w:szCs w:val="16"/>
              </w:rPr>
              <w:t>5362</w:t>
            </w:r>
          </w:p>
        </w:tc>
        <w:tc>
          <w:tcPr>
            <w:tcW w:w="4536" w:type="dxa"/>
            <w:tcBorders>
              <w:top w:val="nil"/>
              <w:left w:val="nil"/>
              <w:bottom w:val="single" w:sz="4" w:space="0" w:color="auto"/>
              <w:right w:val="single" w:sz="4" w:space="0" w:color="auto"/>
            </w:tcBorders>
            <w:shd w:val="clear" w:color="auto" w:fill="auto"/>
            <w:vAlign w:val="center"/>
            <w:hideMark/>
          </w:tcPr>
          <w:p w:rsidR="00A33337" w:rsidRDefault="00A33337">
            <w:pPr>
              <w:rPr>
                <w:rFonts w:ascii="Calibri" w:hAnsi="Calibri" w:cs="Calibri"/>
                <w:color w:val="000000"/>
                <w:sz w:val="16"/>
                <w:szCs w:val="16"/>
              </w:rPr>
            </w:pPr>
            <w:r>
              <w:rPr>
                <w:rFonts w:ascii="Calibri" w:hAnsi="Calibri" w:cs="Calibri"/>
                <w:color w:val="000000"/>
                <w:sz w:val="16"/>
                <w:szCs w:val="16"/>
              </w:rPr>
              <w:t>Platby daní a poplatků státnímu rozpočtu</w:t>
            </w:r>
          </w:p>
        </w:tc>
        <w:tc>
          <w:tcPr>
            <w:tcW w:w="1276" w:type="dxa"/>
            <w:tcBorders>
              <w:top w:val="nil"/>
              <w:left w:val="nil"/>
              <w:bottom w:val="single" w:sz="4" w:space="0" w:color="auto"/>
              <w:right w:val="single" w:sz="4" w:space="0" w:color="auto"/>
            </w:tcBorders>
            <w:shd w:val="clear" w:color="auto" w:fill="auto"/>
            <w:noWrap/>
            <w:vAlign w:val="center"/>
            <w:hideMark/>
          </w:tcPr>
          <w:p w:rsidR="00A33337" w:rsidRDefault="00A33337">
            <w:pPr>
              <w:jc w:val="right"/>
              <w:rPr>
                <w:rFonts w:ascii="Calibri" w:hAnsi="Calibri" w:cs="Calibri"/>
                <w:color w:val="000000"/>
                <w:sz w:val="16"/>
                <w:szCs w:val="16"/>
              </w:rPr>
            </w:pPr>
            <w:r>
              <w:rPr>
                <w:rFonts w:ascii="Calibri" w:hAnsi="Calibri" w:cs="Calibri"/>
                <w:color w:val="000000"/>
                <w:sz w:val="16"/>
                <w:szCs w:val="16"/>
              </w:rPr>
              <w:t>28 203 656,16</w:t>
            </w:r>
          </w:p>
        </w:tc>
        <w:tc>
          <w:tcPr>
            <w:tcW w:w="1417" w:type="dxa"/>
            <w:tcBorders>
              <w:top w:val="nil"/>
              <w:left w:val="nil"/>
              <w:bottom w:val="single" w:sz="4" w:space="0" w:color="auto"/>
              <w:right w:val="single" w:sz="4" w:space="0" w:color="auto"/>
            </w:tcBorders>
            <w:shd w:val="clear" w:color="auto" w:fill="auto"/>
            <w:noWrap/>
            <w:vAlign w:val="center"/>
            <w:hideMark/>
          </w:tcPr>
          <w:p w:rsidR="00A33337" w:rsidRDefault="00A33337">
            <w:pPr>
              <w:jc w:val="right"/>
              <w:rPr>
                <w:rFonts w:ascii="Calibri" w:hAnsi="Calibri" w:cs="Calibri"/>
                <w:color w:val="000000"/>
                <w:sz w:val="16"/>
                <w:szCs w:val="16"/>
              </w:rPr>
            </w:pPr>
            <w:r>
              <w:rPr>
                <w:rFonts w:ascii="Calibri" w:hAnsi="Calibri" w:cs="Calibri"/>
                <w:color w:val="000000"/>
                <w:sz w:val="16"/>
                <w:szCs w:val="16"/>
              </w:rPr>
              <w:t>37 751 202,81</w:t>
            </w:r>
          </w:p>
        </w:tc>
        <w:tc>
          <w:tcPr>
            <w:tcW w:w="1276" w:type="dxa"/>
            <w:tcBorders>
              <w:top w:val="nil"/>
              <w:left w:val="nil"/>
              <w:bottom w:val="single" w:sz="4" w:space="0" w:color="auto"/>
              <w:right w:val="single" w:sz="4" w:space="0" w:color="auto"/>
            </w:tcBorders>
            <w:shd w:val="clear" w:color="auto" w:fill="auto"/>
            <w:noWrap/>
            <w:vAlign w:val="center"/>
            <w:hideMark/>
          </w:tcPr>
          <w:p w:rsidR="00A33337" w:rsidRDefault="00A33337">
            <w:pPr>
              <w:jc w:val="right"/>
              <w:rPr>
                <w:rFonts w:ascii="Calibri" w:hAnsi="Calibri" w:cs="Calibri"/>
                <w:color w:val="000000"/>
                <w:sz w:val="16"/>
                <w:szCs w:val="16"/>
              </w:rPr>
            </w:pPr>
            <w:r>
              <w:rPr>
                <w:rFonts w:ascii="Calibri" w:hAnsi="Calibri" w:cs="Calibri"/>
                <w:color w:val="000000"/>
                <w:sz w:val="16"/>
                <w:szCs w:val="16"/>
              </w:rPr>
              <w:t>30 799 668,41</w:t>
            </w:r>
          </w:p>
        </w:tc>
      </w:tr>
      <w:tr w:rsidR="00A33337" w:rsidTr="00A33337">
        <w:trPr>
          <w:trHeight w:val="300"/>
        </w:trPr>
        <w:tc>
          <w:tcPr>
            <w:tcW w:w="384" w:type="dxa"/>
            <w:vMerge/>
            <w:tcBorders>
              <w:top w:val="nil"/>
              <w:left w:val="single" w:sz="4" w:space="0" w:color="auto"/>
              <w:bottom w:val="single" w:sz="4" w:space="0" w:color="000000"/>
              <w:right w:val="single" w:sz="4" w:space="0" w:color="auto"/>
            </w:tcBorders>
            <w:vAlign w:val="center"/>
            <w:hideMark/>
          </w:tcPr>
          <w:p w:rsidR="00A33337" w:rsidRDefault="00A33337">
            <w:pPr>
              <w:rPr>
                <w:rFonts w:ascii="Calibri" w:hAnsi="Calibri" w:cs="Calibri"/>
                <w:color w:val="000000"/>
                <w:sz w:val="16"/>
                <w:szCs w:val="16"/>
              </w:rPr>
            </w:pPr>
          </w:p>
        </w:tc>
        <w:tc>
          <w:tcPr>
            <w:tcW w:w="467" w:type="dxa"/>
            <w:tcBorders>
              <w:top w:val="nil"/>
              <w:left w:val="nil"/>
              <w:bottom w:val="single" w:sz="4" w:space="0" w:color="auto"/>
              <w:right w:val="single" w:sz="4" w:space="0" w:color="auto"/>
            </w:tcBorders>
            <w:shd w:val="clear" w:color="auto" w:fill="auto"/>
            <w:noWrap/>
            <w:vAlign w:val="center"/>
            <w:hideMark/>
          </w:tcPr>
          <w:p w:rsidR="00A33337" w:rsidRDefault="00A33337">
            <w:pPr>
              <w:jc w:val="center"/>
              <w:rPr>
                <w:rFonts w:ascii="Calibri" w:hAnsi="Calibri" w:cs="Calibri"/>
                <w:color w:val="000000"/>
                <w:sz w:val="16"/>
                <w:szCs w:val="16"/>
              </w:rPr>
            </w:pPr>
            <w:r>
              <w:rPr>
                <w:rFonts w:ascii="Calibri" w:hAnsi="Calibri" w:cs="Calibri"/>
                <w:color w:val="000000"/>
                <w:sz w:val="16"/>
                <w:szCs w:val="16"/>
              </w:rPr>
              <w:t>5363</w:t>
            </w:r>
          </w:p>
        </w:tc>
        <w:tc>
          <w:tcPr>
            <w:tcW w:w="4536" w:type="dxa"/>
            <w:tcBorders>
              <w:top w:val="nil"/>
              <w:left w:val="nil"/>
              <w:bottom w:val="single" w:sz="4" w:space="0" w:color="auto"/>
              <w:right w:val="single" w:sz="4" w:space="0" w:color="auto"/>
            </w:tcBorders>
            <w:shd w:val="clear" w:color="auto" w:fill="auto"/>
            <w:vAlign w:val="center"/>
            <w:hideMark/>
          </w:tcPr>
          <w:p w:rsidR="00A33337" w:rsidRDefault="00A33337">
            <w:pPr>
              <w:rPr>
                <w:rFonts w:ascii="Calibri" w:hAnsi="Calibri" w:cs="Calibri"/>
                <w:color w:val="000000"/>
                <w:sz w:val="16"/>
                <w:szCs w:val="16"/>
              </w:rPr>
            </w:pPr>
            <w:r>
              <w:rPr>
                <w:rFonts w:ascii="Calibri" w:hAnsi="Calibri" w:cs="Calibri"/>
                <w:color w:val="000000"/>
                <w:sz w:val="16"/>
                <w:szCs w:val="16"/>
              </w:rPr>
              <w:t>Úhrady sankcí jiným rozpočtům</w:t>
            </w:r>
          </w:p>
        </w:tc>
        <w:tc>
          <w:tcPr>
            <w:tcW w:w="1276" w:type="dxa"/>
            <w:tcBorders>
              <w:top w:val="nil"/>
              <w:left w:val="nil"/>
              <w:bottom w:val="single" w:sz="4" w:space="0" w:color="auto"/>
              <w:right w:val="single" w:sz="4" w:space="0" w:color="auto"/>
            </w:tcBorders>
            <w:shd w:val="clear" w:color="auto" w:fill="auto"/>
            <w:noWrap/>
            <w:vAlign w:val="center"/>
            <w:hideMark/>
          </w:tcPr>
          <w:p w:rsidR="00A33337" w:rsidRDefault="00A33337">
            <w:pPr>
              <w:jc w:val="right"/>
              <w:rPr>
                <w:rFonts w:ascii="Calibri" w:hAnsi="Calibri" w:cs="Calibri"/>
                <w:color w:val="000000"/>
                <w:sz w:val="16"/>
                <w:szCs w:val="16"/>
              </w:rPr>
            </w:pPr>
            <w:r>
              <w:rPr>
                <w:rFonts w:ascii="Calibri" w:hAnsi="Calibri" w:cs="Calibri"/>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33337" w:rsidRDefault="00A33337">
            <w:pPr>
              <w:jc w:val="right"/>
              <w:rPr>
                <w:rFonts w:ascii="Calibri" w:hAnsi="Calibri" w:cs="Calibri"/>
                <w:color w:val="000000"/>
                <w:sz w:val="16"/>
                <w:szCs w:val="16"/>
              </w:rPr>
            </w:pPr>
            <w:r>
              <w:rPr>
                <w:rFonts w:ascii="Calibri" w:hAnsi="Calibri" w:cs="Calibri"/>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A33337" w:rsidRDefault="00A33337">
            <w:pPr>
              <w:jc w:val="right"/>
              <w:rPr>
                <w:rFonts w:ascii="Calibri" w:hAnsi="Calibri" w:cs="Calibri"/>
                <w:color w:val="000000"/>
                <w:sz w:val="16"/>
                <w:szCs w:val="16"/>
              </w:rPr>
            </w:pPr>
            <w:r>
              <w:rPr>
                <w:rFonts w:ascii="Calibri" w:hAnsi="Calibri" w:cs="Calibri"/>
                <w:color w:val="000000"/>
                <w:sz w:val="16"/>
                <w:szCs w:val="16"/>
              </w:rPr>
              <w:t>37 075,50</w:t>
            </w:r>
          </w:p>
        </w:tc>
      </w:tr>
      <w:tr w:rsidR="00A33337" w:rsidTr="00A33337">
        <w:trPr>
          <w:trHeight w:val="300"/>
        </w:trPr>
        <w:tc>
          <w:tcPr>
            <w:tcW w:w="384" w:type="dxa"/>
            <w:vMerge/>
            <w:tcBorders>
              <w:top w:val="nil"/>
              <w:left w:val="single" w:sz="4" w:space="0" w:color="auto"/>
              <w:bottom w:val="single" w:sz="4" w:space="0" w:color="000000"/>
              <w:right w:val="single" w:sz="4" w:space="0" w:color="auto"/>
            </w:tcBorders>
            <w:vAlign w:val="center"/>
            <w:hideMark/>
          </w:tcPr>
          <w:p w:rsidR="00A33337" w:rsidRDefault="00A33337">
            <w:pPr>
              <w:rPr>
                <w:rFonts w:ascii="Calibri" w:hAnsi="Calibri" w:cs="Calibri"/>
                <w:color w:val="000000"/>
                <w:sz w:val="16"/>
                <w:szCs w:val="16"/>
              </w:rPr>
            </w:pPr>
          </w:p>
        </w:tc>
        <w:tc>
          <w:tcPr>
            <w:tcW w:w="467" w:type="dxa"/>
            <w:tcBorders>
              <w:top w:val="nil"/>
              <w:left w:val="nil"/>
              <w:bottom w:val="single" w:sz="4" w:space="0" w:color="auto"/>
              <w:right w:val="single" w:sz="4" w:space="0" w:color="auto"/>
            </w:tcBorders>
            <w:shd w:val="clear" w:color="auto" w:fill="auto"/>
            <w:noWrap/>
            <w:vAlign w:val="center"/>
            <w:hideMark/>
          </w:tcPr>
          <w:p w:rsidR="00A33337" w:rsidRDefault="00A33337">
            <w:pPr>
              <w:jc w:val="center"/>
              <w:rPr>
                <w:rFonts w:ascii="Calibri" w:hAnsi="Calibri" w:cs="Calibri"/>
                <w:color w:val="000000"/>
                <w:sz w:val="16"/>
                <w:szCs w:val="16"/>
              </w:rPr>
            </w:pPr>
            <w:r>
              <w:rPr>
                <w:rFonts w:ascii="Calibri" w:hAnsi="Calibri" w:cs="Calibri"/>
                <w:color w:val="000000"/>
                <w:sz w:val="16"/>
                <w:szCs w:val="16"/>
              </w:rPr>
              <w:t>5364</w:t>
            </w:r>
          </w:p>
        </w:tc>
        <w:tc>
          <w:tcPr>
            <w:tcW w:w="4536" w:type="dxa"/>
            <w:tcBorders>
              <w:top w:val="nil"/>
              <w:left w:val="nil"/>
              <w:bottom w:val="single" w:sz="4" w:space="0" w:color="auto"/>
              <w:right w:val="single" w:sz="4" w:space="0" w:color="auto"/>
            </w:tcBorders>
            <w:shd w:val="clear" w:color="auto" w:fill="auto"/>
            <w:vAlign w:val="center"/>
            <w:hideMark/>
          </w:tcPr>
          <w:p w:rsidR="00A33337" w:rsidRDefault="00A33337">
            <w:pPr>
              <w:rPr>
                <w:rFonts w:ascii="Calibri" w:hAnsi="Calibri" w:cs="Calibri"/>
                <w:color w:val="000000"/>
                <w:sz w:val="16"/>
                <w:szCs w:val="16"/>
              </w:rPr>
            </w:pPr>
            <w:r>
              <w:rPr>
                <w:rFonts w:ascii="Calibri" w:hAnsi="Calibri" w:cs="Calibri"/>
                <w:color w:val="000000"/>
                <w:sz w:val="16"/>
                <w:szCs w:val="16"/>
              </w:rPr>
              <w:t>Vratky transferů poskytnutých z veřejných rozpočtů</w:t>
            </w:r>
          </w:p>
        </w:tc>
        <w:tc>
          <w:tcPr>
            <w:tcW w:w="1276" w:type="dxa"/>
            <w:tcBorders>
              <w:top w:val="nil"/>
              <w:left w:val="nil"/>
              <w:bottom w:val="single" w:sz="4" w:space="0" w:color="auto"/>
              <w:right w:val="single" w:sz="4" w:space="0" w:color="auto"/>
            </w:tcBorders>
            <w:shd w:val="clear" w:color="auto" w:fill="auto"/>
            <w:noWrap/>
            <w:vAlign w:val="center"/>
            <w:hideMark/>
          </w:tcPr>
          <w:p w:rsidR="00A33337" w:rsidRDefault="00A33337">
            <w:pPr>
              <w:jc w:val="right"/>
              <w:rPr>
                <w:rFonts w:ascii="Calibri" w:hAnsi="Calibri" w:cs="Calibri"/>
                <w:color w:val="000000"/>
                <w:sz w:val="16"/>
                <w:szCs w:val="16"/>
              </w:rPr>
            </w:pPr>
            <w:r>
              <w:rPr>
                <w:rFonts w:ascii="Calibri" w:hAnsi="Calibri" w:cs="Calibri"/>
                <w:color w:val="000000"/>
                <w:sz w:val="16"/>
                <w:szCs w:val="16"/>
              </w:rPr>
              <w:t>29 184,40</w:t>
            </w:r>
          </w:p>
        </w:tc>
        <w:tc>
          <w:tcPr>
            <w:tcW w:w="1417" w:type="dxa"/>
            <w:tcBorders>
              <w:top w:val="nil"/>
              <w:left w:val="nil"/>
              <w:bottom w:val="single" w:sz="4" w:space="0" w:color="auto"/>
              <w:right w:val="single" w:sz="4" w:space="0" w:color="auto"/>
            </w:tcBorders>
            <w:shd w:val="clear" w:color="auto" w:fill="auto"/>
            <w:noWrap/>
            <w:vAlign w:val="center"/>
            <w:hideMark/>
          </w:tcPr>
          <w:p w:rsidR="00A33337" w:rsidRDefault="00A33337">
            <w:pPr>
              <w:jc w:val="right"/>
              <w:rPr>
                <w:rFonts w:ascii="Calibri" w:hAnsi="Calibri" w:cs="Calibri"/>
                <w:color w:val="000000"/>
                <w:sz w:val="16"/>
                <w:szCs w:val="16"/>
              </w:rPr>
            </w:pPr>
            <w:r>
              <w:rPr>
                <w:rFonts w:ascii="Calibri" w:hAnsi="Calibri" w:cs="Calibri"/>
                <w:color w:val="000000"/>
                <w:sz w:val="16"/>
                <w:szCs w:val="16"/>
              </w:rPr>
              <w:t>60 049,84</w:t>
            </w:r>
          </w:p>
        </w:tc>
        <w:tc>
          <w:tcPr>
            <w:tcW w:w="1276" w:type="dxa"/>
            <w:tcBorders>
              <w:top w:val="nil"/>
              <w:left w:val="nil"/>
              <w:bottom w:val="single" w:sz="4" w:space="0" w:color="auto"/>
              <w:right w:val="single" w:sz="4" w:space="0" w:color="auto"/>
            </w:tcBorders>
            <w:shd w:val="clear" w:color="auto" w:fill="auto"/>
            <w:noWrap/>
            <w:vAlign w:val="center"/>
            <w:hideMark/>
          </w:tcPr>
          <w:p w:rsidR="00A33337" w:rsidRDefault="00A33337">
            <w:pPr>
              <w:jc w:val="right"/>
              <w:rPr>
                <w:rFonts w:ascii="Calibri" w:hAnsi="Calibri" w:cs="Calibri"/>
                <w:color w:val="000000"/>
                <w:sz w:val="16"/>
                <w:szCs w:val="16"/>
              </w:rPr>
            </w:pPr>
            <w:r>
              <w:rPr>
                <w:rFonts w:ascii="Calibri" w:hAnsi="Calibri" w:cs="Calibri"/>
                <w:color w:val="000000"/>
                <w:sz w:val="16"/>
                <w:szCs w:val="16"/>
              </w:rPr>
              <w:t>134 986,16</w:t>
            </w:r>
          </w:p>
        </w:tc>
      </w:tr>
      <w:tr w:rsidR="00A33337" w:rsidTr="00A33337">
        <w:trPr>
          <w:trHeight w:val="300"/>
        </w:trPr>
        <w:tc>
          <w:tcPr>
            <w:tcW w:w="384" w:type="dxa"/>
            <w:vMerge/>
            <w:tcBorders>
              <w:top w:val="nil"/>
              <w:left w:val="single" w:sz="4" w:space="0" w:color="auto"/>
              <w:bottom w:val="single" w:sz="4" w:space="0" w:color="000000"/>
              <w:right w:val="single" w:sz="4" w:space="0" w:color="auto"/>
            </w:tcBorders>
            <w:vAlign w:val="center"/>
            <w:hideMark/>
          </w:tcPr>
          <w:p w:rsidR="00A33337" w:rsidRDefault="00A33337">
            <w:pPr>
              <w:rPr>
                <w:rFonts w:ascii="Calibri" w:hAnsi="Calibri" w:cs="Calibri"/>
                <w:color w:val="000000"/>
                <w:sz w:val="16"/>
                <w:szCs w:val="16"/>
              </w:rPr>
            </w:pPr>
          </w:p>
        </w:tc>
        <w:tc>
          <w:tcPr>
            <w:tcW w:w="467" w:type="dxa"/>
            <w:tcBorders>
              <w:top w:val="nil"/>
              <w:left w:val="nil"/>
              <w:bottom w:val="single" w:sz="4" w:space="0" w:color="auto"/>
              <w:right w:val="single" w:sz="4" w:space="0" w:color="auto"/>
            </w:tcBorders>
            <w:shd w:val="clear" w:color="auto" w:fill="auto"/>
            <w:noWrap/>
            <w:vAlign w:val="center"/>
            <w:hideMark/>
          </w:tcPr>
          <w:p w:rsidR="00A33337" w:rsidRDefault="00A33337">
            <w:pPr>
              <w:jc w:val="center"/>
              <w:rPr>
                <w:rFonts w:ascii="Calibri" w:hAnsi="Calibri" w:cs="Calibri"/>
                <w:color w:val="000000"/>
                <w:sz w:val="16"/>
                <w:szCs w:val="16"/>
              </w:rPr>
            </w:pPr>
            <w:r>
              <w:rPr>
                <w:rFonts w:ascii="Calibri" w:hAnsi="Calibri" w:cs="Calibri"/>
                <w:color w:val="000000"/>
                <w:sz w:val="16"/>
                <w:szCs w:val="16"/>
              </w:rPr>
              <w:t>5365</w:t>
            </w:r>
          </w:p>
        </w:tc>
        <w:tc>
          <w:tcPr>
            <w:tcW w:w="4536" w:type="dxa"/>
            <w:tcBorders>
              <w:top w:val="nil"/>
              <w:left w:val="nil"/>
              <w:bottom w:val="single" w:sz="4" w:space="0" w:color="auto"/>
              <w:right w:val="single" w:sz="4" w:space="0" w:color="auto"/>
            </w:tcBorders>
            <w:shd w:val="clear" w:color="auto" w:fill="auto"/>
            <w:vAlign w:val="center"/>
            <w:hideMark/>
          </w:tcPr>
          <w:p w:rsidR="00A33337" w:rsidRDefault="00A33337">
            <w:pPr>
              <w:rPr>
                <w:rFonts w:ascii="Calibri" w:hAnsi="Calibri" w:cs="Calibri"/>
                <w:color w:val="000000"/>
                <w:sz w:val="16"/>
                <w:szCs w:val="16"/>
              </w:rPr>
            </w:pPr>
            <w:r>
              <w:rPr>
                <w:rFonts w:ascii="Calibri" w:hAnsi="Calibri" w:cs="Calibri"/>
                <w:color w:val="000000"/>
                <w:sz w:val="16"/>
                <w:szCs w:val="16"/>
              </w:rPr>
              <w:t>Platby daní a poplatků krajům, obcím a státním fondům</w:t>
            </w:r>
          </w:p>
        </w:tc>
        <w:tc>
          <w:tcPr>
            <w:tcW w:w="1276" w:type="dxa"/>
            <w:tcBorders>
              <w:top w:val="nil"/>
              <w:left w:val="nil"/>
              <w:bottom w:val="single" w:sz="4" w:space="0" w:color="auto"/>
              <w:right w:val="single" w:sz="4" w:space="0" w:color="auto"/>
            </w:tcBorders>
            <w:shd w:val="clear" w:color="auto" w:fill="auto"/>
            <w:noWrap/>
            <w:vAlign w:val="center"/>
            <w:hideMark/>
          </w:tcPr>
          <w:p w:rsidR="00A33337" w:rsidRDefault="00A33337">
            <w:pPr>
              <w:jc w:val="right"/>
              <w:rPr>
                <w:rFonts w:ascii="Calibri" w:hAnsi="Calibri" w:cs="Calibri"/>
                <w:color w:val="000000"/>
                <w:sz w:val="16"/>
                <w:szCs w:val="16"/>
              </w:rPr>
            </w:pPr>
            <w:r>
              <w:rPr>
                <w:rFonts w:ascii="Calibri" w:hAnsi="Calibri" w:cs="Calibri"/>
                <w:color w:val="000000"/>
                <w:sz w:val="16"/>
                <w:szCs w:val="16"/>
              </w:rPr>
              <w:t>82 000,00</w:t>
            </w:r>
          </w:p>
        </w:tc>
        <w:tc>
          <w:tcPr>
            <w:tcW w:w="1417" w:type="dxa"/>
            <w:tcBorders>
              <w:top w:val="nil"/>
              <w:left w:val="nil"/>
              <w:bottom w:val="single" w:sz="4" w:space="0" w:color="auto"/>
              <w:right w:val="single" w:sz="4" w:space="0" w:color="auto"/>
            </w:tcBorders>
            <w:shd w:val="clear" w:color="auto" w:fill="auto"/>
            <w:noWrap/>
            <w:vAlign w:val="center"/>
            <w:hideMark/>
          </w:tcPr>
          <w:p w:rsidR="00A33337" w:rsidRDefault="00A33337">
            <w:pPr>
              <w:jc w:val="right"/>
              <w:rPr>
                <w:rFonts w:ascii="Calibri" w:hAnsi="Calibri" w:cs="Calibri"/>
                <w:color w:val="000000"/>
                <w:sz w:val="16"/>
                <w:szCs w:val="16"/>
              </w:rPr>
            </w:pPr>
            <w:r>
              <w:rPr>
                <w:rFonts w:ascii="Calibri" w:hAnsi="Calibri" w:cs="Calibri"/>
                <w:color w:val="000000"/>
                <w:sz w:val="16"/>
                <w:szCs w:val="16"/>
              </w:rPr>
              <w:t>71 000,00</w:t>
            </w:r>
          </w:p>
        </w:tc>
        <w:tc>
          <w:tcPr>
            <w:tcW w:w="1276" w:type="dxa"/>
            <w:tcBorders>
              <w:top w:val="nil"/>
              <w:left w:val="nil"/>
              <w:bottom w:val="single" w:sz="4" w:space="0" w:color="auto"/>
              <w:right w:val="single" w:sz="4" w:space="0" w:color="auto"/>
            </w:tcBorders>
            <w:shd w:val="clear" w:color="auto" w:fill="auto"/>
            <w:noWrap/>
            <w:vAlign w:val="center"/>
            <w:hideMark/>
          </w:tcPr>
          <w:p w:rsidR="00A33337" w:rsidRDefault="00A33337">
            <w:pPr>
              <w:jc w:val="right"/>
              <w:rPr>
                <w:rFonts w:ascii="Calibri" w:hAnsi="Calibri" w:cs="Calibri"/>
                <w:color w:val="000000"/>
                <w:sz w:val="16"/>
                <w:szCs w:val="16"/>
              </w:rPr>
            </w:pPr>
            <w:r>
              <w:rPr>
                <w:rFonts w:ascii="Calibri" w:hAnsi="Calibri" w:cs="Calibri"/>
                <w:color w:val="000000"/>
                <w:sz w:val="16"/>
                <w:szCs w:val="16"/>
              </w:rPr>
              <w:t>56 000,00</w:t>
            </w:r>
          </w:p>
        </w:tc>
      </w:tr>
      <w:tr w:rsidR="00A33337" w:rsidTr="00A33337">
        <w:trPr>
          <w:trHeight w:val="300"/>
        </w:trPr>
        <w:tc>
          <w:tcPr>
            <w:tcW w:w="384" w:type="dxa"/>
            <w:vMerge/>
            <w:tcBorders>
              <w:top w:val="nil"/>
              <w:left w:val="single" w:sz="4" w:space="0" w:color="auto"/>
              <w:bottom w:val="single" w:sz="4" w:space="0" w:color="000000"/>
              <w:right w:val="single" w:sz="4" w:space="0" w:color="auto"/>
            </w:tcBorders>
            <w:vAlign w:val="center"/>
            <w:hideMark/>
          </w:tcPr>
          <w:p w:rsidR="00A33337" w:rsidRDefault="00A33337">
            <w:pPr>
              <w:rPr>
                <w:rFonts w:ascii="Calibri" w:hAnsi="Calibri" w:cs="Calibri"/>
                <w:color w:val="000000"/>
                <w:sz w:val="16"/>
                <w:szCs w:val="16"/>
              </w:rPr>
            </w:pPr>
          </w:p>
        </w:tc>
        <w:tc>
          <w:tcPr>
            <w:tcW w:w="467" w:type="dxa"/>
            <w:tcBorders>
              <w:top w:val="nil"/>
              <w:left w:val="nil"/>
              <w:bottom w:val="single" w:sz="4" w:space="0" w:color="auto"/>
              <w:right w:val="single" w:sz="4" w:space="0" w:color="auto"/>
            </w:tcBorders>
            <w:shd w:val="clear" w:color="auto" w:fill="auto"/>
            <w:noWrap/>
            <w:vAlign w:val="center"/>
            <w:hideMark/>
          </w:tcPr>
          <w:p w:rsidR="00A33337" w:rsidRDefault="00A33337">
            <w:pPr>
              <w:jc w:val="center"/>
              <w:rPr>
                <w:rFonts w:ascii="Calibri" w:hAnsi="Calibri" w:cs="Calibri"/>
                <w:color w:val="000000"/>
                <w:sz w:val="16"/>
                <w:szCs w:val="16"/>
              </w:rPr>
            </w:pPr>
            <w:r>
              <w:rPr>
                <w:rFonts w:ascii="Calibri" w:hAnsi="Calibri" w:cs="Calibri"/>
                <w:color w:val="000000"/>
                <w:sz w:val="16"/>
                <w:szCs w:val="16"/>
              </w:rPr>
              <w:t>5366</w:t>
            </w:r>
          </w:p>
        </w:tc>
        <w:tc>
          <w:tcPr>
            <w:tcW w:w="4536" w:type="dxa"/>
            <w:tcBorders>
              <w:top w:val="nil"/>
              <w:left w:val="nil"/>
              <w:bottom w:val="single" w:sz="4" w:space="0" w:color="auto"/>
              <w:right w:val="single" w:sz="4" w:space="0" w:color="auto"/>
            </w:tcBorders>
            <w:shd w:val="clear" w:color="auto" w:fill="auto"/>
            <w:vAlign w:val="center"/>
            <w:hideMark/>
          </w:tcPr>
          <w:p w:rsidR="00A33337" w:rsidRDefault="00A33337">
            <w:pPr>
              <w:rPr>
                <w:rFonts w:ascii="Calibri" w:hAnsi="Calibri" w:cs="Calibri"/>
                <w:color w:val="000000"/>
                <w:sz w:val="16"/>
                <w:szCs w:val="16"/>
              </w:rPr>
            </w:pPr>
            <w:r>
              <w:rPr>
                <w:rFonts w:ascii="Calibri" w:hAnsi="Calibri" w:cs="Calibri"/>
                <w:color w:val="000000"/>
                <w:sz w:val="16"/>
                <w:szCs w:val="16"/>
              </w:rPr>
              <w:t>Výdaje z finančních vypořádání mezi krajem a obcemi</w:t>
            </w:r>
          </w:p>
        </w:tc>
        <w:tc>
          <w:tcPr>
            <w:tcW w:w="1276" w:type="dxa"/>
            <w:tcBorders>
              <w:top w:val="nil"/>
              <w:left w:val="nil"/>
              <w:bottom w:val="single" w:sz="4" w:space="0" w:color="auto"/>
              <w:right w:val="single" w:sz="4" w:space="0" w:color="auto"/>
            </w:tcBorders>
            <w:shd w:val="clear" w:color="auto" w:fill="auto"/>
            <w:noWrap/>
            <w:vAlign w:val="center"/>
            <w:hideMark/>
          </w:tcPr>
          <w:p w:rsidR="00A33337" w:rsidRDefault="00A33337">
            <w:pPr>
              <w:jc w:val="right"/>
              <w:rPr>
                <w:rFonts w:ascii="Calibri" w:hAnsi="Calibri" w:cs="Calibri"/>
                <w:color w:val="000000"/>
                <w:sz w:val="16"/>
                <w:szCs w:val="16"/>
              </w:rPr>
            </w:pPr>
            <w:r>
              <w:rPr>
                <w:rFonts w:ascii="Calibri" w:hAnsi="Calibri" w:cs="Calibri"/>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33337" w:rsidRDefault="00A33337">
            <w:pPr>
              <w:jc w:val="right"/>
              <w:rPr>
                <w:rFonts w:ascii="Calibri" w:hAnsi="Calibri" w:cs="Calibri"/>
                <w:color w:val="000000"/>
                <w:sz w:val="16"/>
                <w:szCs w:val="16"/>
              </w:rPr>
            </w:pPr>
            <w:r>
              <w:rPr>
                <w:rFonts w:ascii="Calibri" w:hAnsi="Calibri" w:cs="Calibri"/>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A33337" w:rsidRDefault="00A33337">
            <w:pPr>
              <w:jc w:val="right"/>
              <w:rPr>
                <w:rFonts w:ascii="Calibri" w:hAnsi="Calibri" w:cs="Calibri"/>
                <w:color w:val="000000"/>
                <w:sz w:val="16"/>
                <w:szCs w:val="16"/>
              </w:rPr>
            </w:pPr>
            <w:r>
              <w:rPr>
                <w:rFonts w:ascii="Calibri" w:hAnsi="Calibri" w:cs="Calibri"/>
                <w:color w:val="000000"/>
                <w:sz w:val="16"/>
                <w:szCs w:val="16"/>
              </w:rPr>
              <w:t>1 182,84</w:t>
            </w:r>
          </w:p>
        </w:tc>
      </w:tr>
    </w:tbl>
    <w:p w:rsidR="00A33337" w:rsidRDefault="00A33337" w:rsidP="00A33337"/>
    <w:p w:rsidR="00A33337" w:rsidRDefault="00A33337" w:rsidP="00A33337"/>
    <w:p w:rsidR="002B2B46" w:rsidRDefault="002B2B46" w:rsidP="002B2B46">
      <w:pPr>
        <w:jc w:val="center"/>
      </w:pPr>
      <w:r>
        <w:rPr>
          <w:noProof/>
        </w:rPr>
        <w:lastRenderedPageBreak/>
        <w:drawing>
          <wp:inline distT="0" distB="0" distL="0" distR="0" wp14:anchorId="4869C591" wp14:editId="11002C3F">
            <wp:extent cx="4451130" cy="3306900"/>
            <wp:effectExtent l="0" t="0" r="6985" b="8255"/>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2B2B46" w:rsidRPr="00A33337" w:rsidRDefault="002B2B46" w:rsidP="00A33337"/>
    <w:p w:rsidR="008E1A8F" w:rsidRPr="009E58F2" w:rsidRDefault="004B125F" w:rsidP="004B125F">
      <w:pPr>
        <w:pStyle w:val="Nadpis2"/>
        <w:keepNext w:val="0"/>
      </w:pPr>
      <w:r w:rsidRPr="009E58F2">
        <w:t>Neinvestiční transfery obyvatelstvu</w:t>
      </w:r>
    </w:p>
    <w:p w:rsidR="00815D12" w:rsidRPr="009E58F2" w:rsidRDefault="00815D12" w:rsidP="007B0202">
      <w:pPr>
        <w:jc w:val="both"/>
        <w:rPr>
          <w:rFonts w:ascii="Calibri" w:hAnsi="Calibri" w:cs="Calibri"/>
          <w:sz w:val="22"/>
          <w:szCs w:val="22"/>
        </w:rPr>
      </w:pPr>
      <w:r w:rsidRPr="009E58F2">
        <w:rPr>
          <w:rFonts w:ascii="Calibri" w:hAnsi="Calibri" w:cs="Calibri"/>
          <w:sz w:val="22"/>
          <w:szCs w:val="22"/>
        </w:rPr>
        <w:t>Neinvestiční transfery obyvatelstvu jsou tvořeny zejména náhradami mezd v době nemoci (</w:t>
      </w:r>
      <w:r w:rsidR="002B56F3">
        <w:rPr>
          <w:rFonts w:ascii="Calibri" w:hAnsi="Calibri" w:cs="Calibri"/>
          <w:sz w:val="22"/>
          <w:szCs w:val="22"/>
        </w:rPr>
        <w:t>2,33</w:t>
      </w:r>
      <w:r w:rsidR="009E58F2" w:rsidRPr="009E58F2">
        <w:rPr>
          <w:rFonts w:ascii="Calibri" w:hAnsi="Calibri" w:cs="Calibri"/>
          <w:sz w:val="22"/>
          <w:szCs w:val="22"/>
        </w:rPr>
        <w:t xml:space="preserve"> mil. Kč) a </w:t>
      </w:r>
      <w:r w:rsidRPr="009E58F2">
        <w:rPr>
          <w:rFonts w:ascii="Calibri" w:hAnsi="Calibri" w:cs="Calibri"/>
          <w:sz w:val="22"/>
          <w:szCs w:val="22"/>
        </w:rPr>
        <w:t>ostatními neinvestičními transfery</w:t>
      </w:r>
      <w:r w:rsidR="00487C18" w:rsidRPr="009E58F2">
        <w:rPr>
          <w:rFonts w:ascii="Calibri" w:hAnsi="Calibri" w:cs="Calibri"/>
          <w:sz w:val="22"/>
          <w:szCs w:val="22"/>
        </w:rPr>
        <w:t xml:space="preserve"> (</w:t>
      </w:r>
      <w:r w:rsidR="002B56F3">
        <w:rPr>
          <w:rFonts w:ascii="Calibri" w:hAnsi="Calibri" w:cs="Calibri"/>
          <w:sz w:val="22"/>
          <w:szCs w:val="22"/>
        </w:rPr>
        <w:t>6,49</w:t>
      </w:r>
      <w:r w:rsidR="00487C18" w:rsidRPr="009E58F2">
        <w:rPr>
          <w:rFonts w:ascii="Calibri" w:hAnsi="Calibri" w:cs="Calibri"/>
          <w:sz w:val="22"/>
          <w:szCs w:val="22"/>
        </w:rPr>
        <w:t xml:space="preserve"> mil. Kč)</w:t>
      </w:r>
      <w:r w:rsidRPr="009E58F2">
        <w:rPr>
          <w:rFonts w:ascii="Calibri" w:hAnsi="Calibri" w:cs="Calibri"/>
          <w:sz w:val="22"/>
          <w:szCs w:val="22"/>
        </w:rPr>
        <w:t xml:space="preserve">, které představují dary, </w:t>
      </w:r>
      <w:r w:rsidR="007B0202" w:rsidRPr="009E58F2">
        <w:rPr>
          <w:rFonts w:ascii="Calibri" w:hAnsi="Calibri" w:cs="Calibri"/>
          <w:sz w:val="22"/>
          <w:szCs w:val="22"/>
        </w:rPr>
        <w:t>účelové neinvestiční</w:t>
      </w:r>
      <w:r w:rsidRPr="009E58F2">
        <w:rPr>
          <w:rFonts w:ascii="Calibri" w:hAnsi="Calibri" w:cs="Calibri"/>
          <w:sz w:val="22"/>
          <w:szCs w:val="22"/>
        </w:rPr>
        <w:t xml:space="preserve"> </w:t>
      </w:r>
      <w:r w:rsidR="007B0202" w:rsidRPr="009E58F2">
        <w:rPr>
          <w:rFonts w:ascii="Calibri" w:hAnsi="Calibri" w:cs="Calibri"/>
          <w:sz w:val="22"/>
          <w:szCs w:val="22"/>
        </w:rPr>
        <w:t>t</w:t>
      </w:r>
      <w:r w:rsidRPr="009E58F2">
        <w:rPr>
          <w:rFonts w:ascii="Calibri" w:hAnsi="Calibri" w:cs="Calibri"/>
          <w:sz w:val="22"/>
          <w:szCs w:val="22"/>
        </w:rPr>
        <w:t>ransfery fyzickým osobám a ostatní neinvestiční transfery obyvatelstvu.</w:t>
      </w:r>
    </w:p>
    <w:p w:rsidR="00815D12" w:rsidRPr="009E58F2" w:rsidRDefault="00815D12" w:rsidP="007B0202">
      <w:pPr>
        <w:jc w:val="both"/>
        <w:rPr>
          <w:rFonts w:ascii="Calibri" w:hAnsi="Calibri" w:cs="Calibri"/>
          <w:sz w:val="22"/>
          <w:szCs w:val="22"/>
        </w:rPr>
      </w:pPr>
    </w:p>
    <w:p w:rsidR="00C259F7" w:rsidRPr="00306395" w:rsidRDefault="007B0202" w:rsidP="00C259F7">
      <w:pPr>
        <w:jc w:val="both"/>
        <w:rPr>
          <w:rFonts w:ascii="Calibri" w:hAnsi="Calibri" w:cs="Calibri"/>
          <w:color w:val="A6A6A6" w:themeColor="background1" w:themeShade="A6"/>
          <w:sz w:val="22"/>
          <w:szCs w:val="22"/>
        </w:rPr>
      </w:pPr>
      <w:r w:rsidRPr="009E58F2">
        <w:rPr>
          <w:rFonts w:ascii="Calibri" w:hAnsi="Calibri" w:cs="Calibri"/>
          <w:sz w:val="22"/>
          <w:szCs w:val="22"/>
        </w:rPr>
        <w:t>Na položce dary (</w:t>
      </w:r>
      <w:r w:rsidR="002B56F3">
        <w:rPr>
          <w:rFonts w:ascii="Calibri" w:hAnsi="Calibri" w:cs="Calibri"/>
          <w:sz w:val="22"/>
          <w:szCs w:val="22"/>
        </w:rPr>
        <w:t>1,04</w:t>
      </w:r>
      <w:r w:rsidR="00A12257" w:rsidRPr="009E58F2">
        <w:rPr>
          <w:rFonts w:ascii="Calibri" w:hAnsi="Calibri" w:cs="Calibri"/>
          <w:sz w:val="22"/>
          <w:szCs w:val="22"/>
        </w:rPr>
        <w:t xml:space="preserve"> </w:t>
      </w:r>
      <w:r w:rsidR="002B56F3">
        <w:rPr>
          <w:rFonts w:ascii="Calibri" w:hAnsi="Calibri" w:cs="Calibri"/>
          <w:sz w:val="22"/>
          <w:szCs w:val="22"/>
        </w:rPr>
        <w:t>mil</w:t>
      </w:r>
      <w:r w:rsidRPr="009E58F2">
        <w:rPr>
          <w:rFonts w:ascii="Calibri" w:hAnsi="Calibri" w:cs="Calibri"/>
          <w:sz w:val="22"/>
          <w:szCs w:val="22"/>
        </w:rPr>
        <w:t>. Kč) jsou zaúčtovány zejména finanční dary rodičům při vítání občánků města Prostějova (</w:t>
      </w:r>
      <w:r w:rsidR="0039356C" w:rsidRPr="009E58F2">
        <w:rPr>
          <w:rFonts w:ascii="Calibri" w:hAnsi="Calibri" w:cs="Calibri"/>
          <w:sz w:val="22"/>
          <w:szCs w:val="22"/>
        </w:rPr>
        <w:t xml:space="preserve">finanční dar ve výši </w:t>
      </w:r>
      <w:r w:rsidRPr="009E58F2">
        <w:rPr>
          <w:rFonts w:ascii="Calibri" w:hAnsi="Calibri" w:cs="Calibri"/>
          <w:sz w:val="22"/>
          <w:szCs w:val="22"/>
        </w:rPr>
        <w:t>2 tis. Kč</w:t>
      </w:r>
      <w:r w:rsidR="00C259F7" w:rsidRPr="009E58F2">
        <w:rPr>
          <w:rFonts w:ascii="Calibri" w:hAnsi="Calibri" w:cs="Calibri"/>
          <w:sz w:val="22"/>
          <w:szCs w:val="22"/>
        </w:rPr>
        <w:t xml:space="preserve"> , finanční dar pro 1. občánka roku 202</w:t>
      </w:r>
      <w:r w:rsidR="002B56F3">
        <w:rPr>
          <w:rFonts w:ascii="Calibri" w:hAnsi="Calibri" w:cs="Calibri"/>
          <w:sz w:val="22"/>
          <w:szCs w:val="22"/>
        </w:rPr>
        <w:t>2</w:t>
      </w:r>
      <w:r w:rsidR="00C259F7" w:rsidRPr="009E58F2">
        <w:rPr>
          <w:rFonts w:ascii="Calibri" w:hAnsi="Calibri" w:cs="Calibri"/>
          <w:sz w:val="22"/>
          <w:szCs w:val="22"/>
        </w:rPr>
        <w:t xml:space="preserve"> ve výši 10 tis. Kč</w:t>
      </w:r>
      <w:r w:rsidR="00400494" w:rsidRPr="009E58F2">
        <w:rPr>
          <w:rFonts w:ascii="Calibri" w:hAnsi="Calibri" w:cs="Calibri"/>
          <w:sz w:val="22"/>
          <w:szCs w:val="22"/>
        </w:rPr>
        <w:t>),</w:t>
      </w:r>
      <w:r w:rsidR="00270258">
        <w:rPr>
          <w:rFonts w:ascii="Calibri" w:hAnsi="Calibri" w:cs="Calibri"/>
          <w:sz w:val="22"/>
          <w:szCs w:val="22"/>
        </w:rPr>
        <w:t xml:space="preserve"> finanční ocenění za záchranu života pro příslušníky Policie ČR (15 tis. Kč),</w:t>
      </w:r>
      <w:r w:rsidRPr="009E58F2">
        <w:rPr>
          <w:rFonts w:ascii="Calibri" w:hAnsi="Calibri" w:cs="Calibri"/>
          <w:sz w:val="22"/>
          <w:szCs w:val="22"/>
        </w:rPr>
        <w:t xml:space="preserve"> </w:t>
      </w:r>
      <w:r w:rsidR="00C259F7" w:rsidRPr="009E58F2">
        <w:rPr>
          <w:rFonts w:ascii="Calibri" w:hAnsi="Calibri" w:cs="Calibri"/>
          <w:sz w:val="22"/>
          <w:szCs w:val="22"/>
        </w:rPr>
        <w:t xml:space="preserve">příspěvky na kastraci </w:t>
      </w:r>
      <w:r w:rsidR="008F224B">
        <w:rPr>
          <w:rFonts w:ascii="Calibri" w:hAnsi="Calibri" w:cs="Calibri"/>
          <w:sz w:val="22"/>
          <w:szCs w:val="22"/>
        </w:rPr>
        <w:t>koček</w:t>
      </w:r>
      <w:r w:rsidR="004C6B3C">
        <w:rPr>
          <w:rFonts w:ascii="Calibri" w:hAnsi="Calibri" w:cs="Calibri"/>
          <w:sz w:val="22"/>
          <w:szCs w:val="22"/>
        </w:rPr>
        <w:t xml:space="preserve"> a kocourů.</w:t>
      </w:r>
    </w:p>
    <w:p w:rsidR="002B56F3" w:rsidRPr="00306395" w:rsidRDefault="002B56F3" w:rsidP="007B0202">
      <w:pPr>
        <w:jc w:val="both"/>
        <w:rPr>
          <w:color w:val="A6A6A6" w:themeColor="background1" w:themeShade="A6"/>
        </w:rPr>
      </w:pPr>
    </w:p>
    <w:p w:rsidR="0090449D" w:rsidRPr="00D00657" w:rsidRDefault="007B0202" w:rsidP="007B0202">
      <w:pPr>
        <w:jc w:val="both"/>
        <w:rPr>
          <w:rFonts w:asciiTheme="minorHAnsi" w:hAnsiTheme="minorHAnsi" w:cstheme="minorHAnsi"/>
          <w:sz w:val="22"/>
          <w:szCs w:val="22"/>
        </w:rPr>
      </w:pPr>
      <w:r w:rsidRPr="00D00657">
        <w:rPr>
          <w:rFonts w:asciiTheme="minorHAnsi" w:hAnsiTheme="minorHAnsi" w:cstheme="minorHAnsi"/>
          <w:sz w:val="22"/>
          <w:szCs w:val="22"/>
        </w:rPr>
        <w:t>Ostatní neinvestiční transfery obyvatelstvu (</w:t>
      </w:r>
      <w:r w:rsidR="004C6B3C">
        <w:rPr>
          <w:rFonts w:asciiTheme="minorHAnsi" w:hAnsiTheme="minorHAnsi" w:cstheme="minorHAnsi"/>
          <w:sz w:val="22"/>
          <w:szCs w:val="22"/>
        </w:rPr>
        <w:t>4,26</w:t>
      </w:r>
      <w:r w:rsidRPr="00D00657">
        <w:rPr>
          <w:rFonts w:asciiTheme="minorHAnsi" w:hAnsiTheme="minorHAnsi" w:cstheme="minorHAnsi"/>
          <w:sz w:val="22"/>
          <w:szCs w:val="22"/>
        </w:rPr>
        <w:t xml:space="preserve"> mil. Kč)</w:t>
      </w:r>
      <w:r w:rsidR="0039356C" w:rsidRPr="00D00657">
        <w:rPr>
          <w:rFonts w:asciiTheme="minorHAnsi" w:hAnsiTheme="minorHAnsi" w:cstheme="minorHAnsi"/>
          <w:sz w:val="22"/>
          <w:szCs w:val="22"/>
        </w:rPr>
        <w:t xml:space="preserve"> představují příspěvky</w:t>
      </w:r>
      <w:r w:rsidRPr="00D00657">
        <w:rPr>
          <w:rFonts w:asciiTheme="minorHAnsi" w:hAnsiTheme="minorHAnsi" w:cstheme="minorHAnsi"/>
          <w:sz w:val="22"/>
          <w:szCs w:val="22"/>
        </w:rPr>
        <w:t xml:space="preserve"> zaměstnancům na </w:t>
      </w:r>
      <w:r w:rsidR="004C6B3C">
        <w:rPr>
          <w:rFonts w:asciiTheme="minorHAnsi" w:hAnsiTheme="minorHAnsi" w:cstheme="minorHAnsi"/>
          <w:sz w:val="22"/>
          <w:szCs w:val="22"/>
        </w:rPr>
        <w:t xml:space="preserve">penzijní připojištění, </w:t>
      </w:r>
      <w:r w:rsidRPr="00D00657">
        <w:rPr>
          <w:rFonts w:asciiTheme="minorHAnsi" w:hAnsiTheme="minorHAnsi" w:cstheme="minorHAnsi"/>
          <w:sz w:val="22"/>
          <w:szCs w:val="22"/>
        </w:rPr>
        <w:t>rekreaci</w:t>
      </w:r>
      <w:r w:rsidR="00904947" w:rsidRPr="00D00657">
        <w:rPr>
          <w:rFonts w:asciiTheme="minorHAnsi" w:hAnsiTheme="minorHAnsi" w:cstheme="minorHAnsi"/>
          <w:sz w:val="22"/>
          <w:szCs w:val="22"/>
        </w:rPr>
        <w:t>, léčebnou rehabilitaci</w:t>
      </w:r>
      <w:r w:rsidRPr="00D00657">
        <w:rPr>
          <w:rFonts w:asciiTheme="minorHAnsi" w:hAnsiTheme="minorHAnsi" w:cstheme="minorHAnsi"/>
          <w:sz w:val="22"/>
          <w:szCs w:val="22"/>
        </w:rPr>
        <w:t xml:space="preserve"> a léčebné pobyty ze sociálního fond</w:t>
      </w:r>
      <w:r w:rsidR="00BD2285" w:rsidRPr="00D00657">
        <w:rPr>
          <w:rFonts w:asciiTheme="minorHAnsi" w:hAnsiTheme="minorHAnsi" w:cstheme="minorHAnsi"/>
          <w:sz w:val="22"/>
          <w:szCs w:val="22"/>
        </w:rPr>
        <w:t>u na základě kolektivní smlouvy, a dále dary při pracovních a životních výročí.</w:t>
      </w:r>
      <w:r w:rsidR="00C259F7" w:rsidRPr="00D00657">
        <w:rPr>
          <w:rFonts w:asciiTheme="minorHAnsi" w:hAnsiTheme="minorHAnsi" w:cstheme="minorHAnsi"/>
          <w:sz w:val="22"/>
          <w:szCs w:val="22"/>
        </w:rPr>
        <w:t xml:space="preserve"> Bližší komentář viz rozbory kapitoly 71 – sociální fond</w:t>
      </w:r>
      <w:r w:rsidR="00400494" w:rsidRPr="00D00657">
        <w:rPr>
          <w:rFonts w:asciiTheme="minorHAnsi" w:hAnsiTheme="minorHAnsi" w:cstheme="minorHAnsi"/>
          <w:sz w:val="22"/>
          <w:szCs w:val="22"/>
        </w:rPr>
        <w:t>.</w:t>
      </w:r>
    </w:p>
    <w:p w:rsidR="0090449D" w:rsidRPr="00306395" w:rsidRDefault="0090449D" w:rsidP="007B0202">
      <w:pPr>
        <w:jc w:val="both"/>
        <w:rPr>
          <w:rFonts w:asciiTheme="minorHAnsi" w:hAnsiTheme="minorHAnsi" w:cstheme="minorHAnsi"/>
          <w:color w:val="A6A6A6" w:themeColor="background1" w:themeShade="A6"/>
          <w:sz w:val="22"/>
          <w:szCs w:val="22"/>
        </w:rPr>
      </w:pPr>
    </w:p>
    <w:p w:rsidR="0090449D" w:rsidRPr="00D00657" w:rsidRDefault="0090449D" w:rsidP="007B0202">
      <w:pPr>
        <w:jc w:val="both"/>
        <w:rPr>
          <w:rFonts w:asciiTheme="minorHAnsi" w:hAnsiTheme="minorHAnsi" w:cstheme="minorHAnsi"/>
          <w:sz w:val="22"/>
          <w:szCs w:val="22"/>
        </w:rPr>
      </w:pPr>
      <w:r w:rsidRPr="00D00657">
        <w:rPr>
          <w:rFonts w:asciiTheme="minorHAnsi" w:hAnsiTheme="minorHAnsi" w:cstheme="minorHAnsi"/>
          <w:sz w:val="22"/>
          <w:szCs w:val="22"/>
        </w:rPr>
        <w:t xml:space="preserve">V oblasti účelových neinvestičních transferů fyzickým osobám putovalo </w:t>
      </w:r>
      <w:r w:rsidR="00C259F7" w:rsidRPr="00D00657">
        <w:rPr>
          <w:rFonts w:asciiTheme="minorHAnsi" w:hAnsiTheme="minorHAnsi" w:cstheme="minorHAnsi"/>
          <w:sz w:val="22"/>
          <w:szCs w:val="22"/>
        </w:rPr>
        <w:t>1,</w:t>
      </w:r>
      <w:r w:rsidR="004C6B3C">
        <w:rPr>
          <w:rFonts w:asciiTheme="minorHAnsi" w:hAnsiTheme="minorHAnsi" w:cstheme="minorHAnsi"/>
          <w:sz w:val="22"/>
          <w:szCs w:val="22"/>
        </w:rPr>
        <w:t>19</w:t>
      </w:r>
      <w:r w:rsidR="00C259F7" w:rsidRPr="00D00657">
        <w:rPr>
          <w:rFonts w:asciiTheme="minorHAnsi" w:hAnsiTheme="minorHAnsi" w:cstheme="minorHAnsi"/>
          <w:sz w:val="22"/>
          <w:szCs w:val="22"/>
        </w:rPr>
        <w:t xml:space="preserve"> mil. Kč</w:t>
      </w:r>
      <w:r w:rsidRPr="00D00657">
        <w:rPr>
          <w:rFonts w:asciiTheme="minorHAnsi" w:hAnsiTheme="minorHAnsi" w:cstheme="minorHAnsi"/>
          <w:sz w:val="22"/>
          <w:szCs w:val="22"/>
        </w:rPr>
        <w:t xml:space="preserve"> do těchto </w:t>
      </w:r>
      <w:r w:rsidR="00904947" w:rsidRPr="00D00657">
        <w:rPr>
          <w:rFonts w:asciiTheme="minorHAnsi" w:hAnsiTheme="minorHAnsi" w:cstheme="minorHAnsi"/>
          <w:sz w:val="22"/>
          <w:szCs w:val="22"/>
        </w:rPr>
        <w:t>odvětví</w:t>
      </w:r>
      <w:r w:rsidRPr="00D00657">
        <w:rPr>
          <w:rFonts w:asciiTheme="minorHAnsi" w:hAnsiTheme="minorHAnsi" w:cstheme="minorHAnsi"/>
          <w:sz w:val="22"/>
          <w:szCs w:val="22"/>
        </w:rPr>
        <w:t>:</w:t>
      </w:r>
    </w:p>
    <w:p w:rsidR="004B125F" w:rsidRPr="00D00657" w:rsidRDefault="0021017A" w:rsidP="0090449D">
      <w:pPr>
        <w:pStyle w:val="Odstavecseseznamem"/>
        <w:numPr>
          <w:ilvl w:val="0"/>
          <w:numId w:val="17"/>
        </w:numPr>
        <w:ind w:left="714" w:hanging="357"/>
        <w:rPr>
          <w:rFonts w:asciiTheme="minorHAnsi" w:hAnsiTheme="minorHAnsi" w:cstheme="minorHAnsi"/>
          <w:sz w:val="22"/>
          <w:szCs w:val="22"/>
        </w:rPr>
      </w:pPr>
      <w:r w:rsidRPr="00D00657">
        <w:rPr>
          <w:rFonts w:asciiTheme="minorHAnsi" w:hAnsiTheme="minorHAnsi" w:cstheme="minorHAnsi"/>
          <w:sz w:val="22"/>
          <w:szCs w:val="22"/>
        </w:rPr>
        <w:t>z</w:t>
      </w:r>
      <w:r w:rsidR="0090449D" w:rsidRPr="00D00657">
        <w:rPr>
          <w:rFonts w:asciiTheme="minorHAnsi" w:hAnsiTheme="minorHAnsi" w:cstheme="minorHAnsi"/>
          <w:sz w:val="22"/>
          <w:szCs w:val="22"/>
        </w:rPr>
        <w:t>achování a obnova kulturních památek (</w:t>
      </w:r>
      <w:r w:rsidR="00D00657" w:rsidRPr="00D00657">
        <w:rPr>
          <w:rFonts w:asciiTheme="minorHAnsi" w:hAnsiTheme="minorHAnsi" w:cstheme="minorHAnsi"/>
          <w:sz w:val="22"/>
          <w:szCs w:val="22"/>
        </w:rPr>
        <w:t>6</w:t>
      </w:r>
      <w:r w:rsidR="004C6B3C">
        <w:rPr>
          <w:rFonts w:asciiTheme="minorHAnsi" w:hAnsiTheme="minorHAnsi" w:cstheme="minorHAnsi"/>
          <w:sz w:val="22"/>
          <w:szCs w:val="22"/>
        </w:rPr>
        <w:t>57</w:t>
      </w:r>
      <w:r w:rsidR="0090449D" w:rsidRPr="00D00657">
        <w:rPr>
          <w:rFonts w:asciiTheme="minorHAnsi" w:hAnsiTheme="minorHAnsi" w:cstheme="minorHAnsi"/>
          <w:sz w:val="22"/>
          <w:szCs w:val="22"/>
        </w:rPr>
        <w:t xml:space="preserve"> tis. Kč)</w:t>
      </w:r>
      <w:r w:rsidR="004C6B3C">
        <w:rPr>
          <w:rFonts w:asciiTheme="minorHAnsi" w:hAnsiTheme="minorHAnsi" w:cstheme="minorHAnsi"/>
          <w:sz w:val="22"/>
          <w:szCs w:val="22"/>
        </w:rPr>
        <w:t>,</w:t>
      </w:r>
    </w:p>
    <w:p w:rsidR="00AF3A01" w:rsidRPr="00D00657" w:rsidRDefault="00AF3A01" w:rsidP="00AF3A01">
      <w:pPr>
        <w:pStyle w:val="Odstavecseseznamem"/>
        <w:numPr>
          <w:ilvl w:val="0"/>
          <w:numId w:val="17"/>
        </w:numPr>
        <w:ind w:left="714" w:hanging="357"/>
        <w:rPr>
          <w:rFonts w:asciiTheme="minorHAnsi" w:hAnsiTheme="minorHAnsi" w:cstheme="minorHAnsi"/>
          <w:sz w:val="22"/>
          <w:szCs w:val="22"/>
        </w:rPr>
      </w:pPr>
      <w:r w:rsidRPr="00D00657">
        <w:rPr>
          <w:rFonts w:asciiTheme="minorHAnsi" w:hAnsiTheme="minorHAnsi" w:cstheme="minorHAnsi"/>
          <w:sz w:val="22"/>
          <w:szCs w:val="22"/>
        </w:rPr>
        <w:t>kultura (</w:t>
      </w:r>
      <w:r w:rsidR="004C6B3C">
        <w:rPr>
          <w:rFonts w:asciiTheme="minorHAnsi" w:hAnsiTheme="minorHAnsi" w:cstheme="minorHAnsi"/>
          <w:sz w:val="22"/>
          <w:szCs w:val="22"/>
        </w:rPr>
        <w:t>228</w:t>
      </w:r>
      <w:r w:rsidRPr="00D00657">
        <w:rPr>
          <w:rFonts w:asciiTheme="minorHAnsi" w:hAnsiTheme="minorHAnsi" w:cstheme="minorHAnsi"/>
          <w:sz w:val="22"/>
          <w:szCs w:val="22"/>
        </w:rPr>
        <w:t xml:space="preserve"> tis. Kč)</w:t>
      </w:r>
      <w:r w:rsidR="004C6B3C">
        <w:rPr>
          <w:rFonts w:asciiTheme="minorHAnsi" w:hAnsiTheme="minorHAnsi" w:cstheme="minorHAnsi"/>
          <w:sz w:val="22"/>
          <w:szCs w:val="22"/>
        </w:rPr>
        <w:t>,</w:t>
      </w:r>
    </w:p>
    <w:p w:rsidR="00AF3A01" w:rsidRPr="00D00657" w:rsidRDefault="00AF3A01" w:rsidP="00AF3A01">
      <w:pPr>
        <w:pStyle w:val="Odstavecseseznamem"/>
        <w:numPr>
          <w:ilvl w:val="0"/>
          <w:numId w:val="17"/>
        </w:numPr>
        <w:ind w:left="714" w:hanging="357"/>
        <w:rPr>
          <w:rFonts w:asciiTheme="minorHAnsi" w:hAnsiTheme="minorHAnsi" w:cstheme="minorHAnsi"/>
          <w:sz w:val="22"/>
          <w:szCs w:val="22"/>
        </w:rPr>
      </w:pPr>
      <w:r w:rsidRPr="00D00657">
        <w:rPr>
          <w:rFonts w:asciiTheme="minorHAnsi" w:hAnsiTheme="minorHAnsi" w:cstheme="minorHAnsi"/>
          <w:sz w:val="22"/>
          <w:szCs w:val="22"/>
        </w:rPr>
        <w:t>sport (</w:t>
      </w:r>
      <w:r w:rsidR="004C6B3C">
        <w:rPr>
          <w:rFonts w:asciiTheme="minorHAnsi" w:hAnsiTheme="minorHAnsi" w:cstheme="minorHAnsi"/>
          <w:sz w:val="22"/>
          <w:szCs w:val="22"/>
        </w:rPr>
        <w:t>272</w:t>
      </w:r>
      <w:r w:rsidRPr="00D00657">
        <w:rPr>
          <w:rFonts w:asciiTheme="minorHAnsi" w:hAnsiTheme="minorHAnsi" w:cstheme="minorHAnsi"/>
          <w:sz w:val="22"/>
          <w:szCs w:val="22"/>
        </w:rPr>
        <w:t xml:space="preserve"> tis. Kč)</w:t>
      </w:r>
      <w:r w:rsidR="004C6B3C">
        <w:rPr>
          <w:rFonts w:asciiTheme="minorHAnsi" w:hAnsiTheme="minorHAnsi" w:cstheme="minorHAnsi"/>
          <w:sz w:val="22"/>
          <w:szCs w:val="22"/>
        </w:rPr>
        <w:t>,</w:t>
      </w:r>
    </w:p>
    <w:p w:rsidR="00F02A44" w:rsidRPr="004C6B3C" w:rsidRDefault="003908E1" w:rsidP="004C6B3C">
      <w:pPr>
        <w:pStyle w:val="Odstavecseseznamem"/>
        <w:numPr>
          <w:ilvl w:val="0"/>
          <w:numId w:val="17"/>
        </w:numPr>
        <w:ind w:left="714" w:hanging="357"/>
        <w:rPr>
          <w:rFonts w:asciiTheme="minorHAnsi" w:hAnsiTheme="minorHAnsi" w:cstheme="minorHAnsi"/>
          <w:sz w:val="22"/>
          <w:szCs w:val="22"/>
        </w:rPr>
      </w:pPr>
      <w:r w:rsidRPr="00D00657">
        <w:rPr>
          <w:rFonts w:asciiTheme="minorHAnsi" w:hAnsiTheme="minorHAnsi" w:cstheme="minorHAnsi"/>
          <w:sz w:val="22"/>
          <w:szCs w:val="22"/>
        </w:rPr>
        <w:t>vzdělání (</w:t>
      </w:r>
      <w:r w:rsidR="004C6B3C">
        <w:rPr>
          <w:rFonts w:asciiTheme="minorHAnsi" w:hAnsiTheme="minorHAnsi" w:cstheme="minorHAnsi"/>
          <w:sz w:val="22"/>
          <w:szCs w:val="22"/>
        </w:rPr>
        <w:t>36,99</w:t>
      </w:r>
      <w:r w:rsidR="00D00657" w:rsidRPr="00D00657">
        <w:rPr>
          <w:rFonts w:asciiTheme="minorHAnsi" w:hAnsiTheme="minorHAnsi" w:cstheme="minorHAnsi"/>
          <w:sz w:val="22"/>
          <w:szCs w:val="22"/>
        </w:rPr>
        <w:t xml:space="preserve"> </w:t>
      </w:r>
      <w:r w:rsidR="0021017A" w:rsidRPr="00D00657">
        <w:rPr>
          <w:rFonts w:asciiTheme="minorHAnsi" w:hAnsiTheme="minorHAnsi" w:cstheme="minorHAnsi"/>
          <w:sz w:val="22"/>
          <w:szCs w:val="22"/>
        </w:rPr>
        <w:t>tis. Kč</w:t>
      </w:r>
      <w:r w:rsidR="004C6B3C">
        <w:rPr>
          <w:rFonts w:asciiTheme="minorHAnsi" w:hAnsiTheme="minorHAnsi" w:cstheme="minorHAnsi"/>
          <w:sz w:val="22"/>
          <w:szCs w:val="22"/>
        </w:rPr>
        <w:t>).</w:t>
      </w:r>
    </w:p>
    <w:p w:rsidR="004B125F" w:rsidRDefault="004B125F" w:rsidP="0024764D">
      <w:pPr>
        <w:pStyle w:val="Nadpis3"/>
        <w:rPr>
          <w:b w:val="0"/>
        </w:rPr>
      </w:pPr>
      <w:r w:rsidRPr="00D00657">
        <w:rPr>
          <w:b w:val="0"/>
        </w:rPr>
        <w:t>Srovnání neinvestičních tran</w:t>
      </w:r>
      <w:r w:rsidR="00306395" w:rsidRPr="00D00657">
        <w:rPr>
          <w:b w:val="0"/>
        </w:rPr>
        <w:t>sferů obyvatelstvu v letech 20</w:t>
      </w:r>
      <w:r w:rsidR="002B2B46">
        <w:rPr>
          <w:b w:val="0"/>
        </w:rPr>
        <w:t>20</w:t>
      </w:r>
      <w:r w:rsidR="00A47E48" w:rsidRPr="00D00657">
        <w:rPr>
          <w:b w:val="0"/>
        </w:rPr>
        <w:t xml:space="preserve"> </w:t>
      </w:r>
      <w:r w:rsidRPr="00D00657">
        <w:rPr>
          <w:b w:val="0"/>
        </w:rPr>
        <w:t>-</w:t>
      </w:r>
      <w:r w:rsidR="00A47E48" w:rsidRPr="00D00657">
        <w:rPr>
          <w:b w:val="0"/>
        </w:rPr>
        <w:t xml:space="preserve"> </w:t>
      </w:r>
      <w:r w:rsidR="007C45AC" w:rsidRPr="00D00657">
        <w:rPr>
          <w:b w:val="0"/>
        </w:rPr>
        <w:t>202</w:t>
      </w:r>
      <w:r w:rsidR="002B2B46">
        <w:rPr>
          <w:b w:val="0"/>
        </w:rPr>
        <w:t>2</w:t>
      </w:r>
      <w:r w:rsidRPr="00D00657">
        <w:rPr>
          <w:b w:val="0"/>
        </w:rPr>
        <w:t xml:space="preserve"> po konsolidaci v</w:t>
      </w:r>
      <w:r w:rsidR="002B2B46">
        <w:rPr>
          <w:b w:val="0"/>
        </w:rPr>
        <w:t> </w:t>
      </w:r>
      <w:r w:rsidRPr="00D00657">
        <w:rPr>
          <w:b w:val="0"/>
        </w:rPr>
        <w:t>Kč</w:t>
      </w:r>
    </w:p>
    <w:tbl>
      <w:tblPr>
        <w:tblW w:w="9428" w:type="dxa"/>
        <w:tblInd w:w="-5" w:type="dxa"/>
        <w:tblCellMar>
          <w:left w:w="70" w:type="dxa"/>
          <w:right w:w="70" w:type="dxa"/>
        </w:tblCellMar>
        <w:tblLook w:val="04A0" w:firstRow="1" w:lastRow="0" w:firstColumn="1" w:lastColumn="0" w:noHBand="0" w:noVBand="1"/>
      </w:tblPr>
      <w:tblGrid>
        <w:gridCol w:w="384"/>
        <w:gridCol w:w="465"/>
        <w:gridCol w:w="4821"/>
        <w:gridCol w:w="1276"/>
        <w:gridCol w:w="1276"/>
        <w:gridCol w:w="1206"/>
      </w:tblGrid>
      <w:tr w:rsidR="002B56F3" w:rsidTr="00270258">
        <w:trPr>
          <w:trHeight w:val="312"/>
        </w:trPr>
        <w:tc>
          <w:tcPr>
            <w:tcW w:w="5670" w:type="dxa"/>
            <w:gridSpan w:val="3"/>
            <w:tcBorders>
              <w:top w:val="single" w:sz="4" w:space="0" w:color="auto"/>
              <w:left w:val="single" w:sz="4" w:space="0" w:color="auto"/>
              <w:bottom w:val="single" w:sz="4" w:space="0" w:color="auto"/>
              <w:right w:val="single" w:sz="4" w:space="0" w:color="000000"/>
            </w:tcBorders>
            <w:shd w:val="clear" w:color="D6A100" w:fill="C6E0B4"/>
            <w:noWrap/>
            <w:vAlign w:val="center"/>
            <w:hideMark/>
          </w:tcPr>
          <w:p w:rsidR="002B2B46" w:rsidRDefault="002B2B46">
            <w:pPr>
              <w:jc w:val="center"/>
              <w:rPr>
                <w:rFonts w:ascii="Calibri" w:hAnsi="Calibri" w:cs="Calibri"/>
                <w:color w:val="000000"/>
                <w:sz w:val="16"/>
                <w:szCs w:val="16"/>
              </w:rPr>
            </w:pPr>
            <w:r>
              <w:rPr>
                <w:rFonts w:ascii="Calibri" w:hAnsi="Calibri" w:cs="Calibri"/>
                <w:color w:val="000000"/>
                <w:sz w:val="16"/>
                <w:szCs w:val="16"/>
              </w:rPr>
              <w:t> </w:t>
            </w:r>
          </w:p>
        </w:tc>
        <w:tc>
          <w:tcPr>
            <w:tcW w:w="1276" w:type="dxa"/>
            <w:tcBorders>
              <w:top w:val="single" w:sz="4" w:space="0" w:color="auto"/>
              <w:left w:val="nil"/>
              <w:bottom w:val="single" w:sz="4" w:space="0" w:color="auto"/>
              <w:right w:val="single" w:sz="4" w:space="0" w:color="auto"/>
            </w:tcBorders>
            <w:shd w:val="clear" w:color="D6A100" w:fill="C6E0B4"/>
            <w:noWrap/>
            <w:vAlign w:val="center"/>
            <w:hideMark/>
          </w:tcPr>
          <w:p w:rsidR="002B2B46" w:rsidRDefault="002B2B46">
            <w:pPr>
              <w:jc w:val="center"/>
              <w:rPr>
                <w:rFonts w:ascii="Calibri" w:hAnsi="Calibri" w:cs="Calibri"/>
                <w:color w:val="000000"/>
                <w:sz w:val="16"/>
                <w:szCs w:val="16"/>
              </w:rPr>
            </w:pPr>
            <w:r>
              <w:rPr>
                <w:rFonts w:ascii="Calibri" w:hAnsi="Calibri" w:cs="Calibri"/>
                <w:color w:val="000000"/>
                <w:sz w:val="16"/>
                <w:szCs w:val="16"/>
              </w:rPr>
              <w:t>2020</w:t>
            </w:r>
          </w:p>
        </w:tc>
        <w:tc>
          <w:tcPr>
            <w:tcW w:w="1276" w:type="dxa"/>
            <w:tcBorders>
              <w:top w:val="single" w:sz="4" w:space="0" w:color="auto"/>
              <w:left w:val="nil"/>
              <w:bottom w:val="single" w:sz="4" w:space="0" w:color="auto"/>
              <w:right w:val="single" w:sz="4" w:space="0" w:color="auto"/>
            </w:tcBorders>
            <w:shd w:val="clear" w:color="D6A100" w:fill="C6E0B4"/>
            <w:noWrap/>
            <w:vAlign w:val="center"/>
            <w:hideMark/>
          </w:tcPr>
          <w:p w:rsidR="002B2B46" w:rsidRDefault="002B2B46">
            <w:pPr>
              <w:jc w:val="center"/>
              <w:rPr>
                <w:rFonts w:ascii="Calibri" w:hAnsi="Calibri" w:cs="Calibri"/>
                <w:color w:val="000000"/>
                <w:sz w:val="16"/>
                <w:szCs w:val="16"/>
              </w:rPr>
            </w:pPr>
            <w:r>
              <w:rPr>
                <w:rFonts w:ascii="Calibri" w:hAnsi="Calibri" w:cs="Calibri"/>
                <w:color w:val="000000"/>
                <w:sz w:val="16"/>
                <w:szCs w:val="16"/>
              </w:rPr>
              <w:t>2021</w:t>
            </w:r>
          </w:p>
        </w:tc>
        <w:tc>
          <w:tcPr>
            <w:tcW w:w="1206" w:type="dxa"/>
            <w:tcBorders>
              <w:top w:val="single" w:sz="4" w:space="0" w:color="auto"/>
              <w:left w:val="nil"/>
              <w:bottom w:val="single" w:sz="4" w:space="0" w:color="auto"/>
              <w:right w:val="single" w:sz="4" w:space="0" w:color="auto"/>
            </w:tcBorders>
            <w:shd w:val="clear" w:color="D6A100" w:fill="C6E0B4"/>
            <w:noWrap/>
            <w:vAlign w:val="center"/>
            <w:hideMark/>
          </w:tcPr>
          <w:p w:rsidR="002B2B46" w:rsidRDefault="002B2B46">
            <w:pPr>
              <w:jc w:val="center"/>
              <w:rPr>
                <w:rFonts w:ascii="Calibri" w:hAnsi="Calibri" w:cs="Calibri"/>
                <w:color w:val="000000"/>
                <w:sz w:val="16"/>
                <w:szCs w:val="16"/>
              </w:rPr>
            </w:pPr>
            <w:r>
              <w:rPr>
                <w:rFonts w:ascii="Calibri" w:hAnsi="Calibri" w:cs="Calibri"/>
                <w:color w:val="000000"/>
                <w:sz w:val="16"/>
                <w:szCs w:val="16"/>
              </w:rPr>
              <w:t>2022</w:t>
            </w:r>
          </w:p>
        </w:tc>
      </w:tr>
      <w:tr w:rsidR="002B56F3" w:rsidTr="00270258">
        <w:trPr>
          <w:trHeight w:val="312"/>
        </w:trPr>
        <w:tc>
          <w:tcPr>
            <w:tcW w:w="5670" w:type="dxa"/>
            <w:gridSpan w:val="3"/>
            <w:tcBorders>
              <w:top w:val="single" w:sz="4" w:space="0" w:color="auto"/>
              <w:left w:val="single" w:sz="4" w:space="0" w:color="auto"/>
              <w:bottom w:val="single" w:sz="4" w:space="0" w:color="auto"/>
              <w:right w:val="single" w:sz="4" w:space="0" w:color="000000"/>
            </w:tcBorders>
            <w:shd w:val="clear" w:color="000000" w:fill="A9D08E"/>
            <w:noWrap/>
            <w:vAlign w:val="center"/>
            <w:hideMark/>
          </w:tcPr>
          <w:p w:rsidR="002B2B46" w:rsidRDefault="002B2B46">
            <w:pPr>
              <w:rPr>
                <w:rFonts w:ascii="Calibri" w:hAnsi="Calibri" w:cs="Calibri"/>
                <w:b/>
                <w:bCs/>
                <w:color w:val="000000"/>
                <w:sz w:val="16"/>
                <w:szCs w:val="16"/>
              </w:rPr>
            </w:pPr>
            <w:r>
              <w:rPr>
                <w:rFonts w:ascii="Calibri" w:hAnsi="Calibri" w:cs="Calibri"/>
                <w:b/>
                <w:bCs/>
                <w:color w:val="000000"/>
                <w:sz w:val="16"/>
                <w:szCs w:val="16"/>
              </w:rPr>
              <w:t>Neinvestiční transfery obyvatelstvu</w:t>
            </w:r>
          </w:p>
        </w:tc>
        <w:tc>
          <w:tcPr>
            <w:tcW w:w="1276" w:type="dxa"/>
            <w:tcBorders>
              <w:top w:val="nil"/>
              <w:left w:val="nil"/>
              <w:bottom w:val="single" w:sz="4" w:space="0" w:color="auto"/>
              <w:right w:val="single" w:sz="4" w:space="0" w:color="auto"/>
            </w:tcBorders>
            <w:shd w:val="clear" w:color="000000" w:fill="A9D08E"/>
            <w:noWrap/>
            <w:vAlign w:val="center"/>
            <w:hideMark/>
          </w:tcPr>
          <w:p w:rsidR="002B2B46" w:rsidRDefault="002B2B46">
            <w:pPr>
              <w:jc w:val="right"/>
              <w:rPr>
                <w:rFonts w:ascii="Calibri" w:hAnsi="Calibri" w:cs="Calibri"/>
                <w:b/>
                <w:bCs/>
                <w:color w:val="000000"/>
                <w:sz w:val="16"/>
                <w:szCs w:val="16"/>
              </w:rPr>
            </w:pPr>
            <w:r>
              <w:rPr>
                <w:rFonts w:ascii="Calibri" w:hAnsi="Calibri" w:cs="Calibri"/>
                <w:b/>
                <w:bCs/>
                <w:color w:val="000000"/>
                <w:sz w:val="16"/>
                <w:szCs w:val="16"/>
              </w:rPr>
              <w:t>6 014 181,25</w:t>
            </w:r>
          </w:p>
        </w:tc>
        <w:tc>
          <w:tcPr>
            <w:tcW w:w="1276" w:type="dxa"/>
            <w:tcBorders>
              <w:top w:val="nil"/>
              <w:left w:val="nil"/>
              <w:bottom w:val="single" w:sz="4" w:space="0" w:color="auto"/>
              <w:right w:val="single" w:sz="4" w:space="0" w:color="auto"/>
            </w:tcBorders>
            <w:shd w:val="clear" w:color="000000" w:fill="A9D08E"/>
            <w:noWrap/>
            <w:vAlign w:val="center"/>
            <w:hideMark/>
          </w:tcPr>
          <w:p w:rsidR="002B2B46" w:rsidRDefault="002B2B46">
            <w:pPr>
              <w:jc w:val="right"/>
              <w:rPr>
                <w:rFonts w:ascii="Calibri" w:hAnsi="Calibri" w:cs="Calibri"/>
                <w:b/>
                <w:bCs/>
                <w:color w:val="000000"/>
                <w:sz w:val="16"/>
                <w:szCs w:val="16"/>
              </w:rPr>
            </w:pPr>
            <w:r>
              <w:rPr>
                <w:rFonts w:ascii="Calibri" w:hAnsi="Calibri" w:cs="Calibri"/>
                <w:b/>
                <w:bCs/>
                <w:color w:val="000000"/>
                <w:sz w:val="16"/>
                <w:szCs w:val="16"/>
              </w:rPr>
              <w:t>7 087 843,37</w:t>
            </w:r>
          </w:p>
        </w:tc>
        <w:tc>
          <w:tcPr>
            <w:tcW w:w="1206" w:type="dxa"/>
            <w:tcBorders>
              <w:top w:val="nil"/>
              <w:left w:val="nil"/>
              <w:bottom w:val="single" w:sz="4" w:space="0" w:color="auto"/>
              <w:right w:val="single" w:sz="4" w:space="0" w:color="auto"/>
            </w:tcBorders>
            <w:shd w:val="clear" w:color="000000" w:fill="A9D08E"/>
            <w:noWrap/>
            <w:vAlign w:val="center"/>
            <w:hideMark/>
          </w:tcPr>
          <w:p w:rsidR="002B2B46" w:rsidRDefault="002B2B46">
            <w:pPr>
              <w:jc w:val="right"/>
              <w:rPr>
                <w:rFonts w:ascii="Calibri" w:hAnsi="Calibri" w:cs="Calibri"/>
                <w:b/>
                <w:bCs/>
                <w:color w:val="000000"/>
                <w:sz w:val="16"/>
                <w:szCs w:val="16"/>
              </w:rPr>
            </w:pPr>
            <w:r>
              <w:rPr>
                <w:rFonts w:ascii="Calibri" w:hAnsi="Calibri" w:cs="Calibri"/>
                <w:b/>
                <w:bCs/>
                <w:color w:val="000000"/>
                <w:sz w:val="16"/>
                <w:szCs w:val="16"/>
              </w:rPr>
              <w:t>8 827 910,54</w:t>
            </w:r>
          </w:p>
        </w:tc>
      </w:tr>
      <w:tr w:rsidR="002B2B46" w:rsidTr="00270258">
        <w:trPr>
          <w:trHeight w:val="312"/>
        </w:trPr>
        <w:tc>
          <w:tcPr>
            <w:tcW w:w="384" w:type="dxa"/>
            <w:tcBorders>
              <w:top w:val="nil"/>
              <w:left w:val="single" w:sz="4" w:space="0" w:color="auto"/>
              <w:bottom w:val="single" w:sz="4" w:space="0" w:color="auto"/>
              <w:right w:val="single" w:sz="4" w:space="0" w:color="auto"/>
            </w:tcBorders>
            <w:shd w:val="clear" w:color="FFF2CC" w:fill="E2EFDA"/>
            <w:noWrap/>
            <w:vAlign w:val="center"/>
            <w:hideMark/>
          </w:tcPr>
          <w:p w:rsidR="002B2B46" w:rsidRDefault="002B2B46">
            <w:pPr>
              <w:jc w:val="right"/>
              <w:rPr>
                <w:rFonts w:ascii="Calibri" w:hAnsi="Calibri" w:cs="Calibri"/>
                <w:color w:val="000000"/>
                <w:sz w:val="16"/>
                <w:szCs w:val="16"/>
              </w:rPr>
            </w:pPr>
            <w:r>
              <w:rPr>
                <w:rFonts w:ascii="Calibri" w:hAnsi="Calibri" w:cs="Calibri"/>
                <w:color w:val="000000"/>
                <w:sz w:val="16"/>
                <w:szCs w:val="16"/>
              </w:rPr>
              <w:t>542</w:t>
            </w:r>
          </w:p>
        </w:tc>
        <w:tc>
          <w:tcPr>
            <w:tcW w:w="5286" w:type="dxa"/>
            <w:gridSpan w:val="2"/>
            <w:tcBorders>
              <w:top w:val="single" w:sz="4" w:space="0" w:color="auto"/>
              <w:left w:val="nil"/>
              <w:bottom w:val="single" w:sz="4" w:space="0" w:color="auto"/>
              <w:right w:val="single" w:sz="4" w:space="0" w:color="000000"/>
            </w:tcBorders>
            <w:shd w:val="clear" w:color="FFF2CC" w:fill="E2EFDA"/>
            <w:noWrap/>
            <w:vAlign w:val="center"/>
            <w:hideMark/>
          </w:tcPr>
          <w:p w:rsidR="002B2B46" w:rsidRDefault="002B2B46">
            <w:pPr>
              <w:rPr>
                <w:rFonts w:ascii="Calibri" w:hAnsi="Calibri" w:cs="Calibri"/>
                <w:color w:val="000000"/>
                <w:sz w:val="16"/>
                <w:szCs w:val="16"/>
              </w:rPr>
            </w:pPr>
            <w:r>
              <w:rPr>
                <w:rFonts w:ascii="Calibri" w:hAnsi="Calibri" w:cs="Calibri"/>
                <w:color w:val="000000"/>
                <w:sz w:val="16"/>
                <w:szCs w:val="16"/>
              </w:rPr>
              <w:t>Náhrady placené obyvatelstvu</w:t>
            </w:r>
          </w:p>
        </w:tc>
        <w:tc>
          <w:tcPr>
            <w:tcW w:w="1276" w:type="dxa"/>
            <w:tcBorders>
              <w:top w:val="nil"/>
              <w:left w:val="nil"/>
              <w:bottom w:val="single" w:sz="4" w:space="0" w:color="auto"/>
              <w:right w:val="single" w:sz="4" w:space="0" w:color="auto"/>
            </w:tcBorders>
            <w:shd w:val="clear" w:color="FFF2CC" w:fill="E2EFDA"/>
            <w:noWrap/>
            <w:vAlign w:val="center"/>
            <w:hideMark/>
          </w:tcPr>
          <w:p w:rsidR="002B2B46" w:rsidRDefault="002B2B46">
            <w:pPr>
              <w:jc w:val="right"/>
              <w:rPr>
                <w:rFonts w:ascii="Calibri" w:hAnsi="Calibri" w:cs="Calibri"/>
                <w:color w:val="000000"/>
                <w:sz w:val="16"/>
                <w:szCs w:val="16"/>
              </w:rPr>
            </w:pPr>
            <w:r>
              <w:rPr>
                <w:rFonts w:ascii="Calibri" w:hAnsi="Calibri" w:cs="Calibri"/>
                <w:color w:val="000000"/>
                <w:sz w:val="16"/>
                <w:szCs w:val="16"/>
              </w:rPr>
              <w:t>1 664 962,00</w:t>
            </w:r>
          </w:p>
        </w:tc>
        <w:tc>
          <w:tcPr>
            <w:tcW w:w="1276" w:type="dxa"/>
            <w:tcBorders>
              <w:top w:val="nil"/>
              <w:left w:val="nil"/>
              <w:bottom w:val="single" w:sz="4" w:space="0" w:color="auto"/>
              <w:right w:val="single" w:sz="4" w:space="0" w:color="auto"/>
            </w:tcBorders>
            <w:shd w:val="clear" w:color="FFF2CC" w:fill="E2EFDA"/>
            <w:noWrap/>
            <w:vAlign w:val="center"/>
            <w:hideMark/>
          </w:tcPr>
          <w:p w:rsidR="002B2B46" w:rsidRDefault="002B2B46">
            <w:pPr>
              <w:jc w:val="right"/>
              <w:rPr>
                <w:rFonts w:ascii="Calibri" w:hAnsi="Calibri" w:cs="Calibri"/>
                <w:color w:val="000000"/>
                <w:sz w:val="16"/>
                <w:szCs w:val="16"/>
              </w:rPr>
            </w:pPr>
            <w:r>
              <w:rPr>
                <w:rFonts w:ascii="Calibri" w:hAnsi="Calibri" w:cs="Calibri"/>
                <w:color w:val="000000"/>
                <w:sz w:val="16"/>
                <w:szCs w:val="16"/>
              </w:rPr>
              <w:t>1 987 022,00</w:t>
            </w:r>
          </w:p>
        </w:tc>
        <w:tc>
          <w:tcPr>
            <w:tcW w:w="1206" w:type="dxa"/>
            <w:tcBorders>
              <w:top w:val="nil"/>
              <w:left w:val="nil"/>
              <w:bottom w:val="single" w:sz="4" w:space="0" w:color="auto"/>
              <w:right w:val="single" w:sz="4" w:space="0" w:color="auto"/>
            </w:tcBorders>
            <w:shd w:val="clear" w:color="FFF2CC" w:fill="E2EFDA"/>
            <w:noWrap/>
            <w:vAlign w:val="center"/>
            <w:hideMark/>
          </w:tcPr>
          <w:p w:rsidR="002B2B46" w:rsidRDefault="002B2B46">
            <w:pPr>
              <w:jc w:val="right"/>
              <w:rPr>
                <w:rFonts w:ascii="Calibri" w:hAnsi="Calibri" w:cs="Calibri"/>
                <w:color w:val="000000"/>
                <w:sz w:val="16"/>
                <w:szCs w:val="16"/>
              </w:rPr>
            </w:pPr>
            <w:r>
              <w:rPr>
                <w:rFonts w:ascii="Calibri" w:hAnsi="Calibri" w:cs="Calibri"/>
                <w:color w:val="000000"/>
                <w:sz w:val="16"/>
                <w:szCs w:val="16"/>
              </w:rPr>
              <w:t>2 334 532,00</w:t>
            </w:r>
          </w:p>
        </w:tc>
      </w:tr>
      <w:tr w:rsidR="002B2B46" w:rsidTr="00270258">
        <w:trPr>
          <w:trHeight w:val="312"/>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2B2B46" w:rsidRDefault="002B2B46">
            <w:pPr>
              <w:rPr>
                <w:rFonts w:ascii="Calibri" w:hAnsi="Calibri" w:cs="Calibri"/>
                <w:color w:val="000000"/>
                <w:sz w:val="16"/>
                <w:szCs w:val="16"/>
              </w:rPr>
            </w:pPr>
            <w:r>
              <w:rPr>
                <w:rFonts w:ascii="Calibri" w:hAnsi="Calibri" w:cs="Calibri"/>
                <w:color w:val="000000"/>
                <w:sz w:val="16"/>
                <w:szCs w:val="16"/>
              </w:rPr>
              <w:t> </w:t>
            </w:r>
          </w:p>
        </w:tc>
        <w:tc>
          <w:tcPr>
            <w:tcW w:w="465" w:type="dxa"/>
            <w:tcBorders>
              <w:top w:val="nil"/>
              <w:left w:val="nil"/>
              <w:bottom w:val="single" w:sz="4" w:space="0" w:color="auto"/>
              <w:right w:val="single" w:sz="4" w:space="0" w:color="auto"/>
            </w:tcBorders>
            <w:shd w:val="clear" w:color="auto" w:fill="auto"/>
            <w:noWrap/>
            <w:vAlign w:val="center"/>
            <w:hideMark/>
          </w:tcPr>
          <w:p w:rsidR="002B2B46" w:rsidRDefault="002B2B46">
            <w:pPr>
              <w:jc w:val="center"/>
              <w:rPr>
                <w:rFonts w:ascii="Calibri" w:hAnsi="Calibri" w:cs="Calibri"/>
                <w:color w:val="000000"/>
                <w:sz w:val="16"/>
                <w:szCs w:val="16"/>
              </w:rPr>
            </w:pPr>
            <w:r>
              <w:rPr>
                <w:rFonts w:ascii="Calibri" w:hAnsi="Calibri" w:cs="Calibri"/>
                <w:color w:val="000000"/>
                <w:sz w:val="16"/>
                <w:szCs w:val="16"/>
              </w:rPr>
              <w:t>5424</w:t>
            </w:r>
          </w:p>
        </w:tc>
        <w:tc>
          <w:tcPr>
            <w:tcW w:w="4821" w:type="dxa"/>
            <w:tcBorders>
              <w:top w:val="nil"/>
              <w:left w:val="nil"/>
              <w:bottom w:val="single" w:sz="4" w:space="0" w:color="auto"/>
              <w:right w:val="single" w:sz="4" w:space="0" w:color="auto"/>
            </w:tcBorders>
            <w:shd w:val="clear" w:color="auto" w:fill="auto"/>
            <w:vAlign w:val="center"/>
            <w:hideMark/>
          </w:tcPr>
          <w:p w:rsidR="002B2B46" w:rsidRDefault="002B2B46">
            <w:pPr>
              <w:rPr>
                <w:rFonts w:ascii="Calibri" w:hAnsi="Calibri" w:cs="Calibri"/>
                <w:color w:val="000000"/>
                <w:sz w:val="16"/>
                <w:szCs w:val="16"/>
              </w:rPr>
            </w:pPr>
            <w:r>
              <w:rPr>
                <w:rFonts w:ascii="Calibri" w:hAnsi="Calibri" w:cs="Calibri"/>
                <w:color w:val="000000"/>
                <w:sz w:val="16"/>
                <w:szCs w:val="16"/>
              </w:rPr>
              <w:t>Náhrady mezd v době nemoci</w:t>
            </w:r>
          </w:p>
        </w:tc>
        <w:tc>
          <w:tcPr>
            <w:tcW w:w="1276" w:type="dxa"/>
            <w:tcBorders>
              <w:top w:val="nil"/>
              <w:left w:val="nil"/>
              <w:bottom w:val="single" w:sz="4" w:space="0" w:color="auto"/>
              <w:right w:val="single" w:sz="4" w:space="0" w:color="auto"/>
            </w:tcBorders>
            <w:shd w:val="clear" w:color="auto" w:fill="auto"/>
            <w:noWrap/>
            <w:vAlign w:val="center"/>
            <w:hideMark/>
          </w:tcPr>
          <w:p w:rsidR="002B2B46" w:rsidRDefault="002B2B46">
            <w:pPr>
              <w:jc w:val="right"/>
              <w:rPr>
                <w:rFonts w:ascii="Calibri" w:hAnsi="Calibri" w:cs="Calibri"/>
                <w:color w:val="000000"/>
                <w:sz w:val="16"/>
                <w:szCs w:val="16"/>
              </w:rPr>
            </w:pPr>
            <w:r>
              <w:rPr>
                <w:rFonts w:ascii="Calibri" w:hAnsi="Calibri" w:cs="Calibri"/>
                <w:color w:val="000000"/>
                <w:sz w:val="16"/>
                <w:szCs w:val="16"/>
              </w:rPr>
              <w:t>1 664 962,00</w:t>
            </w:r>
          </w:p>
        </w:tc>
        <w:tc>
          <w:tcPr>
            <w:tcW w:w="1276" w:type="dxa"/>
            <w:tcBorders>
              <w:top w:val="nil"/>
              <w:left w:val="nil"/>
              <w:bottom w:val="single" w:sz="4" w:space="0" w:color="auto"/>
              <w:right w:val="single" w:sz="4" w:space="0" w:color="auto"/>
            </w:tcBorders>
            <w:shd w:val="clear" w:color="auto" w:fill="auto"/>
            <w:noWrap/>
            <w:vAlign w:val="center"/>
            <w:hideMark/>
          </w:tcPr>
          <w:p w:rsidR="002B2B46" w:rsidRDefault="002B2B46">
            <w:pPr>
              <w:jc w:val="right"/>
              <w:rPr>
                <w:rFonts w:ascii="Calibri" w:hAnsi="Calibri" w:cs="Calibri"/>
                <w:color w:val="000000"/>
                <w:sz w:val="16"/>
                <w:szCs w:val="16"/>
              </w:rPr>
            </w:pPr>
            <w:r>
              <w:rPr>
                <w:rFonts w:ascii="Calibri" w:hAnsi="Calibri" w:cs="Calibri"/>
                <w:color w:val="000000"/>
                <w:sz w:val="16"/>
                <w:szCs w:val="16"/>
              </w:rPr>
              <w:t>1 987 022,00</w:t>
            </w:r>
          </w:p>
        </w:tc>
        <w:tc>
          <w:tcPr>
            <w:tcW w:w="1206" w:type="dxa"/>
            <w:tcBorders>
              <w:top w:val="nil"/>
              <w:left w:val="nil"/>
              <w:bottom w:val="single" w:sz="4" w:space="0" w:color="auto"/>
              <w:right w:val="single" w:sz="4" w:space="0" w:color="auto"/>
            </w:tcBorders>
            <w:shd w:val="clear" w:color="auto" w:fill="auto"/>
            <w:noWrap/>
            <w:vAlign w:val="center"/>
            <w:hideMark/>
          </w:tcPr>
          <w:p w:rsidR="002B2B46" w:rsidRDefault="002B2B46">
            <w:pPr>
              <w:jc w:val="right"/>
              <w:rPr>
                <w:rFonts w:ascii="Calibri" w:hAnsi="Calibri" w:cs="Calibri"/>
                <w:color w:val="000000"/>
                <w:sz w:val="16"/>
                <w:szCs w:val="16"/>
              </w:rPr>
            </w:pPr>
            <w:r>
              <w:rPr>
                <w:rFonts w:ascii="Calibri" w:hAnsi="Calibri" w:cs="Calibri"/>
                <w:color w:val="000000"/>
                <w:sz w:val="16"/>
                <w:szCs w:val="16"/>
              </w:rPr>
              <w:t>2 334 532,00</w:t>
            </w:r>
          </w:p>
        </w:tc>
      </w:tr>
      <w:tr w:rsidR="002B2B46" w:rsidTr="00270258">
        <w:trPr>
          <w:trHeight w:val="312"/>
        </w:trPr>
        <w:tc>
          <w:tcPr>
            <w:tcW w:w="384" w:type="dxa"/>
            <w:tcBorders>
              <w:top w:val="nil"/>
              <w:left w:val="single" w:sz="4" w:space="0" w:color="auto"/>
              <w:bottom w:val="single" w:sz="4" w:space="0" w:color="auto"/>
              <w:right w:val="single" w:sz="4" w:space="0" w:color="auto"/>
            </w:tcBorders>
            <w:shd w:val="clear" w:color="FFF2CC" w:fill="E2EFDA"/>
            <w:noWrap/>
            <w:vAlign w:val="center"/>
            <w:hideMark/>
          </w:tcPr>
          <w:p w:rsidR="002B2B46" w:rsidRDefault="002B2B46">
            <w:pPr>
              <w:jc w:val="right"/>
              <w:rPr>
                <w:rFonts w:ascii="Calibri" w:hAnsi="Calibri" w:cs="Calibri"/>
                <w:color w:val="000000"/>
                <w:sz w:val="16"/>
                <w:szCs w:val="16"/>
              </w:rPr>
            </w:pPr>
            <w:r>
              <w:rPr>
                <w:rFonts w:ascii="Calibri" w:hAnsi="Calibri" w:cs="Calibri"/>
                <w:color w:val="000000"/>
                <w:sz w:val="16"/>
                <w:szCs w:val="16"/>
              </w:rPr>
              <w:t>549</w:t>
            </w:r>
          </w:p>
        </w:tc>
        <w:tc>
          <w:tcPr>
            <w:tcW w:w="5286" w:type="dxa"/>
            <w:gridSpan w:val="2"/>
            <w:tcBorders>
              <w:top w:val="single" w:sz="4" w:space="0" w:color="auto"/>
              <w:left w:val="nil"/>
              <w:bottom w:val="single" w:sz="4" w:space="0" w:color="auto"/>
              <w:right w:val="single" w:sz="4" w:space="0" w:color="000000"/>
            </w:tcBorders>
            <w:shd w:val="clear" w:color="FFF2CC" w:fill="E2EFDA"/>
            <w:noWrap/>
            <w:vAlign w:val="center"/>
            <w:hideMark/>
          </w:tcPr>
          <w:p w:rsidR="002B2B46" w:rsidRDefault="002B2B46">
            <w:pPr>
              <w:rPr>
                <w:rFonts w:ascii="Calibri" w:hAnsi="Calibri" w:cs="Calibri"/>
                <w:color w:val="000000"/>
                <w:sz w:val="16"/>
                <w:szCs w:val="16"/>
              </w:rPr>
            </w:pPr>
            <w:r>
              <w:rPr>
                <w:rFonts w:ascii="Calibri" w:hAnsi="Calibri" w:cs="Calibri"/>
                <w:color w:val="000000"/>
                <w:sz w:val="16"/>
                <w:szCs w:val="16"/>
              </w:rPr>
              <w:t>Ostatní neinvestiční transfery obyvatelstvu</w:t>
            </w:r>
          </w:p>
        </w:tc>
        <w:tc>
          <w:tcPr>
            <w:tcW w:w="1276" w:type="dxa"/>
            <w:tcBorders>
              <w:top w:val="nil"/>
              <w:left w:val="nil"/>
              <w:bottom w:val="single" w:sz="4" w:space="0" w:color="auto"/>
              <w:right w:val="single" w:sz="4" w:space="0" w:color="auto"/>
            </w:tcBorders>
            <w:shd w:val="clear" w:color="FFF2CC" w:fill="E2EFDA"/>
            <w:noWrap/>
            <w:vAlign w:val="center"/>
            <w:hideMark/>
          </w:tcPr>
          <w:p w:rsidR="002B2B46" w:rsidRDefault="002B2B46">
            <w:pPr>
              <w:jc w:val="right"/>
              <w:rPr>
                <w:rFonts w:ascii="Calibri" w:hAnsi="Calibri" w:cs="Calibri"/>
                <w:color w:val="000000"/>
                <w:sz w:val="16"/>
                <w:szCs w:val="16"/>
              </w:rPr>
            </w:pPr>
            <w:r>
              <w:rPr>
                <w:rFonts w:ascii="Calibri" w:hAnsi="Calibri" w:cs="Calibri"/>
                <w:color w:val="000000"/>
                <w:sz w:val="16"/>
                <w:szCs w:val="16"/>
              </w:rPr>
              <w:t>4 349 219,25</w:t>
            </w:r>
          </w:p>
        </w:tc>
        <w:tc>
          <w:tcPr>
            <w:tcW w:w="1276" w:type="dxa"/>
            <w:tcBorders>
              <w:top w:val="nil"/>
              <w:left w:val="nil"/>
              <w:bottom w:val="single" w:sz="4" w:space="0" w:color="auto"/>
              <w:right w:val="single" w:sz="4" w:space="0" w:color="auto"/>
            </w:tcBorders>
            <w:shd w:val="clear" w:color="FFF2CC" w:fill="E2EFDA"/>
            <w:noWrap/>
            <w:vAlign w:val="center"/>
            <w:hideMark/>
          </w:tcPr>
          <w:p w:rsidR="002B2B46" w:rsidRDefault="002B2B46">
            <w:pPr>
              <w:jc w:val="right"/>
              <w:rPr>
                <w:rFonts w:ascii="Calibri" w:hAnsi="Calibri" w:cs="Calibri"/>
                <w:color w:val="000000"/>
                <w:sz w:val="16"/>
                <w:szCs w:val="16"/>
              </w:rPr>
            </w:pPr>
            <w:r>
              <w:rPr>
                <w:rFonts w:ascii="Calibri" w:hAnsi="Calibri" w:cs="Calibri"/>
                <w:color w:val="000000"/>
                <w:sz w:val="16"/>
                <w:szCs w:val="16"/>
              </w:rPr>
              <w:t>5 100 821,37</w:t>
            </w:r>
          </w:p>
        </w:tc>
        <w:tc>
          <w:tcPr>
            <w:tcW w:w="1206" w:type="dxa"/>
            <w:tcBorders>
              <w:top w:val="nil"/>
              <w:left w:val="nil"/>
              <w:bottom w:val="single" w:sz="4" w:space="0" w:color="auto"/>
              <w:right w:val="single" w:sz="4" w:space="0" w:color="auto"/>
            </w:tcBorders>
            <w:shd w:val="clear" w:color="FFF2CC" w:fill="E2EFDA"/>
            <w:noWrap/>
            <w:vAlign w:val="center"/>
            <w:hideMark/>
          </w:tcPr>
          <w:p w:rsidR="002B2B46" w:rsidRDefault="002B2B46">
            <w:pPr>
              <w:jc w:val="right"/>
              <w:rPr>
                <w:rFonts w:ascii="Calibri" w:hAnsi="Calibri" w:cs="Calibri"/>
                <w:color w:val="000000"/>
                <w:sz w:val="16"/>
                <w:szCs w:val="16"/>
              </w:rPr>
            </w:pPr>
            <w:r>
              <w:rPr>
                <w:rFonts w:ascii="Calibri" w:hAnsi="Calibri" w:cs="Calibri"/>
                <w:color w:val="000000"/>
                <w:sz w:val="16"/>
                <w:szCs w:val="16"/>
              </w:rPr>
              <w:t>6 493 378,54</w:t>
            </w:r>
          </w:p>
        </w:tc>
      </w:tr>
      <w:tr w:rsidR="002B2B46" w:rsidTr="00270258">
        <w:trPr>
          <w:trHeight w:val="312"/>
        </w:trPr>
        <w:tc>
          <w:tcPr>
            <w:tcW w:w="3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2B46" w:rsidRDefault="002B2B46">
            <w:pPr>
              <w:jc w:val="center"/>
              <w:rPr>
                <w:rFonts w:ascii="Calibri" w:hAnsi="Calibri" w:cs="Calibri"/>
                <w:color w:val="000000"/>
                <w:sz w:val="16"/>
                <w:szCs w:val="16"/>
              </w:rPr>
            </w:pPr>
            <w:r>
              <w:rPr>
                <w:rFonts w:ascii="Calibri" w:hAnsi="Calibri" w:cs="Calibri"/>
                <w:color w:val="000000"/>
                <w:sz w:val="16"/>
                <w:szCs w:val="16"/>
              </w:rPr>
              <w:t> </w:t>
            </w:r>
          </w:p>
        </w:tc>
        <w:tc>
          <w:tcPr>
            <w:tcW w:w="465" w:type="dxa"/>
            <w:tcBorders>
              <w:top w:val="nil"/>
              <w:left w:val="nil"/>
              <w:bottom w:val="single" w:sz="4" w:space="0" w:color="auto"/>
              <w:right w:val="single" w:sz="4" w:space="0" w:color="auto"/>
            </w:tcBorders>
            <w:shd w:val="clear" w:color="auto" w:fill="auto"/>
            <w:noWrap/>
            <w:vAlign w:val="center"/>
            <w:hideMark/>
          </w:tcPr>
          <w:p w:rsidR="002B2B46" w:rsidRDefault="002B2B46">
            <w:pPr>
              <w:jc w:val="center"/>
              <w:rPr>
                <w:rFonts w:ascii="Calibri" w:hAnsi="Calibri" w:cs="Calibri"/>
                <w:color w:val="000000"/>
                <w:sz w:val="16"/>
                <w:szCs w:val="16"/>
              </w:rPr>
            </w:pPr>
            <w:r>
              <w:rPr>
                <w:rFonts w:ascii="Calibri" w:hAnsi="Calibri" w:cs="Calibri"/>
                <w:color w:val="000000"/>
                <w:sz w:val="16"/>
                <w:szCs w:val="16"/>
              </w:rPr>
              <w:t>5492</w:t>
            </w:r>
          </w:p>
        </w:tc>
        <w:tc>
          <w:tcPr>
            <w:tcW w:w="4821" w:type="dxa"/>
            <w:tcBorders>
              <w:top w:val="nil"/>
              <w:left w:val="nil"/>
              <w:bottom w:val="single" w:sz="4" w:space="0" w:color="auto"/>
              <w:right w:val="single" w:sz="4" w:space="0" w:color="auto"/>
            </w:tcBorders>
            <w:shd w:val="clear" w:color="auto" w:fill="auto"/>
            <w:vAlign w:val="center"/>
            <w:hideMark/>
          </w:tcPr>
          <w:p w:rsidR="002B2B46" w:rsidRDefault="002B2B46">
            <w:pPr>
              <w:rPr>
                <w:rFonts w:ascii="Calibri" w:hAnsi="Calibri" w:cs="Calibri"/>
                <w:color w:val="000000"/>
                <w:sz w:val="16"/>
                <w:szCs w:val="16"/>
              </w:rPr>
            </w:pPr>
            <w:r>
              <w:rPr>
                <w:rFonts w:ascii="Calibri" w:hAnsi="Calibri" w:cs="Calibri"/>
                <w:color w:val="000000"/>
                <w:sz w:val="16"/>
                <w:szCs w:val="16"/>
              </w:rPr>
              <w:t>Dary obyvatelstvu</w:t>
            </w:r>
          </w:p>
        </w:tc>
        <w:tc>
          <w:tcPr>
            <w:tcW w:w="1276" w:type="dxa"/>
            <w:tcBorders>
              <w:top w:val="nil"/>
              <w:left w:val="nil"/>
              <w:bottom w:val="single" w:sz="4" w:space="0" w:color="auto"/>
              <w:right w:val="single" w:sz="4" w:space="0" w:color="auto"/>
            </w:tcBorders>
            <w:shd w:val="clear" w:color="auto" w:fill="auto"/>
            <w:noWrap/>
            <w:vAlign w:val="center"/>
            <w:hideMark/>
          </w:tcPr>
          <w:p w:rsidR="002B2B46" w:rsidRDefault="002B2B46">
            <w:pPr>
              <w:jc w:val="right"/>
              <w:rPr>
                <w:rFonts w:ascii="Calibri" w:hAnsi="Calibri" w:cs="Calibri"/>
                <w:color w:val="000000"/>
                <w:sz w:val="16"/>
                <w:szCs w:val="16"/>
              </w:rPr>
            </w:pPr>
            <w:r>
              <w:rPr>
                <w:rFonts w:ascii="Calibri" w:hAnsi="Calibri" w:cs="Calibri"/>
                <w:color w:val="000000"/>
                <w:sz w:val="16"/>
                <w:szCs w:val="16"/>
              </w:rPr>
              <w:t>839 050,00</w:t>
            </w:r>
          </w:p>
        </w:tc>
        <w:tc>
          <w:tcPr>
            <w:tcW w:w="1276" w:type="dxa"/>
            <w:tcBorders>
              <w:top w:val="nil"/>
              <w:left w:val="nil"/>
              <w:bottom w:val="single" w:sz="4" w:space="0" w:color="auto"/>
              <w:right w:val="single" w:sz="4" w:space="0" w:color="auto"/>
            </w:tcBorders>
            <w:shd w:val="clear" w:color="auto" w:fill="auto"/>
            <w:noWrap/>
            <w:vAlign w:val="center"/>
            <w:hideMark/>
          </w:tcPr>
          <w:p w:rsidR="002B2B46" w:rsidRDefault="002B2B46">
            <w:pPr>
              <w:jc w:val="right"/>
              <w:rPr>
                <w:rFonts w:ascii="Calibri" w:hAnsi="Calibri" w:cs="Calibri"/>
                <w:color w:val="000000"/>
                <w:sz w:val="16"/>
                <w:szCs w:val="16"/>
              </w:rPr>
            </w:pPr>
            <w:r>
              <w:rPr>
                <w:rFonts w:ascii="Calibri" w:hAnsi="Calibri" w:cs="Calibri"/>
                <w:color w:val="000000"/>
                <w:sz w:val="16"/>
                <w:szCs w:val="16"/>
              </w:rPr>
              <w:t>869 250,00</w:t>
            </w:r>
          </w:p>
        </w:tc>
        <w:tc>
          <w:tcPr>
            <w:tcW w:w="1206" w:type="dxa"/>
            <w:tcBorders>
              <w:top w:val="nil"/>
              <w:left w:val="nil"/>
              <w:bottom w:val="single" w:sz="4" w:space="0" w:color="auto"/>
              <w:right w:val="single" w:sz="4" w:space="0" w:color="auto"/>
            </w:tcBorders>
            <w:shd w:val="clear" w:color="auto" w:fill="auto"/>
            <w:noWrap/>
            <w:vAlign w:val="center"/>
            <w:hideMark/>
          </w:tcPr>
          <w:p w:rsidR="002B2B46" w:rsidRDefault="002B2B46">
            <w:pPr>
              <w:jc w:val="right"/>
              <w:rPr>
                <w:rFonts w:ascii="Calibri" w:hAnsi="Calibri" w:cs="Calibri"/>
                <w:color w:val="000000"/>
                <w:sz w:val="16"/>
                <w:szCs w:val="16"/>
              </w:rPr>
            </w:pPr>
            <w:r>
              <w:rPr>
                <w:rFonts w:ascii="Calibri" w:hAnsi="Calibri" w:cs="Calibri"/>
                <w:color w:val="000000"/>
                <w:sz w:val="16"/>
                <w:szCs w:val="16"/>
              </w:rPr>
              <w:t>1 035 951,00</w:t>
            </w:r>
          </w:p>
        </w:tc>
      </w:tr>
      <w:tr w:rsidR="002B2B46" w:rsidTr="00270258">
        <w:trPr>
          <w:trHeight w:val="312"/>
        </w:trPr>
        <w:tc>
          <w:tcPr>
            <w:tcW w:w="384" w:type="dxa"/>
            <w:vMerge/>
            <w:tcBorders>
              <w:top w:val="nil"/>
              <w:left w:val="single" w:sz="4" w:space="0" w:color="auto"/>
              <w:bottom w:val="single" w:sz="4" w:space="0" w:color="000000"/>
              <w:right w:val="single" w:sz="4" w:space="0" w:color="auto"/>
            </w:tcBorders>
            <w:vAlign w:val="center"/>
            <w:hideMark/>
          </w:tcPr>
          <w:p w:rsidR="002B2B46" w:rsidRDefault="002B2B46">
            <w:pPr>
              <w:rPr>
                <w:rFonts w:ascii="Calibri" w:hAnsi="Calibri" w:cs="Calibri"/>
                <w:color w:val="000000"/>
                <w:sz w:val="16"/>
                <w:szCs w:val="16"/>
              </w:rPr>
            </w:pPr>
          </w:p>
        </w:tc>
        <w:tc>
          <w:tcPr>
            <w:tcW w:w="465" w:type="dxa"/>
            <w:tcBorders>
              <w:top w:val="nil"/>
              <w:left w:val="nil"/>
              <w:bottom w:val="single" w:sz="4" w:space="0" w:color="auto"/>
              <w:right w:val="single" w:sz="4" w:space="0" w:color="auto"/>
            </w:tcBorders>
            <w:shd w:val="clear" w:color="auto" w:fill="auto"/>
            <w:noWrap/>
            <w:vAlign w:val="center"/>
            <w:hideMark/>
          </w:tcPr>
          <w:p w:rsidR="002B2B46" w:rsidRDefault="002B2B46">
            <w:pPr>
              <w:jc w:val="center"/>
              <w:rPr>
                <w:rFonts w:ascii="Calibri" w:hAnsi="Calibri" w:cs="Calibri"/>
                <w:color w:val="000000"/>
                <w:sz w:val="16"/>
                <w:szCs w:val="16"/>
              </w:rPr>
            </w:pPr>
            <w:r>
              <w:rPr>
                <w:rFonts w:ascii="Calibri" w:hAnsi="Calibri" w:cs="Calibri"/>
                <w:color w:val="000000"/>
                <w:sz w:val="16"/>
                <w:szCs w:val="16"/>
              </w:rPr>
              <w:t>5493</w:t>
            </w:r>
          </w:p>
        </w:tc>
        <w:tc>
          <w:tcPr>
            <w:tcW w:w="4821" w:type="dxa"/>
            <w:tcBorders>
              <w:top w:val="nil"/>
              <w:left w:val="nil"/>
              <w:bottom w:val="single" w:sz="4" w:space="0" w:color="auto"/>
              <w:right w:val="single" w:sz="4" w:space="0" w:color="auto"/>
            </w:tcBorders>
            <w:shd w:val="clear" w:color="auto" w:fill="auto"/>
            <w:vAlign w:val="center"/>
            <w:hideMark/>
          </w:tcPr>
          <w:p w:rsidR="002B2B46" w:rsidRDefault="002B2B46">
            <w:pPr>
              <w:rPr>
                <w:rFonts w:ascii="Calibri" w:hAnsi="Calibri" w:cs="Calibri"/>
                <w:color w:val="000000"/>
                <w:sz w:val="16"/>
                <w:szCs w:val="16"/>
              </w:rPr>
            </w:pPr>
            <w:r>
              <w:rPr>
                <w:rFonts w:ascii="Calibri" w:hAnsi="Calibri" w:cs="Calibri"/>
                <w:color w:val="000000"/>
                <w:sz w:val="16"/>
                <w:szCs w:val="16"/>
              </w:rPr>
              <w:t>Účelové neinvestiční transfery fyzickým osobám</w:t>
            </w:r>
          </w:p>
        </w:tc>
        <w:tc>
          <w:tcPr>
            <w:tcW w:w="1276" w:type="dxa"/>
            <w:tcBorders>
              <w:top w:val="nil"/>
              <w:left w:val="nil"/>
              <w:bottom w:val="single" w:sz="4" w:space="0" w:color="auto"/>
              <w:right w:val="single" w:sz="4" w:space="0" w:color="auto"/>
            </w:tcBorders>
            <w:shd w:val="clear" w:color="auto" w:fill="auto"/>
            <w:noWrap/>
            <w:vAlign w:val="center"/>
            <w:hideMark/>
          </w:tcPr>
          <w:p w:rsidR="002B2B46" w:rsidRDefault="002B2B46">
            <w:pPr>
              <w:jc w:val="right"/>
              <w:rPr>
                <w:rFonts w:ascii="Calibri" w:hAnsi="Calibri" w:cs="Calibri"/>
                <w:color w:val="000000"/>
                <w:sz w:val="16"/>
                <w:szCs w:val="16"/>
              </w:rPr>
            </w:pPr>
            <w:r>
              <w:rPr>
                <w:rFonts w:ascii="Calibri" w:hAnsi="Calibri" w:cs="Calibri"/>
                <w:color w:val="000000"/>
                <w:sz w:val="16"/>
                <w:szCs w:val="16"/>
              </w:rPr>
              <w:t>1 274 677,00</w:t>
            </w:r>
          </w:p>
        </w:tc>
        <w:tc>
          <w:tcPr>
            <w:tcW w:w="1276" w:type="dxa"/>
            <w:tcBorders>
              <w:top w:val="nil"/>
              <w:left w:val="nil"/>
              <w:bottom w:val="single" w:sz="4" w:space="0" w:color="auto"/>
              <w:right w:val="single" w:sz="4" w:space="0" w:color="auto"/>
            </w:tcBorders>
            <w:shd w:val="clear" w:color="auto" w:fill="auto"/>
            <w:noWrap/>
            <w:vAlign w:val="center"/>
            <w:hideMark/>
          </w:tcPr>
          <w:p w:rsidR="002B2B46" w:rsidRDefault="002B2B46">
            <w:pPr>
              <w:jc w:val="right"/>
              <w:rPr>
                <w:rFonts w:ascii="Calibri" w:hAnsi="Calibri" w:cs="Calibri"/>
                <w:color w:val="000000"/>
                <w:sz w:val="16"/>
                <w:szCs w:val="16"/>
              </w:rPr>
            </w:pPr>
            <w:r>
              <w:rPr>
                <w:rFonts w:ascii="Calibri" w:hAnsi="Calibri" w:cs="Calibri"/>
                <w:color w:val="000000"/>
                <w:sz w:val="16"/>
                <w:szCs w:val="16"/>
              </w:rPr>
              <w:t>1 057 951,29</w:t>
            </w:r>
          </w:p>
        </w:tc>
        <w:tc>
          <w:tcPr>
            <w:tcW w:w="1206" w:type="dxa"/>
            <w:tcBorders>
              <w:top w:val="nil"/>
              <w:left w:val="nil"/>
              <w:bottom w:val="single" w:sz="4" w:space="0" w:color="auto"/>
              <w:right w:val="single" w:sz="4" w:space="0" w:color="auto"/>
            </w:tcBorders>
            <w:shd w:val="clear" w:color="auto" w:fill="auto"/>
            <w:noWrap/>
            <w:vAlign w:val="center"/>
            <w:hideMark/>
          </w:tcPr>
          <w:p w:rsidR="002B2B46" w:rsidRDefault="002B2B46">
            <w:pPr>
              <w:jc w:val="right"/>
              <w:rPr>
                <w:rFonts w:ascii="Calibri" w:hAnsi="Calibri" w:cs="Calibri"/>
                <w:color w:val="000000"/>
                <w:sz w:val="16"/>
                <w:szCs w:val="16"/>
              </w:rPr>
            </w:pPr>
            <w:r>
              <w:rPr>
                <w:rFonts w:ascii="Calibri" w:hAnsi="Calibri" w:cs="Calibri"/>
                <w:color w:val="000000"/>
                <w:sz w:val="16"/>
                <w:szCs w:val="16"/>
              </w:rPr>
              <w:t>1 193 991,54</w:t>
            </w:r>
          </w:p>
        </w:tc>
      </w:tr>
      <w:tr w:rsidR="002B2B46" w:rsidTr="00270258">
        <w:trPr>
          <w:trHeight w:val="312"/>
        </w:trPr>
        <w:tc>
          <w:tcPr>
            <w:tcW w:w="384" w:type="dxa"/>
            <w:vMerge/>
            <w:tcBorders>
              <w:top w:val="nil"/>
              <w:left w:val="single" w:sz="4" w:space="0" w:color="auto"/>
              <w:bottom w:val="single" w:sz="4" w:space="0" w:color="000000"/>
              <w:right w:val="single" w:sz="4" w:space="0" w:color="auto"/>
            </w:tcBorders>
            <w:vAlign w:val="center"/>
            <w:hideMark/>
          </w:tcPr>
          <w:p w:rsidR="002B2B46" w:rsidRDefault="002B2B46">
            <w:pPr>
              <w:rPr>
                <w:rFonts w:ascii="Calibri" w:hAnsi="Calibri" w:cs="Calibri"/>
                <w:color w:val="000000"/>
                <w:sz w:val="16"/>
                <w:szCs w:val="16"/>
              </w:rPr>
            </w:pPr>
          </w:p>
        </w:tc>
        <w:tc>
          <w:tcPr>
            <w:tcW w:w="465" w:type="dxa"/>
            <w:tcBorders>
              <w:top w:val="nil"/>
              <w:left w:val="nil"/>
              <w:bottom w:val="single" w:sz="4" w:space="0" w:color="auto"/>
              <w:right w:val="single" w:sz="4" w:space="0" w:color="auto"/>
            </w:tcBorders>
            <w:shd w:val="clear" w:color="auto" w:fill="auto"/>
            <w:noWrap/>
            <w:vAlign w:val="center"/>
            <w:hideMark/>
          </w:tcPr>
          <w:p w:rsidR="002B2B46" w:rsidRDefault="002B2B46">
            <w:pPr>
              <w:jc w:val="center"/>
              <w:rPr>
                <w:rFonts w:ascii="Calibri" w:hAnsi="Calibri" w:cs="Calibri"/>
                <w:color w:val="000000"/>
                <w:sz w:val="16"/>
                <w:szCs w:val="16"/>
              </w:rPr>
            </w:pPr>
            <w:r>
              <w:rPr>
                <w:rFonts w:ascii="Calibri" w:hAnsi="Calibri" w:cs="Calibri"/>
                <w:color w:val="000000"/>
                <w:sz w:val="16"/>
                <w:szCs w:val="16"/>
              </w:rPr>
              <w:t>5499</w:t>
            </w:r>
          </w:p>
        </w:tc>
        <w:tc>
          <w:tcPr>
            <w:tcW w:w="4821" w:type="dxa"/>
            <w:tcBorders>
              <w:top w:val="nil"/>
              <w:left w:val="nil"/>
              <w:bottom w:val="single" w:sz="4" w:space="0" w:color="auto"/>
              <w:right w:val="single" w:sz="4" w:space="0" w:color="auto"/>
            </w:tcBorders>
            <w:shd w:val="clear" w:color="auto" w:fill="auto"/>
            <w:vAlign w:val="center"/>
            <w:hideMark/>
          </w:tcPr>
          <w:p w:rsidR="002B2B46" w:rsidRDefault="002B2B46">
            <w:pPr>
              <w:rPr>
                <w:rFonts w:ascii="Calibri" w:hAnsi="Calibri" w:cs="Calibri"/>
                <w:color w:val="000000"/>
                <w:sz w:val="16"/>
                <w:szCs w:val="16"/>
              </w:rPr>
            </w:pPr>
            <w:r>
              <w:rPr>
                <w:rFonts w:ascii="Calibri" w:hAnsi="Calibri" w:cs="Calibri"/>
                <w:color w:val="000000"/>
                <w:sz w:val="16"/>
                <w:szCs w:val="16"/>
              </w:rPr>
              <w:t>Ostatní neinvestiční transfery obyvatelstvu</w:t>
            </w:r>
          </w:p>
        </w:tc>
        <w:tc>
          <w:tcPr>
            <w:tcW w:w="1276" w:type="dxa"/>
            <w:tcBorders>
              <w:top w:val="nil"/>
              <w:left w:val="nil"/>
              <w:bottom w:val="single" w:sz="4" w:space="0" w:color="auto"/>
              <w:right w:val="single" w:sz="4" w:space="0" w:color="auto"/>
            </w:tcBorders>
            <w:shd w:val="clear" w:color="auto" w:fill="auto"/>
            <w:noWrap/>
            <w:vAlign w:val="center"/>
            <w:hideMark/>
          </w:tcPr>
          <w:p w:rsidR="002B2B46" w:rsidRDefault="002B2B46">
            <w:pPr>
              <w:jc w:val="right"/>
              <w:rPr>
                <w:rFonts w:ascii="Calibri" w:hAnsi="Calibri" w:cs="Calibri"/>
                <w:color w:val="000000"/>
                <w:sz w:val="16"/>
                <w:szCs w:val="16"/>
              </w:rPr>
            </w:pPr>
            <w:r>
              <w:rPr>
                <w:rFonts w:ascii="Calibri" w:hAnsi="Calibri" w:cs="Calibri"/>
                <w:color w:val="000000"/>
                <w:sz w:val="16"/>
                <w:szCs w:val="16"/>
              </w:rPr>
              <w:t>2 235 492,25</w:t>
            </w:r>
          </w:p>
        </w:tc>
        <w:tc>
          <w:tcPr>
            <w:tcW w:w="1276" w:type="dxa"/>
            <w:tcBorders>
              <w:top w:val="nil"/>
              <w:left w:val="nil"/>
              <w:bottom w:val="single" w:sz="4" w:space="0" w:color="auto"/>
              <w:right w:val="single" w:sz="4" w:space="0" w:color="auto"/>
            </w:tcBorders>
            <w:shd w:val="clear" w:color="auto" w:fill="auto"/>
            <w:noWrap/>
            <w:vAlign w:val="center"/>
            <w:hideMark/>
          </w:tcPr>
          <w:p w:rsidR="002B2B46" w:rsidRDefault="002B2B46">
            <w:pPr>
              <w:jc w:val="right"/>
              <w:rPr>
                <w:rFonts w:ascii="Calibri" w:hAnsi="Calibri" w:cs="Calibri"/>
                <w:color w:val="000000"/>
                <w:sz w:val="16"/>
                <w:szCs w:val="16"/>
              </w:rPr>
            </w:pPr>
            <w:r>
              <w:rPr>
                <w:rFonts w:ascii="Calibri" w:hAnsi="Calibri" w:cs="Calibri"/>
                <w:color w:val="000000"/>
                <w:sz w:val="16"/>
                <w:szCs w:val="16"/>
              </w:rPr>
              <w:t>3 173 620,08</w:t>
            </w:r>
          </w:p>
        </w:tc>
        <w:tc>
          <w:tcPr>
            <w:tcW w:w="1206" w:type="dxa"/>
            <w:tcBorders>
              <w:top w:val="nil"/>
              <w:left w:val="nil"/>
              <w:bottom w:val="single" w:sz="4" w:space="0" w:color="auto"/>
              <w:right w:val="single" w:sz="4" w:space="0" w:color="auto"/>
            </w:tcBorders>
            <w:shd w:val="clear" w:color="auto" w:fill="auto"/>
            <w:noWrap/>
            <w:vAlign w:val="center"/>
            <w:hideMark/>
          </w:tcPr>
          <w:p w:rsidR="002B2B46" w:rsidRDefault="002B2B46">
            <w:pPr>
              <w:jc w:val="right"/>
              <w:rPr>
                <w:rFonts w:ascii="Calibri" w:hAnsi="Calibri" w:cs="Calibri"/>
                <w:color w:val="000000"/>
                <w:sz w:val="16"/>
                <w:szCs w:val="16"/>
              </w:rPr>
            </w:pPr>
            <w:r>
              <w:rPr>
                <w:rFonts w:ascii="Calibri" w:hAnsi="Calibri" w:cs="Calibri"/>
                <w:color w:val="000000"/>
                <w:sz w:val="16"/>
                <w:szCs w:val="16"/>
              </w:rPr>
              <w:t>4 263 436,00</w:t>
            </w:r>
          </w:p>
        </w:tc>
      </w:tr>
    </w:tbl>
    <w:p w:rsidR="002B2B46" w:rsidRDefault="002B2B46" w:rsidP="002B2B46"/>
    <w:p w:rsidR="002B2B46" w:rsidRPr="002B2B46" w:rsidRDefault="004C6B3C" w:rsidP="004C6B3C">
      <w:pPr>
        <w:jc w:val="center"/>
      </w:pPr>
      <w:r>
        <w:rPr>
          <w:noProof/>
        </w:rPr>
        <w:lastRenderedPageBreak/>
        <w:drawing>
          <wp:inline distT="0" distB="0" distL="0" distR="0" wp14:anchorId="11DDE56E" wp14:editId="4919530C">
            <wp:extent cx="4266285" cy="2278080"/>
            <wp:effectExtent l="0" t="0" r="1270" b="8255"/>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00657" w:rsidRPr="00D00657" w:rsidRDefault="00D00657" w:rsidP="00D00657"/>
    <w:p w:rsidR="00387FAE" w:rsidRPr="00282B52" w:rsidRDefault="00B6696E" w:rsidP="00B6696E">
      <w:pPr>
        <w:pStyle w:val="Nadpis2"/>
      </w:pPr>
      <w:r w:rsidRPr="00282B52">
        <w:t xml:space="preserve">Neinvestiční půjčené prostředky </w:t>
      </w:r>
    </w:p>
    <w:p w:rsidR="0077308B" w:rsidRPr="00F97351" w:rsidRDefault="0077308B" w:rsidP="0077308B">
      <w:pPr>
        <w:spacing w:after="120"/>
        <w:jc w:val="both"/>
        <w:rPr>
          <w:rFonts w:ascii="Calibri" w:hAnsi="Calibri" w:cs="Arial"/>
          <w:sz w:val="22"/>
          <w:szCs w:val="22"/>
        </w:rPr>
      </w:pPr>
      <w:r w:rsidRPr="00F97351">
        <w:rPr>
          <w:rFonts w:ascii="Calibri" w:hAnsi="Calibri" w:cs="Arial"/>
          <w:sz w:val="22"/>
          <w:szCs w:val="22"/>
        </w:rPr>
        <w:t>Na základě kolektivní smlouvy byly v roce 202</w:t>
      </w:r>
      <w:r w:rsidR="00966866">
        <w:rPr>
          <w:rFonts w:ascii="Calibri" w:hAnsi="Calibri" w:cs="Arial"/>
          <w:sz w:val="22"/>
          <w:szCs w:val="22"/>
        </w:rPr>
        <w:t>2</w:t>
      </w:r>
      <w:r w:rsidRPr="00F97351">
        <w:rPr>
          <w:rFonts w:ascii="Calibri" w:hAnsi="Calibri" w:cs="Arial"/>
          <w:sz w:val="22"/>
          <w:szCs w:val="22"/>
        </w:rPr>
        <w:t xml:space="preserve"> poskytnuty zaměstnancům návratné půjčky ze sociálního fondu v celkové výši </w:t>
      </w:r>
      <w:r w:rsidR="00966866">
        <w:rPr>
          <w:rFonts w:ascii="Calibri" w:hAnsi="Calibri" w:cs="Arial"/>
          <w:sz w:val="22"/>
          <w:szCs w:val="22"/>
        </w:rPr>
        <w:t>133,14</w:t>
      </w:r>
      <w:r w:rsidRPr="00F97351">
        <w:rPr>
          <w:rFonts w:ascii="Calibri" w:hAnsi="Calibri" w:cs="Arial"/>
          <w:sz w:val="22"/>
          <w:szCs w:val="22"/>
        </w:rPr>
        <w:t> tis. Kč.</w:t>
      </w:r>
    </w:p>
    <w:p w:rsidR="00B6696E" w:rsidRDefault="0077308B" w:rsidP="0024764D">
      <w:pPr>
        <w:pStyle w:val="Nadpis3"/>
        <w:rPr>
          <w:b w:val="0"/>
        </w:rPr>
      </w:pPr>
      <w:r w:rsidRPr="00F97351">
        <w:rPr>
          <w:b w:val="0"/>
        </w:rPr>
        <w:t>S</w:t>
      </w:r>
      <w:r w:rsidR="00B6696E" w:rsidRPr="00F97351">
        <w:rPr>
          <w:b w:val="0"/>
        </w:rPr>
        <w:t>rovnání neinvestičních pů</w:t>
      </w:r>
      <w:r w:rsidR="00494E5C" w:rsidRPr="00F97351">
        <w:rPr>
          <w:b w:val="0"/>
        </w:rPr>
        <w:t>jčených prostředků v letech 20</w:t>
      </w:r>
      <w:r w:rsidR="00DF4B6F">
        <w:rPr>
          <w:b w:val="0"/>
        </w:rPr>
        <w:t>20</w:t>
      </w:r>
      <w:r w:rsidR="00631CB9" w:rsidRPr="00F97351">
        <w:rPr>
          <w:b w:val="0"/>
        </w:rPr>
        <w:t xml:space="preserve"> </w:t>
      </w:r>
      <w:r w:rsidR="00B6696E" w:rsidRPr="00F97351">
        <w:rPr>
          <w:b w:val="0"/>
        </w:rPr>
        <w:t>-</w:t>
      </w:r>
      <w:r w:rsidR="00631CB9" w:rsidRPr="00F97351">
        <w:rPr>
          <w:b w:val="0"/>
        </w:rPr>
        <w:t xml:space="preserve"> </w:t>
      </w:r>
      <w:r w:rsidR="00494E5C" w:rsidRPr="00F97351">
        <w:rPr>
          <w:b w:val="0"/>
        </w:rPr>
        <w:t>202</w:t>
      </w:r>
      <w:r w:rsidR="00DF4B6F">
        <w:rPr>
          <w:b w:val="0"/>
        </w:rPr>
        <w:t>2</w:t>
      </w:r>
      <w:r w:rsidR="00B6696E" w:rsidRPr="00F97351">
        <w:rPr>
          <w:b w:val="0"/>
        </w:rPr>
        <w:t xml:space="preserve"> po konsolidaci v</w:t>
      </w:r>
      <w:r w:rsidR="00DF4B6F">
        <w:rPr>
          <w:b w:val="0"/>
        </w:rPr>
        <w:t> </w:t>
      </w:r>
      <w:r w:rsidR="00B6696E" w:rsidRPr="00F97351">
        <w:rPr>
          <w:b w:val="0"/>
        </w:rPr>
        <w:t>Kč</w:t>
      </w:r>
    </w:p>
    <w:tbl>
      <w:tblPr>
        <w:tblW w:w="9492" w:type="dxa"/>
        <w:tblInd w:w="-5" w:type="dxa"/>
        <w:tblCellMar>
          <w:left w:w="70" w:type="dxa"/>
          <w:right w:w="70" w:type="dxa"/>
        </w:tblCellMar>
        <w:tblLook w:val="04A0" w:firstRow="1" w:lastRow="0" w:firstColumn="1" w:lastColumn="0" w:noHBand="0" w:noVBand="1"/>
      </w:tblPr>
      <w:tblGrid>
        <w:gridCol w:w="415"/>
        <w:gridCol w:w="505"/>
        <w:gridCol w:w="4749"/>
        <w:gridCol w:w="1277"/>
        <w:gridCol w:w="1276"/>
        <w:gridCol w:w="1270"/>
      </w:tblGrid>
      <w:tr w:rsidR="00966866" w:rsidTr="00966866">
        <w:trPr>
          <w:trHeight w:val="295"/>
        </w:trPr>
        <w:tc>
          <w:tcPr>
            <w:tcW w:w="5669" w:type="dxa"/>
            <w:gridSpan w:val="3"/>
            <w:tcBorders>
              <w:top w:val="single" w:sz="4" w:space="0" w:color="auto"/>
              <w:left w:val="single" w:sz="4" w:space="0" w:color="auto"/>
              <w:bottom w:val="single" w:sz="4" w:space="0" w:color="auto"/>
              <w:right w:val="single" w:sz="4" w:space="0" w:color="000000"/>
            </w:tcBorders>
            <w:shd w:val="clear" w:color="D6A100" w:fill="C6E0B4"/>
            <w:noWrap/>
            <w:vAlign w:val="bottom"/>
            <w:hideMark/>
          </w:tcPr>
          <w:p w:rsidR="00966866" w:rsidRDefault="00966866">
            <w:pPr>
              <w:jc w:val="center"/>
              <w:rPr>
                <w:rFonts w:ascii="Calibri" w:hAnsi="Calibri" w:cs="Calibri"/>
                <w:color w:val="000000"/>
                <w:sz w:val="18"/>
                <w:szCs w:val="18"/>
              </w:rPr>
            </w:pPr>
            <w:r>
              <w:rPr>
                <w:rFonts w:ascii="Calibri" w:hAnsi="Calibri" w:cs="Calibri"/>
                <w:color w:val="000000"/>
                <w:sz w:val="18"/>
                <w:szCs w:val="18"/>
              </w:rPr>
              <w:t> </w:t>
            </w:r>
          </w:p>
        </w:tc>
        <w:tc>
          <w:tcPr>
            <w:tcW w:w="1277" w:type="dxa"/>
            <w:tcBorders>
              <w:top w:val="single" w:sz="4" w:space="0" w:color="auto"/>
              <w:left w:val="nil"/>
              <w:bottom w:val="single" w:sz="4" w:space="0" w:color="auto"/>
              <w:right w:val="single" w:sz="4" w:space="0" w:color="auto"/>
            </w:tcBorders>
            <w:shd w:val="clear" w:color="D6A100" w:fill="C6E0B4"/>
            <w:noWrap/>
            <w:vAlign w:val="center"/>
            <w:hideMark/>
          </w:tcPr>
          <w:p w:rsidR="00966866" w:rsidRDefault="00966866">
            <w:pPr>
              <w:jc w:val="center"/>
              <w:rPr>
                <w:rFonts w:ascii="Calibri" w:hAnsi="Calibri" w:cs="Calibri"/>
                <w:color w:val="000000"/>
                <w:sz w:val="18"/>
                <w:szCs w:val="18"/>
              </w:rPr>
            </w:pPr>
            <w:r>
              <w:rPr>
                <w:rFonts w:ascii="Calibri" w:hAnsi="Calibri" w:cs="Calibri"/>
                <w:color w:val="000000"/>
                <w:sz w:val="18"/>
                <w:szCs w:val="18"/>
              </w:rPr>
              <w:t>2020</w:t>
            </w:r>
          </w:p>
        </w:tc>
        <w:tc>
          <w:tcPr>
            <w:tcW w:w="1276" w:type="dxa"/>
            <w:tcBorders>
              <w:top w:val="single" w:sz="4" w:space="0" w:color="auto"/>
              <w:left w:val="nil"/>
              <w:bottom w:val="single" w:sz="4" w:space="0" w:color="auto"/>
              <w:right w:val="single" w:sz="4" w:space="0" w:color="auto"/>
            </w:tcBorders>
            <w:shd w:val="clear" w:color="D6A100" w:fill="C6E0B4"/>
            <w:noWrap/>
            <w:vAlign w:val="center"/>
            <w:hideMark/>
          </w:tcPr>
          <w:p w:rsidR="00966866" w:rsidRDefault="00966866">
            <w:pPr>
              <w:jc w:val="center"/>
              <w:rPr>
                <w:rFonts w:ascii="Calibri" w:hAnsi="Calibri" w:cs="Calibri"/>
                <w:color w:val="000000"/>
                <w:sz w:val="18"/>
                <w:szCs w:val="18"/>
              </w:rPr>
            </w:pPr>
            <w:r>
              <w:rPr>
                <w:rFonts w:ascii="Calibri" w:hAnsi="Calibri" w:cs="Calibri"/>
                <w:color w:val="000000"/>
                <w:sz w:val="18"/>
                <w:szCs w:val="18"/>
              </w:rPr>
              <w:t>2021</w:t>
            </w:r>
          </w:p>
        </w:tc>
        <w:tc>
          <w:tcPr>
            <w:tcW w:w="1270" w:type="dxa"/>
            <w:tcBorders>
              <w:top w:val="single" w:sz="4" w:space="0" w:color="auto"/>
              <w:left w:val="nil"/>
              <w:bottom w:val="single" w:sz="4" w:space="0" w:color="auto"/>
              <w:right w:val="single" w:sz="4" w:space="0" w:color="auto"/>
            </w:tcBorders>
            <w:shd w:val="clear" w:color="D6A100" w:fill="C6E0B4"/>
            <w:noWrap/>
            <w:vAlign w:val="center"/>
            <w:hideMark/>
          </w:tcPr>
          <w:p w:rsidR="00966866" w:rsidRDefault="00966866">
            <w:pPr>
              <w:jc w:val="center"/>
              <w:rPr>
                <w:rFonts w:ascii="Calibri" w:hAnsi="Calibri" w:cs="Calibri"/>
                <w:color w:val="000000"/>
                <w:sz w:val="18"/>
                <w:szCs w:val="18"/>
              </w:rPr>
            </w:pPr>
            <w:r>
              <w:rPr>
                <w:rFonts w:ascii="Calibri" w:hAnsi="Calibri" w:cs="Calibri"/>
                <w:color w:val="000000"/>
                <w:sz w:val="18"/>
                <w:szCs w:val="18"/>
              </w:rPr>
              <w:t>2022</w:t>
            </w:r>
          </w:p>
        </w:tc>
      </w:tr>
      <w:tr w:rsidR="00966866" w:rsidTr="00966866">
        <w:trPr>
          <w:trHeight w:val="295"/>
        </w:trPr>
        <w:tc>
          <w:tcPr>
            <w:tcW w:w="5669" w:type="dxa"/>
            <w:gridSpan w:val="3"/>
            <w:tcBorders>
              <w:top w:val="single" w:sz="4" w:space="0" w:color="auto"/>
              <w:left w:val="single" w:sz="4" w:space="0" w:color="auto"/>
              <w:bottom w:val="single" w:sz="4" w:space="0" w:color="auto"/>
              <w:right w:val="single" w:sz="4" w:space="0" w:color="000000"/>
            </w:tcBorders>
            <w:shd w:val="clear" w:color="000000" w:fill="A9D08E"/>
            <w:noWrap/>
            <w:vAlign w:val="bottom"/>
            <w:hideMark/>
          </w:tcPr>
          <w:p w:rsidR="00966866" w:rsidRDefault="00966866">
            <w:pPr>
              <w:rPr>
                <w:rFonts w:ascii="Calibri" w:hAnsi="Calibri" w:cs="Calibri"/>
                <w:b/>
                <w:bCs/>
                <w:color w:val="000000"/>
                <w:sz w:val="18"/>
                <w:szCs w:val="18"/>
              </w:rPr>
            </w:pPr>
            <w:r>
              <w:rPr>
                <w:rFonts w:ascii="Calibri" w:hAnsi="Calibri" w:cs="Calibri"/>
                <w:b/>
                <w:bCs/>
                <w:color w:val="000000"/>
                <w:sz w:val="18"/>
                <w:szCs w:val="18"/>
              </w:rPr>
              <w:t>Neinvestiční půjčené prostředky</w:t>
            </w:r>
          </w:p>
        </w:tc>
        <w:tc>
          <w:tcPr>
            <w:tcW w:w="1277" w:type="dxa"/>
            <w:tcBorders>
              <w:top w:val="nil"/>
              <w:left w:val="nil"/>
              <w:bottom w:val="single" w:sz="4" w:space="0" w:color="auto"/>
              <w:right w:val="single" w:sz="4" w:space="0" w:color="auto"/>
            </w:tcBorders>
            <w:shd w:val="clear" w:color="000000" w:fill="A9D08E"/>
            <w:noWrap/>
            <w:vAlign w:val="bottom"/>
            <w:hideMark/>
          </w:tcPr>
          <w:p w:rsidR="00966866" w:rsidRDefault="00966866">
            <w:pPr>
              <w:jc w:val="right"/>
              <w:rPr>
                <w:rFonts w:ascii="Calibri" w:hAnsi="Calibri" w:cs="Calibri"/>
                <w:b/>
                <w:bCs/>
                <w:color w:val="000000"/>
                <w:sz w:val="18"/>
                <w:szCs w:val="18"/>
              </w:rPr>
            </w:pPr>
            <w:r>
              <w:rPr>
                <w:rFonts w:ascii="Calibri" w:hAnsi="Calibri" w:cs="Calibri"/>
                <w:b/>
                <w:bCs/>
                <w:color w:val="000000"/>
                <w:sz w:val="18"/>
                <w:szCs w:val="18"/>
              </w:rPr>
              <w:t>3 517 887,00</w:t>
            </w:r>
          </w:p>
        </w:tc>
        <w:tc>
          <w:tcPr>
            <w:tcW w:w="1276" w:type="dxa"/>
            <w:tcBorders>
              <w:top w:val="nil"/>
              <w:left w:val="nil"/>
              <w:bottom w:val="single" w:sz="4" w:space="0" w:color="auto"/>
              <w:right w:val="single" w:sz="4" w:space="0" w:color="auto"/>
            </w:tcBorders>
            <w:shd w:val="clear" w:color="000000" w:fill="A9D08E"/>
            <w:noWrap/>
            <w:vAlign w:val="bottom"/>
            <w:hideMark/>
          </w:tcPr>
          <w:p w:rsidR="00966866" w:rsidRDefault="00966866">
            <w:pPr>
              <w:jc w:val="right"/>
              <w:rPr>
                <w:rFonts w:ascii="Calibri" w:hAnsi="Calibri" w:cs="Calibri"/>
                <w:b/>
                <w:bCs/>
                <w:color w:val="000000"/>
                <w:sz w:val="18"/>
                <w:szCs w:val="18"/>
              </w:rPr>
            </w:pPr>
            <w:r>
              <w:rPr>
                <w:rFonts w:ascii="Calibri" w:hAnsi="Calibri" w:cs="Calibri"/>
                <w:b/>
                <w:bCs/>
                <w:color w:val="000000"/>
                <w:sz w:val="18"/>
                <w:szCs w:val="18"/>
              </w:rPr>
              <w:t>758 633,00</w:t>
            </w:r>
          </w:p>
        </w:tc>
        <w:tc>
          <w:tcPr>
            <w:tcW w:w="1270" w:type="dxa"/>
            <w:tcBorders>
              <w:top w:val="nil"/>
              <w:left w:val="nil"/>
              <w:bottom w:val="single" w:sz="4" w:space="0" w:color="auto"/>
              <w:right w:val="single" w:sz="4" w:space="0" w:color="auto"/>
            </w:tcBorders>
            <w:shd w:val="clear" w:color="000000" w:fill="A9D08E"/>
            <w:noWrap/>
            <w:vAlign w:val="bottom"/>
            <w:hideMark/>
          </w:tcPr>
          <w:p w:rsidR="00966866" w:rsidRDefault="00966866">
            <w:pPr>
              <w:jc w:val="right"/>
              <w:rPr>
                <w:rFonts w:ascii="Calibri" w:hAnsi="Calibri" w:cs="Calibri"/>
                <w:b/>
                <w:bCs/>
                <w:color w:val="000000"/>
                <w:sz w:val="18"/>
                <w:szCs w:val="18"/>
              </w:rPr>
            </w:pPr>
            <w:r>
              <w:rPr>
                <w:rFonts w:ascii="Calibri" w:hAnsi="Calibri" w:cs="Calibri"/>
                <w:b/>
                <w:bCs/>
                <w:color w:val="000000"/>
                <w:sz w:val="18"/>
                <w:szCs w:val="18"/>
              </w:rPr>
              <w:t>133 136,72</w:t>
            </w:r>
          </w:p>
        </w:tc>
      </w:tr>
      <w:tr w:rsidR="00966866" w:rsidTr="00966866">
        <w:trPr>
          <w:trHeight w:val="295"/>
        </w:trPr>
        <w:tc>
          <w:tcPr>
            <w:tcW w:w="415" w:type="dxa"/>
            <w:tcBorders>
              <w:top w:val="nil"/>
              <w:left w:val="single" w:sz="4" w:space="0" w:color="auto"/>
              <w:bottom w:val="single" w:sz="4" w:space="0" w:color="auto"/>
              <w:right w:val="single" w:sz="4" w:space="0" w:color="auto"/>
            </w:tcBorders>
            <w:shd w:val="clear" w:color="FFF2CC" w:fill="E2EFDA"/>
            <w:noWrap/>
            <w:vAlign w:val="bottom"/>
            <w:hideMark/>
          </w:tcPr>
          <w:p w:rsidR="00966866" w:rsidRDefault="00966866">
            <w:pPr>
              <w:jc w:val="right"/>
              <w:rPr>
                <w:rFonts w:ascii="Calibri" w:hAnsi="Calibri" w:cs="Calibri"/>
                <w:color w:val="000000"/>
                <w:sz w:val="18"/>
                <w:szCs w:val="18"/>
              </w:rPr>
            </w:pPr>
            <w:r>
              <w:rPr>
                <w:rFonts w:ascii="Calibri" w:hAnsi="Calibri" w:cs="Calibri"/>
                <w:color w:val="000000"/>
                <w:sz w:val="18"/>
                <w:szCs w:val="18"/>
              </w:rPr>
              <w:t>562</w:t>
            </w:r>
          </w:p>
        </w:tc>
        <w:tc>
          <w:tcPr>
            <w:tcW w:w="5254" w:type="dxa"/>
            <w:gridSpan w:val="2"/>
            <w:tcBorders>
              <w:top w:val="single" w:sz="4" w:space="0" w:color="auto"/>
              <w:left w:val="nil"/>
              <w:bottom w:val="single" w:sz="4" w:space="0" w:color="auto"/>
              <w:right w:val="single" w:sz="4" w:space="0" w:color="000000"/>
            </w:tcBorders>
            <w:shd w:val="clear" w:color="FFF2CC" w:fill="E2EFDA"/>
            <w:noWrap/>
            <w:vAlign w:val="bottom"/>
            <w:hideMark/>
          </w:tcPr>
          <w:p w:rsidR="00966866" w:rsidRDefault="00966866">
            <w:pPr>
              <w:rPr>
                <w:rFonts w:ascii="Calibri" w:hAnsi="Calibri" w:cs="Calibri"/>
                <w:color w:val="000000"/>
                <w:sz w:val="18"/>
                <w:szCs w:val="18"/>
              </w:rPr>
            </w:pPr>
            <w:r>
              <w:rPr>
                <w:rFonts w:ascii="Calibri" w:hAnsi="Calibri" w:cs="Calibri"/>
                <w:color w:val="000000"/>
                <w:sz w:val="18"/>
                <w:szCs w:val="18"/>
              </w:rPr>
              <w:t>Neinvestiční půjčené prostředky neziskovým a podobným organizacím</w:t>
            </w:r>
          </w:p>
        </w:tc>
        <w:tc>
          <w:tcPr>
            <w:tcW w:w="1277" w:type="dxa"/>
            <w:tcBorders>
              <w:top w:val="nil"/>
              <w:left w:val="nil"/>
              <w:bottom w:val="single" w:sz="4" w:space="0" w:color="auto"/>
              <w:right w:val="single" w:sz="4" w:space="0" w:color="auto"/>
            </w:tcBorders>
            <w:shd w:val="clear" w:color="FFF2CC" w:fill="E2EFDA"/>
            <w:noWrap/>
            <w:vAlign w:val="bottom"/>
            <w:hideMark/>
          </w:tcPr>
          <w:p w:rsidR="00966866" w:rsidRDefault="00966866">
            <w:pPr>
              <w:jc w:val="right"/>
              <w:rPr>
                <w:rFonts w:ascii="Calibri" w:hAnsi="Calibri" w:cs="Calibri"/>
                <w:color w:val="000000"/>
                <w:sz w:val="18"/>
                <w:szCs w:val="18"/>
              </w:rPr>
            </w:pPr>
            <w:r>
              <w:rPr>
                <w:rFonts w:ascii="Calibri" w:hAnsi="Calibri" w:cs="Calibri"/>
                <w:color w:val="000000"/>
                <w:sz w:val="18"/>
                <w:szCs w:val="18"/>
              </w:rPr>
              <w:t>3 300 000,00</w:t>
            </w:r>
          </w:p>
        </w:tc>
        <w:tc>
          <w:tcPr>
            <w:tcW w:w="1276" w:type="dxa"/>
            <w:tcBorders>
              <w:top w:val="nil"/>
              <w:left w:val="nil"/>
              <w:bottom w:val="single" w:sz="4" w:space="0" w:color="auto"/>
              <w:right w:val="single" w:sz="4" w:space="0" w:color="auto"/>
            </w:tcBorders>
            <w:shd w:val="clear" w:color="FFF2CC" w:fill="E2EFDA"/>
            <w:noWrap/>
            <w:vAlign w:val="bottom"/>
            <w:hideMark/>
          </w:tcPr>
          <w:p w:rsidR="00966866" w:rsidRDefault="00966866">
            <w:pPr>
              <w:jc w:val="right"/>
              <w:rPr>
                <w:rFonts w:ascii="Calibri" w:hAnsi="Calibri" w:cs="Calibri"/>
                <w:color w:val="000000"/>
                <w:sz w:val="18"/>
                <w:szCs w:val="18"/>
              </w:rPr>
            </w:pPr>
            <w:r>
              <w:rPr>
                <w:rFonts w:ascii="Calibri" w:hAnsi="Calibri" w:cs="Calibri"/>
                <w:color w:val="000000"/>
                <w:sz w:val="18"/>
                <w:szCs w:val="18"/>
              </w:rPr>
              <w:t>500 000,00</w:t>
            </w:r>
          </w:p>
        </w:tc>
        <w:tc>
          <w:tcPr>
            <w:tcW w:w="1270" w:type="dxa"/>
            <w:tcBorders>
              <w:top w:val="nil"/>
              <w:left w:val="nil"/>
              <w:bottom w:val="single" w:sz="4" w:space="0" w:color="auto"/>
              <w:right w:val="single" w:sz="4" w:space="0" w:color="auto"/>
            </w:tcBorders>
            <w:shd w:val="clear" w:color="FFF2CC" w:fill="E2EFDA"/>
            <w:noWrap/>
            <w:vAlign w:val="bottom"/>
            <w:hideMark/>
          </w:tcPr>
          <w:p w:rsidR="00966866" w:rsidRDefault="00966866">
            <w:pPr>
              <w:jc w:val="right"/>
              <w:rPr>
                <w:rFonts w:ascii="Calibri" w:hAnsi="Calibri" w:cs="Calibri"/>
                <w:color w:val="000000"/>
                <w:sz w:val="18"/>
                <w:szCs w:val="18"/>
              </w:rPr>
            </w:pPr>
            <w:r>
              <w:rPr>
                <w:rFonts w:ascii="Calibri" w:hAnsi="Calibri" w:cs="Calibri"/>
                <w:color w:val="000000"/>
                <w:sz w:val="18"/>
                <w:szCs w:val="18"/>
              </w:rPr>
              <w:t>0,00</w:t>
            </w:r>
          </w:p>
        </w:tc>
      </w:tr>
      <w:tr w:rsidR="00966866" w:rsidTr="00966866">
        <w:trPr>
          <w:trHeight w:val="488"/>
        </w:trPr>
        <w:tc>
          <w:tcPr>
            <w:tcW w:w="41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966866" w:rsidRDefault="00966866">
            <w:pPr>
              <w:jc w:val="center"/>
              <w:rPr>
                <w:rFonts w:ascii="Calibri" w:hAnsi="Calibri" w:cs="Calibri"/>
                <w:color w:val="000000"/>
                <w:sz w:val="18"/>
                <w:szCs w:val="18"/>
              </w:rPr>
            </w:pPr>
            <w:r>
              <w:rPr>
                <w:rFonts w:ascii="Calibri" w:hAnsi="Calibri" w:cs="Calibri"/>
                <w:color w:val="000000"/>
                <w:sz w:val="18"/>
                <w:szCs w:val="18"/>
              </w:rPr>
              <w:t> </w:t>
            </w:r>
          </w:p>
        </w:tc>
        <w:tc>
          <w:tcPr>
            <w:tcW w:w="505" w:type="dxa"/>
            <w:tcBorders>
              <w:top w:val="nil"/>
              <w:left w:val="nil"/>
              <w:bottom w:val="single" w:sz="4" w:space="0" w:color="auto"/>
              <w:right w:val="single" w:sz="4" w:space="0" w:color="auto"/>
            </w:tcBorders>
            <w:shd w:val="clear" w:color="auto" w:fill="auto"/>
            <w:noWrap/>
            <w:vAlign w:val="center"/>
            <w:hideMark/>
          </w:tcPr>
          <w:p w:rsidR="00966866" w:rsidRDefault="00966866">
            <w:pPr>
              <w:jc w:val="center"/>
              <w:rPr>
                <w:rFonts w:ascii="Calibri" w:hAnsi="Calibri" w:cs="Calibri"/>
                <w:color w:val="000000"/>
                <w:sz w:val="18"/>
                <w:szCs w:val="18"/>
              </w:rPr>
            </w:pPr>
            <w:r>
              <w:rPr>
                <w:rFonts w:ascii="Calibri" w:hAnsi="Calibri" w:cs="Calibri"/>
                <w:color w:val="000000"/>
                <w:sz w:val="18"/>
                <w:szCs w:val="18"/>
              </w:rPr>
              <w:t>5621</w:t>
            </w:r>
          </w:p>
        </w:tc>
        <w:tc>
          <w:tcPr>
            <w:tcW w:w="4749" w:type="dxa"/>
            <w:tcBorders>
              <w:top w:val="nil"/>
              <w:left w:val="nil"/>
              <w:bottom w:val="single" w:sz="4" w:space="0" w:color="auto"/>
              <w:right w:val="single" w:sz="4" w:space="0" w:color="auto"/>
            </w:tcBorders>
            <w:shd w:val="clear" w:color="auto" w:fill="auto"/>
            <w:vAlign w:val="bottom"/>
            <w:hideMark/>
          </w:tcPr>
          <w:p w:rsidR="00966866" w:rsidRDefault="00966866">
            <w:pPr>
              <w:rPr>
                <w:rFonts w:ascii="Calibri" w:hAnsi="Calibri" w:cs="Calibri"/>
                <w:color w:val="000000"/>
                <w:sz w:val="18"/>
                <w:szCs w:val="18"/>
              </w:rPr>
            </w:pPr>
            <w:r>
              <w:rPr>
                <w:rFonts w:ascii="Calibri" w:hAnsi="Calibri" w:cs="Calibri"/>
                <w:color w:val="000000"/>
                <w:sz w:val="18"/>
                <w:szCs w:val="18"/>
              </w:rPr>
              <w:t>Neinvestiční půjčené prostředky fundacím, ústavům a obecně prospěšným společnostem</w:t>
            </w:r>
          </w:p>
        </w:tc>
        <w:tc>
          <w:tcPr>
            <w:tcW w:w="1277" w:type="dxa"/>
            <w:tcBorders>
              <w:top w:val="nil"/>
              <w:left w:val="nil"/>
              <w:bottom w:val="single" w:sz="4" w:space="0" w:color="auto"/>
              <w:right w:val="single" w:sz="4" w:space="0" w:color="auto"/>
            </w:tcBorders>
            <w:shd w:val="clear" w:color="auto" w:fill="auto"/>
            <w:noWrap/>
            <w:vAlign w:val="center"/>
            <w:hideMark/>
          </w:tcPr>
          <w:p w:rsidR="00966866" w:rsidRDefault="00966866">
            <w:pPr>
              <w:jc w:val="right"/>
              <w:rPr>
                <w:rFonts w:ascii="Calibri" w:hAnsi="Calibri" w:cs="Calibri"/>
                <w:color w:val="000000"/>
                <w:sz w:val="18"/>
                <w:szCs w:val="18"/>
              </w:rPr>
            </w:pPr>
            <w:r>
              <w:rPr>
                <w:rFonts w:ascii="Calibri" w:hAnsi="Calibri" w:cs="Calibri"/>
                <w:color w:val="000000"/>
                <w:sz w:val="18"/>
                <w:szCs w:val="18"/>
              </w:rPr>
              <w:t>3 000 000,00</w:t>
            </w:r>
          </w:p>
        </w:tc>
        <w:tc>
          <w:tcPr>
            <w:tcW w:w="1276" w:type="dxa"/>
            <w:tcBorders>
              <w:top w:val="nil"/>
              <w:left w:val="nil"/>
              <w:bottom w:val="single" w:sz="4" w:space="0" w:color="auto"/>
              <w:right w:val="single" w:sz="4" w:space="0" w:color="auto"/>
            </w:tcBorders>
            <w:shd w:val="clear" w:color="auto" w:fill="auto"/>
            <w:noWrap/>
            <w:vAlign w:val="center"/>
            <w:hideMark/>
          </w:tcPr>
          <w:p w:rsidR="00966866" w:rsidRDefault="00966866">
            <w:pPr>
              <w:jc w:val="right"/>
              <w:rPr>
                <w:rFonts w:ascii="Calibri" w:hAnsi="Calibri" w:cs="Calibri"/>
                <w:color w:val="000000"/>
                <w:sz w:val="18"/>
                <w:szCs w:val="18"/>
              </w:rPr>
            </w:pPr>
            <w:r>
              <w:rPr>
                <w:rFonts w:ascii="Calibri" w:hAnsi="Calibri" w:cs="Calibri"/>
                <w:color w:val="000000"/>
                <w:sz w:val="18"/>
                <w:szCs w:val="18"/>
              </w:rPr>
              <w:t>500 000,00</w:t>
            </w:r>
          </w:p>
        </w:tc>
        <w:tc>
          <w:tcPr>
            <w:tcW w:w="1270" w:type="dxa"/>
            <w:tcBorders>
              <w:top w:val="nil"/>
              <w:left w:val="nil"/>
              <w:bottom w:val="single" w:sz="4" w:space="0" w:color="auto"/>
              <w:right w:val="single" w:sz="4" w:space="0" w:color="auto"/>
            </w:tcBorders>
            <w:shd w:val="clear" w:color="auto" w:fill="auto"/>
            <w:noWrap/>
            <w:vAlign w:val="center"/>
            <w:hideMark/>
          </w:tcPr>
          <w:p w:rsidR="00966866" w:rsidRDefault="00966866">
            <w:pPr>
              <w:jc w:val="right"/>
              <w:rPr>
                <w:rFonts w:ascii="Calibri" w:hAnsi="Calibri" w:cs="Calibri"/>
                <w:color w:val="000000"/>
                <w:sz w:val="18"/>
                <w:szCs w:val="18"/>
              </w:rPr>
            </w:pPr>
            <w:r>
              <w:rPr>
                <w:rFonts w:ascii="Calibri" w:hAnsi="Calibri" w:cs="Calibri"/>
                <w:color w:val="000000"/>
                <w:sz w:val="18"/>
                <w:szCs w:val="18"/>
              </w:rPr>
              <w:t>0,00</w:t>
            </w:r>
          </w:p>
        </w:tc>
      </w:tr>
      <w:tr w:rsidR="00966866" w:rsidTr="00966866">
        <w:trPr>
          <w:trHeight w:val="295"/>
        </w:trPr>
        <w:tc>
          <w:tcPr>
            <w:tcW w:w="415" w:type="dxa"/>
            <w:vMerge/>
            <w:tcBorders>
              <w:top w:val="nil"/>
              <w:left w:val="single" w:sz="4" w:space="0" w:color="auto"/>
              <w:bottom w:val="single" w:sz="4" w:space="0" w:color="000000"/>
              <w:right w:val="single" w:sz="4" w:space="0" w:color="auto"/>
            </w:tcBorders>
            <w:vAlign w:val="center"/>
            <w:hideMark/>
          </w:tcPr>
          <w:p w:rsidR="00966866" w:rsidRDefault="00966866">
            <w:pPr>
              <w:rPr>
                <w:rFonts w:ascii="Calibri" w:hAnsi="Calibri" w:cs="Calibri"/>
                <w:color w:val="000000"/>
                <w:sz w:val="18"/>
                <w:szCs w:val="18"/>
              </w:rPr>
            </w:pPr>
          </w:p>
        </w:tc>
        <w:tc>
          <w:tcPr>
            <w:tcW w:w="505" w:type="dxa"/>
            <w:tcBorders>
              <w:top w:val="nil"/>
              <w:left w:val="nil"/>
              <w:bottom w:val="single" w:sz="4" w:space="0" w:color="auto"/>
              <w:right w:val="single" w:sz="4" w:space="0" w:color="auto"/>
            </w:tcBorders>
            <w:shd w:val="clear" w:color="auto" w:fill="auto"/>
            <w:noWrap/>
            <w:vAlign w:val="center"/>
            <w:hideMark/>
          </w:tcPr>
          <w:p w:rsidR="00966866" w:rsidRDefault="00966866">
            <w:pPr>
              <w:jc w:val="center"/>
              <w:rPr>
                <w:rFonts w:ascii="Calibri" w:hAnsi="Calibri" w:cs="Calibri"/>
                <w:color w:val="000000"/>
                <w:sz w:val="18"/>
                <w:szCs w:val="18"/>
              </w:rPr>
            </w:pPr>
            <w:r>
              <w:rPr>
                <w:rFonts w:ascii="Calibri" w:hAnsi="Calibri" w:cs="Calibri"/>
                <w:color w:val="000000"/>
                <w:sz w:val="18"/>
                <w:szCs w:val="18"/>
              </w:rPr>
              <w:t>5622</w:t>
            </w:r>
          </w:p>
        </w:tc>
        <w:tc>
          <w:tcPr>
            <w:tcW w:w="4749" w:type="dxa"/>
            <w:tcBorders>
              <w:top w:val="nil"/>
              <w:left w:val="nil"/>
              <w:bottom w:val="single" w:sz="4" w:space="0" w:color="auto"/>
              <w:right w:val="single" w:sz="4" w:space="0" w:color="auto"/>
            </w:tcBorders>
            <w:shd w:val="clear" w:color="auto" w:fill="auto"/>
            <w:vAlign w:val="bottom"/>
            <w:hideMark/>
          </w:tcPr>
          <w:p w:rsidR="00966866" w:rsidRDefault="00966866">
            <w:pPr>
              <w:rPr>
                <w:rFonts w:ascii="Calibri" w:hAnsi="Calibri" w:cs="Calibri"/>
                <w:color w:val="000000"/>
                <w:sz w:val="18"/>
                <w:szCs w:val="18"/>
              </w:rPr>
            </w:pPr>
            <w:r>
              <w:rPr>
                <w:rFonts w:ascii="Calibri" w:hAnsi="Calibri" w:cs="Calibri"/>
                <w:color w:val="000000"/>
                <w:sz w:val="18"/>
                <w:szCs w:val="18"/>
              </w:rPr>
              <w:t>Neinvestiční půjčené prostředky spolkům</w:t>
            </w:r>
          </w:p>
        </w:tc>
        <w:tc>
          <w:tcPr>
            <w:tcW w:w="1277" w:type="dxa"/>
            <w:tcBorders>
              <w:top w:val="nil"/>
              <w:left w:val="nil"/>
              <w:bottom w:val="single" w:sz="4" w:space="0" w:color="auto"/>
              <w:right w:val="single" w:sz="4" w:space="0" w:color="auto"/>
            </w:tcBorders>
            <w:shd w:val="clear" w:color="auto" w:fill="auto"/>
            <w:noWrap/>
            <w:vAlign w:val="center"/>
            <w:hideMark/>
          </w:tcPr>
          <w:p w:rsidR="00966866" w:rsidRDefault="00966866">
            <w:pPr>
              <w:jc w:val="right"/>
              <w:rPr>
                <w:rFonts w:ascii="Calibri" w:hAnsi="Calibri" w:cs="Calibri"/>
                <w:color w:val="000000"/>
                <w:sz w:val="18"/>
                <w:szCs w:val="18"/>
              </w:rPr>
            </w:pPr>
            <w:r>
              <w:rPr>
                <w:rFonts w:ascii="Calibri" w:hAnsi="Calibri" w:cs="Calibri"/>
                <w:color w:val="000000"/>
                <w:sz w:val="18"/>
                <w:szCs w:val="18"/>
              </w:rPr>
              <w:t>300 000,00</w:t>
            </w:r>
          </w:p>
        </w:tc>
        <w:tc>
          <w:tcPr>
            <w:tcW w:w="1276" w:type="dxa"/>
            <w:tcBorders>
              <w:top w:val="nil"/>
              <w:left w:val="nil"/>
              <w:bottom w:val="single" w:sz="4" w:space="0" w:color="auto"/>
              <w:right w:val="single" w:sz="4" w:space="0" w:color="auto"/>
            </w:tcBorders>
            <w:shd w:val="clear" w:color="auto" w:fill="auto"/>
            <w:noWrap/>
            <w:vAlign w:val="center"/>
            <w:hideMark/>
          </w:tcPr>
          <w:p w:rsidR="00966866" w:rsidRDefault="00966866">
            <w:pPr>
              <w:jc w:val="right"/>
              <w:rPr>
                <w:rFonts w:ascii="Calibri" w:hAnsi="Calibri" w:cs="Calibri"/>
                <w:color w:val="000000"/>
                <w:sz w:val="18"/>
                <w:szCs w:val="18"/>
              </w:rPr>
            </w:pPr>
            <w:r>
              <w:rPr>
                <w:rFonts w:ascii="Calibri" w:hAnsi="Calibri" w:cs="Calibri"/>
                <w:color w:val="000000"/>
                <w:sz w:val="18"/>
                <w:szCs w:val="18"/>
              </w:rPr>
              <w:t>0,00</w:t>
            </w:r>
          </w:p>
        </w:tc>
        <w:tc>
          <w:tcPr>
            <w:tcW w:w="1270" w:type="dxa"/>
            <w:tcBorders>
              <w:top w:val="nil"/>
              <w:left w:val="nil"/>
              <w:bottom w:val="single" w:sz="4" w:space="0" w:color="auto"/>
              <w:right w:val="single" w:sz="4" w:space="0" w:color="auto"/>
            </w:tcBorders>
            <w:shd w:val="clear" w:color="auto" w:fill="auto"/>
            <w:noWrap/>
            <w:vAlign w:val="center"/>
            <w:hideMark/>
          </w:tcPr>
          <w:p w:rsidR="00966866" w:rsidRDefault="00966866">
            <w:pPr>
              <w:jc w:val="right"/>
              <w:rPr>
                <w:rFonts w:ascii="Calibri" w:hAnsi="Calibri" w:cs="Calibri"/>
                <w:color w:val="000000"/>
                <w:sz w:val="18"/>
                <w:szCs w:val="18"/>
              </w:rPr>
            </w:pPr>
            <w:r>
              <w:rPr>
                <w:rFonts w:ascii="Calibri" w:hAnsi="Calibri" w:cs="Calibri"/>
                <w:color w:val="000000"/>
                <w:sz w:val="18"/>
                <w:szCs w:val="18"/>
              </w:rPr>
              <w:t>0,00</w:t>
            </w:r>
          </w:p>
        </w:tc>
      </w:tr>
      <w:tr w:rsidR="00966866" w:rsidTr="00966866">
        <w:trPr>
          <w:trHeight w:val="295"/>
        </w:trPr>
        <w:tc>
          <w:tcPr>
            <w:tcW w:w="415" w:type="dxa"/>
            <w:tcBorders>
              <w:top w:val="nil"/>
              <w:left w:val="single" w:sz="4" w:space="0" w:color="auto"/>
              <w:bottom w:val="single" w:sz="4" w:space="0" w:color="auto"/>
              <w:right w:val="single" w:sz="4" w:space="0" w:color="auto"/>
            </w:tcBorders>
            <w:shd w:val="clear" w:color="FFF2CC" w:fill="E2EFDA"/>
            <w:noWrap/>
            <w:vAlign w:val="bottom"/>
            <w:hideMark/>
          </w:tcPr>
          <w:p w:rsidR="00966866" w:rsidRDefault="00966866">
            <w:pPr>
              <w:jc w:val="right"/>
              <w:rPr>
                <w:rFonts w:ascii="Calibri" w:hAnsi="Calibri" w:cs="Calibri"/>
                <w:color w:val="000000"/>
                <w:sz w:val="18"/>
                <w:szCs w:val="18"/>
              </w:rPr>
            </w:pPr>
            <w:r>
              <w:rPr>
                <w:rFonts w:ascii="Calibri" w:hAnsi="Calibri" w:cs="Calibri"/>
                <w:color w:val="000000"/>
                <w:sz w:val="18"/>
                <w:szCs w:val="18"/>
              </w:rPr>
              <w:t>566</w:t>
            </w:r>
          </w:p>
        </w:tc>
        <w:tc>
          <w:tcPr>
            <w:tcW w:w="5254" w:type="dxa"/>
            <w:gridSpan w:val="2"/>
            <w:tcBorders>
              <w:top w:val="single" w:sz="4" w:space="0" w:color="auto"/>
              <w:left w:val="nil"/>
              <w:bottom w:val="single" w:sz="4" w:space="0" w:color="auto"/>
              <w:right w:val="single" w:sz="4" w:space="0" w:color="000000"/>
            </w:tcBorders>
            <w:shd w:val="clear" w:color="FFF2CC" w:fill="E2EFDA"/>
            <w:noWrap/>
            <w:vAlign w:val="center"/>
            <w:hideMark/>
          </w:tcPr>
          <w:p w:rsidR="00966866" w:rsidRDefault="00966866">
            <w:pPr>
              <w:rPr>
                <w:rFonts w:ascii="Calibri" w:hAnsi="Calibri" w:cs="Calibri"/>
                <w:color w:val="000000"/>
                <w:sz w:val="18"/>
                <w:szCs w:val="18"/>
              </w:rPr>
            </w:pPr>
            <w:r>
              <w:rPr>
                <w:rFonts w:ascii="Calibri" w:hAnsi="Calibri" w:cs="Calibri"/>
                <w:color w:val="000000"/>
                <w:sz w:val="18"/>
                <w:szCs w:val="18"/>
              </w:rPr>
              <w:t>Neinvestiční půjčené prostředky obyvatelstvu</w:t>
            </w:r>
          </w:p>
        </w:tc>
        <w:tc>
          <w:tcPr>
            <w:tcW w:w="1277" w:type="dxa"/>
            <w:tcBorders>
              <w:top w:val="nil"/>
              <w:left w:val="nil"/>
              <w:bottom w:val="single" w:sz="4" w:space="0" w:color="auto"/>
              <w:right w:val="single" w:sz="4" w:space="0" w:color="auto"/>
            </w:tcBorders>
            <w:shd w:val="clear" w:color="FFF2CC" w:fill="E2EFDA"/>
            <w:noWrap/>
            <w:vAlign w:val="center"/>
            <w:hideMark/>
          </w:tcPr>
          <w:p w:rsidR="00966866" w:rsidRDefault="00966866">
            <w:pPr>
              <w:jc w:val="right"/>
              <w:rPr>
                <w:rFonts w:ascii="Calibri" w:hAnsi="Calibri" w:cs="Calibri"/>
                <w:color w:val="000000"/>
                <w:sz w:val="18"/>
                <w:szCs w:val="18"/>
              </w:rPr>
            </w:pPr>
            <w:r>
              <w:rPr>
                <w:rFonts w:ascii="Calibri" w:hAnsi="Calibri" w:cs="Calibri"/>
                <w:color w:val="000000"/>
                <w:sz w:val="18"/>
                <w:szCs w:val="18"/>
              </w:rPr>
              <w:t>217 887,00</w:t>
            </w:r>
          </w:p>
        </w:tc>
        <w:tc>
          <w:tcPr>
            <w:tcW w:w="1276" w:type="dxa"/>
            <w:tcBorders>
              <w:top w:val="nil"/>
              <w:left w:val="nil"/>
              <w:bottom w:val="single" w:sz="4" w:space="0" w:color="auto"/>
              <w:right w:val="single" w:sz="4" w:space="0" w:color="auto"/>
            </w:tcBorders>
            <w:shd w:val="clear" w:color="FFF2CC" w:fill="E2EFDA"/>
            <w:noWrap/>
            <w:vAlign w:val="center"/>
            <w:hideMark/>
          </w:tcPr>
          <w:p w:rsidR="00966866" w:rsidRDefault="00966866">
            <w:pPr>
              <w:jc w:val="right"/>
              <w:rPr>
                <w:rFonts w:ascii="Calibri" w:hAnsi="Calibri" w:cs="Calibri"/>
                <w:color w:val="000000"/>
                <w:sz w:val="18"/>
                <w:szCs w:val="18"/>
              </w:rPr>
            </w:pPr>
            <w:r>
              <w:rPr>
                <w:rFonts w:ascii="Calibri" w:hAnsi="Calibri" w:cs="Calibri"/>
                <w:color w:val="000000"/>
                <w:sz w:val="18"/>
                <w:szCs w:val="18"/>
              </w:rPr>
              <w:t>258 633,00</w:t>
            </w:r>
          </w:p>
        </w:tc>
        <w:tc>
          <w:tcPr>
            <w:tcW w:w="1270" w:type="dxa"/>
            <w:tcBorders>
              <w:top w:val="nil"/>
              <w:left w:val="nil"/>
              <w:bottom w:val="single" w:sz="4" w:space="0" w:color="auto"/>
              <w:right w:val="single" w:sz="4" w:space="0" w:color="auto"/>
            </w:tcBorders>
            <w:shd w:val="clear" w:color="FFF2CC" w:fill="E2EFDA"/>
            <w:noWrap/>
            <w:vAlign w:val="center"/>
            <w:hideMark/>
          </w:tcPr>
          <w:p w:rsidR="00966866" w:rsidRDefault="00966866">
            <w:pPr>
              <w:jc w:val="right"/>
              <w:rPr>
                <w:rFonts w:ascii="Calibri" w:hAnsi="Calibri" w:cs="Calibri"/>
                <w:color w:val="000000"/>
                <w:sz w:val="18"/>
                <w:szCs w:val="18"/>
              </w:rPr>
            </w:pPr>
            <w:r>
              <w:rPr>
                <w:rFonts w:ascii="Calibri" w:hAnsi="Calibri" w:cs="Calibri"/>
                <w:color w:val="000000"/>
                <w:sz w:val="18"/>
                <w:szCs w:val="18"/>
              </w:rPr>
              <w:t>133 136,72</w:t>
            </w:r>
          </w:p>
        </w:tc>
      </w:tr>
      <w:tr w:rsidR="00966866" w:rsidTr="00966866">
        <w:trPr>
          <w:trHeight w:val="295"/>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rsidR="00966866" w:rsidRDefault="00966866">
            <w:pPr>
              <w:rPr>
                <w:rFonts w:ascii="Calibri" w:hAnsi="Calibri" w:cs="Calibri"/>
                <w:color w:val="000000"/>
                <w:sz w:val="18"/>
                <w:szCs w:val="18"/>
              </w:rPr>
            </w:pPr>
            <w:r>
              <w:rPr>
                <w:rFonts w:ascii="Calibri" w:hAnsi="Calibri" w:cs="Calibri"/>
                <w:color w:val="000000"/>
                <w:sz w:val="18"/>
                <w:szCs w:val="18"/>
              </w:rPr>
              <w:t> </w:t>
            </w:r>
          </w:p>
        </w:tc>
        <w:tc>
          <w:tcPr>
            <w:tcW w:w="505" w:type="dxa"/>
            <w:tcBorders>
              <w:top w:val="nil"/>
              <w:left w:val="nil"/>
              <w:bottom w:val="single" w:sz="4" w:space="0" w:color="auto"/>
              <w:right w:val="single" w:sz="4" w:space="0" w:color="auto"/>
            </w:tcBorders>
            <w:shd w:val="clear" w:color="auto" w:fill="auto"/>
            <w:noWrap/>
            <w:vAlign w:val="center"/>
            <w:hideMark/>
          </w:tcPr>
          <w:p w:rsidR="00966866" w:rsidRDefault="00966866">
            <w:pPr>
              <w:jc w:val="center"/>
              <w:rPr>
                <w:rFonts w:ascii="Calibri" w:hAnsi="Calibri" w:cs="Calibri"/>
                <w:color w:val="000000"/>
                <w:sz w:val="18"/>
                <w:szCs w:val="18"/>
              </w:rPr>
            </w:pPr>
            <w:r>
              <w:rPr>
                <w:rFonts w:ascii="Calibri" w:hAnsi="Calibri" w:cs="Calibri"/>
                <w:color w:val="000000"/>
                <w:sz w:val="18"/>
                <w:szCs w:val="18"/>
              </w:rPr>
              <w:t>5660</w:t>
            </w:r>
          </w:p>
        </w:tc>
        <w:tc>
          <w:tcPr>
            <w:tcW w:w="4749" w:type="dxa"/>
            <w:tcBorders>
              <w:top w:val="nil"/>
              <w:left w:val="nil"/>
              <w:bottom w:val="single" w:sz="4" w:space="0" w:color="auto"/>
              <w:right w:val="single" w:sz="4" w:space="0" w:color="auto"/>
            </w:tcBorders>
            <w:shd w:val="clear" w:color="auto" w:fill="auto"/>
            <w:vAlign w:val="bottom"/>
            <w:hideMark/>
          </w:tcPr>
          <w:p w:rsidR="00966866" w:rsidRDefault="00966866">
            <w:pPr>
              <w:rPr>
                <w:rFonts w:ascii="Calibri" w:hAnsi="Calibri" w:cs="Calibri"/>
                <w:color w:val="000000"/>
                <w:sz w:val="18"/>
                <w:szCs w:val="18"/>
              </w:rPr>
            </w:pPr>
            <w:r>
              <w:rPr>
                <w:rFonts w:ascii="Calibri" w:hAnsi="Calibri" w:cs="Calibri"/>
                <w:color w:val="000000"/>
                <w:sz w:val="18"/>
                <w:szCs w:val="18"/>
              </w:rPr>
              <w:t>Neinvestiční půjčené prostředky obyvatelstvu</w:t>
            </w:r>
          </w:p>
        </w:tc>
        <w:tc>
          <w:tcPr>
            <w:tcW w:w="1277" w:type="dxa"/>
            <w:tcBorders>
              <w:top w:val="nil"/>
              <w:left w:val="nil"/>
              <w:bottom w:val="single" w:sz="4" w:space="0" w:color="auto"/>
              <w:right w:val="single" w:sz="4" w:space="0" w:color="auto"/>
            </w:tcBorders>
            <w:shd w:val="clear" w:color="auto" w:fill="auto"/>
            <w:noWrap/>
            <w:vAlign w:val="center"/>
            <w:hideMark/>
          </w:tcPr>
          <w:p w:rsidR="00966866" w:rsidRDefault="00966866">
            <w:pPr>
              <w:jc w:val="right"/>
              <w:rPr>
                <w:rFonts w:ascii="Calibri" w:hAnsi="Calibri" w:cs="Calibri"/>
                <w:color w:val="000000"/>
                <w:sz w:val="18"/>
                <w:szCs w:val="18"/>
              </w:rPr>
            </w:pPr>
            <w:r>
              <w:rPr>
                <w:rFonts w:ascii="Calibri" w:hAnsi="Calibri" w:cs="Calibri"/>
                <w:color w:val="000000"/>
                <w:sz w:val="18"/>
                <w:szCs w:val="18"/>
              </w:rPr>
              <w:t>217 887,00</w:t>
            </w:r>
          </w:p>
        </w:tc>
        <w:tc>
          <w:tcPr>
            <w:tcW w:w="1276" w:type="dxa"/>
            <w:tcBorders>
              <w:top w:val="nil"/>
              <w:left w:val="nil"/>
              <w:bottom w:val="single" w:sz="4" w:space="0" w:color="auto"/>
              <w:right w:val="single" w:sz="4" w:space="0" w:color="auto"/>
            </w:tcBorders>
            <w:shd w:val="clear" w:color="auto" w:fill="auto"/>
            <w:noWrap/>
            <w:vAlign w:val="center"/>
            <w:hideMark/>
          </w:tcPr>
          <w:p w:rsidR="00966866" w:rsidRDefault="00966866">
            <w:pPr>
              <w:jc w:val="right"/>
              <w:rPr>
                <w:rFonts w:ascii="Calibri" w:hAnsi="Calibri" w:cs="Calibri"/>
                <w:color w:val="000000"/>
                <w:sz w:val="18"/>
                <w:szCs w:val="18"/>
              </w:rPr>
            </w:pPr>
            <w:r>
              <w:rPr>
                <w:rFonts w:ascii="Calibri" w:hAnsi="Calibri" w:cs="Calibri"/>
                <w:color w:val="000000"/>
                <w:sz w:val="18"/>
                <w:szCs w:val="18"/>
              </w:rPr>
              <w:t>258 633,00</w:t>
            </w:r>
          </w:p>
        </w:tc>
        <w:tc>
          <w:tcPr>
            <w:tcW w:w="1270" w:type="dxa"/>
            <w:tcBorders>
              <w:top w:val="nil"/>
              <w:left w:val="nil"/>
              <w:bottom w:val="single" w:sz="4" w:space="0" w:color="auto"/>
              <w:right w:val="single" w:sz="4" w:space="0" w:color="auto"/>
            </w:tcBorders>
            <w:shd w:val="clear" w:color="auto" w:fill="auto"/>
            <w:noWrap/>
            <w:vAlign w:val="center"/>
            <w:hideMark/>
          </w:tcPr>
          <w:p w:rsidR="00966866" w:rsidRDefault="00966866">
            <w:pPr>
              <w:jc w:val="right"/>
              <w:rPr>
                <w:rFonts w:ascii="Calibri" w:hAnsi="Calibri" w:cs="Calibri"/>
                <w:color w:val="000000"/>
                <w:sz w:val="18"/>
                <w:szCs w:val="18"/>
              </w:rPr>
            </w:pPr>
            <w:r>
              <w:rPr>
                <w:rFonts w:ascii="Calibri" w:hAnsi="Calibri" w:cs="Calibri"/>
                <w:color w:val="000000"/>
                <w:sz w:val="18"/>
                <w:szCs w:val="18"/>
              </w:rPr>
              <w:t>133 136,72</w:t>
            </w:r>
          </w:p>
        </w:tc>
      </w:tr>
    </w:tbl>
    <w:p w:rsidR="00DF4B6F" w:rsidRDefault="00DF4B6F" w:rsidP="00DF4B6F"/>
    <w:p w:rsidR="00966866" w:rsidRDefault="00966866" w:rsidP="00DF4B6F"/>
    <w:p w:rsidR="00DF4B6F" w:rsidRDefault="00966866" w:rsidP="00966866">
      <w:pPr>
        <w:jc w:val="center"/>
      </w:pPr>
      <w:r>
        <w:rPr>
          <w:noProof/>
        </w:rPr>
        <w:drawing>
          <wp:inline distT="0" distB="0" distL="0" distR="0" wp14:anchorId="2076BFF4" wp14:editId="52B8E826">
            <wp:extent cx="4067810" cy="2907957"/>
            <wp:effectExtent l="0" t="0" r="8890" b="6985"/>
            <wp:docPr id="26" name="Graf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DF4B6F" w:rsidRPr="00DF4B6F" w:rsidRDefault="00DF4B6F" w:rsidP="00DF4B6F"/>
    <w:p w:rsidR="00F97351" w:rsidRPr="00F97351" w:rsidRDefault="00F97351" w:rsidP="00F97351"/>
    <w:p w:rsidR="005F6A05" w:rsidRPr="005F6A05" w:rsidRDefault="005F6A05" w:rsidP="00F97351">
      <w:pPr>
        <w:jc w:val="center"/>
      </w:pPr>
    </w:p>
    <w:p w:rsidR="00E86B16" w:rsidRDefault="00E86B16" w:rsidP="00E86B16"/>
    <w:p w:rsidR="008E1A8F" w:rsidRPr="00C7173E" w:rsidRDefault="00597D2E" w:rsidP="00597D2E">
      <w:pPr>
        <w:pStyle w:val="Nadpis2"/>
      </w:pPr>
      <w:r w:rsidRPr="00C7173E">
        <w:lastRenderedPageBreak/>
        <w:t>Ostatní neinvestiční výdaje</w:t>
      </w:r>
    </w:p>
    <w:p w:rsidR="00F15621" w:rsidRPr="00BC0B03" w:rsidRDefault="00BC0B03" w:rsidP="00CF2599">
      <w:pPr>
        <w:jc w:val="both"/>
        <w:rPr>
          <w:rFonts w:asciiTheme="minorHAnsi" w:hAnsiTheme="minorHAnsi" w:cstheme="minorHAnsi"/>
          <w:sz w:val="22"/>
          <w:szCs w:val="22"/>
        </w:rPr>
      </w:pPr>
      <w:r w:rsidRPr="00BC0B03">
        <w:rPr>
          <w:rFonts w:asciiTheme="minorHAnsi" w:hAnsiTheme="minorHAnsi" w:cstheme="minorHAnsi"/>
          <w:sz w:val="22"/>
          <w:szCs w:val="22"/>
        </w:rPr>
        <w:t xml:space="preserve">V roce 2022 nebyly na těchto položkách žádné výdaje. V roce 2021 byla na </w:t>
      </w:r>
      <w:r w:rsidR="00C23437" w:rsidRPr="00BC0B03">
        <w:rPr>
          <w:rFonts w:asciiTheme="minorHAnsi" w:hAnsiTheme="minorHAnsi" w:cstheme="minorHAnsi"/>
          <w:sz w:val="22"/>
          <w:szCs w:val="22"/>
        </w:rPr>
        <w:t xml:space="preserve">položce 5904 zaúčtována vratka  </w:t>
      </w:r>
      <w:r w:rsidR="00435C32" w:rsidRPr="00BC0B03">
        <w:rPr>
          <w:rFonts w:asciiTheme="minorHAnsi" w:hAnsiTheme="minorHAnsi" w:cstheme="minorHAnsi"/>
          <w:sz w:val="22"/>
          <w:szCs w:val="22"/>
        </w:rPr>
        <w:t xml:space="preserve">dotace na Ministerstvo školství, mládeže a tělovýchovy. </w:t>
      </w:r>
      <w:r w:rsidRPr="00BC0B03">
        <w:rPr>
          <w:rFonts w:asciiTheme="minorHAnsi" w:hAnsiTheme="minorHAnsi" w:cstheme="minorHAnsi"/>
          <w:sz w:val="22"/>
          <w:szCs w:val="22"/>
        </w:rPr>
        <w:t>Položka 5909 obsahovala</w:t>
      </w:r>
      <w:r w:rsidR="00C23437" w:rsidRPr="00BC0B03">
        <w:rPr>
          <w:rFonts w:asciiTheme="minorHAnsi" w:hAnsiTheme="minorHAnsi" w:cstheme="minorHAnsi"/>
          <w:sz w:val="22"/>
          <w:szCs w:val="22"/>
        </w:rPr>
        <w:t xml:space="preserve"> mylné platby</w:t>
      </w:r>
      <w:r w:rsidR="00435C32" w:rsidRPr="00BC0B03">
        <w:rPr>
          <w:rFonts w:asciiTheme="minorHAnsi" w:hAnsiTheme="minorHAnsi" w:cstheme="minorHAnsi"/>
          <w:sz w:val="22"/>
          <w:szCs w:val="22"/>
        </w:rPr>
        <w:t>, nejvýznamnější čás</w:t>
      </w:r>
      <w:r w:rsidRPr="00BC0B03">
        <w:rPr>
          <w:rFonts w:asciiTheme="minorHAnsi" w:hAnsiTheme="minorHAnsi" w:cstheme="minorHAnsi"/>
          <w:sz w:val="22"/>
          <w:szCs w:val="22"/>
        </w:rPr>
        <w:t>tka (438,97 tis. Kč) představovala</w:t>
      </w:r>
      <w:r w:rsidR="00435C32" w:rsidRPr="00BC0B03">
        <w:rPr>
          <w:rFonts w:asciiTheme="minorHAnsi" w:hAnsiTheme="minorHAnsi" w:cstheme="minorHAnsi"/>
          <w:sz w:val="22"/>
          <w:szCs w:val="22"/>
        </w:rPr>
        <w:t xml:space="preserve"> </w:t>
      </w:r>
      <w:r w:rsidR="00C7173E" w:rsidRPr="00BC0B03">
        <w:rPr>
          <w:rFonts w:asciiTheme="minorHAnsi" w:hAnsiTheme="minorHAnsi" w:cstheme="minorHAnsi"/>
          <w:sz w:val="22"/>
          <w:szCs w:val="22"/>
        </w:rPr>
        <w:t>omylem 2x proplacenou fakturu od Koordinátora integrovaného dopravního systému Olomouckého kraje, p. o., za užívání autobusového nádraží v závěru roku 2020. Částka měla být vrácena, ale byla zahrnuta do fondu rezerv a rozvoje, ze kterého byla následně rozpočtovým opatřením uvolněna na kapitolu 41 a vrácena.</w:t>
      </w:r>
    </w:p>
    <w:p w:rsidR="00966866" w:rsidRDefault="00966866" w:rsidP="00CF2599">
      <w:pPr>
        <w:jc w:val="both"/>
        <w:rPr>
          <w:rFonts w:asciiTheme="minorHAnsi" w:hAnsiTheme="minorHAnsi" w:cstheme="minorHAnsi"/>
          <w:sz w:val="22"/>
          <w:szCs w:val="22"/>
        </w:rPr>
      </w:pPr>
    </w:p>
    <w:tbl>
      <w:tblPr>
        <w:tblW w:w="9492" w:type="dxa"/>
        <w:tblInd w:w="-5" w:type="dxa"/>
        <w:tblCellMar>
          <w:left w:w="70" w:type="dxa"/>
          <w:right w:w="70" w:type="dxa"/>
        </w:tblCellMar>
        <w:tblLook w:val="04A0" w:firstRow="1" w:lastRow="0" w:firstColumn="1" w:lastColumn="0" w:noHBand="0" w:noVBand="1"/>
      </w:tblPr>
      <w:tblGrid>
        <w:gridCol w:w="414"/>
        <w:gridCol w:w="505"/>
        <w:gridCol w:w="5318"/>
        <w:gridCol w:w="1134"/>
        <w:gridCol w:w="1134"/>
        <w:gridCol w:w="987"/>
      </w:tblGrid>
      <w:tr w:rsidR="00966866" w:rsidTr="00966866">
        <w:trPr>
          <w:trHeight w:val="255"/>
        </w:trPr>
        <w:tc>
          <w:tcPr>
            <w:tcW w:w="6237" w:type="dxa"/>
            <w:gridSpan w:val="3"/>
            <w:tcBorders>
              <w:top w:val="single" w:sz="4" w:space="0" w:color="auto"/>
              <w:left w:val="single" w:sz="4" w:space="0" w:color="auto"/>
              <w:bottom w:val="single" w:sz="4" w:space="0" w:color="auto"/>
              <w:right w:val="single" w:sz="4" w:space="0" w:color="000000"/>
            </w:tcBorders>
            <w:shd w:val="clear" w:color="D6A100" w:fill="C6E0B4"/>
            <w:noWrap/>
            <w:vAlign w:val="bottom"/>
            <w:hideMark/>
          </w:tcPr>
          <w:p w:rsidR="00966866" w:rsidRDefault="00966866">
            <w:pPr>
              <w:rPr>
                <w:rFonts w:ascii="Calibri" w:hAnsi="Calibri" w:cs="Calibri"/>
                <w:color w:val="000000"/>
                <w:sz w:val="18"/>
                <w:szCs w:val="18"/>
              </w:rPr>
            </w:pPr>
            <w:r>
              <w:rPr>
                <w:rFonts w:ascii="Calibri" w:hAnsi="Calibri" w:cs="Calibri"/>
                <w:color w:val="000000"/>
                <w:sz w:val="18"/>
                <w:szCs w:val="18"/>
              </w:rPr>
              <w:t> </w:t>
            </w:r>
          </w:p>
        </w:tc>
        <w:tc>
          <w:tcPr>
            <w:tcW w:w="1134" w:type="dxa"/>
            <w:tcBorders>
              <w:top w:val="single" w:sz="4" w:space="0" w:color="auto"/>
              <w:left w:val="nil"/>
              <w:bottom w:val="single" w:sz="4" w:space="0" w:color="auto"/>
              <w:right w:val="single" w:sz="4" w:space="0" w:color="auto"/>
            </w:tcBorders>
            <w:shd w:val="clear" w:color="D6A100" w:fill="C6E0B4"/>
            <w:noWrap/>
            <w:vAlign w:val="center"/>
            <w:hideMark/>
          </w:tcPr>
          <w:p w:rsidR="00966866" w:rsidRDefault="00966866">
            <w:pPr>
              <w:jc w:val="center"/>
              <w:rPr>
                <w:rFonts w:ascii="Calibri" w:hAnsi="Calibri" w:cs="Calibri"/>
                <w:color w:val="000000"/>
                <w:sz w:val="18"/>
                <w:szCs w:val="18"/>
              </w:rPr>
            </w:pPr>
            <w:r>
              <w:rPr>
                <w:rFonts w:ascii="Calibri" w:hAnsi="Calibri" w:cs="Calibri"/>
                <w:color w:val="000000"/>
                <w:sz w:val="18"/>
                <w:szCs w:val="18"/>
              </w:rPr>
              <w:t>2020</w:t>
            </w:r>
          </w:p>
        </w:tc>
        <w:tc>
          <w:tcPr>
            <w:tcW w:w="1134" w:type="dxa"/>
            <w:tcBorders>
              <w:top w:val="single" w:sz="4" w:space="0" w:color="auto"/>
              <w:left w:val="nil"/>
              <w:bottom w:val="single" w:sz="4" w:space="0" w:color="auto"/>
              <w:right w:val="single" w:sz="4" w:space="0" w:color="auto"/>
            </w:tcBorders>
            <w:shd w:val="clear" w:color="D6A100" w:fill="C6E0B4"/>
            <w:noWrap/>
            <w:vAlign w:val="center"/>
            <w:hideMark/>
          </w:tcPr>
          <w:p w:rsidR="00966866" w:rsidRDefault="00966866">
            <w:pPr>
              <w:jc w:val="center"/>
              <w:rPr>
                <w:rFonts w:ascii="Calibri" w:hAnsi="Calibri" w:cs="Calibri"/>
                <w:color w:val="000000"/>
                <w:sz w:val="18"/>
                <w:szCs w:val="18"/>
              </w:rPr>
            </w:pPr>
            <w:r>
              <w:rPr>
                <w:rFonts w:ascii="Calibri" w:hAnsi="Calibri" w:cs="Calibri"/>
                <w:color w:val="000000"/>
                <w:sz w:val="18"/>
                <w:szCs w:val="18"/>
              </w:rPr>
              <w:t>2021</w:t>
            </w:r>
          </w:p>
        </w:tc>
        <w:tc>
          <w:tcPr>
            <w:tcW w:w="987" w:type="dxa"/>
            <w:tcBorders>
              <w:top w:val="single" w:sz="4" w:space="0" w:color="auto"/>
              <w:left w:val="nil"/>
              <w:bottom w:val="single" w:sz="4" w:space="0" w:color="auto"/>
              <w:right w:val="single" w:sz="4" w:space="0" w:color="auto"/>
            </w:tcBorders>
            <w:shd w:val="clear" w:color="D6A100" w:fill="C6E0B4"/>
            <w:noWrap/>
            <w:vAlign w:val="center"/>
            <w:hideMark/>
          </w:tcPr>
          <w:p w:rsidR="00966866" w:rsidRDefault="00966866">
            <w:pPr>
              <w:jc w:val="center"/>
              <w:rPr>
                <w:rFonts w:ascii="Calibri" w:hAnsi="Calibri" w:cs="Calibri"/>
                <w:color w:val="000000"/>
                <w:sz w:val="18"/>
                <w:szCs w:val="18"/>
              </w:rPr>
            </w:pPr>
            <w:r>
              <w:rPr>
                <w:rFonts w:ascii="Calibri" w:hAnsi="Calibri" w:cs="Calibri"/>
                <w:color w:val="000000"/>
                <w:sz w:val="18"/>
                <w:szCs w:val="18"/>
              </w:rPr>
              <w:t>2022</w:t>
            </w:r>
          </w:p>
        </w:tc>
      </w:tr>
      <w:tr w:rsidR="00966866" w:rsidTr="00966866">
        <w:trPr>
          <w:trHeight w:val="255"/>
        </w:trPr>
        <w:tc>
          <w:tcPr>
            <w:tcW w:w="6237" w:type="dxa"/>
            <w:gridSpan w:val="3"/>
            <w:tcBorders>
              <w:top w:val="single" w:sz="4" w:space="0" w:color="auto"/>
              <w:left w:val="single" w:sz="4" w:space="0" w:color="auto"/>
              <w:bottom w:val="single" w:sz="4" w:space="0" w:color="auto"/>
              <w:right w:val="single" w:sz="4" w:space="0" w:color="000000"/>
            </w:tcBorders>
            <w:shd w:val="clear" w:color="000000" w:fill="A9D08E"/>
            <w:noWrap/>
            <w:vAlign w:val="bottom"/>
            <w:hideMark/>
          </w:tcPr>
          <w:p w:rsidR="00966866" w:rsidRDefault="00966866">
            <w:pPr>
              <w:rPr>
                <w:rFonts w:ascii="Calibri" w:hAnsi="Calibri" w:cs="Calibri"/>
                <w:b/>
                <w:bCs/>
                <w:color w:val="000000"/>
                <w:sz w:val="18"/>
                <w:szCs w:val="18"/>
              </w:rPr>
            </w:pPr>
            <w:r>
              <w:rPr>
                <w:rFonts w:ascii="Calibri" w:hAnsi="Calibri" w:cs="Calibri"/>
                <w:b/>
                <w:bCs/>
                <w:color w:val="000000"/>
                <w:sz w:val="18"/>
                <w:szCs w:val="18"/>
              </w:rPr>
              <w:t>Ostatní neinvestiční výdaje</w:t>
            </w:r>
          </w:p>
        </w:tc>
        <w:tc>
          <w:tcPr>
            <w:tcW w:w="1134" w:type="dxa"/>
            <w:tcBorders>
              <w:top w:val="nil"/>
              <w:left w:val="nil"/>
              <w:bottom w:val="single" w:sz="4" w:space="0" w:color="auto"/>
              <w:right w:val="single" w:sz="4" w:space="0" w:color="auto"/>
            </w:tcBorders>
            <w:shd w:val="clear" w:color="000000" w:fill="A9D08E"/>
            <w:noWrap/>
            <w:vAlign w:val="bottom"/>
            <w:hideMark/>
          </w:tcPr>
          <w:p w:rsidR="00966866" w:rsidRDefault="00966866">
            <w:pPr>
              <w:jc w:val="right"/>
              <w:rPr>
                <w:rFonts w:ascii="Calibri" w:hAnsi="Calibri" w:cs="Calibri"/>
                <w:b/>
                <w:bCs/>
                <w:color w:val="000000"/>
                <w:sz w:val="18"/>
                <w:szCs w:val="18"/>
              </w:rPr>
            </w:pPr>
            <w:r>
              <w:rPr>
                <w:rFonts w:ascii="Calibri" w:hAnsi="Calibri" w:cs="Calibri"/>
                <w:b/>
                <w:bCs/>
                <w:color w:val="000000"/>
                <w:sz w:val="18"/>
                <w:szCs w:val="18"/>
              </w:rPr>
              <w:t>0,00</w:t>
            </w:r>
          </w:p>
        </w:tc>
        <w:tc>
          <w:tcPr>
            <w:tcW w:w="1134" w:type="dxa"/>
            <w:tcBorders>
              <w:top w:val="nil"/>
              <w:left w:val="nil"/>
              <w:bottom w:val="single" w:sz="4" w:space="0" w:color="auto"/>
              <w:right w:val="single" w:sz="4" w:space="0" w:color="auto"/>
            </w:tcBorders>
            <w:shd w:val="clear" w:color="000000" w:fill="A9D08E"/>
            <w:noWrap/>
            <w:vAlign w:val="bottom"/>
            <w:hideMark/>
          </w:tcPr>
          <w:p w:rsidR="00966866" w:rsidRDefault="00966866">
            <w:pPr>
              <w:jc w:val="right"/>
              <w:rPr>
                <w:rFonts w:ascii="Calibri" w:hAnsi="Calibri" w:cs="Calibri"/>
                <w:b/>
                <w:bCs/>
                <w:color w:val="000000"/>
                <w:sz w:val="18"/>
                <w:szCs w:val="18"/>
              </w:rPr>
            </w:pPr>
            <w:r>
              <w:rPr>
                <w:rFonts w:ascii="Calibri" w:hAnsi="Calibri" w:cs="Calibri"/>
                <w:b/>
                <w:bCs/>
                <w:color w:val="000000"/>
                <w:sz w:val="18"/>
                <w:szCs w:val="18"/>
              </w:rPr>
              <w:t>483 703,41</w:t>
            </w:r>
          </w:p>
        </w:tc>
        <w:tc>
          <w:tcPr>
            <w:tcW w:w="987" w:type="dxa"/>
            <w:tcBorders>
              <w:top w:val="nil"/>
              <w:left w:val="nil"/>
              <w:bottom w:val="single" w:sz="4" w:space="0" w:color="auto"/>
              <w:right w:val="single" w:sz="4" w:space="0" w:color="auto"/>
            </w:tcBorders>
            <w:shd w:val="clear" w:color="000000" w:fill="A9D08E"/>
            <w:noWrap/>
            <w:vAlign w:val="bottom"/>
            <w:hideMark/>
          </w:tcPr>
          <w:p w:rsidR="00966866" w:rsidRDefault="00966866">
            <w:pPr>
              <w:jc w:val="right"/>
              <w:rPr>
                <w:rFonts w:ascii="Calibri" w:hAnsi="Calibri" w:cs="Calibri"/>
                <w:b/>
                <w:bCs/>
                <w:color w:val="000000"/>
                <w:sz w:val="18"/>
                <w:szCs w:val="18"/>
              </w:rPr>
            </w:pPr>
            <w:r>
              <w:rPr>
                <w:rFonts w:ascii="Calibri" w:hAnsi="Calibri" w:cs="Calibri"/>
                <w:b/>
                <w:bCs/>
                <w:color w:val="000000"/>
                <w:sz w:val="18"/>
                <w:szCs w:val="18"/>
              </w:rPr>
              <w:t>0,00</w:t>
            </w:r>
          </w:p>
        </w:tc>
      </w:tr>
      <w:tr w:rsidR="00966866" w:rsidTr="00966866">
        <w:trPr>
          <w:trHeight w:val="255"/>
        </w:trPr>
        <w:tc>
          <w:tcPr>
            <w:tcW w:w="414" w:type="dxa"/>
            <w:tcBorders>
              <w:top w:val="nil"/>
              <w:left w:val="single" w:sz="4" w:space="0" w:color="auto"/>
              <w:bottom w:val="single" w:sz="4" w:space="0" w:color="auto"/>
              <w:right w:val="single" w:sz="4" w:space="0" w:color="auto"/>
            </w:tcBorders>
            <w:shd w:val="clear" w:color="FFF2CC" w:fill="E2EFDA"/>
            <w:noWrap/>
            <w:vAlign w:val="bottom"/>
            <w:hideMark/>
          </w:tcPr>
          <w:p w:rsidR="00966866" w:rsidRDefault="00966866">
            <w:pPr>
              <w:jc w:val="right"/>
              <w:rPr>
                <w:rFonts w:ascii="Calibri" w:hAnsi="Calibri" w:cs="Calibri"/>
                <w:color w:val="000000"/>
                <w:sz w:val="18"/>
                <w:szCs w:val="18"/>
              </w:rPr>
            </w:pPr>
            <w:r>
              <w:rPr>
                <w:rFonts w:ascii="Calibri" w:hAnsi="Calibri" w:cs="Calibri"/>
                <w:color w:val="000000"/>
                <w:sz w:val="18"/>
                <w:szCs w:val="18"/>
              </w:rPr>
              <w:t>590</w:t>
            </w:r>
          </w:p>
        </w:tc>
        <w:tc>
          <w:tcPr>
            <w:tcW w:w="5823" w:type="dxa"/>
            <w:gridSpan w:val="2"/>
            <w:tcBorders>
              <w:top w:val="single" w:sz="4" w:space="0" w:color="auto"/>
              <w:left w:val="nil"/>
              <w:bottom w:val="single" w:sz="4" w:space="0" w:color="auto"/>
              <w:right w:val="single" w:sz="4" w:space="0" w:color="000000"/>
            </w:tcBorders>
            <w:shd w:val="clear" w:color="FFF2CC" w:fill="E2EFDA"/>
            <w:noWrap/>
            <w:vAlign w:val="bottom"/>
            <w:hideMark/>
          </w:tcPr>
          <w:p w:rsidR="00966866" w:rsidRDefault="00966866">
            <w:pPr>
              <w:rPr>
                <w:rFonts w:ascii="Calibri" w:hAnsi="Calibri" w:cs="Calibri"/>
                <w:color w:val="000000"/>
                <w:sz w:val="18"/>
                <w:szCs w:val="18"/>
              </w:rPr>
            </w:pPr>
            <w:r>
              <w:rPr>
                <w:rFonts w:ascii="Calibri" w:hAnsi="Calibri" w:cs="Calibri"/>
                <w:color w:val="000000"/>
                <w:sz w:val="18"/>
                <w:szCs w:val="18"/>
              </w:rPr>
              <w:t>Ostatní neinvestiční výdaje</w:t>
            </w:r>
          </w:p>
        </w:tc>
        <w:tc>
          <w:tcPr>
            <w:tcW w:w="1134" w:type="dxa"/>
            <w:tcBorders>
              <w:top w:val="nil"/>
              <w:left w:val="nil"/>
              <w:bottom w:val="single" w:sz="4" w:space="0" w:color="auto"/>
              <w:right w:val="single" w:sz="4" w:space="0" w:color="auto"/>
            </w:tcBorders>
            <w:shd w:val="clear" w:color="FFF2CC" w:fill="E2EFDA"/>
            <w:noWrap/>
            <w:vAlign w:val="bottom"/>
            <w:hideMark/>
          </w:tcPr>
          <w:p w:rsidR="00966866" w:rsidRDefault="00966866">
            <w:pPr>
              <w:jc w:val="right"/>
              <w:rPr>
                <w:rFonts w:ascii="Calibri" w:hAnsi="Calibri" w:cs="Calibri"/>
                <w:color w:val="000000"/>
                <w:sz w:val="18"/>
                <w:szCs w:val="18"/>
              </w:rPr>
            </w:pPr>
            <w:r>
              <w:rPr>
                <w:rFonts w:ascii="Calibri" w:hAnsi="Calibri" w:cs="Calibri"/>
                <w:color w:val="000000"/>
                <w:sz w:val="18"/>
                <w:szCs w:val="18"/>
              </w:rPr>
              <w:t>0,00</w:t>
            </w:r>
          </w:p>
        </w:tc>
        <w:tc>
          <w:tcPr>
            <w:tcW w:w="1134" w:type="dxa"/>
            <w:tcBorders>
              <w:top w:val="nil"/>
              <w:left w:val="nil"/>
              <w:bottom w:val="single" w:sz="4" w:space="0" w:color="auto"/>
              <w:right w:val="single" w:sz="4" w:space="0" w:color="auto"/>
            </w:tcBorders>
            <w:shd w:val="clear" w:color="FFF2CC" w:fill="E2EFDA"/>
            <w:noWrap/>
            <w:vAlign w:val="bottom"/>
            <w:hideMark/>
          </w:tcPr>
          <w:p w:rsidR="00966866" w:rsidRDefault="00966866">
            <w:pPr>
              <w:jc w:val="right"/>
              <w:rPr>
                <w:rFonts w:ascii="Calibri" w:hAnsi="Calibri" w:cs="Calibri"/>
                <w:color w:val="000000"/>
                <w:sz w:val="18"/>
                <w:szCs w:val="18"/>
              </w:rPr>
            </w:pPr>
            <w:r>
              <w:rPr>
                <w:rFonts w:ascii="Calibri" w:hAnsi="Calibri" w:cs="Calibri"/>
                <w:color w:val="000000"/>
                <w:sz w:val="18"/>
                <w:szCs w:val="18"/>
              </w:rPr>
              <w:t>483 703,41</w:t>
            </w:r>
          </w:p>
        </w:tc>
        <w:tc>
          <w:tcPr>
            <w:tcW w:w="987" w:type="dxa"/>
            <w:tcBorders>
              <w:top w:val="nil"/>
              <w:left w:val="nil"/>
              <w:bottom w:val="single" w:sz="4" w:space="0" w:color="auto"/>
              <w:right w:val="single" w:sz="4" w:space="0" w:color="auto"/>
            </w:tcBorders>
            <w:shd w:val="clear" w:color="FFF2CC" w:fill="E2EFDA"/>
            <w:noWrap/>
            <w:vAlign w:val="bottom"/>
            <w:hideMark/>
          </w:tcPr>
          <w:p w:rsidR="00966866" w:rsidRDefault="00966866">
            <w:pPr>
              <w:jc w:val="right"/>
              <w:rPr>
                <w:rFonts w:ascii="Calibri" w:hAnsi="Calibri" w:cs="Calibri"/>
                <w:color w:val="000000"/>
                <w:sz w:val="18"/>
                <w:szCs w:val="18"/>
              </w:rPr>
            </w:pPr>
            <w:r>
              <w:rPr>
                <w:rFonts w:ascii="Calibri" w:hAnsi="Calibri" w:cs="Calibri"/>
                <w:color w:val="000000"/>
                <w:sz w:val="18"/>
                <w:szCs w:val="18"/>
              </w:rPr>
              <w:t>0,00</w:t>
            </w:r>
          </w:p>
        </w:tc>
      </w:tr>
      <w:tr w:rsidR="00966866" w:rsidTr="00966866">
        <w:trPr>
          <w:trHeight w:val="255"/>
        </w:trPr>
        <w:tc>
          <w:tcPr>
            <w:tcW w:w="41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966866" w:rsidRDefault="00966866">
            <w:pPr>
              <w:jc w:val="center"/>
              <w:rPr>
                <w:rFonts w:ascii="Calibri" w:hAnsi="Calibri" w:cs="Calibri"/>
                <w:color w:val="000000"/>
                <w:sz w:val="18"/>
                <w:szCs w:val="18"/>
              </w:rPr>
            </w:pPr>
            <w:r>
              <w:rPr>
                <w:rFonts w:ascii="Calibri" w:hAnsi="Calibri" w:cs="Calibri"/>
                <w:color w:val="000000"/>
                <w:sz w:val="18"/>
                <w:szCs w:val="18"/>
              </w:rPr>
              <w:t> </w:t>
            </w:r>
          </w:p>
        </w:tc>
        <w:tc>
          <w:tcPr>
            <w:tcW w:w="505" w:type="dxa"/>
            <w:tcBorders>
              <w:top w:val="nil"/>
              <w:left w:val="nil"/>
              <w:bottom w:val="single" w:sz="4" w:space="0" w:color="auto"/>
              <w:right w:val="single" w:sz="4" w:space="0" w:color="auto"/>
            </w:tcBorders>
            <w:shd w:val="clear" w:color="auto" w:fill="auto"/>
            <w:noWrap/>
            <w:vAlign w:val="center"/>
            <w:hideMark/>
          </w:tcPr>
          <w:p w:rsidR="00966866" w:rsidRDefault="00966866">
            <w:pPr>
              <w:jc w:val="center"/>
              <w:rPr>
                <w:rFonts w:ascii="Calibri" w:hAnsi="Calibri" w:cs="Calibri"/>
                <w:color w:val="000000"/>
                <w:sz w:val="18"/>
                <w:szCs w:val="18"/>
              </w:rPr>
            </w:pPr>
            <w:r>
              <w:rPr>
                <w:rFonts w:ascii="Calibri" w:hAnsi="Calibri" w:cs="Calibri"/>
                <w:color w:val="000000"/>
                <w:sz w:val="18"/>
                <w:szCs w:val="18"/>
              </w:rPr>
              <w:t>5901</w:t>
            </w:r>
          </w:p>
        </w:tc>
        <w:tc>
          <w:tcPr>
            <w:tcW w:w="5318" w:type="dxa"/>
            <w:tcBorders>
              <w:top w:val="nil"/>
              <w:left w:val="nil"/>
              <w:bottom w:val="single" w:sz="4" w:space="0" w:color="auto"/>
              <w:right w:val="single" w:sz="4" w:space="0" w:color="auto"/>
            </w:tcBorders>
            <w:shd w:val="clear" w:color="auto" w:fill="auto"/>
            <w:vAlign w:val="bottom"/>
            <w:hideMark/>
          </w:tcPr>
          <w:p w:rsidR="00966866" w:rsidRDefault="00966866">
            <w:pPr>
              <w:rPr>
                <w:rFonts w:ascii="Calibri" w:hAnsi="Calibri" w:cs="Calibri"/>
                <w:color w:val="000000"/>
                <w:sz w:val="18"/>
                <w:szCs w:val="18"/>
              </w:rPr>
            </w:pPr>
            <w:r>
              <w:rPr>
                <w:rFonts w:ascii="Calibri" w:hAnsi="Calibri" w:cs="Calibri"/>
                <w:color w:val="000000"/>
                <w:sz w:val="18"/>
                <w:szCs w:val="18"/>
              </w:rPr>
              <w:t>Nespecifikované rezervy</w:t>
            </w:r>
          </w:p>
        </w:tc>
        <w:tc>
          <w:tcPr>
            <w:tcW w:w="1134" w:type="dxa"/>
            <w:tcBorders>
              <w:top w:val="nil"/>
              <w:left w:val="nil"/>
              <w:bottom w:val="single" w:sz="4" w:space="0" w:color="auto"/>
              <w:right w:val="single" w:sz="4" w:space="0" w:color="auto"/>
            </w:tcBorders>
            <w:shd w:val="clear" w:color="auto" w:fill="auto"/>
            <w:noWrap/>
            <w:vAlign w:val="bottom"/>
            <w:hideMark/>
          </w:tcPr>
          <w:p w:rsidR="00966866" w:rsidRDefault="00966866">
            <w:pPr>
              <w:jc w:val="right"/>
              <w:rPr>
                <w:rFonts w:ascii="Calibri" w:hAnsi="Calibri" w:cs="Calibri"/>
                <w:color w:val="000000"/>
                <w:sz w:val="18"/>
                <w:szCs w:val="18"/>
              </w:rPr>
            </w:pPr>
            <w:r>
              <w:rPr>
                <w:rFonts w:ascii="Calibri" w:hAnsi="Calibri" w:cs="Calibri"/>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966866" w:rsidRDefault="00966866">
            <w:pPr>
              <w:jc w:val="right"/>
              <w:rPr>
                <w:rFonts w:ascii="Calibri" w:hAnsi="Calibri" w:cs="Calibri"/>
                <w:color w:val="000000"/>
                <w:sz w:val="18"/>
                <w:szCs w:val="18"/>
              </w:rPr>
            </w:pPr>
            <w:r>
              <w:rPr>
                <w:rFonts w:ascii="Calibri" w:hAnsi="Calibri" w:cs="Calibri"/>
                <w:color w:val="000000"/>
                <w:sz w:val="18"/>
                <w:szCs w:val="18"/>
              </w:rPr>
              <w:t>0,00</w:t>
            </w:r>
          </w:p>
        </w:tc>
        <w:tc>
          <w:tcPr>
            <w:tcW w:w="987" w:type="dxa"/>
            <w:tcBorders>
              <w:top w:val="nil"/>
              <w:left w:val="nil"/>
              <w:bottom w:val="single" w:sz="4" w:space="0" w:color="auto"/>
              <w:right w:val="single" w:sz="4" w:space="0" w:color="auto"/>
            </w:tcBorders>
            <w:shd w:val="clear" w:color="auto" w:fill="auto"/>
            <w:noWrap/>
            <w:vAlign w:val="bottom"/>
            <w:hideMark/>
          </w:tcPr>
          <w:p w:rsidR="00966866" w:rsidRDefault="00966866">
            <w:pPr>
              <w:jc w:val="right"/>
              <w:rPr>
                <w:rFonts w:ascii="Calibri" w:hAnsi="Calibri" w:cs="Calibri"/>
                <w:color w:val="000000"/>
                <w:sz w:val="18"/>
                <w:szCs w:val="18"/>
              </w:rPr>
            </w:pPr>
            <w:r>
              <w:rPr>
                <w:rFonts w:ascii="Calibri" w:hAnsi="Calibri" w:cs="Calibri"/>
                <w:color w:val="000000"/>
                <w:sz w:val="18"/>
                <w:szCs w:val="18"/>
              </w:rPr>
              <w:t>0,00</w:t>
            </w:r>
          </w:p>
        </w:tc>
      </w:tr>
      <w:tr w:rsidR="00966866" w:rsidTr="00966866">
        <w:trPr>
          <w:trHeight w:val="255"/>
        </w:trPr>
        <w:tc>
          <w:tcPr>
            <w:tcW w:w="414" w:type="dxa"/>
            <w:vMerge/>
            <w:tcBorders>
              <w:top w:val="nil"/>
              <w:left w:val="single" w:sz="4" w:space="0" w:color="auto"/>
              <w:bottom w:val="single" w:sz="4" w:space="0" w:color="000000"/>
              <w:right w:val="single" w:sz="4" w:space="0" w:color="auto"/>
            </w:tcBorders>
            <w:vAlign w:val="center"/>
            <w:hideMark/>
          </w:tcPr>
          <w:p w:rsidR="00966866" w:rsidRDefault="00966866">
            <w:pPr>
              <w:rPr>
                <w:rFonts w:ascii="Calibri" w:hAnsi="Calibri" w:cs="Calibri"/>
                <w:color w:val="000000"/>
                <w:sz w:val="18"/>
                <w:szCs w:val="18"/>
              </w:rPr>
            </w:pPr>
          </w:p>
        </w:tc>
        <w:tc>
          <w:tcPr>
            <w:tcW w:w="505" w:type="dxa"/>
            <w:tcBorders>
              <w:top w:val="nil"/>
              <w:left w:val="nil"/>
              <w:bottom w:val="single" w:sz="4" w:space="0" w:color="auto"/>
              <w:right w:val="single" w:sz="4" w:space="0" w:color="auto"/>
            </w:tcBorders>
            <w:shd w:val="clear" w:color="auto" w:fill="auto"/>
            <w:noWrap/>
            <w:vAlign w:val="center"/>
            <w:hideMark/>
          </w:tcPr>
          <w:p w:rsidR="00966866" w:rsidRDefault="00966866">
            <w:pPr>
              <w:jc w:val="center"/>
              <w:rPr>
                <w:rFonts w:ascii="Calibri" w:hAnsi="Calibri" w:cs="Calibri"/>
                <w:color w:val="000000"/>
                <w:sz w:val="18"/>
                <w:szCs w:val="18"/>
              </w:rPr>
            </w:pPr>
            <w:r>
              <w:rPr>
                <w:rFonts w:ascii="Calibri" w:hAnsi="Calibri" w:cs="Calibri"/>
                <w:color w:val="000000"/>
                <w:sz w:val="18"/>
                <w:szCs w:val="18"/>
              </w:rPr>
              <w:t>5903</w:t>
            </w:r>
          </w:p>
        </w:tc>
        <w:tc>
          <w:tcPr>
            <w:tcW w:w="5318" w:type="dxa"/>
            <w:tcBorders>
              <w:top w:val="nil"/>
              <w:left w:val="nil"/>
              <w:bottom w:val="single" w:sz="4" w:space="0" w:color="auto"/>
              <w:right w:val="single" w:sz="4" w:space="0" w:color="auto"/>
            </w:tcBorders>
            <w:shd w:val="clear" w:color="auto" w:fill="auto"/>
            <w:vAlign w:val="bottom"/>
            <w:hideMark/>
          </w:tcPr>
          <w:p w:rsidR="00966866" w:rsidRDefault="00966866">
            <w:pPr>
              <w:rPr>
                <w:rFonts w:ascii="Calibri" w:hAnsi="Calibri" w:cs="Calibri"/>
                <w:color w:val="000000"/>
                <w:sz w:val="18"/>
                <w:szCs w:val="18"/>
              </w:rPr>
            </w:pPr>
            <w:r>
              <w:rPr>
                <w:rFonts w:ascii="Calibri" w:hAnsi="Calibri" w:cs="Calibri"/>
                <w:color w:val="000000"/>
                <w:sz w:val="18"/>
                <w:szCs w:val="18"/>
              </w:rPr>
              <w:t>Rezerva na krizová opatření</w:t>
            </w:r>
          </w:p>
        </w:tc>
        <w:tc>
          <w:tcPr>
            <w:tcW w:w="1134" w:type="dxa"/>
            <w:tcBorders>
              <w:top w:val="nil"/>
              <w:left w:val="nil"/>
              <w:bottom w:val="single" w:sz="4" w:space="0" w:color="auto"/>
              <w:right w:val="single" w:sz="4" w:space="0" w:color="auto"/>
            </w:tcBorders>
            <w:shd w:val="clear" w:color="auto" w:fill="auto"/>
            <w:noWrap/>
            <w:vAlign w:val="bottom"/>
            <w:hideMark/>
          </w:tcPr>
          <w:p w:rsidR="00966866" w:rsidRDefault="00966866">
            <w:pPr>
              <w:jc w:val="right"/>
              <w:rPr>
                <w:rFonts w:ascii="Calibri" w:hAnsi="Calibri" w:cs="Calibri"/>
                <w:color w:val="000000"/>
                <w:sz w:val="18"/>
                <w:szCs w:val="18"/>
              </w:rPr>
            </w:pPr>
            <w:r>
              <w:rPr>
                <w:rFonts w:ascii="Calibri" w:hAnsi="Calibri" w:cs="Calibri"/>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966866" w:rsidRDefault="00966866">
            <w:pPr>
              <w:jc w:val="right"/>
              <w:rPr>
                <w:rFonts w:ascii="Calibri" w:hAnsi="Calibri" w:cs="Calibri"/>
                <w:color w:val="000000"/>
                <w:sz w:val="18"/>
                <w:szCs w:val="18"/>
              </w:rPr>
            </w:pPr>
            <w:r>
              <w:rPr>
                <w:rFonts w:ascii="Calibri" w:hAnsi="Calibri" w:cs="Calibri"/>
                <w:color w:val="000000"/>
                <w:sz w:val="18"/>
                <w:szCs w:val="18"/>
              </w:rPr>
              <w:t>0,00</w:t>
            </w:r>
          </w:p>
        </w:tc>
        <w:tc>
          <w:tcPr>
            <w:tcW w:w="987" w:type="dxa"/>
            <w:tcBorders>
              <w:top w:val="nil"/>
              <w:left w:val="nil"/>
              <w:bottom w:val="single" w:sz="4" w:space="0" w:color="auto"/>
              <w:right w:val="single" w:sz="4" w:space="0" w:color="auto"/>
            </w:tcBorders>
            <w:shd w:val="clear" w:color="auto" w:fill="auto"/>
            <w:noWrap/>
            <w:vAlign w:val="bottom"/>
            <w:hideMark/>
          </w:tcPr>
          <w:p w:rsidR="00966866" w:rsidRDefault="00966866">
            <w:pPr>
              <w:jc w:val="right"/>
              <w:rPr>
                <w:rFonts w:ascii="Calibri" w:hAnsi="Calibri" w:cs="Calibri"/>
                <w:color w:val="000000"/>
                <w:sz w:val="18"/>
                <w:szCs w:val="18"/>
              </w:rPr>
            </w:pPr>
            <w:r>
              <w:rPr>
                <w:rFonts w:ascii="Calibri" w:hAnsi="Calibri" w:cs="Calibri"/>
                <w:color w:val="000000"/>
                <w:sz w:val="18"/>
                <w:szCs w:val="18"/>
              </w:rPr>
              <w:t>0,00</w:t>
            </w:r>
          </w:p>
        </w:tc>
      </w:tr>
      <w:tr w:rsidR="00966866" w:rsidTr="00966866">
        <w:trPr>
          <w:trHeight w:val="255"/>
        </w:trPr>
        <w:tc>
          <w:tcPr>
            <w:tcW w:w="414" w:type="dxa"/>
            <w:vMerge/>
            <w:tcBorders>
              <w:top w:val="nil"/>
              <w:left w:val="single" w:sz="4" w:space="0" w:color="auto"/>
              <w:bottom w:val="single" w:sz="4" w:space="0" w:color="000000"/>
              <w:right w:val="single" w:sz="4" w:space="0" w:color="auto"/>
            </w:tcBorders>
            <w:vAlign w:val="center"/>
            <w:hideMark/>
          </w:tcPr>
          <w:p w:rsidR="00966866" w:rsidRDefault="00966866">
            <w:pPr>
              <w:rPr>
                <w:rFonts w:ascii="Calibri" w:hAnsi="Calibri" w:cs="Calibri"/>
                <w:color w:val="000000"/>
                <w:sz w:val="18"/>
                <w:szCs w:val="18"/>
              </w:rPr>
            </w:pPr>
          </w:p>
        </w:tc>
        <w:tc>
          <w:tcPr>
            <w:tcW w:w="505" w:type="dxa"/>
            <w:tcBorders>
              <w:top w:val="nil"/>
              <w:left w:val="nil"/>
              <w:bottom w:val="single" w:sz="4" w:space="0" w:color="auto"/>
              <w:right w:val="single" w:sz="4" w:space="0" w:color="auto"/>
            </w:tcBorders>
            <w:shd w:val="clear" w:color="auto" w:fill="auto"/>
            <w:noWrap/>
            <w:vAlign w:val="center"/>
            <w:hideMark/>
          </w:tcPr>
          <w:p w:rsidR="00966866" w:rsidRDefault="00966866">
            <w:pPr>
              <w:jc w:val="center"/>
              <w:rPr>
                <w:rFonts w:ascii="Calibri" w:hAnsi="Calibri" w:cs="Calibri"/>
                <w:color w:val="000000"/>
                <w:sz w:val="18"/>
                <w:szCs w:val="18"/>
              </w:rPr>
            </w:pPr>
            <w:r>
              <w:rPr>
                <w:rFonts w:ascii="Calibri" w:hAnsi="Calibri" w:cs="Calibri"/>
                <w:color w:val="000000"/>
                <w:sz w:val="18"/>
                <w:szCs w:val="18"/>
              </w:rPr>
              <w:t>5904</w:t>
            </w:r>
          </w:p>
        </w:tc>
        <w:tc>
          <w:tcPr>
            <w:tcW w:w="5318" w:type="dxa"/>
            <w:tcBorders>
              <w:top w:val="nil"/>
              <w:left w:val="nil"/>
              <w:bottom w:val="single" w:sz="4" w:space="0" w:color="auto"/>
              <w:right w:val="single" w:sz="4" w:space="0" w:color="auto"/>
            </w:tcBorders>
            <w:shd w:val="clear" w:color="auto" w:fill="auto"/>
            <w:vAlign w:val="center"/>
            <w:hideMark/>
          </w:tcPr>
          <w:p w:rsidR="00966866" w:rsidRDefault="00966866">
            <w:pPr>
              <w:rPr>
                <w:rFonts w:ascii="Calibri" w:hAnsi="Calibri" w:cs="Calibri"/>
                <w:color w:val="000000"/>
                <w:sz w:val="18"/>
                <w:szCs w:val="18"/>
              </w:rPr>
            </w:pPr>
            <w:r>
              <w:rPr>
                <w:rFonts w:ascii="Calibri" w:hAnsi="Calibri" w:cs="Calibri"/>
                <w:color w:val="000000"/>
                <w:sz w:val="18"/>
                <w:szCs w:val="18"/>
              </w:rPr>
              <w:t>Převody domněle neoprávněně použitých dotací zpět poskytovateli </w:t>
            </w:r>
          </w:p>
        </w:tc>
        <w:tc>
          <w:tcPr>
            <w:tcW w:w="1134" w:type="dxa"/>
            <w:tcBorders>
              <w:top w:val="nil"/>
              <w:left w:val="nil"/>
              <w:bottom w:val="single" w:sz="4" w:space="0" w:color="auto"/>
              <w:right w:val="single" w:sz="4" w:space="0" w:color="auto"/>
            </w:tcBorders>
            <w:shd w:val="clear" w:color="auto" w:fill="auto"/>
            <w:noWrap/>
            <w:vAlign w:val="center"/>
            <w:hideMark/>
          </w:tcPr>
          <w:p w:rsidR="00966866" w:rsidRDefault="00966866">
            <w:pPr>
              <w:jc w:val="right"/>
              <w:rPr>
                <w:rFonts w:ascii="Calibri" w:hAnsi="Calibri" w:cs="Calibri"/>
                <w:color w:val="000000"/>
                <w:sz w:val="18"/>
                <w:szCs w:val="18"/>
              </w:rPr>
            </w:pPr>
            <w:r>
              <w:rPr>
                <w:rFonts w:ascii="Calibri" w:hAnsi="Calibri" w:cs="Calibri"/>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66866" w:rsidRDefault="00966866">
            <w:pPr>
              <w:jc w:val="right"/>
              <w:rPr>
                <w:rFonts w:ascii="Calibri" w:hAnsi="Calibri" w:cs="Calibri"/>
                <w:color w:val="000000"/>
                <w:sz w:val="18"/>
                <w:szCs w:val="18"/>
              </w:rPr>
            </w:pPr>
            <w:r>
              <w:rPr>
                <w:rFonts w:ascii="Calibri" w:hAnsi="Calibri" w:cs="Calibri"/>
                <w:color w:val="000000"/>
                <w:sz w:val="18"/>
                <w:szCs w:val="18"/>
              </w:rPr>
              <w:t>44 672,00</w:t>
            </w:r>
          </w:p>
        </w:tc>
        <w:tc>
          <w:tcPr>
            <w:tcW w:w="987" w:type="dxa"/>
            <w:tcBorders>
              <w:top w:val="nil"/>
              <w:left w:val="nil"/>
              <w:bottom w:val="single" w:sz="4" w:space="0" w:color="auto"/>
              <w:right w:val="single" w:sz="4" w:space="0" w:color="auto"/>
            </w:tcBorders>
            <w:shd w:val="clear" w:color="auto" w:fill="auto"/>
            <w:noWrap/>
            <w:vAlign w:val="center"/>
            <w:hideMark/>
          </w:tcPr>
          <w:p w:rsidR="00966866" w:rsidRDefault="00966866">
            <w:pPr>
              <w:jc w:val="right"/>
              <w:rPr>
                <w:rFonts w:ascii="Calibri" w:hAnsi="Calibri" w:cs="Calibri"/>
                <w:color w:val="000000"/>
                <w:sz w:val="18"/>
                <w:szCs w:val="18"/>
              </w:rPr>
            </w:pPr>
            <w:r>
              <w:rPr>
                <w:rFonts w:ascii="Calibri" w:hAnsi="Calibri" w:cs="Calibri"/>
                <w:color w:val="000000"/>
                <w:sz w:val="18"/>
                <w:szCs w:val="18"/>
              </w:rPr>
              <w:t>0,00</w:t>
            </w:r>
          </w:p>
        </w:tc>
      </w:tr>
      <w:tr w:rsidR="00966866" w:rsidTr="00966866">
        <w:trPr>
          <w:trHeight w:val="255"/>
        </w:trPr>
        <w:tc>
          <w:tcPr>
            <w:tcW w:w="414" w:type="dxa"/>
            <w:vMerge/>
            <w:tcBorders>
              <w:top w:val="nil"/>
              <w:left w:val="single" w:sz="4" w:space="0" w:color="auto"/>
              <w:bottom w:val="single" w:sz="4" w:space="0" w:color="000000"/>
              <w:right w:val="single" w:sz="4" w:space="0" w:color="auto"/>
            </w:tcBorders>
            <w:vAlign w:val="center"/>
            <w:hideMark/>
          </w:tcPr>
          <w:p w:rsidR="00966866" w:rsidRDefault="00966866">
            <w:pPr>
              <w:rPr>
                <w:rFonts w:ascii="Calibri" w:hAnsi="Calibri" w:cs="Calibri"/>
                <w:color w:val="000000"/>
                <w:sz w:val="18"/>
                <w:szCs w:val="18"/>
              </w:rPr>
            </w:pPr>
          </w:p>
        </w:tc>
        <w:tc>
          <w:tcPr>
            <w:tcW w:w="505" w:type="dxa"/>
            <w:tcBorders>
              <w:top w:val="nil"/>
              <w:left w:val="nil"/>
              <w:bottom w:val="single" w:sz="4" w:space="0" w:color="auto"/>
              <w:right w:val="single" w:sz="4" w:space="0" w:color="auto"/>
            </w:tcBorders>
            <w:shd w:val="clear" w:color="auto" w:fill="auto"/>
            <w:noWrap/>
            <w:vAlign w:val="center"/>
            <w:hideMark/>
          </w:tcPr>
          <w:p w:rsidR="00966866" w:rsidRDefault="00966866">
            <w:pPr>
              <w:jc w:val="center"/>
              <w:rPr>
                <w:rFonts w:ascii="Calibri" w:hAnsi="Calibri" w:cs="Calibri"/>
                <w:color w:val="000000"/>
                <w:sz w:val="18"/>
                <w:szCs w:val="18"/>
              </w:rPr>
            </w:pPr>
            <w:r>
              <w:rPr>
                <w:rFonts w:ascii="Calibri" w:hAnsi="Calibri" w:cs="Calibri"/>
                <w:color w:val="000000"/>
                <w:sz w:val="18"/>
                <w:szCs w:val="18"/>
              </w:rPr>
              <w:t>5909</w:t>
            </w:r>
          </w:p>
        </w:tc>
        <w:tc>
          <w:tcPr>
            <w:tcW w:w="5318" w:type="dxa"/>
            <w:tcBorders>
              <w:top w:val="nil"/>
              <w:left w:val="nil"/>
              <w:bottom w:val="single" w:sz="4" w:space="0" w:color="auto"/>
              <w:right w:val="single" w:sz="4" w:space="0" w:color="auto"/>
            </w:tcBorders>
            <w:shd w:val="clear" w:color="auto" w:fill="auto"/>
            <w:vAlign w:val="bottom"/>
            <w:hideMark/>
          </w:tcPr>
          <w:p w:rsidR="00966866" w:rsidRDefault="00966866">
            <w:pPr>
              <w:rPr>
                <w:rFonts w:ascii="Calibri" w:hAnsi="Calibri" w:cs="Calibri"/>
                <w:color w:val="000000"/>
                <w:sz w:val="18"/>
                <w:szCs w:val="18"/>
              </w:rPr>
            </w:pPr>
            <w:r>
              <w:rPr>
                <w:rFonts w:ascii="Calibri" w:hAnsi="Calibri" w:cs="Calibri"/>
                <w:color w:val="000000"/>
                <w:sz w:val="18"/>
                <w:szCs w:val="18"/>
              </w:rPr>
              <w:t>Ostatní neinvestiční výdaje jinde nezařazené</w:t>
            </w:r>
          </w:p>
        </w:tc>
        <w:tc>
          <w:tcPr>
            <w:tcW w:w="1134" w:type="dxa"/>
            <w:tcBorders>
              <w:top w:val="nil"/>
              <w:left w:val="nil"/>
              <w:bottom w:val="single" w:sz="4" w:space="0" w:color="auto"/>
              <w:right w:val="single" w:sz="4" w:space="0" w:color="auto"/>
            </w:tcBorders>
            <w:shd w:val="clear" w:color="auto" w:fill="auto"/>
            <w:noWrap/>
            <w:vAlign w:val="center"/>
            <w:hideMark/>
          </w:tcPr>
          <w:p w:rsidR="00966866" w:rsidRDefault="00966866">
            <w:pPr>
              <w:jc w:val="right"/>
              <w:rPr>
                <w:rFonts w:ascii="Calibri" w:hAnsi="Calibri" w:cs="Calibri"/>
                <w:color w:val="000000"/>
                <w:sz w:val="18"/>
                <w:szCs w:val="18"/>
              </w:rPr>
            </w:pPr>
            <w:r>
              <w:rPr>
                <w:rFonts w:ascii="Calibri" w:hAnsi="Calibri" w:cs="Calibri"/>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66866" w:rsidRDefault="00966866">
            <w:pPr>
              <w:jc w:val="right"/>
              <w:rPr>
                <w:rFonts w:ascii="Calibri" w:hAnsi="Calibri" w:cs="Calibri"/>
                <w:color w:val="000000"/>
                <w:sz w:val="18"/>
                <w:szCs w:val="18"/>
              </w:rPr>
            </w:pPr>
            <w:r>
              <w:rPr>
                <w:rFonts w:ascii="Calibri" w:hAnsi="Calibri" w:cs="Calibri"/>
                <w:color w:val="000000"/>
                <w:sz w:val="18"/>
                <w:szCs w:val="18"/>
              </w:rPr>
              <w:t>439 031,41</w:t>
            </w:r>
          </w:p>
        </w:tc>
        <w:tc>
          <w:tcPr>
            <w:tcW w:w="987" w:type="dxa"/>
            <w:tcBorders>
              <w:top w:val="nil"/>
              <w:left w:val="nil"/>
              <w:bottom w:val="single" w:sz="4" w:space="0" w:color="auto"/>
              <w:right w:val="single" w:sz="4" w:space="0" w:color="auto"/>
            </w:tcBorders>
            <w:shd w:val="clear" w:color="auto" w:fill="auto"/>
            <w:noWrap/>
            <w:vAlign w:val="center"/>
            <w:hideMark/>
          </w:tcPr>
          <w:p w:rsidR="00966866" w:rsidRDefault="00966866">
            <w:pPr>
              <w:jc w:val="right"/>
              <w:rPr>
                <w:rFonts w:ascii="Calibri" w:hAnsi="Calibri" w:cs="Calibri"/>
                <w:color w:val="000000"/>
                <w:sz w:val="18"/>
                <w:szCs w:val="18"/>
              </w:rPr>
            </w:pPr>
            <w:r>
              <w:rPr>
                <w:rFonts w:ascii="Calibri" w:hAnsi="Calibri" w:cs="Calibri"/>
                <w:color w:val="000000"/>
                <w:sz w:val="18"/>
                <w:szCs w:val="18"/>
              </w:rPr>
              <w:t>0,00</w:t>
            </w:r>
          </w:p>
        </w:tc>
      </w:tr>
    </w:tbl>
    <w:p w:rsidR="00966866" w:rsidRPr="00C7173E" w:rsidRDefault="00966866" w:rsidP="00CF2599">
      <w:pPr>
        <w:jc w:val="both"/>
        <w:rPr>
          <w:rFonts w:asciiTheme="minorHAnsi" w:hAnsiTheme="minorHAnsi" w:cstheme="minorHAnsi"/>
          <w:sz w:val="22"/>
          <w:szCs w:val="22"/>
        </w:rPr>
      </w:pPr>
    </w:p>
    <w:p w:rsidR="00C736F9" w:rsidRDefault="00C736F9" w:rsidP="008E1A8F">
      <w:pPr>
        <w:pStyle w:val="Nadpis2"/>
      </w:pPr>
      <w:bookmarkStart w:id="35" w:name="_Toc39129520"/>
    </w:p>
    <w:p w:rsidR="008E1A8F" w:rsidRDefault="008E1A8F" w:rsidP="008E1A8F">
      <w:pPr>
        <w:pStyle w:val="Nadpis2"/>
      </w:pPr>
      <w:r>
        <w:t>Třída 6: Kapitálové výdaje</w:t>
      </w:r>
      <w:bookmarkEnd w:id="35"/>
      <w:r w:rsidR="00756069">
        <w:t xml:space="preserve"> (</w:t>
      </w:r>
      <w:r w:rsidR="00C736F9">
        <w:t>237,8</w:t>
      </w:r>
      <w:r w:rsidR="00756069">
        <w:t xml:space="preserve"> mil. Kč)</w:t>
      </w:r>
    </w:p>
    <w:p w:rsidR="00AF0A3D" w:rsidRDefault="00AF0A3D" w:rsidP="00AF0A3D"/>
    <w:p w:rsidR="00AF0A3D" w:rsidRPr="008946CC" w:rsidRDefault="00AF0A3D" w:rsidP="00AF0A3D">
      <w:pPr>
        <w:jc w:val="both"/>
        <w:rPr>
          <w:rFonts w:asciiTheme="minorHAnsi" w:hAnsiTheme="minorHAnsi" w:cstheme="minorHAnsi"/>
          <w:sz w:val="22"/>
          <w:szCs w:val="22"/>
        </w:rPr>
      </w:pPr>
      <w:r w:rsidRPr="008946CC">
        <w:rPr>
          <w:rFonts w:asciiTheme="minorHAnsi" w:hAnsiTheme="minorHAnsi" w:cstheme="minorHAnsi"/>
          <w:sz w:val="22"/>
          <w:szCs w:val="22"/>
        </w:rPr>
        <w:t>Kapitálové</w:t>
      </w:r>
      <w:r w:rsidR="00CC2F64">
        <w:rPr>
          <w:rFonts w:asciiTheme="minorHAnsi" w:hAnsiTheme="minorHAnsi" w:cstheme="minorHAnsi"/>
          <w:sz w:val="22"/>
          <w:szCs w:val="22"/>
        </w:rPr>
        <w:t xml:space="preserve"> (investiční) výdaje v roce 202</w:t>
      </w:r>
      <w:r w:rsidR="00C736F9">
        <w:rPr>
          <w:rFonts w:asciiTheme="minorHAnsi" w:hAnsiTheme="minorHAnsi" w:cstheme="minorHAnsi"/>
          <w:sz w:val="22"/>
          <w:szCs w:val="22"/>
        </w:rPr>
        <w:t>2</w:t>
      </w:r>
      <w:r w:rsidRPr="008946CC">
        <w:rPr>
          <w:rFonts w:asciiTheme="minorHAnsi" w:hAnsiTheme="minorHAnsi" w:cstheme="minorHAnsi"/>
          <w:sz w:val="22"/>
          <w:szCs w:val="22"/>
        </w:rPr>
        <w:t xml:space="preserve"> byly čerpány na </w:t>
      </w:r>
      <w:r w:rsidR="00C736F9">
        <w:rPr>
          <w:rFonts w:asciiTheme="minorHAnsi" w:hAnsiTheme="minorHAnsi" w:cstheme="minorHAnsi"/>
          <w:sz w:val="22"/>
          <w:szCs w:val="22"/>
        </w:rPr>
        <w:t>84,17</w:t>
      </w:r>
      <w:r w:rsidRPr="008946CC">
        <w:rPr>
          <w:rFonts w:asciiTheme="minorHAnsi" w:hAnsiTheme="minorHAnsi" w:cstheme="minorHAnsi"/>
          <w:sz w:val="22"/>
          <w:szCs w:val="22"/>
        </w:rPr>
        <w:t xml:space="preserve"> % a jejich podíl na celkových výdajích města po konsolidaci činil </w:t>
      </w:r>
      <w:r w:rsidR="00C736F9">
        <w:rPr>
          <w:rFonts w:asciiTheme="minorHAnsi" w:hAnsiTheme="minorHAnsi" w:cstheme="minorHAnsi"/>
          <w:sz w:val="22"/>
          <w:szCs w:val="22"/>
        </w:rPr>
        <w:t>20,6</w:t>
      </w:r>
      <w:r w:rsidRPr="008946CC">
        <w:rPr>
          <w:rFonts w:asciiTheme="minorHAnsi" w:hAnsiTheme="minorHAnsi" w:cstheme="minorHAnsi"/>
          <w:sz w:val="22"/>
          <w:szCs w:val="22"/>
        </w:rPr>
        <w:t xml:space="preserve"> %.</w:t>
      </w:r>
    </w:p>
    <w:p w:rsidR="00223D5A" w:rsidRDefault="00223D5A" w:rsidP="0024764D">
      <w:pPr>
        <w:pStyle w:val="Nadpis3"/>
        <w:rPr>
          <w:b w:val="0"/>
        </w:rPr>
      </w:pPr>
      <w:r w:rsidRPr="00C7173E">
        <w:rPr>
          <w:b w:val="0"/>
        </w:rPr>
        <w:t>Srovnání k</w:t>
      </w:r>
      <w:r w:rsidR="007E68C9" w:rsidRPr="00C7173E">
        <w:rPr>
          <w:b w:val="0"/>
        </w:rPr>
        <w:t>apitálových výdajů v letech 201</w:t>
      </w:r>
      <w:r w:rsidR="00C736F9">
        <w:rPr>
          <w:b w:val="0"/>
        </w:rPr>
        <w:t>5</w:t>
      </w:r>
      <w:r w:rsidR="008F295A" w:rsidRPr="00C7173E">
        <w:rPr>
          <w:b w:val="0"/>
        </w:rPr>
        <w:t xml:space="preserve"> </w:t>
      </w:r>
      <w:r w:rsidRPr="00C7173E">
        <w:rPr>
          <w:b w:val="0"/>
        </w:rPr>
        <w:t>-</w:t>
      </w:r>
      <w:r w:rsidR="008F295A" w:rsidRPr="00C7173E">
        <w:rPr>
          <w:b w:val="0"/>
        </w:rPr>
        <w:t xml:space="preserve"> </w:t>
      </w:r>
      <w:r w:rsidR="007E68C9" w:rsidRPr="00C7173E">
        <w:rPr>
          <w:b w:val="0"/>
        </w:rPr>
        <w:t>202</w:t>
      </w:r>
      <w:r w:rsidR="00C736F9">
        <w:rPr>
          <w:b w:val="0"/>
        </w:rPr>
        <w:t>2</w:t>
      </w:r>
      <w:r w:rsidRPr="00C7173E">
        <w:rPr>
          <w:b w:val="0"/>
        </w:rPr>
        <w:t xml:space="preserve"> po konsolidaci v tis. Kč</w:t>
      </w:r>
    </w:p>
    <w:tbl>
      <w:tblPr>
        <w:tblW w:w="9498" w:type="dxa"/>
        <w:tblInd w:w="-5" w:type="dxa"/>
        <w:tblCellMar>
          <w:left w:w="70" w:type="dxa"/>
          <w:right w:w="70" w:type="dxa"/>
        </w:tblCellMar>
        <w:tblLook w:val="04A0" w:firstRow="1" w:lastRow="0" w:firstColumn="1" w:lastColumn="0" w:noHBand="0" w:noVBand="1"/>
      </w:tblPr>
      <w:tblGrid>
        <w:gridCol w:w="2977"/>
        <w:gridCol w:w="803"/>
        <w:gridCol w:w="898"/>
        <w:gridCol w:w="851"/>
        <w:gridCol w:w="850"/>
        <w:gridCol w:w="851"/>
        <w:gridCol w:w="850"/>
        <w:gridCol w:w="709"/>
        <w:gridCol w:w="709"/>
      </w:tblGrid>
      <w:tr w:rsidR="00C736F9" w:rsidTr="00C736F9">
        <w:trPr>
          <w:trHeight w:val="300"/>
        </w:trPr>
        <w:tc>
          <w:tcPr>
            <w:tcW w:w="2977" w:type="dxa"/>
            <w:tcBorders>
              <w:top w:val="single" w:sz="4" w:space="0" w:color="auto"/>
              <w:left w:val="single" w:sz="4" w:space="0" w:color="auto"/>
              <w:bottom w:val="single" w:sz="4" w:space="0" w:color="auto"/>
              <w:right w:val="single" w:sz="4" w:space="0" w:color="auto"/>
            </w:tcBorders>
            <w:shd w:val="clear" w:color="D6A100" w:fill="C6E0B4"/>
            <w:noWrap/>
            <w:vAlign w:val="center"/>
            <w:hideMark/>
          </w:tcPr>
          <w:p w:rsidR="00C736F9" w:rsidRDefault="00C736F9">
            <w:pPr>
              <w:rPr>
                <w:rFonts w:ascii="Calibri" w:hAnsi="Calibri" w:cs="Calibri"/>
                <w:color w:val="000000"/>
                <w:sz w:val="16"/>
                <w:szCs w:val="16"/>
              </w:rPr>
            </w:pPr>
            <w:r>
              <w:rPr>
                <w:rFonts w:ascii="Calibri" w:hAnsi="Calibri" w:cs="Calibri"/>
                <w:color w:val="000000"/>
                <w:sz w:val="16"/>
                <w:szCs w:val="16"/>
              </w:rPr>
              <w:t>Výdaj</w:t>
            </w:r>
          </w:p>
        </w:tc>
        <w:tc>
          <w:tcPr>
            <w:tcW w:w="803" w:type="dxa"/>
            <w:tcBorders>
              <w:top w:val="single" w:sz="4" w:space="0" w:color="auto"/>
              <w:left w:val="nil"/>
              <w:bottom w:val="single" w:sz="4" w:space="0" w:color="auto"/>
              <w:right w:val="single" w:sz="4" w:space="0" w:color="auto"/>
            </w:tcBorders>
            <w:shd w:val="clear" w:color="D6A100" w:fill="C6E0B4"/>
            <w:noWrap/>
            <w:vAlign w:val="center"/>
            <w:hideMark/>
          </w:tcPr>
          <w:p w:rsidR="00C736F9" w:rsidRDefault="00C736F9">
            <w:pPr>
              <w:jc w:val="center"/>
              <w:rPr>
                <w:rFonts w:ascii="Calibri" w:hAnsi="Calibri" w:cs="Calibri"/>
                <w:color w:val="000000"/>
                <w:sz w:val="16"/>
                <w:szCs w:val="16"/>
              </w:rPr>
            </w:pPr>
            <w:r>
              <w:rPr>
                <w:rFonts w:ascii="Calibri" w:hAnsi="Calibri" w:cs="Calibri"/>
                <w:color w:val="000000"/>
                <w:sz w:val="16"/>
                <w:szCs w:val="16"/>
              </w:rPr>
              <w:t>2015</w:t>
            </w:r>
          </w:p>
        </w:tc>
        <w:tc>
          <w:tcPr>
            <w:tcW w:w="898" w:type="dxa"/>
            <w:tcBorders>
              <w:top w:val="single" w:sz="4" w:space="0" w:color="auto"/>
              <w:left w:val="nil"/>
              <w:bottom w:val="single" w:sz="4" w:space="0" w:color="auto"/>
              <w:right w:val="single" w:sz="4" w:space="0" w:color="auto"/>
            </w:tcBorders>
            <w:shd w:val="clear" w:color="D6A100" w:fill="C6E0B4"/>
            <w:noWrap/>
            <w:vAlign w:val="center"/>
            <w:hideMark/>
          </w:tcPr>
          <w:p w:rsidR="00C736F9" w:rsidRDefault="00C736F9">
            <w:pPr>
              <w:jc w:val="center"/>
              <w:rPr>
                <w:rFonts w:ascii="Calibri" w:hAnsi="Calibri" w:cs="Calibri"/>
                <w:color w:val="000000"/>
                <w:sz w:val="16"/>
                <w:szCs w:val="16"/>
              </w:rPr>
            </w:pPr>
            <w:r>
              <w:rPr>
                <w:rFonts w:ascii="Calibri" w:hAnsi="Calibri" w:cs="Calibri"/>
                <w:color w:val="000000"/>
                <w:sz w:val="16"/>
                <w:szCs w:val="16"/>
              </w:rPr>
              <w:t>2016</w:t>
            </w:r>
          </w:p>
        </w:tc>
        <w:tc>
          <w:tcPr>
            <w:tcW w:w="851" w:type="dxa"/>
            <w:tcBorders>
              <w:top w:val="single" w:sz="4" w:space="0" w:color="auto"/>
              <w:left w:val="nil"/>
              <w:bottom w:val="single" w:sz="4" w:space="0" w:color="auto"/>
              <w:right w:val="single" w:sz="4" w:space="0" w:color="auto"/>
            </w:tcBorders>
            <w:shd w:val="clear" w:color="D6A100" w:fill="C6E0B4"/>
            <w:noWrap/>
            <w:vAlign w:val="center"/>
            <w:hideMark/>
          </w:tcPr>
          <w:p w:rsidR="00C736F9" w:rsidRDefault="00C736F9">
            <w:pPr>
              <w:jc w:val="center"/>
              <w:rPr>
                <w:rFonts w:ascii="Calibri" w:hAnsi="Calibri" w:cs="Calibri"/>
                <w:color w:val="000000"/>
                <w:sz w:val="16"/>
                <w:szCs w:val="16"/>
              </w:rPr>
            </w:pPr>
            <w:r>
              <w:rPr>
                <w:rFonts w:ascii="Calibri" w:hAnsi="Calibri" w:cs="Calibri"/>
                <w:color w:val="000000"/>
                <w:sz w:val="16"/>
                <w:szCs w:val="16"/>
              </w:rPr>
              <w:t>2017</w:t>
            </w:r>
          </w:p>
        </w:tc>
        <w:tc>
          <w:tcPr>
            <w:tcW w:w="850" w:type="dxa"/>
            <w:tcBorders>
              <w:top w:val="single" w:sz="4" w:space="0" w:color="auto"/>
              <w:left w:val="nil"/>
              <w:bottom w:val="single" w:sz="4" w:space="0" w:color="auto"/>
              <w:right w:val="single" w:sz="4" w:space="0" w:color="auto"/>
            </w:tcBorders>
            <w:shd w:val="clear" w:color="D6A100" w:fill="C6E0B4"/>
            <w:noWrap/>
            <w:vAlign w:val="center"/>
            <w:hideMark/>
          </w:tcPr>
          <w:p w:rsidR="00C736F9" w:rsidRDefault="00C736F9">
            <w:pPr>
              <w:jc w:val="center"/>
              <w:rPr>
                <w:rFonts w:ascii="Calibri" w:hAnsi="Calibri" w:cs="Calibri"/>
                <w:color w:val="000000"/>
                <w:sz w:val="16"/>
                <w:szCs w:val="16"/>
              </w:rPr>
            </w:pPr>
            <w:r>
              <w:rPr>
                <w:rFonts w:ascii="Calibri" w:hAnsi="Calibri" w:cs="Calibri"/>
                <w:color w:val="000000"/>
                <w:sz w:val="16"/>
                <w:szCs w:val="16"/>
              </w:rPr>
              <w:t>2018</w:t>
            </w:r>
          </w:p>
        </w:tc>
        <w:tc>
          <w:tcPr>
            <w:tcW w:w="851" w:type="dxa"/>
            <w:tcBorders>
              <w:top w:val="single" w:sz="4" w:space="0" w:color="auto"/>
              <w:left w:val="nil"/>
              <w:bottom w:val="single" w:sz="4" w:space="0" w:color="auto"/>
              <w:right w:val="single" w:sz="4" w:space="0" w:color="auto"/>
            </w:tcBorders>
            <w:shd w:val="clear" w:color="D6A100" w:fill="C6E0B4"/>
            <w:noWrap/>
            <w:vAlign w:val="center"/>
            <w:hideMark/>
          </w:tcPr>
          <w:p w:rsidR="00C736F9" w:rsidRDefault="00C736F9">
            <w:pPr>
              <w:jc w:val="center"/>
              <w:rPr>
                <w:rFonts w:ascii="Calibri" w:hAnsi="Calibri" w:cs="Calibri"/>
                <w:color w:val="000000"/>
                <w:sz w:val="16"/>
                <w:szCs w:val="16"/>
              </w:rPr>
            </w:pPr>
            <w:r>
              <w:rPr>
                <w:rFonts w:ascii="Calibri" w:hAnsi="Calibri" w:cs="Calibri"/>
                <w:color w:val="000000"/>
                <w:sz w:val="16"/>
                <w:szCs w:val="16"/>
              </w:rPr>
              <w:t>2019</w:t>
            </w:r>
          </w:p>
        </w:tc>
        <w:tc>
          <w:tcPr>
            <w:tcW w:w="850" w:type="dxa"/>
            <w:tcBorders>
              <w:top w:val="single" w:sz="4" w:space="0" w:color="auto"/>
              <w:left w:val="nil"/>
              <w:bottom w:val="single" w:sz="4" w:space="0" w:color="auto"/>
              <w:right w:val="single" w:sz="4" w:space="0" w:color="auto"/>
            </w:tcBorders>
            <w:shd w:val="clear" w:color="D6A100" w:fill="C6E0B4"/>
            <w:noWrap/>
            <w:vAlign w:val="center"/>
            <w:hideMark/>
          </w:tcPr>
          <w:p w:rsidR="00C736F9" w:rsidRDefault="00C736F9">
            <w:pPr>
              <w:jc w:val="center"/>
              <w:rPr>
                <w:rFonts w:ascii="Calibri" w:hAnsi="Calibri" w:cs="Calibri"/>
                <w:color w:val="000000"/>
                <w:sz w:val="16"/>
                <w:szCs w:val="16"/>
              </w:rPr>
            </w:pPr>
            <w:r>
              <w:rPr>
                <w:rFonts w:ascii="Calibri" w:hAnsi="Calibri" w:cs="Calibri"/>
                <w:color w:val="000000"/>
                <w:sz w:val="16"/>
                <w:szCs w:val="16"/>
              </w:rPr>
              <w:t>2020</w:t>
            </w:r>
          </w:p>
        </w:tc>
        <w:tc>
          <w:tcPr>
            <w:tcW w:w="709" w:type="dxa"/>
            <w:tcBorders>
              <w:top w:val="single" w:sz="4" w:space="0" w:color="auto"/>
              <w:left w:val="nil"/>
              <w:bottom w:val="single" w:sz="4" w:space="0" w:color="auto"/>
              <w:right w:val="single" w:sz="4" w:space="0" w:color="auto"/>
            </w:tcBorders>
            <w:shd w:val="clear" w:color="D6A100" w:fill="C6E0B4"/>
            <w:noWrap/>
            <w:vAlign w:val="center"/>
            <w:hideMark/>
          </w:tcPr>
          <w:p w:rsidR="00C736F9" w:rsidRDefault="00C736F9">
            <w:pPr>
              <w:jc w:val="center"/>
              <w:rPr>
                <w:rFonts w:ascii="Calibri" w:hAnsi="Calibri" w:cs="Calibri"/>
                <w:color w:val="000000"/>
                <w:sz w:val="16"/>
                <w:szCs w:val="16"/>
              </w:rPr>
            </w:pPr>
            <w:r>
              <w:rPr>
                <w:rFonts w:ascii="Calibri" w:hAnsi="Calibri" w:cs="Calibri"/>
                <w:color w:val="000000"/>
                <w:sz w:val="16"/>
                <w:szCs w:val="16"/>
              </w:rPr>
              <w:t>2021</w:t>
            </w:r>
          </w:p>
        </w:tc>
        <w:tc>
          <w:tcPr>
            <w:tcW w:w="709" w:type="dxa"/>
            <w:tcBorders>
              <w:top w:val="single" w:sz="4" w:space="0" w:color="auto"/>
              <w:left w:val="nil"/>
              <w:bottom w:val="single" w:sz="4" w:space="0" w:color="auto"/>
              <w:right w:val="single" w:sz="4" w:space="0" w:color="auto"/>
            </w:tcBorders>
            <w:shd w:val="clear" w:color="D6A100" w:fill="C6E0B4"/>
            <w:noWrap/>
            <w:vAlign w:val="center"/>
            <w:hideMark/>
          </w:tcPr>
          <w:p w:rsidR="00C736F9" w:rsidRDefault="00C736F9">
            <w:pPr>
              <w:jc w:val="center"/>
              <w:rPr>
                <w:rFonts w:ascii="Calibri" w:hAnsi="Calibri" w:cs="Calibri"/>
                <w:color w:val="000000"/>
                <w:sz w:val="16"/>
                <w:szCs w:val="16"/>
              </w:rPr>
            </w:pPr>
            <w:r>
              <w:rPr>
                <w:rFonts w:ascii="Calibri" w:hAnsi="Calibri" w:cs="Calibri"/>
                <w:color w:val="000000"/>
                <w:sz w:val="16"/>
                <w:szCs w:val="16"/>
              </w:rPr>
              <w:t>2022</w:t>
            </w:r>
          </w:p>
        </w:tc>
      </w:tr>
      <w:tr w:rsidR="00C736F9" w:rsidTr="00C736F9">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C736F9" w:rsidRDefault="00C736F9">
            <w:pPr>
              <w:rPr>
                <w:rFonts w:ascii="Calibri" w:hAnsi="Calibri" w:cs="Calibri"/>
                <w:color w:val="000000"/>
                <w:sz w:val="16"/>
                <w:szCs w:val="16"/>
              </w:rPr>
            </w:pPr>
            <w:r>
              <w:rPr>
                <w:rFonts w:ascii="Calibri" w:hAnsi="Calibri" w:cs="Calibri"/>
                <w:color w:val="000000"/>
                <w:sz w:val="16"/>
                <w:szCs w:val="16"/>
              </w:rPr>
              <w:t>Investiční nákupy a související výdaje</w:t>
            </w:r>
          </w:p>
        </w:tc>
        <w:tc>
          <w:tcPr>
            <w:tcW w:w="803" w:type="dxa"/>
            <w:tcBorders>
              <w:top w:val="nil"/>
              <w:left w:val="nil"/>
              <w:bottom w:val="single" w:sz="4" w:space="0" w:color="auto"/>
              <w:right w:val="single" w:sz="4" w:space="0" w:color="auto"/>
            </w:tcBorders>
            <w:shd w:val="clear" w:color="auto" w:fill="auto"/>
            <w:noWrap/>
            <w:vAlign w:val="center"/>
            <w:hideMark/>
          </w:tcPr>
          <w:p w:rsidR="00C736F9" w:rsidRDefault="00C736F9">
            <w:pPr>
              <w:jc w:val="right"/>
              <w:rPr>
                <w:rFonts w:ascii="Calibri" w:hAnsi="Calibri" w:cs="Calibri"/>
                <w:color w:val="000000"/>
                <w:sz w:val="16"/>
                <w:szCs w:val="16"/>
              </w:rPr>
            </w:pPr>
            <w:r>
              <w:rPr>
                <w:rFonts w:ascii="Calibri" w:hAnsi="Calibri" w:cs="Calibri"/>
                <w:color w:val="000000"/>
                <w:sz w:val="16"/>
                <w:szCs w:val="16"/>
              </w:rPr>
              <w:t>182 319</w:t>
            </w:r>
          </w:p>
        </w:tc>
        <w:tc>
          <w:tcPr>
            <w:tcW w:w="898" w:type="dxa"/>
            <w:tcBorders>
              <w:top w:val="nil"/>
              <w:left w:val="nil"/>
              <w:bottom w:val="single" w:sz="4" w:space="0" w:color="auto"/>
              <w:right w:val="single" w:sz="4" w:space="0" w:color="auto"/>
            </w:tcBorders>
            <w:shd w:val="clear" w:color="auto" w:fill="auto"/>
            <w:noWrap/>
            <w:vAlign w:val="center"/>
            <w:hideMark/>
          </w:tcPr>
          <w:p w:rsidR="00C736F9" w:rsidRDefault="00C736F9">
            <w:pPr>
              <w:jc w:val="right"/>
              <w:rPr>
                <w:rFonts w:ascii="Calibri" w:hAnsi="Calibri" w:cs="Calibri"/>
                <w:color w:val="000000"/>
                <w:sz w:val="16"/>
                <w:szCs w:val="16"/>
              </w:rPr>
            </w:pPr>
            <w:r>
              <w:rPr>
                <w:rFonts w:ascii="Calibri" w:hAnsi="Calibri" w:cs="Calibri"/>
                <w:color w:val="000000"/>
                <w:sz w:val="16"/>
                <w:szCs w:val="16"/>
              </w:rPr>
              <w:t>154 639</w:t>
            </w:r>
          </w:p>
        </w:tc>
        <w:tc>
          <w:tcPr>
            <w:tcW w:w="851" w:type="dxa"/>
            <w:tcBorders>
              <w:top w:val="nil"/>
              <w:left w:val="nil"/>
              <w:bottom w:val="single" w:sz="4" w:space="0" w:color="auto"/>
              <w:right w:val="single" w:sz="4" w:space="0" w:color="auto"/>
            </w:tcBorders>
            <w:shd w:val="clear" w:color="auto" w:fill="auto"/>
            <w:noWrap/>
            <w:vAlign w:val="center"/>
            <w:hideMark/>
          </w:tcPr>
          <w:p w:rsidR="00C736F9" w:rsidRDefault="00C736F9">
            <w:pPr>
              <w:jc w:val="right"/>
              <w:rPr>
                <w:rFonts w:ascii="Calibri" w:hAnsi="Calibri" w:cs="Calibri"/>
                <w:color w:val="000000"/>
                <w:sz w:val="16"/>
                <w:szCs w:val="16"/>
              </w:rPr>
            </w:pPr>
            <w:r>
              <w:rPr>
                <w:rFonts w:ascii="Calibri" w:hAnsi="Calibri" w:cs="Calibri"/>
                <w:color w:val="000000"/>
                <w:sz w:val="16"/>
                <w:szCs w:val="16"/>
              </w:rPr>
              <w:t>243 236</w:t>
            </w:r>
          </w:p>
        </w:tc>
        <w:tc>
          <w:tcPr>
            <w:tcW w:w="850" w:type="dxa"/>
            <w:tcBorders>
              <w:top w:val="nil"/>
              <w:left w:val="nil"/>
              <w:bottom w:val="single" w:sz="4" w:space="0" w:color="auto"/>
              <w:right w:val="single" w:sz="4" w:space="0" w:color="auto"/>
            </w:tcBorders>
            <w:shd w:val="clear" w:color="auto" w:fill="auto"/>
            <w:noWrap/>
            <w:vAlign w:val="center"/>
            <w:hideMark/>
          </w:tcPr>
          <w:p w:rsidR="00C736F9" w:rsidRDefault="00C736F9">
            <w:pPr>
              <w:jc w:val="right"/>
              <w:rPr>
                <w:rFonts w:ascii="Calibri" w:hAnsi="Calibri" w:cs="Calibri"/>
                <w:color w:val="000000"/>
                <w:sz w:val="16"/>
                <w:szCs w:val="16"/>
              </w:rPr>
            </w:pPr>
            <w:r>
              <w:rPr>
                <w:rFonts w:ascii="Calibri" w:hAnsi="Calibri" w:cs="Calibri"/>
                <w:color w:val="000000"/>
                <w:sz w:val="16"/>
                <w:szCs w:val="16"/>
              </w:rPr>
              <w:t>367 387</w:t>
            </w:r>
          </w:p>
        </w:tc>
        <w:tc>
          <w:tcPr>
            <w:tcW w:w="851" w:type="dxa"/>
            <w:tcBorders>
              <w:top w:val="nil"/>
              <w:left w:val="nil"/>
              <w:bottom w:val="single" w:sz="4" w:space="0" w:color="auto"/>
              <w:right w:val="single" w:sz="4" w:space="0" w:color="auto"/>
            </w:tcBorders>
            <w:shd w:val="clear" w:color="auto" w:fill="auto"/>
            <w:noWrap/>
            <w:vAlign w:val="center"/>
            <w:hideMark/>
          </w:tcPr>
          <w:p w:rsidR="00C736F9" w:rsidRDefault="00C736F9">
            <w:pPr>
              <w:jc w:val="right"/>
              <w:rPr>
                <w:rFonts w:ascii="Calibri" w:hAnsi="Calibri" w:cs="Calibri"/>
                <w:color w:val="000000"/>
                <w:sz w:val="16"/>
                <w:szCs w:val="16"/>
              </w:rPr>
            </w:pPr>
            <w:r>
              <w:rPr>
                <w:rFonts w:ascii="Calibri" w:hAnsi="Calibri" w:cs="Calibri"/>
                <w:color w:val="000000"/>
                <w:sz w:val="16"/>
                <w:szCs w:val="16"/>
              </w:rPr>
              <w:t>301 939</w:t>
            </w:r>
          </w:p>
        </w:tc>
        <w:tc>
          <w:tcPr>
            <w:tcW w:w="850" w:type="dxa"/>
            <w:tcBorders>
              <w:top w:val="nil"/>
              <w:left w:val="nil"/>
              <w:bottom w:val="single" w:sz="4" w:space="0" w:color="auto"/>
              <w:right w:val="single" w:sz="4" w:space="0" w:color="auto"/>
            </w:tcBorders>
            <w:shd w:val="clear" w:color="auto" w:fill="auto"/>
            <w:noWrap/>
            <w:vAlign w:val="center"/>
            <w:hideMark/>
          </w:tcPr>
          <w:p w:rsidR="00C736F9" w:rsidRDefault="00C736F9">
            <w:pPr>
              <w:jc w:val="right"/>
              <w:rPr>
                <w:rFonts w:ascii="Calibri" w:hAnsi="Calibri" w:cs="Calibri"/>
                <w:color w:val="000000"/>
                <w:sz w:val="16"/>
                <w:szCs w:val="16"/>
              </w:rPr>
            </w:pPr>
            <w:r>
              <w:rPr>
                <w:rFonts w:ascii="Calibri" w:hAnsi="Calibri" w:cs="Calibri"/>
                <w:color w:val="000000"/>
                <w:sz w:val="16"/>
                <w:szCs w:val="16"/>
              </w:rPr>
              <w:t>195 368</w:t>
            </w:r>
          </w:p>
        </w:tc>
        <w:tc>
          <w:tcPr>
            <w:tcW w:w="709" w:type="dxa"/>
            <w:tcBorders>
              <w:top w:val="nil"/>
              <w:left w:val="nil"/>
              <w:bottom w:val="single" w:sz="4" w:space="0" w:color="auto"/>
              <w:right w:val="single" w:sz="4" w:space="0" w:color="auto"/>
            </w:tcBorders>
            <w:shd w:val="clear" w:color="auto" w:fill="auto"/>
            <w:noWrap/>
            <w:vAlign w:val="center"/>
            <w:hideMark/>
          </w:tcPr>
          <w:p w:rsidR="00C736F9" w:rsidRDefault="00C736F9">
            <w:pPr>
              <w:jc w:val="right"/>
              <w:rPr>
                <w:rFonts w:ascii="Calibri" w:hAnsi="Calibri" w:cs="Calibri"/>
                <w:color w:val="000000"/>
                <w:sz w:val="16"/>
                <w:szCs w:val="16"/>
              </w:rPr>
            </w:pPr>
            <w:r>
              <w:rPr>
                <w:rFonts w:ascii="Calibri" w:hAnsi="Calibri" w:cs="Calibri"/>
                <w:color w:val="000000"/>
                <w:sz w:val="16"/>
                <w:szCs w:val="16"/>
              </w:rPr>
              <w:t>238 598</w:t>
            </w:r>
          </w:p>
        </w:tc>
        <w:tc>
          <w:tcPr>
            <w:tcW w:w="709" w:type="dxa"/>
            <w:tcBorders>
              <w:top w:val="nil"/>
              <w:left w:val="nil"/>
              <w:bottom w:val="single" w:sz="4" w:space="0" w:color="auto"/>
              <w:right w:val="single" w:sz="4" w:space="0" w:color="auto"/>
            </w:tcBorders>
            <w:shd w:val="clear" w:color="auto" w:fill="auto"/>
            <w:noWrap/>
            <w:vAlign w:val="center"/>
            <w:hideMark/>
          </w:tcPr>
          <w:p w:rsidR="00C736F9" w:rsidRDefault="00C736F9">
            <w:pPr>
              <w:jc w:val="right"/>
              <w:rPr>
                <w:rFonts w:ascii="Calibri" w:hAnsi="Calibri" w:cs="Calibri"/>
                <w:color w:val="000000"/>
                <w:sz w:val="16"/>
                <w:szCs w:val="16"/>
              </w:rPr>
            </w:pPr>
            <w:r>
              <w:rPr>
                <w:rFonts w:ascii="Calibri" w:hAnsi="Calibri" w:cs="Calibri"/>
                <w:color w:val="000000"/>
                <w:sz w:val="16"/>
                <w:szCs w:val="16"/>
              </w:rPr>
              <w:t>228 448</w:t>
            </w:r>
          </w:p>
        </w:tc>
      </w:tr>
      <w:tr w:rsidR="00C736F9" w:rsidTr="00C736F9">
        <w:trPr>
          <w:trHeight w:val="30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C736F9" w:rsidRDefault="00C736F9">
            <w:pPr>
              <w:rPr>
                <w:rFonts w:ascii="Calibri" w:hAnsi="Calibri" w:cs="Calibri"/>
                <w:color w:val="000000"/>
                <w:sz w:val="16"/>
                <w:szCs w:val="16"/>
              </w:rPr>
            </w:pPr>
            <w:r>
              <w:rPr>
                <w:rFonts w:ascii="Calibri" w:hAnsi="Calibri" w:cs="Calibri"/>
                <w:color w:val="000000"/>
                <w:sz w:val="16"/>
                <w:szCs w:val="16"/>
              </w:rPr>
              <w:t>Nákup akcií a majetkových podílů</w:t>
            </w:r>
          </w:p>
        </w:tc>
        <w:tc>
          <w:tcPr>
            <w:tcW w:w="803" w:type="dxa"/>
            <w:tcBorders>
              <w:top w:val="nil"/>
              <w:left w:val="nil"/>
              <w:bottom w:val="single" w:sz="4" w:space="0" w:color="auto"/>
              <w:right w:val="single" w:sz="4" w:space="0" w:color="auto"/>
            </w:tcBorders>
            <w:shd w:val="clear" w:color="auto" w:fill="auto"/>
            <w:noWrap/>
            <w:vAlign w:val="center"/>
            <w:hideMark/>
          </w:tcPr>
          <w:p w:rsidR="00C736F9" w:rsidRDefault="00C736F9">
            <w:pPr>
              <w:jc w:val="right"/>
              <w:rPr>
                <w:rFonts w:ascii="Calibri" w:hAnsi="Calibri" w:cs="Calibri"/>
                <w:color w:val="000000"/>
                <w:sz w:val="16"/>
                <w:szCs w:val="16"/>
              </w:rPr>
            </w:pPr>
            <w:r>
              <w:rPr>
                <w:rFonts w:ascii="Calibri" w:hAnsi="Calibri" w:cs="Calibri"/>
                <w:color w:val="000000"/>
                <w:sz w:val="16"/>
                <w:szCs w:val="16"/>
              </w:rPr>
              <w:t>0</w:t>
            </w:r>
          </w:p>
        </w:tc>
        <w:tc>
          <w:tcPr>
            <w:tcW w:w="898" w:type="dxa"/>
            <w:tcBorders>
              <w:top w:val="nil"/>
              <w:left w:val="nil"/>
              <w:bottom w:val="single" w:sz="4" w:space="0" w:color="auto"/>
              <w:right w:val="single" w:sz="4" w:space="0" w:color="auto"/>
            </w:tcBorders>
            <w:shd w:val="clear" w:color="auto" w:fill="auto"/>
            <w:noWrap/>
            <w:vAlign w:val="center"/>
            <w:hideMark/>
          </w:tcPr>
          <w:p w:rsidR="00C736F9" w:rsidRDefault="00C736F9">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hideMark/>
          </w:tcPr>
          <w:p w:rsidR="00C736F9" w:rsidRDefault="00C736F9">
            <w:pPr>
              <w:jc w:val="right"/>
              <w:rPr>
                <w:rFonts w:ascii="Calibri" w:hAnsi="Calibri" w:cs="Calibri"/>
                <w:color w:val="000000"/>
                <w:sz w:val="16"/>
                <w:szCs w:val="16"/>
              </w:rPr>
            </w:pPr>
            <w:r>
              <w:rPr>
                <w:rFonts w:ascii="Calibri" w:hAnsi="Calibri" w:cs="Calibri"/>
                <w:color w:val="000000"/>
                <w:sz w:val="16"/>
                <w:szCs w:val="16"/>
              </w:rPr>
              <w:t>0</w:t>
            </w:r>
          </w:p>
        </w:tc>
        <w:tc>
          <w:tcPr>
            <w:tcW w:w="850" w:type="dxa"/>
            <w:tcBorders>
              <w:top w:val="nil"/>
              <w:left w:val="nil"/>
              <w:bottom w:val="single" w:sz="4" w:space="0" w:color="auto"/>
              <w:right w:val="single" w:sz="4" w:space="0" w:color="auto"/>
            </w:tcBorders>
            <w:shd w:val="clear" w:color="auto" w:fill="auto"/>
            <w:noWrap/>
            <w:vAlign w:val="center"/>
            <w:hideMark/>
          </w:tcPr>
          <w:p w:rsidR="00C736F9" w:rsidRDefault="00C736F9">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hideMark/>
          </w:tcPr>
          <w:p w:rsidR="00C736F9" w:rsidRDefault="00C736F9">
            <w:pPr>
              <w:jc w:val="right"/>
              <w:rPr>
                <w:rFonts w:ascii="Calibri" w:hAnsi="Calibri" w:cs="Calibri"/>
                <w:color w:val="000000"/>
                <w:sz w:val="16"/>
                <w:szCs w:val="16"/>
              </w:rPr>
            </w:pPr>
            <w:r>
              <w:rPr>
                <w:rFonts w:ascii="Calibri" w:hAnsi="Calibri" w:cs="Calibri"/>
                <w:color w:val="000000"/>
                <w:sz w:val="16"/>
                <w:szCs w:val="16"/>
              </w:rPr>
              <w:t>0</w:t>
            </w:r>
          </w:p>
        </w:tc>
        <w:tc>
          <w:tcPr>
            <w:tcW w:w="850" w:type="dxa"/>
            <w:tcBorders>
              <w:top w:val="nil"/>
              <w:left w:val="nil"/>
              <w:bottom w:val="single" w:sz="4" w:space="0" w:color="auto"/>
              <w:right w:val="single" w:sz="4" w:space="0" w:color="auto"/>
            </w:tcBorders>
            <w:shd w:val="clear" w:color="auto" w:fill="auto"/>
            <w:noWrap/>
            <w:vAlign w:val="center"/>
            <w:hideMark/>
          </w:tcPr>
          <w:p w:rsidR="00C736F9" w:rsidRDefault="00C736F9">
            <w:pPr>
              <w:jc w:val="right"/>
              <w:rPr>
                <w:rFonts w:ascii="Calibri" w:hAnsi="Calibri" w:cs="Calibri"/>
                <w:color w:val="000000"/>
                <w:sz w:val="16"/>
                <w:szCs w:val="16"/>
              </w:rPr>
            </w:pPr>
            <w:r>
              <w:rPr>
                <w:rFonts w:ascii="Calibri" w:hAnsi="Calibri" w:cs="Calibri"/>
                <w:color w:val="000000"/>
                <w:sz w:val="16"/>
                <w:szCs w:val="16"/>
              </w:rPr>
              <w:t>663</w:t>
            </w:r>
          </w:p>
        </w:tc>
        <w:tc>
          <w:tcPr>
            <w:tcW w:w="709" w:type="dxa"/>
            <w:tcBorders>
              <w:top w:val="nil"/>
              <w:left w:val="nil"/>
              <w:bottom w:val="single" w:sz="4" w:space="0" w:color="auto"/>
              <w:right w:val="single" w:sz="4" w:space="0" w:color="auto"/>
            </w:tcBorders>
            <w:shd w:val="clear" w:color="auto" w:fill="auto"/>
            <w:noWrap/>
            <w:vAlign w:val="center"/>
            <w:hideMark/>
          </w:tcPr>
          <w:p w:rsidR="00C736F9" w:rsidRDefault="00C736F9">
            <w:pPr>
              <w:jc w:val="right"/>
              <w:rPr>
                <w:rFonts w:ascii="Calibri" w:hAnsi="Calibri" w:cs="Calibri"/>
                <w:color w:val="000000"/>
                <w:sz w:val="16"/>
                <w:szCs w:val="16"/>
              </w:rPr>
            </w:pPr>
            <w:r>
              <w:rPr>
                <w:rFonts w:ascii="Calibri" w:hAnsi="Calibri" w:cs="Calibri"/>
                <w:color w:val="00000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C736F9" w:rsidRDefault="00C736F9">
            <w:pPr>
              <w:jc w:val="right"/>
              <w:rPr>
                <w:rFonts w:ascii="Calibri" w:hAnsi="Calibri" w:cs="Calibri"/>
                <w:color w:val="000000"/>
                <w:sz w:val="16"/>
                <w:szCs w:val="16"/>
              </w:rPr>
            </w:pPr>
            <w:r>
              <w:rPr>
                <w:rFonts w:ascii="Calibri" w:hAnsi="Calibri" w:cs="Calibri"/>
                <w:color w:val="000000"/>
                <w:sz w:val="16"/>
                <w:szCs w:val="16"/>
              </w:rPr>
              <w:t>0</w:t>
            </w:r>
          </w:p>
        </w:tc>
      </w:tr>
      <w:tr w:rsidR="00C736F9" w:rsidTr="00C736F9">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C736F9" w:rsidRDefault="00C736F9">
            <w:pPr>
              <w:rPr>
                <w:rFonts w:ascii="Calibri" w:hAnsi="Calibri" w:cs="Calibri"/>
                <w:color w:val="000000"/>
                <w:sz w:val="16"/>
                <w:szCs w:val="16"/>
              </w:rPr>
            </w:pPr>
            <w:r>
              <w:rPr>
                <w:rFonts w:ascii="Calibri" w:hAnsi="Calibri" w:cs="Calibri"/>
                <w:color w:val="000000"/>
                <w:sz w:val="16"/>
                <w:szCs w:val="16"/>
              </w:rPr>
              <w:t>Investiční transfery</w:t>
            </w:r>
          </w:p>
        </w:tc>
        <w:tc>
          <w:tcPr>
            <w:tcW w:w="803" w:type="dxa"/>
            <w:tcBorders>
              <w:top w:val="nil"/>
              <w:left w:val="nil"/>
              <w:bottom w:val="single" w:sz="4" w:space="0" w:color="auto"/>
              <w:right w:val="single" w:sz="4" w:space="0" w:color="auto"/>
            </w:tcBorders>
            <w:shd w:val="clear" w:color="auto" w:fill="auto"/>
            <w:noWrap/>
            <w:vAlign w:val="center"/>
            <w:hideMark/>
          </w:tcPr>
          <w:p w:rsidR="00C736F9" w:rsidRDefault="00C736F9">
            <w:pPr>
              <w:jc w:val="right"/>
              <w:rPr>
                <w:rFonts w:ascii="Calibri" w:hAnsi="Calibri" w:cs="Calibri"/>
                <w:color w:val="000000"/>
                <w:sz w:val="16"/>
                <w:szCs w:val="16"/>
              </w:rPr>
            </w:pPr>
            <w:r>
              <w:rPr>
                <w:rFonts w:ascii="Calibri" w:hAnsi="Calibri" w:cs="Calibri"/>
                <w:color w:val="000000"/>
                <w:sz w:val="16"/>
                <w:szCs w:val="16"/>
              </w:rPr>
              <w:t>3 794</w:t>
            </w:r>
          </w:p>
        </w:tc>
        <w:tc>
          <w:tcPr>
            <w:tcW w:w="898" w:type="dxa"/>
            <w:tcBorders>
              <w:top w:val="nil"/>
              <w:left w:val="nil"/>
              <w:bottom w:val="single" w:sz="4" w:space="0" w:color="auto"/>
              <w:right w:val="single" w:sz="4" w:space="0" w:color="auto"/>
            </w:tcBorders>
            <w:shd w:val="clear" w:color="auto" w:fill="auto"/>
            <w:noWrap/>
            <w:vAlign w:val="center"/>
            <w:hideMark/>
          </w:tcPr>
          <w:p w:rsidR="00C736F9" w:rsidRDefault="00C736F9">
            <w:pPr>
              <w:jc w:val="right"/>
              <w:rPr>
                <w:rFonts w:ascii="Calibri" w:hAnsi="Calibri" w:cs="Calibri"/>
                <w:color w:val="000000"/>
                <w:sz w:val="16"/>
                <w:szCs w:val="16"/>
              </w:rPr>
            </w:pPr>
            <w:r>
              <w:rPr>
                <w:rFonts w:ascii="Calibri" w:hAnsi="Calibri" w:cs="Calibri"/>
                <w:color w:val="000000"/>
                <w:sz w:val="16"/>
                <w:szCs w:val="16"/>
              </w:rPr>
              <w:t>4 746</w:t>
            </w:r>
          </w:p>
        </w:tc>
        <w:tc>
          <w:tcPr>
            <w:tcW w:w="851" w:type="dxa"/>
            <w:tcBorders>
              <w:top w:val="nil"/>
              <w:left w:val="nil"/>
              <w:bottom w:val="single" w:sz="4" w:space="0" w:color="auto"/>
              <w:right w:val="single" w:sz="4" w:space="0" w:color="auto"/>
            </w:tcBorders>
            <w:shd w:val="clear" w:color="auto" w:fill="auto"/>
            <w:noWrap/>
            <w:vAlign w:val="center"/>
            <w:hideMark/>
          </w:tcPr>
          <w:p w:rsidR="00C736F9" w:rsidRDefault="00C736F9">
            <w:pPr>
              <w:jc w:val="right"/>
              <w:rPr>
                <w:rFonts w:ascii="Calibri" w:hAnsi="Calibri" w:cs="Calibri"/>
                <w:color w:val="000000"/>
                <w:sz w:val="16"/>
                <w:szCs w:val="16"/>
              </w:rPr>
            </w:pPr>
            <w:r>
              <w:rPr>
                <w:rFonts w:ascii="Calibri" w:hAnsi="Calibri" w:cs="Calibri"/>
                <w:color w:val="000000"/>
                <w:sz w:val="16"/>
                <w:szCs w:val="16"/>
              </w:rPr>
              <w:t>13 770</w:t>
            </w:r>
          </w:p>
        </w:tc>
        <w:tc>
          <w:tcPr>
            <w:tcW w:w="850" w:type="dxa"/>
            <w:tcBorders>
              <w:top w:val="nil"/>
              <w:left w:val="nil"/>
              <w:bottom w:val="single" w:sz="4" w:space="0" w:color="auto"/>
              <w:right w:val="single" w:sz="4" w:space="0" w:color="auto"/>
            </w:tcBorders>
            <w:shd w:val="clear" w:color="auto" w:fill="auto"/>
            <w:noWrap/>
            <w:vAlign w:val="center"/>
            <w:hideMark/>
          </w:tcPr>
          <w:p w:rsidR="00C736F9" w:rsidRDefault="00C736F9">
            <w:pPr>
              <w:jc w:val="right"/>
              <w:rPr>
                <w:rFonts w:ascii="Calibri" w:hAnsi="Calibri" w:cs="Calibri"/>
                <w:color w:val="000000"/>
                <w:sz w:val="16"/>
                <w:szCs w:val="16"/>
              </w:rPr>
            </w:pPr>
            <w:r>
              <w:rPr>
                <w:rFonts w:ascii="Calibri" w:hAnsi="Calibri" w:cs="Calibri"/>
                <w:color w:val="000000"/>
                <w:sz w:val="16"/>
                <w:szCs w:val="16"/>
              </w:rPr>
              <w:t>6 209</w:t>
            </w:r>
          </w:p>
        </w:tc>
        <w:tc>
          <w:tcPr>
            <w:tcW w:w="851" w:type="dxa"/>
            <w:tcBorders>
              <w:top w:val="nil"/>
              <w:left w:val="nil"/>
              <w:bottom w:val="single" w:sz="4" w:space="0" w:color="auto"/>
              <w:right w:val="single" w:sz="4" w:space="0" w:color="auto"/>
            </w:tcBorders>
            <w:shd w:val="clear" w:color="auto" w:fill="auto"/>
            <w:noWrap/>
            <w:vAlign w:val="center"/>
            <w:hideMark/>
          </w:tcPr>
          <w:p w:rsidR="00C736F9" w:rsidRDefault="00C736F9">
            <w:pPr>
              <w:jc w:val="right"/>
              <w:rPr>
                <w:rFonts w:ascii="Calibri" w:hAnsi="Calibri" w:cs="Calibri"/>
                <w:color w:val="000000"/>
                <w:sz w:val="16"/>
                <w:szCs w:val="16"/>
              </w:rPr>
            </w:pPr>
            <w:r>
              <w:rPr>
                <w:rFonts w:ascii="Calibri" w:hAnsi="Calibri" w:cs="Calibri"/>
                <w:color w:val="000000"/>
                <w:sz w:val="16"/>
                <w:szCs w:val="16"/>
              </w:rPr>
              <w:t>2 492</w:t>
            </w:r>
          </w:p>
        </w:tc>
        <w:tc>
          <w:tcPr>
            <w:tcW w:w="850" w:type="dxa"/>
            <w:tcBorders>
              <w:top w:val="nil"/>
              <w:left w:val="nil"/>
              <w:bottom w:val="single" w:sz="4" w:space="0" w:color="auto"/>
              <w:right w:val="single" w:sz="4" w:space="0" w:color="auto"/>
            </w:tcBorders>
            <w:shd w:val="clear" w:color="auto" w:fill="auto"/>
            <w:noWrap/>
            <w:vAlign w:val="center"/>
            <w:hideMark/>
          </w:tcPr>
          <w:p w:rsidR="00C736F9" w:rsidRDefault="00C736F9">
            <w:pPr>
              <w:jc w:val="right"/>
              <w:rPr>
                <w:rFonts w:ascii="Calibri" w:hAnsi="Calibri" w:cs="Calibri"/>
                <w:color w:val="000000"/>
                <w:sz w:val="16"/>
                <w:szCs w:val="16"/>
              </w:rPr>
            </w:pPr>
            <w:r>
              <w:rPr>
                <w:rFonts w:ascii="Calibri" w:hAnsi="Calibri" w:cs="Calibri"/>
                <w:color w:val="000000"/>
                <w:sz w:val="16"/>
                <w:szCs w:val="16"/>
              </w:rPr>
              <w:t>38 640</w:t>
            </w:r>
          </w:p>
        </w:tc>
        <w:tc>
          <w:tcPr>
            <w:tcW w:w="709" w:type="dxa"/>
            <w:tcBorders>
              <w:top w:val="nil"/>
              <w:left w:val="nil"/>
              <w:bottom w:val="single" w:sz="4" w:space="0" w:color="auto"/>
              <w:right w:val="single" w:sz="4" w:space="0" w:color="auto"/>
            </w:tcBorders>
            <w:shd w:val="clear" w:color="auto" w:fill="auto"/>
            <w:noWrap/>
            <w:vAlign w:val="center"/>
            <w:hideMark/>
          </w:tcPr>
          <w:p w:rsidR="00C736F9" w:rsidRDefault="00C736F9">
            <w:pPr>
              <w:jc w:val="right"/>
              <w:rPr>
                <w:rFonts w:ascii="Calibri" w:hAnsi="Calibri" w:cs="Calibri"/>
                <w:color w:val="000000"/>
                <w:sz w:val="16"/>
                <w:szCs w:val="16"/>
              </w:rPr>
            </w:pPr>
            <w:r>
              <w:rPr>
                <w:rFonts w:ascii="Calibri" w:hAnsi="Calibri" w:cs="Calibri"/>
                <w:color w:val="000000"/>
                <w:sz w:val="16"/>
                <w:szCs w:val="16"/>
              </w:rPr>
              <w:t>29 246</w:t>
            </w:r>
          </w:p>
        </w:tc>
        <w:tc>
          <w:tcPr>
            <w:tcW w:w="709" w:type="dxa"/>
            <w:tcBorders>
              <w:top w:val="nil"/>
              <w:left w:val="nil"/>
              <w:bottom w:val="single" w:sz="4" w:space="0" w:color="auto"/>
              <w:right w:val="single" w:sz="4" w:space="0" w:color="auto"/>
            </w:tcBorders>
            <w:shd w:val="clear" w:color="auto" w:fill="auto"/>
            <w:noWrap/>
            <w:vAlign w:val="center"/>
            <w:hideMark/>
          </w:tcPr>
          <w:p w:rsidR="00C736F9" w:rsidRDefault="00C736F9">
            <w:pPr>
              <w:jc w:val="right"/>
              <w:rPr>
                <w:rFonts w:ascii="Calibri" w:hAnsi="Calibri" w:cs="Calibri"/>
                <w:color w:val="000000"/>
                <w:sz w:val="16"/>
                <w:szCs w:val="16"/>
              </w:rPr>
            </w:pPr>
            <w:r>
              <w:rPr>
                <w:rFonts w:ascii="Calibri" w:hAnsi="Calibri" w:cs="Calibri"/>
                <w:color w:val="000000"/>
                <w:sz w:val="16"/>
                <w:szCs w:val="16"/>
              </w:rPr>
              <w:t>9 351</w:t>
            </w:r>
          </w:p>
        </w:tc>
      </w:tr>
      <w:tr w:rsidR="00C736F9" w:rsidTr="00C736F9">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C736F9" w:rsidRDefault="00C736F9">
            <w:pPr>
              <w:rPr>
                <w:rFonts w:ascii="Calibri" w:hAnsi="Calibri" w:cs="Calibri"/>
                <w:color w:val="000000"/>
                <w:sz w:val="16"/>
                <w:szCs w:val="16"/>
              </w:rPr>
            </w:pPr>
            <w:r>
              <w:rPr>
                <w:rFonts w:ascii="Calibri" w:hAnsi="Calibri" w:cs="Calibri"/>
                <w:color w:val="000000"/>
                <w:sz w:val="16"/>
                <w:szCs w:val="16"/>
              </w:rPr>
              <w:t>Investiční půjčené prostředky</w:t>
            </w:r>
          </w:p>
        </w:tc>
        <w:tc>
          <w:tcPr>
            <w:tcW w:w="803" w:type="dxa"/>
            <w:tcBorders>
              <w:top w:val="nil"/>
              <w:left w:val="nil"/>
              <w:bottom w:val="single" w:sz="4" w:space="0" w:color="auto"/>
              <w:right w:val="single" w:sz="4" w:space="0" w:color="auto"/>
            </w:tcBorders>
            <w:shd w:val="clear" w:color="auto" w:fill="auto"/>
            <w:noWrap/>
            <w:vAlign w:val="center"/>
            <w:hideMark/>
          </w:tcPr>
          <w:p w:rsidR="00C736F9" w:rsidRDefault="00C736F9">
            <w:pPr>
              <w:jc w:val="right"/>
              <w:rPr>
                <w:rFonts w:ascii="Calibri" w:hAnsi="Calibri" w:cs="Calibri"/>
                <w:color w:val="000000"/>
                <w:sz w:val="16"/>
                <w:szCs w:val="16"/>
              </w:rPr>
            </w:pPr>
            <w:r>
              <w:rPr>
                <w:rFonts w:ascii="Calibri" w:hAnsi="Calibri" w:cs="Calibri"/>
                <w:color w:val="000000"/>
                <w:sz w:val="16"/>
                <w:szCs w:val="16"/>
              </w:rPr>
              <w:t>0</w:t>
            </w:r>
          </w:p>
        </w:tc>
        <w:tc>
          <w:tcPr>
            <w:tcW w:w="898" w:type="dxa"/>
            <w:tcBorders>
              <w:top w:val="nil"/>
              <w:left w:val="nil"/>
              <w:bottom w:val="single" w:sz="4" w:space="0" w:color="auto"/>
              <w:right w:val="single" w:sz="4" w:space="0" w:color="auto"/>
            </w:tcBorders>
            <w:shd w:val="clear" w:color="auto" w:fill="auto"/>
            <w:noWrap/>
            <w:vAlign w:val="center"/>
            <w:hideMark/>
          </w:tcPr>
          <w:p w:rsidR="00C736F9" w:rsidRDefault="00C736F9">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hideMark/>
          </w:tcPr>
          <w:p w:rsidR="00C736F9" w:rsidRDefault="00C736F9">
            <w:pPr>
              <w:jc w:val="right"/>
              <w:rPr>
                <w:rFonts w:ascii="Calibri" w:hAnsi="Calibri" w:cs="Calibri"/>
                <w:color w:val="000000"/>
                <w:sz w:val="16"/>
                <w:szCs w:val="16"/>
              </w:rPr>
            </w:pPr>
            <w:r>
              <w:rPr>
                <w:rFonts w:ascii="Calibri" w:hAnsi="Calibri" w:cs="Calibri"/>
                <w:color w:val="000000"/>
                <w:sz w:val="16"/>
                <w:szCs w:val="16"/>
              </w:rPr>
              <w:t>0</w:t>
            </w:r>
          </w:p>
        </w:tc>
        <w:tc>
          <w:tcPr>
            <w:tcW w:w="850" w:type="dxa"/>
            <w:tcBorders>
              <w:top w:val="nil"/>
              <w:left w:val="nil"/>
              <w:bottom w:val="single" w:sz="4" w:space="0" w:color="auto"/>
              <w:right w:val="single" w:sz="4" w:space="0" w:color="auto"/>
            </w:tcBorders>
            <w:shd w:val="clear" w:color="auto" w:fill="auto"/>
            <w:noWrap/>
            <w:vAlign w:val="center"/>
            <w:hideMark/>
          </w:tcPr>
          <w:p w:rsidR="00C736F9" w:rsidRDefault="00C736F9">
            <w:pPr>
              <w:jc w:val="right"/>
              <w:rPr>
                <w:rFonts w:ascii="Calibri" w:hAnsi="Calibri" w:cs="Calibri"/>
                <w:color w:val="000000"/>
                <w:sz w:val="16"/>
                <w:szCs w:val="16"/>
              </w:rPr>
            </w:pPr>
            <w:r>
              <w:rPr>
                <w:rFonts w:ascii="Calibri" w:hAnsi="Calibri" w:cs="Calibri"/>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hideMark/>
          </w:tcPr>
          <w:p w:rsidR="00C736F9" w:rsidRDefault="00C736F9">
            <w:pPr>
              <w:jc w:val="right"/>
              <w:rPr>
                <w:rFonts w:ascii="Calibri" w:hAnsi="Calibri" w:cs="Calibri"/>
                <w:color w:val="000000"/>
                <w:sz w:val="16"/>
                <w:szCs w:val="16"/>
              </w:rPr>
            </w:pPr>
            <w:r>
              <w:rPr>
                <w:rFonts w:ascii="Calibri" w:hAnsi="Calibri" w:cs="Calibri"/>
                <w:color w:val="000000"/>
                <w:sz w:val="16"/>
                <w:szCs w:val="16"/>
              </w:rPr>
              <w:t>50</w:t>
            </w:r>
          </w:p>
        </w:tc>
        <w:tc>
          <w:tcPr>
            <w:tcW w:w="850" w:type="dxa"/>
            <w:tcBorders>
              <w:top w:val="nil"/>
              <w:left w:val="nil"/>
              <w:bottom w:val="single" w:sz="4" w:space="0" w:color="auto"/>
              <w:right w:val="single" w:sz="4" w:space="0" w:color="auto"/>
            </w:tcBorders>
            <w:shd w:val="clear" w:color="auto" w:fill="auto"/>
            <w:noWrap/>
            <w:vAlign w:val="center"/>
            <w:hideMark/>
          </w:tcPr>
          <w:p w:rsidR="00C736F9" w:rsidRDefault="00C736F9">
            <w:pPr>
              <w:jc w:val="right"/>
              <w:rPr>
                <w:rFonts w:ascii="Calibri" w:hAnsi="Calibri" w:cs="Calibri"/>
                <w:color w:val="000000"/>
                <w:sz w:val="16"/>
                <w:szCs w:val="16"/>
              </w:rPr>
            </w:pPr>
            <w:r>
              <w:rPr>
                <w:rFonts w:ascii="Calibri" w:hAnsi="Calibri" w:cs="Calibri"/>
                <w:color w:val="000000"/>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736F9" w:rsidRDefault="00C736F9">
            <w:pPr>
              <w:jc w:val="right"/>
              <w:rPr>
                <w:rFonts w:ascii="Calibri" w:hAnsi="Calibri" w:cs="Calibri"/>
                <w:color w:val="000000"/>
                <w:sz w:val="16"/>
                <w:szCs w:val="16"/>
              </w:rPr>
            </w:pPr>
            <w:r>
              <w:rPr>
                <w:rFonts w:ascii="Calibri" w:hAnsi="Calibri" w:cs="Calibri"/>
                <w:color w:val="000000"/>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C736F9" w:rsidRDefault="00C736F9">
            <w:pPr>
              <w:jc w:val="right"/>
              <w:rPr>
                <w:rFonts w:ascii="Calibri" w:hAnsi="Calibri" w:cs="Calibri"/>
                <w:color w:val="000000"/>
                <w:sz w:val="16"/>
                <w:szCs w:val="16"/>
              </w:rPr>
            </w:pPr>
            <w:r>
              <w:rPr>
                <w:rFonts w:ascii="Calibri" w:hAnsi="Calibri" w:cs="Calibri"/>
                <w:color w:val="000000"/>
                <w:sz w:val="16"/>
                <w:szCs w:val="16"/>
              </w:rPr>
              <w:t>0</w:t>
            </w:r>
          </w:p>
        </w:tc>
      </w:tr>
      <w:tr w:rsidR="00C736F9" w:rsidTr="00C736F9">
        <w:trPr>
          <w:trHeight w:val="300"/>
        </w:trPr>
        <w:tc>
          <w:tcPr>
            <w:tcW w:w="2977" w:type="dxa"/>
            <w:tcBorders>
              <w:top w:val="nil"/>
              <w:left w:val="single" w:sz="4" w:space="0" w:color="auto"/>
              <w:bottom w:val="single" w:sz="4" w:space="0" w:color="auto"/>
              <w:right w:val="single" w:sz="4" w:space="0" w:color="auto"/>
            </w:tcBorders>
            <w:shd w:val="clear" w:color="D6A100" w:fill="A9D08E"/>
            <w:noWrap/>
            <w:vAlign w:val="center"/>
            <w:hideMark/>
          </w:tcPr>
          <w:p w:rsidR="00C736F9" w:rsidRDefault="00C736F9">
            <w:pPr>
              <w:rPr>
                <w:rFonts w:ascii="Calibri" w:hAnsi="Calibri" w:cs="Calibri"/>
                <w:b/>
                <w:bCs/>
                <w:color w:val="000000"/>
                <w:sz w:val="16"/>
                <w:szCs w:val="16"/>
              </w:rPr>
            </w:pPr>
            <w:r>
              <w:rPr>
                <w:rFonts w:ascii="Calibri" w:hAnsi="Calibri" w:cs="Calibri"/>
                <w:b/>
                <w:bCs/>
                <w:color w:val="000000"/>
                <w:sz w:val="16"/>
                <w:szCs w:val="16"/>
              </w:rPr>
              <w:t>Kapitálové výdaje celkem</w:t>
            </w:r>
          </w:p>
        </w:tc>
        <w:tc>
          <w:tcPr>
            <w:tcW w:w="803" w:type="dxa"/>
            <w:tcBorders>
              <w:top w:val="nil"/>
              <w:left w:val="nil"/>
              <w:bottom w:val="single" w:sz="4" w:space="0" w:color="auto"/>
              <w:right w:val="single" w:sz="4" w:space="0" w:color="auto"/>
            </w:tcBorders>
            <w:shd w:val="clear" w:color="D6A100" w:fill="A9D08E"/>
            <w:noWrap/>
            <w:vAlign w:val="center"/>
            <w:hideMark/>
          </w:tcPr>
          <w:p w:rsidR="00C736F9" w:rsidRDefault="00C736F9">
            <w:pPr>
              <w:jc w:val="right"/>
              <w:rPr>
                <w:rFonts w:ascii="Calibri" w:hAnsi="Calibri" w:cs="Calibri"/>
                <w:b/>
                <w:bCs/>
                <w:color w:val="000000"/>
                <w:sz w:val="16"/>
                <w:szCs w:val="16"/>
              </w:rPr>
            </w:pPr>
            <w:r>
              <w:rPr>
                <w:rFonts w:ascii="Calibri" w:hAnsi="Calibri" w:cs="Calibri"/>
                <w:b/>
                <w:bCs/>
                <w:color w:val="000000"/>
                <w:sz w:val="16"/>
                <w:szCs w:val="16"/>
              </w:rPr>
              <w:t>186 114</w:t>
            </w:r>
          </w:p>
        </w:tc>
        <w:tc>
          <w:tcPr>
            <w:tcW w:w="898" w:type="dxa"/>
            <w:tcBorders>
              <w:top w:val="nil"/>
              <w:left w:val="nil"/>
              <w:bottom w:val="single" w:sz="4" w:space="0" w:color="auto"/>
              <w:right w:val="single" w:sz="4" w:space="0" w:color="auto"/>
            </w:tcBorders>
            <w:shd w:val="clear" w:color="D6A100" w:fill="A9D08E"/>
            <w:noWrap/>
            <w:vAlign w:val="center"/>
            <w:hideMark/>
          </w:tcPr>
          <w:p w:rsidR="00C736F9" w:rsidRDefault="00C736F9">
            <w:pPr>
              <w:jc w:val="right"/>
              <w:rPr>
                <w:rFonts w:ascii="Calibri" w:hAnsi="Calibri" w:cs="Calibri"/>
                <w:b/>
                <w:bCs/>
                <w:color w:val="000000"/>
                <w:sz w:val="16"/>
                <w:szCs w:val="16"/>
              </w:rPr>
            </w:pPr>
            <w:r>
              <w:rPr>
                <w:rFonts w:ascii="Calibri" w:hAnsi="Calibri" w:cs="Calibri"/>
                <w:b/>
                <w:bCs/>
                <w:color w:val="000000"/>
                <w:sz w:val="16"/>
                <w:szCs w:val="16"/>
              </w:rPr>
              <w:t>159 385</w:t>
            </w:r>
          </w:p>
        </w:tc>
        <w:tc>
          <w:tcPr>
            <w:tcW w:w="851" w:type="dxa"/>
            <w:tcBorders>
              <w:top w:val="nil"/>
              <w:left w:val="nil"/>
              <w:bottom w:val="single" w:sz="4" w:space="0" w:color="auto"/>
              <w:right w:val="single" w:sz="4" w:space="0" w:color="auto"/>
            </w:tcBorders>
            <w:shd w:val="clear" w:color="D6A100" w:fill="A9D08E"/>
            <w:noWrap/>
            <w:vAlign w:val="center"/>
            <w:hideMark/>
          </w:tcPr>
          <w:p w:rsidR="00C736F9" w:rsidRDefault="00C736F9">
            <w:pPr>
              <w:jc w:val="right"/>
              <w:rPr>
                <w:rFonts w:ascii="Calibri" w:hAnsi="Calibri" w:cs="Calibri"/>
                <w:b/>
                <w:bCs/>
                <w:color w:val="000000"/>
                <w:sz w:val="16"/>
                <w:szCs w:val="16"/>
              </w:rPr>
            </w:pPr>
            <w:r>
              <w:rPr>
                <w:rFonts w:ascii="Calibri" w:hAnsi="Calibri" w:cs="Calibri"/>
                <w:b/>
                <w:bCs/>
                <w:color w:val="000000"/>
                <w:sz w:val="16"/>
                <w:szCs w:val="16"/>
              </w:rPr>
              <w:t>257 005</w:t>
            </w:r>
          </w:p>
        </w:tc>
        <w:tc>
          <w:tcPr>
            <w:tcW w:w="850" w:type="dxa"/>
            <w:tcBorders>
              <w:top w:val="nil"/>
              <w:left w:val="nil"/>
              <w:bottom w:val="single" w:sz="4" w:space="0" w:color="auto"/>
              <w:right w:val="single" w:sz="4" w:space="0" w:color="auto"/>
            </w:tcBorders>
            <w:shd w:val="clear" w:color="D6A100" w:fill="A9D08E"/>
            <w:noWrap/>
            <w:vAlign w:val="center"/>
            <w:hideMark/>
          </w:tcPr>
          <w:p w:rsidR="00C736F9" w:rsidRDefault="00C736F9">
            <w:pPr>
              <w:jc w:val="right"/>
              <w:rPr>
                <w:rFonts w:ascii="Calibri" w:hAnsi="Calibri" w:cs="Calibri"/>
                <w:b/>
                <w:bCs/>
                <w:color w:val="000000"/>
                <w:sz w:val="16"/>
                <w:szCs w:val="16"/>
              </w:rPr>
            </w:pPr>
            <w:r>
              <w:rPr>
                <w:rFonts w:ascii="Calibri" w:hAnsi="Calibri" w:cs="Calibri"/>
                <w:b/>
                <w:bCs/>
                <w:color w:val="000000"/>
                <w:sz w:val="16"/>
                <w:szCs w:val="16"/>
              </w:rPr>
              <w:t>373 596</w:t>
            </w:r>
          </w:p>
        </w:tc>
        <w:tc>
          <w:tcPr>
            <w:tcW w:w="851" w:type="dxa"/>
            <w:tcBorders>
              <w:top w:val="nil"/>
              <w:left w:val="nil"/>
              <w:bottom w:val="single" w:sz="4" w:space="0" w:color="auto"/>
              <w:right w:val="single" w:sz="4" w:space="0" w:color="auto"/>
            </w:tcBorders>
            <w:shd w:val="clear" w:color="D6A100" w:fill="A9D08E"/>
            <w:noWrap/>
            <w:vAlign w:val="center"/>
            <w:hideMark/>
          </w:tcPr>
          <w:p w:rsidR="00C736F9" w:rsidRDefault="00C736F9">
            <w:pPr>
              <w:jc w:val="right"/>
              <w:rPr>
                <w:rFonts w:ascii="Calibri" w:hAnsi="Calibri" w:cs="Calibri"/>
                <w:b/>
                <w:bCs/>
                <w:color w:val="000000"/>
                <w:sz w:val="16"/>
                <w:szCs w:val="16"/>
              </w:rPr>
            </w:pPr>
            <w:r>
              <w:rPr>
                <w:rFonts w:ascii="Calibri" w:hAnsi="Calibri" w:cs="Calibri"/>
                <w:b/>
                <w:bCs/>
                <w:color w:val="000000"/>
                <w:sz w:val="16"/>
                <w:szCs w:val="16"/>
              </w:rPr>
              <w:t>304 481</w:t>
            </w:r>
          </w:p>
        </w:tc>
        <w:tc>
          <w:tcPr>
            <w:tcW w:w="850" w:type="dxa"/>
            <w:tcBorders>
              <w:top w:val="nil"/>
              <w:left w:val="nil"/>
              <w:bottom w:val="single" w:sz="4" w:space="0" w:color="auto"/>
              <w:right w:val="single" w:sz="4" w:space="0" w:color="auto"/>
            </w:tcBorders>
            <w:shd w:val="clear" w:color="D6A100" w:fill="A9D08E"/>
            <w:noWrap/>
            <w:vAlign w:val="center"/>
            <w:hideMark/>
          </w:tcPr>
          <w:p w:rsidR="00C736F9" w:rsidRDefault="00C736F9">
            <w:pPr>
              <w:jc w:val="right"/>
              <w:rPr>
                <w:rFonts w:ascii="Calibri" w:hAnsi="Calibri" w:cs="Calibri"/>
                <w:b/>
                <w:bCs/>
                <w:color w:val="000000"/>
                <w:sz w:val="16"/>
                <w:szCs w:val="16"/>
              </w:rPr>
            </w:pPr>
            <w:r>
              <w:rPr>
                <w:rFonts w:ascii="Calibri" w:hAnsi="Calibri" w:cs="Calibri"/>
                <w:b/>
                <w:bCs/>
                <w:color w:val="000000"/>
                <w:sz w:val="16"/>
                <w:szCs w:val="16"/>
              </w:rPr>
              <w:t>234 672</w:t>
            </w:r>
          </w:p>
        </w:tc>
        <w:tc>
          <w:tcPr>
            <w:tcW w:w="709" w:type="dxa"/>
            <w:tcBorders>
              <w:top w:val="nil"/>
              <w:left w:val="nil"/>
              <w:bottom w:val="single" w:sz="4" w:space="0" w:color="auto"/>
              <w:right w:val="single" w:sz="4" w:space="0" w:color="auto"/>
            </w:tcBorders>
            <w:shd w:val="clear" w:color="D6A100" w:fill="A9D08E"/>
            <w:noWrap/>
            <w:vAlign w:val="center"/>
            <w:hideMark/>
          </w:tcPr>
          <w:p w:rsidR="00C736F9" w:rsidRDefault="00C736F9">
            <w:pPr>
              <w:jc w:val="right"/>
              <w:rPr>
                <w:rFonts w:ascii="Calibri" w:hAnsi="Calibri" w:cs="Calibri"/>
                <w:b/>
                <w:bCs/>
                <w:color w:val="000000"/>
                <w:sz w:val="16"/>
                <w:szCs w:val="16"/>
              </w:rPr>
            </w:pPr>
            <w:r>
              <w:rPr>
                <w:rFonts w:ascii="Calibri" w:hAnsi="Calibri" w:cs="Calibri"/>
                <w:b/>
                <w:bCs/>
                <w:color w:val="000000"/>
                <w:sz w:val="16"/>
                <w:szCs w:val="16"/>
              </w:rPr>
              <w:t>267 943</w:t>
            </w:r>
          </w:p>
        </w:tc>
        <w:tc>
          <w:tcPr>
            <w:tcW w:w="709" w:type="dxa"/>
            <w:tcBorders>
              <w:top w:val="nil"/>
              <w:left w:val="nil"/>
              <w:bottom w:val="single" w:sz="4" w:space="0" w:color="auto"/>
              <w:right w:val="single" w:sz="4" w:space="0" w:color="auto"/>
            </w:tcBorders>
            <w:shd w:val="clear" w:color="D6A100" w:fill="A9D08E"/>
            <w:noWrap/>
            <w:vAlign w:val="center"/>
            <w:hideMark/>
          </w:tcPr>
          <w:p w:rsidR="00C736F9" w:rsidRDefault="00C736F9">
            <w:pPr>
              <w:jc w:val="right"/>
              <w:rPr>
                <w:rFonts w:ascii="Calibri" w:hAnsi="Calibri" w:cs="Calibri"/>
                <w:b/>
                <w:bCs/>
                <w:color w:val="000000"/>
                <w:sz w:val="16"/>
                <w:szCs w:val="16"/>
              </w:rPr>
            </w:pPr>
            <w:r>
              <w:rPr>
                <w:rFonts w:ascii="Calibri" w:hAnsi="Calibri" w:cs="Calibri"/>
                <w:b/>
                <w:bCs/>
                <w:color w:val="000000"/>
                <w:sz w:val="16"/>
                <w:szCs w:val="16"/>
              </w:rPr>
              <w:t>237 800</w:t>
            </w:r>
          </w:p>
        </w:tc>
      </w:tr>
    </w:tbl>
    <w:p w:rsidR="00C736F9" w:rsidRDefault="00C736F9" w:rsidP="00C736F9"/>
    <w:p w:rsidR="00C736F9" w:rsidRPr="00C736F9" w:rsidRDefault="00C736F9" w:rsidP="00C736F9"/>
    <w:p w:rsidR="00C7173E" w:rsidRPr="008B7E0F" w:rsidRDefault="00C736F9" w:rsidP="00C736F9">
      <w:pPr>
        <w:jc w:val="center"/>
        <w:rPr>
          <w:sz w:val="17"/>
          <w:szCs w:val="17"/>
        </w:rPr>
      </w:pPr>
      <w:r>
        <w:rPr>
          <w:noProof/>
        </w:rPr>
        <w:drawing>
          <wp:inline distT="0" distB="0" distL="0" distR="0" wp14:anchorId="77252DEC" wp14:editId="0AF33845">
            <wp:extent cx="5055235" cy="2924568"/>
            <wp:effectExtent l="0" t="0" r="12065" b="9525"/>
            <wp:docPr id="28" name="Graf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C2F64" w:rsidRPr="00CC2F64" w:rsidRDefault="00CC2F64" w:rsidP="00CC2F64"/>
    <w:p w:rsidR="007E68C9" w:rsidRPr="007E68C9" w:rsidRDefault="007E68C9" w:rsidP="008B7E0F">
      <w:pPr>
        <w:jc w:val="center"/>
      </w:pPr>
    </w:p>
    <w:tbl>
      <w:tblPr>
        <w:tblW w:w="9493" w:type="dxa"/>
        <w:tblCellMar>
          <w:left w:w="70" w:type="dxa"/>
          <w:right w:w="70" w:type="dxa"/>
        </w:tblCellMar>
        <w:tblLook w:val="04A0" w:firstRow="1" w:lastRow="0" w:firstColumn="1" w:lastColumn="0" w:noHBand="0" w:noVBand="1"/>
      </w:tblPr>
      <w:tblGrid>
        <w:gridCol w:w="3539"/>
        <w:gridCol w:w="851"/>
        <w:gridCol w:w="850"/>
        <w:gridCol w:w="709"/>
        <w:gridCol w:w="709"/>
        <w:gridCol w:w="708"/>
        <w:gridCol w:w="709"/>
        <w:gridCol w:w="709"/>
        <w:gridCol w:w="709"/>
      </w:tblGrid>
      <w:tr w:rsidR="00AC0318" w:rsidTr="00AC0318">
        <w:trPr>
          <w:trHeight w:val="300"/>
        </w:trPr>
        <w:tc>
          <w:tcPr>
            <w:tcW w:w="3539"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AC0318" w:rsidRDefault="00AC0318">
            <w:pPr>
              <w:rPr>
                <w:rFonts w:ascii="Calibri" w:hAnsi="Calibri" w:cs="Calibri"/>
                <w:color w:val="000000"/>
                <w:sz w:val="16"/>
                <w:szCs w:val="16"/>
              </w:rPr>
            </w:pPr>
            <w:r>
              <w:rPr>
                <w:rFonts w:ascii="Calibri" w:hAnsi="Calibri" w:cs="Calibri"/>
                <w:color w:val="000000"/>
                <w:sz w:val="16"/>
                <w:szCs w:val="16"/>
              </w:rPr>
              <w:t> </w:t>
            </w:r>
          </w:p>
        </w:tc>
        <w:tc>
          <w:tcPr>
            <w:tcW w:w="851" w:type="dxa"/>
            <w:tcBorders>
              <w:top w:val="single" w:sz="4" w:space="0" w:color="auto"/>
              <w:left w:val="nil"/>
              <w:bottom w:val="single" w:sz="4" w:space="0" w:color="auto"/>
              <w:right w:val="single" w:sz="4" w:space="0" w:color="auto"/>
            </w:tcBorders>
            <w:shd w:val="clear" w:color="D6A100" w:fill="C6E0B4"/>
            <w:noWrap/>
            <w:vAlign w:val="center"/>
            <w:hideMark/>
          </w:tcPr>
          <w:p w:rsidR="00AC0318" w:rsidRDefault="00AC0318">
            <w:pPr>
              <w:jc w:val="center"/>
              <w:rPr>
                <w:rFonts w:ascii="Calibri" w:hAnsi="Calibri" w:cs="Calibri"/>
                <w:color w:val="000000"/>
                <w:sz w:val="16"/>
                <w:szCs w:val="16"/>
              </w:rPr>
            </w:pPr>
            <w:r>
              <w:rPr>
                <w:rFonts w:ascii="Calibri" w:hAnsi="Calibri" w:cs="Calibri"/>
                <w:color w:val="000000"/>
                <w:sz w:val="16"/>
                <w:szCs w:val="16"/>
              </w:rPr>
              <w:t>2015</w:t>
            </w:r>
          </w:p>
        </w:tc>
        <w:tc>
          <w:tcPr>
            <w:tcW w:w="850" w:type="dxa"/>
            <w:tcBorders>
              <w:top w:val="single" w:sz="4" w:space="0" w:color="auto"/>
              <w:left w:val="nil"/>
              <w:bottom w:val="single" w:sz="4" w:space="0" w:color="auto"/>
              <w:right w:val="single" w:sz="4" w:space="0" w:color="auto"/>
            </w:tcBorders>
            <w:shd w:val="clear" w:color="D6A100" w:fill="C6E0B4"/>
            <w:noWrap/>
            <w:vAlign w:val="center"/>
            <w:hideMark/>
          </w:tcPr>
          <w:p w:rsidR="00AC0318" w:rsidRDefault="00AC0318">
            <w:pPr>
              <w:jc w:val="center"/>
              <w:rPr>
                <w:rFonts w:ascii="Calibri" w:hAnsi="Calibri" w:cs="Calibri"/>
                <w:color w:val="000000"/>
                <w:sz w:val="16"/>
                <w:szCs w:val="16"/>
              </w:rPr>
            </w:pPr>
            <w:r>
              <w:rPr>
                <w:rFonts w:ascii="Calibri" w:hAnsi="Calibri" w:cs="Calibri"/>
                <w:color w:val="000000"/>
                <w:sz w:val="16"/>
                <w:szCs w:val="16"/>
              </w:rPr>
              <w:t>2016</w:t>
            </w:r>
          </w:p>
        </w:tc>
        <w:tc>
          <w:tcPr>
            <w:tcW w:w="709" w:type="dxa"/>
            <w:tcBorders>
              <w:top w:val="single" w:sz="4" w:space="0" w:color="auto"/>
              <w:left w:val="nil"/>
              <w:bottom w:val="single" w:sz="4" w:space="0" w:color="auto"/>
              <w:right w:val="single" w:sz="4" w:space="0" w:color="auto"/>
            </w:tcBorders>
            <w:shd w:val="clear" w:color="D6A100" w:fill="C6E0B4"/>
            <w:noWrap/>
            <w:vAlign w:val="center"/>
            <w:hideMark/>
          </w:tcPr>
          <w:p w:rsidR="00AC0318" w:rsidRDefault="00AC0318">
            <w:pPr>
              <w:jc w:val="center"/>
              <w:rPr>
                <w:rFonts w:ascii="Calibri" w:hAnsi="Calibri" w:cs="Calibri"/>
                <w:color w:val="000000"/>
                <w:sz w:val="16"/>
                <w:szCs w:val="16"/>
              </w:rPr>
            </w:pPr>
            <w:r>
              <w:rPr>
                <w:rFonts w:ascii="Calibri" w:hAnsi="Calibri" w:cs="Calibri"/>
                <w:color w:val="000000"/>
                <w:sz w:val="16"/>
                <w:szCs w:val="16"/>
              </w:rPr>
              <w:t>2017</w:t>
            </w:r>
          </w:p>
        </w:tc>
        <w:tc>
          <w:tcPr>
            <w:tcW w:w="709" w:type="dxa"/>
            <w:tcBorders>
              <w:top w:val="single" w:sz="4" w:space="0" w:color="auto"/>
              <w:left w:val="nil"/>
              <w:bottom w:val="single" w:sz="4" w:space="0" w:color="auto"/>
              <w:right w:val="single" w:sz="4" w:space="0" w:color="auto"/>
            </w:tcBorders>
            <w:shd w:val="clear" w:color="D6A100" w:fill="C6E0B4"/>
            <w:noWrap/>
            <w:vAlign w:val="center"/>
            <w:hideMark/>
          </w:tcPr>
          <w:p w:rsidR="00AC0318" w:rsidRDefault="00AC0318">
            <w:pPr>
              <w:jc w:val="center"/>
              <w:rPr>
                <w:rFonts w:ascii="Calibri" w:hAnsi="Calibri" w:cs="Calibri"/>
                <w:color w:val="000000"/>
                <w:sz w:val="16"/>
                <w:szCs w:val="16"/>
              </w:rPr>
            </w:pPr>
            <w:r>
              <w:rPr>
                <w:rFonts w:ascii="Calibri" w:hAnsi="Calibri" w:cs="Calibri"/>
                <w:color w:val="000000"/>
                <w:sz w:val="16"/>
                <w:szCs w:val="16"/>
              </w:rPr>
              <w:t>2018</w:t>
            </w:r>
          </w:p>
        </w:tc>
        <w:tc>
          <w:tcPr>
            <w:tcW w:w="708" w:type="dxa"/>
            <w:tcBorders>
              <w:top w:val="single" w:sz="4" w:space="0" w:color="auto"/>
              <w:left w:val="nil"/>
              <w:bottom w:val="single" w:sz="4" w:space="0" w:color="auto"/>
              <w:right w:val="single" w:sz="4" w:space="0" w:color="auto"/>
            </w:tcBorders>
            <w:shd w:val="clear" w:color="D6A100" w:fill="C6E0B4"/>
            <w:noWrap/>
            <w:vAlign w:val="center"/>
            <w:hideMark/>
          </w:tcPr>
          <w:p w:rsidR="00AC0318" w:rsidRDefault="00AC0318">
            <w:pPr>
              <w:jc w:val="center"/>
              <w:rPr>
                <w:rFonts w:ascii="Calibri" w:hAnsi="Calibri" w:cs="Calibri"/>
                <w:color w:val="000000"/>
                <w:sz w:val="16"/>
                <w:szCs w:val="16"/>
              </w:rPr>
            </w:pPr>
            <w:r>
              <w:rPr>
                <w:rFonts w:ascii="Calibri" w:hAnsi="Calibri" w:cs="Calibri"/>
                <w:color w:val="000000"/>
                <w:sz w:val="16"/>
                <w:szCs w:val="16"/>
              </w:rPr>
              <w:t>2019</w:t>
            </w:r>
          </w:p>
        </w:tc>
        <w:tc>
          <w:tcPr>
            <w:tcW w:w="709" w:type="dxa"/>
            <w:tcBorders>
              <w:top w:val="single" w:sz="4" w:space="0" w:color="auto"/>
              <w:left w:val="nil"/>
              <w:bottom w:val="single" w:sz="4" w:space="0" w:color="auto"/>
              <w:right w:val="single" w:sz="4" w:space="0" w:color="auto"/>
            </w:tcBorders>
            <w:shd w:val="clear" w:color="D6A100" w:fill="C6E0B4"/>
            <w:noWrap/>
            <w:vAlign w:val="center"/>
            <w:hideMark/>
          </w:tcPr>
          <w:p w:rsidR="00AC0318" w:rsidRDefault="00AC0318">
            <w:pPr>
              <w:jc w:val="center"/>
              <w:rPr>
                <w:rFonts w:ascii="Calibri" w:hAnsi="Calibri" w:cs="Calibri"/>
                <w:color w:val="000000"/>
                <w:sz w:val="16"/>
                <w:szCs w:val="16"/>
              </w:rPr>
            </w:pPr>
            <w:r>
              <w:rPr>
                <w:rFonts w:ascii="Calibri" w:hAnsi="Calibri" w:cs="Calibri"/>
                <w:color w:val="000000"/>
                <w:sz w:val="16"/>
                <w:szCs w:val="16"/>
              </w:rPr>
              <w:t>2020</w:t>
            </w:r>
          </w:p>
        </w:tc>
        <w:tc>
          <w:tcPr>
            <w:tcW w:w="709" w:type="dxa"/>
            <w:tcBorders>
              <w:top w:val="single" w:sz="4" w:space="0" w:color="auto"/>
              <w:left w:val="nil"/>
              <w:bottom w:val="single" w:sz="4" w:space="0" w:color="auto"/>
              <w:right w:val="single" w:sz="4" w:space="0" w:color="auto"/>
            </w:tcBorders>
            <w:shd w:val="clear" w:color="D6A100" w:fill="C6E0B4"/>
            <w:noWrap/>
            <w:vAlign w:val="center"/>
            <w:hideMark/>
          </w:tcPr>
          <w:p w:rsidR="00AC0318" w:rsidRDefault="00AC0318">
            <w:pPr>
              <w:jc w:val="center"/>
              <w:rPr>
                <w:rFonts w:ascii="Calibri" w:hAnsi="Calibri" w:cs="Calibri"/>
                <w:color w:val="000000"/>
                <w:sz w:val="16"/>
                <w:szCs w:val="16"/>
              </w:rPr>
            </w:pPr>
            <w:r>
              <w:rPr>
                <w:rFonts w:ascii="Calibri" w:hAnsi="Calibri" w:cs="Calibri"/>
                <w:color w:val="000000"/>
                <w:sz w:val="16"/>
                <w:szCs w:val="16"/>
              </w:rPr>
              <w:t>2021</w:t>
            </w:r>
          </w:p>
        </w:tc>
        <w:tc>
          <w:tcPr>
            <w:tcW w:w="709" w:type="dxa"/>
            <w:tcBorders>
              <w:top w:val="single" w:sz="4" w:space="0" w:color="auto"/>
              <w:left w:val="nil"/>
              <w:bottom w:val="single" w:sz="4" w:space="0" w:color="auto"/>
              <w:right w:val="single" w:sz="4" w:space="0" w:color="auto"/>
            </w:tcBorders>
            <w:shd w:val="clear" w:color="D6A100" w:fill="C6E0B4"/>
            <w:noWrap/>
            <w:vAlign w:val="center"/>
            <w:hideMark/>
          </w:tcPr>
          <w:p w:rsidR="00AC0318" w:rsidRDefault="00AC0318">
            <w:pPr>
              <w:jc w:val="center"/>
              <w:rPr>
                <w:rFonts w:ascii="Calibri" w:hAnsi="Calibri" w:cs="Calibri"/>
                <w:color w:val="000000"/>
                <w:sz w:val="16"/>
                <w:szCs w:val="16"/>
              </w:rPr>
            </w:pPr>
            <w:r>
              <w:rPr>
                <w:rFonts w:ascii="Calibri" w:hAnsi="Calibri" w:cs="Calibri"/>
                <w:color w:val="000000"/>
                <w:sz w:val="16"/>
                <w:szCs w:val="16"/>
              </w:rPr>
              <w:t>2022</w:t>
            </w:r>
          </w:p>
        </w:tc>
      </w:tr>
      <w:tr w:rsidR="00AC0318" w:rsidTr="00AC0318">
        <w:trPr>
          <w:trHeight w:val="300"/>
        </w:trPr>
        <w:tc>
          <w:tcPr>
            <w:tcW w:w="3539" w:type="dxa"/>
            <w:tcBorders>
              <w:top w:val="nil"/>
              <w:left w:val="single" w:sz="4" w:space="0" w:color="auto"/>
              <w:bottom w:val="single" w:sz="4" w:space="0" w:color="auto"/>
              <w:right w:val="single" w:sz="4" w:space="0" w:color="auto"/>
            </w:tcBorders>
            <w:shd w:val="clear" w:color="000000" w:fill="A9D08E"/>
            <w:noWrap/>
            <w:vAlign w:val="center"/>
            <w:hideMark/>
          </w:tcPr>
          <w:p w:rsidR="00AC0318" w:rsidRDefault="00AC0318">
            <w:pPr>
              <w:rPr>
                <w:rFonts w:ascii="Calibri" w:hAnsi="Calibri" w:cs="Calibri"/>
                <w:b/>
                <w:bCs/>
                <w:color w:val="000000"/>
                <w:sz w:val="16"/>
                <w:szCs w:val="16"/>
              </w:rPr>
            </w:pPr>
            <w:r>
              <w:rPr>
                <w:rFonts w:ascii="Calibri" w:hAnsi="Calibri" w:cs="Calibri"/>
                <w:b/>
                <w:bCs/>
                <w:color w:val="000000"/>
                <w:sz w:val="16"/>
                <w:szCs w:val="16"/>
              </w:rPr>
              <w:t>Kapitálové výdaje celkem</w:t>
            </w:r>
          </w:p>
        </w:tc>
        <w:tc>
          <w:tcPr>
            <w:tcW w:w="851" w:type="dxa"/>
            <w:tcBorders>
              <w:top w:val="nil"/>
              <w:left w:val="nil"/>
              <w:bottom w:val="single" w:sz="4" w:space="0" w:color="auto"/>
              <w:right w:val="single" w:sz="4" w:space="0" w:color="auto"/>
            </w:tcBorders>
            <w:shd w:val="clear" w:color="000000" w:fill="A9D08E"/>
            <w:noWrap/>
            <w:vAlign w:val="center"/>
            <w:hideMark/>
          </w:tcPr>
          <w:p w:rsidR="00AC0318" w:rsidRDefault="00AC0318">
            <w:pPr>
              <w:jc w:val="right"/>
              <w:rPr>
                <w:rFonts w:ascii="Calibri" w:hAnsi="Calibri" w:cs="Calibri"/>
                <w:b/>
                <w:bCs/>
                <w:color w:val="000000"/>
                <w:sz w:val="16"/>
                <w:szCs w:val="16"/>
              </w:rPr>
            </w:pPr>
            <w:r>
              <w:rPr>
                <w:rFonts w:ascii="Calibri" w:hAnsi="Calibri" w:cs="Calibri"/>
                <w:b/>
                <w:bCs/>
                <w:color w:val="000000"/>
                <w:sz w:val="16"/>
                <w:szCs w:val="16"/>
              </w:rPr>
              <w:t>186 114</w:t>
            </w:r>
          </w:p>
        </w:tc>
        <w:tc>
          <w:tcPr>
            <w:tcW w:w="850" w:type="dxa"/>
            <w:tcBorders>
              <w:top w:val="nil"/>
              <w:left w:val="nil"/>
              <w:bottom w:val="single" w:sz="4" w:space="0" w:color="auto"/>
              <w:right w:val="single" w:sz="4" w:space="0" w:color="auto"/>
            </w:tcBorders>
            <w:shd w:val="clear" w:color="000000" w:fill="A9D08E"/>
            <w:noWrap/>
            <w:vAlign w:val="center"/>
            <w:hideMark/>
          </w:tcPr>
          <w:p w:rsidR="00AC0318" w:rsidRDefault="00AC0318">
            <w:pPr>
              <w:jc w:val="right"/>
              <w:rPr>
                <w:rFonts w:ascii="Calibri" w:hAnsi="Calibri" w:cs="Calibri"/>
                <w:b/>
                <w:bCs/>
                <w:color w:val="000000"/>
                <w:sz w:val="16"/>
                <w:szCs w:val="16"/>
              </w:rPr>
            </w:pPr>
            <w:r>
              <w:rPr>
                <w:rFonts w:ascii="Calibri" w:hAnsi="Calibri" w:cs="Calibri"/>
                <w:b/>
                <w:bCs/>
                <w:color w:val="000000"/>
                <w:sz w:val="16"/>
                <w:szCs w:val="16"/>
              </w:rPr>
              <w:t>159 385</w:t>
            </w:r>
          </w:p>
        </w:tc>
        <w:tc>
          <w:tcPr>
            <w:tcW w:w="709" w:type="dxa"/>
            <w:tcBorders>
              <w:top w:val="nil"/>
              <w:left w:val="nil"/>
              <w:bottom w:val="single" w:sz="4" w:space="0" w:color="auto"/>
              <w:right w:val="single" w:sz="4" w:space="0" w:color="auto"/>
            </w:tcBorders>
            <w:shd w:val="clear" w:color="000000" w:fill="A9D08E"/>
            <w:noWrap/>
            <w:vAlign w:val="center"/>
            <w:hideMark/>
          </w:tcPr>
          <w:p w:rsidR="00AC0318" w:rsidRDefault="00AC0318">
            <w:pPr>
              <w:jc w:val="right"/>
              <w:rPr>
                <w:rFonts w:ascii="Calibri" w:hAnsi="Calibri" w:cs="Calibri"/>
                <w:b/>
                <w:bCs/>
                <w:color w:val="000000"/>
                <w:sz w:val="16"/>
                <w:szCs w:val="16"/>
              </w:rPr>
            </w:pPr>
            <w:r>
              <w:rPr>
                <w:rFonts w:ascii="Calibri" w:hAnsi="Calibri" w:cs="Calibri"/>
                <w:b/>
                <w:bCs/>
                <w:color w:val="000000"/>
                <w:sz w:val="16"/>
                <w:szCs w:val="16"/>
              </w:rPr>
              <w:t>257 005</w:t>
            </w:r>
          </w:p>
        </w:tc>
        <w:tc>
          <w:tcPr>
            <w:tcW w:w="709" w:type="dxa"/>
            <w:tcBorders>
              <w:top w:val="nil"/>
              <w:left w:val="nil"/>
              <w:bottom w:val="single" w:sz="4" w:space="0" w:color="auto"/>
              <w:right w:val="single" w:sz="4" w:space="0" w:color="auto"/>
            </w:tcBorders>
            <w:shd w:val="clear" w:color="000000" w:fill="A9D08E"/>
            <w:noWrap/>
            <w:vAlign w:val="center"/>
            <w:hideMark/>
          </w:tcPr>
          <w:p w:rsidR="00AC0318" w:rsidRDefault="00AC0318">
            <w:pPr>
              <w:jc w:val="right"/>
              <w:rPr>
                <w:rFonts w:ascii="Calibri" w:hAnsi="Calibri" w:cs="Calibri"/>
                <w:b/>
                <w:bCs/>
                <w:color w:val="000000"/>
                <w:sz w:val="16"/>
                <w:szCs w:val="16"/>
              </w:rPr>
            </w:pPr>
            <w:r>
              <w:rPr>
                <w:rFonts w:ascii="Calibri" w:hAnsi="Calibri" w:cs="Calibri"/>
                <w:b/>
                <w:bCs/>
                <w:color w:val="000000"/>
                <w:sz w:val="16"/>
                <w:szCs w:val="16"/>
              </w:rPr>
              <w:t>373 596</w:t>
            </w:r>
          </w:p>
        </w:tc>
        <w:tc>
          <w:tcPr>
            <w:tcW w:w="708" w:type="dxa"/>
            <w:tcBorders>
              <w:top w:val="nil"/>
              <w:left w:val="nil"/>
              <w:bottom w:val="single" w:sz="4" w:space="0" w:color="auto"/>
              <w:right w:val="single" w:sz="4" w:space="0" w:color="auto"/>
            </w:tcBorders>
            <w:shd w:val="clear" w:color="000000" w:fill="A9D08E"/>
            <w:noWrap/>
            <w:vAlign w:val="center"/>
            <w:hideMark/>
          </w:tcPr>
          <w:p w:rsidR="00AC0318" w:rsidRDefault="00AC0318">
            <w:pPr>
              <w:jc w:val="right"/>
              <w:rPr>
                <w:rFonts w:ascii="Calibri" w:hAnsi="Calibri" w:cs="Calibri"/>
                <w:b/>
                <w:bCs/>
                <w:color w:val="000000"/>
                <w:sz w:val="16"/>
                <w:szCs w:val="16"/>
              </w:rPr>
            </w:pPr>
            <w:r>
              <w:rPr>
                <w:rFonts w:ascii="Calibri" w:hAnsi="Calibri" w:cs="Calibri"/>
                <w:b/>
                <w:bCs/>
                <w:color w:val="000000"/>
                <w:sz w:val="16"/>
                <w:szCs w:val="16"/>
              </w:rPr>
              <w:t>304 481</w:t>
            </w:r>
          </w:p>
        </w:tc>
        <w:tc>
          <w:tcPr>
            <w:tcW w:w="709" w:type="dxa"/>
            <w:tcBorders>
              <w:top w:val="nil"/>
              <w:left w:val="nil"/>
              <w:bottom w:val="single" w:sz="4" w:space="0" w:color="auto"/>
              <w:right w:val="single" w:sz="4" w:space="0" w:color="auto"/>
            </w:tcBorders>
            <w:shd w:val="clear" w:color="000000" w:fill="A9D08E"/>
            <w:noWrap/>
            <w:vAlign w:val="center"/>
            <w:hideMark/>
          </w:tcPr>
          <w:p w:rsidR="00AC0318" w:rsidRDefault="00AC0318">
            <w:pPr>
              <w:jc w:val="right"/>
              <w:rPr>
                <w:rFonts w:ascii="Calibri" w:hAnsi="Calibri" w:cs="Calibri"/>
                <w:b/>
                <w:bCs/>
                <w:color w:val="000000"/>
                <w:sz w:val="16"/>
                <w:szCs w:val="16"/>
              </w:rPr>
            </w:pPr>
            <w:r>
              <w:rPr>
                <w:rFonts w:ascii="Calibri" w:hAnsi="Calibri" w:cs="Calibri"/>
                <w:b/>
                <w:bCs/>
                <w:color w:val="000000"/>
                <w:sz w:val="16"/>
                <w:szCs w:val="16"/>
              </w:rPr>
              <w:t>234 672</w:t>
            </w:r>
          </w:p>
        </w:tc>
        <w:tc>
          <w:tcPr>
            <w:tcW w:w="709" w:type="dxa"/>
            <w:tcBorders>
              <w:top w:val="nil"/>
              <w:left w:val="nil"/>
              <w:bottom w:val="single" w:sz="4" w:space="0" w:color="auto"/>
              <w:right w:val="single" w:sz="4" w:space="0" w:color="auto"/>
            </w:tcBorders>
            <w:shd w:val="clear" w:color="000000" w:fill="A9D08E"/>
            <w:noWrap/>
            <w:vAlign w:val="center"/>
            <w:hideMark/>
          </w:tcPr>
          <w:p w:rsidR="00AC0318" w:rsidRDefault="00AC0318">
            <w:pPr>
              <w:jc w:val="right"/>
              <w:rPr>
                <w:rFonts w:ascii="Calibri" w:hAnsi="Calibri" w:cs="Calibri"/>
                <w:b/>
                <w:bCs/>
                <w:color w:val="000000"/>
                <w:sz w:val="16"/>
                <w:szCs w:val="16"/>
              </w:rPr>
            </w:pPr>
            <w:r>
              <w:rPr>
                <w:rFonts w:ascii="Calibri" w:hAnsi="Calibri" w:cs="Calibri"/>
                <w:b/>
                <w:bCs/>
                <w:color w:val="000000"/>
                <w:sz w:val="16"/>
                <w:szCs w:val="16"/>
              </w:rPr>
              <w:t>267 943</w:t>
            </w:r>
          </w:p>
        </w:tc>
        <w:tc>
          <w:tcPr>
            <w:tcW w:w="709" w:type="dxa"/>
            <w:tcBorders>
              <w:top w:val="nil"/>
              <w:left w:val="nil"/>
              <w:bottom w:val="single" w:sz="4" w:space="0" w:color="auto"/>
              <w:right w:val="single" w:sz="4" w:space="0" w:color="auto"/>
            </w:tcBorders>
            <w:shd w:val="clear" w:color="000000" w:fill="A9D08E"/>
            <w:noWrap/>
            <w:vAlign w:val="center"/>
            <w:hideMark/>
          </w:tcPr>
          <w:p w:rsidR="00AC0318" w:rsidRDefault="00AC0318">
            <w:pPr>
              <w:jc w:val="right"/>
              <w:rPr>
                <w:rFonts w:ascii="Calibri" w:hAnsi="Calibri" w:cs="Calibri"/>
                <w:b/>
                <w:bCs/>
                <w:color w:val="000000"/>
                <w:sz w:val="16"/>
                <w:szCs w:val="16"/>
              </w:rPr>
            </w:pPr>
            <w:r>
              <w:rPr>
                <w:rFonts w:ascii="Calibri" w:hAnsi="Calibri" w:cs="Calibri"/>
                <w:b/>
                <w:bCs/>
                <w:color w:val="000000"/>
                <w:sz w:val="16"/>
                <w:szCs w:val="16"/>
              </w:rPr>
              <w:t>237 800</w:t>
            </w:r>
          </w:p>
        </w:tc>
      </w:tr>
      <w:tr w:rsidR="00AC0318" w:rsidTr="00AC0318">
        <w:trPr>
          <w:trHeight w:val="300"/>
        </w:trPr>
        <w:tc>
          <w:tcPr>
            <w:tcW w:w="3539" w:type="dxa"/>
            <w:tcBorders>
              <w:top w:val="nil"/>
              <w:left w:val="single" w:sz="4" w:space="0" w:color="auto"/>
              <w:bottom w:val="single" w:sz="4" w:space="0" w:color="auto"/>
              <w:right w:val="single" w:sz="4" w:space="0" w:color="auto"/>
            </w:tcBorders>
            <w:shd w:val="clear" w:color="FDE9D9" w:fill="E2EFDA"/>
            <w:vAlign w:val="center"/>
            <w:hideMark/>
          </w:tcPr>
          <w:p w:rsidR="00AC0318" w:rsidRDefault="00AC0318">
            <w:pPr>
              <w:rPr>
                <w:rFonts w:ascii="Calibri" w:hAnsi="Calibri" w:cs="Calibri"/>
                <w:color w:val="000000"/>
                <w:sz w:val="16"/>
                <w:szCs w:val="16"/>
              </w:rPr>
            </w:pPr>
            <w:r>
              <w:rPr>
                <w:rFonts w:ascii="Calibri" w:hAnsi="Calibri" w:cs="Calibri"/>
                <w:color w:val="000000"/>
                <w:sz w:val="16"/>
                <w:szCs w:val="16"/>
              </w:rPr>
              <w:t>Meziroční změna absolutně</w:t>
            </w:r>
          </w:p>
        </w:tc>
        <w:tc>
          <w:tcPr>
            <w:tcW w:w="851" w:type="dxa"/>
            <w:tcBorders>
              <w:top w:val="nil"/>
              <w:left w:val="nil"/>
              <w:bottom w:val="single" w:sz="4" w:space="0" w:color="auto"/>
              <w:right w:val="single" w:sz="4" w:space="0" w:color="auto"/>
            </w:tcBorders>
            <w:shd w:val="clear" w:color="FDE9D9" w:fill="E2EFDA"/>
            <w:noWrap/>
            <w:vAlign w:val="center"/>
            <w:hideMark/>
          </w:tcPr>
          <w:p w:rsidR="00AC0318" w:rsidRDefault="00AC0318">
            <w:pPr>
              <w:jc w:val="right"/>
              <w:rPr>
                <w:rFonts w:ascii="Calibri" w:hAnsi="Calibri" w:cs="Calibri"/>
                <w:color w:val="000000"/>
                <w:sz w:val="16"/>
                <w:szCs w:val="16"/>
              </w:rPr>
            </w:pPr>
            <w:r>
              <w:rPr>
                <w:rFonts w:ascii="Calibri" w:hAnsi="Calibri" w:cs="Calibri"/>
                <w:color w:val="000000"/>
                <w:sz w:val="16"/>
                <w:szCs w:val="16"/>
              </w:rPr>
              <w:t>-289</w:t>
            </w:r>
          </w:p>
        </w:tc>
        <w:tc>
          <w:tcPr>
            <w:tcW w:w="850" w:type="dxa"/>
            <w:tcBorders>
              <w:top w:val="nil"/>
              <w:left w:val="nil"/>
              <w:bottom w:val="single" w:sz="4" w:space="0" w:color="auto"/>
              <w:right w:val="single" w:sz="4" w:space="0" w:color="auto"/>
            </w:tcBorders>
            <w:shd w:val="clear" w:color="FDE9D9" w:fill="E2EFDA"/>
            <w:noWrap/>
            <w:vAlign w:val="center"/>
            <w:hideMark/>
          </w:tcPr>
          <w:p w:rsidR="00AC0318" w:rsidRDefault="00AC0318">
            <w:pPr>
              <w:jc w:val="right"/>
              <w:rPr>
                <w:rFonts w:ascii="Calibri" w:hAnsi="Calibri" w:cs="Calibri"/>
                <w:color w:val="000000"/>
                <w:sz w:val="16"/>
                <w:szCs w:val="16"/>
              </w:rPr>
            </w:pPr>
            <w:r>
              <w:rPr>
                <w:rFonts w:ascii="Calibri" w:hAnsi="Calibri" w:cs="Calibri"/>
                <w:color w:val="000000"/>
                <w:sz w:val="16"/>
                <w:szCs w:val="16"/>
              </w:rPr>
              <w:t>-26 729</w:t>
            </w:r>
          </w:p>
        </w:tc>
        <w:tc>
          <w:tcPr>
            <w:tcW w:w="709" w:type="dxa"/>
            <w:tcBorders>
              <w:top w:val="nil"/>
              <w:left w:val="nil"/>
              <w:bottom w:val="single" w:sz="4" w:space="0" w:color="auto"/>
              <w:right w:val="single" w:sz="4" w:space="0" w:color="auto"/>
            </w:tcBorders>
            <w:shd w:val="clear" w:color="FDE9D9" w:fill="E2EFDA"/>
            <w:noWrap/>
            <w:vAlign w:val="center"/>
            <w:hideMark/>
          </w:tcPr>
          <w:p w:rsidR="00AC0318" w:rsidRDefault="00AC0318">
            <w:pPr>
              <w:jc w:val="right"/>
              <w:rPr>
                <w:rFonts w:ascii="Calibri" w:hAnsi="Calibri" w:cs="Calibri"/>
                <w:color w:val="000000"/>
                <w:sz w:val="16"/>
                <w:szCs w:val="16"/>
              </w:rPr>
            </w:pPr>
            <w:r>
              <w:rPr>
                <w:rFonts w:ascii="Calibri" w:hAnsi="Calibri" w:cs="Calibri"/>
                <w:color w:val="000000"/>
                <w:sz w:val="16"/>
                <w:szCs w:val="16"/>
              </w:rPr>
              <w:t>97 621</w:t>
            </w:r>
          </w:p>
        </w:tc>
        <w:tc>
          <w:tcPr>
            <w:tcW w:w="709" w:type="dxa"/>
            <w:tcBorders>
              <w:top w:val="nil"/>
              <w:left w:val="nil"/>
              <w:bottom w:val="single" w:sz="4" w:space="0" w:color="auto"/>
              <w:right w:val="single" w:sz="4" w:space="0" w:color="auto"/>
            </w:tcBorders>
            <w:shd w:val="clear" w:color="FDE9D9" w:fill="E2EFDA"/>
            <w:noWrap/>
            <w:vAlign w:val="center"/>
            <w:hideMark/>
          </w:tcPr>
          <w:p w:rsidR="00AC0318" w:rsidRDefault="00AC0318">
            <w:pPr>
              <w:jc w:val="right"/>
              <w:rPr>
                <w:rFonts w:ascii="Calibri" w:hAnsi="Calibri" w:cs="Calibri"/>
                <w:color w:val="000000"/>
                <w:sz w:val="16"/>
                <w:szCs w:val="16"/>
              </w:rPr>
            </w:pPr>
            <w:r>
              <w:rPr>
                <w:rFonts w:ascii="Calibri" w:hAnsi="Calibri" w:cs="Calibri"/>
                <w:color w:val="000000"/>
                <w:sz w:val="16"/>
                <w:szCs w:val="16"/>
              </w:rPr>
              <w:t>116 591</w:t>
            </w:r>
          </w:p>
        </w:tc>
        <w:tc>
          <w:tcPr>
            <w:tcW w:w="708" w:type="dxa"/>
            <w:tcBorders>
              <w:top w:val="nil"/>
              <w:left w:val="nil"/>
              <w:bottom w:val="single" w:sz="4" w:space="0" w:color="auto"/>
              <w:right w:val="single" w:sz="4" w:space="0" w:color="auto"/>
            </w:tcBorders>
            <w:shd w:val="clear" w:color="FDE9D9" w:fill="E2EFDA"/>
            <w:noWrap/>
            <w:vAlign w:val="center"/>
            <w:hideMark/>
          </w:tcPr>
          <w:p w:rsidR="00AC0318" w:rsidRDefault="00AC0318">
            <w:pPr>
              <w:jc w:val="right"/>
              <w:rPr>
                <w:rFonts w:ascii="Calibri" w:hAnsi="Calibri" w:cs="Calibri"/>
                <w:color w:val="000000"/>
                <w:sz w:val="16"/>
                <w:szCs w:val="16"/>
              </w:rPr>
            </w:pPr>
            <w:r>
              <w:rPr>
                <w:rFonts w:ascii="Calibri" w:hAnsi="Calibri" w:cs="Calibri"/>
                <w:color w:val="000000"/>
                <w:sz w:val="16"/>
                <w:szCs w:val="16"/>
              </w:rPr>
              <w:t>-69 116</w:t>
            </w:r>
          </w:p>
        </w:tc>
        <w:tc>
          <w:tcPr>
            <w:tcW w:w="709" w:type="dxa"/>
            <w:tcBorders>
              <w:top w:val="nil"/>
              <w:left w:val="nil"/>
              <w:bottom w:val="single" w:sz="4" w:space="0" w:color="auto"/>
              <w:right w:val="single" w:sz="4" w:space="0" w:color="auto"/>
            </w:tcBorders>
            <w:shd w:val="clear" w:color="FDE9D9" w:fill="E2EFDA"/>
            <w:noWrap/>
            <w:vAlign w:val="center"/>
            <w:hideMark/>
          </w:tcPr>
          <w:p w:rsidR="00AC0318" w:rsidRDefault="00AC0318">
            <w:pPr>
              <w:jc w:val="right"/>
              <w:rPr>
                <w:rFonts w:ascii="Calibri" w:hAnsi="Calibri" w:cs="Calibri"/>
                <w:color w:val="000000"/>
                <w:sz w:val="16"/>
                <w:szCs w:val="16"/>
              </w:rPr>
            </w:pPr>
            <w:r>
              <w:rPr>
                <w:rFonts w:ascii="Calibri" w:hAnsi="Calibri" w:cs="Calibri"/>
                <w:color w:val="000000"/>
                <w:sz w:val="16"/>
                <w:szCs w:val="16"/>
              </w:rPr>
              <w:t>-69 809</w:t>
            </w:r>
          </w:p>
        </w:tc>
        <w:tc>
          <w:tcPr>
            <w:tcW w:w="709" w:type="dxa"/>
            <w:tcBorders>
              <w:top w:val="nil"/>
              <w:left w:val="nil"/>
              <w:bottom w:val="single" w:sz="4" w:space="0" w:color="auto"/>
              <w:right w:val="single" w:sz="4" w:space="0" w:color="auto"/>
            </w:tcBorders>
            <w:shd w:val="clear" w:color="FDE9D9" w:fill="E2EFDA"/>
            <w:noWrap/>
            <w:vAlign w:val="center"/>
            <w:hideMark/>
          </w:tcPr>
          <w:p w:rsidR="00AC0318" w:rsidRDefault="00AC0318">
            <w:pPr>
              <w:jc w:val="right"/>
              <w:rPr>
                <w:rFonts w:ascii="Calibri" w:hAnsi="Calibri" w:cs="Calibri"/>
                <w:color w:val="000000"/>
                <w:sz w:val="16"/>
                <w:szCs w:val="16"/>
              </w:rPr>
            </w:pPr>
            <w:r>
              <w:rPr>
                <w:rFonts w:ascii="Calibri" w:hAnsi="Calibri" w:cs="Calibri"/>
                <w:color w:val="000000"/>
                <w:sz w:val="16"/>
                <w:szCs w:val="16"/>
              </w:rPr>
              <w:t>33 272</w:t>
            </w:r>
          </w:p>
        </w:tc>
        <w:tc>
          <w:tcPr>
            <w:tcW w:w="709" w:type="dxa"/>
            <w:tcBorders>
              <w:top w:val="nil"/>
              <w:left w:val="nil"/>
              <w:bottom w:val="single" w:sz="4" w:space="0" w:color="auto"/>
              <w:right w:val="single" w:sz="4" w:space="0" w:color="auto"/>
            </w:tcBorders>
            <w:shd w:val="clear" w:color="FDE9D9" w:fill="E2EFDA"/>
            <w:noWrap/>
            <w:vAlign w:val="center"/>
            <w:hideMark/>
          </w:tcPr>
          <w:p w:rsidR="00AC0318" w:rsidRDefault="00AC0318">
            <w:pPr>
              <w:jc w:val="right"/>
              <w:rPr>
                <w:rFonts w:ascii="Calibri" w:hAnsi="Calibri" w:cs="Calibri"/>
                <w:color w:val="000000"/>
                <w:sz w:val="16"/>
                <w:szCs w:val="16"/>
              </w:rPr>
            </w:pPr>
            <w:r>
              <w:rPr>
                <w:rFonts w:ascii="Calibri" w:hAnsi="Calibri" w:cs="Calibri"/>
                <w:color w:val="000000"/>
                <w:sz w:val="16"/>
                <w:szCs w:val="16"/>
              </w:rPr>
              <w:t>-30 143</w:t>
            </w:r>
          </w:p>
        </w:tc>
      </w:tr>
      <w:tr w:rsidR="00AC0318" w:rsidTr="00AC0318">
        <w:trPr>
          <w:trHeight w:val="300"/>
        </w:trPr>
        <w:tc>
          <w:tcPr>
            <w:tcW w:w="3539" w:type="dxa"/>
            <w:tcBorders>
              <w:top w:val="nil"/>
              <w:left w:val="single" w:sz="4" w:space="0" w:color="auto"/>
              <w:bottom w:val="single" w:sz="4" w:space="0" w:color="auto"/>
              <w:right w:val="single" w:sz="4" w:space="0" w:color="auto"/>
            </w:tcBorders>
            <w:shd w:val="clear" w:color="FDE9D9" w:fill="E2EFDA"/>
            <w:vAlign w:val="center"/>
            <w:hideMark/>
          </w:tcPr>
          <w:p w:rsidR="00AC0318" w:rsidRDefault="00AC0318">
            <w:pPr>
              <w:rPr>
                <w:rFonts w:ascii="Calibri" w:hAnsi="Calibri" w:cs="Calibri"/>
                <w:color w:val="000000"/>
                <w:sz w:val="16"/>
                <w:szCs w:val="16"/>
              </w:rPr>
            </w:pPr>
            <w:r>
              <w:rPr>
                <w:rFonts w:ascii="Calibri" w:hAnsi="Calibri" w:cs="Calibri"/>
                <w:color w:val="000000"/>
                <w:sz w:val="16"/>
                <w:szCs w:val="16"/>
              </w:rPr>
              <w:t>Meziroční změna procentuálně</w:t>
            </w:r>
          </w:p>
        </w:tc>
        <w:tc>
          <w:tcPr>
            <w:tcW w:w="851" w:type="dxa"/>
            <w:tcBorders>
              <w:top w:val="nil"/>
              <w:left w:val="nil"/>
              <w:bottom w:val="single" w:sz="4" w:space="0" w:color="auto"/>
              <w:right w:val="single" w:sz="4" w:space="0" w:color="auto"/>
            </w:tcBorders>
            <w:shd w:val="clear" w:color="FDE9D9" w:fill="E2EFDA"/>
            <w:noWrap/>
            <w:vAlign w:val="center"/>
            <w:hideMark/>
          </w:tcPr>
          <w:p w:rsidR="00AC0318" w:rsidRDefault="00AC0318">
            <w:pPr>
              <w:jc w:val="right"/>
              <w:rPr>
                <w:rFonts w:ascii="Calibri" w:hAnsi="Calibri" w:cs="Calibri"/>
                <w:color w:val="000000"/>
                <w:sz w:val="16"/>
                <w:szCs w:val="16"/>
              </w:rPr>
            </w:pPr>
            <w:r>
              <w:rPr>
                <w:rFonts w:ascii="Calibri" w:hAnsi="Calibri" w:cs="Calibri"/>
                <w:color w:val="000000"/>
                <w:sz w:val="16"/>
                <w:szCs w:val="16"/>
              </w:rPr>
              <w:t>0 %</w:t>
            </w:r>
          </w:p>
        </w:tc>
        <w:tc>
          <w:tcPr>
            <w:tcW w:w="850" w:type="dxa"/>
            <w:tcBorders>
              <w:top w:val="nil"/>
              <w:left w:val="nil"/>
              <w:bottom w:val="single" w:sz="4" w:space="0" w:color="auto"/>
              <w:right w:val="single" w:sz="4" w:space="0" w:color="auto"/>
            </w:tcBorders>
            <w:shd w:val="clear" w:color="FDE9D9" w:fill="E2EFDA"/>
            <w:noWrap/>
            <w:vAlign w:val="center"/>
            <w:hideMark/>
          </w:tcPr>
          <w:p w:rsidR="00AC0318" w:rsidRDefault="00AC0318">
            <w:pPr>
              <w:jc w:val="right"/>
              <w:rPr>
                <w:rFonts w:ascii="Calibri" w:hAnsi="Calibri" w:cs="Calibri"/>
                <w:color w:val="000000"/>
                <w:sz w:val="16"/>
                <w:szCs w:val="16"/>
              </w:rPr>
            </w:pPr>
            <w:r>
              <w:rPr>
                <w:rFonts w:ascii="Calibri" w:hAnsi="Calibri" w:cs="Calibri"/>
                <w:color w:val="000000"/>
                <w:sz w:val="16"/>
                <w:szCs w:val="16"/>
              </w:rPr>
              <w:t>-14 %</w:t>
            </w:r>
          </w:p>
        </w:tc>
        <w:tc>
          <w:tcPr>
            <w:tcW w:w="709" w:type="dxa"/>
            <w:tcBorders>
              <w:top w:val="nil"/>
              <w:left w:val="nil"/>
              <w:bottom w:val="single" w:sz="4" w:space="0" w:color="auto"/>
              <w:right w:val="single" w:sz="4" w:space="0" w:color="auto"/>
            </w:tcBorders>
            <w:shd w:val="clear" w:color="FDE9D9" w:fill="E2EFDA"/>
            <w:noWrap/>
            <w:vAlign w:val="center"/>
            <w:hideMark/>
          </w:tcPr>
          <w:p w:rsidR="00AC0318" w:rsidRDefault="00AC0318">
            <w:pPr>
              <w:jc w:val="right"/>
              <w:rPr>
                <w:rFonts w:ascii="Calibri" w:hAnsi="Calibri" w:cs="Calibri"/>
                <w:color w:val="000000"/>
                <w:sz w:val="16"/>
                <w:szCs w:val="16"/>
              </w:rPr>
            </w:pPr>
            <w:r>
              <w:rPr>
                <w:rFonts w:ascii="Calibri" w:hAnsi="Calibri" w:cs="Calibri"/>
                <w:color w:val="000000"/>
                <w:sz w:val="16"/>
                <w:szCs w:val="16"/>
              </w:rPr>
              <w:t>61 %</w:t>
            </w:r>
          </w:p>
        </w:tc>
        <w:tc>
          <w:tcPr>
            <w:tcW w:w="709" w:type="dxa"/>
            <w:tcBorders>
              <w:top w:val="nil"/>
              <w:left w:val="nil"/>
              <w:bottom w:val="single" w:sz="4" w:space="0" w:color="auto"/>
              <w:right w:val="single" w:sz="4" w:space="0" w:color="auto"/>
            </w:tcBorders>
            <w:shd w:val="clear" w:color="FDE9D9" w:fill="E2EFDA"/>
            <w:noWrap/>
            <w:vAlign w:val="center"/>
            <w:hideMark/>
          </w:tcPr>
          <w:p w:rsidR="00AC0318" w:rsidRDefault="00AC0318">
            <w:pPr>
              <w:jc w:val="right"/>
              <w:rPr>
                <w:rFonts w:ascii="Calibri" w:hAnsi="Calibri" w:cs="Calibri"/>
                <w:color w:val="000000"/>
                <w:sz w:val="16"/>
                <w:szCs w:val="16"/>
              </w:rPr>
            </w:pPr>
            <w:r>
              <w:rPr>
                <w:rFonts w:ascii="Calibri" w:hAnsi="Calibri" w:cs="Calibri"/>
                <w:color w:val="000000"/>
                <w:sz w:val="16"/>
                <w:szCs w:val="16"/>
              </w:rPr>
              <w:t>45 %</w:t>
            </w:r>
          </w:p>
        </w:tc>
        <w:tc>
          <w:tcPr>
            <w:tcW w:w="708" w:type="dxa"/>
            <w:tcBorders>
              <w:top w:val="nil"/>
              <w:left w:val="nil"/>
              <w:bottom w:val="single" w:sz="4" w:space="0" w:color="auto"/>
              <w:right w:val="single" w:sz="4" w:space="0" w:color="auto"/>
            </w:tcBorders>
            <w:shd w:val="clear" w:color="FDE9D9" w:fill="E2EFDA"/>
            <w:noWrap/>
            <w:vAlign w:val="center"/>
            <w:hideMark/>
          </w:tcPr>
          <w:p w:rsidR="00AC0318" w:rsidRDefault="00AC0318">
            <w:pPr>
              <w:jc w:val="right"/>
              <w:rPr>
                <w:rFonts w:ascii="Calibri" w:hAnsi="Calibri" w:cs="Calibri"/>
                <w:color w:val="000000"/>
                <w:sz w:val="16"/>
                <w:szCs w:val="16"/>
              </w:rPr>
            </w:pPr>
            <w:r>
              <w:rPr>
                <w:rFonts w:ascii="Calibri" w:hAnsi="Calibri" w:cs="Calibri"/>
                <w:color w:val="000000"/>
                <w:sz w:val="16"/>
                <w:szCs w:val="16"/>
              </w:rPr>
              <w:t>-19 %</w:t>
            </w:r>
          </w:p>
        </w:tc>
        <w:tc>
          <w:tcPr>
            <w:tcW w:w="709" w:type="dxa"/>
            <w:tcBorders>
              <w:top w:val="nil"/>
              <w:left w:val="nil"/>
              <w:bottom w:val="single" w:sz="4" w:space="0" w:color="auto"/>
              <w:right w:val="single" w:sz="4" w:space="0" w:color="auto"/>
            </w:tcBorders>
            <w:shd w:val="clear" w:color="FDE9D9" w:fill="E2EFDA"/>
            <w:noWrap/>
            <w:vAlign w:val="center"/>
            <w:hideMark/>
          </w:tcPr>
          <w:p w:rsidR="00AC0318" w:rsidRDefault="00AC0318">
            <w:pPr>
              <w:jc w:val="right"/>
              <w:rPr>
                <w:rFonts w:ascii="Calibri" w:hAnsi="Calibri" w:cs="Calibri"/>
                <w:color w:val="000000"/>
                <w:sz w:val="16"/>
                <w:szCs w:val="16"/>
              </w:rPr>
            </w:pPr>
            <w:r>
              <w:rPr>
                <w:rFonts w:ascii="Calibri" w:hAnsi="Calibri" w:cs="Calibri"/>
                <w:color w:val="000000"/>
                <w:sz w:val="16"/>
                <w:szCs w:val="16"/>
              </w:rPr>
              <w:t>-23 %</w:t>
            </w:r>
          </w:p>
        </w:tc>
        <w:tc>
          <w:tcPr>
            <w:tcW w:w="709" w:type="dxa"/>
            <w:tcBorders>
              <w:top w:val="nil"/>
              <w:left w:val="nil"/>
              <w:bottom w:val="single" w:sz="4" w:space="0" w:color="auto"/>
              <w:right w:val="single" w:sz="4" w:space="0" w:color="auto"/>
            </w:tcBorders>
            <w:shd w:val="clear" w:color="FDE9D9" w:fill="E2EFDA"/>
            <w:noWrap/>
            <w:vAlign w:val="center"/>
            <w:hideMark/>
          </w:tcPr>
          <w:p w:rsidR="00AC0318" w:rsidRDefault="00AC0318">
            <w:pPr>
              <w:jc w:val="right"/>
              <w:rPr>
                <w:rFonts w:ascii="Calibri" w:hAnsi="Calibri" w:cs="Calibri"/>
                <w:color w:val="000000"/>
                <w:sz w:val="16"/>
                <w:szCs w:val="16"/>
              </w:rPr>
            </w:pPr>
            <w:r>
              <w:rPr>
                <w:rFonts w:ascii="Calibri" w:hAnsi="Calibri" w:cs="Calibri"/>
                <w:color w:val="000000"/>
                <w:sz w:val="16"/>
                <w:szCs w:val="16"/>
              </w:rPr>
              <w:t>14 %</w:t>
            </w:r>
          </w:p>
        </w:tc>
        <w:tc>
          <w:tcPr>
            <w:tcW w:w="709" w:type="dxa"/>
            <w:tcBorders>
              <w:top w:val="nil"/>
              <w:left w:val="nil"/>
              <w:bottom w:val="single" w:sz="4" w:space="0" w:color="auto"/>
              <w:right w:val="single" w:sz="4" w:space="0" w:color="auto"/>
            </w:tcBorders>
            <w:shd w:val="clear" w:color="FDE9D9" w:fill="E2EFDA"/>
            <w:noWrap/>
            <w:vAlign w:val="center"/>
            <w:hideMark/>
          </w:tcPr>
          <w:p w:rsidR="00AC0318" w:rsidRDefault="00AC0318">
            <w:pPr>
              <w:jc w:val="right"/>
              <w:rPr>
                <w:rFonts w:ascii="Calibri" w:hAnsi="Calibri" w:cs="Calibri"/>
                <w:color w:val="000000"/>
                <w:sz w:val="16"/>
                <w:szCs w:val="16"/>
              </w:rPr>
            </w:pPr>
            <w:r>
              <w:rPr>
                <w:rFonts w:ascii="Calibri" w:hAnsi="Calibri" w:cs="Calibri"/>
                <w:color w:val="000000"/>
                <w:sz w:val="16"/>
                <w:szCs w:val="16"/>
              </w:rPr>
              <w:t>-11 %</w:t>
            </w:r>
          </w:p>
        </w:tc>
      </w:tr>
      <w:tr w:rsidR="00AC0318" w:rsidTr="00AC0318">
        <w:trPr>
          <w:trHeight w:val="304"/>
        </w:trPr>
        <w:tc>
          <w:tcPr>
            <w:tcW w:w="3539" w:type="dxa"/>
            <w:tcBorders>
              <w:top w:val="nil"/>
              <w:left w:val="single" w:sz="4" w:space="0" w:color="auto"/>
              <w:bottom w:val="single" w:sz="4" w:space="0" w:color="auto"/>
              <w:right w:val="single" w:sz="4" w:space="0" w:color="auto"/>
            </w:tcBorders>
            <w:shd w:val="clear" w:color="FDE9D9" w:fill="E2EFDA"/>
            <w:vAlign w:val="center"/>
            <w:hideMark/>
          </w:tcPr>
          <w:p w:rsidR="00AC0318" w:rsidRDefault="00AC0318">
            <w:pPr>
              <w:rPr>
                <w:rFonts w:ascii="Calibri" w:hAnsi="Calibri" w:cs="Calibri"/>
                <w:color w:val="000000"/>
                <w:sz w:val="16"/>
                <w:szCs w:val="16"/>
              </w:rPr>
            </w:pPr>
            <w:r>
              <w:rPr>
                <w:rFonts w:ascii="Calibri" w:hAnsi="Calibri" w:cs="Calibri"/>
                <w:color w:val="000000"/>
                <w:sz w:val="16"/>
                <w:szCs w:val="16"/>
              </w:rPr>
              <w:t>Podíl kapitálových výdajů na celkových výdajích</w:t>
            </w:r>
          </w:p>
        </w:tc>
        <w:tc>
          <w:tcPr>
            <w:tcW w:w="851" w:type="dxa"/>
            <w:tcBorders>
              <w:top w:val="nil"/>
              <w:left w:val="nil"/>
              <w:bottom w:val="single" w:sz="4" w:space="0" w:color="auto"/>
              <w:right w:val="single" w:sz="4" w:space="0" w:color="auto"/>
            </w:tcBorders>
            <w:shd w:val="clear" w:color="FDE9D9" w:fill="E2EFDA"/>
            <w:noWrap/>
            <w:vAlign w:val="center"/>
            <w:hideMark/>
          </w:tcPr>
          <w:p w:rsidR="00AC0318" w:rsidRDefault="00AC0318">
            <w:pPr>
              <w:jc w:val="right"/>
              <w:rPr>
                <w:rFonts w:ascii="Calibri" w:hAnsi="Calibri" w:cs="Calibri"/>
                <w:color w:val="000000"/>
                <w:sz w:val="16"/>
                <w:szCs w:val="16"/>
              </w:rPr>
            </w:pPr>
            <w:r>
              <w:rPr>
                <w:rFonts w:ascii="Calibri" w:hAnsi="Calibri" w:cs="Calibri"/>
                <w:color w:val="000000"/>
                <w:sz w:val="16"/>
                <w:szCs w:val="16"/>
              </w:rPr>
              <w:t>23 %</w:t>
            </w:r>
          </w:p>
        </w:tc>
        <w:tc>
          <w:tcPr>
            <w:tcW w:w="850" w:type="dxa"/>
            <w:tcBorders>
              <w:top w:val="nil"/>
              <w:left w:val="nil"/>
              <w:bottom w:val="single" w:sz="4" w:space="0" w:color="auto"/>
              <w:right w:val="single" w:sz="4" w:space="0" w:color="auto"/>
            </w:tcBorders>
            <w:shd w:val="clear" w:color="FDE9D9" w:fill="E2EFDA"/>
            <w:noWrap/>
            <w:vAlign w:val="center"/>
            <w:hideMark/>
          </w:tcPr>
          <w:p w:rsidR="00AC0318" w:rsidRDefault="00AC0318">
            <w:pPr>
              <w:jc w:val="right"/>
              <w:rPr>
                <w:rFonts w:ascii="Calibri" w:hAnsi="Calibri" w:cs="Calibri"/>
                <w:color w:val="000000"/>
                <w:sz w:val="16"/>
                <w:szCs w:val="16"/>
              </w:rPr>
            </w:pPr>
            <w:r>
              <w:rPr>
                <w:rFonts w:ascii="Calibri" w:hAnsi="Calibri" w:cs="Calibri"/>
                <w:color w:val="000000"/>
                <w:sz w:val="16"/>
                <w:szCs w:val="16"/>
              </w:rPr>
              <w:t>19 %</w:t>
            </w:r>
          </w:p>
        </w:tc>
        <w:tc>
          <w:tcPr>
            <w:tcW w:w="709" w:type="dxa"/>
            <w:tcBorders>
              <w:top w:val="nil"/>
              <w:left w:val="nil"/>
              <w:bottom w:val="single" w:sz="4" w:space="0" w:color="auto"/>
              <w:right w:val="single" w:sz="4" w:space="0" w:color="auto"/>
            </w:tcBorders>
            <w:shd w:val="clear" w:color="FDE9D9" w:fill="E2EFDA"/>
            <w:noWrap/>
            <w:vAlign w:val="center"/>
            <w:hideMark/>
          </w:tcPr>
          <w:p w:rsidR="00AC0318" w:rsidRDefault="00AC0318">
            <w:pPr>
              <w:jc w:val="right"/>
              <w:rPr>
                <w:rFonts w:ascii="Calibri" w:hAnsi="Calibri" w:cs="Calibri"/>
                <w:color w:val="000000"/>
                <w:sz w:val="16"/>
                <w:szCs w:val="16"/>
              </w:rPr>
            </w:pPr>
            <w:r>
              <w:rPr>
                <w:rFonts w:ascii="Calibri" w:hAnsi="Calibri" w:cs="Calibri"/>
                <w:color w:val="000000"/>
                <w:sz w:val="16"/>
                <w:szCs w:val="16"/>
              </w:rPr>
              <w:t>27 %</w:t>
            </w:r>
          </w:p>
        </w:tc>
        <w:tc>
          <w:tcPr>
            <w:tcW w:w="709" w:type="dxa"/>
            <w:tcBorders>
              <w:top w:val="nil"/>
              <w:left w:val="nil"/>
              <w:bottom w:val="single" w:sz="4" w:space="0" w:color="auto"/>
              <w:right w:val="single" w:sz="4" w:space="0" w:color="auto"/>
            </w:tcBorders>
            <w:shd w:val="clear" w:color="FDE9D9" w:fill="E2EFDA"/>
            <w:noWrap/>
            <w:vAlign w:val="center"/>
            <w:hideMark/>
          </w:tcPr>
          <w:p w:rsidR="00AC0318" w:rsidRDefault="00AC0318">
            <w:pPr>
              <w:jc w:val="right"/>
              <w:rPr>
                <w:rFonts w:ascii="Calibri" w:hAnsi="Calibri" w:cs="Calibri"/>
                <w:color w:val="000000"/>
                <w:sz w:val="16"/>
                <w:szCs w:val="16"/>
              </w:rPr>
            </w:pPr>
            <w:r>
              <w:rPr>
                <w:rFonts w:ascii="Calibri" w:hAnsi="Calibri" w:cs="Calibri"/>
                <w:color w:val="000000"/>
                <w:sz w:val="16"/>
                <w:szCs w:val="16"/>
              </w:rPr>
              <w:t>33 %</w:t>
            </w:r>
          </w:p>
        </w:tc>
        <w:tc>
          <w:tcPr>
            <w:tcW w:w="708" w:type="dxa"/>
            <w:tcBorders>
              <w:top w:val="nil"/>
              <w:left w:val="nil"/>
              <w:bottom w:val="single" w:sz="4" w:space="0" w:color="auto"/>
              <w:right w:val="single" w:sz="4" w:space="0" w:color="auto"/>
            </w:tcBorders>
            <w:shd w:val="clear" w:color="FDE9D9" w:fill="E2EFDA"/>
            <w:noWrap/>
            <w:vAlign w:val="center"/>
            <w:hideMark/>
          </w:tcPr>
          <w:p w:rsidR="00AC0318" w:rsidRDefault="00AC0318">
            <w:pPr>
              <w:jc w:val="right"/>
              <w:rPr>
                <w:rFonts w:ascii="Calibri" w:hAnsi="Calibri" w:cs="Calibri"/>
                <w:color w:val="000000"/>
                <w:sz w:val="16"/>
                <w:szCs w:val="16"/>
              </w:rPr>
            </w:pPr>
            <w:r>
              <w:rPr>
                <w:rFonts w:ascii="Calibri" w:hAnsi="Calibri" w:cs="Calibri"/>
                <w:color w:val="000000"/>
                <w:sz w:val="16"/>
                <w:szCs w:val="16"/>
              </w:rPr>
              <w:t>26 %</w:t>
            </w:r>
          </w:p>
        </w:tc>
        <w:tc>
          <w:tcPr>
            <w:tcW w:w="709" w:type="dxa"/>
            <w:tcBorders>
              <w:top w:val="nil"/>
              <w:left w:val="nil"/>
              <w:bottom w:val="single" w:sz="4" w:space="0" w:color="auto"/>
              <w:right w:val="single" w:sz="4" w:space="0" w:color="auto"/>
            </w:tcBorders>
            <w:shd w:val="clear" w:color="FDE9D9" w:fill="E2EFDA"/>
            <w:noWrap/>
            <w:vAlign w:val="center"/>
            <w:hideMark/>
          </w:tcPr>
          <w:p w:rsidR="00AC0318" w:rsidRDefault="00AC0318">
            <w:pPr>
              <w:jc w:val="right"/>
              <w:rPr>
                <w:rFonts w:ascii="Calibri" w:hAnsi="Calibri" w:cs="Calibri"/>
                <w:color w:val="000000"/>
                <w:sz w:val="16"/>
                <w:szCs w:val="16"/>
              </w:rPr>
            </w:pPr>
            <w:r>
              <w:rPr>
                <w:rFonts w:ascii="Calibri" w:hAnsi="Calibri" w:cs="Calibri"/>
                <w:color w:val="000000"/>
                <w:sz w:val="16"/>
                <w:szCs w:val="16"/>
              </w:rPr>
              <w:t>22 %</w:t>
            </w:r>
          </w:p>
        </w:tc>
        <w:tc>
          <w:tcPr>
            <w:tcW w:w="709" w:type="dxa"/>
            <w:tcBorders>
              <w:top w:val="nil"/>
              <w:left w:val="nil"/>
              <w:bottom w:val="single" w:sz="4" w:space="0" w:color="auto"/>
              <w:right w:val="single" w:sz="4" w:space="0" w:color="auto"/>
            </w:tcBorders>
            <w:shd w:val="clear" w:color="FDE9D9" w:fill="E2EFDA"/>
            <w:noWrap/>
            <w:vAlign w:val="center"/>
            <w:hideMark/>
          </w:tcPr>
          <w:p w:rsidR="00AC0318" w:rsidRDefault="00AC0318">
            <w:pPr>
              <w:jc w:val="right"/>
              <w:rPr>
                <w:rFonts w:ascii="Calibri" w:hAnsi="Calibri" w:cs="Calibri"/>
                <w:color w:val="000000"/>
                <w:sz w:val="16"/>
                <w:szCs w:val="16"/>
              </w:rPr>
            </w:pPr>
            <w:r>
              <w:rPr>
                <w:rFonts w:ascii="Calibri" w:hAnsi="Calibri" w:cs="Calibri"/>
                <w:color w:val="000000"/>
                <w:sz w:val="16"/>
                <w:szCs w:val="16"/>
              </w:rPr>
              <w:t>24 %</w:t>
            </w:r>
          </w:p>
        </w:tc>
        <w:tc>
          <w:tcPr>
            <w:tcW w:w="709" w:type="dxa"/>
            <w:tcBorders>
              <w:top w:val="nil"/>
              <w:left w:val="nil"/>
              <w:bottom w:val="single" w:sz="4" w:space="0" w:color="auto"/>
              <w:right w:val="single" w:sz="4" w:space="0" w:color="auto"/>
            </w:tcBorders>
            <w:shd w:val="clear" w:color="FDE9D9" w:fill="E2EFDA"/>
            <w:noWrap/>
            <w:vAlign w:val="center"/>
            <w:hideMark/>
          </w:tcPr>
          <w:p w:rsidR="00AC0318" w:rsidRDefault="00AC0318">
            <w:pPr>
              <w:jc w:val="right"/>
              <w:rPr>
                <w:rFonts w:ascii="Calibri" w:hAnsi="Calibri" w:cs="Calibri"/>
                <w:color w:val="000000"/>
                <w:sz w:val="16"/>
                <w:szCs w:val="16"/>
              </w:rPr>
            </w:pPr>
            <w:r>
              <w:rPr>
                <w:rFonts w:ascii="Calibri" w:hAnsi="Calibri" w:cs="Calibri"/>
                <w:color w:val="000000"/>
                <w:sz w:val="16"/>
                <w:szCs w:val="16"/>
              </w:rPr>
              <w:t>21 %</w:t>
            </w:r>
          </w:p>
        </w:tc>
      </w:tr>
    </w:tbl>
    <w:p w:rsidR="007E68C9" w:rsidRDefault="007E68C9" w:rsidP="00CC2F64">
      <w:pPr>
        <w:jc w:val="center"/>
      </w:pPr>
    </w:p>
    <w:p w:rsidR="00AC0318" w:rsidRDefault="00AC0318" w:rsidP="00CC2F64">
      <w:pPr>
        <w:jc w:val="center"/>
      </w:pPr>
    </w:p>
    <w:p w:rsidR="00FE2727" w:rsidRPr="007E68C9" w:rsidRDefault="00FE2727" w:rsidP="007E68C9"/>
    <w:p w:rsidR="000E3373" w:rsidRDefault="000E3373" w:rsidP="00FE2727">
      <w:pPr>
        <w:jc w:val="center"/>
      </w:pPr>
    </w:p>
    <w:p w:rsidR="008D1008" w:rsidRDefault="008D1008" w:rsidP="008D1008">
      <w:pPr>
        <w:jc w:val="both"/>
        <w:rPr>
          <w:rFonts w:asciiTheme="minorHAnsi" w:hAnsiTheme="minorHAnsi" w:cstheme="minorHAnsi"/>
        </w:rPr>
      </w:pPr>
    </w:p>
    <w:p w:rsidR="008D1008" w:rsidRDefault="008D1008" w:rsidP="008D1008">
      <w:pPr>
        <w:jc w:val="both"/>
        <w:rPr>
          <w:rFonts w:asciiTheme="minorHAnsi" w:hAnsiTheme="minorHAnsi" w:cstheme="minorHAnsi"/>
        </w:rPr>
      </w:pPr>
    </w:p>
    <w:p w:rsidR="008E1A8F" w:rsidRDefault="008E1A8F" w:rsidP="008E1A8F">
      <w:pPr>
        <w:spacing w:after="120"/>
        <w:rPr>
          <w:rFonts w:ascii="Calibri" w:hAnsi="Calibri" w:cs="Arial"/>
          <w:sz w:val="20"/>
          <w:szCs w:val="20"/>
        </w:rPr>
      </w:pPr>
    </w:p>
    <w:p w:rsidR="00223D5A" w:rsidRPr="008B7E0F" w:rsidRDefault="00223D5A" w:rsidP="00FE2DDF">
      <w:pPr>
        <w:pStyle w:val="Nadpis2"/>
        <w:keepLines/>
      </w:pPr>
      <w:r w:rsidRPr="008B7E0F">
        <w:t>Investiční nákupy a související výdaje</w:t>
      </w:r>
    </w:p>
    <w:p w:rsidR="00F275B9" w:rsidRPr="00CC2F64" w:rsidRDefault="00F275B9" w:rsidP="00F275B9">
      <w:pPr>
        <w:pStyle w:val="Nadpis3"/>
        <w:rPr>
          <w:color w:val="A6A6A6" w:themeColor="background1" w:themeShade="A6"/>
        </w:rPr>
      </w:pPr>
      <w:r w:rsidRPr="008B7E0F">
        <w:t>Stavební investice (</w:t>
      </w:r>
      <w:r w:rsidR="00083F1B">
        <w:t>212,84</w:t>
      </w:r>
      <w:r w:rsidRPr="008B7E0F">
        <w:t xml:space="preserve"> mil. Kč)</w:t>
      </w:r>
    </w:p>
    <w:p w:rsidR="0052398D" w:rsidRDefault="00776B82" w:rsidP="00FE2DDF">
      <w:pPr>
        <w:keepNext/>
        <w:keepLines/>
        <w:jc w:val="both"/>
        <w:rPr>
          <w:rFonts w:asciiTheme="minorHAnsi" w:hAnsiTheme="minorHAnsi" w:cstheme="minorHAnsi"/>
          <w:sz w:val="22"/>
          <w:szCs w:val="22"/>
        </w:rPr>
      </w:pPr>
      <w:r w:rsidRPr="008B7E0F">
        <w:rPr>
          <w:rFonts w:asciiTheme="minorHAnsi" w:hAnsiTheme="minorHAnsi" w:cstheme="minorHAnsi"/>
          <w:sz w:val="22"/>
          <w:szCs w:val="22"/>
        </w:rPr>
        <w:t xml:space="preserve">Město </w:t>
      </w:r>
      <w:r w:rsidR="00B37A6E" w:rsidRPr="008B7E0F">
        <w:rPr>
          <w:rFonts w:asciiTheme="minorHAnsi" w:hAnsiTheme="minorHAnsi" w:cstheme="minorHAnsi"/>
          <w:sz w:val="22"/>
          <w:szCs w:val="22"/>
        </w:rPr>
        <w:t>Prostějov realizovalo v roce 202</w:t>
      </w:r>
      <w:r w:rsidR="00083F1B">
        <w:rPr>
          <w:rFonts w:asciiTheme="minorHAnsi" w:hAnsiTheme="minorHAnsi" w:cstheme="minorHAnsi"/>
          <w:sz w:val="22"/>
          <w:szCs w:val="22"/>
        </w:rPr>
        <w:t>2</w:t>
      </w:r>
      <w:r w:rsidRPr="008B7E0F">
        <w:rPr>
          <w:rFonts w:asciiTheme="minorHAnsi" w:hAnsiTheme="minorHAnsi" w:cstheme="minorHAnsi"/>
          <w:sz w:val="22"/>
          <w:szCs w:val="22"/>
        </w:rPr>
        <w:t xml:space="preserve"> </w:t>
      </w:r>
      <w:r w:rsidRPr="008B7E0F">
        <w:rPr>
          <w:rFonts w:asciiTheme="minorHAnsi" w:hAnsiTheme="minorHAnsi" w:cstheme="minorHAnsi"/>
          <w:sz w:val="22"/>
          <w:szCs w:val="22"/>
          <w:u w:val="single"/>
        </w:rPr>
        <w:t>stavební investice</w:t>
      </w:r>
      <w:r w:rsidRPr="008B7E0F">
        <w:rPr>
          <w:rFonts w:asciiTheme="minorHAnsi" w:hAnsiTheme="minorHAnsi" w:cstheme="minorHAnsi"/>
          <w:sz w:val="22"/>
          <w:szCs w:val="22"/>
        </w:rPr>
        <w:t xml:space="preserve"> v celkové výši </w:t>
      </w:r>
      <w:r w:rsidR="00083F1B">
        <w:rPr>
          <w:rFonts w:asciiTheme="minorHAnsi" w:hAnsiTheme="minorHAnsi" w:cstheme="minorHAnsi"/>
          <w:sz w:val="22"/>
          <w:szCs w:val="22"/>
        </w:rPr>
        <w:t>212,84</w:t>
      </w:r>
      <w:r w:rsidRPr="008B7E0F">
        <w:rPr>
          <w:rFonts w:asciiTheme="minorHAnsi" w:hAnsiTheme="minorHAnsi" w:cstheme="minorHAnsi"/>
          <w:sz w:val="22"/>
          <w:szCs w:val="22"/>
        </w:rPr>
        <w:t xml:space="preserve"> mil. K</w:t>
      </w:r>
      <w:r w:rsidR="008B7E0F">
        <w:rPr>
          <w:rFonts w:asciiTheme="minorHAnsi" w:hAnsiTheme="minorHAnsi" w:cstheme="minorHAnsi"/>
          <w:sz w:val="22"/>
          <w:szCs w:val="22"/>
        </w:rPr>
        <w:t xml:space="preserve">č. </w:t>
      </w:r>
      <w:r w:rsidR="00784202" w:rsidRPr="008B7E0F">
        <w:rPr>
          <w:rFonts w:asciiTheme="minorHAnsi" w:hAnsiTheme="minorHAnsi" w:cstheme="minorHAnsi"/>
          <w:sz w:val="22"/>
          <w:szCs w:val="22"/>
        </w:rPr>
        <w:t xml:space="preserve">To je o </w:t>
      </w:r>
      <w:r w:rsidR="00083F1B">
        <w:rPr>
          <w:rFonts w:asciiTheme="minorHAnsi" w:hAnsiTheme="minorHAnsi" w:cstheme="minorHAnsi"/>
          <w:sz w:val="22"/>
          <w:szCs w:val="22"/>
        </w:rPr>
        <w:t>5,9</w:t>
      </w:r>
      <w:r w:rsidR="00784202" w:rsidRPr="008B7E0F">
        <w:rPr>
          <w:rFonts w:asciiTheme="minorHAnsi" w:hAnsiTheme="minorHAnsi" w:cstheme="minorHAnsi"/>
          <w:sz w:val="22"/>
          <w:szCs w:val="22"/>
        </w:rPr>
        <w:t> mil. </w:t>
      </w:r>
      <w:r w:rsidR="008C4193" w:rsidRPr="008B7E0F">
        <w:rPr>
          <w:rFonts w:asciiTheme="minorHAnsi" w:hAnsiTheme="minorHAnsi" w:cstheme="minorHAnsi"/>
          <w:sz w:val="22"/>
          <w:szCs w:val="22"/>
        </w:rPr>
        <w:t xml:space="preserve">Kč </w:t>
      </w:r>
      <w:r w:rsidR="004F1D71">
        <w:rPr>
          <w:rFonts w:asciiTheme="minorHAnsi" w:hAnsiTheme="minorHAnsi" w:cstheme="minorHAnsi"/>
          <w:sz w:val="22"/>
          <w:szCs w:val="22"/>
        </w:rPr>
        <w:t>více</w:t>
      </w:r>
      <w:r w:rsidR="008F295A" w:rsidRPr="008B7E0F">
        <w:rPr>
          <w:rFonts w:asciiTheme="minorHAnsi" w:hAnsiTheme="minorHAnsi" w:cstheme="minorHAnsi"/>
          <w:sz w:val="22"/>
          <w:szCs w:val="22"/>
        </w:rPr>
        <w:t xml:space="preserve"> </w:t>
      </w:r>
      <w:r w:rsidR="008C4193" w:rsidRPr="008B7E0F">
        <w:rPr>
          <w:rFonts w:asciiTheme="minorHAnsi" w:hAnsiTheme="minorHAnsi" w:cstheme="minorHAnsi"/>
          <w:sz w:val="22"/>
          <w:szCs w:val="22"/>
        </w:rPr>
        <w:t>než v loňském roce.</w:t>
      </w:r>
    </w:p>
    <w:p w:rsidR="00784202" w:rsidRPr="00CC2F64" w:rsidRDefault="00784202" w:rsidP="00FE2DDF">
      <w:pPr>
        <w:keepNext/>
        <w:keepLines/>
        <w:rPr>
          <w:rFonts w:asciiTheme="minorHAnsi" w:hAnsiTheme="minorHAnsi" w:cstheme="minorHAnsi"/>
          <w:color w:val="A6A6A6" w:themeColor="background1" w:themeShade="A6"/>
          <w:sz w:val="22"/>
          <w:szCs w:val="22"/>
        </w:rPr>
      </w:pPr>
    </w:p>
    <w:p w:rsidR="008C4193" w:rsidRPr="004F1D71" w:rsidRDefault="008C4193" w:rsidP="00FE2DDF">
      <w:pPr>
        <w:keepNext/>
        <w:keepLines/>
        <w:rPr>
          <w:rFonts w:asciiTheme="minorHAnsi" w:hAnsiTheme="minorHAnsi" w:cstheme="minorHAnsi"/>
          <w:sz w:val="22"/>
          <w:szCs w:val="22"/>
        </w:rPr>
      </w:pPr>
      <w:r w:rsidRPr="004F1D71">
        <w:rPr>
          <w:rFonts w:asciiTheme="minorHAnsi" w:hAnsiTheme="minorHAnsi" w:cstheme="minorHAnsi"/>
          <w:sz w:val="22"/>
          <w:szCs w:val="22"/>
        </w:rPr>
        <w:t xml:space="preserve">Největšími stavebními investicemi byly </w:t>
      </w:r>
      <w:r w:rsidR="002834A7" w:rsidRPr="004F1D71">
        <w:rPr>
          <w:rFonts w:asciiTheme="minorHAnsi" w:hAnsiTheme="minorHAnsi" w:cstheme="minorHAnsi"/>
          <w:sz w:val="22"/>
          <w:szCs w:val="22"/>
        </w:rPr>
        <w:t>v roce 202</w:t>
      </w:r>
      <w:r w:rsidR="001E347F">
        <w:rPr>
          <w:rFonts w:asciiTheme="minorHAnsi" w:hAnsiTheme="minorHAnsi" w:cstheme="minorHAnsi"/>
          <w:sz w:val="22"/>
          <w:szCs w:val="22"/>
        </w:rPr>
        <w:t>2</w:t>
      </w:r>
      <w:r w:rsidR="004F1D71" w:rsidRPr="004F1D71">
        <w:rPr>
          <w:rFonts w:asciiTheme="minorHAnsi" w:hAnsiTheme="minorHAnsi" w:cstheme="minorHAnsi"/>
          <w:sz w:val="22"/>
          <w:szCs w:val="22"/>
        </w:rPr>
        <w:t xml:space="preserve"> </w:t>
      </w:r>
      <w:r w:rsidRPr="004F1D71">
        <w:rPr>
          <w:rFonts w:asciiTheme="minorHAnsi" w:hAnsiTheme="minorHAnsi" w:cstheme="minorHAnsi"/>
          <w:sz w:val="22"/>
          <w:szCs w:val="22"/>
        </w:rPr>
        <w:t>tyto akce:</w:t>
      </w:r>
    </w:p>
    <w:p w:rsidR="004F1D71" w:rsidRPr="004F1D71" w:rsidRDefault="004F1D71" w:rsidP="004F1D71">
      <w:pPr>
        <w:pStyle w:val="Odstavecseseznamem"/>
        <w:keepNext/>
        <w:keepLines/>
        <w:numPr>
          <w:ilvl w:val="0"/>
          <w:numId w:val="18"/>
        </w:numPr>
        <w:rPr>
          <w:rFonts w:asciiTheme="minorHAnsi" w:hAnsiTheme="minorHAnsi" w:cstheme="minorHAnsi"/>
          <w:sz w:val="22"/>
          <w:szCs w:val="22"/>
        </w:rPr>
      </w:pPr>
      <w:r w:rsidRPr="004F1D71">
        <w:rPr>
          <w:rFonts w:asciiTheme="minorHAnsi" w:hAnsiTheme="minorHAnsi" w:cstheme="minorHAnsi"/>
          <w:sz w:val="22"/>
          <w:szCs w:val="22"/>
        </w:rPr>
        <w:t xml:space="preserve">Regenerace panelového sídliště </w:t>
      </w:r>
      <w:r w:rsidR="001E347F">
        <w:rPr>
          <w:rFonts w:asciiTheme="minorHAnsi" w:hAnsiTheme="minorHAnsi" w:cstheme="minorHAnsi"/>
          <w:sz w:val="22"/>
          <w:szCs w:val="22"/>
        </w:rPr>
        <w:t>Brněnská - Dobrovského</w:t>
      </w:r>
      <w:r w:rsidRPr="004F1D71">
        <w:rPr>
          <w:rFonts w:asciiTheme="minorHAnsi" w:hAnsiTheme="minorHAnsi" w:cstheme="minorHAnsi"/>
          <w:sz w:val="22"/>
          <w:szCs w:val="22"/>
        </w:rPr>
        <w:t xml:space="preserve"> (UR = </w:t>
      </w:r>
      <w:r w:rsidR="001E347F">
        <w:rPr>
          <w:rFonts w:asciiTheme="minorHAnsi" w:hAnsiTheme="minorHAnsi" w:cstheme="minorHAnsi"/>
          <w:sz w:val="22"/>
          <w:szCs w:val="22"/>
        </w:rPr>
        <w:t>35,01</w:t>
      </w:r>
      <w:r w:rsidRPr="004F1D71">
        <w:rPr>
          <w:rFonts w:asciiTheme="minorHAnsi" w:hAnsiTheme="minorHAnsi" w:cstheme="minorHAnsi"/>
          <w:sz w:val="22"/>
          <w:szCs w:val="22"/>
        </w:rPr>
        <w:t xml:space="preserve"> mil. Kč, skutečné čerpání = </w:t>
      </w:r>
      <w:r w:rsidR="001E347F">
        <w:rPr>
          <w:rFonts w:asciiTheme="minorHAnsi" w:hAnsiTheme="minorHAnsi" w:cstheme="minorHAnsi"/>
          <w:sz w:val="22"/>
          <w:szCs w:val="22"/>
        </w:rPr>
        <w:t>34,99</w:t>
      </w:r>
      <w:r w:rsidRPr="004F1D71">
        <w:rPr>
          <w:rFonts w:asciiTheme="minorHAnsi" w:hAnsiTheme="minorHAnsi" w:cstheme="minorHAnsi"/>
          <w:sz w:val="22"/>
          <w:szCs w:val="22"/>
        </w:rPr>
        <w:t xml:space="preserve">  mil. Kč),</w:t>
      </w:r>
    </w:p>
    <w:p w:rsidR="004F1D71" w:rsidRPr="004F1D71" w:rsidRDefault="001E347F" w:rsidP="004F1D71">
      <w:pPr>
        <w:pStyle w:val="Odstavecseseznamem"/>
        <w:keepNext/>
        <w:keepLines/>
        <w:numPr>
          <w:ilvl w:val="0"/>
          <w:numId w:val="18"/>
        </w:numPr>
        <w:rPr>
          <w:rFonts w:asciiTheme="minorHAnsi" w:hAnsiTheme="minorHAnsi" w:cstheme="minorHAnsi"/>
          <w:sz w:val="22"/>
          <w:szCs w:val="22"/>
        </w:rPr>
      </w:pPr>
      <w:r>
        <w:rPr>
          <w:rFonts w:asciiTheme="minorHAnsi" w:hAnsiTheme="minorHAnsi" w:cstheme="minorHAnsi"/>
          <w:sz w:val="22"/>
          <w:szCs w:val="22"/>
        </w:rPr>
        <w:t>Zimní stadion – výměna kopilitů na východní straně</w:t>
      </w:r>
      <w:r w:rsidR="004F1D71" w:rsidRPr="004F1D71">
        <w:rPr>
          <w:rFonts w:asciiTheme="minorHAnsi" w:hAnsiTheme="minorHAnsi" w:cstheme="minorHAnsi"/>
          <w:sz w:val="22"/>
          <w:szCs w:val="22"/>
        </w:rPr>
        <w:t xml:space="preserve"> (UR = </w:t>
      </w:r>
      <w:r>
        <w:rPr>
          <w:rFonts w:asciiTheme="minorHAnsi" w:hAnsiTheme="minorHAnsi" w:cstheme="minorHAnsi"/>
          <w:sz w:val="22"/>
          <w:szCs w:val="22"/>
        </w:rPr>
        <w:t>16,8</w:t>
      </w:r>
      <w:r w:rsidR="004F1D71" w:rsidRPr="004F1D71">
        <w:rPr>
          <w:rFonts w:asciiTheme="minorHAnsi" w:hAnsiTheme="minorHAnsi" w:cstheme="minorHAnsi"/>
          <w:sz w:val="22"/>
          <w:szCs w:val="22"/>
        </w:rPr>
        <w:t xml:space="preserve"> mil. Kč, skutečné čerpání = </w:t>
      </w:r>
      <w:r>
        <w:rPr>
          <w:rFonts w:asciiTheme="minorHAnsi" w:hAnsiTheme="minorHAnsi" w:cstheme="minorHAnsi"/>
          <w:sz w:val="22"/>
          <w:szCs w:val="22"/>
        </w:rPr>
        <w:t>16,14 mil. </w:t>
      </w:r>
      <w:r w:rsidR="004F1D71" w:rsidRPr="004F1D71">
        <w:rPr>
          <w:rFonts w:asciiTheme="minorHAnsi" w:hAnsiTheme="minorHAnsi" w:cstheme="minorHAnsi"/>
          <w:sz w:val="22"/>
          <w:szCs w:val="22"/>
        </w:rPr>
        <w:t>Kč),</w:t>
      </w:r>
    </w:p>
    <w:p w:rsidR="004F1D71" w:rsidRPr="004F1D71" w:rsidRDefault="001E347F" w:rsidP="004F1D71">
      <w:pPr>
        <w:pStyle w:val="Odstavecseseznamem"/>
        <w:keepNext/>
        <w:keepLines/>
        <w:numPr>
          <w:ilvl w:val="0"/>
          <w:numId w:val="18"/>
        </w:numPr>
        <w:rPr>
          <w:rFonts w:asciiTheme="minorHAnsi" w:hAnsiTheme="minorHAnsi" w:cstheme="minorHAnsi"/>
          <w:sz w:val="22"/>
          <w:szCs w:val="22"/>
        </w:rPr>
      </w:pPr>
      <w:r>
        <w:rPr>
          <w:rFonts w:asciiTheme="minorHAnsi" w:hAnsiTheme="minorHAnsi" w:cstheme="minorHAnsi"/>
          <w:sz w:val="22"/>
          <w:szCs w:val="22"/>
        </w:rPr>
        <w:t>Revitalizace Pivovarského rybníčku – Vrahovice - PD</w:t>
      </w:r>
      <w:r w:rsidR="004F1D71" w:rsidRPr="004F1D71">
        <w:rPr>
          <w:rFonts w:asciiTheme="minorHAnsi" w:hAnsiTheme="minorHAnsi" w:cstheme="minorHAnsi"/>
          <w:sz w:val="22"/>
          <w:szCs w:val="22"/>
        </w:rPr>
        <w:t xml:space="preserve"> (UR = </w:t>
      </w:r>
      <w:r>
        <w:rPr>
          <w:rFonts w:asciiTheme="minorHAnsi" w:hAnsiTheme="minorHAnsi" w:cstheme="minorHAnsi"/>
          <w:sz w:val="22"/>
          <w:szCs w:val="22"/>
        </w:rPr>
        <w:t>14,05</w:t>
      </w:r>
      <w:r w:rsidR="004F1D71" w:rsidRPr="004F1D71">
        <w:rPr>
          <w:rFonts w:asciiTheme="minorHAnsi" w:hAnsiTheme="minorHAnsi" w:cstheme="minorHAnsi"/>
          <w:sz w:val="22"/>
          <w:szCs w:val="22"/>
        </w:rPr>
        <w:t xml:space="preserve"> mil. Kč, skutečné čerpání = </w:t>
      </w:r>
      <w:r>
        <w:rPr>
          <w:rFonts w:asciiTheme="minorHAnsi" w:hAnsiTheme="minorHAnsi" w:cstheme="minorHAnsi"/>
          <w:sz w:val="22"/>
          <w:szCs w:val="22"/>
        </w:rPr>
        <w:t>13,66 </w:t>
      </w:r>
      <w:r w:rsidR="004F1D71" w:rsidRPr="004F1D71">
        <w:rPr>
          <w:rFonts w:asciiTheme="minorHAnsi" w:hAnsiTheme="minorHAnsi" w:cstheme="minorHAnsi"/>
          <w:sz w:val="22"/>
          <w:szCs w:val="22"/>
        </w:rPr>
        <w:t>mil. Kč),</w:t>
      </w:r>
    </w:p>
    <w:p w:rsidR="004F1D71" w:rsidRPr="004F1D71" w:rsidRDefault="004F1D71" w:rsidP="004F1D71">
      <w:pPr>
        <w:pStyle w:val="Odstavecseseznamem"/>
        <w:keepNext/>
        <w:keepLines/>
        <w:numPr>
          <w:ilvl w:val="0"/>
          <w:numId w:val="18"/>
        </w:numPr>
        <w:rPr>
          <w:rFonts w:asciiTheme="minorHAnsi" w:hAnsiTheme="minorHAnsi" w:cstheme="minorHAnsi"/>
          <w:sz w:val="22"/>
          <w:szCs w:val="22"/>
        </w:rPr>
      </w:pPr>
      <w:r w:rsidRPr="004F1D71">
        <w:rPr>
          <w:rFonts w:asciiTheme="minorHAnsi" w:hAnsiTheme="minorHAnsi" w:cstheme="minorHAnsi"/>
          <w:sz w:val="22"/>
          <w:szCs w:val="22"/>
        </w:rPr>
        <w:t>EÚO BD Finská 4190/9 (UR = 2</w:t>
      </w:r>
      <w:r w:rsidR="001E0276">
        <w:rPr>
          <w:rFonts w:asciiTheme="minorHAnsi" w:hAnsiTheme="minorHAnsi" w:cstheme="minorHAnsi"/>
          <w:sz w:val="22"/>
          <w:szCs w:val="22"/>
        </w:rPr>
        <w:t>2,5</w:t>
      </w:r>
      <w:r w:rsidRPr="004F1D71">
        <w:rPr>
          <w:rFonts w:asciiTheme="minorHAnsi" w:hAnsiTheme="minorHAnsi" w:cstheme="minorHAnsi"/>
          <w:sz w:val="22"/>
          <w:szCs w:val="22"/>
        </w:rPr>
        <w:t xml:space="preserve"> mil. Kč, skutečné čerpání = </w:t>
      </w:r>
      <w:r w:rsidR="001E0276">
        <w:rPr>
          <w:rFonts w:asciiTheme="minorHAnsi" w:hAnsiTheme="minorHAnsi" w:cstheme="minorHAnsi"/>
          <w:sz w:val="22"/>
          <w:szCs w:val="22"/>
        </w:rPr>
        <w:t>12,74</w:t>
      </w:r>
      <w:r w:rsidRPr="004F1D71">
        <w:rPr>
          <w:rFonts w:asciiTheme="minorHAnsi" w:hAnsiTheme="minorHAnsi" w:cstheme="minorHAnsi"/>
          <w:sz w:val="22"/>
          <w:szCs w:val="22"/>
        </w:rPr>
        <w:t xml:space="preserve"> mil. Kč),</w:t>
      </w:r>
    </w:p>
    <w:p w:rsidR="004F1D71" w:rsidRPr="004F1D71" w:rsidRDefault="001E0276" w:rsidP="004F1D71">
      <w:pPr>
        <w:pStyle w:val="Odstavecseseznamem"/>
        <w:keepNext/>
        <w:keepLines/>
        <w:numPr>
          <w:ilvl w:val="0"/>
          <w:numId w:val="18"/>
        </w:numPr>
        <w:rPr>
          <w:rFonts w:asciiTheme="minorHAnsi" w:hAnsiTheme="minorHAnsi" w:cstheme="minorHAnsi"/>
          <w:sz w:val="22"/>
          <w:szCs w:val="22"/>
        </w:rPr>
      </w:pPr>
      <w:r>
        <w:rPr>
          <w:rFonts w:asciiTheme="minorHAnsi" w:hAnsiTheme="minorHAnsi" w:cstheme="minorHAnsi"/>
          <w:sz w:val="22"/>
          <w:szCs w:val="22"/>
        </w:rPr>
        <w:t>Vrahovická – příspěvek pro kraj</w:t>
      </w:r>
      <w:r w:rsidR="004F1D71" w:rsidRPr="004F1D71">
        <w:rPr>
          <w:rFonts w:asciiTheme="minorHAnsi" w:hAnsiTheme="minorHAnsi" w:cstheme="minorHAnsi"/>
          <w:sz w:val="22"/>
          <w:szCs w:val="22"/>
        </w:rPr>
        <w:t xml:space="preserve"> (UR = </w:t>
      </w:r>
      <w:r>
        <w:rPr>
          <w:rFonts w:asciiTheme="minorHAnsi" w:hAnsiTheme="minorHAnsi" w:cstheme="minorHAnsi"/>
          <w:sz w:val="22"/>
          <w:szCs w:val="22"/>
        </w:rPr>
        <w:t>11,3</w:t>
      </w:r>
      <w:r w:rsidR="004F1D71" w:rsidRPr="004F1D71">
        <w:rPr>
          <w:rFonts w:asciiTheme="minorHAnsi" w:hAnsiTheme="minorHAnsi" w:cstheme="minorHAnsi"/>
          <w:sz w:val="22"/>
          <w:szCs w:val="22"/>
        </w:rPr>
        <w:t xml:space="preserve"> mil. Kč, skutečné čerpání = </w:t>
      </w:r>
      <w:r>
        <w:rPr>
          <w:rFonts w:asciiTheme="minorHAnsi" w:hAnsiTheme="minorHAnsi" w:cstheme="minorHAnsi"/>
          <w:sz w:val="22"/>
          <w:szCs w:val="22"/>
        </w:rPr>
        <w:t>11,26</w:t>
      </w:r>
      <w:r w:rsidR="004F1D71" w:rsidRPr="004F1D71">
        <w:rPr>
          <w:rFonts w:asciiTheme="minorHAnsi" w:hAnsiTheme="minorHAnsi" w:cstheme="minorHAnsi"/>
          <w:sz w:val="22"/>
          <w:szCs w:val="22"/>
        </w:rPr>
        <w:t xml:space="preserve"> mil. Kč),</w:t>
      </w:r>
    </w:p>
    <w:p w:rsidR="004F1D71" w:rsidRPr="004F1D71" w:rsidRDefault="001E0276" w:rsidP="004F1D71">
      <w:pPr>
        <w:pStyle w:val="Odstavecseseznamem"/>
        <w:keepNext/>
        <w:keepLines/>
        <w:numPr>
          <w:ilvl w:val="0"/>
          <w:numId w:val="18"/>
        </w:numPr>
        <w:rPr>
          <w:rFonts w:asciiTheme="minorHAnsi" w:hAnsiTheme="minorHAnsi" w:cstheme="minorHAnsi"/>
          <w:sz w:val="22"/>
          <w:szCs w:val="22"/>
        </w:rPr>
      </w:pPr>
      <w:r>
        <w:rPr>
          <w:rFonts w:asciiTheme="minorHAnsi" w:hAnsiTheme="minorHAnsi" w:cstheme="minorHAnsi"/>
          <w:sz w:val="22"/>
          <w:szCs w:val="22"/>
        </w:rPr>
        <w:t>Sídliště Svornosti - regenerace</w:t>
      </w:r>
      <w:r w:rsidR="004F1D71" w:rsidRPr="004F1D71">
        <w:rPr>
          <w:rFonts w:asciiTheme="minorHAnsi" w:hAnsiTheme="minorHAnsi" w:cstheme="minorHAnsi"/>
          <w:sz w:val="22"/>
          <w:szCs w:val="22"/>
        </w:rPr>
        <w:t xml:space="preserve"> (UR = 1</w:t>
      </w:r>
      <w:r>
        <w:rPr>
          <w:rFonts w:asciiTheme="minorHAnsi" w:hAnsiTheme="minorHAnsi" w:cstheme="minorHAnsi"/>
          <w:sz w:val="22"/>
          <w:szCs w:val="22"/>
        </w:rPr>
        <w:t>1,95</w:t>
      </w:r>
      <w:r w:rsidR="004F1D71" w:rsidRPr="004F1D71">
        <w:rPr>
          <w:rFonts w:asciiTheme="minorHAnsi" w:hAnsiTheme="minorHAnsi" w:cstheme="minorHAnsi"/>
          <w:sz w:val="22"/>
          <w:szCs w:val="22"/>
        </w:rPr>
        <w:t xml:space="preserve"> mil. Kč, skutečné čerpání = </w:t>
      </w:r>
      <w:r>
        <w:rPr>
          <w:rFonts w:asciiTheme="minorHAnsi" w:hAnsiTheme="minorHAnsi" w:cstheme="minorHAnsi"/>
          <w:sz w:val="22"/>
          <w:szCs w:val="22"/>
        </w:rPr>
        <w:t>11,01</w:t>
      </w:r>
      <w:r w:rsidR="004F1D71" w:rsidRPr="004F1D71">
        <w:rPr>
          <w:rFonts w:asciiTheme="minorHAnsi" w:hAnsiTheme="minorHAnsi" w:cstheme="minorHAnsi"/>
          <w:sz w:val="22"/>
          <w:szCs w:val="22"/>
        </w:rPr>
        <w:t xml:space="preserve"> mil. Kč),</w:t>
      </w:r>
    </w:p>
    <w:p w:rsidR="0012113D" w:rsidRDefault="0012113D" w:rsidP="0024764D">
      <w:pPr>
        <w:pStyle w:val="Nadpis3"/>
      </w:pPr>
      <w:r w:rsidRPr="00272507">
        <w:t>Stav</w:t>
      </w:r>
      <w:r w:rsidR="004F1D71" w:rsidRPr="00272507">
        <w:t>ební investiční akce v roce 202</w:t>
      </w:r>
      <w:r w:rsidR="00BC58F3">
        <w:t>2</w:t>
      </w:r>
    </w:p>
    <w:tbl>
      <w:tblPr>
        <w:tblW w:w="9487" w:type="dxa"/>
        <w:tblCellMar>
          <w:left w:w="70" w:type="dxa"/>
          <w:right w:w="70" w:type="dxa"/>
        </w:tblCellMar>
        <w:tblLook w:val="04A0" w:firstRow="1" w:lastRow="0" w:firstColumn="1" w:lastColumn="0" w:noHBand="0" w:noVBand="1"/>
      </w:tblPr>
      <w:tblGrid>
        <w:gridCol w:w="1053"/>
        <w:gridCol w:w="3478"/>
        <w:gridCol w:w="1134"/>
        <w:gridCol w:w="1134"/>
        <w:gridCol w:w="1134"/>
        <w:gridCol w:w="709"/>
        <w:gridCol w:w="845"/>
      </w:tblGrid>
      <w:tr w:rsidR="00805324" w:rsidRPr="00805324" w:rsidTr="00805324">
        <w:trPr>
          <w:trHeight w:val="350"/>
          <w:tblHeader/>
        </w:trPr>
        <w:tc>
          <w:tcPr>
            <w:tcW w:w="1053" w:type="dxa"/>
            <w:vMerge w:val="restart"/>
            <w:tcBorders>
              <w:top w:val="single" w:sz="4" w:space="0" w:color="auto"/>
              <w:left w:val="single" w:sz="4" w:space="0" w:color="auto"/>
              <w:bottom w:val="single" w:sz="4" w:space="0" w:color="auto"/>
              <w:right w:val="single" w:sz="4" w:space="0" w:color="auto"/>
            </w:tcBorders>
            <w:shd w:val="clear" w:color="E4E4E4" w:fill="FFE699"/>
            <w:noWrap/>
            <w:vAlign w:val="center"/>
            <w:hideMark/>
          </w:tcPr>
          <w:p w:rsidR="00805324" w:rsidRPr="00805324" w:rsidRDefault="00805324">
            <w:pPr>
              <w:jc w:val="center"/>
              <w:rPr>
                <w:rFonts w:ascii="Calibri" w:hAnsi="Calibri" w:cs="Calibri"/>
                <w:sz w:val="15"/>
                <w:szCs w:val="15"/>
              </w:rPr>
            </w:pPr>
            <w:r w:rsidRPr="00805324">
              <w:rPr>
                <w:rFonts w:ascii="Calibri" w:hAnsi="Calibri" w:cs="Calibri"/>
                <w:sz w:val="15"/>
                <w:szCs w:val="15"/>
              </w:rPr>
              <w:t>ORG</w:t>
            </w:r>
          </w:p>
        </w:tc>
        <w:tc>
          <w:tcPr>
            <w:tcW w:w="3478" w:type="dxa"/>
            <w:vMerge w:val="restart"/>
            <w:tcBorders>
              <w:top w:val="single" w:sz="4" w:space="0" w:color="auto"/>
              <w:left w:val="single" w:sz="4" w:space="0" w:color="auto"/>
              <w:bottom w:val="single" w:sz="4" w:space="0" w:color="auto"/>
              <w:right w:val="single" w:sz="4" w:space="0" w:color="auto"/>
            </w:tcBorders>
            <w:shd w:val="clear" w:color="D6A100" w:fill="FFE699"/>
            <w:noWrap/>
            <w:vAlign w:val="center"/>
            <w:hideMark/>
          </w:tcPr>
          <w:p w:rsidR="00805324" w:rsidRPr="00805324" w:rsidRDefault="00805324">
            <w:pPr>
              <w:jc w:val="center"/>
              <w:rPr>
                <w:rFonts w:ascii="Calibri" w:hAnsi="Calibri" w:cs="Calibri"/>
                <w:sz w:val="15"/>
                <w:szCs w:val="15"/>
              </w:rPr>
            </w:pPr>
            <w:r w:rsidRPr="00805324">
              <w:rPr>
                <w:rFonts w:ascii="Calibri" w:hAnsi="Calibri" w:cs="Calibri"/>
                <w:sz w:val="15"/>
                <w:szCs w:val="15"/>
              </w:rPr>
              <w:t>Investiční akce</w:t>
            </w:r>
          </w:p>
        </w:tc>
        <w:tc>
          <w:tcPr>
            <w:tcW w:w="2268" w:type="dxa"/>
            <w:gridSpan w:val="2"/>
            <w:tcBorders>
              <w:top w:val="single" w:sz="4" w:space="0" w:color="auto"/>
              <w:left w:val="nil"/>
              <w:bottom w:val="single" w:sz="4" w:space="0" w:color="auto"/>
              <w:right w:val="single" w:sz="4" w:space="0" w:color="auto"/>
            </w:tcBorders>
            <w:shd w:val="clear" w:color="D6A100" w:fill="FFE699"/>
            <w:noWrap/>
            <w:vAlign w:val="center"/>
            <w:hideMark/>
          </w:tcPr>
          <w:p w:rsidR="00805324" w:rsidRPr="00805324" w:rsidRDefault="00805324">
            <w:pPr>
              <w:jc w:val="center"/>
              <w:rPr>
                <w:rFonts w:ascii="Calibri" w:hAnsi="Calibri" w:cs="Calibri"/>
                <w:sz w:val="15"/>
                <w:szCs w:val="15"/>
              </w:rPr>
            </w:pPr>
            <w:r w:rsidRPr="00805324">
              <w:rPr>
                <w:rFonts w:ascii="Calibri" w:hAnsi="Calibri" w:cs="Calibri"/>
                <w:sz w:val="15"/>
                <w:szCs w:val="15"/>
              </w:rPr>
              <w:t>Rozpočet</w:t>
            </w:r>
          </w:p>
        </w:tc>
        <w:tc>
          <w:tcPr>
            <w:tcW w:w="1134" w:type="dxa"/>
            <w:vMerge w:val="restart"/>
            <w:tcBorders>
              <w:top w:val="single" w:sz="4" w:space="0" w:color="auto"/>
              <w:left w:val="single" w:sz="4" w:space="0" w:color="auto"/>
              <w:bottom w:val="single" w:sz="4" w:space="0" w:color="auto"/>
              <w:right w:val="single" w:sz="4" w:space="0" w:color="auto"/>
            </w:tcBorders>
            <w:shd w:val="clear" w:color="D6A100" w:fill="FFE699"/>
            <w:noWrap/>
            <w:vAlign w:val="center"/>
            <w:hideMark/>
          </w:tcPr>
          <w:p w:rsidR="00805324" w:rsidRPr="00805324" w:rsidRDefault="00805324">
            <w:pPr>
              <w:jc w:val="center"/>
              <w:rPr>
                <w:rFonts w:ascii="Calibri" w:hAnsi="Calibri" w:cs="Calibri"/>
                <w:sz w:val="15"/>
                <w:szCs w:val="15"/>
              </w:rPr>
            </w:pPr>
            <w:r w:rsidRPr="00805324">
              <w:rPr>
                <w:rFonts w:ascii="Calibri" w:hAnsi="Calibri" w:cs="Calibri"/>
                <w:sz w:val="15"/>
                <w:szCs w:val="15"/>
              </w:rPr>
              <w:t>Skutečnost</w:t>
            </w:r>
          </w:p>
        </w:tc>
        <w:tc>
          <w:tcPr>
            <w:tcW w:w="709" w:type="dxa"/>
            <w:vMerge w:val="restart"/>
            <w:tcBorders>
              <w:top w:val="single" w:sz="4" w:space="0" w:color="auto"/>
              <w:left w:val="single" w:sz="4" w:space="0" w:color="auto"/>
              <w:bottom w:val="single" w:sz="4" w:space="0" w:color="auto"/>
              <w:right w:val="single" w:sz="4" w:space="0" w:color="auto"/>
            </w:tcBorders>
            <w:shd w:val="clear" w:color="D6A100" w:fill="FFE699"/>
            <w:vAlign w:val="center"/>
            <w:hideMark/>
          </w:tcPr>
          <w:p w:rsidR="00805324" w:rsidRPr="00805324" w:rsidRDefault="00805324">
            <w:pPr>
              <w:jc w:val="center"/>
              <w:rPr>
                <w:rFonts w:ascii="Calibri" w:hAnsi="Calibri" w:cs="Calibri"/>
                <w:color w:val="000000"/>
                <w:sz w:val="15"/>
                <w:szCs w:val="15"/>
              </w:rPr>
            </w:pPr>
            <w:r w:rsidRPr="00805324">
              <w:rPr>
                <w:rFonts w:ascii="Calibri" w:hAnsi="Calibri" w:cs="Calibri"/>
                <w:color w:val="000000"/>
                <w:sz w:val="15"/>
                <w:szCs w:val="15"/>
              </w:rPr>
              <w:t>% plnění Skut./S</w:t>
            </w:r>
          </w:p>
        </w:tc>
        <w:tc>
          <w:tcPr>
            <w:tcW w:w="845" w:type="dxa"/>
            <w:vMerge w:val="restart"/>
            <w:tcBorders>
              <w:top w:val="single" w:sz="4" w:space="0" w:color="auto"/>
              <w:left w:val="single" w:sz="4" w:space="0" w:color="auto"/>
              <w:bottom w:val="single" w:sz="4" w:space="0" w:color="auto"/>
              <w:right w:val="single" w:sz="4" w:space="0" w:color="auto"/>
            </w:tcBorders>
            <w:shd w:val="clear" w:color="D6A100" w:fill="FFE699"/>
            <w:vAlign w:val="center"/>
            <w:hideMark/>
          </w:tcPr>
          <w:p w:rsidR="00805324" w:rsidRPr="00805324" w:rsidRDefault="00805324">
            <w:pPr>
              <w:jc w:val="center"/>
              <w:rPr>
                <w:rFonts w:ascii="Calibri" w:hAnsi="Calibri" w:cs="Calibri"/>
                <w:color w:val="000000"/>
                <w:sz w:val="15"/>
                <w:szCs w:val="15"/>
              </w:rPr>
            </w:pPr>
            <w:r w:rsidRPr="00805324">
              <w:rPr>
                <w:rFonts w:ascii="Calibri" w:hAnsi="Calibri" w:cs="Calibri"/>
                <w:color w:val="000000"/>
                <w:sz w:val="15"/>
                <w:szCs w:val="15"/>
              </w:rPr>
              <w:t>% plnění Skut./U</w:t>
            </w:r>
          </w:p>
        </w:tc>
      </w:tr>
      <w:tr w:rsidR="00805324" w:rsidRPr="00805324" w:rsidTr="00805324">
        <w:trPr>
          <w:trHeight w:val="403"/>
        </w:trPr>
        <w:tc>
          <w:tcPr>
            <w:tcW w:w="1053" w:type="dxa"/>
            <w:vMerge/>
            <w:tcBorders>
              <w:top w:val="single" w:sz="4" w:space="0" w:color="auto"/>
              <w:left w:val="single" w:sz="4" w:space="0" w:color="auto"/>
              <w:bottom w:val="single" w:sz="4" w:space="0" w:color="auto"/>
              <w:right w:val="single" w:sz="4" w:space="0" w:color="auto"/>
            </w:tcBorders>
            <w:vAlign w:val="center"/>
            <w:hideMark/>
          </w:tcPr>
          <w:p w:rsidR="00805324" w:rsidRPr="00805324" w:rsidRDefault="00805324">
            <w:pPr>
              <w:rPr>
                <w:rFonts w:ascii="Calibri" w:hAnsi="Calibri" w:cs="Calibri"/>
                <w:sz w:val="15"/>
                <w:szCs w:val="15"/>
              </w:rPr>
            </w:pPr>
          </w:p>
        </w:tc>
        <w:tc>
          <w:tcPr>
            <w:tcW w:w="3478" w:type="dxa"/>
            <w:vMerge/>
            <w:tcBorders>
              <w:top w:val="single" w:sz="4" w:space="0" w:color="auto"/>
              <w:left w:val="single" w:sz="4" w:space="0" w:color="auto"/>
              <w:bottom w:val="single" w:sz="4" w:space="0" w:color="auto"/>
              <w:right w:val="single" w:sz="4" w:space="0" w:color="auto"/>
            </w:tcBorders>
            <w:vAlign w:val="center"/>
            <w:hideMark/>
          </w:tcPr>
          <w:p w:rsidR="00805324" w:rsidRPr="00805324" w:rsidRDefault="00805324">
            <w:pPr>
              <w:rPr>
                <w:rFonts w:ascii="Calibri" w:hAnsi="Calibri" w:cs="Calibri"/>
                <w:sz w:val="15"/>
                <w:szCs w:val="15"/>
              </w:rPr>
            </w:pPr>
          </w:p>
        </w:tc>
        <w:tc>
          <w:tcPr>
            <w:tcW w:w="1134" w:type="dxa"/>
            <w:tcBorders>
              <w:top w:val="nil"/>
              <w:left w:val="nil"/>
              <w:bottom w:val="single" w:sz="4" w:space="0" w:color="auto"/>
              <w:right w:val="single" w:sz="4" w:space="0" w:color="auto"/>
            </w:tcBorders>
            <w:shd w:val="clear" w:color="D6A100" w:fill="FFE699"/>
            <w:noWrap/>
            <w:vAlign w:val="center"/>
            <w:hideMark/>
          </w:tcPr>
          <w:p w:rsidR="00805324" w:rsidRPr="00805324" w:rsidRDefault="00805324">
            <w:pPr>
              <w:jc w:val="center"/>
              <w:rPr>
                <w:rFonts w:ascii="Calibri" w:hAnsi="Calibri" w:cs="Calibri"/>
                <w:sz w:val="15"/>
                <w:szCs w:val="15"/>
              </w:rPr>
            </w:pPr>
            <w:r w:rsidRPr="00805324">
              <w:rPr>
                <w:rFonts w:ascii="Calibri" w:hAnsi="Calibri" w:cs="Calibri"/>
                <w:sz w:val="15"/>
                <w:szCs w:val="15"/>
              </w:rPr>
              <w:t xml:space="preserve">Schválený </w:t>
            </w:r>
          </w:p>
        </w:tc>
        <w:tc>
          <w:tcPr>
            <w:tcW w:w="1134" w:type="dxa"/>
            <w:tcBorders>
              <w:top w:val="nil"/>
              <w:left w:val="nil"/>
              <w:bottom w:val="single" w:sz="4" w:space="0" w:color="auto"/>
              <w:right w:val="single" w:sz="4" w:space="0" w:color="auto"/>
            </w:tcBorders>
            <w:shd w:val="clear" w:color="D6A100" w:fill="FFE699"/>
            <w:noWrap/>
            <w:vAlign w:val="center"/>
            <w:hideMark/>
          </w:tcPr>
          <w:p w:rsidR="00805324" w:rsidRPr="00805324" w:rsidRDefault="00805324">
            <w:pPr>
              <w:jc w:val="center"/>
              <w:rPr>
                <w:rFonts w:ascii="Calibri" w:hAnsi="Calibri" w:cs="Calibri"/>
                <w:sz w:val="15"/>
                <w:szCs w:val="15"/>
              </w:rPr>
            </w:pPr>
            <w:r w:rsidRPr="00805324">
              <w:rPr>
                <w:rFonts w:ascii="Calibri" w:hAnsi="Calibri" w:cs="Calibri"/>
                <w:sz w:val="15"/>
                <w:szCs w:val="15"/>
              </w:rPr>
              <w:t xml:space="preserve">Upravený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05324" w:rsidRPr="00805324" w:rsidRDefault="00805324">
            <w:pPr>
              <w:rPr>
                <w:rFonts w:ascii="Calibri" w:hAnsi="Calibri" w:cs="Calibri"/>
                <w:sz w:val="15"/>
                <w:szCs w:val="15"/>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05324" w:rsidRPr="00805324" w:rsidRDefault="00805324">
            <w:pPr>
              <w:rPr>
                <w:rFonts w:ascii="Calibri" w:hAnsi="Calibri" w:cs="Calibri"/>
                <w:color w:val="000000"/>
                <w:sz w:val="15"/>
                <w:szCs w:val="15"/>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805324" w:rsidRPr="00805324" w:rsidRDefault="00805324">
            <w:pPr>
              <w:rPr>
                <w:rFonts w:ascii="Calibri" w:hAnsi="Calibri" w:cs="Calibri"/>
                <w:color w:val="000000"/>
                <w:sz w:val="15"/>
                <w:szCs w:val="15"/>
              </w:rPr>
            </w:pPr>
          </w:p>
        </w:tc>
      </w:tr>
      <w:tr w:rsidR="00805324" w:rsidRPr="00805324" w:rsidTr="00805324">
        <w:trPr>
          <w:trHeight w:val="243"/>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b/>
                <w:bCs/>
                <w:color w:val="000000"/>
                <w:sz w:val="15"/>
                <w:szCs w:val="15"/>
              </w:rPr>
            </w:pPr>
            <w:r w:rsidRPr="00805324">
              <w:rPr>
                <w:rFonts w:ascii="Calibri" w:hAnsi="Calibri" w:cs="Calibri"/>
                <w:b/>
                <w:bCs/>
                <w:color w:val="000000"/>
                <w:sz w:val="15"/>
                <w:szCs w:val="15"/>
              </w:rPr>
              <w:t>110000000000</w:t>
            </w:r>
          </w:p>
        </w:tc>
        <w:tc>
          <w:tcPr>
            <w:tcW w:w="3478" w:type="dxa"/>
            <w:tcBorders>
              <w:top w:val="nil"/>
              <w:left w:val="nil"/>
              <w:bottom w:val="single" w:sz="4" w:space="0" w:color="auto"/>
              <w:right w:val="single" w:sz="4" w:space="0" w:color="auto"/>
            </w:tcBorders>
            <w:shd w:val="clear" w:color="auto" w:fill="auto"/>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Správa a zabezpečení</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5 000 000,00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11 783 000,00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11 686 887,85 </w:t>
            </w:r>
          </w:p>
        </w:tc>
        <w:tc>
          <w:tcPr>
            <w:tcW w:w="709"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233,74 %</w:t>
            </w:r>
          </w:p>
        </w:tc>
        <w:tc>
          <w:tcPr>
            <w:tcW w:w="845"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99,18 %</w:t>
            </w:r>
          </w:p>
        </w:tc>
      </w:tr>
      <w:tr w:rsidR="00805324" w:rsidRPr="00805324" w:rsidTr="00805324">
        <w:trPr>
          <w:trHeight w:val="243"/>
        </w:trPr>
        <w:tc>
          <w:tcPr>
            <w:tcW w:w="1053" w:type="dxa"/>
            <w:tcBorders>
              <w:top w:val="nil"/>
              <w:left w:val="single" w:sz="4" w:space="0" w:color="auto"/>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120000000000</w:t>
            </w:r>
          </w:p>
        </w:tc>
        <w:tc>
          <w:tcPr>
            <w:tcW w:w="3478"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Krizové řízení</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9 990,00 </w:t>
            </w:r>
          </w:p>
        </w:tc>
        <w:tc>
          <w:tcPr>
            <w:tcW w:w="709"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w:t>
            </w:r>
          </w:p>
        </w:tc>
        <w:tc>
          <w:tcPr>
            <w:tcW w:w="845"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99,90 %</w:t>
            </w:r>
          </w:p>
        </w:tc>
      </w:tr>
      <w:tr w:rsidR="00805324" w:rsidRPr="00805324" w:rsidTr="00805324">
        <w:trPr>
          <w:trHeight w:val="243"/>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500000000000</w:t>
            </w:r>
          </w:p>
        </w:tc>
        <w:tc>
          <w:tcPr>
            <w:tcW w:w="3478" w:type="dxa"/>
            <w:tcBorders>
              <w:top w:val="nil"/>
              <w:left w:val="nil"/>
              <w:bottom w:val="single" w:sz="4" w:space="0" w:color="auto"/>
              <w:right w:val="single" w:sz="4" w:space="0" w:color="auto"/>
            </w:tcBorders>
            <w:shd w:val="clear" w:color="auto" w:fill="auto"/>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Správa a nakládání s majetkem města</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88 788,00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73 400,00 </w:t>
            </w:r>
          </w:p>
        </w:tc>
        <w:tc>
          <w:tcPr>
            <w:tcW w:w="709"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w:t>
            </w:r>
          </w:p>
        </w:tc>
        <w:tc>
          <w:tcPr>
            <w:tcW w:w="845"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82,67 %</w:t>
            </w:r>
          </w:p>
        </w:tc>
      </w:tr>
      <w:tr w:rsidR="00805324" w:rsidRPr="00805324" w:rsidTr="00805324">
        <w:trPr>
          <w:trHeight w:val="243"/>
        </w:trPr>
        <w:tc>
          <w:tcPr>
            <w:tcW w:w="1053" w:type="dxa"/>
            <w:tcBorders>
              <w:top w:val="nil"/>
              <w:left w:val="single" w:sz="4" w:space="0" w:color="auto"/>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500562000000</w:t>
            </w:r>
          </w:p>
        </w:tc>
        <w:tc>
          <w:tcPr>
            <w:tcW w:w="3478"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Výkup pozemku a staveb za míst, nádražím</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99 750,00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99 750,00 </w:t>
            </w:r>
          </w:p>
        </w:tc>
        <w:tc>
          <w:tcPr>
            <w:tcW w:w="709"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w:t>
            </w:r>
          </w:p>
        </w:tc>
        <w:tc>
          <w:tcPr>
            <w:tcW w:w="845"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100,00 %</w:t>
            </w:r>
          </w:p>
        </w:tc>
      </w:tr>
      <w:tr w:rsidR="00805324" w:rsidRPr="00805324" w:rsidTr="00805324">
        <w:trPr>
          <w:trHeight w:val="243"/>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500578000000</w:t>
            </w:r>
          </w:p>
        </w:tc>
        <w:tc>
          <w:tcPr>
            <w:tcW w:w="3478"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Výkupy chrániček pro městskou optickou síť</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2 000 000,00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0,00 </w:t>
            </w:r>
          </w:p>
        </w:tc>
        <w:tc>
          <w:tcPr>
            <w:tcW w:w="709"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0,00 %</w:t>
            </w:r>
          </w:p>
        </w:tc>
        <w:tc>
          <w:tcPr>
            <w:tcW w:w="845"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w:t>
            </w:r>
          </w:p>
        </w:tc>
      </w:tr>
      <w:tr w:rsidR="00805324" w:rsidRPr="00805324" w:rsidTr="00805324">
        <w:trPr>
          <w:trHeight w:val="243"/>
        </w:trPr>
        <w:tc>
          <w:tcPr>
            <w:tcW w:w="1053" w:type="dxa"/>
            <w:tcBorders>
              <w:top w:val="nil"/>
              <w:left w:val="single" w:sz="4" w:space="0" w:color="auto"/>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500580000000</w:t>
            </w:r>
          </w:p>
        </w:tc>
        <w:tc>
          <w:tcPr>
            <w:tcW w:w="3478"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Velodrom - nový rozvod elektřiny do prostoru kójí</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130 000,00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130 000,00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105 047,36 </w:t>
            </w:r>
          </w:p>
        </w:tc>
        <w:tc>
          <w:tcPr>
            <w:tcW w:w="709"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80,81 %</w:t>
            </w:r>
          </w:p>
        </w:tc>
        <w:tc>
          <w:tcPr>
            <w:tcW w:w="845"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80,81 %</w:t>
            </w:r>
          </w:p>
        </w:tc>
      </w:tr>
      <w:tr w:rsidR="00805324" w:rsidRPr="00805324" w:rsidTr="00805324">
        <w:trPr>
          <w:trHeight w:val="243"/>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500581000000</w:t>
            </w:r>
          </w:p>
        </w:tc>
        <w:tc>
          <w:tcPr>
            <w:tcW w:w="3478"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Velodrom - vybudování nového chodník</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120 000,00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120 000,00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119 047,79 </w:t>
            </w:r>
          </w:p>
        </w:tc>
        <w:tc>
          <w:tcPr>
            <w:tcW w:w="709"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99,21 %</w:t>
            </w:r>
          </w:p>
        </w:tc>
        <w:tc>
          <w:tcPr>
            <w:tcW w:w="845"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99,21 %</w:t>
            </w:r>
          </w:p>
        </w:tc>
      </w:tr>
      <w:tr w:rsidR="00805324" w:rsidRPr="00805324" w:rsidTr="00805324">
        <w:trPr>
          <w:trHeight w:val="243"/>
        </w:trPr>
        <w:tc>
          <w:tcPr>
            <w:tcW w:w="1053" w:type="dxa"/>
            <w:tcBorders>
              <w:top w:val="nil"/>
              <w:left w:val="single" w:sz="4" w:space="0" w:color="auto"/>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500584000000</w:t>
            </w:r>
          </w:p>
        </w:tc>
        <w:tc>
          <w:tcPr>
            <w:tcW w:w="3478"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Pořízení výsledkové tabule - areál za Olympijskou</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150 000,00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64 281,25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64 281,25 </w:t>
            </w:r>
          </w:p>
        </w:tc>
        <w:tc>
          <w:tcPr>
            <w:tcW w:w="709"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42,85 %</w:t>
            </w:r>
          </w:p>
        </w:tc>
        <w:tc>
          <w:tcPr>
            <w:tcW w:w="845"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100,00 %</w:t>
            </w:r>
          </w:p>
        </w:tc>
      </w:tr>
      <w:tr w:rsidR="00805324" w:rsidRPr="00805324" w:rsidTr="00805324">
        <w:trPr>
          <w:trHeight w:val="243"/>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500585000000</w:t>
            </w:r>
          </w:p>
        </w:tc>
        <w:tc>
          <w:tcPr>
            <w:tcW w:w="3478"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Městské lázně-rekonstrukce dispeč. stanoviště</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380 000,00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380 000,00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370 897,67 </w:t>
            </w:r>
          </w:p>
        </w:tc>
        <w:tc>
          <w:tcPr>
            <w:tcW w:w="709"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97,60 %</w:t>
            </w:r>
          </w:p>
        </w:tc>
        <w:tc>
          <w:tcPr>
            <w:tcW w:w="845"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97,60 %</w:t>
            </w:r>
          </w:p>
        </w:tc>
      </w:tr>
      <w:tr w:rsidR="00805324" w:rsidRPr="00805324" w:rsidTr="00805324">
        <w:trPr>
          <w:trHeight w:val="243"/>
        </w:trPr>
        <w:tc>
          <w:tcPr>
            <w:tcW w:w="1053" w:type="dxa"/>
            <w:tcBorders>
              <w:top w:val="nil"/>
              <w:left w:val="single" w:sz="4" w:space="0" w:color="auto"/>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500586000000</w:t>
            </w:r>
          </w:p>
        </w:tc>
        <w:tc>
          <w:tcPr>
            <w:tcW w:w="3478"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Koupaliště Vrahovice - vybudování nízkého oplocení</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100 000,00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100 000,00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79 411,70 </w:t>
            </w:r>
          </w:p>
        </w:tc>
        <w:tc>
          <w:tcPr>
            <w:tcW w:w="709"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79,41 %</w:t>
            </w:r>
          </w:p>
        </w:tc>
        <w:tc>
          <w:tcPr>
            <w:tcW w:w="845"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79,41 %</w:t>
            </w:r>
          </w:p>
        </w:tc>
      </w:tr>
      <w:tr w:rsidR="00805324" w:rsidRPr="00805324" w:rsidTr="00805324">
        <w:trPr>
          <w:trHeight w:val="243"/>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600000060330</w:t>
            </w:r>
          </w:p>
        </w:tc>
        <w:tc>
          <w:tcPr>
            <w:tcW w:w="3478"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MŠ Moravská - oplocení objektu MŠ Raisova</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423 000,00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422 895,28 </w:t>
            </w:r>
          </w:p>
        </w:tc>
        <w:tc>
          <w:tcPr>
            <w:tcW w:w="709"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w:t>
            </w:r>
          </w:p>
        </w:tc>
        <w:tc>
          <w:tcPr>
            <w:tcW w:w="845"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99,98 %</w:t>
            </w:r>
          </w:p>
        </w:tc>
      </w:tr>
      <w:tr w:rsidR="00805324" w:rsidRPr="00805324" w:rsidTr="00805324">
        <w:trPr>
          <w:trHeight w:val="243"/>
        </w:trPr>
        <w:tc>
          <w:tcPr>
            <w:tcW w:w="1053" w:type="dxa"/>
            <w:tcBorders>
              <w:top w:val="nil"/>
              <w:left w:val="single" w:sz="4" w:space="0" w:color="auto"/>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600000507008</w:t>
            </w:r>
          </w:p>
        </w:tc>
        <w:tc>
          <w:tcPr>
            <w:tcW w:w="3478"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Střední škola designu a módy, Vápenice 1</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174 000,00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173 846,75 </w:t>
            </w:r>
          </w:p>
        </w:tc>
        <w:tc>
          <w:tcPr>
            <w:tcW w:w="709"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w:t>
            </w:r>
          </w:p>
        </w:tc>
        <w:tc>
          <w:tcPr>
            <w:tcW w:w="845"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99,91 %</w:t>
            </w:r>
          </w:p>
        </w:tc>
      </w:tr>
      <w:tr w:rsidR="00805324" w:rsidRPr="00805324" w:rsidTr="00805324">
        <w:trPr>
          <w:trHeight w:val="243"/>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600000507027</w:t>
            </w:r>
          </w:p>
        </w:tc>
        <w:tc>
          <w:tcPr>
            <w:tcW w:w="3478"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Střední zdravotnická škola, Vápenice 3</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284 350,00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284 350,00 </w:t>
            </w:r>
          </w:p>
        </w:tc>
        <w:tc>
          <w:tcPr>
            <w:tcW w:w="709"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w:t>
            </w:r>
          </w:p>
        </w:tc>
        <w:tc>
          <w:tcPr>
            <w:tcW w:w="845"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100,00 %</w:t>
            </w:r>
          </w:p>
        </w:tc>
      </w:tr>
      <w:tr w:rsidR="00805324" w:rsidRPr="00805324" w:rsidTr="00805324">
        <w:trPr>
          <w:trHeight w:val="243"/>
        </w:trPr>
        <w:tc>
          <w:tcPr>
            <w:tcW w:w="1053" w:type="dxa"/>
            <w:tcBorders>
              <w:top w:val="nil"/>
              <w:left w:val="single" w:sz="4" w:space="0" w:color="auto"/>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600000508025</w:t>
            </w:r>
          </w:p>
        </w:tc>
        <w:tc>
          <w:tcPr>
            <w:tcW w:w="3478"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Muzeum a galerie v PV</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1 500 000,00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700 000,00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500 219,32 </w:t>
            </w:r>
          </w:p>
        </w:tc>
        <w:tc>
          <w:tcPr>
            <w:tcW w:w="709"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33,35 %</w:t>
            </w:r>
          </w:p>
        </w:tc>
        <w:tc>
          <w:tcPr>
            <w:tcW w:w="845"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71,46 %</w:t>
            </w:r>
          </w:p>
        </w:tc>
      </w:tr>
      <w:tr w:rsidR="00805324" w:rsidRPr="00805324" w:rsidTr="00805324">
        <w:trPr>
          <w:trHeight w:val="243"/>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600000508026</w:t>
            </w:r>
          </w:p>
        </w:tc>
        <w:tc>
          <w:tcPr>
            <w:tcW w:w="3478"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Střední škola automobilní Prostějov, s.r.o.</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160 000,00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120 032,00 </w:t>
            </w:r>
          </w:p>
        </w:tc>
        <w:tc>
          <w:tcPr>
            <w:tcW w:w="709"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w:t>
            </w:r>
          </w:p>
        </w:tc>
        <w:tc>
          <w:tcPr>
            <w:tcW w:w="845"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75,02 %</w:t>
            </w:r>
          </w:p>
        </w:tc>
      </w:tr>
      <w:tr w:rsidR="00805324" w:rsidRPr="00805324" w:rsidTr="00805324">
        <w:trPr>
          <w:trHeight w:val="243"/>
        </w:trPr>
        <w:tc>
          <w:tcPr>
            <w:tcW w:w="1053" w:type="dxa"/>
            <w:tcBorders>
              <w:top w:val="nil"/>
              <w:left w:val="single" w:sz="4" w:space="0" w:color="auto"/>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600000508027</w:t>
            </w:r>
          </w:p>
        </w:tc>
        <w:tc>
          <w:tcPr>
            <w:tcW w:w="3478"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ART ECON - SŠ Pv, s.r.o. - reinvestice nájemného</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98 000,00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97 828,50 </w:t>
            </w:r>
          </w:p>
        </w:tc>
        <w:tc>
          <w:tcPr>
            <w:tcW w:w="709"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w:t>
            </w:r>
          </w:p>
        </w:tc>
        <w:tc>
          <w:tcPr>
            <w:tcW w:w="845"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99,83 %</w:t>
            </w:r>
          </w:p>
        </w:tc>
      </w:tr>
      <w:tr w:rsidR="00805324" w:rsidRPr="00805324" w:rsidTr="00805324">
        <w:trPr>
          <w:trHeight w:val="243"/>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600000600330</w:t>
            </w:r>
          </w:p>
        </w:tc>
        <w:tc>
          <w:tcPr>
            <w:tcW w:w="3478"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MŠ Moravská</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300 000,00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1 100 000,00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1 050 252,60 </w:t>
            </w:r>
          </w:p>
        </w:tc>
        <w:tc>
          <w:tcPr>
            <w:tcW w:w="709"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350,08 %</w:t>
            </w:r>
          </w:p>
        </w:tc>
        <w:tc>
          <w:tcPr>
            <w:tcW w:w="845"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95,48 %</w:t>
            </w:r>
          </w:p>
        </w:tc>
      </w:tr>
      <w:tr w:rsidR="00805324" w:rsidRPr="00805324" w:rsidTr="00805324">
        <w:trPr>
          <w:trHeight w:val="243"/>
        </w:trPr>
        <w:tc>
          <w:tcPr>
            <w:tcW w:w="1053" w:type="dxa"/>
            <w:tcBorders>
              <w:top w:val="nil"/>
              <w:left w:val="single" w:sz="4" w:space="0" w:color="auto"/>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lastRenderedPageBreak/>
              <w:t>600000709003</w:t>
            </w:r>
          </w:p>
        </w:tc>
        <w:tc>
          <w:tcPr>
            <w:tcW w:w="3478"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Požadavky OV Žešov - rekonstrukce komunikace</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3 500 000,00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3 445 550,00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3 210 504,32 </w:t>
            </w:r>
          </w:p>
        </w:tc>
        <w:tc>
          <w:tcPr>
            <w:tcW w:w="709"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91,73 %</w:t>
            </w:r>
          </w:p>
        </w:tc>
        <w:tc>
          <w:tcPr>
            <w:tcW w:w="845"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93,18 %</w:t>
            </w:r>
          </w:p>
        </w:tc>
      </w:tr>
      <w:tr w:rsidR="00805324" w:rsidRPr="00805324" w:rsidTr="00805324">
        <w:trPr>
          <w:trHeight w:val="243"/>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600044000000</w:t>
            </w:r>
          </w:p>
        </w:tc>
        <w:tc>
          <w:tcPr>
            <w:tcW w:w="3478"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Městský  hřbitov - PD urnové hroby</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3 400 000,00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3 420 286,29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3 397 475,91 </w:t>
            </w:r>
          </w:p>
        </w:tc>
        <w:tc>
          <w:tcPr>
            <w:tcW w:w="709"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99,93 %</w:t>
            </w:r>
          </w:p>
        </w:tc>
        <w:tc>
          <w:tcPr>
            <w:tcW w:w="845"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99,33 %</w:t>
            </w:r>
          </w:p>
        </w:tc>
      </w:tr>
      <w:tr w:rsidR="00805324" w:rsidRPr="00805324" w:rsidTr="00805324">
        <w:trPr>
          <w:trHeight w:val="243"/>
        </w:trPr>
        <w:tc>
          <w:tcPr>
            <w:tcW w:w="1053" w:type="dxa"/>
            <w:tcBorders>
              <w:top w:val="nil"/>
              <w:left w:val="single" w:sz="4" w:space="0" w:color="auto"/>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600051000000</w:t>
            </w:r>
          </w:p>
        </w:tc>
        <w:tc>
          <w:tcPr>
            <w:tcW w:w="3478"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Nová radnice - venkovní úpravy, fasáda, dlažby</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150 000,00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150 000,00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148 830,00 </w:t>
            </w:r>
          </w:p>
        </w:tc>
        <w:tc>
          <w:tcPr>
            <w:tcW w:w="709"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99,22 %</w:t>
            </w:r>
          </w:p>
        </w:tc>
        <w:tc>
          <w:tcPr>
            <w:tcW w:w="845"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99,22 %</w:t>
            </w:r>
          </w:p>
        </w:tc>
      </w:tr>
      <w:tr w:rsidR="00805324" w:rsidRPr="00805324" w:rsidTr="00805324">
        <w:trPr>
          <w:trHeight w:val="243"/>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600457000000</w:t>
            </w:r>
          </w:p>
        </w:tc>
        <w:tc>
          <w:tcPr>
            <w:tcW w:w="3478"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Sídliště svornosti - regenerace</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12 000 000,00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11 950 000,00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11 007 123,18 </w:t>
            </w:r>
          </w:p>
        </w:tc>
        <w:tc>
          <w:tcPr>
            <w:tcW w:w="709"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91,73 %</w:t>
            </w:r>
          </w:p>
        </w:tc>
        <w:tc>
          <w:tcPr>
            <w:tcW w:w="845"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92,11 %</w:t>
            </w:r>
          </w:p>
        </w:tc>
      </w:tr>
      <w:tr w:rsidR="00805324" w:rsidRPr="00805324" w:rsidTr="00805324">
        <w:trPr>
          <w:trHeight w:val="301"/>
        </w:trPr>
        <w:tc>
          <w:tcPr>
            <w:tcW w:w="1053" w:type="dxa"/>
            <w:tcBorders>
              <w:top w:val="nil"/>
              <w:left w:val="single" w:sz="4" w:space="0" w:color="auto"/>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600459000000</w:t>
            </w:r>
          </w:p>
        </w:tc>
        <w:tc>
          <w:tcPr>
            <w:tcW w:w="3478"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CS Říční</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300 000,00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300 000,00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296 450,00 </w:t>
            </w:r>
          </w:p>
        </w:tc>
        <w:tc>
          <w:tcPr>
            <w:tcW w:w="709"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98,82 %</w:t>
            </w:r>
          </w:p>
        </w:tc>
        <w:tc>
          <w:tcPr>
            <w:tcW w:w="845"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98,82 %</w:t>
            </w:r>
          </w:p>
        </w:tc>
      </w:tr>
      <w:tr w:rsidR="00805324" w:rsidRPr="00805324" w:rsidTr="00805324">
        <w:trPr>
          <w:trHeight w:val="301"/>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600559000000</w:t>
            </w:r>
          </w:p>
        </w:tc>
        <w:tc>
          <w:tcPr>
            <w:tcW w:w="3478"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Rozšíření Aquaparku PD</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5 000 000,00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0,00 </w:t>
            </w:r>
          </w:p>
        </w:tc>
        <w:tc>
          <w:tcPr>
            <w:tcW w:w="709"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0,00 %</w:t>
            </w:r>
          </w:p>
        </w:tc>
        <w:tc>
          <w:tcPr>
            <w:tcW w:w="845"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w:t>
            </w:r>
          </w:p>
        </w:tc>
      </w:tr>
      <w:tr w:rsidR="00805324" w:rsidRPr="00805324" w:rsidTr="00805324">
        <w:trPr>
          <w:trHeight w:val="301"/>
        </w:trPr>
        <w:tc>
          <w:tcPr>
            <w:tcW w:w="1053" w:type="dxa"/>
            <w:tcBorders>
              <w:top w:val="nil"/>
              <w:left w:val="single" w:sz="4" w:space="0" w:color="auto"/>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600576000000</w:t>
            </w:r>
          </w:p>
        </w:tc>
        <w:tc>
          <w:tcPr>
            <w:tcW w:w="3478"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Přístavba a rekonstr. požár. zbrojnice Vrahovice</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450 000,00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447 971,95 </w:t>
            </w:r>
          </w:p>
        </w:tc>
        <w:tc>
          <w:tcPr>
            <w:tcW w:w="709"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w:t>
            </w:r>
          </w:p>
        </w:tc>
        <w:tc>
          <w:tcPr>
            <w:tcW w:w="845"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99,55 %</w:t>
            </w:r>
          </w:p>
        </w:tc>
      </w:tr>
      <w:tr w:rsidR="00805324" w:rsidRPr="00805324" w:rsidTr="00805324">
        <w:trPr>
          <w:trHeight w:val="301"/>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600588000000</w:t>
            </w:r>
          </w:p>
        </w:tc>
        <w:tc>
          <w:tcPr>
            <w:tcW w:w="3478"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Rekonstrukce ulic Trávnická a Sokolská</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2 500 000,00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5 600 000,00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5 548 801,96 </w:t>
            </w:r>
          </w:p>
        </w:tc>
        <w:tc>
          <w:tcPr>
            <w:tcW w:w="709"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221,95 %</w:t>
            </w:r>
          </w:p>
        </w:tc>
        <w:tc>
          <w:tcPr>
            <w:tcW w:w="845"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99,09 %</w:t>
            </w:r>
          </w:p>
        </w:tc>
      </w:tr>
      <w:tr w:rsidR="00805324" w:rsidRPr="00805324" w:rsidTr="00805324">
        <w:trPr>
          <w:trHeight w:val="301"/>
        </w:trPr>
        <w:tc>
          <w:tcPr>
            <w:tcW w:w="1053" w:type="dxa"/>
            <w:tcBorders>
              <w:top w:val="nil"/>
              <w:left w:val="single" w:sz="4" w:space="0" w:color="auto"/>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600594000000</w:t>
            </w:r>
          </w:p>
        </w:tc>
        <w:tc>
          <w:tcPr>
            <w:tcW w:w="3478"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 xml:space="preserve">Cyklostezka Prostějov-Seloutky-var. řešení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105 000,00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102 850,00 </w:t>
            </w:r>
          </w:p>
        </w:tc>
        <w:tc>
          <w:tcPr>
            <w:tcW w:w="709"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w:t>
            </w:r>
          </w:p>
        </w:tc>
        <w:tc>
          <w:tcPr>
            <w:tcW w:w="845"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97,95 %</w:t>
            </w:r>
          </w:p>
        </w:tc>
      </w:tr>
      <w:tr w:rsidR="00805324" w:rsidRPr="00805324" w:rsidTr="00805324">
        <w:trPr>
          <w:trHeight w:val="301"/>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600602000000</w:t>
            </w:r>
          </w:p>
        </w:tc>
        <w:tc>
          <w:tcPr>
            <w:tcW w:w="3478"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Rekonstrukce střechy Havlíčkova 2-4</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150 000,00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372 680,00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163 350,00 </w:t>
            </w:r>
          </w:p>
        </w:tc>
        <w:tc>
          <w:tcPr>
            <w:tcW w:w="709"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108,90 %</w:t>
            </w:r>
          </w:p>
        </w:tc>
        <w:tc>
          <w:tcPr>
            <w:tcW w:w="845"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43,83 %</w:t>
            </w:r>
          </w:p>
        </w:tc>
      </w:tr>
      <w:tr w:rsidR="00805324" w:rsidRPr="00805324" w:rsidTr="00805324">
        <w:trPr>
          <w:trHeight w:val="301"/>
        </w:trPr>
        <w:tc>
          <w:tcPr>
            <w:tcW w:w="1053" w:type="dxa"/>
            <w:tcBorders>
              <w:top w:val="nil"/>
              <w:left w:val="single" w:sz="4" w:space="0" w:color="auto"/>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600605000000</w:t>
            </w:r>
          </w:p>
        </w:tc>
        <w:tc>
          <w:tcPr>
            <w:tcW w:w="3478"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Cyklostezka sídliště Svobody - Anglická - Anenská,</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3 500 000,00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2 963 850,00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2 667 492,89 </w:t>
            </w:r>
          </w:p>
        </w:tc>
        <w:tc>
          <w:tcPr>
            <w:tcW w:w="709"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76,21 %</w:t>
            </w:r>
          </w:p>
        </w:tc>
        <w:tc>
          <w:tcPr>
            <w:tcW w:w="845"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90,00 %</w:t>
            </w:r>
          </w:p>
        </w:tc>
      </w:tr>
      <w:tr w:rsidR="00805324" w:rsidRPr="00805324" w:rsidTr="00805324">
        <w:trPr>
          <w:trHeight w:val="301"/>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600617000000</w:t>
            </w:r>
          </w:p>
        </w:tc>
        <w:tc>
          <w:tcPr>
            <w:tcW w:w="3478"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MŠ Čechovice-rekonstrukce učebnových pavilonů - PD</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400 000,00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400 000,00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0,00 </w:t>
            </w:r>
          </w:p>
        </w:tc>
        <w:tc>
          <w:tcPr>
            <w:tcW w:w="709"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0,00 %</w:t>
            </w:r>
          </w:p>
        </w:tc>
        <w:tc>
          <w:tcPr>
            <w:tcW w:w="845"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0,00 %</w:t>
            </w:r>
          </w:p>
        </w:tc>
      </w:tr>
      <w:tr w:rsidR="00805324" w:rsidRPr="00805324" w:rsidTr="00805324">
        <w:trPr>
          <w:trHeight w:val="301"/>
        </w:trPr>
        <w:tc>
          <w:tcPr>
            <w:tcW w:w="1053" w:type="dxa"/>
            <w:tcBorders>
              <w:top w:val="nil"/>
              <w:left w:val="single" w:sz="4" w:space="0" w:color="auto"/>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600634000000</w:t>
            </w:r>
          </w:p>
        </w:tc>
        <w:tc>
          <w:tcPr>
            <w:tcW w:w="3478"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EÚO BD Norská 4224/3 a Finská 4190/9 - PD</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10 000 000,00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8 400 000,00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8 364 417,12 </w:t>
            </w:r>
          </w:p>
        </w:tc>
        <w:tc>
          <w:tcPr>
            <w:tcW w:w="709"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83,64 %</w:t>
            </w:r>
          </w:p>
        </w:tc>
        <w:tc>
          <w:tcPr>
            <w:tcW w:w="845"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99,58 %</w:t>
            </w:r>
          </w:p>
        </w:tc>
      </w:tr>
      <w:tr w:rsidR="00805324" w:rsidRPr="00805324" w:rsidTr="00805324">
        <w:trPr>
          <w:trHeight w:val="301"/>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600640000000</w:t>
            </w:r>
          </w:p>
        </w:tc>
        <w:tc>
          <w:tcPr>
            <w:tcW w:w="3478"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Stavební úpravy křižovatky Tovární a Říční</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7 000 000,00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7 000 000,00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6 912 217,05 </w:t>
            </w:r>
          </w:p>
        </w:tc>
        <w:tc>
          <w:tcPr>
            <w:tcW w:w="709"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98,75 %</w:t>
            </w:r>
          </w:p>
        </w:tc>
        <w:tc>
          <w:tcPr>
            <w:tcW w:w="845"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98,75 %</w:t>
            </w:r>
          </w:p>
        </w:tc>
      </w:tr>
      <w:tr w:rsidR="00805324" w:rsidRPr="00805324" w:rsidTr="00805324">
        <w:trPr>
          <w:trHeight w:val="301"/>
        </w:trPr>
        <w:tc>
          <w:tcPr>
            <w:tcW w:w="1053" w:type="dxa"/>
            <w:tcBorders>
              <w:top w:val="nil"/>
              <w:left w:val="single" w:sz="4" w:space="0" w:color="auto"/>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600643000000</w:t>
            </w:r>
          </w:p>
        </w:tc>
        <w:tc>
          <w:tcPr>
            <w:tcW w:w="3478"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Dopravní řešení před hřbitovem ul. Brněnská, PV</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2 200 000,00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1 750 000,00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1 728 553,20 </w:t>
            </w:r>
          </w:p>
        </w:tc>
        <w:tc>
          <w:tcPr>
            <w:tcW w:w="709"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78,57 %</w:t>
            </w:r>
          </w:p>
        </w:tc>
        <w:tc>
          <w:tcPr>
            <w:tcW w:w="845"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98,77 %</w:t>
            </w:r>
          </w:p>
        </w:tc>
      </w:tr>
      <w:tr w:rsidR="00805324" w:rsidRPr="00805324" w:rsidTr="00805324">
        <w:trPr>
          <w:trHeight w:val="301"/>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600645000000</w:t>
            </w:r>
          </w:p>
        </w:tc>
        <w:tc>
          <w:tcPr>
            <w:tcW w:w="3478"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Dopr. prostupnost území J.</w:t>
            </w:r>
            <w:r>
              <w:rPr>
                <w:rFonts w:ascii="Calibri" w:hAnsi="Calibri" w:cs="Calibri"/>
                <w:sz w:val="15"/>
                <w:szCs w:val="15"/>
              </w:rPr>
              <w:t xml:space="preserve"> </w:t>
            </w:r>
            <w:r w:rsidRPr="00805324">
              <w:rPr>
                <w:rFonts w:ascii="Calibri" w:hAnsi="Calibri" w:cs="Calibri"/>
                <w:sz w:val="15"/>
                <w:szCs w:val="15"/>
              </w:rPr>
              <w:t>B.</w:t>
            </w:r>
            <w:r>
              <w:rPr>
                <w:rFonts w:ascii="Calibri" w:hAnsi="Calibri" w:cs="Calibri"/>
                <w:sz w:val="15"/>
                <w:szCs w:val="15"/>
              </w:rPr>
              <w:t xml:space="preserve"> </w:t>
            </w:r>
            <w:r w:rsidRPr="00805324">
              <w:rPr>
                <w:rFonts w:ascii="Calibri" w:hAnsi="Calibri" w:cs="Calibri"/>
                <w:sz w:val="15"/>
                <w:szCs w:val="15"/>
              </w:rPr>
              <w:t>Pecky - Kostelecká PD</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2 000 000,00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2 550 000,00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2 503 768,80 </w:t>
            </w:r>
          </w:p>
        </w:tc>
        <w:tc>
          <w:tcPr>
            <w:tcW w:w="709"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125,19 %</w:t>
            </w:r>
          </w:p>
        </w:tc>
        <w:tc>
          <w:tcPr>
            <w:tcW w:w="845"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98,19 %</w:t>
            </w:r>
          </w:p>
        </w:tc>
      </w:tr>
      <w:tr w:rsidR="00805324" w:rsidRPr="00805324" w:rsidTr="00805324">
        <w:trPr>
          <w:trHeight w:val="301"/>
        </w:trPr>
        <w:tc>
          <w:tcPr>
            <w:tcW w:w="1053" w:type="dxa"/>
            <w:tcBorders>
              <w:top w:val="nil"/>
              <w:left w:val="single" w:sz="4" w:space="0" w:color="auto"/>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600650000000</w:t>
            </w:r>
          </w:p>
        </w:tc>
        <w:tc>
          <w:tcPr>
            <w:tcW w:w="3478"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Revital. Pivovarského rybníčku (Vrahovice)-PD</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15 000 000,00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14 050 000,00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13 658 743,99 </w:t>
            </w:r>
          </w:p>
        </w:tc>
        <w:tc>
          <w:tcPr>
            <w:tcW w:w="709"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91,06 %</w:t>
            </w:r>
          </w:p>
        </w:tc>
        <w:tc>
          <w:tcPr>
            <w:tcW w:w="845"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97,22 %</w:t>
            </w:r>
          </w:p>
        </w:tc>
      </w:tr>
      <w:tr w:rsidR="00805324" w:rsidRPr="00805324" w:rsidTr="00805324">
        <w:trPr>
          <w:trHeight w:val="301"/>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600652000000</w:t>
            </w:r>
          </w:p>
        </w:tc>
        <w:tc>
          <w:tcPr>
            <w:tcW w:w="3478"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Cyklistická stezka v ul.Průmyslová-I.a II.etapa-PD</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50 000,00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41 745,00 </w:t>
            </w:r>
          </w:p>
        </w:tc>
        <w:tc>
          <w:tcPr>
            <w:tcW w:w="709"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w:t>
            </w:r>
          </w:p>
        </w:tc>
        <w:tc>
          <w:tcPr>
            <w:tcW w:w="845"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83,49 %</w:t>
            </w:r>
          </w:p>
        </w:tc>
      </w:tr>
      <w:tr w:rsidR="00805324" w:rsidRPr="00805324" w:rsidTr="00805324">
        <w:trPr>
          <w:trHeight w:val="301"/>
        </w:trPr>
        <w:tc>
          <w:tcPr>
            <w:tcW w:w="1053" w:type="dxa"/>
            <w:tcBorders>
              <w:top w:val="nil"/>
              <w:left w:val="single" w:sz="4" w:space="0" w:color="auto"/>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600660000000</w:t>
            </w:r>
          </w:p>
        </w:tc>
        <w:tc>
          <w:tcPr>
            <w:tcW w:w="3478"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Cyklověž Janáčkova, PD</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500 000,00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0,00 </w:t>
            </w:r>
          </w:p>
        </w:tc>
        <w:tc>
          <w:tcPr>
            <w:tcW w:w="709"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0,00 %</w:t>
            </w:r>
          </w:p>
        </w:tc>
        <w:tc>
          <w:tcPr>
            <w:tcW w:w="845"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w:t>
            </w:r>
          </w:p>
        </w:tc>
      </w:tr>
      <w:tr w:rsidR="00805324" w:rsidRPr="00805324" w:rsidTr="00805324">
        <w:trPr>
          <w:trHeight w:val="301"/>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600661000000</w:t>
            </w:r>
          </w:p>
        </w:tc>
        <w:tc>
          <w:tcPr>
            <w:tcW w:w="3478"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Kulturní dům PD</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8 000 000,00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2 000 000,00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1 943 284,20 </w:t>
            </w:r>
          </w:p>
        </w:tc>
        <w:tc>
          <w:tcPr>
            <w:tcW w:w="709"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24,29 %</w:t>
            </w:r>
          </w:p>
        </w:tc>
        <w:tc>
          <w:tcPr>
            <w:tcW w:w="845"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97,16 %</w:t>
            </w:r>
          </w:p>
        </w:tc>
      </w:tr>
      <w:tr w:rsidR="00805324" w:rsidRPr="00805324" w:rsidTr="00805324">
        <w:trPr>
          <w:trHeight w:val="301"/>
        </w:trPr>
        <w:tc>
          <w:tcPr>
            <w:tcW w:w="1053" w:type="dxa"/>
            <w:tcBorders>
              <w:top w:val="nil"/>
              <w:left w:val="single" w:sz="4" w:space="0" w:color="auto"/>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600668000000</w:t>
            </w:r>
          </w:p>
        </w:tc>
        <w:tc>
          <w:tcPr>
            <w:tcW w:w="3478"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ZŠ E. Valenty - rekonstrukce tělocvičen</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6 000 000,00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5 915 653,00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5 857 101,06 </w:t>
            </w:r>
          </w:p>
        </w:tc>
        <w:tc>
          <w:tcPr>
            <w:tcW w:w="709"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97,62 %</w:t>
            </w:r>
          </w:p>
        </w:tc>
        <w:tc>
          <w:tcPr>
            <w:tcW w:w="845"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99,01 %</w:t>
            </w:r>
          </w:p>
        </w:tc>
      </w:tr>
      <w:tr w:rsidR="00805324" w:rsidRPr="00805324" w:rsidTr="00805324">
        <w:trPr>
          <w:trHeight w:val="301"/>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600669000000</w:t>
            </w:r>
          </w:p>
        </w:tc>
        <w:tc>
          <w:tcPr>
            <w:tcW w:w="3478"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Veřejné prostranství u ZŠ Husova</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3 800 000,00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5 240 000,00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5 170 292,36 </w:t>
            </w:r>
          </w:p>
        </w:tc>
        <w:tc>
          <w:tcPr>
            <w:tcW w:w="709"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136,06 %</w:t>
            </w:r>
          </w:p>
        </w:tc>
        <w:tc>
          <w:tcPr>
            <w:tcW w:w="845"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98,67 %</w:t>
            </w:r>
          </w:p>
        </w:tc>
      </w:tr>
      <w:tr w:rsidR="00805324" w:rsidRPr="00805324" w:rsidTr="00805324">
        <w:trPr>
          <w:trHeight w:val="301"/>
        </w:trPr>
        <w:tc>
          <w:tcPr>
            <w:tcW w:w="1053" w:type="dxa"/>
            <w:tcBorders>
              <w:top w:val="nil"/>
              <w:left w:val="single" w:sz="4" w:space="0" w:color="auto"/>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600671000000</w:t>
            </w:r>
          </w:p>
        </w:tc>
        <w:tc>
          <w:tcPr>
            <w:tcW w:w="3478"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Zimní stadion - výměna kopilitů na východní straně</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19 000 000,00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3 640 099,98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3 638 109,81 </w:t>
            </w:r>
          </w:p>
        </w:tc>
        <w:tc>
          <w:tcPr>
            <w:tcW w:w="709"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19,15 %</w:t>
            </w:r>
          </w:p>
        </w:tc>
        <w:tc>
          <w:tcPr>
            <w:tcW w:w="845"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99,95 %</w:t>
            </w:r>
          </w:p>
        </w:tc>
      </w:tr>
      <w:tr w:rsidR="00805324" w:rsidRPr="00805324" w:rsidTr="00805324">
        <w:trPr>
          <w:trHeight w:val="301"/>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600671000001</w:t>
            </w:r>
          </w:p>
        </w:tc>
        <w:tc>
          <w:tcPr>
            <w:tcW w:w="3478"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Zimní stadion výměna kopilitů na východní straně</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16 802 485,98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16 138 991,78 </w:t>
            </w:r>
          </w:p>
        </w:tc>
        <w:tc>
          <w:tcPr>
            <w:tcW w:w="709"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w:t>
            </w:r>
          </w:p>
        </w:tc>
        <w:tc>
          <w:tcPr>
            <w:tcW w:w="845"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96,05 %</w:t>
            </w:r>
          </w:p>
        </w:tc>
      </w:tr>
      <w:tr w:rsidR="00805324" w:rsidRPr="00805324" w:rsidTr="00805324">
        <w:trPr>
          <w:trHeight w:val="301"/>
        </w:trPr>
        <w:tc>
          <w:tcPr>
            <w:tcW w:w="1053" w:type="dxa"/>
            <w:tcBorders>
              <w:top w:val="nil"/>
              <w:left w:val="single" w:sz="4" w:space="0" w:color="auto"/>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600672000000</w:t>
            </w:r>
          </w:p>
        </w:tc>
        <w:tc>
          <w:tcPr>
            <w:tcW w:w="3478"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Fotbalový stadion 1 SK - osvětlení, rek. tribuny</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3 000 000,00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3 000 000,00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2 890 690,00 </w:t>
            </w:r>
          </w:p>
        </w:tc>
        <w:tc>
          <w:tcPr>
            <w:tcW w:w="709"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96,36 %</w:t>
            </w:r>
          </w:p>
        </w:tc>
        <w:tc>
          <w:tcPr>
            <w:tcW w:w="845"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96,36 %</w:t>
            </w:r>
          </w:p>
        </w:tc>
      </w:tr>
      <w:tr w:rsidR="00805324" w:rsidRPr="00805324" w:rsidTr="00805324">
        <w:trPr>
          <w:trHeight w:val="301"/>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600673000000</w:t>
            </w:r>
          </w:p>
        </w:tc>
        <w:tc>
          <w:tcPr>
            <w:tcW w:w="3478"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rekonstrukce has. zbrojnice Domamyslice - prádelna</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30 000,00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23 328,80 </w:t>
            </w:r>
          </w:p>
        </w:tc>
        <w:tc>
          <w:tcPr>
            <w:tcW w:w="709"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w:t>
            </w:r>
          </w:p>
        </w:tc>
        <w:tc>
          <w:tcPr>
            <w:tcW w:w="845"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77,76 %</w:t>
            </w:r>
          </w:p>
        </w:tc>
      </w:tr>
      <w:tr w:rsidR="00805324" w:rsidRPr="00805324" w:rsidTr="00805324">
        <w:trPr>
          <w:trHeight w:val="301"/>
        </w:trPr>
        <w:tc>
          <w:tcPr>
            <w:tcW w:w="1053" w:type="dxa"/>
            <w:tcBorders>
              <w:top w:val="nil"/>
              <w:left w:val="single" w:sz="4" w:space="0" w:color="auto"/>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600675000000</w:t>
            </w:r>
          </w:p>
        </w:tc>
        <w:tc>
          <w:tcPr>
            <w:tcW w:w="3478"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Vrahovická - příspěvek pro kraj</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9 000 000,00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11 300 000,00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11 264 656,35 </w:t>
            </w:r>
          </w:p>
        </w:tc>
        <w:tc>
          <w:tcPr>
            <w:tcW w:w="709"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125,16 %</w:t>
            </w:r>
          </w:p>
        </w:tc>
        <w:tc>
          <w:tcPr>
            <w:tcW w:w="845"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99,69 %</w:t>
            </w:r>
          </w:p>
        </w:tc>
      </w:tr>
      <w:tr w:rsidR="00805324" w:rsidRPr="00805324" w:rsidTr="00805324">
        <w:trPr>
          <w:trHeight w:val="301"/>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600688000000</w:t>
            </w:r>
          </w:p>
        </w:tc>
        <w:tc>
          <w:tcPr>
            <w:tcW w:w="3478"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Běžecký tunel, ZŠ J.</w:t>
            </w:r>
            <w:r>
              <w:rPr>
                <w:rFonts w:ascii="Calibri" w:hAnsi="Calibri" w:cs="Calibri"/>
                <w:sz w:val="15"/>
                <w:szCs w:val="15"/>
              </w:rPr>
              <w:t xml:space="preserve"> </w:t>
            </w:r>
            <w:r w:rsidRPr="00805324">
              <w:rPr>
                <w:rFonts w:ascii="Calibri" w:hAnsi="Calibri" w:cs="Calibri"/>
                <w:sz w:val="15"/>
                <w:szCs w:val="15"/>
              </w:rPr>
              <w:t>Železného</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27 000 000,00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500 000,00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229 900,00 </w:t>
            </w:r>
          </w:p>
        </w:tc>
        <w:tc>
          <w:tcPr>
            <w:tcW w:w="709"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0,85 %</w:t>
            </w:r>
          </w:p>
        </w:tc>
        <w:tc>
          <w:tcPr>
            <w:tcW w:w="845"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45,98 %</w:t>
            </w:r>
          </w:p>
        </w:tc>
      </w:tr>
      <w:tr w:rsidR="00805324" w:rsidRPr="00805324" w:rsidTr="00805324">
        <w:trPr>
          <w:trHeight w:val="301"/>
        </w:trPr>
        <w:tc>
          <w:tcPr>
            <w:tcW w:w="1053" w:type="dxa"/>
            <w:tcBorders>
              <w:top w:val="nil"/>
              <w:left w:val="single" w:sz="4" w:space="0" w:color="auto"/>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600689000000</w:t>
            </w:r>
          </w:p>
        </w:tc>
        <w:tc>
          <w:tcPr>
            <w:tcW w:w="3478"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Regenerace panelového sídliště Brněnská-Dobrovského</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37 000 000,00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35 010 089,00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34 991 021,73 </w:t>
            </w:r>
          </w:p>
        </w:tc>
        <w:tc>
          <w:tcPr>
            <w:tcW w:w="709"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94,57 %</w:t>
            </w:r>
          </w:p>
        </w:tc>
        <w:tc>
          <w:tcPr>
            <w:tcW w:w="845"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99,95 %</w:t>
            </w:r>
          </w:p>
        </w:tc>
      </w:tr>
      <w:tr w:rsidR="00805324" w:rsidRPr="00805324" w:rsidTr="00805324">
        <w:trPr>
          <w:trHeight w:val="301"/>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600697000000</w:t>
            </w:r>
          </w:p>
        </w:tc>
        <w:tc>
          <w:tcPr>
            <w:tcW w:w="3478"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cyklistická stezka Vrbátky - PD</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105 000,00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102 910,00 </w:t>
            </w:r>
          </w:p>
        </w:tc>
        <w:tc>
          <w:tcPr>
            <w:tcW w:w="709"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w:t>
            </w:r>
          </w:p>
        </w:tc>
        <w:tc>
          <w:tcPr>
            <w:tcW w:w="845"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98,01 %</w:t>
            </w:r>
          </w:p>
        </w:tc>
      </w:tr>
      <w:tr w:rsidR="00805324" w:rsidRPr="00805324" w:rsidTr="00805324">
        <w:trPr>
          <w:trHeight w:val="301"/>
        </w:trPr>
        <w:tc>
          <w:tcPr>
            <w:tcW w:w="1053" w:type="dxa"/>
            <w:tcBorders>
              <w:top w:val="nil"/>
              <w:left w:val="single" w:sz="4" w:space="0" w:color="auto"/>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600699000000</w:t>
            </w:r>
          </w:p>
        </w:tc>
        <w:tc>
          <w:tcPr>
            <w:tcW w:w="3478"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Dům služeb, ul. Olomoucká - PD</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700 000,00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1 169 000,00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1 165 830,00 </w:t>
            </w:r>
          </w:p>
        </w:tc>
        <w:tc>
          <w:tcPr>
            <w:tcW w:w="709"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166,55 %</w:t>
            </w:r>
          </w:p>
        </w:tc>
        <w:tc>
          <w:tcPr>
            <w:tcW w:w="845"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99,73 %</w:t>
            </w:r>
          </w:p>
        </w:tc>
      </w:tr>
      <w:tr w:rsidR="00805324" w:rsidRPr="00805324" w:rsidTr="00805324">
        <w:trPr>
          <w:trHeight w:val="301"/>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600706000000</w:t>
            </w:r>
          </w:p>
        </w:tc>
        <w:tc>
          <w:tcPr>
            <w:tcW w:w="3478"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Dopravní terminál Újezd a parkoviště</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5 000 000,00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3 500 000,00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2 099 950,00 </w:t>
            </w:r>
          </w:p>
        </w:tc>
        <w:tc>
          <w:tcPr>
            <w:tcW w:w="709"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42,00 %</w:t>
            </w:r>
          </w:p>
        </w:tc>
        <w:tc>
          <w:tcPr>
            <w:tcW w:w="845"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60,00 %</w:t>
            </w:r>
          </w:p>
        </w:tc>
      </w:tr>
      <w:tr w:rsidR="00805324" w:rsidRPr="00805324" w:rsidTr="00805324">
        <w:trPr>
          <w:trHeight w:val="301"/>
        </w:trPr>
        <w:tc>
          <w:tcPr>
            <w:tcW w:w="1053" w:type="dxa"/>
            <w:tcBorders>
              <w:top w:val="nil"/>
              <w:left w:val="single" w:sz="4" w:space="0" w:color="auto"/>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600709000000</w:t>
            </w:r>
          </w:p>
        </w:tc>
        <w:tc>
          <w:tcPr>
            <w:tcW w:w="3478"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 xml:space="preserve">Obnova povrchů veřejných prostranství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2 000 000,00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72 630,00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56 200,00 </w:t>
            </w:r>
          </w:p>
        </w:tc>
        <w:tc>
          <w:tcPr>
            <w:tcW w:w="709"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2,81 %</w:t>
            </w:r>
          </w:p>
        </w:tc>
        <w:tc>
          <w:tcPr>
            <w:tcW w:w="845"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77,38 %</w:t>
            </w:r>
          </w:p>
        </w:tc>
      </w:tr>
      <w:tr w:rsidR="00805324" w:rsidRPr="00805324" w:rsidTr="00805324">
        <w:trPr>
          <w:trHeight w:val="301"/>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600711000000</w:t>
            </w:r>
          </w:p>
        </w:tc>
        <w:tc>
          <w:tcPr>
            <w:tcW w:w="3478"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Parkoviště a fotb.</w:t>
            </w:r>
            <w:r>
              <w:rPr>
                <w:rFonts w:ascii="Calibri" w:hAnsi="Calibri" w:cs="Calibri"/>
                <w:sz w:val="15"/>
                <w:szCs w:val="15"/>
              </w:rPr>
              <w:t xml:space="preserve"> </w:t>
            </w:r>
            <w:r w:rsidRPr="00805324">
              <w:rPr>
                <w:rFonts w:ascii="Calibri" w:hAnsi="Calibri" w:cs="Calibri"/>
                <w:sz w:val="15"/>
                <w:szCs w:val="15"/>
              </w:rPr>
              <w:t>hřiště vedle haly DDM - PD</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1 600 000,00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1 600 000,00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1 577 902,05 </w:t>
            </w:r>
          </w:p>
        </w:tc>
        <w:tc>
          <w:tcPr>
            <w:tcW w:w="709"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98,62 %</w:t>
            </w:r>
          </w:p>
        </w:tc>
        <w:tc>
          <w:tcPr>
            <w:tcW w:w="845"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98,62 %</w:t>
            </w:r>
          </w:p>
        </w:tc>
      </w:tr>
      <w:tr w:rsidR="00805324" w:rsidRPr="00805324" w:rsidTr="00805324">
        <w:trPr>
          <w:trHeight w:val="301"/>
        </w:trPr>
        <w:tc>
          <w:tcPr>
            <w:tcW w:w="1053" w:type="dxa"/>
            <w:tcBorders>
              <w:top w:val="nil"/>
              <w:left w:val="single" w:sz="4" w:space="0" w:color="auto"/>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600714000000</w:t>
            </w:r>
          </w:p>
        </w:tc>
        <w:tc>
          <w:tcPr>
            <w:tcW w:w="3478"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Měst.hřbitov-rekonstrukce brány,zdiva a domu spr.</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8 000 000,00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0,00 </w:t>
            </w:r>
          </w:p>
        </w:tc>
        <w:tc>
          <w:tcPr>
            <w:tcW w:w="709"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0,00 %</w:t>
            </w:r>
          </w:p>
        </w:tc>
        <w:tc>
          <w:tcPr>
            <w:tcW w:w="845"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w:t>
            </w:r>
          </w:p>
        </w:tc>
      </w:tr>
      <w:tr w:rsidR="00805324" w:rsidRPr="00805324" w:rsidTr="00805324">
        <w:trPr>
          <w:trHeight w:val="301"/>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600715000000</w:t>
            </w:r>
          </w:p>
        </w:tc>
        <w:tc>
          <w:tcPr>
            <w:tcW w:w="3478"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Nadstavba objektu na dětském dopravním hřišti - PD</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300 000,00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0,00 </w:t>
            </w:r>
          </w:p>
        </w:tc>
        <w:tc>
          <w:tcPr>
            <w:tcW w:w="709"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0,00 %</w:t>
            </w:r>
          </w:p>
        </w:tc>
        <w:tc>
          <w:tcPr>
            <w:tcW w:w="845"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w:t>
            </w:r>
          </w:p>
        </w:tc>
      </w:tr>
      <w:tr w:rsidR="00805324" w:rsidRPr="00805324" w:rsidTr="00805324">
        <w:trPr>
          <w:trHeight w:val="301"/>
        </w:trPr>
        <w:tc>
          <w:tcPr>
            <w:tcW w:w="1053" w:type="dxa"/>
            <w:tcBorders>
              <w:top w:val="nil"/>
              <w:left w:val="single" w:sz="4" w:space="0" w:color="auto"/>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600716000000</w:t>
            </w:r>
          </w:p>
        </w:tc>
        <w:tc>
          <w:tcPr>
            <w:tcW w:w="3478"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Stacionární měřič rychlosti</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52 000,00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8 000,00 </w:t>
            </w:r>
          </w:p>
        </w:tc>
        <w:tc>
          <w:tcPr>
            <w:tcW w:w="709"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w:t>
            </w:r>
          </w:p>
        </w:tc>
        <w:tc>
          <w:tcPr>
            <w:tcW w:w="845"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15,38 %</w:t>
            </w:r>
          </w:p>
        </w:tc>
      </w:tr>
      <w:tr w:rsidR="00805324" w:rsidRPr="00805324" w:rsidTr="00805324">
        <w:trPr>
          <w:trHeight w:val="301"/>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600717000000</w:t>
            </w:r>
          </w:p>
        </w:tc>
        <w:tc>
          <w:tcPr>
            <w:tcW w:w="3478"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Zimní stadion-rekonstrukce šaten - PD</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2 500 000,00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3 844 333,00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3 406 476,58 </w:t>
            </w:r>
          </w:p>
        </w:tc>
        <w:tc>
          <w:tcPr>
            <w:tcW w:w="709"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136,26 %</w:t>
            </w:r>
          </w:p>
        </w:tc>
        <w:tc>
          <w:tcPr>
            <w:tcW w:w="845"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88,61 %</w:t>
            </w:r>
          </w:p>
        </w:tc>
      </w:tr>
      <w:tr w:rsidR="00805324" w:rsidRPr="00805324" w:rsidTr="00805324">
        <w:trPr>
          <w:trHeight w:val="301"/>
        </w:trPr>
        <w:tc>
          <w:tcPr>
            <w:tcW w:w="1053" w:type="dxa"/>
            <w:tcBorders>
              <w:top w:val="nil"/>
              <w:left w:val="single" w:sz="4" w:space="0" w:color="auto"/>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600718000000</w:t>
            </w:r>
          </w:p>
        </w:tc>
        <w:tc>
          <w:tcPr>
            <w:tcW w:w="3478"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Přípojky IS pro nový areál IZS na Brněnské ul.</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700 000,00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800 000,00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761 197,00 </w:t>
            </w:r>
          </w:p>
        </w:tc>
        <w:tc>
          <w:tcPr>
            <w:tcW w:w="709"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108,74 %</w:t>
            </w:r>
          </w:p>
        </w:tc>
        <w:tc>
          <w:tcPr>
            <w:tcW w:w="845"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95,15 %</w:t>
            </w:r>
          </w:p>
        </w:tc>
      </w:tr>
      <w:tr w:rsidR="00805324" w:rsidRPr="00805324" w:rsidTr="00805324">
        <w:trPr>
          <w:trHeight w:val="301"/>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600722000000</w:t>
            </w:r>
          </w:p>
        </w:tc>
        <w:tc>
          <w:tcPr>
            <w:tcW w:w="3478"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Odvodnění Kolářových sadů - PD</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2 000 000,00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3 010 080,00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3 007 194,74 </w:t>
            </w:r>
          </w:p>
        </w:tc>
        <w:tc>
          <w:tcPr>
            <w:tcW w:w="709"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150,36 %</w:t>
            </w:r>
          </w:p>
        </w:tc>
        <w:tc>
          <w:tcPr>
            <w:tcW w:w="845"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99,90 %</w:t>
            </w:r>
          </w:p>
        </w:tc>
      </w:tr>
      <w:tr w:rsidR="00805324" w:rsidRPr="00805324" w:rsidTr="00805324">
        <w:trPr>
          <w:trHeight w:val="301"/>
        </w:trPr>
        <w:tc>
          <w:tcPr>
            <w:tcW w:w="1053" w:type="dxa"/>
            <w:tcBorders>
              <w:top w:val="nil"/>
              <w:left w:val="single" w:sz="4" w:space="0" w:color="auto"/>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600723000000</w:t>
            </w:r>
          </w:p>
        </w:tc>
        <w:tc>
          <w:tcPr>
            <w:tcW w:w="3478"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Plynofikace azylového centra vč. nové kotelny - PD</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3 000 000,00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1 300 000,00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1 281 737,27 </w:t>
            </w:r>
          </w:p>
        </w:tc>
        <w:tc>
          <w:tcPr>
            <w:tcW w:w="709"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42,72 %</w:t>
            </w:r>
          </w:p>
        </w:tc>
        <w:tc>
          <w:tcPr>
            <w:tcW w:w="845"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98,60 %</w:t>
            </w:r>
          </w:p>
        </w:tc>
      </w:tr>
      <w:tr w:rsidR="00805324" w:rsidRPr="00805324" w:rsidTr="00805324">
        <w:trPr>
          <w:trHeight w:val="301"/>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600726000000</w:t>
            </w:r>
          </w:p>
        </w:tc>
        <w:tc>
          <w:tcPr>
            <w:tcW w:w="3478"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Parkoviště u hřbitova - PD</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2 800 000,00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3 390 000,00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3 327 696,45 </w:t>
            </w:r>
          </w:p>
        </w:tc>
        <w:tc>
          <w:tcPr>
            <w:tcW w:w="709"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118,85 %</w:t>
            </w:r>
          </w:p>
        </w:tc>
        <w:tc>
          <w:tcPr>
            <w:tcW w:w="845"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98,16 %</w:t>
            </w:r>
          </w:p>
        </w:tc>
      </w:tr>
      <w:tr w:rsidR="00805324" w:rsidRPr="00805324" w:rsidTr="00805324">
        <w:trPr>
          <w:trHeight w:val="301"/>
        </w:trPr>
        <w:tc>
          <w:tcPr>
            <w:tcW w:w="1053" w:type="dxa"/>
            <w:tcBorders>
              <w:top w:val="nil"/>
              <w:left w:val="single" w:sz="4" w:space="0" w:color="auto"/>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600731000000</w:t>
            </w:r>
          </w:p>
        </w:tc>
        <w:tc>
          <w:tcPr>
            <w:tcW w:w="3478"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Chodníky podél ulice Vrahovické vč. PD</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3 000 000,00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0,00 </w:t>
            </w:r>
          </w:p>
        </w:tc>
        <w:tc>
          <w:tcPr>
            <w:tcW w:w="709"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0,00 %</w:t>
            </w:r>
          </w:p>
        </w:tc>
        <w:tc>
          <w:tcPr>
            <w:tcW w:w="845"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w:t>
            </w:r>
          </w:p>
        </w:tc>
      </w:tr>
      <w:tr w:rsidR="00805324" w:rsidRPr="00805324" w:rsidTr="00805324">
        <w:trPr>
          <w:trHeight w:val="301"/>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lastRenderedPageBreak/>
              <w:t>600732000000</w:t>
            </w:r>
          </w:p>
        </w:tc>
        <w:tc>
          <w:tcPr>
            <w:tcW w:w="3478"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Rekonstrukce mostu na ul. M. Pujmanové - PD</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500 000,00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580 000,00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579 590,00 </w:t>
            </w:r>
          </w:p>
        </w:tc>
        <w:tc>
          <w:tcPr>
            <w:tcW w:w="709"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115,92 %</w:t>
            </w:r>
          </w:p>
        </w:tc>
        <w:tc>
          <w:tcPr>
            <w:tcW w:w="845"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99,93 %</w:t>
            </w:r>
          </w:p>
        </w:tc>
      </w:tr>
      <w:tr w:rsidR="00805324" w:rsidRPr="00805324" w:rsidTr="00805324">
        <w:trPr>
          <w:trHeight w:val="301"/>
        </w:trPr>
        <w:tc>
          <w:tcPr>
            <w:tcW w:w="1053" w:type="dxa"/>
            <w:tcBorders>
              <w:top w:val="nil"/>
              <w:left w:val="single" w:sz="4" w:space="0" w:color="auto"/>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600733000000</w:t>
            </w:r>
          </w:p>
        </w:tc>
        <w:tc>
          <w:tcPr>
            <w:tcW w:w="3478"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Chodník Luční</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2 000 000,00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3 650 000,00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3 620 603,04 </w:t>
            </w:r>
          </w:p>
        </w:tc>
        <w:tc>
          <w:tcPr>
            <w:tcW w:w="709"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181,03 %</w:t>
            </w:r>
          </w:p>
        </w:tc>
        <w:tc>
          <w:tcPr>
            <w:tcW w:w="845"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99,19 %</w:t>
            </w:r>
          </w:p>
        </w:tc>
      </w:tr>
      <w:tr w:rsidR="00805324" w:rsidRPr="00805324" w:rsidTr="00805324">
        <w:trPr>
          <w:trHeight w:val="301"/>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600735000000</w:t>
            </w:r>
          </w:p>
        </w:tc>
        <w:tc>
          <w:tcPr>
            <w:tcW w:w="3478"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Rekonstrukce byt. domu na Žižkově nám 134/19-PD</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600 000,00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0,00 </w:t>
            </w:r>
          </w:p>
        </w:tc>
        <w:tc>
          <w:tcPr>
            <w:tcW w:w="709"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0,00 %</w:t>
            </w:r>
          </w:p>
        </w:tc>
        <w:tc>
          <w:tcPr>
            <w:tcW w:w="845"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w:t>
            </w:r>
          </w:p>
        </w:tc>
      </w:tr>
      <w:tr w:rsidR="00805324" w:rsidRPr="00805324" w:rsidTr="00805324">
        <w:trPr>
          <w:trHeight w:val="301"/>
        </w:trPr>
        <w:tc>
          <w:tcPr>
            <w:tcW w:w="1053" w:type="dxa"/>
            <w:tcBorders>
              <w:top w:val="nil"/>
              <w:left w:val="single" w:sz="4" w:space="0" w:color="auto"/>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600736000000</w:t>
            </w:r>
          </w:p>
        </w:tc>
        <w:tc>
          <w:tcPr>
            <w:tcW w:w="3478"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Vícovská - workoutové hřiště</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600 000,00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600 000,00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484 000,00 </w:t>
            </w:r>
          </w:p>
        </w:tc>
        <w:tc>
          <w:tcPr>
            <w:tcW w:w="709"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80,67 %</w:t>
            </w:r>
          </w:p>
        </w:tc>
        <w:tc>
          <w:tcPr>
            <w:tcW w:w="845"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80,67 %</w:t>
            </w:r>
          </w:p>
        </w:tc>
      </w:tr>
      <w:tr w:rsidR="00805324" w:rsidRPr="00805324" w:rsidTr="00805324">
        <w:trPr>
          <w:trHeight w:val="301"/>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600739000000</w:t>
            </w:r>
          </w:p>
        </w:tc>
        <w:tc>
          <w:tcPr>
            <w:tcW w:w="3478"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Stavební úpravy WC v budově Křížkovského, Demelova</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200 000,00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200 000,00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100 793,00 </w:t>
            </w:r>
          </w:p>
        </w:tc>
        <w:tc>
          <w:tcPr>
            <w:tcW w:w="709"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50,40 %</w:t>
            </w:r>
          </w:p>
        </w:tc>
        <w:tc>
          <w:tcPr>
            <w:tcW w:w="845"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50,40 %</w:t>
            </w:r>
          </w:p>
        </w:tc>
      </w:tr>
      <w:tr w:rsidR="00805324" w:rsidRPr="00805324" w:rsidTr="00805324">
        <w:trPr>
          <w:trHeight w:val="301"/>
        </w:trPr>
        <w:tc>
          <w:tcPr>
            <w:tcW w:w="1053" w:type="dxa"/>
            <w:tcBorders>
              <w:top w:val="nil"/>
              <w:left w:val="single" w:sz="4" w:space="0" w:color="auto"/>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600740000000</w:t>
            </w:r>
          </w:p>
        </w:tc>
        <w:tc>
          <w:tcPr>
            <w:tcW w:w="3478"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EÚO BD Finská 4190/9</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15 000 000,00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22 500 000,00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12 744 175,33 </w:t>
            </w:r>
          </w:p>
        </w:tc>
        <w:tc>
          <w:tcPr>
            <w:tcW w:w="709"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84,96 %</w:t>
            </w:r>
          </w:p>
        </w:tc>
        <w:tc>
          <w:tcPr>
            <w:tcW w:w="845"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56,64 %</w:t>
            </w:r>
          </w:p>
        </w:tc>
      </w:tr>
      <w:tr w:rsidR="00805324" w:rsidRPr="00805324" w:rsidTr="00805324">
        <w:trPr>
          <w:trHeight w:val="301"/>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600741000000</w:t>
            </w:r>
          </w:p>
        </w:tc>
        <w:tc>
          <w:tcPr>
            <w:tcW w:w="3478"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Polská 13 - rekonstrukce kotelny vč. PD</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2 000 000,00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900 000,00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864 917,00 </w:t>
            </w:r>
          </w:p>
        </w:tc>
        <w:tc>
          <w:tcPr>
            <w:tcW w:w="709"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43,25 %</w:t>
            </w:r>
          </w:p>
        </w:tc>
        <w:tc>
          <w:tcPr>
            <w:tcW w:w="845"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96,10 %</w:t>
            </w:r>
          </w:p>
        </w:tc>
      </w:tr>
      <w:tr w:rsidR="00805324" w:rsidRPr="00805324" w:rsidTr="00805324">
        <w:trPr>
          <w:trHeight w:val="243"/>
        </w:trPr>
        <w:tc>
          <w:tcPr>
            <w:tcW w:w="1053" w:type="dxa"/>
            <w:tcBorders>
              <w:top w:val="nil"/>
              <w:left w:val="single" w:sz="4" w:space="0" w:color="auto"/>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600743000000</w:t>
            </w:r>
          </w:p>
        </w:tc>
        <w:tc>
          <w:tcPr>
            <w:tcW w:w="3478"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Brněnská 32 - zateplení domu - PD</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500 000,00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500 000,00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415 030,00 </w:t>
            </w:r>
          </w:p>
        </w:tc>
        <w:tc>
          <w:tcPr>
            <w:tcW w:w="709"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83,01 %</w:t>
            </w:r>
          </w:p>
        </w:tc>
        <w:tc>
          <w:tcPr>
            <w:tcW w:w="845"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83,01 %</w:t>
            </w:r>
          </w:p>
        </w:tc>
      </w:tr>
      <w:tr w:rsidR="00805324" w:rsidRPr="00805324" w:rsidTr="00805324">
        <w:trPr>
          <w:trHeight w:val="301"/>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600744000000</w:t>
            </w:r>
          </w:p>
        </w:tc>
        <w:tc>
          <w:tcPr>
            <w:tcW w:w="3478"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Řešení pietní úpravy starého židovského hřbitova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350 000,00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350 000,00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0,00 </w:t>
            </w:r>
          </w:p>
        </w:tc>
        <w:tc>
          <w:tcPr>
            <w:tcW w:w="709"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0,00 %</w:t>
            </w:r>
          </w:p>
        </w:tc>
        <w:tc>
          <w:tcPr>
            <w:tcW w:w="845"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0,00 %</w:t>
            </w:r>
          </w:p>
        </w:tc>
      </w:tr>
      <w:tr w:rsidR="00805324" w:rsidRPr="00805324" w:rsidTr="00805324">
        <w:trPr>
          <w:trHeight w:val="301"/>
        </w:trPr>
        <w:tc>
          <w:tcPr>
            <w:tcW w:w="1053" w:type="dxa"/>
            <w:tcBorders>
              <w:top w:val="nil"/>
              <w:left w:val="single" w:sz="4" w:space="0" w:color="auto"/>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600745000000</w:t>
            </w:r>
          </w:p>
        </w:tc>
        <w:tc>
          <w:tcPr>
            <w:tcW w:w="3478"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Nakládání s dešťovou vodou na pv.ZŠ a MŠ - PD</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500 000,00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500 000,00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430 760,00 </w:t>
            </w:r>
          </w:p>
        </w:tc>
        <w:tc>
          <w:tcPr>
            <w:tcW w:w="709"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86,15 %</w:t>
            </w:r>
          </w:p>
        </w:tc>
        <w:tc>
          <w:tcPr>
            <w:tcW w:w="845"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86,15 %</w:t>
            </w:r>
          </w:p>
        </w:tc>
      </w:tr>
      <w:tr w:rsidR="00805324" w:rsidRPr="00805324" w:rsidTr="00805324">
        <w:trPr>
          <w:trHeight w:val="301"/>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600746000000</w:t>
            </w:r>
          </w:p>
        </w:tc>
        <w:tc>
          <w:tcPr>
            <w:tcW w:w="3478"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Vybudování památníku letectví a chodníku na Dolní</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200 000,00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640 000,00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630 770,69 </w:t>
            </w:r>
          </w:p>
        </w:tc>
        <w:tc>
          <w:tcPr>
            <w:tcW w:w="709"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315,39 %</w:t>
            </w:r>
          </w:p>
        </w:tc>
        <w:tc>
          <w:tcPr>
            <w:tcW w:w="845"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98,56 %</w:t>
            </w:r>
          </w:p>
        </w:tc>
      </w:tr>
      <w:tr w:rsidR="00805324" w:rsidRPr="00805324" w:rsidTr="00805324">
        <w:trPr>
          <w:trHeight w:val="301"/>
        </w:trPr>
        <w:tc>
          <w:tcPr>
            <w:tcW w:w="1053" w:type="dxa"/>
            <w:tcBorders>
              <w:top w:val="nil"/>
              <w:left w:val="single" w:sz="4" w:space="0" w:color="auto"/>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600747000000</w:t>
            </w:r>
          </w:p>
        </w:tc>
        <w:tc>
          <w:tcPr>
            <w:tcW w:w="3478"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Rekonstrukce hřiště ZŠ Melantrichova - PD</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300 000,00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300 000,00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274 670,00 </w:t>
            </w:r>
          </w:p>
        </w:tc>
        <w:tc>
          <w:tcPr>
            <w:tcW w:w="709"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91,56 %</w:t>
            </w:r>
          </w:p>
        </w:tc>
        <w:tc>
          <w:tcPr>
            <w:tcW w:w="845"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91,56 %</w:t>
            </w:r>
          </w:p>
        </w:tc>
      </w:tr>
      <w:tr w:rsidR="00805324" w:rsidRPr="00805324" w:rsidTr="00805324">
        <w:trPr>
          <w:trHeight w:val="301"/>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600751000000</w:t>
            </w:r>
          </w:p>
        </w:tc>
        <w:tc>
          <w:tcPr>
            <w:tcW w:w="3478"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MŠ Partyzánská 35 - rekonstrukce odpadů a rozvodů</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150 000,00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470 000,00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469 480,00 </w:t>
            </w:r>
          </w:p>
        </w:tc>
        <w:tc>
          <w:tcPr>
            <w:tcW w:w="709"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312,99 %</w:t>
            </w:r>
          </w:p>
        </w:tc>
        <w:tc>
          <w:tcPr>
            <w:tcW w:w="845"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99,89 %</w:t>
            </w:r>
          </w:p>
        </w:tc>
      </w:tr>
      <w:tr w:rsidR="00805324" w:rsidRPr="00805324" w:rsidTr="00805324">
        <w:trPr>
          <w:trHeight w:val="243"/>
        </w:trPr>
        <w:tc>
          <w:tcPr>
            <w:tcW w:w="1053" w:type="dxa"/>
            <w:tcBorders>
              <w:top w:val="nil"/>
              <w:left w:val="single" w:sz="4" w:space="0" w:color="auto"/>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600753000000</w:t>
            </w:r>
          </w:p>
        </w:tc>
        <w:tc>
          <w:tcPr>
            <w:tcW w:w="3478"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Vrahovice - ul. Majerové, komunikace a IS - PD</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400 000,00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430 000,00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429 550,00 </w:t>
            </w:r>
          </w:p>
        </w:tc>
        <w:tc>
          <w:tcPr>
            <w:tcW w:w="709"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107,39 %</w:t>
            </w:r>
          </w:p>
        </w:tc>
        <w:tc>
          <w:tcPr>
            <w:tcW w:w="845"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99,90 %</w:t>
            </w:r>
          </w:p>
        </w:tc>
      </w:tr>
      <w:tr w:rsidR="00805324" w:rsidRPr="00805324" w:rsidTr="00805324">
        <w:trPr>
          <w:trHeight w:val="243"/>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600754000000</w:t>
            </w:r>
          </w:p>
        </w:tc>
        <w:tc>
          <w:tcPr>
            <w:tcW w:w="3478"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Stavební úpravy na ZŠ v Prostějově - PD</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10 000 000,00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40 000,00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0,00 </w:t>
            </w:r>
          </w:p>
        </w:tc>
        <w:tc>
          <w:tcPr>
            <w:tcW w:w="709"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0,00 %</w:t>
            </w:r>
          </w:p>
        </w:tc>
        <w:tc>
          <w:tcPr>
            <w:tcW w:w="845"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0,00 %</w:t>
            </w:r>
          </w:p>
        </w:tc>
      </w:tr>
      <w:tr w:rsidR="00805324" w:rsidRPr="00805324" w:rsidTr="00805324">
        <w:trPr>
          <w:trHeight w:val="243"/>
        </w:trPr>
        <w:tc>
          <w:tcPr>
            <w:tcW w:w="1053" w:type="dxa"/>
            <w:tcBorders>
              <w:top w:val="nil"/>
              <w:left w:val="single" w:sz="4" w:space="0" w:color="auto"/>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600755000000</w:t>
            </w:r>
          </w:p>
        </w:tc>
        <w:tc>
          <w:tcPr>
            <w:tcW w:w="3478"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Rekonstrukce bývalého olej.hospodář.sídl.E.Valenty</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300 000,00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300 000,00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296 450,00 </w:t>
            </w:r>
          </w:p>
        </w:tc>
        <w:tc>
          <w:tcPr>
            <w:tcW w:w="709"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98,82 %</w:t>
            </w:r>
          </w:p>
        </w:tc>
        <w:tc>
          <w:tcPr>
            <w:tcW w:w="845"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98,82 %</w:t>
            </w:r>
          </w:p>
        </w:tc>
      </w:tr>
      <w:tr w:rsidR="00805324" w:rsidRPr="00805324" w:rsidTr="00805324">
        <w:trPr>
          <w:trHeight w:val="243"/>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600756000000</w:t>
            </w:r>
          </w:p>
        </w:tc>
        <w:tc>
          <w:tcPr>
            <w:tcW w:w="3478"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Podzemní parkoviště Perštýnské nám. - PD</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1 000 000,00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1 000 000,00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459 800,00 </w:t>
            </w:r>
          </w:p>
        </w:tc>
        <w:tc>
          <w:tcPr>
            <w:tcW w:w="709"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45,98 %</w:t>
            </w:r>
          </w:p>
        </w:tc>
        <w:tc>
          <w:tcPr>
            <w:tcW w:w="845"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45,98 %</w:t>
            </w:r>
          </w:p>
        </w:tc>
      </w:tr>
      <w:tr w:rsidR="00805324" w:rsidRPr="00805324" w:rsidTr="00805324">
        <w:trPr>
          <w:trHeight w:val="243"/>
        </w:trPr>
        <w:tc>
          <w:tcPr>
            <w:tcW w:w="1053" w:type="dxa"/>
            <w:tcBorders>
              <w:top w:val="nil"/>
              <w:left w:val="single" w:sz="4" w:space="0" w:color="auto"/>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600757000000</w:t>
            </w:r>
          </w:p>
        </w:tc>
        <w:tc>
          <w:tcPr>
            <w:tcW w:w="3478"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Rozšíření Azylového domu ul. Pražská - PD</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760 000,00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744 795,00 </w:t>
            </w:r>
          </w:p>
        </w:tc>
        <w:tc>
          <w:tcPr>
            <w:tcW w:w="709"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w:t>
            </w:r>
          </w:p>
        </w:tc>
        <w:tc>
          <w:tcPr>
            <w:tcW w:w="845"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98,00 %</w:t>
            </w:r>
          </w:p>
        </w:tc>
      </w:tr>
      <w:tr w:rsidR="00805324" w:rsidRPr="00805324" w:rsidTr="00805324">
        <w:trPr>
          <w:trHeight w:val="243"/>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600758000000</w:t>
            </w:r>
          </w:p>
        </w:tc>
        <w:tc>
          <w:tcPr>
            <w:tcW w:w="3478"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Navýšení kapacity Jeslí - PD</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930 000,00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928 675,00 </w:t>
            </w:r>
          </w:p>
        </w:tc>
        <w:tc>
          <w:tcPr>
            <w:tcW w:w="709"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w:t>
            </w:r>
          </w:p>
        </w:tc>
        <w:tc>
          <w:tcPr>
            <w:tcW w:w="845"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99,86 %</w:t>
            </w:r>
          </w:p>
        </w:tc>
      </w:tr>
      <w:tr w:rsidR="00805324" w:rsidRPr="00805324" w:rsidTr="00805324">
        <w:trPr>
          <w:trHeight w:val="243"/>
        </w:trPr>
        <w:tc>
          <w:tcPr>
            <w:tcW w:w="1053" w:type="dxa"/>
            <w:tcBorders>
              <w:top w:val="nil"/>
              <w:left w:val="single" w:sz="4" w:space="0" w:color="auto"/>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600759000000</w:t>
            </w:r>
          </w:p>
        </w:tc>
        <w:tc>
          <w:tcPr>
            <w:tcW w:w="3478"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FVE šatny zimního stadionu - projektová dokumentace</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400 000,00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386 595,00 </w:t>
            </w:r>
          </w:p>
        </w:tc>
        <w:tc>
          <w:tcPr>
            <w:tcW w:w="709"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w:t>
            </w:r>
          </w:p>
        </w:tc>
        <w:tc>
          <w:tcPr>
            <w:tcW w:w="845"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96,65 %</w:t>
            </w:r>
          </w:p>
        </w:tc>
      </w:tr>
      <w:tr w:rsidR="00805324" w:rsidRPr="00805324" w:rsidTr="00805324">
        <w:trPr>
          <w:trHeight w:val="243"/>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600760000000</w:t>
            </w:r>
          </w:p>
        </w:tc>
        <w:tc>
          <w:tcPr>
            <w:tcW w:w="3478"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Přístavba has. zbrojnice v Žešově - PD</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1 400 000,00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1 389 080,00 </w:t>
            </w:r>
          </w:p>
        </w:tc>
        <w:tc>
          <w:tcPr>
            <w:tcW w:w="709"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w:t>
            </w:r>
          </w:p>
        </w:tc>
        <w:tc>
          <w:tcPr>
            <w:tcW w:w="845"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99,22 %</w:t>
            </w:r>
          </w:p>
        </w:tc>
      </w:tr>
      <w:tr w:rsidR="00805324" w:rsidRPr="00805324" w:rsidTr="00805324">
        <w:trPr>
          <w:trHeight w:val="243"/>
        </w:trPr>
        <w:tc>
          <w:tcPr>
            <w:tcW w:w="1053" w:type="dxa"/>
            <w:tcBorders>
              <w:top w:val="nil"/>
              <w:left w:val="single" w:sz="4" w:space="0" w:color="auto"/>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600761000000</w:t>
            </w:r>
          </w:p>
        </w:tc>
        <w:tc>
          <w:tcPr>
            <w:tcW w:w="3478"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Parkoviště Žeranovská - PD</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150 000,00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66 000,00 </w:t>
            </w:r>
          </w:p>
        </w:tc>
        <w:tc>
          <w:tcPr>
            <w:tcW w:w="709"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w:t>
            </w:r>
          </w:p>
        </w:tc>
        <w:tc>
          <w:tcPr>
            <w:tcW w:w="845"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44,00 %</w:t>
            </w:r>
          </w:p>
        </w:tc>
      </w:tr>
      <w:tr w:rsidR="00805324" w:rsidRPr="00805324" w:rsidTr="00805324">
        <w:trPr>
          <w:trHeight w:val="243"/>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600762000000</w:t>
            </w:r>
          </w:p>
        </w:tc>
        <w:tc>
          <w:tcPr>
            <w:tcW w:w="3478"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Parkování na sídlišti Svobody blok 17 - studie</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130 000,00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127 050,00 </w:t>
            </w:r>
          </w:p>
        </w:tc>
        <w:tc>
          <w:tcPr>
            <w:tcW w:w="709"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w:t>
            </w:r>
          </w:p>
        </w:tc>
        <w:tc>
          <w:tcPr>
            <w:tcW w:w="845"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97,73 %</w:t>
            </w:r>
          </w:p>
        </w:tc>
      </w:tr>
      <w:tr w:rsidR="00805324" w:rsidRPr="00805324" w:rsidTr="00805324">
        <w:trPr>
          <w:trHeight w:val="243"/>
        </w:trPr>
        <w:tc>
          <w:tcPr>
            <w:tcW w:w="1053" w:type="dxa"/>
            <w:tcBorders>
              <w:top w:val="nil"/>
              <w:left w:val="single" w:sz="4" w:space="0" w:color="auto"/>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600763000000</w:t>
            </w:r>
          </w:p>
        </w:tc>
        <w:tc>
          <w:tcPr>
            <w:tcW w:w="3478"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Studie využití a přípravy pozemků za Albertem</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200 000,00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185 130,00 </w:t>
            </w:r>
          </w:p>
        </w:tc>
        <w:tc>
          <w:tcPr>
            <w:tcW w:w="709"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w:t>
            </w:r>
          </w:p>
        </w:tc>
        <w:tc>
          <w:tcPr>
            <w:tcW w:w="845"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92,57 %</w:t>
            </w:r>
          </w:p>
        </w:tc>
      </w:tr>
      <w:tr w:rsidR="00805324" w:rsidRPr="00805324" w:rsidTr="00805324">
        <w:trPr>
          <w:trHeight w:val="243"/>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600764000000</w:t>
            </w:r>
          </w:p>
        </w:tc>
        <w:tc>
          <w:tcPr>
            <w:tcW w:w="3478"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RG a ZŠ Otto Wichterleho - zvýšení kapacity - PD</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1 350 000,00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1 254 201,30 </w:t>
            </w:r>
          </w:p>
        </w:tc>
        <w:tc>
          <w:tcPr>
            <w:tcW w:w="709"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w:t>
            </w:r>
          </w:p>
        </w:tc>
        <w:tc>
          <w:tcPr>
            <w:tcW w:w="845"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92,90 %</w:t>
            </w:r>
          </w:p>
        </w:tc>
      </w:tr>
      <w:tr w:rsidR="00805324" w:rsidRPr="00805324" w:rsidTr="00805324">
        <w:trPr>
          <w:trHeight w:val="243"/>
        </w:trPr>
        <w:tc>
          <w:tcPr>
            <w:tcW w:w="1053" w:type="dxa"/>
            <w:tcBorders>
              <w:top w:val="nil"/>
              <w:left w:val="single" w:sz="4" w:space="0" w:color="auto"/>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600765000000</w:t>
            </w:r>
          </w:p>
        </w:tc>
        <w:tc>
          <w:tcPr>
            <w:tcW w:w="3478"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ZŠ E. Valenty - zvýšení kapacity - PD</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3 000 000,00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2 890 363,30 </w:t>
            </w:r>
          </w:p>
        </w:tc>
        <w:tc>
          <w:tcPr>
            <w:tcW w:w="709"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w:t>
            </w:r>
          </w:p>
        </w:tc>
        <w:tc>
          <w:tcPr>
            <w:tcW w:w="845"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96,35 %</w:t>
            </w:r>
          </w:p>
        </w:tc>
      </w:tr>
      <w:tr w:rsidR="00805324" w:rsidRPr="00805324" w:rsidTr="00805324">
        <w:trPr>
          <w:trHeight w:val="243"/>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600766000000</w:t>
            </w:r>
          </w:p>
        </w:tc>
        <w:tc>
          <w:tcPr>
            <w:tcW w:w="3478"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Rekonstrukce knihovny sídl. Svobody - PD</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60 000,00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58 322,00 </w:t>
            </w:r>
          </w:p>
        </w:tc>
        <w:tc>
          <w:tcPr>
            <w:tcW w:w="709"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w:t>
            </w:r>
          </w:p>
        </w:tc>
        <w:tc>
          <w:tcPr>
            <w:tcW w:w="845"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97,20 %</w:t>
            </w:r>
          </w:p>
        </w:tc>
      </w:tr>
      <w:tr w:rsidR="00805324" w:rsidRPr="00805324" w:rsidTr="00805324">
        <w:trPr>
          <w:trHeight w:val="243"/>
        </w:trPr>
        <w:tc>
          <w:tcPr>
            <w:tcW w:w="1053" w:type="dxa"/>
            <w:tcBorders>
              <w:top w:val="nil"/>
              <w:left w:val="single" w:sz="4" w:space="0" w:color="auto"/>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600767000000</w:t>
            </w:r>
          </w:p>
        </w:tc>
        <w:tc>
          <w:tcPr>
            <w:tcW w:w="3478"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Rekonstrukce sportovního hřiště v areálu SOŠPO</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1 310 000,00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1 028 324,16 </w:t>
            </w:r>
          </w:p>
        </w:tc>
        <w:tc>
          <w:tcPr>
            <w:tcW w:w="709"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w:t>
            </w:r>
          </w:p>
        </w:tc>
        <w:tc>
          <w:tcPr>
            <w:tcW w:w="845"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78,50 %</w:t>
            </w:r>
          </w:p>
        </w:tc>
      </w:tr>
      <w:tr w:rsidR="00805324" w:rsidRPr="00805324" w:rsidTr="00805324">
        <w:trPr>
          <w:trHeight w:val="243"/>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600768000000</w:t>
            </w:r>
          </w:p>
        </w:tc>
        <w:tc>
          <w:tcPr>
            <w:tcW w:w="3478"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Nový chodník a oprava chodníku na ul. Prešovská a</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750 000,00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743 922,52 </w:t>
            </w:r>
          </w:p>
        </w:tc>
        <w:tc>
          <w:tcPr>
            <w:tcW w:w="709"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w:t>
            </w:r>
          </w:p>
        </w:tc>
        <w:tc>
          <w:tcPr>
            <w:tcW w:w="845"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99,19 %</w:t>
            </w:r>
          </w:p>
        </w:tc>
      </w:tr>
      <w:tr w:rsidR="00805324" w:rsidRPr="00805324" w:rsidTr="00805324">
        <w:trPr>
          <w:trHeight w:val="243"/>
        </w:trPr>
        <w:tc>
          <w:tcPr>
            <w:tcW w:w="1053" w:type="dxa"/>
            <w:tcBorders>
              <w:top w:val="nil"/>
              <w:left w:val="single" w:sz="4" w:space="0" w:color="auto"/>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600769000000</w:t>
            </w:r>
          </w:p>
        </w:tc>
        <w:tc>
          <w:tcPr>
            <w:tcW w:w="3478"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Rekonstrukce chodníku na ulici Netušilova -PD</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240 000,00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237 886,00 </w:t>
            </w:r>
          </w:p>
        </w:tc>
        <w:tc>
          <w:tcPr>
            <w:tcW w:w="709"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w:t>
            </w:r>
          </w:p>
        </w:tc>
        <w:tc>
          <w:tcPr>
            <w:tcW w:w="845"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99,12 %</w:t>
            </w:r>
          </w:p>
        </w:tc>
      </w:tr>
      <w:tr w:rsidR="00805324" w:rsidRPr="00805324" w:rsidTr="00805324">
        <w:trPr>
          <w:trHeight w:val="243"/>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600770000000</w:t>
            </w:r>
          </w:p>
        </w:tc>
        <w:tc>
          <w:tcPr>
            <w:tcW w:w="3478"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BD Polišenského 3 - výměna oken a parapetů</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2 600 000,00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2 463 550,16 </w:t>
            </w:r>
          </w:p>
        </w:tc>
        <w:tc>
          <w:tcPr>
            <w:tcW w:w="709"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w:t>
            </w:r>
          </w:p>
        </w:tc>
        <w:tc>
          <w:tcPr>
            <w:tcW w:w="845"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94,75 %</w:t>
            </w:r>
          </w:p>
        </w:tc>
      </w:tr>
      <w:tr w:rsidR="00805324" w:rsidRPr="00805324" w:rsidTr="00805324">
        <w:trPr>
          <w:trHeight w:val="243"/>
        </w:trPr>
        <w:tc>
          <w:tcPr>
            <w:tcW w:w="1053" w:type="dxa"/>
            <w:tcBorders>
              <w:top w:val="nil"/>
              <w:left w:val="single" w:sz="4" w:space="0" w:color="auto"/>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600771000000</w:t>
            </w:r>
          </w:p>
        </w:tc>
        <w:tc>
          <w:tcPr>
            <w:tcW w:w="3478"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Žešov - rekonstrukce ul.na parc.č. 410/1 - PD</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250 000,00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242 000,00 </w:t>
            </w:r>
          </w:p>
        </w:tc>
        <w:tc>
          <w:tcPr>
            <w:tcW w:w="709"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w:t>
            </w:r>
          </w:p>
        </w:tc>
        <w:tc>
          <w:tcPr>
            <w:tcW w:w="845"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96,80 %</w:t>
            </w:r>
          </w:p>
        </w:tc>
      </w:tr>
      <w:tr w:rsidR="00805324" w:rsidRPr="00805324" w:rsidTr="00805324">
        <w:trPr>
          <w:trHeight w:val="243"/>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600772000000</w:t>
            </w:r>
          </w:p>
        </w:tc>
        <w:tc>
          <w:tcPr>
            <w:tcW w:w="3478"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Workoutové hřiště nám. Spojenců</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902 370,00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887 155,65 </w:t>
            </w:r>
          </w:p>
        </w:tc>
        <w:tc>
          <w:tcPr>
            <w:tcW w:w="709"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w:t>
            </w:r>
          </w:p>
        </w:tc>
        <w:tc>
          <w:tcPr>
            <w:tcW w:w="845"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98,31 %</w:t>
            </w:r>
          </w:p>
        </w:tc>
      </w:tr>
      <w:tr w:rsidR="00805324" w:rsidRPr="00805324" w:rsidTr="00805324">
        <w:trPr>
          <w:trHeight w:val="243"/>
        </w:trPr>
        <w:tc>
          <w:tcPr>
            <w:tcW w:w="1053" w:type="dxa"/>
            <w:tcBorders>
              <w:top w:val="nil"/>
              <w:left w:val="single" w:sz="4" w:space="0" w:color="auto"/>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600773000000</w:t>
            </w:r>
          </w:p>
        </w:tc>
        <w:tc>
          <w:tcPr>
            <w:tcW w:w="3478"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Altán v Kolářových sadech</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500 000,00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482 814,20 </w:t>
            </w:r>
          </w:p>
        </w:tc>
        <w:tc>
          <w:tcPr>
            <w:tcW w:w="709"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w:t>
            </w:r>
          </w:p>
        </w:tc>
        <w:tc>
          <w:tcPr>
            <w:tcW w:w="845"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96,56 %</w:t>
            </w:r>
          </w:p>
        </w:tc>
      </w:tr>
      <w:tr w:rsidR="00805324" w:rsidRPr="00805324" w:rsidTr="00805324">
        <w:trPr>
          <w:trHeight w:val="243"/>
        </w:trPr>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600774000000</w:t>
            </w:r>
          </w:p>
        </w:tc>
        <w:tc>
          <w:tcPr>
            <w:tcW w:w="3478"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FVE na objektech RG+ZŠ, ZŠ Dr. Horáka, ZŠ a MŠ JŽ</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450 000,00 </w:t>
            </w:r>
          </w:p>
        </w:tc>
        <w:tc>
          <w:tcPr>
            <w:tcW w:w="1134"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307 800,00 </w:t>
            </w:r>
          </w:p>
        </w:tc>
        <w:tc>
          <w:tcPr>
            <w:tcW w:w="709"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w:t>
            </w:r>
          </w:p>
        </w:tc>
        <w:tc>
          <w:tcPr>
            <w:tcW w:w="845" w:type="dxa"/>
            <w:tcBorders>
              <w:top w:val="nil"/>
              <w:left w:val="nil"/>
              <w:bottom w:val="single" w:sz="4" w:space="0" w:color="auto"/>
              <w:right w:val="single" w:sz="4" w:space="0" w:color="auto"/>
            </w:tcBorders>
            <w:shd w:val="clear" w:color="auto" w:fill="auto"/>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68,40 %</w:t>
            </w:r>
          </w:p>
        </w:tc>
      </w:tr>
      <w:tr w:rsidR="00805324" w:rsidRPr="00805324" w:rsidTr="00805324">
        <w:trPr>
          <w:trHeight w:val="243"/>
        </w:trPr>
        <w:tc>
          <w:tcPr>
            <w:tcW w:w="1053" w:type="dxa"/>
            <w:tcBorders>
              <w:top w:val="nil"/>
              <w:left w:val="single" w:sz="4" w:space="0" w:color="auto"/>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b/>
                <w:bCs/>
                <w:sz w:val="15"/>
                <w:szCs w:val="15"/>
              </w:rPr>
            </w:pPr>
            <w:r w:rsidRPr="00805324">
              <w:rPr>
                <w:rFonts w:ascii="Calibri" w:hAnsi="Calibri" w:cs="Calibri"/>
                <w:b/>
                <w:bCs/>
                <w:sz w:val="15"/>
                <w:szCs w:val="15"/>
              </w:rPr>
              <w:t>900000900600</w:t>
            </w:r>
          </w:p>
        </w:tc>
        <w:tc>
          <w:tcPr>
            <w:tcW w:w="3478"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rPr>
                <w:rFonts w:ascii="Calibri" w:hAnsi="Calibri" w:cs="Calibri"/>
                <w:sz w:val="15"/>
                <w:szCs w:val="15"/>
              </w:rPr>
            </w:pPr>
            <w:r w:rsidRPr="00805324">
              <w:rPr>
                <w:rFonts w:ascii="Calibri" w:hAnsi="Calibri" w:cs="Calibri"/>
                <w:sz w:val="15"/>
                <w:szCs w:val="15"/>
              </w:rPr>
              <w:t>Veřejné osvětlení</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0,00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2 263 753,00 </w:t>
            </w:r>
          </w:p>
        </w:tc>
        <w:tc>
          <w:tcPr>
            <w:tcW w:w="1134" w:type="dxa"/>
            <w:tcBorders>
              <w:top w:val="nil"/>
              <w:left w:val="nil"/>
              <w:bottom w:val="single" w:sz="4" w:space="0" w:color="auto"/>
              <w:right w:val="single" w:sz="4" w:space="0" w:color="auto"/>
            </w:tcBorders>
            <w:shd w:val="clear" w:color="DBDBDB"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 xml:space="preserve">2 212 223,46 </w:t>
            </w:r>
          </w:p>
        </w:tc>
        <w:tc>
          <w:tcPr>
            <w:tcW w:w="709"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w:t>
            </w:r>
          </w:p>
        </w:tc>
        <w:tc>
          <w:tcPr>
            <w:tcW w:w="845" w:type="dxa"/>
            <w:tcBorders>
              <w:top w:val="nil"/>
              <w:left w:val="nil"/>
              <w:bottom w:val="single" w:sz="4" w:space="0" w:color="auto"/>
              <w:right w:val="single" w:sz="4" w:space="0" w:color="auto"/>
            </w:tcBorders>
            <w:shd w:val="clear" w:color="000000" w:fill="D9D9D9"/>
            <w:noWrap/>
            <w:vAlign w:val="center"/>
            <w:hideMark/>
          </w:tcPr>
          <w:p w:rsidR="00805324" w:rsidRPr="00805324" w:rsidRDefault="00805324">
            <w:pPr>
              <w:jc w:val="right"/>
              <w:rPr>
                <w:rFonts w:ascii="Calibri" w:hAnsi="Calibri" w:cs="Calibri"/>
                <w:sz w:val="15"/>
                <w:szCs w:val="15"/>
              </w:rPr>
            </w:pPr>
            <w:r w:rsidRPr="00805324">
              <w:rPr>
                <w:rFonts w:ascii="Calibri" w:hAnsi="Calibri" w:cs="Calibri"/>
                <w:sz w:val="15"/>
                <w:szCs w:val="15"/>
              </w:rPr>
              <w:t>97,72 %</w:t>
            </w:r>
          </w:p>
        </w:tc>
      </w:tr>
      <w:tr w:rsidR="00805324" w:rsidRPr="00805324" w:rsidTr="00805324">
        <w:trPr>
          <w:trHeight w:val="243"/>
        </w:trPr>
        <w:tc>
          <w:tcPr>
            <w:tcW w:w="4531" w:type="dxa"/>
            <w:gridSpan w:val="2"/>
            <w:tcBorders>
              <w:top w:val="single" w:sz="4" w:space="0" w:color="auto"/>
              <w:left w:val="single" w:sz="4" w:space="0" w:color="auto"/>
              <w:bottom w:val="single" w:sz="4" w:space="0" w:color="auto"/>
              <w:right w:val="single" w:sz="4" w:space="0" w:color="auto"/>
            </w:tcBorders>
            <w:shd w:val="clear" w:color="000000" w:fill="FFD966"/>
            <w:noWrap/>
            <w:vAlign w:val="center"/>
            <w:hideMark/>
          </w:tcPr>
          <w:p w:rsidR="00805324" w:rsidRPr="00805324" w:rsidRDefault="00805324">
            <w:pPr>
              <w:rPr>
                <w:rFonts w:ascii="Calibri" w:hAnsi="Calibri" w:cs="Calibri"/>
                <w:b/>
                <w:bCs/>
                <w:color w:val="000000"/>
                <w:sz w:val="15"/>
                <w:szCs w:val="15"/>
              </w:rPr>
            </w:pPr>
            <w:r w:rsidRPr="00805324">
              <w:rPr>
                <w:rFonts w:ascii="Calibri" w:hAnsi="Calibri" w:cs="Calibri"/>
                <w:b/>
                <w:bCs/>
                <w:color w:val="000000"/>
                <w:sz w:val="15"/>
                <w:szCs w:val="15"/>
              </w:rPr>
              <w:t>Celkem</w:t>
            </w:r>
          </w:p>
        </w:tc>
        <w:tc>
          <w:tcPr>
            <w:tcW w:w="1134" w:type="dxa"/>
            <w:tcBorders>
              <w:top w:val="nil"/>
              <w:left w:val="nil"/>
              <w:bottom w:val="single" w:sz="4" w:space="0" w:color="auto"/>
              <w:right w:val="single" w:sz="4" w:space="0" w:color="auto"/>
            </w:tcBorders>
            <w:shd w:val="clear" w:color="000000" w:fill="FFD966"/>
            <w:noWrap/>
            <w:vAlign w:val="center"/>
            <w:hideMark/>
          </w:tcPr>
          <w:p w:rsidR="00805324" w:rsidRPr="00805324" w:rsidRDefault="00805324">
            <w:pPr>
              <w:jc w:val="right"/>
              <w:rPr>
                <w:rFonts w:ascii="Calibri" w:hAnsi="Calibri" w:cs="Calibri"/>
                <w:b/>
                <w:bCs/>
                <w:sz w:val="15"/>
                <w:szCs w:val="15"/>
              </w:rPr>
            </w:pPr>
            <w:r w:rsidRPr="00805324">
              <w:rPr>
                <w:rFonts w:ascii="Calibri" w:hAnsi="Calibri" w:cs="Calibri"/>
                <w:b/>
                <w:bCs/>
                <w:sz w:val="15"/>
                <w:szCs w:val="15"/>
              </w:rPr>
              <w:t xml:space="preserve">256 280 000,00 </w:t>
            </w:r>
          </w:p>
        </w:tc>
        <w:tc>
          <w:tcPr>
            <w:tcW w:w="1134" w:type="dxa"/>
            <w:tcBorders>
              <w:top w:val="nil"/>
              <w:left w:val="nil"/>
              <w:bottom w:val="single" w:sz="4" w:space="0" w:color="auto"/>
              <w:right w:val="single" w:sz="4" w:space="0" w:color="auto"/>
            </w:tcBorders>
            <w:shd w:val="clear" w:color="000000" w:fill="FFD966"/>
            <w:noWrap/>
            <w:vAlign w:val="center"/>
            <w:hideMark/>
          </w:tcPr>
          <w:p w:rsidR="00805324" w:rsidRPr="00805324" w:rsidRDefault="00805324">
            <w:pPr>
              <w:jc w:val="right"/>
              <w:rPr>
                <w:rFonts w:ascii="Calibri" w:hAnsi="Calibri" w:cs="Calibri"/>
                <w:b/>
                <w:bCs/>
                <w:sz w:val="15"/>
                <w:szCs w:val="15"/>
              </w:rPr>
            </w:pPr>
            <w:r w:rsidRPr="00805324">
              <w:rPr>
                <w:rFonts w:ascii="Calibri" w:hAnsi="Calibri" w:cs="Calibri"/>
                <w:b/>
                <w:bCs/>
                <w:sz w:val="15"/>
                <w:szCs w:val="15"/>
              </w:rPr>
              <w:t xml:space="preserve">231 560 029,50 </w:t>
            </w:r>
          </w:p>
        </w:tc>
        <w:tc>
          <w:tcPr>
            <w:tcW w:w="1134" w:type="dxa"/>
            <w:tcBorders>
              <w:top w:val="nil"/>
              <w:left w:val="nil"/>
              <w:bottom w:val="single" w:sz="4" w:space="0" w:color="auto"/>
              <w:right w:val="single" w:sz="4" w:space="0" w:color="auto"/>
            </w:tcBorders>
            <w:shd w:val="clear" w:color="000000" w:fill="FFD966"/>
            <w:noWrap/>
            <w:vAlign w:val="center"/>
            <w:hideMark/>
          </w:tcPr>
          <w:p w:rsidR="00805324" w:rsidRPr="00805324" w:rsidRDefault="00805324">
            <w:pPr>
              <w:jc w:val="right"/>
              <w:rPr>
                <w:rFonts w:ascii="Calibri" w:hAnsi="Calibri" w:cs="Calibri"/>
                <w:b/>
                <w:bCs/>
                <w:sz w:val="15"/>
                <w:szCs w:val="15"/>
              </w:rPr>
            </w:pPr>
            <w:r w:rsidRPr="00805324">
              <w:rPr>
                <w:rFonts w:ascii="Calibri" w:hAnsi="Calibri" w:cs="Calibri"/>
                <w:b/>
                <w:bCs/>
                <w:sz w:val="15"/>
                <w:szCs w:val="15"/>
              </w:rPr>
              <w:t xml:space="preserve">212 837 380,43 </w:t>
            </w:r>
          </w:p>
        </w:tc>
        <w:tc>
          <w:tcPr>
            <w:tcW w:w="709" w:type="dxa"/>
            <w:tcBorders>
              <w:top w:val="nil"/>
              <w:left w:val="nil"/>
              <w:bottom w:val="single" w:sz="4" w:space="0" w:color="auto"/>
              <w:right w:val="single" w:sz="4" w:space="0" w:color="auto"/>
            </w:tcBorders>
            <w:shd w:val="clear" w:color="000000" w:fill="FFD966"/>
            <w:noWrap/>
            <w:vAlign w:val="center"/>
            <w:hideMark/>
          </w:tcPr>
          <w:p w:rsidR="00805324" w:rsidRPr="00805324" w:rsidRDefault="00805324">
            <w:pPr>
              <w:jc w:val="right"/>
              <w:rPr>
                <w:rFonts w:ascii="Calibri" w:hAnsi="Calibri" w:cs="Calibri"/>
                <w:b/>
                <w:bCs/>
                <w:sz w:val="15"/>
                <w:szCs w:val="15"/>
              </w:rPr>
            </w:pPr>
            <w:r w:rsidRPr="00805324">
              <w:rPr>
                <w:rFonts w:ascii="Calibri" w:hAnsi="Calibri" w:cs="Calibri"/>
                <w:b/>
                <w:bCs/>
                <w:sz w:val="15"/>
                <w:szCs w:val="15"/>
              </w:rPr>
              <w:t>83,05 %</w:t>
            </w:r>
          </w:p>
        </w:tc>
        <w:tc>
          <w:tcPr>
            <w:tcW w:w="845" w:type="dxa"/>
            <w:tcBorders>
              <w:top w:val="nil"/>
              <w:left w:val="nil"/>
              <w:bottom w:val="single" w:sz="4" w:space="0" w:color="auto"/>
              <w:right w:val="single" w:sz="4" w:space="0" w:color="auto"/>
            </w:tcBorders>
            <w:shd w:val="clear" w:color="000000" w:fill="FFD966"/>
            <w:noWrap/>
            <w:vAlign w:val="center"/>
            <w:hideMark/>
          </w:tcPr>
          <w:p w:rsidR="00805324" w:rsidRPr="00805324" w:rsidRDefault="00805324">
            <w:pPr>
              <w:jc w:val="right"/>
              <w:rPr>
                <w:rFonts w:ascii="Calibri" w:hAnsi="Calibri" w:cs="Calibri"/>
                <w:b/>
                <w:bCs/>
                <w:sz w:val="15"/>
                <w:szCs w:val="15"/>
              </w:rPr>
            </w:pPr>
            <w:r w:rsidRPr="00805324">
              <w:rPr>
                <w:rFonts w:ascii="Calibri" w:hAnsi="Calibri" w:cs="Calibri"/>
                <w:b/>
                <w:bCs/>
                <w:sz w:val="15"/>
                <w:szCs w:val="15"/>
              </w:rPr>
              <w:t>91,91 %</w:t>
            </w:r>
          </w:p>
        </w:tc>
      </w:tr>
    </w:tbl>
    <w:p w:rsidR="00805324" w:rsidRPr="00805324" w:rsidRDefault="00805324" w:rsidP="00805324"/>
    <w:p w:rsidR="00F275B9" w:rsidRPr="00B027AF" w:rsidRDefault="00B027AF" w:rsidP="00F275B9">
      <w:pPr>
        <w:pStyle w:val="Nadpis3"/>
      </w:pPr>
      <w:r w:rsidRPr="00B027AF">
        <w:t xml:space="preserve">Investiční nákupy a související výdaje </w:t>
      </w:r>
      <w:r w:rsidR="00F275B9" w:rsidRPr="00B027AF">
        <w:t xml:space="preserve"> (</w:t>
      </w:r>
      <w:r w:rsidRPr="00B027AF">
        <w:t>2</w:t>
      </w:r>
      <w:r w:rsidR="00C37209">
        <w:t>2</w:t>
      </w:r>
      <w:r w:rsidRPr="00B027AF">
        <w:t>8,</w:t>
      </w:r>
      <w:r w:rsidR="00C37209">
        <w:t>4</w:t>
      </w:r>
      <w:r w:rsidR="00F275B9" w:rsidRPr="00B027AF">
        <w:t xml:space="preserve"> mil.)</w:t>
      </w:r>
      <w:r w:rsidR="006F4923" w:rsidRPr="00B027AF">
        <w:t xml:space="preserve"> </w:t>
      </w:r>
    </w:p>
    <w:p w:rsidR="004B3F42" w:rsidRDefault="00B027AF" w:rsidP="00DA0881">
      <w:pPr>
        <w:pStyle w:val="Nadpis3"/>
        <w:spacing w:before="0"/>
        <w:jc w:val="both"/>
        <w:rPr>
          <w:rFonts w:eastAsiaTheme="minorHAnsi"/>
          <w:b w:val="0"/>
          <w:bCs w:val="0"/>
          <w:color w:val="000000"/>
        </w:rPr>
      </w:pPr>
      <w:r>
        <w:rPr>
          <w:rFonts w:eastAsiaTheme="minorHAnsi"/>
          <w:b w:val="0"/>
          <w:bCs w:val="0"/>
          <w:color w:val="000000"/>
          <w:u w:val="single"/>
        </w:rPr>
        <w:t>Programové vybavení (1,</w:t>
      </w:r>
      <w:r w:rsidR="004B3F42">
        <w:rPr>
          <w:rFonts w:eastAsiaTheme="minorHAnsi"/>
          <w:b w:val="0"/>
          <w:bCs w:val="0"/>
          <w:color w:val="000000"/>
          <w:u w:val="single"/>
        </w:rPr>
        <w:t>01</w:t>
      </w:r>
      <w:r>
        <w:rPr>
          <w:rFonts w:eastAsiaTheme="minorHAnsi"/>
          <w:b w:val="0"/>
          <w:bCs w:val="0"/>
          <w:color w:val="000000"/>
          <w:u w:val="single"/>
        </w:rPr>
        <w:t xml:space="preserve"> mil. Kč)</w:t>
      </w:r>
      <w:r>
        <w:rPr>
          <w:rFonts w:eastAsiaTheme="minorHAnsi"/>
          <w:b w:val="0"/>
          <w:bCs w:val="0"/>
          <w:color w:val="000000"/>
        </w:rPr>
        <w:t xml:space="preserve"> – </w:t>
      </w:r>
      <w:r w:rsidR="004B3F42">
        <w:rPr>
          <w:rFonts w:eastAsiaTheme="minorHAnsi"/>
          <w:b w:val="0"/>
          <w:bCs w:val="0"/>
          <w:color w:val="000000"/>
        </w:rPr>
        <w:t>implementace rozhraní poplatkové pokladny (92,44 tis. Kč), s</w:t>
      </w:r>
      <w:r w:rsidR="004B3F42" w:rsidRPr="004B3F42">
        <w:rPr>
          <w:rFonts w:eastAsiaTheme="minorHAnsi"/>
          <w:b w:val="0"/>
          <w:bCs w:val="0"/>
          <w:color w:val="000000"/>
        </w:rPr>
        <w:t>oftware Turistický portál statutárního města Prostějova</w:t>
      </w:r>
      <w:r w:rsidR="004B3F42">
        <w:rPr>
          <w:rFonts w:eastAsiaTheme="minorHAnsi"/>
          <w:b w:val="0"/>
          <w:bCs w:val="0"/>
          <w:color w:val="000000"/>
        </w:rPr>
        <w:t xml:space="preserve"> (96,8 tis. Kč), </w:t>
      </w:r>
      <w:r w:rsidR="004B3F42" w:rsidRPr="004B3F42">
        <w:rPr>
          <w:rFonts w:eastAsiaTheme="minorHAnsi"/>
          <w:b w:val="0"/>
          <w:bCs w:val="0"/>
          <w:color w:val="000000"/>
        </w:rPr>
        <w:t>software WINDOWS server 2022 a CAL licence pro městskou polici</w:t>
      </w:r>
      <w:r w:rsidR="004B3F42">
        <w:rPr>
          <w:rFonts w:eastAsiaTheme="minorHAnsi"/>
          <w:b w:val="0"/>
          <w:bCs w:val="0"/>
          <w:color w:val="000000"/>
        </w:rPr>
        <w:t xml:space="preserve"> (254,10 tis. Kč), </w:t>
      </w:r>
      <w:r w:rsidR="004B3F42" w:rsidRPr="004B3F42">
        <w:rPr>
          <w:rFonts w:eastAsiaTheme="minorHAnsi"/>
          <w:b w:val="0"/>
          <w:bCs w:val="0"/>
          <w:color w:val="000000"/>
        </w:rPr>
        <w:t>rozšíření analytických funkcí softwaru MKDS</w:t>
      </w:r>
      <w:r w:rsidR="004B3F42">
        <w:rPr>
          <w:rFonts w:eastAsiaTheme="minorHAnsi"/>
          <w:b w:val="0"/>
          <w:bCs w:val="0"/>
          <w:color w:val="000000"/>
        </w:rPr>
        <w:t xml:space="preserve"> (387,63 tis. Kč), </w:t>
      </w:r>
      <w:r w:rsidR="00BA37A0" w:rsidRPr="00BA37A0">
        <w:rPr>
          <w:rFonts w:eastAsiaTheme="minorHAnsi"/>
          <w:b w:val="0"/>
          <w:bCs w:val="0"/>
          <w:color w:val="000000"/>
        </w:rPr>
        <w:t>software virtualizačního prostředí serverů MP Prostějov</w:t>
      </w:r>
      <w:r w:rsidR="00BA37A0">
        <w:rPr>
          <w:rFonts w:eastAsiaTheme="minorHAnsi"/>
          <w:b w:val="0"/>
          <w:bCs w:val="0"/>
          <w:color w:val="000000"/>
        </w:rPr>
        <w:t xml:space="preserve"> (182,03 tis. Kč).</w:t>
      </w:r>
    </w:p>
    <w:p w:rsidR="00B027AF" w:rsidRDefault="00B027AF" w:rsidP="00DA0881">
      <w:pPr>
        <w:pStyle w:val="western"/>
        <w:spacing w:before="240" w:beforeAutospacing="0"/>
        <w:jc w:val="both"/>
      </w:pPr>
      <w:r>
        <w:rPr>
          <w:rFonts w:ascii="Calibri" w:hAnsi="Calibri" w:cs="Calibri"/>
          <w:color w:val="000000"/>
          <w:sz w:val="22"/>
          <w:szCs w:val="22"/>
          <w:u w:val="single"/>
        </w:rPr>
        <w:t>Ostatní nákupy dlouhodobého nehmotného majetku (</w:t>
      </w:r>
      <w:r w:rsidR="00BA37A0">
        <w:rPr>
          <w:rFonts w:ascii="Calibri" w:hAnsi="Calibri" w:cs="Calibri"/>
          <w:color w:val="000000"/>
          <w:sz w:val="22"/>
          <w:szCs w:val="22"/>
          <w:u w:val="single"/>
        </w:rPr>
        <w:t>164,56 tis</w:t>
      </w:r>
      <w:r>
        <w:rPr>
          <w:rFonts w:ascii="Calibri" w:hAnsi="Calibri" w:cs="Calibri"/>
          <w:color w:val="000000"/>
          <w:sz w:val="22"/>
          <w:szCs w:val="22"/>
          <w:u w:val="single"/>
        </w:rPr>
        <w:t>. Kč)</w:t>
      </w:r>
      <w:r>
        <w:rPr>
          <w:rFonts w:ascii="Calibri" w:hAnsi="Calibri" w:cs="Calibri"/>
          <w:color w:val="000000"/>
          <w:sz w:val="22"/>
          <w:szCs w:val="22"/>
        </w:rPr>
        <w:t xml:space="preserve"> - částka </w:t>
      </w:r>
      <w:r w:rsidR="00BA37A0">
        <w:rPr>
          <w:rFonts w:ascii="Calibri" w:hAnsi="Calibri" w:cs="Calibri"/>
          <w:color w:val="000000"/>
          <w:sz w:val="22"/>
          <w:szCs w:val="22"/>
        </w:rPr>
        <w:t>je za</w:t>
      </w:r>
      <w:r>
        <w:rPr>
          <w:rFonts w:ascii="Calibri" w:hAnsi="Calibri" w:cs="Calibri"/>
          <w:color w:val="000000"/>
          <w:sz w:val="22"/>
          <w:szCs w:val="22"/>
        </w:rPr>
        <w:t xml:space="preserve"> V. změn</w:t>
      </w:r>
      <w:r w:rsidR="00BA37A0">
        <w:rPr>
          <w:rFonts w:ascii="Calibri" w:hAnsi="Calibri" w:cs="Calibri"/>
          <w:color w:val="000000"/>
          <w:sz w:val="22"/>
          <w:szCs w:val="22"/>
        </w:rPr>
        <w:t>u</w:t>
      </w:r>
      <w:r>
        <w:rPr>
          <w:rFonts w:ascii="Calibri" w:hAnsi="Calibri" w:cs="Calibri"/>
          <w:color w:val="000000"/>
          <w:sz w:val="22"/>
          <w:szCs w:val="22"/>
        </w:rPr>
        <w:t xml:space="preserve"> Územního plánu Prostějov</w:t>
      </w:r>
      <w:r w:rsidR="00BA37A0">
        <w:rPr>
          <w:rFonts w:ascii="Calibri" w:hAnsi="Calibri" w:cs="Calibri"/>
          <w:color w:val="000000"/>
          <w:sz w:val="22"/>
          <w:szCs w:val="22"/>
        </w:rPr>
        <w:t>.</w:t>
      </w:r>
    </w:p>
    <w:p w:rsidR="00B027AF" w:rsidRDefault="00B027AF" w:rsidP="00DA0881">
      <w:pPr>
        <w:pStyle w:val="western"/>
        <w:spacing w:before="0" w:beforeAutospacing="0"/>
        <w:jc w:val="both"/>
      </w:pPr>
      <w:r>
        <w:rPr>
          <w:rFonts w:ascii="Calibri" w:hAnsi="Calibri" w:cs="Calibri"/>
          <w:color w:val="000000"/>
          <w:sz w:val="22"/>
          <w:szCs w:val="22"/>
          <w:u w:val="single"/>
        </w:rPr>
        <w:lastRenderedPageBreak/>
        <w:t>Stroje, přístroje a zařízení (</w:t>
      </w:r>
      <w:r w:rsidR="00BA37A0">
        <w:rPr>
          <w:rFonts w:ascii="Calibri" w:hAnsi="Calibri" w:cs="Calibri"/>
          <w:color w:val="000000"/>
          <w:sz w:val="22"/>
          <w:szCs w:val="22"/>
          <w:u w:val="single"/>
        </w:rPr>
        <w:t>4,73</w:t>
      </w:r>
      <w:r>
        <w:rPr>
          <w:rFonts w:ascii="Calibri" w:hAnsi="Calibri" w:cs="Calibri"/>
          <w:color w:val="000000"/>
          <w:sz w:val="22"/>
          <w:szCs w:val="22"/>
          <w:u w:val="single"/>
        </w:rPr>
        <w:t xml:space="preserve"> mil. Kč)</w:t>
      </w:r>
      <w:r>
        <w:rPr>
          <w:rFonts w:ascii="Calibri" w:hAnsi="Calibri" w:cs="Calibri"/>
          <w:color w:val="000000"/>
          <w:sz w:val="22"/>
          <w:szCs w:val="22"/>
        </w:rPr>
        <w:t xml:space="preserve"> </w:t>
      </w:r>
      <w:r w:rsidR="00975F65">
        <w:rPr>
          <w:rFonts w:ascii="Calibri" w:hAnsi="Calibri" w:cs="Calibri"/>
          <w:color w:val="000000"/>
          <w:sz w:val="22"/>
          <w:szCs w:val="22"/>
        </w:rPr>
        <w:t>–</w:t>
      </w:r>
      <w:r>
        <w:rPr>
          <w:rFonts w:ascii="Calibri" w:hAnsi="Calibri" w:cs="Calibri"/>
          <w:color w:val="000000"/>
          <w:sz w:val="22"/>
          <w:szCs w:val="22"/>
        </w:rPr>
        <w:t xml:space="preserve"> </w:t>
      </w:r>
      <w:r w:rsidR="00975F65">
        <w:rPr>
          <w:rFonts w:ascii="Calibri" w:hAnsi="Calibri" w:cs="Calibri"/>
          <w:color w:val="000000"/>
          <w:sz w:val="22"/>
          <w:szCs w:val="22"/>
        </w:rPr>
        <w:t>nejvýznamnější částka byla investovaná do rozšíření a reprodukce MKDS – 4 kamerové body (1,64 mil. Kč), dále do nákupu poplatkové pokladny (835,01 tis. Kč). Mezi významné nákupy patří laserový měřič rychlosti (399,66 tis. Kč) a ukazatel okamžité rychlosti vozidla – 2 ks (357,58 tis. Kč).</w:t>
      </w:r>
    </w:p>
    <w:p w:rsidR="00B027AF" w:rsidRDefault="00B027AF" w:rsidP="00DA0881">
      <w:pPr>
        <w:pStyle w:val="western"/>
        <w:spacing w:before="0" w:beforeAutospacing="0"/>
        <w:jc w:val="both"/>
      </w:pPr>
      <w:r>
        <w:rPr>
          <w:rFonts w:ascii="Calibri" w:hAnsi="Calibri" w:cs="Calibri"/>
          <w:color w:val="000000"/>
          <w:sz w:val="22"/>
          <w:szCs w:val="22"/>
          <w:u w:val="single"/>
        </w:rPr>
        <w:t>Dopravní prostředky (</w:t>
      </w:r>
      <w:r w:rsidR="00975F65">
        <w:rPr>
          <w:rFonts w:ascii="Calibri" w:hAnsi="Calibri" w:cs="Calibri"/>
          <w:color w:val="000000"/>
          <w:sz w:val="22"/>
          <w:szCs w:val="22"/>
          <w:u w:val="single"/>
        </w:rPr>
        <w:t>599,02 tis</w:t>
      </w:r>
      <w:r>
        <w:rPr>
          <w:rFonts w:ascii="Calibri" w:hAnsi="Calibri" w:cs="Calibri"/>
          <w:color w:val="000000"/>
          <w:sz w:val="22"/>
          <w:szCs w:val="22"/>
          <w:u w:val="single"/>
        </w:rPr>
        <w:t xml:space="preserve">. Kč) </w:t>
      </w:r>
      <w:r>
        <w:rPr>
          <w:rFonts w:ascii="Calibri" w:hAnsi="Calibri" w:cs="Calibri"/>
          <w:color w:val="000000"/>
          <w:sz w:val="22"/>
          <w:szCs w:val="22"/>
        </w:rPr>
        <w:t xml:space="preserve">– </w:t>
      </w:r>
      <w:r w:rsidR="00975F65">
        <w:rPr>
          <w:rFonts w:ascii="Calibri" w:hAnsi="Calibri" w:cs="Calibri"/>
          <w:color w:val="000000"/>
          <w:sz w:val="22"/>
          <w:szCs w:val="22"/>
        </w:rPr>
        <w:t>služební vozidlo pro městskou policii.</w:t>
      </w:r>
    </w:p>
    <w:p w:rsidR="00B027AF" w:rsidRDefault="00B027AF" w:rsidP="00DA0881">
      <w:pPr>
        <w:pStyle w:val="western"/>
        <w:spacing w:before="0" w:beforeAutospacing="0"/>
        <w:jc w:val="both"/>
        <w:rPr>
          <w:rFonts w:ascii="Calibri" w:hAnsi="Calibri" w:cs="Calibri"/>
          <w:color w:val="000000"/>
          <w:sz w:val="22"/>
          <w:szCs w:val="22"/>
        </w:rPr>
      </w:pPr>
      <w:r>
        <w:rPr>
          <w:rFonts w:ascii="Calibri" w:hAnsi="Calibri" w:cs="Calibri"/>
          <w:color w:val="000000"/>
          <w:sz w:val="22"/>
          <w:szCs w:val="22"/>
          <w:u w:val="single"/>
        </w:rPr>
        <w:t>Výpočetní technika (</w:t>
      </w:r>
      <w:r w:rsidR="00DA0881">
        <w:rPr>
          <w:rFonts w:ascii="Calibri" w:hAnsi="Calibri" w:cs="Calibri"/>
          <w:color w:val="000000"/>
          <w:sz w:val="22"/>
          <w:szCs w:val="22"/>
          <w:u w:val="single"/>
        </w:rPr>
        <w:t>78,02</w:t>
      </w:r>
      <w:r>
        <w:rPr>
          <w:rFonts w:ascii="Calibri" w:hAnsi="Calibri" w:cs="Calibri"/>
          <w:color w:val="000000"/>
          <w:sz w:val="22"/>
          <w:szCs w:val="22"/>
          <w:u w:val="single"/>
        </w:rPr>
        <w:t xml:space="preserve"> tis. Kč)</w:t>
      </w:r>
      <w:r>
        <w:rPr>
          <w:rFonts w:ascii="Calibri" w:hAnsi="Calibri" w:cs="Calibri"/>
          <w:color w:val="000000"/>
          <w:sz w:val="22"/>
          <w:szCs w:val="22"/>
        </w:rPr>
        <w:t xml:space="preserve"> – </w:t>
      </w:r>
      <w:r w:rsidR="00DA0881">
        <w:rPr>
          <w:rFonts w:ascii="Calibri" w:hAnsi="Calibri" w:cs="Calibri"/>
          <w:color w:val="000000"/>
          <w:sz w:val="22"/>
          <w:szCs w:val="22"/>
        </w:rPr>
        <w:t>b</w:t>
      </w:r>
      <w:r w:rsidR="00DA0881" w:rsidRPr="00DA0881">
        <w:rPr>
          <w:rFonts w:ascii="Calibri" w:hAnsi="Calibri" w:cs="Calibri"/>
          <w:color w:val="000000"/>
          <w:sz w:val="22"/>
          <w:szCs w:val="22"/>
        </w:rPr>
        <w:t>arevné laserové multifunkční zařízení</w:t>
      </w:r>
      <w:r w:rsidR="00DA0881">
        <w:rPr>
          <w:rFonts w:ascii="Calibri" w:hAnsi="Calibri" w:cs="Calibri"/>
          <w:color w:val="000000"/>
          <w:sz w:val="22"/>
          <w:szCs w:val="22"/>
        </w:rPr>
        <w:t xml:space="preserve"> s příslušenstvím</w:t>
      </w:r>
      <w:r>
        <w:rPr>
          <w:rFonts w:ascii="Calibri" w:hAnsi="Calibri" w:cs="Calibri"/>
          <w:color w:val="000000"/>
          <w:sz w:val="22"/>
          <w:szCs w:val="22"/>
        </w:rPr>
        <w:t xml:space="preserve">. </w:t>
      </w:r>
    </w:p>
    <w:p w:rsidR="008F50F7" w:rsidRDefault="008F50F7" w:rsidP="00DA0881">
      <w:pPr>
        <w:pStyle w:val="western"/>
        <w:spacing w:before="0" w:beforeAutospacing="0"/>
        <w:jc w:val="both"/>
      </w:pPr>
      <w:r w:rsidRPr="008F50F7">
        <w:rPr>
          <w:rFonts w:ascii="Calibri" w:hAnsi="Calibri" w:cs="Calibri"/>
          <w:color w:val="000000"/>
          <w:sz w:val="22"/>
          <w:szCs w:val="22"/>
          <w:u w:val="single"/>
        </w:rPr>
        <w:t>Kulturní předměty (</w:t>
      </w:r>
      <w:r w:rsidR="00DA0881">
        <w:rPr>
          <w:rFonts w:ascii="Calibri" w:hAnsi="Calibri" w:cs="Calibri"/>
          <w:color w:val="000000"/>
          <w:sz w:val="22"/>
          <w:szCs w:val="22"/>
          <w:u w:val="single"/>
        </w:rPr>
        <w:t>147,5</w:t>
      </w:r>
      <w:r w:rsidRPr="008F50F7">
        <w:rPr>
          <w:rFonts w:ascii="Calibri" w:hAnsi="Calibri" w:cs="Calibri"/>
          <w:color w:val="000000"/>
          <w:sz w:val="22"/>
          <w:szCs w:val="22"/>
          <w:u w:val="single"/>
        </w:rPr>
        <w:t xml:space="preserve"> tis. Kč)</w:t>
      </w:r>
      <w:r>
        <w:rPr>
          <w:rFonts w:ascii="Calibri" w:hAnsi="Calibri" w:cs="Calibri"/>
          <w:color w:val="000000"/>
          <w:sz w:val="22"/>
          <w:szCs w:val="22"/>
        </w:rPr>
        <w:t xml:space="preserve"> – v rámci kapitoly 10 byl</w:t>
      </w:r>
      <w:r w:rsidR="00DA0881">
        <w:rPr>
          <w:rFonts w:ascii="Calibri" w:hAnsi="Calibri" w:cs="Calibri"/>
          <w:color w:val="000000"/>
          <w:sz w:val="22"/>
          <w:szCs w:val="22"/>
        </w:rPr>
        <w:t>a nakoupena umělecká díla.</w:t>
      </w:r>
    </w:p>
    <w:p w:rsidR="00D11346" w:rsidRPr="00D11346" w:rsidRDefault="00B027AF" w:rsidP="00DA0881">
      <w:pPr>
        <w:pStyle w:val="western"/>
        <w:spacing w:before="0" w:beforeAutospacing="0" w:after="0" w:afterAutospacing="0"/>
        <w:jc w:val="both"/>
        <w:rPr>
          <w:rFonts w:asciiTheme="minorHAnsi" w:hAnsiTheme="minorHAnsi" w:cstheme="minorHAnsi"/>
          <w:color w:val="000000"/>
          <w:sz w:val="22"/>
          <w:szCs w:val="22"/>
        </w:rPr>
      </w:pPr>
      <w:r w:rsidRPr="00D11346">
        <w:rPr>
          <w:rFonts w:asciiTheme="minorHAnsi" w:hAnsiTheme="minorHAnsi" w:cstheme="minorHAnsi"/>
          <w:color w:val="000000"/>
          <w:sz w:val="22"/>
          <w:szCs w:val="22"/>
          <w:u w:val="single"/>
        </w:rPr>
        <w:t>Pozemky (</w:t>
      </w:r>
      <w:r w:rsidR="00DA0881">
        <w:rPr>
          <w:rFonts w:asciiTheme="minorHAnsi" w:hAnsiTheme="minorHAnsi" w:cstheme="minorHAnsi"/>
          <w:color w:val="000000"/>
          <w:sz w:val="22"/>
          <w:szCs w:val="22"/>
          <w:u w:val="single"/>
        </w:rPr>
        <w:t>8,87</w:t>
      </w:r>
      <w:r w:rsidRPr="00D11346">
        <w:rPr>
          <w:rFonts w:asciiTheme="minorHAnsi" w:hAnsiTheme="minorHAnsi" w:cstheme="minorHAnsi"/>
          <w:color w:val="000000"/>
          <w:sz w:val="22"/>
          <w:szCs w:val="22"/>
          <w:u w:val="single"/>
        </w:rPr>
        <w:t xml:space="preserve"> mil. Kč)</w:t>
      </w:r>
      <w:r w:rsidR="00DA0881">
        <w:rPr>
          <w:rFonts w:asciiTheme="minorHAnsi" w:hAnsiTheme="minorHAnsi" w:cstheme="minorHAnsi"/>
          <w:color w:val="000000"/>
          <w:sz w:val="22"/>
          <w:szCs w:val="22"/>
        </w:rPr>
        <w:t>.</w:t>
      </w:r>
    </w:p>
    <w:p w:rsidR="00223D5A" w:rsidRDefault="00223D5A" w:rsidP="0024764D">
      <w:pPr>
        <w:pStyle w:val="Nadpis3"/>
        <w:rPr>
          <w:b w:val="0"/>
        </w:rPr>
      </w:pPr>
      <w:r w:rsidRPr="00D14F6B">
        <w:rPr>
          <w:b w:val="0"/>
        </w:rPr>
        <w:t>Srovnání investičních nákupů a so</w:t>
      </w:r>
      <w:r w:rsidR="003F6F32" w:rsidRPr="00D14F6B">
        <w:rPr>
          <w:b w:val="0"/>
        </w:rPr>
        <w:t>uvisejících výdajů v letech 20</w:t>
      </w:r>
      <w:r w:rsidR="004B3F42">
        <w:rPr>
          <w:b w:val="0"/>
        </w:rPr>
        <w:t>20</w:t>
      </w:r>
      <w:r w:rsidR="00B90840" w:rsidRPr="00D14F6B">
        <w:rPr>
          <w:b w:val="0"/>
        </w:rPr>
        <w:t xml:space="preserve"> </w:t>
      </w:r>
      <w:r w:rsidRPr="00D14F6B">
        <w:rPr>
          <w:b w:val="0"/>
        </w:rPr>
        <w:t>-</w:t>
      </w:r>
      <w:r w:rsidR="00B90840" w:rsidRPr="00D14F6B">
        <w:rPr>
          <w:b w:val="0"/>
        </w:rPr>
        <w:t xml:space="preserve"> </w:t>
      </w:r>
      <w:r w:rsidR="000B49C7" w:rsidRPr="00D14F6B">
        <w:rPr>
          <w:b w:val="0"/>
        </w:rPr>
        <w:t>202</w:t>
      </w:r>
      <w:r w:rsidR="004B3F42">
        <w:rPr>
          <w:b w:val="0"/>
        </w:rPr>
        <w:t>2</w:t>
      </w:r>
      <w:r w:rsidRPr="00D14F6B">
        <w:rPr>
          <w:b w:val="0"/>
        </w:rPr>
        <w:t xml:space="preserve"> po konsolidaci v</w:t>
      </w:r>
      <w:r w:rsidR="004B3F42">
        <w:rPr>
          <w:b w:val="0"/>
        </w:rPr>
        <w:t> </w:t>
      </w:r>
      <w:r w:rsidRPr="00D14F6B">
        <w:rPr>
          <w:b w:val="0"/>
        </w:rPr>
        <w:t>Kč</w:t>
      </w:r>
    </w:p>
    <w:tbl>
      <w:tblPr>
        <w:tblW w:w="9493" w:type="dxa"/>
        <w:tblCellMar>
          <w:left w:w="70" w:type="dxa"/>
          <w:right w:w="70" w:type="dxa"/>
        </w:tblCellMar>
        <w:tblLook w:val="04A0" w:firstRow="1" w:lastRow="0" w:firstColumn="1" w:lastColumn="0" w:noHBand="0" w:noVBand="1"/>
      </w:tblPr>
      <w:tblGrid>
        <w:gridCol w:w="454"/>
        <w:gridCol w:w="588"/>
        <w:gridCol w:w="4482"/>
        <w:gridCol w:w="1417"/>
        <w:gridCol w:w="1276"/>
        <w:gridCol w:w="1276"/>
      </w:tblGrid>
      <w:tr w:rsidR="004B3F42" w:rsidTr="00DA0881">
        <w:trPr>
          <w:trHeight w:val="255"/>
        </w:trPr>
        <w:tc>
          <w:tcPr>
            <w:tcW w:w="5524" w:type="dxa"/>
            <w:gridSpan w:val="3"/>
            <w:tcBorders>
              <w:top w:val="single" w:sz="4" w:space="0" w:color="auto"/>
              <w:left w:val="single" w:sz="4" w:space="0" w:color="auto"/>
              <w:bottom w:val="single" w:sz="4" w:space="0" w:color="auto"/>
              <w:right w:val="single" w:sz="4" w:space="0" w:color="000000"/>
            </w:tcBorders>
            <w:shd w:val="clear" w:color="D6A100" w:fill="C6E0B4"/>
            <w:noWrap/>
            <w:vAlign w:val="center"/>
            <w:hideMark/>
          </w:tcPr>
          <w:p w:rsidR="004B3F42" w:rsidRDefault="004B3F42">
            <w:pPr>
              <w:rPr>
                <w:rFonts w:ascii="Calibri" w:hAnsi="Calibri" w:cs="Calibri"/>
                <w:color w:val="000000"/>
                <w:sz w:val="16"/>
                <w:szCs w:val="16"/>
              </w:rPr>
            </w:pPr>
            <w:r>
              <w:rPr>
                <w:rFonts w:ascii="Calibri" w:hAnsi="Calibri" w:cs="Calibri"/>
                <w:color w:val="000000"/>
                <w:sz w:val="16"/>
                <w:szCs w:val="16"/>
              </w:rPr>
              <w:t> </w:t>
            </w:r>
          </w:p>
        </w:tc>
        <w:tc>
          <w:tcPr>
            <w:tcW w:w="1417" w:type="dxa"/>
            <w:tcBorders>
              <w:top w:val="single" w:sz="4" w:space="0" w:color="auto"/>
              <w:left w:val="nil"/>
              <w:bottom w:val="single" w:sz="4" w:space="0" w:color="auto"/>
              <w:right w:val="single" w:sz="4" w:space="0" w:color="auto"/>
            </w:tcBorders>
            <w:shd w:val="clear" w:color="D6A100" w:fill="C6E0B4"/>
            <w:noWrap/>
            <w:vAlign w:val="center"/>
            <w:hideMark/>
          </w:tcPr>
          <w:p w:rsidR="004B3F42" w:rsidRDefault="004B3F42">
            <w:pPr>
              <w:jc w:val="center"/>
              <w:rPr>
                <w:rFonts w:ascii="Calibri" w:hAnsi="Calibri" w:cs="Calibri"/>
                <w:color w:val="000000"/>
                <w:sz w:val="16"/>
                <w:szCs w:val="16"/>
              </w:rPr>
            </w:pPr>
            <w:r>
              <w:rPr>
                <w:rFonts w:ascii="Calibri" w:hAnsi="Calibri" w:cs="Calibri"/>
                <w:color w:val="000000"/>
                <w:sz w:val="16"/>
                <w:szCs w:val="16"/>
              </w:rPr>
              <w:t>2020</w:t>
            </w:r>
          </w:p>
        </w:tc>
        <w:tc>
          <w:tcPr>
            <w:tcW w:w="1276" w:type="dxa"/>
            <w:tcBorders>
              <w:top w:val="single" w:sz="4" w:space="0" w:color="auto"/>
              <w:left w:val="nil"/>
              <w:bottom w:val="single" w:sz="4" w:space="0" w:color="auto"/>
              <w:right w:val="single" w:sz="4" w:space="0" w:color="auto"/>
            </w:tcBorders>
            <w:shd w:val="clear" w:color="D6A100" w:fill="C6E0B4"/>
            <w:noWrap/>
            <w:vAlign w:val="center"/>
            <w:hideMark/>
          </w:tcPr>
          <w:p w:rsidR="004B3F42" w:rsidRDefault="004B3F42">
            <w:pPr>
              <w:jc w:val="center"/>
              <w:rPr>
                <w:rFonts w:ascii="Calibri" w:hAnsi="Calibri" w:cs="Calibri"/>
                <w:color w:val="000000"/>
                <w:sz w:val="16"/>
                <w:szCs w:val="16"/>
              </w:rPr>
            </w:pPr>
            <w:r>
              <w:rPr>
                <w:rFonts w:ascii="Calibri" w:hAnsi="Calibri" w:cs="Calibri"/>
                <w:color w:val="000000"/>
                <w:sz w:val="16"/>
                <w:szCs w:val="16"/>
              </w:rPr>
              <w:t>2021</w:t>
            </w:r>
          </w:p>
        </w:tc>
        <w:tc>
          <w:tcPr>
            <w:tcW w:w="1276" w:type="dxa"/>
            <w:tcBorders>
              <w:top w:val="single" w:sz="4" w:space="0" w:color="auto"/>
              <w:left w:val="nil"/>
              <w:bottom w:val="single" w:sz="4" w:space="0" w:color="auto"/>
              <w:right w:val="single" w:sz="4" w:space="0" w:color="auto"/>
            </w:tcBorders>
            <w:shd w:val="clear" w:color="D6A100" w:fill="C6E0B4"/>
            <w:noWrap/>
            <w:vAlign w:val="center"/>
            <w:hideMark/>
          </w:tcPr>
          <w:p w:rsidR="004B3F42" w:rsidRDefault="004B3F42">
            <w:pPr>
              <w:jc w:val="center"/>
              <w:rPr>
                <w:rFonts w:ascii="Calibri" w:hAnsi="Calibri" w:cs="Calibri"/>
                <w:color w:val="000000"/>
                <w:sz w:val="16"/>
                <w:szCs w:val="16"/>
              </w:rPr>
            </w:pPr>
            <w:r>
              <w:rPr>
                <w:rFonts w:ascii="Calibri" w:hAnsi="Calibri" w:cs="Calibri"/>
                <w:color w:val="000000"/>
                <w:sz w:val="16"/>
                <w:szCs w:val="16"/>
              </w:rPr>
              <w:t>2022</w:t>
            </w:r>
          </w:p>
        </w:tc>
      </w:tr>
      <w:tr w:rsidR="004B3F42" w:rsidTr="00DA0881">
        <w:trPr>
          <w:trHeight w:val="255"/>
        </w:trPr>
        <w:tc>
          <w:tcPr>
            <w:tcW w:w="5524" w:type="dxa"/>
            <w:gridSpan w:val="3"/>
            <w:tcBorders>
              <w:top w:val="single" w:sz="4" w:space="0" w:color="auto"/>
              <w:left w:val="single" w:sz="4" w:space="0" w:color="auto"/>
              <w:bottom w:val="single" w:sz="4" w:space="0" w:color="auto"/>
              <w:right w:val="single" w:sz="4" w:space="0" w:color="000000"/>
            </w:tcBorders>
            <w:shd w:val="clear" w:color="000000" w:fill="A9D08E"/>
            <w:noWrap/>
            <w:vAlign w:val="center"/>
            <w:hideMark/>
          </w:tcPr>
          <w:p w:rsidR="004B3F42" w:rsidRDefault="004B3F42">
            <w:pPr>
              <w:rPr>
                <w:rFonts w:ascii="Calibri" w:hAnsi="Calibri" w:cs="Calibri"/>
                <w:b/>
                <w:bCs/>
                <w:color w:val="000000"/>
                <w:sz w:val="16"/>
                <w:szCs w:val="16"/>
              </w:rPr>
            </w:pPr>
            <w:r>
              <w:rPr>
                <w:rFonts w:ascii="Calibri" w:hAnsi="Calibri" w:cs="Calibri"/>
                <w:b/>
                <w:bCs/>
                <w:color w:val="000000"/>
                <w:sz w:val="16"/>
                <w:szCs w:val="16"/>
              </w:rPr>
              <w:t>Investiční nákupy a související výdaje</w:t>
            </w:r>
          </w:p>
        </w:tc>
        <w:tc>
          <w:tcPr>
            <w:tcW w:w="1417" w:type="dxa"/>
            <w:tcBorders>
              <w:top w:val="nil"/>
              <w:left w:val="nil"/>
              <w:bottom w:val="single" w:sz="4" w:space="0" w:color="auto"/>
              <w:right w:val="single" w:sz="4" w:space="0" w:color="auto"/>
            </w:tcBorders>
            <w:shd w:val="clear" w:color="000000" w:fill="A9D08E"/>
            <w:noWrap/>
            <w:vAlign w:val="center"/>
            <w:hideMark/>
          </w:tcPr>
          <w:p w:rsidR="004B3F42" w:rsidRDefault="004B3F42">
            <w:pPr>
              <w:jc w:val="right"/>
              <w:rPr>
                <w:rFonts w:ascii="Calibri" w:hAnsi="Calibri" w:cs="Calibri"/>
                <w:b/>
                <w:bCs/>
                <w:color w:val="000000"/>
                <w:sz w:val="16"/>
                <w:szCs w:val="16"/>
              </w:rPr>
            </w:pPr>
            <w:r>
              <w:rPr>
                <w:rFonts w:ascii="Calibri" w:hAnsi="Calibri" w:cs="Calibri"/>
                <w:b/>
                <w:bCs/>
                <w:color w:val="000000"/>
                <w:sz w:val="16"/>
                <w:szCs w:val="16"/>
              </w:rPr>
              <w:t>195 368 164,33</w:t>
            </w:r>
          </w:p>
        </w:tc>
        <w:tc>
          <w:tcPr>
            <w:tcW w:w="1276" w:type="dxa"/>
            <w:tcBorders>
              <w:top w:val="nil"/>
              <w:left w:val="nil"/>
              <w:bottom w:val="single" w:sz="4" w:space="0" w:color="auto"/>
              <w:right w:val="single" w:sz="4" w:space="0" w:color="auto"/>
            </w:tcBorders>
            <w:shd w:val="clear" w:color="000000" w:fill="A9D08E"/>
            <w:noWrap/>
            <w:vAlign w:val="center"/>
            <w:hideMark/>
          </w:tcPr>
          <w:p w:rsidR="004B3F42" w:rsidRDefault="004B3F42">
            <w:pPr>
              <w:jc w:val="right"/>
              <w:rPr>
                <w:rFonts w:ascii="Calibri" w:hAnsi="Calibri" w:cs="Calibri"/>
                <w:b/>
                <w:bCs/>
                <w:color w:val="000000"/>
                <w:sz w:val="16"/>
                <w:szCs w:val="16"/>
              </w:rPr>
            </w:pPr>
            <w:r>
              <w:rPr>
                <w:rFonts w:ascii="Calibri" w:hAnsi="Calibri" w:cs="Calibri"/>
                <w:b/>
                <w:bCs/>
                <w:color w:val="000000"/>
                <w:sz w:val="16"/>
                <w:szCs w:val="16"/>
              </w:rPr>
              <w:t>238 597 674,43</w:t>
            </w:r>
          </w:p>
        </w:tc>
        <w:tc>
          <w:tcPr>
            <w:tcW w:w="1276" w:type="dxa"/>
            <w:tcBorders>
              <w:top w:val="nil"/>
              <w:left w:val="nil"/>
              <w:bottom w:val="single" w:sz="4" w:space="0" w:color="auto"/>
              <w:right w:val="single" w:sz="4" w:space="0" w:color="auto"/>
            </w:tcBorders>
            <w:shd w:val="clear" w:color="000000" w:fill="A9D08E"/>
            <w:noWrap/>
            <w:vAlign w:val="center"/>
            <w:hideMark/>
          </w:tcPr>
          <w:p w:rsidR="004B3F42" w:rsidRDefault="004B3F42">
            <w:pPr>
              <w:jc w:val="right"/>
              <w:rPr>
                <w:rFonts w:ascii="Calibri" w:hAnsi="Calibri" w:cs="Calibri"/>
                <w:b/>
                <w:bCs/>
                <w:color w:val="000000"/>
                <w:sz w:val="16"/>
                <w:szCs w:val="16"/>
              </w:rPr>
            </w:pPr>
            <w:r>
              <w:rPr>
                <w:rFonts w:ascii="Calibri" w:hAnsi="Calibri" w:cs="Calibri"/>
                <w:b/>
                <w:bCs/>
                <w:color w:val="000000"/>
                <w:sz w:val="16"/>
                <w:szCs w:val="16"/>
              </w:rPr>
              <w:t>228 448 454,35</w:t>
            </w:r>
          </w:p>
        </w:tc>
      </w:tr>
      <w:tr w:rsidR="004B3F42" w:rsidTr="00DA0881">
        <w:trPr>
          <w:trHeight w:val="255"/>
        </w:trPr>
        <w:tc>
          <w:tcPr>
            <w:tcW w:w="454" w:type="dxa"/>
            <w:tcBorders>
              <w:top w:val="nil"/>
              <w:left w:val="single" w:sz="4" w:space="0" w:color="auto"/>
              <w:bottom w:val="single" w:sz="4" w:space="0" w:color="auto"/>
              <w:right w:val="single" w:sz="4" w:space="0" w:color="auto"/>
            </w:tcBorders>
            <w:shd w:val="clear" w:color="FFF2CC" w:fill="E2EFDA"/>
            <w:noWrap/>
            <w:vAlign w:val="center"/>
            <w:hideMark/>
          </w:tcPr>
          <w:p w:rsidR="004B3F42" w:rsidRDefault="004B3F42">
            <w:pPr>
              <w:jc w:val="right"/>
              <w:rPr>
                <w:rFonts w:ascii="Calibri" w:hAnsi="Calibri" w:cs="Calibri"/>
                <w:color w:val="000000"/>
                <w:sz w:val="16"/>
                <w:szCs w:val="16"/>
              </w:rPr>
            </w:pPr>
            <w:r>
              <w:rPr>
                <w:rFonts w:ascii="Calibri" w:hAnsi="Calibri" w:cs="Calibri"/>
                <w:color w:val="000000"/>
                <w:sz w:val="16"/>
                <w:szCs w:val="16"/>
              </w:rPr>
              <w:t>611</w:t>
            </w:r>
          </w:p>
        </w:tc>
        <w:tc>
          <w:tcPr>
            <w:tcW w:w="5070" w:type="dxa"/>
            <w:gridSpan w:val="2"/>
            <w:tcBorders>
              <w:top w:val="single" w:sz="4" w:space="0" w:color="auto"/>
              <w:left w:val="nil"/>
              <w:bottom w:val="single" w:sz="4" w:space="0" w:color="auto"/>
              <w:right w:val="single" w:sz="4" w:space="0" w:color="000000"/>
            </w:tcBorders>
            <w:shd w:val="clear" w:color="FFF2CC" w:fill="E2EFDA"/>
            <w:noWrap/>
            <w:vAlign w:val="center"/>
            <w:hideMark/>
          </w:tcPr>
          <w:p w:rsidR="004B3F42" w:rsidRDefault="004B3F42">
            <w:pPr>
              <w:rPr>
                <w:rFonts w:ascii="Calibri" w:hAnsi="Calibri" w:cs="Calibri"/>
                <w:color w:val="000000"/>
                <w:sz w:val="16"/>
                <w:szCs w:val="16"/>
              </w:rPr>
            </w:pPr>
            <w:r>
              <w:rPr>
                <w:rFonts w:ascii="Calibri" w:hAnsi="Calibri" w:cs="Calibri"/>
                <w:color w:val="000000"/>
                <w:sz w:val="16"/>
                <w:szCs w:val="16"/>
              </w:rPr>
              <w:t>Pořízení dlouhodobého nehmotného majetku</w:t>
            </w:r>
          </w:p>
        </w:tc>
        <w:tc>
          <w:tcPr>
            <w:tcW w:w="1417" w:type="dxa"/>
            <w:tcBorders>
              <w:top w:val="nil"/>
              <w:left w:val="nil"/>
              <w:bottom w:val="single" w:sz="4" w:space="0" w:color="auto"/>
              <w:right w:val="single" w:sz="4" w:space="0" w:color="auto"/>
            </w:tcBorders>
            <w:shd w:val="clear" w:color="FFF2CC" w:fill="E2EFDA"/>
            <w:noWrap/>
            <w:vAlign w:val="center"/>
            <w:hideMark/>
          </w:tcPr>
          <w:p w:rsidR="004B3F42" w:rsidRDefault="004B3F42">
            <w:pPr>
              <w:jc w:val="right"/>
              <w:rPr>
                <w:rFonts w:ascii="Calibri" w:hAnsi="Calibri" w:cs="Calibri"/>
                <w:color w:val="000000"/>
                <w:sz w:val="16"/>
                <w:szCs w:val="16"/>
              </w:rPr>
            </w:pPr>
            <w:r>
              <w:rPr>
                <w:rFonts w:ascii="Calibri" w:hAnsi="Calibri" w:cs="Calibri"/>
                <w:color w:val="000000"/>
                <w:sz w:val="16"/>
                <w:szCs w:val="16"/>
              </w:rPr>
              <w:t>1 154 464,63</w:t>
            </w:r>
          </w:p>
        </w:tc>
        <w:tc>
          <w:tcPr>
            <w:tcW w:w="1276" w:type="dxa"/>
            <w:tcBorders>
              <w:top w:val="nil"/>
              <w:left w:val="nil"/>
              <w:bottom w:val="single" w:sz="4" w:space="0" w:color="auto"/>
              <w:right w:val="single" w:sz="4" w:space="0" w:color="auto"/>
            </w:tcBorders>
            <w:shd w:val="clear" w:color="FFF2CC" w:fill="E2EFDA"/>
            <w:noWrap/>
            <w:vAlign w:val="center"/>
            <w:hideMark/>
          </w:tcPr>
          <w:p w:rsidR="004B3F42" w:rsidRDefault="004B3F42">
            <w:pPr>
              <w:jc w:val="right"/>
              <w:rPr>
                <w:rFonts w:ascii="Calibri" w:hAnsi="Calibri" w:cs="Calibri"/>
                <w:color w:val="000000"/>
                <w:sz w:val="16"/>
                <w:szCs w:val="16"/>
              </w:rPr>
            </w:pPr>
            <w:r>
              <w:rPr>
                <w:rFonts w:ascii="Calibri" w:hAnsi="Calibri" w:cs="Calibri"/>
                <w:color w:val="000000"/>
                <w:sz w:val="16"/>
                <w:szCs w:val="16"/>
              </w:rPr>
              <w:t>3 639 075,00</w:t>
            </w:r>
          </w:p>
        </w:tc>
        <w:tc>
          <w:tcPr>
            <w:tcW w:w="1276" w:type="dxa"/>
            <w:tcBorders>
              <w:top w:val="nil"/>
              <w:left w:val="nil"/>
              <w:bottom w:val="single" w:sz="4" w:space="0" w:color="auto"/>
              <w:right w:val="single" w:sz="4" w:space="0" w:color="auto"/>
            </w:tcBorders>
            <w:shd w:val="clear" w:color="FFF2CC" w:fill="E2EFDA"/>
            <w:noWrap/>
            <w:vAlign w:val="center"/>
            <w:hideMark/>
          </w:tcPr>
          <w:p w:rsidR="004B3F42" w:rsidRDefault="004B3F42">
            <w:pPr>
              <w:jc w:val="right"/>
              <w:rPr>
                <w:rFonts w:ascii="Calibri" w:hAnsi="Calibri" w:cs="Calibri"/>
                <w:color w:val="000000"/>
                <w:sz w:val="16"/>
                <w:szCs w:val="16"/>
              </w:rPr>
            </w:pPr>
            <w:r>
              <w:rPr>
                <w:rFonts w:ascii="Calibri" w:hAnsi="Calibri" w:cs="Calibri"/>
                <w:color w:val="000000"/>
                <w:sz w:val="16"/>
                <w:szCs w:val="16"/>
              </w:rPr>
              <w:t>1 177 569,58</w:t>
            </w:r>
          </w:p>
        </w:tc>
      </w:tr>
      <w:tr w:rsidR="004B3F42" w:rsidTr="00DA088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4B3F42" w:rsidRDefault="004B3F42">
            <w:pPr>
              <w:rPr>
                <w:rFonts w:ascii="Calibri" w:hAnsi="Calibri" w:cs="Calibri"/>
                <w:color w:val="000000"/>
                <w:sz w:val="16"/>
                <w:szCs w:val="16"/>
              </w:rPr>
            </w:pPr>
            <w:r>
              <w:rPr>
                <w:rFonts w:ascii="Calibri" w:hAnsi="Calibri" w:cs="Calibri"/>
                <w:color w:val="000000"/>
                <w:sz w:val="16"/>
                <w:szCs w:val="16"/>
              </w:rPr>
              <w:t> </w:t>
            </w:r>
          </w:p>
        </w:tc>
        <w:tc>
          <w:tcPr>
            <w:tcW w:w="588" w:type="dxa"/>
            <w:tcBorders>
              <w:top w:val="nil"/>
              <w:left w:val="nil"/>
              <w:bottom w:val="single" w:sz="4" w:space="0" w:color="auto"/>
              <w:right w:val="single" w:sz="4" w:space="0" w:color="auto"/>
            </w:tcBorders>
            <w:shd w:val="clear" w:color="auto" w:fill="auto"/>
            <w:noWrap/>
            <w:vAlign w:val="center"/>
            <w:hideMark/>
          </w:tcPr>
          <w:p w:rsidR="004B3F42" w:rsidRDefault="004B3F42">
            <w:pPr>
              <w:jc w:val="center"/>
              <w:rPr>
                <w:rFonts w:ascii="Calibri" w:hAnsi="Calibri" w:cs="Calibri"/>
                <w:color w:val="000000"/>
                <w:sz w:val="16"/>
                <w:szCs w:val="16"/>
              </w:rPr>
            </w:pPr>
            <w:r>
              <w:rPr>
                <w:rFonts w:ascii="Calibri" w:hAnsi="Calibri" w:cs="Calibri"/>
                <w:color w:val="000000"/>
                <w:sz w:val="16"/>
                <w:szCs w:val="16"/>
              </w:rPr>
              <w:t>6111</w:t>
            </w:r>
          </w:p>
        </w:tc>
        <w:tc>
          <w:tcPr>
            <w:tcW w:w="4482" w:type="dxa"/>
            <w:tcBorders>
              <w:top w:val="nil"/>
              <w:left w:val="nil"/>
              <w:bottom w:val="single" w:sz="4" w:space="0" w:color="auto"/>
              <w:right w:val="single" w:sz="4" w:space="0" w:color="auto"/>
            </w:tcBorders>
            <w:shd w:val="clear" w:color="auto" w:fill="auto"/>
            <w:vAlign w:val="center"/>
            <w:hideMark/>
          </w:tcPr>
          <w:p w:rsidR="004B3F42" w:rsidRDefault="004B3F42">
            <w:pPr>
              <w:rPr>
                <w:rFonts w:ascii="Calibri" w:hAnsi="Calibri" w:cs="Calibri"/>
                <w:color w:val="000000"/>
                <w:sz w:val="16"/>
                <w:szCs w:val="16"/>
              </w:rPr>
            </w:pPr>
            <w:r>
              <w:rPr>
                <w:rFonts w:ascii="Calibri" w:hAnsi="Calibri" w:cs="Calibri"/>
                <w:color w:val="000000"/>
                <w:sz w:val="16"/>
                <w:szCs w:val="16"/>
              </w:rPr>
              <w:t>Programové vybavení</w:t>
            </w:r>
          </w:p>
        </w:tc>
        <w:tc>
          <w:tcPr>
            <w:tcW w:w="1417" w:type="dxa"/>
            <w:tcBorders>
              <w:top w:val="nil"/>
              <w:left w:val="nil"/>
              <w:bottom w:val="single" w:sz="4" w:space="0" w:color="auto"/>
              <w:right w:val="single" w:sz="4" w:space="0" w:color="auto"/>
            </w:tcBorders>
            <w:shd w:val="clear" w:color="auto" w:fill="auto"/>
            <w:noWrap/>
            <w:vAlign w:val="center"/>
            <w:hideMark/>
          </w:tcPr>
          <w:p w:rsidR="004B3F42" w:rsidRDefault="004B3F42">
            <w:pPr>
              <w:jc w:val="right"/>
              <w:rPr>
                <w:rFonts w:ascii="Calibri" w:hAnsi="Calibri" w:cs="Calibri"/>
                <w:color w:val="000000"/>
                <w:sz w:val="16"/>
                <w:szCs w:val="16"/>
              </w:rPr>
            </w:pPr>
            <w:r>
              <w:rPr>
                <w:rFonts w:ascii="Calibri" w:hAnsi="Calibri" w:cs="Calibri"/>
                <w:color w:val="000000"/>
                <w:sz w:val="16"/>
                <w:szCs w:val="16"/>
              </w:rPr>
              <w:t>618 579,83</w:t>
            </w:r>
          </w:p>
        </w:tc>
        <w:tc>
          <w:tcPr>
            <w:tcW w:w="1276" w:type="dxa"/>
            <w:tcBorders>
              <w:top w:val="nil"/>
              <w:left w:val="nil"/>
              <w:bottom w:val="single" w:sz="4" w:space="0" w:color="auto"/>
              <w:right w:val="single" w:sz="4" w:space="0" w:color="auto"/>
            </w:tcBorders>
            <w:shd w:val="clear" w:color="auto" w:fill="auto"/>
            <w:noWrap/>
            <w:vAlign w:val="center"/>
            <w:hideMark/>
          </w:tcPr>
          <w:p w:rsidR="004B3F42" w:rsidRDefault="004B3F42">
            <w:pPr>
              <w:jc w:val="right"/>
              <w:rPr>
                <w:rFonts w:ascii="Calibri" w:hAnsi="Calibri" w:cs="Calibri"/>
                <w:color w:val="000000"/>
                <w:sz w:val="16"/>
                <w:szCs w:val="16"/>
              </w:rPr>
            </w:pPr>
            <w:r>
              <w:rPr>
                <w:rFonts w:ascii="Calibri" w:hAnsi="Calibri" w:cs="Calibri"/>
                <w:color w:val="000000"/>
                <w:sz w:val="16"/>
                <w:szCs w:val="16"/>
              </w:rPr>
              <w:t>1 116 225,00</w:t>
            </w:r>
          </w:p>
        </w:tc>
        <w:tc>
          <w:tcPr>
            <w:tcW w:w="1276" w:type="dxa"/>
            <w:tcBorders>
              <w:top w:val="nil"/>
              <w:left w:val="nil"/>
              <w:bottom w:val="single" w:sz="4" w:space="0" w:color="auto"/>
              <w:right w:val="single" w:sz="4" w:space="0" w:color="auto"/>
            </w:tcBorders>
            <w:shd w:val="clear" w:color="auto" w:fill="auto"/>
            <w:noWrap/>
            <w:vAlign w:val="center"/>
            <w:hideMark/>
          </w:tcPr>
          <w:p w:rsidR="004B3F42" w:rsidRDefault="004B3F42">
            <w:pPr>
              <w:jc w:val="right"/>
              <w:rPr>
                <w:rFonts w:ascii="Calibri" w:hAnsi="Calibri" w:cs="Calibri"/>
                <w:color w:val="000000"/>
                <w:sz w:val="16"/>
                <w:szCs w:val="16"/>
              </w:rPr>
            </w:pPr>
            <w:r>
              <w:rPr>
                <w:rFonts w:ascii="Calibri" w:hAnsi="Calibri" w:cs="Calibri"/>
                <w:color w:val="000000"/>
                <w:sz w:val="16"/>
                <w:szCs w:val="16"/>
              </w:rPr>
              <w:t>1 013 009,58</w:t>
            </w:r>
          </w:p>
        </w:tc>
      </w:tr>
      <w:tr w:rsidR="004B3F42" w:rsidTr="00DA088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4B3F42" w:rsidRDefault="004B3F42">
            <w:pPr>
              <w:rPr>
                <w:rFonts w:ascii="Calibri" w:hAnsi="Calibri" w:cs="Calibri"/>
                <w:color w:val="000000"/>
                <w:sz w:val="16"/>
                <w:szCs w:val="16"/>
              </w:rPr>
            </w:pPr>
            <w:r>
              <w:rPr>
                <w:rFonts w:ascii="Calibri" w:hAnsi="Calibri" w:cs="Calibri"/>
                <w:color w:val="000000"/>
                <w:sz w:val="16"/>
                <w:szCs w:val="16"/>
              </w:rPr>
              <w:t> </w:t>
            </w:r>
          </w:p>
        </w:tc>
        <w:tc>
          <w:tcPr>
            <w:tcW w:w="588" w:type="dxa"/>
            <w:tcBorders>
              <w:top w:val="nil"/>
              <w:left w:val="nil"/>
              <w:bottom w:val="single" w:sz="4" w:space="0" w:color="auto"/>
              <w:right w:val="single" w:sz="4" w:space="0" w:color="auto"/>
            </w:tcBorders>
            <w:shd w:val="clear" w:color="auto" w:fill="auto"/>
            <w:noWrap/>
            <w:vAlign w:val="center"/>
            <w:hideMark/>
          </w:tcPr>
          <w:p w:rsidR="004B3F42" w:rsidRDefault="004B3F42">
            <w:pPr>
              <w:jc w:val="center"/>
              <w:rPr>
                <w:rFonts w:ascii="Calibri" w:hAnsi="Calibri" w:cs="Calibri"/>
                <w:color w:val="000000"/>
                <w:sz w:val="16"/>
                <w:szCs w:val="16"/>
              </w:rPr>
            </w:pPr>
            <w:r>
              <w:rPr>
                <w:rFonts w:ascii="Calibri" w:hAnsi="Calibri" w:cs="Calibri"/>
                <w:color w:val="000000"/>
                <w:sz w:val="16"/>
                <w:szCs w:val="16"/>
              </w:rPr>
              <w:t>6119</w:t>
            </w:r>
          </w:p>
        </w:tc>
        <w:tc>
          <w:tcPr>
            <w:tcW w:w="4482" w:type="dxa"/>
            <w:tcBorders>
              <w:top w:val="nil"/>
              <w:left w:val="nil"/>
              <w:bottom w:val="single" w:sz="4" w:space="0" w:color="auto"/>
              <w:right w:val="single" w:sz="4" w:space="0" w:color="auto"/>
            </w:tcBorders>
            <w:shd w:val="clear" w:color="auto" w:fill="auto"/>
            <w:vAlign w:val="center"/>
            <w:hideMark/>
          </w:tcPr>
          <w:p w:rsidR="004B3F42" w:rsidRDefault="004B3F42">
            <w:pPr>
              <w:rPr>
                <w:rFonts w:ascii="Calibri" w:hAnsi="Calibri" w:cs="Calibri"/>
                <w:color w:val="000000"/>
                <w:sz w:val="16"/>
                <w:szCs w:val="16"/>
              </w:rPr>
            </w:pPr>
            <w:r>
              <w:rPr>
                <w:rFonts w:ascii="Calibri" w:hAnsi="Calibri" w:cs="Calibri"/>
                <w:color w:val="000000"/>
                <w:sz w:val="16"/>
                <w:szCs w:val="16"/>
              </w:rPr>
              <w:t>Ostatní nákup dlouhodobého nehmotného majetku</w:t>
            </w:r>
          </w:p>
        </w:tc>
        <w:tc>
          <w:tcPr>
            <w:tcW w:w="1417" w:type="dxa"/>
            <w:tcBorders>
              <w:top w:val="nil"/>
              <w:left w:val="nil"/>
              <w:bottom w:val="single" w:sz="4" w:space="0" w:color="auto"/>
              <w:right w:val="single" w:sz="4" w:space="0" w:color="auto"/>
            </w:tcBorders>
            <w:shd w:val="clear" w:color="auto" w:fill="auto"/>
            <w:noWrap/>
            <w:vAlign w:val="center"/>
            <w:hideMark/>
          </w:tcPr>
          <w:p w:rsidR="004B3F42" w:rsidRDefault="004B3F42">
            <w:pPr>
              <w:jc w:val="right"/>
              <w:rPr>
                <w:rFonts w:ascii="Calibri" w:hAnsi="Calibri" w:cs="Calibri"/>
                <w:color w:val="000000"/>
                <w:sz w:val="16"/>
                <w:szCs w:val="16"/>
              </w:rPr>
            </w:pPr>
            <w:r>
              <w:rPr>
                <w:rFonts w:ascii="Calibri" w:hAnsi="Calibri" w:cs="Calibri"/>
                <w:color w:val="000000"/>
                <w:sz w:val="16"/>
                <w:szCs w:val="16"/>
              </w:rPr>
              <w:t>535 884,80</w:t>
            </w:r>
          </w:p>
        </w:tc>
        <w:tc>
          <w:tcPr>
            <w:tcW w:w="1276" w:type="dxa"/>
            <w:tcBorders>
              <w:top w:val="nil"/>
              <w:left w:val="nil"/>
              <w:bottom w:val="single" w:sz="4" w:space="0" w:color="auto"/>
              <w:right w:val="single" w:sz="4" w:space="0" w:color="auto"/>
            </w:tcBorders>
            <w:shd w:val="clear" w:color="auto" w:fill="auto"/>
            <w:noWrap/>
            <w:vAlign w:val="center"/>
            <w:hideMark/>
          </w:tcPr>
          <w:p w:rsidR="004B3F42" w:rsidRDefault="004B3F42">
            <w:pPr>
              <w:jc w:val="right"/>
              <w:rPr>
                <w:rFonts w:ascii="Calibri" w:hAnsi="Calibri" w:cs="Calibri"/>
                <w:color w:val="000000"/>
                <w:sz w:val="16"/>
                <w:szCs w:val="16"/>
              </w:rPr>
            </w:pPr>
            <w:r>
              <w:rPr>
                <w:rFonts w:ascii="Calibri" w:hAnsi="Calibri" w:cs="Calibri"/>
                <w:color w:val="000000"/>
                <w:sz w:val="16"/>
                <w:szCs w:val="16"/>
              </w:rPr>
              <w:t>2 522 850,00</w:t>
            </w:r>
          </w:p>
        </w:tc>
        <w:tc>
          <w:tcPr>
            <w:tcW w:w="1276" w:type="dxa"/>
            <w:tcBorders>
              <w:top w:val="nil"/>
              <w:left w:val="nil"/>
              <w:bottom w:val="single" w:sz="4" w:space="0" w:color="auto"/>
              <w:right w:val="single" w:sz="4" w:space="0" w:color="auto"/>
            </w:tcBorders>
            <w:shd w:val="clear" w:color="auto" w:fill="auto"/>
            <w:noWrap/>
            <w:vAlign w:val="center"/>
            <w:hideMark/>
          </w:tcPr>
          <w:p w:rsidR="004B3F42" w:rsidRDefault="004B3F42">
            <w:pPr>
              <w:jc w:val="right"/>
              <w:rPr>
                <w:rFonts w:ascii="Calibri" w:hAnsi="Calibri" w:cs="Calibri"/>
                <w:color w:val="000000"/>
                <w:sz w:val="16"/>
                <w:szCs w:val="16"/>
              </w:rPr>
            </w:pPr>
            <w:r>
              <w:rPr>
                <w:rFonts w:ascii="Calibri" w:hAnsi="Calibri" w:cs="Calibri"/>
                <w:color w:val="000000"/>
                <w:sz w:val="16"/>
                <w:szCs w:val="16"/>
              </w:rPr>
              <w:t>164 560,00</w:t>
            </w:r>
          </w:p>
        </w:tc>
      </w:tr>
      <w:tr w:rsidR="004B3F42" w:rsidTr="00DA0881">
        <w:trPr>
          <w:trHeight w:val="255"/>
        </w:trPr>
        <w:tc>
          <w:tcPr>
            <w:tcW w:w="454" w:type="dxa"/>
            <w:tcBorders>
              <w:top w:val="nil"/>
              <w:left w:val="single" w:sz="4" w:space="0" w:color="auto"/>
              <w:bottom w:val="single" w:sz="4" w:space="0" w:color="auto"/>
              <w:right w:val="single" w:sz="4" w:space="0" w:color="auto"/>
            </w:tcBorders>
            <w:shd w:val="clear" w:color="FFF2CC" w:fill="E2EFDA"/>
            <w:noWrap/>
            <w:vAlign w:val="center"/>
            <w:hideMark/>
          </w:tcPr>
          <w:p w:rsidR="004B3F42" w:rsidRDefault="004B3F42">
            <w:pPr>
              <w:jc w:val="right"/>
              <w:rPr>
                <w:rFonts w:ascii="Calibri" w:hAnsi="Calibri" w:cs="Calibri"/>
                <w:color w:val="000000"/>
                <w:sz w:val="16"/>
                <w:szCs w:val="16"/>
              </w:rPr>
            </w:pPr>
            <w:r>
              <w:rPr>
                <w:rFonts w:ascii="Calibri" w:hAnsi="Calibri" w:cs="Calibri"/>
                <w:color w:val="000000"/>
                <w:sz w:val="16"/>
                <w:szCs w:val="16"/>
              </w:rPr>
              <w:t>612</w:t>
            </w:r>
          </w:p>
        </w:tc>
        <w:tc>
          <w:tcPr>
            <w:tcW w:w="5070" w:type="dxa"/>
            <w:gridSpan w:val="2"/>
            <w:tcBorders>
              <w:top w:val="single" w:sz="4" w:space="0" w:color="auto"/>
              <w:left w:val="nil"/>
              <w:bottom w:val="single" w:sz="4" w:space="0" w:color="auto"/>
              <w:right w:val="single" w:sz="4" w:space="0" w:color="000000"/>
            </w:tcBorders>
            <w:shd w:val="clear" w:color="FFF2CC" w:fill="E2EFDA"/>
            <w:noWrap/>
            <w:vAlign w:val="center"/>
            <w:hideMark/>
          </w:tcPr>
          <w:p w:rsidR="004B3F42" w:rsidRDefault="004B3F42">
            <w:pPr>
              <w:rPr>
                <w:rFonts w:ascii="Calibri" w:hAnsi="Calibri" w:cs="Calibri"/>
                <w:color w:val="000000"/>
                <w:sz w:val="16"/>
                <w:szCs w:val="16"/>
              </w:rPr>
            </w:pPr>
            <w:r>
              <w:rPr>
                <w:rFonts w:ascii="Calibri" w:hAnsi="Calibri" w:cs="Calibri"/>
                <w:color w:val="000000"/>
                <w:sz w:val="16"/>
                <w:szCs w:val="16"/>
              </w:rPr>
              <w:t>Pořízení dlouhodobého hmotného majetku</w:t>
            </w:r>
          </w:p>
        </w:tc>
        <w:tc>
          <w:tcPr>
            <w:tcW w:w="1417" w:type="dxa"/>
            <w:tcBorders>
              <w:top w:val="nil"/>
              <w:left w:val="nil"/>
              <w:bottom w:val="single" w:sz="4" w:space="0" w:color="auto"/>
              <w:right w:val="single" w:sz="4" w:space="0" w:color="auto"/>
            </w:tcBorders>
            <w:shd w:val="clear" w:color="FFF2CC" w:fill="E2EFDA"/>
            <w:noWrap/>
            <w:vAlign w:val="center"/>
            <w:hideMark/>
          </w:tcPr>
          <w:p w:rsidR="004B3F42" w:rsidRDefault="004B3F42">
            <w:pPr>
              <w:jc w:val="right"/>
              <w:rPr>
                <w:rFonts w:ascii="Calibri" w:hAnsi="Calibri" w:cs="Calibri"/>
                <w:color w:val="000000"/>
                <w:sz w:val="16"/>
                <w:szCs w:val="16"/>
              </w:rPr>
            </w:pPr>
            <w:r>
              <w:rPr>
                <w:rFonts w:ascii="Calibri" w:hAnsi="Calibri" w:cs="Calibri"/>
                <w:color w:val="000000"/>
                <w:sz w:val="16"/>
                <w:szCs w:val="16"/>
              </w:rPr>
              <w:t>192 863 439,70</w:t>
            </w:r>
          </w:p>
        </w:tc>
        <w:tc>
          <w:tcPr>
            <w:tcW w:w="1276" w:type="dxa"/>
            <w:tcBorders>
              <w:top w:val="nil"/>
              <w:left w:val="nil"/>
              <w:bottom w:val="single" w:sz="4" w:space="0" w:color="auto"/>
              <w:right w:val="single" w:sz="4" w:space="0" w:color="auto"/>
            </w:tcBorders>
            <w:shd w:val="clear" w:color="FFF2CC" w:fill="E2EFDA"/>
            <w:noWrap/>
            <w:vAlign w:val="center"/>
            <w:hideMark/>
          </w:tcPr>
          <w:p w:rsidR="004B3F42" w:rsidRDefault="004B3F42">
            <w:pPr>
              <w:jc w:val="right"/>
              <w:rPr>
                <w:rFonts w:ascii="Calibri" w:hAnsi="Calibri" w:cs="Calibri"/>
                <w:color w:val="000000"/>
                <w:sz w:val="16"/>
                <w:szCs w:val="16"/>
              </w:rPr>
            </w:pPr>
            <w:r>
              <w:rPr>
                <w:rFonts w:ascii="Calibri" w:hAnsi="Calibri" w:cs="Calibri"/>
                <w:color w:val="000000"/>
                <w:sz w:val="16"/>
                <w:szCs w:val="16"/>
              </w:rPr>
              <w:t>217 728 780,43</w:t>
            </w:r>
          </w:p>
        </w:tc>
        <w:tc>
          <w:tcPr>
            <w:tcW w:w="1276" w:type="dxa"/>
            <w:tcBorders>
              <w:top w:val="nil"/>
              <w:left w:val="nil"/>
              <w:bottom w:val="single" w:sz="4" w:space="0" w:color="auto"/>
              <w:right w:val="single" w:sz="4" w:space="0" w:color="auto"/>
            </w:tcBorders>
            <w:shd w:val="clear" w:color="FFF2CC" w:fill="E2EFDA"/>
            <w:noWrap/>
            <w:vAlign w:val="center"/>
            <w:hideMark/>
          </w:tcPr>
          <w:p w:rsidR="004B3F42" w:rsidRDefault="004B3F42">
            <w:pPr>
              <w:jc w:val="right"/>
              <w:rPr>
                <w:rFonts w:ascii="Calibri" w:hAnsi="Calibri" w:cs="Calibri"/>
                <w:color w:val="000000"/>
                <w:sz w:val="16"/>
                <w:szCs w:val="16"/>
              </w:rPr>
            </w:pPr>
            <w:r>
              <w:rPr>
                <w:rFonts w:ascii="Calibri" w:hAnsi="Calibri" w:cs="Calibri"/>
                <w:color w:val="000000"/>
                <w:sz w:val="16"/>
                <w:szCs w:val="16"/>
              </w:rPr>
              <w:t>218 396 153,77</w:t>
            </w:r>
          </w:p>
        </w:tc>
      </w:tr>
      <w:tr w:rsidR="004B3F42" w:rsidTr="00DA088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4B3F42" w:rsidRDefault="004B3F42">
            <w:pPr>
              <w:rPr>
                <w:rFonts w:ascii="Calibri" w:hAnsi="Calibri" w:cs="Calibri"/>
                <w:color w:val="000000"/>
                <w:sz w:val="16"/>
                <w:szCs w:val="16"/>
              </w:rPr>
            </w:pPr>
            <w:r>
              <w:rPr>
                <w:rFonts w:ascii="Calibri" w:hAnsi="Calibri" w:cs="Calibri"/>
                <w:color w:val="000000"/>
                <w:sz w:val="16"/>
                <w:szCs w:val="16"/>
              </w:rPr>
              <w:t> </w:t>
            </w:r>
          </w:p>
        </w:tc>
        <w:tc>
          <w:tcPr>
            <w:tcW w:w="588" w:type="dxa"/>
            <w:tcBorders>
              <w:top w:val="nil"/>
              <w:left w:val="nil"/>
              <w:bottom w:val="single" w:sz="4" w:space="0" w:color="auto"/>
              <w:right w:val="single" w:sz="4" w:space="0" w:color="auto"/>
            </w:tcBorders>
            <w:shd w:val="clear" w:color="auto" w:fill="auto"/>
            <w:noWrap/>
            <w:vAlign w:val="center"/>
            <w:hideMark/>
          </w:tcPr>
          <w:p w:rsidR="004B3F42" w:rsidRDefault="004B3F42">
            <w:pPr>
              <w:jc w:val="center"/>
              <w:rPr>
                <w:rFonts w:ascii="Calibri" w:hAnsi="Calibri" w:cs="Calibri"/>
                <w:color w:val="000000"/>
                <w:sz w:val="16"/>
                <w:szCs w:val="16"/>
              </w:rPr>
            </w:pPr>
            <w:r>
              <w:rPr>
                <w:rFonts w:ascii="Calibri" w:hAnsi="Calibri" w:cs="Calibri"/>
                <w:color w:val="000000"/>
                <w:sz w:val="16"/>
                <w:szCs w:val="16"/>
              </w:rPr>
              <w:t>6121</w:t>
            </w:r>
          </w:p>
        </w:tc>
        <w:tc>
          <w:tcPr>
            <w:tcW w:w="4482" w:type="dxa"/>
            <w:tcBorders>
              <w:top w:val="nil"/>
              <w:left w:val="nil"/>
              <w:bottom w:val="single" w:sz="4" w:space="0" w:color="auto"/>
              <w:right w:val="single" w:sz="4" w:space="0" w:color="auto"/>
            </w:tcBorders>
            <w:shd w:val="clear" w:color="auto" w:fill="auto"/>
            <w:vAlign w:val="center"/>
            <w:hideMark/>
          </w:tcPr>
          <w:p w:rsidR="004B3F42" w:rsidRDefault="004B3F42">
            <w:pPr>
              <w:rPr>
                <w:rFonts w:ascii="Calibri" w:hAnsi="Calibri" w:cs="Calibri"/>
                <w:color w:val="000000"/>
                <w:sz w:val="16"/>
                <w:szCs w:val="16"/>
              </w:rPr>
            </w:pPr>
            <w:r>
              <w:rPr>
                <w:rFonts w:ascii="Calibri" w:hAnsi="Calibri" w:cs="Calibri"/>
                <w:color w:val="000000"/>
                <w:sz w:val="16"/>
                <w:szCs w:val="16"/>
              </w:rPr>
              <w:t>Budovy, haly a stavby</w:t>
            </w:r>
          </w:p>
        </w:tc>
        <w:tc>
          <w:tcPr>
            <w:tcW w:w="1417" w:type="dxa"/>
            <w:tcBorders>
              <w:top w:val="nil"/>
              <w:left w:val="nil"/>
              <w:bottom w:val="single" w:sz="4" w:space="0" w:color="auto"/>
              <w:right w:val="single" w:sz="4" w:space="0" w:color="auto"/>
            </w:tcBorders>
            <w:shd w:val="clear" w:color="auto" w:fill="auto"/>
            <w:noWrap/>
            <w:vAlign w:val="center"/>
            <w:hideMark/>
          </w:tcPr>
          <w:p w:rsidR="004B3F42" w:rsidRDefault="004B3F42">
            <w:pPr>
              <w:jc w:val="right"/>
              <w:rPr>
                <w:rFonts w:ascii="Calibri" w:hAnsi="Calibri" w:cs="Calibri"/>
                <w:color w:val="000000"/>
                <w:sz w:val="16"/>
                <w:szCs w:val="16"/>
              </w:rPr>
            </w:pPr>
            <w:r>
              <w:rPr>
                <w:rFonts w:ascii="Calibri" w:hAnsi="Calibri" w:cs="Calibri"/>
                <w:color w:val="000000"/>
                <w:sz w:val="16"/>
                <w:szCs w:val="16"/>
              </w:rPr>
              <w:t>183 834 850,41</w:t>
            </w:r>
          </w:p>
        </w:tc>
        <w:tc>
          <w:tcPr>
            <w:tcW w:w="1276" w:type="dxa"/>
            <w:tcBorders>
              <w:top w:val="nil"/>
              <w:left w:val="nil"/>
              <w:bottom w:val="single" w:sz="4" w:space="0" w:color="auto"/>
              <w:right w:val="single" w:sz="4" w:space="0" w:color="auto"/>
            </w:tcBorders>
            <w:shd w:val="clear" w:color="auto" w:fill="auto"/>
            <w:noWrap/>
            <w:vAlign w:val="center"/>
            <w:hideMark/>
          </w:tcPr>
          <w:p w:rsidR="004B3F42" w:rsidRDefault="004B3F42">
            <w:pPr>
              <w:jc w:val="right"/>
              <w:rPr>
                <w:rFonts w:ascii="Calibri" w:hAnsi="Calibri" w:cs="Calibri"/>
                <w:color w:val="000000"/>
                <w:sz w:val="16"/>
                <w:szCs w:val="16"/>
              </w:rPr>
            </w:pPr>
            <w:r>
              <w:rPr>
                <w:rFonts w:ascii="Calibri" w:hAnsi="Calibri" w:cs="Calibri"/>
                <w:color w:val="000000"/>
                <w:sz w:val="16"/>
                <w:szCs w:val="16"/>
              </w:rPr>
              <w:t>206 936 112,91</w:t>
            </w:r>
          </w:p>
        </w:tc>
        <w:tc>
          <w:tcPr>
            <w:tcW w:w="1276" w:type="dxa"/>
            <w:tcBorders>
              <w:top w:val="nil"/>
              <w:left w:val="nil"/>
              <w:bottom w:val="single" w:sz="4" w:space="0" w:color="auto"/>
              <w:right w:val="single" w:sz="4" w:space="0" w:color="auto"/>
            </w:tcBorders>
            <w:shd w:val="clear" w:color="auto" w:fill="auto"/>
            <w:noWrap/>
            <w:vAlign w:val="center"/>
            <w:hideMark/>
          </w:tcPr>
          <w:p w:rsidR="004B3F42" w:rsidRDefault="004B3F42">
            <w:pPr>
              <w:jc w:val="right"/>
              <w:rPr>
                <w:rFonts w:ascii="Calibri" w:hAnsi="Calibri" w:cs="Calibri"/>
                <w:color w:val="000000"/>
                <w:sz w:val="16"/>
                <w:szCs w:val="16"/>
              </w:rPr>
            </w:pPr>
            <w:r>
              <w:rPr>
                <w:rFonts w:ascii="Calibri" w:hAnsi="Calibri" w:cs="Calibri"/>
                <w:color w:val="000000"/>
                <w:sz w:val="16"/>
                <w:szCs w:val="16"/>
              </w:rPr>
              <w:t>212 837 380,43</w:t>
            </w:r>
          </w:p>
        </w:tc>
      </w:tr>
      <w:tr w:rsidR="004B3F42" w:rsidTr="00DA088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4B3F42" w:rsidRDefault="004B3F42">
            <w:pPr>
              <w:rPr>
                <w:rFonts w:ascii="Calibri" w:hAnsi="Calibri" w:cs="Calibri"/>
                <w:color w:val="000000"/>
                <w:sz w:val="16"/>
                <w:szCs w:val="16"/>
              </w:rPr>
            </w:pPr>
            <w:r>
              <w:rPr>
                <w:rFonts w:ascii="Calibri" w:hAnsi="Calibri" w:cs="Calibri"/>
                <w:color w:val="000000"/>
                <w:sz w:val="16"/>
                <w:szCs w:val="16"/>
              </w:rPr>
              <w:t> </w:t>
            </w:r>
          </w:p>
        </w:tc>
        <w:tc>
          <w:tcPr>
            <w:tcW w:w="588" w:type="dxa"/>
            <w:tcBorders>
              <w:top w:val="nil"/>
              <w:left w:val="nil"/>
              <w:bottom w:val="single" w:sz="4" w:space="0" w:color="auto"/>
              <w:right w:val="single" w:sz="4" w:space="0" w:color="auto"/>
            </w:tcBorders>
            <w:shd w:val="clear" w:color="auto" w:fill="auto"/>
            <w:noWrap/>
            <w:vAlign w:val="center"/>
            <w:hideMark/>
          </w:tcPr>
          <w:p w:rsidR="004B3F42" w:rsidRDefault="004B3F42">
            <w:pPr>
              <w:jc w:val="center"/>
              <w:rPr>
                <w:rFonts w:ascii="Calibri" w:hAnsi="Calibri" w:cs="Calibri"/>
                <w:color w:val="000000"/>
                <w:sz w:val="16"/>
                <w:szCs w:val="16"/>
              </w:rPr>
            </w:pPr>
            <w:r>
              <w:rPr>
                <w:rFonts w:ascii="Calibri" w:hAnsi="Calibri" w:cs="Calibri"/>
                <w:color w:val="000000"/>
                <w:sz w:val="16"/>
                <w:szCs w:val="16"/>
              </w:rPr>
              <w:t>6122</w:t>
            </w:r>
          </w:p>
        </w:tc>
        <w:tc>
          <w:tcPr>
            <w:tcW w:w="4482" w:type="dxa"/>
            <w:tcBorders>
              <w:top w:val="nil"/>
              <w:left w:val="nil"/>
              <w:bottom w:val="single" w:sz="4" w:space="0" w:color="auto"/>
              <w:right w:val="single" w:sz="4" w:space="0" w:color="auto"/>
            </w:tcBorders>
            <w:shd w:val="clear" w:color="auto" w:fill="auto"/>
            <w:vAlign w:val="center"/>
            <w:hideMark/>
          </w:tcPr>
          <w:p w:rsidR="004B3F42" w:rsidRDefault="004B3F42">
            <w:pPr>
              <w:rPr>
                <w:rFonts w:ascii="Calibri" w:hAnsi="Calibri" w:cs="Calibri"/>
                <w:color w:val="000000"/>
                <w:sz w:val="16"/>
                <w:szCs w:val="16"/>
              </w:rPr>
            </w:pPr>
            <w:r>
              <w:rPr>
                <w:rFonts w:ascii="Calibri" w:hAnsi="Calibri" w:cs="Calibri"/>
                <w:color w:val="000000"/>
                <w:sz w:val="16"/>
                <w:szCs w:val="16"/>
              </w:rPr>
              <w:t>Stroje, přístroje a zařízení</w:t>
            </w:r>
          </w:p>
        </w:tc>
        <w:tc>
          <w:tcPr>
            <w:tcW w:w="1417" w:type="dxa"/>
            <w:tcBorders>
              <w:top w:val="nil"/>
              <w:left w:val="nil"/>
              <w:bottom w:val="single" w:sz="4" w:space="0" w:color="auto"/>
              <w:right w:val="single" w:sz="4" w:space="0" w:color="auto"/>
            </w:tcBorders>
            <w:shd w:val="clear" w:color="auto" w:fill="auto"/>
            <w:noWrap/>
            <w:vAlign w:val="center"/>
            <w:hideMark/>
          </w:tcPr>
          <w:p w:rsidR="004B3F42" w:rsidRDefault="004B3F42">
            <w:pPr>
              <w:jc w:val="right"/>
              <w:rPr>
                <w:rFonts w:ascii="Calibri" w:hAnsi="Calibri" w:cs="Calibri"/>
                <w:color w:val="000000"/>
                <w:sz w:val="16"/>
                <w:szCs w:val="16"/>
              </w:rPr>
            </w:pPr>
            <w:r>
              <w:rPr>
                <w:rFonts w:ascii="Calibri" w:hAnsi="Calibri" w:cs="Calibri"/>
                <w:color w:val="000000"/>
                <w:sz w:val="16"/>
                <w:szCs w:val="16"/>
              </w:rPr>
              <w:t>3 051 046,63</w:t>
            </w:r>
          </w:p>
        </w:tc>
        <w:tc>
          <w:tcPr>
            <w:tcW w:w="1276" w:type="dxa"/>
            <w:tcBorders>
              <w:top w:val="nil"/>
              <w:left w:val="nil"/>
              <w:bottom w:val="single" w:sz="4" w:space="0" w:color="auto"/>
              <w:right w:val="single" w:sz="4" w:space="0" w:color="auto"/>
            </w:tcBorders>
            <w:shd w:val="clear" w:color="auto" w:fill="auto"/>
            <w:noWrap/>
            <w:vAlign w:val="center"/>
            <w:hideMark/>
          </w:tcPr>
          <w:p w:rsidR="004B3F42" w:rsidRDefault="004B3F42">
            <w:pPr>
              <w:jc w:val="right"/>
              <w:rPr>
                <w:rFonts w:ascii="Calibri" w:hAnsi="Calibri" w:cs="Calibri"/>
                <w:color w:val="000000"/>
                <w:sz w:val="16"/>
                <w:szCs w:val="16"/>
              </w:rPr>
            </w:pPr>
            <w:r>
              <w:rPr>
                <w:rFonts w:ascii="Calibri" w:hAnsi="Calibri" w:cs="Calibri"/>
                <w:color w:val="000000"/>
                <w:sz w:val="16"/>
                <w:szCs w:val="16"/>
              </w:rPr>
              <w:t>8 257 667,85</w:t>
            </w:r>
          </w:p>
        </w:tc>
        <w:tc>
          <w:tcPr>
            <w:tcW w:w="1276" w:type="dxa"/>
            <w:tcBorders>
              <w:top w:val="nil"/>
              <w:left w:val="nil"/>
              <w:bottom w:val="single" w:sz="4" w:space="0" w:color="auto"/>
              <w:right w:val="single" w:sz="4" w:space="0" w:color="auto"/>
            </w:tcBorders>
            <w:shd w:val="clear" w:color="auto" w:fill="auto"/>
            <w:noWrap/>
            <w:vAlign w:val="center"/>
            <w:hideMark/>
          </w:tcPr>
          <w:p w:rsidR="004B3F42" w:rsidRDefault="004B3F42">
            <w:pPr>
              <w:jc w:val="right"/>
              <w:rPr>
                <w:rFonts w:ascii="Calibri" w:hAnsi="Calibri" w:cs="Calibri"/>
                <w:color w:val="000000"/>
                <w:sz w:val="16"/>
                <w:szCs w:val="16"/>
              </w:rPr>
            </w:pPr>
            <w:r>
              <w:rPr>
                <w:rFonts w:ascii="Calibri" w:hAnsi="Calibri" w:cs="Calibri"/>
                <w:color w:val="000000"/>
                <w:sz w:val="16"/>
                <w:szCs w:val="16"/>
              </w:rPr>
              <w:t>4 734 231,75</w:t>
            </w:r>
          </w:p>
        </w:tc>
      </w:tr>
      <w:tr w:rsidR="004B3F42" w:rsidTr="00DA088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4B3F42" w:rsidRDefault="004B3F42">
            <w:pPr>
              <w:rPr>
                <w:rFonts w:ascii="Calibri" w:hAnsi="Calibri" w:cs="Calibri"/>
                <w:color w:val="000000"/>
                <w:sz w:val="16"/>
                <w:szCs w:val="16"/>
              </w:rPr>
            </w:pPr>
            <w:r>
              <w:rPr>
                <w:rFonts w:ascii="Calibri" w:hAnsi="Calibri" w:cs="Calibri"/>
                <w:color w:val="000000"/>
                <w:sz w:val="16"/>
                <w:szCs w:val="16"/>
              </w:rPr>
              <w:t> </w:t>
            </w:r>
          </w:p>
        </w:tc>
        <w:tc>
          <w:tcPr>
            <w:tcW w:w="588" w:type="dxa"/>
            <w:tcBorders>
              <w:top w:val="nil"/>
              <w:left w:val="nil"/>
              <w:bottom w:val="single" w:sz="4" w:space="0" w:color="auto"/>
              <w:right w:val="single" w:sz="4" w:space="0" w:color="auto"/>
            </w:tcBorders>
            <w:shd w:val="clear" w:color="auto" w:fill="auto"/>
            <w:noWrap/>
            <w:vAlign w:val="center"/>
            <w:hideMark/>
          </w:tcPr>
          <w:p w:rsidR="004B3F42" w:rsidRDefault="004B3F42">
            <w:pPr>
              <w:jc w:val="center"/>
              <w:rPr>
                <w:rFonts w:ascii="Calibri" w:hAnsi="Calibri" w:cs="Calibri"/>
                <w:color w:val="000000"/>
                <w:sz w:val="16"/>
                <w:szCs w:val="16"/>
              </w:rPr>
            </w:pPr>
            <w:r>
              <w:rPr>
                <w:rFonts w:ascii="Calibri" w:hAnsi="Calibri" w:cs="Calibri"/>
                <w:color w:val="000000"/>
                <w:sz w:val="16"/>
                <w:szCs w:val="16"/>
              </w:rPr>
              <w:t>6123</w:t>
            </w:r>
          </w:p>
        </w:tc>
        <w:tc>
          <w:tcPr>
            <w:tcW w:w="4482" w:type="dxa"/>
            <w:tcBorders>
              <w:top w:val="nil"/>
              <w:left w:val="nil"/>
              <w:bottom w:val="single" w:sz="4" w:space="0" w:color="auto"/>
              <w:right w:val="single" w:sz="4" w:space="0" w:color="auto"/>
            </w:tcBorders>
            <w:shd w:val="clear" w:color="auto" w:fill="auto"/>
            <w:vAlign w:val="center"/>
            <w:hideMark/>
          </w:tcPr>
          <w:p w:rsidR="004B3F42" w:rsidRDefault="004B3F42">
            <w:pPr>
              <w:rPr>
                <w:rFonts w:ascii="Calibri" w:hAnsi="Calibri" w:cs="Calibri"/>
                <w:color w:val="000000"/>
                <w:sz w:val="16"/>
                <w:szCs w:val="16"/>
              </w:rPr>
            </w:pPr>
            <w:r>
              <w:rPr>
                <w:rFonts w:ascii="Calibri" w:hAnsi="Calibri" w:cs="Calibri"/>
                <w:color w:val="000000"/>
                <w:sz w:val="16"/>
                <w:szCs w:val="16"/>
              </w:rPr>
              <w:t>Dopravní prostředky</w:t>
            </w:r>
          </w:p>
        </w:tc>
        <w:tc>
          <w:tcPr>
            <w:tcW w:w="1417" w:type="dxa"/>
            <w:tcBorders>
              <w:top w:val="nil"/>
              <w:left w:val="nil"/>
              <w:bottom w:val="single" w:sz="4" w:space="0" w:color="auto"/>
              <w:right w:val="single" w:sz="4" w:space="0" w:color="auto"/>
            </w:tcBorders>
            <w:shd w:val="clear" w:color="auto" w:fill="auto"/>
            <w:noWrap/>
            <w:vAlign w:val="center"/>
            <w:hideMark/>
          </w:tcPr>
          <w:p w:rsidR="004B3F42" w:rsidRDefault="004B3F42">
            <w:pPr>
              <w:jc w:val="right"/>
              <w:rPr>
                <w:rFonts w:ascii="Calibri" w:hAnsi="Calibri" w:cs="Calibri"/>
                <w:color w:val="000000"/>
                <w:sz w:val="16"/>
                <w:szCs w:val="16"/>
              </w:rPr>
            </w:pPr>
            <w:r>
              <w:rPr>
                <w:rFonts w:ascii="Calibri" w:hAnsi="Calibri" w:cs="Calibri"/>
                <w:color w:val="000000"/>
                <w:sz w:val="16"/>
                <w:szCs w:val="16"/>
              </w:rPr>
              <w:t>2 456 630,57</w:t>
            </w:r>
          </w:p>
        </w:tc>
        <w:tc>
          <w:tcPr>
            <w:tcW w:w="1276" w:type="dxa"/>
            <w:tcBorders>
              <w:top w:val="nil"/>
              <w:left w:val="nil"/>
              <w:bottom w:val="single" w:sz="4" w:space="0" w:color="auto"/>
              <w:right w:val="single" w:sz="4" w:space="0" w:color="auto"/>
            </w:tcBorders>
            <w:shd w:val="clear" w:color="auto" w:fill="auto"/>
            <w:noWrap/>
            <w:vAlign w:val="center"/>
            <w:hideMark/>
          </w:tcPr>
          <w:p w:rsidR="004B3F42" w:rsidRDefault="004B3F42">
            <w:pPr>
              <w:jc w:val="right"/>
              <w:rPr>
                <w:rFonts w:ascii="Calibri" w:hAnsi="Calibri" w:cs="Calibri"/>
                <w:color w:val="000000"/>
                <w:sz w:val="16"/>
                <w:szCs w:val="16"/>
              </w:rPr>
            </w:pPr>
            <w:r>
              <w:rPr>
                <w:rFonts w:ascii="Calibri" w:hAnsi="Calibri" w:cs="Calibri"/>
                <w:color w:val="000000"/>
                <w:sz w:val="16"/>
                <w:szCs w:val="16"/>
              </w:rPr>
              <w:t>1 943 716,04</w:t>
            </w:r>
          </w:p>
        </w:tc>
        <w:tc>
          <w:tcPr>
            <w:tcW w:w="1276" w:type="dxa"/>
            <w:tcBorders>
              <w:top w:val="nil"/>
              <w:left w:val="nil"/>
              <w:bottom w:val="single" w:sz="4" w:space="0" w:color="auto"/>
              <w:right w:val="single" w:sz="4" w:space="0" w:color="auto"/>
            </w:tcBorders>
            <w:shd w:val="clear" w:color="auto" w:fill="auto"/>
            <w:noWrap/>
            <w:vAlign w:val="center"/>
            <w:hideMark/>
          </w:tcPr>
          <w:p w:rsidR="004B3F42" w:rsidRDefault="004B3F42">
            <w:pPr>
              <w:jc w:val="right"/>
              <w:rPr>
                <w:rFonts w:ascii="Calibri" w:hAnsi="Calibri" w:cs="Calibri"/>
                <w:color w:val="000000"/>
                <w:sz w:val="16"/>
                <w:szCs w:val="16"/>
              </w:rPr>
            </w:pPr>
            <w:r>
              <w:rPr>
                <w:rFonts w:ascii="Calibri" w:hAnsi="Calibri" w:cs="Calibri"/>
                <w:color w:val="000000"/>
                <w:sz w:val="16"/>
                <w:szCs w:val="16"/>
              </w:rPr>
              <w:t>599 022,00</w:t>
            </w:r>
          </w:p>
        </w:tc>
      </w:tr>
      <w:tr w:rsidR="004B3F42" w:rsidTr="00DA088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4B3F42" w:rsidRDefault="004B3F42">
            <w:pPr>
              <w:rPr>
                <w:rFonts w:ascii="Calibri" w:hAnsi="Calibri" w:cs="Calibri"/>
                <w:color w:val="000000"/>
                <w:sz w:val="16"/>
                <w:szCs w:val="16"/>
              </w:rPr>
            </w:pPr>
            <w:r>
              <w:rPr>
                <w:rFonts w:ascii="Calibri" w:hAnsi="Calibri" w:cs="Calibri"/>
                <w:color w:val="000000"/>
                <w:sz w:val="16"/>
                <w:szCs w:val="16"/>
              </w:rPr>
              <w:t> </w:t>
            </w:r>
          </w:p>
        </w:tc>
        <w:tc>
          <w:tcPr>
            <w:tcW w:w="588" w:type="dxa"/>
            <w:tcBorders>
              <w:top w:val="nil"/>
              <w:left w:val="nil"/>
              <w:bottom w:val="single" w:sz="4" w:space="0" w:color="auto"/>
              <w:right w:val="single" w:sz="4" w:space="0" w:color="auto"/>
            </w:tcBorders>
            <w:shd w:val="clear" w:color="auto" w:fill="auto"/>
            <w:noWrap/>
            <w:vAlign w:val="center"/>
            <w:hideMark/>
          </w:tcPr>
          <w:p w:rsidR="004B3F42" w:rsidRDefault="004B3F42">
            <w:pPr>
              <w:jc w:val="center"/>
              <w:rPr>
                <w:rFonts w:ascii="Calibri" w:hAnsi="Calibri" w:cs="Calibri"/>
                <w:color w:val="000000"/>
                <w:sz w:val="16"/>
                <w:szCs w:val="16"/>
              </w:rPr>
            </w:pPr>
            <w:r>
              <w:rPr>
                <w:rFonts w:ascii="Calibri" w:hAnsi="Calibri" w:cs="Calibri"/>
                <w:color w:val="000000"/>
                <w:sz w:val="16"/>
                <w:szCs w:val="16"/>
              </w:rPr>
              <w:t>6125</w:t>
            </w:r>
          </w:p>
        </w:tc>
        <w:tc>
          <w:tcPr>
            <w:tcW w:w="4482" w:type="dxa"/>
            <w:tcBorders>
              <w:top w:val="nil"/>
              <w:left w:val="nil"/>
              <w:bottom w:val="single" w:sz="4" w:space="0" w:color="auto"/>
              <w:right w:val="single" w:sz="4" w:space="0" w:color="auto"/>
            </w:tcBorders>
            <w:shd w:val="clear" w:color="auto" w:fill="auto"/>
            <w:vAlign w:val="center"/>
            <w:hideMark/>
          </w:tcPr>
          <w:p w:rsidR="004B3F42" w:rsidRDefault="004B3F42">
            <w:pPr>
              <w:rPr>
                <w:rFonts w:ascii="Calibri" w:hAnsi="Calibri" w:cs="Calibri"/>
                <w:color w:val="000000"/>
                <w:sz w:val="16"/>
                <w:szCs w:val="16"/>
              </w:rPr>
            </w:pPr>
            <w:r>
              <w:rPr>
                <w:rFonts w:ascii="Calibri" w:hAnsi="Calibri" w:cs="Calibri"/>
                <w:color w:val="000000"/>
                <w:sz w:val="16"/>
                <w:szCs w:val="16"/>
              </w:rPr>
              <w:t>Výpočetní technika</w:t>
            </w:r>
          </w:p>
        </w:tc>
        <w:tc>
          <w:tcPr>
            <w:tcW w:w="1417" w:type="dxa"/>
            <w:tcBorders>
              <w:top w:val="nil"/>
              <w:left w:val="nil"/>
              <w:bottom w:val="single" w:sz="4" w:space="0" w:color="auto"/>
              <w:right w:val="single" w:sz="4" w:space="0" w:color="auto"/>
            </w:tcBorders>
            <w:shd w:val="clear" w:color="auto" w:fill="auto"/>
            <w:noWrap/>
            <w:vAlign w:val="center"/>
            <w:hideMark/>
          </w:tcPr>
          <w:p w:rsidR="004B3F42" w:rsidRDefault="004B3F42">
            <w:pPr>
              <w:jc w:val="right"/>
              <w:rPr>
                <w:rFonts w:ascii="Calibri" w:hAnsi="Calibri" w:cs="Calibri"/>
                <w:color w:val="000000"/>
                <w:sz w:val="16"/>
                <w:szCs w:val="16"/>
              </w:rPr>
            </w:pPr>
            <w:r>
              <w:rPr>
                <w:rFonts w:ascii="Calibri" w:hAnsi="Calibri" w:cs="Calibri"/>
                <w:color w:val="000000"/>
                <w:sz w:val="16"/>
                <w:szCs w:val="16"/>
              </w:rPr>
              <w:t>2 832 282,09</w:t>
            </w:r>
          </w:p>
        </w:tc>
        <w:tc>
          <w:tcPr>
            <w:tcW w:w="1276" w:type="dxa"/>
            <w:tcBorders>
              <w:top w:val="nil"/>
              <w:left w:val="nil"/>
              <w:bottom w:val="single" w:sz="4" w:space="0" w:color="auto"/>
              <w:right w:val="single" w:sz="4" w:space="0" w:color="auto"/>
            </w:tcBorders>
            <w:shd w:val="clear" w:color="auto" w:fill="auto"/>
            <w:noWrap/>
            <w:vAlign w:val="center"/>
            <w:hideMark/>
          </w:tcPr>
          <w:p w:rsidR="004B3F42" w:rsidRDefault="004B3F42">
            <w:pPr>
              <w:jc w:val="right"/>
              <w:rPr>
                <w:rFonts w:ascii="Calibri" w:hAnsi="Calibri" w:cs="Calibri"/>
                <w:color w:val="000000"/>
                <w:sz w:val="16"/>
                <w:szCs w:val="16"/>
              </w:rPr>
            </w:pPr>
            <w:r>
              <w:rPr>
                <w:rFonts w:ascii="Calibri" w:hAnsi="Calibri" w:cs="Calibri"/>
                <w:color w:val="000000"/>
                <w:sz w:val="16"/>
                <w:szCs w:val="16"/>
              </w:rPr>
              <w:t>421 283,63</w:t>
            </w:r>
          </w:p>
        </w:tc>
        <w:tc>
          <w:tcPr>
            <w:tcW w:w="1276" w:type="dxa"/>
            <w:tcBorders>
              <w:top w:val="nil"/>
              <w:left w:val="nil"/>
              <w:bottom w:val="single" w:sz="4" w:space="0" w:color="auto"/>
              <w:right w:val="single" w:sz="4" w:space="0" w:color="auto"/>
            </w:tcBorders>
            <w:shd w:val="clear" w:color="auto" w:fill="auto"/>
            <w:noWrap/>
            <w:vAlign w:val="center"/>
            <w:hideMark/>
          </w:tcPr>
          <w:p w:rsidR="004B3F42" w:rsidRDefault="004B3F42">
            <w:pPr>
              <w:jc w:val="right"/>
              <w:rPr>
                <w:rFonts w:ascii="Calibri" w:hAnsi="Calibri" w:cs="Calibri"/>
                <w:color w:val="000000"/>
                <w:sz w:val="16"/>
                <w:szCs w:val="16"/>
              </w:rPr>
            </w:pPr>
            <w:r>
              <w:rPr>
                <w:rFonts w:ascii="Calibri" w:hAnsi="Calibri" w:cs="Calibri"/>
                <w:color w:val="000000"/>
                <w:sz w:val="16"/>
                <w:szCs w:val="16"/>
              </w:rPr>
              <w:t>78 019,59</w:t>
            </w:r>
          </w:p>
        </w:tc>
      </w:tr>
      <w:tr w:rsidR="004B3F42" w:rsidTr="00DA088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4B3F42" w:rsidRDefault="004B3F42">
            <w:pPr>
              <w:rPr>
                <w:rFonts w:ascii="Calibri" w:hAnsi="Calibri" w:cs="Calibri"/>
                <w:color w:val="000000"/>
                <w:sz w:val="16"/>
                <w:szCs w:val="16"/>
              </w:rPr>
            </w:pPr>
            <w:r>
              <w:rPr>
                <w:rFonts w:ascii="Calibri" w:hAnsi="Calibri" w:cs="Calibri"/>
                <w:color w:val="000000"/>
                <w:sz w:val="16"/>
                <w:szCs w:val="16"/>
              </w:rPr>
              <w:t> </w:t>
            </w:r>
          </w:p>
        </w:tc>
        <w:tc>
          <w:tcPr>
            <w:tcW w:w="588" w:type="dxa"/>
            <w:tcBorders>
              <w:top w:val="nil"/>
              <w:left w:val="nil"/>
              <w:bottom w:val="single" w:sz="4" w:space="0" w:color="auto"/>
              <w:right w:val="single" w:sz="4" w:space="0" w:color="auto"/>
            </w:tcBorders>
            <w:shd w:val="clear" w:color="auto" w:fill="auto"/>
            <w:noWrap/>
            <w:vAlign w:val="center"/>
            <w:hideMark/>
          </w:tcPr>
          <w:p w:rsidR="004B3F42" w:rsidRDefault="004B3F42">
            <w:pPr>
              <w:jc w:val="center"/>
              <w:rPr>
                <w:rFonts w:ascii="Calibri" w:hAnsi="Calibri" w:cs="Calibri"/>
                <w:color w:val="000000"/>
                <w:sz w:val="16"/>
                <w:szCs w:val="16"/>
              </w:rPr>
            </w:pPr>
            <w:r>
              <w:rPr>
                <w:rFonts w:ascii="Calibri" w:hAnsi="Calibri" w:cs="Calibri"/>
                <w:color w:val="000000"/>
                <w:sz w:val="16"/>
                <w:szCs w:val="16"/>
              </w:rPr>
              <w:t>6127</w:t>
            </w:r>
          </w:p>
        </w:tc>
        <w:tc>
          <w:tcPr>
            <w:tcW w:w="4482" w:type="dxa"/>
            <w:tcBorders>
              <w:top w:val="nil"/>
              <w:left w:val="nil"/>
              <w:bottom w:val="single" w:sz="4" w:space="0" w:color="auto"/>
              <w:right w:val="single" w:sz="4" w:space="0" w:color="auto"/>
            </w:tcBorders>
            <w:shd w:val="clear" w:color="auto" w:fill="auto"/>
            <w:vAlign w:val="center"/>
            <w:hideMark/>
          </w:tcPr>
          <w:p w:rsidR="004B3F42" w:rsidRDefault="004B3F42">
            <w:pPr>
              <w:rPr>
                <w:rFonts w:ascii="Calibri" w:hAnsi="Calibri" w:cs="Calibri"/>
                <w:color w:val="000000"/>
                <w:sz w:val="16"/>
                <w:szCs w:val="16"/>
              </w:rPr>
            </w:pPr>
            <w:r>
              <w:rPr>
                <w:rFonts w:ascii="Calibri" w:hAnsi="Calibri" w:cs="Calibri"/>
                <w:color w:val="000000"/>
                <w:sz w:val="16"/>
                <w:szCs w:val="16"/>
              </w:rPr>
              <w:t>Kulturní předměty</w:t>
            </w:r>
          </w:p>
        </w:tc>
        <w:tc>
          <w:tcPr>
            <w:tcW w:w="1417" w:type="dxa"/>
            <w:tcBorders>
              <w:top w:val="nil"/>
              <w:left w:val="nil"/>
              <w:bottom w:val="single" w:sz="4" w:space="0" w:color="auto"/>
              <w:right w:val="single" w:sz="4" w:space="0" w:color="auto"/>
            </w:tcBorders>
            <w:shd w:val="clear" w:color="auto" w:fill="auto"/>
            <w:noWrap/>
            <w:vAlign w:val="center"/>
            <w:hideMark/>
          </w:tcPr>
          <w:p w:rsidR="004B3F42" w:rsidRDefault="004B3F42">
            <w:pPr>
              <w:jc w:val="right"/>
              <w:rPr>
                <w:rFonts w:ascii="Calibri" w:hAnsi="Calibri" w:cs="Calibri"/>
                <w:color w:val="000000"/>
                <w:sz w:val="16"/>
                <w:szCs w:val="16"/>
              </w:rPr>
            </w:pPr>
            <w:r>
              <w:rPr>
                <w:rFonts w:ascii="Calibri" w:hAnsi="Calibri" w:cs="Calibri"/>
                <w:color w:val="000000"/>
                <w:sz w:val="16"/>
                <w:szCs w:val="16"/>
              </w:rPr>
              <w:t>641 540,00</w:t>
            </w:r>
          </w:p>
        </w:tc>
        <w:tc>
          <w:tcPr>
            <w:tcW w:w="1276" w:type="dxa"/>
            <w:tcBorders>
              <w:top w:val="nil"/>
              <w:left w:val="nil"/>
              <w:bottom w:val="single" w:sz="4" w:space="0" w:color="auto"/>
              <w:right w:val="single" w:sz="4" w:space="0" w:color="auto"/>
            </w:tcBorders>
            <w:shd w:val="clear" w:color="auto" w:fill="auto"/>
            <w:noWrap/>
            <w:vAlign w:val="center"/>
            <w:hideMark/>
          </w:tcPr>
          <w:p w:rsidR="004B3F42" w:rsidRDefault="004B3F42">
            <w:pPr>
              <w:jc w:val="right"/>
              <w:rPr>
                <w:rFonts w:ascii="Calibri" w:hAnsi="Calibri" w:cs="Calibri"/>
                <w:color w:val="000000"/>
                <w:sz w:val="16"/>
                <w:szCs w:val="16"/>
              </w:rPr>
            </w:pPr>
            <w:r>
              <w:rPr>
                <w:rFonts w:ascii="Calibri" w:hAnsi="Calibri" w:cs="Calibri"/>
                <w:color w:val="000000"/>
                <w:sz w:val="16"/>
                <w:szCs w:val="16"/>
              </w:rPr>
              <w:t>170 000,00</w:t>
            </w:r>
          </w:p>
        </w:tc>
        <w:tc>
          <w:tcPr>
            <w:tcW w:w="1276" w:type="dxa"/>
            <w:tcBorders>
              <w:top w:val="nil"/>
              <w:left w:val="nil"/>
              <w:bottom w:val="single" w:sz="4" w:space="0" w:color="auto"/>
              <w:right w:val="single" w:sz="4" w:space="0" w:color="auto"/>
            </w:tcBorders>
            <w:shd w:val="clear" w:color="auto" w:fill="auto"/>
            <w:noWrap/>
            <w:vAlign w:val="center"/>
            <w:hideMark/>
          </w:tcPr>
          <w:p w:rsidR="004B3F42" w:rsidRDefault="004B3F42">
            <w:pPr>
              <w:jc w:val="right"/>
              <w:rPr>
                <w:rFonts w:ascii="Calibri" w:hAnsi="Calibri" w:cs="Calibri"/>
                <w:color w:val="000000"/>
                <w:sz w:val="16"/>
                <w:szCs w:val="16"/>
              </w:rPr>
            </w:pPr>
            <w:r>
              <w:rPr>
                <w:rFonts w:ascii="Calibri" w:hAnsi="Calibri" w:cs="Calibri"/>
                <w:color w:val="000000"/>
                <w:sz w:val="16"/>
                <w:szCs w:val="16"/>
              </w:rPr>
              <w:t>147 500,00</w:t>
            </w:r>
          </w:p>
        </w:tc>
      </w:tr>
      <w:tr w:rsidR="004B3F42" w:rsidTr="00DA088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4B3F42" w:rsidRDefault="004B3F42">
            <w:pPr>
              <w:rPr>
                <w:rFonts w:ascii="Calibri" w:hAnsi="Calibri" w:cs="Calibri"/>
                <w:color w:val="000000"/>
                <w:sz w:val="16"/>
                <w:szCs w:val="16"/>
              </w:rPr>
            </w:pPr>
            <w:r>
              <w:rPr>
                <w:rFonts w:ascii="Calibri" w:hAnsi="Calibri" w:cs="Calibri"/>
                <w:color w:val="000000"/>
                <w:sz w:val="16"/>
                <w:szCs w:val="16"/>
              </w:rPr>
              <w:t> </w:t>
            </w:r>
          </w:p>
        </w:tc>
        <w:tc>
          <w:tcPr>
            <w:tcW w:w="588" w:type="dxa"/>
            <w:tcBorders>
              <w:top w:val="nil"/>
              <w:left w:val="nil"/>
              <w:bottom w:val="single" w:sz="4" w:space="0" w:color="auto"/>
              <w:right w:val="single" w:sz="4" w:space="0" w:color="auto"/>
            </w:tcBorders>
            <w:shd w:val="clear" w:color="auto" w:fill="auto"/>
            <w:noWrap/>
            <w:vAlign w:val="center"/>
            <w:hideMark/>
          </w:tcPr>
          <w:p w:rsidR="004B3F42" w:rsidRDefault="004B3F42">
            <w:pPr>
              <w:jc w:val="center"/>
              <w:rPr>
                <w:rFonts w:ascii="Calibri" w:hAnsi="Calibri" w:cs="Calibri"/>
                <w:color w:val="000000"/>
                <w:sz w:val="16"/>
                <w:szCs w:val="16"/>
              </w:rPr>
            </w:pPr>
            <w:r>
              <w:rPr>
                <w:rFonts w:ascii="Calibri" w:hAnsi="Calibri" w:cs="Calibri"/>
                <w:color w:val="000000"/>
                <w:sz w:val="16"/>
                <w:szCs w:val="16"/>
              </w:rPr>
              <w:t>6129</w:t>
            </w:r>
          </w:p>
        </w:tc>
        <w:tc>
          <w:tcPr>
            <w:tcW w:w="4482" w:type="dxa"/>
            <w:tcBorders>
              <w:top w:val="nil"/>
              <w:left w:val="nil"/>
              <w:bottom w:val="single" w:sz="4" w:space="0" w:color="auto"/>
              <w:right w:val="single" w:sz="4" w:space="0" w:color="auto"/>
            </w:tcBorders>
            <w:shd w:val="clear" w:color="auto" w:fill="auto"/>
            <w:vAlign w:val="center"/>
            <w:hideMark/>
          </w:tcPr>
          <w:p w:rsidR="004B3F42" w:rsidRDefault="004B3F42">
            <w:pPr>
              <w:rPr>
                <w:rFonts w:ascii="Calibri" w:hAnsi="Calibri" w:cs="Calibri"/>
                <w:color w:val="000000"/>
                <w:sz w:val="16"/>
                <w:szCs w:val="16"/>
              </w:rPr>
            </w:pPr>
            <w:r>
              <w:rPr>
                <w:rFonts w:ascii="Calibri" w:hAnsi="Calibri" w:cs="Calibri"/>
                <w:color w:val="000000"/>
                <w:sz w:val="16"/>
                <w:szCs w:val="16"/>
              </w:rPr>
              <w:t>Nákup dlouhodobého hmotného majetku jinde nezařazený</w:t>
            </w:r>
          </w:p>
        </w:tc>
        <w:tc>
          <w:tcPr>
            <w:tcW w:w="1417" w:type="dxa"/>
            <w:tcBorders>
              <w:top w:val="nil"/>
              <w:left w:val="nil"/>
              <w:bottom w:val="single" w:sz="4" w:space="0" w:color="auto"/>
              <w:right w:val="single" w:sz="4" w:space="0" w:color="auto"/>
            </w:tcBorders>
            <w:shd w:val="clear" w:color="auto" w:fill="auto"/>
            <w:noWrap/>
            <w:vAlign w:val="center"/>
            <w:hideMark/>
          </w:tcPr>
          <w:p w:rsidR="004B3F42" w:rsidRDefault="004B3F42">
            <w:pPr>
              <w:jc w:val="right"/>
              <w:rPr>
                <w:rFonts w:ascii="Calibri" w:hAnsi="Calibri" w:cs="Calibri"/>
                <w:color w:val="000000"/>
                <w:sz w:val="16"/>
                <w:szCs w:val="16"/>
              </w:rPr>
            </w:pPr>
            <w:r>
              <w:rPr>
                <w:rFonts w:ascii="Calibri" w:hAnsi="Calibri" w:cs="Calibri"/>
                <w:color w:val="000000"/>
                <w:sz w:val="16"/>
                <w:szCs w:val="16"/>
              </w:rPr>
              <w:t>47 090,00</w:t>
            </w:r>
          </w:p>
        </w:tc>
        <w:tc>
          <w:tcPr>
            <w:tcW w:w="1276" w:type="dxa"/>
            <w:tcBorders>
              <w:top w:val="nil"/>
              <w:left w:val="nil"/>
              <w:bottom w:val="single" w:sz="4" w:space="0" w:color="auto"/>
              <w:right w:val="single" w:sz="4" w:space="0" w:color="auto"/>
            </w:tcBorders>
            <w:shd w:val="clear" w:color="auto" w:fill="auto"/>
            <w:noWrap/>
            <w:vAlign w:val="center"/>
            <w:hideMark/>
          </w:tcPr>
          <w:p w:rsidR="004B3F42" w:rsidRDefault="004B3F42">
            <w:pPr>
              <w:jc w:val="right"/>
              <w:rPr>
                <w:rFonts w:ascii="Calibri" w:hAnsi="Calibri" w:cs="Calibri"/>
                <w:color w:val="000000"/>
                <w:sz w:val="16"/>
                <w:szCs w:val="16"/>
              </w:rPr>
            </w:pPr>
            <w:r>
              <w:rPr>
                <w:rFonts w:ascii="Calibri" w:hAnsi="Calibri" w:cs="Calibri"/>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4B3F42" w:rsidRDefault="004B3F42">
            <w:pPr>
              <w:jc w:val="right"/>
              <w:rPr>
                <w:rFonts w:ascii="Calibri" w:hAnsi="Calibri" w:cs="Calibri"/>
                <w:color w:val="000000"/>
                <w:sz w:val="16"/>
                <w:szCs w:val="16"/>
              </w:rPr>
            </w:pPr>
            <w:r>
              <w:rPr>
                <w:rFonts w:ascii="Calibri" w:hAnsi="Calibri" w:cs="Calibri"/>
                <w:color w:val="000000"/>
                <w:sz w:val="16"/>
                <w:szCs w:val="16"/>
              </w:rPr>
              <w:t>0,00</w:t>
            </w:r>
          </w:p>
        </w:tc>
      </w:tr>
      <w:tr w:rsidR="004B3F42" w:rsidTr="00DA0881">
        <w:trPr>
          <w:trHeight w:val="255"/>
        </w:trPr>
        <w:tc>
          <w:tcPr>
            <w:tcW w:w="454" w:type="dxa"/>
            <w:tcBorders>
              <w:top w:val="nil"/>
              <w:left w:val="single" w:sz="4" w:space="0" w:color="auto"/>
              <w:bottom w:val="single" w:sz="4" w:space="0" w:color="auto"/>
              <w:right w:val="single" w:sz="4" w:space="0" w:color="auto"/>
            </w:tcBorders>
            <w:shd w:val="clear" w:color="FFF2CC" w:fill="E2EFDA"/>
            <w:noWrap/>
            <w:vAlign w:val="center"/>
            <w:hideMark/>
          </w:tcPr>
          <w:p w:rsidR="004B3F42" w:rsidRDefault="004B3F42">
            <w:pPr>
              <w:jc w:val="right"/>
              <w:rPr>
                <w:rFonts w:ascii="Calibri" w:hAnsi="Calibri" w:cs="Calibri"/>
                <w:color w:val="000000"/>
                <w:sz w:val="16"/>
                <w:szCs w:val="16"/>
              </w:rPr>
            </w:pPr>
            <w:r>
              <w:rPr>
                <w:rFonts w:ascii="Calibri" w:hAnsi="Calibri" w:cs="Calibri"/>
                <w:color w:val="000000"/>
                <w:sz w:val="16"/>
                <w:szCs w:val="16"/>
              </w:rPr>
              <w:t>613</w:t>
            </w:r>
          </w:p>
        </w:tc>
        <w:tc>
          <w:tcPr>
            <w:tcW w:w="5070" w:type="dxa"/>
            <w:gridSpan w:val="2"/>
            <w:tcBorders>
              <w:top w:val="single" w:sz="4" w:space="0" w:color="auto"/>
              <w:left w:val="nil"/>
              <w:bottom w:val="single" w:sz="4" w:space="0" w:color="auto"/>
              <w:right w:val="single" w:sz="4" w:space="0" w:color="000000"/>
            </w:tcBorders>
            <w:shd w:val="clear" w:color="FFF2CC" w:fill="E2EFDA"/>
            <w:noWrap/>
            <w:vAlign w:val="center"/>
            <w:hideMark/>
          </w:tcPr>
          <w:p w:rsidR="004B3F42" w:rsidRDefault="004B3F42">
            <w:pPr>
              <w:rPr>
                <w:rFonts w:ascii="Calibri" w:hAnsi="Calibri" w:cs="Calibri"/>
                <w:color w:val="000000"/>
                <w:sz w:val="16"/>
                <w:szCs w:val="16"/>
              </w:rPr>
            </w:pPr>
            <w:r>
              <w:rPr>
                <w:rFonts w:ascii="Calibri" w:hAnsi="Calibri" w:cs="Calibri"/>
                <w:color w:val="000000"/>
                <w:sz w:val="16"/>
                <w:szCs w:val="16"/>
              </w:rPr>
              <w:t>Pozemky</w:t>
            </w:r>
          </w:p>
        </w:tc>
        <w:tc>
          <w:tcPr>
            <w:tcW w:w="1417" w:type="dxa"/>
            <w:tcBorders>
              <w:top w:val="nil"/>
              <w:left w:val="nil"/>
              <w:bottom w:val="single" w:sz="4" w:space="0" w:color="auto"/>
              <w:right w:val="single" w:sz="4" w:space="0" w:color="auto"/>
            </w:tcBorders>
            <w:shd w:val="clear" w:color="FFF2CC" w:fill="E2EFDA"/>
            <w:noWrap/>
            <w:vAlign w:val="center"/>
            <w:hideMark/>
          </w:tcPr>
          <w:p w:rsidR="004B3F42" w:rsidRDefault="004B3F42">
            <w:pPr>
              <w:jc w:val="right"/>
              <w:rPr>
                <w:rFonts w:ascii="Calibri" w:hAnsi="Calibri" w:cs="Calibri"/>
                <w:color w:val="000000"/>
                <w:sz w:val="16"/>
                <w:szCs w:val="16"/>
              </w:rPr>
            </w:pPr>
            <w:r>
              <w:rPr>
                <w:rFonts w:ascii="Calibri" w:hAnsi="Calibri" w:cs="Calibri"/>
                <w:color w:val="000000"/>
                <w:sz w:val="16"/>
                <w:szCs w:val="16"/>
              </w:rPr>
              <w:t>1 350 260,00</w:t>
            </w:r>
          </w:p>
        </w:tc>
        <w:tc>
          <w:tcPr>
            <w:tcW w:w="1276" w:type="dxa"/>
            <w:tcBorders>
              <w:top w:val="nil"/>
              <w:left w:val="nil"/>
              <w:bottom w:val="single" w:sz="4" w:space="0" w:color="auto"/>
              <w:right w:val="single" w:sz="4" w:space="0" w:color="auto"/>
            </w:tcBorders>
            <w:shd w:val="clear" w:color="FFF2CC" w:fill="E2EFDA"/>
            <w:noWrap/>
            <w:vAlign w:val="center"/>
            <w:hideMark/>
          </w:tcPr>
          <w:p w:rsidR="004B3F42" w:rsidRDefault="004B3F42">
            <w:pPr>
              <w:jc w:val="right"/>
              <w:rPr>
                <w:rFonts w:ascii="Calibri" w:hAnsi="Calibri" w:cs="Calibri"/>
                <w:color w:val="000000"/>
                <w:sz w:val="16"/>
                <w:szCs w:val="16"/>
              </w:rPr>
            </w:pPr>
            <w:r>
              <w:rPr>
                <w:rFonts w:ascii="Calibri" w:hAnsi="Calibri" w:cs="Calibri"/>
                <w:color w:val="000000"/>
                <w:sz w:val="16"/>
                <w:szCs w:val="16"/>
              </w:rPr>
              <w:t>17 229 819,00</w:t>
            </w:r>
          </w:p>
        </w:tc>
        <w:tc>
          <w:tcPr>
            <w:tcW w:w="1276" w:type="dxa"/>
            <w:tcBorders>
              <w:top w:val="nil"/>
              <w:left w:val="nil"/>
              <w:bottom w:val="single" w:sz="4" w:space="0" w:color="auto"/>
              <w:right w:val="single" w:sz="4" w:space="0" w:color="auto"/>
            </w:tcBorders>
            <w:shd w:val="clear" w:color="FFF2CC" w:fill="E2EFDA"/>
            <w:noWrap/>
            <w:vAlign w:val="center"/>
            <w:hideMark/>
          </w:tcPr>
          <w:p w:rsidR="004B3F42" w:rsidRDefault="004B3F42">
            <w:pPr>
              <w:jc w:val="right"/>
              <w:rPr>
                <w:rFonts w:ascii="Calibri" w:hAnsi="Calibri" w:cs="Calibri"/>
                <w:color w:val="000000"/>
                <w:sz w:val="16"/>
                <w:szCs w:val="16"/>
              </w:rPr>
            </w:pPr>
            <w:r>
              <w:rPr>
                <w:rFonts w:ascii="Calibri" w:hAnsi="Calibri" w:cs="Calibri"/>
                <w:color w:val="000000"/>
                <w:sz w:val="16"/>
                <w:szCs w:val="16"/>
              </w:rPr>
              <w:t>8 874 731,00</w:t>
            </w:r>
          </w:p>
        </w:tc>
      </w:tr>
      <w:tr w:rsidR="004B3F42" w:rsidTr="00DA0881">
        <w:trPr>
          <w:trHeight w:val="255"/>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4B3F42" w:rsidRDefault="004B3F42">
            <w:pPr>
              <w:rPr>
                <w:rFonts w:ascii="Calibri" w:hAnsi="Calibri" w:cs="Calibri"/>
                <w:color w:val="000000"/>
                <w:sz w:val="16"/>
                <w:szCs w:val="16"/>
              </w:rPr>
            </w:pPr>
            <w:r>
              <w:rPr>
                <w:rFonts w:ascii="Calibri" w:hAnsi="Calibri" w:cs="Calibri"/>
                <w:color w:val="000000"/>
                <w:sz w:val="16"/>
                <w:szCs w:val="16"/>
              </w:rPr>
              <w:t> </w:t>
            </w:r>
          </w:p>
        </w:tc>
        <w:tc>
          <w:tcPr>
            <w:tcW w:w="588" w:type="dxa"/>
            <w:tcBorders>
              <w:top w:val="nil"/>
              <w:left w:val="nil"/>
              <w:bottom w:val="single" w:sz="4" w:space="0" w:color="auto"/>
              <w:right w:val="single" w:sz="4" w:space="0" w:color="auto"/>
            </w:tcBorders>
            <w:shd w:val="clear" w:color="auto" w:fill="auto"/>
            <w:noWrap/>
            <w:vAlign w:val="center"/>
            <w:hideMark/>
          </w:tcPr>
          <w:p w:rsidR="004B3F42" w:rsidRDefault="004B3F42">
            <w:pPr>
              <w:jc w:val="center"/>
              <w:rPr>
                <w:rFonts w:ascii="Calibri" w:hAnsi="Calibri" w:cs="Calibri"/>
                <w:color w:val="000000"/>
                <w:sz w:val="16"/>
                <w:szCs w:val="16"/>
              </w:rPr>
            </w:pPr>
            <w:r>
              <w:rPr>
                <w:rFonts w:ascii="Calibri" w:hAnsi="Calibri" w:cs="Calibri"/>
                <w:color w:val="000000"/>
                <w:sz w:val="16"/>
                <w:szCs w:val="16"/>
              </w:rPr>
              <w:t>6130</w:t>
            </w:r>
          </w:p>
        </w:tc>
        <w:tc>
          <w:tcPr>
            <w:tcW w:w="4482" w:type="dxa"/>
            <w:tcBorders>
              <w:top w:val="nil"/>
              <w:left w:val="nil"/>
              <w:bottom w:val="single" w:sz="4" w:space="0" w:color="auto"/>
              <w:right w:val="single" w:sz="4" w:space="0" w:color="auto"/>
            </w:tcBorders>
            <w:shd w:val="clear" w:color="auto" w:fill="auto"/>
            <w:vAlign w:val="center"/>
            <w:hideMark/>
          </w:tcPr>
          <w:p w:rsidR="004B3F42" w:rsidRDefault="004B3F42">
            <w:pPr>
              <w:rPr>
                <w:rFonts w:ascii="Calibri" w:hAnsi="Calibri" w:cs="Calibri"/>
                <w:color w:val="000000"/>
                <w:sz w:val="16"/>
                <w:szCs w:val="16"/>
              </w:rPr>
            </w:pPr>
            <w:r>
              <w:rPr>
                <w:rFonts w:ascii="Calibri" w:hAnsi="Calibri" w:cs="Calibri"/>
                <w:color w:val="000000"/>
                <w:sz w:val="16"/>
                <w:szCs w:val="16"/>
              </w:rPr>
              <w:t>Pozemky</w:t>
            </w:r>
          </w:p>
        </w:tc>
        <w:tc>
          <w:tcPr>
            <w:tcW w:w="1417" w:type="dxa"/>
            <w:tcBorders>
              <w:top w:val="nil"/>
              <w:left w:val="nil"/>
              <w:bottom w:val="single" w:sz="4" w:space="0" w:color="auto"/>
              <w:right w:val="single" w:sz="4" w:space="0" w:color="auto"/>
            </w:tcBorders>
            <w:shd w:val="clear" w:color="auto" w:fill="auto"/>
            <w:noWrap/>
            <w:vAlign w:val="center"/>
            <w:hideMark/>
          </w:tcPr>
          <w:p w:rsidR="004B3F42" w:rsidRDefault="004B3F42">
            <w:pPr>
              <w:jc w:val="right"/>
              <w:rPr>
                <w:rFonts w:ascii="Calibri" w:hAnsi="Calibri" w:cs="Calibri"/>
                <w:color w:val="000000"/>
                <w:sz w:val="16"/>
                <w:szCs w:val="16"/>
              </w:rPr>
            </w:pPr>
            <w:r>
              <w:rPr>
                <w:rFonts w:ascii="Calibri" w:hAnsi="Calibri" w:cs="Calibri"/>
                <w:color w:val="000000"/>
                <w:sz w:val="16"/>
                <w:szCs w:val="16"/>
              </w:rPr>
              <w:t>1 350 260,00</w:t>
            </w:r>
          </w:p>
        </w:tc>
        <w:tc>
          <w:tcPr>
            <w:tcW w:w="1276" w:type="dxa"/>
            <w:tcBorders>
              <w:top w:val="nil"/>
              <w:left w:val="nil"/>
              <w:bottom w:val="single" w:sz="4" w:space="0" w:color="auto"/>
              <w:right w:val="single" w:sz="4" w:space="0" w:color="auto"/>
            </w:tcBorders>
            <w:shd w:val="clear" w:color="auto" w:fill="auto"/>
            <w:noWrap/>
            <w:vAlign w:val="center"/>
            <w:hideMark/>
          </w:tcPr>
          <w:p w:rsidR="004B3F42" w:rsidRDefault="004B3F42">
            <w:pPr>
              <w:jc w:val="right"/>
              <w:rPr>
                <w:rFonts w:ascii="Calibri" w:hAnsi="Calibri" w:cs="Calibri"/>
                <w:color w:val="000000"/>
                <w:sz w:val="16"/>
                <w:szCs w:val="16"/>
              </w:rPr>
            </w:pPr>
            <w:r>
              <w:rPr>
                <w:rFonts w:ascii="Calibri" w:hAnsi="Calibri" w:cs="Calibri"/>
                <w:color w:val="000000"/>
                <w:sz w:val="16"/>
                <w:szCs w:val="16"/>
              </w:rPr>
              <w:t>17 229 819,00</w:t>
            </w:r>
          </w:p>
        </w:tc>
        <w:tc>
          <w:tcPr>
            <w:tcW w:w="1276" w:type="dxa"/>
            <w:tcBorders>
              <w:top w:val="nil"/>
              <w:left w:val="nil"/>
              <w:bottom w:val="single" w:sz="4" w:space="0" w:color="auto"/>
              <w:right w:val="single" w:sz="4" w:space="0" w:color="auto"/>
            </w:tcBorders>
            <w:shd w:val="clear" w:color="auto" w:fill="auto"/>
            <w:noWrap/>
            <w:vAlign w:val="center"/>
            <w:hideMark/>
          </w:tcPr>
          <w:p w:rsidR="004B3F42" w:rsidRDefault="004B3F42">
            <w:pPr>
              <w:jc w:val="right"/>
              <w:rPr>
                <w:rFonts w:ascii="Calibri" w:hAnsi="Calibri" w:cs="Calibri"/>
                <w:color w:val="000000"/>
                <w:sz w:val="16"/>
                <w:szCs w:val="16"/>
              </w:rPr>
            </w:pPr>
            <w:r>
              <w:rPr>
                <w:rFonts w:ascii="Calibri" w:hAnsi="Calibri" w:cs="Calibri"/>
                <w:color w:val="000000"/>
                <w:sz w:val="16"/>
                <w:szCs w:val="16"/>
              </w:rPr>
              <w:t>8 874 731,00</w:t>
            </w:r>
          </w:p>
        </w:tc>
      </w:tr>
    </w:tbl>
    <w:p w:rsidR="004B3F42" w:rsidRDefault="004B3F42" w:rsidP="004B3F42"/>
    <w:p w:rsidR="004B3F42" w:rsidRDefault="004B3F42" w:rsidP="004B3F42">
      <w:pPr>
        <w:jc w:val="center"/>
      </w:pPr>
      <w:r>
        <w:rPr>
          <w:noProof/>
        </w:rPr>
        <w:drawing>
          <wp:inline distT="0" distB="0" distL="0" distR="0" wp14:anchorId="16CFEF16" wp14:editId="46DDDBC1">
            <wp:extent cx="4517390" cy="2973859"/>
            <wp:effectExtent l="0" t="0" r="16510" b="17145"/>
            <wp:docPr id="40" name="Graf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4B3F42" w:rsidRDefault="004B3F42" w:rsidP="004B3F42"/>
    <w:p w:rsidR="004B3F42" w:rsidRPr="004B3F42" w:rsidRDefault="004B3F42" w:rsidP="004B3F42"/>
    <w:p w:rsidR="00743EF2" w:rsidRPr="00223D5A" w:rsidRDefault="00743EF2" w:rsidP="00223D5A"/>
    <w:p w:rsidR="00743EF2" w:rsidRDefault="005363E7" w:rsidP="00743EF2">
      <w:pPr>
        <w:pStyle w:val="Nadpis2"/>
      </w:pPr>
      <w:r>
        <w:lastRenderedPageBreak/>
        <w:t>Nákup akcií a majetkových podílů a vklady do fundací a ústavů</w:t>
      </w:r>
    </w:p>
    <w:p w:rsidR="004A70C5" w:rsidRDefault="0052427B" w:rsidP="004A70C5">
      <w:pPr>
        <w:pStyle w:val="western"/>
        <w:jc w:val="both"/>
      </w:pPr>
      <w:r>
        <w:rPr>
          <w:rFonts w:ascii="Calibri" w:hAnsi="Calibri" w:cs="Calibri"/>
          <w:color w:val="000000"/>
          <w:sz w:val="22"/>
          <w:szCs w:val="22"/>
        </w:rPr>
        <w:t>V roce 2022 nebyly uskutečněny žádné nákupy.</w:t>
      </w:r>
    </w:p>
    <w:p w:rsidR="00743EF2" w:rsidRDefault="003810E5" w:rsidP="004A70C5">
      <w:pPr>
        <w:pStyle w:val="Nadpis3"/>
        <w:jc w:val="both"/>
        <w:rPr>
          <w:b w:val="0"/>
        </w:rPr>
      </w:pPr>
      <w:r w:rsidRPr="004A70C5">
        <w:rPr>
          <w:b w:val="0"/>
        </w:rPr>
        <w:t>Srovnání nákupu akcií</w:t>
      </w:r>
      <w:r w:rsidR="00743EF2" w:rsidRPr="004A70C5">
        <w:rPr>
          <w:b w:val="0"/>
        </w:rPr>
        <w:t xml:space="preserve"> a majetkových podílů a vklady d</w:t>
      </w:r>
      <w:r w:rsidR="000B49C7" w:rsidRPr="004A70C5">
        <w:rPr>
          <w:b w:val="0"/>
        </w:rPr>
        <w:t>o fundací a ústavů v letech 20</w:t>
      </w:r>
      <w:r w:rsidR="00DA0881">
        <w:rPr>
          <w:b w:val="0"/>
        </w:rPr>
        <w:t xml:space="preserve">20 </w:t>
      </w:r>
      <w:r w:rsidR="00743EF2" w:rsidRPr="004A70C5">
        <w:rPr>
          <w:b w:val="0"/>
        </w:rPr>
        <w:t>- 202</w:t>
      </w:r>
      <w:r w:rsidR="00DA0881">
        <w:rPr>
          <w:b w:val="0"/>
        </w:rPr>
        <w:t>2</w:t>
      </w:r>
      <w:r w:rsidR="00743EF2" w:rsidRPr="004A70C5">
        <w:rPr>
          <w:b w:val="0"/>
        </w:rPr>
        <w:t xml:space="preserve"> po konsolidaci v</w:t>
      </w:r>
      <w:r w:rsidR="00C37209">
        <w:rPr>
          <w:b w:val="0"/>
        </w:rPr>
        <w:t> </w:t>
      </w:r>
      <w:r w:rsidR="00743EF2" w:rsidRPr="004A70C5">
        <w:rPr>
          <w:b w:val="0"/>
        </w:rPr>
        <w:t>Kč</w:t>
      </w:r>
      <w:r w:rsidR="00C37209">
        <w:rPr>
          <w:b w:val="0"/>
        </w:rPr>
        <w:t>.</w:t>
      </w:r>
    </w:p>
    <w:tbl>
      <w:tblPr>
        <w:tblW w:w="9351" w:type="dxa"/>
        <w:tblCellMar>
          <w:left w:w="70" w:type="dxa"/>
          <w:right w:w="70" w:type="dxa"/>
        </w:tblCellMar>
        <w:tblLook w:val="04A0" w:firstRow="1" w:lastRow="0" w:firstColumn="1" w:lastColumn="0" w:noHBand="0" w:noVBand="1"/>
      </w:tblPr>
      <w:tblGrid>
        <w:gridCol w:w="503"/>
        <w:gridCol w:w="654"/>
        <w:gridCol w:w="4508"/>
        <w:gridCol w:w="1276"/>
        <w:gridCol w:w="1276"/>
        <w:gridCol w:w="1134"/>
      </w:tblGrid>
      <w:tr w:rsidR="00DA0881" w:rsidTr="00DA0881">
        <w:trPr>
          <w:trHeight w:val="300"/>
        </w:trPr>
        <w:tc>
          <w:tcPr>
            <w:tcW w:w="5665" w:type="dxa"/>
            <w:gridSpan w:val="3"/>
            <w:tcBorders>
              <w:top w:val="single" w:sz="4" w:space="0" w:color="auto"/>
              <w:left w:val="single" w:sz="4" w:space="0" w:color="auto"/>
              <w:bottom w:val="single" w:sz="4" w:space="0" w:color="auto"/>
              <w:right w:val="single" w:sz="4" w:space="0" w:color="000000"/>
            </w:tcBorders>
            <w:shd w:val="clear" w:color="D6A100" w:fill="C6E0B4"/>
            <w:noWrap/>
            <w:vAlign w:val="center"/>
            <w:hideMark/>
          </w:tcPr>
          <w:p w:rsidR="00DA0881" w:rsidRDefault="00DA0881">
            <w:pPr>
              <w:jc w:val="center"/>
              <w:rPr>
                <w:rFonts w:ascii="Calibri" w:hAnsi="Calibri" w:cs="Calibri"/>
                <w:color w:val="000000"/>
                <w:sz w:val="18"/>
                <w:szCs w:val="18"/>
              </w:rPr>
            </w:pPr>
            <w:r>
              <w:rPr>
                <w:rFonts w:ascii="Calibri" w:hAnsi="Calibri" w:cs="Calibri"/>
                <w:color w:val="000000"/>
                <w:sz w:val="18"/>
                <w:szCs w:val="18"/>
              </w:rPr>
              <w:t> </w:t>
            </w:r>
          </w:p>
        </w:tc>
        <w:tc>
          <w:tcPr>
            <w:tcW w:w="1276" w:type="dxa"/>
            <w:tcBorders>
              <w:top w:val="single" w:sz="4" w:space="0" w:color="auto"/>
              <w:left w:val="nil"/>
              <w:bottom w:val="single" w:sz="4" w:space="0" w:color="auto"/>
              <w:right w:val="single" w:sz="4" w:space="0" w:color="auto"/>
            </w:tcBorders>
            <w:shd w:val="clear" w:color="D6A100" w:fill="C6E0B4"/>
            <w:noWrap/>
            <w:vAlign w:val="center"/>
            <w:hideMark/>
          </w:tcPr>
          <w:p w:rsidR="00DA0881" w:rsidRDefault="00DA0881">
            <w:pPr>
              <w:jc w:val="center"/>
              <w:rPr>
                <w:rFonts w:ascii="Calibri" w:hAnsi="Calibri" w:cs="Calibri"/>
                <w:color w:val="000000"/>
                <w:sz w:val="18"/>
                <w:szCs w:val="18"/>
              </w:rPr>
            </w:pPr>
            <w:r>
              <w:rPr>
                <w:rFonts w:ascii="Calibri" w:hAnsi="Calibri" w:cs="Calibri"/>
                <w:color w:val="000000"/>
                <w:sz w:val="18"/>
                <w:szCs w:val="18"/>
              </w:rPr>
              <w:t>2020</w:t>
            </w:r>
          </w:p>
        </w:tc>
        <w:tc>
          <w:tcPr>
            <w:tcW w:w="1276" w:type="dxa"/>
            <w:tcBorders>
              <w:top w:val="single" w:sz="4" w:space="0" w:color="auto"/>
              <w:left w:val="nil"/>
              <w:bottom w:val="single" w:sz="4" w:space="0" w:color="auto"/>
              <w:right w:val="single" w:sz="4" w:space="0" w:color="auto"/>
            </w:tcBorders>
            <w:shd w:val="clear" w:color="D6A100" w:fill="C6E0B4"/>
            <w:noWrap/>
            <w:vAlign w:val="center"/>
            <w:hideMark/>
          </w:tcPr>
          <w:p w:rsidR="00DA0881" w:rsidRDefault="00DA0881">
            <w:pPr>
              <w:jc w:val="center"/>
              <w:rPr>
                <w:rFonts w:ascii="Calibri" w:hAnsi="Calibri" w:cs="Calibri"/>
                <w:color w:val="000000"/>
                <w:sz w:val="18"/>
                <w:szCs w:val="18"/>
              </w:rPr>
            </w:pPr>
            <w:r>
              <w:rPr>
                <w:rFonts w:ascii="Calibri" w:hAnsi="Calibri" w:cs="Calibri"/>
                <w:color w:val="000000"/>
                <w:sz w:val="18"/>
                <w:szCs w:val="18"/>
              </w:rPr>
              <w:t>2021</w:t>
            </w:r>
          </w:p>
        </w:tc>
        <w:tc>
          <w:tcPr>
            <w:tcW w:w="1134" w:type="dxa"/>
            <w:tcBorders>
              <w:top w:val="single" w:sz="4" w:space="0" w:color="auto"/>
              <w:left w:val="nil"/>
              <w:bottom w:val="single" w:sz="4" w:space="0" w:color="auto"/>
              <w:right w:val="single" w:sz="4" w:space="0" w:color="auto"/>
            </w:tcBorders>
            <w:shd w:val="clear" w:color="D6A100" w:fill="C6E0B4"/>
            <w:noWrap/>
            <w:vAlign w:val="center"/>
            <w:hideMark/>
          </w:tcPr>
          <w:p w:rsidR="00DA0881" w:rsidRDefault="00DA0881">
            <w:pPr>
              <w:jc w:val="center"/>
              <w:rPr>
                <w:rFonts w:ascii="Calibri" w:hAnsi="Calibri" w:cs="Calibri"/>
                <w:color w:val="000000"/>
                <w:sz w:val="18"/>
                <w:szCs w:val="18"/>
              </w:rPr>
            </w:pPr>
            <w:r>
              <w:rPr>
                <w:rFonts w:ascii="Calibri" w:hAnsi="Calibri" w:cs="Calibri"/>
                <w:color w:val="000000"/>
                <w:sz w:val="18"/>
                <w:szCs w:val="18"/>
              </w:rPr>
              <w:t>2022</w:t>
            </w:r>
          </w:p>
        </w:tc>
      </w:tr>
      <w:tr w:rsidR="00DA0881" w:rsidTr="00DA0881">
        <w:trPr>
          <w:trHeight w:val="300"/>
        </w:trPr>
        <w:tc>
          <w:tcPr>
            <w:tcW w:w="5665" w:type="dxa"/>
            <w:gridSpan w:val="3"/>
            <w:tcBorders>
              <w:top w:val="single" w:sz="4" w:space="0" w:color="auto"/>
              <w:left w:val="single" w:sz="4" w:space="0" w:color="auto"/>
              <w:bottom w:val="single" w:sz="4" w:space="0" w:color="auto"/>
              <w:right w:val="single" w:sz="4" w:space="0" w:color="000000"/>
            </w:tcBorders>
            <w:shd w:val="clear" w:color="000000" w:fill="A9D08E"/>
            <w:noWrap/>
            <w:vAlign w:val="center"/>
            <w:hideMark/>
          </w:tcPr>
          <w:p w:rsidR="00DA0881" w:rsidRDefault="00DA0881">
            <w:pPr>
              <w:rPr>
                <w:rFonts w:ascii="Calibri" w:hAnsi="Calibri" w:cs="Calibri"/>
                <w:b/>
                <w:bCs/>
                <w:color w:val="000000"/>
                <w:sz w:val="18"/>
                <w:szCs w:val="18"/>
              </w:rPr>
            </w:pPr>
            <w:r>
              <w:rPr>
                <w:rFonts w:ascii="Calibri" w:hAnsi="Calibri" w:cs="Calibri"/>
                <w:b/>
                <w:bCs/>
                <w:color w:val="000000"/>
                <w:sz w:val="18"/>
                <w:szCs w:val="18"/>
              </w:rPr>
              <w:t>Nákup akcií a majetkových podílů a vklady do fundací a ústavů</w:t>
            </w:r>
          </w:p>
        </w:tc>
        <w:tc>
          <w:tcPr>
            <w:tcW w:w="1276" w:type="dxa"/>
            <w:tcBorders>
              <w:top w:val="nil"/>
              <w:left w:val="nil"/>
              <w:bottom w:val="single" w:sz="4" w:space="0" w:color="auto"/>
              <w:right w:val="single" w:sz="4" w:space="0" w:color="auto"/>
            </w:tcBorders>
            <w:shd w:val="clear" w:color="000000" w:fill="A9D08E"/>
            <w:noWrap/>
            <w:vAlign w:val="center"/>
            <w:hideMark/>
          </w:tcPr>
          <w:p w:rsidR="00DA0881" w:rsidRDefault="00DA0881">
            <w:pPr>
              <w:jc w:val="right"/>
              <w:rPr>
                <w:rFonts w:ascii="Calibri" w:hAnsi="Calibri" w:cs="Calibri"/>
                <w:b/>
                <w:bCs/>
                <w:color w:val="000000"/>
                <w:sz w:val="18"/>
                <w:szCs w:val="18"/>
              </w:rPr>
            </w:pPr>
            <w:r>
              <w:rPr>
                <w:rFonts w:ascii="Calibri" w:hAnsi="Calibri" w:cs="Calibri"/>
                <w:b/>
                <w:bCs/>
                <w:color w:val="000000"/>
                <w:sz w:val="18"/>
                <w:szCs w:val="18"/>
              </w:rPr>
              <w:t>663 150,00</w:t>
            </w:r>
          </w:p>
        </w:tc>
        <w:tc>
          <w:tcPr>
            <w:tcW w:w="1276" w:type="dxa"/>
            <w:tcBorders>
              <w:top w:val="nil"/>
              <w:left w:val="nil"/>
              <w:bottom w:val="single" w:sz="4" w:space="0" w:color="auto"/>
              <w:right w:val="single" w:sz="4" w:space="0" w:color="auto"/>
            </w:tcBorders>
            <w:shd w:val="clear" w:color="000000" w:fill="A9D08E"/>
            <w:noWrap/>
            <w:vAlign w:val="center"/>
            <w:hideMark/>
          </w:tcPr>
          <w:p w:rsidR="00DA0881" w:rsidRDefault="00DA0881">
            <w:pPr>
              <w:jc w:val="right"/>
              <w:rPr>
                <w:rFonts w:ascii="Calibri" w:hAnsi="Calibri" w:cs="Calibri"/>
                <w:b/>
                <w:bCs/>
                <w:color w:val="000000"/>
                <w:sz w:val="18"/>
                <w:szCs w:val="18"/>
              </w:rPr>
            </w:pPr>
            <w:r>
              <w:rPr>
                <w:rFonts w:ascii="Calibri" w:hAnsi="Calibri" w:cs="Calibri"/>
                <w:b/>
                <w:bCs/>
                <w:color w:val="000000"/>
                <w:sz w:val="18"/>
                <w:szCs w:val="18"/>
              </w:rPr>
              <w:t>100 000,00</w:t>
            </w:r>
          </w:p>
        </w:tc>
        <w:tc>
          <w:tcPr>
            <w:tcW w:w="1134" w:type="dxa"/>
            <w:tcBorders>
              <w:top w:val="nil"/>
              <w:left w:val="nil"/>
              <w:bottom w:val="single" w:sz="4" w:space="0" w:color="auto"/>
              <w:right w:val="single" w:sz="4" w:space="0" w:color="auto"/>
            </w:tcBorders>
            <w:shd w:val="clear" w:color="000000" w:fill="A9D08E"/>
            <w:noWrap/>
            <w:vAlign w:val="center"/>
            <w:hideMark/>
          </w:tcPr>
          <w:p w:rsidR="00DA0881" w:rsidRDefault="00DA0881">
            <w:pPr>
              <w:jc w:val="right"/>
              <w:rPr>
                <w:rFonts w:ascii="Calibri" w:hAnsi="Calibri" w:cs="Calibri"/>
                <w:b/>
                <w:bCs/>
                <w:color w:val="000000"/>
                <w:sz w:val="18"/>
                <w:szCs w:val="18"/>
              </w:rPr>
            </w:pPr>
            <w:r>
              <w:rPr>
                <w:rFonts w:ascii="Calibri" w:hAnsi="Calibri" w:cs="Calibri"/>
                <w:b/>
                <w:bCs/>
                <w:color w:val="000000"/>
                <w:sz w:val="18"/>
                <w:szCs w:val="18"/>
              </w:rPr>
              <w:t>0,00</w:t>
            </w:r>
          </w:p>
        </w:tc>
      </w:tr>
      <w:tr w:rsidR="00DA0881" w:rsidTr="00DA0881">
        <w:trPr>
          <w:trHeight w:val="300"/>
        </w:trPr>
        <w:tc>
          <w:tcPr>
            <w:tcW w:w="503" w:type="dxa"/>
            <w:tcBorders>
              <w:top w:val="nil"/>
              <w:left w:val="single" w:sz="4" w:space="0" w:color="auto"/>
              <w:bottom w:val="single" w:sz="4" w:space="0" w:color="auto"/>
              <w:right w:val="single" w:sz="4" w:space="0" w:color="auto"/>
            </w:tcBorders>
            <w:shd w:val="clear" w:color="FFF2CC" w:fill="E2EFDA"/>
            <w:noWrap/>
            <w:vAlign w:val="center"/>
            <w:hideMark/>
          </w:tcPr>
          <w:p w:rsidR="00DA0881" w:rsidRDefault="00DA0881">
            <w:pPr>
              <w:jc w:val="right"/>
              <w:rPr>
                <w:rFonts w:ascii="Calibri" w:hAnsi="Calibri" w:cs="Calibri"/>
                <w:color w:val="000000"/>
                <w:sz w:val="18"/>
                <w:szCs w:val="18"/>
              </w:rPr>
            </w:pPr>
            <w:r>
              <w:rPr>
                <w:rFonts w:ascii="Calibri" w:hAnsi="Calibri" w:cs="Calibri"/>
                <w:color w:val="000000"/>
                <w:sz w:val="18"/>
                <w:szCs w:val="18"/>
              </w:rPr>
              <w:t>620</w:t>
            </w:r>
          </w:p>
        </w:tc>
        <w:tc>
          <w:tcPr>
            <w:tcW w:w="5162" w:type="dxa"/>
            <w:gridSpan w:val="2"/>
            <w:tcBorders>
              <w:top w:val="single" w:sz="4" w:space="0" w:color="auto"/>
              <w:left w:val="nil"/>
              <w:bottom w:val="single" w:sz="4" w:space="0" w:color="auto"/>
              <w:right w:val="single" w:sz="4" w:space="0" w:color="000000"/>
            </w:tcBorders>
            <w:shd w:val="clear" w:color="FFF2CC" w:fill="E2EFDA"/>
            <w:noWrap/>
            <w:vAlign w:val="center"/>
            <w:hideMark/>
          </w:tcPr>
          <w:p w:rsidR="00DA0881" w:rsidRDefault="00DA0881">
            <w:pPr>
              <w:rPr>
                <w:rFonts w:ascii="Calibri" w:hAnsi="Calibri" w:cs="Calibri"/>
                <w:color w:val="000000"/>
                <w:sz w:val="18"/>
                <w:szCs w:val="18"/>
              </w:rPr>
            </w:pPr>
            <w:r>
              <w:rPr>
                <w:rFonts w:ascii="Calibri" w:hAnsi="Calibri" w:cs="Calibri"/>
                <w:color w:val="000000"/>
                <w:sz w:val="18"/>
                <w:szCs w:val="18"/>
              </w:rPr>
              <w:t>Nákup akcií a majetkových podílů</w:t>
            </w:r>
          </w:p>
        </w:tc>
        <w:tc>
          <w:tcPr>
            <w:tcW w:w="1276" w:type="dxa"/>
            <w:tcBorders>
              <w:top w:val="nil"/>
              <w:left w:val="nil"/>
              <w:bottom w:val="single" w:sz="4" w:space="0" w:color="auto"/>
              <w:right w:val="single" w:sz="4" w:space="0" w:color="auto"/>
            </w:tcBorders>
            <w:shd w:val="clear" w:color="FFF2CC" w:fill="E2EFDA"/>
            <w:noWrap/>
            <w:vAlign w:val="center"/>
            <w:hideMark/>
          </w:tcPr>
          <w:p w:rsidR="00DA0881" w:rsidRDefault="00DA0881">
            <w:pPr>
              <w:jc w:val="right"/>
              <w:rPr>
                <w:rFonts w:ascii="Calibri" w:hAnsi="Calibri" w:cs="Calibri"/>
                <w:color w:val="000000"/>
                <w:sz w:val="18"/>
                <w:szCs w:val="18"/>
              </w:rPr>
            </w:pPr>
            <w:r>
              <w:rPr>
                <w:rFonts w:ascii="Calibri" w:hAnsi="Calibri" w:cs="Calibri"/>
                <w:color w:val="000000"/>
                <w:sz w:val="18"/>
                <w:szCs w:val="18"/>
              </w:rPr>
              <w:t>663 150,00</w:t>
            </w:r>
          </w:p>
        </w:tc>
        <w:tc>
          <w:tcPr>
            <w:tcW w:w="1276" w:type="dxa"/>
            <w:tcBorders>
              <w:top w:val="nil"/>
              <w:left w:val="nil"/>
              <w:bottom w:val="single" w:sz="4" w:space="0" w:color="auto"/>
              <w:right w:val="single" w:sz="4" w:space="0" w:color="auto"/>
            </w:tcBorders>
            <w:shd w:val="clear" w:color="FFF2CC" w:fill="E2EFDA"/>
            <w:noWrap/>
            <w:vAlign w:val="center"/>
            <w:hideMark/>
          </w:tcPr>
          <w:p w:rsidR="00DA0881" w:rsidRDefault="00DA0881">
            <w:pPr>
              <w:jc w:val="right"/>
              <w:rPr>
                <w:rFonts w:ascii="Calibri" w:hAnsi="Calibri" w:cs="Calibri"/>
                <w:color w:val="000000"/>
                <w:sz w:val="18"/>
                <w:szCs w:val="18"/>
              </w:rPr>
            </w:pPr>
            <w:r>
              <w:rPr>
                <w:rFonts w:ascii="Calibri" w:hAnsi="Calibri" w:cs="Calibri"/>
                <w:color w:val="000000"/>
                <w:sz w:val="18"/>
                <w:szCs w:val="18"/>
              </w:rPr>
              <w:t>100 000,00</w:t>
            </w:r>
          </w:p>
        </w:tc>
        <w:tc>
          <w:tcPr>
            <w:tcW w:w="1134" w:type="dxa"/>
            <w:tcBorders>
              <w:top w:val="nil"/>
              <w:left w:val="nil"/>
              <w:bottom w:val="single" w:sz="4" w:space="0" w:color="auto"/>
              <w:right w:val="single" w:sz="4" w:space="0" w:color="auto"/>
            </w:tcBorders>
            <w:shd w:val="clear" w:color="FFF2CC" w:fill="E2EFDA"/>
            <w:noWrap/>
            <w:vAlign w:val="center"/>
            <w:hideMark/>
          </w:tcPr>
          <w:p w:rsidR="00DA0881" w:rsidRDefault="00DA0881">
            <w:pPr>
              <w:jc w:val="right"/>
              <w:rPr>
                <w:rFonts w:ascii="Calibri" w:hAnsi="Calibri" w:cs="Calibri"/>
                <w:color w:val="000000"/>
                <w:sz w:val="18"/>
                <w:szCs w:val="18"/>
              </w:rPr>
            </w:pPr>
            <w:r>
              <w:rPr>
                <w:rFonts w:ascii="Calibri" w:hAnsi="Calibri" w:cs="Calibri"/>
                <w:color w:val="000000"/>
                <w:sz w:val="18"/>
                <w:szCs w:val="18"/>
              </w:rPr>
              <w:t>0,00</w:t>
            </w:r>
          </w:p>
        </w:tc>
      </w:tr>
      <w:tr w:rsidR="00DA0881" w:rsidTr="00DA0881">
        <w:trPr>
          <w:trHeight w:val="300"/>
        </w:trPr>
        <w:tc>
          <w:tcPr>
            <w:tcW w:w="5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0881" w:rsidRDefault="00DA0881">
            <w:pPr>
              <w:jc w:val="center"/>
              <w:rPr>
                <w:rFonts w:ascii="Calibri" w:hAnsi="Calibri" w:cs="Calibri"/>
                <w:color w:val="000000"/>
                <w:sz w:val="18"/>
                <w:szCs w:val="18"/>
              </w:rPr>
            </w:pPr>
            <w:r>
              <w:rPr>
                <w:rFonts w:ascii="Calibri" w:hAnsi="Calibri" w:cs="Calibri"/>
                <w:color w:val="000000"/>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rsidR="00DA0881" w:rsidRDefault="00DA0881">
            <w:pPr>
              <w:jc w:val="center"/>
              <w:rPr>
                <w:rFonts w:ascii="Calibri" w:hAnsi="Calibri" w:cs="Calibri"/>
                <w:color w:val="000000"/>
                <w:sz w:val="18"/>
                <w:szCs w:val="18"/>
              </w:rPr>
            </w:pPr>
            <w:r>
              <w:rPr>
                <w:rFonts w:ascii="Calibri" w:hAnsi="Calibri" w:cs="Calibri"/>
                <w:color w:val="000000"/>
                <w:sz w:val="18"/>
                <w:szCs w:val="18"/>
              </w:rPr>
              <w:t>6201</w:t>
            </w:r>
          </w:p>
        </w:tc>
        <w:tc>
          <w:tcPr>
            <w:tcW w:w="4508" w:type="dxa"/>
            <w:tcBorders>
              <w:top w:val="nil"/>
              <w:left w:val="nil"/>
              <w:bottom w:val="single" w:sz="4" w:space="0" w:color="auto"/>
              <w:right w:val="single" w:sz="4" w:space="0" w:color="auto"/>
            </w:tcBorders>
            <w:shd w:val="clear" w:color="auto" w:fill="auto"/>
            <w:vAlign w:val="center"/>
            <w:hideMark/>
          </w:tcPr>
          <w:p w:rsidR="00DA0881" w:rsidRDefault="00DA0881">
            <w:pPr>
              <w:rPr>
                <w:rFonts w:ascii="Calibri" w:hAnsi="Calibri" w:cs="Calibri"/>
                <w:color w:val="000000"/>
                <w:sz w:val="18"/>
                <w:szCs w:val="18"/>
              </w:rPr>
            </w:pPr>
            <w:r>
              <w:rPr>
                <w:rFonts w:ascii="Calibri" w:hAnsi="Calibri" w:cs="Calibri"/>
                <w:color w:val="000000"/>
                <w:sz w:val="18"/>
                <w:szCs w:val="18"/>
              </w:rPr>
              <w:t>Nákup akcií</w:t>
            </w:r>
          </w:p>
        </w:tc>
        <w:tc>
          <w:tcPr>
            <w:tcW w:w="1276" w:type="dxa"/>
            <w:tcBorders>
              <w:top w:val="nil"/>
              <w:left w:val="nil"/>
              <w:bottom w:val="single" w:sz="4" w:space="0" w:color="auto"/>
              <w:right w:val="single" w:sz="4" w:space="0" w:color="auto"/>
            </w:tcBorders>
            <w:shd w:val="clear" w:color="auto" w:fill="auto"/>
            <w:noWrap/>
            <w:vAlign w:val="center"/>
            <w:hideMark/>
          </w:tcPr>
          <w:p w:rsidR="00DA0881" w:rsidRDefault="00DA0881">
            <w:pPr>
              <w:jc w:val="right"/>
              <w:rPr>
                <w:rFonts w:ascii="Calibri" w:hAnsi="Calibri" w:cs="Calibri"/>
                <w:color w:val="000000"/>
                <w:sz w:val="18"/>
                <w:szCs w:val="18"/>
              </w:rPr>
            </w:pPr>
            <w:r>
              <w:rPr>
                <w:rFonts w:ascii="Calibri" w:hAnsi="Calibri" w:cs="Calibri"/>
                <w:color w:val="000000"/>
                <w:sz w:val="18"/>
                <w:szCs w:val="18"/>
              </w:rPr>
              <w:t>663 150,00</w:t>
            </w:r>
          </w:p>
        </w:tc>
        <w:tc>
          <w:tcPr>
            <w:tcW w:w="1276" w:type="dxa"/>
            <w:tcBorders>
              <w:top w:val="nil"/>
              <w:left w:val="nil"/>
              <w:bottom w:val="single" w:sz="4" w:space="0" w:color="auto"/>
              <w:right w:val="single" w:sz="4" w:space="0" w:color="auto"/>
            </w:tcBorders>
            <w:shd w:val="clear" w:color="auto" w:fill="auto"/>
            <w:noWrap/>
            <w:vAlign w:val="center"/>
            <w:hideMark/>
          </w:tcPr>
          <w:p w:rsidR="00DA0881" w:rsidRDefault="00DA0881">
            <w:pPr>
              <w:jc w:val="right"/>
              <w:rPr>
                <w:rFonts w:ascii="Calibri" w:hAnsi="Calibri" w:cs="Calibri"/>
                <w:color w:val="000000"/>
                <w:sz w:val="18"/>
                <w:szCs w:val="18"/>
              </w:rPr>
            </w:pPr>
            <w:r>
              <w:rPr>
                <w:rFonts w:ascii="Calibri" w:hAnsi="Calibri" w:cs="Calibri"/>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0881" w:rsidRDefault="00DA0881">
            <w:pPr>
              <w:jc w:val="right"/>
              <w:rPr>
                <w:rFonts w:ascii="Calibri" w:hAnsi="Calibri" w:cs="Calibri"/>
                <w:color w:val="000000"/>
                <w:sz w:val="18"/>
                <w:szCs w:val="18"/>
              </w:rPr>
            </w:pPr>
            <w:r>
              <w:rPr>
                <w:rFonts w:ascii="Calibri" w:hAnsi="Calibri" w:cs="Calibri"/>
                <w:color w:val="000000"/>
                <w:sz w:val="18"/>
                <w:szCs w:val="18"/>
              </w:rPr>
              <w:t>0,00</w:t>
            </w:r>
          </w:p>
        </w:tc>
      </w:tr>
      <w:tr w:rsidR="00DA0881" w:rsidTr="00DA0881">
        <w:trPr>
          <w:trHeight w:val="300"/>
        </w:trPr>
        <w:tc>
          <w:tcPr>
            <w:tcW w:w="503" w:type="dxa"/>
            <w:vMerge/>
            <w:tcBorders>
              <w:top w:val="nil"/>
              <w:left w:val="single" w:sz="4" w:space="0" w:color="auto"/>
              <w:bottom w:val="single" w:sz="4" w:space="0" w:color="000000"/>
              <w:right w:val="single" w:sz="4" w:space="0" w:color="auto"/>
            </w:tcBorders>
            <w:vAlign w:val="center"/>
            <w:hideMark/>
          </w:tcPr>
          <w:p w:rsidR="00DA0881" w:rsidRDefault="00DA0881">
            <w:pPr>
              <w:rPr>
                <w:rFonts w:ascii="Calibri" w:hAnsi="Calibri" w:cs="Calibri"/>
                <w:color w:val="000000"/>
                <w:sz w:val="18"/>
                <w:szCs w:val="18"/>
              </w:rPr>
            </w:pPr>
          </w:p>
        </w:tc>
        <w:tc>
          <w:tcPr>
            <w:tcW w:w="654" w:type="dxa"/>
            <w:tcBorders>
              <w:top w:val="nil"/>
              <w:left w:val="nil"/>
              <w:bottom w:val="single" w:sz="4" w:space="0" w:color="auto"/>
              <w:right w:val="single" w:sz="4" w:space="0" w:color="auto"/>
            </w:tcBorders>
            <w:shd w:val="clear" w:color="auto" w:fill="auto"/>
            <w:noWrap/>
            <w:vAlign w:val="center"/>
            <w:hideMark/>
          </w:tcPr>
          <w:p w:rsidR="00DA0881" w:rsidRDefault="00DA0881">
            <w:pPr>
              <w:jc w:val="center"/>
              <w:rPr>
                <w:rFonts w:ascii="Calibri" w:hAnsi="Calibri" w:cs="Calibri"/>
                <w:color w:val="000000"/>
                <w:sz w:val="18"/>
                <w:szCs w:val="18"/>
              </w:rPr>
            </w:pPr>
            <w:r>
              <w:rPr>
                <w:rFonts w:ascii="Calibri" w:hAnsi="Calibri" w:cs="Calibri"/>
                <w:color w:val="000000"/>
                <w:sz w:val="18"/>
                <w:szCs w:val="18"/>
              </w:rPr>
              <w:t>6212</w:t>
            </w:r>
          </w:p>
        </w:tc>
        <w:tc>
          <w:tcPr>
            <w:tcW w:w="4508" w:type="dxa"/>
            <w:tcBorders>
              <w:top w:val="nil"/>
              <w:left w:val="nil"/>
              <w:bottom w:val="single" w:sz="4" w:space="0" w:color="auto"/>
              <w:right w:val="single" w:sz="4" w:space="0" w:color="auto"/>
            </w:tcBorders>
            <w:shd w:val="clear" w:color="auto" w:fill="auto"/>
            <w:vAlign w:val="center"/>
            <w:hideMark/>
          </w:tcPr>
          <w:p w:rsidR="00DA0881" w:rsidRDefault="00DA0881">
            <w:pPr>
              <w:rPr>
                <w:rFonts w:ascii="Calibri" w:hAnsi="Calibri" w:cs="Calibri"/>
                <w:color w:val="000000"/>
                <w:sz w:val="18"/>
                <w:szCs w:val="18"/>
              </w:rPr>
            </w:pPr>
            <w:r>
              <w:rPr>
                <w:rFonts w:ascii="Calibri" w:hAnsi="Calibri" w:cs="Calibri"/>
                <w:color w:val="000000"/>
                <w:sz w:val="18"/>
                <w:szCs w:val="18"/>
              </w:rPr>
              <w:t>Vklady do nadačních fondů</w:t>
            </w:r>
          </w:p>
        </w:tc>
        <w:tc>
          <w:tcPr>
            <w:tcW w:w="1276" w:type="dxa"/>
            <w:tcBorders>
              <w:top w:val="nil"/>
              <w:left w:val="nil"/>
              <w:bottom w:val="single" w:sz="4" w:space="0" w:color="auto"/>
              <w:right w:val="single" w:sz="4" w:space="0" w:color="auto"/>
            </w:tcBorders>
            <w:shd w:val="clear" w:color="auto" w:fill="auto"/>
            <w:noWrap/>
            <w:vAlign w:val="center"/>
            <w:hideMark/>
          </w:tcPr>
          <w:p w:rsidR="00DA0881" w:rsidRDefault="00DA0881">
            <w:pPr>
              <w:jc w:val="right"/>
              <w:rPr>
                <w:rFonts w:ascii="Calibri" w:hAnsi="Calibri" w:cs="Calibri"/>
                <w:color w:val="000000"/>
                <w:sz w:val="18"/>
                <w:szCs w:val="18"/>
              </w:rPr>
            </w:pPr>
            <w:r>
              <w:rPr>
                <w:rFonts w:ascii="Calibri" w:hAnsi="Calibri" w:cs="Calibri"/>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DA0881" w:rsidRDefault="00DA0881">
            <w:pPr>
              <w:jc w:val="right"/>
              <w:rPr>
                <w:rFonts w:ascii="Calibri" w:hAnsi="Calibri" w:cs="Calibri"/>
                <w:color w:val="000000"/>
                <w:sz w:val="18"/>
                <w:szCs w:val="18"/>
              </w:rPr>
            </w:pPr>
            <w:r>
              <w:rPr>
                <w:rFonts w:ascii="Calibri" w:hAnsi="Calibri" w:cs="Calibri"/>
                <w:color w:val="000000"/>
                <w:sz w:val="18"/>
                <w:szCs w:val="18"/>
              </w:rPr>
              <w:t>100 000,00</w:t>
            </w:r>
          </w:p>
        </w:tc>
        <w:tc>
          <w:tcPr>
            <w:tcW w:w="1134" w:type="dxa"/>
            <w:tcBorders>
              <w:top w:val="nil"/>
              <w:left w:val="nil"/>
              <w:bottom w:val="single" w:sz="4" w:space="0" w:color="auto"/>
              <w:right w:val="single" w:sz="4" w:space="0" w:color="auto"/>
            </w:tcBorders>
            <w:shd w:val="clear" w:color="auto" w:fill="auto"/>
            <w:noWrap/>
            <w:vAlign w:val="center"/>
            <w:hideMark/>
          </w:tcPr>
          <w:p w:rsidR="00DA0881" w:rsidRDefault="00DA0881">
            <w:pPr>
              <w:jc w:val="right"/>
              <w:rPr>
                <w:rFonts w:ascii="Calibri" w:hAnsi="Calibri" w:cs="Calibri"/>
                <w:color w:val="000000"/>
                <w:sz w:val="18"/>
                <w:szCs w:val="18"/>
              </w:rPr>
            </w:pPr>
            <w:r>
              <w:rPr>
                <w:rFonts w:ascii="Calibri" w:hAnsi="Calibri" w:cs="Calibri"/>
                <w:color w:val="000000"/>
                <w:sz w:val="18"/>
                <w:szCs w:val="18"/>
              </w:rPr>
              <w:t>0,00</w:t>
            </w:r>
          </w:p>
        </w:tc>
      </w:tr>
    </w:tbl>
    <w:p w:rsidR="00DA0881" w:rsidRDefault="00DA0881" w:rsidP="00DA0881"/>
    <w:p w:rsidR="0052427B" w:rsidRDefault="0052427B" w:rsidP="00DA0881"/>
    <w:p w:rsidR="00DA0881" w:rsidRPr="00DA0881" w:rsidRDefault="0052427B" w:rsidP="0052427B">
      <w:pPr>
        <w:jc w:val="center"/>
      </w:pPr>
      <w:r>
        <w:rPr>
          <w:noProof/>
        </w:rPr>
        <w:drawing>
          <wp:inline distT="0" distB="0" distL="0" distR="0" wp14:anchorId="62313873" wp14:editId="7F770342">
            <wp:extent cx="3969165" cy="2140860"/>
            <wp:effectExtent l="0" t="0" r="12700" b="12065"/>
            <wp:docPr id="41" name="Graf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4A70C5" w:rsidRDefault="004A70C5" w:rsidP="004A70C5"/>
    <w:p w:rsidR="004A70C5" w:rsidRPr="004A70C5" w:rsidRDefault="004A70C5" w:rsidP="004A70C5"/>
    <w:p w:rsidR="000B49C7" w:rsidRPr="000B49C7" w:rsidRDefault="000B49C7" w:rsidP="004A70C5">
      <w:pPr>
        <w:jc w:val="center"/>
      </w:pPr>
    </w:p>
    <w:p w:rsidR="00743EF2" w:rsidRDefault="00743EF2" w:rsidP="00743EF2">
      <w:pPr>
        <w:spacing w:after="120"/>
        <w:jc w:val="center"/>
        <w:rPr>
          <w:rFonts w:asciiTheme="minorHAnsi" w:hAnsiTheme="minorHAnsi" w:cstheme="minorHAnsi"/>
          <w:sz w:val="22"/>
          <w:szCs w:val="22"/>
        </w:rPr>
      </w:pPr>
    </w:p>
    <w:p w:rsidR="008E1A8F" w:rsidRPr="0033420E" w:rsidRDefault="002763CA" w:rsidP="002763CA">
      <w:pPr>
        <w:pStyle w:val="Nadpis2"/>
      </w:pPr>
      <w:bookmarkStart w:id="36" w:name="_Ref40164083"/>
      <w:r w:rsidRPr="0033420E">
        <w:t>Investiční transfery</w:t>
      </w:r>
      <w:bookmarkEnd w:id="36"/>
    </w:p>
    <w:p w:rsidR="00BA40AE" w:rsidRDefault="00BA40AE" w:rsidP="00BA5E8D">
      <w:pPr>
        <w:jc w:val="both"/>
        <w:rPr>
          <w:rFonts w:asciiTheme="minorHAnsi" w:hAnsiTheme="minorHAnsi" w:cstheme="minorHAnsi"/>
          <w:sz w:val="22"/>
          <w:szCs w:val="22"/>
        </w:rPr>
      </w:pPr>
      <w:r w:rsidRPr="00BA40AE">
        <w:rPr>
          <w:rFonts w:asciiTheme="minorHAnsi" w:hAnsiTheme="minorHAnsi" w:cstheme="minorHAnsi"/>
          <w:sz w:val="22"/>
          <w:szCs w:val="22"/>
          <w:u w:val="single"/>
        </w:rPr>
        <w:t>Investiční transfery podnikatelům: 2,99 mil. Kč</w:t>
      </w:r>
      <w:r w:rsidR="009B7D85">
        <w:rPr>
          <w:rFonts w:asciiTheme="minorHAnsi" w:hAnsiTheme="minorHAnsi" w:cstheme="minorHAnsi"/>
          <w:sz w:val="22"/>
          <w:szCs w:val="22"/>
        </w:rPr>
        <w:t xml:space="preserve"> na ú</w:t>
      </w:r>
      <w:r w:rsidR="009B7D85" w:rsidRPr="009B7D85">
        <w:rPr>
          <w:rFonts w:asciiTheme="minorHAnsi" w:hAnsiTheme="minorHAnsi" w:cstheme="minorHAnsi"/>
          <w:sz w:val="22"/>
          <w:szCs w:val="22"/>
        </w:rPr>
        <w:t>hrad</w:t>
      </w:r>
      <w:r w:rsidR="009B7D85">
        <w:rPr>
          <w:rFonts w:asciiTheme="minorHAnsi" w:hAnsiTheme="minorHAnsi" w:cstheme="minorHAnsi"/>
          <w:sz w:val="22"/>
          <w:szCs w:val="22"/>
        </w:rPr>
        <w:t>u</w:t>
      </w:r>
      <w:r w:rsidR="009B7D85" w:rsidRPr="009B7D85">
        <w:rPr>
          <w:rFonts w:asciiTheme="minorHAnsi" w:hAnsiTheme="minorHAnsi" w:cstheme="minorHAnsi"/>
          <w:sz w:val="22"/>
          <w:szCs w:val="22"/>
        </w:rPr>
        <w:t xml:space="preserve"> části nákladů na realizaci investiční akce "Instalace KGJ Prostějov - Benešova"</w:t>
      </w:r>
      <w:r w:rsidR="009B7D85">
        <w:rPr>
          <w:rFonts w:asciiTheme="minorHAnsi" w:hAnsiTheme="minorHAnsi" w:cstheme="minorHAnsi"/>
          <w:sz w:val="22"/>
          <w:szCs w:val="22"/>
        </w:rPr>
        <w:t xml:space="preserve"> (pro </w:t>
      </w:r>
      <w:r w:rsidR="009B7D85" w:rsidRPr="009B7D85">
        <w:rPr>
          <w:rFonts w:asciiTheme="minorHAnsi" w:hAnsiTheme="minorHAnsi" w:cstheme="minorHAnsi"/>
          <w:sz w:val="22"/>
          <w:szCs w:val="22"/>
        </w:rPr>
        <w:t>ČEZ Energo, s.</w:t>
      </w:r>
      <w:r w:rsidR="009B7D85">
        <w:rPr>
          <w:rFonts w:asciiTheme="minorHAnsi" w:hAnsiTheme="minorHAnsi" w:cstheme="minorHAnsi"/>
          <w:sz w:val="22"/>
          <w:szCs w:val="22"/>
        </w:rPr>
        <w:t xml:space="preserve"> </w:t>
      </w:r>
      <w:r w:rsidR="009B7D85" w:rsidRPr="009B7D85">
        <w:rPr>
          <w:rFonts w:asciiTheme="minorHAnsi" w:hAnsiTheme="minorHAnsi" w:cstheme="minorHAnsi"/>
          <w:sz w:val="22"/>
          <w:szCs w:val="22"/>
        </w:rPr>
        <w:t>r.</w:t>
      </w:r>
      <w:r w:rsidR="009B7D85">
        <w:rPr>
          <w:rFonts w:asciiTheme="minorHAnsi" w:hAnsiTheme="minorHAnsi" w:cstheme="minorHAnsi"/>
          <w:sz w:val="22"/>
          <w:szCs w:val="22"/>
        </w:rPr>
        <w:t xml:space="preserve"> </w:t>
      </w:r>
      <w:r w:rsidR="009B7D85" w:rsidRPr="009B7D85">
        <w:rPr>
          <w:rFonts w:asciiTheme="minorHAnsi" w:hAnsiTheme="minorHAnsi" w:cstheme="minorHAnsi"/>
          <w:sz w:val="22"/>
          <w:szCs w:val="22"/>
        </w:rPr>
        <w:t>o.</w:t>
      </w:r>
      <w:r w:rsidR="009B7D85">
        <w:rPr>
          <w:rFonts w:asciiTheme="minorHAnsi" w:hAnsiTheme="minorHAnsi" w:cstheme="minorHAnsi"/>
          <w:sz w:val="22"/>
          <w:szCs w:val="22"/>
        </w:rPr>
        <w:t>)</w:t>
      </w:r>
      <w:r w:rsidR="00C37209">
        <w:rPr>
          <w:rFonts w:asciiTheme="minorHAnsi" w:hAnsiTheme="minorHAnsi" w:cstheme="minorHAnsi"/>
          <w:sz w:val="22"/>
          <w:szCs w:val="22"/>
        </w:rPr>
        <w:t>.</w:t>
      </w:r>
    </w:p>
    <w:p w:rsidR="00BA40AE" w:rsidRDefault="00BA40AE" w:rsidP="00BA5E8D">
      <w:pPr>
        <w:jc w:val="both"/>
        <w:rPr>
          <w:rFonts w:asciiTheme="minorHAnsi" w:hAnsiTheme="minorHAnsi" w:cstheme="minorHAnsi"/>
          <w:sz w:val="22"/>
          <w:szCs w:val="22"/>
        </w:rPr>
      </w:pPr>
    </w:p>
    <w:p w:rsidR="0033420E" w:rsidRPr="000F2343" w:rsidRDefault="00756A19" w:rsidP="00BA5E8D">
      <w:pPr>
        <w:jc w:val="both"/>
        <w:rPr>
          <w:rFonts w:asciiTheme="minorHAnsi" w:hAnsiTheme="minorHAnsi" w:cstheme="minorHAnsi"/>
          <w:sz w:val="22"/>
          <w:szCs w:val="22"/>
        </w:rPr>
      </w:pPr>
      <w:r w:rsidRPr="000F2343">
        <w:rPr>
          <w:rFonts w:asciiTheme="minorHAnsi" w:hAnsiTheme="minorHAnsi" w:cstheme="minorHAnsi"/>
          <w:sz w:val="22"/>
          <w:szCs w:val="22"/>
        </w:rPr>
        <w:t xml:space="preserve">Z rozpočtu města byly poskytnuty </w:t>
      </w:r>
      <w:r w:rsidRPr="00133F3B">
        <w:rPr>
          <w:rFonts w:asciiTheme="minorHAnsi" w:hAnsiTheme="minorHAnsi" w:cstheme="minorHAnsi"/>
          <w:sz w:val="22"/>
          <w:szCs w:val="22"/>
          <w:u w:val="single"/>
        </w:rPr>
        <w:t>investiční transfery neziskovým a podobným organizacím</w:t>
      </w:r>
      <w:r w:rsidRPr="000F2343">
        <w:rPr>
          <w:rFonts w:asciiTheme="minorHAnsi" w:hAnsiTheme="minorHAnsi" w:cstheme="minorHAnsi"/>
          <w:sz w:val="22"/>
          <w:szCs w:val="22"/>
        </w:rPr>
        <w:t xml:space="preserve"> v celkové výši </w:t>
      </w:r>
      <w:r w:rsidR="0052427B">
        <w:rPr>
          <w:rFonts w:asciiTheme="minorHAnsi" w:hAnsiTheme="minorHAnsi" w:cstheme="minorHAnsi"/>
          <w:sz w:val="22"/>
          <w:szCs w:val="22"/>
        </w:rPr>
        <w:t>950 tis</w:t>
      </w:r>
      <w:r w:rsidRPr="000F2343">
        <w:rPr>
          <w:rFonts w:asciiTheme="minorHAnsi" w:hAnsiTheme="minorHAnsi" w:cstheme="minorHAnsi"/>
          <w:sz w:val="22"/>
          <w:szCs w:val="22"/>
        </w:rPr>
        <w:t xml:space="preserve">. Kč. Jedná se </w:t>
      </w:r>
      <w:r w:rsidR="00B16CBD" w:rsidRPr="000F2343">
        <w:rPr>
          <w:rFonts w:asciiTheme="minorHAnsi" w:hAnsiTheme="minorHAnsi" w:cstheme="minorHAnsi"/>
          <w:sz w:val="22"/>
          <w:szCs w:val="22"/>
        </w:rPr>
        <w:t>o tyto dotace:</w:t>
      </w:r>
      <w:r w:rsidR="00BA5E8D" w:rsidRPr="000F2343">
        <w:rPr>
          <w:rFonts w:asciiTheme="minorHAnsi" w:hAnsiTheme="minorHAnsi" w:cstheme="minorHAnsi"/>
          <w:sz w:val="22"/>
          <w:szCs w:val="22"/>
        </w:rPr>
        <w:tab/>
      </w:r>
    </w:p>
    <w:p w:rsidR="00B54D09" w:rsidRPr="00BA40AE" w:rsidRDefault="00BA40AE" w:rsidP="00BA40AE">
      <w:pPr>
        <w:pStyle w:val="Odstavecseseznamem"/>
        <w:numPr>
          <w:ilvl w:val="0"/>
          <w:numId w:val="33"/>
        </w:numPr>
        <w:rPr>
          <w:rFonts w:asciiTheme="minorHAnsi" w:hAnsiTheme="minorHAnsi" w:cstheme="minorHAnsi"/>
          <w:sz w:val="22"/>
          <w:szCs w:val="22"/>
        </w:rPr>
      </w:pPr>
      <w:r w:rsidRPr="00BA40AE">
        <w:rPr>
          <w:rFonts w:asciiTheme="minorHAnsi" w:hAnsiTheme="minorHAnsi" w:cstheme="minorHAnsi"/>
          <w:sz w:val="22"/>
          <w:szCs w:val="22"/>
        </w:rPr>
        <w:t>450</w:t>
      </w:r>
      <w:r w:rsidR="0033420E" w:rsidRPr="00BA40AE">
        <w:rPr>
          <w:rFonts w:asciiTheme="minorHAnsi" w:hAnsiTheme="minorHAnsi" w:cstheme="minorHAnsi"/>
          <w:sz w:val="22"/>
          <w:szCs w:val="22"/>
        </w:rPr>
        <w:t xml:space="preserve"> tis. Kč pro </w:t>
      </w:r>
      <w:r w:rsidRPr="00BA40AE">
        <w:rPr>
          <w:rFonts w:asciiTheme="minorHAnsi" w:hAnsiTheme="minorHAnsi" w:cstheme="minorHAnsi"/>
          <w:sz w:val="22"/>
          <w:szCs w:val="22"/>
        </w:rPr>
        <w:t xml:space="preserve">1. SK Prostějov z. s. </w:t>
      </w:r>
      <w:r w:rsidR="000F2343" w:rsidRPr="00BA40AE">
        <w:rPr>
          <w:rFonts w:asciiTheme="minorHAnsi" w:hAnsiTheme="minorHAnsi" w:cstheme="minorHAnsi"/>
          <w:sz w:val="22"/>
          <w:szCs w:val="22"/>
        </w:rPr>
        <w:t xml:space="preserve">– </w:t>
      </w:r>
      <w:r w:rsidRPr="00BA40AE">
        <w:rPr>
          <w:rFonts w:asciiTheme="minorHAnsi" w:hAnsiTheme="minorHAnsi" w:cstheme="minorHAnsi"/>
          <w:sz w:val="22"/>
          <w:szCs w:val="22"/>
        </w:rPr>
        <w:t>rekonstrukce zázemí pro diváky</w:t>
      </w:r>
      <w:r w:rsidR="000F2343" w:rsidRPr="00BA40AE">
        <w:rPr>
          <w:rFonts w:asciiTheme="minorHAnsi" w:hAnsiTheme="minorHAnsi" w:cstheme="minorHAnsi"/>
          <w:sz w:val="22"/>
          <w:szCs w:val="22"/>
        </w:rPr>
        <w:t>,</w:t>
      </w:r>
    </w:p>
    <w:p w:rsidR="000F2343" w:rsidRPr="00BA40AE" w:rsidRDefault="00BA40AE" w:rsidP="00BA40AE">
      <w:pPr>
        <w:pStyle w:val="Odstavecseseznamem"/>
        <w:numPr>
          <w:ilvl w:val="0"/>
          <w:numId w:val="33"/>
        </w:numPr>
        <w:rPr>
          <w:rFonts w:asciiTheme="minorHAnsi" w:hAnsiTheme="minorHAnsi" w:cstheme="minorHAnsi"/>
          <w:sz w:val="22"/>
          <w:szCs w:val="22"/>
        </w:rPr>
      </w:pPr>
      <w:r w:rsidRPr="00BA40AE">
        <w:rPr>
          <w:rFonts w:asciiTheme="minorHAnsi" w:hAnsiTheme="minorHAnsi" w:cstheme="minorHAnsi"/>
          <w:sz w:val="22"/>
          <w:szCs w:val="22"/>
        </w:rPr>
        <w:t>5</w:t>
      </w:r>
      <w:r w:rsidR="000F2343" w:rsidRPr="00BA40AE">
        <w:rPr>
          <w:rFonts w:asciiTheme="minorHAnsi" w:hAnsiTheme="minorHAnsi" w:cstheme="minorHAnsi"/>
          <w:sz w:val="22"/>
          <w:szCs w:val="22"/>
        </w:rPr>
        <w:t xml:space="preserve">00 tis. Kč pro </w:t>
      </w:r>
      <w:r w:rsidRPr="00BA40AE">
        <w:rPr>
          <w:rFonts w:asciiTheme="minorHAnsi" w:hAnsiTheme="minorHAnsi" w:cstheme="minorHAnsi"/>
          <w:sz w:val="22"/>
          <w:szCs w:val="22"/>
        </w:rPr>
        <w:t xml:space="preserve">Lukostřelba Prostějov, z. s. </w:t>
      </w:r>
      <w:r w:rsidR="000F2343" w:rsidRPr="00BA40AE">
        <w:rPr>
          <w:rFonts w:asciiTheme="minorHAnsi" w:hAnsiTheme="minorHAnsi" w:cstheme="minorHAnsi"/>
          <w:sz w:val="22"/>
          <w:szCs w:val="22"/>
        </w:rPr>
        <w:t xml:space="preserve">– </w:t>
      </w:r>
      <w:r w:rsidRPr="00BA40AE">
        <w:rPr>
          <w:rFonts w:asciiTheme="minorHAnsi" w:hAnsiTheme="minorHAnsi" w:cstheme="minorHAnsi"/>
          <w:sz w:val="22"/>
          <w:szCs w:val="22"/>
        </w:rPr>
        <w:t>dostavba zázemí k stávající hale na pozemku</w:t>
      </w:r>
      <w:r w:rsidR="00C37209">
        <w:rPr>
          <w:rFonts w:asciiTheme="minorHAnsi" w:hAnsiTheme="minorHAnsi" w:cstheme="minorHAnsi"/>
          <w:sz w:val="22"/>
          <w:szCs w:val="22"/>
        </w:rPr>
        <w:t>.</w:t>
      </w:r>
    </w:p>
    <w:p w:rsidR="000F2343" w:rsidRPr="0052427B" w:rsidRDefault="000F2343" w:rsidP="00756A19">
      <w:pPr>
        <w:jc w:val="both"/>
        <w:rPr>
          <w:rFonts w:asciiTheme="minorHAnsi" w:hAnsiTheme="minorHAnsi" w:cstheme="minorHAnsi"/>
          <w:color w:val="FF0000"/>
          <w:sz w:val="22"/>
          <w:szCs w:val="22"/>
        </w:rPr>
      </w:pPr>
    </w:p>
    <w:p w:rsidR="00133F3B" w:rsidRDefault="00133F3B" w:rsidP="00756A19">
      <w:pPr>
        <w:jc w:val="both"/>
        <w:rPr>
          <w:rFonts w:asciiTheme="minorHAnsi" w:hAnsiTheme="minorHAnsi" w:cstheme="minorHAnsi"/>
          <w:sz w:val="22"/>
          <w:szCs w:val="22"/>
        </w:rPr>
      </w:pPr>
      <w:r w:rsidRPr="009B7D85">
        <w:rPr>
          <w:rFonts w:asciiTheme="minorHAnsi" w:hAnsiTheme="minorHAnsi" w:cstheme="minorHAnsi"/>
          <w:sz w:val="22"/>
          <w:szCs w:val="22"/>
          <w:u w:val="single"/>
        </w:rPr>
        <w:t xml:space="preserve">Investiční transfery </w:t>
      </w:r>
      <w:r w:rsidR="009758AB">
        <w:rPr>
          <w:rFonts w:asciiTheme="minorHAnsi" w:hAnsiTheme="minorHAnsi" w:cstheme="minorHAnsi"/>
          <w:sz w:val="22"/>
          <w:szCs w:val="22"/>
          <w:u w:val="single"/>
        </w:rPr>
        <w:t>příspěvkovým a podobným organizacím</w:t>
      </w:r>
      <w:r w:rsidRPr="009B7D85">
        <w:rPr>
          <w:rFonts w:asciiTheme="minorHAnsi" w:hAnsiTheme="minorHAnsi" w:cstheme="minorHAnsi"/>
          <w:sz w:val="22"/>
          <w:szCs w:val="22"/>
        </w:rPr>
        <w:t xml:space="preserve">: </w:t>
      </w:r>
      <w:r w:rsidR="009758AB">
        <w:rPr>
          <w:rFonts w:asciiTheme="minorHAnsi" w:hAnsiTheme="minorHAnsi" w:cstheme="minorHAnsi"/>
          <w:sz w:val="22"/>
          <w:szCs w:val="22"/>
        </w:rPr>
        <w:t>5,41</w:t>
      </w:r>
      <w:r w:rsidR="009B7D85">
        <w:rPr>
          <w:rFonts w:asciiTheme="minorHAnsi" w:hAnsiTheme="minorHAnsi" w:cstheme="minorHAnsi"/>
          <w:sz w:val="22"/>
          <w:szCs w:val="22"/>
        </w:rPr>
        <w:t xml:space="preserve"> mil. Kč. Jednalo se o tyto:</w:t>
      </w:r>
    </w:p>
    <w:p w:rsidR="009B7D85" w:rsidRDefault="009B7D85" w:rsidP="009B7D85">
      <w:pPr>
        <w:pStyle w:val="Odstavecseseznamem"/>
        <w:numPr>
          <w:ilvl w:val="0"/>
          <w:numId w:val="47"/>
        </w:numPr>
        <w:rPr>
          <w:rFonts w:asciiTheme="minorHAnsi" w:hAnsiTheme="minorHAnsi" w:cstheme="minorHAnsi"/>
          <w:sz w:val="22"/>
          <w:szCs w:val="22"/>
        </w:rPr>
      </w:pPr>
      <w:r>
        <w:rPr>
          <w:rFonts w:asciiTheme="minorHAnsi" w:hAnsiTheme="minorHAnsi" w:cstheme="minorHAnsi"/>
          <w:sz w:val="22"/>
          <w:szCs w:val="22"/>
        </w:rPr>
        <w:t>1,21 mil. Kč na nákup interaktivních tabulí pro mateřské školy,</w:t>
      </w:r>
    </w:p>
    <w:p w:rsidR="009B7D85" w:rsidRDefault="009B7D85" w:rsidP="009B7D85">
      <w:pPr>
        <w:pStyle w:val="Odstavecseseznamem"/>
        <w:numPr>
          <w:ilvl w:val="0"/>
          <w:numId w:val="47"/>
        </w:numPr>
        <w:rPr>
          <w:rFonts w:asciiTheme="minorHAnsi" w:hAnsiTheme="minorHAnsi" w:cstheme="minorHAnsi"/>
          <w:sz w:val="22"/>
          <w:szCs w:val="22"/>
        </w:rPr>
      </w:pPr>
      <w:r>
        <w:rPr>
          <w:rFonts w:asciiTheme="minorHAnsi" w:hAnsiTheme="minorHAnsi" w:cstheme="minorHAnsi"/>
          <w:sz w:val="22"/>
          <w:szCs w:val="22"/>
        </w:rPr>
        <w:t>1,5 mil. Kč na externí horolezeckou stěnu (Sportcentrum DDM),</w:t>
      </w:r>
    </w:p>
    <w:p w:rsidR="009B7D85" w:rsidRDefault="009B7D85" w:rsidP="009B7D85">
      <w:pPr>
        <w:pStyle w:val="Odstavecseseznamem"/>
        <w:numPr>
          <w:ilvl w:val="0"/>
          <w:numId w:val="47"/>
        </w:numPr>
        <w:rPr>
          <w:rFonts w:asciiTheme="minorHAnsi" w:hAnsiTheme="minorHAnsi" w:cstheme="minorHAnsi"/>
          <w:sz w:val="22"/>
          <w:szCs w:val="22"/>
        </w:rPr>
      </w:pPr>
      <w:r>
        <w:rPr>
          <w:rFonts w:asciiTheme="minorHAnsi" w:hAnsiTheme="minorHAnsi" w:cstheme="minorHAnsi"/>
          <w:sz w:val="22"/>
          <w:szCs w:val="22"/>
        </w:rPr>
        <w:t>520 tis. Kč na rozšíření toalet spojených s dokončením pumptrackového hřiště (Sportcentrum DDM),</w:t>
      </w:r>
    </w:p>
    <w:p w:rsidR="00013351" w:rsidRDefault="00013351" w:rsidP="000552BC">
      <w:pPr>
        <w:pStyle w:val="Odstavecseseznamem"/>
        <w:numPr>
          <w:ilvl w:val="0"/>
          <w:numId w:val="47"/>
        </w:numPr>
        <w:rPr>
          <w:rFonts w:asciiTheme="minorHAnsi" w:hAnsiTheme="minorHAnsi" w:cstheme="minorHAnsi"/>
          <w:sz w:val="22"/>
          <w:szCs w:val="22"/>
        </w:rPr>
      </w:pPr>
      <w:r w:rsidRPr="00013351">
        <w:rPr>
          <w:rFonts w:asciiTheme="minorHAnsi" w:hAnsiTheme="minorHAnsi" w:cstheme="minorHAnsi"/>
          <w:sz w:val="22"/>
          <w:szCs w:val="22"/>
        </w:rPr>
        <w:t>484 tis. Kč na přebudování šatny na bufet (Sportcentrum DDM),</w:t>
      </w:r>
    </w:p>
    <w:p w:rsidR="00013351" w:rsidRPr="00013351" w:rsidRDefault="00013351" w:rsidP="00013351">
      <w:pPr>
        <w:pStyle w:val="Odstavecseseznamem"/>
        <w:numPr>
          <w:ilvl w:val="0"/>
          <w:numId w:val="47"/>
        </w:numPr>
        <w:rPr>
          <w:rFonts w:asciiTheme="minorHAnsi" w:hAnsiTheme="minorHAnsi" w:cstheme="minorHAnsi"/>
          <w:sz w:val="22"/>
          <w:szCs w:val="22"/>
        </w:rPr>
      </w:pPr>
      <w:r>
        <w:rPr>
          <w:rFonts w:asciiTheme="minorHAnsi" w:hAnsiTheme="minorHAnsi" w:cstheme="minorHAnsi"/>
          <w:sz w:val="22"/>
          <w:szCs w:val="22"/>
        </w:rPr>
        <w:t xml:space="preserve">130,78 </w:t>
      </w:r>
      <w:r w:rsidR="00C37209">
        <w:rPr>
          <w:rFonts w:asciiTheme="minorHAnsi" w:hAnsiTheme="minorHAnsi" w:cstheme="minorHAnsi"/>
          <w:sz w:val="22"/>
          <w:szCs w:val="22"/>
        </w:rPr>
        <w:t xml:space="preserve">tis. </w:t>
      </w:r>
      <w:r>
        <w:rPr>
          <w:rFonts w:asciiTheme="minorHAnsi" w:hAnsiTheme="minorHAnsi" w:cstheme="minorHAnsi"/>
          <w:sz w:val="22"/>
          <w:szCs w:val="22"/>
        </w:rPr>
        <w:t>Kč na vybavení nábytkem a opravu podlah šaten zimního stadionu (Sportcentrum DDM),</w:t>
      </w:r>
    </w:p>
    <w:p w:rsidR="00013351" w:rsidRPr="00013351" w:rsidRDefault="00013351" w:rsidP="000552BC">
      <w:pPr>
        <w:pStyle w:val="Odstavecseseznamem"/>
        <w:numPr>
          <w:ilvl w:val="0"/>
          <w:numId w:val="47"/>
        </w:numPr>
        <w:rPr>
          <w:rFonts w:asciiTheme="minorHAnsi" w:hAnsiTheme="minorHAnsi" w:cstheme="minorHAnsi"/>
          <w:sz w:val="22"/>
          <w:szCs w:val="22"/>
        </w:rPr>
      </w:pPr>
      <w:r w:rsidRPr="00013351">
        <w:rPr>
          <w:rFonts w:asciiTheme="minorHAnsi" w:hAnsiTheme="minorHAnsi" w:cstheme="minorHAnsi"/>
          <w:sz w:val="22"/>
          <w:szCs w:val="22"/>
        </w:rPr>
        <w:t>444 tis. Kč na požární schodiště (MŠ Moravská),</w:t>
      </w:r>
    </w:p>
    <w:p w:rsidR="00013351" w:rsidRDefault="00013351" w:rsidP="009B7D85">
      <w:pPr>
        <w:pStyle w:val="Odstavecseseznamem"/>
        <w:numPr>
          <w:ilvl w:val="0"/>
          <w:numId w:val="47"/>
        </w:numPr>
        <w:rPr>
          <w:rFonts w:asciiTheme="minorHAnsi" w:hAnsiTheme="minorHAnsi" w:cstheme="minorHAnsi"/>
          <w:sz w:val="22"/>
          <w:szCs w:val="22"/>
        </w:rPr>
      </w:pPr>
      <w:r>
        <w:rPr>
          <w:rFonts w:asciiTheme="minorHAnsi" w:hAnsiTheme="minorHAnsi" w:cstheme="minorHAnsi"/>
          <w:sz w:val="22"/>
          <w:szCs w:val="22"/>
        </w:rPr>
        <w:t>104 tis. Kč na pořízení dvou myček nádobí pro výdejny stravy (ZŠ a MŠ Jana Železného),</w:t>
      </w:r>
    </w:p>
    <w:p w:rsidR="009758AB" w:rsidRDefault="009758AB" w:rsidP="009B7D85">
      <w:pPr>
        <w:pStyle w:val="Odstavecseseznamem"/>
        <w:numPr>
          <w:ilvl w:val="0"/>
          <w:numId w:val="47"/>
        </w:numPr>
        <w:rPr>
          <w:rFonts w:asciiTheme="minorHAnsi" w:hAnsiTheme="minorHAnsi" w:cstheme="minorHAnsi"/>
          <w:sz w:val="22"/>
          <w:szCs w:val="22"/>
        </w:rPr>
      </w:pPr>
      <w:r>
        <w:rPr>
          <w:rFonts w:asciiTheme="minorHAnsi" w:hAnsiTheme="minorHAnsi" w:cstheme="minorHAnsi"/>
          <w:sz w:val="22"/>
          <w:szCs w:val="22"/>
        </w:rPr>
        <w:t>100,5 tis. Kč na výstavbu pergoly s bezbariérovým pose</w:t>
      </w:r>
      <w:r w:rsidR="00C37209">
        <w:rPr>
          <w:rFonts w:asciiTheme="minorHAnsi" w:hAnsiTheme="minorHAnsi" w:cstheme="minorHAnsi"/>
          <w:sz w:val="22"/>
          <w:szCs w:val="22"/>
        </w:rPr>
        <w:t>zením (Domov seniorů Prostějov),</w:t>
      </w:r>
    </w:p>
    <w:p w:rsidR="009758AB" w:rsidRDefault="009758AB" w:rsidP="009B7D85">
      <w:pPr>
        <w:pStyle w:val="Odstavecseseznamem"/>
        <w:numPr>
          <w:ilvl w:val="0"/>
          <w:numId w:val="47"/>
        </w:numPr>
        <w:rPr>
          <w:rFonts w:asciiTheme="minorHAnsi" w:hAnsiTheme="minorHAnsi" w:cstheme="minorHAnsi"/>
          <w:sz w:val="22"/>
          <w:szCs w:val="22"/>
        </w:rPr>
      </w:pPr>
      <w:r>
        <w:rPr>
          <w:rFonts w:asciiTheme="minorHAnsi" w:hAnsiTheme="minorHAnsi" w:cstheme="minorHAnsi"/>
          <w:sz w:val="22"/>
          <w:szCs w:val="22"/>
        </w:rPr>
        <w:t>800 tis. Kč na přebudování sekretariátu školy (ZŠ Dr. Horáka),</w:t>
      </w:r>
    </w:p>
    <w:p w:rsidR="009758AB" w:rsidRDefault="009758AB" w:rsidP="009758AB">
      <w:pPr>
        <w:pStyle w:val="Odstavecseseznamem"/>
        <w:numPr>
          <w:ilvl w:val="0"/>
          <w:numId w:val="47"/>
        </w:numPr>
        <w:rPr>
          <w:rFonts w:asciiTheme="minorHAnsi" w:hAnsiTheme="minorHAnsi" w:cstheme="minorHAnsi"/>
          <w:sz w:val="22"/>
          <w:szCs w:val="22"/>
        </w:rPr>
      </w:pPr>
      <w:r>
        <w:rPr>
          <w:rFonts w:asciiTheme="minorHAnsi" w:hAnsiTheme="minorHAnsi" w:cstheme="minorHAnsi"/>
          <w:sz w:val="22"/>
          <w:szCs w:val="22"/>
        </w:rPr>
        <w:lastRenderedPageBreak/>
        <w:t>118,19 tis. Kč na m</w:t>
      </w:r>
      <w:r w:rsidRPr="009758AB">
        <w:rPr>
          <w:rFonts w:asciiTheme="minorHAnsi" w:hAnsiTheme="minorHAnsi" w:cstheme="minorHAnsi"/>
          <w:sz w:val="22"/>
          <w:szCs w:val="22"/>
        </w:rPr>
        <w:t>ěřící a regulační systém na úpravy vody v</w:t>
      </w:r>
      <w:r>
        <w:rPr>
          <w:rFonts w:asciiTheme="minorHAnsi" w:hAnsiTheme="minorHAnsi" w:cstheme="minorHAnsi"/>
          <w:sz w:val="22"/>
          <w:szCs w:val="22"/>
        </w:rPr>
        <w:t> </w:t>
      </w:r>
      <w:r w:rsidRPr="009758AB">
        <w:rPr>
          <w:rFonts w:asciiTheme="minorHAnsi" w:hAnsiTheme="minorHAnsi" w:cstheme="minorHAnsi"/>
          <w:sz w:val="22"/>
          <w:szCs w:val="22"/>
        </w:rPr>
        <w:t>bazénu</w:t>
      </w:r>
      <w:r>
        <w:rPr>
          <w:rFonts w:asciiTheme="minorHAnsi" w:hAnsiTheme="minorHAnsi" w:cstheme="minorHAnsi"/>
          <w:sz w:val="22"/>
          <w:szCs w:val="22"/>
        </w:rPr>
        <w:t xml:space="preserve"> (ZŠ Dr. Horáka).</w:t>
      </w:r>
    </w:p>
    <w:p w:rsidR="009758AB" w:rsidRDefault="009758AB" w:rsidP="009758AB">
      <w:pPr>
        <w:rPr>
          <w:rFonts w:asciiTheme="minorHAnsi" w:hAnsiTheme="minorHAnsi" w:cstheme="minorHAnsi"/>
          <w:sz w:val="22"/>
          <w:szCs w:val="22"/>
        </w:rPr>
      </w:pPr>
    </w:p>
    <w:p w:rsidR="004B4E11" w:rsidRDefault="004B4E11" w:rsidP="0024764D">
      <w:pPr>
        <w:pStyle w:val="Nadpis3"/>
        <w:rPr>
          <w:b w:val="0"/>
        </w:rPr>
      </w:pPr>
      <w:r w:rsidRPr="00133F3B">
        <w:rPr>
          <w:b w:val="0"/>
        </w:rPr>
        <w:t>Srovnání investičních transferů v letech 20</w:t>
      </w:r>
      <w:r w:rsidR="0052427B">
        <w:rPr>
          <w:b w:val="0"/>
        </w:rPr>
        <w:t>20</w:t>
      </w:r>
      <w:r w:rsidR="004D57B1" w:rsidRPr="00133F3B">
        <w:rPr>
          <w:b w:val="0"/>
        </w:rPr>
        <w:t xml:space="preserve"> </w:t>
      </w:r>
      <w:r w:rsidRPr="00133F3B">
        <w:rPr>
          <w:b w:val="0"/>
        </w:rPr>
        <w:t>-</w:t>
      </w:r>
      <w:r w:rsidR="004D57B1" w:rsidRPr="00133F3B">
        <w:rPr>
          <w:b w:val="0"/>
        </w:rPr>
        <w:t xml:space="preserve"> </w:t>
      </w:r>
      <w:r w:rsidR="00D0645E" w:rsidRPr="00133F3B">
        <w:rPr>
          <w:b w:val="0"/>
        </w:rPr>
        <w:t>202</w:t>
      </w:r>
      <w:r w:rsidR="0052427B">
        <w:rPr>
          <w:b w:val="0"/>
        </w:rPr>
        <w:t>2</w:t>
      </w:r>
      <w:r w:rsidRPr="00133F3B">
        <w:rPr>
          <w:b w:val="0"/>
        </w:rPr>
        <w:t xml:space="preserve"> po konsolidaci v</w:t>
      </w:r>
      <w:r w:rsidR="0052427B">
        <w:rPr>
          <w:b w:val="0"/>
        </w:rPr>
        <w:t> </w:t>
      </w:r>
      <w:r w:rsidRPr="00133F3B">
        <w:rPr>
          <w:b w:val="0"/>
        </w:rPr>
        <w:t>Kč</w:t>
      </w:r>
    </w:p>
    <w:tbl>
      <w:tblPr>
        <w:tblW w:w="9493" w:type="dxa"/>
        <w:tblCellMar>
          <w:left w:w="70" w:type="dxa"/>
          <w:right w:w="70" w:type="dxa"/>
        </w:tblCellMar>
        <w:tblLook w:val="04A0" w:firstRow="1" w:lastRow="0" w:firstColumn="1" w:lastColumn="0" w:noHBand="0" w:noVBand="1"/>
      </w:tblPr>
      <w:tblGrid>
        <w:gridCol w:w="384"/>
        <w:gridCol w:w="465"/>
        <w:gridCol w:w="4675"/>
        <w:gridCol w:w="1344"/>
        <w:gridCol w:w="1349"/>
        <w:gridCol w:w="1276"/>
      </w:tblGrid>
      <w:tr w:rsidR="0052427B" w:rsidTr="0052427B">
        <w:trPr>
          <w:trHeight w:val="300"/>
        </w:trPr>
        <w:tc>
          <w:tcPr>
            <w:tcW w:w="5524" w:type="dxa"/>
            <w:gridSpan w:val="3"/>
            <w:tcBorders>
              <w:top w:val="single" w:sz="4" w:space="0" w:color="auto"/>
              <w:left w:val="single" w:sz="4" w:space="0" w:color="auto"/>
              <w:bottom w:val="single" w:sz="4" w:space="0" w:color="auto"/>
              <w:right w:val="single" w:sz="4" w:space="0" w:color="000000"/>
            </w:tcBorders>
            <w:shd w:val="clear" w:color="D6A100" w:fill="C6E0B4"/>
            <w:noWrap/>
            <w:vAlign w:val="center"/>
            <w:hideMark/>
          </w:tcPr>
          <w:p w:rsidR="0052427B" w:rsidRDefault="0052427B">
            <w:pPr>
              <w:jc w:val="center"/>
              <w:rPr>
                <w:rFonts w:ascii="Calibri" w:hAnsi="Calibri" w:cs="Calibri"/>
                <w:color w:val="000000"/>
                <w:sz w:val="16"/>
                <w:szCs w:val="16"/>
              </w:rPr>
            </w:pPr>
            <w:r>
              <w:rPr>
                <w:rFonts w:ascii="Calibri" w:hAnsi="Calibri" w:cs="Calibri"/>
                <w:color w:val="000000"/>
                <w:sz w:val="16"/>
                <w:szCs w:val="16"/>
              </w:rPr>
              <w:t> </w:t>
            </w:r>
          </w:p>
        </w:tc>
        <w:tc>
          <w:tcPr>
            <w:tcW w:w="1344" w:type="dxa"/>
            <w:tcBorders>
              <w:top w:val="single" w:sz="4" w:space="0" w:color="auto"/>
              <w:left w:val="nil"/>
              <w:bottom w:val="single" w:sz="4" w:space="0" w:color="auto"/>
              <w:right w:val="single" w:sz="4" w:space="0" w:color="auto"/>
            </w:tcBorders>
            <w:shd w:val="clear" w:color="D6A100" w:fill="C6E0B4"/>
            <w:noWrap/>
            <w:vAlign w:val="center"/>
            <w:hideMark/>
          </w:tcPr>
          <w:p w:rsidR="0052427B" w:rsidRDefault="0052427B">
            <w:pPr>
              <w:jc w:val="center"/>
              <w:rPr>
                <w:rFonts w:ascii="Calibri" w:hAnsi="Calibri" w:cs="Calibri"/>
                <w:color w:val="000000"/>
                <w:sz w:val="16"/>
                <w:szCs w:val="16"/>
              </w:rPr>
            </w:pPr>
            <w:r>
              <w:rPr>
                <w:rFonts w:ascii="Calibri" w:hAnsi="Calibri" w:cs="Calibri"/>
                <w:color w:val="000000"/>
                <w:sz w:val="16"/>
                <w:szCs w:val="16"/>
              </w:rPr>
              <w:t>2020</w:t>
            </w:r>
          </w:p>
        </w:tc>
        <w:tc>
          <w:tcPr>
            <w:tcW w:w="1349" w:type="dxa"/>
            <w:tcBorders>
              <w:top w:val="single" w:sz="4" w:space="0" w:color="auto"/>
              <w:left w:val="nil"/>
              <w:bottom w:val="single" w:sz="4" w:space="0" w:color="auto"/>
              <w:right w:val="single" w:sz="4" w:space="0" w:color="auto"/>
            </w:tcBorders>
            <w:shd w:val="clear" w:color="D6A100" w:fill="C6E0B4"/>
            <w:noWrap/>
            <w:vAlign w:val="center"/>
            <w:hideMark/>
          </w:tcPr>
          <w:p w:rsidR="0052427B" w:rsidRDefault="0052427B">
            <w:pPr>
              <w:jc w:val="center"/>
              <w:rPr>
                <w:rFonts w:ascii="Calibri" w:hAnsi="Calibri" w:cs="Calibri"/>
                <w:color w:val="000000"/>
                <w:sz w:val="16"/>
                <w:szCs w:val="16"/>
              </w:rPr>
            </w:pPr>
            <w:r>
              <w:rPr>
                <w:rFonts w:ascii="Calibri" w:hAnsi="Calibri" w:cs="Calibri"/>
                <w:color w:val="000000"/>
                <w:sz w:val="16"/>
                <w:szCs w:val="16"/>
              </w:rPr>
              <w:t>2021</w:t>
            </w:r>
          </w:p>
        </w:tc>
        <w:tc>
          <w:tcPr>
            <w:tcW w:w="1276" w:type="dxa"/>
            <w:tcBorders>
              <w:top w:val="single" w:sz="4" w:space="0" w:color="auto"/>
              <w:left w:val="nil"/>
              <w:bottom w:val="single" w:sz="4" w:space="0" w:color="auto"/>
              <w:right w:val="single" w:sz="4" w:space="0" w:color="auto"/>
            </w:tcBorders>
            <w:shd w:val="clear" w:color="D6A100" w:fill="C6E0B4"/>
            <w:noWrap/>
            <w:vAlign w:val="center"/>
            <w:hideMark/>
          </w:tcPr>
          <w:p w:rsidR="0052427B" w:rsidRDefault="0052427B">
            <w:pPr>
              <w:jc w:val="center"/>
              <w:rPr>
                <w:rFonts w:ascii="Calibri" w:hAnsi="Calibri" w:cs="Calibri"/>
                <w:color w:val="000000"/>
                <w:sz w:val="16"/>
                <w:szCs w:val="16"/>
              </w:rPr>
            </w:pPr>
            <w:r>
              <w:rPr>
                <w:rFonts w:ascii="Calibri" w:hAnsi="Calibri" w:cs="Calibri"/>
                <w:color w:val="000000"/>
                <w:sz w:val="16"/>
                <w:szCs w:val="16"/>
              </w:rPr>
              <w:t>2022</w:t>
            </w:r>
          </w:p>
        </w:tc>
      </w:tr>
      <w:tr w:rsidR="0052427B" w:rsidTr="0052427B">
        <w:trPr>
          <w:trHeight w:val="300"/>
        </w:trPr>
        <w:tc>
          <w:tcPr>
            <w:tcW w:w="5524" w:type="dxa"/>
            <w:gridSpan w:val="3"/>
            <w:tcBorders>
              <w:top w:val="single" w:sz="4" w:space="0" w:color="auto"/>
              <w:left w:val="single" w:sz="4" w:space="0" w:color="auto"/>
              <w:bottom w:val="single" w:sz="4" w:space="0" w:color="auto"/>
              <w:right w:val="single" w:sz="4" w:space="0" w:color="000000"/>
            </w:tcBorders>
            <w:shd w:val="clear" w:color="000000" w:fill="A9D08E"/>
            <w:noWrap/>
            <w:vAlign w:val="center"/>
            <w:hideMark/>
          </w:tcPr>
          <w:p w:rsidR="0052427B" w:rsidRDefault="0052427B">
            <w:pPr>
              <w:rPr>
                <w:rFonts w:ascii="Calibri" w:hAnsi="Calibri" w:cs="Calibri"/>
                <w:b/>
                <w:bCs/>
                <w:color w:val="000000"/>
                <w:sz w:val="16"/>
                <w:szCs w:val="16"/>
              </w:rPr>
            </w:pPr>
            <w:r>
              <w:rPr>
                <w:rFonts w:ascii="Calibri" w:hAnsi="Calibri" w:cs="Calibri"/>
                <w:b/>
                <w:bCs/>
                <w:color w:val="000000"/>
                <w:sz w:val="16"/>
                <w:szCs w:val="16"/>
              </w:rPr>
              <w:t>Investiční transfery</w:t>
            </w:r>
          </w:p>
        </w:tc>
        <w:tc>
          <w:tcPr>
            <w:tcW w:w="1344" w:type="dxa"/>
            <w:tcBorders>
              <w:top w:val="nil"/>
              <w:left w:val="nil"/>
              <w:bottom w:val="single" w:sz="4" w:space="0" w:color="auto"/>
              <w:right w:val="single" w:sz="4" w:space="0" w:color="auto"/>
            </w:tcBorders>
            <w:shd w:val="clear" w:color="000000" w:fill="A9D08E"/>
            <w:noWrap/>
            <w:vAlign w:val="center"/>
            <w:hideMark/>
          </w:tcPr>
          <w:p w:rsidR="0052427B" w:rsidRDefault="0052427B">
            <w:pPr>
              <w:jc w:val="right"/>
              <w:rPr>
                <w:rFonts w:ascii="Calibri" w:hAnsi="Calibri" w:cs="Calibri"/>
                <w:b/>
                <w:bCs/>
                <w:color w:val="000000"/>
                <w:sz w:val="16"/>
                <w:szCs w:val="16"/>
              </w:rPr>
            </w:pPr>
            <w:r>
              <w:rPr>
                <w:rFonts w:ascii="Calibri" w:hAnsi="Calibri" w:cs="Calibri"/>
                <w:b/>
                <w:bCs/>
                <w:color w:val="000000"/>
                <w:sz w:val="16"/>
                <w:szCs w:val="16"/>
              </w:rPr>
              <w:t>38 640 328,00</w:t>
            </w:r>
          </w:p>
        </w:tc>
        <w:tc>
          <w:tcPr>
            <w:tcW w:w="1349" w:type="dxa"/>
            <w:tcBorders>
              <w:top w:val="nil"/>
              <w:left w:val="nil"/>
              <w:bottom w:val="single" w:sz="4" w:space="0" w:color="auto"/>
              <w:right w:val="single" w:sz="4" w:space="0" w:color="auto"/>
            </w:tcBorders>
            <w:shd w:val="clear" w:color="000000" w:fill="A9D08E"/>
            <w:noWrap/>
            <w:vAlign w:val="center"/>
            <w:hideMark/>
          </w:tcPr>
          <w:p w:rsidR="0052427B" w:rsidRDefault="0052427B">
            <w:pPr>
              <w:jc w:val="right"/>
              <w:rPr>
                <w:rFonts w:ascii="Calibri" w:hAnsi="Calibri" w:cs="Calibri"/>
                <w:b/>
                <w:bCs/>
                <w:color w:val="000000"/>
                <w:sz w:val="16"/>
                <w:szCs w:val="16"/>
              </w:rPr>
            </w:pPr>
            <w:r>
              <w:rPr>
                <w:rFonts w:ascii="Calibri" w:hAnsi="Calibri" w:cs="Calibri"/>
                <w:b/>
                <w:bCs/>
                <w:color w:val="000000"/>
                <w:sz w:val="16"/>
                <w:szCs w:val="16"/>
              </w:rPr>
              <w:t>29 245 523,79</w:t>
            </w:r>
          </w:p>
        </w:tc>
        <w:tc>
          <w:tcPr>
            <w:tcW w:w="1276" w:type="dxa"/>
            <w:tcBorders>
              <w:top w:val="nil"/>
              <w:left w:val="nil"/>
              <w:bottom w:val="single" w:sz="4" w:space="0" w:color="auto"/>
              <w:right w:val="single" w:sz="4" w:space="0" w:color="auto"/>
            </w:tcBorders>
            <w:shd w:val="clear" w:color="000000" w:fill="A9D08E"/>
            <w:noWrap/>
            <w:vAlign w:val="center"/>
            <w:hideMark/>
          </w:tcPr>
          <w:p w:rsidR="0052427B" w:rsidRDefault="0052427B">
            <w:pPr>
              <w:jc w:val="right"/>
              <w:rPr>
                <w:rFonts w:ascii="Calibri" w:hAnsi="Calibri" w:cs="Calibri"/>
                <w:b/>
                <w:bCs/>
                <w:color w:val="000000"/>
                <w:sz w:val="16"/>
                <w:szCs w:val="16"/>
              </w:rPr>
            </w:pPr>
            <w:r>
              <w:rPr>
                <w:rFonts w:ascii="Calibri" w:hAnsi="Calibri" w:cs="Calibri"/>
                <w:b/>
                <w:bCs/>
                <w:color w:val="000000"/>
                <w:sz w:val="16"/>
                <w:szCs w:val="16"/>
              </w:rPr>
              <w:t>9 351 377,80</w:t>
            </w:r>
          </w:p>
        </w:tc>
      </w:tr>
      <w:tr w:rsidR="0052427B" w:rsidTr="0052427B">
        <w:trPr>
          <w:trHeight w:val="300"/>
        </w:trPr>
        <w:tc>
          <w:tcPr>
            <w:tcW w:w="384" w:type="dxa"/>
            <w:tcBorders>
              <w:top w:val="nil"/>
              <w:left w:val="single" w:sz="4" w:space="0" w:color="auto"/>
              <w:bottom w:val="single" w:sz="4" w:space="0" w:color="auto"/>
              <w:right w:val="single" w:sz="4" w:space="0" w:color="auto"/>
            </w:tcBorders>
            <w:shd w:val="clear" w:color="FFF2CC" w:fill="E2EFDA"/>
            <w:noWrap/>
            <w:vAlign w:val="center"/>
            <w:hideMark/>
          </w:tcPr>
          <w:p w:rsidR="0052427B" w:rsidRDefault="0052427B">
            <w:pPr>
              <w:jc w:val="right"/>
              <w:rPr>
                <w:rFonts w:ascii="Calibri" w:hAnsi="Calibri" w:cs="Calibri"/>
                <w:color w:val="000000"/>
                <w:sz w:val="16"/>
                <w:szCs w:val="16"/>
              </w:rPr>
            </w:pPr>
            <w:r>
              <w:rPr>
                <w:rFonts w:ascii="Calibri" w:hAnsi="Calibri" w:cs="Calibri"/>
                <w:color w:val="000000"/>
                <w:sz w:val="16"/>
                <w:szCs w:val="16"/>
              </w:rPr>
              <w:t>631</w:t>
            </w:r>
          </w:p>
        </w:tc>
        <w:tc>
          <w:tcPr>
            <w:tcW w:w="5140" w:type="dxa"/>
            <w:gridSpan w:val="2"/>
            <w:tcBorders>
              <w:top w:val="single" w:sz="4" w:space="0" w:color="auto"/>
              <w:left w:val="nil"/>
              <w:bottom w:val="single" w:sz="4" w:space="0" w:color="auto"/>
              <w:right w:val="single" w:sz="4" w:space="0" w:color="000000"/>
            </w:tcBorders>
            <w:shd w:val="clear" w:color="FFF2CC" w:fill="E2EFDA"/>
            <w:noWrap/>
            <w:vAlign w:val="center"/>
            <w:hideMark/>
          </w:tcPr>
          <w:p w:rsidR="0052427B" w:rsidRDefault="0052427B">
            <w:pPr>
              <w:rPr>
                <w:rFonts w:ascii="Calibri" w:hAnsi="Calibri" w:cs="Calibri"/>
                <w:color w:val="000000"/>
                <w:sz w:val="16"/>
                <w:szCs w:val="16"/>
              </w:rPr>
            </w:pPr>
            <w:r>
              <w:rPr>
                <w:rFonts w:ascii="Calibri" w:hAnsi="Calibri" w:cs="Calibri"/>
                <w:color w:val="000000"/>
                <w:sz w:val="16"/>
                <w:szCs w:val="16"/>
              </w:rPr>
              <w:t>Investiční transfery podnikatelům</w:t>
            </w:r>
          </w:p>
        </w:tc>
        <w:tc>
          <w:tcPr>
            <w:tcW w:w="1344" w:type="dxa"/>
            <w:tcBorders>
              <w:top w:val="nil"/>
              <w:left w:val="nil"/>
              <w:bottom w:val="single" w:sz="4" w:space="0" w:color="auto"/>
              <w:right w:val="single" w:sz="4" w:space="0" w:color="auto"/>
            </w:tcBorders>
            <w:shd w:val="clear" w:color="FFF2CC" w:fill="E2EFDA"/>
            <w:noWrap/>
            <w:vAlign w:val="center"/>
            <w:hideMark/>
          </w:tcPr>
          <w:p w:rsidR="0052427B" w:rsidRDefault="0052427B">
            <w:pPr>
              <w:jc w:val="right"/>
              <w:rPr>
                <w:rFonts w:ascii="Calibri" w:hAnsi="Calibri" w:cs="Calibri"/>
                <w:color w:val="000000"/>
                <w:sz w:val="16"/>
                <w:szCs w:val="16"/>
              </w:rPr>
            </w:pPr>
            <w:r>
              <w:rPr>
                <w:rFonts w:ascii="Calibri" w:hAnsi="Calibri" w:cs="Calibri"/>
                <w:color w:val="000000"/>
                <w:sz w:val="16"/>
                <w:szCs w:val="16"/>
              </w:rPr>
              <w:t>0,00</w:t>
            </w:r>
          </w:p>
        </w:tc>
        <w:tc>
          <w:tcPr>
            <w:tcW w:w="1349" w:type="dxa"/>
            <w:tcBorders>
              <w:top w:val="nil"/>
              <w:left w:val="nil"/>
              <w:bottom w:val="single" w:sz="4" w:space="0" w:color="auto"/>
              <w:right w:val="single" w:sz="4" w:space="0" w:color="auto"/>
            </w:tcBorders>
            <w:shd w:val="clear" w:color="FFF2CC" w:fill="E2EFDA"/>
            <w:noWrap/>
            <w:vAlign w:val="center"/>
            <w:hideMark/>
          </w:tcPr>
          <w:p w:rsidR="0052427B" w:rsidRDefault="0052427B">
            <w:pPr>
              <w:jc w:val="right"/>
              <w:rPr>
                <w:rFonts w:ascii="Calibri" w:hAnsi="Calibri" w:cs="Calibri"/>
                <w:color w:val="000000"/>
                <w:sz w:val="16"/>
                <w:szCs w:val="16"/>
              </w:rPr>
            </w:pPr>
            <w:r>
              <w:rPr>
                <w:rFonts w:ascii="Calibri" w:hAnsi="Calibri" w:cs="Calibri"/>
                <w:color w:val="000000"/>
                <w:sz w:val="16"/>
                <w:szCs w:val="16"/>
              </w:rPr>
              <w:t>0,00</w:t>
            </w:r>
          </w:p>
        </w:tc>
        <w:tc>
          <w:tcPr>
            <w:tcW w:w="1276" w:type="dxa"/>
            <w:tcBorders>
              <w:top w:val="nil"/>
              <w:left w:val="nil"/>
              <w:bottom w:val="single" w:sz="4" w:space="0" w:color="auto"/>
              <w:right w:val="single" w:sz="4" w:space="0" w:color="auto"/>
            </w:tcBorders>
            <w:shd w:val="clear" w:color="FFF2CC" w:fill="E2EFDA"/>
            <w:noWrap/>
            <w:vAlign w:val="center"/>
            <w:hideMark/>
          </w:tcPr>
          <w:p w:rsidR="0052427B" w:rsidRDefault="0052427B">
            <w:pPr>
              <w:jc w:val="right"/>
              <w:rPr>
                <w:rFonts w:ascii="Calibri" w:hAnsi="Calibri" w:cs="Calibri"/>
                <w:color w:val="000000"/>
                <w:sz w:val="16"/>
                <w:szCs w:val="16"/>
              </w:rPr>
            </w:pPr>
            <w:r>
              <w:rPr>
                <w:rFonts w:ascii="Calibri" w:hAnsi="Calibri" w:cs="Calibri"/>
                <w:color w:val="000000"/>
                <w:sz w:val="16"/>
                <w:szCs w:val="16"/>
              </w:rPr>
              <w:t>2 988 700,00</w:t>
            </w:r>
          </w:p>
        </w:tc>
      </w:tr>
      <w:tr w:rsidR="0052427B" w:rsidTr="0052427B">
        <w:trPr>
          <w:trHeight w:val="300"/>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52427B" w:rsidRDefault="0052427B">
            <w:pPr>
              <w:rPr>
                <w:rFonts w:ascii="Calibri" w:hAnsi="Calibri" w:cs="Calibri"/>
                <w:color w:val="000000"/>
                <w:sz w:val="16"/>
                <w:szCs w:val="16"/>
              </w:rPr>
            </w:pPr>
            <w:r>
              <w:rPr>
                <w:rFonts w:ascii="Calibri" w:hAnsi="Calibri" w:cs="Calibri"/>
                <w:color w:val="000000"/>
                <w:sz w:val="16"/>
                <w:szCs w:val="16"/>
              </w:rPr>
              <w:t> </w:t>
            </w:r>
          </w:p>
        </w:tc>
        <w:tc>
          <w:tcPr>
            <w:tcW w:w="465" w:type="dxa"/>
            <w:tcBorders>
              <w:top w:val="nil"/>
              <w:left w:val="nil"/>
              <w:bottom w:val="single" w:sz="4" w:space="0" w:color="auto"/>
              <w:right w:val="single" w:sz="4" w:space="0" w:color="auto"/>
            </w:tcBorders>
            <w:shd w:val="clear" w:color="auto" w:fill="auto"/>
            <w:noWrap/>
            <w:vAlign w:val="center"/>
            <w:hideMark/>
          </w:tcPr>
          <w:p w:rsidR="0052427B" w:rsidRDefault="0052427B">
            <w:pPr>
              <w:jc w:val="center"/>
              <w:rPr>
                <w:rFonts w:ascii="Calibri" w:hAnsi="Calibri" w:cs="Calibri"/>
                <w:color w:val="000000"/>
                <w:sz w:val="16"/>
                <w:szCs w:val="16"/>
              </w:rPr>
            </w:pPr>
            <w:r>
              <w:rPr>
                <w:rFonts w:ascii="Calibri" w:hAnsi="Calibri" w:cs="Calibri"/>
                <w:color w:val="000000"/>
                <w:sz w:val="16"/>
                <w:szCs w:val="16"/>
              </w:rPr>
              <w:t>6319</w:t>
            </w:r>
          </w:p>
        </w:tc>
        <w:tc>
          <w:tcPr>
            <w:tcW w:w="4675" w:type="dxa"/>
            <w:tcBorders>
              <w:top w:val="nil"/>
              <w:left w:val="nil"/>
              <w:bottom w:val="single" w:sz="4" w:space="0" w:color="auto"/>
              <w:right w:val="single" w:sz="4" w:space="0" w:color="auto"/>
            </w:tcBorders>
            <w:shd w:val="clear" w:color="auto" w:fill="auto"/>
            <w:vAlign w:val="center"/>
            <w:hideMark/>
          </w:tcPr>
          <w:p w:rsidR="0052427B" w:rsidRDefault="0052427B">
            <w:pPr>
              <w:rPr>
                <w:rFonts w:ascii="Calibri" w:hAnsi="Calibri" w:cs="Calibri"/>
                <w:color w:val="000000"/>
                <w:sz w:val="16"/>
                <w:szCs w:val="16"/>
              </w:rPr>
            </w:pPr>
            <w:r>
              <w:rPr>
                <w:rFonts w:ascii="Calibri" w:hAnsi="Calibri" w:cs="Calibri"/>
                <w:color w:val="000000"/>
                <w:sz w:val="16"/>
                <w:szCs w:val="16"/>
              </w:rPr>
              <w:t>Ostatní investiční transfery podnikatelům</w:t>
            </w:r>
          </w:p>
        </w:tc>
        <w:tc>
          <w:tcPr>
            <w:tcW w:w="1344" w:type="dxa"/>
            <w:tcBorders>
              <w:top w:val="nil"/>
              <w:left w:val="nil"/>
              <w:bottom w:val="single" w:sz="4" w:space="0" w:color="auto"/>
              <w:right w:val="single" w:sz="4" w:space="0" w:color="auto"/>
            </w:tcBorders>
            <w:shd w:val="clear" w:color="auto" w:fill="auto"/>
            <w:noWrap/>
            <w:vAlign w:val="center"/>
            <w:hideMark/>
          </w:tcPr>
          <w:p w:rsidR="0052427B" w:rsidRDefault="0052427B">
            <w:pPr>
              <w:jc w:val="right"/>
              <w:rPr>
                <w:rFonts w:ascii="Calibri" w:hAnsi="Calibri" w:cs="Calibri"/>
                <w:color w:val="000000"/>
                <w:sz w:val="16"/>
                <w:szCs w:val="16"/>
              </w:rPr>
            </w:pPr>
            <w:r>
              <w:rPr>
                <w:rFonts w:ascii="Calibri" w:hAnsi="Calibri" w:cs="Calibri"/>
                <w:color w:val="000000"/>
                <w:sz w:val="16"/>
                <w:szCs w:val="16"/>
              </w:rPr>
              <w:t>0,00</w:t>
            </w:r>
          </w:p>
        </w:tc>
        <w:tc>
          <w:tcPr>
            <w:tcW w:w="1349" w:type="dxa"/>
            <w:tcBorders>
              <w:top w:val="nil"/>
              <w:left w:val="nil"/>
              <w:bottom w:val="single" w:sz="4" w:space="0" w:color="auto"/>
              <w:right w:val="single" w:sz="4" w:space="0" w:color="auto"/>
            </w:tcBorders>
            <w:shd w:val="clear" w:color="auto" w:fill="auto"/>
            <w:noWrap/>
            <w:vAlign w:val="center"/>
            <w:hideMark/>
          </w:tcPr>
          <w:p w:rsidR="0052427B" w:rsidRDefault="0052427B">
            <w:pPr>
              <w:jc w:val="right"/>
              <w:rPr>
                <w:rFonts w:ascii="Calibri" w:hAnsi="Calibri" w:cs="Calibri"/>
                <w:color w:val="000000"/>
                <w:sz w:val="16"/>
                <w:szCs w:val="16"/>
              </w:rPr>
            </w:pPr>
            <w:r>
              <w:rPr>
                <w:rFonts w:ascii="Calibri" w:hAnsi="Calibri" w:cs="Calibri"/>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52427B" w:rsidRDefault="0052427B">
            <w:pPr>
              <w:jc w:val="right"/>
              <w:rPr>
                <w:rFonts w:ascii="Calibri" w:hAnsi="Calibri" w:cs="Calibri"/>
                <w:color w:val="000000"/>
                <w:sz w:val="16"/>
                <w:szCs w:val="16"/>
              </w:rPr>
            </w:pPr>
            <w:r>
              <w:rPr>
                <w:rFonts w:ascii="Calibri" w:hAnsi="Calibri" w:cs="Calibri"/>
                <w:color w:val="000000"/>
                <w:sz w:val="16"/>
                <w:szCs w:val="16"/>
              </w:rPr>
              <w:t>2 988 700,00</w:t>
            </w:r>
          </w:p>
        </w:tc>
      </w:tr>
      <w:tr w:rsidR="0052427B" w:rsidTr="0052427B">
        <w:trPr>
          <w:trHeight w:val="300"/>
        </w:trPr>
        <w:tc>
          <w:tcPr>
            <w:tcW w:w="384" w:type="dxa"/>
            <w:tcBorders>
              <w:top w:val="nil"/>
              <w:left w:val="single" w:sz="4" w:space="0" w:color="auto"/>
              <w:bottom w:val="single" w:sz="4" w:space="0" w:color="auto"/>
              <w:right w:val="single" w:sz="4" w:space="0" w:color="auto"/>
            </w:tcBorders>
            <w:shd w:val="clear" w:color="FFF2CC" w:fill="E2EFDA"/>
            <w:noWrap/>
            <w:vAlign w:val="center"/>
            <w:hideMark/>
          </w:tcPr>
          <w:p w:rsidR="0052427B" w:rsidRDefault="0052427B">
            <w:pPr>
              <w:jc w:val="right"/>
              <w:rPr>
                <w:rFonts w:ascii="Calibri" w:hAnsi="Calibri" w:cs="Calibri"/>
                <w:color w:val="000000"/>
                <w:sz w:val="16"/>
                <w:szCs w:val="16"/>
              </w:rPr>
            </w:pPr>
            <w:r>
              <w:rPr>
                <w:rFonts w:ascii="Calibri" w:hAnsi="Calibri" w:cs="Calibri"/>
                <w:color w:val="000000"/>
                <w:sz w:val="16"/>
                <w:szCs w:val="16"/>
              </w:rPr>
              <w:t>632</w:t>
            </w:r>
          </w:p>
        </w:tc>
        <w:tc>
          <w:tcPr>
            <w:tcW w:w="5140" w:type="dxa"/>
            <w:gridSpan w:val="2"/>
            <w:tcBorders>
              <w:top w:val="single" w:sz="4" w:space="0" w:color="auto"/>
              <w:left w:val="nil"/>
              <w:bottom w:val="single" w:sz="4" w:space="0" w:color="auto"/>
              <w:right w:val="single" w:sz="4" w:space="0" w:color="000000"/>
            </w:tcBorders>
            <w:shd w:val="clear" w:color="FFF2CC" w:fill="E2EFDA"/>
            <w:noWrap/>
            <w:vAlign w:val="center"/>
            <w:hideMark/>
          </w:tcPr>
          <w:p w:rsidR="0052427B" w:rsidRDefault="0052427B">
            <w:pPr>
              <w:rPr>
                <w:rFonts w:ascii="Calibri" w:hAnsi="Calibri" w:cs="Calibri"/>
                <w:color w:val="000000"/>
                <w:sz w:val="16"/>
                <w:szCs w:val="16"/>
              </w:rPr>
            </w:pPr>
            <w:r>
              <w:rPr>
                <w:rFonts w:ascii="Calibri" w:hAnsi="Calibri" w:cs="Calibri"/>
                <w:color w:val="000000"/>
                <w:sz w:val="16"/>
                <w:szCs w:val="16"/>
              </w:rPr>
              <w:t>Investiční transfery neziskovým a podobným organizacím</w:t>
            </w:r>
          </w:p>
        </w:tc>
        <w:tc>
          <w:tcPr>
            <w:tcW w:w="1344" w:type="dxa"/>
            <w:tcBorders>
              <w:top w:val="nil"/>
              <w:left w:val="nil"/>
              <w:bottom w:val="single" w:sz="4" w:space="0" w:color="auto"/>
              <w:right w:val="single" w:sz="4" w:space="0" w:color="auto"/>
            </w:tcBorders>
            <w:shd w:val="clear" w:color="FFF2CC" w:fill="E2EFDA"/>
            <w:noWrap/>
            <w:vAlign w:val="center"/>
            <w:hideMark/>
          </w:tcPr>
          <w:p w:rsidR="0052427B" w:rsidRDefault="0052427B">
            <w:pPr>
              <w:jc w:val="right"/>
              <w:rPr>
                <w:rFonts w:ascii="Calibri" w:hAnsi="Calibri" w:cs="Calibri"/>
                <w:color w:val="000000"/>
                <w:sz w:val="16"/>
                <w:szCs w:val="16"/>
              </w:rPr>
            </w:pPr>
            <w:r>
              <w:rPr>
                <w:rFonts w:ascii="Calibri" w:hAnsi="Calibri" w:cs="Calibri"/>
                <w:color w:val="000000"/>
                <w:sz w:val="16"/>
                <w:szCs w:val="16"/>
              </w:rPr>
              <w:t>11 007 160,00</w:t>
            </w:r>
          </w:p>
        </w:tc>
        <w:tc>
          <w:tcPr>
            <w:tcW w:w="1349" w:type="dxa"/>
            <w:tcBorders>
              <w:top w:val="nil"/>
              <w:left w:val="nil"/>
              <w:bottom w:val="single" w:sz="4" w:space="0" w:color="auto"/>
              <w:right w:val="single" w:sz="4" w:space="0" w:color="auto"/>
            </w:tcBorders>
            <w:shd w:val="clear" w:color="FFF2CC" w:fill="E2EFDA"/>
            <w:noWrap/>
            <w:vAlign w:val="center"/>
            <w:hideMark/>
          </w:tcPr>
          <w:p w:rsidR="0052427B" w:rsidRDefault="0052427B">
            <w:pPr>
              <w:jc w:val="right"/>
              <w:rPr>
                <w:rFonts w:ascii="Calibri" w:hAnsi="Calibri" w:cs="Calibri"/>
                <w:color w:val="000000"/>
                <w:sz w:val="16"/>
                <w:szCs w:val="16"/>
              </w:rPr>
            </w:pPr>
            <w:r>
              <w:rPr>
                <w:rFonts w:ascii="Calibri" w:hAnsi="Calibri" w:cs="Calibri"/>
                <w:color w:val="000000"/>
                <w:sz w:val="16"/>
                <w:szCs w:val="16"/>
              </w:rPr>
              <w:t>4 800 900,00</w:t>
            </w:r>
          </w:p>
        </w:tc>
        <w:tc>
          <w:tcPr>
            <w:tcW w:w="1276" w:type="dxa"/>
            <w:tcBorders>
              <w:top w:val="nil"/>
              <w:left w:val="nil"/>
              <w:bottom w:val="single" w:sz="4" w:space="0" w:color="auto"/>
              <w:right w:val="single" w:sz="4" w:space="0" w:color="auto"/>
            </w:tcBorders>
            <w:shd w:val="clear" w:color="FFF2CC" w:fill="E2EFDA"/>
            <w:noWrap/>
            <w:vAlign w:val="center"/>
            <w:hideMark/>
          </w:tcPr>
          <w:p w:rsidR="0052427B" w:rsidRDefault="0052427B">
            <w:pPr>
              <w:jc w:val="right"/>
              <w:rPr>
                <w:rFonts w:ascii="Calibri" w:hAnsi="Calibri" w:cs="Calibri"/>
                <w:color w:val="000000"/>
                <w:sz w:val="16"/>
                <w:szCs w:val="16"/>
              </w:rPr>
            </w:pPr>
            <w:r>
              <w:rPr>
                <w:rFonts w:ascii="Calibri" w:hAnsi="Calibri" w:cs="Calibri"/>
                <w:color w:val="000000"/>
                <w:sz w:val="16"/>
                <w:szCs w:val="16"/>
              </w:rPr>
              <w:t>950 000,00</w:t>
            </w:r>
          </w:p>
        </w:tc>
      </w:tr>
      <w:tr w:rsidR="0052427B" w:rsidTr="0052427B">
        <w:trPr>
          <w:trHeight w:val="300"/>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52427B" w:rsidRDefault="0052427B">
            <w:pPr>
              <w:rPr>
                <w:rFonts w:ascii="Calibri" w:hAnsi="Calibri" w:cs="Calibri"/>
                <w:color w:val="000000"/>
                <w:sz w:val="16"/>
                <w:szCs w:val="16"/>
              </w:rPr>
            </w:pPr>
            <w:r>
              <w:rPr>
                <w:rFonts w:ascii="Calibri" w:hAnsi="Calibri" w:cs="Calibri"/>
                <w:color w:val="000000"/>
                <w:sz w:val="16"/>
                <w:szCs w:val="16"/>
              </w:rPr>
              <w:t> </w:t>
            </w:r>
          </w:p>
        </w:tc>
        <w:tc>
          <w:tcPr>
            <w:tcW w:w="465" w:type="dxa"/>
            <w:tcBorders>
              <w:top w:val="nil"/>
              <w:left w:val="nil"/>
              <w:bottom w:val="single" w:sz="4" w:space="0" w:color="auto"/>
              <w:right w:val="single" w:sz="4" w:space="0" w:color="auto"/>
            </w:tcBorders>
            <w:shd w:val="clear" w:color="auto" w:fill="auto"/>
            <w:noWrap/>
            <w:vAlign w:val="center"/>
            <w:hideMark/>
          </w:tcPr>
          <w:p w:rsidR="0052427B" w:rsidRDefault="0052427B">
            <w:pPr>
              <w:jc w:val="center"/>
              <w:rPr>
                <w:rFonts w:ascii="Calibri" w:hAnsi="Calibri" w:cs="Calibri"/>
                <w:color w:val="000000"/>
                <w:sz w:val="16"/>
                <w:szCs w:val="16"/>
              </w:rPr>
            </w:pPr>
            <w:r>
              <w:rPr>
                <w:rFonts w:ascii="Calibri" w:hAnsi="Calibri" w:cs="Calibri"/>
                <w:color w:val="000000"/>
                <w:sz w:val="16"/>
                <w:szCs w:val="16"/>
              </w:rPr>
              <w:t>6322</w:t>
            </w:r>
          </w:p>
        </w:tc>
        <w:tc>
          <w:tcPr>
            <w:tcW w:w="4675" w:type="dxa"/>
            <w:tcBorders>
              <w:top w:val="nil"/>
              <w:left w:val="nil"/>
              <w:bottom w:val="single" w:sz="4" w:space="0" w:color="auto"/>
              <w:right w:val="single" w:sz="4" w:space="0" w:color="auto"/>
            </w:tcBorders>
            <w:shd w:val="clear" w:color="auto" w:fill="auto"/>
            <w:vAlign w:val="center"/>
            <w:hideMark/>
          </w:tcPr>
          <w:p w:rsidR="0052427B" w:rsidRDefault="0052427B">
            <w:pPr>
              <w:rPr>
                <w:rFonts w:ascii="Calibri" w:hAnsi="Calibri" w:cs="Calibri"/>
                <w:color w:val="000000"/>
                <w:sz w:val="16"/>
                <w:szCs w:val="16"/>
              </w:rPr>
            </w:pPr>
            <w:r>
              <w:rPr>
                <w:rFonts w:ascii="Calibri" w:hAnsi="Calibri" w:cs="Calibri"/>
                <w:color w:val="000000"/>
                <w:sz w:val="16"/>
                <w:szCs w:val="16"/>
              </w:rPr>
              <w:t>Investiční transfery spolkům</w:t>
            </w:r>
          </w:p>
        </w:tc>
        <w:tc>
          <w:tcPr>
            <w:tcW w:w="1344" w:type="dxa"/>
            <w:tcBorders>
              <w:top w:val="nil"/>
              <w:left w:val="nil"/>
              <w:bottom w:val="single" w:sz="4" w:space="0" w:color="auto"/>
              <w:right w:val="single" w:sz="4" w:space="0" w:color="auto"/>
            </w:tcBorders>
            <w:shd w:val="clear" w:color="auto" w:fill="auto"/>
            <w:noWrap/>
            <w:vAlign w:val="center"/>
            <w:hideMark/>
          </w:tcPr>
          <w:p w:rsidR="0052427B" w:rsidRDefault="0052427B">
            <w:pPr>
              <w:jc w:val="right"/>
              <w:rPr>
                <w:rFonts w:ascii="Calibri" w:hAnsi="Calibri" w:cs="Calibri"/>
                <w:color w:val="000000"/>
                <w:sz w:val="16"/>
                <w:szCs w:val="16"/>
              </w:rPr>
            </w:pPr>
            <w:r>
              <w:rPr>
                <w:rFonts w:ascii="Calibri" w:hAnsi="Calibri" w:cs="Calibri"/>
                <w:color w:val="000000"/>
                <w:sz w:val="16"/>
                <w:szCs w:val="16"/>
              </w:rPr>
              <w:t>8 907 160,00</w:t>
            </w:r>
          </w:p>
        </w:tc>
        <w:tc>
          <w:tcPr>
            <w:tcW w:w="1349" w:type="dxa"/>
            <w:tcBorders>
              <w:top w:val="nil"/>
              <w:left w:val="nil"/>
              <w:bottom w:val="single" w:sz="4" w:space="0" w:color="auto"/>
              <w:right w:val="single" w:sz="4" w:space="0" w:color="auto"/>
            </w:tcBorders>
            <w:shd w:val="clear" w:color="auto" w:fill="auto"/>
            <w:noWrap/>
            <w:vAlign w:val="center"/>
            <w:hideMark/>
          </w:tcPr>
          <w:p w:rsidR="0052427B" w:rsidRDefault="0052427B">
            <w:pPr>
              <w:jc w:val="right"/>
              <w:rPr>
                <w:rFonts w:ascii="Calibri" w:hAnsi="Calibri" w:cs="Calibri"/>
                <w:color w:val="000000"/>
                <w:sz w:val="16"/>
                <w:szCs w:val="16"/>
              </w:rPr>
            </w:pPr>
            <w:r>
              <w:rPr>
                <w:rFonts w:ascii="Calibri" w:hAnsi="Calibri" w:cs="Calibri"/>
                <w:color w:val="000000"/>
                <w:sz w:val="16"/>
                <w:szCs w:val="16"/>
              </w:rPr>
              <w:t>4 800 900,00</w:t>
            </w:r>
          </w:p>
        </w:tc>
        <w:tc>
          <w:tcPr>
            <w:tcW w:w="1276" w:type="dxa"/>
            <w:tcBorders>
              <w:top w:val="nil"/>
              <w:left w:val="nil"/>
              <w:bottom w:val="single" w:sz="4" w:space="0" w:color="auto"/>
              <w:right w:val="single" w:sz="4" w:space="0" w:color="auto"/>
            </w:tcBorders>
            <w:shd w:val="clear" w:color="auto" w:fill="auto"/>
            <w:noWrap/>
            <w:vAlign w:val="center"/>
            <w:hideMark/>
          </w:tcPr>
          <w:p w:rsidR="0052427B" w:rsidRDefault="0052427B">
            <w:pPr>
              <w:jc w:val="right"/>
              <w:rPr>
                <w:rFonts w:ascii="Calibri" w:hAnsi="Calibri" w:cs="Calibri"/>
                <w:color w:val="000000"/>
                <w:sz w:val="16"/>
                <w:szCs w:val="16"/>
              </w:rPr>
            </w:pPr>
            <w:r>
              <w:rPr>
                <w:rFonts w:ascii="Calibri" w:hAnsi="Calibri" w:cs="Calibri"/>
                <w:color w:val="000000"/>
                <w:sz w:val="16"/>
                <w:szCs w:val="16"/>
              </w:rPr>
              <w:t>950 000,00</w:t>
            </w:r>
          </w:p>
        </w:tc>
      </w:tr>
      <w:tr w:rsidR="0052427B" w:rsidTr="0052427B">
        <w:trPr>
          <w:trHeight w:val="300"/>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52427B" w:rsidRDefault="0052427B">
            <w:pPr>
              <w:rPr>
                <w:rFonts w:ascii="Calibri" w:hAnsi="Calibri" w:cs="Calibri"/>
                <w:color w:val="000000"/>
                <w:sz w:val="16"/>
                <w:szCs w:val="16"/>
              </w:rPr>
            </w:pPr>
            <w:r>
              <w:rPr>
                <w:rFonts w:ascii="Calibri" w:hAnsi="Calibri" w:cs="Calibri"/>
                <w:color w:val="000000"/>
                <w:sz w:val="16"/>
                <w:szCs w:val="16"/>
              </w:rPr>
              <w:t> </w:t>
            </w:r>
          </w:p>
        </w:tc>
        <w:tc>
          <w:tcPr>
            <w:tcW w:w="465" w:type="dxa"/>
            <w:tcBorders>
              <w:top w:val="nil"/>
              <w:left w:val="nil"/>
              <w:bottom w:val="single" w:sz="4" w:space="0" w:color="auto"/>
              <w:right w:val="single" w:sz="4" w:space="0" w:color="auto"/>
            </w:tcBorders>
            <w:shd w:val="clear" w:color="auto" w:fill="auto"/>
            <w:noWrap/>
            <w:vAlign w:val="center"/>
            <w:hideMark/>
          </w:tcPr>
          <w:p w:rsidR="0052427B" w:rsidRDefault="0052427B">
            <w:pPr>
              <w:jc w:val="center"/>
              <w:rPr>
                <w:rFonts w:ascii="Calibri" w:hAnsi="Calibri" w:cs="Calibri"/>
                <w:color w:val="000000"/>
                <w:sz w:val="16"/>
                <w:szCs w:val="16"/>
              </w:rPr>
            </w:pPr>
            <w:r>
              <w:rPr>
                <w:rFonts w:ascii="Calibri" w:hAnsi="Calibri" w:cs="Calibri"/>
                <w:color w:val="000000"/>
                <w:sz w:val="16"/>
                <w:szCs w:val="16"/>
              </w:rPr>
              <w:t>6323</w:t>
            </w:r>
          </w:p>
        </w:tc>
        <w:tc>
          <w:tcPr>
            <w:tcW w:w="4675" w:type="dxa"/>
            <w:tcBorders>
              <w:top w:val="nil"/>
              <w:left w:val="nil"/>
              <w:bottom w:val="single" w:sz="4" w:space="0" w:color="auto"/>
              <w:right w:val="single" w:sz="4" w:space="0" w:color="auto"/>
            </w:tcBorders>
            <w:shd w:val="clear" w:color="auto" w:fill="auto"/>
            <w:noWrap/>
            <w:vAlign w:val="center"/>
            <w:hideMark/>
          </w:tcPr>
          <w:p w:rsidR="0052427B" w:rsidRDefault="0052427B">
            <w:pPr>
              <w:rPr>
                <w:rFonts w:ascii="Calibri" w:hAnsi="Calibri" w:cs="Calibri"/>
                <w:color w:val="000000"/>
                <w:sz w:val="16"/>
                <w:szCs w:val="16"/>
              </w:rPr>
            </w:pPr>
            <w:r>
              <w:rPr>
                <w:rFonts w:ascii="Calibri" w:hAnsi="Calibri" w:cs="Calibri"/>
                <w:color w:val="000000"/>
                <w:sz w:val="16"/>
                <w:szCs w:val="16"/>
              </w:rPr>
              <w:t>Investiční transfery církvím a náboženským společnostem</w:t>
            </w:r>
          </w:p>
        </w:tc>
        <w:tc>
          <w:tcPr>
            <w:tcW w:w="1344" w:type="dxa"/>
            <w:tcBorders>
              <w:top w:val="nil"/>
              <w:left w:val="nil"/>
              <w:bottom w:val="single" w:sz="4" w:space="0" w:color="auto"/>
              <w:right w:val="single" w:sz="4" w:space="0" w:color="auto"/>
            </w:tcBorders>
            <w:shd w:val="clear" w:color="auto" w:fill="auto"/>
            <w:noWrap/>
            <w:vAlign w:val="center"/>
            <w:hideMark/>
          </w:tcPr>
          <w:p w:rsidR="0052427B" w:rsidRDefault="0052427B">
            <w:pPr>
              <w:jc w:val="right"/>
              <w:rPr>
                <w:rFonts w:ascii="Calibri" w:hAnsi="Calibri" w:cs="Calibri"/>
                <w:color w:val="000000"/>
                <w:sz w:val="16"/>
                <w:szCs w:val="16"/>
              </w:rPr>
            </w:pPr>
            <w:r>
              <w:rPr>
                <w:rFonts w:ascii="Calibri" w:hAnsi="Calibri" w:cs="Calibri"/>
                <w:color w:val="000000"/>
                <w:sz w:val="16"/>
                <w:szCs w:val="16"/>
              </w:rPr>
              <w:t>100 000,00</w:t>
            </w:r>
          </w:p>
        </w:tc>
        <w:tc>
          <w:tcPr>
            <w:tcW w:w="1349" w:type="dxa"/>
            <w:tcBorders>
              <w:top w:val="nil"/>
              <w:left w:val="nil"/>
              <w:bottom w:val="single" w:sz="4" w:space="0" w:color="auto"/>
              <w:right w:val="single" w:sz="4" w:space="0" w:color="auto"/>
            </w:tcBorders>
            <w:shd w:val="clear" w:color="auto" w:fill="auto"/>
            <w:noWrap/>
            <w:vAlign w:val="center"/>
            <w:hideMark/>
          </w:tcPr>
          <w:p w:rsidR="0052427B" w:rsidRDefault="0052427B">
            <w:pPr>
              <w:jc w:val="right"/>
              <w:rPr>
                <w:rFonts w:ascii="Calibri" w:hAnsi="Calibri" w:cs="Calibri"/>
                <w:color w:val="000000"/>
                <w:sz w:val="16"/>
                <w:szCs w:val="16"/>
              </w:rPr>
            </w:pPr>
            <w:r>
              <w:rPr>
                <w:rFonts w:ascii="Calibri" w:hAnsi="Calibri" w:cs="Calibri"/>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52427B" w:rsidRDefault="0052427B">
            <w:pPr>
              <w:jc w:val="right"/>
              <w:rPr>
                <w:rFonts w:ascii="Calibri" w:hAnsi="Calibri" w:cs="Calibri"/>
                <w:color w:val="000000"/>
                <w:sz w:val="16"/>
                <w:szCs w:val="16"/>
              </w:rPr>
            </w:pPr>
            <w:r>
              <w:rPr>
                <w:rFonts w:ascii="Calibri" w:hAnsi="Calibri" w:cs="Calibri"/>
                <w:color w:val="000000"/>
                <w:sz w:val="16"/>
                <w:szCs w:val="16"/>
              </w:rPr>
              <w:t>0,00</w:t>
            </w:r>
          </w:p>
        </w:tc>
      </w:tr>
      <w:tr w:rsidR="0052427B" w:rsidTr="0052427B">
        <w:trPr>
          <w:trHeight w:val="300"/>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52427B" w:rsidRDefault="0052427B">
            <w:pPr>
              <w:rPr>
                <w:rFonts w:ascii="Calibri" w:hAnsi="Calibri" w:cs="Calibri"/>
                <w:color w:val="000000"/>
                <w:sz w:val="16"/>
                <w:szCs w:val="16"/>
              </w:rPr>
            </w:pPr>
            <w:r>
              <w:rPr>
                <w:rFonts w:ascii="Calibri" w:hAnsi="Calibri" w:cs="Calibri"/>
                <w:color w:val="000000"/>
                <w:sz w:val="16"/>
                <w:szCs w:val="16"/>
              </w:rPr>
              <w:t> </w:t>
            </w:r>
          </w:p>
        </w:tc>
        <w:tc>
          <w:tcPr>
            <w:tcW w:w="465" w:type="dxa"/>
            <w:tcBorders>
              <w:top w:val="nil"/>
              <w:left w:val="nil"/>
              <w:bottom w:val="single" w:sz="4" w:space="0" w:color="auto"/>
              <w:right w:val="single" w:sz="4" w:space="0" w:color="auto"/>
            </w:tcBorders>
            <w:shd w:val="clear" w:color="auto" w:fill="auto"/>
            <w:noWrap/>
            <w:vAlign w:val="center"/>
            <w:hideMark/>
          </w:tcPr>
          <w:p w:rsidR="0052427B" w:rsidRDefault="0052427B">
            <w:pPr>
              <w:jc w:val="center"/>
              <w:rPr>
                <w:rFonts w:ascii="Calibri" w:hAnsi="Calibri" w:cs="Calibri"/>
                <w:color w:val="000000"/>
                <w:sz w:val="16"/>
                <w:szCs w:val="16"/>
              </w:rPr>
            </w:pPr>
            <w:r>
              <w:rPr>
                <w:rFonts w:ascii="Calibri" w:hAnsi="Calibri" w:cs="Calibri"/>
                <w:color w:val="000000"/>
                <w:sz w:val="16"/>
                <w:szCs w:val="16"/>
              </w:rPr>
              <w:t>6329</w:t>
            </w:r>
          </w:p>
        </w:tc>
        <w:tc>
          <w:tcPr>
            <w:tcW w:w="4675" w:type="dxa"/>
            <w:tcBorders>
              <w:top w:val="nil"/>
              <w:left w:val="nil"/>
              <w:bottom w:val="single" w:sz="4" w:space="0" w:color="auto"/>
              <w:right w:val="single" w:sz="4" w:space="0" w:color="auto"/>
            </w:tcBorders>
            <w:shd w:val="clear" w:color="auto" w:fill="auto"/>
            <w:vAlign w:val="center"/>
            <w:hideMark/>
          </w:tcPr>
          <w:p w:rsidR="0052427B" w:rsidRDefault="0052427B">
            <w:pPr>
              <w:rPr>
                <w:rFonts w:ascii="Calibri" w:hAnsi="Calibri" w:cs="Calibri"/>
                <w:color w:val="000000"/>
                <w:sz w:val="16"/>
                <w:szCs w:val="16"/>
              </w:rPr>
            </w:pPr>
            <w:r>
              <w:rPr>
                <w:rFonts w:ascii="Calibri" w:hAnsi="Calibri" w:cs="Calibri"/>
                <w:color w:val="000000"/>
                <w:sz w:val="16"/>
                <w:szCs w:val="16"/>
              </w:rPr>
              <w:t>Ostatní investiční transfery neziskovým a podobným organizacím</w:t>
            </w:r>
          </w:p>
        </w:tc>
        <w:tc>
          <w:tcPr>
            <w:tcW w:w="1344" w:type="dxa"/>
            <w:tcBorders>
              <w:top w:val="nil"/>
              <w:left w:val="nil"/>
              <w:bottom w:val="single" w:sz="4" w:space="0" w:color="auto"/>
              <w:right w:val="single" w:sz="4" w:space="0" w:color="auto"/>
            </w:tcBorders>
            <w:shd w:val="clear" w:color="auto" w:fill="auto"/>
            <w:noWrap/>
            <w:vAlign w:val="center"/>
            <w:hideMark/>
          </w:tcPr>
          <w:p w:rsidR="0052427B" w:rsidRDefault="0052427B">
            <w:pPr>
              <w:jc w:val="right"/>
              <w:rPr>
                <w:rFonts w:ascii="Calibri" w:hAnsi="Calibri" w:cs="Calibri"/>
                <w:color w:val="000000"/>
                <w:sz w:val="16"/>
                <w:szCs w:val="16"/>
              </w:rPr>
            </w:pPr>
            <w:r>
              <w:rPr>
                <w:rFonts w:ascii="Calibri" w:hAnsi="Calibri" w:cs="Calibri"/>
                <w:color w:val="000000"/>
                <w:sz w:val="16"/>
                <w:szCs w:val="16"/>
              </w:rPr>
              <w:t>2 000 000,00</w:t>
            </w:r>
          </w:p>
        </w:tc>
        <w:tc>
          <w:tcPr>
            <w:tcW w:w="1349" w:type="dxa"/>
            <w:tcBorders>
              <w:top w:val="nil"/>
              <w:left w:val="nil"/>
              <w:bottom w:val="single" w:sz="4" w:space="0" w:color="auto"/>
              <w:right w:val="single" w:sz="4" w:space="0" w:color="auto"/>
            </w:tcBorders>
            <w:shd w:val="clear" w:color="auto" w:fill="auto"/>
            <w:noWrap/>
            <w:vAlign w:val="center"/>
            <w:hideMark/>
          </w:tcPr>
          <w:p w:rsidR="0052427B" w:rsidRDefault="0052427B">
            <w:pPr>
              <w:jc w:val="right"/>
              <w:rPr>
                <w:rFonts w:ascii="Calibri" w:hAnsi="Calibri" w:cs="Calibri"/>
                <w:color w:val="000000"/>
                <w:sz w:val="16"/>
                <w:szCs w:val="16"/>
              </w:rPr>
            </w:pPr>
            <w:r>
              <w:rPr>
                <w:rFonts w:ascii="Calibri" w:hAnsi="Calibri" w:cs="Calibri"/>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52427B" w:rsidRDefault="0052427B">
            <w:pPr>
              <w:jc w:val="right"/>
              <w:rPr>
                <w:rFonts w:ascii="Calibri" w:hAnsi="Calibri" w:cs="Calibri"/>
                <w:color w:val="000000"/>
                <w:sz w:val="16"/>
                <w:szCs w:val="16"/>
              </w:rPr>
            </w:pPr>
            <w:r>
              <w:rPr>
                <w:rFonts w:ascii="Calibri" w:hAnsi="Calibri" w:cs="Calibri"/>
                <w:color w:val="000000"/>
                <w:sz w:val="16"/>
                <w:szCs w:val="16"/>
              </w:rPr>
              <w:t>0,00</w:t>
            </w:r>
          </w:p>
        </w:tc>
      </w:tr>
      <w:tr w:rsidR="0052427B" w:rsidTr="0052427B">
        <w:trPr>
          <w:trHeight w:val="300"/>
        </w:trPr>
        <w:tc>
          <w:tcPr>
            <w:tcW w:w="384" w:type="dxa"/>
            <w:tcBorders>
              <w:top w:val="nil"/>
              <w:left w:val="single" w:sz="4" w:space="0" w:color="auto"/>
              <w:bottom w:val="single" w:sz="4" w:space="0" w:color="auto"/>
              <w:right w:val="single" w:sz="4" w:space="0" w:color="auto"/>
            </w:tcBorders>
            <w:shd w:val="clear" w:color="FFF2CC" w:fill="E2EFDA"/>
            <w:noWrap/>
            <w:vAlign w:val="center"/>
            <w:hideMark/>
          </w:tcPr>
          <w:p w:rsidR="0052427B" w:rsidRDefault="0052427B">
            <w:pPr>
              <w:jc w:val="right"/>
              <w:rPr>
                <w:rFonts w:ascii="Calibri" w:hAnsi="Calibri" w:cs="Calibri"/>
                <w:color w:val="000000"/>
                <w:sz w:val="16"/>
                <w:szCs w:val="16"/>
              </w:rPr>
            </w:pPr>
            <w:r>
              <w:rPr>
                <w:rFonts w:ascii="Calibri" w:hAnsi="Calibri" w:cs="Calibri"/>
                <w:color w:val="000000"/>
                <w:sz w:val="16"/>
                <w:szCs w:val="16"/>
              </w:rPr>
              <w:t>633</w:t>
            </w:r>
          </w:p>
        </w:tc>
        <w:tc>
          <w:tcPr>
            <w:tcW w:w="5140" w:type="dxa"/>
            <w:gridSpan w:val="2"/>
            <w:tcBorders>
              <w:top w:val="single" w:sz="4" w:space="0" w:color="auto"/>
              <w:left w:val="nil"/>
              <w:bottom w:val="single" w:sz="4" w:space="0" w:color="auto"/>
              <w:right w:val="single" w:sz="4" w:space="0" w:color="000000"/>
            </w:tcBorders>
            <w:shd w:val="clear" w:color="FFF2CC" w:fill="E2EFDA"/>
            <w:noWrap/>
            <w:vAlign w:val="center"/>
            <w:hideMark/>
          </w:tcPr>
          <w:p w:rsidR="0052427B" w:rsidRDefault="0052427B">
            <w:pPr>
              <w:rPr>
                <w:rFonts w:ascii="Calibri" w:hAnsi="Calibri" w:cs="Calibri"/>
                <w:color w:val="000000"/>
                <w:sz w:val="16"/>
                <w:szCs w:val="16"/>
              </w:rPr>
            </w:pPr>
            <w:r>
              <w:rPr>
                <w:rFonts w:ascii="Calibri" w:hAnsi="Calibri" w:cs="Calibri"/>
                <w:color w:val="000000"/>
                <w:sz w:val="16"/>
                <w:szCs w:val="16"/>
              </w:rPr>
              <w:t>Investiční transfery veřejným rozpočtům ústřední úrovně</w:t>
            </w:r>
          </w:p>
        </w:tc>
        <w:tc>
          <w:tcPr>
            <w:tcW w:w="1344" w:type="dxa"/>
            <w:tcBorders>
              <w:top w:val="nil"/>
              <w:left w:val="nil"/>
              <w:bottom w:val="single" w:sz="4" w:space="0" w:color="auto"/>
              <w:right w:val="single" w:sz="4" w:space="0" w:color="auto"/>
            </w:tcBorders>
            <w:shd w:val="clear" w:color="FFF2CC" w:fill="E2EFDA"/>
            <w:noWrap/>
            <w:vAlign w:val="center"/>
            <w:hideMark/>
          </w:tcPr>
          <w:p w:rsidR="0052427B" w:rsidRDefault="0052427B">
            <w:pPr>
              <w:jc w:val="right"/>
              <w:rPr>
                <w:rFonts w:ascii="Calibri" w:hAnsi="Calibri" w:cs="Calibri"/>
                <w:color w:val="000000"/>
                <w:sz w:val="16"/>
                <w:szCs w:val="16"/>
              </w:rPr>
            </w:pPr>
            <w:r>
              <w:rPr>
                <w:rFonts w:ascii="Calibri" w:hAnsi="Calibri" w:cs="Calibri"/>
                <w:color w:val="000000"/>
                <w:sz w:val="16"/>
                <w:szCs w:val="16"/>
              </w:rPr>
              <w:t>0,00</w:t>
            </w:r>
          </w:p>
        </w:tc>
        <w:tc>
          <w:tcPr>
            <w:tcW w:w="1349" w:type="dxa"/>
            <w:tcBorders>
              <w:top w:val="nil"/>
              <w:left w:val="nil"/>
              <w:bottom w:val="single" w:sz="4" w:space="0" w:color="auto"/>
              <w:right w:val="single" w:sz="4" w:space="0" w:color="auto"/>
            </w:tcBorders>
            <w:shd w:val="clear" w:color="FFF2CC" w:fill="E2EFDA"/>
            <w:noWrap/>
            <w:vAlign w:val="center"/>
            <w:hideMark/>
          </w:tcPr>
          <w:p w:rsidR="0052427B" w:rsidRDefault="0052427B">
            <w:pPr>
              <w:jc w:val="right"/>
              <w:rPr>
                <w:rFonts w:ascii="Calibri" w:hAnsi="Calibri" w:cs="Calibri"/>
                <w:color w:val="000000"/>
                <w:sz w:val="16"/>
                <w:szCs w:val="16"/>
              </w:rPr>
            </w:pPr>
            <w:r>
              <w:rPr>
                <w:rFonts w:ascii="Calibri" w:hAnsi="Calibri" w:cs="Calibri"/>
                <w:color w:val="000000"/>
                <w:sz w:val="16"/>
                <w:szCs w:val="16"/>
              </w:rPr>
              <w:t>0,00</w:t>
            </w:r>
          </w:p>
        </w:tc>
        <w:tc>
          <w:tcPr>
            <w:tcW w:w="1276" w:type="dxa"/>
            <w:tcBorders>
              <w:top w:val="nil"/>
              <w:left w:val="nil"/>
              <w:bottom w:val="single" w:sz="4" w:space="0" w:color="auto"/>
              <w:right w:val="single" w:sz="4" w:space="0" w:color="auto"/>
            </w:tcBorders>
            <w:shd w:val="clear" w:color="FFF2CC" w:fill="E2EFDA"/>
            <w:noWrap/>
            <w:vAlign w:val="center"/>
            <w:hideMark/>
          </w:tcPr>
          <w:p w:rsidR="0052427B" w:rsidRDefault="0052427B">
            <w:pPr>
              <w:jc w:val="right"/>
              <w:rPr>
                <w:rFonts w:ascii="Calibri" w:hAnsi="Calibri" w:cs="Calibri"/>
                <w:color w:val="000000"/>
                <w:sz w:val="16"/>
                <w:szCs w:val="16"/>
              </w:rPr>
            </w:pPr>
            <w:r>
              <w:rPr>
                <w:rFonts w:ascii="Calibri" w:hAnsi="Calibri" w:cs="Calibri"/>
                <w:color w:val="000000"/>
                <w:sz w:val="16"/>
                <w:szCs w:val="16"/>
              </w:rPr>
              <w:t>0,00</w:t>
            </w:r>
          </w:p>
        </w:tc>
      </w:tr>
      <w:tr w:rsidR="0052427B" w:rsidTr="0052427B">
        <w:trPr>
          <w:trHeight w:val="300"/>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52427B" w:rsidRDefault="0052427B">
            <w:pPr>
              <w:rPr>
                <w:rFonts w:ascii="Calibri" w:hAnsi="Calibri" w:cs="Calibri"/>
                <w:color w:val="000000"/>
                <w:sz w:val="16"/>
                <w:szCs w:val="16"/>
              </w:rPr>
            </w:pPr>
            <w:r>
              <w:rPr>
                <w:rFonts w:ascii="Calibri" w:hAnsi="Calibri" w:cs="Calibri"/>
                <w:color w:val="000000"/>
                <w:sz w:val="16"/>
                <w:szCs w:val="16"/>
              </w:rPr>
              <w:t> </w:t>
            </w:r>
          </w:p>
        </w:tc>
        <w:tc>
          <w:tcPr>
            <w:tcW w:w="465" w:type="dxa"/>
            <w:tcBorders>
              <w:top w:val="nil"/>
              <w:left w:val="nil"/>
              <w:bottom w:val="single" w:sz="4" w:space="0" w:color="auto"/>
              <w:right w:val="single" w:sz="4" w:space="0" w:color="auto"/>
            </w:tcBorders>
            <w:shd w:val="clear" w:color="auto" w:fill="auto"/>
            <w:noWrap/>
            <w:vAlign w:val="center"/>
            <w:hideMark/>
          </w:tcPr>
          <w:p w:rsidR="0052427B" w:rsidRDefault="0052427B">
            <w:pPr>
              <w:jc w:val="center"/>
              <w:rPr>
                <w:rFonts w:ascii="Calibri" w:hAnsi="Calibri" w:cs="Calibri"/>
                <w:color w:val="000000"/>
                <w:sz w:val="16"/>
                <w:szCs w:val="16"/>
              </w:rPr>
            </w:pPr>
            <w:r>
              <w:rPr>
                <w:rFonts w:ascii="Calibri" w:hAnsi="Calibri" w:cs="Calibri"/>
                <w:color w:val="000000"/>
                <w:sz w:val="16"/>
                <w:szCs w:val="16"/>
              </w:rPr>
              <w:t>6331</w:t>
            </w:r>
          </w:p>
        </w:tc>
        <w:tc>
          <w:tcPr>
            <w:tcW w:w="4675" w:type="dxa"/>
            <w:tcBorders>
              <w:top w:val="nil"/>
              <w:left w:val="nil"/>
              <w:bottom w:val="single" w:sz="4" w:space="0" w:color="auto"/>
              <w:right w:val="single" w:sz="4" w:space="0" w:color="auto"/>
            </w:tcBorders>
            <w:shd w:val="clear" w:color="auto" w:fill="auto"/>
            <w:vAlign w:val="center"/>
            <w:hideMark/>
          </w:tcPr>
          <w:p w:rsidR="0052427B" w:rsidRDefault="0052427B">
            <w:pPr>
              <w:rPr>
                <w:rFonts w:ascii="Calibri" w:hAnsi="Calibri" w:cs="Calibri"/>
                <w:color w:val="000000"/>
                <w:sz w:val="16"/>
                <w:szCs w:val="16"/>
              </w:rPr>
            </w:pPr>
            <w:r>
              <w:rPr>
                <w:rFonts w:ascii="Calibri" w:hAnsi="Calibri" w:cs="Calibri"/>
                <w:color w:val="000000"/>
                <w:sz w:val="16"/>
                <w:szCs w:val="16"/>
              </w:rPr>
              <w:t>Investiční transfery státnímu rozpočtu</w:t>
            </w:r>
          </w:p>
        </w:tc>
        <w:tc>
          <w:tcPr>
            <w:tcW w:w="1344" w:type="dxa"/>
            <w:tcBorders>
              <w:top w:val="nil"/>
              <w:left w:val="nil"/>
              <w:bottom w:val="single" w:sz="4" w:space="0" w:color="auto"/>
              <w:right w:val="single" w:sz="4" w:space="0" w:color="auto"/>
            </w:tcBorders>
            <w:shd w:val="clear" w:color="auto" w:fill="auto"/>
            <w:noWrap/>
            <w:vAlign w:val="center"/>
            <w:hideMark/>
          </w:tcPr>
          <w:p w:rsidR="0052427B" w:rsidRDefault="0052427B">
            <w:pPr>
              <w:jc w:val="right"/>
              <w:rPr>
                <w:rFonts w:ascii="Calibri" w:hAnsi="Calibri" w:cs="Calibri"/>
                <w:color w:val="000000"/>
                <w:sz w:val="16"/>
                <w:szCs w:val="16"/>
              </w:rPr>
            </w:pPr>
            <w:r>
              <w:rPr>
                <w:rFonts w:ascii="Calibri" w:hAnsi="Calibri" w:cs="Calibri"/>
                <w:color w:val="000000"/>
                <w:sz w:val="16"/>
                <w:szCs w:val="16"/>
              </w:rPr>
              <w:t>0,00</w:t>
            </w:r>
          </w:p>
        </w:tc>
        <w:tc>
          <w:tcPr>
            <w:tcW w:w="1349" w:type="dxa"/>
            <w:tcBorders>
              <w:top w:val="nil"/>
              <w:left w:val="nil"/>
              <w:bottom w:val="single" w:sz="4" w:space="0" w:color="auto"/>
              <w:right w:val="single" w:sz="4" w:space="0" w:color="auto"/>
            </w:tcBorders>
            <w:shd w:val="clear" w:color="auto" w:fill="auto"/>
            <w:noWrap/>
            <w:vAlign w:val="center"/>
            <w:hideMark/>
          </w:tcPr>
          <w:p w:rsidR="0052427B" w:rsidRDefault="0052427B">
            <w:pPr>
              <w:jc w:val="right"/>
              <w:rPr>
                <w:rFonts w:ascii="Calibri" w:hAnsi="Calibri" w:cs="Calibri"/>
                <w:color w:val="000000"/>
                <w:sz w:val="16"/>
                <w:szCs w:val="16"/>
              </w:rPr>
            </w:pPr>
            <w:r>
              <w:rPr>
                <w:rFonts w:ascii="Calibri" w:hAnsi="Calibri" w:cs="Calibri"/>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52427B" w:rsidRDefault="0052427B">
            <w:pPr>
              <w:jc w:val="right"/>
              <w:rPr>
                <w:rFonts w:ascii="Calibri" w:hAnsi="Calibri" w:cs="Calibri"/>
                <w:color w:val="000000"/>
                <w:sz w:val="16"/>
                <w:szCs w:val="16"/>
              </w:rPr>
            </w:pPr>
            <w:r>
              <w:rPr>
                <w:rFonts w:ascii="Calibri" w:hAnsi="Calibri" w:cs="Calibri"/>
                <w:color w:val="000000"/>
                <w:sz w:val="16"/>
                <w:szCs w:val="16"/>
              </w:rPr>
              <w:t>0,00</w:t>
            </w:r>
          </w:p>
        </w:tc>
      </w:tr>
      <w:tr w:rsidR="0052427B" w:rsidTr="0052427B">
        <w:trPr>
          <w:trHeight w:val="300"/>
        </w:trPr>
        <w:tc>
          <w:tcPr>
            <w:tcW w:w="384" w:type="dxa"/>
            <w:tcBorders>
              <w:top w:val="nil"/>
              <w:left w:val="single" w:sz="4" w:space="0" w:color="auto"/>
              <w:bottom w:val="single" w:sz="4" w:space="0" w:color="auto"/>
              <w:right w:val="single" w:sz="4" w:space="0" w:color="auto"/>
            </w:tcBorders>
            <w:shd w:val="clear" w:color="FFF2CC" w:fill="E2EFDA"/>
            <w:noWrap/>
            <w:vAlign w:val="center"/>
            <w:hideMark/>
          </w:tcPr>
          <w:p w:rsidR="0052427B" w:rsidRDefault="0052427B">
            <w:pPr>
              <w:jc w:val="right"/>
              <w:rPr>
                <w:rFonts w:ascii="Calibri" w:hAnsi="Calibri" w:cs="Calibri"/>
                <w:color w:val="000000"/>
                <w:sz w:val="16"/>
                <w:szCs w:val="16"/>
              </w:rPr>
            </w:pPr>
            <w:r>
              <w:rPr>
                <w:rFonts w:ascii="Calibri" w:hAnsi="Calibri" w:cs="Calibri"/>
                <w:color w:val="000000"/>
                <w:sz w:val="16"/>
                <w:szCs w:val="16"/>
              </w:rPr>
              <w:t>634</w:t>
            </w:r>
          </w:p>
        </w:tc>
        <w:tc>
          <w:tcPr>
            <w:tcW w:w="5140" w:type="dxa"/>
            <w:gridSpan w:val="2"/>
            <w:tcBorders>
              <w:top w:val="single" w:sz="4" w:space="0" w:color="auto"/>
              <w:left w:val="nil"/>
              <w:bottom w:val="single" w:sz="4" w:space="0" w:color="auto"/>
              <w:right w:val="single" w:sz="4" w:space="0" w:color="000000"/>
            </w:tcBorders>
            <w:shd w:val="clear" w:color="FFF2CC" w:fill="E2EFDA"/>
            <w:noWrap/>
            <w:vAlign w:val="center"/>
            <w:hideMark/>
          </w:tcPr>
          <w:p w:rsidR="0052427B" w:rsidRDefault="0052427B">
            <w:pPr>
              <w:rPr>
                <w:rFonts w:ascii="Calibri" w:hAnsi="Calibri" w:cs="Calibri"/>
                <w:color w:val="000000"/>
                <w:sz w:val="16"/>
                <w:szCs w:val="16"/>
              </w:rPr>
            </w:pPr>
            <w:r>
              <w:rPr>
                <w:rFonts w:ascii="Calibri" w:hAnsi="Calibri" w:cs="Calibri"/>
                <w:color w:val="000000"/>
                <w:sz w:val="16"/>
                <w:szCs w:val="16"/>
              </w:rPr>
              <w:t>Investiční transfery veřejným rozpočtům územní úrovně</w:t>
            </w:r>
          </w:p>
        </w:tc>
        <w:tc>
          <w:tcPr>
            <w:tcW w:w="1344" w:type="dxa"/>
            <w:tcBorders>
              <w:top w:val="nil"/>
              <w:left w:val="nil"/>
              <w:bottom w:val="single" w:sz="4" w:space="0" w:color="auto"/>
              <w:right w:val="single" w:sz="4" w:space="0" w:color="auto"/>
            </w:tcBorders>
            <w:shd w:val="clear" w:color="FFF2CC" w:fill="E2EFDA"/>
            <w:noWrap/>
            <w:vAlign w:val="center"/>
            <w:hideMark/>
          </w:tcPr>
          <w:p w:rsidR="0052427B" w:rsidRDefault="0052427B">
            <w:pPr>
              <w:jc w:val="right"/>
              <w:rPr>
                <w:rFonts w:ascii="Calibri" w:hAnsi="Calibri" w:cs="Calibri"/>
                <w:color w:val="000000"/>
                <w:sz w:val="16"/>
                <w:szCs w:val="16"/>
              </w:rPr>
            </w:pPr>
            <w:r>
              <w:rPr>
                <w:rFonts w:ascii="Calibri" w:hAnsi="Calibri" w:cs="Calibri"/>
                <w:color w:val="000000"/>
                <w:sz w:val="16"/>
                <w:szCs w:val="16"/>
              </w:rPr>
              <w:t>20 500 000,00</w:t>
            </w:r>
          </w:p>
        </w:tc>
        <w:tc>
          <w:tcPr>
            <w:tcW w:w="1349" w:type="dxa"/>
            <w:tcBorders>
              <w:top w:val="nil"/>
              <w:left w:val="nil"/>
              <w:bottom w:val="single" w:sz="4" w:space="0" w:color="auto"/>
              <w:right w:val="single" w:sz="4" w:space="0" w:color="auto"/>
            </w:tcBorders>
            <w:shd w:val="clear" w:color="FFF2CC" w:fill="E2EFDA"/>
            <w:noWrap/>
            <w:vAlign w:val="center"/>
            <w:hideMark/>
          </w:tcPr>
          <w:p w:rsidR="0052427B" w:rsidRDefault="0052427B">
            <w:pPr>
              <w:jc w:val="right"/>
              <w:rPr>
                <w:rFonts w:ascii="Calibri" w:hAnsi="Calibri" w:cs="Calibri"/>
                <w:color w:val="000000"/>
                <w:sz w:val="16"/>
                <w:szCs w:val="16"/>
              </w:rPr>
            </w:pPr>
            <w:r>
              <w:rPr>
                <w:rFonts w:ascii="Calibri" w:hAnsi="Calibri" w:cs="Calibri"/>
                <w:color w:val="000000"/>
                <w:sz w:val="16"/>
                <w:szCs w:val="16"/>
              </w:rPr>
              <w:t>23 728 352,79</w:t>
            </w:r>
          </w:p>
        </w:tc>
        <w:tc>
          <w:tcPr>
            <w:tcW w:w="1276" w:type="dxa"/>
            <w:tcBorders>
              <w:top w:val="nil"/>
              <w:left w:val="nil"/>
              <w:bottom w:val="single" w:sz="4" w:space="0" w:color="auto"/>
              <w:right w:val="single" w:sz="4" w:space="0" w:color="auto"/>
            </w:tcBorders>
            <w:shd w:val="clear" w:color="FFF2CC" w:fill="E2EFDA"/>
            <w:noWrap/>
            <w:vAlign w:val="center"/>
            <w:hideMark/>
          </w:tcPr>
          <w:p w:rsidR="0052427B" w:rsidRDefault="0052427B">
            <w:pPr>
              <w:jc w:val="right"/>
              <w:rPr>
                <w:rFonts w:ascii="Calibri" w:hAnsi="Calibri" w:cs="Calibri"/>
                <w:color w:val="000000"/>
                <w:sz w:val="16"/>
                <w:szCs w:val="16"/>
              </w:rPr>
            </w:pPr>
            <w:r>
              <w:rPr>
                <w:rFonts w:ascii="Calibri" w:hAnsi="Calibri" w:cs="Calibri"/>
                <w:color w:val="000000"/>
                <w:sz w:val="16"/>
                <w:szCs w:val="16"/>
              </w:rPr>
              <w:t>0,00</w:t>
            </w:r>
          </w:p>
        </w:tc>
      </w:tr>
      <w:tr w:rsidR="0052427B" w:rsidTr="0052427B">
        <w:trPr>
          <w:trHeight w:val="300"/>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52427B" w:rsidRDefault="0052427B">
            <w:pPr>
              <w:rPr>
                <w:rFonts w:ascii="Calibri" w:hAnsi="Calibri" w:cs="Calibri"/>
                <w:color w:val="000000"/>
                <w:sz w:val="16"/>
                <w:szCs w:val="16"/>
              </w:rPr>
            </w:pPr>
            <w:r>
              <w:rPr>
                <w:rFonts w:ascii="Calibri" w:hAnsi="Calibri" w:cs="Calibri"/>
                <w:color w:val="000000"/>
                <w:sz w:val="16"/>
                <w:szCs w:val="16"/>
              </w:rPr>
              <w:t> </w:t>
            </w:r>
          </w:p>
        </w:tc>
        <w:tc>
          <w:tcPr>
            <w:tcW w:w="465" w:type="dxa"/>
            <w:tcBorders>
              <w:top w:val="nil"/>
              <w:left w:val="nil"/>
              <w:bottom w:val="single" w:sz="4" w:space="0" w:color="auto"/>
              <w:right w:val="single" w:sz="4" w:space="0" w:color="auto"/>
            </w:tcBorders>
            <w:shd w:val="clear" w:color="auto" w:fill="auto"/>
            <w:noWrap/>
            <w:vAlign w:val="center"/>
            <w:hideMark/>
          </w:tcPr>
          <w:p w:rsidR="0052427B" w:rsidRDefault="0052427B">
            <w:pPr>
              <w:jc w:val="center"/>
              <w:rPr>
                <w:rFonts w:ascii="Calibri" w:hAnsi="Calibri" w:cs="Calibri"/>
                <w:color w:val="000000"/>
                <w:sz w:val="16"/>
                <w:szCs w:val="16"/>
              </w:rPr>
            </w:pPr>
            <w:r>
              <w:rPr>
                <w:rFonts w:ascii="Calibri" w:hAnsi="Calibri" w:cs="Calibri"/>
                <w:color w:val="000000"/>
                <w:sz w:val="16"/>
                <w:szCs w:val="16"/>
              </w:rPr>
              <w:t>6341</w:t>
            </w:r>
          </w:p>
        </w:tc>
        <w:tc>
          <w:tcPr>
            <w:tcW w:w="4675" w:type="dxa"/>
            <w:tcBorders>
              <w:top w:val="nil"/>
              <w:left w:val="nil"/>
              <w:bottom w:val="single" w:sz="4" w:space="0" w:color="auto"/>
              <w:right w:val="single" w:sz="4" w:space="0" w:color="auto"/>
            </w:tcBorders>
            <w:shd w:val="clear" w:color="auto" w:fill="auto"/>
            <w:vAlign w:val="center"/>
            <w:hideMark/>
          </w:tcPr>
          <w:p w:rsidR="0052427B" w:rsidRDefault="0052427B">
            <w:pPr>
              <w:rPr>
                <w:rFonts w:ascii="Calibri" w:hAnsi="Calibri" w:cs="Calibri"/>
                <w:color w:val="000000"/>
                <w:sz w:val="16"/>
                <w:szCs w:val="16"/>
              </w:rPr>
            </w:pPr>
            <w:r>
              <w:rPr>
                <w:rFonts w:ascii="Calibri" w:hAnsi="Calibri" w:cs="Calibri"/>
                <w:color w:val="000000"/>
                <w:sz w:val="16"/>
                <w:szCs w:val="16"/>
              </w:rPr>
              <w:t>Investiční transfery obcím</w:t>
            </w:r>
          </w:p>
        </w:tc>
        <w:tc>
          <w:tcPr>
            <w:tcW w:w="1344" w:type="dxa"/>
            <w:tcBorders>
              <w:top w:val="nil"/>
              <w:left w:val="nil"/>
              <w:bottom w:val="single" w:sz="4" w:space="0" w:color="auto"/>
              <w:right w:val="single" w:sz="4" w:space="0" w:color="auto"/>
            </w:tcBorders>
            <w:shd w:val="clear" w:color="auto" w:fill="auto"/>
            <w:noWrap/>
            <w:vAlign w:val="center"/>
            <w:hideMark/>
          </w:tcPr>
          <w:p w:rsidR="0052427B" w:rsidRDefault="0052427B">
            <w:pPr>
              <w:jc w:val="right"/>
              <w:rPr>
                <w:rFonts w:ascii="Calibri" w:hAnsi="Calibri" w:cs="Calibri"/>
                <w:color w:val="000000"/>
                <w:sz w:val="16"/>
                <w:szCs w:val="16"/>
              </w:rPr>
            </w:pPr>
            <w:r>
              <w:rPr>
                <w:rFonts w:ascii="Calibri" w:hAnsi="Calibri" w:cs="Calibri"/>
                <w:color w:val="000000"/>
                <w:sz w:val="16"/>
                <w:szCs w:val="16"/>
              </w:rPr>
              <w:t>500 000,00</w:t>
            </w:r>
          </w:p>
        </w:tc>
        <w:tc>
          <w:tcPr>
            <w:tcW w:w="1349" w:type="dxa"/>
            <w:tcBorders>
              <w:top w:val="nil"/>
              <w:left w:val="nil"/>
              <w:bottom w:val="single" w:sz="4" w:space="0" w:color="auto"/>
              <w:right w:val="single" w:sz="4" w:space="0" w:color="auto"/>
            </w:tcBorders>
            <w:shd w:val="clear" w:color="auto" w:fill="auto"/>
            <w:noWrap/>
            <w:vAlign w:val="center"/>
            <w:hideMark/>
          </w:tcPr>
          <w:p w:rsidR="0052427B" w:rsidRDefault="0052427B">
            <w:pPr>
              <w:jc w:val="right"/>
              <w:rPr>
                <w:rFonts w:ascii="Calibri" w:hAnsi="Calibri" w:cs="Calibri"/>
                <w:color w:val="000000"/>
                <w:sz w:val="16"/>
                <w:szCs w:val="16"/>
              </w:rPr>
            </w:pPr>
            <w:r>
              <w:rPr>
                <w:rFonts w:ascii="Calibri" w:hAnsi="Calibri" w:cs="Calibri"/>
                <w:color w:val="000000"/>
                <w:sz w:val="16"/>
                <w:szCs w:val="16"/>
              </w:rPr>
              <w:t>500 000,00</w:t>
            </w:r>
          </w:p>
        </w:tc>
        <w:tc>
          <w:tcPr>
            <w:tcW w:w="1276" w:type="dxa"/>
            <w:tcBorders>
              <w:top w:val="nil"/>
              <w:left w:val="nil"/>
              <w:bottom w:val="single" w:sz="4" w:space="0" w:color="auto"/>
              <w:right w:val="single" w:sz="4" w:space="0" w:color="auto"/>
            </w:tcBorders>
            <w:shd w:val="clear" w:color="auto" w:fill="auto"/>
            <w:noWrap/>
            <w:vAlign w:val="center"/>
            <w:hideMark/>
          </w:tcPr>
          <w:p w:rsidR="0052427B" w:rsidRDefault="0052427B">
            <w:pPr>
              <w:jc w:val="right"/>
              <w:rPr>
                <w:rFonts w:ascii="Calibri" w:hAnsi="Calibri" w:cs="Calibri"/>
                <w:color w:val="000000"/>
                <w:sz w:val="16"/>
                <w:szCs w:val="16"/>
              </w:rPr>
            </w:pPr>
            <w:r>
              <w:rPr>
                <w:rFonts w:ascii="Calibri" w:hAnsi="Calibri" w:cs="Calibri"/>
                <w:color w:val="000000"/>
                <w:sz w:val="16"/>
                <w:szCs w:val="16"/>
              </w:rPr>
              <w:t>0,00</w:t>
            </w:r>
          </w:p>
        </w:tc>
      </w:tr>
      <w:tr w:rsidR="0052427B" w:rsidTr="0052427B">
        <w:trPr>
          <w:trHeight w:val="300"/>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52427B" w:rsidRDefault="0052427B">
            <w:pPr>
              <w:rPr>
                <w:rFonts w:ascii="Calibri" w:hAnsi="Calibri" w:cs="Calibri"/>
                <w:color w:val="000000"/>
                <w:sz w:val="16"/>
                <w:szCs w:val="16"/>
              </w:rPr>
            </w:pPr>
            <w:r>
              <w:rPr>
                <w:rFonts w:ascii="Calibri" w:hAnsi="Calibri" w:cs="Calibri"/>
                <w:color w:val="000000"/>
                <w:sz w:val="16"/>
                <w:szCs w:val="16"/>
              </w:rPr>
              <w:t> </w:t>
            </w:r>
          </w:p>
        </w:tc>
        <w:tc>
          <w:tcPr>
            <w:tcW w:w="465" w:type="dxa"/>
            <w:tcBorders>
              <w:top w:val="nil"/>
              <w:left w:val="nil"/>
              <w:bottom w:val="single" w:sz="4" w:space="0" w:color="auto"/>
              <w:right w:val="single" w:sz="4" w:space="0" w:color="auto"/>
            </w:tcBorders>
            <w:shd w:val="clear" w:color="auto" w:fill="auto"/>
            <w:noWrap/>
            <w:vAlign w:val="center"/>
            <w:hideMark/>
          </w:tcPr>
          <w:p w:rsidR="0052427B" w:rsidRDefault="0052427B">
            <w:pPr>
              <w:jc w:val="center"/>
              <w:rPr>
                <w:rFonts w:ascii="Calibri" w:hAnsi="Calibri" w:cs="Calibri"/>
                <w:color w:val="000000"/>
                <w:sz w:val="16"/>
                <w:szCs w:val="16"/>
              </w:rPr>
            </w:pPr>
            <w:r>
              <w:rPr>
                <w:rFonts w:ascii="Calibri" w:hAnsi="Calibri" w:cs="Calibri"/>
                <w:color w:val="000000"/>
                <w:sz w:val="16"/>
                <w:szCs w:val="16"/>
              </w:rPr>
              <w:t>6342</w:t>
            </w:r>
          </w:p>
        </w:tc>
        <w:tc>
          <w:tcPr>
            <w:tcW w:w="4675" w:type="dxa"/>
            <w:tcBorders>
              <w:top w:val="nil"/>
              <w:left w:val="nil"/>
              <w:bottom w:val="single" w:sz="4" w:space="0" w:color="auto"/>
              <w:right w:val="single" w:sz="4" w:space="0" w:color="auto"/>
            </w:tcBorders>
            <w:shd w:val="clear" w:color="auto" w:fill="auto"/>
            <w:vAlign w:val="center"/>
            <w:hideMark/>
          </w:tcPr>
          <w:p w:rsidR="0052427B" w:rsidRDefault="0052427B">
            <w:pPr>
              <w:rPr>
                <w:rFonts w:ascii="Calibri" w:hAnsi="Calibri" w:cs="Calibri"/>
                <w:color w:val="000000"/>
                <w:sz w:val="16"/>
                <w:szCs w:val="16"/>
              </w:rPr>
            </w:pPr>
            <w:r>
              <w:rPr>
                <w:rFonts w:ascii="Calibri" w:hAnsi="Calibri" w:cs="Calibri"/>
                <w:color w:val="000000"/>
                <w:sz w:val="16"/>
                <w:szCs w:val="16"/>
              </w:rPr>
              <w:t>Investiční transfery krajům</w:t>
            </w:r>
          </w:p>
        </w:tc>
        <w:tc>
          <w:tcPr>
            <w:tcW w:w="1344" w:type="dxa"/>
            <w:tcBorders>
              <w:top w:val="nil"/>
              <w:left w:val="nil"/>
              <w:bottom w:val="single" w:sz="4" w:space="0" w:color="auto"/>
              <w:right w:val="single" w:sz="4" w:space="0" w:color="auto"/>
            </w:tcBorders>
            <w:shd w:val="clear" w:color="auto" w:fill="auto"/>
            <w:noWrap/>
            <w:vAlign w:val="center"/>
            <w:hideMark/>
          </w:tcPr>
          <w:p w:rsidR="0052427B" w:rsidRDefault="0052427B">
            <w:pPr>
              <w:jc w:val="right"/>
              <w:rPr>
                <w:rFonts w:ascii="Calibri" w:hAnsi="Calibri" w:cs="Calibri"/>
                <w:color w:val="000000"/>
                <w:sz w:val="16"/>
                <w:szCs w:val="16"/>
              </w:rPr>
            </w:pPr>
            <w:r>
              <w:rPr>
                <w:rFonts w:ascii="Calibri" w:hAnsi="Calibri" w:cs="Calibri"/>
                <w:color w:val="000000"/>
                <w:sz w:val="16"/>
                <w:szCs w:val="16"/>
              </w:rPr>
              <w:t>20 000 000,00</w:t>
            </w:r>
          </w:p>
        </w:tc>
        <w:tc>
          <w:tcPr>
            <w:tcW w:w="1349" w:type="dxa"/>
            <w:tcBorders>
              <w:top w:val="nil"/>
              <w:left w:val="nil"/>
              <w:bottom w:val="single" w:sz="4" w:space="0" w:color="auto"/>
              <w:right w:val="single" w:sz="4" w:space="0" w:color="auto"/>
            </w:tcBorders>
            <w:shd w:val="clear" w:color="auto" w:fill="auto"/>
            <w:noWrap/>
            <w:vAlign w:val="center"/>
            <w:hideMark/>
          </w:tcPr>
          <w:p w:rsidR="0052427B" w:rsidRDefault="0052427B">
            <w:pPr>
              <w:jc w:val="right"/>
              <w:rPr>
                <w:rFonts w:ascii="Calibri" w:hAnsi="Calibri" w:cs="Calibri"/>
                <w:color w:val="000000"/>
                <w:sz w:val="16"/>
                <w:szCs w:val="16"/>
              </w:rPr>
            </w:pPr>
            <w:r>
              <w:rPr>
                <w:rFonts w:ascii="Calibri" w:hAnsi="Calibri" w:cs="Calibri"/>
                <w:color w:val="000000"/>
                <w:sz w:val="16"/>
                <w:szCs w:val="16"/>
              </w:rPr>
              <w:t>23 228 352,79</w:t>
            </w:r>
          </w:p>
        </w:tc>
        <w:tc>
          <w:tcPr>
            <w:tcW w:w="1276" w:type="dxa"/>
            <w:tcBorders>
              <w:top w:val="nil"/>
              <w:left w:val="nil"/>
              <w:bottom w:val="single" w:sz="4" w:space="0" w:color="auto"/>
              <w:right w:val="single" w:sz="4" w:space="0" w:color="auto"/>
            </w:tcBorders>
            <w:shd w:val="clear" w:color="auto" w:fill="auto"/>
            <w:noWrap/>
            <w:vAlign w:val="center"/>
            <w:hideMark/>
          </w:tcPr>
          <w:p w:rsidR="0052427B" w:rsidRDefault="0052427B">
            <w:pPr>
              <w:jc w:val="right"/>
              <w:rPr>
                <w:rFonts w:ascii="Calibri" w:hAnsi="Calibri" w:cs="Calibri"/>
                <w:color w:val="000000"/>
                <w:sz w:val="16"/>
                <w:szCs w:val="16"/>
              </w:rPr>
            </w:pPr>
            <w:r>
              <w:rPr>
                <w:rFonts w:ascii="Calibri" w:hAnsi="Calibri" w:cs="Calibri"/>
                <w:color w:val="000000"/>
                <w:sz w:val="16"/>
                <w:szCs w:val="16"/>
              </w:rPr>
              <w:t>0,00</w:t>
            </w:r>
          </w:p>
        </w:tc>
      </w:tr>
      <w:tr w:rsidR="0052427B" w:rsidTr="0052427B">
        <w:trPr>
          <w:trHeight w:val="300"/>
        </w:trPr>
        <w:tc>
          <w:tcPr>
            <w:tcW w:w="384" w:type="dxa"/>
            <w:tcBorders>
              <w:top w:val="nil"/>
              <w:left w:val="single" w:sz="4" w:space="0" w:color="auto"/>
              <w:bottom w:val="single" w:sz="4" w:space="0" w:color="auto"/>
              <w:right w:val="single" w:sz="4" w:space="0" w:color="auto"/>
            </w:tcBorders>
            <w:shd w:val="clear" w:color="FFF2CC" w:fill="E2EFDA"/>
            <w:noWrap/>
            <w:vAlign w:val="center"/>
            <w:hideMark/>
          </w:tcPr>
          <w:p w:rsidR="0052427B" w:rsidRDefault="0052427B">
            <w:pPr>
              <w:jc w:val="right"/>
              <w:rPr>
                <w:rFonts w:ascii="Calibri" w:hAnsi="Calibri" w:cs="Calibri"/>
                <w:color w:val="000000"/>
                <w:sz w:val="16"/>
                <w:szCs w:val="16"/>
              </w:rPr>
            </w:pPr>
            <w:r>
              <w:rPr>
                <w:rFonts w:ascii="Calibri" w:hAnsi="Calibri" w:cs="Calibri"/>
                <w:color w:val="000000"/>
                <w:sz w:val="16"/>
                <w:szCs w:val="16"/>
              </w:rPr>
              <w:t>635</w:t>
            </w:r>
          </w:p>
        </w:tc>
        <w:tc>
          <w:tcPr>
            <w:tcW w:w="5140" w:type="dxa"/>
            <w:gridSpan w:val="2"/>
            <w:tcBorders>
              <w:top w:val="single" w:sz="4" w:space="0" w:color="auto"/>
              <w:left w:val="nil"/>
              <w:bottom w:val="single" w:sz="4" w:space="0" w:color="auto"/>
              <w:right w:val="single" w:sz="4" w:space="0" w:color="000000"/>
            </w:tcBorders>
            <w:shd w:val="clear" w:color="FFF2CC" w:fill="E2EFDA"/>
            <w:noWrap/>
            <w:vAlign w:val="center"/>
            <w:hideMark/>
          </w:tcPr>
          <w:p w:rsidR="0052427B" w:rsidRDefault="0052427B">
            <w:pPr>
              <w:rPr>
                <w:rFonts w:ascii="Calibri" w:hAnsi="Calibri" w:cs="Calibri"/>
                <w:color w:val="000000"/>
                <w:sz w:val="16"/>
                <w:szCs w:val="16"/>
              </w:rPr>
            </w:pPr>
            <w:r>
              <w:rPr>
                <w:rFonts w:ascii="Calibri" w:hAnsi="Calibri" w:cs="Calibri"/>
                <w:color w:val="000000"/>
                <w:sz w:val="16"/>
                <w:szCs w:val="16"/>
              </w:rPr>
              <w:t>Investiční transfery příspěvkovým a podobným organizacím</w:t>
            </w:r>
          </w:p>
        </w:tc>
        <w:tc>
          <w:tcPr>
            <w:tcW w:w="1344" w:type="dxa"/>
            <w:tcBorders>
              <w:top w:val="nil"/>
              <w:left w:val="nil"/>
              <w:bottom w:val="single" w:sz="4" w:space="0" w:color="auto"/>
              <w:right w:val="single" w:sz="4" w:space="0" w:color="auto"/>
            </w:tcBorders>
            <w:shd w:val="clear" w:color="FFF2CC" w:fill="E2EFDA"/>
            <w:noWrap/>
            <w:vAlign w:val="center"/>
            <w:hideMark/>
          </w:tcPr>
          <w:p w:rsidR="0052427B" w:rsidRDefault="0052427B">
            <w:pPr>
              <w:jc w:val="right"/>
              <w:rPr>
                <w:rFonts w:ascii="Calibri" w:hAnsi="Calibri" w:cs="Calibri"/>
                <w:color w:val="000000"/>
                <w:sz w:val="16"/>
                <w:szCs w:val="16"/>
              </w:rPr>
            </w:pPr>
            <w:r>
              <w:rPr>
                <w:rFonts w:ascii="Calibri" w:hAnsi="Calibri" w:cs="Calibri"/>
                <w:color w:val="000000"/>
                <w:sz w:val="16"/>
                <w:szCs w:val="16"/>
              </w:rPr>
              <w:t>7 133 168,00</w:t>
            </w:r>
          </w:p>
        </w:tc>
        <w:tc>
          <w:tcPr>
            <w:tcW w:w="1349" w:type="dxa"/>
            <w:tcBorders>
              <w:top w:val="nil"/>
              <w:left w:val="nil"/>
              <w:bottom w:val="single" w:sz="4" w:space="0" w:color="auto"/>
              <w:right w:val="single" w:sz="4" w:space="0" w:color="auto"/>
            </w:tcBorders>
            <w:shd w:val="clear" w:color="FFF2CC" w:fill="E2EFDA"/>
            <w:noWrap/>
            <w:vAlign w:val="center"/>
            <w:hideMark/>
          </w:tcPr>
          <w:p w:rsidR="0052427B" w:rsidRDefault="0052427B">
            <w:pPr>
              <w:jc w:val="right"/>
              <w:rPr>
                <w:rFonts w:ascii="Calibri" w:hAnsi="Calibri" w:cs="Calibri"/>
                <w:color w:val="000000"/>
                <w:sz w:val="16"/>
                <w:szCs w:val="16"/>
              </w:rPr>
            </w:pPr>
            <w:r>
              <w:rPr>
                <w:rFonts w:ascii="Calibri" w:hAnsi="Calibri" w:cs="Calibri"/>
                <w:color w:val="000000"/>
                <w:sz w:val="16"/>
                <w:szCs w:val="16"/>
              </w:rPr>
              <w:t>716 271,00</w:t>
            </w:r>
          </w:p>
        </w:tc>
        <w:tc>
          <w:tcPr>
            <w:tcW w:w="1276" w:type="dxa"/>
            <w:tcBorders>
              <w:top w:val="nil"/>
              <w:left w:val="nil"/>
              <w:bottom w:val="single" w:sz="4" w:space="0" w:color="auto"/>
              <w:right w:val="single" w:sz="4" w:space="0" w:color="auto"/>
            </w:tcBorders>
            <w:shd w:val="clear" w:color="FFF2CC" w:fill="E2EFDA"/>
            <w:noWrap/>
            <w:vAlign w:val="center"/>
            <w:hideMark/>
          </w:tcPr>
          <w:p w:rsidR="0052427B" w:rsidRDefault="0052427B">
            <w:pPr>
              <w:jc w:val="right"/>
              <w:rPr>
                <w:rFonts w:ascii="Calibri" w:hAnsi="Calibri" w:cs="Calibri"/>
                <w:color w:val="000000"/>
                <w:sz w:val="16"/>
                <w:szCs w:val="16"/>
              </w:rPr>
            </w:pPr>
            <w:r>
              <w:rPr>
                <w:rFonts w:ascii="Calibri" w:hAnsi="Calibri" w:cs="Calibri"/>
                <w:color w:val="000000"/>
                <w:sz w:val="16"/>
                <w:szCs w:val="16"/>
              </w:rPr>
              <w:t>5 412 677,80</w:t>
            </w:r>
          </w:p>
        </w:tc>
      </w:tr>
      <w:tr w:rsidR="0052427B" w:rsidTr="0052427B">
        <w:trPr>
          <w:trHeight w:val="300"/>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52427B" w:rsidRDefault="0052427B">
            <w:pPr>
              <w:rPr>
                <w:rFonts w:ascii="Calibri" w:hAnsi="Calibri" w:cs="Calibri"/>
                <w:color w:val="000000"/>
                <w:sz w:val="16"/>
                <w:szCs w:val="16"/>
              </w:rPr>
            </w:pPr>
            <w:r>
              <w:rPr>
                <w:rFonts w:ascii="Calibri" w:hAnsi="Calibri" w:cs="Calibri"/>
                <w:color w:val="000000"/>
                <w:sz w:val="16"/>
                <w:szCs w:val="16"/>
              </w:rPr>
              <w:t> </w:t>
            </w:r>
          </w:p>
        </w:tc>
        <w:tc>
          <w:tcPr>
            <w:tcW w:w="465" w:type="dxa"/>
            <w:tcBorders>
              <w:top w:val="nil"/>
              <w:left w:val="nil"/>
              <w:bottom w:val="single" w:sz="4" w:space="0" w:color="auto"/>
              <w:right w:val="single" w:sz="4" w:space="0" w:color="auto"/>
            </w:tcBorders>
            <w:shd w:val="clear" w:color="auto" w:fill="auto"/>
            <w:noWrap/>
            <w:vAlign w:val="center"/>
            <w:hideMark/>
          </w:tcPr>
          <w:p w:rsidR="0052427B" w:rsidRDefault="0052427B">
            <w:pPr>
              <w:jc w:val="center"/>
              <w:rPr>
                <w:rFonts w:ascii="Calibri" w:hAnsi="Calibri" w:cs="Calibri"/>
                <w:color w:val="000000"/>
                <w:sz w:val="16"/>
                <w:szCs w:val="16"/>
              </w:rPr>
            </w:pPr>
            <w:r>
              <w:rPr>
                <w:rFonts w:ascii="Calibri" w:hAnsi="Calibri" w:cs="Calibri"/>
                <w:color w:val="000000"/>
                <w:sz w:val="16"/>
                <w:szCs w:val="16"/>
              </w:rPr>
              <w:t>6351</w:t>
            </w:r>
          </w:p>
        </w:tc>
        <w:tc>
          <w:tcPr>
            <w:tcW w:w="4675" w:type="dxa"/>
            <w:tcBorders>
              <w:top w:val="nil"/>
              <w:left w:val="nil"/>
              <w:bottom w:val="single" w:sz="4" w:space="0" w:color="auto"/>
              <w:right w:val="single" w:sz="4" w:space="0" w:color="auto"/>
            </w:tcBorders>
            <w:shd w:val="clear" w:color="auto" w:fill="auto"/>
            <w:vAlign w:val="center"/>
            <w:hideMark/>
          </w:tcPr>
          <w:p w:rsidR="0052427B" w:rsidRDefault="0052427B">
            <w:pPr>
              <w:rPr>
                <w:rFonts w:ascii="Calibri" w:hAnsi="Calibri" w:cs="Calibri"/>
                <w:color w:val="000000"/>
                <w:sz w:val="16"/>
                <w:szCs w:val="16"/>
              </w:rPr>
            </w:pPr>
            <w:r>
              <w:rPr>
                <w:rFonts w:ascii="Calibri" w:hAnsi="Calibri" w:cs="Calibri"/>
                <w:color w:val="000000"/>
                <w:sz w:val="16"/>
                <w:szCs w:val="16"/>
              </w:rPr>
              <w:t>Investiční transfery zřízeným příspěvkovým organizacím</w:t>
            </w:r>
          </w:p>
        </w:tc>
        <w:tc>
          <w:tcPr>
            <w:tcW w:w="1344" w:type="dxa"/>
            <w:tcBorders>
              <w:top w:val="nil"/>
              <w:left w:val="nil"/>
              <w:bottom w:val="single" w:sz="4" w:space="0" w:color="auto"/>
              <w:right w:val="single" w:sz="4" w:space="0" w:color="auto"/>
            </w:tcBorders>
            <w:shd w:val="clear" w:color="auto" w:fill="auto"/>
            <w:noWrap/>
            <w:vAlign w:val="center"/>
            <w:hideMark/>
          </w:tcPr>
          <w:p w:rsidR="0052427B" w:rsidRDefault="0052427B">
            <w:pPr>
              <w:jc w:val="right"/>
              <w:rPr>
                <w:rFonts w:ascii="Calibri" w:hAnsi="Calibri" w:cs="Calibri"/>
                <w:color w:val="000000"/>
                <w:sz w:val="16"/>
                <w:szCs w:val="16"/>
              </w:rPr>
            </w:pPr>
            <w:r>
              <w:rPr>
                <w:rFonts w:ascii="Calibri" w:hAnsi="Calibri" w:cs="Calibri"/>
                <w:color w:val="000000"/>
                <w:sz w:val="16"/>
                <w:szCs w:val="16"/>
              </w:rPr>
              <w:t>7 023 332,00</w:t>
            </w:r>
          </w:p>
        </w:tc>
        <w:tc>
          <w:tcPr>
            <w:tcW w:w="1349" w:type="dxa"/>
            <w:tcBorders>
              <w:top w:val="nil"/>
              <w:left w:val="nil"/>
              <w:bottom w:val="single" w:sz="4" w:space="0" w:color="auto"/>
              <w:right w:val="single" w:sz="4" w:space="0" w:color="auto"/>
            </w:tcBorders>
            <w:shd w:val="clear" w:color="auto" w:fill="auto"/>
            <w:noWrap/>
            <w:vAlign w:val="center"/>
            <w:hideMark/>
          </w:tcPr>
          <w:p w:rsidR="0052427B" w:rsidRDefault="0052427B">
            <w:pPr>
              <w:jc w:val="right"/>
              <w:rPr>
                <w:rFonts w:ascii="Calibri" w:hAnsi="Calibri" w:cs="Calibri"/>
                <w:color w:val="000000"/>
                <w:sz w:val="16"/>
                <w:szCs w:val="16"/>
              </w:rPr>
            </w:pPr>
            <w:r>
              <w:rPr>
                <w:rFonts w:ascii="Calibri" w:hAnsi="Calibri" w:cs="Calibri"/>
                <w:color w:val="000000"/>
                <w:sz w:val="16"/>
                <w:szCs w:val="16"/>
              </w:rPr>
              <w:t>572 640,00</w:t>
            </w:r>
          </w:p>
        </w:tc>
        <w:tc>
          <w:tcPr>
            <w:tcW w:w="1276" w:type="dxa"/>
            <w:tcBorders>
              <w:top w:val="nil"/>
              <w:left w:val="nil"/>
              <w:bottom w:val="single" w:sz="4" w:space="0" w:color="auto"/>
              <w:right w:val="single" w:sz="4" w:space="0" w:color="auto"/>
            </w:tcBorders>
            <w:shd w:val="clear" w:color="auto" w:fill="auto"/>
            <w:noWrap/>
            <w:vAlign w:val="center"/>
            <w:hideMark/>
          </w:tcPr>
          <w:p w:rsidR="0052427B" w:rsidRDefault="0052427B">
            <w:pPr>
              <w:jc w:val="right"/>
              <w:rPr>
                <w:rFonts w:ascii="Calibri" w:hAnsi="Calibri" w:cs="Calibri"/>
                <w:color w:val="000000"/>
                <w:sz w:val="16"/>
                <w:szCs w:val="16"/>
              </w:rPr>
            </w:pPr>
            <w:r>
              <w:rPr>
                <w:rFonts w:ascii="Calibri" w:hAnsi="Calibri" w:cs="Calibri"/>
                <w:color w:val="000000"/>
                <w:sz w:val="16"/>
                <w:szCs w:val="16"/>
              </w:rPr>
              <w:t>4 494 485,80</w:t>
            </w:r>
          </w:p>
        </w:tc>
      </w:tr>
      <w:tr w:rsidR="0052427B" w:rsidTr="0052427B">
        <w:trPr>
          <w:trHeight w:val="300"/>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rsidR="0052427B" w:rsidRDefault="0052427B">
            <w:pPr>
              <w:rPr>
                <w:rFonts w:ascii="Calibri" w:hAnsi="Calibri" w:cs="Calibri"/>
                <w:color w:val="000000"/>
                <w:sz w:val="16"/>
                <w:szCs w:val="16"/>
              </w:rPr>
            </w:pPr>
            <w:r>
              <w:rPr>
                <w:rFonts w:ascii="Calibri" w:hAnsi="Calibri" w:cs="Calibri"/>
                <w:color w:val="000000"/>
                <w:sz w:val="16"/>
                <w:szCs w:val="16"/>
              </w:rPr>
              <w:t> </w:t>
            </w:r>
          </w:p>
        </w:tc>
        <w:tc>
          <w:tcPr>
            <w:tcW w:w="465" w:type="dxa"/>
            <w:tcBorders>
              <w:top w:val="nil"/>
              <w:left w:val="nil"/>
              <w:bottom w:val="single" w:sz="4" w:space="0" w:color="auto"/>
              <w:right w:val="single" w:sz="4" w:space="0" w:color="auto"/>
            </w:tcBorders>
            <w:shd w:val="clear" w:color="auto" w:fill="auto"/>
            <w:noWrap/>
            <w:vAlign w:val="center"/>
            <w:hideMark/>
          </w:tcPr>
          <w:p w:rsidR="0052427B" w:rsidRDefault="0052427B">
            <w:pPr>
              <w:jc w:val="center"/>
              <w:rPr>
                <w:rFonts w:ascii="Calibri" w:hAnsi="Calibri" w:cs="Calibri"/>
                <w:color w:val="000000"/>
                <w:sz w:val="16"/>
                <w:szCs w:val="16"/>
              </w:rPr>
            </w:pPr>
            <w:r>
              <w:rPr>
                <w:rFonts w:ascii="Calibri" w:hAnsi="Calibri" w:cs="Calibri"/>
                <w:color w:val="000000"/>
                <w:sz w:val="16"/>
                <w:szCs w:val="16"/>
              </w:rPr>
              <w:t>6356</w:t>
            </w:r>
          </w:p>
        </w:tc>
        <w:tc>
          <w:tcPr>
            <w:tcW w:w="4675" w:type="dxa"/>
            <w:tcBorders>
              <w:top w:val="nil"/>
              <w:left w:val="nil"/>
              <w:bottom w:val="single" w:sz="4" w:space="0" w:color="auto"/>
              <w:right w:val="single" w:sz="4" w:space="0" w:color="auto"/>
            </w:tcBorders>
            <w:shd w:val="clear" w:color="auto" w:fill="auto"/>
            <w:vAlign w:val="center"/>
            <w:hideMark/>
          </w:tcPr>
          <w:p w:rsidR="0052427B" w:rsidRDefault="0052427B">
            <w:pPr>
              <w:rPr>
                <w:rFonts w:ascii="Calibri" w:hAnsi="Calibri" w:cs="Calibri"/>
                <w:color w:val="000000"/>
                <w:sz w:val="16"/>
                <w:szCs w:val="16"/>
              </w:rPr>
            </w:pPr>
            <w:r>
              <w:rPr>
                <w:rFonts w:ascii="Calibri" w:hAnsi="Calibri" w:cs="Calibri"/>
                <w:color w:val="000000"/>
                <w:sz w:val="16"/>
                <w:szCs w:val="16"/>
              </w:rPr>
              <w:t>Jiné investiční transfery zřízeným příspěvkovým organizacím</w:t>
            </w:r>
          </w:p>
        </w:tc>
        <w:tc>
          <w:tcPr>
            <w:tcW w:w="1344" w:type="dxa"/>
            <w:tcBorders>
              <w:top w:val="nil"/>
              <w:left w:val="nil"/>
              <w:bottom w:val="single" w:sz="4" w:space="0" w:color="auto"/>
              <w:right w:val="single" w:sz="4" w:space="0" w:color="auto"/>
            </w:tcBorders>
            <w:shd w:val="clear" w:color="auto" w:fill="auto"/>
            <w:noWrap/>
            <w:vAlign w:val="center"/>
            <w:hideMark/>
          </w:tcPr>
          <w:p w:rsidR="0052427B" w:rsidRDefault="0052427B">
            <w:pPr>
              <w:jc w:val="right"/>
              <w:rPr>
                <w:rFonts w:ascii="Calibri" w:hAnsi="Calibri" w:cs="Calibri"/>
                <w:color w:val="000000"/>
                <w:sz w:val="16"/>
                <w:szCs w:val="16"/>
              </w:rPr>
            </w:pPr>
            <w:r>
              <w:rPr>
                <w:rFonts w:ascii="Calibri" w:hAnsi="Calibri" w:cs="Calibri"/>
                <w:color w:val="000000"/>
                <w:sz w:val="16"/>
                <w:szCs w:val="16"/>
              </w:rPr>
              <w:t>109 836,00</w:t>
            </w:r>
          </w:p>
        </w:tc>
        <w:tc>
          <w:tcPr>
            <w:tcW w:w="1349" w:type="dxa"/>
            <w:tcBorders>
              <w:top w:val="nil"/>
              <w:left w:val="nil"/>
              <w:bottom w:val="single" w:sz="4" w:space="0" w:color="auto"/>
              <w:right w:val="single" w:sz="4" w:space="0" w:color="auto"/>
            </w:tcBorders>
            <w:shd w:val="clear" w:color="auto" w:fill="auto"/>
            <w:noWrap/>
            <w:vAlign w:val="center"/>
            <w:hideMark/>
          </w:tcPr>
          <w:p w:rsidR="0052427B" w:rsidRDefault="0052427B">
            <w:pPr>
              <w:jc w:val="right"/>
              <w:rPr>
                <w:rFonts w:ascii="Calibri" w:hAnsi="Calibri" w:cs="Calibri"/>
                <w:color w:val="000000"/>
                <w:sz w:val="16"/>
                <w:szCs w:val="16"/>
              </w:rPr>
            </w:pPr>
            <w:r>
              <w:rPr>
                <w:rFonts w:ascii="Calibri" w:hAnsi="Calibri" w:cs="Calibri"/>
                <w:color w:val="000000"/>
                <w:sz w:val="16"/>
                <w:szCs w:val="16"/>
              </w:rPr>
              <w:t>143 631,00</w:t>
            </w:r>
          </w:p>
        </w:tc>
        <w:tc>
          <w:tcPr>
            <w:tcW w:w="1276" w:type="dxa"/>
            <w:tcBorders>
              <w:top w:val="nil"/>
              <w:left w:val="nil"/>
              <w:bottom w:val="single" w:sz="4" w:space="0" w:color="auto"/>
              <w:right w:val="single" w:sz="4" w:space="0" w:color="auto"/>
            </w:tcBorders>
            <w:shd w:val="clear" w:color="auto" w:fill="auto"/>
            <w:noWrap/>
            <w:vAlign w:val="center"/>
            <w:hideMark/>
          </w:tcPr>
          <w:p w:rsidR="0052427B" w:rsidRDefault="0052427B">
            <w:pPr>
              <w:jc w:val="right"/>
              <w:rPr>
                <w:rFonts w:ascii="Calibri" w:hAnsi="Calibri" w:cs="Calibri"/>
                <w:color w:val="000000"/>
                <w:sz w:val="16"/>
                <w:szCs w:val="16"/>
              </w:rPr>
            </w:pPr>
            <w:r>
              <w:rPr>
                <w:rFonts w:ascii="Calibri" w:hAnsi="Calibri" w:cs="Calibri"/>
                <w:color w:val="000000"/>
                <w:sz w:val="16"/>
                <w:szCs w:val="16"/>
              </w:rPr>
              <w:t>918 192,00</w:t>
            </w:r>
          </w:p>
        </w:tc>
      </w:tr>
    </w:tbl>
    <w:p w:rsidR="0052427B" w:rsidRDefault="0052427B" w:rsidP="0052427B"/>
    <w:p w:rsidR="0052427B" w:rsidRPr="0052427B" w:rsidRDefault="0052427B" w:rsidP="0052427B"/>
    <w:p w:rsidR="005761DE" w:rsidRPr="005761DE" w:rsidRDefault="009758AB" w:rsidP="009758AB">
      <w:pPr>
        <w:jc w:val="center"/>
      </w:pPr>
      <w:r>
        <w:rPr>
          <w:noProof/>
        </w:rPr>
        <w:drawing>
          <wp:inline distT="0" distB="0" distL="0" distR="0" wp14:anchorId="5169D568" wp14:editId="03A65E6D">
            <wp:extent cx="4098405" cy="2742960"/>
            <wp:effectExtent l="0" t="0" r="16510" b="635"/>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CB0783" w:rsidRPr="00CB0783" w:rsidRDefault="00CB0783" w:rsidP="005761DE">
      <w:pPr>
        <w:jc w:val="center"/>
      </w:pPr>
    </w:p>
    <w:p w:rsidR="00D0645E" w:rsidRPr="00D0645E" w:rsidRDefault="00D0645E" w:rsidP="00D0645E"/>
    <w:p w:rsidR="004E233A" w:rsidRDefault="00C31E5B" w:rsidP="00303F7C">
      <w:pPr>
        <w:pStyle w:val="Nadpis1"/>
        <w:shd w:val="clear" w:color="auto" w:fill="FFFFFF" w:themeFill="background1"/>
      </w:pPr>
      <w:bookmarkStart w:id="37" w:name="_Toc39129521"/>
      <w:r>
        <w:t>Celkové výdaje dle odvětví</w:t>
      </w:r>
      <w:bookmarkEnd w:id="37"/>
    </w:p>
    <w:p w:rsidR="004E233A" w:rsidRDefault="004E233A" w:rsidP="0024764D">
      <w:pPr>
        <w:pStyle w:val="Nadpis3"/>
        <w:rPr>
          <w:b w:val="0"/>
        </w:rPr>
      </w:pPr>
      <w:bookmarkStart w:id="38" w:name="_Toc39129522"/>
      <w:r w:rsidRPr="00303F7C">
        <w:rPr>
          <w:b w:val="0"/>
        </w:rPr>
        <w:t>Vyhodnocení celkových výdajů za skupiny odvětvového třídění</w:t>
      </w:r>
      <w:r w:rsidR="00A044E4" w:rsidRPr="00303F7C">
        <w:rPr>
          <w:b w:val="0"/>
        </w:rPr>
        <w:t xml:space="preserve"> </w:t>
      </w:r>
      <w:r w:rsidR="00030C98" w:rsidRPr="00303F7C">
        <w:rPr>
          <w:b w:val="0"/>
        </w:rPr>
        <w:t>- rok 202</w:t>
      </w:r>
      <w:r w:rsidR="009758AB">
        <w:rPr>
          <w:b w:val="0"/>
        </w:rPr>
        <w:t xml:space="preserve">2 </w:t>
      </w:r>
      <w:r w:rsidRPr="00303F7C">
        <w:rPr>
          <w:b w:val="0"/>
        </w:rPr>
        <w:t>(v Kč)</w:t>
      </w:r>
      <w:bookmarkEnd w:id="38"/>
    </w:p>
    <w:tbl>
      <w:tblPr>
        <w:tblW w:w="9351" w:type="dxa"/>
        <w:tblCellMar>
          <w:left w:w="70" w:type="dxa"/>
          <w:right w:w="70" w:type="dxa"/>
        </w:tblCellMar>
        <w:tblLook w:val="04A0" w:firstRow="1" w:lastRow="0" w:firstColumn="1" w:lastColumn="0" w:noHBand="0" w:noVBand="1"/>
      </w:tblPr>
      <w:tblGrid>
        <w:gridCol w:w="3823"/>
        <w:gridCol w:w="1559"/>
        <w:gridCol w:w="1559"/>
        <w:gridCol w:w="1559"/>
        <w:gridCol w:w="851"/>
      </w:tblGrid>
      <w:tr w:rsidR="009758AB" w:rsidTr="009758AB">
        <w:trPr>
          <w:trHeight w:val="510"/>
        </w:trPr>
        <w:tc>
          <w:tcPr>
            <w:tcW w:w="3823" w:type="dxa"/>
            <w:tcBorders>
              <w:top w:val="single" w:sz="4" w:space="0" w:color="auto"/>
              <w:left w:val="single" w:sz="4" w:space="0" w:color="auto"/>
              <w:bottom w:val="single" w:sz="4" w:space="0" w:color="auto"/>
              <w:right w:val="single" w:sz="4" w:space="0" w:color="auto"/>
            </w:tcBorders>
            <w:shd w:val="clear" w:color="EE8137" w:fill="F79646"/>
            <w:noWrap/>
            <w:vAlign w:val="center"/>
            <w:hideMark/>
          </w:tcPr>
          <w:p w:rsidR="009758AB" w:rsidRDefault="009758AB">
            <w:pPr>
              <w:jc w:val="center"/>
              <w:rPr>
                <w:rFonts w:ascii="Calibri" w:hAnsi="Calibri" w:cs="Calibri"/>
                <w:color w:val="000000"/>
                <w:sz w:val="20"/>
                <w:szCs w:val="20"/>
              </w:rPr>
            </w:pPr>
            <w:r>
              <w:rPr>
                <w:rFonts w:ascii="Calibri" w:hAnsi="Calibri" w:cs="Calibri"/>
                <w:color w:val="000000"/>
                <w:sz w:val="20"/>
                <w:szCs w:val="20"/>
              </w:rPr>
              <w:t>Název skupiny</w:t>
            </w:r>
          </w:p>
        </w:tc>
        <w:tc>
          <w:tcPr>
            <w:tcW w:w="1559" w:type="dxa"/>
            <w:tcBorders>
              <w:top w:val="single" w:sz="4" w:space="0" w:color="auto"/>
              <w:left w:val="nil"/>
              <w:bottom w:val="single" w:sz="4" w:space="0" w:color="auto"/>
              <w:right w:val="single" w:sz="4" w:space="0" w:color="auto"/>
            </w:tcBorders>
            <w:shd w:val="clear" w:color="EE8137" w:fill="F79646"/>
            <w:noWrap/>
            <w:vAlign w:val="center"/>
            <w:hideMark/>
          </w:tcPr>
          <w:p w:rsidR="009758AB" w:rsidRDefault="009758AB">
            <w:pPr>
              <w:jc w:val="center"/>
              <w:rPr>
                <w:rFonts w:ascii="Calibri" w:hAnsi="Calibri" w:cs="Calibri"/>
                <w:color w:val="000000"/>
                <w:sz w:val="20"/>
                <w:szCs w:val="20"/>
              </w:rPr>
            </w:pPr>
            <w:r>
              <w:rPr>
                <w:rFonts w:ascii="Calibri" w:hAnsi="Calibri" w:cs="Calibri"/>
                <w:color w:val="000000"/>
                <w:sz w:val="20"/>
                <w:szCs w:val="20"/>
              </w:rPr>
              <w:t>Schv. rozpočet</w:t>
            </w:r>
          </w:p>
        </w:tc>
        <w:tc>
          <w:tcPr>
            <w:tcW w:w="1559" w:type="dxa"/>
            <w:tcBorders>
              <w:top w:val="single" w:sz="4" w:space="0" w:color="auto"/>
              <w:left w:val="nil"/>
              <w:bottom w:val="single" w:sz="4" w:space="0" w:color="auto"/>
              <w:right w:val="single" w:sz="4" w:space="0" w:color="auto"/>
            </w:tcBorders>
            <w:shd w:val="clear" w:color="EE8137" w:fill="F79646"/>
            <w:noWrap/>
            <w:vAlign w:val="center"/>
            <w:hideMark/>
          </w:tcPr>
          <w:p w:rsidR="009758AB" w:rsidRDefault="009758AB">
            <w:pPr>
              <w:jc w:val="center"/>
              <w:rPr>
                <w:rFonts w:ascii="Calibri" w:hAnsi="Calibri" w:cs="Calibri"/>
                <w:color w:val="000000"/>
                <w:sz w:val="20"/>
                <w:szCs w:val="20"/>
              </w:rPr>
            </w:pPr>
            <w:r>
              <w:rPr>
                <w:rFonts w:ascii="Calibri" w:hAnsi="Calibri" w:cs="Calibri"/>
                <w:color w:val="000000"/>
                <w:sz w:val="20"/>
                <w:szCs w:val="20"/>
              </w:rPr>
              <w:t>Upr. rozpočet</w:t>
            </w:r>
          </w:p>
        </w:tc>
        <w:tc>
          <w:tcPr>
            <w:tcW w:w="1559" w:type="dxa"/>
            <w:tcBorders>
              <w:top w:val="single" w:sz="4" w:space="0" w:color="auto"/>
              <w:left w:val="nil"/>
              <w:bottom w:val="single" w:sz="4" w:space="0" w:color="auto"/>
              <w:right w:val="single" w:sz="4" w:space="0" w:color="auto"/>
            </w:tcBorders>
            <w:shd w:val="clear" w:color="EE8137" w:fill="F79646"/>
            <w:noWrap/>
            <w:vAlign w:val="center"/>
            <w:hideMark/>
          </w:tcPr>
          <w:p w:rsidR="009758AB" w:rsidRDefault="009758AB">
            <w:pPr>
              <w:jc w:val="center"/>
              <w:rPr>
                <w:rFonts w:ascii="Calibri" w:hAnsi="Calibri" w:cs="Calibri"/>
                <w:color w:val="000000"/>
                <w:sz w:val="20"/>
                <w:szCs w:val="20"/>
              </w:rPr>
            </w:pPr>
            <w:r>
              <w:rPr>
                <w:rFonts w:ascii="Calibri" w:hAnsi="Calibri" w:cs="Calibri"/>
                <w:color w:val="000000"/>
                <w:sz w:val="20"/>
                <w:szCs w:val="20"/>
              </w:rPr>
              <w:t>Skutečnost</w:t>
            </w:r>
          </w:p>
        </w:tc>
        <w:tc>
          <w:tcPr>
            <w:tcW w:w="851" w:type="dxa"/>
            <w:tcBorders>
              <w:top w:val="single" w:sz="4" w:space="0" w:color="auto"/>
              <w:left w:val="nil"/>
              <w:bottom w:val="single" w:sz="4" w:space="0" w:color="auto"/>
              <w:right w:val="single" w:sz="4" w:space="0" w:color="auto"/>
            </w:tcBorders>
            <w:shd w:val="clear" w:color="EE8137" w:fill="F79646"/>
            <w:vAlign w:val="center"/>
            <w:hideMark/>
          </w:tcPr>
          <w:p w:rsidR="009758AB" w:rsidRDefault="009758AB">
            <w:pPr>
              <w:jc w:val="center"/>
              <w:rPr>
                <w:rFonts w:ascii="Calibri" w:hAnsi="Calibri" w:cs="Calibri"/>
                <w:color w:val="000000"/>
                <w:sz w:val="20"/>
                <w:szCs w:val="20"/>
              </w:rPr>
            </w:pPr>
            <w:r>
              <w:rPr>
                <w:rFonts w:ascii="Calibri" w:hAnsi="Calibri" w:cs="Calibri"/>
                <w:color w:val="000000"/>
                <w:sz w:val="20"/>
                <w:szCs w:val="20"/>
              </w:rPr>
              <w:t>Plnění Sk./Upr.</w:t>
            </w:r>
          </w:p>
        </w:tc>
      </w:tr>
      <w:tr w:rsidR="009758AB" w:rsidTr="009758A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rsidR="009758AB" w:rsidRDefault="009758AB">
            <w:pPr>
              <w:rPr>
                <w:rFonts w:ascii="Calibri" w:hAnsi="Calibri" w:cs="Calibri"/>
                <w:color w:val="000000"/>
                <w:sz w:val="20"/>
                <w:szCs w:val="20"/>
              </w:rPr>
            </w:pPr>
            <w:r>
              <w:rPr>
                <w:rFonts w:ascii="Calibri" w:hAnsi="Calibri" w:cs="Calibri"/>
                <w:color w:val="000000"/>
                <w:sz w:val="20"/>
                <w:szCs w:val="20"/>
              </w:rPr>
              <w:t>1 Zemědělství, lesní hospodářství a rybářství</w:t>
            </w:r>
          </w:p>
        </w:tc>
        <w:tc>
          <w:tcPr>
            <w:tcW w:w="1559" w:type="dxa"/>
            <w:tcBorders>
              <w:top w:val="nil"/>
              <w:left w:val="nil"/>
              <w:bottom w:val="single" w:sz="4" w:space="0" w:color="auto"/>
              <w:right w:val="single" w:sz="4" w:space="0" w:color="auto"/>
            </w:tcBorders>
            <w:shd w:val="clear" w:color="auto" w:fill="auto"/>
            <w:noWrap/>
            <w:vAlign w:val="center"/>
            <w:hideMark/>
          </w:tcPr>
          <w:p w:rsidR="009758AB" w:rsidRDefault="009758AB">
            <w:pPr>
              <w:jc w:val="right"/>
              <w:rPr>
                <w:rFonts w:ascii="Calibri" w:hAnsi="Calibri" w:cs="Calibri"/>
                <w:color w:val="000000"/>
                <w:sz w:val="20"/>
                <w:szCs w:val="20"/>
              </w:rPr>
            </w:pPr>
            <w:r>
              <w:rPr>
                <w:rFonts w:ascii="Calibri" w:hAnsi="Calibri" w:cs="Calibri"/>
                <w:color w:val="000000"/>
                <w:sz w:val="20"/>
                <w:szCs w:val="20"/>
              </w:rPr>
              <w:t>532 000,00</w:t>
            </w:r>
          </w:p>
        </w:tc>
        <w:tc>
          <w:tcPr>
            <w:tcW w:w="1559" w:type="dxa"/>
            <w:tcBorders>
              <w:top w:val="nil"/>
              <w:left w:val="nil"/>
              <w:bottom w:val="single" w:sz="4" w:space="0" w:color="auto"/>
              <w:right w:val="single" w:sz="4" w:space="0" w:color="auto"/>
            </w:tcBorders>
            <w:shd w:val="clear" w:color="auto" w:fill="auto"/>
            <w:noWrap/>
            <w:vAlign w:val="center"/>
            <w:hideMark/>
          </w:tcPr>
          <w:p w:rsidR="009758AB" w:rsidRDefault="009758AB">
            <w:pPr>
              <w:jc w:val="right"/>
              <w:rPr>
                <w:rFonts w:ascii="Calibri" w:hAnsi="Calibri" w:cs="Calibri"/>
                <w:color w:val="000000"/>
                <w:sz w:val="20"/>
                <w:szCs w:val="20"/>
              </w:rPr>
            </w:pPr>
            <w:r>
              <w:rPr>
                <w:rFonts w:ascii="Calibri" w:hAnsi="Calibri" w:cs="Calibri"/>
                <w:color w:val="000000"/>
                <w:sz w:val="20"/>
                <w:szCs w:val="20"/>
              </w:rPr>
              <w:t>693 000,00</w:t>
            </w:r>
          </w:p>
        </w:tc>
        <w:tc>
          <w:tcPr>
            <w:tcW w:w="1559" w:type="dxa"/>
            <w:tcBorders>
              <w:top w:val="nil"/>
              <w:left w:val="nil"/>
              <w:bottom w:val="single" w:sz="4" w:space="0" w:color="auto"/>
              <w:right w:val="single" w:sz="4" w:space="0" w:color="auto"/>
            </w:tcBorders>
            <w:shd w:val="clear" w:color="auto" w:fill="auto"/>
            <w:noWrap/>
            <w:vAlign w:val="center"/>
            <w:hideMark/>
          </w:tcPr>
          <w:p w:rsidR="009758AB" w:rsidRDefault="009758AB">
            <w:pPr>
              <w:jc w:val="right"/>
              <w:rPr>
                <w:rFonts w:ascii="Calibri" w:hAnsi="Calibri" w:cs="Calibri"/>
                <w:color w:val="000000"/>
                <w:sz w:val="20"/>
                <w:szCs w:val="20"/>
              </w:rPr>
            </w:pPr>
            <w:r>
              <w:rPr>
                <w:rFonts w:ascii="Calibri" w:hAnsi="Calibri" w:cs="Calibri"/>
                <w:color w:val="000000"/>
                <w:sz w:val="20"/>
                <w:szCs w:val="20"/>
              </w:rPr>
              <w:t>650 426,00</w:t>
            </w:r>
          </w:p>
        </w:tc>
        <w:tc>
          <w:tcPr>
            <w:tcW w:w="851" w:type="dxa"/>
            <w:tcBorders>
              <w:top w:val="nil"/>
              <w:left w:val="nil"/>
              <w:bottom w:val="single" w:sz="4" w:space="0" w:color="auto"/>
              <w:right w:val="single" w:sz="4" w:space="0" w:color="auto"/>
            </w:tcBorders>
            <w:shd w:val="clear" w:color="auto" w:fill="auto"/>
            <w:noWrap/>
            <w:vAlign w:val="center"/>
            <w:hideMark/>
          </w:tcPr>
          <w:p w:rsidR="009758AB" w:rsidRDefault="009758AB">
            <w:pPr>
              <w:jc w:val="right"/>
              <w:rPr>
                <w:rFonts w:ascii="Calibri" w:hAnsi="Calibri" w:cs="Calibri"/>
                <w:color w:val="000000"/>
                <w:sz w:val="20"/>
                <w:szCs w:val="20"/>
              </w:rPr>
            </w:pPr>
            <w:r>
              <w:rPr>
                <w:rFonts w:ascii="Calibri" w:hAnsi="Calibri" w:cs="Calibri"/>
                <w:color w:val="000000"/>
                <w:sz w:val="20"/>
                <w:szCs w:val="20"/>
              </w:rPr>
              <w:t>93,86 %</w:t>
            </w:r>
          </w:p>
        </w:tc>
      </w:tr>
      <w:tr w:rsidR="009758AB" w:rsidTr="009758A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rsidR="009758AB" w:rsidRDefault="009758AB">
            <w:pPr>
              <w:rPr>
                <w:rFonts w:ascii="Calibri" w:hAnsi="Calibri" w:cs="Calibri"/>
                <w:color w:val="000000"/>
                <w:sz w:val="20"/>
                <w:szCs w:val="20"/>
              </w:rPr>
            </w:pPr>
            <w:r>
              <w:rPr>
                <w:rFonts w:ascii="Calibri" w:hAnsi="Calibri" w:cs="Calibri"/>
                <w:color w:val="000000"/>
                <w:sz w:val="20"/>
                <w:szCs w:val="20"/>
              </w:rPr>
              <w:t>2 Průmyslová a ostatní odvětví hospodářství</w:t>
            </w:r>
          </w:p>
        </w:tc>
        <w:tc>
          <w:tcPr>
            <w:tcW w:w="1559" w:type="dxa"/>
            <w:tcBorders>
              <w:top w:val="nil"/>
              <w:left w:val="nil"/>
              <w:bottom w:val="single" w:sz="4" w:space="0" w:color="auto"/>
              <w:right w:val="single" w:sz="4" w:space="0" w:color="auto"/>
            </w:tcBorders>
            <w:shd w:val="clear" w:color="auto" w:fill="auto"/>
            <w:noWrap/>
            <w:vAlign w:val="center"/>
            <w:hideMark/>
          </w:tcPr>
          <w:p w:rsidR="009758AB" w:rsidRDefault="009758AB">
            <w:pPr>
              <w:jc w:val="right"/>
              <w:rPr>
                <w:rFonts w:ascii="Calibri" w:hAnsi="Calibri" w:cs="Calibri"/>
                <w:color w:val="000000"/>
                <w:sz w:val="20"/>
                <w:szCs w:val="20"/>
              </w:rPr>
            </w:pPr>
            <w:r>
              <w:rPr>
                <w:rFonts w:ascii="Calibri" w:hAnsi="Calibri" w:cs="Calibri"/>
                <w:color w:val="000000"/>
                <w:sz w:val="20"/>
                <w:szCs w:val="20"/>
              </w:rPr>
              <w:t>200 034 456,00</w:t>
            </w:r>
          </w:p>
        </w:tc>
        <w:tc>
          <w:tcPr>
            <w:tcW w:w="1559" w:type="dxa"/>
            <w:tcBorders>
              <w:top w:val="nil"/>
              <w:left w:val="nil"/>
              <w:bottom w:val="single" w:sz="4" w:space="0" w:color="auto"/>
              <w:right w:val="single" w:sz="4" w:space="0" w:color="auto"/>
            </w:tcBorders>
            <w:shd w:val="clear" w:color="auto" w:fill="auto"/>
            <w:noWrap/>
            <w:vAlign w:val="center"/>
            <w:hideMark/>
          </w:tcPr>
          <w:p w:rsidR="009758AB" w:rsidRDefault="009758AB">
            <w:pPr>
              <w:jc w:val="right"/>
              <w:rPr>
                <w:rFonts w:ascii="Calibri" w:hAnsi="Calibri" w:cs="Calibri"/>
                <w:color w:val="000000"/>
                <w:sz w:val="20"/>
                <w:szCs w:val="20"/>
              </w:rPr>
            </w:pPr>
            <w:r>
              <w:rPr>
                <w:rFonts w:ascii="Calibri" w:hAnsi="Calibri" w:cs="Calibri"/>
                <w:color w:val="000000"/>
                <w:sz w:val="20"/>
                <w:szCs w:val="20"/>
              </w:rPr>
              <w:t>209 500 221,00</w:t>
            </w:r>
          </w:p>
        </w:tc>
        <w:tc>
          <w:tcPr>
            <w:tcW w:w="1559" w:type="dxa"/>
            <w:tcBorders>
              <w:top w:val="nil"/>
              <w:left w:val="nil"/>
              <w:bottom w:val="single" w:sz="4" w:space="0" w:color="auto"/>
              <w:right w:val="single" w:sz="4" w:space="0" w:color="auto"/>
            </w:tcBorders>
            <w:shd w:val="clear" w:color="auto" w:fill="auto"/>
            <w:noWrap/>
            <w:vAlign w:val="center"/>
            <w:hideMark/>
          </w:tcPr>
          <w:p w:rsidR="009758AB" w:rsidRDefault="009758AB">
            <w:pPr>
              <w:jc w:val="right"/>
              <w:rPr>
                <w:rFonts w:ascii="Calibri" w:hAnsi="Calibri" w:cs="Calibri"/>
                <w:color w:val="000000"/>
                <w:sz w:val="20"/>
                <w:szCs w:val="20"/>
              </w:rPr>
            </w:pPr>
            <w:r>
              <w:rPr>
                <w:rFonts w:ascii="Calibri" w:hAnsi="Calibri" w:cs="Calibri"/>
                <w:color w:val="000000"/>
                <w:sz w:val="20"/>
                <w:szCs w:val="20"/>
              </w:rPr>
              <w:t>202 664 163,96</w:t>
            </w:r>
          </w:p>
        </w:tc>
        <w:tc>
          <w:tcPr>
            <w:tcW w:w="851" w:type="dxa"/>
            <w:tcBorders>
              <w:top w:val="nil"/>
              <w:left w:val="nil"/>
              <w:bottom w:val="single" w:sz="4" w:space="0" w:color="auto"/>
              <w:right w:val="single" w:sz="4" w:space="0" w:color="auto"/>
            </w:tcBorders>
            <w:shd w:val="clear" w:color="auto" w:fill="auto"/>
            <w:noWrap/>
            <w:vAlign w:val="center"/>
            <w:hideMark/>
          </w:tcPr>
          <w:p w:rsidR="009758AB" w:rsidRDefault="009758AB">
            <w:pPr>
              <w:jc w:val="right"/>
              <w:rPr>
                <w:rFonts w:ascii="Calibri" w:hAnsi="Calibri" w:cs="Calibri"/>
                <w:color w:val="000000"/>
                <w:sz w:val="20"/>
                <w:szCs w:val="20"/>
              </w:rPr>
            </w:pPr>
            <w:r>
              <w:rPr>
                <w:rFonts w:ascii="Calibri" w:hAnsi="Calibri" w:cs="Calibri"/>
                <w:color w:val="000000"/>
                <w:sz w:val="20"/>
                <w:szCs w:val="20"/>
              </w:rPr>
              <w:t>96,74 %</w:t>
            </w:r>
          </w:p>
        </w:tc>
      </w:tr>
      <w:tr w:rsidR="009758AB" w:rsidTr="009758A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rsidR="009758AB" w:rsidRDefault="009758AB">
            <w:pPr>
              <w:rPr>
                <w:rFonts w:ascii="Calibri" w:hAnsi="Calibri" w:cs="Calibri"/>
                <w:color w:val="000000"/>
                <w:sz w:val="20"/>
                <w:szCs w:val="20"/>
              </w:rPr>
            </w:pPr>
            <w:r>
              <w:rPr>
                <w:rFonts w:ascii="Calibri" w:hAnsi="Calibri" w:cs="Calibri"/>
                <w:color w:val="000000"/>
                <w:sz w:val="20"/>
                <w:szCs w:val="20"/>
              </w:rPr>
              <w:t>3 Služby pro obyvatelstvo</w:t>
            </w:r>
          </w:p>
        </w:tc>
        <w:tc>
          <w:tcPr>
            <w:tcW w:w="1559" w:type="dxa"/>
            <w:tcBorders>
              <w:top w:val="nil"/>
              <w:left w:val="nil"/>
              <w:bottom w:val="single" w:sz="4" w:space="0" w:color="auto"/>
              <w:right w:val="single" w:sz="4" w:space="0" w:color="auto"/>
            </w:tcBorders>
            <w:shd w:val="clear" w:color="auto" w:fill="auto"/>
            <w:noWrap/>
            <w:vAlign w:val="center"/>
            <w:hideMark/>
          </w:tcPr>
          <w:p w:rsidR="009758AB" w:rsidRDefault="009758AB">
            <w:pPr>
              <w:jc w:val="right"/>
              <w:rPr>
                <w:rFonts w:ascii="Calibri" w:hAnsi="Calibri" w:cs="Calibri"/>
                <w:color w:val="000000"/>
                <w:sz w:val="20"/>
                <w:szCs w:val="20"/>
              </w:rPr>
            </w:pPr>
            <w:r>
              <w:rPr>
                <w:rFonts w:ascii="Calibri" w:hAnsi="Calibri" w:cs="Calibri"/>
                <w:color w:val="000000"/>
                <w:sz w:val="20"/>
                <w:szCs w:val="20"/>
              </w:rPr>
              <w:t>490 239 601,00</w:t>
            </w:r>
          </w:p>
        </w:tc>
        <w:tc>
          <w:tcPr>
            <w:tcW w:w="1559" w:type="dxa"/>
            <w:tcBorders>
              <w:top w:val="nil"/>
              <w:left w:val="nil"/>
              <w:bottom w:val="single" w:sz="4" w:space="0" w:color="auto"/>
              <w:right w:val="single" w:sz="4" w:space="0" w:color="auto"/>
            </w:tcBorders>
            <w:shd w:val="clear" w:color="auto" w:fill="auto"/>
            <w:noWrap/>
            <w:vAlign w:val="center"/>
            <w:hideMark/>
          </w:tcPr>
          <w:p w:rsidR="009758AB" w:rsidRDefault="009758AB">
            <w:pPr>
              <w:jc w:val="right"/>
              <w:rPr>
                <w:rFonts w:ascii="Calibri" w:hAnsi="Calibri" w:cs="Calibri"/>
                <w:color w:val="000000"/>
                <w:sz w:val="20"/>
                <w:szCs w:val="20"/>
              </w:rPr>
            </w:pPr>
            <w:r>
              <w:rPr>
                <w:rFonts w:ascii="Calibri" w:hAnsi="Calibri" w:cs="Calibri"/>
                <w:color w:val="000000"/>
                <w:sz w:val="20"/>
                <w:szCs w:val="20"/>
              </w:rPr>
              <w:t>583 662 289,09</w:t>
            </w:r>
          </w:p>
        </w:tc>
        <w:tc>
          <w:tcPr>
            <w:tcW w:w="1559" w:type="dxa"/>
            <w:tcBorders>
              <w:top w:val="nil"/>
              <w:left w:val="nil"/>
              <w:bottom w:val="single" w:sz="4" w:space="0" w:color="auto"/>
              <w:right w:val="single" w:sz="4" w:space="0" w:color="auto"/>
            </w:tcBorders>
            <w:shd w:val="clear" w:color="auto" w:fill="auto"/>
            <w:noWrap/>
            <w:vAlign w:val="center"/>
            <w:hideMark/>
          </w:tcPr>
          <w:p w:rsidR="009758AB" w:rsidRDefault="009758AB">
            <w:pPr>
              <w:jc w:val="right"/>
              <w:rPr>
                <w:rFonts w:ascii="Calibri" w:hAnsi="Calibri" w:cs="Calibri"/>
                <w:color w:val="000000"/>
                <w:sz w:val="20"/>
                <w:szCs w:val="20"/>
              </w:rPr>
            </w:pPr>
            <w:r>
              <w:rPr>
                <w:rFonts w:ascii="Calibri" w:hAnsi="Calibri" w:cs="Calibri"/>
                <w:color w:val="000000"/>
                <w:sz w:val="20"/>
                <w:szCs w:val="20"/>
              </w:rPr>
              <w:t>553 266 582,37</w:t>
            </w:r>
          </w:p>
        </w:tc>
        <w:tc>
          <w:tcPr>
            <w:tcW w:w="851" w:type="dxa"/>
            <w:tcBorders>
              <w:top w:val="nil"/>
              <w:left w:val="nil"/>
              <w:bottom w:val="single" w:sz="4" w:space="0" w:color="auto"/>
              <w:right w:val="single" w:sz="4" w:space="0" w:color="auto"/>
            </w:tcBorders>
            <w:shd w:val="clear" w:color="auto" w:fill="auto"/>
            <w:noWrap/>
            <w:vAlign w:val="center"/>
            <w:hideMark/>
          </w:tcPr>
          <w:p w:rsidR="009758AB" w:rsidRDefault="009758AB">
            <w:pPr>
              <w:jc w:val="right"/>
              <w:rPr>
                <w:rFonts w:ascii="Calibri" w:hAnsi="Calibri" w:cs="Calibri"/>
                <w:color w:val="000000"/>
                <w:sz w:val="20"/>
                <w:szCs w:val="20"/>
              </w:rPr>
            </w:pPr>
            <w:r>
              <w:rPr>
                <w:rFonts w:ascii="Calibri" w:hAnsi="Calibri" w:cs="Calibri"/>
                <w:color w:val="000000"/>
                <w:sz w:val="20"/>
                <w:szCs w:val="20"/>
              </w:rPr>
              <w:t>94,79 %</w:t>
            </w:r>
          </w:p>
        </w:tc>
      </w:tr>
      <w:tr w:rsidR="009758AB" w:rsidTr="009758A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rsidR="009758AB" w:rsidRDefault="009758AB">
            <w:pPr>
              <w:rPr>
                <w:rFonts w:ascii="Calibri" w:hAnsi="Calibri" w:cs="Calibri"/>
                <w:color w:val="000000"/>
                <w:sz w:val="20"/>
                <w:szCs w:val="20"/>
              </w:rPr>
            </w:pPr>
            <w:r>
              <w:rPr>
                <w:rFonts w:ascii="Calibri" w:hAnsi="Calibri" w:cs="Calibri"/>
                <w:color w:val="000000"/>
                <w:sz w:val="20"/>
                <w:szCs w:val="20"/>
              </w:rPr>
              <w:lastRenderedPageBreak/>
              <w:t>4 Sociální věci a politika zaměstnanosti</w:t>
            </w:r>
          </w:p>
        </w:tc>
        <w:tc>
          <w:tcPr>
            <w:tcW w:w="1559" w:type="dxa"/>
            <w:tcBorders>
              <w:top w:val="nil"/>
              <w:left w:val="nil"/>
              <w:bottom w:val="single" w:sz="4" w:space="0" w:color="auto"/>
              <w:right w:val="single" w:sz="4" w:space="0" w:color="auto"/>
            </w:tcBorders>
            <w:shd w:val="clear" w:color="auto" w:fill="auto"/>
            <w:noWrap/>
            <w:vAlign w:val="center"/>
            <w:hideMark/>
          </w:tcPr>
          <w:p w:rsidR="009758AB" w:rsidRDefault="009758AB">
            <w:pPr>
              <w:jc w:val="right"/>
              <w:rPr>
                <w:rFonts w:ascii="Calibri" w:hAnsi="Calibri" w:cs="Calibri"/>
                <w:color w:val="000000"/>
                <w:sz w:val="20"/>
                <w:szCs w:val="20"/>
              </w:rPr>
            </w:pPr>
            <w:r>
              <w:rPr>
                <w:rFonts w:ascii="Calibri" w:hAnsi="Calibri" w:cs="Calibri"/>
                <w:color w:val="000000"/>
                <w:sz w:val="20"/>
                <w:szCs w:val="20"/>
              </w:rPr>
              <w:t>2 147 582,00</w:t>
            </w:r>
          </w:p>
        </w:tc>
        <w:tc>
          <w:tcPr>
            <w:tcW w:w="1559" w:type="dxa"/>
            <w:tcBorders>
              <w:top w:val="nil"/>
              <w:left w:val="nil"/>
              <w:bottom w:val="single" w:sz="4" w:space="0" w:color="auto"/>
              <w:right w:val="single" w:sz="4" w:space="0" w:color="auto"/>
            </w:tcBorders>
            <w:shd w:val="clear" w:color="auto" w:fill="auto"/>
            <w:noWrap/>
            <w:vAlign w:val="center"/>
            <w:hideMark/>
          </w:tcPr>
          <w:p w:rsidR="009758AB" w:rsidRDefault="009758AB">
            <w:pPr>
              <w:jc w:val="right"/>
              <w:rPr>
                <w:rFonts w:ascii="Calibri" w:hAnsi="Calibri" w:cs="Calibri"/>
                <w:color w:val="000000"/>
                <w:sz w:val="20"/>
                <w:szCs w:val="20"/>
              </w:rPr>
            </w:pPr>
            <w:r>
              <w:rPr>
                <w:rFonts w:ascii="Calibri" w:hAnsi="Calibri" w:cs="Calibri"/>
                <w:color w:val="000000"/>
                <w:sz w:val="20"/>
                <w:szCs w:val="20"/>
              </w:rPr>
              <w:t>8 100 167,50</w:t>
            </w:r>
          </w:p>
        </w:tc>
        <w:tc>
          <w:tcPr>
            <w:tcW w:w="1559" w:type="dxa"/>
            <w:tcBorders>
              <w:top w:val="nil"/>
              <w:left w:val="nil"/>
              <w:bottom w:val="single" w:sz="4" w:space="0" w:color="auto"/>
              <w:right w:val="single" w:sz="4" w:space="0" w:color="auto"/>
            </w:tcBorders>
            <w:shd w:val="clear" w:color="auto" w:fill="auto"/>
            <w:noWrap/>
            <w:vAlign w:val="center"/>
            <w:hideMark/>
          </w:tcPr>
          <w:p w:rsidR="009758AB" w:rsidRDefault="009758AB">
            <w:pPr>
              <w:jc w:val="right"/>
              <w:rPr>
                <w:rFonts w:ascii="Calibri" w:hAnsi="Calibri" w:cs="Calibri"/>
                <w:color w:val="000000"/>
                <w:sz w:val="20"/>
                <w:szCs w:val="20"/>
              </w:rPr>
            </w:pPr>
            <w:r>
              <w:rPr>
                <w:rFonts w:ascii="Calibri" w:hAnsi="Calibri" w:cs="Calibri"/>
                <w:color w:val="000000"/>
                <w:sz w:val="20"/>
                <w:szCs w:val="20"/>
              </w:rPr>
              <w:t>5 419 898,96</w:t>
            </w:r>
          </w:p>
        </w:tc>
        <w:tc>
          <w:tcPr>
            <w:tcW w:w="851" w:type="dxa"/>
            <w:tcBorders>
              <w:top w:val="nil"/>
              <w:left w:val="nil"/>
              <w:bottom w:val="single" w:sz="4" w:space="0" w:color="auto"/>
              <w:right w:val="single" w:sz="4" w:space="0" w:color="auto"/>
            </w:tcBorders>
            <w:shd w:val="clear" w:color="auto" w:fill="auto"/>
            <w:noWrap/>
            <w:vAlign w:val="center"/>
            <w:hideMark/>
          </w:tcPr>
          <w:p w:rsidR="009758AB" w:rsidRDefault="009758AB">
            <w:pPr>
              <w:jc w:val="right"/>
              <w:rPr>
                <w:rFonts w:ascii="Calibri" w:hAnsi="Calibri" w:cs="Calibri"/>
                <w:color w:val="000000"/>
                <w:sz w:val="20"/>
                <w:szCs w:val="20"/>
              </w:rPr>
            </w:pPr>
            <w:r>
              <w:rPr>
                <w:rFonts w:ascii="Calibri" w:hAnsi="Calibri" w:cs="Calibri"/>
                <w:color w:val="000000"/>
                <w:sz w:val="20"/>
                <w:szCs w:val="20"/>
              </w:rPr>
              <w:t>66,91 %</w:t>
            </w:r>
          </w:p>
        </w:tc>
      </w:tr>
      <w:tr w:rsidR="009758AB" w:rsidTr="009758A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rsidR="009758AB" w:rsidRDefault="009758AB">
            <w:pPr>
              <w:rPr>
                <w:rFonts w:ascii="Calibri" w:hAnsi="Calibri" w:cs="Calibri"/>
                <w:color w:val="000000"/>
                <w:sz w:val="20"/>
                <w:szCs w:val="20"/>
              </w:rPr>
            </w:pPr>
            <w:r>
              <w:rPr>
                <w:rFonts w:ascii="Calibri" w:hAnsi="Calibri" w:cs="Calibri"/>
                <w:color w:val="000000"/>
                <w:sz w:val="20"/>
                <w:szCs w:val="20"/>
              </w:rPr>
              <w:t>5 Bezpečnost státu a právní ochrana</w:t>
            </w:r>
          </w:p>
        </w:tc>
        <w:tc>
          <w:tcPr>
            <w:tcW w:w="1559" w:type="dxa"/>
            <w:tcBorders>
              <w:top w:val="nil"/>
              <w:left w:val="nil"/>
              <w:bottom w:val="single" w:sz="4" w:space="0" w:color="auto"/>
              <w:right w:val="single" w:sz="4" w:space="0" w:color="auto"/>
            </w:tcBorders>
            <w:shd w:val="clear" w:color="auto" w:fill="auto"/>
            <w:noWrap/>
            <w:vAlign w:val="center"/>
            <w:hideMark/>
          </w:tcPr>
          <w:p w:rsidR="009758AB" w:rsidRDefault="009758AB">
            <w:pPr>
              <w:jc w:val="right"/>
              <w:rPr>
                <w:rFonts w:ascii="Calibri" w:hAnsi="Calibri" w:cs="Calibri"/>
                <w:color w:val="000000"/>
                <w:sz w:val="20"/>
                <w:szCs w:val="20"/>
              </w:rPr>
            </w:pPr>
            <w:r>
              <w:rPr>
                <w:rFonts w:ascii="Calibri" w:hAnsi="Calibri" w:cs="Calibri"/>
                <w:color w:val="000000"/>
                <w:sz w:val="20"/>
                <w:szCs w:val="20"/>
              </w:rPr>
              <w:t>72 892 164,00</w:t>
            </w:r>
          </w:p>
        </w:tc>
        <w:tc>
          <w:tcPr>
            <w:tcW w:w="1559" w:type="dxa"/>
            <w:tcBorders>
              <w:top w:val="nil"/>
              <w:left w:val="nil"/>
              <w:bottom w:val="single" w:sz="4" w:space="0" w:color="auto"/>
              <w:right w:val="single" w:sz="4" w:space="0" w:color="auto"/>
            </w:tcBorders>
            <w:shd w:val="clear" w:color="auto" w:fill="auto"/>
            <w:noWrap/>
            <w:vAlign w:val="center"/>
            <w:hideMark/>
          </w:tcPr>
          <w:p w:rsidR="009758AB" w:rsidRDefault="009758AB">
            <w:pPr>
              <w:jc w:val="right"/>
              <w:rPr>
                <w:rFonts w:ascii="Calibri" w:hAnsi="Calibri" w:cs="Calibri"/>
                <w:color w:val="000000"/>
                <w:sz w:val="20"/>
                <w:szCs w:val="20"/>
              </w:rPr>
            </w:pPr>
            <w:r>
              <w:rPr>
                <w:rFonts w:ascii="Calibri" w:hAnsi="Calibri" w:cs="Calibri"/>
                <w:color w:val="000000"/>
                <w:sz w:val="20"/>
                <w:szCs w:val="20"/>
              </w:rPr>
              <w:t>78 426 868,00</w:t>
            </w:r>
          </w:p>
        </w:tc>
        <w:tc>
          <w:tcPr>
            <w:tcW w:w="1559" w:type="dxa"/>
            <w:tcBorders>
              <w:top w:val="nil"/>
              <w:left w:val="nil"/>
              <w:bottom w:val="single" w:sz="4" w:space="0" w:color="auto"/>
              <w:right w:val="single" w:sz="4" w:space="0" w:color="auto"/>
            </w:tcBorders>
            <w:shd w:val="clear" w:color="auto" w:fill="auto"/>
            <w:noWrap/>
            <w:vAlign w:val="center"/>
            <w:hideMark/>
          </w:tcPr>
          <w:p w:rsidR="009758AB" w:rsidRDefault="009758AB">
            <w:pPr>
              <w:jc w:val="right"/>
              <w:rPr>
                <w:rFonts w:ascii="Calibri" w:hAnsi="Calibri" w:cs="Calibri"/>
                <w:color w:val="000000"/>
                <w:sz w:val="20"/>
                <w:szCs w:val="20"/>
              </w:rPr>
            </w:pPr>
            <w:r>
              <w:rPr>
                <w:rFonts w:ascii="Calibri" w:hAnsi="Calibri" w:cs="Calibri"/>
                <w:color w:val="000000"/>
                <w:sz w:val="20"/>
                <w:szCs w:val="20"/>
              </w:rPr>
              <w:t>58 282 131,38</w:t>
            </w:r>
          </w:p>
        </w:tc>
        <w:tc>
          <w:tcPr>
            <w:tcW w:w="851" w:type="dxa"/>
            <w:tcBorders>
              <w:top w:val="nil"/>
              <w:left w:val="nil"/>
              <w:bottom w:val="single" w:sz="4" w:space="0" w:color="auto"/>
              <w:right w:val="single" w:sz="4" w:space="0" w:color="auto"/>
            </w:tcBorders>
            <w:shd w:val="clear" w:color="auto" w:fill="auto"/>
            <w:noWrap/>
            <w:vAlign w:val="center"/>
            <w:hideMark/>
          </w:tcPr>
          <w:p w:rsidR="009758AB" w:rsidRDefault="009758AB">
            <w:pPr>
              <w:jc w:val="right"/>
              <w:rPr>
                <w:rFonts w:ascii="Calibri" w:hAnsi="Calibri" w:cs="Calibri"/>
                <w:color w:val="000000"/>
                <w:sz w:val="20"/>
                <w:szCs w:val="20"/>
              </w:rPr>
            </w:pPr>
            <w:r>
              <w:rPr>
                <w:rFonts w:ascii="Calibri" w:hAnsi="Calibri" w:cs="Calibri"/>
                <w:color w:val="000000"/>
                <w:sz w:val="20"/>
                <w:szCs w:val="20"/>
              </w:rPr>
              <w:t>74,31 %</w:t>
            </w:r>
          </w:p>
        </w:tc>
      </w:tr>
      <w:tr w:rsidR="009758AB" w:rsidTr="009758AB">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rsidR="009758AB" w:rsidRDefault="009758AB">
            <w:pPr>
              <w:rPr>
                <w:rFonts w:ascii="Calibri" w:hAnsi="Calibri" w:cs="Calibri"/>
                <w:color w:val="000000"/>
                <w:sz w:val="20"/>
                <w:szCs w:val="20"/>
              </w:rPr>
            </w:pPr>
            <w:r>
              <w:rPr>
                <w:rFonts w:ascii="Calibri" w:hAnsi="Calibri" w:cs="Calibri"/>
                <w:color w:val="000000"/>
                <w:sz w:val="20"/>
                <w:szCs w:val="20"/>
              </w:rPr>
              <w:t>6 Všeobecná veřejná správa a služby</w:t>
            </w:r>
          </w:p>
        </w:tc>
        <w:tc>
          <w:tcPr>
            <w:tcW w:w="1559" w:type="dxa"/>
            <w:tcBorders>
              <w:top w:val="nil"/>
              <w:left w:val="nil"/>
              <w:bottom w:val="single" w:sz="4" w:space="0" w:color="auto"/>
              <w:right w:val="single" w:sz="4" w:space="0" w:color="auto"/>
            </w:tcBorders>
            <w:shd w:val="clear" w:color="auto" w:fill="auto"/>
            <w:noWrap/>
            <w:vAlign w:val="center"/>
            <w:hideMark/>
          </w:tcPr>
          <w:p w:rsidR="009758AB" w:rsidRDefault="009758AB">
            <w:pPr>
              <w:jc w:val="right"/>
              <w:rPr>
                <w:rFonts w:ascii="Calibri" w:hAnsi="Calibri" w:cs="Calibri"/>
                <w:color w:val="000000"/>
                <w:sz w:val="20"/>
                <w:szCs w:val="20"/>
              </w:rPr>
            </w:pPr>
            <w:r>
              <w:rPr>
                <w:rFonts w:ascii="Calibri" w:hAnsi="Calibri" w:cs="Calibri"/>
                <w:color w:val="000000"/>
                <w:sz w:val="20"/>
                <w:szCs w:val="20"/>
              </w:rPr>
              <w:t>388 685 227,00</w:t>
            </w:r>
          </w:p>
        </w:tc>
        <w:tc>
          <w:tcPr>
            <w:tcW w:w="1559" w:type="dxa"/>
            <w:tcBorders>
              <w:top w:val="nil"/>
              <w:left w:val="nil"/>
              <w:bottom w:val="single" w:sz="4" w:space="0" w:color="auto"/>
              <w:right w:val="single" w:sz="4" w:space="0" w:color="auto"/>
            </w:tcBorders>
            <w:shd w:val="clear" w:color="auto" w:fill="auto"/>
            <w:noWrap/>
            <w:vAlign w:val="center"/>
            <w:hideMark/>
          </w:tcPr>
          <w:p w:rsidR="009758AB" w:rsidRDefault="009758AB">
            <w:pPr>
              <w:jc w:val="right"/>
              <w:rPr>
                <w:rFonts w:ascii="Calibri" w:hAnsi="Calibri" w:cs="Calibri"/>
                <w:color w:val="000000"/>
                <w:sz w:val="20"/>
                <w:szCs w:val="20"/>
              </w:rPr>
            </w:pPr>
            <w:r>
              <w:rPr>
                <w:rFonts w:ascii="Calibri" w:hAnsi="Calibri" w:cs="Calibri"/>
                <w:color w:val="000000"/>
                <w:sz w:val="20"/>
                <w:szCs w:val="20"/>
              </w:rPr>
              <w:t>375 351 094,76</w:t>
            </w:r>
          </w:p>
        </w:tc>
        <w:tc>
          <w:tcPr>
            <w:tcW w:w="1559" w:type="dxa"/>
            <w:tcBorders>
              <w:top w:val="nil"/>
              <w:left w:val="nil"/>
              <w:bottom w:val="single" w:sz="4" w:space="0" w:color="auto"/>
              <w:right w:val="single" w:sz="4" w:space="0" w:color="auto"/>
            </w:tcBorders>
            <w:shd w:val="clear" w:color="auto" w:fill="auto"/>
            <w:noWrap/>
            <w:vAlign w:val="center"/>
            <w:hideMark/>
          </w:tcPr>
          <w:p w:rsidR="009758AB" w:rsidRDefault="009758AB">
            <w:pPr>
              <w:jc w:val="right"/>
              <w:rPr>
                <w:rFonts w:ascii="Calibri" w:hAnsi="Calibri" w:cs="Calibri"/>
                <w:color w:val="000000"/>
                <w:sz w:val="20"/>
                <w:szCs w:val="20"/>
              </w:rPr>
            </w:pPr>
            <w:r>
              <w:rPr>
                <w:rFonts w:ascii="Calibri" w:hAnsi="Calibri" w:cs="Calibri"/>
                <w:color w:val="000000"/>
                <w:sz w:val="20"/>
                <w:szCs w:val="20"/>
              </w:rPr>
              <w:t>334 255 067,18</w:t>
            </w:r>
          </w:p>
        </w:tc>
        <w:tc>
          <w:tcPr>
            <w:tcW w:w="851" w:type="dxa"/>
            <w:tcBorders>
              <w:top w:val="nil"/>
              <w:left w:val="nil"/>
              <w:bottom w:val="single" w:sz="4" w:space="0" w:color="auto"/>
              <w:right w:val="single" w:sz="4" w:space="0" w:color="auto"/>
            </w:tcBorders>
            <w:shd w:val="clear" w:color="auto" w:fill="auto"/>
            <w:noWrap/>
            <w:vAlign w:val="center"/>
            <w:hideMark/>
          </w:tcPr>
          <w:p w:rsidR="009758AB" w:rsidRDefault="009758AB">
            <w:pPr>
              <w:jc w:val="right"/>
              <w:rPr>
                <w:rFonts w:ascii="Calibri" w:hAnsi="Calibri" w:cs="Calibri"/>
                <w:color w:val="000000"/>
                <w:sz w:val="20"/>
                <w:szCs w:val="20"/>
              </w:rPr>
            </w:pPr>
            <w:r>
              <w:rPr>
                <w:rFonts w:ascii="Calibri" w:hAnsi="Calibri" w:cs="Calibri"/>
                <w:color w:val="000000"/>
                <w:sz w:val="20"/>
                <w:szCs w:val="20"/>
              </w:rPr>
              <w:t>89,05 %</w:t>
            </w:r>
          </w:p>
        </w:tc>
      </w:tr>
      <w:tr w:rsidR="009758AB" w:rsidTr="009758AB">
        <w:trPr>
          <w:trHeight w:val="300"/>
        </w:trPr>
        <w:tc>
          <w:tcPr>
            <w:tcW w:w="3823" w:type="dxa"/>
            <w:tcBorders>
              <w:top w:val="nil"/>
              <w:left w:val="single" w:sz="4" w:space="0" w:color="auto"/>
              <w:bottom w:val="single" w:sz="4" w:space="0" w:color="auto"/>
              <w:right w:val="single" w:sz="4" w:space="0" w:color="auto"/>
            </w:tcBorders>
            <w:shd w:val="clear" w:color="EE8137" w:fill="F79646"/>
            <w:noWrap/>
            <w:vAlign w:val="center"/>
            <w:hideMark/>
          </w:tcPr>
          <w:p w:rsidR="009758AB" w:rsidRDefault="009758AB">
            <w:pPr>
              <w:rPr>
                <w:rFonts w:ascii="Calibri" w:hAnsi="Calibri" w:cs="Calibri"/>
                <w:b/>
                <w:bCs/>
                <w:color w:val="000000"/>
                <w:sz w:val="20"/>
                <w:szCs w:val="20"/>
              </w:rPr>
            </w:pPr>
            <w:r>
              <w:rPr>
                <w:rFonts w:ascii="Calibri" w:hAnsi="Calibri" w:cs="Calibri"/>
                <w:b/>
                <w:bCs/>
                <w:color w:val="000000"/>
                <w:sz w:val="20"/>
                <w:szCs w:val="20"/>
              </w:rPr>
              <w:t>Výdaje celkem</w:t>
            </w:r>
          </w:p>
        </w:tc>
        <w:tc>
          <w:tcPr>
            <w:tcW w:w="1559" w:type="dxa"/>
            <w:tcBorders>
              <w:top w:val="nil"/>
              <w:left w:val="nil"/>
              <w:bottom w:val="single" w:sz="4" w:space="0" w:color="auto"/>
              <w:right w:val="single" w:sz="4" w:space="0" w:color="auto"/>
            </w:tcBorders>
            <w:shd w:val="clear" w:color="EE8137" w:fill="F79646"/>
            <w:noWrap/>
            <w:vAlign w:val="center"/>
            <w:hideMark/>
          </w:tcPr>
          <w:p w:rsidR="009758AB" w:rsidRDefault="009758AB">
            <w:pPr>
              <w:jc w:val="right"/>
              <w:rPr>
                <w:rFonts w:ascii="Calibri" w:hAnsi="Calibri" w:cs="Calibri"/>
                <w:b/>
                <w:bCs/>
                <w:color w:val="000000"/>
                <w:sz w:val="20"/>
                <w:szCs w:val="20"/>
              </w:rPr>
            </w:pPr>
            <w:r>
              <w:rPr>
                <w:rFonts w:ascii="Calibri" w:hAnsi="Calibri" w:cs="Calibri"/>
                <w:b/>
                <w:bCs/>
                <w:color w:val="000000"/>
                <w:sz w:val="20"/>
                <w:szCs w:val="20"/>
              </w:rPr>
              <w:t>1 154 531 030,00</w:t>
            </w:r>
          </w:p>
        </w:tc>
        <w:tc>
          <w:tcPr>
            <w:tcW w:w="1559" w:type="dxa"/>
            <w:tcBorders>
              <w:top w:val="nil"/>
              <w:left w:val="nil"/>
              <w:bottom w:val="single" w:sz="4" w:space="0" w:color="auto"/>
              <w:right w:val="single" w:sz="4" w:space="0" w:color="auto"/>
            </w:tcBorders>
            <w:shd w:val="clear" w:color="EE8137" w:fill="F79646"/>
            <w:noWrap/>
            <w:vAlign w:val="center"/>
            <w:hideMark/>
          </w:tcPr>
          <w:p w:rsidR="009758AB" w:rsidRDefault="009758AB">
            <w:pPr>
              <w:jc w:val="right"/>
              <w:rPr>
                <w:rFonts w:ascii="Calibri" w:hAnsi="Calibri" w:cs="Calibri"/>
                <w:b/>
                <w:bCs/>
                <w:color w:val="000000"/>
                <w:sz w:val="20"/>
                <w:szCs w:val="20"/>
              </w:rPr>
            </w:pPr>
            <w:r>
              <w:rPr>
                <w:rFonts w:ascii="Calibri" w:hAnsi="Calibri" w:cs="Calibri"/>
                <w:b/>
                <w:bCs/>
                <w:color w:val="000000"/>
                <w:sz w:val="20"/>
                <w:szCs w:val="20"/>
              </w:rPr>
              <w:t>1 255 733 640,35</w:t>
            </w:r>
          </w:p>
        </w:tc>
        <w:tc>
          <w:tcPr>
            <w:tcW w:w="1559" w:type="dxa"/>
            <w:tcBorders>
              <w:top w:val="nil"/>
              <w:left w:val="nil"/>
              <w:bottom w:val="single" w:sz="4" w:space="0" w:color="auto"/>
              <w:right w:val="single" w:sz="4" w:space="0" w:color="auto"/>
            </w:tcBorders>
            <w:shd w:val="clear" w:color="EE8137" w:fill="F79646"/>
            <w:noWrap/>
            <w:vAlign w:val="center"/>
            <w:hideMark/>
          </w:tcPr>
          <w:p w:rsidR="009758AB" w:rsidRDefault="009758AB">
            <w:pPr>
              <w:jc w:val="right"/>
              <w:rPr>
                <w:rFonts w:ascii="Calibri" w:hAnsi="Calibri" w:cs="Calibri"/>
                <w:b/>
                <w:bCs/>
                <w:color w:val="000000"/>
                <w:sz w:val="20"/>
                <w:szCs w:val="20"/>
              </w:rPr>
            </w:pPr>
            <w:r>
              <w:rPr>
                <w:rFonts w:ascii="Calibri" w:hAnsi="Calibri" w:cs="Calibri"/>
                <w:b/>
                <w:bCs/>
                <w:color w:val="000000"/>
                <w:sz w:val="20"/>
                <w:szCs w:val="20"/>
              </w:rPr>
              <w:t>1 154 538 269,85</w:t>
            </w:r>
          </w:p>
        </w:tc>
        <w:tc>
          <w:tcPr>
            <w:tcW w:w="851" w:type="dxa"/>
            <w:tcBorders>
              <w:top w:val="nil"/>
              <w:left w:val="nil"/>
              <w:bottom w:val="single" w:sz="4" w:space="0" w:color="auto"/>
              <w:right w:val="single" w:sz="4" w:space="0" w:color="auto"/>
            </w:tcBorders>
            <w:shd w:val="clear" w:color="EE8137" w:fill="F79646"/>
            <w:noWrap/>
            <w:vAlign w:val="center"/>
            <w:hideMark/>
          </w:tcPr>
          <w:p w:rsidR="009758AB" w:rsidRDefault="009758AB">
            <w:pPr>
              <w:jc w:val="right"/>
              <w:rPr>
                <w:rFonts w:ascii="Calibri" w:hAnsi="Calibri" w:cs="Calibri"/>
                <w:b/>
                <w:bCs/>
                <w:color w:val="000000"/>
                <w:sz w:val="20"/>
                <w:szCs w:val="20"/>
              </w:rPr>
            </w:pPr>
            <w:r>
              <w:rPr>
                <w:rFonts w:ascii="Calibri" w:hAnsi="Calibri" w:cs="Calibri"/>
                <w:b/>
                <w:bCs/>
                <w:color w:val="000000"/>
                <w:sz w:val="20"/>
                <w:szCs w:val="20"/>
              </w:rPr>
              <w:t>91,94 %</w:t>
            </w:r>
          </w:p>
        </w:tc>
      </w:tr>
    </w:tbl>
    <w:p w:rsidR="009758AB" w:rsidRDefault="009758AB" w:rsidP="009758AB"/>
    <w:p w:rsidR="009758AB" w:rsidRPr="009758AB" w:rsidRDefault="009758AB" w:rsidP="009758AB"/>
    <w:p w:rsidR="00303F7C" w:rsidRDefault="00067E4C" w:rsidP="00303F7C">
      <w:r>
        <w:rPr>
          <w:noProof/>
        </w:rPr>
        <w:drawing>
          <wp:inline distT="0" distB="0" distL="0" distR="0" wp14:anchorId="1974445B" wp14:editId="6B9EFABA">
            <wp:extent cx="6030595" cy="3132455"/>
            <wp:effectExtent l="0" t="0" r="8255" b="10795"/>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231182" w:rsidRDefault="00231182" w:rsidP="0024764D">
      <w:pPr>
        <w:pStyle w:val="Nadpis3"/>
        <w:rPr>
          <w:b w:val="0"/>
        </w:rPr>
      </w:pPr>
      <w:bookmarkStart w:id="39" w:name="_Toc39129523"/>
      <w:r w:rsidRPr="00E349B5">
        <w:rPr>
          <w:b w:val="0"/>
        </w:rPr>
        <w:t>Vyhodnocení skutečnosti celkových výdajů za oddíly – rok 20</w:t>
      </w:r>
      <w:r w:rsidR="009404C4" w:rsidRPr="00E349B5">
        <w:rPr>
          <w:b w:val="0"/>
        </w:rPr>
        <w:t>2</w:t>
      </w:r>
      <w:r w:rsidR="00067E4C">
        <w:rPr>
          <w:b w:val="0"/>
        </w:rPr>
        <w:t>2</w:t>
      </w:r>
      <w:r w:rsidRPr="00E349B5">
        <w:rPr>
          <w:b w:val="0"/>
        </w:rPr>
        <w:t>(v Kč)</w:t>
      </w:r>
      <w:bookmarkEnd w:id="39"/>
    </w:p>
    <w:tbl>
      <w:tblPr>
        <w:tblW w:w="9351" w:type="dxa"/>
        <w:tblCellMar>
          <w:left w:w="70" w:type="dxa"/>
          <w:right w:w="70" w:type="dxa"/>
        </w:tblCellMar>
        <w:tblLook w:val="04A0" w:firstRow="1" w:lastRow="0" w:firstColumn="1" w:lastColumn="0" w:noHBand="0" w:noVBand="1"/>
      </w:tblPr>
      <w:tblGrid>
        <w:gridCol w:w="6658"/>
        <w:gridCol w:w="1417"/>
        <w:gridCol w:w="1276"/>
      </w:tblGrid>
      <w:tr w:rsidR="00067E4C" w:rsidTr="00067E4C">
        <w:trPr>
          <w:trHeight w:val="720"/>
        </w:trPr>
        <w:tc>
          <w:tcPr>
            <w:tcW w:w="6658" w:type="dxa"/>
            <w:tcBorders>
              <w:top w:val="single" w:sz="4" w:space="0" w:color="auto"/>
              <w:left w:val="single" w:sz="4" w:space="0" w:color="auto"/>
              <w:bottom w:val="single" w:sz="4" w:space="0" w:color="auto"/>
              <w:right w:val="single" w:sz="4" w:space="0" w:color="auto"/>
            </w:tcBorders>
            <w:shd w:val="clear" w:color="EE8137" w:fill="F79646"/>
            <w:noWrap/>
            <w:vAlign w:val="center"/>
            <w:hideMark/>
          </w:tcPr>
          <w:p w:rsidR="00067E4C" w:rsidRDefault="00067E4C">
            <w:pPr>
              <w:jc w:val="center"/>
              <w:rPr>
                <w:rFonts w:ascii="Calibri" w:hAnsi="Calibri" w:cs="Calibri"/>
                <w:color w:val="000000"/>
                <w:sz w:val="18"/>
                <w:szCs w:val="18"/>
              </w:rPr>
            </w:pPr>
            <w:r>
              <w:rPr>
                <w:rFonts w:ascii="Calibri" w:hAnsi="Calibri" w:cs="Calibri"/>
                <w:color w:val="000000"/>
                <w:sz w:val="18"/>
                <w:szCs w:val="18"/>
              </w:rPr>
              <w:t>Název oddílu</w:t>
            </w:r>
          </w:p>
        </w:tc>
        <w:tc>
          <w:tcPr>
            <w:tcW w:w="1417" w:type="dxa"/>
            <w:tcBorders>
              <w:top w:val="single" w:sz="4" w:space="0" w:color="auto"/>
              <w:left w:val="nil"/>
              <w:bottom w:val="single" w:sz="4" w:space="0" w:color="auto"/>
              <w:right w:val="single" w:sz="4" w:space="0" w:color="auto"/>
            </w:tcBorders>
            <w:shd w:val="clear" w:color="EE8137" w:fill="F79646"/>
            <w:noWrap/>
            <w:vAlign w:val="center"/>
            <w:hideMark/>
          </w:tcPr>
          <w:p w:rsidR="00067E4C" w:rsidRDefault="00067E4C">
            <w:pPr>
              <w:jc w:val="center"/>
              <w:rPr>
                <w:rFonts w:ascii="Calibri" w:hAnsi="Calibri" w:cs="Calibri"/>
                <w:color w:val="000000"/>
                <w:sz w:val="18"/>
                <w:szCs w:val="18"/>
              </w:rPr>
            </w:pPr>
            <w:r>
              <w:rPr>
                <w:rFonts w:ascii="Calibri" w:hAnsi="Calibri" w:cs="Calibri"/>
                <w:color w:val="000000"/>
                <w:sz w:val="18"/>
                <w:szCs w:val="18"/>
              </w:rPr>
              <w:t>Skutečnost</w:t>
            </w:r>
          </w:p>
        </w:tc>
        <w:tc>
          <w:tcPr>
            <w:tcW w:w="1276" w:type="dxa"/>
            <w:tcBorders>
              <w:top w:val="single" w:sz="4" w:space="0" w:color="auto"/>
              <w:left w:val="nil"/>
              <w:bottom w:val="single" w:sz="4" w:space="0" w:color="auto"/>
              <w:right w:val="single" w:sz="4" w:space="0" w:color="auto"/>
            </w:tcBorders>
            <w:shd w:val="clear" w:color="EE8137" w:fill="F79646"/>
            <w:vAlign w:val="center"/>
            <w:hideMark/>
          </w:tcPr>
          <w:p w:rsidR="00067E4C" w:rsidRDefault="00067E4C">
            <w:pPr>
              <w:jc w:val="center"/>
              <w:rPr>
                <w:rFonts w:ascii="Calibri" w:hAnsi="Calibri" w:cs="Calibri"/>
                <w:color w:val="000000"/>
                <w:sz w:val="18"/>
                <w:szCs w:val="18"/>
              </w:rPr>
            </w:pPr>
            <w:r>
              <w:rPr>
                <w:rFonts w:ascii="Calibri" w:hAnsi="Calibri" w:cs="Calibri"/>
                <w:color w:val="000000"/>
                <w:sz w:val="18"/>
                <w:szCs w:val="18"/>
              </w:rPr>
              <w:t>Podíl na celkových výdajích</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F2F2F2" w:fill="FFFFFF"/>
            <w:vAlign w:val="center"/>
            <w:hideMark/>
          </w:tcPr>
          <w:p w:rsidR="00067E4C" w:rsidRDefault="00067E4C">
            <w:pPr>
              <w:rPr>
                <w:rFonts w:ascii="Calibri" w:hAnsi="Calibri" w:cs="Calibri"/>
                <w:color w:val="000000"/>
                <w:sz w:val="18"/>
                <w:szCs w:val="18"/>
              </w:rPr>
            </w:pPr>
            <w:r>
              <w:rPr>
                <w:rFonts w:ascii="Calibri" w:hAnsi="Calibri" w:cs="Calibri"/>
                <w:color w:val="000000"/>
                <w:sz w:val="18"/>
                <w:szCs w:val="18"/>
              </w:rPr>
              <w:t>10 Zemědělství, lesní hospodářství a rybářství</w:t>
            </w:r>
          </w:p>
        </w:tc>
        <w:tc>
          <w:tcPr>
            <w:tcW w:w="1417"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650 426,00</w:t>
            </w:r>
          </w:p>
        </w:tc>
        <w:tc>
          <w:tcPr>
            <w:tcW w:w="1276"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0,06 %</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F2F2F2" w:fill="D9D9D9"/>
            <w:vAlign w:val="center"/>
            <w:hideMark/>
          </w:tcPr>
          <w:p w:rsidR="00067E4C" w:rsidRDefault="00067E4C">
            <w:pPr>
              <w:rPr>
                <w:rFonts w:ascii="Calibri" w:hAnsi="Calibri" w:cs="Calibri"/>
                <w:color w:val="000000"/>
                <w:sz w:val="18"/>
                <w:szCs w:val="18"/>
              </w:rPr>
            </w:pPr>
            <w:r>
              <w:rPr>
                <w:rFonts w:ascii="Calibri" w:hAnsi="Calibri" w:cs="Calibri"/>
                <w:color w:val="000000"/>
                <w:sz w:val="18"/>
                <w:szCs w:val="18"/>
              </w:rPr>
              <w:t>22 Doprava</w:t>
            </w:r>
          </w:p>
        </w:tc>
        <w:tc>
          <w:tcPr>
            <w:tcW w:w="1417" w:type="dxa"/>
            <w:tcBorders>
              <w:top w:val="nil"/>
              <w:left w:val="nil"/>
              <w:bottom w:val="single" w:sz="4" w:space="0" w:color="auto"/>
              <w:right w:val="single" w:sz="4" w:space="0" w:color="auto"/>
            </w:tcBorders>
            <w:shd w:val="clear" w:color="F2F2F2" w:fill="D9D9D9"/>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183 048 869,24</w:t>
            </w:r>
          </w:p>
        </w:tc>
        <w:tc>
          <w:tcPr>
            <w:tcW w:w="1276" w:type="dxa"/>
            <w:tcBorders>
              <w:top w:val="nil"/>
              <w:left w:val="nil"/>
              <w:bottom w:val="single" w:sz="4" w:space="0" w:color="auto"/>
              <w:right w:val="single" w:sz="4" w:space="0" w:color="auto"/>
            </w:tcBorders>
            <w:shd w:val="clear" w:color="F2F2F2" w:fill="D9D9D9"/>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15,85 %</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F2F2F2" w:fill="FFFFFF"/>
            <w:vAlign w:val="center"/>
            <w:hideMark/>
          </w:tcPr>
          <w:p w:rsidR="00067E4C" w:rsidRDefault="00067E4C">
            <w:pPr>
              <w:rPr>
                <w:rFonts w:ascii="Calibri" w:hAnsi="Calibri" w:cs="Calibri"/>
                <w:color w:val="000000"/>
                <w:sz w:val="18"/>
                <w:szCs w:val="18"/>
              </w:rPr>
            </w:pPr>
            <w:r>
              <w:rPr>
                <w:rFonts w:ascii="Calibri" w:hAnsi="Calibri" w:cs="Calibri"/>
                <w:color w:val="000000"/>
                <w:sz w:val="18"/>
                <w:szCs w:val="18"/>
              </w:rPr>
              <w:t>23 Vodní hospodářství</w:t>
            </w:r>
          </w:p>
        </w:tc>
        <w:tc>
          <w:tcPr>
            <w:tcW w:w="1417"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18 815 294,72</w:t>
            </w:r>
          </w:p>
        </w:tc>
        <w:tc>
          <w:tcPr>
            <w:tcW w:w="1276"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1,63 %</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F2F2F2" w:fill="D9D9D9"/>
            <w:vAlign w:val="center"/>
            <w:hideMark/>
          </w:tcPr>
          <w:p w:rsidR="00067E4C" w:rsidRDefault="00067E4C">
            <w:pPr>
              <w:rPr>
                <w:rFonts w:ascii="Calibri" w:hAnsi="Calibri" w:cs="Calibri"/>
                <w:color w:val="000000"/>
                <w:sz w:val="18"/>
                <w:szCs w:val="18"/>
              </w:rPr>
            </w:pPr>
            <w:r>
              <w:rPr>
                <w:rFonts w:ascii="Calibri" w:hAnsi="Calibri" w:cs="Calibri"/>
                <w:color w:val="000000"/>
                <w:sz w:val="18"/>
                <w:szCs w:val="18"/>
              </w:rPr>
              <w:t>25 Všeobecné hospodářské záležitosti a ostatní ekonomické funkce</w:t>
            </w:r>
          </w:p>
        </w:tc>
        <w:tc>
          <w:tcPr>
            <w:tcW w:w="1417" w:type="dxa"/>
            <w:tcBorders>
              <w:top w:val="nil"/>
              <w:left w:val="nil"/>
              <w:bottom w:val="single" w:sz="4" w:space="0" w:color="auto"/>
              <w:right w:val="single" w:sz="4" w:space="0" w:color="auto"/>
            </w:tcBorders>
            <w:shd w:val="clear" w:color="F2F2F2" w:fill="D9D9D9"/>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800 000,00</w:t>
            </w:r>
          </w:p>
        </w:tc>
        <w:tc>
          <w:tcPr>
            <w:tcW w:w="1276" w:type="dxa"/>
            <w:tcBorders>
              <w:top w:val="nil"/>
              <w:left w:val="nil"/>
              <w:bottom w:val="single" w:sz="4" w:space="0" w:color="auto"/>
              <w:right w:val="single" w:sz="4" w:space="0" w:color="auto"/>
            </w:tcBorders>
            <w:shd w:val="clear" w:color="F2F2F2" w:fill="D9D9D9"/>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0,07 %</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F2F2F2" w:fill="FFFFFF"/>
            <w:vAlign w:val="center"/>
            <w:hideMark/>
          </w:tcPr>
          <w:p w:rsidR="00067E4C" w:rsidRDefault="00067E4C">
            <w:pPr>
              <w:rPr>
                <w:rFonts w:ascii="Calibri" w:hAnsi="Calibri" w:cs="Calibri"/>
                <w:color w:val="000000"/>
                <w:sz w:val="18"/>
                <w:szCs w:val="18"/>
              </w:rPr>
            </w:pPr>
            <w:r>
              <w:rPr>
                <w:rFonts w:ascii="Calibri" w:hAnsi="Calibri" w:cs="Calibri"/>
                <w:color w:val="000000"/>
                <w:sz w:val="18"/>
                <w:szCs w:val="18"/>
              </w:rPr>
              <w:t>31 a 32 Vzdělávání a školské služby</w:t>
            </w:r>
          </w:p>
        </w:tc>
        <w:tc>
          <w:tcPr>
            <w:tcW w:w="1417"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149 004 403,49</w:t>
            </w:r>
          </w:p>
        </w:tc>
        <w:tc>
          <w:tcPr>
            <w:tcW w:w="1276"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12,91 %</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F2F2F2" w:fill="D9D9D9"/>
            <w:vAlign w:val="center"/>
            <w:hideMark/>
          </w:tcPr>
          <w:p w:rsidR="00067E4C" w:rsidRDefault="00067E4C">
            <w:pPr>
              <w:rPr>
                <w:rFonts w:ascii="Calibri" w:hAnsi="Calibri" w:cs="Calibri"/>
                <w:color w:val="000000"/>
                <w:sz w:val="18"/>
                <w:szCs w:val="18"/>
              </w:rPr>
            </w:pPr>
            <w:r>
              <w:rPr>
                <w:rFonts w:ascii="Calibri" w:hAnsi="Calibri" w:cs="Calibri"/>
                <w:color w:val="000000"/>
                <w:sz w:val="18"/>
                <w:szCs w:val="18"/>
              </w:rPr>
              <w:t>33 Kultura, církve a sdělovací prostředky</w:t>
            </w:r>
          </w:p>
        </w:tc>
        <w:tc>
          <w:tcPr>
            <w:tcW w:w="1417" w:type="dxa"/>
            <w:tcBorders>
              <w:top w:val="nil"/>
              <w:left w:val="nil"/>
              <w:bottom w:val="single" w:sz="4" w:space="0" w:color="auto"/>
              <w:right w:val="single" w:sz="4" w:space="0" w:color="auto"/>
            </w:tcBorders>
            <w:shd w:val="clear" w:color="F2F2F2" w:fill="D9D9D9"/>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52 510 108,96</w:t>
            </w:r>
          </w:p>
        </w:tc>
        <w:tc>
          <w:tcPr>
            <w:tcW w:w="1276" w:type="dxa"/>
            <w:tcBorders>
              <w:top w:val="nil"/>
              <w:left w:val="nil"/>
              <w:bottom w:val="single" w:sz="4" w:space="0" w:color="auto"/>
              <w:right w:val="single" w:sz="4" w:space="0" w:color="auto"/>
            </w:tcBorders>
            <w:shd w:val="clear" w:color="F2F2F2" w:fill="D9D9D9"/>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4,55 %</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F2F2F2" w:fill="FFFFFF"/>
            <w:vAlign w:val="center"/>
            <w:hideMark/>
          </w:tcPr>
          <w:p w:rsidR="00067E4C" w:rsidRDefault="00067E4C">
            <w:pPr>
              <w:rPr>
                <w:rFonts w:ascii="Calibri" w:hAnsi="Calibri" w:cs="Calibri"/>
                <w:color w:val="000000"/>
                <w:sz w:val="18"/>
                <w:szCs w:val="18"/>
              </w:rPr>
            </w:pPr>
            <w:r>
              <w:rPr>
                <w:rFonts w:ascii="Calibri" w:hAnsi="Calibri" w:cs="Calibri"/>
                <w:color w:val="000000"/>
                <w:sz w:val="18"/>
                <w:szCs w:val="18"/>
              </w:rPr>
              <w:t>34 Sport a zájmová činnosti</w:t>
            </w:r>
          </w:p>
        </w:tc>
        <w:tc>
          <w:tcPr>
            <w:tcW w:w="1417"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87 390 769,85</w:t>
            </w:r>
          </w:p>
        </w:tc>
        <w:tc>
          <w:tcPr>
            <w:tcW w:w="1276"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7,57 %</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F2F2F2" w:fill="D9D9D9"/>
            <w:vAlign w:val="center"/>
            <w:hideMark/>
          </w:tcPr>
          <w:p w:rsidR="00067E4C" w:rsidRDefault="00067E4C">
            <w:pPr>
              <w:rPr>
                <w:rFonts w:ascii="Calibri" w:hAnsi="Calibri" w:cs="Calibri"/>
                <w:color w:val="000000"/>
                <w:sz w:val="18"/>
                <w:szCs w:val="18"/>
              </w:rPr>
            </w:pPr>
            <w:r>
              <w:rPr>
                <w:rFonts w:ascii="Calibri" w:hAnsi="Calibri" w:cs="Calibri"/>
                <w:color w:val="000000"/>
                <w:sz w:val="18"/>
                <w:szCs w:val="18"/>
              </w:rPr>
              <w:t>35 Zdravotnictví</w:t>
            </w:r>
          </w:p>
        </w:tc>
        <w:tc>
          <w:tcPr>
            <w:tcW w:w="1417" w:type="dxa"/>
            <w:tcBorders>
              <w:top w:val="nil"/>
              <w:left w:val="nil"/>
              <w:bottom w:val="single" w:sz="4" w:space="0" w:color="auto"/>
              <w:right w:val="single" w:sz="4" w:space="0" w:color="auto"/>
            </w:tcBorders>
            <w:shd w:val="clear" w:color="F2F2F2" w:fill="D9D9D9"/>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2 989 918,00</w:t>
            </w:r>
          </w:p>
        </w:tc>
        <w:tc>
          <w:tcPr>
            <w:tcW w:w="1276" w:type="dxa"/>
            <w:tcBorders>
              <w:top w:val="nil"/>
              <w:left w:val="nil"/>
              <w:bottom w:val="single" w:sz="4" w:space="0" w:color="auto"/>
              <w:right w:val="single" w:sz="4" w:space="0" w:color="auto"/>
            </w:tcBorders>
            <w:shd w:val="clear" w:color="F2F2F2" w:fill="D9D9D9"/>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0,26 %</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F2F2F2" w:fill="FFFFFF"/>
            <w:vAlign w:val="center"/>
            <w:hideMark/>
          </w:tcPr>
          <w:p w:rsidR="00067E4C" w:rsidRDefault="00067E4C">
            <w:pPr>
              <w:rPr>
                <w:rFonts w:ascii="Calibri" w:hAnsi="Calibri" w:cs="Calibri"/>
                <w:color w:val="000000"/>
                <w:sz w:val="18"/>
                <w:szCs w:val="18"/>
              </w:rPr>
            </w:pPr>
            <w:r>
              <w:rPr>
                <w:rFonts w:ascii="Calibri" w:hAnsi="Calibri" w:cs="Calibri"/>
                <w:color w:val="000000"/>
                <w:sz w:val="18"/>
                <w:szCs w:val="18"/>
              </w:rPr>
              <w:t>36 Bydlení, komunální služby a územní rozvoj</w:t>
            </w:r>
          </w:p>
        </w:tc>
        <w:tc>
          <w:tcPr>
            <w:tcW w:w="1417"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140 872 603,49</w:t>
            </w:r>
          </w:p>
        </w:tc>
        <w:tc>
          <w:tcPr>
            <w:tcW w:w="1276"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12,20 %</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F2F2F2" w:fill="D9D9D9"/>
            <w:vAlign w:val="center"/>
            <w:hideMark/>
          </w:tcPr>
          <w:p w:rsidR="00067E4C" w:rsidRDefault="00067E4C">
            <w:pPr>
              <w:rPr>
                <w:rFonts w:ascii="Calibri" w:hAnsi="Calibri" w:cs="Calibri"/>
                <w:color w:val="000000"/>
                <w:sz w:val="18"/>
                <w:szCs w:val="18"/>
              </w:rPr>
            </w:pPr>
            <w:r>
              <w:rPr>
                <w:rFonts w:ascii="Calibri" w:hAnsi="Calibri" w:cs="Calibri"/>
                <w:color w:val="000000"/>
                <w:sz w:val="18"/>
                <w:szCs w:val="18"/>
              </w:rPr>
              <w:t>37 Ochrana životního prostředí</w:t>
            </w:r>
          </w:p>
        </w:tc>
        <w:tc>
          <w:tcPr>
            <w:tcW w:w="1417" w:type="dxa"/>
            <w:tcBorders>
              <w:top w:val="nil"/>
              <w:left w:val="nil"/>
              <w:bottom w:val="single" w:sz="4" w:space="0" w:color="auto"/>
              <w:right w:val="single" w:sz="4" w:space="0" w:color="auto"/>
            </w:tcBorders>
            <w:shd w:val="clear" w:color="F2F2F2" w:fill="D9D9D9"/>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119 931 220,38</w:t>
            </w:r>
          </w:p>
        </w:tc>
        <w:tc>
          <w:tcPr>
            <w:tcW w:w="1276" w:type="dxa"/>
            <w:tcBorders>
              <w:top w:val="nil"/>
              <w:left w:val="nil"/>
              <w:bottom w:val="single" w:sz="4" w:space="0" w:color="auto"/>
              <w:right w:val="single" w:sz="4" w:space="0" w:color="auto"/>
            </w:tcBorders>
            <w:shd w:val="clear" w:color="F2F2F2" w:fill="D9D9D9"/>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10,39 %</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F2F2F2" w:fill="FFFFFF"/>
            <w:vAlign w:val="center"/>
            <w:hideMark/>
          </w:tcPr>
          <w:p w:rsidR="00067E4C" w:rsidRDefault="00067E4C">
            <w:pPr>
              <w:rPr>
                <w:rFonts w:ascii="Calibri" w:hAnsi="Calibri" w:cs="Calibri"/>
                <w:color w:val="000000"/>
                <w:sz w:val="18"/>
                <w:szCs w:val="18"/>
              </w:rPr>
            </w:pPr>
            <w:r>
              <w:rPr>
                <w:rFonts w:ascii="Calibri" w:hAnsi="Calibri" w:cs="Calibri"/>
                <w:color w:val="000000"/>
                <w:sz w:val="18"/>
                <w:szCs w:val="18"/>
              </w:rPr>
              <w:t>39 Ostatní činnosti související se službami pro fyzické osoby</w:t>
            </w:r>
          </w:p>
        </w:tc>
        <w:tc>
          <w:tcPr>
            <w:tcW w:w="1417"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567 558,20</w:t>
            </w:r>
          </w:p>
        </w:tc>
        <w:tc>
          <w:tcPr>
            <w:tcW w:w="1276"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0,05 %</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F2F2F2" w:fill="D9D9D9"/>
            <w:vAlign w:val="center"/>
            <w:hideMark/>
          </w:tcPr>
          <w:p w:rsidR="00067E4C" w:rsidRDefault="00067E4C">
            <w:pPr>
              <w:rPr>
                <w:rFonts w:ascii="Calibri" w:hAnsi="Calibri" w:cs="Calibri"/>
                <w:color w:val="000000"/>
                <w:sz w:val="18"/>
                <w:szCs w:val="18"/>
              </w:rPr>
            </w:pPr>
            <w:r>
              <w:rPr>
                <w:rFonts w:ascii="Calibri" w:hAnsi="Calibri" w:cs="Calibri"/>
                <w:color w:val="000000"/>
                <w:sz w:val="18"/>
                <w:szCs w:val="18"/>
              </w:rPr>
              <w:t>43 Sociální služby a společné činnosti v sociálním zabezpečení a politice zaměstnanosti</w:t>
            </w:r>
          </w:p>
        </w:tc>
        <w:tc>
          <w:tcPr>
            <w:tcW w:w="1417" w:type="dxa"/>
            <w:tcBorders>
              <w:top w:val="nil"/>
              <w:left w:val="nil"/>
              <w:bottom w:val="single" w:sz="4" w:space="0" w:color="auto"/>
              <w:right w:val="single" w:sz="4" w:space="0" w:color="auto"/>
            </w:tcBorders>
            <w:shd w:val="clear" w:color="F2F2F2" w:fill="D9D9D9"/>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5 419 898,96</w:t>
            </w:r>
          </w:p>
        </w:tc>
        <w:tc>
          <w:tcPr>
            <w:tcW w:w="1276" w:type="dxa"/>
            <w:tcBorders>
              <w:top w:val="nil"/>
              <w:left w:val="nil"/>
              <w:bottom w:val="single" w:sz="4" w:space="0" w:color="auto"/>
              <w:right w:val="single" w:sz="4" w:space="0" w:color="auto"/>
            </w:tcBorders>
            <w:shd w:val="clear" w:color="F2F2F2" w:fill="D9D9D9"/>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0,47 %</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F2F2F2" w:fill="FFFFFF"/>
            <w:vAlign w:val="center"/>
            <w:hideMark/>
          </w:tcPr>
          <w:p w:rsidR="00067E4C" w:rsidRDefault="00067E4C">
            <w:pPr>
              <w:rPr>
                <w:rFonts w:ascii="Calibri" w:hAnsi="Calibri" w:cs="Calibri"/>
                <w:color w:val="000000"/>
                <w:sz w:val="18"/>
                <w:szCs w:val="18"/>
              </w:rPr>
            </w:pPr>
            <w:r>
              <w:rPr>
                <w:rFonts w:ascii="Calibri" w:hAnsi="Calibri" w:cs="Calibri"/>
                <w:color w:val="000000"/>
                <w:sz w:val="18"/>
                <w:szCs w:val="18"/>
              </w:rPr>
              <w:t>52 Civilní připravenost na krizové stavy</w:t>
            </w:r>
          </w:p>
        </w:tc>
        <w:tc>
          <w:tcPr>
            <w:tcW w:w="1417"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374 577,01</w:t>
            </w:r>
          </w:p>
        </w:tc>
        <w:tc>
          <w:tcPr>
            <w:tcW w:w="1276"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0,03 %</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F2F2F2" w:fill="D9D9D9"/>
            <w:vAlign w:val="center"/>
            <w:hideMark/>
          </w:tcPr>
          <w:p w:rsidR="00067E4C" w:rsidRDefault="00067E4C">
            <w:pPr>
              <w:rPr>
                <w:rFonts w:ascii="Calibri" w:hAnsi="Calibri" w:cs="Calibri"/>
                <w:color w:val="000000"/>
                <w:sz w:val="18"/>
                <w:szCs w:val="18"/>
              </w:rPr>
            </w:pPr>
            <w:r>
              <w:rPr>
                <w:rFonts w:ascii="Calibri" w:hAnsi="Calibri" w:cs="Calibri"/>
                <w:color w:val="000000"/>
                <w:sz w:val="18"/>
                <w:szCs w:val="18"/>
              </w:rPr>
              <w:t>53 Bezpečnost a veřejný pořádek</w:t>
            </w:r>
          </w:p>
        </w:tc>
        <w:tc>
          <w:tcPr>
            <w:tcW w:w="1417" w:type="dxa"/>
            <w:tcBorders>
              <w:top w:val="nil"/>
              <w:left w:val="nil"/>
              <w:bottom w:val="single" w:sz="4" w:space="0" w:color="auto"/>
              <w:right w:val="single" w:sz="4" w:space="0" w:color="auto"/>
            </w:tcBorders>
            <w:shd w:val="clear" w:color="F2F2F2" w:fill="D9D9D9"/>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53 682 974,73</w:t>
            </w:r>
          </w:p>
        </w:tc>
        <w:tc>
          <w:tcPr>
            <w:tcW w:w="1276" w:type="dxa"/>
            <w:tcBorders>
              <w:top w:val="nil"/>
              <w:left w:val="nil"/>
              <w:bottom w:val="single" w:sz="4" w:space="0" w:color="auto"/>
              <w:right w:val="single" w:sz="4" w:space="0" w:color="auto"/>
            </w:tcBorders>
            <w:shd w:val="clear" w:color="F2F2F2" w:fill="D9D9D9"/>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4,65 %</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F2F2F2" w:fill="FFFFFF"/>
            <w:vAlign w:val="center"/>
            <w:hideMark/>
          </w:tcPr>
          <w:p w:rsidR="00067E4C" w:rsidRDefault="00067E4C">
            <w:pPr>
              <w:rPr>
                <w:rFonts w:ascii="Calibri" w:hAnsi="Calibri" w:cs="Calibri"/>
                <w:color w:val="000000"/>
                <w:sz w:val="18"/>
                <w:szCs w:val="18"/>
              </w:rPr>
            </w:pPr>
            <w:r>
              <w:rPr>
                <w:rFonts w:ascii="Calibri" w:hAnsi="Calibri" w:cs="Calibri"/>
                <w:color w:val="000000"/>
                <w:sz w:val="18"/>
                <w:szCs w:val="18"/>
              </w:rPr>
              <w:t>55 Požární ochrana a integrovaný záchranný systém</w:t>
            </w:r>
          </w:p>
        </w:tc>
        <w:tc>
          <w:tcPr>
            <w:tcW w:w="1417"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4 224 579,64</w:t>
            </w:r>
          </w:p>
        </w:tc>
        <w:tc>
          <w:tcPr>
            <w:tcW w:w="1276"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0,37 %</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F2F2F2" w:fill="D9D9D9"/>
            <w:vAlign w:val="center"/>
            <w:hideMark/>
          </w:tcPr>
          <w:p w:rsidR="00067E4C" w:rsidRDefault="00067E4C">
            <w:pPr>
              <w:rPr>
                <w:rFonts w:ascii="Calibri" w:hAnsi="Calibri" w:cs="Calibri"/>
                <w:color w:val="000000"/>
                <w:sz w:val="18"/>
                <w:szCs w:val="18"/>
              </w:rPr>
            </w:pPr>
            <w:r>
              <w:rPr>
                <w:rFonts w:ascii="Calibri" w:hAnsi="Calibri" w:cs="Calibri"/>
                <w:color w:val="000000"/>
                <w:sz w:val="18"/>
                <w:szCs w:val="18"/>
              </w:rPr>
              <w:t>61 Státní moc, stát. správa, územ. samospráva a pol. strany</w:t>
            </w:r>
          </w:p>
        </w:tc>
        <w:tc>
          <w:tcPr>
            <w:tcW w:w="1417" w:type="dxa"/>
            <w:tcBorders>
              <w:top w:val="nil"/>
              <w:left w:val="nil"/>
              <w:bottom w:val="single" w:sz="4" w:space="0" w:color="auto"/>
              <w:right w:val="single" w:sz="4" w:space="0" w:color="auto"/>
            </w:tcBorders>
            <w:shd w:val="clear" w:color="F2F2F2" w:fill="D9D9D9"/>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285 772 676,37</w:t>
            </w:r>
          </w:p>
        </w:tc>
        <w:tc>
          <w:tcPr>
            <w:tcW w:w="1276" w:type="dxa"/>
            <w:tcBorders>
              <w:top w:val="nil"/>
              <w:left w:val="nil"/>
              <w:bottom w:val="single" w:sz="4" w:space="0" w:color="auto"/>
              <w:right w:val="single" w:sz="4" w:space="0" w:color="auto"/>
            </w:tcBorders>
            <w:shd w:val="clear" w:color="F2F2F2" w:fill="D9D9D9"/>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24,75 %</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F2F2F2" w:fill="FFFFFF"/>
            <w:vAlign w:val="center"/>
            <w:hideMark/>
          </w:tcPr>
          <w:p w:rsidR="00067E4C" w:rsidRDefault="00067E4C">
            <w:pPr>
              <w:rPr>
                <w:rFonts w:ascii="Calibri" w:hAnsi="Calibri" w:cs="Calibri"/>
                <w:color w:val="000000"/>
                <w:sz w:val="18"/>
                <w:szCs w:val="18"/>
              </w:rPr>
            </w:pPr>
            <w:r>
              <w:rPr>
                <w:rFonts w:ascii="Calibri" w:hAnsi="Calibri" w:cs="Calibri"/>
                <w:color w:val="000000"/>
                <w:sz w:val="18"/>
                <w:szCs w:val="18"/>
              </w:rPr>
              <w:t>62 Jiné veřejné služby a činnosti</w:t>
            </w:r>
          </w:p>
        </w:tc>
        <w:tc>
          <w:tcPr>
            <w:tcW w:w="1417"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180 083,00</w:t>
            </w:r>
          </w:p>
        </w:tc>
        <w:tc>
          <w:tcPr>
            <w:tcW w:w="1276"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0,02 %</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F2F2F2" w:fill="D9D9D9"/>
            <w:vAlign w:val="center"/>
            <w:hideMark/>
          </w:tcPr>
          <w:p w:rsidR="00067E4C" w:rsidRDefault="00067E4C">
            <w:pPr>
              <w:rPr>
                <w:rFonts w:ascii="Calibri" w:hAnsi="Calibri" w:cs="Calibri"/>
                <w:color w:val="000000"/>
                <w:sz w:val="18"/>
                <w:szCs w:val="18"/>
              </w:rPr>
            </w:pPr>
            <w:r>
              <w:rPr>
                <w:rFonts w:ascii="Calibri" w:hAnsi="Calibri" w:cs="Calibri"/>
                <w:color w:val="000000"/>
                <w:sz w:val="18"/>
                <w:szCs w:val="18"/>
              </w:rPr>
              <w:t>63 Finanční operace</w:t>
            </w:r>
          </w:p>
        </w:tc>
        <w:tc>
          <w:tcPr>
            <w:tcW w:w="1417" w:type="dxa"/>
            <w:tcBorders>
              <w:top w:val="nil"/>
              <w:left w:val="nil"/>
              <w:bottom w:val="single" w:sz="4" w:space="0" w:color="auto"/>
              <w:right w:val="single" w:sz="4" w:space="0" w:color="auto"/>
            </w:tcBorders>
            <w:shd w:val="clear" w:color="F2F2F2" w:fill="D9D9D9"/>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33 689 129,86</w:t>
            </w:r>
          </w:p>
        </w:tc>
        <w:tc>
          <w:tcPr>
            <w:tcW w:w="1276" w:type="dxa"/>
            <w:tcBorders>
              <w:top w:val="nil"/>
              <w:left w:val="nil"/>
              <w:bottom w:val="single" w:sz="4" w:space="0" w:color="auto"/>
              <w:right w:val="single" w:sz="4" w:space="0" w:color="auto"/>
            </w:tcBorders>
            <w:shd w:val="clear" w:color="F2F2F2" w:fill="D9D9D9"/>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2,92 %</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F2F2F2" w:fill="FFFFFF"/>
            <w:vAlign w:val="center"/>
            <w:hideMark/>
          </w:tcPr>
          <w:p w:rsidR="00067E4C" w:rsidRDefault="00067E4C">
            <w:pPr>
              <w:rPr>
                <w:rFonts w:ascii="Calibri" w:hAnsi="Calibri" w:cs="Calibri"/>
                <w:color w:val="000000"/>
                <w:sz w:val="18"/>
                <w:szCs w:val="18"/>
              </w:rPr>
            </w:pPr>
            <w:r>
              <w:rPr>
                <w:rFonts w:ascii="Calibri" w:hAnsi="Calibri" w:cs="Calibri"/>
                <w:color w:val="000000"/>
                <w:sz w:val="18"/>
                <w:szCs w:val="18"/>
              </w:rPr>
              <w:t>64 Ostatní činnosti</w:t>
            </w:r>
          </w:p>
        </w:tc>
        <w:tc>
          <w:tcPr>
            <w:tcW w:w="1417"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14 613 177,95</w:t>
            </w:r>
          </w:p>
        </w:tc>
        <w:tc>
          <w:tcPr>
            <w:tcW w:w="1276"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1,27 %</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EE8137" w:fill="F79646"/>
            <w:noWrap/>
            <w:vAlign w:val="center"/>
            <w:hideMark/>
          </w:tcPr>
          <w:p w:rsidR="00067E4C" w:rsidRDefault="00067E4C">
            <w:pPr>
              <w:rPr>
                <w:rFonts w:ascii="Calibri" w:hAnsi="Calibri" w:cs="Calibri"/>
                <w:b/>
                <w:bCs/>
                <w:color w:val="000000"/>
                <w:sz w:val="18"/>
                <w:szCs w:val="18"/>
              </w:rPr>
            </w:pPr>
            <w:r>
              <w:rPr>
                <w:rFonts w:ascii="Calibri" w:hAnsi="Calibri" w:cs="Calibri"/>
                <w:b/>
                <w:bCs/>
                <w:color w:val="000000"/>
                <w:sz w:val="18"/>
                <w:szCs w:val="18"/>
              </w:rPr>
              <w:t>Výdaje celkem</w:t>
            </w:r>
          </w:p>
        </w:tc>
        <w:tc>
          <w:tcPr>
            <w:tcW w:w="1417" w:type="dxa"/>
            <w:tcBorders>
              <w:top w:val="nil"/>
              <w:left w:val="nil"/>
              <w:bottom w:val="single" w:sz="4" w:space="0" w:color="auto"/>
              <w:right w:val="single" w:sz="4" w:space="0" w:color="auto"/>
            </w:tcBorders>
            <w:shd w:val="clear" w:color="EE8137" w:fill="F79646"/>
            <w:noWrap/>
            <w:vAlign w:val="center"/>
            <w:hideMark/>
          </w:tcPr>
          <w:p w:rsidR="00067E4C" w:rsidRDefault="00067E4C">
            <w:pPr>
              <w:jc w:val="right"/>
              <w:rPr>
                <w:rFonts w:ascii="Calibri" w:hAnsi="Calibri" w:cs="Calibri"/>
                <w:b/>
                <w:bCs/>
                <w:color w:val="000000"/>
                <w:sz w:val="18"/>
                <w:szCs w:val="18"/>
              </w:rPr>
            </w:pPr>
            <w:r>
              <w:rPr>
                <w:rFonts w:ascii="Calibri" w:hAnsi="Calibri" w:cs="Calibri"/>
                <w:b/>
                <w:bCs/>
                <w:color w:val="000000"/>
                <w:sz w:val="18"/>
                <w:szCs w:val="18"/>
              </w:rPr>
              <w:t>1 154 538 269,85</w:t>
            </w:r>
          </w:p>
        </w:tc>
        <w:tc>
          <w:tcPr>
            <w:tcW w:w="1276" w:type="dxa"/>
            <w:tcBorders>
              <w:top w:val="nil"/>
              <w:left w:val="nil"/>
              <w:bottom w:val="single" w:sz="4" w:space="0" w:color="auto"/>
              <w:right w:val="single" w:sz="4" w:space="0" w:color="auto"/>
            </w:tcBorders>
            <w:shd w:val="clear" w:color="EE8137" w:fill="F79646"/>
            <w:noWrap/>
            <w:vAlign w:val="center"/>
            <w:hideMark/>
          </w:tcPr>
          <w:p w:rsidR="00067E4C" w:rsidRDefault="00067E4C">
            <w:pPr>
              <w:jc w:val="right"/>
              <w:rPr>
                <w:rFonts w:ascii="Calibri" w:hAnsi="Calibri" w:cs="Calibri"/>
                <w:b/>
                <w:bCs/>
                <w:color w:val="000000"/>
                <w:sz w:val="18"/>
                <w:szCs w:val="18"/>
              </w:rPr>
            </w:pPr>
            <w:r>
              <w:rPr>
                <w:rFonts w:ascii="Calibri" w:hAnsi="Calibri" w:cs="Calibri"/>
                <w:b/>
                <w:bCs/>
                <w:color w:val="000000"/>
                <w:sz w:val="18"/>
                <w:szCs w:val="18"/>
              </w:rPr>
              <w:t>100,00 %</w:t>
            </w:r>
          </w:p>
        </w:tc>
      </w:tr>
    </w:tbl>
    <w:p w:rsidR="00067E4C" w:rsidRDefault="00067E4C" w:rsidP="0024764D">
      <w:pPr>
        <w:pStyle w:val="Nadpis3"/>
        <w:rPr>
          <w:b w:val="0"/>
        </w:rPr>
      </w:pPr>
      <w:bookmarkStart w:id="40" w:name="_Toc39129524"/>
    </w:p>
    <w:p w:rsidR="00231182" w:rsidRDefault="00231182" w:rsidP="0024764D">
      <w:pPr>
        <w:pStyle w:val="Nadpis3"/>
        <w:rPr>
          <w:b w:val="0"/>
        </w:rPr>
      </w:pPr>
      <w:r w:rsidRPr="00123E57">
        <w:rPr>
          <w:b w:val="0"/>
        </w:rPr>
        <w:t xml:space="preserve">Vyhodnocení skutečnosti </w:t>
      </w:r>
      <w:r w:rsidR="00647D3B" w:rsidRPr="00123E57">
        <w:rPr>
          <w:b w:val="0"/>
        </w:rPr>
        <w:t>běžných</w:t>
      </w:r>
      <w:r w:rsidRPr="00123E57">
        <w:rPr>
          <w:b w:val="0"/>
        </w:rPr>
        <w:t xml:space="preserve"> výdajů za oddíly</w:t>
      </w:r>
      <w:r w:rsidR="00E349B5" w:rsidRPr="00123E57">
        <w:rPr>
          <w:b w:val="0"/>
        </w:rPr>
        <w:t xml:space="preserve"> – rok 202</w:t>
      </w:r>
      <w:r w:rsidR="00067E4C">
        <w:rPr>
          <w:b w:val="0"/>
        </w:rPr>
        <w:t>2</w:t>
      </w:r>
      <w:r w:rsidRPr="00123E57">
        <w:rPr>
          <w:b w:val="0"/>
        </w:rPr>
        <w:t xml:space="preserve"> (v Kč)</w:t>
      </w:r>
      <w:bookmarkEnd w:id="40"/>
    </w:p>
    <w:tbl>
      <w:tblPr>
        <w:tblW w:w="9351" w:type="dxa"/>
        <w:tblCellMar>
          <w:left w:w="70" w:type="dxa"/>
          <w:right w:w="70" w:type="dxa"/>
        </w:tblCellMar>
        <w:tblLook w:val="04A0" w:firstRow="1" w:lastRow="0" w:firstColumn="1" w:lastColumn="0" w:noHBand="0" w:noVBand="1"/>
      </w:tblPr>
      <w:tblGrid>
        <w:gridCol w:w="6658"/>
        <w:gridCol w:w="1417"/>
        <w:gridCol w:w="1276"/>
      </w:tblGrid>
      <w:tr w:rsidR="00067E4C" w:rsidTr="00067E4C">
        <w:trPr>
          <w:trHeight w:val="720"/>
        </w:trPr>
        <w:tc>
          <w:tcPr>
            <w:tcW w:w="6658" w:type="dxa"/>
            <w:tcBorders>
              <w:top w:val="single" w:sz="4" w:space="0" w:color="auto"/>
              <w:left w:val="single" w:sz="4" w:space="0" w:color="auto"/>
              <w:bottom w:val="single" w:sz="4" w:space="0" w:color="auto"/>
              <w:right w:val="single" w:sz="4" w:space="0" w:color="auto"/>
            </w:tcBorders>
            <w:shd w:val="clear" w:color="EE8137" w:fill="F79646"/>
            <w:noWrap/>
            <w:vAlign w:val="center"/>
            <w:hideMark/>
          </w:tcPr>
          <w:p w:rsidR="00067E4C" w:rsidRDefault="00067E4C">
            <w:pPr>
              <w:jc w:val="center"/>
              <w:rPr>
                <w:rFonts w:ascii="Calibri" w:hAnsi="Calibri" w:cs="Calibri"/>
                <w:color w:val="000000"/>
                <w:sz w:val="18"/>
                <w:szCs w:val="18"/>
              </w:rPr>
            </w:pPr>
            <w:r>
              <w:rPr>
                <w:rFonts w:ascii="Calibri" w:hAnsi="Calibri" w:cs="Calibri"/>
                <w:color w:val="000000"/>
                <w:sz w:val="18"/>
                <w:szCs w:val="18"/>
              </w:rPr>
              <w:t>Název oddílu</w:t>
            </w:r>
          </w:p>
        </w:tc>
        <w:tc>
          <w:tcPr>
            <w:tcW w:w="1417" w:type="dxa"/>
            <w:tcBorders>
              <w:top w:val="single" w:sz="4" w:space="0" w:color="auto"/>
              <w:left w:val="nil"/>
              <w:bottom w:val="single" w:sz="4" w:space="0" w:color="auto"/>
              <w:right w:val="single" w:sz="4" w:space="0" w:color="auto"/>
            </w:tcBorders>
            <w:shd w:val="clear" w:color="EE8137" w:fill="F79646"/>
            <w:noWrap/>
            <w:vAlign w:val="center"/>
            <w:hideMark/>
          </w:tcPr>
          <w:p w:rsidR="00067E4C" w:rsidRDefault="00067E4C">
            <w:pPr>
              <w:jc w:val="center"/>
              <w:rPr>
                <w:rFonts w:ascii="Calibri" w:hAnsi="Calibri" w:cs="Calibri"/>
                <w:color w:val="000000"/>
                <w:sz w:val="18"/>
                <w:szCs w:val="18"/>
              </w:rPr>
            </w:pPr>
            <w:r>
              <w:rPr>
                <w:rFonts w:ascii="Calibri" w:hAnsi="Calibri" w:cs="Calibri"/>
                <w:color w:val="000000"/>
                <w:sz w:val="18"/>
                <w:szCs w:val="18"/>
              </w:rPr>
              <w:t>Skutečnost</w:t>
            </w:r>
          </w:p>
        </w:tc>
        <w:tc>
          <w:tcPr>
            <w:tcW w:w="1276" w:type="dxa"/>
            <w:tcBorders>
              <w:top w:val="single" w:sz="4" w:space="0" w:color="auto"/>
              <w:left w:val="nil"/>
              <w:bottom w:val="single" w:sz="4" w:space="0" w:color="auto"/>
              <w:right w:val="single" w:sz="4" w:space="0" w:color="auto"/>
            </w:tcBorders>
            <w:shd w:val="clear" w:color="EE8137" w:fill="F79646"/>
            <w:vAlign w:val="center"/>
            <w:hideMark/>
          </w:tcPr>
          <w:p w:rsidR="00067E4C" w:rsidRDefault="00067E4C">
            <w:pPr>
              <w:jc w:val="center"/>
              <w:rPr>
                <w:rFonts w:ascii="Calibri" w:hAnsi="Calibri" w:cs="Calibri"/>
                <w:color w:val="000000"/>
                <w:sz w:val="18"/>
                <w:szCs w:val="18"/>
              </w:rPr>
            </w:pPr>
            <w:r>
              <w:rPr>
                <w:rFonts w:ascii="Calibri" w:hAnsi="Calibri" w:cs="Calibri"/>
                <w:color w:val="000000"/>
                <w:sz w:val="18"/>
                <w:szCs w:val="18"/>
              </w:rPr>
              <w:t>Podíl na běžných výdajích</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F2F2F2" w:fill="FFFFFF"/>
            <w:vAlign w:val="center"/>
            <w:hideMark/>
          </w:tcPr>
          <w:p w:rsidR="00067E4C" w:rsidRDefault="00067E4C">
            <w:pPr>
              <w:rPr>
                <w:rFonts w:ascii="Calibri" w:hAnsi="Calibri" w:cs="Calibri"/>
                <w:color w:val="000000"/>
                <w:sz w:val="18"/>
                <w:szCs w:val="18"/>
              </w:rPr>
            </w:pPr>
            <w:r>
              <w:rPr>
                <w:rFonts w:ascii="Calibri" w:hAnsi="Calibri" w:cs="Calibri"/>
                <w:color w:val="000000"/>
                <w:sz w:val="18"/>
                <w:szCs w:val="18"/>
              </w:rPr>
              <w:t>10 Zemědělství, lesní hospodářství a rybářství</w:t>
            </w:r>
          </w:p>
        </w:tc>
        <w:tc>
          <w:tcPr>
            <w:tcW w:w="1417"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650 426,00</w:t>
            </w:r>
          </w:p>
        </w:tc>
        <w:tc>
          <w:tcPr>
            <w:tcW w:w="1276"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0,07 %</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F2F2F2" w:fill="D9D9D9"/>
            <w:vAlign w:val="center"/>
            <w:hideMark/>
          </w:tcPr>
          <w:p w:rsidR="00067E4C" w:rsidRDefault="00067E4C">
            <w:pPr>
              <w:rPr>
                <w:rFonts w:ascii="Calibri" w:hAnsi="Calibri" w:cs="Calibri"/>
                <w:color w:val="000000"/>
                <w:sz w:val="18"/>
                <w:szCs w:val="18"/>
              </w:rPr>
            </w:pPr>
            <w:r>
              <w:rPr>
                <w:rFonts w:ascii="Calibri" w:hAnsi="Calibri" w:cs="Calibri"/>
                <w:color w:val="000000"/>
                <w:sz w:val="18"/>
                <w:szCs w:val="18"/>
              </w:rPr>
              <w:t>22 Doprava</w:t>
            </w:r>
          </w:p>
        </w:tc>
        <w:tc>
          <w:tcPr>
            <w:tcW w:w="1417" w:type="dxa"/>
            <w:tcBorders>
              <w:top w:val="nil"/>
              <w:left w:val="nil"/>
              <w:bottom w:val="single" w:sz="4" w:space="0" w:color="auto"/>
              <w:right w:val="single" w:sz="4" w:space="0" w:color="auto"/>
            </w:tcBorders>
            <w:shd w:val="clear" w:color="F2F2F2" w:fill="D9D9D9"/>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90 487 396,75</w:t>
            </w:r>
          </w:p>
        </w:tc>
        <w:tc>
          <w:tcPr>
            <w:tcW w:w="1276" w:type="dxa"/>
            <w:tcBorders>
              <w:top w:val="nil"/>
              <w:left w:val="nil"/>
              <w:bottom w:val="single" w:sz="4" w:space="0" w:color="auto"/>
              <w:right w:val="single" w:sz="4" w:space="0" w:color="auto"/>
            </w:tcBorders>
            <w:shd w:val="clear" w:color="F2F2F2" w:fill="D9D9D9"/>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9,87 %</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F2F2F2" w:fill="FFFFFF"/>
            <w:vAlign w:val="center"/>
            <w:hideMark/>
          </w:tcPr>
          <w:p w:rsidR="00067E4C" w:rsidRDefault="00067E4C">
            <w:pPr>
              <w:rPr>
                <w:rFonts w:ascii="Calibri" w:hAnsi="Calibri" w:cs="Calibri"/>
                <w:color w:val="000000"/>
                <w:sz w:val="18"/>
                <w:szCs w:val="18"/>
              </w:rPr>
            </w:pPr>
            <w:r>
              <w:rPr>
                <w:rFonts w:ascii="Calibri" w:hAnsi="Calibri" w:cs="Calibri"/>
                <w:color w:val="000000"/>
                <w:sz w:val="18"/>
                <w:szCs w:val="18"/>
              </w:rPr>
              <w:t>23 Vodní hospodářství</w:t>
            </w:r>
          </w:p>
        </w:tc>
        <w:tc>
          <w:tcPr>
            <w:tcW w:w="1417"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1 388 158,99</w:t>
            </w:r>
          </w:p>
        </w:tc>
        <w:tc>
          <w:tcPr>
            <w:tcW w:w="1276"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0,15 %</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F2F2F2" w:fill="D9D9D9"/>
            <w:vAlign w:val="center"/>
            <w:hideMark/>
          </w:tcPr>
          <w:p w:rsidR="00067E4C" w:rsidRDefault="00067E4C">
            <w:pPr>
              <w:rPr>
                <w:rFonts w:ascii="Calibri" w:hAnsi="Calibri" w:cs="Calibri"/>
                <w:color w:val="000000"/>
                <w:sz w:val="18"/>
                <w:szCs w:val="18"/>
              </w:rPr>
            </w:pPr>
            <w:r>
              <w:rPr>
                <w:rFonts w:ascii="Calibri" w:hAnsi="Calibri" w:cs="Calibri"/>
                <w:color w:val="000000"/>
                <w:sz w:val="18"/>
                <w:szCs w:val="18"/>
              </w:rPr>
              <w:t>25 Všeobecné hospodářské záležitosti a ostatní ekonomické funkce</w:t>
            </w:r>
          </w:p>
        </w:tc>
        <w:tc>
          <w:tcPr>
            <w:tcW w:w="1417" w:type="dxa"/>
            <w:tcBorders>
              <w:top w:val="nil"/>
              <w:left w:val="nil"/>
              <w:bottom w:val="single" w:sz="4" w:space="0" w:color="auto"/>
              <w:right w:val="single" w:sz="4" w:space="0" w:color="auto"/>
            </w:tcBorders>
            <w:shd w:val="clear" w:color="F2F2F2" w:fill="D9D9D9"/>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800 000,00</w:t>
            </w:r>
          </w:p>
        </w:tc>
        <w:tc>
          <w:tcPr>
            <w:tcW w:w="1276" w:type="dxa"/>
            <w:tcBorders>
              <w:top w:val="nil"/>
              <w:left w:val="nil"/>
              <w:bottom w:val="single" w:sz="4" w:space="0" w:color="auto"/>
              <w:right w:val="single" w:sz="4" w:space="0" w:color="auto"/>
            </w:tcBorders>
            <w:shd w:val="clear" w:color="F2F2F2" w:fill="D9D9D9"/>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0,09 %</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F2F2F2" w:fill="FFFFFF"/>
            <w:vAlign w:val="center"/>
            <w:hideMark/>
          </w:tcPr>
          <w:p w:rsidR="00067E4C" w:rsidRDefault="00067E4C">
            <w:pPr>
              <w:rPr>
                <w:rFonts w:ascii="Calibri" w:hAnsi="Calibri" w:cs="Calibri"/>
                <w:color w:val="000000"/>
                <w:sz w:val="18"/>
                <w:szCs w:val="18"/>
              </w:rPr>
            </w:pPr>
            <w:r>
              <w:rPr>
                <w:rFonts w:ascii="Calibri" w:hAnsi="Calibri" w:cs="Calibri"/>
                <w:color w:val="000000"/>
                <w:sz w:val="18"/>
                <w:szCs w:val="18"/>
              </w:rPr>
              <w:t>31 a 32 Vzdělávání a školské služby</w:t>
            </w:r>
          </w:p>
        </w:tc>
        <w:tc>
          <w:tcPr>
            <w:tcW w:w="1417"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129 828 744,90</w:t>
            </w:r>
          </w:p>
        </w:tc>
        <w:tc>
          <w:tcPr>
            <w:tcW w:w="1276"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14,16 %</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F2F2F2" w:fill="D9D9D9"/>
            <w:vAlign w:val="center"/>
            <w:hideMark/>
          </w:tcPr>
          <w:p w:rsidR="00067E4C" w:rsidRDefault="00067E4C">
            <w:pPr>
              <w:rPr>
                <w:rFonts w:ascii="Calibri" w:hAnsi="Calibri" w:cs="Calibri"/>
                <w:color w:val="000000"/>
                <w:sz w:val="18"/>
                <w:szCs w:val="18"/>
              </w:rPr>
            </w:pPr>
            <w:r>
              <w:rPr>
                <w:rFonts w:ascii="Calibri" w:hAnsi="Calibri" w:cs="Calibri"/>
                <w:color w:val="000000"/>
                <w:sz w:val="18"/>
                <w:szCs w:val="18"/>
              </w:rPr>
              <w:t>33 Kultura, církve a sdělovací prostředky</w:t>
            </w:r>
          </w:p>
        </w:tc>
        <w:tc>
          <w:tcPr>
            <w:tcW w:w="1417" w:type="dxa"/>
            <w:tcBorders>
              <w:top w:val="nil"/>
              <w:left w:val="nil"/>
              <w:bottom w:val="single" w:sz="4" w:space="0" w:color="auto"/>
              <w:right w:val="single" w:sz="4" w:space="0" w:color="auto"/>
            </w:tcBorders>
            <w:shd w:val="clear" w:color="F2F2F2" w:fill="D9D9D9"/>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49 230 012,75</w:t>
            </w:r>
          </w:p>
        </w:tc>
        <w:tc>
          <w:tcPr>
            <w:tcW w:w="1276" w:type="dxa"/>
            <w:tcBorders>
              <w:top w:val="nil"/>
              <w:left w:val="nil"/>
              <w:bottom w:val="single" w:sz="4" w:space="0" w:color="auto"/>
              <w:right w:val="single" w:sz="4" w:space="0" w:color="auto"/>
            </w:tcBorders>
            <w:shd w:val="clear" w:color="F2F2F2" w:fill="D9D9D9"/>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5,37 %</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F2F2F2" w:fill="FFFFFF"/>
            <w:vAlign w:val="center"/>
            <w:hideMark/>
          </w:tcPr>
          <w:p w:rsidR="00067E4C" w:rsidRDefault="00067E4C">
            <w:pPr>
              <w:rPr>
                <w:rFonts w:ascii="Calibri" w:hAnsi="Calibri" w:cs="Calibri"/>
                <w:color w:val="000000"/>
                <w:sz w:val="18"/>
                <w:szCs w:val="18"/>
              </w:rPr>
            </w:pPr>
            <w:r>
              <w:rPr>
                <w:rFonts w:ascii="Calibri" w:hAnsi="Calibri" w:cs="Calibri"/>
                <w:color w:val="000000"/>
                <w:sz w:val="18"/>
                <w:szCs w:val="18"/>
              </w:rPr>
              <w:t>34 Sport a zájmová činnosti</w:t>
            </w:r>
          </w:p>
        </w:tc>
        <w:tc>
          <w:tcPr>
            <w:tcW w:w="1417"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54 763 481,35</w:t>
            </w:r>
          </w:p>
        </w:tc>
        <w:tc>
          <w:tcPr>
            <w:tcW w:w="1276"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5,97 %</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F2F2F2" w:fill="D9D9D9"/>
            <w:vAlign w:val="center"/>
            <w:hideMark/>
          </w:tcPr>
          <w:p w:rsidR="00067E4C" w:rsidRDefault="00067E4C">
            <w:pPr>
              <w:rPr>
                <w:rFonts w:ascii="Calibri" w:hAnsi="Calibri" w:cs="Calibri"/>
                <w:color w:val="000000"/>
                <w:sz w:val="18"/>
                <w:szCs w:val="18"/>
              </w:rPr>
            </w:pPr>
            <w:r>
              <w:rPr>
                <w:rFonts w:ascii="Calibri" w:hAnsi="Calibri" w:cs="Calibri"/>
                <w:color w:val="000000"/>
                <w:sz w:val="18"/>
                <w:szCs w:val="18"/>
              </w:rPr>
              <w:t>35 Zdravotnictví</w:t>
            </w:r>
          </w:p>
        </w:tc>
        <w:tc>
          <w:tcPr>
            <w:tcW w:w="1417" w:type="dxa"/>
            <w:tcBorders>
              <w:top w:val="nil"/>
              <w:left w:val="nil"/>
              <w:bottom w:val="single" w:sz="4" w:space="0" w:color="auto"/>
              <w:right w:val="single" w:sz="4" w:space="0" w:color="auto"/>
            </w:tcBorders>
            <w:shd w:val="clear" w:color="F2F2F2" w:fill="D9D9D9"/>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2 061 243,00</w:t>
            </w:r>
          </w:p>
        </w:tc>
        <w:tc>
          <w:tcPr>
            <w:tcW w:w="1276" w:type="dxa"/>
            <w:tcBorders>
              <w:top w:val="nil"/>
              <w:left w:val="nil"/>
              <w:bottom w:val="single" w:sz="4" w:space="0" w:color="auto"/>
              <w:right w:val="single" w:sz="4" w:space="0" w:color="auto"/>
            </w:tcBorders>
            <w:shd w:val="clear" w:color="F2F2F2" w:fill="D9D9D9"/>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0,22 %</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F2F2F2" w:fill="FFFFFF"/>
            <w:vAlign w:val="center"/>
            <w:hideMark/>
          </w:tcPr>
          <w:p w:rsidR="00067E4C" w:rsidRDefault="00067E4C">
            <w:pPr>
              <w:rPr>
                <w:rFonts w:ascii="Calibri" w:hAnsi="Calibri" w:cs="Calibri"/>
                <w:color w:val="000000"/>
                <w:sz w:val="18"/>
                <w:szCs w:val="18"/>
              </w:rPr>
            </w:pPr>
            <w:r>
              <w:rPr>
                <w:rFonts w:ascii="Calibri" w:hAnsi="Calibri" w:cs="Calibri"/>
                <w:color w:val="000000"/>
                <w:sz w:val="18"/>
                <w:szCs w:val="18"/>
              </w:rPr>
              <w:t>36 Bydlení, komunální služby a územní rozvoj</w:t>
            </w:r>
          </w:p>
        </w:tc>
        <w:tc>
          <w:tcPr>
            <w:tcW w:w="1417"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103 227 993,61</w:t>
            </w:r>
          </w:p>
        </w:tc>
        <w:tc>
          <w:tcPr>
            <w:tcW w:w="1276"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11,26 %</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F2F2F2" w:fill="D9D9D9"/>
            <w:vAlign w:val="center"/>
            <w:hideMark/>
          </w:tcPr>
          <w:p w:rsidR="00067E4C" w:rsidRDefault="00067E4C">
            <w:pPr>
              <w:rPr>
                <w:rFonts w:ascii="Calibri" w:hAnsi="Calibri" w:cs="Calibri"/>
                <w:color w:val="000000"/>
                <w:sz w:val="18"/>
                <w:szCs w:val="18"/>
              </w:rPr>
            </w:pPr>
            <w:r>
              <w:rPr>
                <w:rFonts w:ascii="Calibri" w:hAnsi="Calibri" w:cs="Calibri"/>
                <w:color w:val="000000"/>
                <w:sz w:val="18"/>
                <w:szCs w:val="18"/>
              </w:rPr>
              <w:t>37 Ochrana životního prostředí</w:t>
            </w:r>
          </w:p>
        </w:tc>
        <w:tc>
          <w:tcPr>
            <w:tcW w:w="1417" w:type="dxa"/>
            <w:tcBorders>
              <w:top w:val="nil"/>
              <w:left w:val="nil"/>
              <w:bottom w:val="single" w:sz="4" w:space="0" w:color="auto"/>
              <w:right w:val="single" w:sz="4" w:space="0" w:color="auto"/>
            </w:tcBorders>
            <w:shd w:val="clear" w:color="F2F2F2" w:fill="D9D9D9"/>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114 760 928,02</w:t>
            </w:r>
          </w:p>
        </w:tc>
        <w:tc>
          <w:tcPr>
            <w:tcW w:w="1276" w:type="dxa"/>
            <w:tcBorders>
              <w:top w:val="nil"/>
              <w:left w:val="nil"/>
              <w:bottom w:val="single" w:sz="4" w:space="0" w:color="auto"/>
              <w:right w:val="single" w:sz="4" w:space="0" w:color="auto"/>
            </w:tcBorders>
            <w:shd w:val="clear" w:color="F2F2F2" w:fill="D9D9D9"/>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12,52 %</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F2F2F2" w:fill="FFFFFF"/>
            <w:vAlign w:val="center"/>
            <w:hideMark/>
          </w:tcPr>
          <w:p w:rsidR="00067E4C" w:rsidRDefault="00067E4C">
            <w:pPr>
              <w:rPr>
                <w:rFonts w:ascii="Calibri" w:hAnsi="Calibri" w:cs="Calibri"/>
                <w:color w:val="000000"/>
                <w:sz w:val="18"/>
                <w:szCs w:val="18"/>
              </w:rPr>
            </w:pPr>
            <w:r>
              <w:rPr>
                <w:rFonts w:ascii="Calibri" w:hAnsi="Calibri" w:cs="Calibri"/>
                <w:color w:val="000000"/>
                <w:sz w:val="18"/>
                <w:szCs w:val="18"/>
              </w:rPr>
              <w:t>39 Ostatní činnosti související se službami pro fyzické osoby</w:t>
            </w:r>
          </w:p>
        </w:tc>
        <w:tc>
          <w:tcPr>
            <w:tcW w:w="1417"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84 744,00</w:t>
            </w:r>
          </w:p>
        </w:tc>
        <w:tc>
          <w:tcPr>
            <w:tcW w:w="1276"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0,01 %</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F2F2F2" w:fill="D9D9D9"/>
            <w:vAlign w:val="center"/>
            <w:hideMark/>
          </w:tcPr>
          <w:p w:rsidR="00067E4C" w:rsidRDefault="00067E4C">
            <w:pPr>
              <w:rPr>
                <w:rFonts w:ascii="Calibri" w:hAnsi="Calibri" w:cs="Calibri"/>
                <w:color w:val="000000"/>
                <w:sz w:val="18"/>
                <w:szCs w:val="18"/>
              </w:rPr>
            </w:pPr>
            <w:r>
              <w:rPr>
                <w:rFonts w:ascii="Calibri" w:hAnsi="Calibri" w:cs="Calibri"/>
                <w:color w:val="000000"/>
                <w:sz w:val="18"/>
                <w:szCs w:val="18"/>
              </w:rPr>
              <w:t>43 Sociální služby a společné činnosti v sociálním zabezpečení a politice zaměstnanosti</w:t>
            </w:r>
          </w:p>
        </w:tc>
        <w:tc>
          <w:tcPr>
            <w:tcW w:w="1417" w:type="dxa"/>
            <w:tcBorders>
              <w:top w:val="nil"/>
              <w:left w:val="nil"/>
              <w:bottom w:val="single" w:sz="4" w:space="0" w:color="auto"/>
              <w:right w:val="single" w:sz="4" w:space="0" w:color="auto"/>
            </w:tcBorders>
            <w:shd w:val="clear" w:color="F2F2F2" w:fill="D9D9D9"/>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5 319 398,96</w:t>
            </w:r>
          </w:p>
        </w:tc>
        <w:tc>
          <w:tcPr>
            <w:tcW w:w="1276" w:type="dxa"/>
            <w:tcBorders>
              <w:top w:val="nil"/>
              <w:left w:val="nil"/>
              <w:bottom w:val="single" w:sz="4" w:space="0" w:color="auto"/>
              <w:right w:val="single" w:sz="4" w:space="0" w:color="auto"/>
            </w:tcBorders>
            <w:shd w:val="clear" w:color="F2F2F2" w:fill="D9D9D9"/>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0,58 %</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F2F2F2" w:fill="FFFFFF"/>
            <w:vAlign w:val="center"/>
            <w:hideMark/>
          </w:tcPr>
          <w:p w:rsidR="00067E4C" w:rsidRDefault="00067E4C">
            <w:pPr>
              <w:rPr>
                <w:rFonts w:ascii="Calibri" w:hAnsi="Calibri" w:cs="Calibri"/>
                <w:color w:val="000000"/>
                <w:sz w:val="18"/>
                <w:szCs w:val="18"/>
              </w:rPr>
            </w:pPr>
            <w:r>
              <w:rPr>
                <w:rFonts w:ascii="Calibri" w:hAnsi="Calibri" w:cs="Calibri"/>
                <w:color w:val="000000"/>
                <w:sz w:val="18"/>
                <w:szCs w:val="18"/>
              </w:rPr>
              <w:t>52 Civilní připravenost na krizové stavy</w:t>
            </w:r>
          </w:p>
        </w:tc>
        <w:tc>
          <w:tcPr>
            <w:tcW w:w="1417"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263 257,01</w:t>
            </w:r>
          </w:p>
        </w:tc>
        <w:tc>
          <w:tcPr>
            <w:tcW w:w="1276"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0,03 %</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F2F2F2" w:fill="D9D9D9"/>
            <w:vAlign w:val="center"/>
            <w:hideMark/>
          </w:tcPr>
          <w:p w:rsidR="00067E4C" w:rsidRDefault="00067E4C">
            <w:pPr>
              <w:rPr>
                <w:rFonts w:ascii="Calibri" w:hAnsi="Calibri" w:cs="Calibri"/>
                <w:color w:val="000000"/>
                <w:sz w:val="18"/>
                <w:szCs w:val="18"/>
              </w:rPr>
            </w:pPr>
            <w:r>
              <w:rPr>
                <w:rFonts w:ascii="Calibri" w:hAnsi="Calibri" w:cs="Calibri"/>
                <w:color w:val="000000"/>
                <w:sz w:val="18"/>
                <w:szCs w:val="18"/>
              </w:rPr>
              <w:t>53 Bezpečnost a veřejný pořádek</w:t>
            </w:r>
          </w:p>
        </w:tc>
        <w:tc>
          <w:tcPr>
            <w:tcW w:w="1417" w:type="dxa"/>
            <w:tcBorders>
              <w:top w:val="nil"/>
              <w:left w:val="nil"/>
              <w:bottom w:val="single" w:sz="4" w:space="0" w:color="auto"/>
              <w:right w:val="single" w:sz="4" w:space="0" w:color="auto"/>
            </w:tcBorders>
            <w:shd w:val="clear" w:color="F2F2F2" w:fill="D9D9D9"/>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49 486 124,21</w:t>
            </w:r>
          </w:p>
        </w:tc>
        <w:tc>
          <w:tcPr>
            <w:tcW w:w="1276" w:type="dxa"/>
            <w:tcBorders>
              <w:top w:val="nil"/>
              <w:left w:val="nil"/>
              <w:bottom w:val="single" w:sz="4" w:space="0" w:color="auto"/>
              <w:right w:val="single" w:sz="4" w:space="0" w:color="auto"/>
            </w:tcBorders>
            <w:shd w:val="clear" w:color="F2F2F2" w:fill="D9D9D9"/>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5,40 %</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F2F2F2" w:fill="FFFFFF"/>
            <w:vAlign w:val="center"/>
            <w:hideMark/>
          </w:tcPr>
          <w:p w:rsidR="00067E4C" w:rsidRDefault="00067E4C">
            <w:pPr>
              <w:rPr>
                <w:rFonts w:ascii="Calibri" w:hAnsi="Calibri" w:cs="Calibri"/>
                <w:color w:val="000000"/>
                <w:sz w:val="18"/>
                <w:szCs w:val="18"/>
              </w:rPr>
            </w:pPr>
            <w:r>
              <w:rPr>
                <w:rFonts w:ascii="Calibri" w:hAnsi="Calibri" w:cs="Calibri"/>
                <w:color w:val="000000"/>
                <w:sz w:val="18"/>
                <w:szCs w:val="18"/>
              </w:rPr>
              <w:t>55 Požární ochrana a integrovaný záchranný systém</w:t>
            </w:r>
          </w:p>
        </w:tc>
        <w:tc>
          <w:tcPr>
            <w:tcW w:w="1417"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2 308 672,89</w:t>
            </w:r>
          </w:p>
        </w:tc>
        <w:tc>
          <w:tcPr>
            <w:tcW w:w="1276"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0,25 %</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F2F2F2" w:fill="D9D9D9"/>
            <w:vAlign w:val="center"/>
            <w:hideMark/>
          </w:tcPr>
          <w:p w:rsidR="00067E4C" w:rsidRDefault="00067E4C">
            <w:pPr>
              <w:rPr>
                <w:rFonts w:ascii="Calibri" w:hAnsi="Calibri" w:cs="Calibri"/>
                <w:color w:val="000000"/>
                <w:sz w:val="18"/>
                <w:szCs w:val="18"/>
              </w:rPr>
            </w:pPr>
            <w:r>
              <w:rPr>
                <w:rFonts w:ascii="Calibri" w:hAnsi="Calibri" w:cs="Calibri"/>
                <w:color w:val="000000"/>
                <w:sz w:val="18"/>
                <w:szCs w:val="18"/>
              </w:rPr>
              <w:t>61 Státní moc, stát. správa, územ. samospráva a pol. strany</w:t>
            </w:r>
          </w:p>
        </w:tc>
        <w:tc>
          <w:tcPr>
            <w:tcW w:w="1417" w:type="dxa"/>
            <w:tcBorders>
              <w:top w:val="nil"/>
              <w:left w:val="nil"/>
              <w:bottom w:val="single" w:sz="4" w:space="0" w:color="auto"/>
              <w:right w:val="single" w:sz="4" w:space="0" w:color="auto"/>
            </w:tcBorders>
            <w:shd w:val="clear" w:color="F2F2F2" w:fill="D9D9D9"/>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272 570 545,45</w:t>
            </w:r>
          </w:p>
        </w:tc>
        <w:tc>
          <w:tcPr>
            <w:tcW w:w="1276" w:type="dxa"/>
            <w:tcBorders>
              <w:top w:val="nil"/>
              <w:left w:val="nil"/>
              <w:bottom w:val="single" w:sz="4" w:space="0" w:color="auto"/>
              <w:right w:val="single" w:sz="4" w:space="0" w:color="auto"/>
            </w:tcBorders>
            <w:shd w:val="clear" w:color="F2F2F2" w:fill="D9D9D9"/>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29,73 %</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F2F2F2" w:fill="FFFFFF"/>
            <w:vAlign w:val="center"/>
            <w:hideMark/>
          </w:tcPr>
          <w:p w:rsidR="00067E4C" w:rsidRDefault="00067E4C">
            <w:pPr>
              <w:rPr>
                <w:rFonts w:ascii="Calibri" w:hAnsi="Calibri" w:cs="Calibri"/>
                <w:color w:val="000000"/>
                <w:sz w:val="18"/>
                <w:szCs w:val="18"/>
              </w:rPr>
            </w:pPr>
            <w:r>
              <w:rPr>
                <w:rFonts w:ascii="Calibri" w:hAnsi="Calibri" w:cs="Calibri"/>
                <w:color w:val="000000"/>
                <w:sz w:val="18"/>
                <w:szCs w:val="18"/>
              </w:rPr>
              <w:t>62 Jiné veřejné služby a činnosti</w:t>
            </w:r>
          </w:p>
        </w:tc>
        <w:tc>
          <w:tcPr>
            <w:tcW w:w="1417"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180 083,00</w:t>
            </w:r>
          </w:p>
        </w:tc>
        <w:tc>
          <w:tcPr>
            <w:tcW w:w="1276"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0,02 %</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F2F2F2" w:fill="D9D9D9"/>
            <w:vAlign w:val="center"/>
            <w:hideMark/>
          </w:tcPr>
          <w:p w:rsidR="00067E4C" w:rsidRDefault="00067E4C">
            <w:pPr>
              <w:rPr>
                <w:rFonts w:ascii="Calibri" w:hAnsi="Calibri" w:cs="Calibri"/>
                <w:color w:val="000000"/>
                <w:sz w:val="18"/>
                <w:szCs w:val="18"/>
              </w:rPr>
            </w:pPr>
            <w:r>
              <w:rPr>
                <w:rFonts w:ascii="Calibri" w:hAnsi="Calibri" w:cs="Calibri"/>
                <w:color w:val="000000"/>
                <w:sz w:val="18"/>
                <w:szCs w:val="18"/>
              </w:rPr>
              <w:t>63 Finanční operace</w:t>
            </w:r>
          </w:p>
        </w:tc>
        <w:tc>
          <w:tcPr>
            <w:tcW w:w="1417" w:type="dxa"/>
            <w:tcBorders>
              <w:top w:val="nil"/>
              <w:left w:val="nil"/>
              <w:bottom w:val="single" w:sz="4" w:space="0" w:color="auto"/>
              <w:right w:val="single" w:sz="4" w:space="0" w:color="auto"/>
            </w:tcBorders>
            <w:shd w:val="clear" w:color="F2F2F2" w:fill="D9D9D9"/>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33 689 129,86</w:t>
            </w:r>
          </w:p>
        </w:tc>
        <w:tc>
          <w:tcPr>
            <w:tcW w:w="1276" w:type="dxa"/>
            <w:tcBorders>
              <w:top w:val="nil"/>
              <w:left w:val="nil"/>
              <w:bottom w:val="single" w:sz="4" w:space="0" w:color="auto"/>
              <w:right w:val="single" w:sz="4" w:space="0" w:color="auto"/>
            </w:tcBorders>
            <w:shd w:val="clear" w:color="F2F2F2" w:fill="D9D9D9"/>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3,67 %</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F2F2F2" w:fill="FFFFFF"/>
            <w:vAlign w:val="center"/>
            <w:hideMark/>
          </w:tcPr>
          <w:p w:rsidR="00067E4C" w:rsidRDefault="00067E4C">
            <w:pPr>
              <w:rPr>
                <w:rFonts w:ascii="Calibri" w:hAnsi="Calibri" w:cs="Calibri"/>
                <w:color w:val="000000"/>
                <w:sz w:val="18"/>
                <w:szCs w:val="18"/>
              </w:rPr>
            </w:pPr>
            <w:r>
              <w:rPr>
                <w:rFonts w:ascii="Calibri" w:hAnsi="Calibri" w:cs="Calibri"/>
                <w:color w:val="000000"/>
                <w:sz w:val="18"/>
                <w:szCs w:val="18"/>
              </w:rPr>
              <w:t>64 Ostatní činnosti</w:t>
            </w:r>
          </w:p>
        </w:tc>
        <w:tc>
          <w:tcPr>
            <w:tcW w:w="1417"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5 638 096,95</w:t>
            </w:r>
          </w:p>
        </w:tc>
        <w:tc>
          <w:tcPr>
            <w:tcW w:w="1276"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0,62 %</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EE8137" w:fill="F79646"/>
            <w:noWrap/>
            <w:vAlign w:val="center"/>
            <w:hideMark/>
          </w:tcPr>
          <w:p w:rsidR="00067E4C" w:rsidRDefault="00067E4C">
            <w:pPr>
              <w:rPr>
                <w:rFonts w:ascii="Calibri" w:hAnsi="Calibri" w:cs="Calibri"/>
                <w:b/>
                <w:bCs/>
                <w:color w:val="000000"/>
                <w:sz w:val="18"/>
                <w:szCs w:val="18"/>
              </w:rPr>
            </w:pPr>
            <w:r>
              <w:rPr>
                <w:rFonts w:ascii="Calibri" w:hAnsi="Calibri" w:cs="Calibri"/>
                <w:b/>
                <w:bCs/>
                <w:color w:val="000000"/>
                <w:sz w:val="18"/>
                <w:szCs w:val="18"/>
              </w:rPr>
              <w:t>Výdaje celkem</w:t>
            </w:r>
          </w:p>
        </w:tc>
        <w:tc>
          <w:tcPr>
            <w:tcW w:w="1417" w:type="dxa"/>
            <w:tcBorders>
              <w:top w:val="nil"/>
              <w:left w:val="nil"/>
              <w:bottom w:val="single" w:sz="4" w:space="0" w:color="auto"/>
              <w:right w:val="single" w:sz="4" w:space="0" w:color="auto"/>
            </w:tcBorders>
            <w:shd w:val="clear" w:color="EE8137" w:fill="F79646"/>
            <w:noWrap/>
            <w:vAlign w:val="center"/>
            <w:hideMark/>
          </w:tcPr>
          <w:p w:rsidR="00067E4C" w:rsidRDefault="00067E4C">
            <w:pPr>
              <w:jc w:val="right"/>
              <w:rPr>
                <w:rFonts w:ascii="Calibri" w:hAnsi="Calibri" w:cs="Calibri"/>
                <w:b/>
                <w:bCs/>
                <w:color w:val="000000"/>
                <w:sz w:val="18"/>
                <w:szCs w:val="18"/>
              </w:rPr>
            </w:pPr>
            <w:r>
              <w:rPr>
                <w:rFonts w:ascii="Calibri" w:hAnsi="Calibri" w:cs="Calibri"/>
                <w:b/>
                <w:bCs/>
                <w:color w:val="000000"/>
                <w:sz w:val="18"/>
                <w:szCs w:val="18"/>
              </w:rPr>
              <w:t>916 738 437,70</w:t>
            </w:r>
          </w:p>
        </w:tc>
        <w:tc>
          <w:tcPr>
            <w:tcW w:w="1276" w:type="dxa"/>
            <w:tcBorders>
              <w:top w:val="nil"/>
              <w:left w:val="nil"/>
              <w:bottom w:val="single" w:sz="4" w:space="0" w:color="auto"/>
              <w:right w:val="single" w:sz="4" w:space="0" w:color="auto"/>
            </w:tcBorders>
            <w:shd w:val="clear" w:color="EE8137" w:fill="F79646"/>
            <w:noWrap/>
            <w:vAlign w:val="center"/>
            <w:hideMark/>
          </w:tcPr>
          <w:p w:rsidR="00067E4C" w:rsidRDefault="00067E4C">
            <w:pPr>
              <w:jc w:val="right"/>
              <w:rPr>
                <w:rFonts w:ascii="Calibri" w:hAnsi="Calibri" w:cs="Calibri"/>
                <w:b/>
                <w:bCs/>
                <w:color w:val="000000"/>
                <w:sz w:val="18"/>
                <w:szCs w:val="18"/>
              </w:rPr>
            </w:pPr>
            <w:r>
              <w:rPr>
                <w:rFonts w:ascii="Calibri" w:hAnsi="Calibri" w:cs="Calibri"/>
                <w:b/>
                <w:bCs/>
                <w:color w:val="000000"/>
                <w:sz w:val="18"/>
                <w:szCs w:val="18"/>
              </w:rPr>
              <w:t>100,00 %</w:t>
            </w:r>
          </w:p>
        </w:tc>
      </w:tr>
    </w:tbl>
    <w:p w:rsidR="00647D3B" w:rsidRDefault="00647D3B" w:rsidP="00647D3B">
      <w:pPr>
        <w:pStyle w:val="Nadpis3"/>
        <w:rPr>
          <w:b w:val="0"/>
        </w:rPr>
      </w:pPr>
      <w:r w:rsidRPr="00123E57">
        <w:rPr>
          <w:b w:val="0"/>
        </w:rPr>
        <w:t>Vyhodnocení skutečnosti kapitálo</w:t>
      </w:r>
      <w:r w:rsidR="00123E57">
        <w:rPr>
          <w:b w:val="0"/>
        </w:rPr>
        <w:t>vých výdajů za oddíly – rok 202</w:t>
      </w:r>
      <w:r w:rsidR="00067E4C">
        <w:rPr>
          <w:b w:val="0"/>
        </w:rPr>
        <w:t>2</w:t>
      </w:r>
      <w:r w:rsidRPr="00123E57">
        <w:rPr>
          <w:b w:val="0"/>
        </w:rPr>
        <w:t xml:space="preserve"> (v Kč)</w:t>
      </w:r>
    </w:p>
    <w:tbl>
      <w:tblPr>
        <w:tblW w:w="9351" w:type="dxa"/>
        <w:tblCellMar>
          <w:left w:w="70" w:type="dxa"/>
          <w:right w:w="70" w:type="dxa"/>
        </w:tblCellMar>
        <w:tblLook w:val="04A0" w:firstRow="1" w:lastRow="0" w:firstColumn="1" w:lastColumn="0" w:noHBand="0" w:noVBand="1"/>
      </w:tblPr>
      <w:tblGrid>
        <w:gridCol w:w="6658"/>
        <w:gridCol w:w="1559"/>
        <w:gridCol w:w="1134"/>
      </w:tblGrid>
      <w:tr w:rsidR="00067E4C" w:rsidTr="00067E4C">
        <w:trPr>
          <w:trHeight w:val="720"/>
        </w:trPr>
        <w:tc>
          <w:tcPr>
            <w:tcW w:w="6658" w:type="dxa"/>
            <w:tcBorders>
              <w:top w:val="single" w:sz="4" w:space="0" w:color="auto"/>
              <w:left w:val="single" w:sz="4" w:space="0" w:color="auto"/>
              <w:bottom w:val="single" w:sz="4" w:space="0" w:color="auto"/>
              <w:right w:val="single" w:sz="4" w:space="0" w:color="auto"/>
            </w:tcBorders>
            <w:shd w:val="clear" w:color="EE8137" w:fill="F79646"/>
            <w:noWrap/>
            <w:vAlign w:val="center"/>
            <w:hideMark/>
          </w:tcPr>
          <w:p w:rsidR="00067E4C" w:rsidRDefault="00067E4C">
            <w:pPr>
              <w:jc w:val="center"/>
              <w:rPr>
                <w:rFonts w:ascii="Calibri" w:hAnsi="Calibri" w:cs="Calibri"/>
                <w:color w:val="000000"/>
                <w:sz w:val="18"/>
                <w:szCs w:val="18"/>
              </w:rPr>
            </w:pPr>
            <w:r>
              <w:rPr>
                <w:rFonts w:ascii="Calibri" w:hAnsi="Calibri" w:cs="Calibri"/>
                <w:color w:val="000000"/>
                <w:sz w:val="18"/>
                <w:szCs w:val="18"/>
              </w:rPr>
              <w:t>Název oddílu</w:t>
            </w:r>
          </w:p>
        </w:tc>
        <w:tc>
          <w:tcPr>
            <w:tcW w:w="1559" w:type="dxa"/>
            <w:tcBorders>
              <w:top w:val="single" w:sz="4" w:space="0" w:color="auto"/>
              <w:left w:val="nil"/>
              <w:bottom w:val="single" w:sz="4" w:space="0" w:color="auto"/>
              <w:right w:val="single" w:sz="4" w:space="0" w:color="auto"/>
            </w:tcBorders>
            <w:shd w:val="clear" w:color="EE8137" w:fill="F79646"/>
            <w:noWrap/>
            <w:vAlign w:val="center"/>
            <w:hideMark/>
          </w:tcPr>
          <w:p w:rsidR="00067E4C" w:rsidRDefault="00067E4C">
            <w:pPr>
              <w:jc w:val="center"/>
              <w:rPr>
                <w:rFonts w:ascii="Calibri" w:hAnsi="Calibri" w:cs="Calibri"/>
                <w:color w:val="000000"/>
                <w:sz w:val="18"/>
                <w:szCs w:val="18"/>
              </w:rPr>
            </w:pPr>
            <w:r>
              <w:rPr>
                <w:rFonts w:ascii="Calibri" w:hAnsi="Calibri" w:cs="Calibri"/>
                <w:color w:val="000000"/>
                <w:sz w:val="18"/>
                <w:szCs w:val="18"/>
              </w:rPr>
              <w:t>Skutečnost</w:t>
            </w:r>
          </w:p>
        </w:tc>
        <w:tc>
          <w:tcPr>
            <w:tcW w:w="1134" w:type="dxa"/>
            <w:tcBorders>
              <w:top w:val="single" w:sz="4" w:space="0" w:color="auto"/>
              <w:left w:val="nil"/>
              <w:bottom w:val="single" w:sz="4" w:space="0" w:color="auto"/>
              <w:right w:val="single" w:sz="4" w:space="0" w:color="auto"/>
            </w:tcBorders>
            <w:shd w:val="clear" w:color="EE8137" w:fill="F79646"/>
            <w:vAlign w:val="center"/>
            <w:hideMark/>
          </w:tcPr>
          <w:p w:rsidR="00067E4C" w:rsidRDefault="00067E4C">
            <w:pPr>
              <w:jc w:val="center"/>
              <w:rPr>
                <w:rFonts w:ascii="Calibri" w:hAnsi="Calibri" w:cs="Calibri"/>
                <w:color w:val="000000"/>
                <w:sz w:val="18"/>
                <w:szCs w:val="18"/>
              </w:rPr>
            </w:pPr>
            <w:r>
              <w:rPr>
                <w:rFonts w:ascii="Calibri" w:hAnsi="Calibri" w:cs="Calibri"/>
                <w:color w:val="000000"/>
                <w:sz w:val="18"/>
                <w:szCs w:val="18"/>
              </w:rPr>
              <w:t>Podíl na kapitálových výdajích</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DBDBDB" w:fill="FFFFFF"/>
            <w:vAlign w:val="center"/>
            <w:hideMark/>
          </w:tcPr>
          <w:p w:rsidR="00067E4C" w:rsidRDefault="00067E4C">
            <w:pPr>
              <w:rPr>
                <w:rFonts w:ascii="Calibri" w:hAnsi="Calibri" w:cs="Calibri"/>
                <w:color w:val="000000"/>
                <w:sz w:val="18"/>
                <w:szCs w:val="18"/>
              </w:rPr>
            </w:pPr>
            <w:r>
              <w:rPr>
                <w:rFonts w:ascii="Calibri" w:hAnsi="Calibri" w:cs="Calibri"/>
                <w:color w:val="000000"/>
                <w:sz w:val="18"/>
                <w:szCs w:val="18"/>
              </w:rPr>
              <w:t>22 Doprava</w:t>
            </w:r>
          </w:p>
        </w:tc>
        <w:tc>
          <w:tcPr>
            <w:tcW w:w="1559" w:type="dxa"/>
            <w:tcBorders>
              <w:top w:val="nil"/>
              <w:left w:val="nil"/>
              <w:bottom w:val="single" w:sz="4" w:space="0" w:color="auto"/>
              <w:right w:val="single" w:sz="4" w:space="0" w:color="auto"/>
            </w:tcBorders>
            <w:shd w:val="clear" w:color="DBDBDB"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92 561 472,49</w:t>
            </w:r>
          </w:p>
        </w:tc>
        <w:tc>
          <w:tcPr>
            <w:tcW w:w="1134" w:type="dxa"/>
            <w:tcBorders>
              <w:top w:val="nil"/>
              <w:left w:val="nil"/>
              <w:bottom w:val="single" w:sz="4" w:space="0" w:color="auto"/>
              <w:right w:val="single" w:sz="4" w:space="0" w:color="auto"/>
            </w:tcBorders>
            <w:shd w:val="clear" w:color="DBDBDB"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38,92 %</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F2F2F2" w:fill="D9D9D9"/>
            <w:vAlign w:val="center"/>
            <w:hideMark/>
          </w:tcPr>
          <w:p w:rsidR="00067E4C" w:rsidRDefault="00067E4C">
            <w:pPr>
              <w:rPr>
                <w:rFonts w:ascii="Calibri" w:hAnsi="Calibri" w:cs="Calibri"/>
                <w:color w:val="000000"/>
                <w:sz w:val="18"/>
                <w:szCs w:val="18"/>
              </w:rPr>
            </w:pPr>
            <w:r>
              <w:rPr>
                <w:rFonts w:ascii="Calibri" w:hAnsi="Calibri" w:cs="Calibri"/>
                <w:color w:val="000000"/>
                <w:sz w:val="18"/>
                <w:szCs w:val="18"/>
              </w:rPr>
              <w:t>23 Vodní hospodářství</w:t>
            </w:r>
          </w:p>
        </w:tc>
        <w:tc>
          <w:tcPr>
            <w:tcW w:w="1559" w:type="dxa"/>
            <w:tcBorders>
              <w:top w:val="nil"/>
              <w:left w:val="nil"/>
              <w:bottom w:val="single" w:sz="4" w:space="0" w:color="auto"/>
              <w:right w:val="single" w:sz="4" w:space="0" w:color="auto"/>
            </w:tcBorders>
            <w:shd w:val="clear" w:color="F2F2F2" w:fill="D9D9D9"/>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17 427 135,73</w:t>
            </w:r>
          </w:p>
        </w:tc>
        <w:tc>
          <w:tcPr>
            <w:tcW w:w="1134" w:type="dxa"/>
            <w:tcBorders>
              <w:top w:val="nil"/>
              <w:left w:val="nil"/>
              <w:bottom w:val="single" w:sz="4" w:space="0" w:color="auto"/>
              <w:right w:val="single" w:sz="4" w:space="0" w:color="auto"/>
            </w:tcBorders>
            <w:shd w:val="clear" w:color="F2F2F2" w:fill="D9D9D9"/>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7,33 %</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F2F2F2" w:fill="FFFFFF"/>
            <w:vAlign w:val="center"/>
            <w:hideMark/>
          </w:tcPr>
          <w:p w:rsidR="00067E4C" w:rsidRDefault="00067E4C">
            <w:pPr>
              <w:rPr>
                <w:rFonts w:ascii="Calibri" w:hAnsi="Calibri" w:cs="Calibri"/>
                <w:color w:val="000000"/>
                <w:sz w:val="18"/>
                <w:szCs w:val="18"/>
              </w:rPr>
            </w:pPr>
            <w:r>
              <w:rPr>
                <w:rFonts w:ascii="Calibri" w:hAnsi="Calibri" w:cs="Calibri"/>
                <w:color w:val="000000"/>
                <w:sz w:val="18"/>
                <w:szCs w:val="18"/>
              </w:rPr>
              <w:t>31 a 32 Vzdělávání a školské služby</w:t>
            </w:r>
          </w:p>
        </w:tc>
        <w:tc>
          <w:tcPr>
            <w:tcW w:w="1559"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19 175 658,59</w:t>
            </w:r>
          </w:p>
        </w:tc>
        <w:tc>
          <w:tcPr>
            <w:tcW w:w="1134"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8,06 %</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DBDBDB" w:fill="D9D9D9"/>
            <w:vAlign w:val="center"/>
            <w:hideMark/>
          </w:tcPr>
          <w:p w:rsidR="00067E4C" w:rsidRDefault="00067E4C">
            <w:pPr>
              <w:rPr>
                <w:rFonts w:ascii="Calibri" w:hAnsi="Calibri" w:cs="Calibri"/>
                <w:color w:val="000000"/>
                <w:sz w:val="18"/>
                <w:szCs w:val="18"/>
              </w:rPr>
            </w:pPr>
            <w:r>
              <w:rPr>
                <w:rFonts w:ascii="Calibri" w:hAnsi="Calibri" w:cs="Calibri"/>
                <w:color w:val="000000"/>
                <w:sz w:val="18"/>
                <w:szCs w:val="18"/>
              </w:rPr>
              <w:t>33 Kultura, církve a sdělovací prostředky</w:t>
            </w:r>
          </w:p>
        </w:tc>
        <w:tc>
          <w:tcPr>
            <w:tcW w:w="1559" w:type="dxa"/>
            <w:tcBorders>
              <w:top w:val="nil"/>
              <w:left w:val="nil"/>
              <w:bottom w:val="single" w:sz="4" w:space="0" w:color="auto"/>
              <w:right w:val="single" w:sz="4" w:space="0" w:color="auto"/>
            </w:tcBorders>
            <w:shd w:val="clear" w:color="DBDBDB" w:fill="D9D9D9"/>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3 280 096,21</w:t>
            </w:r>
          </w:p>
        </w:tc>
        <w:tc>
          <w:tcPr>
            <w:tcW w:w="1134" w:type="dxa"/>
            <w:tcBorders>
              <w:top w:val="nil"/>
              <w:left w:val="nil"/>
              <w:bottom w:val="single" w:sz="4" w:space="0" w:color="auto"/>
              <w:right w:val="single" w:sz="4" w:space="0" w:color="auto"/>
            </w:tcBorders>
            <w:shd w:val="clear" w:color="DBDBDB" w:fill="D9D9D9"/>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1,38 %</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F2F2F2" w:fill="FFFFFF"/>
            <w:vAlign w:val="center"/>
            <w:hideMark/>
          </w:tcPr>
          <w:p w:rsidR="00067E4C" w:rsidRDefault="00067E4C">
            <w:pPr>
              <w:rPr>
                <w:rFonts w:ascii="Calibri" w:hAnsi="Calibri" w:cs="Calibri"/>
                <w:color w:val="000000"/>
                <w:sz w:val="18"/>
                <w:szCs w:val="18"/>
              </w:rPr>
            </w:pPr>
            <w:r>
              <w:rPr>
                <w:rFonts w:ascii="Calibri" w:hAnsi="Calibri" w:cs="Calibri"/>
                <w:color w:val="000000"/>
                <w:sz w:val="18"/>
                <w:szCs w:val="18"/>
              </w:rPr>
              <w:t>34 Sport a zájmová činnosti</w:t>
            </w:r>
          </w:p>
        </w:tc>
        <w:tc>
          <w:tcPr>
            <w:tcW w:w="1559"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32 627 288,50</w:t>
            </w:r>
          </w:p>
        </w:tc>
        <w:tc>
          <w:tcPr>
            <w:tcW w:w="1134"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13,72 %</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DBDBDB" w:fill="D9D9D9"/>
            <w:vAlign w:val="center"/>
            <w:hideMark/>
          </w:tcPr>
          <w:p w:rsidR="00067E4C" w:rsidRDefault="00067E4C">
            <w:pPr>
              <w:rPr>
                <w:rFonts w:ascii="Calibri" w:hAnsi="Calibri" w:cs="Calibri"/>
                <w:color w:val="000000"/>
                <w:sz w:val="18"/>
                <w:szCs w:val="18"/>
              </w:rPr>
            </w:pPr>
            <w:r>
              <w:rPr>
                <w:rFonts w:ascii="Calibri" w:hAnsi="Calibri" w:cs="Calibri"/>
                <w:color w:val="000000"/>
                <w:sz w:val="18"/>
                <w:szCs w:val="18"/>
              </w:rPr>
              <w:t>35 Zdravotnictví</w:t>
            </w:r>
          </w:p>
        </w:tc>
        <w:tc>
          <w:tcPr>
            <w:tcW w:w="1559" w:type="dxa"/>
            <w:tcBorders>
              <w:top w:val="nil"/>
              <w:left w:val="nil"/>
              <w:bottom w:val="single" w:sz="4" w:space="0" w:color="auto"/>
              <w:right w:val="single" w:sz="4" w:space="0" w:color="auto"/>
            </w:tcBorders>
            <w:shd w:val="clear" w:color="DBDBDB" w:fill="D9D9D9"/>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928 675,00</w:t>
            </w:r>
          </w:p>
        </w:tc>
        <w:tc>
          <w:tcPr>
            <w:tcW w:w="1134" w:type="dxa"/>
            <w:tcBorders>
              <w:top w:val="nil"/>
              <w:left w:val="nil"/>
              <w:bottom w:val="single" w:sz="4" w:space="0" w:color="auto"/>
              <w:right w:val="single" w:sz="4" w:space="0" w:color="auto"/>
            </w:tcBorders>
            <w:shd w:val="clear" w:color="DBDBDB" w:fill="D9D9D9"/>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0,39 %</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F2F2F2" w:fill="FFFFFF"/>
            <w:vAlign w:val="center"/>
            <w:hideMark/>
          </w:tcPr>
          <w:p w:rsidR="00067E4C" w:rsidRDefault="00067E4C">
            <w:pPr>
              <w:rPr>
                <w:rFonts w:ascii="Calibri" w:hAnsi="Calibri" w:cs="Calibri"/>
                <w:color w:val="000000"/>
                <w:sz w:val="18"/>
                <w:szCs w:val="18"/>
              </w:rPr>
            </w:pPr>
            <w:r>
              <w:rPr>
                <w:rFonts w:ascii="Calibri" w:hAnsi="Calibri" w:cs="Calibri"/>
                <w:color w:val="000000"/>
                <w:sz w:val="18"/>
                <w:szCs w:val="18"/>
              </w:rPr>
              <w:t>36 Bydlení, komunální služby a územní rozvoj</w:t>
            </w:r>
          </w:p>
        </w:tc>
        <w:tc>
          <w:tcPr>
            <w:tcW w:w="1559"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37 644 609,88</w:t>
            </w:r>
          </w:p>
        </w:tc>
        <w:tc>
          <w:tcPr>
            <w:tcW w:w="1134"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15,83 %</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DBDBDB" w:fill="D9D9D9"/>
            <w:vAlign w:val="center"/>
            <w:hideMark/>
          </w:tcPr>
          <w:p w:rsidR="00067E4C" w:rsidRDefault="00067E4C">
            <w:pPr>
              <w:rPr>
                <w:rFonts w:ascii="Calibri" w:hAnsi="Calibri" w:cs="Calibri"/>
                <w:color w:val="000000"/>
                <w:sz w:val="18"/>
                <w:szCs w:val="18"/>
              </w:rPr>
            </w:pPr>
            <w:r>
              <w:rPr>
                <w:rFonts w:ascii="Calibri" w:hAnsi="Calibri" w:cs="Calibri"/>
                <w:color w:val="000000"/>
                <w:sz w:val="18"/>
                <w:szCs w:val="18"/>
              </w:rPr>
              <w:t>37 Ochrana životního prostředí</w:t>
            </w:r>
          </w:p>
        </w:tc>
        <w:tc>
          <w:tcPr>
            <w:tcW w:w="1559" w:type="dxa"/>
            <w:tcBorders>
              <w:top w:val="nil"/>
              <w:left w:val="nil"/>
              <w:bottom w:val="single" w:sz="4" w:space="0" w:color="auto"/>
              <w:right w:val="single" w:sz="4" w:space="0" w:color="auto"/>
            </w:tcBorders>
            <w:shd w:val="clear" w:color="DBDBDB" w:fill="D9D9D9"/>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5 170 292,36</w:t>
            </w:r>
          </w:p>
        </w:tc>
        <w:tc>
          <w:tcPr>
            <w:tcW w:w="1134" w:type="dxa"/>
            <w:tcBorders>
              <w:top w:val="nil"/>
              <w:left w:val="nil"/>
              <w:bottom w:val="single" w:sz="4" w:space="0" w:color="auto"/>
              <w:right w:val="single" w:sz="4" w:space="0" w:color="auto"/>
            </w:tcBorders>
            <w:shd w:val="clear" w:color="DBDBDB" w:fill="D9D9D9"/>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2,17 %</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F2F2F2" w:fill="FFFFFF"/>
            <w:vAlign w:val="center"/>
            <w:hideMark/>
          </w:tcPr>
          <w:p w:rsidR="00067E4C" w:rsidRDefault="00067E4C">
            <w:pPr>
              <w:rPr>
                <w:rFonts w:ascii="Calibri" w:hAnsi="Calibri" w:cs="Calibri"/>
                <w:color w:val="000000"/>
                <w:sz w:val="18"/>
                <w:szCs w:val="18"/>
              </w:rPr>
            </w:pPr>
            <w:r>
              <w:rPr>
                <w:rFonts w:ascii="Calibri" w:hAnsi="Calibri" w:cs="Calibri"/>
                <w:color w:val="000000"/>
                <w:sz w:val="18"/>
                <w:szCs w:val="18"/>
              </w:rPr>
              <w:t>39 Ostatní činnosti související se službami pro fyzické osoby</w:t>
            </w:r>
          </w:p>
        </w:tc>
        <w:tc>
          <w:tcPr>
            <w:tcW w:w="1559"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482 814,20</w:t>
            </w:r>
          </w:p>
        </w:tc>
        <w:tc>
          <w:tcPr>
            <w:tcW w:w="1134"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0,20 %</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DBDBDB" w:fill="D9D9D9"/>
            <w:vAlign w:val="center"/>
            <w:hideMark/>
          </w:tcPr>
          <w:p w:rsidR="00067E4C" w:rsidRDefault="00067E4C">
            <w:pPr>
              <w:rPr>
                <w:rFonts w:ascii="Calibri" w:hAnsi="Calibri" w:cs="Calibri"/>
                <w:color w:val="000000"/>
                <w:sz w:val="18"/>
                <w:szCs w:val="18"/>
              </w:rPr>
            </w:pPr>
            <w:r>
              <w:rPr>
                <w:rFonts w:ascii="Calibri" w:hAnsi="Calibri" w:cs="Calibri"/>
                <w:color w:val="000000"/>
                <w:sz w:val="18"/>
                <w:szCs w:val="18"/>
              </w:rPr>
              <w:t>43 Sociální služby a společné činnosti v sociálním zabezpečení a politice zaměstnanosti</w:t>
            </w:r>
          </w:p>
        </w:tc>
        <w:tc>
          <w:tcPr>
            <w:tcW w:w="1559" w:type="dxa"/>
            <w:tcBorders>
              <w:top w:val="nil"/>
              <w:left w:val="nil"/>
              <w:bottom w:val="single" w:sz="4" w:space="0" w:color="auto"/>
              <w:right w:val="single" w:sz="4" w:space="0" w:color="auto"/>
            </w:tcBorders>
            <w:shd w:val="clear" w:color="DBDBDB" w:fill="D9D9D9"/>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100 500,00</w:t>
            </w:r>
          </w:p>
        </w:tc>
        <w:tc>
          <w:tcPr>
            <w:tcW w:w="1134" w:type="dxa"/>
            <w:tcBorders>
              <w:top w:val="nil"/>
              <w:left w:val="nil"/>
              <w:bottom w:val="single" w:sz="4" w:space="0" w:color="auto"/>
              <w:right w:val="single" w:sz="4" w:space="0" w:color="auto"/>
            </w:tcBorders>
            <w:shd w:val="clear" w:color="DBDBDB" w:fill="D9D9D9"/>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0,04 %</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F2F2F2" w:fill="FFFFFF"/>
            <w:vAlign w:val="center"/>
            <w:hideMark/>
          </w:tcPr>
          <w:p w:rsidR="00067E4C" w:rsidRDefault="00067E4C">
            <w:pPr>
              <w:rPr>
                <w:rFonts w:ascii="Calibri" w:hAnsi="Calibri" w:cs="Calibri"/>
                <w:color w:val="000000"/>
                <w:sz w:val="18"/>
                <w:szCs w:val="18"/>
              </w:rPr>
            </w:pPr>
            <w:r>
              <w:rPr>
                <w:rFonts w:ascii="Calibri" w:hAnsi="Calibri" w:cs="Calibri"/>
                <w:color w:val="000000"/>
                <w:sz w:val="18"/>
                <w:szCs w:val="18"/>
              </w:rPr>
              <w:t>52 Civilní připravenost na krizové stavy</w:t>
            </w:r>
          </w:p>
        </w:tc>
        <w:tc>
          <w:tcPr>
            <w:tcW w:w="1559"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111 320,00</w:t>
            </w:r>
          </w:p>
        </w:tc>
        <w:tc>
          <w:tcPr>
            <w:tcW w:w="1134"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0,05 %</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DBDBDB" w:fill="D9D9D9"/>
            <w:vAlign w:val="center"/>
            <w:hideMark/>
          </w:tcPr>
          <w:p w:rsidR="00067E4C" w:rsidRDefault="00067E4C">
            <w:pPr>
              <w:rPr>
                <w:rFonts w:ascii="Calibri" w:hAnsi="Calibri" w:cs="Calibri"/>
                <w:color w:val="000000"/>
                <w:sz w:val="18"/>
                <w:szCs w:val="18"/>
              </w:rPr>
            </w:pPr>
            <w:r>
              <w:rPr>
                <w:rFonts w:ascii="Calibri" w:hAnsi="Calibri" w:cs="Calibri"/>
                <w:color w:val="000000"/>
                <w:sz w:val="18"/>
                <w:szCs w:val="18"/>
              </w:rPr>
              <w:t>53 Bezpečnost a veřejný pořádek</w:t>
            </w:r>
          </w:p>
        </w:tc>
        <w:tc>
          <w:tcPr>
            <w:tcW w:w="1559" w:type="dxa"/>
            <w:tcBorders>
              <w:top w:val="nil"/>
              <w:left w:val="nil"/>
              <w:bottom w:val="single" w:sz="4" w:space="0" w:color="auto"/>
              <w:right w:val="single" w:sz="4" w:space="0" w:color="auto"/>
            </w:tcBorders>
            <w:shd w:val="clear" w:color="DBDBDB" w:fill="D9D9D9"/>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4 196 850,52</w:t>
            </w:r>
          </w:p>
        </w:tc>
        <w:tc>
          <w:tcPr>
            <w:tcW w:w="1134" w:type="dxa"/>
            <w:tcBorders>
              <w:top w:val="nil"/>
              <w:left w:val="nil"/>
              <w:bottom w:val="single" w:sz="4" w:space="0" w:color="auto"/>
              <w:right w:val="single" w:sz="4" w:space="0" w:color="auto"/>
            </w:tcBorders>
            <w:shd w:val="clear" w:color="DBDBDB" w:fill="D9D9D9"/>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1,76 %</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F2F2F2" w:fill="FFFFFF"/>
            <w:vAlign w:val="center"/>
            <w:hideMark/>
          </w:tcPr>
          <w:p w:rsidR="00067E4C" w:rsidRDefault="00067E4C">
            <w:pPr>
              <w:rPr>
                <w:rFonts w:ascii="Calibri" w:hAnsi="Calibri" w:cs="Calibri"/>
                <w:color w:val="000000"/>
                <w:sz w:val="18"/>
                <w:szCs w:val="18"/>
              </w:rPr>
            </w:pPr>
            <w:r>
              <w:rPr>
                <w:rFonts w:ascii="Calibri" w:hAnsi="Calibri" w:cs="Calibri"/>
                <w:color w:val="000000"/>
                <w:sz w:val="18"/>
                <w:szCs w:val="18"/>
              </w:rPr>
              <w:t>55 Požární ochrana a integrovaný záchranný systém</w:t>
            </w:r>
          </w:p>
        </w:tc>
        <w:tc>
          <w:tcPr>
            <w:tcW w:w="1559"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1 915 906,75</w:t>
            </w:r>
          </w:p>
        </w:tc>
        <w:tc>
          <w:tcPr>
            <w:tcW w:w="1134"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0,81 %</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DBDBDB" w:fill="D9D9D9"/>
            <w:vAlign w:val="center"/>
            <w:hideMark/>
          </w:tcPr>
          <w:p w:rsidR="00067E4C" w:rsidRDefault="00067E4C">
            <w:pPr>
              <w:rPr>
                <w:rFonts w:ascii="Calibri" w:hAnsi="Calibri" w:cs="Calibri"/>
                <w:color w:val="000000"/>
                <w:sz w:val="18"/>
                <w:szCs w:val="18"/>
              </w:rPr>
            </w:pPr>
            <w:r>
              <w:rPr>
                <w:rFonts w:ascii="Calibri" w:hAnsi="Calibri" w:cs="Calibri"/>
                <w:color w:val="000000"/>
                <w:sz w:val="18"/>
                <w:szCs w:val="18"/>
              </w:rPr>
              <w:t>61 Státní moc, stát. správa, územ. samospráva a pol. strany</w:t>
            </w:r>
          </w:p>
        </w:tc>
        <w:tc>
          <w:tcPr>
            <w:tcW w:w="1559" w:type="dxa"/>
            <w:tcBorders>
              <w:top w:val="nil"/>
              <w:left w:val="nil"/>
              <w:bottom w:val="single" w:sz="4" w:space="0" w:color="auto"/>
              <w:right w:val="single" w:sz="4" w:space="0" w:color="auto"/>
            </w:tcBorders>
            <w:shd w:val="clear" w:color="DBDBDB" w:fill="D9D9D9"/>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13 202 130,92</w:t>
            </w:r>
          </w:p>
        </w:tc>
        <w:tc>
          <w:tcPr>
            <w:tcW w:w="1134" w:type="dxa"/>
            <w:tcBorders>
              <w:top w:val="nil"/>
              <w:left w:val="nil"/>
              <w:bottom w:val="single" w:sz="4" w:space="0" w:color="auto"/>
              <w:right w:val="single" w:sz="4" w:space="0" w:color="auto"/>
            </w:tcBorders>
            <w:shd w:val="clear" w:color="DBDBDB" w:fill="D9D9D9"/>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5,55 %</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F2F2F2" w:fill="FFFFFF"/>
            <w:vAlign w:val="center"/>
            <w:hideMark/>
          </w:tcPr>
          <w:p w:rsidR="00067E4C" w:rsidRDefault="00067E4C">
            <w:pPr>
              <w:rPr>
                <w:rFonts w:ascii="Calibri" w:hAnsi="Calibri" w:cs="Calibri"/>
                <w:color w:val="000000"/>
                <w:sz w:val="18"/>
                <w:szCs w:val="18"/>
              </w:rPr>
            </w:pPr>
            <w:r>
              <w:rPr>
                <w:rFonts w:ascii="Calibri" w:hAnsi="Calibri" w:cs="Calibri"/>
                <w:color w:val="000000"/>
                <w:sz w:val="18"/>
                <w:szCs w:val="18"/>
              </w:rPr>
              <w:t>64 Ostatní činnosti</w:t>
            </w:r>
          </w:p>
        </w:tc>
        <w:tc>
          <w:tcPr>
            <w:tcW w:w="1559"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8 975 081,00</w:t>
            </w:r>
          </w:p>
        </w:tc>
        <w:tc>
          <w:tcPr>
            <w:tcW w:w="1134" w:type="dxa"/>
            <w:tcBorders>
              <w:top w:val="nil"/>
              <w:left w:val="nil"/>
              <w:bottom w:val="single" w:sz="4" w:space="0" w:color="auto"/>
              <w:right w:val="single" w:sz="4" w:space="0" w:color="auto"/>
            </w:tcBorders>
            <w:shd w:val="clear" w:color="F2F2F2" w:fill="FFFFFF"/>
            <w:noWrap/>
            <w:vAlign w:val="center"/>
            <w:hideMark/>
          </w:tcPr>
          <w:p w:rsidR="00067E4C" w:rsidRDefault="00067E4C">
            <w:pPr>
              <w:jc w:val="right"/>
              <w:rPr>
                <w:rFonts w:ascii="Calibri" w:hAnsi="Calibri" w:cs="Calibri"/>
                <w:color w:val="000000"/>
                <w:sz w:val="18"/>
                <w:szCs w:val="18"/>
              </w:rPr>
            </w:pPr>
            <w:r>
              <w:rPr>
                <w:rFonts w:ascii="Calibri" w:hAnsi="Calibri" w:cs="Calibri"/>
                <w:color w:val="000000"/>
                <w:sz w:val="18"/>
                <w:szCs w:val="18"/>
              </w:rPr>
              <w:t>3,77 %</w:t>
            </w:r>
          </w:p>
        </w:tc>
      </w:tr>
      <w:tr w:rsidR="00067E4C" w:rsidTr="00067E4C">
        <w:trPr>
          <w:trHeight w:val="272"/>
        </w:trPr>
        <w:tc>
          <w:tcPr>
            <w:tcW w:w="6658" w:type="dxa"/>
            <w:tcBorders>
              <w:top w:val="nil"/>
              <w:left w:val="single" w:sz="4" w:space="0" w:color="auto"/>
              <w:bottom w:val="single" w:sz="4" w:space="0" w:color="auto"/>
              <w:right w:val="single" w:sz="4" w:space="0" w:color="auto"/>
            </w:tcBorders>
            <w:shd w:val="clear" w:color="EE8137" w:fill="F79646"/>
            <w:noWrap/>
            <w:vAlign w:val="center"/>
            <w:hideMark/>
          </w:tcPr>
          <w:p w:rsidR="00067E4C" w:rsidRDefault="00067E4C">
            <w:pPr>
              <w:rPr>
                <w:rFonts w:ascii="Calibri" w:hAnsi="Calibri" w:cs="Calibri"/>
                <w:b/>
                <w:bCs/>
                <w:color w:val="000000"/>
                <w:sz w:val="18"/>
                <w:szCs w:val="18"/>
              </w:rPr>
            </w:pPr>
            <w:r>
              <w:rPr>
                <w:rFonts w:ascii="Calibri" w:hAnsi="Calibri" w:cs="Calibri"/>
                <w:b/>
                <w:bCs/>
                <w:color w:val="000000"/>
                <w:sz w:val="18"/>
                <w:szCs w:val="18"/>
              </w:rPr>
              <w:t>Kapitálové výdaje celkem</w:t>
            </w:r>
          </w:p>
        </w:tc>
        <w:tc>
          <w:tcPr>
            <w:tcW w:w="1559" w:type="dxa"/>
            <w:tcBorders>
              <w:top w:val="nil"/>
              <w:left w:val="nil"/>
              <w:bottom w:val="single" w:sz="4" w:space="0" w:color="auto"/>
              <w:right w:val="single" w:sz="4" w:space="0" w:color="auto"/>
            </w:tcBorders>
            <w:shd w:val="clear" w:color="EE8137" w:fill="F79646"/>
            <w:noWrap/>
            <w:vAlign w:val="center"/>
            <w:hideMark/>
          </w:tcPr>
          <w:p w:rsidR="00067E4C" w:rsidRDefault="00067E4C">
            <w:pPr>
              <w:jc w:val="right"/>
              <w:rPr>
                <w:rFonts w:ascii="Calibri" w:hAnsi="Calibri" w:cs="Calibri"/>
                <w:b/>
                <w:bCs/>
                <w:color w:val="000000"/>
                <w:sz w:val="18"/>
                <w:szCs w:val="18"/>
              </w:rPr>
            </w:pPr>
            <w:r>
              <w:rPr>
                <w:rFonts w:ascii="Calibri" w:hAnsi="Calibri" w:cs="Calibri"/>
                <w:b/>
                <w:bCs/>
                <w:color w:val="000000"/>
                <w:sz w:val="18"/>
                <w:szCs w:val="18"/>
              </w:rPr>
              <w:t>237 799 832,15</w:t>
            </w:r>
          </w:p>
        </w:tc>
        <w:tc>
          <w:tcPr>
            <w:tcW w:w="1134" w:type="dxa"/>
            <w:tcBorders>
              <w:top w:val="nil"/>
              <w:left w:val="nil"/>
              <w:bottom w:val="single" w:sz="4" w:space="0" w:color="auto"/>
              <w:right w:val="single" w:sz="4" w:space="0" w:color="auto"/>
            </w:tcBorders>
            <w:shd w:val="clear" w:color="EE8137" w:fill="F79646"/>
            <w:noWrap/>
            <w:vAlign w:val="center"/>
            <w:hideMark/>
          </w:tcPr>
          <w:p w:rsidR="00067E4C" w:rsidRDefault="00067E4C">
            <w:pPr>
              <w:jc w:val="right"/>
              <w:rPr>
                <w:rFonts w:ascii="Calibri" w:hAnsi="Calibri" w:cs="Calibri"/>
                <w:b/>
                <w:bCs/>
                <w:color w:val="000000"/>
                <w:sz w:val="18"/>
                <w:szCs w:val="18"/>
              </w:rPr>
            </w:pPr>
            <w:r>
              <w:rPr>
                <w:rFonts w:ascii="Calibri" w:hAnsi="Calibri" w:cs="Calibri"/>
                <w:b/>
                <w:bCs/>
                <w:color w:val="000000"/>
                <w:sz w:val="18"/>
                <w:szCs w:val="18"/>
              </w:rPr>
              <w:t>100,00 %</w:t>
            </w:r>
          </w:p>
        </w:tc>
      </w:tr>
    </w:tbl>
    <w:p w:rsidR="00067E4C" w:rsidRDefault="00067E4C" w:rsidP="00067E4C"/>
    <w:p w:rsidR="00067E4C" w:rsidRPr="00067E4C" w:rsidRDefault="00067E4C" w:rsidP="00067E4C"/>
    <w:p w:rsidR="00123E57" w:rsidRDefault="00123E57" w:rsidP="00123E57"/>
    <w:p w:rsidR="00123E57" w:rsidRPr="00123E57" w:rsidRDefault="00123E57" w:rsidP="00123E57"/>
    <w:p w:rsidR="00647D3B" w:rsidRDefault="00647D3B" w:rsidP="00647D3B"/>
    <w:p w:rsidR="00067E4C" w:rsidRDefault="00067E4C" w:rsidP="00647D3B"/>
    <w:p w:rsidR="00067E4C" w:rsidRDefault="00067E4C" w:rsidP="00647D3B"/>
    <w:p w:rsidR="00067E4C" w:rsidRDefault="00067E4C" w:rsidP="00647D3B"/>
    <w:p w:rsidR="00067E4C" w:rsidRDefault="00067E4C" w:rsidP="00647D3B"/>
    <w:p w:rsidR="00067E4C" w:rsidRDefault="00067E4C" w:rsidP="00647D3B"/>
    <w:p w:rsidR="00067E4C" w:rsidRDefault="00067E4C" w:rsidP="00647D3B"/>
    <w:p w:rsidR="00067E4C" w:rsidRDefault="00D96CC9" w:rsidP="00647D3B">
      <w:r>
        <w:rPr>
          <w:noProof/>
        </w:rPr>
        <w:lastRenderedPageBreak/>
        <w:drawing>
          <wp:inline distT="0" distB="0" distL="0" distR="0" wp14:anchorId="01947C34">
            <wp:extent cx="8863554" cy="5751180"/>
            <wp:effectExtent l="0" t="5715" r="8255" b="825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rot="16200000">
                      <a:off x="0" y="0"/>
                      <a:ext cx="8896549" cy="5772589"/>
                    </a:xfrm>
                    <a:prstGeom prst="rect">
                      <a:avLst/>
                    </a:prstGeom>
                    <a:noFill/>
                  </pic:spPr>
                </pic:pic>
              </a:graphicData>
            </a:graphic>
          </wp:inline>
        </w:drawing>
      </w:r>
    </w:p>
    <w:p w:rsidR="001F26CE" w:rsidRPr="000552BC" w:rsidRDefault="00502A47" w:rsidP="00E426F7">
      <w:pPr>
        <w:pStyle w:val="Nadpis3"/>
        <w:keepLines/>
        <w:spacing w:before="0" w:after="0"/>
        <w:rPr>
          <w:b w:val="0"/>
          <w:sz w:val="18"/>
          <w:szCs w:val="18"/>
        </w:rPr>
      </w:pPr>
      <w:bookmarkStart w:id="41" w:name="_Toc39129525"/>
      <w:r w:rsidRPr="000552BC">
        <w:rPr>
          <w:b w:val="0"/>
          <w:sz w:val="18"/>
          <w:szCs w:val="18"/>
        </w:rPr>
        <w:lastRenderedPageBreak/>
        <w:t>Vyhodnocení výdajů rozpočtu na oddí</w:t>
      </w:r>
      <w:r w:rsidR="001F26CE" w:rsidRPr="000552BC">
        <w:rPr>
          <w:b w:val="0"/>
          <w:sz w:val="18"/>
          <w:szCs w:val="18"/>
        </w:rPr>
        <w:t>ly odvětvového třídění - rok 202</w:t>
      </w:r>
      <w:r w:rsidR="000552BC" w:rsidRPr="000552BC">
        <w:rPr>
          <w:b w:val="0"/>
          <w:sz w:val="18"/>
          <w:szCs w:val="18"/>
        </w:rPr>
        <w:t>2</w:t>
      </w:r>
      <w:r w:rsidRPr="000552BC">
        <w:rPr>
          <w:b w:val="0"/>
          <w:sz w:val="18"/>
          <w:szCs w:val="18"/>
        </w:rPr>
        <w:t xml:space="preserve"> (v Kč)</w:t>
      </w:r>
      <w:bookmarkEnd w:id="41"/>
    </w:p>
    <w:tbl>
      <w:tblPr>
        <w:tblW w:w="9493" w:type="dxa"/>
        <w:tblCellMar>
          <w:left w:w="70" w:type="dxa"/>
          <w:right w:w="70" w:type="dxa"/>
        </w:tblCellMar>
        <w:tblLook w:val="04A0" w:firstRow="1" w:lastRow="0" w:firstColumn="1" w:lastColumn="0" w:noHBand="0" w:noVBand="1"/>
      </w:tblPr>
      <w:tblGrid>
        <w:gridCol w:w="3964"/>
        <w:gridCol w:w="851"/>
        <w:gridCol w:w="1276"/>
        <w:gridCol w:w="1275"/>
        <w:gridCol w:w="1276"/>
        <w:gridCol w:w="851"/>
      </w:tblGrid>
      <w:tr w:rsidR="000552BC" w:rsidTr="000552BC">
        <w:trPr>
          <w:trHeight w:val="187"/>
        </w:trPr>
        <w:tc>
          <w:tcPr>
            <w:tcW w:w="3964" w:type="dxa"/>
            <w:vMerge w:val="restart"/>
            <w:tcBorders>
              <w:top w:val="single" w:sz="4" w:space="0" w:color="auto"/>
              <w:left w:val="single" w:sz="4" w:space="0" w:color="auto"/>
              <w:bottom w:val="single" w:sz="4" w:space="0" w:color="auto"/>
              <w:right w:val="single" w:sz="4" w:space="0" w:color="auto"/>
            </w:tcBorders>
            <w:shd w:val="clear" w:color="D6A100" w:fill="FFC000"/>
            <w:noWrap/>
            <w:vAlign w:val="center"/>
            <w:hideMark/>
          </w:tcPr>
          <w:p w:rsidR="000552BC" w:rsidRDefault="000552BC">
            <w:pPr>
              <w:jc w:val="center"/>
              <w:rPr>
                <w:rFonts w:ascii="Calibri" w:hAnsi="Calibri" w:cs="Calibri"/>
                <w:color w:val="000000"/>
                <w:sz w:val="16"/>
                <w:szCs w:val="16"/>
              </w:rPr>
            </w:pPr>
            <w:r>
              <w:rPr>
                <w:rFonts w:ascii="Calibri" w:hAnsi="Calibri" w:cs="Calibri"/>
                <w:color w:val="000000"/>
                <w:sz w:val="16"/>
                <w:szCs w:val="16"/>
              </w:rPr>
              <w:t>Název oddílu</w:t>
            </w:r>
          </w:p>
        </w:tc>
        <w:tc>
          <w:tcPr>
            <w:tcW w:w="851" w:type="dxa"/>
            <w:vMerge w:val="restart"/>
            <w:tcBorders>
              <w:top w:val="single" w:sz="4" w:space="0" w:color="auto"/>
              <w:left w:val="single" w:sz="4" w:space="0" w:color="auto"/>
              <w:bottom w:val="single" w:sz="4" w:space="0" w:color="auto"/>
              <w:right w:val="single" w:sz="4" w:space="0" w:color="auto"/>
            </w:tcBorders>
            <w:shd w:val="clear" w:color="D6A100" w:fill="FFC000"/>
            <w:noWrap/>
            <w:vAlign w:val="center"/>
            <w:hideMark/>
          </w:tcPr>
          <w:p w:rsidR="000552BC" w:rsidRDefault="000552BC">
            <w:pPr>
              <w:jc w:val="center"/>
              <w:rPr>
                <w:rFonts w:ascii="Calibri" w:hAnsi="Calibri" w:cs="Calibri"/>
                <w:color w:val="000000"/>
                <w:sz w:val="16"/>
                <w:szCs w:val="16"/>
              </w:rPr>
            </w:pPr>
            <w:r>
              <w:rPr>
                <w:rFonts w:ascii="Calibri" w:hAnsi="Calibri" w:cs="Calibri"/>
                <w:color w:val="000000"/>
                <w:sz w:val="16"/>
                <w:szCs w:val="16"/>
              </w:rPr>
              <w:t>Druh výdaje</w:t>
            </w:r>
          </w:p>
        </w:tc>
        <w:tc>
          <w:tcPr>
            <w:tcW w:w="2551" w:type="dxa"/>
            <w:gridSpan w:val="2"/>
            <w:tcBorders>
              <w:top w:val="single" w:sz="4" w:space="0" w:color="auto"/>
              <w:left w:val="nil"/>
              <w:bottom w:val="single" w:sz="4" w:space="0" w:color="auto"/>
              <w:right w:val="single" w:sz="4" w:space="0" w:color="auto"/>
            </w:tcBorders>
            <w:shd w:val="clear" w:color="D6A100" w:fill="FFC000"/>
            <w:noWrap/>
            <w:vAlign w:val="center"/>
            <w:hideMark/>
          </w:tcPr>
          <w:p w:rsidR="000552BC" w:rsidRDefault="000552BC">
            <w:pPr>
              <w:jc w:val="center"/>
              <w:rPr>
                <w:rFonts w:ascii="Calibri" w:hAnsi="Calibri" w:cs="Calibri"/>
                <w:color w:val="000000"/>
                <w:sz w:val="16"/>
                <w:szCs w:val="16"/>
              </w:rPr>
            </w:pPr>
            <w:r>
              <w:rPr>
                <w:rFonts w:ascii="Calibri" w:hAnsi="Calibri" w:cs="Calibri"/>
                <w:color w:val="000000"/>
                <w:sz w:val="16"/>
                <w:szCs w:val="16"/>
              </w:rPr>
              <w:t>Rozpočet</w:t>
            </w:r>
          </w:p>
        </w:tc>
        <w:tc>
          <w:tcPr>
            <w:tcW w:w="1276" w:type="dxa"/>
            <w:vMerge w:val="restart"/>
            <w:tcBorders>
              <w:top w:val="single" w:sz="4" w:space="0" w:color="auto"/>
              <w:left w:val="single" w:sz="4" w:space="0" w:color="auto"/>
              <w:bottom w:val="single" w:sz="4" w:space="0" w:color="auto"/>
              <w:right w:val="single" w:sz="4" w:space="0" w:color="auto"/>
            </w:tcBorders>
            <w:shd w:val="clear" w:color="D6A100" w:fill="FFC000"/>
            <w:noWrap/>
            <w:vAlign w:val="center"/>
            <w:hideMark/>
          </w:tcPr>
          <w:p w:rsidR="000552BC" w:rsidRDefault="000552BC">
            <w:pPr>
              <w:jc w:val="center"/>
              <w:rPr>
                <w:rFonts w:ascii="Calibri" w:hAnsi="Calibri" w:cs="Calibri"/>
                <w:color w:val="000000"/>
                <w:sz w:val="16"/>
                <w:szCs w:val="16"/>
              </w:rPr>
            </w:pPr>
            <w:r>
              <w:rPr>
                <w:rFonts w:ascii="Calibri" w:hAnsi="Calibri" w:cs="Calibri"/>
                <w:color w:val="000000"/>
                <w:sz w:val="16"/>
                <w:szCs w:val="16"/>
              </w:rPr>
              <w:t>Skutečnost</w:t>
            </w:r>
          </w:p>
        </w:tc>
        <w:tc>
          <w:tcPr>
            <w:tcW w:w="851" w:type="dxa"/>
            <w:vMerge w:val="restart"/>
            <w:tcBorders>
              <w:top w:val="single" w:sz="4" w:space="0" w:color="auto"/>
              <w:left w:val="single" w:sz="4" w:space="0" w:color="auto"/>
              <w:bottom w:val="single" w:sz="4" w:space="0" w:color="auto"/>
              <w:right w:val="single" w:sz="4" w:space="0" w:color="auto"/>
            </w:tcBorders>
            <w:shd w:val="clear" w:color="D6A100" w:fill="FFC000"/>
            <w:vAlign w:val="center"/>
            <w:hideMark/>
          </w:tcPr>
          <w:p w:rsidR="000552BC" w:rsidRDefault="000552BC">
            <w:pPr>
              <w:jc w:val="center"/>
              <w:rPr>
                <w:rFonts w:ascii="Calibri" w:hAnsi="Calibri" w:cs="Calibri"/>
                <w:color w:val="000000"/>
                <w:sz w:val="16"/>
                <w:szCs w:val="16"/>
              </w:rPr>
            </w:pPr>
            <w:r>
              <w:rPr>
                <w:rFonts w:ascii="Calibri" w:hAnsi="Calibri" w:cs="Calibri"/>
                <w:color w:val="000000"/>
                <w:sz w:val="16"/>
                <w:szCs w:val="16"/>
              </w:rPr>
              <w:t>% plnění Skut./Upr.</w:t>
            </w:r>
          </w:p>
        </w:tc>
      </w:tr>
      <w:tr w:rsidR="000552BC" w:rsidTr="000552BC">
        <w:trPr>
          <w:trHeight w:val="187"/>
        </w:trPr>
        <w:tc>
          <w:tcPr>
            <w:tcW w:w="3964" w:type="dxa"/>
            <w:vMerge/>
            <w:tcBorders>
              <w:top w:val="single" w:sz="4" w:space="0" w:color="auto"/>
              <w:left w:val="single" w:sz="4" w:space="0" w:color="auto"/>
              <w:bottom w:val="single" w:sz="4" w:space="0" w:color="auto"/>
              <w:right w:val="single" w:sz="4" w:space="0" w:color="auto"/>
            </w:tcBorders>
            <w:vAlign w:val="center"/>
            <w:hideMark/>
          </w:tcPr>
          <w:p w:rsidR="000552BC" w:rsidRDefault="000552BC">
            <w:pPr>
              <w:rPr>
                <w:rFonts w:ascii="Calibri" w:hAnsi="Calibri" w:cs="Calibri"/>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552BC" w:rsidRDefault="000552BC">
            <w:pPr>
              <w:rPr>
                <w:rFonts w:ascii="Calibri" w:hAnsi="Calibri" w:cs="Calibri"/>
                <w:color w:val="000000"/>
                <w:sz w:val="16"/>
                <w:szCs w:val="16"/>
              </w:rPr>
            </w:pPr>
          </w:p>
        </w:tc>
        <w:tc>
          <w:tcPr>
            <w:tcW w:w="1276" w:type="dxa"/>
            <w:tcBorders>
              <w:top w:val="nil"/>
              <w:left w:val="nil"/>
              <w:bottom w:val="single" w:sz="4" w:space="0" w:color="auto"/>
              <w:right w:val="single" w:sz="4" w:space="0" w:color="auto"/>
            </w:tcBorders>
            <w:shd w:val="clear" w:color="D6A100" w:fill="FFC000"/>
            <w:noWrap/>
            <w:vAlign w:val="center"/>
            <w:hideMark/>
          </w:tcPr>
          <w:p w:rsidR="000552BC" w:rsidRDefault="000552BC">
            <w:pPr>
              <w:jc w:val="center"/>
              <w:rPr>
                <w:rFonts w:ascii="Calibri" w:hAnsi="Calibri" w:cs="Calibri"/>
                <w:color w:val="000000"/>
                <w:sz w:val="16"/>
                <w:szCs w:val="16"/>
              </w:rPr>
            </w:pPr>
            <w:r>
              <w:rPr>
                <w:rFonts w:ascii="Calibri" w:hAnsi="Calibri" w:cs="Calibri"/>
                <w:color w:val="000000"/>
                <w:sz w:val="16"/>
                <w:szCs w:val="16"/>
              </w:rPr>
              <w:t>Schválený</w:t>
            </w:r>
          </w:p>
        </w:tc>
        <w:tc>
          <w:tcPr>
            <w:tcW w:w="1275" w:type="dxa"/>
            <w:tcBorders>
              <w:top w:val="nil"/>
              <w:left w:val="nil"/>
              <w:bottom w:val="single" w:sz="4" w:space="0" w:color="auto"/>
              <w:right w:val="single" w:sz="4" w:space="0" w:color="auto"/>
            </w:tcBorders>
            <w:shd w:val="clear" w:color="D6A100" w:fill="FFC000"/>
            <w:noWrap/>
            <w:vAlign w:val="center"/>
            <w:hideMark/>
          </w:tcPr>
          <w:p w:rsidR="000552BC" w:rsidRDefault="000552BC">
            <w:pPr>
              <w:jc w:val="center"/>
              <w:rPr>
                <w:rFonts w:ascii="Calibri" w:hAnsi="Calibri" w:cs="Calibri"/>
                <w:color w:val="000000"/>
                <w:sz w:val="16"/>
                <w:szCs w:val="16"/>
              </w:rPr>
            </w:pPr>
            <w:r>
              <w:rPr>
                <w:rFonts w:ascii="Calibri" w:hAnsi="Calibri" w:cs="Calibri"/>
                <w:color w:val="000000"/>
                <w:sz w:val="16"/>
                <w:szCs w:val="16"/>
              </w:rPr>
              <w:t>Upravený</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552BC" w:rsidRDefault="000552BC">
            <w:pPr>
              <w:rPr>
                <w:rFonts w:ascii="Calibri" w:hAnsi="Calibri" w:cs="Calibri"/>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552BC" w:rsidRDefault="000552BC">
            <w:pPr>
              <w:rPr>
                <w:rFonts w:ascii="Calibri" w:hAnsi="Calibri" w:cs="Calibri"/>
                <w:color w:val="000000"/>
                <w:sz w:val="16"/>
                <w:szCs w:val="16"/>
              </w:rPr>
            </w:pPr>
          </w:p>
        </w:tc>
      </w:tr>
      <w:tr w:rsidR="000552BC" w:rsidTr="000552BC">
        <w:trPr>
          <w:trHeight w:val="187"/>
        </w:trPr>
        <w:tc>
          <w:tcPr>
            <w:tcW w:w="39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10 Zemědělství, lesní hospodářství a rybářství</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Běžné</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532 000,00</w:t>
            </w:r>
          </w:p>
        </w:tc>
        <w:tc>
          <w:tcPr>
            <w:tcW w:w="1275"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693 000,00</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650 426,00</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93,86</w:t>
            </w:r>
          </w:p>
        </w:tc>
      </w:tr>
      <w:tr w:rsidR="000552BC" w:rsidTr="000552BC">
        <w:trPr>
          <w:trHeight w:val="187"/>
        </w:trPr>
        <w:tc>
          <w:tcPr>
            <w:tcW w:w="3964" w:type="dxa"/>
            <w:vMerge/>
            <w:tcBorders>
              <w:top w:val="nil"/>
              <w:left w:val="single" w:sz="4" w:space="0" w:color="auto"/>
              <w:bottom w:val="single" w:sz="4" w:space="0" w:color="auto"/>
              <w:right w:val="single" w:sz="4" w:space="0" w:color="auto"/>
            </w:tcBorders>
            <w:vAlign w:val="center"/>
            <w:hideMark/>
          </w:tcPr>
          <w:p w:rsidR="000552BC" w:rsidRDefault="000552BC">
            <w:pPr>
              <w:rPr>
                <w:rFonts w:ascii="Calibri" w:hAnsi="Calibri" w:cs="Calibri"/>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Kapitálové</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0,00</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w:t>
            </w:r>
          </w:p>
        </w:tc>
      </w:tr>
      <w:tr w:rsidR="000552BC" w:rsidTr="000552BC">
        <w:trPr>
          <w:trHeight w:val="187"/>
        </w:trPr>
        <w:tc>
          <w:tcPr>
            <w:tcW w:w="3964" w:type="dxa"/>
            <w:vMerge/>
            <w:tcBorders>
              <w:top w:val="nil"/>
              <w:left w:val="single" w:sz="4" w:space="0" w:color="auto"/>
              <w:bottom w:val="single" w:sz="4" w:space="0" w:color="auto"/>
              <w:right w:val="single" w:sz="4" w:space="0" w:color="auto"/>
            </w:tcBorders>
            <w:vAlign w:val="center"/>
            <w:hideMark/>
          </w:tcPr>
          <w:p w:rsidR="000552BC" w:rsidRDefault="000552BC">
            <w:pPr>
              <w:rPr>
                <w:rFonts w:ascii="Calibri" w:hAnsi="Calibri" w:cs="Calibri"/>
                <w:color w:val="000000"/>
                <w:sz w:val="16"/>
                <w:szCs w:val="16"/>
              </w:rPr>
            </w:pPr>
          </w:p>
        </w:tc>
        <w:tc>
          <w:tcPr>
            <w:tcW w:w="851" w:type="dxa"/>
            <w:tcBorders>
              <w:top w:val="nil"/>
              <w:left w:val="nil"/>
              <w:bottom w:val="single" w:sz="4" w:space="0" w:color="auto"/>
              <w:right w:val="single" w:sz="4" w:space="0" w:color="auto"/>
            </w:tcBorders>
            <w:shd w:val="clear" w:color="C4D79B" w:fill="C5E0B4"/>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Celkem</w:t>
            </w:r>
          </w:p>
        </w:tc>
        <w:tc>
          <w:tcPr>
            <w:tcW w:w="1276"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532 000,00</w:t>
            </w:r>
          </w:p>
        </w:tc>
        <w:tc>
          <w:tcPr>
            <w:tcW w:w="1275"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693 000,00</w:t>
            </w:r>
          </w:p>
        </w:tc>
        <w:tc>
          <w:tcPr>
            <w:tcW w:w="1276"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650 426,00</w:t>
            </w:r>
          </w:p>
        </w:tc>
        <w:tc>
          <w:tcPr>
            <w:tcW w:w="851"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93,86</w:t>
            </w:r>
          </w:p>
        </w:tc>
      </w:tr>
      <w:tr w:rsidR="000552BC" w:rsidTr="000552BC">
        <w:trPr>
          <w:trHeight w:val="187"/>
        </w:trPr>
        <w:tc>
          <w:tcPr>
            <w:tcW w:w="39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22 Doprava</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Běžné</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83 396 106,00</w:t>
            </w:r>
          </w:p>
        </w:tc>
        <w:tc>
          <w:tcPr>
            <w:tcW w:w="1275"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92 908 752,00</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90 487 396,75</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97,39</w:t>
            </w:r>
          </w:p>
        </w:tc>
      </w:tr>
      <w:tr w:rsidR="000552BC" w:rsidTr="000552BC">
        <w:trPr>
          <w:trHeight w:val="187"/>
        </w:trPr>
        <w:tc>
          <w:tcPr>
            <w:tcW w:w="3964" w:type="dxa"/>
            <w:vMerge/>
            <w:tcBorders>
              <w:top w:val="nil"/>
              <w:left w:val="single" w:sz="4" w:space="0" w:color="auto"/>
              <w:bottom w:val="single" w:sz="4" w:space="0" w:color="auto"/>
              <w:right w:val="single" w:sz="4" w:space="0" w:color="auto"/>
            </w:tcBorders>
            <w:vAlign w:val="center"/>
            <w:hideMark/>
          </w:tcPr>
          <w:p w:rsidR="000552BC" w:rsidRDefault="000552BC">
            <w:pPr>
              <w:rPr>
                <w:rFonts w:ascii="Calibri" w:hAnsi="Calibri" w:cs="Calibri"/>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Kapitálové</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96 200 000,00</w:t>
            </w:r>
          </w:p>
        </w:tc>
        <w:tc>
          <w:tcPr>
            <w:tcW w:w="1275"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96 524 119,00</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92 561 472,49</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95,89</w:t>
            </w:r>
          </w:p>
        </w:tc>
      </w:tr>
      <w:tr w:rsidR="000552BC" w:rsidTr="000552BC">
        <w:trPr>
          <w:trHeight w:val="187"/>
        </w:trPr>
        <w:tc>
          <w:tcPr>
            <w:tcW w:w="3964" w:type="dxa"/>
            <w:vMerge/>
            <w:tcBorders>
              <w:top w:val="nil"/>
              <w:left w:val="single" w:sz="4" w:space="0" w:color="auto"/>
              <w:bottom w:val="single" w:sz="4" w:space="0" w:color="auto"/>
              <w:right w:val="single" w:sz="4" w:space="0" w:color="auto"/>
            </w:tcBorders>
            <w:vAlign w:val="center"/>
            <w:hideMark/>
          </w:tcPr>
          <w:p w:rsidR="000552BC" w:rsidRDefault="000552BC">
            <w:pPr>
              <w:rPr>
                <w:rFonts w:ascii="Calibri" w:hAnsi="Calibri" w:cs="Calibri"/>
                <w:color w:val="000000"/>
                <w:sz w:val="16"/>
                <w:szCs w:val="16"/>
              </w:rPr>
            </w:pPr>
          </w:p>
        </w:tc>
        <w:tc>
          <w:tcPr>
            <w:tcW w:w="851" w:type="dxa"/>
            <w:tcBorders>
              <w:top w:val="nil"/>
              <w:left w:val="nil"/>
              <w:bottom w:val="single" w:sz="4" w:space="0" w:color="auto"/>
              <w:right w:val="single" w:sz="4" w:space="0" w:color="auto"/>
            </w:tcBorders>
            <w:shd w:val="clear" w:color="C4D79B" w:fill="C5E0B4"/>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Celkem</w:t>
            </w:r>
          </w:p>
        </w:tc>
        <w:tc>
          <w:tcPr>
            <w:tcW w:w="1276"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179 596 106,00</w:t>
            </w:r>
          </w:p>
        </w:tc>
        <w:tc>
          <w:tcPr>
            <w:tcW w:w="1275"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189 432 871,00</w:t>
            </w:r>
          </w:p>
        </w:tc>
        <w:tc>
          <w:tcPr>
            <w:tcW w:w="1276"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183 048 869,24</w:t>
            </w:r>
          </w:p>
        </w:tc>
        <w:tc>
          <w:tcPr>
            <w:tcW w:w="851"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96,63</w:t>
            </w:r>
          </w:p>
        </w:tc>
      </w:tr>
      <w:tr w:rsidR="000552BC" w:rsidTr="000552BC">
        <w:trPr>
          <w:trHeight w:val="187"/>
        </w:trPr>
        <w:tc>
          <w:tcPr>
            <w:tcW w:w="39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23 Vodní hospodářství</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Běžné</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738 350,00</w:t>
            </w:r>
          </w:p>
        </w:tc>
        <w:tc>
          <w:tcPr>
            <w:tcW w:w="1275"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1 407 270,00</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1 388 158,99</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98,64</w:t>
            </w:r>
          </w:p>
        </w:tc>
      </w:tr>
      <w:tr w:rsidR="000552BC" w:rsidTr="000552BC">
        <w:trPr>
          <w:trHeight w:val="187"/>
        </w:trPr>
        <w:tc>
          <w:tcPr>
            <w:tcW w:w="3964" w:type="dxa"/>
            <w:vMerge/>
            <w:tcBorders>
              <w:top w:val="nil"/>
              <w:left w:val="single" w:sz="4" w:space="0" w:color="auto"/>
              <w:bottom w:val="single" w:sz="4" w:space="0" w:color="auto"/>
              <w:right w:val="single" w:sz="4" w:space="0" w:color="auto"/>
            </w:tcBorders>
            <w:vAlign w:val="center"/>
            <w:hideMark/>
          </w:tcPr>
          <w:p w:rsidR="000552BC" w:rsidRDefault="000552BC">
            <w:pPr>
              <w:rPr>
                <w:rFonts w:ascii="Calibri" w:hAnsi="Calibri" w:cs="Calibri"/>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Kapitálové</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17 700 000,00</w:t>
            </w:r>
          </w:p>
        </w:tc>
        <w:tc>
          <w:tcPr>
            <w:tcW w:w="1275"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17 860 080,00</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17 427 135,73</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97,58</w:t>
            </w:r>
          </w:p>
        </w:tc>
      </w:tr>
      <w:tr w:rsidR="000552BC" w:rsidTr="000552BC">
        <w:trPr>
          <w:trHeight w:val="187"/>
        </w:trPr>
        <w:tc>
          <w:tcPr>
            <w:tcW w:w="3964" w:type="dxa"/>
            <w:vMerge/>
            <w:tcBorders>
              <w:top w:val="nil"/>
              <w:left w:val="single" w:sz="4" w:space="0" w:color="auto"/>
              <w:bottom w:val="single" w:sz="4" w:space="0" w:color="auto"/>
              <w:right w:val="single" w:sz="4" w:space="0" w:color="auto"/>
            </w:tcBorders>
            <w:vAlign w:val="center"/>
            <w:hideMark/>
          </w:tcPr>
          <w:p w:rsidR="000552BC" w:rsidRDefault="000552BC">
            <w:pPr>
              <w:rPr>
                <w:rFonts w:ascii="Calibri" w:hAnsi="Calibri" w:cs="Calibri"/>
                <w:color w:val="000000"/>
                <w:sz w:val="16"/>
                <w:szCs w:val="16"/>
              </w:rPr>
            </w:pPr>
          </w:p>
        </w:tc>
        <w:tc>
          <w:tcPr>
            <w:tcW w:w="851" w:type="dxa"/>
            <w:tcBorders>
              <w:top w:val="nil"/>
              <w:left w:val="nil"/>
              <w:bottom w:val="single" w:sz="4" w:space="0" w:color="auto"/>
              <w:right w:val="single" w:sz="4" w:space="0" w:color="auto"/>
            </w:tcBorders>
            <w:shd w:val="clear" w:color="C4D79B" w:fill="C5E0B4"/>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Celkem</w:t>
            </w:r>
          </w:p>
        </w:tc>
        <w:tc>
          <w:tcPr>
            <w:tcW w:w="1276"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18 438 350,00</w:t>
            </w:r>
          </w:p>
        </w:tc>
        <w:tc>
          <w:tcPr>
            <w:tcW w:w="1275"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19 267 350,00</w:t>
            </w:r>
          </w:p>
        </w:tc>
        <w:tc>
          <w:tcPr>
            <w:tcW w:w="1276"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18 815 294,72</w:t>
            </w:r>
          </w:p>
        </w:tc>
        <w:tc>
          <w:tcPr>
            <w:tcW w:w="851"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97,65</w:t>
            </w:r>
          </w:p>
        </w:tc>
      </w:tr>
      <w:tr w:rsidR="000552BC" w:rsidTr="000552BC">
        <w:trPr>
          <w:trHeight w:val="187"/>
        </w:trPr>
        <w:tc>
          <w:tcPr>
            <w:tcW w:w="39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24 Spoje</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Běžné</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0,00</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w:t>
            </w:r>
          </w:p>
        </w:tc>
      </w:tr>
      <w:tr w:rsidR="000552BC" w:rsidTr="000552BC">
        <w:trPr>
          <w:trHeight w:val="187"/>
        </w:trPr>
        <w:tc>
          <w:tcPr>
            <w:tcW w:w="3964" w:type="dxa"/>
            <w:vMerge/>
            <w:tcBorders>
              <w:top w:val="nil"/>
              <w:left w:val="single" w:sz="4" w:space="0" w:color="auto"/>
              <w:bottom w:val="single" w:sz="4" w:space="0" w:color="auto"/>
              <w:right w:val="single" w:sz="4" w:space="0" w:color="auto"/>
            </w:tcBorders>
            <w:vAlign w:val="center"/>
            <w:hideMark/>
          </w:tcPr>
          <w:p w:rsidR="000552BC" w:rsidRDefault="000552BC">
            <w:pPr>
              <w:rPr>
                <w:rFonts w:ascii="Calibri" w:hAnsi="Calibri" w:cs="Calibri"/>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Kapitálové</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2 000 000,00</w:t>
            </w:r>
          </w:p>
        </w:tc>
        <w:tc>
          <w:tcPr>
            <w:tcW w:w="1275"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0,00</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w:t>
            </w:r>
          </w:p>
        </w:tc>
      </w:tr>
      <w:tr w:rsidR="000552BC" w:rsidTr="000552BC">
        <w:trPr>
          <w:trHeight w:val="187"/>
        </w:trPr>
        <w:tc>
          <w:tcPr>
            <w:tcW w:w="3964" w:type="dxa"/>
            <w:vMerge/>
            <w:tcBorders>
              <w:top w:val="nil"/>
              <w:left w:val="single" w:sz="4" w:space="0" w:color="auto"/>
              <w:bottom w:val="single" w:sz="4" w:space="0" w:color="auto"/>
              <w:right w:val="single" w:sz="4" w:space="0" w:color="auto"/>
            </w:tcBorders>
            <w:vAlign w:val="center"/>
            <w:hideMark/>
          </w:tcPr>
          <w:p w:rsidR="000552BC" w:rsidRDefault="000552BC">
            <w:pPr>
              <w:rPr>
                <w:rFonts w:ascii="Calibri" w:hAnsi="Calibri" w:cs="Calibri"/>
                <w:color w:val="000000"/>
                <w:sz w:val="16"/>
                <w:szCs w:val="16"/>
              </w:rPr>
            </w:pPr>
          </w:p>
        </w:tc>
        <w:tc>
          <w:tcPr>
            <w:tcW w:w="851" w:type="dxa"/>
            <w:tcBorders>
              <w:top w:val="nil"/>
              <w:left w:val="nil"/>
              <w:bottom w:val="single" w:sz="4" w:space="0" w:color="auto"/>
              <w:right w:val="single" w:sz="4" w:space="0" w:color="auto"/>
            </w:tcBorders>
            <w:shd w:val="clear" w:color="C4D79B" w:fill="C5E0B4"/>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Celkem</w:t>
            </w:r>
          </w:p>
        </w:tc>
        <w:tc>
          <w:tcPr>
            <w:tcW w:w="1276"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2 000 000,00</w:t>
            </w:r>
          </w:p>
        </w:tc>
        <w:tc>
          <w:tcPr>
            <w:tcW w:w="1275"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0,00</w:t>
            </w:r>
          </w:p>
        </w:tc>
        <w:tc>
          <w:tcPr>
            <w:tcW w:w="1276"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0,00</w:t>
            </w:r>
          </w:p>
        </w:tc>
        <w:tc>
          <w:tcPr>
            <w:tcW w:w="851"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w:t>
            </w:r>
          </w:p>
        </w:tc>
      </w:tr>
      <w:tr w:rsidR="000552BC" w:rsidTr="000552BC">
        <w:trPr>
          <w:trHeight w:val="187"/>
        </w:trPr>
        <w:tc>
          <w:tcPr>
            <w:tcW w:w="3964" w:type="dxa"/>
            <w:vMerge w:val="restart"/>
            <w:tcBorders>
              <w:top w:val="nil"/>
              <w:left w:val="single" w:sz="4" w:space="0" w:color="auto"/>
              <w:bottom w:val="single" w:sz="4" w:space="0" w:color="auto"/>
              <w:right w:val="single" w:sz="4" w:space="0" w:color="auto"/>
            </w:tcBorders>
            <w:shd w:val="clear" w:color="auto" w:fill="auto"/>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25 Všeobecné hospodářské záležitosti a ostatní ekonomické funkce</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Běžné</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800 000,00</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800 000,00</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100,00</w:t>
            </w:r>
          </w:p>
        </w:tc>
      </w:tr>
      <w:tr w:rsidR="000552BC" w:rsidTr="000552BC">
        <w:trPr>
          <w:trHeight w:val="187"/>
        </w:trPr>
        <w:tc>
          <w:tcPr>
            <w:tcW w:w="3964" w:type="dxa"/>
            <w:vMerge/>
            <w:tcBorders>
              <w:top w:val="nil"/>
              <w:left w:val="single" w:sz="4" w:space="0" w:color="auto"/>
              <w:bottom w:val="single" w:sz="4" w:space="0" w:color="auto"/>
              <w:right w:val="single" w:sz="4" w:space="0" w:color="auto"/>
            </w:tcBorders>
            <w:vAlign w:val="center"/>
            <w:hideMark/>
          </w:tcPr>
          <w:p w:rsidR="000552BC" w:rsidRDefault="000552BC">
            <w:pPr>
              <w:rPr>
                <w:rFonts w:ascii="Calibri" w:hAnsi="Calibri" w:cs="Calibri"/>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Kapitálové</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0,00</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w:t>
            </w:r>
          </w:p>
        </w:tc>
      </w:tr>
      <w:tr w:rsidR="000552BC" w:rsidTr="000552BC">
        <w:trPr>
          <w:trHeight w:val="187"/>
        </w:trPr>
        <w:tc>
          <w:tcPr>
            <w:tcW w:w="3964" w:type="dxa"/>
            <w:vMerge/>
            <w:tcBorders>
              <w:top w:val="nil"/>
              <w:left w:val="single" w:sz="4" w:space="0" w:color="auto"/>
              <w:bottom w:val="single" w:sz="4" w:space="0" w:color="auto"/>
              <w:right w:val="single" w:sz="4" w:space="0" w:color="auto"/>
            </w:tcBorders>
            <w:vAlign w:val="center"/>
            <w:hideMark/>
          </w:tcPr>
          <w:p w:rsidR="000552BC" w:rsidRDefault="000552BC">
            <w:pPr>
              <w:rPr>
                <w:rFonts w:ascii="Calibri" w:hAnsi="Calibri" w:cs="Calibri"/>
                <w:color w:val="000000"/>
                <w:sz w:val="16"/>
                <w:szCs w:val="16"/>
              </w:rPr>
            </w:pPr>
          </w:p>
        </w:tc>
        <w:tc>
          <w:tcPr>
            <w:tcW w:w="851" w:type="dxa"/>
            <w:tcBorders>
              <w:top w:val="nil"/>
              <w:left w:val="nil"/>
              <w:bottom w:val="single" w:sz="4" w:space="0" w:color="auto"/>
              <w:right w:val="single" w:sz="4" w:space="0" w:color="auto"/>
            </w:tcBorders>
            <w:shd w:val="clear" w:color="C4D79B" w:fill="C5E0B4"/>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Celkem</w:t>
            </w:r>
          </w:p>
        </w:tc>
        <w:tc>
          <w:tcPr>
            <w:tcW w:w="1276"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0,00</w:t>
            </w:r>
          </w:p>
        </w:tc>
        <w:tc>
          <w:tcPr>
            <w:tcW w:w="1275"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800 000,00</w:t>
            </w:r>
          </w:p>
        </w:tc>
        <w:tc>
          <w:tcPr>
            <w:tcW w:w="1276"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800 000,00</w:t>
            </w:r>
          </w:p>
        </w:tc>
        <w:tc>
          <w:tcPr>
            <w:tcW w:w="851"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100,00</w:t>
            </w:r>
          </w:p>
        </w:tc>
      </w:tr>
      <w:tr w:rsidR="000552BC" w:rsidTr="000552BC">
        <w:trPr>
          <w:trHeight w:val="187"/>
        </w:trPr>
        <w:tc>
          <w:tcPr>
            <w:tcW w:w="39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31 a 32 Vzdělávání a školské služby</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Běžné</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93 730 088,00</w:t>
            </w:r>
          </w:p>
        </w:tc>
        <w:tc>
          <w:tcPr>
            <w:tcW w:w="1275"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130 866 932,24</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129 828 744,90</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99,21</w:t>
            </w:r>
          </w:p>
        </w:tc>
      </w:tr>
      <w:tr w:rsidR="000552BC" w:rsidTr="000552BC">
        <w:trPr>
          <w:trHeight w:val="187"/>
        </w:trPr>
        <w:tc>
          <w:tcPr>
            <w:tcW w:w="3964" w:type="dxa"/>
            <w:vMerge/>
            <w:tcBorders>
              <w:top w:val="nil"/>
              <w:left w:val="single" w:sz="4" w:space="0" w:color="auto"/>
              <w:bottom w:val="single" w:sz="4" w:space="0" w:color="auto"/>
              <w:right w:val="single" w:sz="4" w:space="0" w:color="auto"/>
            </w:tcBorders>
            <w:vAlign w:val="center"/>
            <w:hideMark/>
          </w:tcPr>
          <w:p w:rsidR="000552BC" w:rsidRDefault="000552BC">
            <w:pPr>
              <w:rPr>
                <w:rFonts w:ascii="Calibri" w:hAnsi="Calibri" w:cs="Calibri"/>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Kapitálové</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44 650 000,00</w:t>
            </w:r>
          </w:p>
        </w:tc>
        <w:tc>
          <w:tcPr>
            <w:tcW w:w="1275"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20 477 180,80</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19 175 658,59</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93,64</w:t>
            </w:r>
          </w:p>
        </w:tc>
      </w:tr>
      <w:tr w:rsidR="000552BC" w:rsidTr="000552BC">
        <w:trPr>
          <w:trHeight w:val="187"/>
        </w:trPr>
        <w:tc>
          <w:tcPr>
            <w:tcW w:w="3964" w:type="dxa"/>
            <w:vMerge/>
            <w:tcBorders>
              <w:top w:val="nil"/>
              <w:left w:val="single" w:sz="4" w:space="0" w:color="auto"/>
              <w:bottom w:val="single" w:sz="4" w:space="0" w:color="auto"/>
              <w:right w:val="single" w:sz="4" w:space="0" w:color="auto"/>
            </w:tcBorders>
            <w:vAlign w:val="center"/>
            <w:hideMark/>
          </w:tcPr>
          <w:p w:rsidR="000552BC" w:rsidRDefault="000552BC">
            <w:pPr>
              <w:rPr>
                <w:rFonts w:ascii="Calibri" w:hAnsi="Calibri" w:cs="Calibri"/>
                <w:color w:val="000000"/>
                <w:sz w:val="16"/>
                <w:szCs w:val="16"/>
              </w:rPr>
            </w:pPr>
          </w:p>
        </w:tc>
        <w:tc>
          <w:tcPr>
            <w:tcW w:w="851" w:type="dxa"/>
            <w:tcBorders>
              <w:top w:val="nil"/>
              <w:left w:val="nil"/>
              <w:bottom w:val="single" w:sz="4" w:space="0" w:color="auto"/>
              <w:right w:val="single" w:sz="4" w:space="0" w:color="auto"/>
            </w:tcBorders>
            <w:shd w:val="clear" w:color="C4D79B" w:fill="C5E0B4"/>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Celkem</w:t>
            </w:r>
          </w:p>
        </w:tc>
        <w:tc>
          <w:tcPr>
            <w:tcW w:w="1276"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138 380 088,00</w:t>
            </w:r>
          </w:p>
        </w:tc>
        <w:tc>
          <w:tcPr>
            <w:tcW w:w="1275"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151 344 113,04</w:t>
            </w:r>
          </w:p>
        </w:tc>
        <w:tc>
          <w:tcPr>
            <w:tcW w:w="1276"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149 004 403,49</w:t>
            </w:r>
          </w:p>
        </w:tc>
        <w:tc>
          <w:tcPr>
            <w:tcW w:w="851"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98,45</w:t>
            </w:r>
          </w:p>
        </w:tc>
      </w:tr>
      <w:tr w:rsidR="000552BC" w:rsidTr="000552BC">
        <w:trPr>
          <w:trHeight w:val="187"/>
        </w:trPr>
        <w:tc>
          <w:tcPr>
            <w:tcW w:w="39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33 Kultura, církve a sdělovací prostředky</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Běžné</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41 266 854,00</w:t>
            </w:r>
          </w:p>
        </w:tc>
        <w:tc>
          <w:tcPr>
            <w:tcW w:w="1275"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51 091 083,00</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49 230 012,75</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96,36</w:t>
            </w:r>
          </w:p>
        </w:tc>
      </w:tr>
      <w:tr w:rsidR="000552BC" w:rsidTr="000552BC">
        <w:trPr>
          <w:trHeight w:val="187"/>
        </w:trPr>
        <w:tc>
          <w:tcPr>
            <w:tcW w:w="3964" w:type="dxa"/>
            <w:vMerge/>
            <w:tcBorders>
              <w:top w:val="nil"/>
              <w:left w:val="single" w:sz="4" w:space="0" w:color="auto"/>
              <w:bottom w:val="single" w:sz="4" w:space="0" w:color="auto"/>
              <w:right w:val="single" w:sz="4" w:space="0" w:color="auto"/>
            </w:tcBorders>
            <w:vAlign w:val="center"/>
            <w:hideMark/>
          </w:tcPr>
          <w:p w:rsidR="000552BC" w:rsidRDefault="000552BC">
            <w:pPr>
              <w:rPr>
                <w:rFonts w:ascii="Calibri" w:hAnsi="Calibri" w:cs="Calibri"/>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Kapitálové</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10 200 000,00</w:t>
            </w:r>
          </w:p>
        </w:tc>
        <w:tc>
          <w:tcPr>
            <w:tcW w:w="1275"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3 900 000,00</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3 280 096,21</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84,11</w:t>
            </w:r>
          </w:p>
        </w:tc>
      </w:tr>
      <w:tr w:rsidR="000552BC" w:rsidTr="000552BC">
        <w:trPr>
          <w:trHeight w:val="187"/>
        </w:trPr>
        <w:tc>
          <w:tcPr>
            <w:tcW w:w="3964" w:type="dxa"/>
            <w:vMerge/>
            <w:tcBorders>
              <w:top w:val="nil"/>
              <w:left w:val="single" w:sz="4" w:space="0" w:color="auto"/>
              <w:bottom w:val="single" w:sz="4" w:space="0" w:color="auto"/>
              <w:right w:val="single" w:sz="4" w:space="0" w:color="auto"/>
            </w:tcBorders>
            <w:vAlign w:val="center"/>
            <w:hideMark/>
          </w:tcPr>
          <w:p w:rsidR="000552BC" w:rsidRDefault="000552BC">
            <w:pPr>
              <w:rPr>
                <w:rFonts w:ascii="Calibri" w:hAnsi="Calibri" w:cs="Calibri"/>
                <w:color w:val="000000"/>
                <w:sz w:val="16"/>
                <w:szCs w:val="16"/>
              </w:rPr>
            </w:pPr>
          </w:p>
        </w:tc>
        <w:tc>
          <w:tcPr>
            <w:tcW w:w="851" w:type="dxa"/>
            <w:tcBorders>
              <w:top w:val="nil"/>
              <w:left w:val="nil"/>
              <w:bottom w:val="single" w:sz="4" w:space="0" w:color="auto"/>
              <w:right w:val="single" w:sz="4" w:space="0" w:color="auto"/>
            </w:tcBorders>
            <w:shd w:val="clear" w:color="C4D79B" w:fill="C5E0B4"/>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Celkem</w:t>
            </w:r>
          </w:p>
        </w:tc>
        <w:tc>
          <w:tcPr>
            <w:tcW w:w="1276"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51 466 854,00</w:t>
            </w:r>
          </w:p>
        </w:tc>
        <w:tc>
          <w:tcPr>
            <w:tcW w:w="1275"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54 991 083,00</w:t>
            </w:r>
          </w:p>
        </w:tc>
        <w:tc>
          <w:tcPr>
            <w:tcW w:w="1276"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52 510 108,96</w:t>
            </w:r>
          </w:p>
        </w:tc>
        <w:tc>
          <w:tcPr>
            <w:tcW w:w="851"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95,49</w:t>
            </w:r>
          </w:p>
        </w:tc>
      </w:tr>
      <w:tr w:rsidR="000552BC" w:rsidTr="000552BC">
        <w:trPr>
          <w:trHeight w:val="187"/>
        </w:trPr>
        <w:tc>
          <w:tcPr>
            <w:tcW w:w="39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34 Sport a zájmová činnost</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Běžné</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36 665 000,00</w:t>
            </w:r>
          </w:p>
        </w:tc>
        <w:tc>
          <w:tcPr>
            <w:tcW w:w="1275"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55 378 772,64</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54 763 481,35</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98,89</w:t>
            </w:r>
          </w:p>
        </w:tc>
      </w:tr>
      <w:tr w:rsidR="000552BC" w:rsidTr="000552BC">
        <w:trPr>
          <w:trHeight w:val="187"/>
        </w:trPr>
        <w:tc>
          <w:tcPr>
            <w:tcW w:w="3964" w:type="dxa"/>
            <w:vMerge/>
            <w:tcBorders>
              <w:top w:val="nil"/>
              <w:left w:val="single" w:sz="4" w:space="0" w:color="auto"/>
              <w:bottom w:val="single" w:sz="4" w:space="0" w:color="auto"/>
              <w:right w:val="single" w:sz="4" w:space="0" w:color="auto"/>
            </w:tcBorders>
            <w:vAlign w:val="center"/>
            <w:hideMark/>
          </w:tcPr>
          <w:p w:rsidR="000552BC" w:rsidRDefault="000552BC">
            <w:pPr>
              <w:rPr>
                <w:rFonts w:ascii="Calibri" w:hAnsi="Calibri" w:cs="Calibri"/>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Kapitálové</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33 305 000,00</w:t>
            </w:r>
          </w:p>
        </w:tc>
        <w:tc>
          <w:tcPr>
            <w:tcW w:w="1275"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34 382 281,21</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32 627 288,50</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94,90</w:t>
            </w:r>
          </w:p>
        </w:tc>
      </w:tr>
      <w:tr w:rsidR="000552BC" w:rsidTr="000552BC">
        <w:trPr>
          <w:trHeight w:val="187"/>
        </w:trPr>
        <w:tc>
          <w:tcPr>
            <w:tcW w:w="3964" w:type="dxa"/>
            <w:vMerge/>
            <w:tcBorders>
              <w:top w:val="nil"/>
              <w:left w:val="single" w:sz="4" w:space="0" w:color="auto"/>
              <w:bottom w:val="single" w:sz="4" w:space="0" w:color="auto"/>
              <w:right w:val="single" w:sz="4" w:space="0" w:color="auto"/>
            </w:tcBorders>
            <w:vAlign w:val="center"/>
            <w:hideMark/>
          </w:tcPr>
          <w:p w:rsidR="000552BC" w:rsidRDefault="000552BC">
            <w:pPr>
              <w:rPr>
                <w:rFonts w:ascii="Calibri" w:hAnsi="Calibri" w:cs="Calibri"/>
                <w:color w:val="000000"/>
                <w:sz w:val="16"/>
                <w:szCs w:val="16"/>
              </w:rPr>
            </w:pPr>
          </w:p>
        </w:tc>
        <w:tc>
          <w:tcPr>
            <w:tcW w:w="851" w:type="dxa"/>
            <w:tcBorders>
              <w:top w:val="nil"/>
              <w:left w:val="nil"/>
              <w:bottom w:val="single" w:sz="4" w:space="0" w:color="auto"/>
              <w:right w:val="single" w:sz="4" w:space="0" w:color="auto"/>
            </w:tcBorders>
            <w:shd w:val="clear" w:color="C4D79B" w:fill="C5E0B4"/>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Celkem</w:t>
            </w:r>
          </w:p>
        </w:tc>
        <w:tc>
          <w:tcPr>
            <w:tcW w:w="1276"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69 970 000,00</w:t>
            </w:r>
          </w:p>
        </w:tc>
        <w:tc>
          <w:tcPr>
            <w:tcW w:w="1275"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89 761 053,85</w:t>
            </w:r>
          </w:p>
        </w:tc>
        <w:tc>
          <w:tcPr>
            <w:tcW w:w="1276"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87 390 769,85</w:t>
            </w:r>
          </w:p>
        </w:tc>
        <w:tc>
          <w:tcPr>
            <w:tcW w:w="851"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97,36</w:t>
            </w:r>
          </w:p>
        </w:tc>
      </w:tr>
      <w:tr w:rsidR="000552BC" w:rsidTr="000552BC">
        <w:trPr>
          <w:trHeight w:val="187"/>
        </w:trPr>
        <w:tc>
          <w:tcPr>
            <w:tcW w:w="39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35 Zdravotnictví</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Běžné</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3 583 690,00</w:t>
            </w:r>
          </w:p>
        </w:tc>
        <w:tc>
          <w:tcPr>
            <w:tcW w:w="1275"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2 062 690,00</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2 061 243,00</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99,93</w:t>
            </w:r>
          </w:p>
        </w:tc>
      </w:tr>
      <w:tr w:rsidR="000552BC" w:rsidTr="000552BC">
        <w:trPr>
          <w:trHeight w:val="187"/>
        </w:trPr>
        <w:tc>
          <w:tcPr>
            <w:tcW w:w="3964" w:type="dxa"/>
            <w:vMerge/>
            <w:tcBorders>
              <w:top w:val="nil"/>
              <w:left w:val="single" w:sz="4" w:space="0" w:color="auto"/>
              <w:bottom w:val="single" w:sz="4" w:space="0" w:color="auto"/>
              <w:right w:val="single" w:sz="4" w:space="0" w:color="auto"/>
            </w:tcBorders>
            <w:vAlign w:val="center"/>
            <w:hideMark/>
          </w:tcPr>
          <w:p w:rsidR="000552BC" w:rsidRDefault="000552BC">
            <w:pPr>
              <w:rPr>
                <w:rFonts w:ascii="Calibri" w:hAnsi="Calibri" w:cs="Calibri"/>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Kapitálové</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930 000,00</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928 675,00</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99,86</w:t>
            </w:r>
          </w:p>
        </w:tc>
      </w:tr>
      <w:tr w:rsidR="000552BC" w:rsidTr="000552BC">
        <w:trPr>
          <w:trHeight w:val="187"/>
        </w:trPr>
        <w:tc>
          <w:tcPr>
            <w:tcW w:w="3964" w:type="dxa"/>
            <w:vMerge/>
            <w:tcBorders>
              <w:top w:val="nil"/>
              <w:left w:val="single" w:sz="4" w:space="0" w:color="auto"/>
              <w:bottom w:val="single" w:sz="4" w:space="0" w:color="auto"/>
              <w:right w:val="single" w:sz="4" w:space="0" w:color="auto"/>
            </w:tcBorders>
            <w:vAlign w:val="center"/>
            <w:hideMark/>
          </w:tcPr>
          <w:p w:rsidR="000552BC" w:rsidRDefault="000552BC">
            <w:pPr>
              <w:rPr>
                <w:rFonts w:ascii="Calibri" w:hAnsi="Calibri" w:cs="Calibri"/>
                <w:color w:val="000000"/>
                <w:sz w:val="16"/>
                <w:szCs w:val="16"/>
              </w:rPr>
            </w:pPr>
          </w:p>
        </w:tc>
        <w:tc>
          <w:tcPr>
            <w:tcW w:w="851" w:type="dxa"/>
            <w:tcBorders>
              <w:top w:val="nil"/>
              <w:left w:val="nil"/>
              <w:bottom w:val="single" w:sz="4" w:space="0" w:color="auto"/>
              <w:right w:val="single" w:sz="4" w:space="0" w:color="auto"/>
            </w:tcBorders>
            <w:shd w:val="clear" w:color="C4D79B" w:fill="C5E0B4"/>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Celkem</w:t>
            </w:r>
          </w:p>
        </w:tc>
        <w:tc>
          <w:tcPr>
            <w:tcW w:w="1276"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3 583 690,00</w:t>
            </w:r>
          </w:p>
        </w:tc>
        <w:tc>
          <w:tcPr>
            <w:tcW w:w="1275"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2 992 690,00</w:t>
            </w:r>
          </w:p>
        </w:tc>
        <w:tc>
          <w:tcPr>
            <w:tcW w:w="1276"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2 989 918,00</w:t>
            </w:r>
          </w:p>
        </w:tc>
        <w:tc>
          <w:tcPr>
            <w:tcW w:w="851"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99,91</w:t>
            </w:r>
          </w:p>
        </w:tc>
      </w:tr>
      <w:tr w:rsidR="000552BC" w:rsidTr="000552BC">
        <w:trPr>
          <w:trHeight w:val="187"/>
        </w:trPr>
        <w:tc>
          <w:tcPr>
            <w:tcW w:w="39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36 Bydlení, komunální služby a územní rozvoj</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Běžné</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73 119 442,00</w:t>
            </w:r>
          </w:p>
        </w:tc>
        <w:tc>
          <w:tcPr>
            <w:tcW w:w="1275"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110 898 451,91</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103 227 993,61</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93,08</w:t>
            </w:r>
          </w:p>
        </w:tc>
      </w:tr>
      <w:tr w:rsidR="000552BC" w:rsidTr="000552BC">
        <w:trPr>
          <w:trHeight w:val="187"/>
        </w:trPr>
        <w:tc>
          <w:tcPr>
            <w:tcW w:w="3964" w:type="dxa"/>
            <w:vMerge/>
            <w:tcBorders>
              <w:top w:val="nil"/>
              <w:left w:val="single" w:sz="4" w:space="0" w:color="auto"/>
              <w:bottom w:val="single" w:sz="4" w:space="0" w:color="auto"/>
              <w:right w:val="single" w:sz="4" w:space="0" w:color="auto"/>
            </w:tcBorders>
            <w:vAlign w:val="center"/>
            <w:hideMark/>
          </w:tcPr>
          <w:p w:rsidR="000552BC" w:rsidRDefault="000552BC">
            <w:pPr>
              <w:rPr>
                <w:rFonts w:ascii="Calibri" w:hAnsi="Calibri" w:cs="Calibri"/>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Kapitálové</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45 615 000,00</w:t>
            </w:r>
          </w:p>
        </w:tc>
        <w:tc>
          <w:tcPr>
            <w:tcW w:w="1275"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50 353 257,29</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37 644 609,88</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74,76</w:t>
            </w:r>
          </w:p>
        </w:tc>
      </w:tr>
      <w:tr w:rsidR="000552BC" w:rsidTr="000552BC">
        <w:trPr>
          <w:trHeight w:val="187"/>
        </w:trPr>
        <w:tc>
          <w:tcPr>
            <w:tcW w:w="3964" w:type="dxa"/>
            <w:vMerge/>
            <w:tcBorders>
              <w:top w:val="nil"/>
              <w:left w:val="single" w:sz="4" w:space="0" w:color="auto"/>
              <w:bottom w:val="single" w:sz="4" w:space="0" w:color="auto"/>
              <w:right w:val="single" w:sz="4" w:space="0" w:color="auto"/>
            </w:tcBorders>
            <w:vAlign w:val="center"/>
            <w:hideMark/>
          </w:tcPr>
          <w:p w:rsidR="000552BC" w:rsidRDefault="000552BC">
            <w:pPr>
              <w:rPr>
                <w:rFonts w:ascii="Calibri" w:hAnsi="Calibri" w:cs="Calibri"/>
                <w:color w:val="000000"/>
                <w:sz w:val="16"/>
                <w:szCs w:val="16"/>
              </w:rPr>
            </w:pPr>
          </w:p>
        </w:tc>
        <w:tc>
          <w:tcPr>
            <w:tcW w:w="851" w:type="dxa"/>
            <w:tcBorders>
              <w:top w:val="nil"/>
              <w:left w:val="nil"/>
              <w:bottom w:val="single" w:sz="4" w:space="0" w:color="auto"/>
              <w:right w:val="single" w:sz="4" w:space="0" w:color="auto"/>
            </w:tcBorders>
            <w:shd w:val="clear" w:color="C4D79B" w:fill="C5E0B4"/>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Celkem</w:t>
            </w:r>
          </w:p>
        </w:tc>
        <w:tc>
          <w:tcPr>
            <w:tcW w:w="1276"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118 734 442,00</w:t>
            </w:r>
          </w:p>
        </w:tc>
        <w:tc>
          <w:tcPr>
            <w:tcW w:w="1275"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161 251 709,20</w:t>
            </w:r>
          </w:p>
        </w:tc>
        <w:tc>
          <w:tcPr>
            <w:tcW w:w="1276"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140 872 603,49</w:t>
            </w:r>
          </w:p>
        </w:tc>
        <w:tc>
          <w:tcPr>
            <w:tcW w:w="851"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87,36</w:t>
            </w:r>
          </w:p>
        </w:tc>
      </w:tr>
      <w:tr w:rsidR="000552BC" w:rsidTr="000552BC">
        <w:trPr>
          <w:trHeight w:val="187"/>
        </w:trPr>
        <w:tc>
          <w:tcPr>
            <w:tcW w:w="39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37 Ochrana životního prostředí</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Běžné</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103 972 027,00</w:t>
            </w:r>
          </w:p>
        </w:tc>
        <w:tc>
          <w:tcPr>
            <w:tcW w:w="1275"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117 488 062,00</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114 760 928,02</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97,68</w:t>
            </w:r>
          </w:p>
        </w:tc>
      </w:tr>
      <w:tr w:rsidR="000552BC" w:rsidTr="000552BC">
        <w:trPr>
          <w:trHeight w:val="187"/>
        </w:trPr>
        <w:tc>
          <w:tcPr>
            <w:tcW w:w="3964" w:type="dxa"/>
            <w:vMerge/>
            <w:tcBorders>
              <w:top w:val="nil"/>
              <w:left w:val="single" w:sz="4" w:space="0" w:color="auto"/>
              <w:bottom w:val="single" w:sz="4" w:space="0" w:color="auto"/>
              <w:right w:val="single" w:sz="4" w:space="0" w:color="auto"/>
            </w:tcBorders>
            <w:vAlign w:val="center"/>
            <w:hideMark/>
          </w:tcPr>
          <w:p w:rsidR="000552BC" w:rsidRDefault="000552BC">
            <w:pPr>
              <w:rPr>
                <w:rFonts w:ascii="Calibri" w:hAnsi="Calibri" w:cs="Calibri"/>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Kapitálové</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3 800 000,00</w:t>
            </w:r>
          </w:p>
        </w:tc>
        <w:tc>
          <w:tcPr>
            <w:tcW w:w="1275"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5 240 000,00</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5 170 292,36</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98,67</w:t>
            </w:r>
          </w:p>
        </w:tc>
      </w:tr>
      <w:tr w:rsidR="000552BC" w:rsidTr="000552BC">
        <w:trPr>
          <w:trHeight w:val="187"/>
        </w:trPr>
        <w:tc>
          <w:tcPr>
            <w:tcW w:w="3964" w:type="dxa"/>
            <w:vMerge/>
            <w:tcBorders>
              <w:top w:val="nil"/>
              <w:left w:val="single" w:sz="4" w:space="0" w:color="auto"/>
              <w:bottom w:val="single" w:sz="4" w:space="0" w:color="auto"/>
              <w:right w:val="single" w:sz="4" w:space="0" w:color="auto"/>
            </w:tcBorders>
            <w:vAlign w:val="center"/>
            <w:hideMark/>
          </w:tcPr>
          <w:p w:rsidR="000552BC" w:rsidRDefault="000552BC">
            <w:pPr>
              <w:rPr>
                <w:rFonts w:ascii="Calibri" w:hAnsi="Calibri" w:cs="Calibri"/>
                <w:color w:val="000000"/>
                <w:sz w:val="16"/>
                <w:szCs w:val="16"/>
              </w:rPr>
            </w:pPr>
          </w:p>
        </w:tc>
        <w:tc>
          <w:tcPr>
            <w:tcW w:w="851" w:type="dxa"/>
            <w:tcBorders>
              <w:top w:val="nil"/>
              <w:left w:val="nil"/>
              <w:bottom w:val="single" w:sz="4" w:space="0" w:color="auto"/>
              <w:right w:val="single" w:sz="4" w:space="0" w:color="auto"/>
            </w:tcBorders>
            <w:shd w:val="clear" w:color="C4D79B" w:fill="C5E0B4"/>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Celkem</w:t>
            </w:r>
          </w:p>
        </w:tc>
        <w:tc>
          <w:tcPr>
            <w:tcW w:w="1276"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107 772 027,00</w:t>
            </w:r>
          </w:p>
        </w:tc>
        <w:tc>
          <w:tcPr>
            <w:tcW w:w="1275"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122 728 062,00</w:t>
            </w:r>
          </w:p>
        </w:tc>
        <w:tc>
          <w:tcPr>
            <w:tcW w:w="1276"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119 931 220,38</w:t>
            </w:r>
          </w:p>
        </w:tc>
        <w:tc>
          <w:tcPr>
            <w:tcW w:w="851"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97,72</w:t>
            </w:r>
          </w:p>
        </w:tc>
      </w:tr>
      <w:tr w:rsidR="000552BC" w:rsidTr="000552BC">
        <w:trPr>
          <w:trHeight w:val="187"/>
        </w:trPr>
        <w:tc>
          <w:tcPr>
            <w:tcW w:w="3964" w:type="dxa"/>
            <w:vMerge w:val="restart"/>
            <w:tcBorders>
              <w:top w:val="nil"/>
              <w:left w:val="single" w:sz="4" w:space="0" w:color="auto"/>
              <w:bottom w:val="single" w:sz="4" w:space="0" w:color="auto"/>
              <w:right w:val="single" w:sz="4" w:space="0" w:color="auto"/>
            </w:tcBorders>
            <w:shd w:val="clear" w:color="auto" w:fill="auto"/>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39 Ostatní činnosti související se službami pro fyzické osoby</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Běžné</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332 500,00</w:t>
            </w:r>
          </w:p>
        </w:tc>
        <w:tc>
          <w:tcPr>
            <w:tcW w:w="1275"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93 578,00</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84 744,00</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90,56</w:t>
            </w:r>
          </w:p>
        </w:tc>
      </w:tr>
      <w:tr w:rsidR="000552BC" w:rsidTr="000552BC">
        <w:trPr>
          <w:trHeight w:val="187"/>
        </w:trPr>
        <w:tc>
          <w:tcPr>
            <w:tcW w:w="3964" w:type="dxa"/>
            <w:vMerge/>
            <w:tcBorders>
              <w:top w:val="nil"/>
              <w:left w:val="single" w:sz="4" w:space="0" w:color="auto"/>
              <w:bottom w:val="single" w:sz="4" w:space="0" w:color="auto"/>
              <w:right w:val="single" w:sz="4" w:space="0" w:color="auto"/>
            </w:tcBorders>
            <w:vAlign w:val="center"/>
            <w:hideMark/>
          </w:tcPr>
          <w:p w:rsidR="000552BC" w:rsidRDefault="000552BC">
            <w:pPr>
              <w:rPr>
                <w:rFonts w:ascii="Calibri" w:hAnsi="Calibri" w:cs="Calibri"/>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Kapitálové</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500 000,00</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482 814,20</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96,56</w:t>
            </w:r>
          </w:p>
        </w:tc>
      </w:tr>
      <w:tr w:rsidR="000552BC" w:rsidTr="000552BC">
        <w:trPr>
          <w:trHeight w:val="187"/>
        </w:trPr>
        <w:tc>
          <w:tcPr>
            <w:tcW w:w="3964" w:type="dxa"/>
            <w:vMerge/>
            <w:tcBorders>
              <w:top w:val="nil"/>
              <w:left w:val="single" w:sz="4" w:space="0" w:color="auto"/>
              <w:bottom w:val="single" w:sz="4" w:space="0" w:color="auto"/>
              <w:right w:val="single" w:sz="4" w:space="0" w:color="auto"/>
            </w:tcBorders>
            <w:vAlign w:val="center"/>
            <w:hideMark/>
          </w:tcPr>
          <w:p w:rsidR="000552BC" w:rsidRDefault="000552BC">
            <w:pPr>
              <w:rPr>
                <w:rFonts w:ascii="Calibri" w:hAnsi="Calibri" w:cs="Calibri"/>
                <w:color w:val="000000"/>
                <w:sz w:val="16"/>
                <w:szCs w:val="16"/>
              </w:rPr>
            </w:pPr>
          </w:p>
        </w:tc>
        <w:tc>
          <w:tcPr>
            <w:tcW w:w="851" w:type="dxa"/>
            <w:tcBorders>
              <w:top w:val="nil"/>
              <w:left w:val="nil"/>
              <w:bottom w:val="single" w:sz="4" w:space="0" w:color="auto"/>
              <w:right w:val="single" w:sz="4" w:space="0" w:color="auto"/>
            </w:tcBorders>
            <w:shd w:val="clear" w:color="C4D79B" w:fill="C5E0B4"/>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Celkem</w:t>
            </w:r>
          </w:p>
        </w:tc>
        <w:tc>
          <w:tcPr>
            <w:tcW w:w="1276"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332 500,00</w:t>
            </w:r>
          </w:p>
        </w:tc>
        <w:tc>
          <w:tcPr>
            <w:tcW w:w="1275"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593 578,00</w:t>
            </w:r>
          </w:p>
        </w:tc>
        <w:tc>
          <w:tcPr>
            <w:tcW w:w="1276"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567 558,20</w:t>
            </w:r>
          </w:p>
        </w:tc>
        <w:tc>
          <w:tcPr>
            <w:tcW w:w="851"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95,62</w:t>
            </w:r>
          </w:p>
        </w:tc>
      </w:tr>
      <w:tr w:rsidR="000552BC" w:rsidTr="000552BC">
        <w:trPr>
          <w:trHeight w:val="187"/>
        </w:trPr>
        <w:tc>
          <w:tcPr>
            <w:tcW w:w="3964" w:type="dxa"/>
            <w:vMerge w:val="restart"/>
            <w:tcBorders>
              <w:top w:val="nil"/>
              <w:left w:val="single" w:sz="4" w:space="0" w:color="auto"/>
              <w:bottom w:val="single" w:sz="4" w:space="0" w:color="auto"/>
              <w:right w:val="single" w:sz="4" w:space="0" w:color="auto"/>
            </w:tcBorders>
            <w:shd w:val="clear" w:color="auto" w:fill="auto"/>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43 Sociální služby a společné činnosti v sociálním zabezpečení a politice zaměstnanosti</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Běžné</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2 147 582,00</w:t>
            </w:r>
          </w:p>
        </w:tc>
        <w:tc>
          <w:tcPr>
            <w:tcW w:w="1275"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7 800 667,50</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5 319 398,96</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68,19</w:t>
            </w:r>
          </w:p>
        </w:tc>
      </w:tr>
      <w:tr w:rsidR="000552BC" w:rsidTr="000552BC">
        <w:trPr>
          <w:trHeight w:val="187"/>
        </w:trPr>
        <w:tc>
          <w:tcPr>
            <w:tcW w:w="3964" w:type="dxa"/>
            <w:vMerge/>
            <w:tcBorders>
              <w:top w:val="nil"/>
              <w:left w:val="single" w:sz="4" w:space="0" w:color="auto"/>
              <w:bottom w:val="single" w:sz="4" w:space="0" w:color="auto"/>
              <w:right w:val="single" w:sz="4" w:space="0" w:color="auto"/>
            </w:tcBorders>
            <w:vAlign w:val="center"/>
            <w:hideMark/>
          </w:tcPr>
          <w:p w:rsidR="000552BC" w:rsidRDefault="000552BC">
            <w:pPr>
              <w:rPr>
                <w:rFonts w:ascii="Calibri" w:hAnsi="Calibri" w:cs="Calibri"/>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Kapitálové</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299 500,00</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100 500,00</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33,56</w:t>
            </w:r>
          </w:p>
        </w:tc>
      </w:tr>
      <w:tr w:rsidR="000552BC" w:rsidTr="000552BC">
        <w:trPr>
          <w:trHeight w:val="187"/>
        </w:trPr>
        <w:tc>
          <w:tcPr>
            <w:tcW w:w="3964" w:type="dxa"/>
            <w:vMerge/>
            <w:tcBorders>
              <w:top w:val="nil"/>
              <w:left w:val="single" w:sz="4" w:space="0" w:color="auto"/>
              <w:bottom w:val="single" w:sz="4" w:space="0" w:color="auto"/>
              <w:right w:val="single" w:sz="4" w:space="0" w:color="auto"/>
            </w:tcBorders>
            <w:vAlign w:val="center"/>
            <w:hideMark/>
          </w:tcPr>
          <w:p w:rsidR="000552BC" w:rsidRDefault="000552BC">
            <w:pPr>
              <w:rPr>
                <w:rFonts w:ascii="Calibri" w:hAnsi="Calibri" w:cs="Calibri"/>
                <w:color w:val="000000"/>
                <w:sz w:val="16"/>
                <w:szCs w:val="16"/>
              </w:rPr>
            </w:pPr>
          </w:p>
        </w:tc>
        <w:tc>
          <w:tcPr>
            <w:tcW w:w="851" w:type="dxa"/>
            <w:tcBorders>
              <w:top w:val="nil"/>
              <w:left w:val="nil"/>
              <w:bottom w:val="single" w:sz="4" w:space="0" w:color="auto"/>
              <w:right w:val="single" w:sz="4" w:space="0" w:color="auto"/>
            </w:tcBorders>
            <w:shd w:val="clear" w:color="C4D79B" w:fill="C5E0B4"/>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Celkem</w:t>
            </w:r>
          </w:p>
        </w:tc>
        <w:tc>
          <w:tcPr>
            <w:tcW w:w="1276"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2 147 582,00</w:t>
            </w:r>
          </w:p>
        </w:tc>
        <w:tc>
          <w:tcPr>
            <w:tcW w:w="1275"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8 100 167,50</w:t>
            </w:r>
          </w:p>
        </w:tc>
        <w:tc>
          <w:tcPr>
            <w:tcW w:w="1276"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5 419 898,96</w:t>
            </w:r>
          </w:p>
        </w:tc>
        <w:tc>
          <w:tcPr>
            <w:tcW w:w="851"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66,91</w:t>
            </w:r>
          </w:p>
        </w:tc>
      </w:tr>
      <w:tr w:rsidR="000552BC" w:rsidTr="000552BC">
        <w:trPr>
          <w:trHeight w:val="187"/>
        </w:trPr>
        <w:tc>
          <w:tcPr>
            <w:tcW w:w="3964" w:type="dxa"/>
            <w:vMerge w:val="restart"/>
            <w:tcBorders>
              <w:top w:val="nil"/>
              <w:left w:val="single" w:sz="4" w:space="0" w:color="auto"/>
              <w:bottom w:val="single" w:sz="4" w:space="0" w:color="000000"/>
              <w:right w:val="single" w:sz="4" w:space="0" w:color="auto"/>
            </w:tcBorders>
            <w:shd w:val="clear" w:color="auto" w:fill="auto"/>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51 Obrana</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Běžné</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1 900,00</w:t>
            </w:r>
          </w:p>
        </w:tc>
        <w:tc>
          <w:tcPr>
            <w:tcW w:w="1275"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1 900,00</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0,00</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0,00</w:t>
            </w:r>
          </w:p>
        </w:tc>
      </w:tr>
      <w:tr w:rsidR="000552BC" w:rsidTr="000552BC">
        <w:trPr>
          <w:trHeight w:val="187"/>
        </w:trPr>
        <w:tc>
          <w:tcPr>
            <w:tcW w:w="3964" w:type="dxa"/>
            <w:vMerge/>
            <w:tcBorders>
              <w:top w:val="nil"/>
              <w:left w:val="single" w:sz="4" w:space="0" w:color="auto"/>
              <w:bottom w:val="single" w:sz="4" w:space="0" w:color="000000"/>
              <w:right w:val="single" w:sz="4" w:space="0" w:color="auto"/>
            </w:tcBorders>
            <w:vAlign w:val="center"/>
            <w:hideMark/>
          </w:tcPr>
          <w:p w:rsidR="000552BC" w:rsidRDefault="000552BC">
            <w:pPr>
              <w:rPr>
                <w:rFonts w:ascii="Calibri" w:hAnsi="Calibri" w:cs="Calibri"/>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Kapitálové</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0,00</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w:t>
            </w:r>
          </w:p>
        </w:tc>
      </w:tr>
      <w:tr w:rsidR="000552BC" w:rsidTr="000552BC">
        <w:trPr>
          <w:trHeight w:val="187"/>
        </w:trPr>
        <w:tc>
          <w:tcPr>
            <w:tcW w:w="3964" w:type="dxa"/>
            <w:vMerge/>
            <w:tcBorders>
              <w:top w:val="nil"/>
              <w:left w:val="single" w:sz="4" w:space="0" w:color="auto"/>
              <w:bottom w:val="single" w:sz="4" w:space="0" w:color="000000"/>
              <w:right w:val="single" w:sz="4" w:space="0" w:color="auto"/>
            </w:tcBorders>
            <w:vAlign w:val="center"/>
            <w:hideMark/>
          </w:tcPr>
          <w:p w:rsidR="000552BC" w:rsidRDefault="000552BC">
            <w:pPr>
              <w:rPr>
                <w:rFonts w:ascii="Calibri" w:hAnsi="Calibri" w:cs="Calibri"/>
                <w:color w:val="000000"/>
                <w:sz w:val="16"/>
                <w:szCs w:val="16"/>
              </w:rPr>
            </w:pPr>
          </w:p>
        </w:tc>
        <w:tc>
          <w:tcPr>
            <w:tcW w:w="851" w:type="dxa"/>
            <w:tcBorders>
              <w:top w:val="nil"/>
              <w:left w:val="nil"/>
              <w:bottom w:val="single" w:sz="4" w:space="0" w:color="auto"/>
              <w:right w:val="single" w:sz="4" w:space="0" w:color="auto"/>
            </w:tcBorders>
            <w:shd w:val="clear" w:color="C4D79B" w:fill="C5E0B4"/>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Celkem</w:t>
            </w:r>
          </w:p>
        </w:tc>
        <w:tc>
          <w:tcPr>
            <w:tcW w:w="1276"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1 900,00</w:t>
            </w:r>
          </w:p>
        </w:tc>
        <w:tc>
          <w:tcPr>
            <w:tcW w:w="1275"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1 900,00</w:t>
            </w:r>
          </w:p>
        </w:tc>
        <w:tc>
          <w:tcPr>
            <w:tcW w:w="1276"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0,00</w:t>
            </w:r>
          </w:p>
        </w:tc>
        <w:tc>
          <w:tcPr>
            <w:tcW w:w="851"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0,00</w:t>
            </w:r>
          </w:p>
        </w:tc>
      </w:tr>
      <w:tr w:rsidR="000552BC" w:rsidTr="000552BC">
        <w:trPr>
          <w:trHeight w:val="187"/>
        </w:trPr>
        <w:tc>
          <w:tcPr>
            <w:tcW w:w="39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52 Civilní připravenost na krizové stavy</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Běžné</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390 950,00</w:t>
            </w:r>
          </w:p>
        </w:tc>
        <w:tc>
          <w:tcPr>
            <w:tcW w:w="1275"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710 867,00</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263 257,01</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37,03</w:t>
            </w:r>
          </w:p>
        </w:tc>
      </w:tr>
      <w:tr w:rsidR="000552BC" w:rsidTr="000552BC">
        <w:trPr>
          <w:trHeight w:val="187"/>
        </w:trPr>
        <w:tc>
          <w:tcPr>
            <w:tcW w:w="3964" w:type="dxa"/>
            <w:vMerge/>
            <w:tcBorders>
              <w:top w:val="nil"/>
              <w:left w:val="single" w:sz="4" w:space="0" w:color="auto"/>
              <w:bottom w:val="single" w:sz="4" w:space="0" w:color="auto"/>
              <w:right w:val="single" w:sz="4" w:space="0" w:color="auto"/>
            </w:tcBorders>
            <w:vAlign w:val="center"/>
            <w:hideMark/>
          </w:tcPr>
          <w:p w:rsidR="000552BC" w:rsidRDefault="000552BC">
            <w:pPr>
              <w:rPr>
                <w:rFonts w:ascii="Calibri" w:hAnsi="Calibri" w:cs="Calibri"/>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Kapitálové</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11 747 500,00</w:t>
            </w:r>
          </w:p>
        </w:tc>
        <w:tc>
          <w:tcPr>
            <w:tcW w:w="1275"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11 747 500,00</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111 320,00</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0,95</w:t>
            </w:r>
          </w:p>
        </w:tc>
      </w:tr>
      <w:tr w:rsidR="000552BC" w:rsidTr="000552BC">
        <w:trPr>
          <w:trHeight w:val="187"/>
        </w:trPr>
        <w:tc>
          <w:tcPr>
            <w:tcW w:w="3964" w:type="dxa"/>
            <w:vMerge/>
            <w:tcBorders>
              <w:top w:val="nil"/>
              <w:left w:val="single" w:sz="4" w:space="0" w:color="auto"/>
              <w:bottom w:val="single" w:sz="4" w:space="0" w:color="auto"/>
              <w:right w:val="single" w:sz="4" w:space="0" w:color="auto"/>
            </w:tcBorders>
            <w:vAlign w:val="center"/>
            <w:hideMark/>
          </w:tcPr>
          <w:p w:rsidR="000552BC" w:rsidRDefault="000552BC">
            <w:pPr>
              <w:rPr>
                <w:rFonts w:ascii="Calibri" w:hAnsi="Calibri" w:cs="Calibri"/>
                <w:color w:val="000000"/>
                <w:sz w:val="16"/>
                <w:szCs w:val="16"/>
              </w:rPr>
            </w:pPr>
          </w:p>
        </w:tc>
        <w:tc>
          <w:tcPr>
            <w:tcW w:w="851" w:type="dxa"/>
            <w:tcBorders>
              <w:top w:val="nil"/>
              <w:left w:val="nil"/>
              <w:bottom w:val="single" w:sz="4" w:space="0" w:color="auto"/>
              <w:right w:val="single" w:sz="4" w:space="0" w:color="auto"/>
            </w:tcBorders>
            <w:shd w:val="clear" w:color="C4D79B" w:fill="C5E0B4"/>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Celkem</w:t>
            </w:r>
          </w:p>
        </w:tc>
        <w:tc>
          <w:tcPr>
            <w:tcW w:w="1276"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12 138 450,00</w:t>
            </w:r>
          </w:p>
        </w:tc>
        <w:tc>
          <w:tcPr>
            <w:tcW w:w="1275"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12 458 367,00</w:t>
            </w:r>
          </w:p>
        </w:tc>
        <w:tc>
          <w:tcPr>
            <w:tcW w:w="1276"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374 577,01</w:t>
            </w:r>
          </w:p>
        </w:tc>
        <w:tc>
          <w:tcPr>
            <w:tcW w:w="851"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3,01</w:t>
            </w:r>
          </w:p>
        </w:tc>
      </w:tr>
      <w:tr w:rsidR="000552BC" w:rsidTr="000552BC">
        <w:trPr>
          <w:trHeight w:val="187"/>
        </w:trPr>
        <w:tc>
          <w:tcPr>
            <w:tcW w:w="39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53 Bezpečnost a veřejný pořádek</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Běžné</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49 493 300,00</w:t>
            </w:r>
          </w:p>
        </w:tc>
        <w:tc>
          <w:tcPr>
            <w:tcW w:w="1275"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51 143 820,00</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49 486 124,21</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96,76</w:t>
            </w:r>
          </w:p>
        </w:tc>
      </w:tr>
      <w:tr w:rsidR="000552BC" w:rsidTr="000552BC">
        <w:trPr>
          <w:trHeight w:val="187"/>
        </w:trPr>
        <w:tc>
          <w:tcPr>
            <w:tcW w:w="3964" w:type="dxa"/>
            <w:vMerge/>
            <w:tcBorders>
              <w:top w:val="nil"/>
              <w:left w:val="single" w:sz="4" w:space="0" w:color="auto"/>
              <w:bottom w:val="single" w:sz="4" w:space="0" w:color="auto"/>
              <w:right w:val="single" w:sz="4" w:space="0" w:color="auto"/>
            </w:tcBorders>
            <w:vAlign w:val="center"/>
            <w:hideMark/>
          </w:tcPr>
          <w:p w:rsidR="000552BC" w:rsidRDefault="000552BC">
            <w:pPr>
              <w:rPr>
                <w:rFonts w:ascii="Calibri" w:hAnsi="Calibri" w:cs="Calibri"/>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Kapitálové</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3 440 000,00</w:t>
            </w:r>
          </w:p>
        </w:tc>
        <w:tc>
          <w:tcPr>
            <w:tcW w:w="1275"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4 255 867,00</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4 196 850,52</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98,61</w:t>
            </w:r>
          </w:p>
        </w:tc>
      </w:tr>
      <w:tr w:rsidR="000552BC" w:rsidTr="000552BC">
        <w:trPr>
          <w:trHeight w:val="187"/>
        </w:trPr>
        <w:tc>
          <w:tcPr>
            <w:tcW w:w="3964" w:type="dxa"/>
            <w:vMerge/>
            <w:tcBorders>
              <w:top w:val="nil"/>
              <w:left w:val="single" w:sz="4" w:space="0" w:color="auto"/>
              <w:bottom w:val="single" w:sz="4" w:space="0" w:color="auto"/>
              <w:right w:val="single" w:sz="4" w:space="0" w:color="auto"/>
            </w:tcBorders>
            <w:vAlign w:val="center"/>
            <w:hideMark/>
          </w:tcPr>
          <w:p w:rsidR="000552BC" w:rsidRDefault="000552BC">
            <w:pPr>
              <w:rPr>
                <w:rFonts w:ascii="Calibri" w:hAnsi="Calibri" w:cs="Calibri"/>
                <w:color w:val="000000"/>
                <w:sz w:val="16"/>
                <w:szCs w:val="16"/>
              </w:rPr>
            </w:pPr>
          </w:p>
        </w:tc>
        <w:tc>
          <w:tcPr>
            <w:tcW w:w="851" w:type="dxa"/>
            <w:tcBorders>
              <w:top w:val="nil"/>
              <w:left w:val="nil"/>
              <w:bottom w:val="single" w:sz="4" w:space="0" w:color="auto"/>
              <w:right w:val="single" w:sz="4" w:space="0" w:color="auto"/>
            </w:tcBorders>
            <w:shd w:val="clear" w:color="C4D79B" w:fill="C5E0B4"/>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Celkem</w:t>
            </w:r>
          </w:p>
        </w:tc>
        <w:tc>
          <w:tcPr>
            <w:tcW w:w="1276"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52 933 300,00</w:t>
            </w:r>
          </w:p>
        </w:tc>
        <w:tc>
          <w:tcPr>
            <w:tcW w:w="1275"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55 399 687,00</w:t>
            </w:r>
          </w:p>
        </w:tc>
        <w:tc>
          <w:tcPr>
            <w:tcW w:w="1276"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53 682 974,73</w:t>
            </w:r>
          </w:p>
        </w:tc>
        <w:tc>
          <w:tcPr>
            <w:tcW w:w="851"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96,90</w:t>
            </w:r>
          </w:p>
        </w:tc>
      </w:tr>
      <w:tr w:rsidR="000552BC" w:rsidTr="000552BC">
        <w:trPr>
          <w:trHeight w:val="187"/>
        </w:trPr>
        <w:tc>
          <w:tcPr>
            <w:tcW w:w="39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55 Požární ochrana a integrovaný záchranný systém</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Běžné</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1 818 514,00</w:t>
            </w:r>
          </w:p>
        </w:tc>
        <w:tc>
          <w:tcPr>
            <w:tcW w:w="1275"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2 331 378,00</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2 308 672,89</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99,03</w:t>
            </w:r>
          </w:p>
        </w:tc>
      </w:tr>
      <w:tr w:rsidR="000552BC" w:rsidTr="000552BC">
        <w:trPr>
          <w:trHeight w:val="187"/>
        </w:trPr>
        <w:tc>
          <w:tcPr>
            <w:tcW w:w="3964" w:type="dxa"/>
            <w:vMerge/>
            <w:tcBorders>
              <w:top w:val="nil"/>
              <w:left w:val="single" w:sz="4" w:space="0" w:color="auto"/>
              <w:bottom w:val="single" w:sz="4" w:space="0" w:color="auto"/>
              <w:right w:val="single" w:sz="4" w:space="0" w:color="auto"/>
            </w:tcBorders>
            <w:vAlign w:val="center"/>
            <w:hideMark/>
          </w:tcPr>
          <w:p w:rsidR="000552BC" w:rsidRDefault="000552BC">
            <w:pPr>
              <w:rPr>
                <w:rFonts w:ascii="Calibri" w:hAnsi="Calibri" w:cs="Calibri"/>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Kapitálové</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6 000 000,00</w:t>
            </w:r>
          </w:p>
        </w:tc>
        <w:tc>
          <w:tcPr>
            <w:tcW w:w="1275"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8 235 536,00</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1 915 906,75</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23,26</w:t>
            </w:r>
          </w:p>
        </w:tc>
      </w:tr>
      <w:tr w:rsidR="000552BC" w:rsidTr="000552BC">
        <w:trPr>
          <w:trHeight w:val="187"/>
        </w:trPr>
        <w:tc>
          <w:tcPr>
            <w:tcW w:w="3964" w:type="dxa"/>
            <w:vMerge/>
            <w:tcBorders>
              <w:top w:val="nil"/>
              <w:left w:val="single" w:sz="4" w:space="0" w:color="auto"/>
              <w:bottom w:val="single" w:sz="4" w:space="0" w:color="auto"/>
              <w:right w:val="single" w:sz="4" w:space="0" w:color="auto"/>
            </w:tcBorders>
            <w:vAlign w:val="center"/>
            <w:hideMark/>
          </w:tcPr>
          <w:p w:rsidR="000552BC" w:rsidRDefault="000552BC">
            <w:pPr>
              <w:rPr>
                <w:rFonts w:ascii="Calibri" w:hAnsi="Calibri" w:cs="Calibri"/>
                <w:color w:val="000000"/>
                <w:sz w:val="16"/>
                <w:szCs w:val="16"/>
              </w:rPr>
            </w:pPr>
          </w:p>
        </w:tc>
        <w:tc>
          <w:tcPr>
            <w:tcW w:w="851" w:type="dxa"/>
            <w:tcBorders>
              <w:top w:val="nil"/>
              <w:left w:val="nil"/>
              <w:bottom w:val="single" w:sz="4" w:space="0" w:color="auto"/>
              <w:right w:val="single" w:sz="4" w:space="0" w:color="auto"/>
            </w:tcBorders>
            <w:shd w:val="clear" w:color="C4D79B" w:fill="C5E0B4"/>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Celkem</w:t>
            </w:r>
          </w:p>
        </w:tc>
        <w:tc>
          <w:tcPr>
            <w:tcW w:w="1276"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7 818 514,00</w:t>
            </w:r>
          </w:p>
        </w:tc>
        <w:tc>
          <w:tcPr>
            <w:tcW w:w="1275"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10 566 914,00</w:t>
            </w:r>
          </w:p>
        </w:tc>
        <w:tc>
          <w:tcPr>
            <w:tcW w:w="1276"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4 224 579,64</w:t>
            </w:r>
          </w:p>
        </w:tc>
        <w:tc>
          <w:tcPr>
            <w:tcW w:w="851"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39,98</w:t>
            </w:r>
          </w:p>
        </w:tc>
      </w:tr>
      <w:tr w:rsidR="000552BC" w:rsidTr="000552BC">
        <w:trPr>
          <w:trHeight w:val="187"/>
        </w:trPr>
        <w:tc>
          <w:tcPr>
            <w:tcW w:w="3964" w:type="dxa"/>
            <w:vMerge w:val="restart"/>
            <w:tcBorders>
              <w:top w:val="nil"/>
              <w:left w:val="single" w:sz="4" w:space="0" w:color="auto"/>
              <w:bottom w:val="single" w:sz="4" w:space="0" w:color="auto"/>
              <w:right w:val="single" w:sz="4" w:space="0" w:color="auto"/>
            </w:tcBorders>
            <w:shd w:val="clear" w:color="auto" w:fill="auto"/>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61 Státní moc, státní správa, územní samospráva a politické strany</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Běžné</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264 060 055,00</w:t>
            </w:r>
          </w:p>
        </w:tc>
        <w:tc>
          <w:tcPr>
            <w:tcW w:w="1275"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293 261 705,36</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272 570 545,45</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92,94</w:t>
            </w:r>
          </w:p>
        </w:tc>
      </w:tr>
      <w:tr w:rsidR="000552BC" w:rsidTr="000552BC">
        <w:trPr>
          <w:trHeight w:val="187"/>
        </w:trPr>
        <w:tc>
          <w:tcPr>
            <w:tcW w:w="3964" w:type="dxa"/>
            <w:vMerge/>
            <w:tcBorders>
              <w:top w:val="nil"/>
              <w:left w:val="single" w:sz="4" w:space="0" w:color="auto"/>
              <w:bottom w:val="single" w:sz="4" w:space="0" w:color="auto"/>
              <w:right w:val="single" w:sz="4" w:space="0" w:color="auto"/>
            </w:tcBorders>
            <w:vAlign w:val="center"/>
            <w:hideMark/>
          </w:tcPr>
          <w:p w:rsidR="000552BC" w:rsidRDefault="000552BC">
            <w:pPr>
              <w:rPr>
                <w:rFonts w:ascii="Calibri" w:hAnsi="Calibri" w:cs="Calibri"/>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Kapitálové</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9 538 050,00</w:t>
            </w:r>
          </w:p>
        </w:tc>
        <w:tc>
          <w:tcPr>
            <w:tcW w:w="1275"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17 567 981,00</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13 202 130,92</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75,15</w:t>
            </w:r>
          </w:p>
        </w:tc>
      </w:tr>
      <w:tr w:rsidR="000552BC" w:rsidTr="000552BC">
        <w:trPr>
          <w:trHeight w:val="187"/>
        </w:trPr>
        <w:tc>
          <w:tcPr>
            <w:tcW w:w="3964" w:type="dxa"/>
            <w:vMerge/>
            <w:tcBorders>
              <w:top w:val="nil"/>
              <w:left w:val="single" w:sz="4" w:space="0" w:color="auto"/>
              <w:bottom w:val="single" w:sz="4" w:space="0" w:color="auto"/>
              <w:right w:val="single" w:sz="4" w:space="0" w:color="auto"/>
            </w:tcBorders>
            <w:vAlign w:val="center"/>
            <w:hideMark/>
          </w:tcPr>
          <w:p w:rsidR="000552BC" w:rsidRDefault="000552BC">
            <w:pPr>
              <w:rPr>
                <w:rFonts w:ascii="Calibri" w:hAnsi="Calibri" w:cs="Calibri"/>
                <w:color w:val="000000"/>
                <w:sz w:val="16"/>
                <w:szCs w:val="16"/>
              </w:rPr>
            </w:pPr>
          </w:p>
        </w:tc>
        <w:tc>
          <w:tcPr>
            <w:tcW w:w="851" w:type="dxa"/>
            <w:tcBorders>
              <w:top w:val="nil"/>
              <w:left w:val="nil"/>
              <w:bottom w:val="single" w:sz="4" w:space="0" w:color="auto"/>
              <w:right w:val="single" w:sz="4" w:space="0" w:color="auto"/>
            </w:tcBorders>
            <w:shd w:val="clear" w:color="C4D79B" w:fill="C5E0B4"/>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Celkem</w:t>
            </w:r>
          </w:p>
        </w:tc>
        <w:tc>
          <w:tcPr>
            <w:tcW w:w="1276"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273 598 105,00</w:t>
            </w:r>
          </w:p>
        </w:tc>
        <w:tc>
          <w:tcPr>
            <w:tcW w:w="1275"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310 829 686,36</w:t>
            </w:r>
          </w:p>
        </w:tc>
        <w:tc>
          <w:tcPr>
            <w:tcW w:w="1276"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285 772 676,37</w:t>
            </w:r>
          </w:p>
        </w:tc>
        <w:tc>
          <w:tcPr>
            <w:tcW w:w="851"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91,94</w:t>
            </w:r>
          </w:p>
        </w:tc>
      </w:tr>
      <w:tr w:rsidR="000552BC" w:rsidTr="000552BC">
        <w:trPr>
          <w:trHeight w:val="187"/>
        </w:trPr>
        <w:tc>
          <w:tcPr>
            <w:tcW w:w="39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62 Jiné veřejné služby a činnosti</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Běžné</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180 083,00</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180 083,00</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100,00</w:t>
            </w:r>
          </w:p>
        </w:tc>
      </w:tr>
      <w:tr w:rsidR="000552BC" w:rsidTr="000552BC">
        <w:trPr>
          <w:trHeight w:val="187"/>
        </w:trPr>
        <w:tc>
          <w:tcPr>
            <w:tcW w:w="3964" w:type="dxa"/>
            <w:vMerge/>
            <w:tcBorders>
              <w:top w:val="nil"/>
              <w:left w:val="single" w:sz="4" w:space="0" w:color="auto"/>
              <w:bottom w:val="single" w:sz="4" w:space="0" w:color="auto"/>
              <w:right w:val="single" w:sz="4" w:space="0" w:color="auto"/>
            </w:tcBorders>
            <w:vAlign w:val="center"/>
            <w:hideMark/>
          </w:tcPr>
          <w:p w:rsidR="000552BC" w:rsidRDefault="000552BC">
            <w:pPr>
              <w:rPr>
                <w:rFonts w:ascii="Calibri" w:hAnsi="Calibri" w:cs="Calibri"/>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Kapitálové</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0,00</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w:t>
            </w:r>
          </w:p>
        </w:tc>
      </w:tr>
      <w:tr w:rsidR="000552BC" w:rsidTr="000552BC">
        <w:trPr>
          <w:trHeight w:val="187"/>
        </w:trPr>
        <w:tc>
          <w:tcPr>
            <w:tcW w:w="3964" w:type="dxa"/>
            <w:vMerge/>
            <w:tcBorders>
              <w:top w:val="nil"/>
              <w:left w:val="single" w:sz="4" w:space="0" w:color="auto"/>
              <w:bottom w:val="single" w:sz="4" w:space="0" w:color="auto"/>
              <w:right w:val="single" w:sz="4" w:space="0" w:color="auto"/>
            </w:tcBorders>
            <w:vAlign w:val="center"/>
            <w:hideMark/>
          </w:tcPr>
          <w:p w:rsidR="000552BC" w:rsidRDefault="000552BC">
            <w:pPr>
              <w:rPr>
                <w:rFonts w:ascii="Calibri" w:hAnsi="Calibri" w:cs="Calibri"/>
                <w:color w:val="000000"/>
                <w:sz w:val="16"/>
                <w:szCs w:val="16"/>
              </w:rPr>
            </w:pPr>
          </w:p>
        </w:tc>
        <w:tc>
          <w:tcPr>
            <w:tcW w:w="851" w:type="dxa"/>
            <w:tcBorders>
              <w:top w:val="nil"/>
              <w:left w:val="nil"/>
              <w:bottom w:val="single" w:sz="4" w:space="0" w:color="auto"/>
              <w:right w:val="single" w:sz="4" w:space="0" w:color="auto"/>
            </w:tcBorders>
            <w:shd w:val="clear" w:color="C4D79B" w:fill="C5E0B4"/>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Celkem</w:t>
            </w:r>
          </w:p>
        </w:tc>
        <w:tc>
          <w:tcPr>
            <w:tcW w:w="1276"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0,00</w:t>
            </w:r>
          </w:p>
        </w:tc>
        <w:tc>
          <w:tcPr>
            <w:tcW w:w="1275"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180 083,00</w:t>
            </w:r>
          </w:p>
        </w:tc>
        <w:tc>
          <w:tcPr>
            <w:tcW w:w="1276"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180 083,00</w:t>
            </w:r>
          </w:p>
        </w:tc>
        <w:tc>
          <w:tcPr>
            <w:tcW w:w="851"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100,00</w:t>
            </w:r>
          </w:p>
        </w:tc>
      </w:tr>
      <w:tr w:rsidR="000552BC" w:rsidTr="000552BC">
        <w:trPr>
          <w:trHeight w:val="187"/>
        </w:trPr>
        <w:tc>
          <w:tcPr>
            <w:tcW w:w="39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63 Finanční operace</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Běžné</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40 787 427,00</w:t>
            </w:r>
          </w:p>
        </w:tc>
        <w:tc>
          <w:tcPr>
            <w:tcW w:w="1275"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40 736 427,00</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33 689 129,86</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82,70</w:t>
            </w:r>
          </w:p>
        </w:tc>
      </w:tr>
      <w:tr w:rsidR="000552BC" w:rsidTr="000552BC">
        <w:trPr>
          <w:trHeight w:val="187"/>
        </w:trPr>
        <w:tc>
          <w:tcPr>
            <w:tcW w:w="3964" w:type="dxa"/>
            <w:vMerge/>
            <w:tcBorders>
              <w:top w:val="nil"/>
              <w:left w:val="single" w:sz="4" w:space="0" w:color="auto"/>
              <w:bottom w:val="single" w:sz="4" w:space="0" w:color="auto"/>
              <w:right w:val="single" w:sz="4" w:space="0" w:color="auto"/>
            </w:tcBorders>
            <w:vAlign w:val="center"/>
            <w:hideMark/>
          </w:tcPr>
          <w:p w:rsidR="000552BC" w:rsidRDefault="000552BC">
            <w:pPr>
              <w:rPr>
                <w:rFonts w:ascii="Calibri" w:hAnsi="Calibri" w:cs="Calibri"/>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Kapitálové</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0,00</w:t>
            </w:r>
          </w:p>
        </w:tc>
        <w:tc>
          <w:tcPr>
            <w:tcW w:w="1275"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0,00</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w:t>
            </w:r>
          </w:p>
        </w:tc>
      </w:tr>
      <w:tr w:rsidR="000552BC" w:rsidTr="000552BC">
        <w:trPr>
          <w:trHeight w:val="187"/>
        </w:trPr>
        <w:tc>
          <w:tcPr>
            <w:tcW w:w="3964" w:type="dxa"/>
            <w:vMerge/>
            <w:tcBorders>
              <w:top w:val="nil"/>
              <w:left w:val="single" w:sz="4" w:space="0" w:color="auto"/>
              <w:bottom w:val="single" w:sz="4" w:space="0" w:color="auto"/>
              <w:right w:val="single" w:sz="4" w:space="0" w:color="auto"/>
            </w:tcBorders>
            <w:vAlign w:val="center"/>
            <w:hideMark/>
          </w:tcPr>
          <w:p w:rsidR="000552BC" w:rsidRDefault="000552BC">
            <w:pPr>
              <w:rPr>
                <w:rFonts w:ascii="Calibri" w:hAnsi="Calibri" w:cs="Calibri"/>
                <w:color w:val="000000"/>
                <w:sz w:val="16"/>
                <w:szCs w:val="16"/>
              </w:rPr>
            </w:pPr>
          </w:p>
        </w:tc>
        <w:tc>
          <w:tcPr>
            <w:tcW w:w="851" w:type="dxa"/>
            <w:tcBorders>
              <w:top w:val="nil"/>
              <w:left w:val="nil"/>
              <w:bottom w:val="single" w:sz="4" w:space="0" w:color="auto"/>
              <w:right w:val="single" w:sz="4" w:space="0" w:color="auto"/>
            </w:tcBorders>
            <w:shd w:val="clear" w:color="C4D79B" w:fill="C5E0B4"/>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Celkem</w:t>
            </w:r>
          </w:p>
        </w:tc>
        <w:tc>
          <w:tcPr>
            <w:tcW w:w="1276"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40 787 427,00</w:t>
            </w:r>
          </w:p>
        </w:tc>
        <w:tc>
          <w:tcPr>
            <w:tcW w:w="1275"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40 736 427,00</w:t>
            </w:r>
          </w:p>
        </w:tc>
        <w:tc>
          <w:tcPr>
            <w:tcW w:w="1276"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33 689 129,86</w:t>
            </w:r>
          </w:p>
        </w:tc>
        <w:tc>
          <w:tcPr>
            <w:tcW w:w="851"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82,70</w:t>
            </w:r>
          </w:p>
        </w:tc>
      </w:tr>
      <w:tr w:rsidR="000552BC" w:rsidTr="000552BC">
        <w:trPr>
          <w:trHeight w:val="187"/>
        </w:trPr>
        <w:tc>
          <w:tcPr>
            <w:tcW w:w="39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64 Ostatní činnosti</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Běžné</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69 449 695,00</w:t>
            </w:r>
          </w:p>
        </w:tc>
        <w:tc>
          <w:tcPr>
            <w:tcW w:w="1275"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13 371 153,40</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5 638 096,95</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42,17</w:t>
            </w:r>
          </w:p>
        </w:tc>
      </w:tr>
      <w:tr w:rsidR="000552BC" w:rsidTr="000552BC">
        <w:trPr>
          <w:trHeight w:val="187"/>
        </w:trPr>
        <w:tc>
          <w:tcPr>
            <w:tcW w:w="3964" w:type="dxa"/>
            <w:vMerge/>
            <w:tcBorders>
              <w:top w:val="nil"/>
              <w:left w:val="single" w:sz="4" w:space="0" w:color="auto"/>
              <w:bottom w:val="single" w:sz="4" w:space="0" w:color="auto"/>
              <w:right w:val="single" w:sz="4" w:space="0" w:color="auto"/>
            </w:tcBorders>
            <w:vAlign w:val="center"/>
            <w:hideMark/>
          </w:tcPr>
          <w:p w:rsidR="000552BC" w:rsidRDefault="000552BC">
            <w:pPr>
              <w:rPr>
                <w:rFonts w:ascii="Calibri" w:hAnsi="Calibri" w:cs="Calibri"/>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Kapitálové</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4 850 000,00</w:t>
            </w:r>
          </w:p>
        </w:tc>
        <w:tc>
          <w:tcPr>
            <w:tcW w:w="1275"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10 233 745,00</w:t>
            </w:r>
          </w:p>
        </w:tc>
        <w:tc>
          <w:tcPr>
            <w:tcW w:w="1276"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8 975 081,00</w:t>
            </w:r>
          </w:p>
        </w:tc>
        <w:tc>
          <w:tcPr>
            <w:tcW w:w="851" w:type="dxa"/>
            <w:tcBorders>
              <w:top w:val="nil"/>
              <w:left w:val="nil"/>
              <w:bottom w:val="single" w:sz="4" w:space="0" w:color="auto"/>
              <w:right w:val="single" w:sz="4" w:space="0" w:color="auto"/>
            </w:tcBorders>
            <w:shd w:val="clear" w:color="auto" w:fill="auto"/>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87,70</w:t>
            </w:r>
          </w:p>
        </w:tc>
      </w:tr>
      <w:tr w:rsidR="000552BC" w:rsidTr="000552BC">
        <w:trPr>
          <w:trHeight w:val="187"/>
        </w:trPr>
        <w:tc>
          <w:tcPr>
            <w:tcW w:w="3964" w:type="dxa"/>
            <w:vMerge/>
            <w:tcBorders>
              <w:top w:val="nil"/>
              <w:left w:val="single" w:sz="4" w:space="0" w:color="auto"/>
              <w:bottom w:val="single" w:sz="4" w:space="0" w:color="auto"/>
              <w:right w:val="single" w:sz="4" w:space="0" w:color="auto"/>
            </w:tcBorders>
            <w:vAlign w:val="center"/>
            <w:hideMark/>
          </w:tcPr>
          <w:p w:rsidR="000552BC" w:rsidRDefault="000552BC">
            <w:pPr>
              <w:rPr>
                <w:rFonts w:ascii="Calibri" w:hAnsi="Calibri" w:cs="Calibri"/>
                <w:color w:val="000000"/>
                <w:sz w:val="16"/>
                <w:szCs w:val="16"/>
              </w:rPr>
            </w:pPr>
          </w:p>
        </w:tc>
        <w:tc>
          <w:tcPr>
            <w:tcW w:w="851" w:type="dxa"/>
            <w:tcBorders>
              <w:top w:val="nil"/>
              <w:left w:val="nil"/>
              <w:bottom w:val="single" w:sz="4" w:space="0" w:color="auto"/>
              <w:right w:val="single" w:sz="4" w:space="0" w:color="auto"/>
            </w:tcBorders>
            <w:shd w:val="clear" w:color="C4D79B" w:fill="C5E0B4"/>
            <w:noWrap/>
            <w:vAlign w:val="center"/>
            <w:hideMark/>
          </w:tcPr>
          <w:p w:rsidR="000552BC" w:rsidRDefault="000552BC">
            <w:pPr>
              <w:rPr>
                <w:rFonts w:ascii="Calibri" w:hAnsi="Calibri" w:cs="Calibri"/>
                <w:color w:val="000000"/>
                <w:sz w:val="16"/>
                <w:szCs w:val="16"/>
              </w:rPr>
            </w:pPr>
            <w:r>
              <w:rPr>
                <w:rFonts w:ascii="Calibri" w:hAnsi="Calibri" w:cs="Calibri"/>
                <w:color w:val="000000"/>
                <w:sz w:val="16"/>
                <w:szCs w:val="16"/>
              </w:rPr>
              <w:t>Celkem</w:t>
            </w:r>
          </w:p>
        </w:tc>
        <w:tc>
          <w:tcPr>
            <w:tcW w:w="1276"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74 299 695,00</w:t>
            </w:r>
          </w:p>
        </w:tc>
        <w:tc>
          <w:tcPr>
            <w:tcW w:w="1275"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23 604 898,40</w:t>
            </w:r>
          </w:p>
        </w:tc>
        <w:tc>
          <w:tcPr>
            <w:tcW w:w="1276"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14 613 177,95</w:t>
            </w:r>
          </w:p>
        </w:tc>
        <w:tc>
          <w:tcPr>
            <w:tcW w:w="851" w:type="dxa"/>
            <w:tcBorders>
              <w:top w:val="nil"/>
              <w:left w:val="nil"/>
              <w:bottom w:val="single" w:sz="4" w:space="0" w:color="auto"/>
              <w:right w:val="single" w:sz="4" w:space="0" w:color="auto"/>
            </w:tcBorders>
            <w:shd w:val="clear" w:color="C4D79B" w:fill="C5E0B4"/>
            <w:noWrap/>
            <w:vAlign w:val="center"/>
            <w:hideMark/>
          </w:tcPr>
          <w:p w:rsidR="000552BC" w:rsidRDefault="000552BC">
            <w:pPr>
              <w:jc w:val="right"/>
              <w:rPr>
                <w:rFonts w:ascii="Calibri" w:hAnsi="Calibri" w:cs="Calibri"/>
                <w:color w:val="000000"/>
                <w:sz w:val="16"/>
                <w:szCs w:val="16"/>
              </w:rPr>
            </w:pPr>
            <w:r>
              <w:rPr>
                <w:rFonts w:ascii="Calibri" w:hAnsi="Calibri" w:cs="Calibri"/>
                <w:color w:val="000000"/>
                <w:sz w:val="16"/>
                <w:szCs w:val="16"/>
              </w:rPr>
              <w:t>61,91</w:t>
            </w:r>
          </w:p>
        </w:tc>
      </w:tr>
      <w:tr w:rsidR="000552BC" w:rsidTr="000552BC">
        <w:trPr>
          <w:trHeight w:val="187"/>
        </w:trPr>
        <w:tc>
          <w:tcPr>
            <w:tcW w:w="4815" w:type="dxa"/>
            <w:gridSpan w:val="2"/>
            <w:tcBorders>
              <w:top w:val="single" w:sz="4" w:space="0" w:color="auto"/>
              <w:left w:val="single" w:sz="4" w:space="0" w:color="auto"/>
              <w:bottom w:val="single" w:sz="4" w:space="0" w:color="auto"/>
              <w:right w:val="single" w:sz="4" w:space="0" w:color="auto"/>
            </w:tcBorders>
            <w:shd w:val="clear" w:color="DBDBDB" w:fill="D9D9D9"/>
            <w:noWrap/>
            <w:vAlign w:val="center"/>
            <w:hideMark/>
          </w:tcPr>
          <w:p w:rsidR="000552BC" w:rsidRDefault="000552BC">
            <w:pPr>
              <w:rPr>
                <w:rFonts w:ascii="Calibri" w:hAnsi="Calibri" w:cs="Calibri"/>
                <w:b/>
                <w:bCs/>
                <w:color w:val="000000"/>
                <w:sz w:val="16"/>
                <w:szCs w:val="16"/>
              </w:rPr>
            </w:pPr>
            <w:r>
              <w:rPr>
                <w:rFonts w:ascii="Calibri" w:hAnsi="Calibri" w:cs="Calibri"/>
                <w:b/>
                <w:bCs/>
                <w:color w:val="000000"/>
                <w:sz w:val="16"/>
                <w:szCs w:val="16"/>
              </w:rPr>
              <w:t>Běžné výdaje celkem</w:t>
            </w:r>
          </w:p>
        </w:tc>
        <w:tc>
          <w:tcPr>
            <w:tcW w:w="1276" w:type="dxa"/>
            <w:tcBorders>
              <w:top w:val="nil"/>
              <w:left w:val="nil"/>
              <w:bottom w:val="single" w:sz="4" w:space="0" w:color="auto"/>
              <w:right w:val="single" w:sz="4" w:space="0" w:color="auto"/>
            </w:tcBorders>
            <w:shd w:val="clear" w:color="DBDBDB" w:fill="D9D9D9"/>
            <w:noWrap/>
            <w:vAlign w:val="center"/>
            <w:hideMark/>
          </w:tcPr>
          <w:p w:rsidR="000552BC" w:rsidRDefault="000552BC">
            <w:pPr>
              <w:jc w:val="right"/>
              <w:rPr>
                <w:rFonts w:ascii="Calibri" w:hAnsi="Calibri" w:cs="Calibri"/>
                <w:b/>
                <w:bCs/>
                <w:color w:val="000000"/>
                <w:sz w:val="16"/>
                <w:szCs w:val="16"/>
              </w:rPr>
            </w:pPr>
            <w:r>
              <w:rPr>
                <w:rFonts w:ascii="Calibri" w:hAnsi="Calibri" w:cs="Calibri"/>
                <w:b/>
                <w:bCs/>
                <w:color w:val="000000"/>
                <w:sz w:val="16"/>
                <w:szCs w:val="16"/>
              </w:rPr>
              <w:t>865 485 480,00</w:t>
            </w:r>
          </w:p>
        </w:tc>
        <w:tc>
          <w:tcPr>
            <w:tcW w:w="1275" w:type="dxa"/>
            <w:tcBorders>
              <w:top w:val="nil"/>
              <w:left w:val="nil"/>
              <w:bottom w:val="single" w:sz="4" w:space="0" w:color="auto"/>
              <w:right w:val="single" w:sz="4" w:space="0" w:color="auto"/>
            </w:tcBorders>
            <w:shd w:val="clear" w:color="DBDBDB" w:fill="D9D9D9"/>
            <w:noWrap/>
            <w:vAlign w:val="center"/>
            <w:hideMark/>
          </w:tcPr>
          <w:p w:rsidR="000552BC" w:rsidRDefault="000552BC">
            <w:pPr>
              <w:jc w:val="right"/>
              <w:rPr>
                <w:rFonts w:ascii="Calibri" w:hAnsi="Calibri" w:cs="Calibri"/>
                <w:b/>
                <w:bCs/>
                <w:color w:val="000000"/>
                <w:sz w:val="16"/>
                <w:szCs w:val="16"/>
              </w:rPr>
            </w:pPr>
            <w:r>
              <w:rPr>
                <w:rFonts w:ascii="Calibri" w:hAnsi="Calibri" w:cs="Calibri"/>
                <w:b/>
                <w:bCs/>
                <w:color w:val="000000"/>
                <w:sz w:val="16"/>
                <w:szCs w:val="16"/>
              </w:rPr>
              <w:t>973 226 593,05</w:t>
            </w:r>
          </w:p>
        </w:tc>
        <w:tc>
          <w:tcPr>
            <w:tcW w:w="1276" w:type="dxa"/>
            <w:tcBorders>
              <w:top w:val="nil"/>
              <w:left w:val="nil"/>
              <w:bottom w:val="single" w:sz="4" w:space="0" w:color="auto"/>
              <w:right w:val="single" w:sz="4" w:space="0" w:color="auto"/>
            </w:tcBorders>
            <w:shd w:val="clear" w:color="DBDBDB" w:fill="D9D9D9"/>
            <w:noWrap/>
            <w:vAlign w:val="center"/>
            <w:hideMark/>
          </w:tcPr>
          <w:p w:rsidR="000552BC" w:rsidRDefault="000552BC">
            <w:pPr>
              <w:jc w:val="right"/>
              <w:rPr>
                <w:rFonts w:ascii="Calibri" w:hAnsi="Calibri" w:cs="Calibri"/>
                <w:b/>
                <w:bCs/>
                <w:color w:val="000000"/>
                <w:sz w:val="16"/>
                <w:szCs w:val="16"/>
              </w:rPr>
            </w:pPr>
            <w:r>
              <w:rPr>
                <w:rFonts w:ascii="Calibri" w:hAnsi="Calibri" w:cs="Calibri"/>
                <w:b/>
                <w:bCs/>
                <w:color w:val="000000"/>
                <w:sz w:val="16"/>
                <w:szCs w:val="16"/>
              </w:rPr>
              <w:t>916 738 437,70</w:t>
            </w:r>
          </w:p>
        </w:tc>
        <w:tc>
          <w:tcPr>
            <w:tcW w:w="851" w:type="dxa"/>
            <w:tcBorders>
              <w:top w:val="nil"/>
              <w:left w:val="nil"/>
              <w:bottom w:val="single" w:sz="4" w:space="0" w:color="auto"/>
              <w:right w:val="single" w:sz="4" w:space="0" w:color="auto"/>
            </w:tcBorders>
            <w:shd w:val="clear" w:color="DBDBDB" w:fill="D9D9D9"/>
            <w:noWrap/>
            <w:vAlign w:val="center"/>
            <w:hideMark/>
          </w:tcPr>
          <w:p w:rsidR="000552BC" w:rsidRDefault="000552BC">
            <w:pPr>
              <w:jc w:val="right"/>
              <w:rPr>
                <w:rFonts w:ascii="Calibri" w:hAnsi="Calibri" w:cs="Calibri"/>
                <w:b/>
                <w:bCs/>
                <w:color w:val="000000"/>
                <w:sz w:val="16"/>
                <w:szCs w:val="16"/>
              </w:rPr>
            </w:pPr>
            <w:r>
              <w:rPr>
                <w:rFonts w:ascii="Calibri" w:hAnsi="Calibri" w:cs="Calibri"/>
                <w:b/>
                <w:bCs/>
                <w:color w:val="000000"/>
                <w:sz w:val="16"/>
                <w:szCs w:val="16"/>
              </w:rPr>
              <w:t>94,20</w:t>
            </w:r>
          </w:p>
        </w:tc>
      </w:tr>
      <w:tr w:rsidR="000552BC" w:rsidTr="000552BC">
        <w:trPr>
          <w:trHeight w:val="187"/>
        </w:trPr>
        <w:tc>
          <w:tcPr>
            <w:tcW w:w="4815" w:type="dxa"/>
            <w:gridSpan w:val="2"/>
            <w:tcBorders>
              <w:top w:val="single" w:sz="4" w:space="0" w:color="auto"/>
              <w:left w:val="single" w:sz="4" w:space="0" w:color="auto"/>
              <w:bottom w:val="single" w:sz="4" w:space="0" w:color="auto"/>
              <w:right w:val="single" w:sz="4" w:space="0" w:color="auto"/>
            </w:tcBorders>
            <w:shd w:val="clear" w:color="DBDBDB" w:fill="D9D9D9"/>
            <w:noWrap/>
            <w:vAlign w:val="center"/>
            <w:hideMark/>
          </w:tcPr>
          <w:p w:rsidR="000552BC" w:rsidRDefault="000552BC">
            <w:pPr>
              <w:rPr>
                <w:rFonts w:ascii="Calibri" w:hAnsi="Calibri" w:cs="Calibri"/>
                <w:b/>
                <w:bCs/>
                <w:color w:val="000000"/>
                <w:sz w:val="16"/>
                <w:szCs w:val="16"/>
              </w:rPr>
            </w:pPr>
            <w:r>
              <w:rPr>
                <w:rFonts w:ascii="Calibri" w:hAnsi="Calibri" w:cs="Calibri"/>
                <w:b/>
                <w:bCs/>
                <w:color w:val="000000"/>
                <w:sz w:val="16"/>
                <w:szCs w:val="16"/>
              </w:rPr>
              <w:t>Kapitálové výdaje celkem</w:t>
            </w:r>
          </w:p>
        </w:tc>
        <w:tc>
          <w:tcPr>
            <w:tcW w:w="1276" w:type="dxa"/>
            <w:tcBorders>
              <w:top w:val="nil"/>
              <w:left w:val="nil"/>
              <w:bottom w:val="single" w:sz="4" w:space="0" w:color="auto"/>
              <w:right w:val="single" w:sz="4" w:space="0" w:color="auto"/>
            </w:tcBorders>
            <w:shd w:val="clear" w:color="DBDBDB" w:fill="D9D9D9"/>
            <w:noWrap/>
            <w:vAlign w:val="center"/>
            <w:hideMark/>
          </w:tcPr>
          <w:p w:rsidR="000552BC" w:rsidRDefault="000552BC">
            <w:pPr>
              <w:jc w:val="right"/>
              <w:rPr>
                <w:rFonts w:ascii="Calibri" w:hAnsi="Calibri" w:cs="Calibri"/>
                <w:b/>
                <w:bCs/>
                <w:color w:val="000000"/>
                <w:sz w:val="16"/>
                <w:szCs w:val="16"/>
              </w:rPr>
            </w:pPr>
            <w:r>
              <w:rPr>
                <w:rFonts w:ascii="Calibri" w:hAnsi="Calibri" w:cs="Calibri"/>
                <w:b/>
                <w:bCs/>
                <w:color w:val="000000"/>
                <w:sz w:val="16"/>
                <w:szCs w:val="16"/>
              </w:rPr>
              <w:t>289 045 550,00</w:t>
            </w:r>
          </w:p>
        </w:tc>
        <w:tc>
          <w:tcPr>
            <w:tcW w:w="1275" w:type="dxa"/>
            <w:tcBorders>
              <w:top w:val="nil"/>
              <w:left w:val="nil"/>
              <w:bottom w:val="single" w:sz="4" w:space="0" w:color="auto"/>
              <w:right w:val="single" w:sz="4" w:space="0" w:color="auto"/>
            </w:tcBorders>
            <w:shd w:val="clear" w:color="DBDBDB" w:fill="D9D9D9"/>
            <w:noWrap/>
            <w:vAlign w:val="center"/>
            <w:hideMark/>
          </w:tcPr>
          <w:p w:rsidR="000552BC" w:rsidRDefault="000552BC">
            <w:pPr>
              <w:jc w:val="right"/>
              <w:rPr>
                <w:rFonts w:ascii="Calibri" w:hAnsi="Calibri" w:cs="Calibri"/>
                <w:b/>
                <w:bCs/>
                <w:color w:val="000000"/>
                <w:sz w:val="16"/>
                <w:szCs w:val="16"/>
              </w:rPr>
            </w:pPr>
            <w:r>
              <w:rPr>
                <w:rFonts w:ascii="Calibri" w:hAnsi="Calibri" w:cs="Calibri"/>
                <w:b/>
                <w:bCs/>
                <w:color w:val="000000"/>
                <w:sz w:val="16"/>
                <w:szCs w:val="16"/>
              </w:rPr>
              <w:t>282 507 047,30</w:t>
            </w:r>
          </w:p>
        </w:tc>
        <w:tc>
          <w:tcPr>
            <w:tcW w:w="1276" w:type="dxa"/>
            <w:tcBorders>
              <w:top w:val="nil"/>
              <w:left w:val="nil"/>
              <w:bottom w:val="single" w:sz="4" w:space="0" w:color="auto"/>
              <w:right w:val="single" w:sz="4" w:space="0" w:color="auto"/>
            </w:tcBorders>
            <w:shd w:val="clear" w:color="DBDBDB" w:fill="D9D9D9"/>
            <w:noWrap/>
            <w:vAlign w:val="center"/>
            <w:hideMark/>
          </w:tcPr>
          <w:p w:rsidR="000552BC" w:rsidRDefault="000552BC">
            <w:pPr>
              <w:jc w:val="right"/>
              <w:rPr>
                <w:rFonts w:ascii="Calibri" w:hAnsi="Calibri" w:cs="Calibri"/>
                <w:b/>
                <w:bCs/>
                <w:color w:val="000000"/>
                <w:sz w:val="16"/>
                <w:szCs w:val="16"/>
              </w:rPr>
            </w:pPr>
            <w:r>
              <w:rPr>
                <w:rFonts w:ascii="Calibri" w:hAnsi="Calibri" w:cs="Calibri"/>
                <w:b/>
                <w:bCs/>
                <w:color w:val="000000"/>
                <w:sz w:val="16"/>
                <w:szCs w:val="16"/>
              </w:rPr>
              <w:t>237 799 832,15</w:t>
            </w:r>
          </w:p>
        </w:tc>
        <w:tc>
          <w:tcPr>
            <w:tcW w:w="851" w:type="dxa"/>
            <w:tcBorders>
              <w:top w:val="nil"/>
              <w:left w:val="nil"/>
              <w:bottom w:val="single" w:sz="4" w:space="0" w:color="auto"/>
              <w:right w:val="single" w:sz="4" w:space="0" w:color="auto"/>
            </w:tcBorders>
            <w:shd w:val="clear" w:color="DBDBDB" w:fill="D9D9D9"/>
            <w:noWrap/>
            <w:vAlign w:val="center"/>
            <w:hideMark/>
          </w:tcPr>
          <w:p w:rsidR="000552BC" w:rsidRDefault="000552BC">
            <w:pPr>
              <w:jc w:val="right"/>
              <w:rPr>
                <w:rFonts w:ascii="Calibri" w:hAnsi="Calibri" w:cs="Calibri"/>
                <w:b/>
                <w:bCs/>
                <w:color w:val="000000"/>
                <w:sz w:val="16"/>
                <w:szCs w:val="16"/>
              </w:rPr>
            </w:pPr>
            <w:r>
              <w:rPr>
                <w:rFonts w:ascii="Calibri" w:hAnsi="Calibri" w:cs="Calibri"/>
                <w:b/>
                <w:bCs/>
                <w:color w:val="000000"/>
                <w:sz w:val="16"/>
                <w:szCs w:val="16"/>
              </w:rPr>
              <w:t>84,17</w:t>
            </w:r>
          </w:p>
        </w:tc>
      </w:tr>
      <w:tr w:rsidR="000552BC" w:rsidTr="000552BC">
        <w:trPr>
          <w:trHeight w:val="187"/>
        </w:trPr>
        <w:tc>
          <w:tcPr>
            <w:tcW w:w="4815" w:type="dxa"/>
            <w:gridSpan w:val="2"/>
            <w:tcBorders>
              <w:top w:val="single" w:sz="4" w:space="0" w:color="auto"/>
              <w:left w:val="single" w:sz="4" w:space="0" w:color="auto"/>
              <w:bottom w:val="single" w:sz="4" w:space="0" w:color="auto"/>
              <w:right w:val="single" w:sz="4" w:space="0" w:color="auto"/>
            </w:tcBorders>
            <w:shd w:val="clear" w:color="D6A100" w:fill="FFC000"/>
            <w:noWrap/>
            <w:vAlign w:val="center"/>
            <w:hideMark/>
          </w:tcPr>
          <w:p w:rsidR="000552BC" w:rsidRDefault="000552BC">
            <w:pPr>
              <w:rPr>
                <w:rFonts w:ascii="Calibri" w:hAnsi="Calibri" w:cs="Calibri"/>
                <w:b/>
                <w:bCs/>
                <w:color w:val="000000"/>
                <w:sz w:val="16"/>
                <w:szCs w:val="16"/>
              </w:rPr>
            </w:pPr>
            <w:r>
              <w:rPr>
                <w:rFonts w:ascii="Calibri" w:hAnsi="Calibri" w:cs="Calibri"/>
                <w:b/>
                <w:bCs/>
                <w:color w:val="000000"/>
                <w:sz w:val="16"/>
                <w:szCs w:val="16"/>
              </w:rPr>
              <w:t>Výdaje celkem</w:t>
            </w:r>
          </w:p>
        </w:tc>
        <w:tc>
          <w:tcPr>
            <w:tcW w:w="1276" w:type="dxa"/>
            <w:tcBorders>
              <w:top w:val="nil"/>
              <w:left w:val="nil"/>
              <w:bottom w:val="single" w:sz="4" w:space="0" w:color="auto"/>
              <w:right w:val="single" w:sz="4" w:space="0" w:color="auto"/>
            </w:tcBorders>
            <w:shd w:val="clear" w:color="D6A100" w:fill="FFC000"/>
            <w:noWrap/>
            <w:vAlign w:val="center"/>
            <w:hideMark/>
          </w:tcPr>
          <w:p w:rsidR="000552BC" w:rsidRDefault="000552BC">
            <w:pPr>
              <w:jc w:val="right"/>
              <w:rPr>
                <w:rFonts w:ascii="Calibri" w:hAnsi="Calibri" w:cs="Calibri"/>
                <w:b/>
                <w:bCs/>
                <w:color w:val="000000"/>
                <w:sz w:val="16"/>
                <w:szCs w:val="16"/>
              </w:rPr>
            </w:pPr>
            <w:r>
              <w:rPr>
                <w:rFonts w:ascii="Calibri" w:hAnsi="Calibri" w:cs="Calibri"/>
                <w:b/>
                <w:bCs/>
                <w:color w:val="000000"/>
                <w:sz w:val="16"/>
                <w:szCs w:val="16"/>
              </w:rPr>
              <w:t>1 154 531 030,00</w:t>
            </w:r>
          </w:p>
        </w:tc>
        <w:tc>
          <w:tcPr>
            <w:tcW w:w="1275" w:type="dxa"/>
            <w:tcBorders>
              <w:top w:val="nil"/>
              <w:left w:val="nil"/>
              <w:bottom w:val="single" w:sz="4" w:space="0" w:color="auto"/>
              <w:right w:val="single" w:sz="4" w:space="0" w:color="auto"/>
            </w:tcBorders>
            <w:shd w:val="clear" w:color="D6A100" w:fill="FFC000"/>
            <w:noWrap/>
            <w:vAlign w:val="center"/>
            <w:hideMark/>
          </w:tcPr>
          <w:p w:rsidR="000552BC" w:rsidRDefault="000552BC">
            <w:pPr>
              <w:jc w:val="right"/>
              <w:rPr>
                <w:rFonts w:ascii="Calibri" w:hAnsi="Calibri" w:cs="Calibri"/>
                <w:b/>
                <w:bCs/>
                <w:color w:val="000000"/>
                <w:sz w:val="16"/>
                <w:szCs w:val="16"/>
              </w:rPr>
            </w:pPr>
            <w:r>
              <w:rPr>
                <w:rFonts w:ascii="Calibri" w:hAnsi="Calibri" w:cs="Calibri"/>
                <w:b/>
                <w:bCs/>
                <w:color w:val="000000"/>
                <w:sz w:val="16"/>
                <w:szCs w:val="16"/>
              </w:rPr>
              <w:t>1 255 733 640,35</w:t>
            </w:r>
          </w:p>
        </w:tc>
        <w:tc>
          <w:tcPr>
            <w:tcW w:w="1276" w:type="dxa"/>
            <w:tcBorders>
              <w:top w:val="nil"/>
              <w:left w:val="nil"/>
              <w:bottom w:val="single" w:sz="4" w:space="0" w:color="auto"/>
              <w:right w:val="single" w:sz="4" w:space="0" w:color="auto"/>
            </w:tcBorders>
            <w:shd w:val="clear" w:color="D6A100" w:fill="FFC000"/>
            <w:noWrap/>
            <w:vAlign w:val="center"/>
            <w:hideMark/>
          </w:tcPr>
          <w:p w:rsidR="000552BC" w:rsidRDefault="000552BC">
            <w:pPr>
              <w:jc w:val="right"/>
              <w:rPr>
                <w:rFonts w:ascii="Calibri" w:hAnsi="Calibri" w:cs="Calibri"/>
                <w:b/>
                <w:bCs/>
                <w:color w:val="000000"/>
                <w:sz w:val="16"/>
                <w:szCs w:val="16"/>
              </w:rPr>
            </w:pPr>
            <w:r>
              <w:rPr>
                <w:rFonts w:ascii="Calibri" w:hAnsi="Calibri" w:cs="Calibri"/>
                <w:b/>
                <w:bCs/>
                <w:color w:val="000000"/>
                <w:sz w:val="16"/>
                <w:szCs w:val="16"/>
              </w:rPr>
              <w:t>1 154 538 269,85</w:t>
            </w:r>
          </w:p>
        </w:tc>
        <w:tc>
          <w:tcPr>
            <w:tcW w:w="851" w:type="dxa"/>
            <w:tcBorders>
              <w:top w:val="nil"/>
              <w:left w:val="nil"/>
              <w:bottom w:val="single" w:sz="4" w:space="0" w:color="auto"/>
              <w:right w:val="single" w:sz="4" w:space="0" w:color="auto"/>
            </w:tcBorders>
            <w:shd w:val="clear" w:color="D6A100" w:fill="FFC000"/>
            <w:noWrap/>
            <w:vAlign w:val="center"/>
            <w:hideMark/>
          </w:tcPr>
          <w:p w:rsidR="000552BC" w:rsidRDefault="000552BC">
            <w:pPr>
              <w:jc w:val="right"/>
              <w:rPr>
                <w:rFonts w:ascii="Calibri" w:hAnsi="Calibri" w:cs="Calibri"/>
                <w:b/>
                <w:bCs/>
                <w:color w:val="000000"/>
                <w:sz w:val="16"/>
                <w:szCs w:val="16"/>
              </w:rPr>
            </w:pPr>
            <w:r>
              <w:rPr>
                <w:rFonts w:ascii="Calibri" w:hAnsi="Calibri" w:cs="Calibri"/>
                <w:b/>
                <w:bCs/>
                <w:color w:val="000000"/>
                <w:sz w:val="16"/>
                <w:szCs w:val="16"/>
              </w:rPr>
              <w:t>91,94</w:t>
            </w:r>
          </w:p>
        </w:tc>
      </w:tr>
    </w:tbl>
    <w:p w:rsidR="00C928BD" w:rsidRDefault="009E663A" w:rsidP="0024764D">
      <w:pPr>
        <w:pStyle w:val="Nadpis3"/>
        <w:rPr>
          <w:b w:val="0"/>
        </w:rPr>
      </w:pPr>
      <w:bookmarkStart w:id="42" w:name="_Toc39129527"/>
      <w:r w:rsidRPr="00985384">
        <w:rPr>
          <w:b w:val="0"/>
        </w:rPr>
        <w:lastRenderedPageBreak/>
        <w:t xml:space="preserve">Vyhodnocení </w:t>
      </w:r>
      <w:r w:rsidR="00C928BD" w:rsidRPr="00985384">
        <w:rPr>
          <w:b w:val="0"/>
        </w:rPr>
        <w:t>běžných</w:t>
      </w:r>
      <w:r w:rsidR="004D4B5B" w:rsidRPr="00985384">
        <w:rPr>
          <w:b w:val="0"/>
        </w:rPr>
        <w:t xml:space="preserve"> </w:t>
      </w:r>
      <w:r w:rsidR="002D539B" w:rsidRPr="00985384">
        <w:rPr>
          <w:b w:val="0"/>
        </w:rPr>
        <w:t>výdajů za odvětvové třídění (para</w:t>
      </w:r>
      <w:r w:rsidR="007A2723" w:rsidRPr="00985384">
        <w:rPr>
          <w:b w:val="0"/>
        </w:rPr>
        <w:t>grafy) – rok 202</w:t>
      </w:r>
      <w:r w:rsidR="001C2410">
        <w:rPr>
          <w:b w:val="0"/>
        </w:rPr>
        <w:t>2</w:t>
      </w:r>
      <w:r w:rsidR="00E03476" w:rsidRPr="00985384">
        <w:rPr>
          <w:b w:val="0"/>
        </w:rPr>
        <w:t xml:space="preserve"> (v Kč)</w:t>
      </w:r>
      <w:r w:rsidR="0074472C" w:rsidRPr="00985384">
        <w:rPr>
          <w:b w:val="0"/>
        </w:rPr>
        <w:t xml:space="preserve"> – PO KONSOLIDACI</w:t>
      </w:r>
      <w:bookmarkEnd w:id="42"/>
    </w:p>
    <w:tbl>
      <w:tblPr>
        <w:tblW w:w="9493" w:type="dxa"/>
        <w:tblCellMar>
          <w:left w:w="70" w:type="dxa"/>
          <w:right w:w="70" w:type="dxa"/>
        </w:tblCellMar>
        <w:tblLook w:val="04A0" w:firstRow="1" w:lastRow="0" w:firstColumn="1" w:lastColumn="0" w:noHBand="0" w:noVBand="1"/>
      </w:tblPr>
      <w:tblGrid>
        <w:gridCol w:w="657"/>
        <w:gridCol w:w="4158"/>
        <w:gridCol w:w="1276"/>
        <w:gridCol w:w="1275"/>
        <w:gridCol w:w="1276"/>
        <w:gridCol w:w="851"/>
      </w:tblGrid>
      <w:tr w:rsidR="001C2410" w:rsidTr="001C2410">
        <w:trPr>
          <w:trHeight w:val="272"/>
          <w:tblHeader/>
        </w:trPr>
        <w:tc>
          <w:tcPr>
            <w:tcW w:w="657" w:type="dxa"/>
            <w:vMerge w:val="restart"/>
            <w:tcBorders>
              <w:top w:val="single" w:sz="4" w:space="0" w:color="auto"/>
              <w:left w:val="single" w:sz="4" w:space="0" w:color="auto"/>
              <w:bottom w:val="single" w:sz="4" w:space="0" w:color="auto"/>
              <w:right w:val="single" w:sz="4" w:space="0" w:color="auto"/>
            </w:tcBorders>
            <w:shd w:val="clear" w:color="D6A100" w:fill="FFC000"/>
            <w:noWrap/>
            <w:vAlign w:val="center"/>
            <w:hideMark/>
          </w:tcPr>
          <w:p w:rsidR="001C2410" w:rsidRDefault="001C2410">
            <w:pPr>
              <w:jc w:val="center"/>
              <w:rPr>
                <w:rFonts w:ascii="Calibri" w:hAnsi="Calibri" w:cs="Calibri"/>
                <w:color w:val="000000"/>
                <w:sz w:val="17"/>
                <w:szCs w:val="17"/>
              </w:rPr>
            </w:pPr>
            <w:r>
              <w:rPr>
                <w:rFonts w:ascii="Calibri" w:hAnsi="Calibri" w:cs="Calibri"/>
                <w:color w:val="000000"/>
                <w:sz w:val="17"/>
                <w:szCs w:val="17"/>
              </w:rPr>
              <w:t>Par.</w:t>
            </w:r>
          </w:p>
        </w:tc>
        <w:tc>
          <w:tcPr>
            <w:tcW w:w="4158" w:type="dxa"/>
            <w:vMerge w:val="restart"/>
            <w:tcBorders>
              <w:top w:val="single" w:sz="4" w:space="0" w:color="auto"/>
              <w:left w:val="single" w:sz="4" w:space="0" w:color="auto"/>
              <w:bottom w:val="single" w:sz="4" w:space="0" w:color="auto"/>
              <w:right w:val="single" w:sz="4" w:space="0" w:color="auto"/>
            </w:tcBorders>
            <w:shd w:val="clear" w:color="D6A100" w:fill="FFC000"/>
            <w:noWrap/>
            <w:vAlign w:val="center"/>
            <w:hideMark/>
          </w:tcPr>
          <w:p w:rsidR="001C2410" w:rsidRDefault="001C2410">
            <w:pPr>
              <w:jc w:val="center"/>
              <w:rPr>
                <w:rFonts w:ascii="Calibri" w:hAnsi="Calibri" w:cs="Calibri"/>
                <w:color w:val="000000"/>
                <w:sz w:val="17"/>
                <w:szCs w:val="17"/>
              </w:rPr>
            </w:pPr>
            <w:r>
              <w:rPr>
                <w:rFonts w:ascii="Calibri" w:hAnsi="Calibri" w:cs="Calibri"/>
                <w:color w:val="000000"/>
                <w:sz w:val="17"/>
                <w:szCs w:val="17"/>
              </w:rPr>
              <w:t>Název paragrafu</w:t>
            </w:r>
          </w:p>
        </w:tc>
        <w:tc>
          <w:tcPr>
            <w:tcW w:w="2551" w:type="dxa"/>
            <w:gridSpan w:val="2"/>
            <w:tcBorders>
              <w:top w:val="single" w:sz="4" w:space="0" w:color="auto"/>
              <w:left w:val="nil"/>
              <w:bottom w:val="single" w:sz="4" w:space="0" w:color="auto"/>
              <w:right w:val="single" w:sz="4" w:space="0" w:color="auto"/>
            </w:tcBorders>
            <w:shd w:val="clear" w:color="D6A100" w:fill="FFC000"/>
            <w:noWrap/>
            <w:vAlign w:val="center"/>
            <w:hideMark/>
          </w:tcPr>
          <w:p w:rsidR="001C2410" w:rsidRDefault="001C2410">
            <w:pPr>
              <w:jc w:val="center"/>
              <w:rPr>
                <w:rFonts w:ascii="Calibri" w:hAnsi="Calibri" w:cs="Calibri"/>
                <w:color w:val="000000"/>
                <w:sz w:val="17"/>
                <w:szCs w:val="17"/>
              </w:rPr>
            </w:pPr>
            <w:r>
              <w:rPr>
                <w:rFonts w:ascii="Calibri" w:hAnsi="Calibri" w:cs="Calibri"/>
                <w:color w:val="000000"/>
                <w:sz w:val="17"/>
                <w:szCs w:val="17"/>
              </w:rPr>
              <w:t>Rozpočet</w:t>
            </w:r>
          </w:p>
        </w:tc>
        <w:tc>
          <w:tcPr>
            <w:tcW w:w="1276" w:type="dxa"/>
            <w:vMerge w:val="restart"/>
            <w:tcBorders>
              <w:top w:val="single" w:sz="4" w:space="0" w:color="auto"/>
              <w:left w:val="single" w:sz="4" w:space="0" w:color="auto"/>
              <w:bottom w:val="single" w:sz="4" w:space="0" w:color="auto"/>
              <w:right w:val="single" w:sz="4" w:space="0" w:color="auto"/>
            </w:tcBorders>
            <w:shd w:val="clear" w:color="D6A100" w:fill="FFC000"/>
            <w:noWrap/>
            <w:vAlign w:val="center"/>
            <w:hideMark/>
          </w:tcPr>
          <w:p w:rsidR="001C2410" w:rsidRDefault="001C2410">
            <w:pPr>
              <w:jc w:val="center"/>
              <w:rPr>
                <w:rFonts w:ascii="Calibri" w:hAnsi="Calibri" w:cs="Calibri"/>
                <w:color w:val="000000"/>
                <w:sz w:val="17"/>
                <w:szCs w:val="17"/>
              </w:rPr>
            </w:pPr>
            <w:r>
              <w:rPr>
                <w:rFonts w:ascii="Calibri" w:hAnsi="Calibri" w:cs="Calibri"/>
                <w:color w:val="000000"/>
                <w:sz w:val="17"/>
                <w:szCs w:val="17"/>
              </w:rPr>
              <w:t>Skutečnost</w:t>
            </w:r>
          </w:p>
        </w:tc>
        <w:tc>
          <w:tcPr>
            <w:tcW w:w="851" w:type="dxa"/>
            <w:vMerge w:val="restart"/>
            <w:tcBorders>
              <w:top w:val="single" w:sz="4" w:space="0" w:color="auto"/>
              <w:left w:val="single" w:sz="4" w:space="0" w:color="auto"/>
              <w:bottom w:val="single" w:sz="4" w:space="0" w:color="auto"/>
              <w:right w:val="single" w:sz="4" w:space="0" w:color="auto"/>
            </w:tcBorders>
            <w:shd w:val="clear" w:color="D6A100" w:fill="FFC000"/>
            <w:vAlign w:val="center"/>
            <w:hideMark/>
          </w:tcPr>
          <w:p w:rsidR="001C2410" w:rsidRDefault="001C2410">
            <w:pPr>
              <w:jc w:val="center"/>
              <w:rPr>
                <w:rFonts w:ascii="Calibri" w:hAnsi="Calibri" w:cs="Calibri"/>
                <w:color w:val="000000"/>
                <w:sz w:val="17"/>
                <w:szCs w:val="17"/>
              </w:rPr>
            </w:pPr>
            <w:r>
              <w:rPr>
                <w:rFonts w:ascii="Calibri" w:hAnsi="Calibri" w:cs="Calibri"/>
                <w:color w:val="000000"/>
                <w:sz w:val="17"/>
                <w:szCs w:val="17"/>
              </w:rPr>
              <w:t>% plnění Skut./Upr</w:t>
            </w:r>
          </w:p>
        </w:tc>
      </w:tr>
      <w:tr w:rsidR="001C2410" w:rsidTr="001C2410">
        <w:trPr>
          <w:trHeight w:val="272"/>
        </w:trPr>
        <w:tc>
          <w:tcPr>
            <w:tcW w:w="657" w:type="dxa"/>
            <w:vMerge/>
            <w:tcBorders>
              <w:top w:val="single" w:sz="4" w:space="0" w:color="auto"/>
              <w:left w:val="single" w:sz="4" w:space="0" w:color="auto"/>
              <w:bottom w:val="single" w:sz="4" w:space="0" w:color="auto"/>
              <w:right w:val="single" w:sz="4" w:space="0" w:color="auto"/>
            </w:tcBorders>
            <w:vAlign w:val="center"/>
            <w:hideMark/>
          </w:tcPr>
          <w:p w:rsidR="001C2410" w:rsidRDefault="001C2410">
            <w:pPr>
              <w:rPr>
                <w:rFonts w:ascii="Calibri" w:hAnsi="Calibri" w:cs="Calibri"/>
                <w:color w:val="000000"/>
                <w:sz w:val="17"/>
                <w:szCs w:val="17"/>
              </w:rPr>
            </w:pPr>
          </w:p>
        </w:tc>
        <w:tc>
          <w:tcPr>
            <w:tcW w:w="4158" w:type="dxa"/>
            <w:vMerge/>
            <w:tcBorders>
              <w:top w:val="single" w:sz="4" w:space="0" w:color="auto"/>
              <w:left w:val="single" w:sz="4" w:space="0" w:color="auto"/>
              <w:bottom w:val="single" w:sz="4" w:space="0" w:color="auto"/>
              <w:right w:val="single" w:sz="4" w:space="0" w:color="auto"/>
            </w:tcBorders>
            <w:vAlign w:val="center"/>
            <w:hideMark/>
          </w:tcPr>
          <w:p w:rsidR="001C2410" w:rsidRDefault="001C2410">
            <w:pPr>
              <w:rPr>
                <w:rFonts w:ascii="Calibri" w:hAnsi="Calibri" w:cs="Calibri"/>
                <w:color w:val="000000"/>
                <w:sz w:val="17"/>
                <w:szCs w:val="17"/>
              </w:rPr>
            </w:pPr>
          </w:p>
        </w:tc>
        <w:tc>
          <w:tcPr>
            <w:tcW w:w="1276" w:type="dxa"/>
            <w:tcBorders>
              <w:top w:val="nil"/>
              <w:left w:val="nil"/>
              <w:bottom w:val="single" w:sz="4" w:space="0" w:color="auto"/>
              <w:right w:val="single" w:sz="4" w:space="0" w:color="auto"/>
            </w:tcBorders>
            <w:shd w:val="clear" w:color="D6A100" w:fill="FFC000"/>
            <w:noWrap/>
            <w:vAlign w:val="center"/>
            <w:hideMark/>
          </w:tcPr>
          <w:p w:rsidR="001C2410" w:rsidRDefault="001C2410">
            <w:pPr>
              <w:jc w:val="center"/>
              <w:rPr>
                <w:rFonts w:ascii="Calibri" w:hAnsi="Calibri" w:cs="Calibri"/>
                <w:color w:val="000000"/>
                <w:sz w:val="17"/>
                <w:szCs w:val="17"/>
              </w:rPr>
            </w:pPr>
            <w:r>
              <w:rPr>
                <w:rFonts w:ascii="Calibri" w:hAnsi="Calibri" w:cs="Calibri"/>
                <w:color w:val="000000"/>
                <w:sz w:val="17"/>
                <w:szCs w:val="17"/>
              </w:rPr>
              <w:t>Schválený</w:t>
            </w:r>
          </w:p>
        </w:tc>
        <w:tc>
          <w:tcPr>
            <w:tcW w:w="1275" w:type="dxa"/>
            <w:tcBorders>
              <w:top w:val="nil"/>
              <w:left w:val="nil"/>
              <w:bottom w:val="single" w:sz="4" w:space="0" w:color="auto"/>
              <w:right w:val="single" w:sz="4" w:space="0" w:color="auto"/>
            </w:tcBorders>
            <w:shd w:val="clear" w:color="D6A100" w:fill="FFC000"/>
            <w:noWrap/>
            <w:vAlign w:val="center"/>
            <w:hideMark/>
          </w:tcPr>
          <w:p w:rsidR="001C2410" w:rsidRDefault="001C2410">
            <w:pPr>
              <w:jc w:val="center"/>
              <w:rPr>
                <w:rFonts w:ascii="Calibri" w:hAnsi="Calibri" w:cs="Calibri"/>
                <w:color w:val="000000"/>
                <w:sz w:val="17"/>
                <w:szCs w:val="17"/>
              </w:rPr>
            </w:pPr>
            <w:r>
              <w:rPr>
                <w:rFonts w:ascii="Calibri" w:hAnsi="Calibri" w:cs="Calibri"/>
                <w:color w:val="000000"/>
                <w:sz w:val="17"/>
                <w:szCs w:val="17"/>
              </w:rPr>
              <w:t>Upravený</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C2410" w:rsidRDefault="001C2410">
            <w:pPr>
              <w:rPr>
                <w:rFonts w:ascii="Calibri" w:hAnsi="Calibri" w:cs="Calibri"/>
                <w:color w:val="000000"/>
                <w:sz w:val="17"/>
                <w:szCs w:val="17"/>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C2410" w:rsidRDefault="001C2410">
            <w:pPr>
              <w:rPr>
                <w:rFonts w:ascii="Calibri" w:hAnsi="Calibri" w:cs="Calibri"/>
                <w:color w:val="000000"/>
                <w:sz w:val="17"/>
                <w:szCs w:val="17"/>
              </w:rPr>
            </w:pP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001014</w:t>
            </w:r>
          </w:p>
        </w:tc>
        <w:tc>
          <w:tcPr>
            <w:tcW w:w="4158" w:type="dxa"/>
            <w:tcBorders>
              <w:top w:val="nil"/>
              <w:left w:val="nil"/>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Ozdrav. hosp. zvířat, pol. a spec. plod. a zvl. vet. péče</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510 000,00</w:t>
            </w:r>
          </w:p>
        </w:tc>
        <w:tc>
          <w:tcPr>
            <w:tcW w:w="1275"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671 000,00</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628 426,00</w:t>
            </w:r>
          </w:p>
        </w:tc>
        <w:tc>
          <w:tcPr>
            <w:tcW w:w="851"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93,66%</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001019</w:t>
            </w:r>
          </w:p>
        </w:tc>
        <w:tc>
          <w:tcPr>
            <w:tcW w:w="4158" w:type="dxa"/>
            <w:tcBorders>
              <w:top w:val="nil"/>
              <w:left w:val="nil"/>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Ostatní zemědělská a potravinářská činnost a rozvoj</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sz w:val="17"/>
                <w:szCs w:val="17"/>
              </w:rPr>
            </w:pPr>
            <w:r>
              <w:rPr>
                <w:rFonts w:ascii="Calibri" w:hAnsi="Calibri" w:cs="Calibri"/>
                <w:sz w:val="17"/>
                <w:szCs w:val="17"/>
              </w:rPr>
              <w:t>22 000,00</w:t>
            </w:r>
          </w:p>
        </w:tc>
        <w:tc>
          <w:tcPr>
            <w:tcW w:w="1275"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22 000,00</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22 000,00</w:t>
            </w:r>
          </w:p>
        </w:tc>
        <w:tc>
          <w:tcPr>
            <w:tcW w:w="851"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100,00%</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002212</w:t>
            </w:r>
          </w:p>
        </w:tc>
        <w:tc>
          <w:tcPr>
            <w:tcW w:w="4158" w:type="dxa"/>
            <w:tcBorders>
              <w:top w:val="nil"/>
              <w:left w:val="nil"/>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Silnice</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578 450,00</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567 917,70</w:t>
            </w:r>
          </w:p>
        </w:tc>
        <w:tc>
          <w:tcPr>
            <w:tcW w:w="851"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98,18%</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002219</w:t>
            </w:r>
          </w:p>
        </w:tc>
        <w:tc>
          <w:tcPr>
            <w:tcW w:w="4158" w:type="dxa"/>
            <w:tcBorders>
              <w:top w:val="nil"/>
              <w:left w:val="nil"/>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Ostatní záležitosti pozemních komunikací</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sz w:val="17"/>
                <w:szCs w:val="17"/>
              </w:rPr>
            </w:pPr>
            <w:r>
              <w:rPr>
                <w:rFonts w:ascii="Calibri" w:hAnsi="Calibri" w:cs="Calibri"/>
                <w:sz w:val="17"/>
                <w:szCs w:val="17"/>
              </w:rPr>
              <w:t>41 291 381,00</w:t>
            </w:r>
          </w:p>
        </w:tc>
        <w:tc>
          <w:tcPr>
            <w:tcW w:w="1275"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49 718 487,00</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47 315 119,00</w:t>
            </w:r>
          </w:p>
        </w:tc>
        <w:tc>
          <w:tcPr>
            <w:tcW w:w="851"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95,17%</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002223</w:t>
            </w:r>
          </w:p>
        </w:tc>
        <w:tc>
          <w:tcPr>
            <w:tcW w:w="4158" w:type="dxa"/>
            <w:tcBorders>
              <w:top w:val="nil"/>
              <w:left w:val="nil"/>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Bezpečnost silničního provozu</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41 284,00</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33 832,85</w:t>
            </w:r>
          </w:p>
        </w:tc>
        <w:tc>
          <w:tcPr>
            <w:tcW w:w="851"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81,95%</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002292</w:t>
            </w:r>
          </w:p>
        </w:tc>
        <w:tc>
          <w:tcPr>
            <w:tcW w:w="4158" w:type="dxa"/>
            <w:tcBorders>
              <w:top w:val="nil"/>
              <w:left w:val="nil"/>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Dopravní obslužnost veřejnými službami - linková</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sz w:val="17"/>
                <w:szCs w:val="17"/>
              </w:rPr>
            </w:pPr>
            <w:r>
              <w:rPr>
                <w:rFonts w:ascii="Calibri" w:hAnsi="Calibri" w:cs="Calibri"/>
                <w:sz w:val="17"/>
                <w:szCs w:val="17"/>
              </w:rPr>
              <w:t>42 104 725,00</w:t>
            </w:r>
          </w:p>
        </w:tc>
        <w:tc>
          <w:tcPr>
            <w:tcW w:w="1275"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42 570 531,00</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42 570 527,20</w:t>
            </w:r>
          </w:p>
        </w:tc>
        <w:tc>
          <w:tcPr>
            <w:tcW w:w="851"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100,00%</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002310</w:t>
            </w:r>
          </w:p>
        </w:tc>
        <w:tc>
          <w:tcPr>
            <w:tcW w:w="4158" w:type="dxa"/>
            <w:tcBorders>
              <w:top w:val="nil"/>
              <w:left w:val="nil"/>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Pitná voda</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30 000,00</w:t>
            </w:r>
          </w:p>
        </w:tc>
        <w:tc>
          <w:tcPr>
            <w:tcW w:w="1275"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19 000,00</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18 500,00</w:t>
            </w:r>
          </w:p>
        </w:tc>
        <w:tc>
          <w:tcPr>
            <w:tcW w:w="851"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97,37%</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002321</w:t>
            </w:r>
          </w:p>
        </w:tc>
        <w:tc>
          <w:tcPr>
            <w:tcW w:w="4158" w:type="dxa"/>
            <w:tcBorders>
              <w:top w:val="nil"/>
              <w:left w:val="nil"/>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Odvádění a čištění odpadních vod a nakládání s kaly</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sz w:val="17"/>
                <w:szCs w:val="17"/>
              </w:rPr>
            </w:pPr>
            <w:r>
              <w:rPr>
                <w:rFonts w:ascii="Calibri" w:hAnsi="Calibri" w:cs="Calibri"/>
                <w:sz w:val="17"/>
                <w:szCs w:val="17"/>
              </w:rPr>
              <w:t>0,00</w:t>
            </w:r>
          </w:p>
        </w:tc>
        <w:tc>
          <w:tcPr>
            <w:tcW w:w="1275"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19 920,00</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18 153,33</w:t>
            </w:r>
          </w:p>
        </w:tc>
        <w:tc>
          <w:tcPr>
            <w:tcW w:w="851"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91,13%</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002322</w:t>
            </w:r>
          </w:p>
        </w:tc>
        <w:tc>
          <w:tcPr>
            <w:tcW w:w="4158" w:type="dxa"/>
            <w:tcBorders>
              <w:top w:val="nil"/>
              <w:left w:val="nil"/>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Prevence znečišťování vody</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8 000,00</w:t>
            </w:r>
          </w:p>
        </w:tc>
        <w:tc>
          <w:tcPr>
            <w:tcW w:w="1275"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0,00</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0,00</w:t>
            </w:r>
          </w:p>
        </w:tc>
        <w:tc>
          <w:tcPr>
            <w:tcW w:w="851"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002331</w:t>
            </w:r>
          </w:p>
        </w:tc>
        <w:tc>
          <w:tcPr>
            <w:tcW w:w="4158" w:type="dxa"/>
            <w:tcBorders>
              <w:top w:val="nil"/>
              <w:left w:val="nil"/>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Úpravy vodohospodář. významných a vodárenských toků</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sz w:val="17"/>
                <w:szCs w:val="17"/>
              </w:rPr>
            </w:pPr>
            <w:r>
              <w:rPr>
                <w:rFonts w:ascii="Calibri" w:hAnsi="Calibri" w:cs="Calibri"/>
                <w:sz w:val="17"/>
                <w:szCs w:val="17"/>
              </w:rPr>
              <w:t>50 000,00</w:t>
            </w:r>
          </w:p>
        </w:tc>
        <w:tc>
          <w:tcPr>
            <w:tcW w:w="1275"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50 000,00</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50 000,00</w:t>
            </w:r>
          </w:p>
        </w:tc>
        <w:tc>
          <w:tcPr>
            <w:tcW w:w="851"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100,00%</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002333</w:t>
            </w:r>
          </w:p>
        </w:tc>
        <w:tc>
          <w:tcPr>
            <w:tcW w:w="4158" w:type="dxa"/>
            <w:tcBorders>
              <w:top w:val="nil"/>
              <w:left w:val="nil"/>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Úpravy drobných vodních toků</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650 350,00</w:t>
            </w:r>
          </w:p>
        </w:tc>
        <w:tc>
          <w:tcPr>
            <w:tcW w:w="1275"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1 318 350,00</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1 301 505,66</w:t>
            </w:r>
          </w:p>
        </w:tc>
        <w:tc>
          <w:tcPr>
            <w:tcW w:w="851"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98,72%</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002510</w:t>
            </w:r>
          </w:p>
        </w:tc>
        <w:tc>
          <w:tcPr>
            <w:tcW w:w="4158" w:type="dxa"/>
            <w:tcBorders>
              <w:top w:val="nil"/>
              <w:left w:val="nil"/>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Podpora podnikání</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sz w:val="17"/>
                <w:szCs w:val="17"/>
              </w:rPr>
            </w:pPr>
            <w:r>
              <w:rPr>
                <w:rFonts w:ascii="Calibri" w:hAnsi="Calibri" w:cs="Calibri"/>
                <w:sz w:val="17"/>
                <w:szCs w:val="17"/>
              </w:rPr>
              <w:t>0,00</w:t>
            </w:r>
          </w:p>
        </w:tc>
        <w:tc>
          <w:tcPr>
            <w:tcW w:w="1275"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800 000,00</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800 000,00</w:t>
            </w:r>
          </w:p>
        </w:tc>
        <w:tc>
          <w:tcPr>
            <w:tcW w:w="851"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100,00%</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003111</w:t>
            </w:r>
          </w:p>
        </w:tc>
        <w:tc>
          <w:tcPr>
            <w:tcW w:w="4158" w:type="dxa"/>
            <w:tcBorders>
              <w:top w:val="nil"/>
              <w:left w:val="nil"/>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Mateřské školy</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11 640 250,00</w:t>
            </w:r>
          </w:p>
        </w:tc>
        <w:tc>
          <w:tcPr>
            <w:tcW w:w="1275"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21 528 869,00</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21 354 018,09</w:t>
            </w:r>
          </w:p>
        </w:tc>
        <w:tc>
          <w:tcPr>
            <w:tcW w:w="851"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99,19%</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003113</w:t>
            </w:r>
          </w:p>
        </w:tc>
        <w:tc>
          <w:tcPr>
            <w:tcW w:w="4158" w:type="dxa"/>
            <w:tcBorders>
              <w:top w:val="nil"/>
              <w:left w:val="nil"/>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Základní školy</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sz w:val="17"/>
                <w:szCs w:val="17"/>
              </w:rPr>
            </w:pPr>
            <w:r>
              <w:rPr>
                <w:rFonts w:ascii="Calibri" w:hAnsi="Calibri" w:cs="Calibri"/>
                <w:sz w:val="17"/>
                <w:szCs w:val="17"/>
              </w:rPr>
              <w:t>46 525 100,00</w:t>
            </w:r>
          </w:p>
        </w:tc>
        <w:tc>
          <w:tcPr>
            <w:tcW w:w="1275"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66 269 229,04</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65 891 702,13</w:t>
            </w:r>
          </w:p>
        </w:tc>
        <w:tc>
          <w:tcPr>
            <w:tcW w:w="851"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99,43%</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003121</w:t>
            </w:r>
          </w:p>
        </w:tc>
        <w:tc>
          <w:tcPr>
            <w:tcW w:w="4158" w:type="dxa"/>
            <w:tcBorders>
              <w:top w:val="nil"/>
              <w:left w:val="nil"/>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Gymnázia</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4 703 850,00</w:t>
            </w:r>
          </w:p>
        </w:tc>
        <w:tc>
          <w:tcPr>
            <w:tcW w:w="1275"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5 228 850,00</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5 228 850,00</w:t>
            </w:r>
          </w:p>
        </w:tc>
        <w:tc>
          <w:tcPr>
            <w:tcW w:w="851"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100,00%</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003122</w:t>
            </w:r>
          </w:p>
        </w:tc>
        <w:tc>
          <w:tcPr>
            <w:tcW w:w="4158" w:type="dxa"/>
            <w:tcBorders>
              <w:top w:val="nil"/>
              <w:left w:val="nil"/>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Střední odborné školy</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sz w:val="17"/>
                <w:szCs w:val="17"/>
              </w:rPr>
            </w:pPr>
            <w:r>
              <w:rPr>
                <w:rFonts w:ascii="Calibri" w:hAnsi="Calibri" w:cs="Calibri"/>
                <w:sz w:val="17"/>
                <w:szCs w:val="17"/>
              </w:rPr>
              <w:t>0,00</w:t>
            </w:r>
          </w:p>
        </w:tc>
        <w:tc>
          <w:tcPr>
            <w:tcW w:w="1275"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1 560 000,00</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1 248 589,17</w:t>
            </w:r>
          </w:p>
        </w:tc>
        <w:tc>
          <w:tcPr>
            <w:tcW w:w="851"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80,04%</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003123</w:t>
            </w:r>
          </w:p>
        </w:tc>
        <w:tc>
          <w:tcPr>
            <w:tcW w:w="4158" w:type="dxa"/>
            <w:tcBorders>
              <w:top w:val="nil"/>
              <w:left w:val="nil"/>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Střední školy poskytující stř. vzděl. s výučním listem</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30 000,00</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29 931,77</w:t>
            </w:r>
          </w:p>
        </w:tc>
        <w:tc>
          <w:tcPr>
            <w:tcW w:w="851"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99,77%</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003124</w:t>
            </w:r>
          </w:p>
        </w:tc>
        <w:tc>
          <w:tcPr>
            <w:tcW w:w="4158" w:type="dxa"/>
            <w:tcBorders>
              <w:top w:val="nil"/>
              <w:left w:val="nil"/>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Střední školy a konzer. pro žáky se spec. vzd. potřebami</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sz w:val="17"/>
                <w:szCs w:val="17"/>
              </w:rPr>
            </w:pPr>
            <w:r>
              <w:rPr>
                <w:rFonts w:ascii="Calibri" w:hAnsi="Calibri" w:cs="Calibri"/>
                <w:sz w:val="17"/>
                <w:szCs w:val="17"/>
              </w:rPr>
              <w:t>0,00</w:t>
            </w:r>
          </w:p>
        </w:tc>
        <w:tc>
          <w:tcPr>
            <w:tcW w:w="1275"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25 000,00</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25 000,00</w:t>
            </w:r>
          </w:p>
        </w:tc>
        <w:tc>
          <w:tcPr>
            <w:tcW w:w="851"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100,00%</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003231</w:t>
            </w:r>
          </w:p>
        </w:tc>
        <w:tc>
          <w:tcPr>
            <w:tcW w:w="4158" w:type="dxa"/>
            <w:tcBorders>
              <w:top w:val="nil"/>
              <w:left w:val="nil"/>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Základní umělecké školy</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3 190 000,00</w:t>
            </w:r>
          </w:p>
        </w:tc>
        <w:tc>
          <w:tcPr>
            <w:tcW w:w="1275"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2 100 000,00</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2 031 890,00</w:t>
            </w:r>
          </w:p>
        </w:tc>
        <w:tc>
          <w:tcPr>
            <w:tcW w:w="851"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96,76%</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003233</w:t>
            </w:r>
          </w:p>
        </w:tc>
        <w:tc>
          <w:tcPr>
            <w:tcW w:w="4158" w:type="dxa"/>
            <w:tcBorders>
              <w:top w:val="nil"/>
              <w:left w:val="nil"/>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Střediska volného času</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sz w:val="17"/>
                <w:szCs w:val="17"/>
              </w:rPr>
            </w:pPr>
            <w:r>
              <w:rPr>
                <w:rFonts w:ascii="Calibri" w:hAnsi="Calibri" w:cs="Calibri"/>
                <w:sz w:val="17"/>
                <w:szCs w:val="17"/>
              </w:rPr>
              <w:t>27 075 888,00</w:t>
            </w:r>
          </w:p>
        </w:tc>
        <w:tc>
          <w:tcPr>
            <w:tcW w:w="1275"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33 349 784,20</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33 243 572,20</w:t>
            </w:r>
          </w:p>
        </w:tc>
        <w:tc>
          <w:tcPr>
            <w:tcW w:w="851"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99,68%</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003299</w:t>
            </w:r>
          </w:p>
        </w:tc>
        <w:tc>
          <w:tcPr>
            <w:tcW w:w="4158" w:type="dxa"/>
            <w:tcBorders>
              <w:top w:val="nil"/>
              <w:left w:val="nil"/>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Ostatní záležitosti vzdělávání</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595 000,00</w:t>
            </w:r>
          </w:p>
        </w:tc>
        <w:tc>
          <w:tcPr>
            <w:tcW w:w="1275"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775 200,00</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775 191,54</w:t>
            </w:r>
          </w:p>
        </w:tc>
        <w:tc>
          <w:tcPr>
            <w:tcW w:w="851"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100,00%</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003311</w:t>
            </w:r>
          </w:p>
        </w:tc>
        <w:tc>
          <w:tcPr>
            <w:tcW w:w="4158" w:type="dxa"/>
            <w:tcBorders>
              <w:top w:val="nil"/>
              <w:left w:val="nil"/>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Divadelní činnost</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sz w:val="17"/>
                <w:szCs w:val="17"/>
              </w:rPr>
            </w:pPr>
            <w:r>
              <w:rPr>
                <w:rFonts w:ascii="Calibri" w:hAnsi="Calibri" w:cs="Calibri"/>
                <w:sz w:val="17"/>
                <w:szCs w:val="17"/>
              </w:rPr>
              <w:t>7 644 000,00</w:t>
            </w:r>
          </w:p>
        </w:tc>
        <w:tc>
          <w:tcPr>
            <w:tcW w:w="1275"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7 736 410,00</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7 736 410,00</w:t>
            </w:r>
          </w:p>
        </w:tc>
        <w:tc>
          <w:tcPr>
            <w:tcW w:w="851"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100,00%</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003313</w:t>
            </w:r>
          </w:p>
        </w:tc>
        <w:tc>
          <w:tcPr>
            <w:tcW w:w="4158" w:type="dxa"/>
            <w:tcBorders>
              <w:top w:val="nil"/>
              <w:left w:val="nil"/>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Film. tvorba, distribuce, kina a shrom. audio archiv.</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6 230 800,00</w:t>
            </w:r>
          </w:p>
        </w:tc>
        <w:tc>
          <w:tcPr>
            <w:tcW w:w="1275"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6 675 000,00</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6 425 445,43</w:t>
            </w:r>
          </w:p>
        </w:tc>
        <w:tc>
          <w:tcPr>
            <w:tcW w:w="851"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96,26%</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003314</w:t>
            </w:r>
          </w:p>
        </w:tc>
        <w:tc>
          <w:tcPr>
            <w:tcW w:w="4158" w:type="dxa"/>
            <w:tcBorders>
              <w:top w:val="nil"/>
              <w:left w:val="nil"/>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Činnosti knihovnické</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sz w:val="17"/>
                <w:szCs w:val="17"/>
              </w:rPr>
            </w:pPr>
            <w:r>
              <w:rPr>
                <w:rFonts w:ascii="Calibri" w:hAnsi="Calibri" w:cs="Calibri"/>
                <w:sz w:val="17"/>
                <w:szCs w:val="17"/>
              </w:rPr>
              <w:t>11 055 000,00</w:t>
            </w:r>
          </w:p>
        </w:tc>
        <w:tc>
          <w:tcPr>
            <w:tcW w:w="1275"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14 008 685,00</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14 008 685,00</w:t>
            </w:r>
          </w:p>
        </w:tc>
        <w:tc>
          <w:tcPr>
            <w:tcW w:w="851"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100,00%</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003315</w:t>
            </w:r>
          </w:p>
        </w:tc>
        <w:tc>
          <w:tcPr>
            <w:tcW w:w="4158" w:type="dxa"/>
            <w:tcBorders>
              <w:top w:val="nil"/>
              <w:left w:val="nil"/>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Činnosti muzeí a galerií</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800 000,00</w:t>
            </w:r>
          </w:p>
        </w:tc>
        <w:tc>
          <w:tcPr>
            <w:tcW w:w="1275"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2 100 000,00</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1 743 726,89</w:t>
            </w:r>
          </w:p>
        </w:tc>
        <w:tc>
          <w:tcPr>
            <w:tcW w:w="851"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83,03%</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003319</w:t>
            </w:r>
          </w:p>
        </w:tc>
        <w:tc>
          <w:tcPr>
            <w:tcW w:w="4158" w:type="dxa"/>
            <w:tcBorders>
              <w:top w:val="nil"/>
              <w:left w:val="nil"/>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Ostatní záležitosti kultury</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sz w:val="17"/>
                <w:szCs w:val="17"/>
              </w:rPr>
            </w:pPr>
            <w:r>
              <w:rPr>
                <w:rFonts w:ascii="Calibri" w:hAnsi="Calibri" w:cs="Calibri"/>
                <w:sz w:val="17"/>
                <w:szCs w:val="17"/>
              </w:rPr>
              <w:t>9 703 200,00</w:t>
            </w:r>
          </w:p>
        </w:tc>
        <w:tc>
          <w:tcPr>
            <w:tcW w:w="1275"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11 739 700,00</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11 275 198,66</w:t>
            </w:r>
          </w:p>
        </w:tc>
        <w:tc>
          <w:tcPr>
            <w:tcW w:w="851"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96,04%</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003322</w:t>
            </w:r>
          </w:p>
        </w:tc>
        <w:tc>
          <w:tcPr>
            <w:tcW w:w="4158" w:type="dxa"/>
            <w:tcBorders>
              <w:top w:val="nil"/>
              <w:left w:val="nil"/>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Zachování a obnova kulturních památek</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3 100 000,00</w:t>
            </w:r>
          </w:p>
        </w:tc>
        <w:tc>
          <w:tcPr>
            <w:tcW w:w="1275"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4 167 369,00</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3 519 347,97</w:t>
            </w:r>
          </w:p>
        </w:tc>
        <w:tc>
          <w:tcPr>
            <w:tcW w:w="851"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84,45%</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003326</w:t>
            </w:r>
          </w:p>
        </w:tc>
        <w:tc>
          <w:tcPr>
            <w:tcW w:w="4158" w:type="dxa"/>
            <w:tcBorders>
              <w:top w:val="nil"/>
              <w:left w:val="nil"/>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Poříz.,zach. a obnova hodnot MK, nár. a hist. pověd.</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sz w:val="17"/>
                <w:szCs w:val="17"/>
              </w:rPr>
            </w:pPr>
            <w:r>
              <w:rPr>
                <w:rFonts w:ascii="Calibri" w:hAnsi="Calibri" w:cs="Calibri"/>
                <w:sz w:val="17"/>
                <w:szCs w:val="17"/>
              </w:rPr>
              <w:t>185 000,00</w:t>
            </w:r>
          </w:p>
        </w:tc>
        <w:tc>
          <w:tcPr>
            <w:tcW w:w="1275"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185 000,00</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82 520,00</w:t>
            </w:r>
          </w:p>
        </w:tc>
        <w:tc>
          <w:tcPr>
            <w:tcW w:w="851"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44,61%</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003341</w:t>
            </w:r>
          </w:p>
        </w:tc>
        <w:tc>
          <w:tcPr>
            <w:tcW w:w="4158" w:type="dxa"/>
            <w:tcBorders>
              <w:top w:val="nil"/>
              <w:left w:val="nil"/>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Rozhlas a televize</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2 034 714,00</w:t>
            </w:r>
          </w:p>
        </w:tc>
        <w:tc>
          <w:tcPr>
            <w:tcW w:w="1275"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2 034 714,00</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2 018 069,11</w:t>
            </w:r>
          </w:p>
        </w:tc>
        <w:tc>
          <w:tcPr>
            <w:tcW w:w="851"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99,18%</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003349</w:t>
            </w:r>
          </w:p>
        </w:tc>
        <w:tc>
          <w:tcPr>
            <w:tcW w:w="4158" w:type="dxa"/>
            <w:tcBorders>
              <w:top w:val="nil"/>
              <w:left w:val="nil"/>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Ostatní záležitosti sdělovacích prostředků</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sz w:val="17"/>
                <w:szCs w:val="17"/>
              </w:rPr>
            </w:pPr>
            <w:r>
              <w:rPr>
                <w:rFonts w:ascii="Calibri" w:hAnsi="Calibri" w:cs="Calibri"/>
                <w:sz w:val="17"/>
                <w:szCs w:val="17"/>
              </w:rPr>
              <w:t>514 140,00</w:t>
            </w:r>
          </w:p>
        </w:tc>
        <w:tc>
          <w:tcPr>
            <w:tcW w:w="1275"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924 445,00</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900 849,69</w:t>
            </w:r>
          </w:p>
        </w:tc>
        <w:tc>
          <w:tcPr>
            <w:tcW w:w="851"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97,45%</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003399</w:t>
            </w:r>
          </w:p>
        </w:tc>
        <w:tc>
          <w:tcPr>
            <w:tcW w:w="4158" w:type="dxa"/>
            <w:tcBorders>
              <w:top w:val="nil"/>
              <w:left w:val="nil"/>
              <w:bottom w:val="single" w:sz="4" w:space="0" w:color="auto"/>
              <w:right w:val="single" w:sz="4" w:space="0" w:color="auto"/>
            </w:tcBorders>
            <w:shd w:val="clear" w:color="auto" w:fill="auto"/>
            <w:noWrap/>
            <w:vAlign w:val="center"/>
            <w:hideMark/>
          </w:tcPr>
          <w:p w:rsidR="001C2410" w:rsidRDefault="001C2410" w:rsidP="001C2410">
            <w:pPr>
              <w:rPr>
                <w:rFonts w:ascii="Calibri" w:hAnsi="Calibri" w:cs="Calibri"/>
                <w:color w:val="000000"/>
                <w:sz w:val="17"/>
                <w:szCs w:val="17"/>
              </w:rPr>
            </w:pPr>
            <w:r>
              <w:rPr>
                <w:rFonts w:ascii="Calibri" w:hAnsi="Calibri" w:cs="Calibri"/>
                <w:color w:val="000000"/>
                <w:sz w:val="17"/>
                <w:szCs w:val="17"/>
              </w:rPr>
              <w:t>Ostatní záležitosti kultury, církví a sdělovacích prostředků</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1 519 760,00</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1 519 760,00</w:t>
            </w:r>
          </w:p>
        </w:tc>
        <w:tc>
          <w:tcPr>
            <w:tcW w:w="851"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100,00%</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003412</w:t>
            </w:r>
          </w:p>
        </w:tc>
        <w:tc>
          <w:tcPr>
            <w:tcW w:w="4158" w:type="dxa"/>
            <w:tcBorders>
              <w:top w:val="nil"/>
              <w:left w:val="nil"/>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Sportovní zařízení ve vlastnictví obce</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sz w:val="17"/>
                <w:szCs w:val="17"/>
              </w:rPr>
            </w:pPr>
            <w:r>
              <w:rPr>
                <w:rFonts w:ascii="Calibri" w:hAnsi="Calibri" w:cs="Calibri"/>
                <w:sz w:val="17"/>
                <w:szCs w:val="17"/>
              </w:rPr>
              <w:t>2 430 000,00</w:t>
            </w:r>
          </w:p>
        </w:tc>
        <w:tc>
          <w:tcPr>
            <w:tcW w:w="1275"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3 692 666,00</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3 157 329,71</w:t>
            </w:r>
          </w:p>
        </w:tc>
        <w:tc>
          <w:tcPr>
            <w:tcW w:w="851"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85,50%</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003419</w:t>
            </w:r>
          </w:p>
        </w:tc>
        <w:tc>
          <w:tcPr>
            <w:tcW w:w="4158" w:type="dxa"/>
            <w:tcBorders>
              <w:top w:val="nil"/>
              <w:left w:val="nil"/>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Ostatní sportovní činnost</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34 235 000,00</w:t>
            </w:r>
          </w:p>
        </w:tc>
        <w:tc>
          <w:tcPr>
            <w:tcW w:w="1275"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51 391 116,64</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51 311 161,64</w:t>
            </w:r>
          </w:p>
        </w:tc>
        <w:tc>
          <w:tcPr>
            <w:tcW w:w="851"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99,84%</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003429</w:t>
            </w:r>
          </w:p>
        </w:tc>
        <w:tc>
          <w:tcPr>
            <w:tcW w:w="4158" w:type="dxa"/>
            <w:tcBorders>
              <w:top w:val="nil"/>
              <w:left w:val="nil"/>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Ostatní zájmová činnost a rekreace</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sz w:val="17"/>
                <w:szCs w:val="17"/>
              </w:rPr>
            </w:pPr>
            <w:r>
              <w:rPr>
                <w:rFonts w:ascii="Calibri" w:hAnsi="Calibri" w:cs="Calibri"/>
                <w:sz w:val="17"/>
                <w:szCs w:val="17"/>
              </w:rPr>
              <w:t>0,00</w:t>
            </w:r>
          </w:p>
        </w:tc>
        <w:tc>
          <w:tcPr>
            <w:tcW w:w="1275"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294 990,00</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294 990,00</w:t>
            </w:r>
          </w:p>
        </w:tc>
        <w:tc>
          <w:tcPr>
            <w:tcW w:w="851"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100,00%</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003519</w:t>
            </w:r>
          </w:p>
        </w:tc>
        <w:tc>
          <w:tcPr>
            <w:tcW w:w="4158" w:type="dxa"/>
            <w:tcBorders>
              <w:top w:val="nil"/>
              <w:left w:val="nil"/>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Ostatní ambulantní péče</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45 000,00</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45 000,00</w:t>
            </w:r>
          </w:p>
        </w:tc>
        <w:tc>
          <w:tcPr>
            <w:tcW w:w="851"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100,00%</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003525</w:t>
            </w:r>
          </w:p>
        </w:tc>
        <w:tc>
          <w:tcPr>
            <w:tcW w:w="4158" w:type="dxa"/>
            <w:tcBorders>
              <w:top w:val="nil"/>
              <w:left w:val="nil"/>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Hospice</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sz w:val="17"/>
                <w:szCs w:val="17"/>
              </w:rPr>
            </w:pPr>
            <w:r>
              <w:rPr>
                <w:rFonts w:ascii="Calibri" w:hAnsi="Calibri" w:cs="Calibri"/>
                <w:sz w:val="17"/>
                <w:szCs w:val="17"/>
              </w:rPr>
              <w:t>0,00</w:t>
            </w:r>
          </w:p>
        </w:tc>
        <w:tc>
          <w:tcPr>
            <w:tcW w:w="1275"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45 000,00</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45 000,00</w:t>
            </w:r>
          </w:p>
        </w:tc>
        <w:tc>
          <w:tcPr>
            <w:tcW w:w="851"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100,00%</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003533</w:t>
            </w:r>
          </w:p>
        </w:tc>
        <w:tc>
          <w:tcPr>
            <w:tcW w:w="4158" w:type="dxa"/>
            <w:tcBorders>
              <w:top w:val="nil"/>
              <w:left w:val="nil"/>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Zdravotnická záchranná služba</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49 000,00</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47 553,00</w:t>
            </w:r>
          </w:p>
        </w:tc>
        <w:tc>
          <w:tcPr>
            <w:tcW w:w="851"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97,05%</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003539</w:t>
            </w:r>
          </w:p>
        </w:tc>
        <w:tc>
          <w:tcPr>
            <w:tcW w:w="4158" w:type="dxa"/>
            <w:tcBorders>
              <w:top w:val="nil"/>
              <w:left w:val="nil"/>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Ostatní zdravotnická zaříz. a služby pro zdravot.</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sz w:val="17"/>
                <w:szCs w:val="17"/>
              </w:rPr>
            </w:pPr>
            <w:r>
              <w:rPr>
                <w:rFonts w:ascii="Calibri" w:hAnsi="Calibri" w:cs="Calibri"/>
                <w:sz w:val="17"/>
                <w:szCs w:val="17"/>
              </w:rPr>
              <w:t>3 583 690,00</w:t>
            </w:r>
          </w:p>
        </w:tc>
        <w:tc>
          <w:tcPr>
            <w:tcW w:w="1275"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1 883 690,00</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1 883 690,00</w:t>
            </w:r>
          </w:p>
        </w:tc>
        <w:tc>
          <w:tcPr>
            <w:tcW w:w="851"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100,00%</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003599</w:t>
            </w:r>
          </w:p>
        </w:tc>
        <w:tc>
          <w:tcPr>
            <w:tcW w:w="4158" w:type="dxa"/>
            <w:tcBorders>
              <w:top w:val="nil"/>
              <w:left w:val="nil"/>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Ostatní činnost ve zdravotnictví</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40 000,00</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40 000,00</w:t>
            </w:r>
          </w:p>
        </w:tc>
        <w:tc>
          <w:tcPr>
            <w:tcW w:w="851"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100,00%</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003612</w:t>
            </w:r>
          </w:p>
        </w:tc>
        <w:tc>
          <w:tcPr>
            <w:tcW w:w="4158" w:type="dxa"/>
            <w:tcBorders>
              <w:top w:val="nil"/>
              <w:left w:val="nil"/>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Bytové hospodářství</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sz w:val="17"/>
                <w:szCs w:val="17"/>
              </w:rPr>
            </w:pPr>
            <w:r>
              <w:rPr>
                <w:rFonts w:ascii="Calibri" w:hAnsi="Calibri" w:cs="Calibri"/>
                <w:sz w:val="17"/>
                <w:szCs w:val="17"/>
              </w:rPr>
              <w:t>26 000 000,00</w:t>
            </w:r>
          </w:p>
        </w:tc>
        <w:tc>
          <w:tcPr>
            <w:tcW w:w="1275"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26 040 858,70</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25 914 411,40</w:t>
            </w:r>
          </w:p>
        </w:tc>
        <w:tc>
          <w:tcPr>
            <w:tcW w:w="851"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99,51%</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003619</w:t>
            </w:r>
          </w:p>
        </w:tc>
        <w:tc>
          <w:tcPr>
            <w:tcW w:w="4158" w:type="dxa"/>
            <w:tcBorders>
              <w:top w:val="nil"/>
              <w:left w:val="nil"/>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Ostatní rozvoj bydlení a bytového hospodářství</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11 640 601,00</w:t>
            </w:r>
          </w:p>
        </w:tc>
        <w:tc>
          <w:tcPr>
            <w:tcW w:w="1275"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38 666 740,81</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37 042 092,68</w:t>
            </w:r>
          </w:p>
        </w:tc>
        <w:tc>
          <w:tcPr>
            <w:tcW w:w="851"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95,80%</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003631</w:t>
            </w:r>
          </w:p>
        </w:tc>
        <w:tc>
          <w:tcPr>
            <w:tcW w:w="4158" w:type="dxa"/>
            <w:tcBorders>
              <w:top w:val="nil"/>
              <w:left w:val="nil"/>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Veřejné osvětlení</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sz w:val="17"/>
                <w:szCs w:val="17"/>
              </w:rPr>
            </w:pPr>
            <w:r>
              <w:rPr>
                <w:rFonts w:ascii="Calibri" w:hAnsi="Calibri" w:cs="Calibri"/>
                <w:sz w:val="17"/>
                <w:szCs w:val="17"/>
              </w:rPr>
              <w:t>21 565 384,00</w:t>
            </w:r>
          </w:p>
        </w:tc>
        <w:tc>
          <w:tcPr>
            <w:tcW w:w="1275"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22 324 759,20</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20 748 764,27</w:t>
            </w:r>
          </w:p>
        </w:tc>
        <w:tc>
          <w:tcPr>
            <w:tcW w:w="851"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92,94%</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003632</w:t>
            </w:r>
          </w:p>
        </w:tc>
        <w:tc>
          <w:tcPr>
            <w:tcW w:w="4158" w:type="dxa"/>
            <w:tcBorders>
              <w:top w:val="nil"/>
              <w:left w:val="nil"/>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Pohřebnictví</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5 345 607,00</w:t>
            </w:r>
          </w:p>
        </w:tc>
        <w:tc>
          <w:tcPr>
            <w:tcW w:w="1275"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15 100 320,71</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14 701 492,03</w:t>
            </w:r>
          </w:p>
        </w:tc>
        <w:tc>
          <w:tcPr>
            <w:tcW w:w="851"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97,36%</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003635</w:t>
            </w:r>
          </w:p>
        </w:tc>
        <w:tc>
          <w:tcPr>
            <w:tcW w:w="4158" w:type="dxa"/>
            <w:tcBorders>
              <w:top w:val="nil"/>
              <w:left w:val="nil"/>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Územní plánování</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sz w:val="17"/>
                <w:szCs w:val="17"/>
              </w:rPr>
            </w:pPr>
            <w:r>
              <w:rPr>
                <w:rFonts w:ascii="Calibri" w:hAnsi="Calibri" w:cs="Calibri"/>
                <w:sz w:val="17"/>
                <w:szCs w:val="17"/>
              </w:rPr>
              <w:t>85 000,00</w:t>
            </w:r>
          </w:p>
        </w:tc>
        <w:tc>
          <w:tcPr>
            <w:tcW w:w="1275"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75 240,00</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13 680,00</w:t>
            </w:r>
          </w:p>
        </w:tc>
        <w:tc>
          <w:tcPr>
            <w:tcW w:w="851"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18,18%</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003639</w:t>
            </w:r>
          </w:p>
        </w:tc>
        <w:tc>
          <w:tcPr>
            <w:tcW w:w="4158" w:type="dxa"/>
            <w:tcBorders>
              <w:top w:val="nil"/>
              <w:left w:val="nil"/>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Komunální služby a územní rozvoj jinde nezařazené</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8 482 850,00</w:t>
            </w:r>
          </w:p>
        </w:tc>
        <w:tc>
          <w:tcPr>
            <w:tcW w:w="1275"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8 690 532,49</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4 807 553,23</w:t>
            </w:r>
          </w:p>
        </w:tc>
        <w:tc>
          <w:tcPr>
            <w:tcW w:w="851"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55,32%</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003722</w:t>
            </w:r>
          </w:p>
        </w:tc>
        <w:tc>
          <w:tcPr>
            <w:tcW w:w="4158" w:type="dxa"/>
            <w:tcBorders>
              <w:top w:val="nil"/>
              <w:left w:val="nil"/>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Sběr a svoz komunálních odpadů</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sz w:val="17"/>
                <w:szCs w:val="17"/>
              </w:rPr>
            </w:pPr>
            <w:r>
              <w:rPr>
                <w:rFonts w:ascii="Calibri" w:hAnsi="Calibri" w:cs="Calibri"/>
                <w:sz w:val="17"/>
                <w:szCs w:val="17"/>
              </w:rPr>
              <w:t>50 647 829,00</w:t>
            </w:r>
          </w:p>
        </w:tc>
        <w:tc>
          <w:tcPr>
            <w:tcW w:w="1275"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54 722 648,00</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54 568 550,58</w:t>
            </w:r>
          </w:p>
        </w:tc>
        <w:tc>
          <w:tcPr>
            <w:tcW w:w="851"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99,72%</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003728</w:t>
            </w:r>
          </w:p>
        </w:tc>
        <w:tc>
          <w:tcPr>
            <w:tcW w:w="4158" w:type="dxa"/>
            <w:tcBorders>
              <w:top w:val="nil"/>
              <w:left w:val="nil"/>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Monitoring nakládání s odpady</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30 000,00</w:t>
            </w:r>
          </w:p>
        </w:tc>
        <w:tc>
          <w:tcPr>
            <w:tcW w:w="1275"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20 000,00</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20 000,00</w:t>
            </w:r>
          </w:p>
        </w:tc>
        <w:tc>
          <w:tcPr>
            <w:tcW w:w="851"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100,00%</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lastRenderedPageBreak/>
              <w:t>003745</w:t>
            </w:r>
          </w:p>
        </w:tc>
        <w:tc>
          <w:tcPr>
            <w:tcW w:w="4158" w:type="dxa"/>
            <w:tcBorders>
              <w:top w:val="nil"/>
              <w:left w:val="nil"/>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Péče o vzhled obcí a veřejnou zeleň</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sz w:val="17"/>
                <w:szCs w:val="17"/>
              </w:rPr>
            </w:pPr>
            <w:r>
              <w:rPr>
                <w:rFonts w:ascii="Calibri" w:hAnsi="Calibri" w:cs="Calibri"/>
                <w:sz w:val="17"/>
                <w:szCs w:val="17"/>
              </w:rPr>
              <w:t>50 594 198,00</w:t>
            </w:r>
          </w:p>
        </w:tc>
        <w:tc>
          <w:tcPr>
            <w:tcW w:w="1275"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58 806 492,00</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56 637 945,44</w:t>
            </w:r>
          </w:p>
        </w:tc>
        <w:tc>
          <w:tcPr>
            <w:tcW w:w="851"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96,31%</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003793</w:t>
            </w:r>
          </w:p>
        </w:tc>
        <w:tc>
          <w:tcPr>
            <w:tcW w:w="4158" w:type="dxa"/>
            <w:tcBorders>
              <w:top w:val="nil"/>
              <w:left w:val="nil"/>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Ekologie v dopravě</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2 000 000,00</w:t>
            </w:r>
          </w:p>
        </w:tc>
        <w:tc>
          <w:tcPr>
            <w:tcW w:w="1275"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2 000 000,00</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1 595 510,00</w:t>
            </w:r>
          </w:p>
        </w:tc>
        <w:tc>
          <w:tcPr>
            <w:tcW w:w="851"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79,78%</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003799</w:t>
            </w:r>
          </w:p>
        </w:tc>
        <w:tc>
          <w:tcPr>
            <w:tcW w:w="4158" w:type="dxa"/>
            <w:tcBorders>
              <w:top w:val="nil"/>
              <w:left w:val="nil"/>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Ostatní ekologické záležitosti</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sz w:val="17"/>
                <w:szCs w:val="17"/>
              </w:rPr>
            </w:pPr>
            <w:r>
              <w:rPr>
                <w:rFonts w:ascii="Calibri" w:hAnsi="Calibri" w:cs="Calibri"/>
                <w:sz w:val="17"/>
                <w:szCs w:val="17"/>
              </w:rPr>
              <w:t>700 000,00</w:t>
            </w:r>
          </w:p>
        </w:tc>
        <w:tc>
          <w:tcPr>
            <w:tcW w:w="1275"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1 938 922,00</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1 938 922,00</w:t>
            </w:r>
          </w:p>
        </w:tc>
        <w:tc>
          <w:tcPr>
            <w:tcW w:w="851"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100,00%</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003900</w:t>
            </w:r>
          </w:p>
        </w:tc>
        <w:tc>
          <w:tcPr>
            <w:tcW w:w="4158" w:type="dxa"/>
            <w:tcBorders>
              <w:top w:val="nil"/>
              <w:left w:val="nil"/>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Ost. činnosti souvis. se službami pro fyzické osoby</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332 500,00</w:t>
            </w:r>
          </w:p>
        </w:tc>
        <w:tc>
          <w:tcPr>
            <w:tcW w:w="1275"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93 578,00</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84 744,00</w:t>
            </w:r>
          </w:p>
        </w:tc>
        <w:tc>
          <w:tcPr>
            <w:tcW w:w="851"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90,56%</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004329</w:t>
            </w:r>
          </w:p>
        </w:tc>
        <w:tc>
          <w:tcPr>
            <w:tcW w:w="4158" w:type="dxa"/>
            <w:tcBorders>
              <w:top w:val="nil"/>
              <w:left w:val="nil"/>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Ostatní sociální péče a pomoc dětem a mládeži</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sz w:val="17"/>
                <w:szCs w:val="17"/>
              </w:rPr>
            </w:pPr>
            <w:r>
              <w:rPr>
                <w:rFonts w:ascii="Calibri" w:hAnsi="Calibri" w:cs="Calibri"/>
                <w:sz w:val="17"/>
                <w:szCs w:val="17"/>
              </w:rPr>
              <w:t>6 500,00</w:t>
            </w:r>
          </w:p>
        </w:tc>
        <w:tc>
          <w:tcPr>
            <w:tcW w:w="1275"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7 810,00</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7 780,10</w:t>
            </w:r>
          </w:p>
        </w:tc>
        <w:tc>
          <w:tcPr>
            <w:tcW w:w="851"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99,62%</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004339</w:t>
            </w:r>
          </w:p>
        </w:tc>
        <w:tc>
          <w:tcPr>
            <w:tcW w:w="4158" w:type="dxa"/>
            <w:tcBorders>
              <w:top w:val="nil"/>
              <w:left w:val="nil"/>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Ostatní sociální péče a pomoc rodině a manželství</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478 350,00</w:t>
            </w:r>
          </w:p>
        </w:tc>
        <w:tc>
          <w:tcPr>
            <w:tcW w:w="1275"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3 050 975,50</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588 105,12</w:t>
            </w:r>
          </w:p>
        </w:tc>
        <w:tc>
          <w:tcPr>
            <w:tcW w:w="851"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19,28%</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004341</w:t>
            </w:r>
          </w:p>
        </w:tc>
        <w:tc>
          <w:tcPr>
            <w:tcW w:w="4158" w:type="dxa"/>
            <w:tcBorders>
              <w:top w:val="nil"/>
              <w:left w:val="nil"/>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Soc. pomoc osobám v hm. nouzi a obč. soc. nepřizpůsob.</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sz w:val="17"/>
                <w:szCs w:val="17"/>
              </w:rPr>
            </w:pPr>
            <w:r>
              <w:rPr>
                <w:rFonts w:ascii="Calibri" w:hAnsi="Calibri" w:cs="Calibri"/>
                <w:sz w:val="17"/>
                <w:szCs w:val="17"/>
              </w:rPr>
              <w:t>0,00</w:t>
            </w:r>
          </w:p>
        </w:tc>
        <w:tc>
          <w:tcPr>
            <w:tcW w:w="1275"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43 000,00</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43 000,00</w:t>
            </w:r>
          </w:p>
        </w:tc>
        <w:tc>
          <w:tcPr>
            <w:tcW w:w="851"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100,00%</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004342</w:t>
            </w:r>
          </w:p>
        </w:tc>
        <w:tc>
          <w:tcPr>
            <w:tcW w:w="4158" w:type="dxa"/>
            <w:tcBorders>
              <w:top w:val="nil"/>
              <w:left w:val="nil"/>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Sociální péče a pomoc přistěhov. a vybraným etnikům</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79 000,00</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79 000,00</w:t>
            </w:r>
          </w:p>
        </w:tc>
        <w:tc>
          <w:tcPr>
            <w:tcW w:w="851"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100,00%</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004344</w:t>
            </w:r>
          </w:p>
        </w:tc>
        <w:tc>
          <w:tcPr>
            <w:tcW w:w="4158" w:type="dxa"/>
            <w:tcBorders>
              <w:top w:val="nil"/>
              <w:left w:val="nil"/>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Sociální rehabilitace</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sz w:val="17"/>
                <w:szCs w:val="17"/>
              </w:rPr>
            </w:pPr>
            <w:r>
              <w:rPr>
                <w:rFonts w:ascii="Calibri" w:hAnsi="Calibri" w:cs="Calibri"/>
                <w:sz w:val="17"/>
                <w:szCs w:val="17"/>
              </w:rPr>
              <w:t>0,00</w:t>
            </w:r>
          </w:p>
        </w:tc>
        <w:tc>
          <w:tcPr>
            <w:tcW w:w="1275"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47 000,00</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47 000,00</w:t>
            </w:r>
          </w:p>
        </w:tc>
        <w:tc>
          <w:tcPr>
            <w:tcW w:w="851"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100,00%</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004349</w:t>
            </w:r>
          </w:p>
        </w:tc>
        <w:tc>
          <w:tcPr>
            <w:tcW w:w="4158" w:type="dxa"/>
            <w:tcBorders>
              <w:top w:val="nil"/>
              <w:left w:val="nil"/>
              <w:bottom w:val="single" w:sz="4" w:space="0" w:color="auto"/>
              <w:right w:val="single" w:sz="4" w:space="0" w:color="auto"/>
            </w:tcBorders>
            <w:shd w:val="clear" w:color="auto" w:fill="auto"/>
            <w:noWrap/>
            <w:vAlign w:val="center"/>
            <w:hideMark/>
          </w:tcPr>
          <w:p w:rsidR="001C2410" w:rsidRDefault="001C2410" w:rsidP="001C2410">
            <w:pPr>
              <w:rPr>
                <w:rFonts w:ascii="Calibri" w:hAnsi="Calibri" w:cs="Calibri"/>
                <w:color w:val="000000"/>
                <w:sz w:val="17"/>
                <w:szCs w:val="17"/>
              </w:rPr>
            </w:pPr>
            <w:r>
              <w:rPr>
                <w:rFonts w:ascii="Calibri" w:hAnsi="Calibri" w:cs="Calibri"/>
                <w:color w:val="000000"/>
                <w:sz w:val="17"/>
                <w:szCs w:val="17"/>
              </w:rPr>
              <w:t>Ost. soc. péče a pomoc ostatním skup. fyzických osob</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915 000,00</w:t>
            </w:r>
          </w:p>
        </w:tc>
        <w:tc>
          <w:tcPr>
            <w:tcW w:w="1275"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1 279 200,00</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1 269 588,60</w:t>
            </w:r>
          </w:p>
        </w:tc>
        <w:tc>
          <w:tcPr>
            <w:tcW w:w="851"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99,25%</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004350</w:t>
            </w:r>
          </w:p>
        </w:tc>
        <w:tc>
          <w:tcPr>
            <w:tcW w:w="4158" w:type="dxa"/>
            <w:tcBorders>
              <w:top w:val="nil"/>
              <w:left w:val="nil"/>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Domovy pro seniory</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sz w:val="17"/>
                <w:szCs w:val="17"/>
              </w:rPr>
            </w:pPr>
            <w:r>
              <w:rPr>
                <w:rFonts w:ascii="Calibri" w:hAnsi="Calibri" w:cs="Calibri"/>
                <w:sz w:val="17"/>
                <w:szCs w:val="17"/>
              </w:rPr>
              <w:t>0,00</w:t>
            </w:r>
          </w:p>
        </w:tc>
        <w:tc>
          <w:tcPr>
            <w:tcW w:w="1275"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60 000,00</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60 000,00</w:t>
            </w:r>
          </w:p>
        </w:tc>
        <w:tc>
          <w:tcPr>
            <w:tcW w:w="851"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100,00%</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004351</w:t>
            </w:r>
          </w:p>
        </w:tc>
        <w:tc>
          <w:tcPr>
            <w:tcW w:w="4158" w:type="dxa"/>
            <w:tcBorders>
              <w:top w:val="nil"/>
              <w:left w:val="nil"/>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Osobní asist., peč. služba a podpora samost. bydlení</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410 000,00</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410 000,00</w:t>
            </w:r>
          </w:p>
        </w:tc>
        <w:tc>
          <w:tcPr>
            <w:tcW w:w="851"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100,00%</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004354</w:t>
            </w:r>
          </w:p>
        </w:tc>
        <w:tc>
          <w:tcPr>
            <w:tcW w:w="4158" w:type="dxa"/>
            <w:tcBorders>
              <w:top w:val="nil"/>
              <w:left w:val="nil"/>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Chráněné bydlení</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sz w:val="17"/>
                <w:szCs w:val="17"/>
              </w:rPr>
            </w:pPr>
            <w:r>
              <w:rPr>
                <w:rFonts w:ascii="Calibri" w:hAnsi="Calibri" w:cs="Calibri"/>
                <w:sz w:val="17"/>
                <w:szCs w:val="17"/>
              </w:rPr>
              <w:t>0,00</w:t>
            </w:r>
          </w:p>
        </w:tc>
        <w:tc>
          <w:tcPr>
            <w:tcW w:w="1275"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220 000,00</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220 000,00</w:t>
            </w:r>
          </w:p>
        </w:tc>
        <w:tc>
          <w:tcPr>
            <w:tcW w:w="851"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100,00%</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004356</w:t>
            </w:r>
          </w:p>
        </w:tc>
        <w:tc>
          <w:tcPr>
            <w:tcW w:w="4158" w:type="dxa"/>
            <w:tcBorders>
              <w:top w:val="nil"/>
              <w:left w:val="nil"/>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Denní stacionáře a centra denních služeb</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280 000,00</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280 000,00</w:t>
            </w:r>
          </w:p>
        </w:tc>
        <w:tc>
          <w:tcPr>
            <w:tcW w:w="851"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100,00%</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004357</w:t>
            </w:r>
          </w:p>
        </w:tc>
        <w:tc>
          <w:tcPr>
            <w:tcW w:w="4158" w:type="dxa"/>
            <w:tcBorders>
              <w:top w:val="nil"/>
              <w:left w:val="nil"/>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Domovy pro osoby se zdr. post. a domovy se zvl.</w:t>
            </w:r>
            <w:r w:rsidR="002E388D">
              <w:rPr>
                <w:rFonts w:ascii="Calibri" w:hAnsi="Calibri" w:cs="Calibri"/>
                <w:color w:val="000000"/>
                <w:sz w:val="17"/>
                <w:szCs w:val="17"/>
              </w:rPr>
              <w:t xml:space="preserve"> </w:t>
            </w:r>
            <w:r>
              <w:rPr>
                <w:rFonts w:ascii="Calibri" w:hAnsi="Calibri" w:cs="Calibri"/>
                <w:color w:val="000000"/>
                <w:sz w:val="17"/>
                <w:szCs w:val="17"/>
              </w:rPr>
              <w:t>rež</w:t>
            </w:r>
            <w:r w:rsidR="002E388D">
              <w:rPr>
                <w:rFonts w:ascii="Calibri" w:hAnsi="Calibri" w:cs="Calibri"/>
                <w:color w:val="000000"/>
                <w:sz w:val="17"/>
                <w:szCs w:val="17"/>
              </w:rPr>
              <w:t>imem</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sz w:val="17"/>
                <w:szCs w:val="17"/>
              </w:rPr>
            </w:pPr>
            <w:r>
              <w:rPr>
                <w:rFonts w:ascii="Calibri" w:hAnsi="Calibri" w:cs="Calibri"/>
                <w:sz w:val="17"/>
                <w:szCs w:val="17"/>
              </w:rPr>
              <w:t>0,00</w:t>
            </w:r>
          </w:p>
        </w:tc>
        <w:tc>
          <w:tcPr>
            <w:tcW w:w="1275"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4 000,00</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4 000,00</w:t>
            </w:r>
          </w:p>
        </w:tc>
        <w:tc>
          <w:tcPr>
            <w:tcW w:w="851"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100,00%</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004359</w:t>
            </w:r>
          </w:p>
        </w:tc>
        <w:tc>
          <w:tcPr>
            <w:tcW w:w="4158" w:type="dxa"/>
            <w:tcBorders>
              <w:top w:val="nil"/>
              <w:left w:val="nil"/>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Ostatní služby a činnosti v oblasti sociální péče</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97 732,00</w:t>
            </w:r>
          </w:p>
        </w:tc>
        <w:tc>
          <w:tcPr>
            <w:tcW w:w="1275"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210 732,00</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201 975,14</w:t>
            </w:r>
          </w:p>
        </w:tc>
        <w:tc>
          <w:tcPr>
            <w:tcW w:w="851"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95,84%</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004371</w:t>
            </w:r>
          </w:p>
        </w:tc>
        <w:tc>
          <w:tcPr>
            <w:tcW w:w="4158" w:type="dxa"/>
            <w:tcBorders>
              <w:top w:val="nil"/>
              <w:left w:val="nil"/>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Raná péče a soc.</w:t>
            </w:r>
            <w:r w:rsidR="002E388D">
              <w:rPr>
                <w:rFonts w:ascii="Calibri" w:hAnsi="Calibri" w:cs="Calibri"/>
                <w:color w:val="000000"/>
                <w:sz w:val="17"/>
                <w:szCs w:val="17"/>
              </w:rPr>
              <w:t xml:space="preserve"> </w:t>
            </w:r>
            <w:r>
              <w:rPr>
                <w:rFonts w:ascii="Calibri" w:hAnsi="Calibri" w:cs="Calibri"/>
                <w:color w:val="000000"/>
                <w:sz w:val="17"/>
                <w:szCs w:val="17"/>
              </w:rPr>
              <w:t>aktivizační sl.pro rodiny s dětmi</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sz w:val="17"/>
                <w:szCs w:val="17"/>
              </w:rPr>
            </w:pPr>
            <w:r>
              <w:rPr>
                <w:rFonts w:ascii="Calibri" w:hAnsi="Calibri" w:cs="Calibri"/>
                <w:sz w:val="17"/>
                <w:szCs w:val="17"/>
              </w:rPr>
              <w:t>0,00</w:t>
            </w:r>
          </w:p>
        </w:tc>
        <w:tc>
          <w:tcPr>
            <w:tcW w:w="1275"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46 000,00</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46 000,00</w:t>
            </w:r>
          </w:p>
        </w:tc>
        <w:tc>
          <w:tcPr>
            <w:tcW w:w="851"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100,00%</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004374</w:t>
            </w:r>
          </w:p>
        </w:tc>
        <w:tc>
          <w:tcPr>
            <w:tcW w:w="4158" w:type="dxa"/>
            <w:tcBorders>
              <w:top w:val="nil"/>
              <w:left w:val="nil"/>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Azyl.</w:t>
            </w:r>
            <w:r w:rsidR="002E388D">
              <w:rPr>
                <w:rFonts w:ascii="Calibri" w:hAnsi="Calibri" w:cs="Calibri"/>
                <w:color w:val="000000"/>
                <w:sz w:val="17"/>
                <w:szCs w:val="17"/>
              </w:rPr>
              <w:t xml:space="preserve"> </w:t>
            </w:r>
            <w:r>
              <w:rPr>
                <w:rFonts w:ascii="Calibri" w:hAnsi="Calibri" w:cs="Calibri"/>
                <w:color w:val="000000"/>
                <w:sz w:val="17"/>
                <w:szCs w:val="17"/>
              </w:rPr>
              <w:t>domy, nízkoprahová denní centra a noclehárny</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600 000,00</w:t>
            </w:r>
          </w:p>
        </w:tc>
        <w:tc>
          <w:tcPr>
            <w:tcW w:w="1275"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830 950,00</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830 950,00</w:t>
            </w:r>
          </w:p>
        </w:tc>
        <w:tc>
          <w:tcPr>
            <w:tcW w:w="851"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100,00%</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004375</w:t>
            </w:r>
          </w:p>
        </w:tc>
        <w:tc>
          <w:tcPr>
            <w:tcW w:w="4158" w:type="dxa"/>
            <w:tcBorders>
              <w:top w:val="nil"/>
              <w:left w:val="nil"/>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Nízkoprahová zařízení pro děti a mládež</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sz w:val="17"/>
                <w:szCs w:val="17"/>
              </w:rPr>
            </w:pPr>
            <w:r>
              <w:rPr>
                <w:rFonts w:ascii="Calibri" w:hAnsi="Calibri" w:cs="Calibri"/>
                <w:sz w:val="17"/>
                <w:szCs w:val="17"/>
              </w:rPr>
              <w:t>0,00</w:t>
            </w:r>
          </w:p>
        </w:tc>
        <w:tc>
          <w:tcPr>
            <w:tcW w:w="1275"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100 000,00</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100 000,00</w:t>
            </w:r>
          </w:p>
        </w:tc>
        <w:tc>
          <w:tcPr>
            <w:tcW w:w="851"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100,00%</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004376</w:t>
            </w:r>
          </w:p>
        </w:tc>
        <w:tc>
          <w:tcPr>
            <w:tcW w:w="4158" w:type="dxa"/>
            <w:tcBorders>
              <w:top w:val="nil"/>
              <w:left w:val="nil"/>
              <w:bottom w:val="single" w:sz="4" w:space="0" w:color="auto"/>
              <w:right w:val="single" w:sz="4" w:space="0" w:color="auto"/>
            </w:tcBorders>
            <w:shd w:val="clear" w:color="auto" w:fill="auto"/>
            <w:noWrap/>
            <w:vAlign w:val="center"/>
            <w:hideMark/>
          </w:tcPr>
          <w:p w:rsidR="001C2410" w:rsidRDefault="001C2410" w:rsidP="002E388D">
            <w:pPr>
              <w:rPr>
                <w:rFonts w:ascii="Calibri" w:hAnsi="Calibri" w:cs="Calibri"/>
                <w:color w:val="000000"/>
                <w:sz w:val="17"/>
                <w:szCs w:val="17"/>
              </w:rPr>
            </w:pPr>
            <w:r>
              <w:rPr>
                <w:rFonts w:ascii="Calibri" w:hAnsi="Calibri" w:cs="Calibri"/>
                <w:color w:val="000000"/>
                <w:sz w:val="17"/>
                <w:szCs w:val="17"/>
              </w:rPr>
              <w:t>Sl.</w:t>
            </w:r>
            <w:r w:rsidR="002E388D">
              <w:rPr>
                <w:rFonts w:ascii="Calibri" w:hAnsi="Calibri" w:cs="Calibri"/>
                <w:color w:val="000000"/>
                <w:sz w:val="17"/>
                <w:szCs w:val="17"/>
              </w:rPr>
              <w:t xml:space="preserve"> </w:t>
            </w:r>
            <w:r>
              <w:rPr>
                <w:rFonts w:ascii="Calibri" w:hAnsi="Calibri" w:cs="Calibri"/>
                <w:color w:val="000000"/>
                <w:sz w:val="17"/>
                <w:szCs w:val="17"/>
              </w:rPr>
              <w:t>násl.</w:t>
            </w:r>
            <w:r w:rsidR="002E388D">
              <w:rPr>
                <w:rFonts w:ascii="Calibri" w:hAnsi="Calibri" w:cs="Calibri"/>
                <w:color w:val="000000"/>
                <w:sz w:val="17"/>
                <w:szCs w:val="17"/>
              </w:rPr>
              <w:t xml:space="preserve"> </w:t>
            </w:r>
            <w:r>
              <w:rPr>
                <w:rFonts w:ascii="Calibri" w:hAnsi="Calibri" w:cs="Calibri"/>
                <w:color w:val="000000"/>
                <w:sz w:val="17"/>
                <w:szCs w:val="17"/>
              </w:rPr>
              <w:t>péče,</w:t>
            </w:r>
            <w:r w:rsidR="002E388D">
              <w:rPr>
                <w:rFonts w:ascii="Calibri" w:hAnsi="Calibri" w:cs="Calibri"/>
                <w:color w:val="000000"/>
                <w:sz w:val="17"/>
                <w:szCs w:val="17"/>
              </w:rPr>
              <w:t xml:space="preserve"> </w:t>
            </w:r>
            <w:r>
              <w:rPr>
                <w:rFonts w:ascii="Calibri" w:hAnsi="Calibri" w:cs="Calibri"/>
                <w:color w:val="000000"/>
                <w:sz w:val="17"/>
                <w:szCs w:val="17"/>
              </w:rPr>
              <w:t>terapeutické komunity a kontak.</w:t>
            </w:r>
            <w:r w:rsidR="002E388D">
              <w:rPr>
                <w:rFonts w:ascii="Calibri" w:hAnsi="Calibri" w:cs="Calibri"/>
                <w:color w:val="000000"/>
                <w:sz w:val="17"/>
                <w:szCs w:val="17"/>
              </w:rPr>
              <w:t xml:space="preserve"> c</w:t>
            </w:r>
            <w:r>
              <w:rPr>
                <w:rFonts w:ascii="Calibri" w:hAnsi="Calibri" w:cs="Calibri"/>
                <w:color w:val="000000"/>
                <w:sz w:val="17"/>
                <w:szCs w:val="17"/>
              </w:rPr>
              <w:t>entra</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325 000,00</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325 000,00</w:t>
            </w:r>
          </w:p>
        </w:tc>
        <w:tc>
          <w:tcPr>
            <w:tcW w:w="851"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100,00%</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004377</w:t>
            </w:r>
          </w:p>
        </w:tc>
        <w:tc>
          <w:tcPr>
            <w:tcW w:w="4158" w:type="dxa"/>
            <w:tcBorders>
              <w:top w:val="nil"/>
              <w:left w:val="nil"/>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Sociálně terapeutické dílny</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sz w:val="17"/>
                <w:szCs w:val="17"/>
              </w:rPr>
            </w:pPr>
            <w:r>
              <w:rPr>
                <w:rFonts w:ascii="Calibri" w:hAnsi="Calibri" w:cs="Calibri"/>
                <w:sz w:val="17"/>
                <w:szCs w:val="17"/>
              </w:rPr>
              <w:t>0,00</w:t>
            </w:r>
          </w:p>
        </w:tc>
        <w:tc>
          <w:tcPr>
            <w:tcW w:w="1275"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110 000,00</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110 000,00</w:t>
            </w:r>
          </w:p>
        </w:tc>
        <w:tc>
          <w:tcPr>
            <w:tcW w:w="851"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100,00%</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004378</w:t>
            </w:r>
          </w:p>
        </w:tc>
        <w:tc>
          <w:tcPr>
            <w:tcW w:w="4158" w:type="dxa"/>
            <w:tcBorders>
              <w:top w:val="nil"/>
              <w:left w:val="nil"/>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Terénní programy</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63 000,00</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63 000,00</w:t>
            </w:r>
          </w:p>
        </w:tc>
        <w:tc>
          <w:tcPr>
            <w:tcW w:w="851"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100,00%</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004379</w:t>
            </w:r>
          </w:p>
        </w:tc>
        <w:tc>
          <w:tcPr>
            <w:tcW w:w="4158" w:type="dxa"/>
            <w:tcBorders>
              <w:top w:val="nil"/>
              <w:left w:val="nil"/>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Ostatní služby a činnosti v oblasti soc. prevence</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sz w:val="17"/>
                <w:szCs w:val="17"/>
              </w:rPr>
            </w:pPr>
            <w:r>
              <w:rPr>
                <w:rFonts w:ascii="Calibri" w:hAnsi="Calibri" w:cs="Calibri"/>
                <w:sz w:val="17"/>
                <w:szCs w:val="17"/>
              </w:rPr>
              <w:t>0,00</w:t>
            </w:r>
          </w:p>
        </w:tc>
        <w:tc>
          <w:tcPr>
            <w:tcW w:w="1275"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560 000,00</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560 000,00</w:t>
            </w:r>
          </w:p>
        </w:tc>
        <w:tc>
          <w:tcPr>
            <w:tcW w:w="851"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100,00%</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004399</w:t>
            </w:r>
          </w:p>
        </w:tc>
        <w:tc>
          <w:tcPr>
            <w:tcW w:w="4158" w:type="dxa"/>
            <w:tcBorders>
              <w:top w:val="nil"/>
              <w:left w:val="nil"/>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Ostatní záležitosti soc.</w:t>
            </w:r>
            <w:r w:rsidR="002E388D">
              <w:rPr>
                <w:rFonts w:ascii="Calibri" w:hAnsi="Calibri" w:cs="Calibri"/>
                <w:color w:val="000000"/>
                <w:sz w:val="17"/>
                <w:szCs w:val="17"/>
              </w:rPr>
              <w:t xml:space="preserve"> </w:t>
            </w:r>
            <w:r>
              <w:rPr>
                <w:rFonts w:ascii="Calibri" w:hAnsi="Calibri" w:cs="Calibri"/>
                <w:color w:val="000000"/>
                <w:sz w:val="17"/>
                <w:szCs w:val="17"/>
              </w:rPr>
              <w:t>věcí a politiky zaměstnano</w:t>
            </w:r>
            <w:r w:rsidR="002E388D">
              <w:rPr>
                <w:rFonts w:ascii="Calibri" w:hAnsi="Calibri" w:cs="Calibri"/>
                <w:color w:val="000000"/>
                <w:sz w:val="17"/>
                <w:szCs w:val="17"/>
              </w:rPr>
              <w:t>sti</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50 000,00</w:t>
            </w:r>
          </w:p>
        </w:tc>
        <w:tc>
          <w:tcPr>
            <w:tcW w:w="1275"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74 000,00</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74 000,00</w:t>
            </w:r>
          </w:p>
        </w:tc>
        <w:tc>
          <w:tcPr>
            <w:tcW w:w="851"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100,00%</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005161</w:t>
            </w:r>
          </w:p>
        </w:tc>
        <w:tc>
          <w:tcPr>
            <w:tcW w:w="4158" w:type="dxa"/>
            <w:tcBorders>
              <w:top w:val="nil"/>
              <w:left w:val="nil"/>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Činnost ÚOSS ve vojenské obraně</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sz w:val="17"/>
                <w:szCs w:val="17"/>
              </w:rPr>
            </w:pPr>
            <w:r>
              <w:rPr>
                <w:rFonts w:ascii="Calibri" w:hAnsi="Calibri" w:cs="Calibri"/>
                <w:sz w:val="17"/>
                <w:szCs w:val="17"/>
              </w:rPr>
              <w:t>1 900,00</w:t>
            </w:r>
          </w:p>
        </w:tc>
        <w:tc>
          <w:tcPr>
            <w:tcW w:w="1275"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1 900,00</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0,00</w:t>
            </w:r>
          </w:p>
        </w:tc>
        <w:tc>
          <w:tcPr>
            <w:tcW w:w="851"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0,00%</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005213</w:t>
            </w:r>
          </w:p>
        </w:tc>
        <w:tc>
          <w:tcPr>
            <w:tcW w:w="4158" w:type="dxa"/>
            <w:tcBorders>
              <w:top w:val="nil"/>
              <w:left w:val="nil"/>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Krizová opatření</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200 000,00</w:t>
            </w:r>
          </w:p>
        </w:tc>
        <w:tc>
          <w:tcPr>
            <w:tcW w:w="1275"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200 000,00</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0,00</w:t>
            </w:r>
          </w:p>
        </w:tc>
        <w:tc>
          <w:tcPr>
            <w:tcW w:w="851"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0,00%</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005273</w:t>
            </w:r>
          </w:p>
        </w:tc>
        <w:tc>
          <w:tcPr>
            <w:tcW w:w="4158" w:type="dxa"/>
            <w:tcBorders>
              <w:top w:val="nil"/>
              <w:left w:val="nil"/>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Ostatní správa v oblasti krizového řízení</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sz w:val="17"/>
                <w:szCs w:val="17"/>
              </w:rPr>
            </w:pPr>
            <w:r>
              <w:rPr>
                <w:rFonts w:ascii="Calibri" w:hAnsi="Calibri" w:cs="Calibri"/>
                <w:sz w:val="17"/>
                <w:szCs w:val="17"/>
              </w:rPr>
              <w:t>190 950,00</w:t>
            </w:r>
          </w:p>
        </w:tc>
        <w:tc>
          <w:tcPr>
            <w:tcW w:w="1275"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510 867,00</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263 257,01</w:t>
            </w:r>
          </w:p>
        </w:tc>
        <w:tc>
          <w:tcPr>
            <w:tcW w:w="851"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51,53%</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005311</w:t>
            </w:r>
          </w:p>
        </w:tc>
        <w:tc>
          <w:tcPr>
            <w:tcW w:w="4158" w:type="dxa"/>
            <w:tcBorders>
              <w:top w:val="nil"/>
              <w:left w:val="nil"/>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Bezpečnost a veřejný pořádek</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49 493 300,00</w:t>
            </w:r>
          </w:p>
        </w:tc>
        <w:tc>
          <w:tcPr>
            <w:tcW w:w="1275"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51 143 820,00</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49 486 124,21</w:t>
            </w:r>
          </w:p>
        </w:tc>
        <w:tc>
          <w:tcPr>
            <w:tcW w:w="851"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96,76%</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005512</w:t>
            </w:r>
          </w:p>
        </w:tc>
        <w:tc>
          <w:tcPr>
            <w:tcW w:w="4158" w:type="dxa"/>
            <w:tcBorders>
              <w:top w:val="nil"/>
              <w:left w:val="nil"/>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Požární ochrana - dobrovolná část</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sz w:val="17"/>
                <w:szCs w:val="17"/>
              </w:rPr>
            </w:pPr>
            <w:r>
              <w:rPr>
                <w:rFonts w:ascii="Calibri" w:hAnsi="Calibri" w:cs="Calibri"/>
                <w:sz w:val="17"/>
                <w:szCs w:val="17"/>
              </w:rPr>
              <w:t>1 818 514,00</w:t>
            </w:r>
          </w:p>
        </w:tc>
        <w:tc>
          <w:tcPr>
            <w:tcW w:w="1275"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2 331 378,00</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2 308 672,89</w:t>
            </w:r>
          </w:p>
        </w:tc>
        <w:tc>
          <w:tcPr>
            <w:tcW w:w="851"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99,03%</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006112</w:t>
            </w:r>
          </w:p>
        </w:tc>
        <w:tc>
          <w:tcPr>
            <w:tcW w:w="4158" w:type="dxa"/>
            <w:tcBorders>
              <w:top w:val="nil"/>
              <w:left w:val="nil"/>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Zastupitelstva obcí</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14 948 000,00</w:t>
            </w:r>
          </w:p>
        </w:tc>
        <w:tc>
          <w:tcPr>
            <w:tcW w:w="1275"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14 948 000,00</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12 567 589,68</w:t>
            </w:r>
          </w:p>
        </w:tc>
        <w:tc>
          <w:tcPr>
            <w:tcW w:w="851"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84,08%</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006115</w:t>
            </w:r>
          </w:p>
        </w:tc>
        <w:tc>
          <w:tcPr>
            <w:tcW w:w="4158" w:type="dxa"/>
            <w:tcBorders>
              <w:top w:val="nil"/>
              <w:left w:val="nil"/>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Volby do zastupitelstev územních samosprávných cel</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sz w:val="17"/>
                <w:szCs w:val="17"/>
              </w:rPr>
            </w:pPr>
            <w:r>
              <w:rPr>
                <w:rFonts w:ascii="Calibri" w:hAnsi="Calibri" w:cs="Calibri"/>
                <w:sz w:val="17"/>
                <w:szCs w:val="17"/>
              </w:rPr>
              <w:t>0,00</w:t>
            </w:r>
          </w:p>
        </w:tc>
        <w:tc>
          <w:tcPr>
            <w:tcW w:w="1275"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1 428 000,00</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1 475 354,42</w:t>
            </w:r>
          </w:p>
        </w:tc>
        <w:tc>
          <w:tcPr>
            <w:tcW w:w="851"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103,32%</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006118</w:t>
            </w:r>
          </w:p>
        </w:tc>
        <w:tc>
          <w:tcPr>
            <w:tcW w:w="4158" w:type="dxa"/>
            <w:tcBorders>
              <w:top w:val="nil"/>
              <w:left w:val="nil"/>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Volba prezidenta republiky</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428 600,00</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0,00</w:t>
            </w:r>
          </w:p>
        </w:tc>
        <w:tc>
          <w:tcPr>
            <w:tcW w:w="851"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0,00%</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006171</w:t>
            </w:r>
          </w:p>
        </w:tc>
        <w:tc>
          <w:tcPr>
            <w:tcW w:w="4158" w:type="dxa"/>
            <w:tcBorders>
              <w:top w:val="nil"/>
              <w:left w:val="nil"/>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Činnost místní správy</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sz w:val="17"/>
                <w:szCs w:val="17"/>
              </w:rPr>
            </w:pPr>
            <w:r>
              <w:rPr>
                <w:rFonts w:ascii="Calibri" w:hAnsi="Calibri" w:cs="Calibri"/>
                <w:sz w:val="17"/>
                <w:szCs w:val="17"/>
              </w:rPr>
              <w:t>249 112 055,00</w:t>
            </w:r>
          </w:p>
        </w:tc>
        <w:tc>
          <w:tcPr>
            <w:tcW w:w="1275"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276 457 105,36</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258 527 601,35</w:t>
            </w:r>
          </w:p>
        </w:tc>
        <w:tc>
          <w:tcPr>
            <w:tcW w:w="851"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93,51%</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006221</w:t>
            </w:r>
          </w:p>
        </w:tc>
        <w:tc>
          <w:tcPr>
            <w:tcW w:w="4158" w:type="dxa"/>
            <w:tcBorders>
              <w:top w:val="nil"/>
              <w:left w:val="nil"/>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Humanitární zahraniční pomoc přímá</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180 083,00</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180 083,00</w:t>
            </w:r>
          </w:p>
        </w:tc>
        <w:tc>
          <w:tcPr>
            <w:tcW w:w="851"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100,00%</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006310</w:t>
            </w:r>
          </w:p>
        </w:tc>
        <w:tc>
          <w:tcPr>
            <w:tcW w:w="4158" w:type="dxa"/>
            <w:tcBorders>
              <w:top w:val="nil"/>
              <w:left w:val="nil"/>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Obecné příjmy a výdaje z finančních operací</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sz w:val="17"/>
                <w:szCs w:val="17"/>
              </w:rPr>
            </w:pPr>
            <w:r>
              <w:rPr>
                <w:rFonts w:ascii="Calibri" w:hAnsi="Calibri" w:cs="Calibri"/>
                <w:sz w:val="17"/>
                <w:szCs w:val="17"/>
              </w:rPr>
              <w:t>408 000,00</w:t>
            </w:r>
          </w:p>
        </w:tc>
        <w:tc>
          <w:tcPr>
            <w:tcW w:w="1275"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408 000,00</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201 856,45</w:t>
            </w:r>
          </w:p>
        </w:tc>
        <w:tc>
          <w:tcPr>
            <w:tcW w:w="851"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49,47%</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006320</w:t>
            </w:r>
          </w:p>
        </w:tc>
        <w:tc>
          <w:tcPr>
            <w:tcW w:w="4158" w:type="dxa"/>
            <w:tcBorders>
              <w:top w:val="nil"/>
              <w:left w:val="nil"/>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Pojištění funkčně nespecifikované</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4 354 427,00</w:t>
            </w:r>
          </w:p>
        </w:tc>
        <w:tc>
          <w:tcPr>
            <w:tcW w:w="1275"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4 303 427,00</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2 928 885,00</w:t>
            </w:r>
          </w:p>
        </w:tc>
        <w:tc>
          <w:tcPr>
            <w:tcW w:w="851"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68,06%</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006399</w:t>
            </w:r>
          </w:p>
        </w:tc>
        <w:tc>
          <w:tcPr>
            <w:tcW w:w="4158" w:type="dxa"/>
            <w:tcBorders>
              <w:top w:val="nil"/>
              <w:left w:val="nil"/>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Ostatní finanční operace</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sz w:val="17"/>
                <w:szCs w:val="17"/>
              </w:rPr>
            </w:pPr>
            <w:r>
              <w:rPr>
                <w:rFonts w:ascii="Calibri" w:hAnsi="Calibri" w:cs="Calibri"/>
                <w:sz w:val="17"/>
                <w:szCs w:val="17"/>
              </w:rPr>
              <w:t>36 025 000,00</w:t>
            </w:r>
          </w:p>
        </w:tc>
        <w:tc>
          <w:tcPr>
            <w:tcW w:w="1275"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36 025 000,00</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30 558 388,41</w:t>
            </w:r>
          </w:p>
        </w:tc>
        <w:tc>
          <w:tcPr>
            <w:tcW w:w="851"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84,83%</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006402</w:t>
            </w:r>
          </w:p>
        </w:tc>
        <w:tc>
          <w:tcPr>
            <w:tcW w:w="4158" w:type="dxa"/>
            <w:tcBorders>
              <w:top w:val="nil"/>
              <w:left w:val="nil"/>
              <w:bottom w:val="single" w:sz="4" w:space="0" w:color="auto"/>
              <w:right w:val="single" w:sz="4" w:space="0" w:color="auto"/>
            </w:tcBorders>
            <w:shd w:val="clear" w:color="auto" w:fill="auto"/>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Finanční vypořádání</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0,00</w:t>
            </w:r>
          </w:p>
        </w:tc>
        <w:tc>
          <w:tcPr>
            <w:tcW w:w="1275"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72 500,00</w:t>
            </w:r>
          </w:p>
        </w:tc>
        <w:tc>
          <w:tcPr>
            <w:tcW w:w="1276"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72 500,00</w:t>
            </w:r>
          </w:p>
        </w:tc>
        <w:tc>
          <w:tcPr>
            <w:tcW w:w="851" w:type="dxa"/>
            <w:tcBorders>
              <w:top w:val="nil"/>
              <w:left w:val="nil"/>
              <w:bottom w:val="single" w:sz="4" w:space="0" w:color="auto"/>
              <w:right w:val="single" w:sz="4" w:space="0" w:color="auto"/>
            </w:tcBorders>
            <w:shd w:val="clear" w:color="auto" w:fill="auto"/>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100,00%</w:t>
            </w:r>
          </w:p>
        </w:tc>
      </w:tr>
      <w:tr w:rsidR="001C2410" w:rsidTr="001C2410">
        <w:trPr>
          <w:trHeight w:val="272"/>
        </w:trPr>
        <w:tc>
          <w:tcPr>
            <w:tcW w:w="657" w:type="dxa"/>
            <w:tcBorders>
              <w:top w:val="nil"/>
              <w:left w:val="single" w:sz="4" w:space="0" w:color="auto"/>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006409</w:t>
            </w:r>
          </w:p>
        </w:tc>
        <w:tc>
          <w:tcPr>
            <w:tcW w:w="4158" w:type="dxa"/>
            <w:tcBorders>
              <w:top w:val="nil"/>
              <w:left w:val="nil"/>
              <w:bottom w:val="single" w:sz="4" w:space="0" w:color="auto"/>
              <w:right w:val="single" w:sz="4" w:space="0" w:color="auto"/>
            </w:tcBorders>
            <w:shd w:val="clear" w:color="000000" w:fill="D9D9D9"/>
            <w:noWrap/>
            <w:vAlign w:val="center"/>
            <w:hideMark/>
          </w:tcPr>
          <w:p w:rsidR="001C2410" w:rsidRDefault="001C2410">
            <w:pPr>
              <w:rPr>
                <w:rFonts w:ascii="Calibri" w:hAnsi="Calibri" w:cs="Calibri"/>
                <w:color w:val="000000"/>
                <w:sz w:val="17"/>
                <w:szCs w:val="17"/>
              </w:rPr>
            </w:pPr>
            <w:r>
              <w:rPr>
                <w:rFonts w:ascii="Calibri" w:hAnsi="Calibri" w:cs="Calibri"/>
                <w:color w:val="000000"/>
                <w:sz w:val="17"/>
                <w:szCs w:val="17"/>
              </w:rPr>
              <w:t>Ostatní činnosti jinde nezařazené</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sz w:val="17"/>
                <w:szCs w:val="17"/>
              </w:rPr>
            </w:pPr>
            <w:r>
              <w:rPr>
                <w:rFonts w:ascii="Calibri" w:hAnsi="Calibri" w:cs="Calibri"/>
                <w:sz w:val="17"/>
                <w:szCs w:val="17"/>
              </w:rPr>
              <w:t>69 449 695,00</w:t>
            </w:r>
          </w:p>
        </w:tc>
        <w:tc>
          <w:tcPr>
            <w:tcW w:w="1275"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13 298 653,40</w:t>
            </w:r>
          </w:p>
        </w:tc>
        <w:tc>
          <w:tcPr>
            <w:tcW w:w="1276"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5 565 596,95</w:t>
            </w:r>
          </w:p>
        </w:tc>
        <w:tc>
          <w:tcPr>
            <w:tcW w:w="851" w:type="dxa"/>
            <w:tcBorders>
              <w:top w:val="nil"/>
              <w:left w:val="nil"/>
              <w:bottom w:val="single" w:sz="4" w:space="0" w:color="auto"/>
              <w:right w:val="single" w:sz="4" w:space="0" w:color="auto"/>
            </w:tcBorders>
            <w:shd w:val="clear" w:color="000000" w:fill="D9D9D9"/>
            <w:noWrap/>
            <w:vAlign w:val="center"/>
            <w:hideMark/>
          </w:tcPr>
          <w:p w:rsidR="001C2410" w:rsidRDefault="001C2410">
            <w:pPr>
              <w:jc w:val="right"/>
              <w:rPr>
                <w:rFonts w:ascii="Calibri" w:hAnsi="Calibri" w:cs="Calibri"/>
                <w:color w:val="000000"/>
                <w:sz w:val="17"/>
                <w:szCs w:val="17"/>
              </w:rPr>
            </w:pPr>
            <w:r>
              <w:rPr>
                <w:rFonts w:ascii="Calibri" w:hAnsi="Calibri" w:cs="Calibri"/>
                <w:color w:val="000000"/>
                <w:sz w:val="17"/>
                <w:szCs w:val="17"/>
              </w:rPr>
              <w:t>41,85%</w:t>
            </w:r>
          </w:p>
        </w:tc>
      </w:tr>
      <w:tr w:rsidR="001C2410" w:rsidTr="001C2410">
        <w:trPr>
          <w:trHeight w:val="272"/>
        </w:trPr>
        <w:tc>
          <w:tcPr>
            <w:tcW w:w="4815" w:type="dxa"/>
            <w:gridSpan w:val="2"/>
            <w:tcBorders>
              <w:top w:val="single" w:sz="4" w:space="0" w:color="auto"/>
              <w:left w:val="single" w:sz="4" w:space="0" w:color="auto"/>
              <w:bottom w:val="single" w:sz="4" w:space="0" w:color="auto"/>
              <w:right w:val="single" w:sz="4" w:space="0" w:color="auto"/>
            </w:tcBorders>
            <w:shd w:val="clear" w:color="D6A100" w:fill="FFC000"/>
            <w:noWrap/>
            <w:vAlign w:val="center"/>
            <w:hideMark/>
          </w:tcPr>
          <w:p w:rsidR="001C2410" w:rsidRDefault="001C2410">
            <w:pPr>
              <w:rPr>
                <w:rFonts w:ascii="Calibri" w:hAnsi="Calibri" w:cs="Calibri"/>
                <w:b/>
                <w:bCs/>
                <w:color w:val="000000"/>
                <w:sz w:val="17"/>
                <w:szCs w:val="17"/>
              </w:rPr>
            </w:pPr>
            <w:r>
              <w:rPr>
                <w:rFonts w:ascii="Calibri" w:hAnsi="Calibri" w:cs="Calibri"/>
                <w:b/>
                <w:bCs/>
                <w:color w:val="000000"/>
                <w:sz w:val="17"/>
                <w:szCs w:val="17"/>
              </w:rPr>
              <w:t>Výdaje celkem</w:t>
            </w:r>
          </w:p>
        </w:tc>
        <w:tc>
          <w:tcPr>
            <w:tcW w:w="1276" w:type="dxa"/>
            <w:tcBorders>
              <w:top w:val="nil"/>
              <w:left w:val="nil"/>
              <w:bottom w:val="single" w:sz="4" w:space="0" w:color="auto"/>
              <w:right w:val="single" w:sz="4" w:space="0" w:color="auto"/>
            </w:tcBorders>
            <w:shd w:val="clear" w:color="D6A100" w:fill="FFC000"/>
            <w:noWrap/>
            <w:vAlign w:val="center"/>
            <w:hideMark/>
          </w:tcPr>
          <w:p w:rsidR="001C2410" w:rsidRDefault="001C2410">
            <w:pPr>
              <w:jc w:val="right"/>
              <w:rPr>
                <w:rFonts w:ascii="Calibri" w:hAnsi="Calibri" w:cs="Calibri"/>
                <w:b/>
                <w:bCs/>
                <w:color w:val="000000"/>
                <w:sz w:val="17"/>
                <w:szCs w:val="17"/>
              </w:rPr>
            </w:pPr>
            <w:r>
              <w:rPr>
                <w:rFonts w:ascii="Calibri" w:hAnsi="Calibri" w:cs="Calibri"/>
                <w:b/>
                <w:bCs/>
                <w:color w:val="000000"/>
                <w:sz w:val="17"/>
                <w:szCs w:val="17"/>
              </w:rPr>
              <w:t>865 485 480,00</w:t>
            </w:r>
          </w:p>
        </w:tc>
        <w:tc>
          <w:tcPr>
            <w:tcW w:w="1275" w:type="dxa"/>
            <w:tcBorders>
              <w:top w:val="nil"/>
              <w:left w:val="nil"/>
              <w:bottom w:val="single" w:sz="4" w:space="0" w:color="auto"/>
              <w:right w:val="single" w:sz="4" w:space="0" w:color="auto"/>
            </w:tcBorders>
            <w:shd w:val="clear" w:color="D6A100" w:fill="FFC000"/>
            <w:noWrap/>
            <w:vAlign w:val="center"/>
            <w:hideMark/>
          </w:tcPr>
          <w:p w:rsidR="001C2410" w:rsidRDefault="001C2410">
            <w:pPr>
              <w:jc w:val="right"/>
              <w:rPr>
                <w:rFonts w:ascii="Calibri" w:hAnsi="Calibri" w:cs="Calibri"/>
                <w:b/>
                <w:bCs/>
                <w:color w:val="000000"/>
                <w:sz w:val="17"/>
                <w:szCs w:val="17"/>
              </w:rPr>
            </w:pPr>
            <w:r>
              <w:rPr>
                <w:rFonts w:ascii="Calibri" w:hAnsi="Calibri" w:cs="Calibri"/>
                <w:b/>
                <w:bCs/>
                <w:color w:val="000000"/>
                <w:sz w:val="17"/>
                <w:szCs w:val="17"/>
              </w:rPr>
              <w:t>973 226 593,05</w:t>
            </w:r>
          </w:p>
        </w:tc>
        <w:tc>
          <w:tcPr>
            <w:tcW w:w="1276" w:type="dxa"/>
            <w:tcBorders>
              <w:top w:val="nil"/>
              <w:left w:val="nil"/>
              <w:bottom w:val="single" w:sz="4" w:space="0" w:color="auto"/>
              <w:right w:val="single" w:sz="4" w:space="0" w:color="auto"/>
            </w:tcBorders>
            <w:shd w:val="clear" w:color="D6A100" w:fill="FFC000"/>
            <w:noWrap/>
            <w:vAlign w:val="center"/>
            <w:hideMark/>
          </w:tcPr>
          <w:p w:rsidR="001C2410" w:rsidRDefault="001C2410">
            <w:pPr>
              <w:jc w:val="right"/>
              <w:rPr>
                <w:rFonts w:ascii="Calibri" w:hAnsi="Calibri" w:cs="Calibri"/>
                <w:b/>
                <w:bCs/>
                <w:color w:val="000000"/>
                <w:sz w:val="17"/>
                <w:szCs w:val="17"/>
              </w:rPr>
            </w:pPr>
            <w:r>
              <w:rPr>
                <w:rFonts w:ascii="Calibri" w:hAnsi="Calibri" w:cs="Calibri"/>
                <w:b/>
                <w:bCs/>
                <w:color w:val="000000"/>
                <w:sz w:val="17"/>
                <w:szCs w:val="17"/>
              </w:rPr>
              <w:t>916 738 437,70</w:t>
            </w:r>
          </w:p>
        </w:tc>
        <w:tc>
          <w:tcPr>
            <w:tcW w:w="851" w:type="dxa"/>
            <w:tcBorders>
              <w:top w:val="nil"/>
              <w:left w:val="nil"/>
              <w:bottom w:val="single" w:sz="4" w:space="0" w:color="auto"/>
              <w:right w:val="single" w:sz="4" w:space="0" w:color="auto"/>
            </w:tcBorders>
            <w:shd w:val="clear" w:color="000000" w:fill="FFC000"/>
            <w:noWrap/>
            <w:vAlign w:val="center"/>
            <w:hideMark/>
          </w:tcPr>
          <w:p w:rsidR="001C2410" w:rsidRDefault="001C2410">
            <w:pPr>
              <w:jc w:val="right"/>
              <w:rPr>
                <w:rFonts w:ascii="Calibri" w:hAnsi="Calibri" w:cs="Calibri"/>
                <w:b/>
                <w:bCs/>
                <w:color w:val="000000"/>
                <w:sz w:val="17"/>
                <w:szCs w:val="17"/>
              </w:rPr>
            </w:pPr>
            <w:r>
              <w:rPr>
                <w:rFonts w:ascii="Calibri" w:hAnsi="Calibri" w:cs="Calibri"/>
                <w:b/>
                <w:bCs/>
                <w:color w:val="000000"/>
                <w:sz w:val="17"/>
                <w:szCs w:val="17"/>
              </w:rPr>
              <w:t>94,20%</w:t>
            </w:r>
          </w:p>
        </w:tc>
      </w:tr>
    </w:tbl>
    <w:p w:rsidR="001C2410" w:rsidRPr="001C2410" w:rsidRDefault="001C2410" w:rsidP="001C2410"/>
    <w:p w:rsidR="00985384" w:rsidRPr="00985384" w:rsidRDefault="00985384" w:rsidP="00985384"/>
    <w:p w:rsidR="007A2723" w:rsidRDefault="007A2723" w:rsidP="007A2723"/>
    <w:p w:rsidR="007A2723" w:rsidRPr="007A2723" w:rsidRDefault="007A2723" w:rsidP="007A2723"/>
    <w:p w:rsidR="008E0E9A" w:rsidRDefault="008E0E9A" w:rsidP="008E0E9A"/>
    <w:p w:rsidR="007F57B3" w:rsidRPr="008E0E9A" w:rsidRDefault="007F57B3" w:rsidP="008E0E9A"/>
    <w:p w:rsidR="00C928BD" w:rsidRDefault="00C928BD" w:rsidP="0024764D">
      <w:pPr>
        <w:pStyle w:val="Nadpis3"/>
        <w:rPr>
          <w:b w:val="0"/>
        </w:rPr>
      </w:pPr>
      <w:bookmarkStart w:id="43" w:name="_Toc39129529"/>
      <w:r w:rsidRPr="00985384">
        <w:rPr>
          <w:b w:val="0"/>
        </w:rPr>
        <w:lastRenderedPageBreak/>
        <w:t>Vyhodnocení kapitálových výdajů za odvětvo</w:t>
      </w:r>
      <w:r w:rsidR="007A2723" w:rsidRPr="00985384">
        <w:rPr>
          <w:b w:val="0"/>
        </w:rPr>
        <w:t>vé třídění (paragrafy) – rok 202</w:t>
      </w:r>
      <w:r w:rsidR="007F57B3">
        <w:rPr>
          <w:b w:val="0"/>
        </w:rPr>
        <w:t>2</w:t>
      </w:r>
      <w:r w:rsidRPr="00985384">
        <w:rPr>
          <w:b w:val="0"/>
        </w:rPr>
        <w:t xml:space="preserve"> (v Kč) – PO KONSOLIDACI</w:t>
      </w:r>
      <w:bookmarkEnd w:id="43"/>
    </w:p>
    <w:tbl>
      <w:tblPr>
        <w:tblW w:w="9493" w:type="dxa"/>
        <w:tblCellMar>
          <w:left w:w="70" w:type="dxa"/>
          <w:right w:w="70" w:type="dxa"/>
        </w:tblCellMar>
        <w:tblLook w:val="04A0" w:firstRow="1" w:lastRow="0" w:firstColumn="1" w:lastColumn="0" w:noHBand="0" w:noVBand="1"/>
      </w:tblPr>
      <w:tblGrid>
        <w:gridCol w:w="657"/>
        <w:gridCol w:w="4158"/>
        <w:gridCol w:w="1276"/>
        <w:gridCol w:w="1275"/>
        <w:gridCol w:w="1276"/>
        <w:gridCol w:w="851"/>
      </w:tblGrid>
      <w:tr w:rsidR="007F57B3" w:rsidRPr="007F57B3" w:rsidTr="007F57B3">
        <w:trPr>
          <w:trHeight w:val="300"/>
        </w:trPr>
        <w:tc>
          <w:tcPr>
            <w:tcW w:w="657" w:type="dxa"/>
            <w:vMerge w:val="restart"/>
            <w:tcBorders>
              <w:top w:val="single" w:sz="4" w:space="0" w:color="auto"/>
              <w:left w:val="single" w:sz="4" w:space="0" w:color="auto"/>
              <w:bottom w:val="single" w:sz="4" w:space="0" w:color="auto"/>
              <w:right w:val="single" w:sz="4" w:space="0" w:color="auto"/>
            </w:tcBorders>
            <w:shd w:val="clear" w:color="D6A100" w:fill="FFC000"/>
            <w:noWrap/>
            <w:vAlign w:val="center"/>
            <w:hideMark/>
          </w:tcPr>
          <w:p w:rsidR="007F57B3" w:rsidRPr="007F57B3" w:rsidRDefault="007F57B3">
            <w:pPr>
              <w:jc w:val="center"/>
              <w:rPr>
                <w:rFonts w:ascii="Calibri" w:hAnsi="Calibri" w:cs="Calibri"/>
                <w:color w:val="000000"/>
                <w:sz w:val="17"/>
                <w:szCs w:val="17"/>
              </w:rPr>
            </w:pPr>
            <w:r w:rsidRPr="007F57B3">
              <w:rPr>
                <w:rFonts w:ascii="Calibri" w:hAnsi="Calibri" w:cs="Calibri"/>
                <w:color w:val="000000"/>
                <w:sz w:val="17"/>
                <w:szCs w:val="17"/>
              </w:rPr>
              <w:t>Par.</w:t>
            </w:r>
          </w:p>
        </w:tc>
        <w:tc>
          <w:tcPr>
            <w:tcW w:w="4158" w:type="dxa"/>
            <w:vMerge w:val="restart"/>
            <w:tcBorders>
              <w:top w:val="single" w:sz="4" w:space="0" w:color="auto"/>
              <w:left w:val="single" w:sz="4" w:space="0" w:color="auto"/>
              <w:bottom w:val="single" w:sz="4" w:space="0" w:color="auto"/>
              <w:right w:val="single" w:sz="4" w:space="0" w:color="auto"/>
            </w:tcBorders>
            <w:shd w:val="clear" w:color="D6A100" w:fill="FFC000"/>
            <w:noWrap/>
            <w:vAlign w:val="center"/>
            <w:hideMark/>
          </w:tcPr>
          <w:p w:rsidR="007F57B3" w:rsidRPr="007F57B3" w:rsidRDefault="007F57B3">
            <w:pPr>
              <w:jc w:val="center"/>
              <w:rPr>
                <w:rFonts w:ascii="Calibri" w:hAnsi="Calibri" w:cs="Calibri"/>
                <w:color w:val="000000"/>
                <w:sz w:val="17"/>
                <w:szCs w:val="17"/>
              </w:rPr>
            </w:pPr>
            <w:r w:rsidRPr="007F57B3">
              <w:rPr>
                <w:rFonts w:ascii="Calibri" w:hAnsi="Calibri" w:cs="Calibri"/>
                <w:color w:val="000000"/>
                <w:sz w:val="17"/>
                <w:szCs w:val="17"/>
              </w:rPr>
              <w:t>Název paragrafu</w:t>
            </w:r>
          </w:p>
        </w:tc>
        <w:tc>
          <w:tcPr>
            <w:tcW w:w="2551" w:type="dxa"/>
            <w:gridSpan w:val="2"/>
            <w:tcBorders>
              <w:top w:val="single" w:sz="4" w:space="0" w:color="auto"/>
              <w:left w:val="nil"/>
              <w:bottom w:val="single" w:sz="4" w:space="0" w:color="auto"/>
              <w:right w:val="single" w:sz="4" w:space="0" w:color="auto"/>
            </w:tcBorders>
            <w:shd w:val="clear" w:color="D6A100" w:fill="FFC000"/>
            <w:noWrap/>
            <w:vAlign w:val="center"/>
            <w:hideMark/>
          </w:tcPr>
          <w:p w:rsidR="007F57B3" w:rsidRPr="007F57B3" w:rsidRDefault="007F57B3">
            <w:pPr>
              <w:jc w:val="center"/>
              <w:rPr>
                <w:rFonts w:ascii="Calibri" w:hAnsi="Calibri" w:cs="Calibri"/>
                <w:color w:val="000000"/>
                <w:sz w:val="17"/>
                <w:szCs w:val="17"/>
              </w:rPr>
            </w:pPr>
            <w:r w:rsidRPr="007F57B3">
              <w:rPr>
                <w:rFonts w:ascii="Calibri" w:hAnsi="Calibri" w:cs="Calibri"/>
                <w:color w:val="000000"/>
                <w:sz w:val="17"/>
                <w:szCs w:val="17"/>
              </w:rPr>
              <w:t>Rozpočet</w:t>
            </w:r>
          </w:p>
        </w:tc>
        <w:tc>
          <w:tcPr>
            <w:tcW w:w="1276" w:type="dxa"/>
            <w:vMerge w:val="restart"/>
            <w:tcBorders>
              <w:top w:val="single" w:sz="4" w:space="0" w:color="auto"/>
              <w:left w:val="single" w:sz="4" w:space="0" w:color="auto"/>
              <w:bottom w:val="single" w:sz="4" w:space="0" w:color="auto"/>
              <w:right w:val="single" w:sz="4" w:space="0" w:color="auto"/>
            </w:tcBorders>
            <w:shd w:val="clear" w:color="D6A100" w:fill="FFC000"/>
            <w:noWrap/>
            <w:vAlign w:val="center"/>
            <w:hideMark/>
          </w:tcPr>
          <w:p w:rsidR="007F57B3" w:rsidRPr="007F57B3" w:rsidRDefault="007F57B3">
            <w:pPr>
              <w:jc w:val="center"/>
              <w:rPr>
                <w:rFonts w:ascii="Calibri" w:hAnsi="Calibri" w:cs="Calibri"/>
                <w:color w:val="000000"/>
                <w:sz w:val="17"/>
                <w:szCs w:val="17"/>
              </w:rPr>
            </w:pPr>
            <w:r w:rsidRPr="007F57B3">
              <w:rPr>
                <w:rFonts w:ascii="Calibri" w:hAnsi="Calibri" w:cs="Calibri"/>
                <w:color w:val="000000"/>
                <w:sz w:val="17"/>
                <w:szCs w:val="17"/>
              </w:rPr>
              <w:t>Skutečnost</w:t>
            </w:r>
          </w:p>
        </w:tc>
        <w:tc>
          <w:tcPr>
            <w:tcW w:w="851" w:type="dxa"/>
            <w:vMerge w:val="restart"/>
            <w:tcBorders>
              <w:top w:val="single" w:sz="4" w:space="0" w:color="auto"/>
              <w:left w:val="single" w:sz="4" w:space="0" w:color="auto"/>
              <w:bottom w:val="single" w:sz="4" w:space="0" w:color="auto"/>
              <w:right w:val="single" w:sz="4" w:space="0" w:color="auto"/>
            </w:tcBorders>
            <w:shd w:val="clear" w:color="D6A100" w:fill="FFC000"/>
            <w:vAlign w:val="center"/>
            <w:hideMark/>
          </w:tcPr>
          <w:p w:rsidR="007F57B3" w:rsidRPr="007F57B3" w:rsidRDefault="007F57B3">
            <w:pPr>
              <w:jc w:val="center"/>
              <w:rPr>
                <w:rFonts w:ascii="Calibri" w:hAnsi="Calibri" w:cs="Calibri"/>
                <w:color w:val="000000"/>
                <w:sz w:val="17"/>
                <w:szCs w:val="17"/>
              </w:rPr>
            </w:pPr>
            <w:r w:rsidRPr="007F57B3">
              <w:rPr>
                <w:rFonts w:ascii="Calibri" w:hAnsi="Calibri" w:cs="Calibri"/>
                <w:color w:val="000000"/>
                <w:sz w:val="17"/>
                <w:szCs w:val="17"/>
              </w:rPr>
              <w:t>% plnění Skut./Upr</w:t>
            </w:r>
          </w:p>
        </w:tc>
      </w:tr>
      <w:tr w:rsidR="007F57B3" w:rsidRPr="007F57B3" w:rsidTr="007F57B3">
        <w:trPr>
          <w:trHeight w:val="300"/>
        </w:trPr>
        <w:tc>
          <w:tcPr>
            <w:tcW w:w="657" w:type="dxa"/>
            <w:vMerge/>
            <w:tcBorders>
              <w:top w:val="single" w:sz="4" w:space="0" w:color="auto"/>
              <w:left w:val="single" w:sz="4" w:space="0" w:color="auto"/>
              <w:bottom w:val="single" w:sz="4" w:space="0" w:color="auto"/>
              <w:right w:val="single" w:sz="4" w:space="0" w:color="auto"/>
            </w:tcBorders>
            <w:vAlign w:val="center"/>
            <w:hideMark/>
          </w:tcPr>
          <w:p w:rsidR="007F57B3" w:rsidRPr="007F57B3" w:rsidRDefault="007F57B3">
            <w:pPr>
              <w:rPr>
                <w:rFonts w:ascii="Calibri" w:hAnsi="Calibri" w:cs="Calibri"/>
                <w:color w:val="000000"/>
                <w:sz w:val="17"/>
                <w:szCs w:val="17"/>
              </w:rPr>
            </w:pPr>
          </w:p>
        </w:tc>
        <w:tc>
          <w:tcPr>
            <w:tcW w:w="4158" w:type="dxa"/>
            <w:vMerge/>
            <w:tcBorders>
              <w:top w:val="single" w:sz="4" w:space="0" w:color="auto"/>
              <w:left w:val="single" w:sz="4" w:space="0" w:color="auto"/>
              <w:bottom w:val="single" w:sz="4" w:space="0" w:color="auto"/>
              <w:right w:val="single" w:sz="4" w:space="0" w:color="auto"/>
            </w:tcBorders>
            <w:vAlign w:val="center"/>
            <w:hideMark/>
          </w:tcPr>
          <w:p w:rsidR="007F57B3" w:rsidRPr="007F57B3" w:rsidRDefault="007F57B3">
            <w:pPr>
              <w:rPr>
                <w:rFonts w:ascii="Calibri" w:hAnsi="Calibri" w:cs="Calibri"/>
                <w:color w:val="000000"/>
                <w:sz w:val="17"/>
                <w:szCs w:val="17"/>
              </w:rPr>
            </w:pPr>
          </w:p>
        </w:tc>
        <w:tc>
          <w:tcPr>
            <w:tcW w:w="1276" w:type="dxa"/>
            <w:tcBorders>
              <w:top w:val="single" w:sz="4" w:space="0" w:color="auto"/>
              <w:left w:val="nil"/>
              <w:bottom w:val="single" w:sz="4" w:space="0" w:color="auto"/>
              <w:right w:val="single" w:sz="4" w:space="0" w:color="auto"/>
            </w:tcBorders>
            <w:shd w:val="clear" w:color="D6A100" w:fill="FFC000"/>
            <w:noWrap/>
            <w:vAlign w:val="center"/>
            <w:hideMark/>
          </w:tcPr>
          <w:p w:rsidR="007F57B3" w:rsidRPr="007F57B3" w:rsidRDefault="007F57B3">
            <w:pPr>
              <w:jc w:val="center"/>
              <w:rPr>
                <w:rFonts w:ascii="Calibri" w:hAnsi="Calibri" w:cs="Calibri"/>
                <w:color w:val="000000"/>
                <w:sz w:val="17"/>
                <w:szCs w:val="17"/>
              </w:rPr>
            </w:pPr>
            <w:r w:rsidRPr="007F57B3">
              <w:rPr>
                <w:rFonts w:ascii="Calibri" w:hAnsi="Calibri" w:cs="Calibri"/>
                <w:color w:val="000000"/>
                <w:sz w:val="17"/>
                <w:szCs w:val="17"/>
              </w:rPr>
              <w:t>Schválený</w:t>
            </w:r>
          </w:p>
        </w:tc>
        <w:tc>
          <w:tcPr>
            <w:tcW w:w="1275" w:type="dxa"/>
            <w:tcBorders>
              <w:top w:val="single" w:sz="4" w:space="0" w:color="auto"/>
              <w:left w:val="nil"/>
              <w:bottom w:val="single" w:sz="4" w:space="0" w:color="auto"/>
              <w:right w:val="single" w:sz="4" w:space="0" w:color="auto"/>
            </w:tcBorders>
            <w:shd w:val="clear" w:color="D6A100" w:fill="FFC000"/>
            <w:noWrap/>
            <w:vAlign w:val="center"/>
            <w:hideMark/>
          </w:tcPr>
          <w:p w:rsidR="007F57B3" w:rsidRPr="007F57B3" w:rsidRDefault="007F57B3">
            <w:pPr>
              <w:jc w:val="center"/>
              <w:rPr>
                <w:rFonts w:ascii="Calibri" w:hAnsi="Calibri" w:cs="Calibri"/>
                <w:color w:val="000000"/>
                <w:sz w:val="17"/>
                <w:szCs w:val="17"/>
              </w:rPr>
            </w:pPr>
            <w:r w:rsidRPr="007F57B3">
              <w:rPr>
                <w:rFonts w:ascii="Calibri" w:hAnsi="Calibri" w:cs="Calibri"/>
                <w:color w:val="000000"/>
                <w:sz w:val="17"/>
                <w:szCs w:val="17"/>
              </w:rPr>
              <w:t>Upravený</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F57B3" w:rsidRPr="007F57B3" w:rsidRDefault="007F57B3">
            <w:pPr>
              <w:rPr>
                <w:rFonts w:ascii="Calibri" w:hAnsi="Calibri" w:cs="Calibri"/>
                <w:color w:val="000000"/>
                <w:sz w:val="17"/>
                <w:szCs w:val="17"/>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F57B3" w:rsidRPr="007F57B3" w:rsidRDefault="007F57B3">
            <w:pPr>
              <w:rPr>
                <w:rFonts w:ascii="Calibri" w:hAnsi="Calibri" w:cs="Calibri"/>
                <w:color w:val="000000"/>
                <w:sz w:val="17"/>
                <w:szCs w:val="17"/>
              </w:rPr>
            </w:pPr>
          </w:p>
        </w:tc>
      </w:tr>
      <w:tr w:rsidR="007F57B3" w:rsidRPr="007F57B3" w:rsidTr="007F57B3">
        <w:trPr>
          <w:trHeight w:val="30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7B3" w:rsidRPr="007F57B3" w:rsidRDefault="007F57B3">
            <w:pPr>
              <w:jc w:val="center"/>
              <w:rPr>
                <w:rFonts w:ascii="Calibri" w:hAnsi="Calibri" w:cs="Calibri"/>
                <w:color w:val="000000"/>
                <w:sz w:val="17"/>
                <w:szCs w:val="17"/>
              </w:rPr>
            </w:pPr>
            <w:r w:rsidRPr="007F57B3">
              <w:rPr>
                <w:rFonts w:ascii="Calibri" w:hAnsi="Calibri" w:cs="Calibri"/>
                <w:color w:val="000000"/>
                <w:sz w:val="17"/>
                <w:szCs w:val="17"/>
              </w:rPr>
              <w:t>002212</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rsidR="007F57B3" w:rsidRPr="007F57B3" w:rsidRDefault="007F57B3">
            <w:pPr>
              <w:rPr>
                <w:rFonts w:ascii="Calibri" w:hAnsi="Calibri" w:cs="Calibri"/>
                <w:color w:val="000000"/>
                <w:sz w:val="17"/>
                <w:szCs w:val="17"/>
              </w:rPr>
            </w:pPr>
            <w:r w:rsidRPr="007F57B3">
              <w:rPr>
                <w:rFonts w:ascii="Calibri" w:hAnsi="Calibri" w:cs="Calibri"/>
                <w:color w:val="000000"/>
                <w:sz w:val="17"/>
                <w:szCs w:val="17"/>
              </w:rPr>
              <w:t>Silnice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24 400 000,00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30 827 550,00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30 304 628,48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98,30%</w:t>
            </w:r>
          </w:p>
        </w:tc>
      </w:tr>
      <w:tr w:rsidR="007F57B3" w:rsidRPr="007F57B3" w:rsidTr="007F57B3">
        <w:trPr>
          <w:trHeight w:val="300"/>
        </w:trPr>
        <w:tc>
          <w:tcPr>
            <w:tcW w:w="657" w:type="dxa"/>
            <w:tcBorders>
              <w:top w:val="single" w:sz="4" w:space="0" w:color="auto"/>
              <w:left w:val="single" w:sz="4" w:space="0" w:color="auto"/>
              <w:bottom w:val="single" w:sz="4" w:space="0" w:color="auto"/>
              <w:right w:val="single" w:sz="4" w:space="0" w:color="auto"/>
            </w:tcBorders>
            <w:shd w:val="clear" w:color="DBDBDB" w:fill="D9D9D9"/>
            <w:noWrap/>
            <w:vAlign w:val="center"/>
            <w:hideMark/>
          </w:tcPr>
          <w:p w:rsidR="007F57B3" w:rsidRPr="007F57B3" w:rsidRDefault="007F57B3">
            <w:pPr>
              <w:jc w:val="center"/>
              <w:rPr>
                <w:rFonts w:ascii="Calibri" w:hAnsi="Calibri" w:cs="Calibri"/>
                <w:color w:val="000000"/>
                <w:sz w:val="17"/>
                <w:szCs w:val="17"/>
              </w:rPr>
            </w:pPr>
            <w:r w:rsidRPr="007F57B3">
              <w:rPr>
                <w:rFonts w:ascii="Calibri" w:hAnsi="Calibri" w:cs="Calibri"/>
                <w:color w:val="000000"/>
                <w:sz w:val="17"/>
                <w:szCs w:val="17"/>
              </w:rPr>
              <w:t>002219</w:t>
            </w:r>
          </w:p>
        </w:tc>
        <w:tc>
          <w:tcPr>
            <w:tcW w:w="4158" w:type="dxa"/>
            <w:tcBorders>
              <w:top w:val="single" w:sz="4" w:space="0" w:color="auto"/>
              <w:left w:val="nil"/>
              <w:bottom w:val="single" w:sz="4" w:space="0" w:color="auto"/>
              <w:right w:val="single" w:sz="4" w:space="0" w:color="auto"/>
            </w:tcBorders>
            <w:shd w:val="clear" w:color="DBDBDB" w:fill="D9D9D9"/>
            <w:vAlign w:val="center"/>
            <w:hideMark/>
          </w:tcPr>
          <w:p w:rsidR="007F57B3" w:rsidRPr="007F57B3" w:rsidRDefault="007F57B3">
            <w:pPr>
              <w:rPr>
                <w:rFonts w:ascii="Calibri" w:hAnsi="Calibri" w:cs="Calibri"/>
                <w:color w:val="000000"/>
                <w:sz w:val="17"/>
                <w:szCs w:val="17"/>
              </w:rPr>
            </w:pPr>
            <w:r w:rsidRPr="007F57B3">
              <w:rPr>
                <w:rFonts w:ascii="Calibri" w:hAnsi="Calibri" w:cs="Calibri"/>
                <w:color w:val="000000"/>
                <w:sz w:val="17"/>
                <w:szCs w:val="17"/>
              </w:rPr>
              <w:t>Ostatní záležitosti pozemních komunikací</w:t>
            </w:r>
          </w:p>
        </w:tc>
        <w:tc>
          <w:tcPr>
            <w:tcW w:w="1276" w:type="dxa"/>
            <w:tcBorders>
              <w:top w:val="single" w:sz="4" w:space="0" w:color="auto"/>
              <w:left w:val="nil"/>
              <w:bottom w:val="single" w:sz="4" w:space="0" w:color="auto"/>
              <w:right w:val="single" w:sz="4" w:space="0" w:color="auto"/>
            </w:tcBorders>
            <w:shd w:val="clear" w:color="DBDBDB"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71 800 000,00</w:t>
            </w:r>
          </w:p>
        </w:tc>
        <w:tc>
          <w:tcPr>
            <w:tcW w:w="1275" w:type="dxa"/>
            <w:tcBorders>
              <w:top w:val="single" w:sz="4" w:space="0" w:color="auto"/>
              <w:left w:val="nil"/>
              <w:bottom w:val="single" w:sz="4" w:space="0" w:color="auto"/>
              <w:right w:val="single" w:sz="4" w:space="0" w:color="auto"/>
            </w:tcBorders>
            <w:shd w:val="clear" w:color="DBDBDB"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65 696 569,00</w:t>
            </w:r>
          </w:p>
        </w:tc>
        <w:tc>
          <w:tcPr>
            <w:tcW w:w="1276" w:type="dxa"/>
            <w:tcBorders>
              <w:top w:val="single" w:sz="4" w:space="0" w:color="auto"/>
              <w:left w:val="nil"/>
              <w:bottom w:val="single" w:sz="4" w:space="0" w:color="auto"/>
              <w:right w:val="single" w:sz="4" w:space="0" w:color="auto"/>
            </w:tcBorders>
            <w:shd w:val="clear" w:color="DBDBDB"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62 256 844,01</w:t>
            </w:r>
          </w:p>
        </w:tc>
        <w:tc>
          <w:tcPr>
            <w:tcW w:w="851" w:type="dxa"/>
            <w:tcBorders>
              <w:top w:val="single" w:sz="4" w:space="0" w:color="auto"/>
              <w:left w:val="nil"/>
              <w:bottom w:val="single" w:sz="4" w:space="0" w:color="auto"/>
              <w:right w:val="single" w:sz="4" w:space="0" w:color="auto"/>
            </w:tcBorders>
            <w:shd w:val="clear" w:color="000000"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94,76%</w:t>
            </w:r>
          </w:p>
        </w:tc>
      </w:tr>
      <w:tr w:rsidR="007F57B3" w:rsidRPr="007F57B3" w:rsidTr="007F57B3">
        <w:trPr>
          <w:trHeight w:val="30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7B3" w:rsidRPr="007F57B3" w:rsidRDefault="007F57B3">
            <w:pPr>
              <w:jc w:val="center"/>
              <w:rPr>
                <w:rFonts w:ascii="Calibri" w:hAnsi="Calibri" w:cs="Calibri"/>
                <w:color w:val="000000"/>
                <w:sz w:val="17"/>
                <w:szCs w:val="17"/>
              </w:rPr>
            </w:pPr>
            <w:r w:rsidRPr="007F57B3">
              <w:rPr>
                <w:rFonts w:ascii="Calibri" w:hAnsi="Calibri" w:cs="Calibri"/>
                <w:color w:val="000000"/>
                <w:sz w:val="17"/>
                <w:szCs w:val="17"/>
              </w:rPr>
              <w:t>002321</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rsidR="007F57B3" w:rsidRPr="007F57B3" w:rsidRDefault="007F57B3">
            <w:pPr>
              <w:rPr>
                <w:rFonts w:ascii="Calibri" w:hAnsi="Calibri" w:cs="Calibri"/>
                <w:color w:val="000000"/>
                <w:sz w:val="17"/>
                <w:szCs w:val="17"/>
              </w:rPr>
            </w:pPr>
            <w:r>
              <w:rPr>
                <w:rFonts w:ascii="Calibri" w:hAnsi="Calibri" w:cs="Calibri"/>
                <w:color w:val="000000"/>
                <w:sz w:val="17"/>
                <w:szCs w:val="17"/>
              </w:rPr>
              <w:t>Odvádění a čištění odpadních</w:t>
            </w:r>
            <w:r w:rsidRPr="007F57B3">
              <w:rPr>
                <w:rFonts w:ascii="Calibri" w:hAnsi="Calibri" w:cs="Calibri"/>
                <w:color w:val="000000"/>
                <w:sz w:val="17"/>
                <w:szCs w:val="17"/>
              </w:rPr>
              <w:t xml:space="preserve"> vod a nakládání s kaly</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2 700 000,00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3 810 080,00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3 768 391,74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98,91%</w:t>
            </w:r>
          </w:p>
        </w:tc>
      </w:tr>
      <w:tr w:rsidR="007F57B3" w:rsidRPr="007F57B3" w:rsidTr="007F57B3">
        <w:trPr>
          <w:trHeight w:val="300"/>
        </w:trPr>
        <w:tc>
          <w:tcPr>
            <w:tcW w:w="657" w:type="dxa"/>
            <w:tcBorders>
              <w:top w:val="single" w:sz="4" w:space="0" w:color="auto"/>
              <w:left w:val="single" w:sz="4" w:space="0" w:color="auto"/>
              <w:bottom w:val="single" w:sz="4" w:space="0" w:color="auto"/>
              <w:right w:val="single" w:sz="4" w:space="0" w:color="auto"/>
            </w:tcBorders>
            <w:shd w:val="clear" w:color="DBDBDB" w:fill="D9D9D9"/>
            <w:noWrap/>
            <w:vAlign w:val="center"/>
            <w:hideMark/>
          </w:tcPr>
          <w:p w:rsidR="007F57B3" w:rsidRPr="007F57B3" w:rsidRDefault="007F57B3">
            <w:pPr>
              <w:jc w:val="center"/>
              <w:rPr>
                <w:rFonts w:ascii="Calibri" w:hAnsi="Calibri" w:cs="Calibri"/>
                <w:color w:val="000000"/>
                <w:sz w:val="17"/>
                <w:szCs w:val="17"/>
              </w:rPr>
            </w:pPr>
            <w:r w:rsidRPr="007F57B3">
              <w:rPr>
                <w:rFonts w:ascii="Calibri" w:hAnsi="Calibri" w:cs="Calibri"/>
                <w:color w:val="000000"/>
                <w:sz w:val="17"/>
                <w:szCs w:val="17"/>
              </w:rPr>
              <w:t>002333</w:t>
            </w:r>
          </w:p>
        </w:tc>
        <w:tc>
          <w:tcPr>
            <w:tcW w:w="4158" w:type="dxa"/>
            <w:tcBorders>
              <w:top w:val="single" w:sz="4" w:space="0" w:color="auto"/>
              <w:left w:val="nil"/>
              <w:bottom w:val="single" w:sz="4" w:space="0" w:color="auto"/>
              <w:right w:val="single" w:sz="4" w:space="0" w:color="auto"/>
            </w:tcBorders>
            <w:shd w:val="clear" w:color="DBDBDB" w:fill="D9D9D9"/>
            <w:vAlign w:val="center"/>
            <w:hideMark/>
          </w:tcPr>
          <w:p w:rsidR="007F57B3" w:rsidRPr="007F57B3" w:rsidRDefault="007F57B3">
            <w:pPr>
              <w:rPr>
                <w:rFonts w:ascii="Calibri" w:hAnsi="Calibri" w:cs="Calibri"/>
                <w:color w:val="000000"/>
                <w:sz w:val="17"/>
                <w:szCs w:val="17"/>
              </w:rPr>
            </w:pPr>
            <w:r w:rsidRPr="007F57B3">
              <w:rPr>
                <w:rFonts w:ascii="Calibri" w:hAnsi="Calibri" w:cs="Calibri"/>
                <w:color w:val="000000"/>
                <w:sz w:val="17"/>
                <w:szCs w:val="17"/>
              </w:rPr>
              <w:t>Úpravy drobných vodních toků</w:t>
            </w:r>
          </w:p>
        </w:tc>
        <w:tc>
          <w:tcPr>
            <w:tcW w:w="1276" w:type="dxa"/>
            <w:tcBorders>
              <w:top w:val="single" w:sz="4" w:space="0" w:color="auto"/>
              <w:left w:val="nil"/>
              <w:bottom w:val="single" w:sz="4" w:space="0" w:color="auto"/>
              <w:right w:val="single" w:sz="4" w:space="0" w:color="auto"/>
            </w:tcBorders>
            <w:shd w:val="clear" w:color="DBDBDB"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15 000 000,00</w:t>
            </w:r>
          </w:p>
        </w:tc>
        <w:tc>
          <w:tcPr>
            <w:tcW w:w="1275" w:type="dxa"/>
            <w:tcBorders>
              <w:top w:val="single" w:sz="4" w:space="0" w:color="auto"/>
              <w:left w:val="nil"/>
              <w:bottom w:val="single" w:sz="4" w:space="0" w:color="auto"/>
              <w:right w:val="single" w:sz="4" w:space="0" w:color="auto"/>
            </w:tcBorders>
            <w:shd w:val="clear" w:color="DBDBDB"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14 050 000,00</w:t>
            </w:r>
          </w:p>
        </w:tc>
        <w:tc>
          <w:tcPr>
            <w:tcW w:w="1276" w:type="dxa"/>
            <w:tcBorders>
              <w:top w:val="single" w:sz="4" w:space="0" w:color="auto"/>
              <w:left w:val="nil"/>
              <w:bottom w:val="single" w:sz="4" w:space="0" w:color="auto"/>
              <w:right w:val="single" w:sz="4" w:space="0" w:color="auto"/>
            </w:tcBorders>
            <w:shd w:val="clear" w:color="DBDBDB"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13 658 743,99</w:t>
            </w:r>
          </w:p>
        </w:tc>
        <w:tc>
          <w:tcPr>
            <w:tcW w:w="851" w:type="dxa"/>
            <w:tcBorders>
              <w:top w:val="single" w:sz="4" w:space="0" w:color="auto"/>
              <w:left w:val="nil"/>
              <w:bottom w:val="single" w:sz="4" w:space="0" w:color="auto"/>
              <w:right w:val="single" w:sz="4" w:space="0" w:color="auto"/>
            </w:tcBorders>
            <w:shd w:val="clear" w:color="000000"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97,22%</w:t>
            </w:r>
          </w:p>
        </w:tc>
      </w:tr>
      <w:tr w:rsidR="007F57B3" w:rsidRPr="007F57B3" w:rsidTr="007F57B3">
        <w:trPr>
          <w:trHeight w:val="30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7B3" w:rsidRPr="007F57B3" w:rsidRDefault="007F57B3">
            <w:pPr>
              <w:jc w:val="center"/>
              <w:rPr>
                <w:rFonts w:ascii="Calibri" w:hAnsi="Calibri" w:cs="Calibri"/>
                <w:color w:val="000000"/>
                <w:sz w:val="17"/>
                <w:szCs w:val="17"/>
              </w:rPr>
            </w:pPr>
            <w:r w:rsidRPr="007F57B3">
              <w:rPr>
                <w:rFonts w:ascii="Calibri" w:hAnsi="Calibri" w:cs="Calibri"/>
                <w:color w:val="000000"/>
                <w:sz w:val="17"/>
                <w:szCs w:val="17"/>
              </w:rPr>
              <w:t>002419</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rsidR="007F57B3" w:rsidRPr="007F57B3" w:rsidRDefault="007F57B3">
            <w:pPr>
              <w:rPr>
                <w:rFonts w:ascii="Calibri" w:hAnsi="Calibri" w:cs="Calibri"/>
                <w:color w:val="000000"/>
                <w:sz w:val="17"/>
                <w:szCs w:val="17"/>
              </w:rPr>
            </w:pPr>
            <w:r w:rsidRPr="007F57B3">
              <w:rPr>
                <w:rFonts w:ascii="Calibri" w:hAnsi="Calibri" w:cs="Calibri"/>
                <w:color w:val="000000"/>
                <w:sz w:val="17"/>
                <w:szCs w:val="17"/>
              </w:rPr>
              <w:t>Ostatní záležitosti spojů</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2 000 000,00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w:t>
            </w:r>
          </w:p>
        </w:tc>
      </w:tr>
      <w:tr w:rsidR="007F57B3" w:rsidRPr="007F57B3" w:rsidTr="007F57B3">
        <w:trPr>
          <w:trHeight w:val="300"/>
        </w:trPr>
        <w:tc>
          <w:tcPr>
            <w:tcW w:w="657" w:type="dxa"/>
            <w:tcBorders>
              <w:top w:val="single" w:sz="4" w:space="0" w:color="auto"/>
              <w:left w:val="single" w:sz="4" w:space="0" w:color="auto"/>
              <w:bottom w:val="single" w:sz="4" w:space="0" w:color="auto"/>
              <w:right w:val="single" w:sz="4" w:space="0" w:color="auto"/>
            </w:tcBorders>
            <w:shd w:val="clear" w:color="DBDBDB" w:fill="D9D9D9"/>
            <w:noWrap/>
            <w:vAlign w:val="center"/>
            <w:hideMark/>
          </w:tcPr>
          <w:p w:rsidR="007F57B3" w:rsidRPr="007F57B3" w:rsidRDefault="007F57B3">
            <w:pPr>
              <w:jc w:val="center"/>
              <w:rPr>
                <w:rFonts w:ascii="Calibri" w:hAnsi="Calibri" w:cs="Calibri"/>
                <w:color w:val="000000"/>
                <w:sz w:val="17"/>
                <w:szCs w:val="17"/>
              </w:rPr>
            </w:pPr>
            <w:r w:rsidRPr="007F57B3">
              <w:rPr>
                <w:rFonts w:ascii="Calibri" w:hAnsi="Calibri" w:cs="Calibri"/>
                <w:color w:val="000000"/>
                <w:sz w:val="17"/>
                <w:szCs w:val="17"/>
              </w:rPr>
              <w:t>003111</w:t>
            </w:r>
          </w:p>
        </w:tc>
        <w:tc>
          <w:tcPr>
            <w:tcW w:w="4158" w:type="dxa"/>
            <w:tcBorders>
              <w:top w:val="single" w:sz="4" w:space="0" w:color="auto"/>
              <w:left w:val="nil"/>
              <w:bottom w:val="single" w:sz="4" w:space="0" w:color="auto"/>
              <w:right w:val="single" w:sz="4" w:space="0" w:color="auto"/>
            </w:tcBorders>
            <w:shd w:val="clear" w:color="DBDBDB" w:fill="D9D9D9"/>
            <w:vAlign w:val="center"/>
            <w:hideMark/>
          </w:tcPr>
          <w:p w:rsidR="007F57B3" w:rsidRPr="007F57B3" w:rsidRDefault="007F57B3">
            <w:pPr>
              <w:rPr>
                <w:rFonts w:ascii="Calibri" w:hAnsi="Calibri" w:cs="Calibri"/>
                <w:color w:val="000000"/>
                <w:sz w:val="17"/>
                <w:szCs w:val="17"/>
              </w:rPr>
            </w:pPr>
            <w:r w:rsidRPr="007F57B3">
              <w:rPr>
                <w:rFonts w:ascii="Calibri" w:hAnsi="Calibri" w:cs="Calibri"/>
                <w:color w:val="000000"/>
                <w:sz w:val="17"/>
                <w:szCs w:val="17"/>
              </w:rPr>
              <w:t>Mateřské školy</w:t>
            </w:r>
          </w:p>
        </w:tc>
        <w:tc>
          <w:tcPr>
            <w:tcW w:w="1276" w:type="dxa"/>
            <w:tcBorders>
              <w:top w:val="single" w:sz="4" w:space="0" w:color="auto"/>
              <w:left w:val="nil"/>
              <w:bottom w:val="single" w:sz="4" w:space="0" w:color="auto"/>
              <w:right w:val="single" w:sz="4" w:space="0" w:color="auto"/>
            </w:tcBorders>
            <w:shd w:val="clear" w:color="DBDBDB"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850 000,00</w:t>
            </w:r>
          </w:p>
        </w:tc>
        <w:tc>
          <w:tcPr>
            <w:tcW w:w="1275" w:type="dxa"/>
            <w:tcBorders>
              <w:top w:val="single" w:sz="4" w:space="0" w:color="auto"/>
              <w:left w:val="nil"/>
              <w:bottom w:val="single" w:sz="4" w:space="0" w:color="auto"/>
              <w:right w:val="single" w:sz="4" w:space="0" w:color="auto"/>
            </w:tcBorders>
            <w:shd w:val="clear" w:color="DBDBDB"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3 607 770,00</w:t>
            </w:r>
          </w:p>
        </w:tc>
        <w:tc>
          <w:tcPr>
            <w:tcW w:w="1276" w:type="dxa"/>
            <w:tcBorders>
              <w:top w:val="single" w:sz="4" w:space="0" w:color="auto"/>
              <w:left w:val="nil"/>
              <w:bottom w:val="single" w:sz="4" w:space="0" w:color="auto"/>
              <w:right w:val="single" w:sz="4" w:space="0" w:color="auto"/>
            </w:tcBorders>
            <w:shd w:val="clear" w:color="DBDBDB"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3 157 397,88</w:t>
            </w:r>
          </w:p>
        </w:tc>
        <w:tc>
          <w:tcPr>
            <w:tcW w:w="851" w:type="dxa"/>
            <w:tcBorders>
              <w:top w:val="single" w:sz="4" w:space="0" w:color="auto"/>
              <w:left w:val="nil"/>
              <w:bottom w:val="single" w:sz="4" w:space="0" w:color="auto"/>
              <w:right w:val="single" w:sz="4" w:space="0" w:color="auto"/>
            </w:tcBorders>
            <w:shd w:val="clear" w:color="000000"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87,52%</w:t>
            </w:r>
          </w:p>
        </w:tc>
      </w:tr>
      <w:tr w:rsidR="007F57B3" w:rsidRPr="007F57B3" w:rsidTr="007F57B3">
        <w:trPr>
          <w:trHeight w:val="30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7B3" w:rsidRPr="007F57B3" w:rsidRDefault="007F57B3">
            <w:pPr>
              <w:jc w:val="center"/>
              <w:rPr>
                <w:rFonts w:ascii="Calibri" w:hAnsi="Calibri" w:cs="Calibri"/>
                <w:color w:val="000000"/>
                <w:sz w:val="17"/>
                <w:szCs w:val="17"/>
              </w:rPr>
            </w:pPr>
            <w:r w:rsidRPr="007F57B3">
              <w:rPr>
                <w:rFonts w:ascii="Calibri" w:hAnsi="Calibri" w:cs="Calibri"/>
                <w:color w:val="000000"/>
                <w:sz w:val="17"/>
                <w:szCs w:val="17"/>
              </w:rPr>
              <w:t>003113</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rsidR="007F57B3" w:rsidRPr="007F57B3" w:rsidRDefault="007F57B3">
            <w:pPr>
              <w:rPr>
                <w:rFonts w:ascii="Calibri" w:hAnsi="Calibri" w:cs="Calibri"/>
                <w:color w:val="000000"/>
                <w:sz w:val="17"/>
                <w:szCs w:val="17"/>
              </w:rPr>
            </w:pPr>
            <w:r w:rsidRPr="007F57B3">
              <w:rPr>
                <w:rFonts w:ascii="Calibri" w:hAnsi="Calibri" w:cs="Calibri"/>
                <w:color w:val="000000"/>
                <w:sz w:val="17"/>
                <w:szCs w:val="17"/>
              </w:rPr>
              <w:t>Základní školy</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43 800 000,00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12 168 285,00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11 453 226,36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94,12%</w:t>
            </w:r>
          </w:p>
        </w:tc>
      </w:tr>
      <w:tr w:rsidR="007F57B3" w:rsidRPr="007F57B3" w:rsidTr="007F57B3">
        <w:trPr>
          <w:trHeight w:val="300"/>
        </w:trPr>
        <w:tc>
          <w:tcPr>
            <w:tcW w:w="657" w:type="dxa"/>
            <w:tcBorders>
              <w:top w:val="single" w:sz="4" w:space="0" w:color="auto"/>
              <w:left w:val="single" w:sz="4" w:space="0" w:color="auto"/>
              <w:bottom w:val="single" w:sz="4" w:space="0" w:color="auto"/>
              <w:right w:val="single" w:sz="4" w:space="0" w:color="auto"/>
            </w:tcBorders>
            <w:shd w:val="clear" w:color="DBDBDB" w:fill="D9D9D9"/>
            <w:noWrap/>
            <w:vAlign w:val="center"/>
            <w:hideMark/>
          </w:tcPr>
          <w:p w:rsidR="007F57B3" w:rsidRPr="007F57B3" w:rsidRDefault="007F57B3">
            <w:pPr>
              <w:jc w:val="center"/>
              <w:rPr>
                <w:rFonts w:ascii="Calibri" w:hAnsi="Calibri" w:cs="Calibri"/>
                <w:color w:val="000000"/>
                <w:sz w:val="17"/>
                <w:szCs w:val="17"/>
              </w:rPr>
            </w:pPr>
            <w:r w:rsidRPr="007F57B3">
              <w:rPr>
                <w:rFonts w:ascii="Calibri" w:hAnsi="Calibri" w:cs="Calibri"/>
                <w:color w:val="000000"/>
                <w:sz w:val="17"/>
                <w:szCs w:val="17"/>
              </w:rPr>
              <w:t>003121</w:t>
            </w:r>
          </w:p>
        </w:tc>
        <w:tc>
          <w:tcPr>
            <w:tcW w:w="4158" w:type="dxa"/>
            <w:tcBorders>
              <w:top w:val="single" w:sz="4" w:space="0" w:color="auto"/>
              <w:left w:val="nil"/>
              <w:bottom w:val="single" w:sz="4" w:space="0" w:color="auto"/>
              <w:right w:val="single" w:sz="4" w:space="0" w:color="auto"/>
            </w:tcBorders>
            <w:shd w:val="clear" w:color="DBDBDB" w:fill="D9D9D9"/>
            <w:vAlign w:val="center"/>
            <w:hideMark/>
          </w:tcPr>
          <w:p w:rsidR="007F57B3" w:rsidRPr="007F57B3" w:rsidRDefault="007F57B3">
            <w:pPr>
              <w:rPr>
                <w:rFonts w:ascii="Calibri" w:hAnsi="Calibri" w:cs="Calibri"/>
                <w:color w:val="000000"/>
                <w:sz w:val="17"/>
                <w:szCs w:val="17"/>
              </w:rPr>
            </w:pPr>
            <w:r w:rsidRPr="007F57B3">
              <w:rPr>
                <w:rFonts w:ascii="Calibri" w:hAnsi="Calibri" w:cs="Calibri"/>
                <w:color w:val="000000"/>
                <w:sz w:val="17"/>
                <w:szCs w:val="17"/>
              </w:rPr>
              <w:t>Gymnázia</w:t>
            </w:r>
          </w:p>
        </w:tc>
        <w:tc>
          <w:tcPr>
            <w:tcW w:w="1276" w:type="dxa"/>
            <w:tcBorders>
              <w:top w:val="single" w:sz="4" w:space="0" w:color="auto"/>
              <w:left w:val="nil"/>
              <w:bottom w:val="single" w:sz="4" w:space="0" w:color="auto"/>
              <w:right w:val="single" w:sz="4" w:space="0" w:color="auto"/>
            </w:tcBorders>
            <w:shd w:val="clear" w:color="DBDBDB"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0,00</w:t>
            </w:r>
          </w:p>
        </w:tc>
        <w:tc>
          <w:tcPr>
            <w:tcW w:w="1275" w:type="dxa"/>
            <w:tcBorders>
              <w:top w:val="single" w:sz="4" w:space="0" w:color="auto"/>
              <w:left w:val="nil"/>
              <w:bottom w:val="single" w:sz="4" w:space="0" w:color="auto"/>
              <w:right w:val="single" w:sz="4" w:space="0" w:color="auto"/>
            </w:tcBorders>
            <w:shd w:val="clear" w:color="DBDBDB"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1 350 000,00</w:t>
            </w:r>
          </w:p>
        </w:tc>
        <w:tc>
          <w:tcPr>
            <w:tcW w:w="1276" w:type="dxa"/>
            <w:tcBorders>
              <w:top w:val="single" w:sz="4" w:space="0" w:color="auto"/>
              <w:left w:val="nil"/>
              <w:bottom w:val="single" w:sz="4" w:space="0" w:color="auto"/>
              <w:right w:val="single" w:sz="4" w:space="0" w:color="auto"/>
            </w:tcBorders>
            <w:shd w:val="clear" w:color="DBDBDB"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1 254 201,30</w:t>
            </w:r>
          </w:p>
        </w:tc>
        <w:tc>
          <w:tcPr>
            <w:tcW w:w="851" w:type="dxa"/>
            <w:tcBorders>
              <w:top w:val="single" w:sz="4" w:space="0" w:color="auto"/>
              <w:left w:val="nil"/>
              <w:bottom w:val="single" w:sz="4" w:space="0" w:color="auto"/>
              <w:right w:val="single" w:sz="4" w:space="0" w:color="auto"/>
            </w:tcBorders>
            <w:shd w:val="clear" w:color="000000"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92,90%</w:t>
            </w:r>
          </w:p>
        </w:tc>
      </w:tr>
      <w:tr w:rsidR="007F57B3" w:rsidRPr="007F57B3" w:rsidTr="007F57B3">
        <w:trPr>
          <w:trHeight w:val="30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7B3" w:rsidRPr="007F57B3" w:rsidRDefault="007F57B3">
            <w:pPr>
              <w:jc w:val="center"/>
              <w:rPr>
                <w:rFonts w:ascii="Calibri" w:hAnsi="Calibri" w:cs="Calibri"/>
                <w:color w:val="000000"/>
                <w:sz w:val="17"/>
                <w:szCs w:val="17"/>
              </w:rPr>
            </w:pPr>
            <w:r w:rsidRPr="007F57B3">
              <w:rPr>
                <w:rFonts w:ascii="Calibri" w:hAnsi="Calibri" w:cs="Calibri"/>
                <w:color w:val="000000"/>
                <w:sz w:val="17"/>
                <w:szCs w:val="17"/>
              </w:rPr>
              <w:t>003122</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rsidR="007F57B3" w:rsidRPr="007F57B3" w:rsidRDefault="007F57B3">
            <w:pPr>
              <w:rPr>
                <w:rFonts w:ascii="Calibri" w:hAnsi="Calibri" w:cs="Calibri"/>
                <w:color w:val="000000"/>
                <w:sz w:val="17"/>
                <w:szCs w:val="17"/>
              </w:rPr>
            </w:pPr>
            <w:r w:rsidRPr="007F57B3">
              <w:rPr>
                <w:rFonts w:ascii="Calibri" w:hAnsi="Calibri" w:cs="Calibri"/>
                <w:color w:val="000000"/>
                <w:sz w:val="17"/>
                <w:szCs w:val="17"/>
              </w:rPr>
              <w:t>Střední odborné školy</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716 350,00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676 057,25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94,38%</w:t>
            </w:r>
          </w:p>
        </w:tc>
      </w:tr>
      <w:tr w:rsidR="007F57B3" w:rsidRPr="007F57B3" w:rsidTr="007F57B3">
        <w:trPr>
          <w:trHeight w:val="300"/>
        </w:trPr>
        <w:tc>
          <w:tcPr>
            <w:tcW w:w="657" w:type="dxa"/>
            <w:tcBorders>
              <w:top w:val="single" w:sz="4" w:space="0" w:color="auto"/>
              <w:left w:val="single" w:sz="4" w:space="0" w:color="auto"/>
              <w:bottom w:val="single" w:sz="4" w:space="0" w:color="auto"/>
              <w:right w:val="single" w:sz="4" w:space="0" w:color="auto"/>
            </w:tcBorders>
            <w:shd w:val="clear" w:color="DBDBDB" w:fill="D9D9D9"/>
            <w:noWrap/>
            <w:vAlign w:val="center"/>
            <w:hideMark/>
          </w:tcPr>
          <w:p w:rsidR="007F57B3" w:rsidRPr="007F57B3" w:rsidRDefault="007F57B3">
            <w:pPr>
              <w:jc w:val="center"/>
              <w:rPr>
                <w:rFonts w:ascii="Calibri" w:hAnsi="Calibri" w:cs="Calibri"/>
                <w:color w:val="000000"/>
                <w:sz w:val="17"/>
                <w:szCs w:val="17"/>
              </w:rPr>
            </w:pPr>
            <w:r w:rsidRPr="007F57B3">
              <w:rPr>
                <w:rFonts w:ascii="Calibri" w:hAnsi="Calibri" w:cs="Calibri"/>
                <w:color w:val="000000"/>
                <w:sz w:val="17"/>
                <w:szCs w:val="17"/>
              </w:rPr>
              <w:t>003233</w:t>
            </w:r>
          </w:p>
        </w:tc>
        <w:tc>
          <w:tcPr>
            <w:tcW w:w="4158" w:type="dxa"/>
            <w:tcBorders>
              <w:top w:val="single" w:sz="4" w:space="0" w:color="auto"/>
              <w:left w:val="nil"/>
              <w:bottom w:val="single" w:sz="4" w:space="0" w:color="auto"/>
              <w:right w:val="single" w:sz="4" w:space="0" w:color="auto"/>
            </w:tcBorders>
            <w:shd w:val="clear" w:color="DBDBDB" w:fill="D9D9D9"/>
            <w:vAlign w:val="center"/>
            <w:hideMark/>
          </w:tcPr>
          <w:p w:rsidR="007F57B3" w:rsidRPr="007F57B3" w:rsidRDefault="007F57B3">
            <w:pPr>
              <w:rPr>
                <w:rFonts w:ascii="Calibri" w:hAnsi="Calibri" w:cs="Calibri"/>
                <w:color w:val="000000"/>
                <w:sz w:val="17"/>
                <w:szCs w:val="17"/>
              </w:rPr>
            </w:pPr>
            <w:r w:rsidRPr="007F57B3">
              <w:rPr>
                <w:rFonts w:ascii="Calibri" w:hAnsi="Calibri" w:cs="Calibri"/>
                <w:color w:val="000000"/>
                <w:sz w:val="17"/>
                <w:szCs w:val="17"/>
              </w:rPr>
              <w:t>Střediska volného času</w:t>
            </w:r>
          </w:p>
        </w:tc>
        <w:tc>
          <w:tcPr>
            <w:tcW w:w="1276" w:type="dxa"/>
            <w:tcBorders>
              <w:top w:val="single" w:sz="4" w:space="0" w:color="auto"/>
              <w:left w:val="nil"/>
              <w:bottom w:val="single" w:sz="4" w:space="0" w:color="auto"/>
              <w:right w:val="single" w:sz="4" w:space="0" w:color="auto"/>
            </w:tcBorders>
            <w:shd w:val="clear" w:color="DBDBDB"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0,00</w:t>
            </w:r>
          </w:p>
        </w:tc>
        <w:tc>
          <w:tcPr>
            <w:tcW w:w="1275" w:type="dxa"/>
            <w:tcBorders>
              <w:top w:val="single" w:sz="4" w:space="0" w:color="auto"/>
              <w:left w:val="nil"/>
              <w:bottom w:val="single" w:sz="4" w:space="0" w:color="auto"/>
              <w:right w:val="single" w:sz="4" w:space="0" w:color="auto"/>
            </w:tcBorders>
            <w:shd w:val="clear" w:color="DBDBDB"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2 634 775,80</w:t>
            </w:r>
          </w:p>
        </w:tc>
        <w:tc>
          <w:tcPr>
            <w:tcW w:w="1276" w:type="dxa"/>
            <w:tcBorders>
              <w:top w:val="single" w:sz="4" w:space="0" w:color="auto"/>
              <w:left w:val="nil"/>
              <w:bottom w:val="single" w:sz="4" w:space="0" w:color="auto"/>
              <w:right w:val="single" w:sz="4" w:space="0" w:color="auto"/>
            </w:tcBorders>
            <w:shd w:val="clear" w:color="DBDBDB"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2 634 775,80</w:t>
            </w:r>
          </w:p>
        </w:tc>
        <w:tc>
          <w:tcPr>
            <w:tcW w:w="851" w:type="dxa"/>
            <w:tcBorders>
              <w:top w:val="single" w:sz="4" w:space="0" w:color="auto"/>
              <w:left w:val="nil"/>
              <w:bottom w:val="single" w:sz="4" w:space="0" w:color="auto"/>
              <w:right w:val="single" w:sz="4" w:space="0" w:color="auto"/>
            </w:tcBorders>
            <w:shd w:val="clear" w:color="000000"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100,00%</w:t>
            </w:r>
          </w:p>
        </w:tc>
      </w:tr>
      <w:tr w:rsidR="007F57B3" w:rsidRPr="007F57B3" w:rsidTr="007F57B3">
        <w:trPr>
          <w:trHeight w:val="30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7B3" w:rsidRPr="007F57B3" w:rsidRDefault="007F57B3">
            <w:pPr>
              <w:jc w:val="center"/>
              <w:rPr>
                <w:rFonts w:ascii="Calibri" w:hAnsi="Calibri" w:cs="Calibri"/>
                <w:color w:val="000000"/>
                <w:sz w:val="17"/>
                <w:szCs w:val="17"/>
              </w:rPr>
            </w:pPr>
            <w:r w:rsidRPr="007F57B3">
              <w:rPr>
                <w:rFonts w:ascii="Calibri" w:hAnsi="Calibri" w:cs="Calibri"/>
                <w:color w:val="000000"/>
                <w:sz w:val="17"/>
                <w:szCs w:val="17"/>
              </w:rPr>
              <w:t>003314</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rsidR="007F57B3" w:rsidRPr="007F57B3" w:rsidRDefault="007F57B3">
            <w:pPr>
              <w:rPr>
                <w:rFonts w:ascii="Calibri" w:hAnsi="Calibri" w:cs="Calibri"/>
                <w:color w:val="000000"/>
                <w:sz w:val="17"/>
                <w:szCs w:val="17"/>
              </w:rPr>
            </w:pPr>
            <w:r w:rsidRPr="007F57B3">
              <w:rPr>
                <w:rFonts w:ascii="Calibri" w:hAnsi="Calibri" w:cs="Calibri"/>
                <w:color w:val="000000"/>
                <w:sz w:val="17"/>
                <w:szCs w:val="17"/>
              </w:rPr>
              <w:t>Činnosti knihovnické</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60 000,00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58 322,00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97,20%</w:t>
            </w:r>
          </w:p>
        </w:tc>
      </w:tr>
      <w:tr w:rsidR="007F57B3" w:rsidRPr="007F57B3" w:rsidTr="007F57B3">
        <w:trPr>
          <w:trHeight w:val="300"/>
        </w:trPr>
        <w:tc>
          <w:tcPr>
            <w:tcW w:w="657" w:type="dxa"/>
            <w:tcBorders>
              <w:top w:val="single" w:sz="4" w:space="0" w:color="auto"/>
              <w:left w:val="single" w:sz="4" w:space="0" w:color="auto"/>
              <w:bottom w:val="single" w:sz="4" w:space="0" w:color="auto"/>
              <w:right w:val="single" w:sz="4" w:space="0" w:color="auto"/>
            </w:tcBorders>
            <w:shd w:val="clear" w:color="DBDBDB" w:fill="D9D9D9"/>
            <w:noWrap/>
            <w:vAlign w:val="center"/>
            <w:hideMark/>
          </w:tcPr>
          <w:p w:rsidR="007F57B3" w:rsidRPr="007F57B3" w:rsidRDefault="007F57B3">
            <w:pPr>
              <w:jc w:val="center"/>
              <w:rPr>
                <w:rFonts w:ascii="Calibri" w:hAnsi="Calibri" w:cs="Calibri"/>
                <w:color w:val="000000"/>
                <w:sz w:val="17"/>
                <w:szCs w:val="17"/>
              </w:rPr>
            </w:pPr>
            <w:r w:rsidRPr="007F57B3">
              <w:rPr>
                <w:rFonts w:ascii="Calibri" w:hAnsi="Calibri" w:cs="Calibri"/>
                <w:color w:val="000000"/>
                <w:sz w:val="17"/>
                <w:szCs w:val="17"/>
              </w:rPr>
              <w:t>003315</w:t>
            </w:r>
          </w:p>
        </w:tc>
        <w:tc>
          <w:tcPr>
            <w:tcW w:w="4158" w:type="dxa"/>
            <w:tcBorders>
              <w:top w:val="single" w:sz="4" w:space="0" w:color="auto"/>
              <w:left w:val="nil"/>
              <w:bottom w:val="single" w:sz="4" w:space="0" w:color="auto"/>
              <w:right w:val="single" w:sz="4" w:space="0" w:color="auto"/>
            </w:tcBorders>
            <w:shd w:val="clear" w:color="DBDBDB" w:fill="D9D9D9"/>
            <w:vAlign w:val="center"/>
            <w:hideMark/>
          </w:tcPr>
          <w:p w:rsidR="007F57B3" w:rsidRPr="007F57B3" w:rsidRDefault="007F57B3">
            <w:pPr>
              <w:rPr>
                <w:rFonts w:ascii="Calibri" w:hAnsi="Calibri" w:cs="Calibri"/>
                <w:color w:val="000000"/>
                <w:sz w:val="17"/>
                <w:szCs w:val="17"/>
              </w:rPr>
            </w:pPr>
            <w:r w:rsidRPr="007F57B3">
              <w:rPr>
                <w:rFonts w:ascii="Calibri" w:hAnsi="Calibri" w:cs="Calibri"/>
                <w:color w:val="000000"/>
                <w:sz w:val="17"/>
                <w:szCs w:val="17"/>
              </w:rPr>
              <w:t>Činnosti muzeí a galerií</w:t>
            </w:r>
          </w:p>
        </w:tc>
        <w:tc>
          <w:tcPr>
            <w:tcW w:w="1276" w:type="dxa"/>
            <w:tcBorders>
              <w:top w:val="single" w:sz="4" w:space="0" w:color="auto"/>
              <w:left w:val="nil"/>
              <w:bottom w:val="single" w:sz="4" w:space="0" w:color="auto"/>
              <w:right w:val="single" w:sz="4" w:space="0" w:color="auto"/>
            </w:tcBorders>
            <w:shd w:val="clear" w:color="DBDBDB"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1 500 000,00</w:t>
            </w:r>
          </w:p>
        </w:tc>
        <w:tc>
          <w:tcPr>
            <w:tcW w:w="1275" w:type="dxa"/>
            <w:tcBorders>
              <w:top w:val="single" w:sz="4" w:space="0" w:color="auto"/>
              <w:left w:val="nil"/>
              <w:bottom w:val="single" w:sz="4" w:space="0" w:color="auto"/>
              <w:right w:val="single" w:sz="4" w:space="0" w:color="auto"/>
            </w:tcBorders>
            <w:shd w:val="clear" w:color="DBDBDB"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700 000,00</w:t>
            </w:r>
          </w:p>
        </w:tc>
        <w:tc>
          <w:tcPr>
            <w:tcW w:w="1276" w:type="dxa"/>
            <w:tcBorders>
              <w:top w:val="single" w:sz="4" w:space="0" w:color="auto"/>
              <w:left w:val="nil"/>
              <w:bottom w:val="single" w:sz="4" w:space="0" w:color="auto"/>
              <w:right w:val="single" w:sz="4" w:space="0" w:color="auto"/>
            </w:tcBorders>
            <w:shd w:val="clear" w:color="DBDBDB"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500 219,32</w:t>
            </w:r>
          </w:p>
        </w:tc>
        <w:tc>
          <w:tcPr>
            <w:tcW w:w="851" w:type="dxa"/>
            <w:tcBorders>
              <w:top w:val="single" w:sz="4" w:space="0" w:color="auto"/>
              <w:left w:val="nil"/>
              <w:bottom w:val="single" w:sz="4" w:space="0" w:color="auto"/>
              <w:right w:val="single" w:sz="4" w:space="0" w:color="auto"/>
            </w:tcBorders>
            <w:shd w:val="clear" w:color="000000"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71,46%</w:t>
            </w:r>
          </w:p>
        </w:tc>
      </w:tr>
      <w:tr w:rsidR="007F57B3" w:rsidRPr="007F57B3" w:rsidTr="007F57B3">
        <w:trPr>
          <w:trHeight w:val="30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7B3" w:rsidRPr="007F57B3" w:rsidRDefault="007F57B3">
            <w:pPr>
              <w:jc w:val="center"/>
              <w:rPr>
                <w:rFonts w:ascii="Calibri" w:hAnsi="Calibri" w:cs="Calibri"/>
                <w:color w:val="000000"/>
                <w:sz w:val="17"/>
                <w:szCs w:val="17"/>
              </w:rPr>
            </w:pPr>
            <w:r w:rsidRPr="007F57B3">
              <w:rPr>
                <w:rFonts w:ascii="Calibri" w:hAnsi="Calibri" w:cs="Calibri"/>
                <w:color w:val="000000"/>
                <w:sz w:val="17"/>
                <w:szCs w:val="17"/>
              </w:rPr>
              <w:t>003319</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rsidR="007F57B3" w:rsidRPr="007F57B3" w:rsidRDefault="007F57B3">
            <w:pPr>
              <w:rPr>
                <w:rFonts w:ascii="Calibri" w:hAnsi="Calibri" w:cs="Calibri"/>
                <w:color w:val="000000"/>
                <w:sz w:val="17"/>
                <w:szCs w:val="17"/>
              </w:rPr>
            </w:pPr>
            <w:r w:rsidRPr="007F57B3">
              <w:rPr>
                <w:rFonts w:ascii="Calibri" w:hAnsi="Calibri" w:cs="Calibri"/>
                <w:color w:val="000000"/>
                <w:sz w:val="17"/>
                <w:szCs w:val="17"/>
              </w:rPr>
              <w:t>Ostatní záležitosti kultury</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8 150 000,00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2 150 000,00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2 090 784,20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97,25%</w:t>
            </w:r>
          </w:p>
        </w:tc>
      </w:tr>
      <w:tr w:rsidR="007F57B3" w:rsidRPr="007F57B3" w:rsidTr="007F57B3">
        <w:trPr>
          <w:trHeight w:val="300"/>
        </w:trPr>
        <w:tc>
          <w:tcPr>
            <w:tcW w:w="657" w:type="dxa"/>
            <w:tcBorders>
              <w:top w:val="single" w:sz="4" w:space="0" w:color="auto"/>
              <w:left w:val="single" w:sz="4" w:space="0" w:color="auto"/>
              <w:bottom w:val="single" w:sz="4" w:space="0" w:color="auto"/>
              <w:right w:val="single" w:sz="4" w:space="0" w:color="auto"/>
            </w:tcBorders>
            <w:shd w:val="clear" w:color="DBDBDB" w:fill="D9D9D9"/>
            <w:noWrap/>
            <w:vAlign w:val="center"/>
            <w:hideMark/>
          </w:tcPr>
          <w:p w:rsidR="007F57B3" w:rsidRPr="007F57B3" w:rsidRDefault="007F57B3">
            <w:pPr>
              <w:jc w:val="center"/>
              <w:rPr>
                <w:rFonts w:ascii="Calibri" w:hAnsi="Calibri" w:cs="Calibri"/>
                <w:color w:val="000000"/>
                <w:sz w:val="17"/>
                <w:szCs w:val="17"/>
              </w:rPr>
            </w:pPr>
            <w:r w:rsidRPr="007F57B3">
              <w:rPr>
                <w:rFonts w:ascii="Calibri" w:hAnsi="Calibri" w:cs="Calibri"/>
                <w:color w:val="000000"/>
                <w:sz w:val="17"/>
                <w:szCs w:val="17"/>
              </w:rPr>
              <w:t>003329</w:t>
            </w:r>
          </w:p>
        </w:tc>
        <w:tc>
          <w:tcPr>
            <w:tcW w:w="4158" w:type="dxa"/>
            <w:tcBorders>
              <w:top w:val="single" w:sz="4" w:space="0" w:color="auto"/>
              <w:left w:val="nil"/>
              <w:bottom w:val="single" w:sz="4" w:space="0" w:color="auto"/>
              <w:right w:val="single" w:sz="4" w:space="0" w:color="auto"/>
            </w:tcBorders>
            <w:shd w:val="clear" w:color="DBDBDB" w:fill="D9D9D9"/>
            <w:vAlign w:val="center"/>
            <w:hideMark/>
          </w:tcPr>
          <w:p w:rsidR="007F57B3" w:rsidRPr="007F57B3" w:rsidRDefault="007F57B3">
            <w:pPr>
              <w:rPr>
                <w:rFonts w:ascii="Calibri" w:hAnsi="Calibri" w:cs="Calibri"/>
                <w:color w:val="000000"/>
                <w:sz w:val="17"/>
                <w:szCs w:val="17"/>
              </w:rPr>
            </w:pPr>
            <w:r>
              <w:rPr>
                <w:rFonts w:ascii="Calibri" w:hAnsi="Calibri" w:cs="Calibri"/>
                <w:color w:val="000000"/>
                <w:sz w:val="17"/>
                <w:szCs w:val="17"/>
              </w:rPr>
              <w:t xml:space="preserve">Ostatní záležitosti </w:t>
            </w:r>
            <w:r w:rsidRPr="007F57B3">
              <w:rPr>
                <w:rFonts w:ascii="Calibri" w:hAnsi="Calibri" w:cs="Calibri"/>
                <w:color w:val="000000"/>
                <w:sz w:val="17"/>
                <w:szCs w:val="17"/>
              </w:rPr>
              <w:t>ochrany památek a péče o kult.</w:t>
            </w:r>
            <w:r>
              <w:rPr>
                <w:rFonts w:ascii="Calibri" w:hAnsi="Calibri" w:cs="Calibri"/>
                <w:color w:val="000000"/>
                <w:sz w:val="17"/>
                <w:szCs w:val="17"/>
              </w:rPr>
              <w:t xml:space="preserve"> </w:t>
            </w:r>
            <w:r w:rsidRPr="007F57B3">
              <w:rPr>
                <w:rFonts w:ascii="Calibri" w:hAnsi="Calibri" w:cs="Calibri"/>
                <w:color w:val="000000"/>
                <w:sz w:val="17"/>
                <w:szCs w:val="17"/>
              </w:rPr>
              <w:t>dědictví</w:t>
            </w:r>
          </w:p>
        </w:tc>
        <w:tc>
          <w:tcPr>
            <w:tcW w:w="1276" w:type="dxa"/>
            <w:tcBorders>
              <w:top w:val="single" w:sz="4" w:space="0" w:color="auto"/>
              <w:left w:val="nil"/>
              <w:bottom w:val="single" w:sz="4" w:space="0" w:color="auto"/>
              <w:right w:val="single" w:sz="4" w:space="0" w:color="auto"/>
            </w:tcBorders>
            <w:shd w:val="clear" w:color="DBDBDB"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550 000,00</w:t>
            </w:r>
          </w:p>
        </w:tc>
        <w:tc>
          <w:tcPr>
            <w:tcW w:w="1275" w:type="dxa"/>
            <w:tcBorders>
              <w:top w:val="single" w:sz="4" w:space="0" w:color="auto"/>
              <w:left w:val="nil"/>
              <w:bottom w:val="single" w:sz="4" w:space="0" w:color="auto"/>
              <w:right w:val="single" w:sz="4" w:space="0" w:color="auto"/>
            </w:tcBorders>
            <w:shd w:val="clear" w:color="DBDBDB"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990 000,00</w:t>
            </w:r>
          </w:p>
        </w:tc>
        <w:tc>
          <w:tcPr>
            <w:tcW w:w="1276" w:type="dxa"/>
            <w:tcBorders>
              <w:top w:val="single" w:sz="4" w:space="0" w:color="auto"/>
              <w:left w:val="nil"/>
              <w:bottom w:val="single" w:sz="4" w:space="0" w:color="auto"/>
              <w:right w:val="single" w:sz="4" w:space="0" w:color="auto"/>
            </w:tcBorders>
            <w:shd w:val="clear" w:color="DBDBDB"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630 770,69</w:t>
            </w:r>
          </w:p>
        </w:tc>
        <w:tc>
          <w:tcPr>
            <w:tcW w:w="851" w:type="dxa"/>
            <w:tcBorders>
              <w:top w:val="single" w:sz="4" w:space="0" w:color="auto"/>
              <w:left w:val="nil"/>
              <w:bottom w:val="single" w:sz="4" w:space="0" w:color="auto"/>
              <w:right w:val="single" w:sz="4" w:space="0" w:color="auto"/>
            </w:tcBorders>
            <w:shd w:val="clear" w:color="000000"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63,71%</w:t>
            </w:r>
          </w:p>
        </w:tc>
      </w:tr>
      <w:tr w:rsidR="007F57B3" w:rsidRPr="007F57B3" w:rsidTr="007F57B3">
        <w:trPr>
          <w:trHeight w:val="30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7B3" w:rsidRPr="007F57B3" w:rsidRDefault="007F57B3">
            <w:pPr>
              <w:jc w:val="center"/>
              <w:rPr>
                <w:rFonts w:ascii="Calibri" w:hAnsi="Calibri" w:cs="Calibri"/>
                <w:color w:val="000000"/>
                <w:sz w:val="17"/>
                <w:szCs w:val="17"/>
              </w:rPr>
            </w:pPr>
            <w:r w:rsidRPr="007F57B3">
              <w:rPr>
                <w:rFonts w:ascii="Calibri" w:hAnsi="Calibri" w:cs="Calibri"/>
                <w:color w:val="000000"/>
                <w:sz w:val="17"/>
                <w:szCs w:val="17"/>
              </w:rPr>
              <w:t>003412</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rsidR="007F57B3" w:rsidRPr="007F57B3" w:rsidRDefault="007F57B3">
            <w:pPr>
              <w:rPr>
                <w:rFonts w:ascii="Calibri" w:hAnsi="Calibri" w:cs="Calibri"/>
                <w:color w:val="000000"/>
                <w:sz w:val="17"/>
                <w:szCs w:val="17"/>
              </w:rPr>
            </w:pPr>
            <w:r w:rsidRPr="007F57B3">
              <w:rPr>
                <w:rFonts w:ascii="Calibri" w:hAnsi="Calibri" w:cs="Calibri"/>
                <w:color w:val="000000"/>
                <w:sz w:val="17"/>
                <w:szCs w:val="17"/>
              </w:rPr>
              <w:t>Sportovní zařízení ve vlastnictví obce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33 305 000,00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33 432 281,21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31 677 288,50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94,75%</w:t>
            </w:r>
          </w:p>
        </w:tc>
      </w:tr>
      <w:tr w:rsidR="007F57B3" w:rsidRPr="007F57B3" w:rsidTr="007F57B3">
        <w:trPr>
          <w:trHeight w:val="300"/>
        </w:trPr>
        <w:tc>
          <w:tcPr>
            <w:tcW w:w="657" w:type="dxa"/>
            <w:tcBorders>
              <w:top w:val="single" w:sz="4" w:space="0" w:color="auto"/>
              <w:left w:val="single" w:sz="4" w:space="0" w:color="auto"/>
              <w:bottom w:val="single" w:sz="4" w:space="0" w:color="auto"/>
              <w:right w:val="single" w:sz="4" w:space="0" w:color="auto"/>
            </w:tcBorders>
            <w:shd w:val="clear" w:color="DBDBDB" w:fill="D9D9D9"/>
            <w:noWrap/>
            <w:vAlign w:val="center"/>
            <w:hideMark/>
          </w:tcPr>
          <w:p w:rsidR="007F57B3" w:rsidRPr="007F57B3" w:rsidRDefault="007F57B3">
            <w:pPr>
              <w:jc w:val="center"/>
              <w:rPr>
                <w:rFonts w:ascii="Calibri" w:hAnsi="Calibri" w:cs="Calibri"/>
                <w:color w:val="000000"/>
                <w:sz w:val="17"/>
                <w:szCs w:val="17"/>
              </w:rPr>
            </w:pPr>
            <w:r w:rsidRPr="007F57B3">
              <w:rPr>
                <w:rFonts w:ascii="Calibri" w:hAnsi="Calibri" w:cs="Calibri"/>
                <w:color w:val="000000"/>
                <w:sz w:val="17"/>
                <w:szCs w:val="17"/>
              </w:rPr>
              <w:t>003429</w:t>
            </w:r>
          </w:p>
        </w:tc>
        <w:tc>
          <w:tcPr>
            <w:tcW w:w="4158" w:type="dxa"/>
            <w:tcBorders>
              <w:top w:val="single" w:sz="4" w:space="0" w:color="auto"/>
              <w:left w:val="nil"/>
              <w:bottom w:val="single" w:sz="4" w:space="0" w:color="auto"/>
              <w:right w:val="single" w:sz="4" w:space="0" w:color="auto"/>
            </w:tcBorders>
            <w:shd w:val="clear" w:color="DBDBDB" w:fill="D9D9D9"/>
            <w:vAlign w:val="center"/>
            <w:hideMark/>
          </w:tcPr>
          <w:p w:rsidR="007F57B3" w:rsidRPr="007F57B3" w:rsidRDefault="007F57B3">
            <w:pPr>
              <w:rPr>
                <w:rFonts w:ascii="Calibri" w:hAnsi="Calibri" w:cs="Calibri"/>
                <w:color w:val="000000"/>
                <w:sz w:val="17"/>
                <w:szCs w:val="17"/>
              </w:rPr>
            </w:pPr>
            <w:r w:rsidRPr="007F57B3">
              <w:rPr>
                <w:rFonts w:ascii="Calibri" w:hAnsi="Calibri" w:cs="Calibri"/>
                <w:color w:val="000000"/>
                <w:sz w:val="17"/>
                <w:szCs w:val="17"/>
              </w:rPr>
              <w:t>Ostatní zájmová činnost a rekreace</w:t>
            </w:r>
          </w:p>
        </w:tc>
        <w:tc>
          <w:tcPr>
            <w:tcW w:w="1276" w:type="dxa"/>
            <w:tcBorders>
              <w:top w:val="single" w:sz="4" w:space="0" w:color="auto"/>
              <w:left w:val="nil"/>
              <w:bottom w:val="single" w:sz="4" w:space="0" w:color="auto"/>
              <w:right w:val="single" w:sz="4" w:space="0" w:color="auto"/>
            </w:tcBorders>
            <w:shd w:val="clear" w:color="DBDBDB"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0,00</w:t>
            </w:r>
          </w:p>
        </w:tc>
        <w:tc>
          <w:tcPr>
            <w:tcW w:w="1275" w:type="dxa"/>
            <w:tcBorders>
              <w:top w:val="single" w:sz="4" w:space="0" w:color="auto"/>
              <w:left w:val="nil"/>
              <w:bottom w:val="single" w:sz="4" w:space="0" w:color="auto"/>
              <w:right w:val="single" w:sz="4" w:space="0" w:color="auto"/>
            </w:tcBorders>
            <w:shd w:val="clear" w:color="DBDBDB"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950 000,00</w:t>
            </w:r>
          </w:p>
        </w:tc>
        <w:tc>
          <w:tcPr>
            <w:tcW w:w="1276" w:type="dxa"/>
            <w:tcBorders>
              <w:top w:val="single" w:sz="4" w:space="0" w:color="auto"/>
              <w:left w:val="nil"/>
              <w:bottom w:val="single" w:sz="4" w:space="0" w:color="auto"/>
              <w:right w:val="single" w:sz="4" w:space="0" w:color="auto"/>
            </w:tcBorders>
            <w:shd w:val="clear" w:color="DBDBDB"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950 000,00</w:t>
            </w:r>
          </w:p>
        </w:tc>
        <w:tc>
          <w:tcPr>
            <w:tcW w:w="851" w:type="dxa"/>
            <w:tcBorders>
              <w:top w:val="single" w:sz="4" w:space="0" w:color="auto"/>
              <w:left w:val="nil"/>
              <w:bottom w:val="single" w:sz="4" w:space="0" w:color="auto"/>
              <w:right w:val="single" w:sz="4" w:space="0" w:color="auto"/>
            </w:tcBorders>
            <w:shd w:val="clear" w:color="000000"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100,00%</w:t>
            </w:r>
          </w:p>
        </w:tc>
      </w:tr>
      <w:tr w:rsidR="007F57B3" w:rsidRPr="007F57B3" w:rsidTr="007F57B3">
        <w:trPr>
          <w:trHeight w:val="30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7B3" w:rsidRPr="007F57B3" w:rsidRDefault="007F57B3">
            <w:pPr>
              <w:jc w:val="center"/>
              <w:rPr>
                <w:rFonts w:ascii="Calibri" w:hAnsi="Calibri" w:cs="Calibri"/>
                <w:color w:val="000000"/>
                <w:sz w:val="17"/>
                <w:szCs w:val="17"/>
              </w:rPr>
            </w:pPr>
            <w:r w:rsidRPr="007F57B3">
              <w:rPr>
                <w:rFonts w:ascii="Calibri" w:hAnsi="Calibri" w:cs="Calibri"/>
                <w:color w:val="000000"/>
                <w:sz w:val="17"/>
                <w:szCs w:val="17"/>
              </w:rPr>
              <w:t>003539</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rsidR="007F57B3" w:rsidRPr="007F57B3" w:rsidRDefault="007F57B3">
            <w:pPr>
              <w:rPr>
                <w:rFonts w:ascii="Calibri" w:hAnsi="Calibri" w:cs="Calibri"/>
                <w:color w:val="000000"/>
                <w:sz w:val="17"/>
                <w:szCs w:val="17"/>
              </w:rPr>
            </w:pPr>
            <w:r>
              <w:rPr>
                <w:rFonts w:ascii="Calibri" w:hAnsi="Calibri" w:cs="Calibri"/>
                <w:color w:val="000000"/>
                <w:sz w:val="17"/>
                <w:szCs w:val="17"/>
              </w:rPr>
              <w:t xml:space="preserve">Ostatní zdravotnická zařízení </w:t>
            </w:r>
            <w:r w:rsidRPr="007F57B3">
              <w:rPr>
                <w:rFonts w:ascii="Calibri" w:hAnsi="Calibri" w:cs="Calibri"/>
                <w:color w:val="000000"/>
                <w:sz w:val="17"/>
                <w:szCs w:val="17"/>
              </w:rPr>
              <w:t>a služby pro zdravot.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930 000,00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928 675,00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99,86%</w:t>
            </w:r>
          </w:p>
        </w:tc>
      </w:tr>
      <w:tr w:rsidR="007F57B3" w:rsidRPr="007F57B3" w:rsidTr="007F57B3">
        <w:trPr>
          <w:trHeight w:val="300"/>
        </w:trPr>
        <w:tc>
          <w:tcPr>
            <w:tcW w:w="657" w:type="dxa"/>
            <w:tcBorders>
              <w:top w:val="single" w:sz="4" w:space="0" w:color="auto"/>
              <w:left w:val="single" w:sz="4" w:space="0" w:color="auto"/>
              <w:bottom w:val="single" w:sz="4" w:space="0" w:color="auto"/>
              <w:right w:val="single" w:sz="4" w:space="0" w:color="auto"/>
            </w:tcBorders>
            <w:shd w:val="clear" w:color="DBDBDB" w:fill="D9D9D9"/>
            <w:noWrap/>
            <w:vAlign w:val="center"/>
            <w:hideMark/>
          </w:tcPr>
          <w:p w:rsidR="007F57B3" w:rsidRPr="007F57B3" w:rsidRDefault="007F57B3">
            <w:pPr>
              <w:jc w:val="center"/>
              <w:rPr>
                <w:rFonts w:ascii="Calibri" w:hAnsi="Calibri" w:cs="Calibri"/>
                <w:color w:val="000000"/>
                <w:sz w:val="17"/>
                <w:szCs w:val="17"/>
              </w:rPr>
            </w:pPr>
            <w:r w:rsidRPr="007F57B3">
              <w:rPr>
                <w:rFonts w:ascii="Calibri" w:hAnsi="Calibri" w:cs="Calibri"/>
                <w:color w:val="000000"/>
                <w:sz w:val="17"/>
                <w:szCs w:val="17"/>
              </w:rPr>
              <w:t>003612</w:t>
            </w:r>
          </w:p>
        </w:tc>
        <w:tc>
          <w:tcPr>
            <w:tcW w:w="4158" w:type="dxa"/>
            <w:tcBorders>
              <w:top w:val="single" w:sz="4" w:space="0" w:color="auto"/>
              <w:left w:val="nil"/>
              <w:bottom w:val="single" w:sz="4" w:space="0" w:color="auto"/>
              <w:right w:val="single" w:sz="4" w:space="0" w:color="auto"/>
            </w:tcBorders>
            <w:shd w:val="clear" w:color="DBDBDB" w:fill="D9D9D9"/>
            <w:vAlign w:val="center"/>
            <w:hideMark/>
          </w:tcPr>
          <w:p w:rsidR="007F57B3" w:rsidRPr="007F57B3" w:rsidRDefault="007F57B3">
            <w:pPr>
              <w:rPr>
                <w:rFonts w:ascii="Calibri" w:hAnsi="Calibri" w:cs="Calibri"/>
                <w:color w:val="000000"/>
                <w:sz w:val="17"/>
                <w:szCs w:val="17"/>
              </w:rPr>
            </w:pPr>
            <w:r w:rsidRPr="007F57B3">
              <w:rPr>
                <w:rFonts w:ascii="Calibri" w:hAnsi="Calibri" w:cs="Calibri"/>
                <w:color w:val="000000"/>
                <w:sz w:val="17"/>
                <w:szCs w:val="17"/>
              </w:rPr>
              <w:t>Bytové hospodářství</w:t>
            </w:r>
          </w:p>
        </w:tc>
        <w:tc>
          <w:tcPr>
            <w:tcW w:w="1276" w:type="dxa"/>
            <w:tcBorders>
              <w:top w:val="single" w:sz="4" w:space="0" w:color="auto"/>
              <w:left w:val="nil"/>
              <w:bottom w:val="single" w:sz="4" w:space="0" w:color="auto"/>
              <w:right w:val="single" w:sz="4" w:space="0" w:color="auto"/>
            </w:tcBorders>
            <w:shd w:val="clear" w:color="DBDBDB"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28 100 000,00</w:t>
            </w:r>
          </w:p>
        </w:tc>
        <w:tc>
          <w:tcPr>
            <w:tcW w:w="1275" w:type="dxa"/>
            <w:tcBorders>
              <w:top w:val="single" w:sz="4" w:space="0" w:color="auto"/>
              <w:left w:val="nil"/>
              <w:bottom w:val="single" w:sz="4" w:space="0" w:color="auto"/>
              <w:right w:val="single" w:sz="4" w:space="0" w:color="auto"/>
            </w:tcBorders>
            <w:shd w:val="clear" w:color="DBDBDB"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35 660 000,00</w:t>
            </w:r>
          </w:p>
        </w:tc>
        <w:tc>
          <w:tcPr>
            <w:tcW w:w="1276" w:type="dxa"/>
            <w:tcBorders>
              <w:top w:val="single" w:sz="4" w:space="0" w:color="auto"/>
              <w:left w:val="nil"/>
              <w:bottom w:val="single" w:sz="4" w:space="0" w:color="auto"/>
              <w:right w:val="single" w:sz="4" w:space="0" w:color="auto"/>
            </w:tcBorders>
            <w:shd w:val="clear" w:color="DBDBDB"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25 596 884,61</w:t>
            </w:r>
          </w:p>
        </w:tc>
        <w:tc>
          <w:tcPr>
            <w:tcW w:w="851" w:type="dxa"/>
            <w:tcBorders>
              <w:top w:val="single" w:sz="4" w:space="0" w:color="auto"/>
              <w:left w:val="nil"/>
              <w:bottom w:val="single" w:sz="4" w:space="0" w:color="auto"/>
              <w:right w:val="single" w:sz="4" w:space="0" w:color="auto"/>
            </w:tcBorders>
            <w:shd w:val="clear" w:color="000000"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71,78%</w:t>
            </w:r>
          </w:p>
        </w:tc>
      </w:tr>
      <w:tr w:rsidR="007F57B3" w:rsidRPr="007F57B3" w:rsidTr="007F57B3">
        <w:trPr>
          <w:trHeight w:val="30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7B3" w:rsidRPr="007F57B3" w:rsidRDefault="007F57B3">
            <w:pPr>
              <w:jc w:val="center"/>
              <w:rPr>
                <w:rFonts w:ascii="Calibri" w:hAnsi="Calibri" w:cs="Calibri"/>
                <w:color w:val="000000"/>
                <w:sz w:val="17"/>
                <w:szCs w:val="17"/>
              </w:rPr>
            </w:pPr>
            <w:r w:rsidRPr="007F57B3">
              <w:rPr>
                <w:rFonts w:ascii="Calibri" w:hAnsi="Calibri" w:cs="Calibri"/>
                <w:color w:val="000000"/>
                <w:sz w:val="17"/>
                <w:szCs w:val="17"/>
              </w:rPr>
              <w:t>003613</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rsidR="007F57B3" w:rsidRPr="007F57B3" w:rsidRDefault="007F57B3">
            <w:pPr>
              <w:rPr>
                <w:rFonts w:ascii="Calibri" w:hAnsi="Calibri" w:cs="Calibri"/>
                <w:color w:val="000000"/>
                <w:sz w:val="17"/>
                <w:szCs w:val="17"/>
              </w:rPr>
            </w:pPr>
            <w:r w:rsidRPr="007F57B3">
              <w:rPr>
                <w:rFonts w:ascii="Calibri" w:hAnsi="Calibri" w:cs="Calibri"/>
                <w:color w:val="000000"/>
                <w:sz w:val="17"/>
                <w:szCs w:val="17"/>
              </w:rPr>
              <w:t>Nebytové hospodářství</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1 000 000,00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4 469 000,00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4 450 980,00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99,60%</w:t>
            </w:r>
          </w:p>
        </w:tc>
      </w:tr>
      <w:tr w:rsidR="007F57B3" w:rsidRPr="007F57B3" w:rsidTr="007F57B3">
        <w:trPr>
          <w:trHeight w:val="300"/>
        </w:trPr>
        <w:tc>
          <w:tcPr>
            <w:tcW w:w="657" w:type="dxa"/>
            <w:tcBorders>
              <w:top w:val="single" w:sz="4" w:space="0" w:color="auto"/>
              <w:left w:val="single" w:sz="4" w:space="0" w:color="auto"/>
              <w:bottom w:val="single" w:sz="4" w:space="0" w:color="auto"/>
              <w:right w:val="single" w:sz="4" w:space="0" w:color="auto"/>
            </w:tcBorders>
            <w:shd w:val="clear" w:color="DBDBDB" w:fill="D9D9D9"/>
            <w:noWrap/>
            <w:vAlign w:val="center"/>
            <w:hideMark/>
          </w:tcPr>
          <w:p w:rsidR="007F57B3" w:rsidRPr="007F57B3" w:rsidRDefault="007F57B3">
            <w:pPr>
              <w:jc w:val="center"/>
              <w:rPr>
                <w:rFonts w:ascii="Calibri" w:hAnsi="Calibri" w:cs="Calibri"/>
                <w:color w:val="000000"/>
                <w:sz w:val="17"/>
                <w:szCs w:val="17"/>
              </w:rPr>
            </w:pPr>
            <w:r w:rsidRPr="007F57B3">
              <w:rPr>
                <w:rFonts w:ascii="Calibri" w:hAnsi="Calibri" w:cs="Calibri"/>
                <w:color w:val="000000"/>
                <w:sz w:val="17"/>
                <w:szCs w:val="17"/>
              </w:rPr>
              <w:t>003631</w:t>
            </w:r>
          </w:p>
        </w:tc>
        <w:tc>
          <w:tcPr>
            <w:tcW w:w="4158" w:type="dxa"/>
            <w:tcBorders>
              <w:top w:val="single" w:sz="4" w:space="0" w:color="auto"/>
              <w:left w:val="nil"/>
              <w:bottom w:val="single" w:sz="4" w:space="0" w:color="auto"/>
              <w:right w:val="single" w:sz="4" w:space="0" w:color="auto"/>
            </w:tcBorders>
            <w:shd w:val="clear" w:color="DBDBDB" w:fill="D9D9D9"/>
            <w:vAlign w:val="center"/>
            <w:hideMark/>
          </w:tcPr>
          <w:p w:rsidR="007F57B3" w:rsidRPr="007F57B3" w:rsidRDefault="007F57B3">
            <w:pPr>
              <w:rPr>
                <w:rFonts w:ascii="Calibri" w:hAnsi="Calibri" w:cs="Calibri"/>
                <w:color w:val="000000"/>
                <w:sz w:val="17"/>
                <w:szCs w:val="17"/>
              </w:rPr>
            </w:pPr>
            <w:r w:rsidRPr="007F57B3">
              <w:rPr>
                <w:rFonts w:ascii="Calibri" w:hAnsi="Calibri" w:cs="Calibri"/>
                <w:color w:val="000000"/>
                <w:sz w:val="17"/>
                <w:szCs w:val="17"/>
              </w:rPr>
              <w:t>Veřejné osvětlení</w:t>
            </w:r>
          </w:p>
        </w:tc>
        <w:tc>
          <w:tcPr>
            <w:tcW w:w="1276" w:type="dxa"/>
            <w:tcBorders>
              <w:top w:val="single" w:sz="4" w:space="0" w:color="auto"/>
              <w:left w:val="nil"/>
              <w:bottom w:val="single" w:sz="4" w:space="0" w:color="auto"/>
              <w:right w:val="single" w:sz="4" w:space="0" w:color="auto"/>
            </w:tcBorders>
            <w:shd w:val="clear" w:color="DBDBDB"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1 135 000,00</w:t>
            </w:r>
          </w:p>
        </w:tc>
        <w:tc>
          <w:tcPr>
            <w:tcW w:w="1275" w:type="dxa"/>
            <w:tcBorders>
              <w:top w:val="single" w:sz="4" w:space="0" w:color="auto"/>
              <w:left w:val="nil"/>
              <w:bottom w:val="single" w:sz="4" w:space="0" w:color="auto"/>
              <w:right w:val="single" w:sz="4" w:space="0" w:color="auto"/>
            </w:tcBorders>
            <w:shd w:val="clear" w:color="DBDBDB"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3 098 753,00</w:t>
            </w:r>
          </w:p>
        </w:tc>
        <w:tc>
          <w:tcPr>
            <w:tcW w:w="1276" w:type="dxa"/>
            <w:tcBorders>
              <w:top w:val="single" w:sz="4" w:space="0" w:color="auto"/>
              <w:left w:val="nil"/>
              <w:bottom w:val="single" w:sz="4" w:space="0" w:color="auto"/>
              <w:right w:val="single" w:sz="4" w:space="0" w:color="auto"/>
            </w:tcBorders>
            <w:shd w:val="clear" w:color="DBDBDB"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2 680 172,09</w:t>
            </w:r>
          </w:p>
        </w:tc>
        <w:tc>
          <w:tcPr>
            <w:tcW w:w="851" w:type="dxa"/>
            <w:tcBorders>
              <w:top w:val="single" w:sz="4" w:space="0" w:color="auto"/>
              <w:left w:val="nil"/>
              <w:bottom w:val="single" w:sz="4" w:space="0" w:color="auto"/>
              <w:right w:val="single" w:sz="4" w:space="0" w:color="auto"/>
            </w:tcBorders>
            <w:shd w:val="clear" w:color="000000"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86,49%</w:t>
            </w:r>
          </w:p>
        </w:tc>
      </w:tr>
      <w:tr w:rsidR="007F57B3" w:rsidRPr="007F57B3" w:rsidTr="007F57B3">
        <w:trPr>
          <w:trHeight w:val="30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7B3" w:rsidRPr="007F57B3" w:rsidRDefault="007F57B3">
            <w:pPr>
              <w:jc w:val="center"/>
              <w:rPr>
                <w:rFonts w:ascii="Calibri" w:hAnsi="Calibri" w:cs="Calibri"/>
                <w:color w:val="000000"/>
                <w:sz w:val="17"/>
                <w:szCs w:val="17"/>
              </w:rPr>
            </w:pPr>
            <w:r w:rsidRPr="007F57B3">
              <w:rPr>
                <w:rFonts w:ascii="Calibri" w:hAnsi="Calibri" w:cs="Calibri"/>
                <w:color w:val="000000"/>
                <w:sz w:val="17"/>
                <w:szCs w:val="17"/>
              </w:rPr>
              <w:t>003632</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rsidR="007F57B3" w:rsidRPr="007F57B3" w:rsidRDefault="007F57B3">
            <w:pPr>
              <w:rPr>
                <w:rFonts w:ascii="Calibri" w:hAnsi="Calibri" w:cs="Calibri"/>
                <w:color w:val="000000"/>
                <w:sz w:val="17"/>
                <w:szCs w:val="17"/>
              </w:rPr>
            </w:pPr>
            <w:r w:rsidRPr="007F57B3">
              <w:rPr>
                <w:rFonts w:ascii="Calibri" w:hAnsi="Calibri" w:cs="Calibri"/>
                <w:color w:val="000000"/>
                <w:sz w:val="17"/>
                <w:szCs w:val="17"/>
              </w:rPr>
              <w:t>Pohřebnictví</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11 400 000,00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3 420 286,29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3 397 475,91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99,33%</w:t>
            </w:r>
          </w:p>
        </w:tc>
      </w:tr>
      <w:tr w:rsidR="007F57B3" w:rsidRPr="007F57B3" w:rsidTr="007F57B3">
        <w:trPr>
          <w:trHeight w:val="300"/>
        </w:trPr>
        <w:tc>
          <w:tcPr>
            <w:tcW w:w="657" w:type="dxa"/>
            <w:tcBorders>
              <w:top w:val="single" w:sz="4" w:space="0" w:color="auto"/>
              <w:left w:val="single" w:sz="4" w:space="0" w:color="auto"/>
              <w:bottom w:val="single" w:sz="4" w:space="0" w:color="auto"/>
              <w:right w:val="single" w:sz="4" w:space="0" w:color="auto"/>
            </w:tcBorders>
            <w:shd w:val="clear" w:color="DBDBDB" w:fill="D9D9D9"/>
            <w:noWrap/>
            <w:vAlign w:val="center"/>
            <w:hideMark/>
          </w:tcPr>
          <w:p w:rsidR="007F57B3" w:rsidRPr="007F57B3" w:rsidRDefault="007F57B3">
            <w:pPr>
              <w:jc w:val="center"/>
              <w:rPr>
                <w:rFonts w:ascii="Calibri" w:hAnsi="Calibri" w:cs="Calibri"/>
                <w:color w:val="000000"/>
                <w:sz w:val="17"/>
                <w:szCs w:val="17"/>
              </w:rPr>
            </w:pPr>
            <w:r w:rsidRPr="007F57B3">
              <w:rPr>
                <w:rFonts w:ascii="Calibri" w:hAnsi="Calibri" w:cs="Calibri"/>
                <w:color w:val="000000"/>
                <w:sz w:val="17"/>
                <w:szCs w:val="17"/>
              </w:rPr>
              <w:t>003633</w:t>
            </w:r>
          </w:p>
        </w:tc>
        <w:tc>
          <w:tcPr>
            <w:tcW w:w="4158" w:type="dxa"/>
            <w:tcBorders>
              <w:top w:val="single" w:sz="4" w:space="0" w:color="auto"/>
              <w:left w:val="nil"/>
              <w:bottom w:val="single" w:sz="4" w:space="0" w:color="auto"/>
              <w:right w:val="single" w:sz="4" w:space="0" w:color="auto"/>
            </w:tcBorders>
            <w:shd w:val="clear" w:color="DBDBDB" w:fill="D9D9D9"/>
            <w:vAlign w:val="center"/>
            <w:hideMark/>
          </w:tcPr>
          <w:p w:rsidR="007F57B3" w:rsidRPr="007F57B3" w:rsidRDefault="007F57B3">
            <w:pPr>
              <w:rPr>
                <w:rFonts w:ascii="Calibri" w:hAnsi="Calibri" w:cs="Calibri"/>
                <w:color w:val="000000"/>
                <w:sz w:val="17"/>
                <w:szCs w:val="17"/>
              </w:rPr>
            </w:pPr>
            <w:r w:rsidRPr="007F57B3">
              <w:rPr>
                <w:rFonts w:ascii="Calibri" w:hAnsi="Calibri" w:cs="Calibri"/>
                <w:color w:val="000000"/>
                <w:sz w:val="17"/>
                <w:szCs w:val="17"/>
              </w:rPr>
              <w:t>Výstavba a údržba místních inženýrských sítí</w:t>
            </w:r>
          </w:p>
        </w:tc>
        <w:tc>
          <w:tcPr>
            <w:tcW w:w="1276" w:type="dxa"/>
            <w:tcBorders>
              <w:top w:val="single" w:sz="4" w:space="0" w:color="auto"/>
              <w:left w:val="nil"/>
              <w:bottom w:val="single" w:sz="4" w:space="0" w:color="auto"/>
              <w:right w:val="single" w:sz="4" w:space="0" w:color="auto"/>
            </w:tcBorders>
            <w:shd w:val="clear" w:color="DBDBDB"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3 000 000,00</w:t>
            </w:r>
          </w:p>
        </w:tc>
        <w:tc>
          <w:tcPr>
            <w:tcW w:w="1275" w:type="dxa"/>
            <w:tcBorders>
              <w:top w:val="single" w:sz="4" w:space="0" w:color="auto"/>
              <w:left w:val="nil"/>
              <w:bottom w:val="single" w:sz="4" w:space="0" w:color="auto"/>
              <w:right w:val="single" w:sz="4" w:space="0" w:color="auto"/>
            </w:tcBorders>
            <w:shd w:val="clear" w:color="DBDBDB"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1 300 000,00</w:t>
            </w:r>
          </w:p>
        </w:tc>
        <w:tc>
          <w:tcPr>
            <w:tcW w:w="1276" w:type="dxa"/>
            <w:tcBorders>
              <w:top w:val="single" w:sz="4" w:space="0" w:color="auto"/>
              <w:left w:val="nil"/>
              <w:bottom w:val="single" w:sz="4" w:space="0" w:color="auto"/>
              <w:right w:val="single" w:sz="4" w:space="0" w:color="auto"/>
            </w:tcBorders>
            <w:shd w:val="clear" w:color="DBDBDB"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1 281 737,27</w:t>
            </w:r>
          </w:p>
        </w:tc>
        <w:tc>
          <w:tcPr>
            <w:tcW w:w="851" w:type="dxa"/>
            <w:tcBorders>
              <w:top w:val="single" w:sz="4" w:space="0" w:color="auto"/>
              <w:left w:val="nil"/>
              <w:bottom w:val="single" w:sz="4" w:space="0" w:color="auto"/>
              <w:right w:val="single" w:sz="4" w:space="0" w:color="auto"/>
            </w:tcBorders>
            <w:shd w:val="clear" w:color="000000"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98,60%</w:t>
            </w:r>
          </w:p>
        </w:tc>
      </w:tr>
      <w:tr w:rsidR="007F57B3" w:rsidRPr="007F57B3" w:rsidTr="007F57B3">
        <w:trPr>
          <w:trHeight w:val="30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7B3" w:rsidRPr="007F57B3" w:rsidRDefault="007F57B3">
            <w:pPr>
              <w:jc w:val="center"/>
              <w:rPr>
                <w:rFonts w:ascii="Calibri" w:hAnsi="Calibri" w:cs="Calibri"/>
                <w:color w:val="000000"/>
                <w:sz w:val="17"/>
                <w:szCs w:val="17"/>
              </w:rPr>
            </w:pPr>
            <w:r w:rsidRPr="007F57B3">
              <w:rPr>
                <w:rFonts w:ascii="Calibri" w:hAnsi="Calibri" w:cs="Calibri"/>
                <w:color w:val="000000"/>
                <w:sz w:val="17"/>
                <w:szCs w:val="17"/>
              </w:rPr>
              <w:t>003635</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rsidR="007F57B3" w:rsidRPr="007F57B3" w:rsidRDefault="007F57B3">
            <w:pPr>
              <w:rPr>
                <w:rFonts w:ascii="Calibri" w:hAnsi="Calibri" w:cs="Calibri"/>
                <w:color w:val="000000"/>
                <w:sz w:val="17"/>
                <w:szCs w:val="17"/>
              </w:rPr>
            </w:pPr>
            <w:r w:rsidRPr="007F57B3">
              <w:rPr>
                <w:rFonts w:ascii="Calibri" w:hAnsi="Calibri" w:cs="Calibri"/>
                <w:color w:val="000000"/>
                <w:sz w:val="17"/>
                <w:szCs w:val="17"/>
              </w:rPr>
              <w:t>Územní plánování</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980 000,00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2 317 130,00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164 560,00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7,10%</w:t>
            </w:r>
          </w:p>
        </w:tc>
      </w:tr>
      <w:tr w:rsidR="007F57B3" w:rsidRPr="007F57B3" w:rsidTr="007F57B3">
        <w:trPr>
          <w:trHeight w:val="300"/>
        </w:trPr>
        <w:tc>
          <w:tcPr>
            <w:tcW w:w="657" w:type="dxa"/>
            <w:tcBorders>
              <w:top w:val="single" w:sz="4" w:space="0" w:color="auto"/>
              <w:left w:val="single" w:sz="4" w:space="0" w:color="auto"/>
              <w:bottom w:val="single" w:sz="4" w:space="0" w:color="auto"/>
              <w:right w:val="single" w:sz="4" w:space="0" w:color="auto"/>
            </w:tcBorders>
            <w:shd w:val="clear" w:color="DBDBDB" w:fill="D9D9D9"/>
            <w:noWrap/>
            <w:vAlign w:val="center"/>
            <w:hideMark/>
          </w:tcPr>
          <w:p w:rsidR="007F57B3" w:rsidRPr="007F57B3" w:rsidRDefault="007F57B3">
            <w:pPr>
              <w:jc w:val="center"/>
              <w:rPr>
                <w:rFonts w:ascii="Calibri" w:hAnsi="Calibri" w:cs="Calibri"/>
                <w:color w:val="000000"/>
                <w:sz w:val="17"/>
                <w:szCs w:val="17"/>
              </w:rPr>
            </w:pPr>
            <w:r w:rsidRPr="007F57B3">
              <w:rPr>
                <w:rFonts w:ascii="Calibri" w:hAnsi="Calibri" w:cs="Calibri"/>
                <w:color w:val="000000"/>
                <w:sz w:val="17"/>
                <w:szCs w:val="17"/>
              </w:rPr>
              <w:t>003639</w:t>
            </w:r>
          </w:p>
        </w:tc>
        <w:tc>
          <w:tcPr>
            <w:tcW w:w="4158" w:type="dxa"/>
            <w:tcBorders>
              <w:top w:val="single" w:sz="4" w:space="0" w:color="auto"/>
              <w:left w:val="nil"/>
              <w:bottom w:val="single" w:sz="4" w:space="0" w:color="auto"/>
              <w:right w:val="single" w:sz="4" w:space="0" w:color="auto"/>
            </w:tcBorders>
            <w:shd w:val="clear" w:color="DBDBDB" w:fill="D9D9D9"/>
            <w:vAlign w:val="center"/>
            <w:hideMark/>
          </w:tcPr>
          <w:p w:rsidR="007F57B3" w:rsidRPr="007F57B3" w:rsidRDefault="007F57B3">
            <w:pPr>
              <w:rPr>
                <w:rFonts w:ascii="Calibri" w:hAnsi="Calibri" w:cs="Calibri"/>
                <w:color w:val="000000"/>
                <w:sz w:val="17"/>
                <w:szCs w:val="17"/>
              </w:rPr>
            </w:pPr>
            <w:r w:rsidRPr="007F57B3">
              <w:rPr>
                <w:rFonts w:ascii="Calibri" w:hAnsi="Calibri" w:cs="Calibri"/>
                <w:color w:val="000000"/>
                <w:sz w:val="17"/>
                <w:szCs w:val="17"/>
              </w:rPr>
              <w:t>Komunální služby a územní rozvoj jinde nezařazené</w:t>
            </w:r>
          </w:p>
        </w:tc>
        <w:tc>
          <w:tcPr>
            <w:tcW w:w="1276" w:type="dxa"/>
            <w:tcBorders>
              <w:top w:val="single" w:sz="4" w:space="0" w:color="auto"/>
              <w:left w:val="nil"/>
              <w:bottom w:val="single" w:sz="4" w:space="0" w:color="auto"/>
              <w:right w:val="single" w:sz="4" w:space="0" w:color="auto"/>
            </w:tcBorders>
            <w:shd w:val="clear" w:color="DBDBDB"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0,00</w:t>
            </w:r>
          </w:p>
        </w:tc>
        <w:tc>
          <w:tcPr>
            <w:tcW w:w="1275" w:type="dxa"/>
            <w:tcBorders>
              <w:top w:val="single" w:sz="4" w:space="0" w:color="auto"/>
              <w:left w:val="nil"/>
              <w:bottom w:val="single" w:sz="4" w:space="0" w:color="auto"/>
              <w:right w:val="single" w:sz="4" w:space="0" w:color="auto"/>
            </w:tcBorders>
            <w:shd w:val="clear" w:color="DBDBDB"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88 088,00</w:t>
            </w:r>
          </w:p>
        </w:tc>
        <w:tc>
          <w:tcPr>
            <w:tcW w:w="1276" w:type="dxa"/>
            <w:tcBorders>
              <w:top w:val="single" w:sz="4" w:space="0" w:color="auto"/>
              <w:left w:val="nil"/>
              <w:bottom w:val="single" w:sz="4" w:space="0" w:color="auto"/>
              <w:right w:val="single" w:sz="4" w:space="0" w:color="auto"/>
            </w:tcBorders>
            <w:shd w:val="clear" w:color="DBDBDB"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72 800,00</w:t>
            </w:r>
          </w:p>
        </w:tc>
        <w:tc>
          <w:tcPr>
            <w:tcW w:w="851" w:type="dxa"/>
            <w:tcBorders>
              <w:top w:val="single" w:sz="4" w:space="0" w:color="auto"/>
              <w:left w:val="nil"/>
              <w:bottom w:val="single" w:sz="4" w:space="0" w:color="auto"/>
              <w:right w:val="single" w:sz="4" w:space="0" w:color="auto"/>
            </w:tcBorders>
            <w:shd w:val="clear" w:color="000000"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82,64%</w:t>
            </w:r>
          </w:p>
        </w:tc>
      </w:tr>
      <w:tr w:rsidR="007F57B3" w:rsidRPr="007F57B3" w:rsidTr="007F57B3">
        <w:trPr>
          <w:trHeight w:val="30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7B3" w:rsidRPr="007F57B3" w:rsidRDefault="007F57B3">
            <w:pPr>
              <w:jc w:val="center"/>
              <w:rPr>
                <w:rFonts w:ascii="Calibri" w:hAnsi="Calibri" w:cs="Calibri"/>
                <w:color w:val="000000"/>
                <w:sz w:val="17"/>
                <w:szCs w:val="17"/>
              </w:rPr>
            </w:pPr>
            <w:r w:rsidRPr="007F57B3">
              <w:rPr>
                <w:rFonts w:ascii="Calibri" w:hAnsi="Calibri" w:cs="Calibri"/>
                <w:color w:val="000000"/>
                <w:sz w:val="17"/>
                <w:szCs w:val="17"/>
              </w:rPr>
              <w:t>003745</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rsidR="007F57B3" w:rsidRPr="007F57B3" w:rsidRDefault="007F57B3">
            <w:pPr>
              <w:rPr>
                <w:rFonts w:ascii="Calibri" w:hAnsi="Calibri" w:cs="Calibri"/>
                <w:color w:val="000000"/>
                <w:sz w:val="17"/>
                <w:szCs w:val="17"/>
              </w:rPr>
            </w:pPr>
            <w:r w:rsidRPr="007F57B3">
              <w:rPr>
                <w:rFonts w:ascii="Calibri" w:hAnsi="Calibri" w:cs="Calibri"/>
                <w:color w:val="000000"/>
                <w:sz w:val="17"/>
                <w:szCs w:val="17"/>
              </w:rPr>
              <w:t>Péče o vzhled obcí a veřejnou zeleň</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3 800 000,00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5 240 000,00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5 170 292,36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98,67%</w:t>
            </w:r>
          </w:p>
        </w:tc>
      </w:tr>
      <w:tr w:rsidR="007F57B3" w:rsidRPr="007F57B3" w:rsidTr="007F57B3">
        <w:trPr>
          <w:trHeight w:val="300"/>
        </w:trPr>
        <w:tc>
          <w:tcPr>
            <w:tcW w:w="657" w:type="dxa"/>
            <w:tcBorders>
              <w:top w:val="single" w:sz="4" w:space="0" w:color="auto"/>
              <w:left w:val="single" w:sz="4" w:space="0" w:color="auto"/>
              <w:bottom w:val="single" w:sz="4" w:space="0" w:color="auto"/>
              <w:right w:val="single" w:sz="4" w:space="0" w:color="auto"/>
            </w:tcBorders>
            <w:shd w:val="clear" w:color="DBDBDB" w:fill="D9D9D9"/>
            <w:noWrap/>
            <w:vAlign w:val="center"/>
            <w:hideMark/>
          </w:tcPr>
          <w:p w:rsidR="007F57B3" w:rsidRPr="007F57B3" w:rsidRDefault="007F57B3">
            <w:pPr>
              <w:jc w:val="center"/>
              <w:rPr>
                <w:rFonts w:ascii="Calibri" w:hAnsi="Calibri" w:cs="Calibri"/>
                <w:color w:val="000000"/>
                <w:sz w:val="17"/>
                <w:szCs w:val="17"/>
              </w:rPr>
            </w:pPr>
            <w:r w:rsidRPr="007F57B3">
              <w:rPr>
                <w:rFonts w:ascii="Calibri" w:hAnsi="Calibri" w:cs="Calibri"/>
                <w:color w:val="000000"/>
                <w:sz w:val="17"/>
                <w:szCs w:val="17"/>
              </w:rPr>
              <w:t>003900</w:t>
            </w:r>
          </w:p>
        </w:tc>
        <w:tc>
          <w:tcPr>
            <w:tcW w:w="4158" w:type="dxa"/>
            <w:tcBorders>
              <w:top w:val="single" w:sz="4" w:space="0" w:color="auto"/>
              <w:left w:val="nil"/>
              <w:bottom w:val="single" w:sz="4" w:space="0" w:color="auto"/>
              <w:right w:val="single" w:sz="4" w:space="0" w:color="auto"/>
            </w:tcBorders>
            <w:shd w:val="clear" w:color="DBDBDB" w:fill="D9D9D9"/>
            <w:vAlign w:val="center"/>
            <w:hideMark/>
          </w:tcPr>
          <w:p w:rsidR="007F57B3" w:rsidRPr="007F57B3" w:rsidRDefault="007F57B3">
            <w:pPr>
              <w:rPr>
                <w:rFonts w:ascii="Calibri" w:hAnsi="Calibri" w:cs="Calibri"/>
                <w:color w:val="000000"/>
                <w:sz w:val="17"/>
                <w:szCs w:val="17"/>
              </w:rPr>
            </w:pPr>
            <w:r>
              <w:rPr>
                <w:rFonts w:ascii="Calibri" w:hAnsi="Calibri" w:cs="Calibri"/>
                <w:color w:val="000000"/>
                <w:sz w:val="17"/>
                <w:szCs w:val="17"/>
              </w:rPr>
              <w:t xml:space="preserve">Ostatní </w:t>
            </w:r>
            <w:r w:rsidRPr="007F57B3">
              <w:rPr>
                <w:rFonts w:ascii="Calibri" w:hAnsi="Calibri" w:cs="Calibri"/>
                <w:color w:val="000000"/>
                <w:sz w:val="17"/>
                <w:szCs w:val="17"/>
              </w:rPr>
              <w:t>činnosti souvis. se službami pro fyzické osoby</w:t>
            </w:r>
          </w:p>
        </w:tc>
        <w:tc>
          <w:tcPr>
            <w:tcW w:w="1276" w:type="dxa"/>
            <w:tcBorders>
              <w:top w:val="single" w:sz="4" w:space="0" w:color="auto"/>
              <w:left w:val="nil"/>
              <w:bottom w:val="single" w:sz="4" w:space="0" w:color="auto"/>
              <w:right w:val="single" w:sz="4" w:space="0" w:color="auto"/>
            </w:tcBorders>
            <w:shd w:val="clear" w:color="DBDBDB"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0,00</w:t>
            </w:r>
          </w:p>
        </w:tc>
        <w:tc>
          <w:tcPr>
            <w:tcW w:w="1275" w:type="dxa"/>
            <w:tcBorders>
              <w:top w:val="single" w:sz="4" w:space="0" w:color="auto"/>
              <w:left w:val="nil"/>
              <w:bottom w:val="single" w:sz="4" w:space="0" w:color="auto"/>
              <w:right w:val="single" w:sz="4" w:space="0" w:color="auto"/>
            </w:tcBorders>
            <w:shd w:val="clear" w:color="DBDBDB"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500 000,00</w:t>
            </w:r>
          </w:p>
        </w:tc>
        <w:tc>
          <w:tcPr>
            <w:tcW w:w="1276" w:type="dxa"/>
            <w:tcBorders>
              <w:top w:val="single" w:sz="4" w:space="0" w:color="auto"/>
              <w:left w:val="nil"/>
              <w:bottom w:val="single" w:sz="4" w:space="0" w:color="auto"/>
              <w:right w:val="single" w:sz="4" w:space="0" w:color="auto"/>
            </w:tcBorders>
            <w:shd w:val="clear" w:color="DBDBDB"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482 814,20</w:t>
            </w:r>
          </w:p>
        </w:tc>
        <w:tc>
          <w:tcPr>
            <w:tcW w:w="851" w:type="dxa"/>
            <w:tcBorders>
              <w:top w:val="single" w:sz="4" w:space="0" w:color="auto"/>
              <w:left w:val="nil"/>
              <w:bottom w:val="single" w:sz="4" w:space="0" w:color="auto"/>
              <w:right w:val="single" w:sz="4" w:space="0" w:color="auto"/>
            </w:tcBorders>
            <w:shd w:val="clear" w:color="000000"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96,56%</w:t>
            </w:r>
          </w:p>
        </w:tc>
      </w:tr>
      <w:tr w:rsidR="007F57B3" w:rsidRPr="007F57B3" w:rsidTr="007F57B3">
        <w:trPr>
          <w:trHeight w:val="30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7B3" w:rsidRPr="007F57B3" w:rsidRDefault="007F57B3">
            <w:pPr>
              <w:jc w:val="center"/>
              <w:rPr>
                <w:rFonts w:ascii="Calibri" w:hAnsi="Calibri" w:cs="Calibri"/>
                <w:color w:val="000000"/>
                <w:sz w:val="17"/>
                <w:szCs w:val="17"/>
              </w:rPr>
            </w:pPr>
            <w:r w:rsidRPr="007F57B3">
              <w:rPr>
                <w:rFonts w:ascii="Calibri" w:hAnsi="Calibri" w:cs="Calibri"/>
                <w:color w:val="000000"/>
                <w:sz w:val="17"/>
                <w:szCs w:val="17"/>
              </w:rPr>
              <w:t>004350</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rsidR="007F57B3" w:rsidRPr="007F57B3" w:rsidRDefault="007F57B3">
            <w:pPr>
              <w:rPr>
                <w:rFonts w:ascii="Calibri" w:hAnsi="Calibri" w:cs="Calibri"/>
                <w:color w:val="000000"/>
                <w:sz w:val="17"/>
                <w:szCs w:val="17"/>
              </w:rPr>
            </w:pPr>
            <w:r w:rsidRPr="007F57B3">
              <w:rPr>
                <w:rFonts w:ascii="Calibri" w:hAnsi="Calibri" w:cs="Calibri"/>
                <w:color w:val="000000"/>
                <w:sz w:val="17"/>
                <w:szCs w:val="17"/>
              </w:rPr>
              <w:t>Domovy pro seniory</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100 500,00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100 500,00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100,00%</w:t>
            </w:r>
          </w:p>
        </w:tc>
      </w:tr>
      <w:tr w:rsidR="007F57B3" w:rsidRPr="007F57B3" w:rsidTr="007F57B3">
        <w:trPr>
          <w:trHeight w:val="300"/>
        </w:trPr>
        <w:tc>
          <w:tcPr>
            <w:tcW w:w="657" w:type="dxa"/>
            <w:tcBorders>
              <w:top w:val="single" w:sz="4" w:space="0" w:color="auto"/>
              <w:left w:val="single" w:sz="4" w:space="0" w:color="auto"/>
              <w:bottom w:val="single" w:sz="4" w:space="0" w:color="auto"/>
              <w:right w:val="single" w:sz="4" w:space="0" w:color="auto"/>
            </w:tcBorders>
            <w:shd w:val="clear" w:color="DBDBDB" w:fill="D9D9D9"/>
            <w:noWrap/>
            <w:vAlign w:val="center"/>
            <w:hideMark/>
          </w:tcPr>
          <w:p w:rsidR="007F57B3" w:rsidRPr="007F57B3" w:rsidRDefault="007F57B3">
            <w:pPr>
              <w:jc w:val="center"/>
              <w:rPr>
                <w:rFonts w:ascii="Calibri" w:hAnsi="Calibri" w:cs="Calibri"/>
                <w:color w:val="000000"/>
                <w:sz w:val="17"/>
                <w:szCs w:val="17"/>
              </w:rPr>
            </w:pPr>
            <w:r w:rsidRPr="007F57B3">
              <w:rPr>
                <w:rFonts w:ascii="Calibri" w:hAnsi="Calibri" w:cs="Calibri"/>
                <w:color w:val="000000"/>
                <w:sz w:val="17"/>
                <w:szCs w:val="17"/>
              </w:rPr>
              <w:t>004359</w:t>
            </w:r>
          </w:p>
        </w:tc>
        <w:tc>
          <w:tcPr>
            <w:tcW w:w="4158" w:type="dxa"/>
            <w:tcBorders>
              <w:top w:val="single" w:sz="4" w:space="0" w:color="auto"/>
              <w:left w:val="nil"/>
              <w:bottom w:val="single" w:sz="4" w:space="0" w:color="auto"/>
              <w:right w:val="single" w:sz="4" w:space="0" w:color="auto"/>
            </w:tcBorders>
            <w:shd w:val="clear" w:color="DBDBDB" w:fill="D9D9D9"/>
            <w:vAlign w:val="center"/>
            <w:hideMark/>
          </w:tcPr>
          <w:p w:rsidR="007F57B3" w:rsidRPr="007F57B3" w:rsidRDefault="007F57B3">
            <w:pPr>
              <w:rPr>
                <w:rFonts w:ascii="Calibri" w:hAnsi="Calibri" w:cs="Calibri"/>
                <w:color w:val="000000"/>
                <w:sz w:val="17"/>
                <w:szCs w:val="17"/>
              </w:rPr>
            </w:pPr>
            <w:r w:rsidRPr="007F57B3">
              <w:rPr>
                <w:rFonts w:ascii="Calibri" w:hAnsi="Calibri" w:cs="Calibri"/>
                <w:color w:val="000000"/>
                <w:sz w:val="17"/>
                <w:szCs w:val="17"/>
              </w:rPr>
              <w:t>Ostatní služby a činnosti v oblasti sociální péče</w:t>
            </w:r>
          </w:p>
        </w:tc>
        <w:tc>
          <w:tcPr>
            <w:tcW w:w="1276" w:type="dxa"/>
            <w:tcBorders>
              <w:top w:val="single" w:sz="4" w:space="0" w:color="auto"/>
              <w:left w:val="nil"/>
              <w:bottom w:val="single" w:sz="4" w:space="0" w:color="auto"/>
              <w:right w:val="single" w:sz="4" w:space="0" w:color="auto"/>
            </w:tcBorders>
            <w:shd w:val="clear" w:color="DBDBDB"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0,00</w:t>
            </w:r>
          </w:p>
        </w:tc>
        <w:tc>
          <w:tcPr>
            <w:tcW w:w="1275" w:type="dxa"/>
            <w:tcBorders>
              <w:top w:val="single" w:sz="4" w:space="0" w:color="auto"/>
              <w:left w:val="nil"/>
              <w:bottom w:val="single" w:sz="4" w:space="0" w:color="auto"/>
              <w:right w:val="single" w:sz="4" w:space="0" w:color="auto"/>
            </w:tcBorders>
            <w:shd w:val="clear" w:color="DBDBDB"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199 000,00</w:t>
            </w:r>
          </w:p>
        </w:tc>
        <w:tc>
          <w:tcPr>
            <w:tcW w:w="1276" w:type="dxa"/>
            <w:tcBorders>
              <w:top w:val="single" w:sz="4" w:space="0" w:color="auto"/>
              <w:left w:val="nil"/>
              <w:bottom w:val="single" w:sz="4" w:space="0" w:color="auto"/>
              <w:right w:val="single" w:sz="4" w:space="0" w:color="auto"/>
            </w:tcBorders>
            <w:shd w:val="clear" w:color="DBDBDB"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0,00</w:t>
            </w:r>
          </w:p>
        </w:tc>
        <w:tc>
          <w:tcPr>
            <w:tcW w:w="851" w:type="dxa"/>
            <w:tcBorders>
              <w:top w:val="single" w:sz="4" w:space="0" w:color="auto"/>
              <w:left w:val="nil"/>
              <w:bottom w:val="single" w:sz="4" w:space="0" w:color="auto"/>
              <w:right w:val="single" w:sz="4" w:space="0" w:color="auto"/>
            </w:tcBorders>
            <w:shd w:val="clear" w:color="000000"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0,00%</w:t>
            </w:r>
          </w:p>
        </w:tc>
      </w:tr>
      <w:tr w:rsidR="007F57B3" w:rsidRPr="007F57B3" w:rsidTr="007F57B3">
        <w:trPr>
          <w:trHeight w:val="30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7B3" w:rsidRPr="007F57B3" w:rsidRDefault="007F57B3">
            <w:pPr>
              <w:jc w:val="center"/>
              <w:rPr>
                <w:rFonts w:ascii="Calibri" w:hAnsi="Calibri" w:cs="Calibri"/>
                <w:color w:val="000000"/>
                <w:sz w:val="17"/>
                <w:szCs w:val="17"/>
              </w:rPr>
            </w:pPr>
            <w:r w:rsidRPr="007F57B3">
              <w:rPr>
                <w:rFonts w:ascii="Calibri" w:hAnsi="Calibri" w:cs="Calibri"/>
                <w:color w:val="000000"/>
                <w:sz w:val="17"/>
                <w:szCs w:val="17"/>
              </w:rPr>
              <w:t>005273</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rsidR="007F57B3" w:rsidRPr="007F57B3" w:rsidRDefault="007F57B3">
            <w:pPr>
              <w:rPr>
                <w:rFonts w:ascii="Calibri" w:hAnsi="Calibri" w:cs="Calibri"/>
                <w:color w:val="000000"/>
                <w:sz w:val="17"/>
                <w:szCs w:val="17"/>
              </w:rPr>
            </w:pPr>
            <w:r w:rsidRPr="007F57B3">
              <w:rPr>
                <w:rFonts w:ascii="Calibri" w:hAnsi="Calibri" w:cs="Calibri"/>
                <w:color w:val="000000"/>
                <w:sz w:val="17"/>
                <w:szCs w:val="17"/>
              </w:rPr>
              <w:t>Ostatní správa v oblasti krizového řízení</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11 747 500,00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11 747 500,00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111 320,00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0,95%</w:t>
            </w:r>
          </w:p>
        </w:tc>
      </w:tr>
      <w:tr w:rsidR="007F57B3" w:rsidRPr="007F57B3" w:rsidTr="007F57B3">
        <w:trPr>
          <w:trHeight w:val="300"/>
        </w:trPr>
        <w:tc>
          <w:tcPr>
            <w:tcW w:w="657" w:type="dxa"/>
            <w:tcBorders>
              <w:top w:val="single" w:sz="4" w:space="0" w:color="auto"/>
              <w:left w:val="single" w:sz="4" w:space="0" w:color="auto"/>
              <w:bottom w:val="single" w:sz="4" w:space="0" w:color="auto"/>
              <w:right w:val="single" w:sz="4" w:space="0" w:color="auto"/>
            </w:tcBorders>
            <w:shd w:val="clear" w:color="DBDBDB" w:fill="D9D9D9"/>
            <w:noWrap/>
            <w:vAlign w:val="center"/>
            <w:hideMark/>
          </w:tcPr>
          <w:p w:rsidR="007F57B3" w:rsidRPr="007F57B3" w:rsidRDefault="007F57B3">
            <w:pPr>
              <w:jc w:val="center"/>
              <w:rPr>
                <w:rFonts w:ascii="Calibri" w:hAnsi="Calibri" w:cs="Calibri"/>
                <w:color w:val="000000"/>
                <w:sz w:val="17"/>
                <w:szCs w:val="17"/>
              </w:rPr>
            </w:pPr>
            <w:r w:rsidRPr="007F57B3">
              <w:rPr>
                <w:rFonts w:ascii="Calibri" w:hAnsi="Calibri" w:cs="Calibri"/>
                <w:color w:val="000000"/>
                <w:sz w:val="17"/>
                <w:szCs w:val="17"/>
              </w:rPr>
              <w:t>005311</w:t>
            </w:r>
          </w:p>
        </w:tc>
        <w:tc>
          <w:tcPr>
            <w:tcW w:w="4158" w:type="dxa"/>
            <w:tcBorders>
              <w:top w:val="single" w:sz="4" w:space="0" w:color="auto"/>
              <w:left w:val="nil"/>
              <w:bottom w:val="single" w:sz="4" w:space="0" w:color="auto"/>
              <w:right w:val="single" w:sz="4" w:space="0" w:color="auto"/>
            </w:tcBorders>
            <w:shd w:val="clear" w:color="DBDBDB" w:fill="D9D9D9"/>
            <w:vAlign w:val="center"/>
            <w:hideMark/>
          </w:tcPr>
          <w:p w:rsidR="007F57B3" w:rsidRPr="007F57B3" w:rsidRDefault="007F57B3">
            <w:pPr>
              <w:rPr>
                <w:rFonts w:ascii="Calibri" w:hAnsi="Calibri" w:cs="Calibri"/>
                <w:color w:val="000000"/>
                <w:sz w:val="17"/>
                <w:szCs w:val="17"/>
              </w:rPr>
            </w:pPr>
            <w:r w:rsidRPr="007F57B3">
              <w:rPr>
                <w:rFonts w:ascii="Calibri" w:hAnsi="Calibri" w:cs="Calibri"/>
                <w:color w:val="000000"/>
                <w:sz w:val="17"/>
                <w:szCs w:val="17"/>
              </w:rPr>
              <w:t>Bezpečnost a veřejný pořádek</w:t>
            </w:r>
          </w:p>
        </w:tc>
        <w:tc>
          <w:tcPr>
            <w:tcW w:w="1276" w:type="dxa"/>
            <w:tcBorders>
              <w:top w:val="single" w:sz="4" w:space="0" w:color="auto"/>
              <w:left w:val="nil"/>
              <w:bottom w:val="single" w:sz="4" w:space="0" w:color="auto"/>
              <w:right w:val="single" w:sz="4" w:space="0" w:color="auto"/>
            </w:tcBorders>
            <w:shd w:val="clear" w:color="DBDBDB"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3 440 000,00</w:t>
            </w:r>
          </w:p>
        </w:tc>
        <w:tc>
          <w:tcPr>
            <w:tcW w:w="1275" w:type="dxa"/>
            <w:tcBorders>
              <w:top w:val="single" w:sz="4" w:space="0" w:color="auto"/>
              <w:left w:val="nil"/>
              <w:bottom w:val="single" w:sz="4" w:space="0" w:color="auto"/>
              <w:right w:val="single" w:sz="4" w:space="0" w:color="auto"/>
            </w:tcBorders>
            <w:shd w:val="clear" w:color="DBDBDB"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4 255 867,00</w:t>
            </w:r>
          </w:p>
        </w:tc>
        <w:tc>
          <w:tcPr>
            <w:tcW w:w="1276" w:type="dxa"/>
            <w:tcBorders>
              <w:top w:val="single" w:sz="4" w:space="0" w:color="auto"/>
              <w:left w:val="nil"/>
              <w:bottom w:val="single" w:sz="4" w:space="0" w:color="auto"/>
              <w:right w:val="single" w:sz="4" w:space="0" w:color="auto"/>
            </w:tcBorders>
            <w:shd w:val="clear" w:color="DBDBDB"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4 196 850,52</w:t>
            </w:r>
          </w:p>
        </w:tc>
        <w:tc>
          <w:tcPr>
            <w:tcW w:w="851" w:type="dxa"/>
            <w:tcBorders>
              <w:top w:val="single" w:sz="4" w:space="0" w:color="auto"/>
              <w:left w:val="nil"/>
              <w:bottom w:val="single" w:sz="4" w:space="0" w:color="auto"/>
              <w:right w:val="single" w:sz="4" w:space="0" w:color="auto"/>
            </w:tcBorders>
            <w:shd w:val="clear" w:color="000000"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98,61%</w:t>
            </w:r>
          </w:p>
        </w:tc>
      </w:tr>
      <w:tr w:rsidR="007F57B3" w:rsidRPr="007F57B3" w:rsidTr="007F57B3">
        <w:trPr>
          <w:trHeight w:val="30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7B3" w:rsidRPr="007F57B3" w:rsidRDefault="007F57B3">
            <w:pPr>
              <w:jc w:val="center"/>
              <w:rPr>
                <w:rFonts w:ascii="Calibri" w:hAnsi="Calibri" w:cs="Calibri"/>
                <w:color w:val="000000"/>
                <w:sz w:val="17"/>
                <w:szCs w:val="17"/>
              </w:rPr>
            </w:pPr>
            <w:r w:rsidRPr="007F57B3">
              <w:rPr>
                <w:rFonts w:ascii="Calibri" w:hAnsi="Calibri" w:cs="Calibri"/>
                <w:color w:val="000000"/>
                <w:sz w:val="17"/>
                <w:szCs w:val="17"/>
              </w:rPr>
              <w:t>005512</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rsidR="007F57B3" w:rsidRPr="007F57B3" w:rsidRDefault="007F57B3">
            <w:pPr>
              <w:rPr>
                <w:rFonts w:ascii="Calibri" w:hAnsi="Calibri" w:cs="Calibri"/>
                <w:color w:val="000000"/>
                <w:sz w:val="17"/>
                <w:szCs w:val="17"/>
              </w:rPr>
            </w:pPr>
            <w:r w:rsidRPr="007F57B3">
              <w:rPr>
                <w:rFonts w:ascii="Calibri" w:hAnsi="Calibri" w:cs="Calibri"/>
                <w:color w:val="000000"/>
                <w:sz w:val="17"/>
                <w:szCs w:val="17"/>
              </w:rPr>
              <w:t>Požární ochrana - dobrovolná část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6 000 000,00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8 235 536,00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1 915 906,75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23,26%</w:t>
            </w:r>
          </w:p>
        </w:tc>
      </w:tr>
      <w:tr w:rsidR="007F57B3" w:rsidRPr="007F57B3" w:rsidTr="007F57B3">
        <w:trPr>
          <w:trHeight w:val="300"/>
        </w:trPr>
        <w:tc>
          <w:tcPr>
            <w:tcW w:w="657" w:type="dxa"/>
            <w:tcBorders>
              <w:top w:val="single" w:sz="4" w:space="0" w:color="auto"/>
              <w:left w:val="single" w:sz="4" w:space="0" w:color="auto"/>
              <w:bottom w:val="single" w:sz="4" w:space="0" w:color="auto"/>
              <w:right w:val="single" w:sz="4" w:space="0" w:color="auto"/>
            </w:tcBorders>
            <w:shd w:val="clear" w:color="DBDBDB" w:fill="D9D9D9"/>
            <w:noWrap/>
            <w:vAlign w:val="center"/>
            <w:hideMark/>
          </w:tcPr>
          <w:p w:rsidR="007F57B3" w:rsidRPr="007F57B3" w:rsidRDefault="007F57B3">
            <w:pPr>
              <w:jc w:val="center"/>
              <w:rPr>
                <w:rFonts w:ascii="Calibri" w:hAnsi="Calibri" w:cs="Calibri"/>
                <w:color w:val="000000"/>
                <w:sz w:val="17"/>
                <w:szCs w:val="17"/>
              </w:rPr>
            </w:pPr>
            <w:r w:rsidRPr="007F57B3">
              <w:rPr>
                <w:rFonts w:ascii="Calibri" w:hAnsi="Calibri" w:cs="Calibri"/>
                <w:color w:val="000000"/>
                <w:sz w:val="17"/>
                <w:szCs w:val="17"/>
              </w:rPr>
              <w:t>006171</w:t>
            </w:r>
          </w:p>
        </w:tc>
        <w:tc>
          <w:tcPr>
            <w:tcW w:w="4158" w:type="dxa"/>
            <w:tcBorders>
              <w:top w:val="single" w:sz="4" w:space="0" w:color="auto"/>
              <w:left w:val="nil"/>
              <w:bottom w:val="single" w:sz="4" w:space="0" w:color="auto"/>
              <w:right w:val="single" w:sz="4" w:space="0" w:color="auto"/>
            </w:tcBorders>
            <w:shd w:val="clear" w:color="DBDBDB" w:fill="D9D9D9"/>
            <w:vAlign w:val="center"/>
            <w:hideMark/>
          </w:tcPr>
          <w:p w:rsidR="007F57B3" w:rsidRPr="007F57B3" w:rsidRDefault="007F57B3">
            <w:pPr>
              <w:rPr>
                <w:rFonts w:ascii="Calibri" w:hAnsi="Calibri" w:cs="Calibri"/>
                <w:color w:val="000000"/>
                <w:sz w:val="17"/>
                <w:szCs w:val="17"/>
              </w:rPr>
            </w:pPr>
            <w:r w:rsidRPr="007F57B3">
              <w:rPr>
                <w:rFonts w:ascii="Calibri" w:hAnsi="Calibri" w:cs="Calibri"/>
                <w:color w:val="000000"/>
                <w:sz w:val="17"/>
                <w:szCs w:val="17"/>
              </w:rPr>
              <w:t>Činnost místní správy</w:t>
            </w:r>
          </w:p>
        </w:tc>
        <w:tc>
          <w:tcPr>
            <w:tcW w:w="1276" w:type="dxa"/>
            <w:tcBorders>
              <w:top w:val="single" w:sz="4" w:space="0" w:color="auto"/>
              <w:left w:val="nil"/>
              <w:bottom w:val="single" w:sz="4" w:space="0" w:color="auto"/>
              <w:right w:val="single" w:sz="4" w:space="0" w:color="auto"/>
            </w:tcBorders>
            <w:shd w:val="clear" w:color="DBDBDB"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9 538 050,00</w:t>
            </w:r>
          </w:p>
        </w:tc>
        <w:tc>
          <w:tcPr>
            <w:tcW w:w="1275" w:type="dxa"/>
            <w:tcBorders>
              <w:top w:val="single" w:sz="4" w:space="0" w:color="auto"/>
              <w:left w:val="nil"/>
              <w:bottom w:val="single" w:sz="4" w:space="0" w:color="auto"/>
              <w:right w:val="single" w:sz="4" w:space="0" w:color="auto"/>
            </w:tcBorders>
            <w:shd w:val="clear" w:color="DBDBDB"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17 567 981,00</w:t>
            </w:r>
          </w:p>
        </w:tc>
        <w:tc>
          <w:tcPr>
            <w:tcW w:w="1276" w:type="dxa"/>
            <w:tcBorders>
              <w:top w:val="single" w:sz="4" w:space="0" w:color="auto"/>
              <w:left w:val="nil"/>
              <w:bottom w:val="single" w:sz="4" w:space="0" w:color="auto"/>
              <w:right w:val="single" w:sz="4" w:space="0" w:color="auto"/>
            </w:tcBorders>
            <w:shd w:val="clear" w:color="DBDBDB"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13 202 130,92</w:t>
            </w:r>
          </w:p>
        </w:tc>
        <w:tc>
          <w:tcPr>
            <w:tcW w:w="851" w:type="dxa"/>
            <w:tcBorders>
              <w:top w:val="single" w:sz="4" w:space="0" w:color="auto"/>
              <w:left w:val="nil"/>
              <w:bottom w:val="single" w:sz="4" w:space="0" w:color="auto"/>
              <w:right w:val="single" w:sz="4" w:space="0" w:color="auto"/>
            </w:tcBorders>
            <w:shd w:val="clear" w:color="000000" w:fill="D9D9D9"/>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75,15%</w:t>
            </w:r>
          </w:p>
        </w:tc>
      </w:tr>
      <w:tr w:rsidR="007F57B3" w:rsidRPr="007F57B3" w:rsidTr="007F57B3">
        <w:trPr>
          <w:trHeight w:val="30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7B3" w:rsidRPr="007F57B3" w:rsidRDefault="007F57B3">
            <w:pPr>
              <w:jc w:val="center"/>
              <w:rPr>
                <w:rFonts w:ascii="Calibri" w:hAnsi="Calibri" w:cs="Calibri"/>
                <w:color w:val="000000"/>
                <w:sz w:val="17"/>
                <w:szCs w:val="17"/>
              </w:rPr>
            </w:pPr>
            <w:r w:rsidRPr="007F57B3">
              <w:rPr>
                <w:rFonts w:ascii="Calibri" w:hAnsi="Calibri" w:cs="Calibri"/>
                <w:color w:val="000000"/>
                <w:sz w:val="17"/>
                <w:szCs w:val="17"/>
              </w:rPr>
              <w:t>006409</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rsidR="007F57B3" w:rsidRPr="007F57B3" w:rsidRDefault="007F57B3">
            <w:pPr>
              <w:rPr>
                <w:rFonts w:ascii="Calibri" w:hAnsi="Calibri" w:cs="Calibri"/>
                <w:color w:val="000000"/>
                <w:sz w:val="17"/>
                <w:szCs w:val="17"/>
              </w:rPr>
            </w:pPr>
            <w:r w:rsidRPr="007F57B3">
              <w:rPr>
                <w:rFonts w:ascii="Calibri" w:hAnsi="Calibri" w:cs="Calibri"/>
                <w:color w:val="000000"/>
                <w:sz w:val="17"/>
                <w:szCs w:val="17"/>
              </w:rPr>
              <w:t>Ostatní činnosti jinde nezařazené</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4 850 000,00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10 233 745,00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8 975 081,00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F57B3" w:rsidRPr="007F57B3" w:rsidRDefault="007F57B3">
            <w:pPr>
              <w:jc w:val="right"/>
              <w:rPr>
                <w:rFonts w:ascii="Calibri" w:hAnsi="Calibri" w:cs="Calibri"/>
                <w:color w:val="000000"/>
                <w:sz w:val="17"/>
                <w:szCs w:val="17"/>
              </w:rPr>
            </w:pPr>
            <w:r w:rsidRPr="007F57B3">
              <w:rPr>
                <w:rFonts w:ascii="Calibri" w:hAnsi="Calibri" w:cs="Calibri"/>
                <w:color w:val="000000"/>
                <w:sz w:val="17"/>
                <w:szCs w:val="17"/>
              </w:rPr>
              <w:t>87,70%</w:t>
            </w:r>
          </w:p>
        </w:tc>
      </w:tr>
      <w:tr w:rsidR="007F57B3" w:rsidRPr="007F57B3" w:rsidTr="007F57B3">
        <w:trPr>
          <w:trHeight w:val="300"/>
        </w:trPr>
        <w:tc>
          <w:tcPr>
            <w:tcW w:w="4815" w:type="dxa"/>
            <w:gridSpan w:val="2"/>
            <w:tcBorders>
              <w:top w:val="single" w:sz="4" w:space="0" w:color="auto"/>
              <w:left w:val="single" w:sz="4" w:space="0" w:color="auto"/>
              <w:bottom w:val="single" w:sz="4" w:space="0" w:color="auto"/>
              <w:right w:val="single" w:sz="4" w:space="0" w:color="auto"/>
            </w:tcBorders>
            <w:shd w:val="clear" w:color="D6A100" w:fill="FFC000"/>
            <w:noWrap/>
            <w:vAlign w:val="center"/>
            <w:hideMark/>
          </w:tcPr>
          <w:p w:rsidR="007F57B3" w:rsidRPr="007F57B3" w:rsidRDefault="007F57B3">
            <w:pPr>
              <w:rPr>
                <w:rFonts w:ascii="Calibri" w:hAnsi="Calibri" w:cs="Calibri"/>
                <w:b/>
                <w:bCs/>
                <w:color w:val="000000"/>
                <w:sz w:val="17"/>
                <w:szCs w:val="17"/>
              </w:rPr>
            </w:pPr>
            <w:r w:rsidRPr="007F57B3">
              <w:rPr>
                <w:rFonts w:ascii="Calibri" w:hAnsi="Calibri" w:cs="Calibri"/>
                <w:b/>
                <w:bCs/>
                <w:color w:val="000000"/>
                <w:sz w:val="17"/>
                <w:szCs w:val="17"/>
              </w:rPr>
              <w:t>Kapitálové výdaje celkem</w:t>
            </w:r>
          </w:p>
        </w:tc>
        <w:tc>
          <w:tcPr>
            <w:tcW w:w="1276" w:type="dxa"/>
            <w:tcBorders>
              <w:top w:val="single" w:sz="4" w:space="0" w:color="auto"/>
              <w:left w:val="single" w:sz="4" w:space="0" w:color="auto"/>
              <w:bottom w:val="single" w:sz="4" w:space="0" w:color="auto"/>
              <w:right w:val="single" w:sz="4" w:space="0" w:color="auto"/>
            </w:tcBorders>
            <w:shd w:val="clear" w:color="D6A100" w:fill="FFC000"/>
            <w:noWrap/>
            <w:vAlign w:val="center"/>
            <w:hideMark/>
          </w:tcPr>
          <w:p w:rsidR="007F57B3" w:rsidRPr="007F57B3" w:rsidRDefault="007F57B3">
            <w:pPr>
              <w:jc w:val="right"/>
              <w:rPr>
                <w:rFonts w:ascii="Calibri" w:hAnsi="Calibri" w:cs="Calibri"/>
                <w:b/>
                <w:bCs/>
                <w:color w:val="000000"/>
                <w:sz w:val="17"/>
                <w:szCs w:val="17"/>
              </w:rPr>
            </w:pPr>
            <w:r w:rsidRPr="007F57B3">
              <w:rPr>
                <w:rFonts w:ascii="Calibri" w:hAnsi="Calibri" w:cs="Calibri"/>
                <w:b/>
                <w:bCs/>
                <w:color w:val="000000"/>
                <w:sz w:val="17"/>
                <w:szCs w:val="17"/>
              </w:rPr>
              <w:t>289 045 550,00</w:t>
            </w:r>
          </w:p>
        </w:tc>
        <w:tc>
          <w:tcPr>
            <w:tcW w:w="1275" w:type="dxa"/>
            <w:tcBorders>
              <w:top w:val="single" w:sz="4" w:space="0" w:color="auto"/>
              <w:left w:val="single" w:sz="4" w:space="0" w:color="auto"/>
              <w:bottom w:val="single" w:sz="4" w:space="0" w:color="auto"/>
              <w:right w:val="single" w:sz="4" w:space="0" w:color="auto"/>
            </w:tcBorders>
            <w:shd w:val="clear" w:color="D6A100" w:fill="FFC000"/>
            <w:noWrap/>
            <w:vAlign w:val="center"/>
            <w:hideMark/>
          </w:tcPr>
          <w:p w:rsidR="007F57B3" w:rsidRPr="007F57B3" w:rsidRDefault="007F57B3">
            <w:pPr>
              <w:jc w:val="right"/>
              <w:rPr>
                <w:rFonts w:ascii="Calibri" w:hAnsi="Calibri" w:cs="Calibri"/>
                <w:b/>
                <w:bCs/>
                <w:color w:val="000000"/>
                <w:sz w:val="17"/>
                <w:szCs w:val="17"/>
              </w:rPr>
            </w:pPr>
            <w:r w:rsidRPr="007F57B3">
              <w:rPr>
                <w:rFonts w:ascii="Calibri" w:hAnsi="Calibri" w:cs="Calibri"/>
                <w:b/>
                <w:bCs/>
                <w:color w:val="000000"/>
                <w:sz w:val="17"/>
                <w:szCs w:val="17"/>
              </w:rPr>
              <w:t>282 507 047,30</w:t>
            </w:r>
          </w:p>
        </w:tc>
        <w:tc>
          <w:tcPr>
            <w:tcW w:w="1276" w:type="dxa"/>
            <w:tcBorders>
              <w:top w:val="single" w:sz="4" w:space="0" w:color="auto"/>
              <w:left w:val="single" w:sz="4" w:space="0" w:color="auto"/>
              <w:bottom w:val="single" w:sz="4" w:space="0" w:color="auto"/>
              <w:right w:val="single" w:sz="4" w:space="0" w:color="auto"/>
            </w:tcBorders>
            <w:shd w:val="clear" w:color="D6A100" w:fill="FFC000"/>
            <w:noWrap/>
            <w:vAlign w:val="center"/>
            <w:hideMark/>
          </w:tcPr>
          <w:p w:rsidR="007F57B3" w:rsidRPr="007F57B3" w:rsidRDefault="007F57B3">
            <w:pPr>
              <w:jc w:val="right"/>
              <w:rPr>
                <w:rFonts w:ascii="Calibri" w:hAnsi="Calibri" w:cs="Calibri"/>
                <w:b/>
                <w:bCs/>
                <w:color w:val="000000"/>
                <w:sz w:val="17"/>
                <w:szCs w:val="17"/>
              </w:rPr>
            </w:pPr>
            <w:r w:rsidRPr="007F57B3">
              <w:rPr>
                <w:rFonts w:ascii="Calibri" w:hAnsi="Calibri" w:cs="Calibri"/>
                <w:b/>
                <w:bCs/>
                <w:color w:val="000000"/>
                <w:sz w:val="17"/>
                <w:szCs w:val="17"/>
              </w:rPr>
              <w:t>237 799 832,15</w:t>
            </w:r>
          </w:p>
        </w:tc>
        <w:tc>
          <w:tcPr>
            <w:tcW w:w="851"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7F57B3" w:rsidRPr="007F57B3" w:rsidRDefault="007F57B3">
            <w:pPr>
              <w:jc w:val="right"/>
              <w:rPr>
                <w:rFonts w:ascii="Calibri" w:hAnsi="Calibri" w:cs="Calibri"/>
                <w:b/>
                <w:bCs/>
                <w:color w:val="000000"/>
                <w:sz w:val="17"/>
                <w:szCs w:val="17"/>
              </w:rPr>
            </w:pPr>
            <w:r w:rsidRPr="007F57B3">
              <w:rPr>
                <w:rFonts w:ascii="Calibri" w:hAnsi="Calibri" w:cs="Calibri"/>
                <w:b/>
                <w:bCs/>
                <w:color w:val="000000"/>
                <w:sz w:val="17"/>
                <w:szCs w:val="17"/>
              </w:rPr>
              <w:t>84,17%</w:t>
            </w:r>
          </w:p>
        </w:tc>
      </w:tr>
    </w:tbl>
    <w:p w:rsidR="007F57B3" w:rsidRPr="007F57B3" w:rsidRDefault="007F57B3" w:rsidP="007F57B3">
      <w:pPr>
        <w:rPr>
          <w:sz w:val="17"/>
          <w:szCs w:val="17"/>
        </w:rPr>
      </w:pPr>
    </w:p>
    <w:p w:rsidR="007F57B3" w:rsidRPr="007F57B3" w:rsidRDefault="007F57B3" w:rsidP="007F57B3"/>
    <w:p w:rsidR="000B606F" w:rsidRDefault="000B606F" w:rsidP="000B606F"/>
    <w:p w:rsidR="00985384" w:rsidRDefault="00985384" w:rsidP="000B606F"/>
    <w:p w:rsidR="00AB684D" w:rsidRDefault="00AB684D">
      <w:r>
        <w:br w:type="page"/>
      </w:r>
    </w:p>
    <w:p w:rsidR="007D2991" w:rsidRPr="007D2991" w:rsidRDefault="002304D9" w:rsidP="007D2991">
      <w:pPr>
        <w:pStyle w:val="Nadpis2"/>
      </w:pPr>
      <w:r>
        <w:lastRenderedPageBreak/>
        <w:t>Příjmy a výdaje po měsíc</w:t>
      </w:r>
      <w:r w:rsidR="007D2991">
        <w:t>ích</w:t>
      </w:r>
    </w:p>
    <w:p w:rsidR="00735FF3" w:rsidRDefault="00231182" w:rsidP="0024764D">
      <w:pPr>
        <w:pStyle w:val="Nadpis3"/>
        <w:rPr>
          <w:b w:val="0"/>
          <w:noProof/>
        </w:rPr>
      </w:pPr>
      <w:r w:rsidRPr="00985384">
        <w:rPr>
          <w:b w:val="0"/>
        </w:rPr>
        <w:t xml:space="preserve"> </w:t>
      </w:r>
      <w:bookmarkStart w:id="44" w:name="_Toc39129531"/>
      <w:r w:rsidR="00735FF3" w:rsidRPr="00985384">
        <w:rPr>
          <w:b w:val="0"/>
          <w:noProof/>
        </w:rPr>
        <w:t>Vyhodnocení skutečnosti příjmů a výdajů po měsících</w:t>
      </w:r>
      <w:r w:rsidR="00D331A9" w:rsidRPr="00985384">
        <w:rPr>
          <w:b w:val="0"/>
          <w:noProof/>
        </w:rPr>
        <w:t xml:space="preserve"> – rok 202</w:t>
      </w:r>
      <w:r w:rsidR="007F57B3">
        <w:rPr>
          <w:b w:val="0"/>
          <w:noProof/>
        </w:rPr>
        <w:t>2</w:t>
      </w:r>
      <w:r w:rsidR="009541C1" w:rsidRPr="00985384">
        <w:rPr>
          <w:b w:val="0"/>
          <w:noProof/>
        </w:rPr>
        <w:t xml:space="preserve"> (v</w:t>
      </w:r>
      <w:r w:rsidR="00163BE1" w:rsidRPr="00985384">
        <w:rPr>
          <w:b w:val="0"/>
          <w:noProof/>
        </w:rPr>
        <w:t xml:space="preserve"> </w:t>
      </w:r>
      <w:r w:rsidR="009541C1" w:rsidRPr="00985384">
        <w:rPr>
          <w:b w:val="0"/>
          <w:noProof/>
        </w:rPr>
        <w:t>Kč)</w:t>
      </w:r>
      <w:bookmarkEnd w:id="44"/>
    </w:p>
    <w:tbl>
      <w:tblPr>
        <w:tblW w:w="5820" w:type="dxa"/>
        <w:tblCellMar>
          <w:left w:w="70" w:type="dxa"/>
          <w:right w:w="70" w:type="dxa"/>
        </w:tblCellMar>
        <w:tblLook w:val="04A0" w:firstRow="1" w:lastRow="0" w:firstColumn="1" w:lastColumn="0" w:noHBand="0" w:noVBand="1"/>
      </w:tblPr>
      <w:tblGrid>
        <w:gridCol w:w="1180"/>
        <w:gridCol w:w="1660"/>
        <w:gridCol w:w="1560"/>
        <w:gridCol w:w="1420"/>
      </w:tblGrid>
      <w:tr w:rsidR="007F57B3" w:rsidTr="007F57B3">
        <w:trPr>
          <w:trHeight w:val="300"/>
        </w:trPr>
        <w:tc>
          <w:tcPr>
            <w:tcW w:w="1180" w:type="dxa"/>
            <w:tcBorders>
              <w:top w:val="single" w:sz="4" w:space="0" w:color="auto"/>
              <w:left w:val="single" w:sz="4" w:space="0" w:color="auto"/>
              <w:bottom w:val="single" w:sz="4" w:space="0" w:color="auto"/>
              <w:right w:val="single" w:sz="4" w:space="0" w:color="auto"/>
            </w:tcBorders>
            <w:shd w:val="clear" w:color="63993F" w:fill="B4C6E7"/>
            <w:noWrap/>
            <w:vAlign w:val="center"/>
            <w:hideMark/>
          </w:tcPr>
          <w:p w:rsidR="007F57B3" w:rsidRDefault="007F57B3">
            <w:pPr>
              <w:jc w:val="center"/>
              <w:rPr>
                <w:rFonts w:ascii="Calibri" w:hAnsi="Calibri" w:cs="Calibri"/>
                <w:b/>
                <w:bCs/>
                <w:color w:val="000000"/>
                <w:sz w:val="20"/>
                <w:szCs w:val="20"/>
              </w:rPr>
            </w:pPr>
            <w:r>
              <w:rPr>
                <w:rFonts w:ascii="Calibri" w:hAnsi="Calibri" w:cs="Calibri"/>
                <w:b/>
                <w:bCs/>
                <w:color w:val="000000"/>
                <w:sz w:val="20"/>
                <w:szCs w:val="20"/>
              </w:rPr>
              <w:t>Měsíc</w:t>
            </w:r>
          </w:p>
        </w:tc>
        <w:tc>
          <w:tcPr>
            <w:tcW w:w="1660" w:type="dxa"/>
            <w:tcBorders>
              <w:top w:val="single" w:sz="4" w:space="0" w:color="auto"/>
              <w:left w:val="nil"/>
              <w:bottom w:val="single" w:sz="4" w:space="0" w:color="auto"/>
              <w:right w:val="single" w:sz="4" w:space="0" w:color="auto"/>
            </w:tcBorders>
            <w:shd w:val="clear" w:color="63993F" w:fill="B4C6E7"/>
            <w:noWrap/>
            <w:vAlign w:val="center"/>
            <w:hideMark/>
          </w:tcPr>
          <w:p w:rsidR="007F57B3" w:rsidRDefault="007F57B3">
            <w:pPr>
              <w:jc w:val="center"/>
              <w:rPr>
                <w:rFonts w:ascii="Calibri" w:hAnsi="Calibri" w:cs="Calibri"/>
                <w:b/>
                <w:bCs/>
                <w:color w:val="000000"/>
                <w:sz w:val="20"/>
                <w:szCs w:val="20"/>
              </w:rPr>
            </w:pPr>
            <w:r>
              <w:rPr>
                <w:rFonts w:ascii="Calibri" w:hAnsi="Calibri" w:cs="Calibri"/>
                <w:b/>
                <w:bCs/>
                <w:color w:val="000000"/>
                <w:sz w:val="20"/>
                <w:szCs w:val="20"/>
              </w:rPr>
              <w:t>Příjmy</w:t>
            </w:r>
          </w:p>
        </w:tc>
        <w:tc>
          <w:tcPr>
            <w:tcW w:w="1560" w:type="dxa"/>
            <w:tcBorders>
              <w:top w:val="single" w:sz="4" w:space="0" w:color="auto"/>
              <w:left w:val="nil"/>
              <w:bottom w:val="single" w:sz="4" w:space="0" w:color="auto"/>
              <w:right w:val="single" w:sz="4" w:space="0" w:color="auto"/>
            </w:tcBorders>
            <w:shd w:val="clear" w:color="63993F" w:fill="B4C6E7"/>
            <w:noWrap/>
            <w:vAlign w:val="center"/>
            <w:hideMark/>
          </w:tcPr>
          <w:p w:rsidR="007F57B3" w:rsidRDefault="007F57B3">
            <w:pPr>
              <w:jc w:val="center"/>
              <w:rPr>
                <w:rFonts w:ascii="Calibri" w:hAnsi="Calibri" w:cs="Calibri"/>
                <w:b/>
                <w:bCs/>
                <w:color w:val="000000"/>
                <w:sz w:val="20"/>
                <w:szCs w:val="20"/>
              </w:rPr>
            </w:pPr>
            <w:r>
              <w:rPr>
                <w:rFonts w:ascii="Calibri" w:hAnsi="Calibri" w:cs="Calibri"/>
                <w:b/>
                <w:bCs/>
                <w:color w:val="000000"/>
                <w:sz w:val="20"/>
                <w:szCs w:val="20"/>
              </w:rPr>
              <w:t>Výdaje</w:t>
            </w:r>
          </w:p>
        </w:tc>
        <w:tc>
          <w:tcPr>
            <w:tcW w:w="1420" w:type="dxa"/>
            <w:tcBorders>
              <w:top w:val="single" w:sz="4" w:space="0" w:color="auto"/>
              <w:left w:val="nil"/>
              <w:bottom w:val="single" w:sz="4" w:space="0" w:color="auto"/>
              <w:right w:val="single" w:sz="4" w:space="0" w:color="auto"/>
            </w:tcBorders>
            <w:shd w:val="clear" w:color="63993F" w:fill="B4C6E7"/>
            <w:noWrap/>
            <w:vAlign w:val="center"/>
            <w:hideMark/>
          </w:tcPr>
          <w:p w:rsidR="007F57B3" w:rsidRDefault="007F57B3">
            <w:pPr>
              <w:jc w:val="center"/>
              <w:rPr>
                <w:rFonts w:ascii="Calibri" w:hAnsi="Calibri" w:cs="Calibri"/>
                <w:b/>
                <w:bCs/>
                <w:color w:val="000000"/>
                <w:sz w:val="20"/>
                <w:szCs w:val="20"/>
              </w:rPr>
            </w:pPr>
            <w:r>
              <w:rPr>
                <w:rFonts w:ascii="Calibri" w:hAnsi="Calibri" w:cs="Calibri"/>
                <w:b/>
                <w:bCs/>
                <w:color w:val="000000"/>
                <w:sz w:val="20"/>
                <w:szCs w:val="20"/>
              </w:rPr>
              <w:t>Rozdíl</w:t>
            </w:r>
          </w:p>
        </w:tc>
      </w:tr>
      <w:tr w:rsidR="007F57B3" w:rsidTr="007F57B3">
        <w:trPr>
          <w:trHeight w:val="300"/>
        </w:trPr>
        <w:tc>
          <w:tcPr>
            <w:tcW w:w="1180" w:type="dxa"/>
            <w:tcBorders>
              <w:top w:val="nil"/>
              <w:left w:val="single" w:sz="4" w:space="0" w:color="auto"/>
              <w:bottom w:val="single" w:sz="4" w:space="0" w:color="auto"/>
              <w:right w:val="single" w:sz="4" w:space="0" w:color="auto"/>
            </w:tcBorders>
            <w:shd w:val="clear" w:color="DBDBDB" w:fill="D9D9D9"/>
            <w:noWrap/>
            <w:vAlign w:val="center"/>
            <w:hideMark/>
          </w:tcPr>
          <w:p w:rsidR="007F57B3" w:rsidRDefault="007F57B3">
            <w:pPr>
              <w:rPr>
                <w:rFonts w:ascii="Calibri" w:hAnsi="Calibri" w:cs="Calibri"/>
                <w:color w:val="000000"/>
                <w:sz w:val="20"/>
                <w:szCs w:val="20"/>
              </w:rPr>
            </w:pPr>
            <w:r>
              <w:rPr>
                <w:rFonts w:ascii="Calibri" w:hAnsi="Calibri" w:cs="Calibri"/>
                <w:color w:val="000000"/>
                <w:sz w:val="20"/>
                <w:szCs w:val="20"/>
              </w:rPr>
              <w:t>Leden</w:t>
            </w:r>
          </w:p>
        </w:tc>
        <w:tc>
          <w:tcPr>
            <w:tcW w:w="1660" w:type="dxa"/>
            <w:tcBorders>
              <w:top w:val="nil"/>
              <w:left w:val="nil"/>
              <w:bottom w:val="single" w:sz="4" w:space="0" w:color="auto"/>
              <w:right w:val="single" w:sz="4" w:space="0" w:color="auto"/>
            </w:tcBorders>
            <w:shd w:val="clear" w:color="DBDBDB" w:fill="D9D9D9"/>
            <w:noWrap/>
            <w:vAlign w:val="center"/>
            <w:hideMark/>
          </w:tcPr>
          <w:p w:rsidR="007F57B3" w:rsidRDefault="007F57B3">
            <w:pPr>
              <w:jc w:val="right"/>
              <w:rPr>
                <w:rFonts w:ascii="Calibri" w:hAnsi="Calibri" w:cs="Calibri"/>
                <w:color w:val="000000"/>
                <w:sz w:val="20"/>
                <w:szCs w:val="20"/>
              </w:rPr>
            </w:pPr>
            <w:r>
              <w:rPr>
                <w:rFonts w:ascii="Calibri" w:hAnsi="Calibri" w:cs="Calibri"/>
                <w:color w:val="000000"/>
                <w:sz w:val="20"/>
                <w:szCs w:val="20"/>
              </w:rPr>
              <w:t>78 520 919,09</w:t>
            </w:r>
          </w:p>
        </w:tc>
        <w:tc>
          <w:tcPr>
            <w:tcW w:w="1560" w:type="dxa"/>
            <w:tcBorders>
              <w:top w:val="nil"/>
              <w:left w:val="nil"/>
              <w:bottom w:val="single" w:sz="4" w:space="0" w:color="auto"/>
              <w:right w:val="single" w:sz="4" w:space="0" w:color="auto"/>
            </w:tcBorders>
            <w:shd w:val="clear" w:color="DBDBDB" w:fill="D9D9D9"/>
            <w:noWrap/>
            <w:vAlign w:val="center"/>
            <w:hideMark/>
          </w:tcPr>
          <w:p w:rsidR="007F57B3" w:rsidRDefault="007F57B3">
            <w:pPr>
              <w:jc w:val="right"/>
              <w:rPr>
                <w:rFonts w:ascii="Calibri" w:hAnsi="Calibri" w:cs="Calibri"/>
                <w:color w:val="000000"/>
                <w:sz w:val="20"/>
                <w:szCs w:val="20"/>
              </w:rPr>
            </w:pPr>
            <w:r>
              <w:rPr>
                <w:rFonts w:ascii="Calibri" w:hAnsi="Calibri" w:cs="Calibri"/>
                <w:color w:val="000000"/>
                <w:sz w:val="20"/>
                <w:szCs w:val="20"/>
              </w:rPr>
              <w:t>75 323 362,14</w:t>
            </w:r>
          </w:p>
        </w:tc>
        <w:tc>
          <w:tcPr>
            <w:tcW w:w="1420" w:type="dxa"/>
            <w:tcBorders>
              <w:top w:val="nil"/>
              <w:left w:val="nil"/>
              <w:bottom w:val="single" w:sz="4" w:space="0" w:color="auto"/>
              <w:right w:val="single" w:sz="4" w:space="0" w:color="auto"/>
            </w:tcBorders>
            <w:shd w:val="clear" w:color="DBDBDB" w:fill="D9D9D9"/>
            <w:noWrap/>
            <w:vAlign w:val="center"/>
            <w:hideMark/>
          </w:tcPr>
          <w:p w:rsidR="007F57B3" w:rsidRDefault="007F57B3">
            <w:pPr>
              <w:jc w:val="right"/>
              <w:rPr>
                <w:rFonts w:ascii="Calibri" w:hAnsi="Calibri" w:cs="Calibri"/>
                <w:color w:val="000000"/>
                <w:sz w:val="20"/>
                <w:szCs w:val="20"/>
              </w:rPr>
            </w:pPr>
            <w:r>
              <w:rPr>
                <w:rFonts w:ascii="Calibri" w:hAnsi="Calibri" w:cs="Calibri"/>
                <w:color w:val="000000"/>
                <w:sz w:val="20"/>
                <w:szCs w:val="20"/>
              </w:rPr>
              <w:t>3 197 556,95</w:t>
            </w:r>
          </w:p>
        </w:tc>
      </w:tr>
      <w:tr w:rsidR="007F57B3" w:rsidTr="007F57B3">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7F57B3" w:rsidRDefault="007F57B3">
            <w:pPr>
              <w:rPr>
                <w:rFonts w:ascii="Calibri" w:hAnsi="Calibri" w:cs="Calibri"/>
                <w:color w:val="000000"/>
                <w:sz w:val="20"/>
                <w:szCs w:val="20"/>
              </w:rPr>
            </w:pPr>
            <w:r>
              <w:rPr>
                <w:rFonts w:ascii="Calibri" w:hAnsi="Calibri" w:cs="Calibri"/>
                <w:color w:val="000000"/>
                <w:sz w:val="20"/>
                <w:szCs w:val="20"/>
              </w:rPr>
              <w:t>Únor</w:t>
            </w:r>
          </w:p>
        </w:tc>
        <w:tc>
          <w:tcPr>
            <w:tcW w:w="1660" w:type="dxa"/>
            <w:tcBorders>
              <w:top w:val="nil"/>
              <w:left w:val="nil"/>
              <w:bottom w:val="single" w:sz="4" w:space="0" w:color="auto"/>
              <w:right w:val="single" w:sz="4" w:space="0" w:color="auto"/>
            </w:tcBorders>
            <w:shd w:val="clear" w:color="DBDBDB" w:fill="FFFFFF"/>
            <w:noWrap/>
            <w:vAlign w:val="center"/>
            <w:hideMark/>
          </w:tcPr>
          <w:p w:rsidR="007F57B3" w:rsidRDefault="007F57B3">
            <w:pPr>
              <w:jc w:val="right"/>
              <w:rPr>
                <w:rFonts w:ascii="Calibri" w:hAnsi="Calibri" w:cs="Calibri"/>
                <w:color w:val="000000"/>
                <w:sz w:val="20"/>
                <w:szCs w:val="20"/>
              </w:rPr>
            </w:pPr>
            <w:r>
              <w:rPr>
                <w:rFonts w:ascii="Calibri" w:hAnsi="Calibri" w:cs="Calibri"/>
                <w:color w:val="000000"/>
                <w:sz w:val="20"/>
                <w:szCs w:val="20"/>
              </w:rPr>
              <w:t>93 168 657,92</w:t>
            </w:r>
          </w:p>
        </w:tc>
        <w:tc>
          <w:tcPr>
            <w:tcW w:w="1560" w:type="dxa"/>
            <w:tcBorders>
              <w:top w:val="nil"/>
              <w:left w:val="nil"/>
              <w:bottom w:val="single" w:sz="4" w:space="0" w:color="auto"/>
              <w:right w:val="single" w:sz="4" w:space="0" w:color="auto"/>
            </w:tcBorders>
            <w:shd w:val="clear" w:color="DBDBDB" w:fill="FFFFFF"/>
            <w:noWrap/>
            <w:vAlign w:val="center"/>
            <w:hideMark/>
          </w:tcPr>
          <w:p w:rsidR="007F57B3" w:rsidRDefault="007F57B3">
            <w:pPr>
              <w:jc w:val="right"/>
              <w:rPr>
                <w:rFonts w:ascii="Calibri" w:hAnsi="Calibri" w:cs="Calibri"/>
                <w:color w:val="000000"/>
                <w:sz w:val="20"/>
                <w:szCs w:val="20"/>
              </w:rPr>
            </w:pPr>
            <w:r>
              <w:rPr>
                <w:rFonts w:ascii="Calibri" w:hAnsi="Calibri" w:cs="Calibri"/>
                <w:color w:val="000000"/>
                <w:sz w:val="20"/>
                <w:szCs w:val="20"/>
              </w:rPr>
              <w:t>54 027 932,21</w:t>
            </w:r>
          </w:p>
        </w:tc>
        <w:tc>
          <w:tcPr>
            <w:tcW w:w="1420" w:type="dxa"/>
            <w:tcBorders>
              <w:top w:val="nil"/>
              <w:left w:val="nil"/>
              <w:bottom w:val="single" w:sz="4" w:space="0" w:color="auto"/>
              <w:right w:val="single" w:sz="4" w:space="0" w:color="auto"/>
            </w:tcBorders>
            <w:shd w:val="clear" w:color="F2F2F2" w:fill="FFFFFF"/>
            <w:noWrap/>
            <w:vAlign w:val="center"/>
            <w:hideMark/>
          </w:tcPr>
          <w:p w:rsidR="007F57B3" w:rsidRDefault="007F57B3">
            <w:pPr>
              <w:jc w:val="right"/>
              <w:rPr>
                <w:rFonts w:ascii="Calibri" w:hAnsi="Calibri" w:cs="Calibri"/>
                <w:color w:val="000000"/>
                <w:sz w:val="20"/>
                <w:szCs w:val="20"/>
              </w:rPr>
            </w:pPr>
            <w:r>
              <w:rPr>
                <w:rFonts w:ascii="Calibri" w:hAnsi="Calibri" w:cs="Calibri"/>
                <w:color w:val="000000"/>
                <w:sz w:val="20"/>
                <w:szCs w:val="20"/>
              </w:rPr>
              <w:t>39 140 725,71</w:t>
            </w:r>
          </w:p>
        </w:tc>
      </w:tr>
      <w:tr w:rsidR="007F57B3" w:rsidTr="007F57B3">
        <w:trPr>
          <w:trHeight w:val="300"/>
        </w:trPr>
        <w:tc>
          <w:tcPr>
            <w:tcW w:w="1180" w:type="dxa"/>
            <w:tcBorders>
              <w:top w:val="nil"/>
              <w:left w:val="single" w:sz="4" w:space="0" w:color="auto"/>
              <w:bottom w:val="single" w:sz="4" w:space="0" w:color="auto"/>
              <w:right w:val="single" w:sz="4" w:space="0" w:color="auto"/>
            </w:tcBorders>
            <w:shd w:val="clear" w:color="DBDBDB" w:fill="D9D9D9"/>
            <w:noWrap/>
            <w:vAlign w:val="center"/>
            <w:hideMark/>
          </w:tcPr>
          <w:p w:rsidR="007F57B3" w:rsidRDefault="007F57B3">
            <w:pPr>
              <w:rPr>
                <w:rFonts w:ascii="Calibri" w:hAnsi="Calibri" w:cs="Calibri"/>
                <w:color w:val="000000"/>
                <w:sz w:val="20"/>
                <w:szCs w:val="20"/>
              </w:rPr>
            </w:pPr>
            <w:r>
              <w:rPr>
                <w:rFonts w:ascii="Calibri" w:hAnsi="Calibri" w:cs="Calibri"/>
                <w:color w:val="000000"/>
                <w:sz w:val="20"/>
                <w:szCs w:val="20"/>
              </w:rPr>
              <w:t>Březen</w:t>
            </w:r>
          </w:p>
        </w:tc>
        <w:tc>
          <w:tcPr>
            <w:tcW w:w="1660" w:type="dxa"/>
            <w:tcBorders>
              <w:top w:val="nil"/>
              <w:left w:val="nil"/>
              <w:bottom w:val="single" w:sz="4" w:space="0" w:color="auto"/>
              <w:right w:val="single" w:sz="4" w:space="0" w:color="auto"/>
            </w:tcBorders>
            <w:shd w:val="clear" w:color="DBDBDB" w:fill="D9D9D9"/>
            <w:noWrap/>
            <w:vAlign w:val="center"/>
            <w:hideMark/>
          </w:tcPr>
          <w:p w:rsidR="007F57B3" w:rsidRDefault="007F57B3">
            <w:pPr>
              <w:jc w:val="right"/>
              <w:rPr>
                <w:rFonts w:ascii="Calibri" w:hAnsi="Calibri" w:cs="Calibri"/>
                <w:color w:val="000000"/>
                <w:sz w:val="20"/>
                <w:szCs w:val="20"/>
              </w:rPr>
            </w:pPr>
            <w:r>
              <w:rPr>
                <w:rFonts w:ascii="Calibri" w:hAnsi="Calibri" w:cs="Calibri"/>
                <w:color w:val="000000"/>
                <w:sz w:val="20"/>
                <w:szCs w:val="20"/>
              </w:rPr>
              <w:t>88 305 731,07</w:t>
            </w:r>
          </w:p>
        </w:tc>
        <w:tc>
          <w:tcPr>
            <w:tcW w:w="1560" w:type="dxa"/>
            <w:tcBorders>
              <w:top w:val="nil"/>
              <w:left w:val="nil"/>
              <w:bottom w:val="single" w:sz="4" w:space="0" w:color="auto"/>
              <w:right w:val="single" w:sz="4" w:space="0" w:color="auto"/>
            </w:tcBorders>
            <w:shd w:val="clear" w:color="DBDBDB" w:fill="D9D9D9"/>
            <w:noWrap/>
            <w:vAlign w:val="center"/>
            <w:hideMark/>
          </w:tcPr>
          <w:p w:rsidR="007F57B3" w:rsidRDefault="007F57B3">
            <w:pPr>
              <w:jc w:val="right"/>
              <w:rPr>
                <w:rFonts w:ascii="Calibri" w:hAnsi="Calibri" w:cs="Calibri"/>
                <w:color w:val="000000"/>
                <w:sz w:val="20"/>
                <w:szCs w:val="20"/>
              </w:rPr>
            </w:pPr>
            <w:r>
              <w:rPr>
                <w:rFonts w:ascii="Calibri" w:hAnsi="Calibri" w:cs="Calibri"/>
                <w:color w:val="000000"/>
                <w:sz w:val="20"/>
                <w:szCs w:val="20"/>
              </w:rPr>
              <w:t>65 496 731,56</w:t>
            </w:r>
          </w:p>
        </w:tc>
        <w:tc>
          <w:tcPr>
            <w:tcW w:w="1420" w:type="dxa"/>
            <w:tcBorders>
              <w:top w:val="nil"/>
              <w:left w:val="nil"/>
              <w:bottom w:val="single" w:sz="4" w:space="0" w:color="auto"/>
              <w:right w:val="single" w:sz="4" w:space="0" w:color="auto"/>
            </w:tcBorders>
            <w:shd w:val="clear" w:color="DBDBDB" w:fill="D9D9D9"/>
            <w:noWrap/>
            <w:vAlign w:val="center"/>
            <w:hideMark/>
          </w:tcPr>
          <w:p w:rsidR="007F57B3" w:rsidRDefault="007F57B3">
            <w:pPr>
              <w:jc w:val="right"/>
              <w:rPr>
                <w:rFonts w:ascii="Calibri" w:hAnsi="Calibri" w:cs="Calibri"/>
                <w:color w:val="000000"/>
                <w:sz w:val="20"/>
                <w:szCs w:val="20"/>
              </w:rPr>
            </w:pPr>
            <w:r>
              <w:rPr>
                <w:rFonts w:ascii="Calibri" w:hAnsi="Calibri" w:cs="Calibri"/>
                <w:color w:val="000000"/>
                <w:sz w:val="20"/>
                <w:szCs w:val="20"/>
              </w:rPr>
              <w:t>22 808 999,51</w:t>
            </w:r>
          </w:p>
        </w:tc>
      </w:tr>
      <w:tr w:rsidR="007F57B3" w:rsidTr="007F57B3">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7F57B3" w:rsidRDefault="007F57B3">
            <w:pPr>
              <w:rPr>
                <w:rFonts w:ascii="Calibri" w:hAnsi="Calibri" w:cs="Calibri"/>
                <w:color w:val="000000"/>
                <w:sz w:val="20"/>
                <w:szCs w:val="20"/>
              </w:rPr>
            </w:pPr>
            <w:r>
              <w:rPr>
                <w:rFonts w:ascii="Calibri" w:hAnsi="Calibri" w:cs="Calibri"/>
                <w:color w:val="000000"/>
                <w:sz w:val="20"/>
                <w:szCs w:val="20"/>
              </w:rPr>
              <w:t>Duben</w:t>
            </w:r>
          </w:p>
        </w:tc>
        <w:tc>
          <w:tcPr>
            <w:tcW w:w="1660" w:type="dxa"/>
            <w:tcBorders>
              <w:top w:val="nil"/>
              <w:left w:val="nil"/>
              <w:bottom w:val="single" w:sz="4" w:space="0" w:color="auto"/>
              <w:right w:val="single" w:sz="4" w:space="0" w:color="auto"/>
            </w:tcBorders>
            <w:shd w:val="clear" w:color="DBDBDB" w:fill="FFFFFF"/>
            <w:noWrap/>
            <w:vAlign w:val="center"/>
            <w:hideMark/>
          </w:tcPr>
          <w:p w:rsidR="007F57B3" w:rsidRDefault="007F57B3">
            <w:pPr>
              <w:jc w:val="right"/>
              <w:rPr>
                <w:rFonts w:ascii="Calibri" w:hAnsi="Calibri" w:cs="Calibri"/>
                <w:color w:val="000000"/>
                <w:sz w:val="20"/>
                <w:szCs w:val="20"/>
              </w:rPr>
            </w:pPr>
            <w:r>
              <w:rPr>
                <w:rFonts w:ascii="Calibri" w:hAnsi="Calibri" w:cs="Calibri"/>
                <w:color w:val="000000"/>
                <w:sz w:val="20"/>
                <w:szCs w:val="20"/>
              </w:rPr>
              <w:t>86 638 996,47</w:t>
            </w:r>
          </w:p>
        </w:tc>
        <w:tc>
          <w:tcPr>
            <w:tcW w:w="1560" w:type="dxa"/>
            <w:tcBorders>
              <w:top w:val="nil"/>
              <w:left w:val="nil"/>
              <w:bottom w:val="single" w:sz="4" w:space="0" w:color="auto"/>
              <w:right w:val="single" w:sz="4" w:space="0" w:color="auto"/>
            </w:tcBorders>
            <w:shd w:val="clear" w:color="DBDBDB" w:fill="FFFFFF"/>
            <w:noWrap/>
            <w:vAlign w:val="center"/>
            <w:hideMark/>
          </w:tcPr>
          <w:p w:rsidR="007F57B3" w:rsidRDefault="007F57B3">
            <w:pPr>
              <w:jc w:val="right"/>
              <w:rPr>
                <w:rFonts w:ascii="Calibri" w:hAnsi="Calibri" w:cs="Calibri"/>
                <w:color w:val="000000"/>
                <w:sz w:val="20"/>
                <w:szCs w:val="20"/>
              </w:rPr>
            </w:pPr>
            <w:r>
              <w:rPr>
                <w:rFonts w:ascii="Calibri" w:hAnsi="Calibri" w:cs="Calibri"/>
                <w:color w:val="000000"/>
                <w:sz w:val="20"/>
                <w:szCs w:val="20"/>
              </w:rPr>
              <w:t>103 395 021,21</w:t>
            </w:r>
          </w:p>
        </w:tc>
        <w:tc>
          <w:tcPr>
            <w:tcW w:w="1420" w:type="dxa"/>
            <w:tcBorders>
              <w:top w:val="nil"/>
              <w:left w:val="nil"/>
              <w:bottom w:val="single" w:sz="4" w:space="0" w:color="auto"/>
              <w:right w:val="single" w:sz="4" w:space="0" w:color="auto"/>
            </w:tcBorders>
            <w:shd w:val="clear" w:color="F2F2F2" w:fill="FFFFFF"/>
            <w:noWrap/>
            <w:vAlign w:val="center"/>
            <w:hideMark/>
          </w:tcPr>
          <w:p w:rsidR="007F57B3" w:rsidRDefault="007F57B3">
            <w:pPr>
              <w:jc w:val="right"/>
              <w:rPr>
                <w:rFonts w:ascii="Calibri" w:hAnsi="Calibri" w:cs="Calibri"/>
                <w:color w:val="000000"/>
                <w:sz w:val="20"/>
                <w:szCs w:val="20"/>
              </w:rPr>
            </w:pPr>
            <w:r>
              <w:rPr>
                <w:rFonts w:ascii="Calibri" w:hAnsi="Calibri" w:cs="Calibri"/>
                <w:color w:val="000000"/>
                <w:sz w:val="20"/>
                <w:szCs w:val="20"/>
              </w:rPr>
              <w:t>-16 756 024,74</w:t>
            </w:r>
          </w:p>
        </w:tc>
      </w:tr>
      <w:tr w:rsidR="007F57B3" w:rsidTr="007F57B3">
        <w:trPr>
          <w:trHeight w:val="300"/>
        </w:trPr>
        <w:tc>
          <w:tcPr>
            <w:tcW w:w="1180" w:type="dxa"/>
            <w:tcBorders>
              <w:top w:val="nil"/>
              <w:left w:val="single" w:sz="4" w:space="0" w:color="auto"/>
              <w:bottom w:val="single" w:sz="4" w:space="0" w:color="auto"/>
              <w:right w:val="single" w:sz="4" w:space="0" w:color="auto"/>
            </w:tcBorders>
            <w:shd w:val="clear" w:color="DBDBDB" w:fill="D9D9D9"/>
            <w:noWrap/>
            <w:vAlign w:val="center"/>
            <w:hideMark/>
          </w:tcPr>
          <w:p w:rsidR="007F57B3" w:rsidRDefault="007F57B3">
            <w:pPr>
              <w:rPr>
                <w:rFonts w:ascii="Calibri" w:hAnsi="Calibri" w:cs="Calibri"/>
                <w:color w:val="000000"/>
                <w:sz w:val="20"/>
                <w:szCs w:val="20"/>
              </w:rPr>
            </w:pPr>
            <w:r>
              <w:rPr>
                <w:rFonts w:ascii="Calibri" w:hAnsi="Calibri" w:cs="Calibri"/>
                <w:color w:val="000000"/>
                <w:sz w:val="20"/>
                <w:szCs w:val="20"/>
              </w:rPr>
              <w:t>Květen</w:t>
            </w:r>
          </w:p>
        </w:tc>
        <w:tc>
          <w:tcPr>
            <w:tcW w:w="1660" w:type="dxa"/>
            <w:tcBorders>
              <w:top w:val="nil"/>
              <w:left w:val="nil"/>
              <w:bottom w:val="single" w:sz="4" w:space="0" w:color="auto"/>
              <w:right w:val="single" w:sz="4" w:space="0" w:color="auto"/>
            </w:tcBorders>
            <w:shd w:val="clear" w:color="DBDBDB" w:fill="D9D9D9"/>
            <w:noWrap/>
            <w:vAlign w:val="center"/>
            <w:hideMark/>
          </w:tcPr>
          <w:p w:rsidR="007F57B3" w:rsidRDefault="007F57B3">
            <w:pPr>
              <w:jc w:val="right"/>
              <w:rPr>
                <w:rFonts w:ascii="Calibri" w:hAnsi="Calibri" w:cs="Calibri"/>
                <w:color w:val="000000"/>
                <w:sz w:val="20"/>
                <w:szCs w:val="20"/>
              </w:rPr>
            </w:pPr>
            <w:r>
              <w:rPr>
                <w:rFonts w:ascii="Calibri" w:hAnsi="Calibri" w:cs="Calibri"/>
                <w:color w:val="000000"/>
                <w:sz w:val="20"/>
                <w:szCs w:val="20"/>
              </w:rPr>
              <w:t>109 209 486,44</w:t>
            </w:r>
          </w:p>
        </w:tc>
        <w:tc>
          <w:tcPr>
            <w:tcW w:w="1560" w:type="dxa"/>
            <w:tcBorders>
              <w:top w:val="nil"/>
              <w:left w:val="nil"/>
              <w:bottom w:val="single" w:sz="4" w:space="0" w:color="auto"/>
              <w:right w:val="single" w:sz="4" w:space="0" w:color="auto"/>
            </w:tcBorders>
            <w:shd w:val="clear" w:color="DBDBDB" w:fill="D9D9D9"/>
            <w:noWrap/>
            <w:vAlign w:val="center"/>
            <w:hideMark/>
          </w:tcPr>
          <w:p w:rsidR="007F57B3" w:rsidRDefault="007F57B3">
            <w:pPr>
              <w:jc w:val="right"/>
              <w:rPr>
                <w:rFonts w:ascii="Calibri" w:hAnsi="Calibri" w:cs="Calibri"/>
                <w:color w:val="000000"/>
                <w:sz w:val="20"/>
                <w:szCs w:val="20"/>
              </w:rPr>
            </w:pPr>
            <w:r>
              <w:rPr>
                <w:rFonts w:ascii="Calibri" w:hAnsi="Calibri" w:cs="Calibri"/>
                <w:color w:val="000000"/>
                <w:sz w:val="20"/>
                <w:szCs w:val="20"/>
              </w:rPr>
              <w:t>88 409 698,77</w:t>
            </w:r>
          </w:p>
        </w:tc>
        <w:tc>
          <w:tcPr>
            <w:tcW w:w="1420" w:type="dxa"/>
            <w:tcBorders>
              <w:top w:val="nil"/>
              <w:left w:val="nil"/>
              <w:bottom w:val="single" w:sz="4" w:space="0" w:color="auto"/>
              <w:right w:val="single" w:sz="4" w:space="0" w:color="auto"/>
            </w:tcBorders>
            <w:shd w:val="clear" w:color="DBDBDB" w:fill="D9D9D9"/>
            <w:noWrap/>
            <w:vAlign w:val="center"/>
            <w:hideMark/>
          </w:tcPr>
          <w:p w:rsidR="007F57B3" w:rsidRDefault="007F57B3">
            <w:pPr>
              <w:jc w:val="right"/>
              <w:rPr>
                <w:rFonts w:ascii="Calibri" w:hAnsi="Calibri" w:cs="Calibri"/>
                <w:color w:val="000000"/>
                <w:sz w:val="20"/>
                <w:szCs w:val="20"/>
              </w:rPr>
            </w:pPr>
            <w:r>
              <w:rPr>
                <w:rFonts w:ascii="Calibri" w:hAnsi="Calibri" w:cs="Calibri"/>
                <w:color w:val="000000"/>
                <w:sz w:val="20"/>
                <w:szCs w:val="20"/>
              </w:rPr>
              <w:t>20 799 787,67</w:t>
            </w:r>
          </w:p>
        </w:tc>
      </w:tr>
      <w:tr w:rsidR="007F57B3" w:rsidTr="007F57B3">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7F57B3" w:rsidRDefault="007F57B3">
            <w:pPr>
              <w:rPr>
                <w:rFonts w:ascii="Calibri" w:hAnsi="Calibri" w:cs="Calibri"/>
                <w:color w:val="000000"/>
                <w:sz w:val="20"/>
                <w:szCs w:val="20"/>
              </w:rPr>
            </w:pPr>
            <w:r>
              <w:rPr>
                <w:rFonts w:ascii="Calibri" w:hAnsi="Calibri" w:cs="Calibri"/>
                <w:color w:val="000000"/>
                <w:sz w:val="20"/>
                <w:szCs w:val="20"/>
              </w:rPr>
              <w:t>Červen</w:t>
            </w:r>
          </w:p>
        </w:tc>
        <w:tc>
          <w:tcPr>
            <w:tcW w:w="1660" w:type="dxa"/>
            <w:tcBorders>
              <w:top w:val="nil"/>
              <w:left w:val="nil"/>
              <w:bottom w:val="single" w:sz="4" w:space="0" w:color="auto"/>
              <w:right w:val="single" w:sz="4" w:space="0" w:color="auto"/>
            </w:tcBorders>
            <w:shd w:val="clear" w:color="DBDBDB" w:fill="FFFFFF"/>
            <w:noWrap/>
            <w:vAlign w:val="center"/>
            <w:hideMark/>
          </w:tcPr>
          <w:p w:rsidR="007F57B3" w:rsidRDefault="007F57B3">
            <w:pPr>
              <w:jc w:val="right"/>
              <w:rPr>
                <w:rFonts w:ascii="Calibri" w:hAnsi="Calibri" w:cs="Calibri"/>
                <w:color w:val="000000"/>
                <w:sz w:val="20"/>
                <w:szCs w:val="20"/>
              </w:rPr>
            </w:pPr>
            <w:r>
              <w:rPr>
                <w:rFonts w:ascii="Calibri" w:hAnsi="Calibri" w:cs="Calibri"/>
                <w:color w:val="000000"/>
                <w:sz w:val="20"/>
                <w:szCs w:val="20"/>
              </w:rPr>
              <w:t>150 468 885,14</w:t>
            </w:r>
          </w:p>
        </w:tc>
        <w:tc>
          <w:tcPr>
            <w:tcW w:w="1560" w:type="dxa"/>
            <w:tcBorders>
              <w:top w:val="nil"/>
              <w:left w:val="nil"/>
              <w:bottom w:val="single" w:sz="4" w:space="0" w:color="auto"/>
              <w:right w:val="single" w:sz="4" w:space="0" w:color="auto"/>
            </w:tcBorders>
            <w:shd w:val="clear" w:color="DBDBDB" w:fill="FFFFFF"/>
            <w:noWrap/>
            <w:vAlign w:val="center"/>
            <w:hideMark/>
          </w:tcPr>
          <w:p w:rsidR="007F57B3" w:rsidRDefault="007F57B3">
            <w:pPr>
              <w:jc w:val="right"/>
              <w:rPr>
                <w:rFonts w:ascii="Calibri" w:hAnsi="Calibri" w:cs="Calibri"/>
                <w:color w:val="000000"/>
                <w:sz w:val="20"/>
                <w:szCs w:val="20"/>
              </w:rPr>
            </w:pPr>
            <w:r>
              <w:rPr>
                <w:rFonts w:ascii="Calibri" w:hAnsi="Calibri" w:cs="Calibri"/>
                <w:color w:val="000000"/>
                <w:sz w:val="20"/>
                <w:szCs w:val="20"/>
              </w:rPr>
              <w:t>129 368 564,29</w:t>
            </w:r>
          </w:p>
        </w:tc>
        <w:tc>
          <w:tcPr>
            <w:tcW w:w="1420" w:type="dxa"/>
            <w:tcBorders>
              <w:top w:val="nil"/>
              <w:left w:val="nil"/>
              <w:bottom w:val="single" w:sz="4" w:space="0" w:color="auto"/>
              <w:right w:val="single" w:sz="4" w:space="0" w:color="auto"/>
            </w:tcBorders>
            <w:shd w:val="clear" w:color="F2F2F2" w:fill="FFFFFF"/>
            <w:noWrap/>
            <w:vAlign w:val="center"/>
            <w:hideMark/>
          </w:tcPr>
          <w:p w:rsidR="007F57B3" w:rsidRDefault="007F57B3">
            <w:pPr>
              <w:jc w:val="right"/>
              <w:rPr>
                <w:rFonts w:ascii="Calibri" w:hAnsi="Calibri" w:cs="Calibri"/>
                <w:color w:val="000000"/>
                <w:sz w:val="20"/>
                <w:szCs w:val="20"/>
              </w:rPr>
            </w:pPr>
            <w:r>
              <w:rPr>
                <w:rFonts w:ascii="Calibri" w:hAnsi="Calibri" w:cs="Calibri"/>
                <w:color w:val="000000"/>
                <w:sz w:val="20"/>
                <w:szCs w:val="20"/>
              </w:rPr>
              <w:t>21 100 320,85</w:t>
            </w:r>
          </w:p>
        </w:tc>
      </w:tr>
      <w:tr w:rsidR="007F57B3" w:rsidTr="007F57B3">
        <w:trPr>
          <w:trHeight w:val="300"/>
        </w:trPr>
        <w:tc>
          <w:tcPr>
            <w:tcW w:w="1180" w:type="dxa"/>
            <w:tcBorders>
              <w:top w:val="nil"/>
              <w:left w:val="single" w:sz="4" w:space="0" w:color="auto"/>
              <w:bottom w:val="single" w:sz="4" w:space="0" w:color="auto"/>
              <w:right w:val="single" w:sz="4" w:space="0" w:color="auto"/>
            </w:tcBorders>
            <w:shd w:val="clear" w:color="DBDBDB" w:fill="D9D9D9"/>
            <w:noWrap/>
            <w:vAlign w:val="center"/>
            <w:hideMark/>
          </w:tcPr>
          <w:p w:rsidR="007F57B3" w:rsidRDefault="007F57B3">
            <w:pPr>
              <w:rPr>
                <w:rFonts w:ascii="Calibri" w:hAnsi="Calibri" w:cs="Calibri"/>
                <w:color w:val="000000"/>
                <w:sz w:val="20"/>
                <w:szCs w:val="20"/>
              </w:rPr>
            </w:pPr>
            <w:r>
              <w:rPr>
                <w:rFonts w:ascii="Calibri" w:hAnsi="Calibri" w:cs="Calibri"/>
                <w:color w:val="000000"/>
                <w:sz w:val="20"/>
                <w:szCs w:val="20"/>
              </w:rPr>
              <w:t>Červenec</w:t>
            </w:r>
          </w:p>
        </w:tc>
        <w:tc>
          <w:tcPr>
            <w:tcW w:w="1660" w:type="dxa"/>
            <w:tcBorders>
              <w:top w:val="nil"/>
              <w:left w:val="nil"/>
              <w:bottom w:val="single" w:sz="4" w:space="0" w:color="auto"/>
              <w:right w:val="single" w:sz="4" w:space="0" w:color="auto"/>
            </w:tcBorders>
            <w:shd w:val="clear" w:color="DBDBDB" w:fill="D9D9D9"/>
            <w:noWrap/>
            <w:vAlign w:val="center"/>
            <w:hideMark/>
          </w:tcPr>
          <w:p w:rsidR="007F57B3" w:rsidRDefault="007F57B3">
            <w:pPr>
              <w:jc w:val="right"/>
              <w:rPr>
                <w:rFonts w:ascii="Calibri" w:hAnsi="Calibri" w:cs="Calibri"/>
                <w:color w:val="000000"/>
                <w:sz w:val="20"/>
                <w:szCs w:val="20"/>
              </w:rPr>
            </w:pPr>
            <w:r>
              <w:rPr>
                <w:rFonts w:ascii="Calibri" w:hAnsi="Calibri" w:cs="Calibri"/>
                <w:color w:val="000000"/>
                <w:sz w:val="20"/>
                <w:szCs w:val="20"/>
              </w:rPr>
              <w:t>130 296 517,95</w:t>
            </w:r>
          </w:p>
        </w:tc>
        <w:tc>
          <w:tcPr>
            <w:tcW w:w="1560" w:type="dxa"/>
            <w:tcBorders>
              <w:top w:val="nil"/>
              <w:left w:val="nil"/>
              <w:bottom w:val="single" w:sz="4" w:space="0" w:color="auto"/>
              <w:right w:val="single" w:sz="4" w:space="0" w:color="auto"/>
            </w:tcBorders>
            <w:shd w:val="clear" w:color="DBDBDB" w:fill="D9D9D9"/>
            <w:noWrap/>
            <w:vAlign w:val="center"/>
            <w:hideMark/>
          </w:tcPr>
          <w:p w:rsidR="007F57B3" w:rsidRDefault="007F57B3">
            <w:pPr>
              <w:jc w:val="right"/>
              <w:rPr>
                <w:rFonts w:ascii="Calibri" w:hAnsi="Calibri" w:cs="Calibri"/>
                <w:color w:val="000000"/>
                <w:sz w:val="20"/>
                <w:szCs w:val="20"/>
              </w:rPr>
            </w:pPr>
            <w:r>
              <w:rPr>
                <w:rFonts w:ascii="Calibri" w:hAnsi="Calibri" w:cs="Calibri"/>
                <w:color w:val="000000"/>
                <w:sz w:val="20"/>
                <w:szCs w:val="20"/>
              </w:rPr>
              <w:t>100 043 128,70</w:t>
            </w:r>
          </w:p>
        </w:tc>
        <w:tc>
          <w:tcPr>
            <w:tcW w:w="1420" w:type="dxa"/>
            <w:tcBorders>
              <w:top w:val="nil"/>
              <w:left w:val="nil"/>
              <w:bottom w:val="single" w:sz="4" w:space="0" w:color="auto"/>
              <w:right w:val="single" w:sz="4" w:space="0" w:color="auto"/>
            </w:tcBorders>
            <w:shd w:val="clear" w:color="DBDBDB" w:fill="D9D9D9"/>
            <w:noWrap/>
            <w:vAlign w:val="center"/>
            <w:hideMark/>
          </w:tcPr>
          <w:p w:rsidR="007F57B3" w:rsidRDefault="007F57B3">
            <w:pPr>
              <w:jc w:val="right"/>
              <w:rPr>
                <w:rFonts w:ascii="Calibri" w:hAnsi="Calibri" w:cs="Calibri"/>
                <w:color w:val="000000"/>
                <w:sz w:val="20"/>
                <w:szCs w:val="20"/>
              </w:rPr>
            </w:pPr>
            <w:r>
              <w:rPr>
                <w:rFonts w:ascii="Calibri" w:hAnsi="Calibri" w:cs="Calibri"/>
                <w:color w:val="000000"/>
                <w:sz w:val="20"/>
                <w:szCs w:val="20"/>
              </w:rPr>
              <w:t>30 253 389,25</w:t>
            </w:r>
          </w:p>
        </w:tc>
      </w:tr>
      <w:tr w:rsidR="007F57B3" w:rsidTr="007F57B3">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7F57B3" w:rsidRDefault="007F57B3">
            <w:pPr>
              <w:rPr>
                <w:rFonts w:ascii="Calibri" w:hAnsi="Calibri" w:cs="Calibri"/>
                <w:color w:val="000000"/>
                <w:sz w:val="20"/>
                <w:szCs w:val="20"/>
              </w:rPr>
            </w:pPr>
            <w:r>
              <w:rPr>
                <w:rFonts w:ascii="Calibri" w:hAnsi="Calibri" w:cs="Calibri"/>
                <w:color w:val="000000"/>
                <w:sz w:val="20"/>
                <w:szCs w:val="20"/>
              </w:rPr>
              <w:t>Srpen</w:t>
            </w:r>
          </w:p>
        </w:tc>
        <w:tc>
          <w:tcPr>
            <w:tcW w:w="1660" w:type="dxa"/>
            <w:tcBorders>
              <w:top w:val="nil"/>
              <w:left w:val="nil"/>
              <w:bottom w:val="single" w:sz="4" w:space="0" w:color="auto"/>
              <w:right w:val="single" w:sz="4" w:space="0" w:color="auto"/>
            </w:tcBorders>
            <w:shd w:val="clear" w:color="DBDBDB" w:fill="FFFFFF"/>
            <w:noWrap/>
            <w:vAlign w:val="center"/>
            <w:hideMark/>
          </w:tcPr>
          <w:p w:rsidR="007F57B3" w:rsidRDefault="007F57B3">
            <w:pPr>
              <w:jc w:val="right"/>
              <w:rPr>
                <w:rFonts w:ascii="Calibri" w:hAnsi="Calibri" w:cs="Calibri"/>
                <w:color w:val="000000"/>
                <w:sz w:val="20"/>
                <w:szCs w:val="20"/>
              </w:rPr>
            </w:pPr>
            <w:r>
              <w:rPr>
                <w:rFonts w:ascii="Calibri" w:hAnsi="Calibri" w:cs="Calibri"/>
                <w:color w:val="000000"/>
                <w:sz w:val="20"/>
                <w:szCs w:val="20"/>
              </w:rPr>
              <w:t>98 979 102,17</w:t>
            </w:r>
          </w:p>
        </w:tc>
        <w:tc>
          <w:tcPr>
            <w:tcW w:w="1560" w:type="dxa"/>
            <w:tcBorders>
              <w:top w:val="nil"/>
              <w:left w:val="nil"/>
              <w:bottom w:val="single" w:sz="4" w:space="0" w:color="auto"/>
              <w:right w:val="single" w:sz="4" w:space="0" w:color="auto"/>
            </w:tcBorders>
            <w:shd w:val="clear" w:color="DBDBDB" w:fill="FFFFFF"/>
            <w:noWrap/>
            <w:vAlign w:val="center"/>
            <w:hideMark/>
          </w:tcPr>
          <w:p w:rsidR="007F57B3" w:rsidRDefault="007F57B3">
            <w:pPr>
              <w:jc w:val="right"/>
              <w:rPr>
                <w:rFonts w:ascii="Calibri" w:hAnsi="Calibri" w:cs="Calibri"/>
                <w:color w:val="000000"/>
                <w:sz w:val="20"/>
                <w:szCs w:val="20"/>
              </w:rPr>
            </w:pPr>
            <w:r>
              <w:rPr>
                <w:rFonts w:ascii="Calibri" w:hAnsi="Calibri" w:cs="Calibri"/>
                <w:color w:val="000000"/>
                <w:sz w:val="20"/>
                <w:szCs w:val="20"/>
              </w:rPr>
              <w:t>89 012 544,25</w:t>
            </w:r>
          </w:p>
        </w:tc>
        <w:tc>
          <w:tcPr>
            <w:tcW w:w="1420" w:type="dxa"/>
            <w:tcBorders>
              <w:top w:val="nil"/>
              <w:left w:val="nil"/>
              <w:bottom w:val="single" w:sz="4" w:space="0" w:color="auto"/>
              <w:right w:val="single" w:sz="4" w:space="0" w:color="auto"/>
            </w:tcBorders>
            <w:shd w:val="clear" w:color="F2F2F2" w:fill="FFFFFF"/>
            <w:noWrap/>
            <w:vAlign w:val="center"/>
            <w:hideMark/>
          </w:tcPr>
          <w:p w:rsidR="007F57B3" w:rsidRDefault="007F57B3">
            <w:pPr>
              <w:jc w:val="right"/>
              <w:rPr>
                <w:rFonts w:ascii="Calibri" w:hAnsi="Calibri" w:cs="Calibri"/>
                <w:color w:val="000000"/>
                <w:sz w:val="20"/>
                <w:szCs w:val="20"/>
              </w:rPr>
            </w:pPr>
            <w:r>
              <w:rPr>
                <w:rFonts w:ascii="Calibri" w:hAnsi="Calibri" w:cs="Calibri"/>
                <w:color w:val="000000"/>
                <w:sz w:val="20"/>
                <w:szCs w:val="20"/>
              </w:rPr>
              <w:t>9 966 557,92</w:t>
            </w:r>
          </w:p>
        </w:tc>
      </w:tr>
      <w:tr w:rsidR="007F57B3" w:rsidTr="007F57B3">
        <w:trPr>
          <w:trHeight w:val="300"/>
        </w:trPr>
        <w:tc>
          <w:tcPr>
            <w:tcW w:w="1180" w:type="dxa"/>
            <w:tcBorders>
              <w:top w:val="nil"/>
              <w:left w:val="single" w:sz="4" w:space="0" w:color="auto"/>
              <w:bottom w:val="single" w:sz="4" w:space="0" w:color="auto"/>
              <w:right w:val="single" w:sz="4" w:space="0" w:color="auto"/>
            </w:tcBorders>
            <w:shd w:val="clear" w:color="DBDBDB" w:fill="D9D9D9"/>
            <w:noWrap/>
            <w:vAlign w:val="center"/>
            <w:hideMark/>
          </w:tcPr>
          <w:p w:rsidR="007F57B3" w:rsidRDefault="007F57B3">
            <w:pPr>
              <w:rPr>
                <w:rFonts w:ascii="Calibri" w:hAnsi="Calibri" w:cs="Calibri"/>
                <w:color w:val="000000"/>
                <w:sz w:val="20"/>
                <w:szCs w:val="20"/>
              </w:rPr>
            </w:pPr>
            <w:r>
              <w:rPr>
                <w:rFonts w:ascii="Calibri" w:hAnsi="Calibri" w:cs="Calibri"/>
                <w:color w:val="000000"/>
                <w:sz w:val="20"/>
                <w:szCs w:val="20"/>
              </w:rPr>
              <w:t>Září</w:t>
            </w:r>
          </w:p>
        </w:tc>
        <w:tc>
          <w:tcPr>
            <w:tcW w:w="1660" w:type="dxa"/>
            <w:tcBorders>
              <w:top w:val="nil"/>
              <w:left w:val="nil"/>
              <w:bottom w:val="single" w:sz="4" w:space="0" w:color="auto"/>
              <w:right w:val="single" w:sz="4" w:space="0" w:color="auto"/>
            </w:tcBorders>
            <w:shd w:val="clear" w:color="DBDBDB" w:fill="D9D9D9"/>
            <w:noWrap/>
            <w:vAlign w:val="center"/>
            <w:hideMark/>
          </w:tcPr>
          <w:p w:rsidR="007F57B3" w:rsidRDefault="007F57B3">
            <w:pPr>
              <w:jc w:val="right"/>
              <w:rPr>
                <w:rFonts w:ascii="Calibri" w:hAnsi="Calibri" w:cs="Calibri"/>
                <w:color w:val="000000"/>
                <w:sz w:val="20"/>
                <w:szCs w:val="20"/>
              </w:rPr>
            </w:pPr>
            <w:r>
              <w:rPr>
                <w:rFonts w:ascii="Calibri" w:hAnsi="Calibri" w:cs="Calibri"/>
                <w:color w:val="000000"/>
                <w:sz w:val="20"/>
                <w:szCs w:val="20"/>
              </w:rPr>
              <w:t>106 344 528,61</w:t>
            </w:r>
          </w:p>
        </w:tc>
        <w:tc>
          <w:tcPr>
            <w:tcW w:w="1560" w:type="dxa"/>
            <w:tcBorders>
              <w:top w:val="nil"/>
              <w:left w:val="nil"/>
              <w:bottom w:val="single" w:sz="4" w:space="0" w:color="auto"/>
              <w:right w:val="single" w:sz="4" w:space="0" w:color="auto"/>
            </w:tcBorders>
            <w:shd w:val="clear" w:color="DBDBDB" w:fill="D9D9D9"/>
            <w:noWrap/>
            <w:vAlign w:val="center"/>
            <w:hideMark/>
          </w:tcPr>
          <w:p w:rsidR="007F57B3" w:rsidRDefault="007F57B3">
            <w:pPr>
              <w:jc w:val="right"/>
              <w:rPr>
                <w:rFonts w:ascii="Calibri" w:hAnsi="Calibri" w:cs="Calibri"/>
                <w:color w:val="000000"/>
                <w:sz w:val="20"/>
                <w:szCs w:val="20"/>
              </w:rPr>
            </w:pPr>
            <w:r>
              <w:rPr>
                <w:rFonts w:ascii="Calibri" w:hAnsi="Calibri" w:cs="Calibri"/>
                <w:color w:val="000000"/>
                <w:sz w:val="20"/>
                <w:szCs w:val="20"/>
              </w:rPr>
              <w:t>79 382 791,61</w:t>
            </w:r>
          </w:p>
        </w:tc>
        <w:tc>
          <w:tcPr>
            <w:tcW w:w="1420" w:type="dxa"/>
            <w:tcBorders>
              <w:top w:val="nil"/>
              <w:left w:val="nil"/>
              <w:bottom w:val="single" w:sz="4" w:space="0" w:color="auto"/>
              <w:right w:val="single" w:sz="4" w:space="0" w:color="auto"/>
            </w:tcBorders>
            <w:shd w:val="clear" w:color="DBDBDB" w:fill="D9D9D9"/>
            <w:noWrap/>
            <w:vAlign w:val="center"/>
            <w:hideMark/>
          </w:tcPr>
          <w:p w:rsidR="007F57B3" w:rsidRDefault="007F57B3">
            <w:pPr>
              <w:jc w:val="right"/>
              <w:rPr>
                <w:rFonts w:ascii="Calibri" w:hAnsi="Calibri" w:cs="Calibri"/>
                <w:color w:val="000000"/>
                <w:sz w:val="20"/>
                <w:szCs w:val="20"/>
              </w:rPr>
            </w:pPr>
            <w:r>
              <w:rPr>
                <w:rFonts w:ascii="Calibri" w:hAnsi="Calibri" w:cs="Calibri"/>
                <w:color w:val="000000"/>
                <w:sz w:val="20"/>
                <w:szCs w:val="20"/>
              </w:rPr>
              <w:t>26 961 737,00</w:t>
            </w:r>
          </w:p>
        </w:tc>
      </w:tr>
      <w:tr w:rsidR="007F57B3" w:rsidTr="007F57B3">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7F57B3" w:rsidRDefault="007F57B3">
            <w:pPr>
              <w:rPr>
                <w:rFonts w:ascii="Calibri" w:hAnsi="Calibri" w:cs="Calibri"/>
                <w:color w:val="000000"/>
                <w:sz w:val="20"/>
                <w:szCs w:val="20"/>
              </w:rPr>
            </w:pPr>
            <w:r>
              <w:rPr>
                <w:rFonts w:ascii="Calibri" w:hAnsi="Calibri" w:cs="Calibri"/>
                <w:color w:val="000000"/>
                <w:sz w:val="20"/>
                <w:szCs w:val="20"/>
              </w:rPr>
              <w:t>Říjen</w:t>
            </w:r>
          </w:p>
        </w:tc>
        <w:tc>
          <w:tcPr>
            <w:tcW w:w="1660" w:type="dxa"/>
            <w:tcBorders>
              <w:top w:val="nil"/>
              <w:left w:val="nil"/>
              <w:bottom w:val="single" w:sz="4" w:space="0" w:color="auto"/>
              <w:right w:val="single" w:sz="4" w:space="0" w:color="auto"/>
            </w:tcBorders>
            <w:shd w:val="clear" w:color="DBDBDB" w:fill="FFFFFF"/>
            <w:noWrap/>
            <w:vAlign w:val="center"/>
            <w:hideMark/>
          </w:tcPr>
          <w:p w:rsidR="007F57B3" w:rsidRDefault="007F57B3">
            <w:pPr>
              <w:jc w:val="right"/>
              <w:rPr>
                <w:rFonts w:ascii="Calibri" w:hAnsi="Calibri" w:cs="Calibri"/>
                <w:color w:val="000000"/>
                <w:sz w:val="20"/>
                <w:szCs w:val="20"/>
              </w:rPr>
            </w:pPr>
            <w:r>
              <w:rPr>
                <w:rFonts w:ascii="Calibri" w:hAnsi="Calibri" w:cs="Calibri"/>
                <w:color w:val="000000"/>
                <w:sz w:val="20"/>
                <w:szCs w:val="20"/>
              </w:rPr>
              <w:t>79 563 203,77</w:t>
            </w:r>
          </w:p>
        </w:tc>
        <w:tc>
          <w:tcPr>
            <w:tcW w:w="1560" w:type="dxa"/>
            <w:tcBorders>
              <w:top w:val="nil"/>
              <w:left w:val="nil"/>
              <w:bottom w:val="single" w:sz="4" w:space="0" w:color="auto"/>
              <w:right w:val="single" w:sz="4" w:space="0" w:color="auto"/>
            </w:tcBorders>
            <w:shd w:val="clear" w:color="DBDBDB" w:fill="FFFFFF"/>
            <w:noWrap/>
            <w:vAlign w:val="center"/>
            <w:hideMark/>
          </w:tcPr>
          <w:p w:rsidR="007F57B3" w:rsidRDefault="007F57B3">
            <w:pPr>
              <w:jc w:val="right"/>
              <w:rPr>
                <w:rFonts w:ascii="Calibri" w:hAnsi="Calibri" w:cs="Calibri"/>
                <w:color w:val="000000"/>
                <w:sz w:val="20"/>
                <w:szCs w:val="20"/>
              </w:rPr>
            </w:pPr>
            <w:r>
              <w:rPr>
                <w:rFonts w:ascii="Calibri" w:hAnsi="Calibri" w:cs="Calibri"/>
                <w:color w:val="000000"/>
                <w:sz w:val="20"/>
                <w:szCs w:val="20"/>
              </w:rPr>
              <w:t>115 545 012,39</w:t>
            </w:r>
          </w:p>
        </w:tc>
        <w:tc>
          <w:tcPr>
            <w:tcW w:w="1420" w:type="dxa"/>
            <w:tcBorders>
              <w:top w:val="nil"/>
              <w:left w:val="nil"/>
              <w:bottom w:val="single" w:sz="4" w:space="0" w:color="auto"/>
              <w:right w:val="single" w:sz="4" w:space="0" w:color="auto"/>
            </w:tcBorders>
            <w:shd w:val="clear" w:color="F2F2F2" w:fill="FFFFFF"/>
            <w:noWrap/>
            <w:vAlign w:val="center"/>
            <w:hideMark/>
          </w:tcPr>
          <w:p w:rsidR="007F57B3" w:rsidRDefault="007F57B3">
            <w:pPr>
              <w:jc w:val="right"/>
              <w:rPr>
                <w:rFonts w:ascii="Calibri" w:hAnsi="Calibri" w:cs="Calibri"/>
                <w:color w:val="000000"/>
                <w:sz w:val="20"/>
                <w:szCs w:val="20"/>
              </w:rPr>
            </w:pPr>
            <w:r>
              <w:rPr>
                <w:rFonts w:ascii="Calibri" w:hAnsi="Calibri" w:cs="Calibri"/>
                <w:color w:val="000000"/>
                <w:sz w:val="20"/>
                <w:szCs w:val="20"/>
              </w:rPr>
              <w:t>-35 981 808,62</w:t>
            </w:r>
          </w:p>
        </w:tc>
      </w:tr>
      <w:tr w:rsidR="007F57B3" w:rsidTr="007F57B3">
        <w:trPr>
          <w:trHeight w:val="300"/>
        </w:trPr>
        <w:tc>
          <w:tcPr>
            <w:tcW w:w="1180" w:type="dxa"/>
            <w:tcBorders>
              <w:top w:val="nil"/>
              <w:left w:val="single" w:sz="4" w:space="0" w:color="auto"/>
              <w:bottom w:val="single" w:sz="4" w:space="0" w:color="auto"/>
              <w:right w:val="single" w:sz="4" w:space="0" w:color="auto"/>
            </w:tcBorders>
            <w:shd w:val="clear" w:color="DBDBDB" w:fill="D9D9D9"/>
            <w:noWrap/>
            <w:vAlign w:val="center"/>
            <w:hideMark/>
          </w:tcPr>
          <w:p w:rsidR="007F57B3" w:rsidRDefault="007F57B3">
            <w:pPr>
              <w:rPr>
                <w:rFonts w:ascii="Calibri" w:hAnsi="Calibri" w:cs="Calibri"/>
                <w:color w:val="000000"/>
                <w:sz w:val="20"/>
                <w:szCs w:val="20"/>
              </w:rPr>
            </w:pPr>
            <w:r>
              <w:rPr>
                <w:rFonts w:ascii="Calibri" w:hAnsi="Calibri" w:cs="Calibri"/>
                <w:color w:val="000000"/>
                <w:sz w:val="20"/>
                <w:szCs w:val="20"/>
              </w:rPr>
              <w:t>Listopad</w:t>
            </w:r>
          </w:p>
        </w:tc>
        <w:tc>
          <w:tcPr>
            <w:tcW w:w="1660" w:type="dxa"/>
            <w:tcBorders>
              <w:top w:val="nil"/>
              <w:left w:val="nil"/>
              <w:bottom w:val="single" w:sz="4" w:space="0" w:color="auto"/>
              <w:right w:val="single" w:sz="4" w:space="0" w:color="auto"/>
            </w:tcBorders>
            <w:shd w:val="clear" w:color="DBDBDB" w:fill="D9D9D9"/>
            <w:noWrap/>
            <w:vAlign w:val="center"/>
            <w:hideMark/>
          </w:tcPr>
          <w:p w:rsidR="007F57B3" w:rsidRDefault="007F57B3">
            <w:pPr>
              <w:jc w:val="right"/>
              <w:rPr>
                <w:rFonts w:ascii="Calibri" w:hAnsi="Calibri" w:cs="Calibri"/>
                <w:color w:val="000000"/>
                <w:sz w:val="20"/>
                <w:szCs w:val="20"/>
              </w:rPr>
            </w:pPr>
            <w:r>
              <w:rPr>
                <w:rFonts w:ascii="Calibri" w:hAnsi="Calibri" w:cs="Calibri"/>
                <w:color w:val="000000"/>
                <w:sz w:val="20"/>
                <w:szCs w:val="20"/>
              </w:rPr>
              <w:t>122 381 837,61</w:t>
            </w:r>
          </w:p>
        </w:tc>
        <w:tc>
          <w:tcPr>
            <w:tcW w:w="1560" w:type="dxa"/>
            <w:tcBorders>
              <w:top w:val="nil"/>
              <w:left w:val="nil"/>
              <w:bottom w:val="single" w:sz="4" w:space="0" w:color="auto"/>
              <w:right w:val="single" w:sz="4" w:space="0" w:color="auto"/>
            </w:tcBorders>
            <w:shd w:val="clear" w:color="DBDBDB" w:fill="D9D9D9"/>
            <w:noWrap/>
            <w:vAlign w:val="center"/>
            <w:hideMark/>
          </w:tcPr>
          <w:p w:rsidR="007F57B3" w:rsidRDefault="007F57B3">
            <w:pPr>
              <w:jc w:val="right"/>
              <w:rPr>
                <w:rFonts w:ascii="Calibri" w:hAnsi="Calibri" w:cs="Calibri"/>
                <w:color w:val="000000"/>
                <w:sz w:val="20"/>
                <w:szCs w:val="20"/>
              </w:rPr>
            </w:pPr>
            <w:r>
              <w:rPr>
                <w:rFonts w:ascii="Calibri" w:hAnsi="Calibri" w:cs="Calibri"/>
                <w:color w:val="000000"/>
                <w:sz w:val="20"/>
                <w:szCs w:val="20"/>
              </w:rPr>
              <w:t>93 295 914,33</w:t>
            </w:r>
          </w:p>
        </w:tc>
        <w:tc>
          <w:tcPr>
            <w:tcW w:w="1420" w:type="dxa"/>
            <w:tcBorders>
              <w:top w:val="nil"/>
              <w:left w:val="nil"/>
              <w:bottom w:val="single" w:sz="4" w:space="0" w:color="auto"/>
              <w:right w:val="single" w:sz="4" w:space="0" w:color="auto"/>
            </w:tcBorders>
            <w:shd w:val="clear" w:color="DBDBDB" w:fill="D9D9D9"/>
            <w:noWrap/>
            <w:vAlign w:val="center"/>
            <w:hideMark/>
          </w:tcPr>
          <w:p w:rsidR="007F57B3" w:rsidRDefault="007F57B3">
            <w:pPr>
              <w:jc w:val="right"/>
              <w:rPr>
                <w:rFonts w:ascii="Calibri" w:hAnsi="Calibri" w:cs="Calibri"/>
                <w:color w:val="000000"/>
                <w:sz w:val="20"/>
                <w:szCs w:val="20"/>
              </w:rPr>
            </w:pPr>
            <w:r>
              <w:rPr>
                <w:rFonts w:ascii="Calibri" w:hAnsi="Calibri" w:cs="Calibri"/>
                <w:color w:val="000000"/>
                <w:sz w:val="20"/>
                <w:szCs w:val="20"/>
              </w:rPr>
              <w:t>29 085 923,28</w:t>
            </w:r>
          </w:p>
        </w:tc>
      </w:tr>
      <w:tr w:rsidR="007F57B3" w:rsidTr="007F57B3">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7F57B3" w:rsidRDefault="007F57B3">
            <w:pPr>
              <w:rPr>
                <w:rFonts w:ascii="Calibri" w:hAnsi="Calibri" w:cs="Calibri"/>
                <w:color w:val="000000"/>
                <w:sz w:val="20"/>
                <w:szCs w:val="20"/>
              </w:rPr>
            </w:pPr>
            <w:r>
              <w:rPr>
                <w:rFonts w:ascii="Calibri" w:hAnsi="Calibri" w:cs="Calibri"/>
                <w:color w:val="000000"/>
                <w:sz w:val="20"/>
                <w:szCs w:val="20"/>
              </w:rPr>
              <w:t>Prosinec</w:t>
            </w:r>
          </w:p>
        </w:tc>
        <w:tc>
          <w:tcPr>
            <w:tcW w:w="1660" w:type="dxa"/>
            <w:tcBorders>
              <w:top w:val="nil"/>
              <w:left w:val="nil"/>
              <w:bottom w:val="single" w:sz="4" w:space="0" w:color="auto"/>
              <w:right w:val="single" w:sz="4" w:space="0" w:color="auto"/>
            </w:tcBorders>
            <w:shd w:val="clear" w:color="DBDBDB" w:fill="FFFFFF"/>
            <w:noWrap/>
            <w:vAlign w:val="center"/>
            <w:hideMark/>
          </w:tcPr>
          <w:p w:rsidR="007F57B3" w:rsidRDefault="007F57B3">
            <w:pPr>
              <w:jc w:val="right"/>
              <w:rPr>
                <w:rFonts w:ascii="Calibri" w:hAnsi="Calibri" w:cs="Calibri"/>
                <w:color w:val="000000"/>
                <w:sz w:val="20"/>
                <w:szCs w:val="20"/>
              </w:rPr>
            </w:pPr>
            <w:r>
              <w:rPr>
                <w:rFonts w:ascii="Calibri" w:hAnsi="Calibri" w:cs="Calibri"/>
                <w:color w:val="000000"/>
                <w:sz w:val="20"/>
                <w:szCs w:val="20"/>
              </w:rPr>
              <w:t>124 792 487,41</w:t>
            </w:r>
          </w:p>
        </w:tc>
        <w:tc>
          <w:tcPr>
            <w:tcW w:w="1560" w:type="dxa"/>
            <w:tcBorders>
              <w:top w:val="nil"/>
              <w:left w:val="nil"/>
              <w:bottom w:val="single" w:sz="4" w:space="0" w:color="auto"/>
              <w:right w:val="single" w:sz="4" w:space="0" w:color="auto"/>
            </w:tcBorders>
            <w:shd w:val="clear" w:color="DBDBDB" w:fill="FFFFFF"/>
            <w:noWrap/>
            <w:vAlign w:val="center"/>
            <w:hideMark/>
          </w:tcPr>
          <w:p w:rsidR="007F57B3" w:rsidRDefault="007F57B3">
            <w:pPr>
              <w:jc w:val="right"/>
              <w:rPr>
                <w:rFonts w:ascii="Calibri" w:hAnsi="Calibri" w:cs="Calibri"/>
                <w:color w:val="000000"/>
                <w:sz w:val="20"/>
                <w:szCs w:val="20"/>
              </w:rPr>
            </w:pPr>
            <w:r>
              <w:rPr>
                <w:rFonts w:ascii="Calibri" w:hAnsi="Calibri" w:cs="Calibri"/>
                <w:color w:val="000000"/>
                <w:sz w:val="20"/>
                <w:szCs w:val="20"/>
              </w:rPr>
              <w:t>161 237 568,39</w:t>
            </w:r>
          </w:p>
        </w:tc>
        <w:tc>
          <w:tcPr>
            <w:tcW w:w="1420" w:type="dxa"/>
            <w:tcBorders>
              <w:top w:val="nil"/>
              <w:left w:val="nil"/>
              <w:bottom w:val="single" w:sz="4" w:space="0" w:color="auto"/>
              <w:right w:val="single" w:sz="4" w:space="0" w:color="auto"/>
            </w:tcBorders>
            <w:shd w:val="clear" w:color="F2F2F2" w:fill="FFFFFF"/>
            <w:noWrap/>
            <w:vAlign w:val="center"/>
            <w:hideMark/>
          </w:tcPr>
          <w:p w:rsidR="007F57B3" w:rsidRDefault="007F57B3">
            <w:pPr>
              <w:jc w:val="right"/>
              <w:rPr>
                <w:rFonts w:ascii="Calibri" w:hAnsi="Calibri" w:cs="Calibri"/>
                <w:color w:val="000000"/>
                <w:sz w:val="20"/>
                <w:szCs w:val="20"/>
              </w:rPr>
            </w:pPr>
            <w:r>
              <w:rPr>
                <w:rFonts w:ascii="Calibri" w:hAnsi="Calibri" w:cs="Calibri"/>
                <w:color w:val="000000"/>
                <w:sz w:val="20"/>
                <w:szCs w:val="20"/>
              </w:rPr>
              <w:t>-36 445 080,98</w:t>
            </w:r>
          </w:p>
        </w:tc>
      </w:tr>
      <w:tr w:rsidR="007F57B3" w:rsidTr="007F57B3">
        <w:trPr>
          <w:trHeight w:val="300"/>
        </w:trPr>
        <w:tc>
          <w:tcPr>
            <w:tcW w:w="1180" w:type="dxa"/>
            <w:tcBorders>
              <w:top w:val="nil"/>
              <w:left w:val="single" w:sz="4" w:space="0" w:color="auto"/>
              <w:bottom w:val="single" w:sz="4" w:space="0" w:color="auto"/>
              <w:right w:val="single" w:sz="4" w:space="0" w:color="auto"/>
            </w:tcBorders>
            <w:shd w:val="clear" w:color="C5E0B4" w:fill="8EA9DB"/>
            <w:noWrap/>
            <w:vAlign w:val="center"/>
            <w:hideMark/>
          </w:tcPr>
          <w:p w:rsidR="007F57B3" w:rsidRDefault="007F57B3">
            <w:pPr>
              <w:rPr>
                <w:rFonts w:ascii="Calibri" w:hAnsi="Calibri" w:cs="Calibri"/>
                <w:b/>
                <w:bCs/>
                <w:color w:val="000000"/>
                <w:sz w:val="20"/>
                <w:szCs w:val="20"/>
              </w:rPr>
            </w:pPr>
            <w:r>
              <w:rPr>
                <w:rFonts w:ascii="Calibri" w:hAnsi="Calibri" w:cs="Calibri"/>
                <w:b/>
                <w:bCs/>
                <w:color w:val="000000"/>
                <w:sz w:val="20"/>
                <w:szCs w:val="20"/>
              </w:rPr>
              <w:t>Celkem</w:t>
            </w:r>
          </w:p>
        </w:tc>
        <w:tc>
          <w:tcPr>
            <w:tcW w:w="1660" w:type="dxa"/>
            <w:tcBorders>
              <w:top w:val="nil"/>
              <w:left w:val="nil"/>
              <w:bottom w:val="single" w:sz="4" w:space="0" w:color="auto"/>
              <w:right w:val="single" w:sz="4" w:space="0" w:color="auto"/>
            </w:tcBorders>
            <w:shd w:val="clear" w:color="C5E0B4" w:fill="8EA9DB"/>
            <w:noWrap/>
            <w:vAlign w:val="center"/>
            <w:hideMark/>
          </w:tcPr>
          <w:p w:rsidR="007F57B3" w:rsidRDefault="007F57B3">
            <w:pPr>
              <w:jc w:val="right"/>
              <w:rPr>
                <w:rFonts w:ascii="Calibri" w:hAnsi="Calibri" w:cs="Calibri"/>
                <w:b/>
                <w:bCs/>
                <w:color w:val="000000"/>
                <w:sz w:val="20"/>
                <w:szCs w:val="20"/>
              </w:rPr>
            </w:pPr>
            <w:r>
              <w:rPr>
                <w:rFonts w:ascii="Calibri" w:hAnsi="Calibri" w:cs="Calibri"/>
                <w:b/>
                <w:bCs/>
                <w:color w:val="000000"/>
                <w:sz w:val="20"/>
                <w:szCs w:val="20"/>
              </w:rPr>
              <w:t>1 268 670 353,65</w:t>
            </w:r>
          </w:p>
        </w:tc>
        <w:tc>
          <w:tcPr>
            <w:tcW w:w="1560" w:type="dxa"/>
            <w:tcBorders>
              <w:top w:val="nil"/>
              <w:left w:val="nil"/>
              <w:bottom w:val="single" w:sz="4" w:space="0" w:color="auto"/>
              <w:right w:val="single" w:sz="4" w:space="0" w:color="auto"/>
            </w:tcBorders>
            <w:shd w:val="clear" w:color="C5E0B4" w:fill="8EA9DB"/>
            <w:noWrap/>
            <w:vAlign w:val="center"/>
            <w:hideMark/>
          </w:tcPr>
          <w:p w:rsidR="007F57B3" w:rsidRDefault="007F57B3">
            <w:pPr>
              <w:jc w:val="right"/>
              <w:rPr>
                <w:rFonts w:ascii="Calibri" w:hAnsi="Calibri" w:cs="Calibri"/>
                <w:b/>
                <w:bCs/>
                <w:color w:val="000000"/>
                <w:sz w:val="20"/>
                <w:szCs w:val="20"/>
              </w:rPr>
            </w:pPr>
            <w:r>
              <w:rPr>
                <w:rFonts w:ascii="Calibri" w:hAnsi="Calibri" w:cs="Calibri"/>
                <w:b/>
                <w:bCs/>
                <w:color w:val="000000"/>
                <w:sz w:val="20"/>
                <w:szCs w:val="20"/>
              </w:rPr>
              <w:t>1 154 538 269,85</w:t>
            </w:r>
          </w:p>
        </w:tc>
        <w:tc>
          <w:tcPr>
            <w:tcW w:w="1420" w:type="dxa"/>
            <w:tcBorders>
              <w:top w:val="nil"/>
              <w:left w:val="nil"/>
              <w:bottom w:val="single" w:sz="4" w:space="0" w:color="auto"/>
              <w:right w:val="single" w:sz="4" w:space="0" w:color="auto"/>
            </w:tcBorders>
            <w:shd w:val="clear" w:color="C5E0B4" w:fill="8EA9DB"/>
            <w:noWrap/>
            <w:vAlign w:val="center"/>
            <w:hideMark/>
          </w:tcPr>
          <w:p w:rsidR="007F57B3" w:rsidRDefault="007F57B3">
            <w:pPr>
              <w:jc w:val="right"/>
              <w:rPr>
                <w:rFonts w:ascii="Calibri" w:hAnsi="Calibri" w:cs="Calibri"/>
                <w:b/>
                <w:bCs/>
                <w:color w:val="000000"/>
                <w:sz w:val="20"/>
                <w:szCs w:val="20"/>
              </w:rPr>
            </w:pPr>
            <w:r>
              <w:rPr>
                <w:rFonts w:ascii="Calibri" w:hAnsi="Calibri" w:cs="Calibri"/>
                <w:b/>
                <w:bCs/>
                <w:color w:val="000000"/>
                <w:sz w:val="20"/>
                <w:szCs w:val="20"/>
              </w:rPr>
              <w:t>114 132 083,80</w:t>
            </w:r>
          </w:p>
        </w:tc>
      </w:tr>
    </w:tbl>
    <w:p w:rsidR="007F57B3" w:rsidRDefault="007F57B3" w:rsidP="007F57B3"/>
    <w:p w:rsidR="007F57B3" w:rsidRDefault="007F57B3" w:rsidP="007F57B3"/>
    <w:p w:rsidR="007F57B3" w:rsidRDefault="007F57B3" w:rsidP="007F57B3">
      <w:r>
        <w:rPr>
          <w:noProof/>
        </w:rPr>
        <w:drawing>
          <wp:inline distT="0" distB="0" distL="0" distR="0" wp14:anchorId="453852D8" wp14:editId="5AB278B1">
            <wp:extent cx="6030595" cy="2893060"/>
            <wp:effectExtent l="0" t="0" r="8255" b="2540"/>
            <wp:docPr id="42" name="Graf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7F57B3" w:rsidRPr="007F57B3" w:rsidRDefault="007F57B3" w:rsidP="007F57B3"/>
    <w:p w:rsidR="00985384" w:rsidRDefault="00985384" w:rsidP="00985384"/>
    <w:p w:rsidR="0095529E" w:rsidRDefault="0095529E" w:rsidP="00985384"/>
    <w:p w:rsidR="0095529E" w:rsidRDefault="0095529E" w:rsidP="00985384"/>
    <w:p w:rsidR="00985384" w:rsidRPr="00985384" w:rsidRDefault="00985384" w:rsidP="00985384"/>
    <w:p w:rsidR="00D331A9" w:rsidRDefault="00D331A9" w:rsidP="00D331A9"/>
    <w:p w:rsidR="00163BE1" w:rsidRDefault="00163BE1" w:rsidP="00D331A9"/>
    <w:p w:rsidR="00D331A9" w:rsidRPr="00D331A9" w:rsidRDefault="00D331A9" w:rsidP="00D331A9"/>
    <w:p w:rsidR="00AB6168" w:rsidRDefault="00AB6168" w:rsidP="00AB6168"/>
    <w:p w:rsidR="00AB6168" w:rsidRDefault="00AB6168" w:rsidP="00AB6168"/>
    <w:p w:rsidR="00AB6168" w:rsidRDefault="00AB6168" w:rsidP="00AB6168"/>
    <w:p w:rsidR="00AB6168" w:rsidRPr="00AB6168" w:rsidRDefault="00AB6168" w:rsidP="00AB6168"/>
    <w:p w:rsidR="00735FF3" w:rsidRDefault="00735FF3" w:rsidP="00784AF3">
      <w:pPr>
        <w:spacing w:after="120"/>
        <w:rPr>
          <w:noProof/>
          <w:sz w:val="20"/>
          <w:szCs w:val="20"/>
        </w:rPr>
      </w:pPr>
    </w:p>
    <w:p w:rsidR="00C56CF2" w:rsidRDefault="00540829" w:rsidP="0024764D">
      <w:pPr>
        <w:pStyle w:val="Nadpis3"/>
        <w:rPr>
          <w:b w:val="0"/>
          <w:noProof/>
        </w:rPr>
      </w:pPr>
      <w:bookmarkStart w:id="45" w:name="_Toc39129532"/>
      <w:r w:rsidRPr="0095529E">
        <w:rPr>
          <w:b w:val="0"/>
          <w:noProof/>
        </w:rPr>
        <w:lastRenderedPageBreak/>
        <w:t>Vyhodnocení běžných a kapitálových výdajů po měsících</w:t>
      </w:r>
      <w:r w:rsidR="009541C1" w:rsidRPr="0095529E">
        <w:rPr>
          <w:b w:val="0"/>
          <w:noProof/>
        </w:rPr>
        <w:t xml:space="preserve"> </w:t>
      </w:r>
      <w:r w:rsidR="00C56CF2" w:rsidRPr="0095529E">
        <w:rPr>
          <w:b w:val="0"/>
          <w:noProof/>
        </w:rPr>
        <w:t xml:space="preserve">– rok </w:t>
      </w:r>
      <w:r w:rsidR="00910CD6" w:rsidRPr="0095529E">
        <w:rPr>
          <w:b w:val="0"/>
          <w:noProof/>
        </w:rPr>
        <w:t>202</w:t>
      </w:r>
      <w:r w:rsidR="005D3A64">
        <w:rPr>
          <w:b w:val="0"/>
          <w:noProof/>
        </w:rPr>
        <w:t>2</w:t>
      </w:r>
      <w:r w:rsidR="00753699" w:rsidRPr="0095529E">
        <w:rPr>
          <w:b w:val="0"/>
          <w:noProof/>
        </w:rPr>
        <w:t xml:space="preserve"> </w:t>
      </w:r>
      <w:r w:rsidR="009541C1" w:rsidRPr="0095529E">
        <w:rPr>
          <w:b w:val="0"/>
          <w:noProof/>
        </w:rPr>
        <w:t>(v</w:t>
      </w:r>
      <w:r w:rsidR="00163BE1" w:rsidRPr="0095529E">
        <w:rPr>
          <w:b w:val="0"/>
          <w:noProof/>
        </w:rPr>
        <w:t xml:space="preserve"> </w:t>
      </w:r>
      <w:r w:rsidR="009541C1" w:rsidRPr="0095529E">
        <w:rPr>
          <w:b w:val="0"/>
          <w:noProof/>
        </w:rPr>
        <w:t>Kč)</w:t>
      </w:r>
      <w:bookmarkEnd w:id="45"/>
    </w:p>
    <w:tbl>
      <w:tblPr>
        <w:tblW w:w="5680" w:type="dxa"/>
        <w:tblCellMar>
          <w:left w:w="70" w:type="dxa"/>
          <w:right w:w="70" w:type="dxa"/>
        </w:tblCellMar>
        <w:tblLook w:val="04A0" w:firstRow="1" w:lastRow="0" w:firstColumn="1" w:lastColumn="0" w:noHBand="0" w:noVBand="1"/>
      </w:tblPr>
      <w:tblGrid>
        <w:gridCol w:w="1000"/>
        <w:gridCol w:w="1560"/>
        <w:gridCol w:w="1560"/>
        <w:gridCol w:w="1560"/>
      </w:tblGrid>
      <w:tr w:rsidR="002B3045" w:rsidTr="002B3045">
        <w:trPr>
          <w:trHeight w:val="300"/>
        </w:trPr>
        <w:tc>
          <w:tcPr>
            <w:tcW w:w="1000" w:type="dxa"/>
            <w:vMerge w:val="restart"/>
            <w:tcBorders>
              <w:top w:val="single" w:sz="4" w:space="0" w:color="auto"/>
              <w:left w:val="single" w:sz="4" w:space="0" w:color="auto"/>
              <w:bottom w:val="single" w:sz="4" w:space="0" w:color="auto"/>
              <w:right w:val="single" w:sz="4" w:space="0" w:color="auto"/>
            </w:tcBorders>
            <w:shd w:val="clear" w:color="63993F" w:fill="B4C6E7"/>
            <w:noWrap/>
            <w:vAlign w:val="center"/>
            <w:hideMark/>
          </w:tcPr>
          <w:p w:rsidR="002B3045" w:rsidRDefault="002B3045">
            <w:pPr>
              <w:jc w:val="center"/>
              <w:rPr>
                <w:rFonts w:ascii="Calibri" w:hAnsi="Calibri" w:cs="Calibri"/>
                <w:b/>
                <w:bCs/>
                <w:color w:val="000000"/>
                <w:sz w:val="20"/>
                <w:szCs w:val="20"/>
              </w:rPr>
            </w:pPr>
            <w:r>
              <w:rPr>
                <w:rFonts w:ascii="Calibri" w:hAnsi="Calibri" w:cs="Calibri"/>
                <w:b/>
                <w:bCs/>
                <w:color w:val="000000"/>
                <w:sz w:val="20"/>
                <w:szCs w:val="20"/>
              </w:rPr>
              <w:t>Měsíc</w:t>
            </w:r>
          </w:p>
        </w:tc>
        <w:tc>
          <w:tcPr>
            <w:tcW w:w="3120" w:type="dxa"/>
            <w:gridSpan w:val="2"/>
            <w:tcBorders>
              <w:top w:val="single" w:sz="4" w:space="0" w:color="auto"/>
              <w:left w:val="nil"/>
              <w:bottom w:val="single" w:sz="4" w:space="0" w:color="auto"/>
              <w:right w:val="single" w:sz="4" w:space="0" w:color="auto"/>
            </w:tcBorders>
            <w:shd w:val="clear" w:color="63993F" w:fill="B4C6E7"/>
            <w:noWrap/>
            <w:vAlign w:val="center"/>
            <w:hideMark/>
          </w:tcPr>
          <w:p w:rsidR="002B3045" w:rsidRDefault="002B3045">
            <w:pPr>
              <w:jc w:val="center"/>
              <w:rPr>
                <w:rFonts w:ascii="Calibri" w:hAnsi="Calibri" w:cs="Calibri"/>
                <w:b/>
                <w:bCs/>
                <w:color w:val="000000"/>
                <w:sz w:val="20"/>
                <w:szCs w:val="20"/>
              </w:rPr>
            </w:pPr>
            <w:r>
              <w:rPr>
                <w:rFonts w:ascii="Calibri" w:hAnsi="Calibri" w:cs="Calibri"/>
                <w:b/>
                <w:bCs/>
                <w:color w:val="000000"/>
                <w:sz w:val="20"/>
                <w:szCs w:val="20"/>
              </w:rPr>
              <w:t>Výdaje</w:t>
            </w:r>
          </w:p>
        </w:tc>
        <w:tc>
          <w:tcPr>
            <w:tcW w:w="1560" w:type="dxa"/>
            <w:vMerge w:val="restart"/>
            <w:tcBorders>
              <w:top w:val="single" w:sz="4" w:space="0" w:color="auto"/>
              <w:left w:val="single" w:sz="4" w:space="0" w:color="auto"/>
              <w:bottom w:val="single" w:sz="4" w:space="0" w:color="auto"/>
              <w:right w:val="single" w:sz="4" w:space="0" w:color="auto"/>
            </w:tcBorders>
            <w:shd w:val="clear" w:color="63993F" w:fill="B4C6E7"/>
            <w:noWrap/>
            <w:vAlign w:val="center"/>
            <w:hideMark/>
          </w:tcPr>
          <w:p w:rsidR="002B3045" w:rsidRDefault="002B3045">
            <w:pPr>
              <w:jc w:val="center"/>
              <w:rPr>
                <w:rFonts w:ascii="Calibri" w:hAnsi="Calibri" w:cs="Calibri"/>
                <w:b/>
                <w:bCs/>
                <w:color w:val="000000"/>
                <w:sz w:val="20"/>
                <w:szCs w:val="20"/>
              </w:rPr>
            </w:pPr>
            <w:r>
              <w:rPr>
                <w:rFonts w:ascii="Calibri" w:hAnsi="Calibri" w:cs="Calibri"/>
                <w:b/>
                <w:bCs/>
                <w:color w:val="000000"/>
                <w:sz w:val="20"/>
                <w:szCs w:val="20"/>
              </w:rPr>
              <w:t>Celkem</w:t>
            </w:r>
          </w:p>
        </w:tc>
      </w:tr>
      <w:tr w:rsidR="002B3045" w:rsidTr="002B3045">
        <w:trPr>
          <w:trHeight w:val="300"/>
        </w:trPr>
        <w:tc>
          <w:tcPr>
            <w:tcW w:w="1000" w:type="dxa"/>
            <w:vMerge/>
            <w:tcBorders>
              <w:top w:val="single" w:sz="4" w:space="0" w:color="auto"/>
              <w:left w:val="single" w:sz="4" w:space="0" w:color="auto"/>
              <w:bottom w:val="single" w:sz="4" w:space="0" w:color="auto"/>
              <w:right w:val="single" w:sz="4" w:space="0" w:color="auto"/>
            </w:tcBorders>
            <w:vAlign w:val="center"/>
            <w:hideMark/>
          </w:tcPr>
          <w:p w:rsidR="002B3045" w:rsidRDefault="002B3045">
            <w:pPr>
              <w:rPr>
                <w:rFonts w:ascii="Calibri" w:hAnsi="Calibri" w:cs="Calibri"/>
                <w:b/>
                <w:bCs/>
                <w:color w:val="000000"/>
                <w:sz w:val="20"/>
                <w:szCs w:val="20"/>
              </w:rPr>
            </w:pPr>
          </w:p>
        </w:tc>
        <w:tc>
          <w:tcPr>
            <w:tcW w:w="1560" w:type="dxa"/>
            <w:tcBorders>
              <w:top w:val="nil"/>
              <w:left w:val="nil"/>
              <w:bottom w:val="single" w:sz="4" w:space="0" w:color="auto"/>
              <w:right w:val="single" w:sz="4" w:space="0" w:color="auto"/>
            </w:tcBorders>
            <w:shd w:val="clear" w:color="63993F" w:fill="B4C6E7"/>
            <w:noWrap/>
            <w:vAlign w:val="center"/>
            <w:hideMark/>
          </w:tcPr>
          <w:p w:rsidR="002B3045" w:rsidRDefault="002B3045">
            <w:pPr>
              <w:jc w:val="center"/>
              <w:rPr>
                <w:rFonts w:ascii="Calibri" w:hAnsi="Calibri" w:cs="Calibri"/>
                <w:b/>
                <w:bCs/>
                <w:color w:val="000000"/>
                <w:sz w:val="20"/>
                <w:szCs w:val="20"/>
              </w:rPr>
            </w:pPr>
            <w:r>
              <w:rPr>
                <w:rFonts w:ascii="Calibri" w:hAnsi="Calibri" w:cs="Calibri"/>
                <w:b/>
                <w:bCs/>
                <w:color w:val="000000"/>
                <w:sz w:val="20"/>
                <w:szCs w:val="20"/>
              </w:rPr>
              <w:t>Běžné</w:t>
            </w:r>
          </w:p>
        </w:tc>
        <w:tc>
          <w:tcPr>
            <w:tcW w:w="1560" w:type="dxa"/>
            <w:tcBorders>
              <w:top w:val="nil"/>
              <w:left w:val="nil"/>
              <w:bottom w:val="single" w:sz="4" w:space="0" w:color="auto"/>
              <w:right w:val="single" w:sz="4" w:space="0" w:color="auto"/>
            </w:tcBorders>
            <w:shd w:val="clear" w:color="63993F" w:fill="B4C6E7"/>
            <w:noWrap/>
            <w:vAlign w:val="center"/>
            <w:hideMark/>
          </w:tcPr>
          <w:p w:rsidR="002B3045" w:rsidRDefault="002B3045">
            <w:pPr>
              <w:jc w:val="center"/>
              <w:rPr>
                <w:rFonts w:ascii="Calibri" w:hAnsi="Calibri" w:cs="Calibri"/>
                <w:b/>
                <w:bCs/>
                <w:color w:val="000000"/>
                <w:sz w:val="20"/>
                <w:szCs w:val="20"/>
              </w:rPr>
            </w:pPr>
            <w:r>
              <w:rPr>
                <w:rFonts w:ascii="Calibri" w:hAnsi="Calibri" w:cs="Calibri"/>
                <w:b/>
                <w:bCs/>
                <w:color w:val="000000"/>
                <w:sz w:val="20"/>
                <w:szCs w:val="20"/>
              </w:rPr>
              <w:t>Kapitálové</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B3045" w:rsidRDefault="002B3045">
            <w:pPr>
              <w:rPr>
                <w:rFonts w:ascii="Calibri" w:hAnsi="Calibri" w:cs="Calibri"/>
                <w:b/>
                <w:bCs/>
                <w:color w:val="000000"/>
                <w:sz w:val="20"/>
                <w:szCs w:val="20"/>
              </w:rPr>
            </w:pPr>
          </w:p>
        </w:tc>
      </w:tr>
      <w:tr w:rsidR="002B3045" w:rsidTr="002B3045">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2B3045" w:rsidRDefault="002B3045">
            <w:pPr>
              <w:rPr>
                <w:rFonts w:ascii="Calibri" w:hAnsi="Calibri" w:cs="Calibri"/>
                <w:color w:val="000000"/>
                <w:sz w:val="20"/>
                <w:szCs w:val="20"/>
              </w:rPr>
            </w:pPr>
            <w:r>
              <w:rPr>
                <w:rFonts w:ascii="Calibri" w:hAnsi="Calibri" w:cs="Calibri"/>
                <w:color w:val="000000"/>
                <w:sz w:val="20"/>
                <w:szCs w:val="20"/>
              </w:rPr>
              <w:t>Leden</w:t>
            </w:r>
          </w:p>
        </w:tc>
        <w:tc>
          <w:tcPr>
            <w:tcW w:w="1560" w:type="dxa"/>
            <w:tcBorders>
              <w:top w:val="nil"/>
              <w:left w:val="nil"/>
              <w:bottom w:val="single" w:sz="4" w:space="0" w:color="auto"/>
              <w:right w:val="single" w:sz="4" w:space="0" w:color="auto"/>
            </w:tcBorders>
            <w:shd w:val="clear" w:color="auto" w:fill="auto"/>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70 751 709,28</w:t>
            </w:r>
          </w:p>
        </w:tc>
        <w:tc>
          <w:tcPr>
            <w:tcW w:w="1560" w:type="dxa"/>
            <w:tcBorders>
              <w:top w:val="nil"/>
              <w:left w:val="nil"/>
              <w:bottom w:val="single" w:sz="4" w:space="0" w:color="auto"/>
              <w:right w:val="single" w:sz="4" w:space="0" w:color="auto"/>
            </w:tcBorders>
            <w:shd w:val="clear" w:color="auto" w:fill="auto"/>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4 571 652,86</w:t>
            </w:r>
          </w:p>
        </w:tc>
        <w:tc>
          <w:tcPr>
            <w:tcW w:w="1560" w:type="dxa"/>
            <w:tcBorders>
              <w:top w:val="nil"/>
              <w:left w:val="nil"/>
              <w:bottom w:val="single" w:sz="4" w:space="0" w:color="auto"/>
              <w:right w:val="single" w:sz="4" w:space="0" w:color="auto"/>
            </w:tcBorders>
            <w:shd w:val="clear" w:color="auto" w:fill="auto"/>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75 323 362,14</w:t>
            </w:r>
          </w:p>
        </w:tc>
      </w:tr>
      <w:tr w:rsidR="002B3045" w:rsidTr="002B3045">
        <w:trPr>
          <w:trHeight w:val="300"/>
        </w:trPr>
        <w:tc>
          <w:tcPr>
            <w:tcW w:w="1000" w:type="dxa"/>
            <w:tcBorders>
              <w:top w:val="nil"/>
              <w:left w:val="single" w:sz="4" w:space="0" w:color="auto"/>
              <w:bottom w:val="single" w:sz="4" w:space="0" w:color="auto"/>
              <w:right w:val="single" w:sz="4" w:space="0" w:color="auto"/>
            </w:tcBorders>
            <w:shd w:val="clear" w:color="DBDBDB" w:fill="D9D9D9"/>
            <w:noWrap/>
            <w:vAlign w:val="center"/>
            <w:hideMark/>
          </w:tcPr>
          <w:p w:rsidR="002B3045" w:rsidRDefault="002B3045">
            <w:pPr>
              <w:rPr>
                <w:rFonts w:ascii="Calibri" w:hAnsi="Calibri" w:cs="Calibri"/>
                <w:color w:val="000000"/>
                <w:sz w:val="20"/>
                <w:szCs w:val="20"/>
              </w:rPr>
            </w:pPr>
            <w:r>
              <w:rPr>
                <w:rFonts w:ascii="Calibri" w:hAnsi="Calibri" w:cs="Calibri"/>
                <w:color w:val="000000"/>
                <w:sz w:val="20"/>
                <w:szCs w:val="20"/>
              </w:rPr>
              <w:t>Únor</w:t>
            </w:r>
          </w:p>
        </w:tc>
        <w:tc>
          <w:tcPr>
            <w:tcW w:w="1560" w:type="dxa"/>
            <w:tcBorders>
              <w:top w:val="nil"/>
              <w:left w:val="nil"/>
              <w:bottom w:val="single" w:sz="4" w:space="0" w:color="auto"/>
              <w:right w:val="single" w:sz="4" w:space="0" w:color="auto"/>
            </w:tcBorders>
            <w:shd w:val="clear" w:color="000000" w:fill="D9D9D9"/>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44 464 098,39</w:t>
            </w:r>
          </w:p>
        </w:tc>
        <w:tc>
          <w:tcPr>
            <w:tcW w:w="1560" w:type="dxa"/>
            <w:tcBorders>
              <w:top w:val="nil"/>
              <w:left w:val="nil"/>
              <w:bottom w:val="single" w:sz="4" w:space="0" w:color="auto"/>
              <w:right w:val="single" w:sz="4" w:space="0" w:color="auto"/>
            </w:tcBorders>
            <w:shd w:val="clear" w:color="DBDBDB" w:fill="D9D9D9"/>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9 563 833,82</w:t>
            </w:r>
          </w:p>
        </w:tc>
        <w:tc>
          <w:tcPr>
            <w:tcW w:w="1560" w:type="dxa"/>
            <w:tcBorders>
              <w:top w:val="nil"/>
              <w:left w:val="nil"/>
              <w:bottom w:val="single" w:sz="4" w:space="0" w:color="auto"/>
              <w:right w:val="single" w:sz="4" w:space="0" w:color="auto"/>
            </w:tcBorders>
            <w:shd w:val="clear" w:color="DBDBDB" w:fill="D9D9D9"/>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54 027 932,21</w:t>
            </w:r>
          </w:p>
        </w:tc>
      </w:tr>
      <w:tr w:rsidR="002B3045" w:rsidTr="002B3045">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2B3045" w:rsidRDefault="002B3045">
            <w:pPr>
              <w:rPr>
                <w:rFonts w:ascii="Calibri" w:hAnsi="Calibri" w:cs="Calibri"/>
                <w:color w:val="000000"/>
                <w:sz w:val="20"/>
                <w:szCs w:val="20"/>
              </w:rPr>
            </w:pPr>
            <w:r>
              <w:rPr>
                <w:rFonts w:ascii="Calibri" w:hAnsi="Calibri" w:cs="Calibri"/>
                <w:color w:val="000000"/>
                <w:sz w:val="20"/>
                <w:szCs w:val="20"/>
              </w:rPr>
              <w:t>Březen</w:t>
            </w:r>
          </w:p>
        </w:tc>
        <w:tc>
          <w:tcPr>
            <w:tcW w:w="1560" w:type="dxa"/>
            <w:tcBorders>
              <w:top w:val="nil"/>
              <w:left w:val="nil"/>
              <w:bottom w:val="single" w:sz="4" w:space="0" w:color="auto"/>
              <w:right w:val="single" w:sz="4" w:space="0" w:color="auto"/>
            </w:tcBorders>
            <w:shd w:val="clear" w:color="auto" w:fill="auto"/>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59 673 641,18</w:t>
            </w:r>
          </w:p>
        </w:tc>
        <w:tc>
          <w:tcPr>
            <w:tcW w:w="1560" w:type="dxa"/>
            <w:tcBorders>
              <w:top w:val="nil"/>
              <w:left w:val="nil"/>
              <w:bottom w:val="single" w:sz="4" w:space="0" w:color="auto"/>
              <w:right w:val="single" w:sz="4" w:space="0" w:color="auto"/>
            </w:tcBorders>
            <w:shd w:val="clear" w:color="auto" w:fill="auto"/>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5 823 090,38</w:t>
            </w:r>
          </w:p>
        </w:tc>
        <w:tc>
          <w:tcPr>
            <w:tcW w:w="1560" w:type="dxa"/>
            <w:tcBorders>
              <w:top w:val="nil"/>
              <w:left w:val="nil"/>
              <w:bottom w:val="single" w:sz="4" w:space="0" w:color="auto"/>
              <w:right w:val="single" w:sz="4" w:space="0" w:color="auto"/>
            </w:tcBorders>
            <w:shd w:val="clear" w:color="auto" w:fill="auto"/>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65 496 731,56</w:t>
            </w:r>
          </w:p>
        </w:tc>
      </w:tr>
      <w:tr w:rsidR="002B3045" w:rsidTr="002B3045">
        <w:trPr>
          <w:trHeight w:val="300"/>
        </w:trPr>
        <w:tc>
          <w:tcPr>
            <w:tcW w:w="1000" w:type="dxa"/>
            <w:tcBorders>
              <w:top w:val="nil"/>
              <w:left w:val="single" w:sz="4" w:space="0" w:color="auto"/>
              <w:bottom w:val="single" w:sz="4" w:space="0" w:color="auto"/>
              <w:right w:val="single" w:sz="4" w:space="0" w:color="auto"/>
            </w:tcBorders>
            <w:shd w:val="clear" w:color="DBDBDB" w:fill="D9D9D9"/>
            <w:noWrap/>
            <w:vAlign w:val="center"/>
            <w:hideMark/>
          </w:tcPr>
          <w:p w:rsidR="002B3045" w:rsidRDefault="002B3045">
            <w:pPr>
              <w:rPr>
                <w:rFonts w:ascii="Calibri" w:hAnsi="Calibri" w:cs="Calibri"/>
                <w:color w:val="000000"/>
                <w:sz w:val="20"/>
                <w:szCs w:val="20"/>
              </w:rPr>
            </w:pPr>
            <w:r>
              <w:rPr>
                <w:rFonts w:ascii="Calibri" w:hAnsi="Calibri" w:cs="Calibri"/>
                <w:color w:val="000000"/>
                <w:sz w:val="20"/>
                <w:szCs w:val="20"/>
              </w:rPr>
              <w:t>Duben</w:t>
            </w:r>
          </w:p>
        </w:tc>
        <w:tc>
          <w:tcPr>
            <w:tcW w:w="1560" w:type="dxa"/>
            <w:tcBorders>
              <w:top w:val="nil"/>
              <w:left w:val="nil"/>
              <w:bottom w:val="single" w:sz="4" w:space="0" w:color="auto"/>
              <w:right w:val="single" w:sz="4" w:space="0" w:color="auto"/>
            </w:tcBorders>
            <w:shd w:val="clear" w:color="000000" w:fill="D9D9D9"/>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94 000 716,65</w:t>
            </w:r>
          </w:p>
        </w:tc>
        <w:tc>
          <w:tcPr>
            <w:tcW w:w="1560" w:type="dxa"/>
            <w:tcBorders>
              <w:top w:val="nil"/>
              <w:left w:val="nil"/>
              <w:bottom w:val="single" w:sz="4" w:space="0" w:color="auto"/>
              <w:right w:val="single" w:sz="4" w:space="0" w:color="auto"/>
            </w:tcBorders>
            <w:shd w:val="clear" w:color="DBDBDB" w:fill="D9D9D9"/>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9 394 304,56</w:t>
            </w:r>
          </w:p>
        </w:tc>
        <w:tc>
          <w:tcPr>
            <w:tcW w:w="1560" w:type="dxa"/>
            <w:tcBorders>
              <w:top w:val="nil"/>
              <w:left w:val="nil"/>
              <w:bottom w:val="single" w:sz="4" w:space="0" w:color="auto"/>
              <w:right w:val="single" w:sz="4" w:space="0" w:color="auto"/>
            </w:tcBorders>
            <w:shd w:val="clear" w:color="DBDBDB" w:fill="D9D9D9"/>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103 395 021,21</w:t>
            </w:r>
          </w:p>
        </w:tc>
      </w:tr>
      <w:tr w:rsidR="002B3045" w:rsidTr="002B3045">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2B3045" w:rsidRDefault="002B3045">
            <w:pPr>
              <w:rPr>
                <w:rFonts w:ascii="Calibri" w:hAnsi="Calibri" w:cs="Calibri"/>
                <w:color w:val="000000"/>
                <w:sz w:val="20"/>
                <w:szCs w:val="20"/>
              </w:rPr>
            </w:pPr>
            <w:r>
              <w:rPr>
                <w:rFonts w:ascii="Calibri" w:hAnsi="Calibri" w:cs="Calibri"/>
                <w:color w:val="000000"/>
                <w:sz w:val="20"/>
                <w:szCs w:val="20"/>
              </w:rPr>
              <w:t>Květen</w:t>
            </w:r>
          </w:p>
        </w:tc>
        <w:tc>
          <w:tcPr>
            <w:tcW w:w="1560" w:type="dxa"/>
            <w:tcBorders>
              <w:top w:val="nil"/>
              <w:left w:val="nil"/>
              <w:bottom w:val="single" w:sz="4" w:space="0" w:color="auto"/>
              <w:right w:val="single" w:sz="4" w:space="0" w:color="auto"/>
            </w:tcBorders>
            <w:shd w:val="clear" w:color="auto" w:fill="auto"/>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72 213 055,66</w:t>
            </w:r>
          </w:p>
        </w:tc>
        <w:tc>
          <w:tcPr>
            <w:tcW w:w="1560" w:type="dxa"/>
            <w:tcBorders>
              <w:top w:val="nil"/>
              <w:left w:val="nil"/>
              <w:bottom w:val="single" w:sz="4" w:space="0" w:color="auto"/>
              <w:right w:val="single" w:sz="4" w:space="0" w:color="auto"/>
            </w:tcBorders>
            <w:shd w:val="clear" w:color="auto" w:fill="auto"/>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16 196 643,11</w:t>
            </w:r>
          </w:p>
        </w:tc>
        <w:tc>
          <w:tcPr>
            <w:tcW w:w="1560" w:type="dxa"/>
            <w:tcBorders>
              <w:top w:val="nil"/>
              <w:left w:val="nil"/>
              <w:bottom w:val="single" w:sz="4" w:space="0" w:color="auto"/>
              <w:right w:val="single" w:sz="4" w:space="0" w:color="auto"/>
            </w:tcBorders>
            <w:shd w:val="clear" w:color="auto" w:fill="auto"/>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88 409 698,77</w:t>
            </w:r>
          </w:p>
        </w:tc>
      </w:tr>
      <w:tr w:rsidR="002B3045" w:rsidTr="002B3045">
        <w:trPr>
          <w:trHeight w:val="300"/>
        </w:trPr>
        <w:tc>
          <w:tcPr>
            <w:tcW w:w="1000" w:type="dxa"/>
            <w:tcBorders>
              <w:top w:val="nil"/>
              <w:left w:val="single" w:sz="4" w:space="0" w:color="auto"/>
              <w:bottom w:val="single" w:sz="4" w:space="0" w:color="auto"/>
              <w:right w:val="single" w:sz="4" w:space="0" w:color="auto"/>
            </w:tcBorders>
            <w:shd w:val="clear" w:color="DBDBDB" w:fill="D9D9D9"/>
            <w:noWrap/>
            <w:vAlign w:val="center"/>
            <w:hideMark/>
          </w:tcPr>
          <w:p w:rsidR="002B3045" w:rsidRDefault="002B3045">
            <w:pPr>
              <w:rPr>
                <w:rFonts w:ascii="Calibri" w:hAnsi="Calibri" w:cs="Calibri"/>
                <w:color w:val="000000"/>
                <w:sz w:val="20"/>
                <w:szCs w:val="20"/>
              </w:rPr>
            </w:pPr>
            <w:r>
              <w:rPr>
                <w:rFonts w:ascii="Calibri" w:hAnsi="Calibri" w:cs="Calibri"/>
                <w:color w:val="000000"/>
                <w:sz w:val="20"/>
                <w:szCs w:val="20"/>
              </w:rPr>
              <w:t>Červen</w:t>
            </w:r>
          </w:p>
        </w:tc>
        <w:tc>
          <w:tcPr>
            <w:tcW w:w="1560" w:type="dxa"/>
            <w:tcBorders>
              <w:top w:val="nil"/>
              <w:left w:val="nil"/>
              <w:bottom w:val="single" w:sz="4" w:space="0" w:color="auto"/>
              <w:right w:val="single" w:sz="4" w:space="0" w:color="auto"/>
            </w:tcBorders>
            <w:shd w:val="clear" w:color="000000" w:fill="D9D9D9"/>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97 183 578,73</w:t>
            </w:r>
          </w:p>
        </w:tc>
        <w:tc>
          <w:tcPr>
            <w:tcW w:w="1560" w:type="dxa"/>
            <w:tcBorders>
              <w:top w:val="nil"/>
              <w:left w:val="nil"/>
              <w:bottom w:val="single" w:sz="4" w:space="0" w:color="auto"/>
              <w:right w:val="single" w:sz="4" w:space="0" w:color="auto"/>
            </w:tcBorders>
            <w:shd w:val="clear" w:color="DBDBDB" w:fill="D9D9D9"/>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32 184 985,56</w:t>
            </w:r>
          </w:p>
        </w:tc>
        <w:tc>
          <w:tcPr>
            <w:tcW w:w="1560" w:type="dxa"/>
            <w:tcBorders>
              <w:top w:val="nil"/>
              <w:left w:val="nil"/>
              <w:bottom w:val="single" w:sz="4" w:space="0" w:color="auto"/>
              <w:right w:val="single" w:sz="4" w:space="0" w:color="auto"/>
            </w:tcBorders>
            <w:shd w:val="clear" w:color="DBDBDB" w:fill="D9D9D9"/>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129 368 564,29</w:t>
            </w:r>
          </w:p>
        </w:tc>
      </w:tr>
      <w:tr w:rsidR="002B3045" w:rsidTr="002B3045">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2B3045" w:rsidRDefault="002B3045">
            <w:pPr>
              <w:rPr>
                <w:rFonts w:ascii="Calibri" w:hAnsi="Calibri" w:cs="Calibri"/>
                <w:color w:val="000000"/>
                <w:sz w:val="20"/>
                <w:szCs w:val="20"/>
              </w:rPr>
            </w:pPr>
            <w:r>
              <w:rPr>
                <w:rFonts w:ascii="Calibri" w:hAnsi="Calibri" w:cs="Calibri"/>
                <w:color w:val="000000"/>
                <w:sz w:val="20"/>
                <w:szCs w:val="20"/>
              </w:rPr>
              <w:t>Červenec</w:t>
            </w:r>
          </w:p>
        </w:tc>
        <w:tc>
          <w:tcPr>
            <w:tcW w:w="1560" w:type="dxa"/>
            <w:tcBorders>
              <w:top w:val="nil"/>
              <w:left w:val="nil"/>
              <w:bottom w:val="single" w:sz="4" w:space="0" w:color="auto"/>
              <w:right w:val="single" w:sz="4" w:space="0" w:color="auto"/>
            </w:tcBorders>
            <w:shd w:val="clear" w:color="auto" w:fill="auto"/>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83 996 765,80</w:t>
            </w:r>
          </w:p>
        </w:tc>
        <w:tc>
          <w:tcPr>
            <w:tcW w:w="1560" w:type="dxa"/>
            <w:tcBorders>
              <w:top w:val="nil"/>
              <w:left w:val="nil"/>
              <w:bottom w:val="single" w:sz="4" w:space="0" w:color="auto"/>
              <w:right w:val="single" w:sz="4" w:space="0" w:color="auto"/>
            </w:tcBorders>
            <w:shd w:val="clear" w:color="auto" w:fill="auto"/>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16 046 362,90</w:t>
            </w:r>
          </w:p>
        </w:tc>
        <w:tc>
          <w:tcPr>
            <w:tcW w:w="1560" w:type="dxa"/>
            <w:tcBorders>
              <w:top w:val="nil"/>
              <w:left w:val="nil"/>
              <w:bottom w:val="single" w:sz="4" w:space="0" w:color="auto"/>
              <w:right w:val="single" w:sz="4" w:space="0" w:color="auto"/>
            </w:tcBorders>
            <w:shd w:val="clear" w:color="auto" w:fill="auto"/>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100 043 128,70</w:t>
            </w:r>
          </w:p>
        </w:tc>
      </w:tr>
      <w:tr w:rsidR="002B3045" w:rsidTr="002B3045">
        <w:trPr>
          <w:trHeight w:val="300"/>
        </w:trPr>
        <w:tc>
          <w:tcPr>
            <w:tcW w:w="1000" w:type="dxa"/>
            <w:tcBorders>
              <w:top w:val="nil"/>
              <w:left w:val="single" w:sz="4" w:space="0" w:color="auto"/>
              <w:bottom w:val="single" w:sz="4" w:space="0" w:color="auto"/>
              <w:right w:val="single" w:sz="4" w:space="0" w:color="auto"/>
            </w:tcBorders>
            <w:shd w:val="clear" w:color="DBDBDB" w:fill="D9D9D9"/>
            <w:noWrap/>
            <w:vAlign w:val="center"/>
            <w:hideMark/>
          </w:tcPr>
          <w:p w:rsidR="002B3045" w:rsidRDefault="002B3045">
            <w:pPr>
              <w:rPr>
                <w:rFonts w:ascii="Calibri" w:hAnsi="Calibri" w:cs="Calibri"/>
                <w:color w:val="000000"/>
                <w:sz w:val="20"/>
                <w:szCs w:val="20"/>
              </w:rPr>
            </w:pPr>
            <w:r>
              <w:rPr>
                <w:rFonts w:ascii="Calibri" w:hAnsi="Calibri" w:cs="Calibri"/>
                <w:color w:val="000000"/>
                <w:sz w:val="20"/>
                <w:szCs w:val="20"/>
              </w:rPr>
              <w:t>Srpen</w:t>
            </w:r>
          </w:p>
        </w:tc>
        <w:tc>
          <w:tcPr>
            <w:tcW w:w="1560" w:type="dxa"/>
            <w:tcBorders>
              <w:top w:val="nil"/>
              <w:left w:val="nil"/>
              <w:bottom w:val="single" w:sz="4" w:space="0" w:color="auto"/>
              <w:right w:val="single" w:sz="4" w:space="0" w:color="auto"/>
            </w:tcBorders>
            <w:shd w:val="clear" w:color="000000" w:fill="D9D9D9"/>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62 349 894,60</w:t>
            </w:r>
          </w:p>
        </w:tc>
        <w:tc>
          <w:tcPr>
            <w:tcW w:w="1560" w:type="dxa"/>
            <w:tcBorders>
              <w:top w:val="nil"/>
              <w:left w:val="nil"/>
              <w:bottom w:val="single" w:sz="4" w:space="0" w:color="auto"/>
              <w:right w:val="single" w:sz="4" w:space="0" w:color="auto"/>
            </w:tcBorders>
            <w:shd w:val="clear" w:color="DBDBDB" w:fill="D9D9D9"/>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26 662 649,65</w:t>
            </w:r>
          </w:p>
        </w:tc>
        <w:tc>
          <w:tcPr>
            <w:tcW w:w="1560" w:type="dxa"/>
            <w:tcBorders>
              <w:top w:val="nil"/>
              <w:left w:val="nil"/>
              <w:bottom w:val="single" w:sz="4" w:space="0" w:color="auto"/>
              <w:right w:val="single" w:sz="4" w:space="0" w:color="auto"/>
            </w:tcBorders>
            <w:shd w:val="clear" w:color="DBDBDB" w:fill="D9D9D9"/>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89 012 544,25</w:t>
            </w:r>
          </w:p>
        </w:tc>
      </w:tr>
      <w:tr w:rsidR="002B3045" w:rsidTr="002B3045">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2B3045" w:rsidRDefault="002B3045">
            <w:pPr>
              <w:rPr>
                <w:rFonts w:ascii="Calibri" w:hAnsi="Calibri" w:cs="Calibri"/>
                <w:color w:val="000000"/>
                <w:sz w:val="20"/>
                <w:szCs w:val="20"/>
              </w:rPr>
            </w:pPr>
            <w:r>
              <w:rPr>
                <w:rFonts w:ascii="Calibri" w:hAnsi="Calibri" w:cs="Calibri"/>
                <w:color w:val="000000"/>
                <w:sz w:val="20"/>
                <w:szCs w:val="20"/>
              </w:rPr>
              <w:t>Září</w:t>
            </w:r>
          </w:p>
        </w:tc>
        <w:tc>
          <w:tcPr>
            <w:tcW w:w="1560" w:type="dxa"/>
            <w:tcBorders>
              <w:top w:val="nil"/>
              <w:left w:val="nil"/>
              <w:bottom w:val="single" w:sz="4" w:space="0" w:color="auto"/>
              <w:right w:val="single" w:sz="4" w:space="0" w:color="auto"/>
            </w:tcBorders>
            <w:shd w:val="clear" w:color="auto" w:fill="auto"/>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61 643 932,72</w:t>
            </w:r>
          </w:p>
        </w:tc>
        <w:tc>
          <w:tcPr>
            <w:tcW w:w="1560" w:type="dxa"/>
            <w:tcBorders>
              <w:top w:val="nil"/>
              <w:left w:val="nil"/>
              <w:bottom w:val="single" w:sz="4" w:space="0" w:color="auto"/>
              <w:right w:val="single" w:sz="4" w:space="0" w:color="auto"/>
            </w:tcBorders>
            <w:shd w:val="clear" w:color="auto" w:fill="auto"/>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17 738 858,89</w:t>
            </w:r>
          </w:p>
        </w:tc>
        <w:tc>
          <w:tcPr>
            <w:tcW w:w="1560" w:type="dxa"/>
            <w:tcBorders>
              <w:top w:val="nil"/>
              <w:left w:val="nil"/>
              <w:bottom w:val="single" w:sz="4" w:space="0" w:color="auto"/>
              <w:right w:val="single" w:sz="4" w:space="0" w:color="auto"/>
            </w:tcBorders>
            <w:shd w:val="clear" w:color="auto" w:fill="auto"/>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79 382 791,61</w:t>
            </w:r>
          </w:p>
        </w:tc>
      </w:tr>
      <w:tr w:rsidR="002B3045" w:rsidTr="002B3045">
        <w:trPr>
          <w:trHeight w:val="300"/>
        </w:trPr>
        <w:tc>
          <w:tcPr>
            <w:tcW w:w="1000" w:type="dxa"/>
            <w:tcBorders>
              <w:top w:val="nil"/>
              <w:left w:val="single" w:sz="4" w:space="0" w:color="auto"/>
              <w:bottom w:val="single" w:sz="4" w:space="0" w:color="auto"/>
              <w:right w:val="single" w:sz="4" w:space="0" w:color="auto"/>
            </w:tcBorders>
            <w:shd w:val="clear" w:color="DBDBDB" w:fill="D9D9D9"/>
            <w:noWrap/>
            <w:vAlign w:val="center"/>
            <w:hideMark/>
          </w:tcPr>
          <w:p w:rsidR="002B3045" w:rsidRDefault="002B3045">
            <w:pPr>
              <w:rPr>
                <w:rFonts w:ascii="Calibri" w:hAnsi="Calibri" w:cs="Calibri"/>
                <w:color w:val="000000"/>
                <w:sz w:val="20"/>
                <w:szCs w:val="20"/>
              </w:rPr>
            </w:pPr>
            <w:r>
              <w:rPr>
                <w:rFonts w:ascii="Calibri" w:hAnsi="Calibri" w:cs="Calibri"/>
                <w:color w:val="000000"/>
                <w:sz w:val="20"/>
                <w:szCs w:val="20"/>
              </w:rPr>
              <w:t>Říjen</w:t>
            </w:r>
          </w:p>
        </w:tc>
        <w:tc>
          <w:tcPr>
            <w:tcW w:w="1560" w:type="dxa"/>
            <w:tcBorders>
              <w:top w:val="nil"/>
              <w:left w:val="nil"/>
              <w:bottom w:val="single" w:sz="4" w:space="0" w:color="auto"/>
              <w:right w:val="single" w:sz="4" w:space="0" w:color="auto"/>
            </w:tcBorders>
            <w:shd w:val="clear" w:color="000000" w:fill="D9D9D9"/>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94 950 526,25</w:t>
            </w:r>
          </w:p>
        </w:tc>
        <w:tc>
          <w:tcPr>
            <w:tcW w:w="1560" w:type="dxa"/>
            <w:tcBorders>
              <w:top w:val="nil"/>
              <w:left w:val="nil"/>
              <w:bottom w:val="single" w:sz="4" w:space="0" w:color="auto"/>
              <w:right w:val="single" w:sz="4" w:space="0" w:color="auto"/>
            </w:tcBorders>
            <w:shd w:val="clear" w:color="DBDBDB" w:fill="D9D9D9"/>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20 594 486,14</w:t>
            </w:r>
          </w:p>
        </w:tc>
        <w:tc>
          <w:tcPr>
            <w:tcW w:w="1560" w:type="dxa"/>
            <w:tcBorders>
              <w:top w:val="nil"/>
              <w:left w:val="nil"/>
              <w:bottom w:val="single" w:sz="4" w:space="0" w:color="auto"/>
              <w:right w:val="single" w:sz="4" w:space="0" w:color="auto"/>
            </w:tcBorders>
            <w:shd w:val="clear" w:color="DBDBDB" w:fill="D9D9D9"/>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115 545 012,39</w:t>
            </w:r>
          </w:p>
        </w:tc>
      </w:tr>
      <w:tr w:rsidR="002B3045" w:rsidTr="002B3045">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2B3045" w:rsidRDefault="002B3045">
            <w:pPr>
              <w:rPr>
                <w:rFonts w:ascii="Calibri" w:hAnsi="Calibri" w:cs="Calibri"/>
                <w:color w:val="000000"/>
                <w:sz w:val="20"/>
                <w:szCs w:val="20"/>
              </w:rPr>
            </w:pPr>
            <w:r>
              <w:rPr>
                <w:rFonts w:ascii="Calibri" w:hAnsi="Calibri" w:cs="Calibri"/>
                <w:color w:val="000000"/>
                <w:sz w:val="20"/>
                <w:szCs w:val="20"/>
              </w:rPr>
              <w:t>Listopad</w:t>
            </w:r>
          </w:p>
        </w:tc>
        <w:tc>
          <w:tcPr>
            <w:tcW w:w="1560" w:type="dxa"/>
            <w:tcBorders>
              <w:top w:val="nil"/>
              <w:left w:val="nil"/>
              <w:bottom w:val="single" w:sz="4" w:space="0" w:color="auto"/>
              <w:right w:val="single" w:sz="4" w:space="0" w:color="auto"/>
            </w:tcBorders>
            <w:shd w:val="clear" w:color="auto" w:fill="auto"/>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72 028 378,17</w:t>
            </w:r>
          </w:p>
        </w:tc>
        <w:tc>
          <w:tcPr>
            <w:tcW w:w="1560" w:type="dxa"/>
            <w:tcBorders>
              <w:top w:val="nil"/>
              <w:left w:val="nil"/>
              <w:bottom w:val="single" w:sz="4" w:space="0" w:color="auto"/>
              <w:right w:val="single" w:sz="4" w:space="0" w:color="auto"/>
            </w:tcBorders>
            <w:shd w:val="clear" w:color="auto" w:fill="auto"/>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21 267 536,16</w:t>
            </w:r>
          </w:p>
        </w:tc>
        <w:tc>
          <w:tcPr>
            <w:tcW w:w="1560" w:type="dxa"/>
            <w:tcBorders>
              <w:top w:val="nil"/>
              <w:left w:val="nil"/>
              <w:bottom w:val="single" w:sz="4" w:space="0" w:color="auto"/>
              <w:right w:val="single" w:sz="4" w:space="0" w:color="auto"/>
            </w:tcBorders>
            <w:shd w:val="clear" w:color="auto" w:fill="auto"/>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93 295 914,33</w:t>
            </w:r>
          </w:p>
        </w:tc>
      </w:tr>
      <w:tr w:rsidR="002B3045" w:rsidTr="002B3045">
        <w:trPr>
          <w:trHeight w:val="300"/>
        </w:trPr>
        <w:tc>
          <w:tcPr>
            <w:tcW w:w="1000" w:type="dxa"/>
            <w:tcBorders>
              <w:top w:val="nil"/>
              <w:left w:val="single" w:sz="4" w:space="0" w:color="auto"/>
              <w:bottom w:val="single" w:sz="4" w:space="0" w:color="auto"/>
              <w:right w:val="single" w:sz="4" w:space="0" w:color="auto"/>
            </w:tcBorders>
            <w:shd w:val="clear" w:color="DBDBDB" w:fill="D9D9D9"/>
            <w:noWrap/>
            <w:vAlign w:val="center"/>
            <w:hideMark/>
          </w:tcPr>
          <w:p w:rsidR="002B3045" w:rsidRDefault="002B3045">
            <w:pPr>
              <w:rPr>
                <w:rFonts w:ascii="Calibri" w:hAnsi="Calibri" w:cs="Calibri"/>
                <w:color w:val="000000"/>
                <w:sz w:val="20"/>
                <w:szCs w:val="20"/>
              </w:rPr>
            </w:pPr>
            <w:r>
              <w:rPr>
                <w:rFonts w:ascii="Calibri" w:hAnsi="Calibri" w:cs="Calibri"/>
                <w:color w:val="000000"/>
                <w:sz w:val="20"/>
                <w:szCs w:val="20"/>
              </w:rPr>
              <w:t>Prosinec</w:t>
            </w:r>
          </w:p>
        </w:tc>
        <w:tc>
          <w:tcPr>
            <w:tcW w:w="1560" w:type="dxa"/>
            <w:tcBorders>
              <w:top w:val="nil"/>
              <w:left w:val="nil"/>
              <w:bottom w:val="single" w:sz="4" w:space="0" w:color="auto"/>
              <w:right w:val="single" w:sz="4" w:space="0" w:color="auto"/>
            </w:tcBorders>
            <w:shd w:val="clear" w:color="000000" w:fill="D9D9D9"/>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103 482 140,27</w:t>
            </w:r>
          </w:p>
        </w:tc>
        <w:tc>
          <w:tcPr>
            <w:tcW w:w="1560" w:type="dxa"/>
            <w:tcBorders>
              <w:top w:val="nil"/>
              <w:left w:val="nil"/>
              <w:bottom w:val="single" w:sz="4" w:space="0" w:color="auto"/>
              <w:right w:val="single" w:sz="4" w:space="0" w:color="auto"/>
            </w:tcBorders>
            <w:shd w:val="clear" w:color="DBDBDB" w:fill="D9D9D9"/>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57 755 428,12</w:t>
            </w:r>
          </w:p>
        </w:tc>
        <w:tc>
          <w:tcPr>
            <w:tcW w:w="1560" w:type="dxa"/>
            <w:tcBorders>
              <w:top w:val="nil"/>
              <w:left w:val="nil"/>
              <w:bottom w:val="single" w:sz="4" w:space="0" w:color="auto"/>
              <w:right w:val="single" w:sz="4" w:space="0" w:color="auto"/>
            </w:tcBorders>
            <w:shd w:val="clear" w:color="DBDBDB" w:fill="D9D9D9"/>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161 237 568,39</w:t>
            </w:r>
          </w:p>
        </w:tc>
      </w:tr>
      <w:tr w:rsidR="002B3045" w:rsidTr="002B3045">
        <w:trPr>
          <w:trHeight w:val="300"/>
        </w:trPr>
        <w:tc>
          <w:tcPr>
            <w:tcW w:w="1000" w:type="dxa"/>
            <w:tcBorders>
              <w:top w:val="nil"/>
              <w:left w:val="single" w:sz="4" w:space="0" w:color="auto"/>
              <w:bottom w:val="single" w:sz="4" w:space="0" w:color="auto"/>
              <w:right w:val="single" w:sz="4" w:space="0" w:color="auto"/>
            </w:tcBorders>
            <w:shd w:val="clear" w:color="C5E0B4" w:fill="8EA9DB"/>
            <w:noWrap/>
            <w:vAlign w:val="center"/>
            <w:hideMark/>
          </w:tcPr>
          <w:p w:rsidR="002B3045" w:rsidRDefault="002B3045">
            <w:pPr>
              <w:rPr>
                <w:rFonts w:ascii="Calibri" w:hAnsi="Calibri" w:cs="Calibri"/>
                <w:b/>
                <w:bCs/>
                <w:color w:val="000000"/>
                <w:sz w:val="20"/>
                <w:szCs w:val="20"/>
              </w:rPr>
            </w:pPr>
            <w:r>
              <w:rPr>
                <w:rFonts w:ascii="Calibri" w:hAnsi="Calibri" w:cs="Calibri"/>
                <w:b/>
                <w:bCs/>
                <w:color w:val="000000"/>
                <w:sz w:val="20"/>
                <w:szCs w:val="20"/>
              </w:rPr>
              <w:t>Celkem</w:t>
            </w:r>
          </w:p>
        </w:tc>
        <w:tc>
          <w:tcPr>
            <w:tcW w:w="1560" w:type="dxa"/>
            <w:tcBorders>
              <w:top w:val="nil"/>
              <w:left w:val="nil"/>
              <w:bottom w:val="single" w:sz="4" w:space="0" w:color="auto"/>
              <w:right w:val="single" w:sz="4" w:space="0" w:color="auto"/>
            </w:tcBorders>
            <w:shd w:val="clear" w:color="C5E0B4" w:fill="8EA9DB"/>
            <w:noWrap/>
            <w:vAlign w:val="center"/>
            <w:hideMark/>
          </w:tcPr>
          <w:p w:rsidR="002B3045" w:rsidRDefault="002B3045">
            <w:pPr>
              <w:jc w:val="right"/>
              <w:rPr>
                <w:rFonts w:ascii="Calibri" w:hAnsi="Calibri" w:cs="Calibri"/>
                <w:b/>
                <w:bCs/>
                <w:color w:val="000000"/>
                <w:sz w:val="20"/>
                <w:szCs w:val="20"/>
              </w:rPr>
            </w:pPr>
            <w:r>
              <w:rPr>
                <w:rFonts w:ascii="Calibri" w:hAnsi="Calibri" w:cs="Calibri"/>
                <w:b/>
                <w:bCs/>
                <w:color w:val="000000"/>
                <w:sz w:val="20"/>
                <w:szCs w:val="20"/>
              </w:rPr>
              <w:t>916 738 437,70</w:t>
            </w:r>
          </w:p>
        </w:tc>
        <w:tc>
          <w:tcPr>
            <w:tcW w:w="1560" w:type="dxa"/>
            <w:tcBorders>
              <w:top w:val="nil"/>
              <w:left w:val="nil"/>
              <w:bottom w:val="single" w:sz="4" w:space="0" w:color="auto"/>
              <w:right w:val="single" w:sz="4" w:space="0" w:color="auto"/>
            </w:tcBorders>
            <w:shd w:val="clear" w:color="C5E0B4" w:fill="8EA9DB"/>
            <w:noWrap/>
            <w:vAlign w:val="center"/>
            <w:hideMark/>
          </w:tcPr>
          <w:p w:rsidR="002B3045" w:rsidRDefault="002B3045">
            <w:pPr>
              <w:jc w:val="right"/>
              <w:rPr>
                <w:rFonts w:ascii="Calibri" w:hAnsi="Calibri" w:cs="Calibri"/>
                <w:b/>
                <w:bCs/>
                <w:color w:val="000000"/>
                <w:sz w:val="20"/>
                <w:szCs w:val="20"/>
              </w:rPr>
            </w:pPr>
            <w:r>
              <w:rPr>
                <w:rFonts w:ascii="Calibri" w:hAnsi="Calibri" w:cs="Calibri"/>
                <w:b/>
                <w:bCs/>
                <w:color w:val="000000"/>
                <w:sz w:val="20"/>
                <w:szCs w:val="20"/>
              </w:rPr>
              <w:t>237 799 832,15</w:t>
            </w:r>
          </w:p>
        </w:tc>
        <w:tc>
          <w:tcPr>
            <w:tcW w:w="1560" w:type="dxa"/>
            <w:tcBorders>
              <w:top w:val="nil"/>
              <w:left w:val="nil"/>
              <w:bottom w:val="single" w:sz="4" w:space="0" w:color="auto"/>
              <w:right w:val="single" w:sz="4" w:space="0" w:color="auto"/>
            </w:tcBorders>
            <w:shd w:val="clear" w:color="C5E0B4" w:fill="8EA9DB"/>
            <w:noWrap/>
            <w:vAlign w:val="center"/>
            <w:hideMark/>
          </w:tcPr>
          <w:p w:rsidR="002B3045" w:rsidRDefault="002B3045">
            <w:pPr>
              <w:jc w:val="right"/>
              <w:rPr>
                <w:rFonts w:ascii="Calibri" w:hAnsi="Calibri" w:cs="Calibri"/>
                <w:b/>
                <w:bCs/>
                <w:color w:val="000000"/>
                <w:sz w:val="20"/>
                <w:szCs w:val="20"/>
              </w:rPr>
            </w:pPr>
            <w:r>
              <w:rPr>
                <w:rFonts w:ascii="Calibri" w:hAnsi="Calibri" w:cs="Calibri"/>
                <w:b/>
                <w:bCs/>
                <w:color w:val="000000"/>
                <w:sz w:val="20"/>
                <w:szCs w:val="20"/>
              </w:rPr>
              <w:t>1 154 538 269,85</w:t>
            </w:r>
          </w:p>
        </w:tc>
      </w:tr>
    </w:tbl>
    <w:p w:rsidR="005D3A64" w:rsidRDefault="005D3A64" w:rsidP="005D3A64"/>
    <w:p w:rsidR="005D3A64" w:rsidRPr="005D3A64" w:rsidRDefault="005D3A64" w:rsidP="005D3A64"/>
    <w:p w:rsidR="0095529E" w:rsidRDefault="002B3045" w:rsidP="0095529E">
      <w:r>
        <w:rPr>
          <w:noProof/>
        </w:rPr>
        <w:drawing>
          <wp:inline distT="0" distB="0" distL="0" distR="0" wp14:anchorId="0137C480" wp14:editId="6F6B295D">
            <wp:extent cx="6030595" cy="3048000"/>
            <wp:effectExtent l="0" t="0" r="8255" b="0"/>
            <wp:docPr id="43" name="Graf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95529E" w:rsidRPr="0095529E" w:rsidRDefault="0095529E" w:rsidP="0095529E"/>
    <w:p w:rsidR="00910CD6" w:rsidRDefault="00910CD6" w:rsidP="00910CD6"/>
    <w:p w:rsidR="00163BE1" w:rsidRDefault="00163BE1" w:rsidP="00910CD6"/>
    <w:p w:rsidR="00163BE1" w:rsidRDefault="00163BE1" w:rsidP="00910CD6"/>
    <w:p w:rsidR="00910CD6" w:rsidRPr="00910CD6" w:rsidRDefault="00910CD6" w:rsidP="00910CD6"/>
    <w:p w:rsidR="00C56CF2" w:rsidRDefault="00C56CF2" w:rsidP="00C56CF2"/>
    <w:p w:rsidR="00C56CF2" w:rsidRDefault="00C56CF2" w:rsidP="00C56CF2"/>
    <w:p w:rsidR="00CE71D4" w:rsidRDefault="00CE71D4" w:rsidP="00C56CF2"/>
    <w:p w:rsidR="00C56CF2" w:rsidRPr="00C56CF2" w:rsidRDefault="00C56CF2" w:rsidP="00C56CF2"/>
    <w:p w:rsidR="00540829" w:rsidRDefault="00540829" w:rsidP="00784AF3">
      <w:pPr>
        <w:spacing w:after="120"/>
        <w:rPr>
          <w:noProof/>
          <w:sz w:val="20"/>
          <w:szCs w:val="20"/>
        </w:rPr>
      </w:pPr>
    </w:p>
    <w:p w:rsidR="00BC7E6A" w:rsidRDefault="00BC7E6A" w:rsidP="00784AF3">
      <w:pPr>
        <w:spacing w:after="120"/>
        <w:rPr>
          <w:noProof/>
          <w:sz w:val="20"/>
          <w:szCs w:val="20"/>
        </w:rPr>
      </w:pPr>
    </w:p>
    <w:p w:rsidR="00451189" w:rsidRDefault="00451189" w:rsidP="00784AF3">
      <w:pPr>
        <w:spacing w:after="120"/>
        <w:rPr>
          <w:noProof/>
          <w:sz w:val="20"/>
          <w:szCs w:val="20"/>
        </w:rPr>
      </w:pPr>
    </w:p>
    <w:p w:rsidR="00451189" w:rsidRPr="00D14A72" w:rsidRDefault="00451189" w:rsidP="00784AF3">
      <w:pPr>
        <w:spacing w:after="120"/>
        <w:rPr>
          <w:noProof/>
          <w:sz w:val="20"/>
          <w:szCs w:val="20"/>
        </w:rPr>
      </w:pPr>
    </w:p>
    <w:p w:rsidR="00912514" w:rsidRDefault="00451189" w:rsidP="0024764D">
      <w:pPr>
        <w:pStyle w:val="Nadpis3"/>
        <w:rPr>
          <w:b w:val="0"/>
        </w:rPr>
      </w:pPr>
      <w:r>
        <w:br w:type="page"/>
      </w:r>
      <w:bookmarkStart w:id="46" w:name="_Toc39129533"/>
      <w:r w:rsidR="00662642" w:rsidRPr="0068190F">
        <w:rPr>
          <w:b w:val="0"/>
        </w:rPr>
        <w:lastRenderedPageBreak/>
        <w:t xml:space="preserve">Saldo provozního přebytku/deficitu </w:t>
      </w:r>
      <w:r w:rsidR="002A4CF0" w:rsidRPr="0068190F">
        <w:rPr>
          <w:b w:val="0"/>
        </w:rPr>
        <w:t>po měsících</w:t>
      </w:r>
      <w:r w:rsidR="007D2991" w:rsidRPr="0068190F">
        <w:rPr>
          <w:b w:val="0"/>
        </w:rPr>
        <w:t xml:space="preserve"> – </w:t>
      </w:r>
      <w:r w:rsidR="000C3B39" w:rsidRPr="0068190F">
        <w:rPr>
          <w:b w:val="0"/>
        </w:rPr>
        <w:t>rok 202</w:t>
      </w:r>
      <w:r w:rsidR="002B3045">
        <w:rPr>
          <w:b w:val="0"/>
        </w:rPr>
        <w:t>2</w:t>
      </w:r>
      <w:r w:rsidR="009541C1" w:rsidRPr="0068190F">
        <w:rPr>
          <w:b w:val="0"/>
        </w:rPr>
        <w:t xml:space="preserve"> (v Kč)</w:t>
      </w:r>
      <w:bookmarkEnd w:id="46"/>
    </w:p>
    <w:tbl>
      <w:tblPr>
        <w:tblW w:w="5700" w:type="dxa"/>
        <w:tblCellMar>
          <w:left w:w="70" w:type="dxa"/>
          <w:right w:w="70" w:type="dxa"/>
        </w:tblCellMar>
        <w:tblLook w:val="04A0" w:firstRow="1" w:lastRow="0" w:firstColumn="1" w:lastColumn="0" w:noHBand="0" w:noVBand="1"/>
      </w:tblPr>
      <w:tblGrid>
        <w:gridCol w:w="960"/>
        <w:gridCol w:w="1644"/>
        <w:gridCol w:w="1476"/>
        <w:gridCol w:w="1620"/>
      </w:tblGrid>
      <w:tr w:rsidR="002B3045" w:rsidTr="002B3045">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63993F" w:fill="B4C6E7"/>
            <w:noWrap/>
            <w:vAlign w:val="center"/>
            <w:hideMark/>
          </w:tcPr>
          <w:p w:rsidR="002B3045" w:rsidRDefault="002B3045">
            <w:pPr>
              <w:jc w:val="center"/>
              <w:rPr>
                <w:rFonts w:ascii="Calibri" w:hAnsi="Calibri" w:cs="Calibri"/>
                <w:b/>
                <w:bCs/>
                <w:color w:val="000000"/>
                <w:sz w:val="20"/>
                <w:szCs w:val="20"/>
              </w:rPr>
            </w:pPr>
            <w:r>
              <w:rPr>
                <w:rFonts w:ascii="Calibri" w:hAnsi="Calibri" w:cs="Calibri"/>
                <w:b/>
                <w:bCs/>
                <w:color w:val="000000"/>
                <w:sz w:val="20"/>
                <w:szCs w:val="20"/>
              </w:rPr>
              <w:t>Měsíc</w:t>
            </w:r>
          </w:p>
        </w:tc>
        <w:tc>
          <w:tcPr>
            <w:tcW w:w="3120" w:type="dxa"/>
            <w:gridSpan w:val="2"/>
            <w:tcBorders>
              <w:top w:val="single" w:sz="4" w:space="0" w:color="auto"/>
              <w:left w:val="nil"/>
              <w:bottom w:val="single" w:sz="4" w:space="0" w:color="auto"/>
              <w:right w:val="single" w:sz="4" w:space="0" w:color="auto"/>
            </w:tcBorders>
            <w:shd w:val="clear" w:color="63993F" w:fill="B4C6E7"/>
            <w:noWrap/>
            <w:vAlign w:val="center"/>
            <w:hideMark/>
          </w:tcPr>
          <w:p w:rsidR="002B3045" w:rsidRDefault="002B3045">
            <w:pPr>
              <w:jc w:val="center"/>
              <w:rPr>
                <w:rFonts w:ascii="Calibri" w:hAnsi="Calibri" w:cs="Calibri"/>
                <w:b/>
                <w:bCs/>
                <w:color w:val="000000"/>
                <w:sz w:val="20"/>
                <w:szCs w:val="20"/>
              </w:rPr>
            </w:pPr>
            <w:r>
              <w:rPr>
                <w:rFonts w:ascii="Calibri" w:hAnsi="Calibri" w:cs="Calibri"/>
                <w:b/>
                <w:bCs/>
                <w:color w:val="000000"/>
                <w:sz w:val="20"/>
                <w:szCs w:val="20"/>
              </w:rPr>
              <w:t>Běžné</w:t>
            </w:r>
          </w:p>
        </w:tc>
        <w:tc>
          <w:tcPr>
            <w:tcW w:w="1620" w:type="dxa"/>
            <w:vMerge w:val="restart"/>
            <w:tcBorders>
              <w:top w:val="single" w:sz="4" w:space="0" w:color="auto"/>
              <w:left w:val="single" w:sz="4" w:space="0" w:color="auto"/>
              <w:bottom w:val="single" w:sz="4" w:space="0" w:color="auto"/>
              <w:right w:val="single" w:sz="4" w:space="0" w:color="auto"/>
            </w:tcBorders>
            <w:shd w:val="clear" w:color="63993F" w:fill="B4C6E7"/>
            <w:noWrap/>
            <w:vAlign w:val="center"/>
            <w:hideMark/>
          </w:tcPr>
          <w:p w:rsidR="002B3045" w:rsidRDefault="002B3045">
            <w:pPr>
              <w:jc w:val="center"/>
              <w:rPr>
                <w:rFonts w:ascii="Calibri" w:hAnsi="Calibri" w:cs="Calibri"/>
                <w:b/>
                <w:bCs/>
                <w:color w:val="000000"/>
                <w:sz w:val="20"/>
                <w:szCs w:val="20"/>
              </w:rPr>
            </w:pPr>
            <w:r>
              <w:rPr>
                <w:rFonts w:ascii="Calibri" w:hAnsi="Calibri" w:cs="Calibri"/>
                <w:b/>
                <w:bCs/>
                <w:color w:val="000000"/>
                <w:sz w:val="20"/>
                <w:szCs w:val="20"/>
              </w:rPr>
              <w:t>Saldo</w:t>
            </w:r>
          </w:p>
        </w:tc>
      </w:tr>
      <w:tr w:rsidR="002B3045" w:rsidTr="002B3045">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2B3045" w:rsidRDefault="002B3045">
            <w:pPr>
              <w:rPr>
                <w:rFonts w:ascii="Calibri" w:hAnsi="Calibri" w:cs="Calibri"/>
                <w:b/>
                <w:bCs/>
                <w:color w:val="000000"/>
                <w:sz w:val="20"/>
                <w:szCs w:val="20"/>
              </w:rPr>
            </w:pPr>
          </w:p>
        </w:tc>
        <w:tc>
          <w:tcPr>
            <w:tcW w:w="1644" w:type="dxa"/>
            <w:tcBorders>
              <w:top w:val="nil"/>
              <w:left w:val="nil"/>
              <w:bottom w:val="single" w:sz="4" w:space="0" w:color="auto"/>
              <w:right w:val="single" w:sz="4" w:space="0" w:color="auto"/>
            </w:tcBorders>
            <w:shd w:val="clear" w:color="63993F" w:fill="B4C6E7"/>
            <w:noWrap/>
            <w:vAlign w:val="center"/>
            <w:hideMark/>
          </w:tcPr>
          <w:p w:rsidR="002B3045" w:rsidRDefault="002B3045">
            <w:pPr>
              <w:jc w:val="center"/>
              <w:rPr>
                <w:rFonts w:ascii="Calibri" w:hAnsi="Calibri" w:cs="Calibri"/>
                <w:b/>
                <w:bCs/>
                <w:color w:val="000000"/>
                <w:sz w:val="20"/>
                <w:szCs w:val="20"/>
              </w:rPr>
            </w:pPr>
            <w:r>
              <w:rPr>
                <w:rFonts w:ascii="Calibri" w:hAnsi="Calibri" w:cs="Calibri"/>
                <w:b/>
                <w:bCs/>
                <w:color w:val="000000"/>
                <w:sz w:val="20"/>
                <w:szCs w:val="20"/>
              </w:rPr>
              <w:t>Příjmy</w:t>
            </w:r>
          </w:p>
        </w:tc>
        <w:tc>
          <w:tcPr>
            <w:tcW w:w="1476" w:type="dxa"/>
            <w:tcBorders>
              <w:top w:val="nil"/>
              <w:left w:val="nil"/>
              <w:bottom w:val="single" w:sz="4" w:space="0" w:color="auto"/>
              <w:right w:val="single" w:sz="4" w:space="0" w:color="auto"/>
            </w:tcBorders>
            <w:shd w:val="clear" w:color="63993F" w:fill="B4C6E7"/>
            <w:noWrap/>
            <w:vAlign w:val="center"/>
            <w:hideMark/>
          </w:tcPr>
          <w:p w:rsidR="002B3045" w:rsidRDefault="002B3045">
            <w:pPr>
              <w:jc w:val="center"/>
              <w:rPr>
                <w:rFonts w:ascii="Calibri" w:hAnsi="Calibri" w:cs="Calibri"/>
                <w:b/>
                <w:bCs/>
                <w:color w:val="000000"/>
                <w:sz w:val="20"/>
                <w:szCs w:val="20"/>
              </w:rPr>
            </w:pPr>
            <w:r>
              <w:rPr>
                <w:rFonts w:ascii="Calibri" w:hAnsi="Calibri" w:cs="Calibri"/>
                <w:b/>
                <w:bCs/>
                <w:color w:val="000000"/>
                <w:sz w:val="20"/>
                <w:szCs w:val="20"/>
              </w:rPr>
              <w:t>Výdaje</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2B3045" w:rsidRDefault="002B3045">
            <w:pPr>
              <w:rPr>
                <w:rFonts w:ascii="Calibri" w:hAnsi="Calibri" w:cs="Calibri"/>
                <w:b/>
                <w:bCs/>
                <w:color w:val="000000"/>
                <w:sz w:val="20"/>
                <w:szCs w:val="20"/>
              </w:rPr>
            </w:pPr>
          </w:p>
        </w:tc>
      </w:tr>
      <w:tr w:rsidR="002B3045" w:rsidTr="002B30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B3045" w:rsidRDefault="002B3045">
            <w:pPr>
              <w:rPr>
                <w:rFonts w:ascii="Calibri" w:hAnsi="Calibri" w:cs="Calibri"/>
                <w:color w:val="000000"/>
                <w:sz w:val="20"/>
                <w:szCs w:val="20"/>
              </w:rPr>
            </w:pPr>
            <w:r>
              <w:rPr>
                <w:rFonts w:ascii="Calibri" w:hAnsi="Calibri" w:cs="Calibri"/>
                <w:color w:val="000000"/>
                <w:sz w:val="20"/>
                <w:szCs w:val="20"/>
              </w:rPr>
              <w:t>Leden</w:t>
            </w:r>
          </w:p>
        </w:tc>
        <w:tc>
          <w:tcPr>
            <w:tcW w:w="1644" w:type="dxa"/>
            <w:tcBorders>
              <w:top w:val="nil"/>
              <w:left w:val="nil"/>
              <w:bottom w:val="single" w:sz="4" w:space="0" w:color="auto"/>
              <w:right w:val="single" w:sz="4" w:space="0" w:color="auto"/>
            </w:tcBorders>
            <w:shd w:val="clear" w:color="auto" w:fill="auto"/>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78 428 919,16</w:t>
            </w:r>
          </w:p>
        </w:tc>
        <w:tc>
          <w:tcPr>
            <w:tcW w:w="1476" w:type="dxa"/>
            <w:tcBorders>
              <w:top w:val="nil"/>
              <w:left w:val="nil"/>
              <w:bottom w:val="single" w:sz="4" w:space="0" w:color="auto"/>
              <w:right w:val="single" w:sz="4" w:space="0" w:color="auto"/>
            </w:tcBorders>
            <w:shd w:val="clear" w:color="auto" w:fill="auto"/>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70 751 709,28</w:t>
            </w:r>
          </w:p>
        </w:tc>
        <w:tc>
          <w:tcPr>
            <w:tcW w:w="1620" w:type="dxa"/>
            <w:tcBorders>
              <w:top w:val="nil"/>
              <w:left w:val="nil"/>
              <w:bottom w:val="single" w:sz="4" w:space="0" w:color="auto"/>
              <w:right w:val="single" w:sz="4" w:space="0" w:color="auto"/>
            </w:tcBorders>
            <w:shd w:val="clear" w:color="auto" w:fill="auto"/>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7 677 209,88</w:t>
            </w:r>
          </w:p>
        </w:tc>
      </w:tr>
      <w:tr w:rsidR="002B3045" w:rsidTr="002B3045">
        <w:trPr>
          <w:trHeight w:val="300"/>
        </w:trPr>
        <w:tc>
          <w:tcPr>
            <w:tcW w:w="960" w:type="dxa"/>
            <w:tcBorders>
              <w:top w:val="nil"/>
              <w:left w:val="single" w:sz="4" w:space="0" w:color="auto"/>
              <w:bottom w:val="single" w:sz="4" w:space="0" w:color="auto"/>
              <w:right w:val="single" w:sz="4" w:space="0" w:color="auto"/>
            </w:tcBorders>
            <w:shd w:val="clear" w:color="DBDBDB" w:fill="D9D9D9"/>
            <w:noWrap/>
            <w:vAlign w:val="center"/>
            <w:hideMark/>
          </w:tcPr>
          <w:p w:rsidR="002B3045" w:rsidRDefault="002B3045">
            <w:pPr>
              <w:rPr>
                <w:rFonts w:ascii="Calibri" w:hAnsi="Calibri" w:cs="Calibri"/>
                <w:color w:val="000000"/>
                <w:sz w:val="20"/>
                <w:szCs w:val="20"/>
              </w:rPr>
            </w:pPr>
            <w:r>
              <w:rPr>
                <w:rFonts w:ascii="Calibri" w:hAnsi="Calibri" w:cs="Calibri"/>
                <w:color w:val="000000"/>
                <w:sz w:val="20"/>
                <w:szCs w:val="20"/>
              </w:rPr>
              <w:t>Únor</w:t>
            </w:r>
          </w:p>
        </w:tc>
        <w:tc>
          <w:tcPr>
            <w:tcW w:w="1644" w:type="dxa"/>
            <w:tcBorders>
              <w:top w:val="nil"/>
              <w:left w:val="nil"/>
              <w:bottom w:val="single" w:sz="4" w:space="0" w:color="auto"/>
              <w:right w:val="single" w:sz="4" w:space="0" w:color="auto"/>
            </w:tcBorders>
            <w:shd w:val="clear" w:color="DBDBDB" w:fill="D9D9D9"/>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93 135 457,92</w:t>
            </w:r>
          </w:p>
        </w:tc>
        <w:tc>
          <w:tcPr>
            <w:tcW w:w="1476" w:type="dxa"/>
            <w:tcBorders>
              <w:top w:val="nil"/>
              <w:left w:val="nil"/>
              <w:bottom w:val="single" w:sz="4" w:space="0" w:color="auto"/>
              <w:right w:val="single" w:sz="4" w:space="0" w:color="auto"/>
            </w:tcBorders>
            <w:shd w:val="clear" w:color="DBDBDB" w:fill="D9D9D9"/>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44 464 098,39</w:t>
            </w:r>
          </w:p>
        </w:tc>
        <w:tc>
          <w:tcPr>
            <w:tcW w:w="1620" w:type="dxa"/>
            <w:tcBorders>
              <w:top w:val="nil"/>
              <w:left w:val="nil"/>
              <w:bottom w:val="single" w:sz="4" w:space="0" w:color="auto"/>
              <w:right w:val="single" w:sz="4" w:space="0" w:color="auto"/>
            </w:tcBorders>
            <w:shd w:val="clear" w:color="DBDBDB" w:fill="D9D9D9"/>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48 671 359,53</w:t>
            </w:r>
          </w:p>
        </w:tc>
      </w:tr>
      <w:tr w:rsidR="002B3045" w:rsidTr="002B30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B3045" w:rsidRDefault="002B3045">
            <w:pPr>
              <w:rPr>
                <w:rFonts w:ascii="Calibri" w:hAnsi="Calibri" w:cs="Calibri"/>
                <w:color w:val="000000"/>
                <w:sz w:val="20"/>
                <w:szCs w:val="20"/>
              </w:rPr>
            </w:pPr>
            <w:r>
              <w:rPr>
                <w:rFonts w:ascii="Calibri" w:hAnsi="Calibri" w:cs="Calibri"/>
                <w:color w:val="000000"/>
                <w:sz w:val="20"/>
                <w:szCs w:val="20"/>
              </w:rPr>
              <w:t>Březen</w:t>
            </w:r>
          </w:p>
        </w:tc>
        <w:tc>
          <w:tcPr>
            <w:tcW w:w="1644" w:type="dxa"/>
            <w:tcBorders>
              <w:top w:val="nil"/>
              <w:left w:val="nil"/>
              <w:bottom w:val="single" w:sz="4" w:space="0" w:color="auto"/>
              <w:right w:val="single" w:sz="4" w:space="0" w:color="auto"/>
            </w:tcBorders>
            <w:shd w:val="clear" w:color="auto" w:fill="auto"/>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87 626 933,20</w:t>
            </w:r>
          </w:p>
        </w:tc>
        <w:tc>
          <w:tcPr>
            <w:tcW w:w="1476" w:type="dxa"/>
            <w:tcBorders>
              <w:top w:val="nil"/>
              <w:left w:val="nil"/>
              <w:bottom w:val="single" w:sz="4" w:space="0" w:color="auto"/>
              <w:right w:val="single" w:sz="4" w:space="0" w:color="auto"/>
            </w:tcBorders>
            <w:shd w:val="clear" w:color="auto" w:fill="auto"/>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59 673 641,18</w:t>
            </w:r>
          </w:p>
        </w:tc>
        <w:tc>
          <w:tcPr>
            <w:tcW w:w="1620" w:type="dxa"/>
            <w:tcBorders>
              <w:top w:val="nil"/>
              <w:left w:val="nil"/>
              <w:bottom w:val="single" w:sz="4" w:space="0" w:color="auto"/>
              <w:right w:val="single" w:sz="4" w:space="0" w:color="auto"/>
            </w:tcBorders>
            <w:shd w:val="clear" w:color="auto" w:fill="auto"/>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27 953 292,02</w:t>
            </w:r>
          </w:p>
        </w:tc>
      </w:tr>
      <w:tr w:rsidR="002B3045" w:rsidTr="002B3045">
        <w:trPr>
          <w:trHeight w:val="300"/>
        </w:trPr>
        <w:tc>
          <w:tcPr>
            <w:tcW w:w="960" w:type="dxa"/>
            <w:tcBorders>
              <w:top w:val="nil"/>
              <w:left w:val="single" w:sz="4" w:space="0" w:color="auto"/>
              <w:bottom w:val="single" w:sz="4" w:space="0" w:color="auto"/>
              <w:right w:val="single" w:sz="4" w:space="0" w:color="auto"/>
            </w:tcBorders>
            <w:shd w:val="clear" w:color="DBDBDB" w:fill="D9D9D9"/>
            <w:noWrap/>
            <w:vAlign w:val="center"/>
            <w:hideMark/>
          </w:tcPr>
          <w:p w:rsidR="002B3045" w:rsidRDefault="002B3045">
            <w:pPr>
              <w:rPr>
                <w:rFonts w:ascii="Calibri" w:hAnsi="Calibri" w:cs="Calibri"/>
                <w:color w:val="000000"/>
                <w:sz w:val="20"/>
                <w:szCs w:val="20"/>
              </w:rPr>
            </w:pPr>
            <w:r>
              <w:rPr>
                <w:rFonts w:ascii="Calibri" w:hAnsi="Calibri" w:cs="Calibri"/>
                <w:color w:val="000000"/>
                <w:sz w:val="20"/>
                <w:szCs w:val="20"/>
              </w:rPr>
              <w:t>Duben</w:t>
            </w:r>
          </w:p>
        </w:tc>
        <w:tc>
          <w:tcPr>
            <w:tcW w:w="1644" w:type="dxa"/>
            <w:tcBorders>
              <w:top w:val="nil"/>
              <w:left w:val="nil"/>
              <w:bottom w:val="single" w:sz="4" w:space="0" w:color="auto"/>
              <w:right w:val="single" w:sz="4" w:space="0" w:color="auto"/>
            </w:tcBorders>
            <w:shd w:val="clear" w:color="DBDBDB" w:fill="D9D9D9"/>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86 454 151,47</w:t>
            </w:r>
          </w:p>
        </w:tc>
        <w:tc>
          <w:tcPr>
            <w:tcW w:w="1476" w:type="dxa"/>
            <w:tcBorders>
              <w:top w:val="nil"/>
              <w:left w:val="nil"/>
              <w:bottom w:val="single" w:sz="4" w:space="0" w:color="auto"/>
              <w:right w:val="single" w:sz="4" w:space="0" w:color="auto"/>
            </w:tcBorders>
            <w:shd w:val="clear" w:color="DBDBDB" w:fill="D9D9D9"/>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94 000 716,65</w:t>
            </w:r>
          </w:p>
        </w:tc>
        <w:tc>
          <w:tcPr>
            <w:tcW w:w="1620" w:type="dxa"/>
            <w:tcBorders>
              <w:top w:val="nil"/>
              <w:left w:val="nil"/>
              <w:bottom w:val="single" w:sz="4" w:space="0" w:color="auto"/>
              <w:right w:val="single" w:sz="4" w:space="0" w:color="auto"/>
            </w:tcBorders>
            <w:shd w:val="clear" w:color="DBDBDB" w:fill="D9D9D9"/>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-7 546 565,18</w:t>
            </w:r>
          </w:p>
        </w:tc>
      </w:tr>
      <w:tr w:rsidR="002B3045" w:rsidTr="002B30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B3045" w:rsidRDefault="002B3045">
            <w:pPr>
              <w:rPr>
                <w:rFonts w:ascii="Calibri" w:hAnsi="Calibri" w:cs="Calibri"/>
                <w:color w:val="000000"/>
                <w:sz w:val="20"/>
                <w:szCs w:val="20"/>
              </w:rPr>
            </w:pPr>
            <w:r>
              <w:rPr>
                <w:rFonts w:ascii="Calibri" w:hAnsi="Calibri" w:cs="Calibri"/>
                <w:color w:val="000000"/>
                <w:sz w:val="20"/>
                <w:szCs w:val="20"/>
              </w:rPr>
              <w:t>Květen</w:t>
            </w:r>
          </w:p>
        </w:tc>
        <w:tc>
          <w:tcPr>
            <w:tcW w:w="1644" w:type="dxa"/>
            <w:tcBorders>
              <w:top w:val="nil"/>
              <w:left w:val="nil"/>
              <w:bottom w:val="single" w:sz="4" w:space="0" w:color="auto"/>
              <w:right w:val="single" w:sz="4" w:space="0" w:color="auto"/>
            </w:tcBorders>
            <w:shd w:val="clear" w:color="auto" w:fill="auto"/>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109 209 486,44</w:t>
            </w:r>
          </w:p>
        </w:tc>
        <w:tc>
          <w:tcPr>
            <w:tcW w:w="1476" w:type="dxa"/>
            <w:tcBorders>
              <w:top w:val="nil"/>
              <w:left w:val="nil"/>
              <w:bottom w:val="single" w:sz="4" w:space="0" w:color="auto"/>
              <w:right w:val="single" w:sz="4" w:space="0" w:color="auto"/>
            </w:tcBorders>
            <w:shd w:val="clear" w:color="auto" w:fill="auto"/>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72 213 055,66</w:t>
            </w:r>
          </w:p>
        </w:tc>
        <w:tc>
          <w:tcPr>
            <w:tcW w:w="1620" w:type="dxa"/>
            <w:tcBorders>
              <w:top w:val="nil"/>
              <w:left w:val="nil"/>
              <w:bottom w:val="single" w:sz="4" w:space="0" w:color="auto"/>
              <w:right w:val="single" w:sz="4" w:space="0" w:color="auto"/>
            </w:tcBorders>
            <w:shd w:val="clear" w:color="auto" w:fill="auto"/>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36 996 430,78</w:t>
            </w:r>
          </w:p>
        </w:tc>
      </w:tr>
      <w:tr w:rsidR="002B3045" w:rsidTr="002B3045">
        <w:trPr>
          <w:trHeight w:val="300"/>
        </w:trPr>
        <w:tc>
          <w:tcPr>
            <w:tcW w:w="960" w:type="dxa"/>
            <w:tcBorders>
              <w:top w:val="nil"/>
              <w:left w:val="single" w:sz="4" w:space="0" w:color="auto"/>
              <w:bottom w:val="single" w:sz="4" w:space="0" w:color="auto"/>
              <w:right w:val="single" w:sz="4" w:space="0" w:color="auto"/>
            </w:tcBorders>
            <w:shd w:val="clear" w:color="DBDBDB" w:fill="D9D9D9"/>
            <w:noWrap/>
            <w:vAlign w:val="center"/>
            <w:hideMark/>
          </w:tcPr>
          <w:p w:rsidR="002B3045" w:rsidRDefault="002B3045">
            <w:pPr>
              <w:rPr>
                <w:rFonts w:ascii="Calibri" w:hAnsi="Calibri" w:cs="Calibri"/>
                <w:color w:val="000000"/>
                <w:sz w:val="20"/>
                <w:szCs w:val="20"/>
              </w:rPr>
            </w:pPr>
            <w:r>
              <w:rPr>
                <w:rFonts w:ascii="Calibri" w:hAnsi="Calibri" w:cs="Calibri"/>
                <w:color w:val="000000"/>
                <w:sz w:val="20"/>
                <w:szCs w:val="20"/>
              </w:rPr>
              <w:t>Červen</w:t>
            </w:r>
          </w:p>
        </w:tc>
        <w:tc>
          <w:tcPr>
            <w:tcW w:w="1644" w:type="dxa"/>
            <w:tcBorders>
              <w:top w:val="nil"/>
              <w:left w:val="nil"/>
              <w:bottom w:val="single" w:sz="4" w:space="0" w:color="auto"/>
              <w:right w:val="single" w:sz="4" w:space="0" w:color="auto"/>
            </w:tcBorders>
            <w:shd w:val="clear" w:color="DBDBDB" w:fill="D9D9D9"/>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150 386 025,14</w:t>
            </w:r>
          </w:p>
        </w:tc>
        <w:tc>
          <w:tcPr>
            <w:tcW w:w="1476" w:type="dxa"/>
            <w:tcBorders>
              <w:top w:val="nil"/>
              <w:left w:val="nil"/>
              <w:bottom w:val="single" w:sz="4" w:space="0" w:color="auto"/>
              <w:right w:val="single" w:sz="4" w:space="0" w:color="auto"/>
            </w:tcBorders>
            <w:shd w:val="clear" w:color="DBDBDB" w:fill="D9D9D9"/>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97 183 578,73</w:t>
            </w:r>
          </w:p>
        </w:tc>
        <w:tc>
          <w:tcPr>
            <w:tcW w:w="1620" w:type="dxa"/>
            <w:tcBorders>
              <w:top w:val="nil"/>
              <w:left w:val="nil"/>
              <w:bottom w:val="single" w:sz="4" w:space="0" w:color="auto"/>
              <w:right w:val="single" w:sz="4" w:space="0" w:color="auto"/>
            </w:tcBorders>
            <w:shd w:val="clear" w:color="DBDBDB" w:fill="D9D9D9"/>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53 202 446,41</w:t>
            </w:r>
          </w:p>
        </w:tc>
      </w:tr>
      <w:tr w:rsidR="002B3045" w:rsidTr="002B30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B3045" w:rsidRDefault="002B3045">
            <w:pPr>
              <w:rPr>
                <w:rFonts w:ascii="Calibri" w:hAnsi="Calibri" w:cs="Calibri"/>
                <w:color w:val="000000"/>
                <w:sz w:val="20"/>
                <w:szCs w:val="20"/>
              </w:rPr>
            </w:pPr>
            <w:r>
              <w:rPr>
                <w:rFonts w:ascii="Calibri" w:hAnsi="Calibri" w:cs="Calibri"/>
                <w:color w:val="000000"/>
                <w:sz w:val="20"/>
                <w:szCs w:val="20"/>
              </w:rPr>
              <w:t>Červenec</w:t>
            </w:r>
          </w:p>
        </w:tc>
        <w:tc>
          <w:tcPr>
            <w:tcW w:w="1644" w:type="dxa"/>
            <w:tcBorders>
              <w:top w:val="nil"/>
              <w:left w:val="nil"/>
              <w:bottom w:val="single" w:sz="4" w:space="0" w:color="auto"/>
              <w:right w:val="single" w:sz="4" w:space="0" w:color="auto"/>
            </w:tcBorders>
            <w:shd w:val="clear" w:color="auto" w:fill="auto"/>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128 437 851,95</w:t>
            </w:r>
          </w:p>
        </w:tc>
        <w:tc>
          <w:tcPr>
            <w:tcW w:w="1476" w:type="dxa"/>
            <w:tcBorders>
              <w:top w:val="nil"/>
              <w:left w:val="nil"/>
              <w:bottom w:val="single" w:sz="4" w:space="0" w:color="auto"/>
              <w:right w:val="single" w:sz="4" w:space="0" w:color="auto"/>
            </w:tcBorders>
            <w:shd w:val="clear" w:color="auto" w:fill="auto"/>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83 996 765,80</w:t>
            </w:r>
          </w:p>
        </w:tc>
        <w:tc>
          <w:tcPr>
            <w:tcW w:w="1620" w:type="dxa"/>
            <w:tcBorders>
              <w:top w:val="nil"/>
              <w:left w:val="nil"/>
              <w:bottom w:val="single" w:sz="4" w:space="0" w:color="auto"/>
              <w:right w:val="single" w:sz="4" w:space="0" w:color="auto"/>
            </w:tcBorders>
            <w:shd w:val="clear" w:color="auto" w:fill="auto"/>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44 441 086,15</w:t>
            </w:r>
          </w:p>
        </w:tc>
      </w:tr>
      <w:tr w:rsidR="002B3045" w:rsidTr="002B3045">
        <w:trPr>
          <w:trHeight w:val="300"/>
        </w:trPr>
        <w:tc>
          <w:tcPr>
            <w:tcW w:w="960" w:type="dxa"/>
            <w:tcBorders>
              <w:top w:val="nil"/>
              <w:left w:val="single" w:sz="4" w:space="0" w:color="auto"/>
              <w:bottom w:val="single" w:sz="4" w:space="0" w:color="auto"/>
              <w:right w:val="single" w:sz="4" w:space="0" w:color="auto"/>
            </w:tcBorders>
            <w:shd w:val="clear" w:color="DBDBDB" w:fill="D9D9D9"/>
            <w:noWrap/>
            <w:vAlign w:val="center"/>
            <w:hideMark/>
          </w:tcPr>
          <w:p w:rsidR="002B3045" w:rsidRDefault="002B3045">
            <w:pPr>
              <w:rPr>
                <w:rFonts w:ascii="Calibri" w:hAnsi="Calibri" w:cs="Calibri"/>
                <w:color w:val="000000"/>
                <w:sz w:val="20"/>
                <w:szCs w:val="20"/>
              </w:rPr>
            </w:pPr>
            <w:r>
              <w:rPr>
                <w:rFonts w:ascii="Calibri" w:hAnsi="Calibri" w:cs="Calibri"/>
                <w:color w:val="000000"/>
                <w:sz w:val="20"/>
                <w:szCs w:val="20"/>
              </w:rPr>
              <w:t>Srpen</w:t>
            </w:r>
          </w:p>
        </w:tc>
        <w:tc>
          <w:tcPr>
            <w:tcW w:w="1644" w:type="dxa"/>
            <w:tcBorders>
              <w:top w:val="nil"/>
              <w:left w:val="nil"/>
              <w:bottom w:val="single" w:sz="4" w:space="0" w:color="auto"/>
              <w:right w:val="single" w:sz="4" w:space="0" w:color="auto"/>
            </w:tcBorders>
            <w:shd w:val="clear" w:color="DBDBDB" w:fill="D9D9D9"/>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98 797 827,17</w:t>
            </w:r>
          </w:p>
        </w:tc>
        <w:tc>
          <w:tcPr>
            <w:tcW w:w="1476" w:type="dxa"/>
            <w:tcBorders>
              <w:top w:val="nil"/>
              <w:left w:val="nil"/>
              <w:bottom w:val="single" w:sz="4" w:space="0" w:color="auto"/>
              <w:right w:val="single" w:sz="4" w:space="0" w:color="auto"/>
            </w:tcBorders>
            <w:shd w:val="clear" w:color="DBDBDB" w:fill="D9D9D9"/>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62 349 894,60</w:t>
            </w:r>
          </w:p>
        </w:tc>
        <w:tc>
          <w:tcPr>
            <w:tcW w:w="1620" w:type="dxa"/>
            <w:tcBorders>
              <w:top w:val="nil"/>
              <w:left w:val="nil"/>
              <w:bottom w:val="single" w:sz="4" w:space="0" w:color="auto"/>
              <w:right w:val="single" w:sz="4" w:space="0" w:color="auto"/>
            </w:tcBorders>
            <w:shd w:val="clear" w:color="DBDBDB" w:fill="D9D9D9"/>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36 447 932,57</w:t>
            </w:r>
          </w:p>
        </w:tc>
      </w:tr>
      <w:tr w:rsidR="002B3045" w:rsidTr="002B30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B3045" w:rsidRDefault="002B3045">
            <w:pPr>
              <w:rPr>
                <w:rFonts w:ascii="Calibri" w:hAnsi="Calibri" w:cs="Calibri"/>
                <w:color w:val="000000"/>
                <w:sz w:val="20"/>
                <w:szCs w:val="20"/>
              </w:rPr>
            </w:pPr>
            <w:r>
              <w:rPr>
                <w:rFonts w:ascii="Calibri" w:hAnsi="Calibri" w:cs="Calibri"/>
                <w:color w:val="000000"/>
                <w:sz w:val="20"/>
                <w:szCs w:val="20"/>
              </w:rPr>
              <w:t>Září</w:t>
            </w:r>
          </w:p>
        </w:tc>
        <w:tc>
          <w:tcPr>
            <w:tcW w:w="1644" w:type="dxa"/>
            <w:tcBorders>
              <w:top w:val="nil"/>
              <w:left w:val="nil"/>
              <w:bottom w:val="single" w:sz="4" w:space="0" w:color="auto"/>
              <w:right w:val="single" w:sz="4" w:space="0" w:color="auto"/>
            </w:tcBorders>
            <w:shd w:val="clear" w:color="auto" w:fill="auto"/>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105 903 566,11</w:t>
            </w:r>
          </w:p>
        </w:tc>
        <w:tc>
          <w:tcPr>
            <w:tcW w:w="1476" w:type="dxa"/>
            <w:tcBorders>
              <w:top w:val="nil"/>
              <w:left w:val="nil"/>
              <w:bottom w:val="single" w:sz="4" w:space="0" w:color="auto"/>
              <w:right w:val="single" w:sz="4" w:space="0" w:color="auto"/>
            </w:tcBorders>
            <w:shd w:val="clear" w:color="auto" w:fill="auto"/>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61 643 932,72</w:t>
            </w:r>
          </w:p>
        </w:tc>
        <w:tc>
          <w:tcPr>
            <w:tcW w:w="1620" w:type="dxa"/>
            <w:tcBorders>
              <w:top w:val="nil"/>
              <w:left w:val="nil"/>
              <w:bottom w:val="single" w:sz="4" w:space="0" w:color="auto"/>
              <w:right w:val="single" w:sz="4" w:space="0" w:color="auto"/>
            </w:tcBorders>
            <w:shd w:val="clear" w:color="auto" w:fill="auto"/>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44 259 633,39</w:t>
            </w:r>
          </w:p>
        </w:tc>
      </w:tr>
      <w:tr w:rsidR="002B3045" w:rsidTr="002B3045">
        <w:trPr>
          <w:trHeight w:val="300"/>
        </w:trPr>
        <w:tc>
          <w:tcPr>
            <w:tcW w:w="960" w:type="dxa"/>
            <w:tcBorders>
              <w:top w:val="nil"/>
              <w:left w:val="single" w:sz="4" w:space="0" w:color="auto"/>
              <w:bottom w:val="single" w:sz="4" w:space="0" w:color="auto"/>
              <w:right w:val="single" w:sz="4" w:space="0" w:color="auto"/>
            </w:tcBorders>
            <w:shd w:val="clear" w:color="DBDBDB" w:fill="D9D9D9"/>
            <w:noWrap/>
            <w:vAlign w:val="center"/>
            <w:hideMark/>
          </w:tcPr>
          <w:p w:rsidR="002B3045" w:rsidRDefault="002B3045">
            <w:pPr>
              <w:rPr>
                <w:rFonts w:ascii="Calibri" w:hAnsi="Calibri" w:cs="Calibri"/>
                <w:color w:val="000000"/>
                <w:sz w:val="20"/>
                <w:szCs w:val="20"/>
              </w:rPr>
            </w:pPr>
            <w:r>
              <w:rPr>
                <w:rFonts w:ascii="Calibri" w:hAnsi="Calibri" w:cs="Calibri"/>
                <w:color w:val="000000"/>
                <w:sz w:val="20"/>
                <w:szCs w:val="20"/>
              </w:rPr>
              <w:t>Říjen</w:t>
            </w:r>
          </w:p>
        </w:tc>
        <w:tc>
          <w:tcPr>
            <w:tcW w:w="1644" w:type="dxa"/>
            <w:tcBorders>
              <w:top w:val="nil"/>
              <w:left w:val="nil"/>
              <w:bottom w:val="single" w:sz="4" w:space="0" w:color="auto"/>
              <w:right w:val="single" w:sz="4" w:space="0" w:color="auto"/>
            </w:tcBorders>
            <w:shd w:val="clear" w:color="DBDBDB" w:fill="D9D9D9"/>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76 414 408,27</w:t>
            </w:r>
          </w:p>
        </w:tc>
        <w:tc>
          <w:tcPr>
            <w:tcW w:w="1476" w:type="dxa"/>
            <w:tcBorders>
              <w:top w:val="nil"/>
              <w:left w:val="nil"/>
              <w:bottom w:val="single" w:sz="4" w:space="0" w:color="auto"/>
              <w:right w:val="single" w:sz="4" w:space="0" w:color="auto"/>
            </w:tcBorders>
            <w:shd w:val="clear" w:color="DBDBDB" w:fill="D9D9D9"/>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94 950 526,25</w:t>
            </w:r>
          </w:p>
        </w:tc>
        <w:tc>
          <w:tcPr>
            <w:tcW w:w="1620" w:type="dxa"/>
            <w:tcBorders>
              <w:top w:val="nil"/>
              <w:left w:val="nil"/>
              <w:bottom w:val="single" w:sz="4" w:space="0" w:color="auto"/>
              <w:right w:val="single" w:sz="4" w:space="0" w:color="auto"/>
            </w:tcBorders>
            <w:shd w:val="clear" w:color="DBDBDB" w:fill="D9D9D9"/>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-18 536 117,98</w:t>
            </w:r>
          </w:p>
        </w:tc>
      </w:tr>
      <w:tr w:rsidR="002B3045" w:rsidTr="002B30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B3045" w:rsidRDefault="002B3045">
            <w:pPr>
              <w:rPr>
                <w:rFonts w:ascii="Calibri" w:hAnsi="Calibri" w:cs="Calibri"/>
                <w:color w:val="000000"/>
                <w:sz w:val="20"/>
                <w:szCs w:val="20"/>
              </w:rPr>
            </w:pPr>
            <w:r>
              <w:rPr>
                <w:rFonts w:ascii="Calibri" w:hAnsi="Calibri" w:cs="Calibri"/>
                <w:color w:val="000000"/>
                <w:sz w:val="20"/>
                <w:szCs w:val="20"/>
              </w:rPr>
              <w:t>Listopad</w:t>
            </w:r>
          </w:p>
        </w:tc>
        <w:tc>
          <w:tcPr>
            <w:tcW w:w="1644" w:type="dxa"/>
            <w:tcBorders>
              <w:top w:val="nil"/>
              <w:left w:val="nil"/>
              <w:bottom w:val="single" w:sz="4" w:space="0" w:color="auto"/>
              <w:right w:val="single" w:sz="4" w:space="0" w:color="auto"/>
            </w:tcBorders>
            <w:shd w:val="clear" w:color="auto" w:fill="auto"/>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121 015 820,61</w:t>
            </w:r>
          </w:p>
        </w:tc>
        <w:tc>
          <w:tcPr>
            <w:tcW w:w="1476" w:type="dxa"/>
            <w:tcBorders>
              <w:top w:val="nil"/>
              <w:left w:val="nil"/>
              <w:bottom w:val="single" w:sz="4" w:space="0" w:color="auto"/>
              <w:right w:val="single" w:sz="4" w:space="0" w:color="auto"/>
            </w:tcBorders>
            <w:shd w:val="clear" w:color="auto" w:fill="auto"/>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72 028 378,17</w:t>
            </w:r>
          </w:p>
        </w:tc>
        <w:tc>
          <w:tcPr>
            <w:tcW w:w="1620" w:type="dxa"/>
            <w:tcBorders>
              <w:top w:val="nil"/>
              <w:left w:val="nil"/>
              <w:bottom w:val="single" w:sz="4" w:space="0" w:color="auto"/>
              <w:right w:val="single" w:sz="4" w:space="0" w:color="auto"/>
            </w:tcBorders>
            <w:shd w:val="clear" w:color="auto" w:fill="auto"/>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48 987 442,44</w:t>
            </w:r>
          </w:p>
        </w:tc>
      </w:tr>
      <w:tr w:rsidR="002B3045" w:rsidTr="002B3045">
        <w:trPr>
          <w:trHeight w:val="300"/>
        </w:trPr>
        <w:tc>
          <w:tcPr>
            <w:tcW w:w="960" w:type="dxa"/>
            <w:tcBorders>
              <w:top w:val="nil"/>
              <w:left w:val="single" w:sz="4" w:space="0" w:color="auto"/>
              <w:bottom w:val="single" w:sz="4" w:space="0" w:color="auto"/>
              <w:right w:val="single" w:sz="4" w:space="0" w:color="auto"/>
            </w:tcBorders>
            <w:shd w:val="clear" w:color="DBDBDB" w:fill="D9D9D9"/>
            <w:noWrap/>
            <w:vAlign w:val="center"/>
            <w:hideMark/>
          </w:tcPr>
          <w:p w:rsidR="002B3045" w:rsidRDefault="002B3045">
            <w:pPr>
              <w:rPr>
                <w:rFonts w:ascii="Calibri" w:hAnsi="Calibri" w:cs="Calibri"/>
                <w:color w:val="000000"/>
                <w:sz w:val="20"/>
                <w:szCs w:val="20"/>
              </w:rPr>
            </w:pPr>
            <w:r>
              <w:rPr>
                <w:rFonts w:ascii="Calibri" w:hAnsi="Calibri" w:cs="Calibri"/>
                <w:color w:val="000000"/>
                <w:sz w:val="20"/>
                <w:szCs w:val="20"/>
              </w:rPr>
              <w:t>Prosinec</w:t>
            </w:r>
          </w:p>
        </w:tc>
        <w:tc>
          <w:tcPr>
            <w:tcW w:w="1644" w:type="dxa"/>
            <w:tcBorders>
              <w:top w:val="nil"/>
              <w:left w:val="nil"/>
              <w:bottom w:val="single" w:sz="4" w:space="0" w:color="auto"/>
              <w:right w:val="single" w:sz="4" w:space="0" w:color="auto"/>
            </w:tcBorders>
            <w:shd w:val="clear" w:color="DBDBDB" w:fill="D9D9D9"/>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122 842 817,41</w:t>
            </w:r>
          </w:p>
        </w:tc>
        <w:tc>
          <w:tcPr>
            <w:tcW w:w="1476" w:type="dxa"/>
            <w:tcBorders>
              <w:top w:val="nil"/>
              <w:left w:val="nil"/>
              <w:bottom w:val="single" w:sz="4" w:space="0" w:color="auto"/>
              <w:right w:val="single" w:sz="4" w:space="0" w:color="auto"/>
            </w:tcBorders>
            <w:shd w:val="clear" w:color="DBDBDB" w:fill="D9D9D9"/>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103 482 140,27</w:t>
            </w:r>
          </w:p>
        </w:tc>
        <w:tc>
          <w:tcPr>
            <w:tcW w:w="1620" w:type="dxa"/>
            <w:tcBorders>
              <w:top w:val="nil"/>
              <w:left w:val="nil"/>
              <w:bottom w:val="single" w:sz="4" w:space="0" w:color="auto"/>
              <w:right w:val="single" w:sz="4" w:space="0" w:color="auto"/>
            </w:tcBorders>
            <w:shd w:val="clear" w:color="DBDBDB" w:fill="D9D9D9"/>
            <w:noWrap/>
            <w:vAlign w:val="center"/>
            <w:hideMark/>
          </w:tcPr>
          <w:p w:rsidR="002B3045" w:rsidRDefault="002B3045">
            <w:pPr>
              <w:jc w:val="right"/>
              <w:rPr>
                <w:rFonts w:ascii="Calibri" w:hAnsi="Calibri" w:cs="Calibri"/>
                <w:color w:val="000000"/>
                <w:sz w:val="20"/>
                <w:szCs w:val="20"/>
              </w:rPr>
            </w:pPr>
            <w:r>
              <w:rPr>
                <w:rFonts w:ascii="Calibri" w:hAnsi="Calibri" w:cs="Calibri"/>
                <w:color w:val="000000"/>
                <w:sz w:val="20"/>
                <w:szCs w:val="20"/>
              </w:rPr>
              <w:t>19 360 677,14</w:t>
            </w:r>
          </w:p>
        </w:tc>
      </w:tr>
      <w:tr w:rsidR="002B3045" w:rsidTr="002B3045">
        <w:trPr>
          <w:trHeight w:val="300"/>
        </w:trPr>
        <w:tc>
          <w:tcPr>
            <w:tcW w:w="960" w:type="dxa"/>
            <w:tcBorders>
              <w:top w:val="nil"/>
              <w:left w:val="single" w:sz="4" w:space="0" w:color="auto"/>
              <w:bottom w:val="single" w:sz="4" w:space="0" w:color="auto"/>
              <w:right w:val="single" w:sz="4" w:space="0" w:color="auto"/>
            </w:tcBorders>
            <w:shd w:val="clear" w:color="C5E0B4" w:fill="8EA9DB"/>
            <w:noWrap/>
            <w:vAlign w:val="center"/>
            <w:hideMark/>
          </w:tcPr>
          <w:p w:rsidR="002B3045" w:rsidRDefault="002B3045">
            <w:pPr>
              <w:rPr>
                <w:rFonts w:ascii="Calibri" w:hAnsi="Calibri" w:cs="Calibri"/>
                <w:b/>
                <w:bCs/>
                <w:color w:val="000000"/>
                <w:sz w:val="20"/>
                <w:szCs w:val="20"/>
              </w:rPr>
            </w:pPr>
            <w:r>
              <w:rPr>
                <w:rFonts w:ascii="Calibri" w:hAnsi="Calibri" w:cs="Calibri"/>
                <w:b/>
                <w:bCs/>
                <w:color w:val="000000"/>
                <w:sz w:val="20"/>
                <w:szCs w:val="20"/>
              </w:rPr>
              <w:t>Celkem</w:t>
            </w:r>
          </w:p>
        </w:tc>
        <w:tc>
          <w:tcPr>
            <w:tcW w:w="1644" w:type="dxa"/>
            <w:tcBorders>
              <w:top w:val="nil"/>
              <w:left w:val="nil"/>
              <w:bottom w:val="single" w:sz="4" w:space="0" w:color="auto"/>
              <w:right w:val="single" w:sz="4" w:space="0" w:color="auto"/>
            </w:tcBorders>
            <w:shd w:val="clear" w:color="C5E0B4" w:fill="8EA9DB"/>
            <w:noWrap/>
            <w:vAlign w:val="center"/>
            <w:hideMark/>
          </w:tcPr>
          <w:p w:rsidR="002B3045" w:rsidRDefault="002B3045">
            <w:pPr>
              <w:jc w:val="right"/>
              <w:rPr>
                <w:rFonts w:ascii="Calibri" w:hAnsi="Calibri" w:cs="Calibri"/>
                <w:b/>
                <w:bCs/>
                <w:color w:val="000000"/>
                <w:sz w:val="20"/>
                <w:szCs w:val="20"/>
              </w:rPr>
            </w:pPr>
            <w:r>
              <w:rPr>
                <w:rFonts w:ascii="Calibri" w:hAnsi="Calibri" w:cs="Calibri"/>
                <w:b/>
                <w:bCs/>
                <w:color w:val="000000"/>
                <w:sz w:val="20"/>
                <w:szCs w:val="20"/>
              </w:rPr>
              <w:t>1 258 653 264,85</w:t>
            </w:r>
          </w:p>
        </w:tc>
        <w:tc>
          <w:tcPr>
            <w:tcW w:w="1476" w:type="dxa"/>
            <w:tcBorders>
              <w:top w:val="nil"/>
              <w:left w:val="nil"/>
              <w:bottom w:val="single" w:sz="4" w:space="0" w:color="auto"/>
              <w:right w:val="single" w:sz="4" w:space="0" w:color="auto"/>
            </w:tcBorders>
            <w:shd w:val="clear" w:color="C5E0B4" w:fill="8EA9DB"/>
            <w:noWrap/>
            <w:vAlign w:val="center"/>
            <w:hideMark/>
          </w:tcPr>
          <w:p w:rsidR="002B3045" w:rsidRDefault="002B3045">
            <w:pPr>
              <w:jc w:val="right"/>
              <w:rPr>
                <w:rFonts w:ascii="Calibri" w:hAnsi="Calibri" w:cs="Calibri"/>
                <w:b/>
                <w:bCs/>
                <w:color w:val="000000"/>
                <w:sz w:val="20"/>
                <w:szCs w:val="20"/>
              </w:rPr>
            </w:pPr>
            <w:r>
              <w:rPr>
                <w:rFonts w:ascii="Calibri" w:hAnsi="Calibri" w:cs="Calibri"/>
                <w:b/>
                <w:bCs/>
                <w:color w:val="000000"/>
                <w:sz w:val="20"/>
                <w:szCs w:val="20"/>
              </w:rPr>
              <w:t>916 738 437,70</w:t>
            </w:r>
          </w:p>
        </w:tc>
        <w:tc>
          <w:tcPr>
            <w:tcW w:w="1620" w:type="dxa"/>
            <w:tcBorders>
              <w:top w:val="nil"/>
              <w:left w:val="nil"/>
              <w:bottom w:val="single" w:sz="4" w:space="0" w:color="auto"/>
              <w:right w:val="single" w:sz="4" w:space="0" w:color="auto"/>
            </w:tcBorders>
            <w:shd w:val="clear" w:color="C5E0B4" w:fill="8EA9DB"/>
            <w:noWrap/>
            <w:vAlign w:val="center"/>
            <w:hideMark/>
          </w:tcPr>
          <w:p w:rsidR="002B3045" w:rsidRDefault="002B3045">
            <w:pPr>
              <w:jc w:val="right"/>
              <w:rPr>
                <w:rFonts w:ascii="Calibri" w:hAnsi="Calibri" w:cs="Calibri"/>
                <w:b/>
                <w:bCs/>
                <w:color w:val="000000"/>
                <w:sz w:val="20"/>
                <w:szCs w:val="20"/>
              </w:rPr>
            </w:pPr>
            <w:r>
              <w:rPr>
                <w:rFonts w:ascii="Calibri" w:hAnsi="Calibri" w:cs="Calibri"/>
                <w:b/>
                <w:bCs/>
                <w:color w:val="000000"/>
                <w:sz w:val="20"/>
                <w:szCs w:val="20"/>
              </w:rPr>
              <w:t>341 914 827,15</w:t>
            </w:r>
          </w:p>
        </w:tc>
      </w:tr>
    </w:tbl>
    <w:p w:rsidR="002B3045" w:rsidRDefault="002B3045" w:rsidP="002B3045"/>
    <w:p w:rsidR="002B3045" w:rsidRPr="002B3045" w:rsidRDefault="002B3045" w:rsidP="002B3045"/>
    <w:p w:rsidR="0068190F" w:rsidRDefault="002B3045" w:rsidP="0068190F">
      <w:r>
        <w:rPr>
          <w:noProof/>
        </w:rPr>
        <w:drawing>
          <wp:inline distT="0" distB="0" distL="0" distR="0" wp14:anchorId="4040B9FE" wp14:editId="547473C6">
            <wp:extent cx="6030595" cy="2716530"/>
            <wp:effectExtent l="0" t="0" r="8255" b="7620"/>
            <wp:docPr id="44" name="Graf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68190F" w:rsidRPr="0068190F" w:rsidRDefault="0068190F" w:rsidP="0068190F"/>
    <w:p w:rsidR="000C3B39" w:rsidRDefault="000C3B39" w:rsidP="000C3B39"/>
    <w:p w:rsidR="00416DBB" w:rsidRDefault="00416DBB" w:rsidP="000C3B39"/>
    <w:p w:rsidR="00814F11" w:rsidRDefault="00814F11" w:rsidP="0024764D">
      <w:pPr>
        <w:pStyle w:val="Nadpis3"/>
        <w:rPr>
          <w:b w:val="0"/>
          <w:noProof/>
        </w:rPr>
      </w:pPr>
      <w:bookmarkStart w:id="47" w:name="_Toc39129534"/>
      <w:r w:rsidRPr="0068190F">
        <w:rPr>
          <w:b w:val="0"/>
          <w:noProof/>
        </w:rPr>
        <w:t>Vyhodnocení položek financování</w:t>
      </w:r>
      <w:r w:rsidR="004A7E7C" w:rsidRPr="0068190F">
        <w:rPr>
          <w:b w:val="0"/>
          <w:noProof/>
        </w:rPr>
        <w:t xml:space="preserve"> – rok 202</w:t>
      </w:r>
      <w:r w:rsidR="002B3045">
        <w:rPr>
          <w:b w:val="0"/>
          <w:noProof/>
        </w:rPr>
        <w:t>2</w:t>
      </w:r>
      <w:r w:rsidRPr="0068190F">
        <w:rPr>
          <w:b w:val="0"/>
          <w:noProof/>
        </w:rPr>
        <w:t xml:space="preserve"> </w:t>
      </w:r>
      <w:r w:rsidR="009541C1" w:rsidRPr="0068190F">
        <w:rPr>
          <w:b w:val="0"/>
          <w:noProof/>
        </w:rPr>
        <w:t>(v Kč</w:t>
      </w:r>
      <w:r w:rsidR="00D21C29" w:rsidRPr="0068190F">
        <w:rPr>
          <w:b w:val="0"/>
          <w:noProof/>
        </w:rPr>
        <w:t>)</w:t>
      </w:r>
      <w:bookmarkEnd w:id="47"/>
    </w:p>
    <w:tbl>
      <w:tblPr>
        <w:tblW w:w="9776" w:type="dxa"/>
        <w:tblCellMar>
          <w:left w:w="70" w:type="dxa"/>
          <w:right w:w="70" w:type="dxa"/>
        </w:tblCellMar>
        <w:tblLook w:val="04A0" w:firstRow="1" w:lastRow="0" w:firstColumn="1" w:lastColumn="0" w:noHBand="0" w:noVBand="1"/>
      </w:tblPr>
      <w:tblGrid>
        <w:gridCol w:w="505"/>
        <w:gridCol w:w="4310"/>
        <w:gridCol w:w="1276"/>
        <w:gridCol w:w="1417"/>
        <w:gridCol w:w="1418"/>
        <w:gridCol w:w="850"/>
      </w:tblGrid>
      <w:tr w:rsidR="002B3045" w:rsidTr="009732D9">
        <w:trPr>
          <w:trHeight w:val="480"/>
        </w:trPr>
        <w:tc>
          <w:tcPr>
            <w:tcW w:w="505" w:type="dxa"/>
            <w:tcBorders>
              <w:top w:val="single" w:sz="4" w:space="0" w:color="auto"/>
              <w:left w:val="single" w:sz="4" w:space="0" w:color="auto"/>
              <w:bottom w:val="single" w:sz="4" w:space="0" w:color="auto"/>
              <w:right w:val="single" w:sz="4" w:space="0" w:color="auto"/>
            </w:tcBorders>
            <w:shd w:val="clear" w:color="C4D79B" w:fill="D9E1F2"/>
            <w:noWrap/>
            <w:vAlign w:val="center"/>
            <w:hideMark/>
          </w:tcPr>
          <w:p w:rsidR="002B3045" w:rsidRDefault="002B3045">
            <w:pPr>
              <w:jc w:val="center"/>
              <w:rPr>
                <w:rFonts w:ascii="Calibri" w:hAnsi="Calibri" w:cs="Calibri"/>
                <w:color w:val="000000"/>
                <w:sz w:val="18"/>
                <w:szCs w:val="18"/>
              </w:rPr>
            </w:pPr>
            <w:r>
              <w:rPr>
                <w:rFonts w:ascii="Calibri" w:hAnsi="Calibri" w:cs="Calibri"/>
                <w:color w:val="000000"/>
                <w:sz w:val="18"/>
                <w:szCs w:val="18"/>
              </w:rPr>
              <w:t>Pol.</w:t>
            </w:r>
          </w:p>
        </w:tc>
        <w:tc>
          <w:tcPr>
            <w:tcW w:w="4310" w:type="dxa"/>
            <w:tcBorders>
              <w:top w:val="single" w:sz="4" w:space="0" w:color="auto"/>
              <w:left w:val="nil"/>
              <w:bottom w:val="single" w:sz="4" w:space="0" w:color="auto"/>
              <w:right w:val="single" w:sz="4" w:space="0" w:color="auto"/>
            </w:tcBorders>
            <w:shd w:val="clear" w:color="C4D79B" w:fill="D9E1F2"/>
            <w:noWrap/>
            <w:vAlign w:val="center"/>
            <w:hideMark/>
          </w:tcPr>
          <w:p w:rsidR="002B3045" w:rsidRDefault="002B3045">
            <w:pPr>
              <w:jc w:val="center"/>
              <w:rPr>
                <w:rFonts w:ascii="Calibri" w:hAnsi="Calibri" w:cs="Calibri"/>
                <w:color w:val="000000"/>
                <w:sz w:val="18"/>
                <w:szCs w:val="18"/>
              </w:rPr>
            </w:pPr>
            <w:r>
              <w:rPr>
                <w:rFonts w:ascii="Calibri" w:hAnsi="Calibri" w:cs="Calibri"/>
                <w:color w:val="000000"/>
                <w:sz w:val="18"/>
                <w:szCs w:val="18"/>
              </w:rPr>
              <w:t>Název položky</w:t>
            </w:r>
          </w:p>
        </w:tc>
        <w:tc>
          <w:tcPr>
            <w:tcW w:w="1276" w:type="dxa"/>
            <w:tcBorders>
              <w:top w:val="single" w:sz="4" w:space="0" w:color="auto"/>
              <w:left w:val="nil"/>
              <w:bottom w:val="single" w:sz="4" w:space="0" w:color="auto"/>
              <w:right w:val="single" w:sz="4" w:space="0" w:color="auto"/>
            </w:tcBorders>
            <w:shd w:val="clear" w:color="C4D79B" w:fill="D9E1F2"/>
            <w:noWrap/>
            <w:vAlign w:val="center"/>
            <w:hideMark/>
          </w:tcPr>
          <w:p w:rsidR="002B3045" w:rsidRDefault="002B3045">
            <w:pPr>
              <w:jc w:val="center"/>
              <w:rPr>
                <w:rFonts w:ascii="Calibri" w:hAnsi="Calibri" w:cs="Calibri"/>
                <w:color w:val="000000"/>
                <w:sz w:val="18"/>
                <w:szCs w:val="18"/>
              </w:rPr>
            </w:pPr>
            <w:r>
              <w:rPr>
                <w:rFonts w:ascii="Calibri" w:hAnsi="Calibri" w:cs="Calibri"/>
                <w:color w:val="000000"/>
                <w:sz w:val="18"/>
                <w:szCs w:val="18"/>
              </w:rPr>
              <w:t>Schv. rozpočet</w:t>
            </w:r>
          </w:p>
        </w:tc>
        <w:tc>
          <w:tcPr>
            <w:tcW w:w="1417" w:type="dxa"/>
            <w:tcBorders>
              <w:top w:val="single" w:sz="4" w:space="0" w:color="auto"/>
              <w:left w:val="nil"/>
              <w:bottom w:val="single" w:sz="4" w:space="0" w:color="auto"/>
              <w:right w:val="single" w:sz="4" w:space="0" w:color="auto"/>
            </w:tcBorders>
            <w:shd w:val="clear" w:color="C4D79B" w:fill="D9E1F2"/>
            <w:noWrap/>
            <w:vAlign w:val="center"/>
            <w:hideMark/>
          </w:tcPr>
          <w:p w:rsidR="002B3045" w:rsidRDefault="002B3045">
            <w:pPr>
              <w:jc w:val="center"/>
              <w:rPr>
                <w:rFonts w:ascii="Calibri" w:hAnsi="Calibri" w:cs="Calibri"/>
                <w:color w:val="000000"/>
                <w:sz w:val="18"/>
                <w:szCs w:val="18"/>
              </w:rPr>
            </w:pPr>
            <w:r>
              <w:rPr>
                <w:rFonts w:ascii="Calibri" w:hAnsi="Calibri" w:cs="Calibri"/>
                <w:color w:val="000000"/>
                <w:sz w:val="18"/>
                <w:szCs w:val="18"/>
              </w:rPr>
              <w:t>Upr. rozpočet</w:t>
            </w:r>
          </w:p>
        </w:tc>
        <w:tc>
          <w:tcPr>
            <w:tcW w:w="1418" w:type="dxa"/>
            <w:tcBorders>
              <w:top w:val="single" w:sz="4" w:space="0" w:color="auto"/>
              <w:left w:val="nil"/>
              <w:bottom w:val="single" w:sz="4" w:space="0" w:color="auto"/>
              <w:right w:val="single" w:sz="4" w:space="0" w:color="auto"/>
            </w:tcBorders>
            <w:shd w:val="clear" w:color="C4D79B" w:fill="D9E1F2"/>
            <w:noWrap/>
            <w:vAlign w:val="center"/>
            <w:hideMark/>
          </w:tcPr>
          <w:p w:rsidR="002B3045" w:rsidRDefault="002B3045">
            <w:pPr>
              <w:jc w:val="center"/>
              <w:rPr>
                <w:rFonts w:ascii="Calibri" w:hAnsi="Calibri" w:cs="Calibri"/>
                <w:color w:val="000000"/>
                <w:sz w:val="18"/>
                <w:szCs w:val="18"/>
              </w:rPr>
            </w:pPr>
            <w:r>
              <w:rPr>
                <w:rFonts w:ascii="Calibri" w:hAnsi="Calibri" w:cs="Calibri"/>
                <w:color w:val="000000"/>
                <w:sz w:val="18"/>
                <w:szCs w:val="18"/>
              </w:rPr>
              <w:t>Skutečnost</w:t>
            </w:r>
          </w:p>
        </w:tc>
        <w:tc>
          <w:tcPr>
            <w:tcW w:w="850" w:type="dxa"/>
            <w:tcBorders>
              <w:top w:val="single" w:sz="4" w:space="0" w:color="auto"/>
              <w:left w:val="nil"/>
              <w:bottom w:val="single" w:sz="4" w:space="0" w:color="auto"/>
              <w:right w:val="single" w:sz="4" w:space="0" w:color="auto"/>
            </w:tcBorders>
            <w:shd w:val="clear" w:color="C4D79B" w:fill="D9E1F2"/>
            <w:vAlign w:val="center"/>
            <w:hideMark/>
          </w:tcPr>
          <w:p w:rsidR="002B3045" w:rsidRDefault="002B3045">
            <w:pPr>
              <w:jc w:val="center"/>
              <w:rPr>
                <w:rFonts w:ascii="Calibri" w:hAnsi="Calibri" w:cs="Calibri"/>
                <w:color w:val="000000"/>
                <w:sz w:val="18"/>
                <w:szCs w:val="18"/>
              </w:rPr>
            </w:pPr>
            <w:r>
              <w:rPr>
                <w:rFonts w:ascii="Calibri" w:hAnsi="Calibri" w:cs="Calibri"/>
                <w:color w:val="000000"/>
                <w:sz w:val="18"/>
                <w:szCs w:val="18"/>
              </w:rPr>
              <w:t>Plnění Sk./Upr.</w:t>
            </w:r>
          </w:p>
        </w:tc>
      </w:tr>
      <w:tr w:rsidR="002B3045" w:rsidTr="009732D9">
        <w:trPr>
          <w:trHeight w:val="73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2B3045" w:rsidRDefault="002B3045">
            <w:pPr>
              <w:jc w:val="center"/>
              <w:rPr>
                <w:rFonts w:ascii="Calibri" w:hAnsi="Calibri" w:cs="Calibri"/>
                <w:color w:val="000000"/>
                <w:sz w:val="18"/>
                <w:szCs w:val="18"/>
              </w:rPr>
            </w:pPr>
            <w:r>
              <w:rPr>
                <w:rFonts w:ascii="Calibri" w:hAnsi="Calibri" w:cs="Calibri"/>
                <w:color w:val="000000"/>
                <w:sz w:val="18"/>
                <w:szCs w:val="18"/>
              </w:rPr>
              <w:t>8115</w:t>
            </w:r>
          </w:p>
        </w:tc>
        <w:tc>
          <w:tcPr>
            <w:tcW w:w="4310" w:type="dxa"/>
            <w:tcBorders>
              <w:top w:val="nil"/>
              <w:left w:val="nil"/>
              <w:bottom w:val="single" w:sz="4" w:space="0" w:color="auto"/>
              <w:right w:val="single" w:sz="4" w:space="0" w:color="auto"/>
            </w:tcBorders>
            <w:shd w:val="clear" w:color="auto" w:fill="auto"/>
            <w:vAlign w:val="center"/>
            <w:hideMark/>
          </w:tcPr>
          <w:p w:rsidR="002B3045" w:rsidRDefault="002B3045">
            <w:pPr>
              <w:rPr>
                <w:rFonts w:ascii="Calibri" w:hAnsi="Calibri" w:cs="Calibri"/>
                <w:color w:val="000000"/>
                <w:sz w:val="18"/>
                <w:szCs w:val="18"/>
              </w:rPr>
            </w:pPr>
            <w:r>
              <w:rPr>
                <w:rFonts w:ascii="Calibri" w:hAnsi="Calibri" w:cs="Calibri"/>
                <w:color w:val="000000"/>
                <w:sz w:val="18"/>
                <w:szCs w:val="18"/>
              </w:rPr>
              <w:t>Změna stavu krátkodobých prostředků na běžných účtech kromě změn stavů účtů státních finančních aktiv, které tvoří kapitolu Operace státních finančních aktiv</w:t>
            </w:r>
          </w:p>
        </w:tc>
        <w:tc>
          <w:tcPr>
            <w:tcW w:w="1276" w:type="dxa"/>
            <w:tcBorders>
              <w:top w:val="nil"/>
              <w:left w:val="nil"/>
              <w:bottom w:val="single" w:sz="4" w:space="0" w:color="auto"/>
              <w:right w:val="single" w:sz="4" w:space="0" w:color="auto"/>
            </w:tcBorders>
            <w:shd w:val="clear" w:color="auto" w:fill="auto"/>
            <w:noWrap/>
            <w:vAlign w:val="center"/>
            <w:hideMark/>
          </w:tcPr>
          <w:p w:rsidR="002B3045" w:rsidRDefault="002B3045">
            <w:pPr>
              <w:jc w:val="right"/>
              <w:rPr>
                <w:rFonts w:ascii="Calibri" w:hAnsi="Calibri" w:cs="Calibri"/>
                <w:color w:val="000000"/>
                <w:sz w:val="18"/>
                <w:szCs w:val="18"/>
              </w:rPr>
            </w:pPr>
            <w:r>
              <w:rPr>
                <w:rFonts w:ascii="Calibri" w:hAnsi="Calibri" w:cs="Calibri"/>
                <w:color w:val="000000"/>
                <w:sz w:val="18"/>
                <w:szCs w:val="18"/>
              </w:rPr>
              <w:t>153 631 348,00</w:t>
            </w:r>
          </w:p>
        </w:tc>
        <w:tc>
          <w:tcPr>
            <w:tcW w:w="1417" w:type="dxa"/>
            <w:tcBorders>
              <w:top w:val="nil"/>
              <w:left w:val="nil"/>
              <w:bottom w:val="single" w:sz="4" w:space="0" w:color="auto"/>
              <w:right w:val="single" w:sz="4" w:space="0" w:color="auto"/>
            </w:tcBorders>
            <w:shd w:val="clear" w:color="auto" w:fill="auto"/>
            <w:noWrap/>
            <w:vAlign w:val="center"/>
            <w:hideMark/>
          </w:tcPr>
          <w:p w:rsidR="002B3045" w:rsidRDefault="002B3045">
            <w:pPr>
              <w:jc w:val="right"/>
              <w:rPr>
                <w:rFonts w:ascii="Calibri" w:hAnsi="Calibri" w:cs="Calibri"/>
                <w:color w:val="000000"/>
                <w:sz w:val="18"/>
                <w:szCs w:val="18"/>
              </w:rPr>
            </w:pPr>
            <w:r>
              <w:rPr>
                <w:rFonts w:ascii="Calibri" w:hAnsi="Calibri" w:cs="Calibri"/>
                <w:color w:val="000000"/>
                <w:sz w:val="18"/>
                <w:szCs w:val="18"/>
              </w:rPr>
              <w:t>208 434 589,42</w:t>
            </w:r>
          </w:p>
        </w:tc>
        <w:tc>
          <w:tcPr>
            <w:tcW w:w="1418" w:type="dxa"/>
            <w:tcBorders>
              <w:top w:val="nil"/>
              <w:left w:val="nil"/>
              <w:bottom w:val="single" w:sz="4" w:space="0" w:color="auto"/>
              <w:right w:val="single" w:sz="4" w:space="0" w:color="auto"/>
            </w:tcBorders>
            <w:shd w:val="clear" w:color="auto" w:fill="auto"/>
            <w:noWrap/>
            <w:vAlign w:val="center"/>
            <w:hideMark/>
          </w:tcPr>
          <w:p w:rsidR="002B3045" w:rsidRDefault="002B3045">
            <w:pPr>
              <w:jc w:val="right"/>
              <w:rPr>
                <w:rFonts w:ascii="Calibri" w:hAnsi="Calibri" w:cs="Calibri"/>
                <w:color w:val="000000"/>
                <w:sz w:val="18"/>
                <w:szCs w:val="18"/>
              </w:rPr>
            </w:pPr>
            <w:r>
              <w:rPr>
                <w:rFonts w:ascii="Calibri" w:hAnsi="Calibri" w:cs="Calibri"/>
                <w:color w:val="000000"/>
                <w:sz w:val="18"/>
                <w:szCs w:val="18"/>
              </w:rPr>
              <w:t>-13 886 312,86</w:t>
            </w:r>
          </w:p>
        </w:tc>
        <w:tc>
          <w:tcPr>
            <w:tcW w:w="850" w:type="dxa"/>
            <w:tcBorders>
              <w:top w:val="nil"/>
              <w:left w:val="nil"/>
              <w:bottom w:val="single" w:sz="4" w:space="0" w:color="auto"/>
              <w:right w:val="single" w:sz="4" w:space="0" w:color="auto"/>
            </w:tcBorders>
            <w:shd w:val="clear" w:color="auto" w:fill="auto"/>
            <w:noWrap/>
            <w:vAlign w:val="center"/>
            <w:hideMark/>
          </w:tcPr>
          <w:p w:rsidR="002B3045" w:rsidRDefault="002B3045" w:rsidP="009732D9">
            <w:pPr>
              <w:jc w:val="right"/>
              <w:rPr>
                <w:rFonts w:ascii="Calibri" w:hAnsi="Calibri" w:cs="Calibri"/>
                <w:color w:val="000000"/>
                <w:sz w:val="18"/>
                <w:szCs w:val="18"/>
              </w:rPr>
            </w:pPr>
            <w:r>
              <w:rPr>
                <w:rFonts w:ascii="Calibri" w:hAnsi="Calibri" w:cs="Calibri"/>
                <w:color w:val="000000"/>
                <w:sz w:val="18"/>
                <w:szCs w:val="18"/>
              </w:rPr>
              <w:t>-</w:t>
            </w:r>
            <w:r w:rsidR="009732D9">
              <w:rPr>
                <w:rFonts w:ascii="Calibri" w:hAnsi="Calibri" w:cs="Calibri"/>
                <w:color w:val="000000"/>
                <w:sz w:val="18"/>
                <w:szCs w:val="18"/>
              </w:rPr>
              <w:t>6,66</w:t>
            </w:r>
            <w:r>
              <w:rPr>
                <w:rFonts w:ascii="Calibri" w:hAnsi="Calibri" w:cs="Calibri"/>
                <w:color w:val="000000"/>
                <w:sz w:val="18"/>
                <w:szCs w:val="18"/>
              </w:rPr>
              <w:t xml:space="preserve"> %</w:t>
            </w:r>
          </w:p>
        </w:tc>
      </w:tr>
      <w:tr w:rsidR="002B3045" w:rsidTr="009732D9">
        <w:trPr>
          <w:trHeight w:val="3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2B3045" w:rsidRDefault="002B3045">
            <w:pPr>
              <w:jc w:val="center"/>
              <w:rPr>
                <w:rFonts w:ascii="Calibri" w:hAnsi="Calibri" w:cs="Calibri"/>
                <w:color w:val="000000"/>
                <w:sz w:val="18"/>
                <w:szCs w:val="18"/>
              </w:rPr>
            </w:pPr>
            <w:r>
              <w:rPr>
                <w:rFonts w:ascii="Calibri" w:hAnsi="Calibri" w:cs="Calibri"/>
                <w:color w:val="000000"/>
                <w:sz w:val="18"/>
                <w:szCs w:val="18"/>
              </w:rPr>
              <w:t>8118</w:t>
            </w:r>
          </w:p>
        </w:tc>
        <w:tc>
          <w:tcPr>
            <w:tcW w:w="4310" w:type="dxa"/>
            <w:tcBorders>
              <w:top w:val="nil"/>
              <w:left w:val="nil"/>
              <w:bottom w:val="single" w:sz="4" w:space="0" w:color="auto"/>
              <w:right w:val="single" w:sz="4" w:space="0" w:color="auto"/>
            </w:tcBorders>
            <w:shd w:val="clear" w:color="auto" w:fill="auto"/>
            <w:vAlign w:val="center"/>
            <w:hideMark/>
          </w:tcPr>
          <w:p w:rsidR="002B3045" w:rsidRDefault="002B3045">
            <w:pPr>
              <w:rPr>
                <w:rFonts w:ascii="Calibri" w:hAnsi="Calibri" w:cs="Calibri"/>
                <w:color w:val="000000"/>
                <w:sz w:val="18"/>
                <w:szCs w:val="18"/>
              </w:rPr>
            </w:pPr>
            <w:r>
              <w:rPr>
                <w:rFonts w:ascii="Calibri" w:hAnsi="Calibri" w:cs="Calibri"/>
                <w:color w:val="000000"/>
                <w:sz w:val="18"/>
                <w:szCs w:val="18"/>
              </w:rPr>
              <w:t>Aktivní krátk. operace řízení likvidity - výdaje</w:t>
            </w:r>
          </w:p>
        </w:tc>
        <w:tc>
          <w:tcPr>
            <w:tcW w:w="1276" w:type="dxa"/>
            <w:tcBorders>
              <w:top w:val="nil"/>
              <w:left w:val="nil"/>
              <w:bottom w:val="single" w:sz="4" w:space="0" w:color="auto"/>
              <w:right w:val="single" w:sz="4" w:space="0" w:color="auto"/>
            </w:tcBorders>
            <w:shd w:val="clear" w:color="auto" w:fill="auto"/>
            <w:noWrap/>
            <w:vAlign w:val="center"/>
            <w:hideMark/>
          </w:tcPr>
          <w:p w:rsidR="002B3045" w:rsidRDefault="002B3045">
            <w:pPr>
              <w:jc w:val="right"/>
              <w:rPr>
                <w:rFonts w:ascii="Calibri" w:hAnsi="Calibri" w:cs="Calibri"/>
                <w:color w:val="000000"/>
                <w:sz w:val="18"/>
                <w:szCs w:val="18"/>
              </w:rPr>
            </w:pPr>
            <w:r>
              <w:rPr>
                <w:rFonts w:ascii="Calibri" w:hAnsi="Calibri" w:cs="Calibri"/>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center"/>
            <w:hideMark/>
          </w:tcPr>
          <w:p w:rsidR="002B3045" w:rsidRDefault="002B3045">
            <w:pPr>
              <w:jc w:val="right"/>
              <w:rPr>
                <w:rFonts w:ascii="Calibri" w:hAnsi="Calibri" w:cs="Calibri"/>
                <w:color w:val="000000"/>
                <w:sz w:val="18"/>
                <w:szCs w:val="18"/>
              </w:rPr>
            </w:pPr>
            <w:r>
              <w:rPr>
                <w:rFonts w:ascii="Calibri" w:hAnsi="Calibri" w:cs="Calibri"/>
                <w:color w:val="000000"/>
                <w:sz w:val="18"/>
                <w:szCs w:val="18"/>
              </w:rPr>
              <w:t>0,00</w:t>
            </w:r>
          </w:p>
        </w:tc>
        <w:tc>
          <w:tcPr>
            <w:tcW w:w="1418" w:type="dxa"/>
            <w:tcBorders>
              <w:top w:val="nil"/>
              <w:left w:val="nil"/>
              <w:bottom w:val="single" w:sz="4" w:space="0" w:color="auto"/>
              <w:right w:val="single" w:sz="4" w:space="0" w:color="auto"/>
            </w:tcBorders>
            <w:shd w:val="clear" w:color="auto" w:fill="auto"/>
            <w:noWrap/>
            <w:vAlign w:val="center"/>
            <w:hideMark/>
          </w:tcPr>
          <w:p w:rsidR="002B3045" w:rsidRDefault="002B3045">
            <w:pPr>
              <w:jc w:val="right"/>
              <w:rPr>
                <w:rFonts w:ascii="Calibri" w:hAnsi="Calibri" w:cs="Calibri"/>
                <w:color w:val="000000"/>
                <w:sz w:val="18"/>
                <w:szCs w:val="18"/>
              </w:rPr>
            </w:pPr>
            <w:r>
              <w:rPr>
                <w:rFonts w:ascii="Calibri" w:hAnsi="Calibri" w:cs="Calibri"/>
                <w:color w:val="000000"/>
                <w:sz w:val="18"/>
                <w:szCs w:val="18"/>
              </w:rPr>
              <w:t>-104 047 745,81</w:t>
            </w:r>
          </w:p>
        </w:tc>
        <w:tc>
          <w:tcPr>
            <w:tcW w:w="850" w:type="dxa"/>
            <w:tcBorders>
              <w:top w:val="nil"/>
              <w:left w:val="nil"/>
              <w:bottom w:val="single" w:sz="4" w:space="0" w:color="auto"/>
              <w:right w:val="single" w:sz="4" w:space="0" w:color="auto"/>
            </w:tcBorders>
            <w:shd w:val="clear" w:color="auto" w:fill="auto"/>
            <w:noWrap/>
            <w:vAlign w:val="center"/>
            <w:hideMark/>
          </w:tcPr>
          <w:p w:rsidR="002B3045" w:rsidRDefault="002B3045">
            <w:pPr>
              <w:jc w:val="right"/>
              <w:rPr>
                <w:rFonts w:ascii="Calibri" w:hAnsi="Calibri" w:cs="Calibri"/>
                <w:color w:val="000000"/>
                <w:sz w:val="18"/>
                <w:szCs w:val="18"/>
              </w:rPr>
            </w:pPr>
            <w:r>
              <w:rPr>
                <w:rFonts w:ascii="Calibri" w:hAnsi="Calibri" w:cs="Calibri"/>
                <w:color w:val="000000"/>
                <w:sz w:val="18"/>
                <w:szCs w:val="18"/>
              </w:rPr>
              <w:t>*****</w:t>
            </w:r>
          </w:p>
        </w:tc>
      </w:tr>
      <w:tr w:rsidR="002B3045" w:rsidTr="009732D9">
        <w:trPr>
          <w:trHeight w:val="495"/>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2B3045" w:rsidRDefault="002B3045">
            <w:pPr>
              <w:jc w:val="center"/>
              <w:rPr>
                <w:rFonts w:ascii="Calibri" w:hAnsi="Calibri" w:cs="Calibri"/>
                <w:color w:val="000000"/>
                <w:sz w:val="18"/>
                <w:szCs w:val="18"/>
              </w:rPr>
            </w:pPr>
            <w:r>
              <w:rPr>
                <w:rFonts w:ascii="Calibri" w:hAnsi="Calibri" w:cs="Calibri"/>
                <w:color w:val="000000"/>
                <w:sz w:val="18"/>
                <w:szCs w:val="18"/>
              </w:rPr>
              <w:t>8901</w:t>
            </w:r>
          </w:p>
        </w:tc>
        <w:tc>
          <w:tcPr>
            <w:tcW w:w="4310" w:type="dxa"/>
            <w:tcBorders>
              <w:top w:val="nil"/>
              <w:left w:val="nil"/>
              <w:bottom w:val="single" w:sz="4" w:space="0" w:color="auto"/>
              <w:right w:val="single" w:sz="4" w:space="0" w:color="auto"/>
            </w:tcBorders>
            <w:shd w:val="clear" w:color="auto" w:fill="auto"/>
            <w:vAlign w:val="center"/>
            <w:hideMark/>
          </w:tcPr>
          <w:p w:rsidR="002B3045" w:rsidRDefault="002B3045">
            <w:pPr>
              <w:rPr>
                <w:rFonts w:ascii="Calibri" w:hAnsi="Calibri" w:cs="Calibri"/>
                <w:color w:val="000000"/>
                <w:sz w:val="18"/>
                <w:szCs w:val="18"/>
              </w:rPr>
            </w:pPr>
            <w:r>
              <w:rPr>
                <w:rFonts w:ascii="Calibri" w:hAnsi="Calibri" w:cs="Calibri"/>
                <w:color w:val="000000"/>
                <w:sz w:val="18"/>
                <w:szCs w:val="18"/>
              </w:rPr>
              <w:t>Operace z peněžních účtů organizace nemající charakter příjmů a výdajů vládního sektoru</w:t>
            </w:r>
          </w:p>
        </w:tc>
        <w:tc>
          <w:tcPr>
            <w:tcW w:w="1276" w:type="dxa"/>
            <w:tcBorders>
              <w:top w:val="nil"/>
              <w:left w:val="nil"/>
              <w:bottom w:val="single" w:sz="4" w:space="0" w:color="auto"/>
              <w:right w:val="single" w:sz="4" w:space="0" w:color="auto"/>
            </w:tcBorders>
            <w:shd w:val="clear" w:color="auto" w:fill="auto"/>
            <w:noWrap/>
            <w:vAlign w:val="center"/>
            <w:hideMark/>
          </w:tcPr>
          <w:p w:rsidR="002B3045" w:rsidRDefault="002B3045">
            <w:pPr>
              <w:jc w:val="right"/>
              <w:rPr>
                <w:rFonts w:ascii="Calibri" w:hAnsi="Calibri" w:cs="Calibri"/>
                <w:color w:val="000000"/>
                <w:sz w:val="18"/>
                <w:szCs w:val="18"/>
              </w:rPr>
            </w:pPr>
            <w:r>
              <w:rPr>
                <w:rFonts w:ascii="Calibri" w:hAnsi="Calibri" w:cs="Calibri"/>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center"/>
            <w:hideMark/>
          </w:tcPr>
          <w:p w:rsidR="002B3045" w:rsidRDefault="002B3045">
            <w:pPr>
              <w:jc w:val="right"/>
              <w:rPr>
                <w:rFonts w:ascii="Calibri" w:hAnsi="Calibri" w:cs="Calibri"/>
                <w:color w:val="000000"/>
                <w:sz w:val="18"/>
                <w:szCs w:val="18"/>
              </w:rPr>
            </w:pPr>
            <w:r>
              <w:rPr>
                <w:rFonts w:ascii="Calibri" w:hAnsi="Calibri" w:cs="Calibri"/>
                <w:color w:val="000000"/>
                <w:sz w:val="18"/>
                <w:szCs w:val="18"/>
              </w:rPr>
              <w:t>0,00</w:t>
            </w:r>
          </w:p>
        </w:tc>
        <w:tc>
          <w:tcPr>
            <w:tcW w:w="1418" w:type="dxa"/>
            <w:tcBorders>
              <w:top w:val="nil"/>
              <w:left w:val="nil"/>
              <w:bottom w:val="single" w:sz="4" w:space="0" w:color="auto"/>
              <w:right w:val="single" w:sz="4" w:space="0" w:color="auto"/>
            </w:tcBorders>
            <w:shd w:val="clear" w:color="auto" w:fill="auto"/>
            <w:noWrap/>
            <w:vAlign w:val="center"/>
            <w:hideMark/>
          </w:tcPr>
          <w:p w:rsidR="002B3045" w:rsidRDefault="002B3045">
            <w:pPr>
              <w:jc w:val="right"/>
              <w:rPr>
                <w:rFonts w:ascii="Calibri" w:hAnsi="Calibri" w:cs="Calibri"/>
                <w:color w:val="000000"/>
                <w:sz w:val="18"/>
                <w:szCs w:val="18"/>
              </w:rPr>
            </w:pPr>
            <w:r>
              <w:rPr>
                <w:rFonts w:ascii="Calibri" w:hAnsi="Calibri" w:cs="Calibri"/>
                <w:color w:val="000000"/>
                <w:sz w:val="18"/>
                <w:szCs w:val="18"/>
              </w:rPr>
              <w:t>3 801 974,87</w:t>
            </w:r>
          </w:p>
        </w:tc>
        <w:tc>
          <w:tcPr>
            <w:tcW w:w="850" w:type="dxa"/>
            <w:tcBorders>
              <w:top w:val="nil"/>
              <w:left w:val="nil"/>
              <w:bottom w:val="single" w:sz="4" w:space="0" w:color="auto"/>
              <w:right w:val="single" w:sz="4" w:space="0" w:color="auto"/>
            </w:tcBorders>
            <w:shd w:val="clear" w:color="auto" w:fill="auto"/>
            <w:noWrap/>
            <w:vAlign w:val="center"/>
            <w:hideMark/>
          </w:tcPr>
          <w:p w:rsidR="002B3045" w:rsidRDefault="002B3045">
            <w:pPr>
              <w:jc w:val="right"/>
              <w:rPr>
                <w:rFonts w:ascii="Calibri" w:hAnsi="Calibri" w:cs="Calibri"/>
                <w:color w:val="000000"/>
                <w:sz w:val="18"/>
                <w:szCs w:val="18"/>
              </w:rPr>
            </w:pPr>
            <w:r>
              <w:rPr>
                <w:rFonts w:ascii="Calibri" w:hAnsi="Calibri" w:cs="Calibri"/>
                <w:color w:val="000000"/>
                <w:sz w:val="18"/>
                <w:szCs w:val="18"/>
              </w:rPr>
              <w:t>*****</w:t>
            </w:r>
          </w:p>
        </w:tc>
      </w:tr>
      <w:tr w:rsidR="002B3045" w:rsidTr="009732D9">
        <w:trPr>
          <w:trHeight w:val="300"/>
        </w:trPr>
        <w:tc>
          <w:tcPr>
            <w:tcW w:w="4815" w:type="dxa"/>
            <w:gridSpan w:val="2"/>
            <w:tcBorders>
              <w:top w:val="single" w:sz="4" w:space="0" w:color="auto"/>
              <w:left w:val="single" w:sz="4" w:space="0" w:color="auto"/>
              <w:bottom w:val="single" w:sz="4" w:space="0" w:color="auto"/>
              <w:right w:val="single" w:sz="4" w:space="0" w:color="auto"/>
            </w:tcBorders>
            <w:shd w:val="clear" w:color="C4D79B" w:fill="D9E1F2"/>
            <w:noWrap/>
            <w:vAlign w:val="center"/>
            <w:hideMark/>
          </w:tcPr>
          <w:p w:rsidR="002B3045" w:rsidRDefault="002B3045">
            <w:pPr>
              <w:rPr>
                <w:rFonts w:ascii="Calibri" w:hAnsi="Calibri" w:cs="Calibri"/>
                <w:b/>
                <w:bCs/>
                <w:color w:val="000000"/>
                <w:sz w:val="18"/>
                <w:szCs w:val="18"/>
              </w:rPr>
            </w:pPr>
            <w:r>
              <w:rPr>
                <w:rFonts w:ascii="Calibri" w:hAnsi="Calibri" w:cs="Calibri"/>
                <w:b/>
                <w:bCs/>
                <w:color w:val="000000"/>
                <w:sz w:val="18"/>
                <w:szCs w:val="18"/>
              </w:rPr>
              <w:t>Financování celkem</w:t>
            </w:r>
          </w:p>
        </w:tc>
        <w:tc>
          <w:tcPr>
            <w:tcW w:w="1276" w:type="dxa"/>
            <w:tcBorders>
              <w:top w:val="nil"/>
              <w:left w:val="nil"/>
              <w:bottom w:val="single" w:sz="4" w:space="0" w:color="auto"/>
              <w:right w:val="single" w:sz="4" w:space="0" w:color="auto"/>
            </w:tcBorders>
            <w:shd w:val="clear" w:color="C4D79B" w:fill="D9E1F2"/>
            <w:noWrap/>
            <w:vAlign w:val="center"/>
            <w:hideMark/>
          </w:tcPr>
          <w:p w:rsidR="002B3045" w:rsidRDefault="002B3045">
            <w:pPr>
              <w:jc w:val="right"/>
              <w:rPr>
                <w:rFonts w:ascii="Calibri" w:hAnsi="Calibri" w:cs="Calibri"/>
                <w:b/>
                <w:bCs/>
                <w:color w:val="000000"/>
                <w:sz w:val="18"/>
                <w:szCs w:val="18"/>
              </w:rPr>
            </w:pPr>
            <w:r>
              <w:rPr>
                <w:rFonts w:ascii="Calibri" w:hAnsi="Calibri" w:cs="Calibri"/>
                <w:b/>
                <w:bCs/>
                <w:color w:val="000000"/>
                <w:sz w:val="18"/>
                <w:szCs w:val="18"/>
              </w:rPr>
              <w:t>153 631 348,00</w:t>
            </w:r>
          </w:p>
        </w:tc>
        <w:tc>
          <w:tcPr>
            <w:tcW w:w="1417" w:type="dxa"/>
            <w:tcBorders>
              <w:top w:val="nil"/>
              <w:left w:val="nil"/>
              <w:bottom w:val="single" w:sz="4" w:space="0" w:color="auto"/>
              <w:right w:val="single" w:sz="4" w:space="0" w:color="auto"/>
            </w:tcBorders>
            <w:shd w:val="clear" w:color="C4D79B" w:fill="D9E1F2"/>
            <w:noWrap/>
            <w:vAlign w:val="center"/>
            <w:hideMark/>
          </w:tcPr>
          <w:p w:rsidR="002B3045" w:rsidRDefault="002B3045">
            <w:pPr>
              <w:jc w:val="right"/>
              <w:rPr>
                <w:rFonts w:ascii="Calibri" w:hAnsi="Calibri" w:cs="Calibri"/>
                <w:b/>
                <w:bCs/>
                <w:color w:val="000000"/>
                <w:sz w:val="18"/>
                <w:szCs w:val="18"/>
              </w:rPr>
            </w:pPr>
            <w:r>
              <w:rPr>
                <w:rFonts w:ascii="Calibri" w:hAnsi="Calibri" w:cs="Calibri"/>
                <w:b/>
                <w:bCs/>
                <w:color w:val="000000"/>
                <w:sz w:val="18"/>
                <w:szCs w:val="18"/>
              </w:rPr>
              <w:t>208 434 589,42</w:t>
            </w:r>
          </w:p>
        </w:tc>
        <w:tc>
          <w:tcPr>
            <w:tcW w:w="1418" w:type="dxa"/>
            <w:tcBorders>
              <w:top w:val="nil"/>
              <w:left w:val="nil"/>
              <w:bottom w:val="single" w:sz="4" w:space="0" w:color="auto"/>
              <w:right w:val="single" w:sz="4" w:space="0" w:color="auto"/>
            </w:tcBorders>
            <w:shd w:val="clear" w:color="C4D79B" w:fill="D9E1F2"/>
            <w:noWrap/>
            <w:vAlign w:val="center"/>
            <w:hideMark/>
          </w:tcPr>
          <w:p w:rsidR="002B3045" w:rsidRDefault="002B3045">
            <w:pPr>
              <w:jc w:val="right"/>
              <w:rPr>
                <w:rFonts w:ascii="Calibri" w:hAnsi="Calibri" w:cs="Calibri"/>
                <w:b/>
                <w:bCs/>
                <w:color w:val="000000"/>
                <w:sz w:val="18"/>
                <w:szCs w:val="18"/>
              </w:rPr>
            </w:pPr>
            <w:r>
              <w:rPr>
                <w:rFonts w:ascii="Calibri" w:hAnsi="Calibri" w:cs="Calibri"/>
                <w:b/>
                <w:bCs/>
                <w:color w:val="000000"/>
                <w:sz w:val="18"/>
                <w:szCs w:val="18"/>
              </w:rPr>
              <w:t>-114 132 083,80</w:t>
            </w:r>
          </w:p>
        </w:tc>
        <w:tc>
          <w:tcPr>
            <w:tcW w:w="850" w:type="dxa"/>
            <w:tcBorders>
              <w:top w:val="nil"/>
              <w:left w:val="nil"/>
              <w:bottom w:val="single" w:sz="4" w:space="0" w:color="auto"/>
              <w:right w:val="single" w:sz="4" w:space="0" w:color="auto"/>
            </w:tcBorders>
            <w:shd w:val="clear" w:color="C4D79B" w:fill="D9E1F2"/>
            <w:noWrap/>
            <w:vAlign w:val="center"/>
            <w:hideMark/>
          </w:tcPr>
          <w:p w:rsidR="002B3045" w:rsidRPr="009732D9" w:rsidRDefault="002B3045" w:rsidP="009732D9">
            <w:pPr>
              <w:jc w:val="right"/>
              <w:rPr>
                <w:rFonts w:ascii="Calibri" w:hAnsi="Calibri" w:cs="Calibri"/>
                <w:b/>
                <w:bCs/>
                <w:color w:val="000000"/>
                <w:sz w:val="18"/>
                <w:szCs w:val="18"/>
              </w:rPr>
            </w:pPr>
            <w:r w:rsidRPr="009732D9">
              <w:rPr>
                <w:rFonts w:ascii="Calibri" w:hAnsi="Calibri" w:cs="Calibri"/>
                <w:b/>
                <w:bCs/>
                <w:color w:val="000000"/>
                <w:sz w:val="18"/>
                <w:szCs w:val="18"/>
              </w:rPr>
              <w:t>-</w:t>
            </w:r>
            <w:r w:rsidR="009732D9" w:rsidRPr="009732D9">
              <w:rPr>
                <w:rFonts w:ascii="Calibri" w:hAnsi="Calibri" w:cs="Calibri"/>
                <w:b/>
                <w:bCs/>
                <w:color w:val="000000"/>
                <w:sz w:val="18"/>
                <w:szCs w:val="18"/>
              </w:rPr>
              <w:t xml:space="preserve">54,76 </w:t>
            </w:r>
            <w:r w:rsidRPr="009732D9">
              <w:rPr>
                <w:rFonts w:ascii="Calibri" w:hAnsi="Calibri" w:cs="Calibri"/>
                <w:b/>
                <w:bCs/>
                <w:color w:val="000000"/>
                <w:sz w:val="18"/>
                <w:szCs w:val="18"/>
              </w:rPr>
              <w:t>%</w:t>
            </w:r>
          </w:p>
        </w:tc>
      </w:tr>
    </w:tbl>
    <w:p w:rsidR="002B3045" w:rsidRDefault="002B3045" w:rsidP="002B3045"/>
    <w:p w:rsidR="002B3045" w:rsidRPr="002B3045" w:rsidRDefault="002B3045" w:rsidP="002B3045"/>
    <w:p w:rsidR="0020195F" w:rsidRDefault="005D18E2" w:rsidP="00742F8B">
      <w:pPr>
        <w:pStyle w:val="Nadpis2"/>
        <w:rPr>
          <w:sz w:val="24"/>
        </w:rPr>
      </w:pPr>
      <w:bookmarkStart w:id="48" w:name="_Toc39129535"/>
      <w:r w:rsidRPr="0068190F">
        <w:rPr>
          <w:sz w:val="24"/>
        </w:rPr>
        <w:lastRenderedPageBreak/>
        <w:t>Hospodaření měs</w:t>
      </w:r>
      <w:r w:rsidR="00DF7C0E" w:rsidRPr="0068190F">
        <w:rPr>
          <w:sz w:val="24"/>
        </w:rPr>
        <w:t xml:space="preserve">ta podle </w:t>
      </w:r>
      <w:r w:rsidR="0088517D" w:rsidRPr="0068190F">
        <w:rPr>
          <w:sz w:val="24"/>
        </w:rPr>
        <w:t>kapitol</w:t>
      </w:r>
      <w:r w:rsidR="006D4B94" w:rsidRPr="0068190F">
        <w:rPr>
          <w:sz w:val="24"/>
        </w:rPr>
        <w:t xml:space="preserve"> před konsolidací</w:t>
      </w:r>
      <w:r w:rsidR="00B67E54" w:rsidRPr="0068190F">
        <w:rPr>
          <w:sz w:val="24"/>
        </w:rPr>
        <w:t xml:space="preserve"> – rok 202</w:t>
      </w:r>
      <w:r w:rsidR="002B3045">
        <w:rPr>
          <w:sz w:val="24"/>
        </w:rPr>
        <w:t>2</w:t>
      </w:r>
      <w:r w:rsidR="009541C1" w:rsidRPr="0068190F">
        <w:rPr>
          <w:sz w:val="24"/>
        </w:rPr>
        <w:t xml:space="preserve"> (v Kč)</w:t>
      </w:r>
      <w:bookmarkEnd w:id="48"/>
    </w:p>
    <w:tbl>
      <w:tblPr>
        <w:tblW w:w="8784" w:type="dxa"/>
        <w:tblCellMar>
          <w:left w:w="70" w:type="dxa"/>
          <w:right w:w="70" w:type="dxa"/>
        </w:tblCellMar>
        <w:tblLook w:val="04A0" w:firstRow="1" w:lastRow="0" w:firstColumn="1" w:lastColumn="0" w:noHBand="0" w:noVBand="1"/>
      </w:tblPr>
      <w:tblGrid>
        <w:gridCol w:w="600"/>
        <w:gridCol w:w="3506"/>
        <w:gridCol w:w="1559"/>
        <w:gridCol w:w="1701"/>
        <w:gridCol w:w="1418"/>
      </w:tblGrid>
      <w:tr w:rsidR="002B3045" w:rsidTr="002B3045">
        <w:trPr>
          <w:trHeight w:val="272"/>
        </w:trPr>
        <w:tc>
          <w:tcPr>
            <w:tcW w:w="600" w:type="dxa"/>
            <w:tcBorders>
              <w:top w:val="single" w:sz="4" w:space="0" w:color="auto"/>
              <w:left w:val="single" w:sz="4" w:space="0" w:color="auto"/>
              <w:bottom w:val="single" w:sz="4" w:space="0" w:color="auto"/>
              <w:right w:val="single" w:sz="4" w:space="0" w:color="auto"/>
            </w:tcBorders>
            <w:shd w:val="clear" w:color="EE8137" w:fill="F79646"/>
            <w:noWrap/>
            <w:vAlign w:val="center"/>
            <w:hideMark/>
          </w:tcPr>
          <w:p w:rsidR="002B3045" w:rsidRPr="002B3045" w:rsidRDefault="002B3045">
            <w:pPr>
              <w:jc w:val="center"/>
              <w:rPr>
                <w:rFonts w:ascii="Calibri" w:hAnsi="Calibri" w:cs="Calibri"/>
                <w:b/>
                <w:bCs/>
                <w:color w:val="000000"/>
                <w:sz w:val="18"/>
                <w:szCs w:val="18"/>
              </w:rPr>
            </w:pPr>
            <w:r w:rsidRPr="002B3045">
              <w:rPr>
                <w:rFonts w:ascii="Calibri" w:hAnsi="Calibri" w:cs="Calibri"/>
                <w:b/>
                <w:bCs/>
                <w:color w:val="000000"/>
                <w:sz w:val="18"/>
                <w:szCs w:val="18"/>
              </w:rPr>
              <w:t>ORJ</w:t>
            </w:r>
          </w:p>
        </w:tc>
        <w:tc>
          <w:tcPr>
            <w:tcW w:w="3506" w:type="dxa"/>
            <w:tcBorders>
              <w:top w:val="single" w:sz="4" w:space="0" w:color="auto"/>
              <w:left w:val="nil"/>
              <w:bottom w:val="single" w:sz="4" w:space="0" w:color="auto"/>
              <w:right w:val="single" w:sz="4" w:space="0" w:color="auto"/>
            </w:tcBorders>
            <w:shd w:val="clear" w:color="EE8137" w:fill="F79646"/>
            <w:noWrap/>
            <w:vAlign w:val="center"/>
            <w:hideMark/>
          </w:tcPr>
          <w:p w:rsidR="002B3045" w:rsidRPr="002B3045" w:rsidRDefault="002B3045">
            <w:pPr>
              <w:jc w:val="center"/>
              <w:rPr>
                <w:rFonts w:ascii="Calibri" w:hAnsi="Calibri" w:cs="Calibri"/>
                <w:b/>
                <w:bCs/>
                <w:color w:val="000000"/>
                <w:sz w:val="18"/>
                <w:szCs w:val="18"/>
              </w:rPr>
            </w:pPr>
            <w:r w:rsidRPr="002B3045">
              <w:rPr>
                <w:rFonts w:ascii="Calibri" w:hAnsi="Calibri" w:cs="Calibri"/>
                <w:b/>
                <w:bCs/>
                <w:color w:val="000000"/>
                <w:sz w:val="18"/>
                <w:szCs w:val="18"/>
              </w:rPr>
              <w:t>Název ORJ</w:t>
            </w:r>
          </w:p>
        </w:tc>
        <w:tc>
          <w:tcPr>
            <w:tcW w:w="1559" w:type="dxa"/>
            <w:tcBorders>
              <w:top w:val="single" w:sz="4" w:space="0" w:color="auto"/>
              <w:left w:val="nil"/>
              <w:bottom w:val="single" w:sz="4" w:space="0" w:color="auto"/>
              <w:right w:val="single" w:sz="4" w:space="0" w:color="auto"/>
            </w:tcBorders>
            <w:shd w:val="clear" w:color="EE8137" w:fill="F79646"/>
            <w:noWrap/>
            <w:vAlign w:val="center"/>
            <w:hideMark/>
          </w:tcPr>
          <w:p w:rsidR="002B3045" w:rsidRPr="002B3045" w:rsidRDefault="002B3045">
            <w:pPr>
              <w:jc w:val="center"/>
              <w:rPr>
                <w:rFonts w:ascii="Calibri" w:hAnsi="Calibri" w:cs="Calibri"/>
                <w:b/>
                <w:bCs/>
                <w:color w:val="000000"/>
                <w:sz w:val="18"/>
                <w:szCs w:val="18"/>
              </w:rPr>
            </w:pPr>
            <w:r w:rsidRPr="002B3045">
              <w:rPr>
                <w:rFonts w:ascii="Calibri" w:hAnsi="Calibri" w:cs="Calibri"/>
                <w:b/>
                <w:bCs/>
                <w:color w:val="000000"/>
                <w:sz w:val="18"/>
                <w:szCs w:val="18"/>
              </w:rPr>
              <w:t>Příjmy ORJ</w:t>
            </w:r>
          </w:p>
        </w:tc>
        <w:tc>
          <w:tcPr>
            <w:tcW w:w="1701" w:type="dxa"/>
            <w:tcBorders>
              <w:top w:val="single" w:sz="4" w:space="0" w:color="auto"/>
              <w:left w:val="nil"/>
              <w:bottom w:val="single" w:sz="4" w:space="0" w:color="auto"/>
              <w:right w:val="single" w:sz="4" w:space="0" w:color="auto"/>
            </w:tcBorders>
            <w:shd w:val="clear" w:color="EE8137" w:fill="F79646"/>
            <w:noWrap/>
            <w:vAlign w:val="center"/>
            <w:hideMark/>
          </w:tcPr>
          <w:p w:rsidR="002B3045" w:rsidRPr="002B3045" w:rsidRDefault="002B3045">
            <w:pPr>
              <w:jc w:val="center"/>
              <w:rPr>
                <w:rFonts w:ascii="Calibri" w:hAnsi="Calibri" w:cs="Calibri"/>
                <w:b/>
                <w:bCs/>
                <w:color w:val="000000"/>
                <w:sz w:val="18"/>
                <w:szCs w:val="18"/>
              </w:rPr>
            </w:pPr>
            <w:r w:rsidRPr="002B3045">
              <w:rPr>
                <w:rFonts w:ascii="Calibri" w:hAnsi="Calibri" w:cs="Calibri"/>
                <w:b/>
                <w:bCs/>
                <w:color w:val="000000"/>
                <w:sz w:val="18"/>
                <w:szCs w:val="18"/>
              </w:rPr>
              <w:t>Výdaje ORJ</w:t>
            </w:r>
          </w:p>
        </w:tc>
        <w:tc>
          <w:tcPr>
            <w:tcW w:w="1418" w:type="dxa"/>
            <w:tcBorders>
              <w:top w:val="single" w:sz="4" w:space="0" w:color="auto"/>
              <w:left w:val="nil"/>
              <w:bottom w:val="single" w:sz="4" w:space="0" w:color="auto"/>
              <w:right w:val="single" w:sz="4" w:space="0" w:color="auto"/>
            </w:tcBorders>
            <w:shd w:val="clear" w:color="EE8137" w:fill="F79646"/>
            <w:noWrap/>
            <w:vAlign w:val="center"/>
            <w:hideMark/>
          </w:tcPr>
          <w:p w:rsidR="002B3045" w:rsidRPr="002B3045" w:rsidRDefault="002B3045">
            <w:pPr>
              <w:jc w:val="center"/>
              <w:rPr>
                <w:rFonts w:ascii="Calibri" w:hAnsi="Calibri" w:cs="Calibri"/>
                <w:b/>
                <w:bCs/>
                <w:color w:val="000000"/>
                <w:sz w:val="18"/>
                <w:szCs w:val="18"/>
              </w:rPr>
            </w:pPr>
            <w:r w:rsidRPr="002B3045">
              <w:rPr>
                <w:rFonts w:ascii="Calibri" w:hAnsi="Calibri" w:cs="Calibri"/>
                <w:b/>
                <w:bCs/>
                <w:color w:val="000000"/>
                <w:sz w:val="18"/>
                <w:szCs w:val="18"/>
              </w:rPr>
              <w:t>Saldo ORJ</w:t>
            </w:r>
          </w:p>
        </w:tc>
      </w:tr>
      <w:tr w:rsidR="002B3045" w:rsidTr="002B3045">
        <w:trPr>
          <w:trHeight w:val="272"/>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3045" w:rsidRPr="002B3045" w:rsidRDefault="002B3045">
            <w:pPr>
              <w:jc w:val="center"/>
              <w:rPr>
                <w:rFonts w:ascii="Calibri" w:hAnsi="Calibri" w:cs="Calibri"/>
                <w:color w:val="000000"/>
                <w:sz w:val="18"/>
                <w:szCs w:val="18"/>
              </w:rPr>
            </w:pPr>
            <w:r w:rsidRPr="002B3045">
              <w:rPr>
                <w:rFonts w:ascii="Calibri" w:hAnsi="Calibri" w:cs="Calibri"/>
                <w:color w:val="000000"/>
                <w:sz w:val="18"/>
                <w:szCs w:val="18"/>
              </w:rPr>
              <w:t>10</w:t>
            </w:r>
          </w:p>
        </w:tc>
        <w:tc>
          <w:tcPr>
            <w:tcW w:w="3506"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rPr>
                <w:rFonts w:ascii="Calibri" w:hAnsi="Calibri" w:cs="Calibri"/>
                <w:color w:val="000000"/>
                <w:sz w:val="18"/>
                <w:szCs w:val="18"/>
              </w:rPr>
            </w:pPr>
            <w:r w:rsidRPr="002B3045">
              <w:rPr>
                <w:rFonts w:ascii="Calibri" w:hAnsi="Calibri" w:cs="Calibri"/>
                <w:color w:val="000000"/>
                <w:sz w:val="18"/>
                <w:szCs w:val="18"/>
              </w:rPr>
              <w:t>Kancelář primátora</w:t>
            </w:r>
          </w:p>
        </w:tc>
        <w:tc>
          <w:tcPr>
            <w:tcW w:w="1559"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277 098,00</w:t>
            </w:r>
          </w:p>
        </w:tc>
        <w:tc>
          <w:tcPr>
            <w:tcW w:w="1701"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25 068 479,02</w:t>
            </w:r>
          </w:p>
        </w:tc>
        <w:tc>
          <w:tcPr>
            <w:tcW w:w="1418"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-24 791 381,02</w:t>
            </w:r>
          </w:p>
        </w:tc>
      </w:tr>
      <w:tr w:rsidR="002B3045" w:rsidTr="002B3045">
        <w:trPr>
          <w:trHeight w:val="272"/>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3045" w:rsidRPr="002B3045" w:rsidRDefault="002B3045">
            <w:pPr>
              <w:jc w:val="center"/>
              <w:rPr>
                <w:rFonts w:ascii="Calibri" w:hAnsi="Calibri" w:cs="Calibri"/>
                <w:color w:val="000000"/>
                <w:sz w:val="18"/>
                <w:szCs w:val="18"/>
              </w:rPr>
            </w:pPr>
            <w:r w:rsidRPr="002B3045">
              <w:rPr>
                <w:rFonts w:ascii="Calibri" w:hAnsi="Calibri" w:cs="Calibri"/>
                <w:color w:val="000000"/>
                <w:sz w:val="18"/>
                <w:szCs w:val="18"/>
              </w:rPr>
              <w:t>11</w:t>
            </w:r>
          </w:p>
        </w:tc>
        <w:tc>
          <w:tcPr>
            <w:tcW w:w="3506"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rPr>
                <w:rFonts w:ascii="Calibri" w:hAnsi="Calibri" w:cs="Calibri"/>
                <w:color w:val="000000"/>
                <w:sz w:val="18"/>
                <w:szCs w:val="18"/>
              </w:rPr>
            </w:pPr>
            <w:r w:rsidRPr="002B3045">
              <w:rPr>
                <w:rFonts w:ascii="Calibri" w:hAnsi="Calibri" w:cs="Calibri"/>
                <w:color w:val="000000"/>
                <w:sz w:val="18"/>
                <w:szCs w:val="18"/>
              </w:rPr>
              <w:t>Správa a zabezpečení</w:t>
            </w:r>
          </w:p>
        </w:tc>
        <w:tc>
          <w:tcPr>
            <w:tcW w:w="1559"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1 907 311,00</w:t>
            </w:r>
          </w:p>
        </w:tc>
        <w:tc>
          <w:tcPr>
            <w:tcW w:w="1701"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43 859 690,85</w:t>
            </w:r>
          </w:p>
        </w:tc>
        <w:tc>
          <w:tcPr>
            <w:tcW w:w="1418"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-41 952 379,85</w:t>
            </w:r>
          </w:p>
        </w:tc>
      </w:tr>
      <w:tr w:rsidR="002B3045" w:rsidTr="002B3045">
        <w:trPr>
          <w:trHeight w:val="272"/>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3045" w:rsidRPr="002B3045" w:rsidRDefault="002B3045">
            <w:pPr>
              <w:jc w:val="center"/>
              <w:rPr>
                <w:rFonts w:ascii="Calibri" w:hAnsi="Calibri" w:cs="Calibri"/>
                <w:color w:val="000000"/>
                <w:sz w:val="18"/>
                <w:szCs w:val="18"/>
              </w:rPr>
            </w:pPr>
            <w:r w:rsidRPr="002B3045">
              <w:rPr>
                <w:rFonts w:ascii="Calibri" w:hAnsi="Calibri" w:cs="Calibri"/>
                <w:color w:val="000000"/>
                <w:sz w:val="18"/>
                <w:szCs w:val="18"/>
              </w:rPr>
              <w:t>12</w:t>
            </w:r>
          </w:p>
        </w:tc>
        <w:tc>
          <w:tcPr>
            <w:tcW w:w="3506"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rPr>
                <w:rFonts w:ascii="Calibri" w:hAnsi="Calibri" w:cs="Calibri"/>
                <w:color w:val="000000"/>
                <w:sz w:val="18"/>
                <w:szCs w:val="18"/>
              </w:rPr>
            </w:pPr>
            <w:r w:rsidRPr="002B3045">
              <w:rPr>
                <w:rFonts w:ascii="Calibri" w:hAnsi="Calibri" w:cs="Calibri"/>
                <w:color w:val="000000"/>
                <w:sz w:val="18"/>
                <w:szCs w:val="18"/>
              </w:rPr>
              <w:t>Krizové řízení</w:t>
            </w:r>
          </w:p>
        </w:tc>
        <w:tc>
          <w:tcPr>
            <w:tcW w:w="1559"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823 400,00</w:t>
            </w:r>
          </w:p>
        </w:tc>
        <w:tc>
          <w:tcPr>
            <w:tcW w:w="1701"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2 918 858,90</w:t>
            </w:r>
          </w:p>
        </w:tc>
        <w:tc>
          <w:tcPr>
            <w:tcW w:w="1418"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-2 095 458,90</w:t>
            </w:r>
          </w:p>
        </w:tc>
      </w:tr>
      <w:tr w:rsidR="002B3045" w:rsidTr="002B3045">
        <w:trPr>
          <w:trHeight w:val="272"/>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3045" w:rsidRPr="002B3045" w:rsidRDefault="002B3045">
            <w:pPr>
              <w:jc w:val="center"/>
              <w:rPr>
                <w:rFonts w:ascii="Calibri" w:hAnsi="Calibri" w:cs="Calibri"/>
                <w:color w:val="000000"/>
                <w:sz w:val="18"/>
                <w:szCs w:val="18"/>
              </w:rPr>
            </w:pPr>
            <w:r w:rsidRPr="002B3045">
              <w:rPr>
                <w:rFonts w:ascii="Calibri" w:hAnsi="Calibri" w:cs="Calibri"/>
                <w:color w:val="000000"/>
                <w:sz w:val="18"/>
                <w:szCs w:val="18"/>
              </w:rPr>
              <w:t>13</w:t>
            </w:r>
          </w:p>
        </w:tc>
        <w:tc>
          <w:tcPr>
            <w:tcW w:w="3506"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rPr>
                <w:rFonts w:ascii="Calibri" w:hAnsi="Calibri" w:cs="Calibri"/>
                <w:color w:val="000000"/>
                <w:sz w:val="18"/>
                <w:szCs w:val="18"/>
              </w:rPr>
            </w:pPr>
            <w:r w:rsidRPr="002B3045">
              <w:rPr>
                <w:rFonts w:ascii="Calibri" w:hAnsi="Calibri" w:cs="Calibri"/>
                <w:color w:val="000000"/>
                <w:sz w:val="18"/>
                <w:szCs w:val="18"/>
              </w:rPr>
              <w:t>Městská policie</w:t>
            </w:r>
          </w:p>
        </w:tc>
        <w:tc>
          <w:tcPr>
            <w:tcW w:w="1559"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2 578 065,58</w:t>
            </w:r>
          </w:p>
        </w:tc>
        <w:tc>
          <w:tcPr>
            <w:tcW w:w="1701"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53 223 954,48</w:t>
            </w:r>
          </w:p>
        </w:tc>
        <w:tc>
          <w:tcPr>
            <w:tcW w:w="1418"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-50 645 888,90</w:t>
            </w:r>
          </w:p>
        </w:tc>
      </w:tr>
      <w:tr w:rsidR="002B3045" w:rsidTr="002B3045">
        <w:trPr>
          <w:trHeight w:val="272"/>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3045" w:rsidRPr="002B3045" w:rsidRDefault="002B3045">
            <w:pPr>
              <w:jc w:val="center"/>
              <w:rPr>
                <w:rFonts w:ascii="Calibri" w:hAnsi="Calibri" w:cs="Calibri"/>
                <w:color w:val="000000"/>
                <w:sz w:val="18"/>
                <w:szCs w:val="18"/>
              </w:rPr>
            </w:pPr>
            <w:r w:rsidRPr="002B3045">
              <w:rPr>
                <w:rFonts w:ascii="Calibri" w:hAnsi="Calibri" w:cs="Calibri"/>
                <w:color w:val="000000"/>
                <w:sz w:val="18"/>
                <w:szCs w:val="18"/>
              </w:rPr>
              <w:t>14</w:t>
            </w:r>
          </w:p>
        </w:tc>
        <w:tc>
          <w:tcPr>
            <w:tcW w:w="3506"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rPr>
                <w:rFonts w:ascii="Calibri" w:hAnsi="Calibri" w:cs="Calibri"/>
                <w:color w:val="000000"/>
                <w:sz w:val="18"/>
                <w:szCs w:val="18"/>
              </w:rPr>
            </w:pPr>
            <w:r w:rsidRPr="002B3045">
              <w:rPr>
                <w:rFonts w:ascii="Calibri" w:hAnsi="Calibri" w:cs="Calibri"/>
                <w:color w:val="000000"/>
                <w:sz w:val="18"/>
                <w:szCs w:val="18"/>
              </w:rPr>
              <w:t>Kancelář tajemníka</w:t>
            </w:r>
          </w:p>
        </w:tc>
        <w:tc>
          <w:tcPr>
            <w:tcW w:w="1559"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1 252 800,00</w:t>
            </w:r>
          </w:p>
        </w:tc>
        <w:tc>
          <w:tcPr>
            <w:tcW w:w="1701"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220 635 513,90</w:t>
            </w:r>
          </w:p>
        </w:tc>
        <w:tc>
          <w:tcPr>
            <w:tcW w:w="1418"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-219 382 713,90</w:t>
            </w:r>
          </w:p>
        </w:tc>
      </w:tr>
      <w:tr w:rsidR="002B3045" w:rsidTr="002B3045">
        <w:trPr>
          <w:trHeight w:val="272"/>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3045" w:rsidRPr="002B3045" w:rsidRDefault="002B3045">
            <w:pPr>
              <w:jc w:val="center"/>
              <w:rPr>
                <w:rFonts w:ascii="Calibri" w:hAnsi="Calibri" w:cs="Calibri"/>
                <w:color w:val="000000"/>
                <w:sz w:val="18"/>
                <w:szCs w:val="18"/>
              </w:rPr>
            </w:pPr>
            <w:r w:rsidRPr="002B3045">
              <w:rPr>
                <w:rFonts w:ascii="Calibri" w:hAnsi="Calibri" w:cs="Calibri"/>
                <w:color w:val="000000"/>
                <w:sz w:val="18"/>
                <w:szCs w:val="18"/>
              </w:rPr>
              <w:t>15</w:t>
            </w:r>
          </w:p>
        </w:tc>
        <w:tc>
          <w:tcPr>
            <w:tcW w:w="3506"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rPr>
                <w:rFonts w:ascii="Calibri" w:hAnsi="Calibri" w:cs="Calibri"/>
                <w:color w:val="000000"/>
                <w:sz w:val="18"/>
                <w:szCs w:val="18"/>
              </w:rPr>
            </w:pPr>
            <w:r w:rsidRPr="002B3045">
              <w:rPr>
                <w:rFonts w:ascii="Calibri" w:hAnsi="Calibri" w:cs="Calibri"/>
                <w:color w:val="000000"/>
                <w:sz w:val="18"/>
                <w:szCs w:val="18"/>
              </w:rPr>
              <w:t>Informační technologie</w:t>
            </w:r>
          </w:p>
        </w:tc>
        <w:tc>
          <w:tcPr>
            <w:tcW w:w="1559"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171 643,50</w:t>
            </w:r>
          </w:p>
        </w:tc>
        <w:tc>
          <w:tcPr>
            <w:tcW w:w="1701"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10 103 684,75</w:t>
            </w:r>
          </w:p>
        </w:tc>
        <w:tc>
          <w:tcPr>
            <w:tcW w:w="1418"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-9 932 041,25</w:t>
            </w:r>
          </w:p>
        </w:tc>
      </w:tr>
      <w:tr w:rsidR="002B3045" w:rsidTr="002B3045">
        <w:trPr>
          <w:trHeight w:val="272"/>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3045" w:rsidRPr="002B3045" w:rsidRDefault="002B3045">
            <w:pPr>
              <w:jc w:val="center"/>
              <w:rPr>
                <w:rFonts w:ascii="Calibri" w:hAnsi="Calibri" w:cs="Calibri"/>
                <w:color w:val="000000"/>
                <w:sz w:val="18"/>
                <w:szCs w:val="18"/>
              </w:rPr>
            </w:pPr>
            <w:r w:rsidRPr="002B3045">
              <w:rPr>
                <w:rFonts w:ascii="Calibri" w:hAnsi="Calibri" w:cs="Calibri"/>
                <w:color w:val="000000"/>
                <w:sz w:val="18"/>
                <w:szCs w:val="18"/>
              </w:rPr>
              <w:t>16</w:t>
            </w:r>
          </w:p>
        </w:tc>
        <w:tc>
          <w:tcPr>
            <w:tcW w:w="3506"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rPr>
                <w:rFonts w:ascii="Calibri" w:hAnsi="Calibri" w:cs="Calibri"/>
                <w:color w:val="000000"/>
                <w:sz w:val="18"/>
                <w:szCs w:val="18"/>
              </w:rPr>
            </w:pPr>
            <w:r w:rsidRPr="002B3045">
              <w:rPr>
                <w:rFonts w:ascii="Calibri" w:hAnsi="Calibri" w:cs="Calibri"/>
                <w:color w:val="000000"/>
                <w:sz w:val="18"/>
                <w:szCs w:val="18"/>
              </w:rPr>
              <w:t>Občanské záležitosti</w:t>
            </w:r>
          </w:p>
        </w:tc>
        <w:tc>
          <w:tcPr>
            <w:tcW w:w="1559"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16 772 932,14</w:t>
            </w:r>
          </w:p>
        </w:tc>
        <w:tc>
          <w:tcPr>
            <w:tcW w:w="1701"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0,00</w:t>
            </w:r>
          </w:p>
        </w:tc>
        <w:tc>
          <w:tcPr>
            <w:tcW w:w="1418"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16 772 932,14</w:t>
            </w:r>
          </w:p>
        </w:tc>
      </w:tr>
      <w:tr w:rsidR="002B3045" w:rsidTr="002B3045">
        <w:trPr>
          <w:trHeight w:val="272"/>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3045" w:rsidRPr="002B3045" w:rsidRDefault="002B3045">
            <w:pPr>
              <w:jc w:val="center"/>
              <w:rPr>
                <w:rFonts w:ascii="Calibri" w:hAnsi="Calibri" w:cs="Calibri"/>
                <w:color w:val="000000"/>
                <w:sz w:val="18"/>
                <w:szCs w:val="18"/>
              </w:rPr>
            </w:pPr>
            <w:r w:rsidRPr="002B3045">
              <w:rPr>
                <w:rFonts w:ascii="Calibri" w:hAnsi="Calibri" w:cs="Calibri"/>
                <w:color w:val="000000"/>
                <w:sz w:val="18"/>
                <w:szCs w:val="18"/>
              </w:rPr>
              <w:t>17</w:t>
            </w:r>
          </w:p>
        </w:tc>
        <w:tc>
          <w:tcPr>
            <w:tcW w:w="3506"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rPr>
                <w:rFonts w:ascii="Calibri" w:hAnsi="Calibri" w:cs="Calibri"/>
                <w:color w:val="000000"/>
                <w:sz w:val="18"/>
                <w:szCs w:val="18"/>
              </w:rPr>
            </w:pPr>
            <w:r w:rsidRPr="002B3045">
              <w:rPr>
                <w:rFonts w:ascii="Calibri" w:hAnsi="Calibri" w:cs="Calibri"/>
                <w:color w:val="000000"/>
                <w:sz w:val="18"/>
                <w:szCs w:val="18"/>
              </w:rPr>
              <w:t>Dotace a veřejné zakázky</w:t>
            </w:r>
          </w:p>
        </w:tc>
        <w:tc>
          <w:tcPr>
            <w:tcW w:w="1559"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0,00</w:t>
            </w:r>
          </w:p>
        </w:tc>
        <w:tc>
          <w:tcPr>
            <w:tcW w:w="1701"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3 315,40</w:t>
            </w:r>
          </w:p>
        </w:tc>
        <w:tc>
          <w:tcPr>
            <w:tcW w:w="1418"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-3 315,40</w:t>
            </w:r>
          </w:p>
        </w:tc>
      </w:tr>
      <w:tr w:rsidR="002B3045" w:rsidTr="002B3045">
        <w:trPr>
          <w:trHeight w:val="272"/>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3045" w:rsidRPr="002B3045" w:rsidRDefault="002B3045">
            <w:pPr>
              <w:jc w:val="center"/>
              <w:rPr>
                <w:rFonts w:ascii="Calibri" w:hAnsi="Calibri" w:cs="Calibri"/>
                <w:color w:val="000000"/>
                <w:sz w:val="18"/>
                <w:szCs w:val="18"/>
              </w:rPr>
            </w:pPr>
            <w:r w:rsidRPr="002B3045">
              <w:rPr>
                <w:rFonts w:ascii="Calibri" w:hAnsi="Calibri" w:cs="Calibri"/>
                <w:color w:val="000000"/>
                <w:sz w:val="18"/>
                <w:szCs w:val="18"/>
              </w:rPr>
              <w:t>19</w:t>
            </w:r>
          </w:p>
        </w:tc>
        <w:tc>
          <w:tcPr>
            <w:tcW w:w="3506"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rPr>
                <w:rFonts w:ascii="Calibri" w:hAnsi="Calibri" w:cs="Calibri"/>
                <w:color w:val="000000"/>
                <w:sz w:val="18"/>
                <w:szCs w:val="18"/>
              </w:rPr>
            </w:pPr>
            <w:r w:rsidRPr="002B3045">
              <w:rPr>
                <w:rFonts w:ascii="Calibri" w:hAnsi="Calibri" w:cs="Calibri"/>
                <w:color w:val="000000"/>
                <w:sz w:val="18"/>
                <w:szCs w:val="18"/>
              </w:rPr>
              <w:t>DUHA KK u hradeb</w:t>
            </w:r>
          </w:p>
        </w:tc>
        <w:tc>
          <w:tcPr>
            <w:tcW w:w="1559"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4 542 582,00</w:t>
            </w:r>
          </w:p>
        </w:tc>
        <w:tc>
          <w:tcPr>
            <w:tcW w:w="1701"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10 029 398,66</w:t>
            </w:r>
          </w:p>
        </w:tc>
        <w:tc>
          <w:tcPr>
            <w:tcW w:w="1418"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-5 486 816,66</w:t>
            </w:r>
          </w:p>
        </w:tc>
      </w:tr>
      <w:tr w:rsidR="002B3045" w:rsidTr="002B3045">
        <w:trPr>
          <w:trHeight w:val="272"/>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3045" w:rsidRPr="002B3045" w:rsidRDefault="002B3045">
            <w:pPr>
              <w:jc w:val="center"/>
              <w:rPr>
                <w:rFonts w:ascii="Calibri" w:hAnsi="Calibri" w:cs="Calibri"/>
                <w:color w:val="000000"/>
                <w:sz w:val="18"/>
                <w:szCs w:val="18"/>
              </w:rPr>
            </w:pPr>
            <w:r w:rsidRPr="002B3045">
              <w:rPr>
                <w:rFonts w:ascii="Calibri" w:hAnsi="Calibri" w:cs="Calibri"/>
                <w:color w:val="000000"/>
                <w:sz w:val="18"/>
                <w:szCs w:val="18"/>
              </w:rPr>
              <w:t>20</w:t>
            </w:r>
          </w:p>
        </w:tc>
        <w:tc>
          <w:tcPr>
            <w:tcW w:w="3506"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rPr>
                <w:rFonts w:ascii="Calibri" w:hAnsi="Calibri" w:cs="Calibri"/>
                <w:color w:val="000000"/>
                <w:sz w:val="18"/>
                <w:szCs w:val="18"/>
              </w:rPr>
            </w:pPr>
            <w:r w:rsidRPr="002B3045">
              <w:rPr>
                <w:rFonts w:ascii="Calibri" w:hAnsi="Calibri" w:cs="Calibri"/>
                <w:color w:val="000000"/>
                <w:sz w:val="18"/>
                <w:szCs w:val="18"/>
              </w:rPr>
              <w:t>Školství, kultura a sport</w:t>
            </w:r>
          </w:p>
        </w:tc>
        <w:tc>
          <w:tcPr>
            <w:tcW w:w="1559"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35 287 141,26</w:t>
            </w:r>
          </w:p>
        </w:tc>
        <w:tc>
          <w:tcPr>
            <w:tcW w:w="1701"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169 490 241,85</w:t>
            </w:r>
          </w:p>
        </w:tc>
        <w:tc>
          <w:tcPr>
            <w:tcW w:w="1418"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-134 203 100,59</w:t>
            </w:r>
          </w:p>
        </w:tc>
      </w:tr>
      <w:tr w:rsidR="002B3045" w:rsidTr="002B3045">
        <w:trPr>
          <w:trHeight w:val="272"/>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3045" w:rsidRPr="002B3045" w:rsidRDefault="002B3045">
            <w:pPr>
              <w:jc w:val="center"/>
              <w:rPr>
                <w:rFonts w:ascii="Calibri" w:hAnsi="Calibri" w:cs="Calibri"/>
                <w:color w:val="000000"/>
                <w:sz w:val="18"/>
                <w:szCs w:val="18"/>
              </w:rPr>
            </w:pPr>
            <w:r w:rsidRPr="002B3045">
              <w:rPr>
                <w:rFonts w:ascii="Calibri" w:hAnsi="Calibri" w:cs="Calibri"/>
                <w:color w:val="000000"/>
                <w:sz w:val="18"/>
                <w:szCs w:val="18"/>
              </w:rPr>
              <w:t>21</w:t>
            </w:r>
          </w:p>
        </w:tc>
        <w:tc>
          <w:tcPr>
            <w:tcW w:w="3506"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rPr>
                <w:rFonts w:ascii="Calibri" w:hAnsi="Calibri" w:cs="Calibri"/>
                <w:color w:val="000000"/>
                <w:sz w:val="18"/>
                <w:szCs w:val="18"/>
              </w:rPr>
            </w:pPr>
            <w:r w:rsidRPr="002B3045">
              <w:rPr>
                <w:rFonts w:ascii="Calibri" w:hAnsi="Calibri" w:cs="Calibri"/>
                <w:color w:val="000000"/>
                <w:sz w:val="18"/>
                <w:szCs w:val="18"/>
              </w:rPr>
              <w:t>Sociální věci</w:t>
            </w:r>
          </w:p>
        </w:tc>
        <w:tc>
          <w:tcPr>
            <w:tcW w:w="1559"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18 571 254,31</w:t>
            </w:r>
          </w:p>
        </w:tc>
        <w:tc>
          <w:tcPr>
            <w:tcW w:w="1701"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7 493 122,21</w:t>
            </w:r>
          </w:p>
        </w:tc>
        <w:tc>
          <w:tcPr>
            <w:tcW w:w="1418"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11 078 132,10</w:t>
            </w:r>
          </w:p>
        </w:tc>
      </w:tr>
      <w:tr w:rsidR="002B3045" w:rsidTr="002B3045">
        <w:trPr>
          <w:trHeight w:val="272"/>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3045" w:rsidRPr="002B3045" w:rsidRDefault="002B3045">
            <w:pPr>
              <w:jc w:val="center"/>
              <w:rPr>
                <w:rFonts w:ascii="Calibri" w:hAnsi="Calibri" w:cs="Calibri"/>
                <w:color w:val="000000"/>
                <w:sz w:val="18"/>
                <w:szCs w:val="18"/>
              </w:rPr>
            </w:pPr>
            <w:r w:rsidRPr="002B3045">
              <w:rPr>
                <w:rFonts w:ascii="Calibri" w:hAnsi="Calibri" w:cs="Calibri"/>
                <w:color w:val="000000"/>
                <w:sz w:val="18"/>
                <w:szCs w:val="18"/>
              </w:rPr>
              <w:t>30</w:t>
            </w:r>
          </w:p>
        </w:tc>
        <w:tc>
          <w:tcPr>
            <w:tcW w:w="3506"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rPr>
                <w:rFonts w:ascii="Calibri" w:hAnsi="Calibri" w:cs="Calibri"/>
                <w:color w:val="000000"/>
                <w:sz w:val="18"/>
                <w:szCs w:val="18"/>
              </w:rPr>
            </w:pPr>
            <w:r w:rsidRPr="002B3045">
              <w:rPr>
                <w:rFonts w:ascii="Calibri" w:hAnsi="Calibri" w:cs="Calibri"/>
                <w:color w:val="000000"/>
                <w:sz w:val="18"/>
                <w:szCs w:val="18"/>
              </w:rPr>
              <w:t>Obecní živnostenský úřad</w:t>
            </w:r>
          </w:p>
        </w:tc>
        <w:tc>
          <w:tcPr>
            <w:tcW w:w="1559" w:type="dxa"/>
            <w:tcBorders>
              <w:top w:val="nil"/>
              <w:left w:val="nil"/>
              <w:bottom w:val="nil"/>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944 543,99</w:t>
            </w:r>
          </w:p>
        </w:tc>
        <w:tc>
          <w:tcPr>
            <w:tcW w:w="1701" w:type="dxa"/>
            <w:tcBorders>
              <w:top w:val="nil"/>
              <w:left w:val="nil"/>
              <w:bottom w:val="nil"/>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0,00</w:t>
            </w:r>
          </w:p>
        </w:tc>
        <w:tc>
          <w:tcPr>
            <w:tcW w:w="1418"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944 543,99</w:t>
            </w:r>
          </w:p>
        </w:tc>
      </w:tr>
      <w:tr w:rsidR="002B3045" w:rsidTr="002B3045">
        <w:trPr>
          <w:trHeight w:val="272"/>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3045" w:rsidRPr="002B3045" w:rsidRDefault="002B3045">
            <w:pPr>
              <w:jc w:val="center"/>
              <w:rPr>
                <w:rFonts w:ascii="Calibri" w:hAnsi="Calibri" w:cs="Calibri"/>
                <w:color w:val="000000"/>
                <w:sz w:val="18"/>
                <w:szCs w:val="18"/>
              </w:rPr>
            </w:pPr>
            <w:r w:rsidRPr="002B3045">
              <w:rPr>
                <w:rFonts w:ascii="Calibri" w:hAnsi="Calibri" w:cs="Calibri"/>
                <w:color w:val="000000"/>
                <w:sz w:val="18"/>
                <w:szCs w:val="18"/>
              </w:rPr>
              <w:t>40</w:t>
            </w:r>
          </w:p>
        </w:tc>
        <w:tc>
          <w:tcPr>
            <w:tcW w:w="3506"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rPr>
                <w:rFonts w:ascii="Calibri" w:hAnsi="Calibri" w:cs="Calibri"/>
                <w:color w:val="000000"/>
                <w:sz w:val="18"/>
                <w:szCs w:val="18"/>
              </w:rPr>
            </w:pPr>
            <w:r w:rsidRPr="002B3045">
              <w:rPr>
                <w:rFonts w:ascii="Calibri" w:hAnsi="Calibri" w:cs="Calibri"/>
                <w:color w:val="000000"/>
                <w:sz w:val="18"/>
                <w:szCs w:val="18"/>
              </w:rPr>
              <w:t>Životní prostředí</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2 166 782,76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3 558 518,70</w:t>
            </w:r>
          </w:p>
        </w:tc>
        <w:tc>
          <w:tcPr>
            <w:tcW w:w="1418"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-1 391 735,94</w:t>
            </w:r>
          </w:p>
        </w:tc>
      </w:tr>
      <w:tr w:rsidR="002B3045" w:rsidTr="002B3045">
        <w:trPr>
          <w:trHeight w:val="272"/>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3045" w:rsidRPr="002B3045" w:rsidRDefault="002B3045">
            <w:pPr>
              <w:jc w:val="center"/>
              <w:rPr>
                <w:rFonts w:ascii="Calibri" w:hAnsi="Calibri" w:cs="Calibri"/>
                <w:color w:val="000000"/>
                <w:sz w:val="18"/>
                <w:szCs w:val="18"/>
              </w:rPr>
            </w:pPr>
            <w:r w:rsidRPr="002B3045">
              <w:rPr>
                <w:rFonts w:ascii="Calibri" w:hAnsi="Calibri" w:cs="Calibri"/>
                <w:color w:val="000000"/>
                <w:sz w:val="18"/>
                <w:szCs w:val="18"/>
              </w:rPr>
              <w:t>41</w:t>
            </w:r>
          </w:p>
        </w:tc>
        <w:tc>
          <w:tcPr>
            <w:tcW w:w="3506"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rPr>
                <w:rFonts w:ascii="Calibri" w:hAnsi="Calibri" w:cs="Calibri"/>
                <w:color w:val="000000"/>
                <w:sz w:val="18"/>
                <w:szCs w:val="18"/>
              </w:rPr>
            </w:pPr>
            <w:r w:rsidRPr="002B3045">
              <w:rPr>
                <w:rFonts w:ascii="Calibri" w:hAnsi="Calibri" w:cs="Calibri"/>
                <w:color w:val="000000"/>
                <w:sz w:val="18"/>
                <w:szCs w:val="18"/>
              </w:rPr>
              <w:t>Doprava</w:t>
            </w:r>
          </w:p>
        </w:tc>
        <w:tc>
          <w:tcPr>
            <w:tcW w:w="1559"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17 885 669,89</w:t>
            </w:r>
          </w:p>
        </w:tc>
        <w:tc>
          <w:tcPr>
            <w:tcW w:w="1701"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43 871 221,05</w:t>
            </w:r>
          </w:p>
        </w:tc>
        <w:tc>
          <w:tcPr>
            <w:tcW w:w="1418"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-25 985 551,16</w:t>
            </w:r>
          </w:p>
        </w:tc>
      </w:tr>
      <w:tr w:rsidR="002B3045" w:rsidTr="002B3045">
        <w:trPr>
          <w:trHeight w:val="272"/>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3045" w:rsidRPr="002B3045" w:rsidRDefault="002B3045">
            <w:pPr>
              <w:jc w:val="center"/>
              <w:rPr>
                <w:rFonts w:ascii="Calibri" w:hAnsi="Calibri" w:cs="Calibri"/>
                <w:color w:val="000000"/>
                <w:sz w:val="18"/>
                <w:szCs w:val="18"/>
              </w:rPr>
            </w:pPr>
            <w:r w:rsidRPr="002B3045">
              <w:rPr>
                <w:rFonts w:ascii="Calibri" w:hAnsi="Calibri" w:cs="Calibri"/>
                <w:color w:val="000000"/>
                <w:sz w:val="18"/>
                <w:szCs w:val="18"/>
              </w:rPr>
              <w:t>50</w:t>
            </w:r>
          </w:p>
        </w:tc>
        <w:tc>
          <w:tcPr>
            <w:tcW w:w="3506"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rPr>
                <w:rFonts w:ascii="Calibri" w:hAnsi="Calibri" w:cs="Calibri"/>
                <w:color w:val="000000"/>
                <w:sz w:val="18"/>
                <w:szCs w:val="18"/>
              </w:rPr>
            </w:pPr>
            <w:r w:rsidRPr="002B3045">
              <w:rPr>
                <w:rFonts w:ascii="Calibri" w:hAnsi="Calibri" w:cs="Calibri"/>
                <w:color w:val="000000"/>
                <w:sz w:val="18"/>
                <w:szCs w:val="18"/>
              </w:rPr>
              <w:t>Správa a nakládání s majetkem města</w:t>
            </w:r>
          </w:p>
        </w:tc>
        <w:tc>
          <w:tcPr>
            <w:tcW w:w="1559"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27 546 909,20</w:t>
            </w:r>
          </w:p>
        </w:tc>
        <w:tc>
          <w:tcPr>
            <w:tcW w:w="1701"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16 068 120,40</w:t>
            </w:r>
          </w:p>
        </w:tc>
        <w:tc>
          <w:tcPr>
            <w:tcW w:w="1418"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11 478 788,80</w:t>
            </w:r>
          </w:p>
        </w:tc>
      </w:tr>
      <w:tr w:rsidR="002B3045" w:rsidTr="002B3045">
        <w:trPr>
          <w:trHeight w:val="272"/>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3045" w:rsidRPr="002B3045" w:rsidRDefault="002B3045">
            <w:pPr>
              <w:jc w:val="center"/>
              <w:rPr>
                <w:rFonts w:ascii="Calibri" w:hAnsi="Calibri" w:cs="Calibri"/>
                <w:color w:val="000000"/>
                <w:sz w:val="18"/>
                <w:szCs w:val="18"/>
              </w:rPr>
            </w:pPr>
            <w:r w:rsidRPr="002B3045">
              <w:rPr>
                <w:rFonts w:ascii="Calibri" w:hAnsi="Calibri" w:cs="Calibri"/>
                <w:color w:val="000000"/>
                <w:sz w:val="18"/>
                <w:szCs w:val="18"/>
              </w:rPr>
              <w:t>60</w:t>
            </w:r>
          </w:p>
        </w:tc>
        <w:tc>
          <w:tcPr>
            <w:tcW w:w="3506"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rPr>
                <w:rFonts w:ascii="Calibri" w:hAnsi="Calibri" w:cs="Calibri"/>
                <w:color w:val="000000"/>
                <w:sz w:val="18"/>
                <w:szCs w:val="18"/>
              </w:rPr>
            </w:pPr>
            <w:r w:rsidRPr="002B3045">
              <w:rPr>
                <w:rFonts w:ascii="Calibri" w:hAnsi="Calibri" w:cs="Calibri"/>
                <w:color w:val="000000"/>
                <w:sz w:val="18"/>
                <w:szCs w:val="18"/>
              </w:rPr>
              <w:t>Rozvoj a investice</w:t>
            </w:r>
          </w:p>
        </w:tc>
        <w:tc>
          <w:tcPr>
            <w:tcW w:w="1559"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2 482 131,87</w:t>
            </w:r>
          </w:p>
        </w:tc>
        <w:tc>
          <w:tcPr>
            <w:tcW w:w="1701"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255 251 386,74</w:t>
            </w:r>
          </w:p>
        </w:tc>
        <w:tc>
          <w:tcPr>
            <w:tcW w:w="1418"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-252 769 254,87</w:t>
            </w:r>
          </w:p>
        </w:tc>
      </w:tr>
      <w:tr w:rsidR="002B3045" w:rsidTr="002B3045">
        <w:trPr>
          <w:trHeight w:val="272"/>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3045" w:rsidRPr="002B3045" w:rsidRDefault="002B3045">
            <w:pPr>
              <w:jc w:val="center"/>
              <w:rPr>
                <w:rFonts w:ascii="Calibri" w:hAnsi="Calibri" w:cs="Calibri"/>
                <w:color w:val="000000"/>
                <w:sz w:val="18"/>
                <w:szCs w:val="18"/>
              </w:rPr>
            </w:pPr>
            <w:r w:rsidRPr="002B3045">
              <w:rPr>
                <w:rFonts w:ascii="Calibri" w:hAnsi="Calibri" w:cs="Calibri"/>
                <w:color w:val="000000"/>
                <w:sz w:val="18"/>
                <w:szCs w:val="18"/>
              </w:rPr>
              <w:t>61</w:t>
            </w:r>
          </w:p>
        </w:tc>
        <w:tc>
          <w:tcPr>
            <w:tcW w:w="3506"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rPr>
                <w:rFonts w:ascii="Calibri" w:hAnsi="Calibri" w:cs="Calibri"/>
                <w:color w:val="000000"/>
                <w:sz w:val="18"/>
                <w:szCs w:val="18"/>
              </w:rPr>
            </w:pPr>
            <w:r w:rsidRPr="002B3045">
              <w:rPr>
                <w:rFonts w:ascii="Calibri" w:hAnsi="Calibri" w:cs="Calibri"/>
                <w:color w:val="000000"/>
                <w:sz w:val="18"/>
                <w:szCs w:val="18"/>
              </w:rPr>
              <w:t>Stavební úřad</w:t>
            </w:r>
          </w:p>
        </w:tc>
        <w:tc>
          <w:tcPr>
            <w:tcW w:w="1559"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2 712 857,00</w:t>
            </w:r>
          </w:p>
        </w:tc>
        <w:tc>
          <w:tcPr>
            <w:tcW w:w="1701"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21 965,00</w:t>
            </w:r>
          </w:p>
        </w:tc>
        <w:tc>
          <w:tcPr>
            <w:tcW w:w="1418"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2 690 892,00</w:t>
            </w:r>
          </w:p>
        </w:tc>
      </w:tr>
      <w:tr w:rsidR="002B3045" w:rsidTr="002B3045">
        <w:trPr>
          <w:trHeight w:val="272"/>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3045" w:rsidRPr="002B3045" w:rsidRDefault="002B3045">
            <w:pPr>
              <w:jc w:val="center"/>
              <w:rPr>
                <w:rFonts w:ascii="Calibri" w:hAnsi="Calibri" w:cs="Calibri"/>
                <w:color w:val="000000"/>
                <w:sz w:val="18"/>
                <w:szCs w:val="18"/>
              </w:rPr>
            </w:pPr>
            <w:r w:rsidRPr="002B3045">
              <w:rPr>
                <w:rFonts w:ascii="Calibri" w:hAnsi="Calibri" w:cs="Calibri"/>
                <w:color w:val="000000"/>
                <w:sz w:val="18"/>
                <w:szCs w:val="18"/>
              </w:rPr>
              <w:t>62</w:t>
            </w:r>
          </w:p>
        </w:tc>
        <w:tc>
          <w:tcPr>
            <w:tcW w:w="3506"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rPr>
                <w:rFonts w:ascii="Calibri" w:hAnsi="Calibri" w:cs="Calibri"/>
                <w:color w:val="000000"/>
                <w:sz w:val="18"/>
                <w:szCs w:val="18"/>
              </w:rPr>
            </w:pPr>
            <w:r w:rsidRPr="002B3045">
              <w:rPr>
                <w:rFonts w:ascii="Calibri" w:hAnsi="Calibri" w:cs="Calibri"/>
                <w:color w:val="000000"/>
                <w:sz w:val="18"/>
                <w:szCs w:val="18"/>
              </w:rPr>
              <w:t>Územní plánování a památková péče</w:t>
            </w:r>
          </w:p>
        </w:tc>
        <w:tc>
          <w:tcPr>
            <w:tcW w:w="1559"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719 000,00</w:t>
            </w:r>
          </w:p>
        </w:tc>
        <w:tc>
          <w:tcPr>
            <w:tcW w:w="1701"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2 727 609,00</w:t>
            </w:r>
          </w:p>
        </w:tc>
        <w:tc>
          <w:tcPr>
            <w:tcW w:w="1418"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-2 008 609,00</w:t>
            </w:r>
          </w:p>
        </w:tc>
      </w:tr>
      <w:tr w:rsidR="002B3045" w:rsidTr="002B3045">
        <w:trPr>
          <w:trHeight w:val="272"/>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3045" w:rsidRPr="002B3045" w:rsidRDefault="002B3045">
            <w:pPr>
              <w:jc w:val="center"/>
              <w:rPr>
                <w:rFonts w:ascii="Calibri" w:hAnsi="Calibri" w:cs="Calibri"/>
                <w:color w:val="000000"/>
                <w:sz w:val="18"/>
                <w:szCs w:val="18"/>
              </w:rPr>
            </w:pPr>
            <w:r w:rsidRPr="002B3045">
              <w:rPr>
                <w:rFonts w:ascii="Calibri" w:hAnsi="Calibri" w:cs="Calibri"/>
                <w:color w:val="000000"/>
                <w:sz w:val="18"/>
                <w:szCs w:val="18"/>
              </w:rPr>
              <w:t>70</w:t>
            </w:r>
          </w:p>
        </w:tc>
        <w:tc>
          <w:tcPr>
            <w:tcW w:w="3506"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rPr>
                <w:rFonts w:ascii="Calibri" w:hAnsi="Calibri" w:cs="Calibri"/>
                <w:color w:val="000000"/>
                <w:sz w:val="18"/>
                <w:szCs w:val="18"/>
              </w:rPr>
            </w:pPr>
            <w:r w:rsidRPr="002B3045">
              <w:rPr>
                <w:rFonts w:ascii="Calibri" w:hAnsi="Calibri" w:cs="Calibri"/>
                <w:color w:val="000000"/>
                <w:sz w:val="18"/>
                <w:szCs w:val="18"/>
              </w:rPr>
              <w:t>Finanční</w:t>
            </w:r>
          </w:p>
        </w:tc>
        <w:tc>
          <w:tcPr>
            <w:tcW w:w="1559"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2 600 157 046,16</w:t>
            </w:r>
          </w:p>
        </w:tc>
        <w:tc>
          <w:tcPr>
            <w:tcW w:w="1701"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1 599 346 239,93</w:t>
            </w:r>
          </w:p>
        </w:tc>
        <w:tc>
          <w:tcPr>
            <w:tcW w:w="1418"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1 000 810 806,23</w:t>
            </w:r>
          </w:p>
        </w:tc>
      </w:tr>
      <w:tr w:rsidR="002B3045" w:rsidTr="002B3045">
        <w:trPr>
          <w:trHeight w:val="272"/>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3045" w:rsidRPr="002B3045" w:rsidRDefault="002B3045">
            <w:pPr>
              <w:jc w:val="center"/>
              <w:rPr>
                <w:rFonts w:ascii="Calibri" w:hAnsi="Calibri" w:cs="Calibri"/>
                <w:color w:val="000000"/>
                <w:sz w:val="18"/>
                <w:szCs w:val="18"/>
              </w:rPr>
            </w:pPr>
            <w:r w:rsidRPr="002B3045">
              <w:rPr>
                <w:rFonts w:ascii="Calibri" w:hAnsi="Calibri" w:cs="Calibri"/>
                <w:color w:val="000000"/>
                <w:sz w:val="18"/>
                <w:szCs w:val="18"/>
              </w:rPr>
              <w:t>71</w:t>
            </w:r>
          </w:p>
        </w:tc>
        <w:tc>
          <w:tcPr>
            <w:tcW w:w="3506"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rPr>
                <w:rFonts w:ascii="Calibri" w:hAnsi="Calibri" w:cs="Calibri"/>
                <w:color w:val="000000"/>
                <w:sz w:val="18"/>
                <w:szCs w:val="18"/>
              </w:rPr>
            </w:pPr>
            <w:r w:rsidRPr="002B3045">
              <w:rPr>
                <w:rFonts w:ascii="Calibri" w:hAnsi="Calibri" w:cs="Calibri"/>
                <w:color w:val="000000"/>
                <w:sz w:val="18"/>
                <w:szCs w:val="18"/>
              </w:rPr>
              <w:t>Sociální fond</w:t>
            </w:r>
          </w:p>
        </w:tc>
        <w:tc>
          <w:tcPr>
            <w:tcW w:w="1559"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7 241 772,00</w:t>
            </w:r>
          </w:p>
        </w:tc>
        <w:tc>
          <w:tcPr>
            <w:tcW w:w="1701"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7 387 682,72</w:t>
            </w:r>
          </w:p>
        </w:tc>
        <w:tc>
          <w:tcPr>
            <w:tcW w:w="1418"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-145 910,72</w:t>
            </w:r>
          </w:p>
        </w:tc>
      </w:tr>
      <w:tr w:rsidR="002B3045" w:rsidTr="002B3045">
        <w:trPr>
          <w:trHeight w:val="272"/>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B3045" w:rsidRPr="002B3045" w:rsidRDefault="002B3045">
            <w:pPr>
              <w:jc w:val="center"/>
              <w:rPr>
                <w:rFonts w:ascii="Calibri" w:hAnsi="Calibri" w:cs="Calibri"/>
                <w:color w:val="000000"/>
                <w:sz w:val="18"/>
                <w:szCs w:val="18"/>
              </w:rPr>
            </w:pPr>
            <w:r w:rsidRPr="002B3045">
              <w:rPr>
                <w:rFonts w:ascii="Calibri" w:hAnsi="Calibri" w:cs="Calibri"/>
                <w:color w:val="000000"/>
                <w:sz w:val="18"/>
                <w:szCs w:val="18"/>
              </w:rPr>
              <w:t>90</w:t>
            </w:r>
          </w:p>
        </w:tc>
        <w:tc>
          <w:tcPr>
            <w:tcW w:w="3506"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rPr>
                <w:rFonts w:ascii="Calibri" w:hAnsi="Calibri" w:cs="Calibri"/>
                <w:color w:val="000000"/>
                <w:sz w:val="18"/>
                <w:szCs w:val="18"/>
              </w:rPr>
            </w:pPr>
            <w:r w:rsidRPr="002B3045">
              <w:rPr>
                <w:rFonts w:ascii="Calibri" w:hAnsi="Calibri" w:cs="Calibri"/>
                <w:color w:val="000000"/>
                <w:sz w:val="18"/>
                <w:szCs w:val="18"/>
              </w:rPr>
              <w:t>Správa a údržba majetku města</w:t>
            </w:r>
          </w:p>
        </w:tc>
        <w:tc>
          <w:tcPr>
            <w:tcW w:w="1559"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88 514 604,31</w:t>
            </w:r>
          </w:p>
        </w:tc>
        <w:tc>
          <w:tcPr>
            <w:tcW w:w="1701"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247 364 457,61</w:t>
            </w:r>
          </w:p>
        </w:tc>
        <w:tc>
          <w:tcPr>
            <w:tcW w:w="1418"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-158 849 853,30</w:t>
            </w:r>
          </w:p>
        </w:tc>
      </w:tr>
      <w:tr w:rsidR="002B3045" w:rsidTr="002B3045">
        <w:trPr>
          <w:trHeight w:val="272"/>
        </w:trPr>
        <w:tc>
          <w:tcPr>
            <w:tcW w:w="4106" w:type="dxa"/>
            <w:gridSpan w:val="2"/>
            <w:tcBorders>
              <w:top w:val="single" w:sz="4" w:space="0" w:color="auto"/>
              <w:left w:val="single" w:sz="4" w:space="0" w:color="auto"/>
              <w:bottom w:val="single" w:sz="4" w:space="0" w:color="auto"/>
              <w:right w:val="single" w:sz="4" w:space="0" w:color="auto"/>
            </w:tcBorders>
            <w:shd w:val="clear" w:color="D6A100" w:fill="FFC000"/>
            <w:noWrap/>
            <w:vAlign w:val="center"/>
            <w:hideMark/>
          </w:tcPr>
          <w:p w:rsidR="002B3045" w:rsidRPr="002B3045" w:rsidRDefault="002B3045">
            <w:pPr>
              <w:rPr>
                <w:rFonts w:ascii="Calibri" w:hAnsi="Calibri" w:cs="Calibri"/>
                <w:b/>
                <w:bCs/>
                <w:color w:val="000000"/>
                <w:sz w:val="18"/>
                <w:szCs w:val="18"/>
              </w:rPr>
            </w:pPr>
            <w:r w:rsidRPr="002B3045">
              <w:rPr>
                <w:rFonts w:ascii="Calibri" w:hAnsi="Calibri" w:cs="Calibri"/>
                <w:b/>
                <w:bCs/>
                <w:color w:val="000000"/>
                <w:sz w:val="18"/>
                <w:szCs w:val="18"/>
              </w:rPr>
              <w:t>Celkem</w:t>
            </w:r>
          </w:p>
        </w:tc>
        <w:tc>
          <w:tcPr>
            <w:tcW w:w="1559" w:type="dxa"/>
            <w:tcBorders>
              <w:top w:val="nil"/>
              <w:left w:val="nil"/>
              <w:bottom w:val="single" w:sz="4" w:space="0" w:color="auto"/>
              <w:right w:val="single" w:sz="4" w:space="0" w:color="auto"/>
            </w:tcBorders>
            <w:shd w:val="clear" w:color="D6A100" w:fill="FFC000"/>
            <w:noWrap/>
            <w:vAlign w:val="center"/>
            <w:hideMark/>
          </w:tcPr>
          <w:p w:rsidR="002B3045" w:rsidRPr="002B3045" w:rsidRDefault="002B3045">
            <w:pPr>
              <w:jc w:val="right"/>
              <w:rPr>
                <w:rFonts w:ascii="Calibri" w:hAnsi="Calibri" w:cs="Calibri"/>
                <w:b/>
                <w:bCs/>
                <w:color w:val="000000"/>
                <w:sz w:val="18"/>
                <w:szCs w:val="18"/>
              </w:rPr>
            </w:pPr>
            <w:r w:rsidRPr="002B3045">
              <w:rPr>
                <w:rFonts w:ascii="Calibri" w:hAnsi="Calibri" w:cs="Calibri"/>
                <w:b/>
                <w:bCs/>
                <w:color w:val="000000"/>
                <w:sz w:val="18"/>
                <w:szCs w:val="18"/>
              </w:rPr>
              <w:t>2 832 555 544,97</w:t>
            </w:r>
          </w:p>
        </w:tc>
        <w:tc>
          <w:tcPr>
            <w:tcW w:w="1701" w:type="dxa"/>
            <w:tcBorders>
              <w:top w:val="nil"/>
              <w:left w:val="nil"/>
              <w:bottom w:val="single" w:sz="4" w:space="0" w:color="auto"/>
              <w:right w:val="single" w:sz="4" w:space="0" w:color="auto"/>
            </w:tcBorders>
            <w:shd w:val="clear" w:color="D6A100" w:fill="FFC000"/>
            <w:noWrap/>
            <w:vAlign w:val="center"/>
            <w:hideMark/>
          </w:tcPr>
          <w:p w:rsidR="002B3045" w:rsidRPr="002B3045" w:rsidRDefault="002B3045">
            <w:pPr>
              <w:jc w:val="right"/>
              <w:rPr>
                <w:rFonts w:ascii="Calibri" w:hAnsi="Calibri" w:cs="Calibri"/>
                <w:b/>
                <w:bCs/>
                <w:color w:val="000000"/>
                <w:sz w:val="18"/>
                <w:szCs w:val="18"/>
              </w:rPr>
            </w:pPr>
            <w:r w:rsidRPr="002B3045">
              <w:rPr>
                <w:rFonts w:ascii="Calibri" w:hAnsi="Calibri" w:cs="Calibri"/>
                <w:b/>
                <w:bCs/>
                <w:color w:val="000000"/>
                <w:sz w:val="18"/>
                <w:szCs w:val="18"/>
              </w:rPr>
              <w:t>2 718 423 461,17</w:t>
            </w:r>
          </w:p>
        </w:tc>
        <w:tc>
          <w:tcPr>
            <w:tcW w:w="1418" w:type="dxa"/>
            <w:tcBorders>
              <w:top w:val="nil"/>
              <w:left w:val="nil"/>
              <w:bottom w:val="single" w:sz="4" w:space="0" w:color="auto"/>
              <w:right w:val="single" w:sz="4" w:space="0" w:color="auto"/>
            </w:tcBorders>
            <w:shd w:val="clear" w:color="D6A100" w:fill="FFC000"/>
            <w:noWrap/>
            <w:vAlign w:val="center"/>
            <w:hideMark/>
          </w:tcPr>
          <w:p w:rsidR="002B3045" w:rsidRPr="002B3045" w:rsidRDefault="002B3045">
            <w:pPr>
              <w:jc w:val="right"/>
              <w:rPr>
                <w:rFonts w:ascii="Calibri" w:hAnsi="Calibri" w:cs="Calibri"/>
                <w:b/>
                <w:bCs/>
                <w:color w:val="000000"/>
                <w:sz w:val="18"/>
                <w:szCs w:val="18"/>
              </w:rPr>
            </w:pPr>
            <w:r w:rsidRPr="002B3045">
              <w:rPr>
                <w:rFonts w:ascii="Calibri" w:hAnsi="Calibri" w:cs="Calibri"/>
                <w:b/>
                <w:bCs/>
                <w:color w:val="000000"/>
                <w:sz w:val="18"/>
                <w:szCs w:val="18"/>
              </w:rPr>
              <w:t>114 132 083,80</w:t>
            </w:r>
          </w:p>
        </w:tc>
      </w:tr>
    </w:tbl>
    <w:p w:rsidR="0068190F" w:rsidRPr="0068190F" w:rsidRDefault="0068190F" w:rsidP="0068190F"/>
    <w:p w:rsidR="00742F8B" w:rsidRDefault="00742F8B" w:rsidP="00742F8B">
      <w:pPr>
        <w:pStyle w:val="Nadpis2"/>
        <w:rPr>
          <w:sz w:val="24"/>
        </w:rPr>
      </w:pPr>
      <w:r w:rsidRPr="0068190F">
        <w:rPr>
          <w:sz w:val="24"/>
        </w:rPr>
        <w:t xml:space="preserve">Hospodaření města podle kapitol </w:t>
      </w:r>
      <w:r w:rsidR="006D4B94" w:rsidRPr="0068190F">
        <w:rPr>
          <w:sz w:val="24"/>
        </w:rPr>
        <w:t>po</w:t>
      </w:r>
      <w:r w:rsidR="00FC3F07" w:rsidRPr="0068190F">
        <w:rPr>
          <w:sz w:val="24"/>
        </w:rPr>
        <w:t xml:space="preserve"> konsol</w:t>
      </w:r>
      <w:r w:rsidR="006D4B94" w:rsidRPr="0068190F">
        <w:rPr>
          <w:sz w:val="24"/>
        </w:rPr>
        <w:t>idaci</w:t>
      </w:r>
      <w:r w:rsidR="00B67E54" w:rsidRPr="0068190F">
        <w:rPr>
          <w:sz w:val="24"/>
        </w:rPr>
        <w:t xml:space="preserve"> – rok 202</w:t>
      </w:r>
      <w:r w:rsidR="002B3045">
        <w:rPr>
          <w:sz w:val="24"/>
        </w:rPr>
        <w:t>2</w:t>
      </w:r>
      <w:r w:rsidRPr="0068190F">
        <w:rPr>
          <w:sz w:val="24"/>
        </w:rPr>
        <w:t xml:space="preserve"> (v Kč)</w:t>
      </w:r>
    </w:p>
    <w:tbl>
      <w:tblPr>
        <w:tblW w:w="8840" w:type="dxa"/>
        <w:tblCellMar>
          <w:left w:w="70" w:type="dxa"/>
          <w:right w:w="70" w:type="dxa"/>
        </w:tblCellMar>
        <w:tblLook w:val="04A0" w:firstRow="1" w:lastRow="0" w:firstColumn="1" w:lastColumn="0" w:noHBand="0" w:noVBand="1"/>
      </w:tblPr>
      <w:tblGrid>
        <w:gridCol w:w="640"/>
        <w:gridCol w:w="3400"/>
        <w:gridCol w:w="1620"/>
        <w:gridCol w:w="1620"/>
        <w:gridCol w:w="1560"/>
      </w:tblGrid>
      <w:tr w:rsidR="002B3045" w:rsidTr="002B3045">
        <w:trPr>
          <w:trHeight w:val="272"/>
        </w:trPr>
        <w:tc>
          <w:tcPr>
            <w:tcW w:w="640" w:type="dxa"/>
            <w:tcBorders>
              <w:top w:val="single" w:sz="4" w:space="0" w:color="auto"/>
              <w:left w:val="single" w:sz="4" w:space="0" w:color="auto"/>
              <w:bottom w:val="single" w:sz="4" w:space="0" w:color="auto"/>
              <w:right w:val="single" w:sz="4" w:space="0" w:color="auto"/>
            </w:tcBorders>
            <w:shd w:val="clear" w:color="EE8137" w:fill="F79646"/>
            <w:noWrap/>
            <w:vAlign w:val="center"/>
            <w:hideMark/>
          </w:tcPr>
          <w:p w:rsidR="002B3045" w:rsidRPr="002B3045" w:rsidRDefault="002B3045">
            <w:pPr>
              <w:jc w:val="center"/>
              <w:rPr>
                <w:rFonts w:ascii="Calibri" w:hAnsi="Calibri" w:cs="Calibri"/>
                <w:b/>
                <w:bCs/>
                <w:color w:val="000000"/>
                <w:sz w:val="18"/>
                <w:szCs w:val="18"/>
              </w:rPr>
            </w:pPr>
            <w:r w:rsidRPr="002B3045">
              <w:rPr>
                <w:rFonts w:ascii="Calibri" w:hAnsi="Calibri" w:cs="Calibri"/>
                <w:b/>
                <w:bCs/>
                <w:color w:val="000000"/>
                <w:sz w:val="18"/>
                <w:szCs w:val="18"/>
              </w:rPr>
              <w:t>ORJ</w:t>
            </w:r>
          </w:p>
        </w:tc>
        <w:tc>
          <w:tcPr>
            <w:tcW w:w="3400" w:type="dxa"/>
            <w:tcBorders>
              <w:top w:val="single" w:sz="4" w:space="0" w:color="auto"/>
              <w:left w:val="nil"/>
              <w:bottom w:val="single" w:sz="4" w:space="0" w:color="auto"/>
              <w:right w:val="single" w:sz="4" w:space="0" w:color="auto"/>
            </w:tcBorders>
            <w:shd w:val="clear" w:color="EE8137" w:fill="F79646"/>
            <w:noWrap/>
            <w:vAlign w:val="center"/>
            <w:hideMark/>
          </w:tcPr>
          <w:p w:rsidR="002B3045" w:rsidRPr="002B3045" w:rsidRDefault="002B3045">
            <w:pPr>
              <w:jc w:val="center"/>
              <w:rPr>
                <w:rFonts w:ascii="Calibri" w:hAnsi="Calibri" w:cs="Calibri"/>
                <w:b/>
                <w:bCs/>
                <w:color w:val="000000"/>
                <w:sz w:val="18"/>
                <w:szCs w:val="18"/>
              </w:rPr>
            </w:pPr>
            <w:r w:rsidRPr="002B3045">
              <w:rPr>
                <w:rFonts w:ascii="Calibri" w:hAnsi="Calibri" w:cs="Calibri"/>
                <w:b/>
                <w:bCs/>
                <w:color w:val="000000"/>
                <w:sz w:val="18"/>
                <w:szCs w:val="18"/>
              </w:rPr>
              <w:t>Název ORJ</w:t>
            </w:r>
          </w:p>
        </w:tc>
        <w:tc>
          <w:tcPr>
            <w:tcW w:w="1620" w:type="dxa"/>
            <w:tcBorders>
              <w:top w:val="single" w:sz="4" w:space="0" w:color="auto"/>
              <w:left w:val="nil"/>
              <w:bottom w:val="single" w:sz="4" w:space="0" w:color="auto"/>
              <w:right w:val="single" w:sz="4" w:space="0" w:color="auto"/>
            </w:tcBorders>
            <w:shd w:val="clear" w:color="EE8137" w:fill="F79646"/>
            <w:noWrap/>
            <w:vAlign w:val="center"/>
            <w:hideMark/>
          </w:tcPr>
          <w:p w:rsidR="002B3045" w:rsidRPr="002B3045" w:rsidRDefault="002B3045">
            <w:pPr>
              <w:jc w:val="center"/>
              <w:rPr>
                <w:rFonts w:ascii="Calibri" w:hAnsi="Calibri" w:cs="Calibri"/>
                <w:b/>
                <w:bCs/>
                <w:color w:val="000000"/>
                <w:sz w:val="18"/>
                <w:szCs w:val="18"/>
              </w:rPr>
            </w:pPr>
            <w:r w:rsidRPr="002B3045">
              <w:rPr>
                <w:rFonts w:ascii="Calibri" w:hAnsi="Calibri" w:cs="Calibri"/>
                <w:b/>
                <w:bCs/>
                <w:color w:val="000000"/>
                <w:sz w:val="18"/>
                <w:szCs w:val="18"/>
              </w:rPr>
              <w:t>Příjmy ORJ</w:t>
            </w:r>
          </w:p>
        </w:tc>
        <w:tc>
          <w:tcPr>
            <w:tcW w:w="1620" w:type="dxa"/>
            <w:tcBorders>
              <w:top w:val="single" w:sz="4" w:space="0" w:color="auto"/>
              <w:left w:val="nil"/>
              <w:bottom w:val="single" w:sz="4" w:space="0" w:color="auto"/>
              <w:right w:val="single" w:sz="4" w:space="0" w:color="auto"/>
            </w:tcBorders>
            <w:shd w:val="clear" w:color="EE8137" w:fill="F79646"/>
            <w:noWrap/>
            <w:vAlign w:val="center"/>
            <w:hideMark/>
          </w:tcPr>
          <w:p w:rsidR="002B3045" w:rsidRPr="002B3045" w:rsidRDefault="002B3045">
            <w:pPr>
              <w:jc w:val="center"/>
              <w:rPr>
                <w:rFonts w:ascii="Calibri" w:hAnsi="Calibri" w:cs="Calibri"/>
                <w:b/>
                <w:bCs/>
                <w:color w:val="000000"/>
                <w:sz w:val="18"/>
                <w:szCs w:val="18"/>
              </w:rPr>
            </w:pPr>
            <w:r w:rsidRPr="002B3045">
              <w:rPr>
                <w:rFonts w:ascii="Calibri" w:hAnsi="Calibri" w:cs="Calibri"/>
                <w:b/>
                <w:bCs/>
                <w:color w:val="000000"/>
                <w:sz w:val="18"/>
                <w:szCs w:val="18"/>
              </w:rPr>
              <w:t>Výdaje ORJ</w:t>
            </w:r>
          </w:p>
        </w:tc>
        <w:tc>
          <w:tcPr>
            <w:tcW w:w="1560" w:type="dxa"/>
            <w:tcBorders>
              <w:top w:val="single" w:sz="4" w:space="0" w:color="auto"/>
              <w:left w:val="nil"/>
              <w:bottom w:val="single" w:sz="4" w:space="0" w:color="auto"/>
              <w:right w:val="single" w:sz="4" w:space="0" w:color="auto"/>
            </w:tcBorders>
            <w:shd w:val="clear" w:color="EE8137" w:fill="F79646"/>
            <w:noWrap/>
            <w:vAlign w:val="center"/>
            <w:hideMark/>
          </w:tcPr>
          <w:p w:rsidR="002B3045" w:rsidRPr="002B3045" w:rsidRDefault="002B3045">
            <w:pPr>
              <w:jc w:val="center"/>
              <w:rPr>
                <w:rFonts w:ascii="Calibri" w:hAnsi="Calibri" w:cs="Calibri"/>
                <w:b/>
                <w:bCs/>
                <w:color w:val="000000"/>
                <w:sz w:val="18"/>
                <w:szCs w:val="18"/>
              </w:rPr>
            </w:pPr>
            <w:r w:rsidRPr="002B3045">
              <w:rPr>
                <w:rFonts w:ascii="Calibri" w:hAnsi="Calibri" w:cs="Calibri"/>
                <w:b/>
                <w:bCs/>
                <w:color w:val="000000"/>
                <w:sz w:val="18"/>
                <w:szCs w:val="18"/>
              </w:rPr>
              <w:t>Saldo ORJ</w:t>
            </w:r>
          </w:p>
        </w:tc>
      </w:tr>
      <w:tr w:rsidR="002B3045" w:rsidTr="002B3045">
        <w:trPr>
          <w:trHeight w:val="27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3045" w:rsidRPr="002B3045" w:rsidRDefault="002B3045">
            <w:pPr>
              <w:jc w:val="center"/>
              <w:rPr>
                <w:rFonts w:ascii="Calibri" w:hAnsi="Calibri" w:cs="Calibri"/>
                <w:color w:val="000000"/>
                <w:sz w:val="18"/>
                <w:szCs w:val="18"/>
              </w:rPr>
            </w:pPr>
            <w:r w:rsidRPr="002B3045">
              <w:rPr>
                <w:rFonts w:ascii="Calibri" w:hAnsi="Calibri" w:cs="Calibri"/>
                <w:color w:val="000000"/>
                <w:sz w:val="18"/>
                <w:szCs w:val="18"/>
              </w:rPr>
              <w:t>10</w:t>
            </w:r>
          </w:p>
        </w:tc>
        <w:tc>
          <w:tcPr>
            <w:tcW w:w="340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rPr>
                <w:rFonts w:ascii="Calibri" w:hAnsi="Calibri" w:cs="Calibri"/>
                <w:color w:val="000000"/>
                <w:sz w:val="18"/>
                <w:szCs w:val="18"/>
              </w:rPr>
            </w:pPr>
            <w:r w:rsidRPr="002B3045">
              <w:rPr>
                <w:rFonts w:ascii="Calibri" w:hAnsi="Calibri" w:cs="Calibri"/>
                <w:color w:val="000000"/>
                <w:sz w:val="18"/>
                <w:szCs w:val="18"/>
              </w:rPr>
              <w:t>Kancelář primátora</w:t>
            </w:r>
          </w:p>
        </w:tc>
        <w:tc>
          <w:tcPr>
            <w:tcW w:w="162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277 098,00</w:t>
            </w:r>
          </w:p>
        </w:tc>
        <w:tc>
          <w:tcPr>
            <w:tcW w:w="162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25 068 479,02</w:t>
            </w:r>
          </w:p>
        </w:tc>
        <w:tc>
          <w:tcPr>
            <w:tcW w:w="156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-24 791 381,02</w:t>
            </w:r>
          </w:p>
        </w:tc>
      </w:tr>
      <w:tr w:rsidR="002B3045" w:rsidTr="002B3045">
        <w:trPr>
          <w:trHeight w:val="27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3045" w:rsidRPr="002B3045" w:rsidRDefault="002B3045">
            <w:pPr>
              <w:jc w:val="center"/>
              <w:rPr>
                <w:rFonts w:ascii="Calibri" w:hAnsi="Calibri" w:cs="Calibri"/>
                <w:color w:val="000000"/>
                <w:sz w:val="18"/>
                <w:szCs w:val="18"/>
              </w:rPr>
            </w:pPr>
            <w:r w:rsidRPr="002B3045">
              <w:rPr>
                <w:rFonts w:ascii="Calibri" w:hAnsi="Calibri" w:cs="Calibri"/>
                <w:color w:val="000000"/>
                <w:sz w:val="18"/>
                <w:szCs w:val="18"/>
              </w:rPr>
              <w:t>11</w:t>
            </w:r>
          </w:p>
        </w:tc>
        <w:tc>
          <w:tcPr>
            <w:tcW w:w="340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rPr>
                <w:rFonts w:ascii="Calibri" w:hAnsi="Calibri" w:cs="Calibri"/>
                <w:color w:val="000000"/>
                <w:sz w:val="18"/>
                <w:szCs w:val="18"/>
              </w:rPr>
            </w:pPr>
            <w:r w:rsidRPr="002B3045">
              <w:rPr>
                <w:rFonts w:ascii="Calibri" w:hAnsi="Calibri" w:cs="Calibri"/>
                <w:color w:val="000000"/>
                <w:sz w:val="18"/>
                <w:szCs w:val="18"/>
              </w:rPr>
              <w:t>Správa a zabezpečení</w:t>
            </w:r>
          </w:p>
        </w:tc>
        <w:tc>
          <w:tcPr>
            <w:tcW w:w="162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1 907 311,00</w:t>
            </w:r>
          </w:p>
        </w:tc>
        <w:tc>
          <w:tcPr>
            <w:tcW w:w="162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43 859 690,85</w:t>
            </w:r>
          </w:p>
        </w:tc>
        <w:tc>
          <w:tcPr>
            <w:tcW w:w="156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-41 952 379,85</w:t>
            </w:r>
          </w:p>
        </w:tc>
      </w:tr>
      <w:tr w:rsidR="002B3045" w:rsidTr="002B3045">
        <w:trPr>
          <w:trHeight w:val="27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3045" w:rsidRPr="002B3045" w:rsidRDefault="002B3045">
            <w:pPr>
              <w:jc w:val="center"/>
              <w:rPr>
                <w:rFonts w:ascii="Calibri" w:hAnsi="Calibri" w:cs="Calibri"/>
                <w:color w:val="000000"/>
                <w:sz w:val="18"/>
                <w:szCs w:val="18"/>
              </w:rPr>
            </w:pPr>
            <w:r w:rsidRPr="002B3045">
              <w:rPr>
                <w:rFonts w:ascii="Calibri" w:hAnsi="Calibri" w:cs="Calibri"/>
                <w:color w:val="000000"/>
                <w:sz w:val="18"/>
                <w:szCs w:val="18"/>
              </w:rPr>
              <w:t>12</w:t>
            </w:r>
          </w:p>
        </w:tc>
        <w:tc>
          <w:tcPr>
            <w:tcW w:w="340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rPr>
                <w:rFonts w:ascii="Calibri" w:hAnsi="Calibri" w:cs="Calibri"/>
                <w:color w:val="000000"/>
                <w:sz w:val="18"/>
                <w:szCs w:val="18"/>
              </w:rPr>
            </w:pPr>
            <w:r w:rsidRPr="002B3045">
              <w:rPr>
                <w:rFonts w:ascii="Calibri" w:hAnsi="Calibri" w:cs="Calibri"/>
                <w:color w:val="000000"/>
                <w:sz w:val="18"/>
                <w:szCs w:val="18"/>
              </w:rPr>
              <w:t>Krizové řízení</w:t>
            </w:r>
          </w:p>
        </w:tc>
        <w:tc>
          <w:tcPr>
            <w:tcW w:w="162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823 400,00</w:t>
            </w:r>
          </w:p>
        </w:tc>
        <w:tc>
          <w:tcPr>
            <w:tcW w:w="162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2 918 858,90</w:t>
            </w:r>
          </w:p>
        </w:tc>
        <w:tc>
          <w:tcPr>
            <w:tcW w:w="156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-2 095 458,90</w:t>
            </w:r>
          </w:p>
        </w:tc>
      </w:tr>
      <w:tr w:rsidR="002B3045" w:rsidTr="002B3045">
        <w:trPr>
          <w:trHeight w:val="27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3045" w:rsidRPr="002B3045" w:rsidRDefault="002B3045">
            <w:pPr>
              <w:jc w:val="center"/>
              <w:rPr>
                <w:rFonts w:ascii="Calibri" w:hAnsi="Calibri" w:cs="Calibri"/>
                <w:color w:val="000000"/>
                <w:sz w:val="18"/>
                <w:szCs w:val="18"/>
              </w:rPr>
            </w:pPr>
            <w:r w:rsidRPr="002B3045">
              <w:rPr>
                <w:rFonts w:ascii="Calibri" w:hAnsi="Calibri" w:cs="Calibri"/>
                <w:color w:val="000000"/>
                <w:sz w:val="18"/>
                <w:szCs w:val="18"/>
              </w:rPr>
              <w:t>13</w:t>
            </w:r>
          </w:p>
        </w:tc>
        <w:tc>
          <w:tcPr>
            <w:tcW w:w="340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rPr>
                <w:rFonts w:ascii="Calibri" w:hAnsi="Calibri" w:cs="Calibri"/>
                <w:color w:val="000000"/>
                <w:sz w:val="18"/>
                <w:szCs w:val="18"/>
              </w:rPr>
            </w:pPr>
            <w:r w:rsidRPr="002B3045">
              <w:rPr>
                <w:rFonts w:ascii="Calibri" w:hAnsi="Calibri" w:cs="Calibri"/>
                <w:color w:val="000000"/>
                <w:sz w:val="18"/>
                <w:szCs w:val="18"/>
              </w:rPr>
              <w:t>Městská policie</w:t>
            </w:r>
          </w:p>
        </w:tc>
        <w:tc>
          <w:tcPr>
            <w:tcW w:w="162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2 578 065,58</w:t>
            </w:r>
          </w:p>
        </w:tc>
        <w:tc>
          <w:tcPr>
            <w:tcW w:w="162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53 223 954,48</w:t>
            </w:r>
          </w:p>
        </w:tc>
        <w:tc>
          <w:tcPr>
            <w:tcW w:w="156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-50 645 888,90</w:t>
            </w:r>
          </w:p>
        </w:tc>
      </w:tr>
      <w:tr w:rsidR="002B3045" w:rsidTr="002B3045">
        <w:trPr>
          <w:trHeight w:val="27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3045" w:rsidRPr="002B3045" w:rsidRDefault="002B3045">
            <w:pPr>
              <w:jc w:val="center"/>
              <w:rPr>
                <w:rFonts w:ascii="Calibri" w:hAnsi="Calibri" w:cs="Calibri"/>
                <w:color w:val="000000"/>
                <w:sz w:val="18"/>
                <w:szCs w:val="18"/>
              </w:rPr>
            </w:pPr>
            <w:r w:rsidRPr="002B3045">
              <w:rPr>
                <w:rFonts w:ascii="Calibri" w:hAnsi="Calibri" w:cs="Calibri"/>
                <w:color w:val="000000"/>
                <w:sz w:val="18"/>
                <w:szCs w:val="18"/>
              </w:rPr>
              <w:t>14</w:t>
            </w:r>
          </w:p>
        </w:tc>
        <w:tc>
          <w:tcPr>
            <w:tcW w:w="340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rPr>
                <w:rFonts w:ascii="Calibri" w:hAnsi="Calibri" w:cs="Calibri"/>
                <w:color w:val="000000"/>
                <w:sz w:val="18"/>
                <w:szCs w:val="18"/>
              </w:rPr>
            </w:pPr>
            <w:r w:rsidRPr="002B3045">
              <w:rPr>
                <w:rFonts w:ascii="Calibri" w:hAnsi="Calibri" w:cs="Calibri"/>
                <w:color w:val="000000"/>
                <w:sz w:val="18"/>
                <w:szCs w:val="18"/>
              </w:rPr>
              <w:t>Kancelář tajemníka</w:t>
            </w:r>
          </w:p>
        </w:tc>
        <w:tc>
          <w:tcPr>
            <w:tcW w:w="162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1 252 800,00</w:t>
            </w:r>
          </w:p>
        </w:tc>
        <w:tc>
          <w:tcPr>
            <w:tcW w:w="162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220 635 513,90</w:t>
            </w:r>
          </w:p>
        </w:tc>
        <w:tc>
          <w:tcPr>
            <w:tcW w:w="156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-219 382 713,90</w:t>
            </w:r>
          </w:p>
        </w:tc>
      </w:tr>
      <w:tr w:rsidR="002B3045" w:rsidTr="002B3045">
        <w:trPr>
          <w:trHeight w:val="27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3045" w:rsidRPr="002B3045" w:rsidRDefault="002B3045">
            <w:pPr>
              <w:jc w:val="center"/>
              <w:rPr>
                <w:rFonts w:ascii="Calibri" w:hAnsi="Calibri" w:cs="Calibri"/>
                <w:color w:val="000000"/>
                <w:sz w:val="18"/>
                <w:szCs w:val="18"/>
              </w:rPr>
            </w:pPr>
            <w:r w:rsidRPr="002B3045">
              <w:rPr>
                <w:rFonts w:ascii="Calibri" w:hAnsi="Calibri" w:cs="Calibri"/>
                <w:color w:val="000000"/>
                <w:sz w:val="18"/>
                <w:szCs w:val="18"/>
              </w:rPr>
              <w:t>15</w:t>
            </w:r>
          </w:p>
        </w:tc>
        <w:tc>
          <w:tcPr>
            <w:tcW w:w="340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rPr>
                <w:rFonts w:ascii="Calibri" w:hAnsi="Calibri" w:cs="Calibri"/>
                <w:color w:val="000000"/>
                <w:sz w:val="18"/>
                <w:szCs w:val="18"/>
              </w:rPr>
            </w:pPr>
            <w:r w:rsidRPr="002B3045">
              <w:rPr>
                <w:rFonts w:ascii="Calibri" w:hAnsi="Calibri" w:cs="Calibri"/>
                <w:color w:val="000000"/>
                <w:sz w:val="18"/>
                <w:szCs w:val="18"/>
              </w:rPr>
              <w:t>Informační technologie</w:t>
            </w:r>
          </w:p>
        </w:tc>
        <w:tc>
          <w:tcPr>
            <w:tcW w:w="162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171 643,50</w:t>
            </w:r>
          </w:p>
        </w:tc>
        <w:tc>
          <w:tcPr>
            <w:tcW w:w="162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10 103 684,75</w:t>
            </w:r>
          </w:p>
        </w:tc>
        <w:tc>
          <w:tcPr>
            <w:tcW w:w="156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-9 932 041,25</w:t>
            </w:r>
          </w:p>
        </w:tc>
      </w:tr>
      <w:tr w:rsidR="002B3045" w:rsidTr="002B3045">
        <w:trPr>
          <w:trHeight w:val="27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3045" w:rsidRPr="002B3045" w:rsidRDefault="002B3045">
            <w:pPr>
              <w:jc w:val="center"/>
              <w:rPr>
                <w:rFonts w:ascii="Calibri" w:hAnsi="Calibri" w:cs="Calibri"/>
                <w:color w:val="000000"/>
                <w:sz w:val="18"/>
                <w:szCs w:val="18"/>
              </w:rPr>
            </w:pPr>
            <w:r w:rsidRPr="002B3045">
              <w:rPr>
                <w:rFonts w:ascii="Calibri" w:hAnsi="Calibri" w:cs="Calibri"/>
                <w:color w:val="000000"/>
                <w:sz w:val="18"/>
                <w:szCs w:val="18"/>
              </w:rPr>
              <w:t>16</w:t>
            </w:r>
          </w:p>
        </w:tc>
        <w:tc>
          <w:tcPr>
            <w:tcW w:w="340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rPr>
                <w:rFonts w:ascii="Calibri" w:hAnsi="Calibri" w:cs="Calibri"/>
                <w:color w:val="000000"/>
                <w:sz w:val="18"/>
                <w:szCs w:val="18"/>
              </w:rPr>
            </w:pPr>
            <w:r w:rsidRPr="002B3045">
              <w:rPr>
                <w:rFonts w:ascii="Calibri" w:hAnsi="Calibri" w:cs="Calibri"/>
                <w:color w:val="000000"/>
                <w:sz w:val="18"/>
                <w:szCs w:val="18"/>
              </w:rPr>
              <w:t>Občanské záležitosti</w:t>
            </w:r>
          </w:p>
        </w:tc>
        <w:tc>
          <w:tcPr>
            <w:tcW w:w="162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16 772 932,14</w:t>
            </w:r>
          </w:p>
        </w:tc>
        <w:tc>
          <w:tcPr>
            <w:tcW w:w="162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0,00</w:t>
            </w:r>
          </w:p>
        </w:tc>
        <w:tc>
          <w:tcPr>
            <w:tcW w:w="156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16 772 932,14</w:t>
            </w:r>
          </w:p>
        </w:tc>
      </w:tr>
      <w:tr w:rsidR="002B3045" w:rsidTr="002B3045">
        <w:trPr>
          <w:trHeight w:val="27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3045" w:rsidRPr="002B3045" w:rsidRDefault="002B3045">
            <w:pPr>
              <w:jc w:val="center"/>
              <w:rPr>
                <w:rFonts w:ascii="Calibri" w:hAnsi="Calibri" w:cs="Calibri"/>
                <w:color w:val="000000"/>
                <w:sz w:val="18"/>
                <w:szCs w:val="18"/>
              </w:rPr>
            </w:pPr>
            <w:r w:rsidRPr="002B3045">
              <w:rPr>
                <w:rFonts w:ascii="Calibri" w:hAnsi="Calibri" w:cs="Calibri"/>
                <w:color w:val="000000"/>
                <w:sz w:val="18"/>
                <w:szCs w:val="18"/>
              </w:rPr>
              <w:t>17</w:t>
            </w:r>
          </w:p>
        </w:tc>
        <w:tc>
          <w:tcPr>
            <w:tcW w:w="340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rPr>
                <w:rFonts w:ascii="Calibri" w:hAnsi="Calibri" w:cs="Calibri"/>
                <w:color w:val="000000"/>
                <w:sz w:val="18"/>
                <w:szCs w:val="18"/>
              </w:rPr>
            </w:pPr>
            <w:r w:rsidRPr="002B3045">
              <w:rPr>
                <w:rFonts w:ascii="Calibri" w:hAnsi="Calibri" w:cs="Calibri"/>
                <w:color w:val="000000"/>
                <w:sz w:val="18"/>
                <w:szCs w:val="18"/>
              </w:rPr>
              <w:t>Dotace a veřejné zakázky</w:t>
            </w:r>
          </w:p>
        </w:tc>
        <w:tc>
          <w:tcPr>
            <w:tcW w:w="162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0,00</w:t>
            </w:r>
          </w:p>
        </w:tc>
        <w:tc>
          <w:tcPr>
            <w:tcW w:w="162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3 315,40</w:t>
            </w:r>
          </w:p>
        </w:tc>
        <w:tc>
          <w:tcPr>
            <w:tcW w:w="156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-3 315,40</w:t>
            </w:r>
          </w:p>
        </w:tc>
      </w:tr>
      <w:tr w:rsidR="002B3045" w:rsidTr="002B3045">
        <w:trPr>
          <w:trHeight w:val="27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3045" w:rsidRPr="002B3045" w:rsidRDefault="002B3045">
            <w:pPr>
              <w:jc w:val="center"/>
              <w:rPr>
                <w:rFonts w:ascii="Calibri" w:hAnsi="Calibri" w:cs="Calibri"/>
                <w:color w:val="000000"/>
                <w:sz w:val="18"/>
                <w:szCs w:val="18"/>
              </w:rPr>
            </w:pPr>
            <w:r w:rsidRPr="002B3045">
              <w:rPr>
                <w:rFonts w:ascii="Calibri" w:hAnsi="Calibri" w:cs="Calibri"/>
                <w:color w:val="000000"/>
                <w:sz w:val="18"/>
                <w:szCs w:val="18"/>
              </w:rPr>
              <w:t>19</w:t>
            </w:r>
          </w:p>
        </w:tc>
        <w:tc>
          <w:tcPr>
            <w:tcW w:w="340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rPr>
                <w:rFonts w:ascii="Calibri" w:hAnsi="Calibri" w:cs="Calibri"/>
                <w:color w:val="000000"/>
                <w:sz w:val="18"/>
                <w:szCs w:val="18"/>
              </w:rPr>
            </w:pPr>
            <w:r w:rsidRPr="002B3045">
              <w:rPr>
                <w:rFonts w:ascii="Calibri" w:hAnsi="Calibri" w:cs="Calibri"/>
                <w:color w:val="000000"/>
                <w:sz w:val="18"/>
                <w:szCs w:val="18"/>
              </w:rPr>
              <w:t>DUHA KK u hradeb</w:t>
            </w:r>
          </w:p>
        </w:tc>
        <w:tc>
          <w:tcPr>
            <w:tcW w:w="162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4 542 582,00</w:t>
            </w:r>
          </w:p>
        </w:tc>
        <w:tc>
          <w:tcPr>
            <w:tcW w:w="162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10 029 398,66</w:t>
            </w:r>
          </w:p>
        </w:tc>
        <w:tc>
          <w:tcPr>
            <w:tcW w:w="156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-5 486 816,66</w:t>
            </w:r>
          </w:p>
        </w:tc>
      </w:tr>
      <w:tr w:rsidR="002B3045" w:rsidTr="002B3045">
        <w:trPr>
          <w:trHeight w:val="27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3045" w:rsidRPr="002B3045" w:rsidRDefault="002B3045">
            <w:pPr>
              <w:jc w:val="center"/>
              <w:rPr>
                <w:rFonts w:ascii="Calibri" w:hAnsi="Calibri" w:cs="Calibri"/>
                <w:color w:val="000000"/>
                <w:sz w:val="18"/>
                <w:szCs w:val="18"/>
              </w:rPr>
            </w:pPr>
            <w:r w:rsidRPr="002B3045">
              <w:rPr>
                <w:rFonts w:ascii="Calibri" w:hAnsi="Calibri" w:cs="Calibri"/>
                <w:color w:val="000000"/>
                <w:sz w:val="18"/>
                <w:szCs w:val="18"/>
              </w:rPr>
              <w:t>20</w:t>
            </w:r>
          </w:p>
        </w:tc>
        <w:tc>
          <w:tcPr>
            <w:tcW w:w="340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rPr>
                <w:rFonts w:ascii="Calibri" w:hAnsi="Calibri" w:cs="Calibri"/>
                <w:color w:val="000000"/>
                <w:sz w:val="18"/>
                <w:szCs w:val="18"/>
              </w:rPr>
            </w:pPr>
            <w:r w:rsidRPr="002B3045">
              <w:rPr>
                <w:rFonts w:ascii="Calibri" w:hAnsi="Calibri" w:cs="Calibri"/>
                <w:color w:val="000000"/>
                <w:sz w:val="18"/>
                <w:szCs w:val="18"/>
              </w:rPr>
              <w:t>Školství, kultura a sport</w:t>
            </w:r>
          </w:p>
        </w:tc>
        <w:tc>
          <w:tcPr>
            <w:tcW w:w="162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35 287 141,26</w:t>
            </w:r>
          </w:p>
        </w:tc>
        <w:tc>
          <w:tcPr>
            <w:tcW w:w="162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169 490 241,85</w:t>
            </w:r>
          </w:p>
        </w:tc>
        <w:tc>
          <w:tcPr>
            <w:tcW w:w="156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-134 203 100,59</w:t>
            </w:r>
          </w:p>
        </w:tc>
      </w:tr>
      <w:tr w:rsidR="002B3045" w:rsidTr="002B3045">
        <w:trPr>
          <w:trHeight w:val="27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3045" w:rsidRPr="002B3045" w:rsidRDefault="002B3045">
            <w:pPr>
              <w:jc w:val="center"/>
              <w:rPr>
                <w:rFonts w:ascii="Calibri" w:hAnsi="Calibri" w:cs="Calibri"/>
                <w:color w:val="000000"/>
                <w:sz w:val="18"/>
                <w:szCs w:val="18"/>
              </w:rPr>
            </w:pPr>
            <w:r w:rsidRPr="002B3045">
              <w:rPr>
                <w:rFonts w:ascii="Calibri" w:hAnsi="Calibri" w:cs="Calibri"/>
                <w:color w:val="000000"/>
                <w:sz w:val="18"/>
                <w:szCs w:val="18"/>
              </w:rPr>
              <w:t>21</w:t>
            </w:r>
          </w:p>
        </w:tc>
        <w:tc>
          <w:tcPr>
            <w:tcW w:w="340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rPr>
                <w:rFonts w:ascii="Calibri" w:hAnsi="Calibri" w:cs="Calibri"/>
                <w:color w:val="000000"/>
                <w:sz w:val="18"/>
                <w:szCs w:val="18"/>
              </w:rPr>
            </w:pPr>
            <w:r w:rsidRPr="002B3045">
              <w:rPr>
                <w:rFonts w:ascii="Calibri" w:hAnsi="Calibri" w:cs="Calibri"/>
                <w:color w:val="000000"/>
                <w:sz w:val="18"/>
                <w:szCs w:val="18"/>
              </w:rPr>
              <w:t>Sociální věci</w:t>
            </w:r>
          </w:p>
        </w:tc>
        <w:tc>
          <w:tcPr>
            <w:tcW w:w="162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18 571 254,31</w:t>
            </w:r>
          </w:p>
        </w:tc>
        <w:tc>
          <w:tcPr>
            <w:tcW w:w="162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7 493 122,21</w:t>
            </w:r>
          </w:p>
        </w:tc>
        <w:tc>
          <w:tcPr>
            <w:tcW w:w="156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11 078 132,10</w:t>
            </w:r>
          </w:p>
        </w:tc>
      </w:tr>
      <w:tr w:rsidR="002B3045" w:rsidTr="002B3045">
        <w:trPr>
          <w:trHeight w:val="27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3045" w:rsidRPr="002B3045" w:rsidRDefault="002B3045">
            <w:pPr>
              <w:jc w:val="center"/>
              <w:rPr>
                <w:rFonts w:ascii="Calibri" w:hAnsi="Calibri" w:cs="Calibri"/>
                <w:color w:val="000000"/>
                <w:sz w:val="18"/>
                <w:szCs w:val="18"/>
              </w:rPr>
            </w:pPr>
            <w:r w:rsidRPr="002B3045">
              <w:rPr>
                <w:rFonts w:ascii="Calibri" w:hAnsi="Calibri" w:cs="Calibri"/>
                <w:color w:val="000000"/>
                <w:sz w:val="18"/>
                <w:szCs w:val="18"/>
              </w:rPr>
              <w:t>30</w:t>
            </w:r>
          </w:p>
        </w:tc>
        <w:tc>
          <w:tcPr>
            <w:tcW w:w="340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rPr>
                <w:rFonts w:ascii="Calibri" w:hAnsi="Calibri" w:cs="Calibri"/>
                <w:color w:val="000000"/>
                <w:sz w:val="18"/>
                <w:szCs w:val="18"/>
              </w:rPr>
            </w:pPr>
            <w:r w:rsidRPr="002B3045">
              <w:rPr>
                <w:rFonts w:ascii="Calibri" w:hAnsi="Calibri" w:cs="Calibri"/>
                <w:color w:val="000000"/>
                <w:sz w:val="18"/>
                <w:szCs w:val="18"/>
              </w:rPr>
              <w:t>Obecní živnostenský úřad</w:t>
            </w:r>
          </w:p>
        </w:tc>
        <w:tc>
          <w:tcPr>
            <w:tcW w:w="162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944 543,99</w:t>
            </w:r>
          </w:p>
        </w:tc>
        <w:tc>
          <w:tcPr>
            <w:tcW w:w="162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0,00</w:t>
            </w:r>
          </w:p>
        </w:tc>
        <w:tc>
          <w:tcPr>
            <w:tcW w:w="156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944 543,99</w:t>
            </w:r>
          </w:p>
        </w:tc>
      </w:tr>
      <w:tr w:rsidR="002B3045" w:rsidTr="002B3045">
        <w:trPr>
          <w:trHeight w:val="27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3045" w:rsidRPr="002B3045" w:rsidRDefault="002B3045">
            <w:pPr>
              <w:jc w:val="center"/>
              <w:rPr>
                <w:rFonts w:ascii="Calibri" w:hAnsi="Calibri" w:cs="Calibri"/>
                <w:color w:val="000000"/>
                <w:sz w:val="18"/>
                <w:szCs w:val="18"/>
              </w:rPr>
            </w:pPr>
            <w:r w:rsidRPr="002B3045">
              <w:rPr>
                <w:rFonts w:ascii="Calibri" w:hAnsi="Calibri" w:cs="Calibri"/>
                <w:color w:val="000000"/>
                <w:sz w:val="18"/>
                <w:szCs w:val="18"/>
              </w:rPr>
              <w:t>40</w:t>
            </w:r>
          </w:p>
        </w:tc>
        <w:tc>
          <w:tcPr>
            <w:tcW w:w="340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rPr>
                <w:rFonts w:ascii="Calibri" w:hAnsi="Calibri" w:cs="Calibri"/>
                <w:color w:val="000000"/>
                <w:sz w:val="18"/>
                <w:szCs w:val="18"/>
              </w:rPr>
            </w:pPr>
            <w:r w:rsidRPr="002B3045">
              <w:rPr>
                <w:rFonts w:ascii="Calibri" w:hAnsi="Calibri" w:cs="Calibri"/>
                <w:color w:val="000000"/>
                <w:sz w:val="18"/>
                <w:szCs w:val="18"/>
              </w:rPr>
              <w:t>Životní prostředí</w:t>
            </w:r>
          </w:p>
        </w:tc>
        <w:tc>
          <w:tcPr>
            <w:tcW w:w="162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2 166 782,76</w:t>
            </w:r>
          </w:p>
        </w:tc>
        <w:tc>
          <w:tcPr>
            <w:tcW w:w="162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3 558 518,70</w:t>
            </w:r>
          </w:p>
        </w:tc>
        <w:tc>
          <w:tcPr>
            <w:tcW w:w="156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-1 391 735,94</w:t>
            </w:r>
          </w:p>
        </w:tc>
      </w:tr>
      <w:tr w:rsidR="002B3045" w:rsidTr="002B3045">
        <w:trPr>
          <w:trHeight w:val="27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3045" w:rsidRPr="002B3045" w:rsidRDefault="002B3045">
            <w:pPr>
              <w:jc w:val="center"/>
              <w:rPr>
                <w:rFonts w:ascii="Calibri" w:hAnsi="Calibri" w:cs="Calibri"/>
                <w:color w:val="000000"/>
                <w:sz w:val="18"/>
                <w:szCs w:val="18"/>
              </w:rPr>
            </w:pPr>
            <w:r w:rsidRPr="002B3045">
              <w:rPr>
                <w:rFonts w:ascii="Calibri" w:hAnsi="Calibri" w:cs="Calibri"/>
                <w:color w:val="000000"/>
                <w:sz w:val="18"/>
                <w:szCs w:val="18"/>
              </w:rPr>
              <w:t>41</w:t>
            </w:r>
          </w:p>
        </w:tc>
        <w:tc>
          <w:tcPr>
            <w:tcW w:w="340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rPr>
                <w:rFonts w:ascii="Calibri" w:hAnsi="Calibri" w:cs="Calibri"/>
                <w:color w:val="000000"/>
                <w:sz w:val="18"/>
                <w:szCs w:val="18"/>
              </w:rPr>
            </w:pPr>
            <w:r w:rsidRPr="002B3045">
              <w:rPr>
                <w:rFonts w:ascii="Calibri" w:hAnsi="Calibri" w:cs="Calibri"/>
                <w:color w:val="000000"/>
                <w:sz w:val="18"/>
                <w:szCs w:val="18"/>
              </w:rPr>
              <w:t>Doprava</w:t>
            </w:r>
          </w:p>
        </w:tc>
        <w:tc>
          <w:tcPr>
            <w:tcW w:w="162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17 885 669,89</w:t>
            </w:r>
          </w:p>
        </w:tc>
        <w:tc>
          <w:tcPr>
            <w:tcW w:w="162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43 871 221,05</w:t>
            </w:r>
          </w:p>
        </w:tc>
        <w:tc>
          <w:tcPr>
            <w:tcW w:w="156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-25 985 551,16</w:t>
            </w:r>
          </w:p>
        </w:tc>
      </w:tr>
      <w:tr w:rsidR="002B3045" w:rsidTr="002B3045">
        <w:trPr>
          <w:trHeight w:val="27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3045" w:rsidRPr="002B3045" w:rsidRDefault="002B3045">
            <w:pPr>
              <w:jc w:val="center"/>
              <w:rPr>
                <w:rFonts w:ascii="Calibri" w:hAnsi="Calibri" w:cs="Calibri"/>
                <w:color w:val="000000"/>
                <w:sz w:val="18"/>
                <w:szCs w:val="18"/>
              </w:rPr>
            </w:pPr>
            <w:r w:rsidRPr="002B3045">
              <w:rPr>
                <w:rFonts w:ascii="Calibri" w:hAnsi="Calibri" w:cs="Calibri"/>
                <w:color w:val="000000"/>
                <w:sz w:val="18"/>
                <w:szCs w:val="18"/>
              </w:rPr>
              <w:t>50</w:t>
            </w:r>
          </w:p>
        </w:tc>
        <w:tc>
          <w:tcPr>
            <w:tcW w:w="340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rPr>
                <w:rFonts w:ascii="Calibri" w:hAnsi="Calibri" w:cs="Calibri"/>
                <w:color w:val="000000"/>
                <w:sz w:val="18"/>
                <w:szCs w:val="18"/>
              </w:rPr>
            </w:pPr>
            <w:r w:rsidRPr="002B3045">
              <w:rPr>
                <w:rFonts w:ascii="Calibri" w:hAnsi="Calibri" w:cs="Calibri"/>
                <w:color w:val="000000"/>
                <w:sz w:val="18"/>
                <w:szCs w:val="18"/>
              </w:rPr>
              <w:t>Správa a nakládání s majetkem města</w:t>
            </w:r>
          </w:p>
        </w:tc>
        <w:tc>
          <w:tcPr>
            <w:tcW w:w="162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27 546 909,20</w:t>
            </w:r>
          </w:p>
        </w:tc>
        <w:tc>
          <w:tcPr>
            <w:tcW w:w="162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16 068 120,40</w:t>
            </w:r>
          </w:p>
        </w:tc>
        <w:tc>
          <w:tcPr>
            <w:tcW w:w="156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11 478 788,80</w:t>
            </w:r>
          </w:p>
        </w:tc>
      </w:tr>
      <w:tr w:rsidR="002B3045" w:rsidTr="002B3045">
        <w:trPr>
          <w:trHeight w:val="27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3045" w:rsidRPr="002B3045" w:rsidRDefault="002B3045">
            <w:pPr>
              <w:jc w:val="center"/>
              <w:rPr>
                <w:rFonts w:ascii="Calibri" w:hAnsi="Calibri" w:cs="Calibri"/>
                <w:color w:val="000000"/>
                <w:sz w:val="18"/>
                <w:szCs w:val="18"/>
              </w:rPr>
            </w:pPr>
            <w:r w:rsidRPr="002B3045">
              <w:rPr>
                <w:rFonts w:ascii="Calibri" w:hAnsi="Calibri" w:cs="Calibri"/>
                <w:color w:val="000000"/>
                <w:sz w:val="18"/>
                <w:szCs w:val="18"/>
              </w:rPr>
              <w:t>60</w:t>
            </w:r>
          </w:p>
        </w:tc>
        <w:tc>
          <w:tcPr>
            <w:tcW w:w="340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rPr>
                <w:rFonts w:ascii="Calibri" w:hAnsi="Calibri" w:cs="Calibri"/>
                <w:color w:val="000000"/>
                <w:sz w:val="18"/>
                <w:szCs w:val="18"/>
              </w:rPr>
            </w:pPr>
            <w:r w:rsidRPr="002B3045">
              <w:rPr>
                <w:rFonts w:ascii="Calibri" w:hAnsi="Calibri" w:cs="Calibri"/>
                <w:color w:val="000000"/>
                <w:sz w:val="18"/>
                <w:szCs w:val="18"/>
              </w:rPr>
              <w:t>Rozvoj a investice</w:t>
            </w:r>
          </w:p>
        </w:tc>
        <w:tc>
          <w:tcPr>
            <w:tcW w:w="162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2 482 131,87</w:t>
            </w:r>
          </w:p>
        </w:tc>
        <w:tc>
          <w:tcPr>
            <w:tcW w:w="162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255 251 386,74</w:t>
            </w:r>
          </w:p>
        </w:tc>
        <w:tc>
          <w:tcPr>
            <w:tcW w:w="156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-252 769 254,87</w:t>
            </w:r>
          </w:p>
        </w:tc>
      </w:tr>
      <w:tr w:rsidR="002B3045" w:rsidTr="002B3045">
        <w:trPr>
          <w:trHeight w:val="27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3045" w:rsidRPr="002B3045" w:rsidRDefault="002B3045">
            <w:pPr>
              <w:jc w:val="center"/>
              <w:rPr>
                <w:rFonts w:ascii="Calibri" w:hAnsi="Calibri" w:cs="Calibri"/>
                <w:color w:val="000000"/>
                <w:sz w:val="18"/>
                <w:szCs w:val="18"/>
              </w:rPr>
            </w:pPr>
            <w:r w:rsidRPr="002B3045">
              <w:rPr>
                <w:rFonts w:ascii="Calibri" w:hAnsi="Calibri" w:cs="Calibri"/>
                <w:color w:val="000000"/>
                <w:sz w:val="18"/>
                <w:szCs w:val="18"/>
              </w:rPr>
              <w:t>61</w:t>
            </w:r>
          </w:p>
        </w:tc>
        <w:tc>
          <w:tcPr>
            <w:tcW w:w="340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rPr>
                <w:rFonts w:ascii="Calibri" w:hAnsi="Calibri" w:cs="Calibri"/>
                <w:color w:val="000000"/>
                <w:sz w:val="18"/>
                <w:szCs w:val="18"/>
              </w:rPr>
            </w:pPr>
            <w:r w:rsidRPr="002B3045">
              <w:rPr>
                <w:rFonts w:ascii="Calibri" w:hAnsi="Calibri" w:cs="Calibri"/>
                <w:color w:val="000000"/>
                <w:sz w:val="18"/>
                <w:szCs w:val="18"/>
              </w:rPr>
              <w:t>Stavební úřad</w:t>
            </w:r>
          </w:p>
        </w:tc>
        <w:tc>
          <w:tcPr>
            <w:tcW w:w="162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2 712 857,00</w:t>
            </w:r>
          </w:p>
        </w:tc>
        <w:tc>
          <w:tcPr>
            <w:tcW w:w="162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21 965,00</w:t>
            </w:r>
          </w:p>
        </w:tc>
        <w:tc>
          <w:tcPr>
            <w:tcW w:w="156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2 690 892,00</w:t>
            </w:r>
          </w:p>
        </w:tc>
      </w:tr>
      <w:tr w:rsidR="002B3045" w:rsidTr="002B3045">
        <w:trPr>
          <w:trHeight w:val="27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3045" w:rsidRPr="002B3045" w:rsidRDefault="002B3045">
            <w:pPr>
              <w:jc w:val="center"/>
              <w:rPr>
                <w:rFonts w:ascii="Calibri" w:hAnsi="Calibri" w:cs="Calibri"/>
                <w:color w:val="000000"/>
                <w:sz w:val="18"/>
                <w:szCs w:val="18"/>
              </w:rPr>
            </w:pPr>
            <w:r w:rsidRPr="002B3045">
              <w:rPr>
                <w:rFonts w:ascii="Calibri" w:hAnsi="Calibri" w:cs="Calibri"/>
                <w:color w:val="000000"/>
                <w:sz w:val="18"/>
                <w:szCs w:val="18"/>
              </w:rPr>
              <w:t>62</w:t>
            </w:r>
          </w:p>
        </w:tc>
        <w:tc>
          <w:tcPr>
            <w:tcW w:w="340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rPr>
                <w:rFonts w:ascii="Calibri" w:hAnsi="Calibri" w:cs="Calibri"/>
                <w:color w:val="000000"/>
                <w:sz w:val="18"/>
                <w:szCs w:val="18"/>
              </w:rPr>
            </w:pPr>
            <w:r w:rsidRPr="002B3045">
              <w:rPr>
                <w:rFonts w:ascii="Calibri" w:hAnsi="Calibri" w:cs="Calibri"/>
                <w:color w:val="000000"/>
                <w:sz w:val="18"/>
                <w:szCs w:val="18"/>
              </w:rPr>
              <w:t>Územní plánování a památková péče</w:t>
            </w:r>
          </w:p>
        </w:tc>
        <w:tc>
          <w:tcPr>
            <w:tcW w:w="162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719 000,00</w:t>
            </w:r>
          </w:p>
        </w:tc>
        <w:tc>
          <w:tcPr>
            <w:tcW w:w="162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2 727 609,00</w:t>
            </w:r>
          </w:p>
        </w:tc>
        <w:tc>
          <w:tcPr>
            <w:tcW w:w="156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-2 008 609,00</w:t>
            </w:r>
          </w:p>
        </w:tc>
      </w:tr>
      <w:tr w:rsidR="002B3045" w:rsidTr="002B3045">
        <w:trPr>
          <w:trHeight w:val="27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3045" w:rsidRPr="002B3045" w:rsidRDefault="002B3045">
            <w:pPr>
              <w:jc w:val="center"/>
              <w:rPr>
                <w:rFonts w:ascii="Calibri" w:hAnsi="Calibri" w:cs="Calibri"/>
                <w:color w:val="000000"/>
                <w:sz w:val="18"/>
                <w:szCs w:val="18"/>
              </w:rPr>
            </w:pPr>
            <w:r w:rsidRPr="002B3045">
              <w:rPr>
                <w:rFonts w:ascii="Calibri" w:hAnsi="Calibri" w:cs="Calibri"/>
                <w:color w:val="000000"/>
                <w:sz w:val="18"/>
                <w:szCs w:val="18"/>
              </w:rPr>
              <w:t>70</w:t>
            </w:r>
          </w:p>
        </w:tc>
        <w:tc>
          <w:tcPr>
            <w:tcW w:w="340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rPr>
                <w:rFonts w:ascii="Calibri" w:hAnsi="Calibri" w:cs="Calibri"/>
                <w:color w:val="000000"/>
                <w:sz w:val="18"/>
                <w:szCs w:val="18"/>
              </w:rPr>
            </w:pPr>
            <w:r w:rsidRPr="002B3045">
              <w:rPr>
                <w:rFonts w:ascii="Calibri" w:hAnsi="Calibri" w:cs="Calibri"/>
                <w:color w:val="000000"/>
                <w:sz w:val="18"/>
                <w:szCs w:val="18"/>
              </w:rPr>
              <w:t>Finanční</w:t>
            </w:r>
          </w:p>
        </w:tc>
        <w:tc>
          <w:tcPr>
            <w:tcW w:w="162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1 043 273 374,84</w:t>
            </w:r>
          </w:p>
        </w:tc>
        <w:tc>
          <w:tcPr>
            <w:tcW w:w="162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35 461 048,61</w:t>
            </w:r>
          </w:p>
        </w:tc>
        <w:tc>
          <w:tcPr>
            <w:tcW w:w="156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1 007 812 326,23</w:t>
            </w:r>
          </w:p>
        </w:tc>
      </w:tr>
      <w:tr w:rsidR="002B3045" w:rsidTr="002B3045">
        <w:trPr>
          <w:trHeight w:val="27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3045" w:rsidRPr="002B3045" w:rsidRDefault="002B3045">
            <w:pPr>
              <w:jc w:val="center"/>
              <w:rPr>
                <w:rFonts w:ascii="Calibri" w:hAnsi="Calibri" w:cs="Calibri"/>
                <w:color w:val="000000"/>
                <w:sz w:val="18"/>
                <w:szCs w:val="18"/>
              </w:rPr>
            </w:pPr>
            <w:r w:rsidRPr="002B3045">
              <w:rPr>
                <w:rFonts w:ascii="Calibri" w:hAnsi="Calibri" w:cs="Calibri"/>
                <w:color w:val="000000"/>
                <w:sz w:val="18"/>
                <w:szCs w:val="18"/>
              </w:rPr>
              <w:t>71</w:t>
            </w:r>
          </w:p>
        </w:tc>
        <w:tc>
          <w:tcPr>
            <w:tcW w:w="340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rPr>
                <w:rFonts w:ascii="Calibri" w:hAnsi="Calibri" w:cs="Calibri"/>
                <w:color w:val="000000"/>
                <w:sz w:val="18"/>
                <w:szCs w:val="18"/>
              </w:rPr>
            </w:pPr>
            <w:r w:rsidRPr="002B3045">
              <w:rPr>
                <w:rFonts w:ascii="Calibri" w:hAnsi="Calibri" w:cs="Calibri"/>
                <w:color w:val="000000"/>
                <w:sz w:val="18"/>
                <w:szCs w:val="18"/>
              </w:rPr>
              <w:t>Sociální fond</w:t>
            </w:r>
          </w:p>
        </w:tc>
        <w:tc>
          <w:tcPr>
            <w:tcW w:w="162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240 252,00</w:t>
            </w:r>
          </w:p>
        </w:tc>
        <w:tc>
          <w:tcPr>
            <w:tcW w:w="162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7 387 682,72</w:t>
            </w:r>
          </w:p>
        </w:tc>
        <w:tc>
          <w:tcPr>
            <w:tcW w:w="156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-7 147 430,72</w:t>
            </w:r>
          </w:p>
        </w:tc>
      </w:tr>
      <w:tr w:rsidR="002B3045" w:rsidTr="002B3045">
        <w:trPr>
          <w:trHeight w:val="27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3045" w:rsidRPr="002B3045" w:rsidRDefault="002B3045">
            <w:pPr>
              <w:jc w:val="center"/>
              <w:rPr>
                <w:rFonts w:ascii="Calibri" w:hAnsi="Calibri" w:cs="Calibri"/>
                <w:color w:val="000000"/>
                <w:sz w:val="18"/>
                <w:szCs w:val="18"/>
              </w:rPr>
            </w:pPr>
            <w:r w:rsidRPr="002B3045">
              <w:rPr>
                <w:rFonts w:ascii="Calibri" w:hAnsi="Calibri" w:cs="Calibri"/>
                <w:color w:val="000000"/>
                <w:sz w:val="18"/>
                <w:szCs w:val="18"/>
              </w:rPr>
              <w:t>90</w:t>
            </w:r>
          </w:p>
        </w:tc>
        <w:tc>
          <w:tcPr>
            <w:tcW w:w="340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rPr>
                <w:rFonts w:ascii="Calibri" w:hAnsi="Calibri" w:cs="Calibri"/>
                <w:color w:val="000000"/>
                <w:sz w:val="18"/>
                <w:szCs w:val="18"/>
              </w:rPr>
            </w:pPr>
            <w:r w:rsidRPr="002B3045">
              <w:rPr>
                <w:rFonts w:ascii="Calibri" w:hAnsi="Calibri" w:cs="Calibri"/>
                <w:color w:val="000000"/>
                <w:sz w:val="18"/>
                <w:szCs w:val="18"/>
              </w:rPr>
              <w:t>Správa a údržba majetku města</w:t>
            </w:r>
          </w:p>
        </w:tc>
        <w:tc>
          <w:tcPr>
            <w:tcW w:w="162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88 514 604,31</w:t>
            </w:r>
          </w:p>
        </w:tc>
        <w:tc>
          <w:tcPr>
            <w:tcW w:w="162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247 364 457,61</w:t>
            </w:r>
          </w:p>
        </w:tc>
        <w:tc>
          <w:tcPr>
            <w:tcW w:w="1560" w:type="dxa"/>
            <w:tcBorders>
              <w:top w:val="nil"/>
              <w:left w:val="nil"/>
              <w:bottom w:val="single" w:sz="4" w:space="0" w:color="auto"/>
              <w:right w:val="single" w:sz="4" w:space="0" w:color="auto"/>
            </w:tcBorders>
            <w:shd w:val="clear" w:color="auto" w:fill="auto"/>
            <w:noWrap/>
            <w:vAlign w:val="center"/>
            <w:hideMark/>
          </w:tcPr>
          <w:p w:rsidR="002B3045" w:rsidRPr="002B3045" w:rsidRDefault="002B3045">
            <w:pPr>
              <w:jc w:val="right"/>
              <w:rPr>
                <w:rFonts w:ascii="Calibri" w:hAnsi="Calibri" w:cs="Calibri"/>
                <w:color w:val="000000"/>
                <w:sz w:val="18"/>
                <w:szCs w:val="18"/>
              </w:rPr>
            </w:pPr>
            <w:r w:rsidRPr="002B3045">
              <w:rPr>
                <w:rFonts w:ascii="Calibri" w:hAnsi="Calibri" w:cs="Calibri"/>
                <w:color w:val="000000"/>
                <w:sz w:val="18"/>
                <w:szCs w:val="18"/>
              </w:rPr>
              <w:t>-158 849 853,30</w:t>
            </w:r>
          </w:p>
        </w:tc>
      </w:tr>
      <w:tr w:rsidR="002B3045" w:rsidTr="002B3045">
        <w:trPr>
          <w:trHeight w:val="272"/>
        </w:trPr>
        <w:tc>
          <w:tcPr>
            <w:tcW w:w="4040" w:type="dxa"/>
            <w:gridSpan w:val="2"/>
            <w:tcBorders>
              <w:top w:val="single" w:sz="4" w:space="0" w:color="auto"/>
              <w:left w:val="single" w:sz="4" w:space="0" w:color="auto"/>
              <w:bottom w:val="single" w:sz="4" w:space="0" w:color="auto"/>
              <w:right w:val="single" w:sz="4" w:space="0" w:color="auto"/>
            </w:tcBorders>
            <w:shd w:val="clear" w:color="D6A100" w:fill="FFC000"/>
            <w:noWrap/>
            <w:vAlign w:val="bottom"/>
            <w:hideMark/>
          </w:tcPr>
          <w:p w:rsidR="002B3045" w:rsidRPr="002B3045" w:rsidRDefault="002B3045">
            <w:pPr>
              <w:rPr>
                <w:rFonts w:ascii="Calibri" w:hAnsi="Calibri" w:cs="Calibri"/>
                <w:b/>
                <w:bCs/>
                <w:color w:val="000000"/>
                <w:sz w:val="18"/>
                <w:szCs w:val="18"/>
              </w:rPr>
            </w:pPr>
            <w:r w:rsidRPr="002B3045">
              <w:rPr>
                <w:rFonts w:ascii="Calibri" w:hAnsi="Calibri" w:cs="Calibri"/>
                <w:b/>
                <w:bCs/>
                <w:color w:val="000000"/>
                <w:sz w:val="18"/>
                <w:szCs w:val="18"/>
              </w:rPr>
              <w:t>Celkem</w:t>
            </w:r>
          </w:p>
        </w:tc>
        <w:tc>
          <w:tcPr>
            <w:tcW w:w="1620" w:type="dxa"/>
            <w:tcBorders>
              <w:top w:val="nil"/>
              <w:left w:val="nil"/>
              <w:bottom w:val="single" w:sz="4" w:space="0" w:color="auto"/>
              <w:right w:val="single" w:sz="4" w:space="0" w:color="auto"/>
            </w:tcBorders>
            <w:shd w:val="clear" w:color="D6A100" w:fill="FFC000"/>
            <w:noWrap/>
            <w:vAlign w:val="bottom"/>
            <w:hideMark/>
          </w:tcPr>
          <w:p w:rsidR="002B3045" w:rsidRPr="002B3045" w:rsidRDefault="002B3045">
            <w:pPr>
              <w:jc w:val="right"/>
              <w:rPr>
                <w:rFonts w:ascii="Calibri" w:hAnsi="Calibri" w:cs="Calibri"/>
                <w:b/>
                <w:bCs/>
                <w:color w:val="000000"/>
                <w:sz w:val="18"/>
                <w:szCs w:val="18"/>
              </w:rPr>
            </w:pPr>
            <w:r w:rsidRPr="002B3045">
              <w:rPr>
                <w:rFonts w:ascii="Calibri" w:hAnsi="Calibri" w:cs="Calibri"/>
                <w:b/>
                <w:bCs/>
                <w:color w:val="000000"/>
                <w:sz w:val="18"/>
                <w:szCs w:val="18"/>
              </w:rPr>
              <w:t>1 268 670 353,65</w:t>
            </w:r>
          </w:p>
        </w:tc>
        <w:tc>
          <w:tcPr>
            <w:tcW w:w="1620" w:type="dxa"/>
            <w:tcBorders>
              <w:top w:val="nil"/>
              <w:left w:val="nil"/>
              <w:bottom w:val="single" w:sz="4" w:space="0" w:color="auto"/>
              <w:right w:val="single" w:sz="4" w:space="0" w:color="auto"/>
            </w:tcBorders>
            <w:shd w:val="clear" w:color="D6A100" w:fill="FFC000"/>
            <w:noWrap/>
            <w:vAlign w:val="bottom"/>
            <w:hideMark/>
          </w:tcPr>
          <w:p w:rsidR="002B3045" w:rsidRPr="002B3045" w:rsidRDefault="002B3045">
            <w:pPr>
              <w:jc w:val="right"/>
              <w:rPr>
                <w:rFonts w:ascii="Calibri" w:hAnsi="Calibri" w:cs="Calibri"/>
                <w:b/>
                <w:bCs/>
                <w:color w:val="000000"/>
                <w:sz w:val="18"/>
                <w:szCs w:val="18"/>
              </w:rPr>
            </w:pPr>
            <w:r w:rsidRPr="002B3045">
              <w:rPr>
                <w:rFonts w:ascii="Calibri" w:hAnsi="Calibri" w:cs="Calibri"/>
                <w:b/>
                <w:bCs/>
                <w:color w:val="000000"/>
                <w:sz w:val="18"/>
                <w:szCs w:val="18"/>
              </w:rPr>
              <w:t>1 154 538 269,85</w:t>
            </w:r>
          </w:p>
        </w:tc>
        <w:tc>
          <w:tcPr>
            <w:tcW w:w="1560" w:type="dxa"/>
            <w:tcBorders>
              <w:top w:val="nil"/>
              <w:left w:val="nil"/>
              <w:bottom w:val="single" w:sz="4" w:space="0" w:color="auto"/>
              <w:right w:val="single" w:sz="4" w:space="0" w:color="auto"/>
            </w:tcBorders>
            <w:shd w:val="clear" w:color="D6A100" w:fill="FFC000"/>
            <w:noWrap/>
            <w:vAlign w:val="bottom"/>
            <w:hideMark/>
          </w:tcPr>
          <w:p w:rsidR="002B3045" w:rsidRPr="002B3045" w:rsidRDefault="002B3045">
            <w:pPr>
              <w:jc w:val="right"/>
              <w:rPr>
                <w:rFonts w:ascii="Calibri" w:hAnsi="Calibri" w:cs="Calibri"/>
                <w:b/>
                <w:bCs/>
                <w:color w:val="000000"/>
                <w:sz w:val="18"/>
                <w:szCs w:val="18"/>
              </w:rPr>
            </w:pPr>
            <w:r w:rsidRPr="002B3045">
              <w:rPr>
                <w:rFonts w:ascii="Calibri" w:hAnsi="Calibri" w:cs="Calibri"/>
                <w:b/>
                <w:bCs/>
                <w:color w:val="000000"/>
                <w:sz w:val="18"/>
                <w:szCs w:val="18"/>
              </w:rPr>
              <w:t>114 132 083,80</w:t>
            </w:r>
          </w:p>
        </w:tc>
      </w:tr>
    </w:tbl>
    <w:p w:rsidR="00EF6DFC" w:rsidRPr="00506EEA" w:rsidRDefault="007F5EB6" w:rsidP="00EF6DFC">
      <w:pPr>
        <w:pStyle w:val="Nadpis3"/>
        <w:rPr>
          <w:b w:val="0"/>
          <w:noProof/>
          <w:color w:val="A6A6A6" w:themeColor="background1" w:themeShade="A6"/>
        </w:rPr>
      </w:pPr>
      <w:bookmarkStart w:id="49" w:name="_Toc39129537"/>
      <w:r w:rsidRPr="00506EEA">
        <w:rPr>
          <w:b w:val="0"/>
          <w:noProof/>
        </w:rPr>
        <w:lastRenderedPageBreak/>
        <w:t>Závěrečný účet statutár</w:t>
      </w:r>
      <w:r w:rsidR="00BD691A" w:rsidRPr="00506EEA">
        <w:rPr>
          <w:b w:val="0"/>
          <w:noProof/>
        </w:rPr>
        <w:t>ního města Prostějova za rok 202</w:t>
      </w:r>
      <w:r w:rsidR="002B3045">
        <w:rPr>
          <w:b w:val="0"/>
          <w:noProof/>
        </w:rPr>
        <w:t>2</w:t>
      </w:r>
      <w:r w:rsidR="001C1AA8" w:rsidRPr="00506EEA">
        <w:rPr>
          <w:b w:val="0"/>
          <w:noProof/>
        </w:rPr>
        <w:t xml:space="preserve"> – druhové třídění</w:t>
      </w:r>
      <w:r w:rsidR="00BE1CAB" w:rsidRPr="00506EEA">
        <w:rPr>
          <w:b w:val="0"/>
          <w:noProof/>
        </w:rPr>
        <w:t xml:space="preserve"> </w:t>
      </w:r>
      <w:r w:rsidR="0097552A" w:rsidRPr="00506EEA">
        <w:rPr>
          <w:b w:val="0"/>
          <w:noProof/>
        </w:rPr>
        <w:t>(v Kč)</w:t>
      </w:r>
      <w:bookmarkEnd w:id="49"/>
    </w:p>
    <w:tbl>
      <w:tblPr>
        <w:tblW w:w="9351" w:type="dxa"/>
        <w:tblCellMar>
          <w:left w:w="70" w:type="dxa"/>
          <w:right w:w="70" w:type="dxa"/>
        </w:tblCellMar>
        <w:tblLook w:val="04A0" w:firstRow="1" w:lastRow="0" w:firstColumn="1" w:lastColumn="0" w:noHBand="0" w:noVBand="1"/>
      </w:tblPr>
      <w:tblGrid>
        <w:gridCol w:w="486"/>
        <w:gridCol w:w="3478"/>
        <w:gridCol w:w="1134"/>
        <w:gridCol w:w="1134"/>
        <w:gridCol w:w="709"/>
        <w:gridCol w:w="1276"/>
        <w:gridCol w:w="1134"/>
      </w:tblGrid>
      <w:tr w:rsidR="000646B5" w:rsidRPr="000646B5" w:rsidTr="00D23941">
        <w:trPr>
          <w:trHeight w:val="272"/>
          <w:tblHeader/>
        </w:trPr>
        <w:tc>
          <w:tcPr>
            <w:tcW w:w="486" w:type="dxa"/>
            <w:vMerge w:val="restart"/>
            <w:tcBorders>
              <w:top w:val="single" w:sz="4" w:space="0" w:color="auto"/>
              <w:left w:val="single" w:sz="4" w:space="0" w:color="auto"/>
              <w:bottom w:val="single" w:sz="4" w:space="0" w:color="auto"/>
              <w:right w:val="single" w:sz="4" w:space="0" w:color="auto"/>
            </w:tcBorders>
            <w:shd w:val="clear" w:color="63993F" w:fill="70AD47"/>
            <w:noWrap/>
            <w:vAlign w:val="center"/>
            <w:hideMark/>
          </w:tcPr>
          <w:p w:rsidR="000646B5" w:rsidRPr="000646B5" w:rsidRDefault="000646B5" w:rsidP="000646B5">
            <w:pPr>
              <w:jc w:val="center"/>
              <w:rPr>
                <w:rFonts w:ascii="Calibri" w:hAnsi="Calibri" w:cs="Calibri"/>
                <w:b/>
                <w:bCs/>
                <w:color w:val="000000"/>
                <w:sz w:val="14"/>
                <w:szCs w:val="14"/>
              </w:rPr>
            </w:pPr>
            <w:r w:rsidRPr="000646B5">
              <w:rPr>
                <w:rFonts w:ascii="Calibri" w:hAnsi="Calibri" w:cs="Calibri"/>
                <w:b/>
                <w:bCs/>
                <w:color w:val="000000"/>
                <w:sz w:val="14"/>
                <w:szCs w:val="14"/>
              </w:rPr>
              <w:t>POL</w:t>
            </w:r>
          </w:p>
        </w:tc>
        <w:tc>
          <w:tcPr>
            <w:tcW w:w="3478" w:type="dxa"/>
            <w:vMerge w:val="restart"/>
            <w:tcBorders>
              <w:top w:val="single" w:sz="4" w:space="0" w:color="auto"/>
              <w:left w:val="single" w:sz="4" w:space="0" w:color="auto"/>
              <w:bottom w:val="single" w:sz="4" w:space="0" w:color="auto"/>
              <w:right w:val="single" w:sz="4" w:space="0" w:color="auto"/>
            </w:tcBorders>
            <w:shd w:val="clear" w:color="63993F" w:fill="70AD47"/>
            <w:noWrap/>
            <w:vAlign w:val="center"/>
            <w:hideMark/>
          </w:tcPr>
          <w:p w:rsidR="000646B5" w:rsidRPr="000646B5" w:rsidRDefault="000646B5" w:rsidP="000646B5">
            <w:pPr>
              <w:jc w:val="center"/>
              <w:rPr>
                <w:rFonts w:ascii="Calibri" w:hAnsi="Calibri" w:cs="Calibri"/>
                <w:b/>
                <w:bCs/>
                <w:color w:val="000000"/>
                <w:sz w:val="14"/>
                <w:szCs w:val="14"/>
              </w:rPr>
            </w:pPr>
            <w:r w:rsidRPr="000646B5">
              <w:rPr>
                <w:rFonts w:ascii="Calibri" w:hAnsi="Calibri" w:cs="Calibri"/>
                <w:b/>
                <w:bCs/>
                <w:color w:val="000000"/>
                <w:sz w:val="14"/>
                <w:szCs w:val="14"/>
              </w:rPr>
              <w:t>Název položky</w:t>
            </w:r>
          </w:p>
        </w:tc>
        <w:tc>
          <w:tcPr>
            <w:tcW w:w="2977" w:type="dxa"/>
            <w:gridSpan w:val="3"/>
            <w:tcBorders>
              <w:top w:val="single" w:sz="4" w:space="0" w:color="auto"/>
              <w:left w:val="nil"/>
              <w:bottom w:val="single" w:sz="4" w:space="0" w:color="auto"/>
              <w:right w:val="single" w:sz="4" w:space="0" w:color="auto"/>
            </w:tcBorders>
            <w:shd w:val="clear" w:color="63993F" w:fill="70AD47"/>
            <w:noWrap/>
            <w:vAlign w:val="center"/>
            <w:hideMark/>
          </w:tcPr>
          <w:p w:rsidR="000646B5" w:rsidRPr="000646B5" w:rsidRDefault="000646B5" w:rsidP="000646B5">
            <w:pPr>
              <w:jc w:val="center"/>
              <w:rPr>
                <w:rFonts w:ascii="Calibri" w:hAnsi="Calibri" w:cs="Calibri"/>
                <w:b/>
                <w:bCs/>
                <w:color w:val="000000"/>
                <w:sz w:val="14"/>
                <w:szCs w:val="14"/>
              </w:rPr>
            </w:pPr>
            <w:r w:rsidRPr="000646B5">
              <w:rPr>
                <w:rFonts w:ascii="Calibri" w:hAnsi="Calibri" w:cs="Calibri"/>
                <w:b/>
                <w:bCs/>
                <w:color w:val="000000"/>
                <w:sz w:val="14"/>
                <w:szCs w:val="14"/>
              </w:rPr>
              <w:t>2022</w:t>
            </w:r>
          </w:p>
        </w:tc>
        <w:tc>
          <w:tcPr>
            <w:tcW w:w="1276" w:type="dxa"/>
            <w:tcBorders>
              <w:top w:val="single" w:sz="4" w:space="0" w:color="auto"/>
              <w:left w:val="nil"/>
              <w:bottom w:val="single" w:sz="4" w:space="0" w:color="auto"/>
              <w:right w:val="single" w:sz="4" w:space="0" w:color="auto"/>
            </w:tcBorders>
            <w:shd w:val="clear" w:color="63993F" w:fill="70AD47"/>
            <w:noWrap/>
            <w:vAlign w:val="center"/>
            <w:hideMark/>
          </w:tcPr>
          <w:p w:rsidR="000646B5" w:rsidRPr="000646B5" w:rsidRDefault="000646B5" w:rsidP="000646B5">
            <w:pPr>
              <w:jc w:val="center"/>
              <w:rPr>
                <w:rFonts w:ascii="Calibri" w:hAnsi="Calibri" w:cs="Calibri"/>
                <w:b/>
                <w:bCs/>
                <w:color w:val="000000"/>
                <w:sz w:val="14"/>
                <w:szCs w:val="14"/>
              </w:rPr>
            </w:pPr>
            <w:r w:rsidRPr="000646B5">
              <w:rPr>
                <w:rFonts w:ascii="Calibri" w:hAnsi="Calibri" w:cs="Calibri"/>
                <w:b/>
                <w:bCs/>
                <w:color w:val="000000"/>
                <w:sz w:val="14"/>
                <w:szCs w:val="14"/>
              </w:rPr>
              <w:t>2021</w:t>
            </w:r>
          </w:p>
        </w:tc>
        <w:tc>
          <w:tcPr>
            <w:tcW w:w="1134" w:type="dxa"/>
            <w:vMerge w:val="restart"/>
            <w:tcBorders>
              <w:top w:val="single" w:sz="4" w:space="0" w:color="auto"/>
              <w:left w:val="single" w:sz="4" w:space="0" w:color="auto"/>
              <w:bottom w:val="single" w:sz="4" w:space="0" w:color="auto"/>
              <w:right w:val="single" w:sz="4" w:space="0" w:color="auto"/>
            </w:tcBorders>
            <w:shd w:val="clear" w:color="63993F" w:fill="70AD47"/>
            <w:vAlign w:val="center"/>
            <w:hideMark/>
          </w:tcPr>
          <w:p w:rsidR="000646B5" w:rsidRPr="000646B5" w:rsidRDefault="000646B5" w:rsidP="000646B5">
            <w:pPr>
              <w:jc w:val="center"/>
              <w:rPr>
                <w:rFonts w:ascii="Calibri" w:hAnsi="Calibri" w:cs="Calibri"/>
                <w:b/>
                <w:bCs/>
                <w:color w:val="000000"/>
                <w:sz w:val="14"/>
                <w:szCs w:val="14"/>
              </w:rPr>
            </w:pPr>
            <w:r w:rsidRPr="000646B5">
              <w:rPr>
                <w:rFonts w:ascii="Calibri" w:hAnsi="Calibri" w:cs="Calibri"/>
                <w:b/>
                <w:bCs/>
                <w:color w:val="000000"/>
                <w:sz w:val="14"/>
                <w:szCs w:val="14"/>
              </w:rPr>
              <w:t>Meziroční změna</w:t>
            </w:r>
          </w:p>
        </w:tc>
      </w:tr>
      <w:tr w:rsidR="000646B5" w:rsidRPr="000646B5" w:rsidTr="00D23941">
        <w:trPr>
          <w:trHeight w:val="272"/>
        </w:trPr>
        <w:tc>
          <w:tcPr>
            <w:tcW w:w="486" w:type="dxa"/>
            <w:vMerge/>
            <w:tcBorders>
              <w:top w:val="single" w:sz="4" w:space="0" w:color="auto"/>
              <w:left w:val="single" w:sz="4" w:space="0" w:color="auto"/>
              <w:bottom w:val="single" w:sz="4" w:space="0" w:color="auto"/>
              <w:right w:val="single" w:sz="4" w:space="0" w:color="auto"/>
            </w:tcBorders>
            <w:vAlign w:val="center"/>
            <w:hideMark/>
          </w:tcPr>
          <w:p w:rsidR="000646B5" w:rsidRPr="000646B5" w:rsidRDefault="000646B5" w:rsidP="000646B5">
            <w:pPr>
              <w:rPr>
                <w:rFonts w:ascii="Calibri" w:hAnsi="Calibri" w:cs="Calibri"/>
                <w:b/>
                <w:bCs/>
                <w:color w:val="000000"/>
                <w:sz w:val="14"/>
                <w:szCs w:val="14"/>
              </w:rPr>
            </w:pPr>
          </w:p>
        </w:tc>
        <w:tc>
          <w:tcPr>
            <w:tcW w:w="3478" w:type="dxa"/>
            <w:vMerge/>
            <w:tcBorders>
              <w:top w:val="single" w:sz="4" w:space="0" w:color="auto"/>
              <w:left w:val="single" w:sz="4" w:space="0" w:color="auto"/>
              <w:bottom w:val="single" w:sz="4" w:space="0" w:color="auto"/>
              <w:right w:val="single" w:sz="4" w:space="0" w:color="auto"/>
            </w:tcBorders>
            <w:vAlign w:val="center"/>
            <w:hideMark/>
          </w:tcPr>
          <w:p w:rsidR="000646B5" w:rsidRPr="000646B5" w:rsidRDefault="000646B5" w:rsidP="000646B5">
            <w:pPr>
              <w:rPr>
                <w:rFonts w:ascii="Calibri" w:hAnsi="Calibri" w:cs="Calibri"/>
                <w:b/>
                <w:bCs/>
                <w:color w:val="000000"/>
                <w:sz w:val="14"/>
                <w:szCs w:val="14"/>
              </w:rPr>
            </w:pPr>
          </w:p>
        </w:tc>
        <w:tc>
          <w:tcPr>
            <w:tcW w:w="1134" w:type="dxa"/>
            <w:tcBorders>
              <w:top w:val="nil"/>
              <w:left w:val="nil"/>
              <w:bottom w:val="single" w:sz="4" w:space="0" w:color="auto"/>
              <w:right w:val="single" w:sz="4" w:space="0" w:color="auto"/>
            </w:tcBorders>
            <w:shd w:val="clear" w:color="63993F" w:fill="70AD47"/>
            <w:noWrap/>
            <w:vAlign w:val="center"/>
            <w:hideMark/>
          </w:tcPr>
          <w:p w:rsidR="000646B5" w:rsidRPr="000646B5" w:rsidRDefault="000646B5" w:rsidP="000646B5">
            <w:pPr>
              <w:jc w:val="center"/>
              <w:rPr>
                <w:rFonts w:ascii="Calibri" w:hAnsi="Calibri" w:cs="Calibri"/>
                <w:b/>
                <w:bCs/>
                <w:color w:val="000000"/>
                <w:sz w:val="14"/>
                <w:szCs w:val="14"/>
              </w:rPr>
            </w:pPr>
            <w:r w:rsidRPr="000646B5">
              <w:rPr>
                <w:rFonts w:ascii="Calibri" w:hAnsi="Calibri" w:cs="Calibri"/>
                <w:b/>
                <w:bCs/>
                <w:color w:val="000000"/>
                <w:sz w:val="14"/>
                <w:szCs w:val="14"/>
              </w:rPr>
              <w:t>Upr.</w:t>
            </w:r>
            <w:r w:rsidR="00D23941">
              <w:rPr>
                <w:rFonts w:ascii="Calibri" w:hAnsi="Calibri" w:cs="Calibri"/>
                <w:b/>
                <w:bCs/>
                <w:color w:val="000000"/>
                <w:sz w:val="14"/>
                <w:szCs w:val="14"/>
              </w:rPr>
              <w:t xml:space="preserve"> </w:t>
            </w:r>
            <w:r w:rsidRPr="000646B5">
              <w:rPr>
                <w:rFonts w:ascii="Calibri" w:hAnsi="Calibri" w:cs="Calibri"/>
                <w:b/>
                <w:bCs/>
                <w:color w:val="000000"/>
                <w:sz w:val="14"/>
                <w:szCs w:val="14"/>
              </w:rPr>
              <w:t>rozpočet</w:t>
            </w:r>
          </w:p>
        </w:tc>
        <w:tc>
          <w:tcPr>
            <w:tcW w:w="1134" w:type="dxa"/>
            <w:tcBorders>
              <w:top w:val="nil"/>
              <w:left w:val="nil"/>
              <w:bottom w:val="single" w:sz="4" w:space="0" w:color="auto"/>
              <w:right w:val="single" w:sz="4" w:space="0" w:color="auto"/>
            </w:tcBorders>
            <w:shd w:val="clear" w:color="63993F" w:fill="70AD47"/>
            <w:noWrap/>
            <w:vAlign w:val="center"/>
            <w:hideMark/>
          </w:tcPr>
          <w:p w:rsidR="000646B5" w:rsidRPr="000646B5" w:rsidRDefault="000646B5" w:rsidP="000646B5">
            <w:pPr>
              <w:jc w:val="center"/>
              <w:rPr>
                <w:rFonts w:ascii="Calibri" w:hAnsi="Calibri" w:cs="Calibri"/>
                <w:b/>
                <w:bCs/>
                <w:color w:val="000000"/>
                <w:sz w:val="14"/>
                <w:szCs w:val="14"/>
              </w:rPr>
            </w:pPr>
            <w:r w:rsidRPr="000646B5">
              <w:rPr>
                <w:rFonts w:ascii="Calibri" w:hAnsi="Calibri" w:cs="Calibri"/>
                <w:b/>
                <w:bCs/>
                <w:color w:val="000000"/>
                <w:sz w:val="14"/>
                <w:szCs w:val="14"/>
              </w:rPr>
              <w:t>Skutečnost</w:t>
            </w:r>
          </w:p>
        </w:tc>
        <w:tc>
          <w:tcPr>
            <w:tcW w:w="709" w:type="dxa"/>
            <w:tcBorders>
              <w:top w:val="nil"/>
              <w:left w:val="nil"/>
              <w:bottom w:val="single" w:sz="4" w:space="0" w:color="auto"/>
              <w:right w:val="single" w:sz="4" w:space="0" w:color="auto"/>
            </w:tcBorders>
            <w:shd w:val="clear" w:color="63993F" w:fill="70AD47"/>
            <w:vAlign w:val="center"/>
            <w:hideMark/>
          </w:tcPr>
          <w:p w:rsidR="000646B5" w:rsidRPr="000646B5" w:rsidRDefault="000646B5" w:rsidP="000646B5">
            <w:pPr>
              <w:jc w:val="center"/>
              <w:rPr>
                <w:rFonts w:ascii="Calibri" w:hAnsi="Calibri" w:cs="Calibri"/>
                <w:b/>
                <w:bCs/>
                <w:color w:val="000000"/>
                <w:sz w:val="14"/>
                <w:szCs w:val="14"/>
              </w:rPr>
            </w:pPr>
            <w:r w:rsidRPr="000646B5">
              <w:rPr>
                <w:rFonts w:ascii="Calibri" w:hAnsi="Calibri" w:cs="Calibri"/>
                <w:b/>
                <w:bCs/>
                <w:color w:val="000000"/>
                <w:sz w:val="14"/>
                <w:szCs w:val="14"/>
              </w:rPr>
              <w:t>Plnění rozpočtu</w:t>
            </w:r>
          </w:p>
        </w:tc>
        <w:tc>
          <w:tcPr>
            <w:tcW w:w="1276" w:type="dxa"/>
            <w:tcBorders>
              <w:top w:val="nil"/>
              <w:left w:val="nil"/>
              <w:bottom w:val="single" w:sz="4" w:space="0" w:color="auto"/>
              <w:right w:val="single" w:sz="4" w:space="0" w:color="auto"/>
            </w:tcBorders>
            <w:shd w:val="clear" w:color="63993F" w:fill="70AD47"/>
            <w:noWrap/>
            <w:vAlign w:val="center"/>
            <w:hideMark/>
          </w:tcPr>
          <w:p w:rsidR="000646B5" w:rsidRPr="000646B5" w:rsidRDefault="000646B5" w:rsidP="000646B5">
            <w:pPr>
              <w:jc w:val="center"/>
              <w:rPr>
                <w:rFonts w:ascii="Calibri" w:hAnsi="Calibri" w:cs="Calibri"/>
                <w:b/>
                <w:bCs/>
                <w:color w:val="000000"/>
                <w:sz w:val="14"/>
                <w:szCs w:val="14"/>
              </w:rPr>
            </w:pPr>
            <w:r w:rsidRPr="000646B5">
              <w:rPr>
                <w:rFonts w:ascii="Calibri" w:hAnsi="Calibri" w:cs="Calibri"/>
                <w:b/>
                <w:bCs/>
                <w:color w:val="000000"/>
                <w:sz w:val="14"/>
                <w:szCs w:val="14"/>
              </w:rPr>
              <w:t>Skutečnost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646B5" w:rsidRPr="000646B5" w:rsidRDefault="000646B5" w:rsidP="000646B5">
            <w:pPr>
              <w:rPr>
                <w:rFonts w:ascii="Calibri" w:hAnsi="Calibri" w:cs="Calibri"/>
                <w:b/>
                <w:bCs/>
                <w:color w:val="000000"/>
                <w:sz w:val="14"/>
                <w:szCs w:val="14"/>
              </w:rPr>
            </w:pP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1111</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Daň z příjmů fyzických osob placená plátci</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112 032 709,66</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133 515 165,25</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119,18 %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123 950 441,60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9 564 723,65</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1112</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Daň z příjmů fyzických osob placená poplatníky</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4 000 000,00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11 320 684,86</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283,02 %</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7 521 844,16</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3 798 840,70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1113</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Daň z příjmů fyzických osob vybíraná srážkou</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18 000 000,00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25 164 789,76</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139,80 %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19 507 888,83</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5 656 900,93</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1121</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Daň z příjmů právnických osob</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140 000 000,00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190 288 860,71</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135,92 %</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164 587 047,64</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25 701 813,07</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1122</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Daň z příjmů právnických osob za obce</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24 000 000,00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23 318 750,00</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97,16 %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24 524 560,00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-1 205 810,00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1211</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Daň z přidané hodnoty</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360 000 000,00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432 213 751,54</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120,06 %</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368 145 590,82</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64 068 160,72</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1334</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Odvody za odnětí půdy ze zemědělského půdního fond</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2 000 000,00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1 571 329,23</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78,57 %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2 778 650,50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-1 207 321,27</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1340</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Poplatek za provoz, shrom.,.. a odstr. kom. odpadu</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24 175 810,69</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-24 175 810,69</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1341</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Poplatek ze psů</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1 270 000,00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1 436 040,36</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113,07 %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1 422 928,77</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13 111,59</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1343</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Poplatek za užívání veřejného prostranství</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1 600 000,00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4 804 717,11</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300,29 %</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3 016 198,00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1 788 519,11</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1345</w:t>
            </w:r>
          </w:p>
        </w:tc>
        <w:tc>
          <w:tcPr>
            <w:tcW w:w="3478" w:type="dxa"/>
            <w:tcBorders>
              <w:top w:val="nil"/>
              <w:left w:val="nil"/>
              <w:bottom w:val="single" w:sz="4" w:space="0" w:color="auto"/>
              <w:right w:val="single" w:sz="4" w:space="0" w:color="auto"/>
            </w:tcBorders>
            <w:shd w:val="clear" w:color="DBDBDB" w:fill="D9D9D9"/>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Příjem z popl. za obecní systém odpad. hosp. a příjem z poplatku za odkládání komunálního odpadu z nem.</w:t>
            </w:r>
            <w:r w:rsidR="00D23941">
              <w:rPr>
                <w:rFonts w:ascii="Calibri" w:hAnsi="Calibri" w:cs="Calibri"/>
                <w:color w:val="000000"/>
                <w:sz w:val="14"/>
                <w:szCs w:val="14"/>
              </w:rPr>
              <w:t xml:space="preserve"> </w:t>
            </w:r>
            <w:r w:rsidRPr="000646B5">
              <w:rPr>
                <w:rFonts w:ascii="Calibri" w:hAnsi="Calibri" w:cs="Calibri"/>
                <w:color w:val="000000"/>
                <w:sz w:val="14"/>
                <w:szCs w:val="14"/>
              </w:rPr>
              <w:t>věci</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23 500 000,00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23 655 490,18</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100,66 %</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23 655 490,18</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1356</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Příjmy úhrad za dobývání nerostů a popl.za geol.</w:t>
            </w:r>
            <w:r w:rsidR="00D23941">
              <w:rPr>
                <w:rFonts w:ascii="Calibri" w:hAnsi="Calibri" w:cs="Calibri"/>
                <w:color w:val="000000"/>
                <w:sz w:val="14"/>
                <w:szCs w:val="14"/>
              </w:rPr>
              <w:t xml:space="preserve"> </w:t>
            </w:r>
            <w:r w:rsidRPr="000646B5">
              <w:rPr>
                <w:rFonts w:ascii="Calibri" w:hAnsi="Calibri" w:cs="Calibri"/>
                <w:color w:val="000000"/>
                <w:sz w:val="14"/>
                <w:szCs w:val="14"/>
              </w:rPr>
              <w:t>práce</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8 601,02</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8 601,02</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1359</w:t>
            </w:r>
          </w:p>
        </w:tc>
        <w:tc>
          <w:tcPr>
            <w:tcW w:w="3478"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D23941">
            <w:pPr>
              <w:rPr>
                <w:rFonts w:ascii="Calibri" w:hAnsi="Calibri" w:cs="Calibri"/>
                <w:color w:val="000000"/>
                <w:sz w:val="14"/>
                <w:szCs w:val="14"/>
              </w:rPr>
            </w:pPr>
            <w:r w:rsidRPr="000646B5">
              <w:rPr>
                <w:rFonts w:ascii="Calibri" w:hAnsi="Calibri" w:cs="Calibri"/>
                <w:color w:val="000000"/>
                <w:sz w:val="14"/>
                <w:szCs w:val="14"/>
              </w:rPr>
              <w:t>Ost.</w:t>
            </w:r>
            <w:r w:rsidR="00D23941">
              <w:rPr>
                <w:rFonts w:ascii="Calibri" w:hAnsi="Calibri" w:cs="Calibri"/>
                <w:color w:val="000000"/>
                <w:sz w:val="14"/>
                <w:szCs w:val="14"/>
              </w:rPr>
              <w:t xml:space="preserve"> </w:t>
            </w:r>
            <w:r w:rsidRPr="000646B5">
              <w:rPr>
                <w:rFonts w:ascii="Calibri" w:hAnsi="Calibri" w:cs="Calibri"/>
                <w:color w:val="000000"/>
                <w:sz w:val="14"/>
                <w:szCs w:val="14"/>
              </w:rPr>
              <w:t>odvody z vybr</w:t>
            </w:r>
            <w:r w:rsidR="00D23941">
              <w:rPr>
                <w:rFonts w:ascii="Calibri" w:hAnsi="Calibri" w:cs="Calibri"/>
                <w:color w:val="000000"/>
                <w:sz w:val="14"/>
                <w:szCs w:val="14"/>
              </w:rPr>
              <w:t>aných</w:t>
            </w:r>
            <w:r w:rsidRPr="000646B5">
              <w:rPr>
                <w:rFonts w:ascii="Calibri" w:hAnsi="Calibri" w:cs="Calibri"/>
                <w:color w:val="000000"/>
                <w:sz w:val="14"/>
                <w:szCs w:val="14"/>
              </w:rPr>
              <w:t xml:space="preserve"> činností a služeb jinde neuvedené</w:t>
            </w:r>
          </w:p>
        </w:tc>
        <w:tc>
          <w:tcPr>
            <w:tcW w:w="1134"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438 600,00</w:t>
            </w:r>
          </w:p>
        </w:tc>
        <w:tc>
          <w:tcPr>
            <w:tcW w:w="1134"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317 190,65</w:t>
            </w:r>
          </w:p>
        </w:tc>
        <w:tc>
          <w:tcPr>
            <w:tcW w:w="709"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72,32 %</w:t>
            </w:r>
          </w:p>
        </w:tc>
        <w:tc>
          <w:tcPr>
            <w:tcW w:w="1276"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223 750,02</w:t>
            </w:r>
          </w:p>
        </w:tc>
        <w:tc>
          <w:tcPr>
            <w:tcW w:w="1134"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93 440,63</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1361</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Správní poplatky</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19 921 004,28</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20 086 161,00</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100,83 %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18 814 762,00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1 271 399,00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1381</w:t>
            </w:r>
          </w:p>
        </w:tc>
        <w:tc>
          <w:tcPr>
            <w:tcW w:w="3478"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Daň z hazardních her</w:t>
            </w:r>
          </w:p>
        </w:tc>
        <w:tc>
          <w:tcPr>
            <w:tcW w:w="1134"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3 200 000,00</w:t>
            </w:r>
          </w:p>
        </w:tc>
        <w:tc>
          <w:tcPr>
            <w:tcW w:w="1134"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6 115 110,87</w:t>
            </w:r>
          </w:p>
        </w:tc>
        <w:tc>
          <w:tcPr>
            <w:tcW w:w="709"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191,10 %</w:t>
            </w:r>
          </w:p>
        </w:tc>
        <w:tc>
          <w:tcPr>
            <w:tcW w:w="1276"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5 430 913,60</w:t>
            </w:r>
          </w:p>
        </w:tc>
        <w:tc>
          <w:tcPr>
            <w:tcW w:w="1134"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684 197,27</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1382</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Zrušený odvod z loterií a pod.</w:t>
            </w:r>
            <w:r w:rsidR="00D23941">
              <w:rPr>
                <w:rFonts w:ascii="Calibri" w:hAnsi="Calibri" w:cs="Calibri"/>
                <w:color w:val="000000"/>
                <w:sz w:val="14"/>
                <w:szCs w:val="14"/>
              </w:rPr>
              <w:t xml:space="preserve"> </w:t>
            </w:r>
            <w:r w:rsidRPr="000646B5">
              <w:rPr>
                <w:rFonts w:ascii="Calibri" w:hAnsi="Calibri" w:cs="Calibri"/>
                <w:color w:val="000000"/>
                <w:sz w:val="14"/>
                <w:szCs w:val="14"/>
              </w:rPr>
              <w:t>her kromě výh.</w:t>
            </w:r>
            <w:r w:rsidR="00D23941">
              <w:rPr>
                <w:rFonts w:ascii="Calibri" w:hAnsi="Calibri" w:cs="Calibri"/>
                <w:color w:val="000000"/>
                <w:sz w:val="14"/>
                <w:szCs w:val="14"/>
              </w:rPr>
              <w:t xml:space="preserve"> </w:t>
            </w:r>
            <w:r w:rsidRPr="000646B5">
              <w:rPr>
                <w:rFonts w:ascii="Calibri" w:hAnsi="Calibri" w:cs="Calibri"/>
                <w:color w:val="000000"/>
                <w:sz w:val="14"/>
                <w:szCs w:val="14"/>
              </w:rPr>
              <w:t>hrac.</w:t>
            </w:r>
            <w:r w:rsidR="00D23941">
              <w:rPr>
                <w:rFonts w:ascii="Calibri" w:hAnsi="Calibri" w:cs="Calibri"/>
                <w:color w:val="000000"/>
                <w:sz w:val="14"/>
                <w:szCs w:val="14"/>
              </w:rPr>
              <w:t xml:space="preserve"> </w:t>
            </w:r>
            <w:r w:rsidRPr="000646B5">
              <w:rPr>
                <w:rFonts w:ascii="Calibri" w:hAnsi="Calibri" w:cs="Calibri"/>
                <w:color w:val="000000"/>
                <w:sz w:val="14"/>
                <w:szCs w:val="14"/>
              </w:rPr>
              <w:t>př.</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4 387,60</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278,69</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4 108,91</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1383</w:t>
            </w:r>
          </w:p>
        </w:tc>
        <w:tc>
          <w:tcPr>
            <w:tcW w:w="3478"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Zrušený odvod z výherních hracích přístrojů</w:t>
            </w:r>
          </w:p>
        </w:tc>
        <w:tc>
          <w:tcPr>
            <w:tcW w:w="1134"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709"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w:t>
            </w:r>
          </w:p>
        </w:tc>
        <w:tc>
          <w:tcPr>
            <w:tcW w:w="1276"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1385</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Dílčí daň z technických her</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37 000 000,00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77 393 044,71</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209,17 %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34 148 567,31</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43 244 477,40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1511</w:t>
            </w:r>
          </w:p>
        </w:tc>
        <w:tc>
          <w:tcPr>
            <w:tcW w:w="3478"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Daň z nemovitých věcí</w:t>
            </w:r>
          </w:p>
        </w:tc>
        <w:tc>
          <w:tcPr>
            <w:tcW w:w="1134"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28 000 000,00</w:t>
            </w:r>
          </w:p>
        </w:tc>
        <w:tc>
          <w:tcPr>
            <w:tcW w:w="1134"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31 485 178,40</w:t>
            </w:r>
          </w:p>
        </w:tc>
        <w:tc>
          <w:tcPr>
            <w:tcW w:w="709"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112,45 %</w:t>
            </w:r>
          </w:p>
        </w:tc>
        <w:tc>
          <w:tcPr>
            <w:tcW w:w="1276"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30 855 909,33</w:t>
            </w:r>
          </w:p>
        </w:tc>
        <w:tc>
          <w:tcPr>
            <w:tcW w:w="1134"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629 269,07</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C4C4C4" w:fill="C6E0B4"/>
            <w:noWrap/>
            <w:vAlign w:val="center"/>
            <w:hideMark/>
          </w:tcPr>
          <w:p w:rsidR="000646B5" w:rsidRPr="000646B5" w:rsidRDefault="000646B5" w:rsidP="000646B5">
            <w:pPr>
              <w:rPr>
                <w:rFonts w:ascii="Calibri" w:hAnsi="Calibri" w:cs="Calibri"/>
                <w:b/>
                <w:bCs/>
                <w:color w:val="000000"/>
                <w:sz w:val="14"/>
                <w:szCs w:val="14"/>
              </w:rPr>
            </w:pPr>
            <w:r w:rsidRPr="000646B5">
              <w:rPr>
                <w:rFonts w:ascii="Calibri" w:hAnsi="Calibri" w:cs="Calibri"/>
                <w:b/>
                <w:bCs/>
                <w:color w:val="000000"/>
                <w:sz w:val="14"/>
                <w:szCs w:val="14"/>
              </w:rPr>
              <w:t>1XXX</w:t>
            </w:r>
          </w:p>
        </w:tc>
        <w:tc>
          <w:tcPr>
            <w:tcW w:w="3478" w:type="dxa"/>
            <w:tcBorders>
              <w:top w:val="nil"/>
              <w:left w:val="nil"/>
              <w:bottom w:val="single" w:sz="4" w:space="0" w:color="auto"/>
              <w:right w:val="single" w:sz="4" w:space="0" w:color="auto"/>
            </w:tcBorders>
            <w:shd w:val="clear" w:color="C4C4C4" w:fill="C6E0B4"/>
            <w:noWrap/>
            <w:vAlign w:val="center"/>
            <w:hideMark/>
          </w:tcPr>
          <w:p w:rsidR="000646B5" w:rsidRPr="000646B5" w:rsidRDefault="000646B5" w:rsidP="000646B5">
            <w:pPr>
              <w:rPr>
                <w:rFonts w:ascii="Calibri" w:hAnsi="Calibri" w:cs="Calibri"/>
                <w:b/>
                <w:bCs/>
                <w:color w:val="000000"/>
                <w:sz w:val="14"/>
                <w:szCs w:val="14"/>
              </w:rPr>
            </w:pPr>
            <w:r w:rsidRPr="000646B5">
              <w:rPr>
                <w:rFonts w:ascii="Calibri" w:hAnsi="Calibri" w:cs="Calibri"/>
                <w:b/>
                <w:bCs/>
                <w:color w:val="000000"/>
                <w:sz w:val="14"/>
                <w:szCs w:val="14"/>
              </w:rPr>
              <w:t>Daňové příjmy</w:t>
            </w:r>
          </w:p>
        </w:tc>
        <w:tc>
          <w:tcPr>
            <w:tcW w:w="1134" w:type="dxa"/>
            <w:tcBorders>
              <w:top w:val="nil"/>
              <w:left w:val="nil"/>
              <w:bottom w:val="single" w:sz="4" w:space="0" w:color="auto"/>
              <w:right w:val="single" w:sz="4" w:space="0" w:color="auto"/>
            </w:tcBorders>
            <w:shd w:val="clear" w:color="C4C4C4" w:fill="C6E0B4"/>
            <w:noWrap/>
            <w:vAlign w:val="center"/>
            <w:hideMark/>
          </w:tcPr>
          <w:p w:rsidR="000646B5" w:rsidRPr="000646B5" w:rsidRDefault="000646B5" w:rsidP="000646B5">
            <w:pPr>
              <w:jc w:val="right"/>
              <w:rPr>
                <w:rFonts w:ascii="Calibri" w:hAnsi="Calibri" w:cs="Calibri"/>
                <w:b/>
                <w:bCs/>
                <w:color w:val="000000"/>
                <w:sz w:val="14"/>
                <w:szCs w:val="14"/>
              </w:rPr>
            </w:pPr>
            <w:r w:rsidRPr="000646B5">
              <w:rPr>
                <w:rFonts w:ascii="Calibri" w:hAnsi="Calibri" w:cs="Calibri"/>
                <w:b/>
                <w:bCs/>
                <w:color w:val="000000"/>
                <w:sz w:val="14"/>
                <w:szCs w:val="14"/>
              </w:rPr>
              <w:t>774 962 313,94</w:t>
            </w:r>
          </w:p>
        </w:tc>
        <w:tc>
          <w:tcPr>
            <w:tcW w:w="1134" w:type="dxa"/>
            <w:tcBorders>
              <w:top w:val="nil"/>
              <w:left w:val="nil"/>
              <w:bottom w:val="single" w:sz="4" w:space="0" w:color="auto"/>
              <w:right w:val="single" w:sz="4" w:space="0" w:color="auto"/>
            </w:tcBorders>
            <w:shd w:val="clear" w:color="C4C4C4" w:fill="C6E0B4"/>
            <w:noWrap/>
            <w:vAlign w:val="center"/>
            <w:hideMark/>
          </w:tcPr>
          <w:p w:rsidR="000646B5" w:rsidRPr="000646B5" w:rsidRDefault="000646B5" w:rsidP="000646B5">
            <w:pPr>
              <w:jc w:val="right"/>
              <w:rPr>
                <w:rFonts w:ascii="Calibri" w:hAnsi="Calibri" w:cs="Calibri"/>
                <w:b/>
                <w:bCs/>
                <w:color w:val="000000"/>
                <w:sz w:val="14"/>
                <w:szCs w:val="14"/>
              </w:rPr>
            </w:pPr>
            <w:r w:rsidRPr="000646B5">
              <w:rPr>
                <w:rFonts w:ascii="Calibri" w:hAnsi="Calibri" w:cs="Calibri"/>
                <w:b/>
                <w:bCs/>
                <w:color w:val="000000"/>
                <w:sz w:val="14"/>
                <w:szCs w:val="14"/>
              </w:rPr>
              <w:t>982 699 253,25</w:t>
            </w:r>
          </w:p>
        </w:tc>
        <w:tc>
          <w:tcPr>
            <w:tcW w:w="709" w:type="dxa"/>
            <w:tcBorders>
              <w:top w:val="nil"/>
              <w:left w:val="nil"/>
              <w:bottom w:val="single" w:sz="4" w:space="0" w:color="auto"/>
              <w:right w:val="single" w:sz="4" w:space="0" w:color="auto"/>
            </w:tcBorders>
            <w:shd w:val="clear" w:color="C4C4C4" w:fill="C6E0B4"/>
            <w:noWrap/>
            <w:vAlign w:val="center"/>
            <w:hideMark/>
          </w:tcPr>
          <w:p w:rsidR="000646B5" w:rsidRPr="000646B5" w:rsidRDefault="000646B5" w:rsidP="000646B5">
            <w:pPr>
              <w:jc w:val="right"/>
              <w:rPr>
                <w:rFonts w:ascii="Calibri" w:hAnsi="Calibri" w:cs="Calibri"/>
                <w:b/>
                <w:bCs/>
                <w:color w:val="000000"/>
                <w:sz w:val="14"/>
                <w:szCs w:val="14"/>
              </w:rPr>
            </w:pPr>
            <w:r w:rsidRPr="000646B5">
              <w:rPr>
                <w:rFonts w:ascii="Calibri" w:hAnsi="Calibri" w:cs="Calibri"/>
                <w:b/>
                <w:bCs/>
                <w:color w:val="000000"/>
                <w:sz w:val="14"/>
                <w:szCs w:val="14"/>
              </w:rPr>
              <w:t>126,81 %</w:t>
            </w:r>
          </w:p>
        </w:tc>
        <w:tc>
          <w:tcPr>
            <w:tcW w:w="1276" w:type="dxa"/>
            <w:tcBorders>
              <w:top w:val="nil"/>
              <w:left w:val="nil"/>
              <w:bottom w:val="single" w:sz="4" w:space="0" w:color="auto"/>
              <w:right w:val="single" w:sz="4" w:space="0" w:color="auto"/>
            </w:tcBorders>
            <w:shd w:val="clear" w:color="C4C4C4" w:fill="C6E0B4"/>
            <w:noWrap/>
            <w:vAlign w:val="center"/>
            <w:hideMark/>
          </w:tcPr>
          <w:p w:rsidR="000646B5" w:rsidRPr="000646B5" w:rsidRDefault="000646B5" w:rsidP="000646B5">
            <w:pPr>
              <w:jc w:val="right"/>
              <w:rPr>
                <w:rFonts w:ascii="Calibri" w:hAnsi="Calibri" w:cs="Calibri"/>
                <w:b/>
                <w:bCs/>
                <w:color w:val="000000"/>
                <w:sz w:val="14"/>
                <w:szCs w:val="14"/>
              </w:rPr>
            </w:pPr>
            <w:r w:rsidRPr="000646B5">
              <w:rPr>
                <w:rFonts w:ascii="Calibri" w:hAnsi="Calibri" w:cs="Calibri"/>
                <w:b/>
                <w:bCs/>
                <w:color w:val="000000"/>
                <w:sz w:val="14"/>
                <w:szCs w:val="14"/>
              </w:rPr>
              <w:t>829 113 742,98</w:t>
            </w:r>
          </w:p>
        </w:tc>
        <w:tc>
          <w:tcPr>
            <w:tcW w:w="1134" w:type="dxa"/>
            <w:tcBorders>
              <w:top w:val="nil"/>
              <w:left w:val="nil"/>
              <w:bottom w:val="single" w:sz="4" w:space="0" w:color="auto"/>
              <w:right w:val="single" w:sz="4" w:space="0" w:color="auto"/>
            </w:tcBorders>
            <w:shd w:val="clear" w:color="C4C4C4" w:fill="C6E0B4"/>
            <w:noWrap/>
            <w:vAlign w:val="center"/>
            <w:hideMark/>
          </w:tcPr>
          <w:p w:rsidR="000646B5" w:rsidRPr="000646B5" w:rsidRDefault="000646B5" w:rsidP="000646B5">
            <w:pPr>
              <w:jc w:val="right"/>
              <w:rPr>
                <w:rFonts w:ascii="Calibri" w:hAnsi="Calibri" w:cs="Calibri"/>
                <w:b/>
                <w:bCs/>
                <w:color w:val="000000"/>
                <w:sz w:val="14"/>
                <w:szCs w:val="14"/>
              </w:rPr>
            </w:pPr>
            <w:r w:rsidRPr="000646B5">
              <w:rPr>
                <w:rFonts w:ascii="Calibri" w:hAnsi="Calibri" w:cs="Calibri"/>
                <w:b/>
                <w:bCs/>
                <w:color w:val="000000"/>
                <w:sz w:val="14"/>
                <w:szCs w:val="14"/>
              </w:rPr>
              <w:t>153 585 510,27</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2111</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Příjmy z poskytování služeb a výrobků</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35 242 555,00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33 011 702,50</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93,67 %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28 842 584,18</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4 169 118,32</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2112</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Příjmy z prod. zboží (již nakoupeného za účelem prodeje)</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100 000,00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143 902,00</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143,90 %</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14 732,00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129 170,00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2119</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Ostatní příjmy z vlastní činnosti</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2 570 354,19</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2 698 310,51</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104,98 %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1 721 120,58</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977 189,93</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2122</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Odvody příspěvkových organizací</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20 466 750,25</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23 486 457,96</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114,75 %</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17 367 988,92</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6 118 469,04</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2131</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Příjmy z pronájmu pozemků</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5 972 726,54</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6 018 153,71</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100,76 %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6 582 608,12</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-564 454,41</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2132</w:t>
            </w:r>
          </w:p>
        </w:tc>
        <w:tc>
          <w:tcPr>
            <w:tcW w:w="3478" w:type="dxa"/>
            <w:tcBorders>
              <w:top w:val="nil"/>
              <w:left w:val="nil"/>
              <w:bottom w:val="single" w:sz="4" w:space="0" w:color="auto"/>
              <w:right w:val="single" w:sz="4" w:space="0" w:color="auto"/>
            </w:tcBorders>
            <w:shd w:val="clear" w:color="000000" w:fill="D9D9D9"/>
            <w:noWrap/>
            <w:vAlign w:val="center"/>
            <w:hideMark/>
          </w:tcPr>
          <w:p w:rsidR="000646B5" w:rsidRPr="000646B5" w:rsidRDefault="00D23941" w:rsidP="000646B5">
            <w:pPr>
              <w:rPr>
                <w:rFonts w:ascii="Calibri" w:hAnsi="Calibri" w:cs="Calibri"/>
                <w:color w:val="000000"/>
                <w:sz w:val="14"/>
                <w:szCs w:val="14"/>
              </w:rPr>
            </w:pPr>
            <w:r>
              <w:rPr>
                <w:rFonts w:ascii="Calibri" w:hAnsi="Calibri" w:cs="Calibri"/>
                <w:color w:val="000000"/>
                <w:sz w:val="14"/>
                <w:szCs w:val="14"/>
              </w:rPr>
              <w:t>Příjmy z pronájmu ost. nemovit</w:t>
            </w:r>
            <w:r w:rsidR="000646B5" w:rsidRPr="000646B5">
              <w:rPr>
                <w:rFonts w:ascii="Calibri" w:hAnsi="Calibri" w:cs="Calibri"/>
                <w:color w:val="000000"/>
                <w:sz w:val="14"/>
                <w:szCs w:val="14"/>
              </w:rPr>
              <w:t>ých věcí a jejich částí</w:t>
            </w:r>
          </w:p>
        </w:tc>
        <w:tc>
          <w:tcPr>
            <w:tcW w:w="1134"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57 184 961,34</w:t>
            </w:r>
          </w:p>
        </w:tc>
        <w:tc>
          <w:tcPr>
            <w:tcW w:w="1134"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59 373 362,50</w:t>
            </w:r>
          </w:p>
        </w:tc>
        <w:tc>
          <w:tcPr>
            <w:tcW w:w="709"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103,83 %</w:t>
            </w:r>
          </w:p>
        </w:tc>
        <w:tc>
          <w:tcPr>
            <w:tcW w:w="1276"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58 706 009,22</w:t>
            </w:r>
          </w:p>
        </w:tc>
        <w:tc>
          <w:tcPr>
            <w:tcW w:w="1134"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667 353,28</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2133</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Příjmy z pronájmu movitých věcí</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946 159,51</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1 507 368,43</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159,31 %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538 270,08</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969 098,35</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2139</w:t>
            </w:r>
          </w:p>
        </w:tc>
        <w:tc>
          <w:tcPr>
            <w:tcW w:w="3478"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Ostatní příjmy z pronájmu majetku</w:t>
            </w:r>
          </w:p>
        </w:tc>
        <w:tc>
          <w:tcPr>
            <w:tcW w:w="1134"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3 733 080,00</w:t>
            </w:r>
          </w:p>
        </w:tc>
        <w:tc>
          <w:tcPr>
            <w:tcW w:w="1134"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5 988 478,84</w:t>
            </w:r>
          </w:p>
        </w:tc>
        <w:tc>
          <w:tcPr>
            <w:tcW w:w="709"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160,42 %</w:t>
            </w:r>
          </w:p>
        </w:tc>
        <w:tc>
          <w:tcPr>
            <w:tcW w:w="1276"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5 786 751,67</w:t>
            </w:r>
          </w:p>
        </w:tc>
        <w:tc>
          <w:tcPr>
            <w:tcW w:w="1134"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201 727,17</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2141</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Příjmy z úroků (část)</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500 000,00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7 015 153,23</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1403,03 %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134 826,61</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6 880 326,62</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2142</w:t>
            </w:r>
          </w:p>
        </w:tc>
        <w:tc>
          <w:tcPr>
            <w:tcW w:w="3478"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Příjmy z podílů na zisku a dividend</w:t>
            </w:r>
          </w:p>
        </w:tc>
        <w:tc>
          <w:tcPr>
            <w:tcW w:w="1134"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2 500 000,00</w:t>
            </w:r>
          </w:p>
        </w:tc>
        <w:tc>
          <w:tcPr>
            <w:tcW w:w="1134"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2 470 302,97</w:t>
            </w:r>
          </w:p>
        </w:tc>
        <w:tc>
          <w:tcPr>
            <w:tcW w:w="709"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98,81 %</w:t>
            </w:r>
          </w:p>
        </w:tc>
        <w:tc>
          <w:tcPr>
            <w:tcW w:w="1276"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4 384 137,02</w:t>
            </w:r>
          </w:p>
        </w:tc>
        <w:tc>
          <w:tcPr>
            <w:tcW w:w="1134"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-1 913 834,05</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2143</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Kursové rozdíly v příjmech</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289,08</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-289,08</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2212</w:t>
            </w:r>
          </w:p>
        </w:tc>
        <w:tc>
          <w:tcPr>
            <w:tcW w:w="3478"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Sankční platby přijaté od jiných subjektů</w:t>
            </w:r>
          </w:p>
        </w:tc>
        <w:tc>
          <w:tcPr>
            <w:tcW w:w="1134"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6 390 000,00</w:t>
            </w:r>
          </w:p>
        </w:tc>
        <w:tc>
          <w:tcPr>
            <w:tcW w:w="1134"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12 868 494,09</w:t>
            </w:r>
          </w:p>
        </w:tc>
        <w:tc>
          <w:tcPr>
            <w:tcW w:w="709"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201,38 %</w:t>
            </w:r>
          </w:p>
        </w:tc>
        <w:tc>
          <w:tcPr>
            <w:tcW w:w="1276"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9 138 905,90</w:t>
            </w:r>
          </w:p>
        </w:tc>
        <w:tc>
          <w:tcPr>
            <w:tcW w:w="1134"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3 729 588,19</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2222</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Ost.</w:t>
            </w:r>
            <w:r w:rsidR="00D23941">
              <w:rPr>
                <w:rFonts w:ascii="Calibri" w:hAnsi="Calibri" w:cs="Calibri"/>
                <w:color w:val="000000"/>
                <w:sz w:val="14"/>
                <w:szCs w:val="14"/>
              </w:rPr>
              <w:t xml:space="preserve"> </w:t>
            </w:r>
            <w:r w:rsidRPr="000646B5">
              <w:rPr>
                <w:rFonts w:ascii="Calibri" w:hAnsi="Calibri" w:cs="Calibri"/>
                <w:color w:val="000000"/>
                <w:sz w:val="14"/>
                <w:szCs w:val="14"/>
              </w:rPr>
              <w:t>příjmy z finanč.</w:t>
            </w:r>
            <w:r w:rsidR="00D23941">
              <w:rPr>
                <w:rFonts w:ascii="Calibri" w:hAnsi="Calibri" w:cs="Calibri"/>
                <w:color w:val="000000"/>
                <w:sz w:val="14"/>
                <w:szCs w:val="14"/>
              </w:rPr>
              <w:t xml:space="preserve"> </w:t>
            </w:r>
            <w:r w:rsidRPr="000646B5">
              <w:rPr>
                <w:rFonts w:ascii="Calibri" w:hAnsi="Calibri" w:cs="Calibri"/>
                <w:color w:val="000000"/>
                <w:sz w:val="14"/>
                <w:szCs w:val="14"/>
              </w:rPr>
              <w:t>vypoř.</w:t>
            </w:r>
            <w:r w:rsidR="00D23941">
              <w:rPr>
                <w:rFonts w:ascii="Calibri" w:hAnsi="Calibri" w:cs="Calibri"/>
                <w:color w:val="000000"/>
                <w:sz w:val="14"/>
                <w:szCs w:val="14"/>
              </w:rPr>
              <w:t xml:space="preserve"> </w:t>
            </w:r>
            <w:r w:rsidRPr="000646B5">
              <w:rPr>
                <w:rFonts w:ascii="Calibri" w:hAnsi="Calibri" w:cs="Calibri"/>
                <w:color w:val="000000"/>
                <w:sz w:val="14"/>
                <w:szCs w:val="14"/>
              </w:rPr>
              <w:t>od jiných veřejných rozpočtů</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161 470,30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80 735,15</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50,00 %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215 895,05</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-135 159,90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2229</w:t>
            </w:r>
          </w:p>
        </w:tc>
        <w:tc>
          <w:tcPr>
            <w:tcW w:w="3478"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Ostatní přijaté vratky transferů</w:t>
            </w:r>
          </w:p>
        </w:tc>
        <w:tc>
          <w:tcPr>
            <w:tcW w:w="1134"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1 652,31</w:t>
            </w:r>
          </w:p>
        </w:tc>
        <w:tc>
          <w:tcPr>
            <w:tcW w:w="709"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w:t>
            </w:r>
          </w:p>
        </w:tc>
        <w:tc>
          <w:tcPr>
            <w:tcW w:w="1276"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710,87</w:t>
            </w:r>
          </w:p>
        </w:tc>
        <w:tc>
          <w:tcPr>
            <w:tcW w:w="1134"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941,44</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2310</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Příjmy z prodeje krátk.</w:t>
            </w:r>
            <w:r w:rsidR="00D23941">
              <w:rPr>
                <w:rFonts w:ascii="Calibri" w:hAnsi="Calibri" w:cs="Calibri"/>
                <w:color w:val="000000"/>
                <w:sz w:val="14"/>
                <w:szCs w:val="14"/>
              </w:rPr>
              <w:t xml:space="preserve"> </w:t>
            </w:r>
            <w:r w:rsidRPr="000646B5">
              <w:rPr>
                <w:rFonts w:ascii="Calibri" w:hAnsi="Calibri" w:cs="Calibri"/>
                <w:color w:val="000000"/>
                <w:sz w:val="14"/>
                <w:szCs w:val="14"/>
              </w:rPr>
              <w:t>a drobného dlouhodob.</w:t>
            </w:r>
            <w:r w:rsidR="00D23941">
              <w:rPr>
                <w:rFonts w:ascii="Calibri" w:hAnsi="Calibri" w:cs="Calibri"/>
                <w:color w:val="000000"/>
                <w:sz w:val="14"/>
                <w:szCs w:val="14"/>
              </w:rPr>
              <w:t xml:space="preserve"> </w:t>
            </w:r>
            <w:r w:rsidRPr="000646B5">
              <w:rPr>
                <w:rFonts w:ascii="Calibri" w:hAnsi="Calibri" w:cs="Calibri"/>
                <w:color w:val="000000"/>
                <w:sz w:val="14"/>
                <w:szCs w:val="14"/>
              </w:rPr>
              <w:t>majet</w:t>
            </w:r>
            <w:r w:rsidR="00D23941">
              <w:rPr>
                <w:rFonts w:ascii="Calibri" w:hAnsi="Calibri" w:cs="Calibri"/>
                <w:color w:val="000000"/>
                <w:sz w:val="14"/>
                <w:szCs w:val="14"/>
              </w:rPr>
              <w:t>ku</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210 650,00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356 198,00</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169,09 %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150 995,00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205 203,00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2321</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Přijaté neinvestiční dary</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63 896,00</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63 896,00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2322</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Přijaté pojistné náhrady</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837 981,00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655 076,00</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78,17 %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1 483 856,00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-828 780,00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2324</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Přijaté nekapitálové příspěvky a náhrady</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6 971 528,89</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13 730 428,02</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196,95 %</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11 210 408,54</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2 520 019,48</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2329</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Ostatní nedaňové příjmy jinde nezařazené</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129 857,00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55 974,00</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3 453 345,10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-3 397 371,10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2412</w:t>
            </w:r>
          </w:p>
        </w:tc>
        <w:tc>
          <w:tcPr>
            <w:tcW w:w="3478"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Splátky půjč.</w:t>
            </w:r>
            <w:r w:rsidR="00D23941">
              <w:rPr>
                <w:rFonts w:ascii="Calibri" w:hAnsi="Calibri" w:cs="Calibri"/>
                <w:color w:val="000000"/>
                <w:sz w:val="14"/>
                <w:szCs w:val="14"/>
              </w:rPr>
              <w:t xml:space="preserve"> </w:t>
            </w:r>
            <w:r w:rsidRPr="000646B5">
              <w:rPr>
                <w:rFonts w:ascii="Calibri" w:hAnsi="Calibri" w:cs="Calibri"/>
                <w:color w:val="000000"/>
                <w:sz w:val="14"/>
                <w:szCs w:val="14"/>
              </w:rPr>
              <w:t>prostř.</w:t>
            </w:r>
            <w:r w:rsidR="00D23941">
              <w:rPr>
                <w:rFonts w:ascii="Calibri" w:hAnsi="Calibri" w:cs="Calibri"/>
                <w:color w:val="000000"/>
                <w:sz w:val="14"/>
                <w:szCs w:val="14"/>
              </w:rPr>
              <w:t xml:space="preserve"> od podnik. nef. subj.-práv. </w:t>
            </w:r>
            <w:r w:rsidRPr="000646B5">
              <w:rPr>
                <w:rFonts w:ascii="Calibri" w:hAnsi="Calibri" w:cs="Calibri"/>
                <w:color w:val="000000"/>
                <w:sz w:val="14"/>
                <w:szCs w:val="14"/>
              </w:rPr>
              <w:t>osob</w:t>
            </w:r>
          </w:p>
        </w:tc>
        <w:tc>
          <w:tcPr>
            <w:tcW w:w="1134"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709"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w:t>
            </w:r>
          </w:p>
        </w:tc>
        <w:tc>
          <w:tcPr>
            <w:tcW w:w="1276"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410 000,00</w:t>
            </w:r>
          </w:p>
        </w:tc>
        <w:tc>
          <w:tcPr>
            <w:tcW w:w="1134"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-410 000,00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2460</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Splátky půjčených prostředků od obyvatelstva</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200 000,00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240 252,00</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120,13 %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236 623,00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3 629,00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C4C4C4" w:fill="C6E0B4"/>
            <w:noWrap/>
            <w:vAlign w:val="center"/>
            <w:hideMark/>
          </w:tcPr>
          <w:p w:rsidR="000646B5" w:rsidRPr="000646B5" w:rsidRDefault="000646B5" w:rsidP="000646B5">
            <w:pPr>
              <w:rPr>
                <w:rFonts w:ascii="Calibri" w:hAnsi="Calibri" w:cs="Calibri"/>
                <w:b/>
                <w:bCs/>
                <w:color w:val="000000"/>
                <w:sz w:val="14"/>
                <w:szCs w:val="14"/>
              </w:rPr>
            </w:pPr>
            <w:r w:rsidRPr="000646B5">
              <w:rPr>
                <w:rFonts w:ascii="Calibri" w:hAnsi="Calibri" w:cs="Calibri"/>
                <w:b/>
                <w:bCs/>
                <w:color w:val="000000"/>
                <w:sz w:val="14"/>
                <w:szCs w:val="14"/>
              </w:rPr>
              <w:t>2XXX</w:t>
            </w:r>
          </w:p>
        </w:tc>
        <w:tc>
          <w:tcPr>
            <w:tcW w:w="3478" w:type="dxa"/>
            <w:tcBorders>
              <w:top w:val="nil"/>
              <w:left w:val="nil"/>
              <w:bottom w:val="single" w:sz="4" w:space="0" w:color="auto"/>
              <w:right w:val="single" w:sz="4" w:space="0" w:color="auto"/>
            </w:tcBorders>
            <w:shd w:val="clear" w:color="C4C4C4" w:fill="C6E0B4"/>
            <w:noWrap/>
            <w:vAlign w:val="center"/>
            <w:hideMark/>
          </w:tcPr>
          <w:p w:rsidR="000646B5" w:rsidRPr="000646B5" w:rsidRDefault="000646B5" w:rsidP="000646B5">
            <w:pPr>
              <w:rPr>
                <w:rFonts w:ascii="Calibri" w:hAnsi="Calibri" w:cs="Calibri"/>
                <w:b/>
                <w:bCs/>
                <w:color w:val="000000"/>
                <w:sz w:val="14"/>
                <w:szCs w:val="14"/>
              </w:rPr>
            </w:pPr>
            <w:r w:rsidRPr="000646B5">
              <w:rPr>
                <w:rFonts w:ascii="Calibri" w:hAnsi="Calibri" w:cs="Calibri"/>
                <w:b/>
                <w:bCs/>
                <w:color w:val="000000"/>
                <w:sz w:val="14"/>
                <w:szCs w:val="14"/>
              </w:rPr>
              <w:t>Nedaňové příjmy</w:t>
            </w:r>
          </w:p>
        </w:tc>
        <w:tc>
          <w:tcPr>
            <w:tcW w:w="1134" w:type="dxa"/>
            <w:tcBorders>
              <w:top w:val="nil"/>
              <w:left w:val="nil"/>
              <w:bottom w:val="single" w:sz="4" w:space="0" w:color="auto"/>
              <w:right w:val="single" w:sz="4" w:space="0" w:color="auto"/>
            </w:tcBorders>
            <w:shd w:val="clear" w:color="C4C4C4" w:fill="C6E0B4"/>
            <w:noWrap/>
            <w:vAlign w:val="center"/>
            <w:hideMark/>
          </w:tcPr>
          <w:p w:rsidR="000646B5" w:rsidRPr="000646B5" w:rsidRDefault="000646B5" w:rsidP="000646B5">
            <w:pPr>
              <w:jc w:val="right"/>
              <w:rPr>
                <w:rFonts w:ascii="Calibri" w:hAnsi="Calibri" w:cs="Calibri"/>
                <w:b/>
                <w:bCs/>
                <w:color w:val="000000"/>
                <w:sz w:val="14"/>
                <w:szCs w:val="14"/>
              </w:rPr>
            </w:pPr>
            <w:r w:rsidRPr="000646B5">
              <w:rPr>
                <w:rFonts w:ascii="Calibri" w:hAnsi="Calibri" w:cs="Calibri"/>
                <w:b/>
                <w:bCs/>
                <w:color w:val="000000"/>
                <w:sz w:val="14"/>
                <w:szCs w:val="14"/>
              </w:rPr>
              <w:t>144 118 074,02</w:t>
            </w:r>
          </w:p>
        </w:tc>
        <w:tc>
          <w:tcPr>
            <w:tcW w:w="1134" w:type="dxa"/>
            <w:tcBorders>
              <w:top w:val="nil"/>
              <w:left w:val="nil"/>
              <w:bottom w:val="single" w:sz="4" w:space="0" w:color="auto"/>
              <w:right w:val="single" w:sz="4" w:space="0" w:color="auto"/>
            </w:tcBorders>
            <w:shd w:val="clear" w:color="C4C4C4" w:fill="C6E0B4"/>
            <w:noWrap/>
            <w:vAlign w:val="center"/>
            <w:hideMark/>
          </w:tcPr>
          <w:p w:rsidR="000646B5" w:rsidRPr="000646B5" w:rsidRDefault="000646B5" w:rsidP="000646B5">
            <w:pPr>
              <w:jc w:val="right"/>
              <w:rPr>
                <w:rFonts w:ascii="Calibri" w:hAnsi="Calibri" w:cs="Calibri"/>
                <w:b/>
                <w:bCs/>
                <w:color w:val="000000"/>
                <w:sz w:val="14"/>
                <w:szCs w:val="14"/>
              </w:rPr>
            </w:pPr>
            <w:r w:rsidRPr="000646B5">
              <w:rPr>
                <w:rFonts w:ascii="Calibri" w:hAnsi="Calibri" w:cs="Calibri"/>
                <w:b/>
                <w:bCs/>
                <w:color w:val="000000"/>
                <w:sz w:val="14"/>
                <w:szCs w:val="14"/>
              </w:rPr>
              <w:t>169 765 898,22</w:t>
            </w:r>
          </w:p>
        </w:tc>
        <w:tc>
          <w:tcPr>
            <w:tcW w:w="709" w:type="dxa"/>
            <w:tcBorders>
              <w:top w:val="nil"/>
              <w:left w:val="nil"/>
              <w:bottom w:val="single" w:sz="4" w:space="0" w:color="auto"/>
              <w:right w:val="single" w:sz="4" w:space="0" w:color="auto"/>
            </w:tcBorders>
            <w:shd w:val="clear" w:color="C4C4C4" w:fill="C6E0B4"/>
            <w:noWrap/>
            <w:vAlign w:val="center"/>
            <w:hideMark/>
          </w:tcPr>
          <w:p w:rsidR="000646B5" w:rsidRPr="000646B5" w:rsidRDefault="000646B5" w:rsidP="000646B5">
            <w:pPr>
              <w:jc w:val="right"/>
              <w:rPr>
                <w:rFonts w:ascii="Calibri" w:hAnsi="Calibri" w:cs="Calibri"/>
                <w:b/>
                <w:bCs/>
                <w:color w:val="000000"/>
                <w:sz w:val="14"/>
                <w:szCs w:val="14"/>
              </w:rPr>
            </w:pPr>
            <w:r w:rsidRPr="000646B5">
              <w:rPr>
                <w:rFonts w:ascii="Calibri" w:hAnsi="Calibri" w:cs="Calibri"/>
                <w:b/>
                <w:bCs/>
                <w:color w:val="000000"/>
                <w:sz w:val="14"/>
                <w:szCs w:val="14"/>
              </w:rPr>
              <w:t>117,80 %</w:t>
            </w:r>
          </w:p>
        </w:tc>
        <w:tc>
          <w:tcPr>
            <w:tcW w:w="1276" w:type="dxa"/>
            <w:tcBorders>
              <w:top w:val="nil"/>
              <w:left w:val="nil"/>
              <w:bottom w:val="single" w:sz="4" w:space="0" w:color="auto"/>
              <w:right w:val="single" w:sz="4" w:space="0" w:color="auto"/>
            </w:tcBorders>
            <w:shd w:val="clear" w:color="C4C4C4" w:fill="C6E0B4"/>
            <w:noWrap/>
            <w:vAlign w:val="center"/>
            <w:hideMark/>
          </w:tcPr>
          <w:p w:rsidR="000646B5" w:rsidRPr="000646B5" w:rsidRDefault="000646B5" w:rsidP="000646B5">
            <w:pPr>
              <w:jc w:val="right"/>
              <w:rPr>
                <w:rFonts w:ascii="Calibri" w:hAnsi="Calibri" w:cs="Calibri"/>
                <w:b/>
                <w:bCs/>
                <w:color w:val="000000"/>
                <w:sz w:val="14"/>
                <w:szCs w:val="14"/>
              </w:rPr>
            </w:pPr>
            <w:r w:rsidRPr="000646B5">
              <w:rPr>
                <w:rFonts w:ascii="Calibri" w:hAnsi="Calibri" w:cs="Calibri"/>
                <w:b/>
                <w:bCs/>
                <w:color w:val="000000"/>
                <w:sz w:val="14"/>
                <w:szCs w:val="14"/>
              </w:rPr>
              <w:t>150 380 056,94</w:t>
            </w:r>
          </w:p>
        </w:tc>
        <w:tc>
          <w:tcPr>
            <w:tcW w:w="1134" w:type="dxa"/>
            <w:tcBorders>
              <w:top w:val="nil"/>
              <w:left w:val="nil"/>
              <w:bottom w:val="single" w:sz="4" w:space="0" w:color="auto"/>
              <w:right w:val="single" w:sz="4" w:space="0" w:color="auto"/>
            </w:tcBorders>
            <w:shd w:val="clear" w:color="C4C4C4" w:fill="C6E0B4"/>
            <w:noWrap/>
            <w:vAlign w:val="center"/>
            <w:hideMark/>
          </w:tcPr>
          <w:p w:rsidR="000646B5" w:rsidRPr="000646B5" w:rsidRDefault="000646B5" w:rsidP="000646B5">
            <w:pPr>
              <w:jc w:val="right"/>
              <w:rPr>
                <w:rFonts w:ascii="Calibri" w:hAnsi="Calibri" w:cs="Calibri"/>
                <w:b/>
                <w:bCs/>
                <w:color w:val="000000"/>
                <w:sz w:val="14"/>
                <w:szCs w:val="14"/>
              </w:rPr>
            </w:pPr>
            <w:r w:rsidRPr="000646B5">
              <w:rPr>
                <w:rFonts w:ascii="Calibri" w:hAnsi="Calibri" w:cs="Calibri"/>
                <w:b/>
                <w:bCs/>
                <w:color w:val="000000"/>
                <w:sz w:val="14"/>
                <w:szCs w:val="14"/>
              </w:rPr>
              <w:t>19 385 841,28</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3111</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Příjmy z prodeje pozemků</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4 737 148,00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5 011 948,00</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105,80 %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6 014 822,00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-1 002 874,00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3113</w:t>
            </w:r>
          </w:p>
        </w:tc>
        <w:tc>
          <w:tcPr>
            <w:tcW w:w="3478"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Příjmy z prodeje ostatního hmotného dlouh. majetku</w:t>
            </w:r>
          </w:p>
        </w:tc>
        <w:tc>
          <w:tcPr>
            <w:tcW w:w="1134"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3 000,00</w:t>
            </w:r>
          </w:p>
        </w:tc>
        <w:tc>
          <w:tcPr>
            <w:tcW w:w="1134"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91 999,93</w:t>
            </w:r>
          </w:p>
        </w:tc>
        <w:tc>
          <w:tcPr>
            <w:tcW w:w="709" w:type="dxa"/>
            <w:tcBorders>
              <w:top w:val="nil"/>
              <w:left w:val="nil"/>
              <w:bottom w:val="single" w:sz="4" w:space="0" w:color="auto"/>
              <w:right w:val="single" w:sz="4" w:space="0" w:color="auto"/>
            </w:tcBorders>
            <w:shd w:val="clear" w:color="000000" w:fill="D9D9D9"/>
            <w:noWrap/>
            <w:vAlign w:val="center"/>
            <w:hideMark/>
          </w:tcPr>
          <w:p w:rsidR="000646B5" w:rsidRPr="000646B5" w:rsidRDefault="009732D9" w:rsidP="000646B5">
            <w:pPr>
              <w:jc w:val="right"/>
              <w:rPr>
                <w:rFonts w:ascii="Calibri" w:hAnsi="Calibri" w:cs="Calibri"/>
                <w:color w:val="000000"/>
                <w:sz w:val="14"/>
                <w:szCs w:val="14"/>
              </w:rPr>
            </w:pPr>
            <w:r>
              <w:rPr>
                <w:rFonts w:ascii="Calibri" w:hAnsi="Calibri" w:cs="Calibri"/>
                <w:color w:val="000000"/>
                <w:sz w:val="14"/>
                <w:szCs w:val="14"/>
              </w:rPr>
              <w:t>*****</w:t>
            </w:r>
          </w:p>
        </w:tc>
        <w:tc>
          <w:tcPr>
            <w:tcW w:w="1276"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91 999,93</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C4C4C4" w:fill="C6E0B4"/>
            <w:noWrap/>
            <w:vAlign w:val="center"/>
            <w:hideMark/>
          </w:tcPr>
          <w:p w:rsidR="000646B5" w:rsidRPr="000646B5" w:rsidRDefault="000646B5" w:rsidP="000646B5">
            <w:pPr>
              <w:rPr>
                <w:rFonts w:ascii="Calibri" w:hAnsi="Calibri" w:cs="Calibri"/>
                <w:b/>
                <w:bCs/>
                <w:color w:val="000000"/>
                <w:sz w:val="14"/>
                <w:szCs w:val="14"/>
              </w:rPr>
            </w:pPr>
            <w:r w:rsidRPr="000646B5">
              <w:rPr>
                <w:rFonts w:ascii="Calibri" w:hAnsi="Calibri" w:cs="Calibri"/>
                <w:b/>
                <w:bCs/>
                <w:color w:val="000000"/>
                <w:sz w:val="14"/>
                <w:szCs w:val="14"/>
              </w:rPr>
              <w:t>3XXX</w:t>
            </w:r>
          </w:p>
        </w:tc>
        <w:tc>
          <w:tcPr>
            <w:tcW w:w="3478" w:type="dxa"/>
            <w:tcBorders>
              <w:top w:val="nil"/>
              <w:left w:val="nil"/>
              <w:bottom w:val="single" w:sz="4" w:space="0" w:color="auto"/>
              <w:right w:val="single" w:sz="4" w:space="0" w:color="auto"/>
            </w:tcBorders>
            <w:shd w:val="clear" w:color="C4C4C4" w:fill="C6E0B4"/>
            <w:noWrap/>
            <w:vAlign w:val="center"/>
            <w:hideMark/>
          </w:tcPr>
          <w:p w:rsidR="000646B5" w:rsidRPr="000646B5" w:rsidRDefault="000646B5" w:rsidP="000646B5">
            <w:pPr>
              <w:rPr>
                <w:rFonts w:ascii="Calibri" w:hAnsi="Calibri" w:cs="Calibri"/>
                <w:b/>
                <w:bCs/>
                <w:color w:val="000000"/>
                <w:sz w:val="14"/>
                <w:szCs w:val="14"/>
              </w:rPr>
            </w:pPr>
            <w:r w:rsidRPr="000646B5">
              <w:rPr>
                <w:rFonts w:ascii="Calibri" w:hAnsi="Calibri" w:cs="Calibri"/>
                <w:b/>
                <w:bCs/>
                <w:color w:val="000000"/>
                <w:sz w:val="14"/>
                <w:szCs w:val="14"/>
              </w:rPr>
              <w:t>Kapitálové příjmy</w:t>
            </w:r>
          </w:p>
        </w:tc>
        <w:tc>
          <w:tcPr>
            <w:tcW w:w="1134" w:type="dxa"/>
            <w:tcBorders>
              <w:top w:val="nil"/>
              <w:left w:val="nil"/>
              <w:bottom w:val="single" w:sz="4" w:space="0" w:color="auto"/>
              <w:right w:val="single" w:sz="4" w:space="0" w:color="auto"/>
            </w:tcBorders>
            <w:shd w:val="clear" w:color="C4C4C4" w:fill="C6E0B4"/>
            <w:noWrap/>
            <w:vAlign w:val="center"/>
            <w:hideMark/>
          </w:tcPr>
          <w:p w:rsidR="000646B5" w:rsidRPr="000646B5" w:rsidRDefault="000646B5" w:rsidP="000646B5">
            <w:pPr>
              <w:jc w:val="right"/>
              <w:rPr>
                <w:rFonts w:ascii="Calibri" w:hAnsi="Calibri" w:cs="Calibri"/>
                <w:b/>
                <w:bCs/>
                <w:color w:val="000000"/>
                <w:sz w:val="14"/>
                <w:szCs w:val="14"/>
              </w:rPr>
            </w:pPr>
            <w:r w:rsidRPr="000646B5">
              <w:rPr>
                <w:rFonts w:ascii="Calibri" w:hAnsi="Calibri" w:cs="Calibri"/>
                <w:b/>
                <w:bCs/>
                <w:color w:val="000000"/>
                <w:sz w:val="14"/>
                <w:szCs w:val="14"/>
              </w:rPr>
              <w:t>4 740 148,00</w:t>
            </w:r>
          </w:p>
        </w:tc>
        <w:tc>
          <w:tcPr>
            <w:tcW w:w="1134" w:type="dxa"/>
            <w:tcBorders>
              <w:top w:val="nil"/>
              <w:left w:val="nil"/>
              <w:bottom w:val="single" w:sz="4" w:space="0" w:color="auto"/>
              <w:right w:val="single" w:sz="4" w:space="0" w:color="auto"/>
            </w:tcBorders>
            <w:shd w:val="clear" w:color="C4C4C4" w:fill="C6E0B4"/>
            <w:noWrap/>
            <w:vAlign w:val="center"/>
            <w:hideMark/>
          </w:tcPr>
          <w:p w:rsidR="000646B5" w:rsidRPr="000646B5" w:rsidRDefault="000646B5" w:rsidP="000646B5">
            <w:pPr>
              <w:jc w:val="right"/>
              <w:rPr>
                <w:rFonts w:ascii="Calibri" w:hAnsi="Calibri" w:cs="Calibri"/>
                <w:b/>
                <w:bCs/>
                <w:color w:val="000000"/>
                <w:sz w:val="14"/>
                <w:szCs w:val="14"/>
              </w:rPr>
            </w:pPr>
            <w:r w:rsidRPr="000646B5">
              <w:rPr>
                <w:rFonts w:ascii="Calibri" w:hAnsi="Calibri" w:cs="Calibri"/>
                <w:b/>
                <w:bCs/>
                <w:color w:val="000000"/>
                <w:sz w:val="14"/>
                <w:szCs w:val="14"/>
              </w:rPr>
              <w:t>5 103 947,93</w:t>
            </w:r>
          </w:p>
        </w:tc>
        <w:tc>
          <w:tcPr>
            <w:tcW w:w="709" w:type="dxa"/>
            <w:tcBorders>
              <w:top w:val="nil"/>
              <w:left w:val="nil"/>
              <w:bottom w:val="single" w:sz="4" w:space="0" w:color="auto"/>
              <w:right w:val="single" w:sz="4" w:space="0" w:color="auto"/>
            </w:tcBorders>
            <w:shd w:val="clear" w:color="C4C4C4" w:fill="C6E0B4"/>
            <w:noWrap/>
            <w:vAlign w:val="center"/>
            <w:hideMark/>
          </w:tcPr>
          <w:p w:rsidR="000646B5" w:rsidRPr="000646B5" w:rsidRDefault="000646B5" w:rsidP="000646B5">
            <w:pPr>
              <w:jc w:val="right"/>
              <w:rPr>
                <w:rFonts w:ascii="Calibri" w:hAnsi="Calibri" w:cs="Calibri"/>
                <w:b/>
                <w:bCs/>
                <w:color w:val="000000"/>
                <w:sz w:val="14"/>
                <w:szCs w:val="14"/>
              </w:rPr>
            </w:pPr>
            <w:r w:rsidRPr="000646B5">
              <w:rPr>
                <w:rFonts w:ascii="Calibri" w:hAnsi="Calibri" w:cs="Calibri"/>
                <w:b/>
                <w:bCs/>
                <w:color w:val="000000"/>
                <w:sz w:val="14"/>
                <w:szCs w:val="14"/>
              </w:rPr>
              <w:t>107,67 %</w:t>
            </w:r>
          </w:p>
        </w:tc>
        <w:tc>
          <w:tcPr>
            <w:tcW w:w="1276" w:type="dxa"/>
            <w:tcBorders>
              <w:top w:val="nil"/>
              <w:left w:val="nil"/>
              <w:bottom w:val="single" w:sz="4" w:space="0" w:color="auto"/>
              <w:right w:val="single" w:sz="4" w:space="0" w:color="auto"/>
            </w:tcBorders>
            <w:shd w:val="clear" w:color="C4C4C4" w:fill="C6E0B4"/>
            <w:noWrap/>
            <w:vAlign w:val="center"/>
            <w:hideMark/>
          </w:tcPr>
          <w:p w:rsidR="000646B5" w:rsidRPr="000646B5" w:rsidRDefault="000646B5" w:rsidP="000646B5">
            <w:pPr>
              <w:jc w:val="right"/>
              <w:rPr>
                <w:rFonts w:ascii="Calibri" w:hAnsi="Calibri" w:cs="Calibri"/>
                <w:b/>
                <w:bCs/>
                <w:color w:val="000000"/>
                <w:sz w:val="14"/>
                <w:szCs w:val="14"/>
              </w:rPr>
            </w:pPr>
            <w:r w:rsidRPr="000646B5">
              <w:rPr>
                <w:rFonts w:ascii="Calibri" w:hAnsi="Calibri" w:cs="Calibri"/>
                <w:b/>
                <w:bCs/>
                <w:color w:val="000000"/>
                <w:sz w:val="14"/>
                <w:szCs w:val="14"/>
              </w:rPr>
              <w:t>6 014 822,00</w:t>
            </w:r>
          </w:p>
        </w:tc>
        <w:tc>
          <w:tcPr>
            <w:tcW w:w="1134" w:type="dxa"/>
            <w:tcBorders>
              <w:top w:val="nil"/>
              <w:left w:val="nil"/>
              <w:bottom w:val="single" w:sz="4" w:space="0" w:color="auto"/>
              <w:right w:val="single" w:sz="4" w:space="0" w:color="auto"/>
            </w:tcBorders>
            <w:shd w:val="clear" w:color="C4C4C4" w:fill="C6E0B4"/>
            <w:noWrap/>
            <w:vAlign w:val="center"/>
            <w:hideMark/>
          </w:tcPr>
          <w:p w:rsidR="000646B5" w:rsidRPr="000646B5" w:rsidRDefault="000646B5" w:rsidP="000646B5">
            <w:pPr>
              <w:jc w:val="right"/>
              <w:rPr>
                <w:rFonts w:ascii="Calibri" w:hAnsi="Calibri" w:cs="Calibri"/>
                <w:b/>
                <w:bCs/>
                <w:color w:val="000000"/>
                <w:sz w:val="14"/>
                <w:szCs w:val="14"/>
              </w:rPr>
            </w:pPr>
            <w:r w:rsidRPr="000646B5">
              <w:rPr>
                <w:rFonts w:ascii="Calibri" w:hAnsi="Calibri" w:cs="Calibri"/>
                <w:b/>
                <w:bCs/>
                <w:color w:val="000000"/>
                <w:sz w:val="14"/>
                <w:szCs w:val="14"/>
              </w:rPr>
              <w:t>-910 874,07</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4111</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Neinvestiční přijaté transf.</w:t>
            </w:r>
            <w:r w:rsidR="00D23941">
              <w:rPr>
                <w:rFonts w:ascii="Calibri" w:hAnsi="Calibri" w:cs="Calibri"/>
                <w:color w:val="000000"/>
                <w:sz w:val="14"/>
                <w:szCs w:val="14"/>
              </w:rPr>
              <w:t xml:space="preserve"> </w:t>
            </w:r>
            <w:r w:rsidRPr="000646B5">
              <w:rPr>
                <w:rFonts w:ascii="Calibri" w:hAnsi="Calibri" w:cs="Calibri"/>
                <w:color w:val="000000"/>
                <w:sz w:val="14"/>
                <w:szCs w:val="14"/>
              </w:rPr>
              <w:t>z všeob.</w:t>
            </w:r>
            <w:r w:rsidR="00D23941">
              <w:rPr>
                <w:rFonts w:ascii="Calibri" w:hAnsi="Calibri" w:cs="Calibri"/>
                <w:color w:val="000000"/>
                <w:sz w:val="14"/>
                <w:szCs w:val="14"/>
              </w:rPr>
              <w:t xml:space="preserve"> </w:t>
            </w:r>
            <w:r w:rsidRPr="000646B5">
              <w:rPr>
                <w:rFonts w:ascii="Calibri" w:hAnsi="Calibri" w:cs="Calibri"/>
                <w:color w:val="000000"/>
                <w:sz w:val="14"/>
                <w:szCs w:val="14"/>
              </w:rPr>
              <w:t>pokl.</w:t>
            </w:r>
            <w:r w:rsidR="00D23941">
              <w:rPr>
                <w:rFonts w:ascii="Calibri" w:hAnsi="Calibri" w:cs="Calibri"/>
                <w:color w:val="000000"/>
                <w:sz w:val="14"/>
                <w:szCs w:val="14"/>
              </w:rPr>
              <w:t xml:space="preserve"> </w:t>
            </w:r>
            <w:r w:rsidRPr="000646B5">
              <w:rPr>
                <w:rFonts w:ascii="Calibri" w:hAnsi="Calibri" w:cs="Calibri"/>
                <w:color w:val="000000"/>
                <w:sz w:val="14"/>
                <w:szCs w:val="14"/>
              </w:rPr>
              <w:t>správy SR</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4 823 890,34</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4 823 890,34</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100,00 %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11 694 482,33</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-6 870 591,99</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lastRenderedPageBreak/>
              <w:t>4112</w:t>
            </w:r>
          </w:p>
        </w:tc>
        <w:tc>
          <w:tcPr>
            <w:tcW w:w="3478"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Neinv.</w:t>
            </w:r>
            <w:r w:rsidR="00D23941">
              <w:rPr>
                <w:rFonts w:ascii="Calibri" w:hAnsi="Calibri" w:cs="Calibri"/>
                <w:color w:val="000000"/>
                <w:sz w:val="14"/>
                <w:szCs w:val="14"/>
              </w:rPr>
              <w:t xml:space="preserve"> </w:t>
            </w:r>
            <w:r w:rsidRPr="000646B5">
              <w:rPr>
                <w:rFonts w:ascii="Calibri" w:hAnsi="Calibri" w:cs="Calibri"/>
                <w:color w:val="000000"/>
                <w:sz w:val="14"/>
                <w:szCs w:val="14"/>
              </w:rPr>
              <w:t>př.</w:t>
            </w:r>
            <w:r w:rsidR="00D23941">
              <w:rPr>
                <w:rFonts w:ascii="Calibri" w:hAnsi="Calibri" w:cs="Calibri"/>
                <w:color w:val="000000"/>
                <w:sz w:val="14"/>
                <w:szCs w:val="14"/>
              </w:rPr>
              <w:t xml:space="preserve"> </w:t>
            </w:r>
            <w:r w:rsidRPr="000646B5">
              <w:rPr>
                <w:rFonts w:ascii="Calibri" w:hAnsi="Calibri" w:cs="Calibri"/>
                <w:color w:val="000000"/>
                <w:sz w:val="14"/>
                <w:szCs w:val="14"/>
              </w:rPr>
              <w:t>transfery ze SR v rámci souhr.</w:t>
            </w:r>
            <w:r w:rsidR="00D23941">
              <w:rPr>
                <w:rFonts w:ascii="Calibri" w:hAnsi="Calibri" w:cs="Calibri"/>
                <w:color w:val="000000"/>
                <w:sz w:val="14"/>
                <w:szCs w:val="14"/>
              </w:rPr>
              <w:t xml:space="preserve"> </w:t>
            </w:r>
            <w:r w:rsidRPr="000646B5">
              <w:rPr>
                <w:rFonts w:ascii="Calibri" w:hAnsi="Calibri" w:cs="Calibri"/>
                <w:color w:val="000000"/>
                <w:sz w:val="14"/>
                <w:szCs w:val="14"/>
              </w:rPr>
              <w:t>dot.</w:t>
            </w:r>
            <w:r w:rsidR="00D23941">
              <w:rPr>
                <w:rFonts w:ascii="Calibri" w:hAnsi="Calibri" w:cs="Calibri"/>
                <w:color w:val="000000"/>
                <w:sz w:val="14"/>
                <w:szCs w:val="14"/>
              </w:rPr>
              <w:t xml:space="preserve"> </w:t>
            </w:r>
            <w:r w:rsidRPr="000646B5">
              <w:rPr>
                <w:rFonts w:ascii="Calibri" w:hAnsi="Calibri" w:cs="Calibri"/>
                <w:color w:val="000000"/>
                <w:sz w:val="14"/>
                <w:szCs w:val="14"/>
              </w:rPr>
              <w:t>vztahu</w:t>
            </w:r>
          </w:p>
        </w:tc>
        <w:tc>
          <w:tcPr>
            <w:tcW w:w="1134"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69 076 400,00</w:t>
            </w:r>
          </w:p>
        </w:tc>
        <w:tc>
          <w:tcPr>
            <w:tcW w:w="1134"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69 076 400,00</w:t>
            </w:r>
          </w:p>
        </w:tc>
        <w:tc>
          <w:tcPr>
            <w:tcW w:w="709"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100,00 %</w:t>
            </w:r>
          </w:p>
        </w:tc>
        <w:tc>
          <w:tcPr>
            <w:tcW w:w="1276"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69 197 200,00</w:t>
            </w:r>
          </w:p>
        </w:tc>
        <w:tc>
          <w:tcPr>
            <w:tcW w:w="1134"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-120 800,00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4116</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D23941">
            <w:pPr>
              <w:rPr>
                <w:rFonts w:ascii="Calibri" w:hAnsi="Calibri" w:cs="Calibri"/>
                <w:color w:val="000000"/>
                <w:sz w:val="14"/>
                <w:szCs w:val="14"/>
              </w:rPr>
            </w:pPr>
            <w:r w:rsidRPr="000646B5">
              <w:rPr>
                <w:rFonts w:ascii="Calibri" w:hAnsi="Calibri" w:cs="Calibri"/>
                <w:color w:val="000000"/>
                <w:sz w:val="14"/>
                <w:szCs w:val="14"/>
              </w:rPr>
              <w:t>Ostatní neinv</w:t>
            </w:r>
            <w:r w:rsidR="00D23941">
              <w:rPr>
                <w:rFonts w:ascii="Calibri" w:hAnsi="Calibri" w:cs="Calibri"/>
                <w:color w:val="000000"/>
                <w:sz w:val="14"/>
                <w:szCs w:val="14"/>
              </w:rPr>
              <w:t xml:space="preserve">estiční </w:t>
            </w:r>
            <w:r w:rsidRPr="000646B5">
              <w:rPr>
                <w:rFonts w:ascii="Calibri" w:hAnsi="Calibri" w:cs="Calibri"/>
                <w:color w:val="000000"/>
                <w:sz w:val="14"/>
                <w:szCs w:val="14"/>
              </w:rPr>
              <w:t>přijaté transfery ze st. rozpočtu</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25 881 769,00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25 881 769,00</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100,00 %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35 479 917,38</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-9 598 148,38</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4121</w:t>
            </w:r>
          </w:p>
        </w:tc>
        <w:tc>
          <w:tcPr>
            <w:tcW w:w="3478"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Neinvestiční přijaté transfery od obcí</w:t>
            </w:r>
          </w:p>
        </w:tc>
        <w:tc>
          <w:tcPr>
            <w:tcW w:w="1134"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1 010 000,00</w:t>
            </w:r>
          </w:p>
        </w:tc>
        <w:tc>
          <w:tcPr>
            <w:tcW w:w="1134"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964 630,00</w:t>
            </w:r>
          </w:p>
        </w:tc>
        <w:tc>
          <w:tcPr>
            <w:tcW w:w="709"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95,51 %</w:t>
            </w:r>
          </w:p>
        </w:tc>
        <w:tc>
          <w:tcPr>
            <w:tcW w:w="1276"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1 107 427,22</w:t>
            </w:r>
          </w:p>
        </w:tc>
        <w:tc>
          <w:tcPr>
            <w:tcW w:w="1134"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-142 797,22</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4122</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Neinvestiční přijaté transfery od krajů</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5 547 636,04</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5 441 424,04</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98,09 %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4 502 228,04</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939 196,00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4134</w:t>
            </w:r>
          </w:p>
        </w:tc>
        <w:tc>
          <w:tcPr>
            <w:tcW w:w="3478"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Převody z rozpočtových účtů</w:t>
            </w:r>
          </w:p>
        </w:tc>
        <w:tc>
          <w:tcPr>
            <w:tcW w:w="1134"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1 563 885 191,32</w:t>
            </w:r>
          </w:p>
        </w:tc>
        <w:tc>
          <w:tcPr>
            <w:tcW w:w="709"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w:t>
            </w:r>
          </w:p>
        </w:tc>
        <w:tc>
          <w:tcPr>
            <w:tcW w:w="1276"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1 223 516 156,16</w:t>
            </w:r>
          </w:p>
        </w:tc>
        <w:tc>
          <w:tcPr>
            <w:tcW w:w="1134"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340 369 035,16</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4213</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Investiční přijaté transfery ze státních fondů</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10 109 876,74</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-10 109 876,74</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4216</w:t>
            </w:r>
          </w:p>
        </w:tc>
        <w:tc>
          <w:tcPr>
            <w:tcW w:w="3478" w:type="dxa"/>
            <w:tcBorders>
              <w:top w:val="nil"/>
              <w:left w:val="nil"/>
              <w:bottom w:val="single" w:sz="4" w:space="0" w:color="auto"/>
              <w:right w:val="single" w:sz="4" w:space="0" w:color="auto"/>
            </w:tcBorders>
            <w:shd w:val="clear" w:color="000000" w:fill="D9D9D9"/>
            <w:noWrap/>
            <w:vAlign w:val="center"/>
            <w:hideMark/>
          </w:tcPr>
          <w:p w:rsidR="000646B5" w:rsidRPr="000646B5" w:rsidRDefault="00D23941" w:rsidP="000646B5">
            <w:pPr>
              <w:rPr>
                <w:rFonts w:ascii="Calibri" w:hAnsi="Calibri" w:cs="Calibri"/>
                <w:color w:val="000000"/>
                <w:sz w:val="14"/>
                <w:szCs w:val="14"/>
              </w:rPr>
            </w:pPr>
            <w:r>
              <w:rPr>
                <w:rFonts w:ascii="Calibri" w:hAnsi="Calibri" w:cs="Calibri"/>
                <w:color w:val="000000"/>
                <w:sz w:val="14"/>
                <w:szCs w:val="14"/>
              </w:rPr>
              <w:t xml:space="preserve">Ostatní investiční </w:t>
            </w:r>
            <w:r w:rsidR="000646B5" w:rsidRPr="000646B5">
              <w:rPr>
                <w:rFonts w:ascii="Calibri" w:hAnsi="Calibri" w:cs="Calibri"/>
                <w:color w:val="000000"/>
                <w:sz w:val="14"/>
                <w:szCs w:val="14"/>
              </w:rPr>
              <w:t>přijaté tr</w:t>
            </w:r>
            <w:r>
              <w:rPr>
                <w:rFonts w:ascii="Calibri" w:hAnsi="Calibri" w:cs="Calibri"/>
                <w:color w:val="000000"/>
                <w:sz w:val="14"/>
                <w:szCs w:val="14"/>
              </w:rPr>
              <w:t xml:space="preserve">ansfery </w:t>
            </w:r>
            <w:r w:rsidR="000646B5" w:rsidRPr="000646B5">
              <w:rPr>
                <w:rFonts w:ascii="Calibri" w:hAnsi="Calibri" w:cs="Calibri"/>
                <w:color w:val="000000"/>
                <w:sz w:val="14"/>
                <w:szCs w:val="14"/>
              </w:rPr>
              <w:t>ze státního rozpočtu</w:t>
            </w:r>
          </w:p>
        </w:tc>
        <w:tc>
          <w:tcPr>
            <w:tcW w:w="1134"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15 222 253,59</w:t>
            </w:r>
          </w:p>
        </w:tc>
        <w:tc>
          <w:tcPr>
            <w:tcW w:w="1134"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2 996 574,87</w:t>
            </w:r>
          </w:p>
        </w:tc>
        <w:tc>
          <w:tcPr>
            <w:tcW w:w="709"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19,69 %</w:t>
            </w:r>
          </w:p>
        </w:tc>
        <w:tc>
          <w:tcPr>
            <w:tcW w:w="1276"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12 436 408,15</w:t>
            </w:r>
          </w:p>
        </w:tc>
        <w:tc>
          <w:tcPr>
            <w:tcW w:w="1134"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-9 439 833,28</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4222</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Investiční přijaté transfery od krajů</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1 916 566,00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1 916 566,00</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100,00 %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2 302 755,46</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-386 189,46</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C4C4C4" w:fill="C6E0B4"/>
            <w:noWrap/>
            <w:vAlign w:val="center"/>
            <w:hideMark/>
          </w:tcPr>
          <w:p w:rsidR="000646B5" w:rsidRPr="000646B5" w:rsidRDefault="000646B5" w:rsidP="000646B5">
            <w:pPr>
              <w:rPr>
                <w:rFonts w:ascii="Calibri" w:hAnsi="Calibri" w:cs="Calibri"/>
                <w:b/>
                <w:bCs/>
                <w:color w:val="000000"/>
                <w:sz w:val="14"/>
                <w:szCs w:val="14"/>
              </w:rPr>
            </w:pPr>
            <w:r w:rsidRPr="000646B5">
              <w:rPr>
                <w:rFonts w:ascii="Calibri" w:hAnsi="Calibri" w:cs="Calibri"/>
                <w:b/>
                <w:bCs/>
                <w:color w:val="000000"/>
                <w:sz w:val="14"/>
                <w:szCs w:val="14"/>
              </w:rPr>
              <w:t>4XXX</w:t>
            </w:r>
          </w:p>
        </w:tc>
        <w:tc>
          <w:tcPr>
            <w:tcW w:w="3478" w:type="dxa"/>
            <w:tcBorders>
              <w:top w:val="nil"/>
              <w:left w:val="nil"/>
              <w:bottom w:val="single" w:sz="4" w:space="0" w:color="auto"/>
              <w:right w:val="single" w:sz="4" w:space="0" w:color="auto"/>
            </w:tcBorders>
            <w:shd w:val="clear" w:color="C4C4C4" w:fill="C6E0B4"/>
            <w:noWrap/>
            <w:vAlign w:val="center"/>
            <w:hideMark/>
          </w:tcPr>
          <w:p w:rsidR="000646B5" w:rsidRPr="000646B5" w:rsidRDefault="000646B5" w:rsidP="000646B5">
            <w:pPr>
              <w:rPr>
                <w:rFonts w:ascii="Calibri" w:hAnsi="Calibri" w:cs="Calibri"/>
                <w:b/>
                <w:bCs/>
                <w:color w:val="000000"/>
                <w:sz w:val="14"/>
                <w:szCs w:val="14"/>
              </w:rPr>
            </w:pPr>
            <w:r w:rsidRPr="000646B5">
              <w:rPr>
                <w:rFonts w:ascii="Calibri" w:hAnsi="Calibri" w:cs="Calibri"/>
                <w:b/>
                <w:bCs/>
                <w:color w:val="000000"/>
                <w:sz w:val="14"/>
                <w:szCs w:val="14"/>
              </w:rPr>
              <w:t>Přijaté transfery</w:t>
            </w:r>
          </w:p>
        </w:tc>
        <w:tc>
          <w:tcPr>
            <w:tcW w:w="1134" w:type="dxa"/>
            <w:tcBorders>
              <w:top w:val="nil"/>
              <w:left w:val="nil"/>
              <w:bottom w:val="single" w:sz="4" w:space="0" w:color="auto"/>
              <w:right w:val="single" w:sz="4" w:space="0" w:color="auto"/>
            </w:tcBorders>
            <w:shd w:val="clear" w:color="C4C4C4" w:fill="C6E0B4"/>
            <w:noWrap/>
            <w:vAlign w:val="center"/>
            <w:hideMark/>
          </w:tcPr>
          <w:p w:rsidR="000646B5" w:rsidRPr="000646B5" w:rsidRDefault="000646B5" w:rsidP="000646B5">
            <w:pPr>
              <w:jc w:val="right"/>
              <w:rPr>
                <w:rFonts w:ascii="Calibri" w:hAnsi="Calibri" w:cs="Calibri"/>
                <w:b/>
                <w:bCs/>
                <w:color w:val="000000"/>
                <w:sz w:val="14"/>
                <w:szCs w:val="14"/>
              </w:rPr>
            </w:pPr>
            <w:r w:rsidRPr="000646B5">
              <w:rPr>
                <w:rFonts w:ascii="Calibri" w:hAnsi="Calibri" w:cs="Calibri"/>
                <w:b/>
                <w:bCs/>
                <w:color w:val="000000"/>
                <w:sz w:val="14"/>
                <w:szCs w:val="14"/>
              </w:rPr>
              <w:t>123 478 514,97</w:t>
            </w:r>
          </w:p>
        </w:tc>
        <w:tc>
          <w:tcPr>
            <w:tcW w:w="1134" w:type="dxa"/>
            <w:tcBorders>
              <w:top w:val="nil"/>
              <w:left w:val="nil"/>
              <w:bottom w:val="single" w:sz="4" w:space="0" w:color="auto"/>
              <w:right w:val="single" w:sz="4" w:space="0" w:color="auto"/>
            </w:tcBorders>
            <w:shd w:val="clear" w:color="C4C4C4" w:fill="C6E0B4"/>
            <w:noWrap/>
            <w:vAlign w:val="center"/>
            <w:hideMark/>
          </w:tcPr>
          <w:p w:rsidR="000646B5" w:rsidRPr="000646B5" w:rsidRDefault="000646B5" w:rsidP="000646B5">
            <w:pPr>
              <w:jc w:val="right"/>
              <w:rPr>
                <w:rFonts w:ascii="Calibri" w:hAnsi="Calibri" w:cs="Calibri"/>
                <w:b/>
                <w:bCs/>
                <w:color w:val="000000"/>
                <w:sz w:val="14"/>
                <w:szCs w:val="14"/>
              </w:rPr>
            </w:pPr>
            <w:r w:rsidRPr="000646B5">
              <w:rPr>
                <w:rFonts w:ascii="Calibri" w:hAnsi="Calibri" w:cs="Calibri"/>
                <w:b/>
                <w:bCs/>
                <w:color w:val="000000"/>
                <w:sz w:val="14"/>
                <w:szCs w:val="14"/>
              </w:rPr>
              <w:t>1 674 986 445,57</w:t>
            </w:r>
          </w:p>
        </w:tc>
        <w:tc>
          <w:tcPr>
            <w:tcW w:w="709" w:type="dxa"/>
            <w:tcBorders>
              <w:top w:val="nil"/>
              <w:left w:val="nil"/>
              <w:bottom w:val="single" w:sz="4" w:space="0" w:color="auto"/>
              <w:right w:val="single" w:sz="4" w:space="0" w:color="auto"/>
            </w:tcBorders>
            <w:shd w:val="clear" w:color="C4C4C4" w:fill="C6E0B4"/>
            <w:noWrap/>
            <w:vAlign w:val="center"/>
            <w:hideMark/>
          </w:tcPr>
          <w:p w:rsidR="000646B5" w:rsidRPr="000646B5" w:rsidRDefault="000646B5" w:rsidP="000646B5">
            <w:pPr>
              <w:jc w:val="right"/>
              <w:rPr>
                <w:rFonts w:ascii="Calibri" w:hAnsi="Calibri" w:cs="Calibri"/>
                <w:b/>
                <w:bCs/>
                <w:color w:val="000000"/>
                <w:sz w:val="14"/>
                <w:szCs w:val="14"/>
              </w:rPr>
            </w:pPr>
            <w:r w:rsidRPr="009732D9">
              <w:rPr>
                <w:rFonts w:ascii="Calibri" w:hAnsi="Calibri" w:cs="Calibri"/>
                <w:b/>
                <w:bCs/>
                <w:color w:val="000000"/>
                <w:sz w:val="13"/>
                <w:szCs w:val="13"/>
              </w:rPr>
              <w:t>1356,50</w:t>
            </w:r>
            <w:r w:rsidRPr="000646B5">
              <w:rPr>
                <w:rFonts w:ascii="Calibri" w:hAnsi="Calibri" w:cs="Calibri"/>
                <w:b/>
                <w:bCs/>
                <w:color w:val="000000"/>
                <w:sz w:val="14"/>
                <w:szCs w:val="14"/>
              </w:rPr>
              <w:t xml:space="preserve"> %</w:t>
            </w:r>
          </w:p>
        </w:tc>
        <w:tc>
          <w:tcPr>
            <w:tcW w:w="1276" w:type="dxa"/>
            <w:tcBorders>
              <w:top w:val="nil"/>
              <w:left w:val="nil"/>
              <w:bottom w:val="single" w:sz="4" w:space="0" w:color="auto"/>
              <w:right w:val="single" w:sz="4" w:space="0" w:color="auto"/>
            </w:tcBorders>
            <w:shd w:val="clear" w:color="C4C4C4" w:fill="C6E0B4"/>
            <w:noWrap/>
            <w:vAlign w:val="center"/>
            <w:hideMark/>
          </w:tcPr>
          <w:p w:rsidR="000646B5" w:rsidRPr="000646B5" w:rsidRDefault="000646B5" w:rsidP="000646B5">
            <w:pPr>
              <w:jc w:val="right"/>
              <w:rPr>
                <w:rFonts w:ascii="Calibri" w:hAnsi="Calibri" w:cs="Calibri"/>
                <w:b/>
                <w:bCs/>
                <w:color w:val="000000"/>
                <w:sz w:val="14"/>
                <w:szCs w:val="14"/>
              </w:rPr>
            </w:pPr>
            <w:r w:rsidRPr="000646B5">
              <w:rPr>
                <w:rFonts w:ascii="Calibri" w:hAnsi="Calibri" w:cs="Calibri"/>
                <w:b/>
                <w:bCs/>
                <w:color w:val="000000"/>
                <w:sz w:val="14"/>
                <w:szCs w:val="14"/>
              </w:rPr>
              <w:t>1 370 346 451,48</w:t>
            </w:r>
          </w:p>
        </w:tc>
        <w:tc>
          <w:tcPr>
            <w:tcW w:w="1134" w:type="dxa"/>
            <w:tcBorders>
              <w:top w:val="nil"/>
              <w:left w:val="nil"/>
              <w:bottom w:val="single" w:sz="4" w:space="0" w:color="auto"/>
              <w:right w:val="single" w:sz="4" w:space="0" w:color="auto"/>
            </w:tcBorders>
            <w:shd w:val="clear" w:color="C4C4C4" w:fill="C6E0B4"/>
            <w:noWrap/>
            <w:vAlign w:val="center"/>
            <w:hideMark/>
          </w:tcPr>
          <w:p w:rsidR="000646B5" w:rsidRPr="000646B5" w:rsidRDefault="000646B5" w:rsidP="000646B5">
            <w:pPr>
              <w:jc w:val="right"/>
              <w:rPr>
                <w:rFonts w:ascii="Calibri" w:hAnsi="Calibri" w:cs="Calibri"/>
                <w:b/>
                <w:bCs/>
                <w:color w:val="000000"/>
                <w:sz w:val="14"/>
                <w:szCs w:val="14"/>
              </w:rPr>
            </w:pPr>
            <w:r w:rsidRPr="000646B5">
              <w:rPr>
                <w:rFonts w:ascii="Calibri" w:hAnsi="Calibri" w:cs="Calibri"/>
                <w:b/>
                <w:bCs/>
                <w:color w:val="000000"/>
                <w:sz w:val="14"/>
                <w:szCs w:val="14"/>
              </w:rPr>
              <w:t>304 639 994,09</w:t>
            </w:r>
          </w:p>
        </w:tc>
      </w:tr>
      <w:tr w:rsidR="000646B5" w:rsidRPr="000646B5" w:rsidTr="00D23941">
        <w:trPr>
          <w:trHeight w:val="272"/>
        </w:trPr>
        <w:tc>
          <w:tcPr>
            <w:tcW w:w="3964" w:type="dxa"/>
            <w:gridSpan w:val="2"/>
            <w:tcBorders>
              <w:top w:val="single" w:sz="4" w:space="0" w:color="auto"/>
              <w:left w:val="single" w:sz="4" w:space="0" w:color="auto"/>
              <w:bottom w:val="single" w:sz="4" w:space="0" w:color="auto"/>
              <w:right w:val="single" w:sz="4" w:space="0" w:color="auto"/>
            </w:tcBorders>
            <w:shd w:val="clear" w:color="63993F" w:fill="A9D08E"/>
            <w:noWrap/>
            <w:vAlign w:val="center"/>
            <w:hideMark/>
          </w:tcPr>
          <w:p w:rsidR="000646B5" w:rsidRPr="000646B5" w:rsidRDefault="000646B5" w:rsidP="000646B5">
            <w:pPr>
              <w:rPr>
                <w:rFonts w:ascii="Calibri" w:hAnsi="Calibri" w:cs="Calibri"/>
                <w:b/>
                <w:bCs/>
                <w:color w:val="000000"/>
                <w:sz w:val="14"/>
                <w:szCs w:val="14"/>
              </w:rPr>
            </w:pPr>
            <w:r w:rsidRPr="000646B5">
              <w:rPr>
                <w:rFonts w:ascii="Calibri" w:hAnsi="Calibri" w:cs="Calibri"/>
                <w:b/>
                <w:bCs/>
                <w:color w:val="000000"/>
                <w:sz w:val="14"/>
                <w:szCs w:val="14"/>
              </w:rPr>
              <w:t>PŘÍJMY CELKEM</w:t>
            </w:r>
          </w:p>
        </w:tc>
        <w:tc>
          <w:tcPr>
            <w:tcW w:w="1134" w:type="dxa"/>
            <w:tcBorders>
              <w:top w:val="nil"/>
              <w:left w:val="nil"/>
              <w:bottom w:val="single" w:sz="4" w:space="0" w:color="auto"/>
              <w:right w:val="single" w:sz="4" w:space="0" w:color="auto"/>
            </w:tcBorders>
            <w:shd w:val="clear" w:color="63993F" w:fill="A9D08E"/>
            <w:noWrap/>
            <w:vAlign w:val="center"/>
            <w:hideMark/>
          </w:tcPr>
          <w:p w:rsidR="000646B5" w:rsidRPr="000646B5" w:rsidRDefault="000646B5" w:rsidP="000646B5">
            <w:pPr>
              <w:jc w:val="right"/>
              <w:rPr>
                <w:rFonts w:ascii="Calibri" w:hAnsi="Calibri" w:cs="Calibri"/>
                <w:b/>
                <w:bCs/>
                <w:color w:val="000000"/>
                <w:sz w:val="14"/>
                <w:szCs w:val="14"/>
              </w:rPr>
            </w:pPr>
            <w:r w:rsidRPr="000646B5">
              <w:rPr>
                <w:rFonts w:ascii="Calibri" w:hAnsi="Calibri" w:cs="Calibri"/>
                <w:b/>
                <w:bCs/>
                <w:color w:val="000000"/>
                <w:sz w:val="14"/>
                <w:szCs w:val="14"/>
              </w:rPr>
              <w:t>1 047 299 050,93</w:t>
            </w:r>
          </w:p>
        </w:tc>
        <w:tc>
          <w:tcPr>
            <w:tcW w:w="1134" w:type="dxa"/>
            <w:tcBorders>
              <w:top w:val="nil"/>
              <w:left w:val="nil"/>
              <w:bottom w:val="single" w:sz="4" w:space="0" w:color="auto"/>
              <w:right w:val="single" w:sz="4" w:space="0" w:color="auto"/>
            </w:tcBorders>
            <w:shd w:val="clear" w:color="63993F" w:fill="A9D08E"/>
            <w:noWrap/>
            <w:vAlign w:val="center"/>
            <w:hideMark/>
          </w:tcPr>
          <w:p w:rsidR="000646B5" w:rsidRPr="000646B5" w:rsidRDefault="000646B5" w:rsidP="000646B5">
            <w:pPr>
              <w:jc w:val="right"/>
              <w:rPr>
                <w:rFonts w:ascii="Calibri" w:hAnsi="Calibri" w:cs="Calibri"/>
                <w:b/>
                <w:bCs/>
                <w:color w:val="000000"/>
                <w:sz w:val="14"/>
                <w:szCs w:val="14"/>
              </w:rPr>
            </w:pPr>
            <w:r w:rsidRPr="000646B5">
              <w:rPr>
                <w:rFonts w:ascii="Calibri" w:hAnsi="Calibri" w:cs="Calibri"/>
                <w:b/>
                <w:bCs/>
                <w:color w:val="000000"/>
                <w:sz w:val="14"/>
                <w:szCs w:val="14"/>
              </w:rPr>
              <w:t>2 832 555 544,97</w:t>
            </w:r>
          </w:p>
        </w:tc>
        <w:tc>
          <w:tcPr>
            <w:tcW w:w="709" w:type="dxa"/>
            <w:tcBorders>
              <w:top w:val="nil"/>
              <w:left w:val="nil"/>
              <w:bottom w:val="single" w:sz="4" w:space="0" w:color="auto"/>
              <w:right w:val="single" w:sz="4" w:space="0" w:color="auto"/>
            </w:tcBorders>
            <w:shd w:val="clear" w:color="63993F" w:fill="A9D08E"/>
            <w:noWrap/>
            <w:vAlign w:val="center"/>
            <w:hideMark/>
          </w:tcPr>
          <w:p w:rsidR="000646B5" w:rsidRPr="000646B5" w:rsidRDefault="000646B5" w:rsidP="000646B5">
            <w:pPr>
              <w:jc w:val="right"/>
              <w:rPr>
                <w:rFonts w:ascii="Calibri" w:hAnsi="Calibri" w:cs="Calibri"/>
                <w:b/>
                <w:bCs/>
                <w:color w:val="000000"/>
                <w:sz w:val="14"/>
                <w:szCs w:val="14"/>
              </w:rPr>
            </w:pPr>
            <w:r w:rsidRPr="000646B5">
              <w:rPr>
                <w:rFonts w:ascii="Calibri" w:hAnsi="Calibri" w:cs="Calibri"/>
                <w:b/>
                <w:bCs/>
                <w:color w:val="000000"/>
                <w:sz w:val="14"/>
                <w:szCs w:val="14"/>
              </w:rPr>
              <w:t>270,46 %</w:t>
            </w:r>
          </w:p>
        </w:tc>
        <w:tc>
          <w:tcPr>
            <w:tcW w:w="1276" w:type="dxa"/>
            <w:tcBorders>
              <w:top w:val="nil"/>
              <w:left w:val="nil"/>
              <w:bottom w:val="single" w:sz="4" w:space="0" w:color="auto"/>
              <w:right w:val="single" w:sz="4" w:space="0" w:color="auto"/>
            </w:tcBorders>
            <w:shd w:val="clear" w:color="63993F" w:fill="A9D08E"/>
            <w:noWrap/>
            <w:vAlign w:val="center"/>
            <w:hideMark/>
          </w:tcPr>
          <w:p w:rsidR="000646B5" w:rsidRPr="000646B5" w:rsidRDefault="000646B5" w:rsidP="000646B5">
            <w:pPr>
              <w:jc w:val="right"/>
              <w:rPr>
                <w:rFonts w:ascii="Calibri" w:hAnsi="Calibri" w:cs="Calibri"/>
                <w:b/>
                <w:bCs/>
                <w:color w:val="000000"/>
                <w:sz w:val="14"/>
                <w:szCs w:val="14"/>
              </w:rPr>
            </w:pPr>
            <w:r w:rsidRPr="000646B5">
              <w:rPr>
                <w:rFonts w:ascii="Calibri" w:hAnsi="Calibri" w:cs="Calibri"/>
                <w:b/>
                <w:bCs/>
                <w:color w:val="000000"/>
                <w:sz w:val="14"/>
                <w:szCs w:val="14"/>
              </w:rPr>
              <w:t>2 355 855 073,40</w:t>
            </w:r>
          </w:p>
        </w:tc>
        <w:tc>
          <w:tcPr>
            <w:tcW w:w="1134" w:type="dxa"/>
            <w:tcBorders>
              <w:top w:val="nil"/>
              <w:left w:val="nil"/>
              <w:bottom w:val="single" w:sz="4" w:space="0" w:color="auto"/>
              <w:right w:val="single" w:sz="4" w:space="0" w:color="auto"/>
            </w:tcBorders>
            <w:shd w:val="clear" w:color="63993F" w:fill="A9D08E"/>
            <w:noWrap/>
            <w:vAlign w:val="center"/>
            <w:hideMark/>
          </w:tcPr>
          <w:p w:rsidR="000646B5" w:rsidRPr="000646B5" w:rsidRDefault="000646B5" w:rsidP="000646B5">
            <w:pPr>
              <w:jc w:val="right"/>
              <w:rPr>
                <w:rFonts w:ascii="Calibri" w:hAnsi="Calibri" w:cs="Calibri"/>
                <w:b/>
                <w:bCs/>
                <w:color w:val="000000"/>
                <w:sz w:val="14"/>
                <w:szCs w:val="14"/>
              </w:rPr>
            </w:pPr>
            <w:r w:rsidRPr="000646B5">
              <w:rPr>
                <w:rFonts w:ascii="Calibri" w:hAnsi="Calibri" w:cs="Calibri"/>
                <w:b/>
                <w:bCs/>
                <w:color w:val="000000"/>
                <w:sz w:val="14"/>
                <w:szCs w:val="14"/>
              </w:rPr>
              <w:t>476 700 471,57</w:t>
            </w:r>
          </w:p>
        </w:tc>
      </w:tr>
      <w:tr w:rsidR="000646B5" w:rsidRPr="000646B5" w:rsidTr="00D23941">
        <w:trPr>
          <w:trHeight w:val="272"/>
        </w:trPr>
        <w:tc>
          <w:tcPr>
            <w:tcW w:w="3964" w:type="dxa"/>
            <w:gridSpan w:val="2"/>
            <w:tcBorders>
              <w:top w:val="single" w:sz="4" w:space="0" w:color="auto"/>
              <w:left w:val="single" w:sz="4" w:space="0" w:color="auto"/>
              <w:bottom w:val="single" w:sz="4" w:space="0" w:color="auto"/>
              <w:right w:val="single" w:sz="4" w:space="0" w:color="auto"/>
            </w:tcBorders>
            <w:shd w:val="clear" w:color="63993F" w:fill="70AD47"/>
            <w:noWrap/>
            <w:vAlign w:val="center"/>
            <w:hideMark/>
          </w:tcPr>
          <w:p w:rsidR="000646B5" w:rsidRPr="000646B5" w:rsidRDefault="000646B5" w:rsidP="000646B5">
            <w:pPr>
              <w:rPr>
                <w:rFonts w:ascii="Calibri" w:hAnsi="Calibri" w:cs="Calibri"/>
                <w:b/>
                <w:bCs/>
                <w:color w:val="000000"/>
                <w:sz w:val="14"/>
                <w:szCs w:val="14"/>
              </w:rPr>
            </w:pPr>
            <w:r w:rsidRPr="000646B5">
              <w:rPr>
                <w:rFonts w:ascii="Calibri" w:hAnsi="Calibri" w:cs="Calibri"/>
                <w:b/>
                <w:bCs/>
                <w:color w:val="000000"/>
                <w:sz w:val="14"/>
                <w:szCs w:val="14"/>
              </w:rPr>
              <w:t>PŘÍJMY CELKEM PO KONSOLIDACI</w:t>
            </w:r>
          </w:p>
        </w:tc>
        <w:tc>
          <w:tcPr>
            <w:tcW w:w="1134" w:type="dxa"/>
            <w:tcBorders>
              <w:top w:val="nil"/>
              <w:left w:val="nil"/>
              <w:bottom w:val="single" w:sz="4" w:space="0" w:color="auto"/>
              <w:right w:val="single" w:sz="4" w:space="0" w:color="auto"/>
            </w:tcBorders>
            <w:shd w:val="clear" w:color="63993F" w:fill="70AD47"/>
            <w:noWrap/>
            <w:vAlign w:val="center"/>
            <w:hideMark/>
          </w:tcPr>
          <w:p w:rsidR="000646B5" w:rsidRPr="000646B5" w:rsidRDefault="000646B5" w:rsidP="000646B5">
            <w:pPr>
              <w:jc w:val="right"/>
              <w:rPr>
                <w:rFonts w:ascii="Calibri" w:hAnsi="Calibri" w:cs="Calibri"/>
                <w:b/>
                <w:bCs/>
                <w:color w:val="000000"/>
                <w:sz w:val="14"/>
                <w:szCs w:val="14"/>
              </w:rPr>
            </w:pPr>
            <w:r w:rsidRPr="000646B5">
              <w:rPr>
                <w:rFonts w:ascii="Calibri" w:hAnsi="Calibri" w:cs="Calibri"/>
                <w:b/>
                <w:bCs/>
                <w:color w:val="000000"/>
                <w:sz w:val="14"/>
                <w:szCs w:val="14"/>
              </w:rPr>
              <w:t>1 047 299 050,93</w:t>
            </w:r>
          </w:p>
        </w:tc>
        <w:tc>
          <w:tcPr>
            <w:tcW w:w="1134" w:type="dxa"/>
            <w:tcBorders>
              <w:top w:val="nil"/>
              <w:left w:val="nil"/>
              <w:bottom w:val="single" w:sz="4" w:space="0" w:color="auto"/>
              <w:right w:val="single" w:sz="4" w:space="0" w:color="auto"/>
            </w:tcBorders>
            <w:shd w:val="clear" w:color="63993F" w:fill="70AD47"/>
            <w:noWrap/>
            <w:vAlign w:val="center"/>
            <w:hideMark/>
          </w:tcPr>
          <w:p w:rsidR="000646B5" w:rsidRPr="000646B5" w:rsidRDefault="000646B5" w:rsidP="000646B5">
            <w:pPr>
              <w:jc w:val="right"/>
              <w:rPr>
                <w:rFonts w:ascii="Calibri" w:hAnsi="Calibri" w:cs="Calibri"/>
                <w:b/>
                <w:bCs/>
                <w:color w:val="000000"/>
                <w:sz w:val="14"/>
                <w:szCs w:val="14"/>
              </w:rPr>
            </w:pPr>
            <w:r w:rsidRPr="000646B5">
              <w:rPr>
                <w:rFonts w:ascii="Calibri" w:hAnsi="Calibri" w:cs="Calibri"/>
                <w:b/>
                <w:bCs/>
                <w:color w:val="000000"/>
                <w:sz w:val="14"/>
                <w:szCs w:val="14"/>
              </w:rPr>
              <w:t>1 268 670 353,65</w:t>
            </w:r>
          </w:p>
        </w:tc>
        <w:tc>
          <w:tcPr>
            <w:tcW w:w="709" w:type="dxa"/>
            <w:tcBorders>
              <w:top w:val="nil"/>
              <w:left w:val="nil"/>
              <w:bottom w:val="single" w:sz="4" w:space="0" w:color="auto"/>
              <w:right w:val="single" w:sz="4" w:space="0" w:color="auto"/>
            </w:tcBorders>
            <w:shd w:val="clear" w:color="63993F" w:fill="70AD47"/>
            <w:noWrap/>
            <w:vAlign w:val="center"/>
            <w:hideMark/>
          </w:tcPr>
          <w:p w:rsidR="000646B5" w:rsidRPr="000646B5" w:rsidRDefault="000646B5" w:rsidP="000646B5">
            <w:pPr>
              <w:jc w:val="right"/>
              <w:rPr>
                <w:rFonts w:ascii="Calibri" w:hAnsi="Calibri" w:cs="Calibri"/>
                <w:b/>
                <w:bCs/>
                <w:color w:val="000000"/>
                <w:sz w:val="14"/>
                <w:szCs w:val="14"/>
              </w:rPr>
            </w:pPr>
            <w:r w:rsidRPr="000646B5">
              <w:rPr>
                <w:rFonts w:ascii="Calibri" w:hAnsi="Calibri" w:cs="Calibri"/>
                <w:b/>
                <w:bCs/>
                <w:color w:val="000000"/>
                <w:sz w:val="14"/>
                <w:szCs w:val="14"/>
              </w:rPr>
              <w:t>121,14 %</w:t>
            </w:r>
          </w:p>
        </w:tc>
        <w:tc>
          <w:tcPr>
            <w:tcW w:w="1276" w:type="dxa"/>
            <w:tcBorders>
              <w:top w:val="nil"/>
              <w:left w:val="nil"/>
              <w:bottom w:val="single" w:sz="4" w:space="0" w:color="auto"/>
              <w:right w:val="single" w:sz="4" w:space="0" w:color="auto"/>
            </w:tcBorders>
            <w:shd w:val="clear" w:color="63993F" w:fill="70AD47"/>
            <w:noWrap/>
            <w:vAlign w:val="center"/>
            <w:hideMark/>
          </w:tcPr>
          <w:p w:rsidR="000646B5" w:rsidRPr="000646B5" w:rsidRDefault="000646B5" w:rsidP="000646B5">
            <w:pPr>
              <w:jc w:val="right"/>
              <w:rPr>
                <w:rFonts w:ascii="Calibri" w:hAnsi="Calibri" w:cs="Calibri"/>
                <w:b/>
                <w:bCs/>
                <w:color w:val="000000"/>
                <w:sz w:val="14"/>
                <w:szCs w:val="14"/>
              </w:rPr>
            </w:pPr>
            <w:r w:rsidRPr="000646B5">
              <w:rPr>
                <w:rFonts w:ascii="Calibri" w:hAnsi="Calibri" w:cs="Calibri"/>
                <w:b/>
                <w:bCs/>
                <w:color w:val="000000"/>
                <w:sz w:val="14"/>
                <w:szCs w:val="14"/>
              </w:rPr>
              <w:t>1 132 338 917,24</w:t>
            </w:r>
          </w:p>
        </w:tc>
        <w:tc>
          <w:tcPr>
            <w:tcW w:w="1134" w:type="dxa"/>
            <w:tcBorders>
              <w:top w:val="nil"/>
              <w:left w:val="nil"/>
              <w:bottom w:val="single" w:sz="4" w:space="0" w:color="auto"/>
              <w:right w:val="single" w:sz="4" w:space="0" w:color="auto"/>
            </w:tcBorders>
            <w:shd w:val="clear" w:color="63993F" w:fill="70AD47"/>
            <w:noWrap/>
            <w:vAlign w:val="center"/>
            <w:hideMark/>
          </w:tcPr>
          <w:p w:rsidR="000646B5" w:rsidRPr="000646B5" w:rsidRDefault="000646B5" w:rsidP="000646B5">
            <w:pPr>
              <w:jc w:val="right"/>
              <w:rPr>
                <w:rFonts w:ascii="Calibri" w:hAnsi="Calibri" w:cs="Calibri"/>
                <w:b/>
                <w:bCs/>
                <w:color w:val="000000"/>
                <w:sz w:val="14"/>
                <w:szCs w:val="14"/>
              </w:rPr>
            </w:pPr>
            <w:r w:rsidRPr="000646B5">
              <w:rPr>
                <w:rFonts w:ascii="Calibri" w:hAnsi="Calibri" w:cs="Calibri"/>
                <w:b/>
                <w:bCs/>
                <w:color w:val="000000"/>
                <w:sz w:val="14"/>
                <w:szCs w:val="14"/>
              </w:rPr>
              <w:t>136 331 436,41</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5011</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Platy zaměst. v pr.</w:t>
            </w:r>
            <w:r w:rsidR="00D23941">
              <w:rPr>
                <w:rFonts w:ascii="Calibri" w:hAnsi="Calibri" w:cs="Calibri"/>
                <w:color w:val="000000"/>
                <w:sz w:val="14"/>
                <w:szCs w:val="14"/>
              </w:rPr>
              <w:t xml:space="preserve"> </w:t>
            </w:r>
            <w:r w:rsidRPr="000646B5">
              <w:rPr>
                <w:rFonts w:ascii="Calibri" w:hAnsi="Calibri" w:cs="Calibri"/>
                <w:color w:val="000000"/>
                <w:sz w:val="14"/>
                <w:szCs w:val="14"/>
              </w:rPr>
              <w:t>poměru vyjma zaměst. na služ.</w:t>
            </w:r>
            <w:r w:rsidR="00D23941">
              <w:rPr>
                <w:rFonts w:ascii="Calibri" w:hAnsi="Calibri" w:cs="Calibri"/>
                <w:color w:val="000000"/>
                <w:sz w:val="14"/>
                <w:szCs w:val="14"/>
              </w:rPr>
              <w:t xml:space="preserve"> </w:t>
            </w:r>
            <w:r w:rsidRPr="000646B5">
              <w:rPr>
                <w:rFonts w:ascii="Calibri" w:hAnsi="Calibri" w:cs="Calibri"/>
                <w:color w:val="000000"/>
                <w:sz w:val="14"/>
                <w:szCs w:val="14"/>
              </w:rPr>
              <w:t>m.</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189 491 091,01</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178 681 485,00</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94,30 %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170 925 114,00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7 756 371,00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5019</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Ostatní platy</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146 582,00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91 303,32</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62,29 %</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59 351,89</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31 951,43</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5021</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Ostatní osobní výdaje</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5 277 200,00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4 874 700,00</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92,37 %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4 287 732,00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586 968,00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5023</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Odměny členů zastupitelstva obcí a krajů</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12 000 000,00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10 178 946,00</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84,82 %</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9 792 598,00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386 348,00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5024</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Odstupné</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1 180 000,00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824 224,00</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69,85 %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824 224,00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5026</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Odchodné</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70 800,00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0,00 %</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248 413,00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-248 413,00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5031</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Povinné poj.na soc.</w:t>
            </w:r>
            <w:r w:rsidR="00D23941">
              <w:rPr>
                <w:rFonts w:ascii="Calibri" w:hAnsi="Calibri" w:cs="Calibri"/>
                <w:color w:val="000000"/>
                <w:sz w:val="14"/>
                <w:szCs w:val="14"/>
              </w:rPr>
              <w:t xml:space="preserve"> </w:t>
            </w:r>
            <w:r w:rsidRPr="000646B5">
              <w:rPr>
                <w:rFonts w:ascii="Calibri" w:hAnsi="Calibri" w:cs="Calibri"/>
                <w:color w:val="000000"/>
                <w:sz w:val="14"/>
                <w:szCs w:val="14"/>
              </w:rPr>
              <w:t>zab.</w:t>
            </w:r>
            <w:r w:rsidR="00D23941">
              <w:rPr>
                <w:rFonts w:ascii="Calibri" w:hAnsi="Calibri" w:cs="Calibri"/>
                <w:color w:val="000000"/>
                <w:sz w:val="14"/>
                <w:szCs w:val="14"/>
              </w:rPr>
              <w:t xml:space="preserve"> </w:t>
            </w:r>
            <w:r w:rsidRPr="000646B5">
              <w:rPr>
                <w:rFonts w:ascii="Calibri" w:hAnsi="Calibri" w:cs="Calibri"/>
                <w:color w:val="000000"/>
                <w:sz w:val="14"/>
                <w:szCs w:val="14"/>
              </w:rPr>
              <w:t>a přísp.na st.</w:t>
            </w:r>
            <w:r w:rsidR="00D23941">
              <w:rPr>
                <w:rFonts w:ascii="Calibri" w:hAnsi="Calibri" w:cs="Calibri"/>
                <w:color w:val="000000"/>
                <w:sz w:val="14"/>
                <w:szCs w:val="14"/>
              </w:rPr>
              <w:t xml:space="preserve"> </w:t>
            </w:r>
            <w:r w:rsidRPr="000646B5">
              <w:rPr>
                <w:rFonts w:ascii="Calibri" w:hAnsi="Calibri" w:cs="Calibri"/>
                <w:color w:val="000000"/>
                <w:sz w:val="14"/>
                <w:szCs w:val="14"/>
              </w:rPr>
              <w:t>pol.</w:t>
            </w:r>
            <w:r w:rsidR="00D23941">
              <w:rPr>
                <w:rFonts w:ascii="Calibri" w:hAnsi="Calibri" w:cs="Calibri"/>
                <w:color w:val="000000"/>
                <w:sz w:val="14"/>
                <w:szCs w:val="14"/>
              </w:rPr>
              <w:t xml:space="preserve"> </w:t>
            </w:r>
            <w:r w:rsidRPr="000646B5">
              <w:rPr>
                <w:rFonts w:ascii="Calibri" w:hAnsi="Calibri" w:cs="Calibri"/>
                <w:color w:val="000000"/>
                <w:sz w:val="14"/>
                <w:szCs w:val="14"/>
              </w:rPr>
              <w:t>zaměstnan</w:t>
            </w:r>
            <w:r w:rsidR="00D23941">
              <w:rPr>
                <w:rFonts w:ascii="Calibri" w:hAnsi="Calibri" w:cs="Calibri"/>
                <w:color w:val="000000"/>
                <w:sz w:val="14"/>
                <w:szCs w:val="14"/>
              </w:rPr>
              <w:t>osti</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49 275 886,78</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46 830 397,97</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95,04 %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44 885 445,10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1 944 952,87</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5032</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Povinné poj.na veřejné zdravotní pojištění</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17 677 651,97</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17 387 731,05</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98,36 %</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16 697 338,00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690 393,05</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5038</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Povinné pojistné na úrazové pojištění</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843 060,00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780 783,58</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92,61 %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766 334,35</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14 449,23</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5041</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Odměny za užití duševního vlastnictví</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4 977 113,00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4 850 025,68</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97,45 %</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2 685 550,51</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2 164 475,17</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5122</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Podlimitní věcná břemena</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69 315,00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69 315,00</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100,00 %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109 117,95</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-39 802,95</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5123</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Podlimitní technické zhodnocení</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217 200,00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116 794,31</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53,77 %</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20 676,00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96 118,31</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5131</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Potraviny</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475,00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468,00</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98,53 %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2 482,00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-2 014,00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5132</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Ochranné pomůcky</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418 032,00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416 662,33</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99,67 %</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368 688,64</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47 973,69</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5133</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Léky a zdravotnický materiál</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14 620,00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12 682,94</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86,75 %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189 166,80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-176 483,86</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5134</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Prádlo, oděv a obuv</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828 090,00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806 690,14</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97,42 %</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691 387,18</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115 302,96</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5136</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Knihy, učební pomůcky a tisk</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876 631,00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867 652,40</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98,98 %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451 713,00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415 939,40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5137</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Drobný hmotný dlouhodobý majetek</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4 453 985,36</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3 730 996,15</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83,77 %</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3 351 883,63</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379 112,52</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5138</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Nákup zboží (za účelem dalšího prodeje)</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50 000,00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49 868,97</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99,74 %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14 881,12</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34 987,85</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5139</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Nákup materiálu j.</w:t>
            </w:r>
            <w:r w:rsidR="002E388D">
              <w:rPr>
                <w:rFonts w:ascii="Calibri" w:hAnsi="Calibri" w:cs="Calibri"/>
                <w:color w:val="000000"/>
                <w:sz w:val="14"/>
                <w:szCs w:val="14"/>
              </w:rPr>
              <w:t xml:space="preserve"> </w:t>
            </w:r>
            <w:r w:rsidRPr="000646B5">
              <w:rPr>
                <w:rFonts w:ascii="Calibri" w:hAnsi="Calibri" w:cs="Calibri"/>
                <w:color w:val="000000"/>
                <w:sz w:val="14"/>
                <w:szCs w:val="14"/>
              </w:rPr>
              <w:t>n.</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6 741 831,00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6 029 577,81</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89,44 %</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5 256 409,98</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773 167,83</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5142</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Kursové rozdíly ve výdajích</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3 000,00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113,77</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3,79 %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1 139,03</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-1 025,26</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5151</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Studená voda</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9 446 219,70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8 609 184,42</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91,14 %</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8 651 856,37</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-42 671,95</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5152</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Teplo</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10 878 459,56</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10 878 459,56</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100,00 %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7 238 502,15</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3 639 957,41</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5153</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Plyn</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3 859 505,31</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3 621 434,80</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93,83 %</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2 340 725,05</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1 280 709,75</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5154</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Elektrická energie</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13 050 618,32</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11 169 875,38</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85,59 %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11 977 946,72</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-808 071,34</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5156</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Pohonné hmoty a maziva</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936 750,00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762 125,95</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81,36 %</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580 014,78</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182 111,17</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5157</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Teplá voda</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3 500 000,00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3 500 000,00</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100,00 %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1 278 740,54</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2 221 259,46</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5161</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Poštovní služby</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3 770 500,00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3 755 163,89</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99,59 %</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2 836 066,10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919 097,79</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5162</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Služby telekomunikací a radiokomunikací</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1 284 300,00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1 181 048,10</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91,96 %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1 205 370,89</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-24 322,79</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5163</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Služby peněžních ústavů</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4 972 352,00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3 390 048,68</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68,18 %</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3 477 690,43</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-87 641,75</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5164</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Nájemné</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2 505 608,00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2 329 762,17</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92,98 %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2 329 165,50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596,67</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5166</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Konzultační, poradenské a právní služby</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2 621 450,00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1 903 194,45</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72,60 %</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1 753 904,95</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149 289,50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5167</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Služby školení a vzdělávání</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2 580 270,00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2 530 855,10</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98,08 %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2 725 208,24</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-194 353,14</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5168</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Zpracování dat a služby souv. s inf. a kom.</w:t>
            </w:r>
            <w:r w:rsidR="00D23941">
              <w:rPr>
                <w:rFonts w:ascii="Calibri" w:hAnsi="Calibri" w:cs="Calibri"/>
                <w:color w:val="000000"/>
                <w:sz w:val="14"/>
                <w:szCs w:val="14"/>
              </w:rPr>
              <w:t xml:space="preserve"> </w:t>
            </w:r>
            <w:r w:rsidRPr="000646B5">
              <w:rPr>
                <w:rFonts w:ascii="Calibri" w:hAnsi="Calibri" w:cs="Calibri"/>
                <w:color w:val="000000"/>
                <w:sz w:val="14"/>
                <w:szCs w:val="14"/>
              </w:rPr>
              <w:t>technologiemi</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7 384 300,00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6 185 744,90</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83,77 %</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6 448 987,84</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-263 242,94</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5169</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Nákup ostatních služeb</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219 495 269,89</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212 419 268,34</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96,78 %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194 723 998,28</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17 695 270,06</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5171</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Opravy a udržování</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102 953 977,00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97 462 707,16</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94,67 %</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63 479 038,85</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33 983 668,31</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5172</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Programové vybavení</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536 682,74</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519 157,39</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96,73 %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412 703,06</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106 454,33</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lastRenderedPageBreak/>
              <w:t>5173</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 xml:space="preserve">Cestovné </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635 589,00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599 673,01</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94,35 %</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497 045,86</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102 627,15</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5175</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Pohoštění</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1 304 998,63</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1 178 385,55</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90,30 %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646 387,81</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531 997,74</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5179</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Ostatní nákupy j.n.</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4 707 360,00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3 276 171,58</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69,60 %</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3 213 792,12</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62 379,46</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5189</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Jistoty</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34 500,00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-34 500,00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5191</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Zaplacené sankce a odstupné</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6 000,00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4 022,00</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67,03 %</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4 022,00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5192</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Poskytnuté náhrady</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157 275,00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86 105,00</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54,75 %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45 601,10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40 503,90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5193</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Výdaje na dopravní územní obslužnost</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32 625 578,00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-32 625 578,00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5194</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Věcné dary</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339 419,00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264 093,20</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77,81 %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388 311,57</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-124 218,37</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5195</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Odvody za neplněn</w:t>
            </w:r>
            <w:r w:rsidR="00D23941">
              <w:rPr>
                <w:rFonts w:ascii="Calibri" w:hAnsi="Calibri" w:cs="Calibri"/>
                <w:color w:val="000000"/>
                <w:sz w:val="14"/>
                <w:szCs w:val="14"/>
              </w:rPr>
              <w:t>í povinn. zaměst. zdrav. postižené</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100 000,00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0,00 %</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5212</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Neinv.</w:t>
            </w:r>
            <w:r w:rsidR="00D23941">
              <w:rPr>
                <w:rFonts w:ascii="Calibri" w:hAnsi="Calibri" w:cs="Calibri"/>
                <w:color w:val="000000"/>
                <w:sz w:val="14"/>
                <w:szCs w:val="14"/>
              </w:rPr>
              <w:t xml:space="preserve"> </w:t>
            </w:r>
            <w:r w:rsidRPr="000646B5">
              <w:rPr>
                <w:rFonts w:ascii="Calibri" w:hAnsi="Calibri" w:cs="Calibri"/>
                <w:color w:val="000000"/>
                <w:sz w:val="14"/>
                <w:szCs w:val="14"/>
              </w:rPr>
              <w:t>transfery nefin.</w:t>
            </w:r>
            <w:r w:rsidR="00D23941">
              <w:rPr>
                <w:rFonts w:ascii="Calibri" w:hAnsi="Calibri" w:cs="Calibri"/>
                <w:color w:val="000000"/>
                <w:sz w:val="14"/>
                <w:szCs w:val="14"/>
              </w:rPr>
              <w:t xml:space="preserve"> </w:t>
            </w:r>
            <w:r w:rsidRPr="000646B5">
              <w:rPr>
                <w:rFonts w:ascii="Calibri" w:hAnsi="Calibri" w:cs="Calibri"/>
                <w:color w:val="000000"/>
                <w:sz w:val="14"/>
                <w:szCs w:val="14"/>
              </w:rPr>
              <w:t>podnik.</w:t>
            </w:r>
            <w:r w:rsidR="00D23941">
              <w:rPr>
                <w:rFonts w:ascii="Calibri" w:hAnsi="Calibri" w:cs="Calibri"/>
                <w:color w:val="000000"/>
                <w:sz w:val="14"/>
                <w:szCs w:val="14"/>
              </w:rPr>
              <w:t xml:space="preserve"> </w:t>
            </w:r>
            <w:r w:rsidRPr="000646B5">
              <w:rPr>
                <w:rFonts w:ascii="Calibri" w:hAnsi="Calibri" w:cs="Calibri"/>
                <w:color w:val="000000"/>
                <w:sz w:val="14"/>
                <w:szCs w:val="14"/>
              </w:rPr>
              <w:t>subjektům-fyz.</w:t>
            </w:r>
            <w:r w:rsidR="00D23941">
              <w:rPr>
                <w:rFonts w:ascii="Calibri" w:hAnsi="Calibri" w:cs="Calibri"/>
                <w:color w:val="000000"/>
                <w:sz w:val="14"/>
                <w:szCs w:val="14"/>
              </w:rPr>
              <w:t xml:space="preserve"> </w:t>
            </w:r>
            <w:r w:rsidRPr="000646B5">
              <w:rPr>
                <w:rFonts w:ascii="Calibri" w:hAnsi="Calibri" w:cs="Calibri"/>
                <w:color w:val="000000"/>
                <w:sz w:val="14"/>
                <w:szCs w:val="14"/>
              </w:rPr>
              <w:t>osobám</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248 000,00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173 000,00</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69,76 %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3 306 459,00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-3 133 459,00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5213</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Neinv.</w:t>
            </w:r>
            <w:r w:rsidR="00D23941">
              <w:rPr>
                <w:rFonts w:ascii="Calibri" w:hAnsi="Calibri" w:cs="Calibri"/>
                <w:color w:val="000000"/>
                <w:sz w:val="14"/>
                <w:szCs w:val="14"/>
              </w:rPr>
              <w:t xml:space="preserve"> </w:t>
            </w:r>
            <w:r w:rsidRPr="000646B5">
              <w:rPr>
                <w:rFonts w:ascii="Calibri" w:hAnsi="Calibri" w:cs="Calibri"/>
                <w:color w:val="000000"/>
                <w:sz w:val="14"/>
                <w:szCs w:val="14"/>
              </w:rPr>
              <w:t>transfery nefin.</w:t>
            </w:r>
            <w:r w:rsidR="00D23941">
              <w:rPr>
                <w:rFonts w:ascii="Calibri" w:hAnsi="Calibri" w:cs="Calibri"/>
                <w:color w:val="000000"/>
                <w:sz w:val="14"/>
                <w:szCs w:val="14"/>
              </w:rPr>
              <w:t xml:space="preserve"> </w:t>
            </w:r>
            <w:r w:rsidRPr="000646B5">
              <w:rPr>
                <w:rFonts w:ascii="Calibri" w:hAnsi="Calibri" w:cs="Calibri"/>
                <w:color w:val="000000"/>
                <w:sz w:val="14"/>
                <w:szCs w:val="14"/>
              </w:rPr>
              <w:t>podnik.</w:t>
            </w:r>
            <w:r w:rsidR="00D23941">
              <w:rPr>
                <w:rFonts w:ascii="Calibri" w:hAnsi="Calibri" w:cs="Calibri"/>
                <w:color w:val="000000"/>
                <w:sz w:val="14"/>
                <w:szCs w:val="14"/>
              </w:rPr>
              <w:t xml:space="preserve"> </w:t>
            </w:r>
            <w:r w:rsidRPr="000646B5">
              <w:rPr>
                <w:rFonts w:ascii="Calibri" w:hAnsi="Calibri" w:cs="Calibri"/>
                <w:color w:val="000000"/>
                <w:sz w:val="14"/>
                <w:szCs w:val="14"/>
              </w:rPr>
              <w:t>subjektům-práv.</w:t>
            </w:r>
            <w:r w:rsidR="00D23941">
              <w:rPr>
                <w:rFonts w:ascii="Calibri" w:hAnsi="Calibri" w:cs="Calibri"/>
                <w:color w:val="000000"/>
                <w:sz w:val="14"/>
                <w:szCs w:val="14"/>
              </w:rPr>
              <w:t xml:space="preserve"> </w:t>
            </w:r>
            <w:r w:rsidRPr="000646B5">
              <w:rPr>
                <w:rFonts w:ascii="Calibri" w:hAnsi="Calibri" w:cs="Calibri"/>
                <w:color w:val="000000"/>
                <w:sz w:val="14"/>
                <w:szCs w:val="14"/>
              </w:rPr>
              <w:t>osobám</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53 940 236,64</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53 940 236,64</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100,00 %</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19 035 696,06</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34 904 540,58</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5219</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Ostatní neinv.</w:t>
            </w:r>
            <w:r w:rsidR="00D23941">
              <w:rPr>
                <w:rFonts w:ascii="Calibri" w:hAnsi="Calibri" w:cs="Calibri"/>
                <w:color w:val="000000"/>
                <w:sz w:val="14"/>
                <w:szCs w:val="14"/>
              </w:rPr>
              <w:t xml:space="preserve"> </w:t>
            </w:r>
            <w:r w:rsidRPr="000646B5">
              <w:rPr>
                <w:rFonts w:ascii="Calibri" w:hAnsi="Calibri" w:cs="Calibri"/>
                <w:color w:val="000000"/>
                <w:sz w:val="14"/>
                <w:szCs w:val="14"/>
              </w:rPr>
              <w:t>transfery podnikatelským subjektům</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50 000,00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50 000,00</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100,00 %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50 000,00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5221</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Neinvest. transf. fundacím, ústavům a obecně prosp. sp.</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2 402 450,00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2 402 450,00</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100,00 %</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2 851 000,00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-448 550,00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5222</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Neinvestiční transfery spolkům</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21 445 062,00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21 420 907,00</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99,89 %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19 388 778,36</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2 032 128,64</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5223</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D23941">
            <w:pPr>
              <w:rPr>
                <w:rFonts w:ascii="Calibri" w:hAnsi="Calibri" w:cs="Calibri"/>
                <w:color w:val="000000"/>
                <w:sz w:val="14"/>
                <w:szCs w:val="14"/>
              </w:rPr>
            </w:pPr>
            <w:r w:rsidRPr="000646B5">
              <w:rPr>
                <w:rFonts w:ascii="Calibri" w:hAnsi="Calibri" w:cs="Calibri"/>
                <w:color w:val="000000"/>
                <w:sz w:val="14"/>
                <w:szCs w:val="14"/>
              </w:rPr>
              <w:t>Neinv.</w:t>
            </w:r>
            <w:r w:rsidR="00D23941">
              <w:rPr>
                <w:rFonts w:ascii="Calibri" w:hAnsi="Calibri" w:cs="Calibri"/>
                <w:color w:val="000000"/>
                <w:sz w:val="14"/>
                <w:szCs w:val="14"/>
              </w:rPr>
              <w:t xml:space="preserve"> </w:t>
            </w:r>
            <w:r w:rsidRPr="000646B5">
              <w:rPr>
                <w:rFonts w:ascii="Calibri" w:hAnsi="Calibri" w:cs="Calibri"/>
                <w:color w:val="000000"/>
                <w:sz w:val="14"/>
                <w:szCs w:val="14"/>
              </w:rPr>
              <w:t>transfery církvím a n</w:t>
            </w:r>
            <w:r w:rsidR="00D23941">
              <w:rPr>
                <w:rFonts w:ascii="Calibri" w:hAnsi="Calibri" w:cs="Calibri"/>
                <w:color w:val="000000"/>
                <w:sz w:val="14"/>
                <w:szCs w:val="14"/>
              </w:rPr>
              <w:t>á</w:t>
            </w:r>
            <w:r w:rsidRPr="000646B5">
              <w:rPr>
                <w:rFonts w:ascii="Calibri" w:hAnsi="Calibri" w:cs="Calibri"/>
                <w:color w:val="000000"/>
                <w:sz w:val="14"/>
                <w:szCs w:val="14"/>
              </w:rPr>
              <w:t>boženským společnostem</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2 212 000,00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2 212 000,00</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100,00 %</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3 264 674,00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-1 052 674,00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5229</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Ostatní neinv.</w:t>
            </w:r>
            <w:r w:rsidR="00D23941">
              <w:rPr>
                <w:rFonts w:ascii="Calibri" w:hAnsi="Calibri" w:cs="Calibri"/>
                <w:color w:val="000000"/>
                <w:sz w:val="14"/>
                <w:szCs w:val="14"/>
              </w:rPr>
              <w:t xml:space="preserve"> </w:t>
            </w:r>
            <w:r w:rsidRPr="000646B5">
              <w:rPr>
                <w:rFonts w:ascii="Calibri" w:hAnsi="Calibri" w:cs="Calibri"/>
                <w:color w:val="000000"/>
                <w:sz w:val="14"/>
                <w:szCs w:val="14"/>
              </w:rPr>
              <w:t>transfery nezisk.</w:t>
            </w:r>
            <w:r w:rsidR="00D23941">
              <w:rPr>
                <w:rFonts w:ascii="Calibri" w:hAnsi="Calibri" w:cs="Calibri"/>
                <w:color w:val="000000"/>
                <w:sz w:val="14"/>
                <w:szCs w:val="14"/>
              </w:rPr>
              <w:t xml:space="preserve"> </w:t>
            </w:r>
            <w:r w:rsidRPr="000646B5">
              <w:rPr>
                <w:rFonts w:ascii="Calibri" w:hAnsi="Calibri" w:cs="Calibri"/>
                <w:color w:val="000000"/>
                <w:sz w:val="14"/>
                <w:szCs w:val="14"/>
              </w:rPr>
              <w:t>a podob.</w:t>
            </w:r>
            <w:r w:rsidR="00D23941">
              <w:rPr>
                <w:rFonts w:ascii="Calibri" w:hAnsi="Calibri" w:cs="Calibri"/>
                <w:color w:val="000000"/>
                <w:sz w:val="14"/>
                <w:szCs w:val="14"/>
              </w:rPr>
              <w:t xml:space="preserve"> </w:t>
            </w:r>
            <w:r w:rsidRPr="000646B5">
              <w:rPr>
                <w:rFonts w:ascii="Calibri" w:hAnsi="Calibri" w:cs="Calibri"/>
                <w:color w:val="000000"/>
                <w:sz w:val="14"/>
                <w:szCs w:val="14"/>
              </w:rPr>
              <w:t>organizacím</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50 000,00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50 000,00</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100,00 %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50 000,00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5321</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Neinvestiční transfery obcím</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1 132 600,00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1 129 165,00</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99,70 %</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130 143,00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999 022,00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5323</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Neinvestiční transfery krajům</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1 500 000,00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-1 500 000,00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5331</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Neinvestiční příspěvky zřízeným příspěvkovým organ</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126 766 276,20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126 762 638,60</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100,00 %</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116 945 995,50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9 816 643,10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5336</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Neinvest.</w:t>
            </w:r>
            <w:r w:rsidR="00D23941">
              <w:rPr>
                <w:rFonts w:ascii="Calibri" w:hAnsi="Calibri" w:cs="Calibri"/>
                <w:color w:val="000000"/>
                <w:sz w:val="14"/>
                <w:szCs w:val="14"/>
              </w:rPr>
              <w:t xml:space="preserve"> </w:t>
            </w:r>
            <w:r w:rsidRPr="000646B5">
              <w:rPr>
                <w:rFonts w:ascii="Calibri" w:hAnsi="Calibri" w:cs="Calibri"/>
                <w:color w:val="000000"/>
                <w:sz w:val="14"/>
                <w:szCs w:val="14"/>
              </w:rPr>
              <w:t>transfery zřízeným příspěvkovým organizacím</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9 083 173,04</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8 976 961,04</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98,83 %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15 459 649,17</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-6 482 688,13</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5339</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Neinvestiční transfery cizím příspěvkovým organ.</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7 382 611,00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7 381 160,20</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99,98 %</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7 209 154,00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172 006,20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5342</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Základní příděl FKSP a sociálnímu fondu obcí a krajů</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7 001 520,00</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6 907 320,00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94 200,00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5345</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Převody vlastním rozpočtovým účtům</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1 556 883 671,32</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1 216 608 836,16</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340 274 835,16</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5361</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Nákup kolků</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32 690,00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23 060,00</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70,54 %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26 400,00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-3 340,00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5362</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Platby daní a poplatků státnímu rozpočtu</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36 260 000,00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30 799 668,41</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84,94 %</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37 751 202,81</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-6 951 534,40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5363</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Úhrady sankcí jiným rozpočtům</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200 000,00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37 075,50</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18,54 %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37 075,50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5364</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Vratky transferů poskytnutých z veřejných rozpočtů</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136 169,00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134 986,16</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99,13 %</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60 049,84</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74 936,32</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5365</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Platby daní a poplatků krajům, obcím a st.</w:t>
            </w:r>
            <w:r w:rsidR="00D23941">
              <w:rPr>
                <w:rFonts w:ascii="Calibri" w:hAnsi="Calibri" w:cs="Calibri"/>
                <w:color w:val="000000"/>
                <w:sz w:val="14"/>
                <w:szCs w:val="14"/>
              </w:rPr>
              <w:t xml:space="preserve"> </w:t>
            </w:r>
            <w:r w:rsidRPr="000646B5">
              <w:rPr>
                <w:rFonts w:ascii="Calibri" w:hAnsi="Calibri" w:cs="Calibri"/>
                <w:color w:val="000000"/>
                <w:sz w:val="14"/>
                <w:szCs w:val="14"/>
              </w:rPr>
              <w:t>fondům</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56 000,00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56 000,00</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100,00 %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71 000,00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-15 000,00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5366</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Výdaje z finanč. vypořádání mezi krajem a obcemi</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1 182,84</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1 182,84</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5424</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Náhrady mezd v době nemoci</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2 638 000,00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2 334 532,00</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88,50 %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1 987 022,00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347 510,00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5492</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Dary obyvatelstvu</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1 155 400,00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1 035 951,00</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89,66 %</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869 250,00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166 701,00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5493</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Účelové neinvestiční transfery fyzickým osobám</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1 307 000,00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1 193 991,54</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91,35 %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1 057 951,29</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136 040,25</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5499</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Ostatní neinvestiční transfery obyvatelstvu</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4 781 520,00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4 263 436,00</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89,16 %</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3 173 620,08</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1 089 815,92</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5621</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Neinv.</w:t>
            </w:r>
            <w:r w:rsidR="00D23941">
              <w:rPr>
                <w:rFonts w:ascii="Calibri" w:hAnsi="Calibri" w:cs="Calibri"/>
                <w:color w:val="000000"/>
                <w:sz w:val="14"/>
                <w:szCs w:val="14"/>
              </w:rPr>
              <w:t xml:space="preserve"> </w:t>
            </w:r>
            <w:r w:rsidRPr="000646B5">
              <w:rPr>
                <w:rFonts w:ascii="Calibri" w:hAnsi="Calibri" w:cs="Calibri"/>
                <w:color w:val="000000"/>
                <w:sz w:val="14"/>
                <w:szCs w:val="14"/>
              </w:rPr>
              <w:t>půjč.</w:t>
            </w:r>
            <w:r w:rsidR="00D23941">
              <w:rPr>
                <w:rFonts w:ascii="Calibri" w:hAnsi="Calibri" w:cs="Calibri"/>
                <w:color w:val="000000"/>
                <w:sz w:val="14"/>
                <w:szCs w:val="14"/>
              </w:rPr>
              <w:t xml:space="preserve"> </w:t>
            </w:r>
            <w:r w:rsidRPr="000646B5">
              <w:rPr>
                <w:rFonts w:ascii="Calibri" w:hAnsi="Calibri" w:cs="Calibri"/>
                <w:color w:val="000000"/>
                <w:sz w:val="14"/>
                <w:szCs w:val="14"/>
              </w:rPr>
              <w:t>pr.</w:t>
            </w:r>
            <w:r w:rsidR="00D23941">
              <w:rPr>
                <w:rFonts w:ascii="Calibri" w:hAnsi="Calibri" w:cs="Calibri"/>
                <w:color w:val="000000"/>
                <w:sz w:val="14"/>
                <w:szCs w:val="14"/>
              </w:rPr>
              <w:t xml:space="preserve"> </w:t>
            </w:r>
            <w:r w:rsidRPr="000646B5">
              <w:rPr>
                <w:rFonts w:ascii="Calibri" w:hAnsi="Calibri" w:cs="Calibri"/>
                <w:color w:val="000000"/>
                <w:sz w:val="14"/>
                <w:szCs w:val="14"/>
              </w:rPr>
              <w:t>fundacím, ústavům a obecně prosp.</w:t>
            </w:r>
            <w:r w:rsidR="00D23941">
              <w:rPr>
                <w:rFonts w:ascii="Calibri" w:hAnsi="Calibri" w:cs="Calibri"/>
                <w:color w:val="000000"/>
                <w:sz w:val="14"/>
                <w:szCs w:val="14"/>
              </w:rPr>
              <w:t xml:space="preserve"> </w:t>
            </w:r>
            <w:r w:rsidRPr="000646B5">
              <w:rPr>
                <w:rFonts w:ascii="Calibri" w:hAnsi="Calibri" w:cs="Calibri"/>
                <w:color w:val="000000"/>
                <w:sz w:val="14"/>
                <w:szCs w:val="14"/>
              </w:rPr>
              <w:t>sp.</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500 000,00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-500 000,00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5622</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Neinvestiční půjčené prostředky fondům</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5660</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Neinvestiční půjčené prostředky obyvatelstvu</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300 000,00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133 136,72</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44,38 %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258 633,00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-125 496,28</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5901</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Nespecifikované rezervy</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7 226 035,40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0,00 %</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5903</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Rezerva na krizová opatření</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200 000,00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5904</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Převody domněle neop.</w:t>
            </w:r>
            <w:r w:rsidR="00D23941">
              <w:rPr>
                <w:rFonts w:ascii="Calibri" w:hAnsi="Calibri" w:cs="Calibri"/>
                <w:color w:val="000000"/>
                <w:sz w:val="14"/>
                <w:szCs w:val="14"/>
              </w:rPr>
              <w:t xml:space="preserve"> použitých </w:t>
            </w:r>
            <w:r w:rsidRPr="000646B5">
              <w:rPr>
                <w:rFonts w:ascii="Calibri" w:hAnsi="Calibri" w:cs="Calibri"/>
                <w:color w:val="000000"/>
                <w:sz w:val="14"/>
                <w:szCs w:val="14"/>
              </w:rPr>
              <w:t>dotací zpět poskytovat.</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44 672,00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-44 672,00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5909</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Ostatní neinvestiční výdaje j.</w:t>
            </w:r>
            <w:r w:rsidR="002E388D">
              <w:rPr>
                <w:rFonts w:ascii="Calibri" w:hAnsi="Calibri" w:cs="Calibri"/>
                <w:color w:val="000000"/>
                <w:sz w:val="14"/>
                <w:szCs w:val="14"/>
              </w:rPr>
              <w:t xml:space="preserve"> </w:t>
            </w:r>
            <w:r w:rsidRPr="000646B5">
              <w:rPr>
                <w:rFonts w:ascii="Calibri" w:hAnsi="Calibri" w:cs="Calibri"/>
                <w:color w:val="000000"/>
                <w:sz w:val="14"/>
                <w:szCs w:val="14"/>
              </w:rPr>
              <w:t>n.</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2 581 901,50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439 031,41</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-439 031,41</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9D9D9" w:fill="C6E0B4"/>
            <w:noWrap/>
            <w:vAlign w:val="center"/>
            <w:hideMark/>
          </w:tcPr>
          <w:p w:rsidR="000646B5" w:rsidRPr="000646B5" w:rsidRDefault="000646B5" w:rsidP="000646B5">
            <w:pPr>
              <w:rPr>
                <w:rFonts w:ascii="Calibri" w:hAnsi="Calibri" w:cs="Calibri"/>
                <w:b/>
                <w:bCs/>
                <w:color w:val="000000"/>
                <w:sz w:val="14"/>
                <w:szCs w:val="14"/>
              </w:rPr>
            </w:pPr>
            <w:r w:rsidRPr="000646B5">
              <w:rPr>
                <w:rFonts w:ascii="Calibri" w:hAnsi="Calibri" w:cs="Calibri"/>
                <w:b/>
                <w:bCs/>
                <w:color w:val="000000"/>
                <w:sz w:val="14"/>
                <w:szCs w:val="14"/>
              </w:rPr>
              <w:t>5XXX</w:t>
            </w:r>
          </w:p>
        </w:tc>
        <w:tc>
          <w:tcPr>
            <w:tcW w:w="3478" w:type="dxa"/>
            <w:tcBorders>
              <w:top w:val="nil"/>
              <w:left w:val="nil"/>
              <w:bottom w:val="single" w:sz="4" w:space="0" w:color="auto"/>
              <w:right w:val="single" w:sz="4" w:space="0" w:color="auto"/>
            </w:tcBorders>
            <w:shd w:val="clear" w:color="D9D9D9" w:fill="C6E0B4"/>
            <w:noWrap/>
            <w:vAlign w:val="center"/>
            <w:hideMark/>
          </w:tcPr>
          <w:p w:rsidR="000646B5" w:rsidRPr="000646B5" w:rsidRDefault="000646B5" w:rsidP="000646B5">
            <w:pPr>
              <w:rPr>
                <w:rFonts w:ascii="Calibri" w:hAnsi="Calibri" w:cs="Calibri"/>
                <w:b/>
                <w:bCs/>
                <w:color w:val="000000"/>
                <w:sz w:val="14"/>
                <w:szCs w:val="14"/>
              </w:rPr>
            </w:pPr>
            <w:r w:rsidRPr="000646B5">
              <w:rPr>
                <w:rFonts w:ascii="Calibri" w:hAnsi="Calibri" w:cs="Calibri"/>
                <w:b/>
                <w:bCs/>
                <w:color w:val="000000"/>
                <w:sz w:val="14"/>
                <w:szCs w:val="14"/>
              </w:rPr>
              <w:t>Provozní výdaje</w:t>
            </w:r>
          </w:p>
        </w:tc>
        <w:tc>
          <w:tcPr>
            <w:tcW w:w="1134" w:type="dxa"/>
            <w:tcBorders>
              <w:top w:val="nil"/>
              <w:left w:val="nil"/>
              <w:bottom w:val="single" w:sz="4" w:space="0" w:color="auto"/>
              <w:right w:val="single" w:sz="4" w:space="0" w:color="auto"/>
            </w:tcBorders>
            <w:shd w:val="clear" w:color="D9D9D9" w:fill="C6E0B4"/>
            <w:noWrap/>
            <w:vAlign w:val="center"/>
            <w:hideMark/>
          </w:tcPr>
          <w:p w:rsidR="000646B5" w:rsidRPr="000646B5" w:rsidRDefault="000646B5" w:rsidP="000646B5">
            <w:pPr>
              <w:jc w:val="right"/>
              <w:rPr>
                <w:rFonts w:ascii="Calibri" w:hAnsi="Calibri" w:cs="Calibri"/>
                <w:b/>
                <w:bCs/>
                <w:color w:val="000000"/>
                <w:sz w:val="14"/>
                <w:szCs w:val="14"/>
              </w:rPr>
            </w:pPr>
            <w:r w:rsidRPr="000646B5">
              <w:rPr>
                <w:rFonts w:ascii="Calibri" w:hAnsi="Calibri" w:cs="Calibri"/>
                <w:b/>
                <w:bCs/>
                <w:color w:val="000000"/>
                <w:sz w:val="14"/>
                <w:szCs w:val="14"/>
              </w:rPr>
              <w:t>973 226 593,05</w:t>
            </w:r>
          </w:p>
        </w:tc>
        <w:tc>
          <w:tcPr>
            <w:tcW w:w="1134" w:type="dxa"/>
            <w:tcBorders>
              <w:top w:val="nil"/>
              <w:left w:val="nil"/>
              <w:bottom w:val="single" w:sz="4" w:space="0" w:color="auto"/>
              <w:right w:val="single" w:sz="4" w:space="0" w:color="auto"/>
            </w:tcBorders>
            <w:shd w:val="clear" w:color="D9D9D9" w:fill="C6E0B4"/>
            <w:noWrap/>
            <w:vAlign w:val="center"/>
            <w:hideMark/>
          </w:tcPr>
          <w:p w:rsidR="000646B5" w:rsidRPr="000646B5" w:rsidRDefault="000646B5" w:rsidP="000646B5">
            <w:pPr>
              <w:jc w:val="right"/>
              <w:rPr>
                <w:rFonts w:ascii="Calibri" w:hAnsi="Calibri" w:cs="Calibri"/>
                <w:b/>
                <w:bCs/>
                <w:color w:val="000000"/>
                <w:sz w:val="14"/>
                <w:szCs w:val="14"/>
              </w:rPr>
            </w:pPr>
            <w:r w:rsidRPr="000646B5">
              <w:rPr>
                <w:rFonts w:ascii="Calibri" w:hAnsi="Calibri" w:cs="Calibri"/>
                <w:b/>
                <w:bCs/>
                <w:color w:val="000000"/>
                <w:sz w:val="14"/>
                <w:szCs w:val="14"/>
              </w:rPr>
              <w:t>2 480 623 629,02</w:t>
            </w:r>
          </w:p>
        </w:tc>
        <w:tc>
          <w:tcPr>
            <w:tcW w:w="709" w:type="dxa"/>
            <w:tcBorders>
              <w:top w:val="nil"/>
              <w:left w:val="nil"/>
              <w:bottom w:val="single" w:sz="4" w:space="0" w:color="auto"/>
              <w:right w:val="single" w:sz="4" w:space="0" w:color="auto"/>
            </w:tcBorders>
            <w:shd w:val="clear" w:color="D9D9D9" w:fill="C6E0B4"/>
            <w:noWrap/>
            <w:vAlign w:val="center"/>
            <w:hideMark/>
          </w:tcPr>
          <w:p w:rsidR="000646B5" w:rsidRPr="000646B5" w:rsidRDefault="000646B5" w:rsidP="000646B5">
            <w:pPr>
              <w:jc w:val="right"/>
              <w:rPr>
                <w:rFonts w:ascii="Calibri" w:hAnsi="Calibri" w:cs="Calibri"/>
                <w:b/>
                <w:bCs/>
                <w:color w:val="000000"/>
                <w:sz w:val="14"/>
                <w:szCs w:val="14"/>
              </w:rPr>
            </w:pPr>
            <w:r w:rsidRPr="000646B5">
              <w:rPr>
                <w:rFonts w:ascii="Calibri" w:hAnsi="Calibri" w:cs="Calibri"/>
                <w:b/>
                <w:bCs/>
                <w:color w:val="000000"/>
                <w:sz w:val="14"/>
                <w:szCs w:val="14"/>
              </w:rPr>
              <w:t>254,89 %</w:t>
            </w:r>
          </w:p>
        </w:tc>
        <w:tc>
          <w:tcPr>
            <w:tcW w:w="1276" w:type="dxa"/>
            <w:tcBorders>
              <w:top w:val="nil"/>
              <w:left w:val="nil"/>
              <w:bottom w:val="single" w:sz="4" w:space="0" w:color="auto"/>
              <w:right w:val="single" w:sz="4" w:space="0" w:color="auto"/>
            </w:tcBorders>
            <w:shd w:val="clear" w:color="D9D9D9" w:fill="C6E0B4"/>
            <w:noWrap/>
            <w:vAlign w:val="center"/>
            <w:hideMark/>
          </w:tcPr>
          <w:p w:rsidR="000646B5" w:rsidRPr="000646B5" w:rsidRDefault="000646B5" w:rsidP="000646B5">
            <w:pPr>
              <w:jc w:val="right"/>
              <w:rPr>
                <w:rFonts w:ascii="Calibri" w:hAnsi="Calibri" w:cs="Calibri"/>
                <w:b/>
                <w:bCs/>
                <w:color w:val="000000"/>
                <w:sz w:val="14"/>
                <w:szCs w:val="14"/>
              </w:rPr>
            </w:pPr>
            <w:r w:rsidRPr="000646B5">
              <w:rPr>
                <w:rFonts w:ascii="Calibri" w:hAnsi="Calibri" w:cs="Calibri"/>
                <w:b/>
                <w:bCs/>
                <w:color w:val="000000"/>
                <w:sz w:val="14"/>
                <w:szCs w:val="14"/>
              </w:rPr>
              <w:t>2 068 663 096,07</w:t>
            </w:r>
          </w:p>
        </w:tc>
        <w:tc>
          <w:tcPr>
            <w:tcW w:w="1134" w:type="dxa"/>
            <w:tcBorders>
              <w:top w:val="nil"/>
              <w:left w:val="nil"/>
              <w:bottom w:val="single" w:sz="4" w:space="0" w:color="auto"/>
              <w:right w:val="single" w:sz="4" w:space="0" w:color="auto"/>
            </w:tcBorders>
            <w:shd w:val="clear" w:color="D9D9D9" w:fill="C6E0B4"/>
            <w:noWrap/>
            <w:vAlign w:val="center"/>
            <w:hideMark/>
          </w:tcPr>
          <w:p w:rsidR="000646B5" w:rsidRPr="000646B5" w:rsidRDefault="000646B5" w:rsidP="000646B5">
            <w:pPr>
              <w:jc w:val="right"/>
              <w:rPr>
                <w:rFonts w:ascii="Calibri" w:hAnsi="Calibri" w:cs="Calibri"/>
                <w:b/>
                <w:bCs/>
                <w:color w:val="000000"/>
                <w:sz w:val="14"/>
                <w:szCs w:val="14"/>
              </w:rPr>
            </w:pPr>
            <w:r w:rsidRPr="000646B5">
              <w:rPr>
                <w:rFonts w:ascii="Calibri" w:hAnsi="Calibri" w:cs="Calibri"/>
                <w:b/>
                <w:bCs/>
                <w:color w:val="000000"/>
                <w:sz w:val="14"/>
                <w:szCs w:val="14"/>
              </w:rPr>
              <w:t>411 960 532,95</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6111</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Programové vybavení</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4 825 161,00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1 013 009,58</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20,99 %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1 116 225,00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-103 215,42</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6119</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Ostatní nákupy dlouhodobého nehmotného majetku</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2 317 130,00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164 560,00</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7,10 %</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2 522 850,00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-2 358 290,00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6121</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Budovy, haly a stavby</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231 560 029,50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212 837 380,43</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91,91 %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206 936 112,91</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5 901 267,52</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6122</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Stroje, přístroje a zařízení</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16 778 754,00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4 734 231,75</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28,22 %</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8 257 667,85</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-3 523 436,10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6123</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Dopravní prostředky</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6 901 000,00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599 022,00</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8,68 %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1 943 716,04</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-1 344 694,04</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6125</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Výpočetní technika</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280 000,00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78 019,59</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27,86 %</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421 283,63</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-343 264,04</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6127</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Kulturní předměty</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150 000,00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147 500,00</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98,33 %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170 000,00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-22 500,00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lastRenderedPageBreak/>
              <w:t>6130</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Pozemky</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10 133 295,00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8 874 731,00</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87,58 %</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17 229 819,00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-8 355 088,00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6201</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Nákup akcií</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6212</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Vklady do nadačních fondů</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100 000,00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-100 000,00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6319</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Ostatní investiční transfery podnikatelům</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3 000 000,00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2 988 700,00</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99,62 %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2 988 700,00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6322</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Investiční transfery spolkům</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950 000,00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950 000,00</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100,00 %</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4 800 900,00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-3 850 900,00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6341</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Investiční transfery obcím</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500 000,00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-500 000,00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6342</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Investiční transfery krajům</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23 228 352,79</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-23 228 352,79</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6351</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Invest. transf.</w:t>
            </w:r>
            <w:r w:rsidR="00D23941">
              <w:rPr>
                <w:rFonts w:ascii="Calibri" w:hAnsi="Calibri" w:cs="Calibri"/>
                <w:color w:val="000000"/>
                <w:sz w:val="14"/>
                <w:szCs w:val="14"/>
              </w:rPr>
              <w:t xml:space="preserve"> </w:t>
            </w:r>
            <w:r w:rsidRPr="000646B5">
              <w:rPr>
                <w:rFonts w:ascii="Calibri" w:hAnsi="Calibri" w:cs="Calibri"/>
                <w:color w:val="000000"/>
                <w:sz w:val="14"/>
                <w:szCs w:val="14"/>
              </w:rPr>
              <w:t>zřízeným příspěvkovým organizacím</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4 494 485,80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4 494 485,80</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100,00 %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572 640,00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3 921 845,80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6356</w:t>
            </w:r>
          </w:p>
        </w:tc>
        <w:tc>
          <w:tcPr>
            <w:tcW w:w="3478"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Jiné invest.</w:t>
            </w:r>
            <w:r w:rsidR="00D23941">
              <w:rPr>
                <w:rFonts w:ascii="Calibri" w:hAnsi="Calibri" w:cs="Calibri"/>
                <w:color w:val="000000"/>
                <w:sz w:val="14"/>
                <w:szCs w:val="14"/>
              </w:rPr>
              <w:t xml:space="preserve"> </w:t>
            </w:r>
            <w:r w:rsidRPr="000646B5">
              <w:rPr>
                <w:rFonts w:ascii="Calibri" w:hAnsi="Calibri" w:cs="Calibri"/>
                <w:color w:val="000000"/>
                <w:sz w:val="14"/>
                <w:szCs w:val="14"/>
              </w:rPr>
              <w:t>transf.</w:t>
            </w:r>
            <w:r w:rsidR="00D23941">
              <w:rPr>
                <w:rFonts w:ascii="Calibri" w:hAnsi="Calibri" w:cs="Calibri"/>
                <w:color w:val="000000"/>
                <w:sz w:val="14"/>
                <w:szCs w:val="14"/>
              </w:rPr>
              <w:t xml:space="preserve"> </w:t>
            </w:r>
            <w:r w:rsidRPr="000646B5">
              <w:rPr>
                <w:rFonts w:ascii="Calibri" w:hAnsi="Calibri" w:cs="Calibri"/>
                <w:color w:val="000000"/>
                <w:sz w:val="14"/>
                <w:szCs w:val="14"/>
              </w:rPr>
              <w:t>zřízeným příspěv.</w:t>
            </w:r>
            <w:r w:rsidR="00D23941">
              <w:rPr>
                <w:rFonts w:ascii="Calibri" w:hAnsi="Calibri" w:cs="Calibri"/>
                <w:color w:val="000000"/>
                <w:sz w:val="14"/>
                <w:szCs w:val="14"/>
              </w:rPr>
              <w:t xml:space="preserve"> </w:t>
            </w:r>
            <w:r w:rsidRPr="000646B5">
              <w:rPr>
                <w:rFonts w:ascii="Calibri" w:hAnsi="Calibri" w:cs="Calibri"/>
                <w:color w:val="000000"/>
                <w:sz w:val="14"/>
                <w:szCs w:val="14"/>
              </w:rPr>
              <w:t>organizacím</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918 192,00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918 192,00</w:t>
            </w:r>
          </w:p>
        </w:tc>
        <w:tc>
          <w:tcPr>
            <w:tcW w:w="709"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100,00 %</w:t>
            </w:r>
          </w:p>
        </w:tc>
        <w:tc>
          <w:tcPr>
            <w:tcW w:w="1276"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143 631,00</w:t>
            </w:r>
          </w:p>
        </w:tc>
        <w:tc>
          <w:tcPr>
            <w:tcW w:w="1134" w:type="dxa"/>
            <w:tcBorders>
              <w:top w:val="nil"/>
              <w:left w:val="nil"/>
              <w:bottom w:val="single" w:sz="4" w:space="0" w:color="auto"/>
              <w:right w:val="single" w:sz="4" w:space="0" w:color="auto"/>
            </w:tcBorders>
            <w:shd w:val="clear" w:color="DBDBDB"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774 561,00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6359</w:t>
            </w:r>
          </w:p>
        </w:tc>
        <w:tc>
          <w:tcPr>
            <w:tcW w:w="3478" w:type="dxa"/>
            <w:tcBorders>
              <w:top w:val="nil"/>
              <w:left w:val="nil"/>
              <w:bottom w:val="single" w:sz="4" w:space="0" w:color="auto"/>
              <w:right w:val="single" w:sz="4" w:space="0" w:color="auto"/>
            </w:tcBorders>
            <w:shd w:val="clear" w:color="auto" w:fill="auto"/>
            <w:noWrap/>
            <w:vAlign w:val="center"/>
            <w:hideMark/>
          </w:tcPr>
          <w:p w:rsidR="000646B5" w:rsidRPr="000646B5" w:rsidRDefault="00D23941" w:rsidP="00D23941">
            <w:pPr>
              <w:rPr>
                <w:rFonts w:ascii="Calibri" w:hAnsi="Calibri" w:cs="Calibri"/>
                <w:color w:val="000000"/>
                <w:sz w:val="14"/>
                <w:szCs w:val="14"/>
              </w:rPr>
            </w:pPr>
            <w:r>
              <w:rPr>
                <w:rFonts w:ascii="Calibri" w:hAnsi="Calibri" w:cs="Calibri"/>
                <w:color w:val="000000"/>
                <w:sz w:val="14"/>
                <w:szCs w:val="14"/>
              </w:rPr>
              <w:t>Invest.</w:t>
            </w:r>
            <w:r w:rsidR="000646B5" w:rsidRPr="000646B5">
              <w:rPr>
                <w:rFonts w:ascii="Calibri" w:hAnsi="Calibri" w:cs="Calibri"/>
                <w:color w:val="000000"/>
                <w:sz w:val="14"/>
                <w:szCs w:val="14"/>
              </w:rPr>
              <w:t xml:space="preserve"> transf</w:t>
            </w:r>
            <w:r>
              <w:rPr>
                <w:rFonts w:ascii="Calibri" w:hAnsi="Calibri" w:cs="Calibri"/>
                <w:color w:val="000000"/>
                <w:sz w:val="14"/>
                <w:szCs w:val="14"/>
              </w:rPr>
              <w:t>ery příspěvkovým</w:t>
            </w:r>
            <w:r w:rsidR="000646B5" w:rsidRPr="000646B5">
              <w:rPr>
                <w:rFonts w:ascii="Calibri" w:hAnsi="Calibri" w:cs="Calibri"/>
                <w:color w:val="000000"/>
                <w:sz w:val="14"/>
                <w:szCs w:val="14"/>
              </w:rPr>
              <w:t xml:space="preserve"> organ. zříz.</w:t>
            </w:r>
            <w:r>
              <w:rPr>
                <w:rFonts w:ascii="Calibri" w:hAnsi="Calibri" w:cs="Calibri"/>
                <w:color w:val="000000"/>
                <w:sz w:val="14"/>
                <w:szCs w:val="14"/>
              </w:rPr>
              <w:t xml:space="preserve"> </w:t>
            </w:r>
            <w:r w:rsidR="000646B5" w:rsidRPr="000646B5">
              <w:rPr>
                <w:rFonts w:ascii="Calibri" w:hAnsi="Calibri" w:cs="Calibri"/>
                <w:color w:val="000000"/>
                <w:sz w:val="14"/>
                <w:szCs w:val="14"/>
              </w:rPr>
              <w:t>jin.</w:t>
            </w:r>
            <w:r>
              <w:rPr>
                <w:rFonts w:ascii="Calibri" w:hAnsi="Calibri" w:cs="Calibri"/>
                <w:color w:val="000000"/>
                <w:sz w:val="14"/>
                <w:szCs w:val="14"/>
              </w:rPr>
              <w:t xml:space="preserve"> </w:t>
            </w:r>
            <w:r w:rsidR="000646B5" w:rsidRPr="000646B5">
              <w:rPr>
                <w:rFonts w:ascii="Calibri" w:hAnsi="Calibri" w:cs="Calibri"/>
                <w:color w:val="000000"/>
                <w:sz w:val="14"/>
                <w:szCs w:val="14"/>
              </w:rPr>
              <w:t>zřiz</w:t>
            </w:r>
            <w:r>
              <w:rPr>
                <w:rFonts w:ascii="Calibri" w:hAnsi="Calibri" w:cs="Calibri"/>
                <w:color w:val="000000"/>
                <w:sz w:val="14"/>
                <w:szCs w:val="14"/>
              </w:rPr>
              <w:t>ovateli</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199 000,00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D9D9D9" w:fill="C6E0B4"/>
            <w:noWrap/>
            <w:vAlign w:val="center"/>
            <w:hideMark/>
          </w:tcPr>
          <w:p w:rsidR="000646B5" w:rsidRPr="000646B5" w:rsidRDefault="000646B5" w:rsidP="000646B5">
            <w:pPr>
              <w:rPr>
                <w:rFonts w:ascii="Calibri" w:hAnsi="Calibri" w:cs="Calibri"/>
                <w:b/>
                <w:bCs/>
                <w:color w:val="000000"/>
                <w:sz w:val="14"/>
                <w:szCs w:val="14"/>
              </w:rPr>
            </w:pPr>
            <w:r w:rsidRPr="000646B5">
              <w:rPr>
                <w:rFonts w:ascii="Calibri" w:hAnsi="Calibri" w:cs="Calibri"/>
                <w:b/>
                <w:bCs/>
                <w:color w:val="000000"/>
                <w:sz w:val="14"/>
                <w:szCs w:val="14"/>
              </w:rPr>
              <w:t>6XXX</w:t>
            </w:r>
          </w:p>
        </w:tc>
        <w:tc>
          <w:tcPr>
            <w:tcW w:w="3478" w:type="dxa"/>
            <w:tcBorders>
              <w:top w:val="nil"/>
              <w:left w:val="nil"/>
              <w:bottom w:val="single" w:sz="4" w:space="0" w:color="auto"/>
              <w:right w:val="single" w:sz="4" w:space="0" w:color="auto"/>
            </w:tcBorders>
            <w:shd w:val="clear" w:color="D9D9D9" w:fill="C6E0B4"/>
            <w:noWrap/>
            <w:vAlign w:val="center"/>
            <w:hideMark/>
          </w:tcPr>
          <w:p w:rsidR="000646B5" w:rsidRPr="000646B5" w:rsidRDefault="000646B5" w:rsidP="000646B5">
            <w:pPr>
              <w:rPr>
                <w:rFonts w:ascii="Calibri" w:hAnsi="Calibri" w:cs="Calibri"/>
                <w:b/>
                <w:bCs/>
                <w:color w:val="000000"/>
                <w:sz w:val="14"/>
                <w:szCs w:val="14"/>
              </w:rPr>
            </w:pPr>
            <w:r w:rsidRPr="000646B5">
              <w:rPr>
                <w:rFonts w:ascii="Calibri" w:hAnsi="Calibri" w:cs="Calibri"/>
                <w:b/>
                <w:bCs/>
                <w:color w:val="000000"/>
                <w:sz w:val="14"/>
                <w:szCs w:val="14"/>
              </w:rPr>
              <w:t>Kapitálové výdaje</w:t>
            </w:r>
          </w:p>
        </w:tc>
        <w:tc>
          <w:tcPr>
            <w:tcW w:w="1134" w:type="dxa"/>
            <w:tcBorders>
              <w:top w:val="nil"/>
              <w:left w:val="nil"/>
              <w:bottom w:val="single" w:sz="4" w:space="0" w:color="auto"/>
              <w:right w:val="single" w:sz="4" w:space="0" w:color="auto"/>
            </w:tcBorders>
            <w:shd w:val="clear" w:color="D9D9D9" w:fill="C6E0B4"/>
            <w:noWrap/>
            <w:vAlign w:val="center"/>
            <w:hideMark/>
          </w:tcPr>
          <w:p w:rsidR="000646B5" w:rsidRPr="000646B5" w:rsidRDefault="000646B5" w:rsidP="000646B5">
            <w:pPr>
              <w:jc w:val="right"/>
              <w:rPr>
                <w:rFonts w:ascii="Calibri" w:hAnsi="Calibri" w:cs="Calibri"/>
                <w:b/>
                <w:bCs/>
                <w:color w:val="000000"/>
                <w:sz w:val="14"/>
                <w:szCs w:val="14"/>
              </w:rPr>
            </w:pPr>
            <w:r w:rsidRPr="000646B5">
              <w:rPr>
                <w:rFonts w:ascii="Calibri" w:hAnsi="Calibri" w:cs="Calibri"/>
                <w:b/>
                <w:bCs/>
                <w:color w:val="000000"/>
                <w:sz w:val="14"/>
                <w:szCs w:val="14"/>
              </w:rPr>
              <w:t>282 507 047,30</w:t>
            </w:r>
          </w:p>
        </w:tc>
        <w:tc>
          <w:tcPr>
            <w:tcW w:w="1134" w:type="dxa"/>
            <w:tcBorders>
              <w:top w:val="nil"/>
              <w:left w:val="nil"/>
              <w:bottom w:val="single" w:sz="4" w:space="0" w:color="auto"/>
              <w:right w:val="single" w:sz="4" w:space="0" w:color="auto"/>
            </w:tcBorders>
            <w:shd w:val="clear" w:color="D9D9D9" w:fill="C6E0B4"/>
            <w:noWrap/>
            <w:vAlign w:val="center"/>
            <w:hideMark/>
          </w:tcPr>
          <w:p w:rsidR="000646B5" w:rsidRPr="000646B5" w:rsidRDefault="000646B5" w:rsidP="000646B5">
            <w:pPr>
              <w:jc w:val="right"/>
              <w:rPr>
                <w:rFonts w:ascii="Calibri" w:hAnsi="Calibri" w:cs="Calibri"/>
                <w:b/>
                <w:bCs/>
                <w:color w:val="000000"/>
                <w:sz w:val="14"/>
                <w:szCs w:val="14"/>
              </w:rPr>
            </w:pPr>
            <w:r w:rsidRPr="000646B5">
              <w:rPr>
                <w:rFonts w:ascii="Calibri" w:hAnsi="Calibri" w:cs="Calibri"/>
                <w:b/>
                <w:bCs/>
                <w:color w:val="000000"/>
                <w:sz w:val="14"/>
                <w:szCs w:val="14"/>
              </w:rPr>
              <w:t>237 799 832,15</w:t>
            </w:r>
          </w:p>
        </w:tc>
        <w:tc>
          <w:tcPr>
            <w:tcW w:w="709" w:type="dxa"/>
            <w:tcBorders>
              <w:top w:val="nil"/>
              <w:left w:val="nil"/>
              <w:bottom w:val="single" w:sz="4" w:space="0" w:color="auto"/>
              <w:right w:val="single" w:sz="4" w:space="0" w:color="auto"/>
            </w:tcBorders>
            <w:shd w:val="clear" w:color="D9D9D9" w:fill="C6E0B4"/>
            <w:noWrap/>
            <w:vAlign w:val="center"/>
            <w:hideMark/>
          </w:tcPr>
          <w:p w:rsidR="000646B5" w:rsidRPr="000646B5" w:rsidRDefault="000646B5" w:rsidP="000646B5">
            <w:pPr>
              <w:jc w:val="right"/>
              <w:rPr>
                <w:rFonts w:ascii="Calibri" w:hAnsi="Calibri" w:cs="Calibri"/>
                <w:b/>
                <w:bCs/>
                <w:color w:val="000000"/>
                <w:sz w:val="14"/>
                <w:szCs w:val="14"/>
              </w:rPr>
            </w:pPr>
            <w:r w:rsidRPr="000646B5">
              <w:rPr>
                <w:rFonts w:ascii="Calibri" w:hAnsi="Calibri" w:cs="Calibri"/>
                <w:b/>
                <w:bCs/>
                <w:color w:val="000000"/>
                <w:sz w:val="14"/>
                <w:szCs w:val="14"/>
              </w:rPr>
              <w:t>84,17 %</w:t>
            </w:r>
          </w:p>
        </w:tc>
        <w:tc>
          <w:tcPr>
            <w:tcW w:w="1276" w:type="dxa"/>
            <w:tcBorders>
              <w:top w:val="nil"/>
              <w:left w:val="nil"/>
              <w:bottom w:val="single" w:sz="4" w:space="0" w:color="auto"/>
              <w:right w:val="single" w:sz="4" w:space="0" w:color="auto"/>
            </w:tcBorders>
            <w:shd w:val="clear" w:color="D9D9D9" w:fill="C6E0B4"/>
            <w:noWrap/>
            <w:vAlign w:val="center"/>
            <w:hideMark/>
          </w:tcPr>
          <w:p w:rsidR="000646B5" w:rsidRPr="000646B5" w:rsidRDefault="000646B5" w:rsidP="000646B5">
            <w:pPr>
              <w:jc w:val="right"/>
              <w:rPr>
                <w:rFonts w:ascii="Calibri" w:hAnsi="Calibri" w:cs="Calibri"/>
                <w:b/>
                <w:bCs/>
                <w:color w:val="000000"/>
                <w:sz w:val="14"/>
                <w:szCs w:val="14"/>
              </w:rPr>
            </w:pPr>
            <w:r w:rsidRPr="000646B5">
              <w:rPr>
                <w:rFonts w:ascii="Calibri" w:hAnsi="Calibri" w:cs="Calibri"/>
                <w:b/>
                <w:bCs/>
                <w:color w:val="000000"/>
                <w:sz w:val="14"/>
                <w:szCs w:val="14"/>
              </w:rPr>
              <w:t>267 943 198,22</w:t>
            </w:r>
          </w:p>
        </w:tc>
        <w:tc>
          <w:tcPr>
            <w:tcW w:w="1134" w:type="dxa"/>
            <w:tcBorders>
              <w:top w:val="nil"/>
              <w:left w:val="nil"/>
              <w:bottom w:val="single" w:sz="4" w:space="0" w:color="auto"/>
              <w:right w:val="single" w:sz="4" w:space="0" w:color="auto"/>
            </w:tcBorders>
            <w:shd w:val="clear" w:color="D9D9D9" w:fill="C6E0B4"/>
            <w:noWrap/>
            <w:vAlign w:val="center"/>
            <w:hideMark/>
          </w:tcPr>
          <w:p w:rsidR="000646B5" w:rsidRPr="000646B5" w:rsidRDefault="000646B5" w:rsidP="000646B5">
            <w:pPr>
              <w:jc w:val="right"/>
              <w:rPr>
                <w:rFonts w:ascii="Calibri" w:hAnsi="Calibri" w:cs="Calibri"/>
                <w:b/>
                <w:bCs/>
                <w:color w:val="000000"/>
                <w:sz w:val="14"/>
                <w:szCs w:val="14"/>
              </w:rPr>
            </w:pPr>
            <w:r w:rsidRPr="000646B5">
              <w:rPr>
                <w:rFonts w:ascii="Calibri" w:hAnsi="Calibri" w:cs="Calibri"/>
                <w:b/>
                <w:bCs/>
                <w:color w:val="000000"/>
                <w:sz w:val="14"/>
                <w:szCs w:val="14"/>
              </w:rPr>
              <w:t>-30 143 366,07</w:t>
            </w:r>
          </w:p>
        </w:tc>
      </w:tr>
      <w:tr w:rsidR="000646B5" w:rsidRPr="000646B5" w:rsidTr="00D23941">
        <w:trPr>
          <w:trHeight w:val="272"/>
        </w:trPr>
        <w:tc>
          <w:tcPr>
            <w:tcW w:w="3964" w:type="dxa"/>
            <w:gridSpan w:val="2"/>
            <w:tcBorders>
              <w:top w:val="single" w:sz="4" w:space="0" w:color="auto"/>
              <w:left w:val="single" w:sz="4" w:space="0" w:color="auto"/>
              <w:bottom w:val="single" w:sz="4" w:space="0" w:color="auto"/>
              <w:right w:val="single" w:sz="4" w:space="0" w:color="auto"/>
            </w:tcBorders>
            <w:shd w:val="clear" w:color="C4D79B" w:fill="A9D18E"/>
            <w:noWrap/>
            <w:vAlign w:val="center"/>
            <w:hideMark/>
          </w:tcPr>
          <w:p w:rsidR="000646B5" w:rsidRPr="000646B5" w:rsidRDefault="000646B5" w:rsidP="000646B5">
            <w:pPr>
              <w:rPr>
                <w:rFonts w:ascii="Calibri" w:hAnsi="Calibri" w:cs="Calibri"/>
                <w:b/>
                <w:bCs/>
                <w:color w:val="000000"/>
                <w:sz w:val="14"/>
                <w:szCs w:val="14"/>
              </w:rPr>
            </w:pPr>
            <w:r w:rsidRPr="000646B5">
              <w:rPr>
                <w:rFonts w:ascii="Calibri" w:hAnsi="Calibri" w:cs="Calibri"/>
                <w:b/>
                <w:bCs/>
                <w:color w:val="000000"/>
                <w:sz w:val="14"/>
                <w:szCs w:val="14"/>
              </w:rPr>
              <w:t>VÝDAJE CELKEM</w:t>
            </w:r>
          </w:p>
        </w:tc>
        <w:tc>
          <w:tcPr>
            <w:tcW w:w="1134" w:type="dxa"/>
            <w:tcBorders>
              <w:top w:val="nil"/>
              <w:left w:val="nil"/>
              <w:bottom w:val="single" w:sz="4" w:space="0" w:color="auto"/>
              <w:right w:val="single" w:sz="4" w:space="0" w:color="auto"/>
            </w:tcBorders>
            <w:shd w:val="clear" w:color="C4D79B" w:fill="A9D18E"/>
            <w:noWrap/>
            <w:vAlign w:val="center"/>
            <w:hideMark/>
          </w:tcPr>
          <w:p w:rsidR="000646B5" w:rsidRPr="000646B5" w:rsidRDefault="000646B5" w:rsidP="000646B5">
            <w:pPr>
              <w:jc w:val="right"/>
              <w:rPr>
                <w:rFonts w:ascii="Calibri" w:hAnsi="Calibri" w:cs="Calibri"/>
                <w:b/>
                <w:bCs/>
                <w:color w:val="000000"/>
                <w:sz w:val="14"/>
                <w:szCs w:val="14"/>
              </w:rPr>
            </w:pPr>
            <w:r w:rsidRPr="000646B5">
              <w:rPr>
                <w:rFonts w:ascii="Calibri" w:hAnsi="Calibri" w:cs="Calibri"/>
                <w:b/>
                <w:bCs/>
                <w:color w:val="000000"/>
                <w:sz w:val="14"/>
                <w:szCs w:val="14"/>
              </w:rPr>
              <w:t>1 255 733 640,35</w:t>
            </w:r>
          </w:p>
        </w:tc>
        <w:tc>
          <w:tcPr>
            <w:tcW w:w="1134" w:type="dxa"/>
            <w:tcBorders>
              <w:top w:val="nil"/>
              <w:left w:val="nil"/>
              <w:bottom w:val="single" w:sz="4" w:space="0" w:color="auto"/>
              <w:right w:val="single" w:sz="4" w:space="0" w:color="auto"/>
            </w:tcBorders>
            <w:shd w:val="clear" w:color="C4D79B" w:fill="A9D18E"/>
            <w:noWrap/>
            <w:vAlign w:val="center"/>
            <w:hideMark/>
          </w:tcPr>
          <w:p w:rsidR="000646B5" w:rsidRPr="000646B5" w:rsidRDefault="000646B5" w:rsidP="000646B5">
            <w:pPr>
              <w:jc w:val="right"/>
              <w:rPr>
                <w:rFonts w:ascii="Calibri" w:hAnsi="Calibri" w:cs="Calibri"/>
                <w:b/>
                <w:bCs/>
                <w:color w:val="000000"/>
                <w:sz w:val="14"/>
                <w:szCs w:val="14"/>
              </w:rPr>
            </w:pPr>
            <w:r w:rsidRPr="000646B5">
              <w:rPr>
                <w:rFonts w:ascii="Calibri" w:hAnsi="Calibri" w:cs="Calibri"/>
                <w:b/>
                <w:bCs/>
                <w:color w:val="000000"/>
                <w:sz w:val="14"/>
                <w:szCs w:val="14"/>
              </w:rPr>
              <w:t>2 718 423 461,17</w:t>
            </w:r>
          </w:p>
        </w:tc>
        <w:tc>
          <w:tcPr>
            <w:tcW w:w="709" w:type="dxa"/>
            <w:tcBorders>
              <w:top w:val="nil"/>
              <w:left w:val="nil"/>
              <w:bottom w:val="single" w:sz="4" w:space="0" w:color="auto"/>
              <w:right w:val="single" w:sz="4" w:space="0" w:color="auto"/>
            </w:tcBorders>
            <w:shd w:val="clear" w:color="C4D79B" w:fill="A9D18E"/>
            <w:noWrap/>
            <w:vAlign w:val="center"/>
            <w:hideMark/>
          </w:tcPr>
          <w:p w:rsidR="000646B5" w:rsidRPr="000646B5" w:rsidRDefault="000646B5" w:rsidP="000646B5">
            <w:pPr>
              <w:jc w:val="right"/>
              <w:rPr>
                <w:rFonts w:ascii="Calibri" w:hAnsi="Calibri" w:cs="Calibri"/>
                <w:b/>
                <w:bCs/>
                <w:color w:val="000000"/>
                <w:sz w:val="14"/>
                <w:szCs w:val="14"/>
              </w:rPr>
            </w:pPr>
            <w:r w:rsidRPr="000646B5">
              <w:rPr>
                <w:rFonts w:ascii="Calibri" w:hAnsi="Calibri" w:cs="Calibri"/>
                <w:b/>
                <w:bCs/>
                <w:color w:val="000000"/>
                <w:sz w:val="14"/>
                <w:szCs w:val="14"/>
              </w:rPr>
              <w:t>216,48 %</w:t>
            </w:r>
          </w:p>
        </w:tc>
        <w:tc>
          <w:tcPr>
            <w:tcW w:w="1276" w:type="dxa"/>
            <w:tcBorders>
              <w:top w:val="nil"/>
              <w:left w:val="nil"/>
              <w:bottom w:val="single" w:sz="4" w:space="0" w:color="auto"/>
              <w:right w:val="single" w:sz="4" w:space="0" w:color="auto"/>
            </w:tcBorders>
            <w:shd w:val="clear" w:color="C4D79B" w:fill="A9D18E"/>
            <w:noWrap/>
            <w:vAlign w:val="center"/>
            <w:hideMark/>
          </w:tcPr>
          <w:p w:rsidR="000646B5" w:rsidRPr="000646B5" w:rsidRDefault="000646B5" w:rsidP="000646B5">
            <w:pPr>
              <w:jc w:val="right"/>
              <w:rPr>
                <w:rFonts w:ascii="Calibri" w:hAnsi="Calibri" w:cs="Calibri"/>
                <w:b/>
                <w:bCs/>
                <w:color w:val="000000"/>
                <w:sz w:val="14"/>
                <w:szCs w:val="14"/>
              </w:rPr>
            </w:pPr>
            <w:r w:rsidRPr="000646B5">
              <w:rPr>
                <w:rFonts w:ascii="Calibri" w:hAnsi="Calibri" w:cs="Calibri"/>
                <w:b/>
                <w:bCs/>
                <w:color w:val="000000"/>
                <w:sz w:val="14"/>
                <w:szCs w:val="14"/>
              </w:rPr>
              <w:t>2 336 606 294,29</w:t>
            </w:r>
          </w:p>
        </w:tc>
        <w:tc>
          <w:tcPr>
            <w:tcW w:w="1134" w:type="dxa"/>
            <w:tcBorders>
              <w:top w:val="nil"/>
              <w:left w:val="nil"/>
              <w:bottom w:val="single" w:sz="4" w:space="0" w:color="auto"/>
              <w:right w:val="single" w:sz="4" w:space="0" w:color="auto"/>
            </w:tcBorders>
            <w:shd w:val="clear" w:color="C4D79B" w:fill="A9D18E"/>
            <w:noWrap/>
            <w:vAlign w:val="center"/>
            <w:hideMark/>
          </w:tcPr>
          <w:p w:rsidR="000646B5" w:rsidRPr="000646B5" w:rsidRDefault="000646B5" w:rsidP="000646B5">
            <w:pPr>
              <w:jc w:val="right"/>
              <w:rPr>
                <w:rFonts w:ascii="Calibri" w:hAnsi="Calibri" w:cs="Calibri"/>
                <w:b/>
                <w:bCs/>
                <w:color w:val="000000"/>
                <w:sz w:val="14"/>
                <w:szCs w:val="14"/>
              </w:rPr>
            </w:pPr>
            <w:r w:rsidRPr="000646B5">
              <w:rPr>
                <w:rFonts w:ascii="Calibri" w:hAnsi="Calibri" w:cs="Calibri"/>
                <w:b/>
                <w:bCs/>
                <w:color w:val="000000"/>
                <w:sz w:val="14"/>
                <w:szCs w:val="14"/>
              </w:rPr>
              <w:t>381 817 166,88</w:t>
            </w:r>
          </w:p>
        </w:tc>
      </w:tr>
      <w:tr w:rsidR="000646B5" w:rsidRPr="000646B5" w:rsidTr="00D23941">
        <w:trPr>
          <w:trHeight w:val="272"/>
        </w:trPr>
        <w:tc>
          <w:tcPr>
            <w:tcW w:w="3964" w:type="dxa"/>
            <w:gridSpan w:val="2"/>
            <w:tcBorders>
              <w:top w:val="single" w:sz="4" w:space="0" w:color="auto"/>
              <w:left w:val="single" w:sz="4" w:space="0" w:color="auto"/>
              <w:bottom w:val="single" w:sz="4" w:space="0" w:color="auto"/>
              <w:right w:val="single" w:sz="4" w:space="0" w:color="auto"/>
            </w:tcBorders>
            <w:shd w:val="clear" w:color="63993F" w:fill="70AD47"/>
            <w:noWrap/>
            <w:vAlign w:val="center"/>
            <w:hideMark/>
          </w:tcPr>
          <w:p w:rsidR="000646B5" w:rsidRPr="000646B5" w:rsidRDefault="000646B5" w:rsidP="000646B5">
            <w:pPr>
              <w:rPr>
                <w:rFonts w:ascii="Calibri" w:hAnsi="Calibri" w:cs="Calibri"/>
                <w:b/>
                <w:bCs/>
                <w:color w:val="000000"/>
                <w:sz w:val="14"/>
                <w:szCs w:val="14"/>
              </w:rPr>
            </w:pPr>
            <w:r w:rsidRPr="000646B5">
              <w:rPr>
                <w:rFonts w:ascii="Calibri" w:hAnsi="Calibri" w:cs="Calibri"/>
                <w:b/>
                <w:bCs/>
                <w:color w:val="000000"/>
                <w:sz w:val="14"/>
                <w:szCs w:val="14"/>
              </w:rPr>
              <w:t>VÝDAJE CELKEM PO KONSOLIDACI</w:t>
            </w:r>
          </w:p>
        </w:tc>
        <w:tc>
          <w:tcPr>
            <w:tcW w:w="1134" w:type="dxa"/>
            <w:tcBorders>
              <w:top w:val="nil"/>
              <w:left w:val="nil"/>
              <w:bottom w:val="single" w:sz="4" w:space="0" w:color="auto"/>
              <w:right w:val="single" w:sz="4" w:space="0" w:color="auto"/>
            </w:tcBorders>
            <w:shd w:val="clear" w:color="63993F" w:fill="70AD47"/>
            <w:noWrap/>
            <w:vAlign w:val="center"/>
            <w:hideMark/>
          </w:tcPr>
          <w:p w:rsidR="000646B5" w:rsidRPr="000646B5" w:rsidRDefault="000646B5" w:rsidP="000646B5">
            <w:pPr>
              <w:jc w:val="right"/>
              <w:rPr>
                <w:rFonts w:ascii="Calibri" w:hAnsi="Calibri" w:cs="Calibri"/>
                <w:b/>
                <w:bCs/>
                <w:color w:val="000000"/>
                <w:sz w:val="14"/>
                <w:szCs w:val="14"/>
              </w:rPr>
            </w:pPr>
            <w:r w:rsidRPr="000646B5">
              <w:rPr>
                <w:rFonts w:ascii="Calibri" w:hAnsi="Calibri" w:cs="Calibri"/>
                <w:b/>
                <w:bCs/>
                <w:color w:val="000000"/>
                <w:sz w:val="14"/>
                <w:szCs w:val="14"/>
              </w:rPr>
              <w:t>1 255 733 640,35</w:t>
            </w:r>
          </w:p>
        </w:tc>
        <w:tc>
          <w:tcPr>
            <w:tcW w:w="1134" w:type="dxa"/>
            <w:tcBorders>
              <w:top w:val="nil"/>
              <w:left w:val="nil"/>
              <w:bottom w:val="single" w:sz="4" w:space="0" w:color="auto"/>
              <w:right w:val="single" w:sz="4" w:space="0" w:color="auto"/>
            </w:tcBorders>
            <w:shd w:val="clear" w:color="63993F" w:fill="70AD47"/>
            <w:noWrap/>
            <w:vAlign w:val="center"/>
            <w:hideMark/>
          </w:tcPr>
          <w:p w:rsidR="000646B5" w:rsidRPr="000646B5" w:rsidRDefault="000646B5" w:rsidP="000646B5">
            <w:pPr>
              <w:jc w:val="right"/>
              <w:rPr>
                <w:rFonts w:ascii="Calibri" w:hAnsi="Calibri" w:cs="Calibri"/>
                <w:b/>
                <w:bCs/>
                <w:color w:val="000000"/>
                <w:sz w:val="14"/>
                <w:szCs w:val="14"/>
              </w:rPr>
            </w:pPr>
            <w:r w:rsidRPr="000646B5">
              <w:rPr>
                <w:rFonts w:ascii="Calibri" w:hAnsi="Calibri" w:cs="Calibri"/>
                <w:b/>
                <w:bCs/>
                <w:color w:val="000000"/>
                <w:sz w:val="14"/>
                <w:szCs w:val="14"/>
              </w:rPr>
              <w:t>1 154 538 269,85</w:t>
            </w:r>
          </w:p>
        </w:tc>
        <w:tc>
          <w:tcPr>
            <w:tcW w:w="709" w:type="dxa"/>
            <w:tcBorders>
              <w:top w:val="nil"/>
              <w:left w:val="nil"/>
              <w:bottom w:val="single" w:sz="4" w:space="0" w:color="auto"/>
              <w:right w:val="single" w:sz="4" w:space="0" w:color="auto"/>
            </w:tcBorders>
            <w:shd w:val="clear" w:color="63993F" w:fill="70AD47"/>
            <w:noWrap/>
            <w:vAlign w:val="center"/>
            <w:hideMark/>
          </w:tcPr>
          <w:p w:rsidR="000646B5" w:rsidRPr="000646B5" w:rsidRDefault="000646B5" w:rsidP="000646B5">
            <w:pPr>
              <w:jc w:val="right"/>
              <w:rPr>
                <w:rFonts w:ascii="Calibri" w:hAnsi="Calibri" w:cs="Calibri"/>
                <w:b/>
                <w:bCs/>
                <w:color w:val="000000"/>
                <w:sz w:val="14"/>
                <w:szCs w:val="14"/>
              </w:rPr>
            </w:pPr>
            <w:r w:rsidRPr="000646B5">
              <w:rPr>
                <w:rFonts w:ascii="Calibri" w:hAnsi="Calibri" w:cs="Calibri"/>
                <w:b/>
                <w:bCs/>
                <w:color w:val="000000"/>
                <w:sz w:val="14"/>
                <w:szCs w:val="14"/>
              </w:rPr>
              <w:t>91,94 %</w:t>
            </w:r>
          </w:p>
        </w:tc>
        <w:tc>
          <w:tcPr>
            <w:tcW w:w="1276" w:type="dxa"/>
            <w:tcBorders>
              <w:top w:val="nil"/>
              <w:left w:val="nil"/>
              <w:bottom w:val="single" w:sz="4" w:space="0" w:color="auto"/>
              <w:right w:val="single" w:sz="4" w:space="0" w:color="auto"/>
            </w:tcBorders>
            <w:shd w:val="clear" w:color="63993F" w:fill="70AD47"/>
            <w:noWrap/>
            <w:vAlign w:val="center"/>
            <w:hideMark/>
          </w:tcPr>
          <w:p w:rsidR="000646B5" w:rsidRPr="000646B5" w:rsidRDefault="000646B5" w:rsidP="000646B5">
            <w:pPr>
              <w:jc w:val="right"/>
              <w:rPr>
                <w:rFonts w:ascii="Calibri" w:hAnsi="Calibri" w:cs="Calibri"/>
                <w:b/>
                <w:bCs/>
                <w:color w:val="000000"/>
                <w:sz w:val="14"/>
                <w:szCs w:val="14"/>
              </w:rPr>
            </w:pPr>
            <w:r w:rsidRPr="000646B5">
              <w:rPr>
                <w:rFonts w:ascii="Calibri" w:hAnsi="Calibri" w:cs="Calibri"/>
                <w:b/>
                <w:bCs/>
                <w:color w:val="000000"/>
                <w:sz w:val="14"/>
                <w:szCs w:val="14"/>
              </w:rPr>
              <w:t>1 113 090 138,13</w:t>
            </w:r>
          </w:p>
        </w:tc>
        <w:tc>
          <w:tcPr>
            <w:tcW w:w="1134" w:type="dxa"/>
            <w:tcBorders>
              <w:top w:val="nil"/>
              <w:left w:val="nil"/>
              <w:bottom w:val="single" w:sz="4" w:space="0" w:color="auto"/>
              <w:right w:val="single" w:sz="4" w:space="0" w:color="auto"/>
            </w:tcBorders>
            <w:shd w:val="clear" w:color="63993F" w:fill="70AD47"/>
            <w:noWrap/>
            <w:vAlign w:val="center"/>
            <w:hideMark/>
          </w:tcPr>
          <w:p w:rsidR="000646B5" w:rsidRPr="000646B5" w:rsidRDefault="000646B5" w:rsidP="000646B5">
            <w:pPr>
              <w:jc w:val="right"/>
              <w:rPr>
                <w:rFonts w:ascii="Calibri" w:hAnsi="Calibri" w:cs="Calibri"/>
                <w:b/>
                <w:bCs/>
                <w:color w:val="000000"/>
                <w:sz w:val="14"/>
                <w:szCs w:val="14"/>
              </w:rPr>
            </w:pPr>
            <w:r w:rsidRPr="000646B5">
              <w:rPr>
                <w:rFonts w:ascii="Calibri" w:hAnsi="Calibri" w:cs="Calibri"/>
                <w:b/>
                <w:bCs/>
                <w:color w:val="000000"/>
                <w:sz w:val="14"/>
                <w:szCs w:val="14"/>
              </w:rPr>
              <w:t>381 713 951,46</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8115</w:t>
            </w:r>
          </w:p>
        </w:tc>
        <w:tc>
          <w:tcPr>
            <w:tcW w:w="3478" w:type="dxa"/>
            <w:tcBorders>
              <w:top w:val="nil"/>
              <w:left w:val="nil"/>
              <w:bottom w:val="single" w:sz="4" w:space="0" w:color="auto"/>
              <w:right w:val="single" w:sz="4" w:space="0" w:color="auto"/>
            </w:tcBorders>
            <w:shd w:val="clear" w:color="auto" w:fill="auto"/>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Změna stavu krátkodobých prostř.na bank.</w:t>
            </w:r>
            <w:r w:rsidR="00D23941">
              <w:rPr>
                <w:rFonts w:ascii="Calibri" w:hAnsi="Calibri" w:cs="Calibri"/>
                <w:color w:val="000000"/>
                <w:sz w:val="14"/>
                <w:szCs w:val="14"/>
              </w:rPr>
              <w:t xml:space="preserve"> </w:t>
            </w:r>
            <w:r w:rsidRPr="000646B5">
              <w:rPr>
                <w:rFonts w:ascii="Calibri" w:hAnsi="Calibri" w:cs="Calibri"/>
                <w:color w:val="000000"/>
                <w:sz w:val="14"/>
                <w:szCs w:val="14"/>
              </w:rPr>
              <w:t>účtech kromě účtů st.</w:t>
            </w:r>
            <w:r w:rsidR="00D23941">
              <w:rPr>
                <w:rFonts w:ascii="Calibri" w:hAnsi="Calibri" w:cs="Calibri"/>
                <w:color w:val="000000"/>
                <w:sz w:val="14"/>
                <w:szCs w:val="14"/>
              </w:rPr>
              <w:t xml:space="preserve"> </w:t>
            </w:r>
            <w:r w:rsidRPr="000646B5">
              <w:rPr>
                <w:rFonts w:ascii="Calibri" w:hAnsi="Calibri" w:cs="Calibri"/>
                <w:color w:val="000000"/>
                <w:sz w:val="14"/>
                <w:szCs w:val="14"/>
              </w:rPr>
              <w:t>fin.</w:t>
            </w:r>
            <w:r w:rsidR="00D23941">
              <w:rPr>
                <w:rFonts w:ascii="Calibri" w:hAnsi="Calibri" w:cs="Calibri"/>
                <w:color w:val="000000"/>
                <w:sz w:val="14"/>
                <w:szCs w:val="14"/>
              </w:rPr>
              <w:t xml:space="preserve"> </w:t>
            </w:r>
            <w:r w:rsidRPr="000646B5">
              <w:rPr>
                <w:rFonts w:ascii="Calibri" w:hAnsi="Calibri" w:cs="Calibri"/>
                <w:color w:val="000000"/>
                <w:sz w:val="14"/>
                <w:szCs w:val="14"/>
              </w:rPr>
              <w:t>aktiv, které tvoří kap.</w:t>
            </w:r>
            <w:r w:rsidR="00D23941">
              <w:rPr>
                <w:rFonts w:ascii="Calibri" w:hAnsi="Calibri" w:cs="Calibri"/>
                <w:color w:val="000000"/>
                <w:sz w:val="14"/>
                <w:szCs w:val="14"/>
              </w:rPr>
              <w:t xml:space="preserve"> </w:t>
            </w:r>
            <w:r w:rsidRPr="000646B5">
              <w:rPr>
                <w:rFonts w:ascii="Calibri" w:hAnsi="Calibri" w:cs="Calibri"/>
                <w:color w:val="000000"/>
                <w:sz w:val="14"/>
                <w:szCs w:val="14"/>
              </w:rPr>
              <w:t>OSFA</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208 434 589,42</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-13 886 312,86</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-6,66 %</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-19 225 793,20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5 339 480,34</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8118</w:t>
            </w:r>
          </w:p>
        </w:tc>
        <w:tc>
          <w:tcPr>
            <w:tcW w:w="3478" w:type="dxa"/>
            <w:tcBorders>
              <w:top w:val="nil"/>
              <w:left w:val="nil"/>
              <w:bottom w:val="single" w:sz="4" w:space="0" w:color="auto"/>
              <w:right w:val="single" w:sz="4" w:space="0" w:color="auto"/>
            </w:tcBorders>
            <w:shd w:val="clear" w:color="000000" w:fill="D9D9D9"/>
            <w:vAlign w:val="center"/>
            <w:hideMark/>
          </w:tcPr>
          <w:p w:rsidR="000646B5" w:rsidRPr="000646B5" w:rsidRDefault="000646B5" w:rsidP="00D23941">
            <w:pPr>
              <w:rPr>
                <w:rFonts w:ascii="Calibri" w:hAnsi="Calibri" w:cs="Calibri"/>
                <w:color w:val="000000"/>
                <w:sz w:val="14"/>
                <w:szCs w:val="14"/>
              </w:rPr>
            </w:pPr>
            <w:r w:rsidRPr="000646B5">
              <w:rPr>
                <w:rFonts w:ascii="Calibri" w:hAnsi="Calibri" w:cs="Calibri"/>
                <w:color w:val="000000"/>
                <w:sz w:val="14"/>
                <w:szCs w:val="14"/>
              </w:rPr>
              <w:t>Aktivní krátk</w:t>
            </w:r>
            <w:r w:rsidR="00D23941">
              <w:rPr>
                <w:rFonts w:ascii="Calibri" w:hAnsi="Calibri" w:cs="Calibri"/>
                <w:color w:val="000000"/>
                <w:sz w:val="14"/>
                <w:szCs w:val="14"/>
              </w:rPr>
              <w:t xml:space="preserve">odobé </w:t>
            </w:r>
            <w:r w:rsidRPr="000646B5">
              <w:rPr>
                <w:rFonts w:ascii="Calibri" w:hAnsi="Calibri" w:cs="Calibri"/>
                <w:color w:val="000000"/>
                <w:sz w:val="14"/>
                <w:szCs w:val="14"/>
              </w:rPr>
              <w:t>operace řízení likvidity - výdaje</w:t>
            </w:r>
          </w:p>
        </w:tc>
        <w:tc>
          <w:tcPr>
            <w:tcW w:w="1134"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-104 047 745,81</w:t>
            </w:r>
          </w:p>
        </w:tc>
        <w:tc>
          <w:tcPr>
            <w:tcW w:w="709"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w:t>
            </w:r>
          </w:p>
        </w:tc>
        <w:tc>
          <w:tcPr>
            <w:tcW w:w="1276"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-1 110 969,91</w:t>
            </w:r>
          </w:p>
        </w:tc>
        <w:tc>
          <w:tcPr>
            <w:tcW w:w="1134" w:type="dxa"/>
            <w:tcBorders>
              <w:top w:val="nil"/>
              <w:left w:val="nil"/>
              <w:bottom w:val="single" w:sz="4" w:space="0" w:color="auto"/>
              <w:right w:val="single" w:sz="4" w:space="0" w:color="auto"/>
            </w:tcBorders>
            <w:shd w:val="clear" w:color="000000" w:fill="D9D9D9"/>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-102 936 775,90</w:t>
            </w:r>
          </w:p>
        </w:tc>
      </w:tr>
      <w:tr w:rsidR="000646B5" w:rsidRPr="000646B5" w:rsidTr="00D23941">
        <w:trPr>
          <w:trHeight w:val="27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8901</w:t>
            </w:r>
          </w:p>
        </w:tc>
        <w:tc>
          <w:tcPr>
            <w:tcW w:w="3478" w:type="dxa"/>
            <w:tcBorders>
              <w:top w:val="nil"/>
              <w:left w:val="nil"/>
              <w:bottom w:val="single" w:sz="4" w:space="0" w:color="auto"/>
              <w:right w:val="single" w:sz="4" w:space="0" w:color="auto"/>
            </w:tcBorders>
            <w:shd w:val="clear" w:color="auto" w:fill="auto"/>
            <w:vAlign w:val="center"/>
            <w:hideMark/>
          </w:tcPr>
          <w:p w:rsidR="000646B5" w:rsidRPr="000646B5" w:rsidRDefault="000646B5" w:rsidP="000646B5">
            <w:pPr>
              <w:rPr>
                <w:rFonts w:ascii="Calibri" w:hAnsi="Calibri" w:cs="Calibri"/>
                <w:color w:val="000000"/>
                <w:sz w:val="14"/>
                <w:szCs w:val="14"/>
              </w:rPr>
            </w:pPr>
            <w:r w:rsidRPr="000646B5">
              <w:rPr>
                <w:rFonts w:ascii="Calibri" w:hAnsi="Calibri" w:cs="Calibri"/>
                <w:color w:val="000000"/>
                <w:sz w:val="14"/>
                <w:szCs w:val="14"/>
              </w:rPr>
              <w:t>Operace z peněžních účtů organizace nemající charakter příjmů a výdajů vládního sektoru</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3 801 974,87</w:t>
            </w:r>
          </w:p>
        </w:tc>
        <w:tc>
          <w:tcPr>
            <w:tcW w:w="709"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w:t>
            </w:r>
          </w:p>
        </w:tc>
        <w:tc>
          <w:tcPr>
            <w:tcW w:w="1276"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1 087 984,00</w:t>
            </w:r>
          </w:p>
        </w:tc>
        <w:tc>
          <w:tcPr>
            <w:tcW w:w="1134" w:type="dxa"/>
            <w:tcBorders>
              <w:top w:val="nil"/>
              <w:left w:val="nil"/>
              <w:bottom w:val="single" w:sz="4" w:space="0" w:color="auto"/>
              <w:right w:val="single" w:sz="4" w:space="0" w:color="auto"/>
            </w:tcBorders>
            <w:shd w:val="clear" w:color="auto" w:fill="auto"/>
            <w:noWrap/>
            <w:vAlign w:val="center"/>
            <w:hideMark/>
          </w:tcPr>
          <w:p w:rsidR="000646B5" w:rsidRPr="000646B5" w:rsidRDefault="000646B5" w:rsidP="000646B5">
            <w:pPr>
              <w:jc w:val="right"/>
              <w:rPr>
                <w:rFonts w:ascii="Calibri" w:hAnsi="Calibri" w:cs="Calibri"/>
                <w:color w:val="000000"/>
                <w:sz w:val="14"/>
                <w:szCs w:val="14"/>
              </w:rPr>
            </w:pPr>
            <w:r w:rsidRPr="000646B5">
              <w:rPr>
                <w:rFonts w:ascii="Calibri" w:hAnsi="Calibri" w:cs="Calibri"/>
                <w:color w:val="000000"/>
                <w:sz w:val="14"/>
                <w:szCs w:val="14"/>
              </w:rPr>
              <w:t>2 713 990,87</w:t>
            </w:r>
          </w:p>
        </w:tc>
      </w:tr>
      <w:tr w:rsidR="000646B5" w:rsidRPr="000646B5" w:rsidTr="00D23941">
        <w:trPr>
          <w:trHeight w:val="272"/>
        </w:trPr>
        <w:tc>
          <w:tcPr>
            <w:tcW w:w="3964" w:type="dxa"/>
            <w:gridSpan w:val="2"/>
            <w:tcBorders>
              <w:top w:val="single" w:sz="4" w:space="0" w:color="auto"/>
              <w:left w:val="single" w:sz="4" w:space="0" w:color="auto"/>
              <w:bottom w:val="single" w:sz="4" w:space="0" w:color="auto"/>
              <w:right w:val="single" w:sz="4" w:space="0" w:color="auto"/>
            </w:tcBorders>
            <w:shd w:val="clear" w:color="63993F" w:fill="70AD47"/>
            <w:noWrap/>
            <w:vAlign w:val="center"/>
            <w:hideMark/>
          </w:tcPr>
          <w:p w:rsidR="000646B5" w:rsidRPr="000646B5" w:rsidRDefault="000646B5" w:rsidP="000646B5">
            <w:pPr>
              <w:rPr>
                <w:rFonts w:ascii="Calibri" w:hAnsi="Calibri" w:cs="Calibri"/>
                <w:b/>
                <w:bCs/>
                <w:color w:val="000000"/>
                <w:sz w:val="14"/>
                <w:szCs w:val="14"/>
              </w:rPr>
            </w:pPr>
            <w:r w:rsidRPr="000646B5">
              <w:rPr>
                <w:rFonts w:ascii="Calibri" w:hAnsi="Calibri" w:cs="Calibri"/>
                <w:b/>
                <w:bCs/>
                <w:color w:val="000000"/>
                <w:sz w:val="14"/>
                <w:szCs w:val="14"/>
              </w:rPr>
              <w:t>FINANCOVÁNÍ CELKEM</w:t>
            </w:r>
          </w:p>
        </w:tc>
        <w:tc>
          <w:tcPr>
            <w:tcW w:w="1134" w:type="dxa"/>
            <w:tcBorders>
              <w:top w:val="nil"/>
              <w:left w:val="nil"/>
              <w:bottom w:val="single" w:sz="4" w:space="0" w:color="auto"/>
              <w:right w:val="single" w:sz="4" w:space="0" w:color="auto"/>
            </w:tcBorders>
            <w:shd w:val="clear" w:color="63993F" w:fill="70AD47"/>
            <w:noWrap/>
            <w:vAlign w:val="center"/>
            <w:hideMark/>
          </w:tcPr>
          <w:p w:rsidR="000646B5" w:rsidRPr="000646B5" w:rsidRDefault="000646B5" w:rsidP="000646B5">
            <w:pPr>
              <w:jc w:val="right"/>
              <w:rPr>
                <w:rFonts w:ascii="Calibri" w:hAnsi="Calibri" w:cs="Calibri"/>
                <w:b/>
                <w:bCs/>
                <w:color w:val="000000"/>
                <w:sz w:val="14"/>
                <w:szCs w:val="14"/>
              </w:rPr>
            </w:pPr>
            <w:r w:rsidRPr="000646B5">
              <w:rPr>
                <w:rFonts w:ascii="Calibri" w:hAnsi="Calibri" w:cs="Calibri"/>
                <w:b/>
                <w:bCs/>
                <w:color w:val="000000"/>
                <w:sz w:val="14"/>
                <w:szCs w:val="14"/>
              </w:rPr>
              <w:t>208 434 589,42</w:t>
            </w:r>
          </w:p>
        </w:tc>
        <w:tc>
          <w:tcPr>
            <w:tcW w:w="1134" w:type="dxa"/>
            <w:tcBorders>
              <w:top w:val="nil"/>
              <w:left w:val="nil"/>
              <w:bottom w:val="single" w:sz="4" w:space="0" w:color="auto"/>
              <w:right w:val="single" w:sz="4" w:space="0" w:color="auto"/>
            </w:tcBorders>
            <w:shd w:val="clear" w:color="63993F" w:fill="70AD47"/>
            <w:noWrap/>
            <w:vAlign w:val="center"/>
            <w:hideMark/>
          </w:tcPr>
          <w:p w:rsidR="000646B5" w:rsidRPr="000646B5" w:rsidRDefault="000646B5" w:rsidP="000646B5">
            <w:pPr>
              <w:jc w:val="right"/>
              <w:rPr>
                <w:rFonts w:ascii="Calibri" w:hAnsi="Calibri" w:cs="Calibri"/>
                <w:b/>
                <w:bCs/>
                <w:color w:val="000000"/>
                <w:sz w:val="14"/>
                <w:szCs w:val="14"/>
              </w:rPr>
            </w:pPr>
            <w:r w:rsidRPr="000646B5">
              <w:rPr>
                <w:rFonts w:ascii="Calibri" w:hAnsi="Calibri" w:cs="Calibri"/>
                <w:b/>
                <w:bCs/>
                <w:color w:val="000000"/>
                <w:sz w:val="14"/>
                <w:szCs w:val="14"/>
              </w:rPr>
              <w:t>-114 132 083,80</w:t>
            </w:r>
          </w:p>
        </w:tc>
        <w:tc>
          <w:tcPr>
            <w:tcW w:w="709" w:type="dxa"/>
            <w:tcBorders>
              <w:top w:val="nil"/>
              <w:left w:val="nil"/>
              <w:bottom w:val="single" w:sz="4" w:space="0" w:color="auto"/>
              <w:right w:val="single" w:sz="4" w:space="0" w:color="auto"/>
            </w:tcBorders>
            <w:shd w:val="clear" w:color="63993F" w:fill="70AD47"/>
            <w:noWrap/>
            <w:vAlign w:val="center"/>
            <w:hideMark/>
          </w:tcPr>
          <w:p w:rsidR="000646B5" w:rsidRPr="000646B5" w:rsidRDefault="000646B5" w:rsidP="000646B5">
            <w:pPr>
              <w:jc w:val="right"/>
              <w:rPr>
                <w:rFonts w:ascii="Calibri" w:hAnsi="Calibri" w:cs="Calibri"/>
                <w:b/>
                <w:bCs/>
                <w:color w:val="000000"/>
                <w:sz w:val="14"/>
                <w:szCs w:val="14"/>
              </w:rPr>
            </w:pPr>
            <w:r w:rsidRPr="000646B5">
              <w:rPr>
                <w:rFonts w:ascii="Calibri" w:hAnsi="Calibri" w:cs="Calibri"/>
                <w:b/>
                <w:bCs/>
                <w:color w:val="000000"/>
                <w:sz w:val="14"/>
                <w:szCs w:val="14"/>
              </w:rPr>
              <w:t>-54,76 %</w:t>
            </w:r>
          </w:p>
        </w:tc>
        <w:tc>
          <w:tcPr>
            <w:tcW w:w="1276" w:type="dxa"/>
            <w:tcBorders>
              <w:top w:val="nil"/>
              <w:left w:val="nil"/>
              <w:bottom w:val="single" w:sz="4" w:space="0" w:color="auto"/>
              <w:right w:val="single" w:sz="4" w:space="0" w:color="auto"/>
            </w:tcBorders>
            <w:shd w:val="clear" w:color="63993F" w:fill="70AD47"/>
            <w:noWrap/>
            <w:vAlign w:val="center"/>
            <w:hideMark/>
          </w:tcPr>
          <w:p w:rsidR="000646B5" w:rsidRPr="000646B5" w:rsidRDefault="000646B5" w:rsidP="000646B5">
            <w:pPr>
              <w:jc w:val="right"/>
              <w:rPr>
                <w:rFonts w:ascii="Calibri" w:hAnsi="Calibri" w:cs="Calibri"/>
                <w:b/>
                <w:bCs/>
                <w:color w:val="000000"/>
                <w:sz w:val="14"/>
                <w:szCs w:val="14"/>
              </w:rPr>
            </w:pPr>
            <w:r w:rsidRPr="000646B5">
              <w:rPr>
                <w:rFonts w:ascii="Calibri" w:hAnsi="Calibri" w:cs="Calibri"/>
                <w:b/>
                <w:bCs/>
                <w:color w:val="000000"/>
                <w:sz w:val="14"/>
                <w:szCs w:val="14"/>
              </w:rPr>
              <w:t>-19 248 779,11</w:t>
            </w:r>
          </w:p>
        </w:tc>
        <w:tc>
          <w:tcPr>
            <w:tcW w:w="1134" w:type="dxa"/>
            <w:tcBorders>
              <w:top w:val="nil"/>
              <w:left w:val="nil"/>
              <w:bottom w:val="single" w:sz="4" w:space="0" w:color="auto"/>
              <w:right w:val="single" w:sz="4" w:space="0" w:color="auto"/>
            </w:tcBorders>
            <w:shd w:val="clear" w:color="63993F" w:fill="70AD47"/>
            <w:noWrap/>
            <w:vAlign w:val="center"/>
            <w:hideMark/>
          </w:tcPr>
          <w:p w:rsidR="000646B5" w:rsidRPr="009732D9" w:rsidRDefault="009732D9" w:rsidP="009732D9">
            <w:pPr>
              <w:jc w:val="right"/>
              <w:rPr>
                <w:rFonts w:ascii="Calibri" w:hAnsi="Calibri" w:cs="Calibri"/>
                <w:b/>
                <w:bCs/>
                <w:color w:val="000000"/>
                <w:sz w:val="16"/>
                <w:szCs w:val="16"/>
              </w:rPr>
            </w:pPr>
            <w:r>
              <w:rPr>
                <w:rFonts w:ascii="Calibri" w:hAnsi="Calibri" w:cs="Calibri"/>
                <w:b/>
                <w:bCs/>
                <w:color w:val="000000"/>
                <w:sz w:val="16"/>
                <w:szCs w:val="16"/>
              </w:rPr>
              <w:t>-</w:t>
            </w:r>
            <w:r w:rsidRPr="009732D9">
              <w:rPr>
                <w:rFonts w:ascii="Calibri" w:hAnsi="Calibri" w:cs="Calibri"/>
                <w:b/>
                <w:bCs/>
                <w:color w:val="000000"/>
                <w:sz w:val="15"/>
                <w:szCs w:val="15"/>
              </w:rPr>
              <w:t>94 883 304,69</w:t>
            </w:r>
          </w:p>
        </w:tc>
      </w:tr>
    </w:tbl>
    <w:p w:rsidR="00506EEA" w:rsidRDefault="00506EEA" w:rsidP="00EF6DFC"/>
    <w:p w:rsidR="000646B5" w:rsidRDefault="000646B5" w:rsidP="00EF6DFC"/>
    <w:p w:rsidR="00506EEA" w:rsidRDefault="00506EEA" w:rsidP="00EF6DFC"/>
    <w:p w:rsidR="00506EEA" w:rsidRDefault="00506EEA" w:rsidP="00EF6DFC"/>
    <w:p w:rsidR="00506EEA" w:rsidRDefault="00506EEA" w:rsidP="00EF6DFC"/>
    <w:p w:rsidR="00506EEA" w:rsidRDefault="00506EEA" w:rsidP="00EF6DFC"/>
    <w:p w:rsidR="00506EEA" w:rsidRDefault="00506EEA" w:rsidP="00EF6DFC"/>
    <w:p w:rsidR="00506EEA" w:rsidRPr="00EF6DFC" w:rsidRDefault="00506EEA" w:rsidP="00EF6DFC"/>
    <w:p w:rsidR="00BD691A" w:rsidRDefault="00BD691A" w:rsidP="00AF00F3">
      <w:pPr>
        <w:rPr>
          <w:noProof/>
        </w:rPr>
      </w:pPr>
    </w:p>
    <w:p w:rsidR="00C071F6" w:rsidRDefault="00C071F6" w:rsidP="00AF00F3">
      <w:pPr>
        <w:rPr>
          <w:noProof/>
        </w:rPr>
      </w:pPr>
    </w:p>
    <w:p w:rsidR="00AF2C55" w:rsidRDefault="00AF2C55" w:rsidP="00AF00F3">
      <w:pPr>
        <w:rPr>
          <w:noProof/>
        </w:rPr>
      </w:pPr>
    </w:p>
    <w:p w:rsidR="00AF2C55" w:rsidRDefault="00AF2C55" w:rsidP="00AF00F3">
      <w:pPr>
        <w:rPr>
          <w:noProof/>
        </w:rPr>
      </w:pPr>
    </w:p>
    <w:p w:rsidR="00AF2C55" w:rsidRDefault="00AF2C55" w:rsidP="00AF00F3">
      <w:pPr>
        <w:rPr>
          <w:noProof/>
        </w:rPr>
      </w:pPr>
    </w:p>
    <w:p w:rsidR="00AF2C55" w:rsidRDefault="00AF2C55" w:rsidP="00AF00F3">
      <w:pPr>
        <w:rPr>
          <w:noProof/>
        </w:rPr>
      </w:pPr>
    </w:p>
    <w:p w:rsidR="00AF2C55" w:rsidRDefault="00AF2C55" w:rsidP="00AF00F3">
      <w:pPr>
        <w:rPr>
          <w:noProof/>
        </w:rPr>
      </w:pPr>
    </w:p>
    <w:p w:rsidR="00AF2C55" w:rsidRDefault="00AF2C55" w:rsidP="00AF00F3">
      <w:pPr>
        <w:rPr>
          <w:noProof/>
        </w:rPr>
      </w:pPr>
    </w:p>
    <w:p w:rsidR="00AF2C55" w:rsidRDefault="00AF2C55" w:rsidP="00AF00F3">
      <w:pPr>
        <w:rPr>
          <w:noProof/>
        </w:rPr>
      </w:pPr>
    </w:p>
    <w:p w:rsidR="00AF2C55" w:rsidRDefault="00AF2C55" w:rsidP="00AF00F3">
      <w:pPr>
        <w:rPr>
          <w:noProof/>
        </w:rPr>
      </w:pPr>
    </w:p>
    <w:p w:rsidR="00AF2C55" w:rsidRDefault="00AF2C55" w:rsidP="00AF00F3">
      <w:pPr>
        <w:rPr>
          <w:noProof/>
        </w:rPr>
      </w:pPr>
    </w:p>
    <w:p w:rsidR="00AF2C55" w:rsidRDefault="00AF2C55" w:rsidP="00AF00F3">
      <w:pPr>
        <w:rPr>
          <w:noProof/>
        </w:rPr>
      </w:pPr>
    </w:p>
    <w:p w:rsidR="00AF2C55" w:rsidRDefault="00AF2C55" w:rsidP="00AF00F3">
      <w:pPr>
        <w:rPr>
          <w:noProof/>
        </w:rPr>
      </w:pPr>
    </w:p>
    <w:p w:rsidR="00AF2C55" w:rsidRDefault="00AF2C55" w:rsidP="00AF00F3">
      <w:pPr>
        <w:rPr>
          <w:noProof/>
        </w:rPr>
      </w:pPr>
    </w:p>
    <w:p w:rsidR="00AF2C55" w:rsidRDefault="00AF2C55" w:rsidP="00AF00F3">
      <w:pPr>
        <w:rPr>
          <w:noProof/>
        </w:rPr>
      </w:pPr>
    </w:p>
    <w:p w:rsidR="00AF2C55" w:rsidRDefault="00AF2C55" w:rsidP="00AF00F3">
      <w:pPr>
        <w:rPr>
          <w:noProof/>
        </w:rPr>
      </w:pPr>
    </w:p>
    <w:p w:rsidR="00AF2C55" w:rsidRDefault="00AF2C55" w:rsidP="00AF00F3">
      <w:pPr>
        <w:rPr>
          <w:noProof/>
        </w:rPr>
      </w:pPr>
    </w:p>
    <w:p w:rsidR="00AF2C55" w:rsidRDefault="00AF2C55" w:rsidP="00AF00F3">
      <w:pPr>
        <w:rPr>
          <w:noProof/>
        </w:rPr>
      </w:pPr>
    </w:p>
    <w:p w:rsidR="00AF2C55" w:rsidRDefault="00AF2C55" w:rsidP="00AF00F3">
      <w:pPr>
        <w:rPr>
          <w:noProof/>
        </w:rPr>
      </w:pPr>
    </w:p>
    <w:p w:rsidR="00AF2C55" w:rsidRDefault="00AF2C55" w:rsidP="00AF00F3">
      <w:pPr>
        <w:rPr>
          <w:noProof/>
        </w:rPr>
      </w:pPr>
    </w:p>
    <w:p w:rsidR="002C745E" w:rsidRDefault="002C745E" w:rsidP="0024764D">
      <w:pPr>
        <w:pStyle w:val="Nadpis3"/>
        <w:rPr>
          <w:b w:val="0"/>
        </w:rPr>
      </w:pPr>
      <w:bookmarkStart w:id="50" w:name="_Toc39129538"/>
      <w:r w:rsidRPr="00710248">
        <w:rPr>
          <w:b w:val="0"/>
        </w:rPr>
        <w:lastRenderedPageBreak/>
        <w:t>Závěrečný účet statutár</w:t>
      </w:r>
      <w:r w:rsidR="001F6EE4" w:rsidRPr="00710248">
        <w:rPr>
          <w:b w:val="0"/>
        </w:rPr>
        <w:t>ního města Prostějova za rok 202</w:t>
      </w:r>
      <w:r w:rsidR="00AF2C55">
        <w:rPr>
          <w:b w:val="0"/>
        </w:rPr>
        <w:t>2</w:t>
      </w:r>
      <w:r w:rsidR="001C1AA8" w:rsidRPr="00710248">
        <w:rPr>
          <w:b w:val="0"/>
        </w:rPr>
        <w:t xml:space="preserve"> – </w:t>
      </w:r>
      <w:r w:rsidR="008E01EC" w:rsidRPr="00710248">
        <w:rPr>
          <w:b w:val="0"/>
        </w:rPr>
        <w:t>příjmy – odvětvové třídění</w:t>
      </w:r>
      <w:r w:rsidR="00BE742B">
        <w:rPr>
          <w:b w:val="0"/>
        </w:rPr>
        <w:t xml:space="preserve"> (v</w:t>
      </w:r>
      <w:r w:rsidR="0097552A" w:rsidRPr="00710248">
        <w:rPr>
          <w:b w:val="0"/>
        </w:rPr>
        <w:t xml:space="preserve"> Kč)</w:t>
      </w:r>
      <w:bookmarkEnd w:id="50"/>
    </w:p>
    <w:tbl>
      <w:tblPr>
        <w:tblW w:w="9359" w:type="dxa"/>
        <w:tblCellMar>
          <w:left w:w="70" w:type="dxa"/>
          <w:right w:w="70" w:type="dxa"/>
        </w:tblCellMar>
        <w:tblLook w:val="04A0" w:firstRow="1" w:lastRow="0" w:firstColumn="1" w:lastColumn="0" w:noHBand="0" w:noVBand="1"/>
      </w:tblPr>
      <w:tblGrid>
        <w:gridCol w:w="429"/>
        <w:gridCol w:w="3677"/>
        <w:gridCol w:w="1134"/>
        <w:gridCol w:w="1134"/>
        <w:gridCol w:w="709"/>
        <w:gridCol w:w="1134"/>
        <w:gridCol w:w="1142"/>
      </w:tblGrid>
      <w:tr w:rsidR="00AF2C55" w:rsidRPr="00AF2C55" w:rsidTr="00AF2C55">
        <w:trPr>
          <w:trHeight w:val="272"/>
          <w:tblHeader/>
        </w:trPr>
        <w:tc>
          <w:tcPr>
            <w:tcW w:w="429" w:type="dxa"/>
            <w:vMerge w:val="restart"/>
            <w:tcBorders>
              <w:top w:val="single" w:sz="4" w:space="0" w:color="auto"/>
              <w:left w:val="single" w:sz="4" w:space="0" w:color="auto"/>
              <w:bottom w:val="single" w:sz="4" w:space="0" w:color="auto"/>
              <w:right w:val="single" w:sz="4" w:space="0" w:color="auto"/>
            </w:tcBorders>
            <w:shd w:val="clear" w:color="63993F" w:fill="70AD47"/>
            <w:noWrap/>
            <w:vAlign w:val="center"/>
            <w:hideMark/>
          </w:tcPr>
          <w:p w:rsidR="00AF2C55" w:rsidRPr="00AF2C55" w:rsidRDefault="00AF2C55">
            <w:pPr>
              <w:jc w:val="center"/>
              <w:rPr>
                <w:rFonts w:ascii="Calibri" w:hAnsi="Calibri" w:cs="Calibri"/>
                <w:color w:val="000000"/>
                <w:sz w:val="14"/>
                <w:szCs w:val="14"/>
              </w:rPr>
            </w:pPr>
            <w:r w:rsidRPr="00AF2C55">
              <w:rPr>
                <w:rFonts w:ascii="Calibri" w:hAnsi="Calibri" w:cs="Calibri"/>
                <w:color w:val="000000"/>
                <w:sz w:val="14"/>
                <w:szCs w:val="14"/>
              </w:rPr>
              <w:t>Par</w:t>
            </w:r>
          </w:p>
        </w:tc>
        <w:tc>
          <w:tcPr>
            <w:tcW w:w="3677" w:type="dxa"/>
            <w:vMerge w:val="restart"/>
            <w:tcBorders>
              <w:top w:val="single" w:sz="4" w:space="0" w:color="auto"/>
              <w:left w:val="single" w:sz="4" w:space="0" w:color="auto"/>
              <w:bottom w:val="single" w:sz="4" w:space="0" w:color="auto"/>
              <w:right w:val="single" w:sz="4" w:space="0" w:color="auto"/>
            </w:tcBorders>
            <w:shd w:val="clear" w:color="63993F" w:fill="70AD47"/>
            <w:noWrap/>
            <w:vAlign w:val="center"/>
            <w:hideMark/>
          </w:tcPr>
          <w:p w:rsidR="00AF2C55" w:rsidRPr="00AF2C55" w:rsidRDefault="00AF2C55">
            <w:pPr>
              <w:jc w:val="center"/>
              <w:rPr>
                <w:rFonts w:ascii="Calibri" w:hAnsi="Calibri" w:cs="Calibri"/>
                <w:color w:val="000000"/>
                <w:sz w:val="14"/>
                <w:szCs w:val="14"/>
              </w:rPr>
            </w:pPr>
            <w:r w:rsidRPr="00AF2C55">
              <w:rPr>
                <w:rFonts w:ascii="Calibri" w:hAnsi="Calibri" w:cs="Calibri"/>
                <w:color w:val="000000"/>
                <w:sz w:val="14"/>
                <w:szCs w:val="14"/>
              </w:rPr>
              <w:t>Odvětvové třídění</w:t>
            </w:r>
          </w:p>
        </w:tc>
        <w:tc>
          <w:tcPr>
            <w:tcW w:w="2977" w:type="dxa"/>
            <w:gridSpan w:val="3"/>
            <w:tcBorders>
              <w:top w:val="single" w:sz="4" w:space="0" w:color="auto"/>
              <w:left w:val="nil"/>
              <w:bottom w:val="single" w:sz="4" w:space="0" w:color="auto"/>
              <w:right w:val="single" w:sz="4" w:space="0" w:color="auto"/>
            </w:tcBorders>
            <w:shd w:val="clear" w:color="63993F" w:fill="70AD47"/>
            <w:noWrap/>
            <w:vAlign w:val="center"/>
            <w:hideMark/>
          </w:tcPr>
          <w:p w:rsidR="00AF2C55" w:rsidRPr="00AF2C55" w:rsidRDefault="00AF2C55">
            <w:pPr>
              <w:jc w:val="center"/>
              <w:rPr>
                <w:rFonts w:ascii="Calibri" w:hAnsi="Calibri" w:cs="Calibri"/>
                <w:color w:val="000000"/>
                <w:sz w:val="14"/>
                <w:szCs w:val="14"/>
              </w:rPr>
            </w:pPr>
            <w:r w:rsidRPr="00AF2C55">
              <w:rPr>
                <w:rFonts w:ascii="Calibri" w:hAnsi="Calibri" w:cs="Calibri"/>
                <w:color w:val="000000"/>
                <w:sz w:val="14"/>
                <w:szCs w:val="14"/>
              </w:rPr>
              <w:t>2022</w:t>
            </w:r>
          </w:p>
        </w:tc>
        <w:tc>
          <w:tcPr>
            <w:tcW w:w="1134" w:type="dxa"/>
            <w:tcBorders>
              <w:top w:val="single" w:sz="4" w:space="0" w:color="auto"/>
              <w:left w:val="nil"/>
              <w:bottom w:val="single" w:sz="4" w:space="0" w:color="auto"/>
              <w:right w:val="single" w:sz="4" w:space="0" w:color="auto"/>
            </w:tcBorders>
            <w:shd w:val="clear" w:color="63993F" w:fill="70AD47"/>
            <w:noWrap/>
            <w:vAlign w:val="center"/>
            <w:hideMark/>
          </w:tcPr>
          <w:p w:rsidR="00AF2C55" w:rsidRPr="00AF2C55" w:rsidRDefault="00AF2C55">
            <w:pPr>
              <w:jc w:val="center"/>
              <w:rPr>
                <w:rFonts w:ascii="Calibri" w:hAnsi="Calibri" w:cs="Calibri"/>
                <w:color w:val="000000"/>
                <w:sz w:val="14"/>
                <w:szCs w:val="14"/>
              </w:rPr>
            </w:pPr>
            <w:r w:rsidRPr="00AF2C55">
              <w:rPr>
                <w:rFonts w:ascii="Calibri" w:hAnsi="Calibri" w:cs="Calibri"/>
                <w:color w:val="000000"/>
                <w:sz w:val="14"/>
                <w:szCs w:val="14"/>
              </w:rPr>
              <w:t>2021</w:t>
            </w:r>
          </w:p>
        </w:tc>
        <w:tc>
          <w:tcPr>
            <w:tcW w:w="1142" w:type="dxa"/>
            <w:vMerge w:val="restart"/>
            <w:tcBorders>
              <w:top w:val="single" w:sz="4" w:space="0" w:color="auto"/>
              <w:left w:val="single" w:sz="4" w:space="0" w:color="auto"/>
              <w:bottom w:val="single" w:sz="4" w:space="0" w:color="auto"/>
              <w:right w:val="single" w:sz="4" w:space="0" w:color="auto"/>
            </w:tcBorders>
            <w:shd w:val="clear" w:color="63993F" w:fill="70AD47"/>
            <w:vAlign w:val="center"/>
            <w:hideMark/>
          </w:tcPr>
          <w:p w:rsidR="00AF2C55" w:rsidRPr="00AF2C55" w:rsidRDefault="00AF2C55">
            <w:pPr>
              <w:jc w:val="center"/>
              <w:rPr>
                <w:rFonts w:ascii="Calibri" w:hAnsi="Calibri" w:cs="Calibri"/>
                <w:color w:val="000000"/>
                <w:sz w:val="14"/>
                <w:szCs w:val="14"/>
              </w:rPr>
            </w:pPr>
            <w:r w:rsidRPr="00AF2C55">
              <w:rPr>
                <w:rFonts w:ascii="Calibri" w:hAnsi="Calibri" w:cs="Calibri"/>
                <w:color w:val="000000"/>
                <w:sz w:val="14"/>
                <w:szCs w:val="14"/>
              </w:rPr>
              <w:t>Meziroční změna</w:t>
            </w:r>
          </w:p>
        </w:tc>
      </w:tr>
      <w:tr w:rsidR="00AF2C55" w:rsidRPr="00AF2C55" w:rsidTr="00AF2C55">
        <w:trPr>
          <w:trHeight w:val="272"/>
        </w:trPr>
        <w:tc>
          <w:tcPr>
            <w:tcW w:w="429" w:type="dxa"/>
            <w:vMerge/>
            <w:tcBorders>
              <w:top w:val="single" w:sz="4" w:space="0" w:color="auto"/>
              <w:left w:val="single" w:sz="4" w:space="0" w:color="auto"/>
              <w:bottom w:val="single" w:sz="4" w:space="0" w:color="auto"/>
              <w:right w:val="single" w:sz="4" w:space="0" w:color="auto"/>
            </w:tcBorders>
            <w:vAlign w:val="center"/>
            <w:hideMark/>
          </w:tcPr>
          <w:p w:rsidR="00AF2C55" w:rsidRPr="00AF2C55" w:rsidRDefault="00AF2C55">
            <w:pPr>
              <w:rPr>
                <w:rFonts w:ascii="Calibri" w:hAnsi="Calibri" w:cs="Calibri"/>
                <w:color w:val="000000"/>
                <w:sz w:val="14"/>
                <w:szCs w:val="14"/>
              </w:rPr>
            </w:pPr>
          </w:p>
        </w:tc>
        <w:tc>
          <w:tcPr>
            <w:tcW w:w="3677" w:type="dxa"/>
            <w:vMerge/>
            <w:tcBorders>
              <w:top w:val="single" w:sz="4" w:space="0" w:color="auto"/>
              <w:left w:val="single" w:sz="4" w:space="0" w:color="auto"/>
              <w:bottom w:val="single" w:sz="4" w:space="0" w:color="auto"/>
              <w:right w:val="single" w:sz="4" w:space="0" w:color="auto"/>
            </w:tcBorders>
            <w:vAlign w:val="center"/>
            <w:hideMark/>
          </w:tcPr>
          <w:p w:rsidR="00AF2C55" w:rsidRPr="00AF2C55" w:rsidRDefault="00AF2C55">
            <w:pPr>
              <w:rPr>
                <w:rFonts w:ascii="Calibri" w:hAnsi="Calibri" w:cs="Calibri"/>
                <w:color w:val="000000"/>
                <w:sz w:val="14"/>
                <w:szCs w:val="14"/>
              </w:rPr>
            </w:pPr>
          </w:p>
        </w:tc>
        <w:tc>
          <w:tcPr>
            <w:tcW w:w="1134" w:type="dxa"/>
            <w:tcBorders>
              <w:top w:val="nil"/>
              <w:left w:val="nil"/>
              <w:bottom w:val="single" w:sz="4" w:space="0" w:color="auto"/>
              <w:right w:val="single" w:sz="4" w:space="0" w:color="auto"/>
            </w:tcBorders>
            <w:shd w:val="clear" w:color="63993F" w:fill="70AD47"/>
            <w:noWrap/>
            <w:vAlign w:val="center"/>
            <w:hideMark/>
          </w:tcPr>
          <w:p w:rsidR="00AF2C55" w:rsidRPr="00AF2C55" w:rsidRDefault="00AF2C55">
            <w:pPr>
              <w:jc w:val="center"/>
              <w:rPr>
                <w:rFonts w:ascii="Calibri" w:hAnsi="Calibri" w:cs="Calibri"/>
                <w:color w:val="000000"/>
                <w:sz w:val="14"/>
                <w:szCs w:val="14"/>
              </w:rPr>
            </w:pPr>
            <w:r w:rsidRPr="00AF2C55">
              <w:rPr>
                <w:rFonts w:ascii="Calibri" w:hAnsi="Calibri" w:cs="Calibri"/>
                <w:color w:val="000000"/>
                <w:sz w:val="14"/>
                <w:szCs w:val="14"/>
              </w:rPr>
              <w:t>Upr.</w:t>
            </w:r>
            <w:r>
              <w:rPr>
                <w:rFonts w:ascii="Calibri" w:hAnsi="Calibri" w:cs="Calibri"/>
                <w:color w:val="000000"/>
                <w:sz w:val="14"/>
                <w:szCs w:val="14"/>
              </w:rPr>
              <w:t xml:space="preserve"> </w:t>
            </w:r>
            <w:r w:rsidRPr="00AF2C55">
              <w:rPr>
                <w:rFonts w:ascii="Calibri" w:hAnsi="Calibri" w:cs="Calibri"/>
                <w:color w:val="000000"/>
                <w:sz w:val="14"/>
                <w:szCs w:val="14"/>
              </w:rPr>
              <w:t>rozpočet</w:t>
            </w:r>
          </w:p>
        </w:tc>
        <w:tc>
          <w:tcPr>
            <w:tcW w:w="1134" w:type="dxa"/>
            <w:tcBorders>
              <w:top w:val="nil"/>
              <w:left w:val="nil"/>
              <w:bottom w:val="single" w:sz="4" w:space="0" w:color="auto"/>
              <w:right w:val="single" w:sz="4" w:space="0" w:color="auto"/>
            </w:tcBorders>
            <w:shd w:val="clear" w:color="63993F" w:fill="70AD47"/>
            <w:noWrap/>
            <w:vAlign w:val="center"/>
            <w:hideMark/>
          </w:tcPr>
          <w:p w:rsidR="00AF2C55" w:rsidRPr="00AF2C55" w:rsidRDefault="00AF2C55">
            <w:pPr>
              <w:jc w:val="center"/>
              <w:rPr>
                <w:rFonts w:ascii="Calibri" w:hAnsi="Calibri" w:cs="Calibri"/>
                <w:color w:val="000000"/>
                <w:sz w:val="14"/>
                <w:szCs w:val="14"/>
              </w:rPr>
            </w:pPr>
            <w:r w:rsidRPr="00AF2C55">
              <w:rPr>
                <w:rFonts w:ascii="Calibri" w:hAnsi="Calibri" w:cs="Calibri"/>
                <w:color w:val="000000"/>
                <w:sz w:val="14"/>
                <w:szCs w:val="14"/>
              </w:rPr>
              <w:t>Skutečnost</w:t>
            </w:r>
          </w:p>
        </w:tc>
        <w:tc>
          <w:tcPr>
            <w:tcW w:w="709" w:type="dxa"/>
            <w:tcBorders>
              <w:top w:val="nil"/>
              <w:left w:val="nil"/>
              <w:bottom w:val="single" w:sz="4" w:space="0" w:color="auto"/>
              <w:right w:val="single" w:sz="4" w:space="0" w:color="auto"/>
            </w:tcBorders>
            <w:shd w:val="clear" w:color="63993F" w:fill="70AD47"/>
            <w:vAlign w:val="center"/>
            <w:hideMark/>
          </w:tcPr>
          <w:p w:rsidR="00AF2C55" w:rsidRPr="00AF2C55" w:rsidRDefault="00AF2C55">
            <w:pPr>
              <w:jc w:val="center"/>
              <w:rPr>
                <w:rFonts w:ascii="Calibri" w:hAnsi="Calibri" w:cs="Calibri"/>
                <w:color w:val="000000"/>
                <w:sz w:val="14"/>
                <w:szCs w:val="14"/>
              </w:rPr>
            </w:pPr>
            <w:r w:rsidRPr="00AF2C55">
              <w:rPr>
                <w:rFonts w:ascii="Calibri" w:hAnsi="Calibri" w:cs="Calibri"/>
                <w:color w:val="000000"/>
                <w:sz w:val="14"/>
                <w:szCs w:val="14"/>
              </w:rPr>
              <w:t>Plnění rozpočtu</w:t>
            </w:r>
          </w:p>
        </w:tc>
        <w:tc>
          <w:tcPr>
            <w:tcW w:w="1134" w:type="dxa"/>
            <w:tcBorders>
              <w:top w:val="nil"/>
              <w:left w:val="nil"/>
              <w:bottom w:val="single" w:sz="4" w:space="0" w:color="auto"/>
              <w:right w:val="single" w:sz="4" w:space="0" w:color="auto"/>
            </w:tcBorders>
            <w:shd w:val="clear" w:color="63993F" w:fill="70AD47"/>
            <w:noWrap/>
            <w:vAlign w:val="center"/>
            <w:hideMark/>
          </w:tcPr>
          <w:p w:rsidR="00AF2C55" w:rsidRPr="00AF2C55" w:rsidRDefault="00AF2C55">
            <w:pPr>
              <w:jc w:val="center"/>
              <w:rPr>
                <w:rFonts w:ascii="Calibri" w:hAnsi="Calibri" w:cs="Calibri"/>
                <w:color w:val="000000"/>
                <w:sz w:val="14"/>
                <w:szCs w:val="14"/>
              </w:rPr>
            </w:pPr>
            <w:r w:rsidRPr="00AF2C55">
              <w:rPr>
                <w:rFonts w:ascii="Calibri" w:hAnsi="Calibri" w:cs="Calibri"/>
                <w:color w:val="000000"/>
                <w:sz w:val="14"/>
                <w:szCs w:val="14"/>
              </w:rPr>
              <w:t>Skutečnost</w:t>
            </w: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F2C55" w:rsidRPr="00AF2C55" w:rsidRDefault="00AF2C55">
            <w:pPr>
              <w:rPr>
                <w:rFonts w:ascii="Calibri" w:hAnsi="Calibri" w:cs="Calibri"/>
                <w:color w:val="000000"/>
                <w:sz w:val="14"/>
                <w:szCs w:val="14"/>
              </w:rPr>
            </w:pP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 </w:t>
            </w:r>
          </w:p>
        </w:tc>
        <w:tc>
          <w:tcPr>
            <w:tcW w:w="3677"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Bez paragrafu</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898 640 828,91</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1 094 040 759,50</w:t>
            </w:r>
          </w:p>
        </w:tc>
        <w:tc>
          <w:tcPr>
            <w:tcW w:w="709"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121,74 %</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976 590 661,30</w:t>
            </w:r>
          </w:p>
        </w:tc>
        <w:tc>
          <w:tcPr>
            <w:tcW w:w="1142"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117 450 098,20</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1031</w:t>
            </w:r>
          </w:p>
        </w:tc>
        <w:tc>
          <w:tcPr>
            <w:tcW w:w="3677"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Pěstební činnost</w:t>
            </w:r>
          </w:p>
        </w:tc>
        <w:tc>
          <w:tcPr>
            <w:tcW w:w="1134"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2 420 000,00</w:t>
            </w:r>
          </w:p>
        </w:tc>
        <w:tc>
          <w:tcPr>
            <w:tcW w:w="1134"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4 598 000,00</w:t>
            </w:r>
          </w:p>
        </w:tc>
        <w:tc>
          <w:tcPr>
            <w:tcW w:w="709"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190,00 %</w:t>
            </w:r>
          </w:p>
        </w:tc>
        <w:tc>
          <w:tcPr>
            <w:tcW w:w="1134"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4 719 000,00</w:t>
            </w:r>
          </w:p>
        </w:tc>
        <w:tc>
          <w:tcPr>
            <w:tcW w:w="1142"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-121 000,00</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C4C4C4" w:fill="C6E0B4"/>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1XXX</w:t>
            </w:r>
          </w:p>
        </w:tc>
        <w:tc>
          <w:tcPr>
            <w:tcW w:w="3677" w:type="dxa"/>
            <w:tcBorders>
              <w:top w:val="nil"/>
              <w:left w:val="nil"/>
              <w:bottom w:val="single" w:sz="4" w:space="0" w:color="auto"/>
              <w:right w:val="single" w:sz="4" w:space="0" w:color="auto"/>
            </w:tcBorders>
            <w:shd w:val="clear" w:color="C4C4C4" w:fill="C6E0B4"/>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Zemědělství, lesní hospodářství a rybářství</w:t>
            </w:r>
          </w:p>
        </w:tc>
        <w:tc>
          <w:tcPr>
            <w:tcW w:w="1134" w:type="dxa"/>
            <w:tcBorders>
              <w:top w:val="nil"/>
              <w:left w:val="nil"/>
              <w:bottom w:val="single" w:sz="4" w:space="0" w:color="auto"/>
              <w:right w:val="single" w:sz="4" w:space="0" w:color="auto"/>
            </w:tcBorders>
            <w:shd w:val="clear" w:color="C4C4C4" w:fill="C6E0B4"/>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2 420 000,00</w:t>
            </w:r>
          </w:p>
        </w:tc>
        <w:tc>
          <w:tcPr>
            <w:tcW w:w="1134" w:type="dxa"/>
            <w:tcBorders>
              <w:top w:val="nil"/>
              <w:left w:val="nil"/>
              <w:bottom w:val="single" w:sz="4" w:space="0" w:color="auto"/>
              <w:right w:val="single" w:sz="4" w:space="0" w:color="auto"/>
            </w:tcBorders>
            <w:shd w:val="clear" w:color="C4C4C4" w:fill="C6E0B4"/>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4 598 000,00</w:t>
            </w:r>
          </w:p>
        </w:tc>
        <w:tc>
          <w:tcPr>
            <w:tcW w:w="709" w:type="dxa"/>
            <w:tcBorders>
              <w:top w:val="nil"/>
              <w:left w:val="nil"/>
              <w:bottom w:val="single" w:sz="4" w:space="0" w:color="auto"/>
              <w:right w:val="single" w:sz="4" w:space="0" w:color="auto"/>
            </w:tcBorders>
            <w:shd w:val="clear" w:color="C4C4C4" w:fill="C6E0B4"/>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190,00 %</w:t>
            </w:r>
          </w:p>
        </w:tc>
        <w:tc>
          <w:tcPr>
            <w:tcW w:w="1134" w:type="dxa"/>
            <w:tcBorders>
              <w:top w:val="nil"/>
              <w:left w:val="nil"/>
              <w:bottom w:val="single" w:sz="4" w:space="0" w:color="auto"/>
              <w:right w:val="single" w:sz="4" w:space="0" w:color="auto"/>
            </w:tcBorders>
            <w:shd w:val="clear" w:color="C4C4C4" w:fill="C6E0B4"/>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4 719 000,00</w:t>
            </w:r>
          </w:p>
        </w:tc>
        <w:tc>
          <w:tcPr>
            <w:tcW w:w="1142" w:type="dxa"/>
            <w:tcBorders>
              <w:top w:val="nil"/>
              <w:left w:val="nil"/>
              <w:bottom w:val="single" w:sz="4" w:space="0" w:color="auto"/>
              <w:right w:val="single" w:sz="4" w:space="0" w:color="auto"/>
            </w:tcBorders>
            <w:shd w:val="clear" w:color="C4C4C4" w:fill="C6E0B4"/>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-121 000,00</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2212</w:t>
            </w:r>
          </w:p>
        </w:tc>
        <w:tc>
          <w:tcPr>
            <w:tcW w:w="3677"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Silnice</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192 244,00</w:t>
            </w:r>
          </w:p>
        </w:tc>
        <w:tc>
          <w:tcPr>
            <w:tcW w:w="709"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0,00</w:t>
            </w:r>
          </w:p>
        </w:tc>
        <w:tc>
          <w:tcPr>
            <w:tcW w:w="1142"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192 244,00</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2219</w:t>
            </w:r>
          </w:p>
        </w:tc>
        <w:tc>
          <w:tcPr>
            <w:tcW w:w="3677"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Ostatní záležitosti pozemních komunikací</w:t>
            </w:r>
          </w:p>
        </w:tc>
        <w:tc>
          <w:tcPr>
            <w:tcW w:w="1134"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10 000,00</w:t>
            </w:r>
          </w:p>
        </w:tc>
        <w:tc>
          <w:tcPr>
            <w:tcW w:w="1134"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234 348,00</w:t>
            </w:r>
          </w:p>
        </w:tc>
        <w:tc>
          <w:tcPr>
            <w:tcW w:w="709"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w:t>
            </w:r>
          </w:p>
        </w:tc>
        <w:tc>
          <w:tcPr>
            <w:tcW w:w="1134"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323 795,40</w:t>
            </w:r>
          </w:p>
        </w:tc>
        <w:tc>
          <w:tcPr>
            <w:tcW w:w="1142"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-89 447,40</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2221</w:t>
            </w:r>
          </w:p>
        </w:tc>
        <w:tc>
          <w:tcPr>
            <w:tcW w:w="3677"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Provoz veřejné silniční dopravy</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0,00</w:t>
            </w:r>
          </w:p>
        </w:tc>
        <w:tc>
          <w:tcPr>
            <w:tcW w:w="709"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3 311 001,39</w:t>
            </w:r>
          </w:p>
        </w:tc>
        <w:tc>
          <w:tcPr>
            <w:tcW w:w="1142"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-3 311 001,39</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2229</w:t>
            </w:r>
          </w:p>
        </w:tc>
        <w:tc>
          <w:tcPr>
            <w:tcW w:w="3677"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Ostatní záležitosti v silniční dopravě</w:t>
            </w:r>
          </w:p>
        </w:tc>
        <w:tc>
          <w:tcPr>
            <w:tcW w:w="1134"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4 500 000,00</w:t>
            </w:r>
          </w:p>
        </w:tc>
        <w:tc>
          <w:tcPr>
            <w:tcW w:w="1134"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9 889 524,66</w:t>
            </w:r>
          </w:p>
        </w:tc>
        <w:tc>
          <w:tcPr>
            <w:tcW w:w="709"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219,77 %</w:t>
            </w:r>
          </w:p>
        </w:tc>
        <w:tc>
          <w:tcPr>
            <w:tcW w:w="1134"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5 923 998,64</w:t>
            </w:r>
          </w:p>
        </w:tc>
        <w:tc>
          <w:tcPr>
            <w:tcW w:w="1142"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3 965 526,02</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2310</w:t>
            </w:r>
          </w:p>
        </w:tc>
        <w:tc>
          <w:tcPr>
            <w:tcW w:w="3677"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Pitná voda</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1 994 601,00</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2 146 710,62</w:t>
            </w:r>
          </w:p>
        </w:tc>
        <w:tc>
          <w:tcPr>
            <w:tcW w:w="709"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107,63 %</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1 695 073,53</w:t>
            </w:r>
          </w:p>
        </w:tc>
        <w:tc>
          <w:tcPr>
            <w:tcW w:w="1142"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451 637,09</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C4C4C4" w:fill="C6E0B4"/>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2XXX</w:t>
            </w:r>
          </w:p>
        </w:tc>
        <w:tc>
          <w:tcPr>
            <w:tcW w:w="3677" w:type="dxa"/>
            <w:tcBorders>
              <w:top w:val="nil"/>
              <w:left w:val="nil"/>
              <w:bottom w:val="single" w:sz="4" w:space="0" w:color="auto"/>
              <w:right w:val="single" w:sz="4" w:space="0" w:color="auto"/>
            </w:tcBorders>
            <w:shd w:val="clear" w:color="C4C4C4" w:fill="C6E0B4"/>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Průmyslová a ostatní odvětví hospod</w:t>
            </w:r>
            <w:r>
              <w:rPr>
                <w:rFonts w:ascii="Calibri" w:hAnsi="Calibri" w:cs="Calibri"/>
                <w:color w:val="000000"/>
                <w:sz w:val="14"/>
                <w:szCs w:val="14"/>
              </w:rPr>
              <w:t>ář</w:t>
            </w:r>
            <w:r w:rsidRPr="00AF2C55">
              <w:rPr>
                <w:rFonts w:ascii="Calibri" w:hAnsi="Calibri" w:cs="Calibri"/>
                <w:color w:val="000000"/>
                <w:sz w:val="14"/>
                <w:szCs w:val="14"/>
              </w:rPr>
              <w:t>ství</w:t>
            </w:r>
          </w:p>
        </w:tc>
        <w:tc>
          <w:tcPr>
            <w:tcW w:w="1134" w:type="dxa"/>
            <w:tcBorders>
              <w:top w:val="nil"/>
              <w:left w:val="nil"/>
              <w:bottom w:val="single" w:sz="4" w:space="0" w:color="auto"/>
              <w:right w:val="single" w:sz="4" w:space="0" w:color="auto"/>
            </w:tcBorders>
            <w:shd w:val="clear" w:color="C4C4C4" w:fill="C6E0B4"/>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6 504 601,00</w:t>
            </w:r>
          </w:p>
        </w:tc>
        <w:tc>
          <w:tcPr>
            <w:tcW w:w="1134" w:type="dxa"/>
            <w:tcBorders>
              <w:top w:val="nil"/>
              <w:left w:val="nil"/>
              <w:bottom w:val="single" w:sz="4" w:space="0" w:color="auto"/>
              <w:right w:val="single" w:sz="4" w:space="0" w:color="auto"/>
            </w:tcBorders>
            <w:shd w:val="clear" w:color="C4C4C4" w:fill="C6E0B4"/>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12 462 827,28</w:t>
            </w:r>
          </w:p>
        </w:tc>
        <w:tc>
          <w:tcPr>
            <w:tcW w:w="709" w:type="dxa"/>
            <w:tcBorders>
              <w:top w:val="nil"/>
              <w:left w:val="nil"/>
              <w:bottom w:val="single" w:sz="4" w:space="0" w:color="auto"/>
              <w:right w:val="single" w:sz="4" w:space="0" w:color="auto"/>
            </w:tcBorders>
            <w:shd w:val="clear" w:color="C4C4C4" w:fill="C6E0B4"/>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191,60 %</w:t>
            </w:r>
          </w:p>
        </w:tc>
        <w:tc>
          <w:tcPr>
            <w:tcW w:w="1134" w:type="dxa"/>
            <w:tcBorders>
              <w:top w:val="nil"/>
              <w:left w:val="nil"/>
              <w:bottom w:val="single" w:sz="4" w:space="0" w:color="auto"/>
              <w:right w:val="single" w:sz="4" w:space="0" w:color="auto"/>
            </w:tcBorders>
            <w:shd w:val="clear" w:color="C4C4C4" w:fill="C6E0B4"/>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11 253 868,96</w:t>
            </w:r>
          </w:p>
        </w:tc>
        <w:tc>
          <w:tcPr>
            <w:tcW w:w="1142" w:type="dxa"/>
            <w:tcBorders>
              <w:top w:val="nil"/>
              <w:left w:val="nil"/>
              <w:bottom w:val="single" w:sz="4" w:space="0" w:color="auto"/>
              <w:right w:val="single" w:sz="4" w:space="0" w:color="auto"/>
            </w:tcBorders>
            <w:shd w:val="clear" w:color="C4C4C4" w:fill="C6E0B4"/>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1 208 958,32</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3111</w:t>
            </w:r>
          </w:p>
        </w:tc>
        <w:tc>
          <w:tcPr>
            <w:tcW w:w="3677"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Mateřské školy</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2 434 824,00</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5 137 725,26</w:t>
            </w:r>
          </w:p>
        </w:tc>
        <w:tc>
          <w:tcPr>
            <w:tcW w:w="709"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211,01 %</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2 622 406,96</w:t>
            </w:r>
          </w:p>
        </w:tc>
        <w:tc>
          <w:tcPr>
            <w:tcW w:w="1142"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2 515 318,30</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3113</w:t>
            </w:r>
          </w:p>
        </w:tc>
        <w:tc>
          <w:tcPr>
            <w:tcW w:w="3677"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Základní školy</w:t>
            </w:r>
          </w:p>
        </w:tc>
        <w:tc>
          <w:tcPr>
            <w:tcW w:w="1134"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8 209 269,41</w:t>
            </w:r>
          </w:p>
        </w:tc>
        <w:tc>
          <w:tcPr>
            <w:tcW w:w="1134"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9 624 021,25</w:t>
            </w:r>
          </w:p>
        </w:tc>
        <w:tc>
          <w:tcPr>
            <w:tcW w:w="709"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117,23 %</w:t>
            </w:r>
          </w:p>
        </w:tc>
        <w:tc>
          <w:tcPr>
            <w:tcW w:w="1134"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8 673 021,09</w:t>
            </w:r>
          </w:p>
        </w:tc>
        <w:tc>
          <w:tcPr>
            <w:tcW w:w="1142"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951 000,16</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3121</w:t>
            </w:r>
          </w:p>
        </w:tc>
        <w:tc>
          <w:tcPr>
            <w:tcW w:w="3677"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Gymnázia</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823 000,00</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896 256,00</w:t>
            </w:r>
          </w:p>
        </w:tc>
        <w:tc>
          <w:tcPr>
            <w:tcW w:w="709"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108,90 %</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986 215,85</w:t>
            </w:r>
          </w:p>
        </w:tc>
        <w:tc>
          <w:tcPr>
            <w:tcW w:w="1142"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-89 959,85</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3122</w:t>
            </w:r>
          </w:p>
        </w:tc>
        <w:tc>
          <w:tcPr>
            <w:tcW w:w="3677"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Střední odborné školy</w:t>
            </w:r>
          </w:p>
        </w:tc>
        <w:tc>
          <w:tcPr>
            <w:tcW w:w="1134"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1 755 248,00</w:t>
            </w:r>
          </w:p>
        </w:tc>
        <w:tc>
          <w:tcPr>
            <w:tcW w:w="1134"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1 829 808,00</w:t>
            </w:r>
          </w:p>
        </w:tc>
        <w:tc>
          <w:tcPr>
            <w:tcW w:w="709"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104,25 %</w:t>
            </w:r>
          </w:p>
        </w:tc>
        <w:tc>
          <w:tcPr>
            <w:tcW w:w="1134"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1 843 285,00</w:t>
            </w:r>
          </w:p>
        </w:tc>
        <w:tc>
          <w:tcPr>
            <w:tcW w:w="1142"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-13 477,00</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F2F2F2" w:fill="FFFFFF"/>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3123</w:t>
            </w:r>
          </w:p>
        </w:tc>
        <w:tc>
          <w:tcPr>
            <w:tcW w:w="3677" w:type="dxa"/>
            <w:tcBorders>
              <w:top w:val="nil"/>
              <w:left w:val="nil"/>
              <w:bottom w:val="single" w:sz="4" w:space="0" w:color="auto"/>
              <w:right w:val="single" w:sz="4" w:space="0" w:color="auto"/>
            </w:tcBorders>
            <w:shd w:val="clear" w:color="F2F2F2" w:fill="FFFFFF"/>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Střední školy p</w:t>
            </w:r>
            <w:r w:rsidR="006E3623">
              <w:rPr>
                <w:rFonts w:ascii="Calibri" w:hAnsi="Calibri" w:cs="Calibri"/>
                <w:color w:val="000000"/>
                <w:sz w:val="14"/>
                <w:szCs w:val="14"/>
              </w:rPr>
              <w:t>oskytující středoškol. vzdělání</w:t>
            </w:r>
            <w:r w:rsidRPr="00AF2C55">
              <w:rPr>
                <w:rFonts w:ascii="Calibri" w:hAnsi="Calibri" w:cs="Calibri"/>
                <w:color w:val="000000"/>
                <w:sz w:val="14"/>
                <w:szCs w:val="14"/>
              </w:rPr>
              <w:t xml:space="preserve"> s výučním listem</w:t>
            </w:r>
          </w:p>
        </w:tc>
        <w:tc>
          <w:tcPr>
            <w:tcW w:w="1134" w:type="dxa"/>
            <w:tcBorders>
              <w:top w:val="nil"/>
              <w:left w:val="nil"/>
              <w:bottom w:val="single" w:sz="4" w:space="0" w:color="auto"/>
              <w:right w:val="single" w:sz="4" w:space="0" w:color="auto"/>
            </w:tcBorders>
            <w:shd w:val="clear" w:color="F2F2F2" w:fill="FFFFFF"/>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29 442,00</w:t>
            </w:r>
          </w:p>
        </w:tc>
        <w:tc>
          <w:tcPr>
            <w:tcW w:w="1134" w:type="dxa"/>
            <w:tcBorders>
              <w:top w:val="nil"/>
              <w:left w:val="nil"/>
              <w:bottom w:val="single" w:sz="4" w:space="0" w:color="auto"/>
              <w:right w:val="single" w:sz="4" w:space="0" w:color="auto"/>
            </w:tcBorders>
            <w:shd w:val="clear" w:color="F2F2F2" w:fill="FFFFFF"/>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29 442,00</w:t>
            </w:r>
          </w:p>
        </w:tc>
        <w:tc>
          <w:tcPr>
            <w:tcW w:w="709" w:type="dxa"/>
            <w:tcBorders>
              <w:top w:val="nil"/>
              <w:left w:val="nil"/>
              <w:bottom w:val="single" w:sz="4" w:space="0" w:color="auto"/>
              <w:right w:val="single" w:sz="4" w:space="0" w:color="auto"/>
            </w:tcBorders>
            <w:shd w:val="clear" w:color="F2F2F2" w:fill="FFFFFF"/>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100,00 %</w:t>
            </w:r>
          </w:p>
        </w:tc>
        <w:tc>
          <w:tcPr>
            <w:tcW w:w="1134" w:type="dxa"/>
            <w:tcBorders>
              <w:top w:val="nil"/>
              <w:left w:val="nil"/>
              <w:bottom w:val="single" w:sz="4" w:space="0" w:color="auto"/>
              <w:right w:val="single" w:sz="4" w:space="0" w:color="auto"/>
            </w:tcBorders>
            <w:shd w:val="clear" w:color="F2F2F2" w:fill="FFFFFF"/>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29 442,00</w:t>
            </w:r>
          </w:p>
        </w:tc>
        <w:tc>
          <w:tcPr>
            <w:tcW w:w="1142" w:type="dxa"/>
            <w:tcBorders>
              <w:top w:val="nil"/>
              <w:left w:val="nil"/>
              <w:bottom w:val="single" w:sz="4" w:space="0" w:color="auto"/>
              <w:right w:val="single" w:sz="4" w:space="0" w:color="auto"/>
            </w:tcBorders>
            <w:shd w:val="clear" w:color="F2F2F2" w:fill="FFFFFF"/>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0,00</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3231</w:t>
            </w:r>
          </w:p>
        </w:tc>
        <w:tc>
          <w:tcPr>
            <w:tcW w:w="3677"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Základní umělecké školy</w:t>
            </w:r>
          </w:p>
        </w:tc>
        <w:tc>
          <w:tcPr>
            <w:tcW w:w="1134"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657 156,00</w:t>
            </w:r>
          </w:p>
        </w:tc>
        <w:tc>
          <w:tcPr>
            <w:tcW w:w="1134"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657 156,00</w:t>
            </w:r>
          </w:p>
        </w:tc>
        <w:tc>
          <w:tcPr>
            <w:tcW w:w="709"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100,00 %</w:t>
            </w:r>
          </w:p>
        </w:tc>
        <w:tc>
          <w:tcPr>
            <w:tcW w:w="1134"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864 752,19</w:t>
            </w:r>
          </w:p>
        </w:tc>
        <w:tc>
          <w:tcPr>
            <w:tcW w:w="1142"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-207 596,19</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3233</w:t>
            </w:r>
          </w:p>
        </w:tc>
        <w:tc>
          <w:tcPr>
            <w:tcW w:w="3677"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Střediska volného času</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6 972 281,53</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8 548 236,50</w:t>
            </w:r>
          </w:p>
        </w:tc>
        <w:tc>
          <w:tcPr>
            <w:tcW w:w="709"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122,60 %</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3 194 906,47</w:t>
            </w:r>
          </w:p>
        </w:tc>
        <w:tc>
          <w:tcPr>
            <w:tcW w:w="1142"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5 353 330,03</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3299</w:t>
            </w:r>
          </w:p>
        </w:tc>
        <w:tc>
          <w:tcPr>
            <w:tcW w:w="3677"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Ostatní záležitosti vzdělávání</w:t>
            </w:r>
          </w:p>
        </w:tc>
        <w:tc>
          <w:tcPr>
            <w:tcW w:w="1134"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698,00</w:t>
            </w:r>
          </w:p>
        </w:tc>
        <w:tc>
          <w:tcPr>
            <w:tcW w:w="709"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w:t>
            </w:r>
          </w:p>
        </w:tc>
        <w:tc>
          <w:tcPr>
            <w:tcW w:w="1134"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0,00</w:t>
            </w:r>
          </w:p>
        </w:tc>
        <w:tc>
          <w:tcPr>
            <w:tcW w:w="1142"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698,00</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3311</w:t>
            </w:r>
          </w:p>
        </w:tc>
        <w:tc>
          <w:tcPr>
            <w:tcW w:w="3677"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Divadelní činnost</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544 600,31</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561 599,61</w:t>
            </w:r>
          </w:p>
        </w:tc>
        <w:tc>
          <w:tcPr>
            <w:tcW w:w="709"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103,12 %</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582 319,07</w:t>
            </w:r>
          </w:p>
        </w:tc>
        <w:tc>
          <w:tcPr>
            <w:tcW w:w="1142"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-20 719,46</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3313</w:t>
            </w:r>
          </w:p>
        </w:tc>
        <w:tc>
          <w:tcPr>
            <w:tcW w:w="3677"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Film.</w:t>
            </w:r>
            <w:r w:rsidR="006E3623">
              <w:rPr>
                <w:rFonts w:ascii="Calibri" w:hAnsi="Calibri" w:cs="Calibri"/>
                <w:color w:val="000000"/>
                <w:sz w:val="14"/>
                <w:szCs w:val="14"/>
              </w:rPr>
              <w:t xml:space="preserve"> </w:t>
            </w:r>
            <w:r w:rsidRPr="00AF2C55">
              <w:rPr>
                <w:rFonts w:ascii="Calibri" w:hAnsi="Calibri" w:cs="Calibri"/>
                <w:color w:val="000000"/>
                <w:sz w:val="14"/>
                <w:szCs w:val="14"/>
              </w:rPr>
              <w:t>tvorba,</w:t>
            </w:r>
            <w:r w:rsidR="006E3623">
              <w:rPr>
                <w:rFonts w:ascii="Calibri" w:hAnsi="Calibri" w:cs="Calibri"/>
                <w:color w:val="000000"/>
                <w:sz w:val="14"/>
                <w:szCs w:val="14"/>
              </w:rPr>
              <w:t xml:space="preserve"> </w:t>
            </w:r>
            <w:r w:rsidRPr="00AF2C55">
              <w:rPr>
                <w:rFonts w:ascii="Calibri" w:hAnsi="Calibri" w:cs="Calibri"/>
                <w:color w:val="000000"/>
                <w:sz w:val="14"/>
                <w:szCs w:val="14"/>
              </w:rPr>
              <w:t>distribuce, kina a shrom.</w:t>
            </w:r>
            <w:r w:rsidR="006E3623">
              <w:rPr>
                <w:rFonts w:ascii="Calibri" w:hAnsi="Calibri" w:cs="Calibri"/>
                <w:color w:val="000000"/>
                <w:sz w:val="14"/>
                <w:szCs w:val="14"/>
              </w:rPr>
              <w:t xml:space="preserve"> </w:t>
            </w:r>
            <w:r w:rsidRPr="00AF2C55">
              <w:rPr>
                <w:rFonts w:ascii="Calibri" w:hAnsi="Calibri" w:cs="Calibri"/>
                <w:color w:val="000000"/>
                <w:sz w:val="14"/>
                <w:szCs w:val="14"/>
              </w:rPr>
              <w:t>audio archiv.</w:t>
            </w:r>
          </w:p>
        </w:tc>
        <w:tc>
          <w:tcPr>
            <w:tcW w:w="1134"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395 148,00</w:t>
            </w:r>
          </w:p>
        </w:tc>
        <w:tc>
          <w:tcPr>
            <w:tcW w:w="1134"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395 224,00</w:t>
            </w:r>
          </w:p>
        </w:tc>
        <w:tc>
          <w:tcPr>
            <w:tcW w:w="709"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100,02 %</w:t>
            </w:r>
          </w:p>
        </w:tc>
        <w:tc>
          <w:tcPr>
            <w:tcW w:w="1134"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965 167,00</w:t>
            </w:r>
          </w:p>
        </w:tc>
        <w:tc>
          <w:tcPr>
            <w:tcW w:w="1142"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-569 943,00</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3314</w:t>
            </w:r>
          </w:p>
        </w:tc>
        <w:tc>
          <w:tcPr>
            <w:tcW w:w="3677"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Činnosti knihovnické</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430 471,00</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431 933,60</w:t>
            </w:r>
          </w:p>
        </w:tc>
        <w:tc>
          <w:tcPr>
            <w:tcW w:w="709"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100,34 %</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423 802,00</w:t>
            </w:r>
          </w:p>
        </w:tc>
        <w:tc>
          <w:tcPr>
            <w:tcW w:w="1142"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8 131,60</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3315</w:t>
            </w:r>
          </w:p>
        </w:tc>
        <w:tc>
          <w:tcPr>
            <w:tcW w:w="3677"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Činnosti muzeí a galerií</w:t>
            </w:r>
          </w:p>
        </w:tc>
        <w:tc>
          <w:tcPr>
            <w:tcW w:w="1134"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540 000,00</w:t>
            </w:r>
          </w:p>
        </w:tc>
        <w:tc>
          <w:tcPr>
            <w:tcW w:w="1134"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540 000,00</w:t>
            </w:r>
          </w:p>
        </w:tc>
        <w:tc>
          <w:tcPr>
            <w:tcW w:w="709"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100,00 %</w:t>
            </w:r>
          </w:p>
        </w:tc>
        <w:tc>
          <w:tcPr>
            <w:tcW w:w="1134"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540 000,00</w:t>
            </w:r>
          </w:p>
        </w:tc>
        <w:tc>
          <w:tcPr>
            <w:tcW w:w="1142"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0,00</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3319</w:t>
            </w:r>
          </w:p>
        </w:tc>
        <w:tc>
          <w:tcPr>
            <w:tcW w:w="3677"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Ostatní záležitosti kultury</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1 930 950,00</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2 719 142,00</w:t>
            </w:r>
          </w:p>
        </w:tc>
        <w:tc>
          <w:tcPr>
            <w:tcW w:w="709"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140,82 %</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711 758,00</w:t>
            </w:r>
          </w:p>
        </w:tc>
        <w:tc>
          <w:tcPr>
            <w:tcW w:w="1142"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2 007 384,00</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3412</w:t>
            </w:r>
          </w:p>
        </w:tc>
        <w:tc>
          <w:tcPr>
            <w:tcW w:w="3677"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Sportovní zařízení ve vlastnictví obce</w:t>
            </w:r>
          </w:p>
        </w:tc>
        <w:tc>
          <w:tcPr>
            <w:tcW w:w="1134"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600 000,00</w:t>
            </w:r>
          </w:p>
        </w:tc>
        <w:tc>
          <w:tcPr>
            <w:tcW w:w="1134"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393 996,00</w:t>
            </w:r>
          </w:p>
        </w:tc>
        <w:tc>
          <w:tcPr>
            <w:tcW w:w="709"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65,67 %</w:t>
            </w:r>
          </w:p>
        </w:tc>
        <w:tc>
          <w:tcPr>
            <w:tcW w:w="1134"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286 313,00</w:t>
            </w:r>
          </w:p>
        </w:tc>
        <w:tc>
          <w:tcPr>
            <w:tcW w:w="1142"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107 683,00</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3419</w:t>
            </w:r>
          </w:p>
        </w:tc>
        <w:tc>
          <w:tcPr>
            <w:tcW w:w="3677"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Ostatní sportovní činnost</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0,00</w:t>
            </w:r>
          </w:p>
        </w:tc>
        <w:tc>
          <w:tcPr>
            <w:tcW w:w="709"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371 372,24</w:t>
            </w:r>
          </w:p>
        </w:tc>
        <w:tc>
          <w:tcPr>
            <w:tcW w:w="1142"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-371 372,24</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3421</w:t>
            </w:r>
          </w:p>
        </w:tc>
        <w:tc>
          <w:tcPr>
            <w:tcW w:w="3677"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Využití volného času dětí a mládeže</w:t>
            </w:r>
          </w:p>
        </w:tc>
        <w:tc>
          <w:tcPr>
            <w:tcW w:w="1134"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0,00</w:t>
            </w:r>
          </w:p>
        </w:tc>
        <w:tc>
          <w:tcPr>
            <w:tcW w:w="709"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w:t>
            </w:r>
          </w:p>
        </w:tc>
        <w:tc>
          <w:tcPr>
            <w:tcW w:w="1134"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0,00</w:t>
            </w:r>
          </w:p>
        </w:tc>
        <w:tc>
          <w:tcPr>
            <w:tcW w:w="1142"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0,00</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3429</w:t>
            </w:r>
          </w:p>
        </w:tc>
        <w:tc>
          <w:tcPr>
            <w:tcW w:w="3677"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Ostatní zájmová činnost a rekreace</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0,00</w:t>
            </w:r>
          </w:p>
        </w:tc>
        <w:tc>
          <w:tcPr>
            <w:tcW w:w="709"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0,00</w:t>
            </w:r>
          </w:p>
        </w:tc>
        <w:tc>
          <w:tcPr>
            <w:tcW w:w="1142"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0,00</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3539</w:t>
            </w:r>
          </w:p>
        </w:tc>
        <w:tc>
          <w:tcPr>
            <w:tcW w:w="3677"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Ostatní zdravotnická zaříz.</w:t>
            </w:r>
            <w:r w:rsidR="006E3623">
              <w:rPr>
                <w:rFonts w:ascii="Calibri" w:hAnsi="Calibri" w:cs="Calibri"/>
                <w:color w:val="000000"/>
                <w:sz w:val="14"/>
                <w:szCs w:val="14"/>
              </w:rPr>
              <w:t xml:space="preserve"> </w:t>
            </w:r>
            <w:r w:rsidRPr="00AF2C55">
              <w:rPr>
                <w:rFonts w:ascii="Calibri" w:hAnsi="Calibri" w:cs="Calibri"/>
                <w:color w:val="000000"/>
                <w:sz w:val="14"/>
                <w:szCs w:val="14"/>
              </w:rPr>
              <w:t>a služby pro zdravot.</w:t>
            </w:r>
          </w:p>
        </w:tc>
        <w:tc>
          <w:tcPr>
            <w:tcW w:w="1134"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0,00</w:t>
            </w:r>
          </w:p>
        </w:tc>
        <w:tc>
          <w:tcPr>
            <w:tcW w:w="709"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w:t>
            </w:r>
          </w:p>
        </w:tc>
        <w:tc>
          <w:tcPr>
            <w:tcW w:w="1134"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0,00</w:t>
            </w:r>
          </w:p>
        </w:tc>
        <w:tc>
          <w:tcPr>
            <w:tcW w:w="1142"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0,00</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3612</w:t>
            </w:r>
          </w:p>
        </w:tc>
        <w:tc>
          <w:tcPr>
            <w:tcW w:w="3677"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Bytové hospodářství</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65 041 000,00</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63 112 427,00</w:t>
            </w:r>
          </w:p>
        </w:tc>
        <w:tc>
          <w:tcPr>
            <w:tcW w:w="709"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97,03 %</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60 938 350,27</w:t>
            </w:r>
          </w:p>
        </w:tc>
        <w:tc>
          <w:tcPr>
            <w:tcW w:w="1142"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2 174 076,73</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3613</w:t>
            </w:r>
          </w:p>
        </w:tc>
        <w:tc>
          <w:tcPr>
            <w:tcW w:w="3677"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Nebytové hospodářství</w:t>
            </w:r>
          </w:p>
        </w:tc>
        <w:tc>
          <w:tcPr>
            <w:tcW w:w="1134"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12 000 000,00</w:t>
            </w:r>
          </w:p>
        </w:tc>
        <w:tc>
          <w:tcPr>
            <w:tcW w:w="1134"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12 229 037,00</w:t>
            </w:r>
          </w:p>
        </w:tc>
        <w:tc>
          <w:tcPr>
            <w:tcW w:w="709"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101,91 %</w:t>
            </w:r>
          </w:p>
        </w:tc>
        <w:tc>
          <w:tcPr>
            <w:tcW w:w="1134"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12 964 162,30</w:t>
            </w:r>
          </w:p>
        </w:tc>
        <w:tc>
          <w:tcPr>
            <w:tcW w:w="1142"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-735 125,30</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3619</w:t>
            </w:r>
          </w:p>
        </w:tc>
        <w:tc>
          <w:tcPr>
            <w:tcW w:w="3677"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Ostatní rozvoj bydlení a bytového hospodářství</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26 897,26</w:t>
            </w:r>
          </w:p>
        </w:tc>
        <w:tc>
          <w:tcPr>
            <w:tcW w:w="709"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18 826,37</w:t>
            </w:r>
          </w:p>
        </w:tc>
        <w:tc>
          <w:tcPr>
            <w:tcW w:w="1142"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8 070,89</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3632</w:t>
            </w:r>
          </w:p>
        </w:tc>
        <w:tc>
          <w:tcPr>
            <w:tcW w:w="3677"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Pohřebnictví</w:t>
            </w:r>
          </w:p>
        </w:tc>
        <w:tc>
          <w:tcPr>
            <w:tcW w:w="1134"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1 082 000,00</w:t>
            </w:r>
          </w:p>
        </w:tc>
        <w:tc>
          <w:tcPr>
            <w:tcW w:w="1134"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1 297 868,15</w:t>
            </w:r>
          </w:p>
        </w:tc>
        <w:tc>
          <w:tcPr>
            <w:tcW w:w="709"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119,95 %</w:t>
            </w:r>
          </w:p>
        </w:tc>
        <w:tc>
          <w:tcPr>
            <w:tcW w:w="1134"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894 157,81</w:t>
            </w:r>
          </w:p>
        </w:tc>
        <w:tc>
          <w:tcPr>
            <w:tcW w:w="1142"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403 710,34</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3634</w:t>
            </w:r>
          </w:p>
        </w:tc>
        <w:tc>
          <w:tcPr>
            <w:tcW w:w="3677"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Lokální zásobování teplem</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248 621,00</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248 621,12</w:t>
            </w:r>
          </w:p>
        </w:tc>
        <w:tc>
          <w:tcPr>
            <w:tcW w:w="709"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100,00 %</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268 151,82</w:t>
            </w:r>
          </w:p>
        </w:tc>
        <w:tc>
          <w:tcPr>
            <w:tcW w:w="1142"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-19 530,70</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3636</w:t>
            </w:r>
          </w:p>
        </w:tc>
        <w:tc>
          <w:tcPr>
            <w:tcW w:w="3677"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Územní rozvoj</w:t>
            </w:r>
          </w:p>
        </w:tc>
        <w:tc>
          <w:tcPr>
            <w:tcW w:w="1134"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50 000,00</w:t>
            </w:r>
          </w:p>
        </w:tc>
        <w:tc>
          <w:tcPr>
            <w:tcW w:w="1134"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149 000,00</w:t>
            </w:r>
          </w:p>
        </w:tc>
        <w:tc>
          <w:tcPr>
            <w:tcW w:w="709"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298,00 %</w:t>
            </w:r>
          </w:p>
        </w:tc>
        <w:tc>
          <w:tcPr>
            <w:tcW w:w="1134"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418 500,00</w:t>
            </w:r>
          </w:p>
        </w:tc>
        <w:tc>
          <w:tcPr>
            <w:tcW w:w="1142"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-269 500,00</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3639</w:t>
            </w:r>
          </w:p>
        </w:tc>
        <w:tc>
          <w:tcPr>
            <w:tcW w:w="3677"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Komunální služby a územní rozvoj j.</w:t>
            </w:r>
            <w:r w:rsidR="006E3623">
              <w:rPr>
                <w:rFonts w:ascii="Calibri" w:hAnsi="Calibri" w:cs="Calibri"/>
                <w:color w:val="000000"/>
                <w:sz w:val="14"/>
                <w:szCs w:val="14"/>
              </w:rPr>
              <w:t xml:space="preserve"> </w:t>
            </w:r>
            <w:r w:rsidRPr="00AF2C55">
              <w:rPr>
                <w:rFonts w:ascii="Calibri" w:hAnsi="Calibri" w:cs="Calibri"/>
                <w:color w:val="000000"/>
                <w:sz w:val="14"/>
                <w:szCs w:val="14"/>
              </w:rPr>
              <w:t>n.</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17 249 975,58</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18 747 089,98</w:t>
            </w:r>
          </w:p>
        </w:tc>
        <w:tc>
          <w:tcPr>
            <w:tcW w:w="709"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108,68 %</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21 393 281,55</w:t>
            </w:r>
          </w:p>
        </w:tc>
        <w:tc>
          <w:tcPr>
            <w:tcW w:w="1142"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-2 646 191,57</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3725</w:t>
            </w:r>
          </w:p>
        </w:tc>
        <w:tc>
          <w:tcPr>
            <w:tcW w:w="3677"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Využívání a zneškodňování komun.</w:t>
            </w:r>
            <w:r w:rsidR="006E3623">
              <w:rPr>
                <w:rFonts w:ascii="Calibri" w:hAnsi="Calibri" w:cs="Calibri"/>
                <w:color w:val="000000"/>
                <w:sz w:val="14"/>
                <w:szCs w:val="14"/>
              </w:rPr>
              <w:t xml:space="preserve"> </w:t>
            </w:r>
            <w:r w:rsidRPr="00AF2C55">
              <w:rPr>
                <w:rFonts w:ascii="Calibri" w:hAnsi="Calibri" w:cs="Calibri"/>
                <w:color w:val="000000"/>
                <w:sz w:val="14"/>
                <w:szCs w:val="14"/>
              </w:rPr>
              <w:t>odpadů</w:t>
            </w:r>
          </w:p>
        </w:tc>
        <w:tc>
          <w:tcPr>
            <w:tcW w:w="1134"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7 005 178,89</w:t>
            </w:r>
          </w:p>
        </w:tc>
        <w:tc>
          <w:tcPr>
            <w:tcW w:w="1134"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9 344 125,11</w:t>
            </w:r>
          </w:p>
        </w:tc>
        <w:tc>
          <w:tcPr>
            <w:tcW w:w="709"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133,39 %</w:t>
            </w:r>
          </w:p>
        </w:tc>
        <w:tc>
          <w:tcPr>
            <w:tcW w:w="1134"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7 573 298,17</w:t>
            </w:r>
          </w:p>
        </w:tc>
        <w:tc>
          <w:tcPr>
            <w:tcW w:w="1142"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1 770 826,94</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3745</w:t>
            </w:r>
          </w:p>
        </w:tc>
        <w:tc>
          <w:tcPr>
            <w:tcW w:w="3677"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Péče o vzhled obcí a veřejnou zeleň</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80 000,00</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152 787,00</w:t>
            </w:r>
          </w:p>
        </w:tc>
        <w:tc>
          <w:tcPr>
            <w:tcW w:w="709"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190,98 %</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166 506,00</w:t>
            </w:r>
          </w:p>
        </w:tc>
        <w:tc>
          <w:tcPr>
            <w:tcW w:w="1142"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-13 719,00</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3762</w:t>
            </w:r>
          </w:p>
        </w:tc>
        <w:tc>
          <w:tcPr>
            <w:tcW w:w="3677"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Činnost OOSS v ochraně životního prostředí</w:t>
            </w:r>
          </w:p>
        </w:tc>
        <w:tc>
          <w:tcPr>
            <w:tcW w:w="1134"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60 000,00</w:t>
            </w:r>
          </w:p>
        </w:tc>
        <w:tc>
          <w:tcPr>
            <w:tcW w:w="1134"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16 500,00</w:t>
            </w:r>
          </w:p>
        </w:tc>
        <w:tc>
          <w:tcPr>
            <w:tcW w:w="709"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27,50 %</w:t>
            </w:r>
          </w:p>
        </w:tc>
        <w:tc>
          <w:tcPr>
            <w:tcW w:w="1134"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0,00</w:t>
            </w:r>
          </w:p>
        </w:tc>
        <w:tc>
          <w:tcPr>
            <w:tcW w:w="1142"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16 500,00</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3769</w:t>
            </w:r>
          </w:p>
        </w:tc>
        <w:tc>
          <w:tcPr>
            <w:tcW w:w="3677"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Ostatní správa v ochraně životního prostředí</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4 000,00</w:t>
            </w:r>
          </w:p>
        </w:tc>
        <w:tc>
          <w:tcPr>
            <w:tcW w:w="709"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15 000,00</w:t>
            </w:r>
          </w:p>
        </w:tc>
        <w:tc>
          <w:tcPr>
            <w:tcW w:w="1142"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-11 000,00</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3799</w:t>
            </w:r>
          </w:p>
        </w:tc>
        <w:tc>
          <w:tcPr>
            <w:tcW w:w="3677"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Ostatní ekologické záležitosti</w:t>
            </w:r>
          </w:p>
        </w:tc>
        <w:tc>
          <w:tcPr>
            <w:tcW w:w="1134"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0,00</w:t>
            </w:r>
          </w:p>
        </w:tc>
        <w:tc>
          <w:tcPr>
            <w:tcW w:w="709"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w:t>
            </w:r>
          </w:p>
        </w:tc>
        <w:tc>
          <w:tcPr>
            <w:tcW w:w="1134"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8 000,00</w:t>
            </w:r>
          </w:p>
        </w:tc>
        <w:tc>
          <w:tcPr>
            <w:tcW w:w="1142"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-8 000,00</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C4C4C4" w:fill="C6E0B4"/>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3XXX</w:t>
            </w:r>
          </w:p>
        </w:tc>
        <w:tc>
          <w:tcPr>
            <w:tcW w:w="3677" w:type="dxa"/>
            <w:tcBorders>
              <w:top w:val="nil"/>
              <w:left w:val="nil"/>
              <w:bottom w:val="single" w:sz="4" w:space="0" w:color="auto"/>
              <w:right w:val="single" w:sz="4" w:space="0" w:color="auto"/>
            </w:tcBorders>
            <w:shd w:val="clear" w:color="C4C4C4" w:fill="C6E0B4"/>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Služby pro obyvatelstvo</w:t>
            </w:r>
          </w:p>
        </w:tc>
        <w:tc>
          <w:tcPr>
            <w:tcW w:w="1134" w:type="dxa"/>
            <w:tcBorders>
              <w:top w:val="nil"/>
              <w:left w:val="nil"/>
              <w:bottom w:val="single" w:sz="4" w:space="0" w:color="auto"/>
              <w:right w:val="single" w:sz="4" w:space="0" w:color="auto"/>
            </w:tcBorders>
            <w:shd w:val="clear" w:color="C4C4C4" w:fill="C6E0B4"/>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128 139 165,72</w:t>
            </w:r>
          </w:p>
        </w:tc>
        <w:tc>
          <w:tcPr>
            <w:tcW w:w="1134" w:type="dxa"/>
            <w:tcBorders>
              <w:top w:val="nil"/>
              <w:left w:val="nil"/>
              <w:bottom w:val="single" w:sz="4" w:space="0" w:color="auto"/>
              <w:right w:val="single" w:sz="4" w:space="0" w:color="auto"/>
            </w:tcBorders>
            <w:shd w:val="clear" w:color="C4C4C4" w:fill="C6E0B4"/>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137 093 590,84</w:t>
            </w:r>
          </w:p>
        </w:tc>
        <w:tc>
          <w:tcPr>
            <w:tcW w:w="709" w:type="dxa"/>
            <w:tcBorders>
              <w:top w:val="nil"/>
              <w:left w:val="nil"/>
              <w:bottom w:val="single" w:sz="4" w:space="0" w:color="auto"/>
              <w:right w:val="single" w:sz="4" w:space="0" w:color="auto"/>
            </w:tcBorders>
            <w:shd w:val="clear" w:color="C4C4C4" w:fill="C6E0B4"/>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106,99 %</w:t>
            </w:r>
          </w:p>
        </w:tc>
        <w:tc>
          <w:tcPr>
            <w:tcW w:w="1134" w:type="dxa"/>
            <w:tcBorders>
              <w:top w:val="nil"/>
              <w:left w:val="nil"/>
              <w:bottom w:val="single" w:sz="4" w:space="0" w:color="auto"/>
              <w:right w:val="single" w:sz="4" w:space="0" w:color="auto"/>
            </w:tcBorders>
            <w:shd w:val="clear" w:color="C4C4C4" w:fill="C6E0B4"/>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126 752 995,16</w:t>
            </w:r>
          </w:p>
        </w:tc>
        <w:tc>
          <w:tcPr>
            <w:tcW w:w="1142" w:type="dxa"/>
            <w:tcBorders>
              <w:top w:val="nil"/>
              <w:left w:val="nil"/>
              <w:bottom w:val="single" w:sz="4" w:space="0" w:color="auto"/>
              <w:right w:val="single" w:sz="4" w:space="0" w:color="auto"/>
            </w:tcBorders>
            <w:shd w:val="clear" w:color="C4C4C4" w:fill="C6E0B4"/>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10 340 595,68</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4177</w:t>
            </w:r>
          </w:p>
        </w:tc>
        <w:tc>
          <w:tcPr>
            <w:tcW w:w="3677"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Mimořádná okamž.</w:t>
            </w:r>
            <w:r w:rsidR="006E3623">
              <w:rPr>
                <w:rFonts w:ascii="Calibri" w:hAnsi="Calibri" w:cs="Calibri"/>
                <w:color w:val="000000"/>
                <w:sz w:val="14"/>
                <w:szCs w:val="14"/>
              </w:rPr>
              <w:t xml:space="preserve"> </w:t>
            </w:r>
            <w:r w:rsidRPr="00AF2C55">
              <w:rPr>
                <w:rFonts w:ascii="Calibri" w:hAnsi="Calibri" w:cs="Calibri"/>
                <w:color w:val="000000"/>
                <w:sz w:val="14"/>
                <w:szCs w:val="14"/>
              </w:rPr>
              <w:t>pomoc osobám ohrož.</w:t>
            </w:r>
            <w:r w:rsidR="006E3623">
              <w:rPr>
                <w:rFonts w:ascii="Calibri" w:hAnsi="Calibri" w:cs="Calibri"/>
                <w:color w:val="000000"/>
                <w:sz w:val="14"/>
                <w:szCs w:val="14"/>
              </w:rPr>
              <w:t xml:space="preserve"> </w:t>
            </w:r>
            <w:r w:rsidRPr="00AF2C55">
              <w:rPr>
                <w:rFonts w:ascii="Calibri" w:hAnsi="Calibri" w:cs="Calibri"/>
                <w:color w:val="000000"/>
                <w:sz w:val="14"/>
                <w:szCs w:val="14"/>
              </w:rPr>
              <w:t>sociál.</w:t>
            </w:r>
            <w:r w:rsidR="006E3623">
              <w:rPr>
                <w:rFonts w:ascii="Calibri" w:hAnsi="Calibri" w:cs="Calibri"/>
                <w:color w:val="000000"/>
                <w:sz w:val="14"/>
                <w:szCs w:val="14"/>
              </w:rPr>
              <w:t xml:space="preserve"> </w:t>
            </w:r>
            <w:r w:rsidRPr="00AF2C55">
              <w:rPr>
                <w:rFonts w:ascii="Calibri" w:hAnsi="Calibri" w:cs="Calibri"/>
                <w:color w:val="000000"/>
                <w:sz w:val="14"/>
                <w:szCs w:val="14"/>
              </w:rPr>
              <w:t>vyloučen</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1 621,53</w:t>
            </w:r>
          </w:p>
        </w:tc>
        <w:tc>
          <w:tcPr>
            <w:tcW w:w="709"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684,45</w:t>
            </w:r>
          </w:p>
        </w:tc>
        <w:tc>
          <w:tcPr>
            <w:tcW w:w="1142"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937,08</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4179</w:t>
            </w:r>
          </w:p>
        </w:tc>
        <w:tc>
          <w:tcPr>
            <w:tcW w:w="3677"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Ostatní dávky sociální pomoci</w:t>
            </w:r>
          </w:p>
        </w:tc>
        <w:tc>
          <w:tcPr>
            <w:tcW w:w="1134"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30,78</w:t>
            </w:r>
          </w:p>
        </w:tc>
        <w:tc>
          <w:tcPr>
            <w:tcW w:w="709"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w:t>
            </w:r>
          </w:p>
        </w:tc>
        <w:tc>
          <w:tcPr>
            <w:tcW w:w="1134"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26,42</w:t>
            </w:r>
          </w:p>
        </w:tc>
        <w:tc>
          <w:tcPr>
            <w:tcW w:w="1142"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4,36</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4339</w:t>
            </w:r>
          </w:p>
        </w:tc>
        <w:tc>
          <w:tcPr>
            <w:tcW w:w="3677"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Ostatní sociální péče a pomoc rodině a manželství</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0,00</w:t>
            </w:r>
          </w:p>
        </w:tc>
        <w:tc>
          <w:tcPr>
            <w:tcW w:w="709"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10 000,00</w:t>
            </w:r>
          </w:p>
        </w:tc>
        <w:tc>
          <w:tcPr>
            <w:tcW w:w="1142"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-10 000,00</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4374</w:t>
            </w:r>
          </w:p>
        </w:tc>
        <w:tc>
          <w:tcPr>
            <w:tcW w:w="3677"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Azyl.</w:t>
            </w:r>
            <w:r w:rsidR="006E3623">
              <w:rPr>
                <w:rFonts w:ascii="Calibri" w:hAnsi="Calibri" w:cs="Calibri"/>
                <w:color w:val="000000"/>
                <w:sz w:val="14"/>
                <w:szCs w:val="14"/>
              </w:rPr>
              <w:t xml:space="preserve"> </w:t>
            </w:r>
            <w:r w:rsidRPr="00AF2C55">
              <w:rPr>
                <w:rFonts w:ascii="Calibri" w:hAnsi="Calibri" w:cs="Calibri"/>
                <w:color w:val="000000"/>
                <w:sz w:val="14"/>
                <w:szCs w:val="14"/>
              </w:rPr>
              <w:t>domy, nízkoprahová denní centra a noclehárny</w:t>
            </w:r>
          </w:p>
        </w:tc>
        <w:tc>
          <w:tcPr>
            <w:tcW w:w="1134"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13 362,00</w:t>
            </w:r>
          </w:p>
        </w:tc>
        <w:tc>
          <w:tcPr>
            <w:tcW w:w="709"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w:t>
            </w:r>
          </w:p>
        </w:tc>
        <w:tc>
          <w:tcPr>
            <w:tcW w:w="1134"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5 623,00</w:t>
            </w:r>
          </w:p>
        </w:tc>
        <w:tc>
          <w:tcPr>
            <w:tcW w:w="1142"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7 739,00</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4379</w:t>
            </w:r>
          </w:p>
        </w:tc>
        <w:tc>
          <w:tcPr>
            <w:tcW w:w="3677"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Ostatní služby a činnosti v oblasti soc. prevence</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0,00</w:t>
            </w:r>
          </w:p>
        </w:tc>
        <w:tc>
          <w:tcPr>
            <w:tcW w:w="709"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8 815,00</w:t>
            </w:r>
          </w:p>
        </w:tc>
        <w:tc>
          <w:tcPr>
            <w:tcW w:w="1142"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-8 815,00</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4399</w:t>
            </w:r>
          </w:p>
        </w:tc>
        <w:tc>
          <w:tcPr>
            <w:tcW w:w="3677"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Ostatní záležitosti soc.</w:t>
            </w:r>
            <w:r w:rsidR="006E3623">
              <w:rPr>
                <w:rFonts w:ascii="Calibri" w:hAnsi="Calibri" w:cs="Calibri"/>
                <w:color w:val="000000"/>
                <w:sz w:val="14"/>
                <w:szCs w:val="14"/>
              </w:rPr>
              <w:t xml:space="preserve"> </w:t>
            </w:r>
            <w:r w:rsidRPr="00AF2C55">
              <w:rPr>
                <w:rFonts w:ascii="Calibri" w:hAnsi="Calibri" w:cs="Calibri"/>
                <w:color w:val="000000"/>
                <w:sz w:val="14"/>
                <w:szCs w:val="14"/>
              </w:rPr>
              <w:t>věcí a politiky zaměstnanosti</w:t>
            </w:r>
          </w:p>
        </w:tc>
        <w:tc>
          <w:tcPr>
            <w:tcW w:w="1134"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293 955,25</w:t>
            </w:r>
          </w:p>
        </w:tc>
        <w:tc>
          <w:tcPr>
            <w:tcW w:w="709"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w:t>
            </w:r>
          </w:p>
        </w:tc>
        <w:tc>
          <w:tcPr>
            <w:tcW w:w="1134"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1 178 873,69</w:t>
            </w:r>
          </w:p>
        </w:tc>
        <w:tc>
          <w:tcPr>
            <w:tcW w:w="1142"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-884 918,44</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C4C4C4" w:fill="C6E0B4"/>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lastRenderedPageBreak/>
              <w:t>4XXX</w:t>
            </w:r>
          </w:p>
        </w:tc>
        <w:tc>
          <w:tcPr>
            <w:tcW w:w="3677" w:type="dxa"/>
            <w:tcBorders>
              <w:top w:val="nil"/>
              <w:left w:val="nil"/>
              <w:bottom w:val="single" w:sz="4" w:space="0" w:color="auto"/>
              <w:right w:val="single" w:sz="4" w:space="0" w:color="auto"/>
            </w:tcBorders>
            <w:shd w:val="clear" w:color="C4C4C4" w:fill="C6E0B4"/>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Sociální věci a politika zaměstnanosti</w:t>
            </w:r>
          </w:p>
        </w:tc>
        <w:tc>
          <w:tcPr>
            <w:tcW w:w="1134" w:type="dxa"/>
            <w:tcBorders>
              <w:top w:val="nil"/>
              <w:left w:val="nil"/>
              <w:bottom w:val="single" w:sz="4" w:space="0" w:color="auto"/>
              <w:right w:val="single" w:sz="4" w:space="0" w:color="auto"/>
            </w:tcBorders>
            <w:shd w:val="clear" w:color="C4C4C4" w:fill="C6E0B4"/>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C4C4C4" w:fill="C6E0B4"/>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308969,56</w:t>
            </w:r>
          </w:p>
        </w:tc>
        <w:tc>
          <w:tcPr>
            <w:tcW w:w="709" w:type="dxa"/>
            <w:tcBorders>
              <w:top w:val="nil"/>
              <w:left w:val="nil"/>
              <w:bottom w:val="single" w:sz="4" w:space="0" w:color="auto"/>
              <w:right w:val="single" w:sz="4" w:space="0" w:color="auto"/>
            </w:tcBorders>
            <w:shd w:val="clear" w:color="C4C4C4" w:fill="C6E0B4"/>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w:t>
            </w:r>
          </w:p>
        </w:tc>
        <w:tc>
          <w:tcPr>
            <w:tcW w:w="1134" w:type="dxa"/>
            <w:tcBorders>
              <w:top w:val="nil"/>
              <w:left w:val="nil"/>
              <w:bottom w:val="single" w:sz="4" w:space="0" w:color="auto"/>
              <w:right w:val="single" w:sz="4" w:space="0" w:color="auto"/>
            </w:tcBorders>
            <w:shd w:val="clear" w:color="C4C4C4" w:fill="C6E0B4"/>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1 204 022,56</w:t>
            </w:r>
          </w:p>
        </w:tc>
        <w:tc>
          <w:tcPr>
            <w:tcW w:w="1142" w:type="dxa"/>
            <w:tcBorders>
              <w:top w:val="nil"/>
              <w:left w:val="nil"/>
              <w:bottom w:val="single" w:sz="4" w:space="0" w:color="auto"/>
              <w:right w:val="single" w:sz="4" w:space="0" w:color="auto"/>
            </w:tcBorders>
            <w:shd w:val="clear" w:color="C4C4C4" w:fill="C6E0B4"/>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-895 053,00</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5311</w:t>
            </w:r>
          </w:p>
        </w:tc>
        <w:tc>
          <w:tcPr>
            <w:tcW w:w="3677"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Bezpečnost a veřejný pořádek</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1 070 000,00</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1 118 633,93</w:t>
            </w:r>
          </w:p>
        </w:tc>
        <w:tc>
          <w:tcPr>
            <w:tcW w:w="709"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104,55 %</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888 737,00</w:t>
            </w:r>
          </w:p>
        </w:tc>
        <w:tc>
          <w:tcPr>
            <w:tcW w:w="1142"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229 896,93</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5512</w:t>
            </w:r>
          </w:p>
        </w:tc>
        <w:tc>
          <w:tcPr>
            <w:tcW w:w="3677"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Požární ochrana - dobrovolná část</w:t>
            </w:r>
          </w:p>
        </w:tc>
        <w:tc>
          <w:tcPr>
            <w:tcW w:w="1134"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0,00</w:t>
            </w:r>
          </w:p>
        </w:tc>
        <w:tc>
          <w:tcPr>
            <w:tcW w:w="709"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w:t>
            </w:r>
          </w:p>
        </w:tc>
        <w:tc>
          <w:tcPr>
            <w:tcW w:w="1134"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15 000,00</w:t>
            </w:r>
          </w:p>
        </w:tc>
        <w:tc>
          <w:tcPr>
            <w:tcW w:w="1142" w:type="dxa"/>
            <w:tcBorders>
              <w:top w:val="nil"/>
              <w:left w:val="nil"/>
              <w:bottom w:val="single" w:sz="4" w:space="0" w:color="auto"/>
              <w:right w:val="single" w:sz="4" w:space="0" w:color="auto"/>
            </w:tcBorders>
            <w:shd w:val="clear" w:color="000000"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-15 000,00</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C4C4C4" w:fill="C6E0B4"/>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5XXX</w:t>
            </w:r>
          </w:p>
        </w:tc>
        <w:tc>
          <w:tcPr>
            <w:tcW w:w="3677" w:type="dxa"/>
            <w:tcBorders>
              <w:top w:val="nil"/>
              <w:left w:val="nil"/>
              <w:bottom w:val="single" w:sz="4" w:space="0" w:color="auto"/>
              <w:right w:val="single" w:sz="4" w:space="0" w:color="auto"/>
            </w:tcBorders>
            <w:shd w:val="clear" w:color="C4C4C4" w:fill="C6E0B4"/>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Bezpečnost státu a právní ochrana</w:t>
            </w:r>
          </w:p>
        </w:tc>
        <w:tc>
          <w:tcPr>
            <w:tcW w:w="1134" w:type="dxa"/>
            <w:tcBorders>
              <w:top w:val="nil"/>
              <w:left w:val="nil"/>
              <w:bottom w:val="single" w:sz="4" w:space="0" w:color="auto"/>
              <w:right w:val="single" w:sz="4" w:space="0" w:color="auto"/>
            </w:tcBorders>
            <w:shd w:val="clear" w:color="C4C4C4" w:fill="C6E0B4"/>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1 070 000,00</w:t>
            </w:r>
          </w:p>
        </w:tc>
        <w:tc>
          <w:tcPr>
            <w:tcW w:w="1134" w:type="dxa"/>
            <w:tcBorders>
              <w:top w:val="nil"/>
              <w:left w:val="nil"/>
              <w:bottom w:val="single" w:sz="4" w:space="0" w:color="auto"/>
              <w:right w:val="single" w:sz="4" w:space="0" w:color="auto"/>
            </w:tcBorders>
            <w:shd w:val="clear" w:color="C4C4C4" w:fill="C6E0B4"/>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1 118 633,93</w:t>
            </w:r>
          </w:p>
        </w:tc>
        <w:tc>
          <w:tcPr>
            <w:tcW w:w="709" w:type="dxa"/>
            <w:tcBorders>
              <w:top w:val="nil"/>
              <w:left w:val="nil"/>
              <w:bottom w:val="single" w:sz="4" w:space="0" w:color="auto"/>
              <w:right w:val="single" w:sz="4" w:space="0" w:color="auto"/>
            </w:tcBorders>
            <w:shd w:val="clear" w:color="C4C4C4" w:fill="C6E0B4"/>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104,55 %</w:t>
            </w:r>
          </w:p>
        </w:tc>
        <w:tc>
          <w:tcPr>
            <w:tcW w:w="1134" w:type="dxa"/>
            <w:tcBorders>
              <w:top w:val="nil"/>
              <w:left w:val="nil"/>
              <w:bottom w:val="single" w:sz="4" w:space="0" w:color="auto"/>
              <w:right w:val="single" w:sz="4" w:space="0" w:color="auto"/>
            </w:tcBorders>
            <w:shd w:val="clear" w:color="C4C4C4" w:fill="C6E0B4"/>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903 737,00</w:t>
            </w:r>
          </w:p>
        </w:tc>
        <w:tc>
          <w:tcPr>
            <w:tcW w:w="1142" w:type="dxa"/>
            <w:tcBorders>
              <w:top w:val="nil"/>
              <w:left w:val="nil"/>
              <w:bottom w:val="single" w:sz="4" w:space="0" w:color="auto"/>
              <w:right w:val="single" w:sz="4" w:space="0" w:color="auto"/>
            </w:tcBorders>
            <w:shd w:val="clear" w:color="C4C4C4" w:fill="C6E0B4"/>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214 896,93</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6171</w:t>
            </w:r>
          </w:p>
        </w:tc>
        <w:tc>
          <w:tcPr>
            <w:tcW w:w="3677"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Činnost místní správy</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7 362 985,00</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9 533 378,19</w:t>
            </w:r>
          </w:p>
        </w:tc>
        <w:tc>
          <w:tcPr>
            <w:tcW w:w="709"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129,48 %</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6 031 174,58</w:t>
            </w:r>
          </w:p>
        </w:tc>
        <w:tc>
          <w:tcPr>
            <w:tcW w:w="1142"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3 502 203,61</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6310</w:t>
            </w:r>
          </w:p>
        </w:tc>
        <w:tc>
          <w:tcPr>
            <w:tcW w:w="3677"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Obecné příjmy a výdaje z finančních operací</w:t>
            </w:r>
          </w:p>
        </w:tc>
        <w:tc>
          <w:tcPr>
            <w:tcW w:w="1134"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3 000 000,00</w:t>
            </w:r>
          </w:p>
        </w:tc>
        <w:tc>
          <w:tcPr>
            <w:tcW w:w="1134"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9 485 456,20</w:t>
            </w:r>
          </w:p>
        </w:tc>
        <w:tc>
          <w:tcPr>
            <w:tcW w:w="709"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316,18 %</w:t>
            </w:r>
          </w:p>
        </w:tc>
        <w:tc>
          <w:tcPr>
            <w:tcW w:w="1134"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4 518 963,63</w:t>
            </w:r>
          </w:p>
        </w:tc>
        <w:tc>
          <w:tcPr>
            <w:tcW w:w="1142"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4 966 492,57</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6330</w:t>
            </w:r>
          </w:p>
        </w:tc>
        <w:tc>
          <w:tcPr>
            <w:tcW w:w="3677"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Převody vlastním fondům v rozpočtech územní úrovně</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1 563 885 191,32</w:t>
            </w:r>
          </w:p>
        </w:tc>
        <w:tc>
          <w:tcPr>
            <w:tcW w:w="709"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1 223 516 156,16</w:t>
            </w:r>
          </w:p>
        </w:tc>
        <w:tc>
          <w:tcPr>
            <w:tcW w:w="1142"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340 369 035,16</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6402</w:t>
            </w:r>
          </w:p>
        </w:tc>
        <w:tc>
          <w:tcPr>
            <w:tcW w:w="3677"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Finanční vypořádání</w:t>
            </w:r>
          </w:p>
        </w:tc>
        <w:tc>
          <w:tcPr>
            <w:tcW w:w="1134"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161 470,30</w:t>
            </w:r>
          </w:p>
        </w:tc>
        <w:tc>
          <w:tcPr>
            <w:tcW w:w="1134"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80 735,15</w:t>
            </w:r>
          </w:p>
        </w:tc>
        <w:tc>
          <w:tcPr>
            <w:tcW w:w="709"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50,00 %</w:t>
            </w:r>
          </w:p>
        </w:tc>
        <w:tc>
          <w:tcPr>
            <w:tcW w:w="1134"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215 895,05</w:t>
            </w:r>
          </w:p>
        </w:tc>
        <w:tc>
          <w:tcPr>
            <w:tcW w:w="1142" w:type="dxa"/>
            <w:tcBorders>
              <w:top w:val="nil"/>
              <w:left w:val="nil"/>
              <w:bottom w:val="single" w:sz="4" w:space="0" w:color="auto"/>
              <w:right w:val="single" w:sz="4" w:space="0" w:color="auto"/>
            </w:tcBorders>
            <w:shd w:val="clear" w:color="DBDBDB" w:fill="D9D9D9"/>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-135 159,90</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6409</w:t>
            </w:r>
          </w:p>
        </w:tc>
        <w:tc>
          <w:tcPr>
            <w:tcW w:w="3677"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Ostatní činnosti j.</w:t>
            </w:r>
            <w:r w:rsidR="006E3623">
              <w:rPr>
                <w:rFonts w:ascii="Calibri" w:hAnsi="Calibri" w:cs="Calibri"/>
                <w:color w:val="000000"/>
                <w:sz w:val="14"/>
                <w:szCs w:val="14"/>
              </w:rPr>
              <w:t xml:space="preserve"> </w:t>
            </w:r>
            <w:r w:rsidRPr="00AF2C55">
              <w:rPr>
                <w:rFonts w:ascii="Calibri" w:hAnsi="Calibri" w:cs="Calibri"/>
                <w:color w:val="000000"/>
                <w:sz w:val="14"/>
                <w:szCs w:val="14"/>
              </w:rPr>
              <w:t>n.</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-51 997,00</w:t>
            </w:r>
          </w:p>
        </w:tc>
        <w:tc>
          <w:tcPr>
            <w:tcW w:w="709"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w:t>
            </w:r>
          </w:p>
        </w:tc>
        <w:tc>
          <w:tcPr>
            <w:tcW w:w="1134"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148 599,00</w:t>
            </w:r>
          </w:p>
        </w:tc>
        <w:tc>
          <w:tcPr>
            <w:tcW w:w="1142" w:type="dxa"/>
            <w:tcBorders>
              <w:top w:val="nil"/>
              <w:left w:val="nil"/>
              <w:bottom w:val="single" w:sz="4" w:space="0" w:color="auto"/>
              <w:right w:val="single" w:sz="4" w:space="0" w:color="auto"/>
            </w:tcBorders>
            <w:shd w:val="clear" w:color="auto" w:fill="auto"/>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-200 596,00</w:t>
            </w:r>
          </w:p>
        </w:tc>
      </w:tr>
      <w:tr w:rsidR="00AF2C55" w:rsidRPr="00AF2C55" w:rsidTr="00AF2C55">
        <w:trPr>
          <w:trHeight w:val="272"/>
        </w:trPr>
        <w:tc>
          <w:tcPr>
            <w:tcW w:w="429" w:type="dxa"/>
            <w:tcBorders>
              <w:top w:val="nil"/>
              <w:left w:val="single" w:sz="4" w:space="0" w:color="auto"/>
              <w:bottom w:val="single" w:sz="4" w:space="0" w:color="auto"/>
              <w:right w:val="single" w:sz="4" w:space="0" w:color="auto"/>
            </w:tcBorders>
            <w:shd w:val="clear" w:color="C4C4C4" w:fill="C6E0B4"/>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6XXX</w:t>
            </w:r>
          </w:p>
        </w:tc>
        <w:tc>
          <w:tcPr>
            <w:tcW w:w="3677" w:type="dxa"/>
            <w:tcBorders>
              <w:top w:val="nil"/>
              <w:left w:val="nil"/>
              <w:bottom w:val="single" w:sz="4" w:space="0" w:color="auto"/>
              <w:right w:val="single" w:sz="4" w:space="0" w:color="auto"/>
            </w:tcBorders>
            <w:shd w:val="clear" w:color="C4C4C4" w:fill="C6E0B4"/>
            <w:noWrap/>
            <w:vAlign w:val="center"/>
            <w:hideMark/>
          </w:tcPr>
          <w:p w:rsidR="00AF2C55" w:rsidRPr="00AF2C55" w:rsidRDefault="00AF2C55">
            <w:pPr>
              <w:rPr>
                <w:rFonts w:ascii="Calibri" w:hAnsi="Calibri" w:cs="Calibri"/>
                <w:color w:val="000000"/>
                <w:sz w:val="14"/>
                <w:szCs w:val="14"/>
              </w:rPr>
            </w:pPr>
            <w:r w:rsidRPr="00AF2C55">
              <w:rPr>
                <w:rFonts w:ascii="Calibri" w:hAnsi="Calibri" w:cs="Calibri"/>
                <w:color w:val="000000"/>
                <w:sz w:val="14"/>
                <w:szCs w:val="14"/>
              </w:rPr>
              <w:t>Všeobecná veřejná správa a služby</w:t>
            </w:r>
          </w:p>
        </w:tc>
        <w:tc>
          <w:tcPr>
            <w:tcW w:w="1134" w:type="dxa"/>
            <w:tcBorders>
              <w:top w:val="nil"/>
              <w:left w:val="nil"/>
              <w:bottom w:val="single" w:sz="4" w:space="0" w:color="auto"/>
              <w:right w:val="single" w:sz="4" w:space="0" w:color="auto"/>
            </w:tcBorders>
            <w:shd w:val="clear" w:color="C4C4C4" w:fill="C6E0B4"/>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10 524 455,30</w:t>
            </w:r>
          </w:p>
        </w:tc>
        <w:tc>
          <w:tcPr>
            <w:tcW w:w="1134" w:type="dxa"/>
            <w:tcBorders>
              <w:top w:val="nil"/>
              <w:left w:val="nil"/>
              <w:bottom w:val="single" w:sz="4" w:space="0" w:color="auto"/>
              <w:right w:val="single" w:sz="4" w:space="0" w:color="auto"/>
            </w:tcBorders>
            <w:shd w:val="clear" w:color="C4C4C4" w:fill="C6E0B4"/>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1 582 932 763,86</w:t>
            </w:r>
          </w:p>
        </w:tc>
        <w:tc>
          <w:tcPr>
            <w:tcW w:w="709" w:type="dxa"/>
            <w:tcBorders>
              <w:top w:val="nil"/>
              <w:left w:val="nil"/>
              <w:bottom w:val="single" w:sz="4" w:space="0" w:color="auto"/>
              <w:right w:val="single" w:sz="4" w:space="0" w:color="auto"/>
            </w:tcBorders>
            <w:shd w:val="clear" w:color="C4C4C4" w:fill="C6E0B4"/>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w:t>
            </w:r>
          </w:p>
        </w:tc>
        <w:tc>
          <w:tcPr>
            <w:tcW w:w="1134" w:type="dxa"/>
            <w:tcBorders>
              <w:top w:val="nil"/>
              <w:left w:val="nil"/>
              <w:bottom w:val="single" w:sz="4" w:space="0" w:color="auto"/>
              <w:right w:val="single" w:sz="4" w:space="0" w:color="auto"/>
            </w:tcBorders>
            <w:shd w:val="clear" w:color="C4C4C4" w:fill="C6E0B4"/>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1 234 430 788,42</w:t>
            </w:r>
          </w:p>
        </w:tc>
        <w:tc>
          <w:tcPr>
            <w:tcW w:w="1142" w:type="dxa"/>
            <w:tcBorders>
              <w:top w:val="nil"/>
              <w:left w:val="nil"/>
              <w:bottom w:val="single" w:sz="4" w:space="0" w:color="auto"/>
              <w:right w:val="single" w:sz="4" w:space="0" w:color="auto"/>
            </w:tcBorders>
            <w:shd w:val="clear" w:color="C4C4C4" w:fill="C6E0B4"/>
            <w:noWrap/>
            <w:vAlign w:val="center"/>
            <w:hideMark/>
          </w:tcPr>
          <w:p w:rsidR="00AF2C55" w:rsidRPr="00AF2C55" w:rsidRDefault="00AF2C55">
            <w:pPr>
              <w:jc w:val="right"/>
              <w:rPr>
                <w:rFonts w:ascii="Calibri" w:hAnsi="Calibri" w:cs="Calibri"/>
                <w:color w:val="000000"/>
                <w:sz w:val="14"/>
                <w:szCs w:val="14"/>
              </w:rPr>
            </w:pPr>
            <w:r w:rsidRPr="00AF2C55">
              <w:rPr>
                <w:rFonts w:ascii="Calibri" w:hAnsi="Calibri" w:cs="Calibri"/>
                <w:color w:val="000000"/>
                <w:sz w:val="14"/>
                <w:szCs w:val="14"/>
              </w:rPr>
              <w:t>348 501 975,44</w:t>
            </w:r>
          </w:p>
        </w:tc>
      </w:tr>
      <w:tr w:rsidR="00AF2C55" w:rsidRPr="00AF2C55" w:rsidTr="00AF2C55">
        <w:trPr>
          <w:trHeight w:val="272"/>
        </w:trPr>
        <w:tc>
          <w:tcPr>
            <w:tcW w:w="4106" w:type="dxa"/>
            <w:gridSpan w:val="2"/>
            <w:tcBorders>
              <w:top w:val="single" w:sz="4" w:space="0" w:color="auto"/>
              <w:left w:val="single" w:sz="4" w:space="0" w:color="auto"/>
              <w:bottom w:val="single" w:sz="4" w:space="0" w:color="auto"/>
              <w:right w:val="single" w:sz="4" w:space="0" w:color="auto"/>
            </w:tcBorders>
            <w:shd w:val="clear" w:color="C4D79B" w:fill="A9D18E"/>
            <w:noWrap/>
            <w:vAlign w:val="center"/>
            <w:hideMark/>
          </w:tcPr>
          <w:p w:rsidR="00AF2C55" w:rsidRPr="00AF2C55" w:rsidRDefault="00AF2C55">
            <w:pPr>
              <w:rPr>
                <w:rFonts w:ascii="Calibri" w:hAnsi="Calibri" w:cs="Calibri"/>
                <w:b/>
                <w:bCs/>
                <w:color w:val="000000"/>
                <w:sz w:val="14"/>
                <w:szCs w:val="14"/>
              </w:rPr>
            </w:pPr>
            <w:r w:rsidRPr="00AF2C55">
              <w:rPr>
                <w:rFonts w:ascii="Calibri" w:hAnsi="Calibri" w:cs="Calibri"/>
                <w:b/>
                <w:bCs/>
                <w:color w:val="000000"/>
                <w:sz w:val="14"/>
                <w:szCs w:val="14"/>
              </w:rPr>
              <w:t>PŘÍJMY CELKEM</w:t>
            </w:r>
          </w:p>
        </w:tc>
        <w:tc>
          <w:tcPr>
            <w:tcW w:w="1134" w:type="dxa"/>
            <w:tcBorders>
              <w:top w:val="nil"/>
              <w:left w:val="nil"/>
              <w:bottom w:val="single" w:sz="4" w:space="0" w:color="auto"/>
              <w:right w:val="single" w:sz="4" w:space="0" w:color="auto"/>
            </w:tcBorders>
            <w:shd w:val="clear" w:color="C4D79B" w:fill="A9D18E"/>
            <w:noWrap/>
            <w:vAlign w:val="center"/>
            <w:hideMark/>
          </w:tcPr>
          <w:p w:rsidR="00AF2C55" w:rsidRPr="00AF2C55" w:rsidRDefault="00AF2C55">
            <w:pPr>
              <w:jc w:val="right"/>
              <w:rPr>
                <w:rFonts w:ascii="Calibri" w:hAnsi="Calibri" w:cs="Calibri"/>
                <w:b/>
                <w:bCs/>
                <w:color w:val="000000"/>
                <w:sz w:val="14"/>
                <w:szCs w:val="14"/>
              </w:rPr>
            </w:pPr>
            <w:r w:rsidRPr="00AF2C55">
              <w:rPr>
                <w:rFonts w:ascii="Calibri" w:hAnsi="Calibri" w:cs="Calibri"/>
                <w:b/>
                <w:bCs/>
                <w:color w:val="000000"/>
                <w:sz w:val="14"/>
                <w:szCs w:val="14"/>
              </w:rPr>
              <w:t>1 047 299 050,93</w:t>
            </w:r>
          </w:p>
        </w:tc>
        <w:tc>
          <w:tcPr>
            <w:tcW w:w="1134" w:type="dxa"/>
            <w:tcBorders>
              <w:top w:val="nil"/>
              <w:left w:val="nil"/>
              <w:bottom w:val="single" w:sz="4" w:space="0" w:color="auto"/>
              <w:right w:val="single" w:sz="4" w:space="0" w:color="auto"/>
            </w:tcBorders>
            <w:shd w:val="clear" w:color="C4D79B" w:fill="A9D18E"/>
            <w:noWrap/>
            <w:vAlign w:val="center"/>
            <w:hideMark/>
          </w:tcPr>
          <w:p w:rsidR="00AF2C55" w:rsidRPr="00AF2C55" w:rsidRDefault="00AF2C55">
            <w:pPr>
              <w:jc w:val="right"/>
              <w:rPr>
                <w:rFonts w:ascii="Calibri" w:hAnsi="Calibri" w:cs="Calibri"/>
                <w:b/>
                <w:bCs/>
                <w:color w:val="000000"/>
                <w:sz w:val="14"/>
                <w:szCs w:val="14"/>
              </w:rPr>
            </w:pPr>
            <w:r w:rsidRPr="00AF2C55">
              <w:rPr>
                <w:rFonts w:ascii="Calibri" w:hAnsi="Calibri" w:cs="Calibri"/>
                <w:b/>
                <w:bCs/>
                <w:color w:val="000000"/>
                <w:sz w:val="14"/>
                <w:szCs w:val="14"/>
              </w:rPr>
              <w:t>2 832 555 544,97</w:t>
            </w:r>
          </w:p>
        </w:tc>
        <w:tc>
          <w:tcPr>
            <w:tcW w:w="709" w:type="dxa"/>
            <w:tcBorders>
              <w:top w:val="nil"/>
              <w:left w:val="nil"/>
              <w:bottom w:val="single" w:sz="4" w:space="0" w:color="auto"/>
              <w:right w:val="single" w:sz="4" w:space="0" w:color="auto"/>
            </w:tcBorders>
            <w:shd w:val="clear" w:color="C4D79B" w:fill="A9D18E"/>
            <w:noWrap/>
            <w:vAlign w:val="center"/>
            <w:hideMark/>
          </w:tcPr>
          <w:p w:rsidR="00AF2C55" w:rsidRPr="00AF2C55" w:rsidRDefault="00AF2C55">
            <w:pPr>
              <w:jc w:val="right"/>
              <w:rPr>
                <w:rFonts w:ascii="Calibri" w:hAnsi="Calibri" w:cs="Calibri"/>
                <w:b/>
                <w:bCs/>
                <w:color w:val="000000"/>
                <w:sz w:val="14"/>
                <w:szCs w:val="14"/>
              </w:rPr>
            </w:pPr>
            <w:r w:rsidRPr="00AF2C55">
              <w:rPr>
                <w:rFonts w:ascii="Calibri" w:hAnsi="Calibri" w:cs="Calibri"/>
                <w:b/>
                <w:bCs/>
                <w:color w:val="000000"/>
                <w:sz w:val="14"/>
                <w:szCs w:val="14"/>
              </w:rPr>
              <w:t>270,46 %</w:t>
            </w:r>
          </w:p>
        </w:tc>
        <w:tc>
          <w:tcPr>
            <w:tcW w:w="1134" w:type="dxa"/>
            <w:tcBorders>
              <w:top w:val="nil"/>
              <w:left w:val="nil"/>
              <w:bottom w:val="single" w:sz="4" w:space="0" w:color="auto"/>
              <w:right w:val="single" w:sz="4" w:space="0" w:color="auto"/>
            </w:tcBorders>
            <w:shd w:val="clear" w:color="C4D79B" w:fill="A9D18E"/>
            <w:noWrap/>
            <w:vAlign w:val="center"/>
            <w:hideMark/>
          </w:tcPr>
          <w:p w:rsidR="00AF2C55" w:rsidRPr="00AF2C55" w:rsidRDefault="00AF2C55">
            <w:pPr>
              <w:jc w:val="right"/>
              <w:rPr>
                <w:rFonts w:ascii="Calibri" w:hAnsi="Calibri" w:cs="Calibri"/>
                <w:b/>
                <w:bCs/>
                <w:color w:val="000000"/>
                <w:sz w:val="14"/>
                <w:szCs w:val="14"/>
              </w:rPr>
            </w:pPr>
            <w:r w:rsidRPr="00AF2C55">
              <w:rPr>
                <w:rFonts w:ascii="Calibri" w:hAnsi="Calibri" w:cs="Calibri"/>
                <w:b/>
                <w:bCs/>
                <w:color w:val="000000"/>
                <w:sz w:val="14"/>
                <w:szCs w:val="14"/>
              </w:rPr>
              <w:t>2 355 855 073,40</w:t>
            </w:r>
          </w:p>
        </w:tc>
        <w:tc>
          <w:tcPr>
            <w:tcW w:w="1142" w:type="dxa"/>
            <w:tcBorders>
              <w:top w:val="nil"/>
              <w:left w:val="nil"/>
              <w:bottom w:val="single" w:sz="4" w:space="0" w:color="auto"/>
              <w:right w:val="single" w:sz="4" w:space="0" w:color="auto"/>
            </w:tcBorders>
            <w:shd w:val="clear" w:color="C4D79B" w:fill="A9D18E"/>
            <w:noWrap/>
            <w:vAlign w:val="center"/>
            <w:hideMark/>
          </w:tcPr>
          <w:p w:rsidR="00AF2C55" w:rsidRPr="00AF2C55" w:rsidRDefault="00AF2C55">
            <w:pPr>
              <w:jc w:val="right"/>
              <w:rPr>
                <w:rFonts w:ascii="Calibri" w:hAnsi="Calibri" w:cs="Calibri"/>
                <w:b/>
                <w:bCs/>
                <w:color w:val="000000"/>
                <w:sz w:val="14"/>
                <w:szCs w:val="14"/>
              </w:rPr>
            </w:pPr>
            <w:r w:rsidRPr="00AF2C55">
              <w:rPr>
                <w:rFonts w:ascii="Calibri" w:hAnsi="Calibri" w:cs="Calibri"/>
                <w:b/>
                <w:bCs/>
                <w:color w:val="000000"/>
                <w:sz w:val="14"/>
                <w:szCs w:val="14"/>
              </w:rPr>
              <w:t>487 448 869,50</w:t>
            </w:r>
          </w:p>
        </w:tc>
      </w:tr>
      <w:tr w:rsidR="00AF2C55" w:rsidRPr="00AF2C55" w:rsidTr="00AF2C55">
        <w:trPr>
          <w:trHeight w:val="272"/>
        </w:trPr>
        <w:tc>
          <w:tcPr>
            <w:tcW w:w="4106" w:type="dxa"/>
            <w:gridSpan w:val="2"/>
            <w:tcBorders>
              <w:top w:val="single" w:sz="4" w:space="0" w:color="auto"/>
              <w:left w:val="single" w:sz="4" w:space="0" w:color="auto"/>
              <w:bottom w:val="single" w:sz="4" w:space="0" w:color="auto"/>
              <w:right w:val="single" w:sz="4" w:space="0" w:color="auto"/>
            </w:tcBorders>
            <w:shd w:val="clear" w:color="63993F" w:fill="70AD47"/>
            <w:noWrap/>
            <w:vAlign w:val="center"/>
            <w:hideMark/>
          </w:tcPr>
          <w:p w:rsidR="00AF2C55" w:rsidRPr="00AF2C55" w:rsidRDefault="00AF2C55">
            <w:pPr>
              <w:rPr>
                <w:rFonts w:ascii="Calibri" w:hAnsi="Calibri" w:cs="Calibri"/>
                <w:b/>
                <w:bCs/>
                <w:color w:val="000000"/>
                <w:sz w:val="14"/>
                <w:szCs w:val="14"/>
              </w:rPr>
            </w:pPr>
            <w:r w:rsidRPr="00AF2C55">
              <w:rPr>
                <w:rFonts w:ascii="Calibri" w:hAnsi="Calibri" w:cs="Calibri"/>
                <w:b/>
                <w:bCs/>
                <w:color w:val="000000"/>
                <w:sz w:val="14"/>
                <w:szCs w:val="14"/>
              </w:rPr>
              <w:t>PŘÍJMY CELKEM PO KONSOLIDACI</w:t>
            </w:r>
          </w:p>
        </w:tc>
        <w:tc>
          <w:tcPr>
            <w:tcW w:w="1134" w:type="dxa"/>
            <w:tcBorders>
              <w:top w:val="nil"/>
              <w:left w:val="nil"/>
              <w:bottom w:val="single" w:sz="4" w:space="0" w:color="auto"/>
              <w:right w:val="single" w:sz="4" w:space="0" w:color="auto"/>
            </w:tcBorders>
            <w:shd w:val="clear" w:color="63993F" w:fill="70AD47"/>
            <w:noWrap/>
            <w:vAlign w:val="center"/>
            <w:hideMark/>
          </w:tcPr>
          <w:p w:rsidR="00AF2C55" w:rsidRPr="00AF2C55" w:rsidRDefault="00AF2C55">
            <w:pPr>
              <w:jc w:val="right"/>
              <w:rPr>
                <w:rFonts w:ascii="Calibri" w:hAnsi="Calibri" w:cs="Calibri"/>
                <w:b/>
                <w:bCs/>
                <w:color w:val="000000"/>
                <w:sz w:val="14"/>
                <w:szCs w:val="14"/>
              </w:rPr>
            </w:pPr>
            <w:r w:rsidRPr="00AF2C55">
              <w:rPr>
                <w:rFonts w:ascii="Calibri" w:hAnsi="Calibri" w:cs="Calibri"/>
                <w:b/>
                <w:bCs/>
                <w:color w:val="000000"/>
                <w:sz w:val="14"/>
                <w:szCs w:val="14"/>
              </w:rPr>
              <w:t>1 047 299 050,93</w:t>
            </w:r>
          </w:p>
        </w:tc>
        <w:tc>
          <w:tcPr>
            <w:tcW w:w="1134" w:type="dxa"/>
            <w:tcBorders>
              <w:top w:val="nil"/>
              <w:left w:val="nil"/>
              <w:bottom w:val="single" w:sz="4" w:space="0" w:color="auto"/>
              <w:right w:val="single" w:sz="4" w:space="0" w:color="auto"/>
            </w:tcBorders>
            <w:shd w:val="clear" w:color="63993F" w:fill="70AD47"/>
            <w:noWrap/>
            <w:vAlign w:val="center"/>
            <w:hideMark/>
          </w:tcPr>
          <w:p w:rsidR="00AF2C55" w:rsidRPr="00AF2C55" w:rsidRDefault="00AF2C55">
            <w:pPr>
              <w:jc w:val="right"/>
              <w:rPr>
                <w:rFonts w:ascii="Calibri" w:hAnsi="Calibri" w:cs="Calibri"/>
                <w:b/>
                <w:bCs/>
                <w:color w:val="000000"/>
                <w:sz w:val="14"/>
                <w:szCs w:val="14"/>
              </w:rPr>
            </w:pPr>
            <w:r w:rsidRPr="00AF2C55">
              <w:rPr>
                <w:rFonts w:ascii="Calibri" w:hAnsi="Calibri" w:cs="Calibri"/>
                <w:b/>
                <w:bCs/>
                <w:color w:val="000000"/>
                <w:sz w:val="14"/>
                <w:szCs w:val="14"/>
              </w:rPr>
              <w:t>1 268 670 353,65</w:t>
            </w:r>
          </w:p>
        </w:tc>
        <w:tc>
          <w:tcPr>
            <w:tcW w:w="709" w:type="dxa"/>
            <w:tcBorders>
              <w:top w:val="nil"/>
              <w:left w:val="nil"/>
              <w:bottom w:val="single" w:sz="4" w:space="0" w:color="auto"/>
              <w:right w:val="single" w:sz="4" w:space="0" w:color="auto"/>
            </w:tcBorders>
            <w:shd w:val="clear" w:color="63993F" w:fill="70AD47"/>
            <w:noWrap/>
            <w:vAlign w:val="center"/>
            <w:hideMark/>
          </w:tcPr>
          <w:p w:rsidR="00AF2C55" w:rsidRPr="00AF2C55" w:rsidRDefault="00AF2C55">
            <w:pPr>
              <w:jc w:val="right"/>
              <w:rPr>
                <w:rFonts w:ascii="Calibri" w:hAnsi="Calibri" w:cs="Calibri"/>
                <w:b/>
                <w:bCs/>
                <w:color w:val="000000"/>
                <w:sz w:val="14"/>
                <w:szCs w:val="14"/>
              </w:rPr>
            </w:pPr>
            <w:r w:rsidRPr="00AF2C55">
              <w:rPr>
                <w:rFonts w:ascii="Calibri" w:hAnsi="Calibri" w:cs="Calibri"/>
                <w:b/>
                <w:bCs/>
                <w:color w:val="000000"/>
                <w:sz w:val="14"/>
                <w:szCs w:val="14"/>
              </w:rPr>
              <w:t>121,14 %</w:t>
            </w:r>
          </w:p>
        </w:tc>
        <w:tc>
          <w:tcPr>
            <w:tcW w:w="1134" w:type="dxa"/>
            <w:tcBorders>
              <w:top w:val="nil"/>
              <w:left w:val="nil"/>
              <w:bottom w:val="single" w:sz="4" w:space="0" w:color="auto"/>
              <w:right w:val="single" w:sz="4" w:space="0" w:color="auto"/>
            </w:tcBorders>
            <w:shd w:val="clear" w:color="63993F" w:fill="70AD47"/>
            <w:noWrap/>
            <w:vAlign w:val="center"/>
            <w:hideMark/>
          </w:tcPr>
          <w:p w:rsidR="00AF2C55" w:rsidRPr="00AF2C55" w:rsidRDefault="00AF2C55">
            <w:pPr>
              <w:jc w:val="right"/>
              <w:rPr>
                <w:rFonts w:ascii="Calibri" w:hAnsi="Calibri" w:cs="Calibri"/>
                <w:b/>
                <w:bCs/>
                <w:color w:val="000000"/>
                <w:sz w:val="14"/>
                <w:szCs w:val="14"/>
              </w:rPr>
            </w:pPr>
            <w:r w:rsidRPr="00AF2C55">
              <w:rPr>
                <w:rFonts w:ascii="Calibri" w:hAnsi="Calibri" w:cs="Calibri"/>
                <w:b/>
                <w:bCs/>
                <w:color w:val="000000"/>
                <w:sz w:val="14"/>
                <w:szCs w:val="14"/>
              </w:rPr>
              <w:t>1 132 338 917,24</w:t>
            </w:r>
          </w:p>
        </w:tc>
        <w:tc>
          <w:tcPr>
            <w:tcW w:w="1142" w:type="dxa"/>
            <w:tcBorders>
              <w:top w:val="nil"/>
              <w:left w:val="nil"/>
              <w:bottom w:val="single" w:sz="4" w:space="0" w:color="auto"/>
              <w:right w:val="single" w:sz="4" w:space="0" w:color="auto"/>
            </w:tcBorders>
            <w:shd w:val="clear" w:color="63993F" w:fill="70AD47"/>
            <w:noWrap/>
            <w:vAlign w:val="center"/>
            <w:hideMark/>
          </w:tcPr>
          <w:p w:rsidR="00AF2C55" w:rsidRPr="00AF2C55" w:rsidRDefault="00AF2C55">
            <w:pPr>
              <w:jc w:val="right"/>
              <w:rPr>
                <w:rFonts w:ascii="Calibri" w:hAnsi="Calibri" w:cs="Calibri"/>
                <w:b/>
                <w:bCs/>
                <w:color w:val="000000"/>
                <w:sz w:val="14"/>
                <w:szCs w:val="14"/>
              </w:rPr>
            </w:pPr>
            <w:r w:rsidRPr="00AF2C55">
              <w:rPr>
                <w:rFonts w:ascii="Calibri" w:hAnsi="Calibri" w:cs="Calibri"/>
                <w:b/>
                <w:bCs/>
                <w:color w:val="000000"/>
                <w:sz w:val="14"/>
                <w:szCs w:val="14"/>
              </w:rPr>
              <w:t>147 079 834,34</w:t>
            </w:r>
          </w:p>
        </w:tc>
      </w:tr>
    </w:tbl>
    <w:p w:rsidR="00AF2C55" w:rsidRDefault="00AF2C55" w:rsidP="00AF2C55"/>
    <w:p w:rsidR="00AF2C55" w:rsidRPr="00AF2C55" w:rsidRDefault="00AF2C55" w:rsidP="00AF2C55"/>
    <w:p w:rsidR="00C663BF" w:rsidRDefault="00C663BF" w:rsidP="00710248">
      <w:pPr>
        <w:rPr>
          <w:rFonts w:asciiTheme="minorHAnsi" w:hAnsiTheme="minorHAnsi" w:cstheme="minorHAnsi"/>
          <w:sz w:val="22"/>
          <w:szCs w:val="22"/>
        </w:rPr>
      </w:pPr>
      <w:r w:rsidRPr="00710248">
        <w:rPr>
          <w:rFonts w:asciiTheme="minorHAnsi" w:hAnsiTheme="minorHAnsi" w:cstheme="minorHAnsi"/>
          <w:sz w:val="22"/>
          <w:szCs w:val="22"/>
        </w:rPr>
        <w:t>Závěrečný účet statutár</w:t>
      </w:r>
      <w:r w:rsidR="001F6EE4" w:rsidRPr="00710248">
        <w:rPr>
          <w:rFonts w:asciiTheme="minorHAnsi" w:hAnsiTheme="minorHAnsi" w:cstheme="minorHAnsi"/>
          <w:sz w:val="22"/>
          <w:szCs w:val="22"/>
        </w:rPr>
        <w:t>ního města Prostějova za rok 202</w:t>
      </w:r>
      <w:r w:rsidR="006E3623">
        <w:rPr>
          <w:rFonts w:asciiTheme="minorHAnsi" w:hAnsiTheme="minorHAnsi" w:cstheme="minorHAnsi"/>
          <w:sz w:val="22"/>
          <w:szCs w:val="22"/>
        </w:rPr>
        <w:t>2</w:t>
      </w:r>
      <w:r w:rsidRPr="00710248">
        <w:rPr>
          <w:rFonts w:asciiTheme="minorHAnsi" w:hAnsiTheme="minorHAnsi" w:cstheme="minorHAnsi"/>
          <w:sz w:val="22"/>
          <w:szCs w:val="22"/>
        </w:rPr>
        <w:t xml:space="preserve"> – výdaje – o</w:t>
      </w:r>
      <w:r w:rsidR="00BE742B">
        <w:rPr>
          <w:rFonts w:asciiTheme="minorHAnsi" w:hAnsiTheme="minorHAnsi" w:cstheme="minorHAnsi"/>
          <w:sz w:val="22"/>
          <w:szCs w:val="22"/>
        </w:rPr>
        <w:t>dvětvové třídění (v</w:t>
      </w:r>
      <w:r w:rsidRPr="00710248">
        <w:rPr>
          <w:rFonts w:asciiTheme="minorHAnsi" w:hAnsiTheme="minorHAnsi" w:cstheme="minorHAnsi"/>
          <w:sz w:val="22"/>
          <w:szCs w:val="22"/>
        </w:rPr>
        <w:t xml:space="preserve"> Kč)</w:t>
      </w:r>
    </w:p>
    <w:tbl>
      <w:tblPr>
        <w:tblW w:w="9351" w:type="dxa"/>
        <w:tblCellMar>
          <w:left w:w="70" w:type="dxa"/>
          <w:right w:w="70" w:type="dxa"/>
        </w:tblCellMar>
        <w:tblLook w:val="04A0" w:firstRow="1" w:lastRow="0" w:firstColumn="1" w:lastColumn="0" w:noHBand="0" w:noVBand="1"/>
      </w:tblPr>
      <w:tblGrid>
        <w:gridCol w:w="460"/>
        <w:gridCol w:w="3646"/>
        <w:gridCol w:w="1134"/>
        <w:gridCol w:w="1134"/>
        <w:gridCol w:w="709"/>
        <w:gridCol w:w="1134"/>
        <w:gridCol w:w="1134"/>
      </w:tblGrid>
      <w:tr w:rsidR="006E3623" w:rsidRPr="006E3623" w:rsidTr="006E3623">
        <w:trPr>
          <w:trHeight w:val="300"/>
          <w:tblHeader/>
        </w:trPr>
        <w:tc>
          <w:tcPr>
            <w:tcW w:w="460" w:type="dxa"/>
            <w:vMerge w:val="restart"/>
            <w:tcBorders>
              <w:top w:val="single" w:sz="4" w:space="0" w:color="auto"/>
              <w:left w:val="single" w:sz="4" w:space="0" w:color="auto"/>
              <w:bottom w:val="single" w:sz="4" w:space="0" w:color="auto"/>
              <w:right w:val="single" w:sz="4" w:space="0" w:color="auto"/>
            </w:tcBorders>
            <w:shd w:val="clear" w:color="63993F" w:fill="70AD47"/>
            <w:noWrap/>
            <w:vAlign w:val="center"/>
            <w:hideMark/>
          </w:tcPr>
          <w:p w:rsidR="006E3623" w:rsidRPr="006E3623" w:rsidRDefault="006E3623" w:rsidP="006E3623">
            <w:pPr>
              <w:jc w:val="center"/>
              <w:rPr>
                <w:rFonts w:ascii="Calibri" w:hAnsi="Calibri" w:cs="Calibri"/>
                <w:color w:val="000000"/>
                <w:sz w:val="14"/>
                <w:szCs w:val="14"/>
              </w:rPr>
            </w:pPr>
            <w:r w:rsidRPr="006E3623">
              <w:rPr>
                <w:rFonts w:ascii="Calibri" w:hAnsi="Calibri" w:cs="Calibri"/>
                <w:color w:val="000000"/>
                <w:sz w:val="14"/>
                <w:szCs w:val="14"/>
              </w:rPr>
              <w:t>Par</w:t>
            </w:r>
          </w:p>
        </w:tc>
        <w:tc>
          <w:tcPr>
            <w:tcW w:w="3646" w:type="dxa"/>
            <w:vMerge w:val="restart"/>
            <w:tcBorders>
              <w:top w:val="single" w:sz="4" w:space="0" w:color="auto"/>
              <w:left w:val="single" w:sz="4" w:space="0" w:color="auto"/>
              <w:bottom w:val="single" w:sz="4" w:space="0" w:color="auto"/>
              <w:right w:val="single" w:sz="4" w:space="0" w:color="auto"/>
            </w:tcBorders>
            <w:shd w:val="clear" w:color="63993F" w:fill="70AD47"/>
            <w:noWrap/>
            <w:vAlign w:val="center"/>
            <w:hideMark/>
          </w:tcPr>
          <w:p w:rsidR="006E3623" w:rsidRPr="006E3623" w:rsidRDefault="006E3623" w:rsidP="006E3623">
            <w:pPr>
              <w:jc w:val="center"/>
              <w:rPr>
                <w:rFonts w:ascii="Calibri" w:hAnsi="Calibri" w:cs="Calibri"/>
                <w:color w:val="000000"/>
                <w:sz w:val="14"/>
                <w:szCs w:val="14"/>
              </w:rPr>
            </w:pPr>
            <w:r w:rsidRPr="006E3623">
              <w:rPr>
                <w:rFonts w:ascii="Calibri" w:hAnsi="Calibri" w:cs="Calibri"/>
                <w:color w:val="000000"/>
                <w:sz w:val="14"/>
                <w:szCs w:val="14"/>
              </w:rPr>
              <w:t>Odvětvové třídění</w:t>
            </w:r>
          </w:p>
        </w:tc>
        <w:tc>
          <w:tcPr>
            <w:tcW w:w="2977" w:type="dxa"/>
            <w:gridSpan w:val="3"/>
            <w:tcBorders>
              <w:top w:val="single" w:sz="4" w:space="0" w:color="auto"/>
              <w:left w:val="nil"/>
              <w:bottom w:val="single" w:sz="4" w:space="0" w:color="auto"/>
              <w:right w:val="single" w:sz="4" w:space="0" w:color="auto"/>
            </w:tcBorders>
            <w:shd w:val="clear" w:color="63993F" w:fill="70AD47"/>
            <w:noWrap/>
            <w:vAlign w:val="center"/>
            <w:hideMark/>
          </w:tcPr>
          <w:p w:rsidR="006E3623" w:rsidRPr="006E3623" w:rsidRDefault="006E3623" w:rsidP="006E3623">
            <w:pPr>
              <w:jc w:val="center"/>
              <w:rPr>
                <w:rFonts w:ascii="Calibri" w:hAnsi="Calibri" w:cs="Calibri"/>
                <w:color w:val="000000"/>
                <w:sz w:val="14"/>
                <w:szCs w:val="14"/>
              </w:rPr>
            </w:pPr>
            <w:r w:rsidRPr="006E3623">
              <w:rPr>
                <w:rFonts w:ascii="Calibri" w:hAnsi="Calibri" w:cs="Calibri"/>
                <w:color w:val="000000"/>
                <w:sz w:val="14"/>
                <w:szCs w:val="14"/>
              </w:rPr>
              <w:t>2022</w:t>
            </w:r>
          </w:p>
        </w:tc>
        <w:tc>
          <w:tcPr>
            <w:tcW w:w="1134" w:type="dxa"/>
            <w:tcBorders>
              <w:top w:val="single" w:sz="4" w:space="0" w:color="auto"/>
              <w:left w:val="nil"/>
              <w:bottom w:val="single" w:sz="4" w:space="0" w:color="auto"/>
              <w:right w:val="single" w:sz="4" w:space="0" w:color="auto"/>
            </w:tcBorders>
            <w:shd w:val="clear" w:color="63993F" w:fill="70AD47"/>
            <w:noWrap/>
            <w:vAlign w:val="center"/>
            <w:hideMark/>
          </w:tcPr>
          <w:p w:rsidR="006E3623" w:rsidRPr="006E3623" w:rsidRDefault="006E3623" w:rsidP="006E3623">
            <w:pPr>
              <w:jc w:val="center"/>
              <w:rPr>
                <w:rFonts w:ascii="Calibri" w:hAnsi="Calibri" w:cs="Calibri"/>
                <w:color w:val="000000"/>
                <w:sz w:val="14"/>
                <w:szCs w:val="14"/>
              </w:rPr>
            </w:pPr>
            <w:r w:rsidRPr="006E3623">
              <w:rPr>
                <w:rFonts w:ascii="Calibri" w:hAnsi="Calibri" w:cs="Calibri"/>
                <w:color w:val="000000"/>
                <w:sz w:val="14"/>
                <w:szCs w:val="14"/>
              </w:rPr>
              <w:t>2021</w:t>
            </w:r>
          </w:p>
        </w:tc>
        <w:tc>
          <w:tcPr>
            <w:tcW w:w="1134" w:type="dxa"/>
            <w:vMerge w:val="restart"/>
            <w:tcBorders>
              <w:top w:val="single" w:sz="4" w:space="0" w:color="auto"/>
              <w:left w:val="single" w:sz="4" w:space="0" w:color="auto"/>
              <w:bottom w:val="single" w:sz="4" w:space="0" w:color="auto"/>
              <w:right w:val="single" w:sz="4" w:space="0" w:color="auto"/>
            </w:tcBorders>
            <w:shd w:val="clear" w:color="63993F" w:fill="70AD47"/>
            <w:vAlign w:val="center"/>
            <w:hideMark/>
          </w:tcPr>
          <w:p w:rsidR="006E3623" w:rsidRPr="006E3623" w:rsidRDefault="006E3623" w:rsidP="006E3623">
            <w:pPr>
              <w:jc w:val="center"/>
              <w:rPr>
                <w:rFonts w:ascii="Calibri" w:hAnsi="Calibri" w:cs="Calibri"/>
                <w:color w:val="000000"/>
                <w:sz w:val="14"/>
                <w:szCs w:val="14"/>
              </w:rPr>
            </w:pPr>
            <w:r w:rsidRPr="006E3623">
              <w:rPr>
                <w:rFonts w:ascii="Calibri" w:hAnsi="Calibri" w:cs="Calibri"/>
                <w:color w:val="000000"/>
                <w:sz w:val="14"/>
                <w:szCs w:val="14"/>
              </w:rPr>
              <w:t>Meziroční změna</w:t>
            </w:r>
          </w:p>
        </w:tc>
      </w:tr>
      <w:tr w:rsidR="006E3623" w:rsidRPr="006E3623" w:rsidTr="006E3623">
        <w:trPr>
          <w:trHeight w:val="45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6E3623" w:rsidRPr="006E3623" w:rsidRDefault="006E3623" w:rsidP="006E3623">
            <w:pPr>
              <w:rPr>
                <w:rFonts w:ascii="Calibri" w:hAnsi="Calibri" w:cs="Calibri"/>
                <w:color w:val="000000"/>
                <w:sz w:val="14"/>
                <w:szCs w:val="14"/>
              </w:rPr>
            </w:pPr>
          </w:p>
        </w:tc>
        <w:tc>
          <w:tcPr>
            <w:tcW w:w="3646" w:type="dxa"/>
            <w:vMerge/>
            <w:tcBorders>
              <w:top w:val="single" w:sz="4" w:space="0" w:color="auto"/>
              <w:left w:val="single" w:sz="4" w:space="0" w:color="auto"/>
              <w:bottom w:val="single" w:sz="4" w:space="0" w:color="auto"/>
              <w:right w:val="single" w:sz="4" w:space="0" w:color="auto"/>
            </w:tcBorders>
            <w:vAlign w:val="center"/>
            <w:hideMark/>
          </w:tcPr>
          <w:p w:rsidR="006E3623" w:rsidRPr="006E3623" w:rsidRDefault="006E3623" w:rsidP="006E3623">
            <w:pPr>
              <w:rPr>
                <w:rFonts w:ascii="Calibri" w:hAnsi="Calibri" w:cs="Calibri"/>
                <w:color w:val="000000"/>
                <w:sz w:val="14"/>
                <w:szCs w:val="14"/>
              </w:rPr>
            </w:pPr>
          </w:p>
        </w:tc>
        <w:tc>
          <w:tcPr>
            <w:tcW w:w="1134" w:type="dxa"/>
            <w:tcBorders>
              <w:top w:val="nil"/>
              <w:left w:val="nil"/>
              <w:bottom w:val="single" w:sz="4" w:space="0" w:color="auto"/>
              <w:right w:val="single" w:sz="4" w:space="0" w:color="auto"/>
            </w:tcBorders>
            <w:shd w:val="clear" w:color="63993F" w:fill="70AD47"/>
            <w:noWrap/>
            <w:vAlign w:val="center"/>
            <w:hideMark/>
          </w:tcPr>
          <w:p w:rsidR="006E3623" w:rsidRPr="006E3623" w:rsidRDefault="006E3623" w:rsidP="006E3623">
            <w:pPr>
              <w:jc w:val="center"/>
              <w:rPr>
                <w:rFonts w:ascii="Calibri" w:hAnsi="Calibri" w:cs="Calibri"/>
                <w:color w:val="000000"/>
                <w:sz w:val="14"/>
                <w:szCs w:val="14"/>
              </w:rPr>
            </w:pPr>
            <w:r w:rsidRPr="006E3623">
              <w:rPr>
                <w:rFonts w:ascii="Calibri" w:hAnsi="Calibri" w:cs="Calibri"/>
                <w:color w:val="000000"/>
                <w:sz w:val="14"/>
                <w:szCs w:val="14"/>
              </w:rPr>
              <w:t>Upr.</w:t>
            </w:r>
            <w:r w:rsidR="00EC05C5">
              <w:rPr>
                <w:rFonts w:ascii="Calibri" w:hAnsi="Calibri" w:cs="Calibri"/>
                <w:color w:val="000000"/>
                <w:sz w:val="14"/>
                <w:szCs w:val="14"/>
              </w:rPr>
              <w:t xml:space="preserve"> </w:t>
            </w:r>
            <w:r w:rsidRPr="006E3623">
              <w:rPr>
                <w:rFonts w:ascii="Calibri" w:hAnsi="Calibri" w:cs="Calibri"/>
                <w:color w:val="000000"/>
                <w:sz w:val="14"/>
                <w:szCs w:val="14"/>
              </w:rPr>
              <w:t>rozpočet</w:t>
            </w:r>
          </w:p>
        </w:tc>
        <w:tc>
          <w:tcPr>
            <w:tcW w:w="1134" w:type="dxa"/>
            <w:tcBorders>
              <w:top w:val="nil"/>
              <w:left w:val="nil"/>
              <w:bottom w:val="single" w:sz="4" w:space="0" w:color="auto"/>
              <w:right w:val="single" w:sz="4" w:space="0" w:color="auto"/>
            </w:tcBorders>
            <w:shd w:val="clear" w:color="63993F" w:fill="70AD47"/>
            <w:noWrap/>
            <w:vAlign w:val="center"/>
            <w:hideMark/>
          </w:tcPr>
          <w:p w:rsidR="006E3623" w:rsidRPr="006E3623" w:rsidRDefault="006E3623" w:rsidP="006E3623">
            <w:pPr>
              <w:jc w:val="center"/>
              <w:rPr>
                <w:rFonts w:ascii="Calibri" w:hAnsi="Calibri" w:cs="Calibri"/>
                <w:color w:val="000000"/>
                <w:sz w:val="14"/>
                <w:szCs w:val="14"/>
              </w:rPr>
            </w:pPr>
            <w:r w:rsidRPr="006E3623">
              <w:rPr>
                <w:rFonts w:ascii="Calibri" w:hAnsi="Calibri" w:cs="Calibri"/>
                <w:color w:val="000000"/>
                <w:sz w:val="14"/>
                <w:szCs w:val="14"/>
              </w:rPr>
              <w:t>Skutečnost</w:t>
            </w:r>
          </w:p>
        </w:tc>
        <w:tc>
          <w:tcPr>
            <w:tcW w:w="709" w:type="dxa"/>
            <w:tcBorders>
              <w:top w:val="nil"/>
              <w:left w:val="nil"/>
              <w:bottom w:val="single" w:sz="4" w:space="0" w:color="auto"/>
              <w:right w:val="single" w:sz="4" w:space="0" w:color="auto"/>
            </w:tcBorders>
            <w:shd w:val="clear" w:color="63993F" w:fill="70AD47"/>
            <w:vAlign w:val="center"/>
            <w:hideMark/>
          </w:tcPr>
          <w:p w:rsidR="006E3623" w:rsidRPr="006E3623" w:rsidRDefault="006E3623" w:rsidP="006E3623">
            <w:pPr>
              <w:jc w:val="center"/>
              <w:rPr>
                <w:rFonts w:ascii="Calibri" w:hAnsi="Calibri" w:cs="Calibri"/>
                <w:color w:val="000000"/>
                <w:sz w:val="14"/>
                <w:szCs w:val="14"/>
              </w:rPr>
            </w:pPr>
            <w:r w:rsidRPr="006E3623">
              <w:rPr>
                <w:rFonts w:ascii="Calibri" w:hAnsi="Calibri" w:cs="Calibri"/>
                <w:color w:val="000000"/>
                <w:sz w:val="14"/>
                <w:szCs w:val="14"/>
              </w:rPr>
              <w:t>Plnění rozpočtu</w:t>
            </w:r>
          </w:p>
        </w:tc>
        <w:tc>
          <w:tcPr>
            <w:tcW w:w="1134" w:type="dxa"/>
            <w:tcBorders>
              <w:top w:val="nil"/>
              <w:left w:val="nil"/>
              <w:bottom w:val="single" w:sz="4" w:space="0" w:color="auto"/>
              <w:right w:val="single" w:sz="4" w:space="0" w:color="auto"/>
            </w:tcBorders>
            <w:shd w:val="clear" w:color="63993F" w:fill="70AD47"/>
            <w:noWrap/>
            <w:vAlign w:val="center"/>
            <w:hideMark/>
          </w:tcPr>
          <w:p w:rsidR="006E3623" w:rsidRPr="006E3623" w:rsidRDefault="006E3623" w:rsidP="006E3623">
            <w:pPr>
              <w:jc w:val="center"/>
              <w:rPr>
                <w:rFonts w:ascii="Calibri" w:hAnsi="Calibri" w:cs="Calibri"/>
                <w:color w:val="000000"/>
                <w:sz w:val="14"/>
                <w:szCs w:val="14"/>
              </w:rPr>
            </w:pPr>
            <w:r w:rsidRPr="006E3623">
              <w:rPr>
                <w:rFonts w:ascii="Calibri" w:hAnsi="Calibri" w:cs="Calibri"/>
                <w:color w:val="000000"/>
                <w:sz w:val="14"/>
                <w:szCs w:val="14"/>
              </w:rPr>
              <w:t>Skutečnost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E3623" w:rsidRPr="006E3623" w:rsidRDefault="006E3623" w:rsidP="006E3623">
            <w:pPr>
              <w:rPr>
                <w:rFonts w:ascii="Calibri" w:hAnsi="Calibri" w:cs="Calibri"/>
                <w:color w:val="000000"/>
                <w:sz w:val="14"/>
                <w:szCs w:val="14"/>
              </w:rPr>
            </w:pP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1014</w:t>
            </w:r>
          </w:p>
        </w:tc>
        <w:tc>
          <w:tcPr>
            <w:tcW w:w="3646"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Ozdrav.</w:t>
            </w:r>
            <w:r w:rsidR="00EC05C5">
              <w:rPr>
                <w:rFonts w:ascii="Calibri" w:hAnsi="Calibri" w:cs="Calibri"/>
                <w:color w:val="000000"/>
                <w:sz w:val="14"/>
                <w:szCs w:val="14"/>
              </w:rPr>
              <w:t xml:space="preserve"> </w:t>
            </w:r>
            <w:r w:rsidRPr="006E3623">
              <w:rPr>
                <w:rFonts w:ascii="Calibri" w:hAnsi="Calibri" w:cs="Calibri"/>
                <w:color w:val="000000"/>
                <w:sz w:val="14"/>
                <w:szCs w:val="14"/>
              </w:rPr>
              <w:t>hosp.</w:t>
            </w:r>
            <w:r w:rsidR="00EC05C5">
              <w:rPr>
                <w:rFonts w:ascii="Calibri" w:hAnsi="Calibri" w:cs="Calibri"/>
                <w:color w:val="000000"/>
                <w:sz w:val="14"/>
                <w:szCs w:val="14"/>
              </w:rPr>
              <w:t xml:space="preserve"> </w:t>
            </w:r>
            <w:r w:rsidRPr="006E3623">
              <w:rPr>
                <w:rFonts w:ascii="Calibri" w:hAnsi="Calibri" w:cs="Calibri"/>
                <w:color w:val="000000"/>
                <w:sz w:val="14"/>
                <w:szCs w:val="14"/>
              </w:rPr>
              <w:t>zvířat,</w:t>
            </w:r>
            <w:r w:rsidR="00EC05C5">
              <w:rPr>
                <w:rFonts w:ascii="Calibri" w:hAnsi="Calibri" w:cs="Calibri"/>
                <w:color w:val="000000"/>
                <w:sz w:val="14"/>
                <w:szCs w:val="14"/>
              </w:rPr>
              <w:t xml:space="preserve"> </w:t>
            </w:r>
            <w:r w:rsidRPr="006E3623">
              <w:rPr>
                <w:rFonts w:ascii="Calibri" w:hAnsi="Calibri" w:cs="Calibri"/>
                <w:color w:val="000000"/>
                <w:sz w:val="14"/>
                <w:szCs w:val="14"/>
              </w:rPr>
              <w:t>pol.</w:t>
            </w:r>
            <w:r w:rsidR="00EC05C5">
              <w:rPr>
                <w:rFonts w:ascii="Calibri" w:hAnsi="Calibri" w:cs="Calibri"/>
                <w:color w:val="000000"/>
                <w:sz w:val="14"/>
                <w:szCs w:val="14"/>
              </w:rPr>
              <w:t xml:space="preserve"> </w:t>
            </w:r>
            <w:r w:rsidRPr="006E3623">
              <w:rPr>
                <w:rFonts w:ascii="Calibri" w:hAnsi="Calibri" w:cs="Calibri"/>
                <w:color w:val="000000"/>
                <w:sz w:val="14"/>
                <w:szCs w:val="14"/>
              </w:rPr>
              <w:t>a spec.</w:t>
            </w:r>
            <w:r w:rsidR="00EC05C5">
              <w:rPr>
                <w:rFonts w:ascii="Calibri" w:hAnsi="Calibri" w:cs="Calibri"/>
                <w:color w:val="000000"/>
                <w:sz w:val="14"/>
                <w:szCs w:val="14"/>
              </w:rPr>
              <w:t xml:space="preserve"> </w:t>
            </w:r>
            <w:r w:rsidRPr="006E3623">
              <w:rPr>
                <w:rFonts w:ascii="Calibri" w:hAnsi="Calibri" w:cs="Calibri"/>
                <w:color w:val="000000"/>
                <w:sz w:val="14"/>
                <w:szCs w:val="14"/>
              </w:rPr>
              <w:t>plod.</w:t>
            </w:r>
            <w:r w:rsidR="00EC05C5">
              <w:rPr>
                <w:rFonts w:ascii="Calibri" w:hAnsi="Calibri" w:cs="Calibri"/>
                <w:color w:val="000000"/>
                <w:sz w:val="14"/>
                <w:szCs w:val="14"/>
              </w:rPr>
              <w:t xml:space="preserve"> </w:t>
            </w:r>
            <w:r w:rsidRPr="006E3623">
              <w:rPr>
                <w:rFonts w:ascii="Calibri" w:hAnsi="Calibri" w:cs="Calibri"/>
                <w:color w:val="000000"/>
                <w:sz w:val="14"/>
                <w:szCs w:val="14"/>
              </w:rPr>
              <w:t>a svl.</w:t>
            </w:r>
            <w:r w:rsidR="00EC05C5">
              <w:rPr>
                <w:rFonts w:ascii="Calibri" w:hAnsi="Calibri" w:cs="Calibri"/>
                <w:color w:val="000000"/>
                <w:sz w:val="14"/>
                <w:szCs w:val="14"/>
              </w:rPr>
              <w:t xml:space="preserve"> </w:t>
            </w:r>
            <w:r w:rsidRPr="006E3623">
              <w:rPr>
                <w:rFonts w:ascii="Calibri" w:hAnsi="Calibri" w:cs="Calibri"/>
                <w:color w:val="000000"/>
                <w:sz w:val="14"/>
                <w:szCs w:val="14"/>
              </w:rPr>
              <w:t>vet.</w:t>
            </w:r>
            <w:r w:rsidR="00EC05C5">
              <w:rPr>
                <w:rFonts w:ascii="Calibri" w:hAnsi="Calibri" w:cs="Calibri"/>
                <w:color w:val="000000"/>
                <w:sz w:val="14"/>
                <w:szCs w:val="14"/>
              </w:rPr>
              <w:t xml:space="preserve"> </w:t>
            </w:r>
            <w:r w:rsidRPr="006E3623">
              <w:rPr>
                <w:rFonts w:ascii="Calibri" w:hAnsi="Calibri" w:cs="Calibri"/>
                <w:color w:val="000000"/>
                <w:sz w:val="14"/>
                <w:szCs w:val="14"/>
              </w:rPr>
              <w:t>péče</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671 000,00</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628 426,00</w:t>
            </w:r>
          </w:p>
        </w:tc>
        <w:tc>
          <w:tcPr>
            <w:tcW w:w="709"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93,66 %</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426 750,00</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201 676,00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1019</w:t>
            </w:r>
          </w:p>
        </w:tc>
        <w:tc>
          <w:tcPr>
            <w:tcW w:w="3646"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Ostatní zemědělská a potravinářská činnost a rozvoj</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22 000,00</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22 000,00</w:t>
            </w:r>
          </w:p>
        </w:tc>
        <w:tc>
          <w:tcPr>
            <w:tcW w:w="709"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100,00 %</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25 000,00</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-3 000,00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C4C4C4" w:fill="C6E0B4"/>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1XXX</w:t>
            </w:r>
          </w:p>
        </w:tc>
        <w:tc>
          <w:tcPr>
            <w:tcW w:w="3646" w:type="dxa"/>
            <w:tcBorders>
              <w:top w:val="nil"/>
              <w:left w:val="nil"/>
              <w:bottom w:val="single" w:sz="4" w:space="0" w:color="auto"/>
              <w:right w:val="single" w:sz="4" w:space="0" w:color="auto"/>
            </w:tcBorders>
            <w:shd w:val="clear" w:color="C4C4C4" w:fill="C6E0B4"/>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Zemědělství, lesní hospodářství a rybářství</w:t>
            </w:r>
          </w:p>
        </w:tc>
        <w:tc>
          <w:tcPr>
            <w:tcW w:w="1134" w:type="dxa"/>
            <w:tcBorders>
              <w:top w:val="nil"/>
              <w:left w:val="nil"/>
              <w:bottom w:val="single" w:sz="4" w:space="0" w:color="auto"/>
              <w:right w:val="single" w:sz="4" w:space="0" w:color="auto"/>
            </w:tcBorders>
            <w:shd w:val="clear" w:color="C4C4C4" w:fill="C6E0B4"/>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693 000,00</w:t>
            </w:r>
          </w:p>
        </w:tc>
        <w:tc>
          <w:tcPr>
            <w:tcW w:w="1134" w:type="dxa"/>
            <w:tcBorders>
              <w:top w:val="nil"/>
              <w:left w:val="nil"/>
              <w:bottom w:val="single" w:sz="4" w:space="0" w:color="auto"/>
              <w:right w:val="single" w:sz="4" w:space="0" w:color="auto"/>
            </w:tcBorders>
            <w:shd w:val="clear" w:color="C4C4C4" w:fill="C6E0B4"/>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650 426,00</w:t>
            </w:r>
          </w:p>
        </w:tc>
        <w:tc>
          <w:tcPr>
            <w:tcW w:w="709" w:type="dxa"/>
            <w:tcBorders>
              <w:top w:val="nil"/>
              <w:left w:val="nil"/>
              <w:bottom w:val="single" w:sz="4" w:space="0" w:color="auto"/>
              <w:right w:val="single" w:sz="4" w:space="0" w:color="auto"/>
            </w:tcBorders>
            <w:shd w:val="clear" w:color="C4C4C4" w:fill="C6E0B4"/>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93,86 %</w:t>
            </w:r>
          </w:p>
        </w:tc>
        <w:tc>
          <w:tcPr>
            <w:tcW w:w="1134" w:type="dxa"/>
            <w:tcBorders>
              <w:top w:val="nil"/>
              <w:left w:val="nil"/>
              <w:bottom w:val="single" w:sz="4" w:space="0" w:color="auto"/>
              <w:right w:val="single" w:sz="4" w:space="0" w:color="auto"/>
            </w:tcBorders>
            <w:shd w:val="clear" w:color="C4C4C4" w:fill="C6E0B4"/>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451 750,00</w:t>
            </w:r>
          </w:p>
        </w:tc>
        <w:tc>
          <w:tcPr>
            <w:tcW w:w="1134" w:type="dxa"/>
            <w:tcBorders>
              <w:top w:val="nil"/>
              <w:left w:val="nil"/>
              <w:bottom w:val="single" w:sz="4" w:space="0" w:color="auto"/>
              <w:right w:val="single" w:sz="4" w:space="0" w:color="auto"/>
            </w:tcBorders>
            <w:shd w:val="clear" w:color="C4C4C4" w:fill="C6E0B4"/>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198 676,00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2143</w:t>
            </w:r>
          </w:p>
        </w:tc>
        <w:tc>
          <w:tcPr>
            <w:tcW w:w="3646"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Cestovní ruch</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0,00</w:t>
            </w:r>
          </w:p>
        </w:tc>
        <w:tc>
          <w:tcPr>
            <w:tcW w:w="709"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230 886,45</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-230 886,45</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2212</w:t>
            </w:r>
          </w:p>
        </w:tc>
        <w:tc>
          <w:tcPr>
            <w:tcW w:w="3646"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Silnice</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31 406 000,00</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30 872 546,18</w:t>
            </w:r>
          </w:p>
        </w:tc>
        <w:tc>
          <w:tcPr>
            <w:tcW w:w="709"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98,30 %</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46 345 934,40</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-15 473 388,22</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2219</w:t>
            </w:r>
          </w:p>
        </w:tc>
        <w:tc>
          <w:tcPr>
            <w:tcW w:w="3646"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Ostatní záležitosti pozemních komunikací</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115 415 056,00</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109 571 963,01</w:t>
            </w:r>
          </w:p>
        </w:tc>
        <w:tc>
          <w:tcPr>
            <w:tcW w:w="709"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94,94 %</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95 025 554,87</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14 546 408,14</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2221</w:t>
            </w:r>
          </w:p>
        </w:tc>
        <w:tc>
          <w:tcPr>
            <w:tcW w:w="3646"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Provoz veřejné silniční dopravy</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0,00</w:t>
            </w:r>
          </w:p>
        </w:tc>
        <w:tc>
          <w:tcPr>
            <w:tcW w:w="709"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0,00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2223</w:t>
            </w:r>
          </w:p>
        </w:tc>
        <w:tc>
          <w:tcPr>
            <w:tcW w:w="3646"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Bezpečnost silničního provozu</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41 284,00</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33 832,85</w:t>
            </w:r>
          </w:p>
        </w:tc>
        <w:tc>
          <w:tcPr>
            <w:tcW w:w="709"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81,95 %</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16 690,85</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17 142,00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2229</w:t>
            </w:r>
          </w:p>
        </w:tc>
        <w:tc>
          <w:tcPr>
            <w:tcW w:w="3646"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Ostatní záležitosti v silniční dopravě</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0,00</w:t>
            </w:r>
          </w:p>
        </w:tc>
        <w:tc>
          <w:tcPr>
            <w:tcW w:w="709"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0,00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2292</w:t>
            </w:r>
          </w:p>
        </w:tc>
        <w:tc>
          <w:tcPr>
            <w:tcW w:w="3646"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Dopravní obslužnost veřejnými službami – linková</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42 570 531,00</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42 570 527,20</w:t>
            </w:r>
          </w:p>
        </w:tc>
        <w:tc>
          <w:tcPr>
            <w:tcW w:w="709"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100,00 %</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39 826 213,00</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2 744 314,20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2310</w:t>
            </w:r>
          </w:p>
        </w:tc>
        <w:tc>
          <w:tcPr>
            <w:tcW w:w="3646"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Pitná voda</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19 000,00</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18 500,00</w:t>
            </w:r>
          </w:p>
        </w:tc>
        <w:tc>
          <w:tcPr>
            <w:tcW w:w="709"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97,37 %</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24 000,00</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-5 500,00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2321</w:t>
            </w:r>
          </w:p>
        </w:tc>
        <w:tc>
          <w:tcPr>
            <w:tcW w:w="3646"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Odvádění a čištění odpadních vod a nakl.</w:t>
            </w:r>
            <w:r w:rsidR="00EC05C5">
              <w:rPr>
                <w:rFonts w:ascii="Calibri" w:hAnsi="Calibri" w:cs="Calibri"/>
                <w:color w:val="000000"/>
                <w:sz w:val="14"/>
                <w:szCs w:val="14"/>
              </w:rPr>
              <w:t xml:space="preserve"> </w:t>
            </w:r>
            <w:r w:rsidRPr="006E3623">
              <w:rPr>
                <w:rFonts w:ascii="Calibri" w:hAnsi="Calibri" w:cs="Calibri"/>
                <w:color w:val="000000"/>
                <w:sz w:val="14"/>
                <w:szCs w:val="14"/>
              </w:rPr>
              <w:t>s kaly</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3 830 000,00</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3 786 545,07</w:t>
            </w:r>
          </w:p>
        </w:tc>
        <w:tc>
          <w:tcPr>
            <w:tcW w:w="709"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98,87 %</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306 856,00</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3 479 689,07</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2322</w:t>
            </w:r>
          </w:p>
        </w:tc>
        <w:tc>
          <w:tcPr>
            <w:tcW w:w="3646"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Prevence znečišťování vody</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0,00</w:t>
            </w:r>
          </w:p>
        </w:tc>
        <w:tc>
          <w:tcPr>
            <w:tcW w:w="709"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7 986,00</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-7 986,00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2331</w:t>
            </w:r>
          </w:p>
        </w:tc>
        <w:tc>
          <w:tcPr>
            <w:tcW w:w="3646"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EC05C5">
            <w:pPr>
              <w:rPr>
                <w:rFonts w:ascii="Calibri" w:hAnsi="Calibri" w:cs="Calibri"/>
                <w:color w:val="000000"/>
                <w:sz w:val="14"/>
                <w:szCs w:val="14"/>
              </w:rPr>
            </w:pPr>
            <w:r w:rsidRPr="006E3623">
              <w:rPr>
                <w:rFonts w:ascii="Calibri" w:hAnsi="Calibri" w:cs="Calibri"/>
                <w:color w:val="000000"/>
                <w:sz w:val="14"/>
                <w:szCs w:val="14"/>
              </w:rPr>
              <w:t>Úpravy vodohosp</w:t>
            </w:r>
            <w:r w:rsidR="00EC05C5">
              <w:rPr>
                <w:rFonts w:ascii="Calibri" w:hAnsi="Calibri" w:cs="Calibri"/>
                <w:color w:val="000000"/>
                <w:sz w:val="14"/>
                <w:szCs w:val="14"/>
              </w:rPr>
              <w:t xml:space="preserve">odářsky </w:t>
            </w:r>
            <w:r w:rsidRPr="006E3623">
              <w:rPr>
                <w:rFonts w:ascii="Calibri" w:hAnsi="Calibri" w:cs="Calibri"/>
                <w:color w:val="000000"/>
                <w:sz w:val="14"/>
                <w:szCs w:val="14"/>
              </w:rPr>
              <w:t>významných a vodárenských toků</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50 000,00</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50 000,00</w:t>
            </w:r>
          </w:p>
        </w:tc>
        <w:tc>
          <w:tcPr>
            <w:tcW w:w="709"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100,00 %</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50 000,00</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0,00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2333</w:t>
            </w:r>
          </w:p>
        </w:tc>
        <w:tc>
          <w:tcPr>
            <w:tcW w:w="3646"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Úpravy drobných vodních toků</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15 368 350,00</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14 960 249,65</w:t>
            </w:r>
          </w:p>
        </w:tc>
        <w:tc>
          <w:tcPr>
            <w:tcW w:w="709"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97,34 %</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602 713,99</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14 357 535,66</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2510</w:t>
            </w:r>
          </w:p>
        </w:tc>
        <w:tc>
          <w:tcPr>
            <w:tcW w:w="3646"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Podpora podnikání</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800 000,00</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800 000,00</w:t>
            </w:r>
          </w:p>
        </w:tc>
        <w:tc>
          <w:tcPr>
            <w:tcW w:w="709"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1 395 000,00</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-595 000,00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C4C4C4" w:fill="C6E0B4"/>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2XXX</w:t>
            </w:r>
          </w:p>
        </w:tc>
        <w:tc>
          <w:tcPr>
            <w:tcW w:w="3646" w:type="dxa"/>
            <w:tcBorders>
              <w:top w:val="nil"/>
              <w:left w:val="nil"/>
              <w:bottom w:val="single" w:sz="4" w:space="0" w:color="auto"/>
              <w:right w:val="single" w:sz="4" w:space="0" w:color="auto"/>
            </w:tcBorders>
            <w:shd w:val="clear" w:color="C4C4C4" w:fill="C6E0B4"/>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Průmyslová a ostatní odvětví hospodářství</w:t>
            </w:r>
          </w:p>
        </w:tc>
        <w:tc>
          <w:tcPr>
            <w:tcW w:w="1134" w:type="dxa"/>
            <w:tcBorders>
              <w:top w:val="nil"/>
              <w:left w:val="nil"/>
              <w:bottom w:val="single" w:sz="4" w:space="0" w:color="auto"/>
              <w:right w:val="single" w:sz="4" w:space="0" w:color="auto"/>
            </w:tcBorders>
            <w:shd w:val="clear" w:color="C4C4C4" w:fill="C6E0B4"/>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209 500 221,00</w:t>
            </w:r>
          </w:p>
        </w:tc>
        <w:tc>
          <w:tcPr>
            <w:tcW w:w="1134" w:type="dxa"/>
            <w:tcBorders>
              <w:top w:val="nil"/>
              <w:left w:val="nil"/>
              <w:bottom w:val="single" w:sz="4" w:space="0" w:color="auto"/>
              <w:right w:val="single" w:sz="4" w:space="0" w:color="auto"/>
            </w:tcBorders>
            <w:shd w:val="clear" w:color="C4C4C4" w:fill="C6E0B4"/>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202 664 163,96</w:t>
            </w:r>
          </w:p>
        </w:tc>
        <w:tc>
          <w:tcPr>
            <w:tcW w:w="709" w:type="dxa"/>
            <w:tcBorders>
              <w:top w:val="nil"/>
              <w:left w:val="nil"/>
              <w:bottom w:val="single" w:sz="4" w:space="0" w:color="auto"/>
              <w:right w:val="single" w:sz="4" w:space="0" w:color="auto"/>
            </w:tcBorders>
            <w:shd w:val="clear" w:color="C4C4C4" w:fill="C6E0B4"/>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96,74 %</w:t>
            </w:r>
          </w:p>
        </w:tc>
        <w:tc>
          <w:tcPr>
            <w:tcW w:w="1134" w:type="dxa"/>
            <w:tcBorders>
              <w:top w:val="nil"/>
              <w:left w:val="nil"/>
              <w:bottom w:val="single" w:sz="4" w:space="0" w:color="auto"/>
              <w:right w:val="single" w:sz="4" w:space="0" w:color="auto"/>
            </w:tcBorders>
            <w:shd w:val="clear" w:color="C4C4C4" w:fill="C6E0B4"/>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183 831 835,56</w:t>
            </w:r>
          </w:p>
        </w:tc>
        <w:tc>
          <w:tcPr>
            <w:tcW w:w="1134" w:type="dxa"/>
            <w:tcBorders>
              <w:top w:val="nil"/>
              <w:left w:val="nil"/>
              <w:bottom w:val="single" w:sz="4" w:space="0" w:color="auto"/>
              <w:right w:val="single" w:sz="4" w:space="0" w:color="auto"/>
            </w:tcBorders>
            <w:shd w:val="clear" w:color="C4C4C4" w:fill="C6E0B4"/>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18 832 328,40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3111</w:t>
            </w:r>
          </w:p>
        </w:tc>
        <w:tc>
          <w:tcPr>
            <w:tcW w:w="3646"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Mateřské školy</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25 136 639,00</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24 511 415,97</w:t>
            </w:r>
          </w:p>
        </w:tc>
        <w:tc>
          <w:tcPr>
            <w:tcW w:w="709"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97,51 %</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25 261 907,08</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-750 491,11</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3113</w:t>
            </w:r>
          </w:p>
        </w:tc>
        <w:tc>
          <w:tcPr>
            <w:tcW w:w="3646"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Základní školy</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78 437 514,04</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77 344 928,49</w:t>
            </w:r>
          </w:p>
        </w:tc>
        <w:tc>
          <w:tcPr>
            <w:tcW w:w="709"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98,61 %</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68 817 027,40</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8 527 901,09</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3121</w:t>
            </w:r>
          </w:p>
        </w:tc>
        <w:tc>
          <w:tcPr>
            <w:tcW w:w="3646"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Gymnázia</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6 578 850,00</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6 483 051,30</w:t>
            </w:r>
          </w:p>
        </w:tc>
        <w:tc>
          <w:tcPr>
            <w:tcW w:w="709"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98,54 %</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6 390 434,00</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92 617,30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3122</w:t>
            </w:r>
          </w:p>
        </w:tc>
        <w:tc>
          <w:tcPr>
            <w:tcW w:w="3646"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Střední odborné školy</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2 276 350,00</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1 924 646,42</w:t>
            </w:r>
          </w:p>
        </w:tc>
        <w:tc>
          <w:tcPr>
            <w:tcW w:w="709"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84,55 %</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4 312 300,89</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-2 387 654,47</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3123</w:t>
            </w:r>
          </w:p>
        </w:tc>
        <w:tc>
          <w:tcPr>
            <w:tcW w:w="3646" w:type="dxa"/>
            <w:tcBorders>
              <w:top w:val="nil"/>
              <w:left w:val="nil"/>
              <w:bottom w:val="single" w:sz="4" w:space="0" w:color="auto"/>
              <w:right w:val="single" w:sz="4" w:space="0" w:color="auto"/>
            </w:tcBorders>
            <w:shd w:val="clear" w:color="auto" w:fill="auto"/>
            <w:noWrap/>
            <w:vAlign w:val="center"/>
            <w:hideMark/>
          </w:tcPr>
          <w:p w:rsidR="006E3623" w:rsidRPr="006E3623" w:rsidRDefault="00EC05C5" w:rsidP="00EC05C5">
            <w:pPr>
              <w:rPr>
                <w:rFonts w:ascii="Calibri" w:hAnsi="Calibri" w:cs="Calibri"/>
                <w:color w:val="000000"/>
                <w:sz w:val="14"/>
                <w:szCs w:val="14"/>
              </w:rPr>
            </w:pPr>
            <w:r>
              <w:rPr>
                <w:rFonts w:ascii="Calibri" w:hAnsi="Calibri" w:cs="Calibri"/>
                <w:color w:val="000000"/>
                <w:sz w:val="14"/>
                <w:szCs w:val="14"/>
              </w:rPr>
              <w:t>Střední školy poskytující</w:t>
            </w:r>
            <w:r w:rsidR="006E3623" w:rsidRPr="006E3623">
              <w:rPr>
                <w:rFonts w:ascii="Calibri" w:hAnsi="Calibri" w:cs="Calibri"/>
                <w:color w:val="000000"/>
                <w:sz w:val="14"/>
                <w:szCs w:val="14"/>
              </w:rPr>
              <w:t xml:space="preserve"> stř</w:t>
            </w:r>
            <w:r>
              <w:rPr>
                <w:rFonts w:ascii="Calibri" w:hAnsi="Calibri" w:cs="Calibri"/>
                <w:color w:val="000000"/>
                <w:sz w:val="14"/>
                <w:szCs w:val="14"/>
              </w:rPr>
              <w:t>edoškol.</w:t>
            </w:r>
            <w:r w:rsidR="006E3623" w:rsidRPr="006E3623">
              <w:rPr>
                <w:rFonts w:ascii="Calibri" w:hAnsi="Calibri" w:cs="Calibri"/>
                <w:color w:val="000000"/>
                <w:sz w:val="14"/>
                <w:szCs w:val="14"/>
              </w:rPr>
              <w:t xml:space="preserve"> vzděl</w:t>
            </w:r>
            <w:r>
              <w:rPr>
                <w:rFonts w:ascii="Calibri" w:hAnsi="Calibri" w:cs="Calibri"/>
                <w:color w:val="000000"/>
                <w:sz w:val="14"/>
                <w:szCs w:val="14"/>
              </w:rPr>
              <w:t>ání</w:t>
            </w:r>
            <w:r w:rsidR="006E3623" w:rsidRPr="006E3623">
              <w:rPr>
                <w:rFonts w:ascii="Calibri" w:hAnsi="Calibri" w:cs="Calibri"/>
                <w:color w:val="000000"/>
                <w:sz w:val="14"/>
                <w:szCs w:val="14"/>
              </w:rPr>
              <w:t xml:space="preserve"> s výučním listem</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30 000,00</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29 931,77</w:t>
            </w:r>
          </w:p>
        </w:tc>
        <w:tc>
          <w:tcPr>
            <w:tcW w:w="709"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99,77 %</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29 400,00</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531,77</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3124</w:t>
            </w:r>
          </w:p>
        </w:tc>
        <w:tc>
          <w:tcPr>
            <w:tcW w:w="3646" w:type="dxa"/>
            <w:tcBorders>
              <w:top w:val="nil"/>
              <w:left w:val="nil"/>
              <w:bottom w:val="single" w:sz="4" w:space="0" w:color="auto"/>
              <w:right w:val="single" w:sz="4" w:space="0" w:color="auto"/>
            </w:tcBorders>
            <w:shd w:val="clear" w:color="DBDBDB" w:fill="D9D9D9"/>
            <w:noWrap/>
            <w:vAlign w:val="center"/>
            <w:hideMark/>
          </w:tcPr>
          <w:p w:rsidR="006E3623" w:rsidRPr="006E3623" w:rsidRDefault="00EC05C5" w:rsidP="006E3623">
            <w:pPr>
              <w:rPr>
                <w:rFonts w:ascii="Calibri" w:hAnsi="Calibri" w:cs="Calibri"/>
                <w:color w:val="000000"/>
                <w:sz w:val="14"/>
                <w:szCs w:val="14"/>
              </w:rPr>
            </w:pPr>
            <w:r>
              <w:rPr>
                <w:rFonts w:ascii="Calibri" w:hAnsi="Calibri" w:cs="Calibri"/>
                <w:color w:val="000000"/>
                <w:sz w:val="14"/>
                <w:szCs w:val="14"/>
              </w:rPr>
              <w:t>Střední školy a konzervatoře</w:t>
            </w:r>
            <w:r w:rsidR="006E3623" w:rsidRPr="006E3623">
              <w:rPr>
                <w:rFonts w:ascii="Calibri" w:hAnsi="Calibri" w:cs="Calibri"/>
                <w:color w:val="000000"/>
                <w:sz w:val="14"/>
                <w:szCs w:val="14"/>
              </w:rPr>
              <w:t xml:space="preserve"> pro žáky se spec.</w:t>
            </w:r>
            <w:r>
              <w:rPr>
                <w:rFonts w:ascii="Calibri" w:hAnsi="Calibri" w:cs="Calibri"/>
                <w:color w:val="000000"/>
                <w:sz w:val="14"/>
                <w:szCs w:val="14"/>
              </w:rPr>
              <w:t xml:space="preserve"> </w:t>
            </w:r>
            <w:r w:rsidR="006E3623" w:rsidRPr="006E3623">
              <w:rPr>
                <w:rFonts w:ascii="Calibri" w:hAnsi="Calibri" w:cs="Calibri"/>
                <w:color w:val="000000"/>
                <w:sz w:val="14"/>
                <w:szCs w:val="14"/>
              </w:rPr>
              <w:t>vzd.</w:t>
            </w:r>
            <w:r>
              <w:rPr>
                <w:rFonts w:ascii="Calibri" w:hAnsi="Calibri" w:cs="Calibri"/>
                <w:color w:val="000000"/>
                <w:sz w:val="14"/>
                <w:szCs w:val="14"/>
              </w:rPr>
              <w:t xml:space="preserve"> potřebami</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25 000,00</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25 000,00</w:t>
            </w:r>
          </w:p>
        </w:tc>
        <w:tc>
          <w:tcPr>
            <w:tcW w:w="709"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100,00 %</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25 000,00</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0,00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3231</w:t>
            </w:r>
          </w:p>
        </w:tc>
        <w:tc>
          <w:tcPr>
            <w:tcW w:w="3646"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Základní umělecké školy</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2 100 000,00</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2 031 890,00</w:t>
            </w:r>
          </w:p>
        </w:tc>
        <w:tc>
          <w:tcPr>
            <w:tcW w:w="709"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96,76 %</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1 756 270,00</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275 620,00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3233</w:t>
            </w:r>
          </w:p>
        </w:tc>
        <w:tc>
          <w:tcPr>
            <w:tcW w:w="3646"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Střediska volného času</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35 984 560,00</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35 878 348,00</w:t>
            </w:r>
          </w:p>
        </w:tc>
        <w:tc>
          <w:tcPr>
            <w:tcW w:w="709"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99,70 %</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26 251 625,00</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9 626 723,00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3299</w:t>
            </w:r>
          </w:p>
        </w:tc>
        <w:tc>
          <w:tcPr>
            <w:tcW w:w="3646"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Ostatní záležitosti vzdělávání</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775 200,00</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775 191,54</w:t>
            </w:r>
          </w:p>
        </w:tc>
        <w:tc>
          <w:tcPr>
            <w:tcW w:w="709"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100,00 %</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338 035,29</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437 156,25</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3311</w:t>
            </w:r>
          </w:p>
        </w:tc>
        <w:tc>
          <w:tcPr>
            <w:tcW w:w="3646"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Divadelní činnost</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7 736 410,00</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7 736 410,00</w:t>
            </w:r>
          </w:p>
        </w:tc>
        <w:tc>
          <w:tcPr>
            <w:tcW w:w="709"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100,00 %</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6 950 780,00</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785 630,00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lastRenderedPageBreak/>
              <w:t>3313</w:t>
            </w:r>
          </w:p>
        </w:tc>
        <w:tc>
          <w:tcPr>
            <w:tcW w:w="3646"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Film.</w:t>
            </w:r>
            <w:r w:rsidR="00EC05C5">
              <w:rPr>
                <w:rFonts w:ascii="Calibri" w:hAnsi="Calibri" w:cs="Calibri"/>
                <w:color w:val="000000"/>
                <w:sz w:val="14"/>
                <w:szCs w:val="14"/>
              </w:rPr>
              <w:t xml:space="preserve"> </w:t>
            </w:r>
            <w:r w:rsidRPr="006E3623">
              <w:rPr>
                <w:rFonts w:ascii="Calibri" w:hAnsi="Calibri" w:cs="Calibri"/>
                <w:color w:val="000000"/>
                <w:sz w:val="14"/>
                <w:szCs w:val="14"/>
              </w:rPr>
              <w:t>tvorba,</w:t>
            </w:r>
            <w:r w:rsidR="00EC05C5">
              <w:rPr>
                <w:rFonts w:ascii="Calibri" w:hAnsi="Calibri" w:cs="Calibri"/>
                <w:color w:val="000000"/>
                <w:sz w:val="14"/>
                <w:szCs w:val="14"/>
              </w:rPr>
              <w:t xml:space="preserve"> </w:t>
            </w:r>
            <w:r w:rsidRPr="006E3623">
              <w:rPr>
                <w:rFonts w:ascii="Calibri" w:hAnsi="Calibri" w:cs="Calibri"/>
                <w:color w:val="000000"/>
                <w:sz w:val="14"/>
                <w:szCs w:val="14"/>
              </w:rPr>
              <w:t>distribuce, kina a shrom.</w:t>
            </w:r>
            <w:r w:rsidR="00EC05C5">
              <w:rPr>
                <w:rFonts w:ascii="Calibri" w:hAnsi="Calibri" w:cs="Calibri"/>
                <w:color w:val="000000"/>
                <w:sz w:val="14"/>
                <w:szCs w:val="14"/>
              </w:rPr>
              <w:t xml:space="preserve"> </w:t>
            </w:r>
            <w:r w:rsidRPr="006E3623">
              <w:rPr>
                <w:rFonts w:ascii="Calibri" w:hAnsi="Calibri" w:cs="Calibri"/>
                <w:color w:val="000000"/>
                <w:sz w:val="14"/>
                <w:szCs w:val="14"/>
              </w:rPr>
              <w:t>audio archiv.</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6 675 000,00</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6 425 445,43</w:t>
            </w:r>
          </w:p>
        </w:tc>
        <w:tc>
          <w:tcPr>
            <w:tcW w:w="709"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96,26 %</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7 111 025,93</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-685 580,50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3314</w:t>
            </w:r>
          </w:p>
        </w:tc>
        <w:tc>
          <w:tcPr>
            <w:tcW w:w="3646"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Činnosti knihovnické</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14 068 685,00</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14 067 007,00</w:t>
            </w:r>
          </w:p>
        </w:tc>
        <w:tc>
          <w:tcPr>
            <w:tcW w:w="709"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99,99 %</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14 022 999,00</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44 008,00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3315</w:t>
            </w:r>
          </w:p>
        </w:tc>
        <w:tc>
          <w:tcPr>
            <w:tcW w:w="3646"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Činnosti muzeí a galerií</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2 800 000,00</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2 243 946,21</w:t>
            </w:r>
          </w:p>
        </w:tc>
        <w:tc>
          <w:tcPr>
            <w:tcW w:w="709"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80,14 %</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132 253,00</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2 111 693,21</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3319</w:t>
            </w:r>
          </w:p>
        </w:tc>
        <w:tc>
          <w:tcPr>
            <w:tcW w:w="3646"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Ostatní záležitosti kultury</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13 889 700,00</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13 365 982,86</w:t>
            </w:r>
          </w:p>
        </w:tc>
        <w:tc>
          <w:tcPr>
            <w:tcW w:w="709"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96,23 %</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9 715 801,10</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3 650 181,76</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3322</w:t>
            </w:r>
          </w:p>
        </w:tc>
        <w:tc>
          <w:tcPr>
            <w:tcW w:w="3646"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Zachování a obnova kulturních památek</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4 167 369,00</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3 519 347,97</w:t>
            </w:r>
          </w:p>
        </w:tc>
        <w:tc>
          <w:tcPr>
            <w:tcW w:w="709"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84,45 %</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17 013 576,59</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-13 494 228,62</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3326</w:t>
            </w:r>
          </w:p>
        </w:tc>
        <w:tc>
          <w:tcPr>
            <w:tcW w:w="3646"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Pořízení,</w:t>
            </w:r>
            <w:r w:rsidR="00EC05C5">
              <w:rPr>
                <w:rFonts w:ascii="Calibri" w:hAnsi="Calibri" w:cs="Calibri"/>
                <w:color w:val="000000"/>
                <w:sz w:val="14"/>
                <w:szCs w:val="14"/>
              </w:rPr>
              <w:t xml:space="preserve"> </w:t>
            </w:r>
            <w:r w:rsidRPr="006E3623">
              <w:rPr>
                <w:rFonts w:ascii="Calibri" w:hAnsi="Calibri" w:cs="Calibri"/>
                <w:color w:val="000000"/>
                <w:sz w:val="14"/>
                <w:szCs w:val="14"/>
              </w:rPr>
              <w:t>zachování a obnova hodnot ná</w:t>
            </w:r>
            <w:r w:rsidR="00EC05C5">
              <w:rPr>
                <w:rFonts w:ascii="Calibri" w:hAnsi="Calibri" w:cs="Calibri"/>
                <w:color w:val="000000"/>
                <w:sz w:val="14"/>
                <w:szCs w:val="14"/>
              </w:rPr>
              <w:t xml:space="preserve">r. </w:t>
            </w:r>
            <w:r w:rsidRPr="006E3623">
              <w:rPr>
                <w:rFonts w:ascii="Calibri" w:hAnsi="Calibri" w:cs="Calibri"/>
                <w:color w:val="000000"/>
                <w:sz w:val="14"/>
                <w:szCs w:val="14"/>
              </w:rPr>
              <w:t>hist.</w:t>
            </w:r>
            <w:r w:rsidR="00EC05C5">
              <w:rPr>
                <w:rFonts w:ascii="Calibri" w:hAnsi="Calibri" w:cs="Calibri"/>
                <w:color w:val="000000"/>
                <w:sz w:val="14"/>
                <w:szCs w:val="14"/>
              </w:rPr>
              <w:t xml:space="preserve"> </w:t>
            </w:r>
            <w:r w:rsidRPr="006E3623">
              <w:rPr>
                <w:rFonts w:ascii="Calibri" w:hAnsi="Calibri" w:cs="Calibri"/>
                <w:color w:val="000000"/>
                <w:sz w:val="14"/>
                <w:szCs w:val="14"/>
              </w:rPr>
              <w:t>povědomí</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185 000,00</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82 520,00</w:t>
            </w:r>
          </w:p>
        </w:tc>
        <w:tc>
          <w:tcPr>
            <w:tcW w:w="709"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44,61 %</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114 847,82</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-32 327,82</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3329</w:t>
            </w:r>
          </w:p>
        </w:tc>
        <w:tc>
          <w:tcPr>
            <w:tcW w:w="3646" w:type="dxa"/>
            <w:tcBorders>
              <w:top w:val="nil"/>
              <w:left w:val="nil"/>
              <w:bottom w:val="single" w:sz="4" w:space="0" w:color="auto"/>
              <w:right w:val="single" w:sz="4" w:space="0" w:color="auto"/>
            </w:tcBorders>
            <w:shd w:val="clear" w:color="auto" w:fill="auto"/>
            <w:noWrap/>
            <w:vAlign w:val="center"/>
            <w:hideMark/>
          </w:tcPr>
          <w:p w:rsidR="006E3623" w:rsidRPr="006E3623" w:rsidRDefault="00EC05C5" w:rsidP="00EC05C5">
            <w:pPr>
              <w:rPr>
                <w:rFonts w:ascii="Calibri" w:hAnsi="Calibri" w:cs="Calibri"/>
                <w:color w:val="000000"/>
                <w:sz w:val="14"/>
                <w:szCs w:val="14"/>
              </w:rPr>
            </w:pPr>
            <w:r>
              <w:rPr>
                <w:rFonts w:ascii="Calibri" w:hAnsi="Calibri" w:cs="Calibri"/>
                <w:color w:val="000000"/>
                <w:sz w:val="14"/>
                <w:szCs w:val="14"/>
              </w:rPr>
              <w:t xml:space="preserve">Ostatní záležit. </w:t>
            </w:r>
            <w:r w:rsidR="006E3623" w:rsidRPr="006E3623">
              <w:rPr>
                <w:rFonts w:ascii="Calibri" w:hAnsi="Calibri" w:cs="Calibri"/>
                <w:color w:val="000000"/>
                <w:sz w:val="14"/>
                <w:szCs w:val="14"/>
              </w:rPr>
              <w:t>ochrany památek a péče o kult</w:t>
            </w:r>
            <w:r>
              <w:rPr>
                <w:rFonts w:ascii="Calibri" w:hAnsi="Calibri" w:cs="Calibri"/>
                <w:color w:val="000000"/>
                <w:sz w:val="14"/>
                <w:szCs w:val="14"/>
              </w:rPr>
              <w:t xml:space="preserve">urní </w:t>
            </w:r>
            <w:r w:rsidR="006E3623" w:rsidRPr="006E3623">
              <w:rPr>
                <w:rFonts w:ascii="Calibri" w:hAnsi="Calibri" w:cs="Calibri"/>
                <w:color w:val="000000"/>
                <w:sz w:val="14"/>
                <w:szCs w:val="14"/>
              </w:rPr>
              <w:t>dědictví</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990 000,00</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630 770,69</w:t>
            </w:r>
          </w:p>
        </w:tc>
        <w:tc>
          <w:tcPr>
            <w:tcW w:w="709"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63,71 %</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630 770,69</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3341</w:t>
            </w:r>
          </w:p>
        </w:tc>
        <w:tc>
          <w:tcPr>
            <w:tcW w:w="3646"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Rozhlas a televize</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2 034 714,00</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2 018 069,11</w:t>
            </w:r>
          </w:p>
        </w:tc>
        <w:tc>
          <w:tcPr>
            <w:tcW w:w="709"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99,18 %</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1 986 642,93</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31 426,18</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3349</w:t>
            </w:r>
          </w:p>
        </w:tc>
        <w:tc>
          <w:tcPr>
            <w:tcW w:w="3646"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Ostatní záležitosti sdělovacích prostředků</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924 445,00</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900 849,69</w:t>
            </w:r>
          </w:p>
        </w:tc>
        <w:tc>
          <w:tcPr>
            <w:tcW w:w="709"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97,45 %</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527 862,75</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372 986,94</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3399</w:t>
            </w:r>
          </w:p>
        </w:tc>
        <w:tc>
          <w:tcPr>
            <w:tcW w:w="3646"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Ostatní záležitosti kultury,</w:t>
            </w:r>
            <w:r w:rsidR="00EC05C5">
              <w:rPr>
                <w:rFonts w:ascii="Calibri" w:hAnsi="Calibri" w:cs="Calibri"/>
                <w:color w:val="000000"/>
                <w:sz w:val="14"/>
                <w:szCs w:val="14"/>
              </w:rPr>
              <w:t xml:space="preserve"> církví a sdělovacích prostředků</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1 519 760,00</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1 519 760,00</w:t>
            </w:r>
          </w:p>
        </w:tc>
        <w:tc>
          <w:tcPr>
            <w:tcW w:w="709"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100,00 %</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1 519 760,00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3412</w:t>
            </w:r>
          </w:p>
        </w:tc>
        <w:tc>
          <w:tcPr>
            <w:tcW w:w="3646"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Sportovní zařízení ve vlastnictví obce</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37 124 947,21</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34 834 618,21</w:t>
            </w:r>
          </w:p>
        </w:tc>
        <w:tc>
          <w:tcPr>
            <w:tcW w:w="709"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93,83 %</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47 735 259,10</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-12 900 640,89</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3419</w:t>
            </w:r>
          </w:p>
        </w:tc>
        <w:tc>
          <w:tcPr>
            <w:tcW w:w="3646"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Ostatní sportovní činnost</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51 391 116,64</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51 311 161,64</w:t>
            </w:r>
          </w:p>
        </w:tc>
        <w:tc>
          <w:tcPr>
            <w:tcW w:w="709"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99,84 %</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49 352 604,15</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1 958 557,49</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3421</w:t>
            </w:r>
          </w:p>
        </w:tc>
        <w:tc>
          <w:tcPr>
            <w:tcW w:w="3646"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Využití volného času dětí a mládeže</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0,00</w:t>
            </w:r>
          </w:p>
        </w:tc>
        <w:tc>
          <w:tcPr>
            <w:tcW w:w="709"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19 707 317,58</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-19 707 317,58</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3429</w:t>
            </w:r>
          </w:p>
        </w:tc>
        <w:tc>
          <w:tcPr>
            <w:tcW w:w="3646"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Ostatní zájmová činnost a rekreace</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1 244 990,00</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1 244 990,00</w:t>
            </w:r>
          </w:p>
        </w:tc>
        <w:tc>
          <w:tcPr>
            <w:tcW w:w="709"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100,00 %</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3 849 800,00</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-2 604 810,00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3519</w:t>
            </w:r>
          </w:p>
        </w:tc>
        <w:tc>
          <w:tcPr>
            <w:tcW w:w="3646"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Ostatní ambulantní péče</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45 000,00</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45 000,00</w:t>
            </w:r>
          </w:p>
        </w:tc>
        <w:tc>
          <w:tcPr>
            <w:tcW w:w="709"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100,00 %</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80 000,00</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-35 000,00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3525</w:t>
            </w:r>
          </w:p>
        </w:tc>
        <w:tc>
          <w:tcPr>
            <w:tcW w:w="3646"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Hospice</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45 000,00</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45 000,00</w:t>
            </w:r>
          </w:p>
        </w:tc>
        <w:tc>
          <w:tcPr>
            <w:tcW w:w="709"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100,00 %</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45 000,00</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0,00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3533</w:t>
            </w:r>
          </w:p>
        </w:tc>
        <w:tc>
          <w:tcPr>
            <w:tcW w:w="3646"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Zdravotnická záchranná služba</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49 000,00</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47 553,00</w:t>
            </w:r>
          </w:p>
        </w:tc>
        <w:tc>
          <w:tcPr>
            <w:tcW w:w="709"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97,05 %</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83 490,00</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-35 937,00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3539</w:t>
            </w:r>
          </w:p>
        </w:tc>
        <w:tc>
          <w:tcPr>
            <w:tcW w:w="3646" w:type="dxa"/>
            <w:tcBorders>
              <w:top w:val="nil"/>
              <w:left w:val="nil"/>
              <w:bottom w:val="single" w:sz="4" w:space="0" w:color="auto"/>
              <w:right w:val="single" w:sz="4" w:space="0" w:color="auto"/>
            </w:tcBorders>
            <w:shd w:val="clear" w:color="DBDBDB" w:fill="D9D9D9"/>
            <w:noWrap/>
            <w:vAlign w:val="center"/>
            <w:hideMark/>
          </w:tcPr>
          <w:p w:rsidR="006E3623" w:rsidRPr="006E3623" w:rsidRDefault="00EC05C5" w:rsidP="006E3623">
            <w:pPr>
              <w:rPr>
                <w:rFonts w:ascii="Calibri" w:hAnsi="Calibri" w:cs="Calibri"/>
                <w:color w:val="000000"/>
                <w:sz w:val="14"/>
                <w:szCs w:val="14"/>
              </w:rPr>
            </w:pPr>
            <w:r>
              <w:rPr>
                <w:rFonts w:ascii="Calibri" w:hAnsi="Calibri" w:cs="Calibri"/>
                <w:color w:val="000000"/>
                <w:sz w:val="14"/>
                <w:szCs w:val="14"/>
              </w:rPr>
              <w:t>Ostatní zdravotnická zařízení</w:t>
            </w:r>
            <w:r w:rsidR="006E3623" w:rsidRPr="006E3623">
              <w:rPr>
                <w:rFonts w:ascii="Calibri" w:hAnsi="Calibri" w:cs="Calibri"/>
                <w:color w:val="000000"/>
                <w:sz w:val="14"/>
                <w:szCs w:val="14"/>
              </w:rPr>
              <w:t>.</w:t>
            </w:r>
            <w:r>
              <w:rPr>
                <w:rFonts w:ascii="Calibri" w:hAnsi="Calibri" w:cs="Calibri"/>
                <w:color w:val="000000"/>
                <w:sz w:val="14"/>
                <w:szCs w:val="14"/>
              </w:rPr>
              <w:t xml:space="preserve"> </w:t>
            </w:r>
            <w:r w:rsidR="006E3623" w:rsidRPr="006E3623">
              <w:rPr>
                <w:rFonts w:ascii="Calibri" w:hAnsi="Calibri" w:cs="Calibri"/>
                <w:color w:val="000000"/>
                <w:sz w:val="14"/>
                <w:szCs w:val="14"/>
              </w:rPr>
              <w:t>a služby pro zdravot.</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2 813 690,00</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2 812 365,00</w:t>
            </w:r>
          </w:p>
        </w:tc>
        <w:tc>
          <w:tcPr>
            <w:tcW w:w="709"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99,95 %</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2 904 213,00</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-91 848,00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3543</w:t>
            </w:r>
          </w:p>
        </w:tc>
        <w:tc>
          <w:tcPr>
            <w:tcW w:w="3646"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Pomoc zdravotně postiženým a chronicky nemocným</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0,00</w:t>
            </w:r>
          </w:p>
        </w:tc>
        <w:tc>
          <w:tcPr>
            <w:tcW w:w="709"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20 000,00</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-20 000,00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3599</w:t>
            </w:r>
          </w:p>
        </w:tc>
        <w:tc>
          <w:tcPr>
            <w:tcW w:w="3646"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Ostatní činnosti ve zdravotnictví</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40 000,00</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40 000,00</w:t>
            </w:r>
          </w:p>
        </w:tc>
        <w:tc>
          <w:tcPr>
            <w:tcW w:w="709"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100,00 %</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39 357,67</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642,33</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3612</w:t>
            </w:r>
          </w:p>
        </w:tc>
        <w:tc>
          <w:tcPr>
            <w:tcW w:w="3646"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Bytové hospodářství</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61 700 858,70</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51 511 296,01</w:t>
            </w:r>
          </w:p>
        </w:tc>
        <w:tc>
          <w:tcPr>
            <w:tcW w:w="709"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83,49 %</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38 580 817,07</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12 930 478,94</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3613</w:t>
            </w:r>
          </w:p>
        </w:tc>
        <w:tc>
          <w:tcPr>
            <w:tcW w:w="3646"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Nebytové hospodářství</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4 469 000,00</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4 450 980,00</w:t>
            </w:r>
          </w:p>
        </w:tc>
        <w:tc>
          <w:tcPr>
            <w:tcW w:w="709"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99,60 %</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10 520 756,92</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-6 069 776,92</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3619</w:t>
            </w:r>
          </w:p>
        </w:tc>
        <w:tc>
          <w:tcPr>
            <w:tcW w:w="3646"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Ostatní rozvoj bydlení a bytového hospodářství</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38 666 740,81</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37 042 092,68</w:t>
            </w:r>
          </w:p>
        </w:tc>
        <w:tc>
          <w:tcPr>
            <w:tcW w:w="709"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95,80 %</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27 260 278,42</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9 781 814,26</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3631</w:t>
            </w:r>
          </w:p>
        </w:tc>
        <w:tc>
          <w:tcPr>
            <w:tcW w:w="3646"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Veřejné osvětlení</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25 423 512,20</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23 428 936,36</w:t>
            </w:r>
          </w:p>
        </w:tc>
        <w:tc>
          <w:tcPr>
            <w:tcW w:w="709"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92,15 %</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20 697 446,50</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2 731 489,86</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3632</w:t>
            </w:r>
          </w:p>
        </w:tc>
        <w:tc>
          <w:tcPr>
            <w:tcW w:w="3646"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Pohřebnictví</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18 520 607,00</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18 098 967,94</w:t>
            </w:r>
          </w:p>
        </w:tc>
        <w:tc>
          <w:tcPr>
            <w:tcW w:w="709"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97,72 %</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6 578 237,85</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11 520 730,09</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3633</w:t>
            </w:r>
          </w:p>
        </w:tc>
        <w:tc>
          <w:tcPr>
            <w:tcW w:w="3646"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Výstavba a údržba místních inženýrských sítí</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1 300 000,00</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1 281 737,27</w:t>
            </w:r>
          </w:p>
        </w:tc>
        <w:tc>
          <w:tcPr>
            <w:tcW w:w="709"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98,60 %</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139 150,00</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1 142 587,27</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3635</w:t>
            </w:r>
          </w:p>
        </w:tc>
        <w:tc>
          <w:tcPr>
            <w:tcW w:w="3646"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Územní plánování</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2 392 370,00</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178 240,00</w:t>
            </w:r>
          </w:p>
        </w:tc>
        <w:tc>
          <w:tcPr>
            <w:tcW w:w="709"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7,45 %</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2 529 850,00</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-2 351 610,00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3639</w:t>
            </w:r>
          </w:p>
        </w:tc>
        <w:tc>
          <w:tcPr>
            <w:tcW w:w="3646"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Komunální služby a územní rozvoj j.</w:t>
            </w:r>
            <w:r w:rsidR="00EC05C5">
              <w:rPr>
                <w:rFonts w:ascii="Calibri" w:hAnsi="Calibri" w:cs="Calibri"/>
                <w:color w:val="000000"/>
                <w:sz w:val="14"/>
                <w:szCs w:val="14"/>
              </w:rPr>
              <w:t xml:space="preserve"> </w:t>
            </w:r>
            <w:r w:rsidRPr="006E3623">
              <w:rPr>
                <w:rFonts w:ascii="Calibri" w:hAnsi="Calibri" w:cs="Calibri"/>
                <w:color w:val="000000"/>
                <w:sz w:val="14"/>
                <w:szCs w:val="14"/>
              </w:rPr>
              <w:t>n.</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8 778 620,49</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4 880 353,23</w:t>
            </w:r>
          </w:p>
        </w:tc>
        <w:tc>
          <w:tcPr>
            <w:tcW w:w="709"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55,59 %</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4 701 377,06</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178 976,17</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3722</w:t>
            </w:r>
          </w:p>
        </w:tc>
        <w:tc>
          <w:tcPr>
            <w:tcW w:w="3646"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Sběr a svoz komunálních odpadů</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54 722 648,00</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54 568 550,58</w:t>
            </w:r>
          </w:p>
        </w:tc>
        <w:tc>
          <w:tcPr>
            <w:tcW w:w="709"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99,72 %</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52 038 326,63</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2 530 223,95</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3728</w:t>
            </w:r>
          </w:p>
        </w:tc>
        <w:tc>
          <w:tcPr>
            <w:tcW w:w="3646"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Monitoring nakládání s odpady</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20 000,00</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20 000,00</w:t>
            </w:r>
          </w:p>
        </w:tc>
        <w:tc>
          <w:tcPr>
            <w:tcW w:w="709"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100,00 %</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25 000,00</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-5 000,00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3745</w:t>
            </w:r>
          </w:p>
        </w:tc>
        <w:tc>
          <w:tcPr>
            <w:tcW w:w="3646"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Péče o vzhled obcí a veřejnou zeleň</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64 046 492,00</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61 808 237,80</w:t>
            </w:r>
          </w:p>
        </w:tc>
        <w:tc>
          <w:tcPr>
            <w:tcW w:w="709"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96,51 %</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48 491 498,75</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13 316 739,05</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3749</w:t>
            </w:r>
          </w:p>
        </w:tc>
        <w:tc>
          <w:tcPr>
            <w:tcW w:w="3646"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Ostatní činnosti k ochraně přírody a krajiny</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0,00</w:t>
            </w:r>
          </w:p>
        </w:tc>
        <w:tc>
          <w:tcPr>
            <w:tcW w:w="709"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188 720,31</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-188 720,31</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3793</w:t>
            </w:r>
          </w:p>
        </w:tc>
        <w:tc>
          <w:tcPr>
            <w:tcW w:w="3646"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Ekologie v dopravě</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2 000 000,00</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1 595 510,00</w:t>
            </w:r>
          </w:p>
        </w:tc>
        <w:tc>
          <w:tcPr>
            <w:tcW w:w="709"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79,78 %</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1 600 000,00</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-4 490,00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3799</w:t>
            </w:r>
          </w:p>
        </w:tc>
        <w:tc>
          <w:tcPr>
            <w:tcW w:w="3646"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Ostatní ekologické záležitosti</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1 938 922,00</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1 938 922,00</w:t>
            </w:r>
          </w:p>
        </w:tc>
        <w:tc>
          <w:tcPr>
            <w:tcW w:w="709"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100,00 %</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933 880,00</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1 005 042,00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3900</w:t>
            </w:r>
          </w:p>
        </w:tc>
        <w:tc>
          <w:tcPr>
            <w:tcW w:w="3646"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Ostatní činnosti souvis.se službami pro obyvatelstvo</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593 578,00</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567 558,20</w:t>
            </w:r>
          </w:p>
        </w:tc>
        <w:tc>
          <w:tcPr>
            <w:tcW w:w="709"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95,62 %</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2 360 182,17</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-1 792 623,97</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C4C4C4" w:fill="C6E0B4"/>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3XXX</w:t>
            </w:r>
          </w:p>
        </w:tc>
        <w:tc>
          <w:tcPr>
            <w:tcW w:w="3646" w:type="dxa"/>
            <w:tcBorders>
              <w:top w:val="nil"/>
              <w:left w:val="nil"/>
              <w:bottom w:val="single" w:sz="4" w:space="0" w:color="auto"/>
              <w:right w:val="single" w:sz="4" w:space="0" w:color="auto"/>
            </w:tcBorders>
            <w:shd w:val="clear" w:color="C4C4C4" w:fill="C6E0B4"/>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Služby pro obyvatelstvo</w:t>
            </w:r>
          </w:p>
        </w:tc>
        <w:tc>
          <w:tcPr>
            <w:tcW w:w="1134" w:type="dxa"/>
            <w:tcBorders>
              <w:top w:val="nil"/>
              <w:left w:val="nil"/>
              <w:bottom w:val="single" w:sz="4" w:space="0" w:color="auto"/>
              <w:right w:val="single" w:sz="4" w:space="0" w:color="auto"/>
            </w:tcBorders>
            <w:shd w:val="clear" w:color="C4C4C4" w:fill="C6E0B4"/>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583 662 289,09</w:t>
            </w:r>
          </w:p>
        </w:tc>
        <w:tc>
          <w:tcPr>
            <w:tcW w:w="1134" w:type="dxa"/>
            <w:tcBorders>
              <w:top w:val="nil"/>
              <w:left w:val="nil"/>
              <w:bottom w:val="single" w:sz="4" w:space="0" w:color="auto"/>
              <w:right w:val="single" w:sz="4" w:space="0" w:color="auto"/>
            </w:tcBorders>
            <w:shd w:val="clear" w:color="C4C4C4" w:fill="C6E0B4"/>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553 266 582,37</w:t>
            </w:r>
          </w:p>
        </w:tc>
        <w:tc>
          <w:tcPr>
            <w:tcW w:w="709" w:type="dxa"/>
            <w:tcBorders>
              <w:top w:val="nil"/>
              <w:left w:val="nil"/>
              <w:bottom w:val="single" w:sz="4" w:space="0" w:color="auto"/>
              <w:right w:val="single" w:sz="4" w:space="0" w:color="auto"/>
            </w:tcBorders>
            <w:shd w:val="clear" w:color="C4C4C4" w:fill="C6E0B4"/>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94,79 %</w:t>
            </w:r>
          </w:p>
        </w:tc>
        <w:tc>
          <w:tcPr>
            <w:tcW w:w="1134" w:type="dxa"/>
            <w:tcBorders>
              <w:top w:val="nil"/>
              <w:left w:val="nil"/>
              <w:bottom w:val="single" w:sz="4" w:space="0" w:color="auto"/>
              <w:right w:val="single" w:sz="4" w:space="0" w:color="auto"/>
            </w:tcBorders>
            <w:shd w:val="clear" w:color="C4C4C4" w:fill="C6E0B4"/>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531 220 351,96</w:t>
            </w:r>
          </w:p>
        </w:tc>
        <w:tc>
          <w:tcPr>
            <w:tcW w:w="1134" w:type="dxa"/>
            <w:tcBorders>
              <w:top w:val="nil"/>
              <w:left w:val="nil"/>
              <w:bottom w:val="single" w:sz="4" w:space="0" w:color="auto"/>
              <w:right w:val="single" w:sz="4" w:space="0" w:color="auto"/>
            </w:tcBorders>
            <w:shd w:val="clear" w:color="C4C4C4" w:fill="C6E0B4"/>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22 046 230,41</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4329</w:t>
            </w:r>
          </w:p>
        </w:tc>
        <w:tc>
          <w:tcPr>
            <w:tcW w:w="3646"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Ostatní sociální péče a pomoc dětem a mládeži</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7 810,00</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7 780,10</w:t>
            </w:r>
          </w:p>
        </w:tc>
        <w:tc>
          <w:tcPr>
            <w:tcW w:w="709"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99,62 %</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12 038,80</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-4 258,70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4339</w:t>
            </w:r>
          </w:p>
        </w:tc>
        <w:tc>
          <w:tcPr>
            <w:tcW w:w="3646"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Ostatní sociální péče a pomoc rodině a manželství</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3 050 975,50</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588 105,12</w:t>
            </w:r>
          </w:p>
        </w:tc>
        <w:tc>
          <w:tcPr>
            <w:tcW w:w="709"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19,28 %</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552 584,00</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35 521,12</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DBDBDB"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4341</w:t>
            </w:r>
          </w:p>
        </w:tc>
        <w:tc>
          <w:tcPr>
            <w:tcW w:w="3646" w:type="dxa"/>
            <w:tcBorders>
              <w:top w:val="nil"/>
              <w:left w:val="nil"/>
              <w:bottom w:val="single" w:sz="4" w:space="0" w:color="auto"/>
              <w:right w:val="single" w:sz="4" w:space="0" w:color="auto"/>
            </w:tcBorders>
            <w:shd w:val="clear" w:color="DBDBDB" w:fill="FFFFFF"/>
            <w:noWrap/>
            <w:vAlign w:val="center"/>
            <w:hideMark/>
          </w:tcPr>
          <w:p w:rsidR="006E3623" w:rsidRPr="006E3623" w:rsidRDefault="006E3623" w:rsidP="006E3623">
            <w:pPr>
              <w:rPr>
                <w:rFonts w:ascii="Calibri" w:hAnsi="Calibri" w:cs="Calibri"/>
                <w:sz w:val="14"/>
                <w:szCs w:val="14"/>
              </w:rPr>
            </w:pPr>
            <w:r w:rsidRPr="006E3623">
              <w:rPr>
                <w:rFonts w:ascii="Calibri" w:hAnsi="Calibri" w:cs="Calibri"/>
                <w:sz w:val="14"/>
                <w:szCs w:val="14"/>
              </w:rPr>
              <w:t>Soc.</w:t>
            </w:r>
            <w:r w:rsidR="00EC05C5">
              <w:rPr>
                <w:rFonts w:ascii="Calibri" w:hAnsi="Calibri" w:cs="Calibri"/>
                <w:sz w:val="14"/>
                <w:szCs w:val="14"/>
              </w:rPr>
              <w:t xml:space="preserve"> </w:t>
            </w:r>
            <w:r w:rsidRPr="006E3623">
              <w:rPr>
                <w:rFonts w:ascii="Calibri" w:hAnsi="Calibri" w:cs="Calibri"/>
                <w:sz w:val="14"/>
                <w:szCs w:val="14"/>
              </w:rPr>
              <w:t>pomoc osobám v hm.</w:t>
            </w:r>
            <w:r w:rsidR="00EC05C5">
              <w:rPr>
                <w:rFonts w:ascii="Calibri" w:hAnsi="Calibri" w:cs="Calibri"/>
                <w:sz w:val="14"/>
                <w:szCs w:val="14"/>
              </w:rPr>
              <w:t xml:space="preserve"> </w:t>
            </w:r>
            <w:r w:rsidRPr="006E3623">
              <w:rPr>
                <w:rFonts w:ascii="Calibri" w:hAnsi="Calibri" w:cs="Calibri"/>
                <w:sz w:val="14"/>
                <w:szCs w:val="14"/>
              </w:rPr>
              <w:t>nouzi a obč.</w:t>
            </w:r>
            <w:r w:rsidR="00EC05C5">
              <w:rPr>
                <w:rFonts w:ascii="Calibri" w:hAnsi="Calibri" w:cs="Calibri"/>
                <w:sz w:val="14"/>
                <w:szCs w:val="14"/>
              </w:rPr>
              <w:t xml:space="preserve"> </w:t>
            </w:r>
            <w:r w:rsidRPr="006E3623">
              <w:rPr>
                <w:rFonts w:ascii="Calibri" w:hAnsi="Calibri" w:cs="Calibri"/>
                <w:sz w:val="14"/>
                <w:szCs w:val="14"/>
              </w:rPr>
              <w:t>soc.</w:t>
            </w:r>
            <w:r w:rsidR="00EC05C5">
              <w:rPr>
                <w:rFonts w:ascii="Calibri" w:hAnsi="Calibri" w:cs="Calibri"/>
                <w:sz w:val="14"/>
                <w:szCs w:val="14"/>
              </w:rPr>
              <w:t xml:space="preserve"> nepřizpůsob.</w:t>
            </w:r>
          </w:p>
        </w:tc>
        <w:tc>
          <w:tcPr>
            <w:tcW w:w="1134" w:type="dxa"/>
            <w:tcBorders>
              <w:top w:val="nil"/>
              <w:left w:val="nil"/>
              <w:bottom w:val="single" w:sz="4" w:space="0" w:color="auto"/>
              <w:right w:val="single" w:sz="4" w:space="0" w:color="auto"/>
            </w:tcBorders>
            <w:shd w:val="clear" w:color="DBDBDB"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43 000,00</w:t>
            </w:r>
          </w:p>
        </w:tc>
        <w:tc>
          <w:tcPr>
            <w:tcW w:w="1134" w:type="dxa"/>
            <w:tcBorders>
              <w:top w:val="nil"/>
              <w:left w:val="nil"/>
              <w:bottom w:val="single" w:sz="4" w:space="0" w:color="auto"/>
              <w:right w:val="single" w:sz="4" w:space="0" w:color="auto"/>
            </w:tcBorders>
            <w:shd w:val="clear" w:color="DBDBDB"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43 000,00</w:t>
            </w:r>
          </w:p>
        </w:tc>
        <w:tc>
          <w:tcPr>
            <w:tcW w:w="709" w:type="dxa"/>
            <w:tcBorders>
              <w:top w:val="nil"/>
              <w:left w:val="nil"/>
              <w:bottom w:val="single" w:sz="4" w:space="0" w:color="auto"/>
              <w:right w:val="single" w:sz="4" w:space="0" w:color="auto"/>
            </w:tcBorders>
            <w:shd w:val="clear" w:color="DBDBDB"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100,00 %</w:t>
            </w:r>
          </w:p>
        </w:tc>
        <w:tc>
          <w:tcPr>
            <w:tcW w:w="1134" w:type="dxa"/>
            <w:tcBorders>
              <w:top w:val="nil"/>
              <w:left w:val="nil"/>
              <w:bottom w:val="single" w:sz="4" w:space="0" w:color="auto"/>
              <w:right w:val="single" w:sz="4" w:space="0" w:color="auto"/>
            </w:tcBorders>
            <w:shd w:val="clear" w:color="DBDBDB"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43 000,00</w:t>
            </w:r>
          </w:p>
        </w:tc>
        <w:tc>
          <w:tcPr>
            <w:tcW w:w="1134" w:type="dxa"/>
            <w:tcBorders>
              <w:top w:val="nil"/>
              <w:left w:val="nil"/>
              <w:bottom w:val="single" w:sz="4" w:space="0" w:color="auto"/>
              <w:right w:val="single" w:sz="4" w:space="0" w:color="auto"/>
            </w:tcBorders>
            <w:shd w:val="clear" w:color="DBDBDB"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0,00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4342</w:t>
            </w:r>
          </w:p>
        </w:tc>
        <w:tc>
          <w:tcPr>
            <w:tcW w:w="3646"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rPr>
                <w:rFonts w:ascii="Calibri" w:hAnsi="Calibri" w:cs="Calibri"/>
                <w:sz w:val="14"/>
                <w:szCs w:val="14"/>
              </w:rPr>
            </w:pPr>
            <w:r w:rsidRPr="006E3623">
              <w:rPr>
                <w:rFonts w:ascii="Calibri" w:hAnsi="Calibri" w:cs="Calibri"/>
                <w:sz w:val="14"/>
                <w:szCs w:val="14"/>
              </w:rPr>
              <w:t>Sociální péče a pomoc přistěhov.</w:t>
            </w:r>
            <w:r w:rsidR="00EC05C5">
              <w:rPr>
                <w:rFonts w:ascii="Calibri" w:hAnsi="Calibri" w:cs="Calibri"/>
                <w:sz w:val="14"/>
                <w:szCs w:val="14"/>
              </w:rPr>
              <w:t xml:space="preserve"> </w:t>
            </w:r>
            <w:r w:rsidRPr="006E3623">
              <w:rPr>
                <w:rFonts w:ascii="Calibri" w:hAnsi="Calibri" w:cs="Calibri"/>
                <w:sz w:val="14"/>
                <w:szCs w:val="14"/>
              </w:rPr>
              <w:t>a vybraným etnikům</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79 000,00</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79 000,00</w:t>
            </w:r>
          </w:p>
        </w:tc>
        <w:tc>
          <w:tcPr>
            <w:tcW w:w="709"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100,00 %</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70 000,00</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9 000,00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DBDBDB"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4344</w:t>
            </w:r>
          </w:p>
        </w:tc>
        <w:tc>
          <w:tcPr>
            <w:tcW w:w="3646" w:type="dxa"/>
            <w:tcBorders>
              <w:top w:val="nil"/>
              <w:left w:val="nil"/>
              <w:bottom w:val="single" w:sz="4" w:space="0" w:color="auto"/>
              <w:right w:val="single" w:sz="4" w:space="0" w:color="auto"/>
            </w:tcBorders>
            <w:shd w:val="clear" w:color="DBDBDB" w:fill="FFFFFF"/>
            <w:noWrap/>
            <w:vAlign w:val="center"/>
            <w:hideMark/>
          </w:tcPr>
          <w:p w:rsidR="006E3623" w:rsidRPr="006E3623" w:rsidRDefault="006E3623" w:rsidP="006E3623">
            <w:pPr>
              <w:rPr>
                <w:rFonts w:ascii="Calibri" w:hAnsi="Calibri" w:cs="Calibri"/>
                <w:sz w:val="14"/>
                <w:szCs w:val="14"/>
              </w:rPr>
            </w:pPr>
            <w:r w:rsidRPr="006E3623">
              <w:rPr>
                <w:rFonts w:ascii="Calibri" w:hAnsi="Calibri" w:cs="Calibri"/>
                <w:sz w:val="14"/>
                <w:szCs w:val="14"/>
              </w:rPr>
              <w:t>Sociální rehabilitace</w:t>
            </w:r>
          </w:p>
        </w:tc>
        <w:tc>
          <w:tcPr>
            <w:tcW w:w="1134" w:type="dxa"/>
            <w:tcBorders>
              <w:top w:val="nil"/>
              <w:left w:val="nil"/>
              <w:bottom w:val="single" w:sz="4" w:space="0" w:color="auto"/>
              <w:right w:val="single" w:sz="4" w:space="0" w:color="auto"/>
            </w:tcBorders>
            <w:shd w:val="clear" w:color="DBDBDB"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47 000,00</w:t>
            </w:r>
          </w:p>
        </w:tc>
        <w:tc>
          <w:tcPr>
            <w:tcW w:w="1134" w:type="dxa"/>
            <w:tcBorders>
              <w:top w:val="nil"/>
              <w:left w:val="nil"/>
              <w:bottom w:val="single" w:sz="4" w:space="0" w:color="auto"/>
              <w:right w:val="single" w:sz="4" w:space="0" w:color="auto"/>
            </w:tcBorders>
            <w:shd w:val="clear" w:color="DBDBDB"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47 000,00</w:t>
            </w:r>
          </w:p>
        </w:tc>
        <w:tc>
          <w:tcPr>
            <w:tcW w:w="709" w:type="dxa"/>
            <w:tcBorders>
              <w:top w:val="nil"/>
              <w:left w:val="nil"/>
              <w:bottom w:val="single" w:sz="4" w:space="0" w:color="auto"/>
              <w:right w:val="single" w:sz="4" w:space="0" w:color="auto"/>
            </w:tcBorders>
            <w:shd w:val="clear" w:color="DBDBDB"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100,00 %</w:t>
            </w:r>
          </w:p>
        </w:tc>
        <w:tc>
          <w:tcPr>
            <w:tcW w:w="1134" w:type="dxa"/>
            <w:tcBorders>
              <w:top w:val="nil"/>
              <w:left w:val="nil"/>
              <w:bottom w:val="single" w:sz="4" w:space="0" w:color="auto"/>
              <w:right w:val="single" w:sz="4" w:space="0" w:color="auto"/>
            </w:tcBorders>
            <w:shd w:val="clear" w:color="DBDBDB"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43 674,00</w:t>
            </w:r>
          </w:p>
        </w:tc>
        <w:tc>
          <w:tcPr>
            <w:tcW w:w="1134" w:type="dxa"/>
            <w:tcBorders>
              <w:top w:val="nil"/>
              <w:left w:val="nil"/>
              <w:bottom w:val="single" w:sz="4" w:space="0" w:color="auto"/>
              <w:right w:val="single" w:sz="4" w:space="0" w:color="auto"/>
            </w:tcBorders>
            <w:shd w:val="clear" w:color="DBDBDB"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3 326,00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4349</w:t>
            </w:r>
          </w:p>
        </w:tc>
        <w:tc>
          <w:tcPr>
            <w:tcW w:w="3646"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rPr>
                <w:rFonts w:ascii="Calibri" w:hAnsi="Calibri" w:cs="Calibri"/>
                <w:sz w:val="14"/>
                <w:szCs w:val="14"/>
              </w:rPr>
            </w:pPr>
            <w:r w:rsidRPr="006E3623">
              <w:rPr>
                <w:rFonts w:ascii="Calibri" w:hAnsi="Calibri" w:cs="Calibri"/>
                <w:sz w:val="14"/>
                <w:szCs w:val="14"/>
              </w:rPr>
              <w:t>Ost.</w:t>
            </w:r>
            <w:r w:rsidR="00EC05C5">
              <w:rPr>
                <w:rFonts w:ascii="Calibri" w:hAnsi="Calibri" w:cs="Calibri"/>
                <w:sz w:val="14"/>
                <w:szCs w:val="14"/>
              </w:rPr>
              <w:t xml:space="preserve"> </w:t>
            </w:r>
            <w:r w:rsidRPr="006E3623">
              <w:rPr>
                <w:rFonts w:ascii="Calibri" w:hAnsi="Calibri" w:cs="Calibri"/>
                <w:sz w:val="14"/>
                <w:szCs w:val="14"/>
              </w:rPr>
              <w:t>soc.</w:t>
            </w:r>
            <w:r w:rsidR="00EC05C5">
              <w:rPr>
                <w:rFonts w:ascii="Calibri" w:hAnsi="Calibri" w:cs="Calibri"/>
                <w:sz w:val="14"/>
                <w:szCs w:val="14"/>
              </w:rPr>
              <w:t xml:space="preserve"> </w:t>
            </w:r>
            <w:r w:rsidRPr="006E3623">
              <w:rPr>
                <w:rFonts w:ascii="Calibri" w:hAnsi="Calibri" w:cs="Calibri"/>
                <w:sz w:val="14"/>
                <w:szCs w:val="14"/>
              </w:rPr>
              <w:t>péče a pomoc ostatním skup.</w:t>
            </w:r>
            <w:r w:rsidR="00EC05C5">
              <w:rPr>
                <w:rFonts w:ascii="Calibri" w:hAnsi="Calibri" w:cs="Calibri"/>
                <w:sz w:val="14"/>
                <w:szCs w:val="14"/>
              </w:rPr>
              <w:t xml:space="preserve"> </w:t>
            </w:r>
            <w:r w:rsidRPr="006E3623">
              <w:rPr>
                <w:rFonts w:ascii="Calibri" w:hAnsi="Calibri" w:cs="Calibri"/>
                <w:sz w:val="14"/>
                <w:szCs w:val="14"/>
              </w:rPr>
              <w:t>obyvatelstva</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1 279 200,00</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1 269 588,60</w:t>
            </w:r>
          </w:p>
        </w:tc>
        <w:tc>
          <w:tcPr>
            <w:tcW w:w="709"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99,25 %</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864 661,80</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404 926,80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DBDBDB"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4350</w:t>
            </w:r>
          </w:p>
        </w:tc>
        <w:tc>
          <w:tcPr>
            <w:tcW w:w="3646" w:type="dxa"/>
            <w:tcBorders>
              <w:top w:val="nil"/>
              <w:left w:val="nil"/>
              <w:bottom w:val="single" w:sz="4" w:space="0" w:color="auto"/>
              <w:right w:val="single" w:sz="4" w:space="0" w:color="auto"/>
            </w:tcBorders>
            <w:shd w:val="clear" w:color="DBDBDB" w:fill="FFFFFF"/>
            <w:noWrap/>
            <w:vAlign w:val="center"/>
            <w:hideMark/>
          </w:tcPr>
          <w:p w:rsidR="006E3623" w:rsidRPr="006E3623" w:rsidRDefault="006E3623" w:rsidP="006E3623">
            <w:pPr>
              <w:rPr>
                <w:rFonts w:ascii="Calibri" w:hAnsi="Calibri" w:cs="Calibri"/>
                <w:sz w:val="14"/>
                <w:szCs w:val="14"/>
              </w:rPr>
            </w:pPr>
            <w:r w:rsidRPr="006E3623">
              <w:rPr>
                <w:rFonts w:ascii="Calibri" w:hAnsi="Calibri" w:cs="Calibri"/>
                <w:sz w:val="14"/>
                <w:szCs w:val="14"/>
              </w:rPr>
              <w:t>Domovy pro seniory</w:t>
            </w:r>
          </w:p>
        </w:tc>
        <w:tc>
          <w:tcPr>
            <w:tcW w:w="1134" w:type="dxa"/>
            <w:tcBorders>
              <w:top w:val="nil"/>
              <w:left w:val="nil"/>
              <w:bottom w:val="single" w:sz="4" w:space="0" w:color="auto"/>
              <w:right w:val="single" w:sz="4" w:space="0" w:color="auto"/>
            </w:tcBorders>
            <w:shd w:val="clear" w:color="DBDBDB"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160 500,00</w:t>
            </w:r>
          </w:p>
        </w:tc>
        <w:tc>
          <w:tcPr>
            <w:tcW w:w="1134" w:type="dxa"/>
            <w:tcBorders>
              <w:top w:val="nil"/>
              <w:left w:val="nil"/>
              <w:bottom w:val="single" w:sz="4" w:space="0" w:color="auto"/>
              <w:right w:val="single" w:sz="4" w:space="0" w:color="auto"/>
            </w:tcBorders>
            <w:shd w:val="clear" w:color="DBDBDB"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160 500,00</w:t>
            </w:r>
          </w:p>
        </w:tc>
        <w:tc>
          <w:tcPr>
            <w:tcW w:w="709" w:type="dxa"/>
            <w:tcBorders>
              <w:top w:val="nil"/>
              <w:left w:val="nil"/>
              <w:bottom w:val="single" w:sz="4" w:space="0" w:color="auto"/>
              <w:right w:val="single" w:sz="4" w:space="0" w:color="auto"/>
            </w:tcBorders>
            <w:shd w:val="clear" w:color="DBDBDB"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100,00 %</w:t>
            </w:r>
          </w:p>
        </w:tc>
        <w:tc>
          <w:tcPr>
            <w:tcW w:w="1134" w:type="dxa"/>
            <w:tcBorders>
              <w:top w:val="nil"/>
              <w:left w:val="nil"/>
              <w:bottom w:val="single" w:sz="4" w:space="0" w:color="auto"/>
              <w:right w:val="single" w:sz="4" w:space="0" w:color="auto"/>
            </w:tcBorders>
            <w:shd w:val="clear" w:color="DBDBDB"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30 000,00</w:t>
            </w:r>
          </w:p>
        </w:tc>
        <w:tc>
          <w:tcPr>
            <w:tcW w:w="1134" w:type="dxa"/>
            <w:tcBorders>
              <w:top w:val="nil"/>
              <w:left w:val="nil"/>
              <w:bottom w:val="single" w:sz="4" w:space="0" w:color="auto"/>
              <w:right w:val="single" w:sz="4" w:space="0" w:color="auto"/>
            </w:tcBorders>
            <w:shd w:val="clear" w:color="DBDBDB"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130 500,00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lastRenderedPageBreak/>
              <w:t>4351</w:t>
            </w:r>
          </w:p>
        </w:tc>
        <w:tc>
          <w:tcPr>
            <w:tcW w:w="3646"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rPr>
                <w:rFonts w:ascii="Calibri" w:hAnsi="Calibri" w:cs="Calibri"/>
                <w:sz w:val="14"/>
                <w:szCs w:val="14"/>
              </w:rPr>
            </w:pPr>
            <w:r w:rsidRPr="006E3623">
              <w:rPr>
                <w:rFonts w:ascii="Calibri" w:hAnsi="Calibri" w:cs="Calibri"/>
                <w:sz w:val="14"/>
                <w:szCs w:val="14"/>
              </w:rPr>
              <w:t>Osobní asist., peč.</w:t>
            </w:r>
            <w:r w:rsidR="00EC05C5">
              <w:rPr>
                <w:rFonts w:ascii="Calibri" w:hAnsi="Calibri" w:cs="Calibri"/>
                <w:sz w:val="14"/>
                <w:szCs w:val="14"/>
              </w:rPr>
              <w:t xml:space="preserve"> </w:t>
            </w:r>
            <w:r w:rsidRPr="006E3623">
              <w:rPr>
                <w:rFonts w:ascii="Calibri" w:hAnsi="Calibri" w:cs="Calibri"/>
                <w:sz w:val="14"/>
                <w:szCs w:val="14"/>
              </w:rPr>
              <w:t>služba a podpora samost.</w:t>
            </w:r>
            <w:r w:rsidR="00EC05C5">
              <w:rPr>
                <w:rFonts w:ascii="Calibri" w:hAnsi="Calibri" w:cs="Calibri"/>
                <w:sz w:val="14"/>
                <w:szCs w:val="14"/>
              </w:rPr>
              <w:t xml:space="preserve"> </w:t>
            </w:r>
            <w:r w:rsidRPr="006E3623">
              <w:rPr>
                <w:rFonts w:ascii="Calibri" w:hAnsi="Calibri" w:cs="Calibri"/>
                <w:sz w:val="14"/>
                <w:szCs w:val="14"/>
              </w:rPr>
              <w:t>bydlení</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410 000,00</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410 000,00</w:t>
            </w:r>
          </w:p>
        </w:tc>
        <w:tc>
          <w:tcPr>
            <w:tcW w:w="709"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100,00 %</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324 000,00</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86 000,00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DBDBDB"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4354</w:t>
            </w:r>
          </w:p>
        </w:tc>
        <w:tc>
          <w:tcPr>
            <w:tcW w:w="3646" w:type="dxa"/>
            <w:tcBorders>
              <w:top w:val="nil"/>
              <w:left w:val="nil"/>
              <w:bottom w:val="single" w:sz="4" w:space="0" w:color="auto"/>
              <w:right w:val="single" w:sz="4" w:space="0" w:color="auto"/>
            </w:tcBorders>
            <w:shd w:val="clear" w:color="DBDBDB" w:fill="FFFFFF"/>
            <w:noWrap/>
            <w:vAlign w:val="center"/>
            <w:hideMark/>
          </w:tcPr>
          <w:p w:rsidR="006E3623" w:rsidRPr="006E3623" w:rsidRDefault="006E3623" w:rsidP="006E3623">
            <w:pPr>
              <w:rPr>
                <w:rFonts w:ascii="Calibri" w:hAnsi="Calibri" w:cs="Calibri"/>
                <w:sz w:val="14"/>
                <w:szCs w:val="14"/>
              </w:rPr>
            </w:pPr>
            <w:r w:rsidRPr="006E3623">
              <w:rPr>
                <w:rFonts w:ascii="Calibri" w:hAnsi="Calibri" w:cs="Calibri"/>
                <w:sz w:val="14"/>
                <w:szCs w:val="14"/>
              </w:rPr>
              <w:t>Chráněné bydlení</w:t>
            </w:r>
          </w:p>
        </w:tc>
        <w:tc>
          <w:tcPr>
            <w:tcW w:w="1134" w:type="dxa"/>
            <w:tcBorders>
              <w:top w:val="nil"/>
              <w:left w:val="nil"/>
              <w:bottom w:val="single" w:sz="4" w:space="0" w:color="auto"/>
              <w:right w:val="single" w:sz="4" w:space="0" w:color="auto"/>
            </w:tcBorders>
            <w:shd w:val="clear" w:color="DBDBDB"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220 000,00</w:t>
            </w:r>
          </w:p>
        </w:tc>
        <w:tc>
          <w:tcPr>
            <w:tcW w:w="1134" w:type="dxa"/>
            <w:tcBorders>
              <w:top w:val="nil"/>
              <w:left w:val="nil"/>
              <w:bottom w:val="single" w:sz="4" w:space="0" w:color="auto"/>
              <w:right w:val="single" w:sz="4" w:space="0" w:color="auto"/>
            </w:tcBorders>
            <w:shd w:val="clear" w:color="DBDBDB"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220 000,00</w:t>
            </w:r>
          </w:p>
        </w:tc>
        <w:tc>
          <w:tcPr>
            <w:tcW w:w="709" w:type="dxa"/>
            <w:tcBorders>
              <w:top w:val="nil"/>
              <w:left w:val="nil"/>
              <w:bottom w:val="single" w:sz="4" w:space="0" w:color="auto"/>
              <w:right w:val="single" w:sz="4" w:space="0" w:color="auto"/>
            </w:tcBorders>
            <w:shd w:val="clear" w:color="DBDBDB"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100,00 %</w:t>
            </w:r>
          </w:p>
        </w:tc>
        <w:tc>
          <w:tcPr>
            <w:tcW w:w="1134" w:type="dxa"/>
            <w:tcBorders>
              <w:top w:val="nil"/>
              <w:left w:val="nil"/>
              <w:bottom w:val="single" w:sz="4" w:space="0" w:color="auto"/>
              <w:right w:val="single" w:sz="4" w:space="0" w:color="auto"/>
            </w:tcBorders>
            <w:shd w:val="clear" w:color="DBDBDB"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170 000,00</w:t>
            </w:r>
          </w:p>
        </w:tc>
        <w:tc>
          <w:tcPr>
            <w:tcW w:w="1134" w:type="dxa"/>
            <w:tcBorders>
              <w:top w:val="nil"/>
              <w:left w:val="nil"/>
              <w:bottom w:val="single" w:sz="4" w:space="0" w:color="auto"/>
              <w:right w:val="single" w:sz="4" w:space="0" w:color="auto"/>
            </w:tcBorders>
            <w:shd w:val="clear" w:color="DBDBDB"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50 000,00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4356</w:t>
            </w:r>
          </w:p>
        </w:tc>
        <w:tc>
          <w:tcPr>
            <w:tcW w:w="3646"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rPr>
                <w:rFonts w:ascii="Calibri" w:hAnsi="Calibri" w:cs="Calibri"/>
                <w:sz w:val="14"/>
                <w:szCs w:val="14"/>
              </w:rPr>
            </w:pPr>
            <w:r w:rsidRPr="006E3623">
              <w:rPr>
                <w:rFonts w:ascii="Calibri" w:hAnsi="Calibri" w:cs="Calibri"/>
                <w:sz w:val="14"/>
                <w:szCs w:val="14"/>
              </w:rPr>
              <w:t>Denní stacionáře a centra denních služeb</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280 000,00</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280 000,00</w:t>
            </w:r>
          </w:p>
        </w:tc>
        <w:tc>
          <w:tcPr>
            <w:tcW w:w="709"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100,00 %</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150 000,00</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130 000,00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DBDBDB"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4357</w:t>
            </w:r>
          </w:p>
        </w:tc>
        <w:tc>
          <w:tcPr>
            <w:tcW w:w="3646" w:type="dxa"/>
            <w:tcBorders>
              <w:top w:val="nil"/>
              <w:left w:val="nil"/>
              <w:bottom w:val="single" w:sz="4" w:space="0" w:color="auto"/>
              <w:right w:val="single" w:sz="4" w:space="0" w:color="auto"/>
            </w:tcBorders>
            <w:shd w:val="clear" w:color="DBDBDB" w:fill="FFFFFF"/>
            <w:noWrap/>
            <w:vAlign w:val="center"/>
            <w:hideMark/>
          </w:tcPr>
          <w:p w:rsidR="006E3623" w:rsidRPr="006E3623" w:rsidRDefault="00EC05C5" w:rsidP="006E3623">
            <w:pPr>
              <w:rPr>
                <w:rFonts w:ascii="Calibri" w:hAnsi="Calibri" w:cs="Calibri"/>
                <w:sz w:val="14"/>
                <w:szCs w:val="14"/>
              </w:rPr>
            </w:pPr>
            <w:r>
              <w:rPr>
                <w:rFonts w:ascii="Calibri" w:hAnsi="Calibri" w:cs="Calibri"/>
                <w:sz w:val="14"/>
                <w:szCs w:val="14"/>
              </w:rPr>
              <w:t>Domovy pro osoby se zdrav.</w:t>
            </w:r>
            <w:r w:rsidR="006E3623" w:rsidRPr="006E3623">
              <w:rPr>
                <w:rFonts w:ascii="Calibri" w:hAnsi="Calibri" w:cs="Calibri"/>
                <w:sz w:val="14"/>
                <w:szCs w:val="14"/>
              </w:rPr>
              <w:t xml:space="preserve"> post. a domovy se zvl.</w:t>
            </w:r>
            <w:r>
              <w:rPr>
                <w:rFonts w:ascii="Calibri" w:hAnsi="Calibri" w:cs="Calibri"/>
                <w:sz w:val="14"/>
                <w:szCs w:val="14"/>
              </w:rPr>
              <w:t xml:space="preserve"> </w:t>
            </w:r>
            <w:r w:rsidR="006E3623" w:rsidRPr="006E3623">
              <w:rPr>
                <w:rFonts w:ascii="Calibri" w:hAnsi="Calibri" w:cs="Calibri"/>
                <w:sz w:val="14"/>
                <w:szCs w:val="14"/>
              </w:rPr>
              <w:t>rež</w:t>
            </w:r>
            <w:r>
              <w:rPr>
                <w:rFonts w:ascii="Calibri" w:hAnsi="Calibri" w:cs="Calibri"/>
                <w:sz w:val="14"/>
                <w:szCs w:val="14"/>
              </w:rPr>
              <w:t>imem</w:t>
            </w:r>
          </w:p>
        </w:tc>
        <w:tc>
          <w:tcPr>
            <w:tcW w:w="1134" w:type="dxa"/>
            <w:tcBorders>
              <w:top w:val="nil"/>
              <w:left w:val="nil"/>
              <w:bottom w:val="single" w:sz="4" w:space="0" w:color="auto"/>
              <w:right w:val="single" w:sz="4" w:space="0" w:color="auto"/>
            </w:tcBorders>
            <w:shd w:val="clear" w:color="DBDBDB"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4 000,00</w:t>
            </w:r>
          </w:p>
        </w:tc>
        <w:tc>
          <w:tcPr>
            <w:tcW w:w="1134" w:type="dxa"/>
            <w:tcBorders>
              <w:top w:val="nil"/>
              <w:left w:val="nil"/>
              <w:bottom w:val="single" w:sz="4" w:space="0" w:color="auto"/>
              <w:right w:val="single" w:sz="4" w:space="0" w:color="auto"/>
            </w:tcBorders>
            <w:shd w:val="clear" w:color="DBDBDB"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4 000,00</w:t>
            </w:r>
          </w:p>
        </w:tc>
        <w:tc>
          <w:tcPr>
            <w:tcW w:w="709" w:type="dxa"/>
            <w:tcBorders>
              <w:top w:val="nil"/>
              <w:left w:val="nil"/>
              <w:bottom w:val="single" w:sz="4" w:space="0" w:color="auto"/>
              <w:right w:val="single" w:sz="4" w:space="0" w:color="auto"/>
            </w:tcBorders>
            <w:shd w:val="clear" w:color="DBDBDB"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100,00 %</w:t>
            </w:r>
          </w:p>
        </w:tc>
        <w:tc>
          <w:tcPr>
            <w:tcW w:w="1134" w:type="dxa"/>
            <w:tcBorders>
              <w:top w:val="nil"/>
              <w:left w:val="nil"/>
              <w:bottom w:val="single" w:sz="4" w:space="0" w:color="auto"/>
              <w:right w:val="single" w:sz="4" w:space="0" w:color="auto"/>
            </w:tcBorders>
            <w:shd w:val="clear" w:color="DBDBDB"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30 000,00</w:t>
            </w:r>
          </w:p>
        </w:tc>
        <w:tc>
          <w:tcPr>
            <w:tcW w:w="1134" w:type="dxa"/>
            <w:tcBorders>
              <w:top w:val="nil"/>
              <w:left w:val="nil"/>
              <w:bottom w:val="single" w:sz="4" w:space="0" w:color="auto"/>
              <w:right w:val="single" w:sz="4" w:space="0" w:color="auto"/>
            </w:tcBorders>
            <w:shd w:val="clear" w:color="DBDBDB"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-26 000,00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4359</w:t>
            </w:r>
          </w:p>
        </w:tc>
        <w:tc>
          <w:tcPr>
            <w:tcW w:w="3646"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rPr>
                <w:rFonts w:ascii="Calibri" w:hAnsi="Calibri" w:cs="Calibri"/>
                <w:sz w:val="14"/>
                <w:szCs w:val="14"/>
              </w:rPr>
            </w:pPr>
            <w:r w:rsidRPr="006E3623">
              <w:rPr>
                <w:rFonts w:ascii="Calibri" w:hAnsi="Calibri" w:cs="Calibri"/>
                <w:sz w:val="14"/>
                <w:szCs w:val="14"/>
              </w:rPr>
              <w:t>Ostatní služby a činnosti v oblasti sociální péče</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409 732,00</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201 975,14</w:t>
            </w:r>
          </w:p>
        </w:tc>
        <w:tc>
          <w:tcPr>
            <w:tcW w:w="709"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49,29 %</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724 607,69</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-522 632,55</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DBDBDB"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4371</w:t>
            </w:r>
          </w:p>
        </w:tc>
        <w:tc>
          <w:tcPr>
            <w:tcW w:w="3646" w:type="dxa"/>
            <w:tcBorders>
              <w:top w:val="nil"/>
              <w:left w:val="nil"/>
              <w:bottom w:val="single" w:sz="4" w:space="0" w:color="auto"/>
              <w:right w:val="single" w:sz="4" w:space="0" w:color="auto"/>
            </w:tcBorders>
            <w:shd w:val="clear" w:color="DBDBDB" w:fill="FFFFFF"/>
            <w:noWrap/>
            <w:vAlign w:val="center"/>
            <w:hideMark/>
          </w:tcPr>
          <w:p w:rsidR="006E3623" w:rsidRPr="006E3623" w:rsidRDefault="006E3623" w:rsidP="006E3623">
            <w:pPr>
              <w:rPr>
                <w:rFonts w:ascii="Calibri" w:hAnsi="Calibri" w:cs="Calibri"/>
                <w:sz w:val="14"/>
                <w:szCs w:val="14"/>
              </w:rPr>
            </w:pPr>
            <w:r w:rsidRPr="006E3623">
              <w:rPr>
                <w:rFonts w:ascii="Calibri" w:hAnsi="Calibri" w:cs="Calibri"/>
                <w:sz w:val="14"/>
                <w:szCs w:val="14"/>
              </w:rPr>
              <w:t>Raná péče a soc.</w:t>
            </w:r>
            <w:r w:rsidR="00EC05C5">
              <w:rPr>
                <w:rFonts w:ascii="Calibri" w:hAnsi="Calibri" w:cs="Calibri"/>
                <w:sz w:val="14"/>
                <w:szCs w:val="14"/>
              </w:rPr>
              <w:t xml:space="preserve"> </w:t>
            </w:r>
            <w:r w:rsidRPr="006E3623">
              <w:rPr>
                <w:rFonts w:ascii="Calibri" w:hAnsi="Calibri" w:cs="Calibri"/>
                <w:sz w:val="14"/>
                <w:szCs w:val="14"/>
              </w:rPr>
              <w:t>aktivizační sl.pro rodiny s dětmi</w:t>
            </w:r>
          </w:p>
        </w:tc>
        <w:tc>
          <w:tcPr>
            <w:tcW w:w="1134" w:type="dxa"/>
            <w:tcBorders>
              <w:top w:val="nil"/>
              <w:left w:val="nil"/>
              <w:bottom w:val="single" w:sz="4" w:space="0" w:color="auto"/>
              <w:right w:val="single" w:sz="4" w:space="0" w:color="auto"/>
            </w:tcBorders>
            <w:shd w:val="clear" w:color="DBDBDB"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46 000,00</w:t>
            </w:r>
          </w:p>
        </w:tc>
        <w:tc>
          <w:tcPr>
            <w:tcW w:w="1134" w:type="dxa"/>
            <w:tcBorders>
              <w:top w:val="nil"/>
              <w:left w:val="nil"/>
              <w:bottom w:val="single" w:sz="4" w:space="0" w:color="auto"/>
              <w:right w:val="single" w:sz="4" w:space="0" w:color="auto"/>
            </w:tcBorders>
            <w:shd w:val="clear" w:color="DBDBDB"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46 000,00</w:t>
            </w:r>
          </w:p>
        </w:tc>
        <w:tc>
          <w:tcPr>
            <w:tcW w:w="709" w:type="dxa"/>
            <w:tcBorders>
              <w:top w:val="nil"/>
              <w:left w:val="nil"/>
              <w:bottom w:val="single" w:sz="4" w:space="0" w:color="auto"/>
              <w:right w:val="single" w:sz="4" w:space="0" w:color="auto"/>
            </w:tcBorders>
            <w:shd w:val="clear" w:color="DBDBDB"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100,00 %</w:t>
            </w:r>
          </w:p>
        </w:tc>
        <w:tc>
          <w:tcPr>
            <w:tcW w:w="1134" w:type="dxa"/>
            <w:tcBorders>
              <w:top w:val="nil"/>
              <w:left w:val="nil"/>
              <w:bottom w:val="single" w:sz="4" w:space="0" w:color="auto"/>
              <w:right w:val="single" w:sz="4" w:space="0" w:color="auto"/>
            </w:tcBorders>
            <w:shd w:val="clear" w:color="DBDBDB"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50 000,00</w:t>
            </w:r>
          </w:p>
        </w:tc>
        <w:tc>
          <w:tcPr>
            <w:tcW w:w="1134" w:type="dxa"/>
            <w:tcBorders>
              <w:top w:val="nil"/>
              <w:left w:val="nil"/>
              <w:bottom w:val="single" w:sz="4" w:space="0" w:color="auto"/>
              <w:right w:val="single" w:sz="4" w:space="0" w:color="auto"/>
            </w:tcBorders>
            <w:shd w:val="clear" w:color="DBDBDB"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-4 000,00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4374</w:t>
            </w:r>
          </w:p>
        </w:tc>
        <w:tc>
          <w:tcPr>
            <w:tcW w:w="3646"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rPr>
                <w:rFonts w:ascii="Calibri" w:hAnsi="Calibri" w:cs="Calibri"/>
                <w:sz w:val="14"/>
                <w:szCs w:val="14"/>
              </w:rPr>
            </w:pPr>
            <w:r w:rsidRPr="006E3623">
              <w:rPr>
                <w:rFonts w:ascii="Calibri" w:hAnsi="Calibri" w:cs="Calibri"/>
                <w:sz w:val="14"/>
                <w:szCs w:val="14"/>
              </w:rPr>
              <w:t>Azyl.</w:t>
            </w:r>
            <w:r w:rsidR="00EC05C5">
              <w:rPr>
                <w:rFonts w:ascii="Calibri" w:hAnsi="Calibri" w:cs="Calibri"/>
                <w:sz w:val="14"/>
                <w:szCs w:val="14"/>
              </w:rPr>
              <w:t xml:space="preserve"> </w:t>
            </w:r>
            <w:r w:rsidRPr="006E3623">
              <w:rPr>
                <w:rFonts w:ascii="Calibri" w:hAnsi="Calibri" w:cs="Calibri"/>
                <w:sz w:val="14"/>
                <w:szCs w:val="14"/>
              </w:rPr>
              <w:t>domy, nízkoprahová denní centra a noclehárny</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830 950,00</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830 950,00</w:t>
            </w:r>
          </w:p>
        </w:tc>
        <w:tc>
          <w:tcPr>
            <w:tcW w:w="709"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100,00 %</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600 000,00</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230 950,00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DBDBDB"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4375</w:t>
            </w:r>
          </w:p>
        </w:tc>
        <w:tc>
          <w:tcPr>
            <w:tcW w:w="3646" w:type="dxa"/>
            <w:tcBorders>
              <w:top w:val="nil"/>
              <w:left w:val="nil"/>
              <w:bottom w:val="single" w:sz="4" w:space="0" w:color="auto"/>
              <w:right w:val="single" w:sz="4" w:space="0" w:color="auto"/>
            </w:tcBorders>
            <w:shd w:val="clear" w:color="DBDBDB" w:fill="FFFFFF"/>
            <w:noWrap/>
            <w:vAlign w:val="center"/>
            <w:hideMark/>
          </w:tcPr>
          <w:p w:rsidR="006E3623" w:rsidRPr="006E3623" w:rsidRDefault="006E3623" w:rsidP="006E3623">
            <w:pPr>
              <w:rPr>
                <w:rFonts w:ascii="Calibri" w:hAnsi="Calibri" w:cs="Calibri"/>
                <w:sz w:val="14"/>
                <w:szCs w:val="14"/>
              </w:rPr>
            </w:pPr>
            <w:r w:rsidRPr="006E3623">
              <w:rPr>
                <w:rFonts w:ascii="Calibri" w:hAnsi="Calibri" w:cs="Calibri"/>
                <w:sz w:val="14"/>
                <w:szCs w:val="14"/>
              </w:rPr>
              <w:t>Nízkoprahová zařízení pro děti a mládež</w:t>
            </w:r>
          </w:p>
        </w:tc>
        <w:tc>
          <w:tcPr>
            <w:tcW w:w="1134" w:type="dxa"/>
            <w:tcBorders>
              <w:top w:val="nil"/>
              <w:left w:val="nil"/>
              <w:bottom w:val="single" w:sz="4" w:space="0" w:color="auto"/>
              <w:right w:val="single" w:sz="4" w:space="0" w:color="auto"/>
            </w:tcBorders>
            <w:shd w:val="clear" w:color="DBDBDB"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100 000,00</w:t>
            </w:r>
          </w:p>
        </w:tc>
        <w:tc>
          <w:tcPr>
            <w:tcW w:w="1134" w:type="dxa"/>
            <w:tcBorders>
              <w:top w:val="nil"/>
              <w:left w:val="nil"/>
              <w:bottom w:val="single" w:sz="4" w:space="0" w:color="auto"/>
              <w:right w:val="single" w:sz="4" w:space="0" w:color="auto"/>
            </w:tcBorders>
            <w:shd w:val="clear" w:color="DBDBDB"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100 000,00</w:t>
            </w:r>
          </w:p>
        </w:tc>
        <w:tc>
          <w:tcPr>
            <w:tcW w:w="709" w:type="dxa"/>
            <w:tcBorders>
              <w:top w:val="nil"/>
              <w:left w:val="nil"/>
              <w:bottom w:val="single" w:sz="4" w:space="0" w:color="auto"/>
              <w:right w:val="single" w:sz="4" w:space="0" w:color="auto"/>
            </w:tcBorders>
            <w:shd w:val="clear" w:color="DBDBDB"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100,00 %</w:t>
            </w:r>
          </w:p>
        </w:tc>
        <w:tc>
          <w:tcPr>
            <w:tcW w:w="1134" w:type="dxa"/>
            <w:tcBorders>
              <w:top w:val="nil"/>
              <w:left w:val="nil"/>
              <w:bottom w:val="single" w:sz="4" w:space="0" w:color="auto"/>
              <w:right w:val="single" w:sz="4" w:space="0" w:color="auto"/>
            </w:tcBorders>
            <w:shd w:val="clear" w:color="DBDBDB"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100 000,00</w:t>
            </w:r>
          </w:p>
        </w:tc>
        <w:tc>
          <w:tcPr>
            <w:tcW w:w="1134" w:type="dxa"/>
            <w:tcBorders>
              <w:top w:val="nil"/>
              <w:left w:val="nil"/>
              <w:bottom w:val="single" w:sz="4" w:space="0" w:color="auto"/>
              <w:right w:val="single" w:sz="4" w:space="0" w:color="auto"/>
            </w:tcBorders>
            <w:shd w:val="clear" w:color="DBDBDB"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0,00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4376</w:t>
            </w:r>
          </w:p>
        </w:tc>
        <w:tc>
          <w:tcPr>
            <w:tcW w:w="3646" w:type="dxa"/>
            <w:tcBorders>
              <w:top w:val="nil"/>
              <w:left w:val="nil"/>
              <w:bottom w:val="single" w:sz="4" w:space="0" w:color="auto"/>
              <w:right w:val="single" w:sz="4" w:space="0" w:color="auto"/>
            </w:tcBorders>
            <w:shd w:val="clear" w:color="000000" w:fill="D9D9D9"/>
            <w:noWrap/>
            <w:vAlign w:val="center"/>
            <w:hideMark/>
          </w:tcPr>
          <w:p w:rsidR="006E3623" w:rsidRPr="006E3623" w:rsidRDefault="00EC05C5" w:rsidP="006E3623">
            <w:pPr>
              <w:rPr>
                <w:rFonts w:ascii="Calibri" w:hAnsi="Calibri" w:cs="Calibri"/>
                <w:sz w:val="14"/>
                <w:szCs w:val="14"/>
              </w:rPr>
            </w:pPr>
            <w:r>
              <w:rPr>
                <w:rFonts w:ascii="Calibri" w:hAnsi="Calibri" w:cs="Calibri"/>
                <w:sz w:val="14"/>
                <w:szCs w:val="14"/>
              </w:rPr>
              <w:t xml:space="preserve">Služby </w:t>
            </w:r>
            <w:r w:rsidR="006E3623" w:rsidRPr="006E3623">
              <w:rPr>
                <w:rFonts w:ascii="Calibri" w:hAnsi="Calibri" w:cs="Calibri"/>
                <w:sz w:val="14"/>
                <w:szCs w:val="14"/>
              </w:rPr>
              <w:t>násl.</w:t>
            </w:r>
            <w:r>
              <w:rPr>
                <w:rFonts w:ascii="Calibri" w:hAnsi="Calibri" w:cs="Calibri"/>
                <w:sz w:val="14"/>
                <w:szCs w:val="14"/>
              </w:rPr>
              <w:t xml:space="preserve"> </w:t>
            </w:r>
            <w:r w:rsidR="006E3623" w:rsidRPr="006E3623">
              <w:rPr>
                <w:rFonts w:ascii="Calibri" w:hAnsi="Calibri" w:cs="Calibri"/>
                <w:sz w:val="14"/>
                <w:szCs w:val="14"/>
              </w:rPr>
              <w:t>péče,</w:t>
            </w:r>
            <w:r>
              <w:rPr>
                <w:rFonts w:ascii="Calibri" w:hAnsi="Calibri" w:cs="Calibri"/>
                <w:sz w:val="14"/>
                <w:szCs w:val="14"/>
              </w:rPr>
              <w:t xml:space="preserve"> terapeutické komunity a kontaktní </w:t>
            </w:r>
            <w:r w:rsidR="006E3623" w:rsidRPr="006E3623">
              <w:rPr>
                <w:rFonts w:ascii="Calibri" w:hAnsi="Calibri" w:cs="Calibri"/>
                <w:sz w:val="14"/>
                <w:szCs w:val="14"/>
              </w:rPr>
              <w:t>centra</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325 000,00</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325 000,00</w:t>
            </w:r>
          </w:p>
        </w:tc>
        <w:tc>
          <w:tcPr>
            <w:tcW w:w="709"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100,00 %</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320 000,00</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5 000,00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4377</w:t>
            </w:r>
          </w:p>
        </w:tc>
        <w:tc>
          <w:tcPr>
            <w:tcW w:w="3646" w:type="dxa"/>
            <w:tcBorders>
              <w:top w:val="nil"/>
              <w:left w:val="nil"/>
              <w:bottom w:val="single" w:sz="4" w:space="0" w:color="auto"/>
              <w:right w:val="single" w:sz="4" w:space="0" w:color="auto"/>
            </w:tcBorders>
            <w:shd w:val="clear" w:color="000000" w:fill="FFFFFF"/>
            <w:noWrap/>
            <w:vAlign w:val="center"/>
            <w:hideMark/>
          </w:tcPr>
          <w:p w:rsidR="006E3623" w:rsidRPr="006E3623" w:rsidRDefault="006E3623" w:rsidP="006E3623">
            <w:pPr>
              <w:rPr>
                <w:rFonts w:ascii="Calibri" w:hAnsi="Calibri" w:cs="Calibri"/>
                <w:sz w:val="14"/>
                <w:szCs w:val="14"/>
              </w:rPr>
            </w:pPr>
            <w:r w:rsidRPr="006E3623">
              <w:rPr>
                <w:rFonts w:ascii="Calibri" w:hAnsi="Calibri" w:cs="Calibri"/>
                <w:sz w:val="14"/>
                <w:szCs w:val="14"/>
              </w:rPr>
              <w:t>Sociálně terapeutické dílny</w:t>
            </w:r>
          </w:p>
        </w:tc>
        <w:tc>
          <w:tcPr>
            <w:tcW w:w="1134" w:type="dxa"/>
            <w:tcBorders>
              <w:top w:val="nil"/>
              <w:left w:val="nil"/>
              <w:bottom w:val="single" w:sz="4" w:space="0" w:color="auto"/>
              <w:right w:val="single" w:sz="4" w:space="0" w:color="auto"/>
            </w:tcBorders>
            <w:shd w:val="clear" w:color="000000"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110 000,00</w:t>
            </w:r>
          </w:p>
        </w:tc>
        <w:tc>
          <w:tcPr>
            <w:tcW w:w="1134" w:type="dxa"/>
            <w:tcBorders>
              <w:top w:val="nil"/>
              <w:left w:val="nil"/>
              <w:bottom w:val="single" w:sz="4" w:space="0" w:color="auto"/>
              <w:right w:val="single" w:sz="4" w:space="0" w:color="auto"/>
            </w:tcBorders>
            <w:shd w:val="clear" w:color="000000"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110 000,00</w:t>
            </w:r>
          </w:p>
        </w:tc>
        <w:tc>
          <w:tcPr>
            <w:tcW w:w="709" w:type="dxa"/>
            <w:tcBorders>
              <w:top w:val="nil"/>
              <w:left w:val="nil"/>
              <w:bottom w:val="single" w:sz="4" w:space="0" w:color="auto"/>
              <w:right w:val="single" w:sz="4" w:space="0" w:color="auto"/>
            </w:tcBorders>
            <w:shd w:val="clear" w:color="000000"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100,00 %</w:t>
            </w:r>
          </w:p>
        </w:tc>
        <w:tc>
          <w:tcPr>
            <w:tcW w:w="1134" w:type="dxa"/>
            <w:tcBorders>
              <w:top w:val="nil"/>
              <w:left w:val="nil"/>
              <w:bottom w:val="single" w:sz="4" w:space="0" w:color="auto"/>
              <w:right w:val="single" w:sz="4" w:space="0" w:color="auto"/>
            </w:tcBorders>
            <w:shd w:val="clear" w:color="000000"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90 000,00</w:t>
            </w:r>
          </w:p>
        </w:tc>
        <w:tc>
          <w:tcPr>
            <w:tcW w:w="1134" w:type="dxa"/>
            <w:tcBorders>
              <w:top w:val="nil"/>
              <w:left w:val="nil"/>
              <w:bottom w:val="single" w:sz="4" w:space="0" w:color="auto"/>
              <w:right w:val="single" w:sz="4" w:space="0" w:color="auto"/>
            </w:tcBorders>
            <w:shd w:val="clear" w:color="000000"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20 000,00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4378</w:t>
            </w:r>
          </w:p>
        </w:tc>
        <w:tc>
          <w:tcPr>
            <w:tcW w:w="3646"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rPr>
                <w:rFonts w:ascii="Calibri" w:hAnsi="Calibri" w:cs="Calibri"/>
                <w:sz w:val="14"/>
                <w:szCs w:val="14"/>
              </w:rPr>
            </w:pPr>
            <w:r w:rsidRPr="006E3623">
              <w:rPr>
                <w:rFonts w:ascii="Calibri" w:hAnsi="Calibri" w:cs="Calibri"/>
                <w:sz w:val="14"/>
                <w:szCs w:val="14"/>
              </w:rPr>
              <w:t>Terénní programy</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63 000,00</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63 000,00</w:t>
            </w:r>
          </w:p>
        </w:tc>
        <w:tc>
          <w:tcPr>
            <w:tcW w:w="709"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100,00 %</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46 000,00</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17 000,00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4379</w:t>
            </w:r>
          </w:p>
        </w:tc>
        <w:tc>
          <w:tcPr>
            <w:tcW w:w="3646" w:type="dxa"/>
            <w:tcBorders>
              <w:top w:val="nil"/>
              <w:left w:val="nil"/>
              <w:bottom w:val="single" w:sz="4" w:space="0" w:color="auto"/>
              <w:right w:val="single" w:sz="4" w:space="0" w:color="auto"/>
            </w:tcBorders>
            <w:shd w:val="clear" w:color="000000" w:fill="FFFFFF"/>
            <w:noWrap/>
            <w:vAlign w:val="center"/>
            <w:hideMark/>
          </w:tcPr>
          <w:p w:rsidR="006E3623" w:rsidRPr="006E3623" w:rsidRDefault="006E3623" w:rsidP="006E3623">
            <w:pPr>
              <w:rPr>
                <w:rFonts w:ascii="Calibri" w:hAnsi="Calibri" w:cs="Calibri"/>
                <w:sz w:val="14"/>
                <w:szCs w:val="14"/>
              </w:rPr>
            </w:pPr>
            <w:r w:rsidRPr="006E3623">
              <w:rPr>
                <w:rFonts w:ascii="Calibri" w:hAnsi="Calibri" w:cs="Calibri"/>
                <w:sz w:val="14"/>
                <w:szCs w:val="14"/>
              </w:rPr>
              <w:t>Ostatní služby a činnosti v oblasti soc. prevence</w:t>
            </w:r>
          </w:p>
        </w:tc>
        <w:tc>
          <w:tcPr>
            <w:tcW w:w="1134" w:type="dxa"/>
            <w:tcBorders>
              <w:top w:val="nil"/>
              <w:left w:val="nil"/>
              <w:bottom w:val="single" w:sz="4" w:space="0" w:color="auto"/>
              <w:right w:val="single" w:sz="4" w:space="0" w:color="auto"/>
            </w:tcBorders>
            <w:shd w:val="clear" w:color="000000"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560 000,00</w:t>
            </w:r>
          </w:p>
        </w:tc>
        <w:tc>
          <w:tcPr>
            <w:tcW w:w="1134" w:type="dxa"/>
            <w:tcBorders>
              <w:top w:val="nil"/>
              <w:left w:val="nil"/>
              <w:bottom w:val="single" w:sz="4" w:space="0" w:color="auto"/>
              <w:right w:val="single" w:sz="4" w:space="0" w:color="auto"/>
            </w:tcBorders>
            <w:shd w:val="clear" w:color="000000"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560 000,00</w:t>
            </w:r>
          </w:p>
        </w:tc>
        <w:tc>
          <w:tcPr>
            <w:tcW w:w="709" w:type="dxa"/>
            <w:tcBorders>
              <w:top w:val="nil"/>
              <w:left w:val="nil"/>
              <w:bottom w:val="single" w:sz="4" w:space="0" w:color="auto"/>
              <w:right w:val="single" w:sz="4" w:space="0" w:color="auto"/>
            </w:tcBorders>
            <w:shd w:val="clear" w:color="000000"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100,00 %</w:t>
            </w:r>
          </w:p>
        </w:tc>
        <w:tc>
          <w:tcPr>
            <w:tcW w:w="1134" w:type="dxa"/>
            <w:tcBorders>
              <w:top w:val="nil"/>
              <w:left w:val="nil"/>
              <w:bottom w:val="single" w:sz="4" w:space="0" w:color="auto"/>
              <w:right w:val="single" w:sz="4" w:space="0" w:color="auto"/>
            </w:tcBorders>
            <w:shd w:val="clear" w:color="000000"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543 960,60</w:t>
            </w:r>
          </w:p>
        </w:tc>
        <w:tc>
          <w:tcPr>
            <w:tcW w:w="1134" w:type="dxa"/>
            <w:tcBorders>
              <w:top w:val="nil"/>
              <w:left w:val="nil"/>
              <w:bottom w:val="single" w:sz="4" w:space="0" w:color="auto"/>
              <w:right w:val="single" w:sz="4" w:space="0" w:color="auto"/>
            </w:tcBorders>
            <w:shd w:val="clear" w:color="000000" w:fill="FFFFFF"/>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16 039,40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4399</w:t>
            </w:r>
          </w:p>
        </w:tc>
        <w:tc>
          <w:tcPr>
            <w:tcW w:w="3646"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rPr>
                <w:rFonts w:ascii="Calibri" w:hAnsi="Calibri" w:cs="Calibri"/>
                <w:sz w:val="14"/>
                <w:szCs w:val="14"/>
              </w:rPr>
            </w:pPr>
            <w:r w:rsidRPr="006E3623">
              <w:rPr>
                <w:rFonts w:ascii="Calibri" w:hAnsi="Calibri" w:cs="Calibri"/>
                <w:sz w:val="14"/>
                <w:szCs w:val="14"/>
              </w:rPr>
              <w:t>Ostatní záležitosti soc.</w:t>
            </w:r>
            <w:r w:rsidR="00EC05C5">
              <w:rPr>
                <w:rFonts w:ascii="Calibri" w:hAnsi="Calibri" w:cs="Calibri"/>
                <w:sz w:val="14"/>
                <w:szCs w:val="14"/>
              </w:rPr>
              <w:t xml:space="preserve"> </w:t>
            </w:r>
            <w:r w:rsidRPr="006E3623">
              <w:rPr>
                <w:rFonts w:ascii="Calibri" w:hAnsi="Calibri" w:cs="Calibri"/>
                <w:sz w:val="14"/>
                <w:szCs w:val="14"/>
              </w:rPr>
              <w:t>věcí a politiky zaměstnanosti</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74 000,00</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74 000,00</w:t>
            </w:r>
          </w:p>
        </w:tc>
        <w:tc>
          <w:tcPr>
            <w:tcW w:w="709"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100,00 %</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74 000,00</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sz w:val="14"/>
                <w:szCs w:val="14"/>
              </w:rPr>
            </w:pPr>
            <w:r w:rsidRPr="006E3623">
              <w:rPr>
                <w:rFonts w:ascii="Calibri" w:hAnsi="Calibri" w:cs="Calibri"/>
                <w:sz w:val="14"/>
                <w:szCs w:val="14"/>
              </w:rPr>
              <w:t>0,00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C4C4C4" w:fill="C6E0B4"/>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4XXX</w:t>
            </w:r>
          </w:p>
        </w:tc>
        <w:tc>
          <w:tcPr>
            <w:tcW w:w="3646" w:type="dxa"/>
            <w:tcBorders>
              <w:top w:val="nil"/>
              <w:left w:val="nil"/>
              <w:bottom w:val="single" w:sz="4" w:space="0" w:color="auto"/>
              <w:right w:val="single" w:sz="4" w:space="0" w:color="auto"/>
            </w:tcBorders>
            <w:shd w:val="clear" w:color="C4C4C4" w:fill="C6E0B4"/>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Sociální věci a politika zaměstnanosti</w:t>
            </w:r>
          </w:p>
        </w:tc>
        <w:tc>
          <w:tcPr>
            <w:tcW w:w="1134" w:type="dxa"/>
            <w:tcBorders>
              <w:top w:val="nil"/>
              <w:left w:val="nil"/>
              <w:bottom w:val="single" w:sz="4" w:space="0" w:color="auto"/>
              <w:right w:val="single" w:sz="4" w:space="0" w:color="auto"/>
            </w:tcBorders>
            <w:shd w:val="clear" w:color="C4C4C4" w:fill="C6E0B4"/>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8 100 167,50</w:t>
            </w:r>
          </w:p>
        </w:tc>
        <w:tc>
          <w:tcPr>
            <w:tcW w:w="1134" w:type="dxa"/>
            <w:tcBorders>
              <w:top w:val="nil"/>
              <w:left w:val="nil"/>
              <w:bottom w:val="single" w:sz="4" w:space="0" w:color="auto"/>
              <w:right w:val="single" w:sz="4" w:space="0" w:color="auto"/>
            </w:tcBorders>
            <w:shd w:val="clear" w:color="C4C4C4" w:fill="C6E0B4"/>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5 419 898,96</w:t>
            </w:r>
          </w:p>
        </w:tc>
        <w:tc>
          <w:tcPr>
            <w:tcW w:w="709" w:type="dxa"/>
            <w:tcBorders>
              <w:top w:val="nil"/>
              <w:left w:val="nil"/>
              <w:bottom w:val="single" w:sz="4" w:space="0" w:color="auto"/>
              <w:right w:val="single" w:sz="4" w:space="0" w:color="auto"/>
            </w:tcBorders>
            <w:shd w:val="clear" w:color="C4C4C4" w:fill="C6E0B4"/>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66,91 %</w:t>
            </w:r>
          </w:p>
        </w:tc>
        <w:tc>
          <w:tcPr>
            <w:tcW w:w="1134" w:type="dxa"/>
            <w:tcBorders>
              <w:top w:val="nil"/>
              <w:left w:val="nil"/>
              <w:bottom w:val="single" w:sz="4" w:space="0" w:color="auto"/>
              <w:right w:val="single" w:sz="4" w:space="0" w:color="auto"/>
            </w:tcBorders>
            <w:shd w:val="clear" w:color="C4C4C4" w:fill="C6E0B4"/>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4 838 526,89</w:t>
            </w:r>
          </w:p>
        </w:tc>
        <w:tc>
          <w:tcPr>
            <w:tcW w:w="1134" w:type="dxa"/>
            <w:tcBorders>
              <w:top w:val="nil"/>
              <w:left w:val="nil"/>
              <w:bottom w:val="single" w:sz="4" w:space="0" w:color="auto"/>
              <w:right w:val="single" w:sz="4" w:space="0" w:color="auto"/>
            </w:tcBorders>
            <w:shd w:val="clear" w:color="C4C4C4" w:fill="C6E0B4"/>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581 372,07</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C4C4C4" w:fill="FFFFFF"/>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5161</w:t>
            </w:r>
          </w:p>
        </w:tc>
        <w:tc>
          <w:tcPr>
            <w:tcW w:w="3646" w:type="dxa"/>
            <w:tcBorders>
              <w:top w:val="nil"/>
              <w:left w:val="nil"/>
              <w:bottom w:val="single" w:sz="4" w:space="0" w:color="auto"/>
              <w:right w:val="single" w:sz="4" w:space="0" w:color="auto"/>
            </w:tcBorders>
            <w:shd w:val="clear" w:color="C4C4C4" w:fill="FFFFFF"/>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Činnost ÚOSS ve vojenské obraně</w:t>
            </w:r>
          </w:p>
        </w:tc>
        <w:tc>
          <w:tcPr>
            <w:tcW w:w="1134" w:type="dxa"/>
            <w:tcBorders>
              <w:top w:val="nil"/>
              <w:left w:val="nil"/>
              <w:bottom w:val="single" w:sz="4" w:space="0" w:color="auto"/>
              <w:right w:val="single" w:sz="4" w:space="0" w:color="auto"/>
            </w:tcBorders>
            <w:shd w:val="clear" w:color="C4C4C4" w:fill="FFFFFF"/>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1 900,00</w:t>
            </w:r>
          </w:p>
        </w:tc>
        <w:tc>
          <w:tcPr>
            <w:tcW w:w="1134" w:type="dxa"/>
            <w:tcBorders>
              <w:top w:val="nil"/>
              <w:left w:val="nil"/>
              <w:bottom w:val="single" w:sz="4" w:space="0" w:color="auto"/>
              <w:right w:val="single" w:sz="4" w:space="0" w:color="auto"/>
            </w:tcBorders>
            <w:shd w:val="clear" w:color="C4C4C4" w:fill="FFFFFF"/>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0,00 %</w:t>
            </w:r>
          </w:p>
        </w:tc>
        <w:tc>
          <w:tcPr>
            <w:tcW w:w="1134" w:type="dxa"/>
            <w:tcBorders>
              <w:top w:val="nil"/>
              <w:left w:val="nil"/>
              <w:bottom w:val="single" w:sz="4" w:space="0" w:color="auto"/>
              <w:right w:val="single" w:sz="4" w:space="0" w:color="auto"/>
            </w:tcBorders>
            <w:shd w:val="clear" w:color="C4C4C4" w:fill="FFFFFF"/>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0,00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C4C4C4"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5213</w:t>
            </w:r>
          </w:p>
        </w:tc>
        <w:tc>
          <w:tcPr>
            <w:tcW w:w="3646" w:type="dxa"/>
            <w:tcBorders>
              <w:top w:val="nil"/>
              <w:left w:val="nil"/>
              <w:bottom w:val="single" w:sz="4" w:space="0" w:color="auto"/>
              <w:right w:val="single" w:sz="4" w:space="0" w:color="auto"/>
            </w:tcBorders>
            <w:shd w:val="clear" w:color="C4C4C4" w:fill="D9D9D9"/>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Krizová opatření</w:t>
            </w:r>
          </w:p>
        </w:tc>
        <w:tc>
          <w:tcPr>
            <w:tcW w:w="1134" w:type="dxa"/>
            <w:tcBorders>
              <w:top w:val="nil"/>
              <w:left w:val="nil"/>
              <w:bottom w:val="single" w:sz="4" w:space="0" w:color="auto"/>
              <w:right w:val="single" w:sz="4" w:space="0" w:color="auto"/>
            </w:tcBorders>
            <w:shd w:val="clear" w:color="C4C4C4"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200 000,00</w:t>
            </w:r>
          </w:p>
        </w:tc>
        <w:tc>
          <w:tcPr>
            <w:tcW w:w="1134" w:type="dxa"/>
            <w:tcBorders>
              <w:top w:val="nil"/>
              <w:left w:val="nil"/>
              <w:bottom w:val="single" w:sz="4" w:space="0" w:color="auto"/>
              <w:right w:val="single" w:sz="4" w:space="0" w:color="auto"/>
            </w:tcBorders>
            <w:shd w:val="clear" w:color="C4C4C4"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0,00</w:t>
            </w:r>
          </w:p>
        </w:tc>
        <w:tc>
          <w:tcPr>
            <w:tcW w:w="709"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0,00 %</w:t>
            </w:r>
          </w:p>
        </w:tc>
        <w:tc>
          <w:tcPr>
            <w:tcW w:w="1134" w:type="dxa"/>
            <w:tcBorders>
              <w:top w:val="nil"/>
              <w:left w:val="nil"/>
              <w:bottom w:val="single" w:sz="4" w:space="0" w:color="auto"/>
              <w:right w:val="single" w:sz="4" w:space="0" w:color="auto"/>
            </w:tcBorders>
            <w:shd w:val="clear" w:color="C4C4C4"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0,00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C4C4C4" w:fill="FFFFFF"/>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5272</w:t>
            </w:r>
          </w:p>
        </w:tc>
        <w:tc>
          <w:tcPr>
            <w:tcW w:w="3646" w:type="dxa"/>
            <w:tcBorders>
              <w:top w:val="nil"/>
              <w:left w:val="nil"/>
              <w:bottom w:val="single" w:sz="4" w:space="0" w:color="auto"/>
              <w:right w:val="single" w:sz="4" w:space="0" w:color="auto"/>
            </w:tcBorders>
            <w:shd w:val="clear" w:color="C4C4C4" w:fill="FFFFFF"/>
            <w:noWrap/>
            <w:vAlign w:val="center"/>
            <w:hideMark/>
          </w:tcPr>
          <w:p w:rsidR="006E3623" w:rsidRPr="006E3623" w:rsidRDefault="006E3623" w:rsidP="00EC05C5">
            <w:pPr>
              <w:rPr>
                <w:rFonts w:ascii="Calibri" w:hAnsi="Calibri" w:cs="Calibri"/>
                <w:color w:val="000000"/>
                <w:sz w:val="14"/>
                <w:szCs w:val="14"/>
              </w:rPr>
            </w:pPr>
            <w:r w:rsidRPr="006E3623">
              <w:rPr>
                <w:rFonts w:ascii="Calibri" w:hAnsi="Calibri" w:cs="Calibri"/>
                <w:color w:val="000000"/>
                <w:sz w:val="14"/>
                <w:szCs w:val="14"/>
              </w:rPr>
              <w:t>Čin.</w:t>
            </w:r>
            <w:r w:rsidR="00EC05C5">
              <w:rPr>
                <w:rFonts w:ascii="Calibri" w:hAnsi="Calibri" w:cs="Calibri"/>
                <w:color w:val="000000"/>
                <w:sz w:val="14"/>
                <w:szCs w:val="14"/>
              </w:rPr>
              <w:t xml:space="preserve"> orgánů </w:t>
            </w:r>
            <w:r w:rsidRPr="006E3623">
              <w:rPr>
                <w:rFonts w:ascii="Calibri" w:hAnsi="Calibri" w:cs="Calibri"/>
                <w:color w:val="000000"/>
                <w:sz w:val="14"/>
                <w:szCs w:val="14"/>
              </w:rPr>
              <w:t>kr.říz.na ú</w:t>
            </w:r>
            <w:r w:rsidR="00EC05C5">
              <w:rPr>
                <w:rFonts w:ascii="Calibri" w:hAnsi="Calibri" w:cs="Calibri"/>
                <w:color w:val="000000"/>
                <w:sz w:val="14"/>
                <w:szCs w:val="14"/>
              </w:rPr>
              <w:t>stř</w:t>
            </w:r>
            <w:r w:rsidRPr="006E3623">
              <w:rPr>
                <w:rFonts w:ascii="Calibri" w:hAnsi="Calibri" w:cs="Calibri"/>
                <w:color w:val="000000"/>
                <w:sz w:val="14"/>
                <w:szCs w:val="14"/>
              </w:rPr>
              <w:t>.</w:t>
            </w:r>
            <w:r w:rsidR="00EC05C5">
              <w:rPr>
                <w:rFonts w:ascii="Calibri" w:hAnsi="Calibri" w:cs="Calibri"/>
                <w:color w:val="000000"/>
                <w:sz w:val="14"/>
                <w:szCs w:val="14"/>
              </w:rPr>
              <w:t xml:space="preserve"> </w:t>
            </w:r>
            <w:r w:rsidRPr="006E3623">
              <w:rPr>
                <w:rFonts w:ascii="Calibri" w:hAnsi="Calibri" w:cs="Calibri"/>
                <w:color w:val="000000"/>
                <w:sz w:val="14"/>
                <w:szCs w:val="14"/>
              </w:rPr>
              <w:t>úr.</w:t>
            </w:r>
            <w:r w:rsidR="00EC05C5">
              <w:rPr>
                <w:rFonts w:ascii="Calibri" w:hAnsi="Calibri" w:cs="Calibri"/>
                <w:color w:val="000000"/>
                <w:sz w:val="14"/>
                <w:szCs w:val="14"/>
              </w:rPr>
              <w:t xml:space="preserve"> </w:t>
            </w:r>
            <w:r w:rsidRPr="006E3623">
              <w:rPr>
                <w:rFonts w:ascii="Calibri" w:hAnsi="Calibri" w:cs="Calibri"/>
                <w:color w:val="000000"/>
                <w:sz w:val="14"/>
                <w:szCs w:val="14"/>
              </w:rPr>
              <w:t>a dal</w:t>
            </w:r>
            <w:r w:rsidR="00EC05C5">
              <w:rPr>
                <w:rFonts w:ascii="Calibri" w:hAnsi="Calibri" w:cs="Calibri"/>
                <w:color w:val="000000"/>
                <w:sz w:val="14"/>
                <w:szCs w:val="14"/>
              </w:rPr>
              <w:t xml:space="preserve">ších správ. </w:t>
            </w:r>
            <w:r w:rsidRPr="006E3623">
              <w:rPr>
                <w:rFonts w:ascii="Calibri" w:hAnsi="Calibri" w:cs="Calibri"/>
                <w:color w:val="000000"/>
                <w:sz w:val="14"/>
                <w:szCs w:val="14"/>
              </w:rPr>
              <w:t>úř.</w:t>
            </w:r>
            <w:r w:rsidR="00EC05C5">
              <w:rPr>
                <w:rFonts w:ascii="Calibri" w:hAnsi="Calibri" w:cs="Calibri"/>
                <w:color w:val="000000"/>
                <w:sz w:val="14"/>
                <w:szCs w:val="14"/>
              </w:rPr>
              <w:t xml:space="preserve"> </w:t>
            </w:r>
            <w:r w:rsidRPr="006E3623">
              <w:rPr>
                <w:rFonts w:ascii="Calibri" w:hAnsi="Calibri" w:cs="Calibri"/>
                <w:color w:val="000000"/>
                <w:sz w:val="14"/>
                <w:szCs w:val="14"/>
              </w:rPr>
              <w:t>v obl.</w:t>
            </w:r>
            <w:r w:rsidR="00EC05C5">
              <w:rPr>
                <w:rFonts w:ascii="Calibri" w:hAnsi="Calibri" w:cs="Calibri"/>
                <w:color w:val="000000"/>
                <w:sz w:val="14"/>
                <w:szCs w:val="14"/>
              </w:rPr>
              <w:t xml:space="preserve"> </w:t>
            </w:r>
            <w:r w:rsidRPr="006E3623">
              <w:rPr>
                <w:rFonts w:ascii="Calibri" w:hAnsi="Calibri" w:cs="Calibri"/>
                <w:color w:val="000000"/>
                <w:sz w:val="14"/>
                <w:szCs w:val="14"/>
              </w:rPr>
              <w:t>kr.</w:t>
            </w:r>
            <w:r w:rsidR="00EC05C5">
              <w:rPr>
                <w:rFonts w:ascii="Calibri" w:hAnsi="Calibri" w:cs="Calibri"/>
                <w:color w:val="000000"/>
                <w:sz w:val="14"/>
                <w:szCs w:val="14"/>
              </w:rPr>
              <w:t xml:space="preserve"> </w:t>
            </w:r>
            <w:r w:rsidRPr="006E3623">
              <w:rPr>
                <w:rFonts w:ascii="Calibri" w:hAnsi="Calibri" w:cs="Calibri"/>
                <w:color w:val="000000"/>
                <w:sz w:val="14"/>
                <w:szCs w:val="14"/>
              </w:rPr>
              <w:t>ř.</w:t>
            </w:r>
          </w:p>
        </w:tc>
        <w:tc>
          <w:tcPr>
            <w:tcW w:w="1134" w:type="dxa"/>
            <w:tcBorders>
              <w:top w:val="nil"/>
              <w:left w:val="nil"/>
              <w:bottom w:val="single" w:sz="4" w:space="0" w:color="auto"/>
              <w:right w:val="single" w:sz="4" w:space="0" w:color="auto"/>
            </w:tcBorders>
            <w:shd w:val="clear" w:color="C4C4C4" w:fill="FFFFFF"/>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C4C4C4" w:fill="FFFFFF"/>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w:t>
            </w:r>
          </w:p>
        </w:tc>
        <w:tc>
          <w:tcPr>
            <w:tcW w:w="1134" w:type="dxa"/>
            <w:tcBorders>
              <w:top w:val="nil"/>
              <w:left w:val="nil"/>
              <w:bottom w:val="single" w:sz="4" w:space="0" w:color="auto"/>
              <w:right w:val="single" w:sz="4" w:space="0" w:color="auto"/>
            </w:tcBorders>
            <w:shd w:val="clear" w:color="C4C4C4" w:fill="FFFFFF"/>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4 155 638,08</w:t>
            </w:r>
          </w:p>
        </w:tc>
        <w:tc>
          <w:tcPr>
            <w:tcW w:w="1134" w:type="dxa"/>
            <w:tcBorders>
              <w:top w:val="nil"/>
              <w:left w:val="nil"/>
              <w:bottom w:val="single" w:sz="4" w:space="0" w:color="auto"/>
              <w:right w:val="single" w:sz="4" w:space="0" w:color="auto"/>
            </w:tcBorders>
            <w:shd w:val="clear" w:color="000000" w:fill="FFFFFF"/>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-4 155 638,08</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C4C4C4"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5273</w:t>
            </w:r>
          </w:p>
        </w:tc>
        <w:tc>
          <w:tcPr>
            <w:tcW w:w="3646" w:type="dxa"/>
            <w:tcBorders>
              <w:top w:val="nil"/>
              <w:left w:val="nil"/>
              <w:bottom w:val="single" w:sz="4" w:space="0" w:color="auto"/>
              <w:right w:val="single" w:sz="4" w:space="0" w:color="auto"/>
            </w:tcBorders>
            <w:shd w:val="clear" w:color="C4C4C4" w:fill="D9D9D9"/>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Ostatní správa v oblasti krizového řízení</w:t>
            </w:r>
          </w:p>
        </w:tc>
        <w:tc>
          <w:tcPr>
            <w:tcW w:w="1134" w:type="dxa"/>
            <w:tcBorders>
              <w:top w:val="nil"/>
              <w:left w:val="nil"/>
              <w:bottom w:val="single" w:sz="4" w:space="0" w:color="auto"/>
              <w:right w:val="single" w:sz="4" w:space="0" w:color="auto"/>
            </w:tcBorders>
            <w:shd w:val="clear" w:color="C4C4C4"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12 258 367,00</w:t>
            </w:r>
          </w:p>
        </w:tc>
        <w:tc>
          <w:tcPr>
            <w:tcW w:w="1134" w:type="dxa"/>
            <w:tcBorders>
              <w:top w:val="nil"/>
              <w:left w:val="nil"/>
              <w:bottom w:val="single" w:sz="4" w:space="0" w:color="auto"/>
              <w:right w:val="single" w:sz="4" w:space="0" w:color="auto"/>
            </w:tcBorders>
            <w:shd w:val="clear" w:color="C4C4C4"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374 577,01</w:t>
            </w:r>
          </w:p>
        </w:tc>
        <w:tc>
          <w:tcPr>
            <w:tcW w:w="709"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3,06 %</w:t>
            </w:r>
          </w:p>
        </w:tc>
        <w:tc>
          <w:tcPr>
            <w:tcW w:w="1134" w:type="dxa"/>
            <w:tcBorders>
              <w:top w:val="nil"/>
              <w:left w:val="nil"/>
              <w:bottom w:val="single" w:sz="4" w:space="0" w:color="auto"/>
              <w:right w:val="single" w:sz="4" w:space="0" w:color="auto"/>
            </w:tcBorders>
            <w:shd w:val="clear" w:color="C4C4C4"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237 251,09</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137 325,92</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C4C4C4" w:fill="FFFFFF"/>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5299</w:t>
            </w:r>
          </w:p>
        </w:tc>
        <w:tc>
          <w:tcPr>
            <w:tcW w:w="3646" w:type="dxa"/>
            <w:tcBorders>
              <w:top w:val="nil"/>
              <w:left w:val="nil"/>
              <w:bottom w:val="single" w:sz="4" w:space="0" w:color="auto"/>
              <w:right w:val="single" w:sz="4" w:space="0" w:color="auto"/>
            </w:tcBorders>
            <w:shd w:val="clear" w:color="C4C4C4" w:fill="FFFFFF"/>
            <w:noWrap/>
            <w:vAlign w:val="center"/>
            <w:hideMark/>
          </w:tcPr>
          <w:p w:rsidR="006E3623" w:rsidRPr="006E3623" w:rsidRDefault="007402FC" w:rsidP="006E3623">
            <w:pPr>
              <w:rPr>
                <w:rFonts w:ascii="Calibri" w:hAnsi="Calibri" w:cs="Calibri"/>
                <w:color w:val="000000"/>
                <w:sz w:val="14"/>
                <w:szCs w:val="14"/>
              </w:rPr>
            </w:pPr>
            <w:r>
              <w:rPr>
                <w:rFonts w:ascii="Calibri" w:hAnsi="Calibri" w:cs="Calibri"/>
                <w:color w:val="000000"/>
                <w:sz w:val="14"/>
                <w:szCs w:val="14"/>
              </w:rPr>
              <w:t xml:space="preserve">Ostatní záležitosti </w:t>
            </w:r>
            <w:r w:rsidR="006E3623" w:rsidRPr="006E3623">
              <w:rPr>
                <w:rFonts w:ascii="Calibri" w:hAnsi="Calibri" w:cs="Calibri"/>
                <w:color w:val="000000"/>
                <w:sz w:val="14"/>
                <w:szCs w:val="14"/>
              </w:rPr>
              <w:t>civilní připravenosti na krizové stavy</w:t>
            </w:r>
          </w:p>
        </w:tc>
        <w:tc>
          <w:tcPr>
            <w:tcW w:w="1134" w:type="dxa"/>
            <w:tcBorders>
              <w:top w:val="nil"/>
              <w:left w:val="nil"/>
              <w:bottom w:val="single" w:sz="4" w:space="0" w:color="auto"/>
              <w:right w:val="single" w:sz="4" w:space="0" w:color="auto"/>
            </w:tcBorders>
            <w:shd w:val="clear" w:color="C4C4C4" w:fill="FFFFFF"/>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C4C4C4" w:fill="FFFFFF"/>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w:t>
            </w:r>
          </w:p>
        </w:tc>
        <w:tc>
          <w:tcPr>
            <w:tcW w:w="1134" w:type="dxa"/>
            <w:tcBorders>
              <w:top w:val="nil"/>
              <w:left w:val="nil"/>
              <w:bottom w:val="single" w:sz="4" w:space="0" w:color="auto"/>
              <w:right w:val="single" w:sz="4" w:space="0" w:color="auto"/>
            </w:tcBorders>
            <w:shd w:val="clear" w:color="C4C4C4" w:fill="FFFFFF"/>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1 500 000,00</w:t>
            </w:r>
          </w:p>
        </w:tc>
        <w:tc>
          <w:tcPr>
            <w:tcW w:w="1134" w:type="dxa"/>
            <w:tcBorders>
              <w:top w:val="nil"/>
              <w:left w:val="nil"/>
              <w:bottom w:val="single" w:sz="4" w:space="0" w:color="auto"/>
              <w:right w:val="single" w:sz="4" w:space="0" w:color="auto"/>
            </w:tcBorders>
            <w:shd w:val="clear" w:color="000000" w:fill="FFFFFF"/>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-1 500 000,00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C4C4C4"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5311</w:t>
            </w:r>
          </w:p>
        </w:tc>
        <w:tc>
          <w:tcPr>
            <w:tcW w:w="3646" w:type="dxa"/>
            <w:tcBorders>
              <w:top w:val="nil"/>
              <w:left w:val="nil"/>
              <w:bottom w:val="single" w:sz="4" w:space="0" w:color="auto"/>
              <w:right w:val="single" w:sz="4" w:space="0" w:color="auto"/>
            </w:tcBorders>
            <w:shd w:val="clear" w:color="C4C4C4" w:fill="D9D9D9"/>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Bezpečnost a veřejný pořádek</w:t>
            </w:r>
          </w:p>
        </w:tc>
        <w:tc>
          <w:tcPr>
            <w:tcW w:w="1134" w:type="dxa"/>
            <w:tcBorders>
              <w:top w:val="nil"/>
              <w:left w:val="nil"/>
              <w:bottom w:val="single" w:sz="4" w:space="0" w:color="auto"/>
              <w:right w:val="single" w:sz="4" w:space="0" w:color="auto"/>
            </w:tcBorders>
            <w:shd w:val="clear" w:color="C4C4C4"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55 399 687,00</w:t>
            </w:r>
          </w:p>
        </w:tc>
        <w:tc>
          <w:tcPr>
            <w:tcW w:w="1134" w:type="dxa"/>
            <w:tcBorders>
              <w:top w:val="nil"/>
              <w:left w:val="nil"/>
              <w:bottom w:val="single" w:sz="4" w:space="0" w:color="auto"/>
              <w:right w:val="single" w:sz="4" w:space="0" w:color="auto"/>
            </w:tcBorders>
            <w:shd w:val="clear" w:color="C4C4C4"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53 682 974,73</w:t>
            </w:r>
          </w:p>
        </w:tc>
        <w:tc>
          <w:tcPr>
            <w:tcW w:w="709"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96,90 %</w:t>
            </w:r>
          </w:p>
        </w:tc>
        <w:tc>
          <w:tcPr>
            <w:tcW w:w="1134" w:type="dxa"/>
            <w:tcBorders>
              <w:top w:val="nil"/>
              <w:left w:val="nil"/>
              <w:bottom w:val="single" w:sz="4" w:space="0" w:color="auto"/>
              <w:right w:val="single" w:sz="4" w:space="0" w:color="auto"/>
            </w:tcBorders>
            <w:shd w:val="clear" w:color="C4C4C4"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49 082 714,93</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4 600 259,80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C4C4C4" w:fill="FFFFFF"/>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5511</w:t>
            </w:r>
          </w:p>
        </w:tc>
        <w:tc>
          <w:tcPr>
            <w:tcW w:w="3646" w:type="dxa"/>
            <w:tcBorders>
              <w:top w:val="nil"/>
              <w:left w:val="nil"/>
              <w:bottom w:val="single" w:sz="4" w:space="0" w:color="auto"/>
              <w:right w:val="single" w:sz="4" w:space="0" w:color="auto"/>
            </w:tcBorders>
            <w:shd w:val="clear" w:color="C4C4C4" w:fill="FFFFFF"/>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Požární ochrana – profesionální část</w:t>
            </w:r>
          </w:p>
        </w:tc>
        <w:tc>
          <w:tcPr>
            <w:tcW w:w="1134" w:type="dxa"/>
            <w:tcBorders>
              <w:top w:val="nil"/>
              <w:left w:val="nil"/>
              <w:bottom w:val="single" w:sz="4" w:space="0" w:color="auto"/>
              <w:right w:val="single" w:sz="4" w:space="0" w:color="auto"/>
            </w:tcBorders>
            <w:shd w:val="clear" w:color="C4C4C4" w:fill="FFFFFF"/>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C4C4C4" w:fill="FFFFFF"/>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w:t>
            </w:r>
          </w:p>
        </w:tc>
        <w:tc>
          <w:tcPr>
            <w:tcW w:w="1134" w:type="dxa"/>
            <w:tcBorders>
              <w:top w:val="nil"/>
              <w:left w:val="nil"/>
              <w:bottom w:val="single" w:sz="4" w:space="0" w:color="auto"/>
              <w:right w:val="single" w:sz="4" w:space="0" w:color="auto"/>
            </w:tcBorders>
            <w:shd w:val="clear" w:color="C4C4C4" w:fill="FFFFFF"/>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0,00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C4C4C4"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5512</w:t>
            </w:r>
          </w:p>
        </w:tc>
        <w:tc>
          <w:tcPr>
            <w:tcW w:w="3646" w:type="dxa"/>
            <w:tcBorders>
              <w:top w:val="nil"/>
              <w:left w:val="nil"/>
              <w:bottom w:val="single" w:sz="4" w:space="0" w:color="auto"/>
              <w:right w:val="single" w:sz="4" w:space="0" w:color="auto"/>
            </w:tcBorders>
            <w:shd w:val="clear" w:color="C4C4C4" w:fill="D9D9D9"/>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Požární ochrana - dobrovolná část</w:t>
            </w:r>
          </w:p>
        </w:tc>
        <w:tc>
          <w:tcPr>
            <w:tcW w:w="1134" w:type="dxa"/>
            <w:tcBorders>
              <w:top w:val="nil"/>
              <w:left w:val="nil"/>
              <w:bottom w:val="single" w:sz="4" w:space="0" w:color="auto"/>
              <w:right w:val="single" w:sz="4" w:space="0" w:color="auto"/>
            </w:tcBorders>
            <w:shd w:val="clear" w:color="C4C4C4"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10 566 914,00</w:t>
            </w:r>
          </w:p>
        </w:tc>
        <w:tc>
          <w:tcPr>
            <w:tcW w:w="1134" w:type="dxa"/>
            <w:tcBorders>
              <w:top w:val="nil"/>
              <w:left w:val="nil"/>
              <w:bottom w:val="single" w:sz="4" w:space="0" w:color="auto"/>
              <w:right w:val="single" w:sz="4" w:space="0" w:color="auto"/>
            </w:tcBorders>
            <w:shd w:val="clear" w:color="C4C4C4"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4 224 579,64</w:t>
            </w:r>
          </w:p>
        </w:tc>
        <w:tc>
          <w:tcPr>
            <w:tcW w:w="709"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39,98 %</w:t>
            </w:r>
          </w:p>
        </w:tc>
        <w:tc>
          <w:tcPr>
            <w:tcW w:w="1134" w:type="dxa"/>
            <w:tcBorders>
              <w:top w:val="nil"/>
              <w:left w:val="nil"/>
              <w:bottom w:val="single" w:sz="4" w:space="0" w:color="auto"/>
              <w:right w:val="single" w:sz="4" w:space="0" w:color="auto"/>
            </w:tcBorders>
            <w:shd w:val="clear" w:color="C4C4C4"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7 118 704,87</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-2 894 125,23</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C4C4C4" w:fill="C6E0B4"/>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5XXX</w:t>
            </w:r>
          </w:p>
        </w:tc>
        <w:tc>
          <w:tcPr>
            <w:tcW w:w="3646" w:type="dxa"/>
            <w:tcBorders>
              <w:top w:val="nil"/>
              <w:left w:val="nil"/>
              <w:bottom w:val="single" w:sz="4" w:space="0" w:color="auto"/>
              <w:right w:val="single" w:sz="4" w:space="0" w:color="auto"/>
            </w:tcBorders>
            <w:shd w:val="clear" w:color="C4C4C4" w:fill="C6E0B4"/>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Bezpečnost státu a právní ochrana</w:t>
            </w:r>
          </w:p>
        </w:tc>
        <w:tc>
          <w:tcPr>
            <w:tcW w:w="1134" w:type="dxa"/>
            <w:tcBorders>
              <w:top w:val="nil"/>
              <w:left w:val="nil"/>
              <w:bottom w:val="single" w:sz="4" w:space="0" w:color="auto"/>
              <w:right w:val="single" w:sz="4" w:space="0" w:color="auto"/>
            </w:tcBorders>
            <w:shd w:val="clear" w:color="C4C4C4" w:fill="C6E0B4"/>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78 426 868,00</w:t>
            </w:r>
          </w:p>
        </w:tc>
        <w:tc>
          <w:tcPr>
            <w:tcW w:w="1134" w:type="dxa"/>
            <w:tcBorders>
              <w:top w:val="nil"/>
              <w:left w:val="nil"/>
              <w:bottom w:val="single" w:sz="4" w:space="0" w:color="auto"/>
              <w:right w:val="single" w:sz="4" w:space="0" w:color="auto"/>
            </w:tcBorders>
            <w:shd w:val="clear" w:color="C4C4C4" w:fill="C6E0B4"/>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58 282 131,38</w:t>
            </w:r>
          </w:p>
        </w:tc>
        <w:tc>
          <w:tcPr>
            <w:tcW w:w="709" w:type="dxa"/>
            <w:tcBorders>
              <w:top w:val="nil"/>
              <w:left w:val="nil"/>
              <w:bottom w:val="single" w:sz="4" w:space="0" w:color="auto"/>
              <w:right w:val="single" w:sz="4" w:space="0" w:color="auto"/>
            </w:tcBorders>
            <w:shd w:val="clear" w:color="C4C4C4" w:fill="C6E0B4"/>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74,31 %</w:t>
            </w:r>
          </w:p>
        </w:tc>
        <w:tc>
          <w:tcPr>
            <w:tcW w:w="1134" w:type="dxa"/>
            <w:tcBorders>
              <w:top w:val="nil"/>
              <w:left w:val="nil"/>
              <w:bottom w:val="single" w:sz="4" w:space="0" w:color="auto"/>
              <w:right w:val="single" w:sz="4" w:space="0" w:color="auto"/>
            </w:tcBorders>
            <w:shd w:val="clear" w:color="C4C4C4" w:fill="C6E0B4"/>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62 094 308,97</w:t>
            </w:r>
          </w:p>
        </w:tc>
        <w:tc>
          <w:tcPr>
            <w:tcW w:w="1134" w:type="dxa"/>
            <w:tcBorders>
              <w:top w:val="nil"/>
              <w:left w:val="nil"/>
              <w:bottom w:val="single" w:sz="4" w:space="0" w:color="auto"/>
              <w:right w:val="single" w:sz="4" w:space="0" w:color="auto"/>
            </w:tcBorders>
            <w:shd w:val="clear" w:color="C4C4C4" w:fill="C6E0B4"/>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-3 812 177,59</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6112</w:t>
            </w:r>
          </w:p>
        </w:tc>
        <w:tc>
          <w:tcPr>
            <w:tcW w:w="3646"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Zastupitelstva obcí</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14 948 000,00</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12 567 589,68</w:t>
            </w:r>
          </w:p>
        </w:tc>
        <w:tc>
          <w:tcPr>
            <w:tcW w:w="709"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84,08 %</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12 184 803,29</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382 786,39</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6114</w:t>
            </w:r>
          </w:p>
        </w:tc>
        <w:tc>
          <w:tcPr>
            <w:tcW w:w="3646"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Volby do parlamentu ČR</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0,00</w:t>
            </w:r>
          </w:p>
        </w:tc>
        <w:tc>
          <w:tcPr>
            <w:tcW w:w="709"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1 464 735,15</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-1 464 735,15</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6115</w:t>
            </w:r>
          </w:p>
        </w:tc>
        <w:tc>
          <w:tcPr>
            <w:tcW w:w="3646"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Volby do zastupitelstev územních samosprávných celků</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1 428 000,00</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1 475 354,42</w:t>
            </w:r>
          </w:p>
        </w:tc>
        <w:tc>
          <w:tcPr>
            <w:tcW w:w="709"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1 475 354,42</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6118</w:t>
            </w:r>
          </w:p>
        </w:tc>
        <w:tc>
          <w:tcPr>
            <w:tcW w:w="3646"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Volba prezidenta republiky</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428 600,00</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0,00</w:t>
            </w:r>
          </w:p>
        </w:tc>
        <w:tc>
          <w:tcPr>
            <w:tcW w:w="709"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0,00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6171</w:t>
            </w:r>
          </w:p>
        </w:tc>
        <w:tc>
          <w:tcPr>
            <w:tcW w:w="3646"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Činnost místní správy</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294 025 086,36</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271 729 732,27</w:t>
            </w:r>
          </w:p>
        </w:tc>
        <w:tc>
          <w:tcPr>
            <w:tcW w:w="709"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92,42 %</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252 742 890,83</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18 986 841,44</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6221</w:t>
            </w:r>
          </w:p>
        </w:tc>
        <w:tc>
          <w:tcPr>
            <w:tcW w:w="3646"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Humanitární zahraniční pomoc přímá</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180 083,00</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180 083,00</w:t>
            </w:r>
          </w:p>
        </w:tc>
        <w:tc>
          <w:tcPr>
            <w:tcW w:w="709" w:type="dxa"/>
            <w:tcBorders>
              <w:top w:val="nil"/>
              <w:left w:val="nil"/>
              <w:bottom w:val="single" w:sz="4" w:space="0" w:color="auto"/>
              <w:right w:val="single" w:sz="4" w:space="0" w:color="auto"/>
            </w:tcBorders>
            <w:shd w:val="clear" w:color="000000"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100,00 %</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180 083,00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6310</w:t>
            </w:r>
          </w:p>
        </w:tc>
        <w:tc>
          <w:tcPr>
            <w:tcW w:w="3646"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Obecné příjmy a výdaje z finančních operací</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408 000,00</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201 856,45</w:t>
            </w:r>
          </w:p>
        </w:tc>
        <w:tc>
          <w:tcPr>
            <w:tcW w:w="709"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49,47 %</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411 602,46</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-209 746,01</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6320</w:t>
            </w:r>
          </w:p>
        </w:tc>
        <w:tc>
          <w:tcPr>
            <w:tcW w:w="3646"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Pojištění funkčně nespecifikované</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4 303 427,00</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2 928 885,00</w:t>
            </w:r>
          </w:p>
        </w:tc>
        <w:tc>
          <w:tcPr>
            <w:tcW w:w="709"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68,06 %</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2 910 722,00</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18 163,00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6330</w:t>
            </w:r>
          </w:p>
        </w:tc>
        <w:tc>
          <w:tcPr>
            <w:tcW w:w="3646"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Převody vlastním fondům v rozpočtech územní úrovně</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1 563 885 191,32</w:t>
            </w:r>
          </w:p>
        </w:tc>
        <w:tc>
          <w:tcPr>
            <w:tcW w:w="709"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1 223 516 156,16</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340 369 035,16</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6399</w:t>
            </w:r>
          </w:p>
        </w:tc>
        <w:tc>
          <w:tcPr>
            <w:tcW w:w="3646"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Ostatní finanční operace</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36 025 000,00</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30 558 388,41</w:t>
            </w:r>
          </w:p>
        </w:tc>
        <w:tc>
          <w:tcPr>
            <w:tcW w:w="709"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84,83 %</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37 506 228,81</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-6 947 840,40</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6402</w:t>
            </w:r>
          </w:p>
        </w:tc>
        <w:tc>
          <w:tcPr>
            <w:tcW w:w="3646"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 xml:space="preserve">Finanční vypořádání </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72 500,00</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72 500,00</w:t>
            </w:r>
          </w:p>
        </w:tc>
        <w:tc>
          <w:tcPr>
            <w:tcW w:w="709"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100,00 %</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74 073,84</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-1 573,84</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6409</w:t>
            </w:r>
          </w:p>
        </w:tc>
        <w:tc>
          <w:tcPr>
            <w:tcW w:w="3646"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Ostatní činnosti j.</w:t>
            </w:r>
            <w:r w:rsidR="007402FC">
              <w:rPr>
                <w:rFonts w:ascii="Calibri" w:hAnsi="Calibri" w:cs="Calibri"/>
                <w:color w:val="000000"/>
                <w:sz w:val="14"/>
                <w:szCs w:val="14"/>
              </w:rPr>
              <w:t xml:space="preserve"> </w:t>
            </w:r>
            <w:r w:rsidRPr="006E3623">
              <w:rPr>
                <w:rFonts w:ascii="Calibri" w:hAnsi="Calibri" w:cs="Calibri"/>
                <w:color w:val="000000"/>
                <w:sz w:val="14"/>
                <w:szCs w:val="14"/>
              </w:rPr>
              <w:t>n.</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23 532 398,40</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14 540 677,95</w:t>
            </w:r>
          </w:p>
        </w:tc>
        <w:tc>
          <w:tcPr>
            <w:tcW w:w="709"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61,79 %</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23 358 308,37</w:t>
            </w:r>
          </w:p>
        </w:tc>
        <w:tc>
          <w:tcPr>
            <w:tcW w:w="1134" w:type="dxa"/>
            <w:tcBorders>
              <w:top w:val="nil"/>
              <w:left w:val="nil"/>
              <w:bottom w:val="single" w:sz="4" w:space="0" w:color="auto"/>
              <w:right w:val="single" w:sz="4" w:space="0" w:color="auto"/>
            </w:tcBorders>
            <w:shd w:val="clear" w:color="DBDBDB" w:fill="D9D9D9"/>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-8 817 630,42</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C4C4C4" w:fill="C6E0B4"/>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6XXX</w:t>
            </w:r>
          </w:p>
        </w:tc>
        <w:tc>
          <w:tcPr>
            <w:tcW w:w="3646" w:type="dxa"/>
            <w:tcBorders>
              <w:top w:val="nil"/>
              <w:left w:val="nil"/>
              <w:bottom w:val="single" w:sz="4" w:space="0" w:color="auto"/>
              <w:right w:val="single" w:sz="4" w:space="0" w:color="auto"/>
            </w:tcBorders>
            <w:shd w:val="clear" w:color="C4C4C4" w:fill="C6E0B4"/>
            <w:noWrap/>
            <w:vAlign w:val="center"/>
            <w:hideMark/>
          </w:tcPr>
          <w:p w:rsidR="006E3623" w:rsidRPr="006E3623" w:rsidRDefault="006E3623" w:rsidP="006E3623">
            <w:pPr>
              <w:rPr>
                <w:rFonts w:ascii="Calibri" w:hAnsi="Calibri" w:cs="Calibri"/>
                <w:color w:val="000000"/>
                <w:sz w:val="14"/>
                <w:szCs w:val="14"/>
              </w:rPr>
            </w:pPr>
            <w:r w:rsidRPr="006E3623">
              <w:rPr>
                <w:rFonts w:ascii="Calibri" w:hAnsi="Calibri" w:cs="Calibri"/>
                <w:color w:val="000000"/>
                <w:sz w:val="14"/>
                <w:szCs w:val="14"/>
              </w:rPr>
              <w:t>Všeobecná veřejná správa a služby</w:t>
            </w:r>
          </w:p>
        </w:tc>
        <w:tc>
          <w:tcPr>
            <w:tcW w:w="1134" w:type="dxa"/>
            <w:tcBorders>
              <w:top w:val="nil"/>
              <w:left w:val="nil"/>
              <w:bottom w:val="single" w:sz="4" w:space="0" w:color="auto"/>
              <w:right w:val="single" w:sz="4" w:space="0" w:color="auto"/>
            </w:tcBorders>
            <w:shd w:val="clear" w:color="C4C4C4" w:fill="C6E0B4"/>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375 351 094,76</w:t>
            </w:r>
          </w:p>
        </w:tc>
        <w:tc>
          <w:tcPr>
            <w:tcW w:w="1134" w:type="dxa"/>
            <w:tcBorders>
              <w:top w:val="nil"/>
              <w:left w:val="nil"/>
              <w:bottom w:val="single" w:sz="4" w:space="0" w:color="auto"/>
              <w:right w:val="single" w:sz="4" w:space="0" w:color="auto"/>
            </w:tcBorders>
            <w:shd w:val="clear" w:color="C4C4C4" w:fill="C6E0B4"/>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1 898 140 258,50</w:t>
            </w:r>
          </w:p>
        </w:tc>
        <w:tc>
          <w:tcPr>
            <w:tcW w:w="709" w:type="dxa"/>
            <w:tcBorders>
              <w:top w:val="nil"/>
              <w:left w:val="nil"/>
              <w:bottom w:val="single" w:sz="4" w:space="0" w:color="auto"/>
              <w:right w:val="single" w:sz="4" w:space="0" w:color="auto"/>
            </w:tcBorders>
            <w:shd w:val="clear" w:color="C4C4C4" w:fill="C6E0B4"/>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505,70 %</w:t>
            </w:r>
          </w:p>
        </w:tc>
        <w:tc>
          <w:tcPr>
            <w:tcW w:w="1134" w:type="dxa"/>
            <w:tcBorders>
              <w:top w:val="nil"/>
              <w:left w:val="nil"/>
              <w:bottom w:val="single" w:sz="4" w:space="0" w:color="auto"/>
              <w:right w:val="single" w:sz="4" w:space="0" w:color="auto"/>
            </w:tcBorders>
            <w:shd w:val="clear" w:color="C4C4C4" w:fill="C6E0B4"/>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1 554 169 520,91</w:t>
            </w:r>
          </w:p>
        </w:tc>
        <w:tc>
          <w:tcPr>
            <w:tcW w:w="1134" w:type="dxa"/>
            <w:tcBorders>
              <w:top w:val="nil"/>
              <w:left w:val="nil"/>
              <w:bottom w:val="single" w:sz="4" w:space="0" w:color="auto"/>
              <w:right w:val="single" w:sz="4" w:space="0" w:color="auto"/>
            </w:tcBorders>
            <w:shd w:val="clear" w:color="C4C4C4" w:fill="C6E0B4"/>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343 970 737,59</w:t>
            </w:r>
          </w:p>
        </w:tc>
      </w:tr>
      <w:tr w:rsidR="006E3623" w:rsidRPr="006E3623" w:rsidTr="006E3623">
        <w:trPr>
          <w:trHeight w:val="300"/>
        </w:trPr>
        <w:tc>
          <w:tcPr>
            <w:tcW w:w="4106" w:type="dxa"/>
            <w:gridSpan w:val="2"/>
            <w:tcBorders>
              <w:top w:val="single" w:sz="4" w:space="0" w:color="auto"/>
              <w:left w:val="single" w:sz="4" w:space="0" w:color="auto"/>
              <w:bottom w:val="single" w:sz="4" w:space="0" w:color="auto"/>
              <w:right w:val="single" w:sz="4" w:space="0" w:color="auto"/>
            </w:tcBorders>
            <w:shd w:val="clear" w:color="C4D79B" w:fill="A9D18E"/>
            <w:noWrap/>
            <w:vAlign w:val="center"/>
            <w:hideMark/>
          </w:tcPr>
          <w:p w:rsidR="006E3623" w:rsidRPr="006E3623" w:rsidRDefault="006E3623" w:rsidP="006E3623">
            <w:pPr>
              <w:rPr>
                <w:rFonts w:ascii="Calibri" w:hAnsi="Calibri" w:cs="Calibri"/>
                <w:b/>
                <w:bCs/>
                <w:color w:val="000000"/>
                <w:sz w:val="14"/>
                <w:szCs w:val="14"/>
              </w:rPr>
            </w:pPr>
            <w:r w:rsidRPr="006E3623">
              <w:rPr>
                <w:rFonts w:ascii="Calibri" w:hAnsi="Calibri" w:cs="Calibri"/>
                <w:b/>
                <w:bCs/>
                <w:color w:val="000000"/>
                <w:sz w:val="14"/>
                <w:szCs w:val="14"/>
              </w:rPr>
              <w:t>VÝDAJE CELKEM</w:t>
            </w:r>
          </w:p>
        </w:tc>
        <w:tc>
          <w:tcPr>
            <w:tcW w:w="1134" w:type="dxa"/>
            <w:tcBorders>
              <w:top w:val="nil"/>
              <w:left w:val="nil"/>
              <w:bottom w:val="single" w:sz="4" w:space="0" w:color="auto"/>
              <w:right w:val="single" w:sz="4" w:space="0" w:color="auto"/>
            </w:tcBorders>
            <w:shd w:val="clear" w:color="C4D79B" w:fill="A9D18E"/>
            <w:noWrap/>
            <w:vAlign w:val="center"/>
            <w:hideMark/>
          </w:tcPr>
          <w:p w:rsidR="006E3623" w:rsidRPr="006E3623" w:rsidRDefault="006E3623" w:rsidP="006E3623">
            <w:pPr>
              <w:jc w:val="right"/>
              <w:rPr>
                <w:rFonts w:ascii="Calibri" w:hAnsi="Calibri" w:cs="Calibri"/>
                <w:b/>
                <w:bCs/>
                <w:color w:val="000000"/>
                <w:sz w:val="14"/>
                <w:szCs w:val="14"/>
              </w:rPr>
            </w:pPr>
            <w:r w:rsidRPr="006E3623">
              <w:rPr>
                <w:rFonts w:ascii="Calibri" w:hAnsi="Calibri" w:cs="Calibri"/>
                <w:b/>
                <w:bCs/>
                <w:color w:val="000000"/>
                <w:sz w:val="14"/>
                <w:szCs w:val="14"/>
              </w:rPr>
              <w:t>1 255 733 640,35</w:t>
            </w:r>
          </w:p>
        </w:tc>
        <w:tc>
          <w:tcPr>
            <w:tcW w:w="1134" w:type="dxa"/>
            <w:tcBorders>
              <w:top w:val="nil"/>
              <w:left w:val="nil"/>
              <w:bottom w:val="single" w:sz="4" w:space="0" w:color="auto"/>
              <w:right w:val="single" w:sz="4" w:space="0" w:color="auto"/>
            </w:tcBorders>
            <w:shd w:val="clear" w:color="C4D79B" w:fill="A9D18E"/>
            <w:noWrap/>
            <w:vAlign w:val="center"/>
            <w:hideMark/>
          </w:tcPr>
          <w:p w:rsidR="006E3623" w:rsidRPr="006E3623" w:rsidRDefault="006E3623" w:rsidP="006E3623">
            <w:pPr>
              <w:jc w:val="right"/>
              <w:rPr>
                <w:rFonts w:ascii="Calibri" w:hAnsi="Calibri" w:cs="Calibri"/>
                <w:b/>
                <w:bCs/>
                <w:color w:val="000000"/>
                <w:sz w:val="14"/>
                <w:szCs w:val="14"/>
              </w:rPr>
            </w:pPr>
            <w:r w:rsidRPr="006E3623">
              <w:rPr>
                <w:rFonts w:ascii="Calibri" w:hAnsi="Calibri" w:cs="Calibri"/>
                <w:b/>
                <w:bCs/>
                <w:color w:val="000000"/>
                <w:sz w:val="14"/>
                <w:szCs w:val="14"/>
              </w:rPr>
              <w:t>2 718 423 461,17</w:t>
            </w:r>
          </w:p>
        </w:tc>
        <w:tc>
          <w:tcPr>
            <w:tcW w:w="709" w:type="dxa"/>
            <w:tcBorders>
              <w:top w:val="nil"/>
              <w:left w:val="nil"/>
              <w:bottom w:val="single" w:sz="4" w:space="0" w:color="auto"/>
              <w:right w:val="single" w:sz="4" w:space="0" w:color="auto"/>
            </w:tcBorders>
            <w:shd w:val="clear" w:color="C4D79B" w:fill="A9D18E"/>
            <w:noWrap/>
            <w:vAlign w:val="center"/>
            <w:hideMark/>
          </w:tcPr>
          <w:p w:rsidR="006E3623" w:rsidRPr="006E3623" w:rsidRDefault="006E3623" w:rsidP="006E3623">
            <w:pPr>
              <w:jc w:val="right"/>
              <w:rPr>
                <w:rFonts w:ascii="Calibri" w:hAnsi="Calibri" w:cs="Calibri"/>
                <w:b/>
                <w:bCs/>
                <w:color w:val="000000"/>
                <w:sz w:val="14"/>
                <w:szCs w:val="14"/>
              </w:rPr>
            </w:pPr>
            <w:r w:rsidRPr="006E3623">
              <w:rPr>
                <w:rFonts w:ascii="Calibri" w:hAnsi="Calibri" w:cs="Calibri"/>
                <w:b/>
                <w:bCs/>
                <w:color w:val="000000"/>
                <w:sz w:val="14"/>
                <w:szCs w:val="14"/>
              </w:rPr>
              <w:t>216,48 %</w:t>
            </w:r>
          </w:p>
        </w:tc>
        <w:tc>
          <w:tcPr>
            <w:tcW w:w="1134" w:type="dxa"/>
            <w:tcBorders>
              <w:top w:val="nil"/>
              <w:left w:val="nil"/>
              <w:bottom w:val="single" w:sz="4" w:space="0" w:color="auto"/>
              <w:right w:val="single" w:sz="4" w:space="0" w:color="auto"/>
            </w:tcBorders>
            <w:shd w:val="clear" w:color="C4D79B" w:fill="A9D18E"/>
            <w:noWrap/>
            <w:vAlign w:val="center"/>
            <w:hideMark/>
          </w:tcPr>
          <w:p w:rsidR="006E3623" w:rsidRPr="006E3623" w:rsidRDefault="006E3623" w:rsidP="006E3623">
            <w:pPr>
              <w:jc w:val="right"/>
              <w:rPr>
                <w:rFonts w:ascii="Calibri" w:hAnsi="Calibri" w:cs="Calibri"/>
                <w:b/>
                <w:bCs/>
                <w:color w:val="000000"/>
                <w:sz w:val="14"/>
                <w:szCs w:val="14"/>
              </w:rPr>
            </w:pPr>
            <w:r w:rsidRPr="006E3623">
              <w:rPr>
                <w:rFonts w:ascii="Calibri" w:hAnsi="Calibri" w:cs="Calibri"/>
                <w:b/>
                <w:bCs/>
                <w:color w:val="000000"/>
                <w:sz w:val="14"/>
                <w:szCs w:val="14"/>
              </w:rPr>
              <w:t>2 336 606 294,29</w:t>
            </w:r>
          </w:p>
        </w:tc>
        <w:tc>
          <w:tcPr>
            <w:tcW w:w="1134" w:type="dxa"/>
            <w:tcBorders>
              <w:top w:val="nil"/>
              <w:left w:val="nil"/>
              <w:bottom w:val="single" w:sz="4" w:space="0" w:color="auto"/>
              <w:right w:val="single" w:sz="4" w:space="0" w:color="auto"/>
            </w:tcBorders>
            <w:shd w:val="clear" w:color="C4D79B" w:fill="A9D18E"/>
            <w:noWrap/>
            <w:vAlign w:val="center"/>
            <w:hideMark/>
          </w:tcPr>
          <w:p w:rsidR="006E3623" w:rsidRPr="006E3623" w:rsidRDefault="006E3623" w:rsidP="006E3623">
            <w:pPr>
              <w:jc w:val="right"/>
              <w:rPr>
                <w:rFonts w:ascii="Calibri" w:hAnsi="Calibri" w:cs="Calibri"/>
                <w:b/>
                <w:bCs/>
                <w:color w:val="000000"/>
                <w:sz w:val="14"/>
                <w:szCs w:val="14"/>
              </w:rPr>
            </w:pPr>
            <w:r w:rsidRPr="006E3623">
              <w:rPr>
                <w:rFonts w:ascii="Calibri" w:hAnsi="Calibri" w:cs="Calibri"/>
                <w:b/>
                <w:bCs/>
                <w:color w:val="000000"/>
                <w:sz w:val="14"/>
                <w:szCs w:val="14"/>
              </w:rPr>
              <w:t>419 663 596,17</w:t>
            </w:r>
          </w:p>
        </w:tc>
      </w:tr>
      <w:tr w:rsidR="006E3623" w:rsidRPr="006E3623" w:rsidTr="006E3623">
        <w:trPr>
          <w:trHeight w:val="300"/>
        </w:trPr>
        <w:tc>
          <w:tcPr>
            <w:tcW w:w="4106" w:type="dxa"/>
            <w:gridSpan w:val="2"/>
            <w:tcBorders>
              <w:top w:val="single" w:sz="4" w:space="0" w:color="auto"/>
              <w:left w:val="single" w:sz="4" w:space="0" w:color="auto"/>
              <w:bottom w:val="single" w:sz="4" w:space="0" w:color="auto"/>
              <w:right w:val="single" w:sz="4" w:space="0" w:color="auto"/>
            </w:tcBorders>
            <w:shd w:val="clear" w:color="63993F" w:fill="70AD47"/>
            <w:noWrap/>
            <w:vAlign w:val="center"/>
            <w:hideMark/>
          </w:tcPr>
          <w:p w:rsidR="006E3623" w:rsidRPr="006E3623" w:rsidRDefault="006E3623" w:rsidP="006E3623">
            <w:pPr>
              <w:rPr>
                <w:rFonts w:ascii="Calibri" w:hAnsi="Calibri" w:cs="Calibri"/>
                <w:b/>
                <w:bCs/>
                <w:color w:val="000000"/>
                <w:sz w:val="14"/>
                <w:szCs w:val="14"/>
              </w:rPr>
            </w:pPr>
            <w:r w:rsidRPr="006E3623">
              <w:rPr>
                <w:rFonts w:ascii="Calibri" w:hAnsi="Calibri" w:cs="Calibri"/>
                <w:b/>
                <w:bCs/>
                <w:color w:val="000000"/>
                <w:sz w:val="14"/>
                <w:szCs w:val="14"/>
              </w:rPr>
              <w:t>VÝDAJE CELKEM PO KONSOLIDACI</w:t>
            </w:r>
          </w:p>
        </w:tc>
        <w:tc>
          <w:tcPr>
            <w:tcW w:w="1134" w:type="dxa"/>
            <w:tcBorders>
              <w:top w:val="nil"/>
              <w:left w:val="nil"/>
              <w:bottom w:val="single" w:sz="4" w:space="0" w:color="auto"/>
              <w:right w:val="single" w:sz="4" w:space="0" w:color="auto"/>
            </w:tcBorders>
            <w:shd w:val="clear" w:color="63993F" w:fill="70AD47"/>
            <w:noWrap/>
            <w:vAlign w:val="center"/>
            <w:hideMark/>
          </w:tcPr>
          <w:p w:rsidR="006E3623" w:rsidRPr="006E3623" w:rsidRDefault="006E3623" w:rsidP="006E3623">
            <w:pPr>
              <w:jc w:val="right"/>
              <w:rPr>
                <w:rFonts w:ascii="Calibri" w:hAnsi="Calibri" w:cs="Calibri"/>
                <w:b/>
                <w:bCs/>
                <w:color w:val="000000"/>
                <w:sz w:val="14"/>
                <w:szCs w:val="14"/>
              </w:rPr>
            </w:pPr>
            <w:r w:rsidRPr="006E3623">
              <w:rPr>
                <w:rFonts w:ascii="Calibri" w:hAnsi="Calibri" w:cs="Calibri"/>
                <w:b/>
                <w:bCs/>
                <w:color w:val="000000"/>
                <w:sz w:val="14"/>
                <w:szCs w:val="14"/>
              </w:rPr>
              <w:t>1 255 733 640,35</w:t>
            </w:r>
          </w:p>
        </w:tc>
        <w:tc>
          <w:tcPr>
            <w:tcW w:w="1134" w:type="dxa"/>
            <w:tcBorders>
              <w:top w:val="nil"/>
              <w:left w:val="nil"/>
              <w:bottom w:val="single" w:sz="4" w:space="0" w:color="auto"/>
              <w:right w:val="single" w:sz="4" w:space="0" w:color="auto"/>
            </w:tcBorders>
            <w:shd w:val="clear" w:color="63993F" w:fill="70AD47"/>
            <w:noWrap/>
            <w:vAlign w:val="center"/>
            <w:hideMark/>
          </w:tcPr>
          <w:p w:rsidR="006E3623" w:rsidRPr="006E3623" w:rsidRDefault="006E3623" w:rsidP="006E3623">
            <w:pPr>
              <w:jc w:val="right"/>
              <w:rPr>
                <w:rFonts w:ascii="Calibri" w:hAnsi="Calibri" w:cs="Calibri"/>
                <w:b/>
                <w:bCs/>
                <w:color w:val="000000"/>
                <w:sz w:val="14"/>
                <w:szCs w:val="14"/>
              </w:rPr>
            </w:pPr>
            <w:r w:rsidRPr="006E3623">
              <w:rPr>
                <w:rFonts w:ascii="Calibri" w:hAnsi="Calibri" w:cs="Calibri"/>
                <w:b/>
                <w:bCs/>
                <w:color w:val="000000"/>
                <w:sz w:val="14"/>
                <w:szCs w:val="14"/>
              </w:rPr>
              <w:t>1 154 538 269,85</w:t>
            </w:r>
          </w:p>
        </w:tc>
        <w:tc>
          <w:tcPr>
            <w:tcW w:w="709" w:type="dxa"/>
            <w:tcBorders>
              <w:top w:val="nil"/>
              <w:left w:val="nil"/>
              <w:bottom w:val="single" w:sz="4" w:space="0" w:color="auto"/>
              <w:right w:val="single" w:sz="4" w:space="0" w:color="auto"/>
            </w:tcBorders>
            <w:shd w:val="clear" w:color="63993F" w:fill="70AD47"/>
            <w:noWrap/>
            <w:vAlign w:val="center"/>
            <w:hideMark/>
          </w:tcPr>
          <w:p w:rsidR="006E3623" w:rsidRPr="006E3623" w:rsidRDefault="006E3623" w:rsidP="006E3623">
            <w:pPr>
              <w:jc w:val="right"/>
              <w:rPr>
                <w:rFonts w:ascii="Calibri" w:hAnsi="Calibri" w:cs="Calibri"/>
                <w:b/>
                <w:bCs/>
                <w:color w:val="000000"/>
                <w:sz w:val="14"/>
                <w:szCs w:val="14"/>
              </w:rPr>
            </w:pPr>
            <w:r w:rsidRPr="006E3623">
              <w:rPr>
                <w:rFonts w:ascii="Calibri" w:hAnsi="Calibri" w:cs="Calibri"/>
                <w:b/>
                <w:bCs/>
                <w:color w:val="000000"/>
                <w:sz w:val="14"/>
                <w:szCs w:val="14"/>
              </w:rPr>
              <w:t>91,94 %</w:t>
            </w:r>
          </w:p>
        </w:tc>
        <w:tc>
          <w:tcPr>
            <w:tcW w:w="1134" w:type="dxa"/>
            <w:tcBorders>
              <w:top w:val="nil"/>
              <w:left w:val="nil"/>
              <w:bottom w:val="single" w:sz="4" w:space="0" w:color="auto"/>
              <w:right w:val="single" w:sz="4" w:space="0" w:color="auto"/>
            </w:tcBorders>
            <w:shd w:val="clear" w:color="63993F" w:fill="70AD47"/>
            <w:noWrap/>
            <w:vAlign w:val="center"/>
            <w:hideMark/>
          </w:tcPr>
          <w:p w:rsidR="006E3623" w:rsidRPr="006E3623" w:rsidRDefault="006E3623" w:rsidP="006E3623">
            <w:pPr>
              <w:jc w:val="right"/>
              <w:rPr>
                <w:rFonts w:ascii="Calibri" w:hAnsi="Calibri" w:cs="Calibri"/>
                <w:b/>
                <w:bCs/>
                <w:color w:val="000000"/>
                <w:sz w:val="14"/>
                <w:szCs w:val="14"/>
              </w:rPr>
            </w:pPr>
            <w:r w:rsidRPr="006E3623">
              <w:rPr>
                <w:rFonts w:ascii="Calibri" w:hAnsi="Calibri" w:cs="Calibri"/>
                <w:b/>
                <w:bCs/>
                <w:color w:val="000000"/>
                <w:sz w:val="14"/>
                <w:szCs w:val="14"/>
              </w:rPr>
              <w:t>1 113 090 138,13</w:t>
            </w:r>
          </w:p>
        </w:tc>
        <w:tc>
          <w:tcPr>
            <w:tcW w:w="1134" w:type="dxa"/>
            <w:tcBorders>
              <w:top w:val="nil"/>
              <w:left w:val="nil"/>
              <w:bottom w:val="single" w:sz="4" w:space="0" w:color="auto"/>
              <w:right w:val="single" w:sz="4" w:space="0" w:color="auto"/>
            </w:tcBorders>
            <w:shd w:val="clear" w:color="63993F" w:fill="70AD47"/>
            <w:noWrap/>
            <w:vAlign w:val="center"/>
            <w:hideMark/>
          </w:tcPr>
          <w:p w:rsidR="006E3623" w:rsidRPr="006E3623" w:rsidRDefault="006E3623" w:rsidP="006E3623">
            <w:pPr>
              <w:jc w:val="right"/>
              <w:rPr>
                <w:rFonts w:ascii="Calibri" w:hAnsi="Calibri" w:cs="Calibri"/>
                <w:b/>
                <w:bCs/>
                <w:color w:val="000000"/>
                <w:sz w:val="14"/>
                <w:szCs w:val="14"/>
              </w:rPr>
            </w:pPr>
            <w:r w:rsidRPr="006E3623">
              <w:rPr>
                <w:rFonts w:ascii="Calibri" w:hAnsi="Calibri" w:cs="Calibri"/>
                <w:b/>
                <w:bCs/>
                <w:color w:val="000000"/>
                <w:sz w:val="14"/>
                <w:szCs w:val="14"/>
              </w:rPr>
              <w:t>79 294 561,01</w:t>
            </w:r>
          </w:p>
        </w:tc>
      </w:tr>
      <w:tr w:rsidR="006E3623" w:rsidRPr="006E3623" w:rsidTr="006E3623">
        <w:trPr>
          <w:trHeight w:val="300"/>
        </w:trPr>
        <w:tc>
          <w:tcPr>
            <w:tcW w:w="460" w:type="dxa"/>
            <w:tcBorders>
              <w:top w:val="nil"/>
              <w:left w:val="single" w:sz="4" w:space="0" w:color="auto"/>
              <w:bottom w:val="single" w:sz="4" w:space="0" w:color="auto"/>
              <w:right w:val="single" w:sz="4" w:space="0" w:color="auto"/>
            </w:tcBorders>
            <w:shd w:val="clear" w:color="F2F2F2" w:fill="FFFFFF"/>
            <w:noWrap/>
            <w:vAlign w:val="center"/>
            <w:hideMark/>
          </w:tcPr>
          <w:p w:rsidR="006E3623" w:rsidRPr="006E3623" w:rsidRDefault="006E3623" w:rsidP="006E3623">
            <w:pPr>
              <w:rPr>
                <w:rFonts w:ascii="Calibri" w:hAnsi="Calibri" w:cs="Calibri"/>
                <w:b/>
                <w:bCs/>
                <w:color w:val="000000"/>
                <w:sz w:val="14"/>
                <w:szCs w:val="14"/>
              </w:rPr>
            </w:pPr>
            <w:r w:rsidRPr="006E3623">
              <w:rPr>
                <w:rFonts w:ascii="Calibri" w:hAnsi="Calibri" w:cs="Calibri"/>
                <w:b/>
                <w:bCs/>
                <w:color w:val="000000"/>
                <w:sz w:val="14"/>
                <w:szCs w:val="14"/>
              </w:rPr>
              <w:t> </w:t>
            </w:r>
          </w:p>
        </w:tc>
        <w:tc>
          <w:tcPr>
            <w:tcW w:w="3646" w:type="dxa"/>
            <w:tcBorders>
              <w:top w:val="nil"/>
              <w:left w:val="nil"/>
              <w:bottom w:val="single" w:sz="4" w:space="0" w:color="auto"/>
              <w:right w:val="single" w:sz="4" w:space="0" w:color="auto"/>
            </w:tcBorders>
            <w:shd w:val="clear" w:color="F2F2F2" w:fill="FFFFFF"/>
            <w:noWrap/>
            <w:vAlign w:val="center"/>
            <w:hideMark/>
          </w:tcPr>
          <w:p w:rsidR="006E3623" w:rsidRPr="006E3623" w:rsidRDefault="006E3623" w:rsidP="006E3623">
            <w:pPr>
              <w:rPr>
                <w:rFonts w:ascii="Calibri" w:hAnsi="Calibri" w:cs="Calibri"/>
                <w:b/>
                <w:bCs/>
                <w:color w:val="000000"/>
                <w:sz w:val="14"/>
                <w:szCs w:val="14"/>
              </w:rPr>
            </w:pPr>
            <w:r w:rsidRPr="006E3623">
              <w:rPr>
                <w:rFonts w:ascii="Calibri" w:hAnsi="Calibri" w:cs="Calibri"/>
                <w:b/>
                <w:bCs/>
                <w:color w:val="000000"/>
                <w:sz w:val="14"/>
                <w:szCs w:val="14"/>
              </w:rPr>
              <w:t>Bez paragrafu</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208 434 589,42</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-114 132 083,80</w:t>
            </w:r>
          </w:p>
        </w:tc>
        <w:tc>
          <w:tcPr>
            <w:tcW w:w="709"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-54,76 %</w:t>
            </w:r>
          </w:p>
        </w:tc>
        <w:tc>
          <w:tcPr>
            <w:tcW w:w="1134" w:type="dxa"/>
            <w:tcBorders>
              <w:top w:val="nil"/>
              <w:left w:val="nil"/>
              <w:bottom w:val="single" w:sz="4" w:space="0" w:color="auto"/>
              <w:right w:val="single" w:sz="4" w:space="0" w:color="auto"/>
            </w:tcBorders>
            <w:shd w:val="clear" w:color="auto" w:fill="auto"/>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-19 248 779,11</w:t>
            </w:r>
          </w:p>
        </w:tc>
        <w:tc>
          <w:tcPr>
            <w:tcW w:w="1134" w:type="dxa"/>
            <w:tcBorders>
              <w:top w:val="nil"/>
              <w:left w:val="nil"/>
              <w:bottom w:val="single" w:sz="4" w:space="0" w:color="auto"/>
              <w:right w:val="single" w:sz="4" w:space="0" w:color="auto"/>
            </w:tcBorders>
            <w:shd w:val="clear" w:color="F2F2F2" w:fill="FFFFFF"/>
            <w:noWrap/>
            <w:vAlign w:val="center"/>
            <w:hideMark/>
          </w:tcPr>
          <w:p w:rsidR="006E3623" w:rsidRPr="006E3623" w:rsidRDefault="006E3623" w:rsidP="006E3623">
            <w:pPr>
              <w:jc w:val="right"/>
              <w:rPr>
                <w:rFonts w:ascii="Calibri" w:hAnsi="Calibri" w:cs="Calibri"/>
                <w:color w:val="000000"/>
                <w:sz w:val="14"/>
                <w:szCs w:val="14"/>
              </w:rPr>
            </w:pPr>
            <w:r w:rsidRPr="006E3623">
              <w:rPr>
                <w:rFonts w:ascii="Calibri" w:hAnsi="Calibri" w:cs="Calibri"/>
                <w:color w:val="000000"/>
                <w:sz w:val="14"/>
                <w:szCs w:val="14"/>
              </w:rPr>
              <w:t>-94 883 304,69</w:t>
            </w:r>
          </w:p>
        </w:tc>
      </w:tr>
      <w:tr w:rsidR="006E3623" w:rsidRPr="006E3623" w:rsidTr="006E3623">
        <w:trPr>
          <w:trHeight w:val="300"/>
        </w:trPr>
        <w:tc>
          <w:tcPr>
            <w:tcW w:w="4106" w:type="dxa"/>
            <w:gridSpan w:val="2"/>
            <w:tcBorders>
              <w:top w:val="single" w:sz="4" w:space="0" w:color="auto"/>
              <w:left w:val="single" w:sz="4" w:space="0" w:color="auto"/>
              <w:bottom w:val="single" w:sz="4" w:space="0" w:color="auto"/>
              <w:right w:val="single" w:sz="4" w:space="0" w:color="auto"/>
            </w:tcBorders>
            <w:shd w:val="clear" w:color="63993F" w:fill="70AD47"/>
            <w:noWrap/>
            <w:vAlign w:val="center"/>
            <w:hideMark/>
          </w:tcPr>
          <w:p w:rsidR="006E3623" w:rsidRPr="006E3623" w:rsidRDefault="006E3623" w:rsidP="006E3623">
            <w:pPr>
              <w:rPr>
                <w:rFonts w:ascii="Calibri" w:hAnsi="Calibri" w:cs="Calibri"/>
                <w:b/>
                <w:bCs/>
                <w:color w:val="000000"/>
                <w:sz w:val="14"/>
                <w:szCs w:val="14"/>
              </w:rPr>
            </w:pPr>
            <w:r w:rsidRPr="006E3623">
              <w:rPr>
                <w:rFonts w:ascii="Calibri" w:hAnsi="Calibri" w:cs="Calibri"/>
                <w:b/>
                <w:bCs/>
                <w:color w:val="000000"/>
                <w:sz w:val="14"/>
                <w:szCs w:val="14"/>
              </w:rPr>
              <w:t>FINANCOVÁNÍ CELKEM</w:t>
            </w:r>
          </w:p>
        </w:tc>
        <w:tc>
          <w:tcPr>
            <w:tcW w:w="1134" w:type="dxa"/>
            <w:tcBorders>
              <w:top w:val="nil"/>
              <w:left w:val="nil"/>
              <w:bottom w:val="single" w:sz="4" w:space="0" w:color="auto"/>
              <w:right w:val="single" w:sz="4" w:space="0" w:color="auto"/>
            </w:tcBorders>
            <w:shd w:val="clear" w:color="63993F" w:fill="70AD47"/>
            <w:noWrap/>
            <w:vAlign w:val="center"/>
            <w:hideMark/>
          </w:tcPr>
          <w:p w:rsidR="006E3623" w:rsidRPr="006E3623" w:rsidRDefault="006E3623" w:rsidP="006E3623">
            <w:pPr>
              <w:jc w:val="right"/>
              <w:rPr>
                <w:rFonts w:ascii="Calibri" w:hAnsi="Calibri" w:cs="Calibri"/>
                <w:b/>
                <w:bCs/>
                <w:color w:val="000000"/>
                <w:sz w:val="14"/>
                <w:szCs w:val="14"/>
              </w:rPr>
            </w:pPr>
            <w:r w:rsidRPr="006E3623">
              <w:rPr>
                <w:rFonts w:ascii="Calibri" w:hAnsi="Calibri" w:cs="Calibri"/>
                <w:b/>
                <w:bCs/>
                <w:color w:val="000000"/>
                <w:sz w:val="14"/>
                <w:szCs w:val="14"/>
              </w:rPr>
              <w:t>208 434 589,42</w:t>
            </w:r>
          </w:p>
        </w:tc>
        <w:tc>
          <w:tcPr>
            <w:tcW w:w="1134" w:type="dxa"/>
            <w:tcBorders>
              <w:top w:val="nil"/>
              <w:left w:val="nil"/>
              <w:bottom w:val="single" w:sz="4" w:space="0" w:color="auto"/>
              <w:right w:val="single" w:sz="4" w:space="0" w:color="auto"/>
            </w:tcBorders>
            <w:shd w:val="clear" w:color="63993F" w:fill="70AD47"/>
            <w:noWrap/>
            <w:vAlign w:val="center"/>
            <w:hideMark/>
          </w:tcPr>
          <w:p w:rsidR="006E3623" w:rsidRPr="006E3623" w:rsidRDefault="006E3623" w:rsidP="006E3623">
            <w:pPr>
              <w:jc w:val="right"/>
              <w:rPr>
                <w:rFonts w:ascii="Calibri" w:hAnsi="Calibri" w:cs="Calibri"/>
                <w:b/>
                <w:bCs/>
                <w:color w:val="000000"/>
                <w:sz w:val="14"/>
                <w:szCs w:val="14"/>
              </w:rPr>
            </w:pPr>
            <w:r w:rsidRPr="006E3623">
              <w:rPr>
                <w:rFonts w:ascii="Calibri" w:hAnsi="Calibri" w:cs="Calibri"/>
                <w:b/>
                <w:bCs/>
                <w:color w:val="000000"/>
                <w:sz w:val="14"/>
                <w:szCs w:val="14"/>
              </w:rPr>
              <w:t>-114 132 083,80</w:t>
            </w:r>
          </w:p>
        </w:tc>
        <w:tc>
          <w:tcPr>
            <w:tcW w:w="709" w:type="dxa"/>
            <w:tcBorders>
              <w:top w:val="nil"/>
              <w:left w:val="nil"/>
              <w:bottom w:val="single" w:sz="4" w:space="0" w:color="auto"/>
              <w:right w:val="single" w:sz="4" w:space="0" w:color="auto"/>
            </w:tcBorders>
            <w:shd w:val="clear" w:color="63993F" w:fill="70AD47"/>
            <w:noWrap/>
            <w:vAlign w:val="center"/>
            <w:hideMark/>
          </w:tcPr>
          <w:p w:rsidR="006E3623" w:rsidRPr="006E3623" w:rsidRDefault="006E3623" w:rsidP="006E3623">
            <w:pPr>
              <w:jc w:val="right"/>
              <w:rPr>
                <w:rFonts w:ascii="Calibri" w:hAnsi="Calibri" w:cs="Calibri"/>
                <w:b/>
                <w:bCs/>
                <w:color w:val="000000"/>
                <w:sz w:val="14"/>
                <w:szCs w:val="14"/>
              </w:rPr>
            </w:pPr>
            <w:r w:rsidRPr="006E3623">
              <w:rPr>
                <w:rFonts w:ascii="Calibri" w:hAnsi="Calibri" w:cs="Calibri"/>
                <w:b/>
                <w:bCs/>
                <w:color w:val="000000"/>
                <w:sz w:val="14"/>
                <w:szCs w:val="14"/>
              </w:rPr>
              <w:t>-54,76 %</w:t>
            </w:r>
          </w:p>
        </w:tc>
        <w:tc>
          <w:tcPr>
            <w:tcW w:w="1134" w:type="dxa"/>
            <w:tcBorders>
              <w:top w:val="nil"/>
              <w:left w:val="nil"/>
              <w:bottom w:val="single" w:sz="4" w:space="0" w:color="auto"/>
              <w:right w:val="single" w:sz="4" w:space="0" w:color="auto"/>
            </w:tcBorders>
            <w:shd w:val="clear" w:color="63993F" w:fill="70AD47"/>
            <w:noWrap/>
            <w:vAlign w:val="center"/>
            <w:hideMark/>
          </w:tcPr>
          <w:p w:rsidR="006E3623" w:rsidRPr="006E3623" w:rsidRDefault="006E3623" w:rsidP="006E3623">
            <w:pPr>
              <w:jc w:val="right"/>
              <w:rPr>
                <w:rFonts w:ascii="Calibri" w:hAnsi="Calibri" w:cs="Calibri"/>
                <w:b/>
                <w:bCs/>
                <w:color w:val="000000"/>
                <w:sz w:val="14"/>
                <w:szCs w:val="14"/>
              </w:rPr>
            </w:pPr>
            <w:r w:rsidRPr="006E3623">
              <w:rPr>
                <w:rFonts w:ascii="Calibri" w:hAnsi="Calibri" w:cs="Calibri"/>
                <w:b/>
                <w:bCs/>
                <w:color w:val="000000"/>
                <w:sz w:val="14"/>
                <w:szCs w:val="14"/>
              </w:rPr>
              <w:t>-19 248 779,11</w:t>
            </w:r>
          </w:p>
        </w:tc>
        <w:tc>
          <w:tcPr>
            <w:tcW w:w="1134" w:type="dxa"/>
            <w:tcBorders>
              <w:top w:val="nil"/>
              <w:left w:val="nil"/>
              <w:bottom w:val="single" w:sz="4" w:space="0" w:color="auto"/>
              <w:right w:val="single" w:sz="4" w:space="0" w:color="auto"/>
            </w:tcBorders>
            <w:shd w:val="clear" w:color="63993F" w:fill="70AD47"/>
            <w:noWrap/>
            <w:vAlign w:val="center"/>
            <w:hideMark/>
          </w:tcPr>
          <w:p w:rsidR="006E3623" w:rsidRPr="006E3623" w:rsidRDefault="006E3623" w:rsidP="006E3623">
            <w:pPr>
              <w:jc w:val="right"/>
              <w:rPr>
                <w:rFonts w:ascii="Calibri" w:hAnsi="Calibri" w:cs="Calibri"/>
                <w:b/>
                <w:bCs/>
                <w:color w:val="000000"/>
                <w:sz w:val="14"/>
                <w:szCs w:val="14"/>
              </w:rPr>
            </w:pPr>
            <w:r w:rsidRPr="006E3623">
              <w:rPr>
                <w:rFonts w:ascii="Calibri" w:hAnsi="Calibri" w:cs="Calibri"/>
                <w:b/>
                <w:bCs/>
                <w:color w:val="000000"/>
                <w:sz w:val="14"/>
                <w:szCs w:val="14"/>
              </w:rPr>
              <w:t>-94 883 304,69</w:t>
            </w:r>
          </w:p>
        </w:tc>
      </w:tr>
    </w:tbl>
    <w:p w:rsidR="006E3623" w:rsidRDefault="006E3623" w:rsidP="00710248">
      <w:pPr>
        <w:rPr>
          <w:rFonts w:asciiTheme="minorHAnsi" w:hAnsiTheme="minorHAnsi" w:cstheme="minorHAnsi"/>
          <w:sz w:val="22"/>
          <w:szCs w:val="22"/>
        </w:rPr>
      </w:pPr>
    </w:p>
    <w:p w:rsidR="006E3623" w:rsidRPr="00710248" w:rsidRDefault="006E3623" w:rsidP="00710248">
      <w:pPr>
        <w:rPr>
          <w:rFonts w:asciiTheme="minorHAnsi" w:hAnsiTheme="minorHAnsi" w:cstheme="minorHAnsi"/>
          <w:sz w:val="22"/>
          <w:szCs w:val="22"/>
        </w:rPr>
      </w:pPr>
    </w:p>
    <w:p w:rsidR="00CE1A57" w:rsidRDefault="00CE1A57">
      <w:pPr>
        <w:rPr>
          <w:noProof/>
        </w:rPr>
      </w:pPr>
    </w:p>
    <w:p w:rsidR="00AC58CC" w:rsidRPr="000A16C0" w:rsidRDefault="006C5528" w:rsidP="00CA6C24">
      <w:pPr>
        <w:pStyle w:val="Nadpis2"/>
      </w:pPr>
      <w:bookmarkStart w:id="51" w:name="_Toc39129539"/>
      <w:r>
        <w:lastRenderedPageBreak/>
        <w:t>I</w:t>
      </w:r>
      <w:r w:rsidR="00AC58CC" w:rsidRPr="000A16C0">
        <w:t xml:space="preserve">nventarizace </w:t>
      </w:r>
      <w:r>
        <w:t xml:space="preserve">majetku a závazků </w:t>
      </w:r>
      <w:r w:rsidR="00AC58CC" w:rsidRPr="000A16C0">
        <w:t>k 31.</w:t>
      </w:r>
      <w:r w:rsidR="007402FC">
        <w:t xml:space="preserve"> </w:t>
      </w:r>
      <w:r w:rsidR="00AC58CC" w:rsidRPr="000A16C0">
        <w:t>12.</w:t>
      </w:r>
      <w:r w:rsidR="007402FC">
        <w:t xml:space="preserve"> </w:t>
      </w:r>
      <w:r w:rsidR="00AC58CC" w:rsidRPr="000A16C0">
        <w:t>20</w:t>
      </w:r>
      <w:bookmarkEnd w:id="51"/>
      <w:r w:rsidR="005E506E">
        <w:t>2</w:t>
      </w:r>
      <w:r w:rsidR="007402FC">
        <w:t>2</w:t>
      </w:r>
      <w:r w:rsidR="00AC58CC" w:rsidRPr="000A16C0">
        <w:t xml:space="preserve">  </w:t>
      </w:r>
    </w:p>
    <w:p w:rsidR="009F78C5" w:rsidRPr="009F78C5" w:rsidRDefault="009F78C5" w:rsidP="009F78C5">
      <w:pPr>
        <w:jc w:val="both"/>
        <w:rPr>
          <w:rFonts w:ascii="Calibri" w:hAnsi="Calibri" w:cs="Calibri"/>
          <w:sz w:val="22"/>
          <w:szCs w:val="22"/>
        </w:rPr>
      </w:pPr>
      <w:r w:rsidRPr="009F78C5">
        <w:rPr>
          <w:rFonts w:ascii="Calibri" w:hAnsi="Calibri" w:cs="Calibri"/>
          <w:sz w:val="22"/>
          <w:szCs w:val="22"/>
        </w:rPr>
        <w:t>V souladu s vnitřní účetní směrnicí č. 14/2014 Inventarizace majetku a závazků a Plánu inventur na rok 2022 ze dne 29</w:t>
      </w:r>
      <w:r>
        <w:rPr>
          <w:rFonts w:ascii="Calibri" w:hAnsi="Calibri" w:cs="Calibri"/>
          <w:sz w:val="22"/>
          <w:szCs w:val="22"/>
        </w:rPr>
        <w:t xml:space="preserve">. </w:t>
      </w:r>
      <w:r w:rsidRPr="009F78C5">
        <w:rPr>
          <w:rFonts w:ascii="Calibri" w:hAnsi="Calibri" w:cs="Calibri"/>
          <w:sz w:val="22"/>
          <w:szCs w:val="22"/>
        </w:rPr>
        <w:t>8.</w:t>
      </w:r>
      <w:r>
        <w:rPr>
          <w:rFonts w:ascii="Calibri" w:hAnsi="Calibri" w:cs="Calibri"/>
          <w:sz w:val="22"/>
          <w:szCs w:val="22"/>
        </w:rPr>
        <w:t xml:space="preserve"> </w:t>
      </w:r>
      <w:r w:rsidRPr="009F78C5">
        <w:rPr>
          <w:rFonts w:ascii="Calibri" w:hAnsi="Calibri" w:cs="Calibri"/>
          <w:sz w:val="22"/>
          <w:szCs w:val="22"/>
        </w:rPr>
        <w:t xml:space="preserve">2022 byla provedena řádná inventarizace veškerého majetku a závazků organizace dle zákona č. 563/1991 Sb., o účetnictví, ve znění pozdějších předpisů, a vyhlášky č. 270/2010 Sb., o inventarizaci majetku a závazků. </w:t>
      </w:r>
    </w:p>
    <w:p w:rsidR="009F78C5" w:rsidRDefault="009F78C5" w:rsidP="00AE13D5">
      <w:pPr>
        <w:jc w:val="both"/>
        <w:rPr>
          <w:rFonts w:ascii="Calibri" w:hAnsi="Calibri" w:cs="Calibri"/>
          <w:sz w:val="22"/>
          <w:szCs w:val="22"/>
        </w:rPr>
      </w:pPr>
    </w:p>
    <w:p w:rsidR="009F78C5" w:rsidRPr="009F78C5" w:rsidRDefault="009F78C5" w:rsidP="009F78C5">
      <w:pPr>
        <w:jc w:val="both"/>
        <w:rPr>
          <w:rFonts w:ascii="Calibri" w:hAnsi="Calibri" w:cs="Calibri"/>
          <w:sz w:val="22"/>
          <w:szCs w:val="22"/>
        </w:rPr>
      </w:pPr>
      <w:r w:rsidRPr="009F78C5">
        <w:rPr>
          <w:rFonts w:ascii="Calibri" w:hAnsi="Calibri" w:cs="Calibri"/>
          <w:sz w:val="22"/>
          <w:szCs w:val="22"/>
        </w:rPr>
        <w:t xml:space="preserve">Dílčí inventarizační komise, jmenované předsedou HIK, </w:t>
      </w:r>
      <w:r w:rsidR="00EB5F83">
        <w:rPr>
          <w:rFonts w:ascii="Calibri" w:hAnsi="Calibri" w:cs="Calibri"/>
          <w:sz w:val="22"/>
          <w:szCs w:val="22"/>
        </w:rPr>
        <w:t xml:space="preserve">provedly ve dnech </w:t>
      </w:r>
      <w:r w:rsidRPr="009F78C5">
        <w:rPr>
          <w:rFonts w:ascii="Calibri" w:hAnsi="Calibri" w:cs="Calibri"/>
          <w:sz w:val="22"/>
          <w:szCs w:val="22"/>
        </w:rPr>
        <w:t>1.</w:t>
      </w:r>
      <w:r w:rsidR="00EB5F83">
        <w:rPr>
          <w:rFonts w:ascii="Calibri" w:hAnsi="Calibri" w:cs="Calibri"/>
          <w:sz w:val="22"/>
          <w:szCs w:val="22"/>
        </w:rPr>
        <w:t xml:space="preserve"> </w:t>
      </w:r>
      <w:r w:rsidRPr="009F78C5">
        <w:rPr>
          <w:rFonts w:ascii="Calibri" w:hAnsi="Calibri" w:cs="Calibri"/>
          <w:sz w:val="22"/>
          <w:szCs w:val="22"/>
        </w:rPr>
        <w:t>10.</w:t>
      </w:r>
      <w:r w:rsidR="00EB5F83">
        <w:rPr>
          <w:rFonts w:ascii="Calibri" w:hAnsi="Calibri" w:cs="Calibri"/>
          <w:sz w:val="22"/>
          <w:szCs w:val="22"/>
        </w:rPr>
        <w:t xml:space="preserve"> </w:t>
      </w:r>
      <w:r w:rsidRPr="009F78C5">
        <w:rPr>
          <w:rFonts w:ascii="Calibri" w:hAnsi="Calibri" w:cs="Calibri"/>
          <w:sz w:val="22"/>
          <w:szCs w:val="22"/>
        </w:rPr>
        <w:t>2022 – 31.</w:t>
      </w:r>
      <w:r w:rsidR="00EB5F83">
        <w:rPr>
          <w:rFonts w:ascii="Calibri" w:hAnsi="Calibri" w:cs="Calibri"/>
          <w:sz w:val="22"/>
          <w:szCs w:val="22"/>
        </w:rPr>
        <w:t xml:space="preserve"> </w:t>
      </w:r>
      <w:r w:rsidRPr="009F78C5">
        <w:rPr>
          <w:rFonts w:ascii="Calibri" w:hAnsi="Calibri" w:cs="Calibri"/>
          <w:sz w:val="22"/>
          <w:szCs w:val="22"/>
        </w:rPr>
        <w:t>12.</w:t>
      </w:r>
      <w:r w:rsidR="00EB5F83">
        <w:rPr>
          <w:rFonts w:ascii="Calibri" w:hAnsi="Calibri" w:cs="Calibri"/>
          <w:sz w:val="22"/>
          <w:szCs w:val="22"/>
        </w:rPr>
        <w:t xml:space="preserve"> </w:t>
      </w:r>
      <w:r w:rsidRPr="009F78C5">
        <w:rPr>
          <w:rFonts w:ascii="Calibri" w:hAnsi="Calibri" w:cs="Calibri"/>
          <w:sz w:val="22"/>
          <w:szCs w:val="22"/>
        </w:rPr>
        <w:t xml:space="preserve">2022 fyzickou inventuru všeho dlouhodobého nehmotného majetku (dále jen DNM), drobného dlouhodobého nehmotného majetku (DDNM), dlouhodobého hmotného majetku (DHM), drobného dlouhodobého hmotného majetku (DDHM), ostatního evidovaného majetku (OEM) k rozhodnému dni </w:t>
      </w:r>
      <w:r w:rsidRPr="009F78C5">
        <w:rPr>
          <w:rFonts w:ascii="Calibri" w:hAnsi="Calibri" w:cs="Calibri"/>
          <w:sz w:val="22"/>
          <w:szCs w:val="22"/>
        </w:rPr>
        <w:br/>
        <w:t>(30.</w:t>
      </w:r>
      <w:r w:rsidR="00EB5F83">
        <w:rPr>
          <w:rFonts w:ascii="Calibri" w:hAnsi="Calibri" w:cs="Calibri"/>
          <w:sz w:val="22"/>
          <w:szCs w:val="22"/>
        </w:rPr>
        <w:t xml:space="preserve"> </w:t>
      </w:r>
      <w:r w:rsidRPr="009F78C5">
        <w:rPr>
          <w:rFonts w:ascii="Calibri" w:hAnsi="Calibri" w:cs="Calibri"/>
          <w:sz w:val="22"/>
          <w:szCs w:val="22"/>
        </w:rPr>
        <w:t>9.</w:t>
      </w:r>
      <w:r w:rsidR="00EB5F83">
        <w:rPr>
          <w:rFonts w:ascii="Calibri" w:hAnsi="Calibri" w:cs="Calibri"/>
          <w:sz w:val="22"/>
          <w:szCs w:val="22"/>
        </w:rPr>
        <w:t xml:space="preserve"> </w:t>
      </w:r>
      <w:r w:rsidRPr="009F78C5">
        <w:rPr>
          <w:rFonts w:ascii="Calibri" w:hAnsi="Calibri" w:cs="Calibri"/>
          <w:sz w:val="22"/>
          <w:szCs w:val="22"/>
        </w:rPr>
        <w:t xml:space="preserve">2022). Rozdílová inventura tohoto majetku byla provedena dokladově k rozvahovému dni </w:t>
      </w:r>
      <w:r w:rsidRPr="009F78C5">
        <w:rPr>
          <w:rFonts w:ascii="Calibri" w:hAnsi="Calibri" w:cs="Calibri"/>
          <w:sz w:val="22"/>
          <w:szCs w:val="22"/>
        </w:rPr>
        <w:br/>
        <w:t>(31.</w:t>
      </w:r>
      <w:r w:rsidR="00EB5F83">
        <w:rPr>
          <w:rFonts w:ascii="Calibri" w:hAnsi="Calibri" w:cs="Calibri"/>
          <w:sz w:val="22"/>
          <w:szCs w:val="22"/>
        </w:rPr>
        <w:t xml:space="preserve"> </w:t>
      </w:r>
      <w:r w:rsidRPr="009F78C5">
        <w:rPr>
          <w:rFonts w:ascii="Calibri" w:hAnsi="Calibri" w:cs="Calibri"/>
          <w:sz w:val="22"/>
          <w:szCs w:val="22"/>
        </w:rPr>
        <w:t>12.</w:t>
      </w:r>
      <w:r w:rsidR="00EB5F83">
        <w:rPr>
          <w:rFonts w:ascii="Calibri" w:hAnsi="Calibri" w:cs="Calibri"/>
          <w:sz w:val="22"/>
          <w:szCs w:val="22"/>
        </w:rPr>
        <w:t xml:space="preserve"> </w:t>
      </w:r>
      <w:r w:rsidRPr="009F78C5">
        <w:rPr>
          <w:rFonts w:ascii="Calibri" w:hAnsi="Calibri" w:cs="Calibri"/>
          <w:sz w:val="22"/>
          <w:szCs w:val="22"/>
        </w:rPr>
        <w:t>2022). Dokladová inventura ostatních majetkových účtů, pohledávek a závazků byla provedena k rozvahovému dni (31.</w:t>
      </w:r>
      <w:r w:rsidR="00EB5F83">
        <w:rPr>
          <w:rFonts w:ascii="Calibri" w:hAnsi="Calibri" w:cs="Calibri"/>
          <w:sz w:val="22"/>
          <w:szCs w:val="22"/>
        </w:rPr>
        <w:t xml:space="preserve"> </w:t>
      </w:r>
      <w:r w:rsidRPr="009F78C5">
        <w:rPr>
          <w:rFonts w:ascii="Calibri" w:hAnsi="Calibri" w:cs="Calibri"/>
          <w:sz w:val="22"/>
          <w:szCs w:val="22"/>
        </w:rPr>
        <w:t>12.</w:t>
      </w:r>
      <w:r w:rsidR="00EB5F83">
        <w:rPr>
          <w:rFonts w:ascii="Calibri" w:hAnsi="Calibri" w:cs="Calibri"/>
          <w:sz w:val="22"/>
          <w:szCs w:val="22"/>
        </w:rPr>
        <w:t xml:space="preserve"> </w:t>
      </w:r>
      <w:r w:rsidRPr="009F78C5">
        <w:rPr>
          <w:rFonts w:ascii="Calibri" w:hAnsi="Calibri" w:cs="Calibri"/>
          <w:sz w:val="22"/>
          <w:szCs w:val="22"/>
        </w:rPr>
        <w:t>2022).</w:t>
      </w:r>
    </w:p>
    <w:p w:rsidR="000A16C0" w:rsidRPr="00B113F3" w:rsidRDefault="000A16C0" w:rsidP="000A16C0">
      <w:pPr>
        <w:jc w:val="both"/>
        <w:rPr>
          <w:rFonts w:ascii="Calibri" w:hAnsi="Calibri" w:cs="Calibri"/>
          <w:sz w:val="22"/>
          <w:szCs w:val="22"/>
        </w:rPr>
      </w:pPr>
    </w:p>
    <w:p w:rsidR="00EB5F83" w:rsidRPr="00EB5F83" w:rsidRDefault="00EB5F83" w:rsidP="00EB5F83">
      <w:pPr>
        <w:widowControl w:val="0"/>
        <w:autoSpaceDE w:val="0"/>
        <w:autoSpaceDN w:val="0"/>
        <w:adjustRightInd w:val="0"/>
        <w:jc w:val="both"/>
        <w:rPr>
          <w:rFonts w:ascii="Calibri" w:hAnsi="Calibri" w:cs="Calibri"/>
          <w:sz w:val="22"/>
          <w:szCs w:val="22"/>
        </w:rPr>
      </w:pPr>
      <w:r w:rsidRPr="00EB5F83">
        <w:rPr>
          <w:rFonts w:ascii="Calibri" w:hAnsi="Calibri" w:cs="Calibri"/>
          <w:sz w:val="22"/>
          <w:szCs w:val="22"/>
        </w:rPr>
        <w:t>Za správnost provedení inventarizace majetku a závazků v rámci střediska odpovídal vedoucí odboru</w:t>
      </w:r>
      <w:r>
        <w:rPr>
          <w:rFonts w:ascii="Calibri" w:hAnsi="Calibri" w:cs="Calibri"/>
          <w:sz w:val="22"/>
          <w:szCs w:val="22"/>
        </w:rPr>
        <w:t xml:space="preserve"> a </w:t>
      </w:r>
      <w:r w:rsidRPr="00EB5F83">
        <w:rPr>
          <w:rFonts w:ascii="Calibri" w:hAnsi="Calibri" w:cs="Calibri"/>
          <w:sz w:val="22"/>
          <w:szCs w:val="22"/>
        </w:rPr>
        <w:t>vedoucí oddělení příslušného střediska, který rovněž zajistil vypracování</w:t>
      </w:r>
      <w:r>
        <w:rPr>
          <w:rFonts w:ascii="Calibri" w:hAnsi="Calibri" w:cs="Calibri"/>
          <w:sz w:val="22"/>
          <w:szCs w:val="22"/>
        </w:rPr>
        <w:t xml:space="preserve"> dílčí inventarizační zprávy za </w:t>
      </w:r>
      <w:r w:rsidRPr="00EB5F83">
        <w:rPr>
          <w:rFonts w:ascii="Calibri" w:hAnsi="Calibri" w:cs="Calibri"/>
          <w:sz w:val="22"/>
          <w:szCs w:val="22"/>
        </w:rPr>
        <w:t>středisko.</w:t>
      </w:r>
    </w:p>
    <w:p w:rsidR="00B113F3" w:rsidRDefault="00B113F3" w:rsidP="00AC58CC">
      <w:pPr>
        <w:spacing w:after="120"/>
        <w:jc w:val="both"/>
        <w:rPr>
          <w:rFonts w:ascii="Calibri" w:hAnsi="Calibri" w:cs="Calibri"/>
          <w:sz w:val="22"/>
          <w:szCs w:val="22"/>
        </w:rPr>
      </w:pPr>
    </w:p>
    <w:p w:rsidR="00EB5F83" w:rsidRPr="00EB5F83" w:rsidRDefault="00EB5F83" w:rsidP="00EB5F83">
      <w:pPr>
        <w:widowControl w:val="0"/>
        <w:autoSpaceDE w:val="0"/>
        <w:autoSpaceDN w:val="0"/>
        <w:adjustRightInd w:val="0"/>
        <w:jc w:val="both"/>
        <w:rPr>
          <w:rFonts w:asciiTheme="minorHAnsi" w:hAnsiTheme="minorHAnsi" w:cstheme="minorHAnsi"/>
          <w:color w:val="000000"/>
          <w:sz w:val="22"/>
          <w:szCs w:val="22"/>
        </w:rPr>
      </w:pPr>
      <w:r w:rsidRPr="00EB5F83">
        <w:rPr>
          <w:rFonts w:asciiTheme="minorHAnsi" w:hAnsiTheme="minorHAnsi" w:cstheme="minorHAnsi"/>
          <w:color w:val="000000"/>
          <w:sz w:val="22"/>
          <w:szCs w:val="22"/>
        </w:rPr>
        <w:t>Pro potřeby inventarizace majetku a závazků města Prostějova byla stanovena tato střediska:</w:t>
      </w:r>
    </w:p>
    <w:p w:rsidR="00EB5F83" w:rsidRPr="00EB5F83" w:rsidRDefault="00EB5F83" w:rsidP="00EB5F83">
      <w:pPr>
        <w:widowControl w:val="0"/>
        <w:numPr>
          <w:ilvl w:val="0"/>
          <w:numId w:val="48"/>
        </w:numPr>
        <w:autoSpaceDE w:val="0"/>
        <w:autoSpaceDN w:val="0"/>
        <w:adjustRightInd w:val="0"/>
        <w:jc w:val="both"/>
        <w:rPr>
          <w:rFonts w:asciiTheme="minorHAnsi" w:hAnsiTheme="minorHAnsi" w:cstheme="minorHAnsi"/>
          <w:color w:val="000000"/>
          <w:sz w:val="22"/>
          <w:szCs w:val="22"/>
        </w:rPr>
      </w:pPr>
      <w:r w:rsidRPr="00EB5F83">
        <w:rPr>
          <w:rFonts w:asciiTheme="minorHAnsi" w:hAnsiTheme="minorHAnsi" w:cstheme="minorHAnsi"/>
          <w:color w:val="000000"/>
          <w:sz w:val="22"/>
          <w:szCs w:val="22"/>
        </w:rPr>
        <w:t xml:space="preserve">Odbor vnitřní správy MMPv, tj. středisko </w:t>
      </w:r>
      <w:r w:rsidRPr="00EB5F83">
        <w:rPr>
          <w:rFonts w:asciiTheme="minorHAnsi" w:hAnsiTheme="minorHAnsi" w:cstheme="minorHAnsi"/>
          <w:b/>
          <w:color w:val="000000"/>
          <w:sz w:val="22"/>
          <w:szCs w:val="22"/>
        </w:rPr>
        <w:t>211</w:t>
      </w:r>
      <w:r w:rsidRPr="00EB5F83">
        <w:rPr>
          <w:rFonts w:asciiTheme="minorHAnsi" w:hAnsiTheme="minorHAnsi" w:cstheme="minorHAnsi"/>
          <w:color w:val="000000"/>
          <w:sz w:val="22"/>
          <w:szCs w:val="22"/>
        </w:rPr>
        <w:t>,</w:t>
      </w:r>
    </w:p>
    <w:p w:rsidR="00EB5F83" w:rsidRPr="00EB5F83" w:rsidRDefault="00EB5F83" w:rsidP="00EB5F83">
      <w:pPr>
        <w:widowControl w:val="0"/>
        <w:numPr>
          <w:ilvl w:val="0"/>
          <w:numId w:val="48"/>
        </w:numPr>
        <w:autoSpaceDE w:val="0"/>
        <w:autoSpaceDN w:val="0"/>
        <w:adjustRightInd w:val="0"/>
        <w:jc w:val="both"/>
        <w:rPr>
          <w:rFonts w:asciiTheme="minorHAnsi" w:hAnsiTheme="minorHAnsi" w:cstheme="minorHAnsi"/>
          <w:color w:val="000000"/>
          <w:sz w:val="22"/>
          <w:szCs w:val="22"/>
        </w:rPr>
      </w:pPr>
      <w:r w:rsidRPr="00EB5F83">
        <w:rPr>
          <w:rFonts w:asciiTheme="minorHAnsi" w:hAnsiTheme="minorHAnsi" w:cstheme="minorHAnsi"/>
          <w:color w:val="000000"/>
          <w:sz w:val="22"/>
          <w:szCs w:val="22"/>
        </w:rPr>
        <w:t xml:space="preserve">Odbor informačních technologií MMPv, tj. středisko </w:t>
      </w:r>
      <w:r w:rsidRPr="00EB5F83">
        <w:rPr>
          <w:rFonts w:asciiTheme="minorHAnsi" w:hAnsiTheme="minorHAnsi" w:cstheme="minorHAnsi"/>
          <w:b/>
          <w:color w:val="000000"/>
          <w:sz w:val="22"/>
          <w:szCs w:val="22"/>
        </w:rPr>
        <w:t>215</w:t>
      </w:r>
      <w:r w:rsidRPr="00EB5F83">
        <w:rPr>
          <w:rFonts w:asciiTheme="minorHAnsi" w:hAnsiTheme="minorHAnsi" w:cstheme="minorHAnsi"/>
          <w:color w:val="000000"/>
          <w:sz w:val="22"/>
          <w:szCs w:val="22"/>
        </w:rPr>
        <w:t>,</w:t>
      </w:r>
    </w:p>
    <w:p w:rsidR="00EB5F83" w:rsidRPr="00EB5F83" w:rsidRDefault="00EB5F83" w:rsidP="00EB5F83">
      <w:pPr>
        <w:widowControl w:val="0"/>
        <w:numPr>
          <w:ilvl w:val="0"/>
          <w:numId w:val="48"/>
        </w:numPr>
        <w:autoSpaceDE w:val="0"/>
        <w:autoSpaceDN w:val="0"/>
        <w:adjustRightInd w:val="0"/>
        <w:jc w:val="both"/>
        <w:rPr>
          <w:rFonts w:asciiTheme="minorHAnsi" w:hAnsiTheme="minorHAnsi" w:cstheme="minorHAnsi"/>
          <w:color w:val="000000"/>
          <w:sz w:val="22"/>
          <w:szCs w:val="22"/>
        </w:rPr>
      </w:pPr>
      <w:r w:rsidRPr="00EB5F83">
        <w:rPr>
          <w:rFonts w:asciiTheme="minorHAnsi" w:hAnsiTheme="minorHAnsi" w:cstheme="minorHAnsi"/>
          <w:color w:val="000000"/>
          <w:sz w:val="22"/>
          <w:szCs w:val="22"/>
        </w:rPr>
        <w:t xml:space="preserve">Odbor správy a údržby majetku města MMPv, tj. středisko </w:t>
      </w:r>
      <w:r w:rsidRPr="00EB5F83">
        <w:rPr>
          <w:rFonts w:asciiTheme="minorHAnsi" w:hAnsiTheme="minorHAnsi" w:cstheme="minorHAnsi"/>
          <w:b/>
          <w:color w:val="000000"/>
          <w:sz w:val="22"/>
          <w:szCs w:val="22"/>
        </w:rPr>
        <w:t>250</w:t>
      </w:r>
      <w:r w:rsidRPr="00EB5F83">
        <w:rPr>
          <w:rFonts w:asciiTheme="minorHAnsi" w:hAnsiTheme="minorHAnsi" w:cstheme="minorHAnsi"/>
          <w:color w:val="000000"/>
          <w:sz w:val="22"/>
          <w:szCs w:val="22"/>
        </w:rPr>
        <w:t>,</w:t>
      </w:r>
    </w:p>
    <w:p w:rsidR="00EB5F83" w:rsidRPr="00EB5F83" w:rsidRDefault="00EB5F83" w:rsidP="00EB5F83">
      <w:pPr>
        <w:widowControl w:val="0"/>
        <w:numPr>
          <w:ilvl w:val="0"/>
          <w:numId w:val="48"/>
        </w:numPr>
        <w:autoSpaceDE w:val="0"/>
        <w:autoSpaceDN w:val="0"/>
        <w:adjustRightInd w:val="0"/>
        <w:jc w:val="both"/>
        <w:rPr>
          <w:rFonts w:asciiTheme="minorHAnsi" w:hAnsiTheme="minorHAnsi" w:cstheme="minorHAnsi"/>
          <w:color w:val="000000"/>
          <w:sz w:val="22"/>
          <w:szCs w:val="22"/>
        </w:rPr>
      </w:pPr>
      <w:r w:rsidRPr="00EB5F83">
        <w:rPr>
          <w:rFonts w:asciiTheme="minorHAnsi" w:hAnsiTheme="minorHAnsi" w:cstheme="minorHAnsi"/>
          <w:color w:val="000000"/>
          <w:sz w:val="22"/>
          <w:szCs w:val="22"/>
        </w:rPr>
        <w:t xml:space="preserve">Městská policie Prostějov, tj. středisko </w:t>
      </w:r>
      <w:r w:rsidRPr="00EB5F83">
        <w:rPr>
          <w:rFonts w:asciiTheme="minorHAnsi" w:hAnsiTheme="minorHAnsi" w:cstheme="minorHAnsi"/>
          <w:b/>
          <w:color w:val="000000"/>
          <w:sz w:val="22"/>
          <w:szCs w:val="22"/>
        </w:rPr>
        <w:t>213</w:t>
      </w:r>
      <w:r w:rsidRPr="00EB5F83">
        <w:rPr>
          <w:rFonts w:asciiTheme="minorHAnsi" w:hAnsiTheme="minorHAnsi" w:cstheme="minorHAnsi"/>
          <w:color w:val="000000"/>
          <w:sz w:val="22"/>
          <w:szCs w:val="22"/>
        </w:rPr>
        <w:t xml:space="preserve">, </w:t>
      </w:r>
    </w:p>
    <w:p w:rsidR="00EB5F83" w:rsidRPr="00EB5F83" w:rsidRDefault="00EB5F83" w:rsidP="00EB5F83">
      <w:pPr>
        <w:widowControl w:val="0"/>
        <w:numPr>
          <w:ilvl w:val="0"/>
          <w:numId w:val="48"/>
        </w:numPr>
        <w:autoSpaceDE w:val="0"/>
        <w:autoSpaceDN w:val="0"/>
        <w:adjustRightInd w:val="0"/>
        <w:jc w:val="both"/>
        <w:rPr>
          <w:rFonts w:asciiTheme="minorHAnsi" w:hAnsiTheme="minorHAnsi" w:cstheme="minorHAnsi"/>
          <w:color w:val="000000"/>
          <w:sz w:val="22"/>
          <w:szCs w:val="22"/>
        </w:rPr>
      </w:pPr>
      <w:r w:rsidRPr="00EB5F83">
        <w:rPr>
          <w:rFonts w:asciiTheme="minorHAnsi" w:hAnsiTheme="minorHAnsi" w:cstheme="minorHAnsi"/>
          <w:color w:val="000000"/>
          <w:sz w:val="22"/>
          <w:szCs w:val="22"/>
        </w:rPr>
        <w:t xml:space="preserve">Finanční odbor MMPv, tj. středisko </w:t>
      </w:r>
      <w:r w:rsidRPr="00EB5F83">
        <w:rPr>
          <w:rFonts w:asciiTheme="minorHAnsi" w:hAnsiTheme="minorHAnsi" w:cstheme="minorHAnsi"/>
          <w:b/>
          <w:color w:val="000000"/>
          <w:sz w:val="22"/>
          <w:szCs w:val="22"/>
        </w:rPr>
        <w:t>270</w:t>
      </w:r>
      <w:r w:rsidRPr="00EB5F83">
        <w:rPr>
          <w:rFonts w:asciiTheme="minorHAnsi" w:hAnsiTheme="minorHAnsi" w:cstheme="minorHAnsi"/>
          <w:color w:val="000000"/>
          <w:sz w:val="22"/>
          <w:szCs w:val="22"/>
        </w:rPr>
        <w:t>,</w:t>
      </w:r>
    </w:p>
    <w:p w:rsidR="00EB5F83" w:rsidRPr="00EB5F83" w:rsidRDefault="00EB5F83" w:rsidP="00EB5F83">
      <w:pPr>
        <w:widowControl w:val="0"/>
        <w:numPr>
          <w:ilvl w:val="0"/>
          <w:numId w:val="48"/>
        </w:numPr>
        <w:autoSpaceDE w:val="0"/>
        <w:autoSpaceDN w:val="0"/>
        <w:adjustRightInd w:val="0"/>
        <w:jc w:val="both"/>
        <w:rPr>
          <w:rFonts w:asciiTheme="minorHAnsi" w:hAnsiTheme="minorHAnsi" w:cstheme="minorHAnsi"/>
          <w:b/>
          <w:color w:val="000000"/>
          <w:sz w:val="22"/>
          <w:szCs w:val="22"/>
        </w:rPr>
      </w:pPr>
      <w:r w:rsidRPr="00EB5F83">
        <w:rPr>
          <w:rFonts w:asciiTheme="minorHAnsi" w:hAnsiTheme="minorHAnsi" w:cstheme="minorHAnsi"/>
          <w:color w:val="000000"/>
          <w:sz w:val="22"/>
          <w:szCs w:val="22"/>
        </w:rPr>
        <w:t xml:space="preserve">Oddělení krizového řízení, tj. středisko </w:t>
      </w:r>
      <w:r w:rsidRPr="00EB5F83">
        <w:rPr>
          <w:rFonts w:asciiTheme="minorHAnsi" w:hAnsiTheme="minorHAnsi" w:cstheme="minorHAnsi"/>
          <w:b/>
          <w:color w:val="000000"/>
          <w:sz w:val="22"/>
          <w:szCs w:val="22"/>
        </w:rPr>
        <w:t>212.</w:t>
      </w:r>
    </w:p>
    <w:p w:rsidR="00EB5F83" w:rsidRPr="00EB5F83" w:rsidRDefault="00EB5F83" w:rsidP="00AC58CC">
      <w:pPr>
        <w:spacing w:after="120"/>
        <w:jc w:val="both"/>
        <w:rPr>
          <w:rFonts w:asciiTheme="minorHAnsi" w:hAnsiTheme="minorHAnsi" w:cstheme="minorHAnsi"/>
          <w:b/>
          <w:sz w:val="22"/>
          <w:szCs w:val="22"/>
        </w:rPr>
      </w:pPr>
    </w:p>
    <w:p w:rsidR="00AC58CC" w:rsidRPr="00B113F3" w:rsidRDefault="00AC58CC" w:rsidP="00AC58CC">
      <w:pPr>
        <w:spacing w:after="120"/>
        <w:jc w:val="both"/>
        <w:rPr>
          <w:rFonts w:ascii="Calibri" w:hAnsi="Calibri"/>
          <w:b/>
          <w:sz w:val="22"/>
          <w:szCs w:val="22"/>
        </w:rPr>
      </w:pPr>
      <w:r w:rsidRPr="00B113F3">
        <w:rPr>
          <w:rFonts w:ascii="Calibri" w:hAnsi="Calibri"/>
          <w:b/>
          <w:sz w:val="22"/>
          <w:szCs w:val="22"/>
        </w:rPr>
        <w:t>Informace o inventarizačních rozdílech a zúčtovatelných rozdílech</w:t>
      </w:r>
    </w:p>
    <w:p w:rsidR="00EB5F83" w:rsidRPr="00EB5F83" w:rsidRDefault="00EB5F83" w:rsidP="00EB5F83">
      <w:pPr>
        <w:numPr>
          <w:ilvl w:val="0"/>
          <w:numId w:val="34"/>
        </w:numPr>
        <w:ind w:left="284" w:hanging="284"/>
        <w:rPr>
          <w:rFonts w:asciiTheme="minorHAnsi" w:hAnsiTheme="minorHAnsi" w:cstheme="minorHAnsi"/>
          <w:sz w:val="22"/>
          <w:szCs w:val="22"/>
        </w:rPr>
      </w:pPr>
      <w:r w:rsidRPr="00EB5F83">
        <w:rPr>
          <w:rFonts w:asciiTheme="minorHAnsi" w:hAnsiTheme="minorHAnsi" w:cstheme="minorHAnsi"/>
          <w:sz w:val="22"/>
          <w:szCs w:val="22"/>
        </w:rPr>
        <w:t>Řešení schodků a mank – nebylo nutné, neřešeno.</w:t>
      </w:r>
    </w:p>
    <w:p w:rsidR="00EB5F83" w:rsidRPr="00EB5F83" w:rsidRDefault="00EB5F83" w:rsidP="00EB5F83">
      <w:pPr>
        <w:numPr>
          <w:ilvl w:val="0"/>
          <w:numId w:val="34"/>
        </w:numPr>
        <w:ind w:left="284" w:hanging="284"/>
        <w:rPr>
          <w:rFonts w:asciiTheme="minorHAnsi" w:hAnsiTheme="minorHAnsi" w:cstheme="minorHAnsi"/>
          <w:sz w:val="22"/>
          <w:szCs w:val="22"/>
        </w:rPr>
      </w:pPr>
      <w:r w:rsidRPr="00EB5F83">
        <w:rPr>
          <w:rFonts w:asciiTheme="minorHAnsi" w:hAnsiTheme="minorHAnsi" w:cstheme="minorHAnsi"/>
          <w:sz w:val="22"/>
          <w:szCs w:val="22"/>
        </w:rPr>
        <w:t>Řešení inventarizačních přebytků a jejich ocenění – nebylo nutné, neřešeno.</w:t>
      </w:r>
    </w:p>
    <w:p w:rsidR="00EB5F83" w:rsidRPr="00EB5F83" w:rsidRDefault="00EB5F83" w:rsidP="00EB5F83">
      <w:pPr>
        <w:numPr>
          <w:ilvl w:val="0"/>
          <w:numId w:val="34"/>
        </w:numPr>
        <w:ind w:left="284" w:hanging="284"/>
        <w:rPr>
          <w:rFonts w:asciiTheme="minorHAnsi" w:hAnsiTheme="minorHAnsi" w:cstheme="minorHAnsi"/>
          <w:sz w:val="22"/>
          <w:szCs w:val="22"/>
        </w:rPr>
      </w:pPr>
      <w:r w:rsidRPr="00EB5F83">
        <w:rPr>
          <w:rFonts w:asciiTheme="minorHAnsi" w:hAnsiTheme="minorHAnsi" w:cstheme="minorHAnsi"/>
          <w:sz w:val="22"/>
          <w:szCs w:val="22"/>
        </w:rPr>
        <w:t>Změny odpisových plánů – nebylo nutné, neřešeno.</w:t>
      </w:r>
    </w:p>
    <w:p w:rsidR="00EB5F83" w:rsidRPr="00EB5F83" w:rsidRDefault="00EB5F83" w:rsidP="00EB5F83">
      <w:pPr>
        <w:numPr>
          <w:ilvl w:val="0"/>
          <w:numId w:val="34"/>
        </w:numPr>
        <w:ind w:left="284" w:hanging="284"/>
        <w:rPr>
          <w:rFonts w:asciiTheme="minorHAnsi" w:hAnsiTheme="minorHAnsi" w:cstheme="minorHAnsi"/>
          <w:sz w:val="22"/>
          <w:szCs w:val="22"/>
        </w:rPr>
      </w:pPr>
      <w:r w:rsidRPr="00EB5F83">
        <w:rPr>
          <w:rFonts w:asciiTheme="minorHAnsi" w:hAnsiTheme="minorHAnsi" w:cstheme="minorHAnsi"/>
          <w:sz w:val="22"/>
          <w:szCs w:val="22"/>
        </w:rPr>
        <w:t>Řešení návrhů na opravné položky majetku – nebylo nutné, neřešeno.</w:t>
      </w:r>
    </w:p>
    <w:p w:rsidR="00EB5F83" w:rsidRPr="00EB5F83" w:rsidRDefault="00EB5F83" w:rsidP="00EB5F83">
      <w:pPr>
        <w:numPr>
          <w:ilvl w:val="0"/>
          <w:numId w:val="34"/>
        </w:numPr>
        <w:ind w:left="284" w:hanging="284"/>
        <w:rPr>
          <w:rFonts w:asciiTheme="minorHAnsi" w:hAnsiTheme="minorHAnsi" w:cstheme="minorHAnsi"/>
          <w:sz w:val="22"/>
          <w:szCs w:val="22"/>
        </w:rPr>
      </w:pPr>
      <w:r w:rsidRPr="00EB5F83">
        <w:rPr>
          <w:rFonts w:asciiTheme="minorHAnsi" w:hAnsiTheme="minorHAnsi" w:cstheme="minorHAnsi"/>
          <w:sz w:val="22"/>
          <w:szCs w:val="22"/>
        </w:rPr>
        <w:t>Schválení odpisů pohledávek a závazků – nebylo nutné, neřešeno.</w:t>
      </w:r>
    </w:p>
    <w:p w:rsidR="006B076E" w:rsidRPr="00B113F3" w:rsidRDefault="006B076E" w:rsidP="006B076E">
      <w:pPr>
        <w:pStyle w:val="Odstavecseseznamem"/>
        <w:ind w:left="284"/>
        <w:rPr>
          <w:i/>
          <w:sz w:val="22"/>
          <w:szCs w:val="22"/>
        </w:rPr>
      </w:pPr>
    </w:p>
    <w:p w:rsidR="00AC58CC" w:rsidRPr="00B113F3" w:rsidRDefault="00AC58CC" w:rsidP="00AC58CC">
      <w:pPr>
        <w:spacing w:after="120"/>
        <w:jc w:val="both"/>
        <w:rPr>
          <w:rFonts w:ascii="Calibri" w:hAnsi="Calibri"/>
          <w:b/>
          <w:sz w:val="22"/>
          <w:szCs w:val="22"/>
        </w:rPr>
      </w:pPr>
      <w:r w:rsidRPr="00B113F3">
        <w:rPr>
          <w:rFonts w:ascii="Calibri" w:hAnsi="Calibri"/>
          <w:b/>
          <w:sz w:val="22"/>
          <w:szCs w:val="22"/>
        </w:rPr>
        <w:t>Přijatá opatření ke zlepšení průběhu inventur, k informačním tokům</w:t>
      </w:r>
    </w:p>
    <w:p w:rsidR="00EB5F83" w:rsidRPr="00EB5F83" w:rsidRDefault="00EB5F83" w:rsidP="00EB5F83">
      <w:pPr>
        <w:jc w:val="both"/>
        <w:rPr>
          <w:rFonts w:asciiTheme="minorHAnsi" w:hAnsiTheme="minorHAnsi" w:cstheme="minorHAnsi"/>
          <w:sz w:val="22"/>
          <w:szCs w:val="22"/>
        </w:rPr>
      </w:pPr>
      <w:r w:rsidRPr="00EB5F83">
        <w:rPr>
          <w:rFonts w:asciiTheme="minorHAnsi" w:hAnsiTheme="minorHAnsi" w:cstheme="minorHAnsi"/>
          <w:sz w:val="22"/>
          <w:szCs w:val="22"/>
        </w:rPr>
        <w:t xml:space="preserve">Opatření nebyla přijata. Inventarizace proběhla řádně, podklady byly náležitě připraveny a byl ověřen jejich soulad se skutečností. U fyzických inventur byly vždy přítomny osoby odpovědné za majetek, </w:t>
      </w:r>
      <w:r w:rsidRPr="00EB5F83">
        <w:rPr>
          <w:rFonts w:asciiTheme="minorHAnsi" w:hAnsiTheme="minorHAnsi" w:cstheme="minorHAnsi"/>
          <w:sz w:val="22"/>
          <w:szCs w:val="22"/>
        </w:rPr>
        <w:br/>
        <w:t xml:space="preserve">v případě dlouhodobé nepřítomnosti zaměstnance jeho nadřízený. </w:t>
      </w:r>
    </w:p>
    <w:p w:rsidR="00EB5F83" w:rsidRPr="00EB5F83" w:rsidRDefault="00EB5F83" w:rsidP="00EB5F83">
      <w:pPr>
        <w:jc w:val="both"/>
        <w:rPr>
          <w:rFonts w:asciiTheme="minorHAnsi" w:hAnsiTheme="minorHAnsi" w:cstheme="minorHAnsi"/>
          <w:sz w:val="22"/>
          <w:szCs w:val="22"/>
        </w:rPr>
      </w:pPr>
      <w:r w:rsidRPr="00EB5F83">
        <w:rPr>
          <w:rFonts w:asciiTheme="minorHAnsi" w:hAnsiTheme="minorHAnsi" w:cstheme="minorHAnsi"/>
          <w:sz w:val="22"/>
          <w:szCs w:val="22"/>
        </w:rPr>
        <w:t>Dle plánu inventur byl zjištěn skutečný stav majetku a závazků a ostatních i</w:t>
      </w:r>
      <w:r>
        <w:rPr>
          <w:rFonts w:asciiTheme="minorHAnsi" w:hAnsiTheme="minorHAnsi" w:cstheme="minorHAnsi"/>
          <w:sz w:val="22"/>
          <w:szCs w:val="22"/>
        </w:rPr>
        <w:t>nventarizačních položek pasiv a </w:t>
      </w:r>
      <w:r w:rsidRPr="00EB5F83">
        <w:rPr>
          <w:rFonts w:asciiTheme="minorHAnsi" w:hAnsiTheme="minorHAnsi" w:cstheme="minorHAnsi"/>
          <w:sz w:val="22"/>
          <w:szCs w:val="22"/>
        </w:rPr>
        <w:t xml:space="preserve">podrozvahy, který je zaznamenán v inventurních soupisech. </w:t>
      </w:r>
    </w:p>
    <w:p w:rsidR="00185848" w:rsidRPr="00EB5F83" w:rsidRDefault="00185848" w:rsidP="00185848">
      <w:pPr>
        <w:jc w:val="both"/>
        <w:rPr>
          <w:rFonts w:asciiTheme="minorHAnsi" w:hAnsiTheme="minorHAnsi" w:cstheme="minorHAnsi"/>
          <w:sz w:val="22"/>
          <w:szCs w:val="22"/>
        </w:rPr>
      </w:pPr>
    </w:p>
    <w:p w:rsidR="00185848" w:rsidRPr="00B113F3" w:rsidRDefault="00185848" w:rsidP="00185848">
      <w:pPr>
        <w:jc w:val="both"/>
        <w:rPr>
          <w:rFonts w:asciiTheme="minorHAnsi" w:hAnsiTheme="minorHAnsi" w:cstheme="minorHAnsi"/>
          <w:sz w:val="22"/>
          <w:szCs w:val="22"/>
        </w:rPr>
      </w:pPr>
      <w:r w:rsidRPr="00B113F3">
        <w:rPr>
          <w:rFonts w:asciiTheme="minorHAnsi" w:hAnsiTheme="minorHAnsi" w:cstheme="minorHAnsi"/>
          <w:sz w:val="22"/>
          <w:szCs w:val="22"/>
        </w:rPr>
        <w:t>Kompletní materiály o provedení inventarizace k 31.</w:t>
      </w:r>
      <w:r w:rsidR="00EB5F83">
        <w:rPr>
          <w:rFonts w:asciiTheme="minorHAnsi" w:hAnsiTheme="minorHAnsi" w:cstheme="minorHAnsi"/>
          <w:sz w:val="22"/>
          <w:szCs w:val="22"/>
        </w:rPr>
        <w:t xml:space="preserve"> </w:t>
      </w:r>
      <w:r w:rsidRPr="00B113F3">
        <w:rPr>
          <w:rFonts w:asciiTheme="minorHAnsi" w:hAnsiTheme="minorHAnsi" w:cstheme="minorHAnsi"/>
          <w:sz w:val="22"/>
          <w:szCs w:val="22"/>
        </w:rPr>
        <w:t>12.</w:t>
      </w:r>
      <w:r w:rsidR="00EB5F83">
        <w:rPr>
          <w:rFonts w:asciiTheme="minorHAnsi" w:hAnsiTheme="minorHAnsi" w:cstheme="minorHAnsi"/>
          <w:sz w:val="22"/>
          <w:szCs w:val="22"/>
        </w:rPr>
        <w:t xml:space="preserve"> </w:t>
      </w:r>
      <w:r w:rsidRPr="00B113F3">
        <w:rPr>
          <w:rFonts w:asciiTheme="minorHAnsi" w:hAnsiTheme="minorHAnsi" w:cstheme="minorHAnsi"/>
          <w:sz w:val="22"/>
          <w:szCs w:val="22"/>
        </w:rPr>
        <w:t>202</w:t>
      </w:r>
      <w:r w:rsidR="00EB5F83">
        <w:rPr>
          <w:rFonts w:asciiTheme="minorHAnsi" w:hAnsiTheme="minorHAnsi" w:cstheme="minorHAnsi"/>
          <w:sz w:val="22"/>
          <w:szCs w:val="22"/>
        </w:rPr>
        <w:t>2</w:t>
      </w:r>
      <w:r w:rsidRPr="00B113F3">
        <w:rPr>
          <w:rFonts w:asciiTheme="minorHAnsi" w:hAnsiTheme="minorHAnsi" w:cstheme="minorHAnsi"/>
          <w:sz w:val="22"/>
          <w:szCs w:val="22"/>
        </w:rPr>
        <w:t xml:space="preserve"> (Závěrečná inventarizační zpráva z provedené inventarizace majetku a závazků za rok 202</w:t>
      </w:r>
      <w:r w:rsidR="00EB5F83">
        <w:rPr>
          <w:rFonts w:asciiTheme="minorHAnsi" w:hAnsiTheme="minorHAnsi" w:cstheme="minorHAnsi"/>
          <w:sz w:val="22"/>
          <w:szCs w:val="22"/>
        </w:rPr>
        <w:t>2</w:t>
      </w:r>
      <w:r w:rsidRPr="00B113F3">
        <w:rPr>
          <w:rFonts w:asciiTheme="minorHAnsi" w:hAnsiTheme="minorHAnsi" w:cstheme="minorHAnsi"/>
          <w:sz w:val="22"/>
          <w:szCs w:val="22"/>
        </w:rPr>
        <w:t>, Přílohy k závěrečné inventa</w:t>
      </w:r>
      <w:r w:rsidR="00B113F3">
        <w:rPr>
          <w:rFonts w:asciiTheme="minorHAnsi" w:hAnsiTheme="minorHAnsi" w:cstheme="minorHAnsi"/>
          <w:sz w:val="22"/>
          <w:szCs w:val="22"/>
        </w:rPr>
        <w:t>rizační zprávě) jsou uloženy na </w:t>
      </w:r>
      <w:r w:rsidRPr="00B113F3">
        <w:rPr>
          <w:rFonts w:asciiTheme="minorHAnsi" w:hAnsiTheme="minorHAnsi" w:cstheme="minorHAnsi"/>
          <w:sz w:val="22"/>
          <w:szCs w:val="22"/>
        </w:rPr>
        <w:t>Finančním odboru MMPv a jsou k dispozici k nahlédnutí orgánům města.</w:t>
      </w:r>
    </w:p>
    <w:p w:rsidR="00043971" w:rsidRDefault="00043971" w:rsidP="00185848">
      <w:pPr>
        <w:jc w:val="both"/>
        <w:rPr>
          <w:rFonts w:asciiTheme="minorHAnsi" w:hAnsiTheme="minorHAnsi" w:cstheme="minorHAnsi"/>
          <w:sz w:val="22"/>
          <w:szCs w:val="22"/>
        </w:rPr>
      </w:pPr>
    </w:p>
    <w:p w:rsidR="00EB5F83" w:rsidRDefault="00EB5F83" w:rsidP="00185848">
      <w:pPr>
        <w:jc w:val="both"/>
        <w:rPr>
          <w:rFonts w:asciiTheme="minorHAnsi" w:hAnsiTheme="minorHAnsi" w:cstheme="minorHAnsi"/>
          <w:sz w:val="22"/>
          <w:szCs w:val="22"/>
        </w:rPr>
      </w:pPr>
    </w:p>
    <w:p w:rsidR="00EB5F83" w:rsidRDefault="00EB5F83" w:rsidP="00185848">
      <w:pPr>
        <w:jc w:val="both"/>
        <w:rPr>
          <w:rFonts w:asciiTheme="minorHAnsi" w:hAnsiTheme="minorHAnsi" w:cstheme="minorHAnsi"/>
          <w:sz w:val="22"/>
          <w:szCs w:val="22"/>
        </w:rPr>
      </w:pPr>
    </w:p>
    <w:p w:rsidR="00EB5F83" w:rsidRPr="00B113F3" w:rsidRDefault="00EB5F83" w:rsidP="00185848">
      <w:pPr>
        <w:jc w:val="both"/>
        <w:rPr>
          <w:rFonts w:asciiTheme="minorHAnsi" w:hAnsiTheme="minorHAnsi" w:cstheme="minorHAnsi"/>
          <w:sz w:val="22"/>
          <w:szCs w:val="22"/>
        </w:rPr>
      </w:pPr>
    </w:p>
    <w:p w:rsidR="00043971" w:rsidRDefault="00043971" w:rsidP="00043971">
      <w:pPr>
        <w:keepNext/>
        <w:keepLines/>
        <w:spacing w:after="240"/>
        <w:jc w:val="both"/>
        <w:rPr>
          <w:rFonts w:ascii="Calibri" w:hAnsi="Calibri"/>
          <w:b/>
          <w:sz w:val="22"/>
          <w:szCs w:val="22"/>
        </w:rPr>
      </w:pPr>
      <w:r w:rsidRPr="00B113F3">
        <w:rPr>
          <w:rFonts w:ascii="Calibri" w:hAnsi="Calibri"/>
          <w:b/>
          <w:sz w:val="22"/>
          <w:szCs w:val="22"/>
          <w:u w:val="single"/>
        </w:rPr>
        <w:lastRenderedPageBreak/>
        <w:t>Souhrnná rekapitulace inventarizovaných účtů za statutární město Prostějov je uvedena v následujícím přehledu</w:t>
      </w:r>
      <w:r w:rsidRPr="00B113F3">
        <w:rPr>
          <w:rFonts w:ascii="Calibri" w:hAnsi="Calibri"/>
          <w:b/>
          <w:sz w:val="22"/>
          <w:szCs w:val="22"/>
        </w:rPr>
        <w:t>:</w:t>
      </w:r>
    </w:p>
    <w:tbl>
      <w:tblPr>
        <w:tblW w:w="9868" w:type="dxa"/>
        <w:tblInd w:w="-5" w:type="dxa"/>
        <w:tblCellMar>
          <w:left w:w="70" w:type="dxa"/>
          <w:right w:w="70" w:type="dxa"/>
        </w:tblCellMar>
        <w:tblLook w:val="04A0" w:firstRow="1" w:lastRow="0" w:firstColumn="1" w:lastColumn="0" w:noHBand="0" w:noVBand="1"/>
      </w:tblPr>
      <w:tblGrid>
        <w:gridCol w:w="687"/>
        <w:gridCol w:w="1088"/>
        <w:gridCol w:w="1202"/>
        <w:gridCol w:w="1276"/>
        <w:gridCol w:w="567"/>
        <w:gridCol w:w="1134"/>
        <w:gridCol w:w="992"/>
        <w:gridCol w:w="1192"/>
        <w:gridCol w:w="1218"/>
        <w:gridCol w:w="512"/>
      </w:tblGrid>
      <w:tr w:rsidR="00EB5F83" w:rsidRPr="00A30834" w:rsidTr="00A30834">
        <w:trPr>
          <w:trHeight w:val="210"/>
          <w:tblHeader/>
        </w:trPr>
        <w:tc>
          <w:tcPr>
            <w:tcW w:w="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Účet</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Název účtu</w:t>
            </w:r>
          </w:p>
        </w:tc>
        <w:tc>
          <w:tcPr>
            <w:tcW w:w="8093" w:type="dxa"/>
            <w:gridSpan w:val="8"/>
            <w:tcBorders>
              <w:top w:val="single" w:sz="4" w:space="0" w:color="auto"/>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V Kč</w:t>
            </w:r>
          </w:p>
        </w:tc>
      </w:tr>
      <w:tr w:rsidR="00EB5F83" w:rsidRPr="00A30834" w:rsidTr="00A30834">
        <w:trPr>
          <w:trHeight w:val="420"/>
          <w:tblHeader/>
        </w:trPr>
        <w:tc>
          <w:tcPr>
            <w:tcW w:w="687" w:type="dxa"/>
            <w:vMerge/>
            <w:tcBorders>
              <w:top w:val="single" w:sz="4" w:space="0" w:color="auto"/>
              <w:left w:val="single" w:sz="4" w:space="0" w:color="auto"/>
              <w:bottom w:val="single" w:sz="4" w:space="0" w:color="auto"/>
              <w:right w:val="single" w:sz="4" w:space="0" w:color="auto"/>
            </w:tcBorders>
            <w:vAlign w:val="center"/>
            <w:hideMark/>
          </w:tcPr>
          <w:p w:rsidR="00EB5F83" w:rsidRPr="00A30834" w:rsidRDefault="00EB5F83" w:rsidP="00EB5F83">
            <w:pPr>
              <w:rPr>
                <w:rFonts w:ascii="Calibri" w:hAnsi="Calibri" w:cs="Calibri"/>
                <w:b/>
                <w:bCs/>
                <w:color w:val="000000"/>
                <w:sz w:val="14"/>
                <w:szCs w:val="14"/>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EB5F83" w:rsidRPr="00A30834" w:rsidRDefault="00EB5F83" w:rsidP="00EB5F83">
            <w:pPr>
              <w:rPr>
                <w:rFonts w:ascii="Calibri" w:hAnsi="Calibri" w:cs="Calibri"/>
                <w:b/>
                <w:bCs/>
                <w:color w:val="000000"/>
                <w:sz w:val="14"/>
                <w:szCs w:val="14"/>
              </w:rPr>
            </w:pPr>
          </w:p>
        </w:tc>
        <w:tc>
          <w:tcPr>
            <w:tcW w:w="120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Stav fyzické inventury</w:t>
            </w:r>
          </w:p>
        </w:tc>
        <w:tc>
          <w:tcPr>
            <w:tcW w:w="1276"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Účetní stav</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Rozdíl</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Za období 01.10. – 31.12.2022</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 xml:space="preserve">  Stav dokladové inventury</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Účetní stav</w:t>
            </w:r>
          </w:p>
        </w:tc>
        <w:tc>
          <w:tcPr>
            <w:tcW w:w="512" w:type="dxa"/>
            <w:vMerge w:val="restart"/>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Rozdíl</w:t>
            </w:r>
          </w:p>
        </w:tc>
      </w:tr>
      <w:tr w:rsidR="00EB5F83" w:rsidRPr="00A30834" w:rsidTr="00EB5F83">
        <w:trPr>
          <w:trHeight w:val="240"/>
        </w:trPr>
        <w:tc>
          <w:tcPr>
            <w:tcW w:w="687" w:type="dxa"/>
            <w:vMerge/>
            <w:tcBorders>
              <w:top w:val="single" w:sz="4" w:space="0" w:color="auto"/>
              <w:left w:val="single" w:sz="4" w:space="0" w:color="auto"/>
              <w:bottom w:val="single" w:sz="4" w:space="0" w:color="auto"/>
              <w:right w:val="single" w:sz="4" w:space="0" w:color="auto"/>
            </w:tcBorders>
            <w:vAlign w:val="center"/>
            <w:hideMark/>
          </w:tcPr>
          <w:p w:rsidR="00EB5F83" w:rsidRPr="00A30834" w:rsidRDefault="00EB5F83" w:rsidP="00EB5F83">
            <w:pPr>
              <w:rPr>
                <w:rFonts w:ascii="Calibri" w:hAnsi="Calibri" w:cs="Calibri"/>
                <w:b/>
                <w:bCs/>
                <w:color w:val="000000"/>
                <w:sz w:val="14"/>
                <w:szCs w:val="14"/>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EB5F83" w:rsidRPr="00A30834" w:rsidRDefault="00EB5F83" w:rsidP="00EB5F83">
            <w:pPr>
              <w:rPr>
                <w:rFonts w:ascii="Calibri" w:hAnsi="Calibri" w:cs="Calibri"/>
                <w:b/>
                <w:bCs/>
                <w:color w:val="000000"/>
                <w:sz w:val="14"/>
                <w:szCs w:val="14"/>
              </w:rPr>
            </w:pPr>
          </w:p>
        </w:tc>
        <w:tc>
          <w:tcPr>
            <w:tcW w:w="120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k 30.09.2022</w:t>
            </w:r>
          </w:p>
        </w:tc>
        <w:tc>
          <w:tcPr>
            <w:tcW w:w="1276"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 xml:space="preserve">k 30.09.2022 </w:t>
            </w:r>
          </w:p>
        </w:tc>
        <w:tc>
          <w:tcPr>
            <w:tcW w:w="567" w:type="dxa"/>
            <w:vMerge/>
            <w:tcBorders>
              <w:top w:val="nil"/>
              <w:left w:val="single" w:sz="4" w:space="0" w:color="auto"/>
              <w:bottom w:val="single" w:sz="4" w:space="0" w:color="auto"/>
              <w:right w:val="single" w:sz="4" w:space="0" w:color="auto"/>
            </w:tcBorders>
            <w:vAlign w:val="center"/>
            <w:hideMark/>
          </w:tcPr>
          <w:p w:rsidR="00EB5F83" w:rsidRPr="00A30834" w:rsidRDefault="00EB5F83" w:rsidP="00EB5F83">
            <w:pPr>
              <w:rPr>
                <w:rFonts w:ascii="Calibri" w:hAnsi="Calibri" w:cs="Calibri"/>
                <w:b/>
                <w:bCs/>
                <w:color w:val="000000"/>
                <w:sz w:val="14"/>
                <w:szCs w:val="14"/>
              </w:rPr>
            </w:pPr>
          </w:p>
        </w:tc>
        <w:tc>
          <w:tcPr>
            <w:tcW w:w="1134"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 xml:space="preserve">Přírůstky </w:t>
            </w:r>
            <w:r w:rsidRPr="00A30834">
              <w:rPr>
                <w:rFonts w:ascii="Calibri" w:hAnsi="Calibri" w:cs="Calibri"/>
                <w:b/>
                <w:bCs/>
                <w:color w:val="000000"/>
                <w:kern w:val="2"/>
                <w:sz w:val="14"/>
                <w:szCs w:val="14"/>
                <w:vertAlign w:val="superscript"/>
                <w:lang w:eastAsia="ar-SA"/>
              </w:rPr>
              <w:t>1)</w:t>
            </w:r>
          </w:p>
        </w:tc>
        <w:tc>
          <w:tcPr>
            <w:tcW w:w="9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 xml:space="preserve">Úbytky </w:t>
            </w:r>
            <w:r w:rsidRPr="00A30834">
              <w:rPr>
                <w:rFonts w:ascii="Calibri" w:hAnsi="Calibri" w:cs="Calibri"/>
                <w:b/>
                <w:bCs/>
                <w:color w:val="000000"/>
                <w:kern w:val="2"/>
                <w:sz w:val="14"/>
                <w:szCs w:val="14"/>
                <w:vertAlign w:val="superscript"/>
                <w:lang w:eastAsia="ar-SA"/>
              </w:rPr>
              <w:t>2)</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k 31.12.2022</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sz w:val="14"/>
                <w:szCs w:val="14"/>
              </w:rPr>
              <w:t>k 31.12.2022</w:t>
            </w:r>
          </w:p>
        </w:tc>
        <w:tc>
          <w:tcPr>
            <w:tcW w:w="512" w:type="dxa"/>
            <w:vMerge/>
            <w:tcBorders>
              <w:top w:val="nil"/>
              <w:left w:val="single" w:sz="4" w:space="0" w:color="auto"/>
              <w:bottom w:val="single" w:sz="4" w:space="0" w:color="auto"/>
              <w:right w:val="single" w:sz="4" w:space="0" w:color="auto"/>
            </w:tcBorders>
            <w:vAlign w:val="center"/>
            <w:hideMark/>
          </w:tcPr>
          <w:p w:rsidR="00EB5F83" w:rsidRPr="00A30834" w:rsidRDefault="00EB5F83" w:rsidP="00EB5F83">
            <w:pPr>
              <w:rPr>
                <w:rFonts w:ascii="Calibri" w:hAnsi="Calibri" w:cs="Calibri"/>
                <w:b/>
                <w:bCs/>
                <w:color w:val="000000"/>
                <w:sz w:val="14"/>
                <w:szCs w:val="14"/>
              </w:rPr>
            </w:pPr>
          </w:p>
        </w:tc>
      </w:tr>
      <w:tr w:rsidR="00EB5F83" w:rsidRPr="00A30834" w:rsidTr="00A30834">
        <w:trPr>
          <w:trHeight w:val="734"/>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sz w:val="14"/>
                <w:szCs w:val="14"/>
              </w:rPr>
              <w:t>12</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bCs/>
                <w:color w:val="000000"/>
                <w:sz w:val="14"/>
                <w:szCs w:val="14"/>
              </w:rPr>
              <w:t>Nehmotné výsledky výzkumu a vývoje</w:t>
            </w:r>
          </w:p>
        </w:tc>
        <w:tc>
          <w:tcPr>
            <w:tcW w:w="120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315 000,00</w:t>
            </w:r>
          </w:p>
        </w:tc>
        <w:tc>
          <w:tcPr>
            <w:tcW w:w="1276"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315 000,00</w:t>
            </w:r>
          </w:p>
        </w:tc>
        <w:tc>
          <w:tcPr>
            <w:tcW w:w="567"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c>
          <w:tcPr>
            <w:tcW w:w="1134"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c>
          <w:tcPr>
            <w:tcW w:w="9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315 000,00</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315 000,00</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EB5F83">
        <w:trPr>
          <w:trHeight w:val="210"/>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sz w:val="14"/>
                <w:szCs w:val="14"/>
              </w:rPr>
              <w:t>13</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bCs/>
                <w:color w:val="000000"/>
                <w:sz w:val="14"/>
                <w:szCs w:val="14"/>
              </w:rPr>
              <w:t>Software</w:t>
            </w:r>
          </w:p>
        </w:tc>
        <w:tc>
          <w:tcPr>
            <w:tcW w:w="120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17 457 136,23</w:t>
            </w:r>
          </w:p>
        </w:tc>
        <w:tc>
          <w:tcPr>
            <w:tcW w:w="1276"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17 457 136,23</w:t>
            </w:r>
          </w:p>
        </w:tc>
        <w:tc>
          <w:tcPr>
            <w:tcW w:w="567"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c>
          <w:tcPr>
            <w:tcW w:w="1134"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823 765,58</w:t>
            </w:r>
          </w:p>
        </w:tc>
        <w:tc>
          <w:tcPr>
            <w:tcW w:w="9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18 280 901,80</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18 280 901,80</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EB5F83">
        <w:trPr>
          <w:trHeight w:val="420"/>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sz w:val="14"/>
                <w:szCs w:val="14"/>
              </w:rPr>
              <w:t>14</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bCs/>
                <w:color w:val="000000"/>
                <w:sz w:val="14"/>
                <w:szCs w:val="14"/>
              </w:rPr>
              <w:t>Ocenitelná práva</w:t>
            </w:r>
          </w:p>
        </w:tc>
        <w:tc>
          <w:tcPr>
            <w:tcW w:w="120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4 255 771,20</w:t>
            </w:r>
          </w:p>
        </w:tc>
        <w:tc>
          <w:tcPr>
            <w:tcW w:w="1276"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4 255 771,20</w:t>
            </w:r>
          </w:p>
        </w:tc>
        <w:tc>
          <w:tcPr>
            <w:tcW w:w="567"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c>
          <w:tcPr>
            <w:tcW w:w="1134"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c>
          <w:tcPr>
            <w:tcW w:w="9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4 255 771,20</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4 255 771,20</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A30834">
        <w:trPr>
          <w:trHeight w:val="643"/>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sz w:val="14"/>
                <w:szCs w:val="14"/>
              </w:rPr>
              <w:t>18</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bCs/>
                <w:color w:val="000000"/>
                <w:sz w:val="14"/>
                <w:szCs w:val="14"/>
              </w:rPr>
              <w:t>Drobný dlouhodobý nehmotný majetek</w:t>
            </w:r>
          </w:p>
        </w:tc>
        <w:tc>
          <w:tcPr>
            <w:tcW w:w="120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5 745 731,74</w:t>
            </w:r>
          </w:p>
        </w:tc>
        <w:tc>
          <w:tcPr>
            <w:tcW w:w="1276"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5 745 731,74</w:t>
            </w:r>
          </w:p>
        </w:tc>
        <w:tc>
          <w:tcPr>
            <w:tcW w:w="567"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c>
          <w:tcPr>
            <w:tcW w:w="1134"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26 499,00</w:t>
            </w:r>
          </w:p>
        </w:tc>
        <w:tc>
          <w:tcPr>
            <w:tcW w:w="9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5 772 230,74</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5 772 230,74</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A30834">
        <w:trPr>
          <w:trHeight w:val="722"/>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sz w:val="14"/>
                <w:szCs w:val="14"/>
              </w:rPr>
              <w:t>19</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bCs/>
                <w:color w:val="000000"/>
                <w:sz w:val="14"/>
                <w:szCs w:val="14"/>
              </w:rPr>
              <w:t>Ostatní dlouhodobý nehmotný majetek</w:t>
            </w:r>
          </w:p>
        </w:tc>
        <w:tc>
          <w:tcPr>
            <w:tcW w:w="120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43 577 523,00</w:t>
            </w:r>
          </w:p>
        </w:tc>
        <w:tc>
          <w:tcPr>
            <w:tcW w:w="1276"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43 577 523,00</w:t>
            </w:r>
          </w:p>
        </w:tc>
        <w:tc>
          <w:tcPr>
            <w:tcW w:w="567"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c>
          <w:tcPr>
            <w:tcW w:w="1134"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c>
          <w:tcPr>
            <w:tcW w:w="9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43 577 523,00</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43 577 523,00</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EB5F83">
        <w:trPr>
          <w:trHeight w:val="210"/>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sz w:val="14"/>
                <w:szCs w:val="14"/>
              </w:rPr>
              <w:t>21</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bCs/>
                <w:color w:val="000000"/>
                <w:sz w:val="14"/>
                <w:szCs w:val="14"/>
              </w:rPr>
              <w:t>Stavby</w:t>
            </w:r>
          </w:p>
        </w:tc>
        <w:tc>
          <w:tcPr>
            <w:tcW w:w="120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3 773 409 367,64</w:t>
            </w:r>
          </w:p>
        </w:tc>
        <w:tc>
          <w:tcPr>
            <w:tcW w:w="1276"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3 773 409 367,64</w:t>
            </w:r>
          </w:p>
        </w:tc>
        <w:tc>
          <w:tcPr>
            <w:tcW w:w="567"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c>
          <w:tcPr>
            <w:tcW w:w="1134"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217 902 513,81</w:t>
            </w:r>
          </w:p>
        </w:tc>
        <w:tc>
          <w:tcPr>
            <w:tcW w:w="9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2 966 198,66</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3 988 345 682,59</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3 988 345 682,59</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A30834">
        <w:trPr>
          <w:trHeight w:val="922"/>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sz w:val="14"/>
                <w:szCs w:val="14"/>
              </w:rPr>
              <w:t>22</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bCs/>
                <w:color w:val="000000"/>
                <w:sz w:val="14"/>
                <w:szCs w:val="14"/>
              </w:rPr>
              <w:t>Samostatné hmotné movité věci a soubory hmotných movitých věcí</w:t>
            </w:r>
          </w:p>
        </w:tc>
        <w:tc>
          <w:tcPr>
            <w:tcW w:w="120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140 905 079,75</w:t>
            </w:r>
          </w:p>
        </w:tc>
        <w:tc>
          <w:tcPr>
            <w:tcW w:w="1276"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140 905 079,75</w:t>
            </w:r>
          </w:p>
        </w:tc>
        <w:tc>
          <w:tcPr>
            <w:tcW w:w="567"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c>
          <w:tcPr>
            <w:tcW w:w="1134"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4 262 747,97</w:t>
            </w:r>
          </w:p>
        </w:tc>
        <w:tc>
          <w:tcPr>
            <w:tcW w:w="9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418 270,67</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144 749 557,05</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144 749 557,05</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A30834">
        <w:trPr>
          <w:trHeight w:val="709"/>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sz w:val="14"/>
                <w:szCs w:val="14"/>
              </w:rPr>
              <w:t>28</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bCs/>
                <w:color w:val="000000"/>
                <w:sz w:val="14"/>
                <w:szCs w:val="14"/>
              </w:rPr>
              <w:t>Drobný dlouhodobý hmotný majetek</w:t>
            </w:r>
          </w:p>
        </w:tc>
        <w:tc>
          <w:tcPr>
            <w:tcW w:w="120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70 851 247,83</w:t>
            </w:r>
          </w:p>
        </w:tc>
        <w:tc>
          <w:tcPr>
            <w:tcW w:w="1276"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70 851 247,83</w:t>
            </w:r>
          </w:p>
        </w:tc>
        <w:tc>
          <w:tcPr>
            <w:tcW w:w="567"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c>
          <w:tcPr>
            <w:tcW w:w="1134"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2 413 311,99</w:t>
            </w:r>
          </w:p>
        </w:tc>
        <w:tc>
          <w:tcPr>
            <w:tcW w:w="9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383 314,28</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72 881 245,54</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72 881 245,54</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A30834">
        <w:trPr>
          <w:trHeight w:val="663"/>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29</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bCs/>
                <w:color w:val="000000"/>
                <w:sz w:val="14"/>
                <w:szCs w:val="14"/>
              </w:rPr>
              <w:t>Ostatní dlouhodobý hmotný majetek</w:t>
            </w:r>
          </w:p>
        </w:tc>
        <w:tc>
          <w:tcPr>
            <w:tcW w:w="120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3 570 594,52</w:t>
            </w:r>
          </w:p>
        </w:tc>
        <w:tc>
          <w:tcPr>
            <w:tcW w:w="1276"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3 570 594,52</w:t>
            </w:r>
          </w:p>
        </w:tc>
        <w:tc>
          <w:tcPr>
            <w:tcW w:w="567"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c>
          <w:tcPr>
            <w:tcW w:w="1134"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c>
          <w:tcPr>
            <w:tcW w:w="9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3 570 594,52</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3 570 594,52</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EB5F83">
        <w:trPr>
          <w:trHeight w:val="210"/>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sz w:val="14"/>
                <w:szCs w:val="14"/>
              </w:rPr>
              <w:t>31</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bCs/>
                <w:color w:val="000000"/>
                <w:sz w:val="14"/>
                <w:szCs w:val="14"/>
              </w:rPr>
              <w:t>Pozemky</w:t>
            </w:r>
          </w:p>
        </w:tc>
        <w:tc>
          <w:tcPr>
            <w:tcW w:w="120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1 010 383 852,38</w:t>
            </w:r>
          </w:p>
        </w:tc>
        <w:tc>
          <w:tcPr>
            <w:tcW w:w="1276"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1 010 383 852,38</w:t>
            </w:r>
          </w:p>
        </w:tc>
        <w:tc>
          <w:tcPr>
            <w:tcW w:w="567"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c>
          <w:tcPr>
            <w:tcW w:w="1134"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2 131 836,52</w:t>
            </w:r>
          </w:p>
        </w:tc>
        <w:tc>
          <w:tcPr>
            <w:tcW w:w="9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1 757 135,05</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1 010 758 553,85</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1 010 758 553,85</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EB5F83">
        <w:trPr>
          <w:trHeight w:val="420"/>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sz w:val="14"/>
                <w:szCs w:val="14"/>
              </w:rPr>
              <w:t>32</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bCs/>
                <w:color w:val="000000"/>
                <w:sz w:val="14"/>
                <w:szCs w:val="14"/>
              </w:rPr>
              <w:t>Kulturní předměty</w:t>
            </w:r>
          </w:p>
        </w:tc>
        <w:tc>
          <w:tcPr>
            <w:tcW w:w="120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21 745 963,85</w:t>
            </w:r>
          </w:p>
        </w:tc>
        <w:tc>
          <w:tcPr>
            <w:tcW w:w="1276"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21 745 963,85</w:t>
            </w:r>
          </w:p>
        </w:tc>
        <w:tc>
          <w:tcPr>
            <w:tcW w:w="567"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c>
          <w:tcPr>
            <w:tcW w:w="1134"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48 000,00</w:t>
            </w:r>
          </w:p>
        </w:tc>
        <w:tc>
          <w:tcPr>
            <w:tcW w:w="9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21 793 963,85</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21 793 963,85</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A30834">
        <w:trPr>
          <w:trHeight w:val="727"/>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sz w:val="14"/>
                <w:szCs w:val="14"/>
              </w:rPr>
              <w:t>36</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bCs/>
                <w:color w:val="000000"/>
                <w:sz w:val="14"/>
                <w:szCs w:val="14"/>
              </w:rPr>
              <w:t>Dlouhodobý hmotný majetek určený k prodeji</w:t>
            </w:r>
          </w:p>
        </w:tc>
        <w:tc>
          <w:tcPr>
            <w:tcW w:w="120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276"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567"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99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35 197 483,00</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35 197 483,00</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A30834">
        <w:trPr>
          <w:trHeight w:val="695"/>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sz w:val="14"/>
                <w:szCs w:val="14"/>
              </w:rPr>
              <w:t>41</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bCs/>
                <w:color w:val="000000"/>
                <w:sz w:val="14"/>
                <w:szCs w:val="14"/>
              </w:rPr>
              <w:t>Nedokončený dlouhodobý nehmotný majetek</w:t>
            </w:r>
          </w:p>
        </w:tc>
        <w:tc>
          <w:tcPr>
            <w:tcW w:w="120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276"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567"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99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1 044 269,00</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1 044 269,00</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A30834">
        <w:trPr>
          <w:trHeight w:val="648"/>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sz w:val="14"/>
                <w:szCs w:val="14"/>
              </w:rPr>
              <w:t>42</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bCs/>
                <w:color w:val="000000"/>
                <w:sz w:val="14"/>
                <w:szCs w:val="14"/>
              </w:rPr>
              <w:t>Nedokončený dlouhodobý hmotný majetek</w:t>
            </w:r>
          </w:p>
        </w:tc>
        <w:tc>
          <w:tcPr>
            <w:tcW w:w="120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276"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567"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99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124 856 309,55</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124 856 309,55</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A30834">
        <w:trPr>
          <w:trHeight w:val="901"/>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sz w:val="14"/>
                <w:szCs w:val="14"/>
              </w:rPr>
              <w:t>52</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bCs/>
                <w:color w:val="000000"/>
                <w:sz w:val="14"/>
                <w:szCs w:val="14"/>
              </w:rPr>
              <w:t>Poskytnuté zálohy na dlouhodobý hmotný majetek</w:t>
            </w:r>
          </w:p>
        </w:tc>
        <w:tc>
          <w:tcPr>
            <w:tcW w:w="120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276"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567"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99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3 334 575,00</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3 334 575,00</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A30834">
        <w:trPr>
          <w:trHeight w:val="420"/>
        </w:trPr>
        <w:tc>
          <w:tcPr>
            <w:tcW w:w="687" w:type="dxa"/>
            <w:vMerge w:val="restart"/>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sz w:val="14"/>
                <w:szCs w:val="14"/>
              </w:rPr>
              <w:t>61</w:t>
            </w:r>
          </w:p>
        </w:tc>
        <w:tc>
          <w:tcPr>
            <w:tcW w:w="1088" w:type="dxa"/>
            <w:tcBorders>
              <w:top w:val="single" w:sz="4" w:space="0" w:color="auto"/>
              <w:left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bCs/>
                <w:color w:val="000000"/>
                <w:sz w:val="14"/>
                <w:szCs w:val="14"/>
              </w:rPr>
              <w:t>Majetkové účasti</w:t>
            </w:r>
          </w:p>
        </w:tc>
        <w:tc>
          <w:tcPr>
            <w:tcW w:w="1202" w:type="dxa"/>
            <w:vMerge w:val="restart"/>
            <w:tcBorders>
              <w:top w:val="nil"/>
              <w:left w:val="single" w:sz="4" w:space="0" w:color="auto"/>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276" w:type="dxa"/>
            <w:vMerge w:val="restart"/>
            <w:tcBorders>
              <w:top w:val="nil"/>
              <w:left w:val="single" w:sz="4" w:space="0" w:color="auto"/>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567" w:type="dxa"/>
            <w:vMerge w:val="restart"/>
            <w:tcBorders>
              <w:top w:val="nil"/>
              <w:left w:val="single" w:sz="4" w:space="0" w:color="auto"/>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vMerge w:val="restart"/>
            <w:tcBorders>
              <w:top w:val="nil"/>
              <w:left w:val="single" w:sz="4" w:space="0" w:color="auto"/>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992" w:type="dxa"/>
            <w:vMerge w:val="restart"/>
            <w:tcBorders>
              <w:top w:val="nil"/>
              <w:left w:val="single" w:sz="4" w:space="0" w:color="auto"/>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92" w:type="dxa"/>
            <w:vMerge w:val="restart"/>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705 009 401,55</w:t>
            </w: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705 009 401,55</w:t>
            </w:r>
          </w:p>
        </w:tc>
        <w:tc>
          <w:tcPr>
            <w:tcW w:w="512" w:type="dxa"/>
            <w:vMerge w:val="restart"/>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A30834">
        <w:trPr>
          <w:trHeight w:val="551"/>
        </w:trPr>
        <w:tc>
          <w:tcPr>
            <w:tcW w:w="687" w:type="dxa"/>
            <w:vMerge/>
            <w:tcBorders>
              <w:top w:val="nil"/>
              <w:left w:val="single" w:sz="4" w:space="0" w:color="auto"/>
              <w:bottom w:val="single" w:sz="4" w:space="0" w:color="auto"/>
              <w:right w:val="single" w:sz="4" w:space="0" w:color="auto"/>
            </w:tcBorders>
            <w:vAlign w:val="center"/>
            <w:hideMark/>
          </w:tcPr>
          <w:p w:rsidR="00EB5F83" w:rsidRPr="00A30834" w:rsidRDefault="00EB5F83" w:rsidP="00EB5F83">
            <w:pPr>
              <w:rPr>
                <w:rFonts w:ascii="Calibri" w:hAnsi="Calibri" w:cs="Calibri"/>
                <w:b/>
                <w:bCs/>
                <w:color w:val="000000"/>
                <w:sz w:val="14"/>
                <w:szCs w:val="14"/>
              </w:rPr>
            </w:pP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v osobách s rozhod. vlivem</w:t>
            </w:r>
          </w:p>
        </w:tc>
        <w:tc>
          <w:tcPr>
            <w:tcW w:w="1202" w:type="dxa"/>
            <w:vMerge/>
            <w:tcBorders>
              <w:top w:val="nil"/>
              <w:left w:val="single" w:sz="4" w:space="0" w:color="auto"/>
              <w:bottom w:val="single" w:sz="4" w:space="0" w:color="auto"/>
              <w:right w:val="single" w:sz="4" w:space="0" w:color="auto"/>
            </w:tcBorders>
            <w:vAlign w:val="center"/>
            <w:hideMark/>
          </w:tcPr>
          <w:p w:rsidR="00EB5F83" w:rsidRPr="00A30834" w:rsidRDefault="00EB5F83" w:rsidP="00EB5F83">
            <w:pPr>
              <w:rPr>
                <w:rFonts w:ascii="Calibri" w:hAnsi="Calibri" w:cs="Calibri"/>
                <w:color w:val="000000"/>
                <w:sz w:val="14"/>
                <w:szCs w:val="14"/>
              </w:rPr>
            </w:pPr>
          </w:p>
        </w:tc>
        <w:tc>
          <w:tcPr>
            <w:tcW w:w="1276" w:type="dxa"/>
            <w:vMerge/>
            <w:tcBorders>
              <w:top w:val="nil"/>
              <w:left w:val="single" w:sz="4" w:space="0" w:color="auto"/>
              <w:bottom w:val="single" w:sz="4" w:space="0" w:color="auto"/>
              <w:right w:val="single" w:sz="4" w:space="0" w:color="auto"/>
            </w:tcBorders>
            <w:vAlign w:val="center"/>
            <w:hideMark/>
          </w:tcPr>
          <w:p w:rsidR="00EB5F83" w:rsidRPr="00A30834" w:rsidRDefault="00EB5F83" w:rsidP="00EB5F83">
            <w:pPr>
              <w:rPr>
                <w:rFonts w:ascii="Calibri" w:hAnsi="Calibri" w:cs="Calibri"/>
                <w:color w:val="000000"/>
                <w:sz w:val="14"/>
                <w:szCs w:val="14"/>
              </w:rPr>
            </w:pPr>
          </w:p>
        </w:tc>
        <w:tc>
          <w:tcPr>
            <w:tcW w:w="567" w:type="dxa"/>
            <w:vMerge/>
            <w:tcBorders>
              <w:top w:val="nil"/>
              <w:left w:val="single" w:sz="4" w:space="0" w:color="auto"/>
              <w:bottom w:val="single" w:sz="4" w:space="0" w:color="auto"/>
              <w:right w:val="single" w:sz="4" w:space="0" w:color="auto"/>
            </w:tcBorders>
            <w:vAlign w:val="center"/>
            <w:hideMark/>
          </w:tcPr>
          <w:p w:rsidR="00EB5F83" w:rsidRPr="00A30834" w:rsidRDefault="00EB5F83" w:rsidP="00EB5F83">
            <w:pPr>
              <w:rPr>
                <w:rFonts w:ascii="Calibri" w:hAnsi="Calibri" w:cs="Calibri"/>
                <w:color w:val="000000"/>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EB5F83" w:rsidRPr="00A30834" w:rsidRDefault="00EB5F83" w:rsidP="00EB5F83">
            <w:pPr>
              <w:rPr>
                <w:rFonts w:ascii="Calibri" w:hAnsi="Calibri" w:cs="Calibri"/>
                <w:color w:val="000000"/>
                <w:sz w:val="14"/>
                <w:szCs w:val="14"/>
              </w:rPr>
            </w:pPr>
          </w:p>
        </w:tc>
        <w:tc>
          <w:tcPr>
            <w:tcW w:w="992" w:type="dxa"/>
            <w:vMerge/>
            <w:tcBorders>
              <w:top w:val="nil"/>
              <w:left w:val="single" w:sz="4" w:space="0" w:color="auto"/>
              <w:bottom w:val="single" w:sz="4" w:space="0" w:color="auto"/>
              <w:right w:val="single" w:sz="4" w:space="0" w:color="auto"/>
            </w:tcBorders>
            <w:vAlign w:val="center"/>
            <w:hideMark/>
          </w:tcPr>
          <w:p w:rsidR="00EB5F83" w:rsidRPr="00A30834" w:rsidRDefault="00EB5F83" w:rsidP="00EB5F83">
            <w:pPr>
              <w:rPr>
                <w:rFonts w:ascii="Calibri" w:hAnsi="Calibri" w:cs="Calibri"/>
                <w:color w:val="000000"/>
                <w:sz w:val="14"/>
                <w:szCs w:val="14"/>
              </w:rPr>
            </w:pPr>
          </w:p>
        </w:tc>
        <w:tc>
          <w:tcPr>
            <w:tcW w:w="1192" w:type="dxa"/>
            <w:vMerge/>
            <w:tcBorders>
              <w:top w:val="nil"/>
              <w:left w:val="single" w:sz="4" w:space="0" w:color="auto"/>
              <w:bottom w:val="single" w:sz="4" w:space="0" w:color="auto"/>
              <w:right w:val="single" w:sz="4" w:space="0" w:color="auto"/>
            </w:tcBorders>
            <w:vAlign w:val="center"/>
            <w:hideMark/>
          </w:tcPr>
          <w:p w:rsidR="00EB5F83" w:rsidRPr="00A30834" w:rsidRDefault="00EB5F83" w:rsidP="00EB5F83">
            <w:pPr>
              <w:rPr>
                <w:rFonts w:ascii="Calibri" w:hAnsi="Calibri" w:cs="Calibri"/>
                <w:color w:val="000000"/>
                <w:sz w:val="14"/>
                <w:szCs w:val="14"/>
              </w:rPr>
            </w:pPr>
          </w:p>
        </w:tc>
        <w:tc>
          <w:tcPr>
            <w:tcW w:w="1218" w:type="dxa"/>
            <w:vMerge/>
            <w:tcBorders>
              <w:top w:val="nil"/>
              <w:left w:val="single" w:sz="4" w:space="0" w:color="auto"/>
              <w:bottom w:val="single" w:sz="4" w:space="0" w:color="auto"/>
              <w:right w:val="single" w:sz="4" w:space="0" w:color="auto"/>
            </w:tcBorders>
            <w:vAlign w:val="center"/>
            <w:hideMark/>
          </w:tcPr>
          <w:p w:rsidR="00EB5F83" w:rsidRPr="00A30834" w:rsidRDefault="00EB5F83" w:rsidP="00EB5F83">
            <w:pPr>
              <w:rPr>
                <w:rFonts w:ascii="Calibri" w:hAnsi="Calibri" w:cs="Calibri"/>
                <w:color w:val="000000"/>
                <w:sz w:val="14"/>
                <w:szCs w:val="14"/>
              </w:rPr>
            </w:pPr>
          </w:p>
        </w:tc>
        <w:tc>
          <w:tcPr>
            <w:tcW w:w="512" w:type="dxa"/>
            <w:vMerge/>
            <w:tcBorders>
              <w:top w:val="nil"/>
              <w:left w:val="single" w:sz="4" w:space="0" w:color="auto"/>
              <w:bottom w:val="single" w:sz="4" w:space="0" w:color="auto"/>
              <w:right w:val="single" w:sz="4" w:space="0" w:color="auto"/>
            </w:tcBorders>
            <w:vAlign w:val="center"/>
            <w:hideMark/>
          </w:tcPr>
          <w:p w:rsidR="00EB5F83" w:rsidRPr="00A30834" w:rsidRDefault="00EB5F83" w:rsidP="00EB5F83">
            <w:pPr>
              <w:rPr>
                <w:rFonts w:ascii="Calibri" w:hAnsi="Calibri" w:cs="Calibri"/>
                <w:color w:val="000000"/>
                <w:sz w:val="14"/>
                <w:szCs w:val="14"/>
              </w:rPr>
            </w:pPr>
          </w:p>
        </w:tc>
      </w:tr>
      <w:tr w:rsidR="00EB5F83" w:rsidRPr="00A30834" w:rsidTr="00A30834">
        <w:trPr>
          <w:trHeight w:val="420"/>
        </w:trPr>
        <w:tc>
          <w:tcPr>
            <w:tcW w:w="687" w:type="dxa"/>
            <w:vMerge w:val="restart"/>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sz w:val="14"/>
                <w:szCs w:val="14"/>
              </w:rPr>
              <w:t>62</w:t>
            </w:r>
          </w:p>
        </w:tc>
        <w:tc>
          <w:tcPr>
            <w:tcW w:w="1088" w:type="dxa"/>
            <w:tcBorders>
              <w:top w:val="single" w:sz="4" w:space="0" w:color="auto"/>
              <w:left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bCs/>
                <w:color w:val="000000"/>
                <w:sz w:val="14"/>
                <w:szCs w:val="14"/>
              </w:rPr>
              <w:t>Majetkové účasti</w:t>
            </w:r>
          </w:p>
        </w:tc>
        <w:tc>
          <w:tcPr>
            <w:tcW w:w="1202" w:type="dxa"/>
            <w:vMerge w:val="restart"/>
            <w:tcBorders>
              <w:top w:val="nil"/>
              <w:left w:val="single" w:sz="4" w:space="0" w:color="auto"/>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276" w:type="dxa"/>
            <w:vMerge w:val="restart"/>
            <w:tcBorders>
              <w:top w:val="nil"/>
              <w:left w:val="single" w:sz="4" w:space="0" w:color="auto"/>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567" w:type="dxa"/>
            <w:vMerge w:val="restart"/>
            <w:tcBorders>
              <w:top w:val="nil"/>
              <w:left w:val="single" w:sz="4" w:space="0" w:color="auto"/>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vMerge w:val="restart"/>
            <w:tcBorders>
              <w:top w:val="nil"/>
              <w:left w:val="single" w:sz="4" w:space="0" w:color="auto"/>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992" w:type="dxa"/>
            <w:vMerge w:val="restart"/>
            <w:tcBorders>
              <w:top w:val="nil"/>
              <w:left w:val="single" w:sz="4" w:space="0" w:color="auto"/>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92" w:type="dxa"/>
            <w:vMerge w:val="restart"/>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11 114 161,00</w:t>
            </w: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11 114 161,00</w:t>
            </w:r>
          </w:p>
        </w:tc>
        <w:tc>
          <w:tcPr>
            <w:tcW w:w="512" w:type="dxa"/>
            <w:vMerge w:val="restart"/>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A30834">
        <w:trPr>
          <w:trHeight w:val="395"/>
        </w:trPr>
        <w:tc>
          <w:tcPr>
            <w:tcW w:w="687" w:type="dxa"/>
            <w:vMerge/>
            <w:tcBorders>
              <w:top w:val="nil"/>
              <w:left w:val="single" w:sz="4" w:space="0" w:color="auto"/>
              <w:bottom w:val="single" w:sz="4" w:space="0" w:color="auto"/>
              <w:right w:val="single" w:sz="4" w:space="0" w:color="auto"/>
            </w:tcBorders>
            <w:vAlign w:val="center"/>
            <w:hideMark/>
          </w:tcPr>
          <w:p w:rsidR="00EB5F83" w:rsidRPr="00A30834" w:rsidRDefault="00EB5F83" w:rsidP="00EB5F83">
            <w:pPr>
              <w:rPr>
                <w:rFonts w:ascii="Calibri" w:hAnsi="Calibri" w:cs="Calibri"/>
                <w:b/>
                <w:bCs/>
                <w:color w:val="000000"/>
                <w:sz w:val="14"/>
                <w:szCs w:val="14"/>
              </w:rPr>
            </w:pP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v osobách s podst. vlivem</w:t>
            </w:r>
          </w:p>
        </w:tc>
        <w:tc>
          <w:tcPr>
            <w:tcW w:w="1202" w:type="dxa"/>
            <w:vMerge/>
            <w:tcBorders>
              <w:top w:val="nil"/>
              <w:left w:val="single" w:sz="4" w:space="0" w:color="auto"/>
              <w:bottom w:val="single" w:sz="4" w:space="0" w:color="auto"/>
              <w:right w:val="single" w:sz="4" w:space="0" w:color="auto"/>
            </w:tcBorders>
            <w:vAlign w:val="center"/>
            <w:hideMark/>
          </w:tcPr>
          <w:p w:rsidR="00EB5F83" w:rsidRPr="00A30834" w:rsidRDefault="00EB5F83" w:rsidP="00EB5F83">
            <w:pPr>
              <w:rPr>
                <w:rFonts w:ascii="Calibri" w:hAnsi="Calibri" w:cs="Calibri"/>
                <w:color w:val="000000"/>
                <w:sz w:val="14"/>
                <w:szCs w:val="14"/>
              </w:rPr>
            </w:pPr>
          </w:p>
        </w:tc>
        <w:tc>
          <w:tcPr>
            <w:tcW w:w="1276" w:type="dxa"/>
            <w:vMerge/>
            <w:tcBorders>
              <w:top w:val="nil"/>
              <w:left w:val="single" w:sz="4" w:space="0" w:color="auto"/>
              <w:bottom w:val="single" w:sz="4" w:space="0" w:color="auto"/>
              <w:right w:val="single" w:sz="4" w:space="0" w:color="auto"/>
            </w:tcBorders>
            <w:vAlign w:val="center"/>
            <w:hideMark/>
          </w:tcPr>
          <w:p w:rsidR="00EB5F83" w:rsidRPr="00A30834" w:rsidRDefault="00EB5F83" w:rsidP="00EB5F83">
            <w:pPr>
              <w:rPr>
                <w:rFonts w:ascii="Calibri" w:hAnsi="Calibri" w:cs="Calibri"/>
                <w:color w:val="000000"/>
                <w:sz w:val="14"/>
                <w:szCs w:val="14"/>
              </w:rPr>
            </w:pPr>
          </w:p>
        </w:tc>
        <w:tc>
          <w:tcPr>
            <w:tcW w:w="567" w:type="dxa"/>
            <w:vMerge/>
            <w:tcBorders>
              <w:top w:val="nil"/>
              <w:left w:val="single" w:sz="4" w:space="0" w:color="auto"/>
              <w:bottom w:val="single" w:sz="4" w:space="0" w:color="auto"/>
              <w:right w:val="single" w:sz="4" w:space="0" w:color="auto"/>
            </w:tcBorders>
            <w:vAlign w:val="center"/>
            <w:hideMark/>
          </w:tcPr>
          <w:p w:rsidR="00EB5F83" w:rsidRPr="00A30834" w:rsidRDefault="00EB5F83" w:rsidP="00EB5F83">
            <w:pPr>
              <w:rPr>
                <w:rFonts w:ascii="Calibri" w:hAnsi="Calibri" w:cs="Calibri"/>
                <w:color w:val="000000"/>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EB5F83" w:rsidRPr="00A30834" w:rsidRDefault="00EB5F83" w:rsidP="00EB5F83">
            <w:pPr>
              <w:rPr>
                <w:rFonts w:ascii="Calibri" w:hAnsi="Calibri" w:cs="Calibri"/>
                <w:color w:val="000000"/>
                <w:sz w:val="14"/>
                <w:szCs w:val="14"/>
              </w:rPr>
            </w:pPr>
          </w:p>
        </w:tc>
        <w:tc>
          <w:tcPr>
            <w:tcW w:w="992" w:type="dxa"/>
            <w:vMerge/>
            <w:tcBorders>
              <w:top w:val="nil"/>
              <w:left w:val="single" w:sz="4" w:space="0" w:color="auto"/>
              <w:bottom w:val="single" w:sz="4" w:space="0" w:color="auto"/>
              <w:right w:val="single" w:sz="4" w:space="0" w:color="auto"/>
            </w:tcBorders>
            <w:vAlign w:val="center"/>
            <w:hideMark/>
          </w:tcPr>
          <w:p w:rsidR="00EB5F83" w:rsidRPr="00A30834" w:rsidRDefault="00EB5F83" w:rsidP="00EB5F83">
            <w:pPr>
              <w:rPr>
                <w:rFonts w:ascii="Calibri" w:hAnsi="Calibri" w:cs="Calibri"/>
                <w:color w:val="000000"/>
                <w:sz w:val="14"/>
                <w:szCs w:val="14"/>
              </w:rPr>
            </w:pPr>
          </w:p>
        </w:tc>
        <w:tc>
          <w:tcPr>
            <w:tcW w:w="1192" w:type="dxa"/>
            <w:vMerge/>
            <w:tcBorders>
              <w:top w:val="nil"/>
              <w:left w:val="single" w:sz="4" w:space="0" w:color="auto"/>
              <w:bottom w:val="single" w:sz="4" w:space="0" w:color="auto"/>
              <w:right w:val="single" w:sz="4" w:space="0" w:color="auto"/>
            </w:tcBorders>
            <w:vAlign w:val="center"/>
            <w:hideMark/>
          </w:tcPr>
          <w:p w:rsidR="00EB5F83" w:rsidRPr="00A30834" w:rsidRDefault="00EB5F83" w:rsidP="00EB5F83">
            <w:pPr>
              <w:rPr>
                <w:rFonts w:ascii="Calibri" w:hAnsi="Calibri" w:cs="Calibri"/>
                <w:color w:val="000000"/>
                <w:sz w:val="14"/>
                <w:szCs w:val="14"/>
              </w:rPr>
            </w:pPr>
          </w:p>
        </w:tc>
        <w:tc>
          <w:tcPr>
            <w:tcW w:w="1218" w:type="dxa"/>
            <w:vMerge/>
            <w:tcBorders>
              <w:top w:val="nil"/>
              <w:left w:val="single" w:sz="4" w:space="0" w:color="auto"/>
              <w:bottom w:val="single" w:sz="4" w:space="0" w:color="auto"/>
              <w:right w:val="single" w:sz="4" w:space="0" w:color="auto"/>
            </w:tcBorders>
            <w:vAlign w:val="center"/>
            <w:hideMark/>
          </w:tcPr>
          <w:p w:rsidR="00EB5F83" w:rsidRPr="00A30834" w:rsidRDefault="00EB5F83" w:rsidP="00EB5F83">
            <w:pPr>
              <w:rPr>
                <w:rFonts w:ascii="Calibri" w:hAnsi="Calibri" w:cs="Calibri"/>
                <w:color w:val="000000"/>
                <w:sz w:val="14"/>
                <w:szCs w:val="14"/>
              </w:rPr>
            </w:pPr>
          </w:p>
        </w:tc>
        <w:tc>
          <w:tcPr>
            <w:tcW w:w="512" w:type="dxa"/>
            <w:vMerge/>
            <w:tcBorders>
              <w:top w:val="nil"/>
              <w:left w:val="single" w:sz="4" w:space="0" w:color="auto"/>
              <w:bottom w:val="single" w:sz="4" w:space="0" w:color="auto"/>
              <w:right w:val="single" w:sz="4" w:space="0" w:color="auto"/>
            </w:tcBorders>
            <w:vAlign w:val="center"/>
            <w:hideMark/>
          </w:tcPr>
          <w:p w:rsidR="00EB5F83" w:rsidRPr="00A30834" w:rsidRDefault="00EB5F83" w:rsidP="00EB5F83">
            <w:pPr>
              <w:rPr>
                <w:rFonts w:ascii="Calibri" w:hAnsi="Calibri" w:cs="Calibri"/>
                <w:color w:val="000000"/>
                <w:sz w:val="14"/>
                <w:szCs w:val="14"/>
              </w:rPr>
            </w:pPr>
          </w:p>
        </w:tc>
      </w:tr>
      <w:tr w:rsidR="00EB5F83" w:rsidRPr="00A30834" w:rsidTr="00A30834">
        <w:trPr>
          <w:trHeight w:val="781"/>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sz w:val="14"/>
                <w:szCs w:val="14"/>
              </w:rPr>
              <w:t>69</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bCs/>
                <w:color w:val="000000"/>
                <w:sz w:val="14"/>
                <w:szCs w:val="14"/>
              </w:rPr>
              <w:t>Ostatní dlouhodobý finanční majetek</w:t>
            </w:r>
          </w:p>
        </w:tc>
        <w:tc>
          <w:tcPr>
            <w:tcW w:w="120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276"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567"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99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3 299 358,00</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3 299 358,00</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EB5F83">
        <w:trPr>
          <w:trHeight w:val="420"/>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sz w:val="14"/>
                <w:szCs w:val="14"/>
              </w:rPr>
              <w:t>112</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bCs/>
                <w:color w:val="000000"/>
                <w:sz w:val="14"/>
                <w:szCs w:val="14"/>
              </w:rPr>
              <w:t>Materiál na skladě</w:t>
            </w:r>
          </w:p>
        </w:tc>
        <w:tc>
          <w:tcPr>
            <w:tcW w:w="120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276"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567"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99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1 612 479,29</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1 612 479,29</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EB5F83">
        <w:trPr>
          <w:trHeight w:val="420"/>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sz w:val="14"/>
                <w:szCs w:val="14"/>
              </w:rPr>
              <w:t>132</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bCs/>
                <w:color w:val="000000"/>
                <w:sz w:val="14"/>
                <w:szCs w:val="14"/>
              </w:rPr>
              <w:t>Zboží na skladě</w:t>
            </w:r>
          </w:p>
        </w:tc>
        <w:tc>
          <w:tcPr>
            <w:tcW w:w="120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276"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567"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99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1 693 463,46</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1 693 463,46</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A30834">
        <w:trPr>
          <w:trHeight w:val="717"/>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sz w:val="14"/>
                <w:szCs w:val="14"/>
              </w:rPr>
              <w:lastRenderedPageBreak/>
              <w:t>231</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bCs/>
                <w:color w:val="000000"/>
                <w:sz w:val="14"/>
                <w:szCs w:val="14"/>
              </w:rPr>
              <w:t>Základní běžný účet územních samosprávných celků</w:t>
            </w:r>
          </w:p>
        </w:tc>
        <w:tc>
          <w:tcPr>
            <w:tcW w:w="120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276"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567"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99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314 635 284,49</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314 635 284,49</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A30834">
        <w:trPr>
          <w:trHeight w:val="813"/>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sz w:val="14"/>
                <w:szCs w:val="14"/>
              </w:rPr>
              <w:t>236</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bCs/>
                <w:color w:val="000000"/>
                <w:sz w:val="14"/>
                <w:szCs w:val="14"/>
              </w:rPr>
              <w:t>Běžné účty fondů územních samosprávných celků</w:t>
            </w:r>
          </w:p>
        </w:tc>
        <w:tc>
          <w:tcPr>
            <w:tcW w:w="120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276"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567"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99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177 517 594,83</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177 517 594,83</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EB5F83">
        <w:trPr>
          <w:trHeight w:val="630"/>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sz w:val="14"/>
                <w:szCs w:val="14"/>
              </w:rPr>
              <w:t>244</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bCs/>
                <w:color w:val="000000"/>
                <w:sz w:val="14"/>
                <w:szCs w:val="14"/>
              </w:rPr>
              <w:t>Termínované vklady krátkodobé</w:t>
            </w:r>
          </w:p>
        </w:tc>
        <w:tc>
          <w:tcPr>
            <w:tcW w:w="120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276"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567"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99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102 959 761,81</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102 959 761,81</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A30834">
        <w:trPr>
          <w:trHeight w:val="253"/>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sz w:val="14"/>
                <w:szCs w:val="14"/>
              </w:rPr>
              <w:t>245</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bCs/>
                <w:color w:val="000000"/>
                <w:sz w:val="14"/>
                <w:szCs w:val="14"/>
              </w:rPr>
              <w:t>Jiné běžné účty</w:t>
            </w:r>
          </w:p>
        </w:tc>
        <w:tc>
          <w:tcPr>
            <w:tcW w:w="120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276"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567"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99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13 911 152,12</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13 911 152,12</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EB5F83">
        <w:trPr>
          <w:trHeight w:val="210"/>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sz w:val="14"/>
                <w:szCs w:val="14"/>
              </w:rPr>
              <w:t>261</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bCs/>
                <w:color w:val="000000"/>
                <w:sz w:val="14"/>
                <w:szCs w:val="14"/>
              </w:rPr>
              <w:t>Pokladna</w:t>
            </w:r>
          </w:p>
        </w:tc>
        <w:tc>
          <w:tcPr>
            <w:tcW w:w="120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276"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567"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99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266 446,92</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266 446,92</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A30834">
        <w:trPr>
          <w:trHeight w:val="175"/>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sz w:val="14"/>
                <w:szCs w:val="14"/>
              </w:rPr>
              <w:t>262</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bCs/>
                <w:color w:val="000000"/>
                <w:sz w:val="14"/>
                <w:szCs w:val="14"/>
              </w:rPr>
              <w:t>Peníze na cestě</w:t>
            </w:r>
          </w:p>
        </w:tc>
        <w:tc>
          <w:tcPr>
            <w:tcW w:w="120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276"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567"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99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0</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0</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EB5F83">
        <w:trPr>
          <w:trHeight w:val="210"/>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sz w:val="14"/>
                <w:szCs w:val="14"/>
              </w:rPr>
              <w:t>263</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bCs/>
                <w:color w:val="000000"/>
                <w:sz w:val="14"/>
                <w:szCs w:val="14"/>
              </w:rPr>
              <w:t>Ceniny</w:t>
            </w:r>
          </w:p>
        </w:tc>
        <w:tc>
          <w:tcPr>
            <w:tcW w:w="120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276"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567"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99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0</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0</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EB5F83">
        <w:trPr>
          <w:trHeight w:val="210"/>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sz w:val="14"/>
                <w:szCs w:val="14"/>
              </w:rPr>
              <w:t>311</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bCs/>
                <w:color w:val="000000"/>
                <w:sz w:val="14"/>
                <w:szCs w:val="14"/>
              </w:rPr>
              <w:t>Odběratelé</w:t>
            </w:r>
          </w:p>
        </w:tc>
        <w:tc>
          <w:tcPr>
            <w:tcW w:w="120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276"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567"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99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40 127 202,32</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40 127 202,32</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A30834">
        <w:trPr>
          <w:trHeight w:val="553"/>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sz w:val="14"/>
                <w:szCs w:val="14"/>
              </w:rPr>
              <w:t>314</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bCs/>
                <w:color w:val="000000"/>
                <w:sz w:val="14"/>
                <w:szCs w:val="14"/>
              </w:rPr>
              <w:t>Krátkodobé poskytnuté zálohy</w:t>
            </w:r>
          </w:p>
        </w:tc>
        <w:tc>
          <w:tcPr>
            <w:tcW w:w="120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276"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567"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99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70 134 600,20</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70 134 600,20</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A30834">
        <w:trPr>
          <w:trHeight w:val="420"/>
        </w:trPr>
        <w:tc>
          <w:tcPr>
            <w:tcW w:w="687" w:type="dxa"/>
            <w:vMerge w:val="restart"/>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sz w:val="14"/>
                <w:szCs w:val="14"/>
              </w:rPr>
              <w:t>315</w:t>
            </w:r>
          </w:p>
        </w:tc>
        <w:tc>
          <w:tcPr>
            <w:tcW w:w="1088" w:type="dxa"/>
            <w:tcBorders>
              <w:top w:val="single" w:sz="4" w:space="0" w:color="auto"/>
              <w:left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bCs/>
                <w:color w:val="000000"/>
                <w:sz w:val="14"/>
                <w:szCs w:val="14"/>
              </w:rPr>
              <w:t>Jiné pohledávky</w:t>
            </w:r>
          </w:p>
        </w:tc>
        <w:tc>
          <w:tcPr>
            <w:tcW w:w="1202" w:type="dxa"/>
            <w:vMerge w:val="restart"/>
            <w:tcBorders>
              <w:top w:val="nil"/>
              <w:left w:val="single" w:sz="4" w:space="0" w:color="auto"/>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276" w:type="dxa"/>
            <w:vMerge w:val="restart"/>
            <w:tcBorders>
              <w:top w:val="nil"/>
              <w:left w:val="single" w:sz="4" w:space="0" w:color="auto"/>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567" w:type="dxa"/>
            <w:vMerge w:val="restart"/>
            <w:tcBorders>
              <w:top w:val="nil"/>
              <w:left w:val="single" w:sz="4" w:space="0" w:color="auto"/>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vMerge w:val="restart"/>
            <w:tcBorders>
              <w:top w:val="nil"/>
              <w:left w:val="single" w:sz="4" w:space="0" w:color="auto"/>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992" w:type="dxa"/>
            <w:vMerge w:val="restart"/>
            <w:tcBorders>
              <w:top w:val="nil"/>
              <w:left w:val="single" w:sz="4" w:space="0" w:color="auto"/>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92" w:type="dxa"/>
            <w:vMerge w:val="restart"/>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60 178 102,00</w:t>
            </w:r>
          </w:p>
        </w:tc>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60 178 102,00</w:t>
            </w:r>
          </w:p>
        </w:tc>
        <w:tc>
          <w:tcPr>
            <w:tcW w:w="512" w:type="dxa"/>
            <w:vMerge w:val="restart"/>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A30834">
        <w:trPr>
          <w:trHeight w:val="114"/>
        </w:trPr>
        <w:tc>
          <w:tcPr>
            <w:tcW w:w="687" w:type="dxa"/>
            <w:vMerge/>
            <w:tcBorders>
              <w:top w:val="nil"/>
              <w:left w:val="single" w:sz="4" w:space="0" w:color="auto"/>
              <w:bottom w:val="single" w:sz="4" w:space="0" w:color="auto"/>
              <w:right w:val="single" w:sz="4" w:space="0" w:color="auto"/>
            </w:tcBorders>
            <w:vAlign w:val="center"/>
            <w:hideMark/>
          </w:tcPr>
          <w:p w:rsidR="00EB5F83" w:rsidRPr="00A30834" w:rsidRDefault="00EB5F83" w:rsidP="00EB5F83">
            <w:pPr>
              <w:rPr>
                <w:rFonts w:ascii="Calibri" w:hAnsi="Calibri" w:cs="Calibri"/>
                <w:b/>
                <w:bCs/>
                <w:color w:val="000000"/>
                <w:sz w:val="14"/>
                <w:szCs w:val="14"/>
              </w:rPr>
            </w:pP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z hlavní činnosti</w:t>
            </w:r>
          </w:p>
        </w:tc>
        <w:tc>
          <w:tcPr>
            <w:tcW w:w="1202" w:type="dxa"/>
            <w:vMerge/>
            <w:tcBorders>
              <w:top w:val="nil"/>
              <w:left w:val="single" w:sz="4" w:space="0" w:color="auto"/>
              <w:bottom w:val="single" w:sz="4" w:space="0" w:color="auto"/>
              <w:right w:val="single" w:sz="4" w:space="0" w:color="auto"/>
            </w:tcBorders>
            <w:vAlign w:val="center"/>
            <w:hideMark/>
          </w:tcPr>
          <w:p w:rsidR="00EB5F83" w:rsidRPr="00A30834" w:rsidRDefault="00EB5F83" w:rsidP="00EB5F83">
            <w:pPr>
              <w:rPr>
                <w:rFonts w:ascii="Calibri" w:hAnsi="Calibri" w:cs="Calibri"/>
                <w:color w:val="000000"/>
                <w:sz w:val="14"/>
                <w:szCs w:val="14"/>
              </w:rPr>
            </w:pPr>
          </w:p>
        </w:tc>
        <w:tc>
          <w:tcPr>
            <w:tcW w:w="1276" w:type="dxa"/>
            <w:vMerge/>
            <w:tcBorders>
              <w:top w:val="nil"/>
              <w:left w:val="single" w:sz="4" w:space="0" w:color="auto"/>
              <w:bottom w:val="single" w:sz="4" w:space="0" w:color="auto"/>
              <w:right w:val="single" w:sz="4" w:space="0" w:color="auto"/>
            </w:tcBorders>
            <w:vAlign w:val="center"/>
            <w:hideMark/>
          </w:tcPr>
          <w:p w:rsidR="00EB5F83" w:rsidRPr="00A30834" w:rsidRDefault="00EB5F83" w:rsidP="00EB5F83">
            <w:pPr>
              <w:rPr>
                <w:rFonts w:ascii="Calibri" w:hAnsi="Calibri" w:cs="Calibri"/>
                <w:color w:val="000000"/>
                <w:sz w:val="14"/>
                <w:szCs w:val="14"/>
              </w:rPr>
            </w:pPr>
          </w:p>
        </w:tc>
        <w:tc>
          <w:tcPr>
            <w:tcW w:w="567" w:type="dxa"/>
            <w:vMerge/>
            <w:tcBorders>
              <w:top w:val="nil"/>
              <w:left w:val="single" w:sz="4" w:space="0" w:color="auto"/>
              <w:bottom w:val="single" w:sz="4" w:space="0" w:color="auto"/>
              <w:right w:val="single" w:sz="4" w:space="0" w:color="auto"/>
            </w:tcBorders>
            <w:vAlign w:val="center"/>
            <w:hideMark/>
          </w:tcPr>
          <w:p w:rsidR="00EB5F83" w:rsidRPr="00A30834" w:rsidRDefault="00EB5F83" w:rsidP="00EB5F83">
            <w:pPr>
              <w:rPr>
                <w:rFonts w:ascii="Calibri" w:hAnsi="Calibri" w:cs="Calibri"/>
                <w:color w:val="000000"/>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EB5F83" w:rsidRPr="00A30834" w:rsidRDefault="00EB5F83" w:rsidP="00EB5F83">
            <w:pPr>
              <w:rPr>
                <w:rFonts w:ascii="Calibri" w:hAnsi="Calibri" w:cs="Calibri"/>
                <w:color w:val="000000"/>
                <w:sz w:val="14"/>
                <w:szCs w:val="14"/>
              </w:rPr>
            </w:pPr>
          </w:p>
        </w:tc>
        <w:tc>
          <w:tcPr>
            <w:tcW w:w="992" w:type="dxa"/>
            <w:vMerge/>
            <w:tcBorders>
              <w:top w:val="nil"/>
              <w:left w:val="single" w:sz="4" w:space="0" w:color="auto"/>
              <w:bottom w:val="single" w:sz="4" w:space="0" w:color="auto"/>
              <w:right w:val="single" w:sz="4" w:space="0" w:color="auto"/>
            </w:tcBorders>
            <w:vAlign w:val="center"/>
            <w:hideMark/>
          </w:tcPr>
          <w:p w:rsidR="00EB5F83" w:rsidRPr="00A30834" w:rsidRDefault="00EB5F83" w:rsidP="00EB5F83">
            <w:pPr>
              <w:rPr>
                <w:rFonts w:ascii="Calibri" w:hAnsi="Calibri" w:cs="Calibri"/>
                <w:color w:val="000000"/>
                <w:sz w:val="14"/>
                <w:szCs w:val="14"/>
              </w:rPr>
            </w:pPr>
          </w:p>
        </w:tc>
        <w:tc>
          <w:tcPr>
            <w:tcW w:w="1192" w:type="dxa"/>
            <w:vMerge/>
            <w:tcBorders>
              <w:top w:val="nil"/>
              <w:left w:val="single" w:sz="4" w:space="0" w:color="auto"/>
              <w:bottom w:val="single" w:sz="4" w:space="0" w:color="auto"/>
              <w:right w:val="single" w:sz="4" w:space="0" w:color="auto"/>
            </w:tcBorders>
            <w:vAlign w:val="center"/>
            <w:hideMark/>
          </w:tcPr>
          <w:p w:rsidR="00EB5F83" w:rsidRPr="00A30834" w:rsidRDefault="00EB5F83" w:rsidP="00EB5F83">
            <w:pPr>
              <w:rPr>
                <w:rFonts w:ascii="Calibri" w:hAnsi="Calibri" w:cs="Calibri"/>
                <w:color w:val="000000"/>
                <w:sz w:val="14"/>
                <w:szCs w:val="14"/>
              </w:rPr>
            </w:pPr>
          </w:p>
        </w:tc>
        <w:tc>
          <w:tcPr>
            <w:tcW w:w="1218" w:type="dxa"/>
            <w:vMerge/>
            <w:tcBorders>
              <w:top w:val="nil"/>
              <w:left w:val="single" w:sz="4" w:space="0" w:color="auto"/>
              <w:bottom w:val="single" w:sz="4" w:space="0" w:color="auto"/>
              <w:right w:val="single" w:sz="4" w:space="0" w:color="auto"/>
            </w:tcBorders>
            <w:vAlign w:val="center"/>
            <w:hideMark/>
          </w:tcPr>
          <w:p w:rsidR="00EB5F83" w:rsidRPr="00A30834" w:rsidRDefault="00EB5F83" w:rsidP="00EB5F83">
            <w:pPr>
              <w:rPr>
                <w:rFonts w:ascii="Calibri" w:hAnsi="Calibri" w:cs="Calibri"/>
                <w:color w:val="000000"/>
                <w:sz w:val="14"/>
                <w:szCs w:val="14"/>
              </w:rPr>
            </w:pPr>
          </w:p>
        </w:tc>
        <w:tc>
          <w:tcPr>
            <w:tcW w:w="512" w:type="dxa"/>
            <w:vMerge/>
            <w:tcBorders>
              <w:top w:val="nil"/>
              <w:left w:val="single" w:sz="4" w:space="0" w:color="auto"/>
              <w:bottom w:val="single" w:sz="4" w:space="0" w:color="auto"/>
              <w:right w:val="single" w:sz="4" w:space="0" w:color="auto"/>
            </w:tcBorders>
            <w:vAlign w:val="center"/>
            <w:hideMark/>
          </w:tcPr>
          <w:p w:rsidR="00EB5F83" w:rsidRPr="00A30834" w:rsidRDefault="00EB5F83" w:rsidP="00EB5F83">
            <w:pPr>
              <w:rPr>
                <w:rFonts w:ascii="Calibri" w:hAnsi="Calibri" w:cs="Calibri"/>
                <w:color w:val="000000"/>
                <w:sz w:val="14"/>
                <w:szCs w:val="14"/>
              </w:rPr>
            </w:pPr>
          </w:p>
        </w:tc>
      </w:tr>
      <w:tr w:rsidR="00EB5F83" w:rsidRPr="00A30834" w:rsidTr="00A30834">
        <w:trPr>
          <w:trHeight w:val="871"/>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sz w:val="14"/>
                <w:szCs w:val="14"/>
              </w:rPr>
              <w:t>316</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bCs/>
                <w:color w:val="000000"/>
                <w:sz w:val="14"/>
                <w:szCs w:val="14"/>
              </w:rPr>
              <w:t>Poskytnuté návratné finanční výpomoci krátkodobé</w:t>
            </w:r>
          </w:p>
        </w:tc>
        <w:tc>
          <w:tcPr>
            <w:tcW w:w="120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276"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567"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99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3 610 000,00</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3 610 000,00</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EB5F83">
        <w:trPr>
          <w:trHeight w:val="210"/>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sz w:val="14"/>
                <w:szCs w:val="14"/>
              </w:rPr>
              <w:t>321</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bCs/>
                <w:color w:val="000000"/>
                <w:sz w:val="14"/>
                <w:szCs w:val="14"/>
              </w:rPr>
              <w:t>Dodavatelé</w:t>
            </w:r>
          </w:p>
        </w:tc>
        <w:tc>
          <w:tcPr>
            <w:tcW w:w="120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276"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567"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99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358 314,99</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358 314,99</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EB5F83">
        <w:trPr>
          <w:trHeight w:val="420"/>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sz w:val="14"/>
                <w:szCs w:val="14"/>
              </w:rPr>
              <w:t>324</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bCs/>
                <w:color w:val="000000"/>
                <w:sz w:val="14"/>
                <w:szCs w:val="14"/>
              </w:rPr>
              <w:t>Krátkodobé přijaté zálohy</w:t>
            </w:r>
          </w:p>
        </w:tc>
        <w:tc>
          <w:tcPr>
            <w:tcW w:w="120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276"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567"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99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23 669 083,53</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23 669 083,53</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EB5F83">
        <w:trPr>
          <w:trHeight w:val="210"/>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sz w:val="14"/>
                <w:szCs w:val="14"/>
              </w:rPr>
              <w:t>331</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bCs/>
                <w:color w:val="000000"/>
                <w:sz w:val="14"/>
                <w:szCs w:val="14"/>
              </w:rPr>
              <w:t>Zaměstnanci</w:t>
            </w:r>
          </w:p>
        </w:tc>
        <w:tc>
          <w:tcPr>
            <w:tcW w:w="120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276"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567"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99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12 450 360,00</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12 450 360,00</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A30834">
        <w:trPr>
          <w:trHeight w:val="357"/>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sz w:val="14"/>
                <w:szCs w:val="14"/>
              </w:rPr>
              <w:t>335</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bCs/>
                <w:color w:val="000000"/>
                <w:sz w:val="14"/>
                <w:szCs w:val="14"/>
              </w:rPr>
              <w:t>Pohledávky za zaměstnanci</w:t>
            </w:r>
          </w:p>
        </w:tc>
        <w:tc>
          <w:tcPr>
            <w:tcW w:w="120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276"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567"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99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160 070,00</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160 070,00</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EB5F83">
        <w:trPr>
          <w:trHeight w:val="420"/>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sz w:val="14"/>
                <w:szCs w:val="14"/>
              </w:rPr>
              <w:t>336</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bCs/>
                <w:color w:val="000000"/>
                <w:sz w:val="14"/>
                <w:szCs w:val="14"/>
              </w:rPr>
              <w:t>Sociální zabezpečení</w:t>
            </w:r>
          </w:p>
        </w:tc>
        <w:tc>
          <w:tcPr>
            <w:tcW w:w="120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276"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567"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99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4 908 638,00</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4 908 638,00</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EB5F83">
        <w:trPr>
          <w:trHeight w:val="420"/>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sz w:val="14"/>
                <w:szCs w:val="14"/>
              </w:rPr>
              <w:t>337</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bCs/>
                <w:color w:val="000000"/>
                <w:sz w:val="14"/>
                <w:szCs w:val="14"/>
              </w:rPr>
              <w:t>Zdravotní pojištění</w:t>
            </w:r>
          </w:p>
        </w:tc>
        <w:tc>
          <w:tcPr>
            <w:tcW w:w="120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276"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567"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99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2 154 779,00</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2 154 779,00</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EB5F83">
        <w:trPr>
          <w:trHeight w:val="210"/>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341</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Daň z příjmů</w:t>
            </w:r>
          </w:p>
        </w:tc>
        <w:tc>
          <w:tcPr>
            <w:tcW w:w="120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right"/>
              <w:rPr>
                <w:rFonts w:ascii="Calibri" w:hAnsi="Calibri" w:cs="Calibri"/>
                <w:color w:val="000000"/>
                <w:sz w:val="14"/>
                <w:szCs w:val="14"/>
              </w:rPr>
            </w:pPr>
            <w:r w:rsidRPr="00A30834">
              <w:rPr>
                <w:rFonts w:ascii="Calibri" w:hAnsi="Calibri" w:cs="Calibri"/>
                <w:color w:val="000000"/>
                <w:sz w:val="14"/>
                <w:szCs w:val="14"/>
              </w:rPr>
              <w:t> </w:t>
            </w:r>
          </w:p>
        </w:tc>
        <w:tc>
          <w:tcPr>
            <w:tcW w:w="1276"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right"/>
              <w:rPr>
                <w:rFonts w:ascii="Calibri" w:hAnsi="Calibri" w:cs="Calibri"/>
                <w:color w:val="000000"/>
                <w:sz w:val="14"/>
                <w:szCs w:val="14"/>
              </w:rPr>
            </w:pPr>
            <w:r w:rsidRPr="00A30834">
              <w:rPr>
                <w:rFonts w:ascii="Calibri" w:hAnsi="Calibri" w:cs="Calibri"/>
                <w:color w:val="000000"/>
                <w:sz w:val="14"/>
                <w:szCs w:val="14"/>
              </w:rPr>
              <w:t> </w:t>
            </w:r>
          </w:p>
        </w:tc>
        <w:tc>
          <w:tcPr>
            <w:tcW w:w="567"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 </w:t>
            </w:r>
          </w:p>
        </w:tc>
        <w:tc>
          <w:tcPr>
            <w:tcW w:w="99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 </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24 901 870,00</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24 901 870,00</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A30834">
        <w:trPr>
          <w:trHeight w:val="732"/>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342</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Ostatní daně, poplatky a jiná obdobná peněžitá plnění</w:t>
            </w:r>
          </w:p>
        </w:tc>
        <w:tc>
          <w:tcPr>
            <w:tcW w:w="120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276"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567"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99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1 271 510,00</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1 271 510,00</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EB5F83">
        <w:trPr>
          <w:trHeight w:val="420"/>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343</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Daň z přidané hodnoty</w:t>
            </w:r>
          </w:p>
        </w:tc>
        <w:tc>
          <w:tcPr>
            <w:tcW w:w="120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276"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567"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99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600 204,88</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600 204,88</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A30834">
        <w:trPr>
          <w:trHeight w:val="848"/>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346</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bCs/>
                <w:color w:val="000000"/>
                <w:sz w:val="14"/>
                <w:szCs w:val="14"/>
              </w:rPr>
              <w:t>Pohledávky za vybranými ústředními vládními institucemi</w:t>
            </w:r>
          </w:p>
        </w:tc>
        <w:tc>
          <w:tcPr>
            <w:tcW w:w="120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276"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567"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99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190 000,00</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190 000,00</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A30834">
        <w:trPr>
          <w:trHeight w:val="777"/>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373</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Krátkodobé poskytnuté zálohy na transfery</w:t>
            </w:r>
          </w:p>
        </w:tc>
        <w:tc>
          <w:tcPr>
            <w:tcW w:w="120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276"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567"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99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42 560 112,60</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42 560 112,60</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EB5F83">
        <w:trPr>
          <w:trHeight w:val="630"/>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374</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Krátkodobé přijaté zálohy na transfery</w:t>
            </w:r>
          </w:p>
        </w:tc>
        <w:tc>
          <w:tcPr>
            <w:tcW w:w="120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276"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567"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99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10 685 845,06</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10 685 845,06</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EB5F83">
        <w:trPr>
          <w:trHeight w:val="630"/>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377</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Ostatní krátkodobé pohledávky</w:t>
            </w:r>
          </w:p>
        </w:tc>
        <w:tc>
          <w:tcPr>
            <w:tcW w:w="120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276"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567"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99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16 500,00</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16 500,00</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EB5F83">
        <w:trPr>
          <w:trHeight w:val="630"/>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378</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Ostatní krátkodobé závazky</w:t>
            </w:r>
          </w:p>
        </w:tc>
        <w:tc>
          <w:tcPr>
            <w:tcW w:w="120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276"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567"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99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8 045 346,83</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8 045 346,83</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EB5F83">
        <w:trPr>
          <w:trHeight w:val="420"/>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381</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Náklady příštích období</w:t>
            </w:r>
          </w:p>
        </w:tc>
        <w:tc>
          <w:tcPr>
            <w:tcW w:w="120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276"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567"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99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638 642,58</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638 642,58</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EB5F83">
        <w:trPr>
          <w:trHeight w:val="420"/>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sz w:val="14"/>
                <w:szCs w:val="14"/>
              </w:rPr>
              <w:t>383</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bCs/>
                <w:color w:val="000000"/>
                <w:sz w:val="14"/>
                <w:szCs w:val="14"/>
              </w:rPr>
              <w:t>Výdaje příštích období</w:t>
            </w:r>
          </w:p>
        </w:tc>
        <w:tc>
          <w:tcPr>
            <w:tcW w:w="120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276"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567"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99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6 875 356,03</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6 875 356,03</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EB5F83">
        <w:trPr>
          <w:trHeight w:val="420"/>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sz w:val="14"/>
                <w:szCs w:val="14"/>
              </w:rPr>
              <w:lastRenderedPageBreak/>
              <w:t>384</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bCs/>
                <w:color w:val="000000"/>
                <w:sz w:val="14"/>
                <w:szCs w:val="14"/>
              </w:rPr>
              <w:t>Výnosy příštích období</w:t>
            </w:r>
          </w:p>
        </w:tc>
        <w:tc>
          <w:tcPr>
            <w:tcW w:w="120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276"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567"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99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2 457 869,30</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2 457 869,30</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EB5F83">
        <w:trPr>
          <w:trHeight w:val="420"/>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385</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Příjmy příštích období</w:t>
            </w:r>
          </w:p>
        </w:tc>
        <w:tc>
          <w:tcPr>
            <w:tcW w:w="120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right"/>
              <w:rPr>
                <w:rFonts w:ascii="Calibri" w:hAnsi="Calibri" w:cs="Calibri"/>
                <w:color w:val="000000"/>
                <w:sz w:val="14"/>
                <w:szCs w:val="14"/>
              </w:rPr>
            </w:pPr>
            <w:r w:rsidRPr="00A30834">
              <w:rPr>
                <w:rFonts w:ascii="Calibri" w:hAnsi="Calibri" w:cs="Calibri"/>
                <w:color w:val="000000"/>
                <w:sz w:val="14"/>
                <w:szCs w:val="14"/>
              </w:rPr>
              <w:t> </w:t>
            </w:r>
          </w:p>
        </w:tc>
        <w:tc>
          <w:tcPr>
            <w:tcW w:w="1276"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right"/>
              <w:rPr>
                <w:rFonts w:ascii="Calibri" w:hAnsi="Calibri" w:cs="Calibri"/>
                <w:color w:val="000000"/>
                <w:sz w:val="14"/>
                <w:szCs w:val="14"/>
              </w:rPr>
            </w:pPr>
            <w:r w:rsidRPr="00A30834">
              <w:rPr>
                <w:rFonts w:ascii="Calibri" w:hAnsi="Calibri" w:cs="Calibri"/>
                <w:color w:val="000000"/>
                <w:sz w:val="14"/>
                <w:szCs w:val="14"/>
              </w:rPr>
              <w:t> </w:t>
            </w:r>
          </w:p>
        </w:tc>
        <w:tc>
          <w:tcPr>
            <w:tcW w:w="567"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 </w:t>
            </w:r>
          </w:p>
        </w:tc>
        <w:tc>
          <w:tcPr>
            <w:tcW w:w="99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 </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0</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0</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EB5F83">
        <w:trPr>
          <w:trHeight w:val="420"/>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388</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Dohadné účty aktivní</w:t>
            </w:r>
          </w:p>
        </w:tc>
        <w:tc>
          <w:tcPr>
            <w:tcW w:w="120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right"/>
              <w:rPr>
                <w:rFonts w:ascii="Calibri" w:hAnsi="Calibri" w:cs="Calibri"/>
                <w:color w:val="000000"/>
                <w:sz w:val="14"/>
                <w:szCs w:val="14"/>
              </w:rPr>
            </w:pPr>
            <w:r w:rsidRPr="00A30834">
              <w:rPr>
                <w:rFonts w:ascii="Calibri" w:hAnsi="Calibri" w:cs="Calibri"/>
                <w:color w:val="000000"/>
                <w:sz w:val="14"/>
                <w:szCs w:val="14"/>
              </w:rPr>
              <w:t> </w:t>
            </w:r>
          </w:p>
        </w:tc>
        <w:tc>
          <w:tcPr>
            <w:tcW w:w="1276"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right"/>
              <w:rPr>
                <w:rFonts w:ascii="Calibri" w:hAnsi="Calibri" w:cs="Calibri"/>
                <w:color w:val="000000"/>
                <w:sz w:val="14"/>
                <w:szCs w:val="14"/>
              </w:rPr>
            </w:pPr>
            <w:r w:rsidRPr="00A30834">
              <w:rPr>
                <w:rFonts w:ascii="Calibri" w:hAnsi="Calibri" w:cs="Calibri"/>
                <w:color w:val="000000"/>
                <w:sz w:val="14"/>
                <w:szCs w:val="14"/>
              </w:rPr>
              <w:t> </w:t>
            </w:r>
          </w:p>
        </w:tc>
        <w:tc>
          <w:tcPr>
            <w:tcW w:w="567"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 </w:t>
            </w:r>
          </w:p>
        </w:tc>
        <w:tc>
          <w:tcPr>
            <w:tcW w:w="99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 </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78 217 884,00</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78 217 884,00</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EB5F83">
        <w:trPr>
          <w:trHeight w:val="420"/>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389</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Dohadné účty pasivní</w:t>
            </w:r>
          </w:p>
        </w:tc>
        <w:tc>
          <w:tcPr>
            <w:tcW w:w="120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right"/>
              <w:rPr>
                <w:rFonts w:ascii="Calibri" w:hAnsi="Calibri" w:cs="Calibri"/>
                <w:color w:val="000000"/>
                <w:sz w:val="14"/>
                <w:szCs w:val="14"/>
              </w:rPr>
            </w:pPr>
            <w:r w:rsidRPr="00A30834">
              <w:rPr>
                <w:rFonts w:ascii="Calibri" w:hAnsi="Calibri" w:cs="Calibri"/>
                <w:color w:val="000000"/>
                <w:sz w:val="14"/>
                <w:szCs w:val="14"/>
              </w:rPr>
              <w:t> </w:t>
            </w:r>
          </w:p>
        </w:tc>
        <w:tc>
          <w:tcPr>
            <w:tcW w:w="1276"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right"/>
              <w:rPr>
                <w:rFonts w:ascii="Calibri" w:hAnsi="Calibri" w:cs="Calibri"/>
                <w:color w:val="000000"/>
                <w:sz w:val="14"/>
                <w:szCs w:val="14"/>
              </w:rPr>
            </w:pPr>
            <w:r w:rsidRPr="00A30834">
              <w:rPr>
                <w:rFonts w:ascii="Calibri" w:hAnsi="Calibri" w:cs="Calibri"/>
                <w:color w:val="000000"/>
                <w:sz w:val="14"/>
                <w:szCs w:val="14"/>
              </w:rPr>
              <w:t> </w:t>
            </w:r>
          </w:p>
        </w:tc>
        <w:tc>
          <w:tcPr>
            <w:tcW w:w="567"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 </w:t>
            </w:r>
          </w:p>
        </w:tc>
        <w:tc>
          <w:tcPr>
            <w:tcW w:w="99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 </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119 392 347,00</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119 392 347,00</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EB5F83">
        <w:trPr>
          <w:trHeight w:val="420"/>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sz w:val="14"/>
                <w:szCs w:val="14"/>
              </w:rPr>
              <w:t>401</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bCs/>
                <w:color w:val="000000"/>
                <w:sz w:val="14"/>
                <w:szCs w:val="14"/>
              </w:rPr>
              <w:t>Jmění účetní jednotky</w:t>
            </w:r>
          </w:p>
        </w:tc>
        <w:tc>
          <w:tcPr>
            <w:tcW w:w="120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276"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567"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99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3 981 568 713,53</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3 981 568 713,53</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EB5F83">
        <w:trPr>
          <w:trHeight w:val="840"/>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403</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Transfery na pořízení dlouhodobého majetku</w:t>
            </w:r>
          </w:p>
        </w:tc>
        <w:tc>
          <w:tcPr>
            <w:tcW w:w="120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276"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567"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99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329 838 932,83</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329 838 932,83</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A30834">
        <w:trPr>
          <w:trHeight w:val="839"/>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406</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Oceňovací rozdíly při prvotním použití metody</w:t>
            </w:r>
          </w:p>
        </w:tc>
        <w:tc>
          <w:tcPr>
            <w:tcW w:w="120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right"/>
              <w:rPr>
                <w:rFonts w:ascii="Calibri" w:hAnsi="Calibri" w:cs="Calibri"/>
                <w:color w:val="000000"/>
                <w:sz w:val="14"/>
                <w:szCs w:val="14"/>
              </w:rPr>
            </w:pPr>
            <w:r w:rsidRPr="00A30834">
              <w:rPr>
                <w:rFonts w:ascii="Calibri" w:hAnsi="Calibri" w:cs="Calibri"/>
                <w:color w:val="000000"/>
                <w:sz w:val="14"/>
                <w:szCs w:val="14"/>
              </w:rPr>
              <w:t> </w:t>
            </w:r>
          </w:p>
        </w:tc>
        <w:tc>
          <w:tcPr>
            <w:tcW w:w="1276"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right"/>
              <w:rPr>
                <w:rFonts w:ascii="Calibri" w:hAnsi="Calibri" w:cs="Calibri"/>
                <w:color w:val="000000"/>
                <w:sz w:val="14"/>
                <w:szCs w:val="14"/>
              </w:rPr>
            </w:pPr>
            <w:r w:rsidRPr="00A30834">
              <w:rPr>
                <w:rFonts w:ascii="Calibri" w:hAnsi="Calibri" w:cs="Calibri"/>
                <w:color w:val="000000"/>
                <w:sz w:val="14"/>
                <w:szCs w:val="14"/>
              </w:rPr>
              <w:t> </w:t>
            </w:r>
          </w:p>
        </w:tc>
        <w:tc>
          <w:tcPr>
            <w:tcW w:w="567"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 </w:t>
            </w:r>
          </w:p>
        </w:tc>
        <w:tc>
          <w:tcPr>
            <w:tcW w:w="99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 </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 xml:space="preserve">- </w:t>
            </w:r>
            <w:r w:rsidRPr="001C0634">
              <w:rPr>
                <w:rFonts w:ascii="Calibri" w:hAnsi="Calibri" w:cs="Calibri"/>
                <w:color w:val="000000"/>
                <w:sz w:val="13"/>
                <w:szCs w:val="13"/>
              </w:rPr>
              <w:t>1 068 671 448,30</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- 1 068 671 448,30</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EB5F83">
        <w:trPr>
          <w:trHeight w:val="420"/>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407</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Jiné oceňovací rozdíly</w:t>
            </w:r>
          </w:p>
        </w:tc>
        <w:tc>
          <w:tcPr>
            <w:tcW w:w="120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right"/>
              <w:rPr>
                <w:rFonts w:ascii="Calibri" w:hAnsi="Calibri" w:cs="Calibri"/>
                <w:color w:val="000000"/>
                <w:sz w:val="14"/>
                <w:szCs w:val="14"/>
              </w:rPr>
            </w:pPr>
            <w:r w:rsidRPr="00A30834">
              <w:rPr>
                <w:rFonts w:ascii="Calibri" w:hAnsi="Calibri" w:cs="Calibri"/>
                <w:color w:val="000000"/>
                <w:sz w:val="14"/>
                <w:szCs w:val="14"/>
              </w:rPr>
              <w:t> </w:t>
            </w:r>
          </w:p>
        </w:tc>
        <w:tc>
          <w:tcPr>
            <w:tcW w:w="1276"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right"/>
              <w:rPr>
                <w:rFonts w:ascii="Calibri" w:hAnsi="Calibri" w:cs="Calibri"/>
                <w:color w:val="000000"/>
                <w:sz w:val="14"/>
                <w:szCs w:val="14"/>
              </w:rPr>
            </w:pPr>
            <w:r w:rsidRPr="00A30834">
              <w:rPr>
                <w:rFonts w:ascii="Calibri" w:hAnsi="Calibri" w:cs="Calibri"/>
                <w:color w:val="000000"/>
                <w:sz w:val="14"/>
                <w:szCs w:val="14"/>
              </w:rPr>
              <w:t> </w:t>
            </w:r>
          </w:p>
        </w:tc>
        <w:tc>
          <w:tcPr>
            <w:tcW w:w="567"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 </w:t>
            </w:r>
          </w:p>
        </w:tc>
        <w:tc>
          <w:tcPr>
            <w:tcW w:w="99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 </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34 031 524,67</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34 031 524,67</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A30834">
        <w:trPr>
          <w:trHeight w:val="687"/>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408</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Opravy předcházejících účetních období</w:t>
            </w:r>
          </w:p>
        </w:tc>
        <w:tc>
          <w:tcPr>
            <w:tcW w:w="120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right"/>
              <w:rPr>
                <w:rFonts w:ascii="Calibri" w:hAnsi="Calibri" w:cs="Calibri"/>
                <w:color w:val="000000"/>
                <w:sz w:val="14"/>
                <w:szCs w:val="14"/>
              </w:rPr>
            </w:pPr>
            <w:r w:rsidRPr="00A30834">
              <w:rPr>
                <w:rFonts w:ascii="Calibri" w:hAnsi="Calibri" w:cs="Calibri"/>
                <w:color w:val="000000"/>
                <w:sz w:val="14"/>
                <w:szCs w:val="14"/>
              </w:rPr>
              <w:t> </w:t>
            </w:r>
          </w:p>
        </w:tc>
        <w:tc>
          <w:tcPr>
            <w:tcW w:w="1276"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right"/>
              <w:rPr>
                <w:rFonts w:ascii="Calibri" w:hAnsi="Calibri" w:cs="Calibri"/>
                <w:color w:val="000000"/>
                <w:sz w:val="14"/>
                <w:szCs w:val="14"/>
              </w:rPr>
            </w:pPr>
            <w:r w:rsidRPr="00A30834">
              <w:rPr>
                <w:rFonts w:ascii="Calibri" w:hAnsi="Calibri" w:cs="Calibri"/>
                <w:color w:val="000000"/>
                <w:sz w:val="14"/>
                <w:szCs w:val="14"/>
              </w:rPr>
              <w:t> </w:t>
            </w:r>
          </w:p>
        </w:tc>
        <w:tc>
          <w:tcPr>
            <w:tcW w:w="567"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 </w:t>
            </w:r>
          </w:p>
        </w:tc>
        <w:tc>
          <w:tcPr>
            <w:tcW w:w="99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 </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10 438 070,00</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10 438 070,00</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EB5F83">
        <w:trPr>
          <w:trHeight w:val="210"/>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419</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Ostatní fondy</w:t>
            </w:r>
          </w:p>
        </w:tc>
        <w:tc>
          <w:tcPr>
            <w:tcW w:w="120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right"/>
              <w:rPr>
                <w:rFonts w:ascii="Calibri" w:hAnsi="Calibri" w:cs="Calibri"/>
                <w:color w:val="000000"/>
                <w:sz w:val="14"/>
                <w:szCs w:val="14"/>
              </w:rPr>
            </w:pPr>
            <w:r w:rsidRPr="00A30834">
              <w:rPr>
                <w:rFonts w:ascii="Calibri" w:hAnsi="Calibri" w:cs="Calibri"/>
                <w:color w:val="000000"/>
                <w:sz w:val="14"/>
                <w:szCs w:val="14"/>
              </w:rPr>
              <w:t> </w:t>
            </w:r>
          </w:p>
        </w:tc>
        <w:tc>
          <w:tcPr>
            <w:tcW w:w="1276"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right"/>
              <w:rPr>
                <w:rFonts w:ascii="Calibri" w:hAnsi="Calibri" w:cs="Calibri"/>
                <w:color w:val="000000"/>
                <w:sz w:val="14"/>
                <w:szCs w:val="14"/>
              </w:rPr>
            </w:pPr>
            <w:r w:rsidRPr="00A30834">
              <w:rPr>
                <w:rFonts w:ascii="Calibri" w:hAnsi="Calibri" w:cs="Calibri"/>
                <w:color w:val="000000"/>
                <w:sz w:val="14"/>
                <w:szCs w:val="14"/>
              </w:rPr>
              <w:t> </w:t>
            </w:r>
          </w:p>
        </w:tc>
        <w:tc>
          <w:tcPr>
            <w:tcW w:w="567"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 </w:t>
            </w:r>
          </w:p>
        </w:tc>
        <w:tc>
          <w:tcPr>
            <w:tcW w:w="99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 </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280 637 426,36</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280 637 426,36</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A30834">
        <w:trPr>
          <w:trHeight w:val="573"/>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459</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Ostatní dlouhodobé závazky</w:t>
            </w:r>
          </w:p>
        </w:tc>
        <w:tc>
          <w:tcPr>
            <w:tcW w:w="120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right"/>
              <w:rPr>
                <w:rFonts w:ascii="Calibri" w:hAnsi="Calibri" w:cs="Calibri"/>
                <w:color w:val="000000"/>
                <w:sz w:val="14"/>
                <w:szCs w:val="14"/>
              </w:rPr>
            </w:pPr>
            <w:r w:rsidRPr="00A30834">
              <w:rPr>
                <w:rFonts w:ascii="Calibri" w:hAnsi="Calibri" w:cs="Calibri"/>
                <w:color w:val="000000"/>
                <w:sz w:val="14"/>
                <w:szCs w:val="14"/>
              </w:rPr>
              <w:t> </w:t>
            </w:r>
          </w:p>
        </w:tc>
        <w:tc>
          <w:tcPr>
            <w:tcW w:w="1276"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right"/>
              <w:rPr>
                <w:rFonts w:ascii="Calibri" w:hAnsi="Calibri" w:cs="Calibri"/>
                <w:color w:val="000000"/>
                <w:sz w:val="14"/>
                <w:szCs w:val="14"/>
              </w:rPr>
            </w:pPr>
            <w:r w:rsidRPr="00A30834">
              <w:rPr>
                <w:rFonts w:ascii="Calibri" w:hAnsi="Calibri" w:cs="Calibri"/>
                <w:color w:val="000000"/>
                <w:sz w:val="14"/>
                <w:szCs w:val="14"/>
              </w:rPr>
              <w:t> </w:t>
            </w:r>
          </w:p>
        </w:tc>
        <w:tc>
          <w:tcPr>
            <w:tcW w:w="567"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 </w:t>
            </w:r>
          </w:p>
        </w:tc>
        <w:tc>
          <w:tcPr>
            <w:tcW w:w="99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 </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7 114 763,27</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7 114 763,27</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A30834">
        <w:trPr>
          <w:trHeight w:val="567"/>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465</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Dlouhodobé poskytnuté zálohy</w:t>
            </w:r>
          </w:p>
        </w:tc>
        <w:tc>
          <w:tcPr>
            <w:tcW w:w="120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right"/>
              <w:rPr>
                <w:rFonts w:ascii="Calibri" w:hAnsi="Calibri" w:cs="Calibri"/>
                <w:color w:val="000000"/>
                <w:sz w:val="14"/>
                <w:szCs w:val="14"/>
              </w:rPr>
            </w:pPr>
            <w:r w:rsidRPr="00A30834">
              <w:rPr>
                <w:rFonts w:ascii="Calibri" w:hAnsi="Calibri" w:cs="Calibri"/>
                <w:color w:val="000000"/>
                <w:sz w:val="14"/>
                <w:szCs w:val="14"/>
              </w:rPr>
              <w:t> </w:t>
            </w:r>
          </w:p>
        </w:tc>
        <w:tc>
          <w:tcPr>
            <w:tcW w:w="1276"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right"/>
              <w:rPr>
                <w:rFonts w:ascii="Calibri" w:hAnsi="Calibri" w:cs="Calibri"/>
                <w:color w:val="000000"/>
                <w:sz w:val="14"/>
                <w:szCs w:val="14"/>
              </w:rPr>
            </w:pPr>
            <w:r w:rsidRPr="00A30834">
              <w:rPr>
                <w:rFonts w:ascii="Calibri" w:hAnsi="Calibri" w:cs="Calibri"/>
                <w:color w:val="000000"/>
                <w:sz w:val="14"/>
                <w:szCs w:val="14"/>
              </w:rPr>
              <w:t> </w:t>
            </w:r>
          </w:p>
        </w:tc>
        <w:tc>
          <w:tcPr>
            <w:tcW w:w="567"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 </w:t>
            </w:r>
          </w:p>
        </w:tc>
        <w:tc>
          <w:tcPr>
            <w:tcW w:w="99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 </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1 000,00</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1 000,00</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EB5F83">
        <w:trPr>
          <w:trHeight w:val="630"/>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472</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Dlouhodobé přijaté zálohy na transfery</w:t>
            </w:r>
          </w:p>
        </w:tc>
        <w:tc>
          <w:tcPr>
            <w:tcW w:w="120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right"/>
              <w:rPr>
                <w:rFonts w:ascii="Calibri" w:hAnsi="Calibri" w:cs="Calibri"/>
                <w:color w:val="000000"/>
                <w:sz w:val="14"/>
                <w:szCs w:val="14"/>
              </w:rPr>
            </w:pPr>
            <w:r w:rsidRPr="00A30834">
              <w:rPr>
                <w:rFonts w:ascii="Calibri" w:hAnsi="Calibri" w:cs="Calibri"/>
                <w:color w:val="000000"/>
                <w:sz w:val="14"/>
                <w:szCs w:val="14"/>
              </w:rPr>
              <w:t> </w:t>
            </w:r>
          </w:p>
        </w:tc>
        <w:tc>
          <w:tcPr>
            <w:tcW w:w="1276"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right"/>
              <w:rPr>
                <w:rFonts w:ascii="Calibri" w:hAnsi="Calibri" w:cs="Calibri"/>
                <w:color w:val="000000"/>
                <w:sz w:val="14"/>
                <w:szCs w:val="14"/>
              </w:rPr>
            </w:pPr>
            <w:r w:rsidRPr="00A30834">
              <w:rPr>
                <w:rFonts w:ascii="Calibri" w:hAnsi="Calibri" w:cs="Calibri"/>
                <w:color w:val="000000"/>
                <w:sz w:val="14"/>
                <w:szCs w:val="14"/>
              </w:rPr>
              <w:t> </w:t>
            </w:r>
          </w:p>
        </w:tc>
        <w:tc>
          <w:tcPr>
            <w:tcW w:w="567"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 </w:t>
            </w:r>
          </w:p>
        </w:tc>
        <w:tc>
          <w:tcPr>
            <w:tcW w:w="99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 </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22 858 730,43</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22 858 730,43</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A30834">
        <w:trPr>
          <w:trHeight w:val="188"/>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07x a 08x</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Oprávky</w:t>
            </w:r>
          </w:p>
        </w:tc>
        <w:tc>
          <w:tcPr>
            <w:tcW w:w="120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right"/>
              <w:rPr>
                <w:rFonts w:ascii="Calibri" w:hAnsi="Calibri" w:cs="Calibri"/>
                <w:color w:val="000000"/>
                <w:sz w:val="14"/>
                <w:szCs w:val="14"/>
              </w:rPr>
            </w:pPr>
            <w:r w:rsidRPr="00A30834">
              <w:rPr>
                <w:rFonts w:ascii="Calibri" w:hAnsi="Calibri" w:cs="Calibri"/>
                <w:color w:val="000000"/>
                <w:sz w:val="14"/>
                <w:szCs w:val="14"/>
              </w:rPr>
              <w:t> </w:t>
            </w:r>
          </w:p>
        </w:tc>
        <w:tc>
          <w:tcPr>
            <w:tcW w:w="1276"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right"/>
              <w:rPr>
                <w:rFonts w:ascii="Calibri" w:hAnsi="Calibri" w:cs="Calibri"/>
                <w:color w:val="000000"/>
                <w:sz w:val="14"/>
                <w:szCs w:val="14"/>
              </w:rPr>
            </w:pPr>
            <w:r w:rsidRPr="00A30834">
              <w:rPr>
                <w:rFonts w:ascii="Calibri" w:hAnsi="Calibri" w:cs="Calibri"/>
                <w:color w:val="000000"/>
                <w:sz w:val="14"/>
                <w:szCs w:val="14"/>
              </w:rPr>
              <w:t> </w:t>
            </w:r>
          </w:p>
        </w:tc>
        <w:tc>
          <w:tcPr>
            <w:tcW w:w="567"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 </w:t>
            </w:r>
          </w:p>
        </w:tc>
        <w:tc>
          <w:tcPr>
            <w:tcW w:w="99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 </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1 553 096 435,20</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1 553 096 435,20</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A30834">
        <w:trPr>
          <w:trHeight w:val="519"/>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192 a 194</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Opravné položky k pohledávkám</w:t>
            </w:r>
          </w:p>
        </w:tc>
        <w:tc>
          <w:tcPr>
            <w:tcW w:w="120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right"/>
              <w:rPr>
                <w:rFonts w:ascii="Calibri" w:hAnsi="Calibri" w:cs="Calibri"/>
                <w:color w:val="000000"/>
                <w:sz w:val="14"/>
                <w:szCs w:val="14"/>
              </w:rPr>
            </w:pPr>
            <w:r w:rsidRPr="00A30834">
              <w:rPr>
                <w:rFonts w:ascii="Calibri" w:hAnsi="Calibri" w:cs="Calibri"/>
                <w:color w:val="000000"/>
                <w:sz w:val="14"/>
                <w:szCs w:val="14"/>
              </w:rPr>
              <w:t> </w:t>
            </w:r>
          </w:p>
        </w:tc>
        <w:tc>
          <w:tcPr>
            <w:tcW w:w="1276"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right"/>
              <w:rPr>
                <w:rFonts w:ascii="Calibri" w:hAnsi="Calibri" w:cs="Calibri"/>
                <w:color w:val="000000"/>
                <w:sz w:val="14"/>
                <w:szCs w:val="14"/>
              </w:rPr>
            </w:pPr>
            <w:r w:rsidRPr="00A30834">
              <w:rPr>
                <w:rFonts w:ascii="Calibri" w:hAnsi="Calibri" w:cs="Calibri"/>
                <w:color w:val="000000"/>
                <w:sz w:val="14"/>
                <w:szCs w:val="14"/>
              </w:rPr>
              <w:t> </w:t>
            </w:r>
          </w:p>
        </w:tc>
        <w:tc>
          <w:tcPr>
            <w:tcW w:w="567"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 </w:t>
            </w:r>
          </w:p>
        </w:tc>
        <w:tc>
          <w:tcPr>
            <w:tcW w:w="99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 </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57 293 538,31</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57 293 538,31</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EB5F83">
        <w:trPr>
          <w:trHeight w:val="420"/>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909</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Ostatní majetek</w:t>
            </w:r>
          </w:p>
        </w:tc>
        <w:tc>
          <w:tcPr>
            <w:tcW w:w="120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1 405 152 830,28</w:t>
            </w:r>
          </w:p>
        </w:tc>
        <w:tc>
          <w:tcPr>
            <w:tcW w:w="1276"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right"/>
              <w:rPr>
                <w:rFonts w:ascii="Calibri" w:hAnsi="Calibri" w:cs="Calibri"/>
                <w:color w:val="000000"/>
                <w:sz w:val="14"/>
                <w:szCs w:val="14"/>
              </w:rPr>
            </w:pPr>
            <w:r w:rsidRPr="00A30834">
              <w:rPr>
                <w:rFonts w:ascii="Calibri" w:hAnsi="Calibri" w:cs="Calibri"/>
                <w:color w:val="000000"/>
                <w:sz w:val="14"/>
                <w:szCs w:val="14"/>
              </w:rPr>
              <w:t>1 405 152 830,28</w:t>
            </w:r>
          </w:p>
        </w:tc>
        <w:tc>
          <w:tcPr>
            <w:tcW w:w="567"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c>
          <w:tcPr>
            <w:tcW w:w="1134"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14 135 119,72</w:t>
            </w:r>
          </w:p>
        </w:tc>
        <w:tc>
          <w:tcPr>
            <w:tcW w:w="9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0</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1 419 287 950,00</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1 419 287 950,00</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A30834">
        <w:trPr>
          <w:trHeight w:val="674"/>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902</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Jiný drobný dlouhodobý hmotný majetek</w:t>
            </w:r>
          </w:p>
        </w:tc>
        <w:tc>
          <w:tcPr>
            <w:tcW w:w="120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14 725 727,11</w:t>
            </w:r>
          </w:p>
        </w:tc>
        <w:tc>
          <w:tcPr>
            <w:tcW w:w="1276"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right"/>
              <w:rPr>
                <w:rFonts w:ascii="Calibri" w:hAnsi="Calibri" w:cs="Calibri"/>
                <w:color w:val="000000"/>
                <w:sz w:val="14"/>
                <w:szCs w:val="14"/>
              </w:rPr>
            </w:pPr>
            <w:r w:rsidRPr="00A30834">
              <w:rPr>
                <w:rFonts w:ascii="Calibri" w:hAnsi="Calibri" w:cs="Calibri"/>
                <w:color w:val="000000"/>
                <w:sz w:val="14"/>
                <w:szCs w:val="14"/>
              </w:rPr>
              <w:t>14 725 727,11</w:t>
            </w:r>
          </w:p>
        </w:tc>
        <w:tc>
          <w:tcPr>
            <w:tcW w:w="567"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c>
          <w:tcPr>
            <w:tcW w:w="1134"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410 939,69</w:t>
            </w:r>
          </w:p>
        </w:tc>
        <w:tc>
          <w:tcPr>
            <w:tcW w:w="9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160 325,00</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14 976 341,80</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14 976 341,80</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EB5F83">
        <w:trPr>
          <w:trHeight w:val="420"/>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905</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Odepsané pohledávky</w:t>
            </w:r>
          </w:p>
        </w:tc>
        <w:tc>
          <w:tcPr>
            <w:tcW w:w="120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right"/>
              <w:rPr>
                <w:rFonts w:ascii="Calibri" w:hAnsi="Calibri" w:cs="Calibri"/>
                <w:color w:val="000000"/>
                <w:sz w:val="14"/>
                <w:szCs w:val="14"/>
              </w:rPr>
            </w:pPr>
            <w:r w:rsidRPr="00A30834">
              <w:rPr>
                <w:rFonts w:ascii="Calibri" w:hAnsi="Calibri" w:cs="Calibri"/>
                <w:color w:val="000000"/>
                <w:sz w:val="14"/>
                <w:szCs w:val="14"/>
              </w:rPr>
              <w:t> </w:t>
            </w:r>
          </w:p>
        </w:tc>
        <w:tc>
          <w:tcPr>
            <w:tcW w:w="1276"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right"/>
              <w:rPr>
                <w:rFonts w:ascii="Calibri" w:hAnsi="Calibri" w:cs="Calibri"/>
                <w:color w:val="000000"/>
                <w:sz w:val="14"/>
                <w:szCs w:val="14"/>
              </w:rPr>
            </w:pPr>
            <w:r w:rsidRPr="00A30834">
              <w:rPr>
                <w:rFonts w:ascii="Calibri" w:hAnsi="Calibri" w:cs="Calibri"/>
                <w:color w:val="000000"/>
                <w:sz w:val="14"/>
                <w:szCs w:val="14"/>
              </w:rPr>
              <w:t> </w:t>
            </w:r>
          </w:p>
        </w:tc>
        <w:tc>
          <w:tcPr>
            <w:tcW w:w="567"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 </w:t>
            </w:r>
          </w:p>
        </w:tc>
        <w:tc>
          <w:tcPr>
            <w:tcW w:w="99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 </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4 534 016,10</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4 534 016,10</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A30834">
        <w:trPr>
          <w:trHeight w:val="904"/>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915</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Ostatní krátkodobé podmíněné pohledávky z transferů</w:t>
            </w:r>
          </w:p>
        </w:tc>
        <w:tc>
          <w:tcPr>
            <w:tcW w:w="120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right"/>
              <w:rPr>
                <w:rFonts w:ascii="Calibri" w:hAnsi="Calibri" w:cs="Calibri"/>
                <w:color w:val="000000"/>
                <w:sz w:val="14"/>
                <w:szCs w:val="14"/>
              </w:rPr>
            </w:pPr>
            <w:r w:rsidRPr="00A30834">
              <w:rPr>
                <w:rFonts w:ascii="Calibri" w:hAnsi="Calibri" w:cs="Calibri"/>
                <w:color w:val="000000"/>
                <w:sz w:val="14"/>
                <w:szCs w:val="14"/>
              </w:rPr>
              <w:t> </w:t>
            </w:r>
          </w:p>
        </w:tc>
        <w:tc>
          <w:tcPr>
            <w:tcW w:w="1276"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right"/>
              <w:rPr>
                <w:rFonts w:ascii="Calibri" w:hAnsi="Calibri" w:cs="Calibri"/>
                <w:color w:val="000000"/>
                <w:sz w:val="14"/>
                <w:szCs w:val="14"/>
              </w:rPr>
            </w:pPr>
            <w:r w:rsidRPr="00A30834">
              <w:rPr>
                <w:rFonts w:ascii="Calibri" w:hAnsi="Calibri" w:cs="Calibri"/>
                <w:color w:val="000000"/>
                <w:sz w:val="14"/>
                <w:szCs w:val="14"/>
              </w:rPr>
              <w:t> </w:t>
            </w:r>
          </w:p>
        </w:tc>
        <w:tc>
          <w:tcPr>
            <w:tcW w:w="567"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 </w:t>
            </w:r>
          </w:p>
        </w:tc>
        <w:tc>
          <w:tcPr>
            <w:tcW w:w="99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 </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34 034 312,83</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34 034 312,83</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EB5F83">
        <w:trPr>
          <w:trHeight w:val="630"/>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973</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podmíněné závazky z jiných smluv</w:t>
            </w:r>
          </w:p>
        </w:tc>
        <w:tc>
          <w:tcPr>
            <w:tcW w:w="120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right"/>
              <w:rPr>
                <w:rFonts w:ascii="Calibri" w:hAnsi="Calibri" w:cs="Calibri"/>
                <w:color w:val="000000"/>
                <w:sz w:val="14"/>
                <w:szCs w:val="14"/>
              </w:rPr>
            </w:pPr>
            <w:r w:rsidRPr="00A30834">
              <w:rPr>
                <w:rFonts w:ascii="Calibri" w:hAnsi="Calibri" w:cs="Calibri"/>
                <w:color w:val="000000"/>
                <w:sz w:val="14"/>
                <w:szCs w:val="14"/>
              </w:rPr>
              <w:t> </w:t>
            </w:r>
          </w:p>
        </w:tc>
        <w:tc>
          <w:tcPr>
            <w:tcW w:w="1276"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right"/>
              <w:rPr>
                <w:rFonts w:ascii="Calibri" w:hAnsi="Calibri" w:cs="Calibri"/>
                <w:color w:val="000000"/>
                <w:sz w:val="14"/>
                <w:szCs w:val="14"/>
              </w:rPr>
            </w:pPr>
            <w:r w:rsidRPr="00A30834">
              <w:rPr>
                <w:rFonts w:ascii="Calibri" w:hAnsi="Calibri" w:cs="Calibri"/>
                <w:color w:val="000000"/>
                <w:sz w:val="14"/>
                <w:szCs w:val="14"/>
              </w:rPr>
              <w:t> </w:t>
            </w:r>
          </w:p>
        </w:tc>
        <w:tc>
          <w:tcPr>
            <w:tcW w:w="567"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 </w:t>
            </w:r>
          </w:p>
        </w:tc>
        <w:tc>
          <w:tcPr>
            <w:tcW w:w="99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 </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297 301 741,00</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297 301 741,00</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r w:rsidR="00EB5F83" w:rsidRPr="00A30834" w:rsidTr="00A30834">
        <w:trPr>
          <w:trHeight w:val="487"/>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986</w:t>
            </w:r>
          </w:p>
        </w:tc>
        <w:tc>
          <w:tcPr>
            <w:tcW w:w="108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Podmíněné závazky ze soudních sporů</w:t>
            </w:r>
          </w:p>
        </w:tc>
        <w:tc>
          <w:tcPr>
            <w:tcW w:w="120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right"/>
              <w:rPr>
                <w:rFonts w:ascii="Calibri" w:hAnsi="Calibri" w:cs="Calibri"/>
                <w:color w:val="000000"/>
                <w:sz w:val="14"/>
                <w:szCs w:val="14"/>
              </w:rPr>
            </w:pPr>
            <w:r w:rsidRPr="00A30834">
              <w:rPr>
                <w:rFonts w:ascii="Calibri" w:hAnsi="Calibri" w:cs="Calibri"/>
                <w:color w:val="000000"/>
                <w:sz w:val="14"/>
                <w:szCs w:val="14"/>
              </w:rPr>
              <w:t> </w:t>
            </w:r>
          </w:p>
        </w:tc>
        <w:tc>
          <w:tcPr>
            <w:tcW w:w="1276"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right"/>
              <w:rPr>
                <w:rFonts w:ascii="Calibri" w:hAnsi="Calibri" w:cs="Calibri"/>
                <w:color w:val="000000"/>
                <w:sz w:val="14"/>
                <w:szCs w:val="14"/>
              </w:rPr>
            </w:pPr>
            <w:r w:rsidRPr="00A30834">
              <w:rPr>
                <w:rFonts w:ascii="Calibri" w:hAnsi="Calibri" w:cs="Calibri"/>
                <w:color w:val="000000"/>
                <w:sz w:val="14"/>
                <w:szCs w:val="14"/>
              </w:rPr>
              <w:t> </w:t>
            </w:r>
          </w:p>
        </w:tc>
        <w:tc>
          <w:tcPr>
            <w:tcW w:w="567"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 </w:t>
            </w:r>
          </w:p>
        </w:tc>
        <w:tc>
          <w:tcPr>
            <w:tcW w:w="1134"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b/>
                <w:bCs/>
                <w:color w:val="000000"/>
                <w:sz w:val="14"/>
                <w:szCs w:val="14"/>
              </w:rPr>
            </w:pPr>
            <w:r w:rsidRPr="00A30834">
              <w:rPr>
                <w:rFonts w:ascii="Calibri" w:hAnsi="Calibri" w:cs="Calibri"/>
                <w:b/>
                <w:bCs/>
                <w:color w:val="000000"/>
                <w:kern w:val="2"/>
                <w:sz w:val="14"/>
                <w:szCs w:val="14"/>
                <w:lang w:eastAsia="ar-SA"/>
              </w:rPr>
              <w:t> </w:t>
            </w:r>
          </w:p>
        </w:tc>
        <w:tc>
          <w:tcPr>
            <w:tcW w:w="992" w:type="dxa"/>
            <w:tcBorders>
              <w:top w:val="nil"/>
              <w:left w:val="nil"/>
              <w:bottom w:val="single" w:sz="4" w:space="0" w:color="auto"/>
              <w:right w:val="single" w:sz="4" w:space="0" w:color="auto"/>
            </w:tcBorders>
            <w:shd w:val="clear" w:color="000000" w:fill="D9D9D9"/>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 </w:t>
            </w:r>
          </w:p>
        </w:tc>
        <w:tc>
          <w:tcPr>
            <w:tcW w:w="119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20 342,00</w:t>
            </w:r>
          </w:p>
        </w:tc>
        <w:tc>
          <w:tcPr>
            <w:tcW w:w="1218"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sz w:val="14"/>
                <w:szCs w:val="14"/>
              </w:rPr>
              <w:t>20 342,00</w:t>
            </w:r>
          </w:p>
        </w:tc>
        <w:tc>
          <w:tcPr>
            <w:tcW w:w="512" w:type="dxa"/>
            <w:tcBorders>
              <w:top w:val="nil"/>
              <w:left w:val="nil"/>
              <w:bottom w:val="single" w:sz="4" w:space="0" w:color="auto"/>
              <w:right w:val="single" w:sz="4" w:space="0" w:color="auto"/>
            </w:tcBorders>
            <w:shd w:val="clear" w:color="auto" w:fill="auto"/>
            <w:vAlign w:val="center"/>
            <w:hideMark/>
          </w:tcPr>
          <w:p w:rsidR="00EB5F83" w:rsidRPr="00A30834" w:rsidRDefault="00EB5F83" w:rsidP="00EB5F83">
            <w:pPr>
              <w:jc w:val="center"/>
              <w:rPr>
                <w:rFonts w:ascii="Calibri" w:hAnsi="Calibri" w:cs="Calibri"/>
                <w:color w:val="000000"/>
                <w:sz w:val="14"/>
                <w:szCs w:val="14"/>
              </w:rPr>
            </w:pPr>
            <w:r w:rsidRPr="00A30834">
              <w:rPr>
                <w:rFonts w:ascii="Calibri" w:hAnsi="Calibri" w:cs="Calibri"/>
                <w:color w:val="000000"/>
                <w:kern w:val="2"/>
                <w:sz w:val="14"/>
                <w:szCs w:val="14"/>
                <w:lang w:eastAsia="ar-SA"/>
              </w:rPr>
              <w:t>0</w:t>
            </w:r>
          </w:p>
        </w:tc>
      </w:tr>
    </w:tbl>
    <w:p w:rsidR="00AE2A63" w:rsidRPr="00701F1E" w:rsidRDefault="00AE2A63" w:rsidP="00043971">
      <w:pPr>
        <w:tabs>
          <w:tab w:val="left" w:pos="709"/>
        </w:tabs>
        <w:ind w:hanging="284"/>
        <w:jc w:val="both"/>
        <w:rPr>
          <w:rFonts w:ascii="Calibri" w:hAnsi="Calibri" w:cs="Calibri"/>
          <w:b/>
          <w:color w:val="A6A6A6" w:themeColor="background1" w:themeShade="A6"/>
          <w:sz w:val="18"/>
          <w:szCs w:val="18"/>
          <w:u w:val="single"/>
        </w:rPr>
      </w:pPr>
    </w:p>
    <w:p w:rsidR="00043971" w:rsidRPr="001D2C20" w:rsidRDefault="00043971" w:rsidP="00043971">
      <w:pPr>
        <w:tabs>
          <w:tab w:val="left" w:pos="709"/>
        </w:tabs>
        <w:ind w:hanging="284"/>
        <w:jc w:val="both"/>
        <w:rPr>
          <w:rFonts w:ascii="Calibri" w:hAnsi="Calibri" w:cs="Calibri"/>
          <w:b/>
          <w:sz w:val="18"/>
          <w:szCs w:val="18"/>
          <w:u w:val="single"/>
        </w:rPr>
      </w:pPr>
      <w:r w:rsidRPr="001D2C20">
        <w:rPr>
          <w:rFonts w:ascii="Calibri" w:hAnsi="Calibri" w:cs="Calibri"/>
          <w:b/>
          <w:sz w:val="18"/>
          <w:szCs w:val="18"/>
          <w:u w:val="single"/>
        </w:rPr>
        <w:t>Pozn.:</w:t>
      </w:r>
    </w:p>
    <w:p w:rsidR="00043971" w:rsidRPr="001D2C20" w:rsidRDefault="00043971" w:rsidP="00043971">
      <w:pPr>
        <w:tabs>
          <w:tab w:val="left" w:pos="709"/>
        </w:tabs>
        <w:ind w:hanging="284"/>
        <w:jc w:val="both"/>
        <w:rPr>
          <w:rFonts w:ascii="Calibri" w:hAnsi="Calibri" w:cs="Calibri"/>
          <w:kern w:val="17"/>
          <w:sz w:val="18"/>
          <w:szCs w:val="18"/>
          <w:lang w:eastAsia="ar-SA"/>
        </w:rPr>
      </w:pPr>
      <w:r w:rsidRPr="001D2C20">
        <w:rPr>
          <w:rFonts w:ascii="Calibri" w:hAnsi="Calibri" w:cs="Calibri"/>
          <w:kern w:val="17"/>
          <w:sz w:val="18"/>
          <w:szCs w:val="18"/>
          <w:vertAlign w:val="superscript"/>
          <w:lang w:eastAsia="ar-SA"/>
        </w:rPr>
        <w:t xml:space="preserve">1) </w:t>
      </w:r>
      <w:r w:rsidRPr="001D2C20">
        <w:rPr>
          <w:rFonts w:ascii="Calibri" w:hAnsi="Calibri" w:cs="Calibri"/>
          <w:kern w:val="17"/>
          <w:sz w:val="18"/>
          <w:szCs w:val="18"/>
          <w:lang w:eastAsia="ar-SA"/>
        </w:rPr>
        <w:t>přírůstky =</w:t>
      </w:r>
      <w:r w:rsidRPr="001D2C20">
        <w:rPr>
          <w:rFonts w:ascii="Calibri" w:hAnsi="Calibri" w:cs="Calibri"/>
          <w:kern w:val="17"/>
          <w:sz w:val="18"/>
          <w:szCs w:val="18"/>
          <w:vertAlign w:val="superscript"/>
          <w:lang w:eastAsia="ar-SA"/>
        </w:rPr>
        <w:t xml:space="preserve"> </w:t>
      </w:r>
      <w:r w:rsidRPr="001D2C20">
        <w:rPr>
          <w:rFonts w:ascii="Calibri" w:hAnsi="Calibri" w:cs="Calibri"/>
          <w:kern w:val="17"/>
          <w:sz w:val="18"/>
          <w:szCs w:val="18"/>
          <w:lang w:eastAsia="ar-SA"/>
        </w:rPr>
        <w:t>příjem, technické zhodnocení, navýšení ceny, přecenění</w:t>
      </w:r>
    </w:p>
    <w:p w:rsidR="00043971" w:rsidRPr="001D2C20" w:rsidRDefault="00043971" w:rsidP="00043971">
      <w:pPr>
        <w:tabs>
          <w:tab w:val="left" w:pos="709"/>
        </w:tabs>
        <w:ind w:hanging="284"/>
        <w:jc w:val="both"/>
        <w:rPr>
          <w:rFonts w:ascii="Calibri" w:hAnsi="Calibri" w:cs="Calibri"/>
          <w:kern w:val="17"/>
          <w:sz w:val="18"/>
          <w:szCs w:val="18"/>
          <w:lang w:eastAsia="ar-SA"/>
        </w:rPr>
      </w:pPr>
      <w:r w:rsidRPr="001D2C20">
        <w:rPr>
          <w:rFonts w:ascii="Calibri" w:hAnsi="Calibri" w:cs="Calibri"/>
          <w:kern w:val="17"/>
          <w:sz w:val="18"/>
          <w:szCs w:val="18"/>
          <w:vertAlign w:val="superscript"/>
          <w:lang w:eastAsia="ar-SA"/>
        </w:rPr>
        <w:t xml:space="preserve">2) </w:t>
      </w:r>
      <w:r w:rsidRPr="001D2C20">
        <w:rPr>
          <w:rFonts w:ascii="Calibri" w:hAnsi="Calibri" w:cs="Calibri"/>
          <w:kern w:val="17"/>
          <w:sz w:val="18"/>
          <w:szCs w:val="18"/>
          <w:lang w:eastAsia="ar-SA"/>
        </w:rPr>
        <w:t>úbytky =</w:t>
      </w:r>
      <w:r w:rsidRPr="001D2C20">
        <w:rPr>
          <w:rFonts w:ascii="Calibri" w:hAnsi="Calibri" w:cs="Calibri"/>
          <w:kern w:val="17"/>
          <w:sz w:val="18"/>
          <w:szCs w:val="18"/>
          <w:vertAlign w:val="superscript"/>
          <w:lang w:eastAsia="ar-SA"/>
        </w:rPr>
        <w:t xml:space="preserve"> </w:t>
      </w:r>
      <w:r w:rsidRPr="001D2C20">
        <w:rPr>
          <w:rFonts w:ascii="Calibri" w:hAnsi="Calibri" w:cs="Calibri"/>
          <w:kern w:val="17"/>
          <w:sz w:val="18"/>
          <w:szCs w:val="18"/>
          <w:lang w:eastAsia="ar-SA"/>
        </w:rPr>
        <w:t>výdej, snížení ceny</w:t>
      </w:r>
    </w:p>
    <w:p w:rsidR="00043971" w:rsidRDefault="00043971" w:rsidP="00185848">
      <w:pPr>
        <w:jc w:val="both"/>
        <w:rPr>
          <w:rFonts w:asciiTheme="minorHAnsi" w:hAnsiTheme="minorHAnsi" w:cstheme="minorHAnsi"/>
          <w:sz w:val="20"/>
          <w:szCs w:val="20"/>
        </w:rPr>
      </w:pPr>
    </w:p>
    <w:p w:rsidR="00185848" w:rsidRDefault="00185848" w:rsidP="00185848">
      <w:pPr>
        <w:jc w:val="both"/>
        <w:rPr>
          <w:rFonts w:asciiTheme="minorHAnsi" w:hAnsiTheme="minorHAnsi" w:cstheme="minorHAnsi"/>
          <w:sz w:val="20"/>
          <w:szCs w:val="20"/>
        </w:rPr>
      </w:pPr>
    </w:p>
    <w:p w:rsidR="00B113F3" w:rsidRDefault="00B113F3" w:rsidP="00185848">
      <w:pPr>
        <w:jc w:val="both"/>
        <w:rPr>
          <w:rFonts w:asciiTheme="minorHAnsi" w:hAnsiTheme="minorHAnsi" w:cstheme="minorHAnsi"/>
          <w:sz w:val="20"/>
          <w:szCs w:val="20"/>
        </w:rPr>
      </w:pPr>
    </w:p>
    <w:p w:rsidR="00B113F3" w:rsidRDefault="00B113F3" w:rsidP="00185848">
      <w:pPr>
        <w:jc w:val="both"/>
        <w:rPr>
          <w:rFonts w:asciiTheme="minorHAnsi" w:hAnsiTheme="minorHAnsi" w:cstheme="minorHAnsi"/>
          <w:sz w:val="20"/>
          <w:szCs w:val="20"/>
        </w:rPr>
      </w:pPr>
    </w:p>
    <w:p w:rsidR="001165DD" w:rsidRPr="009D7E1B" w:rsidRDefault="001165DD" w:rsidP="00CA6C24">
      <w:pPr>
        <w:pStyle w:val="Nadpis2"/>
      </w:pPr>
      <w:bookmarkStart w:id="52" w:name="_Toc39129540"/>
      <w:r w:rsidRPr="009D7E1B">
        <w:lastRenderedPageBreak/>
        <w:t>Stav účtů peněžních prostředků</w:t>
      </w:r>
      <w:r w:rsidR="009D7E1B" w:rsidRPr="009D7E1B">
        <w:t xml:space="preserve"> k 31.</w:t>
      </w:r>
      <w:r w:rsidR="007402FC">
        <w:t xml:space="preserve"> </w:t>
      </w:r>
      <w:r w:rsidR="009D7E1B" w:rsidRPr="009D7E1B">
        <w:t>12.</w:t>
      </w:r>
      <w:r w:rsidR="007402FC">
        <w:t xml:space="preserve"> </w:t>
      </w:r>
      <w:r w:rsidR="009D7E1B" w:rsidRPr="009D7E1B">
        <w:t>202</w:t>
      </w:r>
      <w:r w:rsidR="007402FC">
        <w:t>2</w:t>
      </w:r>
    </w:p>
    <w:p w:rsidR="00ED0CCF" w:rsidRDefault="00ED0CCF" w:rsidP="0024764D">
      <w:pPr>
        <w:pStyle w:val="Nadpis3"/>
      </w:pPr>
      <w:r w:rsidRPr="009D7E1B">
        <w:t>Stav účtů peněžních prostředků statutárního města Prostějova k</w:t>
      </w:r>
      <w:r w:rsidR="00E46342" w:rsidRPr="009D7E1B">
        <w:t> 31.</w:t>
      </w:r>
      <w:r w:rsidR="009F78C5">
        <w:t xml:space="preserve"> </w:t>
      </w:r>
      <w:r w:rsidR="00E46342" w:rsidRPr="009D7E1B">
        <w:t>12.</w:t>
      </w:r>
      <w:r w:rsidR="009F78C5">
        <w:t xml:space="preserve"> </w:t>
      </w:r>
      <w:r w:rsidR="00E46342" w:rsidRPr="009D7E1B">
        <w:t>20</w:t>
      </w:r>
      <w:bookmarkEnd w:id="52"/>
      <w:r w:rsidR="009D7E1B" w:rsidRPr="009D7E1B">
        <w:t>2</w:t>
      </w:r>
      <w:r w:rsidR="009F78C5">
        <w:t>2</w:t>
      </w:r>
      <w:r w:rsidR="001D2C20">
        <w:t xml:space="preserve"> (v Kč)</w:t>
      </w:r>
    </w:p>
    <w:tbl>
      <w:tblPr>
        <w:tblW w:w="8505" w:type="dxa"/>
        <w:tblInd w:w="-5" w:type="dxa"/>
        <w:tblCellMar>
          <w:left w:w="70" w:type="dxa"/>
          <w:right w:w="70" w:type="dxa"/>
        </w:tblCellMar>
        <w:tblLook w:val="04A0" w:firstRow="1" w:lastRow="0" w:firstColumn="1" w:lastColumn="0" w:noHBand="0" w:noVBand="1"/>
      </w:tblPr>
      <w:tblGrid>
        <w:gridCol w:w="3160"/>
        <w:gridCol w:w="1802"/>
        <w:gridCol w:w="1984"/>
        <w:gridCol w:w="1559"/>
      </w:tblGrid>
      <w:tr w:rsidR="001D2C20" w:rsidTr="001D2C20">
        <w:trPr>
          <w:trHeight w:val="300"/>
        </w:trPr>
        <w:tc>
          <w:tcPr>
            <w:tcW w:w="3160"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rsidR="001D2C20" w:rsidRDefault="001D2C20">
            <w:pPr>
              <w:jc w:val="center"/>
              <w:rPr>
                <w:rFonts w:ascii="Calibri" w:hAnsi="Calibri" w:cs="Calibri"/>
                <w:b/>
                <w:bCs/>
                <w:sz w:val="22"/>
                <w:szCs w:val="22"/>
              </w:rPr>
            </w:pPr>
            <w:r>
              <w:rPr>
                <w:rFonts w:ascii="Calibri" w:hAnsi="Calibri" w:cs="Calibri"/>
                <w:b/>
                <w:bCs/>
                <w:sz w:val="22"/>
                <w:szCs w:val="22"/>
              </w:rPr>
              <w:t>Účet</w:t>
            </w:r>
          </w:p>
        </w:tc>
        <w:tc>
          <w:tcPr>
            <w:tcW w:w="1802" w:type="dxa"/>
            <w:tcBorders>
              <w:top w:val="single" w:sz="4" w:space="0" w:color="auto"/>
              <w:left w:val="nil"/>
              <w:bottom w:val="single" w:sz="4" w:space="0" w:color="auto"/>
              <w:right w:val="single" w:sz="4" w:space="0" w:color="auto"/>
            </w:tcBorders>
            <w:shd w:val="clear" w:color="000000" w:fill="B4C6E7"/>
            <w:noWrap/>
            <w:vAlign w:val="bottom"/>
            <w:hideMark/>
          </w:tcPr>
          <w:p w:rsidR="001D2C20" w:rsidRDefault="001D2C20">
            <w:pPr>
              <w:jc w:val="center"/>
              <w:rPr>
                <w:rFonts w:ascii="Calibri" w:hAnsi="Calibri" w:cs="Calibri"/>
                <w:b/>
                <w:bCs/>
                <w:sz w:val="22"/>
                <w:szCs w:val="22"/>
              </w:rPr>
            </w:pPr>
            <w:r>
              <w:rPr>
                <w:rFonts w:ascii="Calibri" w:hAnsi="Calibri" w:cs="Calibri"/>
                <w:b/>
                <w:bCs/>
                <w:sz w:val="22"/>
                <w:szCs w:val="22"/>
              </w:rPr>
              <w:t>Stav k 1. 1. 2022</w:t>
            </w:r>
          </w:p>
        </w:tc>
        <w:tc>
          <w:tcPr>
            <w:tcW w:w="1984" w:type="dxa"/>
            <w:tcBorders>
              <w:top w:val="single" w:sz="4" w:space="0" w:color="auto"/>
              <w:left w:val="nil"/>
              <w:bottom w:val="single" w:sz="4" w:space="0" w:color="auto"/>
              <w:right w:val="single" w:sz="4" w:space="0" w:color="auto"/>
            </w:tcBorders>
            <w:shd w:val="clear" w:color="000000" w:fill="B4C6E7"/>
            <w:noWrap/>
            <w:vAlign w:val="bottom"/>
            <w:hideMark/>
          </w:tcPr>
          <w:p w:rsidR="001D2C20" w:rsidRDefault="001D2C20">
            <w:pPr>
              <w:jc w:val="center"/>
              <w:rPr>
                <w:rFonts w:ascii="Calibri" w:hAnsi="Calibri" w:cs="Calibri"/>
                <w:b/>
                <w:bCs/>
                <w:sz w:val="22"/>
                <w:szCs w:val="22"/>
              </w:rPr>
            </w:pPr>
            <w:r>
              <w:rPr>
                <w:rFonts w:ascii="Calibri" w:hAnsi="Calibri" w:cs="Calibri"/>
                <w:b/>
                <w:bCs/>
                <w:sz w:val="22"/>
                <w:szCs w:val="22"/>
              </w:rPr>
              <w:t>Stav k 31. 12. 2022</w:t>
            </w:r>
          </w:p>
        </w:tc>
        <w:tc>
          <w:tcPr>
            <w:tcW w:w="1559" w:type="dxa"/>
            <w:tcBorders>
              <w:top w:val="single" w:sz="4" w:space="0" w:color="auto"/>
              <w:left w:val="nil"/>
              <w:bottom w:val="single" w:sz="4" w:space="0" w:color="auto"/>
              <w:right w:val="single" w:sz="4" w:space="0" w:color="auto"/>
            </w:tcBorders>
            <w:shd w:val="clear" w:color="000000" w:fill="B4C6E7"/>
            <w:noWrap/>
            <w:vAlign w:val="bottom"/>
            <w:hideMark/>
          </w:tcPr>
          <w:p w:rsidR="001D2C20" w:rsidRDefault="001D2C20" w:rsidP="001D2C20">
            <w:pPr>
              <w:jc w:val="center"/>
              <w:rPr>
                <w:rFonts w:ascii="Calibri" w:hAnsi="Calibri" w:cs="Calibri"/>
                <w:b/>
                <w:bCs/>
                <w:sz w:val="22"/>
                <w:szCs w:val="22"/>
              </w:rPr>
            </w:pPr>
            <w:r>
              <w:rPr>
                <w:rFonts w:ascii="Calibri" w:hAnsi="Calibri" w:cs="Calibri"/>
                <w:b/>
                <w:bCs/>
                <w:sz w:val="22"/>
                <w:szCs w:val="22"/>
              </w:rPr>
              <w:t>Obrat</w:t>
            </w:r>
          </w:p>
        </w:tc>
      </w:tr>
      <w:tr w:rsidR="001D2C20" w:rsidTr="001D2C2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1D2C20" w:rsidRDefault="001D2C20">
            <w:pPr>
              <w:rPr>
                <w:rFonts w:ascii="Calibri" w:hAnsi="Calibri" w:cs="Calibri"/>
                <w:sz w:val="22"/>
                <w:szCs w:val="22"/>
              </w:rPr>
            </w:pPr>
            <w:r>
              <w:rPr>
                <w:rFonts w:ascii="Calibri" w:hAnsi="Calibri" w:cs="Calibri"/>
                <w:sz w:val="22"/>
                <w:szCs w:val="22"/>
              </w:rPr>
              <w:t>Základní běžný účet</w:t>
            </w:r>
          </w:p>
        </w:tc>
        <w:tc>
          <w:tcPr>
            <w:tcW w:w="1802" w:type="dxa"/>
            <w:tcBorders>
              <w:top w:val="nil"/>
              <w:left w:val="nil"/>
              <w:bottom w:val="single" w:sz="4" w:space="0" w:color="auto"/>
              <w:right w:val="single" w:sz="4" w:space="0" w:color="auto"/>
            </w:tcBorders>
            <w:shd w:val="clear" w:color="000000" w:fill="FFFFFF"/>
            <w:noWrap/>
            <w:vAlign w:val="bottom"/>
            <w:hideMark/>
          </w:tcPr>
          <w:p w:rsidR="001D2C20" w:rsidRDefault="001D2C20">
            <w:pPr>
              <w:jc w:val="right"/>
              <w:rPr>
                <w:rFonts w:ascii="Calibri" w:hAnsi="Calibri" w:cs="Calibri"/>
                <w:sz w:val="22"/>
                <w:szCs w:val="22"/>
              </w:rPr>
            </w:pPr>
            <w:r>
              <w:rPr>
                <w:rFonts w:ascii="Calibri" w:hAnsi="Calibri" w:cs="Calibri"/>
                <w:sz w:val="22"/>
                <w:szCs w:val="22"/>
              </w:rPr>
              <w:t>275 427 901,08</w:t>
            </w:r>
          </w:p>
        </w:tc>
        <w:tc>
          <w:tcPr>
            <w:tcW w:w="1984" w:type="dxa"/>
            <w:tcBorders>
              <w:top w:val="nil"/>
              <w:left w:val="nil"/>
              <w:bottom w:val="single" w:sz="4" w:space="0" w:color="auto"/>
              <w:right w:val="single" w:sz="4" w:space="0" w:color="auto"/>
            </w:tcBorders>
            <w:shd w:val="clear" w:color="000000" w:fill="FFFFFF"/>
            <w:noWrap/>
            <w:vAlign w:val="bottom"/>
            <w:hideMark/>
          </w:tcPr>
          <w:p w:rsidR="001D2C20" w:rsidRDefault="001D2C20">
            <w:pPr>
              <w:jc w:val="right"/>
              <w:rPr>
                <w:rFonts w:ascii="Calibri" w:hAnsi="Calibri" w:cs="Calibri"/>
                <w:sz w:val="22"/>
                <w:szCs w:val="22"/>
              </w:rPr>
            </w:pPr>
            <w:r>
              <w:rPr>
                <w:rFonts w:ascii="Calibri" w:hAnsi="Calibri" w:cs="Calibri"/>
                <w:sz w:val="22"/>
                <w:szCs w:val="22"/>
              </w:rPr>
              <w:t>314 635 284,49</w:t>
            </w:r>
          </w:p>
        </w:tc>
        <w:tc>
          <w:tcPr>
            <w:tcW w:w="1559" w:type="dxa"/>
            <w:tcBorders>
              <w:top w:val="nil"/>
              <w:left w:val="nil"/>
              <w:bottom w:val="single" w:sz="4" w:space="0" w:color="auto"/>
              <w:right w:val="single" w:sz="4" w:space="0" w:color="auto"/>
            </w:tcBorders>
            <w:shd w:val="clear" w:color="auto" w:fill="auto"/>
            <w:noWrap/>
            <w:vAlign w:val="bottom"/>
            <w:hideMark/>
          </w:tcPr>
          <w:p w:rsidR="001D2C20" w:rsidRDefault="001D2C20">
            <w:pPr>
              <w:jc w:val="right"/>
              <w:rPr>
                <w:rFonts w:ascii="Calibri" w:hAnsi="Calibri" w:cs="Calibri"/>
                <w:sz w:val="22"/>
                <w:szCs w:val="22"/>
              </w:rPr>
            </w:pPr>
            <w:r>
              <w:rPr>
                <w:rFonts w:ascii="Calibri" w:hAnsi="Calibri" w:cs="Calibri"/>
                <w:sz w:val="22"/>
                <w:szCs w:val="22"/>
              </w:rPr>
              <w:t>39 207 383,41</w:t>
            </w:r>
          </w:p>
        </w:tc>
      </w:tr>
      <w:tr w:rsidR="001D2C20" w:rsidTr="001D2C2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1D2C20" w:rsidRDefault="001D2C20">
            <w:pPr>
              <w:rPr>
                <w:rFonts w:ascii="Calibri" w:hAnsi="Calibri" w:cs="Calibri"/>
                <w:sz w:val="22"/>
                <w:szCs w:val="22"/>
              </w:rPr>
            </w:pPr>
            <w:r>
              <w:rPr>
                <w:rFonts w:ascii="Calibri" w:hAnsi="Calibri" w:cs="Calibri"/>
                <w:sz w:val="22"/>
                <w:szCs w:val="22"/>
              </w:rPr>
              <w:t>Účet fondů bez sociálního fondu</w:t>
            </w:r>
          </w:p>
        </w:tc>
        <w:tc>
          <w:tcPr>
            <w:tcW w:w="1802" w:type="dxa"/>
            <w:tcBorders>
              <w:top w:val="nil"/>
              <w:left w:val="nil"/>
              <w:bottom w:val="single" w:sz="4" w:space="0" w:color="auto"/>
              <w:right w:val="single" w:sz="4" w:space="0" w:color="auto"/>
            </w:tcBorders>
            <w:shd w:val="clear" w:color="000000" w:fill="FFFFFF"/>
            <w:noWrap/>
            <w:vAlign w:val="bottom"/>
            <w:hideMark/>
          </w:tcPr>
          <w:p w:rsidR="001D2C20" w:rsidRDefault="001D2C20">
            <w:pPr>
              <w:jc w:val="right"/>
              <w:rPr>
                <w:rFonts w:ascii="Calibri" w:hAnsi="Calibri" w:cs="Calibri"/>
                <w:sz w:val="22"/>
                <w:szCs w:val="22"/>
              </w:rPr>
            </w:pPr>
            <w:r>
              <w:rPr>
                <w:rFonts w:ascii="Calibri" w:hAnsi="Calibri" w:cs="Calibri"/>
                <w:sz w:val="22"/>
                <w:szCs w:val="22"/>
              </w:rPr>
              <w:t>198 526 679,86</w:t>
            </w:r>
          </w:p>
        </w:tc>
        <w:tc>
          <w:tcPr>
            <w:tcW w:w="1984" w:type="dxa"/>
            <w:tcBorders>
              <w:top w:val="nil"/>
              <w:left w:val="nil"/>
              <w:bottom w:val="single" w:sz="4" w:space="0" w:color="auto"/>
              <w:right w:val="single" w:sz="4" w:space="0" w:color="auto"/>
            </w:tcBorders>
            <w:shd w:val="clear" w:color="000000" w:fill="FFFFFF"/>
            <w:noWrap/>
            <w:vAlign w:val="bottom"/>
            <w:hideMark/>
          </w:tcPr>
          <w:p w:rsidR="001D2C20" w:rsidRDefault="001D2C20">
            <w:pPr>
              <w:jc w:val="right"/>
              <w:rPr>
                <w:rFonts w:ascii="Calibri" w:hAnsi="Calibri" w:cs="Calibri"/>
                <w:sz w:val="22"/>
                <w:szCs w:val="22"/>
              </w:rPr>
            </w:pPr>
            <w:r>
              <w:rPr>
                <w:rFonts w:ascii="Calibri" w:hAnsi="Calibri" w:cs="Calibri"/>
                <w:sz w:val="22"/>
                <w:szCs w:val="22"/>
              </w:rPr>
              <w:t>173 351 520,03</w:t>
            </w:r>
          </w:p>
        </w:tc>
        <w:tc>
          <w:tcPr>
            <w:tcW w:w="1559" w:type="dxa"/>
            <w:tcBorders>
              <w:top w:val="nil"/>
              <w:left w:val="nil"/>
              <w:bottom w:val="single" w:sz="4" w:space="0" w:color="auto"/>
              <w:right w:val="single" w:sz="4" w:space="0" w:color="auto"/>
            </w:tcBorders>
            <w:shd w:val="clear" w:color="auto" w:fill="auto"/>
            <w:noWrap/>
            <w:vAlign w:val="bottom"/>
            <w:hideMark/>
          </w:tcPr>
          <w:p w:rsidR="001D2C20" w:rsidRDefault="001D2C20">
            <w:pPr>
              <w:jc w:val="right"/>
              <w:rPr>
                <w:rFonts w:ascii="Calibri" w:hAnsi="Calibri" w:cs="Calibri"/>
                <w:sz w:val="22"/>
                <w:szCs w:val="22"/>
              </w:rPr>
            </w:pPr>
            <w:r>
              <w:rPr>
                <w:rFonts w:ascii="Calibri" w:hAnsi="Calibri" w:cs="Calibri"/>
                <w:sz w:val="22"/>
                <w:szCs w:val="22"/>
              </w:rPr>
              <w:t>-25 175 159,83</w:t>
            </w:r>
          </w:p>
        </w:tc>
      </w:tr>
      <w:tr w:rsidR="001D2C20" w:rsidTr="001D2C2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1D2C20" w:rsidRDefault="001D2C20">
            <w:pPr>
              <w:rPr>
                <w:rFonts w:ascii="Calibri" w:hAnsi="Calibri" w:cs="Calibri"/>
                <w:sz w:val="22"/>
                <w:szCs w:val="22"/>
              </w:rPr>
            </w:pPr>
            <w:r>
              <w:rPr>
                <w:rFonts w:ascii="Calibri" w:hAnsi="Calibri" w:cs="Calibri"/>
                <w:sz w:val="22"/>
                <w:szCs w:val="22"/>
              </w:rPr>
              <w:t>Sociální fond</w:t>
            </w:r>
          </w:p>
        </w:tc>
        <w:tc>
          <w:tcPr>
            <w:tcW w:w="1802" w:type="dxa"/>
            <w:tcBorders>
              <w:top w:val="nil"/>
              <w:left w:val="nil"/>
              <w:bottom w:val="single" w:sz="4" w:space="0" w:color="auto"/>
              <w:right w:val="single" w:sz="4" w:space="0" w:color="auto"/>
            </w:tcBorders>
            <w:shd w:val="clear" w:color="000000" w:fill="FFFFFF"/>
            <w:noWrap/>
            <w:vAlign w:val="bottom"/>
            <w:hideMark/>
          </w:tcPr>
          <w:p w:rsidR="001D2C20" w:rsidRDefault="001D2C20">
            <w:pPr>
              <w:jc w:val="right"/>
              <w:rPr>
                <w:rFonts w:ascii="Calibri" w:hAnsi="Calibri" w:cs="Calibri"/>
                <w:sz w:val="22"/>
                <w:szCs w:val="22"/>
              </w:rPr>
            </w:pPr>
            <w:r>
              <w:rPr>
                <w:rFonts w:ascii="Calibri" w:hAnsi="Calibri" w:cs="Calibri"/>
                <w:sz w:val="22"/>
                <w:szCs w:val="22"/>
              </w:rPr>
              <w:t>4 311 985,52</w:t>
            </w:r>
          </w:p>
        </w:tc>
        <w:tc>
          <w:tcPr>
            <w:tcW w:w="1984" w:type="dxa"/>
            <w:tcBorders>
              <w:top w:val="nil"/>
              <w:left w:val="nil"/>
              <w:bottom w:val="single" w:sz="4" w:space="0" w:color="auto"/>
              <w:right w:val="single" w:sz="4" w:space="0" w:color="auto"/>
            </w:tcBorders>
            <w:shd w:val="clear" w:color="000000" w:fill="FFFFFF"/>
            <w:noWrap/>
            <w:vAlign w:val="bottom"/>
            <w:hideMark/>
          </w:tcPr>
          <w:p w:rsidR="001D2C20" w:rsidRDefault="001D2C20">
            <w:pPr>
              <w:jc w:val="right"/>
              <w:rPr>
                <w:rFonts w:ascii="Calibri" w:hAnsi="Calibri" w:cs="Calibri"/>
                <w:sz w:val="22"/>
                <w:szCs w:val="22"/>
              </w:rPr>
            </w:pPr>
            <w:r>
              <w:rPr>
                <w:rFonts w:ascii="Calibri" w:hAnsi="Calibri" w:cs="Calibri"/>
                <w:sz w:val="22"/>
                <w:szCs w:val="22"/>
              </w:rPr>
              <w:t>4 166 074,80</w:t>
            </w:r>
          </w:p>
        </w:tc>
        <w:tc>
          <w:tcPr>
            <w:tcW w:w="1559" w:type="dxa"/>
            <w:tcBorders>
              <w:top w:val="nil"/>
              <w:left w:val="nil"/>
              <w:bottom w:val="single" w:sz="4" w:space="0" w:color="auto"/>
              <w:right w:val="single" w:sz="4" w:space="0" w:color="auto"/>
            </w:tcBorders>
            <w:shd w:val="clear" w:color="auto" w:fill="auto"/>
            <w:noWrap/>
            <w:vAlign w:val="bottom"/>
            <w:hideMark/>
          </w:tcPr>
          <w:p w:rsidR="001D2C20" w:rsidRDefault="001D2C20">
            <w:pPr>
              <w:jc w:val="right"/>
              <w:rPr>
                <w:rFonts w:ascii="Calibri" w:hAnsi="Calibri" w:cs="Calibri"/>
                <w:sz w:val="22"/>
                <w:szCs w:val="22"/>
              </w:rPr>
            </w:pPr>
            <w:r>
              <w:rPr>
                <w:rFonts w:ascii="Calibri" w:hAnsi="Calibri" w:cs="Calibri"/>
                <w:sz w:val="22"/>
                <w:szCs w:val="22"/>
              </w:rPr>
              <w:t>-145 910,72</w:t>
            </w:r>
          </w:p>
        </w:tc>
      </w:tr>
      <w:tr w:rsidR="001D2C20" w:rsidTr="001D2C2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1D2C20" w:rsidRDefault="001D2C20">
            <w:pPr>
              <w:rPr>
                <w:rFonts w:ascii="Calibri" w:hAnsi="Calibri" w:cs="Calibri"/>
                <w:sz w:val="22"/>
                <w:szCs w:val="22"/>
              </w:rPr>
            </w:pPr>
            <w:r>
              <w:rPr>
                <w:rFonts w:ascii="Calibri" w:hAnsi="Calibri" w:cs="Calibri"/>
                <w:sz w:val="22"/>
                <w:szCs w:val="22"/>
              </w:rPr>
              <w:t>Depozitní účet</w:t>
            </w:r>
          </w:p>
        </w:tc>
        <w:tc>
          <w:tcPr>
            <w:tcW w:w="1802" w:type="dxa"/>
            <w:tcBorders>
              <w:top w:val="nil"/>
              <w:left w:val="nil"/>
              <w:bottom w:val="single" w:sz="4" w:space="0" w:color="auto"/>
              <w:right w:val="single" w:sz="4" w:space="0" w:color="auto"/>
            </w:tcBorders>
            <w:shd w:val="clear" w:color="000000" w:fill="FFFFFF"/>
            <w:noWrap/>
            <w:vAlign w:val="bottom"/>
            <w:hideMark/>
          </w:tcPr>
          <w:p w:rsidR="001D2C20" w:rsidRDefault="001D2C20">
            <w:pPr>
              <w:jc w:val="right"/>
              <w:rPr>
                <w:rFonts w:ascii="Calibri" w:hAnsi="Calibri" w:cs="Calibri"/>
                <w:sz w:val="22"/>
                <w:szCs w:val="22"/>
              </w:rPr>
            </w:pPr>
            <w:r>
              <w:rPr>
                <w:rFonts w:ascii="Calibri" w:hAnsi="Calibri" w:cs="Calibri"/>
                <w:sz w:val="22"/>
                <w:szCs w:val="22"/>
              </w:rPr>
              <w:t>14 095 657,50</w:t>
            </w:r>
          </w:p>
        </w:tc>
        <w:tc>
          <w:tcPr>
            <w:tcW w:w="1984" w:type="dxa"/>
            <w:tcBorders>
              <w:top w:val="nil"/>
              <w:left w:val="nil"/>
              <w:bottom w:val="single" w:sz="4" w:space="0" w:color="auto"/>
              <w:right w:val="single" w:sz="4" w:space="0" w:color="auto"/>
            </w:tcBorders>
            <w:shd w:val="clear" w:color="000000" w:fill="FFFFFF"/>
            <w:noWrap/>
            <w:vAlign w:val="bottom"/>
            <w:hideMark/>
          </w:tcPr>
          <w:p w:rsidR="001D2C20" w:rsidRDefault="001D2C20">
            <w:pPr>
              <w:jc w:val="right"/>
              <w:rPr>
                <w:rFonts w:ascii="Calibri" w:hAnsi="Calibri" w:cs="Calibri"/>
                <w:sz w:val="22"/>
                <w:szCs w:val="22"/>
              </w:rPr>
            </w:pPr>
            <w:r>
              <w:rPr>
                <w:rFonts w:ascii="Calibri" w:hAnsi="Calibri" w:cs="Calibri"/>
                <w:sz w:val="22"/>
                <w:szCs w:val="22"/>
              </w:rPr>
              <w:t>13 911 152,12</w:t>
            </w:r>
          </w:p>
        </w:tc>
        <w:tc>
          <w:tcPr>
            <w:tcW w:w="1559" w:type="dxa"/>
            <w:tcBorders>
              <w:top w:val="nil"/>
              <w:left w:val="nil"/>
              <w:bottom w:val="single" w:sz="4" w:space="0" w:color="auto"/>
              <w:right w:val="single" w:sz="4" w:space="0" w:color="auto"/>
            </w:tcBorders>
            <w:shd w:val="clear" w:color="auto" w:fill="auto"/>
            <w:noWrap/>
            <w:vAlign w:val="bottom"/>
            <w:hideMark/>
          </w:tcPr>
          <w:p w:rsidR="001D2C20" w:rsidRDefault="001D2C20">
            <w:pPr>
              <w:jc w:val="right"/>
              <w:rPr>
                <w:rFonts w:ascii="Calibri" w:hAnsi="Calibri" w:cs="Calibri"/>
                <w:sz w:val="22"/>
                <w:szCs w:val="22"/>
              </w:rPr>
            </w:pPr>
            <w:r>
              <w:rPr>
                <w:rFonts w:ascii="Calibri" w:hAnsi="Calibri" w:cs="Calibri"/>
                <w:sz w:val="22"/>
                <w:szCs w:val="22"/>
              </w:rPr>
              <w:t>-184 505,38</w:t>
            </w:r>
          </w:p>
        </w:tc>
      </w:tr>
      <w:tr w:rsidR="001D2C20" w:rsidTr="001D2C20">
        <w:trPr>
          <w:trHeight w:val="300"/>
        </w:trPr>
        <w:tc>
          <w:tcPr>
            <w:tcW w:w="3160" w:type="dxa"/>
            <w:tcBorders>
              <w:top w:val="nil"/>
              <w:left w:val="single" w:sz="4" w:space="0" w:color="auto"/>
              <w:bottom w:val="single" w:sz="4" w:space="0" w:color="auto"/>
              <w:right w:val="single" w:sz="4" w:space="0" w:color="auto"/>
            </w:tcBorders>
            <w:shd w:val="clear" w:color="000000" w:fill="D9E1F2"/>
            <w:noWrap/>
            <w:vAlign w:val="bottom"/>
            <w:hideMark/>
          </w:tcPr>
          <w:p w:rsidR="001D2C20" w:rsidRDefault="001D2C20">
            <w:pPr>
              <w:rPr>
                <w:rFonts w:ascii="Calibri" w:hAnsi="Calibri" w:cs="Calibri"/>
                <w:b/>
                <w:bCs/>
                <w:sz w:val="22"/>
                <w:szCs w:val="22"/>
              </w:rPr>
            </w:pPr>
            <w:r>
              <w:rPr>
                <w:rFonts w:ascii="Calibri" w:hAnsi="Calibri" w:cs="Calibri"/>
                <w:b/>
                <w:bCs/>
                <w:sz w:val="22"/>
                <w:szCs w:val="22"/>
              </w:rPr>
              <w:t>Peněžní prostředky celkem</w:t>
            </w:r>
          </w:p>
        </w:tc>
        <w:tc>
          <w:tcPr>
            <w:tcW w:w="1802" w:type="dxa"/>
            <w:tcBorders>
              <w:top w:val="nil"/>
              <w:left w:val="nil"/>
              <w:bottom w:val="single" w:sz="4" w:space="0" w:color="auto"/>
              <w:right w:val="single" w:sz="4" w:space="0" w:color="auto"/>
            </w:tcBorders>
            <w:shd w:val="clear" w:color="000000" w:fill="D9E1F2"/>
            <w:noWrap/>
            <w:vAlign w:val="bottom"/>
            <w:hideMark/>
          </w:tcPr>
          <w:p w:rsidR="001D2C20" w:rsidRDefault="001D2C20">
            <w:pPr>
              <w:jc w:val="right"/>
              <w:rPr>
                <w:rFonts w:ascii="Calibri" w:hAnsi="Calibri" w:cs="Calibri"/>
                <w:b/>
                <w:bCs/>
                <w:sz w:val="22"/>
                <w:szCs w:val="22"/>
              </w:rPr>
            </w:pPr>
            <w:r>
              <w:rPr>
                <w:rFonts w:ascii="Calibri" w:hAnsi="Calibri" w:cs="Calibri"/>
                <w:b/>
                <w:bCs/>
                <w:sz w:val="22"/>
                <w:szCs w:val="22"/>
              </w:rPr>
              <w:t>492 362 223,96</w:t>
            </w:r>
          </w:p>
        </w:tc>
        <w:tc>
          <w:tcPr>
            <w:tcW w:w="1984" w:type="dxa"/>
            <w:tcBorders>
              <w:top w:val="nil"/>
              <w:left w:val="nil"/>
              <w:bottom w:val="single" w:sz="4" w:space="0" w:color="auto"/>
              <w:right w:val="single" w:sz="4" w:space="0" w:color="auto"/>
            </w:tcBorders>
            <w:shd w:val="clear" w:color="000000" w:fill="D9E1F2"/>
            <w:noWrap/>
            <w:vAlign w:val="bottom"/>
            <w:hideMark/>
          </w:tcPr>
          <w:p w:rsidR="001D2C20" w:rsidRDefault="001D2C20">
            <w:pPr>
              <w:jc w:val="right"/>
              <w:rPr>
                <w:rFonts w:ascii="Calibri" w:hAnsi="Calibri" w:cs="Calibri"/>
                <w:b/>
                <w:bCs/>
                <w:sz w:val="22"/>
                <w:szCs w:val="22"/>
              </w:rPr>
            </w:pPr>
            <w:r>
              <w:rPr>
                <w:rFonts w:ascii="Calibri" w:hAnsi="Calibri" w:cs="Calibri"/>
                <w:b/>
                <w:bCs/>
                <w:sz w:val="22"/>
                <w:szCs w:val="22"/>
              </w:rPr>
              <w:t>506 064 031,44</w:t>
            </w:r>
          </w:p>
        </w:tc>
        <w:tc>
          <w:tcPr>
            <w:tcW w:w="1559" w:type="dxa"/>
            <w:tcBorders>
              <w:top w:val="nil"/>
              <w:left w:val="nil"/>
              <w:bottom w:val="single" w:sz="4" w:space="0" w:color="auto"/>
              <w:right w:val="single" w:sz="4" w:space="0" w:color="auto"/>
            </w:tcBorders>
            <w:shd w:val="clear" w:color="000000" w:fill="D9E1F2"/>
            <w:noWrap/>
            <w:vAlign w:val="bottom"/>
            <w:hideMark/>
          </w:tcPr>
          <w:p w:rsidR="001D2C20" w:rsidRDefault="001D2C20">
            <w:pPr>
              <w:jc w:val="right"/>
              <w:rPr>
                <w:rFonts w:ascii="Calibri" w:hAnsi="Calibri" w:cs="Calibri"/>
                <w:b/>
                <w:bCs/>
                <w:sz w:val="22"/>
                <w:szCs w:val="22"/>
              </w:rPr>
            </w:pPr>
            <w:r>
              <w:rPr>
                <w:rFonts w:ascii="Calibri" w:hAnsi="Calibri" w:cs="Calibri"/>
                <w:b/>
                <w:bCs/>
                <w:sz w:val="22"/>
                <w:szCs w:val="22"/>
              </w:rPr>
              <w:t>13 701 807,48</w:t>
            </w:r>
          </w:p>
        </w:tc>
      </w:tr>
    </w:tbl>
    <w:p w:rsidR="001D2C20" w:rsidRDefault="001D2C20" w:rsidP="001D2C20"/>
    <w:p w:rsidR="00B113F3" w:rsidRDefault="00B113F3" w:rsidP="00B113F3">
      <w:pPr>
        <w:pStyle w:val="Nadpis2"/>
      </w:pPr>
      <w:r>
        <w:t xml:space="preserve">Úprava schváleného rozpočtu rozpočtovými opatřeními  </w:t>
      </w:r>
    </w:p>
    <w:p w:rsidR="00B113F3" w:rsidRDefault="00B113F3" w:rsidP="00B113F3">
      <w:pPr>
        <w:spacing w:before="240" w:after="240"/>
        <w:jc w:val="both"/>
        <w:rPr>
          <w:rFonts w:ascii="Calibri" w:hAnsi="Calibri"/>
          <w:sz w:val="22"/>
          <w:szCs w:val="22"/>
        </w:rPr>
      </w:pPr>
      <w:r>
        <w:rPr>
          <w:rFonts w:ascii="Calibri" w:hAnsi="Calibri"/>
          <w:sz w:val="22"/>
          <w:szCs w:val="22"/>
        </w:rPr>
        <w:t>Schválený rozpočet města Prostějova pro rok 202</w:t>
      </w:r>
      <w:r w:rsidR="001D2C20">
        <w:rPr>
          <w:rFonts w:ascii="Calibri" w:hAnsi="Calibri"/>
          <w:sz w:val="22"/>
          <w:szCs w:val="22"/>
        </w:rPr>
        <w:t>2</w:t>
      </w:r>
      <w:r>
        <w:rPr>
          <w:rFonts w:ascii="Calibri" w:hAnsi="Calibri"/>
          <w:sz w:val="22"/>
          <w:szCs w:val="22"/>
        </w:rPr>
        <w:t xml:space="preserve"> byl během rozpočtového období roku 202</w:t>
      </w:r>
      <w:r w:rsidR="001D2C20">
        <w:rPr>
          <w:rFonts w:ascii="Calibri" w:hAnsi="Calibri"/>
          <w:sz w:val="22"/>
          <w:szCs w:val="22"/>
        </w:rPr>
        <w:t>2</w:t>
      </w:r>
      <w:r>
        <w:rPr>
          <w:rFonts w:ascii="Calibri" w:hAnsi="Calibri"/>
          <w:sz w:val="22"/>
          <w:szCs w:val="22"/>
        </w:rPr>
        <w:t xml:space="preserve"> upraven na základě ROZOP č. </w:t>
      </w:r>
      <w:r w:rsidRPr="00617552">
        <w:rPr>
          <w:rFonts w:ascii="Calibri" w:hAnsi="Calibri"/>
          <w:sz w:val="22"/>
          <w:szCs w:val="22"/>
        </w:rPr>
        <w:t xml:space="preserve">1 – </w:t>
      </w:r>
      <w:r w:rsidR="00617552" w:rsidRPr="00617552">
        <w:rPr>
          <w:rFonts w:ascii="Calibri" w:hAnsi="Calibri"/>
          <w:sz w:val="22"/>
          <w:szCs w:val="22"/>
        </w:rPr>
        <w:t>76</w:t>
      </w:r>
      <w:r>
        <w:rPr>
          <w:rFonts w:ascii="Calibri" w:hAnsi="Calibri"/>
          <w:sz w:val="22"/>
          <w:szCs w:val="22"/>
        </w:rPr>
        <w:t>/202</w:t>
      </w:r>
      <w:r w:rsidR="001D2C20">
        <w:rPr>
          <w:rFonts w:ascii="Calibri" w:hAnsi="Calibri"/>
          <w:sz w:val="22"/>
          <w:szCs w:val="22"/>
        </w:rPr>
        <w:t>2</w:t>
      </w:r>
      <w:r>
        <w:rPr>
          <w:rFonts w:ascii="Calibri" w:hAnsi="Calibri"/>
          <w:sz w:val="22"/>
          <w:szCs w:val="22"/>
        </w:rPr>
        <w:t xml:space="preserve">: </w:t>
      </w:r>
    </w:p>
    <w:p w:rsidR="00B113F3" w:rsidRDefault="00B113F3" w:rsidP="00B113F3">
      <w:pPr>
        <w:numPr>
          <w:ilvl w:val="0"/>
          <w:numId w:val="45"/>
        </w:numPr>
        <w:spacing w:after="120"/>
        <w:jc w:val="both"/>
        <w:rPr>
          <w:rFonts w:ascii="Calibri" w:hAnsi="Calibri"/>
          <w:sz w:val="22"/>
          <w:szCs w:val="22"/>
        </w:rPr>
      </w:pPr>
      <w:r>
        <w:rPr>
          <w:rFonts w:ascii="Calibri" w:hAnsi="Calibri"/>
          <w:sz w:val="22"/>
          <w:szCs w:val="22"/>
        </w:rPr>
        <w:t xml:space="preserve">v oblasti příjmů zvýšením částky o </w:t>
      </w:r>
      <w:r w:rsidR="007F5190">
        <w:rPr>
          <w:rFonts w:ascii="Calibri" w:hAnsi="Calibri"/>
          <w:sz w:val="22"/>
          <w:szCs w:val="22"/>
        </w:rPr>
        <w:t>46 399 368,93</w:t>
      </w:r>
      <w:r>
        <w:rPr>
          <w:rFonts w:ascii="Calibri" w:hAnsi="Calibri"/>
          <w:sz w:val="22"/>
          <w:szCs w:val="22"/>
        </w:rPr>
        <w:t xml:space="preserve"> Kč (z hodnoty </w:t>
      </w:r>
      <w:r w:rsidR="001C0634">
        <w:rPr>
          <w:rFonts w:ascii="Calibri" w:hAnsi="Calibri"/>
          <w:sz w:val="22"/>
          <w:szCs w:val="22"/>
        </w:rPr>
        <w:t xml:space="preserve">1 000 899 </w:t>
      </w:r>
      <w:r w:rsidR="007F5190">
        <w:rPr>
          <w:rFonts w:ascii="Calibri" w:hAnsi="Calibri"/>
          <w:sz w:val="22"/>
          <w:szCs w:val="22"/>
        </w:rPr>
        <w:t>682,00</w:t>
      </w:r>
      <w:r>
        <w:rPr>
          <w:rFonts w:ascii="Calibri" w:hAnsi="Calibri"/>
          <w:sz w:val="22"/>
          <w:szCs w:val="22"/>
        </w:rPr>
        <w:t xml:space="preserve"> Kč na hodnotu </w:t>
      </w:r>
      <w:r w:rsidR="007F5190">
        <w:rPr>
          <w:rFonts w:ascii="Calibri" w:hAnsi="Calibri"/>
          <w:sz w:val="22"/>
          <w:szCs w:val="22"/>
        </w:rPr>
        <w:t>1 047 299 050,93</w:t>
      </w:r>
      <w:r>
        <w:rPr>
          <w:rFonts w:ascii="Calibri" w:hAnsi="Calibri"/>
          <w:sz w:val="22"/>
          <w:szCs w:val="22"/>
        </w:rPr>
        <w:t xml:space="preserve"> Kč),</w:t>
      </w:r>
    </w:p>
    <w:p w:rsidR="00B113F3" w:rsidRDefault="00B113F3" w:rsidP="00B113F3">
      <w:pPr>
        <w:numPr>
          <w:ilvl w:val="0"/>
          <w:numId w:val="45"/>
        </w:numPr>
        <w:spacing w:after="120"/>
        <w:jc w:val="both"/>
        <w:rPr>
          <w:rFonts w:ascii="Calibri" w:hAnsi="Calibri"/>
          <w:sz w:val="22"/>
          <w:szCs w:val="22"/>
        </w:rPr>
      </w:pPr>
      <w:r>
        <w:rPr>
          <w:rFonts w:ascii="Calibri" w:hAnsi="Calibri"/>
          <w:sz w:val="22"/>
          <w:szCs w:val="22"/>
        </w:rPr>
        <w:t xml:space="preserve">v oblasti výdajů zvýšením částky o </w:t>
      </w:r>
      <w:r w:rsidR="007F5190">
        <w:rPr>
          <w:rFonts w:ascii="Calibri" w:hAnsi="Calibri"/>
          <w:sz w:val="22"/>
          <w:szCs w:val="22"/>
        </w:rPr>
        <w:t>101 202 610,35</w:t>
      </w:r>
      <w:r>
        <w:rPr>
          <w:rFonts w:ascii="Calibri" w:hAnsi="Calibri"/>
          <w:sz w:val="22"/>
          <w:szCs w:val="22"/>
        </w:rPr>
        <w:t xml:space="preserve"> Kč (z hodnoty </w:t>
      </w:r>
      <w:r w:rsidR="007F5190">
        <w:rPr>
          <w:rFonts w:ascii="Calibri" w:hAnsi="Calibri"/>
          <w:sz w:val="22"/>
          <w:szCs w:val="22"/>
        </w:rPr>
        <w:t>1 154 531 030,00</w:t>
      </w:r>
      <w:r>
        <w:rPr>
          <w:rFonts w:ascii="Calibri" w:hAnsi="Calibri"/>
          <w:sz w:val="22"/>
          <w:szCs w:val="22"/>
        </w:rPr>
        <w:t xml:space="preserve"> Kč na hodnotu </w:t>
      </w:r>
      <w:r w:rsidR="007F5190">
        <w:rPr>
          <w:rFonts w:ascii="Calibri" w:hAnsi="Calibri"/>
          <w:sz w:val="22"/>
          <w:szCs w:val="22"/>
        </w:rPr>
        <w:t>1 255 733 640,35</w:t>
      </w:r>
      <w:r>
        <w:rPr>
          <w:rFonts w:ascii="Calibri" w:hAnsi="Calibri"/>
          <w:sz w:val="22"/>
          <w:szCs w:val="22"/>
        </w:rPr>
        <w:t> Kč).</w:t>
      </w:r>
    </w:p>
    <w:tbl>
      <w:tblPr>
        <w:tblW w:w="6091" w:type="dxa"/>
        <w:jc w:val="center"/>
        <w:tblCellMar>
          <w:left w:w="70" w:type="dxa"/>
          <w:right w:w="70" w:type="dxa"/>
        </w:tblCellMar>
        <w:tblLook w:val="04A0" w:firstRow="1" w:lastRow="0" w:firstColumn="1" w:lastColumn="0" w:noHBand="0" w:noVBand="1"/>
      </w:tblPr>
      <w:tblGrid>
        <w:gridCol w:w="1100"/>
        <w:gridCol w:w="1730"/>
        <w:gridCol w:w="1701"/>
        <w:gridCol w:w="1560"/>
      </w:tblGrid>
      <w:tr w:rsidR="00724414" w:rsidTr="007F5190">
        <w:trPr>
          <w:trHeight w:val="600"/>
          <w:jc w:val="center"/>
        </w:trPr>
        <w:tc>
          <w:tcPr>
            <w:tcW w:w="1100"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724414" w:rsidRDefault="00724414">
            <w:pPr>
              <w:jc w:val="center"/>
              <w:rPr>
                <w:rFonts w:ascii="Calibri" w:hAnsi="Calibri" w:cs="Calibri"/>
                <w:b/>
                <w:bCs/>
                <w:color w:val="000000"/>
                <w:sz w:val="22"/>
                <w:szCs w:val="22"/>
              </w:rPr>
            </w:pPr>
            <w:r>
              <w:rPr>
                <w:rFonts w:ascii="Calibri" w:hAnsi="Calibri" w:cs="Calibri"/>
                <w:b/>
                <w:bCs/>
                <w:color w:val="000000"/>
                <w:sz w:val="22"/>
                <w:szCs w:val="22"/>
              </w:rPr>
              <w:t>Příjmy</w:t>
            </w:r>
          </w:p>
        </w:tc>
        <w:tc>
          <w:tcPr>
            <w:tcW w:w="1730" w:type="dxa"/>
            <w:tcBorders>
              <w:top w:val="single" w:sz="4" w:space="0" w:color="auto"/>
              <w:left w:val="nil"/>
              <w:bottom w:val="single" w:sz="4" w:space="0" w:color="auto"/>
              <w:right w:val="single" w:sz="4" w:space="0" w:color="auto"/>
            </w:tcBorders>
            <w:shd w:val="clear" w:color="000000" w:fill="FFE699"/>
            <w:vAlign w:val="center"/>
            <w:hideMark/>
          </w:tcPr>
          <w:p w:rsidR="00724414" w:rsidRDefault="00724414">
            <w:pPr>
              <w:jc w:val="center"/>
              <w:rPr>
                <w:rFonts w:ascii="Calibri" w:hAnsi="Calibri" w:cs="Calibri"/>
                <w:b/>
                <w:bCs/>
                <w:color w:val="000000"/>
                <w:sz w:val="22"/>
                <w:szCs w:val="22"/>
              </w:rPr>
            </w:pPr>
            <w:r>
              <w:rPr>
                <w:rFonts w:ascii="Calibri" w:hAnsi="Calibri" w:cs="Calibri"/>
                <w:b/>
                <w:bCs/>
                <w:color w:val="000000"/>
                <w:sz w:val="22"/>
                <w:szCs w:val="22"/>
              </w:rPr>
              <w:t>Schválený rozpočet</w:t>
            </w:r>
          </w:p>
        </w:tc>
        <w:tc>
          <w:tcPr>
            <w:tcW w:w="1701" w:type="dxa"/>
            <w:tcBorders>
              <w:top w:val="single" w:sz="4" w:space="0" w:color="auto"/>
              <w:left w:val="nil"/>
              <w:bottom w:val="single" w:sz="4" w:space="0" w:color="auto"/>
              <w:right w:val="single" w:sz="4" w:space="0" w:color="auto"/>
            </w:tcBorders>
            <w:shd w:val="clear" w:color="000000" w:fill="FFE699"/>
            <w:vAlign w:val="center"/>
            <w:hideMark/>
          </w:tcPr>
          <w:p w:rsidR="00724414" w:rsidRDefault="00724414">
            <w:pPr>
              <w:jc w:val="center"/>
              <w:rPr>
                <w:rFonts w:ascii="Calibri" w:hAnsi="Calibri" w:cs="Calibri"/>
                <w:b/>
                <w:bCs/>
                <w:color w:val="000000"/>
                <w:sz w:val="22"/>
                <w:szCs w:val="22"/>
              </w:rPr>
            </w:pPr>
            <w:r>
              <w:rPr>
                <w:rFonts w:ascii="Calibri" w:hAnsi="Calibri" w:cs="Calibri"/>
                <w:b/>
                <w:bCs/>
                <w:color w:val="000000"/>
                <w:sz w:val="22"/>
                <w:szCs w:val="22"/>
              </w:rPr>
              <w:t>Upravený rozpočet</w:t>
            </w:r>
          </w:p>
        </w:tc>
        <w:tc>
          <w:tcPr>
            <w:tcW w:w="1560" w:type="dxa"/>
            <w:tcBorders>
              <w:top w:val="single" w:sz="4" w:space="0" w:color="auto"/>
              <w:left w:val="nil"/>
              <w:bottom w:val="single" w:sz="4" w:space="0" w:color="auto"/>
              <w:right w:val="single" w:sz="4" w:space="0" w:color="auto"/>
            </w:tcBorders>
            <w:shd w:val="clear" w:color="000000" w:fill="FFE699"/>
            <w:vAlign w:val="center"/>
            <w:hideMark/>
          </w:tcPr>
          <w:p w:rsidR="00724414" w:rsidRDefault="00724414">
            <w:pPr>
              <w:jc w:val="center"/>
              <w:rPr>
                <w:rFonts w:ascii="Calibri" w:hAnsi="Calibri" w:cs="Calibri"/>
                <w:b/>
                <w:bCs/>
                <w:color w:val="000000"/>
                <w:sz w:val="22"/>
                <w:szCs w:val="22"/>
              </w:rPr>
            </w:pPr>
            <w:r>
              <w:rPr>
                <w:rFonts w:ascii="Calibri" w:hAnsi="Calibri" w:cs="Calibri"/>
                <w:b/>
                <w:bCs/>
                <w:color w:val="000000"/>
                <w:sz w:val="22"/>
                <w:szCs w:val="22"/>
              </w:rPr>
              <w:t>Rozdíl              (UR - SR)</w:t>
            </w:r>
          </w:p>
        </w:tc>
      </w:tr>
      <w:tr w:rsidR="00724414" w:rsidTr="007F519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724414" w:rsidRDefault="00724414">
            <w:pPr>
              <w:rPr>
                <w:rFonts w:ascii="Calibri" w:hAnsi="Calibri" w:cs="Calibri"/>
                <w:color w:val="000000"/>
                <w:sz w:val="22"/>
                <w:szCs w:val="22"/>
              </w:rPr>
            </w:pPr>
            <w:r>
              <w:rPr>
                <w:rFonts w:ascii="Calibri" w:hAnsi="Calibri" w:cs="Calibri"/>
                <w:color w:val="000000"/>
                <w:sz w:val="22"/>
                <w:szCs w:val="22"/>
              </w:rPr>
              <w:t xml:space="preserve">Daňové </w:t>
            </w:r>
          </w:p>
        </w:tc>
        <w:tc>
          <w:tcPr>
            <w:tcW w:w="1730" w:type="dxa"/>
            <w:tcBorders>
              <w:top w:val="nil"/>
              <w:left w:val="nil"/>
              <w:bottom w:val="single" w:sz="4" w:space="0" w:color="auto"/>
              <w:right w:val="single" w:sz="4" w:space="0" w:color="auto"/>
            </w:tcBorders>
            <w:shd w:val="clear" w:color="auto" w:fill="auto"/>
            <w:noWrap/>
            <w:vAlign w:val="center"/>
            <w:hideMark/>
          </w:tcPr>
          <w:p w:rsidR="00724414" w:rsidRDefault="00724414">
            <w:pPr>
              <w:jc w:val="right"/>
              <w:rPr>
                <w:rFonts w:ascii="Calibri" w:hAnsi="Calibri" w:cs="Calibri"/>
                <w:color w:val="000000"/>
                <w:sz w:val="20"/>
                <w:szCs w:val="20"/>
              </w:rPr>
            </w:pPr>
            <w:r>
              <w:rPr>
                <w:rFonts w:ascii="Calibri" w:hAnsi="Calibri" w:cs="Calibri"/>
                <w:color w:val="000000"/>
                <w:sz w:val="20"/>
                <w:szCs w:val="20"/>
              </w:rPr>
              <w:t>777 929 604,28</w:t>
            </w:r>
          </w:p>
        </w:tc>
        <w:tc>
          <w:tcPr>
            <w:tcW w:w="1701" w:type="dxa"/>
            <w:tcBorders>
              <w:top w:val="nil"/>
              <w:left w:val="nil"/>
              <w:bottom w:val="single" w:sz="4" w:space="0" w:color="auto"/>
              <w:right w:val="single" w:sz="4" w:space="0" w:color="auto"/>
            </w:tcBorders>
            <w:shd w:val="clear" w:color="auto" w:fill="auto"/>
            <w:noWrap/>
            <w:vAlign w:val="center"/>
            <w:hideMark/>
          </w:tcPr>
          <w:p w:rsidR="00724414" w:rsidRDefault="00724414">
            <w:pPr>
              <w:jc w:val="right"/>
              <w:rPr>
                <w:rFonts w:ascii="Calibri" w:hAnsi="Calibri" w:cs="Calibri"/>
                <w:color w:val="000000"/>
                <w:sz w:val="20"/>
                <w:szCs w:val="20"/>
              </w:rPr>
            </w:pPr>
            <w:r>
              <w:rPr>
                <w:rFonts w:ascii="Calibri" w:hAnsi="Calibri" w:cs="Calibri"/>
                <w:color w:val="000000"/>
                <w:sz w:val="20"/>
                <w:szCs w:val="20"/>
              </w:rPr>
              <w:t>774 962 313,94</w:t>
            </w:r>
          </w:p>
        </w:tc>
        <w:tc>
          <w:tcPr>
            <w:tcW w:w="1560" w:type="dxa"/>
            <w:tcBorders>
              <w:top w:val="nil"/>
              <w:left w:val="nil"/>
              <w:bottom w:val="single" w:sz="4" w:space="0" w:color="auto"/>
              <w:right w:val="single" w:sz="4" w:space="0" w:color="auto"/>
            </w:tcBorders>
            <w:shd w:val="clear" w:color="auto" w:fill="auto"/>
            <w:noWrap/>
            <w:vAlign w:val="center"/>
            <w:hideMark/>
          </w:tcPr>
          <w:p w:rsidR="00724414" w:rsidRDefault="00724414">
            <w:pPr>
              <w:jc w:val="right"/>
              <w:rPr>
                <w:rFonts w:ascii="Calibri" w:hAnsi="Calibri" w:cs="Calibri"/>
                <w:color w:val="000000"/>
                <w:sz w:val="20"/>
                <w:szCs w:val="20"/>
              </w:rPr>
            </w:pPr>
            <w:r>
              <w:rPr>
                <w:rFonts w:ascii="Calibri" w:hAnsi="Calibri" w:cs="Calibri"/>
                <w:color w:val="000000"/>
                <w:sz w:val="20"/>
                <w:szCs w:val="20"/>
              </w:rPr>
              <w:t>-2 967 290,34</w:t>
            </w:r>
          </w:p>
        </w:tc>
      </w:tr>
      <w:tr w:rsidR="00724414" w:rsidTr="007F519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724414" w:rsidRDefault="00724414">
            <w:pPr>
              <w:rPr>
                <w:rFonts w:ascii="Calibri" w:hAnsi="Calibri" w:cs="Calibri"/>
                <w:color w:val="000000"/>
                <w:sz w:val="22"/>
                <w:szCs w:val="22"/>
              </w:rPr>
            </w:pPr>
            <w:r>
              <w:rPr>
                <w:rFonts w:ascii="Calibri" w:hAnsi="Calibri" w:cs="Calibri"/>
                <w:color w:val="000000"/>
                <w:sz w:val="22"/>
                <w:szCs w:val="22"/>
              </w:rPr>
              <w:t>Nedaňové</w:t>
            </w:r>
          </w:p>
        </w:tc>
        <w:tc>
          <w:tcPr>
            <w:tcW w:w="1730" w:type="dxa"/>
            <w:tcBorders>
              <w:top w:val="nil"/>
              <w:left w:val="nil"/>
              <w:bottom w:val="single" w:sz="4" w:space="0" w:color="auto"/>
              <w:right w:val="single" w:sz="4" w:space="0" w:color="auto"/>
            </w:tcBorders>
            <w:shd w:val="clear" w:color="auto" w:fill="auto"/>
            <w:noWrap/>
            <w:vAlign w:val="center"/>
            <w:hideMark/>
          </w:tcPr>
          <w:p w:rsidR="00724414" w:rsidRDefault="00724414">
            <w:pPr>
              <w:jc w:val="right"/>
              <w:rPr>
                <w:rFonts w:ascii="Calibri" w:hAnsi="Calibri" w:cs="Calibri"/>
                <w:color w:val="000000"/>
                <w:sz w:val="20"/>
                <w:szCs w:val="20"/>
              </w:rPr>
            </w:pPr>
            <w:r>
              <w:rPr>
                <w:rFonts w:ascii="Calibri" w:hAnsi="Calibri" w:cs="Calibri"/>
                <w:color w:val="000000"/>
                <w:sz w:val="20"/>
                <w:szCs w:val="20"/>
              </w:rPr>
              <w:t>137 916 079,00</w:t>
            </w:r>
          </w:p>
        </w:tc>
        <w:tc>
          <w:tcPr>
            <w:tcW w:w="1701" w:type="dxa"/>
            <w:tcBorders>
              <w:top w:val="nil"/>
              <w:left w:val="nil"/>
              <w:bottom w:val="single" w:sz="4" w:space="0" w:color="auto"/>
              <w:right w:val="single" w:sz="4" w:space="0" w:color="auto"/>
            </w:tcBorders>
            <w:shd w:val="clear" w:color="auto" w:fill="auto"/>
            <w:noWrap/>
            <w:vAlign w:val="center"/>
            <w:hideMark/>
          </w:tcPr>
          <w:p w:rsidR="00724414" w:rsidRDefault="00724414">
            <w:pPr>
              <w:jc w:val="right"/>
              <w:rPr>
                <w:rFonts w:ascii="Calibri" w:hAnsi="Calibri" w:cs="Calibri"/>
                <w:color w:val="000000"/>
                <w:sz w:val="20"/>
                <w:szCs w:val="20"/>
              </w:rPr>
            </w:pPr>
            <w:r>
              <w:rPr>
                <w:rFonts w:ascii="Calibri" w:hAnsi="Calibri" w:cs="Calibri"/>
                <w:color w:val="000000"/>
                <w:sz w:val="20"/>
                <w:szCs w:val="20"/>
              </w:rPr>
              <w:t>144 118 074,02</w:t>
            </w:r>
          </w:p>
        </w:tc>
        <w:tc>
          <w:tcPr>
            <w:tcW w:w="1560" w:type="dxa"/>
            <w:tcBorders>
              <w:top w:val="nil"/>
              <w:left w:val="nil"/>
              <w:bottom w:val="single" w:sz="4" w:space="0" w:color="auto"/>
              <w:right w:val="single" w:sz="4" w:space="0" w:color="auto"/>
            </w:tcBorders>
            <w:shd w:val="clear" w:color="auto" w:fill="auto"/>
            <w:noWrap/>
            <w:vAlign w:val="center"/>
            <w:hideMark/>
          </w:tcPr>
          <w:p w:rsidR="00724414" w:rsidRDefault="00724414">
            <w:pPr>
              <w:jc w:val="right"/>
              <w:rPr>
                <w:rFonts w:ascii="Calibri" w:hAnsi="Calibri" w:cs="Calibri"/>
                <w:color w:val="000000"/>
                <w:sz w:val="20"/>
                <w:szCs w:val="20"/>
              </w:rPr>
            </w:pPr>
            <w:r>
              <w:rPr>
                <w:rFonts w:ascii="Calibri" w:hAnsi="Calibri" w:cs="Calibri"/>
                <w:color w:val="000000"/>
                <w:sz w:val="20"/>
                <w:szCs w:val="20"/>
              </w:rPr>
              <w:t>6 201 995,02</w:t>
            </w:r>
          </w:p>
        </w:tc>
      </w:tr>
      <w:tr w:rsidR="00724414" w:rsidTr="007F519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724414" w:rsidRDefault="00724414">
            <w:pPr>
              <w:rPr>
                <w:rFonts w:ascii="Calibri" w:hAnsi="Calibri" w:cs="Calibri"/>
                <w:color w:val="000000"/>
                <w:sz w:val="22"/>
                <w:szCs w:val="22"/>
              </w:rPr>
            </w:pPr>
            <w:r>
              <w:rPr>
                <w:rFonts w:ascii="Calibri" w:hAnsi="Calibri" w:cs="Calibri"/>
                <w:color w:val="000000"/>
                <w:sz w:val="22"/>
                <w:szCs w:val="22"/>
              </w:rPr>
              <w:t>Kapitálové</w:t>
            </w:r>
          </w:p>
        </w:tc>
        <w:tc>
          <w:tcPr>
            <w:tcW w:w="1730" w:type="dxa"/>
            <w:tcBorders>
              <w:top w:val="nil"/>
              <w:left w:val="nil"/>
              <w:bottom w:val="single" w:sz="4" w:space="0" w:color="auto"/>
              <w:right w:val="single" w:sz="4" w:space="0" w:color="auto"/>
            </w:tcBorders>
            <w:shd w:val="clear" w:color="auto" w:fill="auto"/>
            <w:noWrap/>
            <w:vAlign w:val="center"/>
            <w:hideMark/>
          </w:tcPr>
          <w:p w:rsidR="00724414" w:rsidRDefault="00724414">
            <w:pPr>
              <w:jc w:val="right"/>
              <w:rPr>
                <w:rFonts w:ascii="Calibri" w:hAnsi="Calibri" w:cs="Calibri"/>
                <w:color w:val="000000"/>
                <w:sz w:val="20"/>
                <w:szCs w:val="20"/>
              </w:rPr>
            </w:pPr>
            <w:r>
              <w:rPr>
                <w:rFonts w:ascii="Calibri" w:hAnsi="Calibri" w:cs="Calibri"/>
                <w:color w:val="000000"/>
                <w:sz w:val="20"/>
                <w:szCs w:val="20"/>
              </w:rPr>
              <w:t>1 003 000,00</w:t>
            </w:r>
          </w:p>
        </w:tc>
        <w:tc>
          <w:tcPr>
            <w:tcW w:w="1701" w:type="dxa"/>
            <w:tcBorders>
              <w:top w:val="nil"/>
              <w:left w:val="nil"/>
              <w:bottom w:val="single" w:sz="4" w:space="0" w:color="auto"/>
              <w:right w:val="single" w:sz="4" w:space="0" w:color="auto"/>
            </w:tcBorders>
            <w:shd w:val="clear" w:color="auto" w:fill="auto"/>
            <w:noWrap/>
            <w:vAlign w:val="center"/>
            <w:hideMark/>
          </w:tcPr>
          <w:p w:rsidR="00724414" w:rsidRDefault="00724414">
            <w:pPr>
              <w:jc w:val="right"/>
              <w:rPr>
                <w:rFonts w:ascii="Calibri" w:hAnsi="Calibri" w:cs="Calibri"/>
                <w:color w:val="000000"/>
                <w:sz w:val="20"/>
                <w:szCs w:val="20"/>
              </w:rPr>
            </w:pPr>
            <w:r>
              <w:rPr>
                <w:rFonts w:ascii="Calibri" w:hAnsi="Calibri" w:cs="Calibri"/>
                <w:color w:val="000000"/>
                <w:sz w:val="20"/>
                <w:szCs w:val="20"/>
              </w:rPr>
              <w:t>4 740 148,00</w:t>
            </w:r>
          </w:p>
        </w:tc>
        <w:tc>
          <w:tcPr>
            <w:tcW w:w="1560" w:type="dxa"/>
            <w:tcBorders>
              <w:top w:val="nil"/>
              <w:left w:val="nil"/>
              <w:bottom w:val="single" w:sz="4" w:space="0" w:color="auto"/>
              <w:right w:val="single" w:sz="4" w:space="0" w:color="auto"/>
            </w:tcBorders>
            <w:shd w:val="clear" w:color="auto" w:fill="auto"/>
            <w:noWrap/>
            <w:vAlign w:val="center"/>
            <w:hideMark/>
          </w:tcPr>
          <w:p w:rsidR="00724414" w:rsidRDefault="00724414">
            <w:pPr>
              <w:jc w:val="right"/>
              <w:rPr>
                <w:rFonts w:ascii="Calibri" w:hAnsi="Calibri" w:cs="Calibri"/>
                <w:color w:val="000000"/>
                <w:sz w:val="20"/>
                <w:szCs w:val="20"/>
              </w:rPr>
            </w:pPr>
            <w:r>
              <w:rPr>
                <w:rFonts w:ascii="Calibri" w:hAnsi="Calibri" w:cs="Calibri"/>
                <w:color w:val="000000"/>
                <w:sz w:val="20"/>
                <w:szCs w:val="20"/>
              </w:rPr>
              <w:t>3 737 148,00</w:t>
            </w:r>
          </w:p>
        </w:tc>
      </w:tr>
      <w:tr w:rsidR="00724414" w:rsidTr="007F519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724414" w:rsidRDefault="00724414">
            <w:pPr>
              <w:rPr>
                <w:rFonts w:ascii="Calibri" w:hAnsi="Calibri" w:cs="Calibri"/>
                <w:color w:val="000000"/>
                <w:sz w:val="22"/>
                <w:szCs w:val="22"/>
              </w:rPr>
            </w:pPr>
            <w:r>
              <w:rPr>
                <w:rFonts w:ascii="Calibri" w:hAnsi="Calibri" w:cs="Calibri"/>
                <w:color w:val="000000"/>
                <w:sz w:val="22"/>
                <w:szCs w:val="22"/>
              </w:rPr>
              <w:t>Transfery</w:t>
            </w:r>
          </w:p>
        </w:tc>
        <w:tc>
          <w:tcPr>
            <w:tcW w:w="1730" w:type="dxa"/>
            <w:tcBorders>
              <w:top w:val="nil"/>
              <w:left w:val="nil"/>
              <w:bottom w:val="single" w:sz="4" w:space="0" w:color="auto"/>
              <w:right w:val="single" w:sz="4" w:space="0" w:color="auto"/>
            </w:tcBorders>
            <w:shd w:val="clear" w:color="auto" w:fill="auto"/>
            <w:noWrap/>
            <w:vAlign w:val="center"/>
            <w:hideMark/>
          </w:tcPr>
          <w:p w:rsidR="00724414" w:rsidRDefault="00724414">
            <w:pPr>
              <w:jc w:val="right"/>
              <w:rPr>
                <w:rFonts w:ascii="Calibri" w:hAnsi="Calibri" w:cs="Calibri"/>
                <w:color w:val="000000"/>
                <w:sz w:val="20"/>
                <w:szCs w:val="20"/>
              </w:rPr>
            </w:pPr>
            <w:r>
              <w:rPr>
                <w:rFonts w:ascii="Calibri" w:hAnsi="Calibri" w:cs="Calibri"/>
                <w:color w:val="000000"/>
                <w:sz w:val="20"/>
                <w:szCs w:val="20"/>
              </w:rPr>
              <w:t>84 050 998,72</w:t>
            </w:r>
          </w:p>
        </w:tc>
        <w:tc>
          <w:tcPr>
            <w:tcW w:w="1701" w:type="dxa"/>
            <w:tcBorders>
              <w:top w:val="nil"/>
              <w:left w:val="nil"/>
              <w:bottom w:val="single" w:sz="4" w:space="0" w:color="auto"/>
              <w:right w:val="single" w:sz="4" w:space="0" w:color="auto"/>
            </w:tcBorders>
            <w:shd w:val="clear" w:color="auto" w:fill="auto"/>
            <w:noWrap/>
            <w:vAlign w:val="center"/>
            <w:hideMark/>
          </w:tcPr>
          <w:p w:rsidR="00724414" w:rsidRDefault="00724414">
            <w:pPr>
              <w:jc w:val="right"/>
              <w:rPr>
                <w:rFonts w:ascii="Calibri" w:hAnsi="Calibri" w:cs="Calibri"/>
                <w:color w:val="000000"/>
                <w:sz w:val="20"/>
                <w:szCs w:val="20"/>
              </w:rPr>
            </w:pPr>
            <w:r>
              <w:rPr>
                <w:rFonts w:ascii="Calibri" w:hAnsi="Calibri" w:cs="Calibri"/>
                <w:color w:val="000000"/>
                <w:sz w:val="20"/>
                <w:szCs w:val="20"/>
              </w:rPr>
              <w:t>123 478 514,97</w:t>
            </w:r>
          </w:p>
        </w:tc>
        <w:tc>
          <w:tcPr>
            <w:tcW w:w="1560" w:type="dxa"/>
            <w:tcBorders>
              <w:top w:val="nil"/>
              <w:left w:val="nil"/>
              <w:bottom w:val="single" w:sz="4" w:space="0" w:color="auto"/>
              <w:right w:val="single" w:sz="4" w:space="0" w:color="auto"/>
            </w:tcBorders>
            <w:shd w:val="clear" w:color="auto" w:fill="auto"/>
            <w:noWrap/>
            <w:vAlign w:val="center"/>
            <w:hideMark/>
          </w:tcPr>
          <w:p w:rsidR="00724414" w:rsidRDefault="00724414">
            <w:pPr>
              <w:jc w:val="right"/>
              <w:rPr>
                <w:rFonts w:ascii="Calibri" w:hAnsi="Calibri" w:cs="Calibri"/>
                <w:color w:val="000000"/>
                <w:sz w:val="20"/>
                <w:szCs w:val="20"/>
              </w:rPr>
            </w:pPr>
            <w:r>
              <w:rPr>
                <w:rFonts w:ascii="Calibri" w:hAnsi="Calibri" w:cs="Calibri"/>
                <w:color w:val="000000"/>
                <w:sz w:val="20"/>
                <w:szCs w:val="20"/>
              </w:rPr>
              <w:t>39 427 516,25</w:t>
            </w:r>
          </w:p>
        </w:tc>
      </w:tr>
      <w:tr w:rsidR="00724414" w:rsidTr="007F5190">
        <w:trPr>
          <w:trHeight w:val="300"/>
          <w:jc w:val="center"/>
        </w:trPr>
        <w:tc>
          <w:tcPr>
            <w:tcW w:w="1100" w:type="dxa"/>
            <w:tcBorders>
              <w:top w:val="nil"/>
              <w:left w:val="single" w:sz="4" w:space="0" w:color="auto"/>
              <w:bottom w:val="single" w:sz="4" w:space="0" w:color="auto"/>
              <w:right w:val="single" w:sz="4" w:space="0" w:color="auto"/>
            </w:tcBorders>
            <w:shd w:val="clear" w:color="000000" w:fill="FFF2CC"/>
            <w:noWrap/>
            <w:vAlign w:val="center"/>
            <w:hideMark/>
          </w:tcPr>
          <w:p w:rsidR="00724414" w:rsidRDefault="00724414">
            <w:pPr>
              <w:rPr>
                <w:rFonts w:ascii="Calibri" w:hAnsi="Calibri" w:cs="Calibri"/>
                <w:b/>
                <w:bCs/>
                <w:color w:val="000000"/>
                <w:sz w:val="22"/>
                <w:szCs w:val="22"/>
              </w:rPr>
            </w:pPr>
            <w:r>
              <w:rPr>
                <w:rFonts w:ascii="Calibri" w:hAnsi="Calibri" w:cs="Calibri"/>
                <w:b/>
                <w:bCs/>
                <w:color w:val="000000"/>
                <w:sz w:val="22"/>
                <w:szCs w:val="22"/>
              </w:rPr>
              <w:t>Celkem</w:t>
            </w:r>
          </w:p>
        </w:tc>
        <w:tc>
          <w:tcPr>
            <w:tcW w:w="1730" w:type="dxa"/>
            <w:tcBorders>
              <w:top w:val="nil"/>
              <w:left w:val="nil"/>
              <w:bottom w:val="single" w:sz="4" w:space="0" w:color="auto"/>
              <w:right w:val="single" w:sz="4" w:space="0" w:color="auto"/>
            </w:tcBorders>
            <w:shd w:val="clear" w:color="000000" w:fill="FFF2CC"/>
            <w:noWrap/>
            <w:vAlign w:val="center"/>
            <w:hideMark/>
          </w:tcPr>
          <w:p w:rsidR="00724414" w:rsidRDefault="00724414">
            <w:pPr>
              <w:jc w:val="right"/>
              <w:rPr>
                <w:rFonts w:ascii="Calibri" w:hAnsi="Calibri" w:cs="Calibri"/>
                <w:b/>
                <w:bCs/>
                <w:color w:val="000000"/>
                <w:sz w:val="22"/>
                <w:szCs w:val="22"/>
              </w:rPr>
            </w:pPr>
            <w:r>
              <w:rPr>
                <w:rFonts w:ascii="Calibri" w:hAnsi="Calibri" w:cs="Calibri"/>
                <w:b/>
                <w:bCs/>
                <w:color w:val="000000"/>
                <w:sz w:val="22"/>
                <w:szCs w:val="22"/>
              </w:rPr>
              <w:t>1 000 899 682,00</w:t>
            </w:r>
          </w:p>
        </w:tc>
        <w:tc>
          <w:tcPr>
            <w:tcW w:w="1701" w:type="dxa"/>
            <w:tcBorders>
              <w:top w:val="nil"/>
              <w:left w:val="nil"/>
              <w:bottom w:val="single" w:sz="4" w:space="0" w:color="auto"/>
              <w:right w:val="single" w:sz="4" w:space="0" w:color="auto"/>
            </w:tcBorders>
            <w:shd w:val="clear" w:color="000000" w:fill="FFF2CC"/>
            <w:noWrap/>
            <w:vAlign w:val="center"/>
            <w:hideMark/>
          </w:tcPr>
          <w:p w:rsidR="00724414" w:rsidRDefault="00724414">
            <w:pPr>
              <w:jc w:val="right"/>
              <w:rPr>
                <w:rFonts w:ascii="Calibri" w:hAnsi="Calibri" w:cs="Calibri"/>
                <w:b/>
                <w:bCs/>
                <w:color w:val="000000"/>
                <w:sz w:val="22"/>
                <w:szCs w:val="22"/>
              </w:rPr>
            </w:pPr>
            <w:r>
              <w:rPr>
                <w:rFonts w:ascii="Calibri" w:hAnsi="Calibri" w:cs="Calibri"/>
                <w:b/>
                <w:bCs/>
                <w:color w:val="000000"/>
                <w:sz w:val="22"/>
                <w:szCs w:val="22"/>
              </w:rPr>
              <w:t>1 047 299 050,93</w:t>
            </w:r>
          </w:p>
        </w:tc>
        <w:tc>
          <w:tcPr>
            <w:tcW w:w="1560" w:type="dxa"/>
            <w:tcBorders>
              <w:top w:val="nil"/>
              <w:left w:val="nil"/>
              <w:bottom w:val="single" w:sz="4" w:space="0" w:color="auto"/>
              <w:right w:val="single" w:sz="4" w:space="0" w:color="auto"/>
            </w:tcBorders>
            <w:shd w:val="clear" w:color="000000" w:fill="FFF2CC"/>
            <w:noWrap/>
            <w:vAlign w:val="center"/>
            <w:hideMark/>
          </w:tcPr>
          <w:p w:rsidR="00724414" w:rsidRDefault="00724414">
            <w:pPr>
              <w:jc w:val="right"/>
              <w:rPr>
                <w:rFonts w:ascii="Calibri" w:hAnsi="Calibri" w:cs="Calibri"/>
                <w:b/>
                <w:bCs/>
                <w:color w:val="000000"/>
                <w:sz w:val="22"/>
                <w:szCs w:val="22"/>
              </w:rPr>
            </w:pPr>
            <w:r>
              <w:rPr>
                <w:rFonts w:ascii="Calibri" w:hAnsi="Calibri" w:cs="Calibri"/>
                <w:b/>
                <w:bCs/>
                <w:color w:val="000000"/>
                <w:sz w:val="22"/>
                <w:szCs w:val="22"/>
              </w:rPr>
              <w:t>46 399 368,93</w:t>
            </w:r>
          </w:p>
        </w:tc>
      </w:tr>
    </w:tbl>
    <w:p w:rsidR="00B113F3" w:rsidRDefault="00B113F3" w:rsidP="00B113F3">
      <w:pPr>
        <w:spacing w:after="120"/>
        <w:jc w:val="both"/>
        <w:rPr>
          <w:rFonts w:ascii="Calibri" w:hAnsi="Calibri"/>
          <w:sz w:val="22"/>
          <w:szCs w:val="22"/>
        </w:rPr>
      </w:pPr>
    </w:p>
    <w:tbl>
      <w:tblPr>
        <w:tblW w:w="6091" w:type="dxa"/>
        <w:jc w:val="center"/>
        <w:tblCellMar>
          <w:left w:w="70" w:type="dxa"/>
          <w:right w:w="70" w:type="dxa"/>
        </w:tblCellMar>
        <w:tblLook w:val="04A0" w:firstRow="1" w:lastRow="0" w:firstColumn="1" w:lastColumn="0" w:noHBand="0" w:noVBand="1"/>
      </w:tblPr>
      <w:tblGrid>
        <w:gridCol w:w="1100"/>
        <w:gridCol w:w="1730"/>
        <w:gridCol w:w="1701"/>
        <w:gridCol w:w="1560"/>
      </w:tblGrid>
      <w:tr w:rsidR="007F5190" w:rsidTr="007F5190">
        <w:trPr>
          <w:trHeight w:val="600"/>
          <w:jc w:val="center"/>
        </w:trPr>
        <w:tc>
          <w:tcPr>
            <w:tcW w:w="1100"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7F5190" w:rsidRDefault="007F5190">
            <w:pPr>
              <w:jc w:val="center"/>
              <w:rPr>
                <w:rFonts w:ascii="Calibri" w:hAnsi="Calibri" w:cs="Calibri"/>
                <w:b/>
                <w:bCs/>
                <w:color w:val="000000"/>
                <w:sz w:val="22"/>
                <w:szCs w:val="22"/>
              </w:rPr>
            </w:pPr>
            <w:r>
              <w:rPr>
                <w:rFonts w:ascii="Calibri" w:hAnsi="Calibri" w:cs="Calibri"/>
                <w:b/>
                <w:bCs/>
                <w:color w:val="000000"/>
                <w:sz w:val="22"/>
                <w:szCs w:val="22"/>
              </w:rPr>
              <w:t>Výdaje</w:t>
            </w:r>
          </w:p>
        </w:tc>
        <w:tc>
          <w:tcPr>
            <w:tcW w:w="1730" w:type="dxa"/>
            <w:tcBorders>
              <w:top w:val="single" w:sz="4" w:space="0" w:color="auto"/>
              <w:left w:val="nil"/>
              <w:bottom w:val="single" w:sz="4" w:space="0" w:color="auto"/>
              <w:right w:val="single" w:sz="4" w:space="0" w:color="auto"/>
            </w:tcBorders>
            <w:shd w:val="clear" w:color="000000" w:fill="FFE699"/>
            <w:vAlign w:val="center"/>
            <w:hideMark/>
          </w:tcPr>
          <w:p w:rsidR="007F5190" w:rsidRDefault="007F5190">
            <w:pPr>
              <w:jc w:val="center"/>
              <w:rPr>
                <w:rFonts w:ascii="Calibri" w:hAnsi="Calibri" w:cs="Calibri"/>
                <w:b/>
                <w:bCs/>
                <w:color w:val="000000"/>
                <w:sz w:val="22"/>
                <w:szCs w:val="22"/>
              </w:rPr>
            </w:pPr>
            <w:r>
              <w:rPr>
                <w:rFonts w:ascii="Calibri" w:hAnsi="Calibri" w:cs="Calibri"/>
                <w:b/>
                <w:bCs/>
                <w:color w:val="000000"/>
                <w:sz w:val="22"/>
                <w:szCs w:val="22"/>
              </w:rPr>
              <w:t>Schválený rozpočet</w:t>
            </w:r>
          </w:p>
        </w:tc>
        <w:tc>
          <w:tcPr>
            <w:tcW w:w="1701" w:type="dxa"/>
            <w:tcBorders>
              <w:top w:val="single" w:sz="4" w:space="0" w:color="auto"/>
              <w:left w:val="nil"/>
              <w:bottom w:val="single" w:sz="4" w:space="0" w:color="auto"/>
              <w:right w:val="single" w:sz="4" w:space="0" w:color="auto"/>
            </w:tcBorders>
            <w:shd w:val="clear" w:color="000000" w:fill="FFE699"/>
            <w:vAlign w:val="center"/>
            <w:hideMark/>
          </w:tcPr>
          <w:p w:rsidR="007F5190" w:rsidRDefault="007F5190">
            <w:pPr>
              <w:jc w:val="center"/>
              <w:rPr>
                <w:rFonts w:ascii="Calibri" w:hAnsi="Calibri" w:cs="Calibri"/>
                <w:b/>
                <w:bCs/>
                <w:color w:val="000000"/>
                <w:sz w:val="22"/>
                <w:szCs w:val="22"/>
              </w:rPr>
            </w:pPr>
            <w:r>
              <w:rPr>
                <w:rFonts w:ascii="Calibri" w:hAnsi="Calibri" w:cs="Calibri"/>
                <w:b/>
                <w:bCs/>
                <w:color w:val="000000"/>
                <w:sz w:val="22"/>
                <w:szCs w:val="22"/>
              </w:rPr>
              <w:t>Upravený rozpočet</w:t>
            </w:r>
          </w:p>
        </w:tc>
        <w:tc>
          <w:tcPr>
            <w:tcW w:w="1560" w:type="dxa"/>
            <w:tcBorders>
              <w:top w:val="single" w:sz="4" w:space="0" w:color="auto"/>
              <w:left w:val="nil"/>
              <w:bottom w:val="single" w:sz="4" w:space="0" w:color="auto"/>
              <w:right w:val="single" w:sz="4" w:space="0" w:color="auto"/>
            </w:tcBorders>
            <w:shd w:val="clear" w:color="000000" w:fill="FFE699"/>
            <w:vAlign w:val="center"/>
            <w:hideMark/>
          </w:tcPr>
          <w:p w:rsidR="007F5190" w:rsidRDefault="007F5190">
            <w:pPr>
              <w:jc w:val="center"/>
              <w:rPr>
                <w:rFonts w:ascii="Calibri" w:hAnsi="Calibri" w:cs="Calibri"/>
                <w:b/>
                <w:bCs/>
                <w:color w:val="000000"/>
                <w:sz w:val="22"/>
                <w:szCs w:val="22"/>
              </w:rPr>
            </w:pPr>
            <w:r>
              <w:rPr>
                <w:rFonts w:ascii="Calibri" w:hAnsi="Calibri" w:cs="Calibri"/>
                <w:b/>
                <w:bCs/>
                <w:color w:val="000000"/>
                <w:sz w:val="22"/>
                <w:szCs w:val="22"/>
              </w:rPr>
              <w:t>Rozdíl              (UR - SR)</w:t>
            </w:r>
          </w:p>
        </w:tc>
      </w:tr>
      <w:tr w:rsidR="007F5190" w:rsidTr="007F519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7F5190" w:rsidRDefault="007F5190">
            <w:pPr>
              <w:rPr>
                <w:rFonts w:ascii="Calibri" w:hAnsi="Calibri" w:cs="Calibri"/>
                <w:color w:val="000000"/>
                <w:sz w:val="22"/>
                <w:szCs w:val="22"/>
              </w:rPr>
            </w:pPr>
            <w:r>
              <w:rPr>
                <w:rFonts w:ascii="Calibri" w:hAnsi="Calibri" w:cs="Calibri"/>
                <w:color w:val="000000"/>
                <w:sz w:val="22"/>
                <w:szCs w:val="22"/>
              </w:rPr>
              <w:t>Běžné</w:t>
            </w:r>
          </w:p>
        </w:tc>
        <w:tc>
          <w:tcPr>
            <w:tcW w:w="1730" w:type="dxa"/>
            <w:tcBorders>
              <w:top w:val="nil"/>
              <w:left w:val="nil"/>
              <w:bottom w:val="single" w:sz="4" w:space="0" w:color="auto"/>
              <w:right w:val="single" w:sz="4" w:space="0" w:color="auto"/>
            </w:tcBorders>
            <w:shd w:val="clear" w:color="auto" w:fill="auto"/>
            <w:noWrap/>
            <w:vAlign w:val="center"/>
            <w:hideMark/>
          </w:tcPr>
          <w:p w:rsidR="007F5190" w:rsidRDefault="007F5190">
            <w:pPr>
              <w:jc w:val="right"/>
              <w:rPr>
                <w:rFonts w:ascii="Calibri" w:hAnsi="Calibri" w:cs="Calibri"/>
                <w:color w:val="000000"/>
                <w:sz w:val="20"/>
                <w:szCs w:val="20"/>
              </w:rPr>
            </w:pPr>
            <w:r>
              <w:rPr>
                <w:rFonts w:ascii="Calibri" w:hAnsi="Calibri" w:cs="Calibri"/>
                <w:color w:val="000000"/>
                <w:sz w:val="20"/>
                <w:szCs w:val="20"/>
              </w:rPr>
              <w:t>865 485 480,00</w:t>
            </w:r>
          </w:p>
        </w:tc>
        <w:tc>
          <w:tcPr>
            <w:tcW w:w="1701" w:type="dxa"/>
            <w:tcBorders>
              <w:top w:val="nil"/>
              <w:left w:val="nil"/>
              <w:bottom w:val="single" w:sz="4" w:space="0" w:color="auto"/>
              <w:right w:val="single" w:sz="4" w:space="0" w:color="auto"/>
            </w:tcBorders>
            <w:shd w:val="clear" w:color="auto" w:fill="auto"/>
            <w:noWrap/>
            <w:vAlign w:val="center"/>
            <w:hideMark/>
          </w:tcPr>
          <w:p w:rsidR="007F5190" w:rsidRDefault="007F5190">
            <w:pPr>
              <w:jc w:val="right"/>
              <w:rPr>
                <w:rFonts w:ascii="Calibri" w:hAnsi="Calibri" w:cs="Calibri"/>
                <w:color w:val="000000"/>
                <w:sz w:val="20"/>
                <w:szCs w:val="20"/>
              </w:rPr>
            </w:pPr>
            <w:r>
              <w:rPr>
                <w:rFonts w:ascii="Calibri" w:hAnsi="Calibri" w:cs="Calibri"/>
                <w:color w:val="000000"/>
                <w:sz w:val="20"/>
                <w:szCs w:val="20"/>
              </w:rPr>
              <w:t>973 226 593,05</w:t>
            </w:r>
          </w:p>
        </w:tc>
        <w:tc>
          <w:tcPr>
            <w:tcW w:w="1560" w:type="dxa"/>
            <w:tcBorders>
              <w:top w:val="nil"/>
              <w:left w:val="nil"/>
              <w:bottom w:val="single" w:sz="4" w:space="0" w:color="auto"/>
              <w:right w:val="single" w:sz="4" w:space="0" w:color="auto"/>
            </w:tcBorders>
            <w:shd w:val="clear" w:color="auto" w:fill="auto"/>
            <w:noWrap/>
            <w:vAlign w:val="center"/>
            <w:hideMark/>
          </w:tcPr>
          <w:p w:rsidR="007F5190" w:rsidRDefault="007F5190">
            <w:pPr>
              <w:jc w:val="right"/>
              <w:rPr>
                <w:rFonts w:ascii="Calibri" w:hAnsi="Calibri" w:cs="Calibri"/>
                <w:color w:val="000000"/>
                <w:sz w:val="20"/>
                <w:szCs w:val="20"/>
              </w:rPr>
            </w:pPr>
            <w:r>
              <w:rPr>
                <w:rFonts w:ascii="Calibri" w:hAnsi="Calibri" w:cs="Calibri"/>
                <w:color w:val="000000"/>
                <w:sz w:val="20"/>
                <w:szCs w:val="20"/>
              </w:rPr>
              <w:t>107 741 113,05</w:t>
            </w:r>
          </w:p>
        </w:tc>
      </w:tr>
      <w:tr w:rsidR="007F5190" w:rsidTr="007F519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7F5190" w:rsidRDefault="007F5190">
            <w:pPr>
              <w:rPr>
                <w:rFonts w:ascii="Calibri" w:hAnsi="Calibri" w:cs="Calibri"/>
                <w:color w:val="000000"/>
                <w:sz w:val="22"/>
                <w:szCs w:val="22"/>
              </w:rPr>
            </w:pPr>
            <w:r>
              <w:rPr>
                <w:rFonts w:ascii="Calibri" w:hAnsi="Calibri" w:cs="Calibri"/>
                <w:color w:val="000000"/>
                <w:sz w:val="22"/>
                <w:szCs w:val="22"/>
              </w:rPr>
              <w:t>Kapitálové</w:t>
            </w:r>
          </w:p>
        </w:tc>
        <w:tc>
          <w:tcPr>
            <w:tcW w:w="1730" w:type="dxa"/>
            <w:tcBorders>
              <w:top w:val="nil"/>
              <w:left w:val="nil"/>
              <w:bottom w:val="single" w:sz="4" w:space="0" w:color="auto"/>
              <w:right w:val="single" w:sz="4" w:space="0" w:color="auto"/>
            </w:tcBorders>
            <w:shd w:val="clear" w:color="auto" w:fill="auto"/>
            <w:noWrap/>
            <w:vAlign w:val="center"/>
            <w:hideMark/>
          </w:tcPr>
          <w:p w:rsidR="007F5190" w:rsidRDefault="007F5190">
            <w:pPr>
              <w:jc w:val="right"/>
              <w:rPr>
                <w:rFonts w:ascii="Calibri" w:hAnsi="Calibri" w:cs="Calibri"/>
                <w:color w:val="000000"/>
                <w:sz w:val="20"/>
                <w:szCs w:val="20"/>
              </w:rPr>
            </w:pPr>
            <w:r>
              <w:rPr>
                <w:rFonts w:ascii="Calibri" w:hAnsi="Calibri" w:cs="Calibri"/>
                <w:color w:val="000000"/>
                <w:sz w:val="20"/>
                <w:szCs w:val="20"/>
              </w:rPr>
              <w:t>289 045 550,00</w:t>
            </w:r>
          </w:p>
        </w:tc>
        <w:tc>
          <w:tcPr>
            <w:tcW w:w="1701" w:type="dxa"/>
            <w:tcBorders>
              <w:top w:val="nil"/>
              <w:left w:val="nil"/>
              <w:bottom w:val="single" w:sz="4" w:space="0" w:color="auto"/>
              <w:right w:val="single" w:sz="4" w:space="0" w:color="auto"/>
            </w:tcBorders>
            <w:shd w:val="clear" w:color="auto" w:fill="auto"/>
            <w:noWrap/>
            <w:vAlign w:val="center"/>
            <w:hideMark/>
          </w:tcPr>
          <w:p w:rsidR="007F5190" w:rsidRDefault="007F5190">
            <w:pPr>
              <w:jc w:val="right"/>
              <w:rPr>
                <w:rFonts w:ascii="Calibri" w:hAnsi="Calibri" w:cs="Calibri"/>
                <w:color w:val="000000"/>
                <w:sz w:val="20"/>
                <w:szCs w:val="20"/>
              </w:rPr>
            </w:pPr>
            <w:r>
              <w:rPr>
                <w:rFonts w:ascii="Calibri" w:hAnsi="Calibri" w:cs="Calibri"/>
                <w:color w:val="000000"/>
                <w:sz w:val="20"/>
                <w:szCs w:val="20"/>
              </w:rPr>
              <w:t>282 507 047,30</w:t>
            </w:r>
          </w:p>
        </w:tc>
        <w:tc>
          <w:tcPr>
            <w:tcW w:w="1560" w:type="dxa"/>
            <w:tcBorders>
              <w:top w:val="nil"/>
              <w:left w:val="nil"/>
              <w:bottom w:val="single" w:sz="4" w:space="0" w:color="auto"/>
              <w:right w:val="single" w:sz="4" w:space="0" w:color="auto"/>
            </w:tcBorders>
            <w:shd w:val="clear" w:color="auto" w:fill="auto"/>
            <w:noWrap/>
            <w:vAlign w:val="center"/>
            <w:hideMark/>
          </w:tcPr>
          <w:p w:rsidR="007F5190" w:rsidRDefault="007F5190">
            <w:pPr>
              <w:jc w:val="right"/>
              <w:rPr>
                <w:rFonts w:ascii="Calibri" w:hAnsi="Calibri" w:cs="Calibri"/>
                <w:color w:val="000000"/>
                <w:sz w:val="20"/>
                <w:szCs w:val="20"/>
              </w:rPr>
            </w:pPr>
            <w:r>
              <w:rPr>
                <w:rFonts w:ascii="Calibri" w:hAnsi="Calibri" w:cs="Calibri"/>
                <w:color w:val="000000"/>
                <w:sz w:val="20"/>
                <w:szCs w:val="20"/>
              </w:rPr>
              <w:t>-6 538 502,70</w:t>
            </w:r>
          </w:p>
        </w:tc>
      </w:tr>
      <w:tr w:rsidR="007F5190" w:rsidTr="007F5190">
        <w:trPr>
          <w:trHeight w:val="300"/>
          <w:jc w:val="center"/>
        </w:trPr>
        <w:tc>
          <w:tcPr>
            <w:tcW w:w="1100" w:type="dxa"/>
            <w:tcBorders>
              <w:top w:val="nil"/>
              <w:left w:val="single" w:sz="4" w:space="0" w:color="auto"/>
              <w:bottom w:val="single" w:sz="4" w:space="0" w:color="auto"/>
              <w:right w:val="single" w:sz="4" w:space="0" w:color="auto"/>
            </w:tcBorders>
            <w:shd w:val="clear" w:color="000000" w:fill="FFF2CC"/>
            <w:noWrap/>
            <w:vAlign w:val="center"/>
            <w:hideMark/>
          </w:tcPr>
          <w:p w:rsidR="007F5190" w:rsidRDefault="007F5190">
            <w:pPr>
              <w:rPr>
                <w:rFonts w:ascii="Calibri" w:hAnsi="Calibri" w:cs="Calibri"/>
                <w:b/>
                <w:bCs/>
                <w:color w:val="000000"/>
                <w:sz w:val="22"/>
                <w:szCs w:val="22"/>
              </w:rPr>
            </w:pPr>
            <w:r>
              <w:rPr>
                <w:rFonts w:ascii="Calibri" w:hAnsi="Calibri" w:cs="Calibri"/>
                <w:b/>
                <w:bCs/>
                <w:color w:val="000000"/>
                <w:sz w:val="22"/>
                <w:szCs w:val="22"/>
              </w:rPr>
              <w:t>Celkem</w:t>
            </w:r>
          </w:p>
        </w:tc>
        <w:tc>
          <w:tcPr>
            <w:tcW w:w="1730" w:type="dxa"/>
            <w:tcBorders>
              <w:top w:val="nil"/>
              <w:left w:val="nil"/>
              <w:bottom w:val="single" w:sz="4" w:space="0" w:color="auto"/>
              <w:right w:val="single" w:sz="4" w:space="0" w:color="auto"/>
            </w:tcBorders>
            <w:shd w:val="clear" w:color="000000" w:fill="FFF2CC"/>
            <w:noWrap/>
            <w:vAlign w:val="center"/>
            <w:hideMark/>
          </w:tcPr>
          <w:p w:rsidR="007F5190" w:rsidRDefault="007F5190">
            <w:pPr>
              <w:jc w:val="right"/>
              <w:rPr>
                <w:rFonts w:ascii="Calibri" w:hAnsi="Calibri" w:cs="Calibri"/>
                <w:b/>
                <w:bCs/>
                <w:color w:val="000000"/>
                <w:sz w:val="22"/>
                <w:szCs w:val="22"/>
              </w:rPr>
            </w:pPr>
            <w:r>
              <w:rPr>
                <w:rFonts w:ascii="Calibri" w:hAnsi="Calibri" w:cs="Calibri"/>
                <w:b/>
                <w:bCs/>
                <w:color w:val="000000"/>
                <w:sz w:val="22"/>
                <w:szCs w:val="22"/>
              </w:rPr>
              <w:t>1 154 531 030,00</w:t>
            </w:r>
          </w:p>
        </w:tc>
        <w:tc>
          <w:tcPr>
            <w:tcW w:w="1701" w:type="dxa"/>
            <w:tcBorders>
              <w:top w:val="nil"/>
              <w:left w:val="nil"/>
              <w:bottom w:val="single" w:sz="4" w:space="0" w:color="auto"/>
              <w:right w:val="single" w:sz="4" w:space="0" w:color="auto"/>
            </w:tcBorders>
            <w:shd w:val="clear" w:color="000000" w:fill="FFF2CC"/>
            <w:noWrap/>
            <w:vAlign w:val="center"/>
            <w:hideMark/>
          </w:tcPr>
          <w:p w:rsidR="007F5190" w:rsidRDefault="007F5190">
            <w:pPr>
              <w:jc w:val="right"/>
              <w:rPr>
                <w:rFonts w:ascii="Calibri" w:hAnsi="Calibri" w:cs="Calibri"/>
                <w:b/>
                <w:bCs/>
                <w:color w:val="000000"/>
                <w:sz w:val="22"/>
                <w:szCs w:val="22"/>
              </w:rPr>
            </w:pPr>
            <w:r>
              <w:rPr>
                <w:rFonts w:ascii="Calibri" w:hAnsi="Calibri" w:cs="Calibri"/>
                <w:b/>
                <w:bCs/>
                <w:color w:val="000000"/>
                <w:sz w:val="22"/>
                <w:szCs w:val="22"/>
              </w:rPr>
              <w:t>1 255 733 640,35</w:t>
            </w:r>
          </w:p>
        </w:tc>
        <w:tc>
          <w:tcPr>
            <w:tcW w:w="1560" w:type="dxa"/>
            <w:tcBorders>
              <w:top w:val="nil"/>
              <w:left w:val="nil"/>
              <w:bottom w:val="single" w:sz="4" w:space="0" w:color="auto"/>
              <w:right w:val="single" w:sz="4" w:space="0" w:color="auto"/>
            </w:tcBorders>
            <w:shd w:val="clear" w:color="000000" w:fill="FFF2CC"/>
            <w:noWrap/>
            <w:vAlign w:val="center"/>
            <w:hideMark/>
          </w:tcPr>
          <w:p w:rsidR="007F5190" w:rsidRDefault="007F5190">
            <w:pPr>
              <w:jc w:val="right"/>
              <w:rPr>
                <w:rFonts w:ascii="Calibri" w:hAnsi="Calibri" w:cs="Calibri"/>
                <w:b/>
                <w:bCs/>
                <w:color w:val="000000"/>
                <w:sz w:val="22"/>
                <w:szCs w:val="22"/>
              </w:rPr>
            </w:pPr>
            <w:r>
              <w:rPr>
                <w:rFonts w:ascii="Calibri" w:hAnsi="Calibri" w:cs="Calibri"/>
                <w:b/>
                <w:bCs/>
                <w:color w:val="000000"/>
                <w:sz w:val="22"/>
                <w:szCs w:val="22"/>
              </w:rPr>
              <w:t>101 202 610,35</w:t>
            </w:r>
          </w:p>
        </w:tc>
      </w:tr>
    </w:tbl>
    <w:p w:rsidR="00B113F3" w:rsidRDefault="00B113F3" w:rsidP="00B113F3">
      <w:pPr>
        <w:tabs>
          <w:tab w:val="left" w:pos="6660"/>
        </w:tabs>
        <w:spacing w:after="120"/>
        <w:jc w:val="both"/>
        <w:rPr>
          <w:color w:val="BFBFBF" w:themeColor="background1" w:themeShade="BF"/>
          <w:sz w:val="22"/>
          <w:szCs w:val="22"/>
        </w:rPr>
      </w:pPr>
    </w:p>
    <w:p w:rsidR="00B113F3" w:rsidRDefault="00B113F3" w:rsidP="00B113F3">
      <w:pPr>
        <w:jc w:val="both"/>
        <w:rPr>
          <w:rFonts w:ascii="Calibri" w:hAnsi="Calibri"/>
          <w:sz w:val="22"/>
          <w:szCs w:val="22"/>
        </w:rPr>
      </w:pPr>
      <w:r>
        <w:rPr>
          <w:rFonts w:ascii="Calibri" w:hAnsi="Calibri"/>
          <w:sz w:val="22"/>
          <w:szCs w:val="22"/>
        </w:rPr>
        <w:t xml:space="preserve">Tím došlo ke změně i ve třídě 8 (financování) rozpočtové skladby, kde hodnota plusového objemu financování ve výši </w:t>
      </w:r>
      <w:r w:rsidR="00C33FE3">
        <w:rPr>
          <w:rFonts w:ascii="Calibri" w:hAnsi="Calibri"/>
          <w:sz w:val="22"/>
          <w:szCs w:val="22"/>
        </w:rPr>
        <w:t>153 631 348,00</w:t>
      </w:r>
      <w:r>
        <w:rPr>
          <w:rFonts w:ascii="Calibri" w:hAnsi="Calibri"/>
          <w:sz w:val="22"/>
          <w:szCs w:val="22"/>
        </w:rPr>
        <w:t xml:space="preserve"> Kč byla upravena na hodnotu v plusovém objemu </w:t>
      </w:r>
      <w:r w:rsidR="00C33FE3">
        <w:rPr>
          <w:rFonts w:ascii="Calibri" w:hAnsi="Calibri"/>
          <w:sz w:val="22"/>
          <w:szCs w:val="22"/>
        </w:rPr>
        <w:t>208 434 589,42</w:t>
      </w:r>
      <w:r>
        <w:rPr>
          <w:rFonts w:ascii="Calibri" w:hAnsi="Calibri"/>
          <w:sz w:val="22"/>
          <w:szCs w:val="22"/>
        </w:rPr>
        <w:t xml:space="preserve"> Kč (změna stavu krátkodobých prostředků na bankovních účtech – úprava o plus </w:t>
      </w:r>
      <w:r w:rsidR="00C33FE3">
        <w:rPr>
          <w:rFonts w:ascii="Calibri" w:hAnsi="Calibri"/>
          <w:sz w:val="22"/>
          <w:szCs w:val="22"/>
        </w:rPr>
        <w:t>54 803 241,42</w:t>
      </w:r>
      <w:r>
        <w:rPr>
          <w:rFonts w:ascii="Calibri" w:hAnsi="Calibri"/>
          <w:sz w:val="22"/>
          <w:szCs w:val="22"/>
        </w:rPr>
        <w:t xml:space="preserve"> Kč). </w:t>
      </w:r>
    </w:p>
    <w:p w:rsidR="00B113F3" w:rsidRDefault="00B113F3" w:rsidP="00B113F3">
      <w:pPr>
        <w:tabs>
          <w:tab w:val="left" w:pos="6660"/>
        </w:tabs>
        <w:spacing w:after="120"/>
        <w:jc w:val="both"/>
        <w:rPr>
          <w:rFonts w:ascii="Calibri" w:hAnsi="Calibri"/>
          <w:sz w:val="22"/>
          <w:szCs w:val="22"/>
        </w:rPr>
      </w:pPr>
    </w:p>
    <w:p w:rsidR="00B113F3" w:rsidRDefault="00B113F3" w:rsidP="00B113F3">
      <w:pPr>
        <w:tabs>
          <w:tab w:val="left" w:pos="6660"/>
        </w:tabs>
        <w:spacing w:after="120"/>
        <w:jc w:val="both"/>
        <w:rPr>
          <w:rFonts w:ascii="Calibri" w:hAnsi="Calibri"/>
          <w:sz w:val="22"/>
          <w:szCs w:val="22"/>
        </w:rPr>
      </w:pPr>
      <w:r>
        <w:rPr>
          <w:rFonts w:ascii="Calibri" w:hAnsi="Calibri"/>
          <w:sz w:val="22"/>
          <w:szCs w:val="22"/>
        </w:rPr>
        <w:t>V tomto případě jde o konsolidovaný rozpočet, bez vnitroorganizačních převodů mezi účty a trvalými peněžními fondy města.</w:t>
      </w:r>
    </w:p>
    <w:p w:rsidR="00B113F3" w:rsidRDefault="00B113F3" w:rsidP="00B113F3">
      <w:pPr>
        <w:tabs>
          <w:tab w:val="left" w:pos="6660"/>
        </w:tabs>
        <w:spacing w:after="120"/>
        <w:jc w:val="both"/>
        <w:rPr>
          <w:rFonts w:ascii="Calibri" w:hAnsi="Calibri"/>
          <w:color w:val="BFBFBF" w:themeColor="background1" w:themeShade="BF"/>
          <w:sz w:val="20"/>
          <w:szCs w:val="20"/>
        </w:rPr>
      </w:pPr>
      <w:r>
        <w:rPr>
          <w:rFonts w:ascii="Calibri" w:hAnsi="Calibri"/>
          <w:color w:val="BFBFBF" w:themeColor="background1" w:themeShade="BF"/>
          <w:sz w:val="20"/>
          <w:szCs w:val="20"/>
        </w:rPr>
        <w:t xml:space="preserve"> </w:t>
      </w:r>
      <w:r>
        <w:rPr>
          <w:rFonts w:ascii="Calibri" w:hAnsi="Calibri"/>
          <w:color w:val="BFBFBF" w:themeColor="background1" w:themeShade="BF"/>
          <w:sz w:val="20"/>
          <w:szCs w:val="20"/>
        </w:rPr>
        <w:br w:type="page"/>
      </w:r>
    </w:p>
    <w:p w:rsidR="00B113F3" w:rsidRDefault="00B113F3" w:rsidP="00B113F3">
      <w:pPr>
        <w:pStyle w:val="Nadpis3"/>
        <w:jc w:val="both"/>
      </w:pPr>
      <w:r>
        <w:lastRenderedPageBreak/>
        <w:t>Rozpočtová opatření, která podléhají na základě usnesení ZMP č. 11</w:t>
      </w:r>
      <w:r w:rsidR="00E93195">
        <w:t>221</w:t>
      </w:r>
      <w:r w:rsidR="00060A2C">
        <w:t xml:space="preserve"> </w:t>
      </w:r>
      <w:r>
        <w:t xml:space="preserve">ze dne </w:t>
      </w:r>
      <w:r w:rsidR="00E93195">
        <w:t>23</w:t>
      </w:r>
      <w:r>
        <w:t>.</w:t>
      </w:r>
      <w:r w:rsidR="00E93195">
        <w:t xml:space="preserve"> </w:t>
      </w:r>
      <w:r>
        <w:t>11.</w:t>
      </w:r>
      <w:r w:rsidR="00E93195">
        <w:t xml:space="preserve"> </w:t>
      </w:r>
      <w:r>
        <w:t>202</w:t>
      </w:r>
      <w:r w:rsidR="00E93195">
        <w:t>1</w:t>
      </w:r>
      <w:r>
        <w:t xml:space="preserve"> dodatečnému schválení ZMP při projednávání závěrečného účtu statutárního města Prostějova po ukončení rozpočtového roku (II. pol. 202</w:t>
      </w:r>
      <w:r w:rsidR="00E93195">
        <w:t>2</w:t>
      </w:r>
      <w:r>
        <w:t>)</w:t>
      </w:r>
    </w:p>
    <w:tbl>
      <w:tblPr>
        <w:tblW w:w="9582" w:type="dxa"/>
        <w:tblCellMar>
          <w:left w:w="70" w:type="dxa"/>
          <w:right w:w="70" w:type="dxa"/>
        </w:tblCellMar>
        <w:tblLook w:val="04A0" w:firstRow="1" w:lastRow="0" w:firstColumn="1" w:lastColumn="0" w:noHBand="0" w:noVBand="1"/>
      </w:tblPr>
      <w:tblGrid>
        <w:gridCol w:w="689"/>
        <w:gridCol w:w="1007"/>
        <w:gridCol w:w="3544"/>
        <w:gridCol w:w="709"/>
        <w:gridCol w:w="1134"/>
        <w:gridCol w:w="709"/>
        <w:gridCol w:w="1180"/>
        <w:gridCol w:w="610"/>
      </w:tblGrid>
      <w:tr w:rsidR="00F70B70" w:rsidTr="00EB7B11">
        <w:trPr>
          <w:trHeight w:val="288"/>
          <w:tblHeader/>
        </w:trPr>
        <w:tc>
          <w:tcPr>
            <w:tcW w:w="689"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F70B70" w:rsidRPr="00F70B70" w:rsidRDefault="00F70B70">
            <w:pPr>
              <w:jc w:val="center"/>
              <w:rPr>
                <w:rFonts w:ascii="Calibri" w:hAnsi="Calibri" w:cs="Calibri"/>
                <w:b/>
                <w:bCs/>
                <w:color w:val="000000"/>
                <w:sz w:val="17"/>
                <w:szCs w:val="17"/>
              </w:rPr>
            </w:pPr>
            <w:r w:rsidRPr="00F70B70">
              <w:rPr>
                <w:rFonts w:ascii="Calibri" w:hAnsi="Calibri" w:cs="Calibri"/>
                <w:b/>
                <w:bCs/>
                <w:color w:val="000000"/>
                <w:sz w:val="17"/>
                <w:szCs w:val="17"/>
              </w:rPr>
              <w:t>Číslo</w:t>
            </w:r>
          </w:p>
        </w:tc>
        <w:tc>
          <w:tcPr>
            <w:tcW w:w="1007"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F70B70" w:rsidRPr="00F70B70" w:rsidRDefault="00F70B70">
            <w:pPr>
              <w:jc w:val="center"/>
              <w:rPr>
                <w:rFonts w:ascii="Calibri" w:hAnsi="Calibri" w:cs="Calibri"/>
                <w:b/>
                <w:bCs/>
                <w:color w:val="000000"/>
                <w:sz w:val="17"/>
                <w:szCs w:val="17"/>
              </w:rPr>
            </w:pPr>
            <w:r w:rsidRPr="00F70B70">
              <w:rPr>
                <w:rFonts w:ascii="Calibri" w:hAnsi="Calibri" w:cs="Calibri"/>
                <w:b/>
                <w:bCs/>
                <w:color w:val="000000"/>
                <w:sz w:val="17"/>
                <w:szCs w:val="17"/>
              </w:rPr>
              <w:t>Datum</w:t>
            </w:r>
          </w:p>
        </w:tc>
        <w:tc>
          <w:tcPr>
            <w:tcW w:w="3544"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F70B70" w:rsidRPr="00F70B70" w:rsidRDefault="00F70B70">
            <w:pPr>
              <w:jc w:val="center"/>
              <w:rPr>
                <w:rFonts w:ascii="Calibri" w:hAnsi="Calibri" w:cs="Calibri"/>
                <w:b/>
                <w:bCs/>
                <w:color w:val="000000"/>
                <w:sz w:val="17"/>
                <w:szCs w:val="17"/>
              </w:rPr>
            </w:pPr>
            <w:r w:rsidRPr="00F70B70">
              <w:rPr>
                <w:rFonts w:ascii="Calibri" w:hAnsi="Calibri" w:cs="Calibri"/>
                <w:b/>
                <w:bCs/>
                <w:color w:val="000000"/>
                <w:sz w:val="17"/>
                <w:szCs w:val="17"/>
              </w:rPr>
              <w:t>Text</w:t>
            </w:r>
          </w:p>
        </w:tc>
        <w:tc>
          <w:tcPr>
            <w:tcW w:w="1843" w:type="dxa"/>
            <w:gridSpan w:val="2"/>
            <w:tcBorders>
              <w:top w:val="single" w:sz="4" w:space="0" w:color="auto"/>
              <w:left w:val="nil"/>
              <w:bottom w:val="single" w:sz="4" w:space="0" w:color="auto"/>
              <w:right w:val="single" w:sz="4" w:space="0" w:color="auto"/>
            </w:tcBorders>
            <w:shd w:val="clear" w:color="000000" w:fill="FFC000"/>
            <w:noWrap/>
            <w:vAlign w:val="center"/>
            <w:hideMark/>
          </w:tcPr>
          <w:p w:rsidR="00F70B70" w:rsidRPr="00F70B70" w:rsidRDefault="00F70B70">
            <w:pPr>
              <w:jc w:val="center"/>
              <w:rPr>
                <w:rFonts w:ascii="Calibri" w:hAnsi="Calibri" w:cs="Calibri"/>
                <w:b/>
                <w:bCs/>
                <w:color w:val="000000"/>
                <w:sz w:val="17"/>
                <w:szCs w:val="17"/>
              </w:rPr>
            </w:pPr>
            <w:r w:rsidRPr="00F70B70">
              <w:rPr>
                <w:rFonts w:ascii="Calibri" w:hAnsi="Calibri" w:cs="Calibri"/>
                <w:b/>
                <w:bCs/>
                <w:color w:val="000000"/>
                <w:sz w:val="17"/>
                <w:szCs w:val="17"/>
              </w:rPr>
              <w:t>Příjmy, Financování</w:t>
            </w:r>
          </w:p>
        </w:tc>
        <w:tc>
          <w:tcPr>
            <w:tcW w:w="1889" w:type="dxa"/>
            <w:gridSpan w:val="2"/>
            <w:tcBorders>
              <w:top w:val="single" w:sz="4" w:space="0" w:color="auto"/>
              <w:left w:val="nil"/>
              <w:bottom w:val="single" w:sz="4" w:space="0" w:color="auto"/>
              <w:right w:val="single" w:sz="4" w:space="0" w:color="auto"/>
            </w:tcBorders>
            <w:shd w:val="clear" w:color="000000" w:fill="FFC000"/>
            <w:noWrap/>
            <w:vAlign w:val="center"/>
            <w:hideMark/>
          </w:tcPr>
          <w:p w:rsidR="00F70B70" w:rsidRPr="00F70B70" w:rsidRDefault="00F70B70">
            <w:pPr>
              <w:jc w:val="center"/>
              <w:rPr>
                <w:rFonts w:ascii="Calibri" w:hAnsi="Calibri" w:cs="Calibri"/>
                <w:b/>
                <w:bCs/>
                <w:color w:val="000000"/>
                <w:sz w:val="17"/>
                <w:szCs w:val="17"/>
              </w:rPr>
            </w:pPr>
            <w:r w:rsidRPr="00F70B70">
              <w:rPr>
                <w:rFonts w:ascii="Calibri" w:hAnsi="Calibri" w:cs="Calibri"/>
                <w:b/>
                <w:bCs/>
                <w:color w:val="000000"/>
                <w:sz w:val="17"/>
                <w:szCs w:val="17"/>
              </w:rPr>
              <w:t>Výdaje, Financování</w:t>
            </w:r>
          </w:p>
        </w:tc>
        <w:tc>
          <w:tcPr>
            <w:tcW w:w="610"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rsidR="00F70B70" w:rsidRDefault="00F70B70">
            <w:pPr>
              <w:jc w:val="center"/>
              <w:rPr>
                <w:rFonts w:ascii="Calibri" w:hAnsi="Calibri" w:cs="Calibri"/>
                <w:b/>
                <w:bCs/>
                <w:color w:val="000000"/>
                <w:sz w:val="16"/>
                <w:szCs w:val="16"/>
              </w:rPr>
            </w:pPr>
            <w:r>
              <w:rPr>
                <w:rFonts w:ascii="Calibri" w:hAnsi="Calibri" w:cs="Calibri"/>
                <w:b/>
                <w:bCs/>
                <w:color w:val="000000"/>
                <w:sz w:val="16"/>
                <w:szCs w:val="16"/>
              </w:rPr>
              <w:t>Číselný údaj z "Text"</w:t>
            </w:r>
          </w:p>
        </w:tc>
      </w:tr>
      <w:tr w:rsidR="00F70B70" w:rsidTr="00F70B70">
        <w:trPr>
          <w:trHeight w:val="288"/>
        </w:trPr>
        <w:tc>
          <w:tcPr>
            <w:tcW w:w="689" w:type="dxa"/>
            <w:vMerge/>
            <w:tcBorders>
              <w:top w:val="single" w:sz="4" w:space="0" w:color="auto"/>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b/>
                <w:bCs/>
                <w:color w:val="000000"/>
                <w:sz w:val="17"/>
                <w:szCs w:val="17"/>
              </w:rPr>
            </w:pPr>
          </w:p>
        </w:tc>
        <w:tc>
          <w:tcPr>
            <w:tcW w:w="1007" w:type="dxa"/>
            <w:vMerge/>
            <w:tcBorders>
              <w:top w:val="single" w:sz="4" w:space="0" w:color="auto"/>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b/>
                <w:bCs/>
                <w:color w:val="000000"/>
                <w:sz w:val="17"/>
                <w:szCs w:val="17"/>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b/>
                <w:bCs/>
                <w:color w:val="000000"/>
                <w:sz w:val="17"/>
                <w:szCs w:val="17"/>
              </w:rPr>
            </w:pPr>
          </w:p>
        </w:tc>
        <w:tc>
          <w:tcPr>
            <w:tcW w:w="709" w:type="dxa"/>
            <w:tcBorders>
              <w:top w:val="nil"/>
              <w:left w:val="nil"/>
              <w:bottom w:val="single" w:sz="4" w:space="0" w:color="auto"/>
              <w:right w:val="single" w:sz="4" w:space="0" w:color="auto"/>
            </w:tcBorders>
            <w:shd w:val="clear" w:color="000000" w:fill="FFC000"/>
            <w:noWrap/>
            <w:vAlign w:val="center"/>
            <w:hideMark/>
          </w:tcPr>
          <w:p w:rsidR="00F70B70" w:rsidRPr="00F70B70" w:rsidRDefault="00F70B70">
            <w:pPr>
              <w:jc w:val="center"/>
              <w:rPr>
                <w:rFonts w:ascii="Calibri" w:hAnsi="Calibri" w:cs="Calibri"/>
                <w:b/>
                <w:bCs/>
                <w:color w:val="000000"/>
                <w:sz w:val="17"/>
                <w:szCs w:val="17"/>
              </w:rPr>
            </w:pPr>
            <w:r w:rsidRPr="00F70B70">
              <w:rPr>
                <w:rFonts w:ascii="Calibri" w:hAnsi="Calibri" w:cs="Calibri"/>
                <w:b/>
                <w:bCs/>
                <w:color w:val="000000"/>
                <w:sz w:val="17"/>
                <w:szCs w:val="17"/>
              </w:rPr>
              <w:t>Č. kap.</w:t>
            </w:r>
          </w:p>
        </w:tc>
        <w:tc>
          <w:tcPr>
            <w:tcW w:w="1134" w:type="dxa"/>
            <w:tcBorders>
              <w:top w:val="nil"/>
              <w:left w:val="nil"/>
              <w:bottom w:val="single" w:sz="4" w:space="0" w:color="auto"/>
              <w:right w:val="single" w:sz="4" w:space="0" w:color="auto"/>
            </w:tcBorders>
            <w:shd w:val="clear" w:color="000000" w:fill="FFC000"/>
            <w:noWrap/>
            <w:vAlign w:val="center"/>
            <w:hideMark/>
          </w:tcPr>
          <w:p w:rsidR="00F70B70" w:rsidRPr="00F70B70" w:rsidRDefault="00F70B70">
            <w:pPr>
              <w:jc w:val="center"/>
              <w:rPr>
                <w:rFonts w:ascii="Calibri" w:hAnsi="Calibri" w:cs="Calibri"/>
                <w:b/>
                <w:bCs/>
                <w:color w:val="000000"/>
                <w:sz w:val="17"/>
                <w:szCs w:val="17"/>
              </w:rPr>
            </w:pPr>
            <w:r w:rsidRPr="00F70B70">
              <w:rPr>
                <w:rFonts w:ascii="Calibri" w:hAnsi="Calibri" w:cs="Calibri"/>
                <w:b/>
                <w:bCs/>
                <w:color w:val="000000"/>
                <w:sz w:val="17"/>
                <w:szCs w:val="17"/>
              </w:rPr>
              <w:t>Částka</w:t>
            </w:r>
          </w:p>
        </w:tc>
        <w:tc>
          <w:tcPr>
            <w:tcW w:w="709" w:type="dxa"/>
            <w:tcBorders>
              <w:top w:val="nil"/>
              <w:left w:val="nil"/>
              <w:bottom w:val="single" w:sz="4" w:space="0" w:color="auto"/>
              <w:right w:val="single" w:sz="4" w:space="0" w:color="auto"/>
            </w:tcBorders>
            <w:shd w:val="clear" w:color="000000" w:fill="FFC000"/>
            <w:noWrap/>
            <w:vAlign w:val="center"/>
            <w:hideMark/>
          </w:tcPr>
          <w:p w:rsidR="00F70B70" w:rsidRPr="00F70B70" w:rsidRDefault="00F70B70">
            <w:pPr>
              <w:jc w:val="center"/>
              <w:rPr>
                <w:rFonts w:ascii="Calibri" w:hAnsi="Calibri" w:cs="Calibri"/>
                <w:b/>
                <w:bCs/>
                <w:color w:val="000000"/>
                <w:sz w:val="17"/>
                <w:szCs w:val="17"/>
              </w:rPr>
            </w:pPr>
            <w:r w:rsidRPr="00F70B70">
              <w:rPr>
                <w:rFonts w:ascii="Calibri" w:hAnsi="Calibri" w:cs="Calibri"/>
                <w:b/>
                <w:bCs/>
                <w:color w:val="000000"/>
                <w:sz w:val="17"/>
                <w:szCs w:val="17"/>
              </w:rPr>
              <w:t>Č. kap.</w:t>
            </w:r>
          </w:p>
        </w:tc>
        <w:tc>
          <w:tcPr>
            <w:tcW w:w="1180" w:type="dxa"/>
            <w:tcBorders>
              <w:top w:val="nil"/>
              <w:left w:val="nil"/>
              <w:bottom w:val="single" w:sz="4" w:space="0" w:color="auto"/>
              <w:right w:val="single" w:sz="4" w:space="0" w:color="auto"/>
            </w:tcBorders>
            <w:shd w:val="clear" w:color="000000" w:fill="FFC000"/>
            <w:noWrap/>
            <w:vAlign w:val="center"/>
            <w:hideMark/>
          </w:tcPr>
          <w:p w:rsidR="00F70B70" w:rsidRPr="00F70B70" w:rsidRDefault="00F70B70">
            <w:pPr>
              <w:jc w:val="center"/>
              <w:rPr>
                <w:rFonts w:ascii="Calibri" w:hAnsi="Calibri" w:cs="Calibri"/>
                <w:b/>
                <w:bCs/>
                <w:color w:val="000000"/>
                <w:sz w:val="17"/>
                <w:szCs w:val="17"/>
              </w:rPr>
            </w:pPr>
            <w:r w:rsidRPr="00F70B70">
              <w:rPr>
                <w:rFonts w:ascii="Calibri" w:hAnsi="Calibri" w:cs="Calibri"/>
                <w:b/>
                <w:bCs/>
                <w:color w:val="000000"/>
                <w:sz w:val="17"/>
                <w:szCs w:val="17"/>
              </w:rPr>
              <w:t>Částka</w:t>
            </w:r>
          </w:p>
        </w:tc>
        <w:tc>
          <w:tcPr>
            <w:tcW w:w="610" w:type="dxa"/>
            <w:vMerge/>
            <w:tcBorders>
              <w:top w:val="single" w:sz="4" w:space="0" w:color="auto"/>
              <w:left w:val="single" w:sz="4" w:space="0" w:color="auto"/>
              <w:bottom w:val="single" w:sz="4" w:space="0" w:color="auto"/>
              <w:right w:val="single" w:sz="4" w:space="0" w:color="auto"/>
            </w:tcBorders>
            <w:vAlign w:val="center"/>
            <w:hideMark/>
          </w:tcPr>
          <w:p w:rsidR="00F70B70" w:rsidRDefault="00F70B70">
            <w:pPr>
              <w:rPr>
                <w:rFonts w:ascii="Calibri" w:hAnsi="Calibri" w:cs="Calibri"/>
                <w:b/>
                <w:bCs/>
                <w:color w:val="000000"/>
                <w:sz w:val="16"/>
                <w:szCs w:val="16"/>
              </w:rPr>
            </w:pPr>
          </w:p>
        </w:tc>
      </w:tr>
      <w:tr w:rsidR="00F70B70" w:rsidTr="00F70B70">
        <w:trPr>
          <w:trHeight w:val="525"/>
        </w:trPr>
        <w:tc>
          <w:tcPr>
            <w:tcW w:w="6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0B70" w:rsidRPr="00F70B70" w:rsidRDefault="00F70B70">
            <w:pPr>
              <w:jc w:val="center"/>
              <w:rPr>
                <w:rFonts w:ascii="Calibri" w:hAnsi="Calibri" w:cs="Calibri"/>
                <w:color w:val="000000"/>
                <w:sz w:val="16"/>
                <w:szCs w:val="16"/>
              </w:rPr>
            </w:pPr>
            <w:r w:rsidRPr="00F70B70">
              <w:rPr>
                <w:rFonts w:ascii="Calibri" w:hAnsi="Calibri" w:cs="Calibri"/>
                <w:color w:val="000000"/>
                <w:sz w:val="16"/>
                <w:szCs w:val="16"/>
              </w:rPr>
              <w:t>38/2022</w:t>
            </w:r>
          </w:p>
        </w:tc>
        <w:tc>
          <w:tcPr>
            <w:tcW w:w="10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0B70" w:rsidRPr="00F70B70" w:rsidRDefault="00F70B70">
            <w:pPr>
              <w:jc w:val="center"/>
              <w:rPr>
                <w:rFonts w:ascii="Calibri" w:hAnsi="Calibri" w:cs="Calibri"/>
                <w:color w:val="000000"/>
                <w:sz w:val="16"/>
                <w:szCs w:val="16"/>
              </w:rPr>
            </w:pPr>
            <w:r w:rsidRPr="00F70B70">
              <w:rPr>
                <w:rFonts w:ascii="Calibri" w:hAnsi="Calibri" w:cs="Calibri"/>
                <w:color w:val="000000"/>
                <w:sz w:val="16"/>
                <w:szCs w:val="16"/>
              </w:rPr>
              <w:t>13.07.2023</w:t>
            </w:r>
          </w:p>
        </w:tc>
        <w:tc>
          <w:tcPr>
            <w:tcW w:w="3544" w:type="dxa"/>
            <w:vMerge w:val="restart"/>
            <w:tcBorders>
              <w:top w:val="nil"/>
              <w:left w:val="single" w:sz="4" w:space="0" w:color="auto"/>
              <w:bottom w:val="nil"/>
              <w:right w:val="single" w:sz="4" w:space="0" w:color="auto"/>
            </w:tcBorders>
            <w:shd w:val="clear" w:color="auto" w:fill="auto"/>
            <w:vAlign w:val="center"/>
            <w:hideMark/>
          </w:tcPr>
          <w:p w:rsidR="00F70B70" w:rsidRPr="00F70B70" w:rsidRDefault="00F70B70">
            <w:pPr>
              <w:rPr>
                <w:rFonts w:ascii="Calibri" w:hAnsi="Calibri" w:cs="Calibri"/>
                <w:color w:val="000000"/>
                <w:sz w:val="17"/>
                <w:szCs w:val="17"/>
              </w:rPr>
            </w:pPr>
            <w:r w:rsidRPr="00F70B70">
              <w:rPr>
                <w:rFonts w:ascii="Calibri" w:hAnsi="Calibri" w:cs="Calibri"/>
                <w:color w:val="000000"/>
                <w:sz w:val="17"/>
                <w:szCs w:val="17"/>
              </w:rPr>
              <w:t>1) ÚZ 415 - Účelová neinvestiční dotace z rozpočtu Olomouckého kraje na zajištění akcesch</w:t>
            </w:r>
            <w:r w:rsidR="001C0634">
              <w:rPr>
                <w:rFonts w:ascii="Calibri" w:hAnsi="Calibri" w:cs="Calibri"/>
                <w:color w:val="000000"/>
                <w:sz w:val="17"/>
                <w:szCs w:val="17"/>
              </w:rPr>
              <w:t>o</w:t>
            </w:r>
            <w:r w:rsidRPr="00F70B70">
              <w:rPr>
                <w:rFonts w:ascii="Calibri" w:hAnsi="Calibri" w:cs="Calibri"/>
                <w:color w:val="000000"/>
                <w:sz w:val="17"/>
                <w:szCs w:val="17"/>
              </w:rPr>
              <w:t>pnosti JSDH Žešov, Vrahovice, Krasice, Čechovice, Domamyslice</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color w:val="000000"/>
                <w:sz w:val="17"/>
                <w:szCs w:val="17"/>
              </w:rPr>
            </w:pPr>
            <w:r w:rsidRPr="00F70B70">
              <w:rPr>
                <w:rFonts w:ascii="Calibri" w:hAnsi="Calibri" w:cs="Calibri"/>
                <w:color w:val="000000"/>
                <w:sz w:val="17"/>
                <w:szCs w:val="17"/>
              </w:rPr>
              <w:t>12</w:t>
            </w:r>
          </w:p>
        </w:tc>
        <w:tc>
          <w:tcPr>
            <w:tcW w:w="1134"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color w:val="000000"/>
                <w:sz w:val="17"/>
                <w:szCs w:val="17"/>
              </w:rPr>
            </w:pPr>
            <w:r w:rsidRPr="00F70B70">
              <w:rPr>
                <w:rFonts w:ascii="Calibri" w:hAnsi="Calibri" w:cs="Calibri"/>
                <w:color w:val="000000"/>
                <w:sz w:val="17"/>
                <w:szCs w:val="17"/>
              </w:rPr>
              <w:t>132 300,00</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color w:val="000000"/>
                <w:sz w:val="17"/>
                <w:szCs w:val="17"/>
              </w:rPr>
            </w:pPr>
            <w:r w:rsidRPr="00F70B70">
              <w:rPr>
                <w:rFonts w:ascii="Calibri" w:hAnsi="Calibri" w:cs="Calibri"/>
                <w:color w:val="000000"/>
                <w:sz w:val="17"/>
                <w:szCs w:val="17"/>
              </w:rPr>
              <w:t>12</w:t>
            </w:r>
          </w:p>
        </w:tc>
        <w:tc>
          <w:tcPr>
            <w:tcW w:w="1180"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color w:val="000000"/>
                <w:sz w:val="17"/>
                <w:szCs w:val="17"/>
              </w:rPr>
            </w:pPr>
            <w:r w:rsidRPr="00F70B70">
              <w:rPr>
                <w:rFonts w:ascii="Calibri" w:hAnsi="Calibri" w:cs="Calibri"/>
                <w:color w:val="000000"/>
                <w:sz w:val="17"/>
                <w:szCs w:val="17"/>
              </w:rPr>
              <w:t>132 300,00</w:t>
            </w:r>
          </w:p>
        </w:tc>
        <w:tc>
          <w:tcPr>
            <w:tcW w:w="610" w:type="dxa"/>
            <w:tcBorders>
              <w:top w:val="nil"/>
              <w:left w:val="nil"/>
              <w:bottom w:val="single" w:sz="4" w:space="0" w:color="auto"/>
              <w:right w:val="single" w:sz="4" w:space="0" w:color="auto"/>
            </w:tcBorders>
            <w:shd w:val="clear" w:color="auto" w:fill="auto"/>
            <w:vAlign w:val="center"/>
            <w:hideMark/>
          </w:tcPr>
          <w:p w:rsidR="00F70B70" w:rsidRDefault="00F70B70">
            <w:pPr>
              <w:jc w:val="center"/>
              <w:rPr>
                <w:rFonts w:ascii="Calibri" w:hAnsi="Calibri" w:cs="Calibri"/>
                <w:color w:val="000000"/>
                <w:sz w:val="16"/>
                <w:szCs w:val="16"/>
              </w:rPr>
            </w:pPr>
            <w:r>
              <w:rPr>
                <w:rFonts w:ascii="Calibri" w:hAnsi="Calibri" w:cs="Calibri"/>
                <w:color w:val="000000"/>
                <w:sz w:val="16"/>
                <w:szCs w:val="16"/>
              </w:rPr>
              <w:t>1)</w:t>
            </w:r>
          </w:p>
        </w:tc>
      </w:tr>
      <w:tr w:rsidR="00F70B70" w:rsidTr="00F70B70">
        <w:trPr>
          <w:trHeight w:val="465"/>
        </w:trPr>
        <w:tc>
          <w:tcPr>
            <w:tcW w:w="689" w:type="dxa"/>
            <w:vMerge/>
            <w:tcBorders>
              <w:top w:val="nil"/>
              <w:left w:val="single" w:sz="4" w:space="0" w:color="auto"/>
              <w:bottom w:val="single" w:sz="4" w:space="0" w:color="000000"/>
              <w:right w:val="single" w:sz="4" w:space="0" w:color="auto"/>
            </w:tcBorders>
            <w:vAlign w:val="center"/>
            <w:hideMark/>
          </w:tcPr>
          <w:p w:rsidR="00F70B70" w:rsidRPr="00F70B70" w:rsidRDefault="00F70B70">
            <w:pPr>
              <w:rPr>
                <w:rFonts w:ascii="Calibri" w:hAnsi="Calibri" w:cs="Calibri"/>
                <w:color w:val="000000"/>
                <w:sz w:val="16"/>
                <w:szCs w:val="16"/>
              </w:rPr>
            </w:pPr>
          </w:p>
        </w:tc>
        <w:tc>
          <w:tcPr>
            <w:tcW w:w="1007" w:type="dxa"/>
            <w:vMerge/>
            <w:tcBorders>
              <w:top w:val="nil"/>
              <w:left w:val="single" w:sz="4" w:space="0" w:color="auto"/>
              <w:bottom w:val="single" w:sz="4" w:space="0" w:color="000000"/>
              <w:right w:val="single" w:sz="4" w:space="0" w:color="auto"/>
            </w:tcBorders>
            <w:vAlign w:val="center"/>
            <w:hideMark/>
          </w:tcPr>
          <w:p w:rsidR="00F70B70" w:rsidRPr="00F70B70" w:rsidRDefault="00F70B70">
            <w:pPr>
              <w:rPr>
                <w:rFonts w:ascii="Calibri" w:hAnsi="Calibri" w:cs="Calibri"/>
                <w:color w:val="000000"/>
                <w:sz w:val="16"/>
                <w:szCs w:val="16"/>
              </w:rPr>
            </w:pPr>
          </w:p>
        </w:tc>
        <w:tc>
          <w:tcPr>
            <w:tcW w:w="3544" w:type="dxa"/>
            <w:vMerge/>
            <w:tcBorders>
              <w:top w:val="nil"/>
              <w:left w:val="single" w:sz="4" w:space="0" w:color="auto"/>
              <w:bottom w:val="nil"/>
              <w:right w:val="single" w:sz="4" w:space="0" w:color="auto"/>
            </w:tcBorders>
            <w:vAlign w:val="center"/>
            <w:hideMark/>
          </w:tcPr>
          <w:p w:rsidR="00F70B70" w:rsidRPr="00F70B70" w:rsidRDefault="00F70B70">
            <w:pPr>
              <w:rPr>
                <w:rFonts w:ascii="Calibri" w:hAnsi="Calibri" w:cs="Calibri"/>
                <w:color w:val="000000"/>
                <w:sz w:val="17"/>
                <w:szCs w:val="17"/>
              </w:rPr>
            </w:pP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color w:val="000000"/>
                <w:sz w:val="17"/>
                <w:szCs w:val="17"/>
              </w:rPr>
            </w:pPr>
            <w:r w:rsidRPr="00F70B70">
              <w:rPr>
                <w:rFonts w:ascii="Calibri" w:hAnsi="Calibri" w:cs="Calibri"/>
                <w:color w:val="000000"/>
                <w:sz w:val="17"/>
                <w:szCs w:val="17"/>
              </w:rPr>
              <w:t>12</w:t>
            </w:r>
          </w:p>
        </w:tc>
        <w:tc>
          <w:tcPr>
            <w:tcW w:w="1134"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color w:val="000000"/>
                <w:sz w:val="17"/>
                <w:szCs w:val="17"/>
              </w:rPr>
            </w:pPr>
            <w:r w:rsidRPr="00F70B70">
              <w:rPr>
                <w:rFonts w:ascii="Calibri" w:hAnsi="Calibri" w:cs="Calibri"/>
                <w:color w:val="000000"/>
                <w:sz w:val="17"/>
                <w:szCs w:val="17"/>
              </w:rPr>
              <w:t>300 000,00</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color w:val="000000"/>
                <w:sz w:val="17"/>
                <w:szCs w:val="17"/>
              </w:rPr>
            </w:pPr>
            <w:r w:rsidRPr="00F70B70">
              <w:rPr>
                <w:rFonts w:ascii="Calibri" w:hAnsi="Calibri" w:cs="Calibri"/>
                <w:color w:val="000000"/>
                <w:sz w:val="17"/>
                <w:szCs w:val="17"/>
              </w:rPr>
              <w:t>12</w:t>
            </w:r>
          </w:p>
        </w:tc>
        <w:tc>
          <w:tcPr>
            <w:tcW w:w="1180"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color w:val="000000"/>
                <w:sz w:val="17"/>
                <w:szCs w:val="17"/>
              </w:rPr>
            </w:pPr>
            <w:r w:rsidRPr="00F70B70">
              <w:rPr>
                <w:rFonts w:ascii="Calibri" w:hAnsi="Calibri" w:cs="Calibri"/>
                <w:color w:val="000000"/>
                <w:sz w:val="17"/>
                <w:szCs w:val="17"/>
              </w:rPr>
              <w:t>300 000,00</w:t>
            </w:r>
          </w:p>
        </w:tc>
        <w:tc>
          <w:tcPr>
            <w:tcW w:w="610" w:type="dxa"/>
            <w:tcBorders>
              <w:top w:val="nil"/>
              <w:left w:val="nil"/>
              <w:bottom w:val="single" w:sz="4" w:space="0" w:color="auto"/>
              <w:right w:val="single" w:sz="4" w:space="0" w:color="auto"/>
            </w:tcBorders>
            <w:shd w:val="clear" w:color="auto" w:fill="auto"/>
            <w:vAlign w:val="center"/>
            <w:hideMark/>
          </w:tcPr>
          <w:p w:rsidR="00F70B70" w:rsidRDefault="00F70B70">
            <w:pPr>
              <w:jc w:val="center"/>
              <w:rPr>
                <w:rFonts w:ascii="Calibri" w:hAnsi="Calibri" w:cs="Calibri"/>
                <w:color w:val="000000"/>
                <w:sz w:val="16"/>
                <w:szCs w:val="16"/>
              </w:rPr>
            </w:pPr>
            <w:r>
              <w:rPr>
                <w:rFonts w:ascii="Calibri" w:hAnsi="Calibri" w:cs="Calibri"/>
                <w:color w:val="000000"/>
                <w:sz w:val="16"/>
                <w:szCs w:val="16"/>
              </w:rPr>
              <w:t>2)</w:t>
            </w:r>
          </w:p>
        </w:tc>
      </w:tr>
      <w:tr w:rsidR="00F70B70" w:rsidTr="00F70B70">
        <w:trPr>
          <w:trHeight w:val="917"/>
        </w:trPr>
        <w:tc>
          <w:tcPr>
            <w:tcW w:w="689" w:type="dxa"/>
            <w:vMerge/>
            <w:tcBorders>
              <w:top w:val="nil"/>
              <w:left w:val="single" w:sz="4" w:space="0" w:color="auto"/>
              <w:bottom w:val="single" w:sz="4" w:space="0" w:color="000000"/>
              <w:right w:val="single" w:sz="4" w:space="0" w:color="auto"/>
            </w:tcBorders>
            <w:vAlign w:val="center"/>
            <w:hideMark/>
          </w:tcPr>
          <w:p w:rsidR="00F70B70" w:rsidRPr="00F70B70" w:rsidRDefault="00F70B70">
            <w:pPr>
              <w:rPr>
                <w:rFonts w:ascii="Calibri" w:hAnsi="Calibri" w:cs="Calibri"/>
                <w:color w:val="000000"/>
                <w:sz w:val="16"/>
                <w:szCs w:val="16"/>
              </w:rPr>
            </w:pPr>
          </w:p>
        </w:tc>
        <w:tc>
          <w:tcPr>
            <w:tcW w:w="1007" w:type="dxa"/>
            <w:vMerge/>
            <w:tcBorders>
              <w:top w:val="nil"/>
              <w:left w:val="single" w:sz="4" w:space="0" w:color="auto"/>
              <w:bottom w:val="single" w:sz="4" w:space="0" w:color="000000"/>
              <w:right w:val="single" w:sz="4" w:space="0" w:color="auto"/>
            </w:tcBorders>
            <w:vAlign w:val="center"/>
            <w:hideMark/>
          </w:tcPr>
          <w:p w:rsidR="00F70B70" w:rsidRPr="00F70B70" w:rsidRDefault="00F70B70">
            <w:pPr>
              <w:rPr>
                <w:rFonts w:ascii="Calibri" w:hAnsi="Calibri" w:cs="Calibri"/>
                <w:color w:val="000000"/>
                <w:sz w:val="16"/>
                <w:szCs w:val="16"/>
              </w:rPr>
            </w:pPr>
          </w:p>
        </w:tc>
        <w:tc>
          <w:tcPr>
            <w:tcW w:w="3544" w:type="dxa"/>
            <w:tcBorders>
              <w:top w:val="nil"/>
              <w:left w:val="nil"/>
              <w:bottom w:val="single" w:sz="4" w:space="0" w:color="auto"/>
              <w:right w:val="single" w:sz="4" w:space="0" w:color="auto"/>
            </w:tcBorders>
            <w:shd w:val="clear" w:color="auto" w:fill="auto"/>
            <w:vAlign w:val="center"/>
            <w:hideMark/>
          </w:tcPr>
          <w:p w:rsidR="00F70B70" w:rsidRPr="00F70B70" w:rsidRDefault="00F70B70">
            <w:pPr>
              <w:rPr>
                <w:rFonts w:ascii="Calibri" w:hAnsi="Calibri" w:cs="Calibri"/>
                <w:color w:val="000000"/>
                <w:sz w:val="17"/>
                <w:szCs w:val="17"/>
              </w:rPr>
            </w:pPr>
            <w:r w:rsidRPr="00F70B70">
              <w:rPr>
                <w:rFonts w:ascii="Calibri" w:hAnsi="Calibri" w:cs="Calibri"/>
                <w:color w:val="000000"/>
                <w:sz w:val="17"/>
                <w:szCs w:val="17"/>
              </w:rPr>
              <w:t>2) ÚZ 416 - Účelová investiční dotace z rozpočtu Olomouckého kraje na částečnou úhradu výdajů na pořízení dopravního prostředku pro JSDH Vrahovice</w:t>
            </w:r>
          </w:p>
        </w:tc>
        <w:tc>
          <w:tcPr>
            <w:tcW w:w="709"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rPr>
                <w:rFonts w:ascii="Calibri" w:hAnsi="Calibri" w:cs="Calibri"/>
                <w:b/>
                <w:bCs/>
                <w:color w:val="000000"/>
                <w:sz w:val="17"/>
                <w:szCs w:val="17"/>
              </w:rPr>
            </w:pPr>
            <w:r w:rsidRPr="00F70B70">
              <w:rPr>
                <w:rFonts w:ascii="Calibri" w:hAnsi="Calibri" w:cs="Calibri"/>
                <w:b/>
                <w:bCs/>
                <w:color w:val="000000"/>
                <w:sz w:val="17"/>
                <w:szCs w:val="17"/>
              </w:rPr>
              <w:t>Celkem</w:t>
            </w:r>
          </w:p>
        </w:tc>
        <w:tc>
          <w:tcPr>
            <w:tcW w:w="1134"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jc w:val="right"/>
              <w:rPr>
                <w:rFonts w:ascii="Calibri" w:hAnsi="Calibri" w:cs="Calibri"/>
                <w:b/>
                <w:bCs/>
                <w:color w:val="000000"/>
                <w:sz w:val="17"/>
                <w:szCs w:val="17"/>
              </w:rPr>
            </w:pPr>
            <w:r w:rsidRPr="00F70B70">
              <w:rPr>
                <w:rFonts w:ascii="Calibri" w:hAnsi="Calibri" w:cs="Calibri"/>
                <w:b/>
                <w:bCs/>
                <w:color w:val="000000"/>
                <w:sz w:val="17"/>
                <w:szCs w:val="17"/>
              </w:rPr>
              <w:t>432 300,00</w:t>
            </w:r>
          </w:p>
        </w:tc>
        <w:tc>
          <w:tcPr>
            <w:tcW w:w="709"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rPr>
                <w:rFonts w:ascii="Calibri" w:hAnsi="Calibri" w:cs="Calibri"/>
                <w:b/>
                <w:bCs/>
                <w:color w:val="000000"/>
                <w:sz w:val="17"/>
                <w:szCs w:val="17"/>
              </w:rPr>
            </w:pPr>
            <w:r w:rsidRPr="00F70B70">
              <w:rPr>
                <w:rFonts w:ascii="Calibri" w:hAnsi="Calibri" w:cs="Calibri"/>
                <w:b/>
                <w:bCs/>
                <w:color w:val="000000"/>
                <w:sz w:val="17"/>
                <w:szCs w:val="17"/>
              </w:rPr>
              <w:t>Celkem</w:t>
            </w:r>
          </w:p>
        </w:tc>
        <w:tc>
          <w:tcPr>
            <w:tcW w:w="1180"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jc w:val="right"/>
              <w:rPr>
                <w:rFonts w:ascii="Calibri" w:hAnsi="Calibri" w:cs="Calibri"/>
                <w:b/>
                <w:bCs/>
                <w:color w:val="000000"/>
                <w:sz w:val="17"/>
                <w:szCs w:val="17"/>
              </w:rPr>
            </w:pPr>
            <w:r w:rsidRPr="00F70B70">
              <w:rPr>
                <w:rFonts w:ascii="Calibri" w:hAnsi="Calibri" w:cs="Calibri"/>
                <w:b/>
                <w:bCs/>
                <w:color w:val="000000"/>
                <w:sz w:val="17"/>
                <w:szCs w:val="17"/>
              </w:rPr>
              <w:t>432 300,00</w:t>
            </w:r>
          </w:p>
        </w:tc>
        <w:tc>
          <w:tcPr>
            <w:tcW w:w="610" w:type="dxa"/>
            <w:tcBorders>
              <w:top w:val="nil"/>
              <w:left w:val="nil"/>
              <w:bottom w:val="single" w:sz="4" w:space="0" w:color="auto"/>
              <w:right w:val="single" w:sz="4" w:space="0" w:color="auto"/>
            </w:tcBorders>
            <w:shd w:val="clear" w:color="auto" w:fill="auto"/>
            <w:vAlign w:val="center"/>
            <w:hideMark/>
          </w:tcPr>
          <w:p w:rsidR="00F70B70" w:rsidRDefault="00F70B70">
            <w:pPr>
              <w:jc w:val="center"/>
              <w:rPr>
                <w:rFonts w:ascii="Calibri" w:hAnsi="Calibri" w:cs="Calibri"/>
                <w:color w:val="000000"/>
                <w:sz w:val="16"/>
                <w:szCs w:val="16"/>
              </w:rPr>
            </w:pPr>
            <w:r>
              <w:rPr>
                <w:rFonts w:ascii="Calibri" w:hAnsi="Calibri" w:cs="Calibri"/>
                <w:color w:val="000000"/>
                <w:sz w:val="16"/>
                <w:szCs w:val="16"/>
              </w:rPr>
              <w:t> </w:t>
            </w:r>
          </w:p>
        </w:tc>
      </w:tr>
      <w:tr w:rsidR="00F70B70" w:rsidTr="00F70B70">
        <w:trPr>
          <w:trHeight w:val="561"/>
        </w:trPr>
        <w:tc>
          <w:tcPr>
            <w:tcW w:w="6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0B70" w:rsidRPr="00F70B70" w:rsidRDefault="00F70B70">
            <w:pPr>
              <w:jc w:val="center"/>
              <w:rPr>
                <w:rFonts w:ascii="Calibri" w:hAnsi="Calibri" w:cs="Calibri"/>
                <w:sz w:val="16"/>
                <w:szCs w:val="16"/>
              </w:rPr>
            </w:pPr>
            <w:r w:rsidRPr="00F70B70">
              <w:rPr>
                <w:rFonts w:ascii="Calibri" w:hAnsi="Calibri" w:cs="Calibri"/>
                <w:sz w:val="16"/>
                <w:szCs w:val="16"/>
              </w:rPr>
              <w:t>40/2022</w:t>
            </w:r>
          </w:p>
        </w:tc>
        <w:tc>
          <w:tcPr>
            <w:tcW w:w="10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0B70" w:rsidRPr="00F70B70" w:rsidRDefault="00F70B70">
            <w:pPr>
              <w:jc w:val="center"/>
              <w:rPr>
                <w:rFonts w:ascii="Calibri" w:hAnsi="Calibri" w:cs="Calibri"/>
                <w:sz w:val="16"/>
                <w:szCs w:val="16"/>
              </w:rPr>
            </w:pPr>
            <w:r w:rsidRPr="00F70B70">
              <w:rPr>
                <w:rFonts w:ascii="Calibri" w:hAnsi="Calibri" w:cs="Calibri"/>
                <w:sz w:val="16"/>
                <w:szCs w:val="16"/>
              </w:rPr>
              <w:t>21.07.2022</w:t>
            </w:r>
          </w:p>
        </w:tc>
        <w:tc>
          <w:tcPr>
            <w:tcW w:w="3544" w:type="dxa"/>
            <w:tcBorders>
              <w:top w:val="nil"/>
              <w:left w:val="nil"/>
              <w:bottom w:val="nil"/>
              <w:right w:val="single" w:sz="4" w:space="0" w:color="auto"/>
            </w:tcBorders>
            <w:shd w:val="clear" w:color="auto" w:fill="auto"/>
            <w:vAlign w:val="center"/>
            <w:hideMark/>
          </w:tcPr>
          <w:p w:rsidR="00F70B70" w:rsidRPr="00F70B70" w:rsidRDefault="00F70B70">
            <w:pPr>
              <w:rPr>
                <w:rFonts w:ascii="Calibri" w:hAnsi="Calibri" w:cs="Calibri"/>
                <w:color w:val="000000"/>
                <w:sz w:val="17"/>
                <w:szCs w:val="17"/>
              </w:rPr>
            </w:pPr>
            <w:r w:rsidRPr="00F70B70">
              <w:rPr>
                <w:rFonts w:ascii="Calibri" w:hAnsi="Calibri" w:cs="Calibri"/>
                <w:color w:val="000000"/>
                <w:sz w:val="17"/>
                <w:szCs w:val="17"/>
              </w:rPr>
              <w:t>1) ÚZ 605 - Účelová investiční dotace z rozpočtu Olomouckého kraje na Rekonstrukci hřiště v areálu SOŠPO ul. Rejskova, Prostějov</w:t>
            </w:r>
          </w:p>
        </w:tc>
        <w:tc>
          <w:tcPr>
            <w:tcW w:w="709" w:type="dxa"/>
            <w:tcBorders>
              <w:top w:val="nil"/>
              <w:left w:val="nil"/>
              <w:bottom w:val="single" w:sz="4" w:space="0" w:color="auto"/>
              <w:right w:val="single" w:sz="4" w:space="0" w:color="auto"/>
            </w:tcBorders>
            <w:shd w:val="clear" w:color="000000" w:fill="FFFFFF"/>
            <w:noWrap/>
            <w:vAlign w:val="center"/>
            <w:hideMark/>
          </w:tcPr>
          <w:p w:rsidR="00F70B70" w:rsidRPr="00F70B70" w:rsidRDefault="00F70B70">
            <w:pPr>
              <w:jc w:val="center"/>
              <w:rPr>
                <w:rFonts w:ascii="Calibri" w:hAnsi="Calibri" w:cs="Calibri"/>
                <w:color w:val="000000"/>
                <w:sz w:val="17"/>
                <w:szCs w:val="17"/>
              </w:rPr>
            </w:pPr>
            <w:r w:rsidRPr="00F70B70">
              <w:rPr>
                <w:rFonts w:ascii="Calibri" w:hAnsi="Calibri" w:cs="Calibri"/>
                <w:color w:val="000000"/>
                <w:sz w:val="17"/>
                <w:szCs w:val="17"/>
              </w:rPr>
              <w:t>60</w:t>
            </w:r>
          </w:p>
        </w:tc>
        <w:tc>
          <w:tcPr>
            <w:tcW w:w="1134" w:type="dxa"/>
            <w:tcBorders>
              <w:top w:val="nil"/>
              <w:left w:val="nil"/>
              <w:bottom w:val="single" w:sz="4" w:space="0" w:color="auto"/>
              <w:right w:val="single" w:sz="4" w:space="0" w:color="auto"/>
            </w:tcBorders>
            <w:shd w:val="clear" w:color="000000" w:fill="FFFFFF"/>
            <w:noWrap/>
            <w:vAlign w:val="center"/>
            <w:hideMark/>
          </w:tcPr>
          <w:p w:rsidR="00F70B70" w:rsidRPr="00F70B70" w:rsidRDefault="00F70B70">
            <w:pPr>
              <w:jc w:val="right"/>
              <w:rPr>
                <w:rFonts w:ascii="Calibri" w:hAnsi="Calibri" w:cs="Calibri"/>
                <w:color w:val="000000"/>
                <w:sz w:val="17"/>
                <w:szCs w:val="17"/>
              </w:rPr>
            </w:pPr>
            <w:r w:rsidRPr="00F70B70">
              <w:rPr>
                <w:rFonts w:ascii="Calibri" w:hAnsi="Calibri" w:cs="Calibri"/>
                <w:color w:val="000000"/>
                <w:sz w:val="17"/>
                <w:szCs w:val="17"/>
              </w:rPr>
              <w:t>230 000,00</w:t>
            </w:r>
          </w:p>
        </w:tc>
        <w:tc>
          <w:tcPr>
            <w:tcW w:w="709" w:type="dxa"/>
            <w:tcBorders>
              <w:top w:val="nil"/>
              <w:left w:val="nil"/>
              <w:bottom w:val="single" w:sz="4" w:space="0" w:color="auto"/>
              <w:right w:val="single" w:sz="4" w:space="0" w:color="auto"/>
            </w:tcBorders>
            <w:shd w:val="clear" w:color="000000" w:fill="FFFFFF"/>
            <w:noWrap/>
            <w:vAlign w:val="center"/>
            <w:hideMark/>
          </w:tcPr>
          <w:p w:rsidR="00F70B70" w:rsidRPr="00F70B70" w:rsidRDefault="00F70B70">
            <w:pPr>
              <w:jc w:val="center"/>
              <w:rPr>
                <w:rFonts w:ascii="Calibri" w:hAnsi="Calibri" w:cs="Calibri"/>
                <w:color w:val="000000"/>
                <w:sz w:val="17"/>
                <w:szCs w:val="17"/>
              </w:rPr>
            </w:pPr>
            <w:r w:rsidRPr="00F70B70">
              <w:rPr>
                <w:rFonts w:ascii="Calibri" w:hAnsi="Calibri" w:cs="Calibri"/>
                <w:color w:val="000000"/>
                <w:sz w:val="17"/>
                <w:szCs w:val="17"/>
              </w:rPr>
              <w:t>60</w:t>
            </w:r>
          </w:p>
        </w:tc>
        <w:tc>
          <w:tcPr>
            <w:tcW w:w="1180" w:type="dxa"/>
            <w:tcBorders>
              <w:top w:val="nil"/>
              <w:left w:val="nil"/>
              <w:bottom w:val="single" w:sz="4" w:space="0" w:color="auto"/>
              <w:right w:val="single" w:sz="4" w:space="0" w:color="auto"/>
            </w:tcBorders>
            <w:shd w:val="clear" w:color="000000" w:fill="FFFFFF"/>
            <w:noWrap/>
            <w:vAlign w:val="center"/>
            <w:hideMark/>
          </w:tcPr>
          <w:p w:rsidR="00F70B70" w:rsidRPr="00F70B70" w:rsidRDefault="00F70B70">
            <w:pPr>
              <w:jc w:val="right"/>
              <w:rPr>
                <w:rFonts w:ascii="Calibri" w:hAnsi="Calibri" w:cs="Calibri"/>
                <w:color w:val="000000"/>
                <w:sz w:val="17"/>
                <w:szCs w:val="17"/>
              </w:rPr>
            </w:pPr>
            <w:r w:rsidRPr="00F70B70">
              <w:rPr>
                <w:rFonts w:ascii="Calibri" w:hAnsi="Calibri" w:cs="Calibri"/>
                <w:color w:val="000000"/>
                <w:sz w:val="17"/>
                <w:szCs w:val="17"/>
              </w:rPr>
              <w:t>230 000,00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center"/>
              <w:rPr>
                <w:rFonts w:ascii="Calibri" w:hAnsi="Calibri" w:cs="Calibri"/>
                <w:color w:val="000000"/>
                <w:sz w:val="16"/>
                <w:szCs w:val="16"/>
              </w:rPr>
            </w:pPr>
            <w:r>
              <w:rPr>
                <w:rFonts w:ascii="Calibri" w:hAnsi="Calibri" w:cs="Calibri"/>
                <w:color w:val="000000"/>
                <w:sz w:val="16"/>
                <w:szCs w:val="16"/>
              </w:rPr>
              <w:t>1)</w:t>
            </w:r>
          </w:p>
        </w:tc>
      </w:tr>
      <w:tr w:rsidR="00F70B70" w:rsidTr="00F70B70">
        <w:trPr>
          <w:trHeight w:val="543"/>
        </w:trPr>
        <w:tc>
          <w:tcPr>
            <w:tcW w:w="689" w:type="dxa"/>
            <w:vMerge/>
            <w:tcBorders>
              <w:top w:val="nil"/>
              <w:left w:val="single" w:sz="4" w:space="0" w:color="auto"/>
              <w:bottom w:val="single" w:sz="4" w:space="0" w:color="000000"/>
              <w:right w:val="single" w:sz="4" w:space="0" w:color="auto"/>
            </w:tcBorders>
            <w:vAlign w:val="center"/>
            <w:hideMark/>
          </w:tcPr>
          <w:p w:rsidR="00F70B70" w:rsidRPr="00F70B70" w:rsidRDefault="00F70B70">
            <w:pPr>
              <w:rPr>
                <w:rFonts w:ascii="Calibri" w:hAnsi="Calibri" w:cs="Calibri"/>
                <w:sz w:val="16"/>
                <w:szCs w:val="16"/>
              </w:rPr>
            </w:pPr>
          </w:p>
        </w:tc>
        <w:tc>
          <w:tcPr>
            <w:tcW w:w="1007" w:type="dxa"/>
            <w:vMerge/>
            <w:tcBorders>
              <w:top w:val="nil"/>
              <w:left w:val="single" w:sz="4" w:space="0" w:color="auto"/>
              <w:bottom w:val="single" w:sz="4" w:space="0" w:color="000000"/>
              <w:right w:val="single" w:sz="4" w:space="0" w:color="auto"/>
            </w:tcBorders>
            <w:vAlign w:val="center"/>
            <w:hideMark/>
          </w:tcPr>
          <w:p w:rsidR="00F70B70" w:rsidRPr="00F70B70" w:rsidRDefault="00F70B70">
            <w:pPr>
              <w:rPr>
                <w:rFonts w:ascii="Calibri" w:hAnsi="Calibri" w:cs="Calibri"/>
                <w:sz w:val="16"/>
                <w:szCs w:val="16"/>
              </w:rPr>
            </w:pPr>
          </w:p>
        </w:tc>
        <w:tc>
          <w:tcPr>
            <w:tcW w:w="3544" w:type="dxa"/>
            <w:tcBorders>
              <w:top w:val="single" w:sz="4" w:space="0" w:color="auto"/>
              <w:left w:val="nil"/>
              <w:bottom w:val="nil"/>
              <w:right w:val="single" w:sz="4" w:space="0" w:color="auto"/>
            </w:tcBorders>
            <w:shd w:val="clear" w:color="auto" w:fill="auto"/>
            <w:vAlign w:val="center"/>
            <w:hideMark/>
          </w:tcPr>
          <w:p w:rsidR="00F70B70" w:rsidRPr="00F70B70" w:rsidRDefault="00F70B70">
            <w:pPr>
              <w:rPr>
                <w:rFonts w:ascii="Calibri" w:hAnsi="Calibri" w:cs="Calibri"/>
                <w:color w:val="000000"/>
                <w:sz w:val="17"/>
                <w:szCs w:val="17"/>
              </w:rPr>
            </w:pPr>
            <w:r w:rsidRPr="00F70B70">
              <w:rPr>
                <w:rFonts w:ascii="Calibri" w:hAnsi="Calibri" w:cs="Calibri"/>
                <w:color w:val="000000"/>
                <w:sz w:val="17"/>
                <w:szCs w:val="17"/>
              </w:rPr>
              <w:t>2) ÚZ 605 - Účelová investiční dotace z rozpočtu Olomouckého kraje na "Zimní stadion - rekonstrukce šaten hosté"</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color w:val="000000"/>
                <w:sz w:val="17"/>
                <w:szCs w:val="17"/>
              </w:rPr>
            </w:pPr>
            <w:r w:rsidRPr="00F70B70">
              <w:rPr>
                <w:rFonts w:ascii="Calibri" w:hAnsi="Calibri" w:cs="Calibri"/>
                <w:color w:val="000000"/>
                <w:sz w:val="17"/>
                <w:szCs w:val="17"/>
              </w:rPr>
              <w:t>60</w:t>
            </w:r>
          </w:p>
        </w:tc>
        <w:tc>
          <w:tcPr>
            <w:tcW w:w="1134"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color w:val="000000"/>
                <w:sz w:val="17"/>
                <w:szCs w:val="17"/>
              </w:rPr>
            </w:pPr>
            <w:r w:rsidRPr="00F70B70">
              <w:rPr>
                <w:rFonts w:ascii="Calibri" w:hAnsi="Calibri" w:cs="Calibri"/>
                <w:color w:val="000000"/>
                <w:sz w:val="17"/>
                <w:szCs w:val="17"/>
              </w:rPr>
              <w:t>664 333,00</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color w:val="000000"/>
                <w:sz w:val="17"/>
                <w:szCs w:val="17"/>
              </w:rPr>
            </w:pPr>
            <w:r w:rsidRPr="00F70B70">
              <w:rPr>
                <w:rFonts w:ascii="Calibri" w:hAnsi="Calibri" w:cs="Calibri"/>
                <w:color w:val="000000"/>
                <w:sz w:val="17"/>
                <w:szCs w:val="17"/>
              </w:rPr>
              <w:t>60</w:t>
            </w:r>
          </w:p>
        </w:tc>
        <w:tc>
          <w:tcPr>
            <w:tcW w:w="1180"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color w:val="000000"/>
                <w:sz w:val="17"/>
                <w:szCs w:val="17"/>
              </w:rPr>
            </w:pPr>
            <w:r w:rsidRPr="00F70B70">
              <w:rPr>
                <w:rFonts w:ascii="Calibri" w:hAnsi="Calibri" w:cs="Calibri"/>
                <w:color w:val="000000"/>
                <w:sz w:val="17"/>
                <w:szCs w:val="17"/>
              </w:rPr>
              <w:t>664 333,00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center"/>
              <w:rPr>
                <w:rFonts w:ascii="Calibri" w:hAnsi="Calibri" w:cs="Calibri"/>
                <w:color w:val="000000"/>
                <w:sz w:val="16"/>
                <w:szCs w:val="16"/>
              </w:rPr>
            </w:pPr>
            <w:r>
              <w:rPr>
                <w:rFonts w:ascii="Calibri" w:hAnsi="Calibri" w:cs="Calibri"/>
                <w:color w:val="000000"/>
                <w:sz w:val="16"/>
                <w:szCs w:val="16"/>
              </w:rPr>
              <w:t>2)</w:t>
            </w:r>
          </w:p>
        </w:tc>
      </w:tr>
      <w:tr w:rsidR="00F70B70" w:rsidTr="00F70B70">
        <w:trPr>
          <w:trHeight w:val="255"/>
        </w:trPr>
        <w:tc>
          <w:tcPr>
            <w:tcW w:w="689" w:type="dxa"/>
            <w:vMerge/>
            <w:tcBorders>
              <w:top w:val="nil"/>
              <w:left w:val="single" w:sz="4" w:space="0" w:color="auto"/>
              <w:bottom w:val="single" w:sz="4" w:space="0" w:color="000000"/>
              <w:right w:val="single" w:sz="4" w:space="0" w:color="auto"/>
            </w:tcBorders>
            <w:vAlign w:val="center"/>
            <w:hideMark/>
          </w:tcPr>
          <w:p w:rsidR="00F70B70" w:rsidRPr="00F70B70" w:rsidRDefault="00F70B70">
            <w:pPr>
              <w:rPr>
                <w:rFonts w:ascii="Calibri" w:hAnsi="Calibri" w:cs="Calibri"/>
                <w:sz w:val="16"/>
                <w:szCs w:val="16"/>
              </w:rPr>
            </w:pPr>
          </w:p>
        </w:tc>
        <w:tc>
          <w:tcPr>
            <w:tcW w:w="1007" w:type="dxa"/>
            <w:vMerge/>
            <w:tcBorders>
              <w:top w:val="nil"/>
              <w:left w:val="single" w:sz="4" w:space="0" w:color="auto"/>
              <w:bottom w:val="single" w:sz="4" w:space="0" w:color="000000"/>
              <w:right w:val="single" w:sz="4" w:space="0" w:color="auto"/>
            </w:tcBorders>
            <w:vAlign w:val="center"/>
            <w:hideMark/>
          </w:tcPr>
          <w:p w:rsidR="00F70B70" w:rsidRPr="00F70B70" w:rsidRDefault="00F70B70">
            <w:pPr>
              <w:rPr>
                <w:rFonts w:ascii="Calibri" w:hAnsi="Calibri" w:cs="Calibri"/>
                <w:sz w:val="16"/>
                <w:szCs w:val="16"/>
              </w:rPr>
            </w:pP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0B70" w:rsidRPr="00F70B70" w:rsidRDefault="00F70B70">
            <w:pPr>
              <w:rPr>
                <w:rFonts w:ascii="Calibri" w:hAnsi="Calibri" w:cs="Calibri"/>
                <w:color w:val="000000"/>
                <w:sz w:val="17"/>
                <w:szCs w:val="17"/>
              </w:rPr>
            </w:pPr>
            <w:r w:rsidRPr="00F70B70">
              <w:rPr>
                <w:rFonts w:ascii="Calibri" w:hAnsi="Calibri" w:cs="Calibri"/>
                <w:color w:val="000000"/>
                <w:sz w:val="17"/>
                <w:szCs w:val="17"/>
              </w:rPr>
              <w:t>3) ÚZ 605 - Účelová investiční dotace z rozpočtu Olomouckého kraje na "Zimní stadion - výměna kopilitů na východní straně"</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color w:val="000000"/>
                <w:sz w:val="17"/>
                <w:szCs w:val="17"/>
              </w:rPr>
            </w:pPr>
            <w:r w:rsidRPr="00F70B70">
              <w:rPr>
                <w:rFonts w:ascii="Calibri" w:hAnsi="Calibri" w:cs="Calibri"/>
                <w:color w:val="000000"/>
                <w:sz w:val="17"/>
                <w:szCs w:val="17"/>
              </w:rPr>
              <w:t>60</w:t>
            </w:r>
          </w:p>
        </w:tc>
        <w:tc>
          <w:tcPr>
            <w:tcW w:w="1134"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color w:val="000000"/>
                <w:sz w:val="17"/>
                <w:szCs w:val="17"/>
              </w:rPr>
            </w:pPr>
            <w:r w:rsidRPr="00F70B70">
              <w:rPr>
                <w:rFonts w:ascii="Calibri" w:hAnsi="Calibri" w:cs="Calibri"/>
                <w:color w:val="000000"/>
                <w:sz w:val="17"/>
                <w:szCs w:val="17"/>
              </w:rPr>
              <w:t>664 333,00</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color w:val="000000"/>
                <w:sz w:val="17"/>
                <w:szCs w:val="17"/>
              </w:rPr>
            </w:pPr>
            <w:r w:rsidRPr="00F70B70">
              <w:rPr>
                <w:rFonts w:ascii="Calibri" w:hAnsi="Calibri" w:cs="Calibri"/>
                <w:color w:val="000000"/>
                <w:sz w:val="17"/>
                <w:szCs w:val="17"/>
              </w:rPr>
              <w:t>60</w:t>
            </w:r>
          </w:p>
        </w:tc>
        <w:tc>
          <w:tcPr>
            <w:tcW w:w="1180"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color w:val="000000"/>
                <w:sz w:val="17"/>
                <w:szCs w:val="17"/>
              </w:rPr>
            </w:pPr>
            <w:r w:rsidRPr="00F70B70">
              <w:rPr>
                <w:rFonts w:ascii="Calibri" w:hAnsi="Calibri" w:cs="Calibri"/>
                <w:color w:val="000000"/>
                <w:sz w:val="17"/>
                <w:szCs w:val="17"/>
              </w:rPr>
              <w:t>664 333,00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center"/>
              <w:rPr>
                <w:rFonts w:ascii="Calibri" w:hAnsi="Calibri" w:cs="Calibri"/>
                <w:color w:val="000000"/>
                <w:sz w:val="16"/>
                <w:szCs w:val="16"/>
              </w:rPr>
            </w:pPr>
            <w:r>
              <w:rPr>
                <w:rFonts w:ascii="Calibri" w:hAnsi="Calibri" w:cs="Calibri"/>
                <w:color w:val="000000"/>
                <w:sz w:val="16"/>
                <w:szCs w:val="16"/>
              </w:rPr>
              <w:t>3)</w:t>
            </w:r>
          </w:p>
        </w:tc>
      </w:tr>
      <w:tr w:rsidR="00F70B70" w:rsidTr="00F70B70">
        <w:trPr>
          <w:trHeight w:val="347"/>
        </w:trPr>
        <w:tc>
          <w:tcPr>
            <w:tcW w:w="689" w:type="dxa"/>
            <w:vMerge/>
            <w:tcBorders>
              <w:top w:val="nil"/>
              <w:left w:val="single" w:sz="4" w:space="0" w:color="auto"/>
              <w:bottom w:val="single" w:sz="4" w:space="0" w:color="000000"/>
              <w:right w:val="single" w:sz="4" w:space="0" w:color="auto"/>
            </w:tcBorders>
            <w:vAlign w:val="center"/>
            <w:hideMark/>
          </w:tcPr>
          <w:p w:rsidR="00F70B70" w:rsidRPr="00F70B70" w:rsidRDefault="00F70B70">
            <w:pPr>
              <w:rPr>
                <w:rFonts w:ascii="Calibri" w:hAnsi="Calibri" w:cs="Calibri"/>
                <w:sz w:val="16"/>
                <w:szCs w:val="16"/>
              </w:rPr>
            </w:pPr>
          </w:p>
        </w:tc>
        <w:tc>
          <w:tcPr>
            <w:tcW w:w="1007" w:type="dxa"/>
            <w:vMerge/>
            <w:tcBorders>
              <w:top w:val="nil"/>
              <w:left w:val="single" w:sz="4" w:space="0" w:color="auto"/>
              <w:bottom w:val="single" w:sz="4" w:space="0" w:color="000000"/>
              <w:right w:val="single" w:sz="4" w:space="0" w:color="auto"/>
            </w:tcBorders>
            <w:vAlign w:val="center"/>
            <w:hideMark/>
          </w:tcPr>
          <w:p w:rsidR="00F70B70" w:rsidRPr="00F70B70" w:rsidRDefault="00F70B70">
            <w:pPr>
              <w:rPr>
                <w:rFonts w:ascii="Calibri" w:hAnsi="Calibri" w:cs="Calibri"/>
                <w:sz w:val="16"/>
                <w:szCs w:val="16"/>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rsidR="00F70B70" w:rsidRPr="00F70B70" w:rsidRDefault="00F70B70">
            <w:pPr>
              <w:rPr>
                <w:rFonts w:ascii="Calibri" w:hAnsi="Calibri" w:cs="Calibri"/>
                <w:color w:val="000000"/>
                <w:sz w:val="17"/>
                <w:szCs w:val="17"/>
              </w:rPr>
            </w:pPr>
          </w:p>
        </w:tc>
        <w:tc>
          <w:tcPr>
            <w:tcW w:w="709"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rPr>
                <w:rFonts w:ascii="Calibri" w:hAnsi="Calibri" w:cs="Calibri"/>
                <w:b/>
                <w:bCs/>
                <w:color w:val="000000"/>
                <w:sz w:val="17"/>
                <w:szCs w:val="17"/>
              </w:rPr>
            </w:pPr>
            <w:r w:rsidRPr="00F70B70">
              <w:rPr>
                <w:rFonts w:ascii="Calibri" w:hAnsi="Calibri" w:cs="Calibri"/>
                <w:b/>
                <w:bCs/>
                <w:color w:val="000000"/>
                <w:sz w:val="17"/>
                <w:szCs w:val="17"/>
              </w:rPr>
              <w:t>Celkem</w:t>
            </w:r>
          </w:p>
        </w:tc>
        <w:tc>
          <w:tcPr>
            <w:tcW w:w="1134"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jc w:val="right"/>
              <w:rPr>
                <w:rFonts w:ascii="Calibri" w:hAnsi="Calibri" w:cs="Calibri"/>
                <w:b/>
                <w:bCs/>
                <w:color w:val="000000"/>
                <w:sz w:val="17"/>
                <w:szCs w:val="17"/>
              </w:rPr>
            </w:pPr>
            <w:r w:rsidRPr="00F70B70">
              <w:rPr>
                <w:rFonts w:ascii="Calibri" w:hAnsi="Calibri" w:cs="Calibri"/>
                <w:b/>
                <w:bCs/>
                <w:color w:val="000000"/>
                <w:sz w:val="17"/>
                <w:szCs w:val="17"/>
              </w:rPr>
              <w:t>1 558 666,00</w:t>
            </w:r>
          </w:p>
        </w:tc>
        <w:tc>
          <w:tcPr>
            <w:tcW w:w="709"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rPr>
                <w:rFonts w:ascii="Calibri" w:hAnsi="Calibri" w:cs="Calibri"/>
                <w:b/>
                <w:bCs/>
                <w:color w:val="000000"/>
                <w:sz w:val="17"/>
                <w:szCs w:val="17"/>
              </w:rPr>
            </w:pPr>
            <w:r w:rsidRPr="00F70B70">
              <w:rPr>
                <w:rFonts w:ascii="Calibri" w:hAnsi="Calibri" w:cs="Calibri"/>
                <w:b/>
                <w:bCs/>
                <w:color w:val="000000"/>
                <w:sz w:val="17"/>
                <w:szCs w:val="17"/>
              </w:rPr>
              <w:t>Celkem</w:t>
            </w:r>
          </w:p>
        </w:tc>
        <w:tc>
          <w:tcPr>
            <w:tcW w:w="1180"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jc w:val="right"/>
              <w:rPr>
                <w:rFonts w:ascii="Calibri" w:hAnsi="Calibri" w:cs="Calibri"/>
                <w:b/>
                <w:bCs/>
                <w:color w:val="000000"/>
                <w:sz w:val="17"/>
                <w:szCs w:val="17"/>
              </w:rPr>
            </w:pPr>
            <w:r w:rsidRPr="00F70B70">
              <w:rPr>
                <w:rFonts w:ascii="Calibri" w:hAnsi="Calibri" w:cs="Calibri"/>
                <w:b/>
                <w:bCs/>
                <w:color w:val="000000"/>
                <w:sz w:val="17"/>
                <w:szCs w:val="17"/>
              </w:rPr>
              <w:t>1 558 666,00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color w:val="000000"/>
                <w:sz w:val="16"/>
                <w:szCs w:val="16"/>
              </w:rPr>
            </w:pPr>
            <w:r>
              <w:rPr>
                <w:rFonts w:ascii="Calibri" w:hAnsi="Calibri" w:cs="Calibri"/>
                <w:color w:val="000000"/>
                <w:sz w:val="16"/>
                <w:szCs w:val="16"/>
              </w:rPr>
              <w:t> </w:t>
            </w:r>
          </w:p>
        </w:tc>
      </w:tr>
      <w:tr w:rsidR="00F70B70" w:rsidTr="00F70B70">
        <w:trPr>
          <w:trHeight w:val="220"/>
        </w:trPr>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6"/>
                <w:szCs w:val="16"/>
              </w:rPr>
            </w:pPr>
            <w:r w:rsidRPr="00F70B70">
              <w:rPr>
                <w:rFonts w:ascii="Calibri" w:hAnsi="Calibri" w:cs="Calibri"/>
                <w:sz w:val="16"/>
                <w:szCs w:val="16"/>
              </w:rPr>
              <w:t>41/2022</w:t>
            </w:r>
          </w:p>
        </w:tc>
        <w:tc>
          <w:tcPr>
            <w:tcW w:w="10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6"/>
                <w:szCs w:val="16"/>
              </w:rPr>
            </w:pPr>
            <w:r w:rsidRPr="00F70B70">
              <w:rPr>
                <w:rFonts w:ascii="Calibri" w:hAnsi="Calibri" w:cs="Calibri"/>
                <w:sz w:val="16"/>
                <w:szCs w:val="16"/>
              </w:rPr>
              <w:t>02.08.2022</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F70B70" w:rsidRPr="00F70B70" w:rsidRDefault="00F70B70">
            <w:pPr>
              <w:rPr>
                <w:rFonts w:ascii="Calibri" w:hAnsi="Calibri" w:cs="Calibri"/>
                <w:sz w:val="17"/>
                <w:szCs w:val="17"/>
              </w:rPr>
            </w:pPr>
            <w:r w:rsidRPr="00F70B70">
              <w:rPr>
                <w:rFonts w:ascii="Calibri" w:hAnsi="Calibri" w:cs="Calibri"/>
                <w:sz w:val="17"/>
                <w:szCs w:val="17"/>
              </w:rPr>
              <w:t>ÚZ 34070 - Účelová neinvestiční dotace na "</w:t>
            </w:r>
            <w:r>
              <w:rPr>
                <w:rFonts w:ascii="Calibri" w:hAnsi="Calibri" w:cs="Calibri"/>
                <w:sz w:val="17"/>
                <w:szCs w:val="17"/>
              </w:rPr>
              <w:t>65. </w:t>
            </w:r>
            <w:r w:rsidRPr="00F70B70">
              <w:rPr>
                <w:rFonts w:ascii="Calibri" w:hAnsi="Calibri" w:cs="Calibri"/>
                <w:sz w:val="17"/>
                <w:szCs w:val="17"/>
              </w:rPr>
              <w:t>Wolkrův Prostějov"</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19</w:t>
            </w:r>
          </w:p>
        </w:tc>
        <w:tc>
          <w:tcPr>
            <w:tcW w:w="1134"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300 000,00</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19</w:t>
            </w:r>
          </w:p>
        </w:tc>
        <w:tc>
          <w:tcPr>
            <w:tcW w:w="1180"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300 000,00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 </w:t>
            </w:r>
          </w:p>
        </w:tc>
      </w:tr>
      <w:tr w:rsidR="00F70B70" w:rsidTr="00F70B70">
        <w:trPr>
          <w:trHeight w:val="195"/>
        </w:trPr>
        <w:tc>
          <w:tcPr>
            <w:tcW w:w="689"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1007"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3544" w:type="dxa"/>
            <w:vMerge/>
            <w:tcBorders>
              <w:top w:val="nil"/>
              <w:left w:val="single" w:sz="4" w:space="0" w:color="auto"/>
              <w:bottom w:val="single" w:sz="4" w:space="0" w:color="000000"/>
              <w:right w:val="single" w:sz="4" w:space="0" w:color="auto"/>
            </w:tcBorders>
            <w:vAlign w:val="center"/>
            <w:hideMark/>
          </w:tcPr>
          <w:p w:rsidR="00F70B70" w:rsidRPr="00F70B70" w:rsidRDefault="00F70B70">
            <w:pPr>
              <w:rPr>
                <w:rFonts w:ascii="Calibri" w:hAnsi="Calibri" w:cs="Calibri"/>
                <w:sz w:val="17"/>
                <w:szCs w:val="17"/>
              </w:rPr>
            </w:pPr>
          </w:p>
        </w:tc>
        <w:tc>
          <w:tcPr>
            <w:tcW w:w="709"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rPr>
                <w:rFonts w:ascii="Calibri" w:hAnsi="Calibri" w:cs="Calibri"/>
                <w:b/>
                <w:bCs/>
                <w:sz w:val="17"/>
                <w:szCs w:val="17"/>
              </w:rPr>
            </w:pPr>
            <w:r w:rsidRPr="00F70B70">
              <w:rPr>
                <w:rFonts w:ascii="Calibri" w:hAnsi="Calibri" w:cs="Calibri"/>
                <w:b/>
                <w:bCs/>
                <w:sz w:val="17"/>
                <w:szCs w:val="17"/>
              </w:rPr>
              <w:t>Celkem</w:t>
            </w:r>
          </w:p>
        </w:tc>
        <w:tc>
          <w:tcPr>
            <w:tcW w:w="1134"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jc w:val="right"/>
              <w:rPr>
                <w:rFonts w:ascii="Calibri" w:hAnsi="Calibri" w:cs="Calibri"/>
                <w:b/>
                <w:bCs/>
                <w:sz w:val="17"/>
                <w:szCs w:val="17"/>
              </w:rPr>
            </w:pPr>
            <w:r w:rsidRPr="00F70B70">
              <w:rPr>
                <w:rFonts w:ascii="Calibri" w:hAnsi="Calibri" w:cs="Calibri"/>
                <w:b/>
                <w:bCs/>
                <w:sz w:val="17"/>
                <w:szCs w:val="17"/>
              </w:rPr>
              <w:t>300 000,00</w:t>
            </w:r>
          </w:p>
        </w:tc>
        <w:tc>
          <w:tcPr>
            <w:tcW w:w="709"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rPr>
                <w:rFonts w:ascii="Calibri" w:hAnsi="Calibri" w:cs="Calibri"/>
                <w:b/>
                <w:bCs/>
                <w:sz w:val="17"/>
                <w:szCs w:val="17"/>
              </w:rPr>
            </w:pPr>
            <w:r w:rsidRPr="00F70B70">
              <w:rPr>
                <w:rFonts w:ascii="Calibri" w:hAnsi="Calibri" w:cs="Calibri"/>
                <w:b/>
                <w:bCs/>
                <w:sz w:val="17"/>
                <w:szCs w:val="17"/>
              </w:rPr>
              <w:t>Celkem</w:t>
            </w:r>
          </w:p>
        </w:tc>
        <w:tc>
          <w:tcPr>
            <w:tcW w:w="1180"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jc w:val="right"/>
              <w:rPr>
                <w:rFonts w:ascii="Calibri" w:hAnsi="Calibri" w:cs="Calibri"/>
                <w:b/>
                <w:bCs/>
                <w:sz w:val="17"/>
                <w:szCs w:val="17"/>
              </w:rPr>
            </w:pPr>
            <w:r w:rsidRPr="00F70B70">
              <w:rPr>
                <w:rFonts w:ascii="Calibri" w:hAnsi="Calibri" w:cs="Calibri"/>
                <w:b/>
                <w:bCs/>
                <w:sz w:val="17"/>
                <w:szCs w:val="17"/>
              </w:rPr>
              <w:t>300 000,00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 </w:t>
            </w:r>
          </w:p>
        </w:tc>
      </w:tr>
      <w:tr w:rsidR="00F70B70" w:rsidTr="00F70B70">
        <w:trPr>
          <w:trHeight w:val="611"/>
        </w:trPr>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6"/>
                <w:szCs w:val="16"/>
              </w:rPr>
            </w:pPr>
            <w:r w:rsidRPr="00F70B70">
              <w:rPr>
                <w:rFonts w:ascii="Calibri" w:hAnsi="Calibri" w:cs="Calibri"/>
                <w:sz w:val="16"/>
                <w:szCs w:val="16"/>
              </w:rPr>
              <w:t>42/2022</w:t>
            </w:r>
          </w:p>
        </w:tc>
        <w:tc>
          <w:tcPr>
            <w:tcW w:w="10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6"/>
                <w:szCs w:val="16"/>
              </w:rPr>
            </w:pPr>
            <w:r w:rsidRPr="00F70B70">
              <w:rPr>
                <w:rFonts w:ascii="Calibri" w:hAnsi="Calibri" w:cs="Calibri"/>
                <w:sz w:val="16"/>
                <w:szCs w:val="16"/>
              </w:rPr>
              <w:t>02.08.2022</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F70B70" w:rsidRPr="00F70B70" w:rsidRDefault="00F70B70">
            <w:pPr>
              <w:rPr>
                <w:rFonts w:ascii="Calibri" w:hAnsi="Calibri" w:cs="Calibri"/>
                <w:sz w:val="17"/>
                <w:szCs w:val="17"/>
              </w:rPr>
            </w:pPr>
            <w:r w:rsidRPr="00F70B70">
              <w:rPr>
                <w:rFonts w:ascii="Calibri" w:hAnsi="Calibri" w:cs="Calibri"/>
                <w:sz w:val="17"/>
                <w:szCs w:val="17"/>
              </w:rPr>
              <w:t>ÚZ 34053 - Účelová neinvestiční dotace z Ministerstva kultury ČR pro Městskou knihovnu Prostějov na realizaci projektu poskytnutého v rámci dotačního řízení Veřejné informační služby knihoven - podprogram VISK 3</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20</w:t>
            </w:r>
          </w:p>
        </w:tc>
        <w:tc>
          <w:tcPr>
            <w:tcW w:w="1134"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60 000,00</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20</w:t>
            </w:r>
          </w:p>
        </w:tc>
        <w:tc>
          <w:tcPr>
            <w:tcW w:w="1180"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60 000,00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 </w:t>
            </w:r>
          </w:p>
        </w:tc>
      </w:tr>
      <w:tr w:rsidR="00F70B70" w:rsidTr="00F70B70">
        <w:trPr>
          <w:trHeight w:val="465"/>
        </w:trPr>
        <w:tc>
          <w:tcPr>
            <w:tcW w:w="689"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1007"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3544" w:type="dxa"/>
            <w:vMerge/>
            <w:tcBorders>
              <w:top w:val="nil"/>
              <w:left w:val="single" w:sz="4" w:space="0" w:color="auto"/>
              <w:bottom w:val="single" w:sz="4" w:space="0" w:color="000000"/>
              <w:right w:val="single" w:sz="4" w:space="0" w:color="auto"/>
            </w:tcBorders>
            <w:vAlign w:val="center"/>
            <w:hideMark/>
          </w:tcPr>
          <w:p w:rsidR="00F70B70" w:rsidRPr="00F70B70" w:rsidRDefault="00F70B70">
            <w:pPr>
              <w:rPr>
                <w:rFonts w:ascii="Calibri" w:hAnsi="Calibri" w:cs="Calibri"/>
                <w:sz w:val="17"/>
                <w:szCs w:val="17"/>
              </w:rPr>
            </w:pPr>
          </w:p>
        </w:tc>
        <w:tc>
          <w:tcPr>
            <w:tcW w:w="709"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rPr>
                <w:rFonts w:ascii="Calibri" w:hAnsi="Calibri" w:cs="Calibri"/>
                <w:b/>
                <w:bCs/>
                <w:sz w:val="17"/>
                <w:szCs w:val="17"/>
              </w:rPr>
            </w:pPr>
            <w:r w:rsidRPr="00F70B70">
              <w:rPr>
                <w:rFonts w:ascii="Calibri" w:hAnsi="Calibri" w:cs="Calibri"/>
                <w:b/>
                <w:bCs/>
                <w:sz w:val="17"/>
                <w:szCs w:val="17"/>
              </w:rPr>
              <w:t>Celkem</w:t>
            </w:r>
          </w:p>
        </w:tc>
        <w:tc>
          <w:tcPr>
            <w:tcW w:w="1134"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jc w:val="right"/>
              <w:rPr>
                <w:rFonts w:ascii="Calibri" w:hAnsi="Calibri" w:cs="Calibri"/>
                <w:b/>
                <w:bCs/>
                <w:sz w:val="17"/>
                <w:szCs w:val="17"/>
              </w:rPr>
            </w:pPr>
            <w:r w:rsidRPr="00F70B70">
              <w:rPr>
                <w:rFonts w:ascii="Calibri" w:hAnsi="Calibri" w:cs="Calibri"/>
                <w:b/>
                <w:bCs/>
                <w:sz w:val="17"/>
                <w:szCs w:val="17"/>
              </w:rPr>
              <w:t>60 000,00</w:t>
            </w:r>
          </w:p>
        </w:tc>
        <w:tc>
          <w:tcPr>
            <w:tcW w:w="709"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rPr>
                <w:rFonts w:ascii="Calibri" w:hAnsi="Calibri" w:cs="Calibri"/>
                <w:b/>
                <w:bCs/>
                <w:sz w:val="17"/>
                <w:szCs w:val="17"/>
              </w:rPr>
            </w:pPr>
            <w:r w:rsidRPr="00F70B70">
              <w:rPr>
                <w:rFonts w:ascii="Calibri" w:hAnsi="Calibri" w:cs="Calibri"/>
                <w:b/>
                <w:bCs/>
                <w:sz w:val="17"/>
                <w:szCs w:val="17"/>
              </w:rPr>
              <w:t>Celkem</w:t>
            </w:r>
          </w:p>
        </w:tc>
        <w:tc>
          <w:tcPr>
            <w:tcW w:w="1180"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jc w:val="right"/>
              <w:rPr>
                <w:rFonts w:ascii="Calibri" w:hAnsi="Calibri" w:cs="Calibri"/>
                <w:b/>
                <w:bCs/>
                <w:sz w:val="17"/>
                <w:szCs w:val="17"/>
              </w:rPr>
            </w:pPr>
            <w:r w:rsidRPr="00F70B70">
              <w:rPr>
                <w:rFonts w:ascii="Calibri" w:hAnsi="Calibri" w:cs="Calibri"/>
                <w:b/>
                <w:bCs/>
                <w:sz w:val="17"/>
                <w:szCs w:val="17"/>
              </w:rPr>
              <w:t>60 000,00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 </w:t>
            </w:r>
          </w:p>
        </w:tc>
      </w:tr>
      <w:tr w:rsidR="00F70B70" w:rsidTr="00F70B70">
        <w:trPr>
          <w:trHeight w:val="357"/>
        </w:trPr>
        <w:tc>
          <w:tcPr>
            <w:tcW w:w="6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0B70" w:rsidRPr="00F70B70" w:rsidRDefault="00F70B70">
            <w:pPr>
              <w:jc w:val="center"/>
              <w:rPr>
                <w:rFonts w:ascii="Calibri" w:hAnsi="Calibri" w:cs="Calibri"/>
                <w:sz w:val="16"/>
                <w:szCs w:val="16"/>
              </w:rPr>
            </w:pPr>
            <w:r w:rsidRPr="00F70B70">
              <w:rPr>
                <w:rFonts w:ascii="Calibri" w:hAnsi="Calibri" w:cs="Calibri"/>
                <w:sz w:val="16"/>
                <w:szCs w:val="16"/>
              </w:rPr>
              <w:t>43/2022</w:t>
            </w:r>
          </w:p>
        </w:tc>
        <w:tc>
          <w:tcPr>
            <w:tcW w:w="10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0B70" w:rsidRPr="00F70B70" w:rsidRDefault="00F70B70">
            <w:pPr>
              <w:jc w:val="center"/>
              <w:rPr>
                <w:rFonts w:ascii="Calibri" w:hAnsi="Calibri" w:cs="Calibri"/>
                <w:sz w:val="16"/>
                <w:szCs w:val="16"/>
              </w:rPr>
            </w:pPr>
            <w:r w:rsidRPr="00F70B70">
              <w:rPr>
                <w:rFonts w:ascii="Calibri" w:hAnsi="Calibri" w:cs="Calibri"/>
                <w:sz w:val="16"/>
                <w:szCs w:val="16"/>
              </w:rPr>
              <w:t>02.08.2022</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F70B70" w:rsidRPr="00F70B70" w:rsidRDefault="00F70B70">
            <w:pPr>
              <w:rPr>
                <w:rFonts w:ascii="Calibri" w:hAnsi="Calibri" w:cs="Calibri"/>
                <w:sz w:val="17"/>
                <w:szCs w:val="17"/>
              </w:rPr>
            </w:pPr>
            <w:r w:rsidRPr="00F70B70">
              <w:rPr>
                <w:rFonts w:ascii="Calibri" w:hAnsi="Calibri" w:cs="Calibri"/>
                <w:sz w:val="17"/>
                <w:szCs w:val="17"/>
              </w:rPr>
              <w:t>ÚZ 14004 - Účelová neinvestiční dotace z Ministerstva vnitra ČR na výdaje jednotek sborů dobrovolných hasičů - na zabezpečení akceschopnosti jednotky SDH kategorie JPO II.</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12</w:t>
            </w:r>
          </w:p>
        </w:tc>
        <w:tc>
          <w:tcPr>
            <w:tcW w:w="1134"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150 000,00</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12</w:t>
            </w:r>
          </w:p>
        </w:tc>
        <w:tc>
          <w:tcPr>
            <w:tcW w:w="1180"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150 000,00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 </w:t>
            </w:r>
          </w:p>
        </w:tc>
      </w:tr>
      <w:tr w:rsidR="00F70B70" w:rsidTr="00F70B70">
        <w:trPr>
          <w:trHeight w:val="504"/>
        </w:trPr>
        <w:tc>
          <w:tcPr>
            <w:tcW w:w="689" w:type="dxa"/>
            <w:vMerge/>
            <w:tcBorders>
              <w:top w:val="nil"/>
              <w:left w:val="single" w:sz="4" w:space="0" w:color="auto"/>
              <w:bottom w:val="single" w:sz="4" w:space="0" w:color="000000"/>
              <w:right w:val="single" w:sz="4" w:space="0" w:color="auto"/>
            </w:tcBorders>
            <w:vAlign w:val="center"/>
            <w:hideMark/>
          </w:tcPr>
          <w:p w:rsidR="00F70B70" w:rsidRPr="00F70B70" w:rsidRDefault="00F70B70">
            <w:pPr>
              <w:rPr>
                <w:rFonts w:ascii="Calibri" w:hAnsi="Calibri" w:cs="Calibri"/>
                <w:sz w:val="16"/>
                <w:szCs w:val="16"/>
              </w:rPr>
            </w:pPr>
          </w:p>
        </w:tc>
        <w:tc>
          <w:tcPr>
            <w:tcW w:w="1007" w:type="dxa"/>
            <w:vMerge/>
            <w:tcBorders>
              <w:top w:val="nil"/>
              <w:left w:val="single" w:sz="4" w:space="0" w:color="auto"/>
              <w:bottom w:val="single" w:sz="4" w:space="0" w:color="000000"/>
              <w:right w:val="single" w:sz="4" w:space="0" w:color="auto"/>
            </w:tcBorders>
            <w:vAlign w:val="center"/>
            <w:hideMark/>
          </w:tcPr>
          <w:p w:rsidR="00F70B70" w:rsidRPr="00F70B70" w:rsidRDefault="00F70B70">
            <w:pPr>
              <w:rPr>
                <w:rFonts w:ascii="Calibri" w:hAnsi="Calibri" w:cs="Calibri"/>
                <w:sz w:val="16"/>
                <w:szCs w:val="16"/>
              </w:rPr>
            </w:pPr>
          </w:p>
        </w:tc>
        <w:tc>
          <w:tcPr>
            <w:tcW w:w="3544" w:type="dxa"/>
            <w:vMerge/>
            <w:tcBorders>
              <w:top w:val="nil"/>
              <w:left w:val="single" w:sz="4" w:space="0" w:color="auto"/>
              <w:bottom w:val="single" w:sz="4" w:space="0" w:color="000000"/>
              <w:right w:val="single" w:sz="4" w:space="0" w:color="auto"/>
            </w:tcBorders>
            <w:vAlign w:val="center"/>
            <w:hideMark/>
          </w:tcPr>
          <w:p w:rsidR="00F70B70" w:rsidRPr="00F70B70" w:rsidRDefault="00F70B70">
            <w:pPr>
              <w:rPr>
                <w:rFonts w:ascii="Calibri" w:hAnsi="Calibri" w:cs="Calibri"/>
                <w:sz w:val="17"/>
                <w:szCs w:val="17"/>
              </w:rPr>
            </w:pPr>
          </w:p>
        </w:tc>
        <w:tc>
          <w:tcPr>
            <w:tcW w:w="709"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rPr>
                <w:rFonts w:ascii="Calibri" w:hAnsi="Calibri" w:cs="Calibri"/>
                <w:b/>
                <w:bCs/>
                <w:sz w:val="17"/>
                <w:szCs w:val="17"/>
              </w:rPr>
            </w:pPr>
            <w:r w:rsidRPr="00F70B70">
              <w:rPr>
                <w:rFonts w:ascii="Calibri" w:hAnsi="Calibri" w:cs="Calibri"/>
                <w:b/>
                <w:bCs/>
                <w:sz w:val="17"/>
                <w:szCs w:val="17"/>
              </w:rPr>
              <w:t>Celkem</w:t>
            </w:r>
          </w:p>
        </w:tc>
        <w:tc>
          <w:tcPr>
            <w:tcW w:w="1134"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jc w:val="right"/>
              <w:rPr>
                <w:rFonts w:ascii="Calibri" w:hAnsi="Calibri" w:cs="Calibri"/>
                <w:b/>
                <w:bCs/>
                <w:sz w:val="17"/>
                <w:szCs w:val="17"/>
              </w:rPr>
            </w:pPr>
            <w:r w:rsidRPr="00F70B70">
              <w:rPr>
                <w:rFonts w:ascii="Calibri" w:hAnsi="Calibri" w:cs="Calibri"/>
                <w:b/>
                <w:bCs/>
                <w:sz w:val="17"/>
                <w:szCs w:val="17"/>
              </w:rPr>
              <w:t>150 000,00</w:t>
            </w:r>
          </w:p>
        </w:tc>
        <w:tc>
          <w:tcPr>
            <w:tcW w:w="709"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rPr>
                <w:rFonts w:ascii="Calibri" w:hAnsi="Calibri" w:cs="Calibri"/>
                <w:b/>
                <w:bCs/>
                <w:sz w:val="17"/>
                <w:szCs w:val="17"/>
              </w:rPr>
            </w:pPr>
            <w:r w:rsidRPr="00F70B70">
              <w:rPr>
                <w:rFonts w:ascii="Calibri" w:hAnsi="Calibri" w:cs="Calibri"/>
                <w:b/>
                <w:bCs/>
                <w:sz w:val="17"/>
                <w:szCs w:val="17"/>
              </w:rPr>
              <w:t>Celkem</w:t>
            </w:r>
          </w:p>
        </w:tc>
        <w:tc>
          <w:tcPr>
            <w:tcW w:w="1180"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jc w:val="right"/>
              <w:rPr>
                <w:rFonts w:ascii="Calibri" w:hAnsi="Calibri" w:cs="Calibri"/>
                <w:b/>
                <w:bCs/>
                <w:sz w:val="17"/>
                <w:szCs w:val="17"/>
              </w:rPr>
            </w:pPr>
            <w:r w:rsidRPr="00F70B70">
              <w:rPr>
                <w:rFonts w:ascii="Calibri" w:hAnsi="Calibri" w:cs="Calibri"/>
                <w:b/>
                <w:bCs/>
                <w:sz w:val="17"/>
                <w:szCs w:val="17"/>
              </w:rPr>
              <w:t>150 000,00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 </w:t>
            </w:r>
          </w:p>
        </w:tc>
      </w:tr>
      <w:tr w:rsidR="00F70B70" w:rsidTr="00F70B70">
        <w:trPr>
          <w:trHeight w:val="327"/>
        </w:trPr>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6"/>
                <w:szCs w:val="16"/>
              </w:rPr>
            </w:pPr>
            <w:r w:rsidRPr="00F70B70">
              <w:rPr>
                <w:rFonts w:ascii="Calibri" w:hAnsi="Calibri" w:cs="Calibri"/>
                <w:sz w:val="16"/>
                <w:szCs w:val="16"/>
              </w:rPr>
              <w:t>45/2022</w:t>
            </w:r>
          </w:p>
        </w:tc>
        <w:tc>
          <w:tcPr>
            <w:tcW w:w="10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6"/>
                <w:szCs w:val="16"/>
              </w:rPr>
            </w:pPr>
            <w:r w:rsidRPr="00F70B70">
              <w:rPr>
                <w:rFonts w:ascii="Calibri" w:hAnsi="Calibri" w:cs="Calibri"/>
                <w:sz w:val="16"/>
                <w:szCs w:val="16"/>
              </w:rPr>
              <w:t>08.08.2022</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F70B70" w:rsidRPr="00F70B70" w:rsidRDefault="00F70B70">
            <w:pPr>
              <w:rPr>
                <w:rFonts w:ascii="Calibri" w:hAnsi="Calibri" w:cs="Calibri"/>
                <w:sz w:val="17"/>
                <w:szCs w:val="17"/>
              </w:rPr>
            </w:pPr>
            <w:r w:rsidRPr="00F70B70">
              <w:rPr>
                <w:rFonts w:ascii="Calibri" w:hAnsi="Calibri" w:cs="Calibri"/>
                <w:sz w:val="17"/>
                <w:szCs w:val="17"/>
              </w:rPr>
              <w:t>ÚZ 13010 - Příspěvek na výkon pěstounské péče - prostředky na ú</w:t>
            </w:r>
            <w:r>
              <w:rPr>
                <w:rFonts w:ascii="Calibri" w:hAnsi="Calibri" w:cs="Calibri"/>
                <w:sz w:val="17"/>
                <w:szCs w:val="17"/>
              </w:rPr>
              <w:t>hradu mzdových nákladů od 1. 4. </w:t>
            </w:r>
            <w:r w:rsidRPr="00F70B70">
              <w:rPr>
                <w:rFonts w:ascii="Calibri" w:hAnsi="Calibri" w:cs="Calibri"/>
                <w:sz w:val="17"/>
                <w:szCs w:val="17"/>
              </w:rPr>
              <w:t>2022 do 30. 6. 2022 (rozdělení příspěvku na jednotlivé položky)</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21</w:t>
            </w:r>
          </w:p>
        </w:tc>
        <w:tc>
          <w:tcPr>
            <w:tcW w:w="1134"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rsidP="001C0634">
            <w:pPr>
              <w:jc w:val="right"/>
              <w:rPr>
                <w:rFonts w:ascii="Calibri" w:hAnsi="Calibri" w:cs="Calibri"/>
                <w:sz w:val="17"/>
                <w:szCs w:val="17"/>
              </w:rPr>
            </w:pPr>
            <w:r w:rsidRPr="00F70B70">
              <w:rPr>
                <w:rFonts w:ascii="Calibri" w:hAnsi="Calibri" w:cs="Calibri"/>
                <w:sz w:val="17"/>
                <w:szCs w:val="17"/>
              </w:rPr>
              <w:t> </w:t>
            </w:r>
            <w:r w:rsidR="001C0634">
              <w:rPr>
                <w:rFonts w:ascii="Calibri" w:hAnsi="Calibri" w:cs="Calibri"/>
                <w:sz w:val="17"/>
                <w:szCs w:val="17"/>
              </w:rPr>
              <w:t>0,00</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21</w:t>
            </w:r>
          </w:p>
        </w:tc>
        <w:tc>
          <w:tcPr>
            <w:tcW w:w="1180"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-126 517,00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 </w:t>
            </w:r>
          </w:p>
        </w:tc>
      </w:tr>
      <w:tr w:rsidR="00F70B70" w:rsidTr="00F70B70">
        <w:trPr>
          <w:trHeight w:val="276"/>
        </w:trPr>
        <w:tc>
          <w:tcPr>
            <w:tcW w:w="689"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1007"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3544" w:type="dxa"/>
            <w:vMerge/>
            <w:tcBorders>
              <w:top w:val="nil"/>
              <w:left w:val="single" w:sz="4" w:space="0" w:color="auto"/>
              <w:bottom w:val="single" w:sz="4" w:space="0" w:color="000000"/>
              <w:right w:val="single" w:sz="4" w:space="0" w:color="auto"/>
            </w:tcBorders>
            <w:vAlign w:val="center"/>
            <w:hideMark/>
          </w:tcPr>
          <w:p w:rsidR="00F70B70" w:rsidRPr="00F70B70" w:rsidRDefault="00F70B70">
            <w:pPr>
              <w:rPr>
                <w:rFonts w:ascii="Calibri" w:hAnsi="Calibri" w:cs="Calibri"/>
                <w:sz w:val="17"/>
                <w:szCs w:val="17"/>
              </w:rPr>
            </w:pP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14</w:t>
            </w:r>
          </w:p>
        </w:tc>
        <w:tc>
          <w:tcPr>
            <w:tcW w:w="1134"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rsidP="001C0634">
            <w:pPr>
              <w:jc w:val="right"/>
              <w:rPr>
                <w:rFonts w:ascii="Calibri" w:hAnsi="Calibri" w:cs="Calibri"/>
                <w:sz w:val="17"/>
                <w:szCs w:val="17"/>
              </w:rPr>
            </w:pPr>
            <w:r w:rsidRPr="00F70B70">
              <w:rPr>
                <w:rFonts w:ascii="Calibri" w:hAnsi="Calibri" w:cs="Calibri"/>
                <w:sz w:val="17"/>
                <w:szCs w:val="17"/>
              </w:rPr>
              <w:t> </w:t>
            </w:r>
            <w:r w:rsidR="001C0634">
              <w:rPr>
                <w:rFonts w:ascii="Calibri" w:hAnsi="Calibri" w:cs="Calibri"/>
                <w:sz w:val="17"/>
                <w:szCs w:val="17"/>
              </w:rPr>
              <w:t>0,00</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14</w:t>
            </w:r>
          </w:p>
        </w:tc>
        <w:tc>
          <w:tcPr>
            <w:tcW w:w="1180"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126 517,00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 </w:t>
            </w:r>
          </w:p>
        </w:tc>
      </w:tr>
      <w:tr w:rsidR="00F70B70" w:rsidTr="00F70B70">
        <w:trPr>
          <w:trHeight w:val="137"/>
        </w:trPr>
        <w:tc>
          <w:tcPr>
            <w:tcW w:w="689"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1007"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3544" w:type="dxa"/>
            <w:vMerge/>
            <w:tcBorders>
              <w:top w:val="nil"/>
              <w:left w:val="single" w:sz="4" w:space="0" w:color="auto"/>
              <w:bottom w:val="single" w:sz="4" w:space="0" w:color="000000"/>
              <w:right w:val="single" w:sz="4" w:space="0" w:color="auto"/>
            </w:tcBorders>
            <w:vAlign w:val="center"/>
            <w:hideMark/>
          </w:tcPr>
          <w:p w:rsidR="00F70B70" w:rsidRPr="00F70B70" w:rsidRDefault="00F70B70">
            <w:pPr>
              <w:rPr>
                <w:rFonts w:ascii="Calibri" w:hAnsi="Calibri" w:cs="Calibri"/>
                <w:sz w:val="17"/>
                <w:szCs w:val="17"/>
              </w:rPr>
            </w:pPr>
          </w:p>
        </w:tc>
        <w:tc>
          <w:tcPr>
            <w:tcW w:w="709"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rPr>
                <w:rFonts w:ascii="Calibri" w:hAnsi="Calibri" w:cs="Calibri"/>
                <w:b/>
                <w:bCs/>
                <w:sz w:val="17"/>
                <w:szCs w:val="17"/>
              </w:rPr>
            </w:pPr>
            <w:r w:rsidRPr="00F70B70">
              <w:rPr>
                <w:rFonts w:ascii="Calibri" w:hAnsi="Calibri" w:cs="Calibri"/>
                <w:b/>
                <w:bCs/>
                <w:sz w:val="17"/>
                <w:szCs w:val="17"/>
              </w:rPr>
              <w:t>Celkem</w:t>
            </w:r>
          </w:p>
        </w:tc>
        <w:tc>
          <w:tcPr>
            <w:tcW w:w="1134"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jc w:val="right"/>
              <w:rPr>
                <w:rFonts w:ascii="Calibri" w:hAnsi="Calibri" w:cs="Calibri"/>
                <w:b/>
                <w:bCs/>
                <w:sz w:val="17"/>
                <w:szCs w:val="17"/>
              </w:rPr>
            </w:pPr>
            <w:r w:rsidRPr="00F70B70">
              <w:rPr>
                <w:rFonts w:ascii="Calibri" w:hAnsi="Calibri" w:cs="Calibri"/>
                <w:b/>
                <w:bCs/>
                <w:sz w:val="17"/>
                <w:szCs w:val="17"/>
              </w:rPr>
              <w:t>0,00</w:t>
            </w:r>
          </w:p>
        </w:tc>
        <w:tc>
          <w:tcPr>
            <w:tcW w:w="709"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rPr>
                <w:rFonts w:ascii="Calibri" w:hAnsi="Calibri" w:cs="Calibri"/>
                <w:b/>
                <w:bCs/>
                <w:sz w:val="17"/>
                <w:szCs w:val="17"/>
              </w:rPr>
            </w:pPr>
            <w:r w:rsidRPr="00F70B70">
              <w:rPr>
                <w:rFonts w:ascii="Calibri" w:hAnsi="Calibri" w:cs="Calibri"/>
                <w:b/>
                <w:bCs/>
                <w:sz w:val="17"/>
                <w:szCs w:val="17"/>
              </w:rPr>
              <w:t>Celkem</w:t>
            </w:r>
          </w:p>
        </w:tc>
        <w:tc>
          <w:tcPr>
            <w:tcW w:w="1180"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jc w:val="right"/>
              <w:rPr>
                <w:rFonts w:ascii="Calibri" w:hAnsi="Calibri" w:cs="Calibri"/>
                <w:b/>
                <w:bCs/>
                <w:sz w:val="17"/>
                <w:szCs w:val="17"/>
              </w:rPr>
            </w:pPr>
            <w:r w:rsidRPr="00F70B70">
              <w:rPr>
                <w:rFonts w:ascii="Calibri" w:hAnsi="Calibri" w:cs="Calibri"/>
                <w:b/>
                <w:bCs/>
                <w:sz w:val="17"/>
                <w:szCs w:val="17"/>
              </w:rPr>
              <w:t>0,00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 </w:t>
            </w:r>
          </w:p>
        </w:tc>
      </w:tr>
      <w:tr w:rsidR="00F70B70" w:rsidTr="00F70B70">
        <w:trPr>
          <w:trHeight w:val="397"/>
        </w:trPr>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6"/>
                <w:szCs w:val="16"/>
              </w:rPr>
            </w:pPr>
            <w:r w:rsidRPr="00F70B70">
              <w:rPr>
                <w:rFonts w:ascii="Calibri" w:hAnsi="Calibri" w:cs="Calibri"/>
                <w:sz w:val="16"/>
                <w:szCs w:val="16"/>
              </w:rPr>
              <w:t>46/2022</w:t>
            </w:r>
          </w:p>
        </w:tc>
        <w:tc>
          <w:tcPr>
            <w:tcW w:w="10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6"/>
                <w:szCs w:val="16"/>
              </w:rPr>
            </w:pPr>
            <w:r w:rsidRPr="00F70B70">
              <w:rPr>
                <w:rFonts w:ascii="Calibri" w:hAnsi="Calibri" w:cs="Calibri"/>
                <w:sz w:val="16"/>
                <w:szCs w:val="16"/>
              </w:rPr>
              <w:t>09.08.2022</w:t>
            </w:r>
          </w:p>
        </w:tc>
        <w:tc>
          <w:tcPr>
            <w:tcW w:w="3544" w:type="dxa"/>
            <w:vMerge w:val="restart"/>
            <w:tcBorders>
              <w:top w:val="nil"/>
              <w:left w:val="single" w:sz="4" w:space="0" w:color="auto"/>
              <w:bottom w:val="single" w:sz="4" w:space="0" w:color="auto"/>
              <w:right w:val="single" w:sz="4" w:space="0" w:color="auto"/>
            </w:tcBorders>
            <w:shd w:val="clear" w:color="auto" w:fill="auto"/>
            <w:vAlign w:val="center"/>
            <w:hideMark/>
          </w:tcPr>
          <w:p w:rsidR="00F70B70" w:rsidRPr="00F70B70" w:rsidRDefault="00F70B70">
            <w:pPr>
              <w:rPr>
                <w:rFonts w:ascii="Calibri" w:hAnsi="Calibri" w:cs="Calibri"/>
                <w:sz w:val="17"/>
                <w:szCs w:val="17"/>
              </w:rPr>
            </w:pPr>
            <w:r w:rsidRPr="00F70B70">
              <w:rPr>
                <w:rFonts w:ascii="Calibri" w:hAnsi="Calibri" w:cs="Calibri"/>
                <w:sz w:val="17"/>
                <w:szCs w:val="17"/>
              </w:rPr>
              <w:t>ÚZ 14032 - Účelová neinvestiční dotace z Ministerstva vnitra ČR na Forenzní značení jízdních kol a invalidních vozíků syntetickou DNA - VI. etapa</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13</w:t>
            </w:r>
          </w:p>
        </w:tc>
        <w:tc>
          <w:tcPr>
            <w:tcW w:w="1134"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18 080,00</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13</w:t>
            </w:r>
          </w:p>
        </w:tc>
        <w:tc>
          <w:tcPr>
            <w:tcW w:w="1180"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18 080,00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 </w:t>
            </w:r>
          </w:p>
        </w:tc>
      </w:tr>
      <w:tr w:rsidR="00F70B70" w:rsidTr="00F70B70">
        <w:trPr>
          <w:trHeight w:val="276"/>
        </w:trPr>
        <w:tc>
          <w:tcPr>
            <w:tcW w:w="689"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1007"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3544"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7"/>
                <w:szCs w:val="17"/>
              </w:rPr>
            </w:pPr>
          </w:p>
        </w:tc>
        <w:tc>
          <w:tcPr>
            <w:tcW w:w="709"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rPr>
                <w:rFonts w:ascii="Calibri" w:hAnsi="Calibri" w:cs="Calibri"/>
                <w:b/>
                <w:bCs/>
                <w:sz w:val="17"/>
                <w:szCs w:val="17"/>
              </w:rPr>
            </w:pPr>
            <w:r w:rsidRPr="00F70B70">
              <w:rPr>
                <w:rFonts w:ascii="Calibri" w:hAnsi="Calibri" w:cs="Calibri"/>
                <w:b/>
                <w:bCs/>
                <w:sz w:val="17"/>
                <w:szCs w:val="17"/>
              </w:rPr>
              <w:t>Celkem</w:t>
            </w:r>
          </w:p>
        </w:tc>
        <w:tc>
          <w:tcPr>
            <w:tcW w:w="1134"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jc w:val="right"/>
              <w:rPr>
                <w:rFonts w:ascii="Calibri" w:hAnsi="Calibri" w:cs="Calibri"/>
                <w:b/>
                <w:bCs/>
                <w:sz w:val="17"/>
                <w:szCs w:val="17"/>
              </w:rPr>
            </w:pPr>
            <w:r w:rsidRPr="00F70B70">
              <w:rPr>
                <w:rFonts w:ascii="Calibri" w:hAnsi="Calibri" w:cs="Calibri"/>
                <w:b/>
                <w:bCs/>
                <w:sz w:val="17"/>
                <w:szCs w:val="17"/>
              </w:rPr>
              <w:t>18 080,00</w:t>
            </w:r>
          </w:p>
        </w:tc>
        <w:tc>
          <w:tcPr>
            <w:tcW w:w="709"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rPr>
                <w:rFonts w:ascii="Calibri" w:hAnsi="Calibri" w:cs="Calibri"/>
                <w:b/>
                <w:bCs/>
                <w:sz w:val="17"/>
                <w:szCs w:val="17"/>
              </w:rPr>
            </w:pPr>
            <w:r w:rsidRPr="00F70B70">
              <w:rPr>
                <w:rFonts w:ascii="Calibri" w:hAnsi="Calibri" w:cs="Calibri"/>
                <w:b/>
                <w:bCs/>
                <w:sz w:val="17"/>
                <w:szCs w:val="17"/>
              </w:rPr>
              <w:t>Celkem</w:t>
            </w:r>
          </w:p>
        </w:tc>
        <w:tc>
          <w:tcPr>
            <w:tcW w:w="1180"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jc w:val="right"/>
              <w:rPr>
                <w:rFonts w:ascii="Calibri" w:hAnsi="Calibri" w:cs="Calibri"/>
                <w:b/>
                <w:bCs/>
                <w:sz w:val="17"/>
                <w:szCs w:val="17"/>
              </w:rPr>
            </w:pPr>
            <w:r w:rsidRPr="00F70B70">
              <w:rPr>
                <w:rFonts w:ascii="Calibri" w:hAnsi="Calibri" w:cs="Calibri"/>
                <w:b/>
                <w:bCs/>
                <w:sz w:val="17"/>
                <w:szCs w:val="17"/>
              </w:rPr>
              <w:t>18 080,00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 </w:t>
            </w:r>
          </w:p>
        </w:tc>
      </w:tr>
      <w:tr w:rsidR="00F70B70" w:rsidTr="00F70B70">
        <w:trPr>
          <w:trHeight w:val="651"/>
        </w:trPr>
        <w:tc>
          <w:tcPr>
            <w:tcW w:w="6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0B70" w:rsidRPr="00F70B70" w:rsidRDefault="00F70B70">
            <w:pPr>
              <w:jc w:val="center"/>
              <w:rPr>
                <w:rFonts w:ascii="Calibri" w:hAnsi="Calibri" w:cs="Calibri"/>
                <w:sz w:val="16"/>
                <w:szCs w:val="16"/>
              </w:rPr>
            </w:pPr>
            <w:r w:rsidRPr="00F70B70">
              <w:rPr>
                <w:rFonts w:ascii="Calibri" w:hAnsi="Calibri" w:cs="Calibri"/>
                <w:sz w:val="16"/>
                <w:szCs w:val="16"/>
              </w:rPr>
              <w:t>48/2022</w:t>
            </w:r>
          </w:p>
        </w:tc>
        <w:tc>
          <w:tcPr>
            <w:tcW w:w="10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0B70" w:rsidRPr="00F70B70" w:rsidRDefault="00F70B70">
            <w:pPr>
              <w:jc w:val="center"/>
              <w:rPr>
                <w:rFonts w:ascii="Calibri" w:hAnsi="Calibri" w:cs="Calibri"/>
                <w:sz w:val="16"/>
                <w:szCs w:val="16"/>
              </w:rPr>
            </w:pPr>
            <w:r w:rsidRPr="00F70B70">
              <w:rPr>
                <w:rFonts w:ascii="Calibri" w:hAnsi="Calibri" w:cs="Calibri"/>
                <w:sz w:val="16"/>
                <w:szCs w:val="16"/>
              </w:rPr>
              <w:t>31.08.2022</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F70B70" w:rsidRPr="00F70B70" w:rsidRDefault="00F70B70">
            <w:pPr>
              <w:rPr>
                <w:rFonts w:ascii="Calibri" w:hAnsi="Calibri" w:cs="Calibri"/>
                <w:sz w:val="17"/>
                <w:szCs w:val="17"/>
              </w:rPr>
            </w:pPr>
            <w:r w:rsidRPr="00F70B70">
              <w:rPr>
                <w:rFonts w:ascii="Calibri" w:hAnsi="Calibri" w:cs="Calibri"/>
                <w:sz w:val="17"/>
                <w:szCs w:val="17"/>
              </w:rPr>
              <w:t>ÚZ 33166, 117 - Účelová neinvestiční dotace z rozpočtu Olomouckého kraje pro Sportcentrum DDM PV na zajištění organizace soutěží a přehlídek na úrovni okresních a krajských kol v rámci projektu Realizace okresních a krajských kol soutěží a přehlídek v Olomouckém kraji</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20</w:t>
            </w:r>
          </w:p>
        </w:tc>
        <w:tc>
          <w:tcPr>
            <w:tcW w:w="1134"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502 400,00</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20</w:t>
            </w:r>
          </w:p>
        </w:tc>
        <w:tc>
          <w:tcPr>
            <w:tcW w:w="1180"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502 400,00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 </w:t>
            </w:r>
          </w:p>
        </w:tc>
      </w:tr>
      <w:tr w:rsidR="00F70B70" w:rsidTr="00F70B70">
        <w:trPr>
          <w:trHeight w:val="648"/>
        </w:trPr>
        <w:tc>
          <w:tcPr>
            <w:tcW w:w="689" w:type="dxa"/>
            <w:vMerge/>
            <w:tcBorders>
              <w:top w:val="nil"/>
              <w:left w:val="single" w:sz="4" w:space="0" w:color="auto"/>
              <w:bottom w:val="single" w:sz="4" w:space="0" w:color="000000"/>
              <w:right w:val="single" w:sz="4" w:space="0" w:color="auto"/>
            </w:tcBorders>
            <w:vAlign w:val="center"/>
            <w:hideMark/>
          </w:tcPr>
          <w:p w:rsidR="00F70B70" w:rsidRPr="00F70B70" w:rsidRDefault="00F70B70">
            <w:pPr>
              <w:rPr>
                <w:rFonts w:ascii="Calibri" w:hAnsi="Calibri" w:cs="Calibri"/>
                <w:sz w:val="16"/>
                <w:szCs w:val="16"/>
              </w:rPr>
            </w:pPr>
          </w:p>
        </w:tc>
        <w:tc>
          <w:tcPr>
            <w:tcW w:w="1007" w:type="dxa"/>
            <w:vMerge/>
            <w:tcBorders>
              <w:top w:val="nil"/>
              <w:left w:val="single" w:sz="4" w:space="0" w:color="auto"/>
              <w:bottom w:val="single" w:sz="4" w:space="0" w:color="000000"/>
              <w:right w:val="single" w:sz="4" w:space="0" w:color="auto"/>
            </w:tcBorders>
            <w:vAlign w:val="center"/>
            <w:hideMark/>
          </w:tcPr>
          <w:p w:rsidR="00F70B70" w:rsidRPr="00F70B70" w:rsidRDefault="00F70B70">
            <w:pPr>
              <w:rPr>
                <w:rFonts w:ascii="Calibri" w:hAnsi="Calibri" w:cs="Calibri"/>
                <w:sz w:val="16"/>
                <w:szCs w:val="16"/>
              </w:rPr>
            </w:pPr>
          </w:p>
        </w:tc>
        <w:tc>
          <w:tcPr>
            <w:tcW w:w="3544" w:type="dxa"/>
            <w:vMerge/>
            <w:tcBorders>
              <w:top w:val="nil"/>
              <w:left w:val="single" w:sz="4" w:space="0" w:color="auto"/>
              <w:bottom w:val="single" w:sz="4" w:space="0" w:color="000000"/>
              <w:right w:val="single" w:sz="4" w:space="0" w:color="auto"/>
            </w:tcBorders>
            <w:vAlign w:val="center"/>
            <w:hideMark/>
          </w:tcPr>
          <w:p w:rsidR="00F70B70" w:rsidRPr="00F70B70" w:rsidRDefault="00F70B70">
            <w:pPr>
              <w:rPr>
                <w:rFonts w:ascii="Calibri" w:hAnsi="Calibri" w:cs="Calibri"/>
                <w:sz w:val="17"/>
                <w:szCs w:val="17"/>
              </w:rPr>
            </w:pPr>
          </w:p>
        </w:tc>
        <w:tc>
          <w:tcPr>
            <w:tcW w:w="709"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rPr>
                <w:rFonts w:ascii="Calibri" w:hAnsi="Calibri" w:cs="Calibri"/>
                <w:b/>
                <w:bCs/>
                <w:sz w:val="17"/>
                <w:szCs w:val="17"/>
              </w:rPr>
            </w:pPr>
            <w:r w:rsidRPr="00F70B70">
              <w:rPr>
                <w:rFonts w:ascii="Calibri" w:hAnsi="Calibri" w:cs="Calibri"/>
                <w:b/>
                <w:bCs/>
                <w:sz w:val="17"/>
                <w:szCs w:val="17"/>
              </w:rPr>
              <w:t>Celkem</w:t>
            </w:r>
          </w:p>
        </w:tc>
        <w:tc>
          <w:tcPr>
            <w:tcW w:w="1134"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jc w:val="right"/>
              <w:rPr>
                <w:rFonts w:ascii="Calibri" w:hAnsi="Calibri" w:cs="Calibri"/>
                <w:b/>
                <w:bCs/>
                <w:sz w:val="17"/>
                <w:szCs w:val="17"/>
              </w:rPr>
            </w:pPr>
            <w:r w:rsidRPr="00F70B70">
              <w:rPr>
                <w:rFonts w:ascii="Calibri" w:hAnsi="Calibri" w:cs="Calibri"/>
                <w:b/>
                <w:bCs/>
                <w:sz w:val="17"/>
                <w:szCs w:val="17"/>
              </w:rPr>
              <w:t>502 400,00</w:t>
            </w:r>
          </w:p>
        </w:tc>
        <w:tc>
          <w:tcPr>
            <w:tcW w:w="709"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rPr>
                <w:rFonts w:ascii="Calibri" w:hAnsi="Calibri" w:cs="Calibri"/>
                <w:b/>
                <w:bCs/>
                <w:sz w:val="17"/>
                <w:szCs w:val="17"/>
              </w:rPr>
            </w:pPr>
            <w:r w:rsidRPr="00F70B70">
              <w:rPr>
                <w:rFonts w:ascii="Calibri" w:hAnsi="Calibri" w:cs="Calibri"/>
                <w:b/>
                <w:bCs/>
                <w:sz w:val="17"/>
                <w:szCs w:val="17"/>
              </w:rPr>
              <w:t>Celkem</w:t>
            </w:r>
          </w:p>
        </w:tc>
        <w:tc>
          <w:tcPr>
            <w:tcW w:w="1180"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jc w:val="right"/>
              <w:rPr>
                <w:rFonts w:ascii="Calibri" w:hAnsi="Calibri" w:cs="Calibri"/>
                <w:b/>
                <w:bCs/>
                <w:sz w:val="17"/>
                <w:szCs w:val="17"/>
              </w:rPr>
            </w:pPr>
            <w:r w:rsidRPr="00F70B70">
              <w:rPr>
                <w:rFonts w:ascii="Calibri" w:hAnsi="Calibri" w:cs="Calibri"/>
                <w:b/>
                <w:bCs/>
                <w:sz w:val="17"/>
                <w:szCs w:val="17"/>
              </w:rPr>
              <w:t>502 400,00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 </w:t>
            </w:r>
          </w:p>
        </w:tc>
      </w:tr>
      <w:tr w:rsidR="00F70B70" w:rsidTr="00F70B70">
        <w:trPr>
          <w:trHeight w:val="504"/>
        </w:trPr>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6"/>
                <w:szCs w:val="16"/>
              </w:rPr>
            </w:pPr>
            <w:r w:rsidRPr="00F70B70">
              <w:rPr>
                <w:rFonts w:ascii="Calibri" w:hAnsi="Calibri" w:cs="Calibri"/>
                <w:sz w:val="16"/>
                <w:szCs w:val="16"/>
              </w:rPr>
              <w:t>49/2022</w:t>
            </w:r>
          </w:p>
        </w:tc>
        <w:tc>
          <w:tcPr>
            <w:tcW w:w="10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6"/>
                <w:szCs w:val="16"/>
              </w:rPr>
            </w:pPr>
            <w:r w:rsidRPr="00F70B70">
              <w:rPr>
                <w:rFonts w:ascii="Calibri" w:hAnsi="Calibri" w:cs="Calibri"/>
                <w:sz w:val="16"/>
                <w:szCs w:val="16"/>
              </w:rPr>
              <w:t>31.08.2022</w:t>
            </w:r>
          </w:p>
        </w:tc>
        <w:tc>
          <w:tcPr>
            <w:tcW w:w="3544" w:type="dxa"/>
            <w:vMerge w:val="restart"/>
            <w:tcBorders>
              <w:top w:val="nil"/>
              <w:left w:val="single" w:sz="4" w:space="0" w:color="auto"/>
              <w:bottom w:val="single" w:sz="4" w:space="0" w:color="auto"/>
              <w:right w:val="single" w:sz="4" w:space="0" w:color="auto"/>
            </w:tcBorders>
            <w:shd w:val="clear" w:color="auto" w:fill="auto"/>
            <w:vAlign w:val="center"/>
            <w:hideMark/>
          </w:tcPr>
          <w:p w:rsidR="00F70B70" w:rsidRPr="00F70B70" w:rsidRDefault="00F70B70">
            <w:pPr>
              <w:rPr>
                <w:rFonts w:ascii="Calibri" w:hAnsi="Calibri" w:cs="Calibri"/>
                <w:sz w:val="17"/>
                <w:szCs w:val="17"/>
              </w:rPr>
            </w:pPr>
            <w:r w:rsidRPr="00F70B70">
              <w:rPr>
                <w:rFonts w:ascii="Calibri" w:hAnsi="Calibri" w:cs="Calibri"/>
                <w:sz w:val="17"/>
                <w:szCs w:val="17"/>
              </w:rPr>
              <w:t>ÚZ 13024 - Příspěvek na úhradu mzdových nákladů a ostatních nákladů vzniklých v</w:t>
            </w:r>
            <w:r w:rsidR="00410111">
              <w:rPr>
                <w:rFonts w:ascii="Calibri" w:hAnsi="Calibri" w:cs="Calibri"/>
                <w:sz w:val="17"/>
                <w:szCs w:val="17"/>
              </w:rPr>
              <w:t xml:space="preserve"> souvislosti s výkonem sociálně-</w:t>
            </w:r>
            <w:r w:rsidRPr="00F70B70">
              <w:rPr>
                <w:rFonts w:ascii="Calibri" w:hAnsi="Calibri" w:cs="Calibri"/>
                <w:sz w:val="17"/>
                <w:szCs w:val="17"/>
              </w:rPr>
              <w:t>právní ochrany dětí na rok 2022 - rozdělení příspěvku na jednotlivé položky</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21</w:t>
            </w:r>
          </w:p>
        </w:tc>
        <w:tc>
          <w:tcPr>
            <w:tcW w:w="1134"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3 750 851,00</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14</w:t>
            </w:r>
          </w:p>
        </w:tc>
        <w:tc>
          <w:tcPr>
            <w:tcW w:w="1180"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3 750 851,00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 </w:t>
            </w:r>
          </w:p>
        </w:tc>
      </w:tr>
      <w:tr w:rsidR="00F70B70" w:rsidTr="00F70B70">
        <w:trPr>
          <w:trHeight w:val="456"/>
        </w:trPr>
        <w:tc>
          <w:tcPr>
            <w:tcW w:w="689"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1007"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3544"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7"/>
                <w:szCs w:val="17"/>
              </w:rPr>
            </w:pPr>
          </w:p>
        </w:tc>
        <w:tc>
          <w:tcPr>
            <w:tcW w:w="709"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rPr>
                <w:rFonts w:ascii="Calibri" w:hAnsi="Calibri" w:cs="Calibri"/>
                <w:b/>
                <w:bCs/>
                <w:sz w:val="17"/>
                <w:szCs w:val="17"/>
              </w:rPr>
            </w:pPr>
            <w:r w:rsidRPr="00F70B70">
              <w:rPr>
                <w:rFonts w:ascii="Calibri" w:hAnsi="Calibri" w:cs="Calibri"/>
                <w:b/>
                <w:bCs/>
                <w:sz w:val="17"/>
                <w:szCs w:val="17"/>
              </w:rPr>
              <w:t>Celkem</w:t>
            </w:r>
          </w:p>
        </w:tc>
        <w:tc>
          <w:tcPr>
            <w:tcW w:w="1134"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jc w:val="right"/>
              <w:rPr>
                <w:rFonts w:ascii="Calibri" w:hAnsi="Calibri" w:cs="Calibri"/>
                <w:b/>
                <w:bCs/>
                <w:sz w:val="17"/>
                <w:szCs w:val="17"/>
              </w:rPr>
            </w:pPr>
            <w:r w:rsidRPr="00F70B70">
              <w:rPr>
                <w:rFonts w:ascii="Calibri" w:hAnsi="Calibri" w:cs="Calibri"/>
                <w:b/>
                <w:bCs/>
                <w:sz w:val="17"/>
                <w:szCs w:val="17"/>
              </w:rPr>
              <w:t>3 750 851,00</w:t>
            </w:r>
          </w:p>
        </w:tc>
        <w:tc>
          <w:tcPr>
            <w:tcW w:w="709"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rPr>
                <w:rFonts w:ascii="Calibri" w:hAnsi="Calibri" w:cs="Calibri"/>
                <w:b/>
                <w:bCs/>
                <w:sz w:val="17"/>
                <w:szCs w:val="17"/>
              </w:rPr>
            </w:pPr>
            <w:r w:rsidRPr="00F70B70">
              <w:rPr>
                <w:rFonts w:ascii="Calibri" w:hAnsi="Calibri" w:cs="Calibri"/>
                <w:b/>
                <w:bCs/>
                <w:sz w:val="17"/>
                <w:szCs w:val="17"/>
              </w:rPr>
              <w:t>Celkem</w:t>
            </w:r>
          </w:p>
        </w:tc>
        <w:tc>
          <w:tcPr>
            <w:tcW w:w="1180"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jc w:val="right"/>
              <w:rPr>
                <w:rFonts w:ascii="Calibri" w:hAnsi="Calibri" w:cs="Calibri"/>
                <w:b/>
                <w:bCs/>
                <w:sz w:val="17"/>
                <w:szCs w:val="17"/>
              </w:rPr>
            </w:pPr>
            <w:r w:rsidRPr="00F70B70">
              <w:rPr>
                <w:rFonts w:ascii="Calibri" w:hAnsi="Calibri" w:cs="Calibri"/>
                <w:b/>
                <w:bCs/>
                <w:sz w:val="17"/>
                <w:szCs w:val="17"/>
              </w:rPr>
              <w:t>3 750 851,00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 </w:t>
            </w:r>
          </w:p>
        </w:tc>
      </w:tr>
      <w:tr w:rsidR="00F70B70" w:rsidTr="00F70B70">
        <w:trPr>
          <w:trHeight w:val="415"/>
        </w:trPr>
        <w:tc>
          <w:tcPr>
            <w:tcW w:w="6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0B70" w:rsidRPr="00F70B70" w:rsidRDefault="00F70B70">
            <w:pPr>
              <w:jc w:val="center"/>
              <w:rPr>
                <w:rFonts w:ascii="Calibri" w:hAnsi="Calibri" w:cs="Calibri"/>
                <w:sz w:val="16"/>
                <w:szCs w:val="16"/>
              </w:rPr>
            </w:pPr>
            <w:r w:rsidRPr="00F70B70">
              <w:rPr>
                <w:rFonts w:ascii="Calibri" w:hAnsi="Calibri" w:cs="Calibri"/>
                <w:sz w:val="16"/>
                <w:szCs w:val="16"/>
              </w:rPr>
              <w:t>50/2022</w:t>
            </w:r>
          </w:p>
        </w:tc>
        <w:tc>
          <w:tcPr>
            <w:tcW w:w="10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0B70" w:rsidRPr="00F70B70" w:rsidRDefault="00F70B70">
            <w:pPr>
              <w:jc w:val="center"/>
              <w:rPr>
                <w:rFonts w:ascii="Calibri" w:hAnsi="Calibri" w:cs="Calibri"/>
                <w:sz w:val="16"/>
                <w:szCs w:val="16"/>
              </w:rPr>
            </w:pPr>
            <w:r w:rsidRPr="00F70B70">
              <w:rPr>
                <w:rFonts w:ascii="Calibri" w:hAnsi="Calibri" w:cs="Calibri"/>
                <w:sz w:val="16"/>
                <w:szCs w:val="16"/>
              </w:rPr>
              <w:t>02.09.2022</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F70B70" w:rsidRPr="00F70B70" w:rsidRDefault="00F70B70">
            <w:pPr>
              <w:rPr>
                <w:rFonts w:ascii="Calibri" w:hAnsi="Calibri" w:cs="Calibri"/>
                <w:sz w:val="17"/>
                <w:szCs w:val="17"/>
              </w:rPr>
            </w:pPr>
            <w:r w:rsidRPr="00F70B70">
              <w:rPr>
                <w:rFonts w:ascii="Calibri" w:hAnsi="Calibri" w:cs="Calibri"/>
                <w:sz w:val="17"/>
                <w:szCs w:val="17"/>
              </w:rPr>
              <w:t>ÚZ 98187 - Účelová neinvestičn</w:t>
            </w:r>
            <w:r w:rsidR="00410111">
              <w:rPr>
                <w:rFonts w:ascii="Calibri" w:hAnsi="Calibri" w:cs="Calibri"/>
                <w:sz w:val="17"/>
                <w:szCs w:val="17"/>
              </w:rPr>
              <w:t>í dotace z Ministerstva financí</w:t>
            </w:r>
            <w:r w:rsidRPr="00F70B70">
              <w:rPr>
                <w:rFonts w:ascii="Calibri" w:hAnsi="Calibri" w:cs="Calibri"/>
                <w:sz w:val="17"/>
                <w:szCs w:val="17"/>
              </w:rPr>
              <w:t xml:space="preserve"> ČR na úhradu výdajů vzniklých v souvislosti s konáním voleb do 1/3 Senátu Parlamentu ČR a do zastupitelstev obcí </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11</w:t>
            </w:r>
          </w:p>
        </w:tc>
        <w:tc>
          <w:tcPr>
            <w:tcW w:w="1134"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1 428 000,00</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11</w:t>
            </w:r>
          </w:p>
        </w:tc>
        <w:tc>
          <w:tcPr>
            <w:tcW w:w="1180"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1 428 000,00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 </w:t>
            </w:r>
          </w:p>
        </w:tc>
      </w:tr>
      <w:tr w:rsidR="00F70B70" w:rsidTr="00F70B70">
        <w:trPr>
          <w:trHeight w:val="408"/>
        </w:trPr>
        <w:tc>
          <w:tcPr>
            <w:tcW w:w="689" w:type="dxa"/>
            <w:vMerge/>
            <w:tcBorders>
              <w:top w:val="nil"/>
              <w:left w:val="single" w:sz="4" w:space="0" w:color="auto"/>
              <w:bottom w:val="single" w:sz="4" w:space="0" w:color="000000"/>
              <w:right w:val="single" w:sz="4" w:space="0" w:color="auto"/>
            </w:tcBorders>
            <w:vAlign w:val="center"/>
            <w:hideMark/>
          </w:tcPr>
          <w:p w:rsidR="00F70B70" w:rsidRPr="00F70B70" w:rsidRDefault="00F70B70">
            <w:pPr>
              <w:rPr>
                <w:rFonts w:ascii="Calibri" w:hAnsi="Calibri" w:cs="Calibri"/>
                <w:sz w:val="16"/>
                <w:szCs w:val="16"/>
              </w:rPr>
            </w:pPr>
          </w:p>
        </w:tc>
        <w:tc>
          <w:tcPr>
            <w:tcW w:w="1007" w:type="dxa"/>
            <w:vMerge/>
            <w:tcBorders>
              <w:top w:val="nil"/>
              <w:left w:val="single" w:sz="4" w:space="0" w:color="auto"/>
              <w:bottom w:val="single" w:sz="4" w:space="0" w:color="000000"/>
              <w:right w:val="single" w:sz="4" w:space="0" w:color="auto"/>
            </w:tcBorders>
            <w:vAlign w:val="center"/>
            <w:hideMark/>
          </w:tcPr>
          <w:p w:rsidR="00F70B70" w:rsidRPr="00F70B70" w:rsidRDefault="00F70B70">
            <w:pPr>
              <w:rPr>
                <w:rFonts w:ascii="Calibri" w:hAnsi="Calibri" w:cs="Calibri"/>
                <w:sz w:val="16"/>
                <w:szCs w:val="16"/>
              </w:rPr>
            </w:pPr>
          </w:p>
        </w:tc>
        <w:tc>
          <w:tcPr>
            <w:tcW w:w="3544" w:type="dxa"/>
            <w:vMerge/>
            <w:tcBorders>
              <w:top w:val="nil"/>
              <w:left w:val="single" w:sz="4" w:space="0" w:color="auto"/>
              <w:bottom w:val="single" w:sz="4" w:space="0" w:color="000000"/>
              <w:right w:val="single" w:sz="4" w:space="0" w:color="auto"/>
            </w:tcBorders>
            <w:vAlign w:val="center"/>
            <w:hideMark/>
          </w:tcPr>
          <w:p w:rsidR="00F70B70" w:rsidRPr="00F70B70" w:rsidRDefault="00F70B70">
            <w:pPr>
              <w:rPr>
                <w:rFonts w:ascii="Calibri" w:hAnsi="Calibri" w:cs="Calibri"/>
                <w:sz w:val="17"/>
                <w:szCs w:val="17"/>
              </w:rPr>
            </w:pPr>
          </w:p>
        </w:tc>
        <w:tc>
          <w:tcPr>
            <w:tcW w:w="709"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rPr>
                <w:rFonts w:ascii="Calibri" w:hAnsi="Calibri" w:cs="Calibri"/>
                <w:b/>
                <w:bCs/>
                <w:sz w:val="17"/>
                <w:szCs w:val="17"/>
              </w:rPr>
            </w:pPr>
            <w:r w:rsidRPr="00F70B70">
              <w:rPr>
                <w:rFonts w:ascii="Calibri" w:hAnsi="Calibri" w:cs="Calibri"/>
                <w:b/>
                <w:bCs/>
                <w:sz w:val="17"/>
                <w:szCs w:val="17"/>
              </w:rPr>
              <w:t> </w:t>
            </w:r>
          </w:p>
        </w:tc>
        <w:tc>
          <w:tcPr>
            <w:tcW w:w="1134"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jc w:val="right"/>
              <w:rPr>
                <w:rFonts w:ascii="Calibri" w:hAnsi="Calibri" w:cs="Calibri"/>
                <w:b/>
                <w:bCs/>
                <w:sz w:val="17"/>
                <w:szCs w:val="17"/>
              </w:rPr>
            </w:pPr>
            <w:r w:rsidRPr="00F70B70">
              <w:rPr>
                <w:rFonts w:ascii="Calibri" w:hAnsi="Calibri" w:cs="Calibri"/>
                <w:b/>
                <w:bCs/>
                <w:sz w:val="17"/>
                <w:szCs w:val="17"/>
              </w:rPr>
              <w:t>1 428 000,00</w:t>
            </w:r>
          </w:p>
        </w:tc>
        <w:tc>
          <w:tcPr>
            <w:tcW w:w="709"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rPr>
                <w:rFonts w:ascii="Calibri" w:hAnsi="Calibri" w:cs="Calibri"/>
                <w:b/>
                <w:bCs/>
                <w:sz w:val="17"/>
                <w:szCs w:val="17"/>
              </w:rPr>
            </w:pPr>
            <w:r w:rsidRPr="00F70B70">
              <w:rPr>
                <w:rFonts w:ascii="Calibri" w:hAnsi="Calibri" w:cs="Calibri"/>
                <w:b/>
                <w:bCs/>
                <w:sz w:val="17"/>
                <w:szCs w:val="17"/>
              </w:rPr>
              <w:t> </w:t>
            </w:r>
          </w:p>
        </w:tc>
        <w:tc>
          <w:tcPr>
            <w:tcW w:w="1180"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jc w:val="right"/>
              <w:rPr>
                <w:rFonts w:ascii="Calibri" w:hAnsi="Calibri" w:cs="Calibri"/>
                <w:b/>
                <w:bCs/>
                <w:sz w:val="17"/>
                <w:szCs w:val="17"/>
              </w:rPr>
            </w:pPr>
            <w:r w:rsidRPr="00F70B70">
              <w:rPr>
                <w:rFonts w:ascii="Calibri" w:hAnsi="Calibri" w:cs="Calibri"/>
                <w:b/>
                <w:bCs/>
                <w:sz w:val="17"/>
                <w:szCs w:val="17"/>
              </w:rPr>
              <w:t>1 428 000,00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 </w:t>
            </w:r>
          </w:p>
        </w:tc>
      </w:tr>
      <w:tr w:rsidR="00F70B70" w:rsidTr="00F70B70">
        <w:trPr>
          <w:trHeight w:val="569"/>
        </w:trPr>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6"/>
                <w:szCs w:val="16"/>
              </w:rPr>
            </w:pPr>
            <w:r w:rsidRPr="00F70B70">
              <w:rPr>
                <w:rFonts w:ascii="Calibri" w:hAnsi="Calibri" w:cs="Calibri"/>
                <w:sz w:val="16"/>
                <w:szCs w:val="16"/>
              </w:rPr>
              <w:t>52/2022</w:t>
            </w:r>
          </w:p>
        </w:tc>
        <w:tc>
          <w:tcPr>
            <w:tcW w:w="10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6"/>
                <w:szCs w:val="16"/>
              </w:rPr>
            </w:pPr>
            <w:r w:rsidRPr="00F70B70">
              <w:rPr>
                <w:rFonts w:ascii="Calibri" w:hAnsi="Calibri" w:cs="Calibri"/>
                <w:sz w:val="16"/>
                <w:szCs w:val="16"/>
              </w:rPr>
              <w:t>13.09.2022</w:t>
            </w:r>
          </w:p>
        </w:tc>
        <w:tc>
          <w:tcPr>
            <w:tcW w:w="3544" w:type="dxa"/>
            <w:tcBorders>
              <w:top w:val="nil"/>
              <w:left w:val="nil"/>
              <w:bottom w:val="single" w:sz="4" w:space="0" w:color="auto"/>
              <w:right w:val="single" w:sz="4" w:space="0" w:color="auto"/>
            </w:tcBorders>
            <w:shd w:val="clear" w:color="auto" w:fill="auto"/>
            <w:hideMark/>
          </w:tcPr>
          <w:p w:rsidR="00F70B70" w:rsidRPr="00F70B70" w:rsidRDefault="00F70B70">
            <w:pPr>
              <w:rPr>
                <w:rFonts w:ascii="Calibri" w:hAnsi="Calibri" w:cs="Calibri"/>
                <w:sz w:val="17"/>
                <w:szCs w:val="17"/>
              </w:rPr>
            </w:pPr>
            <w:r w:rsidRPr="00F70B70">
              <w:rPr>
                <w:rFonts w:ascii="Calibri" w:hAnsi="Calibri" w:cs="Calibri"/>
                <w:sz w:val="17"/>
                <w:szCs w:val="17"/>
              </w:rPr>
              <w:t>1) ÚZ 14990 - Účelová neinvestiční dotace z Ministerstva vnitra ČR na Rozšíření a reprodukci MKDS včetně instalace panoramatické kamery</w:t>
            </w:r>
          </w:p>
        </w:tc>
        <w:tc>
          <w:tcPr>
            <w:tcW w:w="709" w:type="dxa"/>
            <w:tcBorders>
              <w:top w:val="nil"/>
              <w:left w:val="nil"/>
              <w:bottom w:val="single" w:sz="4" w:space="0" w:color="auto"/>
              <w:right w:val="single" w:sz="4" w:space="0" w:color="auto"/>
            </w:tcBorders>
            <w:shd w:val="clear" w:color="000000" w:fill="FFFFFF"/>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550 000,00</w:t>
            </w:r>
          </w:p>
        </w:tc>
        <w:tc>
          <w:tcPr>
            <w:tcW w:w="709" w:type="dxa"/>
            <w:tcBorders>
              <w:top w:val="nil"/>
              <w:left w:val="nil"/>
              <w:bottom w:val="single" w:sz="4" w:space="0" w:color="auto"/>
              <w:right w:val="single" w:sz="4" w:space="0" w:color="auto"/>
            </w:tcBorders>
            <w:shd w:val="clear" w:color="000000" w:fill="FFFFFF"/>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13</w:t>
            </w:r>
          </w:p>
        </w:tc>
        <w:tc>
          <w:tcPr>
            <w:tcW w:w="1180" w:type="dxa"/>
            <w:tcBorders>
              <w:top w:val="nil"/>
              <w:left w:val="nil"/>
              <w:bottom w:val="single" w:sz="4" w:space="0" w:color="auto"/>
              <w:right w:val="single" w:sz="4" w:space="0" w:color="auto"/>
            </w:tcBorders>
            <w:shd w:val="clear" w:color="000000" w:fill="FFFFFF"/>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550 000,00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1)</w:t>
            </w:r>
          </w:p>
        </w:tc>
      </w:tr>
      <w:tr w:rsidR="00F70B70" w:rsidTr="00F70B70">
        <w:trPr>
          <w:trHeight w:val="480"/>
        </w:trPr>
        <w:tc>
          <w:tcPr>
            <w:tcW w:w="689"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1007"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F70B70" w:rsidRPr="00F70B70" w:rsidRDefault="00F70B70">
            <w:pPr>
              <w:rPr>
                <w:rFonts w:ascii="Calibri" w:hAnsi="Calibri" w:cs="Calibri"/>
                <w:sz w:val="17"/>
                <w:szCs w:val="17"/>
              </w:rPr>
            </w:pPr>
            <w:r w:rsidRPr="00F70B70">
              <w:rPr>
                <w:rFonts w:ascii="Calibri" w:hAnsi="Calibri" w:cs="Calibri"/>
                <w:sz w:val="17"/>
                <w:szCs w:val="17"/>
              </w:rPr>
              <w:t>2) ÚZ 14990 - Účelová investiční dotace z Ministerstva vnitra ČR na Rozšíření analytických funkcí software MKDS</w:t>
            </w:r>
          </w:p>
        </w:tc>
        <w:tc>
          <w:tcPr>
            <w:tcW w:w="709" w:type="dxa"/>
            <w:tcBorders>
              <w:top w:val="nil"/>
              <w:left w:val="nil"/>
              <w:bottom w:val="single" w:sz="4" w:space="0" w:color="auto"/>
              <w:right w:val="single" w:sz="4" w:space="0" w:color="auto"/>
            </w:tcBorders>
            <w:shd w:val="clear" w:color="000000" w:fill="FFFFFF"/>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348 867,00</w:t>
            </w:r>
          </w:p>
        </w:tc>
        <w:tc>
          <w:tcPr>
            <w:tcW w:w="709" w:type="dxa"/>
            <w:tcBorders>
              <w:top w:val="nil"/>
              <w:left w:val="nil"/>
              <w:bottom w:val="single" w:sz="4" w:space="0" w:color="auto"/>
              <w:right w:val="single" w:sz="4" w:space="0" w:color="auto"/>
            </w:tcBorders>
            <w:shd w:val="clear" w:color="000000" w:fill="FFFFFF"/>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13</w:t>
            </w:r>
          </w:p>
        </w:tc>
        <w:tc>
          <w:tcPr>
            <w:tcW w:w="1180" w:type="dxa"/>
            <w:tcBorders>
              <w:top w:val="nil"/>
              <w:left w:val="nil"/>
              <w:bottom w:val="single" w:sz="4" w:space="0" w:color="auto"/>
              <w:right w:val="single" w:sz="4" w:space="0" w:color="auto"/>
            </w:tcBorders>
            <w:shd w:val="clear" w:color="000000" w:fill="FFFFFF"/>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348 867,00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2)</w:t>
            </w:r>
          </w:p>
        </w:tc>
      </w:tr>
      <w:tr w:rsidR="00F70B70" w:rsidTr="00F70B70">
        <w:trPr>
          <w:trHeight w:val="288"/>
        </w:trPr>
        <w:tc>
          <w:tcPr>
            <w:tcW w:w="689"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1007"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3544" w:type="dxa"/>
            <w:vMerge/>
            <w:tcBorders>
              <w:top w:val="nil"/>
              <w:left w:val="single" w:sz="4" w:space="0" w:color="auto"/>
              <w:bottom w:val="single" w:sz="4" w:space="0" w:color="000000"/>
              <w:right w:val="single" w:sz="4" w:space="0" w:color="auto"/>
            </w:tcBorders>
            <w:vAlign w:val="center"/>
            <w:hideMark/>
          </w:tcPr>
          <w:p w:rsidR="00F70B70" w:rsidRPr="00F70B70" w:rsidRDefault="00F70B70">
            <w:pPr>
              <w:rPr>
                <w:rFonts w:ascii="Calibri" w:hAnsi="Calibri" w:cs="Calibri"/>
                <w:sz w:val="17"/>
                <w:szCs w:val="17"/>
              </w:rPr>
            </w:pPr>
          </w:p>
        </w:tc>
        <w:tc>
          <w:tcPr>
            <w:tcW w:w="709"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rPr>
                <w:rFonts w:ascii="Calibri" w:hAnsi="Calibri" w:cs="Calibri"/>
                <w:b/>
                <w:bCs/>
                <w:sz w:val="17"/>
                <w:szCs w:val="17"/>
              </w:rPr>
            </w:pPr>
            <w:r w:rsidRPr="00F70B70">
              <w:rPr>
                <w:rFonts w:ascii="Calibri" w:hAnsi="Calibri" w:cs="Calibri"/>
                <w:b/>
                <w:bCs/>
                <w:sz w:val="17"/>
                <w:szCs w:val="17"/>
              </w:rPr>
              <w:t>Celkem</w:t>
            </w:r>
          </w:p>
        </w:tc>
        <w:tc>
          <w:tcPr>
            <w:tcW w:w="1134"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jc w:val="right"/>
              <w:rPr>
                <w:rFonts w:ascii="Calibri" w:hAnsi="Calibri" w:cs="Calibri"/>
                <w:b/>
                <w:bCs/>
                <w:sz w:val="17"/>
                <w:szCs w:val="17"/>
              </w:rPr>
            </w:pPr>
            <w:r w:rsidRPr="00F70B70">
              <w:rPr>
                <w:rFonts w:ascii="Calibri" w:hAnsi="Calibri" w:cs="Calibri"/>
                <w:b/>
                <w:bCs/>
                <w:sz w:val="17"/>
                <w:szCs w:val="17"/>
              </w:rPr>
              <w:t>898 867,00</w:t>
            </w:r>
          </w:p>
        </w:tc>
        <w:tc>
          <w:tcPr>
            <w:tcW w:w="709"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rPr>
                <w:rFonts w:ascii="Calibri" w:hAnsi="Calibri" w:cs="Calibri"/>
                <w:b/>
                <w:bCs/>
                <w:sz w:val="17"/>
                <w:szCs w:val="17"/>
              </w:rPr>
            </w:pPr>
            <w:r w:rsidRPr="00F70B70">
              <w:rPr>
                <w:rFonts w:ascii="Calibri" w:hAnsi="Calibri" w:cs="Calibri"/>
                <w:b/>
                <w:bCs/>
                <w:sz w:val="17"/>
                <w:szCs w:val="17"/>
              </w:rPr>
              <w:t>Celkem</w:t>
            </w:r>
          </w:p>
        </w:tc>
        <w:tc>
          <w:tcPr>
            <w:tcW w:w="1180"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jc w:val="right"/>
              <w:rPr>
                <w:rFonts w:ascii="Calibri" w:hAnsi="Calibri" w:cs="Calibri"/>
                <w:b/>
                <w:bCs/>
                <w:sz w:val="17"/>
                <w:szCs w:val="17"/>
              </w:rPr>
            </w:pPr>
            <w:r w:rsidRPr="00F70B70">
              <w:rPr>
                <w:rFonts w:ascii="Calibri" w:hAnsi="Calibri" w:cs="Calibri"/>
                <w:b/>
                <w:bCs/>
                <w:sz w:val="17"/>
                <w:szCs w:val="17"/>
              </w:rPr>
              <w:t>898 867,00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 </w:t>
            </w:r>
          </w:p>
        </w:tc>
      </w:tr>
      <w:tr w:rsidR="00F70B70" w:rsidTr="00F70B70">
        <w:trPr>
          <w:trHeight w:val="288"/>
        </w:trPr>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6"/>
                <w:szCs w:val="16"/>
              </w:rPr>
            </w:pPr>
            <w:r w:rsidRPr="00F70B70">
              <w:rPr>
                <w:rFonts w:ascii="Calibri" w:hAnsi="Calibri" w:cs="Calibri"/>
                <w:sz w:val="16"/>
                <w:szCs w:val="16"/>
              </w:rPr>
              <w:lastRenderedPageBreak/>
              <w:t>55/2022</w:t>
            </w:r>
          </w:p>
        </w:tc>
        <w:tc>
          <w:tcPr>
            <w:tcW w:w="10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6"/>
                <w:szCs w:val="16"/>
              </w:rPr>
            </w:pPr>
            <w:r w:rsidRPr="00F70B70">
              <w:rPr>
                <w:rFonts w:ascii="Calibri" w:hAnsi="Calibri" w:cs="Calibri"/>
                <w:sz w:val="16"/>
                <w:szCs w:val="16"/>
              </w:rPr>
              <w:t>18.10.2022</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F70B70" w:rsidRPr="00F70B70" w:rsidRDefault="00F70B70">
            <w:pPr>
              <w:rPr>
                <w:rFonts w:ascii="Calibri" w:hAnsi="Calibri" w:cs="Calibri"/>
                <w:sz w:val="17"/>
                <w:szCs w:val="17"/>
              </w:rPr>
            </w:pPr>
            <w:r w:rsidRPr="00F70B70">
              <w:rPr>
                <w:rFonts w:ascii="Calibri" w:hAnsi="Calibri" w:cs="Calibri"/>
                <w:sz w:val="17"/>
                <w:szCs w:val="17"/>
              </w:rPr>
              <w:t>ÚZ 13010 - Příspěvek na výkon pěstounské péče - prostředky na úhradu mzdových nákladů od 1. 7. 2022 do 30. 9. 2022 (rozdělení příspěvku na jednotlivé položky)</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rsidP="00EB7B11">
            <w:pPr>
              <w:jc w:val="center"/>
              <w:rPr>
                <w:rFonts w:ascii="Calibri" w:hAnsi="Calibri" w:cs="Calibri"/>
                <w:sz w:val="17"/>
                <w:szCs w:val="17"/>
              </w:rPr>
            </w:pPr>
            <w:r w:rsidRPr="00F70B70">
              <w:rPr>
                <w:rFonts w:ascii="Calibri" w:hAnsi="Calibri" w:cs="Calibri"/>
                <w:sz w:val="17"/>
                <w:szCs w:val="17"/>
              </w:rPr>
              <w:t>21</w:t>
            </w:r>
          </w:p>
        </w:tc>
        <w:tc>
          <w:tcPr>
            <w:tcW w:w="1134"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0,00</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21</w:t>
            </w:r>
          </w:p>
        </w:tc>
        <w:tc>
          <w:tcPr>
            <w:tcW w:w="1180"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-138 018,00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 </w:t>
            </w:r>
          </w:p>
        </w:tc>
      </w:tr>
      <w:tr w:rsidR="00F70B70" w:rsidTr="00F70B70">
        <w:trPr>
          <w:trHeight w:val="288"/>
        </w:trPr>
        <w:tc>
          <w:tcPr>
            <w:tcW w:w="689"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1007"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3544" w:type="dxa"/>
            <w:vMerge/>
            <w:tcBorders>
              <w:top w:val="nil"/>
              <w:left w:val="single" w:sz="4" w:space="0" w:color="auto"/>
              <w:bottom w:val="single" w:sz="4" w:space="0" w:color="000000"/>
              <w:right w:val="single" w:sz="4" w:space="0" w:color="auto"/>
            </w:tcBorders>
            <w:vAlign w:val="center"/>
            <w:hideMark/>
          </w:tcPr>
          <w:p w:rsidR="00F70B70" w:rsidRPr="00F70B70" w:rsidRDefault="00F70B70">
            <w:pPr>
              <w:rPr>
                <w:rFonts w:ascii="Calibri" w:hAnsi="Calibri" w:cs="Calibri"/>
                <w:sz w:val="17"/>
                <w:szCs w:val="17"/>
              </w:rPr>
            </w:pP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rsidP="00EB7B11">
            <w:pPr>
              <w:jc w:val="center"/>
              <w:rPr>
                <w:rFonts w:ascii="Calibri" w:hAnsi="Calibri" w:cs="Calibri"/>
                <w:sz w:val="17"/>
                <w:szCs w:val="17"/>
              </w:rPr>
            </w:pPr>
            <w:r w:rsidRPr="00F70B70">
              <w:rPr>
                <w:rFonts w:ascii="Calibri" w:hAnsi="Calibri" w:cs="Calibri"/>
                <w:sz w:val="17"/>
                <w:szCs w:val="17"/>
              </w:rPr>
              <w:t>14</w:t>
            </w:r>
          </w:p>
        </w:tc>
        <w:tc>
          <w:tcPr>
            <w:tcW w:w="1134"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0,00</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14</w:t>
            </w:r>
          </w:p>
        </w:tc>
        <w:tc>
          <w:tcPr>
            <w:tcW w:w="1180"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138 018,00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 </w:t>
            </w:r>
          </w:p>
        </w:tc>
      </w:tr>
      <w:tr w:rsidR="00F70B70" w:rsidTr="00EB7B11">
        <w:trPr>
          <w:trHeight w:val="204"/>
        </w:trPr>
        <w:tc>
          <w:tcPr>
            <w:tcW w:w="689"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1007"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3544" w:type="dxa"/>
            <w:vMerge/>
            <w:tcBorders>
              <w:top w:val="nil"/>
              <w:left w:val="single" w:sz="4" w:space="0" w:color="auto"/>
              <w:bottom w:val="single" w:sz="4" w:space="0" w:color="000000"/>
              <w:right w:val="single" w:sz="4" w:space="0" w:color="auto"/>
            </w:tcBorders>
            <w:vAlign w:val="center"/>
            <w:hideMark/>
          </w:tcPr>
          <w:p w:rsidR="00F70B70" w:rsidRPr="00F70B70" w:rsidRDefault="00F70B70">
            <w:pPr>
              <w:rPr>
                <w:rFonts w:ascii="Calibri" w:hAnsi="Calibri" w:cs="Calibri"/>
                <w:sz w:val="17"/>
                <w:szCs w:val="17"/>
              </w:rPr>
            </w:pPr>
          </w:p>
        </w:tc>
        <w:tc>
          <w:tcPr>
            <w:tcW w:w="709"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rPr>
                <w:rFonts w:ascii="Calibri" w:hAnsi="Calibri" w:cs="Calibri"/>
                <w:b/>
                <w:bCs/>
                <w:sz w:val="17"/>
                <w:szCs w:val="17"/>
              </w:rPr>
            </w:pPr>
            <w:r w:rsidRPr="00F70B70">
              <w:rPr>
                <w:rFonts w:ascii="Calibri" w:hAnsi="Calibri" w:cs="Calibri"/>
                <w:b/>
                <w:bCs/>
                <w:sz w:val="17"/>
                <w:szCs w:val="17"/>
              </w:rPr>
              <w:t>Celkem</w:t>
            </w:r>
          </w:p>
        </w:tc>
        <w:tc>
          <w:tcPr>
            <w:tcW w:w="1134"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jc w:val="right"/>
              <w:rPr>
                <w:rFonts w:ascii="Calibri" w:hAnsi="Calibri" w:cs="Calibri"/>
                <w:b/>
                <w:bCs/>
                <w:sz w:val="17"/>
                <w:szCs w:val="17"/>
              </w:rPr>
            </w:pPr>
            <w:r w:rsidRPr="00F70B70">
              <w:rPr>
                <w:rFonts w:ascii="Calibri" w:hAnsi="Calibri" w:cs="Calibri"/>
                <w:b/>
                <w:bCs/>
                <w:sz w:val="17"/>
                <w:szCs w:val="17"/>
              </w:rPr>
              <w:t>0,00</w:t>
            </w:r>
          </w:p>
        </w:tc>
        <w:tc>
          <w:tcPr>
            <w:tcW w:w="709"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rPr>
                <w:rFonts w:ascii="Calibri" w:hAnsi="Calibri" w:cs="Calibri"/>
                <w:b/>
                <w:bCs/>
                <w:sz w:val="17"/>
                <w:szCs w:val="17"/>
              </w:rPr>
            </w:pPr>
            <w:r w:rsidRPr="00F70B70">
              <w:rPr>
                <w:rFonts w:ascii="Calibri" w:hAnsi="Calibri" w:cs="Calibri"/>
                <w:b/>
                <w:bCs/>
                <w:sz w:val="17"/>
                <w:szCs w:val="17"/>
              </w:rPr>
              <w:t>Celkem</w:t>
            </w:r>
          </w:p>
        </w:tc>
        <w:tc>
          <w:tcPr>
            <w:tcW w:w="1180"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jc w:val="right"/>
              <w:rPr>
                <w:rFonts w:ascii="Calibri" w:hAnsi="Calibri" w:cs="Calibri"/>
                <w:b/>
                <w:bCs/>
                <w:sz w:val="17"/>
                <w:szCs w:val="17"/>
              </w:rPr>
            </w:pPr>
            <w:r w:rsidRPr="00F70B70">
              <w:rPr>
                <w:rFonts w:ascii="Calibri" w:hAnsi="Calibri" w:cs="Calibri"/>
                <w:b/>
                <w:bCs/>
                <w:sz w:val="17"/>
                <w:szCs w:val="17"/>
              </w:rPr>
              <w:t>0,00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 </w:t>
            </w:r>
          </w:p>
        </w:tc>
      </w:tr>
      <w:tr w:rsidR="00F70B70" w:rsidTr="00EB7B11">
        <w:trPr>
          <w:trHeight w:val="391"/>
        </w:trPr>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6"/>
                <w:szCs w:val="16"/>
              </w:rPr>
            </w:pPr>
            <w:r w:rsidRPr="00F70B70">
              <w:rPr>
                <w:rFonts w:ascii="Calibri" w:hAnsi="Calibri" w:cs="Calibri"/>
                <w:sz w:val="16"/>
                <w:szCs w:val="16"/>
              </w:rPr>
              <w:t>57/2022</w:t>
            </w:r>
          </w:p>
        </w:tc>
        <w:tc>
          <w:tcPr>
            <w:tcW w:w="10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6"/>
                <w:szCs w:val="16"/>
              </w:rPr>
            </w:pPr>
            <w:r w:rsidRPr="00F70B70">
              <w:rPr>
                <w:rFonts w:ascii="Calibri" w:hAnsi="Calibri" w:cs="Calibri"/>
                <w:sz w:val="16"/>
                <w:szCs w:val="16"/>
              </w:rPr>
              <w:t>20.10.2022</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F70B70" w:rsidRPr="00F70B70" w:rsidRDefault="00F70B70">
            <w:pPr>
              <w:rPr>
                <w:rFonts w:ascii="Calibri" w:hAnsi="Calibri" w:cs="Calibri"/>
                <w:sz w:val="17"/>
                <w:szCs w:val="17"/>
              </w:rPr>
            </w:pPr>
            <w:r w:rsidRPr="00F70B70">
              <w:rPr>
                <w:rFonts w:ascii="Calibri" w:hAnsi="Calibri" w:cs="Calibri"/>
                <w:sz w:val="17"/>
                <w:szCs w:val="17"/>
              </w:rPr>
              <w:t xml:space="preserve">ÚZ 115 - Účelová neinvestiční dotace z rozpočtu Olomouckého kraje pro ZŠ E. Valenty na realizaci programu Zelená škola </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20</w:t>
            </w:r>
          </w:p>
        </w:tc>
        <w:tc>
          <w:tcPr>
            <w:tcW w:w="1134"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25 000,00</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20</w:t>
            </w:r>
          </w:p>
        </w:tc>
        <w:tc>
          <w:tcPr>
            <w:tcW w:w="1180"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25 000,00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 </w:t>
            </w:r>
          </w:p>
        </w:tc>
      </w:tr>
      <w:tr w:rsidR="00F70B70" w:rsidTr="00F70B70">
        <w:trPr>
          <w:trHeight w:val="288"/>
        </w:trPr>
        <w:tc>
          <w:tcPr>
            <w:tcW w:w="689"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1007"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3544" w:type="dxa"/>
            <w:vMerge/>
            <w:tcBorders>
              <w:top w:val="nil"/>
              <w:left w:val="single" w:sz="4" w:space="0" w:color="auto"/>
              <w:bottom w:val="single" w:sz="4" w:space="0" w:color="000000"/>
              <w:right w:val="single" w:sz="4" w:space="0" w:color="auto"/>
            </w:tcBorders>
            <w:vAlign w:val="center"/>
            <w:hideMark/>
          </w:tcPr>
          <w:p w:rsidR="00F70B70" w:rsidRPr="00F70B70" w:rsidRDefault="00F70B70">
            <w:pPr>
              <w:rPr>
                <w:rFonts w:ascii="Calibri" w:hAnsi="Calibri" w:cs="Calibri"/>
                <w:sz w:val="17"/>
                <w:szCs w:val="17"/>
              </w:rPr>
            </w:pPr>
          </w:p>
        </w:tc>
        <w:tc>
          <w:tcPr>
            <w:tcW w:w="709"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rPr>
                <w:rFonts w:ascii="Calibri" w:hAnsi="Calibri" w:cs="Calibri"/>
                <w:b/>
                <w:bCs/>
                <w:sz w:val="17"/>
                <w:szCs w:val="17"/>
              </w:rPr>
            </w:pPr>
            <w:r w:rsidRPr="00F70B70">
              <w:rPr>
                <w:rFonts w:ascii="Calibri" w:hAnsi="Calibri" w:cs="Calibri"/>
                <w:b/>
                <w:bCs/>
                <w:sz w:val="17"/>
                <w:szCs w:val="17"/>
              </w:rPr>
              <w:t>Celkem</w:t>
            </w:r>
          </w:p>
        </w:tc>
        <w:tc>
          <w:tcPr>
            <w:tcW w:w="1134"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jc w:val="right"/>
              <w:rPr>
                <w:rFonts w:ascii="Calibri" w:hAnsi="Calibri" w:cs="Calibri"/>
                <w:b/>
                <w:bCs/>
                <w:sz w:val="17"/>
                <w:szCs w:val="17"/>
              </w:rPr>
            </w:pPr>
            <w:r w:rsidRPr="00F70B70">
              <w:rPr>
                <w:rFonts w:ascii="Calibri" w:hAnsi="Calibri" w:cs="Calibri"/>
                <w:b/>
                <w:bCs/>
                <w:sz w:val="17"/>
                <w:szCs w:val="17"/>
              </w:rPr>
              <w:t>25 000,00</w:t>
            </w:r>
          </w:p>
        </w:tc>
        <w:tc>
          <w:tcPr>
            <w:tcW w:w="709"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rPr>
                <w:rFonts w:ascii="Calibri" w:hAnsi="Calibri" w:cs="Calibri"/>
                <w:b/>
                <w:bCs/>
                <w:sz w:val="17"/>
                <w:szCs w:val="17"/>
              </w:rPr>
            </w:pPr>
            <w:r w:rsidRPr="00F70B70">
              <w:rPr>
                <w:rFonts w:ascii="Calibri" w:hAnsi="Calibri" w:cs="Calibri"/>
                <w:b/>
                <w:bCs/>
                <w:sz w:val="17"/>
                <w:szCs w:val="17"/>
              </w:rPr>
              <w:t>Celkem</w:t>
            </w:r>
          </w:p>
        </w:tc>
        <w:tc>
          <w:tcPr>
            <w:tcW w:w="1180"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jc w:val="right"/>
              <w:rPr>
                <w:rFonts w:ascii="Calibri" w:hAnsi="Calibri" w:cs="Calibri"/>
                <w:b/>
                <w:bCs/>
                <w:sz w:val="17"/>
                <w:szCs w:val="17"/>
              </w:rPr>
            </w:pPr>
            <w:r w:rsidRPr="00F70B70">
              <w:rPr>
                <w:rFonts w:ascii="Calibri" w:hAnsi="Calibri" w:cs="Calibri"/>
                <w:b/>
                <w:bCs/>
                <w:sz w:val="17"/>
                <w:szCs w:val="17"/>
              </w:rPr>
              <w:t>25 000,00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 </w:t>
            </w:r>
          </w:p>
        </w:tc>
      </w:tr>
      <w:tr w:rsidR="00F70B70" w:rsidTr="00EB7B11">
        <w:trPr>
          <w:trHeight w:val="329"/>
        </w:trPr>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6"/>
                <w:szCs w:val="16"/>
              </w:rPr>
            </w:pPr>
            <w:r w:rsidRPr="00F70B70">
              <w:rPr>
                <w:rFonts w:ascii="Calibri" w:hAnsi="Calibri" w:cs="Calibri"/>
                <w:sz w:val="16"/>
                <w:szCs w:val="16"/>
              </w:rPr>
              <w:t>58/2022</w:t>
            </w:r>
          </w:p>
        </w:tc>
        <w:tc>
          <w:tcPr>
            <w:tcW w:w="10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6"/>
                <w:szCs w:val="16"/>
              </w:rPr>
            </w:pPr>
            <w:r w:rsidRPr="00F70B70">
              <w:rPr>
                <w:rFonts w:ascii="Calibri" w:hAnsi="Calibri" w:cs="Calibri"/>
                <w:sz w:val="16"/>
                <w:szCs w:val="16"/>
              </w:rPr>
              <w:t>25.10.2022</w:t>
            </w:r>
          </w:p>
        </w:tc>
        <w:tc>
          <w:tcPr>
            <w:tcW w:w="3544" w:type="dxa"/>
            <w:vMerge w:val="restart"/>
            <w:tcBorders>
              <w:top w:val="nil"/>
              <w:left w:val="single" w:sz="4" w:space="0" w:color="auto"/>
              <w:bottom w:val="single" w:sz="4" w:space="0" w:color="auto"/>
              <w:right w:val="single" w:sz="4" w:space="0" w:color="auto"/>
            </w:tcBorders>
            <w:shd w:val="clear" w:color="auto" w:fill="auto"/>
            <w:vAlign w:val="center"/>
            <w:hideMark/>
          </w:tcPr>
          <w:p w:rsidR="00F70B70" w:rsidRPr="00F70B70" w:rsidRDefault="00F70B70">
            <w:pPr>
              <w:rPr>
                <w:rFonts w:ascii="Calibri" w:hAnsi="Calibri" w:cs="Calibri"/>
                <w:sz w:val="17"/>
                <w:szCs w:val="17"/>
              </w:rPr>
            </w:pPr>
            <w:r w:rsidRPr="00F70B70">
              <w:rPr>
                <w:rFonts w:ascii="Calibri" w:hAnsi="Calibri" w:cs="Calibri"/>
                <w:sz w:val="17"/>
                <w:szCs w:val="17"/>
              </w:rPr>
              <w:t>ÚZ 120513014, 120113014 - Účelová neinvestiční dotace z rozpočtu Olomouckého kraje pro ZŠ E. Valenty na "Obědy do škol v Olomouckém kraji III"</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20</w:t>
            </w:r>
          </w:p>
        </w:tc>
        <w:tc>
          <w:tcPr>
            <w:tcW w:w="1134"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34 162,80</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20</w:t>
            </w:r>
          </w:p>
        </w:tc>
        <w:tc>
          <w:tcPr>
            <w:tcW w:w="1180"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34 162,80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 </w:t>
            </w:r>
          </w:p>
        </w:tc>
      </w:tr>
      <w:tr w:rsidR="00F70B70" w:rsidTr="00F70B70">
        <w:trPr>
          <w:trHeight w:val="525"/>
        </w:trPr>
        <w:tc>
          <w:tcPr>
            <w:tcW w:w="689"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1007"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3544"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7"/>
                <w:szCs w:val="17"/>
              </w:rPr>
            </w:pPr>
          </w:p>
        </w:tc>
        <w:tc>
          <w:tcPr>
            <w:tcW w:w="709"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rPr>
                <w:rFonts w:ascii="Calibri" w:hAnsi="Calibri" w:cs="Calibri"/>
                <w:b/>
                <w:bCs/>
                <w:sz w:val="17"/>
                <w:szCs w:val="17"/>
              </w:rPr>
            </w:pPr>
            <w:r w:rsidRPr="00F70B70">
              <w:rPr>
                <w:rFonts w:ascii="Calibri" w:hAnsi="Calibri" w:cs="Calibri"/>
                <w:b/>
                <w:bCs/>
                <w:sz w:val="17"/>
                <w:szCs w:val="17"/>
              </w:rPr>
              <w:t>Celkem</w:t>
            </w:r>
          </w:p>
        </w:tc>
        <w:tc>
          <w:tcPr>
            <w:tcW w:w="1134"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jc w:val="right"/>
              <w:rPr>
                <w:rFonts w:ascii="Calibri" w:hAnsi="Calibri" w:cs="Calibri"/>
                <w:b/>
                <w:bCs/>
                <w:sz w:val="17"/>
                <w:szCs w:val="17"/>
              </w:rPr>
            </w:pPr>
            <w:r w:rsidRPr="00F70B70">
              <w:rPr>
                <w:rFonts w:ascii="Calibri" w:hAnsi="Calibri" w:cs="Calibri"/>
                <w:b/>
                <w:bCs/>
                <w:sz w:val="17"/>
                <w:szCs w:val="17"/>
              </w:rPr>
              <w:t>34 162,80</w:t>
            </w:r>
          </w:p>
        </w:tc>
        <w:tc>
          <w:tcPr>
            <w:tcW w:w="709"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rPr>
                <w:rFonts w:ascii="Calibri" w:hAnsi="Calibri" w:cs="Calibri"/>
                <w:b/>
                <w:bCs/>
                <w:sz w:val="17"/>
                <w:szCs w:val="17"/>
              </w:rPr>
            </w:pPr>
            <w:r w:rsidRPr="00F70B70">
              <w:rPr>
                <w:rFonts w:ascii="Calibri" w:hAnsi="Calibri" w:cs="Calibri"/>
                <w:b/>
                <w:bCs/>
                <w:sz w:val="17"/>
                <w:szCs w:val="17"/>
              </w:rPr>
              <w:t>Celkem</w:t>
            </w:r>
          </w:p>
        </w:tc>
        <w:tc>
          <w:tcPr>
            <w:tcW w:w="1180"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jc w:val="right"/>
              <w:rPr>
                <w:rFonts w:ascii="Calibri" w:hAnsi="Calibri" w:cs="Calibri"/>
                <w:b/>
                <w:bCs/>
                <w:sz w:val="17"/>
                <w:szCs w:val="17"/>
              </w:rPr>
            </w:pPr>
            <w:r w:rsidRPr="00F70B70">
              <w:rPr>
                <w:rFonts w:ascii="Calibri" w:hAnsi="Calibri" w:cs="Calibri"/>
                <w:b/>
                <w:bCs/>
                <w:sz w:val="17"/>
                <w:szCs w:val="17"/>
              </w:rPr>
              <w:t>34 162,80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 </w:t>
            </w:r>
          </w:p>
        </w:tc>
      </w:tr>
      <w:tr w:rsidR="00F70B70" w:rsidTr="00EB7B11">
        <w:trPr>
          <w:trHeight w:val="300"/>
        </w:trPr>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6"/>
                <w:szCs w:val="16"/>
              </w:rPr>
            </w:pPr>
            <w:r w:rsidRPr="00F70B70">
              <w:rPr>
                <w:rFonts w:ascii="Calibri" w:hAnsi="Calibri" w:cs="Calibri"/>
                <w:sz w:val="16"/>
                <w:szCs w:val="16"/>
              </w:rPr>
              <w:t>59/2022</w:t>
            </w:r>
          </w:p>
        </w:tc>
        <w:tc>
          <w:tcPr>
            <w:tcW w:w="10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6"/>
                <w:szCs w:val="16"/>
              </w:rPr>
            </w:pPr>
            <w:r w:rsidRPr="00F70B70">
              <w:rPr>
                <w:rFonts w:ascii="Calibri" w:hAnsi="Calibri" w:cs="Calibri"/>
                <w:sz w:val="16"/>
                <w:szCs w:val="16"/>
              </w:rPr>
              <w:t>25.10.2022</w:t>
            </w:r>
          </w:p>
        </w:tc>
        <w:tc>
          <w:tcPr>
            <w:tcW w:w="3544" w:type="dxa"/>
            <w:vMerge w:val="restart"/>
            <w:tcBorders>
              <w:top w:val="nil"/>
              <w:left w:val="single" w:sz="4" w:space="0" w:color="auto"/>
              <w:bottom w:val="single" w:sz="4" w:space="0" w:color="auto"/>
              <w:right w:val="single" w:sz="4" w:space="0" w:color="auto"/>
            </w:tcBorders>
            <w:shd w:val="clear" w:color="auto" w:fill="auto"/>
            <w:vAlign w:val="center"/>
            <w:hideMark/>
          </w:tcPr>
          <w:p w:rsidR="00F70B70" w:rsidRPr="00F70B70" w:rsidRDefault="00F70B70">
            <w:pPr>
              <w:rPr>
                <w:rFonts w:ascii="Calibri" w:hAnsi="Calibri" w:cs="Calibri"/>
                <w:sz w:val="17"/>
                <w:szCs w:val="17"/>
              </w:rPr>
            </w:pPr>
            <w:r w:rsidRPr="00F70B70">
              <w:rPr>
                <w:rFonts w:ascii="Calibri" w:hAnsi="Calibri" w:cs="Calibri"/>
                <w:sz w:val="17"/>
                <w:szCs w:val="17"/>
              </w:rPr>
              <w:t>ÚZ 120513014, 120113014 - Účelová neinvestiční dotace z rozpočtu Olomouckého kraje pro ZŠ Majakovského na "Obědy do škol v Olomouckém kraji III"</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20</w:t>
            </w:r>
          </w:p>
        </w:tc>
        <w:tc>
          <w:tcPr>
            <w:tcW w:w="1134"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8 443,58</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20</w:t>
            </w:r>
          </w:p>
        </w:tc>
        <w:tc>
          <w:tcPr>
            <w:tcW w:w="1180"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8 443,58</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 </w:t>
            </w:r>
          </w:p>
        </w:tc>
      </w:tr>
      <w:tr w:rsidR="00F70B70" w:rsidTr="00EB7B11">
        <w:trPr>
          <w:trHeight w:val="573"/>
        </w:trPr>
        <w:tc>
          <w:tcPr>
            <w:tcW w:w="689"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1007"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3544"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7"/>
                <w:szCs w:val="17"/>
              </w:rPr>
            </w:pPr>
          </w:p>
        </w:tc>
        <w:tc>
          <w:tcPr>
            <w:tcW w:w="709"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rPr>
                <w:rFonts w:ascii="Calibri" w:hAnsi="Calibri" w:cs="Calibri"/>
                <w:b/>
                <w:bCs/>
                <w:sz w:val="17"/>
                <w:szCs w:val="17"/>
              </w:rPr>
            </w:pPr>
            <w:r w:rsidRPr="00F70B70">
              <w:rPr>
                <w:rFonts w:ascii="Calibri" w:hAnsi="Calibri" w:cs="Calibri"/>
                <w:b/>
                <w:bCs/>
                <w:sz w:val="17"/>
                <w:szCs w:val="17"/>
              </w:rPr>
              <w:t>Celkem</w:t>
            </w:r>
          </w:p>
        </w:tc>
        <w:tc>
          <w:tcPr>
            <w:tcW w:w="1134"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jc w:val="right"/>
              <w:rPr>
                <w:rFonts w:ascii="Calibri" w:hAnsi="Calibri" w:cs="Calibri"/>
                <w:b/>
                <w:bCs/>
                <w:sz w:val="17"/>
                <w:szCs w:val="17"/>
              </w:rPr>
            </w:pPr>
            <w:r w:rsidRPr="00F70B70">
              <w:rPr>
                <w:rFonts w:ascii="Calibri" w:hAnsi="Calibri" w:cs="Calibri"/>
                <w:b/>
                <w:bCs/>
                <w:sz w:val="17"/>
                <w:szCs w:val="17"/>
              </w:rPr>
              <w:t>8 443,58</w:t>
            </w:r>
          </w:p>
        </w:tc>
        <w:tc>
          <w:tcPr>
            <w:tcW w:w="709"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rPr>
                <w:rFonts w:ascii="Calibri" w:hAnsi="Calibri" w:cs="Calibri"/>
                <w:b/>
                <w:bCs/>
                <w:sz w:val="17"/>
                <w:szCs w:val="17"/>
              </w:rPr>
            </w:pPr>
            <w:r w:rsidRPr="00F70B70">
              <w:rPr>
                <w:rFonts w:ascii="Calibri" w:hAnsi="Calibri" w:cs="Calibri"/>
                <w:b/>
                <w:bCs/>
                <w:sz w:val="17"/>
                <w:szCs w:val="17"/>
              </w:rPr>
              <w:t>Celkem</w:t>
            </w:r>
          </w:p>
        </w:tc>
        <w:tc>
          <w:tcPr>
            <w:tcW w:w="1180"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jc w:val="right"/>
              <w:rPr>
                <w:rFonts w:ascii="Calibri" w:hAnsi="Calibri" w:cs="Calibri"/>
                <w:b/>
                <w:bCs/>
                <w:sz w:val="17"/>
                <w:szCs w:val="17"/>
              </w:rPr>
            </w:pPr>
            <w:r w:rsidRPr="00F70B70">
              <w:rPr>
                <w:rFonts w:ascii="Calibri" w:hAnsi="Calibri" w:cs="Calibri"/>
                <w:b/>
                <w:bCs/>
                <w:sz w:val="17"/>
                <w:szCs w:val="17"/>
              </w:rPr>
              <w:t>8 443,58</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 </w:t>
            </w:r>
          </w:p>
        </w:tc>
      </w:tr>
      <w:tr w:rsidR="00F70B70" w:rsidTr="00F70B70">
        <w:trPr>
          <w:trHeight w:val="384"/>
        </w:trPr>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6"/>
                <w:szCs w:val="16"/>
              </w:rPr>
            </w:pPr>
            <w:r w:rsidRPr="00F70B70">
              <w:rPr>
                <w:rFonts w:ascii="Calibri" w:hAnsi="Calibri" w:cs="Calibri"/>
                <w:sz w:val="16"/>
                <w:szCs w:val="16"/>
              </w:rPr>
              <w:t>61/2022</w:t>
            </w:r>
          </w:p>
        </w:tc>
        <w:tc>
          <w:tcPr>
            <w:tcW w:w="10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6"/>
                <w:szCs w:val="16"/>
              </w:rPr>
            </w:pPr>
            <w:r w:rsidRPr="00F70B70">
              <w:rPr>
                <w:rFonts w:ascii="Calibri" w:hAnsi="Calibri" w:cs="Calibri"/>
                <w:sz w:val="16"/>
                <w:szCs w:val="16"/>
              </w:rPr>
              <w:t>31.10.2022</w:t>
            </w:r>
          </w:p>
        </w:tc>
        <w:tc>
          <w:tcPr>
            <w:tcW w:w="3544" w:type="dxa"/>
            <w:vMerge w:val="restart"/>
            <w:tcBorders>
              <w:top w:val="nil"/>
              <w:left w:val="single" w:sz="4" w:space="0" w:color="auto"/>
              <w:bottom w:val="single" w:sz="4" w:space="0" w:color="auto"/>
              <w:right w:val="single" w:sz="4" w:space="0" w:color="auto"/>
            </w:tcBorders>
            <w:shd w:val="clear" w:color="auto" w:fill="auto"/>
            <w:vAlign w:val="center"/>
            <w:hideMark/>
          </w:tcPr>
          <w:p w:rsidR="00F70B70" w:rsidRPr="00F70B70" w:rsidRDefault="00F70B70">
            <w:pPr>
              <w:rPr>
                <w:rFonts w:ascii="Calibri" w:hAnsi="Calibri" w:cs="Calibri"/>
                <w:sz w:val="17"/>
                <w:szCs w:val="17"/>
              </w:rPr>
            </w:pPr>
            <w:r w:rsidRPr="00F70B70">
              <w:rPr>
                <w:rFonts w:ascii="Calibri" w:hAnsi="Calibri" w:cs="Calibri"/>
                <w:sz w:val="17"/>
                <w:szCs w:val="17"/>
              </w:rPr>
              <w:t>ÚZ 13024 - Příspěvek na úhradu mzdových nákladů a ostatních nákladů vzniklých v souvislosti s výkonem sociálně-právní ochrany dětí na rok 2022 - rozdělení příspěvku na jednotlivé položky</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rsidP="00EB7B11">
            <w:pPr>
              <w:jc w:val="center"/>
              <w:rPr>
                <w:rFonts w:ascii="Calibri" w:hAnsi="Calibri" w:cs="Calibri"/>
                <w:sz w:val="17"/>
                <w:szCs w:val="17"/>
              </w:rPr>
            </w:pPr>
            <w:r w:rsidRPr="00F70B70">
              <w:rPr>
                <w:rFonts w:ascii="Calibri" w:hAnsi="Calibri" w:cs="Calibri"/>
                <w:sz w:val="17"/>
                <w:szCs w:val="17"/>
              </w:rPr>
              <w:t>21</w:t>
            </w:r>
          </w:p>
        </w:tc>
        <w:tc>
          <w:tcPr>
            <w:tcW w:w="1134"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0,00</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21</w:t>
            </w:r>
          </w:p>
        </w:tc>
        <w:tc>
          <w:tcPr>
            <w:tcW w:w="1180"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-3 833 598,00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 </w:t>
            </w:r>
          </w:p>
        </w:tc>
      </w:tr>
      <w:tr w:rsidR="00F70B70" w:rsidTr="00F70B70">
        <w:trPr>
          <w:trHeight w:val="324"/>
        </w:trPr>
        <w:tc>
          <w:tcPr>
            <w:tcW w:w="689"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1007"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3544"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7"/>
                <w:szCs w:val="17"/>
              </w:rPr>
            </w:pP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rsidP="00EB7B11">
            <w:pPr>
              <w:jc w:val="center"/>
              <w:rPr>
                <w:rFonts w:ascii="Calibri" w:hAnsi="Calibri" w:cs="Calibri"/>
                <w:sz w:val="17"/>
                <w:szCs w:val="17"/>
              </w:rPr>
            </w:pPr>
            <w:r w:rsidRPr="00F70B70">
              <w:rPr>
                <w:rFonts w:ascii="Calibri" w:hAnsi="Calibri" w:cs="Calibri"/>
                <w:sz w:val="17"/>
                <w:szCs w:val="17"/>
              </w:rPr>
              <w:t>14</w:t>
            </w:r>
          </w:p>
        </w:tc>
        <w:tc>
          <w:tcPr>
            <w:tcW w:w="1134"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0,00</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14</w:t>
            </w:r>
          </w:p>
        </w:tc>
        <w:tc>
          <w:tcPr>
            <w:tcW w:w="1180"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3 833 598,00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 </w:t>
            </w:r>
          </w:p>
        </w:tc>
      </w:tr>
      <w:tr w:rsidR="00F70B70" w:rsidTr="00F70B70">
        <w:trPr>
          <w:trHeight w:val="336"/>
        </w:trPr>
        <w:tc>
          <w:tcPr>
            <w:tcW w:w="689"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1007"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3544"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7"/>
                <w:szCs w:val="17"/>
              </w:rPr>
            </w:pPr>
          </w:p>
        </w:tc>
        <w:tc>
          <w:tcPr>
            <w:tcW w:w="709"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rPr>
                <w:rFonts w:ascii="Calibri" w:hAnsi="Calibri" w:cs="Calibri"/>
                <w:b/>
                <w:bCs/>
                <w:sz w:val="17"/>
                <w:szCs w:val="17"/>
              </w:rPr>
            </w:pPr>
            <w:r w:rsidRPr="00F70B70">
              <w:rPr>
                <w:rFonts w:ascii="Calibri" w:hAnsi="Calibri" w:cs="Calibri"/>
                <w:b/>
                <w:bCs/>
                <w:sz w:val="17"/>
                <w:szCs w:val="17"/>
              </w:rPr>
              <w:t>Celkem</w:t>
            </w:r>
          </w:p>
        </w:tc>
        <w:tc>
          <w:tcPr>
            <w:tcW w:w="1134"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jc w:val="right"/>
              <w:rPr>
                <w:rFonts w:ascii="Calibri" w:hAnsi="Calibri" w:cs="Calibri"/>
                <w:b/>
                <w:bCs/>
                <w:sz w:val="17"/>
                <w:szCs w:val="17"/>
              </w:rPr>
            </w:pPr>
            <w:r w:rsidRPr="00F70B70">
              <w:rPr>
                <w:rFonts w:ascii="Calibri" w:hAnsi="Calibri" w:cs="Calibri"/>
                <w:b/>
                <w:bCs/>
                <w:sz w:val="17"/>
                <w:szCs w:val="17"/>
              </w:rPr>
              <w:t>0,00</w:t>
            </w:r>
          </w:p>
        </w:tc>
        <w:tc>
          <w:tcPr>
            <w:tcW w:w="709"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rPr>
                <w:rFonts w:ascii="Calibri" w:hAnsi="Calibri" w:cs="Calibri"/>
                <w:b/>
                <w:bCs/>
                <w:sz w:val="17"/>
                <w:szCs w:val="17"/>
              </w:rPr>
            </w:pPr>
            <w:r w:rsidRPr="00F70B70">
              <w:rPr>
                <w:rFonts w:ascii="Calibri" w:hAnsi="Calibri" w:cs="Calibri"/>
                <w:b/>
                <w:bCs/>
                <w:sz w:val="17"/>
                <w:szCs w:val="17"/>
              </w:rPr>
              <w:t>Celkem</w:t>
            </w:r>
          </w:p>
        </w:tc>
        <w:tc>
          <w:tcPr>
            <w:tcW w:w="1180"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jc w:val="right"/>
              <w:rPr>
                <w:rFonts w:ascii="Calibri" w:hAnsi="Calibri" w:cs="Calibri"/>
                <w:b/>
                <w:bCs/>
                <w:sz w:val="17"/>
                <w:szCs w:val="17"/>
              </w:rPr>
            </w:pPr>
            <w:r w:rsidRPr="00F70B70">
              <w:rPr>
                <w:rFonts w:ascii="Calibri" w:hAnsi="Calibri" w:cs="Calibri"/>
                <w:b/>
                <w:bCs/>
                <w:sz w:val="17"/>
                <w:szCs w:val="17"/>
              </w:rPr>
              <w:t>0,00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 </w:t>
            </w:r>
          </w:p>
        </w:tc>
      </w:tr>
      <w:tr w:rsidR="00F70B70" w:rsidTr="00EB7B11">
        <w:trPr>
          <w:trHeight w:val="483"/>
        </w:trPr>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6"/>
                <w:szCs w:val="16"/>
              </w:rPr>
            </w:pPr>
            <w:r w:rsidRPr="00F70B70">
              <w:rPr>
                <w:rFonts w:ascii="Calibri" w:hAnsi="Calibri" w:cs="Calibri"/>
                <w:sz w:val="16"/>
                <w:szCs w:val="16"/>
              </w:rPr>
              <w:t>63/2022</w:t>
            </w:r>
          </w:p>
        </w:tc>
        <w:tc>
          <w:tcPr>
            <w:tcW w:w="10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6"/>
                <w:szCs w:val="16"/>
              </w:rPr>
            </w:pPr>
            <w:r w:rsidRPr="00F70B70">
              <w:rPr>
                <w:rFonts w:ascii="Calibri" w:hAnsi="Calibri" w:cs="Calibri"/>
                <w:sz w:val="16"/>
                <w:szCs w:val="16"/>
              </w:rPr>
              <w:t>07.11.2022</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F70B70" w:rsidRPr="00F70B70" w:rsidRDefault="00F70B70">
            <w:pPr>
              <w:rPr>
                <w:rFonts w:ascii="Calibri" w:hAnsi="Calibri" w:cs="Calibri"/>
                <w:sz w:val="17"/>
                <w:szCs w:val="17"/>
              </w:rPr>
            </w:pPr>
            <w:r w:rsidRPr="00F70B70">
              <w:rPr>
                <w:rFonts w:ascii="Calibri" w:hAnsi="Calibri" w:cs="Calibri"/>
                <w:sz w:val="17"/>
                <w:szCs w:val="17"/>
              </w:rPr>
              <w:t>ÚZ 143533092, 143133092 - Účelová neinvestiční dotace z Ministerstva školství, mládeže a tělovýchovy ČR pro MŠ Rumunská na realizaci projektu v rámci Operačního programu J. A. Komenský</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20</w:t>
            </w:r>
          </w:p>
        </w:tc>
        <w:tc>
          <w:tcPr>
            <w:tcW w:w="1134"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667 463,00</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20</w:t>
            </w:r>
          </w:p>
        </w:tc>
        <w:tc>
          <w:tcPr>
            <w:tcW w:w="1180"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667 463,00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 </w:t>
            </w:r>
          </w:p>
        </w:tc>
      </w:tr>
      <w:tr w:rsidR="00F70B70" w:rsidTr="00EB7B11">
        <w:trPr>
          <w:trHeight w:val="547"/>
        </w:trPr>
        <w:tc>
          <w:tcPr>
            <w:tcW w:w="689"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1007"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3544" w:type="dxa"/>
            <w:vMerge/>
            <w:tcBorders>
              <w:top w:val="nil"/>
              <w:left w:val="single" w:sz="4" w:space="0" w:color="auto"/>
              <w:bottom w:val="single" w:sz="4" w:space="0" w:color="000000"/>
              <w:right w:val="single" w:sz="4" w:space="0" w:color="auto"/>
            </w:tcBorders>
            <w:vAlign w:val="center"/>
            <w:hideMark/>
          </w:tcPr>
          <w:p w:rsidR="00F70B70" w:rsidRPr="00F70B70" w:rsidRDefault="00F70B70">
            <w:pPr>
              <w:rPr>
                <w:rFonts w:ascii="Calibri" w:hAnsi="Calibri" w:cs="Calibri"/>
                <w:sz w:val="17"/>
                <w:szCs w:val="17"/>
              </w:rPr>
            </w:pPr>
          </w:p>
        </w:tc>
        <w:tc>
          <w:tcPr>
            <w:tcW w:w="709"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rPr>
                <w:rFonts w:ascii="Calibri" w:hAnsi="Calibri" w:cs="Calibri"/>
                <w:b/>
                <w:bCs/>
                <w:sz w:val="17"/>
                <w:szCs w:val="17"/>
              </w:rPr>
            </w:pPr>
            <w:r w:rsidRPr="00F70B70">
              <w:rPr>
                <w:rFonts w:ascii="Calibri" w:hAnsi="Calibri" w:cs="Calibri"/>
                <w:b/>
                <w:bCs/>
                <w:sz w:val="17"/>
                <w:szCs w:val="17"/>
              </w:rPr>
              <w:t>Celkem</w:t>
            </w:r>
          </w:p>
        </w:tc>
        <w:tc>
          <w:tcPr>
            <w:tcW w:w="1134"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jc w:val="right"/>
              <w:rPr>
                <w:rFonts w:ascii="Calibri" w:hAnsi="Calibri" w:cs="Calibri"/>
                <w:b/>
                <w:bCs/>
                <w:sz w:val="17"/>
                <w:szCs w:val="17"/>
              </w:rPr>
            </w:pPr>
            <w:r w:rsidRPr="00F70B70">
              <w:rPr>
                <w:rFonts w:ascii="Calibri" w:hAnsi="Calibri" w:cs="Calibri"/>
                <w:b/>
                <w:bCs/>
                <w:sz w:val="17"/>
                <w:szCs w:val="17"/>
              </w:rPr>
              <w:t>667 463,00</w:t>
            </w:r>
          </w:p>
        </w:tc>
        <w:tc>
          <w:tcPr>
            <w:tcW w:w="709"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rPr>
                <w:rFonts w:ascii="Calibri" w:hAnsi="Calibri" w:cs="Calibri"/>
                <w:b/>
                <w:bCs/>
                <w:sz w:val="17"/>
                <w:szCs w:val="17"/>
              </w:rPr>
            </w:pPr>
            <w:r w:rsidRPr="00F70B70">
              <w:rPr>
                <w:rFonts w:ascii="Calibri" w:hAnsi="Calibri" w:cs="Calibri"/>
                <w:b/>
                <w:bCs/>
                <w:sz w:val="17"/>
                <w:szCs w:val="17"/>
              </w:rPr>
              <w:t>Celkem</w:t>
            </w:r>
          </w:p>
        </w:tc>
        <w:tc>
          <w:tcPr>
            <w:tcW w:w="1180"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jc w:val="right"/>
              <w:rPr>
                <w:rFonts w:ascii="Calibri" w:hAnsi="Calibri" w:cs="Calibri"/>
                <w:b/>
                <w:bCs/>
                <w:sz w:val="17"/>
                <w:szCs w:val="17"/>
              </w:rPr>
            </w:pPr>
            <w:r w:rsidRPr="00F70B70">
              <w:rPr>
                <w:rFonts w:ascii="Calibri" w:hAnsi="Calibri" w:cs="Calibri"/>
                <w:b/>
                <w:bCs/>
                <w:sz w:val="17"/>
                <w:szCs w:val="17"/>
              </w:rPr>
              <w:t>667 463,00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 </w:t>
            </w:r>
          </w:p>
        </w:tc>
      </w:tr>
      <w:tr w:rsidR="00F70B70" w:rsidTr="00EB7B11">
        <w:trPr>
          <w:trHeight w:val="343"/>
        </w:trPr>
        <w:tc>
          <w:tcPr>
            <w:tcW w:w="6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0B70" w:rsidRPr="00F70B70" w:rsidRDefault="00F70B70">
            <w:pPr>
              <w:jc w:val="center"/>
              <w:rPr>
                <w:rFonts w:ascii="Calibri" w:hAnsi="Calibri" w:cs="Calibri"/>
                <w:sz w:val="16"/>
                <w:szCs w:val="16"/>
              </w:rPr>
            </w:pPr>
            <w:r w:rsidRPr="00F70B70">
              <w:rPr>
                <w:rFonts w:ascii="Calibri" w:hAnsi="Calibri" w:cs="Calibri"/>
                <w:sz w:val="16"/>
                <w:szCs w:val="16"/>
              </w:rPr>
              <w:t>64/2022</w:t>
            </w:r>
          </w:p>
        </w:tc>
        <w:tc>
          <w:tcPr>
            <w:tcW w:w="10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0B70" w:rsidRPr="00F70B70" w:rsidRDefault="00F70B70">
            <w:pPr>
              <w:jc w:val="center"/>
              <w:rPr>
                <w:rFonts w:ascii="Calibri" w:hAnsi="Calibri" w:cs="Calibri"/>
                <w:sz w:val="16"/>
                <w:szCs w:val="16"/>
              </w:rPr>
            </w:pPr>
            <w:r w:rsidRPr="00F70B70">
              <w:rPr>
                <w:rFonts w:ascii="Calibri" w:hAnsi="Calibri" w:cs="Calibri"/>
                <w:sz w:val="16"/>
                <w:szCs w:val="16"/>
              </w:rPr>
              <w:t>21.11.2022</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F70B70" w:rsidRPr="00F70B70" w:rsidRDefault="00F70B70">
            <w:pPr>
              <w:rPr>
                <w:rFonts w:ascii="Calibri" w:hAnsi="Calibri" w:cs="Calibri"/>
                <w:sz w:val="17"/>
                <w:szCs w:val="17"/>
              </w:rPr>
            </w:pPr>
            <w:r w:rsidRPr="00F70B70">
              <w:rPr>
                <w:rFonts w:ascii="Calibri" w:hAnsi="Calibri" w:cs="Calibri"/>
                <w:sz w:val="17"/>
                <w:szCs w:val="17"/>
              </w:rPr>
              <w:t>ÚZ 550 - Úč</w:t>
            </w:r>
            <w:r w:rsidR="00EB7B11">
              <w:rPr>
                <w:rFonts w:ascii="Calibri" w:hAnsi="Calibri" w:cs="Calibri"/>
                <w:sz w:val="17"/>
                <w:szCs w:val="17"/>
              </w:rPr>
              <w:t>e</w:t>
            </w:r>
            <w:r w:rsidRPr="00F70B70">
              <w:rPr>
                <w:rFonts w:ascii="Calibri" w:hAnsi="Calibri" w:cs="Calibri"/>
                <w:sz w:val="17"/>
                <w:szCs w:val="17"/>
              </w:rPr>
              <w:t>lová neinvestiční dotace z rozpoč</w:t>
            </w:r>
            <w:r w:rsidR="00EB7B11">
              <w:rPr>
                <w:rFonts w:ascii="Calibri" w:hAnsi="Calibri" w:cs="Calibri"/>
                <w:sz w:val="17"/>
                <w:szCs w:val="17"/>
              </w:rPr>
              <w:t>t</w:t>
            </w:r>
            <w:r w:rsidRPr="00F70B70">
              <w:rPr>
                <w:rFonts w:ascii="Calibri" w:hAnsi="Calibri" w:cs="Calibri"/>
                <w:sz w:val="17"/>
                <w:szCs w:val="17"/>
              </w:rPr>
              <w:t>u Olomouckého kraje na částečnou úhradu výdajů na Městský hřbitov Prostějov - oprava zvonice</w:t>
            </w:r>
          </w:p>
        </w:tc>
        <w:tc>
          <w:tcPr>
            <w:tcW w:w="709" w:type="dxa"/>
            <w:tcBorders>
              <w:top w:val="nil"/>
              <w:left w:val="nil"/>
              <w:bottom w:val="single" w:sz="4" w:space="0" w:color="auto"/>
              <w:right w:val="single" w:sz="4" w:space="0" w:color="auto"/>
            </w:tcBorders>
            <w:shd w:val="clear" w:color="000000" w:fill="FFFFFF"/>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60</w:t>
            </w:r>
          </w:p>
        </w:tc>
        <w:tc>
          <w:tcPr>
            <w:tcW w:w="1134" w:type="dxa"/>
            <w:tcBorders>
              <w:top w:val="nil"/>
              <w:left w:val="nil"/>
              <w:bottom w:val="single" w:sz="4" w:space="0" w:color="auto"/>
              <w:right w:val="single" w:sz="4" w:space="0" w:color="auto"/>
            </w:tcBorders>
            <w:shd w:val="clear" w:color="000000" w:fill="FFFFFF"/>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200 000,00</w:t>
            </w:r>
          </w:p>
        </w:tc>
        <w:tc>
          <w:tcPr>
            <w:tcW w:w="709" w:type="dxa"/>
            <w:tcBorders>
              <w:top w:val="nil"/>
              <w:left w:val="nil"/>
              <w:bottom w:val="single" w:sz="4" w:space="0" w:color="auto"/>
              <w:right w:val="single" w:sz="4" w:space="0" w:color="auto"/>
            </w:tcBorders>
            <w:shd w:val="clear" w:color="000000" w:fill="FFFFFF"/>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60</w:t>
            </w:r>
          </w:p>
        </w:tc>
        <w:tc>
          <w:tcPr>
            <w:tcW w:w="1180" w:type="dxa"/>
            <w:tcBorders>
              <w:top w:val="nil"/>
              <w:left w:val="nil"/>
              <w:bottom w:val="single" w:sz="4" w:space="0" w:color="auto"/>
              <w:right w:val="single" w:sz="4" w:space="0" w:color="auto"/>
            </w:tcBorders>
            <w:shd w:val="clear" w:color="000000" w:fill="FFFFFF"/>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200 000,00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 </w:t>
            </w:r>
          </w:p>
        </w:tc>
      </w:tr>
      <w:tr w:rsidR="00F70B70" w:rsidTr="00EB7B11">
        <w:trPr>
          <w:trHeight w:val="420"/>
        </w:trPr>
        <w:tc>
          <w:tcPr>
            <w:tcW w:w="689" w:type="dxa"/>
            <w:vMerge/>
            <w:tcBorders>
              <w:top w:val="nil"/>
              <w:left w:val="single" w:sz="4" w:space="0" w:color="auto"/>
              <w:bottom w:val="single" w:sz="4" w:space="0" w:color="000000"/>
              <w:right w:val="single" w:sz="4" w:space="0" w:color="auto"/>
            </w:tcBorders>
            <w:vAlign w:val="center"/>
            <w:hideMark/>
          </w:tcPr>
          <w:p w:rsidR="00F70B70" w:rsidRPr="00F70B70" w:rsidRDefault="00F70B70">
            <w:pPr>
              <w:rPr>
                <w:rFonts w:ascii="Calibri" w:hAnsi="Calibri" w:cs="Calibri"/>
                <w:sz w:val="16"/>
                <w:szCs w:val="16"/>
              </w:rPr>
            </w:pPr>
          </w:p>
        </w:tc>
        <w:tc>
          <w:tcPr>
            <w:tcW w:w="1007" w:type="dxa"/>
            <w:vMerge/>
            <w:tcBorders>
              <w:top w:val="nil"/>
              <w:left w:val="single" w:sz="4" w:space="0" w:color="auto"/>
              <w:bottom w:val="single" w:sz="4" w:space="0" w:color="000000"/>
              <w:right w:val="single" w:sz="4" w:space="0" w:color="auto"/>
            </w:tcBorders>
            <w:vAlign w:val="center"/>
            <w:hideMark/>
          </w:tcPr>
          <w:p w:rsidR="00F70B70" w:rsidRPr="00F70B70" w:rsidRDefault="00F70B70">
            <w:pPr>
              <w:rPr>
                <w:rFonts w:ascii="Calibri" w:hAnsi="Calibri" w:cs="Calibri"/>
                <w:sz w:val="16"/>
                <w:szCs w:val="16"/>
              </w:rPr>
            </w:pPr>
          </w:p>
        </w:tc>
        <w:tc>
          <w:tcPr>
            <w:tcW w:w="3544" w:type="dxa"/>
            <w:vMerge/>
            <w:tcBorders>
              <w:top w:val="nil"/>
              <w:left w:val="single" w:sz="4" w:space="0" w:color="auto"/>
              <w:bottom w:val="single" w:sz="4" w:space="0" w:color="000000"/>
              <w:right w:val="single" w:sz="4" w:space="0" w:color="auto"/>
            </w:tcBorders>
            <w:vAlign w:val="center"/>
            <w:hideMark/>
          </w:tcPr>
          <w:p w:rsidR="00F70B70" w:rsidRPr="00F70B70" w:rsidRDefault="00F70B70">
            <w:pPr>
              <w:rPr>
                <w:rFonts w:ascii="Calibri" w:hAnsi="Calibri" w:cs="Calibri"/>
                <w:sz w:val="17"/>
                <w:szCs w:val="17"/>
              </w:rPr>
            </w:pPr>
          </w:p>
        </w:tc>
        <w:tc>
          <w:tcPr>
            <w:tcW w:w="709"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rPr>
                <w:rFonts w:ascii="Calibri" w:hAnsi="Calibri" w:cs="Calibri"/>
                <w:b/>
                <w:bCs/>
                <w:sz w:val="17"/>
                <w:szCs w:val="17"/>
              </w:rPr>
            </w:pPr>
            <w:r w:rsidRPr="00F70B70">
              <w:rPr>
                <w:rFonts w:ascii="Calibri" w:hAnsi="Calibri" w:cs="Calibri"/>
                <w:b/>
                <w:bCs/>
                <w:sz w:val="17"/>
                <w:szCs w:val="17"/>
              </w:rPr>
              <w:t>Celkem</w:t>
            </w:r>
          </w:p>
        </w:tc>
        <w:tc>
          <w:tcPr>
            <w:tcW w:w="1134"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jc w:val="right"/>
              <w:rPr>
                <w:rFonts w:ascii="Calibri" w:hAnsi="Calibri" w:cs="Calibri"/>
                <w:b/>
                <w:bCs/>
                <w:sz w:val="17"/>
                <w:szCs w:val="17"/>
              </w:rPr>
            </w:pPr>
            <w:r w:rsidRPr="00F70B70">
              <w:rPr>
                <w:rFonts w:ascii="Calibri" w:hAnsi="Calibri" w:cs="Calibri"/>
                <w:b/>
                <w:bCs/>
                <w:sz w:val="17"/>
                <w:szCs w:val="17"/>
              </w:rPr>
              <w:t>200 000,00</w:t>
            </w:r>
          </w:p>
        </w:tc>
        <w:tc>
          <w:tcPr>
            <w:tcW w:w="709"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rPr>
                <w:rFonts w:ascii="Calibri" w:hAnsi="Calibri" w:cs="Calibri"/>
                <w:b/>
                <w:bCs/>
                <w:sz w:val="17"/>
                <w:szCs w:val="17"/>
              </w:rPr>
            </w:pPr>
            <w:r w:rsidRPr="00F70B70">
              <w:rPr>
                <w:rFonts w:ascii="Calibri" w:hAnsi="Calibri" w:cs="Calibri"/>
                <w:b/>
                <w:bCs/>
                <w:sz w:val="17"/>
                <w:szCs w:val="17"/>
              </w:rPr>
              <w:t>Celkem</w:t>
            </w:r>
          </w:p>
        </w:tc>
        <w:tc>
          <w:tcPr>
            <w:tcW w:w="1180"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jc w:val="right"/>
              <w:rPr>
                <w:rFonts w:ascii="Calibri" w:hAnsi="Calibri" w:cs="Calibri"/>
                <w:b/>
                <w:bCs/>
                <w:sz w:val="17"/>
                <w:szCs w:val="17"/>
              </w:rPr>
            </w:pPr>
            <w:r w:rsidRPr="00F70B70">
              <w:rPr>
                <w:rFonts w:ascii="Calibri" w:hAnsi="Calibri" w:cs="Calibri"/>
                <w:b/>
                <w:bCs/>
                <w:sz w:val="17"/>
                <w:szCs w:val="17"/>
              </w:rPr>
              <w:t>200 000,00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 </w:t>
            </w:r>
          </w:p>
        </w:tc>
      </w:tr>
      <w:tr w:rsidR="00F70B70" w:rsidTr="00EB7B11">
        <w:trPr>
          <w:trHeight w:val="423"/>
        </w:trPr>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6"/>
                <w:szCs w:val="16"/>
              </w:rPr>
            </w:pPr>
            <w:r w:rsidRPr="00F70B70">
              <w:rPr>
                <w:rFonts w:ascii="Calibri" w:hAnsi="Calibri" w:cs="Calibri"/>
                <w:sz w:val="16"/>
                <w:szCs w:val="16"/>
              </w:rPr>
              <w:t>65/2022</w:t>
            </w:r>
          </w:p>
        </w:tc>
        <w:tc>
          <w:tcPr>
            <w:tcW w:w="10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6"/>
                <w:szCs w:val="16"/>
              </w:rPr>
            </w:pPr>
            <w:r w:rsidRPr="00F70B70">
              <w:rPr>
                <w:rFonts w:ascii="Calibri" w:hAnsi="Calibri" w:cs="Calibri"/>
                <w:sz w:val="16"/>
                <w:szCs w:val="16"/>
              </w:rPr>
              <w:t>21.11.2022</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F70B70" w:rsidRPr="00F70B70" w:rsidRDefault="00F70B70">
            <w:pPr>
              <w:rPr>
                <w:rFonts w:ascii="Calibri" w:hAnsi="Calibri" w:cs="Calibri"/>
                <w:sz w:val="17"/>
                <w:szCs w:val="17"/>
              </w:rPr>
            </w:pPr>
            <w:r w:rsidRPr="00F70B70">
              <w:rPr>
                <w:rFonts w:ascii="Calibri" w:hAnsi="Calibri" w:cs="Calibri"/>
                <w:sz w:val="17"/>
                <w:szCs w:val="17"/>
              </w:rPr>
              <w:t>ÚZ 98008 - Účelová neinvestiční dotace z Ministerstva financí ČR na úhradu výdajů vzniklých v roce 2022 v souvislosti s přípravami volby prezidenta ČR v roce 2023</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rsidP="00EB7B11">
            <w:pPr>
              <w:jc w:val="center"/>
              <w:rPr>
                <w:rFonts w:ascii="Calibri" w:hAnsi="Calibri" w:cs="Calibri"/>
                <w:sz w:val="17"/>
                <w:szCs w:val="17"/>
              </w:rPr>
            </w:pPr>
            <w:r w:rsidRPr="00F70B70">
              <w:rPr>
                <w:rFonts w:ascii="Calibri" w:hAnsi="Calibri" w:cs="Calibri"/>
                <w:sz w:val="17"/>
                <w:szCs w:val="17"/>
              </w:rPr>
              <w:t>11</w:t>
            </w:r>
          </w:p>
        </w:tc>
        <w:tc>
          <w:tcPr>
            <w:tcW w:w="1134"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428 600,00</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11</w:t>
            </w:r>
          </w:p>
        </w:tc>
        <w:tc>
          <w:tcPr>
            <w:tcW w:w="1180"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428 600,00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 </w:t>
            </w:r>
          </w:p>
        </w:tc>
      </w:tr>
      <w:tr w:rsidR="00F70B70" w:rsidTr="00F70B70">
        <w:trPr>
          <w:trHeight w:val="468"/>
        </w:trPr>
        <w:tc>
          <w:tcPr>
            <w:tcW w:w="689"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1007"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3544" w:type="dxa"/>
            <w:vMerge/>
            <w:tcBorders>
              <w:top w:val="nil"/>
              <w:left w:val="single" w:sz="4" w:space="0" w:color="auto"/>
              <w:bottom w:val="single" w:sz="4" w:space="0" w:color="000000"/>
              <w:right w:val="single" w:sz="4" w:space="0" w:color="auto"/>
            </w:tcBorders>
            <w:vAlign w:val="center"/>
            <w:hideMark/>
          </w:tcPr>
          <w:p w:rsidR="00F70B70" w:rsidRPr="00F70B70" w:rsidRDefault="00F70B70">
            <w:pPr>
              <w:rPr>
                <w:rFonts w:ascii="Calibri" w:hAnsi="Calibri" w:cs="Calibri"/>
                <w:sz w:val="17"/>
                <w:szCs w:val="17"/>
              </w:rPr>
            </w:pPr>
          </w:p>
        </w:tc>
        <w:tc>
          <w:tcPr>
            <w:tcW w:w="709"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rPr>
                <w:rFonts w:ascii="Calibri" w:hAnsi="Calibri" w:cs="Calibri"/>
                <w:b/>
                <w:bCs/>
                <w:sz w:val="17"/>
                <w:szCs w:val="17"/>
              </w:rPr>
            </w:pPr>
            <w:r w:rsidRPr="00F70B70">
              <w:rPr>
                <w:rFonts w:ascii="Calibri" w:hAnsi="Calibri" w:cs="Calibri"/>
                <w:b/>
                <w:bCs/>
                <w:sz w:val="17"/>
                <w:szCs w:val="17"/>
              </w:rPr>
              <w:t>Celkem</w:t>
            </w:r>
          </w:p>
        </w:tc>
        <w:tc>
          <w:tcPr>
            <w:tcW w:w="1134"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jc w:val="right"/>
              <w:rPr>
                <w:rFonts w:ascii="Calibri" w:hAnsi="Calibri" w:cs="Calibri"/>
                <w:b/>
                <w:bCs/>
                <w:sz w:val="17"/>
                <w:szCs w:val="17"/>
              </w:rPr>
            </w:pPr>
            <w:r w:rsidRPr="00F70B70">
              <w:rPr>
                <w:rFonts w:ascii="Calibri" w:hAnsi="Calibri" w:cs="Calibri"/>
                <w:b/>
                <w:bCs/>
                <w:sz w:val="17"/>
                <w:szCs w:val="17"/>
              </w:rPr>
              <w:t>428 600,00</w:t>
            </w:r>
          </w:p>
        </w:tc>
        <w:tc>
          <w:tcPr>
            <w:tcW w:w="709"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rPr>
                <w:rFonts w:ascii="Calibri" w:hAnsi="Calibri" w:cs="Calibri"/>
                <w:b/>
                <w:bCs/>
                <w:sz w:val="17"/>
                <w:szCs w:val="17"/>
              </w:rPr>
            </w:pPr>
            <w:r w:rsidRPr="00F70B70">
              <w:rPr>
                <w:rFonts w:ascii="Calibri" w:hAnsi="Calibri" w:cs="Calibri"/>
                <w:b/>
                <w:bCs/>
                <w:sz w:val="17"/>
                <w:szCs w:val="17"/>
              </w:rPr>
              <w:t>Celkem</w:t>
            </w:r>
          </w:p>
        </w:tc>
        <w:tc>
          <w:tcPr>
            <w:tcW w:w="1180"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jc w:val="right"/>
              <w:rPr>
                <w:rFonts w:ascii="Calibri" w:hAnsi="Calibri" w:cs="Calibri"/>
                <w:b/>
                <w:bCs/>
                <w:sz w:val="17"/>
                <w:szCs w:val="17"/>
              </w:rPr>
            </w:pPr>
            <w:r w:rsidRPr="00F70B70">
              <w:rPr>
                <w:rFonts w:ascii="Calibri" w:hAnsi="Calibri" w:cs="Calibri"/>
                <w:b/>
                <w:bCs/>
                <w:sz w:val="17"/>
                <w:szCs w:val="17"/>
              </w:rPr>
              <w:t>428 600,00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 </w:t>
            </w:r>
          </w:p>
        </w:tc>
      </w:tr>
      <w:tr w:rsidR="00F70B70" w:rsidTr="00EB7B11">
        <w:trPr>
          <w:trHeight w:val="506"/>
        </w:trPr>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6"/>
                <w:szCs w:val="16"/>
              </w:rPr>
            </w:pPr>
            <w:r w:rsidRPr="00F70B70">
              <w:rPr>
                <w:rFonts w:ascii="Calibri" w:hAnsi="Calibri" w:cs="Calibri"/>
                <w:sz w:val="16"/>
                <w:szCs w:val="16"/>
              </w:rPr>
              <w:t>68/2022</w:t>
            </w:r>
          </w:p>
        </w:tc>
        <w:tc>
          <w:tcPr>
            <w:tcW w:w="10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6"/>
                <w:szCs w:val="16"/>
              </w:rPr>
            </w:pPr>
            <w:r w:rsidRPr="00F70B70">
              <w:rPr>
                <w:rFonts w:ascii="Calibri" w:hAnsi="Calibri" w:cs="Calibri"/>
                <w:sz w:val="16"/>
                <w:szCs w:val="16"/>
              </w:rPr>
              <w:t>30.11.2022</w:t>
            </w:r>
          </w:p>
        </w:tc>
        <w:tc>
          <w:tcPr>
            <w:tcW w:w="3544" w:type="dxa"/>
            <w:vMerge w:val="restart"/>
            <w:tcBorders>
              <w:top w:val="nil"/>
              <w:left w:val="single" w:sz="4" w:space="0" w:color="auto"/>
              <w:bottom w:val="single" w:sz="4" w:space="0" w:color="auto"/>
              <w:right w:val="single" w:sz="4" w:space="0" w:color="auto"/>
            </w:tcBorders>
            <w:shd w:val="clear" w:color="auto" w:fill="auto"/>
            <w:vAlign w:val="center"/>
            <w:hideMark/>
          </w:tcPr>
          <w:p w:rsidR="00F70B70" w:rsidRPr="00F70B70" w:rsidRDefault="00F70B70">
            <w:pPr>
              <w:rPr>
                <w:rFonts w:ascii="Calibri" w:hAnsi="Calibri" w:cs="Calibri"/>
                <w:sz w:val="17"/>
                <w:szCs w:val="17"/>
              </w:rPr>
            </w:pPr>
            <w:r w:rsidRPr="00F70B70">
              <w:rPr>
                <w:rFonts w:ascii="Calibri" w:hAnsi="Calibri" w:cs="Calibri"/>
                <w:sz w:val="17"/>
                <w:szCs w:val="17"/>
              </w:rPr>
              <w:t>ÚZ 143533092, 143133092 - Účelová neinvestiční dotace z Ministerstva školství, mládeže a tělovýchovy ČR pro ZŠ Dr. Horáka na realizaci projektu v rámci Operačního programu J. A. Komenský</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20</w:t>
            </w:r>
          </w:p>
        </w:tc>
        <w:tc>
          <w:tcPr>
            <w:tcW w:w="1134"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3 470 930,00</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20</w:t>
            </w:r>
          </w:p>
        </w:tc>
        <w:tc>
          <w:tcPr>
            <w:tcW w:w="1180"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3 470 930,00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 </w:t>
            </w:r>
          </w:p>
        </w:tc>
      </w:tr>
      <w:tr w:rsidR="00F70B70" w:rsidTr="00EB7B11">
        <w:trPr>
          <w:trHeight w:val="556"/>
        </w:trPr>
        <w:tc>
          <w:tcPr>
            <w:tcW w:w="689"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1007"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3544"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7"/>
                <w:szCs w:val="17"/>
              </w:rPr>
            </w:pPr>
          </w:p>
        </w:tc>
        <w:tc>
          <w:tcPr>
            <w:tcW w:w="709"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rPr>
                <w:rFonts w:ascii="Calibri" w:hAnsi="Calibri" w:cs="Calibri"/>
                <w:b/>
                <w:bCs/>
                <w:sz w:val="17"/>
                <w:szCs w:val="17"/>
              </w:rPr>
            </w:pPr>
            <w:r w:rsidRPr="00F70B70">
              <w:rPr>
                <w:rFonts w:ascii="Calibri" w:hAnsi="Calibri" w:cs="Calibri"/>
                <w:b/>
                <w:bCs/>
                <w:sz w:val="17"/>
                <w:szCs w:val="17"/>
              </w:rPr>
              <w:t>Celkem</w:t>
            </w:r>
          </w:p>
        </w:tc>
        <w:tc>
          <w:tcPr>
            <w:tcW w:w="1134"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jc w:val="right"/>
              <w:rPr>
                <w:rFonts w:ascii="Calibri" w:hAnsi="Calibri" w:cs="Calibri"/>
                <w:b/>
                <w:bCs/>
                <w:sz w:val="17"/>
                <w:szCs w:val="17"/>
              </w:rPr>
            </w:pPr>
            <w:r w:rsidRPr="00F70B70">
              <w:rPr>
                <w:rFonts w:ascii="Calibri" w:hAnsi="Calibri" w:cs="Calibri"/>
                <w:b/>
                <w:bCs/>
                <w:sz w:val="17"/>
                <w:szCs w:val="17"/>
              </w:rPr>
              <w:t>3 470 930,00</w:t>
            </w:r>
          </w:p>
        </w:tc>
        <w:tc>
          <w:tcPr>
            <w:tcW w:w="709"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rPr>
                <w:rFonts w:ascii="Calibri" w:hAnsi="Calibri" w:cs="Calibri"/>
                <w:b/>
                <w:bCs/>
                <w:sz w:val="17"/>
                <w:szCs w:val="17"/>
              </w:rPr>
            </w:pPr>
            <w:r w:rsidRPr="00F70B70">
              <w:rPr>
                <w:rFonts w:ascii="Calibri" w:hAnsi="Calibri" w:cs="Calibri"/>
                <w:b/>
                <w:bCs/>
                <w:sz w:val="17"/>
                <w:szCs w:val="17"/>
              </w:rPr>
              <w:t>Celkem</w:t>
            </w:r>
          </w:p>
        </w:tc>
        <w:tc>
          <w:tcPr>
            <w:tcW w:w="1180"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jc w:val="right"/>
              <w:rPr>
                <w:rFonts w:ascii="Calibri" w:hAnsi="Calibri" w:cs="Calibri"/>
                <w:b/>
                <w:bCs/>
                <w:sz w:val="17"/>
                <w:szCs w:val="17"/>
              </w:rPr>
            </w:pPr>
            <w:r w:rsidRPr="00F70B70">
              <w:rPr>
                <w:rFonts w:ascii="Calibri" w:hAnsi="Calibri" w:cs="Calibri"/>
                <w:b/>
                <w:bCs/>
                <w:sz w:val="17"/>
                <w:szCs w:val="17"/>
              </w:rPr>
              <w:t>3 470 930,00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 </w:t>
            </w:r>
          </w:p>
        </w:tc>
      </w:tr>
      <w:tr w:rsidR="00F70B70" w:rsidTr="00EB7B11">
        <w:trPr>
          <w:trHeight w:val="479"/>
        </w:trPr>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6"/>
                <w:szCs w:val="16"/>
              </w:rPr>
            </w:pPr>
            <w:r w:rsidRPr="00F70B70">
              <w:rPr>
                <w:rFonts w:ascii="Calibri" w:hAnsi="Calibri" w:cs="Calibri"/>
                <w:sz w:val="16"/>
                <w:szCs w:val="16"/>
              </w:rPr>
              <w:t>70/2022</w:t>
            </w:r>
          </w:p>
        </w:tc>
        <w:tc>
          <w:tcPr>
            <w:tcW w:w="10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6"/>
                <w:szCs w:val="16"/>
              </w:rPr>
            </w:pPr>
            <w:r w:rsidRPr="00F70B70">
              <w:rPr>
                <w:rFonts w:ascii="Calibri" w:hAnsi="Calibri" w:cs="Calibri"/>
                <w:sz w:val="16"/>
                <w:szCs w:val="16"/>
              </w:rPr>
              <w:t>13.12.2022</w:t>
            </w:r>
          </w:p>
        </w:tc>
        <w:tc>
          <w:tcPr>
            <w:tcW w:w="3544" w:type="dxa"/>
            <w:vMerge w:val="restart"/>
            <w:tcBorders>
              <w:top w:val="nil"/>
              <w:left w:val="single" w:sz="4" w:space="0" w:color="auto"/>
              <w:bottom w:val="single" w:sz="4" w:space="0" w:color="auto"/>
              <w:right w:val="single" w:sz="4" w:space="0" w:color="auto"/>
            </w:tcBorders>
            <w:shd w:val="clear" w:color="auto" w:fill="auto"/>
            <w:vAlign w:val="center"/>
            <w:hideMark/>
          </w:tcPr>
          <w:p w:rsidR="00F70B70" w:rsidRPr="00F70B70" w:rsidRDefault="00F70B70">
            <w:pPr>
              <w:rPr>
                <w:rFonts w:ascii="Calibri" w:hAnsi="Calibri" w:cs="Calibri"/>
                <w:sz w:val="17"/>
                <w:szCs w:val="17"/>
              </w:rPr>
            </w:pPr>
            <w:r w:rsidRPr="00F70B70">
              <w:rPr>
                <w:rFonts w:ascii="Calibri" w:hAnsi="Calibri" w:cs="Calibri"/>
                <w:sz w:val="17"/>
                <w:szCs w:val="17"/>
              </w:rPr>
              <w:t>ÚZ 34054 - Účelová dotace ze státního rozpočtu - Program regenerace městských památkových rezervací a městských památkových zón v roce 2022</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62</w:t>
            </w:r>
          </w:p>
        </w:tc>
        <w:tc>
          <w:tcPr>
            <w:tcW w:w="1134"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570 000,00</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62</w:t>
            </w:r>
          </w:p>
        </w:tc>
        <w:tc>
          <w:tcPr>
            <w:tcW w:w="1180"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570 000,00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 </w:t>
            </w:r>
          </w:p>
        </w:tc>
      </w:tr>
      <w:tr w:rsidR="00F70B70" w:rsidTr="00EB7B11">
        <w:trPr>
          <w:trHeight w:val="413"/>
        </w:trPr>
        <w:tc>
          <w:tcPr>
            <w:tcW w:w="689"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1007"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3544"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7"/>
                <w:szCs w:val="17"/>
              </w:rPr>
            </w:pPr>
          </w:p>
        </w:tc>
        <w:tc>
          <w:tcPr>
            <w:tcW w:w="709"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rPr>
                <w:rFonts w:ascii="Calibri" w:hAnsi="Calibri" w:cs="Calibri"/>
                <w:b/>
                <w:bCs/>
                <w:sz w:val="17"/>
                <w:szCs w:val="17"/>
              </w:rPr>
            </w:pPr>
            <w:r w:rsidRPr="00F70B70">
              <w:rPr>
                <w:rFonts w:ascii="Calibri" w:hAnsi="Calibri" w:cs="Calibri"/>
                <w:b/>
                <w:bCs/>
                <w:sz w:val="17"/>
                <w:szCs w:val="17"/>
              </w:rPr>
              <w:t>Celkem</w:t>
            </w:r>
          </w:p>
        </w:tc>
        <w:tc>
          <w:tcPr>
            <w:tcW w:w="1134"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jc w:val="right"/>
              <w:rPr>
                <w:rFonts w:ascii="Calibri" w:hAnsi="Calibri" w:cs="Calibri"/>
                <w:b/>
                <w:bCs/>
                <w:sz w:val="17"/>
                <w:szCs w:val="17"/>
              </w:rPr>
            </w:pPr>
            <w:r w:rsidRPr="00F70B70">
              <w:rPr>
                <w:rFonts w:ascii="Calibri" w:hAnsi="Calibri" w:cs="Calibri"/>
                <w:b/>
                <w:bCs/>
                <w:sz w:val="17"/>
                <w:szCs w:val="17"/>
              </w:rPr>
              <w:t>570 000,00</w:t>
            </w:r>
          </w:p>
        </w:tc>
        <w:tc>
          <w:tcPr>
            <w:tcW w:w="709"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rPr>
                <w:rFonts w:ascii="Calibri" w:hAnsi="Calibri" w:cs="Calibri"/>
                <w:b/>
                <w:bCs/>
                <w:sz w:val="17"/>
                <w:szCs w:val="17"/>
              </w:rPr>
            </w:pPr>
            <w:r w:rsidRPr="00F70B70">
              <w:rPr>
                <w:rFonts w:ascii="Calibri" w:hAnsi="Calibri" w:cs="Calibri"/>
                <w:b/>
                <w:bCs/>
                <w:sz w:val="17"/>
                <w:szCs w:val="17"/>
              </w:rPr>
              <w:t>Celkem</w:t>
            </w:r>
          </w:p>
        </w:tc>
        <w:tc>
          <w:tcPr>
            <w:tcW w:w="1180"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jc w:val="right"/>
              <w:rPr>
                <w:rFonts w:ascii="Calibri" w:hAnsi="Calibri" w:cs="Calibri"/>
                <w:b/>
                <w:bCs/>
                <w:sz w:val="17"/>
                <w:szCs w:val="17"/>
              </w:rPr>
            </w:pPr>
            <w:r w:rsidRPr="00F70B70">
              <w:rPr>
                <w:rFonts w:ascii="Calibri" w:hAnsi="Calibri" w:cs="Calibri"/>
                <w:b/>
                <w:bCs/>
                <w:sz w:val="17"/>
                <w:szCs w:val="17"/>
              </w:rPr>
              <w:t>570 000,00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 </w:t>
            </w:r>
          </w:p>
        </w:tc>
      </w:tr>
      <w:tr w:rsidR="00F70B70" w:rsidTr="00EB7B11">
        <w:trPr>
          <w:trHeight w:val="405"/>
        </w:trPr>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6"/>
                <w:szCs w:val="16"/>
              </w:rPr>
            </w:pPr>
            <w:r w:rsidRPr="00F70B70">
              <w:rPr>
                <w:rFonts w:ascii="Calibri" w:hAnsi="Calibri" w:cs="Calibri"/>
                <w:sz w:val="16"/>
                <w:szCs w:val="16"/>
              </w:rPr>
              <w:t>71/2022</w:t>
            </w:r>
          </w:p>
        </w:tc>
        <w:tc>
          <w:tcPr>
            <w:tcW w:w="10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6"/>
                <w:szCs w:val="16"/>
              </w:rPr>
            </w:pPr>
            <w:r w:rsidRPr="00F70B70">
              <w:rPr>
                <w:rFonts w:ascii="Calibri" w:hAnsi="Calibri" w:cs="Calibri"/>
                <w:sz w:val="16"/>
                <w:szCs w:val="16"/>
              </w:rPr>
              <w:t>13.12.2022</w:t>
            </w:r>
          </w:p>
        </w:tc>
        <w:tc>
          <w:tcPr>
            <w:tcW w:w="3544" w:type="dxa"/>
            <w:vMerge w:val="restart"/>
            <w:tcBorders>
              <w:top w:val="nil"/>
              <w:left w:val="single" w:sz="4" w:space="0" w:color="auto"/>
              <w:bottom w:val="single" w:sz="4" w:space="0" w:color="auto"/>
              <w:right w:val="single" w:sz="4" w:space="0" w:color="auto"/>
            </w:tcBorders>
            <w:shd w:val="clear" w:color="auto" w:fill="auto"/>
            <w:vAlign w:val="center"/>
            <w:hideMark/>
          </w:tcPr>
          <w:p w:rsidR="00F70B70" w:rsidRPr="00F70B70" w:rsidRDefault="00F70B70">
            <w:pPr>
              <w:rPr>
                <w:rFonts w:ascii="Calibri" w:hAnsi="Calibri" w:cs="Calibri"/>
                <w:sz w:val="17"/>
                <w:szCs w:val="17"/>
              </w:rPr>
            </w:pPr>
            <w:r w:rsidRPr="00F70B70">
              <w:rPr>
                <w:rFonts w:ascii="Calibri" w:hAnsi="Calibri" w:cs="Calibri"/>
                <w:sz w:val="17"/>
                <w:szCs w:val="17"/>
              </w:rPr>
              <w:t>ÚZ 98043 - Jednorázový nenávratný neúčelový příspěvek ze SR ke zmírnění negativních dopadů působnosti zákona č. 519/2021 Sb., o kompenzačním bonusu</w:t>
            </w:r>
            <w:r w:rsidR="00410111">
              <w:rPr>
                <w:rFonts w:ascii="Calibri" w:hAnsi="Calibri" w:cs="Calibri"/>
                <w:sz w:val="17"/>
                <w:szCs w:val="17"/>
              </w:rPr>
              <w:t>,</w:t>
            </w:r>
            <w:r w:rsidRPr="00F70B70">
              <w:rPr>
                <w:rFonts w:ascii="Calibri" w:hAnsi="Calibri" w:cs="Calibri"/>
                <w:sz w:val="17"/>
                <w:szCs w:val="17"/>
              </w:rPr>
              <w:t xml:space="preserve"> pro rok 2022</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70</w:t>
            </w:r>
          </w:p>
        </w:tc>
        <w:tc>
          <w:tcPr>
            <w:tcW w:w="1134"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0,00</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70</w:t>
            </w:r>
          </w:p>
        </w:tc>
        <w:tc>
          <w:tcPr>
            <w:tcW w:w="1180"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2 967 290,34</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 </w:t>
            </w:r>
          </w:p>
        </w:tc>
      </w:tr>
      <w:tr w:rsidR="00F70B70" w:rsidTr="00EB7B11">
        <w:trPr>
          <w:trHeight w:val="355"/>
        </w:trPr>
        <w:tc>
          <w:tcPr>
            <w:tcW w:w="689"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1007"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3544"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7"/>
                <w:szCs w:val="17"/>
              </w:rPr>
            </w:pP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70</w:t>
            </w:r>
          </w:p>
        </w:tc>
        <w:tc>
          <w:tcPr>
            <w:tcW w:w="1134"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0,00</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70</w:t>
            </w:r>
          </w:p>
        </w:tc>
        <w:tc>
          <w:tcPr>
            <w:tcW w:w="1180"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-2 967 290,34</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 </w:t>
            </w:r>
          </w:p>
        </w:tc>
      </w:tr>
      <w:tr w:rsidR="00F70B70" w:rsidTr="00F70B70">
        <w:trPr>
          <w:trHeight w:val="312"/>
        </w:trPr>
        <w:tc>
          <w:tcPr>
            <w:tcW w:w="689"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1007"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3544"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7"/>
                <w:szCs w:val="17"/>
              </w:rPr>
            </w:pPr>
          </w:p>
        </w:tc>
        <w:tc>
          <w:tcPr>
            <w:tcW w:w="709"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rPr>
                <w:rFonts w:ascii="Calibri" w:hAnsi="Calibri" w:cs="Calibri"/>
                <w:b/>
                <w:bCs/>
                <w:sz w:val="17"/>
                <w:szCs w:val="17"/>
              </w:rPr>
            </w:pPr>
            <w:r w:rsidRPr="00F70B70">
              <w:rPr>
                <w:rFonts w:ascii="Calibri" w:hAnsi="Calibri" w:cs="Calibri"/>
                <w:b/>
                <w:bCs/>
                <w:sz w:val="17"/>
                <w:szCs w:val="17"/>
              </w:rPr>
              <w:t>Celkem</w:t>
            </w:r>
          </w:p>
        </w:tc>
        <w:tc>
          <w:tcPr>
            <w:tcW w:w="1134"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jc w:val="right"/>
              <w:rPr>
                <w:rFonts w:ascii="Calibri" w:hAnsi="Calibri" w:cs="Calibri"/>
                <w:b/>
                <w:bCs/>
                <w:sz w:val="17"/>
                <w:szCs w:val="17"/>
              </w:rPr>
            </w:pPr>
            <w:r w:rsidRPr="00F70B70">
              <w:rPr>
                <w:rFonts w:ascii="Calibri" w:hAnsi="Calibri" w:cs="Calibri"/>
                <w:b/>
                <w:bCs/>
                <w:sz w:val="17"/>
                <w:szCs w:val="17"/>
              </w:rPr>
              <w:t>0,00</w:t>
            </w:r>
          </w:p>
        </w:tc>
        <w:tc>
          <w:tcPr>
            <w:tcW w:w="709"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rPr>
                <w:rFonts w:ascii="Calibri" w:hAnsi="Calibri" w:cs="Calibri"/>
                <w:b/>
                <w:bCs/>
                <w:sz w:val="17"/>
                <w:szCs w:val="17"/>
              </w:rPr>
            </w:pPr>
            <w:r w:rsidRPr="00F70B70">
              <w:rPr>
                <w:rFonts w:ascii="Calibri" w:hAnsi="Calibri" w:cs="Calibri"/>
                <w:b/>
                <w:bCs/>
                <w:sz w:val="17"/>
                <w:szCs w:val="17"/>
              </w:rPr>
              <w:t>Celkem</w:t>
            </w:r>
          </w:p>
        </w:tc>
        <w:tc>
          <w:tcPr>
            <w:tcW w:w="1180"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jc w:val="right"/>
              <w:rPr>
                <w:rFonts w:ascii="Calibri" w:hAnsi="Calibri" w:cs="Calibri"/>
                <w:b/>
                <w:bCs/>
                <w:sz w:val="17"/>
                <w:szCs w:val="17"/>
              </w:rPr>
            </w:pPr>
            <w:r w:rsidRPr="00F70B70">
              <w:rPr>
                <w:rFonts w:ascii="Calibri" w:hAnsi="Calibri" w:cs="Calibri"/>
                <w:b/>
                <w:bCs/>
                <w:sz w:val="17"/>
                <w:szCs w:val="17"/>
              </w:rPr>
              <w:t>0,00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 </w:t>
            </w:r>
          </w:p>
        </w:tc>
      </w:tr>
      <w:tr w:rsidR="00F70B70" w:rsidTr="00EB7B11">
        <w:trPr>
          <w:trHeight w:val="376"/>
        </w:trPr>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6"/>
                <w:szCs w:val="16"/>
              </w:rPr>
            </w:pPr>
            <w:r w:rsidRPr="00F70B70">
              <w:rPr>
                <w:rFonts w:ascii="Calibri" w:hAnsi="Calibri" w:cs="Calibri"/>
                <w:sz w:val="16"/>
                <w:szCs w:val="16"/>
              </w:rPr>
              <w:t>73/2022</w:t>
            </w:r>
          </w:p>
        </w:tc>
        <w:tc>
          <w:tcPr>
            <w:tcW w:w="10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6"/>
                <w:szCs w:val="16"/>
              </w:rPr>
            </w:pPr>
            <w:r w:rsidRPr="00F70B70">
              <w:rPr>
                <w:rFonts w:ascii="Calibri" w:hAnsi="Calibri" w:cs="Calibri"/>
                <w:sz w:val="16"/>
                <w:szCs w:val="16"/>
              </w:rPr>
              <w:t>21.12.2022</w:t>
            </w:r>
          </w:p>
        </w:tc>
        <w:tc>
          <w:tcPr>
            <w:tcW w:w="3544" w:type="dxa"/>
            <w:tcBorders>
              <w:top w:val="nil"/>
              <w:left w:val="nil"/>
              <w:bottom w:val="nil"/>
              <w:right w:val="single" w:sz="4" w:space="0" w:color="auto"/>
            </w:tcBorders>
            <w:shd w:val="clear" w:color="auto" w:fill="auto"/>
            <w:vAlign w:val="center"/>
            <w:hideMark/>
          </w:tcPr>
          <w:p w:rsidR="00F70B70" w:rsidRPr="00F70B70" w:rsidRDefault="00F70B70">
            <w:pPr>
              <w:rPr>
                <w:rFonts w:ascii="Calibri" w:hAnsi="Calibri" w:cs="Calibri"/>
                <w:sz w:val="17"/>
                <w:szCs w:val="17"/>
              </w:rPr>
            </w:pPr>
            <w:r w:rsidRPr="00F70B70">
              <w:rPr>
                <w:rFonts w:ascii="Calibri" w:hAnsi="Calibri" w:cs="Calibri"/>
                <w:sz w:val="17"/>
                <w:szCs w:val="17"/>
              </w:rPr>
              <w:t>1) ÚZ 14004 - Účelová neinvestiční dotace na výdaje JSDH z Ministerstva vnitra ČR</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12</w:t>
            </w:r>
          </w:p>
        </w:tc>
        <w:tc>
          <w:tcPr>
            <w:tcW w:w="1134"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162 700,00</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12</w:t>
            </w:r>
          </w:p>
        </w:tc>
        <w:tc>
          <w:tcPr>
            <w:tcW w:w="1180"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162 700,00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1)</w:t>
            </w:r>
          </w:p>
        </w:tc>
      </w:tr>
      <w:tr w:rsidR="00F70B70" w:rsidTr="00EB7B11">
        <w:trPr>
          <w:trHeight w:val="381"/>
        </w:trPr>
        <w:tc>
          <w:tcPr>
            <w:tcW w:w="689"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1007"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F70B70" w:rsidRPr="00F70B70" w:rsidRDefault="00F70B70" w:rsidP="00EB7B11">
            <w:pPr>
              <w:rPr>
                <w:rFonts w:ascii="Calibri" w:hAnsi="Calibri" w:cs="Calibri"/>
                <w:sz w:val="17"/>
                <w:szCs w:val="17"/>
              </w:rPr>
            </w:pPr>
            <w:r w:rsidRPr="00F70B70">
              <w:rPr>
                <w:rFonts w:ascii="Calibri" w:hAnsi="Calibri" w:cs="Calibri"/>
                <w:sz w:val="17"/>
                <w:szCs w:val="17"/>
              </w:rPr>
              <w:t>2) ÚZ 160 - Účelová neinvestiční dotace z rozpočtu Olomouckého kraje pro Městskou knihovnu Prostějov na zajištění plnění r</w:t>
            </w:r>
            <w:r w:rsidR="00EB7B11">
              <w:rPr>
                <w:rFonts w:ascii="Calibri" w:hAnsi="Calibri" w:cs="Calibri"/>
                <w:sz w:val="17"/>
                <w:szCs w:val="17"/>
              </w:rPr>
              <w:t>e</w:t>
            </w:r>
            <w:r w:rsidRPr="00F70B70">
              <w:rPr>
                <w:rFonts w:ascii="Calibri" w:hAnsi="Calibri" w:cs="Calibri"/>
                <w:sz w:val="17"/>
                <w:szCs w:val="17"/>
              </w:rPr>
              <w:t>gion</w:t>
            </w:r>
            <w:r w:rsidR="00EB7B11">
              <w:rPr>
                <w:rFonts w:ascii="Calibri" w:hAnsi="Calibri" w:cs="Calibri"/>
                <w:sz w:val="17"/>
                <w:szCs w:val="17"/>
              </w:rPr>
              <w:t>á</w:t>
            </w:r>
            <w:r w:rsidRPr="00F70B70">
              <w:rPr>
                <w:rFonts w:ascii="Calibri" w:hAnsi="Calibri" w:cs="Calibri"/>
                <w:sz w:val="17"/>
                <w:szCs w:val="17"/>
              </w:rPr>
              <w:t>lních funkcí k</w:t>
            </w:r>
            <w:r w:rsidR="00EB7B11">
              <w:rPr>
                <w:rFonts w:ascii="Calibri" w:hAnsi="Calibri" w:cs="Calibri"/>
                <w:sz w:val="17"/>
                <w:szCs w:val="17"/>
              </w:rPr>
              <w:t>n</w:t>
            </w:r>
            <w:r w:rsidRPr="00F70B70">
              <w:rPr>
                <w:rFonts w:ascii="Calibri" w:hAnsi="Calibri" w:cs="Calibri"/>
                <w:sz w:val="17"/>
                <w:szCs w:val="17"/>
              </w:rPr>
              <w:t>ihoven v roce 2022</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20</w:t>
            </w:r>
          </w:p>
        </w:tc>
        <w:tc>
          <w:tcPr>
            <w:tcW w:w="1134"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60 000,00</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20</w:t>
            </w:r>
          </w:p>
        </w:tc>
        <w:tc>
          <w:tcPr>
            <w:tcW w:w="1180"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60 000,00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2)</w:t>
            </w:r>
          </w:p>
        </w:tc>
      </w:tr>
      <w:tr w:rsidR="00F70B70" w:rsidTr="00F70B70">
        <w:trPr>
          <w:trHeight w:val="480"/>
        </w:trPr>
        <w:tc>
          <w:tcPr>
            <w:tcW w:w="689"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1007"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3544" w:type="dxa"/>
            <w:vMerge/>
            <w:tcBorders>
              <w:top w:val="nil"/>
              <w:left w:val="single" w:sz="4" w:space="0" w:color="auto"/>
              <w:bottom w:val="single" w:sz="4" w:space="0" w:color="000000"/>
              <w:right w:val="single" w:sz="4" w:space="0" w:color="auto"/>
            </w:tcBorders>
            <w:vAlign w:val="center"/>
            <w:hideMark/>
          </w:tcPr>
          <w:p w:rsidR="00F70B70" w:rsidRPr="00F70B70" w:rsidRDefault="00F70B70">
            <w:pPr>
              <w:rPr>
                <w:rFonts w:ascii="Calibri" w:hAnsi="Calibri" w:cs="Calibri"/>
                <w:sz w:val="17"/>
                <w:szCs w:val="17"/>
              </w:rPr>
            </w:pPr>
          </w:p>
        </w:tc>
        <w:tc>
          <w:tcPr>
            <w:tcW w:w="709"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rPr>
                <w:rFonts w:ascii="Calibri" w:hAnsi="Calibri" w:cs="Calibri"/>
                <w:b/>
                <w:bCs/>
                <w:sz w:val="17"/>
                <w:szCs w:val="17"/>
              </w:rPr>
            </w:pPr>
            <w:r w:rsidRPr="00F70B70">
              <w:rPr>
                <w:rFonts w:ascii="Calibri" w:hAnsi="Calibri" w:cs="Calibri"/>
                <w:b/>
                <w:bCs/>
                <w:sz w:val="17"/>
                <w:szCs w:val="17"/>
              </w:rPr>
              <w:t>Celkem</w:t>
            </w:r>
          </w:p>
        </w:tc>
        <w:tc>
          <w:tcPr>
            <w:tcW w:w="1134"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jc w:val="right"/>
              <w:rPr>
                <w:rFonts w:ascii="Calibri" w:hAnsi="Calibri" w:cs="Calibri"/>
                <w:b/>
                <w:bCs/>
                <w:sz w:val="17"/>
                <w:szCs w:val="17"/>
              </w:rPr>
            </w:pPr>
            <w:r w:rsidRPr="00F70B70">
              <w:rPr>
                <w:rFonts w:ascii="Calibri" w:hAnsi="Calibri" w:cs="Calibri"/>
                <w:b/>
                <w:bCs/>
                <w:sz w:val="17"/>
                <w:szCs w:val="17"/>
              </w:rPr>
              <w:t>222 700,00</w:t>
            </w:r>
          </w:p>
        </w:tc>
        <w:tc>
          <w:tcPr>
            <w:tcW w:w="709"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rPr>
                <w:rFonts w:ascii="Calibri" w:hAnsi="Calibri" w:cs="Calibri"/>
                <w:b/>
                <w:bCs/>
                <w:sz w:val="17"/>
                <w:szCs w:val="17"/>
              </w:rPr>
            </w:pPr>
            <w:r w:rsidRPr="00F70B70">
              <w:rPr>
                <w:rFonts w:ascii="Calibri" w:hAnsi="Calibri" w:cs="Calibri"/>
                <w:b/>
                <w:bCs/>
                <w:sz w:val="17"/>
                <w:szCs w:val="17"/>
              </w:rPr>
              <w:t>Celkem</w:t>
            </w:r>
          </w:p>
        </w:tc>
        <w:tc>
          <w:tcPr>
            <w:tcW w:w="1180"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jc w:val="right"/>
              <w:rPr>
                <w:rFonts w:ascii="Calibri" w:hAnsi="Calibri" w:cs="Calibri"/>
                <w:b/>
                <w:bCs/>
                <w:sz w:val="17"/>
                <w:szCs w:val="17"/>
              </w:rPr>
            </w:pPr>
            <w:r w:rsidRPr="00F70B70">
              <w:rPr>
                <w:rFonts w:ascii="Calibri" w:hAnsi="Calibri" w:cs="Calibri"/>
                <w:b/>
                <w:bCs/>
                <w:sz w:val="17"/>
                <w:szCs w:val="17"/>
              </w:rPr>
              <w:t>222 700,00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 </w:t>
            </w:r>
          </w:p>
        </w:tc>
      </w:tr>
      <w:tr w:rsidR="00F70B70" w:rsidTr="00EB7B11">
        <w:trPr>
          <w:trHeight w:val="352"/>
        </w:trPr>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6"/>
                <w:szCs w:val="16"/>
              </w:rPr>
            </w:pPr>
            <w:r w:rsidRPr="00F70B70">
              <w:rPr>
                <w:rFonts w:ascii="Calibri" w:hAnsi="Calibri" w:cs="Calibri"/>
                <w:sz w:val="16"/>
                <w:szCs w:val="16"/>
              </w:rPr>
              <w:t>74/2022</w:t>
            </w:r>
          </w:p>
        </w:tc>
        <w:tc>
          <w:tcPr>
            <w:tcW w:w="10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6"/>
                <w:szCs w:val="16"/>
              </w:rPr>
            </w:pPr>
            <w:r w:rsidRPr="00F70B70">
              <w:rPr>
                <w:rFonts w:ascii="Calibri" w:hAnsi="Calibri" w:cs="Calibri"/>
                <w:sz w:val="16"/>
                <w:szCs w:val="16"/>
              </w:rPr>
              <w:t>21.12.2022</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F70B70" w:rsidRPr="00F70B70" w:rsidRDefault="00F70B70">
            <w:pPr>
              <w:rPr>
                <w:rFonts w:ascii="Calibri" w:hAnsi="Calibri" w:cs="Calibri"/>
                <w:sz w:val="17"/>
                <w:szCs w:val="17"/>
              </w:rPr>
            </w:pPr>
            <w:r w:rsidRPr="00F70B70">
              <w:rPr>
                <w:rFonts w:ascii="Calibri" w:hAnsi="Calibri" w:cs="Calibri"/>
                <w:sz w:val="17"/>
                <w:szCs w:val="17"/>
              </w:rPr>
              <w:t>1) Finanční prostředky z Ministerstva zemědělství ČR na činnost odborného lesního hospodáře za období II. čtvrtletí 2022</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40</w:t>
            </w:r>
          </w:p>
        </w:tc>
        <w:tc>
          <w:tcPr>
            <w:tcW w:w="1134"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0,00</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40</w:t>
            </w:r>
          </w:p>
        </w:tc>
        <w:tc>
          <w:tcPr>
            <w:tcW w:w="1180"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140 345,00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1)</w:t>
            </w:r>
          </w:p>
        </w:tc>
      </w:tr>
      <w:tr w:rsidR="00F70B70" w:rsidTr="00EB7B11">
        <w:trPr>
          <w:trHeight w:val="414"/>
        </w:trPr>
        <w:tc>
          <w:tcPr>
            <w:tcW w:w="689"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1007"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3544" w:type="dxa"/>
            <w:vMerge/>
            <w:tcBorders>
              <w:top w:val="nil"/>
              <w:left w:val="single" w:sz="4" w:space="0" w:color="auto"/>
              <w:bottom w:val="single" w:sz="4" w:space="0" w:color="000000"/>
              <w:right w:val="single" w:sz="4" w:space="0" w:color="auto"/>
            </w:tcBorders>
            <w:vAlign w:val="center"/>
            <w:hideMark/>
          </w:tcPr>
          <w:p w:rsidR="00F70B70" w:rsidRPr="00F70B70" w:rsidRDefault="00F70B70">
            <w:pPr>
              <w:rPr>
                <w:rFonts w:ascii="Calibri" w:hAnsi="Calibri" w:cs="Calibri"/>
                <w:sz w:val="17"/>
                <w:szCs w:val="17"/>
              </w:rPr>
            </w:pP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40</w:t>
            </w:r>
          </w:p>
        </w:tc>
        <w:tc>
          <w:tcPr>
            <w:tcW w:w="1134"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0,00</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40</w:t>
            </w:r>
          </w:p>
        </w:tc>
        <w:tc>
          <w:tcPr>
            <w:tcW w:w="1180"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-140 345,00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1)</w:t>
            </w:r>
          </w:p>
        </w:tc>
      </w:tr>
      <w:tr w:rsidR="00F70B70" w:rsidTr="00EB7B11">
        <w:trPr>
          <w:trHeight w:val="290"/>
        </w:trPr>
        <w:tc>
          <w:tcPr>
            <w:tcW w:w="689"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1007"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F70B70" w:rsidRPr="00F70B70" w:rsidRDefault="00F70B70">
            <w:pPr>
              <w:rPr>
                <w:rFonts w:ascii="Calibri" w:hAnsi="Calibri" w:cs="Calibri"/>
                <w:sz w:val="17"/>
                <w:szCs w:val="17"/>
              </w:rPr>
            </w:pPr>
            <w:r w:rsidRPr="00F70B70">
              <w:rPr>
                <w:rFonts w:ascii="Calibri" w:hAnsi="Calibri" w:cs="Calibri"/>
                <w:sz w:val="17"/>
                <w:szCs w:val="17"/>
              </w:rPr>
              <w:t>2) Finanční prostředky z Ministerstva zemědělství ČR na činnost odborného lesního hospodáře za období III. čtvrtletí 2022</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40</w:t>
            </w:r>
          </w:p>
        </w:tc>
        <w:tc>
          <w:tcPr>
            <w:tcW w:w="1134"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0,00</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40</w:t>
            </w:r>
          </w:p>
        </w:tc>
        <w:tc>
          <w:tcPr>
            <w:tcW w:w="1180"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141 887,00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2)</w:t>
            </w:r>
          </w:p>
        </w:tc>
      </w:tr>
      <w:tr w:rsidR="00F70B70" w:rsidTr="00EB7B11">
        <w:trPr>
          <w:trHeight w:val="396"/>
        </w:trPr>
        <w:tc>
          <w:tcPr>
            <w:tcW w:w="689"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1007"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3544" w:type="dxa"/>
            <w:vMerge/>
            <w:tcBorders>
              <w:top w:val="nil"/>
              <w:left w:val="single" w:sz="4" w:space="0" w:color="auto"/>
              <w:bottom w:val="single" w:sz="4" w:space="0" w:color="000000"/>
              <w:right w:val="single" w:sz="4" w:space="0" w:color="auto"/>
            </w:tcBorders>
            <w:vAlign w:val="center"/>
            <w:hideMark/>
          </w:tcPr>
          <w:p w:rsidR="00F70B70" w:rsidRPr="00F70B70" w:rsidRDefault="00F70B70">
            <w:pPr>
              <w:rPr>
                <w:rFonts w:ascii="Calibri" w:hAnsi="Calibri" w:cs="Calibri"/>
                <w:sz w:val="17"/>
                <w:szCs w:val="17"/>
              </w:rPr>
            </w:pP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40</w:t>
            </w:r>
          </w:p>
        </w:tc>
        <w:tc>
          <w:tcPr>
            <w:tcW w:w="1134"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0,00</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40</w:t>
            </w:r>
          </w:p>
        </w:tc>
        <w:tc>
          <w:tcPr>
            <w:tcW w:w="1180"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-141 887,00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2)</w:t>
            </w:r>
          </w:p>
        </w:tc>
      </w:tr>
      <w:tr w:rsidR="00F70B70" w:rsidTr="00EB7B11">
        <w:trPr>
          <w:trHeight w:val="269"/>
        </w:trPr>
        <w:tc>
          <w:tcPr>
            <w:tcW w:w="689"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1007" w:type="dxa"/>
            <w:vMerge/>
            <w:tcBorders>
              <w:top w:val="nil"/>
              <w:left w:val="single" w:sz="4" w:space="0" w:color="auto"/>
              <w:bottom w:val="single" w:sz="4" w:space="0" w:color="auto"/>
              <w:right w:val="single" w:sz="4" w:space="0" w:color="auto"/>
            </w:tcBorders>
            <w:vAlign w:val="center"/>
            <w:hideMark/>
          </w:tcPr>
          <w:p w:rsidR="00F70B70" w:rsidRPr="00F70B70" w:rsidRDefault="00F70B70">
            <w:pPr>
              <w:rPr>
                <w:rFonts w:ascii="Calibri" w:hAnsi="Calibri" w:cs="Calibri"/>
                <w:sz w:val="16"/>
                <w:szCs w:val="16"/>
              </w:rPr>
            </w:pPr>
          </w:p>
        </w:tc>
        <w:tc>
          <w:tcPr>
            <w:tcW w:w="3544" w:type="dxa"/>
            <w:vMerge/>
            <w:tcBorders>
              <w:top w:val="nil"/>
              <w:left w:val="single" w:sz="4" w:space="0" w:color="auto"/>
              <w:bottom w:val="single" w:sz="4" w:space="0" w:color="000000"/>
              <w:right w:val="single" w:sz="4" w:space="0" w:color="auto"/>
            </w:tcBorders>
            <w:vAlign w:val="center"/>
            <w:hideMark/>
          </w:tcPr>
          <w:p w:rsidR="00F70B70" w:rsidRPr="00F70B70" w:rsidRDefault="00F70B70">
            <w:pPr>
              <w:rPr>
                <w:rFonts w:ascii="Calibri" w:hAnsi="Calibri" w:cs="Calibri"/>
                <w:sz w:val="17"/>
                <w:szCs w:val="17"/>
              </w:rPr>
            </w:pPr>
          </w:p>
        </w:tc>
        <w:tc>
          <w:tcPr>
            <w:tcW w:w="709"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rPr>
                <w:rFonts w:ascii="Calibri" w:hAnsi="Calibri" w:cs="Calibri"/>
                <w:b/>
                <w:bCs/>
                <w:sz w:val="17"/>
                <w:szCs w:val="17"/>
              </w:rPr>
            </w:pPr>
            <w:r w:rsidRPr="00F70B70">
              <w:rPr>
                <w:rFonts w:ascii="Calibri" w:hAnsi="Calibri" w:cs="Calibri"/>
                <w:b/>
                <w:bCs/>
                <w:sz w:val="17"/>
                <w:szCs w:val="17"/>
              </w:rPr>
              <w:t>Celkem</w:t>
            </w:r>
          </w:p>
        </w:tc>
        <w:tc>
          <w:tcPr>
            <w:tcW w:w="1134"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jc w:val="right"/>
              <w:rPr>
                <w:rFonts w:ascii="Calibri" w:hAnsi="Calibri" w:cs="Calibri"/>
                <w:b/>
                <w:bCs/>
                <w:sz w:val="17"/>
                <w:szCs w:val="17"/>
              </w:rPr>
            </w:pPr>
            <w:r w:rsidRPr="00F70B70">
              <w:rPr>
                <w:rFonts w:ascii="Calibri" w:hAnsi="Calibri" w:cs="Calibri"/>
                <w:b/>
                <w:bCs/>
                <w:sz w:val="17"/>
                <w:szCs w:val="17"/>
              </w:rPr>
              <w:t>0,00</w:t>
            </w:r>
          </w:p>
        </w:tc>
        <w:tc>
          <w:tcPr>
            <w:tcW w:w="709"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rPr>
                <w:rFonts w:ascii="Calibri" w:hAnsi="Calibri" w:cs="Calibri"/>
                <w:b/>
                <w:bCs/>
                <w:sz w:val="17"/>
                <w:szCs w:val="17"/>
              </w:rPr>
            </w:pPr>
            <w:r w:rsidRPr="00F70B70">
              <w:rPr>
                <w:rFonts w:ascii="Calibri" w:hAnsi="Calibri" w:cs="Calibri"/>
                <w:b/>
                <w:bCs/>
                <w:sz w:val="17"/>
                <w:szCs w:val="17"/>
              </w:rPr>
              <w:t>Celkem</w:t>
            </w:r>
          </w:p>
        </w:tc>
        <w:tc>
          <w:tcPr>
            <w:tcW w:w="1180"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jc w:val="right"/>
              <w:rPr>
                <w:rFonts w:ascii="Calibri" w:hAnsi="Calibri" w:cs="Calibri"/>
                <w:b/>
                <w:bCs/>
                <w:sz w:val="17"/>
                <w:szCs w:val="17"/>
              </w:rPr>
            </w:pPr>
            <w:r w:rsidRPr="00F70B70">
              <w:rPr>
                <w:rFonts w:ascii="Calibri" w:hAnsi="Calibri" w:cs="Calibri"/>
                <w:b/>
                <w:bCs/>
                <w:sz w:val="17"/>
                <w:szCs w:val="17"/>
              </w:rPr>
              <w:t>0,00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 </w:t>
            </w:r>
          </w:p>
        </w:tc>
      </w:tr>
      <w:tr w:rsidR="00F70B70" w:rsidTr="00F70B70">
        <w:trPr>
          <w:trHeight w:val="300"/>
        </w:trPr>
        <w:tc>
          <w:tcPr>
            <w:tcW w:w="6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0B70" w:rsidRPr="00F70B70" w:rsidRDefault="00F70B70">
            <w:pPr>
              <w:jc w:val="center"/>
              <w:rPr>
                <w:rFonts w:ascii="Calibri" w:hAnsi="Calibri" w:cs="Calibri"/>
                <w:sz w:val="16"/>
                <w:szCs w:val="16"/>
              </w:rPr>
            </w:pPr>
            <w:r w:rsidRPr="00F70B70">
              <w:rPr>
                <w:rFonts w:ascii="Calibri" w:hAnsi="Calibri" w:cs="Calibri"/>
                <w:sz w:val="16"/>
                <w:szCs w:val="16"/>
              </w:rPr>
              <w:lastRenderedPageBreak/>
              <w:t>76/2022</w:t>
            </w:r>
          </w:p>
        </w:tc>
        <w:tc>
          <w:tcPr>
            <w:tcW w:w="10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0B70" w:rsidRPr="00F70B70" w:rsidRDefault="00F70B70">
            <w:pPr>
              <w:jc w:val="center"/>
              <w:rPr>
                <w:rFonts w:ascii="Calibri" w:hAnsi="Calibri" w:cs="Calibri"/>
                <w:sz w:val="16"/>
                <w:szCs w:val="16"/>
              </w:rPr>
            </w:pPr>
            <w:r w:rsidRPr="00F70B70">
              <w:rPr>
                <w:rFonts w:ascii="Calibri" w:hAnsi="Calibri" w:cs="Calibri"/>
                <w:sz w:val="16"/>
                <w:szCs w:val="16"/>
              </w:rPr>
              <w:t>30.12.2022</w:t>
            </w:r>
          </w:p>
        </w:tc>
        <w:tc>
          <w:tcPr>
            <w:tcW w:w="3544" w:type="dxa"/>
            <w:tcBorders>
              <w:top w:val="nil"/>
              <w:left w:val="nil"/>
              <w:bottom w:val="nil"/>
              <w:right w:val="single" w:sz="4" w:space="0" w:color="auto"/>
            </w:tcBorders>
            <w:shd w:val="clear" w:color="auto" w:fill="auto"/>
            <w:vAlign w:val="center"/>
            <w:hideMark/>
          </w:tcPr>
          <w:p w:rsidR="00F70B70" w:rsidRPr="00F70B70" w:rsidRDefault="00F70B70">
            <w:pPr>
              <w:rPr>
                <w:rFonts w:ascii="Calibri" w:hAnsi="Calibri" w:cs="Calibri"/>
                <w:sz w:val="17"/>
                <w:szCs w:val="17"/>
              </w:rPr>
            </w:pPr>
            <w:r w:rsidRPr="00F70B70">
              <w:rPr>
                <w:rFonts w:ascii="Calibri" w:hAnsi="Calibri" w:cs="Calibri"/>
                <w:sz w:val="17"/>
                <w:szCs w:val="17"/>
              </w:rPr>
              <w:t>Úprava dotací dle vykázané skutečnosti:</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14</w:t>
            </w:r>
          </w:p>
        </w:tc>
        <w:tc>
          <w:tcPr>
            <w:tcW w:w="1134"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0,00</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14</w:t>
            </w:r>
          </w:p>
        </w:tc>
        <w:tc>
          <w:tcPr>
            <w:tcW w:w="1180"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2 431 324,00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1)</w:t>
            </w:r>
          </w:p>
        </w:tc>
      </w:tr>
      <w:tr w:rsidR="00F70B70" w:rsidTr="00F70B70">
        <w:trPr>
          <w:trHeight w:val="300"/>
        </w:trPr>
        <w:tc>
          <w:tcPr>
            <w:tcW w:w="689" w:type="dxa"/>
            <w:vMerge/>
            <w:tcBorders>
              <w:top w:val="nil"/>
              <w:left w:val="single" w:sz="4" w:space="0" w:color="auto"/>
              <w:bottom w:val="single" w:sz="4" w:space="0" w:color="000000"/>
              <w:right w:val="single" w:sz="4" w:space="0" w:color="auto"/>
            </w:tcBorders>
            <w:vAlign w:val="center"/>
            <w:hideMark/>
          </w:tcPr>
          <w:p w:rsidR="00F70B70" w:rsidRDefault="00F70B70">
            <w:pPr>
              <w:rPr>
                <w:rFonts w:ascii="Calibri" w:hAnsi="Calibri" w:cs="Calibri"/>
                <w:sz w:val="18"/>
                <w:szCs w:val="18"/>
              </w:rPr>
            </w:pPr>
          </w:p>
        </w:tc>
        <w:tc>
          <w:tcPr>
            <w:tcW w:w="1007" w:type="dxa"/>
            <w:vMerge/>
            <w:tcBorders>
              <w:top w:val="nil"/>
              <w:left w:val="single" w:sz="4" w:space="0" w:color="auto"/>
              <w:bottom w:val="single" w:sz="4" w:space="0" w:color="000000"/>
              <w:right w:val="single" w:sz="4" w:space="0" w:color="auto"/>
            </w:tcBorders>
            <w:vAlign w:val="center"/>
            <w:hideMark/>
          </w:tcPr>
          <w:p w:rsidR="00F70B70" w:rsidRDefault="00F70B70">
            <w:pPr>
              <w:rPr>
                <w:rFonts w:ascii="Calibri" w:hAnsi="Calibri" w:cs="Calibri"/>
                <w:sz w:val="18"/>
                <w:szCs w:val="18"/>
              </w:rPr>
            </w:pPr>
          </w:p>
        </w:tc>
        <w:tc>
          <w:tcPr>
            <w:tcW w:w="3544" w:type="dxa"/>
            <w:tcBorders>
              <w:top w:val="nil"/>
              <w:left w:val="nil"/>
              <w:bottom w:val="nil"/>
              <w:right w:val="single" w:sz="4" w:space="0" w:color="auto"/>
            </w:tcBorders>
            <w:shd w:val="clear" w:color="auto" w:fill="auto"/>
            <w:vAlign w:val="center"/>
            <w:hideMark/>
          </w:tcPr>
          <w:p w:rsidR="00F70B70" w:rsidRPr="00F70B70" w:rsidRDefault="00F70B70">
            <w:pPr>
              <w:rPr>
                <w:rFonts w:ascii="Calibri" w:hAnsi="Calibri" w:cs="Calibri"/>
                <w:sz w:val="17"/>
                <w:szCs w:val="17"/>
              </w:rPr>
            </w:pPr>
            <w:r w:rsidRPr="00F70B70">
              <w:rPr>
                <w:rFonts w:ascii="Calibri" w:hAnsi="Calibri" w:cs="Calibri"/>
                <w:sz w:val="17"/>
                <w:szCs w:val="17"/>
              </w:rPr>
              <w:t>1) ÚZ 13015 - Dotace na výkon sociální práce</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21</w:t>
            </w:r>
          </w:p>
        </w:tc>
        <w:tc>
          <w:tcPr>
            <w:tcW w:w="1134"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0,00</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21</w:t>
            </w:r>
          </w:p>
        </w:tc>
        <w:tc>
          <w:tcPr>
            <w:tcW w:w="1180"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-2 431 324,00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1)</w:t>
            </w:r>
          </w:p>
        </w:tc>
      </w:tr>
      <w:tr w:rsidR="00F70B70" w:rsidTr="00F70B70">
        <w:trPr>
          <w:trHeight w:val="288"/>
        </w:trPr>
        <w:tc>
          <w:tcPr>
            <w:tcW w:w="689" w:type="dxa"/>
            <w:vMerge/>
            <w:tcBorders>
              <w:top w:val="nil"/>
              <w:left w:val="single" w:sz="4" w:space="0" w:color="auto"/>
              <w:bottom w:val="single" w:sz="4" w:space="0" w:color="000000"/>
              <w:right w:val="single" w:sz="4" w:space="0" w:color="auto"/>
            </w:tcBorders>
            <w:vAlign w:val="center"/>
            <w:hideMark/>
          </w:tcPr>
          <w:p w:rsidR="00F70B70" w:rsidRDefault="00F70B70">
            <w:pPr>
              <w:rPr>
                <w:rFonts w:ascii="Calibri" w:hAnsi="Calibri" w:cs="Calibri"/>
                <w:sz w:val="18"/>
                <w:szCs w:val="18"/>
              </w:rPr>
            </w:pPr>
          </w:p>
        </w:tc>
        <w:tc>
          <w:tcPr>
            <w:tcW w:w="1007" w:type="dxa"/>
            <w:vMerge/>
            <w:tcBorders>
              <w:top w:val="nil"/>
              <w:left w:val="single" w:sz="4" w:space="0" w:color="auto"/>
              <w:bottom w:val="single" w:sz="4" w:space="0" w:color="000000"/>
              <w:right w:val="single" w:sz="4" w:space="0" w:color="auto"/>
            </w:tcBorders>
            <w:vAlign w:val="center"/>
            <w:hideMark/>
          </w:tcPr>
          <w:p w:rsidR="00F70B70" w:rsidRDefault="00F70B70">
            <w:pPr>
              <w:rPr>
                <w:rFonts w:ascii="Calibri" w:hAnsi="Calibri" w:cs="Calibri"/>
                <w:sz w:val="18"/>
                <w:szCs w:val="18"/>
              </w:rPr>
            </w:pPr>
          </w:p>
        </w:tc>
        <w:tc>
          <w:tcPr>
            <w:tcW w:w="3544" w:type="dxa"/>
            <w:tcBorders>
              <w:top w:val="nil"/>
              <w:left w:val="nil"/>
              <w:bottom w:val="nil"/>
              <w:right w:val="single" w:sz="4" w:space="0" w:color="auto"/>
            </w:tcBorders>
            <w:shd w:val="clear" w:color="auto" w:fill="auto"/>
            <w:vAlign w:val="center"/>
            <w:hideMark/>
          </w:tcPr>
          <w:p w:rsidR="00F70B70" w:rsidRPr="00F70B70" w:rsidRDefault="00F70B70">
            <w:pPr>
              <w:rPr>
                <w:rFonts w:ascii="Calibri" w:hAnsi="Calibri" w:cs="Calibri"/>
                <w:sz w:val="17"/>
                <w:szCs w:val="17"/>
              </w:rPr>
            </w:pPr>
            <w:r w:rsidRPr="00F70B70">
              <w:rPr>
                <w:rFonts w:ascii="Calibri" w:hAnsi="Calibri" w:cs="Calibri"/>
                <w:sz w:val="17"/>
                <w:szCs w:val="17"/>
              </w:rPr>
              <w:t>2) ÚZ 104513013 - Veřejně prospěšné práce</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14</w:t>
            </w:r>
          </w:p>
        </w:tc>
        <w:tc>
          <w:tcPr>
            <w:tcW w:w="1134"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38 250,00</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14</w:t>
            </w:r>
          </w:p>
        </w:tc>
        <w:tc>
          <w:tcPr>
            <w:tcW w:w="1180"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38 250,00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2)</w:t>
            </w:r>
          </w:p>
        </w:tc>
      </w:tr>
      <w:tr w:rsidR="00F70B70" w:rsidTr="00F70B70">
        <w:trPr>
          <w:trHeight w:val="288"/>
        </w:trPr>
        <w:tc>
          <w:tcPr>
            <w:tcW w:w="689" w:type="dxa"/>
            <w:vMerge/>
            <w:tcBorders>
              <w:top w:val="nil"/>
              <w:left w:val="single" w:sz="4" w:space="0" w:color="auto"/>
              <w:bottom w:val="single" w:sz="4" w:space="0" w:color="000000"/>
              <w:right w:val="single" w:sz="4" w:space="0" w:color="auto"/>
            </w:tcBorders>
            <w:vAlign w:val="center"/>
            <w:hideMark/>
          </w:tcPr>
          <w:p w:rsidR="00F70B70" w:rsidRDefault="00F70B70">
            <w:pPr>
              <w:rPr>
                <w:rFonts w:ascii="Calibri" w:hAnsi="Calibri" w:cs="Calibri"/>
                <w:sz w:val="18"/>
                <w:szCs w:val="18"/>
              </w:rPr>
            </w:pPr>
          </w:p>
        </w:tc>
        <w:tc>
          <w:tcPr>
            <w:tcW w:w="1007" w:type="dxa"/>
            <w:vMerge/>
            <w:tcBorders>
              <w:top w:val="nil"/>
              <w:left w:val="single" w:sz="4" w:space="0" w:color="auto"/>
              <w:bottom w:val="single" w:sz="4" w:space="0" w:color="000000"/>
              <w:right w:val="single" w:sz="4" w:space="0" w:color="auto"/>
            </w:tcBorders>
            <w:vAlign w:val="center"/>
            <w:hideMark/>
          </w:tcPr>
          <w:p w:rsidR="00F70B70" w:rsidRDefault="00F70B70">
            <w:pPr>
              <w:rPr>
                <w:rFonts w:ascii="Calibri" w:hAnsi="Calibri" w:cs="Calibri"/>
                <w:sz w:val="18"/>
                <w:szCs w:val="18"/>
              </w:rPr>
            </w:pPr>
          </w:p>
        </w:tc>
        <w:tc>
          <w:tcPr>
            <w:tcW w:w="3544" w:type="dxa"/>
            <w:tcBorders>
              <w:top w:val="nil"/>
              <w:left w:val="nil"/>
              <w:bottom w:val="nil"/>
              <w:right w:val="single" w:sz="4" w:space="0" w:color="auto"/>
            </w:tcBorders>
            <w:shd w:val="clear" w:color="auto" w:fill="auto"/>
            <w:vAlign w:val="center"/>
            <w:hideMark/>
          </w:tcPr>
          <w:p w:rsidR="00F70B70" w:rsidRPr="00F70B70" w:rsidRDefault="00F70B70">
            <w:pPr>
              <w:rPr>
                <w:rFonts w:ascii="Calibri" w:hAnsi="Calibri" w:cs="Calibri"/>
                <w:sz w:val="17"/>
                <w:szCs w:val="17"/>
              </w:rPr>
            </w:pPr>
            <w:r w:rsidRPr="00F70B70">
              <w:rPr>
                <w:rFonts w:ascii="Calibri" w:hAnsi="Calibri" w:cs="Calibri"/>
                <w:sz w:val="17"/>
                <w:szCs w:val="17"/>
              </w:rPr>
              <w:t>3) ÚZ 104113013 - Veřejně prospěšné práce</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14</w:t>
            </w:r>
          </w:p>
        </w:tc>
        <w:tc>
          <w:tcPr>
            <w:tcW w:w="1134"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6 750,00</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14</w:t>
            </w:r>
          </w:p>
        </w:tc>
        <w:tc>
          <w:tcPr>
            <w:tcW w:w="1180"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6 750,00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3)</w:t>
            </w:r>
          </w:p>
        </w:tc>
      </w:tr>
      <w:tr w:rsidR="00F70B70" w:rsidTr="00F70B70">
        <w:trPr>
          <w:trHeight w:val="288"/>
        </w:trPr>
        <w:tc>
          <w:tcPr>
            <w:tcW w:w="689" w:type="dxa"/>
            <w:vMerge/>
            <w:tcBorders>
              <w:top w:val="nil"/>
              <w:left w:val="single" w:sz="4" w:space="0" w:color="auto"/>
              <w:bottom w:val="single" w:sz="4" w:space="0" w:color="000000"/>
              <w:right w:val="single" w:sz="4" w:space="0" w:color="auto"/>
            </w:tcBorders>
            <w:vAlign w:val="center"/>
            <w:hideMark/>
          </w:tcPr>
          <w:p w:rsidR="00F70B70" w:rsidRDefault="00F70B70">
            <w:pPr>
              <w:rPr>
                <w:rFonts w:ascii="Calibri" w:hAnsi="Calibri" w:cs="Calibri"/>
                <w:sz w:val="18"/>
                <w:szCs w:val="18"/>
              </w:rPr>
            </w:pPr>
          </w:p>
        </w:tc>
        <w:tc>
          <w:tcPr>
            <w:tcW w:w="1007" w:type="dxa"/>
            <w:vMerge/>
            <w:tcBorders>
              <w:top w:val="nil"/>
              <w:left w:val="single" w:sz="4" w:space="0" w:color="auto"/>
              <w:bottom w:val="single" w:sz="4" w:space="0" w:color="000000"/>
              <w:right w:val="single" w:sz="4" w:space="0" w:color="auto"/>
            </w:tcBorders>
            <w:vAlign w:val="center"/>
            <w:hideMark/>
          </w:tcPr>
          <w:p w:rsidR="00F70B70" w:rsidRDefault="00F70B70">
            <w:pPr>
              <w:rPr>
                <w:rFonts w:ascii="Calibri" w:hAnsi="Calibri" w:cs="Calibri"/>
                <w:sz w:val="18"/>
                <w:szCs w:val="18"/>
              </w:rPr>
            </w:pPr>
          </w:p>
        </w:tc>
        <w:tc>
          <w:tcPr>
            <w:tcW w:w="3544" w:type="dxa"/>
            <w:tcBorders>
              <w:top w:val="nil"/>
              <w:left w:val="nil"/>
              <w:bottom w:val="nil"/>
              <w:right w:val="single" w:sz="4" w:space="0" w:color="auto"/>
            </w:tcBorders>
            <w:shd w:val="clear" w:color="auto" w:fill="auto"/>
            <w:vAlign w:val="center"/>
            <w:hideMark/>
          </w:tcPr>
          <w:p w:rsidR="00F70B70" w:rsidRPr="00F70B70" w:rsidRDefault="00F70B70">
            <w:pPr>
              <w:rPr>
                <w:rFonts w:ascii="Calibri" w:hAnsi="Calibri" w:cs="Calibri"/>
                <w:sz w:val="17"/>
                <w:szCs w:val="17"/>
              </w:rPr>
            </w:pPr>
            <w:r w:rsidRPr="00F70B70">
              <w:rPr>
                <w:rFonts w:ascii="Calibri" w:hAnsi="Calibri" w:cs="Calibri"/>
                <w:sz w:val="17"/>
                <w:szCs w:val="17"/>
              </w:rPr>
              <w:t xml:space="preserve">4) ÚZ 13101 - Aktivní politika zaměstnanosti </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14</w:t>
            </w:r>
          </w:p>
        </w:tc>
        <w:tc>
          <w:tcPr>
            <w:tcW w:w="1134"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768 000,00</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14</w:t>
            </w:r>
          </w:p>
        </w:tc>
        <w:tc>
          <w:tcPr>
            <w:tcW w:w="1180"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768 000,00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4)</w:t>
            </w:r>
          </w:p>
        </w:tc>
      </w:tr>
      <w:tr w:rsidR="00F70B70" w:rsidTr="00F70B70">
        <w:trPr>
          <w:trHeight w:val="300"/>
        </w:trPr>
        <w:tc>
          <w:tcPr>
            <w:tcW w:w="689" w:type="dxa"/>
            <w:vMerge/>
            <w:tcBorders>
              <w:top w:val="nil"/>
              <w:left w:val="single" w:sz="4" w:space="0" w:color="auto"/>
              <w:bottom w:val="single" w:sz="4" w:space="0" w:color="000000"/>
              <w:right w:val="single" w:sz="4" w:space="0" w:color="auto"/>
            </w:tcBorders>
            <w:vAlign w:val="center"/>
            <w:hideMark/>
          </w:tcPr>
          <w:p w:rsidR="00F70B70" w:rsidRDefault="00F70B70">
            <w:pPr>
              <w:rPr>
                <w:rFonts w:ascii="Calibri" w:hAnsi="Calibri" w:cs="Calibri"/>
                <w:sz w:val="18"/>
                <w:szCs w:val="18"/>
              </w:rPr>
            </w:pPr>
          </w:p>
        </w:tc>
        <w:tc>
          <w:tcPr>
            <w:tcW w:w="1007" w:type="dxa"/>
            <w:vMerge/>
            <w:tcBorders>
              <w:top w:val="nil"/>
              <w:left w:val="single" w:sz="4" w:space="0" w:color="auto"/>
              <w:bottom w:val="single" w:sz="4" w:space="0" w:color="000000"/>
              <w:right w:val="single" w:sz="4" w:space="0" w:color="auto"/>
            </w:tcBorders>
            <w:vAlign w:val="center"/>
            <w:hideMark/>
          </w:tcPr>
          <w:p w:rsidR="00F70B70" w:rsidRDefault="00F70B70">
            <w:pPr>
              <w:rPr>
                <w:rFonts w:ascii="Calibri" w:hAnsi="Calibri" w:cs="Calibri"/>
                <w:sz w:val="18"/>
                <w:szCs w:val="18"/>
              </w:rPr>
            </w:pPr>
          </w:p>
        </w:tc>
        <w:tc>
          <w:tcPr>
            <w:tcW w:w="3544" w:type="dxa"/>
            <w:tcBorders>
              <w:top w:val="nil"/>
              <w:left w:val="nil"/>
              <w:bottom w:val="nil"/>
              <w:right w:val="single" w:sz="4" w:space="0" w:color="auto"/>
            </w:tcBorders>
            <w:shd w:val="clear" w:color="auto" w:fill="auto"/>
            <w:vAlign w:val="center"/>
            <w:hideMark/>
          </w:tcPr>
          <w:p w:rsidR="00F70B70" w:rsidRPr="00F70B70" w:rsidRDefault="00F70B70">
            <w:pPr>
              <w:rPr>
                <w:rFonts w:ascii="Calibri" w:hAnsi="Calibri" w:cs="Calibri"/>
                <w:sz w:val="17"/>
                <w:szCs w:val="17"/>
              </w:rPr>
            </w:pPr>
            <w:r w:rsidRPr="00F70B70">
              <w:rPr>
                <w:rFonts w:ascii="Calibri" w:hAnsi="Calibri" w:cs="Calibri"/>
                <w:sz w:val="17"/>
                <w:szCs w:val="17"/>
              </w:rPr>
              <w:t>5) ÚZ 13010 - Příspěvek na výkon pěstounské péče</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14</w:t>
            </w:r>
          </w:p>
        </w:tc>
        <w:tc>
          <w:tcPr>
            <w:tcW w:w="1134"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0,00</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14</w:t>
            </w:r>
          </w:p>
        </w:tc>
        <w:tc>
          <w:tcPr>
            <w:tcW w:w="1180"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162 254,00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5)</w:t>
            </w:r>
          </w:p>
        </w:tc>
      </w:tr>
      <w:tr w:rsidR="00F70B70" w:rsidTr="00F70B70">
        <w:trPr>
          <w:trHeight w:val="300"/>
        </w:trPr>
        <w:tc>
          <w:tcPr>
            <w:tcW w:w="689" w:type="dxa"/>
            <w:vMerge/>
            <w:tcBorders>
              <w:top w:val="nil"/>
              <w:left w:val="single" w:sz="4" w:space="0" w:color="auto"/>
              <w:bottom w:val="single" w:sz="4" w:space="0" w:color="000000"/>
              <w:right w:val="single" w:sz="4" w:space="0" w:color="auto"/>
            </w:tcBorders>
            <w:vAlign w:val="center"/>
            <w:hideMark/>
          </w:tcPr>
          <w:p w:rsidR="00F70B70" w:rsidRDefault="00F70B70">
            <w:pPr>
              <w:rPr>
                <w:rFonts w:ascii="Calibri" w:hAnsi="Calibri" w:cs="Calibri"/>
                <w:sz w:val="18"/>
                <w:szCs w:val="18"/>
              </w:rPr>
            </w:pPr>
          </w:p>
        </w:tc>
        <w:tc>
          <w:tcPr>
            <w:tcW w:w="1007" w:type="dxa"/>
            <w:vMerge/>
            <w:tcBorders>
              <w:top w:val="nil"/>
              <w:left w:val="single" w:sz="4" w:space="0" w:color="auto"/>
              <w:bottom w:val="single" w:sz="4" w:space="0" w:color="000000"/>
              <w:right w:val="single" w:sz="4" w:space="0" w:color="auto"/>
            </w:tcBorders>
            <w:vAlign w:val="center"/>
            <w:hideMark/>
          </w:tcPr>
          <w:p w:rsidR="00F70B70" w:rsidRDefault="00F70B70">
            <w:pPr>
              <w:rPr>
                <w:rFonts w:ascii="Calibri" w:hAnsi="Calibri" w:cs="Calibri"/>
                <w:sz w:val="18"/>
                <w:szCs w:val="18"/>
              </w:rPr>
            </w:pPr>
          </w:p>
        </w:tc>
        <w:tc>
          <w:tcPr>
            <w:tcW w:w="3544" w:type="dxa"/>
            <w:vMerge w:val="restart"/>
            <w:tcBorders>
              <w:top w:val="nil"/>
              <w:left w:val="single" w:sz="4" w:space="0" w:color="auto"/>
              <w:bottom w:val="single" w:sz="4" w:space="0" w:color="000000"/>
              <w:right w:val="single" w:sz="4" w:space="0" w:color="auto"/>
            </w:tcBorders>
            <w:shd w:val="clear" w:color="auto" w:fill="auto"/>
            <w:hideMark/>
          </w:tcPr>
          <w:p w:rsidR="00F70B70" w:rsidRPr="00F70B70" w:rsidRDefault="00F70B70">
            <w:pPr>
              <w:rPr>
                <w:rFonts w:ascii="Calibri" w:hAnsi="Calibri" w:cs="Calibri"/>
                <w:sz w:val="17"/>
                <w:szCs w:val="17"/>
              </w:rPr>
            </w:pPr>
            <w:r w:rsidRPr="00F70B70">
              <w:rPr>
                <w:rFonts w:ascii="Calibri" w:hAnsi="Calibri" w:cs="Calibri"/>
                <w:sz w:val="17"/>
                <w:szCs w:val="17"/>
              </w:rPr>
              <w:t>6) ÚZ 13024 - Rozpočtové prostředky na úhradu mzdových nákladů a ostatních nákladů vzniklých v souvislosti s výkonem sociálně-právní ochrany dětí na rok 2022</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90</w:t>
            </w:r>
          </w:p>
        </w:tc>
        <w:tc>
          <w:tcPr>
            <w:tcW w:w="1134"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0,00</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90</w:t>
            </w:r>
          </w:p>
        </w:tc>
        <w:tc>
          <w:tcPr>
            <w:tcW w:w="1180"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4 666,20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5)</w:t>
            </w:r>
          </w:p>
        </w:tc>
      </w:tr>
      <w:tr w:rsidR="00F70B70" w:rsidTr="00F70B70">
        <w:trPr>
          <w:trHeight w:val="300"/>
        </w:trPr>
        <w:tc>
          <w:tcPr>
            <w:tcW w:w="689" w:type="dxa"/>
            <w:vMerge/>
            <w:tcBorders>
              <w:top w:val="nil"/>
              <w:left w:val="single" w:sz="4" w:space="0" w:color="auto"/>
              <w:bottom w:val="single" w:sz="4" w:space="0" w:color="000000"/>
              <w:right w:val="single" w:sz="4" w:space="0" w:color="auto"/>
            </w:tcBorders>
            <w:vAlign w:val="center"/>
            <w:hideMark/>
          </w:tcPr>
          <w:p w:rsidR="00F70B70" w:rsidRDefault="00F70B70">
            <w:pPr>
              <w:rPr>
                <w:rFonts w:ascii="Calibri" w:hAnsi="Calibri" w:cs="Calibri"/>
                <w:sz w:val="18"/>
                <w:szCs w:val="18"/>
              </w:rPr>
            </w:pPr>
          </w:p>
        </w:tc>
        <w:tc>
          <w:tcPr>
            <w:tcW w:w="1007" w:type="dxa"/>
            <w:vMerge/>
            <w:tcBorders>
              <w:top w:val="nil"/>
              <w:left w:val="single" w:sz="4" w:space="0" w:color="auto"/>
              <w:bottom w:val="single" w:sz="4" w:space="0" w:color="000000"/>
              <w:right w:val="single" w:sz="4" w:space="0" w:color="auto"/>
            </w:tcBorders>
            <w:vAlign w:val="center"/>
            <w:hideMark/>
          </w:tcPr>
          <w:p w:rsidR="00F70B70" w:rsidRDefault="00F70B70">
            <w:pPr>
              <w:rPr>
                <w:rFonts w:ascii="Calibri" w:hAnsi="Calibri" w:cs="Calibri"/>
                <w:sz w:val="18"/>
                <w:szCs w:val="18"/>
              </w:rPr>
            </w:pPr>
          </w:p>
        </w:tc>
        <w:tc>
          <w:tcPr>
            <w:tcW w:w="3544" w:type="dxa"/>
            <w:vMerge/>
            <w:tcBorders>
              <w:top w:val="nil"/>
              <w:left w:val="single" w:sz="4" w:space="0" w:color="auto"/>
              <w:bottom w:val="single" w:sz="4" w:space="0" w:color="000000"/>
              <w:right w:val="single" w:sz="4" w:space="0" w:color="auto"/>
            </w:tcBorders>
            <w:vAlign w:val="center"/>
            <w:hideMark/>
          </w:tcPr>
          <w:p w:rsidR="00F70B70" w:rsidRPr="00F70B70" w:rsidRDefault="00F70B70">
            <w:pPr>
              <w:rPr>
                <w:rFonts w:ascii="Calibri" w:hAnsi="Calibri" w:cs="Calibri"/>
                <w:sz w:val="17"/>
                <w:szCs w:val="17"/>
              </w:rPr>
            </w:pP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11</w:t>
            </w:r>
          </w:p>
        </w:tc>
        <w:tc>
          <w:tcPr>
            <w:tcW w:w="1134"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0,00</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11</w:t>
            </w:r>
          </w:p>
        </w:tc>
        <w:tc>
          <w:tcPr>
            <w:tcW w:w="1180"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6 320,50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5)</w:t>
            </w:r>
          </w:p>
        </w:tc>
      </w:tr>
      <w:tr w:rsidR="00F70B70" w:rsidTr="00F70B70">
        <w:trPr>
          <w:trHeight w:val="300"/>
        </w:trPr>
        <w:tc>
          <w:tcPr>
            <w:tcW w:w="689" w:type="dxa"/>
            <w:vMerge/>
            <w:tcBorders>
              <w:top w:val="nil"/>
              <w:left w:val="single" w:sz="4" w:space="0" w:color="auto"/>
              <w:bottom w:val="single" w:sz="4" w:space="0" w:color="000000"/>
              <w:right w:val="single" w:sz="4" w:space="0" w:color="auto"/>
            </w:tcBorders>
            <w:vAlign w:val="center"/>
            <w:hideMark/>
          </w:tcPr>
          <w:p w:rsidR="00F70B70" w:rsidRDefault="00F70B70">
            <w:pPr>
              <w:rPr>
                <w:rFonts w:ascii="Calibri" w:hAnsi="Calibri" w:cs="Calibri"/>
                <w:sz w:val="18"/>
                <w:szCs w:val="18"/>
              </w:rPr>
            </w:pPr>
          </w:p>
        </w:tc>
        <w:tc>
          <w:tcPr>
            <w:tcW w:w="1007" w:type="dxa"/>
            <w:vMerge/>
            <w:tcBorders>
              <w:top w:val="nil"/>
              <w:left w:val="single" w:sz="4" w:space="0" w:color="auto"/>
              <w:bottom w:val="single" w:sz="4" w:space="0" w:color="000000"/>
              <w:right w:val="single" w:sz="4" w:space="0" w:color="auto"/>
            </w:tcBorders>
            <w:vAlign w:val="center"/>
            <w:hideMark/>
          </w:tcPr>
          <w:p w:rsidR="00F70B70" w:rsidRDefault="00F70B70">
            <w:pPr>
              <w:rPr>
                <w:rFonts w:ascii="Calibri" w:hAnsi="Calibri" w:cs="Calibri"/>
                <w:sz w:val="18"/>
                <w:szCs w:val="18"/>
              </w:rPr>
            </w:pPr>
          </w:p>
        </w:tc>
        <w:tc>
          <w:tcPr>
            <w:tcW w:w="3544" w:type="dxa"/>
            <w:vMerge/>
            <w:tcBorders>
              <w:top w:val="nil"/>
              <w:left w:val="single" w:sz="4" w:space="0" w:color="auto"/>
              <w:bottom w:val="single" w:sz="4" w:space="0" w:color="000000"/>
              <w:right w:val="single" w:sz="4" w:space="0" w:color="auto"/>
            </w:tcBorders>
            <w:vAlign w:val="center"/>
            <w:hideMark/>
          </w:tcPr>
          <w:p w:rsidR="00F70B70" w:rsidRPr="00F70B70" w:rsidRDefault="00F70B70">
            <w:pPr>
              <w:rPr>
                <w:rFonts w:ascii="Calibri" w:hAnsi="Calibri" w:cs="Calibri"/>
                <w:sz w:val="17"/>
                <w:szCs w:val="17"/>
              </w:rPr>
            </w:pP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21</w:t>
            </w:r>
          </w:p>
        </w:tc>
        <w:tc>
          <w:tcPr>
            <w:tcW w:w="1134"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0,00</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21</w:t>
            </w:r>
          </w:p>
        </w:tc>
        <w:tc>
          <w:tcPr>
            <w:tcW w:w="1180"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-173 240,70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5)</w:t>
            </w:r>
          </w:p>
        </w:tc>
      </w:tr>
      <w:tr w:rsidR="00F70B70" w:rsidTr="00F70B70">
        <w:trPr>
          <w:trHeight w:val="300"/>
        </w:trPr>
        <w:tc>
          <w:tcPr>
            <w:tcW w:w="689" w:type="dxa"/>
            <w:vMerge/>
            <w:tcBorders>
              <w:top w:val="nil"/>
              <w:left w:val="single" w:sz="4" w:space="0" w:color="auto"/>
              <w:bottom w:val="single" w:sz="4" w:space="0" w:color="000000"/>
              <w:right w:val="single" w:sz="4" w:space="0" w:color="auto"/>
            </w:tcBorders>
            <w:vAlign w:val="center"/>
            <w:hideMark/>
          </w:tcPr>
          <w:p w:rsidR="00F70B70" w:rsidRDefault="00F70B70">
            <w:pPr>
              <w:rPr>
                <w:rFonts w:ascii="Calibri" w:hAnsi="Calibri" w:cs="Calibri"/>
                <w:sz w:val="18"/>
                <w:szCs w:val="18"/>
              </w:rPr>
            </w:pPr>
          </w:p>
        </w:tc>
        <w:tc>
          <w:tcPr>
            <w:tcW w:w="1007" w:type="dxa"/>
            <w:vMerge/>
            <w:tcBorders>
              <w:top w:val="nil"/>
              <w:left w:val="single" w:sz="4" w:space="0" w:color="auto"/>
              <w:bottom w:val="single" w:sz="4" w:space="0" w:color="000000"/>
              <w:right w:val="single" w:sz="4" w:space="0" w:color="auto"/>
            </w:tcBorders>
            <w:vAlign w:val="center"/>
            <w:hideMark/>
          </w:tcPr>
          <w:p w:rsidR="00F70B70" w:rsidRDefault="00F70B70">
            <w:pPr>
              <w:rPr>
                <w:rFonts w:ascii="Calibri" w:hAnsi="Calibri" w:cs="Calibri"/>
                <w:sz w:val="18"/>
                <w:szCs w:val="18"/>
              </w:rPr>
            </w:pPr>
          </w:p>
        </w:tc>
        <w:tc>
          <w:tcPr>
            <w:tcW w:w="3544" w:type="dxa"/>
            <w:vMerge/>
            <w:tcBorders>
              <w:top w:val="nil"/>
              <w:left w:val="single" w:sz="4" w:space="0" w:color="auto"/>
              <w:bottom w:val="single" w:sz="4" w:space="0" w:color="000000"/>
              <w:right w:val="single" w:sz="4" w:space="0" w:color="auto"/>
            </w:tcBorders>
            <w:vAlign w:val="center"/>
            <w:hideMark/>
          </w:tcPr>
          <w:p w:rsidR="00F70B70" w:rsidRPr="00F70B70" w:rsidRDefault="00F70B70">
            <w:pPr>
              <w:rPr>
                <w:rFonts w:ascii="Calibri" w:hAnsi="Calibri" w:cs="Calibri"/>
                <w:sz w:val="17"/>
                <w:szCs w:val="17"/>
              </w:rPr>
            </w:pP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14</w:t>
            </w:r>
          </w:p>
        </w:tc>
        <w:tc>
          <w:tcPr>
            <w:tcW w:w="1134"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0,00</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14</w:t>
            </w:r>
          </w:p>
        </w:tc>
        <w:tc>
          <w:tcPr>
            <w:tcW w:w="1180"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1 663 735,00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6)</w:t>
            </w:r>
          </w:p>
        </w:tc>
      </w:tr>
      <w:tr w:rsidR="00F70B70" w:rsidTr="00F70B70">
        <w:trPr>
          <w:trHeight w:val="300"/>
        </w:trPr>
        <w:tc>
          <w:tcPr>
            <w:tcW w:w="689" w:type="dxa"/>
            <w:vMerge/>
            <w:tcBorders>
              <w:top w:val="nil"/>
              <w:left w:val="single" w:sz="4" w:space="0" w:color="auto"/>
              <w:bottom w:val="single" w:sz="4" w:space="0" w:color="000000"/>
              <w:right w:val="single" w:sz="4" w:space="0" w:color="auto"/>
            </w:tcBorders>
            <w:vAlign w:val="center"/>
            <w:hideMark/>
          </w:tcPr>
          <w:p w:rsidR="00F70B70" w:rsidRDefault="00F70B70">
            <w:pPr>
              <w:rPr>
                <w:rFonts w:ascii="Calibri" w:hAnsi="Calibri" w:cs="Calibri"/>
                <w:sz w:val="18"/>
                <w:szCs w:val="18"/>
              </w:rPr>
            </w:pPr>
          </w:p>
        </w:tc>
        <w:tc>
          <w:tcPr>
            <w:tcW w:w="1007" w:type="dxa"/>
            <w:vMerge/>
            <w:tcBorders>
              <w:top w:val="nil"/>
              <w:left w:val="single" w:sz="4" w:space="0" w:color="auto"/>
              <w:bottom w:val="single" w:sz="4" w:space="0" w:color="000000"/>
              <w:right w:val="single" w:sz="4" w:space="0" w:color="auto"/>
            </w:tcBorders>
            <w:vAlign w:val="center"/>
            <w:hideMark/>
          </w:tcPr>
          <w:p w:rsidR="00F70B70" w:rsidRDefault="00F70B70">
            <w:pPr>
              <w:rPr>
                <w:rFonts w:ascii="Calibri" w:hAnsi="Calibri" w:cs="Calibri"/>
                <w:sz w:val="18"/>
                <w:szCs w:val="18"/>
              </w:rPr>
            </w:pPr>
          </w:p>
        </w:tc>
        <w:tc>
          <w:tcPr>
            <w:tcW w:w="3544" w:type="dxa"/>
            <w:vMerge/>
            <w:tcBorders>
              <w:top w:val="nil"/>
              <w:left w:val="single" w:sz="4" w:space="0" w:color="auto"/>
              <w:bottom w:val="single" w:sz="4" w:space="0" w:color="000000"/>
              <w:right w:val="single" w:sz="4" w:space="0" w:color="auto"/>
            </w:tcBorders>
            <w:vAlign w:val="center"/>
            <w:hideMark/>
          </w:tcPr>
          <w:p w:rsidR="00F70B70" w:rsidRPr="00F70B70" w:rsidRDefault="00F70B70">
            <w:pPr>
              <w:rPr>
                <w:rFonts w:ascii="Calibri" w:hAnsi="Calibri" w:cs="Calibri"/>
                <w:sz w:val="17"/>
                <w:szCs w:val="17"/>
              </w:rPr>
            </w:pP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21</w:t>
            </w:r>
          </w:p>
        </w:tc>
        <w:tc>
          <w:tcPr>
            <w:tcW w:w="1134"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0,00</w:t>
            </w:r>
          </w:p>
        </w:tc>
        <w:tc>
          <w:tcPr>
            <w:tcW w:w="709"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center"/>
              <w:rPr>
                <w:rFonts w:ascii="Calibri" w:hAnsi="Calibri" w:cs="Calibri"/>
                <w:sz w:val="17"/>
                <w:szCs w:val="17"/>
              </w:rPr>
            </w:pPr>
            <w:r w:rsidRPr="00F70B70">
              <w:rPr>
                <w:rFonts w:ascii="Calibri" w:hAnsi="Calibri" w:cs="Calibri"/>
                <w:sz w:val="17"/>
                <w:szCs w:val="17"/>
              </w:rPr>
              <w:t>21</w:t>
            </w:r>
          </w:p>
        </w:tc>
        <w:tc>
          <w:tcPr>
            <w:tcW w:w="1180" w:type="dxa"/>
            <w:tcBorders>
              <w:top w:val="nil"/>
              <w:left w:val="nil"/>
              <w:bottom w:val="single" w:sz="4" w:space="0" w:color="auto"/>
              <w:right w:val="single" w:sz="4" w:space="0" w:color="auto"/>
            </w:tcBorders>
            <w:shd w:val="clear" w:color="auto" w:fill="auto"/>
            <w:noWrap/>
            <w:vAlign w:val="center"/>
            <w:hideMark/>
          </w:tcPr>
          <w:p w:rsidR="00F70B70" w:rsidRPr="00F70B70" w:rsidRDefault="00F70B70">
            <w:pPr>
              <w:jc w:val="right"/>
              <w:rPr>
                <w:rFonts w:ascii="Calibri" w:hAnsi="Calibri" w:cs="Calibri"/>
                <w:sz w:val="17"/>
                <w:szCs w:val="17"/>
              </w:rPr>
            </w:pPr>
            <w:r w:rsidRPr="00F70B70">
              <w:rPr>
                <w:rFonts w:ascii="Calibri" w:hAnsi="Calibri" w:cs="Calibri"/>
                <w:sz w:val="17"/>
                <w:szCs w:val="17"/>
              </w:rPr>
              <w:t>-1 663 735,00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6)</w:t>
            </w:r>
          </w:p>
        </w:tc>
      </w:tr>
      <w:tr w:rsidR="00F70B70" w:rsidTr="00F70B70">
        <w:trPr>
          <w:trHeight w:val="288"/>
        </w:trPr>
        <w:tc>
          <w:tcPr>
            <w:tcW w:w="689" w:type="dxa"/>
            <w:vMerge/>
            <w:tcBorders>
              <w:top w:val="nil"/>
              <w:left w:val="single" w:sz="4" w:space="0" w:color="auto"/>
              <w:bottom w:val="single" w:sz="4" w:space="0" w:color="000000"/>
              <w:right w:val="single" w:sz="4" w:space="0" w:color="auto"/>
            </w:tcBorders>
            <w:vAlign w:val="center"/>
            <w:hideMark/>
          </w:tcPr>
          <w:p w:rsidR="00F70B70" w:rsidRDefault="00F70B70">
            <w:pPr>
              <w:rPr>
                <w:rFonts w:ascii="Calibri" w:hAnsi="Calibri" w:cs="Calibri"/>
                <w:sz w:val="18"/>
                <w:szCs w:val="18"/>
              </w:rPr>
            </w:pPr>
          </w:p>
        </w:tc>
        <w:tc>
          <w:tcPr>
            <w:tcW w:w="1007" w:type="dxa"/>
            <w:vMerge/>
            <w:tcBorders>
              <w:top w:val="nil"/>
              <w:left w:val="single" w:sz="4" w:space="0" w:color="auto"/>
              <w:bottom w:val="single" w:sz="4" w:space="0" w:color="000000"/>
              <w:right w:val="single" w:sz="4" w:space="0" w:color="auto"/>
            </w:tcBorders>
            <w:vAlign w:val="center"/>
            <w:hideMark/>
          </w:tcPr>
          <w:p w:rsidR="00F70B70" w:rsidRDefault="00F70B70">
            <w:pPr>
              <w:rPr>
                <w:rFonts w:ascii="Calibri" w:hAnsi="Calibri" w:cs="Calibri"/>
                <w:sz w:val="18"/>
                <w:szCs w:val="18"/>
              </w:rPr>
            </w:pPr>
          </w:p>
        </w:tc>
        <w:tc>
          <w:tcPr>
            <w:tcW w:w="3544" w:type="dxa"/>
            <w:vMerge/>
            <w:tcBorders>
              <w:top w:val="nil"/>
              <w:left w:val="single" w:sz="4" w:space="0" w:color="auto"/>
              <w:bottom w:val="single" w:sz="4" w:space="0" w:color="000000"/>
              <w:right w:val="single" w:sz="4" w:space="0" w:color="auto"/>
            </w:tcBorders>
            <w:vAlign w:val="center"/>
            <w:hideMark/>
          </w:tcPr>
          <w:p w:rsidR="00F70B70" w:rsidRPr="00F70B70" w:rsidRDefault="00F70B70">
            <w:pPr>
              <w:rPr>
                <w:rFonts w:ascii="Calibri" w:hAnsi="Calibri" w:cs="Calibri"/>
                <w:sz w:val="17"/>
                <w:szCs w:val="17"/>
              </w:rPr>
            </w:pPr>
          </w:p>
        </w:tc>
        <w:tc>
          <w:tcPr>
            <w:tcW w:w="709"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rPr>
                <w:rFonts w:ascii="Calibri" w:hAnsi="Calibri" w:cs="Calibri"/>
                <w:b/>
                <w:bCs/>
                <w:sz w:val="17"/>
                <w:szCs w:val="17"/>
              </w:rPr>
            </w:pPr>
            <w:r w:rsidRPr="00F70B70">
              <w:rPr>
                <w:rFonts w:ascii="Calibri" w:hAnsi="Calibri" w:cs="Calibri"/>
                <w:b/>
                <w:bCs/>
                <w:sz w:val="17"/>
                <w:szCs w:val="17"/>
              </w:rPr>
              <w:t>Celkem</w:t>
            </w:r>
          </w:p>
        </w:tc>
        <w:tc>
          <w:tcPr>
            <w:tcW w:w="1134"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jc w:val="right"/>
              <w:rPr>
                <w:rFonts w:ascii="Calibri" w:hAnsi="Calibri" w:cs="Calibri"/>
                <w:b/>
                <w:bCs/>
                <w:sz w:val="17"/>
                <w:szCs w:val="17"/>
              </w:rPr>
            </w:pPr>
            <w:r w:rsidRPr="00F70B70">
              <w:rPr>
                <w:rFonts w:ascii="Calibri" w:hAnsi="Calibri" w:cs="Calibri"/>
                <w:b/>
                <w:bCs/>
                <w:sz w:val="17"/>
                <w:szCs w:val="17"/>
              </w:rPr>
              <w:t>813 000,00</w:t>
            </w:r>
          </w:p>
        </w:tc>
        <w:tc>
          <w:tcPr>
            <w:tcW w:w="709"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rPr>
                <w:rFonts w:ascii="Calibri" w:hAnsi="Calibri" w:cs="Calibri"/>
                <w:b/>
                <w:bCs/>
                <w:sz w:val="17"/>
                <w:szCs w:val="17"/>
              </w:rPr>
            </w:pPr>
            <w:r w:rsidRPr="00F70B70">
              <w:rPr>
                <w:rFonts w:ascii="Calibri" w:hAnsi="Calibri" w:cs="Calibri"/>
                <w:b/>
                <w:bCs/>
                <w:sz w:val="17"/>
                <w:szCs w:val="17"/>
              </w:rPr>
              <w:t>Celkem</w:t>
            </w:r>
          </w:p>
        </w:tc>
        <w:tc>
          <w:tcPr>
            <w:tcW w:w="1180" w:type="dxa"/>
            <w:tcBorders>
              <w:top w:val="nil"/>
              <w:left w:val="nil"/>
              <w:bottom w:val="single" w:sz="4" w:space="0" w:color="auto"/>
              <w:right w:val="single" w:sz="4" w:space="0" w:color="auto"/>
            </w:tcBorders>
            <w:shd w:val="clear" w:color="000000" w:fill="D9D9D9"/>
            <w:noWrap/>
            <w:vAlign w:val="center"/>
            <w:hideMark/>
          </w:tcPr>
          <w:p w:rsidR="00F70B70" w:rsidRPr="00F70B70" w:rsidRDefault="00F70B70">
            <w:pPr>
              <w:jc w:val="right"/>
              <w:rPr>
                <w:rFonts w:ascii="Calibri" w:hAnsi="Calibri" w:cs="Calibri"/>
                <w:b/>
                <w:bCs/>
                <w:sz w:val="17"/>
                <w:szCs w:val="17"/>
              </w:rPr>
            </w:pPr>
            <w:r w:rsidRPr="00F70B70">
              <w:rPr>
                <w:rFonts w:ascii="Calibri" w:hAnsi="Calibri" w:cs="Calibri"/>
                <w:b/>
                <w:bCs/>
                <w:sz w:val="17"/>
                <w:szCs w:val="17"/>
              </w:rPr>
              <w:t>813 000,00</w:t>
            </w:r>
          </w:p>
        </w:tc>
        <w:tc>
          <w:tcPr>
            <w:tcW w:w="610" w:type="dxa"/>
            <w:tcBorders>
              <w:top w:val="nil"/>
              <w:left w:val="nil"/>
              <w:bottom w:val="single" w:sz="4" w:space="0" w:color="auto"/>
              <w:right w:val="single" w:sz="4" w:space="0" w:color="auto"/>
            </w:tcBorders>
            <w:shd w:val="clear" w:color="auto" w:fill="auto"/>
            <w:noWrap/>
            <w:vAlign w:val="center"/>
            <w:hideMark/>
          </w:tcPr>
          <w:p w:rsidR="00F70B70" w:rsidRDefault="00F70B70">
            <w:pPr>
              <w:jc w:val="right"/>
              <w:rPr>
                <w:rFonts w:ascii="Calibri" w:hAnsi="Calibri" w:cs="Calibri"/>
                <w:sz w:val="16"/>
                <w:szCs w:val="16"/>
              </w:rPr>
            </w:pPr>
            <w:r>
              <w:rPr>
                <w:rFonts w:ascii="Calibri" w:hAnsi="Calibri" w:cs="Calibri"/>
                <w:sz w:val="16"/>
                <w:szCs w:val="16"/>
              </w:rPr>
              <w:t> </w:t>
            </w:r>
          </w:p>
        </w:tc>
      </w:tr>
      <w:tr w:rsidR="00F70B70" w:rsidTr="00F70B70">
        <w:trPr>
          <w:trHeight w:val="288"/>
        </w:trPr>
        <w:tc>
          <w:tcPr>
            <w:tcW w:w="5240" w:type="dxa"/>
            <w:gridSpan w:val="3"/>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F70B70" w:rsidRPr="00F70B70" w:rsidRDefault="00F70B70">
            <w:pPr>
              <w:rPr>
                <w:rFonts w:ascii="Calibri" w:hAnsi="Calibri" w:cs="Calibri"/>
                <w:b/>
                <w:bCs/>
                <w:sz w:val="17"/>
                <w:szCs w:val="17"/>
              </w:rPr>
            </w:pPr>
            <w:r w:rsidRPr="00F70B70">
              <w:rPr>
                <w:rFonts w:ascii="Calibri" w:hAnsi="Calibri" w:cs="Calibri"/>
                <w:b/>
                <w:bCs/>
                <w:sz w:val="17"/>
                <w:szCs w:val="17"/>
              </w:rPr>
              <w:t>ROZOP celkem</w:t>
            </w:r>
          </w:p>
        </w:tc>
        <w:tc>
          <w:tcPr>
            <w:tcW w:w="1843" w:type="dxa"/>
            <w:gridSpan w:val="2"/>
            <w:tcBorders>
              <w:top w:val="single" w:sz="4" w:space="0" w:color="auto"/>
              <w:left w:val="nil"/>
              <w:bottom w:val="single" w:sz="4" w:space="0" w:color="auto"/>
              <w:right w:val="single" w:sz="4" w:space="0" w:color="auto"/>
            </w:tcBorders>
            <w:shd w:val="clear" w:color="000000" w:fill="FFC000"/>
            <w:noWrap/>
            <w:vAlign w:val="center"/>
            <w:hideMark/>
          </w:tcPr>
          <w:p w:rsidR="00F70B70" w:rsidRPr="00F70B70" w:rsidRDefault="00F70B70">
            <w:pPr>
              <w:jc w:val="right"/>
              <w:rPr>
                <w:rFonts w:ascii="Calibri" w:hAnsi="Calibri" w:cs="Calibri"/>
                <w:b/>
                <w:bCs/>
                <w:sz w:val="17"/>
                <w:szCs w:val="17"/>
              </w:rPr>
            </w:pPr>
            <w:r w:rsidRPr="00F70B70">
              <w:rPr>
                <w:rFonts w:ascii="Calibri" w:hAnsi="Calibri" w:cs="Calibri"/>
                <w:b/>
                <w:bCs/>
                <w:sz w:val="17"/>
                <w:szCs w:val="17"/>
              </w:rPr>
              <w:t>15 539 463,38</w:t>
            </w:r>
          </w:p>
        </w:tc>
        <w:tc>
          <w:tcPr>
            <w:tcW w:w="1889" w:type="dxa"/>
            <w:gridSpan w:val="2"/>
            <w:tcBorders>
              <w:top w:val="single" w:sz="4" w:space="0" w:color="auto"/>
              <w:left w:val="nil"/>
              <w:bottom w:val="single" w:sz="4" w:space="0" w:color="auto"/>
              <w:right w:val="single" w:sz="4" w:space="0" w:color="auto"/>
            </w:tcBorders>
            <w:shd w:val="clear" w:color="000000" w:fill="FFC000"/>
            <w:noWrap/>
            <w:vAlign w:val="center"/>
            <w:hideMark/>
          </w:tcPr>
          <w:p w:rsidR="00F70B70" w:rsidRPr="00F70B70" w:rsidRDefault="00F70B70">
            <w:pPr>
              <w:jc w:val="right"/>
              <w:rPr>
                <w:rFonts w:ascii="Calibri" w:hAnsi="Calibri" w:cs="Calibri"/>
                <w:b/>
                <w:bCs/>
                <w:sz w:val="17"/>
                <w:szCs w:val="17"/>
              </w:rPr>
            </w:pPr>
            <w:r w:rsidRPr="00F70B70">
              <w:rPr>
                <w:rFonts w:ascii="Calibri" w:hAnsi="Calibri" w:cs="Calibri"/>
                <w:b/>
                <w:bCs/>
                <w:sz w:val="17"/>
                <w:szCs w:val="17"/>
              </w:rPr>
              <w:t>15 539 463,38</w:t>
            </w:r>
          </w:p>
        </w:tc>
        <w:tc>
          <w:tcPr>
            <w:tcW w:w="610" w:type="dxa"/>
            <w:tcBorders>
              <w:top w:val="nil"/>
              <w:left w:val="nil"/>
              <w:bottom w:val="single" w:sz="4" w:space="0" w:color="auto"/>
              <w:right w:val="single" w:sz="4" w:space="0" w:color="auto"/>
            </w:tcBorders>
            <w:shd w:val="clear" w:color="000000" w:fill="FFC000"/>
            <w:noWrap/>
            <w:vAlign w:val="center"/>
            <w:hideMark/>
          </w:tcPr>
          <w:p w:rsidR="00F70B70" w:rsidRDefault="00F70B70">
            <w:pPr>
              <w:rPr>
                <w:rFonts w:ascii="Calibri" w:hAnsi="Calibri" w:cs="Calibri"/>
                <w:sz w:val="16"/>
                <w:szCs w:val="16"/>
              </w:rPr>
            </w:pPr>
            <w:r>
              <w:rPr>
                <w:rFonts w:ascii="Calibri" w:hAnsi="Calibri" w:cs="Calibri"/>
                <w:sz w:val="16"/>
                <w:szCs w:val="16"/>
              </w:rPr>
              <w:t> </w:t>
            </w:r>
          </w:p>
        </w:tc>
      </w:tr>
    </w:tbl>
    <w:p w:rsidR="00B113F3" w:rsidRDefault="00B113F3" w:rsidP="00B113F3"/>
    <w:p w:rsidR="00B113F3" w:rsidRDefault="00B113F3" w:rsidP="00B113F3">
      <w:pPr>
        <w:pStyle w:val="Zkladntext3"/>
        <w:autoSpaceDE w:val="0"/>
        <w:autoSpaceDN w:val="0"/>
        <w:rPr>
          <w:rFonts w:asciiTheme="minorHAnsi" w:hAnsiTheme="minorHAnsi" w:cstheme="minorHAnsi"/>
          <w:b/>
          <w:sz w:val="18"/>
          <w:szCs w:val="18"/>
          <w:u w:val="single"/>
        </w:rPr>
      </w:pPr>
      <w:r>
        <w:rPr>
          <w:rFonts w:asciiTheme="minorHAnsi" w:hAnsiTheme="minorHAnsi" w:cstheme="minorHAnsi"/>
          <w:sz w:val="18"/>
          <w:szCs w:val="18"/>
          <w:u w:val="single"/>
        </w:rPr>
        <w:t>Použité zkratky v tabulce:</w:t>
      </w:r>
    </w:p>
    <w:p w:rsidR="00B113F3" w:rsidRDefault="00B113F3" w:rsidP="00B113F3">
      <w:pPr>
        <w:pStyle w:val="Zkladntext3"/>
        <w:autoSpaceDE w:val="0"/>
        <w:autoSpaceDN w:val="0"/>
        <w:spacing w:after="0"/>
        <w:rPr>
          <w:rFonts w:asciiTheme="minorHAnsi" w:hAnsiTheme="minorHAnsi" w:cstheme="minorHAnsi"/>
          <w:sz w:val="18"/>
          <w:szCs w:val="18"/>
        </w:rPr>
      </w:pPr>
      <w:r>
        <w:rPr>
          <w:rFonts w:asciiTheme="minorHAnsi" w:hAnsiTheme="minorHAnsi" w:cstheme="minorHAnsi"/>
          <w:sz w:val="18"/>
          <w:szCs w:val="18"/>
        </w:rPr>
        <w:t>ÚZ = účelový znak</w:t>
      </w:r>
    </w:p>
    <w:p w:rsidR="00B113F3" w:rsidRDefault="00B113F3" w:rsidP="00B113F3">
      <w:pPr>
        <w:pStyle w:val="Zkladntext3"/>
        <w:autoSpaceDE w:val="0"/>
        <w:autoSpaceDN w:val="0"/>
        <w:spacing w:after="0"/>
        <w:rPr>
          <w:rFonts w:asciiTheme="minorHAnsi" w:hAnsiTheme="minorHAnsi" w:cstheme="minorHAnsi"/>
          <w:sz w:val="18"/>
          <w:szCs w:val="18"/>
        </w:rPr>
      </w:pPr>
      <w:r>
        <w:rPr>
          <w:rFonts w:asciiTheme="minorHAnsi" w:hAnsiTheme="minorHAnsi" w:cstheme="minorHAnsi"/>
          <w:sz w:val="18"/>
          <w:szCs w:val="18"/>
        </w:rPr>
        <w:t>JSDH = Jednotka sboru dobrovolných hasičů</w:t>
      </w:r>
    </w:p>
    <w:p w:rsidR="00B113F3" w:rsidRDefault="00B113F3" w:rsidP="00B113F3">
      <w:pPr>
        <w:pStyle w:val="Zkladntext3"/>
        <w:autoSpaceDE w:val="0"/>
        <w:autoSpaceDN w:val="0"/>
        <w:spacing w:after="0"/>
        <w:rPr>
          <w:rFonts w:asciiTheme="minorHAnsi" w:hAnsiTheme="minorHAnsi" w:cstheme="minorHAnsi"/>
          <w:sz w:val="18"/>
          <w:szCs w:val="18"/>
        </w:rPr>
      </w:pPr>
      <w:r>
        <w:rPr>
          <w:rFonts w:asciiTheme="minorHAnsi" w:hAnsiTheme="minorHAnsi" w:cstheme="minorHAnsi"/>
          <w:sz w:val="18"/>
          <w:szCs w:val="18"/>
        </w:rPr>
        <w:t>MKDS = Městský kamerový dohlížecí systém</w:t>
      </w:r>
    </w:p>
    <w:p w:rsidR="00B113F3" w:rsidRDefault="00B113F3" w:rsidP="00B113F3">
      <w:pPr>
        <w:pStyle w:val="Nadpis2"/>
        <w:rPr>
          <w:color w:val="BFBFBF" w:themeColor="background1" w:themeShade="BF"/>
        </w:rPr>
      </w:pPr>
      <w:r>
        <w:rPr>
          <w:color w:val="BFBFBF" w:themeColor="background1" w:themeShade="BF"/>
        </w:rPr>
        <w:br w:type="page"/>
      </w:r>
    </w:p>
    <w:p w:rsidR="00B113F3" w:rsidRDefault="00B113F3" w:rsidP="00B113F3">
      <w:pPr>
        <w:pStyle w:val="Nadpis2"/>
      </w:pPr>
      <w:bookmarkStart w:id="53" w:name="_Toc39129542"/>
      <w:r>
        <w:lastRenderedPageBreak/>
        <w:t>Trvalé peněžní fondy statutárního města Prostějova k 31.</w:t>
      </w:r>
      <w:r w:rsidR="005D52C5">
        <w:t xml:space="preserve"> </w:t>
      </w:r>
      <w:r>
        <w:t>12.</w:t>
      </w:r>
      <w:r w:rsidR="005D52C5">
        <w:t xml:space="preserve"> </w:t>
      </w:r>
      <w:r>
        <w:t>20</w:t>
      </w:r>
      <w:bookmarkEnd w:id="53"/>
      <w:r w:rsidR="005D52C5">
        <w:t>22</w:t>
      </w:r>
    </w:p>
    <w:tbl>
      <w:tblPr>
        <w:tblW w:w="9776" w:type="dxa"/>
        <w:tblCellMar>
          <w:left w:w="70" w:type="dxa"/>
          <w:right w:w="70" w:type="dxa"/>
        </w:tblCellMar>
        <w:tblLook w:val="04A0" w:firstRow="1" w:lastRow="0" w:firstColumn="1" w:lastColumn="0" w:noHBand="0" w:noVBand="1"/>
      </w:tblPr>
      <w:tblGrid>
        <w:gridCol w:w="962"/>
        <w:gridCol w:w="1018"/>
        <w:gridCol w:w="6379"/>
        <w:gridCol w:w="1417"/>
      </w:tblGrid>
      <w:tr w:rsidR="007F330F" w:rsidRPr="007F330F" w:rsidTr="007F330F">
        <w:trPr>
          <w:trHeight w:val="272"/>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330F" w:rsidRPr="007F330F" w:rsidRDefault="007F330F">
            <w:pPr>
              <w:jc w:val="center"/>
              <w:rPr>
                <w:rFonts w:ascii="Calibri" w:hAnsi="Calibri" w:cs="Calibri"/>
                <w:color w:val="000000"/>
                <w:sz w:val="18"/>
                <w:szCs w:val="18"/>
              </w:rPr>
            </w:pPr>
            <w:r w:rsidRPr="007F330F">
              <w:rPr>
                <w:rFonts w:ascii="Calibri" w:hAnsi="Calibri" w:cs="Calibri"/>
                <w:color w:val="000000"/>
                <w:sz w:val="18"/>
                <w:szCs w:val="18"/>
              </w:rPr>
              <w:t>UZ</w:t>
            </w:r>
          </w:p>
        </w:tc>
        <w:tc>
          <w:tcPr>
            <w:tcW w:w="1018" w:type="dxa"/>
            <w:tcBorders>
              <w:top w:val="single" w:sz="4" w:space="0" w:color="auto"/>
              <w:left w:val="nil"/>
              <w:bottom w:val="single" w:sz="4" w:space="0" w:color="auto"/>
              <w:right w:val="single" w:sz="4" w:space="0" w:color="auto"/>
            </w:tcBorders>
            <w:shd w:val="clear" w:color="auto" w:fill="auto"/>
            <w:noWrap/>
            <w:vAlign w:val="center"/>
            <w:hideMark/>
          </w:tcPr>
          <w:p w:rsidR="007F330F" w:rsidRPr="007F330F" w:rsidRDefault="007F330F">
            <w:pPr>
              <w:jc w:val="center"/>
              <w:rPr>
                <w:rFonts w:ascii="Calibri" w:hAnsi="Calibri" w:cs="Calibri"/>
                <w:color w:val="000000"/>
                <w:sz w:val="18"/>
                <w:szCs w:val="18"/>
              </w:rPr>
            </w:pPr>
            <w:r w:rsidRPr="007F330F">
              <w:rPr>
                <w:rFonts w:ascii="Calibri" w:hAnsi="Calibri" w:cs="Calibri"/>
                <w:color w:val="000000"/>
                <w:sz w:val="18"/>
                <w:szCs w:val="18"/>
              </w:rPr>
              <w:t>Název</w:t>
            </w:r>
          </w:p>
        </w:tc>
        <w:tc>
          <w:tcPr>
            <w:tcW w:w="6379" w:type="dxa"/>
            <w:tcBorders>
              <w:top w:val="single" w:sz="4" w:space="0" w:color="auto"/>
              <w:left w:val="nil"/>
              <w:bottom w:val="single" w:sz="4" w:space="0" w:color="auto"/>
              <w:right w:val="nil"/>
            </w:tcBorders>
            <w:shd w:val="clear" w:color="auto" w:fill="auto"/>
            <w:noWrap/>
            <w:vAlign w:val="center"/>
            <w:hideMark/>
          </w:tcPr>
          <w:p w:rsidR="007F330F" w:rsidRPr="007F330F" w:rsidRDefault="007F330F">
            <w:pPr>
              <w:jc w:val="center"/>
              <w:rPr>
                <w:rFonts w:ascii="Calibri" w:hAnsi="Calibri" w:cs="Calibri"/>
                <w:color w:val="000000"/>
                <w:sz w:val="18"/>
                <w:szCs w:val="18"/>
              </w:rPr>
            </w:pPr>
            <w:r w:rsidRPr="007F330F">
              <w:rPr>
                <w:rFonts w:ascii="Calibri" w:hAnsi="Calibri" w:cs="Calibri"/>
                <w:color w:val="000000"/>
                <w:sz w:val="18"/>
                <w:szCs w:val="18"/>
              </w:rPr>
              <w:t>Finanční operace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330F" w:rsidRPr="007F330F" w:rsidRDefault="007F330F">
            <w:pPr>
              <w:jc w:val="center"/>
              <w:rPr>
                <w:rFonts w:ascii="Calibri" w:hAnsi="Calibri" w:cs="Calibri"/>
                <w:color w:val="000000"/>
                <w:sz w:val="18"/>
                <w:szCs w:val="18"/>
              </w:rPr>
            </w:pPr>
            <w:r w:rsidRPr="007F330F">
              <w:rPr>
                <w:rFonts w:ascii="Calibri" w:hAnsi="Calibri" w:cs="Calibri"/>
                <w:color w:val="000000"/>
                <w:sz w:val="18"/>
                <w:szCs w:val="18"/>
              </w:rPr>
              <w:t>Částka v Kč</w:t>
            </w:r>
          </w:p>
        </w:tc>
      </w:tr>
      <w:tr w:rsidR="007F330F" w:rsidRPr="007F330F" w:rsidTr="007F330F">
        <w:trPr>
          <w:trHeight w:val="272"/>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F330F" w:rsidRPr="007F330F" w:rsidRDefault="007F330F">
            <w:pPr>
              <w:jc w:val="center"/>
              <w:rPr>
                <w:rFonts w:ascii="Calibri" w:hAnsi="Calibri" w:cs="Calibri"/>
                <w:color w:val="000000"/>
                <w:sz w:val="18"/>
                <w:szCs w:val="18"/>
              </w:rPr>
            </w:pPr>
            <w:r w:rsidRPr="007F330F">
              <w:rPr>
                <w:rFonts w:ascii="Calibri" w:hAnsi="Calibri" w:cs="Calibri"/>
                <w:color w:val="000000"/>
                <w:sz w:val="18"/>
                <w:szCs w:val="18"/>
              </w:rPr>
              <w:t>000000001</w:t>
            </w:r>
          </w:p>
        </w:tc>
        <w:tc>
          <w:tcPr>
            <w:tcW w:w="1018" w:type="dxa"/>
            <w:vMerge w:val="restart"/>
            <w:tcBorders>
              <w:top w:val="nil"/>
              <w:left w:val="single" w:sz="4" w:space="0" w:color="auto"/>
              <w:bottom w:val="single" w:sz="4" w:space="0" w:color="auto"/>
              <w:right w:val="single" w:sz="4" w:space="0" w:color="auto"/>
            </w:tcBorders>
            <w:shd w:val="clear" w:color="auto" w:fill="auto"/>
            <w:vAlign w:val="center"/>
            <w:hideMark/>
          </w:tcPr>
          <w:p w:rsidR="007F330F" w:rsidRPr="007F330F" w:rsidRDefault="007F330F">
            <w:pPr>
              <w:jc w:val="center"/>
              <w:rPr>
                <w:rFonts w:ascii="Calibri" w:hAnsi="Calibri" w:cs="Calibri"/>
                <w:color w:val="000000"/>
                <w:sz w:val="18"/>
                <w:szCs w:val="18"/>
              </w:rPr>
            </w:pPr>
            <w:r w:rsidRPr="007F330F">
              <w:rPr>
                <w:rFonts w:ascii="Calibri" w:hAnsi="Calibri" w:cs="Calibri"/>
                <w:color w:val="000000"/>
                <w:sz w:val="18"/>
                <w:szCs w:val="18"/>
              </w:rPr>
              <w:t>Fond rezerv a rozvoje</w:t>
            </w:r>
          </w:p>
        </w:tc>
        <w:tc>
          <w:tcPr>
            <w:tcW w:w="6379" w:type="dxa"/>
            <w:tcBorders>
              <w:top w:val="nil"/>
              <w:left w:val="nil"/>
              <w:bottom w:val="single" w:sz="4" w:space="0" w:color="auto"/>
              <w:right w:val="nil"/>
            </w:tcBorders>
            <w:shd w:val="clear" w:color="000000" w:fill="C9C9C9"/>
            <w:noWrap/>
            <w:vAlign w:val="center"/>
            <w:hideMark/>
          </w:tcPr>
          <w:p w:rsidR="007F330F" w:rsidRPr="007F330F" w:rsidRDefault="007F330F">
            <w:pPr>
              <w:rPr>
                <w:rFonts w:ascii="Calibri" w:hAnsi="Calibri" w:cs="Calibri"/>
                <w:b/>
                <w:bCs/>
                <w:color w:val="000000"/>
                <w:sz w:val="18"/>
                <w:szCs w:val="18"/>
              </w:rPr>
            </w:pPr>
            <w:r w:rsidRPr="007F330F">
              <w:rPr>
                <w:rFonts w:ascii="Calibri" w:hAnsi="Calibri" w:cs="Calibri"/>
                <w:b/>
                <w:bCs/>
                <w:color w:val="000000"/>
                <w:sz w:val="18"/>
                <w:szCs w:val="18"/>
              </w:rPr>
              <w:t>Počáteční zůstatek k 01.01.2022</w:t>
            </w:r>
          </w:p>
        </w:tc>
        <w:tc>
          <w:tcPr>
            <w:tcW w:w="1417" w:type="dxa"/>
            <w:tcBorders>
              <w:top w:val="nil"/>
              <w:left w:val="single" w:sz="4" w:space="0" w:color="auto"/>
              <w:bottom w:val="single" w:sz="4" w:space="0" w:color="auto"/>
              <w:right w:val="single" w:sz="4" w:space="0" w:color="auto"/>
            </w:tcBorders>
            <w:shd w:val="clear" w:color="000000" w:fill="C9C9C9"/>
            <w:noWrap/>
            <w:vAlign w:val="center"/>
            <w:hideMark/>
          </w:tcPr>
          <w:p w:rsidR="007F330F" w:rsidRPr="007F330F" w:rsidRDefault="007F330F">
            <w:pPr>
              <w:jc w:val="right"/>
              <w:rPr>
                <w:rFonts w:ascii="Calibri" w:hAnsi="Calibri" w:cs="Calibri"/>
                <w:b/>
                <w:bCs/>
                <w:color w:val="000000"/>
                <w:sz w:val="18"/>
                <w:szCs w:val="18"/>
              </w:rPr>
            </w:pPr>
            <w:r w:rsidRPr="007F330F">
              <w:rPr>
                <w:rFonts w:ascii="Calibri" w:hAnsi="Calibri" w:cs="Calibri"/>
                <w:b/>
                <w:bCs/>
                <w:color w:val="000000"/>
                <w:sz w:val="18"/>
                <w:szCs w:val="18"/>
              </w:rPr>
              <w:t>200 849 353,63</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nil"/>
            </w:tcBorders>
            <w:shd w:val="clear" w:color="000000" w:fill="FFFFFF"/>
            <w:noWrap/>
            <w:vAlign w:val="center"/>
            <w:hideMark/>
          </w:tcPr>
          <w:p w:rsidR="007F330F" w:rsidRPr="007F330F" w:rsidRDefault="007F330F">
            <w:pPr>
              <w:rPr>
                <w:rFonts w:ascii="Calibri" w:hAnsi="Calibri" w:cs="Calibri"/>
                <w:color w:val="000000"/>
                <w:sz w:val="18"/>
                <w:szCs w:val="18"/>
              </w:rPr>
            </w:pPr>
            <w:r w:rsidRPr="007F330F">
              <w:rPr>
                <w:rFonts w:ascii="Calibri" w:hAnsi="Calibri" w:cs="Calibri"/>
                <w:color w:val="000000"/>
                <w:sz w:val="18"/>
                <w:szCs w:val="18"/>
              </w:rPr>
              <w:t>Schválený rozpočet 2022 - 27. ZMP ze dne 23.11.2021 - stavební investice</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7F330F" w:rsidRPr="007F330F" w:rsidRDefault="007F330F">
            <w:pPr>
              <w:jc w:val="right"/>
              <w:rPr>
                <w:rFonts w:ascii="Calibri" w:hAnsi="Calibri" w:cs="Calibri"/>
                <w:color w:val="000000"/>
                <w:sz w:val="18"/>
                <w:szCs w:val="18"/>
              </w:rPr>
            </w:pPr>
            <w:r w:rsidRPr="007F330F">
              <w:rPr>
                <w:rFonts w:ascii="Calibri" w:hAnsi="Calibri" w:cs="Calibri"/>
                <w:color w:val="000000"/>
                <w:sz w:val="18"/>
                <w:szCs w:val="18"/>
              </w:rPr>
              <w:t>-183 621 750,00</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nil"/>
            </w:tcBorders>
            <w:shd w:val="clear" w:color="000000" w:fill="FFFFFF"/>
            <w:noWrap/>
            <w:vAlign w:val="center"/>
            <w:hideMark/>
          </w:tcPr>
          <w:p w:rsidR="007F330F" w:rsidRPr="007F330F" w:rsidRDefault="007F330F">
            <w:pPr>
              <w:rPr>
                <w:rFonts w:ascii="Calibri" w:hAnsi="Calibri" w:cs="Calibri"/>
                <w:color w:val="000000"/>
                <w:sz w:val="18"/>
                <w:szCs w:val="18"/>
              </w:rPr>
            </w:pPr>
            <w:r w:rsidRPr="007F330F">
              <w:rPr>
                <w:rFonts w:ascii="Calibri" w:hAnsi="Calibri" w:cs="Calibri"/>
                <w:color w:val="000000"/>
                <w:sz w:val="18"/>
                <w:szCs w:val="18"/>
              </w:rPr>
              <w:t>Upravený rozpočet 2022 - 103.RMP ze dne 11.01.2022</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7F330F" w:rsidRPr="007F330F" w:rsidRDefault="007F330F">
            <w:pPr>
              <w:jc w:val="right"/>
              <w:rPr>
                <w:rFonts w:ascii="Calibri" w:hAnsi="Calibri" w:cs="Calibri"/>
                <w:color w:val="000000"/>
                <w:sz w:val="18"/>
                <w:szCs w:val="18"/>
              </w:rPr>
            </w:pPr>
            <w:r w:rsidRPr="007F330F">
              <w:rPr>
                <w:rFonts w:ascii="Calibri" w:hAnsi="Calibri" w:cs="Calibri"/>
                <w:color w:val="000000"/>
                <w:sz w:val="18"/>
                <w:szCs w:val="18"/>
              </w:rPr>
              <w:t>-1 058 699,00</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nil"/>
            </w:tcBorders>
            <w:shd w:val="clear" w:color="000000" w:fill="FFFFFF"/>
            <w:vAlign w:val="center"/>
            <w:hideMark/>
          </w:tcPr>
          <w:p w:rsidR="007F330F" w:rsidRPr="007F330F" w:rsidRDefault="007F330F">
            <w:pPr>
              <w:rPr>
                <w:rFonts w:ascii="Calibri" w:hAnsi="Calibri" w:cs="Calibri"/>
                <w:color w:val="000000"/>
                <w:sz w:val="18"/>
                <w:szCs w:val="18"/>
              </w:rPr>
            </w:pPr>
            <w:r w:rsidRPr="007F330F">
              <w:rPr>
                <w:rFonts w:ascii="Calibri" w:hAnsi="Calibri" w:cs="Calibri"/>
                <w:color w:val="000000"/>
                <w:sz w:val="18"/>
                <w:szCs w:val="18"/>
              </w:rPr>
              <w:t>ROZOP č. 2/2022 - ÚZ 13010 -příspěvek na pěstounskou péči (převod nevyčerpaných prostředků z roku 2021 do roku 2022)</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7F330F" w:rsidRPr="007F330F" w:rsidRDefault="007F330F">
            <w:pPr>
              <w:jc w:val="right"/>
              <w:rPr>
                <w:rFonts w:ascii="Calibri" w:hAnsi="Calibri" w:cs="Calibri"/>
                <w:color w:val="000000"/>
                <w:sz w:val="18"/>
                <w:szCs w:val="18"/>
              </w:rPr>
            </w:pPr>
            <w:r w:rsidRPr="007F330F">
              <w:rPr>
                <w:rFonts w:ascii="Calibri" w:hAnsi="Calibri" w:cs="Calibri"/>
                <w:color w:val="000000"/>
                <w:sz w:val="18"/>
                <w:szCs w:val="18"/>
              </w:rPr>
              <w:t>-2 554 274,20</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nil"/>
            </w:tcBorders>
            <w:shd w:val="clear" w:color="000000" w:fill="FFFFFF"/>
            <w:noWrap/>
            <w:vAlign w:val="center"/>
            <w:hideMark/>
          </w:tcPr>
          <w:p w:rsidR="007F330F" w:rsidRPr="007F330F" w:rsidRDefault="007F330F">
            <w:pPr>
              <w:rPr>
                <w:rFonts w:ascii="Calibri" w:hAnsi="Calibri" w:cs="Calibri"/>
                <w:color w:val="000000"/>
                <w:sz w:val="18"/>
                <w:szCs w:val="18"/>
              </w:rPr>
            </w:pPr>
            <w:r w:rsidRPr="007F330F">
              <w:rPr>
                <w:rFonts w:ascii="Calibri" w:hAnsi="Calibri" w:cs="Calibri"/>
                <w:color w:val="000000"/>
                <w:sz w:val="18"/>
                <w:szCs w:val="18"/>
              </w:rPr>
              <w:t>Upravený rozpočet 2022 - 104.RMP ze dne 25.01.2022</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7F330F" w:rsidRPr="007F330F" w:rsidRDefault="007F330F">
            <w:pPr>
              <w:jc w:val="right"/>
              <w:rPr>
                <w:rFonts w:ascii="Calibri" w:hAnsi="Calibri" w:cs="Calibri"/>
                <w:color w:val="000000"/>
                <w:sz w:val="18"/>
                <w:szCs w:val="18"/>
              </w:rPr>
            </w:pPr>
            <w:r w:rsidRPr="007F330F">
              <w:rPr>
                <w:rFonts w:ascii="Calibri" w:hAnsi="Calibri" w:cs="Calibri"/>
                <w:color w:val="000000"/>
                <w:sz w:val="18"/>
                <w:szCs w:val="18"/>
              </w:rPr>
              <w:t>-7 224 681,00</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nil"/>
            </w:tcBorders>
            <w:shd w:val="clear" w:color="000000" w:fill="FFFFFF"/>
            <w:vAlign w:val="center"/>
            <w:hideMark/>
          </w:tcPr>
          <w:p w:rsidR="007F330F" w:rsidRPr="007F330F" w:rsidRDefault="007F330F">
            <w:pPr>
              <w:rPr>
                <w:rFonts w:ascii="Calibri" w:hAnsi="Calibri" w:cs="Calibri"/>
                <w:color w:val="000000"/>
                <w:sz w:val="18"/>
                <w:szCs w:val="18"/>
              </w:rPr>
            </w:pPr>
            <w:r w:rsidRPr="007F330F">
              <w:rPr>
                <w:rFonts w:ascii="Calibri" w:hAnsi="Calibri" w:cs="Calibri"/>
                <w:color w:val="000000"/>
                <w:sz w:val="18"/>
                <w:szCs w:val="18"/>
              </w:rPr>
              <w:t>ROZOP č. 5/20</w:t>
            </w:r>
            <w:r>
              <w:rPr>
                <w:rFonts w:ascii="Calibri" w:hAnsi="Calibri" w:cs="Calibri"/>
                <w:color w:val="000000"/>
                <w:sz w:val="18"/>
                <w:szCs w:val="18"/>
              </w:rPr>
              <w:t>22 - Vratka účelové neinv. dotace ÚZ 98</w:t>
            </w:r>
            <w:r w:rsidRPr="007F330F">
              <w:rPr>
                <w:rFonts w:ascii="Calibri" w:hAnsi="Calibri" w:cs="Calibri"/>
                <w:color w:val="000000"/>
                <w:sz w:val="18"/>
                <w:szCs w:val="18"/>
              </w:rPr>
              <w:t>033 - Sčítání lidí, domů a bytů</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7F330F" w:rsidRPr="007F330F" w:rsidRDefault="007F330F">
            <w:pPr>
              <w:jc w:val="right"/>
              <w:rPr>
                <w:rFonts w:ascii="Calibri" w:hAnsi="Calibri" w:cs="Calibri"/>
                <w:color w:val="000000"/>
                <w:sz w:val="18"/>
                <w:szCs w:val="18"/>
              </w:rPr>
            </w:pPr>
            <w:r w:rsidRPr="007F330F">
              <w:rPr>
                <w:rFonts w:ascii="Calibri" w:hAnsi="Calibri" w:cs="Calibri"/>
                <w:color w:val="000000"/>
                <w:sz w:val="18"/>
                <w:szCs w:val="18"/>
              </w:rPr>
              <w:t>-16 500,00</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nil"/>
            </w:tcBorders>
            <w:shd w:val="clear" w:color="000000" w:fill="FFFFFF"/>
            <w:noWrap/>
            <w:vAlign w:val="center"/>
            <w:hideMark/>
          </w:tcPr>
          <w:p w:rsidR="007F330F" w:rsidRPr="007F330F" w:rsidRDefault="007F330F">
            <w:pPr>
              <w:rPr>
                <w:rFonts w:ascii="Calibri" w:hAnsi="Calibri" w:cs="Calibri"/>
                <w:color w:val="000000"/>
                <w:sz w:val="18"/>
                <w:szCs w:val="18"/>
              </w:rPr>
            </w:pPr>
            <w:r w:rsidRPr="007F330F">
              <w:rPr>
                <w:rFonts w:ascii="Calibri" w:hAnsi="Calibri" w:cs="Calibri"/>
                <w:color w:val="000000"/>
                <w:sz w:val="18"/>
                <w:szCs w:val="18"/>
              </w:rPr>
              <w:t>Upravený rozpočet 2022 - 29. ZMP ze dne 22.02.2022</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7F330F" w:rsidRPr="007F330F" w:rsidRDefault="007F330F">
            <w:pPr>
              <w:jc w:val="right"/>
              <w:rPr>
                <w:rFonts w:ascii="Calibri" w:hAnsi="Calibri" w:cs="Calibri"/>
                <w:color w:val="000000"/>
                <w:sz w:val="18"/>
                <w:szCs w:val="18"/>
              </w:rPr>
            </w:pPr>
            <w:r w:rsidRPr="007F330F">
              <w:rPr>
                <w:rFonts w:ascii="Calibri" w:hAnsi="Calibri" w:cs="Calibri"/>
                <w:color w:val="000000"/>
                <w:sz w:val="18"/>
                <w:szCs w:val="18"/>
              </w:rPr>
              <w:t>-2 392 369,00</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nil"/>
            </w:tcBorders>
            <w:shd w:val="clear" w:color="000000" w:fill="FFFFFF"/>
            <w:noWrap/>
            <w:vAlign w:val="center"/>
            <w:hideMark/>
          </w:tcPr>
          <w:p w:rsidR="007F330F" w:rsidRPr="007F330F" w:rsidRDefault="007F330F">
            <w:pPr>
              <w:rPr>
                <w:rFonts w:ascii="Calibri" w:hAnsi="Calibri" w:cs="Calibri"/>
                <w:color w:val="000000"/>
                <w:sz w:val="18"/>
                <w:szCs w:val="18"/>
              </w:rPr>
            </w:pPr>
            <w:r w:rsidRPr="007F330F">
              <w:rPr>
                <w:rFonts w:ascii="Calibri" w:hAnsi="Calibri" w:cs="Calibri"/>
                <w:color w:val="000000"/>
                <w:sz w:val="18"/>
                <w:szCs w:val="18"/>
              </w:rPr>
              <w:t>Upravený rozpočet 2022 - 110.RMP ze dne 08.03.2022</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7F330F" w:rsidRPr="007F330F" w:rsidRDefault="007F330F">
            <w:pPr>
              <w:jc w:val="right"/>
              <w:rPr>
                <w:rFonts w:ascii="Calibri" w:hAnsi="Calibri" w:cs="Calibri"/>
                <w:color w:val="000000"/>
                <w:sz w:val="18"/>
                <w:szCs w:val="18"/>
              </w:rPr>
            </w:pPr>
            <w:r w:rsidRPr="007F330F">
              <w:rPr>
                <w:rFonts w:ascii="Calibri" w:hAnsi="Calibri" w:cs="Calibri"/>
                <w:color w:val="000000"/>
                <w:sz w:val="18"/>
                <w:szCs w:val="18"/>
              </w:rPr>
              <w:t>-1 023 642,00</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nil"/>
            </w:tcBorders>
            <w:shd w:val="clear" w:color="000000" w:fill="FFFFFF"/>
            <w:vAlign w:val="center"/>
            <w:hideMark/>
          </w:tcPr>
          <w:p w:rsidR="007F330F" w:rsidRPr="007F330F" w:rsidRDefault="007F330F">
            <w:pPr>
              <w:rPr>
                <w:rFonts w:ascii="Calibri" w:hAnsi="Calibri" w:cs="Calibri"/>
                <w:color w:val="000000"/>
                <w:sz w:val="18"/>
                <w:szCs w:val="18"/>
              </w:rPr>
            </w:pPr>
            <w:r w:rsidRPr="007F330F">
              <w:rPr>
                <w:rFonts w:ascii="Calibri" w:hAnsi="Calibri" w:cs="Calibri"/>
                <w:color w:val="000000"/>
                <w:sz w:val="18"/>
                <w:szCs w:val="18"/>
              </w:rPr>
              <w:t>ROZOP č. 13/2022 - ÚID na akci "Přechod pro chodce v Kojetínské ulici v Prostějově" - vyplaceno expost</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7F330F" w:rsidRPr="007F330F" w:rsidRDefault="007F330F">
            <w:pPr>
              <w:jc w:val="right"/>
              <w:rPr>
                <w:rFonts w:ascii="Calibri" w:hAnsi="Calibri" w:cs="Calibri"/>
                <w:color w:val="000000"/>
                <w:sz w:val="18"/>
                <w:szCs w:val="18"/>
              </w:rPr>
            </w:pPr>
            <w:r w:rsidRPr="007F330F">
              <w:rPr>
                <w:rFonts w:ascii="Calibri" w:hAnsi="Calibri" w:cs="Calibri"/>
                <w:color w:val="000000"/>
                <w:sz w:val="18"/>
                <w:szCs w:val="18"/>
              </w:rPr>
              <w:t>358 787,87</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nil"/>
            </w:tcBorders>
            <w:shd w:val="clear" w:color="000000" w:fill="FFFFFF"/>
            <w:vAlign w:val="center"/>
            <w:hideMark/>
          </w:tcPr>
          <w:p w:rsidR="007F330F" w:rsidRPr="007F330F" w:rsidRDefault="007F330F">
            <w:pPr>
              <w:rPr>
                <w:rFonts w:ascii="Calibri" w:hAnsi="Calibri" w:cs="Calibri"/>
                <w:color w:val="000000"/>
                <w:sz w:val="18"/>
                <w:szCs w:val="18"/>
              </w:rPr>
            </w:pPr>
            <w:r w:rsidRPr="007F330F">
              <w:rPr>
                <w:rFonts w:ascii="Calibri" w:hAnsi="Calibri" w:cs="Calibri"/>
                <w:color w:val="000000"/>
                <w:sz w:val="18"/>
                <w:szCs w:val="18"/>
              </w:rPr>
              <w:t>ROZOP č. 15/2022 - doplatek na volby do Poslanecké sněmovny Parlamentu ČR</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7F330F" w:rsidRPr="007F330F" w:rsidRDefault="007F330F">
            <w:pPr>
              <w:jc w:val="right"/>
              <w:rPr>
                <w:rFonts w:ascii="Calibri" w:hAnsi="Calibri" w:cs="Calibri"/>
                <w:color w:val="000000"/>
                <w:sz w:val="18"/>
                <w:szCs w:val="18"/>
              </w:rPr>
            </w:pPr>
            <w:r w:rsidRPr="007F330F">
              <w:rPr>
                <w:rFonts w:ascii="Calibri" w:hAnsi="Calibri" w:cs="Calibri"/>
                <w:color w:val="000000"/>
                <w:sz w:val="18"/>
                <w:szCs w:val="18"/>
              </w:rPr>
              <w:t>80 735,15</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nil"/>
            </w:tcBorders>
            <w:shd w:val="clear" w:color="000000" w:fill="FFFFFF"/>
            <w:noWrap/>
            <w:vAlign w:val="center"/>
            <w:hideMark/>
          </w:tcPr>
          <w:p w:rsidR="007F330F" w:rsidRPr="007F330F" w:rsidRDefault="007F330F">
            <w:pPr>
              <w:rPr>
                <w:rFonts w:ascii="Calibri" w:hAnsi="Calibri" w:cs="Calibri"/>
                <w:color w:val="000000"/>
                <w:sz w:val="18"/>
                <w:szCs w:val="18"/>
              </w:rPr>
            </w:pPr>
            <w:r w:rsidRPr="007F330F">
              <w:rPr>
                <w:rFonts w:ascii="Calibri" w:hAnsi="Calibri" w:cs="Calibri"/>
                <w:color w:val="000000"/>
                <w:sz w:val="18"/>
                <w:szCs w:val="18"/>
              </w:rPr>
              <w:t>Upravený rozpočet 2022 - 111.RMP ze dne 22.03.2022</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7F330F" w:rsidRPr="007F330F" w:rsidRDefault="007F330F">
            <w:pPr>
              <w:jc w:val="right"/>
              <w:rPr>
                <w:rFonts w:ascii="Calibri" w:hAnsi="Calibri" w:cs="Calibri"/>
                <w:color w:val="000000"/>
                <w:sz w:val="18"/>
                <w:szCs w:val="18"/>
              </w:rPr>
            </w:pPr>
            <w:r w:rsidRPr="007F330F">
              <w:rPr>
                <w:rFonts w:ascii="Calibri" w:hAnsi="Calibri" w:cs="Calibri"/>
                <w:color w:val="000000"/>
                <w:sz w:val="18"/>
                <w:szCs w:val="18"/>
              </w:rPr>
              <w:t>-175 949,00</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nil"/>
            </w:tcBorders>
            <w:shd w:val="clear" w:color="000000" w:fill="FFFFFF"/>
            <w:noWrap/>
            <w:vAlign w:val="center"/>
            <w:hideMark/>
          </w:tcPr>
          <w:p w:rsidR="007F330F" w:rsidRPr="007F330F" w:rsidRDefault="007F330F">
            <w:pPr>
              <w:rPr>
                <w:rFonts w:ascii="Calibri" w:hAnsi="Calibri" w:cs="Calibri"/>
                <w:color w:val="000000"/>
                <w:sz w:val="18"/>
                <w:szCs w:val="18"/>
              </w:rPr>
            </w:pPr>
            <w:r w:rsidRPr="007F330F">
              <w:rPr>
                <w:rFonts w:ascii="Calibri" w:hAnsi="Calibri" w:cs="Calibri"/>
                <w:color w:val="000000"/>
                <w:sz w:val="18"/>
                <w:szCs w:val="18"/>
              </w:rPr>
              <w:t>Upravený rozpočet 2022 - 112.RMP ze dne 05.04.2022</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7F330F" w:rsidRPr="007F330F" w:rsidRDefault="007F330F">
            <w:pPr>
              <w:jc w:val="right"/>
              <w:rPr>
                <w:rFonts w:ascii="Calibri" w:hAnsi="Calibri" w:cs="Calibri"/>
                <w:color w:val="000000"/>
                <w:sz w:val="18"/>
                <w:szCs w:val="18"/>
              </w:rPr>
            </w:pPr>
            <w:r w:rsidRPr="007F330F">
              <w:rPr>
                <w:rFonts w:ascii="Calibri" w:hAnsi="Calibri" w:cs="Calibri"/>
                <w:color w:val="000000"/>
                <w:sz w:val="18"/>
                <w:szCs w:val="18"/>
              </w:rPr>
              <w:t>-21 800,00</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nil"/>
            </w:tcBorders>
            <w:shd w:val="clear" w:color="000000" w:fill="FFFFFF"/>
            <w:noWrap/>
            <w:vAlign w:val="center"/>
            <w:hideMark/>
          </w:tcPr>
          <w:p w:rsidR="007F330F" w:rsidRPr="007F330F" w:rsidRDefault="007F330F">
            <w:pPr>
              <w:rPr>
                <w:rFonts w:ascii="Calibri" w:hAnsi="Calibri" w:cs="Calibri"/>
                <w:color w:val="000000"/>
                <w:sz w:val="18"/>
                <w:szCs w:val="18"/>
              </w:rPr>
            </w:pPr>
            <w:r w:rsidRPr="007F330F">
              <w:rPr>
                <w:rFonts w:ascii="Calibri" w:hAnsi="Calibri" w:cs="Calibri"/>
                <w:color w:val="000000"/>
                <w:sz w:val="18"/>
                <w:szCs w:val="18"/>
              </w:rPr>
              <w:t>Upravený rozpočet 2022 - 30. ZMP ze dne 05.04.2022</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7F330F" w:rsidRPr="007F330F" w:rsidRDefault="007F330F">
            <w:pPr>
              <w:jc w:val="right"/>
              <w:rPr>
                <w:rFonts w:ascii="Calibri" w:hAnsi="Calibri" w:cs="Calibri"/>
                <w:color w:val="000000"/>
                <w:sz w:val="18"/>
                <w:szCs w:val="18"/>
              </w:rPr>
            </w:pPr>
            <w:r w:rsidRPr="007F330F">
              <w:rPr>
                <w:rFonts w:ascii="Calibri" w:hAnsi="Calibri" w:cs="Calibri"/>
                <w:color w:val="000000"/>
                <w:sz w:val="18"/>
                <w:szCs w:val="18"/>
              </w:rPr>
              <w:t>-4 410 115,22</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nil"/>
            </w:tcBorders>
            <w:shd w:val="clear" w:color="000000" w:fill="FFFFFF"/>
            <w:noWrap/>
            <w:vAlign w:val="center"/>
            <w:hideMark/>
          </w:tcPr>
          <w:p w:rsidR="007F330F" w:rsidRPr="007F330F" w:rsidRDefault="007F330F">
            <w:pPr>
              <w:rPr>
                <w:rFonts w:ascii="Calibri" w:hAnsi="Calibri" w:cs="Calibri"/>
                <w:color w:val="000000"/>
                <w:sz w:val="18"/>
                <w:szCs w:val="18"/>
              </w:rPr>
            </w:pPr>
            <w:r w:rsidRPr="007F330F">
              <w:rPr>
                <w:rFonts w:ascii="Calibri" w:hAnsi="Calibri" w:cs="Calibri"/>
                <w:color w:val="000000"/>
                <w:sz w:val="18"/>
                <w:szCs w:val="18"/>
              </w:rPr>
              <w:t>Upravený rozpočet 2022 - 113. RMP ze dne 19. 4. 2022</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7F330F" w:rsidRPr="007F330F" w:rsidRDefault="007F330F">
            <w:pPr>
              <w:jc w:val="right"/>
              <w:rPr>
                <w:rFonts w:ascii="Calibri" w:hAnsi="Calibri" w:cs="Calibri"/>
                <w:color w:val="000000"/>
                <w:sz w:val="18"/>
                <w:szCs w:val="18"/>
              </w:rPr>
            </w:pPr>
            <w:r w:rsidRPr="007F330F">
              <w:rPr>
                <w:rFonts w:ascii="Calibri" w:hAnsi="Calibri" w:cs="Calibri"/>
                <w:color w:val="000000"/>
                <w:sz w:val="18"/>
                <w:szCs w:val="18"/>
              </w:rPr>
              <w:t>-1 230 000,00</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nil"/>
            </w:tcBorders>
            <w:shd w:val="clear" w:color="000000" w:fill="FFFFFF"/>
            <w:noWrap/>
            <w:vAlign w:val="center"/>
            <w:hideMark/>
          </w:tcPr>
          <w:p w:rsidR="007F330F" w:rsidRPr="007F330F" w:rsidRDefault="007F330F">
            <w:pPr>
              <w:rPr>
                <w:rFonts w:ascii="Calibri" w:hAnsi="Calibri" w:cs="Calibri"/>
                <w:color w:val="000000"/>
                <w:sz w:val="18"/>
                <w:szCs w:val="18"/>
              </w:rPr>
            </w:pPr>
            <w:r w:rsidRPr="007F330F">
              <w:rPr>
                <w:rFonts w:ascii="Calibri" w:hAnsi="Calibri" w:cs="Calibri"/>
                <w:color w:val="000000"/>
                <w:sz w:val="18"/>
                <w:szCs w:val="18"/>
              </w:rPr>
              <w:t>Upravený rozpočet 2022 - 31. ZMP ze dne 26. 4. 2022</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7F330F" w:rsidRPr="007F330F" w:rsidRDefault="007F330F">
            <w:pPr>
              <w:jc w:val="right"/>
              <w:rPr>
                <w:rFonts w:ascii="Calibri" w:hAnsi="Calibri" w:cs="Calibri"/>
                <w:color w:val="000000"/>
                <w:sz w:val="18"/>
                <w:szCs w:val="18"/>
              </w:rPr>
            </w:pPr>
            <w:r w:rsidRPr="007F330F">
              <w:rPr>
                <w:rFonts w:ascii="Calibri" w:hAnsi="Calibri" w:cs="Calibri"/>
                <w:color w:val="000000"/>
                <w:sz w:val="18"/>
                <w:szCs w:val="18"/>
              </w:rPr>
              <w:t>-130 200,00</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nil"/>
            </w:tcBorders>
            <w:shd w:val="clear" w:color="000000" w:fill="FFFFFF"/>
            <w:noWrap/>
            <w:vAlign w:val="center"/>
            <w:hideMark/>
          </w:tcPr>
          <w:p w:rsidR="007F330F" w:rsidRPr="007F330F" w:rsidRDefault="007F330F">
            <w:pPr>
              <w:rPr>
                <w:rFonts w:ascii="Calibri" w:hAnsi="Calibri" w:cs="Calibri"/>
                <w:color w:val="000000"/>
                <w:sz w:val="18"/>
                <w:szCs w:val="18"/>
              </w:rPr>
            </w:pPr>
            <w:r w:rsidRPr="007F330F">
              <w:rPr>
                <w:rFonts w:ascii="Calibri" w:hAnsi="Calibri" w:cs="Calibri"/>
                <w:color w:val="000000"/>
                <w:sz w:val="18"/>
                <w:szCs w:val="18"/>
              </w:rPr>
              <w:t>Upravený rozpočet 2022 - 114. RMP ze dne 3. 5. 2022</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7F330F" w:rsidRPr="007F330F" w:rsidRDefault="007F330F">
            <w:pPr>
              <w:jc w:val="right"/>
              <w:rPr>
                <w:rFonts w:ascii="Calibri" w:hAnsi="Calibri" w:cs="Calibri"/>
                <w:color w:val="000000"/>
                <w:sz w:val="18"/>
                <w:szCs w:val="18"/>
              </w:rPr>
            </w:pPr>
            <w:r w:rsidRPr="007F330F">
              <w:rPr>
                <w:rFonts w:ascii="Calibri" w:hAnsi="Calibri" w:cs="Calibri"/>
                <w:color w:val="000000"/>
                <w:sz w:val="18"/>
                <w:szCs w:val="18"/>
              </w:rPr>
              <w:t>-296 450,00</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nil"/>
            </w:tcBorders>
            <w:shd w:val="clear" w:color="000000" w:fill="FFFFFF"/>
            <w:noWrap/>
            <w:vAlign w:val="center"/>
            <w:hideMark/>
          </w:tcPr>
          <w:p w:rsidR="007F330F" w:rsidRPr="007F330F" w:rsidRDefault="007F330F">
            <w:pPr>
              <w:rPr>
                <w:rFonts w:ascii="Calibri" w:hAnsi="Calibri" w:cs="Calibri"/>
                <w:color w:val="000000"/>
                <w:sz w:val="18"/>
                <w:szCs w:val="18"/>
              </w:rPr>
            </w:pPr>
            <w:r w:rsidRPr="007F330F">
              <w:rPr>
                <w:rFonts w:ascii="Calibri" w:hAnsi="Calibri" w:cs="Calibri"/>
                <w:color w:val="000000"/>
                <w:sz w:val="18"/>
                <w:szCs w:val="18"/>
              </w:rPr>
              <w:t>Upravený rozpočet 2022 - 115. RMP ze dne 17. 5. 2022</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7F330F" w:rsidRPr="007F330F" w:rsidRDefault="007F330F">
            <w:pPr>
              <w:jc w:val="right"/>
              <w:rPr>
                <w:rFonts w:ascii="Calibri" w:hAnsi="Calibri" w:cs="Calibri"/>
                <w:color w:val="000000"/>
                <w:sz w:val="18"/>
                <w:szCs w:val="18"/>
              </w:rPr>
            </w:pPr>
            <w:r w:rsidRPr="007F330F">
              <w:rPr>
                <w:rFonts w:ascii="Calibri" w:hAnsi="Calibri" w:cs="Calibri"/>
                <w:color w:val="000000"/>
                <w:sz w:val="18"/>
                <w:szCs w:val="18"/>
              </w:rPr>
              <w:t>-792 130,00</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nil"/>
            </w:tcBorders>
            <w:shd w:val="clear" w:color="000000" w:fill="FFFFFF"/>
            <w:noWrap/>
            <w:vAlign w:val="center"/>
            <w:hideMark/>
          </w:tcPr>
          <w:p w:rsidR="007F330F" w:rsidRPr="007F330F" w:rsidRDefault="007F330F">
            <w:pPr>
              <w:rPr>
                <w:rFonts w:ascii="Calibri" w:hAnsi="Calibri" w:cs="Calibri"/>
                <w:color w:val="000000"/>
                <w:sz w:val="18"/>
                <w:szCs w:val="18"/>
              </w:rPr>
            </w:pPr>
            <w:r w:rsidRPr="007F330F">
              <w:rPr>
                <w:rFonts w:ascii="Calibri" w:hAnsi="Calibri" w:cs="Calibri"/>
                <w:color w:val="000000"/>
                <w:sz w:val="18"/>
                <w:szCs w:val="18"/>
              </w:rPr>
              <w:t>Upravený rozpočet 2022 - 116. RMP ze dne 31. 5. 2022</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7F330F" w:rsidRPr="007F330F" w:rsidRDefault="007F330F">
            <w:pPr>
              <w:jc w:val="right"/>
              <w:rPr>
                <w:rFonts w:ascii="Calibri" w:hAnsi="Calibri" w:cs="Calibri"/>
                <w:color w:val="000000"/>
                <w:sz w:val="18"/>
                <w:szCs w:val="18"/>
              </w:rPr>
            </w:pPr>
            <w:r w:rsidRPr="007F330F">
              <w:rPr>
                <w:rFonts w:ascii="Calibri" w:hAnsi="Calibri" w:cs="Calibri"/>
                <w:color w:val="000000"/>
                <w:sz w:val="18"/>
                <w:szCs w:val="18"/>
              </w:rPr>
              <w:t>-3 329 730,00</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nil"/>
            </w:tcBorders>
            <w:shd w:val="clear" w:color="000000" w:fill="FFFFFF"/>
            <w:noWrap/>
            <w:vAlign w:val="center"/>
            <w:hideMark/>
          </w:tcPr>
          <w:p w:rsidR="007F330F" w:rsidRPr="007F330F" w:rsidRDefault="007F330F">
            <w:pPr>
              <w:rPr>
                <w:rFonts w:ascii="Calibri" w:hAnsi="Calibri" w:cs="Calibri"/>
                <w:color w:val="000000"/>
                <w:sz w:val="18"/>
                <w:szCs w:val="18"/>
              </w:rPr>
            </w:pPr>
            <w:r w:rsidRPr="007F330F">
              <w:rPr>
                <w:rFonts w:ascii="Calibri" w:hAnsi="Calibri" w:cs="Calibri"/>
                <w:color w:val="000000"/>
                <w:sz w:val="18"/>
                <w:szCs w:val="18"/>
              </w:rPr>
              <w:t>Upravený rozpočet 2022 - 117. RMP ze dne 9. 6. 2022</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7F330F" w:rsidRPr="007F330F" w:rsidRDefault="007F330F">
            <w:pPr>
              <w:jc w:val="right"/>
              <w:rPr>
                <w:rFonts w:ascii="Calibri" w:hAnsi="Calibri" w:cs="Calibri"/>
                <w:color w:val="000000"/>
                <w:sz w:val="18"/>
                <w:szCs w:val="18"/>
              </w:rPr>
            </w:pPr>
            <w:r w:rsidRPr="007F330F">
              <w:rPr>
                <w:rFonts w:ascii="Calibri" w:hAnsi="Calibri" w:cs="Calibri"/>
                <w:color w:val="000000"/>
                <w:sz w:val="18"/>
                <w:szCs w:val="18"/>
              </w:rPr>
              <w:t>0,00</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nil"/>
            </w:tcBorders>
            <w:shd w:val="clear" w:color="000000" w:fill="FFFFFF"/>
            <w:noWrap/>
            <w:vAlign w:val="center"/>
            <w:hideMark/>
          </w:tcPr>
          <w:p w:rsidR="007F330F" w:rsidRPr="007F330F" w:rsidRDefault="007F330F">
            <w:pPr>
              <w:rPr>
                <w:rFonts w:ascii="Calibri" w:hAnsi="Calibri" w:cs="Calibri"/>
                <w:color w:val="000000"/>
                <w:sz w:val="18"/>
                <w:szCs w:val="18"/>
              </w:rPr>
            </w:pPr>
            <w:r w:rsidRPr="007F330F">
              <w:rPr>
                <w:rFonts w:ascii="Calibri" w:hAnsi="Calibri" w:cs="Calibri"/>
                <w:color w:val="000000"/>
                <w:sz w:val="18"/>
                <w:szCs w:val="18"/>
              </w:rPr>
              <w:t>Upravený rozpočet 2022 - 32. ZMP ze dne 14. 6. 2022</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7F330F" w:rsidRPr="007F330F" w:rsidRDefault="007F330F">
            <w:pPr>
              <w:jc w:val="right"/>
              <w:rPr>
                <w:rFonts w:ascii="Calibri" w:hAnsi="Calibri" w:cs="Calibri"/>
                <w:color w:val="000000"/>
                <w:sz w:val="18"/>
                <w:szCs w:val="18"/>
              </w:rPr>
            </w:pPr>
            <w:r w:rsidRPr="007F330F">
              <w:rPr>
                <w:rFonts w:ascii="Calibri" w:hAnsi="Calibri" w:cs="Calibri"/>
                <w:color w:val="000000"/>
                <w:sz w:val="18"/>
                <w:szCs w:val="18"/>
              </w:rPr>
              <w:t>258 541 743,12</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nil"/>
            </w:tcBorders>
            <w:shd w:val="clear" w:color="000000" w:fill="FFFFFF"/>
            <w:noWrap/>
            <w:vAlign w:val="center"/>
            <w:hideMark/>
          </w:tcPr>
          <w:p w:rsidR="007F330F" w:rsidRPr="007F330F" w:rsidRDefault="007F330F">
            <w:pPr>
              <w:rPr>
                <w:rFonts w:ascii="Calibri" w:hAnsi="Calibri" w:cs="Calibri"/>
                <w:color w:val="000000"/>
                <w:sz w:val="18"/>
                <w:szCs w:val="18"/>
              </w:rPr>
            </w:pPr>
            <w:r w:rsidRPr="007F330F">
              <w:rPr>
                <w:rFonts w:ascii="Calibri" w:hAnsi="Calibri" w:cs="Calibri"/>
                <w:color w:val="000000"/>
                <w:sz w:val="18"/>
                <w:szCs w:val="18"/>
              </w:rPr>
              <w:t>Upravený rozpočet 2022 - 119. RMP ze dne 28. 6. 2022</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7F330F" w:rsidRPr="007F330F" w:rsidRDefault="007F330F">
            <w:pPr>
              <w:jc w:val="right"/>
              <w:rPr>
                <w:rFonts w:ascii="Calibri" w:hAnsi="Calibri" w:cs="Calibri"/>
                <w:color w:val="000000"/>
                <w:sz w:val="18"/>
                <w:szCs w:val="18"/>
              </w:rPr>
            </w:pPr>
            <w:r w:rsidRPr="007F330F">
              <w:rPr>
                <w:rFonts w:ascii="Calibri" w:hAnsi="Calibri" w:cs="Calibri"/>
                <w:color w:val="000000"/>
                <w:sz w:val="18"/>
                <w:szCs w:val="18"/>
              </w:rPr>
              <w:t>-6 219 603,64</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nil"/>
            </w:tcBorders>
            <w:shd w:val="clear" w:color="000000" w:fill="FFFFFF"/>
            <w:noWrap/>
            <w:vAlign w:val="center"/>
            <w:hideMark/>
          </w:tcPr>
          <w:p w:rsidR="007F330F" w:rsidRPr="007F330F" w:rsidRDefault="007F330F">
            <w:pPr>
              <w:rPr>
                <w:rFonts w:ascii="Calibri" w:hAnsi="Calibri" w:cs="Calibri"/>
                <w:sz w:val="18"/>
                <w:szCs w:val="18"/>
              </w:rPr>
            </w:pPr>
            <w:r w:rsidRPr="007F330F">
              <w:rPr>
                <w:rFonts w:ascii="Calibri" w:hAnsi="Calibri" w:cs="Calibri"/>
                <w:sz w:val="18"/>
                <w:szCs w:val="18"/>
              </w:rPr>
              <w:t>ÚZ 104513013 - veřejně prospěšné práce</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7F330F" w:rsidRPr="007F330F" w:rsidRDefault="007F330F">
            <w:pPr>
              <w:jc w:val="right"/>
              <w:rPr>
                <w:rFonts w:ascii="Calibri" w:hAnsi="Calibri" w:cs="Calibri"/>
                <w:color w:val="000000"/>
                <w:sz w:val="18"/>
                <w:szCs w:val="18"/>
              </w:rPr>
            </w:pPr>
            <w:r w:rsidRPr="007F330F">
              <w:rPr>
                <w:rFonts w:ascii="Calibri" w:hAnsi="Calibri" w:cs="Calibri"/>
                <w:color w:val="000000"/>
                <w:sz w:val="18"/>
                <w:szCs w:val="18"/>
              </w:rPr>
              <w:t>13 506,00</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nil"/>
            </w:tcBorders>
            <w:shd w:val="clear" w:color="000000" w:fill="FFFFFF"/>
            <w:noWrap/>
            <w:vAlign w:val="center"/>
            <w:hideMark/>
          </w:tcPr>
          <w:p w:rsidR="007F330F" w:rsidRPr="007F330F" w:rsidRDefault="007F330F">
            <w:pPr>
              <w:rPr>
                <w:rFonts w:ascii="Calibri" w:hAnsi="Calibri" w:cs="Calibri"/>
                <w:sz w:val="18"/>
                <w:szCs w:val="18"/>
              </w:rPr>
            </w:pPr>
            <w:r w:rsidRPr="007F330F">
              <w:rPr>
                <w:rFonts w:ascii="Calibri" w:hAnsi="Calibri" w:cs="Calibri"/>
                <w:sz w:val="18"/>
                <w:szCs w:val="18"/>
              </w:rPr>
              <w:t>ÚZ 104113013 - veřejně prospěšné práce</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7F330F" w:rsidRPr="007F330F" w:rsidRDefault="007F330F">
            <w:pPr>
              <w:jc w:val="right"/>
              <w:rPr>
                <w:rFonts w:ascii="Calibri" w:hAnsi="Calibri" w:cs="Calibri"/>
                <w:color w:val="000000"/>
                <w:sz w:val="18"/>
                <w:szCs w:val="18"/>
              </w:rPr>
            </w:pPr>
            <w:r w:rsidRPr="007F330F">
              <w:rPr>
                <w:rFonts w:ascii="Calibri" w:hAnsi="Calibri" w:cs="Calibri"/>
                <w:color w:val="000000"/>
                <w:sz w:val="18"/>
                <w:szCs w:val="18"/>
              </w:rPr>
              <w:t>71 294,00</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nil"/>
            </w:tcBorders>
            <w:shd w:val="clear" w:color="000000" w:fill="FFFFFF"/>
            <w:noWrap/>
            <w:vAlign w:val="center"/>
            <w:hideMark/>
          </w:tcPr>
          <w:p w:rsidR="007F330F" w:rsidRPr="007F330F" w:rsidRDefault="007F330F">
            <w:pPr>
              <w:rPr>
                <w:rFonts w:ascii="Calibri" w:hAnsi="Calibri" w:cs="Calibri"/>
                <w:sz w:val="18"/>
                <w:szCs w:val="18"/>
              </w:rPr>
            </w:pPr>
            <w:r w:rsidRPr="007F330F">
              <w:rPr>
                <w:rFonts w:ascii="Calibri" w:hAnsi="Calibri" w:cs="Calibri"/>
                <w:sz w:val="18"/>
                <w:szCs w:val="18"/>
              </w:rPr>
              <w:t>Upravený rozpočet 2022 - 120. RMP ze dne 12. 7. 2022</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7F330F" w:rsidRPr="007F330F" w:rsidRDefault="007F330F">
            <w:pPr>
              <w:jc w:val="right"/>
              <w:rPr>
                <w:rFonts w:ascii="Calibri" w:hAnsi="Calibri" w:cs="Calibri"/>
                <w:color w:val="000000"/>
                <w:sz w:val="18"/>
                <w:szCs w:val="18"/>
              </w:rPr>
            </w:pPr>
            <w:r w:rsidRPr="007F330F">
              <w:rPr>
                <w:rFonts w:ascii="Calibri" w:hAnsi="Calibri" w:cs="Calibri"/>
                <w:color w:val="000000"/>
                <w:sz w:val="18"/>
                <w:szCs w:val="18"/>
              </w:rPr>
              <w:t>-3 457 620,00</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nil"/>
            </w:tcBorders>
            <w:shd w:val="clear" w:color="000000" w:fill="FFFFFF"/>
            <w:noWrap/>
            <w:vAlign w:val="center"/>
            <w:hideMark/>
          </w:tcPr>
          <w:p w:rsidR="007F330F" w:rsidRPr="007F330F" w:rsidRDefault="007F330F">
            <w:pPr>
              <w:rPr>
                <w:rFonts w:ascii="Calibri" w:hAnsi="Calibri" w:cs="Calibri"/>
                <w:sz w:val="18"/>
                <w:szCs w:val="18"/>
              </w:rPr>
            </w:pPr>
            <w:r w:rsidRPr="007F330F">
              <w:rPr>
                <w:rFonts w:ascii="Calibri" w:hAnsi="Calibri" w:cs="Calibri"/>
                <w:sz w:val="18"/>
                <w:szCs w:val="18"/>
              </w:rPr>
              <w:t>Upravený rozpočet 2022 - 121. RMP ze dne 02.08.2022</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7F330F" w:rsidRPr="007F330F" w:rsidRDefault="007F330F">
            <w:pPr>
              <w:jc w:val="right"/>
              <w:rPr>
                <w:rFonts w:ascii="Calibri" w:hAnsi="Calibri" w:cs="Calibri"/>
                <w:color w:val="000000"/>
                <w:sz w:val="18"/>
                <w:szCs w:val="18"/>
              </w:rPr>
            </w:pPr>
            <w:r w:rsidRPr="007F330F">
              <w:rPr>
                <w:rFonts w:ascii="Calibri" w:hAnsi="Calibri" w:cs="Calibri"/>
                <w:color w:val="000000"/>
                <w:sz w:val="18"/>
                <w:szCs w:val="18"/>
              </w:rPr>
              <w:t>-4 354 136,72</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nil"/>
            </w:tcBorders>
            <w:shd w:val="clear" w:color="000000" w:fill="FFFFFF"/>
            <w:noWrap/>
            <w:vAlign w:val="center"/>
            <w:hideMark/>
          </w:tcPr>
          <w:p w:rsidR="007F330F" w:rsidRPr="007F330F" w:rsidRDefault="007F330F">
            <w:pPr>
              <w:rPr>
                <w:rFonts w:ascii="Calibri" w:hAnsi="Calibri" w:cs="Calibri"/>
                <w:sz w:val="18"/>
                <w:szCs w:val="18"/>
              </w:rPr>
            </w:pPr>
            <w:r w:rsidRPr="007F330F">
              <w:rPr>
                <w:rFonts w:ascii="Calibri" w:hAnsi="Calibri" w:cs="Calibri"/>
                <w:sz w:val="18"/>
                <w:szCs w:val="18"/>
              </w:rPr>
              <w:t>Upravený rozpočet 2022 - 123. RMP ze dne 23.08.2022</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7F330F" w:rsidRPr="007F330F" w:rsidRDefault="007F330F">
            <w:pPr>
              <w:jc w:val="right"/>
              <w:rPr>
                <w:rFonts w:ascii="Calibri" w:hAnsi="Calibri" w:cs="Calibri"/>
                <w:color w:val="000000"/>
                <w:sz w:val="18"/>
                <w:szCs w:val="18"/>
              </w:rPr>
            </w:pPr>
            <w:r w:rsidRPr="007F330F">
              <w:rPr>
                <w:rFonts w:ascii="Calibri" w:hAnsi="Calibri" w:cs="Calibri"/>
                <w:color w:val="000000"/>
                <w:sz w:val="18"/>
                <w:szCs w:val="18"/>
              </w:rPr>
              <w:t>-10 556 410,00</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nil"/>
            </w:tcBorders>
            <w:shd w:val="clear" w:color="000000" w:fill="FFFFFF"/>
            <w:noWrap/>
            <w:vAlign w:val="center"/>
            <w:hideMark/>
          </w:tcPr>
          <w:p w:rsidR="007F330F" w:rsidRPr="007F330F" w:rsidRDefault="007F330F">
            <w:pPr>
              <w:rPr>
                <w:rFonts w:ascii="Calibri" w:hAnsi="Calibri" w:cs="Calibri"/>
                <w:sz w:val="18"/>
                <w:szCs w:val="18"/>
              </w:rPr>
            </w:pPr>
            <w:r w:rsidRPr="007F330F">
              <w:rPr>
                <w:rFonts w:ascii="Calibri" w:hAnsi="Calibri" w:cs="Calibri"/>
                <w:sz w:val="18"/>
                <w:szCs w:val="18"/>
              </w:rPr>
              <w:t>Upravený rozpočet 2022 - 124. RMP ze dne 31.08.2022</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7F330F" w:rsidRPr="007F330F" w:rsidRDefault="007F330F">
            <w:pPr>
              <w:jc w:val="right"/>
              <w:rPr>
                <w:rFonts w:ascii="Calibri" w:hAnsi="Calibri" w:cs="Calibri"/>
                <w:color w:val="000000"/>
                <w:sz w:val="18"/>
                <w:szCs w:val="18"/>
              </w:rPr>
            </w:pPr>
            <w:r w:rsidRPr="007F330F">
              <w:rPr>
                <w:rFonts w:ascii="Calibri" w:hAnsi="Calibri" w:cs="Calibri"/>
                <w:color w:val="000000"/>
                <w:sz w:val="18"/>
                <w:szCs w:val="18"/>
              </w:rPr>
              <w:t>-1 200 000,00</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nil"/>
            </w:tcBorders>
            <w:shd w:val="clear" w:color="000000" w:fill="FFFFFF"/>
            <w:noWrap/>
            <w:vAlign w:val="center"/>
            <w:hideMark/>
          </w:tcPr>
          <w:p w:rsidR="007F330F" w:rsidRPr="007F330F" w:rsidRDefault="007F330F">
            <w:pPr>
              <w:rPr>
                <w:rFonts w:ascii="Calibri" w:hAnsi="Calibri" w:cs="Calibri"/>
                <w:sz w:val="18"/>
                <w:szCs w:val="18"/>
              </w:rPr>
            </w:pPr>
            <w:r w:rsidRPr="007F330F">
              <w:rPr>
                <w:rFonts w:ascii="Calibri" w:hAnsi="Calibri" w:cs="Calibri"/>
                <w:sz w:val="18"/>
                <w:szCs w:val="18"/>
              </w:rPr>
              <w:t>Upravený rozpočet 2022 - 33 . ZMP ze dne 6. 9. 2022</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7F330F" w:rsidRPr="007F330F" w:rsidRDefault="007F330F">
            <w:pPr>
              <w:jc w:val="right"/>
              <w:rPr>
                <w:rFonts w:ascii="Calibri" w:hAnsi="Calibri" w:cs="Calibri"/>
                <w:color w:val="000000"/>
                <w:sz w:val="18"/>
                <w:szCs w:val="18"/>
              </w:rPr>
            </w:pPr>
            <w:r w:rsidRPr="007F330F">
              <w:rPr>
                <w:rFonts w:ascii="Calibri" w:hAnsi="Calibri" w:cs="Calibri"/>
                <w:color w:val="000000"/>
                <w:sz w:val="18"/>
                <w:szCs w:val="18"/>
              </w:rPr>
              <w:t>-4 601 700,00</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nil"/>
            </w:tcBorders>
            <w:shd w:val="clear" w:color="000000" w:fill="FFFFFF"/>
            <w:noWrap/>
            <w:vAlign w:val="center"/>
            <w:hideMark/>
          </w:tcPr>
          <w:p w:rsidR="007F330F" w:rsidRPr="007F330F" w:rsidRDefault="007F330F">
            <w:pPr>
              <w:rPr>
                <w:rFonts w:ascii="Calibri" w:hAnsi="Calibri" w:cs="Calibri"/>
                <w:sz w:val="18"/>
                <w:szCs w:val="18"/>
              </w:rPr>
            </w:pPr>
            <w:r w:rsidRPr="007F330F">
              <w:rPr>
                <w:rFonts w:ascii="Calibri" w:hAnsi="Calibri" w:cs="Calibri"/>
                <w:sz w:val="18"/>
                <w:szCs w:val="18"/>
              </w:rPr>
              <w:t>Upravený rozpočet 2022 - 125. RMP ze dne 20. 9. 2022</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7F330F" w:rsidRPr="007F330F" w:rsidRDefault="007F330F">
            <w:pPr>
              <w:jc w:val="right"/>
              <w:rPr>
                <w:rFonts w:ascii="Calibri" w:hAnsi="Calibri" w:cs="Calibri"/>
                <w:color w:val="000000"/>
                <w:sz w:val="18"/>
                <w:szCs w:val="18"/>
              </w:rPr>
            </w:pPr>
            <w:r w:rsidRPr="007F330F">
              <w:rPr>
                <w:rFonts w:ascii="Calibri" w:hAnsi="Calibri" w:cs="Calibri"/>
                <w:color w:val="000000"/>
                <w:sz w:val="18"/>
                <w:szCs w:val="18"/>
              </w:rPr>
              <w:t>-9 143 233,53</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nil"/>
            </w:tcBorders>
            <w:shd w:val="clear" w:color="000000" w:fill="FFFFFF"/>
            <w:noWrap/>
            <w:vAlign w:val="center"/>
            <w:hideMark/>
          </w:tcPr>
          <w:p w:rsidR="007F330F" w:rsidRPr="007F330F" w:rsidRDefault="007F330F">
            <w:pPr>
              <w:rPr>
                <w:rFonts w:ascii="Calibri" w:hAnsi="Calibri" w:cs="Calibri"/>
                <w:sz w:val="18"/>
                <w:szCs w:val="18"/>
              </w:rPr>
            </w:pPr>
            <w:r w:rsidRPr="007F330F">
              <w:rPr>
                <w:rFonts w:ascii="Calibri" w:hAnsi="Calibri" w:cs="Calibri"/>
                <w:sz w:val="18"/>
                <w:szCs w:val="18"/>
              </w:rPr>
              <w:t>Upravený rozpočet 2022 - 126. RMP ze dne 7. 10. 2022</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7F330F" w:rsidRPr="007F330F" w:rsidRDefault="007F330F">
            <w:pPr>
              <w:jc w:val="right"/>
              <w:rPr>
                <w:rFonts w:ascii="Calibri" w:hAnsi="Calibri" w:cs="Calibri"/>
                <w:color w:val="000000"/>
                <w:sz w:val="18"/>
                <w:szCs w:val="18"/>
              </w:rPr>
            </w:pPr>
            <w:r w:rsidRPr="007F330F">
              <w:rPr>
                <w:rFonts w:ascii="Calibri" w:hAnsi="Calibri" w:cs="Calibri"/>
                <w:color w:val="000000"/>
                <w:sz w:val="18"/>
                <w:szCs w:val="18"/>
              </w:rPr>
              <w:t>-5 080 000,00</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nil"/>
            </w:tcBorders>
            <w:shd w:val="clear" w:color="000000" w:fill="FFFFFF"/>
            <w:noWrap/>
            <w:vAlign w:val="center"/>
            <w:hideMark/>
          </w:tcPr>
          <w:p w:rsidR="007F330F" w:rsidRPr="007F330F" w:rsidRDefault="007F330F">
            <w:pPr>
              <w:rPr>
                <w:rFonts w:ascii="Calibri" w:hAnsi="Calibri" w:cs="Calibri"/>
                <w:sz w:val="18"/>
                <w:szCs w:val="18"/>
              </w:rPr>
            </w:pPr>
            <w:r w:rsidRPr="007F330F">
              <w:rPr>
                <w:rFonts w:ascii="Calibri" w:hAnsi="Calibri" w:cs="Calibri"/>
                <w:sz w:val="18"/>
                <w:szCs w:val="18"/>
              </w:rPr>
              <w:t>Upravený rozpočet 2022 - 127. RMP ze dne 14. 10. 2022</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7F330F" w:rsidRPr="007F330F" w:rsidRDefault="007F330F">
            <w:pPr>
              <w:jc w:val="right"/>
              <w:rPr>
                <w:rFonts w:ascii="Calibri" w:hAnsi="Calibri" w:cs="Calibri"/>
                <w:color w:val="000000"/>
                <w:sz w:val="18"/>
                <w:szCs w:val="18"/>
              </w:rPr>
            </w:pPr>
            <w:r w:rsidRPr="007F330F">
              <w:rPr>
                <w:rFonts w:ascii="Calibri" w:hAnsi="Calibri" w:cs="Calibri"/>
                <w:color w:val="000000"/>
                <w:sz w:val="18"/>
                <w:szCs w:val="18"/>
              </w:rPr>
              <w:t>0,00</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nil"/>
            </w:tcBorders>
            <w:shd w:val="clear" w:color="000000" w:fill="FFFFFF"/>
            <w:noWrap/>
            <w:vAlign w:val="center"/>
            <w:hideMark/>
          </w:tcPr>
          <w:p w:rsidR="007F330F" w:rsidRPr="007F330F" w:rsidRDefault="007F330F">
            <w:pPr>
              <w:rPr>
                <w:rFonts w:ascii="Calibri" w:hAnsi="Calibri" w:cs="Calibri"/>
                <w:sz w:val="18"/>
                <w:szCs w:val="18"/>
              </w:rPr>
            </w:pPr>
            <w:r w:rsidRPr="007F330F">
              <w:rPr>
                <w:rFonts w:ascii="Calibri" w:hAnsi="Calibri" w:cs="Calibri"/>
                <w:sz w:val="18"/>
                <w:szCs w:val="18"/>
              </w:rPr>
              <w:t>Upravený rozpočet 2022 - 1. RMP ze dne 25. 10. 2022</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7F330F" w:rsidRPr="007F330F" w:rsidRDefault="007F330F">
            <w:pPr>
              <w:jc w:val="right"/>
              <w:rPr>
                <w:rFonts w:ascii="Calibri" w:hAnsi="Calibri" w:cs="Calibri"/>
                <w:color w:val="000000"/>
                <w:sz w:val="18"/>
                <w:szCs w:val="18"/>
              </w:rPr>
            </w:pPr>
            <w:r w:rsidRPr="007F330F">
              <w:rPr>
                <w:rFonts w:ascii="Calibri" w:hAnsi="Calibri" w:cs="Calibri"/>
                <w:color w:val="000000"/>
                <w:sz w:val="18"/>
                <w:szCs w:val="18"/>
              </w:rPr>
              <w:t>0,00</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nil"/>
            </w:tcBorders>
            <w:shd w:val="clear" w:color="000000" w:fill="FFFFFF"/>
            <w:noWrap/>
            <w:vAlign w:val="center"/>
            <w:hideMark/>
          </w:tcPr>
          <w:p w:rsidR="007F330F" w:rsidRPr="007F330F" w:rsidRDefault="007F330F">
            <w:pPr>
              <w:rPr>
                <w:rFonts w:ascii="Calibri" w:hAnsi="Calibri" w:cs="Calibri"/>
                <w:sz w:val="18"/>
                <w:szCs w:val="18"/>
              </w:rPr>
            </w:pPr>
            <w:r w:rsidRPr="007F330F">
              <w:rPr>
                <w:rFonts w:ascii="Calibri" w:hAnsi="Calibri" w:cs="Calibri"/>
                <w:sz w:val="18"/>
                <w:szCs w:val="18"/>
              </w:rPr>
              <w:t>Upravený rozpočet 2022 - 2. RMP ze dne 1. 11. 2022</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7F330F" w:rsidRPr="007F330F" w:rsidRDefault="007F330F">
            <w:pPr>
              <w:jc w:val="right"/>
              <w:rPr>
                <w:rFonts w:ascii="Calibri" w:hAnsi="Calibri" w:cs="Calibri"/>
                <w:color w:val="000000"/>
                <w:sz w:val="18"/>
                <w:szCs w:val="18"/>
              </w:rPr>
            </w:pPr>
            <w:r w:rsidRPr="007F330F">
              <w:rPr>
                <w:rFonts w:ascii="Calibri" w:hAnsi="Calibri" w:cs="Calibri"/>
                <w:color w:val="000000"/>
                <w:sz w:val="18"/>
                <w:szCs w:val="18"/>
              </w:rPr>
              <w:t>-387 100,00</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nil"/>
            </w:tcBorders>
            <w:shd w:val="clear" w:color="000000" w:fill="FFFFFF"/>
            <w:noWrap/>
            <w:vAlign w:val="center"/>
            <w:hideMark/>
          </w:tcPr>
          <w:p w:rsidR="007F330F" w:rsidRPr="007F330F" w:rsidRDefault="007F330F">
            <w:pPr>
              <w:rPr>
                <w:rFonts w:ascii="Calibri" w:hAnsi="Calibri" w:cs="Calibri"/>
                <w:sz w:val="18"/>
                <w:szCs w:val="18"/>
              </w:rPr>
            </w:pPr>
            <w:r w:rsidRPr="007F330F">
              <w:rPr>
                <w:rFonts w:ascii="Calibri" w:hAnsi="Calibri" w:cs="Calibri"/>
                <w:sz w:val="18"/>
                <w:szCs w:val="18"/>
              </w:rPr>
              <w:t>Upravený rozpočet 2022 - 2. ZMP ze dne 22. 11. 2022</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7F330F" w:rsidRPr="007F330F" w:rsidRDefault="007F330F">
            <w:pPr>
              <w:jc w:val="right"/>
              <w:rPr>
                <w:rFonts w:ascii="Calibri" w:hAnsi="Calibri" w:cs="Calibri"/>
                <w:color w:val="000000"/>
                <w:sz w:val="18"/>
                <w:szCs w:val="18"/>
              </w:rPr>
            </w:pPr>
            <w:r w:rsidRPr="007F330F">
              <w:rPr>
                <w:rFonts w:ascii="Calibri" w:hAnsi="Calibri" w:cs="Calibri"/>
                <w:color w:val="000000"/>
                <w:sz w:val="18"/>
                <w:szCs w:val="18"/>
              </w:rPr>
              <w:t>-3 620 000,00</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nil"/>
            </w:tcBorders>
            <w:shd w:val="clear" w:color="000000" w:fill="FFFFFF"/>
            <w:noWrap/>
            <w:vAlign w:val="center"/>
            <w:hideMark/>
          </w:tcPr>
          <w:p w:rsidR="007F330F" w:rsidRPr="007F330F" w:rsidRDefault="007F330F">
            <w:pPr>
              <w:rPr>
                <w:rFonts w:ascii="Calibri" w:hAnsi="Calibri" w:cs="Calibri"/>
                <w:sz w:val="18"/>
                <w:szCs w:val="18"/>
              </w:rPr>
            </w:pPr>
            <w:r w:rsidRPr="007F330F">
              <w:rPr>
                <w:rFonts w:ascii="Calibri" w:hAnsi="Calibri" w:cs="Calibri"/>
                <w:sz w:val="18"/>
                <w:szCs w:val="18"/>
              </w:rPr>
              <w:t>Upravený rozpočet 2022 - 4. RMP ze dne 23. 11.2022</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7F330F" w:rsidRPr="007F330F" w:rsidRDefault="007F330F">
            <w:pPr>
              <w:jc w:val="right"/>
              <w:rPr>
                <w:rFonts w:ascii="Calibri" w:hAnsi="Calibri" w:cs="Calibri"/>
                <w:color w:val="000000"/>
                <w:sz w:val="18"/>
                <w:szCs w:val="18"/>
              </w:rPr>
            </w:pPr>
            <w:r w:rsidRPr="007F330F">
              <w:rPr>
                <w:rFonts w:ascii="Calibri" w:hAnsi="Calibri" w:cs="Calibri"/>
                <w:color w:val="000000"/>
                <w:sz w:val="18"/>
                <w:szCs w:val="18"/>
              </w:rPr>
              <w:t>5 728 778,43</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nil"/>
            </w:tcBorders>
            <w:shd w:val="clear" w:color="000000" w:fill="FFFFFF"/>
            <w:noWrap/>
            <w:vAlign w:val="center"/>
            <w:hideMark/>
          </w:tcPr>
          <w:p w:rsidR="007F330F" w:rsidRPr="007F330F" w:rsidRDefault="007F330F">
            <w:pPr>
              <w:rPr>
                <w:rFonts w:ascii="Calibri" w:hAnsi="Calibri" w:cs="Calibri"/>
                <w:sz w:val="18"/>
                <w:szCs w:val="18"/>
              </w:rPr>
            </w:pPr>
            <w:r w:rsidRPr="007F330F">
              <w:rPr>
                <w:rFonts w:ascii="Calibri" w:hAnsi="Calibri" w:cs="Calibri"/>
                <w:sz w:val="18"/>
                <w:szCs w:val="18"/>
              </w:rPr>
              <w:t>Upravený rozpočet 2022 - 5. RMP ze dne 6. 12. 2022</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7F330F" w:rsidRPr="007F330F" w:rsidRDefault="007F330F">
            <w:pPr>
              <w:jc w:val="right"/>
              <w:rPr>
                <w:rFonts w:ascii="Calibri" w:hAnsi="Calibri" w:cs="Calibri"/>
                <w:color w:val="000000"/>
                <w:sz w:val="18"/>
                <w:szCs w:val="18"/>
              </w:rPr>
            </w:pPr>
            <w:r w:rsidRPr="007F330F">
              <w:rPr>
                <w:rFonts w:ascii="Calibri" w:hAnsi="Calibri" w:cs="Calibri"/>
                <w:color w:val="000000"/>
                <w:sz w:val="18"/>
                <w:szCs w:val="18"/>
              </w:rPr>
              <w:t>4 552 863,04</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nil"/>
            </w:tcBorders>
            <w:shd w:val="clear" w:color="000000" w:fill="FFFFFF"/>
            <w:noWrap/>
            <w:vAlign w:val="center"/>
            <w:hideMark/>
          </w:tcPr>
          <w:p w:rsidR="007F330F" w:rsidRPr="007F330F" w:rsidRDefault="007F330F">
            <w:pPr>
              <w:rPr>
                <w:rFonts w:ascii="Calibri" w:hAnsi="Calibri" w:cs="Calibri"/>
                <w:sz w:val="18"/>
                <w:szCs w:val="18"/>
              </w:rPr>
            </w:pPr>
            <w:r w:rsidRPr="007F330F">
              <w:rPr>
                <w:rFonts w:ascii="Calibri" w:hAnsi="Calibri" w:cs="Calibri"/>
                <w:sz w:val="18"/>
                <w:szCs w:val="18"/>
              </w:rPr>
              <w:t>Upravený rozpočet 2022 - 3. ZMP ze dne 13. 12. 2022</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7F330F" w:rsidRPr="007F330F" w:rsidRDefault="007F330F">
            <w:pPr>
              <w:jc w:val="right"/>
              <w:rPr>
                <w:rFonts w:ascii="Calibri" w:hAnsi="Calibri" w:cs="Calibri"/>
                <w:color w:val="000000"/>
                <w:sz w:val="18"/>
                <w:szCs w:val="18"/>
              </w:rPr>
            </w:pPr>
            <w:r w:rsidRPr="007F330F">
              <w:rPr>
                <w:rFonts w:ascii="Calibri" w:hAnsi="Calibri" w:cs="Calibri"/>
                <w:color w:val="000000"/>
                <w:sz w:val="18"/>
                <w:szCs w:val="18"/>
              </w:rPr>
              <w:t>53 200 000,00</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nil"/>
            </w:tcBorders>
            <w:shd w:val="clear" w:color="000000" w:fill="FFFFFF"/>
            <w:noWrap/>
            <w:vAlign w:val="center"/>
            <w:hideMark/>
          </w:tcPr>
          <w:p w:rsidR="007F330F" w:rsidRPr="007F330F" w:rsidRDefault="007F330F">
            <w:pPr>
              <w:rPr>
                <w:rFonts w:ascii="Calibri" w:hAnsi="Calibri" w:cs="Calibri"/>
                <w:sz w:val="18"/>
                <w:szCs w:val="18"/>
              </w:rPr>
            </w:pPr>
            <w:r w:rsidRPr="007F330F">
              <w:rPr>
                <w:rFonts w:ascii="Calibri" w:hAnsi="Calibri" w:cs="Calibri"/>
                <w:sz w:val="18"/>
                <w:szCs w:val="18"/>
              </w:rPr>
              <w:t>Upravený rozpočet 2022 - 6. RMP ze dne 21. 12. 2022</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7F330F" w:rsidRPr="007F330F" w:rsidRDefault="007F330F">
            <w:pPr>
              <w:jc w:val="right"/>
              <w:rPr>
                <w:rFonts w:ascii="Calibri" w:hAnsi="Calibri" w:cs="Calibri"/>
                <w:color w:val="000000"/>
                <w:sz w:val="18"/>
                <w:szCs w:val="18"/>
              </w:rPr>
            </w:pPr>
            <w:r w:rsidRPr="007F330F">
              <w:rPr>
                <w:rFonts w:ascii="Calibri" w:hAnsi="Calibri" w:cs="Calibri"/>
                <w:color w:val="000000"/>
                <w:sz w:val="18"/>
                <w:szCs w:val="18"/>
              </w:rPr>
              <w:t>4 941 000,00</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nil"/>
            </w:tcBorders>
            <w:shd w:val="clear" w:color="000000" w:fill="C9C9C9"/>
            <w:noWrap/>
            <w:vAlign w:val="center"/>
            <w:hideMark/>
          </w:tcPr>
          <w:p w:rsidR="007F330F" w:rsidRPr="007F330F" w:rsidRDefault="007F330F">
            <w:pPr>
              <w:rPr>
                <w:rFonts w:ascii="Calibri" w:hAnsi="Calibri" w:cs="Calibri"/>
                <w:b/>
                <w:bCs/>
                <w:color w:val="000000"/>
                <w:sz w:val="18"/>
                <w:szCs w:val="18"/>
              </w:rPr>
            </w:pPr>
            <w:r w:rsidRPr="007F330F">
              <w:rPr>
                <w:rFonts w:ascii="Calibri" w:hAnsi="Calibri" w:cs="Calibri"/>
                <w:b/>
                <w:bCs/>
                <w:color w:val="000000"/>
                <w:sz w:val="18"/>
                <w:szCs w:val="18"/>
              </w:rPr>
              <w:t>Konečný zůstatek FRR</w:t>
            </w:r>
          </w:p>
        </w:tc>
        <w:tc>
          <w:tcPr>
            <w:tcW w:w="1417" w:type="dxa"/>
            <w:tcBorders>
              <w:top w:val="nil"/>
              <w:left w:val="single" w:sz="4" w:space="0" w:color="auto"/>
              <w:bottom w:val="single" w:sz="4" w:space="0" w:color="auto"/>
              <w:right w:val="single" w:sz="4" w:space="0" w:color="auto"/>
            </w:tcBorders>
            <w:shd w:val="clear" w:color="000000" w:fill="C9C9C9"/>
            <w:noWrap/>
            <w:vAlign w:val="center"/>
            <w:hideMark/>
          </w:tcPr>
          <w:p w:rsidR="007F330F" w:rsidRPr="007F330F" w:rsidRDefault="007F330F">
            <w:pPr>
              <w:jc w:val="right"/>
              <w:rPr>
                <w:rFonts w:ascii="Calibri" w:hAnsi="Calibri" w:cs="Calibri"/>
                <w:b/>
                <w:bCs/>
                <w:color w:val="000000"/>
                <w:sz w:val="18"/>
                <w:szCs w:val="18"/>
              </w:rPr>
            </w:pPr>
            <w:r w:rsidRPr="007F330F">
              <w:rPr>
                <w:rFonts w:ascii="Calibri" w:hAnsi="Calibri" w:cs="Calibri"/>
                <w:b/>
                <w:bCs/>
                <w:color w:val="000000"/>
                <w:sz w:val="18"/>
                <w:szCs w:val="18"/>
              </w:rPr>
              <w:t>271 439 967,93</w:t>
            </w:r>
          </w:p>
        </w:tc>
      </w:tr>
      <w:tr w:rsidR="007F330F" w:rsidRPr="007F330F" w:rsidTr="007F330F">
        <w:trPr>
          <w:trHeight w:val="272"/>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F330F" w:rsidRPr="007F330F" w:rsidRDefault="007F330F">
            <w:pPr>
              <w:jc w:val="center"/>
              <w:rPr>
                <w:rFonts w:ascii="Calibri" w:hAnsi="Calibri" w:cs="Calibri"/>
                <w:color w:val="000000"/>
                <w:sz w:val="18"/>
                <w:szCs w:val="18"/>
              </w:rPr>
            </w:pPr>
            <w:r w:rsidRPr="007F330F">
              <w:rPr>
                <w:rFonts w:ascii="Calibri" w:hAnsi="Calibri" w:cs="Calibri"/>
                <w:color w:val="000000"/>
                <w:sz w:val="18"/>
                <w:szCs w:val="18"/>
              </w:rPr>
              <w:t>000000005</w:t>
            </w:r>
          </w:p>
        </w:tc>
        <w:tc>
          <w:tcPr>
            <w:tcW w:w="1018" w:type="dxa"/>
            <w:vMerge w:val="restart"/>
            <w:tcBorders>
              <w:top w:val="nil"/>
              <w:left w:val="single" w:sz="4" w:space="0" w:color="auto"/>
              <w:bottom w:val="single" w:sz="4" w:space="0" w:color="000000"/>
              <w:right w:val="single" w:sz="4" w:space="0" w:color="auto"/>
            </w:tcBorders>
            <w:shd w:val="clear" w:color="auto" w:fill="auto"/>
            <w:vAlign w:val="center"/>
            <w:hideMark/>
          </w:tcPr>
          <w:p w:rsidR="007F330F" w:rsidRPr="007F330F" w:rsidRDefault="007F330F">
            <w:pPr>
              <w:jc w:val="center"/>
              <w:rPr>
                <w:rFonts w:ascii="Calibri" w:hAnsi="Calibri" w:cs="Calibri"/>
                <w:color w:val="000000"/>
                <w:sz w:val="18"/>
                <w:szCs w:val="18"/>
              </w:rPr>
            </w:pPr>
            <w:r w:rsidRPr="007F330F">
              <w:rPr>
                <w:rFonts w:ascii="Calibri" w:hAnsi="Calibri" w:cs="Calibri"/>
                <w:color w:val="000000"/>
                <w:sz w:val="18"/>
                <w:szCs w:val="18"/>
              </w:rPr>
              <w:t>Fond reinvestic nájemného</w:t>
            </w:r>
          </w:p>
        </w:tc>
        <w:tc>
          <w:tcPr>
            <w:tcW w:w="6379" w:type="dxa"/>
            <w:tcBorders>
              <w:top w:val="nil"/>
              <w:left w:val="nil"/>
              <w:bottom w:val="single" w:sz="4" w:space="0" w:color="auto"/>
              <w:right w:val="nil"/>
            </w:tcBorders>
            <w:shd w:val="clear" w:color="000000" w:fill="C9C9C9"/>
            <w:noWrap/>
            <w:vAlign w:val="center"/>
            <w:hideMark/>
          </w:tcPr>
          <w:p w:rsidR="007F330F" w:rsidRPr="007F330F" w:rsidRDefault="007F330F">
            <w:pPr>
              <w:rPr>
                <w:rFonts w:ascii="Calibri" w:hAnsi="Calibri" w:cs="Calibri"/>
                <w:b/>
                <w:bCs/>
                <w:color w:val="000000"/>
                <w:sz w:val="18"/>
                <w:szCs w:val="18"/>
              </w:rPr>
            </w:pPr>
            <w:r w:rsidRPr="007F330F">
              <w:rPr>
                <w:rFonts w:ascii="Calibri" w:hAnsi="Calibri" w:cs="Calibri"/>
                <w:b/>
                <w:bCs/>
                <w:color w:val="000000"/>
                <w:sz w:val="18"/>
                <w:szCs w:val="18"/>
              </w:rPr>
              <w:t>Počáteční zůstatek k 01.01.2022</w:t>
            </w:r>
          </w:p>
        </w:tc>
        <w:tc>
          <w:tcPr>
            <w:tcW w:w="1417" w:type="dxa"/>
            <w:tcBorders>
              <w:top w:val="nil"/>
              <w:left w:val="single" w:sz="4" w:space="0" w:color="auto"/>
              <w:bottom w:val="single" w:sz="4" w:space="0" w:color="auto"/>
              <w:right w:val="single" w:sz="4" w:space="0" w:color="auto"/>
            </w:tcBorders>
            <w:shd w:val="clear" w:color="000000" w:fill="C9C9C9"/>
            <w:noWrap/>
            <w:vAlign w:val="center"/>
            <w:hideMark/>
          </w:tcPr>
          <w:p w:rsidR="007F330F" w:rsidRPr="007F330F" w:rsidRDefault="007F330F">
            <w:pPr>
              <w:jc w:val="right"/>
              <w:rPr>
                <w:rFonts w:ascii="Calibri" w:hAnsi="Calibri" w:cs="Calibri"/>
                <w:b/>
                <w:bCs/>
                <w:color w:val="000000"/>
                <w:sz w:val="18"/>
                <w:szCs w:val="18"/>
              </w:rPr>
            </w:pPr>
            <w:r w:rsidRPr="007F330F">
              <w:rPr>
                <w:rFonts w:ascii="Calibri" w:hAnsi="Calibri" w:cs="Calibri"/>
                <w:b/>
                <w:bCs/>
                <w:color w:val="000000"/>
                <w:sz w:val="18"/>
                <w:szCs w:val="18"/>
              </w:rPr>
              <w:t>7 678,25</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000000"/>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nil"/>
            </w:tcBorders>
            <w:shd w:val="clear" w:color="000000" w:fill="FFFFFF"/>
            <w:noWrap/>
            <w:vAlign w:val="center"/>
            <w:hideMark/>
          </w:tcPr>
          <w:p w:rsidR="007F330F" w:rsidRPr="007F330F" w:rsidRDefault="007F330F">
            <w:pPr>
              <w:rPr>
                <w:rFonts w:ascii="Calibri" w:hAnsi="Calibri" w:cs="Calibri"/>
                <w:color w:val="000000"/>
                <w:sz w:val="18"/>
                <w:szCs w:val="18"/>
              </w:rPr>
            </w:pPr>
            <w:r w:rsidRPr="007F330F">
              <w:rPr>
                <w:rFonts w:ascii="Calibri" w:hAnsi="Calibri" w:cs="Calibri"/>
                <w:color w:val="000000"/>
                <w:sz w:val="18"/>
                <w:szCs w:val="18"/>
              </w:rPr>
              <w:t>Schválený rozpočet 2022 - 27.ZMP ze dne 23.11.2021 - příspěvek z rozpočtu</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7F330F" w:rsidRPr="007F330F" w:rsidRDefault="007F330F">
            <w:pPr>
              <w:jc w:val="right"/>
              <w:rPr>
                <w:rFonts w:ascii="Calibri" w:hAnsi="Calibri" w:cs="Calibri"/>
                <w:color w:val="000000"/>
                <w:sz w:val="18"/>
                <w:szCs w:val="18"/>
              </w:rPr>
            </w:pPr>
            <w:r w:rsidRPr="007F330F">
              <w:rPr>
                <w:rFonts w:ascii="Calibri" w:hAnsi="Calibri" w:cs="Calibri"/>
                <w:color w:val="000000"/>
                <w:sz w:val="18"/>
                <w:szCs w:val="18"/>
              </w:rPr>
              <w:t>2 392 167,00</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000000"/>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nil"/>
            </w:tcBorders>
            <w:shd w:val="clear" w:color="000000" w:fill="FFFFFF"/>
            <w:noWrap/>
            <w:vAlign w:val="center"/>
            <w:hideMark/>
          </w:tcPr>
          <w:p w:rsidR="007F330F" w:rsidRPr="007F330F" w:rsidRDefault="007F330F">
            <w:pPr>
              <w:rPr>
                <w:rFonts w:ascii="Calibri" w:hAnsi="Calibri" w:cs="Calibri"/>
                <w:color w:val="000000"/>
                <w:sz w:val="18"/>
                <w:szCs w:val="18"/>
              </w:rPr>
            </w:pPr>
            <w:r w:rsidRPr="007F330F">
              <w:rPr>
                <w:rFonts w:ascii="Calibri" w:hAnsi="Calibri" w:cs="Calibri"/>
                <w:color w:val="000000"/>
                <w:sz w:val="18"/>
                <w:szCs w:val="18"/>
              </w:rPr>
              <w:t>Upravený rozpočet 2022 - 29. ZMP ze dne 22.02.2022</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7F330F" w:rsidRPr="007F330F" w:rsidRDefault="007F330F">
            <w:pPr>
              <w:jc w:val="right"/>
              <w:rPr>
                <w:rFonts w:ascii="Calibri" w:hAnsi="Calibri" w:cs="Calibri"/>
                <w:color w:val="000000"/>
                <w:sz w:val="18"/>
                <w:szCs w:val="18"/>
              </w:rPr>
            </w:pPr>
            <w:r w:rsidRPr="007F330F">
              <w:rPr>
                <w:rFonts w:ascii="Calibri" w:hAnsi="Calibri" w:cs="Calibri"/>
                <w:color w:val="000000"/>
                <w:sz w:val="18"/>
                <w:szCs w:val="18"/>
              </w:rPr>
              <w:t>-2 324 000,00</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000000"/>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nil"/>
            </w:tcBorders>
            <w:shd w:val="clear" w:color="000000" w:fill="C9C9C9"/>
            <w:noWrap/>
            <w:vAlign w:val="center"/>
            <w:hideMark/>
          </w:tcPr>
          <w:p w:rsidR="007F330F" w:rsidRPr="007F330F" w:rsidRDefault="007F330F">
            <w:pPr>
              <w:rPr>
                <w:rFonts w:ascii="Calibri" w:hAnsi="Calibri" w:cs="Calibri"/>
                <w:b/>
                <w:bCs/>
                <w:color w:val="000000"/>
                <w:sz w:val="18"/>
                <w:szCs w:val="18"/>
              </w:rPr>
            </w:pPr>
            <w:r w:rsidRPr="007F330F">
              <w:rPr>
                <w:rFonts w:ascii="Calibri" w:hAnsi="Calibri" w:cs="Calibri"/>
                <w:b/>
                <w:bCs/>
                <w:color w:val="000000"/>
                <w:sz w:val="18"/>
                <w:szCs w:val="18"/>
              </w:rPr>
              <w:t>Konečný zůstatek FRN</w:t>
            </w:r>
          </w:p>
        </w:tc>
        <w:tc>
          <w:tcPr>
            <w:tcW w:w="1417" w:type="dxa"/>
            <w:tcBorders>
              <w:top w:val="nil"/>
              <w:left w:val="single" w:sz="4" w:space="0" w:color="auto"/>
              <w:bottom w:val="single" w:sz="4" w:space="0" w:color="auto"/>
              <w:right w:val="single" w:sz="4" w:space="0" w:color="auto"/>
            </w:tcBorders>
            <w:shd w:val="clear" w:color="000000" w:fill="C9C9C9"/>
            <w:noWrap/>
            <w:vAlign w:val="center"/>
            <w:hideMark/>
          </w:tcPr>
          <w:p w:rsidR="007F330F" w:rsidRPr="007F330F" w:rsidRDefault="007F330F">
            <w:pPr>
              <w:jc w:val="right"/>
              <w:rPr>
                <w:rFonts w:ascii="Calibri" w:hAnsi="Calibri" w:cs="Calibri"/>
                <w:b/>
                <w:bCs/>
                <w:color w:val="000000"/>
                <w:sz w:val="18"/>
                <w:szCs w:val="18"/>
              </w:rPr>
            </w:pPr>
            <w:r w:rsidRPr="007F330F">
              <w:rPr>
                <w:rFonts w:ascii="Calibri" w:hAnsi="Calibri" w:cs="Calibri"/>
                <w:b/>
                <w:bCs/>
                <w:color w:val="000000"/>
                <w:sz w:val="18"/>
                <w:szCs w:val="18"/>
              </w:rPr>
              <w:t>75 845,25</w:t>
            </w:r>
          </w:p>
        </w:tc>
      </w:tr>
      <w:tr w:rsidR="007F330F" w:rsidRPr="007F330F" w:rsidTr="007F330F">
        <w:trPr>
          <w:trHeight w:val="272"/>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F330F" w:rsidRPr="007F330F" w:rsidRDefault="007F330F">
            <w:pPr>
              <w:jc w:val="center"/>
              <w:rPr>
                <w:rFonts w:ascii="Calibri" w:hAnsi="Calibri" w:cs="Calibri"/>
                <w:color w:val="000000"/>
                <w:sz w:val="18"/>
                <w:szCs w:val="18"/>
              </w:rPr>
            </w:pPr>
            <w:r w:rsidRPr="007F330F">
              <w:rPr>
                <w:rFonts w:ascii="Calibri" w:hAnsi="Calibri" w:cs="Calibri"/>
                <w:color w:val="000000"/>
                <w:sz w:val="18"/>
                <w:szCs w:val="18"/>
              </w:rPr>
              <w:t>000000006</w:t>
            </w:r>
          </w:p>
        </w:tc>
        <w:tc>
          <w:tcPr>
            <w:tcW w:w="10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F330F" w:rsidRPr="007F330F" w:rsidRDefault="007F330F">
            <w:pPr>
              <w:jc w:val="center"/>
              <w:rPr>
                <w:rFonts w:ascii="Calibri" w:hAnsi="Calibri" w:cs="Calibri"/>
                <w:color w:val="000000"/>
                <w:sz w:val="18"/>
                <w:szCs w:val="18"/>
              </w:rPr>
            </w:pPr>
            <w:r w:rsidRPr="007F330F">
              <w:rPr>
                <w:rFonts w:ascii="Calibri" w:hAnsi="Calibri" w:cs="Calibri"/>
                <w:color w:val="000000"/>
                <w:sz w:val="18"/>
                <w:szCs w:val="18"/>
              </w:rPr>
              <w:t>Fond zeleně</w:t>
            </w:r>
          </w:p>
        </w:tc>
        <w:tc>
          <w:tcPr>
            <w:tcW w:w="6379" w:type="dxa"/>
            <w:tcBorders>
              <w:top w:val="nil"/>
              <w:left w:val="nil"/>
              <w:bottom w:val="single" w:sz="4" w:space="0" w:color="auto"/>
              <w:right w:val="nil"/>
            </w:tcBorders>
            <w:shd w:val="clear" w:color="000000" w:fill="C9C9C9"/>
            <w:noWrap/>
            <w:vAlign w:val="center"/>
            <w:hideMark/>
          </w:tcPr>
          <w:p w:rsidR="007F330F" w:rsidRPr="007F330F" w:rsidRDefault="007F330F">
            <w:pPr>
              <w:rPr>
                <w:rFonts w:ascii="Calibri" w:hAnsi="Calibri" w:cs="Calibri"/>
                <w:b/>
                <w:bCs/>
                <w:color w:val="000000"/>
                <w:sz w:val="18"/>
                <w:szCs w:val="18"/>
              </w:rPr>
            </w:pPr>
            <w:r w:rsidRPr="007F330F">
              <w:rPr>
                <w:rFonts w:ascii="Calibri" w:hAnsi="Calibri" w:cs="Calibri"/>
                <w:b/>
                <w:bCs/>
                <w:color w:val="000000"/>
                <w:sz w:val="18"/>
                <w:szCs w:val="18"/>
              </w:rPr>
              <w:t>Počáteční zůstatek k 01.01.2022</w:t>
            </w:r>
          </w:p>
        </w:tc>
        <w:tc>
          <w:tcPr>
            <w:tcW w:w="1417" w:type="dxa"/>
            <w:tcBorders>
              <w:top w:val="nil"/>
              <w:left w:val="single" w:sz="4" w:space="0" w:color="auto"/>
              <w:bottom w:val="single" w:sz="4" w:space="0" w:color="auto"/>
              <w:right w:val="single" w:sz="4" w:space="0" w:color="auto"/>
            </w:tcBorders>
            <w:shd w:val="clear" w:color="000000" w:fill="C9C9C9"/>
            <w:noWrap/>
            <w:vAlign w:val="center"/>
            <w:hideMark/>
          </w:tcPr>
          <w:p w:rsidR="007F330F" w:rsidRPr="007F330F" w:rsidRDefault="007F330F">
            <w:pPr>
              <w:jc w:val="right"/>
              <w:rPr>
                <w:rFonts w:ascii="Calibri" w:hAnsi="Calibri" w:cs="Calibri"/>
                <w:b/>
                <w:bCs/>
                <w:color w:val="000000"/>
                <w:sz w:val="18"/>
                <w:szCs w:val="18"/>
              </w:rPr>
            </w:pPr>
            <w:r w:rsidRPr="007F330F">
              <w:rPr>
                <w:rFonts w:ascii="Calibri" w:hAnsi="Calibri" w:cs="Calibri"/>
                <w:b/>
                <w:bCs/>
                <w:color w:val="000000"/>
                <w:sz w:val="18"/>
                <w:szCs w:val="18"/>
              </w:rPr>
              <w:t>6 619 784,24</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nil"/>
            </w:tcBorders>
            <w:shd w:val="clear" w:color="000000" w:fill="FFFFFF"/>
            <w:noWrap/>
            <w:vAlign w:val="center"/>
            <w:hideMark/>
          </w:tcPr>
          <w:p w:rsidR="007F330F" w:rsidRPr="007F330F" w:rsidRDefault="007F330F">
            <w:pPr>
              <w:rPr>
                <w:rFonts w:ascii="Calibri" w:hAnsi="Calibri" w:cs="Calibri"/>
                <w:color w:val="000000"/>
                <w:sz w:val="18"/>
                <w:szCs w:val="18"/>
              </w:rPr>
            </w:pPr>
            <w:r w:rsidRPr="007F330F">
              <w:rPr>
                <w:rFonts w:ascii="Calibri" w:hAnsi="Calibri" w:cs="Calibri"/>
                <w:color w:val="000000"/>
                <w:sz w:val="18"/>
                <w:szCs w:val="18"/>
              </w:rPr>
              <w:t>Schválený rozpočet 2022 - 27.ZMP ze dne 23.11.2021 - příspěvek z rozpočtu</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7F330F" w:rsidRPr="007F330F" w:rsidRDefault="007F330F">
            <w:pPr>
              <w:jc w:val="right"/>
              <w:rPr>
                <w:rFonts w:ascii="Calibri" w:hAnsi="Calibri" w:cs="Calibri"/>
                <w:color w:val="000000"/>
                <w:sz w:val="18"/>
                <w:szCs w:val="18"/>
              </w:rPr>
            </w:pPr>
            <w:r w:rsidRPr="007F330F">
              <w:rPr>
                <w:rFonts w:ascii="Calibri" w:hAnsi="Calibri" w:cs="Calibri"/>
                <w:color w:val="000000"/>
                <w:sz w:val="18"/>
                <w:szCs w:val="18"/>
              </w:rPr>
              <w:t>2 000 000,00</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nil"/>
            </w:tcBorders>
            <w:shd w:val="clear" w:color="000000" w:fill="FFFFFF"/>
            <w:noWrap/>
            <w:vAlign w:val="center"/>
            <w:hideMark/>
          </w:tcPr>
          <w:p w:rsidR="007F330F" w:rsidRPr="007F330F" w:rsidRDefault="007F330F">
            <w:pPr>
              <w:rPr>
                <w:rFonts w:ascii="Calibri" w:hAnsi="Calibri" w:cs="Calibri"/>
                <w:color w:val="000000"/>
                <w:sz w:val="18"/>
                <w:szCs w:val="18"/>
              </w:rPr>
            </w:pPr>
            <w:r w:rsidRPr="007F330F">
              <w:rPr>
                <w:rFonts w:ascii="Calibri" w:hAnsi="Calibri" w:cs="Calibri"/>
                <w:color w:val="000000"/>
                <w:sz w:val="18"/>
                <w:szCs w:val="18"/>
              </w:rPr>
              <w:t>Upravený rozpočet 2022 - 107.RMP ze dne 08.02.2022</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7F330F" w:rsidRPr="007F330F" w:rsidRDefault="007F330F">
            <w:pPr>
              <w:jc w:val="right"/>
              <w:rPr>
                <w:rFonts w:ascii="Calibri" w:hAnsi="Calibri" w:cs="Calibri"/>
                <w:color w:val="000000"/>
                <w:sz w:val="18"/>
                <w:szCs w:val="18"/>
              </w:rPr>
            </w:pPr>
            <w:r w:rsidRPr="007F330F">
              <w:rPr>
                <w:rFonts w:ascii="Calibri" w:hAnsi="Calibri" w:cs="Calibri"/>
                <w:color w:val="000000"/>
                <w:sz w:val="18"/>
                <w:szCs w:val="18"/>
              </w:rPr>
              <w:t>-5 996 609,00</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nil"/>
            </w:tcBorders>
            <w:shd w:val="clear" w:color="000000" w:fill="FFFFFF"/>
            <w:noWrap/>
            <w:vAlign w:val="center"/>
            <w:hideMark/>
          </w:tcPr>
          <w:p w:rsidR="007F330F" w:rsidRPr="007F330F" w:rsidRDefault="007F330F">
            <w:pPr>
              <w:rPr>
                <w:rFonts w:ascii="Calibri" w:hAnsi="Calibri" w:cs="Calibri"/>
                <w:color w:val="000000"/>
                <w:sz w:val="18"/>
                <w:szCs w:val="18"/>
              </w:rPr>
            </w:pPr>
            <w:r w:rsidRPr="007F330F">
              <w:rPr>
                <w:rFonts w:ascii="Calibri" w:hAnsi="Calibri" w:cs="Calibri"/>
                <w:color w:val="000000"/>
                <w:sz w:val="18"/>
                <w:szCs w:val="18"/>
              </w:rPr>
              <w:t>Upravený rozpočet 2022 - 110.RMP ze dne 08.03.2022</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7F330F" w:rsidRPr="007F330F" w:rsidRDefault="007F330F">
            <w:pPr>
              <w:jc w:val="right"/>
              <w:rPr>
                <w:rFonts w:ascii="Calibri" w:hAnsi="Calibri" w:cs="Calibri"/>
                <w:color w:val="000000"/>
                <w:sz w:val="18"/>
                <w:szCs w:val="18"/>
              </w:rPr>
            </w:pPr>
            <w:r w:rsidRPr="007F330F">
              <w:rPr>
                <w:rFonts w:ascii="Calibri" w:hAnsi="Calibri" w:cs="Calibri"/>
                <w:color w:val="000000"/>
                <w:sz w:val="18"/>
                <w:szCs w:val="18"/>
              </w:rPr>
              <w:t>-323 762,00</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nil"/>
            </w:tcBorders>
            <w:shd w:val="clear" w:color="000000" w:fill="FFFFFF"/>
            <w:noWrap/>
            <w:vAlign w:val="center"/>
            <w:hideMark/>
          </w:tcPr>
          <w:p w:rsidR="007F330F" w:rsidRPr="007F330F" w:rsidRDefault="007F330F">
            <w:pPr>
              <w:rPr>
                <w:rFonts w:ascii="Calibri" w:hAnsi="Calibri" w:cs="Calibri"/>
                <w:color w:val="000000"/>
                <w:sz w:val="18"/>
                <w:szCs w:val="18"/>
              </w:rPr>
            </w:pPr>
            <w:r w:rsidRPr="007F330F">
              <w:rPr>
                <w:rFonts w:ascii="Calibri" w:hAnsi="Calibri" w:cs="Calibri"/>
                <w:color w:val="000000"/>
                <w:sz w:val="18"/>
                <w:szCs w:val="18"/>
              </w:rPr>
              <w:t>Upravený rozpočet 2022 - 116. RMP ze dne 31. 5. 2022</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7F330F" w:rsidRPr="007F330F" w:rsidRDefault="007F330F">
            <w:pPr>
              <w:jc w:val="right"/>
              <w:rPr>
                <w:rFonts w:ascii="Calibri" w:hAnsi="Calibri" w:cs="Calibri"/>
                <w:color w:val="000000"/>
                <w:sz w:val="18"/>
                <w:szCs w:val="18"/>
              </w:rPr>
            </w:pPr>
            <w:r w:rsidRPr="007F330F">
              <w:rPr>
                <w:rFonts w:ascii="Calibri" w:hAnsi="Calibri" w:cs="Calibri"/>
                <w:color w:val="000000"/>
                <w:sz w:val="18"/>
                <w:szCs w:val="18"/>
              </w:rPr>
              <w:t>0,00</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nil"/>
            </w:tcBorders>
            <w:shd w:val="clear" w:color="000000" w:fill="FFFFFF"/>
            <w:noWrap/>
            <w:vAlign w:val="center"/>
            <w:hideMark/>
          </w:tcPr>
          <w:p w:rsidR="007F330F" w:rsidRPr="007F330F" w:rsidRDefault="007F330F">
            <w:pPr>
              <w:rPr>
                <w:rFonts w:ascii="Calibri" w:hAnsi="Calibri" w:cs="Calibri"/>
                <w:color w:val="000000"/>
                <w:sz w:val="18"/>
                <w:szCs w:val="18"/>
              </w:rPr>
            </w:pPr>
            <w:r w:rsidRPr="007F330F">
              <w:rPr>
                <w:rFonts w:ascii="Calibri" w:hAnsi="Calibri" w:cs="Calibri"/>
                <w:color w:val="000000"/>
                <w:sz w:val="18"/>
                <w:szCs w:val="18"/>
              </w:rPr>
              <w:t>Upravený rozpočet 2022 - 32. ZMP ze dne 14. 6. 2022</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7F330F" w:rsidRPr="007F330F" w:rsidRDefault="007F330F">
            <w:pPr>
              <w:jc w:val="right"/>
              <w:rPr>
                <w:rFonts w:ascii="Calibri" w:hAnsi="Calibri" w:cs="Calibri"/>
                <w:color w:val="000000"/>
                <w:sz w:val="18"/>
                <w:szCs w:val="18"/>
              </w:rPr>
            </w:pPr>
            <w:r w:rsidRPr="007F330F">
              <w:rPr>
                <w:rFonts w:ascii="Calibri" w:hAnsi="Calibri" w:cs="Calibri"/>
                <w:color w:val="000000"/>
                <w:sz w:val="18"/>
                <w:szCs w:val="18"/>
              </w:rPr>
              <w:t>3 173 666,36</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nil"/>
            </w:tcBorders>
            <w:shd w:val="clear" w:color="000000" w:fill="FFFFFF"/>
            <w:noWrap/>
            <w:vAlign w:val="center"/>
            <w:hideMark/>
          </w:tcPr>
          <w:p w:rsidR="007F330F" w:rsidRPr="007F330F" w:rsidRDefault="007F330F">
            <w:pPr>
              <w:rPr>
                <w:rFonts w:ascii="Calibri" w:hAnsi="Calibri" w:cs="Calibri"/>
                <w:sz w:val="18"/>
                <w:szCs w:val="18"/>
              </w:rPr>
            </w:pPr>
            <w:r w:rsidRPr="007F330F">
              <w:rPr>
                <w:rFonts w:ascii="Calibri" w:hAnsi="Calibri" w:cs="Calibri"/>
                <w:sz w:val="18"/>
                <w:szCs w:val="18"/>
              </w:rPr>
              <w:t>Upravený rozpočet 2022 - 125. RMP ze dne 20. 9. 2022</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7F330F" w:rsidRPr="007F330F" w:rsidRDefault="007F330F">
            <w:pPr>
              <w:jc w:val="right"/>
              <w:rPr>
                <w:rFonts w:ascii="Calibri" w:hAnsi="Calibri" w:cs="Calibri"/>
                <w:color w:val="000000"/>
                <w:sz w:val="18"/>
                <w:szCs w:val="18"/>
              </w:rPr>
            </w:pPr>
            <w:r w:rsidRPr="007F330F">
              <w:rPr>
                <w:rFonts w:ascii="Calibri" w:hAnsi="Calibri" w:cs="Calibri"/>
                <w:color w:val="000000"/>
                <w:sz w:val="18"/>
                <w:szCs w:val="18"/>
              </w:rPr>
              <w:t>-1 847 000,00</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nil"/>
            </w:tcBorders>
            <w:shd w:val="clear" w:color="000000" w:fill="FFFFFF"/>
            <w:noWrap/>
            <w:vAlign w:val="center"/>
            <w:hideMark/>
          </w:tcPr>
          <w:p w:rsidR="007F330F" w:rsidRPr="007F330F" w:rsidRDefault="007F330F">
            <w:pPr>
              <w:rPr>
                <w:rFonts w:ascii="Calibri" w:hAnsi="Calibri" w:cs="Calibri"/>
                <w:sz w:val="18"/>
                <w:szCs w:val="18"/>
              </w:rPr>
            </w:pPr>
            <w:r w:rsidRPr="007F330F">
              <w:rPr>
                <w:rFonts w:ascii="Calibri" w:hAnsi="Calibri" w:cs="Calibri"/>
                <w:sz w:val="18"/>
                <w:szCs w:val="18"/>
              </w:rPr>
              <w:t>Upravený rozpočet 2022 - 5. RMP ze dne 6. 12. 2022</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7F330F" w:rsidRPr="007F330F" w:rsidRDefault="007F330F">
            <w:pPr>
              <w:jc w:val="right"/>
              <w:rPr>
                <w:rFonts w:ascii="Calibri" w:hAnsi="Calibri" w:cs="Calibri"/>
                <w:color w:val="000000"/>
                <w:sz w:val="18"/>
                <w:szCs w:val="18"/>
              </w:rPr>
            </w:pPr>
            <w:r w:rsidRPr="007F330F">
              <w:rPr>
                <w:rFonts w:ascii="Calibri" w:hAnsi="Calibri" w:cs="Calibri"/>
                <w:color w:val="000000"/>
                <w:sz w:val="18"/>
                <w:szCs w:val="18"/>
              </w:rPr>
              <w:t>450 000,00</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nil"/>
            </w:tcBorders>
            <w:shd w:val="clear" w:color="000000" w:fill="C9C9C9"/>
            <w:noWrap/>
            <w:vAlign w:val="center"/>
            <w:hideMark/>
          </w:tcPr>
          <w:p w:rsidR="007F330F" w:rsidRPr="007F330F" w:rsidRDefault="007F330F">
            <w:pPr>
              <w:rPr>
                <w:rFonts w:ascii="Calibri" w:hAnsi="Calibri" w:cs="Calibri"/>
                <w:b/>
                <w:bCs/>
                <w:color w:val="000000"/>
                <w:sz w:val="18"/>
                <w:szCs w:val="18"/>
              </w:rPr>
            </w:pPr>
            <w:r w:rsidRPr="007F330F">
              <w:rPr>
                <w:rFonts w:ascii="Calibri" w:hAnsi="Calibri" w:cs="Calibri"/>
                <w:b/>
                <w:bCs/>
                <w:color w:val="000000"/>
                <w:sz w:val="18"/>
                <w:szCs w:val="18"/>
              </w:rPr>
              <w:t>Konečný zůstatek FZ</w:t>
            </w:r>
          </w:p>
        </w:tc>
        <w:tc>
          <w:tcPr>
            <w:tcW w:w="1417" w:type="dxa"/>
            <w:tcBorders>
              <w:top w:val="nil"/>
              <w:left w:val="single" w:sz="4" w:space="0" w:color="auto"/>
              <w:bottom w:val="single" w:sz="4" w:space="0" w:color="auto"/>
              <w:right w:val="single" w:sz="4" w:space="0" w:color="auto"/>
            </w:tcBorders>
            <w:shd w:val="clear" w:color="000000" w:fill="C9C9C9"/>
            <w:noWrap/>
            <w:vAlign w:val="center"/>
            <w:hideMark/>
          </w:tcPr>
          <w:p w:rsidR="007F330F" w:rsidRPr="007F330F" w:rsidRDefault="007F330F">
            <w:pPr>
              <w:jc w:val="right"/>
              <w:rPr>
                <w:rFonts w:ascii="Calibri" w:hAnsi="Calibri" w:cs="Calibri"/>
                <w:b/>
                <w:bCs/>
                <w:color w:val="000000"/>
                <w:sz w:val="18"/>
                <w:szCs w:val="18"/>
              </w:rPr>
            </w:pPr>
            <w:r w:rsidRPr="007F330F">
              <w:rPr>
                <w:rFonts w:ascii="Calibri" w:hAnsi="Calibri" w:cs="Calibri"/>
                <w:b/>
                <w:bCs/>
                <w:color w:val="000000"/>
                <w:sz w:val="18"/>
                <w:szCs w:val="18"/>
              </w:rPr>
              <w:t>4 076 079,60</w:t>
            </w:r>
          </w:p>
        </w:tc>
      </w:tr>
      <w:tr w:rsidR="007F330F" w:rsidRPr="007F330F" w:rsidTr="007F330F">
        <w:trPr>
          <w:trHeight w:val="272"/>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F330F" w:rsidRPr="007F330F" w:rsidRDefault="007F330F">
            <w:pPr>
              <w:jc w:val="center"/>
              <w:rPr>
                <w:rFonts w:ascii="Calibri" w:hAnsi="Calibri" w:cs="Calibri"/>
                <w:color w:val="000000"/>
                <w:sz w:val="18"/>
                <w:szCs w:val="18"/>
              </w:rPr>
            </w:pPr>
            <w:r w:rsidRPr="007F330F">
              <w:rPr>
                <w:rFonts w:ascii="Calibri" w:hAnsi="Calibri" w:cs="Calibri"/>
                <w:color w:val="000000"/>
                <w:sz w:val="18"/>
                <w:szCs w:val="18"/>
              </w:rPr>
              <w:t>000000008</w:t>
            </w:r>
          </w:p>
        </w:tc>
        <w:tc>
          <w:tcPr>
            <w:tcW w:w="1018" w:type="dxa"/>
            <w:vMerge w:val="restart"/>
            <w:tcBorders>
              <w:top w:val="nil"/>
              <w:left w:val="single" w:sz="4" w:space="0" w:color="auto"/>
              <w:bottom w:val="single" w:sz="4" w:space="0" w:color="auto"/>
              <w:right w:val="single" w:sz="4" w:space="0" w:color="auto"/>
            </w:tcBorders>
            <w:shd w:val="clear" w:color="auto" w:fill="auto"/>
            <w:vAlign w:val="center"/>
            <w:hideMark/>
          </w:tcPr>
          <w:p w:rsidR="007F330F" w:rsidRPr="007F330F" w:rsidRDefault="007F330F">
            <w:pPr>
              <w:jc w:val="center"/>
              <w:rPr>
                <w:rFonts w:ascii="Calibri" w:hAnsi="Calibri" w:cs="Calibri"/>
                <w:color w:val="000000"/>
                <w:sz w:val="18"/>
                <w:szCs w:val="18"/>
              </w:rPr>
            </w:pPr>
            <w:r w:rsidRPr="007F330F">
              <w:rPr>
                <w:rFonts w:ascii="Calibri" w:hAnsi="Calibri" w:cs="Calibri"/>
                <w:color w:val="000000"/>
                <w:sz w:val="18"/>
                <w:szCs w:val="18"/>
              </w:rPr>
              <w:t>Fond údržby bytového a nebytového fondu</w:t>
            </w:r>
          </w:p>
        </w:tc>
        <w:tc>
          <w:tcPr>
            <w:tcW w:w="6379" w:type="dxa"/>
            <w:tcBorders>
              <w:top w:val="nil"/>
              <w:left w:val="nil"/>
              <w:bottom w:val="single" w:sz="4" w:space="0" w:color="auto"/>
              <w:right w:val="nil"/>
            </w:tcBorders>
            <w:shd w:val="clear" w:color="000000" w:fill="C9C9C9"/>
            <w:noWrap/>
            <w:vAlign w:val="center"/>
            <w:hideMark/>
          </w:tcPr>
          <w:p w:rsidR="007F330F" w:rsidRPr="007F330F" w:rsidRDefault="007F330F">
            <w:pPr>
              <w:rPr>
                <w:rFonts w:ascii="Calibri" w:hAnsi="Calibri" w:cs="Calibri"/>
                <w:b/>
                <w:bCs/>
                <w:color w:val="000000"/>
                <w:sz w:val="18"/>
                <w:szCs w:val="18"/>
              </w:rPr>
            </w:pPr>
            <w:r w:rsidRPr="007F330F">
              <w:rPr>
                <w:rFonts w:ascii="Calibri" w:hAnsi="Calibri" w:cs="Calibri"/>
                <w:b/>
                <w:bCs/>
                <w:color w:val="000000"/>
                <w:sz w:val="18"/>
                <w:szCs w:val="18"/>
              </w:rPr>
              <w:t>Počáteční zůstatek k 01.01.2022</w:t>
            </w:r>
          </w:p>
        </w:tc>
        <w:tc>
          <w:tcPr>
            <w:tcW w:w="1417" w:type="dxa"/>
            <w:tcBorders>
              <w:top w:val="nil"/>
              <w:left w:val="single" w:sz="4" w:space="0" w:color="auto"/>
              <w:bottom w:val="single" w:sz="4" w:space="0" w:color="auto"/>
              <w:right w:val="single" w:sz="4" w:space="0" w:color="auto"/>
            </w:tcBorders>
            <w:shd w:val="clear" w:color="000000" w:fill="C9C9C9"/>
            <w:noWrap/>
            <w:vAlign w:val="center"/>
            <w:hideMark/>
          </w:tcPr>
          <w:p w:rsidR="007F330F" w:rsidRPr="007F330F" w:rsidRDefault="007F330F">
            <w:pPr>
              <w:jc w:val="right"/>
              <w:rPr>
                <w:rFonts w:ascii="Calibri" w:hAnsi="Calibri" w:cs="Calibri"/>
                <w:b/>
                <w:bCs/>
                <w:color w:val="000000"/>
                <w:sz w:val="18"/>
                <w:szCs w:val="18"/>
              </w:rPr>
            </w:pPr>
            <w:r w:rsidRPr="007F330F">
              <w:rPr>
                <w:rFonts w:ascii="Calibri" w:hAnsi="Calibri" w:cs="Calibri"/>
                <w:b/>
                <w:bCs/>
                <w:color w:val="000000"/>
                <w:sz w:val="18"/>
                <w:szCs w:val="18"/>
              </w:rPr>
              <w:t>218 441,00</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nil"/>
            </w:tcBorders>
            <w:shd w:val="clear" w:color="000000" w:fill="FFFFFF"/>
            <w:noWrap/>
            <w:vAlign w:val="center"/>
            <w:hideMark/>
          </w:tcPr>
          <w:p w:rsidR="007F330F" w:rsidRPr="007F330F" w:rsidRDefault="007F330F">
            <w:pPr>
              <w:rPr>
                <w:rFonts w:ascii="Calibri" w:hAnsi="Calibri" w:cs="Calibri"/>
                <w:color w:val="000000"/>
                <w:sz w:val="18"/>
                <w:szCs w:val="18"/>
              </w:rPr>
            </w:pPr>
            <w:r w:rsidRPr="007F330F">
              <w:rPr>
                <w:rFonts w:ascii="Calibri" w:hAnsi="Calibri" w:cs="Calibri"/>
                <w:color w:val="000000"/>
                <w:sz w:val="18"/>
                <w:szCs w:val="18"/>
              </w:rPr>
              <w:t>Schválený rozpočet 2022 - 27.ZMP ze dne 23.11.2021 - příspěvek z rozpočtu</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7F330F" w:rsidRPr="007F330F" w:rsidRDefault="007F330F">
            <w:pPr>
              <w:jc w:val="right"/>
              <w:rPr>
                <w:rFonts w:ascii="Calibri" w:hAnsi="Calibri" w:cs="Calibri"/>
                <w:color w:val="000000"/>
                <w:sz w:val="18"/>
                <w:szCs w:val="18"/>
              </w:rPr>
            </w:pPr>
            <w:r w:rsidRPr="007F330F">
              <w:rPr>
                <w:rFonts w:ascii="Calibri" w:hAnsi="Calibri" w:cs="Calibri"/>
                <w:color w:val="000000"/>
                <w:sz w:val="18"/>
                <w:szCs w:val="18"/>
              </w:rPr>
              <w:t>26 698 235,00</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nil"/>
            </w:tcBorders>
            <w:shd w:val="clear" w:color="000000" w:fill="FFFFFF"/>
            <w:noWrap/>
            <w:vAlign w:val="center"/>
            <w:hideMark/>
          </w:tcPr>
          <w:p w:rsidR="007F330F" w:rsidRPr="007F330F" w:rsidRDefault="007F330F">
            <w:pPr>
              <w:rPr>
                <w:rFonts w:ascii="Calibri" w:hAnsi="Calibri" w:cs="Calibri"/>
                <w:color w:val="000000"/>
                <w:sz w:val="18"/>
                <w:szCs w:val="18"/>
              </w:rPr>
            </w:pPr>
            <w:r w:rsidRPr="007F330F">
              <w:rPr>
                <w:rFonts w:ascii="Calibri" w:hAnsi="Calibri" w:cs="Calibri"/>
                <w:color w:val="000000"/>
                <w:sz w:val="18"/>
                <w:szCs w:val="18"/>
              </w:rPr>
              <w:t>Upravený rozpočet 2022 - 103.RMP ze dne 11.01.2022</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7F330F" w:rsidRPr="007F330F" w:rsidRDefault="007F330F">
            <w:pPr>
              <w:jc w:val="right"/>
              <w:rPr>
                <w:rFonts w:ascii="Calibri" w:hAnsi="Calibri" w:cs="Calibri"/>
                <w:color w:val="000000"/>
                <w:sz w:val="18"/>
                <w:szCs w:val="18"/>
              </w:rPr>
            </w:pPr>
            <w:r w:rsidRPr="007F330F">
              <w:rPr>
                <w:rFonts w:ascii="Calibri" w:hAnsi="Calibri" w:cs="Calibri"/>
                <w:color w:val="000000"/>
                <w:sz w:val="18"/>
                <w:szCs w:val="18"/>
              </w:rPr>
              <w:t>-5 000 000,00</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nil"/>
            </w:tcBorders>
            <w:shd w:val="clear" w:color="000000" w:fill="FFFFFF"/>
            <w:noWrap/>
            <w:vAlign w:val="center"/>
            <w:hideMark/>
          </w:tcPr>
          <w:p w:rsidR="007F330F" w:rsidRPr="007F330F" w:rsidRDefault="007F330F">
            <w:pPr>
              <w:rPr>
                <w:rFonts w:ascii="Calibri" w:hAnsi="Calibri" w:cs="Calibri"/>
                <w:color w:val="000000"/>
                <w:sz w:val="18"/>
                <w:szCs w:val="18"/>
              </w:rPr>
            </w:pPr>
            <w:r w:rsidRPr="007F330F">
              <w:rPr>
                <w:rFonts w:ascii="Calibri" w:hAnsi="Calibri" w:cs="Calibri"/>
                <w:color w:val="000000"/>
                <w:sz w:val="18"/>
                <w:szCs w:val="18"/>
              </w:rPr>
              <w:t>Upravený rozpočet 2022 - 29. ZMP ze dne 22.02.2022</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7F330F" w:rsidRPr="007F330F" w:rsidRDefault="007F330F">
            <w:pPr>
              <w:jc w:val="right"/>
              <w:rPr>
                <w:rFonts w:ascii="Calibri" w:hAnsi="Calibri" w:cs="Calibri"/>
                <w:color w:val="000000"/>
                <w:sz w:val="18"/>
                <w:szCs w:val="18"/>
              </w:rPr>
            </w:pPr>
            <w:r w:rsidRPr="007F330F">
              <w:rPr>
                <w:rFonts w:ascii="Calibri" w:hAnsi="Calibri" w:cs="Calibri"/>
                <w:color w:val="000000"/>
                <w:sz w:val="18"/>
                <w:szCs w:val="18"/>
              </w:rPr>
              <w:t>-21 530 000,00</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nil"/>
            </w:tcBorders>
            <w:shd w:val="clear" w:color="000000" w:fill="C9C9C9"/>
            <w:noWrap/>
            <w:vAlign w:val="center"/>
            <w:hideMark/>
          </w:tcPr>
          <w:p w:rsidR="007F330F" w:rsidRPr="007F330F" w:rsidRDefault="007F330F">
            <w:pPr>
              <w:rPr>
                <w:rFonts w:ascii="Calibri" w:hAnsi="Calibri" w:cs="Calibri"/>
                <w:b/>
                <w:bCs/>
                <w:color w:val="000000"/>
                <w:sz w:val="18"/>
                <w:szCs w:val="18"/>
              </w:rPr>
            </w:pPr>
            <w:r w:rsidRPr="007F330F">
              <w:rPr>
                <w:rFonts w:ascii="Calibri" w:hAnsi="Calibri" w:cs="Calibri"/>
                <w:b/>
                <w:bCs/>
                <w:color w:val="000000"/>
                <w:sz w:val="18"/>
                <w:szCs w:val="18"/>
              </w:rPr>
              <w:t>Konečný zůstatek FÚBNF</w:t>
            </w:r>
          </w:p>
        </w:tc>
        <w:tc>
          <w:tcPr>
            <w:tcW w:w="1417" w:type="dxa"/>
            <w:tcBorders>
              <w:top w:val="nil"/>
              <w:left w:val="single" w:sz="4" w:space="0" w:color="auto"/>
              <w:bottom w:val="single" w:sz="4" w:space="0" w:color="auto"/>
              <w:right w:val="single" w:sz="4" w:space="0" w:color="auto"/>
            </w:tcBorders>
            <w:shd w:val="clear" w:color="000000" w:fill="C9C9C9"/>
            <w:noWrap/>
            <w:vAlign w:val="center"/>
            <w:hideMark/>
          </w:tcPr>
          <w:p w:rsidR="007F330F" w:rsidRPr="007F330F" w:rsidRDefault="007F330F">
            <w:pPr>
              <w:jc w:val="right"/>
              <w:rPr>
                <w:rFonts w:ascii="Calibri" w:hAnsi="Calibri" w:cs="Calibri"/>
                <w:b/>
                <w:bCs/>
                <w:color w:val="000000"/>
                <w:sz w:val="18"/>
                <w:szCs w:val="18"/>
              </w:rPr>
            </w:pPr>
            <w:r w:rsidRPr="007F330F">
              <w:rPr>
                <w:rFonts w:ascii="Calibri" w:hAnsi="Calibri" w:cs="Calibri"/>
                <w:b/>
                <w:bCs/>
                <w:color w:val="000000"/>
                <w:sz w:val="18"/>
                <w:szCs w:val="18"/>
              </w:rPr>
              <w:t>386 676,00</w:t>
            </w:r>
          </w:p>
        </w:tc>
      </w:tr>
      <w:tr w:rsidR="007F330F" w:rsidRPr="007F330F" w:rsidTr="007F330F">
        <w:trPr>
          <w:trHeight w:val="272"/>
        </w:trPr>
        <w:tc>
          <w:tcPr>
            <w:tcW w:w="8359" w:type="dxa"/>
            <w:gridSpan w:val="3"/>
            <w:tcBorders>
              <w:top w:val="single" w:sz="4" w:space="0" w:color="auto"/>
              <w:left w:val="single" w:sz="4" w:space="0" w:color="auto"/>
              <w:bottom w:val="single" w:sz="4" w:space="0" w:color="auto"/>
              <w:right w:val="nil"/>
            </w:tcBorders>
            <w:shd w:val="clear" w:color="000000" w:fill="FFC000"/>
            <w:noWrap/>
            <w:vAlign w:val="center"/>
            <w:hideMark/>
          </w:tcPr>
          <w:p w:rsidR="007F330F" w:rsidRPr="007F330F" w:rsidRDefault="007F330F">
            <w:pPr>
              <w:rPr>
                <w:rFonts w:ascii="Calibri" w:hAnsi="Calibri" w:cs="Calibri"/>
                <w:b/>
                <w:bCs/>
                <w:color w:val="000000"/>
                <w:sz w:val="18"/>
                <w:szCs w:val="18"/>
              </w:rPr>
            </w:pPr>
            <w:r w:rsidRPr="007F330F">
              <w:rPr>
                <w:rFonts w:ascii="Calibri" w:hAnsi="Calibri" w:cs="Calibri"/>
                <w:b/>
                <w:bCs/>
                <w:color w:val="000000"/>
                <w:sz w:val="18"/>
                <w:szCs w:val="18"/>
              </w:rPr>
              <w:t>Volné zdroje města uložené v trvalých peněžních fondech města</w:t>
            </w:r>
          </w:p>
        </w:tc>
        <w:tc>
          <w:tcPr>
            <w:tcW w:w="1417" w:type="dxa"/>
            <w:tcBorders>
              <w:top w:val="nil"/>
              <w:left w:val="single" w:sz="4" w:space="0" w:color="auto"/>
              <w:bottom w:val="single" w:sz="4" w:space="0" w:color="auto"/>
              <w:right w:val="single" w:sz="4" w:space="0" w:color="auto"/>
            </w:tcBorders>
            <w:shd w:val="clear" w:color="000000" w:fill="FFC000"/>
            <w:noWrap/>
            <w:vAlign w:val="center"/>
            <w:hideMark/>
          </w:tcPr>
          <w:p w:rsidR="007F330F" w:rsidRPr="007F330F" w:rsidRDefault="007F330F">
            <w:pPr>
              <w:jc w:val="right"/>
              <w:rPr>
                <w:rFonts w:ascii="Calibri" w:hAnsi="Calibri" w:cs="Calibri"/>
                <w:b/>
                <w:bCs/>
                <w:color w:val="000000"/>
                <w:sz w:val="18"/>
                <w:szCs w:val="18"/>
              </w:rPr>
            </w:pPr>
            <w:r w:rsidRPr="007F330F">
              <w:rPr>
                <w:rFonts w:ascii="Calibri" w:hAnsi="Calibri" w:cs="Calibri"/>
                <w:b/>
                <w:bCs/>
                <w:color w:val="000000"/>
                <w:sz w:val="18"/>
                <w:szCs w:val="18"/>
              </w:rPr>
              <w:t>275 978 568,78</w:t>
            </w:r>
          </w:p>
        </w:tc>
      </w:tr>
      <w:tr w:rsidR="007F330F" w:rsidRPr="007F330F" w:rsidTr="007F330F">
        <w:trPr>
          <w:trHeight w:val="272"/>
        </w:trPr>
        <w:tc>
          <w:tcPr>
            <w:tcW w:w="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F330F" w:rsidRPr="007F330F" w:rsidRDefault="007F330F">
            <w:pPr>
              <w:jc w:val="center"/>
              <w:rPr>
                <w:rFonts w:ascii="Calibri" w:hAnsi="Calibri" w:cs="Calibri"/>
                <w:color w:val="000000"/>
                <w:sz w:val="18"/>
                <w:szCs w:val="18"/>
              </w:rPr>
            </w:pPr>
            <w:r w:rsidRPr="007F330F">
              <w:rPr>
                <w:rFonts w:ascii="Calibri" w:hAnsi="Calibri" w:cs="Calibri"/>
                <w:color w:val="000000"/>
                <w:sz w:val="18"/>
                <w:szCs w:val="18"/>
              </w:rPr>
              <w:t> </w:t>
            </w:r>
          </w:p>
        </w:tc>
        <w:tc>
          <w:tcPr>
            <w:tcW w:w="1018" w:type="dxa"/>
            <w:vMerge w:val="restart"/>
            <w:tcBorders>
              <w:top w:val="nil"/>
              <w:left w:val="single" w:sz="4" w:space="0" w:color="auto"/>
              <w:bottom w:val="single" w:sz="4" w:space="0" w:color="auto"/>
              <w:right w:val="single" w:sz="4" w:space="0" w:color="auto"/>
            </w:tcBorders>
            <w:shd w:val="clear" w:color="auto" w:fill="auto"/>
            <w:vAlign w:val="center"/>
            <w:hideMark/>
          </w:tcPr>
          <w:p w:rsidR="007F330F" w:rsidRPr="007F330F" w:rsidRDefault="007F330F">
            <w:pPr>
              <w:jc w:val="center"/>
              <w:rPr>
                <w:rFonts w:ascii="Calibri" w:hAnsi="Calibri" w:cs="Calibri"/>
                <w:color w:val="000000"/>
                <w:sz w:val="18"/>
                <w:szCs w:val="18"/>
              </w:rPr>
            </w:pPr>
            <w:r w:rsidRPr="007F330F">
              <w:rPr>
                <w:rFonts w:ascii="Calibri" w:hAnsi="Calibri" w:cs="Calibri"/>
                <w:color w:val="000000"/>
                <w:sz w:val="18"/>
                <w:szCs w:val="18"/>
              </w:rPr>
              <w:t>Sociální fond Kapitola 71</w:t>
            </w:r>
          </w:p>
        </w:tc>
        <w:tc>
          <w:tcPr>
            <w:tcW w:w="6379" w:type="dxa"/>
            <w:tcBorders>
              <w:top w:val="nil"/>
              <w:left w:val="nil"/>
              <w:bottom w:val="single" w:sz="4" w:space="0" w:color="auto"/>
              <w:right w:val="single" w:sz="4" w:space="0" w:color="auto"/>
            </w:tcBorders>
            <w:shd w:val="clear" w:color="000000" w:fill="D9D9D9"/>
            <w:noWrap/>
            <w:vAlign w:val="center"/>
            <w:hideMark/>
          </w:tcPr>
          <w:p w:rsidR="007F330F" w:rsidRPr="007F330F" w:rsidRDefault="007F330F">
            <w:pPr>
              <w:rPr>
                <w:rFonts w:ascii="Calibri" w:hAnsi="Calibri" w:cs="Calibri"/>
                <w:b/>
                <w:bCs/>
                <w:color w:val="000000"/>
                <w:sz w:val="18"/>
                <w:szCs w:val="18"/>
              </w:rPr>
            </w:pPr>
            <w:r w:rsidRPr="007F330F">
              <w:rPr>
                <w:rFonts w:ascii="Calibri" w:hAnsi="Calibri" w:cs="Calibri"/>
                <w:b/>
                <w:bCs/>
                <w:color w:val="000000"/>
                <w:sz w:val="18"/>
                <w:szCs w:val="18"/>
              </w:rPr>
              <w:t>Počáteční zůstatek k 01.01.2022</w:t>
            </w:r>
          </w:p>
        </w:tc>
        <w:tc>
          <w:tcPr>
            <w:tcW w:w="1417" w:type="dxa"/>
            <w:tcBorders>
              <w:top w:val="nil"/>
              <w:left w:val="nil"/>
              <w:bottom w:val="single" w:sz="4" w:space="0" w:color="auto"/>
              <w:right w:val="single" w:sz="4" w:space="0" w:color="auto"/>
            </w:tcBorders>
            <w:shd w:val="clear" w:color="000000" w:fill="D9D9D9"/>
            <w:noWrap/>
            <w:vAlign w:val="center"/>
            <w:hideMark/>
          </w:tcPr>
          <w:p w:rsidR="007F330F" w:rsidRPr="007F330F" w:rsidRDefault="007F330F">
            <w:pPr>
              <w:jc w:val="right"/>
              <w:rPr>
                <w:rFonts w:ascii="Calibri" w:hAnsi="Calibri" w:cs="Calibri"/>
                <w:b/>
                <w:bCs/>
                <w:color w:val="000000"/>
                <w:sz w:val="18"/>
                <w:szCs w:val="18"/>
              </w:rPr>
            </w:pPr>
            <w:r w:rsidRPr="007F330F">
              <w:rPr>
                <w:rFonts w:ascii="Calibri" w:hAnsi="Calibri" w:cs="Calibri"/>
                <w:b/>
                <w:bCs/>
                <w:color w:val="000000"/>
                <w:sz w:val="18"/>
                <w:szCs w:val="18"/>
              </w:rPr>
              <w:t>4 315 785,52</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single" w:sz="4" w:space="0" w:color="auto"/>
            </w:tcBorders>
            <w:shd w:val="clear" w:color="auto" w:fill="auto"/>
            <w:noWrap/>
            <w:vAlign w:val="center"/>
            <w:hideMark/>
          </w:tcPr>
          <w:p w:rsidR="007F330F" w:rsidRPr="007F330F" w:rsidRDefault="007F330F">
            <w:pPr>
              <w:rPr>
                <w:rFonts w:ascii="Calibri" w:hAnsi="Calibri" w:cs="Calibri"/>
                <w:color w:val="000000"/>
                <w:sz w:val="18"/>
                <w:szCs w:val="18"/>
              </w:rPr>
            </w:pPr>
            <w:r w:rsidRPr="007F330F">
              <w:rPr>
                <w:rFonts w:ascii="Calibri" w:hAnsi="Calibri" w:cs="Calibri"/>
                <w:color w:val="000000"/>
                <w:sz w:val="18"/>
                <w:szCs w:val="18"/>
              </w:rPr>
              <w:t>Příjmy Sociálního fondu k 31.12.2022</w:t>
            </w:r>
          </w:p>
        </w:tc>
        <w:tc>
          <w:tcPr>
            <w:tcW w:w="1417" w:type="dxa"/>
            <w:tcBorders>
              <w:top w:val="nil"/>
              <w:left w:val="nil"/>
              <w:bottom w:val="single" w:sz="4" w:space="0" w:color="auto"/>
              <w:right w:val="single" w:sz="4" w:space="0" w:color="auto"/>
            </w:tcBorders>
            <w:shd w:val="clear" w:color="auto" w:fill="auto"/>
            <w:noWrap/>
            <w:vAlign w:val="center"/>
            <w:hideMark/>
          </w:tcPr>
          <w:p w:rsidR="007F330F" w:rsidRPr="007F330F" w:rsidRDefault="007F330F">
            <w:pPr>
              <w:jc w:val="right"/>
              <w:rPr>
                <w:rFonts w:ascii="Calibri" w:hAnsi="Calibri" w:cs="Calibri"/>
                <w:color w:val="000000"/>
                <w:sz w:val="18"/>
                <w:szCs w:val="18"/>
              </w:rPr>
            </w:pPr>
            <w:r w:rsidRPr="007F330F">
              <w:rPr>
                <w:rFonts w:ascii="Calibri" w:hAnsi="Calibri" w:cs="Calibri"/>
                <w:color w:val="000000"/>
                <w:sz w:val="18"/>
                <w:szCs w:val="18"/>
              </w:rPr>
              <w:t>7 241 772,00</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single" w:sz="4" w:space="0" w:color="auto"/>
            </w:tcBorders>
            <w:shd w:val="clear" w:color="auto" w:fill="auto"/>
            <w:noWrap/>
            <w:vAlign w:val="center"/>
            <w:hideMark/>
          </w:tcPr>
          <w:p w:rsidR="007F330F" w:rsidRPr="007F330F" w:rsidRDefault="007F330F">
            <w:pPr>
              <w:rPr>
                <w:rFonts w:ascii="Calibri" w:hAnsi="Calibri" w:cs="Calibri"/>
                <w:color w:val="000000"/>
                <w:sz w:val="18"/>
                <w:szCs w:val="18"/>
              </w:rPr>
            </w:pPr>
            <w:r w:rsidRPr="007F330F">
              <w:rPr>
                <w:rFonts w:ascii="Calibri" w:hAnsi="Calibri" w:cs="Calibri"/>
                <w:color w:val="000000"/>
                <w:sz w:val="18"/>
                <w:szCs w:val="18"/>
              </w:rPr>
              <w:t>Výdaje Sociálního fondu k 31.12.2022</w:t>
            </w:r>
          </w:p>
        </w:tc>
        <w:tc>
          <w:tcPr>
            <w:tcW w:w="1417" w:type="dxa"/>
            <w:tcBorders>
              <w:top w:val="nil"/>
              <w:left w:val="nil"/>
              <w:bottom w:val="single" w:sz="4" w:space="0" w:color="auto"/>
              <w:right w:val="single" w:sz="4" w:space="0" w:color="auto"/>
            </w:tcBorders>
            <w:shd w:val="clear" w:color="auto" w:fill="auto"/>
            <w:noWrap/>
            <w:vAlign w:val="center"/>
            <w:hideMark/>
          </w:tcPr>
          <w:p w:rsidR="007F330F" w:rsidRPr="007F330F" w:rsidRDefault="007F330F">
            <w:pPr>
              <w:jc w:val="right"/>
              <w:rPr>
                <w:rFonts w:ascii="Calibri" w:hAnsi="Calibri" w:cs="Calibri"/>
                <w:color w:val="000000"/>
                <w:sz w:val="18"/>
                <w:szCs w:val="18"/>
              </w:rPr>
            </w:pPr>
            <w:r w:rsidRPr="007F330F">
              <w:rPr>
                <w:rFonts w:ascii="Calibri" w:hAnsi="Calibri" w:cs="Calibri"/>
                <w:color w:val="000000"/>
                <w:sz w:val="18"/>
                <w:szCs w:val="18"/>
              </w:rPr>
              <w:t>7 387 682,72</w:t>
            </w:r>
          </w:p>
        </w:tc>
      </w:tr>
      <w:tr w:rsidR="007F330F" w:rsidRPr="007F330F" w:rsidTr="007F330F">
        <w:trPr>
          <w:trHeight w:val="272"/>
        </w:trPr>
        <w:tc>
          <w:tcPr>
            <w:tcW w:w="962"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1018" w:type="dxa"/>
            <w:vMerge/>
            <w:tcBorders>
              <w:top w:val="nil"/>
              <w:left w:val="single" w:sz="4" w:space="0" w:color="auto"/>
              <w:bottom w:val="single" w:sz="4" w:space="0" w:color="auto"/>
              <w:right w:val="single" w:sz="4" w:space="0" w:color="auto"/>
            </w:tcBorders>
            <w:vAlign w:val="center"/>
            <w:hideMark/>
          </w:tcPr>
          <w:p w:rsidR="007F330F" w:rsidRPr="007F330F" w:rsidRDefault="007F330F">
            <w:pPr>
              <w:rPr>
                <w:rFonts w:ascii="Calibri" w:hAnsi="Calibri" w:cs="Calibri"/>
                <w:color w:val="000000"/>
                <w:sz w:val="18"/>
                <w:szCs w:val="18"/>
              </w:rPr>
            </w:pPr>
          </w:p>
        </w:tc>
        <w:tc>
          <w:tcPr>
            <w:tcW w:w="6379" w:type="dxa"/>
            <w:tcBorders>
              <w:top w:val="nil"/>
              <w:left w:val="nil"/>
              <w:bottom w:val="single" w:sz="4" w:space="0" w:color="auto"/>
              <w:right w:val="single" w:sz="4" w:space="0" w:color="auto"/>
            </w:tcBorders>
            <w:shd w:val="clear" w:color="000000" w:fill="D9D9D9"/>
            <w:noWrap/>
            <w:vAlign w:val="center"/>
            <w:hideMark/>
          </w:tcPr>
          <w:p w:rsidR="007F330F" w:rsidRPr="007F330F" w:rsidRDefault="007F330F">
            <w:pPr>
              <w:rPr>
                <w:rFonts w:ascii="Calibri" w:hAnsi="Calibri" w:cs="Calibri"/>
                <w:b/>
                <w:bCs/>
                <w:color w:val="000000"/>
                <w:sz w:val="18"/>
                <w:szCs w:val="18"/>
              </w:rPr>
            </w:pPr>
            <w:r w:rsidRPr="007F330F">
              <w:rPr>
                <w:rFonts w:ascii="Calibri" w:hAnsi="Calibri" w:cs="Calibri"/>
                <w:b/>
                <w:bCs/>
                <w:color w:val="000000"/>
                <w:sz w:val="18"/>
                <w:szCs w:val="18"/>
              </w:rPr>
              <w:t>Konečný zůstatek k 31.12.2022</w:t>
            </w:r>
          </w:p>
        </w:tc>
        <w:tc>
          <w:tcPr>
            <w:tcW w:w="1417" w:type="dxa"/>
            <w:tcBorders>
              <w:top w:val="nil"/>
              <w:left w:val="nil"/>
              <w:bottom w:val="single" w:sz="4" w:space="0" w:color="auto"/>
              <w:right w:val="single" w:sz="4" w:space="0" w:color="auto"/>
            </w:tcBorders>
            <w:shd w:val="clear" w:color="000000" w:fill="D9D9D9"/>
            <w:noWrap/>
            <w:vAlign w:val="center"/>
            <w:hideMark/>
          </w:tcPr>
          <w:p w:rsidR="007F330F" w:rsidRPr="007F330F" w:rsidRDefault="007F330F">
            <w:pPr>
              <w:jc w:val="right"/>
              <w:rPr>
                <w:rFonts w:ascii="Calibri" w:hAnsi="Calibri" w:cs="Calibri"/>
                <w:b/>
                <w:bCs/>
                <w:color w:val="000000"/>
                <w:sz w:val="18"/>
                <w:szCs w:val="18"/>
              </w:rPr>
            </w:pPr>
            <w:r w:rsidRPr="007F330F">
              <w:rPr>
                <w:rFonts w:ascii="Calibri" w:hAnsi="Calibri" w:cs="Calibri"/>
                <w:b/>
                <w:bCs/>
                <w:color w:val="000000"/>
                <w:sz w:val="18"/>
                <w:szCs w:val="18"/>
              </w:rPr>
              <w:t>4 169 874,80</w:t>
            </w:r>
          </w:p>
        </w:tc>
      </w:tr>
    </w:tbl>
    <w:p w:rsidR="007F330F" w:rsidRDefault="007F330F" w:rsidP="007F330F"/>
    <w:p w:rsidR="007F330F" w:rsidRPr="007F330F" w:rsidRDefault="007F330F" w:rsidP="007F330F"/>
    <w:p w:rsidR="00B113F3" w:rsidRDefault="00B113F3" w:rsidP="00B113F3">
      <w:pPr>
        <w:rPr>
          <w:color w:val="BFBFBF" w:themeColor="background1" w:themeShade="BF"/>
        </w:rPr>
      </w:pPr>
    </w:p>
    <w:p w:rsidR="00B113F3" w:rsidRDefault="00B113F3" w:rsidP="00B113F3">
      <w:pPr>
        <w:rPr>
          <w:color w:val="BFBFBF" w:themeColor="background1" w:themeShade="BF"/>
        </w:rPr>
      </w:pPr>
    </w:p>
    <w:p w:rsidR="00B113F3" w:rsidRDefault="00B113F3" w:rsidP="00B113F3">
      <w:pPr>
        <w:rPr>
          <w:color w:val="BFBFBF" w:themeColor="background1" w:themeShade="BF"/>
        </w:rPr>
      </w:pPr>
    </w:p>
    <w:p w:rsidR="00B113F3" w:rsidRDefault="00B113F3" w:rsidP="00B113F3">
      <w:pPr>
        <w:rPr>
          <w:color w:val="BFBFBF" w:themeColor="background1" w:themeShade="BF"/>
        </w:rPr>
      </w:pPr>
      <w:r>
        <w:rPr>
          <w:color w:val="BFBFBF" w:themeColor="background1" w:themeShade="BF"/>
        </w:rPr>
        <w:br w:type="page"/>
      </w:r>
    </w:p>
    <w:p w:rsidR="004840B0" w:rsidRDefault="004840B0" w:rsidP="0024764D">
      <w:pPr>
        <w:pStyle w:val="Nadpis2"/>
        <w:ind w:right="-143"/>
      </w:pPr>
      <w:r w:rsidRPr="004C26A6">
        <w:lastRenderedPageBreak/>
        <w:t>Vyúčtování účelových prostředků statutár</w:t>
      </w:r>
      <w:r w:rsidR="00E5462A" w:rsidRPr="004C26A6">
        <w:t>n</w:t>
      </w:r>
      <w:r w:rsidR="004C26A6">
        <w:t>ího města Prostějova za rok 202</w:t>
      </w:r>
      <w:r w:rsidR="00D256B3">
        <w:t>2</w:t>
      </w:r>
      <w:r w:rsidR="00912869" w:rsidRPr="004C26A6">
        <w:t xml:space="preserve"> (v </w:t>
      </w:r>
      <w:r w:rsidRPr="004C26A6">
        <w:t>Kč)</w:t>
      </w:r>
    </w:p>
    <w:tbl>
      <w:tblPr>
        <w:tblW w:w="9821" w:type="dxa"/>
        <w:tblLayout w:type="fixed"/>
        <w:tblCellMar>
          <w:left w:w="70" w:type="dxa"/>
          <w:right w:w="70" w:type="dxa"/>
        </w:tblCellMar>
        <w:tblLook w:val="04A0" w:firstRow="1" w:lastRow="0" w:firstColumn="1" w:lastColumn="0" w:noHBand="0" w:noVBand="1"/>
      </w:tblPr>
      <w:tblGrid>
        <w:gridCol w:w="870"/>
        <w:gridCol w:w="4370"/>
        <w:gridCol w:w="567"/>
        <w:gridCol w:w="1134"/>
        <w:gridCol w:w="1134"/>
        <w:gridCol w:w="709"/>
        <w:gridCol w:w="1037"/>
      </w:tblGrid>
      <w:tr w:rsidR="0074755B" w:rsidRPr="0074755B" w:rsidTr="0074755B">
        <w:trPr>
          <w:trHeight w:val="733"/>
        </w:trPr>
        <w:tc>
          <w:tcPr>
            <w:tcW w:w="870" w:type="dxa"/>
            <w:tcBorders>
              <w:top w:val="single" w:sz="4" w:space="0" w:color="auto"/>
              <w:left w:val="single" w:sz="4" w:space="0" w:color="auto"/>
              <w:bottom w:val="single" w:sz="4" w:space="0" w:color="auto"/>
              <w:right w:val="single" w:sz="4" w:space="0" w:color="auto"/>
            </w:tcBorders>
            <w:shd w:val="clear" w:color="000000" w:fill="99CCFF"/>
            <w:noWrap/>
            <w:vAlign w:val="center"/>
            <w:hideMark/>
          </w:tcPr>
          <w:p w:rsidR="0074755B" w:rsidRPr="0074755B" w:rsidRDefault="0074755B">
            <w:pPr>
              <w:jc w:val="center"/>
              <w:rPr>
                <w:rFonts w:ascii="Calibri" w:hAnsi="Calibri" w:cs="Calibri"/>
                <w:b/>
                <w:bCs/>
                <w:color w:val="000000"/>
                <w:sz w:val="16"/>
                <w:szCs w:val="16"/>
              </w:rPr>
            </w:pPr>
            <w:r w:rsidRPr="0074755B">
              <w:rPr>
                <w:rFonts w:ascii="Calibri" w:hAnsi="Calibri" w:cs="Calibri"/>
                <w:b/>
                <w:bCs/>
                <w:color w:val="000000"/>
                <w:sz w:val="16"/>
                <w:szCs w:val="16"/>
              </w:rPr>
              <w:t>ÚZ</w:t>
            </w:r>
          </w:p>
        </w:tc>
        <w:tc>
          <w:tcPr>
            <w:tcW w:w="4370" w:type="dxa"/>
            <w:tcBorders>
              <w:top w:val="single" w:sz="4" w:space="0" w:color="auto"/>
              <w:left w:val="nil"/>
              <w:bottom w:val="single" w:sz="4" w:space="0" w:color="auto"/>
              <w:right w:val="single" w:sz="4" w:space="0" w:color="auto"/>
            </w:tcBorders>
            <w:shd w:val="clear" w:color="000000" w:fill="99CCFF"/>
            <w:noWrap/>
            <w:vAlign w:val="center"/>
            <w:hideMark/>
          </w:tcPr>
          <w:p w:rsidR="0074755B" w:rsidRPr="0074755B" w:rsidRDefault="0074755B">
            <w:pPr>
              <w:jc w:val="center"/>
              <w:rPr>
                <w:rFonts w:ascii="Calibri" w:hAnsi="Calibri" w:cs="Calibri"/>
                <w:b/>
                <w:bCs/>
                <w:color w:val="000000"/>
                <w:sz w:val="16"/>
                <w:szCs w:val="16"/>
              </w:rPr>
            </w:pPr>
            <w:r w:rsidRPr="0074755B">
              <w:rPr>
                <w:rFonts w:ascii="Calibri" w:hAnsi="Calibri" w:cs="Calibri"/>
                <w:b/>
                <w:bCs/>
                <w:color w:val="000000"/>
                <w:sz w:val="16"/>
                <w:szCs w:val="16"/>
              </w:rPr>
              <w:t>Název</w:t>
            </w:r>
          </w:p>
        </w:tc>
        <w:tc>
          <w:tcPr>
            <w:tcW w:w="567" w:type="dxa"/>
            <w:tcBorders>
              <w:top w:val="single" w:sz="4" w:space="0" w:color="auto"/>
              <w:left w:val="nil"/>
              <w:bottom w:val="single" w:sz="4" w:space="0" w:color="auto"/>
              <w:right w:val="single" w:sz="4" w:space="0" w:color="auto"/>
            </w:tcBorders>
            <w:shd w:val="clear" w:color="000000" w:fill="99CCFF"/>
            <w:noWrap/>
            <w:vAlign w:val="center"/>
            <w:hideMark/>
          </w:tcPr>
          <w:p w:rsidR="0074755B" w:rsidRPr="0074755B" w:rsidRDefault="0074755B">
            <w:pPr>
              <w:jc w:val="center"/>
              <w:rPr>
                <w:rFonts w:ascii="Calibri" w:hAnsi="Calibri" w:cs="Calibri"/>
                <w:b/>
                <w:bCs/>
                <w:color w:val="000000"/>
                <w:sz w:val="16"/>
                <w:szCs w:val="16"/>
              </w:rPr>
            </w:pPr>
            <w:r w:rsidRPr="0074755B">
              <w:rPr>
                <w:rFonts w:ascii="Calibri" w:hAnsi="Calibri" w:cs="Calibri"/>
                <w:b/>
                <w:bCs/>
                <w:color w:val="000000"/>
                <w:sz w:val="16"/>
                <w:szCs w:val="16"/>
              </w:rPr>
              <w:t>Char.</w:t>
            </w:r>
          </w:p>
        </w:tc>
        <w:tc>
          <w:tcPr>
            <w:tcW w:w="1134" w:type="dxa"/>
            <w:tcBorders>
              <w:top w:val="single" w:sz="4" w:space="0" w:color="auto"/>
              <w:left w:val="nil"/>
              <w:bottom w:val="single" w:sz="4" w:space="0" w:color="auto"/>
              <w:right w:val="single" w:sz="4" w:space="0" w:color="auto"/>
            </w:tcBorders>
            <w:shd w:val="clear" w:color="000000" w:fill="99CCFF"/>
            <w:vAlign w:val="center"/>
            <w:hideMark/>
          </w:tcPr>
          <w:p w:rsidR="0074755B" w:rsidRPr="0074755B" w:rsidRDefault="0074755B">
            <w:pPr>
              <w:jc w:val="center"/>
              <w:rPr>
                <w:rFonts w:ascii="Calibri" w:hAnsi="Calibri" w:cs="Calibri"/>
                <w:b/>
                <w:bCs/>
                <w:color w:val="000000"/>
                <w:sz w:val="16"/>
                <w:szCs w:val="16"/>
              </w:rPr>
            </w:pPr>
            <w:r w:rsidRPr="0074755B">
              <w:rPr>
                <w:rFonts w:ascii="Calibri" w:hAnsi="Calibri" w:cs="Calibri"/>
                <w:b/>
                <w:bCs/>
                <w:color w:val="000000"/>
                <w:sz w:val="16"/>
                <w:szCs w:val="16"/>
              </w:rPr>
              <w:t>Poskytnuto k                31.12.2022</w:t>
            </w:r>
          </w:p>
        </w:tc>
        <w:tc>
          <w:tcPr>
            <w:tcW w:w="1134" w:type="dxa"/>
            <w:tcBorders>
              <w:top w:val="single" w:sz="4" w:space="0" w:color="auto"/>
              <w:left w:val="nil"/>
              <w:bottom w:val="single" w:sz="4" w:space="0" w:color="auto"/>
              <w:right w:val="single" w:sz="4" w:space="0" w:color="auto"/>
            </w:tcBorders>
            <w:shd w:val="clear" w:color="000000" w:fill="99CCFF"/>
            <w:vAlign w:val="center"/>
            <w:hideMark/>
          </w:tcPr>
          <w:p w:rsidR="0074755B" w:rsidRPr="0074755B" w:rsidRDefault="0074755B">
            <w:pPr>
              <w:jc w:val="center"/>
              <w:rPr>
                <w:rFonts w:ascii="Calibri" w:hAnsi="Calibri" w:cs="Calibri"/>
                <w:b/>
                <w:bCs/>
                <w:color w:val="000000"/>
                <w:sz w:val="16"/>
                <w:szCs w:val="16"/>
              </w:rPr>
            </w:pPr>
            <w:r w:rsidRPr="0074755B">
              <w:rPr>
                <w:rFonts w:ascii="Calibri" w:hAnsi="Calibri" w:cs="Calibri"/>
                <w:b/>
                <w:bCs/>
                <w:color w:val="000000"/>
                <w:sz w:val="16"/>
                <w:szCs w:val="16"/>
              </w:rPr>
              <w:t>Čerpáno k           31.12.2022</w:t>
            </w:r>
          </w:p>
        </w:tc>
        <w:tc>
          <w:tcPr>
            <w:tcW w:w="709" w:type="dxa"/>
            <w:tcBorders>
              <w:top w:val="single" w:sz="4" w:space="0" w:color="auto"/>
              <w:left w:val="nil"/>
              <w:bottom w:val="single" w:sz="4" w:space="0" w:color="auto"/>
              <w:right w:val="single" w:sz="4" w:space="0" w:color="auto"/>
            </w:tcBorders>
            <w:shd w:val="clear" w:color="000000" w:fill="99CCFF"/>
            <w:vAlign w:val="center"/>
            <w:hideMark/>
          </w:tcPr>
          <w:p w:rsidR="0074755B" w:rsidRPr="0074755B" w:rsidRDefault="0074755B">
            <w:pPr>
              <w:jc w:val="center"/>
              <w:rPr>
                <w:rFonts w:ascii="Calibri" w:hAnsi="Calibri" w:cs="Calibri"/>
                <w:b/>
                <w:bCs/>
                <w:color w:val="000000"/>
                <w:sz w:val="16"/>
                <w:szCs w:val="16"/>
              </w:rPr>
            </w:pPr>
            <w:r w:rsidRPr="0074755B">
              <w:rPr>
                <w:rFonts w:ascii="Calibri" w:hAnsi="Calibri" w:cs="Calibri"/>
                <w:b/>
                <w:bCs/>
                <w:color w:val="000000"/>
                <w:sz w:val="16"/>
                <w:szCs w:val="16"/>
              </w:rPr>
              <w:t>Vráceno v průběhu roku (-)</w:t>
            </w:r>
          </w:p>
        </w:tc>
        <w:tc>
          <w:tcPr>
            <w:tcW w:w="1037" w:type="dxa"/>
            <w:tcBorders>
              <w:top w:val="single" w:sz="4" w:space="0" w:color="auto"/>
              <w:left w:val="nil"/>
              <w:bottom w:val="single" w:sz="4" w:space="0" w:color="auto"/>
              <w:right w:val="single" w:sz="4" w:space="0" w:color="auto"/>
            </w:tcBorders>
            <w:shd w:val="clear" w:color="000000" w:fill="99CCFF"/>
            <w:vAlign w:val="center"/>
            <w:hideMark/>
          </w:tcPr>
          <w:p w:rsidR="0074755B" w:rsidRPr="0074755B" w:rsidRDefault="0074755B">
            <w:pPr>
              <w:jc w:val="center"/>
              <w:rPr>
                <w:rFonts w:ascii="Calibri" w:hAnsi="Calibri" w:cs="Calibri"/>
                <w:b/>
                <w:bCs/>
                <w:color w:val="000000"/>
                <w:sz w:val="16"/>
                <w:szCs w:val="16"/>
              </w:rPr>
            </w:pPr>
            <w:r w:rsidRPr="0074755B">
              <w:rPr>
                <w:rFonts w:ascii="Calibri" w:hAnsi="Calibri" w:cs="Calibri"/>
                <w:b/>
                <w:bCs/>
                <w:color w:val="000000"/>
                <w:sz w:val="16"/>
                <w:szCs w:val="16"/>
              </w:rPr>
              <w:t>Vratka (+)/                 doplatek (-)</w:t>
            </w:r>
          </w:p>
        </w:tc>
      </w:tr>
      <w:tr w:rsidR="0074755B" w:rsidRPr="0074755B" w:rsidTr="0074755B">
        <w:trPr>
          <w:trHeight w:val="244"/>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115</w:t>
            </w:r>
          </w:p>
        </w:tc>
        <w:tc>
          <w:tcPr>
            <w:tcW w:w="4370" w:type="dxa"/>
            <w:tcBorders>
              <w:top w:val="nil"/>
              <w:left w:val="nil"/>
              <w:bottom w:val="single" w:sz="4" w:space="0" w:color="auto"/>
              <w:right w:val="single" w:sz="4" w:space="0" w:color="auto"/>
            </w:tcBorders>
            <w:shd w:val="clear" w:color="auto" w:fill="auto"/>
            <w:noWrap/>
            <w:vAlign w:val="bottom"/>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Zelená škola Olomouckého kraje - ZŠ Valenty</w:t>
            </w:r>
          </w:p>
        </w:tc>
        <w:tc>
          <w:tcPr>
            <w:tcW w:w="56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neinv.</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25 000,00</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25 000,00</w:t>
            </w:r>
          </w:p>
        </w:tc>
        <w:tc>
          <w:tcPr>
            <w:tcW w:w="709"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c>
          <w:tcPr>
            <w:tcW w:w="103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r>
      <w:tr w:rsidR="0074755B" w:rsidRPr="0074755B" w:rsidTr="0074755B">
        <w:trPr>
          <w:trHeight w:val="244"/>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117</w:t>
            </w:r>
          </w:p>
        </w:tc>
        <w:tc>
          <w:tcPr>
            <w:tcW w:w="4370" w:type="dxa"/>
            <w:tcBorders>
              <w:top w:val="nil"/>
              <w:left w:val="nil"/>
              <w:bottom w:val="single" w:sz="4" w:space="0" w:color="auto"/>
              <w:right w:val="single" w:sz="4" w:space="0" w:color="auto"/>
            </w:tcBorders>
            <w:shd w:val="clear" w:color="auto" w:fill="auto"/>
            <w:noWrap/>
            <w:vAlign w:val="bottom"/>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Realizace krajských a okresních přehlídek Sportcentrum DDM</w:t>
            </w:r>
          </w:p>
        </w:tc>
        <w:tc>
          <w:tcPr>
            <w:tcW w:w="56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neinv.</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39 618,80</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39 618,80</w:t>
            </w:r>
          </w:p>
        </w:tc>
        <w:tc>
          <w:tcPr>
            <w:tcW w:w="709"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c>
          <w:tcPr>
            <w:tcW w:w="103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r>
      <w:tr w:rsidR="0074755B" w:rsidRPr="0074755B" w:rsidTr="0074755B">
        <w:trPr>
          <w:trHeight w:val="244"/>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160</w:t>
            </w:r>
          </w:p>
        </w:tc>
        <w:tc>
          <w:tcPr>
            <w:tcW w:w="4370" w:type="dxa"/>
            <w:tcBorders>
              <w:top w:val="nil"/>
              <w:left w:val="nil"/>
              <w:bottom w:val="single" w:sz="4" w:space="0" w:color="auto"/>
              <w:right w:val="single" w:sz="4" w:space="0" w:color="auto"/>
            </w:tcBorders>
            <w:shd w:val="clear" w:color="auto" w:fill="auto"/>
            <w:noWrap/>
            <w:vAlign w:val="bottom"/>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Městská knihovna</w:t>
            </w:r>
          </w:p>
        </w:tc>
        <w:tc>
          <w:tcPr>
            <w:tcW w:w="56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neinv.</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2 558 685,00</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2 558 685,00</w:t>
            </w:r>
          </w:p>
        </w:tc>
        <w:tc>
          <w:tcPr>
            <w:tcW w:w="709"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c>
          <w:tcPr>
            <w:tcW w:w="103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r>
      <w:tr w:rsidR="0074755B" w:rsidRPr="0074755B" w:rsidTr="0074755B">
        <w:trPr>
          <w:trHeight w:val="244"/>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401</w:t>
            </w:r>
          </w:p>
        </w:tc>
        <w:tc>
          <w:tcPr>
            <w:tcW w:w="4370" w:type="dxa"/>
            <w:tcBorders>
              <w:top w:val="nil"/>
              <w:left w:val="nil"/>
              <w:bottom w:val="single" w:sz="4" w:space="0" w:color="auto"/>
              <w:right w:val="single" w:sz="4" w:space="0" w:color="auto"/>
            </w:tcBorders>
            <w:shd w:val="clear" w:color="auto" w:fill="auto"/>
            <w:noWrap/>
            <w:vAlign w:val="bottom"/>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BESIP</w:t>
            </w:r>
          </w:p>
        </w:tc>
        <w:tc>
          <w:tcPr>
            <w:tcW w:w="56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neinv.</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1 000 000,00</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1 000 000,00</w:t>
            </w:r>
          </w:p>
        </w:tc>
        <w:tc>
          <w:tcPr>
            <w:tcW w:w="709"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c>
          <w:tcPr>
            <w:tcW w:w="103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r>
      <w:tr w:rsidR="0074755B" w:rsidRPr="0074755B" w:rsidTr="0074755B">
        <w:trPr>
          <w:trHeight w:val="244"/>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415</w:t>
            </w:r>
          </w:p>
        </w:tc>
        <w:tc>
          <w:tcPr>
            <w:tcW w:w="4370" w:type="dxa"/>
            <w:tcBorders>
              <w:top w:val="nil"/>
              <w:left w:val="nil"/>
              <w:bottom w:val="single" w:sz="4" w:space="0" w:color="auto"/>
              <w:right w:val="single" w:sz="4" w:space="0" w:color="auto"/>
            </w:tcBorders>
            <w:shd w:val="clear" w:color="auto" w:fill="auto"/>
            <w:noWrap/>
            <w:vAlign w:val="bottom"/>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JSDH Olomouckého kraje</w:t>
            </w:r>
          </w:p>
        </w:tc>
        <w:tc>
          <w:tcPr>
            <w:tcW w:w="56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inv.</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132 300,00</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132 300,00</w:t>
            </w:r>
          </w:p>
        </w:tc>
        <w:tc>
          <w:tcPr>
            <w:tcW w:w="709"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c>
          <w:tcPr>
            <w:tcW w:w="103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r>
      <w:tr w:rsidR="0074755B" w:rsidRPr="0074755B" w:rsidTr="0074755B">
        <w:trPr>
          <w:trHeight w:val="244"/>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416</w:t>
            </w:r>
          </w:p>
        </w:tc>
        <w:tc>
          <w:tcPr>
            <w:tcW w:w="4370" w:type="dxa"/>
            <w:tcBorders>
              <w:top w:val="nil"/>
              <w:left w:val="nil"/>
              <w:bottom w:val="single" w:sz="4" w:space="0" w:color="auto"/>
              <w:right w:val="single" w:sz="4" w:space="0" w:color="auto"/>
            </w:tcBorders>
            <w:shd w:val="clear" w:color="auto" w:fill="auto"/>
            <w:noWrap/>
            <w:vAlign w:val="bottom"/>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Pořízení auta pro JSDH</w:t>
            </w:r>
          </w:p>
        </w:tc>
        <w:tc>
          <w:tcPr>
            <w:tcW w:w="56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inv.</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300 000,00</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c>
          <w:tcPr>
            <w:tcW w:w="709"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c>
          <w:tcPr>
            <w:tcW w:w="103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r>
      <w:tr w:rsidR="0074755B" w:rsidRPr="0074755B" w:rsidTr="0074755B">
        <w:trPr>
          <w:trHeight w:val="244"/>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465</w:t>
            </w:r>
          </w:p>
        </w:tc>
        <w:tc>
          <w:tcPr>
            <w:tcW w:w="4370" w:type="dxa"/>
            <w:tcBorders>
              <w:top w:val="nil"/>
              <w:left w:val="nil"/>
              <w:bottom w:val="single" w:sz="4" w:space="0" w:color="auto"/>
              <w:right w:val="single" w:sz="4" w:space="0" w:color="auto"/>
            </w:tcBorders>
            <w:shd w:val="clear" w:color="auto" w:fill="auto"/>
            <w:noWrap/>
            <w:vAlign w:val="bottom"/>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Výsadba květin, stromů, keřů</w:t>
            </w:r>
          </w:p>
        </w:tc>
        <w:tc>
          <w:tcPr>
            <w:tcW w:w="56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neinv.</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450 000,00</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450 000,00</w:t>
            </w:r>
          </w:p>
        </w:tc>
        <w:tc>
          <w:tcPr>
            <w:tcW w:w="709"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c>
          <w:tcPr>
            <w:tcW w:w="103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r>
      <w:tr w:rsidR="0074755B" w:rsidRPr="0074755B" w:rsidTr="0074755B">
        <w:trPr>
          <w:trHeight w:val="244"/>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510</w:t>
            </w:r>
          </w:p>
        </w:tc>
        <w:tc>
          <w:tcPr>
            <w:tcW w:w="4370" w:type="dxa"/>
            <w:tcBorders>
              <w:top w:val="nil"/>
              <w:left w:val="nil"/>
              <w:bottom w:val="single" w:sz="4" w:space="0" w:color="auto"/>
              <w:right w:val="single" w:sz="4" w:space="0" w:color="auto"/>
            </w:tcBorders>
            <w:shd w:val="clear" w:color="auto" w:fill="auto"/>
            <w:noWrap/>
            <w:vAlign w:val="bottom"/>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Třídění a hospodaření s odpady</w:t>
            </w:r>
          </w:p>
        </w:tc>
        <w:tc>
          <w:tcPr>
            <w:tcW w:w="56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neinv.</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30 000,00</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30 000,00</w:t>
            </w:r>
          </w:p>
        </w:tc>
        <w:tc>
          <w:tcPr>
            <w:tcW w:w="709"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c>
          <w:tcPr>
            <w:tcW w:w="103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r>
      <w:tr w:rsidR="0074755B" w:rsidRPr="0074755B" w:rsidTr="0074755B">
        <w:trPr>
          <w:trHeight w:val="244"/>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525</w:t>
            </w:r>
          </w:p>
        </w:tc>
        <w:tc>
          <w:tcPr>
            <w:tcW w:w="4370" w:type="dxa"/>
            <w:tcBorders>
              <w:top w:val="nil"/>
              <w:left w:val="nil"/>
              <w:bottom w:val="single" w:sz="4" w:space="0" w:color="auto"/>
              <w:right w:val="single" w:sz="4" w:space="0" w:color="auto"/>
            </w:tcBorders>
            <w:shd w:val="clear" w:color="auto" w:fill="auto"/>
            <w:noWrap/>
            <w:vAlign w:val="bottom"/>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Záznamová zařízení pro MKDS, navýšení kapacity úložiště</w:t>
            </w:r>
          </w:p>
        </w:tc>
        <w:tc>
          <w:tcPr>
            <w:tcW w:w="56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inv.</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43 900,00</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43 900,00</w:t>
            </w:r>
          </w:p>
        </w:tc>
        <w:tc>
          <w:tcPr>
            <w:tcW w:w="709"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c>
          <w:tcPr>
            <w:tcW w:w="103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r>
      <w:tr w:rsidR="0074755B" w:rsidRPr="0074755B" w:rsidTr="0074755B">
        <w:trPr>
          <w:trHeight w:val="244"/>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550</w:t>
            </w:r>
          </w:p>
        </w:tc>
        <w:tc>
          <w:tcPr>
            <w:tcW w:w="4370" w:type="dxa"/>
            <w:tcBorders>
              <w:top w:val="nil"/>
              <w:left w:val="nil"/>
              <w:bottom w:val="single" w:sz="4" w:space="0" w:color="auto"/>
              <w:right w:val="single" w:sz="4" w:space="0" w:color="auto"/>
            </w:tcBorders>
            <w:shd w:val="clear" w:color="auto" w:fill="auto"/>
            <w:noWrap/>
            <w:vAlign w:val="bottom"/>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Obnova kulturních památek</w:t>
            </w:r>
          </w:p>
        </w:tc>
        <w:tc>
          <w:tcPr>
            <w:tcW w:w="56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neinv.</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200 000,00</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200 000,00</w:t>
            </w:r>
          </w:p>
        </w:tc>
        <w:tc>
          <w:tcPr>
            <w:tcW w:w="709"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c>
          <w:tcPr>
            <w:tcW w:w="103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r>
      <w:tr w:rsidR="0074755B" w:rsidRPr="0074755B" w:rsidTr="0074755B">
        <w:trPr>
          <w:trHeight w:val="244"/>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555</w:t>
            </w:r>
          </w:p>
        </w:tc>
        <w:tc>
          <w:tcPr>
            <w:tcW w:w="4370" w:type="dxa"/>
            <w:tcBorders>
              <w:top w:val="nil"/>
              <w:left w:val="nil"/>
              <w:bottom w:val="single" w:sz="4" w:space="0" w:color="auto"/>
              <w:right w:val="single" w:sz="4" w:space="0" w:color="auto"/>
            </w:tcBorders>
            <w:shd w:val="clear" w:color="auto" w:fill="auto"/>
            <w:noWrap/>
            <w:vAlign w:val="bottom"/>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Podpora kulturních aktivit Olomouckého kraje</w:t>
            </w:r>
          </w:p>
        </w:tc>
        <w:tc>
          <w:tcPr>
            <w:tcW w:w="56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neinv.</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570 000,00</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570 000,00</w:t>
            </w:r>
          </w:p>
        </w:tc>
        <w:tc>
          <w:tcPr>
            <w:tcW w:w="709"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c>
          <w:tcPr>
            <w:tcW w:w="103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r>
      <w:tr w:rsidR="0074755B" w:rsidRPr="0074755B" w:rsidTr="0074755B">
        <w:trPr>
          <w:trHeight w:val="244"/>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605</w:t>
            </w:r>
          </w:p>
        </w:tc>
        <w:tc>
          <w:tcPr>
            <w:tcW w:w="4370" w:type="dxa"/>
            <w:tcBorders>
              <w:top w:val="nil"/>
              <w:left w:val="nil"/>
              <w:bottom w:val="single" w:sz="4" w:space="0" w:color="auto"/>
              <w:right w:val="single" w:sz="4" w:space="0" w:color="auto"/>
            </w:tcBorders>
            <w:shd w:val="clear" w:color="auto" w:fill="auto"/>
            <w:noWrap/>
            <w:vAlign w:val="bottom"/>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Vý</w:t>
            </w:r>
            <w:r>
              <w:rPr>
                <w:rFonts w:ascii="Calibri" w:hAnsi="Calibri" w:cs="Calibri"/>
                <w:color w:val="000000"/>
                <w:sz w:val="16"/>
                <w:szCs w:val="16"/>
              </w:rPr>
              <w:t>s</w:t>
            </w:r>
            <w:r w:rsidRPr="0074755B">
              <w:rPr>
                <w:rFonts w:ascii="Calibri" w:hAnsi="Calibri" w:cs="Calibri"/>
                <w:color w:val="000000"/>
                <w:sz w:val="16"/>
                <w:szCs w:val="16"/>
              </w:rPr>
              <w:t>tavba a rekonstrukce tělovýchovných a sportovních zařízení</w:t>
            </w:r>
          </w:p>
        </w:tc>
        <w:tc>
          <w:tcPr>
            <w:tcW w:w="56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inv.</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1 558 666,00</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1 558 666,00</w:t>
            </w:r>
          </w:p>
        </w:tc>
        <w:tc>
          <w:tcPr>
            <w:tcW w:w="709"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c>
          <w:tcPr>
            <w:tcW w:w="103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r>
      <w:tr w:rsidR="0074755B" w:rsidRPr="0074755B" w:rsidTr="0074755B">
        <w:trPr>
          <w:trHeight w:val="244"/>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13010</w:t>
            </w:r>
          </w:p>
        </w:tc>
        <w:tc>
          <w:tcPr>
            <w:tcW w:w="4370" w:type="dxa"/>
            <w:tcBorders>
              <w:top w:val="nil"/>
              <w:left w:val="nil"/>
              <w:bottom w:val="single" w:sz="4" w:space="0" w:color="auto"/>
              <w:right w:val="single" w:sz="4" w:space="0" w:color="auto"/>
            </w:tcBorders>
            <w:shd w:val="clear" w:color="auto" w:fill="auto"/>
            <w:noWrap/>
            <w:vAlign w:val="bottom"/>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Státní příspěvek na výkon pěstounské péče</w:t>
            </w:r>
          </w:p>
        </w:tc>
        <w:tc>
          <w:tcPr>
            <w:tcW w:w="56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neinv.</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598 500,00</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694 904,70</w:t>
            </w:r>
          </w:p>
        </w:tc>
        <w:tc>
          <w:tcPr>
            <w:tcW w:w="709"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c>
          <w:tcPr>
            <w:tcW w:w="103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r>
      <w:tr w:rsidR="0074755B" w:rsidRPr="0074755B" w:rsidTr="0074755B">
        <w:trPr>
          <w:trHeight w:val="244"/>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13011</w:t>
            </w:r>
          </w:p>
        </w:tc>
        <w:tc>
          <w:tcPr>
            <w:tcW w:w="4370" w:type="dxa"/>
            <w:tcBorders>
              <w:top w:val="nil"/>
              <w:left w:val="nil"/>
              <w:bottom w:val="single" w:sz="4" w:space="0" w:color="auto"/>
              <w:right w:val="single" w:sz="4" w:space="0" w:color="auto"/>
            </w:tcBorders>
            <w:shd w:val="clear" w:color="auto" w:fill="auto"/>
            <w:noWrap/>
            <w:vAlign w:val="bottom"/>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Dotace na výkon čin. obce s rozš. působ. - SPOD</w:t>
            </w:r>
          </w:p>
        </w:tc>
        <w:tc>
          <w:tcPr>
            <w:tcW w:w="56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neinv.</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1 470 689,00</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c>
          <w:tcPr>
            <w:tcW w:w="709"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c>
          <w:tcPr>
            <w:tcW w:w="103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r>
      <w:tr w:rsidR="0074755B" w:rsidRPr="0074755B" w:rsidTr="0074755B">
        <w:trPr>
          <w:trHeight w:val="244"/>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13015</w:t>
            </w:r>
          </w:p>
        </w:tc>
        <w:tc>
          <w:tcPr>
            <w:tcW w:w="4370" w:type="dxa"/>
            <w:tcBorders>
              <w:top w:val="nil"/>
              <w:left w:val="nil"/>
              <w:bottom w:val="single" w:sz="4" w:space="0" w:color="auto"/>
              <w:right w:val="single" w:sz="4" w:space="0" w:color="auto"/>
            </w:tcBorders>
            <w:shd w:val="clear" w:color="auto" w:fill="auto"/>
            <w:noWrap/>
            <w:vAlign w:val="bottom"/>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Výkon sociální práce mimo SPOD</w:t>
            </w:r>
          </w:p>
        </w:tc>
        <w:tc>
          <w:tcPr>
            <w:tcW w:w="56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neinv.</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3 582 763,00</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3 582 763,00</w:t>
            </w:r>
          </w:p>
        </w:tc>
        <w:tc>
          <w:tcPr>
            <w:tcW w:w="709"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c>
          <w:tcPr>
            <w:tcW w:w="103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r>
      <w:tr w:rsidR="0074755B" w:rsidRPr="0074755B" w:rsidTr="0074755B">
        <w:trPr>
          <w:trHeight w:val="244"/>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13024</w:t>
            </w:r>
          </w:p>
        </w:tc>
        <w:tc>
          <w:tcPr>
            <w:tcW w:w="4370" w:type="dxa"/>
            <w:tcBorders>
              <w:top w:val="nil"/>
              <w:left w:val="nil"/>
              <w:bottom w:val="single" w:sz="4" w:space="0" w:color="auto"/>
              <w:right w:val="single" w:sz="4" w:space="0" w:color="auto"/>
            </w:tcBorders>
            <w:shd w:val="clear" w:color="auto" w:fill="auto"/>
            <w:noWrap/>
            <w:vAlign w:val="bottom"/>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Transfer na SPOD</w:t>
            </w:r>
          </w:p>
        </w:tc>
        <w:tc>
          <w:tcPr>
            <w:tcW w:w="56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neinv.</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12 902 400,00</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15 729 995,00</w:t>
            </w:r>
          </w:p>
        </w:tc>
        <w:tc>
          <w:tcPr>
            <w:tcW w:w="709"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c>
          <w:tcPr>
            <w:tcW w:w="103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-2 827 595,00</w:t>
            </w:r>
          </w:p>
        </w:tc>
      </w:tr>
      <w:tr w:rsidR="0074755B" w:rsidRPr="0074755B" w:rsidTr="0074755B">
        <w:trPr>
          <w:trHeight w:val="244"/>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13101</w:t>
            </w:r>
          </w:p>
        </w:tc>
        <w:tc>
          <w:tcPr>
            <w:tcW w:w="4370" w:type="dxa"/>
            <w:tcBorders>
              <w:top w:val="nil"/>
              <w:left w:val="nil"/>
              <w:bottom w:val="single" w:sz="4" w:space="0" w:color="auto"/>
              <w:right w:val="single" w:sz="4" w:space="0" w:color="auto"/>
            </w:tcBorders>
            <w:shd w:val="clear" w:color="auto" w:fill="auto"/>
            <w:noWrap/>
            <w:vAlign w:val="bottom"/>
            <w:hideMark/>
          </w:tcPr>
          <w:p w:rsidR="0074755B" w:rsidRPr="0074755B" w:rsidRDefault="0074755B">
            <w:pPr>
              <w:rPr>
                <w:rFonts w:ascii="Calibri" w:hAnsi="Calibri" w:cs="Calibri"/>
                <w:color w:val="000000"/>
                <w:sz w:val="16"/>
                <w:szCs w:val="16"/>
              </w:rPr>
            </w:pPr>
            <w:r>
              <w:rPr>
                <w:rFonts w:ascii="Calibri" w:hAnsi="Calibri" w:cs="Calibri"/>
                <w:color w:val="000000"/>
                <w:sz w:val="16"/>
                <w:szCs w:val="16"/>
              </w:rPr>
              <w:t>Aktivní politika zamě</w:t>
            </w:r>
            <w:r w:rsidRPr="0074755B">
              <w:rPr>
                <w:rFonts w:ascii="Calibri" w:hAnsi="Calibri" w:cs="Calibri"/>
                <w:color w:val="000000"/>
                <w:sz w:val="16"/>
                <w:szCs w:val="16"/>
              </w:rPr>
              <w:t>stnanosti pro OkU a obce</w:t>
            </w:r>
          </w:p>
        </w:tc>
        <w:tc>
          <w:tcPr>
            <w:tcW w:w="56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neinv.</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896 000,00</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896 000,00</w:t>
            </w:r>
          </w:p>
        </w:tc>
        <w:tc>
          <w:tcPr>
            <w:tcW w:w="709"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c>
          <w:tcPr>
            <w:tcW w:w="103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r>
      <w:tr w:rsidR="0074755B" w:rsidRPr="0074755B" w:rsidTr="0074755B">
        <w:trPr>
          <w:trHeight w:val="244"/>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14004</w:t>
            </w:r>
          </w:p>
        </w:tc>
        <w:tc>
          <w:tcPr>
            <w:tcW w:w="4370" w:type="dxa"/>
            <w:tcBorders>
              <w:top w:val="nil"/>
              <w:left w:val="nil"/>
              <w:bottom w:val="single" w:sz="4" w:space="0" w:color="auto"/>
              <w:right w:val="single" w:sz="4" w:space="0" w:color="auto"/>
            </w:tcBorders>
            <w:shd w:val="clear" w:color="auto" w:fill="auto"/>
            <w:noWrap/>
            <w:vAlign w:val="bottom"/>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Zabezpečení akceschopnosti JSDH</w:t>
            </w:r>
          </w:p>
        </w:tc>
        <w:tc>
          <w:tcPr>
            <w:tcW w:w="56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neinv.</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312 700,00</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312 699,00</w:t>
            </w:r>
          </w:p>
        </w:tc>
        <w:tc>
          <w:tcPr>
            <w:tcW w:w="709" w:type="dxa"/>
            <w:tcBorders>
              <w:top w:val="nil"/>
              <w:left w:val="nil"/>
              <w:bottom w:val="single" w:sz="4" w:space="0" w:color="auto"/>
              <w:right w:val="single" w:sz="4" w:space="0" w:color="auto"/>
            </w:tcBorders>
            <w:shd w:val="clear" w:color="auto" w:fill="auto"/>
            <w:noWrap/>
            <w:vAlign w:val="center"/>
            <w:hideMark/>
          </w:tcPr>
          <w:p w:rsidR="0074755B" w:rsidRPr="0074755B" w:rsidRDefault="00232786">
            <w:pPr>
              <w:jc w:val="right"/>
              <w:rPr>
                <w:rFonts w:ascii="Calibri" w:hAnsi="Calibri" w:cs="Calibri"/>
                <w:color w:val="000000"/>
                <w:sz w:val="16"/>
                <w:szCs w:val="16"/>
              </w:rPr>
            </w:pPr>
            <w:r>
              <w:rPr>
                <w:rFonts w:ascii="Calibri" w:hAnsi="Calibri" w:cs="Calibri"/>
                <w:color w:val="000000"/>
                <w:sz w:val="16"/>
                <w:szCs w:val="16"/>
              </w:rPr>
              <w:t>0</w:t>
            </w:r>
            <w:r w:rsidR="0074755B" w:rsidRPr="0074755B">
              <w:rPr>
                <w:rFonts w:ascii="Calibri" w:hAnsi="Calibri" w:cs="Calibri"/>
                <w:color w:val="000000"/>
                <w:sz w:val="16"/>
                <w:szCs w:val="16"/>
              </w:rPr>
              <w:t>,00</w:t>
            </w:r>
          </w:p>
        </w:tc>
        <w:tc>
          <w:tcPr>
            <w:tcW w:w="103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r>
      <w:tr w:rsidR="0074755B" w:rsidRPr="0074755B" w:rsidTr="0074755B">
        <w:trPr>
          <w:trHeight w:val="244"/>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14032</w:t>
            </w:r>
          </w:p>
        </w:tc>
        <w:tc>
          <w:tcPr>
            <w:tcW w:w="4370" w:type="dxa"/>
            <w:tcBorders>
              <w:top w:val="nil"/>
              <w:left w:val="nil"/>
              <w:bottom w:val="single" w:sz="4" w:space="0" w:color="auto"/>
              <w:right w:val="single" w:sz="4" w:space="0" w:color="auto"/>
            </w:tcBorders>
            <w:shd w:val="clear" w:color="auto" w:fill="auto"/>
            <w:noWrap/>
            <w:vAlign w:val="bottom"/>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Prevence kriminality</w:t>
            </w:r>
          </w:p>
        </w:tc>
        <w:tc>
          <w:tcPr>
            <w:tcW w:w="56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neinv.</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18 080,00</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18 080,00</w:t>
            </w:r>
          </w:p>
        </w:tc>
        <w:tc>
          <w:tcPr>
            <w:tcW w:w="709"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c>
          <w:tcPr>
            <w:tcW w:w="103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r>
      <w:tr w:rsidR="0074755B" w:rsidRPr="0074755B" w:rsidTr="0074755B">
        <w:trPr>
          <w:trHeight w:val="244"/>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14990</w:t>
            </w:r>
          </w:p>
        </w:tc>
        <w:tc>
          <w:tcPr>
            <w:tcW w:w="4370" w:type="dxa"/>
            <w:tcBorders>
              <w:top w:val="nil"/>
              <w:left w:val="nil"/>
              <w:bottom w:val="single" w:sz="4" w:space="0" w:color="auto"/>
              <w:right w:val="single" w:sz="4" w:space="0" w:color="auto"/>
            </w:tcBorders>
            <w:shd w:val="clear" w:color="auto" w:fill="auto"/>
            <w:noWrap/>
            <w:vAlign w:val="bottom"/>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Modernizace a rozšíření zobrazovací stěny pro kamerový systém</w:t>
            </w:r>
          </w:p>
        </w:tc>
        <w:tc>
          <w:tcPr>
            <w:tcW w:w="56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inv.</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898 867,00</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898 867,00</w:t>
            </w:r>
          </w:p>
        </w:tc>
        <w:tc>
          <w:tcPr>
            <w:tcW w:w="709"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c>
          <w:tcPr>
            <w:tcW w:w="103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r>
      <w:tr w:rsidR="0074755B" w:rsidRPr="0074755B" w:rsidTr="0074755B">
        <w:trPr>
          <w:trHeight w:val="244"/>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33166</w:t>
            </w:r>
          </w:p>
        </w:tc>
        <w:tc>
          <w:tcPr>
            <w:tcW w:w="4370" w:type="dxa"/>
            <w:tcBorders>
              <w:top w:val="nil"/>
              <w:left w:val="nil"/>
              <w:bottom w:val="single" w:sz="4" w:space="0" w:color="auto"/>
              <w:right w:val="single" w:sz="4" w:space="0" w:color="auto"/>
            </w:tcBorders>
            <w:shd w:val="clear" w:color="auto" w:fill="auto"/>
            <w:noWrap/>
            <w:vAlign w:val="bottom"/>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Soutěže</w:t>
            </w:r>
          </w:p>
        </w:tc>
        <w:tc>
          <w:tcPr>
            <w:tcW w:w="56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neinv.</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356 569,20</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356 569,20</w:t>
            </w:r>
          </w:p>
        </w:tc>
        <w:tc>
          <w:tcPr>
            <w:tcW w:w="709"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c>
          <w:tcPr>
            <w:tcW w:w="103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r>
      <w:tr w:rsidR="0074755B" w:rsidRPr="0074755B" w:rsidTr="0074755B">
        <w:trPr>
          <w:trHeight w:val="244"/>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34053</w:t>
            </w:r>
          </w:p>
        </w:tc>
        <w:tc>
          <w:tcPr>
            <w:tcW w:w="4370" w:type="dxa"/>
            <w:tcBorders>
              <w:top w:val="nil"/>
              <w:left w:val="nil"/>
              <w:bottom w:val="single" w:sz="4" w:space="0" w:color="auto"/>
              <w:right w:val="single" w:sz="4" w:space="0" w:color="auto"/>
            </w:tcBorders>
            <w:shd w:val="clear" w:color="auto" w:fill="auto"/>
            <w:noWrap/>
            <w:vAlign w:val="bottom"/>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Účelové dotace na rozvoj inf. sítě veřejných knih.</w:t>
            </w:r>
          </w:p>
        </w:tc>
        <w:tc>
          <w:tcPr>
            <w:tcW w:w="56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neinv.</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60 000,00</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60 000,00</w:t>
            </w:r>
          </w:p>
        </w:tc>
        <w:tc>
          <w:tcPr>
            <w:tcW w:w="709"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c>
          <w:tcPr>
            <w:tcW w:w="103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r>
      <w:tr w:rsidR="0074755B" w:rsidRPr="0074755B" w:rsidTr="0074755B">
        <w:trPr>
          <w:trHeight w:val="244"/>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34054</w:t>
            </w:r>
          </w:p>
        </w:tc>
        <w:tc>
          <w:tcPr>
            <w:tcW w:w="4370" w:type="dxa"/>
            <w:tcBorders>
              <w:top w:val="nil"/>
              <w:left w:val="nil"/>
              <w:bottom w:val="single" w:sz="4" w:space="0" w:color="auto"/>
              <w:right w:val="single" w:sz="4" w:space="0" w:color="auto"/>
            </w:tcBorders>
            <w:shd w:val="clear" w:color="auto" w:fill="auto"/>
            <w:noWrap/>
            <w:vAlign w:val="bottom"/>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Účelové dotace na Program regenerace měst. památkové rezervace</w:t>
            </w:r>
          </w:p>
        </w:tc>
        <w:tc>
          <w:tcPr>
            <w:tcW w:w="56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neinv.</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570 000,00</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570 000,00</w:t>
            </w:r>
          </w:p>
        </w:tc>
        <w:tc>
          <w:tcPr>
            <w:tcW w:w="709"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c>
          <w:tcPr>
            <w:tcW w:w="103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r>
      <w:tr w:rsidR="0074755B" w:rsidRPr="0074755B" w:rsidTr="0074755B">
        <w:trPr>
          <w:trHeight w:val="244"/>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34070</w:t>
            </w:r>
          </w:p>
        </w:tc>
        <w:tc>
          <w:tcPr>
            <w:tcW w:w="4370" w:type="dxa"/>
            <w:tcBorders>
              <w:top w:val="nil"/>
              <w:left w:val="nil"/>
              <w:bottom w:val="single" w:sz="4" w:space="0" w:color="auto"/>
              <w:right w:val="single" w:sz="4" w:space="0" w:color="auto"/>
            </w:tcBorders>
            <w:shd w:val="clear" w:color="auto" w:fill="auto"/>
            <w:noWrap/>
            <w:vAlign w:val="bottom"/>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Účelové dotace na kulturní akce (aktivity)</w:t>
            </w:r>
          </w:p>
        </w:tc>
        <w:tc>
          <w:tcPr>
            <w:tcW w:w="56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neinv.</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300 000,00</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300 000,00</w:t>
            </w:r>
          </w:p>
        </w:tc>
        <w:tc>
          <w:tcPr>
            <w:tcW w:w="709"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c>
          <w:tcPr>
            <w:tcW w:w="103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r>
      <w:tr w:rsidR="0074755B" w:rsidRPr="0074755B" w:rsidTr="0074755B">
        <w:trPr>
          <w:trHeight w:val="244"/>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98008</w:t>
            </w:r>
          </w:p>
        </w:tc>
        <w:tc>
          <w:tcPr>
            <w:tcW w:w="4370" w:type="dxa"/>
            <w:tcBorders>
              <w:top w:val="nil"/>
              <w:left w:val="nil"/>
              <w:bottom w:val="single" w:sz="4" w:space="0" w:color="auto"/>
              <w:right w:val="single" w:sz="4" w:space="0" w:color="auto"/>
            </w:tcBorders>
            <w:shd w:val="clear" w:color="auto" w:fill="auto"/>
            <w:noWrap/>
            <w:vAlign w:val="bottom"/>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Účelové dotace na výdaje spojené s volbou prezidenta</w:t>
            </w:r>
          </w:p>
        </w:tc>
        <w:tc>
          <w:tcPr>
            <w:tcW w:w="56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neinv.</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428 600,00</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c>
          <w:tcPr>
            <w:tcW w:w="709"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c>
          <w:tcPr>
            <w:tcW w:w="103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428 600,00</w:t>
            </w:r>
          </w:p>
        </w:tc>
      </w:tr>
      <w:tr w:rsidR="0074755B" w:rsidRPr="0074755B" w:rsidTr="0074755B">
        <w:trPr>
          <w:trHeight w:val="244"/>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98043</w:t>
            </w:r>
          </w:p>
        </w:tc>
        <w:tc>
          <w:tcPr>
            <w:tcW w:w="4370" w:type="dxa"/>
            <w:tcBorders>
              <w:top w:val="nil"/>
              <w:left w:val="nil"/>
              <w:bottom w:val="single" w:sz="4" w:space="0" w:color="auto"/>
              <w:right w:val="single" w:sz="4" w:space="0" w:color="auto"/>
            </w:tcBorders>
            <w:shd w:val="clear" w:color="auto" w:fill="auto"/>
            <w:noWrap/>
            <w:vAlign w:val="bottom"/>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Jednorázový nenávratný příspěvek</w:t>
            </w:r>
          </w:p>
        </w:tc>
        <w:tc>
          <w:tcPr>
            <w:tcW w:w="56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neinv.</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2 967 290,34</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c>
          <w:tcPr>
            <w:tcW w:w="709"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c>
          <w:tcPr>
            <w:tcW w:w="103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r>
      <w:tr w:rsidR="0074755B" w:rsidRPr="0074755B" w:rsidTr="0074755B">
        <w:trPr>
          <w:trHeight w:val="244"/>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98187</w:t>
            </w:r>
          </w:p>
        </w:tc>
        <w:tc>
          <w:tcPr>
            <w:tcW w:w="4370" w:type="dxa"/>
            <w:tcBorders>
              <w:top w:val="nil"/>
              <w:left w:val="nil"/>
              <w:bottom w:val="single" w:sz="4" w:space="0" w:color="auto"/>
              <w:right w:val="single" w:sz="4" w:space="0" w:color="auto"/>
            </w:tcBorders>
            <w:shd w:val="clear" w:color="auto" w:fill="auto"/>
            <w:noWrap/>
            <w:vAlign w:val="bottom"/>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Volby do Senátu a do zastupitelstev obcí</w:t>
            </w:r>
          </w:p>
        </w:tc>
        <w:tc>
          <w:tcPr>
            <w:tcW w:w="56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rPr>
                <w:rFonts w:ascii="Calibri" w:hAnsi="Calibri" w:cs="Calibri"/>
                <w:sz w:val="16"/>
                <w:szCs w:val="16"/>
              </w:rPr>
            </w:pPr>
            <w:r w:rsidRPr="0074755B">
              <w:rPr>
                <w:rFonts w:ascii="Calibri" w:hAnsi="Calibri" w:cs="Calibri"/>
                <w:sz w:val="16"/>
                <w:szCs w:val="16"/>
              </w:rPr>
              <w:t>neinv.</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1 428 000,00</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1 475 354,42</w:t>
            </w:r>
          </w:p>
        </w:tc>
        <w:tc>
          <w:tcPr>
            <w:tcW w:w="709"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c>
          <w:tcPr>
            <w:tcW w:w="103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-47 354,42</w:t>
            </w:r>
          </w:p>
        </w:tc>
      </w:tr>
      <w:tr w:rsidR="0074755B" w:rsidRPr="0074755B" w:rsidTr="0074755B">
        <w:trPr>
          <w:trHeight w:val="244"/>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60190006</w:t>
            </w:r>
          </w:p>
        </w:tc>
        <w:tc>
          <w:tcPr>
            <w:tcW w:w="4370" w:type="dxa"/>
            <w:tcBorders>
              <w:top w:val="nil"/>
              <w:left w:val="nil"/>
              <w:bottom w:val="single" w:sz="4" w:space="0" w:color="auto"/>
              <w:right w:val="single" w:sz="4" w:space="0" w:color="auto"/>
            </w:tcBorders>
            <w:shd w:val="clear" w:color="auto" w:fill="auto"/>
            <w:noWrap/>
            <w:vAlign w:val="bottom"/>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Lepší města pro život</w:t>
            </w:r>
          </w:p>
        </w:tc>
        <w:tc>
          <w:tcPr>
            <w:tcW w:w="56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rPr>
                <w:rFonts w:ascii="Calibri" w:hAnsi="Calibri" w:cs="Calibri"/>
                <w:sz w:val="16"/>
                <w:szCs w:val="16"/>
              </w:rPr>
            </w:pPr>
            <w:r w:rsidRPr="0074755B">
              <w:rPr>
                <w:rFonts w:ascii="Calibri" w:hAnsi="Calibri" w:cs="Calibri"/>
                <w:sz w:val="16"/>
                <w:szCs w:val="16"/>
              </w:rPr>
              <w:t>neinv.</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19 601,59</w:t>
            </w:r>
          </w:p>
        </w:tc>
        <w:tc>
          <w:tcPr>
            <w:tcW w:w="709"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c>
          <w:tcPr>
            <w:tcW w:w="103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r>
      <w:tr w:rsidR="0074755B" w:rsidRPr="0074755B" w:rsidTr="0074755B">
        <w:trPr>
          <w:trHeight w:val="244"/>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60590003</w:t>
            </w:r>
          </w:p>
        </w:tc>
        <w:tc>
          <w:tcPr>
            <w:tcW w:w="4370" w:type="dxa"/>
            <w:tcBorders>
              <w:top w:val="nil"/>
              <w:left w:val="nil"/>
              <w:bottom w:val="single" w:sz="4" w:space="0" w:color="auto"/>
              <w:right w:val="single" w:sz="4" w:space="0" w:color="auto"/>
            </w:tcBorders>
            <w:shd w:val="clear" w:color="auto" w:fill="auto"/>
            <w:noWrap/>
            <w:vAlign w:val="bottom"/>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Lepší města pro život</w:t>
            </w:r>
          </w:p>
        </w:tc>
        <w:tc>
          <w:tcPr>
            <w:tcW w:w="56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rPr>
                <w:rFonts w:ascii="Calibri" w:hAnsi="Calibri" w:cs="Calibri"/>
                <w:sz w:val="16"/>
                <w:szCs w:val="16"/>
              </w:rPr>
            </w:pPr>
            <w:r w:rsidRPr="0074755B">
              <w:rPr>
                <w:rFonts w:ascii="Calibri" w:hAnsi="Calibri" w:cs="Calibri"/>
                <w:sz w:val="16"/>
                <w:szCs w:val="16"/>
              </w:rPr>
              <w:t>neinv.</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111 075,86</w:t>
            </w:r>
          </w:p>
        </w:tc>
        <w:tc>
          <w:tcPr>
            <w:tcW w:w="709"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c>
          <w:tcPr>
            <w:tcW w:w="103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r>
      <w:tr w:rsidR="0074755B" w:rsidRPr="0074755B" w:rsidTr="0074755B">
        <w:trPr>
          <w:trHeight w:val="244"/>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103133063</w:t>
            </w:r>
          </w:p>
        </w:tc>
        <w:tc>
          <w:tcPr>
            <w:tcW w:w="4370" w:type="dxa"/>
            <w:tcBorders>
              <w:top w:val="nil"/>
              <w:left w:val="nil"/>
              <w:bottom w:val="single" w:sz="4" w:space="0" w:color="auto"/>
              <w:right w:val="single" w:sz="4" w:space="0" w:color="auto"/>
            </w:tcBorders>
            <w:shd w:val="clear" w:color="auto" w:fill="auto"/>
            <w:noWrap/>
            <w:vAlign w:val="bottom"/>
            <w:hideMark/>
          </w:tcPr>
          <w:p w:rsidR="0074755B" w:rsidRPr="0074755B" w:rsidRDefault="0074755B">
            <w:pPr>
              <w:rPr>
                <w:rFonts w:ascii="Calibri" w:hAnsi="Calibri" w:cs="Calibri"/>
                <w:color w:val="000000"/>
                <w:sz w:val="16"/>
                <w:szCs w:val="16"/>
              </w:rPr>
            </w:pPr>
            <w:r>
              <w:rPr>
                <w:rFonts w:ascii="Calibri" w:hAnsi="Calibri" w:cs="Calibri"/>
                <w:color w:val="000000"/>
                <w:sz w:val="16"/>
                <w:szCs w:val="16"/>
              </w:rPr>
              <w:t>OP VVV - proje</w:t>
            </w:r>
            <w:r w:rsidRPr="0074755B">
              <w:rPr>
                <w:rFonts w:ascii="Calibri" w:hAnsi="Calibri" w:cs="Calibri"/>
                <w:color w:val="000000"/>
                <w:sz w:val="16"/>
                <w:szCs w:val="16"/>
              </w:rPr>
              <w:t>k</w:t>
            </w:r>
            <w:r>
              <w:rPr>
                <w:rFonts w:ascii="Calibri" w:hAnsi="Calibri" w:cs="Calibri"/>
                <w:color w:val="000000"/>
                <w:sz w:val="16"/>
                <w:szCs w:val="16"/>
              </w:rPr>
              <w:t>t</w:t>
            </w:r>
            <w:r w:rsidRPr="0074755B">
              <w:rPr>
                <w:rFonts w:ascii="Calibri" w:hAnsi="Calibri" w:cs="Calibri"/>
                <w:color w:val="000000"/>
                <w:sz w:val="16"/>
                <w:szCs w:val="16"/>
              </w:rPr>
              <w:t>y využívající zjednodušené vykazování</w:t>
            </w:r>
          </w:p>
        </w:tc>
        <w:tc>
          <w:tcPr>
            <w:tcW w:w="56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neinv.</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101 316,61</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101 316,61</w:t>
            </w:r>
          </w:p>
        </w:tc>
        <w:tc>
          <w:tcPr>
            <w:tcW w:w="709"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c>
          <w:tcPr>
            <w:tcW w:w="103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r>
      <w:tr w:rsidR="0074755B" w:rsidRPr="0074755B" w:rsidTr="0074755B">
        <w:trPr>
          <w:trHeight w:val="244"/>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103533063</w:t>
            </w:r>
          </w:p>
        </w:tc>
        <w:tc>
          <w:tcPr>
            <w:tcW w:w="4370" w:type="dxa"/>
            <w:tcBorders>
              <w:top w:val="nil"/>
              <w:left w:val="nil"/>
              <w:bottom w:val="single" w:sz="4" w:space="0" w:color="auto"/>
              <w:right w:val="single" w:sz="4" w:space="0" w:color="auto"/>
            </w:tcBorders>
            <w:shd w:val="clear" w:color="auto" w:fill="auto"/>
            <w:noWrap/>
            <w:vAlign w:val="bottom"/>
            <w:hideMark/>
          </w:tcPr>
          <w:p w:rsidR="0074755B" w:rsidRPr="0074755B" w:rsidRDefault="0074755B">
            <w:pPr>
              <w:rPr>
                <w:rFonts w:ascii="Calibri" w:hAnsi="Calibri" w:cs="Calibri"/>
                <w:color w:val="000000"/>
                <w:sz w:val="16"/>
                <w:szCs w:val="16"/>
              </w:rPr>
            </w:pPr>
            <w:r>
              <w:rPr>
                <w:rFonts w:ascii="Calibri" w:hAnsi="Calibri" w:cs="Calibri"/>
                <w:color w:val="000000"/>
                <w:sz w:val="16"/>
                <w:szCs w:val="16"/>
              </w:rPr>
              <w:t>OP VVV - proje</w:t>
            </w:r>
            <w:r w:rsidRPr="0074755B">
              <w:rPr>
                <w:rFonts w:ascii="Calibri" w:hAnsi="Calibri" w:cs="Calibri"/>
                <w:color w:val="000000"/>
                <w:sz w:val="16"/>
                <w:szCs w:val="16"/>
              </w:rPr>
              <w:t>k</w:t>
            </w:r>
            <w:r>
              <w:rPr>
                <w:rFonts w:ascii="Calibri" w:hAnsi="Calibri" w:cs="Calibri"/>
                <w:color w:val="000000"/>
                <w:sz w:val="16"/>
                <w:szCs w:val="16"/>
              </w:rPr>
              <w:t>t</w:t>
            </w:r>
            <w:r w:rsidRPr="0074755B">
              <w:rPr>
                <w:rFonts w:ascii="Calibri" w:hAnsi="Calibri" w:cs="Calibri"/>
                <w:color w:val="000000"/>
                <w:sz w:val="16"/>
                <w:szCs w:val="16"/>
              </w:rPr>
              <w:t>y využívající zjednodušené vykazování</w:t>
            </w:r>
          </w:p>
        </w:tc>
        <w:tc>
          <w:tcPr>
            <w:tcW w:w="56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neinv.</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574 127,39</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574 127,39</w:t>
            </w:r>
          </w:p>
        </w:tc>
        <w:tc>
          <w:tcPr>
            <w:tcW w:w="709"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c>
          <w:tcPr>
            <w:tcW w:w="103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r>
      <w:tr w:rsidR="0074755B" w:rsidRPr="0074755B" w:rsidTr="0074755B">
        <w:trPr>
          <w:trHeight w:val="244"/>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104113013</w:t>
            </w:r>
          </w:p>
        </w:tc>
        <w:tc>
          <w:tcPr>
            <w:tcW w:w="4370" w:type="dxa"/>
            <w:tcBorders>
              <w:top w:val="nil"/>
              <w:left w:val="nil"/>
              <w:bottom w:val="single" w:sz="4" w:space="0" w:color="auto"/>
              <w:right w:val="single" w:sz="4" w:space="0" w:color="auto"/>
            </w:tcBorders>
            <w:shd w:val="clear" w:color="auto" w:fill="auto"/>
            <w:noWrap/>
            <w:vAlign w:val="bottom"/>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Veřejně prospěšné práce</w:t>
            </w:r>
          </w:p>
        </w:tc>
        <w:tc>
          <w:tcPr>
            <w:tcW w:w="56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neinv.</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56 664,00</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43 158,00</w:t>
            </w:r>
          </w:p>
        </w:tc>
        <w:tc>
          <w:tcPr>
            <w:tcW w:w="709"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c>
          <w:tcPr>
            <w:tcW w:w="103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r>
      <w:tr w:rsidR="0074755B" w:rsidRPr="0074755B" w:rsidTr="0074755B">
        <w:trPr>
          <w:trHeight w:val="244"/>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104513013</w:t>
            </w:r>
          </w:p>
        </w:tc>
        <w:tc>
          <w:tcPr>
            <w:tcW w:w="4370" w:type="dxa"/>
            <w:tcBorders>
              <w:top w:val="nil"/>
              <w:left w:val="nil"/>
              <w:bottom w:val="single" w:sz="4" w:space="0" w:color="auto"/>
              <w:right w:val="single" w:sz="4" w:space="0" w:color="auto"/>
            </w:tcBorders>
            <w:shd w:val="clear" w:color="auto" w:fill="auto"/>
            <w:noWrap/>
            <w:vAlign w:val="bottom"/>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Veřejně prospěšné práce</w:t>
            </w:r>
          </w:p>
        </w:tc>
        <w:tc>
          <w:tcPr>
            <w:tcW w:w="56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neinv.</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300 136,00</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228 842,00</w:t>
            </w:r>
          </w:p>
        </w:tc>
        <w:tc>
          <w:tcPr>
            <w:tcW w:w="709"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c>
          <w:tcPr>
            <w:tcW w:w="103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r>
      <w:tr w:rsidR="0074755B" w:rsidRPr="0074755B" w:rsidTr="0074755B">
        <w:trPr>
          <w:trHeight w:val="244"/>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107117968</w:t>
            </w:r>
          </w:p>
        </w:tc>
        <w:tc>
          <w:tcPr>
            <w:tcW w:w="4370" w:type="dxa"/>
            <w:tcBorders>
              <w:top w:val="nil"/>
              <w:left w:val="nil"/>
              <w:bottom w:val="single" w:sz="4" w:space="0" w:color="auto"/>
              <w:right w:val="single" w:sz="4" w:space="0" w:color="auto"/>
            </w:tcBorders>
            <w:shd w:val="clear" w:color="auto" w:fill="auto"/>
            <w:noWrap/>
            <w:vAlign w:val="bottom"/>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IROP - Integrovaný regionální OP - program č. 1170</w:t>
            </w:r>
          </w:p>
        </w:tc>
        <w:tc>
          <w:tcPr>
            <w:tcW w:w="56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inv.</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19 932,66</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c>
          <w:tcPr>
            <w:tcW w:w="709"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c>
          <w:tcPr>
            <w:tcW w:w="103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r>
      <w:tr w:rsidR="0074755B" w:rsidRPr="0074755B" w:rsidTr="0074755B">
        <w:trPr>
          <w:trHeight w:val="244"/>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107517969</w:t>
            </w:r>
          </w:p>
        </w:tc>
        <w:tc>
          <w:tcPr>
            <w:tcW w:w="4370" w:type="dxa"/>
            <w:tcBorders>
              <w:top w:val="nil"/>
              <w:left w:val="nil"/>
              <w:bottom w:val="single" w:sz="4" w:space="0" w:color="auto"/>
              <w:right w:val="single" w:sz="4" w:space="0" w:color="auto"/>
            </w:tcBorders>
            <w:shd w:val="clear" w:color="auto" w:fill="auto"/>
            <w:noWrap/>
            <w:vAlign w:val="bottom"/>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IROP - Integrovaný regionální OP - program č. 1170</w:t>
            </w:r>
          </w:p>
        </w:tc>
        <w:tc>
          <w:tcPr>
            <w:tcW w:w="56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inv.</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338 855,21</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c>
          <w:tcPr>
            <w:tcW w:w="709"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c>
          <w:tcPr>
            <w:tcW w:w="103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r>
      <w:tr w:rsidR="0074755B" w:rsidRPr="0074755B" w:rsidTr="0074755B">
        <w:trPr>
          <w:trHeight w:val="244"/>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120113014</w:t>
            </w:r>
          </w:p>
        </w:tc>
        <w:tc>
          <w:tcPr>
            <w:tcW w:w="4370" w:type="dxa"/>
            <w:tcBorders>
              <w:top w:val="nil"/>
              <w:left w:val="nil"/>
              <w:bottom w:val="single" w:sz="4" w:space="0" w:color="auto"/>
              <w:right w:val="single" w:sz="4" w:space="0" w:color="auto"/>
            </w:tcBorders>
            <w:shd w:val="clear" w:color="auto" w:fill="auto"/>
            <w:noWrap/>
            <w:vAlign w:val="bottom"/>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Obědy do škol Olomouckého kraje</w:t>
            </w:r>
          </w:p>
        </w:tc>
        <w:tc>
          <w:tcPr>
            <w:tcW w:w="56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neinv.</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13 987,66</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13 987,66</w:t>
            </w:r>
          </w:p>
        </w:tc>
        <w:tc>
          <w:tcPr>
            <w:tcW w:w="709"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c>
          <w:tcPr>
            <w:tcW w:w="103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r>
      <w:tr w:rsidR="0074755B" w:rsidRPr="0074755B" w:rsidTr="0074755B">
        <w:trPr>
          <w:trHeight w:val="244"/>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120513014</w:t>
            </w:r>
          </w:p>
        </w:tc>
        <w:tc>
          <w:tcPr>
            <w:tcW w:w="4370" w:type="dxa"/>
            <w:tcBorders>
              <w:top w:val="nil"/>
              <w:left w:val="nil"/>
              <w:bottom w:val="single" w:sz="4" w:space="0" w:color="auto"/>
              <w:right w:val="single" w:sz="4" w:space="0" w:color="auto"/>
            </w:tcBorders>
            <w:shd w:val="clear" w:color="auto" w:fill="auto"/>
            <w:noWrap/>
            <w:vAlign w:val="bottom"/>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Obědy do škol Olomouckého kraje</w:t>
            </w:r>
          </w:p>
        </w:tc>
        <w:tc>
          <w:tcPr>
            <w:tcW w:w="56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neinv.</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79 263,38</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79 263,38</w:t>
            </w:r>
          </w:p>
        </w:tc>
        <w:tc>
          <w:tcPr>
            <w:tcW w:w="709"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c>
          <w:tcPr>
            <w:tcW w:w="103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r>
      <w:tr w:rsidR="0074755B" w:rsidRPr="0074755B" w:rsidTr="0074755B">
        <w:trPr>
          <w:trHeight w:val="244"/>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143133092</w:t>
            </w:r>
          </w:p>
        </w:tc>
        <w:tc>
          <w:tcPr>
            <w:tcW w:w="4370" w:type="dxa"/>
            <w:tcBorders>
              <w:top w:val="nil"/>
              <w:left w:val="nil"/>
              <w:bottom w:val="single" w:sz="4" w:space="0" w:color="auto"/>
              <w:right w:val="single" w:sz="4" w:space="0" w:color="auto"/>
            </w:tcBorders>
            <w:shd w:val="clear" w:color="auto" w:fill="auto"/>
            <w:noWrap/>
            <w:vAlign w:val="bottom"/>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Op. prog. J. A. Komenský - projekty využívající zjed</w:t>
            </w:r>
            <w:r>
              <w:rPr>
                <w:rFonts w:ascii="Calibri" w:hAnsi="Calibri" w:cs="Calibri"/>
                <w:color w:val="000000"/>
                <w:sz w:val="16"/>
                <w:szCs w:val="16"/>
              </w:rPr>
              <w:t>nod</w:t>
            </w:r>
            <w:r w:rsidRPr="0074755B">
              <w:rPr>
                <w:rFonts w:ascii="Calibri" w:hAnsi="Calibri" w:cs="Calibri"/>
                <w:color w:val="000000"/>
                <w:sz w:val="16"/>
                <w:szCs w:val="16"/>
              </w:rPr>
              <w:t>ušené vykazování nákl.</w:t>
            </w:r>
          </w:p>
        </w:tc>
        <w:tc>
          <w:tcPr>
            <w:tcW w:w="56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neinv.</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962 797,13</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962 797,13</w:t>
            </w:r>
          </w:p>
        </w:tc>
        <w:tc>
          <w:tcPr>
            <w:tcW w:w="709"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c>
          <w:tcPr>
            <w:tcW w:w="103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r>
      <w:tr w:rsidR="0074755B" w:rsidRPr="0074755B" w:rsidTr="0074755B">
        <w:trPr>
          <w:trHeight w:val="244"/>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143533092</w:t>
            </w:r>
          </w:p>
        </w:tc>
        <w:tc>
          <w:tcPr>
            <w:tcW w:w="4370" w:type="dxa"/>
            <w:tcBorders>
              <w:top w:val="nil"/>
              <w:left w:val="nil"/>
              <w:bottom w:val="single" w:sz="4" w:space="0" w:color="auto"/>
              <w:right w:val="single" w:sz="4" w:space="0" w:color="auto"/>
            </w:tcBorders>
            <w:shd w:val="clear" w:color="auto" w:fill="auto"/>
            <w:noWrap/>
            <w:vAlign w:val="bottom"/>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Op. prog. J. A. Komenský - projekty využívající zjed</w:t>
            </w:r>
            <w:r>
              <w:rPr>
                <w:rFonts w:ascii="Calibri" w:hAnsi="Calibri" w:cs="Calibri"/>
                <w:color w:val="000000"/>
                <w:sz w:val="16"/>
                <w:szCs w:val="16"/>
              </w:rPr>
              <w:t>nod</w:t>
            </w:r>
            <w:r w:rsidRPr="0074755B">
              <w:rPr>
                <w:rFonts w:ascii="Calibri" w:hAnsi="Calibri" w:cs="Calibri"/>
                <w:color w:val="000000"/>
                <w:sz w:val="16"/>
                <w:szCs w:val="16"/>
              </w:rPr>
              <w:t>ušené vykazování nákl.</w:t>
            </w:r>
          </w:p>
        </w:tc>
        <w:tc>
          <w:tcPr>
            <w:tcW w:w="56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neinv.</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3 175 595,87</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3 175 595,87</w:t>
            </w:r>
          </w:p>
        </w:tc>
        <w:tc>
          <w:tcPr>
            <w:tcW w:w="709"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c>
          <w:tcPr>
            <w:tcW w:w="103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r>
      <w:tr w:rsidR="0074755B" w:rsidRPr="0074755B" w:rsidTr="0074755B">
        <w:trPr>
          <w:trHeight w:val="244"/>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170522504</w:t>
            </w:r>
          </w:p>
        </w:tc>
        <w:tc>
          <w:tcPr>
            <w:tcW w:w="4370" w:type="dxa"/>
            <w:tcBorders>
              <w:top w:val="nil"/>
              <w:left w:val="nil"/>
              <w:bottom w:val="single" w:sz="4" w:space="0" w:color="auto"/>
              <w:right w:val="single" w:sz="4" w:space="0" w:color="auto"/>
            </w:tcBorders>
            <w:shd w:val="clear" w:color="auto" w:fill="auto"/>
            <w:noWrap/>
            <w:vAlign w:val="bottom"/>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Rekonstrukce osvětlení MPO</w:t>
            </w:r>
          </w:p>
        </w:tc>
        <w:tc>
          <w:tcPr>
            <w:tcW w:w="56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rPr>
                <w:rFonts w:ascii="Calibri" w:hAnsi="Calibri" w:cs="Calibri"/>
                <w:color w:val="000000"/>
                <w:sz w:val="16"/>
                <w:szCs w:val="16"/>
              </w:rPr>
            </w:pPr>
            <w:r w:rsidRPr="0074755B">
              <w:rPr>
                <w:rFonts w:ascii="Calibri" w:hAnsi="Calibri" w:cs="Calibri"/>
                <w:color w:val="000000"/>
                <w:sz w:val="16"/>
                <w:szCs w:val="16"/>
              </w:rPr>
              <w:t>inv.</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1 738 920,00</w:t>
            </w:r>
          </w:p>
        </w:tc>
        <w:tc>
          <w:tcPr>
            <w:tcW w:w="1134"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c>
          <w:tcPr>
            <w:tcW w:w="709"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c>
          <w:tcPr>
            <w:tcW w:w="1037" w:type="dxa"/>
            <w:tcBorders>
              <w:top w:val="nil"/>
              <w:left w:val="nil"/>
              <w:bottom w:val="single" w:sz="4" w:space="0" w:color="auto"/>
              <w:right w:val="single" w:sz="4" w:space="0" w:color="auto"/>
            </w:tcBorders>
            <w:shd w:val="clear" w:color="auto" w:fill="auto"/>
            <w:noWrap/>
            <w:vAlign w:val="center"/>
            <w:hideMark/>
          </w:tcPr>
          <w:p w:rsidR="0074755B" w:rsidRPr="0074755B" w:rsidRDefault="0074755B">
            <w:pPr>
              <w:jc w:val="right"/>
              <w:rPr>
                <w:rFonts w:ascii="Calibri" w:hAnsi="Calibri" w:cs="Calibri"/>
                <w:color w:val="000000"/>
                <w:sz w:val="16"/>
                <w:szCs w:val="16"/>
              </w:rPr>
            </w:pPr>
            <w:r w:rsidRPr="0074755B">
              <w:rPr>
                <w:rFonts w:ascii="Calibri" w:hAnsi="Calibri" w:cs="Calibri"/>
                <w:color w:val="000000"/>
                <w:sz w:val="16"/>
                <w:szCs w:val="16"/>
              </w:rPr>
              <w:t>0,00</w:t>
            </w:r>
          </w:p>
        </w:tc>
      </w:tr>
      <w:tr w:rsidR="0074755B" w:rsidRPr="0074755B" w:rsidTr="0074755B">
        <w:trPr>
          <w:trHeight w:val="244"/>
        </w:trPr>
        <w:tc>
          <w:tcPr>
            <w:tcW w:w="5807" w:type="dxa"/>
            <w:gridSpan w:val="3"/>
            <w:tcBorders>
              <w:top w:val="single" w:sz="4" w:space="0" w:color="auto"/>
              <w:left w:val="single" w:sz="4" w:space="0" w:color="auto"/>
              <w:bottom w:val="single" w:sz="4" w:space="0" w:color="auto"/>
              <w:right w:val="single" w:sz="4" w:space="0" w:color="auto"/>
            </w:tcBorders>
            <w:shd w:val="clear" w:color="000000" w:fill="B7DEE8"/>
            <w:noWrap/>
            <w:vAlign w:val="center"/>
            <w:hideMark/>
          </w:tcPr>
          <w:p w:rsidR="0074755B" w:rsidRPr="0074755B" w:rsidRDefault="0074755B">
            <w:pPr>
              <w:rPr>
                <w:rFonts w:ascii="Calibri" w:hAnsi="Calibri" w:cs="Calibri"/>
                <w:b/>
                <w:bCs/>
                <w:color w:val="000000"/>
                <w:sz w:val="16"/>
                <w:szCs w:val="16"/>
              </w:rPr>
            </w:pPr>
            <w:r w:rsidRPr="0074755B">
              <w:rPr>
                <w:rFonts w:ascii="Calibri" w:hAnsi="Calibri" w:cs="Calibri"/>
                <w:b/>
                <w:bCs/>
                <w:color w:val="000000"/>
                <w:sz w:val="16"/>
                <w:szCs w:val="16"/>
              </w:rPr>
              <w:t>Celkem</w:t>
            </w:r>
          </w:p>
        </w:tc>
        <w:tc>
          <w:tcPr>
            <w:tcW w:w="1134" w:type="dxa"/>
            <w:tcBorders>
              <w:top w:val="nil"/>
              <w:left w:val="nil"/>
              <w:bottom w:val="single" w:sz="4" w:space="0" w:color="auto"/>
              <w:right w:val="single" w:sz="4" w:space="0" w:color="auto"/>
            </w:tcBorders>
            <w:shd w:val="clear" w:color="000000" w:fill="B7DEE8"/>
            <w:noWrap/>
            <w:vAlign w:val="center"/>
            <w:hideMark/>
          </w:tcPr>
          <w:p w:rsidR="0074755B" w:rsidRPr="0074755B" w:rsidRDefault="0074755B">
            <w:pPr>
              <w:jc w:val="right"/>
              <w:rPr>
                <w:rFonts w:ascii="Calibri" w:hAnsi="Calibri" w:cs="Calibri"/>
                <w:b/>
                <w:bCs/>
                <w:color w:val="000000"/>
                <w:sz w:val="16"/>
                <w:szCs w:val="16"/>
              </w:rPr>
            </w:pPr>
            <w:r w:rsidRPr="0074755B">
              <w:rPr>
                <w:rFonts w:ascii="Calibri" w:hAnsi="Calibri" w:cs="Calibri"/>
                <w:b/>
                <w:bCs/>
                <w:color w:val="000000"/>
                <w:sz w:val="16"/>
                <w:szCs w:val="16"/>
              </w:rPr>
              <w:t>41 060 224,25</w:t>
            </w:r>
          </w:p>
        </w:tc>
        <w:tc>
          <w:tcPr>
            <w:tcW w:w="1134" w:type="dxa"/>
            <w:tcBorders>
              <w:top w:val="nil"/>
              <w:left w:val="nil"/>
              <w:bottom w:val="single" w:sz="4" w:space="0" w:color="auto"/>
              <w:right w:val="single" w:sz="4" w:space="0" w:color="auto"/>
            </w:tcBorders>
            <w:shd w:val="clear" w:color="000000" w:fill="B7DEE8"/>
            <w:noWrap/>
            <w:vAlign w:val="center"/>
            <w:hideMark/>
          </w:tcPr>
          <w:p w:rsidR="0074755B" w:rsidRPr="0074755B" w:rsidRDefault="0074755B">
            <w:pPr>
              <w:jc w:val="right"/>
              <w:rPr>
                <w:rFonts w:ascii="Calibri" w:hAnsi="Calibri" w:cs="Calibri"/>
                <w:b/>
                <w:bCs/>
                <w:color w:val="000000"/>
                <w:sz w:val="16"/>
                <w:szCs w:val="16"/>
              </w:rPr>
            </w:pPr>
            <w:r w:rsidRPr="0074755B">
              <w:rPr>
                <w:rFonts w:ascii="Calibri" w:hAnsi="Calibri" w:cs="Calibri"/>
                <w:b/>
                <w:bCs/>
                <w:color w:val="000000"/>
                <w:sz w:val="16"/>
                <w:szCs w:val="16"/>
              </w:rPr>
              <w:t>36 813 167,61</w:t>
            </w:r>
          </w:p>
        </w:tc>
        <w:tc>
          <w:tcPr>
            <w:tcW w:w="709" w:type="dxa"/>
            <w:tcBorders>
              <w:top w:val="nil"/>
              <w:left w:val="nil"/>
              <w:bottom w:val="single" w:sz="4" w:space="0" w:color="auto"/>
              <w:right w:val="single" w:sz="4" w:space="0" w:color="auto"/>
            </w:tcBorders>
            <w:shd w:val="clear" w:color="000000" w:fill="B7DEE8"/>
            <w:noWrap/>
            <w:vAlign w:val="center"/>
            <w:hideMark/>
          </w:tcPr>
          <w:p w:rsidR="0074755B" w:rsidRPr="0074755B" w:rsidRDefault="00232786">
            <w:pPr>
              <w:jc w:val="right"/>
              <w:rPr>
                <w:rFonts w:ascii="Calibri" w:hAnsi="Calibri" w:cs="Calibri"/>
                <w:b/>
                <w:bCs/>
                <w:color w:val="000000"/>
                <w:sz w:val="16"/>
                <w:szCs w:val="16"/>
              </w:rPr>
            </w:pPr>
            <w:r>
              <w:rPr>
                <w:rFonts w:ascii="Calibri" w:hAnsi="Calibri" w:cs="Calibri"/>
                <w:b/>
                <w:bCs/>
                <w:color w:val="000000"/>
                <w:sz w:val="16"/>
                <w:szCs w:val="16"/>
              </w:rPr>
              <w:t>0</w:t>
            </w:r>
            <w:bookmarkStart w:id="54" w:name="_GoBack"/>
            <w:bookmarkEnd w:id="54"/>
            <w:r w:rsidR="0074755B" w:rsidRPr="0074755B">
              <w:rPr>
                <w:rFonts w:ascii="Calibri" w:hAnsi="Calibri" w:cs="Calibri"/>
                <w:b/>
                <w:bCs/>
                <w:color w:val="000000"/>
                <w:sz w:val="16"/>
                <w:szCs w:val="16"/>
              </w:rPr>
              <w:t>,00</w:t>
            </w:r>
          </w:p>
        </w:tc>
        <w:tc>
          <w:tcPr>
            <w:tcW w:w="1037" w:type="dxa"/>
            <w:tcBorders>
              <w:top w:val="nil"/>
              <w:left w:val="nil"/>
              <w:bottom w:val="single" w:sz="4" w:space="0" w:color="auto"/>
              <w:right w:val="single" w:sz="4" w:space="0" w:color="auto"/>
            </w:tcBorders>
            <w:shd w:val="clear" w:color="000000" w:fill="B7DEE8"/>
            <w:noWrap/>
            <w:vAlign w:val="center"/>
            <w:hideMark/>
          </w:tcPr>
          <w:p w:rsidR="0074755B" w:rsidRPr="0074755B" w:rsidRDefault="0074755B">
            <w:pPr>
              <w:jc w:val="right"/>
              <w:rPr>
                <w:rFonts w:ascii="Calibri" w:hAnsi="Calibri" w:cs="Calibri"/>
                <w:b/>
                <w:bCs/>
                <w:color w:val="000000"/>
                <w:sz w:val="16"/>
                <w:szCs w:val="16"/>
              </w:rPr>
            </w:pPr>
            <w:r w:rsidRPr="0074755B">
              <w:rPr>
                <w:rFonts w:ascii="Calibri" w:hAnsi="Calibri" w:cs="Calibri"/>
                <w:b/>
                <w:bCs/>
                <w:color w:val="000000"/>
                <w:sz w:val="16"/>
                <w:szCs w:val="16"/>
              </w:rPr>
              <w:t>-2 446 349,42</w:t>
            </w:r>
          </w:p>
        </w:tc>
      </w:tr>
    </w:tbl>
    <w:p w:rsidR="0074755B" w:rsidRDefault="0074755B" w:rsidP="0074755B"/>
    <w:p w:rsidR="0074755B" w:rsidRPr="0074755B" w:rsidRDefault="0074755B" w:rsidP="0074755B"/>
    <w:p w:rsidR="00782685" w:rsidRDefault="00782685" w:rsidP="00FC67B3">
      <w:pPr>
        <w:pStyle w:val="Default"/>
        <w:jc w:val="both"/>
        <w:rPr>
          <w:rFonts w:ascii="Calibri" w:hAnsi="Calibri"/>
          <w:sz w:val="22"/>
          <w:szCs w:val="22"/>
        </w:rPr>
      </w:pPr>
      <w:r w:rsidRPr="00782685">
        <w:rPr>
          <w:rFonts w:ascii="Calibri" w:hAnsi="Calibri"/>
          <w:sz w:val="22"/>
          <w:szCs w:val="22"/>
        </w:rPr>
        <w:t xml:space="preserve">ÚZ </w:t>
      </w:r>
      <w:r w:rsidR="00FC67B3">
        <w:rPr>
          <w:rFonts w:ascii="Calibri" w:hAnsi="Calibri"/>
          <w:sz w:val="22"/>
          <w:szCs w:val="22"/>
        </w:rPr>
        <w:t>13011 – Dotace na výkon činnosti obce s rozšířenou působností – sociálně-právní ochrana dětí: jedná se o dokrytí rozdílu mezi skutečnými výdaji vzniklými v souvislosti s výkonem sociálně-právní ochrany dětí v průběhu roku 2021 a poskytnutou dotací v roce 2021 (doplatek roku 2021).</w:t>
      </w:r>
    </w:p>
    <w:p w:rsidR="00FC67B3" w:rsidRDefault="00FC67B3" w:rsidP="00FC67B3">
      <w:pPr>
        <w:pStyle w:val="Default"/>
        <w:jc w:val="both"/>
        <w:rPr>
          <w:rFonts w:ascii="Calibri" w:hAnsi="Calibri"/>
          <w:sz w:val="22"/>
          <w:szCs w:val="22"/>
        </w:rPr>
      </w:pPr>
    </w:p>
    <w:p w:rsidR="00FC67B3" w:rsidRDefault="00FC67B3" w:rsidP="00FC67B3">
      <w:pPr>
        <w:pStyle w:val="Default"/>
        <w:jc w:val="both"/>
        <w:rPr>
          <w:rFonts w:ascii="Calibri" w:hAnsi="Calibri"/>
          <w:sz w:val="22"/>
          <w:szCs w:val="22"/>
        </w:rPr>
      </w:pPr>
      <w:r>
        <w:rPr>
          <w:rFonts w:ascii="Calibri" w:hAnsi="Calibri"/>
          <w:sz w:val="22"/>
          <w:szCs w:val="22"/>
        </w:rPr>
        <w:lastRenderedPageBreak/>
        <w:t xml:space="preserve">ÚZ 13024 – Transfer na </w:t>
      </w:r>
      <w:r w:rsidR="009B588C">
        <w:rPr>
          <w:rFonts w:ascii="Calibri" w:hAnsi="Calibri"/>
          <w:sz w:val="22"/>
          <w:szCs w:val="22"/>
        </w:rPr>
        <w:t>sociálně-právní ochranu dětí: skutečné výdaje převyšovaly poskytnutou dotaci o 2 827 </w:t>
      </w:r>
      <w:r w:rsidR="009B588C" w:rsidRPr="009B588C">
        <w:rPr>
          <w:rFonts w:ascii="Calibri" w:hAnsi="Calibri"/>
          <w:sz w:val="22"/>
          <w:szCs w:val="22"/>
        </w:rPr>
        <w:t>595,00</w:t>
      </w:r>
      <w:r w:rsidR="009B588C">
        <w:rPr>
          <w:rFonts w:ascii="Calibri" w:hAnsi="Calibri"/>
          <w:sz w:val="22"/>
          <w:szCs w:val="22"/>
        </w:rPr>
        <w:t xml:space="preserve"> Kč. Podána žádost o doplatek.</w:t>
      </w:r>
    </w:p>
    <w:p w:rsidR="009B588C" w:rsidRDefault="009B588C" w:rsidP="00FC67B3">
      <w:pPr>
        <w:pStyle w:val="Default"/>
        <w:jc w:val="both"/>
        <w:rPr>
          <w:rFonts w:ascii="Calibri" w:hAnsi="Calibri"/>
          <w:sz w:val="22"/>
          <w:szCs w:val="22"/>
        </w:rPr>
      </w:pPr>
    </w:p>
    <w:p w:rsidR="009B588C" w:rsidRDefault="009B588C" w:rsidP="00FC67B3">
      <w:pPr>
        <w:pStyle w:val="Default"/>
        <w:jc w:val="both"/>
        <w:rPr>
          <w:rFonts w:ascii="Calibri" w:hAnsi="Calibri"/>
          <w:sz w:val="22"/>
          <w:szCs w:val="22"/>
        </w:rPr>
      </w:pPr>
      <w:r>
        <w:rPr>
          <w:rFonts w:ascii="Calibri" w:hAnsi="Calibri"/>
          <w:sz w:val="22"/>
          <w:szCs w:val="22"/>
        </w:rPr>
        <w:t xml:space="preserve">ÚZ 98043 – </w:t>
      </w:r>
      <w:r w:rsidRPr="009B588C">
        <w:rPr>
          <w:rFonts w:ascii="Calibri" w:hAnsi="Calibri"/>
          <w:sz w:val="22"/>
          <w:szCs w:val="22"/>
        </w:rPr>
        <w:t xml:space="preserve"> Jednorázový nenávratný neúčelový příspěvek ze SR ke zmírnění negativních dopadů působnosti zákona č. 519/2021 Sb., o kompenzačním bonusu</w:t>
      </w:r>
      <w:r w:rsidR="009134A9">
        <w:rPr>
          <w:rFonts w:ascii="Calibri" w:hAnsi="Calibri"/>
          <w:sz w:val="22"/>
          <w:szCs w:val="22"/>
        </w:rPr>
        <w:t>,</w:t>
      </w:r>
      <w:r w:rsidRPr="009B588C">
        <w:rPr>
          <w:rFonts w:ascii="Calibri" w:hAnsi="Calibri"/>
          <w:sz w:val="22"/>
          <w:szCs w:val="22"/>
        </w:rPr>
        <w:t xml:space="preserve"> pro rok 2022</w:t>
      </w:r>
      <w:r>
        <w:rPr>
          <w:rFonts w:ascii="Calibri" w:hAnsi="Calibri"/>
          <w:sz w:val="22"/>
          <w:szCs w:val="22"/>
        </w:rPr>
        <w:t>.</w:t>
      </w:r>
    </w:p>
    <w:p w:rsidR="000359CB" w:rsidRDefault="000359CB" w:rsidP="00FC67B3">
      <w:pPr>
        <w:pStyle w:val="Default"/>
        <w:jc w:val="both"/>
        <w:rPr>
          <w:rFonts w:ascii="Calibri" w:hAnsi="Calibri"/>
          <w:sz w:val="22"/>
          <w:szCs w:val="22"/>
        </w:rPr>
      </w:pPr>
    </w:p>
    <w:p w:rsidR="000359CB" w:rsidRDefault="000359CB" w:rsidP="00FC67B3">
      <w:pPr>
        <w:pStyle w:val="Default"/>
        <w:jc w:val="both"/>
        <w:rPr>
          <w:rFonts w:ascii="Calibri" w:hAnsi="Calibri"/>
          <w:sz w:val="22"/>
          <w:szCs w:val="22"/>
        </w:rPr>
      </w:pPr>
      <w:r>
        <w:rPr>
          <w:rFonts w:ascii="Calibri" w:hAnsi="Calibri"/>
          <w:sz w:val="22"/>
          <w:szCs w:val="22"/>
        </w:rPr>
        <w:t xml:space="preserve">ÚZ </w:t>
      </w:r>
      <w:r w:rsidR="00824299">
        <w:rPr>
          <w:rFonts w:ascii="Calibri" w:hAnsi="Calibri"/>
          <w:sz w:val="22"/>
          <w:szCs w:val="22"/>
        </w:rPr>
        <w:t>98187 – účelová neinvestiční dotace na úhradu výdajů vzniklých v souvislosti s konáním voleb do 1/3 Senátu Parlamentu ČR a do zastupitelstev obcí</w:t>
      </w:r>
      <w:r w:rsidR="00FF39DB">
        <w:rPr>
          <w:rFonts w:ascii="Calibri" w:hAnsi="Calibri"/>
          <w:sz w:val="22"/>
          <w:szCs w:val="22"/>
        </w:rPr>
        <w:t xml:space="preserve">. Skutečně vynaložené výdaje byly o 47 354,42 Kč vyšší, než poskytnutá dotace. </w:t>
      </w:r>
      <w:r w:rsidR="00F87CF7">
        <w:rPr>
          <w:rFonts w:ascii="Calibri" w:hAnsi="Calibri"/>
          <w:sz w:val="22"/>
          <w:szCs w:val="22"/>
        </w:rPr>
        <w:t>Bylo požádáno o doplatek.</w:t>
      </w:r>
    </w:p>
    <w:p w:rsidR="00720059" w:rsidRDefault="00720059" w:rsidP="00FC67B3">
      <w:pPr>
        <w:pStyle w:val="Default"/>
        <w:jc w:val="both"/>
        <w:rPr>
          <w:rFonts w:ascii="Calibri" w:hAnsi="Calibri"/>
          <w:sz w:val="22"/>
          <w:szCs w:val="22"/>
        </w:rPr>
      </w:pPr>
    </w:p>
    <w:p w:rsidR="00720059" w:rsidRDefault="00720059" w:rsidP="00FC67B3">
      <w:pPr>
        <w:pStyle w:val="Default"/>
        <w:jc w:val="both"/>
        <w:rPr>
          <w:rFonts w:ascii="Calibri" w:hAnsi="Calibri"/>
          <w:sz w:val="22"/>
          <w:szCs w:val="22"/>
        </w:rPr>
      </w:pPr>
      <w:r>
        <w:rPr>
          <w:rFonts w:ascii="Calibri" w:hAnsi="Calibri"/>
          <w:sz w:val="22"/>
          <w:szCs w:val="22"/>
        </w:rPr>
        <w:t xml:space="preserve">ÚZ </w:t>
      </w:r>
      <w:r w:rsidRPr="00720059">
        <w:rPr>
          <w:rFonts w:ascii="Calibri" w:hAnsi="Calibri"/>
          <w:sz w:val="22"/>
          <w:szCs w:val="22"/>
        </w:rPr>
        <w:t xml:space="preserve">60190006, 60590003 </w:t>
      </w:r>
      <w:r>
        <w:rPr>
          <w:rFonts w:ascii="Calibri" w:hAnsi="Calibri"/>
          <w:sz w:val="22"/>
          <w:szCs w:val="22"/>
        </w:rPr>
        <w:t xml:space="preserve">– Lepší města pro život </w:t>
      </w:r>
      <w:r w:rsidR="00C772F7">
        <w:rPr>
          <w:rFonts w:ascii="Calibri" w:hAnsi="Calibri"/>
          <w:sz w:val="22"/>
          <w:szCs w:val="22"/>
        </w:rPr>
        <w:t>–</w:t>
      </w:r>
      <w:r>
        <w:rPr>
          <w:rFonts w:ascii="Calibri" w:hAnsi="Calibri"/>
          <w:sz w:val="22"/>
          <w:szCs w:val="22"/>
        </w:rPr>
        <w:t xml:space="preserve"> </w:t>
      </w:r>
      <w:r w:rsidR="00C772F7">
        <w:rPr>
          <w:rFonts w:ascii="Calibri" w:hAnsi="Calibri"/>
          <w:sz w:val="22"/>
          <w:szCs w:val="22"/>
        </w:rPr>
        <w:t>Dotace byla poskytnuta</w:t>
      </w:r>
      <w:r w:rsidR="007B762F">
        <w:rPr>
          <w:rFonts w:ascii="Calibri" w:hAnsi="Calibri"/>
          <w:sz w:val="22"/>
          <w:szCs w:val="22"/>
        </w:rPr>
        <w:t xml:space="preserve"> v roce 2021, čerpána v roce 2022.</w:t>
      </w:r>
      <w:r w:rsidRPr="00720059">
        <w:rPr>
          <w:rFonts w:ascii="Calibri" w:hAnsi="Calibri"/>
          <w:sz w:val="22"/>
          <w:szCs w:val="22"/>
        </w:rPr>
        <w:t xml:space="preserve"> </w:t>
      </w:r>
    </w:p>
    <w:p w:rsidR="00F87CF7" w:rsidRPr="00782685" w:rsidRDefault="00F87CF7" w:rsidP="00FC67B3">
      <w:pPr>
        <w:pStyle w:val="Default"/>
        <w:jc w:val="both"/>
        <w:rPr>
          <w:rFonts w:ascii="Calibri" w:hAnsi="Calibri"/>
          <w:sz w:val="22"/>
          <w:szCs w:val="22"/>
        </w:rPr>
      </w:pPr>
    </w:p>
    <w:p w:rsidR="00230C80" w:rsidRDefault="00A91234" w:rsidP="0009441D">
      <w:pPr>
        <w:pStyle w:val="Default"/>
        <w:jc w:val="both"/>
        <w:rPr>
          <w:rFonts w:ascii="Calibri" w:hAnsi="Calibri"/>
          <w:sz w:val="22"/>
          <w:szCs w:val="22"/>
        </w:rPr>
      </w:pPr>
      <w:r>
        <w:rPr>
          <w:rFonts w:ascii="Calibri" w:hAnsi="Calibri"/>
          <w:sz w:val="22"/>
          <w:szCs w:val="22"/>
        </w:rPr>
        <w:t xml:space="preserve">ÚZ 103133063, ÚZ 103533063 </w:t>
      </w:r>
      <w:r w:rsidR="00892A8F">
        <w:rPr>
          <w:rFonts w:ascii="Calibri" w:hAnsi="Calibri"/>
          <w:sz w:val="22"/>
          <w:szCs w:val="22"/>
        </w:rPr>
        <w:t>–</w:t>
      </w:r>
      <w:r>
        <w:rPr>
          <w:rFonts w:ascii="Calibri" w:hAnsi="Calibri"/>
          <w:sz w:val="22"/>
          <w:szCs w:val="22"/>
        </w:rPr>
        <w:t xml:space="preserve"> </w:t>
      </w:r>
      <w:r w:rsidR="00892A8F">
        <w:rPr>
          <w:rFonts w:ascii="Calibri" w:hAnsi="Calibri"/>
          <w:sz w:val="22"/>
          <w:szCs w:val="22"/>
        </w:rPr>
        <w:t>účelová neinvestiční dotace z Ministerstva školství, mládeže a tělovýchovy v rámci Operačního programu Výzkum, vývoj a vzdělávání</w:t>
      </w:r>
      <w:r w:rsidR="0009441D">
        <w:rPr>
          <w:rFonts w:ascii="Calibri" w:hAnsi="Calibri"/>
          <w:sz w:val="22"/>
          <w:szCs w:val="22"/>
        </w:rPr>
        <w:t xml:space="preserve"> pro MŠ Prostějov, Partyzánská ul. 34.</w:t>
      </w:r>
    </w:p>
    <w:p w:rsidR="0009441D" w:rsidRPr="0009441D" w:rsidRDefault="0009441D" w:rsidP="0009441D">
      <w:pPr>
        <w:pStyle w:val="Default"/>
        <w:jc w:val="both"/>
        <w:rPr>
          <w:rFonts w:ascii="Calibri" w:hAnsi="Calibri"/>
          <w:sz w:val="22"/>
          <w:szCs w:val="22"/>
        </w:rPr>
      </w:pPr>
    </w:p>
    <w:p w:rsidR="00230C80" w:rsidRDefault="002C357F" w:rsidP="0009441D">
      <w:pPr>
        <w:pStyle w:val="Default"/>
        <w:jc w:val="both"/>
        <w:rPr>
          <w:rFonts w:asciiTheme="minorHAnsi" w:hAnsiTheme="minorHAnsi" w:cstheme="minorHAnsi"/>
          <w:sz w:val="22"/>
          <w:szCs w:val="22"/>
        </w:rPr>
      </w:pPr>
      <w:r w:rsidRPr="0009441D">
        <w:rPr>
          <w:rFonts w:ascii="Calibri" w:hAnsi="Calibri"/>
          <w:sz w:val="22"/>
          <w:szCs w:val="22"/>
        </w:rPr>
        <w:t>ÚZ 104113013, ÚZ 104513013 – účelová neinvestiční dotace z Úřadu práce na základě dohody o vytvoření pracovních příležitostí v rámci veřejně prospěšných prací.  Dotace je spolufinancovaná ze státního rozpočtu a Evropského sociální fondu v rámci Operačního programu Zaměstnanost. Nevyčerpaná část dotace byla př</w:t>
      </w:r>
      <w:r w:rsidRPr="004C26A6">
        <w:rPr>
          <w:rFonts w:asciiTheme="minorHAnsi" w:hAnsiTheme="minorHAnsi" w:cstheme="minorHAnsi"/>
          <w:sz w:val="22"/>
          <w:szCs w:val="22"/>
        </w:rPr>
        <w:t>evedena do fondu rezerv a rozvoje.</w:t>
      </w:r>
    </w:p>
    <w:p w:rsidR="0009441D" w:rsidRDefault="0009441D" w:rsidP="0009441D">
      <w:pPr>
        <w:pStyle w:val="Default"/>
        <w:jc w:val="both"/>
        <w:rPr>
          <w:rFonts w:asciiTheme="minorHAnsi" w:hAnsiTheme="minorHAnsi" w:cstheme="minorHAnsi"/>
          <w:sz w:val="22"/>
          <w:szCs w:val="22"/>
        </w:rPr>
      </w:pPr>
    </w:p>
    <w:p w:rsidR="0009441D" w:rsidRDefault="0009441D" w:rsidP="0009441D">
      <w:pPr>
        <w:pStyle w:val="Default"/>
        <w:jc w:val="both"/>
        <w:rPr>
          <w:rFonts w:asciiTheme="minorHAnsi" w:hAnsiTheme="minorHAnsi" w:cstheme="minorHAnsi"/>
          <w:sz w:val="22"/>
          <w:szCs w:val="22"/>
        </w:rPr>
      </w:pPr>
      <w:r>
        <w:rPr>
          <w:rFonts w:asciiTheme="minorHAnsi" w:hAnsiTheme="minorHAnsi" w:cstheme="minorHAnsi"/>
          <w:sz w:val="22"/>
          <w:szCs w:val="22"/>
        </w:rPr>
        <w:t xml:space="preserve">ÚZ </w:t>
      </w:r>
      <w:r w:rsidRPr="0009441D">
        <w:rPr>
          <w:rFonts w:asciiTheme="minorHAnsi" w:hAnsiTheme="minorHAnsi" w:cstheme="minorHAnsi"/>
          <w:sz w:val="22"/>
          <w:szCs w:val="22"/>
        </w:rPr>
        <w:t>107117968, 107517969</w:t>
      </w:r>
      <w:r>
        <w:rPr>
          <w:rFonts w:asciiTheme="minorHAnsi" w:hAnsiTheme="minorHAnsi" w:cstheme="minorHAnsi"/>
          <w:sz w:val="22"/>
          <w:szCs w:val="22"/>
        </w:rPr>
        <w:t xml:space="preserve"> </w:t>
      </w:r>
      <w:r w:rsidR="00670E8D">
        <w:rPr>
          <w:rFonts w:asciiTheme="minorHAnsi" w:hAnsiTheme="minorHAnsi" w:cstheme="minorHAnsi"/>
          <w:sz w:val="22"/>
          <w:szCs w:val="22"/>
        </w:rPr>
        <w:t>–</w:t>
      </w:r>
      <w:r>
        <w:rPr>
          <w:rFonts w:asciiTheme="minorHAnsi" w:hAnsiTheme="minorHAnsi" w:cstheme="minorHAnsi"/>
          <w:sz w:val="22"/>
          <w:szCs w:val="22"/>
        </w:rPr>
        <w:t xml:space="preserve"> </w:t>
      </w:r>
      <w:r w:rsidR="00670E8D">
        <w:rPr>
          <w:rFonts w:asciiTheme="minorHAnsi" w:hAnsiTheme="minorHAnsi" w:cstheme="minorHAnsi"/>
          <w:sz w:val="22"/>
          <w:szCs w:val="22"/>
        </w:rPr>
        <w:t>IROP na akci Přechod pro chodce v Kojetínské – dotace ex post.</w:t>
      </w:r>
    </w:p>
    <w:p w:rsidR="00670E8D" w:rsidRDefault="00670E8D" w:rsidP="0009441D">
      <w:pPr>
        <w:pStyle w:val="Default"/>
        <w:jc w:val="both"/>
        <w:rPr>
          <w:rFonts w:asciiTheme="minorHAnsi" w:hAnsiTheme="minorHAnsi" w:cstheme="minorHAnsi"/>
          <w:sz w:val="22"/>
          <w:szCs w:val="22"/>
        </w:rPr>
      </w:pPr>
    </w:p>
    <w:p w:rsidR="001B5423" w:rsidRPr="00B44175" w:rsidRDefault="00634164" w:rsidP="00764B58">
      <w:pPr>
        <w:pStyle w:val="Default"/>
        <w:jc w:val="both"/>
        <w:rPr>
          <w:rFonts w:ascii="Calibri" w:hAnsi="Calibri"/>
          <w:color w:val="auto"/>
          <w:sz w:val="22"/>
          <w:szCs w:val="22"/>
        </w:rPr>
      </w:pPr>
      <w:r w:rsidRPr="001B5423">
        <w:rPr>
          <w:rFonts w:ascii="Calibri" w:hAnsi="Calibri"/>
          <w:color w:val="auto"/>
          <w:sz w:val="22"/>
          <w:szCs w:val="22"/>
        </w:rPr>
        <w:t xml:space="preserve">ÚZ 120113014 a 120513014 – </w:t>
      </w:r>
      <w:r w:rsidR="001B5423" w:rsidRPr="001B5423">
        <w:rPr>
          <w:rFonts w:ascii="Calibri" w:hAnsi="Calibri"/>
          <w:color w:val="auto"/>
          <w:sz w:val="22"/>
          <w:szCs w:val="22"/>
        </w:rPr>
        <w:t xml:space="preserve">účelová neinvestiční dotace </w:t>
      </w:r>
      <w:r w:rsidR="007C7945" w:rsidRPr="001B5423">
        <w:rPr>
          <w:rFonts w:ascii="Calibri" w:hAnsi="Calibri"/>
          <w:color w:val="auto"/>
          <w:sz w:val="22"/>
          <w:szCs w:val="22"/>
        </w:rPr>
        <w:t>od Olomouckého kraje z prostředků Operačního programu potravinové a materiální pomoci v Olomouckém kraji „Obědy do školy v Olomouckém kraji</w:t>
      </w:r>
      <w:r w:rsidR="001B5423" w:rsidRPr="001B5423">
        <w:rPr>
          <w:rFonts w:ascii="Calibri" w:hAnsi="Calibri"/>
          <w:color w:val="auto"/>
          <w:sz w:val="22"/>
          <w:szCs w:val="22"/>
        </w:rPr>
        <w:t xml:space="preserve"> III</w:t>
      </w:r>
      <w:r w:rsidR="007C7945" w:rsidRPr="001B5423">
        <w:rPr>
          <w:rFonts w:ascii="Calibri" w:hAnsi="Calibri"/>
          <w:color w:val="auto"/>
          <w:sz w:val="22"/>
          <w:szCs w:val="22"/>
        </w:rPr>
        <w:t xml:space="preserve">“. </w:t>
      </w:r>
      <w:r w:rsidR="007C7945" w:rsidRPr="00B44175">
        <w:rPr>
          <w:rFonts w:ascii="Calibri" w:hAnsi="Calibri"/>
          <w:color w:val="auto"/>
          <w:sz w:val="22"/>
          <w:szCs w:val="22"/>
        </w:rPr>
        <w:t xml:space="preserve">Zapojeny jsou školy </w:t>
      </w:r>
    </w:p>
    <w:p w:rsidR="001B5423" w:rsidRPr="00B44175" w:rsidRDefault="001B5423" w:rsidP="00670E8D">
      <w:pPr>
        <w:pStyle w:val="Default"/>
        <w:numPr>
          <w:ilvl w:val="0"/>
          <w:numId w:val="42"/>
        </w:numPr>
        <w:jc w:val="both"/>
        <w:rPr>
          <w:rFonts w:eastAsia="Times New Roman"/>
          <w:color w:val="auto"/>
          <w:sz w:val="22"/>
          <w:szCs w:val="22"/>
          <w:lang w:eastAsia="cs-CZ"/>
        </w:rPr>
      </w:pPr>
      <w:r w:rsidRPr="00B44175">
        <w:rPr>
          <w:rFonts w:ascii="Calibri" w:hAnsi="Calibri"/>
          <w:color w:val="auto"/>
          <w:sz w:val="22"/>
          <w:szCs w:val="22"/>
        </w:rPr>
        <w:t xml:space="preserve">ZŠ E. Valenty </w:t>
      </w:r>
      <w:r w:rsidR="00B44175" w:rsidRPr="00B44175">
        <w:rPr>
          <w:rFonts w:ascii="Calibri" w:hAnsi="Calibri"/>
          <w:color w:val="auto"/>
          <w:sz w:val="22"/>
          <w:szCs w:val="22"/>
        </w:rPr>
        <w:t>–</w:t>
      </w:r>
      <w:r w:rsidRPr="00B44175">
        <w:rPr>
          <w:rFonts w:ascii="Calibri" w:hAnsi="Calibri"/>
          <w:color w:val="auto"/>
          <w:sz w:val="22"/>
          <w:szCs w:val="22"/>
        </w:rPr>
        <w:t xml:space="preserve"> </w:t>
      </w:r>
      <w:r w:rsidR="00B44175" w:rsidRPr="00B44175">
        <w:rPr>
          <w:rFonts w:ascii="Calibri" w:hAnsi="Calibri"/>
          <w:color w:val="auto"/>
          <w:sz w:val="22"/>
          <w:szCs w:val="22"/>
        </w:rPr>
        <w:t xml:space="preserve"> dotace v celkové výši </w:t>
      </w:r>
      <w:r w:rsidR="00670E8D" w:rsidRPr="00670E8D">
        <w:rPr>
          <w:rFonts w:ascii="Calibri" w:hAnsi="Calibri"/>
          <w:color w:val="auto"/>
          <w:sz w:val="22"/>
          <w:szCs w:val="22"/>
        </w:rPr>
        <w:t>64 639,58</w:t>
      </w:r>
      <w:r w:rsidR="00B44175" w:rsidRPr="00B44175">
        <w:rPr>
          <w:rFonts w:ascii="Calibri" w:hAnsi="Calibri"/>
          <w:color w:val="auto"/>
          <w:sz w:val="22"/>
          <w:szCs w:val="22"/>
        </w:rPr>
        <w:t xml:space="preserve"> Kč</w:t>
      </w:r>
    </w:p>
    <w:p w:rsidR="007C7945" w:rsidRPr="008F6F73" w:rsidRDefault="007C7945" w:rsidP="00670E8D">
      <w:pPr>
        <w:pStyle w:val="Default"/>
        <w:numPr>
          <w:ilvl w:val="0"/>
          <w:numId w:val="42"/>
        </w:numPr>
        <w:jc w:val="both"/>
        <w:rPr>
          <w:rFonts w:eastAsia="Times New Roman"/>
          <w:color w:val="auto"/>
          <w:sz w:val="22"/>
          <w:szCs w:val="22"/>
          <w:lang w:eastAsia="cs-CZ"/>
        </w:rPr>
      </w:pPr>
      <w:r w:rsidRPr="00B44175">
        <w:rPr>
          <w:rFonts w:ascii="Calibri" w:hAnsi="Calibri"/>
          <w:color w:val="auto"/>
          <w:sz w:val="22"/>
          <w:szCs w:val="22"/>
        </w:rPr>
        <w:t>ZŠ Majakovského</w:t>
      </w:r>
      <w:r w:rsidR="00B44175" w:rsidRPr="00B44175">
        <w:rPr>
          <w:rFonts w:ascii="Calibri" w:hAnsi="Calibri"/>
          <w:color w:val="auto"/>
          <w:sz w:val="22"/>
          <w:szCs w:val="22"/>
        </w:rPr>
        <w:t xml:space="preserve"> – dotace </w:t>
      </w:r>
      <w:r w:rsidR="00670E8D" w:rsidRPr="00670E8D">
        <w:rPr>
          <w:rFonts w:ascii="Calibri" w:hAnsi="Calibri"/>
          <w:color w:val="auto"/>
          <w:sz w:val="22"/>
          <w:szCs w:val="22"/>
        </w:rPr>
        <w:t>28 611,46</w:t>
      </w:r>
      <w:r w:rsidR="00B44175" w:rsidRPr="00B44175">
        <w:rPr>
          <w:rFonts w:ascii="Calibri" w:hAnsi="Calibri"/>
          <w:color w:val="auto"/>
          <w:sz w:val="22"/>
          <w:szCs w:val="22"/>
        </w:rPr>
        <w:t xml:space="preserve"> Kč</w:t>
      </w:r>
    </w:p>
    <w:p w:rsidR="008F6F73" w:rsidRDefault="008F6F73" w:rsidP="008F6F73">
      <w:pPr>
        <w:pStyle w:val="Default"/>
        <w:jc w:val="both"/>
        <w:rPr>
          <w:rFonts w:ascii="Calibri" w:hAnsi="Calibri"/>
          <w:color w:val="auto"/>
          <w:sz w:val="22"/>
          <w:szCs w:val="22"/>
        </w:rPr>
      </w:pPr>
    </w:p>
    <w:p w:rsidR="008F6F73" w:rsidRDefault="008F6F73" w:rsidP="008F6F73">
      <w:pPr>
        <w:pStyle w:val="Default"/>
        <w:jc w:val="both"/>
        <w:rPr>
          <w:rFonts w:ascii="Calibri" w:hAnsi="Calibri"/>
          <w:color w:val="auto"/>
          <w:sz w:val="22"/>
          <w:szCs w:val="22"/>
        </w:rPr>
      </w:pPr>
      <w:r>
        <w:rPr>
          <w:rFonts w:ascii="Calibri" w:hAnsi="Calibri"/>
          <w:color w:val="auto"/>
          <w:sz w:val="22"/>
          <w:szCs w:val="22"/>
        </w:rPr>
        <w:t xml:space="preserve">ÚZ </w:t>
      </w:r>
      <w:r w:rsidRPr="008F6F73">
        <w:rPr>
          <w:rFonts w:ascii="Calibri" w:hAnsi="Calibri"/>
          <w:color w:val="auto"/>
          <w:sz w:val="22"/>
          <w:szCs w:val="22"/>
        </w:rPr>
        <w:t>143133092, 143533092</w:t>
      </w:r>
      <w:r>
        <w:rPr>
          <w:rFonts w:ascii="Calibri" w:hAnsi="Calibri"/>
          <w:color w:val="auto"/>
          <w:sz w:val="22"/>
          <w:szCs w:val="22"/>
        </w:rPr>
        <w:t xml:space="preserve"> - ú</w:t>
      </w:r>
      <w:r w:rsidRPr="008F6F73">
        <w:rPr>
          <w:rFonts w:ascii="Calibri" w:hAnsi="Calibri"/>
          <w:color w:val="auto"/>
          <w:sz w:val="22"/>
          <w:szCs w:val="22"/>
        </w:rPr>
        <w:t>čelová neinvestiční dotace z Ministerstva školství, mládeže a tělovýchovy ČR na realizaci projektu v rámci Operačního programu J. A. Komenský</w:t>
      </w:r>
      <w:r>
        <w:rPr>
          <w:rFonts w:ascii="Calibri" w:hAnsi="Calibri"/>
          <w:color w:val="auto"/>
          <w:sz w:val="22"/>
          <w:szCs w:val="22"/>
        </w:rPr>
        <w:t>. Zapojeny jsou školy</w:t>
      </w:r>
    </w:p>
    <w:p w:rsidR="008F6F73" w:rsidRDefault="008F6F73" w:rsidP="008F6F73">
      <w:pPr>
        <w:pStyle w:val="Default"/>
        <w:numPr>
          <w:ilvl w:val="0"/>
          <w:numId w:val="42"/>
        </w:numPr>
        <w:jc w:val="both"/>
        <w:rPr>
          <w:rFonts w:ascii="Calibri" w:hAnsi="Calibri"/>
          <w:color w:val="auto"/>
          <w:sz w:val="22"/>
          <w:szCs w:val="22"/>
        </w:rPr>
      </w:pPr>
      <w:r>
        <w:rPr>
          <w:rFonts w:ascii="Calibri" w:hAnsi="Calibri"/>
          <w:color w:val="auto"/>
          <w:sz w:val="22"/>
          <w:szCs w:val="22"/>
        </w:rPr>
        <w:t xml:space="preserve">MŠ Rumunská – dotace ve výši </w:t>
      </w:r>
      <w:r w:rsidRPr="008F6F73">
        <w:rPr>
          <w:rFonts w:ascii="Calibri" w:hAnsi="Calibri"/>
          <w:color w:val="auto"/>
          <w:sz w:val="22"/>
          <w:szCs w:val="22"/>
        </w:rPr>
        <w:t>667 463,00</w:t>
      </w:r>
      <w:r>
        <w:rPr>
          <w:rFonts w:ascii="Calibri" w:hAnsi="Calibri"/>
          <w:color w:val="auto"/>
          <w:sz w:val="22"/>
          <w:szCs w:val="22"/>
        </w:rPr>
        <w:t xml:space="preserve"> Kč</w:t>
      </w:r>
    </w:p>
    <w:p w:rsidR="008F6F73" w:rsidRDefault="008F6F73" w:rsidP="008F6F73">
      <w:pPr>
        <w:pStyle w:val="Default"/>
        <w:numPr>
          <w:ilvl w:val="0"/>
          <w:numId w:val="42"/>
        </w:numPr>
        <w:jc w:val="both"/>
        <w:rPr>
          <w:rFonts w:ascii="Calibri" w:hAnsi="Calibri"/>
          <w:color w:val="auto"/>
          <w:sz w:val="22"/>
          <w:szCs w:val="22"/>
        </w:rPr>
      </w:pPr>
      <w:r>
        <w:rPr>
          <w:rFonts w:ascii="Calibri" w:hAnsi="Calibri"/>
          <w:color w:val="auto"/>
          <w:sz w:val="22"/>
          <w:szCs w:val="22"/>
        </w:rPr>
        <w:t xml:space="preserve">ZŠ Dr. Horáka – dotace ve výši </w:t>
      </w:r>
      <w:r w:rsidRPr="008F6F73">
        <w:rPr>
          <w:rFonts w:ascii="Calibri" w:hAnsi="Calibri"/>
          <w:color w:val="auto"/>
          <w:sz w:val="22"/>
          <w:szCs w:val="22"/>
        </w:rPr>
        <w:t>3 470 930,00</w:t>
      </w:r>
      <w:r>
        <w:rPr>
          <w:rFonts w:ascii="Calibri" w:hAnsi="Calibri"/>
          <w:color w:val="auto"/>
          <w:sz w:val="22"/>
          <w:szCs w:val="22"/>
        </w:rPr>
        <w:t xml:space="preserve"> Kč</w:t>
      </w:r>
    </w:p>
    <w:p w:rsidR="008F6F73" w:rsidRDefault="008F6F73" w:rsidP="008F6F73">
      <w:pPr>
        <w:pStyle w:val="Default"/>
        <w:jc w:val="both"/>
        <w:rPr>
          <w:rFonts w:ascii="Calibri" w:hAnsi="Calibri"/>
          <w:color w:val="auto"/>
          <w:sz w:val="22"/>
          <w:szCs w:val="22"/>
        </w:rPr>
      </w:pPr>
    </w:p>
    <w:p w:rsidR="008F6F73" w:rsidRPr="00A026A6" w:rsidRDefault="008F6F73" w:rsidP="008F6F73">
      <w:pPr>
        <w:jc w:val="both"/>
        <w:rPr>
          <w:rFonts w:ascii="Calibri" w:hAnsi="Calibri" w:cs="Calibri"/>
          <w:color w:val="000000"/>
          <w:sz w:val="16"/>
          <w:szCs w:val="16"/>
        </w:rPr>
      </w:pPr>
      <w:r>
        <w:rPr>
          <w:rFonts w:ascii="Calibri" w:hAnsi="Calibri"/>
          <w:sz w:val="22"/>
          <w:szCs w:val="22"/>
        </w:rPr>
        <w:t xml:space="preserve">ÚZ </w:t>
      </w:r>
      <w:r w:rsidRPr="008F6F73">
        <w:rPr>
          <w:rFonts w:ascii="Calibri" w:hAnsi="Calibri"/>
          <w:sz w:val="22"/>
          <w:szCs w:val="22"/>
        </w:rPr>
        <w:t>170522504</w:t>
      </w:r>
      <w:r>
        <w:rPr>
          <w:rFonts w:ascii="Calibri" w:hAnsi="Calibri"/>
          <w:sz w:val="22"/>
          <w:szCs w:val="22"/>
        </w:rPr>
        <w:t xml:space="preserve"> – investiční dotace na rekonstrukci osvětlení.</w:t>
      </w:r>
      <w:r w:rsidR="00020EB3">
        <w:rPr>
          <w:rFonts w:ascii="Calibri" w:hAnsi="Calibri"/>
          <w:sz w:val="22"/>
          <w:szCs w:val="22"/>
        </w:rPr>
        <w:t xml:space="preserve"> Dotace bude použita v roce 2023.</w:t>
      </w:r>
    </w:p>
    <w:p w:rsidR="008F6F73" w:rsidRPr="008F6F73" w:rsidRDefault="008F6F73" w:rsidP="008F6F73">
      <w:pPr>
        <w:pStyle w:val="Default"/>
        <w:jc w:val="both"/>
        <w:rPr>
          <w:rFonts w:ascii="Calibri" w:hAnsi="Calibri"/>
          <w:color w:val="auto"/>
          <w:sz w:val="22"/>
          <w:szCs w:val="22"/>
        </w:rPr>
      </w:pPr>
    </w:p>
    <w:p w:rsidR="0073040C" w:rsidRPr="009D7E1B" w:rsidRDefault="007C7945" w:rsidP="002853AF">
      <w:pPr>
        <w:autoSpaceDE w:val="0"/>
        <w:autoSpaceDN w:val="0"/>
        <w:adjustRightInd w:val="0"/>
        <w:rPr>
          <w:rFonts w:ascii="Calibri" w:hAnsi="Calibri"/>
          <w:color w:val="BFBFBF" w:themeColor="background1" w:themeShade="BF"/>
          <w:sz w:val="22"/>
          <w:szCs w:val="22"/>
        </w:rPr>
      </w:pPr>
      <w:r w:rsidRPr="009D7E1B">
        <w:rPr>
          <w:color w:val="BFBFBF" w:themeColor="background1" w:themeShade="BF"/>
          <w:sz w:val="22"/>
          <w:szCs w:val="22"/>
        </w:rPr>
        <w:t xml:space="preserve"> </w:t>
      </w:r>
    </w:p>
    <w:p w:rsidR="004840B0" w:rsidRPr="004C26A6" w:rsidRDefault="00486EF6" w:rsidP="0024764D">
      <w:pPr>
        <w:pStyle w:val="Nadpis3"/>
      </w:pPr>
      <w:r w:rsidRPr="004C26A6">
        <w:t>Žádost o dofinancování v rámci finančního vypořádání</w:t>
      </w:r>
      <w:r w:rsidR="00FA28ED" w:rsidRPr="004C26A6">
        <w:t xml:space="preserve"> vztahů se státním rozpočtem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670"/>
        <w:gridCol w:w="2014"/>
      </w:tblGrid>
      <w:tr w:rsidR="009D7E1B" w:rsidRPr="009D7E1B" w:rsidTr="00CD746E">
        <w:trPr>
          <w:cantSplit/>
          <w:trHeight w:val="227"/>
        </w:trPr>
        <w:tc>
          <w:tcPr>
            <w:tcW w:w="1526" w:type="dxa"/>
            <w:shd w:val="clear" w:color="auto" w:fill="C2D69B"/>
            <w:vAlign w:val="bottom"/>
          </w:tcPr>
          <w:p w:rsidR="004840B0" w:rsidRPr="00AF4FF3" w:rsidRDefault="004840B0" w:rsidP="00C45BEC">
            <w:pPr>
              <w:keepNext/>
              <w:keepLines/>
              <w:spacing w:after="120"/>
              <w:jc w:val="center"/>
              <w:rPr>
                <w:rFonts w:ascii="Calibri" w:hAnsi="Calibri"/>
                <w:b/>
                <w:sz w:val="20"/>
                <w:szCs w:val="20"/>
              </w:rPr>
            </w:pPr>
            <w:r w:rsidRPr="00AF4FF3">
              <w:rPr>
                <w:rFonts w:ascii="Calibri" w:hAnsi="Calibri"/>
                <w:b/>
                <w:sz w:val="20"/>
                <w:szCs w:val="20"/>
              </w:rPr>
              <w:t>Účelový znak</w:t>
            </w:r>
          </w:p>
        </w:tc>
        <w:tc>
          <w:tcPr>
            <w:tcW w:w="5670" w:type="dxa"/>
            <w:shd w:val="clear" w:color="auto" w:fill="C2D69B"/>
            <w:vAlign w:val="bottom"/>
          </w:tcPr>
          <w:p w:rsidR="004840B0" w:rsidRPr="00AF4FF3" w:rsidRDefault="004840B0" w:rsidP="00C45BEC">
            <w:pPr>
              <w:keepNext/>
              <w:keepLines/>
              <w:spacing w:after="120"/>
              <w:jc w:val="center"/>
              <w:rPr>
                <w:rFonts w:ascii="Calibri" w:hAnsi="Calibri"/>
                <w:b/>
                <w:sz w:val="20"/>
                <w:szCs w:val="20"/>
              </w:rPr>
            </w:pPr>
            <w:r w:rsidRPr="00AF4FF3">
              <w:rPr>
                <w:rFonts w:ascii="Calibri" w:hAnsi="Calibri"/>
                <w:b/>
                <w:sz w:val="20"/>
                <w:szCs w:val="20"/>
              </w:rPr>
              <w:t>Ukazatel</w:t>
            </w:r>
          </w:p>
        </w:tc>
        <w:tc>
          <w:tcPr>
            <w:tcW w:w="2014" w:type="dxa"/>
            <w:shd w:val="clear" w:color="auto" w:fill="C2D69B"/>
            <w:vAlign w:val="bottom"/>
          </w:tcPr>
          <w:p w:rsidR="004840B0" w:rsidRPr="00AF4FF3" w:rsidRDefault="004840B0" w:rsidP="00C45BEC">
            <w:pPr>
              <w:keepNext/>
              <w:keepLines/>
              <w:spacing w:after="120"/>
              <w:jc w:val="center"/>
              <w:rPr>
                <w:rFonts w:ascii="Calibri" w:hAnsi="Calibri"/>
                <w:b/>
                <w:sz w:val="20"/>
                <w:szCs w:val="20"/>
              </w:rPr>
            </w:pPr>
            <w:r w:rsidRPr="00AF4FF3">
              <w:rPr>
                <w:rFonts w:ascii="Calibri" w:hAnsi="Calibri"/>
                <w:b/>
                <w:sz w:val="20"/>
                <w:szCs w:val="20"/>
              </w:rPr>
              <w:t>Částka v Kč</w:t>
            </w:r>
          </w:p>
        </w:tc>
      </w:tr>
      <w:tr w:rsidR="009D7E1B" w:rsidRPr="009D7E1B" w:rsidTr="00642A74">
        <w:trPr>
          <w:cantSplit/>
          <w:trHeight w:val="388"/>
        </w:trPr>
        <w:tc>
          <w:tcPr>
            <w:tcW w:w="1526" w:type="dxa"/>
            <w:tcBorders>
              <w:top w:val="nil"/>
              <w:left w:val="single" w:sz="4" w:space="0" w:color="auto"/>
              <w:bottom w:val="single" w:sz="4" w:space="0" w:color="auto"/>
              <w:right w:val="single" w:sz="4" w:space="0" w:color="auto"/>
            </w:tcBorders>
            <w:shd w:val="clear" w:color="auto" w:fill="auto"/>
            <w:vAlign w:val="center"/>
          </w:tcPr>
          <w:p w:rsidR="002775EE" w:rsidRPr="00AF4FF3" w:rsidRDefault="002775EE" w:rsidP="00E66100">
            <w:pPr>
              <w:keepNext/>
              <w:keepLines/>
              <w:jc w:val="center"/>
              <w:rPr>
                <w:rFonts w:ascii="Calibri" w:hAnsi="Calibri" w:cs="Calibri"/>
                <w:sz w:val="20"/>
                <w:szCs w:val="20"/>
              </w:rPr>
            </w:pPr>
            <w:r w:rsidRPr="00AF4FF3">
              <w:rPr>
                <w:rFonts w:ascii="Calibri" w:hAnsi="Calibri"/>
                <w:sz w:val="20"/>
                <w:szCs w:val="20"/>
              </w:rPr>
              <w:t>000</w:t>
            </w:r>
            <w:r w:rsidR="00826BDA" w:rsidRPr="00AF4FF3">
              <w:rPr>
                <w:rFonts w:ascii="Calibri" w:hAnsi="Calibri"/>
                <w:sz w:val="20"/>
                <w:szCs w:val="20"/>
              </w:rPr>
              <w:t>0</w:t>
            </w:r>
            <w:r w:rsidR="00CD746E" w:rsidRPr="00AF4FF3">
              <w:rPr>
                <w:rFonts w:ascii="Calibri" w:hAnsi="Calibri"/>
                <w:sz w:val="20"/>
                <w:szCs w:val="20"/>
              </w:rPr>
              <w:t>98</w:t>
            </w:r>
            <w:r w:rsidR="00BE3EF8">
              <w:rPr>
                <w:rFonts w:ascii="Calibri" w:hAnsi="Calibri"/>
                <w:sz w:val="20"/>
                <w:szCs w:val="20"/>
              </w:rPr>
              <w:t>1</w:t>
            </w:r>
            <w:r w:rsidR="00E66100">
              <w:rPr>
                <w:rFonts w:ascii="Calibri" w:hAnsi="Calibri"/>
                <w:sz w:val="20"/>
                <w:szCs w:val="20"/>
              </w:rPr>
              <w:t>87</w:t>
            </w:r>
          </w:p>
        </w:tc>
        <w:tc>
          <w:tcPr>
            <w:tcW w:w="5670" w:type="dxa"/>
            <w:tcBorders>
              <w:top w:val="nil"/>
              <w:left w:val="single" w:sz="4" w:space="0" w:color="auto"/>
              <w:bottom w:val="single" w:sz="4" w:space="0" w:color="auto"/>
              <w:right w:val="single" w:sz="4" w:space="0" w:color="auto"/>
            </w:tcBorders>
            <w:shd w:val="clear" w:color="auto" w:fill="auto"/>
            <w:vAlign w:val="center"/>
          </w:tcPr>
          <w:p w:rsidR="002775EE" w:rsidRPr="00BE3EF8" w:rsidRDefault="00BE3EF8" w:rsidP="00AF4FF3">
            <w:pPr>
              <w:rPr>
                <w:rFonts w:ascii="Calibri" w:hAnsi="Calibri"/>
                <w:sz w:val="20"/>
                <w:szCs w:val="20"/>
              </w:rPr>
            </w:pPr>
            <w:r w:rsidRPr="00BE3EF8">
              <w:rPr>
                <w:rFonts w:ascii="Calibri" w:hAnsi="Calibri"/>
                <w:sz w:val="20"/>
                <w:szCs w:val="20"/>
              </w:rPr>
              <w:t>Volby do Senátu a do zastupitelstev obcí</w:t>
            </w:r>
          </w:p>
        </w:tc>
        <w:tc>
          <w:tcPr>
            <w:tcW w:w="2014" w:type="dxa"/>
            <w:tcBorders>
              <w:top w:val="nil"/>
              <w:left w:val="nil"/>
              <w:bottom w:val="single" w:sz="4" w:space="0" w:color="auto"/>
              <w:right w:val="single" w:sz="4" w:space="0" w:color="auto"/>
            </w:tcBorders>
            <w:shd w:val="clear" w:color="auto" w:fill="auto"/>
            <w:vAlign w:val="center"/>
          </w:tcPr>
          <w:p w:rsidR="002775EE" w:rsidRPr="0074755B" w:rsidRDefault="00BE3EF8" w:rsidP="00AF4FF3">
            <w:pPr>
              <w:jc w:val="right"/>
              <w:rPr>
                <w:rFonts w:ascii="Calibri" w:hAnsi="Calibri" w:cs="Calibri"/>
                <w:sz w:val="20"/>
                <w:szCs w:val="20"/>
              </w:rPr>
            </w:pPr>
            <w:r w:rsidRPr="0074755B">
              <w:rPr>
                <w:rFonts w:ascii="Calibri" w:hAnsi="Calibri" w:cs="Calibri"/>
                <w:sz w:val="20"/>
                <w:szCs w:val="20"/>
              </w:rPr>
              <w:t>47 354,42</w:t>
            </w:r>
          </w:p>
        </w:tc>
      </w:tr>
      <w:tr w:rsidR="009D7E1B" w:rsidRPr="009D7E1B" w:rsidTr="00642A74">
        <w:trPr>
          <w:cantSplit/>
          <w:trHeight w:val="388"/>
        </w:trPr>
        <w:tc>
          <w:tcPr>
            <w:tcW w:w="1526" w:type="dxa"/>
            <w:tcBorders>
              <w:top w:val="nil"/>
              <w:left w:val="single" w:sz="4" w:space="0" w:color="auto"/>
              <w:bottom w:val="single" w:sz="4" w:space="0" w:color="auto"/>
              <w:right w:val="single" w:sz="4" w:space="0" w:color="auto"/>
            </w:tcBorders>
            <w:shd w:val="clear" w:color="auto" w:fill="auto"/>
            <w:vAlign w:val="center"/>
          </w:tcPr>
          <w:p w:rsidR="00F56EB1" w:rsidRPr="009E5F59" w:rsidRDefault="00F56EB1" w:rsidP="005804F1">
            <w:pPr>
              <w:keepNext/>
              <w:keepLines/>
              <w:jc w:val="center"/>
              <w:rPr>
                <w:rFonts w:ascii="Calibri" w:hAnsi="Calibri"/>
                <w:sz w:val="20"/>
                <w:szCs w:val="20"/>
              </w:rPr>
            </w:pPr>
            <w:r w:rsidRPr="009E5F59">
              <w:rPr>
                <w:rFonts w:ascii="Calibri" w:hAnsi="Calibri"/>
                <w:sz w:val="20"/>
                <w:szCs w:val="20"/>
              </w:rPr>
              <w:t>0000130</w:t>
            </w:r>
            <w:r w:rsidR="005804F1" w:rsidRPr="009E5F59">
              <w:rPr>
                <w:rFonts w:ascii="Calibri" w:hAnsi="Calibri"/>
                <w:sz w:val="20"/>
                <w:szCs w:val="20"/>
              </w:rPr>
              <w:t>24</w:t>
            </w:r>
          </w:p>
        </w:tc>
        <w:tc>
          <w:tcPr>
            <w:tcW w:w="5670" w:type="dxa"/>
            <w:tcBorders>
              <w:top w:val="nil"/>
              <w:left w:val="single" w:sz="4" w:space="0" w:color="auto"/>
              <w:bottom w:val="single" w:sz="4" w:space="0" w:color="auto"/>
              <w:right w:val="single" w:sz="4" w:space="0" w:color="auto"/>
            </w:tcBorders>
            <w:shd w:val="clear" w:color="auto" w:fill="auto"/>
            <w:vAlign w:val="center"/>
          </w:tcPr>
          <w:p w:rsidR="00F56EB1" w:rsidRPr="009E5F59" w:rsidRDefault="005804F1" w:rsidP="00CD746E">
            <w:pPr>
              <w:keepNext/>
              <w:keepLines/>
              <w:rPr>
                <w:rFonts w:ascii="Calibri" w:hAnsi="Calibri"/>
                <w:sz w:val="20"/>
                <w:szCs w:val="20"/>
              </w:rPr>
            </w:pPr>
            <w:r w:rsidRPr="009E5F59">
              <w:rPr>
                <w:rFonts w:ascii="Calibri" w:hAnsi="Calibri"/>
                <w:sz w:val="20"/>
                <w:szCs w:val="20"/>
              </w:rPr>
              <w:t>Transfer na SPOD</w:t>
            </w:r>
          </w:p>
        </w:tc>
        <w:tc>
          <w:tcPr>
            <w:tcW w:w="2014" w:type="dxa"/>
            <w:tcBorders>
              <w:top w:val="nil"/>
              <w:left w:val="nil"/>
              <w:bottom w:val="single" w:sz="4" w:space="0" w:color="auto"/>
              <w:right w:val="single" w:sz="4" w:space="0" w:color="auto"/>
            </w:tcBorders>
            <w:shd w:val="clear" w:color="auto" w:fill="auto"/>
            <w:vAlign w:val="center"/>
          </w:tcPr>
          <w:p w:rsidR="00F56EB1" w:rsidRPr="0074755B" w:rsidRDefault="005804F1" w:rsidP="00AF4FF3">
            <w:pPr>
              <w:jc w:val="right"/>
              <w:rPr>
                <w:rFonts w:ascii="Calibri" w:hAnsi="Calibri" w:cs="Calibri"/>
                <w:sz w:val="20"/>
                <w:szCs w:val="20"/>
              </w:rPr>
            </w:pPr>
            <w:r w:rsidRPr="0074755B">
              <w:rPr>
                <w:rFonts w:ascii="Calibri" w:hAnsi="Calibri" w:cs="Calibri"/>
                <w:sz w:val="20"/>
                <w:szCs w:val="20"/>
              </w:rPr>
              <w:t>2 827 595,00</w:t>
            </w:r>
          </w:p>
        </w:tc>
      </w:tr>
      <w:tr w:rsidR="009D7E1B" w:rsidRPr="009D7E1B" w:rsidTr="00642A74">
        <w:trPr>
          <w:cantSplit/>
          <w:trHeight w:val="396"/>
        </w:trPr>
        <w:tc>
          <w:tcPr>
            <w:tcW w:w="0" w:type="auto"/>
            <w:gridSpan w:val="2"/>
            <w:tcBorders>
              <w:bottom w:val="single" w:sz="4" w:space="0" w:color="auto"/>
            </w:tcBorders>
            <w:shd w:val="clear" w:color="auto" w:fill="C5E0B3"/>
            <w:vAlign w:val="center"/>
          </w:tcPr>
          <w:p w:rsidR="004840B0" w:rsidRPr="00AF4FF3" w:rsidRDefault="002775EE" w:rsidP="00C45BEC">
            <w:pPr>
              <w:keepNext/>
              <w:keepLines/>
              <w:rPr>
                <w:rFonts w:ascii="Calibri" w:hAnsi="Calibri" w:cs="Calibri"/>
                <w:b/>
                <w:bCs/>
                <w:sz w:val="20"/>
                <w:szCs w:val="20"/>
              </w:rPr>
            </w:pPr>
            <w:r w:rsidRPr="00AF4FF3">
              <w:rPr>
                <w:rFonts w:ascii="Calibri" w:hAnsi="Calibri"/>
                <w:b/>
                <w:bCs/>
                <w:sz w:val="20"/>
                <w:szCs w:val="20"/>
              </w:rPr>
              <w:t>Celkem</w:t>
            </w:r>
          </w:p>
        </w:tc>
        <w:tc>
          <w:tcPr>
            <w:tcW w:w="2014" w:type="dxa"/>
            <w:tcBorders>
              <w:bottom w:val="single" w:sz="4" w:space="0" w:color="auto"/>
            </w:tcBorders>
            <w:shd w:val="clear" w:color="auto" w:fill="C5E0B3"/>
            <w:vAlign w:val="center"/>
          </w:tcPr>
          <w:p w:rsidR="004840B0" w:rsidRPr="00AF4FF3" w:rsidRDefault="005804F1" w:rsidP="009E5F59">
            <w:pPr>
              <w:keepNext/>
              <w:keepLines/>
              <w:jc w:val="right"/>
              <w:rPr>
                <w:rFonts w:ascii="Calibri" w:hAnsi="Calibri" w:cs="Calibri"/>
                <w:b/>
                <w:bCs/>
                <w:sz w:val="20"/>
                <w:szCs w:val="20"/>
              </w:rPr>
            </w:pPr>
            <w:r w:rsidRPr="009E5F59">
              <w:rPr>
                <w:rFonts w:ascii="Calibri" w:hAnsi="Calibri"/>
                <w:b/>
                <w:bCs/>
                <w:sz w:val="20"/>
                <w:szCs w:val="20"/>
              </w:rPr>
              <w:t>2</w:t>
            </w:r>
            <w:r w:rsidR="009E5F59" w:rsidRPr="009E5F59">
              <w:rPr>
                <w:rFonts w:ascii="Calibri" w:hAnsi="Calibri"/>
                <w:b/>
                <w:bCs/>
                <w:sz w:val="20"/>
                <w:szCs w:val="20"/>
              </w:rPr>
              <w:t> 874 949,42</w:t>
            </w:r>
          </w:p>
        </w:tc>
      </w:tr>
    </w:tbl>
    <w:p w:rsidR="004840B0" w:rsidRDefault="004840B0" w:rsidP="004840B0">
      <w:pPr>
        <w:spacing w:after="120"/>
        <w:rPr>
          <w:rFonts w:ascii="Calibri" w:hAnsi="Calibri"/>
          <w:b/>
          <w:color w:val="BFBFBF" w:themeColor="background1" w:themeShade="BF"/>
          <w:sz w:val="20"/>
          <w:szCs w:val="20"/>
          <w:u w:val="single"/>
        </w:rPr>
      </w:pPr>
    </w:p>
    <w:p w:rsidR="005804F1" w:rsidRDefault="005804F1" w:rsidP="004840B0">
      <w:pPr>
        <w:spacing w:after="120"/>
        <w:rPr>
          <w:rFonts w:ascii="Calibri" w:hAnsi="Calibri"/>
          <w:b/>
          <w:color w:val="BFBFBF" w:themeColor="background1" w:themeShade="BF"/>
          <w:sz w:val="20"/>
          <w:szCs w:val="20"/>
          <w:u w:val="single"/>
        </w:rPr>
      </w:pPr>
    </w:p>
    <w:p w:rsidR="005804F1" w:rsidRDefault="005804F1" w:rsidP="004840B0">
      <w:pPr>
        <w:spacing w:after="120"/>
        <w:rPr>
          <w:rFonts w:ascii="Calibri" w:hAnsi="Calibri"/>
          <w:b/>
          <w:color w:val="BFBFBF" w:themeColor="background1" w:themeShade="BF"/>
          <w:sz w:val="20"/>
          <w:szCs w:val="20"/>
          <w:u w:val="single"/>
        </w:rPr>
      </w:pPr>
    </w:p>
    <w:p w:rsidR="005804F1" w:rsidRDefault="005804F1" w:rsidP="004840B0">
      <w:pPr>
        <w:spacing w:after="120"/>
        <w:rPr>
          <w:rFonts w:ascii="Calibri" w:hAnsi="Calibri"/>
          <w:b/>
          <w:color w:val="BFBFBF" w:themeColor="background1" w:themeShade="BF"/>
          <w:sz w:val="20"/>
          <w:szCs w:val="20"/>
          <w:u w:val="single"/>
        </w:rPr>
      </w:pPr>
    </w:p>
    <w:p w:rsidR="009E5F59" w:rsidRDefault="009E5F59" w:rsidP="004840B0">
      <w:pPr>
        <w:spacing w:after="120"/>
        <w:rPr>
          <w:rFonts w:ascii="Calibri" w:hAnsi="Calibri"/>
          <w:b/>
          <w:color w:val="BFBFBF" w:themeColor="background1" w:themeShade="BF"/>
          <w:sz w:val="20"/>
          <w:szCs w:val="20"/>
          <w:u w:val="single"/>
        </w:rPr>
      </w:pPr>
    </w:p>
    <w:p w:rsidR="005804F1" w:rsidRDefault="005804F1" w:rsidP="004840B0">
      <w:pPr>
        <w:spacing w:after="120"/>
        <w:rPr>
          <w:rFonts w:ascii="Calibri" w:hAnsi="Calibri"/>
          <w:b/>
          <w:color w:val="BFBFBF" w:themeColor="background1" w:themeShade="BF"/>
          <w:sz w:val="20"/>
          <w:szCs w:val="20"/>
          <w:u w:val="single"/>
        </w:rPr>
      </w:pPr>
    </w:p>
    <w:p w:rsidR="004840B0" w:rsidRDefault="004840B0" w:rsidP="00CA6C24">
      <w:pPr>
        <w:pStyle w:val="Nadpis2"/>
      </w:pPr>
      <w:bookmarkStart w:id="55" w:name="_Toc39129543"/>
      <w:r w:rsidRPr="00AF4FF3">
        <w:lastRenderedPageBreak/>
        <w:t>Finanční hospodaření – návrh finančního vypořádání – peněžní prostředky</w:t>
      </w:r>
      <w:bookmarkEnd w:id="55"/>
    </w:p>
    <w:tbl>
      <w:tblPr>
        <w:tblW w:w="8500" w:type="dxa"/>
        <w:tblCellMar>
          <w:left w:w="70" w:type="dxa"/>
          <w:right w:w="70" w:type="dxa"/>
        </w:tblCellMar>
        <w:tblLook w:val="04A0" w:firstRow="1" w:lastRow="0" w:firstColumn="1" w:lastColumn="0" w:noHBand="0" w:noVBand="1"/>
      </w:tblPr>
      <w:tblGrid>
        <w:gridCol w:w="960"/>
        <w:gridCol w:w="5820"/>
        <w:gridCol w:w="1720"/>
      </w:tblGrid>
      <w:tr w:rsidR="009D2F55" w:rsidTr="009D2F55">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9D2F55" w:rsidRDefault="009D2F55">
            <w:pPr>
              <w:jc w:val="center"/>
              <w:rPr>
                <w:rFonts w:ascii="Calibri" w:hAnsi="Calibri" w:cs="Calibri"/>
                <w:b/>
                <w:bCs/>
                <w:color w:val="000000"/>
                <w:sz w:val="20"/>
                <w:szCs w:val="20"/>
              </w:rPr>
            </w:pPr>
            <w:r>
              <w:rPr>
                <w:rFonts w:ascii="Calibri" w:hAnsi="Calibri" w:cs="Calibri"/>
                <w:b/>
                <w:bCs/>
                <w:color w:val="000000"/>
                <w:sz w:val="20"/>
                <w:szCs w:val="20"/>
              </w:rPr>
              <w:t>ř.</w:t>
            </w:r>
          </w:p>
        </w:tc>
        <w:tc>
          <w:tcPr>
            <w:tcW w:w="5820" w:type="dxa"/>
            <w:tcBorders>
              <w:top w:val="single" w:sz="4" w:space="0" w:color="auto"/>
              <w:left w:val="nil"/>
              <w:bottom w:val="single" w:sz="4" w:space="0" w:color="auto"/>
              <w:right w:val="single" w:sz="4" w:space="0" w:color="auto"/>
            </w:tcBorders>
            <w:shd w:val="clear" w:color="000000" w:fill="FFC000"/>
            <w:noWrap/>
            <w:vAlign w:val="center"/>
            <w:hideMark/>
          </w:tcPr>
          <w:p w:rsidR="009D2F55" w:rsidRDefault="009D2F55">
            <w:pPr>
              <w:jc w:val="center"/>
              <w:rPr>
                <w:rFonts w:ascii="Calibri" w:hAnsi="Calibri" w:cs="Calibri"/>
                <w:b/>
                <w:bCs/>
                <w:color w:val="000000"/>
                <w:sz w:val="20"/>
                <w:szCs w:val="20"/>
              </w:rPr>
            </w:pPr>
            <w:r>
              <w:rPr>
                <w:rFonts w:ascii="Calibri" w:hAnsi="Calibri" w:cs="Calibri"/>
                <w:b/>
                <w:bCs/>
                <w:color w:val="000000"/>
                <w:sz w:val="20"/>
                <w:szCs w:val="20"/>
              </w:rPr>
              <w:t>Text</w:t>
            </w:r>
          </w:p>
        </w:tc>
        <w:tc>
          <w:tcPr>
            <w:tcW w:w="1720" w:type="dxa"/>
            <w:tcBorders>
              <w:top w:val="single" w:sz="4" w:space="0" w:color="auto"/>
              <w:left w:val="nil"/>
              <w:bottom w:val="single" w:sz="4" w:space="0" w:color="auto"/>
              <w:right w:val="single" w:sz="4" w:space="0" w:color="auto"/>
            </w:tcBorders>
            <w:shd w:val="clear" w:color="000000" w:fill="FFC000"/>
            <w:noWrap/>
            <w:vAlign w:val="center"/>
            <w:hideMark/>
          </w:tcPr>
          <w:p w:rsidR="009D2F55" w:rsidRDefault="009D2F55">
            <w:pPr>
              <w:jc w:val="center"/>
              <w:rPr>
                <w:rFonts w:ascii="Calibri" w:hAnsi="Calibri" w:cs="Calibri"/>
                <w:b/>
                <w:bCs/>
                <w:color w:val="000000"/>
                <w:sz w:val="20"/>
                <w:szCs w:val="20"/>
              </w:rPr>
            </w:pPr>
            <w:r>
              <w:rPr>
                <w:rFonts w:ascii="Calibri" w:hAnsi="Calibri" w:cs="Calibri"/>
                <w:b/>
                <w:bCs/>
                <w:color w:val="000000"/>
                <w:sz w:val="20"/>
                <w:szCs w:val="20"/>
              </w:rPr>
              <w:t>Částka</w:t>
            </w:r>
          </w:p>
        </w:tc>
      </w:tr>
      <w:tr w:rsidR="009D2F55" w:rsidTr="009D2F55">
        <w:trPr>
          <w:trHeight w:val="300"/>
        </w:trPr>
        <w:tc>
          <w:tcPr>
            <w:tcW w:w="960" w:type="dxa"/>
            <w:tcBorders>
              <w:top w:val="nil"/>
              <w:left w:val="single" w:sz="4" w:space="0" w:color="auto"/>
              <w:bottom w:val="single" w:sz="4" w:space="0" w:color="auto"/>
              <w:right w:val="single" w:sz="4" w:space="0" w:color="auto"/>
            </w:tcBorders>
            <w:shd w:val="clear" w:color="000000" w:fill="FABF8F"/>
            <w:noWrap/>
            <w:vAlign w:val="center"/>
            <w:hideMark/>
          </w:tcPr>
          <w:p w:rsidR="009D2F55" w:rsidRDefault="009D2F55">
            <w:pPr>
              <w:jc w:val="center"/>
              <w:rPr>
                <w:rFonts w:ascii="Calibri" w:hAnsi="Calibri" w:cs="Calibri"/>
                <w:b/>
                <w:bCs/>
                <w:color w:val="000000"/>
                <w:sz w:val="20"/>
                <w:szCs w:val="20"/>
              </w:rPr>
            </w:pPr>
            <w:r>
              <w:rPr>
                <w:rFonts w:ascii="Calibri" w:hAnsi="Calibri" w:cs="Calibri"/>
                <w:b/>
                <w:bCs/>
                <w:color w:val="000000"/>
                <w:sz w:val="20"/>
                <w:szCs w:val="20"/>
              </w:rPr>
              <w:t>1.</w:t>
            </w:r>
          </w:p>
        </w:tc>
        <w:tc>
          <w:tcPr>
            <w:tcW w:w="5820" w:type="dxa"/>
            <w:tcBorders>
              <w:top w:val="nil"/>
              <w:left w:val="nil"/>
              <w:bottom w:val="single" w:sz="4" w:space="0" w:color="auto"/>
              <w:right w:val="single" w:sz="4" w:space="0" w:color="auto"/>
            </w:tcBorders>
            <w:shd w:val="clear" w:color="000000" w:fill="FABF8F"/>
            <w:noWrap/>
            <w:vAlign w:val="center"/>
            <w:hideMark/>
          </w:tcPr>
          <w:p w:rsidR="009D2F55" w:rsidRDefault="009D2F55">
            <w:pPr>
              <w:rPr>
                <w:rFonts w:ascii="Calibri" w:hAnsi="Calibri" w:cs="Calibri"/>
                <w:b/>
                <w:bCs/>
                <w:color w:val="000000"/>
                <w:sz w:val="20"/>
                <w:szCs w:val="20"/>
              </w:rPr>
            </w:pPr>
            <w:r>
              <w:rPr>
                <w:rFonts w:ascii="Calibri" w:hAnsi="Calibri" w:cs="Calibri"/>
                <w:b/>
                <w:bCs/>
                <w:color w:val="000000"/>
                <w:sz w:val="20"/>
                <w:szCs w:val="20"/>
              </w:rPr>
              <w:t>Zůstatek na ZBÚ</w:t>
            </w:r>
          </w:p>
        </w:tc>
        <w:tc>
          <w:tcPr>
            <w:tcW w:w="1720" w:type="dxa"/>
            <w:tcBorders>
              <w:top w:val="nil"/>
              <w:left w:val="nil"/>
              <w:bottom w:val="single" w:sz="4" w:space="0" w:color="auto"/>
              <w:right w:val="single" w:sz="4" w:space="0" w:color="auto"/>
            </w:tcBorders>
            <w:shd w:val="clear" w:color="000000" w:fill="FABF8F"/>
            <w:noWrap/>
            <w:vAlign w:val="center"/>
            <w:hideMark/>
          </w:tcPr>
          <w:p w:rsidR="009D2F55" w:rsidRDefault="009D2F55">
            <w:pPr>
              <w:jc w:val="right"/>
              <w:rPr>
                <w:rFonts w:ascii="Calibri" w:hAnsi="Calibri" w:cs="Calibri"/>
                <w:b/>
                <w:bCs/>
                <w:color w:val="000000"/>
                <w:sz w:val="20"/>
                <w:szCs w:val="20"/>
              </w:rPr>
            </w:pPr>
            <w:r>
              <w:rPr>
                <w:rFonts w:ascii="Calibri" w:hAnsi="Calibri" w:cs="Calibri"/>
                <w:b/>
                <w:bCs/>
                <w:color w:val="000000"/>
                <w:sz w:val="20"/>
                <w:szCs w:val="20"/>
              </w:rPr>
              <w:t>0,00</w:t>
            </w:r>
          </w:p>
        </w:tc>
      </w:tr>
      <w:tr w:rsidR="009D2F55" w:rsidTr="009D2F5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D2F55" w:rsidRDefault="009D2F55">
            <w:pPr>
              <w:jc w:val="center"/>
              <w:rPr>
                <w:rFonts w:ascii="Calibri" w:hAnsi="Calibri" w:cs="Calibri"/>
                <w:color w:val="000000"/>
                <w:sz w:val="20"/>
                <w:szCs w:val="20"/>
              </w:rPr>
            </w:pPr>
            <w:r>
              <w:rPr>
                <w:rFonts w:ascii="Calibri" w:hAnsi="Calibri" w:cs="Calibri"/>
                <w:color w:val="000000"/>
                <w:sz w:val="20"/>
                <w:szCs w:val="20"/>
              </w:rPr>
              <w:t>a.</w:t>
            </w:r>
          </w:p>
        </w:tc>
        <w:tc>
          <w:tcPr>
            <w:tcW w:w="5820" w:type="dxa"/>
            <w:tcBorders>
              <w:top w:val="nil"/>
              <w:left w:val="nil"/>
              <w:bottom w:val="single" w:sz="4" w:space="0" w:color="auto"/>
              <w:right w:val="single" w:sz="4" w:space="0" w:color="auto"/>
            </w:tcBorders>
            <w:shd w:val="clear" w:color="auto" w:fill="auto"/>
            <w:noWrap/>
            <w:vAlign w:val="center"/>
            <w:hideMark/>
          </w:tcPr>
          <w:p w:rsidR="009D2F55" w:rsidRDefault="009D2F55">
            <w:pPr>
              <w:rPr>
                <w:rFonts w:ascii="Calibri" w:hAnsi="Calibri" w:cs="Calibri"/>
                <w:color w:val="000000"/>
                <w:sz w:val="20"/>
                <w:szCs w:val="20"/>
              </w:rPr>
            </w:pPr>
            <w:r>
              <w:rPr>
                <w:rFonts w:ascii="Calibri" w:hAnsi="Calibri" w:cs="Calibri"/>
                <w:color w:val="000000"/>
                <w:sz w:val="20"/>
                <w:szCs w:val="20"/>
              </w:rPr>
              <w:t>Počáteční stav</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D2F55" w:rsidRDefault="009D2F55">
            <w:pPr>
              <w:jc w:val="right"/>
              <w:rPr>
                <w:rFonts w:ascii="Calibri" w:hAnsi="Calibri" w:cs="Calibri"/>
                <w:sz w:val="20"/>
                <w:szCs w:val="20"/>
              </w:rPr>
            </w:pPr>
            <w:r>
              <w:rPr>
                <w:rFonts w:ascii="Calibri" w:hAnsi="Calibri" w:cs="Calibri"/>
                <w:sz w:val="20"/>
                <w:szCs w:val="20"/>
              </w:rPr>
              <w:t>275 427 901,08</w:t>
            </w:r>
          </w:p>
        </w:tc>
      </w:tr>
      <w:tr w:rsidR="009D2F55" w:rsidTr="009D2F5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D2F55" w:rsidRDefault="009D2F55">
            <w:pPr>
              <w:jc w:val="center"/>
              <w:rPr>
                <w:rFonts w:ascii="Calibri" w:hAnsi="Calibri" w:cs="Calibri"/>
                <w:color w:val="000000"/>
                <w:sz w:val="20"/>
                <w:szCs w:val="20"/>
              </w:rPr>
            </w:pPr>
            <w:r>
              <w:rPr>
                <w:rFonts w:ascii="Calibri" w:hAnsi="Calibri" w:cs="Calibri"/>
                <w:color w:val="000000"/>
                <w:sz w:val="20"/>
                <w:szCs w:val="20"/>
              </w:rPr>
              <w:t>b.</w:t>
            </w:r>
          </w:p>
        </w:tc>
        <w:tc>
          <w:tcPr>
            <w:tcW w:w="5820" w:type="dxa"/>
            <w:tcBorders>
              <w:top w:val="nil"/>
              <w:left w:val="nil"/>
              <w:bottom w:val="single" w:sz="4" w:space="0" w:color="auto"/>
              <w:right w:val="single" w:sz="4" w:space="0" w:color="auto"/>
            </w:tcBorders>
            <w:shd w:val="clear" w:color="auto" w:fill="auto"/>
            <w:noWrap/>
            <w:vAlign w:val="center"/>
            <w:hideMark/>
          </w:tcPr>
          <w:p w:rsidR="009D2F55" w:rsidRDefault="009D2F55">
            <w:pPr>
              <w:rPr>
                <w:rFonts w:ascii="Calibri" w:hAnsi="Calibri" w:cs="Calibri"/>
                <w:color w:val="000000"/>
                <w:sz w:val="20"/>
                <w:szCs w:val="20"/>
              </w:rPr>
            </w:pPr>
            <w:r>
              <w:rPr>
                <w:rFonts w:ascii="Calibri" w:hAnsi="Calibri" w:cs="Calibri"/>
                <w:color w:val="000000"/>
                <w:sz w:val="20"/>
                <w:szCs w:val="20"/>
              </w:rPr>
              <w:t>Změna stavu</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F55" w:rsidRDefault="009D2F55">
            <w:pPr>
              <w:jc w:val="right"/>
              <w:rPr>
                <w:rFonts w:ascii="Calibri" w:hAnsi="Calibri" w:cs="Calibri"/>
                <w:sz w:val="20"/>
                <w:szCs w:val="20"/>
              </w:rPr>
            </w:pPr>
            <w:r>
              <w:rPr>
                <w:rFonts w:ascii="Calibri" w:hAnsi="Calibri" w:cs="Calibri"/>
                <w:sz w:val="20"/>
                <w:szCs w:val="20"/>
              </w:rPr>
              <w:t>39 207 383,41</w:t>
            </w:r>
          </w:p>
        </w:tc>
      </w:tr>
      <w:tr w:rsidR="009D2F55" w:rsidTr="009D2F5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D2F55" w:rsidRDefault="009D2F55">
            <w:pPr>
              <w:jc w:val="center"/>
              <w:rPr>
                <w:rFonts w:ascii="Calibri" w:hAnsi="Calibri" w:cs="Calibri"/>
                <w:color w:val="000000"/>
                <w:sz w:val="20"/>
                <w:szCs w:val="20"/>
              </w:rPr>
            </w:pPr>
            <w:r>
              <w:rPr>
                <w:rFonts w:ascii="Calibri" w:hAnsi="Calibri" w:cs="Calibri"/>
                <w:color w:val="000000"/>
                <w:sz w:val="20"/>
                <w:szCs w:val="20"/>
              </w:rPr>
              <w:t>c.</w:t>
            </w:r>
          </w:p>
        </w:tc>
        <w:tc>
          <w:tcPr>
            <w:tcW w:w="5820" w:type="dxa"/>
            <w:tcBorders>
              <w:top w:val="nil"/>
              <w:left w:val="nil"/>
              <w:bottom w:val="single" w:sz="4" w:space="0" w:color="auto"/>
              <w:right w:val="single" w:sz="4" w:space="0" w:color="auto"/>
            </w:tcBorders>
            <w:shd w:val="clear" w:color="auto" w:fill="auto"/>
            <w:noWrap/>
            <w:vAlign w:val="center"/>
            <w:hideMark/>
          </w:tcPr>
          <w:p w:rsidR="009D2F55" w:rsidRDefault="009D2F55">
            <w:pPr>
              <w:rPr>
                <w:rFonts w:ascii="Calibri" w:hAnsi="Calibri" w:cs="Calibri"/>
                <w:color w:val="000000"/>
                <w:sz w:val="20"/>
                <w:szCs w:val="20"/>
              </w:rPr>
            </w:pPr>
            <w:r>
              <w:rPr>
                <w:rFonts w:ascii="Calibri" w:hAnsi="Calibri" w:cs="Calibri"/>
                <w:color w:val="000000"/>
                <w:sz w:val="20"/>
                <w:szCs w:val="20"/>
              </w:rPr>
              <w:t xml:space="preserve">Převod na FRR a FZ - účet trvalých peněžních fondů bez SF </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D2F55" w:rsidRDefault="009D2F55">
            <w:pPr>
              <w:jc w:val="right"/>
              <w:rPr>
                <w:rFonts w:ascii="Calibri" w:hAnsi="Calibri" w:cs="Calibri"/>
                <w:sz w:val="20"/>
                <w:szCs w:val="20"/>
              </w:rPr>
            </w:pPr>
            <w:r>
              <w:rPr>
                <w:rFonts w:ascii="Calibri" w:hAnsi="Calibri" w:cs="Calibri"/>
                <w:sz w:val="20"/>
                <w:szCs w:val="20"/>
              </w:rPr>
              <w:t>-314 635 284,49</w:t>
            </w:r>
          </w:p>
        </w:tc>
      </w:tr>
      <w:tr w:rsidR="009D2F55" w:rsidTr="009D2F55">
        <w:trPr>
          <w:trHeight w:val="300"/>
        </w:trPr>
        <w:tc>
          <w:tcPr>
            <w:tcW w:w="960" w:type="dxa"/>
            <w:tcBorders>
              <w:top w:val="nil"/>
              <w:left w:val="single" w:sz="4" w:space="0" w:color="auto"/>
              <w:bottom w:val="single" w:sz="4" w:space="0" w:color="auto"/>
              <w:right w:val="single" w:sz="4" w:space="0" w:color="auto"/>
            </w:tcBorders>
            <w:shd w:val="clear" w:color="000000" w:fill="FABF8F"/>
            <w:noWrap/>
            <w:vAlign w:val="center"/>
            <w:hideMark/>
          </w:tcPr>
          <w:p w:rsidR="009D2F55" w:rsidRDefault="009D2F55">
            <w:pPr>
              <w:jc w:val="center"/>
              <w:rPr>
                <w:rFonts w:ascii="Calibri" w:hAnsi="Calibri" w:cs="Calibri"/>
                <w:b/>
                <w:bCs/>
                <w:color w:val="000000"/>
                <w:sz w:val="20"/>
                <w:szCs w:val="20"/>
              </w:rPr>
            </w:pPr>
            <w:r>
              <w:rPr>
                <w:rFonts w:ascii="Calibri" w:hAnsi="Calibri" w:cs="Calibri"/>
                <w:b/>
                <w:bCs/>
                <w:color w:val="000000"/>
                <w:sz w:val="20"/>
                <w:szCs w:val="20"/>
              </w:rPr>
              <w:t>2.</w:t>
            </w:r>
          </w:p>
        </w:tc>
        <w:tc>
          <w:tcPr>
            <w:tcW w:w="5820" w:type="dxa"/>
            <w:tcBorders>
              <w:top w:val="nil"/>
              <w:left w:val="nil"/>
              <w:bottom w:val="single" w:sz="4" w:space="0" w:color="auto"/>
              <w:right w:val="single" w:sz="4" w:space="0" w:color="auto"/>
            </w:tcBorders>
            <w:shd w:val="clear" w:color="000000" w:fill="FABF8F"/>
            <w:noWrap/>
            <w:vAlign w:val="center"/>
            <w:hideMark/>
          </w:tcPr>
          <w:p w:rsidR="009D2F55" w:rsidRDefault="009D2F55">
            <w:pPr>
              <w:rPr>
                <w:rFonts w:ascii="Calibri" w:hAnsi="Calibri" w:cs="Calibri"/>
                <w:b/>
                <w:bCs/>
                <w:color w:val="000000"/>
                <w:sz w:val="20"/>
                <w:szCs w:val="20"/>
              </w:rPr>
            </w:pPr>
            <w:r>
              <w:rPr>
                <w:rFonts w:ascii="Calibri" w:hAnsi="Calibri" w:cs="Calibri"/>
                <w:b/>
                <w:bCs/>
                <w:color w:val="000000"/>
                <w:sz w:val="20"/>
                <w:szCs w:val="20"/>
              </w:rPr>
              <w:t>Zůstatek účtů trvalých peněžních fondů</w:t>
            </w:r>
          </w:p>
        </w:tc>
        <w:tc>
          <w:tcPr>
            <w:tcW w:w="1720" w:type="dxa"/>
            <w:tcBorders>
              <w:top w:val="single" w:sz="4" w:space="0" w:color="auto"/>
              <w:left w:val="nil"/>
              <w:bottom w:val="single" w:sz="4" w:space="0" w:color="auto"/>
              <w:right w:val="single" w:sz="4" w:space="0" w:color="auto"/>
            </w:tcBorders>
            <w:shd w:val="clear" w:color="000000" w:fill="FABF8F"/>
            <w:noWrap/>
            <w:vAlign w:val="center"/>
            <w:hideMark/>
          </w:tcPr>
          <w:p w:rsidR="009D2F55" w:rsidRDefault="009D2F55">
            <w:pPr>
              <w:jc w:val="right"/>
              <w:rPr>
                <w:rFonts w:ascii="Calibri" w:hAnsi="Calibri" w:cs="Calibri"/>
                <w:b/>
                <w:bCs/>
                <w:sz w:val="20"/>
                <w:szCs w:val="20"/>
              </w:rPr>
            </w:pPr>
            <w:r>
              <w:rPr>
                <w:rFonts w:ascii="Calibri" w:hAnsi="Calibri" w:cs="Calibri"/>
                <w:b/>
                <w:bCs/>
                <w:sz w:val="20"/>
                <w:szCs w:val="20"/>
              </w:rPr>
              <w:t>492 152 879,32</w:t>
            </w:r>
          </w:p>
        </w:tc>
      </w:tr>
      <w:tr w:rsidR="009D2F55" w:rsidTr="009D2F5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D2F55" w:rsidRDefault="009D2F55">
            <w:pPr>
              <w:jc w:val="center"/>
              <w:rPr>
                <w:rFonts w:ascii="Calibri" w:hAnsi="Calibri" w:cs="Calibri"/>
                <w:color w:val="000000"/>
                <w:sz w:val="20"/>
                <w:szCs w:val="20"/>
              </w:rPr>
            </w:pPr>
            <w:r>
              <w:rPr>
                <w:rFonts w:ascii="Calibri" w:hAnsi="Calibri" w:cs="Calibri"/>
                <w:color w:val="000000"/>
                <w:sz w:val="20"/>
                <w:szCs w:val="20"/>
              </w:rPr>
              <w:t>a.</w:t>
            </w:r>
          </w:p>
        </w:tc>
        <w:tc>
          <w:tcPr>
            <w:tcW w:w="5820" w:type="dxa"/>
            <w:tcBorders>
              <w:top w:val="nil"/>
              <w:left w:val="nil"/>
              <w:bottom w:val="single" w:sz="4" w:space="0" w:color="auto"/>
              <w:right w:val="single" w:sz="4" w:space="0" w:color="auto"/>
            </w:tcBorders>
            <w:shd w:val="clear" w:color="auto" w:fill="auto"/>
            <w:noWrap/>
            <w:vAlign w:val="center"/>
            <w:hideMark/>
          </w:tcPr>
          <w:p w:rsidR="009D2F55" w:rsidRDefault="009D2F55">
            <w:pPr>
              <w:rPr>
                <w:rFonts w:ascii="Calibri" w:hAnsi="Calibri" w:cs="Calibri"/>
                <w:color w:val="000000"/>
                <w:sz w:val="20"/>
                <w:szCs w:val="20"/>
              </w:rPr>
            </w:pPr>
            <w:r>
              <w:rPr>
                <w:rFonts w:ascii="Calibri" w:hAnsi="Calibri" w:cs="Calibri"/>
                <w:color w:val="000000"/>
                <w:sz w:val="20"/>
                <w:szCs w:val="20"/>
              </w:rPr>
              <w:t>Trvalé peněžní fondy bez SF - počáteční stav</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D2F55" w:rsidRDefault="009D2F55">
            <w:pPr>
              <w:jc w:val="right"/>
              <w:rPr>
                <w:rFonts w:ascii="Calibri" w:hAnsi="Calibri" w:cs="Calibri"/>
                <w:sz w:val="20"/>
                <w:szCs w:val="20"/>
              </w:rPr>
            </w:pPr>
            <w:r>
              <w:rPr>
                <w:rFonts w:ascii="Calibri" w:hAnsi="Calibri" w:cs="Calibri"/>
                <w:sz w:val="20"/>
                <w:szCs w:val="20"/>
              </w:rPr>
              <w:t>198 526 679,86</w:t>
            </w:r>
          </w:p>
        </w:tc>
      </w:tr>
      <w:tr w:rsidR="009D2F55" w:rsidTr="009D2F5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D2F55" w:rsidRDefault="009D2F55">
            <w:pPr>
              <w:jc w:val="center"/>
              <w:rPr>
                <w:rFonts w:ascii="Calibri" w:hAnsi="Calibri" w:cs="Calibri"/>
                <w:color w:val="000000"/>
                <w:sz w:val="20"/>
                <w:szCs w:val="20"/>
              </w:rPr>
            </w:pPr>
            <w:r>
              <w:rPr>
                <w:rFonts w:ascii="Calibri" w:hAnsi="Calibri" w:cs="Calibri"/>
                <w:color w:val="000000"/>
                <w:sz w:val="20"/>
                <w:szCs w:val="20"/>
              </w:rPr>
              <w:t>b.</w:t>
            </w:r>
          </w:p>
        </w:tc>
        <w:tc>
          <w:tcPr>
            <w:tcW w:w="5820" w:type="dxa"/>
            <w:tcBorders>
              <w:top w:val="nil"/>
              <w:left w:val="nil"/>
              <w:bottom w:val="single" w:sz="4" w:space="0" w:color="auto"/>
              <w:right w:val="single" w:sz="4" w:space="0" w:color="auto"/>
            </w:tcBorders>
            <w:shd w:val="clear" w:color="auto" w:fill="auto"/>
            <w:noWrap/>
            <w:vAlign w:val="center"/>
            <w:hideMark/>
          </w:tcPr>
          <w:p w:rsidR="009D2F55" w:rsidRDefault="009D2F55">
            <w:pPr>
              <w:rPr>
                <w:rFonts w:ascii="Calibri" w:hAnsi="Calibri" w:cs="Calibri"/>
                <w:color w:val="000000"/>
                <w:sz w:val="20"/>
                <w:szCs w:val="20"/>
              </w:rPr>
            </w:pPr>
            <w:r>
              <w:rPr>
                <w:rFonts w:ascii="Calibri" w:hAnsi="Calibri" w:cs="Calibri"/>
                <w:color w:val="000000"/>
                <w:sz w:val="20"/>
                <w:szCs w:val="20"/>
              </w:rPr>
              <w:t>Trvalé peněžní fondy bez SF - změna stavu</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9D2F55" w:rsidRDefault="009D2F55">
            <w:pPr>
              <w:jc w:val="right"/>
              <w:rPr>
                <w:rFonts w:ascii="Calibri" w:hAnsi="Calibri" w:cs="Calibri"/>
                <w:sz w:val="20"/>
                <w:szCs w:val="20"/>
              </w:rPr>
            </w:pPr>
            <w:r>
              <w:rPr>
                <w:rFonts w:ascii="Calibri" w:hAnsi="Calibri" w:cs="Calibri"/>
                <w:sz w:val="20"/>
                <w:szCs w:val="20"/>
              </w:rPr>
              <w:t>-25 175 159,83</w:t>
            </w:r>
          </w:p>
        </w:tc>
      </w:tr>
      <w:tr w:rsidR="009D2F55" w:rsidTr="009D2F5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D2F55" w:rsidRDefault="009D2F55">
            <w:pPr>
              <w:jc w:val="center"/>
              <w:rPr>
                <w:rFonts w:ascii="Calibri" w:hAnsi="Calibri" w:cs="Calibri"/>
                <w:color w:val="000000"/>
                <w:sz w:val="20"/>
                <w:szCs w:val="20"/>
              </w:rPr>
            </w:pPr>
            <w:r>
              <w:rPr>
                <w:rFonts w:ascii="Calibri" w:hAnsi="Calibri" w:cs="Calibri"/>
                <w:color w:val="000000"/>
                <w:sz w:val="20"/>
                <w:szCs w:val="20"/>
              </w:rPr>
              <w:t>c.</w:t>
            </w:r>
          </w:p>
        </w:tc>
        <w:tc>
          <w:tcPr>
            <w:tcW w:w="5820" w:type="dxa"/>
            <w:tcBorders>
              <w:top w:val="nil"/>
              <w:left w:val="nil"/>
              <w:bottom w:val="single" w:sz="4" w:space="0" w:color="auto"/>
              <w:right w:val="single" w:sz="4" w:space="0" w:color="auto"/>
            </w:tcBorders>
            <w:shd w:val="clear" w:color="auto" w:fill="auto"/>
            <w:noWrap/>
            <w:vAlign w:val="center"/>
            <w:hideMark/>
          </w:tcPr>
          <w:p w:rsidR="009D2F55" w:rsidRDefault="009D2F55">
            <w:pPr>
              <w:rPr>
                <w:rFonts w:ascii="Calibri" w:hAnsi="Calibri" w:cs="Calibri"/>
                <w:color w:val="000000"/>
                <w:sz w:val="20"/>
                <w:szCs w:val="20"/>
              </w:rPr>
            </w:pPr>
            <w:r>
              <w:rPr>
                <w:rFonts w:ascii="Calibri" w:hAnsi="Calibri" w:cs="Calibri"/>
                <w:color w:val="000000"/>
                <w:sz w:val="20"/>
                <w:szCs w:val="20"/>
              </w:rPr>
              <w:t xml:space="preserve">Trvalé peněžní fondy bez SF - převod ze ZBÚ </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9D2F55" w:rsidRDefault="009D2F55">
            <w:pPr>
              <w:jc w:val="right"/>
              <w:rPr>
                <w:rFonts w:ascii="Calibri" w:hAnsi="Calibri" w:cs="Calibri"/>
                <w:sz w:val="20"/>
                <w:szCs w:val="20"/>
              </w:rPr>
            </w:pPr>
            <w:r>
              <w:rPr>
                <w:rFonts w:ascii="Calibri" w:hAnsi="Calibri" w:cs="Calibri"/>
                <w:sz w:val="20"/>
                <w:szCs w:val="20"/>
              </w:rPr>
              <w:t>314 635 284,49</w:t>
            </w:r>
          </w:p>
        </w:tc>
      </w:tr>
      <w:tr w:rsidR="009D2F55" w:rsidTr="009D2F5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D2F55" w:rsidRDefault="009D2F55">
            <w:pPr>
              <w:jc w:val="center"/>
              <w:rPr>
                <w:rFonts w:ascii="Calibri" w:hAnsi="Calibri" w:cs="Calibri"/>
                <w:color w:val="000000"/>
                <w:sz w:val="20"/>
                <w:szCs w:val="20"/>
              </w:rPr>
            </w:pPr>
            <w:r>
              <w:rPr>
                <w:rFonts w:ascii="Calibri" w:hAnsi="Calibri" w:cs="Calibri"/>
                <w:color w:val="000000"/>
                <w:sz w:val="20"/>
                <w:szCs w:val="20"/>
              </w:rPr>
              <w:t>d.</w:t>
            </w:r>
          </w:p>
        </w:tc>
        <w:tc>
          <w:tcPr>
            <w:tcW w:w="5820" w:type="dxa"/>
            <w:tcBorders>
              <w:top w:val="nil"/>
              <w:left w:val="nil"/>
              <w:bottom w:val="single" w:sz="4" w:space="0" w:color="auto"/>
              <w:right w:val="single" w:sz="4" w:space="0" w:color="auto"/>
            </w:tcBorders>
            <w:shd w:val="clear" w:color="auto" w:fill="auto"/>
            <w:noWrap/>
            <w:vAlign w:val="center"/>
            <w:hideMark/>
          </w:tcPr>
          <w:p w:rsidR="009D2F55" w:rsidRDefault="009D2F55">
            <w:pPr>
              <w:rPr>
                <w:rFonts w:ascii="Calibri" w:hAnsi="Calibri" w:cs="Calibri"/>
                <w:color w:val="000000"/>
                <w:sz w:val="20"/>
                <w:szCs w:val="20"/>
              </w:rPr>
            </w:pPr>
            <w:r>
              <w:rPr>
                <w:rFonts w:ascii="Calibri" w:hAnsi="Calibri" w:cs="Calibri"/>
                <w:color w:val="000000"/>
                <w:sz w:val="20"/>
                <w:szCs w:val="20"/>
              </w:rPr>
              <w:t>Sociální fond - počáteční stav</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D2F55" w:rsidRDefault="009D2F55">
            <w:pPr>
              <w:jc w:val="right"/>
              <w:rPr>
                <w:rFonts w:ascii="Calibri" w:hAnsi="Calibri" w:cs="Calibri"/>
                <w:sz w:val="20"/>
                <w:szCs w:val="20"/>
              </w:rPr>
            </w:pPr>
            <w:r>
              <w:rPr>
                <w:rFonts w:ascii="Calibri" w:hAnsi="Calibri" w:cs="Calibri"/>
                <w:sz w:val="20"/>
                <w:szCs w:val="20"/>
              </w:rPr>
              <w:t>4 311 985,52</w:t>
            </w:r>
          </w:p>
        </w:tc>
      </w:tr>
      <w:tr w:rsidR="009D2F55" w:rsidTr="009D2F5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D2F55" w:rsidRDefault="009D2F55">
            <w:pPr>
              <w:jc w:val="center"/>
              <w:rPr>
                <w:rFonts w:ascii="Calibri" w:hAnsi="Calibri" w:cs="Calibri"/>
                <w:color w:val="000000"/>
                <w:sz w:val="20"/>
                <w:szCs w:val="20"/>
              </w:rPr>
            </w:pPr>
            <w:r>
              <w:rPr>
                <w:rFonts w:ascii="Calibri" w:hAnsi="Calibri" w:cs="Calibri"/>
                <w:color w:val="000000"/>
                <w:sz w:val="20"/>
                <w:szCs w:val="20"/>
              </w:rPr>
              <w:t>e.</w:t>
            </w:r>
          </w:p>
        </w:tc>
        <w:tc>
          <w:tcPr>
            <w:tcW w:w="5820" w:type="dxa"/>
            <w:tcBorders>
              <w:top w:val="nil"/>
              <w:left w:val="nil"/>
              <w:bottom w:val="single" w:sz="4" w:space="0" w:color="auto"/>
              <w:right w:val="single" w:sz="4" w:space="0" w:color="auto"/>
            </w:tcBorders>
            <w:shd w:val="clear" w:color="auto" w:fill="auto"/>
            <w:noWrap/>
            <w:vAlign w:val="center"/>
            <w:hideMark/>
          </w:tcPr>
          <w:p w:rsidR="009D2F55" w:rsidRDefault="009D2F55">
            <w:pPr>
              <w:rPr>
                <w:rFonts w:ascii="Calibri" w:hAnsi="Calibri" w:cs="Calibri"/>
                <w:color w:val="000000"/>
                <w:sz w:val="20"/>
                <w:szCs w:val="20"/>
              </w:rPr>
            </w:pPr>
            <w:r>
              <w:rPr>
                <w:rFonts w:ascii="Calibri" w:hAnsi="Calibri" w:cs="Calibri"/>
                <w:color w:val="000000"/>
                <w:sz w:val="20"/>
                <w:szCs w:val="20"/>
              </w:rPr>
              <w:t>Sociální fond - změna stavu</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9D2F55" w:rsidRDefault="009D2F55">
            <w:pPr>
              <w:jc w:val="right"/>
              <w:rPr>
                <w:rFonts w:ascii="Calibri" w:hAnsi="Calibri" w:cs="Calibri"/>
                <w:sz w:val="20"/>
                <w:szCs w:val="20"/>
              </w:rPr>
            </w:pPr>
            <w:r>
              <w:rPr>
                <w:rFonts w:ascii="Calibri" w:hAnsi="Calibri" w:cs="Calibri"/>
                <w:sz w:val="20"/>
                <w:szCs w:val="20"/>
              </w:rPr>
              <w:t>-145 910,72</w:t>
            </w:r>
          </w:p>
        </w:tc>
      </w:tr>
      <w:tr w:rsidR="009D2F55" w:rsidTr="009D2F55">
        <w:trPr>
          <w:trHeight w:val="300"/>
        </w:trPr>
        <w:tc>
          <w:tcPr>
            <w:tcW w:w="960" w:type="dxa"/>
            <w:tcBorders>
              <w:top w:val="nil"/>
              <w:left w:val="single" w:sz="4" w:space="0" w:color="auto"/>
              <w:bottom w:val="single" w:sz="4" w:space="0" w:color="auto"/>
              <w:right w:val="single" w:sz="4" w:space="0" w:color="auto"/>
            </w:tcBorders>
            <w:shd w:val="clear" w:color="000000" w:fill="FABF8F"/>
            <w:noWrap/>
            <w:vAlign w:val="center"/>
            <w:hideMark/>
          </w:tcPr>
          <w:p w:rsidR="009D2F55" w:rsidRDefault="009D2F55">
            <w:pPr>
              <w:jc w:val="center"/>
              <w:rPr>
                <w:rFonts w:ascii="Calibri" w:hAnsi="Calibri" w:cs="Calibri"/>
                <w:b/>
                <w:bCs/>
                <w:color w:val="000000"/>
                <w:sz w:val="20"/>
                <w:szCs w:val="20"/>
              </w:rPr>
            </w:pPr>
            <w:r>
              <w:rPr>
                <w:rFonts w:ascii="Calibri" w:hAnsi="Calibri" w:cs="Calibri"/>
                <w:b/>
                <w:bCs/>
                <w:color w:val="000000"/>
                <w:sz w:val="20"/>
                <w:szCs w:val="20"/>
              </w:rPr>
              <w:t>3.</w:t>
            </w:r>
          </w:p>
        </w:tc>
        <w:tc>
          <w:tcPr>
            <w:tcW w:w="5820" w:type="dxa"/>
            <w:tcBorders>
              <w:top w:val="nil"/>
              <w:left w:val="nil"/>
              <w:bottom w:val="single" w:sz="4" w:space="0" w:color="auto"/>
              <w:right w:val="single" w:sz="4" w:space="0" w:color="auto"/>
            </w:tcBorders>
            <w:shd w:val="clear" w:color="000000" w:fill="FABF8F"/>
            <w:noWrap/>
            <w:vAlign w:val="center"/>
            <w:hideMark/>
          </w:tcPr>
          <w:p w:rsidR="009D2F55" w:rsidRDefault="009D2F55">
            <w:pPr>
              <w:rPr>
                <w:rFonts w:ascii="Calibri" w:hAnsi="Calibri" w:cs="Calibri"/>
                <w:b/>
                <w:bCs/>
                <w:color w:val="000000"/>
                <w:sz w:val="20"/>
                <w:szCs w:val="20"/>
              </w:rPr>
            </w:pPr>
            <w:r>
              <w:rPr>
                <w:rFonts w:ascii="Calibri" w:hAnsi="Calibri" w:cs="Calibri"/>
                <w:b/>
                <w:bCs/>
                <w:color w:val="000000"/>
                <w:sz w:val="20"/>
                <w:szCs w:val="20"/>
              </w:rPr>
              <w:t>Zůstatek depozitního účtu</w:t>
            </w:r>
          </w:p>
        </w:tc>
        <w:tc>
          <w:tcPr>
            <w:tcW w:w="1720" w:type="dxa"/>
            <w:tcBorders>
              <w:top w:val="single" w:sz="4" w:space="0" w:color="auto"/>
              <w:left w:val="nil"/>
              <w:bottom w:val="single" w:sz="4" w:space="0" w:color="auto"/>
              <w:right w:val="single" w:sz="4" w:space="0" w:color="auto"/>
            </w:tcBorders>
            <w:shd w:val="clear" w:color="000000" w:fill="FABF8F"/>
            <w:noWrap/>
            <w:vAlign w:val="center"/>
            <w:hideMark/>
          </w:tcPr>
          <w:p w:rsidR="009D2F55" w:rsidRDefault="009D2F55">
            <w:pPr>
              <w:jc w:val="right"/>
              <w:rPr>
                <w:rFonts w:ascii="Calibri" w:hAnsi="Calibri" w:cs="Calibri"/>
                <w:b/>
                <w:bCs/>
                <w:color w:val="000000"/>
                <w:sz w:val="20"/>
                <w:szCs w:val="20"/>
              </w:rPr>
            </w:pPr>
            <w:r>
              <w:rPr>
                <w:rFonts w:ascii="Calibri" w:hAnsi="Calibri" w:cs="Calibri"/>
                <w:b/>
                <w:bCs/>
                <w:color w:val="000000"/>
                <w:sz w:val="20"/>
                <w:szCs w:val="20"/>
              </w:rPr>
              <w:t>13 911 152,12</w:t>
            </w:r>
          </w:p>
        </w:tc>
      </w:tr>
      <w:tr w:rsidR="009D2F55" w:rsidTr="009D2F5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D2F55" w:rsidRDefault="009D2F55">
            <w:pPr>
              <w:jc w:val="center"/>
              <w:rPr>
                <w:rFonts w:ascii="Calibri" w:hAnsi="Calibri" w:cs="Calibri"/>
                <w:color w:val="000000"/>
                <w:sz w:val="20"/>
                <w:szCs w:val="20"/>
              </w:rPr>
            </w:pPr>
            <w:r>
              <w:rPr>
                <w:rFonts w:ascii="Calibri" w:hAnsi="Calibri" w:cs="Calibri"/>
                <w:color w:val="000000"/>
                <w:sz w:val="20"/>
                <w:szCs w:val="20"/>
              </w:rPr>
              <w:t>a.</w:t>
            </w:r>
          </w:p>
        </w:tc>
        <w:tc>
          <w:tcPr>
            <w:tcW w:w="5820" w:type="dxa"/>
            <w:tcBorders>
              <w:top w:val="nil"/>
              <w:left w:val="nil"/>
              <w:bottom w:val="single" w:sz="4" w:space="0" w:color="auto"/>
              <w:right w:val="single" w:sz="4" w:space="0" w:color="auto"/>
            </w:tcBorders>
            <w:shd w:val="clear" w:color="auto" w:fill="auto"/>
            <w:noWrap/>
            <w:vAlign w:val="center"/>
            <w:hideMark/>
          </w:tcPr>
          <w:p w:rsidR="009D2F55" w:rsidRDefault="009D2F55">
            <w:pPr>
              <w:rPr>
                <w:rFonts w:ascii="Calibri" w:hAnsi="Calibri" w:cs="Calibri"/>
                <w:color w:val="000000"/>
                <w:sz w:val="20"/>
                <w:szCs w:val="20"/>
              </w:rPr>
            </w:pPr>
            <w:r>
              <w:rPr>
                <w:rFonts w:ascii="Calibri" w:hAnsi="Calibri" w:cs="Calibri"/>
                <w:color w:val="000000"/>
                <w:sz w:val="20"/>
                <w:szCs w:val="20"/>
              </w:rPr>
              <w:t>Počáteční stav</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D2F55" w:rsidRDefault="009D2F55">
            <w:pPr>
              <w:jc w:val="right"/>
              <w:rPr>
                <w:rFonts w:ascii="Calibri" w:hAnsi="Calibri" w:cs="Calibri"/>
                <w:sz w:val="20"/>
                <w:szCs w:val="20"/>
              </w:rPr>
            </w:pPr>
            <w:r>
              <w:rPr>
                <w:rFonts w:ascii="Calibri" w:hAnsi="Calibri" w:cs="Calibri"/>
                <w:sz w:val="20"/>
                <w:szCs w:val="20"/>
              </w:rPr>
              <w:t>14 095 657,50</w:t>
            </w:r>
          </w:p>
        </w:tc>
      </w:tr>
      <w:tr w:rsidR="009D2F55" w:rsidTr="009D2F5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D2F55" w:rsidRDefault="009D2F55">
            <w:pPr>
              <w:jc w:val="center"/>
              <w:rPr>
                <w:rFonts w:ascii="Calibri" w:hAnsi="Calibri" w:cs="Calibri"/>
                <w:color w:val="000000"/>
                <w:sz w:val="20"/>
                <w:szCs w:val="20"/>
              </w:rPr>
            </w:pPr>
            <w:r>
              <w:rPr>
                <w:rFonts w:ascii="Calibri" w:hAnsi="Calibri" w:cs="Calibri"/>
                <w:color w:val="000000"/>
                <w:sz w:val="20"/>
                <w:szCs w:val="20"/>
              </w:rPr>
              <w:t>b.</w:t>
            </w:r>
          </w:p>
        </w:tc>
        <w:tc>
          <w:tcPr>
            <w:tcW w:w="5820" w:type="dxa"/>
            <w:tcBorders>
              <w:top w:val="nil"/>
              <w:left w:val="nil"/>
              <w:bottom w:val="single" w:sz="4" w:space="0" w:color="auto"/>
              <w:right w:val="single" w:sz="4" w:space="0" w:color="auto"/>
            </w:tcBorders>
            <w:shd w:val="clear" w:color="auto" w:fill="auto"/>
            <w:noWrap/>
            <w:vAlign w:val="center"/>
            <w:hideMark/>
          </w:tcPr>
          <w:p w:rsidR="009D2F55" w:rsidRDefault="009D2F55">
            <w:pPr>
              <w:rPr>
                <w:rFonts w:ascii="Calibri" w:hAnsi="Calibri" w:cs="Calibri"/>
                <w:color w:val="000000"/>
                <w:sz w:val="20"/>
                <w:szCs w:val="20"/>
              </w:rPr>
            </w:pPr>
            <w:r>
              <w:rPr>
                <w:rFonts w:ascii="Calibri" w:hAnsi="Calibri" w:cs="Calibri"/>
                <w:color w:val="000000"/>
                <w:sz w:val="20"/>
                <w:szCs w:val="20"/>
              </w:rPr>
              <w:t>Změna stavu</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F55" w:rsidRDefault="009D2F55">
            <w:pPr>
              <w:jc w:val="right"/>
              <w:rPr>
                <w:rFonts w:ascii="Calibri" w:hAnsi="Calibri" w:cs="Calibri"/>
                <w:sz w:val="20"/>
                <w:szCs w:val="20"/>
              </w:rPr>
            </w:pPr>
            <w:r>
              <w:rPr>
                <w:rFonts w:ascii="Calibri" w:hAnsi="Calibri" w:cs="Calibri"/>
                <w:sz w:val="20"/>
                <w:szCs w:val="20"/>
              </w:rPr>
              <w:t>-184 505,38</w:t>
            </w:r>
          </w:p>
        </w:tc>
      </w:tr>
      <w:tr w:rsidR="009D2F55" w:rsidTr="009D2F55">
        <w:trPr>
          <w:trHeight w:val="300"/>
        </w:trPr>
        <w:tc>
          <w:tcPr>
            <w:tcW w:w="960" w:type="dxa"/>
            <w:tcBorders>
              <w:top w:val="nil"/>
              <w:left w:val="single" w:sz="4" w:space="0" w:color="auto"/>
              <w:bottom w:val="single" w:sz="4" w:space="0" w:color="auto"/>
              <w:right w:val="single" w:sz="4" w:space="0" w:color="auto"/>
            </w:tcBorders>
            <w:shd w:val="clear" w:color="000000" w:fill="FABF8F"/>
            <w:noWrap/>
            <w:vAlign w:val="center"/>
            <w:hideMark/>
          </w:tcPr>
          <w:p w:rsidR="009D2F55" w:rsidRDefault="009D2F55">
            <w:pPr>
              <w:jc w:val="center"/>
              <w:rPr>
                <w:rFonts w:ascii="Calibri" w:hAnsi="Calibri" w:cs="Calibri"/>
                <w:b/>
                <w:bCs/>
                <w:color w:val="000000"/>
                <w:sz w:val="20"/>
                <w:szCs w:val="20"/>
              </w:rPr>
            </w:pPr>
            <w:r>
              <w:rPr>
                <w:rFonts w:ascii="Calibri" w:hAnsi="Calibri" w:cs="Calibri"/>
                <w:b/>
                <w:bCs/>
                <w:color w:val="000000"/>
                <w:sz w:val="20"/>
                <w:szCs w:val="20"/>
              </w:rPr>
              <w:t>4.</w:t>
            </w:r>
          </w:p>
        </w:tc>
        <w:tc>
          <w:tcPr>
            <w:tcW w:w="5820" w:type="dxa"/>
            <w:tcBorders>
              <w:top w:val="nil"/>
              <w:left w:val="nil"/>
              <w:bottom w:val="single" w:sz="4" w:space="0" w:color="auto"/>
              <w:right w:val="single" w:sz="4" w:space="0" w:color="auto"/>
            </w:tcBorders>
            <w:shd w:val="clear" w:color="000000" w:fill="FABF8F"/>
            <w:noWrap/>
            <w:vAlign w:val="center"/>
            <w:hideMark/>
          </w:tcPr>
          <w:p w:rsidR="009D2F55" w:rsidRDefault="009D2F55">
            <w:pPr>
              <w:rPr>
                <w:rFonts w:ascii="Calibri" w:hAnsi="Calibri" w:cs="Calibri"/>
                <w:b/>
                <w:bCs/>
                <w:color w:val="000000"/>
                <w:sz w:val="20"/>
                <w:szCs w:val="20"/>
              </w:rPr>
            </w:pPr>
            <w:r>
              <w:rPr>
                <w:rFonts w:ascii="Calibri" w:hAnsi="Calibri" w:cs="Calibri"/>
                <w:b/>
                <w:bCs/>
                <w:color w:val="000000"/>
                <w:sz w:val="20"/>
                <w:szCs w:val="20"/>
              </w:rPr>
              <w:t>Aktivní vypořádání příspěvkových organizací (návrh usnesení)</w:t>
            </w:r>
          </w:p>
        </w:tc>
        <w:tc>
          <w:tcPr>
            <w:tcW w:w="1720" w:type="dxa"/>
            <w:tcBorders>
              <w:top w:val="single" w:sz="4" w:space="0" w:color="auto"/>
              <w:left w:val="nil"/>
              <w:bottom w:val="single" w:sz="4" w:space="0" w:color="auto"/>
              <w:right w:val="single" w:sz="4" w:space="0" w:color="auto"/>
            </w:tcBorders>
            <w:shd w:val="clear" w:color="000000" w:fill="FABF8F"/>
            <w:noWrap/>
            <w:vAlign w:val="center"/>
            <w:hideMark/>
          </w:tcPr>
          <w:p w:rsidR="009D2F55" w:rsidRDefault="009D2F55">
            <w:pPr>
              <w:jc w:val="right"/>
              <w:rPr>
                <w:rFonts w:ascii="Calibri" w:hAnsi="Calibri" w:cs="Calibri"/>
                <w:b/>
                <w:bCs/>
                <w:sz w:val="20"/>
                <w:szCs w:val="20"/>
              </w:rPr>
            </w:pPr>
            <w:r>
              <w:rPr>
                <w:rFonts w:ascii="Calibri" w:hAnsi="Calibri" w:cs="Calibri"/>
                <w:b/>
                <w:bCs/>
                <w:sz w:val="20"/>
                <w:szCs w:val="20"/>
              </w:rPr>
              <w:t>527 995,85</w:t>
            </w:r>
          </w:p>
        </w:tc>
      </w:tr>
      <w:tr w:rsidR="009D2F55" w:rsidTr="009D2F5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D2F55" w:rsidRDefault="009D2F55">
            <w:pPr>
              <w:jc w:val="center"/>
              <w:rPr>
                <w:rFonts w:ascii="Calibri" w:hAnsi="Calibri" w:cs="Calibri"/>
                <w:color w:val="000000"/>
                <w:sz w:val="20"/>
                <w:szCs w:val="20"/>
              </w:rPr>
            </w:pPr>
            <w:r>
              <w:rPr>
                <w:rFonts w:ascii="Calibri" w:hAnsi="Calibri" w:cs="Calibri"/>
                <w:color w:val="000000"/>
                <w:sz w:val="20"/>
                <w:szCs w:val="20"/>
              </w:rPr>
              <w:t>a.</w:t>
            </w:r>
          </w:p>
        </w:tc>
        <w:tc>
          <w:tcPr>
            <w:tcW w:w="5820" w:type="dxa"/>
            <w:tcBorders>
              <w:top w:val="nil"/>
              <w:left w:val="nil"/>
              <w:bottom w:val="single" w:sz="4" w:space="0" w:color="auto"/>
              <w:right w:val="single" w:sz="4" w:space="0" w:color="auto"/>
            </w:tcBorders>
            <w:shd w:val="clear" w:color="auto" w:fill="auto"/>
            <w:noWrap/>
            <w:vAlign w:val="center"/>
            <w:hideMark/>
          </w:tcPr>
          <w:p w:rsidR="009D2F55" w:rsidRDefault="009D2F55">
            <w:pPr>
              <w:rPr>
                <w:rFonts w:ascii="Calibri" w:hAnsi="Calibri" w:cs="Calibri"/>
                <w:color w:val="000000"/>
                <w:sz w:val="20"/>
                <w:szCs w:val="20"/>
              </w:rPr>
            </w:pPr>
            <w:r>
              <w:rPr>
                <w:rFonts w:ascii="Calibri" w:hAnsi="Calibri" w:cs="Calibri"/>
                <w:color w:val="000000"/>
                <w:sz w:val="20"/>
                <w:szCs w:val="20"/>
              </w:rPr>
              <w:t>MŠ Prostějov, Rumunská 23</w:t>
            </w:r>
          </w:p>
        </w:tc>
        <w:tc>
          <w:tcPr>
            <w:tcW w:w="1720" w:type="dxa"/>
            <w:tcBorders>
              <w:top w:val="nil"/>
              <w:left w:val="nil"/>
              <w:bottom w:val="single" w:sz="4" w:space="0" w:color="auto"/>
              <w:right w:val="single" w:sz="4" w:space="0" w:color="auto"/>
            </w:tcBorders>
            <w:shd w:val="clear" w:color="auto" w:fill="auto"/>
            <w:noWrap/>
            <w:vAlign w:val="center"/>
            <w:hideMark/>
          </w:tcPr>
          <w:p w:rsidR="009D2F55" w:rsidRDefault="009D2F55">
            <w:pPr>
              <w:jc w:val="right"/>
              <w:rPr>
                <w:rFonts w:ascii="Calibri" w:hAnsi="Calibri" w:cs="Calibri"/>
                <w:color w:val="000000"/>
                <w:sz w:val="20"/>
                <w:szCs w:val="20"/>
              </w:rPr>
            </w:pPr>
            <w:r>
              <w:rPr>
                <w:rFonts w:ascii="Calibri" w:hAnsi="Calibri" w:cs="Calibri"/>
                <w:color w:val="000000"/>
                <w:sz w:val="20"/>
                <w:szCs w:val="20"/>
              </w:rPr>
              <w:t>1 408,00</w:t>
            </w:r>
          </w:p>
        </w:tc>
      </w:tr>
      <w:tr w:rsidR="009D2F55" w:rsidTr="009D2F5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D2F55" w:rsidRDefault="009D2F55">
            <w:pPr>
              <w:jc w:val="center"/>
              <w:rPr>
                <w:rFonts w:ascii="Calibri" w:hAnsi="Calibri" w:cs="Calibri"/>
                <w:color w:val="000000"/>
                <w:sz w:val="20"/>
                <w:szCs w:val="20"/>
              </w:rPr>
            </w:pPr>
            <w:r>
              <w:rPr>
                <w:rFonts w:ascii="Calibri" w:hAnsi="Calibri" w:cs="Calibri"/>
                <w:color w:val="000000"/>
                <w:sz w:val="20"/>
                <w:szCs w:val="20"/>
              </w:rPr>
              <w:t>b.</w:t>
            </w:r>
          </w:p>
        </w:tc>
        <w:tc>
          <w:tcPr>
            <w:tcW w:w="5820" w:type="dxa"/>
            <w:tcBorders>
              <w:top w:val="nil"/>
              <w:left w:val="nil"/>
              <w:bottom w:val="single" w:sz="4" w:space="0" w:color="auto"/>
              <w:right w:val="single" w:sz="4" w:space="0" w:color="auto"/>
            </w:tcBorders>
            <w:shd w:val="clear" w:color="auto" w:fill="auto"/>
            <w:noWrap/>
            <w:vAlign w:val="center"/>
            <w:hideMark/>
          </w:tcPr>
          <w:p w:rsidR="009D2F55" w:rsidRDefault="009D2F55">
            <w:pPr>
              <w:rPr>
                <w:rFonts w:ascii="Calibri" w:hAnsi="Calibri" w:cs="Calibri"/>
                <w:color w:val="000000"/>
                <w:sz w:val="20"/>
                <w:szCs w:val="20"/>
              </w:rPr>
            </w:pPr>
            <w:r>
              <w:rPr>
                <w:rFonts w:ascii="Calibri" w:hAnsi="Calibri" w:cs="Calibri"/>
                <w:color w:val="000000"/>
                <w:sz w:val="20"/>
                <w:szCs w:val="20"/>
              </w:rPr>
              <w:t>MŠ Prostějov, Šárka 4a</w:t>
            </w:r>
          </w:p>
        </w:tc>
        <w:tc>
          <w:tcPr>
            <w:tcW w:w="1720" w:type="dxa"/>
            <w:tcBorders>
              <w:top w:val="nil"/>
              <w:left w:val="nil"/>
              <w:bottom w:val="single" w:sz="4" w:space="0" w:color="auto"/>
              <w:right w:val="single" w:sz="4" w:space="0" w:color="auto"/>
            </w:tcBorders>
            <w:shd w:val="clear" w:color="auto" w:fill="auto"/>
            <w:noWrap/>
            <w:vAlign w:val="center"/>
            <w:hideMark/>
          </w:tcPr>
          <w:p w:rsidR="009D2F55" w:rsidRDefault="009D2F55">
            <w:pPr>
              <w:jc w:val="right"/>
              <w:rPr>
                <w:rFonts w:ascii="Calibri" w:hAnsi="Calibri" w:cs="Calibri"/>
                <w:color w:val="000000"/>
                <w:sz w:val="20"/>
                <w:szCs w:val="20"/>
              </w:rPr>
            </w:pPr>
            <w:r>
              <w:rPr>
                <w:rFonts w:ascii="Calibri" w:hAnsi="Calibri" w:cs="Calibri"/>
                <w:color w:val="000000"/>
                <w:sz w:val="20"/>
                <w:szCs w:val="20"/>
              </w:rPr>
              <w:t>480,00</w:t>
            </w:r>
          </w:p>
        </w:tc>
      </w:tr>
      <w:tr w:rsidR="009D2F55" w:rsidTr="009D2F5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D2F55" w:rsidRDefault="009D2F55">
            <w:pPr>
              <w:jc w:val="center"/>
              <w:rPr>
                <w:rFonts w:ascii="Calibri" w:hAnsi="Calibri" w:cs="Calibri"/>
                <w:color w:val="000000"/>
                <w:sz w:val="20"/>
                <w:szCs w:val="20"/>
              </w:rPr>
            </w:pPr>
            <w:r>
              <w:rPr>
                <w:rFonts w:ascii="Calibri" w:hAnsi="Calibri" w:cs="Calibri"/>
                <w:color w:val="000000"/>
                <w:sz w:val="20"/>
                <w:szCs w:val="20"/>
              </w:rPr>
              <w:t>c.</w:t>
            </w:r>
          </w:p>
        </w:tc>
        <w:tc>
          <w:tcPr>
            <w:tcW w:w="5820" w:type="dxa"/>
            <w:tcBorders>
              <w:top w:val="nil"/>
              <w:left w:val="nil"/>
              <w:bottom w:val="single" w:sz="4" w:space="0" w:color="auto"/>
              <w:right w:val="single" w:sz="4" w:space="0" w:color="auto"/>
            </w:tcBorders>
            <w:shd w:val="clear" w:color="auto" w:fill="auto"/>
            <w:noWrap/>
            <w:vAlign w:val="center"/>
            <w:hideMark/>
          </w:tcPr>
          <w:p w:rsidR="009D2F55" w:rsidRDefault="009D2F55">
            <w:pPr>
              <w:rPr>
                <w:rFonts w:ascii="Calibri" w:hAnsi="Calibri" w:cs="Calibri"/>
                <w:color w:val="000000"/>
                <w:sz w:val="20"/>
                <w:szCs w:val="20"/>
              </w:rPr>
            </w:pPr>
            <w:r>
              <w:rPr>
                <w:rFonts w:ascii="Calibri" w:hAnsi="Calibri" w:cs="Calibri"/>
                <w:color w:val="000000"/>
                <w:sz w:val="20"/>
                <w:szCs w:val="20"/>
              </w:rPr>
              <w:t>MŠ Prostějov, Smetanova 24</w:t>
            </w:r>
          </w:p>
        </w:tc>
        <w:tc>
          <w:tcPr>
            <w:tcW w:w="1720" w:type="dxa"/>
            <w:tcBorders>
              <w:top w:val="nil"/>
              <w:left w:val="nil"/>
              <w:bottom w:val="single" w:sz="4" w:space="0" w:color="auto"/>
              <w:right w:val="single" w:sz="4" w:space="0" w:color="auto"/>
            </w:tcBorders>
            <w:shd w:val="clear" w:color="auto" w:fill="auto"/>
            <w:noWrap/>
            <w:vAlign w:val="center"/>
            <w:hideMark/>
          </w:tcPr>
          <w:p w:rsidR="009D2F55" w:rsidRDefault="009D2F55">
            <w:pPr>
              <w:jc w:val="right"/>
              <w:rPr>
                <w:rFonts w:ascii="Calibri" w:hAnsi="Calibri" w:cs="Calibri"/>
                <w:color w:val="000000"/>
                <w:sz w:val="20"/>
                <w:szCs w:val="20"/>
              </w:rPr>
            </w:pPr>
            <w:r>
              <w:rPr>
                <w:rFonts w:ascii="Calibri" w:hAnsi="Calibri" w:cs="Calibri"/>
                <w:color w:val="000000"/>
                <w:sz w:val="20"/>
                <w:szCs w:val="20"/>
              </w:rPr>
              <w:t>6 118,98</w:t>
            </w:r>
          </w:p>
        </w:tc>
      </w:tr>
      <w:tr w:rsidR="009D2F55" w:rsidTr="009D2F5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D2F55" w:rsidRDefault="009D2F55">
            <w:pPr>
              <w:jc w:val="center"/>
              <w:rPr>
                <w:rFonts w:ascii="Calibri" w:hAnsi="Calibri" w:cs="Calibri"/>
                <w:color w:val="000000"/>
                <w:sz w:val="20"/>
                <w:szCs w:val="20"/>
              </w:rPr>
            </w:pPr>
            <w:r>
              <w:rPr>
                <w:rFonts w:ascii="Calibri" w:hAnsi="Calibri" w:cs="Calibri"/>
                <w:color w:val="000000"/>
                <w:sz w:val="20"/>
                <w:szCs w:val="20"/>
              </w:rPr>
              <w:t>d.</w:t>
            </w:r>
          </w:p>
        </w:tc>
        <w:tc>
          <w:tcPr>
            <w:tcW w:w="5820" w:type="dxa"/>
            <w:tcBorders>
              <w:top w:val="nil"/>
              <w:left w:val="nil"/>
              <w:bottom w:val="single" w:sz="4" w:space="0" w:color="auto"/>
              <w:right w:val="single" w:sz="4" w:space="0" w:color="auto"/>
            </w:tcBorders>
            <w:shd w:val="clear" w:color="auto" w:fill="auto"/>
            <w:noWrap/>
            <w:vAlign w:val="center"/>
            <w:hideMark/>
          </w:tcPr>
          <w:p w:rsidR="009D2F55" w:rsidRDefault="009D2F55">
            <w:pPr>
              <w:rPr>
                <w:rFonts w:ascii="Calibri" w:hAnsi="Calibri" w:cs="Calibri"/>
                <w:color w:val="000000"/>
                <w:sz w:val="20"/>
                <w:szCs w:val="20"/>
              </w:rPr>
            </w:pPr>
            <w:r>
              <w:rPr>
                <w:rFonts w:ascii="Calibri" w:hAnsi="Calibri" w:cs="Calibri"/>
                <w:color w:val="000000"/>
                <w:sz w:val="20"/>
                <w:szCs w:val="20"/>
              </w:rPr>
              <w:t>ZŠ a MŠ Prostějov, Palackého tř. 14</w:t>
            </w:r>
          </w:p>
        </w:tc>
        <w:tc>
          <w:tcPr>
            <w:tcW w:w="1720" w:type="dxa"/>
            <w:tcBorders>
              <w:top w:val="nil"/>
              <w:left w:val="nil"/>
              <w:bottom w:val="single" w:sz="4" w:space="0" w:color="auto"/>
              <w:right w:val="single" w:sz="4" w:space="0" w:color="auto"/>
            </w:tcBorders>
            <w:shd w:val="clear" w:color="auto" w:fill="auto"/>
            <w:noWrap/>
            <w:vAlign w:val="center"/>
            <w:hideMark/>
          </w:tcPr>
          <w:p w:rsidR="009D2F55" w:rsidRDefault="009D2F55">
            <w:pPr>
              <w:jc w:val="right"/>
              <w:rPr>
                <w:rFonts w:ascii="Calibri" w:hAnsi="Calibri" w:cs="Calibri"/>
                <w:color w:val="000000"/>
                <w:sz w:val="20"/>
                <w:szCs w:val="20"/>
              </w:rPr>
            </w:pPr>
            <w:r>
              <w:rPr>
                <w:rFonts w:ascii="Calibri" w:hAnsi="Calibri" w:cs="Calibri"/>
                <w:color w:val="000000"/>
                <w:sz w:val="20"/>
                <w:szCs w:val="20"/>
              </w:rPr>
              <w:t>1 435,00</w:t>
            </w:r>
          </w:p>
        </w:tc>
      </w:tr>
      <w:tr w:rsidR="009D2F55" w:rsidTr="009D2F5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D2F55" w:rsidRDefault="009D2F55">
            <w:pPr>
              <w:jc w:val="center"/>
              <w:rPr>
                <w:rFonts w:ascii="Calibri" w:hAnsi="Calibri" w:cs="Calibri"/>
                <w:color w:val="000000"/>
                <w:sz w:val="20"/>
                <w:szCs w:val="20"/>
              </w:rPr>
            </w:pPr>
            <w:r>
              <w:rPr>
                <w:rFonts w:ascii="Calibri" w:hAnsi="Calibri" w:cs="Calibri"/>
                <w:color w:val="000000"/>
                <w:sz w:val="20"/>
                <w:szCs w:val="20"/>
              </w:rPr>
              <w:t>e.</w:t>
            </w:r>
          </w:p>
        </w:tc>
        <w:tc>
          <w:tcPr>
            <w:tcW w:w="5820" w:type="dxa"/>
            <w:tcBorders>
              <w:top w:val="nil"/>
              <w:left w:val="nil"/>
              <w:bottom w:val="single" w:sz="4" w:space="0" w:color="auto"/>
              <w:right w:val="single" w:sz="4" w:space="0" w:color="auto"/>
            </w:tcBorders>
            <w:shd w:val="clear" w:color="auto" w:fill="auto"/>
            <w:noWrap/>
            <w:vAlign w:val="center"/>
            <w:hideMark/>
          </w:tcPr>
          <w:p w:rsidR="009D2F55" w:rsidRDefault="009D2F55">
            <w:pPr>
              <w:rPr>
                <w:rFonts w:ascii="Calibri" w:hAnsi="Calibri" w:cs="Calibri"/>
                <w:color w:val="000000"/>
                <w:sz w:val="20"/>
                <w:szCs w:val="20"/>
              </w:rPr>
            </w:pPr>
            <w:r>
              <w:rPr>
                <w:rFonts w:ascii="Calibri" w:hAnsi="Calibri" w:cs="Calibri"/>
                <w:color w:val="000000"/>
                <w:sz w:val="20"/>
                <w:szCs w:val="20"/>
              </w:rPr>
              <w:t>ZŠ a MŠ Prostějov, Kollárova ul. 4</w:t>
            </w:r>
          </w:p>
        </w:tc>
        <w:tc>
          <w:tcPr>
            <w:tcW w:w="1720" w:type="dxa"/>
            <w:tcBorders>
              <w:top w:val="nil"/>
              <w:left w:val="nil"/>
              <w:bottom w:val="single" w:sz="4" w:space="0" w:color="auto"/>
              <w:right w:val="single" w:sz="4" w:space="0" w:color="auto"/>
            </w:tcBorders>
            <w:shd w:val="clear" w:color="auto" w:fill="auto"/>
            <w:noWrap/>
            <w:vAlign w:val="center"/>
            <w:hideMark/>
          </w:tcPr>
          <w:p w:rsidR="009D2F55" w:rsidRDefault="009D2F55">
            <w:pPr>
              <w:jc w:val="right"/>
              <w:rPr>
                <w:rFonts w:ascii="Calibri" w:hAnsi="Calibri" w:cs="Calibri"/>
                <w:color w:val="000000"/>
                <w:sz w:val="20"/>
                <w:szCs w:val="20"/>
              </w:rPr>
            </w:pPr>
            <w:r>
              <w:rPr>
                <w:rFonts w:ascii="Calibri" w:hAnsi="Calibri" w:cs="Calibri"/>
                <w:color w:val="000000"/>
                <w:sz w:val="20"/>
                <w:szCs w:val="20"/>
              </w:rPr>
              <w:t>6 347,96</w:t>
            </w:r>
          </w:p>
        </w:tc>
      </w:tr>
      <w:tr w:rsidR="009D2F55" w:rsidTr="009D2F5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D2F55" w:rsidRDefault="009D2F55">
            <w:pPr>
              <w:jc w:val="center"/>
              <w:rPr>
                <w:rFonts w:ascii="Calibri" w:hAnsi="Calibri" w:cs="Calibri"/>
                <w:color w:val="000000"/>
                <w:sz w:val="20"/>
                <w:szCs w:val="20"/>
              </w:rPr>
            </w:pPr>
            <w:r>
              <w:rPr>
                <w:rFonts w:ascii="Calibri" w:hAnsi="Calibri" w:cs="Calibri"/>
                <w:color w:val="000000"/>
                <w:sz w:val="20"/>
                <w:szCs w:val="20"/>
              </w:rPr>
              <w:t>f.</w:t>
            </w:r>
          </w:p>
        </w:tc>
        <w:tc>
          <w:tcPr>
            <w:tcW w:w="5820" w:type="dxa"/>
            <w:tcBorders>
              <w:top w:val="nil"/>
              <w:left w:val="nil"/>
              <w:bottom w:val="single" w:sz="4" w:space="0" w:color="auto"/>
              <w:right w:val="single" w:sz="4" w:space="0" w:color="auto"/>
            </w:tcBorders>
            <w:shd w:val="clear" w:color="auto" w:fill="auto"/>
            <w:noWrap/>
            <w:vAlign w:val="center"/>
            <w:hideMark/>
          </w:tcPr>
          <w:p w:rsidR="009D2F55" w:rsidRDefault="009D2F55">
            <w:pPr>
              <w:rPr>
                <w:rFonts w:ascii="Calibri" w:hAnsi="Calibri" w:cs="Calibri"/>
                <w:color w:val="000000"/>
                <w:sz w:val="20"/>
                <w:szCs w:val="20"/>
              </w:rPr>
            </w:pPr>
            <w:r>
              <w:rPr>
                <w:rFonts w:ascii="Calibri" w:hAnsi="Calibri" w:cs="Calibri"/>
                <w:color w:val="000000"/>
                <w:sz w:val="20"/>
                <w:szCs w:val="20"/>
              </w:rPr>
              <w:t>ZŠ a MŠ Jana Železného Prostějov</w:t>
            </w:r>
          </w:p>
        </w:tc>
        <w:tc>
          <w:tcPr>
            <w:tcW w:w="1720" w:type="dxa"/>
            <w:tcBorders>
              <w:top w:val="nil"/>
              <w:left w:val="nil"/>
              <w:bottom w:val="single" w:sz="4" w:space="0" w:color="auto"/>
              <w:right w:val="single" w:sz="4" w:space="0" w:color="auto"/>
            </w:tcBorders>
            <w:shd w:val="clear" w:color="auto" w:fill="auto"/>
            <w:noWrap/>
            <w:vAlign w:val="center"/>
            <w:hideMark/>
          </w:tcPr>
          <w:p w:rsidR="009D2F55" w:rsidRDefault="009D2F55">
            <w:pPr>
              <w:jc w:val="right"/>
              <w:rPr>
                <w:rFonts w:ascii="Calibri" w:hAnsi="Calibri" w:cs="Calibri"/>
                <w:color w:val="000000"/>
                <w:sz w:val="20"/>
                <w:szCs w:val="20"/>
              </w:rPr>
            </w:pPr>
            <w:r>
              <w:rPr>
                <w:rFonts w:ascii="Calibri" w:hAnsi="Calibri" w:cs="Calibri"/>
                <w:color w:val="000000"/>
                <w:sz w:val="20"/>
                <w:szCs w:val="20"/>
              </w:rPr>
              <w:t>16 439,54</w:t>
            </w:r>
          </w:p>
        </w:tc>
      </w:tr>
      <w:tr w:rsidR="009D2F55" w:rsidTr="009D2F5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D2F55" w:rsidRDefault="009D2F55">
            <w:pPr>
              <w:jc w:val="center"/>
              <w:rPr>
                <w:rFonts w:ascii="Calibri" w:hAnsi="Calibri" w:cs="Calibri"/>
                <w:color w:val="000000"/>
                <w:sz w:val="20"/>
                <w:szCs w:val="20"/>
              </w:rPr>
            </w:pPr>
            <w:r>
              <w:rPr>
                <w:rFonts w:ascii="Calibri" w:hAnsi="Calibri" w:cs="Calibri"/>
                <w:color w:val="000000"/>
                <w:sz w:val="20"/>
                <w:szCs w:val="20"/>
              </w:rPr>
              <w:t>g.</w:t>
            </w:r>
          </w:p>
        </w:tc>
        <w:tc>
          <w:tcPr>
            <w:tcW w:w="5820" w:type="dxa"/>
            <w:tcBorders>
              <w:top w:val="nil"/>
              <w:left w:val="nil"/>
              <w:bottom w:val="single" w:sz="4" w:space="0" w:color="auto"/>
              <w:right w:val="single" w:sz="4" w:space="0" w:color="auto"/>
            </w:tcBorders>
            <w:shd w:val="clear" w:color="auto" w:fill="auto"/>
            <w:noWrap/>
            <w:vAlign w:val="center"/>
            <w:hideMark/>
          </w:tcPr>
          <w:p w:rsidR="009D2F55" w:rsidRDefault="009D2F55">
            <w:pPr>
              <w:rPr>
                <w:rFonts w:ascii="Calibri" w:hAnsi="Calibri" w:cs="Calibri"/>
                <w:color w:val="000000"/>
                <w:sz w:val="20"/>
                <w:szCs w:val="20"/>
              </w:rPr>
            </w:pPr>
            <w:r>
              <w:rPr>
                <w:rFonts w:ascii="Calibri" w:hAnsi="Calibri" w:cs="Calibri"/>
                <w:color w:val="000000"/>
                <w:sz w:val="20"/>
                <w:szCs w:val="20"/>
              </w:rPr>
              <w:t>ZŠ a MŠ Prostějov, Melantrichova ul. 60</w:t>
            </w:r>
          </w:p>
        </w:tc>
        <w:tc>
          <w:tcPr>
            <w:tcW w:w="1720" w:type="dxa"/>
            <w:tcBorders>
              <w:top w:val="nil"/>
              <w:left w:val="nil"/>
              <w:bottom w:val="single" w:sz="4" w:space="0" w:color="auto"/>
              <w:right w:val="single" w:sz="4" w:space="0" w:color="auto"/>
            </w:tcBorders>
            <w:shd w:val="clear" w:color="auto" w:fill="auto"/>
            <w:noWrap/>
            <w:vAlign w:val="center"/>
            <w:hideMark/>
          </w:tcPr>
          <w:p w:rsidR="009D2F55" w:rsidRDefault="009D2F55">
            <w:pPr>
              <w:jc w:val="right"/>
              <w:rPr>
                <w:rFonts w:ascii="Calibri" w:hAnsi="Calibri" w:cs="Calibri"/>
                <w:color w:val="000000"/>
                <w:sz w:val="20"/>
                <w:szCs w:val="20"/>
              </w:rPr>
            </w:pPr>
            <w:r>
              <w:rPr>
                <w:rFonts w:ascii="Calibri" w:hAnsi="Calibri" w:cs="Calibri"/>
                <w:color w:val="000000"/>
                <w:sz w:val="20"/>
                <w:szCs w:val="20"/>
              </w:rPr>
              <w:t>29 963,81</w:t>
            </w:r>
          </w:p>
        </w:tc>
      </w:tr>
      <w:tr w:rsidR="009D2F55" w:rsidTr="009D2F5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D2F55" w:rsidRDefault="009D2F55">
            <w:pPr>
              <w:jc w:val="center"/>
              <w:rPr>
                <w:rFonts w:ascii="Calibri" w:hAnsi="Calibri" w:cs="Calibri"/>
                <w:color w:val="000000"/>
                <w:sz w:val="20"/>
                <w:szCs w:val="20"/>
              </w:rPr>
            </w:pPr>
            <w:r>
              <w:rPr>
                <w:rFonts w:ascii="Calibri" w:hAnsi="Calibri" w:cs="Calibri"/>
                <w:color w:val="000000"/>
                <w:sz w:val="20"/>
                <w:szCs w:val="20"/>
              </w:rPr>
              <w:t>h.</w:t>
            </w:r>
          </w:p>
        </w:tc>
        <w:tc>
          <w:tcPr>
            <w:tcW w:w="5820" w:type="dxa"/>
            <w:tcBorders>
              <w:top w:val="nil"/>
              <w:left w:val="nil"/>
              <w:bottom w:val="single" w:sz="4" w:space="0" w:color="auto"/>
              <w:right w:val="single" w:sz="4" w:space="0" w:color="auto"/>
            </w:tcBorders>
            <w:shd w:val="clear" w:color="auto" w:fill="auto"/>
            <w:noWrap/>
            <w:vAlign w:val="center"/>
            <w:hideMark/>
          </w:tcPr>
          <w:p w:rsidR="009D2F55" w:rsidRDefault="009D2F55">
            <w:pPr>
              <w:rPr>
                <w:rFonts w:ascii="Calibri" w:hAnsi="Calibri" w:cs="Calibri"/>
                <w:color w:val="000000"/>
                <w:sz w:val="20"/>
                <w:szCs w:val="20"/>
              </w:rPr>
            </w:pPr>
            <w:r>
              <w:rPr>
                <w:rFonts w:ascii="Calibri" w:hAnsi="Calibri" w:cs="Calibri"/>
                <w:color w:val="000000"/>
                <w:sz w:val="20"/>
                <w:szCs w:val="20"/>
              </w:rPr>
              <w:t>ZŠ Prostějov, ul. Vl. Majakovského 1</w:t>
            </w:r>
          </w:p>
        </w:tc>
        <w:tc>
          <w:tcPr>
            <w:tcW w:w="1720" w:type="dxa"/>
            <w:tcBorders>
              <w:top w:val="nil"/>
              <w:left w:val="nil"/>
              <w:bottom w:val="single" w:sz="4" w:space="0" w:color="auto"/>
              <w:right w:val="single" w:sz="4" w:space="0" w:color="auto"/>
            </w:tcBorders>
            <w:shd w:val="clear" w:color="auto" w:fill="auto"/>
            <w:noWrap/>
            <w:vAlign w:val="center"/>
            <w:hideMark/>
          </w:tcPr>
          <w:p w:rsidR="009D2F55" w:rsidRDefault="009D2F55">
            <w:pPr>
              <w:jc w:val="right"/>
              <w:rPr>
                <w:rFonts w:ascii="Calibri" w:hAnsi="Calibri" w:cs="Calibri"/>
                <w:color w:val="000000"/>
                <w:sz w:val="20"/>
                <w:szCs w:val="20"/>
              </w:rPr>
            </w:pPr>
            <w:r>
              <w:rPr>
                <w:rFonts w:ascii="Calibri" w:hAnsi="Calibri" w:cs="Calibri"/>
                <w:color w:val="000000"/>
                <w:sz w:val="20"/>
                <w:szCs w:val="20"/>
              </w:rPr>
              <w:t>1 470,00</w:t>
            </w:r>
          </w:p>
        </w:tc>
      </w:tr>
      <w:tr w:rsidR="009D2F55" w:rsidTr="009D2F5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D2F55" w:rsidRDefault="009D2F55">
            <w:pPr>
              <w:jc w:val="center"/>
              <w:rPr>
                <w:rFonts w:ascii="Calibri" w:hAnsi="Calibri" w:cs="Calibri"/>
                <w:color w:val="000000"/>
                <w:sz w:val="20"/>
                <w:szCs w:val="20"/>
              </w:rPr>
            </w:pPr>
            <w:r>
              <w:rPr>
                <w:rFonts w:ascii="Calibri" w:hAnsi="Calibri" w:cs="Calibri"/>
                <w:color w:val="000000"/>
                <w:sz w:val="20"/>
                <w:szCs w:val="20"/>
              </w:rPr>
              <w:t>i.</w:t>
            </w:r>
          </w:p>
        </w:tc>
        <w:tc>
          <w:tcPr>
            <w:tcW w:w="5820" w:type="dxa"/>
            <w:tcBorders>
              <w:top w:val="nil"/>
              <w:left w:val="nil"/>
              <w:bottom w:val="single" w:sz="4" w:space="0" w:color="auto"/>
              <w:right w:val="single" w:sz="4" w:space="0" w:color="auto"/>
            </w:tcBorders>
            <w:shd w:val="clear" w:color="auto" w:fill="auto"/>
            <w:noWrap/>
            <w:vAlign w:val="center"/>
            <w:hideMark/>
          </w:tcPr>
          <w:p w:rsidR="009D2F55" w:rsidRDefault="009D2F55">
            <w:pPr>
              <w:rPr>
                <w:rFonts w:ascii="Calibri" w:hAnsi="Calibri" w:cs="Calibri"/>
                <w:color w:val="000000"/>
                <w:sz w:val="20"/>
                <w:szCs w:val="20"/>
              </w:rPr>
            </w:pPr>
            <w:r>
              <w:rPr>
                <w:rFonts w:ascii="Calibri" w:hAnsi="Calibri" w:cs="Calibri"/>
                <w:color w:val="000000"/>
                <w:sz w:val="20"/>
                <w:szCs w:val="20"/>
              </w:rPr>
              <w:t>RG a ZŠ Otto Wichterleho,  Studentská ul. 2</w:t>
            </w:r>
          </w:p>
        </w:tc>
        <w:tc>
          <w:tcPr>
            <w:tcW w:w="1720" w:type="dxa"/>
            <w:tcBorders>
              <w:top w:val="nil"/>
              <w:left w:val="nil"/>
              <w:bottom w:val="single" w:sz="4" w:space="0" w:color="auto"/>
              <w:right w:val="single" w:sz="4" w:space="0" w:color="auto"/>
            </w:tcBorders>
            <w:shd w:val="clear" w:color="auto" w:fill="auto"/>
            <w:noWrap/>
            <w:vAlign w:val="center"/>
            <w:hideMark/>
          </w:tcPr>
          <w:p w:rsidR="009D2F55" w:rsidRDefault="009D2F55">
            <w:pPr>
              <w:jc w:val="right"/>
              <w:rPr>
                <w:rFonts w:ascii="Calibri" w:hAnsi="Calibri" w:cs="Calibri"/>
                <w:color w:val="000000"/>
                <w:sz w:val="20"/>
                <w:szCs w:val="20"/>
              </w:rPr>
            </w:pPr>
            <w:r>
              <w:rPr>
                <w:rFonts w:ascii="Calibri" w:hAnsi="Calibri" w:cs="Calibri"/>
                <w:color w:val="000000"/>
                <w:sz w:val="20"/>
                <w:szCs w:val="20"/>
              </w:rPr>
              <w:t>4 946,44</w:t>
            </w:r>
          </w:p>
        </w:tc>
      </w:tr>
      <w:tr w:rsidR="009D2F55" w:rsidTr="009D2F5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D2F55" w:rsidRDefault="009D2F55">
            <w:pPr>
              <w:jc w:val="center"/>
              <w:rPr>
                <w:rFonts w:ascii="Calibri" w:hAnsi="Calibri" w:cs="Calibri"/>
                <w:color w:val="000000"/>
                <w:sz w:val="20"/>
                <w:szCs w:val="20"/>
              </w:rPr>
            </w:pPr>
            <w:r>
              <w:rPr>
                <w:rFonts w:ascii="Calibri" w:hAnsi="Calibri" w:cs="Calibri"/>
                <w:color w:val="000000"/>
                <w:sz w:val="20"/>
                <w:szCs w:val="20"/>
              </w:rPr>
              <w:t>j.</w:t>
            </w:r>
          </w:p>
        </w:tc>
        <w:tc>
          <w:tcPr>
            <w:tcW w:w="5820" w:type="dxa"/>
            <w:tcBorders>
              <w:top w:val="nil"/>
              <w:left w:val="nil"/>
              <w:bottom w:val="single" w:sz="4" w:space="0" w:color="auto"/>
              <w:right w:val="single" w:sz="4" w:space="0" w:color="auto"/>
            </w:tcBorders>
            <w:shd w:val="clear" w:color="auto" w:fill="auto"/>
            <w:noWrap/>
            <w:vAlign w:val="center"/>
            <w:hideMark/>
          </w:tcPr>
          <w:p w:rsidR="009D2F55" w:rsidRDefault="009D2F55">
            <w:pPr>
              <w:rPr>
                <w:rFonts w:ascii="Calibri" w:hAnsi="Calibri" w:cs="Calibri"/>
                <w:color w:val="000000"/>
                <w:sz w:val="20"/>
                <w:szCs w:val="20"/>
              </w:rPr>
            </w:pPr>
            <w:r>
              <w:rPr>
                <w:rFonts w:ascii="Calibri" w:hAnsi="Calibri" w:cs="Calibri"/>
                <w:color w:val="000000"/>
                <w:sz w:val="20"/>
                <w:szCs w:val="20"/>
              </w:rPr>
              <w:t>ZŠ Prostějov, ul. Dr. Horáka 24</w:t>
            </w:r>
          </w:p>
        </w:tc>
        <w:tc>
          <w:tcPr>
            <w:tcW w:w="1720" w:type="dxa"/>
            <w:tcBorders>
              <w:top w:val="nil"/>
              <w:left w:val="nil"/>
              <w:bottom w:val="single" w:sz="4" w:space="0" w:color="auto"/>
              <w:right w:val="single" w:sz="4" w:space="0" w:color="auto"/>
            </w:tcBorders>
            <w:shd w:val="clear" w:color="auto" w:fill="auto"/>
            <w:noWrap/>
            <w:vAlign w:val="center"/>
            <w:hideMark/>
          </w:tcPr>
          <w:p w:rsidR="009D2F55" w:rsidRDefault="009D2F55">
            <w:pPr>
              <w:jc w:val="right"/>
              <w:rPr>
                <w:rFonts w:ascii="Calibri" w:hAnsi="Calibri" w:cs="Calibri"/>
                <w:color w:val="000000"/>
                <w:sz w:val="20"/>
                <w:szCs w:val="20"/>
              </w:rPr>
            </w:pPr>
            <w:r>
              <w:rPr>
                <w:rFonts w:ascii="Calibri" w:hAnsi="Calibri" w:cs="Calibri"/>
                <w:color w:val="000000"/>
                <w:sz w:val="20"/>
                <w:szCs w:val="20"/>
              </w:rPr>
              <w:t>9 781,86</w:t>
            </w:r>
          </w:p>
        </w:tc>
      </w:tr>
      <w:tr w:rsidR="009D2F55" w:rsidTr="009D2F5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D2F55" w:rsidRDefault="009D2F55">
            <w:pPr>
              <w:jc w:val="center"/>
              <w:rPr>
                <w:rFonts w:ascii="Calibri" w:hAnsi="Calibri" w:cs="Calibri"/>
                <w:color w:val="000000"/>
                <w:sz w:val="20"/>
                <w:szCs w:val="20"/>
              </w:rPr>
            </w:pPr>
            <w:r>
              <w:rPr>
                <w:rFonts w:ascii="Calibri" w:hAnsi="Calibri" w:cs="Calibri"/>
                <w:color w:val="000000"/>
                <w:sz w:val="20"/>
                <w:szCs w:val="20"/>
              </w:rPr>
              <w:t>k.</w:t>
            </w:r>
          </w:p>
        </w:tc>
        <w:tc>
          <w:tcPr>
            <w:tcW w:w="5820" w:type="dxa"/>
            <w:tcBorders>
              <w:top w:val="nil"/>
              <w:left w:val="nil"/>
              <w:bottom w:val="single" w:sz="4" w:space="0" w:color="auto"/>
              <w:right w:val="single" w:sz="4" w:space="0" w:color="auto"/>
            </w:tcBorders>
            <w:shd w:val="clear" w:color="auto" w:fill="auto"/>
            <w:noWrap/>
            <w:vAlign w:val="center"/>
            <w:hideMark/>
          </w:tcPr>
          <w:p w:rsidR="009D2F55" w:rsidRDefault="009D2F55">
            <w:pPr>
              <w:rPr>
                <w:rFonts w:ascii="Calibri" w:hAnsi="Calibri" w:cs="Calibri"/>
                <w:color w:val="000000"/>
                <w:sz w:val="20"/>
                <w:szCs w:val="20"/>
              </w:rPr>
            </w:pPr>
            <w:r>
              <w:rPr>
                <w:rFonts w:ascii="Calibri" w:hAnsi="Calibri" w:cs="Calibri"/>
                <w:color w:val="000000"/>
                <w:sz w:val="20"/>
                <w:szCs w:val="20"/>
              </w:rPr>
              <w:t>ZŠ Prostějov, ul. E. Valenty 52</w:t>
            </w:r>
          </w:p>
        </w:tc>
        <w:tc>
          <w:tcPr>
            <w:tcW w:w="1720" w:type="dxa"/>
            <w:tcBorders>
              <w:top w:val="nil"/>
              <w:left w:val="nil"/>
              <w:bottom w:val="single" w:sz="4" w:space="0" w:color="auto"/>
              <w:right w:val="single" w:sz="4" w:space="0" w:color="auto"/>
            </w:tcBorders>
            <w:shd w:val="clear" w:color="auto" w:fill="auto"/>
            <w:noWrap/>
            <w:vAlign w:val="center"/>
            <w:hideMark/>
          </w:tcPr>
          <w:p w:rsidR="009D2F55" w:rsidRDefault="009D2F55">
            <w:pPr>
              <w:jc w:val="right"/>
              <w:rPr>
                <w:rFonts w:ascii="Calibri" w:hAnsi="Calibri" w:cs="Calibri"/>
                <w:color w:val="000000"/>
                <w:sz w:val="20"/>
                <w:szCs w:val="20"/>
              </w:rPr>
            </w:pPr>
            <w:r>
              <w:rPr>
                <w:rFonts w:ascii="Calibri" w:hAnsi="Calibri" w:cs="Calibri"/>
                <w:color w:val="000000"/>
                <w:sz w:val="20"/>
                <w:szCs w:val="20"/>
              </w:rPr>
              <w:t>4 542,22</w:t>
            </w:r>
          </w:p>
        </w:tc>
      </w:tr>
      <w:tr w:rsidR="009D2F55" w:rsidTr="009D2F5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D2F55" w:rsidRDefault="009D2F55">
            <w:pPr>
              <w:jc w:val="center"/>
              <w:rPr>
                <w:rFonts w:ascii="Calibri" w:hAnsi="Calibri" w:cs="Calibri"/>
                <w:color w:val="000000"/>
                <w:sz w:val="20"/>
                <w:szCs w:val="20"/>
              </w:rPr>
            </w:pPr>
            <w:r>
              <w:rPr>
                <w:rFonts w:ascii="Calibri" w:hAnsi="Calibri" w:cs="Calibri"/>
                <w:color w:val="000000"/>
                <w:sz w:val="20"/>
                <w:szCs w:val="20"/>
              </w:rPr>
              <w:t>l.</w:t>
            </w:r>
          </w:p>
        </w:tc>
        <w:tc>
          <w:tcPr>
            <w:tcW w:w="5820" w:type="dxa"/>
            <w:tcBorders>
              <w:top w:val="nil"/>
              <w:left w:val="nil"/>
              <w:bottom w:val="single" w:sz="4" w:space="0" w:color="auto"/>
              <w:right w:val="single" w:sz="4" w:space="0" w:color="auto"/>
            </w:tcBorders>
            <w:shd w:val="clear" w:color="auto" w:fill="auto"/>
            <w:noWrap/>
            <w:vAlign w:val="center"/>
            <w:hideMark/>
          </w:tcPr>
          <w:p w:rsidR="009D2F55" w:rsidRDefault="009D2F55">
            <w:pPr>
              <w:rPr>
                <w:rFonts w:ascii="Calibri" w:hAnsi="Calibri" w:cs="Calibri"/>
                <w:color w:val="000000"/>
                <w:sz w:val="20"/>
                <w:szCs w:val="20"/>
              </w:rPr>
            </w:pPr>
            <w:r>
              <w:rPr>
                <w:rFonts w:ascii="Calibri" w:hAnsi="Calibri" w:cs="Calibri"/>
                <w:color w:val="000000"/>
                <w:sz w:val="20"/>
                <w:szCs w:val="20"/>
              </w:rPr>
              <w:t>Sportcentrum DDM, Prostějov</w:t>
            </w:r>
          </w:p>
        </w:tc>
        <w:tc>
          <w:tcPr>
            <w:tcW w:w="1720" w:type="dxa"/>
            <w:tcBorders>
              <w:top w:val="nil"/>
              <w:left w:val="nil"/>
              <w:bottom w:val="single" w:sz="4" w:space="0" w:color="auto"/>
              <w:right w:val="single" w:sz="4" w:space="0" w:color="auto"/>
            </w:tcBorders>
            <w:shd w:val="clear" w:color="auto" w:fill="auto"/>
            <w:noWrap/>
            <w:vAlign w:val="center"/>
            <w:hideMark/>
          </w:tcPr>
          <w:p w:rsidR="009D2F55" w:rsidRDefault="009D2F55">
            <w:pPr>
              <w:jc w:val="right"/>
              <w:rPr>
                <w:rFonts w:ascii="Calibri" w:hAnsi="Calibri" w:cs="Calibri"/>
                <w:color w:val="000000"/>
                <w:sz w:val="20"/>
                <w:szCs w:val="20"/>
              </w:rPr>
            </w:pPr>
            <w:r>
              <w:rPr>
                <w:rFonts w:ascii="Calibri" w:hAnsi="Calibri" w:cs="Calibri"/>
                <w:color w:val="000000"/>
                <w:sz w:val="20"/>
                <w:szCs w:val="20"/>
              </w:rPr>
              <w:t>279 126,04</w:t>
            </w:r>
          </w:p>
        </w:tc>
      </w:tr>
      <w:tr w:rsidR="009D2F55" w:rsidTr="009D2F5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D2F55" w:rsidRDefault="009D2F55">
            <w:pPr>
              <w:jc w:val="center"/>
              <w:rPr>
                <w:rFonts w:ascii="Calibri" w:hAnsi="Calibri" w:cs="Calibri"/>
                <w:color w:val="000000"/>
                <w:sz w:val="20"/>
                <w:szCs w:val="20"/>
              </w:rPr>
            </w:pPr>
            <w:r>
              <w:rPr>
                <w:rFonts w:ascii="Calibri" w:hAnsi="Calibri" w:cs="Calibri"/>
                <w:color w:val="000000"/>
                <w:sz w:val="20"/>
                <w:szCs w:val="20"/>
              </w:rPr>
              <w:t>m.</w:t>
            </w:r>
          </w:p>
        </w:tc>
        <w:tc>
          <w:tcPr>
            <w:tcW w:w="5820" w:type="dxa"/>
            <w:tcBorders>
              <w:top w:val="nil"/>
              <w:left w:val="nil"/>
              <w:bottom w:val="single" w:sz="4" w:space="0" w:color="auto"/>
              <w:right w:val="single" w:sz="4" w:space="0" w:color="auto"/>
            </w:tcBorders>
            <w:shd w:val="clear" w:color="auto" w:fill="auto"/>
            <w:noWrap/>
            <w:vAlign w:val="center"/>
            <w:hideMark/>
          </w:tcPr>
          <w:p w:rsidR="009D2F55" w:rsidRDefault="009D2F55">
            <w:pPr>
              <w:rPr>
                <w:rFonts w:ascii="Calibri" w:hAnsi="Calibri" w:cs="Calibri"/>
                <w:color w:val="000000"/>
                <w:sz w:val="20"/>
                <w:szCs w:val="20"/>
              </w:rPr>
            </w:pPr>
            <w:r>
              <w:rPr>
                <w:rFonts w:ascii="Calibri" w:hAnsi="Calibri" w:cs="Calibri"/>
                <w:color w:val="000000"/>
                <w:sz w:val="20"/>
                <w:szCs w:val="20"/>
              </w:rPr>
              <w:t>ZUŠ Vl. Ambrose, Kravařova ul. 14</w:t>
            </w:r>
          </w:p>
        </w:tc>
        <w:tc>
          <w:tcPr>
            <w:tcW w:w="1720" w:type="dxa"/>
            <w:tcBorders>
              <w:top w:val="nil"/>
              <w:left w:val="nil"/>
              <w:bottom w:val="single" w:sz="4" w:space="0" w:color="auto"/>
              <w:right w:val="single" w:sz="4" w:space="0" w:color="auto"/>
            </w:tcBorders>
            <w:shd w:val="clear" w:color="auto" w:fill="auto"/>
            <w:noWrap/>
            <w:vAlign w:val="center"/>
            <w:hideMark/>
          </w:tcPr>
          <w:p w:rsidR="009D2F55" w:rsidRDefault="009D2F55">
            <w:pPr>
              <w:jc w:val="right"/>
              <w:rPr>
                <w:rFonts w:ascii="Calibri" w:hAnsi="Calibri" w:cs="Calibri"/>
                <w:color w:val="000000"/>
                <w:sz w:val="20"/>
                <w:szCs w:val="20"/>
              </w:rPr>
            </w:pPr>
            <w:r>
              <w:rPr>
                <w:rFonts w:ascii="Calibri" w:hAnsi="Calibri" w:cs="Calibri"/>
                <w:color w:val="000000"/>
                <w:sz w:val="20"/>
                <w:szCs w:val="20"/>
              </w:rPr>
              <w:t>49 891,00</w:t>
            </w:r>
          </w:p>
        </w:tc>
      </w:tr>
      <w:tr w:rsidR="009D2F55" w:rsidTr="009D2F5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D2F55" w:rsidRDefault="009D2F55">
            <w:pPr>
              <w:jc w:val="center"/>
              <w:rPr>
                <w:rFonts w:ascii="Calibri" w:hAnsi="Calibri" w:cs="Calibri"/>
                <w:color w:val="000000"/>
                <w:sz w:val="20"/>
                <w:szCs w:val="20"/>
              </w:rPr>
            </w:pPr>
            <w:r>
              <w:rPr>
                <w:rFonts w:ascii="Calibri" w:hAnsi="Calibri" w:cs="Calibri"/>
                <w:color w:val="000000"/>
                <w:sz w:val="20"/>
                <w:szCs w:val="20"/>
              </w:rPr>
              <w:t>n.</w:t>
            </w:r>
          </w:p>
        </w:tc>
        <w:tc>
          <w:tcPr>
            <w:tcW w:w="5820" w:type="dxa"/>
            <w:tcBorders>
              <w:top w:val="nil"/>
              <w:left w:val="nil"/>
              <w:bottom w:val="single" w:sz="4" w:space="0" w:color="auto"/>
              <w:right w:val="single" w:sz="4" w:space="0" w:color="auto"/>
            </w:tcBorders>
            <w:shd w:val="clear" w:color="auto" w:fill="auto"/>
            <w:noWrap/>
            <w:vAlign w:val="center"/>
            <w:hideMark/>
          </w:tcPr>
          <w:p w:rsidR="009D2F55" w:rsidRDefault="009D2F55">
            <w:pPr>
              <w:rPr>
                <w:rFonts w:ascii="Calibri" w:hAnsi="Calibri" w:cs="Calibri"/>
                <w:color w:val="000000"/>
                <w:sz w:val="20"/>
                <w:szCs w:val="20"/>
              </w:rPr>
            </w:pPr>
            <w:r>
              <w:rPr>
                <w:rFonts w:ascii="Calibri" w:hAnsi="Calibri" w:cs="Calibri"/>
                <w:color w:val="000000"/>
                <w:sz w:val="20"/>
                <w:szCs w:val="20"/>
              </w:rPr>
              <w:t>Městské divadlo v Prostějově</w:t>
            </w:r>
          </w:p>
        </w:tc>
        <w:tc>
          <w:tcPr>
            <w:tcW w:w="1720" w:type="dxa"/>
            <w:tcBorders>
              <w:top w:val="nil"/>
              <w:left w:val="nil"/>
              <w:bottom w:val="single" w:sz="4" w:space="0" w:color="auto"/>
              <w:right w:val="single" w:sz="4" w:space="0" w:color="auto"/>
            </w:tcBorders>
            <w:shd w:val="clear" w:color="auto" w:fill="auto"/>
            <w:noWrap/>
            <w:vAlign w:val="center"/>
            <w:hideMark/>
          </w:tcPr>
          <w:p w:rsidR="009D2F55" w:rsidRDefault="009D2F55">
            <w:pPr>
              <w:jc w:val="right"/>
              <w:rPr>
                <w:rFonts w:ascii="Calibri" w:hAnsi="Calibri" w:cs="Calibri"/>
                <w:color w:val="000000"/>
                <w:sz w:val="20"/>
                <w:szCs w:val="20"/>
              </w:rPr>
            </w:pPr>
            <w:r>
              <w:rPr>
                <w:rFonts w:ascii="Calibri" w:hAnsi="Calibri" w:cs="Calibri"/>
                <w:color w:val="000000"/>
                <w:sz w:val="20"/>
                <w:szCs w:val="20"/>
              </w:rPr>
              <w:t>37 715,00</w:t>
            </w:r>
          </w:p>
        </w:tc>
      </w:tr>
      <w:tr w:rsidR="009D2F55" w:rsidTr="009D2F5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D2F55" w:rsidRDefault="009D2F55">
            <w:pPr>
              <w:jc w:val="center"/>
              <w:rPr>
                <w:rFonts w:ascii="Calibri" w:hAnsi="Calibri" w:cs="Calibri"/>
                <w:color w:val="000000"/>
                <w:sz w:val="20"/>
                <w:szCs w:val="20"/>
              </w:rPr>
            </w:pPr>
            <w:r>
              <w:rPr>
                <w:rFonts w:ascii="Calibri" w:hAnsi="Calibri" w:cs="Calibri"/>
                <w:color w:val="000000"/>
                <w:sz w:val="20"/>
                <w:szCs w:val="20"/>
              </w:rPr>
              <w:t>o.</w:t>
            </w:r>
          </w:p>
        </w:tc>
        <w:tc>
          <w:tcPr>
            <w:tcW w:w="5820" w:type="dxa"/>
            <w:tcBorders>
              <w:top w:val="nil"/>
              <w:left w:val="nil"/>
              <w:bottom w:val="single" w:sz="4" w:space="0" w:color="auto"/>
              <w:right w:val="single" w:sz="4" w:space="0" w:color="auto"/>
            </w:tcBorders>
            <w:shd w:val="clear" w:color="auto" w:fill="auto"/>
            <w:noWrap/>
            <w:vAlign w:val="center"/>
            <w:hideMark/>
          </w:tcPr>
          <w:p w:rsidR="009D2F55" w:rsidRDefault="009D2F55">
            <w:pPr>
              <w:rPr>
                <w:rFonts w:ascii="Calibri" w:hAnsi="Calibri" w:cs="Calibri"/>
                <w:color w:val="000000"/>
                <w:sz w:val="20"/>
                <w:szCs w:val="20"/>
              </w:rPr>
            </w:pPr>
            <w:r>
              <w:rPr>
                <w:rFonts w:ascii="Calibri" w:hAnsi="Calibri" w:cs="Calibri"/>
                <w:color w:val="000000"/>
                <w:sz w:val="20"/>
                <w:szCs w:val="20"/>
              </w:rPr>
              <w:t>Městská knihovna Prostějov</w:t>
            </w:r>
          </w:p>
        </w:tc>
        <w:tc>
          <w:tcPr>
            <w:tcW w:w="1720" w:type="dxa"/>
            <w:tcBorders>
              <w:top w:val="nil"/>
              <w:left w:val="nil"/>
              <w:bottom w:val="single" w:sz="4" w:space="0" w:color="auto"/>
              <w:right w:val="single" w:sz="4" w:space="0" w:color="auto"/>
            </w:tcBorders>
            <w:shd w:val="clear" w:color="auto" w:fill="auto"/>
            <w:noWrap/>
            <w:vAlign w:val="center"/>
            <w:hideMark/>
          </w:tcPr>
          <w:p w:rsidR="009D2F55" w:rsidRDefault="009D2F55">
            <w:pPr>
              <w:jc w:val="right"/>
              <w:rPr>
                <w:rFonts w:ascii="Calibri" w:hAnsi="Calibri" w:cs="Calibri"/>
                <w:color w:val="000000"/>
                <w:sz w:val="20"/>
                <w:szCs w:val="20"/>
              </w:rPr>
            </w:pPr>
            <w:r>
              <w:rPr>
                <w:rFonts w:ascii="Calibri" w:hAnsi="Calibri" w:cs="Calibri"/>
                <w:color w:val="000000"/>
                <w:sz w:val="20"/>
                <w:szCs w:val="20"/>
              </w:rPr>
              <w:t>68 096,00</w:t>
            </w:r>
          </w:p>
        </w:tc>
      </w:tr>
      <w:tr w:rsidR="009D2F55" w:rsidTr="009D2F5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D2F55" w:rsidRDefault="009D2F55">
            <w:pPr>
              <w:jc w:val="center"/>
              <w:rPr>
                <w:rFonts w:ascii="Calibri" w:hAnsi="Calibri" w:cs="Calibri"/>
                <w:color w:val="000000"/>
                <w:sz w:val="20"/>
                <w:szCs w:val="20"/>
              </w:rPr>
            </w:pPr>
            <w:r>
              <w:rPr>
                <w:rFonts w:ascii="Calibri" w:hAnsi="Calibri" w:cs="Calibri"/>
                <w:color w:val="000000"/>
                <w:sz w:val="20"/>
                <w:szCs w:val="20"/>
              </w:rPr>
              <w:t>p.</w:t>
            </w:r>
          </w:p>
        </w:tc>
        <w:tc>
          <w:tcPr>
            <w:tcW w:w="5820" w:type="dxa"/>
            <w:tcBorders>
              <w:top w:val="nil"/>
              <w:left w:val="nil"/>
              <w:bottom w:val="single" w:sz="4" w:space="0" w:color="auto"/>
              <w:right w:val="single" w:sz="4" w:space="0" w:color="auto"/>
            </w:tcBorders>
            <w:shd w:val="clear" w:color="auto" w:fill="auto"/>
            <w:noWrap/>
            <w:vAlign w:val="center"/>
            <w:hideMark/>
          </w:tcPr>
          <w:p w:rsidR="009D2F55" w:rsidRDefault="009D2F55">
            <w:pPr>
              <w:rPr>
                <w:rFonts w:ascii="Calibri" w:hAnsi="Calibri" w:cs="Calibri"/>
                <w:color w:val="000000"/>
                <w:sz w:val="20"/>
                <w:szCs w:val="20"/>
              </w:rPr>
            </w:pPr>
            <w:r>
              <w:rPr>
                <w:rFonts w:ascii="Calibri" w:hAnsi="Calibri" w:cs="Calibri"/>
                <w:color w:val="000000"/>
                <w:sz w:val="20"/>
                <w:szCs w:val="20"/>
              </w:rPr>
              <w:t>Dětská skupina Jesle Prostějov</w:t>
            </w:r>
          </w:p>
        </w:tc>
        <w:tc>
          <w:tcPr>
            <w:tcW w:w="1720" w:type="dxa"/>
            <w:tcBorders>
              <w:top w:val="nil"/>
              <w:left w:val="nil"/>
              <w:bottom w:val="single" w:sz="4" w:space="0" w:color="auto"/>
              <w:right w:val="single" w:sz="4" w:space="0" w:color="auto"/>
            </w:tcBorders>
            <w:shd w:val="clear" w:color="auto" w:fill="auto"/>
            <w:noWrap/>
            <w:vAlign w:val="center"/>
            <w:hideMark/>
          </w:tcPr>
          <w:p w:rsidR="009D2F55" w:rsidRDefault="009D2F55">
            <w:pPr>
              <w:jc w:val="right"/>
              <w:rPr>
                <w:rFonts w:ascii="Calibri" w:hAnsi="Calibri" w:cs="Calibri"/>
                <w:color w:val="000000"/>
                <w:sz w:val="20"/>
                <w:szCs w:val="20"/>
              </w:rPr>
            </w:pPr>
            <w:r>
              <w:rPr>
                <w:rFonts w:ascii="Calibri" w:hAnsi="Calibri" w:cs="Calibri"/>
                <w:color w:val="000000"/>
                <w:sz w:val="20"/>
                <w:szCs w:val="20"/>
              </w:rPr>
              <w:t>10 234,00</w:t>
            </w:r>
          </w:p>
        </w:tc>
      </w:tr>
      <w:tr w:rsidR="009D2F55" w:rsidTr="009D2F55">
        <w:trPr>
          <w:trHeight w:val="300"/>
        </w:trPr>
        <w:tc>
          <w:tcPr>
            <w:tcW w:w="960" w:type="dxa"/>
            <w:tcBorders>
              <w:top w:val="nil"/>
              <w:left w:val="single" w:sz="4" w:space="0" w:color="auto"/>
              <w:bottom w:val="single" w:sz="4" w:space="0" w:color="auto"/>
              <w:right w:val="single" w:sz="4" w:space="0" w:color="auto"/>
            </w:tcBorders>
            <w:shd w:val="clear" w:color="000000" w:fill="FABF8F"/>
            <w:noWrap/>
            <w:vAlign w:val="center"/>
            <w:hideMark/>
          </w:tcPr>
          <w:p w:rsidR="009D2F55" w:rsidRDefault="009D2F55">
            <w:pPr>
              <w:jc w:val="center"/>
              <w:rPr>
                <w:rFonts w:ascii="Calibri" w:hAnsi="Calibri" w:cs="Calibri"/>
                <w:b/>
                <w:bCs/>
                <w:color w:val="000000"/>
                <w:sz w:val="20"/>
                <w:szCs w:val="20"/>
              </w:rPr>
            </w:pPr>
            <w:r>
              <w:rPr>
                <w:rFonts w:ascii="Calibri" w:hAnsi="Calibri" w:cs="Calibri"/>
                <w:b/>
                <w:bCs/>
                <w:color w:val="000000"/>
                <w:sz w:val="20"/>
                <w:szCs w:val="20"/>
              </w:rPr>
              <w:t>5.</w:t>
            </w:r>
          </w:p>
        </w:tc>
        <w:tc>
          <w:tcPr>
            <w:tcW w:w="5820" w:type="dxa"/>
            <w:tcBorders>
              <w:top w:val="nil"/>
              <w:left w:val="nil"/>
              <w:bottom w:val="single" w:sz="4" w:space="0" w:color="auto"/>
              <w:right w:val="single" w:sz="4" w:space="0" w:color="auto"/>
            </w:tcBorders>
            <w:shd w:val="clear" w:color="000000" w:fill="FABF8F"/>
            <w:noWrap/>
            <w:vAlign w:val="center"/>
            <w:hideMark/>
          </w:tcPr>
          <w:p w:rsidR="009D2F55" w:rsidRDefault="009D2F55">
            <w:pPr>
              <w:rPr>
                <w:rFonts w:ascii="Calibri" w:hAnsi="Calibri" w:cs="Calibri"/>
                <w:b/>
                <w:bCs/>
                <w:color w:val="000000"/>
                <w:sz w:val="20"/>
                <w:szCs w:val="20"/>
              </w:rPr>
            </w:pPr>
            <w:r>
              <w:rPr>
                <w:rFonts w:ascii="Calibri" w:hAnsi="Calibri" w:cs="Calibri"/>
                <w:b/>
                <w:bCs/>
                <w:color w:val="000000"/>
                <w:sz w:val="20"/>
                <w:szCs w:val="20"/>
              </w:rPr>
              <w:t>Aktivní vypořádání se SR ČR prostřednictvím KÚOK (návrh usnesení)</w:t>
            </w:r>
          </w:p>
        </w:tc>
        <w:tc>
          <w:tcPr>
            <w:tcW w:w="1720" w:type="dxa"/>
            <w:tcBorders>
              <w:top w:val="nil"/>
              <w:left w:val="nil"/>
              <w:bottom w:val="single" w:sz="4" w:space="0" w:color="auto"/>
              <w:right w:val="single" w:sz="4" w:space="0" w:color="auto"/>
            </w:tcBorders>
            <w:shd w:val="clear" w:color="000000" w:fill="FABF8F"/>
            <w:noWrap/>
            <w:vAlign w:val="center"/>
            <w:hideMark/>
          </w:tcPr>
          <w:p w:rsidR="009D2F55" w:rsidRDefault="009D2F55">
            <w:pPr>
              <w:jc w:val="right"/>
              <w:rPr>
                <w:rFonts w:ascii="Calibri" w:hAnsi="Calibri" w:cs="Calibri"/>
                <w:b/>
                <w:bCs/>
                <w:sz w:val="20"/>
                <w:szCs w:val="20"/>
              </w:rPr>
            </w:pPr>
            <w:r>
              <w:rPr>
                <w:rFonts w:ascii="Calibri" w:hAnsi="Calibri" w:cs="Calibri"/>
                <w:b/>
                <w:bCs/>
                <w:sz w:val="20"/>
                <w:szCs w:val="20"/>
              </w:rPr>
              <w:t>2 874 949,42</w:t>
            </w:r>
          </w:p>
        </w:tc>
      </w:tr>
      <w:tr w:rsidR="009D2F55" w:rsidTr="009D2F5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D2F55" w:rsidRDefault="009D2F55">
            <w:pPr>
              <w:jc w:val="center"/>
              <w:rPr>
                <w:rFonts w:ascii="Calibri" w:hAnsi="Calibri" w:cs="Calibri"/>
                <w:color w:val="000000"/>
                <w:sz w:val="20"/>
                <w:szCs w:val="20"/>
              </w:rPr>
            </w:pPr>
            <w:r>
              <w:rPr>
                <w:rFonts w:ascii="Calibri" w:hAnsi="Calibri" w:cs="Calibri"/>
                <w:color w:val="000000"/>
                <w:sz w:val="20"/>
                <w:szCs w:val="20"/>
              </w:rPr>
              <w:t>a.</w:t>
            </w:r>
          </w:p>
        </w:tc>
        <w:tc>
          <w:tcPr>
            <w:tcW w:w="5820" w:type="dxa"/>
            <w:tcBorders>
              <w:top w:val="nil"/>
              <w:left w:val="nil"/>
              <w:bottom w:val="single" w:sz="4" w:space="0" w:color="auto"/>
              <w:right w:val="single" w:sz="4" w:space="0" w:color="auto"/>
            </w:tcBorders>
            <w:shd w:val="clear" w:color="auto" w:fill="auto"/>
            <w:vAlign w:val="center"/>
            <w:hideMark/>
          </w:tcPr>
          <w:p w:rsidR="009D2F55" w:rsidRDefault="009D2F55" w:rsidP="00E66100">
            <w:pPr>
              <w:rPr>
                <w:rFonts w:ascii="Calibri" w:hAnsi="Calibri" w:cs="Calibri"/>
                <w:color w:val="000000"/>
                <w:sz w:val="20"/>
                <w:szCs w:val="20"/>
              </w:rPr>
            </w:pPr>
            <w:r>
              <w:rPr>
                <w:rFonts w:ascii="Calibri" w:hAnsi="Calibri" w:cs="Calibri"/>
                <w:color w:val="000000"/>
                <w:sz w:val="20"/>
                <w:szCs w:val="20"/>
              </w:rPr>
              <w:t>ÚZ 981</w:t>
            </w:r>
            <w:r w:rsidR="00E66100">
              <w:rPr>
                <w:rFonts w:ascii="Calibri" w:hAnsi="Calibri" w:cs="Calibri"/>
                <w:color w:val="000000"/>
                <w:sz w:val="20"/>
                <w:szCs w:val="20"/>
              </w:rPr>
              <w:t>87</w:t>
            </w:r>
            <w:r>
              <w:rPr>
                <w:rFonts w:ascii="Calibri" w:hAnsi="Calibri" w:cs="Calibri"/>
                <w:color w:val="000000"/>
                <w:sz w:val="20"/>
                <w:szCs w:val="20"/>
              </w:rPr>
              <w:t xml:space="preserve"> - Volby do Senátu a do zastupitelstev obcí</w:t>
            </w:r>
          </w:p>
        </w:tc>
        <w:tc>
          <w:tcPr>
            <w:tcW w:w="1720" w:type="dxa"/>
            <w:tcBorders>
              <w:top w:val="nil"/>
              <w:left w:val="nil"/>
              <w:bottom w:val="single" w:sz="4" w:space="0" w:color="auto"/>
              <w:right w:val="single" w:sz="4" w:space="0" w:color="auto"/>
            </w:tcBorders>
            <w:shd w:val="clear" w:color="auto" w:fill="auto"/>
            <w:noWrap/>
            <w:vAlign w:val="center"/>
            <w:hideMark/>
          </w:tcPr>
          <w:p w:rsidR="009D2F55" w:rsidRDefault="009D2F55">
            <w:pPr>
              <w:jc w:val="right"/>
              <w:rPr>
                <w:rFonts w:ascii="Calibri" w:hAnsi="Calibri" w:cs="Calibri"/>
                <w:color w:val="000000"/>
                <w:sz w:val="20"/>
                <w:szCs w:val="20"/>
              </w:rPr>
            </w:pPr>
            <w:r>
              <w:rPr>
                <w:rFonts w:ascii="Calibri" w:hAnsi="Calibri" w:cs="Calibri"/>
                <w:color w:val="000000"/>
                <w:sz w:val="20"/>
                <w:szCs w:val="20"/>
              </w:rPr>
              <w:t>47 354,42</w:t>
            </w:r>
          </w:p>
        </w:tc>
      </w:tr>
      <w:tr w:rsidR="009D2F55" w:rsidTr="009D2F5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D2F55" w:rsidRDefault="009D2F55">
            <w:pPr>
              <w:jc w:val="center"/>
              <w:rPr>
                <w:rFonts w:ascii="Calibri" w:hAnsi="Calibri" w:cs="Calibri"/>
                <w:color w:val="000000"/>
                <w:sz w:val="20"/>
                <w:szCs w:val="20"/>
              </w:rPr>
            </w:pPr>
            <w:r>
              <w:rPr>
                <w:rFonts w:ascii="Calibri" w:hAnsi="Calibri" w:cs="Calibri"/>
                <w:color w:val="000000"/>
                <w:sz w:val="20"/>
                <w:szCs w:val="20"/>
              </w:rPr>
              <w:t>c.</w:t>
            </w:r>
          </w:p>
        </w:tc>
        <w:tc>
          <w:tcPr>
            <w:tcW w:w="5820" w:type="dxa"/>
            <w:tcBorders>
              <w:top w:val="nil"/>
              <w:left w:val="nil"/>
              <w:bottom w:val="single" w:sz="4" w:space="0" w:color="auto"/>
              <w:right w:val="single" w:sz="4" w:space="0" w:color="auto"/>
            </w:tcBorders>
            <w:shd w:val="clear" w:color="auto" w:fill="auto"/>
            <w:vAlign w:val="center"/>
            <w:hideMark/>
          </w:tcPr>
          <w:p w:rsidR="009D2F55" w:rsidRDefault="009D2F55">
            <w:pPr>
              <w:rPr>
                <w:rFonts w:ascii="Calibri" w:hAnsi="Calibri" w:cs="Calibri"/>
                <w:color w:val="000000"/>
                <w:sz w:val="20"/>
                <w:szCs w:val="20"/>
              </w:rPr>
            </w:pPr>
            <w:r>
              <w:rPr>
                <w:rFonts w:ascii="Calibri" w:hAnsi="Calibri" w:cs="Calibri"/>
                <w:color w:val="000000"/>
                <w:sz w:val="20"/>
                <w:szCs w:val="20"/>
              </w:rPr>
              <w:t>ÚZ 13024 - Transfer na SPOD</w:t>
            </w:r>
          </w:p>
        </w:tc>
        <w:tc>
          <w:tcPr>
            <w:tcW w:w="1720" w:type="dxa"/>
            <w:tcBorders>
              <w:top w:val="nil"/>
              <w:left w:val="nil"/>
              <w:bottom w:val="single" w:sz="4" w:space="0" w:color="auto"/>
              <w:right w:val="single" w:sz="4" w:space="0" w:color="auto"/>
            </w:tcBorders>
            <w:shd w:val="clear" w:color="auto" w:fill="auto"/>
            <w:noWrap/>
            <w:vAlign w:val="center"/>
            <w:hideMark/>
          </w:tcPr>
          <w:p w:rsidR="009D2F55" w:rsidRDefault="009D2F55">
            <w:pPr>
              <w:jc w:val="right"/>
              <w:rPr>
                <w:rFonts w:ascii="Calibri" w:hAnsi="Calibri" w:cs="Calibri"/>
                <w:color w:val="000000"/>
                <w:sz w:val="20"/>
                <w:szCs w:val="20"/>
              </w:rPr>
            </w:pPr>
            <w:r>
              <w:rPr>
                <w:rFonts w:ascii="Calibri" w:hAnsi="Calibri" w:cs="Calibri"/>
                <w:color w:val="000000"/>
                <w:sz w:val="20"/>
                <w:szCs w:val="20"/>
              </w:rPr>
              <w:t>2 827 595,00</w:t>
            </w:r>
          </w:p>
        </w:tc>
      </w:tr>
      <w:tr w:rsidR="009D2F55" w:rsidTr="009D2F55">
        <w:trPr>
          <w:trHeight w:val="300"/>
        </w:trPr>
        <w:tc>
          <w:tcPr>
            <w:tcW w:w="960" w:type="dxa"/>
            <w:tcBorders>
              <w:top w:val="nil"/>
              <w:left w:val="single" w:sz="4" w:space="0" w:color="auto"/>
              <w:bottom w:val="single" w:sz="4" w:space="0" w:color="auto"/>
              <w:right w:val="single" w:sz="4" w:space="0" w:color="auto"/>
            </w:tcBorders>
            <w:shd w:val="clear" w:color="000000" w:fill="F79646"/>
            <w:noWrap/>
            <w:vAlign w:val="center"/>
            <w:hideMark/>
          </w:tcPr>
          <w:p w:rsidR="009D2F55" w:rsidRDefault="009D2F55">
            <w:pPr>
              <w:jc w:val="center"/>
              <w:rPr>
                <w:rFonts w:ascii="Calibri" w:hAnsi="Calibri" w:cs="Calibri"/>
                <w:b/>
                <w:bCs/>
                <w:color w:val="000000"/>
                <w:sz w:val="20"/>
                <w:szCs w:val="20"/>
              </w:rPr>
            </w:pPr>
            <w:r>
              <w:rPr>
                <w:rFonts w:ascii="Calibri" w:hAnsi="Calibri" w:cs="Calibri"/>
                <w:b/>
                <w:bCs/>
                <w:color w:val="000000"/>
                <w:sz w:val="20"/>
                <w:szCs w:val="20"/>
              </w:rPr>
              <w:t>6.</w:t>
            </w:r>
          </w:p>
        </w:tc>
        <w:tc>
          <w:tcPr>
            <w:tcW w:w="5820" w:type="dxa"/>
            <w:tcBorders>
              <w:top w:val="nil"/>
              <w:left w:val="nil"/>
              <w:bottom w:val="single" w:sz="4" w:space="0" w:color="auto"/>
              <w:right w:val="single" w:sz="4" w:space="0" w:color="auto"/>
            </w:tcBorders>
            <w:shd w:val="clear" w:color="000000" w:fill="F79646"/>
            <w:noWrap/>
            <w:vAlign w:val="center"/>
            <w:hideMark/>
          </w:tcPr>
          <w:p w:rsidR="009D2F55" w:rsidRDefault="009D2F55">
            <w:pPr>
              <w:rPr>
                <w:rFonts w:ascii="Calibri" w:hAnsi="Calibri" w:cs="Calibri"/>
                <w:b/>
                <w:bCs/>
                <w:color w:val="000000"/>
                <w:sz w:val="20"/>
                <w:szCs w:val="20"/>
              </w:rPr>
            </w:pPr>
            <w:r>
              <w:rPr>
                <w:rFonts w:ascii="Calibri" w:hAnsi="Calibri" w:cs="Calibri"/>
                <w:b/>
                <w:bCs/>
                <w:color w:val="000000"/>
                <w:sz w:val="20"/>
                <w:szCs w:val="20"/>
              </w:rPr>
              <w:t>Aktivní vypořádání celkem</w:t>
            </w:r>
          </w:p>
        </w:tc>
        <w:tc>
          <w:tcPr>
            <w:tcW w:w="1720" w:type="dxa"/>
            <w:tcBorders>
              <w:top w:val="nil"/>
              <w:left w:val="nil"/>
              <w:bottom w:val="single" w:sz="4" w:space="0" w:color="auto"/>
              <w:right w:val="single" w:sz="4" w:space="0" w:color="auto"/>
            </w:tcBorders>
            <w:shd w:val="clear" w:color="000000" w:fill="F79646"/>
            <w:noWrap/>
            <w:vAlign w:val="center"/>
            <w:hideMark/>
          </w:tcPr>
          <w:p w:rsidR="009D2F55" w:rsidRDefault="009D2F55">
            <w:pPr>
              <w:jc w:val="right"/>
              <w:rPr>
                <w:rFonts w:ascii="Calibri" w:hAnsi="Calibri" w:cs="Calibri"/>
                <w:b/>
                <w:bCs/>
                <w:sz w:val="20"/>
                <w:szCs w:val="20"/>
              </w:rPr>
            </w:pPr>
            <w:r>
              <w:rPr>
                <w:rFonts w:ascii="Calibri" w:hAnsi="Calibri" w:cs="Calibri"/>
                <w:b/>
                <w:bCs/>
                <w:sz w:val="20"/>
                <w:szCs w:val="20"/>
              </w:rPr>
              <w:t>3 402 945,27</w:t>
            </w:r>
          </w:p>
        </w:tc>
      </w:tr>
      <w:tr w:rsidR="009D2F55" w:rsidTr="009D2F55">
        <w:trPr>
          <w:trHeight w:val="300"/>
        </w:trPr>
        <w:tc>
          <w:tcPr>
            <w:tcW w:w="960" w:type="dxa"/>
            <w:tcBorders>
              <w:top w:val="nil"/>
              <w:left w:val="single" w:sz="4" w:space="0" w:color="auto"/>
              <w:bottom w:val="single" w:sz="4" w:space="0" w:color="auto"/>
              <w:right w:val="single" w:sz="4" w:space="0" w:color="auto"/>
            </w:tcBorders>
            <w:shd w:val="clear" w:color="000000" w:fill="FABF8F"/>
            <w:noWrap/>
            <w:vAlign w:val="center"/>
            <w:hideMark/>
          </w:tcPr>
          <w:p w:rsidR="009D2F55" w:rsidRDefault="009D2F55">
            <w:pPr>
              <w:jc w:val="center"/>
              <w:rPr>
                <w:rFonts w:ascii="Calibri" w:hAnsi="Calibri" w:cs="Calibri"/>
                <w:b/>
                <w:bCs/>
                <w:color w:val="000000"/>
                <w:sz w:val="20"/>
                <w:szCs w:val="20"/>
              </w:rPr>
            </w:pPr>
            <w:r>
              <w:rPr>
                <w:rFonts w:ascii="Calibri" w:hAnsi="Calibri" w:cs="Calibri"/>
                <w:b/>
                <w:bCs/>
                <w:color w:val="000000"/>
                <w:sz w:val="20"/>
                <w:szCs w:val="20"/>
              </w:rPr>
              <w:t>7.</w:t>
            </w:r>
          </w:p>
        </w:tc>
        <w:tc>
          <w:tcPr>
            <w:tcW w:w="5820" w:type="dxa"/>
            <w:tcBorders>
              <w:top w:val="nil"/>
              <w:left w:val="nil"/>
              <w:bottom w:val="single" w:sz="4" w:space="0" w:color="auto"/>
              <w:right w:val="single" w:sz="4" w:space="0" w:color="auto"/>
            </w:tcBorders>
            <w:shd w:val="clear" w:color="000000" w:fill="FABF8F"/>
            <w:noWrap/>
            <w:vAlign w:val="center"/>
            <w:hideMark/>
          </w:tcPr>
          <w:p w:rsidR="009D2F55" w:rsidRDefault="009D2F55">
            <w:pPr>
              <w:rPr>
                <w:rFonts w:ascii="Calibri" w:hAnsi="Calibri" w:cs="Calibri"/>
                <w:b/>
                <w:bCs/>
                <w:color w:val="000000"/>
                <w:sz w:val="20"/>
                <w:szCs w:val="20"/>
              </w:rPr>
            </w:pPr>
            <w:r>
              <w:rPr>
                <w:rFonts w:ascii="Calibri" w:hAnsi="Calibri" w:cs="Calibri"/>
                <w:b/>
                <w:bCs/>
                <w:color w:val="000000"/>
                <w:sz w:val="20"/>
                <w:szCs w:val="20"/>
              </w:rPr>
              <w:t>Pasivní vypořádání (odvedeno dle pokynů OlK)</w:t>
            </w:r>
          </w:p>
        </w:tc>
        <w:tc>
          <w:tcPr>
            <w:tcW w:w="1720" w:type="dxa"/>
            <w:tcBorders>
              <w:top w:val="nil"/>
              <w:left w:val="nil"/>
              <w:bottom w:val="single" w:sz="4" w:space="0" w:color="auto"/>
              <w:right w:val="single" w:sz="4" w:space="0" w:color="auto"/>
            </w:tcBorders>
            <w:shd w:val="clear" w:color="000000" w:fill="FABF8F"/>
            <w:noWrap/>
            <w:vAlign w:val="center"/>
            <w:hideMark/>
          </w:tcPr>
          <w:p w:rsidR="009D2F55" w:rsidRDefault="009D2F55">
            <w:pPr>
              <w:jc w:val="right"/>
              <w:rPr>
                <w:rFonts w:ascii="Calibri" w:hAnsi="Calibri" w:cs="Calibri"/>
                <w:b/>
                <w:bCs/>
                <w:sz w:val="20"/>
                <w:szCs w:val="20"/>
              </w:rPr>
            </w:pPr>
            <w:r>
              <w:rPr>
                <w:rFonts w:ascii="Calibri" w:hAnsi="Calibri" w:cs="Calibri"/>
                <w:b/>
                <w:bCs/>
                <w:sz w:val="20"/>
                <w:szCs w:val="20"/>
              </w:rPr>
              <w:t>476 600,00</w:t>
            </w:r>
          </w:p>
        </w:tc>
      </w:tr>
      <w:tr w:rsidR="009D2F55" w:rsidTr="009D2F5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D2F55" w:rsidRDefault="009D2F55">
            <w:pPr>
              <w:jc w:val="center"/>
              <w:rPr>
                <w:rFonts w:ascii="Calibri" w:hAnsi="Calibri" w:cs="Calibri"/>
                <w:color w:val="000000"/>
                <w:sz w:val="20"/>
                <w:szCs w:val="20"/>
              </w:rPr>
            </w:pPr>
            <w:r>
              <w:rPr>
                <w:rFonts w:ascii="Calibri" w:hAnsi="Calibri" w:cs="Calibri"/>
                <w:color w:val="000000"/>
                <w:sz w:val="20"/>
                <w:szCs w:val="20"/>
              </w:rPr>
              <w:t>a.</w:t>
            </w:r>
          </w:p>
        </w:tc>
        <w:tc>
          <w:tcPr>
            <w:tcW w:w="5820" w:type="dxa"/>
            <w:tcBorders>
              <w:top w:val="nil"/>
              <w:left w:val="nil"/>
              <w:bottom w:val="single" w:sz="4" w:space="0" w:color="auto"/>
              <w:right w:val="single" w:sz="4" w:space="0" w:color="auto"/>
            </w:tcBorders>
            <w:shd w:val="clear" w:color="auto" w:fill="auto"/>
            <w:noWrap/>
            <w:vAlign w:val="center"/>
            <w:hideMark/>
          </w:tcPr>
          <w:p w:rsidR="009D2F55" w:rsidRDefault="009D2F55">
            <w:pPr>
              <w:rPr>
                <w:rFonts w:ascii="Calibri" w:hAnsi="Calibri" w:cs="Calibri"/>
                <w:color w:val="000000"/>
                <w:sz w:val="20"/>
                <w:szCs w:val="20"/>
              </w:rPr>
            </w:pPr>
            <w:r>
              <w:rPr>
                <w:rFonts w:ascii="Calibri" w:hAnsi="Calibri" w:cs="Calibri"/>
                <w:color w:val="000000"/>
                <w:sz w:val="20"/>
                <w:szCs w:val="20"/>
              </w:rPr>
              <w:t>Ekologický poplatek SFŽP ČR za měsíc 12/2022</w:t>
            </w:r>
          </w:p>
        </w:tc>
        <w:tc>
          <w:tcPr>
            <w:tcW w:w="1720" w:type="dxa"/>
            <w:tcBorders>
              <w:top w:val="nil"/>
              <w:left w:val="nil"/>
              <w:bottom w:val="single" w:sz="4" w:space="0" w:color="auto"/>
              <w:right w:val="single" w:sz="4" w:space="0" w:color="auto"/>
            </w:tcBorders>
            <w:shd w:val="clear" w:color="auto" w:fill="auto"/>
            <w:noWrap/>
            <w:vAlign w:val="center"/>
            <w:hideMark/>
          </w:tcPr>
          <w:p w:rsidR="009D2F55" w:rsidRDefault="009D2F55">
            <w:pPr>
              <w:jc w:val="right"/>
              <w:rPr>
                <w:rFonts w:ascii="Calibri" w:hAnsi="Calibri" w:cs="Calibri"/>
                <w:color w:val="000000"/>
                <w:sz w:val="20"/>
                <w:szCs w:val="20"/>
              </w:rPr>
            </w:pPr>
            <w:r>
              <w:rPr>
                <w:rFonts w:ascii="Calibri" w:hAnsi="Calibri" w:cs="Calibri"/>
                <w:color w:val="000000"/>
                <w:sz w:val="20"/>
                <w:szCs w:val="20"/>
              </w:rPr>
              <w:t>48 000,00</w:t>
            </w:r>
          </w:p>
        </w:tc>
      </w:tr>
      <w:tr w:rsidR="009D2F55" w:rsidTr="009D2F5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D2F55" w:rsidRDefault="009D2F55">
            <w:pPr>
              <w:jc w:val="center"/>
              <w:rPr>
                <w:rFonts w:ascii="Calibri" w:hAnsi="Calibri" w:cs="Calibri"/>
                <w:sz w:val="20"/>
                <w:szCs w:val="20"/>
              </w:rPr>
            </w:pPr>
            <w:r>
              <w:rPr>
                <w:rFonts w:ascii="Calibri" w:hAnsi="Calibri" w:cs="Calibri"/>
                <w:sz w:val="20"/>
                <w:szCs w:val="20"/>
              </w:rPr>
              <w:t>b.</w:t>
            </w:r>
          </w:p>
        </w:tc>
        <w:tc>
          <w:tcPr>
            <w:tcW w:w="5820" w:type="dxa"/>
            <w:tcBorders>
              <w:top w:val="nil"/>
              <w:left w:val="nil"/>
              <w:bottom w:val="single" w:sz="4" w:space="0" w:color="auto"/>
              <w:right w:val="single" w:sz="4" w:space="0" w:color="auto"/>
            </w:tcBorders>
            <w:shd w:val="clear" w:color="auto" w:fill="auto"/>
            <w:vAlign w:val="center"/>
            <w:hideMark/>
          </w:tcPr>
          <w:p w:rsidR="009D2F55" w:rsidRDefault="009D2F55">
            <w:pPr>
              <w:rPr>
                <w:rFonts w:ascii="Calibri" w:hAnsi="Calibri" w:cs="Calibri"/>
                <w:color w:val="000000"/>
                <w:sz w:val="20"/>
                <w:szCs w:val="20"/>
              </w:rPr>
            </w:pPr>
            <w:r>
              <w:rPr>
                <w:rFonts w:ascii="Calibri" w:hAnsi="Calibri" w:cs="Calibri"/>
                <w:color w:val="000000"/>
                <w:sz w:val="20"/>
                <w:szCs w:val="20"/>
              </w:rPr>
              <w:t>ÚZ 98008 - Volba prezidenta ČR</w:t>
            </w:r>
          </w:p>
        </w:tc>
        <w:tc>
          <w:tcPr>
            <w:tcW w:w="1720" w:type="dxa"/>
            <w:tcBorders>
              <w:top w:val="nil"/>
              <w:left w:val="nil"/>
              <w:bottom w:val="single" w:sz="4" w:space="0" w:color="auto"/>
              <w:right w:val="single" w:sz="4" w:space="0" w:color="auto"/>
            </w:tcBorders>
            <w:shd w:val="clear" w:color="auto" w:fill="auto"/>
            <w:noWrap/>
            <w:vAlign w:val="center"/>
            <w:hideMark/>
          </w:tcPr>
          <w:p w:rsidR="009D2F55" w:rsidRDefault="009D2F55">
            <w:pPr>
              <w:jc w:val="right"/>
              <w:rPr>
                <w:rFonts w:ascii="Calibri" w:hAnsi="Calibri" w:cs="Calibri"/>
                <w:sz w:val="20"/>
                <w:szCs w:val="20"/>
              </w:rPr>
            </w:pPr>
            <w:r>
              <w:rPr>
                <w:rFonts w:ascii="Calibri" w:hAnsi="Calibri" w:cs="Calibri"/>
                <w:sz w:val="20"/>
                <w:szCs w:val="20"/>
              </w:rPr>
              <w:t>428 600,00</w:t>
            </w:r>
          </w:p>
        </w:tc>
      </w:tr>
      <w:tr w:rsidR="009D2F55" w:rsidTr="009D2F55">
        <w:trPr>
          <w:trHeight w:val="300"/>
        </w:trPr>
        <w:tc>
          <w:tcPr>
            <w:tcW w:w="960" w:type="dxa"/>
            <w:tcBorders>
              <w:top w:val="nil"/>
              <w:left w:val="single" w:sz="4" w:space="0" w:color="auto"/>
              <w:bottom w:val="single" w:sz="4" w:space="0" w:color="auto"/>
              <w:right w:val="single" w:sz="4" w:space="0" w:color="auto"/>
            </w:tcBorders>
            <w:shd w:val="clear" w:color="000000" w:fill="F79646"/>
            <w:noWrap/>
            <w:vAlign w:val="center"/>
            <w:hideMark/>
          </w:tcPr>
          <w:p w:rsidR="009D2F55" w:rsidRDefault="009D2F55">
            <w:pPr>
              <w:jc w:val="center"/>
              <w:rPr>
                <w:rFonts w:ascii="Calibri" w:hAnsi="Calibri" w:cs="Calibri"/>
                <w:b/>
                <w:bCs/>
                <w:color w:val="000000"/>
                <w:sz w:val="20"/>
                <w:szCs w:val="20"/>
              </w:rPr>
            </w:pPr>
            <w:r>
              <w:rPr>
                <w:rFonts w:ascii="Calibri" w:hAnsi="Calibri" w:cs="Calibri"/>
                <w:b/>
                <w:bCs/>
                <w:color w:val="000000"/>
                <w:sz w:val="20"/>
                <w:szCs w:val="20"/>
              </w:rPr>
              <w:t>8.</w:t>
            </w:r>
          </w:p>
        </w:tc>
        <w:tc>
          <w:tcPr>
            <w:tcW w:w="5820" w:type="dxa"/>
            <w:tcBorders>
              <w:top w:val="nil"/>
              <w:left w:val="nil"/>
              <w:bottom w:val="single" w:sz="4" w:space="0" w:color="auto"/>
              <w:right w:val="single" w:sz="4" w:space="0" w:color="auto"/>
            </w:tcBorders>
            <w:shd w:val="clear" w:color="000000" w:fill="F79646"/>
            <w:noWrap/>
            <w:vAlign w:val="center"/>
            <w:hideMark/>
          </w:tcPr>
          <w:p w:rsidR="009D2F55" w:rsidRDefault="009D2F55">
            <w:pPr>
              <w:rPr>
                <w:rFonts w:ascii="Calibri" w:hAnsi="Calibri" w:cs="Calibri"/>
                <w:b/>
                <w:bCs/>
                <w:color w:val="000000"/>
                <w:sz w:val="20"/>
                <w:szCs w:val="20"/>
              </w:rPr>
            </w:pPr>
            <w:r>
              <w:rPr>
                <w:rFonts w:ascii="Calibri" w:hAnsi="Calibri" w:cs="Calibri"/>
                <w:b/>
                <w:bCs/>
                <w:color w:val="000000"/>
                <w:sz w:val="20"/>
                <w:szCs w:val="20"/>
              </w:rPr>
              <w:t>Pasivní vypořádání celkem</w:t>
            </w:r>
          </w:p>
        </w:tc>
        <w:tc>
          <w:tcPr>
            <w:tcW w:w="1720" w:type="dxa"/>
            <w:tcBorders>
              <w:top w:val="nil"/>
              <w:left w:val="nil"/>
              <w:bottom w:val="single" w:sz="4" w:space="0" w:color="auto"/>
              <w:right w:val="single" w:sz="4" w:space="0" w:color="auto"/>
            </w:tcBorders>
            <w:shd w:val="clear" w:color="000000" w:fill="F79646"/>
            <w:noWrap/>
            <w:vAlign w:val="center"/>
            <w:hideMark/>
          </w:tcPr>
          <w:p w:rsidR="009D2F55" w:rsidRDefault="009D2F55">
            <w:pPr>
              <w:jc w:val="right"/>
              <w:rPr>
                <w:rFonts w:ascii="Calibri" w:hAnsi="Calibri" w:cs="Calibri"/>
                <w:b/>
                <w:bCs/>
                <w:sz w:val="20"/>
                <w:szCs w:val="20"/>
              </w:rPr>
            </w:pPr>
            <w:r>
              <w:rPr>
                <w:rFonts w:ascii="Calibri" w:hAnsi="Calibri" w:cs="Calibri"/>
                <w:b/>
                <w:bCs/>
                <w:sz w:val="20"/>
                <w:szCs w:val="20"/>
              </w:rPr>
              <w:t>476 600,00</w:t>
            </w:r>
          </w:p>
        </w:tc>
      </w:tr>
      <w:tr w:rsidR="009D2F55" w:rsidTr="009D2F55">
        <w:trPr>
          <w:trHeight w:val="300"/>
        </w:trPr>
        <w:tc>
          <w:tcPr>
            <w:tcW w:w="960" w:type="dxa"/>
            <w:tcBorders>
              <w:top w:val="nil"/>
              <w:left w:val="single" w:sz="4" w:space="0" w:color="auto"/>
              <w:bottom w:val="single" w:sz="4" w:space="0" w:color="auto"/>
              <w:right w:val="single" w:sz="4" w:space="0" w:color="auto"/>
            </w:tcBorders>
            <w:shd w:val="clear" w:color="000000" w:fill="FFC000"/>
            <w:noWrap/>
            <w:vAlign w:val="center"/>
            <w:hideMark/>
          </w:tcPr>
          <w:p w:rsidR="009D2F55" w:rsidRDefault="009D2F55">
            <w:pPr>
              <w:jc w:val="center"/>
              <w:rPr>
                <w:rFonts w:ascii="Calibri" w:hAnsi="Calibri" w:cs="Calibri"/>
                <w:b/>
                <w:bCs/>
                <w:color w:val="000000"/>
                <w:sz w:val="20"/>
                <w:szCs w:val="20"/>
              </w:rPr>
            </w:pPr>
            <w:r>
              <w:rPr>
                <w:rFonts w:ascii="Calibri" w:hAnsi="Calibri" w:cs="Calibri"/>
                <w:b/>
                <w:bCs/>
                <w:color w:val="000000"/>
                <w:sz w:val="20"/>
                <w:szCs w:val="20"/>
              </w:rPr>
              <w:t>9.</w:t>
            </w:r>
          </w:p>
        </w:tc>
        <w:tc>
          <w:tcPr>
            <w:tcW w:w="5820" w:type="dxa"/>
            <w:tcBorders>
              <w:top w:val="nil"/>
              <w:left w:val="nil"/>
              <w:bottom w:val="single" w:sz="4" w:space="0" w:color="auto"/>
              <w:right w:val="single" w:sz="4" w:space="0" w:color="auto"/>
            </w:tcBorders>
            <w:shd w:val="clear" w:color="000000" w:fill="FFC000"/>
            <w:noWrap/>
            <w:vAlign w:val="center"/>
            <w:hideMark/>
          </w:tcPr>
          <w:p w:rsidR="009D2F55" w:rsidRDefault="009D2F55">
            <w:pPr>
              <w:rPr>
                <w:rFonts w:ascii="Calibri" w:hAnsi="Calibri" w:cs="Calibri"/>
                <w:b/>
                <w:bCs/>
                <w:color w:val="000000"/>
                <w:sz w:val="20"/>
                <w:szCs w:val="20"/>
              </w:rPr>
            </w:pPr>
            <w:r>
              <w:rPr>
                <w:rFonts w:ascii="Calibri" w:hAnsi="Calibri" w:cs="Calibri"/>
                <w:b/>
                <w:bCs/>
                <w:color w:val="000000"/>
                <w:sz w:val="20"/>
                <w:szCs w:val="20"/>
              </w:rPr>
              <w:t>Stav peněžních prostředků po finančním vypořádání</w:t>
            </w:r>
          </w:p>
        </w:tc>
        <w:tc>
          <w:tcPr>
            <w:tcW w:w="1720" w:type="dxa"/>
            <w:tcBorders>
              <w:top w:val="nil"/>
              <w:left w:val="nil"/>
              <w:bottom w:val="single" w:sz="4" w:space="0" w:color="auto"/>
              <w:right w:val="single" w:sz="4" w:space="0" w:color="auto"/>
            </w:tcBorders>
            <w:shd w:val="clear" w:color="000000" w:fill="FFC000"/>
            <w:noWrap/>
            <w:vAlign w:val="center"/>
            <w:hideMark/>
          </w:tcPr>
          <w:p w:rsidR="009D2F55" w:rsidRDefault="009D2F55">
            <w:pPr>
              <w:jc w:val="right"/>
              <w:rPr>
                <w:rFonts w:ascii="Calibri" w:hAnsi="Calibri" w:cs="Calibri"/>
                <w:b/>
                <w:bCs/>
                <w:sz w:val="20"/>
                <w:szCs w:val="20"/>
              </w:rPr>
            </w:pPr>
            <w:r>
              <w:rPr>
                <w:rFonts w:ascii="Calibri" w:hAnsi="Calibri" w:cs="Calibri"/>
                <w:b/>
                <w:bCs/>
                <w:sz w:val="20"/>
                <w:szCs w:val="20"/>
              </w:rPr>
              <w:t>508 990 376,71</w:t>
            </w:r>
          </w:p>
        </w:tc>
      </w:tr>
      <w:tr w:rsidR="009D2F55" w:rsidTr="009D2F5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D2F55" w:rsidRDefault="009D2F55">
            <w:pPr>
              <w:rPr>
                <w:color w:val="000000"/>
                <w:sz w:val="20"/>
                <w:szCs w:val="20"/>
              </w:rPr>
            </w:pPr>
            <w:r>
              <w:rPr>
                <w:color w:val="000000"/>
                <w:sz w:val="20"/>
                <w:szCs w:val="20"/>
              </w:rPr>
              <w:t> </w:t>
            </w:r>
          </w:p>
        </w:tc>
        <w:tc>
          <w:tcPr>
            <w:tcW w:w="5820" w:type="dxa"/>
            <w:tcBorders>
              <w:top w:val="nil"/>
              <w:left w:val="nil"/>
              <w:bottom w:val="single" w:sz="4" w:space="0" w:color="auto"/>
              <w:right w:val="single" w:sz="4" w:space="0" w:color="auto"/>
            </w:tcBorders>
            <w:shd w:val="clear" w:color="auto" w:fill="auto"/>
            <w:noWrap/>
            <w:vAlign w:val="bottom"/>
            <w:hideMark/>
          </w:tcPr>
          <w:p w:rsidR="009D2F55" w:rsidRDefault="009D2F55">
            <w:pPr>
              <w:rPr>
                <w:color w:val="000000"/>
                <w:sz w:val="20"/>
                <w:szCs w:val="20"/>
              </w:rPr>
            </w:pPr>
            <w:r>
              <w:rPr>
                <w:color w:val="000000"/>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9D2F55" w:rsidRDefault="009D2F55">
            <w:pPr>
              <w:rPr>
                <w:color w:val="000000"/>
                <w:sz w:val="20"/>
                <w:szCs w:val="20"/>
              </w:rPr>
            </w:pPr>
            <w:r>
              <w:rPr>
                <w:color w:val="000000"/>
                <w:sz w:val="20"/>
                <w:szCs w:val="20"/>
              </w:rPr>
              <w:t> </w:t>
            </w:r>
          </w:p>
        </w:tc>
      </w:tr>
      <w:tr w:rsidR="009D2F55" w:rsidTr="009D2F55">
        <w:trPr>
          <w:trHeight w:val="300"/>
        </w:trPr>
        <w:tc>
          <w:tcPr>
            <w:tcW w:w="6780" w:type="dxa"/>
            <w:gridSpan w:val="2"/>
            <w:tcBorders>
              <w:top w:val="single" w:sz="4" w:space="0" w:color="auto"/>
              <w:left w:val="single" w:sz="4" w:space="0" w:color="auto"/>
              <w:bottom w:val="single" w:sz="4" w:space="0" w:color="auto"/>
              <w:right w:val="single" w:sz="4" w:space="0" w:color="auto"/>
            </w:tcBorders>
            <w:shd w:val="clear" w:color="000000" w:fill="F79646"/>
            <w:noWrap/>
            <w:vAlign w:val="center"/>
            <w:hideMark/>
          </w:tcPr>
          <w:p w:rsidR="009D2F55" w:rsidRDefault="009D2F55">
            <w:pPr>
              <w:rPr>
                <w:rFonts w:ascii="Calibri" w:hAnsi="Calibri" w:cs="Calibri"/>
                <w:b/>
                <w:bCs/>
                <w:color w:val="000000"/>
                <w:sz w:val="20"/>
                <w:szCs w:val="20"/>
              </w:rPr>
            </w:pPr>
            <w:r>
              <w:rPr>
                <w:rFonts w:ascii="Calibri" w:hAnsi="Calibri" w:cs="Calibri"/>
                <w:b/>
                <w:bCs/>
                <w:color w:val="000000"/>
                <w:sz w:val="20"/>
                <w:szCs w:val="20"/>
              </w:rPr>
              <w:t>Finanční prostředky na účtech trvalých peněžních fondů k 31.12.2022</w:t>
            </w:r>
          </w:p>
        </w:tc>
        <w:tc>
          <w:tcPr>
            <w:tcW w:w="1720" w:type="dxa"/>
            <w:tcBorders>
              <w:top w:val="nil"/>
              <w:left w:val="nil"/>
              <w:bottom w:val="single" w:sz="4" w:space="0" w:color="auto"/>
              <w:right w:val="single" w:sz="4" w:space="0" w:color="auto"/>
            </w:tcBorders>
            <w:shd w:val="clear" w:color="000000" w:fill="F79646"/>
            <w:noWrap/>
            <w:vAlign w:val="center"/>
            <w:hideMark/>
          </w:tcPr>
          <w:p w:rsidR="009D2F55" w:rsidRDefault="009D2F55">
            <w:pPr>
              <w:jc w:val="right"/>
              <w:rPr>
                <w:rFonts w:ascii="Calibri" w:hAnsi="Calibri" w:cs="Calibri"/>
                <w:b/>
                <w:bCs/>
                <w:sz w:val="20"/>
                <w:szCs w:val="20"/>
              </w:rPr>
            </w:pPr>
            <w:r>
              <w:rPr>
                <w:rFonts w:ascii="Calibri" w:hAnsi="Calibri" w:cs="Calibri"/>
                <w:b/>
                <w:bCs/>
                <w:sz w:val="20"/>
                <w:szCs w:val="20"/>
              </w:rPr>
              <w:t>177 517 594,83</w:t>
            </w:r>
          </w:p>
        </w:tc>
      </w:tr>
      <w:tr w:rsidR="009D2F55" w:rsidTr="009D2F55">
        <w:trPr>
          <w:trHeight w:val="315"/>
        </w:trPr>
        <w:tc>
          <w:tcPr>
            <w:tcW w:w="6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F55" w:rsidRDefault="009D2F55">
            <w:pPr>
              <w:rPr>
                <w:rFonts w:ascii="Calibri" w:hAnsi="Calibri" w:cs="Calibri"/>
                <w:color w:val="000000"/>
                <w:sz w:val="20"/>
                <w:szCs w:val="20"/>
              </w:rPr>
            </w:pPr>
            <w:r>
              <w:rPr>
                <w:rFonts w:ascii="Calibri" w:hAnsi="Calibri" w:cs="Calibri"/>
                <w:color w:val="000000"/>
                <w:sz w:val="20"/>
                <w:szCs w:val="20"/>
              </w:rPr>
              <w:t>Sociální fond</w:t>
            </w:r>
          </w:p>
        </w:tc>
        <w:tc>
          <w:tcPr>
            <w:tcW w:w="1720" w:type="dxa"/>
            <w:tcBorders>
              <w:top w:val="nil"/>
              <w:left w:val="nil"/>
              <w:bottom w:val="single" w:sz="4" w:space="0" w:color="auto"/>
              <w:right w:val="single" w:sz="4" w:space="0" w:color="auto"/>
            </w:tcBorders>
            <w:shd w:val="clear" w:color="000000" w:fill="FFFFFF"/>
            <w:noWrap/>
            <w:vAlign w:val="bottom"/>
            <w:hideMark/>
          </w:tcPr>
          <w:p w:rsidR="009D2F55" w:rsidRDefault="009D2F55">
            <w:pPr>
              <w:jc w:val="right"/>
              <w:rPr>
                <w:rFonts w:ascii="Calibri" w:hAnsi="Calibri" w:cs="Calibri"/>
                <w:sz w:val="22"/>
                <w:szCs w:val="22"/>
              </w:rPr>
            </w:pPr>
            <w:r>
              <w:rPr>
                <w:rFonts w:ascii="Calibri" w:hAnsi="Calibri" w:cs="Calibri"/>
                <w:sz w:val="22"/>
                <w:szCs w:val="22"/>
              </w:rPr>
              <w:t>4 166 074,80</w:t>
            </w:r>
          </w:p>
        </w:tc>
      </w:tr>
      <w:tr w:rsidR="009D2F55" w:rsidTr="009D2F55">
        <w:trPr>
          <w:trHeight w:val="300"/>
        </w:trPr>
        <w:tc>
          <w:tcPr>
            <w:tcW w:w="6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F55" w:rsidRDefault="009D2F55">
            <w:pPr>
              <w:rPr>
                <w:rFonts w:ascii="Calibri" w:hAnsi="Calibri" w:cs="Calibri"/>
                <w:color w:val="000000"/>
                <w:sz w:val="20"/>
                <w:szCs w:val="20"/>
              </w:rPr>
            </w:pPr>
            <w:r>
              <w:rPr>
                <w:rFonts w:ascii="Calibri" w:hAnsi="Calibri" w:cs="Calibri"/>
                <w:color w:val="000000"/>
                <w:sz w:val="20"/>
                <w:szCs w:val="20"/>
              </w:rPr>
              <w:t>Trvalé peněžní fondy bez SF</w:t>
            </w:r>
          </w:p>
        </w:tc>
        <w:tc>
          <w:tcPr>
            <w:tcW w:w="1720" w:type="dxa"/>
            <w:tcBorders>
              <w:top w:val="nil"/>
              <w:left w:val="nil"/>
              <w:bottom w:val="single" w:sz="4" w:space="0" w:color="auto"/>
              <w:right w:val="single" w:sz="4" w:space="0" w:color="auto"/>
            </w:tcBorders>
            <w:shd w:val="clear" w:color="000000" w:fill="FFFFFF"/>
            <w:noWrap/>
            <w:vAlign w:val="bottom"/>
            <w:hideMark/>
          </w:tcPr>
          <w:p w:rsidR="009D2F55" w:rsidRDefault="009D2F55">
            <w:pPr>
              <w:jc w:val="right"/>
              <w:rPr>
                <w:rFonts w:ascii="Calibri" w:hAnsi="Calibri" w:cs="Calibri"/>
                <w:sz w:val="22"/>
                <w:szCs w:val="22"/>
              </w:rPr>
            </w:pPr>
            <w:r>
              <w:rPr>
                <w:rFonts w:ascii="Calibri" w:hAnsi="Calibri" w:cs="Calibri"/>
                <w:sz w:val="22"/>
                <w:szCs w:val="22"/>
              </w:rPr>
              <w:t>173 351 520,03</w:t>
            </w:r>
          </w:p>
        </w:tc>
      </w:tr>
    </w:tbl>
    <w:p w:rsidR="009B3DAF" w:rsidRDefault="009B3DAF" w:rsidP="00CA6C24">
      <w:pPr>
        <w:pStyle w:val="Nadpis2"/>
      </w:pPr>
      <w:bookmarkStart w:id="56" w:name="_Toc39129544"/>
      <w:r w:rsidRPr="008F224B">
        <w:lastRenderedPageBreak/>
        <w:t>Pohledávky registrované finančním odborem</w:t>
      </w:r>
      <w:r w:rsidR="002F0713">
        <w:t xml:space="preserve"> MMPv</w:t>
      </w:r>
      <w:r w:rsidR="008174B3" w:rsidRPr="008F224B">
        <w:t xml:space="preserve"> k</w:t>
      </w:r>
      <w:r w:rsidR="00F479FA" w:rsidRPr="008F224B">
        <w:t xml:space="preserve"> </w:t>
      </w:r>
      <w:r w:rsidR="00FE3B4F" w:rsidRPr="008F224B">
        <w:t>31.</w:t>
      </w:r>
      <w:r w:rsidR="003D13D9">
        <w:t xml:space="preserve"> </w:t>
      </w:r>
      <w:r w:rsidR="00FE3B4F" w:rsidRPr="008F224B">
        <w:t>12.</w:t>
      </w:r>
      <w:r w:rsidR="003D13D9">
        <w:t xml:space="preserve"> </w:t>
      </w:r>
      <w:r w:rsidR="00FE3B4F" w:rsidRPr="008F224B">
        <w:t>20</w:t>
      </w:r>
      <w:bookmarkEnd w:id="56"/>
      <w:r w:rsidR="008F224B" w:rsidRPr="008F224B">
        <w:t>2</w:t>
      </w:r>
      <w:r w:rsidR="00C96D88">
        <w:t>2</w:t>
      </w:r>
    </w:p>
    <w:tbl>
      <w:tblPr>
        <w:tblW w:w="9492" w:type="dxa"/>
        <w:tblInd w:w="-5" w:type="dxa"/>
        <w:tblCellMar>
          <w:left w:w="70" w:type="dxa"/>
          <w:right w:w="70" w:type="dxa"/>
        </w:tblCellMar>
        <w:tblLook w:val="04A0" w:firstRow="1" w:lastRow="0" w:firstColumn="1" w:lastColumn="0" w:noHBand="0" w:noVBand="1"/>
      </w:tblPr>
      <w:tblGrid>
        <w:gridCol w:w="1843"/>
        <w:gridCol w:w="567"/>
        <w:gridCol w:w="1276"/>
        <w:gridCol w:w="5806"/>
      </w:tblGrid>
      <w:tr w:rsidR="00742001" w:rsidTr="00742001">
        <w:trPr>
          <w:trHeight w:val="208"/>
        </w:trPr>
        <w:tc>
          <w:tcPr>
            <w:tcW w:w="1843"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742001" w:rsidRDefault="00742001">
            <w:pPr>
              <w:jc w:val="center"/>
              <w:rPr>
                <w:rFonts w:ascii="Calibri" w:hAnsi="Calibri" w:cs="Calibri"/>
                <w:b/>
                <w:bCs/>
                <w:sz w:val="16"/>
                <w:szCs w:val="16"/>
              </w:rPr>
            </w:pPr>
            <w:r>
              <w:rPr>
                <w:rFonts w:ascii="Calibri" w:hAnsi="Calibri" w:cs="Calibri"/>
                <w:b/>
                <w:bCs/>
                <w:sz w:val="16"/>
                <w:szCs w:val="16"/>
              </w:rPr>
              <w:t>Druh pohledávky</w:t>
            </w:r>
          </w:p>
        </w:tc>
        <w:tc>
          <w:tcPr>
            <w:tcW w:w="567" w:type="dxa"/>
            <w:tcBorders>
              <w:top w:val="single" w:sz="4" w:space="0" w:color="auto"/>
              <w:left w:val="nil"/>
              <w:bottom w:val="single" w:sz="4" w:space="0" w:color="auto"/>
              <w:right w:val="single" w:sz="4" w:space="0" w:color="auto"/>
            </w:tcBorders>
            <w:shd w:val="clear" w:color="000000" w:fill="FFE699"/>
            <w:noWrap/>
            <w:vAlign w:val="center"/>
            <w:hideMark/>
          </w:tcPr>
          <w:p w:rsidR="00742001" w:rsidRDefault="00742001">
            <w:pPr>
              <w:jc w:val="center"/>
              <w:rPr>
                <w:rFonts w:ascii="Calibri" w:hAnsi="Calibri" w:cs="Calibri"/>
                <w:b/>
                <w:bCs/>
                <w:sz w:val="16"/>
                <w:szCs w:val="16"/>
              </w:rPr>
            </w:pPr>
            <w:r>
              <w:rPr>
                <w:rFonts w:ascii="Calibri" w:hAnsi="Calibri" w:cs="Calibri"/>
                <w:b/>
                <w:bCs/>
                <w:sz w:val="16"/>
                <w:szCs w:val="16"/>
              </w:rPr>
              <w:t>Účet</w:t>
            </w:r>
          </w:p>
        </w:tc>
        <w:tc>
          <w:tcPr>
            <w:tcW w:w="1276" w:type="dxa"/>
            <w:tcBorders>
              <w:top w:val="single" w:sz="4" w:space="0" w:color="auto"/>
              <w:left w:val="nil"/>
              <w:bottom w:val="nil"/>
              <w:right w:val="single" w:sz="4" w:space="0" w:color="auto"/>
            </w:tcBorders>
            <w:shd w:val="clear" w:color="000000" w:fill="FFE699"/>
            <w:noWrap/>
            <w:vAlign w:val="center"/>
            <w:hideMark/>
          </w:tcPr>
          <w:p w:rsidR="00742001" w:rsidRDefault="00742001">
            <w:pPr>
              <w:jc w:val="center"/>
              <w:rPr>
                <w:rFonts w:ascii="Calibri" w:hAnsi="Calibri" w:cs="Calibri"/>
                <w:b/>
                <w:bCs/>
                <w:sz w:val="16"/>
                <w:szCs w:val="16"/>
              </w:rPr>
            </w:pPr>
            <w:r>
              <w:rPr>
                <w:rFonts w:ascii="Calibri" w:hAnsi="Calibri" w:cs="Calibri"/>
                <w:b/>
                <w:bCs/>
                <w:sz w:val="16"/>
                <w:szCs w:val="16"/>
              </w:rPr>
              <w:t>Částka v Kč</w:t>
            </w:r>
          </w:p>
        </w:tc>
        <w:tc>
          <w:tcPr>
            <w:tcW w:w="5806" w:type="dxa"/>
            <w:tcBorders>
              <w:top w:val="single" w:sz="4" w:space="0" w:color="auto"/>
              <w:left w:val="nil"/>
              <w:bottom w:val="single" w:sz="4" w:space="0" w:color="auto"/>
              <w:right w:val="single" w:sz="4" w:space="0" w:color="auto"/>
            </w:tcBorders>
            <w:shd w:val="clear" w:color="000000" w:fill="FFE699"/>
            <w:noWrap/>
            <w:vAlign w:val="center"/>
            <w:hideMark/>
          </w:tcPr>
          <w:p w:rsidR="00742001" w:rsidRDefault="00742001">
            <w:pPr>
              <w:jc w:val="center"/>
              <w:rPr>
                <w:rFonts w:ascii="Calibri" w:hAnsi="Calibri" w:cs="Calibri"/>
                <w:b/>
                <w:bCs/>
                <w:sz w:val="16"/>
                <w:szCs w:val="16"/>
              </w:rPr>
            </w:pPr>
            <w:r>
              <w:rPr>
                <w:rFonts w:ascii="Calibri" w:hAnsi="Calibri" w:cs="Calibri"/>
                <w:b/>
                <w:bCs/>
                <w:sz w:val="16"/>
                <w:szCs w:val="16"/>
              </w:rPr>
              <w:t>Poznámka</w:t>
            </w:r>
          </w:p>
        </w:tc>
      </w:tr>
      <w:tr w:rsidR="00742001" w:rsidTr="00742001">
        <w:trPr>
          <w:trHeight w:val="208"/>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2001" w:rsidRDefault="00742001">
            <w:pPr>
              <w:rPr>
                <w:rFonts w:ascii="Calibri" w:hAnsi="Calibri" w:cs="Calibri"/>
                <w:sz w:val="16"/>
                <w:szCs w:val="16"/>
              </w:rPr>
            </w:pPr>
            <w:r>
              <w:rPr>
                <w:rFonts w:ascii="Calibri" w:hAnsi="Calibri" w:cs="Calibri"/>
                <w:sz w:val="16"/>
                <w:szCs w:val="16"/>
              </w:rPr>
              <w:t>Dlouhodobé poskytnuté zálohy</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42001" w:rsidRDefault="00742001">
            <w:pPr>
              <w:jc w:val="center"/>
              <w:rPr>
                <w:rFonts w:ascii="Calibri" w:hAnsi="Calibri" w:cs="Calibri"/>
                <w:sz w:val="16"/>
                <w:szCs w:val="16"/>
              </w:rPr>
            </w:pPr>
            <w:r>
              <w:rPr>
                <w:rFonts w:ascii="Calibri" w:hAnsi="Calibri" w:cs="Calibri"/>
                <w:sz w:val="16"/>
                <w:szCs w:val="16"/>
              </w:rPr>
              <w:t>465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42001" w:rsidRDefault="00742001">
            <w:pPr>
              <w:jc w:val="right"/>
              <w:rPr>
                <w:rFonts w:ascii="Calibri" w:hAnsi="Calibri" w:cs="Calibri"/>
                <w:sz w:val="16"/>
                <w:szCs w:val="16"/>
              </w:rPr>
            </w:pPr>
            <w:r>
              <w:rPr>
                <w:rFonts w:ascii="Calibri" w:hAnsi="Calibri" w:cs="Calibri"/>
                <w:sz w:val="16"/>
                <w:szCs w:val="16"/>
              </w:rPr>
              <w:t>1 000,00</w:t>
            </w:r>
          </w:p>
        </w:tc>
        <w:tc>
          <w:tcPr>
            <w:tcW w:w="5806" w:type="dxa"/>
            <w:tcBorders>
              <w:top w:val="single" w:sz="4" w:space="0" w:color="auto"/>
              <w:left w:val="nil"/>
              <w:bottom w:val="single" w:sz="4" w:space="0" w:color="auto"/>
              <w:right w:val="single" w:sz="4" w:space="0" w:color="auto"/>
            </w:tcBorders>
            <w:shd w:val="clear" w:color="auto" w:fill="auto"/>
            <w:vAlign w:val="center"/>
            <w:hideMark/>
          </w:tcPr>
          <w:p w:rsidR="00742001" w:rsidRDefault="00742001">
            <w:pPr>
              <w:rPr>
                <w:rFonts w:ascii="Calibri" w:hAnsi="Calibri" w:cs="Calibri"/>
                <w:sz w:val="16"/>
                <w:szCs w:val="16"/>
              </w:rPr>
            </w:pPr>
            <w:r>
              <w:rPr>
                <w:rFonts w:ascii="Calibri" w:hAnsi="Calibri" w:cs="Calibri"/>
                <w:sz w:val="16"/>
                <w:szCs w:val="16"/>
              </w:rPr>
              <w:t>Dlouhodobé poskytnuté zálohy -  Pokladna Bufetu 1</w:t>
            </w:r>
            <w:r w:rsidR="00791861">
              <w:rPr>
                <w:rFonts w:ascii="Calibri" w:hAnsi="Calibri" w:cs="Calibri"/>
                <w:sz w:val="16"/>
                <w:szCs w:val="16"/>
              </w:rPr>
              <w:t xml:space="preserve"> </w:t>
            </w:r>
            <w:r>
              <w:rPr>
                <w:rFonts w:ascii="Calibri" w:hAnsi="Calibri" w:cs="Calibri"/>
                <w:sz w:val="16"/>
                <w:szCs w:val="16"/>
              </w:rPr>
              <w:t>000,00 Kč.</w:t>
            </w:r>
          </w:p>
        </w:tc>
      </w:tr>
      <w:tr w:rsidR="00742001" w:rsidTr="00742001">
        <w:trPr>
          <w:trHeight w:val="416"/>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742001" w:rsidRDefault="00742001">
            <w:pPr>
              <w:rPr>
                <w:rFonts w:ascii="Calibri" w:hAnsi="Calibri" w:cs="Calibri"/>
                <w:sz w:val="16"/>
                <w:szCs w:val="16"/>
              </w:rPr>
            </w:pPr>
            <w:r>
              <w:rPr>
                <w:rFonts w:ascii="Calibri" w:hAnsi="Calibri" w:cs="Calibri"/>
                <w:sz w:val="16"/>
                <w:szCs w:val="16"/>
              </w:rPr>
              <w:t>Odběratelé</w:t>
            </w:r>
          </w:p>
        </w:tc>
        <w:tc>
          <w:tcPr>
            <w:tcW w:w="567" w:type="dxa"/>
            <w:tcBorders>
              <w:top w:val="nil"/>
              <w:left w:val="nil"/>
              <w:bottom w:val="single" w:sz="4" w:space="0" w:color="auto"/>
              <w:right w:val="single" w:sz="4" w:space="0" w:color="auto"/>
            </w:tcBorders>
            <w:shd w:val="clear" w:color="auto" w:fill="auto"/>
            <w:noWrap/>
            <w:vAlign w:val="center"/>
            <w:hideMark/>
          </w:tcPr>
          <w:p w:rsidR="00742001" w:rsidRDefault="00742001">
            <w:pPr>
              <w:jc w:val="center"/>
              <w:rPr>
                <w:rFonts w:ascii="Calibri" w:hAnsi="Calibri" w:cs="Calibri"/>
                <w:sz w:val="16"/>
                <w:szCs w:val="16"/>
              </w:rPr>
            </w:pPr>
            <w:r>
              <w:rPr>
                <w:rFonts w:ascii="Calibri" w:hAnsi="Calibri" w:cs="Calibri"/>
                <w:sz w:val="16"/>
                <w:szCs w:val="16"/>
              </w:rPr>
              <w:t>311</w:t>
            </w:r>
          </w:p>
        </w:tc>
        <w:tc>
          <w:tcPr>
            <w:tcW w:w="1276" w:type="dxa"/>
            <w:tcBorders>
              <w:top w:val="nil"/>
              <w:left w:val="nil"/>
              <w:bottom w:val="single" w:sz="4" w:space="0" w:color="auto"/>
              <w:right w:val="single" w:sz="4" w:space="0" w:color="auto"/>
            </w:tcBorders>
            <w:shd w:val="clear" w:color="auto" w:fill="auto"/>
            <w:noWrap/>
            <w:vAlign w:val="center"/>
            <w:hideMark/>
          </w:tcPr>
          <w:p w:rsidR="00742001" w:rsidRDefault="00742001">
            <w:pPr>
              <w:jc w:val="right"/>
              <w:rPr>
                <w:rFonts w:ascii="Calibri" w:hAnsi="Calibri" w:cs="Calibri"/>
                <w:sz w:val="16"/>
                <w:szCs w:val="16"/>
              </w:rPr>
            </w:pPr>
            <w:r>
              <w:rPr>
                <w:rFonts w:ascii="Calibri" w:hAnsi="Calibri" w:cs="Calibri"/>
                <w:sz w:val="16"/>
                <w:szCs w:val="16"/>
              </w:rPr>
              <w:t>40 127 202,32</w:t>
            </w:r>
          </w:p>
        </w:tc>
        <w:tc>
          <w:tcPr>
            <w:tcW w:w="5806" w:type="dxa"/>
            <w:tcBorders>
              <w:top w:val="nil"/>
              <w:left w:val="nil"/>
              <w:bottom w:val="single" w:sz="4" w:space="0" w:color="auto"/>
              <w:right w:val="single" w:sz="4" w:space="0" w:color="auto"/>
            </w:tcBorders>
            <w:shd w:val="clear" w:color="auto" w:fill="auto"/>
            <w:vAlign w:val="center"/>
            <w:hideMark/>
          </w:tcPr>
          <w:p w:rsidR="00742001" w:rsidRDefault="00742001">
            <w:pPr>
              <w:rPr>
                <w:rFonts w:ascii="Calibri" w:hAnsi="Calibri" w:cs="Calibri"/>
                <w:sz w:val="16"/>
                <w:szCs w:val="16"/>
              </w:rPr>
            </w:pPr>
            <w:r>
              <w:rPr>
                <w:rFonts w:ascii="Calibri" w:hAnsi="Calibri" w:cs="Calibri"/>
                <w:sz w:val="16"/>
                <w:szCs w:val="16"/>
              </w:rPr>
              <w:t>Jedná se o pohledávky za rozpočtovými příjmy (např. nájemné, prodej majetku, náhrady škody, hrobní místa). Pohledávky po splatnosti jsou řešeny na zasedáních komise pro posuzování dobytnosti pohledávek.</w:t>
            </w:r>
          </w:p>
        </w:tc>
      </w:tr>
      <w:tr w:rsidR="00742001" w:rsidTr="00742001">
        <w:trPr>
          <w:trHeight w:val="208"/>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742001" w:rsidRDefault="00742001">
            <w:pPr>
              <w:rPr>
                <w:rFonts w:ascii="Calibri" w:hAnsi="Calibri" w:cs="Calibri"/>
                <w:sz w:val="16"/>
                <w:szCs w:val="16"/>
              </w:rPr>
            </w:pPr>
            <w:r>
              <w:rPr>
                <w:rFonts w:ascii="Calibri" w:hAnsi="Calibri" w:cs="Calibri"/>
                <w:sz w:val="16"/>
                <w:szCs w:val="16"/>
              </w:rPr>
              <w:t>Krátkodobé poskytnuté zálohy</w:t>
            </w:r>
          </w:p>
        </w:tc>
        <w:tc>
          <w:tcPr>
            <w:tcW w:w="567" w:type="dxa"/>
            <w:tcBorders>
              <w:top w:val="nil"/>
              <w:left w:val="nil"/>
              <w:bottom w:val="single" w:sz="4" w:space="0" w:color="auto"/>
              <w:right w:val="single" w:sz="4" w:space="0" w:color="auto"/>
            </w:tcBorders>
            <w:shd w:val="clear" w:color="auto" w:fill="auto"/>
            <w:noWrap/>
            <w:vAlign w:val="center"/>
            <w:hideMark/>
          </w:tcPr>
          <w:p w:rsidR="00742001" w:rsidRDefault="00742001">
            <w:pPr>
              <w:jc w:val="center"/>
              <w:rPr>
                <w:rFonts w:ascii="Calibri" w:hAnsi="Calibri" w:cs="Calibri"/>
                <w:sz w:val="16"/>
                <w:szCs w:val="16"/>
              </w:rPr>
            </w:pPr>
            <w:r>
              <w:rPr>
                <w:rFonts w:ascii="Calibri" w:hAnsi="Calibri" w:cs="Calibri"/>
                <w:sz w:val="16"/>
                <w:szCs w:val="16"/>
              </w:rPr>
              <w:t>314</w:t>
            </w:r>
          </w:p>
        </w:tc>
        <w:tc>
          <w:tcPr>
            <w:tcW w:w="1276" w:type="dxa"/>
            <w:tcBorders>
              <w:top w:val="nil"/>
              <w:left w:val="nil"/>
              <w:bottom w:val="single" w:sz="4" w:space="0" w:color="auto"/>
              <w:right w:val="single" w:sz="4" w:space="0" w:color="auto"/>
            </w:tcBorders>
            <w:shd w:val="clear" w:color="auto" w:fill="auto"/>
            <w:noWrap/>
            <w:vAlign w:val="center"/>
            <w:hideMark/>
          </w:tcPr>
          <w:p w:rsidR="00742001" w:rsidRDefault="00742001">
            <w:pPr>
              <w:jc w:val="right"/>
              <w:rPr>
                <w:rFonts w:ascii="Calibri" w:hAnsi="Calibri" w:cs="Calibri"/>
                <w:sz w:val="16"/>
                <w:szCs w:val="16"/>
              </w:rPr>
            </w:pPr>
            <w:r>
              <w:rPr>
                <w:rFonts w:ascii="Calibri" w:hAnsi="Calibri" w:cs="Calibri"/>
                <w:sz w:val="16"/>
                <w:szCs w:val="16"/>
              </w:rPr>
              <w:t>70 134 600,20</w:t>
            </w:r>
          </w:p>
        </w:tc>
        <w:tc>
          <w:tcPr>
            <w:tcW w:w="5806" w:type="dxa"/>
            <w:tcBorders>
              <w:top w:val="nil"/>
              <w:left w:val="nil"/>
              <w:bottom w:val="single" w:sz="4" w:space="0" w:color="auto"/>
              <w:right w:val="single" w:sz="4" w:space="0" w:color="auto"/>
            </w:tcBorders>
            <w:shd w:val="clear" w:color="auto" w:fill="auto"/>
            <w:vAlign w:val="center"/>
            <w:hideMark/>
          </w:tcPr>
          <w:p w:rsidR="00742001" w:rsidRDefault="00742001">
            <w:pPr>
              <w:rPr>
                <w:rFonts w:ascii="Calibri" w:hAnsi="Calibri" w:cs="Calibri"/>
                <w:sz w:val="16"/>
                <w:szCs w:val="16"/>
              </w:rPr>
            </w:pPr>
            <w:r>
              <w:rPr>
                <w:rFonts w:ascii="Calibri" w:hAnsi="Calibri" w:cs="Calibri"/>
                <w:sz w:val="16"/>
                <w:szCs w:val="16"/>
              </w:rPr>
              <w:t xml:space="preserve">Fakturované a zaplacené zálohy na materiál a služby, které budou vyúčtovány při ukončení obchodního vztahu.                  </w:t>
            </w:r>
          </w:p>
        </w:tc>
      </w:tr>
      <w:tr w:rsidR="00742001" w:rsidTr="00742001">
        <w:trPr>
          <w:trHeight w:val="2291"/>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742001" w:rsidRDefault="00742001">
            <w:pPr>
              <w:rPr>
                <w:rFonts w:ascii="Calibri" w:hAnsi="Calibri" w:cs="Calibri"/>
                <w:sz w:val="16"/>
                <w:szCs w:val="16"/>
              </w:rPr>
            </w:pPr>
            <w:r>
              <w:rPr>
                <w:rFonts w:ascii="Calibri" w:hAnsi="Calibri" w:cs="Calibri"/>
                <w:sz w:val="16"/>
                <w:szCs w:val="16"/>
              </w:rPr>
              <w:t>Jiné z hlavní činnosti</w:t>
            </w:r>
          </w:p>
        </w:tc>
        <w:tc>
          <w:tcPr>
            <w:tcW w:w="567" w:type="dxa"/>
            <w:tcBorders>
              <w:top w:val="nil"/>
              <w:left w:val="nil"/>
              <w:bottom w:val="single" w:sz="4" w:space="0" w:color="auto"/>
              <w:right w:val="single" w:sz="4" w:space="0" w:color="auto"/>
            </w:tcBorders>
            <w:shd w:val="clear" w:color="auto" w:fill="auto"/>
            <w:vAlign w:val="center"/>
            <w:hideMark/>
          </w:tcPr>
          <w:p w:rsidR="00742001" w:rsidRDefault="00742001">
            <w:pPr>
              <w:jc w:val="center"/>
              <w:rPr>
                <w:rFonts w:ascii="Calibri" w:hAnsi="Calibri" w:cs="Calibri"/>
                <w:sz w:val="16"/>
                <w:szCs w:val="16"/>
              </w:rPr>
            </w:pPr>
            <w:r>
              <w:rPr>
                <w:rFonts w:ascii="Calibri" w:hAnsi="Calibri" w:cs="Calibri"/>
                <w:sz w:val="16"/>
                <w:szCs w:val="16"/>
              </w:rPr>
              <w:t>315</w:t>
            </w:r>
          </w:p>
        </w:tc>
        <w:tc>
          <w:tcPr>
            <w:tcW w:w="1276" w:type="dxa"/>
            <w:tcBorders>
              <w:top w:val="nil"/>
              <w:left w:val="nil"/>
              <w:bottom w:val="single" w:sz="4" w:space="0" w:color="auto"/>
              <w:right w:val="single" w:sz="4" w:space="0" w:color="auto"/>
            </w:tcBorders>
            <w:shd w:val="clear" w:color="auto" w:fill="auto"/>
            <w:vAlign w:val="center"/>
            <w:hideMark/>
          </w:tcPr>
          <w:p w:rsidR="00742001" w:rsidRDefault="00742001">
            <w:pPr>
              <w:jc w:val="right"/>
              <w:rPr>
                <w:rFonts w:ascii="Calibri" w:hAnsi="Calibri" w:cs="Calibri"/>
                <w:sz w:val="16"/>
                <w:szCs w:val="16"/>
              </w:rPr>
            </w:pPr>
            <w:r>
              <w:rPr>
                <w:rFonts w:ascii="Calibri" w:hAnsi="Calibri" w:cs="Calibri"/>
                <w:sz w:val="16"/>
                <w:szCs w:val="16"/>
              </w:rPr>
              <w:t>60 178 102,00</w:t>
            </w:r>
          </w:p>
        </w:tc>
        <w:tc>
          <w:tcPr>
            <w:tcW w:w="5806" w:type="dxa"/>
            <w:tcBorders>
              <w:top w:val="nil"/>
              <w:left w:val="nil"/>
              <w:bottom w:val="single" w:sz="4" w:space="0" w:color="auto"/>
              <w:right w:val="single" w:sz="4" w:space="0" w:color="auto"/>
            </w:tcBorders>
            <w:shd w:val="clear" w:color="auto" w:fill="auto"/>
            <w:vAlign w:val="center"/>
            <w:hideMark/>
          </w:tcPr>
          <w:p w:rsidR="00742001" w:rsidRDefault="00742001">
            <w:pPr>
              <w:rPr>
                <w:rFonts w:ascii="Calibri" w:hAnsi="Calibri" w:cs="Calibri"/>
                <w:sz w:val="16"/>
                <w:szCs w:val="16"/>
              </w:rPr>
            </w:pPr>
            <w:r>
              <w:rPr>
                <w:rFonts w:ascii="Calibri" w:hAnsi="Calibri" w:cs="Calibri"/>
                <w:sz w:val="16"/>
                <w:szCs w:val="16"/>
              </w:rPr>
              <w:t xml:space="preserve">Pohledávky města Prostějova za rozpočtovanými příjmy (pohledávky z titulu poplatků, pokuty). </w:t>
            </w:r>
            <w:r>
              <w:rPr>
                <w:rFonts w:ascii="Calibri" w:hAnsi="Calibri" w:cs="Calibri"/>
                <w:sz w:val="16"/>
                <w:szCs w:val="16"/>
              </w:rPr>
              <w:br/>
              <w:t>Pohledávky za rozpočtovými příjmy po splatnosti jsou řešeny na pravidelných zasedáních komise pro posuzování dobytnosti pohledávek. V případě nezaplacení pohledávky ve lhůtě splatnosti stanovené v rozhodnutí vydaném MMPv nebo Městskou policií Prostějov (např. platební výměr, rozhodnutí o uložení pokuty), jsou tyto nedoplatky předávány na Finanční odbor MMPv, oddělení vymáhání pohledávek, který vyrozumívá dlužníky o výši nedoplatku a případně je vymáhá následujícími způsoby:</w:t>
            </w:r>
            <w:r>
              <w:rPr>
                <w:rFonts w:ascii="Calibri" w:hAnsi="Calibri" w:cs="Calibri"/>
                <w:sz w:val="16"/>
                <w:szCs w:val="16"/>
              </w:rPr>
              <w:br/>
              <w:t xml:space="preserve">1) Exekucí prostřednictvím exekutorského úřadu        </w:t>
            </w:r>
            <w:r>
              <w:rPr>
                <w:rFonts w:ascii="Calibri" w:hAnsi="Calibri" w:cs="Calibri"/>
                <w:sz w:val="16"/>
                <w:szCs w:val="16"/>
              </w:rPr>
              <w:br/>
              <w:t>2) Daňovou exekucí dle daňového řádu</w:t>
            </w:r>
            <w:r>
              <w:rPr>
                <w:rFonts w:ascii="Calibri" w:hAnsi="Calibri" w:cs="Calibri"/>
                <w:sz w:val="16"/>
                <w:szCs w:val="16"/>
              </w:rPr>
              <w:br/>
              <w:t>3) Přihlášením pohledávky do insolvenčního řízení</w:t>
            </w:r>
            <w:r>
              <w:rPr>
                <w:rFonts w:ascii="Calibri" w:hAnsi="Calibri" w:cs="Calibri"/>
                <w:sz w:val="16"/>
                <w:szCs w:val="16"/>
              </w:rPr>
              <w:br/>
              <w:t>4) Přihlášení do veřejné dražby</w:t>
            </w:r>
            <w:r>
              <w:rPr>
                <w:rFonts w:ascii="Calibri" w:hAnsi="Calibri" w:cs="Calibri"/>
                <w:sz w:val="16"/>
                <w:szCs w:val="16"/>
              </w:rPr>
              <w:br/>
              <w:t xml:space="preserve">5) Přihlášení do řízení o pozůstalosti </w:t>
            </w:r>
          </w:p>
        </w:tc>
      </w:tr>
      <w:tr w:rsidR="00742001" w:rsidTr="00742001">
        <w:trPr>
          <w:trHeight w:val="416"/>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742001" w:rsidRDefault="00742001">
            <w:pPr>
              <w:rPr>
                <w:rFonts w:ascii="Calibri" w:hAnsi="Calibri" w:cs="Calibri"/>
                <w:sz w:val="16"/>
                <w:szCs w:val="16"/>
              </w:rPr>
            </w:pPr>
            <w:r>
              <w:rPr>
                <w:rFonts w:ascii="Calibri" w:hAnsi="Calibri" w:cs="Calibri"/>
                <w:sz w:val="16"/>
                <w:szCs w:val="16"/>
              </w:rPr>
              <w:t>Poskytnuté návratné finanční výpomoci</w:t>
            </w:r>
          </w:p>
        </w:tc>
        <w:tc>
          <w:tcPr>
            <w:tcW w:w="567" w:type="dxa"/>
            <w:tcBorders>
              <w:top w:val="nil"/>
              <w:left w:val="nil"/>
              <w:bottom w:val="single" w:sz="4" w:space="0" w:color="auto"/>
              <w:right w:val="single" w:sz="4" w:space="0" w:color="auto"/>
            </w:tcBorders>
            <w:shd w:val="clear" w:color="auto" w:fill="auto"/>
            <w:vAlign w:val="center"/>
            <w:hideMark/>
          </w:tcPr>
          <w:p w:rsidR="00742001" w:rsidRDefault="00742001">
            <w:pPr>
              <w:jc w:val="center"/>
              <w:rPr>
                <w:rFonts w:ascii="Calibri" w:hAnsi="Calibri" w:cs="Calibri"/>
                <w:sz w:val="16"/>
                <w:szCs w:val="16"/>
              </w:rPr>
            </w:pPr>
            <w:r>
              <w:rPr>
                <w:rFonts w:ascii="Calibri" w:hAnsi="Calibri" w:cs="Calibri"/>
                <w:sz w:val="16"/>
                <w:szCs w:val="16"/>
              </w:rPr>
              <w:t>316</w:t>
            </w:r>
          </w:p>
        </w:tc>
        <w:tc>
          <w:tcPr>
            <w:tcW w:w="1276" w:type="dxa"/>
            <w:tcBorders>
              <w:top w:val="nil"/>
              <w:left w:val="nil"/>
              <w:bottom w:val="single" w:sz="4" w:space="0" w:color="auto"/>
              <w:right w:val="single" w:sz="4" w:space="0" w:color="auto"/>
            </w:tcBorders>
            <w:shd w:val="clear" w:color="auto" w:fill="auto"/>
            <w:vAlign w:val="center"/>
            <w:hideMark/>
          </w:tcPr>
          <w:p w:rsidR="00742001" w:rsidRDefault="00742001">
            <w:pPr>
              <w:jc w:val="right"/>
              <w:rPr>
                <w:rFonts w:ascii="Calibri" w:hAnsi="Calibri" w:cs="Calibri"/>
                <w:sz w:val="16"/>
                <w:szCs w:val="16"/>
              </w:rPr>
            </w:pPr>
            <w:r>
              <w:rPr>
                <w:rFonts w:ascii="Calibri" w:hAnsi="Calibri" w:cs="Calibri"/>
                <w:sz w:val="16"/>
                <w:szCs w:val="16"/>
              </w:rPr>
              <w:t>3 610 000,00</w:t>
            </w:r>
          </w:p>
        </w:tc>
        <w:tc>
          <w:tcPr>
            <w:tcW w:w="5806" w:type="dxa"/>
            <w:tcBorders>
              <w:top w:val="nil"/>
              <w:left w:val="nil"/>
              <w:bottom w:val="single" w:sz="4" w:space="0" w:color="auto"/>
              <w:right w:val="single" w:sz="4" w:space="0" w:color="auto"/>
            </w:tcBorders>
            <w:shd w:val="clear" w:color="auto" w:fill="auto"/>
            <w:vAlign w:val="center"/>
            <w:hideMark/>
          </w:tcPr>
          <w:p w:rsidR="00742001" w:rsidRDefault="00742001">
            <w:pPr>
              <w:rPr>
                <w:rFonts w:ascii="Calibri" w:hAnsi="Calibri" w:cs="Calibri"/>
                <w:sz w:val="16"/>
                <w:szCs w:val="16"/>
              </w:rPr>
            </w:pPr>
            <w:r>
              <w:rPr>
                <w:rFonts w:ascii="Calibri" w:hAnsi="Calibri" w:cs="Calibri"/>
                <w:sz w:val="16"/>
                <w:szCs w:val="16"/>
              </w:rPr>
              <w:t>Poskytnutá přechodná výpomoc Národnímu domu, o. p. s.</w:t>
            </w:r>
          </w:p>
        </w:tc>
      </w:tr>
      <w:tr w:rsidR="00742001" w:rsidTr="00742001">
        <w:trPr>
          <w:trHeight w:val="416"/>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742001" w:rsidRDefault="00742001">
            <w:pPr>
              <w:rPr>
                <w:rFonts w:ascii="Calibri" w:hAnsi="Calibri" w:cs="Calibri"/>
                <w:sz w:val="16"/>
                <w:szCs w:val="16"/>
              </w:rPr>
            </w:pPr>
            <w:r>
              <w:rPr>
                <w:rFonts w:ascii="Calibri" w:hAnsi="Calibri" w:cs="Calibri"/>
                <w:sz w:val="16"/>
                <w:szCs w:val="16"/>
              </w:rPr>
              <w:t>Pohledávky za zaměstnanci</w:t>
            </w:r>
          </w:p>
        </w:tc>
        <w:tc>
          <w:tcPr>
            <w:tcW w:w="567" w:type="dxa"/>
            <w:tcBorders>
              <w:top w:val="nil"/>
              <w:left w:val="nil"/>
              <w:bottom w:val="single" w:sz="4" w:space="0" w:color="auto"/>
              <w:right w:val="single" w:sz="4" w:space="0" w:color="auto"/>
            </w:tcBorders>
            <w:shd w:val="clear" w:color="auto" w:fill="auto"/>
            <w:vAlign w:val="center"/>
            <w:hideMark/>
          </w:tcPr>
          <w:p w:rsidR="00742001" w:rsidRDefault="00742001">
            <w:pPr>
              <w:jc w:val="center"/>
              <w:rPr>
                <w:rFonts w:ascii="Calibri" w:hAnsi="Calibri" w:cs="Calibri"/>
                <w:sz w:val="16"/>
                <w:szCs w:val="16"/>
              </w:rPr>
            </w:pPr>
            <w:r>
              <w:rPr>
                <w:rFonts w:ascii="Calibri" w:hAnsi="Calibri" w:cs="Calibri"/>
                <w:sz w:val="16"/>
                <w:szCs w:val="16"/>
              </w:rPr>
              <w:t>335</w:t>
            </w:r>
          </w:p>
        </w:tc>
        <w:tc>
          <w:tcPr>
            <w:tcW w:w="1276" w:type="dxa"/>
            <w:tcBorders>
              <w:top w:val="nil"/>
              <w:left w:val="nil"/>
              <w:bottom w:val="single" w:sz="4" w:space="0" w:color="auto"/>
              <w:right w:val="single" w:sz="4" w:space="0" w:color="auto"/>
            </w:tcBorders>
            <w:shd w:val="clear" w:color="auto" w:fill="auto"/>
            <w:vAlign w:val="center"/>
            <w:hideMark/>
          </w:tcPr>
          <w:p w:rsidR="00742001" w:rsidRDefault="00742001">
            <w:pPr>
              <w:jc w:val="right"/>
              <w:rPr>
                <w:rFonts w:ascii="Calibri" w:hAnsi="Calibri" w:cs="Calibri"/>
                <w:sz w:val="16"/>
                <w:szCs w:val="16"/>
              </w:rPr>
            </w:pPr>
            <w:r>
              <w:rPr>
                <w:rFonts w:ascii="Calibri" w:hAnsi="Calibri" w:cs="Calibri"/>
                <w:sz w:val="16"/>
                <w:szCs w:val="16"/>
              </w:rPr>
              <w:t>160 070,00</w:t>
            </w:r>
          </w:p>
        </w:tc>
        <w:tc>
          <w:tcPr>
            <w:tcW w:w="5806" w:type="dxa"/>
            <w:tcBorders>
              <w:top w:val="nil"/>
              <w:left w:val="nil"/>
              <w:bottom w:val="single" w:sz="4" w:space="0" w:color="auto"/>
              <w:right w:val="single" w:sz="4" w:space="0" w:color="auto"/>
            </w:tcBorders>
            <w:shd w:val="clear" w:color="auto" w:fill="auto"/>
            <w:vAlign w:val="center"/>
            <w:hideMark/>
          </w:tcPr>
          <w:p w:rsidR="00742001" w:rsidRDefault="00742001">
            <w:pPr>
              <w:rPr>
                <w:rFonts w:ascii="Calibri" w:hAnsi="Calibri" w:cs="Calibri"/>
                <w:sz w:val="16"/>
                <w:szCs w:val="16"/>
              </w:rPr>
            </w:pPr>
            <w:r>
              <w:rPr>
                <w:rFonts w:ascii="Calibri" w:hAnsi="Calibri" w:cs="Calibri"/>
                <w:sz w:val="16"/>
                <w:szCs w:val="16"/>
              </w:rPr>
              <w:t xml:space="preserve">Pohledávky za zaměstnanci z titulu poskytnutých půjček ze sociálního fondu – půjčky jsou spláceny v dohodnutých termínech a splátkách srážkou ze mzdy, nejsou žádné pohledávky po lhůtě splatnosti. </w:t>
            </w:r>
          </w:p>
        </w:tc>
      </w:tr>
      <w:tr w:rsidR="00742001" w:rsidTr="00742001">
        <w:trPr>
          <w:trHeight w:val="416"/>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742001" w:rsidRDefault="00742001">
            <w:pPr>
              <w:rPr>
                <w:rFonts w:ascii="Calibri" w:hAnsi="Calibri" w:cs="Calibri"/>
                <w:sz w:val="16"/>
                <w:szCs w:val="16"/>
              </w:rPr>
            </w:pPr>
            <w:r>
              <w:rPr>
                <w:rFonts w:ascii="Calibri" w:hAnsi="Calibri" w:cs="Calibri"/>
                <w:sz w:val="16"/>
                <w:szCs w:val="16"/>
              </w:rPr>
              <w:t>Za vybranými ústředními vládními institucemi</w:t>
            </w:r>
          </w:p>
        </w:tc>
        <w:tc>
          <w:tcPr>
            <w:tcW w:w="567" w:type="dxa"/>
            <w:tcBorders>
              <w:top w:val="nil"/>
              <w:left w:val="nil"/>
              <w:bottom w:val="single" w:sz="4" w:space="0" w:color="auto"/>
              <w:right w:val="single" w:sz="4" w:space="0" w:color="auto"/>
            </w:tcBorders>
            <w:shd w:val="clear" w:color="auto" w:fill="auto"/>
            <w:vAlign w:val="center"/>
            <w:hideMark/>
          </w:tcPr>
          <w:p w:rsidR="00742001" w:rsidRDefault="00742001">
            <w:pPr>
              <w:jc w:val="center"/>
              <w:rPr>
                <w:rFonts w:ascii="Calibri" w:hAnsi="Calibri" w:cs="Calibri"/>
                <w:sz w:val="16"/>
                <w:szCs w:val="16"/>
              </w:rPr>
            </w:pPr>
            <w:r>
              <w:rPr>
                <w:rFonts w:ascii="Calibri" w:hAnsi="Calibri" w:cs="Calibri"/>
                <w:sz w:val="16"/>
                <w:szCs w:val="16"/>
              </w:rPr>
              <w:t>346</w:t>
            </w:r>
          </w:p>
        </w:tc>
        <w:tc>
          <w:tcPr>
            <w:tcW w:w="1276" w:type="dxa"/>
            <w:tcBorders>
              <w:top w:val="nil"/>
              <w:left w:val="nil"/>
              <w:bottom w:val="single" w:sz="4" w:space="0" w:color="auto"/>
              <w:right w:val="single" w:sz="4" w:space="0" w:color="auto"/>
            </w:tcBorders>
            <w:shd w:val="clear" w:color="auto" w:fill="auto"/>
            <w:vAlign w:val="center"/>
            <w:hideMark/>
          </w:tcPr>
          <w:p w:rsidR="00742001" w:rsidRDefault="00742001">
            <w:pPr>
              <w:jc w:val="right"/>
              <w:rPr>
                <w:rFonts w:ascii="Calibri" w:hAnsi="Calibri" w:cs="Calibri"/>
                <w:sz w:val="16"/>
                <w:szCs w:val="16"/>
              </w:rPr>
            </w:pPr>
            <w:r>
              <w:rPr>
                <w:rFonts w:ascii="Calibri" w:hAnsi="Calibri" w:cs="Calibri"/>
                <w:sz w:val="16"/>
                <w:szCs w:val="16"/>
              </w:rPr>
              <w:t>190 000,00</w:t>
            </w:r>
          </w:p>
        </w:tc>
        <w:tc>
          <w:tcPr>
            <w:tcW w:w="5806" w:type="dxa"/>
            <w:tcBorders>
              <w:top w:val="nil"/>
              <w:left w:val="nil"/>
              <w:bottom w:val="single" w:sz="4" w:space="0" w:color="auto"/>
              <w:right w:val="single" w:sz="4" w:space="0" w:color="auto"/>
            </w:tcBorders>
            <w:shd w:val="clear" w:color="auto" w:fill="auto"/>
            <w:vAlign w:val="center"/>
            <w:hideMark/>
          </w:tcPr>
          <w:p w:rsidR="00742001" w:rsidRDefault="00742001">
            <w:pPr>
              <w:rPr>
                <w:rFonts w:ascii="Calibri" w:hAnsi="Calibri" w:cs="Calibri"/>
                <w:sz w:val="16"/>
                <w:szCs w:val="16"/>
              </w:rPr>
            </w:pPr>
            <w:r>
              <w:rPr>
                <w:rFonts w:ascii="Calibri" w:hAnsi="Calibri" w:cs="Calibri"/>
                <w:sz w:val="16"/>
                <w:szCs w:val="16"/>
              </w:rPr>
              <w:t>Předpis jednotlivých dotací. Bude vyúčtováno v I. pololetí 2023.</w:t>
            </w:r>
          </w:p>
        </w:tc>
      </w:tr>
      <w:tr w:rsidR="00742001" w:rsidTr="00742001">
        <w:trPr>
          <w:trHeight w:val="416"/>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742001" w:rsidRDefault="00742001">
            <w:pPr>
              <w:rPr>
                <w:rFonts w:ascii="Calibri" w:hAnsi="Calibri" w:cs="Calibri"/>
                <w:sz w:val="16"/>
                <w:szCs w:val="16"/>
              </w:rPr>
            </w:pPr>
            <w:r>
              <w:rPr>
                <w:rFonts w:ascii="Calibri" w:hAnsi="Calibri" w:cs="Calibri"/>
                <w:sz w:val="16"/>
                <w:szCs w:val="16"/>
              </w:rPr>
              <w:t>Krátkodobé poskytnuté zálohy na transfery</w:t>
            </w:r>
          </w:p>
        </w:tc>
        <w:tc>
          <w:tcPr>
            <w:tcW w:w="567" w:type="dxa"/>
            <w:tcBorders>
              <w:top w:val="nil"/>
              <w:left w:val="nil"/>
              <w:bottom w:val="single" w:sz="4" w:space="0" w:color="auto"/>
              <w:right w:val="single" w:sz="4" w:space="0" w:color="auto"/>
            </w:tcBorders>
            <w:shd w:val="clear" w:color="auto" w:fill="auto"/>
            <w:vAlign w:val="center"/>
            <w:hideMark/>
          </w:tcPr>
          <w:p w:rsidR="00742001" w:rsidRDefault="00742001">
            <w:pPr>
              <w:jc w:val="center"/>
              <w:rPr>
                <w:rFonts w:ascii="Calibri" w:hAnsi="Calibri" w:cs="Calibri"/>
                <w:sz w:val="16"/>
                <w:szCs w:val="16"/>
              </w:rPr>
            </w:pPr>
            <w:r>
              <w:rPr>
                <w:rFonts w:ascii="Calibri" w:hAnsi="Calibri" w:cs="Calibri"/>
                <w:sz w:val="16"/>
                <w:szCs w:val="16"/>
              </w:rPr>
              <w:t>373</w:t>
            </w:r>
          </w:p>
        </w:tc>
        <w:tc>
          <w:tcPr>
            <w:tcW w:w="1276" w:type="dxa"/>
            <w:tcBorders>
              <w:top w:val="nil"/>
              <w:left w:val="nil"/>
              <w:bottom w:val="single" w:sz="4" w:space="0" w:color="auto"/>
              <w:right w:val="single" w:sz="4" w:space="0" w:color="auto"/>
            </w:tcBorders>
            <w:shd w:val="clear" w:color="auto" w:fill="auto"/>
            <w:vAlign w:val="center"/>
            <w:hideMark/>
          </w:tcPr>
          <w:p w:rsidR="00742001" w:rsidRDefault="00742001">
            <w:pPr>
              <w:jc w:val="right"/>
              <w:rPr>
                <w:rFonts w:ascii="Calibri" w:hAnsi="Calibri" w:cs="Calibri"/>
                <w:sz w:val="16"/>
                <w:szCs w:val="16"/>
              </w:rPr>
            </w:pPr>
            <w:r>
              <w:rPr>
                <w:rFonts w:ascii="Calibri" w:hAnsi="Calibri" w:cs="Calibri"/>
                <w:sz w:val="16"/>
                <w:szCs w:val="16"/>
              </w:rPr>
              <w:t>42 560 112,60</w:t>
            </w:r>
          </w:p>
        </w:tc>
        <w:tc>
          <w:tcPr>
            <w:tcW w:w="5806" w:type="dxa"/>
            <w:tcBorders>
              <w:top w:val="nil"/>
              <w:left w:val="nil"/>
              <w:bottom w:val="single" w:sz="4" w:space="0" w:color="auto"/>
              <w:right w:val="single" w:sz="4" w:space="0" w:color="auto"/>
            </w:tcBorders>
            <w:shd w:val="clear" w:color="auto" w:fill="auto"/>
            <w:vAlign w:val="center"/>
            <w:hideMark/>
          </w:tcPr>
          <w:p w:rsidR="00742001" w:rsidRDefault="00742001">
            <w:pPr>
              <w:rPr>
                <w:rFonts w:ascii="Calibri" w:hAnsi="Calibri" w:cs="Calibri"/>
                <w:sz w:val="16"/>
                <w:szCs w:val="16"/>
              </w:rPr>
            </w:pPr>
            <w:r>
              <w:rPr>
                <w:rFonts w:ascii="Calibri" w:hAnsi="Calibri" w:cs="Calibri"/>
                <w:sz w:val="16"/>
                <w:szCs w:val="16"/>
              </w:rPr>
              <w:t>Nevyúčtované veřejné finanční podpory. Podpory budou vyúčtované na základě uzavřených smluv.</w:t>
            </w:r>
          </w:p>
        </w:tc>
      </w:tr>
      <w:tr w:rsidR="00742001" w:rsidTr="00742001">
        <w:trPr>
          <w:trHeight w:val="208"/>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742001" w:rsidRDefault="00742001">
            <w:pPr>
              <w:rPr>
                <w:rFonts w:ascii="Calibri" w:hAnsi="Calibri" w:cs="Calibri"/>
                <w:sz w:val="16"/>
                <w:szCs w:val="16"/>
              </w:rPr>
            </w:pPr>
            <w:r>
              <w:rPr>
                <w:rFonts w:ascii="Calibri" w:hAnsi="Calibri" w:cs="Calibri"/>
                <w:sz w:val="16"/>
                <w:szCs w:val="16"/>
              </w:rPr>
              <w:t>Náklady příštích období</w:t>
            </w:r>
          </w:p>
        </w:tc>
        <w:tc>
          <w:tcPr>
            <w:tcW w:w="567" w:type="dxa"/>
            <w:tcBorders>
              <w:top w:val="nil"/>
              <w:left w:val="nil"/>
              <w:bottom w:val="single" w:sz="4" w:space="0" w:color="auto"/>
              <w:right w:val="single" w:sz="4" w:space="0" w:color="auto"/>
            </w:tcBorders>
            <w:shd w:val="clear" w:color="auto" w:fill="auto"/>
            <w:vAlign w:val="center"/>
            <w:hideMark/>
          </w:tcPr>
          <w:p w:rsidR="00742001" w:rsidRDefault="00742001">
            <w:pPr>
              <w:jc w:val="center"/>
              <w:rPr>
                <w:rFonts w:ascii="Calibri" w:hAnsi="Calibri" w:cs="Calibri"/>
                <w:sz w:val="16"/>
                <w:szCs w:val="16"/>
              </w:rPr>
            </w:pPr>
            <w:r>
              <w:rPr>
                <w:rFonts w:ascii="Calibri" w:hAnsi="Calibri" w:cs="Calibri"/>
                <w:sz w:val="16"/>
                <w:szCs w:val="16"/>
              </w:rPr>
              <w:t>381</w:t>
            </w:r>
          </w:p>
        </w:tc>
        <w:tc>
          <w:tcPr>
            <w:tcW w:w="1276" w:type="dxa"/>
            <w:tcBorders>
              <w:top w:val="nil"/>
              <w:left w:val="nil"/>
              <w:bottom w:val="single" w:sz="4" w:space="0" w:color="auto"/>
              <w:right w:val="single" w:sz="4" w:space="0" w:color="auto"/>
            </w:tcBorders>
            <w:shd w:val="clear" w:color="auto" w:fill="auto"/>
            <w:vAlign w:val="center"/>
            <w:hideMark/>
          </w:tcPr>
          <w:p w:rsidR="00742001" w:rsidRDefault="00742001">
            <w:pPr>
              <w:jc w:val="right"/>
              <w:rPr>
                <w:rFonts w:ascii="Calibri" w:hAnsi="Calibri" w:cs="Calibri"/>
                <w:sz w:val="16"/>
                <w:szCs w:val="16"/>
              </w:rPr>
            </w:pPr>
            <w:r>
              <w:rPr>
                <w:rFonts w:ascii="Calibri" w:hAnsi="Calibri" w:cs="Calibri"/>
                <w:sz w:val="16"/>
                <w:szCs w:val="16"/>
              </w:rPr>
              <w:t>638 642,58</w:t>
            </w:r>
          </w:p>
        </w:tc>
        <w:tc>
          <w:tcPr>
            <w:tcW w:w="5806" w:type="dxa"/>
            <w:tcBorders>
              <w:top w:val="nil"/>
              <w:left w:val="nil"/>
              <w:bottom w:val="single" w:sz="4" w:space="0" w:color="auto"/>
              <w:right w:val="single" w:sz="4" w:space="0" w:color="auto"/>
            </w:tcBorders>
            <w:shd w:val="clear" w:color="auto" w:fill="auto"/>
            <w:vAlign w:val="center"/>
            <w:hideMark/>
          </w:tcPr>
          <w:p w:rsidR="00742001" w:rsidRDefault="00742001">
            <w:pPr>
              <w:rPr>
                <w:rFonts w:ascii="Calibri" w:hAnsi="Calibri" w:cs="Calibri"/>
                <w:sz w:val="16"/>
                <w:szCs w:val="16"/>
              </w:rPr>
            </w:pPr>
            <w:r>
              <w:rPr>
                <w:rFonts w:ascii="Calibri" w:hAnsi="Calibri" w:cs="Calibri"/>
                <w:sz w:val="16"/>
                <w:szCs w:val="16"/>
              </w:rPr>
              <w:t>Nákladově na účty 5xx budou faktury proúčtovány v I. pololetí r. 2023.</w:t>
            </w:r>
          </w:p>
        </w:tc>
      </w:tr>
      <w:tr w:rsidR="00742001" w:rsidTr="00742001">
        <w:trPr>
          <w:trHeight w:val="208"/>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742001" w:rsidRDefault="00742001">
            <w:pPr>
              <w:rPr>
                <w:rFonts w:ascii="Calibri" w:hAnsi="Calibri" w:cs="Calibri"/>
                <w:sz w:val="16"/>
                <w:szCs w:val="16"/>
              </w:rPr>
            </w:pPr>
            <w:r>
              <w:rPr>
                <w:rFonts w:ascii="Calibri" w:hAnsi="Calibri" w:cs="Calibri"/>
                <w:sz w:val="16"/>
                <w:szCs w:val="16"/>
              </w:rPr>
              <w:t>Dohadné účty aktivní</w:t>
            </w:r>
          </w:p>
        </w:tc>
        <w:tc>
          <w:tcPr>
            <w:tcW w:w="567" w:type="dxa"/>
            <w:tcBorders>
              <w:top w:val="nil"/>
              <w:left w:val="nil"/>
              <w:bottom w:val="single" w:sz="4" w:space="0" w:color="auto"/>
              <w:right w:val="single" w:sz="4" w:space="0" w:color="auto"/>
            </w:tcBorders>
            <w:shd w:val="clear" w:color="auto" w:fill="auto"/>
            <w:vAlign w:val="center"/>
            <w:hideMark/>
          </w:tcPr>
          <w:p w:rsidR="00742001" w:rsidRDefault="00742001">
            <w:pPr>
              <w:jc w:val="center"/>
              <w:rPr>
                <w:rFonts w:ascii="Calibri" w:hAnsi="Calibri" w:cs="Calibri"/>
                <w:sz w:val="16"/>
                <w:szCs w:val="16"/>
              </w:rPr>
            </w:pPr>
            <w:r>
              <w:rPr>
                <w:rFonts w:ascii="Calibri" w:hAnsi="Calibri" w:cs="Calibri"/>
                <w:sz w:val="16"/>
                <w:szCs w:val="16"/>
              </w:rPr>
              <w:t>388</w:t>
            </w:r>
          </w:p>
        </w:tc>
        <w:tc>
          <w:tcPr>
            <w:tcW w:w="1276" w:type="dxa"/>
            <w:tcBorders>
              <w:top w:val="nil"/>
              <w:left w:val="nil"/>
              <w:bottom w:val="single" w:sz="4" w:space="0" w:color="auto"/>
              <w:right w:val="single" w:sz="4" w:space="0" w:color="auto"/>
            </w:tcBorders>
            <w:shd w:val="clear" w:color="auto" w:fill="auto"/>
            <w:vAlign w:val="center"/>
            <w:hideMark/>
          </w:tcPr>
          <w:p w:rsidR="00742001" w:rsidRDefault="00742001">
            <w:pPr>
              <w:jc w:val="right"/>
              <w:rPr>
                <w:rFonts w:ascii="Calibri" w:hAnsi="Calibri" w:cs="Calibri"/>
                <w:sz w:val="16"/>
                <w:szCs w:val="16"/>
              </w:rPr>
            </w:pPr>
            <w:r>
              <w:rPr>
                <w:rFonts w:ascii="Calibri" w:hAnsi="Calibri" w:cs="Calibri"/>
                <w:sz w:val="16"/>
                <w:szCs w:val="16"/>
              </w:rPr>
              <w:t>78 217 884,00</w:t>
            </w:r>
          </w:p>
        </w:tc>
        <w:tc>
          <w:tcPr>
            <w:tcW w:w="5806" w:type="dxa"/>
            <w:tcBorders>
              <w:top w:val="nil"/>
              <w:left w:val="nil"/>
              <w:bottom w:val="single" w:sz="4" w:space="0" w:color="auto"/>
              <w:right w:val="single" w:sz="4" w:space="0" w:color="auto"/>
            </w:tcBorders>
            <w:shd w:val="clear" w:color="auto" w:fill="auto"/>
            <w:vAlign w:val="center"/>
            <w:hideMark/>
          </w:tcPr>
          <w:p w:rsidR="00742001" w:rsidRDefault="00742001">
            <w:pPr>
              <w:rPr>
                <w:rFonts w:ascii="Calibri" w:hAnsi="Calibri" w:cs="Calibri"/>
                <w:sz w:val="16"/>
                <w:szCs w:val="16"/>
              </w:rPr>
            </w:pPr>
            <w:r>
              <w:rPr>
                <w:rFonts w:ascii="Calibri" w:hAnsi="Calibri" w:cs="Calibri"/>
                <w:sz w:val="16"/>
                <w:szCs w:val="16"/>
              </w:rPr>
              <w:t>Bude proúčtováno po finančním vypořádání jednotlivých dotací.</w:t>
            </w:r>
          </w:p>
        </w:tc>
      </w:tr>
      <w:tr w:rsidR="00742001" w:rsidTr="00742001">
        <w:trPr>
          <w:trHeight w:val="208"/>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742001" w:rsidRDefault="00742001">
            <w:pPr>
              <w:rPr>
                <w:rFonts w:ascii="Calibri" w:hAnsi="Calibri" w:cs="Calibri"/>
                <w:sz w:val="16"/>
                <w:szCs w:val="16"/>
              </w:rPr>
            </w:pPr>
            <w:r>
              <w:rPr>
                <w:rFonts w:ascii="Calibri" w:hAnsi="Calibri" w:cs="Calibri"/>
                <w:sz w:val="16"/>
                <w:szCs w:val="16"/>
              </w:rPr>
              <w:t>Ostatní krátkodobé</w:t>
            </w:r>
          </w:p>
        </w:tc>
        <w:tc>
          <w:tcPr>
            <w:tcW w:w="567" w:type="dxa"/>
            <w:tcBorders>
              <w:top w:val="nil"/>
              <w:left w:val="nil"/>
              <w:bottom w:val="single" w:sz="4" w:space="0" w:color="auto"/>
              <w:right w:val="single" w:sz="4" w:space="0" w:color="auto"/>
            </w:tcBorders>
            <w:shd w:val="clear" w:color="auto" w:fill="auto"/>
            <w:vAlign w:val="center"/>
            <w:hideMark/>
          </w:tcPr>
          <w:p w:rsidR="00742001" w:rsidRDefault="00742001">
            <w:pPr>
              <w:jc w:val="center"/>
              <w:rPr>
                <w:rFonts w:ascii="Calibri" w:hAnsi="Calibri" w:cs="Calibri"/>
                <w:sz w:val="16"/>
                <w:szCs w:val="16"/>
              </w:rPr>
            </w:pPr>
            <w:r>
              <w:rPr>
                <w:rFonts w:ascii="Calibri" w:hAnsi="Calibri" w:cs="Calibri"/>
                <w:sz w:val="16"/>
                <w:szCs w:val="16"/>
              </w:rPr>
              <w:t>377</w:t>
            </w:r>
          </w:p>
        </w:tc>
        <w:tc>
          <w:tcPr>
            <w:tcW w:w="1276" w:type="dxa"/>
            <w:tcBorders>
              <w:top w:val="nil"/>
              <w:left w:val="nil"/>
              <w:bottom w:val="single" w:sz="4" w:space="0" w:color="auto"/>
              <w:right w:val="single" w:sz="4" w:space="0" w:color="auto"/>
            </w:tcBorders>
            <w:shd w:val="clear" w:color="auto" w:fill="auto"/>
            <w:vAlign w:val="center"/>
            <w:hideMark/>
          </w:tcPr>
          <w:p w:rsidR="00742001" w:rsidRDefault="00742001">
            <w:pPr>
              <w:jc w:val="right"/>
              <w:rPr>
                <w:rFonts w:ascii="Calibri" w:hAnsi="Calibri" w:cs="Calibri"/>
                <w:sz w:val="16"/>
                <w:szCs w:val="16"/>
              </w:rPr>
            </w:pPr>
            <w:r>
              <w:rPr>
                <w:rFonts w:ascii="Calibri" w:hAnsi="Calibri" w:cs="Calibri"/>
                <w:sz w:val="16"/>
                <w:szCs w:val="16"/>
              </w:rPr>
              <w:t>16 500,00</w:t>
            </w:r>
          </w:p>
        </w:tc>
        <w:tc>
          <w:tcPr>
            <w:tcW w:w="5806" w:type="dxa"/>
            <w:tcBorders>
              <w:top w:val="nil"/>
              <w:left w:val="nil"/>
              <w:bottom w:val="single" w:sz="4" w:space="0" w:color="auto"/>
              <w:right w:val="single" w:sz="4" w:space="0" w:color="auto"/>
            </w:tcBorders>
            <w:shd w:val="clear" w:color="auto" w:fill="auto"/>
            <w:vAlign w:val="center"/>
            <w:hideMark/>
          </w:tcPr>
          <w:p w:rsidR="00742001" w:rsidRDefault="00742001">
            <w:pPr>
              <w:rPr>
                <w:rFonts w:ascii="Calibri" w:hAnsi="Calibri" w:cs="Calibri"/>
                <w:sz w:val="16"/>
                <w:szCs w:val="16"/>
              </w:rPr>
            </w:pPr>
            <w:r>
              <w:rPr>
                <w:rFonts w:ascii="Calibri" w:hAnsi="Calibri" w:cs="Calibri"/>
                <w:sz w:val="16"/>
                <w:szCs w:val="16"/>
              </w:rPr>
              <w:t>Pohledávky z titulu došlých plateb z platebních karet.</w:t>
            </w:r>
          </w:p>
        </w:tc>
      </w:tr>
      <w:tr w:rsidR="00742001" w:rsidTr="00742001">
        <w:trPr>
          <w:trHeight w:val="208"/>
        </w:trPr>
        <w:tc>
          <w:tcPr>
            <w:tcW w:w="2410" w:type="dxa"/>
            <w:gridSpan w:val="2"/>
            <w:tcBorders>
              <w:top w:val="nil"/>
              <w:left w:val="single" w:sz="4" w:space="0" w:color="auto"/>
              <w:bottom w:val="single" w:sz="4" w:space="0" w:color="auto"/>
              <w:right w:val="single" w:sz="4" w:space="0" w:color="auto"/>
            </w:tcBorders>
            <w:shd w:val="clear" w:color="000000" w:fill="FFE699"/>
            <w:noWrap/>
            <w:vAlign w:val="bottom"/>
            <w:hideMark/>
          </w:tcPr>
          <w:p w:rsidR="00742001" w:rsidRDefault="00742001">
            <w:pPr>
              <w:rPr>
                <w:rFonts w:ascii="Calibri" w:hAnsi="Calibri" w:cs="Calibri"/>
                <w:b/>
                <w:bCs/>
                <w:sz w:val="16"/>
                <w:szCs w:val="16"/>
              </w:rPr>
            </w:pPr>
            <w:r>
              <w:rPr>
                <w:rFonts w:ascii="Calibri" w:hAnsi="Calibri" w:cs="Calibri"/>
                <w:b/>
                <w:bCs/>
                <w:sz w:val="16"/>
                <w:szCs w:val="16"/>
              </w:rPr>
              <w:t>Celkem pohledávky k 31. 12. 2022</w:t>
            </w:r>
          </w:p>
        </w:tc>
        <w:tc>
          <w:tcPr>
            <w:tcW w:w="1276" w:type="dxa"/>
            <w:tcBorders>
              <w:top w:val="single" w:sz="4" w:space="0" w:color="auto"/>
              <w:left w:val="nil"/>
              <w:bottom w:val="single" w:sz="4" w:space="0" w:color="auto"/>
              <w:right w:val="nil"/>
            </w:tcBorders>
            <w:shd w:val="clear" w:color="000000" w:fill="FFE699"/>
            <w:noWrap/>
            <w:vAlign w:val="bottom"/>
            <w:hideMark/>
          </w:tcPr>
          <w:p w:rsidR="00742001" w:rsidRDefault="00742001">
            <w:pPr>
              <w:jc w:val="right"/>
              <w:rPr>
                <w:rFonts w:ascii="Calibri" w:hAnsi="Calibri" w:cs="Calibri"/>
                <w:b/>
                <w:bCs/>
                <w:sz w:val="16"/>
                <w:szCs w:val="16"/>
              </w:rPr>
            </w:pPr>
            <w:r>
              <w:rPr>
                <w:rFonts w:ascii="Calibri" w:hAnsi="Calibri" w:cs="Calibri"/>
                <w:b/>
                <w:bCs/>
                <w:sz w:val="16"/>
                <w:szCs w:val="16"/>
              </w:rPr>
              <w:t>295 834 113,70</w:t>
            </w:r>
          </w:p>
        </w:tc>
        <w:tc>
          <w:tcPr>
            <w:tcW w:w="5806"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742001" w:rsidRDefault="00742001">
            <w:pPr>
              <w:jc w:val="both"/>
              <w:rPr>
                <w:rFonts w:ascii="Calibri" w:hAnsi="Calibri" w:cs="Calibri"/>
                <w:color w:val="FF0000"/>
                <w:sz w:val="16"/>
                <w:szCs w:val="16"/>
              </w:rPr>
            </w:pPr>
            <w:r>
              <w:rPr>
                <w:rFonts w:ascii="Calibri" w:hAnsi="Calibri" w:cs="Calibri"/>
                <w:color w:val="FF0000"/>
                <w:sz w:val="16"/>
                <w:szCs w:val="16"/>
              </w:rPr>
              <w:t> </w:t>
            </w:r>
          </w:p>
        </w:tc>
      </w:tr>
    </w:tbl>
    <w:p w:rsidR="00742001" w:rsidRDefault="00742001" w:rsidP="00742001"/>
    <w:p w:rsidR="008174B3" w:rsidRDefault="002F0713" w:rsidP="003840A7">
      <w:pPr>
        <w:spacing w:after="120"/>
        <w:rPr>
          <w:rFonts w:ascii="Calibri" w:hAnsi="Calibri" w:cs="Calibri"/>
          <w:b/>
          <w:bCs/>
          <w:iCs/>
          <w:noProof/>
          <w:sz w:val="28"/>
        </w:rPr>
      </w:pPr>
      <w:r>
        <w:rPr>
          <w:rFonts w:ascii="Calibri" w:hAnsi="Calibri" w:cs="Calibri"/>
          <w:b/>
          <w:bCs/>
          <w:iCs/>
          <w:noProof/>
          <w:sz w:val="28"/>
        </w:rPr>
        <w:t>Závazky registrované</w:t>
      </w:r>
      <w:r w:rsidR="008F224B" w:rsidRPr="008F224B">
        <w:rPr>
          <w:rFonts w:ascii="Calibri" w:hAnsi="Calibri" w:cs="Calibri"/>
          <w:b/>
          <w:bCs/>
          <w:iCs/>
          <w:noProof/>
          <w:sz w:val="28"/>
        </w:rPr>
        <w:t xml:space="preserve"> finančním odborem</w:t>
      </w:r>
      <w:r>
        <w:rPr>
          <w:rFonts w:ascii="Calibri" w:hAnsi="Calibri" w:cs="Calibri"/>
          <w:b/>
          <w:bCs/>
          <w:iCs/>
          <w:noProof/>
          <w:sz w:val="28"/>
        </w:rPr>
        <w:t xml:space="preserve"> MMPv</w:t>
      </w:r>
      <w:r w:rsidR="008F224B" w:rsidRPr="008F224B">
        <w:rPr>
          <w:rFonts w:ascii="Calibri" w:hAnsi="Calibri" w:cs="Calibri"/>
          <w:b/>
          <w:bCs/>
          <w:iCs/>
          <w:noProof/>
          <w:sz w:val="28"/>
        </w:rPr>
        <w:t xml:space="preserve"> k 31.</w:t>
      </w:r>
      <w:r w:rsidR="003D13D9">
        <w:rPr>
          <w:rFonts w:ascii="Calibri" w:hAnsi="Calibri" w:cs="Calibri"/>
          <w:b/>
          <w:bCs/>
          <w:iCs/>
          <w:noProof/>
          <w:sz w:val="28"/>
        </w:rPr>
        <w:t xml:space="preserve"> </w:t>
      </w:r>
      <w:r w:rsidR="008F224B" w:rsidRPr="008F224B">
        <w:rPr>
          <w:rFonts w:ascii="Calibri" w:hAnsi="Calibri" w:cs="Calibri"/>
          <w:b/>
          <w:bCs/>
          <w:iCs/>
          <w:noProof/>
          <w:sz w:val="28"/>
        </w:rPr>
        <w:t>12.</w:t>
      </w:r>
      <w:r w:rsidR="003D13D9">
        <w:rPr>
          <w:rFonts w:ascii="Calibri" w:hAnsi="Calibri" w:cs="Calibri"/>
          <w:b/>
          <w:bCs/>
          <w:iCs/>
          <w:noProof/>
          <w:sz w:val="28"/>
        </w:rPr>
        <w:t xml:space="preserve"> </w:t>
      </w:r>
      <w:r w:rsidR="008F224B" w:rsidRPr="008F224B">
        <w:rPr>
          <w:rFonts w:ascii="Calibri" w:hAnsi="Calibri" w:cs="Calibri"/>
          <w:b/>
          <w:bCs/>
          <w:iCs/>
          <w:noProof/>
          <w:sz w:val="28"/>
        </w:rPr>
        <w:t>202</w:t>
      </w:r>
      <w:r w:rsidR="0093272C">
        <w:rPr>
          <w:rFonts w:ascii="Calibri" w:hAnsi="Calibri" w:cs="Calibri"/>
          <w:b/>
          <w:bCs/>
          <w:iCs/>
          <w:noProof/>
          <w:sz w:val="28"/>
        </w:rPr>
        <w:t>2</w:t>
      </w:r>
    </w:p>
    <w:tbl>
      <w:tblPr>
        <w:tblW w:w="9467" w:type="dxa"/>
        <w:tblCellMar>
          <w:left w:w="70" w:type="dxa"/>
          <w:right w:w="70" w:type="dxa"/>
        </w:tblCellMar>
        <w:tblLook w:val="04A0" w:firstRow="1" w:lastRow="0" w:firstColumn="1" w:lastColumn="0" w:noHBand="0" w:noVBand="1"/>
      </w:tblPr>
      <w:tblGrid>
        <w:gridCol w:w="1838"/>
        <w:gridCol w:w="567"/>
        <w:gridCol w:w="1276"/>
        <w:gridCol w:w="5786"/>
      </w:tblGrid>
      <w:tr w:rsidR="0093272C" w:rsidTr="0093272C">
        <w:trPr>
          <w:trHeight w:val="224"/>
        </w:trPr>
        <w:tc>
          <w:tcPr>
            <w:tcW w:w="1838"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93272C" w:rsidRDefault="0093272C">
            <w:pPr>
              <w:jc w:val="center"/>
              <w:rPr>
                <w:rFonts w:ascii="Calibri" w:hAnsi="Calibri" w:cs="Calibri"/>
                <w:b/>
                <w:bCs/>
                <w:sz w:val="16"/>
                <w:szCs w:val="16"/>
              </w:rPr>
            </w:pPr>
            <w:r>
              <w:rPr>
                <w:rFonts w:ascii="Calibri" w:hAnsi="Calibri" w:cs="Calibri"/>
                <w:b/>
                <w:bCs/>
                <w:sz w:val="16"/>
                <w:szCs w:val="16"/>
              </w:rPr>
              <w:t>Druh závazku</w:t>
            </w:r>
          </w:p>
        </w:tc>
        <w:tc>
          <w:tcPr>
            <w:tcW w:w="567" w:type="dxa"/>
            <w:tcBorders>
              <w:top w:val="single" w:sz="4" w:space="0" w:color="auto"/>
              <w:left w:val="nil"/>
              <w:bottom w:val="single" w:sz="4" w:space="0" w:color="auto"/>
              <w:right w:val="single" w:sz="4" w:space="0" w:color="auto"/>
            </w:tcBorders>
            <w:shd w:val="clear" w:color="000000" w:fill="FFE699"/>
            <w:noWrap/>
            <w:vAlign w:val="center"/>
            <w:hideMark/>
          </w:tcPr>
          <w:p w:rsidR="0093272C" w:rsidRDefault="0093272C">
            <w:pPr>
              <w:jc w:val="center"/>
              <w:rPr>
                <w:rFonts w:ascii="Calibri" w:hAnsi="Calibri" w:cs="Calibri"/>
                <w:b/>
                <w:bCs/>
                <w:sz w:val="16"/>
                <w:szCs w:val="16"/>
              </w:rPr>
            </w:pPr>
            <w:r>
              <w:rPr>
                <w:rFonts w:ascii="Calibri" w:hAnsi="Calibri" w:cs="Calibri"/>
                <w:b/>
                <w:bCs/>
                <w:sz w:val="16"/>
                <w:szCs w:val="16"/>
              </w:rPr>
              <w:t>Účet</w:t>
            </w:r>
          </w:p>
        </w:tc>
        <w:tc>
          <w:tcPr>
            <w:tcW w:w="1276" w:type="dxa"/>
            <w:tcBorders>
              <w:top w:val="single" w:sz="4" w:space="0" w:color="auto"/>
              <w:left w:val="nil"/>
              <w:bottom w:val="single" w:sz="4" w:space="0" w:color="auto"/>
              <w:right w:val="single" w:sz="4" w:space="0" w:color="auto"/>
            </w:tcBorders>
            <w:shd w:val="clear" w:color="000000" w:fill="FFE699"/>
            <w:noWrap/>
            <w:vAlign w:val="center"/>
            <w:hideMark/>
          </w:tcPr>
          <w:p w:rsidR="0093272C" w:rsidRDefault="0093272C">
            <w:pPr>
              <w:jc w:val="center"/>
              <w:rPr>
                <w:rFonts w:ascii="Calibri" w:hAnsi="Calibri" w:cs="Calibri"/>
                <w:b/>
                <w:bCs/>
                <w:sz w:val="16"/>
                <w:szCs w:val="16"/>
              </w:rPr>
            </w:pPr>
            <w:r>
              <w:rPr>
                <w:rFonts w:ascii="Calibri" w:hAnsi="Calibri" w:cs="Calibri"/>
                <w:b/>
                <w:bCs/>
                <w:sz w:val="16"/>
                <w:szCs w:val="16"/>
              </w:rPr>
              <w:t>Částka v Kč</w:t>
            </w:r>
          </w:p>
        </w:tc>
        <w:tc>
          <w:tcPr>
            <w:tcW w:w="5786" w:type="dxa"/>
            <w:tcBorders>
              <w:top w:val="single" w:sz="4" w:space="0" w:color="auto"/>
              <w:left w:val="nil"/>
              <w:bottom w:val="single" w:sz="4" w:space="0" w:color="auto"/>
              <w:right w:val="single" w:sz="4" w:space="0" w:color="auto"/>
            </w:tcBorders>
            <w:shd w:val="clear" w:color="000000" w:fill="FFE699"/>
            <w:noWrap/>
            <w:vAlign w:val="center"/>
            <w:hideMark/>
          </w:tcPr>
          <w:p w:rsidR="0093272C" w:rsidRDefault="0093272C">
            <w:pPr>
              <w:jc w:val="center"/>
              <w:rPr>
                <w:rFonts w:ascii="Calibri" w:hAnsi="Calibri" w:cs="Calibri"/>
                <w:b/>
                <w:bCs/>
                <w:sz w:val="16"/>
                <w:szCs w:val="16"/>
              </w:rPr>
            </w:pPr>
            <w:r>
              <w:rPr>
                <w:rFonts w:ascii="Calibri" w:hAnsi="Calibri" w:cs="Calibri"/>
                <w:b/>
                <w:bCs/>
                <w:sz w:val="16"/>
                <w:szCs w:val="16"/>
              </w:rPr>
              <w:t>Poznámka</w:t>
            </w:r>
          </w:p>
        </w:tc>
      </w:tr>
      <w:tr w:rsidR="0093272C" w:rsidTr="0093272C">
        <w:trPr>
          <w:trHeight w:val="224"/>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93272C" w:rsidRDefault="0093272C">
            <w:pPr>
              <w:rPr>
                <w:rFonts w:ascii="Calibri" w:hAnsi="Calibri" w:cs="Calibri"/>
                <w:sz w:val="16"/>
                <w:szCs w:val="16"/>
              </w:rPr>
            </w:pPr>
            <w:r>
              <w:rPr>
                <w:rFonts w:ascii="Calibri" w:hAnsi="Calibri" w:cs="Calibri"/>
                <w:sz w:val="16"/>
                <w:szCs w:val="16"/>
              </w:rPr>
              <w:t>Ostatní dlouhodobé závazky</w:t>
            </w:r>
          </w:p>
        </w:tc>
        <w:tc>
          <w:tcPr>
            <w:tcW w:w="567" w:type="dxa"/>
            <w:tcBorders>
              <w:top w:val="nil"/>
              <w:left w:val="nil"/>
              <w:bottom w:val="single" w:sz="4" w:space="0" w:color="auto"/>
              <w:right w:val="single" w:sz="4" w:space="0" w:color="auto"/>
            </w:tcBorders>
            <w:shd w:val="clear" w:color="auto" w:fill="auto"/>
            <w:noWrap/>
            <w:vAlign w:val="center"/>
            <w:hideMark/>
          </w:tcPr>
          <w:p w:rsidR="0093272C" w:rsidRDefault="0093272C">
            <w:pPr>
              <w:jc w:val="center"/>
              <w:rPr>
                <w:rFonts w:ascii="Calibri" w:hAnsi="Calibri" w:cs="Calibri"/>
                <w:sz w:val="16"/>
                <w:szCs w:val="16"/>
              </w:rPr>
            </w:pPr>
            <w:r>
              <w:rPr>
                <w:rFonts w:ascii="Calibri" w:hAnsi="Calibri" w:cs="Calibri"/>
                <w:sz w:val="16"/>
                <w:szCs w:val="16"/>
              </w:rPr>
              <w:t>459</w:t>
            </w:r>
          </w:p>
        </w:tc>
        <w:tc>
          <w:tcPr>
            <w:tcW w:w="1276" w:type="dxa"/>
            <w:tcBorders>
              <w:top w:val="nil"/>
              <w:left w:val="nil"/>
              <w:bottom w:val="single" w:sz="4" w:space="0" w:color="auto"/>
              <w:right w:val="single" w:sz="4" w:space="0" w:color="auto"/>
            </w:tcBorders>
            <w:shd w:val="clear" w:color="auto" w:fill="auto"/>
            <w:noWrap/>
            <w:vAlign w:val="center"/>
            <w:hideMark/>
          </w:tcPr>
          <w:p w:rsidR="0093272C" w:rsidRDefault="0093272C">
            <w:pPr>
              <w:jc w:val="right"/>
              <w:rPr>
                <w:rFonts w:ascii="Calibri" w:hAnsi="Calibri" w:cs="Calibri"/>
                <w:sz w:val="16"/>
                <w:szCs w:val="16"/>
              </w:rPr>
            </w:pPr>
            <w:r>
              <w:rPr>
                <w:rFonts w:ascii="Calibri" w:hAnsi="Calibri" w:cs="Calibri"/>
                <w:sz w:val="16"/>
                <w:szCs w:val="16"/>
              </w:rPr>
              <w:t>7 114 763,27</w:t>
            </w:r>
          </w:p>
        </w:tc>
        <w:tc>
          <w:tcPr>
            <w:tcW w:w="5786" w:type="dxa"/>
            <w:tcBorders>
              <w:top w:val="nil"/>
              <w:left w:val="nil"/>
              <w:bottom w:val="single" w:sz="4" w:space="0" w:color="auto"/>
              <w:right w:val="single" w:sz="4" w:space="0" w:color="auto"/>
            </w:tcBorders>
            <w:shd w:val="clear" w:color="auto" w:fill="auto"/>
            <w:vAlign w:val="center"/>
            <w:hideMark/>
          </w:tcPr>
          <w:p w:rsidR="0093272C" w:rsidRPr="0093272C" w:rsidRDefault="0093272C">
            <w:pPr>
              <w:rPr>
                <w:rFonts w:ascii="Calibri" w:hAnsi="Calibri" w:cs="Calibri"/>
                <w:sz w:val="16"/>
                <w:szCs w:val="16"/>
              </w:rPr>
            </w:pPr>
            <w:r w:rsidRPr="0093272C">
              <w:rPr>
                <w:rFonts w:ascii="Calibri" w:hAnsi="Calibri" w:cs="Calibri"/>
                <w:sz w:val="16"/>
                <w:szCs w:val="16"/>
              </w:rPr>
              <w:t>Složené dlouhodobé jistiny (nad jeden rok).</w:t>
            </w:r>
          </w:p>
        </w:tc>
      </w:tr>
      <w:tr w:rsidR="0093272C" w:rsidTr="0093272C">
        <w:trPr>
          <w:trHeight w:val="224"/>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93272C" w:rsidRDefault="0093272C" w:rsidP="0093272C">
            <w:pPr>
              <w:rPr>
                <w:rFonts w:ascii="Calibri" w:hAnsi="Calibri" w:cs="Calibri"/>
                <w:sz w:val="16"/>
                <w:szCs w:val="16"/>
              </w:rPr>
            </w:pPr>
            <w:r>
              <w:rPr>
                <w:rFonts w:ascii="Calibri" w:hAnsi="Calibri" w:cs="Calibri"/>
                <w:sz w:val="16"/>
                <w:szCs w:val="16"/>
              </w:rPr>
              <w:t>Dlouhodobé přijaté zálohy na transfery</w:t>
            </w:r>
          </w:p>
        </w:tc>
        <w:tc>
          <w:tcPr>
            <w:tcW w:w="567" w:type="dxa"/>
            <w:tcBorders>
              <w:top w:val="nil"/>
              <w:left w:val="nil"/>
              <w:bottom w:val="single" w:sz="4" w:space="0" w:color="auto"/>
              <w:right w:val="single" w:sz="4" w:space="0" w:color="auto"/>
            </w:tcBorders>
            <w:shd w:val="clear" w:color="auto" w:fill="auto"/>
            <w:noWrap/>
            <w:vAlign w:val="center"/>
            <w:hideMark/>
          </w:tcPr>
          <w:p w:rsidR="0093272C" w:rsidRDefault="0093272C">
            <w:pPr>
              <w:jc w:val="center"/>
              <w:rPr>
                <w:rFonts w:ascii="Calibri" w:hAnsi="Calibri" w:cs="Calibri"/>
                <w:sz w:val="16"/>
                <w:szCs w:val="16"/>
              </w:rPr>
            </w:pPr>
            <w:r>
              <w:rPr>
                <w:rFonts w:ascii="Calibri" w:hAnsi="Calibri" w:cs="Calibri"/>
                <w:sz w:val="16"/>
                <w:szCs w:val="16"/>
              </w:rPr>
              <w:t>472</w:t>
            </w:r>
          </w:p>
        </w:tc>
        <w:tc>
          <w:tcPr>
            <w:tcW w:w="1276" w:type="dxa"/>
            <w:tcBorders>
              <w:top w:val="nil"/>
              <w:left w:val="nil"/>
              <w:bottom w:val="single" w:sz="4" w:space="0" w:color="auto"/>
              <w:right w:val="single" w:sz="4" w:space="0" w:color="auto"/>
            </w:tcBorders>
            <w:shd w:val="clear" w:color="auto" w:fill="auto"/>
            <w:noWrap/>
            <w:vAlign w:val="center"/>
            <w:hideMark/>
          </w:tcPr>
          <w:p w:rsidR="0093272C" w:rsidRDefault="0093272C">
            <w:pPr>
              <w:jc w:val="right"/>
              <w:rPr>
                <w:rFonts w:ascii="Calibri" w:hAnsi="Calibri" w:cs="Calibri"/>
                <w:sz w:val="16"/>
                <w:szCs w:val="16"/>
              </w:rPr>
            </w:pPr>
            <w:r>
              <w:rPr>
                <w:rFonts w:ascii="Calibri" w:hAnsi="Calibri" w:cs="Calibri"/>
                <w:sz w:val="16"/>
                <w:szCs w:val="16"/>
              </w:rPr>
              <w:t>22 858 730,43</w:t>
            </w:r>
          </w:p>
        </w:tc>
        <w:tc>
          <w:tcPr>
            <w:tcW w:w="5786" w:type="dxa"/>
            <w:tcBorders>
              <w:top w:val="nil"/>
              <w:left w:val="nil"/>
              <w:bottom w:val="single" w:sz="4" w:space="0" w:color="auto"/>
              <w:right w:val="single" w:sz="4" w:space="0" w:color="auto"/>
            </w:tcBorders>
            <w:shd w:val="clear" w:color="auto" w:fill="auto"/>
            <w:noWrap/>
            <w:vAlign w:val="center"/>
            <w:hideMark/>
          </w:tcPr>
          <w:p w:rsidR="0093272C" w:rsidRPr="0093272C" w:rsidRDefault="0093272C">
            <w:pPr>
              <w:jc w:val="both"/>
              <w:rPr>
                <w:rFonts w:ascii="Calibri" w:hAnsi="Calibri" w:cs="Calibri"/>
                <w:sz w:val="16"/>
                <w:szCs w:val="16"/>
              </w:rPr>
            </w:pPr>
            <w:r w:rsidRPr="0093272C">
              <w:rPr>
                <w:rFonts w:ascii="Calibri" w:hAnsi="Calibri" w:cs="Calibri"/>
                <w:sz w:val="16"/>
                <w:szCs w:val="16"/>
              </w:rPr>
              <w:t>Nevyúčtované přijaté dlouhodobé dotace. Transfery budou vyúčtovány po potvrzení ZVA poskytovatelem.</w:t>
            </w:r>
          </w:p>
        </w:tc>
      </w:tr>
      <w:tr w:rsidR="0093272C" w:rsidTr="0093272C">
        <w:trPr>
          <w:trHeight w:val="224"/>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93272C" w:rsidRDefault="0093272C">
            <w:pPr>
              <w:rPr>
                <w:rFonts w:ascii="Calibri" w:hAnsi="Calibri" w:cs="Calibri"/>
                <w:sz w:val="16"/>
                <w:szCs w:val="16"/>
              </w:rPr>
            </w:pPr>
            <w:r>
              <w:rPr>
                <w:rFonts w:ascii="Calibri" w:hAnsi="Calibri" w:cs="Calibri"/>
                <w:sz w:val="16"/>
                <w:szCs w:val="16"/>
              </w:rPr>
              <w:t>Dodavatelé</w:t>
            </w:r>
          </w:p>
        </w:tc>
        <w:tc>
          <w:tcPr>
            <w:tcW w:w="567" w:type="dxa"/>
            <w:tcBorders>
              <w:top w:val="nil"/>
              <w:left w:val="nil"/>
              <w:bottom w:val="single" w:sz="4" w:space="0" w:color="auto"/>
              <w:right w:val="single" w:sz="4" w:space="0" w:color="auto"/>
            </w:tcBorders>
            <w:shd w:val="clear" w:color="auto" w:fill="auto"/>
            <w:noWrap/>
            <w:vAlign w:val="center"/>
            <w:hideMark/>
          </w:tcPr>
          <w:p w:rsidR="0093272C" w:rsidRDefault="0093272C">
            <w:pPr>
              <w:jc w:val="center"/>
              <w:rPr>
                <w:rFonts w:ascii="Calibri" w:hAnsi="Calibri" w:cs="Calibri"/>
                <w:sz w:val="16"/>
                <w:szCs w:val="16"/>
              </w:rPr>
            </w:pPr>
            <w:r>
              <w:rPr>
                <w:rFonts w:ascii="Calibri" w:hAnsi="Calibri" w:cs="Calibri"/>
                <w:sz w:val="16"/>
                <w:szCs w:val="16"/>
              </w:rPr>
              <w:t>321</w:t>
            </w:r>
          </w:p>
        </w:tc>
        <w:tc>
          <w:tcPr>
            <w:tcW w:w="1276" w:type="dxa"/>
            <w:tcBorders>
              <w:top w:val="nil"/>
              <w:left w:val="nil"/>
              <w:bottom w:val="single" w:sz="4" w:space="0" w:color="auto"/>
              <w:right w:val="single" w:sz="4" w:space="0" w:color="auto"/>
            </w:tcBorders>
            <w:shd w:val="clear" w:color="auto" w:fill="auto"/>
            <w:noWrap/>
            <w:vAlign w:val="center"/>
            <w:hideMark/>
          </w:tcPr>
          <w:p w:rsidR="0093272C" w:rsidRDefault="0093272C">
            <w:pPr>
              <w:jc w:val="right"/>
              <w:rPr>
                <w:rFonts w:ascii="Calibri" w:hAnsi="Calibri" w:cs="Calibri"/>
                <w:sz w:val="16"/>
                <w:szCs w:val="16"/>
              </w:rPr>
            </w:pPr>
            <w:r>
              <w:rPr>
                <w:rFonts w:ascii="Calibri" w:hAnsi="Calibri" w:cs="Calibri"/>
                <w:sz w:val="16"/>
                <w:szCs w:val="16"/>
              </w:rPr>
              <w:t>358 314,99</w:t>
            </w:r>
          </w:p>
        </w:tc>
        <w:tc>
          <w:tcPr>
            <w:tcW w:w="5786" w:type="dxa"/>
            <w:tcBorders>
              <w:top w:val="nil"/>
              <w:left w:val="nil"/>
              <w:bottom w:val="single" w:sz="4" w:space="0" w:color="auto"/>
              <w:right w:val="single" w:sz="4" w:space="0" w:color="auto"/>
            </w:tcBorders>
            <w:shd w:val="clear" w:color="auto" w:fill="auto"/>
            <w:noWrap/>
            <w:vAlign w:val="center"/>
            <w:hideMark/>
          </w:tcPr>
          <w:p w:rsidR="0093272C" w:rsidRPr="0093272C" w:rsidRDefault="0093272C">
            <w:pPr>
              <w:jc w:val="both"/>
              <w:rPr>
                <w:rFonts w:ascii="Calibri" w:hAnsi="Calibri" w:cs="Calibri"/>
                <w:sz w:val="16"/>
                <w:szCs w:val="16"/>
              </w:rPr>
            </w:pPr>
            <w:r w:rsidRPr="0093272C">
              <w:rPr>
                <w:rFonts w:ascii="Calibri" w:hAnsi="Calibri" w:cs="Calibri"/>
                <w:sz w:val="16"/>
                <w:szCs w:val="16"/>
              </w:rPr>
              <w:t>Závazky ze smluvních vztahů, faktury budou proplaceny v I. pololetí 2023.</w:t>
            </w:r>
          </w:p>
        </w:tc>
      </w:tr>
      <w:tr w:rsidR="0093272C" w:rsidTr="0093272C">
        <w:trPr>
          <w:trHeight w:val="224"/>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93272C" w:rsidRDefault="0093272C">
            <w:pPr>
              <w:rPr>
                <w:rFonts w:ascii="Calibri" w:hAnsi="Calibri" w:cs="Calibri"/>
                <w:sz w:val="16"/>
                <w:szCs w:val="16"/>
              </w:rPr>
            </w:pPr>
            <w:r>
              <w:rPr>
                <w:rFonts w:ascii="Calibri" w:hAnsi="Calibri" w:cs="Calibri"/>
                <w:sz w:val="16"/>
                <w:szCs w:val="16"/>
              </w:rPr>
              <w:t>Krátkodobé přijaté zálohy</w:t>
            </w:r>
          </w:p>
        </w:tc>
        <w:tc>
          <w:tcPr>
            <w:tcW w:w="567" w:type="dxa"/>
            <w:tcBorders>
              <w:top w:val="nil"/>
              <w:left w:val="nil"/>
              <w:bottom w:val="single" w:sz="4" w:space="0" w:color="auto"/>
              <w:right w:val="single" w:sz="4" w:space="0" w:color="auto"/>
            </w:tcBorders>
            <w:shd w:val="clear" w:color="auto" w:fill="auto"/>
            <w:noWrap/>
            <w:vAlign w:val="center"/>
            <w:hideMark/>
          </w:tcPr>
          <w:p w:rsidR="0093272C" w:rsidRDefault="0093272C">
            <w:pPr>
              <w:jc w:val="center"/>
              <w:rPr>
                <w:rFonts w:ascii="Calibri" w:hAnsi="Calibri" w:cs="Calibri"/>
                <w:sz w:val="16"/>
                <w:szCs w:val="16"/>
              </w:rPr>
            </w:pPr>
            <w:r>
              <w:rPr>
                <w:rFonts w:ascii="Calibri" w:hAnsi="Calibri" w:cs="Calibri"/>
                <w:sz w:val="16"/>
                <w:szCs w:val="16"/>
              </w:rPr>
              <w:t>324</w:t>
            </w:r>
          </w:p>
        </w:tc>
        <w:tc>
          <w:tcPr>
            <w:tcW w:w="1276" w:type="dxa"/>
            <w:tcBorders>
              <w:top w:val="nil"/>
              <w:left w:val="nil"/>
              <w:bottom w:val="single" w:sz="4" w:space="0" w:color="auto"/>
              <w:right w:val="single" w:sz="4" w:space="0" w:color="auto"/>
            </w:tcBorders>
            <w:shd w:val="clear" w:color="auto" w:fill="auto"/>
            <w:noWrap/>
            <w:vAlign w:val="center"/>
            <w:hideMark/>
          </w:tcPr>
          <w:p w:rsidR="0093272C" w:rsidRDefault="0093272C">
            <w:pPr>
              <w:jc w:val="right"/>
              <w:rPr>
                <w:rFonts w:ascii="Calibri" w:hAnsi="Calibri" w:cs="Calibri"/>
                <w:sz w:val="16"/>
                <w:szCs w:val="16"/>
              </w:rPr>
            </w:pPr>
            <w:r>
              <w:rPr>
                <w:rFonts w:ascii="Calibri" w:hAnsi="Calibri" w:cs="Calibri"/>
                <w:sz w:val="16"/>
                <w:szCs w:val="16"/>
              </w:rPr>
              <w:t>23 669 083,53</w:t>
            </w:r>
          </w:p>
        </w:tc>
        <w:tc>
          <w:tcPr>
            <w:tcW w:w="5786" w:type="dxa"/>
            <w:tcBorders>
              <w:top w:val="nil"/>
              <w:left w:val="nil"/>
              <w:bottom w:val="single" w:sz="4" w:space="0" w:color="auto"/>
              <w:right w:val="single" w:sz="4" w:space="0" w:color="auto"/>
            </w:tcBorders>
            <w:shd w:val="clear" w:color="auto" w:fill="auto"/>
            <w:noWrap/>
            <w:vAlign w:val="center"/>
            <w:hideMark/>
          </w:tcPr>
          <w:p w:rsidR="0093272C" w:rsidRPr="0093272C" w:rsidRDefault="0093272C">
            <w:pPr>
              <w:jc w:val="both"/>
              <w:rPr>
                <w:rFonts w:ascii="Calibri" w:hAnsi="Calibri" w:cs="Calibri"/>
                <w:sz w:val="16"/>
                <w:szCs w:val="16"/>
              </w:rPr>
            </w:pPr>
            <w:r w:rsidRPr="0093272C">
              <w:rPr>
                <w:rFonts w:ascii="Calibri" w:hAnsi="Calibri" w:cs="Calibri"/>
                <w:sz w:val="16"/>
                <w:szCs w:val="16"/>
              </w:rPr>
              <w:t>Přijaté zálohy na nájem a služby bytových a nebytových prostor, které budou vyúčtovány v roce 2023.</w:t>
            </w:r>
          </w:p>
        </w:tc>
      </w:tr>
      <w:tr w:rsidR="0093272C" w:rsidTr="0093272C">
        <w:trPr>
          <w:trHeight w:val="224"/>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93272C" w:rsidRDefault="0093272C">
            <w:pPr>
              <w:rPr>
                <w:rFonts w:ascii="Calibri" w:hAnsi="Calibri" w:cs="Calibri"/>
                <w:sz w:val="16"/>
                <w:szCs w:val="16"/>
              </w:rPr>
            </w:pPr>
            <w:r>
              <w:rPr>
                <w:rFonts w:ascii="Calibri" w:hAnsi="Calibri" w:cs="Calibri"/>
                <w:sz w:val="16"/>
                <w:szCs w:val="16"/>
              </w:rPr>
              <w:t>Zaměstnanci</w:t>
            </w:r>
          </w:p>
        </w:tc>
        <w:tc>
          <w:tcPr>
            <w:tcW w:w="567" w:type="dxa"/>
            <w:tcBorders>
              <w:top w:val="nil"/>
              <w:left w:val="nil"/>
              <w:bottom w:val="single" w:sz="4" w:space="0" w:color="auto"/>
              <w:right w:val="single" w:sz="4" w:space="0" w:color="auto"/>
            </w:tcBorders>
            <w:shd w:val="clear" w:color="auto" w:fill="auto"/>
            <w:noWrap/>
            <w:vAlign w:val="center"/>
            <w:hideMark/>
          </w:tcPr>
          <w:p w:rsidR="0093272C" w:rsidRDefault="0093272C">
            <w:pPr>
              <w:jc w:val="center"/>
              <w:rPr>
                <w:rFonts w:ascii="Calibri" w:hAnsi="Calibri" w:cs="Calibri"/>
                <w:sz w:val="16"/>
                <w:szCs w:val="16"/>
              </w:rPr>
            </w:pPr>
            <w:r>
              <w:rPr>
                <w:rFonts w:ascii="Calibri" w:hAnsi="Calibri" w:cs="Calibri"/>
                <w:sz w:val="16"/>
                <w:szCs w:val="16"/>
              </w:rPr>
              <w:t>331</w:t>
            </w:r>
          </w:p>
        </w:tc>
        <w:tc>
          <w:tcPr>
            <w:tcW w:w="1276" w:type="dxa"/>
            <w:tcBorders>
              <w:top w:val="nil"/>
              <w:left w:val="nil"/>
              <w:bottom w:val="single" w:sz="4" w:space="0" w:color="auto"/>
              <w:right w:val="single" w:sz="4" w:space="0" w:color="auto"/>
            </w:tcBorders>
            <w:shd w:val="clear" w:color="auto" w:fill="auto"/>
            <w:noWrap/>
            <w:vAlign w:val="center"/>
            <w:hideMark/>
          </w:tcPr>
          <w:p w:rsidR="0093272C" w:rsidRDefault="0093272C">
            <w:pPr>
              <w:jc w:val="right"/>
              <w:rPr>
                <w:rFonts w:ascii="Calibri" w:hAnsi="Calibri" w:cs="Calibri"/>
                <w:sz w:val="16"/>
                <w:szCs w:val="16"/>
              </w:rPr>
            </w:pPr>
            <w:r>
              <w:rPr>
                <w:rFonts w:ascii="Calibri" w:hAnsi="Calibri" w:cs="Calibri"/>
                <w:sz w:val="16"/>
                <w:szCs w:val="16"/>
              </w:rPr>
              <w:t>12 450 360,00</w:t>
            </w:r>
          </w:p>
        </w:tc>
        <w:tc>
          <w:tcPr>
            <w:tcW w:w="5786" w:type="dxa"/>
            <w:tcBorders>
              <w:top w:val="nil"/>
              <w:left w:val="nil"/>
              <w:bottom w:val="single" w:sz="4" w:space="0" w:color="auto"/>
              <w:right w:val="single" w:sz="4" w:space="0" w:color="auto"/>
            </w:tcBorders>
            <w:shd w:val="clear" w:color="auto" w:fill="auto"/>
            <w:noWrap/>
            <w:vAlign w:val="center"/>
            <w:hideMark/>
          </w:tcPr>
          <w:p w:rsidR="0093272C" w:rsidRPr="0093272C" w:rsidRDefault="0093272C">
            <w:pPr>
              <w:jc w:val="both"/>
              <w:rPr>
                <w:rFonts w:ascii="Calibri" w:hAnsi="Calibri" w:cs="Calibri"/>
                <w:sz w:val="16"/>
                <w:szCs w:val="16"/>
              </w:rPr>
            </w:pPr>
            <w:r w:rsidRPr="0093272C">
              <w:rPr>
                <w:rFonts w:ascii="Calibri" w:hAnsi="Calibri" w:cs="Calibri"/>
                <w:sz w:val="16"/>
                <w:szCs w:val="16"/>
              </w:rPr>
              <w:t>Mzdy 12/2022, vyúčtováno v 1/2023.</w:t>
            </w:r>
          </w:p>
        </w:tc>
      </w:tr>
      <w:tr w:rsidR="0093272C" w:rsidTr="0093272C">
        <w:trPr>
          <w:trHeight w:val="224"/>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93272C" w:rsidRDefault="0093272C">
            <w:pPr>
              <w:rPr>
                <w:rFonts w:ascii="Calibri" w:hAnsi="Calibri" w:cs="Calibri"/>
                <w:sz w:val="16"/>
                <w:szCs w:val="16"/>
              </w:rPr>
            </w:pPr>
            <w:r>
              <w:rPr>
                <w:rFonts w:ascii="Calibri" w:hAnsi="Calibri" w:cs="Calibri"/>
                <w:sz w:val="16"/>
                <w:szCs w:val="16"/>
              </w:rPr>
              <w:t>Sociální zabezpečení</w:t>
            </w:r>
          </w:p>
        </w:tc>
        <w:tc>
          <w:tcPr>
            <w:tcW w:w="567" w:type="dxa"/>
            <w:tcBorders>
              <w:top w:val="nil"/>
              <w:left w:val="nil"/>
              <w:bottom w:val="single" w:sz="4" w:space="0" w:color="auto"/>
              <w:right w:val="single" w:sz="4" w:space="0" w:color="auto"/>
            </w:tcBorders>
            <w:shd w:val="clear" w:color="auto" w:fill="auto"/>
            <w:noWrap/>
            <w:vAlign w:val="center"/>
            <w:hideMark/>
          </w:tcPr>
          <w:p w:rsidR="0093272C" w:rsidRDefault="0093272C">
            <w:pPr>
              <w:jc w:val="center"/>
              <w:rPr>
                <w:rFonts w:ascii="Calibri" w:hAnsi="Calibri" w:cs="Calibri"/>
                <w:sz w:val="16"/>
                <w:szCs w:val="16"/>
              </w:rPr>
            </w:pPr>
            <w:r>
              <w:rPr>
                <w:rFonts w:ascii="Calibri" w:hAnsi="Calibri" w:cs="Calibri"/>
                <w:sz w:val="16"/>
                <w:szCs w:val="16"/>
              </w:rPr>
              <w:t>336</w:t>
            </w:r>
          </w:p>
        </w:tc>
        <w:tc>
          <w:tcPr>
            <w:tcW w:w="1276" w:type="dxa"/>
            <w:tcBorders>
              <w:top w:val="nil"/>
              <w:left w:val="nil"/>
              <w:bottom w:val="single" w:sz="4" w:space="0" w:color="auto"/>
              <w:right w:val="single" w:sz="4" w:space="0" w:color="auto"/>
            </w:tcBorders>
            <w:shd w:val="clear" w:color="auto" w:fill="auto"/>
            <w:noWrap/>
            <w:vAlign w:val="center"/>
            <w:hideMark/>
          </w:tcPr>
          <w:p w:rsidR="0093272C" w:rsidRDefault="0093272C">
            <w:pPr>
              <w:jc w:val="right"/>
              <w:rPr>
                <w:rFonts w:ascii="Calibri" w:hAnsi="Calibri" w:cs="Calibri"/>
                <w:sz w:val="16"/>
                <w:szCs w:val="16"/>
              </w:rPr>
            </w:pPr>
            <w:r>
              <w:rPr>
                <w:rFonts w:ascii="Calibri" w:hAnsi="Calibri" w:cs="Calibri"/>
                <w:sz w:val="16"/>
                <w:szCs w:val="16"/>
              </w:rPr>
              <w:t>4 908 638,00</w:t>
            </w:r>
          </w:p>
        </w:tc>
        <w:tc>
          <w:tcPr>
            <w:tcW w:w="5786" w:type="dxa"/>
            <w:tcBorders>
              <w:top w:val="nil"/>
              <w:left w:val="nil"/>
              <w:bottom w:val="single" w:sz="4" w:space="0" w:color="auto"/>
              <w:right w:val="single" w:sz="4" w:space="0" w:color="auto"/>
            </w:tcBorders>
            <w:shd w:val="clear" w:color="auto" w:fill="auto"/>
            <w:noWrap/>
            <w:vAlign w:val="center"/>
            <w:hideMark/>
          </w:tcPr>
          <w:p w:rsidR="0093272C" w:rsidRPr="0093272C" w:rsidRDefault="0093272C">
            <w:pPr>
              <w:jc w:val="both"/>
              <w:rPr>
                <w:rFonts w:ascii="Calibri" w:hAnsi="Calibri" w:cs="Calibri"/>
                <w:sz w:val="16"/>
                <w:szCs w:val="16"/>
              </w:rPr>
            </w:pPr>
            <w:r w:rsidRPr="0093272C">
              <w:rPr>
                <w:rFonts w:ascii="Calibri" w:hAnsi="Calibri" w:cs="Calibri"/>
                <w:sz w:val="16"/>
                <w:szCs w:val="16"/>
              </w:rPr>
              <w:t>Mzdy 12/2022, vyúčtováno v 1/2023.</w:t>
            </w:r>
          </w:p>
        </w:tc>
      </w:tr>
      <w:tr w:rsidR="0093272C" w:rsidTr="0093272C">
        <w:trPr>
          <w:trHeight w:val="224"/>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93272C" w:rsidRDefault="0093272C">
            <w:pPr>
              <w:rPr>
                <w:rFonts w:ascii="Calibri" w:hAnsi="Calibri" w:cs="Calibri"/>
                <w:sz w:val="16"/>
                <w:szCs w:val="16"/>
              </w:rPr>
            </w:pPr>
            <w:r>
              <w:rPr>
                <w:rFonts w:ascii="Calibri" w:hAnsi="Calibri" w:cs="Calibri"/>
                <w:sz w:val="16"/>
                <w:szCs w:val="16"/>
              </w:rPr>
              <w:t>Zdravotní pojištění</w:t>
            </w:r>
          </w:p>
        </w:tc>
        <w:tc>
          <w:tcPr>
            <w:tcW w:w="567" w:type="dxa"/>
            <w:tcBorders>
              <w:top w:val="nil"/>
              <w:left w:val="nil"/>
              <w:bottom w:val="single" w:sz="4" w:space="0" w:color="auto"/>
              <w:right w:val="single" w:sz="4" w:space="0" w:color="auto"/>
            </w:tcBorders>
            <w:shd w:val="clear" w:color="auto" w:fill="auto"/>
            <w:noWrap/>
            <w:vAlign w:val="center"/>
            <w:hideMark/>
          </w:tcPr>
          <w:p w:rsidR="0093272C" w:rsidRDefault="0093272C">
            <w:pPr>
              <w:jc w:val="center"/>
              <w:rPr>
                <w:rFonts w:ascii="Calibri" w:hAnsi="Calibri" w:cs="Calibri"/>
                <w:sz w:val="16"/>
                <w:szCs w:val="16"/>
              </w:rPr>
            </w:pPr>
            <w:r>
              <w:rPr>
                <w:rFonts w:ascii="Calibri" w:hAnsi="Calibri" w:cs="Calibri"/>
                <w:sz w:val="16"/>
                <w:szCs w:val="16"/>
              </w:rPr>
              <w:t>337</w:t>
            </w:r>
          </w:p>
        </w:tc>
        <w:tc>
          <w:tcPr>
            <w:tcW w:w="1276" w:type="dxa"/>
            <w:tcBorders>
              <w:top w:val="nil"/>
              <w:left w:val="nil"/>
              <w:bottom w:val="single" w:sz="4" w:space="0" w:color="auto"/>
              <w:right w:val="single" w:sz="4" w:space="0" w:color="auto"/>
            </w:tcBorders>
            <w:shd w:val="clear" w:color="auto" w:fill="auto"/>
            <w:noWrap/>
            <w:vAlign w:val="center"/>
            <w:hideMark/>
          </w:tcPr>
          <w:p w:rsidR="0093272C" w:rsidRDefault="0093272C">
            <w:pPr>
              <w:jc w:val="right"/>
              <w:rPr>
                <w:rFonts w:ascii="Calibri" w:hAnsi="Calibri" w:cs="Calibri"/>
                <w:sz w:val="16"/>
                <w:szCs w:val="16"/>
              </w:rPr>
            </w:pPr>
            <w:r>
              <w:rPr>
                <w:rFonts w:ascii="Calibri" w:hAnsi="Calibri" w:cs="Calibri"/>
                <w:sz w:val="16"/>
                <w:szCs w:val="16"/>
              </w:rPr>
              <w:t>2 154 779,00</w:t>
            </w:r>
          </w:p>
        </w:tc>
        <w:tc>
          <w:tcPr>
            <w:tcW w:w="5786" w:type="dxa"/>
            <w:tcBorders>
              <w:top w:val="nil"/>
              <w:left w:val="nil"/>
              <w:bottom w:val="single" w:sz="4" w:space="0" w:color="auto"/>
              <w:right w:val="single" w:sz="4" w:space="0" w:color="auto"/>
            </w:tcBorders>
            <w:shd w:val="clear" w:color="auto" w:fill="auto"/>
            <w:noWrap/>
            <w:vAlign w:val="center"/>
            <w:hideMark/>
          </w:tcPr>
          <w:p w:rsidR="0093272C" w:rsidRPr="0093272C" w:rsidRDefault="0093272C">
            <w:pPr>
              <w:jc w:val="both"/>
              <w:rPr>
                <w:rFonts w:ascii="Calibri" w:hAnsi="Calibri" w:cs="Calibri"/>
                <w:sz w:val="16"/>
                <w:szCs w:val="16"/>
              </w:rPr>
            </w:pPr>
            <w:r w:rsidRPr="0093272C">
              <w:rPr>
                <w:rFonts w:ascii="Calibri" w:hAnsi="Calibri" w:cs="Calibri"/>
                <w:sz w:val="16"/>
                <w:szCs w:val="16"/>
              </w:rPr>
              <w:t>Mzdy 12/2022, vyúčtováno v 1/2023.</w:t>
            </w:r>
          </w:p>
        </w:tc>
      </w:tr>
      <w:tr w:rsidR="0093272C" w:rsidTr="0093272C">
        <w:trPr>
          <w:trHeight w:val="224"/>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93272C" w:rsidRDefault="0093272C">
            <w:pPr>
              <w:rPr>
                <w:rFonts w:ascii="Calibri" w:hAnsi="Calibri" w:cs="Calibri"/>
                <w:sz w:val="16"/>
                <w:szCs w:val="16"/>
              </w:rPr>
            </w:pPr>
            <w:r>
              <w:rPr>
                <w:rFonts w:ascii="Calibri" w:hAnsi="Calibri" w:cs="Calibri"/>
                <w:sz w:val="16"/>
                <w:szCs w:val="16"/>
              </w:rPr>
              <w:t>Daň z příjmů</w:t>
            </w:r>
          </w:p>
        </w:tc>
        <w:tc>
          <w:tcPr>
            <w:tcW w:w="567" w:type="dxa"/>
            <w:tcBorders>
              <w:top w:val="nil"/>
              <w:left w:val="nil"/>
              <w:bottom w:val="single" w:sz="4" w:space="0" w:color="auto"/>
              <w:right w:val="single" w:sz="4" w:space="0" w:color="auto"/>
            </w:tcBorders>
            <w:shd w:val="clear" w:color="auto" w:fill="auto"/>
            <w:noWrap/>
            <w:vAlign w:val="center"/>
            <w:hideMark/>
          </w:tcPr>
          <w:p w:rsidR="0093272C" w:rsidRDefault="0093272C">
            <w:pPr>
              <w:jc w:val="center"/>
              <w:rPr>
                <w:rFonts w:ascii="Calibri" w:hAnsi="Calibri" w:cs="Calibri"/>
                <w:sz w:val="16"/>
                <w:szCs w:val="16"/>
              </w:rPr>
            </w:pPr>
            <w:r>
              <w:rPr>
                <w:rFonts w:ascii="Calibri" w:hAnsi="Calibri" w:cs="Calibri"/>
                <w:sz w:val="16"/>
                <w:szCs w:val="16"/>
              </w:rPr>
              <w:t>341</w:t>
            </w:r>
          </w:p>
        </w:tc>
        <w:tc>
          <w:tcPr>
            <w:tcW w:w="1276" w:type="dxa"/>
            <w:tcBorders>
              <w:top w:val="nil"/>
              <w:left w:val="nil"/>
              <w:bottom w:val="single" w:sz="4" w:space="0" w:color="auto"/>
              <w:right w:val="single" w:sz="4" w:space="0" w:color="auto"/>
            </w:tcBorders>
            <w:shd w:val="clear" w:color="auto" w:fill="auto"/>
            <w:noWrap/>
            <w:vAlign w:val="center"/>
            <w:hideMark/>
          </w:tcPr>
          <w:p w:rsidR="0093272C" w:rsidRDefault="0093272C">
            <w:pPr>
              <w:jc w:val="right"/>
              <w:rPr>
                <w:rFonts w:ascii="Calibri" w:hAnsi="Calibri" w:cs="Calibri"/>
                <w:sz w:val="16"/>
                <w:szCs w:val="16"/>
              </w:rPr>
            </w:pPr>
            <w:r>
              <w:rPr>
                <w:rFonts w:ascii="Calibri" w:hAnsi="Calibri" w:cs="Calibri"/>
                <w:sz w:val="16"/>
                <w:szCs w:val="16"/>
              </w:rPr>
              <w:t>24 901 870,00</w:t>
            </w:r>
          </w:p>
        </w:tc>
        <w:tc>
          <w:tcPr>
            <w:tcW w:w="5786" w:type="dxa"/>
            <w:tcBorders>
              <w:top w:val="nil"/>
              <w:left w:val="nil"/>
              <w:bottom w:val="single" w:sz="4" w:space="0" w:color="auto"/>
              <w:right w:val="single" w:sz="4" w:space="0" w:color="auto"/>
            </w:tcBorders>
            <w:shd w:val="clear" w:color="auto" w:fill="auto"/>
            <w:noWrap/>
            <w:vAlign w:val="center"/>
            <w:hideMark/>
          </w:tcPr>
          <w:p w:rsidR="0093272C" w:rsidRPr="0093272C" w:rsidRDefault="0093272C">
            <w:pPr>
              <w:jc w:val="both"/>
              <w:rPr>
                <w:rFonts w:ascii="Calibri" w:hAnsi="Calibri" w:cs="Calibri"/>
                <w:sz w:val="16"/>
                <w:szCs w:val="16"/>
              </w:rPr>
            </w:pPr>
            <w:r w:rsidRPr="0093272C">
              <w:rPr>
                <w:rFonts w:ascii="Calibri" w:hAnsi="Calibri" w:cs="Calibri"/>
                <w:sz w:val="16"/>
                <w:szCs w:val="16"/>
              </w:rPr>
              <w:t>Zálohově proúčtována daň z příjmu města za rok 2022.</w:t>
            </w:r>
          </w:p>
        </w:tc>
      </w:tr>
      <w:tr w:rsidR="0093272C" w:rsidTr="0093272C">
        <w:trPr>
          <w:trHeight w:val="224"/>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93272C" w:rsidRDefault="0093272C">
            <w:pPr>
              <w:rPr>
                <w:rFonts w:ascii="Calibri" w:hAnsi="Calibri" w:cs="Calibri"/>
                <w:sz w:val="16"/>
                <w:szCs w:val="16"/>
              </w:rPr>
            </w:pPr>
            <w:r>
              <w:rPr>
                <w:rFonts w:ascii="Calibri" w:hAnsi="Calibri" w:cs="Calibri"/>
                <w:sz w:val="16"/>
                <w:szCs w:val="16"/>
              </w:rPr>
              <w:t>Ostatní daně</w:t>
            </w:r>
          </w:p>
        </w:tc>
        <w:tc>
          <w:tcPr>
            <w:tcW w:w="567" w:type="dxa"/>
            <w:tcBorders>
              <w:top w:val="nil"/>
              <w:left w:val="nil"/>
              <w:bottom w:val="single" w:sz="4" w:space="0" w:color="auto"/>
              <w:right w:val="single" w:sz="4" w:space="0" w:color="auto"/>
            </w:tcBorders>
            <w:shd w:val="clear" w:color="auto" w:fill="auto"/>
            <w:noWrap/>
            <w:vAlign w:val="center"/>
            <w:hideMark/>
          </w:tcPr>
          <w:p w:rsidR="0093272C" w:rsidRDefault="0093272C">
            <w:pPr>
              <w:jc w:val="center"/>
              <w:rPr>
                <w:rFonts w:ascii="Calibri" w:hAnsi="Calibri" w:cs="Calibri"/>
                <w:sz w:val="16"/>
                <w:szCs w:val="16"/>
              </w:rPr>
            </w:pPr>
            <w:r>
              <w:rPr>
                <w:rFonts w:ascii="Calibri" w:hAnsi="Calibri" w:cs="Calibri"/>
                <w:sz w:val="16"/>
                <w:szCs w:val="16"/>
              </w:rPr>
              <w:t>342</w:t>
            </w:r>
          </w:p>
        </w:tc>
        <w:tc>
          <w:tcPr>
            <w:tcW w:w="1276" w:type="dxa"/>
            <w:tcBorders>
              <w:top w:val="nil"/>
              <w:left w:val="nil"/>
              <w:bottom w:val="single" w:sz="4" w:space="0" w:color="auto"/>
              <w:right w:val="single" w:sz="4" w:space="0" w:color="auto"/>
            </w:tcBorders>
            <w:shd w:val="clear" w:color="auto" w:fill="auto"/>
            <w:noWrap/>
            <w:vAlign w:val="center"/>
            <w:hideMark/>
          </w:tcPr>
          <w:p w:rsidR="0093272C" w:rsidRDefault="0093272C">
            <w:pPr>
              <w:jc w:val="right"/>
              <w:rPr>
                <w:rFonts w:ascii="Calibri" w:hAnsi="Calibri" w:cs="Calibri"/>
                <w:sz w:val="16"/>
                <w:szCs w:val="16"/>
              </w:rPr>
            </w:pPr>
            <w:r>
              <w:rPr>
                <w:rFonts w:ascii="Calibri" w:hAnsi="Calibri" w:cs="Calibri"/>
                <w:sz w:val="16"/>
                <w:szCs w:val="16"/>
              </w:rPr>
              <w:t>1 271 510,00</w:t>
            </w:r>
          </w:p>
        </w:tc>
        <w:tc>
          <w:tcPr>
            <w:tcW w:w="5786" w:type="dxa"/>
            <w:tcBorders>
              <w:top w:val="nil"/>
              <w:left w:val="nil"/>
              <w:bottom w:val="single" w:sz="4" w:space="0" w:color="auto"/>
              <w:right w:val="single" w:sz="4" w:space="0" w:color="auto"/>
            </w:tcBorders>
            <w:shd w:val="clear" w:color="auto" w:fill="auto"/>
            <w:noWrap/>
            <w:vAlign w:val="center"/>
            <w:hideMark/>
          </w:tcPr>
          <w:p w:rsidR="0093272C" w:rsidRPr="0093272C" w:rsidRDefault="0093272C">
            <w:pPr>
              <w:jc w:val="both"/>
              <w:rPr>
                <w:rFonts w:ascii="Calibri" w:hAnsi="Calibri" w:cs="Calibri"/>
                <w:sz w:val="16"/>
                <w:szCs w:val="16"/>
              </w:rPr>
            </w:pPr>
            <w:r w:rsidRPr="0093272C">
              <w:rPr>
                <w:rFonts w:ascii="Calibri" w:hAnsi="Calibri" w:cs="Calibri"/>
                <w:sz w:val="16"/>
                <w:szCs w:val="16"/>
              </w:rPr>
              <w:t>Mzdy 12/2022, vyúčtováno v 1/2023.</w:t>
            </w:r>
          </w:p>
        </w:tc>
      </w:tr>
      <w:tr w:rsidR="0093272C" w:rsidTr="0093272C">
        <w:trPr>
          <w:trHeight w:val="224"/>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93272C" w:rsidRDefault="0093272C">
            <w:pPr>
              <w:rPr>
                <w:rFonts w:ascii="Calibri" w:hAnsi="Calibri" w:cs="Calibri"/>
                <w:sz w:val="16"/>
                <w:szCs w:val="16"/>
              </w:rPr>
            </w:pPr>
            <w:r>
              <w:rPr>
                <w:rFonts w:ascii="Calibri" w:hAnsi="Calibri" w:cs="Calibri"/>
                <w:sz w:val="16"/>
                <w:szCs w:val="16"/>
              </w:rPr>
              <w:t>Daň z přidané hodnoty</w:t>
            </w:r>
          </w:p>
        </w:tc>
        <w:tc>
          <w:tcPr>
            <w:tcW w:w="567" w:type="dxa"/>
            <w:tcBorders>
              <w:top w:val="nil"/>
              <w:left w:val="nil"/>
              <w:bottom w:val="single" w:sz="4" w:space="0" w:color="auto"/>
              <w:right w:val="single" w:sz="4" w:space="0" w:color="auto"/>
            </w:tcBorders>
            <w:shd w:val="clear" w:color="auto" w:fill="auto"/>
            <w:noWrap/>
            <w:vAlign w:val="center"/>
            <w:hideMark/>
          </w:tcPr>
          <w:p w:rsidR="0093272C" w:rsidRDefault="0093272C">
            <w:pPr>
              <w:jc w:val="center"/>
              <w:rPr>
                <w:rFonts w:ascii="Calibri" w:hAnsi="Calibri" w:cs="Calibri"/>
                <w:sz w:val="16"/>
                <w:szCs w:val="16"/>
              </w:rPr>
            </w:pPr>
            <w:r>
              <w:rPr>
                <w:rFonts w:ascii="Calibri" w:hAnsi="Calibri" w:cs="Calibri"/>
                <w:sz w:val="16"/>
                <w:szCs w:val="16"/>
              </w:rPr>
              <w:t>343</w:t>
            </w:r>
          </w:p>
        </w:tc>
        <w:tc>
          <w:tcPr>
            <w:tcW w:w="1276" w:type="dxa"/>
            <w:tcBorders>
              <w:top w:val="nil"/>
              <w:left w:val="nil"/>
              <w:bottom w:val="single" w:sz="4" w:space="0" w:color="auto"/>
              <w:right w:val="single" w:sz="4" w:space="0" w:color="auto"/>
            </w:tcBorders>
            <w:shd w:val="clear" w:color="auto" w:fill="auto"/>
            <w:noWrap/>
            <w:vAlign w:val="center"/>
            <w:hideMark/>
          </w:tcPr>
          <w:p w:rsidR="0093272C" w:rsidRDefault="0093272C">
            <w:pPr>
              <w:jc w:val="right"/>
              <w:rPr>
                <w:rFonts w:ascii="Calibri" w:hAnsi="Calibri" w:cs="Calibri"/>
                <w:sz w:val="16"/>
                <w:szCs w:val="16"/>
              </w:rPr>
            </w:pPr>
            <w:r>
              <w:rPr>
                <w:rFonts w:ascii="Calibri" w:hAnsi="Calibri" w:cs="Calibri"/>
                <w:sz w:val="16"/>
                <w:szCs w:val="16"/>
              </w:rPr>
              <w:t>600 204,88</w:t>
            </w:r>
          </w:p>
        </w:tc>
        <w:tc>
          <w:tcPr>
            <w:tcW w:w="5786" w:type="dxa"/>
            <w:tcBorders>
              <w:top w:val="nil"/>
              <w:left w:val="nil"/>
              <w:bottom w:val="single" w:sz="4" w:space="0" w:color="auto"/>
              <w:right w:val="single" w:sz="4" w:space="0" w:color="auto"/>
            </w:tcBorders>
            <w:shd w:val="clear" w:color="auto" w:fill="auto"/>
            <w:vAlign w:val="center"/>
            <w:hideMark/>
          </w:tcPr>
          <w:p w:rsidR="0093272C" w:rsidRPr="0093272C" w:rsidRDefault="0093272C">
            <w:pPr>
              <w:rPr>
                <w:rFonts w:ascii="Calibri" w:hAnsi="Calibri" w:cs="Calibri"/>
                <w:sz w:val="16"/>
                <w:szCs w:val="16"/>
              </w:rPr>
            </w:pPr>
            <w:r w:rsidRPr="0093272C">
              <w:rPr>
                <w:rFonts w:ascii="Calibri" w:hAnsi="Calibri" w:cs="Calibri"/>
                <w:sz w:val="16"/>
                <w:szCs w:val="16"/>
              </w:rPr>
              <w:t>Daň z přidané hodnoty za prosinec 2022 odvedená v lednu 2023.</w:t>
            </w:r>
          </w:p>
        </w:tc>
      </w:tr>
      <w:tr w:rsidR="0093272C" w:rsidTr="0093272C">
        <w:trPr>
          <w:trHeight w:val="224"/>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93272C" w:rsidRDefault="0093272C">
            <w:pPr>
              <w:rPr>
                <w:rFonts w:ascii="Calibri" w:hAnsi="Calibri" w:cs="Calibri"/>
                <w:sz w:val="16"/>
                <w:szCs w:val="16"/>
              </w:rPr>
            </w:pPr>
            <w:r>
              <w:rPr>
                <w:rFonts w:ascii="Calibri" w:hAnsi="Calibri" w:cs="Calibri"/>
                <w:sz w:val="16"/>
                <w:szCs w:val="16"/>
              </w:rPr>
              <w:t>Krátkodobé přijaté zálohy na transfery</w:t>
            </w:r>
          </w:p>
        </w:tc>
        <w:tc>
          <w:tcPr>
            <w:tcW w:w="567" w:type="dxa"/>
            <w:tcBorders>
              <w:top w:val="nil"/>
              <w:left w:val="nil"/>
              <w:bottom w:val="single" w:sz="4" w:space="0" w:color="auto"/>
              <w:right w:val="single" w:sz="4" w:space="0" w:color="auto"/>
            </w:tcBorders>
            <w:shd w:val="clear" w:color="auto" w:fill="auto"/>
            <w:noWrap/>
            <w:vAlign w:val="center"/>
            <w:hideMark/>
          </w:tcPr>
          <w:p w:rsidR="0093272C" w:rsidRDefault="0093272C">
            <w:pPr>
              <w:jc w:val="center"/>
              <w:rPr>
                <w:rFonts w:ascii="Calibri" w:hAnsi="Calibri" w:cs="Calibri"/>
                <w:sz w:val="16"/>
                <w:szCs w:val="16"/>
              </w:rPr>
            </w:pPr>
            <w:r>
              <w:rPr>
                <w:rFonts w:ascii="Calibri" w:hAnsi="Calibri" w:cs="Calibri"/>
                <w:sz w:val="16"/>
                <w:szCs w:val="16"/>
              </w:rPr>
              <w:t>374</w:t>
            </w:r>
          </w:p>
        </w:tc>
        <w:tc>
          <w:tcPr>
            <w:tcW w:w="1276" w:type="dxa"/>
            <w:tcBorders>
              <w:top w:val="nil"/>
              <w:left w:val="nil"/>
              <w:bottom w:val="single" w:sz="4" w:space="0" w:color="auto"/>
              <w:right w:val="single" w:sz="4" w:space="0" w:color="auto"/>
            </w:tcBorders>
            <w:shd w:val="clear" w:color="auto" w:fill="auto"/>
            <w:noWrap/>
            <w:vAlign w:val="center"/>
            <w:hideMark/>
          </w:tcPr>
          <w:p w:rsidR="0093272C" w:rsidRDefault="0093272C">
            <w:pPr>
              <w:jc w:val="right"/>
              <w:rPr>
                <w:rFonts w:ascii="Calibri" w:hAnsi="Calibri" w:cs="Calibri"/>
                <w:sz w:val="16"/>
                <w:szCs w:val="16"/>
              </w:rPr>
            </w:pPr>
            <w:r>
              <w:rPr>
                <w:rFonts w:ascii="Calibri" w:hAnsi="Calibri" w:cs="Calibri"/>
                <w:sz w:val="16"/>
                <w:szCs w:val="16"/>
              </w:rPr>
              <w:t>10 685 845,06</w:t>
            </w:r>
          </w:p>
        </w:tc>
        <w:tc>
          <w:tcPr>
            <w:tcW w:w="5786" w:type="dxa"/>
            <w:tcBorders>
              <w:top w:val="nil"/>
              <w:left w:val="nil"/>
              <w:bottom w:val="single" w:sz="4" w:space="0" w:color="auto"/>
              <w:right w:val="single" w:sz="4" w:space="0" w:color="auto"/>
            </w:tcBorders>
            <w:shd w:val="clear" w:color="auto" w:fill="auto"/>
            <w:noWrap/>
            <w:vAlign w:val="center"/>
            <w:hideMark/>
          </w:tcPr>
          <w:p w:rsidR="0093272C" w:rsidRPr="0093272C" w:rsidRDefault="0093272C">
            <w:pPr>
              <w:jc w:val="both"/>
              <w:rPr>
                <w:rFonts w:ascii="Calibri" w:hAnsi="Calibri" w:cs="Calibri"/>
                <w:sz w:val="16"/>
                <w:szCs w:val="16"/>
              </w:rPr>
            </w:pPr>
            <w:r w:rsidRPr="0093272C">
              <w:rPr>
                <w:rFonts w:ascii="Calibri" w:hAnsi="Calibri" w:cs="Calibri"/>
                <w:sz w:val="16"/>
                <w:szCs w:val="16"/>
              </w:rPr>
              <w:t>Nevyúčtované přijaté dotace k 31. 12. 2022. Transfery budou vyúčtovány v průběhu roku 2023.</w:t>
            </w:r>
          </w:p>
        </w:tc>
      </w:tr>
      <w:tr w:rsidR="0093272C" w:rsidTr="0093272C">
        <w:trPr>
          <w:trHeight w:val="224"/>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93272C" w:rsidRDefault="0093272C">
            <w:pPr>
              <w:rPr>
                <w:rFonts w:ascii="Calibri" w:hAnsi="Calibri" w:cs="Calibri"/>
                <w:sz w:val="16"/>
                <w:szCs w:val="16"/>
              </w:rPr>
            </w:pPr>
            <w:r>
              <w:rPr>
                <w:rFonts w:ascii="Calibri" w:hAnsi="Calibri" w:cs="Calibri"/>
                <w:sz w:val="16"/>
                <w:szCs w:val="16"/>
              </w:rPr>
              <w:t>Výdaje příštích období</w:t>
            </w:r>
          </w:p>
        </w:tc>
        <w:tc>
          <w:tcPr>
            <w:tcW w:w="567" w:type="dxa"/>
            <w:tcBorders>
              <w:top w:val="nil"/>
              <w:left w:val="nil"/>
              <w:bottom w:val="single" w:sz="4" w:space="0" w:color="auto"/>
              <w:right w:val="single" w:sz="4" w:space="0" w:color="auto"/>
            </w:tcBorders>
            <w:shd w:val="clear" w:color="auto" w:fill="auto"/>
            <w:noWrap/>
            <w:vAlign w:val="center"/>
            <w:hideMark/>
          </w:tcPr>
          <w:p w:rsidR="0093272C" w:rsidRDefault="0093272C">
            <w:pPr>
              <w:jc w:val="center"/>
              <w:rPr>
                <w:rFonts w:ascii="Calibri" w:hAnsi="Calibri" w:cs="Calibri"/>
                <w:sz w:val="16"/>
                <w:szCs w:val="16"/>
              </w:rPr>
            </w:pPr>
            <w:r>
              <w:rPr>
                <w:rFonts w:ascii="Calibri" w:hAnsi="Calibri" w:cs="Calibri"/>
                <w:sz w:val="16"/>
                <w:szCs w:val="16"/>
              </w:rPr>
              <w:t>383</w:t>
            </w:r>
          </w:p>
        </w:tc>
        <w:tc>
          <w:tcPr>
            <w:tcW w:w="1276" w:type="dxa"/>
            <w:tcBorders>
              <w:top w:val="nil"/>
              <w:left w:val="nil"/>
              <w:bottom w:val="single" w:sz="4" w:space="0" w:color="auto"/>
              <w:right w:val="single" w:sz="4" w:space="0" w:color="auto"/>
            </w:tcBorders>
            <w:shd w:val="clear" w:color="auto" w:fill="auto"/>
            <w:noWrap/>
            <w:vAlign w:val="center"/>
            <w:hideMark/>
          </w:tcPr>
          <w:p w:rsidR="0093272C" w:rsidRDefault="0093272C">
            <w:pPr>
              <w:jc w:val="right"/>
              <w:rPr>
                <w:rFonts w:ascii="Calibri" w:hAnsi="Calibri" w:cs="Calibri"/>
                <w:sz w:val="16"/>
                <w:szCs w:val="16"/>
              </w:rPr>
            </w:pPr>
            <w:r>
              <w:rPr>
                <w:rFonts w:ascii="Calibri" w:hAnsi="Calibri" w:cs="Calibri"/>
                <w:sz w:val="16"/>
                <w:szCs w:val="16"/>
              </w:rPr>
              <w:t>6 875 356,03</w:t>
            </w:r>
          </w:p>
        </w:tc>
        <w:tc>
          <w:tcPr>
            <w:tcW w:w="5786" w:type="dxa"/>
            <w:tcBorders>
              <w:top w:val="nil"/>
              <w:left w:val="nil"/>
              <w:bottom w:val="single" w:sz="4" w:space="0" w:color="auto"/>
              <w:right w:val="single" w:sz="4" w:space="0" w:color="auto"/>
            </w:tcBorders>
            <w:shd w:val="clear" w:color="auto" w:fill="auto"/>
            <w:noWrap/>
            <w:vAlign w:val="center"/>
            <w:hideMark/>
          </w:tcPr>
          <w:p w:rsidR="0093272C" w:rsidRPr="0093272C" w:rsidRDefault="0093272C">
            <w:pPr>
              <w:jc w:val="both"/>
              <w:rPr>
                <w:rFonts w:ascii="Calibri" w:hAnsi="Calibri" w:cs="Calibri"/>
                <w:sz w:val="16"/>
                <w:szCs w:val="16"/>
              </w:rPr>
            </w:pPr>
            <w:r w:rsidRPr="0093272C">
              <w:rPr>
                <w:rFonts w:ascii="Calibri" w:hAnsi="Calibri" w:cs="Calibri"/>
                <w:sz w:val="16"/>
                <w:szCs w:val="16"/>
              </w:rPr>
              <w:t>V běžném období náklad roku 2022, výdaj v období leden 2023.</w:t>
            </w:r>
          </w:p>
        </w:tc>
      </w:tr>
      <w:tr w:rsidR="0093272C" w:rsidTr="0093272C">
        <w:trPr>
          <w:trHeight w:val="224"/>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93272C" w:rsidRDefault="0093272C">
            <w:pPr>
              <w:rPr>
                <w:rFonts w:ascii="Calibri" w:hAnsi="Calibri" w:cs="Calibri"/>
                <w:sz w:val="16"/>
                <w:szCs w:val="16"/>
              </w:rPr>
            </w:pPr>
            <w:r>
              <w:rPr>
                <w:rFonts w:ascii="Calibri" w:hAnsi="Calibri" w:cs="Calibri"/>
                <w:sz w:val="16"/>
                <w:szCs w:val="16"/>
              </w:rPr>
              <w:t>Výnosy příštích období</w:t>
            </w:r>
          </w:p>
        </w:tc>
        <w:tc>
          <w:tcPr>
            <w:tcW w:w="567" w:type="dxa"/>
            <w:tcBorders>
              <w:top w:val="nil"/>
              <w:left w:val="nil"/>
              <w:bottom w:val="single" w:sz="4" w:space="0" w:color="auto"/>
              <w:right w:val="single" w:sz="4" w:space="0" w:color="auto"/>
            </w:tcBorders>
            <w:shd w:val="clear" w:color="auto" w:fill="auto"/>
            <w:noWrap/>
            <w:vAlign w:val="center"/>
            <w:hideMark/>
          </w:tcPr>
          <w:p w:rsidR="0093272C" w:rsidRDefault="0093272C">
            <w:pPr>
              <w:jc w:val="center"/>
              <w:rPr>
                <w:rFonts w:ascii="Calibri" w:hAnsi="Calibri" w:cs="Calibri"/>
                <w:sz w:val="16"/>
                <w:szCs w:val="16"/>
              </w:rPr>
            </w:pPr>
            <w:r>
              <w:rPr>
                <w:rFonts w:ascii="Calibri" w:hAnsi="Calibri" w:cs="Calibri"/>
                <w:sz w:val="16"/>
                <w:szCs w:val="16"/>
              </w:rPr>
              <w:t>384</w:t>
            </w:r>
          </w:p>
        </w:tc>
        <w:tc>
          <w:tcPr>
            <w:tcW w:w="1276" w:type="dxa"/>
            <w:tcBorders>
              <w:top w:val="nil"/>
              <w:left w:val="nil"/>
              <w:bottom w:val="single" w:sz="4" w:space="0" w:color="auto"/>
              <w:right w:val="single" w:sz="4" w:space="0" w:color="auto"/>
            </w:tcBorders>
            <w:shd w:val="clear" w:color="auto" w:fill="auto"/>
            <w:noWrap/>
            <w:vAlign w:val="center"/>
            <w:hideMark/>
          </w:tcPr>
          <w:p w:rsidR="0093272C" w:rsidRDefault="0093272C">
            <w:pPr>
              <w:jc w:val="right"/>
              <w:rPr>
                <w:rFonts w:ascii="Calibri" w:hAnsi="Calibri" w:cs="Calibri"/>
                <w:sz w:val="16"/>
                <w:szCs w:val="16"/>
              </w:rPr>
            </w:pPr>
            <w:r>
              <w:rPr>
                <w:rFonts w:ascii="Calibri" w:hAnsi="Calibri" w:cs="Calibri"/>
                <w:sz w:val="16"/>
                <w:szCs w:val="16"/>
              </w:rPr>
              <w:t>2 457 869,30</w:t>
            </w:r>
          </w:p>
        </w:tc>
        <w:tc>
          <w:tcPr>
            <w:tcW w:w="5786" w:type="dxa"/>
            <w:tcBorders>
              <w:top w:val="nil"/>
              <w:left w:val="nil"/>
              <w:bottom w:val="single" w:sz="4" w:space="0" w:color="auto"/>
              <w:right w:val="single" w:sz="4" w:space="0" w:color="auto"/>
            </w:tcBorders>
            <w:shd w:val="clear" w:color="auto" w:fill="auto"/>
            <w:noWrap/>
            <w:vAlign w:val="center"/>
            <w:hideMark/>
          </w:tcPr>
          <w:p w:rsidR="0093272C" w:rsidRPr="0093272C" w:rsidRDefault="0093272C">
            <w:pPr>
              <w:rPr>
                <w:rFonts w:ascii="Calibri" w:hAnsi="Calibri" w:cs="Calibri"/>
                <w:sz w:val="16"/>
                <w:szCs w:val="16"/>
              </w:rPr>
            </w:pPr>
            <w:r w:rsidRPr="0093272C">
              <w:rPr>
                <w:rFonts w:ascii="Calibri" w:hAnsi="Calibri" w:cs="Calibri"/>
                <w:sz w:val="16"/>
                <w:szCs w:val="16"/>
              </w:rPr>
              <w:t>Výnosy budou průběžně proúčtovány v I. pololetí roku 2023.</w:t>
            </w:r>
          </w:p>
        </w:tc>
      </w:tr>
      <w:tr w:rsidR="0093272C" w:rsidTr="0093272C">
        <w:trPr>
          <w:trHeight w:val="449"/>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93272C" w:rsidRDefault="0093272C">
            <w:pPr>
              <w:rPr>
                <w:rFonts w:ascii="Calibri" w:hAnsi="Calibri" w:cs="Calibri"/>
                <w:sz w:val="16"/>
                <w:szCs w:val="16"/>
              </w:rPr>
            </w:pPr>
            <w:r>
              <w:rPr>
                <w:rFonts w:ascii="Calibri" w:hAnsi="Calibri" w:cs="Calibri"/>
                <w:sz w:val="16"/>
                <w:szCs w:val="16"/>
              </w:rPr>
              <w:t>Dohadné účty pasivní</w:t>
            </w:r>
          </w:p>
        </w:tc>
        <w:tc>
          <w:tcPr>
            <w:tcW w:w="567" w:type="dxa"/>
            <w:tcBorders>
              <w:top w:val="nil"/>
              <w:left w:val="nil"/>
              <w:bottom w:val="single" w:sz="4" w:space="0" w:color="auto"/>
              <w:right w:val="single" w:sz="4" w:space="0" w:color="auto"/>
            </w:tcBorders>
            <w:shd w:val="clear" w:color="auto" w:fill="auto"/>
            <w:noWrap/>
            <w:vAlign w:val="center"/>
            <w:hideMark/>
          </w:tcPr>
          <w:p w:rsidR="0093272C" w:rsidRDefault="0093272C">
            <w:pPr>
              <w:jc w:val="center"/>
              <w:rPr>
                <w:rFonts w:ascii="Calibri" w:hAnsi="Calibri" w:cs="Calibri"/>
                <w:sz w:val="16"/>
                <w:szCs w:val="16"/>
              </w:rPr>
            </w:pPr>
            <w:r>
              <w:rPr>
                <w:rFonts w:ascii="Calibri" w:hAnsi="Calibri" w:cs="Calibri"/>
                <w:sz w:val="16"/>
                <w:szCs w:val="16"/>
              </w:rPr>
              <w:t>389</w:t>
            </w:r>
          </w:p>
        </w:tc>
        <w:tc>
          <w:tcPr>
            <w:tcW w:w="1276" w:type="dxa"/>
            <w:tcBorders>
              <w:top w:val="nil"/>
              <w:left w:val="nil"/>
              <w:bottom w:val="single" w:sz="4" w:space="0" w:color="auto"/>
              <w:right w:val="single" w:sz="4" w:space="0" w:color="auto"/>
            </w:tcBorders>
            <w:shd w:val="clear" w:color="auto" w:fill="auto"/>
            <w:noWrap/>
            <w:vAlign w:val="center"/>
            <w:hideMark/>
          </w:tcPr>
          <w:p w:rsidR="0093272C" w:rsidRDefault="0093272C">
            <w:pPr>
              <w:jc w:val="right"/>
              <w:rPr>
                <w:rFonts w:ascii="Calibri" w:hAnsi="Calibri" w:cs="Calibri"/>
                <w:sz w:val="16"/>
                <w:szCs w:val="16"/>
              </w:rPr>
            </w:pPr>
            <w:r>
              <w:rPr>
                <w:rFonts w:ascii="Calibri" w:hAnsi="Calibri" w:cs="Calibri"/>
                <w:sz w:val="16"/>
                <w:szCs w:val="16"/>
              </w:rPr>
              <w:t>119 392 347,00</w:t>
            </w:r>
          </w:p>
        </w:tc>
        <w:tc>
          <w:tcPr>
            <w:tcW w:w="5786" w:type="dxa"/>
            <w:tcBorders>
              <w:top w:val="nil"/>
              <w:left w:val="nil"/>
              <w:bottom w:val="single" w:sz="4" w:space="0" w:color="auto"/>
              <w:right w:val="single" w:sz="4" w:space="0" w:color="auto"/>
            </w:tcBorders>
            <w:shd w:val="clear" w:color="auto" w:fill="auto"/>
            <w:noWrap/>
            <w:vAlign w:val="center"/>
            <w:hideMark/>
          </w:tcPr>
          <w:p w:rsidR="0093272C" w:rsidRPr="0093272C" w:rsidRDefault="0093272C">
            <w:pPr>
              <w:jc w:val="both"/>
              <w:rPr>
                <w:rFonts w:ascii="Calibri" w:hAnsi="Calibri" w:cs="Calibri"/>
                <w:sz w:val="16"/>
                <w:szCs w:val="16"/>
              </w:rPr>
            </w:pPr>
            <w:r w:rsidRPr="0093272C">
              <w:rPr>
                <w:rFonts w:ascii="Calibri" w:hAnsi="Calibri" w:cs="Calibri"/>
                <w:sz w:val="16"/>
                <w:szCs w:val="16"/>
              </w:rPr>
              <w:t>Proúčtování výdajových dokladů poskytnutých v roce 2022, které v tomto roce nebyly vyúčtovány (poskytnutých záloh, poskytnutých veřejných podpor). Nákladově proúčtováno do roku 2022. Bude proúčtováno v I. pololetí 2023.</w:t>
            </w:r>
          </w:p>
        </w:tc>
      </w:tr>
      <w:tr w:rsidR="0093272C" w:rsidTr="0093272C">
        <w:trPr>
          <w:trHeight w:val="224"/>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93272C" w:rsidRDefault="0093272C">
            <w:pPr>
              <w:rPr>
                <w:rFonts w:ascii="Calibri" w:hAnsi="Calibri" w:cs="Calibri"/>
                <w:sz w:val="16"/>
                <w:szCs w:val="16"/>
              </w:rPr>
            </w:pPr>
            <w:r>
              <w:rPr>
                <w:rFonts w:ascii="Calibri" w:hAnsi="Calibri" w:cs="Calibri"/>
                <w:sz w:val="16"/>
                <w:szCs w:val="16"/>
              </w:rPr>
              <w:t>Ostatní krátkodobé závazky</w:t>
            </w:r>
          </w:p>
        </w:tc>
        <w:tc>
          <w:tcPr>
            <w:tcW w:w="567" w:type="dxa"/>
            <w:tcBorders>
              <w:top w:val="nil"/>
              <w:left w:val="nil"/>
              <w:bottom w:val="single" w:sz="4" w:space="0" w:color="auto"/>
              <w:right w:val="single" w:sz="4" w:space="0" w:color="auto"/>
            </w:tcBorders>
            <w:shd w:val="clear" w:color="auto" w:fill="auto"/>
            <w:noWrap/>
            <w:vAlign w:val="center"/>
            <w:hideMark/>
          </w:tcPr>
          <w:p w:rsidR="0093272C" w:rsidRDefault="0093272C">
            <w:pPr>
              <w:jc w:val="center"/>
              <w:rPr>
                <w:rFonts w:ascii="Calibri" w:hAnsi="Calibri" w:cs="Calibri"/>
                <w:sz w:val="16"/>
                <w:szCs w:val="16"/>
              </w:rPr>
            </w:pPr>
            <w:r>
              <w:rPr>
                <w:rFonts w:ascii="Calibri" w:hAnsi="Calibri" w:cs="Calibri"/>
                <w:sz w:val="16"/>
                <w:szCs w:val="16"/>
              </w:rPr>
              <w:t>378</w:t>
            </w:r>
          </w:p>
        </w:tc>
        <w:tc>
          <w:tcPr>
            <w:tcW w:w="1276" w:type="dxa"/>
            <w:tcBorders>
              <w:top w:val="nil"/>
              <w:left w:val="nil"/>
              <w:bottom w:val="single" w:sz="4" w:space="0" w:color="auto"/>
              <w:right w:val="single" w:sz="4" w:space="0" w:color="auto"/>
            </w:tcBorders>
            <w:shd w:val="clear" w:color="auto" w:fill="auto"/>
            <w:noWrap/>
            <w:vAlign w:val="center"/>
            <w:hideMark/>
          </w:tcPr>
          <w:p w:rsidR="0093272C" w:rsidRDefault="0093272C">
            <w:pPr>
              <w:jc w:val="right"/>
              <w:rPr>
                <w:rFonts w:ascii="Calibri" w:hAnsi="Calibri" w:cs="Calibri"/>
                <w:sz w:val="16"/>
                <w:szCs w:val="16"/>
              </w:rPr>
            </w:pPr>
            <w:r>
              <w:rPr>
                <w:rFonts w:ascii="Calibri" w:hAnsi="Calibri" w:cs="Calibri"/>
                <w:sz w:val="16"/>
                <w:szCs w:val="16"/>
              </w:rPr>
              <w:t>8 045 346,83</w:t>
            </w:r>
          </w:p>
        </w:tc>
        <w:tc>
          <w:tcPr>
            <w:tcW w:w="5786" w:type="dxa"/>
            <w:tcBorders>
              <w:top w:val="nil"/>
              <w:left w:val="nil"/>
              <w:bottom w:val="single" w:sz="4" w:space="0" w:color="auto"/>
              <w:right w:val="single" w:sz="4" w:space="0" w:color="auto"/>
            </w:tcBorders>
            <w:shd w:val="clear" w:color="auto" w:fill="auto"/>
            <w:noWrap/>
            <w:vAlign w:val="center"/>
            <w:hideMark/>
          </w:tcPr>
          <w:p w:rsidR="0093272C" w:rsidRPr="0093272C" w:rsidRDefault="0093272C" w:rsidP="0093272C">
            <w:pPr>
              <w:jc w:val="both"/>
              <w:rPr>
                <w:rFonts w:ascii="Calibri" w:hAnsi="Calibri" w:cs="Calibri"/>
                <w:sz w:val="16"/>
                <w:szCs w:val="16"/>
              </w:rPr>
            </w:pPr>
            <w:r w:rsidRPr="0093272C">
              <w:rPr>
                <w:rFonts w:ascii="Calibri" w:hAnsi="Calibri" w:cs="Calibri"/>
                <w:sz w:val="16"/>
                <w:szCs w:val="16"/>
              </w:rPr>
              <w:t xml:space="preserve">Nesvéprávní klienti, </w:t>
            </w:r>
            <w:r>
              <w:rPr>
                <w:rFonts w:ascii="Calibri" w:hAnsi="Calibri" w:cs="Calibri"/>
                <w:sz w:val="16"/>
                <w:szCs w:val="16"/>
              </w:rPr>
              <w:t>s</w:t>
            </w:r>
            <w:r w:rsidRPr="0093272C">
              <w:rPr>
                <w:rFonts w:ascii="Calibri" w:hAnsi="Calibri" w:cs="Calibri"/>
                <w:sz w:val="16"/>
                <w:szCs w:val="16"/>
              </w:rPr>
              <w:t>ložené</w:t>
            </w:r>
            <w:r>
              <w:rPr>
                <w:rFonts w:ascii="Calibri" w:hAnsi="Calibri" w:cs="Calibri"/>
                <w:sz w:val="16"/>
                <w:szCs w:val="16"/>
              </w:rPr>
              <w:t xml:space="preserve"> jistiny - krátkodobé do 1 roku.</w:t>
            </w:r>
          </w:p>
        </w:tc>
      </w:tr>
      <w:tr w:rsidR="0093272C" w:rsidTr="0093272C">
        <w:trPr>
          <w:trHeight w:val="224"/>
        </w:trPr>
        <w:tc>
          <w:tcPr>
            <w:tcW w:w="2405" w:type="dxa"/>
            <w:gridSpan w:val="2"/>
            <w:tcBorders>
              <w:top w:val="single" w:sz="4" w:space="0" w:color="auto"/>
              <w:left w:val="single" w:sz="4" w:space="0" w:color="auto"/>
              <w:bottom w:val="single" w:sz="4" w:space="0" w:color="auto"/>
              <w:right w:val="single" w:sz="4" w:space="0" w:color="000000"/>
            </w:tcBorders>
            <w:shd w:val="clear" w:color="000000" w:fill="FFE699"/>
            <w:noWrap/>
            <w:vAlign w:val="center"/>
            <w:hideMark/>
          </w:tcPr>
          <w:p w:rsidR="0093272C" w:rsidRDefault="0093272C">
            <w:pPr>
              <w:rPr>
                <w:rFonts w:ascii="Calibri" w:hAnsi="Calibri" w:cs="Calibri"/>
                <w:b/>
                <w:bCs/>
                <w:sz w:val="16"/>
                <w:szCs w:val="16"/>
              </w:rPr>
            </w:pPr>
            <w:r>
              <w:rPr>
                <w:rFonts w:ascii="Calibri" w:hAnsi="Calibri" w:cs="Calibri"/>
                <w:b/>
                <w:bCs/>
                <w:sz w:val="16"/>
                <w:szCs w:val="16"/>
              </w:rPr>
              <w:t>Celkem závazky k 31. 12. 2022</w:t>
            </w:r>
          </w:p>
        </w:tc>
        <w:tc>
          <w:tcPr>
            <w:tcW w:w="1276" w:type="dxa"/>
            <w:tcBorders>
              <w:top w:val="nil"/>
              <w:left w:val="nil"/>
              <w:bottom w:val="single" w:sz="4" w:space="0" w:color="auto"/>
              <w:right w:val="single" w:sz="4" w:space="0" w:color="auto"/>
            </w:tcBorders>
            <w:shd w:val="clear" w:color="000000" w:fill="FFE699"/>
            <w:noWrap/>
            <w:vAlign w:val="center"/>
            <w:hideMark/>
          </w:tcPr>
          <w:p w:rsidR="0093272C" w:rsidRDefault="0093272C">
            <w:pPr>
              <w:jc w:val="right"/>
              <w:rPr>
                <w:rFonts w:ascii="Calibri" w:hAnsi="Calibri" w:cs="Calibri"/>
                <w:b/>
                <w:bCs/>
                <w:sz w:val="16"/>
                <w:szCs w:val="16"/>
              </w:rPr>
            </w:pPr>
            <w:r>
              <w:rPr>
                <w:rFonts w:ascii="Calibri" w:hAnsi="Calibri" w:cs="Calibri"/>
                <w:b/>
                <w:bCs/>
                <w:sz w:val="16"/>
                <w:szCs w:val="16"/>
              </w:rPr>
              <w:t>247 745 018,32</w:t>
            </w:r>
          </w:p>
        </w:tc>
        <w:tc>
          <w:tcPr>
            <w:tcW w:w="5786" w:type="dxa"/>
            <w:tcBorders>
              <w:top w:val="nil"/>
              <w:left w:val="nil"/>
              <w:bottom w:val="single" w:sz="4" w:space="0" w:color="auto"/>
              <w:right w:val="single" w:sz="4" w:space="0" w:color="auto"/>
            </w:tcBorders>
            <w:shd w:val="clear" w:color="000000" w:fill="000000"/>
            <w:noWrap/>
            <w:vAlign w:val="center"/>
            <w:hideMark/>
          </w:tcPr>
          <w:p w:rsidR="0093272C" w:rsidRDefault="0093272C">
            <w:pPr>
              <w:rPr>
                <w:rFonts w:ascii="Calibri" w:hAnsi="Calibri" w:cs="Calibri"/>
                <w:sz w:val="16"/>
                <w:szCs w:val="16"/>
              </w:rPr>
            </w:pPr>
            <w:r>
              <w:rPr>
                <w:rFonts w:ascii="Calibri" w:hAnsi="Calibri" w:cs="Calibri"/>
                <w:sz w:val="16"/>
                <w:szCs w:val="16"/>
              </w:rPr>
              <w:t> </w:t>
            </w:r>
          </w:p>
        </w:tc>
      </w:tr>
    </w:tbl>
    <w:p w:rsidR="0093272C" w:rsidRDefault="0093272C" w:rsidP="003840A7">
      <w:pPr>
        <w:spacing w:after="120"/>
        <w:rPr>
          <w:rFonts w:ascii="Calibri" w:hAnsi="Calibri" w:cs="Calibri"/>
          <w:b/>
          <w:bCs/>
          <w:iCs/>
          <w:noProof/>
          <w:sz w:val="28"/>
        </w:rPr>
      </w:pPr>
    </w:p>
    <w:p w:rsidR="0093272C" w:rsidRDefault="0093272C" w:rsidP="003840A7">
      <w:pPr>
        <w:spacing w:after="120"/>
        <w:rPr>
          <w:rFonts w:ascii="Calibri" w:hAnsi="Calibri" w:cs="Calibri"/>
          <w:b/>
          <w:bCs/>
          <w:iCs/>
          <w:noProof/>
          <w:sz w:val="28"/>
        </w:rPr>
      </w:pPr>
    </w:p>
    <w:p w:rsidR="00E62DA5" w:rsidRDefault="00E62DA5" w:rsidP="00CA6C24">
      <w:pPr>
        <w:pStyle w:val="Nadpis2"/>
      </w:pPr>
      <w:bookmarkStart w:id="57" w:name="_Toc39129545"/>
      <w:r w:rsidRPr="003D13D9">
        <w:t>Pohledávk</w:t>
      </w:r>
      <w:r w:rsidR="0042305F" w:rsidRPr="003D13D9">
        <w:t>y po lhůtě splatnosti k 31.</w:t>
      </w:r>
      <w:r w:rsidR="003D13D9" w:rsidRPr="003D13D9">
        <w:t xml:space="preserve"> </w:t>
      </w:r>
      <w:r w:rsidR="0042305F" w:rsidRPr="003D13D9">
        <w:t>12.</w:t>
      </w:r>
      <w:r w:rsidR="003D13D9" w:rsidRPr="003D13D9">
        <w:t xml:space="preserve"> </w:t>
      </w:r>
      <w:r w:rsidRPr="003D13D9">
        <w:t>20</w:t>
      </w:r>
      <w:bookmarkEnd w:id="57"/>
      <w:r w:rsidR="002E5612" w:rsidRPr="003D13D9">
        <w:t>2</w:t>
      </w:r>
      <w:r w:rsidR="0093272C">
        <w:t>2</w:t>
      </w:r>
    </w:p>
    <w:tbl>
      <w:tblPr>
        <w:tblW w:w="9493" w:type="dxa"/>
        <w:tblCellMar>
          <w:left w:w="70" w:type="dxa"/>
          <w:right w:w="70" w:type="dxa"/>
        </w:tblCellMar>
        <w:tblLook w:val="04A0" w:firstRow="1" w:lastRow="0" w:firstColumn="1" w:lastColumn="0" w:noHBand="0" w:noVBand="1"/>
      </w:tblPr>
      <w:tblGrid>
        <w:gridCol w:w="2405"/>
        <w:gridCol w:w="483"/>
        <w:gridCol w:w="1218"/>
        <w:gridCol w:w="5387"/>
      </w:tblGrid>
      <w:tr w:rsidR="0093272C" w:rsidTr="004B030B">
        <w:trPr>
          <w:trHeight w:val="301"/>
        </w:trPr>
        <w:tc>
          <w:tcPr>
            <w:tcW w:w="2405"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93272C" w:rsidRPr="004B030B" w:rsidRDefault="0093272C">
            <w:pPr>
              <w:jc w:val="center"/>
              <w:rPr>
                <w:rFonts w:asciiTheme="minorHAnsi" w:hAnsiTheme="minorHAnsi" w:cstheme="minorHAnsi"/>
                <w:b/>
                <w:bCs/>
                <w:sz w:val="16"/>
                <w:szCs w:val="16"/>
              </w:rPr>
            </w:pPr>
            <w:r w:rsidRPr="004B030B">
              <w:rPr>
                <w:rFonts w:asciiTheme="minorHAnsi" w:hAnsiTheme="minorHAnsi" w:cstheme="minorHAnsi"/>
                <w:b/>
                <w:bCs/>
                <w:sz w:val="16"/>
                <w:szCs w:val="16"/>
              </w:rPr>
              <w:t>Odbor</w:t>
            </w:r>
          </w:p>
        </w:tc>
        <w:tc>
          <w:tcPr>
            <w:tcW w:w="483" w:type="dxa"/>
            <w:tcBorders>
              <w:top w:val="single" w:sz="4" w:space="0" w:color="auto"/>
              <w:left w:val="nil"/>
              <w:bottom w:val="single" w:sz="4" w:space="0" w:color="auto"/>
              <w:right w:val="single" w:sz="4" w:space="0" w:color="auto"/>
            </w:tcBorders>
            <w:shd w:val="clear" w:color="000000" w:fill="FFE699"/>
            <w:vAlign w:val="center"/>
            <w:hideMark/>
          </w:tcPr>
          <w:p w:rsidR="0093272C" w:rsidRPr="004B030B" w:rsidRDefault="0093272C">
            <w:pPr>
              <w:jc w:val="center"/>
              <w:rPr>
                <w:rFonts w:asciiTheme="minorHAnsi" w:hAnsiTheme="minorHAnsi" w:cstheme="minorHAnsi"/>
                <w:b/>
                <w:bCs/>
                <w:sz w:val="16"/>
                <w:szCs w:val="16"/>
              </w:rPr>
            </w:pPr>
            <w:r w:rsidRPr="004B030B">
              <w:rPr>
                <w:rFonts w:asciiTheme="minorHAnsi" w:hAnsiTheme="minorHAnsi" w:cstheme="minorHAnsi"/>
                <w:b/>
                <w:bCs/>
                <w:sz w:val="16"/>
                <w:szCs w:val="16"/>
              </w:rPr>
              <w:t>Kap.</w:t>
            </w:r>
          </w:p>
        </w:tc>
        <w:tc>
          <w:tcPr>
            <w:tcW w:w="1218" w:type="dxa"/>
            <w:tcBorders>
              <w:top w:val="single" w:sz="4" w:space="0" w:color="auto"/>
              <w:left w:val="nil"/>
              <w:bottom w:val="single" w:sz="4" w:space="0" w:color="auto"/>
              <w:right w:val="single" w:sz="4" w:space="0" w:color="auto"/>
            </w:tcBorders>
            <w:shd w:val="clear" w:color="000000" w:fill="FFE699"/>
            <w:noWrap/>
            <w:vAlign w:val="center"/>
            <w:hideMark/>
          </w:tcPr>
          <w:p w:rsidR="0093272C" w:rsidRPr="004B030B" w:rsidRDefault="0093272C">
            <w:pPr>
              <w:jc w:val="center"/>
              <w:rPr>
                <w:rFonts w:asciiTheme="minorHAnsi" w:hAnsiTheme="minorHAnsi" w:cstheme="minorHAnsi"/>
                <w:b/>
                <w:bCs/>
                <w:sz w:val="16"/>
                <w:szCs w:val="16"/>
              </w:rPr>
            </w:pPr>
            <w:r w:rsidRPr="004B030B">
              <w:rPr>
                <w:rFonts w:asciiTheme="minorHAnsi" w:hAnsiTheme="minorHAnsi" w:cstheme="minorHAnsi"/>
                <w:b/>
                <w:bCs/>
                <w:sz w:val="16"/>
                <w:szCs w:val="16"/>
              </w:rPr>
              <w:t>Částka v  Kč</w:t>
            </w:r>
          </w:p>
        </w:tc>
        <w:tc>
          <w:tcPr>
            <w:tcW w:w="5387" w:type="dxa"/>
            <w:tcBorders>
              <w:top w:val="single" w:sz="4" w:space="0" w:color="auto"/>
              <w:left w:val="nil"/>
              <w:bottom w:val="single" w:sz="4" w:space="0" w:color="auto"/>
              <w:right w:val="single" w:sz="4" w:space="0" w:color="auto"/>
            </w:tcBorders>
            <w:shd w:val="clear" w:color="000000" w:fill="FFE699"/>
            <w:noWrap/>
            <w:vAlign w:val="center"/>
            <w:hideMark/>
          </w:tcPr>
          <w:p w:rsidR="0093272C" w:rsidRPr="004B030B" w:rsidRDefault="0093272C">
            <w:pPr>
              <w:jc w:val="center"/>
              <w:rPr>
                <w:rFonts w:asciiTheme="minorHAnsi" w:hAnsiTheme="minorHAnsi" w:cstheme="minorHAnsi"/>
                <w:b/>
                <w:bCs/>
                <w:sz w:val="16"/>
                <w:szCs w:val="16"/>
              </w:rPr>
            </w:pPr>
            <w:r w:rsidRPr="004B030B">
              <w:rPr>
                <w:rFonts w:asciiTheme="minorHAnsi" w:hAnsiTheme="minorHAnsi" w:cstheme="minorHAnsi"/>
                <w:b/>
                <w:bCs/>
                <w:sz w:val="16"/>
                <w:szCs w:val="16"/>
              </w:rPr>
              <w:t>Poznámka</w:t>
            </w:r>
          </w:p>
        </w:tc>
      </w:tr>
      <w:tr w:rsidR="0093272C" w:rsidTr="004B030B">
        <w:trPr>
          <w:trHeight w:val="853"/>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93272C" w:rsidRPr="004B030B" w:rsidRDefault="0093272C">
            <w:pPr>
              <w:rPr>
                <w:rFonts w:asciiTheme="minorHAnsi" w:hAnsiTheme="minorHAnsi" w:cstheme="minorHAnsi"/>
                <w:sz w:val="16"/>
                <w:szCs w:val="16"/>
              </w:rPr>
            </w:pPr>
            <w:r w:rsidRPr="004B030B">
              <w:rPr>
                <w:rFonts w:asciiTheme="minorHAnsi" w:hAnsiTheme="minorHAnsi" w:cstheme="minorHAnsi"/>
                <w:sz w:val="16"/>
                <w:szCs w:val="16"/>
              </w:rPr>
              <w:t>Městská policie</w:t>
            </w:r>
          </w:p>
        </w:tc>
        <w:tc>
          <w:tcPr>
            <w:tcW w:w="483" w:type="dxa"/>
            <w:tcBorders>
              <w:top w:val="nil"/>
              <w:left w:val="nil"/>
              <w:bottom w:val="single" w:sz="4" w:space="0" w:color="auto"/>
              <w:right w:val="single" w:sz="4" w:space="0" w:color="auto"/>
            </w:tcBorders>
            <w:shd w:val="clear" w:color="auto" w:fill="auto"/>
            <w:noWrap/>
            <w:vAlign w:val="center"/>
            <w:hideMark/>
          </w:tcPr>
          <w:p w:rsidR="0093272C" w:rsidRPr="004B030B" w:rsidRDefault="0093272C">
            <w:pPr>
              <w:jc w:val="center"/>
              <w:rPr>
                <w:rFonts w:asciiTheme="minorHAnsi" w:hAnsiTheme="minorHAnsi" w:cstheme="minorHAnsi"/>
                <w:sz w:val="16"/>
                <w:szCs w:val="16"/>
              </w:rPr>
            </w:pPr>
            <w:r w:rsidRPr="004B030B">
              <w:rPr>
                <w:rFonts w:asciiTheme="minorHAnsi" w:hAnsiTheme="minorHAnsi" w:cstheme="minorHAnsi"/>
                <w:sz w:val="16"/>
                <w:szCs w:val="16"/>
              </w:rPr>
              <w:t>13</w:t>
            </w:r>
          </w:p>
        </w:tc>
        <w:tc>
          <w:tcPr>
            <w:tcW w:w="1218" w:type="dxa"/>
            <w:tcBorders>
              <w:top w:val="nil"/>
              <w:left w:val="nil"/>
              <w:bottom w:val="single" w:sz="4" w:space="0" w:color="auto"/>
              <w:right w:val="single" w:sz="4" w:space="0" w:color="auto"/>
            </w:tcBorders>
            <w:shd w:val="clear" w:color="auto" w:fill="auto"/>
            <w:noWrap/>
            <w:vAlign w:val="center"/>
            <w:hideMark/>
          </w:tcPr>
          <w:p w:rsidR="0093272C" w:rsidRPr="004B030B" w:rsidRDefault="0093272C">
            <w:pPr>
              <w:jc w:val="right"/>
              <w:rPr>
                <w:rFonts w:asciiTheme="minorHAnsi" w:hAnsiTheme="minorHAnsi" w:cstheme="minorHAnsi"/>
                <w:sz w:val="16"/>
                <w:szCs w:val="16"/>
              </w:rPr>
            </w:pPr>
            <w:r w:rsidRPr="004B030B">
              <w:rPr>
                <w:rFonts w:asciiTheme="minorHAnsi" w:hAnsiTheme="minorHAnsi" w:cstheme="minorHAnsi"/>
                <w:sz w:val="16"/>
                <w:szCs w:val="16"/>
              </w:rPr>
              <w:t>772 821,00</w:t>
            </w:r>
          </w:p>
        </w:tc>
        <w:tc>
          <w:tcPr>
            <w:tcW w:w="5387" w:type="dxa"/>
            <w:tcBorders>
              <w:top w:val="nil"/>
              <w:left w:val="nil"/>
              <w:bottom w:val="single" w:sz="4" w:space="0" w:color="auto"/>
              <w:right w:val="single" w:sz="4" w:space="0" w:color="auto"/>
            </w:tcBorders>
            <w:shd w:val="clear" w:color="auto" w:fill="auto"/>
            <w:vAlign w:val="center"/>
            <w:hideMark/>
          </w:tcPr>
          <w:p w:rsidR="0093272C" w:rsidRPr="004B030B" w:rsidRDefault="0093272C">
            <w:pPr>
              <w:rPr>
                <w:rFonts w:asciiTheme="minorHAnsi" w:hAnsiTheme="minorHAnsi" w:cstheme="minorHAnsi"/>
                <w:sz w:val="16"/>
                <w:szCs w:val="16"/>
              </w:rPr>
            </w:pPr>
            <w:r w:rsidRPr="004B030B">
              <w:rPr>
                <w:rFonts w:asciiTheme="minorHAnsi" w:hAnsiTheme="minorHAnsi" w:cstheme="minorHAnsi"/>
                <w:sz w:val="16"/>
                <w:szCs w:val="16"/>
              </w:rPr>
              <w:t xml:space="preserve">1) Pokuty policie = 564 085 Kč,                 </w:t>
            </w:r>
            <w:r w:rsidRPr="004B030B">
              <w:rPr>
                <w:rFonts w:asciiTheme="minorHAnsi" w:hAnsiTheme="minorHAnsi" w:cstheme="minorHAnsi"/>
                <w:sz w:val="16"/>
                <w:szCs w:val="16"/>
              </w:rPr>
              <w:br/>
            </w:r>
            <w:r w:rsidR="004B030B" w:rsidRPr="004B030B">
              <w:rPr>
                <w:rFonts w:asciiTheme="minorHAnsi" w:hAnsiTheme="minorHAnsi" w:cstheme="minorHAnsi"/>
                <w:sz w:val="16"/>
                <w:szCs w:val="16"/>
              </w:rPr>
              <w:t xml:space="preserve">2) Náklady za odvoz do protialkoholní </w:t>
            </w:r>
            <w:r w:rsidRPr="004B030B">
              <w:rPr>
                <w:rFonts w:asciiTheme="minorHAnsi" w:hAnsiTheme="minorHAnsi" w:cstheme="minorHAnsi"/>
                <w:sz w:val="16"/>
                <w:szCs w:val="16"/>
              </w:rPr>
              <w:t>stanice = 126 036 Kč,</w:t>
            </w:r>
            <w:r w:rsidRPr="004B030B">
              <w:rPr>
                <w:rFonts w:asciiTheme="minorHAnsi" w:hAnsiTheme="minorHAnsi" w:cstheme="minorHAnsi"/>
                <w:sz w:val="16"/>
                <w:szCs w:val="16"/>
              </w:rPr>
              <w:br/>
              <w:t>3) Poplatky MP - odtahy = 23 870 Kč,</w:t>
            </w:r>
            <w:r w:rsidRPr="004B030B">
              <w:rPr>
                <w:rFonts w:asciiTheme="minorHAnsi" w:hAnsiTheme="minorHAnsi" w:cstheme="minorHAnsi"/>
                <w:sz w:val="16"/>
                <w:szCs w:val="16"/>
              </w:rPr>
              <w:br/>
              <w:t>4) Poplatky MP - botičky = 58 830 Kč.</w:t>
            </w:r>
          </w:p>
        </w:tc>
      </w:tr>
      <w:tr w:rsidR="0093272C" w:rsidTr="004B030B">
        <w:trPr>
          <w:trHeight w:val="128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93272C" w:rsidRPr="004B030B" w:rsidRDefault="0093272C">
            <w:pPr>
              <w:rPr>
                <w:rFonts w:asciiTheme="minorHAnsi" w:hAnsiTheme="minorHAnsi" w:cstheme="minorHAnsi"/>
                <w:sz w:val="16"/>
                <w:szCs w:val="16"/>
              </w:rPr>
            </w:pPr>
            <w:r w:rsidRPr="004B030B">
              <w:rPr>
                <w:rFonts w:asciiTheme="minorHAnsi" w:hAnsiTheme="minorHAnsi" w:cstheme="minorHAnsi"/>
                <w:sz w:val="16"/>
                <w:szCs w:val="16"/>
              </w:rPr>
              <w:t>Občanské záležitosti</w:t>
            </w:r>
          </w:p>
        </w:tc>
        <w:tc>
          <w:tcPr>
            <w:tcW w:w="483" w:type="dxa"/>
            <w:tcBorders>
              <w:top w:val="nil"/>
              <w:left w:val="nil"/>
              <w:bottom w:val="single" w:sz="4" w:space="0" w:color="auto"/>
              <w:right w:val="single" w:sz="4" w:space="0" w:color="auto"/>
            </w:tcBorders>
            <w:shd w:val="clear" w:color="auto" w:fill="auto"/>
            <w:noWrap/>
            <w:vAlign w:val="center"/>
            <w:hideMark/>
          </w:tcPr>
          <w:p w:rsidR="0093272C" w:rsidRPr="004B030B" w:rsidRDefault="0093272C">
            <w:pPr>
              <w:jc w:val="center"/>
              <w:rPr>
                <w:rFonts w:asciiTheme="minorHAnsi" w:hAnsiTheme="minorHAnsi" w:cstheme="minorHAnsi"/>
                <w:sz w:val="16"/>
                <w:szCs w:val="16"/>
              </w:rPr>
            </w:pPr>
            <w:r w:rsidRPr="004B030B">
              <w:rPr>
                <w:rFonts w:asciiTheme="minorHAnsi" w:hAnsiTheme="minorHAnsi" w:cstheme="minorHAnsi"/>
                <w:sz w:val="16"/>
                <w:szCs w:val="16"/>
              </w:rPr>
              <w:t>16</w:t>
            </w:r>
          </w:p>
        </w:tc>
        <w:tc>
          <w:tcPr>
            <w:tcW w:w="1218" w:type="dxa"/>
            <w:tcBorders>
              <w:top w:val="nil"/>
              <w:left w:val="nil"/>
              <w:bottom w:val="single" w:sz="4" w:space="0" w:color="auto"/>
              <w:right w:val="single" w:sz="4" w:space="0" w:color="auto"/>
            </w:tcBorders>
            <w:shd w:val="clear" w:color="auto" w:fill="auto"/>
            <w:noWrap/>
            <w:vAlign w:val="center"/>
            <w:hideMark/>
          </w:tcPr>
          <w:p w:rsidR="0093272C" w:rsidRPr="004B030B" w:rsidRDefault="0093272C">
            <w:pPr>
              <w:jc w:val="right"/>
              <w:rPr>
                <w:rFonts w:asciiTheme="minorHAnsi" w:hAnsiTheme="minorHAnsi" w:cstheme="minorHAnsi"/>
                <w:sz w:val="16"/>
                <w:szCs w:val="16"/>
              </w:rPr>
            </w:pPr>
            <w:r w:rsidRPr="004B030B">
              <w:rPr>
                <w:rFonts w:asciiTheme="minorHAnsi" w:hAnsiTheme="minorHAnsi" w:cstheme="minorHAnsi"/>
                <w:sz w:val="16"/>
                <w:szCs w:val="16"/>
              </w:rPr>
              <w:t>39 776 557,00</w:t>
            </w:r>
          </w:p>
        </w:tc>
        <w:tc>
          <w:tcPr>
            <w:tcW w:w="5387" w:type="dxa"/>
            <w:tcBorders>
              <w:top w:val="nil"/>
              <w:left w:val="nil"/>
              <w:bottom w:val="single" w:sz="4" w:space="0" w:color="auto"/>
              <w:right w:val="single" w:sz="4" w:space="0" w:color="auto"/>
            </w:tcBorders>
            <w:shd w:val="clear" w:color="auto" w:fill="auto"/>
            <w:vAlign w:val="center"/>
            <w:hideMark/>
          </w:tcPr>
          <w:p w:rsidR="0093272C" w:rsidRPr="004B030B" w:rsidRDefault="0093272C">
            <w:pPr>
              <w:rPr>
                <w:rFonts w:asciiTheme="minorHAnsi" w:hAnsiTheme="minorHAnsi" w:cstheme="minorHAnsi"/>
                <w:sz w:val="16"/>
                <w:szCs w:val="16"/>
              </w:rPr>
            </w:pPr>
            <w:r w:rsidRPr="004B030B">
              <w:rPr>
                <w:rFonts w:asciiTheme="minorHAnsi" w:hAnsiTheme="minorHAnsi" w:cstheme="minorHAnsi"/>
                <w:sz w:val="16"/>
                <w:szCs w:val="16"/>
              </w:rPr>
              <w:t xml:space="preserve">1) Pokuty - přestupky = 7 668 194 Kč,                 </w:t>
            </w:r>
            <w:r w:rsidRPr="004B030B">
              <w:rPr>
                <w:rFonts w:asciiTheme="minorHAnsi" w:hAnsiTheme="minorHAnsi" w:cstheme="minorHAnsi"/>
                <w:sz w:val="16"/>
                <w:szCs w:val="16"/>
              </w:rPr>
              <w:br/>
              <w:t>2) Pokuty Czech Radar = 119 250 Kč,</w:t>
            </w:r>
            <w:r w:rsidRPr="004B030B">
              <w:rPr>
                <w:rFonts w:asciiTheme="minorHAnsi" w:hAnsiTheme="minorHAnsi" w:cstheme="minorHAnsi"/>
                <w:sz w:val="16"/>
                <w:szCs w:val="16"/>
              </w:rPr>
              <w:br/>
              <w:t>3) Náklady řízení Czech Radar = 1 000 Kč,</w:t>
            </w:r>
            <w:r w:rsidRPr="004B030B">
              <w:rPr>
                <w:rFonts w:asciiTheme="minorHAnsi" w:hAnsiTheme="minorHAnsi" w:cstheme="minorHAnsi"/>
                <w:sz w:val="16"/>
                <w:szCs w:val="16"/>
              </w:rPr>
              <w:br/>
              <w:t>4) Pokuty doprava (přestupky v dopravě) = 31 427 116 Kč,</w:t>
            </w:r>
            <w:r w:rsidRPr="004B030B">
              <w:rPr>
                <w:rFonts w:asciiTheme="minorHAnsi" w:hAnsiTheme="minorHAnsi" w:cstheme="minorHAnsi"/>
                <w:sz w:val="16"/>
                <w:szCs w:val="16"/>
              </w:rPr>
              <w:br/>
              <w:t>5) Radary - výzva = 47 000 Kč,</w:t>
            </w:r>
            <w:r w:rsidRPr="004B030B">
              <w:rPr>
                <w:rFonts w:asciiTheme="minorHAnsi" w:hAnsiTheme="minorHAnsi" w:cstheme="minorHAnsi"/>
                <w:sz w:val="16"/>
                <w:szCs w:val="16"/>
              </w:rPr>
              <w:br/>
              <w:t>6) Radary - pokuty = 513 997 Kč.</w:t>
            </w:r>
          </w:p>
        </w:tc>
      </w:tr>
      <w:tr w:rsidR="0093272C" w:rsidTr="004B030B">
        <w:trPr>
          <w:trHeight w:val="64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93272C" w:rsidRPr="004B030B" w:rsidRDefault="0093272C">
            <w:pPr>
              <w:rPr>
                <w:rFonts w:asciiTheme="minorHAnsi" w:hAnsiTheme="minorHAnsi" w:cstheme="minorHAnsi"/>
                <w:sz w:val="16"/>
                <w:szCs w:val="16"/>
              </w:rPr>
            </w:pPr>
            <w:r w:rsidRPr="004B030B">
              <w:rPr>
                <w:rFonts w:asciiTheme="minorHAnsi" w:hAnsiTheme="minorHAnsi" w:cstheme="minorHAnsi"/>
                <w:sz w:val="16"/>
                <w:szCs w:val="16"/>
              </w:rPr>
              <w:t>Sociální věci</w:t>
            </w:r>
          </w:p>
        </w:tc>
        <w:tc>
          <w:tcPr>
            <w:tcW w:w="483" w:type="dxa"/>
            <w:tcBorders>
              <w:top w:val="nil"/>
              <w:left w:val="nil"/>
              <w:bottom w:val="single" w:sz="4" w:space="0" w:color="auto"/>
              <w:right w:val="single" w:sz="4" w:space="0" w:color="auto"/>
            </w:tcBorders>
            <w:shd w:val="clear" w:color="auto" w:fill="auto"/>
            <w:vAlign w:val="center"/>
            <w:hideMark/>
          </w:tcPr>
          <w:p w:rsidR="0093272C" w:rsidRPr="004B030B" w:rsidRDefault="0093272C">
            <w:pPr>
              <w:jc w:val="center"/>
              <w:rPr>
                <w:rFonts w:asciiTheme="minorHAnsi" w:hAnsiTheme="minorHAnsi" w:cstheme="minorHAnsi"/>
                <w:sz w:val="16"/>
                <w:szCs w:val="16"/>
              </w:rPr>
            </w:pPr>
            <w:r w:rsidRPr="004B030B">
              <w:rPr>
                <w:rFonts w:asciiTheme="minorHAnsi" w:hAnsiTheme="minorHAnsi" w:cstheme="minorHAnsi"/>
                <w:sz w:val="16"/>
                <w:szCs w:val="16"/>
              </w:rPr>
              <w:t>21</w:t>
            </w:r>
          </w:p>
        </w:tc>
        <w:tc>
          <w:tcPr>
            <w:tcW w:w="1218" w:type="dxa"/>
            <w:tcBorders>
              <w:top w:val="nil"/>
              <w:left w:val="nil"/>
              <w:bottom w:val="single" w:sz="4" w:space="0" w:color="auto"/>
              <w:right w:val="single" w:sz="4" w:space="0" w:color="auto"/>
            </w:tcBorders>
            <w:shd w:val="clear" w:color="auto" w:fill="auto"/>
            <w:noWrap/>
            <w:vAlign w:val="center"/>
            <w:hideMark/>
          </w:tcPr>
          <w:p w:rsidR="0093272C" w:rsidRPr="004B030B" w:rsidRDefault="0093272C">
            <w:pPr>
              <w:jc w:val="right"/>
              <w:rPr>
                <w:rFonts w:asciiTheme="minorHAnsi" w:hAnsiTheme="minorHAnsi" w:cstheme="minorHAnsi"/>
                <w:sz w:val="16"/>
                <w:szCs w:val="16"/>
              </w:rPr>
            </w:pPr>
            <w:r w:rsidRPr="004B030B">
              <w:rPr>
                <w:rFonts w:asciiTheme="minorHAnsi" w:hAnsiTheme="minorHAnsi" w:cstheme="minorHAnsi"/>
                <w:sz w:val="16"/>
                <w:szCs w:val="16"/>
              </w:rPr>
              <w:t>560 326,00</w:t>
            </w:r>
          </w:p>
        </w:tc>
        <w:tc>
          <w:tcPr>
            <w:tcW w:w="5387" w:type="dxa"/>
            <w:tcBorders>
              <w:top w:val="nil"/>
              <w:left w:val="nil"/>
              <w:bottom w:val="single" w:sz="4" w:space="0" w:color="auto"/>
              <w:right w:val="single" w:sz="4" w:space="0" w:color="auto"/>
            </w:tcBorders>
            <w:shd w:val="clear" w:color="auto" w:fill="auto"/>
            <w:vAlign w:val="center"/>
            <w:hideMark/>
          </w:tcPr>
          <w:p w:rsidR="0093272C" w:rsidRPr="004B030B" w:rsidRDefault="0093272C">
            <w:pPr>
              <w:rPr>
                <w:rFonts w:asciiTheme="minorHAnsi" w:hAnsiTheme="minorHAnsi" w:cstheme="minorHAnsi"/>
                <w:color w:val="7B7B7B"/>
                <w:sz w:val="16"/>
                <w:szCs w:val="16"/>
              </w:rPr>
            </w:pPr>
            <w:r w:rsidRPr="004B030B">
              <w:rPr>
                <w:rFonts w:asciiTheme="minorHAnsi" w:hAnsiTheme="minorHAnsi" w:cstheme="minorHAnsi"/>
                <w:sz w:val="16"/>
                <w:szCs w:val="16"/>
              </w:rPr>
              <w:t xml:space="preserve">1) Nájemné sociální byty = 23 476 Kč,         </w:t>
            </w:r>
            <w:r w:rsidRPr="004B030B">
              <w:rPr>
                <w:rFonts w:asciiTheme="minorHAnsi" w:hAnsiTheme="minorHAnsi" w:cstheme="minorHAnsi"/>
                <w:color w:val="7B7B7B"/>
                <w:sz w:val="16"/>
                <w:szCs w:val="16"/>
              </w:rPr>
              <w:t xml:space="preserve">        </w:t>
            </w:r>
            <w:r w:rsidRPr="004B030B">
              <w:rPr>
                <w:rFonts w:asciiTheme="minorHAnsi" w:hAnsiTheme="minorHAnsi" w:cstheme="minorHAnsi"/>
                <w:color w:val="7B7B7B"/>
                <w:sz w:val="16"/>
                <w:szCs w:val="16"/>
              </w:rPr>
              <w:br/>
            </w:r>
            <w:r w:rsidRPr="004B030B">
              <w:rPr>
                <w:rFonts w:asciiTheme="minorHAnsi" w:hAnsiTheme="minorHAnsi" w:cstheme="minorHAnsi"/>
                <w:sz w:val="16"/>
                <w:szCs w:val="16"/>
              </w:rPr>
              <w:t>2) Sociální dávky = 431 703 Kč,</w:t>
            </w:r>
            <w:r w:rsidRPr="004B030B">
              <w:rPr>
                <w:rFonts w:asciiTheme="minorHAnsi" w:hAnsiTheme="minorHAnsi" w:cstheme="minorHAnsi"/>
                <w:color w:val="7B7B7B"/>
                <w:sz w:val="16"/>
                <w:szCs w:val="16"/>
              </w:rPr>
              <w:br/>
            </w:r>
            <w:r w:rsidRPr="004B030B">
              <w:rPr>
                <w:rFonts w:asciiTheme="minorHAnsi" w:hAnsiTheme="minorHAnsi" w:cstheme="minorHAnsi"/>
                <w:sz w:val="16"/>
                <w:szCs w:val="16"/>
              </w:rPr>
              <w:t>3) Dávky pro zdravotně postižené = 105 147 Kč.</w:t>
            </w:r>
          </w:p>
        </w:tc>
      </w:tr>
      <w:tr w:rsidR="0093272C" w:rsidTr="004B030B">
        <w:trPr>
          <w:trHeight w:val="64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93272C" w:rsidRPr="004B030B" w:rsidRDefault="0093272C">
            <w:pPr>
              <w:rPr>
                <w:rFonts w:asciiTheme="minorHAnsi" w:hAnsiTheme="minorHAnsi" w:cstheme="minorHAnsi"/>
                <w:sz w:val="16"/>
                <w:szCs w:val="16"/>
              </w:rPr>
            </w:pPr>
            <w:r w:rsidRPr="004B030B">
              <w:rPr>
                <w:rFonts w:asciiTheme="minorHAnsi" w:hAnsiTheme="minorHAnsi" w:cstheme="minorHAnsi"/>
                <w:sz w:val="16"/>
                <w:szCs w:val="16"/>
              </w:rPr>
              <w:t>Odbor obecní živnostenský úřad</w:t>
            </w:r>
          </w:p>
        </w:tc>
        <w:tc>
          <w:tcPr>
            <w:tcW w:w="483" w:type="dxa"/>
            <w:tcBorders>
              <w:top w:val="nil"/>
              <w:left w:val="nil"/>
              <w:bottom w:val="single" w:sz="4" w:space="0" w:color="auto"/>
              <w:right w:val="single" w:sz="4" w:space="0" w:color="auto"/>
            </w:tcBorders>
            <w:shd w:val="clear" w:color="auto" w:fill="auto"/>
            <w:vAlign w:val="center"/>
            <w:hideMark/>
          </w:tcPr>
          <w:p w:rsidR="0093272C" w:rsidRPr="004B030B" w:rsidRDefault="0093272C">
            <w:pPr>
              <w:jc w:val="center"/>
              <w:rPr>
                <w:rFonts w:asciiTheme="minorHAnsi" w:hAnsiTheme="minorHAnsi" w:cstheme="minorHAnsi"/>
                <w:sz w:val="16"/>
                <w:szCs w:val="16"/>
              </w:rPr>
            </w:pPr>
            <w:r w:rsidRPr="004B030B">
              <w:rPr>
                <w:rFonts w:asciiTheme="minorHAnsi" w:hAnsiTheme="minorHAnsi" w:cstheme="minorHAnsi"/>
                <w:sz w:val="16"/>
                <w:szCs w:val="16"/>
              </w:rPr>
              <w:t>30</w:t>
            </w:r>
          </w:p>
        </w:tc>
        <w:tc>
          <w:tcPr>
            <w:tcW w:w="1218" w:type="dxa"/>
            <w:tcBorders>
              <w:top w:val="nil"/>
              <w:left w:val="nil"/>
              <w:bottom w:val="single" w:sz="4" w:space="0" w:color="auto"/>
              <w:right w:val="single" w:sz="4" w:space="0" w:color="auto"/>
            </w:tcBorders>
            <w:shd w:val="clear" w:color="auto" w:fill="auto"/>
            <w:noWrap/>
            <w:vAlign w:val="center"/>
            <w:hideMark/>
          </w:tcPr>
          <w:p w:rsidR="0093272C" w:rsidRPr="004B030B" w:rsidRDefault="0093272C">
            <w:pPr>
              <w:jc w:val="right"/>
              <w:rPr>
                <w:rFonts w:asciiTheme="minorHAnsi" w:hAnsiTheme="minorHAnsi" w:cstheme="minorHAnsi"/>
                <w:sz w:val="16"/>
                <w:szCs w:val="16"/>
              </w:rPr>
            </w:pPr>
            <w:r w:rsidRPr="004B030B">
              <w:rPr>
                <w:rFonts w:asciiTheme="minorHAnsi" w:hAnsiTheme="minorHAnsi" w:cstheme="minorHAnsi"/>
                <w:sz w:val="16"/>
                <w:szCs w:val="16"/>
              </w:rPr>
              <w:t>420 169,00</w:t>
            </w:r>
          </w:p>
        </w:tc>
        <w:tc>
          <w:tcPr>
            <w:tcW w:w="5387" w:type="dxa"/>
            <w:tcBorders>
              <w:top w:val="nil"/>
              <w:left w:val="nil"/>
              <w:bottom w:val="single" w:sz="4" w:space="0" w:color="auto"/>
              <w:right w:val="single" w:sz="4" w:space="0" w:color="auto"/>
            </w:tcBorders>
            <w:shd w:val="clear" w:color="auto" w:fill="auto"/>
            <w:vAlign w:val="center"/>
            <w:hideMark/>
          </w:tcPr>
          <w:p w:rsidR="0093272C" w:rsidRPr="004B030B" w:rsidRDefault="0093272C">
            <w:pPr>
              <w:rPr>
                <w:rFonts w:asciiTheme="minorHAnsi" w:hAnsiTheme="minorHAnsi" w:cstheme="minorHAnsi"/>
                <w:sz w:val="16"/>
                <w:szCs w:val="16"/>
              </w:rPr>
            </w:pPr>
            <w:r w:rsidRPr="004B030B">
              <w:rPr>
                <w:rFonts w:asciiTheme="minorHAnsi" w:hAnsiTheme="minorHAnsi" w:cstheme="minorHAnsi"/>
                <w:sz w:val="16"/>
                <w:szCs w:val="16"/>
              </w:rPr>
              <w:t xml:space="preserve">1) Pokuty = 208 100 Kč,                 </w:t>
            </w:r>
            <w:r w:rsidRPr="004B030B">
              <w:rPr>
                <w:rFonts w:asciiTheme="minorHAnsi" w:hAnsiTheme="minorHAnsi" w:cstheme="minorHAnsi"/>
                <w:sz w:val="16"/>
                <w:szCs w:val="16"/>
              </w:rPr>
              <w:br/>
              <w:t>2) Pokuty na místě nezaplacené = 8 700 Kč,</w:t>
            </w:r>
            <w:r w:rsidRPr="004B030B">
              <w:rPr>
                <w:rFonts w:asciiTheme="minorHAnsi" w:hAnsiTheme="minorHAnsi" w:cstheme="minorHAnsi"/>
                <w:sz w:val="16"/>
                <w:szCs w:val="16"/>
              </w:rPr>
              <w:br/>
              <w:t>3) Náklady řízení = 203 369 Kč.</w:t>
            </w:r>
          </w:p>
        </w:tc>
      </w:tr>
      <w:tr w:rsidR="0093272C" w:rsidTr="004B030B">
        <w:trPr>
          <w:trHeight w:val="426"/>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93272C" w:rsidRPr="004B030B" w:rsidRDefault="0093272C">
            <w:pPr>
              <w:rPr>
                <w:rFonts w:asciiTheme="minorHAnsi" w:hAnsiTheme="minorHAnsi" w:cstheme="minorHAnsi"/>
                <w:sz w:val="16"/>
                <w:szCs w:val="16"/>
              </w:rPr>
            </w:pPr>
            <w:r w:rsidRPr="004B030B">
              <w:rPr>
                <w:rFonts w:asciiTheme="minorHAnsi" w:hAnsiTheme="minorHAnsi" w:cstheme="minorHAnsi"/>
                <w:sz w:val="16"/>
                <w:szCs w:val="16"/>
              </w:rPr>
              <w:t>Životní prostředí</w:t>
            </w:r>
          </w:p>
        </w:tc>
        <w:tc>
          <w:tcPr>
            <w:tcW w:w="483" w:type="dxa"/>
            <w:tcBorders>
              <w:top w:val="nil"/>
              <w:left w:val="nil"/>
              <w:bottom w:val="single" w:sz="4" w:space="0" w:color="auto"/>
              <w:right w:val="single" w:sz="4" w:space="0" w:color="auto"/>
            </w:tcBorders>
            <w:shd w:val="clear" w:color="auto" w:fill="auto"/>
            <w:vAlign w:val="center"/>
            <w:hideMark/>
          </w:tcPr>
          <w:p w:rsidR="0093272C" w:rsidRPr="004B030B" w:rsidRDefault="0093272C">
            <w:pPr>
              <w:jc w:val="center"/>
              <w:rPr>
                <w:rFonts w:asciiTheme="minorHAnsi" w:hAnsiTheme="minorHAnsi" w:cstheme="minorHAnsi"/>
                <w:sz w:val="16"/>
                <w:szCs w:val="16"/>
              </w:rPr>
            </w:pPr>
            <w:r w:rsidRPr="004B030B">
              <w:rPr>
                <w:rFonts w:asciiTheme="minorHAnsi" w:hAnsiTheme="minorHAnsi" w:cstheme="minorHAnsi"/>
                <w:sz w:val="16"/>
                <w:szCs w:val="16"/>
              </w:rPr>
              <w:t>40</w:t>
            </w:r>
          </w:p>
        </w:tc>
        <w:tc>
          <w:tcPr>
            <w:tcW w:w="1218" w:type="dxa"/>
            <w:tcBorders>
              <w:top w:val="nil"/>
              <w:left w:val="nil"/>
              <w:bottom w:val="single" w:sz="4" w:space="0" w:color="auto"/>
              <w:right w:val="single" w:sz="4" w:space="0" w:color="auto"/>
            </w:tcBorders>
            <w:shd w:val="clear" w:color="auto" w:fill="auto"/>
            <w:noWrap/>
            <w:vAlign w:val="center"/>
            <w:hideMark/>
          </w:tcPr>
          <w:p w:rsidR="0093272C" w:rsidRPr="004B030B" w:rsidRDefault="0093272C">
            <w:pPr>
              <w:jc w:val="right"/>
              <w:rPr>
                <w:rFonts w:asciiTheme="minorHAnsi" w:hAnsiTheme="minorHAnsi" w:cstheme="minorHAnsi"/>
                <w:sz w:val="16"/>
                <w:szCs w:val="16"/>
              </w:rPr>
            </w:pPr>
            <w:r w:rsidRPr="004B030B">
              <w:rPr>
                <w:rFonts w:asciiTheme="minorHAnsi" w:hAnsiTheme="minorHAnsi" w:cstheme="minorHAnsi"/>
                <w:sz w:val="16"/>
                <w:szCs w:val="16"/>
              </w:rPr>
              <w:t>130 246,00</w:t>
            </w:r>
          </w:p>
        </w:tc>
        <w:tc>
          <w:tcPr>
            <w:tcW w:w="5387" w:type="dxa"/>
            <w:tcBorders>
              <w:top w:val="nil"/>
              <w:left w:val="nil"/>
              <w:bottom w:val="single" w:sz="4" w:space="0" w:color="auto"/>
              <w:right w:val="single" w:sz="4" w:space="0" w:color="auto"/>
            </w:tcBorders>
            <w:shd w:val="clear" w:color="auto" w:fill="auto"/>
            <w:vAlign w:val="center"/>
            <w:hideMark/>
          </w:tcPr>
          <w:p w:rsidR="0093272C" w:rsidRPr="004B030B" w:rsidRDefault="0093272C">
            <w:pPr>
              <w:rPr>
                <w:rFonts w:asciiTheme="minorHAnsi" w:hAnsiTheme="minorHAnsi" w:cstheme="minorHAnsi"/>
                <w:color w:val="7B7B7B"/>
                <w:sz w:val="16"/>
                <w:szCs w:val="16"/>
              </w:rPr>
            </w:pPr>
            <w:r w:rsidRPr="004B030B">
              <w:rPr>
                <w:rFonts w:asciiTheme="minorHAnsi" w:hAnsiTheme="minorHAnsi" w:cstheme="minorHAnsi"/>
                <w:sz w:val="16"/>
                <w:szCs w:val="16"/>
              </w:rPr>
              <w:t xml:space="preserve">1) Odvod za odnětí ze zemědělského půdního fondu = 32 294 Kč,         </w:t>
            </w:r>
            <w:r w:rsidRPr="004B030B">
              <w:rPr>
                <w:rFonts w:asciiTheme="minorHAnsi" w:hAnsiTheme="minorHAnsi" w:cstheme="minorHAnsi"/>
                <w:color w:val="7B7B7B"/>
                <w:sz w:val="16"/>
                <w:szCs w:val="16"/>
              </w:rPr>
              <w:t xml:space="preserve">        </w:t>
            </w:r>
            <w:r w:rsidRPr="004B030B">
              <w:rPr>
                <w:rFonts w:asciiTheme="minorHAnsi" w:hAnsiTheme="minorHAnsi" w:cstheme="minorHAnsi"/>
                <w:color w:val="7B7B7B"/>
                <w:sz w:val="16"/>
                <w:szCs w:val="16"/>
              </w:rPr>
              <w:br/>
            </w:r>
            <w:r w:rsidRPr="004B030B">
              <w:rPr>
                <w:rFonts w:asciiTheme="minorHAnsi" w:hAnsiTheme="minorHAnsi" w:cstheme="minorHAnsi"/>
                <w:sz w:val="16"/>
                <w:szCs w:val="16"/>
              </w:rPr>
              <w:t>2) Pokuty = 97 952 Kč.</w:t>
            </w:r>
          </w:p>
        </w:tc>
      </w:tr>
      <w:tr w:rsidR="0093272C" w:rsidTr="004B030B">
        <w:trPr>
          <w:trHeight w:val="64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93272C" w:rsidRPr="004B030B" w:rsidRDefault="0093272C">
            <w:pPr>
              <w:rPr>
                <w:rFonts w:asciiTheme="minorHAnsi" w:hAnsiTheme="minorHAnsi" w:cstheme="minorHAnsi"/>
                <w:sz w:val="16"/>
                <w:szCs w:val="16"/>
              </w:rPr>
            </w:pPr>
            <w:r w:rsidRPr="004B030B">
              <w:rPr>
                <w:rFonts w:asciiTheme="minorHAnsi" w:hAnsiTheme="minorHAnsi" w:cstheme="minorHAnsi"/>
                <w:sz w:val="16"/>
                <w:szCs w:val="16"/>
              </w:rPr>
              <w:t>Správa a nakládání s majetkem města</w:t>
            </w:r>
          </w:p>
        </w:tc>
        <w:tc>
          <w:tcPr>
            <w:tcW w:w="483" w:type="dxa"/>
            <w:tcBorders>
              <w:top w:val="nil"/>
              <w:left w:val="nil"/>
              <w:bottom w:val="single" w:sz="4" w:space="0" w:color="auto"/>
              <w:right w:val="single" w:sz="4" w:space="0" w:color="auto"/>
            </w:tcBorders>
            <w:shd w:val="clear" w:color="auto" w:fill="auto"/>
            <w:noWrap/>
            <w:vAlign w:val="center"/>
            <w:hideMark/>
          </w:tcPr>
          <w:p w:rsidR="0093272C" w:rsidRPr="004B030B" w:rsidRDefault="0093272C">
            <w:pPr>
              <w:jc w:val="center"/>
              <w:rPr>
                <w:rFonts w:asciiTheme="minorHAnsi" w:hAnsiTheme="minorHAnsi" w:cstheme="minorHAnsi"/>
                <w:sz w:val="16"/>
                <w:szCs w:val="16"/>
              </w:rPr>
            </w:pPr>
            <w:r w:rsidRPr="004B030B">
              <w:rPr>
                <w:rFonts w:asciiTheme="minorHAnsi" w:hAnsiTheme="minorHAnsi" w:cstheme="minorHAnsi"/>
                <w:sz w:val="16"/>
                <w:szCs w:val="16"/>
              </w:rPr>
              <w:t>50</w:t>
            </w:r>
          </w:p>
        </w:tc>
        <w:tc>
          <w:tcPr>
            <w:tcW w:w="1218" w:type="dxa"/>
            <w:tcBorders>
              <w:top w:val="nil"/>
              <w:left w:val="nil"/>
              <w:bottom w:val="single" w:sz="4" w:space="0" w:color="auto"/>
              <w:right w:val="single" w:sz="4" w:space="0" w:color="auto"/>
            </w:tcBorders>
            <w:shd w:val="clear" w:color="auto" w:fill="auto"/>
            <w:noWrap/>
            <w:vAlign w:val="center"/>
            <w:hideMark/>
          </w:tcPr>
          <w:p w:rsidR="0093272C" w:rsidRPr="004B030B" w:rsidRDefault="0093272C">
            <w:pPr>
              <w:jc w:val="right"/>
              <w:rPr>
                <w:rFonts w:asciiTheme="minorHAnsi" w:hAnsiTheme="minorHAnsi" w:cstheme="minorHAnsi"/>
                <w:sz w:val="16"/>
                <w:szCs w:val="16"/>
              </w:rPr>
            </w:pPr>
            <w:r w:rsidRPr="004B030B">
              <w:rPr>
                <w:rFonts w:asciiTheme="minorHAnsi" w:hAnsiTheme="minorHAnsi" w:cstheme="minorHAnsi"/>
                <w:sz w:val="16"/>
                <w:szCs w:val="16"/>
              </w:rPr>
              <w:t>158 476,00</w:t>
            </w:r>
          </w:p>
        </w:tc>
        <w:tc>
          <w:tcPr>
            <w:tcW w:w="5387" w:type="dxa"/>
            <w:tcBorders>
              <w:top w:val="nil"/>
              <w:left w:val="nil"/>
              <w:bottom w:val="single" w:sz="4" w:space="0" w:color="auto"/>
              <w:right w:val="single" w:sz="4" w:space="0" w:color="auto"/>
            </w:tcBorders>
            <w:shd w:val="clear" w:color="auto" w:fill="auto"/>
            <w:vAlign w:val="center"/>
            <w:hideMark/>
          </w:tcPr>
          <w:p w:rsidR="0093272C" w:rsidRPr="004B030B" w:rsidRDefault="0093272C">
            <w:pPr>
              <w:rPr>
                <w:rFonts w:asciiTheme="minorHAnsi" w:hAnsiTheme="minorHAnsi" w:cstheme="minorHAnsi"/>
                <w:sz w:val="16"/>
                <w:szCs w:val="16"/>
              </w:rPr>
            </w:pPr>
            <w:r w:rsidRPr="004B030B">
              <w:rPr>
                <w:rFonts w:asciiTheme="minorHAnsi" w:hAnsiTheme="minorHAnsi" w:cstheme="minorHAnsi"/>
                <w:sz w:val="16"/>
                <w:szCs w:val="16"/>
              </w:rPr>
              <w:t>1) Nájemné z pozemků = 67 898 Kč,</w:t>
            </w:r>
            <w:r w:rsidRPr="004B030B">
              <w:rPr>
                <w:rFonts w:asciiTheme="minorHAnsi" w:hAnsiTheme="minorHAnsi" w:cstheme="minorHAnsi"/>
                <w:sz w:val="16"/>
                <w:szCs w:val="16"/>
              </w:rPr>
              <w:br/>
              <w:t>2) Náhrady škody = 84 676 Kč,</w:t>
            </w:r>
            <w:r w:rsidRPr="004B030B">
              <w:rPr>
                <w:rFonts w:asciiTheme="minorHAnsi" w:hAnsiTheme="minorHAnsi" w:cstheme="minorHAnsi"/>
                <w:sz w:val="16"/>
                <w:szCs w:val="16"/>
              </w:rPr>
              <w:br/>
              <w:t>3) Pronájem odst. ploch = 5 902 Kč.</w:t>
            </w:r>
          </w:p>
        </w:tc>
      </w:tr>
      <w:tr w:rsidR="0093272C" w:rsidTr="004B030B">
        <w:trPr>
          <w:trHeight w:val="301"/>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93272C" w:rsidRPr="004B030B" w:rsidRDefault="0093272C">
            <w:pPr>
              <w:rPr>
                <w:rFonts w:asciiTheme="minorHAnsi" w:hAnsiTheme="minorHAnsi" w:cstheme="minorHAnsi"/>
                <w:sz w:val="16"/>
                <w:szCs w:val="16"/>
              </w:rPr>
            </w:pPr>
            <w:r w:rsidRPr="004B030B">
              <w:rPr>
                <w:rFonts w:asciiTheme="minorHAnsi" w:hAnsiTheme="minorHAnsi" w:cstheme="minorHAnsi"/>
                <w:sz w:val="16"/>
                <w:szCs w:val="16"/>
              </w:rPr>
              <w:t>Odbor rozvoje a investic</w:t>
            </w:r>
          </w:p>
        </w:tc>
        <w:tc>
          <w:tcPr>
            <w:tcW w:w="483" w:type="dxa"/>
            <w:tcBorders>
              <w:top w:val="nil"/>
              <w:left w:val="nil"/>
              <w:bottom w:val="single" w:sz="4" w:space="0" w:color="auto"/>
              <w:right w:val="single" w:sz="4" w:space="0" w:color="auto"/>
            </w:tcBorders>
            <w:shd w:val="clear" w:color="auto" w:fill="auto"/>
            <w:noWrap/>
            <w:vAlign w:val="center"/>
            <w:hideMark/>
          </w:tcPr>
          <w:p w:rsidR="0093272C" w:rsidRPr="004B030B" w:rsidRDefault="0093272C">
            <w:pPr>
              <w:jc w:val="center"/>
              <w:rPr>
                <w:rFonts w:asciiTheme="minorHAnsi" w:hAnsiTheme="minorHAnsi" w:cstheme="minorHAnsi"/>
                <w:sz w:val="16"/>
                <w:szCs w:val="16"/>
              </w:rPr>
            </w:pPr>
            <w:r w:rsidRPr="004B030B">
              <w:rPr>
                <w:rFonts w:asciiTheme="minorHAnsi" w:hAnsiTheme="minorHAnsi" w:cstheme="minorHAnsi"/>
                <w:sz w:val="16"/>
                <w:szCs w:val="16"/>
              </w:rPr>
              <w:t>60</w:t>
            </w:r>
          </w:p>
        </w:tc>
        <w:tc>
          <w:tcPr>
            <w:tcW w:w="1218" w:type="dxa"/>
            <w:tcBorders>
              <w:top w:val="nil"/>
              <w:left w:val="nil"/>
              <w:bottom w:val="single" w:sz="4" w:space="0" w:color="auto"/>
              <w:right w:val="single" w:sz="4" w:space="0" w:color="auto"/>
            </w:tcBorders>
            <w:shd w:val="clear" w:color="auto" w:fill="auto"/>
            <w:noWrap/>
            <w:vAlign w:val="center"/>
            <w:hideMark/>
          </w:tcPr>
          <w:p w:rsidR="0093272C" w:rsidRPr="004B030B" w:rsidRDefault="0093272C">
            <w:pPr>
              <w:jc w:val="right"/>
              <w:rPr>
                <w:rFonts w:asciiTheme="minorHAnsi" w:hAnsiTheme="minorHAnsi" w:cstheme="minorHAnsi"/>
                <w:sz w:val="16"/>
                <w:szCs w:val="16"/>
              </w:rPr>
            </w:pPr>
            <w:r w:rsidRPr="004B030B">
              <w:rPr>
                <w:rFonts w:asciiTheme="minorHAnsi" w:hAnsiTheme="minorHAnsi" w:cstheme="minorHAnsi"/>
                <w:sz w:val="16"/>
                <w:szCs w:val="16"/>
              </w:rPr>
              <w:t>724 647,00</w:t>
            </w:r>
          </w:p>
        </w:tc>
        <w:tc>
          <w:tcPr>
            <w:tcW w:w="5387" w:type="dxa"/>
            <w:tcBorders>
              <w:top w:val="nil"/>
              <w:left w:val="nil"/>
              <w:bottom w:val="single" w:sz="4" w:space="0" w:color="auto"/>
              <w:right w:val="single" w:sz="4" w:space="0" w:color="auto"/>
            </w:tcBorders>
            <w:shd w:val="clear" w:color="auto" w:fill="auto"/>
            <w:vAlign w:val="center"/>
            <w:hideMark/>
          </w:tcPr>
          <w:p w:rsidR="0093272C" w:rsidRPr="004B030B" w:rsidRDefault="0093272C">
            <w:pPr>
              <w:rPr>
                <w:rFonts w:asciiTheme="minorHAnsi" w:hAnsiTheme="minorHAnsi" w:cstheme="minorHAnsi"/>
                <w:sz w:val="16"/>
                <w:szCs w:val="16"/>
              </w:rPr>
            </w:pPr>
            <w:r w:rsidRPr="004B030B">
              <w:rPr>
                <w:rFonts w:asciiTheme="minorHAnsi" w:hAnsiTheme="minorHAnsi" w:cstheme="minorHAnsi"/>
                <w:sz w:val="16"/>
                <w:szCs w:val="16"/>
              </w:rPr>
              <w:t>Smluvní pokuta.</w:t>
            </w:r>
          </w:p>
        </w:tc>
      </w:tr>
      <w:tr w:rsidR="0093272C" w:rsidTr="004B030B">
        <w:trPr>
          <w:trHeight w:val="301"/>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93272C" w:rsidRPr="004B030B" w:rsidRDefault="0093272C">
            <w:pPr>
              <w:rPr>
                <w:rFonts w:asciiTheme="minorHAnsi" w:hAnsiTheme="minorHAnsi" w:cstheme="minorHAnsi"/>
                <w:sz w:val="16"/>
                <w:szCs w:val="16"/>
              </w:rPr>
            </w:pPr>
            <w:r w:rsidRPr="004B030B">
              <w:rPr>
                <w:rFonts w:asciiTheme="minorHAnsi" w:hAnsiTheme="minorHAnsi" w:cstheme="minorHAnsi"/>
                <w:sz w:val="16"/>
                <w:szCs w:val="16"/>
              </w:rPr>
              <w:t>Stavební úřad</w:t>
            </w:r>
          </w:p>
        </w:tc>
        <w:tc>
          <w:tcPr>
            <w:tcW w:w="483" w:type="dxa"/>
            <w:tcBorders>
              <w:top w:val="nil"/>
              <w:left w:val="nil"/>
              <w:bottom w:val="single" w:sz="4" w:space="0" w:color="auto"/>
              <w:right w:val="single" w:sz="4" w:space="0" w:color="auto"/>
            </w:tcBorders>
            <w:shd w:val="clear" w:color="000000" w:fill="FFFFFF"/>
            <w:noWrap/>
            <w:vAlign w:val="center"/>
            <w:hideMark/>
          </w:tcPr>
          <w:p w:rsidR="0093272C" w:rsidRPr="004B030B" w:rsidRDefault="0093272C">
            <w:pPr>
              <w:jc w:val="center"/>
              <w:rPr>
                <w:rFonts w:asciiTheme="minorHAnsi" w:hAnsiTheme="minorHAnsi" w:cstheme="minorHAnsi"/>
                <w:sz w:val="16"/>
                <w:szCs w:val="16"/>
              </w:rPr>
            </w:pPr>
            <w:r w:rsidRPr="004B030B">
              <w:rPr>
                <w:rFonts w:asciiTheme="minorHAnsi" w:hAnsiTheme="minorHAnsi" w:cstheme="minorHAnsi"/>
                <w:sz w:val="16"/>
                <w:szCs w:val="16"/>
              </w:rPr>
              <w:t>61</w:t>
            </w:r>
          </w:p>
        </w:tc>
        <w:tc>
          <w:tcPr>
            <w:tcW w:w="1218" w:type="dxa"/>
            <w:tcBorders>
              <w:top w:val="nil"/>
              <w:left w:val="nil"/>
              <w:bottom w:val="single" w:sz="4" w:space="0" w:color="auto"/>
              <w:right w:val="single" w:sz="4" w:space="0" w:color="auto"/>
            </w:tcBorders>
            <w:shd w:val="clear" w:color="auto" w:fill="auto"/>
            <w:noWrap/>
            <w:vAlign w:val="center"/>
            <w:hideMark/>
          </w:tcPr>
          <w:p w:rsidR="0093272C" w:rsidRPr="004B030B" w:rsidRDefault="0093272C">
            <w:pPr>
              <w:jc w:val="right"/>
              <w:rPr>
                <w:rFonts w:asciiTheme="minorHAnsi" w:hAnsiTheme="minorHAnsi" w:cstheme="minorHAnsi"/>
                <w:sz w:val="16"/>
                <w:szCs w:val="16"/>
              </w:rPr>
            </w:pPr>
            <w:r w:rsidRPr="004B030B">
              <w:rPr>
                <w:rFonts w:asciiTheme="minorHAnsi" w:hAnsiTheme="minorHAnsi" w:cstheme="minorHAnsi"/>
                <w:sz w:val="16"/>
                <w:szCs w:val="16"/>
              </w:rPr>
              <w:t>53 000,00</w:t>
            </w:r>
          </w:p>
        </w:tc>
        <w:tc>
          <w:tcPr>
            <w:tcW w:w="5387" w:type="dxa"/>
            <w:tcBorders>
              <w:top w:val="nil"/>
              <w:left w:val="nil"/>
              <w:bottom w:val="single" w:sz="4" w:space="0" w:color="auto"/>
              <w:right w:val="single" w:sz="4" w:space="0" w:color="auto"/>
            </w:tcBorders>
            <w:shd w:val="clear" w:color="auto" w:fill="auto"/>
            <w:vAlign w:val="center"/>
            <w:hideMark/>
          </w:tcPr>
          <w:p w:rsidR="0093272C" w:rsidRPr="004B030B" w:rsidRDefault="0093272C">
            <w:pPr>
              <w:rPr>
                <w:rFonts w:asciiTheme="minorHAnsi" w:hAnsiTheme="minorHAnsi" w:cstheme="minorHAnsi"/>
                <w:sz w:val="16"/>
                <w:szCs w:val="16"/>
              </w:rPr>
            </w:pPr>
            <w:r w:rsidRPr="004B030B">
              <w:rPr>
                <w:rFonts w:asciiTheme="minorHAnsi" w:hAnsiTheme="minorHAnsi" w:cstheme="minorHAnsi"/>
                <w:sz w:val="16"/>
                <w:szCs w:val="16"/>
              </w:rPr>
              <w:t>Pokuty.</w:t>
            </w:r>
          </w:p>
        </w:tc>
      </w:tr>
      <w:tr w:rsidR="0093272C" w:rsidTr="004B030B">
        <w:trPr>
          <w:trHeight w:val="128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93272C" w:rsidRPr="004B030B" w:rsidRDefault="0093272C">
            <w:pPr>
              <w:rPr>
                <w:rFonts w:asciiTheme="minorHAnsi" w:hAnsiTheme="minorHAnsi" w:cstheme="minorHAnsi"/>
                <w:sz w:val="16"/>
                <w:szCs w:val="16"/>
              </w:rPr>
            </w:pPr>
            <w:r w:rsidRPr="004B030B">
              <w:rPr>
                <w:rFonts w:asciiTheme="minorHAnsi" w:hAnsiTheme="minorHAnsi" w:cstheme="minorHAnsi"/>
                <w:sz w:val="16"/>
                <w:szCs w:val="16"/>
              </w:rPr>
              <w:t>Finanční odbor</w:t>
            </w:r>
          </w:p>
        </w:tc>
        <w:tc>
          <w:tcPr>
            <w:tcW w:w="483" w:type="dxa"/>
            <w:tcBorders>
              <w:top w:val="nil"/>
              <w:left w:val="nil"/>
              <w:bottom w:val="single" w:sz="4" w:space="0" w:color="auto"/>
              <w:right w:val="single" w:sz="4" w:space="0" w:color="auto"/>
            </w:tcBorders>
            <w:shd w:val="clear" w:color="auto" w:fill="auto"/>
            <w:vAlign w:val="center"/>
            <w:hideMark/>
          </w:tcPr>
          <w:p w:rsidR="0093272C" w:rsidRPr="004B030B" w:rsidRDefault="0093272C">
            <w:pPr>
              <w:jc w:val="center"/>
              <w:rPr>
                <w:rFonts w:asciiTheme="minorHAnsi" w:hAnsiTheme="minorHAnsi" w:cstheme="minorHAnsi"/>
                <w:sz w:val="16"/>
                <w:szCs w:val="16"/>
              </w:rPr>
            </w:pPr>
            <w:r w:rsidRPr="004B030B">
              <w:rPr>
                <w:rFonts w:asciiTheme="minorHAnsi" w:hAnsiTheme="minorHAnsi" w:cstheme="minorHAnsi"/>
                <w:sz w:val="16"/>
                <w:szCs w:val="16"/>
              </w:rPr>
              <w:t>70</w:t>
            </w:r>
          </w:p>
        </w:tc>
        <w:tc>
          <w:tcPr>
            <w:tcW w:w="1218" w:type="dxa"/>
            <w:tcBorders>
              <w:top w:val="nil"/>
              <w:left w:val="nil"/>
              <w:bottom w:val="single" w:sz="4" w:space="0" w:color="auto"/>
              <w:right w:val="single" w:sz="4" w:space="0" w:color="auto"/>
            </w:tcBorders>
            <w:shd w:val="clear" w:color="auto" w:fill="auto"/>
            <w:noWrap/>
            <w:vAlign w:val="center"/>
            <w:hideMark/>
          </w:tcPr>
          <w:p w:rsidR="0093272C" w:rsidRPr="004B030B" w:rsidRDefault="0093272C">
            <w:pPr>
              <w:jc w:val="right"/>
              <w:rPr>
                <w:rFonts w:asciiTheme="minorHAnsi" w:hAnsiTheme="minorHAnsi" w:cstheme="minorHAnsi"/>
                <w:sz w:val="16"/>
                <w:szCs w:val="16"/>
              </w:rPr>
            </w:pPr>
            <w:r w:rsidRPr="004B030B">
              <w:rPr>
                <w:rFonts w:asciiTheme="minorHAnsi" w:hAnsiTheme="minorHAnsi" w:cstheme="minorHAnsi"/>
                <w:sz w:val="16"/>
                <w:szCs w:val="16"/>
              </w:rPr>
              <w:t>19 841 845,00</w:t>
            </w:r>
          </w:p>
        </w:tc>
        <w:tc>
          <w:tcPr>
            <w:tcW w:w="5387" w:type="dxa"/>
            <w:tcBorders>
              <w:top w:val="nil"/>
              <w:left w:val="nil"/>
              <w:bottom w:val="single" w:sz="4" w:space="0" w:color="auto"/>
              <w:right w:val="single" w:sz="4" w:space="0" w:color="auto"/>
            </w:tcBorders>
            <w:shd w:val="clear" w:color="auto" w:fill="auto"/>
            <w:vAlign w:val="center"/>
            <w:hideMark/>
          </w:tcPr>
          <w:p w:rsidR="0093272C" w:rsidRPr="004B030B" w:rsidRDefault="0093272C">
            <w:pPr>
              <w:rPr>
                <w:rFonts w:asciiTheme="minorHAnsi" w:hAnsiTheme="minorHAnsi" w:cstheme="minorHAnsi"/>
                <w:color w:val="7B7B7B"/>
                <w:sz w:val="16"/>
                <w:szCs w:val="16"/>
              </w:rPr>
            </w:pPr>
            <w:r w:rsidRPr="004B030B">
              <w:rPr>
                <w:rFonts w:asciiTheme="minorHAnsi" w:hAnsiTheme="minorHAnsi" w:cstheme="minorHAnsi"/>
                <w:sz w:val="16"/>
                <w:szCs w:val="16"/>
              </w:rPr>
              <w:t xml:space="preserve">1) Místní poplatek ze psů = 242 399 Kč,         </w:t>
            </w:r>
            <w:r w:rsidRPr="004B030B">
              <w:rPr>
                <w:rFonts w:asciiTheme="minorHAnsi" w:hAnsiTheme="minorHAnsi" w:cstheme="minorHAnsi"/>
                <w:color w:val="7B7B7B"/>
                <w:sz w:val="16"/>
                <w:szCs w:val="16"/>
              </w:rPr>
              <w:t xml:space="preserve">        </w:t>
            </w:r>
            <w:r w:rsidRPr="004B030B">
              <w:rPr>
                <w:rFonts w:asciiTheme="minorHAnsi" w:hAnsiTheme="minorHAnsi" w:cstheme="minorHAnsi"/>
                <w:color w:val="7B7B7B"/>
                <w:sz w:val="16"/>
                <w:szCs w:val="16"/>
              </w:rPr>
              <w:br/>
            </w:r>
            <w:r w:rsidRPr="004B030B">
              <w:rPr>
                <w:rFonts w:asciiTheme="minorHAnsi" w:hAnsiTheme="minorHAnsi" w:cstheme="minorHAnsi"/>
                <w:sz w:val="16"/>
                <w:szCs w:val="16"/>
              </w:rPr>
              <w:t>2) Místní poplatek za užívání veř. prostranství = 366 576 Kč,</w:t>
            </w:r>
            <w:r w:rsidRPr="004B030B">
              <w:rPr>
                <w:rFonts w:asciiTheme="minorHAnsi" w:hAnsiTheme="minorHAnsi" w:cstheme="minorHAnsi"/>
                <w:color w:val="7B7B7B"/>
                <w:sz w:val="16"/>
                <w:szCs w:val="16"/>
              </w:rPr>
              <w:br/>
            </w:r>
            <w:r w:rsidRPr="004B030B">
              <w:rPr>
                <w:rFonts w:asciiTheme="minorHAnsi" w:hAnsiTheme="minorHAnsi" w:cstheme="minorHAnsi"/>
                <w:sz w:val="16"/>
                <w:szCs w:val="16"/>
              </w:rPr>
              <w:t>3) Pokuty FO = 90 500 Kč,</w:t>
            </w:r>
            <w:r w:rsidRPr="004B030B">
              <w:rPr>
                <w:rFonts w:asciiTheme="minorHAnsi" w:hAnsiTheme="minorHAnsi" w:cstheme="minorHAnsi"/>
                <w:color w:val="7B7B7B"/>
                <w:sz w:val="16"/>
                <w:szCs w:val="16"/>
              </w:rPr>
              <w:br/>
            </w:r>
            <w:r w:rsidRPr="004B030B">
              <w:rPr>
                <w:rFonts w:asciiTheme="minorHAnsi" w:hAnsiTheme="minorHAnsi" w:cstheme="minorHAnsi"/>
                <w:sz w:val="16"/>
                <w:szCs w:val="16"/>
              </w:rPr>
              <w:t>4) Příspěvky s podmínkou = 527 000 Kč,</w:t>
            </w:r>
            <w:r w:rsidRPr="004B030B">
              <w:rPr>
                <w:rFonts w:asciiTheme="minorHAnsi" w:hAnsiTheme="minorHAnsi" w:cstheme="minorHAnsi"/>
                <w:color w:val="7B7B7B"/>
                <w:sz w:val="16"/>
                <w:szCs w:val="16"/>
              </w:rPr>
              <w:br/>
            </w:r>
            <w:r w:rsidRPr="004B030B">
              <w:rPr>
                <w:rFonts w:asciiTheme="minorHAnsi" w:hAnsiTheme="minorHAnsi" w:cstheme="minorHAnsi"/>
                <w:sz w:val="16"/>
                <w:szCs w:val="16"/>
              </w:rPr>
              <w:t>5) Místní poplatek za odpady = 16 200 334 Kč,</w:t>
            </w:r>
            <w:r w:rsidRPr="004B030B">
              <w:rPr>
                <w:rFonts w:asciiTheme="minorHAnsi" w:hAnsiTheme="minorHAnsi" w:cstheme="minorHAnsi"/>
                <w:color w:val="7B7B7B"/>
                <w:sz w:val="16"/>
                <w:szCs w:val="16"/>
              </w:rPr>
              <w:br/>
            </w:r>
            <w:r w:rsidRPr="004B030B">
              <w:rPr>
                <w:rFonts w:asciiTheme="minorHAnsi" w:hAnsiTheme="minorHAnsi" w:cstheme="minorHAnsi"/>
                <w:sz w:val="16"/>
                <w:szCs w:val="16"/>
              </w:rPr>
              <w:t>6) Náhrada škody - ostatní= 2 415 036 Kč.</w:t>
            </w:r>
          </w:p>
        </w:tc>
      </w:tr>
      <w:tr w:rsidR="0093272C" w:rsidTr="004B030B">
        <w:trPr>
          <w:trHeight w:val="1066"/>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93272C" w:rsidRPr="004B030B" w:rsidRDefault="0093272C">
            <w:pPr>
              <w:rPr>
                <w:rFonts w:asciiTheme="minorHAnsi" w:hAnsiTheme="minorHAnsi" w:cstheme="minorHAnsi"/>
                <w:sz w:val="16"/>
                <w:szCs w:val="16"/>
              </w:rPr>
            </w:pPr>
            <w:r w:rsidRPr="004B030B">
              <w:rPr>
                <w:rFonts w:asciiTheme="minorHAnsi" w:hAnsiTheme="minorHAnsi" w:cstheme="minorHAnsi"/>
                <w:sz w:val="16"/>
                <w:szCs w:val="16"/>
              </w:rPr>
              <w:t>Správa a údržba majetku města</w:t>
            </w:r>
          </w:p>
        </w:tc>
        <w:tc>
          <w:tcPr>
            <w:tcW w:w="483" w:type="dxa"/>
            <w:tcBorders>
              <w:top w:val="nil"/>
              <w:left w:val="nil"/>
              <w:bottom w:val="single" w:sz="4" w:space="0" w:color="auto"/>
              <w:right w:val="single" w:sz="4" w:space="0" w:color="auto"/>
            </w:tcBorders>
            <w:shd w:val="clear" w:color="auto" w:fill="auto"/>
            <w:noWrap/>
            <w:vAlign w:val="center"/>
            <w:hideMark/>
          </w:tcPr>
          <w:p w:rsidR="0093272C" w:rsidRPr="004B030B" w:rsidRDefault="0093272C">
            <w:pPr>
              <w:jc w:val="center"/>
              <w:rPr>
                <w:rFonts w:asciiTheme="minorHAnsi" w:hAnsiTheme="minorHAnsi" w:cstheme="minorHAnsi"/>
                <w:sz w:val="16"/>
                <w:szCs w:val="16"/>
              </w:rPr>
            </w:pPr>
            <w:r w:rsidRPr="004B030B">
              <w:rPr>
                <w:rFonts w:asciiTheme="minorHAnsi" w:hAnsiTheme="minorHAnsi" w:cstheme="minorHAnsi"/>
                <w:sz w:val="16"/>
                <w:szCs w:val="16"/>
              </w:rPr>
              <w:t>90</w:t>
            </w:r>
          </w:p>
        </w:tc>
        <w:tc>
          <w:tcPr>
            <w:tcW w:w="1218" w:type="dxa"/>
            <w:tcBorders>
              <w:top w:val="nil"/>
              <w:left w:val="nil"/>
              <w:bottom w:val="single" w:sz="4" w:space="0" w:color="auto"/>
              <w:right w:val="single" w:sz="4" w:space="0" w:color="auto"/>
            </w:tcBorders>
            <w:shd w:val="clear" w:color="auto" w:fill="auto"/>
            <w:noWrap/>
            <w:vAlign w:val="center"/>
            <w:hideMark/>
          </w:tcPr>
          <w:p w:rsidR="0093272C" w:rsidRPr="004B030B" w:rsidRDefault="0093272C">
            <w:pPr>
              <w:jc w:val="right"/>
              <w:rPr>
                <w:rFonts w:asciiTheme="minorHAnsi" w:hAnsiTheme="minorHAnsi" w:cstheme="minorHAnsi"/>
                <w:sz w:val="16"/>
                <w:szCs w:val="16"/>
              </w:rPr>
            </w:pPr>
            <w:r w:rsidRPr="004B030B">
              <w:rPr>
                <w:rFonts w:asciiTheme="minorHAnsi" w:hAnsiTheme="minorHAnsi" w:cstheme="minorHAnsi"/>
                <w:sz w:val="16"/>
                <w:szCs w:val="16"/>
              </w:rPr>
              <w:t>8 047 227,00</w:t>
            </w:r>
          </w:p>
        </w:tc>
        <w:tc>
          <w:tcPr>
            <w:tcW w:w="5387" w:type="dxa"/>
            <w:tcBorders>
              <w:top w:val="nil"/>
              <w:left w:val="nil"/>
              <w:bottom w:val="single" w:sz="4" w:space="0" w:color="auto"/>
              <w:right w:val="single" w:sz="4" w:space="0" w:color="auto"/>
            </w:tcBorders>
            <w:shd w:val="clear" w:color="auto" w:fill="auto"/>
            <w:vAlign w:val="center"/>
            <w:hideMark/>
          </w:tcPr>
          <w:p w:rsidR="0093272C" w:rsidRPr="004B030B" w:rsidRDefault="0093272C">
            <w:pPr>
              <w:rPr>
                <w:rFonts w:asciiTheme="minorHAnsi" w:hAnsiTheme="minorHAnsi" w:cstheme="minorHAnsi"/>
                <w:color w:val="7B7B7B"/>
                <w:sz w:val="16"/>
                <w:szCs w:val="16"/>
              </w:rPr>
            </w:pPr>
            <w:r w:rsidRPr="004B030B">
              <w:rPr>
                <w:rFonts w:asciiTheme="minorHAnsi" w:hAnsiTheme="minorHAnsi" w:cstheme="minorHAnsi"/>
                <w:sz w:val="16"/>
                <w:szCs w:val="16"/>
              </w:rPr>
              <w:t xml:space="preserve">1) Domovní správa (byty + nebytové prostory) = 7 882 827 Kč,         </w:t>
            </w:r>
            <w:r w:rsidRPr="004B030B">
              <w:rPr>
                <w:rFonts w:asciiTheme="minorHAnsi" w:hAnsiTheme="minorHAnsi" w:cstheme="minorHAnsi"/>
                <w:color w:val="7B7B7B"/>
                <w:sz w:val="16"/>
                <w:szCs w:val="16"/>
              </w:rPr>
              <w:t xml:space="preserve">        </w:t>
            </w:r>
            <w:r w:rsidRPr="004B030B">
              <w:rPr>
                <w:rFonts w:asciiTheme="minorHAnsi" w:hAnsiTheme="minorHAnsi" w:cstheme="minorHAnsi"/>
                <w:color w:val="7B7B7B"/>
                <w:sz w:val="16"/>
                <w:szCs w:val="16"/>
              </w:rPr>
              <w:br/>
            </w:r>
            <w:r w:rsidRPr="004B030B">
              <w:rPr>
                <w:rFonts w:asciiTheme="minorHAnsi" w:hAnsiTheme="minorHAnsi" w:cstheme="minorHAnsi"/>
                <w:sz w:val="16"/>
                <w:szCs w:val="16"/>
              </w:rPr>
              <w:t>2) Náhrada škody = 31 682 Kč,</w:t>
            </w:r>
            <w:r w:rsidRPr="004B030B">
              <w:rPr>
                <w:rFonts w:asciiTheme="minorHAnsi" w:hAnsiTheme="minorHAnsi" w:cstheme="minorHAnsi"/>
                <w:color w:val="7B7B7B"/>
                <w:sz w:val="16"/>
                <w:szCs w:val="16"/>
              </w:rPr>
              <w:br/>
            </w:r>
            <w:r w:rsidRPr="004B030B">
              <w:rPr>
                <w:rFonts w:asciiTheme="minorHAnsi" w:hAnsiTheme="minorHAnsi" w:cstheme="minorHAnsi"/>
                <w:sz w:val="16"/>
                <w:szCs w:val="16"/>
              </w:rPr>
              <w:t>3) Hrobní místa = 121 398 Kč,</w:t>
            </w:r>
            <w:r w:rsidRPr="004B030B">
              <w:rPr>
                <w:rFonts w:asciiTheme="minorHAnsi" w:hAnsiTheme="minorHAnsi" w:cstheme="minorHAnsi"/>
                <w:color w:val="7B7B7B"/>
                <w:sz w:val="16"/>
                <w:szCs w:val="16"/>
              </w:rPr>
              <w:br/>
            </w:r>
            <w:r w:rsidRPr="004B030B">
              <w:rPr>
                <w:rFonts w:asciiTheme="minorHAnsi" w:hAnsiTheme="minorHAnsi" w:cstheme="minorHAnsi"/>
                <w:sz w:val="16"/>
                <w:szCs w:val="16"/>
              </w:rPr>
              <w:t>4) Pohledávky odboru OSÚMM = 10 320 Kč,</w:t>
            </w:r>
            <w:r w:rsidRPr="004B030B">
              <w:rPr>
                <w:rFonts w:asciiTheme="minorHAnsi" w:hAnsiTheme="minorHAnsi" w:cstheme="minorHAnsi"/>
                <w:color w:val="7B7B7B"/>
                <w:sz w:val="16"/>
                <w:szCs w:val="16"/>
              </w:rPr>
              <w:br/>
            </w:r>
            <w:r w:rsidRPr="004B030B">
              <w:rPr>
                <w:rFonts w:asciiTheme="minorHAnsi" w:hAnsiTheme="minorHAnsi" w:cstheme="minorHAnsi"/>
                <w:sz w:val="16"/>
                <w:szCs w:val="16"/>
              </w:rPr>
              <w:t>5) Pokuty OSÚMM = 1 000 Kč.</w:t>
            </w:r>
          </w:p>
        </w:tc>
      </w:tr>
      <w:tr w:rsidR="0093272C" w:rsidTr="004B030B">
        <w:trPr>
          <w:trHeight w:val="301"/>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93272C" w:rsidRPr="004B030B" w:rsidRDefault="0093272C">
            <w:pPr>
              <w:rPr>
                <w:rFonts w:asciiTheme="minorHAnsi" w:hAnsiTheme="minorHAnsi" w:cstheme="minorHAnsi"/>
                <w:sz w:val="16"/>
                <w:szCs w:val="16"/>
              </w:rPr>
            </w:pPr>
            <w:r w:rsidRPr="004B030B">
              <w:rPr>
                <w:rFonts w:asciiTheme="minorHAnsi" w:hAnsiTheme="minorHAnsi" w:cstheme="minorHAnsi"/>
                <w:sz w:val="16"/>
                <w:szCs w:val="16"/>
              </w:rPr>
              <w:t>Domovní správa Prostějov, s. r. o.</w:t>
            </w:r>
          </w:p>
        </w:tc>
        <w:tc>
          <w:tcPr>
            <w:tcW w:w="483" w:type="dxa"/>
            <w:tcBorders>
              <w:top w:val="nil"/>
              <w:left w:val="nil"/>
              <w:bottom w:val="single" w:sz="4" w:space="0" w:color="auto"/>
              <w:right w:val="single" w:sz="4" w:space="0" w:color="auto"/>
            </w:tcBorders>
            <w:shd w:val="clear" w:color="auto" w:fill="auto"/>
            <w:noWrap/>
            <w:vAlign w:val="center"/>
            <w:hideMark/>
          </w:tcPr>
          <w:p w:rsidR="0093272C" w:rsidRPr="004B030B" w:rsidRDefault="0093272C">
            <w:pPr>
              <w:jc w:val="center"/>
              <w:rPr>
                <w:rFonts w:asciiTheme="minorHAnsi" w:hAnsiTheme="minorHAnsi" w:cstheme="minorHAnsi"/>
                <w:sz w:val="16"/>
                <w:szCs w:val="16"/>
              </w:rPr>
            </w:pPr>
            <w:r w:rsidRPr="004B030B">
              <w:rPr>
                <w:rFonts w:asciiTheme="minorHAnsi" w:hAnsiTheme="minorHAnsi" w:cstheme="minorHAnsi"/>
                <w:sz w:val="16"/>
                <w:szCs w:val="16"/>
              </w:rPr>
              <w:t> </w:t>
            </w:r>
          </w:p>
        </w:tc>
        <w:tc>
          <w:tcPr>
            <w:tcW w:w="1218" w:type="dxa"/>
            <w:tcBorders>
              <w:top w:val="nil"/>
              <w:left w:val="nil"/>
              <w:bottom w:val="single" w:sz="4" w:space="0" w:color="auto"/>
              <w:right w:val="single" w:sz="4" w:space="0" w:color="auto"/>
            </w:tcBorders>
            <w:shd w:val="clear" w:color="auto" w:fill="auto"/>
            <w:noWrap/>
            <w:vAlign w:val="center"/>
            <w:hideMark/>
          </w:tcPr>
          <w:p w:rsidR="0093272C" w:rsidRPr="004B030B" w:rsidRDefault="0093272C">
            <w:pPr>
              <w:jc w:val="right"/>
              <w:rPr>
                <w:rFonts w:asciiTheme="minorHAnsi" w:hAnsiTheme="minorHAnsi" w:cstheme="minorHAnsi"/>
                <w:sz w:val="16"/>
                <w:szCs w:val="16"/>
              </w:rPr>
            </w:pPr>
            <w:r w:rsidRPr="004B030B">
              <w:rPr>
                <w:rFonts w:asciiTheme="minorHAnsi" w:hAnsiTheme="minorHAnsi" w:cstheme="minorHAnsi"/>
                <w:sz w:val="16"/>
                <w:szCs w:val="16"/>
              </w:rPr>
              <w:t>25 702 541,00</w:t>
            </w:r>
          </w:p>
        </w:tc>
        <w:tc>
          <w:tcPr>
            <w:tcW w:w="5387" w:type="dxa"/>
            <w:tcBorders>
              <w:top w:val="nil"/>
              <w:left w:val="nil"/>
              <w:bottom w:val="single" w:sz="4" w:space="0" w:color="auto"/>
              <w:right w:val="single" w:sz="4" w:space="0" w:color="auto"/>
            </w:tcBorders>
            <w:shd w:val="clear" w:color="auto" w:fill="auto"/>
            <w:vAlign w:val="center"/>
            <w:hideMark/>
          </w:tcPr>
          <w:p w:rsidR="0093272C" w:rsidRPr="004B030B" w:rsidRDefault="0093272C">
            <w:pPr>
              <w:rPr>
                <w:rFonts w:asciiTheme="minorHAnsi" w:hAnsiTheme="minorHAnsi" w:cstheme="minorHAnsi"/>
                <w:sz w:val="16"/>
                <w:szCs w:val="16"/>
              </w:rPr>
            </w:pPr>
            <w:r w:rsidRPr="004B030B">
              <w:rPr>
                <w:rFonts w:asciiTheme="minorHAnsi" w:hAnsiTheme="minorHAnsi" w:cstheme="minorHAnsi"/>
                <w:sz w:val="16"/>
                <w:szCs w:val="16"/>
              </w:rPr>
              <w:t>Příslušenství k pohledávkám DSP z nájmů bytů.</w:t>
            </w:r>
          </w:p>
        </w:tc>
      </w:tr>
      <w:tr w:rsidR="0093272C" w:rsidTr="004B030B">
        <w:trPr>
          <w:trHeight w:val="301"/>
        </w:trPr>
        <w:tc>
          <w:tcPr>
            <w:tcW w:w="2405" w:type="dxa"/>
            <w:tcBorders>
              <w:top w:val="nil"/>
              <w:left w:val="single" w:sz="4" w:space="0" w:color="auto"/>
              <w:bottom w:val="single" w:sz="4" w:space="0" w:color="auto"/>
              <w:right w:val="single" w:sz="4" w:space="0" w:color="auto"/>
            </w:tcBorders>
            <w:shd w:val="clear" w:color="000000" w:fill="FFE699"/>
            <w:noWrap/>
            <w:vAlign w:val="center"/>
            <w:hideMark/>
          </w:tcPr>
          <w:p w:rsidR="0093272C" w:rsidRPr="004B030B" w:rsidRDefault="0093272C">
            <w:pPr>
              <w:rPr>
                <w:rFonts w:asciiTheme="minorHAnsi" w:hAnsiTheme="minorHAnsi" w:cstheme="minorHAnsi"/>
                <w:b/>
                <w:bCs/>
                <w:sz w:val="16"/>
                <w:szCs w:val="16"/>
              </w:rPr>
            </w:pPr>
            <w:r w:rsidRPr="004B030B">
              <w:rPr>
                <w:rFonts w:asciiTheme="minorHAnsi" w:hAnsiTheme="minorHAnsi" w:cstheme="minorHAnsi"/>
                <w:b/>
                <w:bCs/>
                <w:sz w:val="16"/>
                <w:szCs w:val="16"/>
              </w:rPr>
              <w:t>Celkem pohledávky po lhůtě splatnosti</w:t>
            </w:r>
          </w:p>
        </w:tc>
        <w:tc>
          <w:tcPr>
            <w:tcW w:w="483" w:type="dxa"/>
            <w:tcBorders>
              <w:top w:val="nil"/>
              <w:left w:val="nil"/>
              <w:bottom w:val="single" w:sz="4" w:space="0" w:color="auto"/>
              <w:right w:val="single" w:sz="4" w:space="0" w:color="auto"/>
            </w:tcBorders>
            <w:shd w:val="clear" w:color="000000" w:fill="FFE699"/>
            <w:noWrap/>
            <w:vAlign w:val="center"/>
            <w:hideMark/>
          </w:tcPr>
          <w:p w:rsidR="0093272C" w:rsidRPr="004B030B" w:rsidRDefault="0093272C">
            <w:pPr>
              <w:rPr>
                <w:rFonts w:asciiTheme="minorHAnsi" w:hAnsiTheme="minorHAnsi" w:cstheme="minorHAnsi"/>
                <w:b/>
                <w:bCs/>
                <w:sz w:val="16"/>
                <w:szCs w:val="16"/>
              </w:rPr>
            </w:pPr>
            <w:r w:rsidRPr="004B030B">
              <w:rPr>
                <w:rFonts w:asciiTheme="minorHAnsi" w:hAnsiTheme="minorHAnsi" w:cstheme="minorHAnsi"/>
                <w:b/>
                <w:bCs/>
                <w:sz w:val="16"/>
                <w:szCs w:val="16"/>
              </w:rPr>
              <w:t> </w:t>
            </w:r>
          </w:p>
        </w:tc>
        <w:tc>
          <w:tcPr>
            <w:tcW w:w="1218" w:type="dxa"/>
            <w:tcBorders>
              <w:top w:val="nil"/>
              <w:left w:val="nil"/>
              <w:bottom w:val="single" w:sz="4" w:space="0" w:color="auto"/>
              <w:right w:val="single" w:sz="4" w:space="0" w:color="auto"/>
            </w:tcBorders>
            <w:shd w:val="clear" w:color="000000" w:fill="FFE699"/>
            <w:noWrap/>
            <w:vAlign w:val="center"/>
            <w:hideMark/>
          </w:tcPr>
          <w:p w:rsidR="0093272C" w:rsidRPr="004B030B" w:rsidRDefault="0093272C">
            <w:pPr>
              <w:jc w:val="right"/>
              <w:rPr>
                <w:rFonts w:asciiTheme="minorHAnsi" w:hAnsiTheme="minorHAnsi" w:cstheme="minorHAnsi"/>
                <w:b/>
                <w:bCs/>
                <w:sz w:val="16"/>
                <w:szCs w:val="16"/>
              </w:rPr>
            </w:pPr>
            <w:r w:rsidRPr="004B030B">
              <w:rPr>
                <w:rFonts w:asciiTheme="minorHAnsi" w:hAnsiTheme="minorHAnsi" w:cstheme="minorHAnsi"/>
                <w:b/>
                <w:bCs/>
                <w:sz w:val="16"/>
                <w:szCs w:val="16"/>
              </w:rPr>
              <w:t>96 187 855,00</w:t>
            </w:r>
          </w:p>
        </w:tc>
        <w:tc>
          <w:tcPr>
            <w:tcW w:w="5387" w:type="dxa"/>
            <w:tcBorders>
              <w:top w:val="nil"/>
              <w:left w:val="nil"/>
              <w:bottom w:val="single" w:sz="4" w:space="0" w:color="auto"/>
              <w:right w:val="single" w:sz="4" w:space="0" w:color="auto"/>
            </w:tcBorders>
            <w:shd w:val="clear" w:color="000000" w:fill="000000"/>
            <w:noWrap/>
            <w:vAlign w:val="center"/>
            <w:hideMark/>
          </w:tcPr>
          <w:p w:rsidR="0093272C" w:rsidRPr="004B030B" w:rsidRDefault="0093272C">
            <w:pPr>
              <w:rPr>
                <w:rFonts w:asciiTheme="minorHAnsi" w:hAnsiTheme="minorHAnsi" w:cstheme="minorHAnsi"/>
                <w:b/>
                <w:bCs/>
                <w:sz w:val="16"/>
                <w:szCs w:val="16"/>
              </w:rPr>
            </w:pPr>
            <w:r w:rsidRPr="004B030B">
              <w:rPr>
                <w:rFonts w:asciiTheme="minorHAnsi" w:hAnsiTheme="minorHAnsi" w:cstheme="minorHAnsi"/>
                <w:b/>
                <w:bCs/>
                <w:sz w:val="16"/>
                <w:szCs w:val="16"/>
              </w:rPr>
              <w:t> </w:t>
            </w:r>
          </w:p>
        </w:tc>
      </w:tr>
    </w:tbl>
    <w:p w:rsidR="0093272C" w:rsidRDefault="0093272C" w:rsidP="0093272C"/>
    <w:p w:rsidR="0093272C" w:rsidRPr="0093272C" w:rsidRDefault="0093272C" w:rsidP="0093272C"/>
    <w:p w:rsidR="003D13D9" w:rsidRDefault="003D13D9" w:rsidP="003D13D9"/>
    <w:p w:rsidR="003D13D9" w:rsidRPr="003D13D9" w:rsidRDefault="003D13D9" w:rsidP="003D13D9"/>
    <w:p w:rsidR="00400DA7" w:rsidRPr="009D7E1B" w:rsidRDefault="00400DA7" w:rsidP="003840A7">
      <w:pPr>
        <w:spacing w:after="120"/>
        <w:rPr>
          <w:rFonts w:ascii="Calibri" w:hAnsi="Calibri"/>
          <w:b/>
          <w:color w:val="BFBFBF" w:themeColor="background1" w:themeShade="BF"/>
          <w:sz w:val="20"/>
          <w:szCs w:val="20"/>
          <w:u w:val="single"/>
        </w:rPr>
      </w:pPr>
    </w:p>
    <w:p w:rsidR="00400DA7" w:rsidRPr="009D7E1B" w:rsidRDefault="00400DA7">
      <w:pPr>
        <w:rPr>
          <w:rFonts w:ascii="Calibri" w:hAnsi="Calibri"/>
          <w:b/>
          <w:color w:val="BFBFBF" w:themeColor="background1" w:themeShade="BF"/>
          <w:sz w:val="20"/>
          <w:szCs w:val="20"/>
          <w:u w:val="single"/>
        </w:rPr>
      </w:pPr>
      <w:r w:rsidRPr="009D7E1B">
        <w:rPr>
          <w:rFonts w:ascii="Calibri" w:hAnsi="Calibri"/>
          <w:b/>
          <w:color w:val="BFBFBF" w:themeColor="background1" w:themeShade="BF"/>
          <w:sz w:val="20"/>
          <w:szCs w:val="20"/>
          <w:u w:val="single"/>
        </w:rPr>
        <w:br w:type="page"/>
      </w:r>
    </w:p>
    <w:p w:rsidR="003840A7" w:rsidRPr="003D13D9" w:rsidRDefault="003840A7" w:rsidP="00CA6C24">
      <w:pPr>
        <w:pStyle w:val="Nadpis2"/>
      </w:pPr>
      <w:bookmarkStart w:id="58" w:name="_Toc39129546"/>
      <w:r w:rsidRPr="003D13D9">
        <w:lastRenderedPageBreak/>
        <w:t>Obchodní korporace založené městem, kde jediným společníkem je statutární město Prostějov</w:t>
      </w:r>
      <w:bookmarkEnd w:id="58"/>
    </w:p>
    <w:p w:rsidR="003840A7" w:rsidRPr="003D13D9" w:rsidRDefault="003840A7" w:rsidP="003840A7">
      <w:pPr>
        <w:spacing w:after="120"/>
        <w:jc w:val="both"/>
        <w:rPr>
          <w:rFonts w:ascii="Calibri" w:hAnsi="Calibri"/>
          <w:sz w:val="22"/>
          <w:szCs w:val="22"/>
        </w:rPr>
      </w:pPr>
      <w:r w:rsidRPr="003D13D9">
        <w:rPr>
          <w:rFonts w:ascii="Calibri" w:hAnsi="Calibri"/>
          <w:sz w:val="22"/>
          <w:szCs w:val="22"/>
        </w:rPr>
        <w:t xml:space="preserve">Výsledky hospodaření </w:t>
      </w:r>
      <w:r w:rsidR="008D6112" w:rsidRPr="003D13D9">
        <w:rPr>
          <w:rFonts w:ascii="Calibri" w:hAnsi="Calibri"/>
          <w:sz w:val="22"/>
          <w:szCs w:val="22"/>
        </w:rPr>
        <w:t>za účetní období 202</w:t>
      </w:r>
      <w:r w:rsidR="004B030B">
        <w:rPr>
          <w:rFonts w:ascii="Calibri" w:hAnsi="Calibri"/>
          <w:sz w:val="22"/>
          <w:szCs w:val="22"/>
        </w:rPr>
        <w:t>2</w:t>
      </w:r>
      <w:r w:rsidR="00D6125C" w:rsidRPr="003D13D9">
        <w:rPr>
          <w:rFonts w:ascii="Calibri" w:hAnsi="Calibri"/>
          <w:sz w:val="22"/>
          <w:szCs w:val="22"/>
        </w:rPr>
        <w:t xml:space="preserve"> u </w:t>
      </w:r>
      <w:r w:rsidRPr="003D13D9">
        <w:rPr>
          <w:rFonts w:ascii="Calibri" w:hAnsi="Calibri"/>
          <w:sz w:val="22"/>
          <w:szCs w:val="22"/>
        </w:rPr>
        <w:t>obchodních korporací založených městem, kde jediným společníkem je statutární město Prostějov (</w:t>
      </w:r>
      <w:r w:rsidR="00D6125C" w:rsidRPr="003D13D9">
        <w:rPr>
          <w:rFonts w:ascii="Calibri" w:hAnsi="Calibri"/>
          <w:sz w:val="22"/>
          <w:szCs w:val="22"/>
        </w:rPr>
        <w:t>DPS, s.</w:t>
      </w:r>
      <w:r w:rsidR="003D13D9">
        <w:rPr>
          <w:rFonts w:ascii="Calibri" w:hAnsi="Calibri"/>
          <w:sz w:val="22"/>
          <w:szCs w:val="22"/>
        </w:rPr>
        <w:t xml:space="preserve"> </w:t>
      </w:r>
      <w:r w:rsidR="00D6125C" w:rsidRPr="003D13D9">
        <w:rPr>
          <w:rFonts w:ascii="Calibri" w:hAnsi="Calibri"/>
          <w:sz w:val="22"/>
          <w:szCs w:val="22"/>
        </w:rPr>
        <w:t>r.</w:t>
      </w:r>
      <w:r w:rsidR="003D13D9">
        <w:rPr>
          <w:rFonts w:ascii="Calibri" w:hAnsi="Calibri"/>
          <w:sz w:val="22"/>
          <w:szCs w:val="22"/>
        </w:rPr>
        <w:t xml:space="preserve"> </w:t>
      </w:r>
      <w:r w:rsidR="00D6125C" w:rsidRPr="003D13D9">
        <w:rPr>
          <w:rFonts w:ascii="Calibri" w:hAnsi="Calibri"/>
          <w:sz w:val="22"/>
          <w:szCs w:val="22"/>
        </w:rPr>
        <w:t xml:space="preserve">o., </w:t>
      </w:r>
      <w:r w:rsidR="00455804" w:rsidRPr="003D13D9">
        <w:rPr>
          <w:rFonts w:ascii="Calibri" w:hAnsi="Calibri"/>
          <w:sz w:val="22"/>
          <w:szCs w:val="22"/>
        </w:rPr>
        <w:t>LMP, s.</w:t>
      </w:r>
      <w:r w:rsidR="003D13D9">
        <w:rPr>
          <w:rFonts w:ascii="Calibri" w:hAnsi="Calibri"/>
          <w:sz w:val="22"/>
          <w:szCs w:val="22"/>
        </w:rPr>
        <w:t xml:space="preserve"> </w:t>
      </w:r>
      <w:r w:rsidR="00455804" w:rsidRPr="003D13D9">
        <w:rPr>
          <w:rFonts w:ascii="Calibri" w:hAnsi="Calibri"/>
          <w:sz w:val="22"/>
          <w:szCs w:val="22"/>
        </w:rPr>
        <w:t>r.</w:t>
      </w:r>
      <w:r w:rsidR="003D13D9">
        <w:rPr>
          <w:rFonts w:ascii="Calibri" w:hAnsi="Calibri"/>
          <w:sz w:val="22"/>
          <w:szCs w:val="22"/>
        </w:rPr>
        <w:t xml:space="preserve"> </w:t>
      </w:r>
      <w:r w:rsidRPr="003D13D9">
        <w:rPr>
          <w:rFonts w:ascii="Calibri" w:hAnsi="Calibri"/>
          <w:sz w:val="22"/>
          <w:szCs w:val="22"/>
        </w:rPr>
        <w:t xml:space="preserve">o.,), </w:t>
      </w:r>
      <w:r w:rsidR="00D6125C" w:rsidRPr="003D13D9">
        <w:rPr>
          <w:rFonts w:ascii="Calibri" w:hAnsi="Calibri"/>
          <w:sz w:val="22"/>
          <w:szCs w:val="22"/>
        </w:rPr>
        <w:t xml:space="preserve">budou </w:t>
      </w:r>
      <w:r w:rsidR="003D13D9" w:rsidRPr="003D13D9">
        <w:rPr>
          <w:rFonts w:ascii="Calibri" w:hAnsi="Calibri"/>
          <w:sz w:val="22"/>
          <w:szCs w:val="22"/>
        </w:rPr>
        <w:t>projednány samostatně při </w:t>
      </w:r>
      <w:r w:rsidRPr="003D13D9">
        <w:rPr>
          <w:rFonts w:ascii="Calibri" w:hAnsi="Calibri"/>
          <w:sz w:val="22"/>
          <w:szCs w:val="22"/>
        </w:rPr>
        <w:t>jednání R</w:t>
      </w:r>
      <w:r w:rsidR="00D6125C" w:rsidRPr="003D13D9">
        <w:rPr>
          <w:rFonts w:ascii="Calibri" w:hAnsi="Calibri"/>
          <w:sz w:val="22"/>
          <w:szCs w:val="22"/>
        </w:rPr>
        <w:t>ady města Prostějova</w:t>
      </w:r>
      <w:r w:rsidRPr="003D13D9">
        <w:rPr>
          <w:rFonts w:ascii="Calibri" w:hAnsi="Calibri"/>
          <w:sz w:val="22"/>
          <w:szCs w:val="22"/>
        </w:rPr>
        <w:t xml:space="preserve"> v působnosti valných hromad těchto korporací. Výroční zprávy těchto obchodních korporací budou předloženy jednateli korporací samostatně tak, aby mohly být součástí závěrečného účtu statutárního města Prostějova </w:t>
      </w:r>
      <w:r w:rsidR="009857BA" w:rsidRPr="003D13D9">
        <w:rPr>
          <w:rFonts w:ascii="Calibri" w:hAnsi="Calibri"/>
          <w:sz w:val="22"/>
          <w:szCs w:val="22"/>
        </w:rPr>
        <w:t>za</w:t>
      </w:r>
      <w:r w:rsidR="003D13D9" w:rsidRPr="003D13D9">
        <w:rPr>
          <w:rFonts w:ascii="Calibri" w:hAnsi="Calibri"/>
          <w:sz w:val="22"/>
          <w:szCs w:val="22"/>
        </w:rPr>
        <w:t> rok 202</w:t>
      </w:r>
      <w:r w:rsidR="004B030B">
        <w:rPr>
          <w:rFonts w:ascii="Calibri" w:hAnsi="Calibri"/>
          <w:sz w:val="22"/>
          <w:szCs w:val="22"/>
        </w:rPr>
        <w:t>2</w:t>
      </w:r>
      <w:r w:rsidRPr="003D13D9">
        <w:rPr>
          <w:rFonts w:ascii="Calibri" w:hAnsi="Calibri"/>
          <w:sz w:val="22"/>
          <w:szCs w:val="22"/>
        </w:rPr>
        <w:t xml:space="preserve"> při jeho schvalování </w:t>
      </w:r>
      <w:r w:rsidR="00D6125C" w:rsidRPr="003D13D9">
        <w:rPr>
          <w:rFonts w:ascii="Calibri" w:hAnsi="Calibri"/>
          <w:sz w:val="22"/>
          <w:szCs w:val="22"/>
        </w:rPr>
        <w:t>Zastupitelstvem města Prostějova</w:t>
      </w:r>
      <w:r w:rsidRPr="003D13D9">
        <w:rPr>
          <w:rFonts w:ascii="Calibri" w:hAnsi="Calibri"/>
          <w:sz w:val="22"/>
          <w:szCs w:val="22"/>
        </w:rPr>
        <w:t xml:space="preserve"> dne 1</w:t>
      </w:r>
      <w:r w:rsidR="004B030B">
        <w:rPr>
          <w:rFonts w:ascii="Calibri" w:hAnsi="Calibri"/>
          <w:sz w:val="22"/>
          <w:szCs w:val="22"/>
        </w:rPr>
        <w:t xml:space="preserve">3. </w:t>
      </w:r>
      <w:r w:rsidR="008D6112" w:rsidRPr="003D13D9">
        <w:rPr>
          <w:rFonts w:ascii="Calibri" w:hAnsi="Calibri"/>
          <w:sz w:val="22"/>
          <w:szCs w:val="22"/>
        </w:rPr>
        <w:t>6.</w:t>
      </w:r>
      <w:r w:rsidR="003D13D9" w:rsidRPr="003D13D9">
        <w:rPr>
          <w:rFonts w:ascii="Calibri" w:hAnsi="Calibri"/>
          <w:sz w:val="22"/>
          <w:szCs w:val="22"/>
        </w:rPr>
        <w:t xml:space="preserve"> </w:t>
      </w:r>
      <w:r w:rsidR="008D6112" w:rsidRPr="003D13D9">
        <w:rPr>
          <w:rFonts w:ascii="Calibri" w:hAnsi="Calibri"/>
          <w:sz w:val="22"/>
          <w:szCs w:val="22"/>
        </w:rPr>
        <w:t>202</w:t>
      </w:r>
      <w:r w:rsidR="004B030B">
        <w:rPr>
          <w:rFonts w:ascii="Calibri" w:hAnsi="Calibri"/>
          <w:sz w:val="22"/>
          <w:szCs w:val="22"/>
        </w:rPr>
        <w:t>3</w:t>
      </w:r>
      <w:r w:rsidRPr="003D13D9">
        <w:rPr>
          <w:rFonts w:ascii="Calibri" w:hAnsi="Calibri"/>
          <w:sz w:val="22"/>
          <w:szCs w:val="22"/>
        </w:rPr>
        <w:t>.</w:t>
      </w:r>
    </w:p>
    <w:p w:rsidR="004B030B" w:rsidRPr="005B6B5D" w:rsidRDefault="002E547D" w:rsidP="002E547D">
      <w:pPr>
        <w:spacing w:after="120"/>
        <w:jc w:val="both"/>
        <w:rPr>
          <w:rFonts w:ascii="Calibri" w:hAnsi="Calibri"/>
          <w:color w:val="000000" w:themeColor="text1"/>
          <w:sz w:val="22"/>
          <w:szCs w:val="22"/>
        </w:rPr>
      </w:pPr>
      <w:r w:rsidRPr="003D13D9">
        <w:rPr>
          <w:rFonts w:ascii="Calibri" w:hAnsi="Calibri"/>
          <w:sz w:val="22"/>
          <w:szCs w:val="22"/>
        </w:rPr>
        <w:t xml:space="preserve">Obchodní společnost </w:t>
      </w:r>
      <w:r w:rsidRPr="003D13D9">
        <w:rPr>
          <w:rFonts w:ascii="Calibri" w:hAnsi="Calibri"/>
          <w:b/>
          <w:sz w:val="22"/>
          <w:szCs w:val="22"/>
        </w:rPr>
        <w:t>Domovní správa Prostějov, s.</w:t>
      </w:r>
      <w:r w:rsidR="003D13D9" w:rsidRPr="003D13D9">
        <w:rPr>
          <w:rFonts w:ascii="Calibri" w:hAnsi="Calibri"/>
          <w:b/>
          <w:sz w:val="22"/>
          <w:szCs w:val="22"/>
        </w:rPr>
        <w:t xml:space="preserve"> </w:t>
      </w:r>
      <w:r w:rsidRPr="003D13D9">
        <w:rPr>
          <w:rFonts w:ascii="Calibri" w:hAnsi="Calibri"/>
          <w:b/>
          <w:sz w:val="22"/>
          <w:szCs w:val="22"/>
        </w:rPr>
        <w:t>r.</w:t>
      </w:r>
      <w:r w:rsidR="003D13D9" w:rsidRPr="003D13D9">
        <w:rPr>
          <w:rFonts w:ascii="Calibri" w:hAnsi="Calibri"/>
          <w:b/>
          <w:sz w:val="22"/>
          <w:szCs w:val="22"/>
        </w:rPr>
        <w:t xml:space="preserve"> </w:t>
      </w:r>
      <w:r w:rsidRPr="003D13D9">
        <w:rPr>
          <w:rFonts w:ascii="Calibri" w:hAnsi="Calibri"/>
          <w:b/>
          <w:sz w:val="22"/>
          <w:szCs w:val="22"/>
        </w:rPr>
        <w:t>o.</w:t>
      </w:r>
      <w:r w:rsidR="009C6DB5" w:rsidRPr="003D13D9">
        <w:rPr>
          <w:rFonts w:ascii="Calibri" w:hAnsi="Calibri"/>
          <w:sz w:val="22"/>
          <w:szCs w:val="22"/>
        </w:rPr>
        <w:t>,</w:t>
      </w:r>
      <w:r w:rsidRPr="003D13D9">
        <w:rPr>
          <w:rFonts w:ascii="Calibri" w:hAnsi="Calibri"/>
          <w:sz w:val="22"/>
          <w:szCs w:val="22"/>
        </w:rPr>
        <w:t xml:space="preserve"> vykazuje k 31</w:t>
      </w:r>
      <w:r w:rsidR="00D04F4F" w:rsidRPr="003D13D9">
        <w:rPr>
          <w:rFonts w:ascii="Calibri" w:hAnsi="Calibri"/>
          <w:sz w:val="22"/>
          <w:szCs w:val="22"/>
        </w:rPr>
        <w:t>.</w:t>
      </w:r>
      <w:r w:rsidR="003D13D9" w:rsidRPr="003D13D9">
        <w:rPr>
          <w:rFonts w:ascii="Calibri" w:hAnsi="Calibri"/>
          <w:sz w:val="22"/>
          <w:szCs w:val="22"/>
        </w:rPr>
        <w:t xml:space="preserve"> </w:t>
      </w:r>
      <w:r w:rsidR="00D04F4F" w:rsidRPr="003D13D9">
        <w:rPr>
          <w:rFonts w:ascii="Calibri" w:hAnsi="Calibri"/>
          <w:sz w:val="22"/>
          <w:szCs w:val="22"/>
        </w:rPr>
        <w:t>12.</w:t>
      </w:r>
      <w:r w:rsidR="003D13D9" w:rsidRPr="003D13D9">
        <w:rPr>
          <w:rFonts w:ascii="Calibri" w:hAnsi="Calibri"/>
          <w:sz w:val="22"/>
          <w:szCs w:val="22"/>
        </w:rPr>
        <w:t xml:space="preserve"> </w:t>
      </w:r>
      <w:r w:rsidR="00D04F4F" w:rsidRPr="003D13D9">
        <w:rPr>
          <w:rFonts w:ascii="Calibri" w:hAnsi="Calibri"/>
          <w:sz w:val="22"/>
          <w:szCs w:val="22"/>
        </w:rPr>
        <w:t>202</w:t>
      </w:r>
      <w:r w:rsidR="004B030B">
        <w:rPr>
          <w:rFonts w:ascii="Calibri" w:hAnsi="Calibri"/>
          <w:sz w:val="22"/>
          <w:szCs w:val="22"/>
        </w:rPr>
        <w:t>2</w:t>
      </w:r>
      <w:r w:rsidR="00E27B18">
        <w:rPr>
          <w:rFonts w:ascii="Calibri" w:hAnsi="Calibri"/>
          <w:sz w:val="22"/>
          <w:szCs w:val="22"/>
        </w:rPr>
        <w:t xml:space="preserve"> hospodářský výsledek před </w:t>
      </w:r>
      <w:r w:rsidRPr="003D13D9">
        <w:rPr>
          <w:rFonts w:ascii="Calibri" w:hAnsi="Calibri"/>
          <w:sz w:val="22"/>
          <w:szCs w:val="22"/>
        </w:rPr>
        <w:t>zdanění</w:t>
      </w:r>
      <w:r w:rsidR="00E27B18">
        <w:rPr>
          <w:rFonts w:ascii="Calibri" w:hAnsi="Calibri"/>
          <w:sz w:val="22"/>
          <w:szCs w:val="22"/>
        </w:rPr>
        <w:t>m</w:t>
      </w:r>
      <w:r w:rsidRPr="003D13D9">
        <w:rPr>
          <w:rFonts w:ascii="Calibri" w:hAnsi="Calibri"/>
          <w:sz w:val="22"/>
          <w:szCs w:val="22"/>
        </w:rPr>
        <w:t xml:space="preserve"> v celkové výši </w:t>
      </w:r>
      <w:r w:rsidR="004B030B">
        <w:rPr>
          <w:rFonts w:ascii="Calibri" w:hAnsi="Calibri"/>
          <w:sz w:val="22"/>
          <w:szCs w:val="22"/>
        </w:rPr>
        <w:t>3 563 649,49</w:t>
      </w:r>
      <w:r w:rsidRPr="003D13D9">
        <w:rPr>
          <w:rFonts w:ascii="Calibri" w:hAnsi="Calibri"/>
          <w:sz w:val="22"/>
          <w:szCs w:val="22"/>
        </w:rPr>
        <w:t xml:space="preserve"> Kč.</w:t>
      </w:r>
      <w:r w:rsidRPr="009D7E1B">
        <w:rPr>
          <w:rFonts w:ascii="Calibri" w:hAnsi="Calibri"/>
          <w:color w:val="BFBFBF" w:themeColor="background1" w:themeShade="BF"/>
          <w:sz w:val="22"/>
          <w:szCs w:val="22"/>
        </w:rPr>
        <w:t xml:space="preserve"> </w:t>
      </w:r>
      <w:r w:rsidR="004B030B" w:rsidRPr="004B030B">
        <w:rPr>
          <w:rFonts w:ascii="Calibri" w:hAnsi="Calibri"/>
          <w:color w:val="000000" w:themeColor="text1"/>
          <w:sz w:val="22"/>
          <w:szCs w:val="22"/>
        </w:rPr>
        <w:t>Te</w:t>
      </w:r>
      <w:r w:rsidR="004B030B">
        <w:rPr>
          <w:rFonts w:ascii="Calibri" w:hAnsi="Calibri"/>
          <w:color w:val="000000" w:themeColor="text1"/>
          <w:sz w:val="22"/>
          <w:szCs w:val="22"/>
        </w:rPr>
        <w:t>nto výsledek především ovlivnil mírný průběh topné sezony v roce 2022 s nižšími dodávkami tepla o 11 886 GJ proti plánu roku 2022. Výsledek hospodaření dále výrazně ovlivňují vysoké odpisy dlouhodobého majetku na aquaparku celkem ve výši 3,455 mil. K</w:t>
      </w:r>
      <w:r w:rsidR="005B6B5D">
        <w:rPr>
          <w:rFonts w:ascii="Calibri" w:hAnsi="Calibri"/>
          <w:color w:val="000000" w:themeColor="text1"/>
          <w:sz w:val="22"/>
          <w:szCs w:val="22"/>
        </w:rPr>
        <w:t>č a </w:t>
      </w:r>
      <w:r w:rsidR="004B030B">
        <w:rPr>
          <w:rFonts w:ascii="Calibri" w:hAnsi="Calibri"/>
          <w:color w:val="000000" w:themeColor="text1"/>
          <w:sz w:val="22"/>
          <w:szCs w:val="22"/>
        </w:rPr>
        <w:t>p</w:t>
      </w:r>
      <w:r w:rsidR="0040448B">
        <w:rPr>
          <w:rFonts w:ascii="Calibri" w:hAnsi="Calibri"/>
          <w:color w:val="000000" w:themeColor="text1"/>
          <w:sz w:val="22"/>
          <w:szCs w:val="22"/>
        </w:rPr>
        <w:t>rovozní zisk aquaparku ve výši</w:t>
      </w:r>
      <w:r w:rsidR="004B030B">
        <w:rPr>
          <w:rFonts w:ascii="Calibri" w:hAnsi="Calibri"/>
          <w:color w:val="000000" w:themeColor="text1"/>
          <w:sz w:val="22"/>
          <w:szCs w:val="22"/>
        </w:rPr>
        <w:t xml:space="preserve"> 391 tis. Kč. Uvedený hospodářský výsledek z vlastní činnosti koriguje v účetních výkazech odložená daň z příjmů ve výši 600 707 Kč. Hospodářský výsledek po zdanění za rok 2022 činí celkem </w:t>
      </w:r>
      <w:r w:rsidR="005B6B5D">
        <w:rPr>
          <w:rFonts w:ascii="Calibri" w:hAnsi="Calibri"/>
          <w:color w:val="000000" w:themeColor="text1"/>
          <w:sz w:val="22"/>
          <w:szCs w:val="22"/>
        </w:rPr>
        <w:t>2 962 942,49 Kč.</w:t>
      </w:r>
    </w:p>
    <w:p w:rsidR="002E547D" w:rsidRDefault="00505B11" w:rsidP="002E547D">
      <w:pPr>
        <w:spacing w:after="120"/>
        <w:jc w:val="both"/>
        <w:rPr>
          <w:rFonts w:ascii="Calibri" w:hAnsi="Calibri"/>
          <w:sz w:val="22"/>
          <w:szCs w:val="22"/>
        </w:rPr>
      </w:pPr>
      <w:r w:rsidRPr="00FB7F20">
        <w:rPr>
          <w:rFonts w:ascii="Calibri" w:hAnsi="Calibri"/>
          <w:sz w:val="22"/>
          <w:szCs w:val="22"/>
        </w:rPr>
        <w:t>V roce 202</w:t>
      </w:r>
      <w:r w:rsidR="005B6B5D">
        <w:rPr>
          <w:rFonts w:ascii="Calibri" w:hAnsi="Calibri"/>
          <w:sz w:val="22"/>
          <w:szCs w:val="22"/>
        </w:rPr>
        <w:t>2</w:t>
      </w:r>
      <w:r w:rsidR="002E547D" w:rsidRPr="00FB7F20">
        <w:rPr>
          <w:rFonts w:ascii="Calibri" w:hAnsi="Calibri"/>
          <w:sz w:val="22"/>
          <w:szCs w:val="22"/>
        </w:rPr>
        <w:t xml:space="preserve"> dosáhla společnost </w:t>
      </w:r>
      <w:r w:rsidR="002E547D" w:rsidRPr="00FB7F20">
        <w:rPr>
          <w:rFonts w:ascii="Calibri" w:hAnsi="Calibri"/>
          <w:b/>
          <w:sz w:val="22"/>
          <w:szCs w:val="22"/>
        </w:rPr>
        <w:t>Lesy města Prostějova, s.</w:t>
      </w:r>
      <w:r w:rsidR="00FB7F20" w:rsidRPr="00FB7F20">
        <w:rPr>
          <w:rFonts w:ascii="Calibri" w:hAnsi="Calibri"/>
          <w:b/>
          <w:sz w:val="22"/>
          <w:szCs w:val="22"/>
        </w:rPr>
        <w:t xml:space="preserve"> </w:t>
      </w:r>
      <w:r w:rsidR="002E547D" w:rsidRPr="00FB7F20">
        <w:rPr>
          <w:rFonts w:ascii="Calibri" w:hAnsi="Calibri"/>
          <w:b/>
          <w:sz w:val="22"/>
          <w:szCs w:val="22"/>
        </w:rPr>
        <w:t>r.</w:t>
      </w:r>
      <w:r w:rsidR="00FB7F20" w:rsidRPr="00FB7F20">
        <w:rPr>
          <w:rFonts w:ascii="Calibri" w:hAnsi="Calibri"/>
          <w:b/>
          <w:sz w:val="22"/>
          <w:szCs w:val="22"/>
        </w:rPr>
        <w:t xml:space="preserve"> </w:t>
      </w:r>
      <w:r w:rsidR="002E547D" w:rsidRPr="00FB7F20">
        <w:rPr>
          <w:rFonts w:ascii="Calibri" w:hAnsi="Calibri"/>
          <w:b/>
          <w:sz w:val="22"/>
          <w:szCs w:val="22"/>
        </w:rPr>
        <w:t xml:space="preserve">o., </w:t>
      </w:r>
      <w:r w:rsidR="002E547D" w:rsidRPr="00FB7F20">
        <w:rPr>
          <w:rFonts w:ascii="Calibri" w:hAnsi="Calibri"/>
          <w:sz w:val="22"/>
          <w:szCs w:val="22"/>
        </w:rPr>
        <w:t xml:space="preserve">hospodářského výsledku ve výši </w:t>
      </w:r>
      <w:r w:rsidR="005B6B5D">
        <w:rPr>
          <w:rFonts w:ascii="Calibri" w:hAnsi="Calibri"/>
          <w:sz w:val="22"/>
          <w:szCs w:val="22"/>
        </w:rPr>
        <w:t>1 798 887,52</w:t>
      </w:r>
      <w:r w:rsidR="00FB7F20" w:rsidRPr="00FB7F20">
        <w:rPr>
          <w:rFonts w:ascii="Calibri" w:hAnsi="Calibri"/>
          <w:sz w:val="22"/>
          <w:szCs w:val="22"/>
        </w:rPr>
        <w:t xml:space="preserve"> </w:t>
      </w:r>
      <w:r w:rsidR="002E547D" w:rsidRPr="00FB7F20">
        <w:rPr>
          <w:rFonts w:ascii="Calibri" w:hAnsi="Calibri"/>
          <w:sz w:val="22"/>
          <w:szCs w:val="22"/>
        </w:rPr>
        <w:t xml:space="preserve">Kč před zdaněním. Po zdanění činí zisk společnosti </w:t>
      </w:r>
      <w:r w:rsidR="005B6B5D">
        <w:rPr>
          <w:rFonts w:ascii="Calibri" w:hAnsi="Calibri"/>
          <w:sz w:val="22"/>
          <w:szCs w:val="22"/>
        </w:rPr>
        <w:t>1 483 677,52</w:t>
      </w:r>
      <w:r w:rsidR="002E547D" w:rsidRPr="00FB7F20">
        <w:rPr>
          <w:rFonts w:ascii="Calibri" w:hAnsi="Calibri"/>
          <w:sz w:val="22"/>
          <w:szCs w:val="22"/>
        </w:rPr>
        <w:t xml:space="preserve"> Kč. </w:t>
      </w:r>
    </w:p>
    <w:p w:rsidR="00F03431" w:rsidRDefault="00F03431" w:rsidP="00F03431">
      <w:pPr>
        <w:pStyle w:val="Nadpis3"/>
      </w:pPr>
      <w:r w:rsidRPr="0061015F">
        <w:t>Výsledky hospodaření obchodních společností založené městem, kde jediným společníkem je statutární město Prostějov v tis. Kč.</w:t>
      </w:r>
    </w:p>
    <w:tbl>
      <w:tblPr>
        <w:tblW w:w="9493" w:type="dxa"/>
        <w:tblCellMar>
          <w:left w:w="70" w:type="dxa"/>
          <w:right w:w="70" w:type="dxa"/>
        </w:tblCellMar>
        <w:tblLook w:val="04A0" w:firstRow="1" w:lastRow="0" w:firstColumn="1" w:lastColumn="0" w:noHBand="0" w:noVBand="1"/>
      </w:tblPr>
      <w:tblGrid>
        <w:gridCol w:w="3256"/>
        <w:gridCol w:w="1134"/>
        <w:gridCol w:w="1134"/>
        <w:gridCol w:w="1984"/>
        <w:gridCol w:w="1985"/>
      </w:tblGrid>
      <w:tr w:rsidR="005B6B5D" w:rsidTr="00BA7468">
        <w:trPr>
          <w:trHeight w:val="720"/>
        </w:trPr>
        <w:tc>
          <w:tcPr>
            <w:tcW w:w="3256"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5B6B5D" w:rsidRPr="00BA7468" w:rsidRDefault="005B6B5D">
            <w:pPr>
              <w:rPr>
                <w:rFonts w:ascii="Calibri" w:hAnsi="Calibri" w:cs="Calibri"/>
                <w:b/>
                <w:bCs/>
                <w:sz w:val="20"/>
                <w:szCs w:val="20"/>
              </w:rPr>
            </w:pPr>
            <w:r w:rsidRPr="00BA7468">
              <w:rPr>
                <w:rFonts w:ascii="Calibri" w:hAnsi="Calibri" w:cs="Calibri"/>
                <w:b/>
                <w:bCs/>
                <w:sz w:val="20"/>
                <w:szCs w:val="20"/>
              </w:rPr>
              <w:t>Název obchodní korporace</w:t>
            </w:r>
          </w:p>
        </w:tc>
        <w:tc>
          <w:tcPr>
            <w:tcW w:w="1134" w:type="dxa"/>
            <w:tcBorders>
              <w:top w:val="single" w:sz="4" w:space="0" w:color="auto"/>
              <w:left w:val="nil"/>
              <w:bottom w:val="single" w:sz="4" w:space="0" w:color="auto"/>
              <w:right w:val="single" w:sz="4" w:space="0" w:color="auto"/>
            </w:tcBorders>
            <w:shd w:val="clear" w:color="000000" w:fill="FFC000"/>
            <w:noWrap/>
            <w:vAlign w:val="center"/>
            <w:hideMark/>
          </w:tcPr>
          <w:p w:rsidR="005B6B5D" w:rsidRPr="00BA7468" w:rsidRDefault="005B6B5D">
            <w:pPr>
              <w:jc w:val="center"/>
              <w:rPr>
                <w:rFonts w:ascii="Calibri" w:hAnsi="Calibri" w:cs="Calibri"/>
                <w:b/>
                <w:bCs/>
                <w:sz w:val="20"/>
                <w:szCs w:val="20"/>
              </w:rPr>
            </w:pPr>
            <w:r w:rsidRPr="00BA7468">
              <w:rPr>
                <w:rFonts w:ascii="Calibri" w:hAnsi="Calibri" w:cs="Calibri"/>
                <w:b/>
                <w:bCs/>
                <w:sz w:val="20"/>
                <w:szCs w:val="20"/>
              </w:rPr>
              <w:t>Výnosy</w:t>
            </w:r>
          </w:p>
        </w:tc>
        <w:tc>
          <w:tcPr>
            <w:tcW w:w="1134" w:type="dxa"/>
            <w:tcBorders>
              <w:top w:val="single" w:sz="4" w:space="0" w:color="auto"/>
              <w:left w:val="nil"/>
              <w:bottom w:val="single" w:sz="4" w:space="0" w:color="auto"/>
              <w:right w:val="single" w:sz="4" w:space="0" w:color="auto"/>
            </w:tcBorders>
            <w:shd w:val="clear" w:color="000000" w:fill="FFC000"/>
            <w:noWrap/>
            <w:vAlign w:val="center"/>
            <w:hideMark/>
          </w:tcPr>
          <w:p w:rsidR="005B6B5D" w:rsidRPr="00BA7468" w:rsidRDefault="005B6B5D">
            <w:pPr>
              <w:jc w:val="center"/>
              <w:rPr>
                <w:rFonts w:ascii="Calibri" w:hAnsi="Calibri" w:cs="Calibri"/>
                <w:b/>
                <w:bCs/>
                <w:sz w:val="20"/>
                <w:szCs w:val="20"/>
              </w:rPr>
            </w:pPr>
            <w:r w:rsidRPr="00BA7468">
              <w:rPr>
                <w:rFonts w:ascii="Calibri" w:hAnsi="Calibri" w:cs="Calibri"/>
                <w:b/>
                <w:bCs/>
                <w:sz w:val="20"/>
                <w:szCs w:val="20"/>
              </w:rPr>
              <w:t>Náklady</w:t>
            </w:r>
          </w:p>
        </w:tc>
        <w:tc>
          <w:tcPr>
            <w:tcW w:w="1984" w:type="dxa"/>
            <w:tcBorders>
              <w:top w:val="single" w:sz="4" w:space="0" w:color="auto"/>
              <w:left w:val="nil"/>
              <w:bottom w:val="single" w:sz="4" w:space="0" w:color="auto"/>
              <w:right w:val="single" w:sz="4" w:space="0" w:color="auto"/>
            </w:tcBorders>
            <w:shd w:val="clear" w:color="000000" w:fill="FFC000"/>
            <w:vAlign w:val="center"/>
            <w:hideMark/>
          </w:tcPr>
          <w:p w:rsidR="005B6B5D" w:rsidRPr="00BA7468" w:rsidRDefault="005B6B5D">
            <w:pPr>
              <w:jc w:val="center"/>
              <w:rPr>
                <w:rFonts w:ascii="Calibri" w:hAnsi="Calibri" w:cs="Calibri"/>
                <w:b/>
                <w:bCs/>
                <w:sz w:val="20"/>
                <w:szCs w:val="20"/>
              </w:rPr>
            </w:pPr>
            <w:r w:rsidRPr="00BA7468">
              <w:rPr>
                <w:rFonts w:ascii="Calibri" w:hAnsi="Calibri" w:cs="Calibri"/>
                <w:b/>
                <w:bCs/>
                <w:sz w:val="20"/>
                <w:szCs w:val="20"/>
              </w:rPr>
              <w:t>Výsledek hospodaření před zdaněním</w:t>
            </w:r>
          </w:p>
        </w:tc>
        <w:tc>
          <w:tcPr>
            <w:tcW w:w="1985" w:type="dxa"/>
            <w:tcBorders>
              <w:top w:val="single" w:sz="4" w:space="0" w:color="auto"/>
              <w:left w:val="nil"/>
              <w:bottom w:val="single" w:sz="4" w:space="0" w:color="auto"/>
              <w:right w:val="single" w:sz="4" w:space="0" w:color="auto"/>
            </w:tcBorders>
            <w:shd w:val="clear" w:color="000000" w:fill="FFC000"/>
            <w:vAlign w:val="center"/>
            <w:hideMark/>
          </w:tcPr>
          <w:p w:rsidR="005B6B5D" w:rsidRPr="00BA7468" w:rsidRDefault="005B6B5D">
            <w:pPr>
              <w:jc w:val="center"/>
              <w:rPr>
                <w:rFonts w:ascii="Calibri" w:hAnsi="Calibri" w:cs="Calibri"/>
                <w:b/>
                <w:bCs/>
                <w:sz w:val="20"/>
                <w:szCs w:val="20"/>
              </w:rPr>
            </w:pPr>
            <w:r w:rsidRPr="00BA7468">
              <w:rPr>
                <w:rFonts w:ascii="Calibri" w:hAnsi="Calibri" w:cs="Calibri"/>
                <w:b/>
                <w:bCs/>
                <w:sz w:val="20"/>
                <w:szCs w:val="20"/>
              </w:rPr>
              <w:t>Výsledek hospodaření po zdanění</w:t>
            </w:r>
          </w:p>
        </w:tc>
      </w:tr>
      <w:tr w:rsidR="005B6B5D" w:rsidTr="00BA7468">
        <w:trPr>
          <w:trHeight w:val="288"/>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rsidR="005B6B5D" w:rsidRPr="00BA7468" w:rsidRDefault="005B6B5D">
            <w:pPr>
              <w:rPr>
                <w:rFonts w:ascii="Calibri" w:hAnsi="Calibri" w:cs="Calibri"/>
                <w:sz w:val="20"/>
                <w:szCs w:val="20"/>
              </w:rPr>
            </w:pPr>
            <w:r w:rsidRPr="00BA7468">
              <w:rPr>
                <w:rFonts w:ascii="Calibri" w:hAnsi="Calibri" w:cs="Calibri"/>
                <w:sz w:val="20"/>
                <w:szCs w:val="20"/>
              </w:rPr>
              <w:t>Domovní správa Prostějov, s. r. o.</w:t>
            </w:r>
          </w:p>
        </w:tc>
        <w:tc>
          <w:tcPr>
            <w:tcW w:w="1134" w:type="dxa"/>
            <w:tcBorders>
              <w:top w:val="nil"/>
              <w:left w:val="nil"/>
              <w:bottom w:val="single" w:sz="4" w:space="0" w:color="auto"/>
              <w:right w:val="single" w:sz="4" w:space="0" w:color="auto"/>
            </w:tcBorders>
            <w:shd w:val="clear" w:color="auto" w:fill="auto"/>
            <w:noWrap/>
            <w:vAlign w:val="center"/>
            <w:hideMark/>
          </w:tcPr>
          <w:p w:rsidR="005B6B5D" w:rsidRPr="00BA7468" w:rsidRDefault="005B6B5D">
            <w:pPr>
              <w:jc w:val="right"/>
              <w:rPr>
                <w:rFonts w:ascii="Calibri" w:hAnsi="Calibri" w:cs="Calibri"/>
                <w:sz w:val="20"/>
                <w:szCs w:val="20"/>
              </w:rPr>
            </w:pPr>
            <w:r w:rsidRPr="00BA7468">
              <w:rPr>
                <w:rFonts w:ascii="Calibri" w:hAnsi="Calibri" w:cs="Calibri"/>
                <w:sz w:val="20"/>
                <w:szCs w:val="20"/>
              </w:rPr>
              <w:t>120 121,83</w:t>
            </w:r>
          </w:p>
        </w:tc>
        <w:tc>
          <w:tcPr>
            <w:tcW w:w="1134" w:type="dxa"/>
            <w:tcBorders>
              <w:top w:val="nil"/>
              <w:left w:val="nil"/>
              <w:bottom w:val="single" w:sz="4" w:space="0" w:color="auto"/>
              <w:right w:val="single" w:sz="4" w:space="0" w:color="auto"/>
            </w:tcBorders>
            <w:shd w:val="clear" w:color="auto" w:fill="auto"/>
            <w:noWrap/>
            <w:vAlign w:val="center"/>
            <w:hideMark/>
          </w:tcPr>
          <w:p w:rsidR="005B6B5D" w:rsidRPr="00BA7468" w:rsidRDefault="005B6B5D">
            <w:pPr>
              <w:jc w:val="right"/>
              <w:rPr>
                <w:rFonts w:ascii="Calibri" w:hAnsi="Calibri" w:cs="Calibri"/>
                <w:sz w:val="20"/>
                <w:szCs w:val="20"/>
              </w:rPr>
            </w:pPr>
            <w:r w:rsidRPr="00BA7468">
              <w:rPr>
                <w:rFonts w:ascii="Calibri" w:hAnsi="Calibri" w:cs="Calibri"/>
                <w:sz w:val="20"/>
                <w:szCs w:val="20"/>
              </w:rPr>
              <w:t>116 558,18</w:t>
            </w:r>
          </w:p>
        </w:tc>
        <w:tc>
          <w:tcPr>
            <w:tcW w:w="1984" w:type="dxa"/>
            <w:tcBorders>
              <w:top w:val="nil"/>
              <w:left w:val="nil"/>
              <w:bottom w:val="single" w:sz="4" w:space="0" w:color="auto"/>
              <w:right w:val="single" w:sz="4" w:space="0" w:color="auto"/>
            </w:tcBorders>
            <w:shd w:val="clear" w:color="auto" w:fill="auto"/>
            <w:noWrap/>
            <w:vAlign w:val="center"/>
            <w:hideMark/>
          </w:tcPr>
          <w:p w:rsidR="005B6B5D" w:rsidRPr="00BA7468" w:rsidRDefault="005B6B5D">
            <w:pPr>
              <w:jc w:val="right"/>
              <w:rPr>
                <w:rFonts w:ascii="Calibri" w:hAnsi="Calibri" w:cs="Calibri"/>
                <w:sz w:val="20"/>
                <w:szCs w:val="20"/>
              </w:rPr>
            </w:pPr>
            <w:r w:rsidRPr="00BA7468">
              <w:rPr>
                <w:rFonts w:ascii="Calibri" w:hAnsi="Calibri" w:cs="Calibri"/>
                <w:sz w:val="20"/>
                <w:szCs w:val="20"/>
              </w:rPr>
              <w:t>3 563,65</w:t>
            </w:r>
          </w:p>
        </w:tc>
        <w:tc>
          <w:tcPr>
            <w:tcW w:w="1985" w:type="dxa"/>
            <w:tcBorders>
              <w:top w:val="nil"/>
              <w:left w:val="nil"/>
              <w:bottom w:val="single" w:sz="4" w:space="0" w:color="auto"/>
              <w:right w:val="single" w:sz="4" w:space="0" w:color="auto"/>
            </w:tcBorders>
            <w:shd w:val="clear" w:color="auto" w:fill="auto"/>
            <w:vAlign w:val="center"/>
            <w:hideMark/>
          </w:tcPr>
          <w:p w:rsidR="005B6B5D" w:rsidRPr="00BA7468" w:rsidRDefault="005B6B5D">
            <w:pPr>
              <w:jc w:val="right"/>
              <w:rPr>
                <w:rFonts w:ascii="Calibri" w:hAnsi="Calibri" w:cs="Calibri"/>
                <w:sz w:val="20"/>
                <w:szCs w:val="20"/>
              </w:rPr>
            </w:pPr>
            <w:r w:rsidRPr="00BA7468">
              <w:rPr>
                <w:rFonts w:ascii="Calibri" w:hAnsi="Calibri" w:cs="Calibri"/>
                <w:sz w:val="20"/>
                <w:szCs w:val="20"/>
              </w:rPr>
              <w:t>2 962,94</w:t>
            </w:r>
          </w:p>
        </w:tc>
      </w:tr>
      <w:tr w:rsidR="005B6B5D" w:rsidTr="00BA7468">
        <w:trPr>
          <w:trHeight w:val="288"/>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rsidR="005B6B5D" w:rsidRPr="00BA7468" w:rsidRDefault="005B6B5D">
            <w:pPr>
              <w:rPr>
                <w:rFonts w:ascii="Calibri" w:hAnsi="Calibri" w:cs="Calibri"/>
                <w:sz w:val="20"/>
                <w:szCs w:val="20"/>
              </w:rPr>
            </w:pPr>
            <w:r w:rsidRPr="00BA7468">
              <w:rPr>
                <w:rFonts w:ascii="Calibri" w:hAnsi="Calibri" w:cs="Calibri"/>
                <w:sz w:val="20"/>
                <w:szCs w:val="20"/>
              </w:rPr>
              <w:t>Lesy města Prostějova, s. r. o.</w:t>
            </w:r>
          </w:p>
        </w:tc>
        <w:tc>
          <w:tcPr>
            <w:tcW w:w="1134" w:type="dxa"/>
            <w:tcBorders>
              <w:top w:val="nil"/>
              <w:left w:val="nil"/>
              <w:bottom w:val="single" w:sz="4" w:space="0" w:color="auto"/>
              <w:right w:val="single" w:sz="4" w:space="0" w:color="auto"/>
            </w:tcBorders>
            <w:shd w:val="clear" w:color="auto" w:fill="auto"/>
            <w:noWrap/>
            <w:vAlign w:val="center"/>
            <w:hideMark/>
          </w:tcPr>
          <w:p w:rsidR="005B6B5D" w:rsidRPr="00BA7468" w:rsidRDefault="005B6B5D">
            <w:pPr>
              <w:jc w:val="right"/>
              <w:rPr>
                <w:rFonts w:ascii="Calibri" w:hAnsi="Calibri" w:cs="Calibri"/>
                <w:sz w:val="20"/>
                <w:szCs w:val="20"/>
              </w:rPr>
            </w:pPr>
            <w:r w:rsidRPr="00BA7468">
              <w:rPr>
                <w:rFonts w:ascii="Calibri" w:hAnsi="Calibri" w:cs="Calibri"/>
                <w:sz w:val="20"/>
                <w:szCs w:val="20"/>
              </w:rPr>
              <w:t>35 928,78</w:t>
            </w:r>
          </w:p>
        </w:tc>
        <w:tc>
          <w:tcPr>
            <w:tcW w:w="1134" w:type="dxa"/>
            <w:tcBorders>
              <w:top w:val="nil"/>
              <w:left w:val="nil"/>
              <w:bottom w:val="single" w:sz="4" w:space="0" w:color="auto"/>
              <w:right w:val="single" w:sz="4" w:space="0" w:color="auto"/>
            </w:tcBorders>
            <w:shd w:val="clear" w:color="auto" w:fill="auto"/>
            <w:noWrap/>
            <w:vAlign w:val="center"/>
            <w:hideMark/>
          </w:tcPr>
          <w:p w:rsidR="005B6B5D" w:rsidRPr="00BA7468" w:rsidRDefault="005B6B5D">
            <w:pPr>
              <w:jc w:val="right"/>
              <w:rPr>
                <w:rFonts w:ascii="Calibri" w:hAnsi="Calibri" w:cs="Calibri"/>
                <w:sz w:val="20"/>
                <w:szCs w:val="20"/>
              </w:rPr>
            </w:pPr>
            <w:r w:rsidRPr="00BA7468">
              <w:rPr>
                <w:rFonts w:ascii="Calibri" w:hAnsi="Calibri" w:cs="Calibri"/>
                <w:sz w:val="20"/>
                <w:szCs w:val="20"/>
              </w:rPr>
              <w:t>34 129,89</w:t>
            </w:r>
          </w:p>
        </w:tc>
        <w:tc>
          <w:tcPr>
            <w:tcW w:w="1984" w:type="dxa"/>
            <w:tcBorders>
              <w:top w:val="nil"/>
              <w:left w:val="nil"/>
              <w:bottom w:val="single" w:sz="4" w:space="0" w:color="auto"/>
              <w:right w:val="single" w:sz="4" w:space="0" w:color="auto"/>
            </w:tcBorders>
            <w:shd w:val="clear" w:color="auto" w:fill="auto"/>
            <w:noWrap/>
            <w:vAlign w:val="center"/>
            <w:hideMark/>
          </w:tcPr>
          <w:p w:rsidR="005B6B5D" w:rsidRPr="00BA7468" w:rsidRDefault="005B6B5D">
            <w:pPr>
              <w:jc w:val="right"/>
              <w:rPr>
                <w:rFonts w:ascii="Calibri" w:hAnsi="Calibri" w:cs="Calibri"/>
                <w:sz w:val="20"/>
                <w:szCs w:val="20"/>
              </w:rPr>
            </w:pPr>
            <w:r w:rsidRPr="00BA7468">
              <w:rPr>
                <w:rFonts w:ascii="Calibri" w:hAnsi="Calibri" w:cs="Calibri"/>
                <w:sz w:val="20"/>
                <w:szCs w:val="20"/>
              </w:rPr>
              <w:t>1 798,89</w:t>
            </w:r>
          </w:p>
        </w:tc>
        <w:tc>
          <w:tcPr>
            <w:tcW w:w="1985" w:type="dxa"/>
            <w:tcBorders>
              <w:top w:val="nil"/>
              <w:left w:val="nil"/>
              <w:bottom w:val="single" w:sz="4" w:space="0" w:color="auto"/>
              <w:right w:val="single" w:sz="4" w:space="0" w:color="auto"/>
            </w:tcBorders>
            <w:shd w:val="clear" w:color="auto" w:fill="auto"/>
            <w:vAlign w:val="center"/>
            <w:hideMark/>
          </w:tcPr>
          <w:p w:rsidR="005B6B5D" w:rsidRPr="00BA7468" w:rsidRDefault="005B6B5D">
            <w:pPr>
              <w:jc w:val="right"/>
              <w:rPr>
                <w:rFonts w:ascii="Calibri" w:hAnsi="Calibri" w:cs="Calibri"/>
                <w:sz w:val="20"/>
                <w:szCs w:val="20"/>
              </w:rPr>
            </w:pPr>
            <w:r w:rsidRPr="00BA7468">
              <w:rPr>
                <w:rFonts w:ascii="Calibri" w:hAnsi="Calibri" w:cs="Calibri"/>
                <w:sz w:val="20"/>
                <w:szCs w:val="20"/>
              </w:rPr>
              <w:t>1 483,68</w:t>
            </w:r>
          </w:p>
        </w:tc>
      </w:tr>
    </w:tbl>
    <w:p w:rsidR="005B6B5D" w:rsidRDefault="005B6B5D" w:rsidP="005B6B5D"/>
    <w:p w:rsidR="003840A7" w:rsidRDefault="003840A7" w:rsidP="0024764D">
      <w:pPr>
        <w:pStyle w:val="Nadpis3"/>
      </w:pPr>
      <w:bookmarkStart w:id="59" w:name="_Toc39129547"/>
      <w:r w:rsidRPr="000E6DD1">
        <w:t>Majetková účast města Prostějova v obchodních korporacích</w:t>
      </w:r>
      <w:r w:rsidR="005628DC" w:rsidRPr="000E6DD1">
        <w:t xml:space="preserve"> </w:t>
      </w:r>
      <w:r w:rsidR="009E17CB" w:rsidRPr="000E6DD1">
        <w:t>(</w:t>
      </w:r>
      <w:r w:rsidR="005628DC" w:rsidRPr="000E6DD1">
        <w:t>v tis. Kč</w:t>
      </w:r>
      <w:r w:rsidR="009E17CB" w:rsidRPr="000E6DD1">
        <w:t>)</w:t>
      </w:r>
      <w:r w:rsidR="005628DC" w:rsidRPr="000E6DD1">
        <w:t xml:space="preserve"> </w:t>
      </w:r>
      <w:bookmarkEnd w:id="59"/>
    </w:p>
    <w:tbl>
      <w:tblPr>
        <w:tblW w:w="9487" w:type="dxa"/>
        <w:tblLayout w:type="fixed"/>
        <w:tblCellMar>
          <w:left w:w="70" w:type="dxa"/>
          <w:right w:w="70" w:type="dxa"/>
        </w:tblCellMar>
        <w:tblLook w:val="04A0" w:firstRow="1" w:lastRow="0" w:firstColumn="1" w:lastColumn="0" w:noHBand="0" w:noVBand="1"/>
      </w:tblPr>
      <w:tblGrid>
        <w:gridCol w:w="2689"/>
        <w:gridCol w:w="992"/>
        <w:gridCol w:w="709"/>
        <w:gridCol w:w="992"/>
        <w:gridCol w:w="992"/>
        <w:gridCol w:w="992"/>
        <w:gridCol w:w="1134"/>
        <w:gridCol w:w="987"/>
      </w:tblGrid>
      <w:tr w:rsidR="00E951EC" w:rsidTr="00E951EC">
        <w:trPr>
          <w:trHeight w:val="1021"/>
        </w:trPr>
        <w:tc>
          <w:tcPr>
            <w:tcW w:w="2689" w:type="dxa"/>
            <w:tcBorders>
              <w:top w:val="single" w:sz="4" w:space="0" w:color="auto"/>
              <w:left w:val="single" w:sz="4" w:space="0" w:color="auto"/>
              <w:bottom w:val="single" w:sz="4" w:space="0" w:color="auto"/>
              <w:right w:val="single" w:sz="4" w:space="0" w:color="auto"/>
            </w:tcBorders>
            <w:shd w:val="clear" w:color="000000" w:fill="B4C6E7"/>
            <w:vAlign w:val="center"/>
            <w:hideMark/>
          </w:tcPr>
          <w:p w:rsidR="00BA7468" w:rsidRPr="00E951EC" w:rsidRDefault="00BA7468">
            <w:pPr>
              <w:jc w:val="center"/>
              <w:rPr>
                <w:rFonts w:ascii="Calibri" w:hAnsi="Calibri" w:cs="Calibri"/>
                <w:b/>
                <w:bCs/>
                <w:sz w:val="16"/>
                <w:szCs w:val="16"/>
              </w:rPr>
            </w:pPr>
            <w:r w:rsidRPr="00E951EC">
              <w:rPr>
                <w:rFonts w:ascii="Calibri" w:hAnsi="Calibri" w:cs="Calibri"/>
                <w:b/>
                <w:bCs/>
                <w:sz w:val="16"/>
                <w:szCs w:val="16"/>
              </w:rPr>
              <w:t>Název obchodní korporace</w:t>
            </w:r>
          </w:p>
        </w:tc>
        <w:tc>
          <w:tcPr>
            <w:tcW w:w="992" w:type="dxa"/>
            <w:tcBorders>
              <w:top w:val="single" w:sz="4" w:space="0" w:color="auto"/>
              <w:left w:val="nil"/>
              <w:bottom w:val="single" w:sz="4" w:space="0" w:color="auto"/>
              <w:right w:val="single" w:sz="4" w:space="0" w:color="auto"/>
            </w:tcBorders>
            <w:shd w:val="clear" w:color="000000" w:fill="B4C6E7"/>
            <w:vAlign w:val="center"/>
            <w:hideMark/>
          </w:tcPr>
          <w:p w:rsidR="00BA7468" w:rsidRPr="00E951EC" w:rsidRDefault="00BA7468">
            <w:pPr>
              <w:jc w:val="center"/>
              <w:rPr>
                <w:rFonts w:ascii="Calibri" w:hAnsi="Calibri" w:cs="Calibri"/>
                <w:b/>
                <w:bCs/>
                <w:sz w:val="16"/>
                <w:szCs w:val="16"/>
              </w:rPr>
            </w:pPr>
            <w:r w:rsidRPr="00E951EC">
              <w:rPr>
                <w:rFonts w:ascii="Calibri" w:hAnsi="Calibri" w:cs="Calibri"/>
                <w:b/>
                <w:bCs/>
                <w:sz w:val="16"/>
                <w:szCs w:val="16"/>
              </w:rPr>
              <w:t>Pořizovací cena</w:t>
            </w:r>
          </w:p>
        </w:tc>
        <w:tc>
          <w:tcPr>
            <w:tcW w:w="709" w:type="dxa"/>
            <w:tcBorders>
              <w:top w:val="single" w:sz="4" w:space="0" w:color="auto"/>
              <w:left w:val="nil"/>
              <w:bottom w:val="single" w:sz="4" w:space="0" w:color="auto"/>
              <w:right w:val="single" w:sz="4" w:space="0" w:color="auto"/>
            </w:tcBorders>
            <w:shd w:val="clear" w:color="000000" w:fill="B4C6E7"/>
            <w:vAlign w:val="center"/>
            <w:hideMark/>
          </w:tcPr>
          <w:p w:rsidR="00BA7468" w:rsidRPr="00E951EC" w:rsidRDefault="00BA7468">
            <w:pPr>
              <w:jc w:val="center"/>
              <w:rPr>
                <w:rFonts w:ascii="Calibri" w:hAnsi="Calibri" w:cs="Calibri"/>
                <w:b/>
                <w:bCs/>
                <w:sz w:val="16"/>
                <w:szCs w:val="16"/>
              </w:rPr>
            </w:pPr>
            <w:r w:rsidRPr="00E951EC">
              <w:rPr>
                <w:rFonts w:ascii="Calibri" w:hAnsi="Calibri" w:cs="Calibri"/>
                <w:b/>
                <w:bCs/>
                <w:sz w:val="16"/>
                <w:szCs w:val="16"/>
              </w:rPr>
              <w:t>Podíl města v %</w:t>
            </w:r>
          </w:p>
        </w:tc>
        <w:tc>
          <w:tcPr>
            <w:tcW w:w="992" w:type="dxa"/>
            <w:tcBorders>
              <w:top w:val="single" w:sz="4" w:space="0" w:color="auto"/>
              <w:left w:val="nil"/>
              <w:bottom w:val="single" w:sz="4" w:space="0" w:color="auto"/>
              <w:right w:val="single" w:sz="4" w:space="0" w:color="auto"/>
            </w:tcBorders>
            <w:shd w:val="clear" w:color="000000" w:fill="B4C6E7"/>
            <w:vAlign w:val="center"/>
            <w:hideMark/>
          </w:tcPr>
          <w:p w:rsidR="00BA7468" w:rsidRPr="00E951EC" w:rsidRDefault="00BA7468">
            <w:pPr>
              <w:jc w:val="center"/>
              <w:rPr>
                <w:rFonts w:ascii="Calibri" w:hAnsi="Calibri" w:cs="Calibri"/>
                <w:b/>
                <w:bCs/>
                <w:sz w:val="16"/>
                <w:szCs w:val="16"/>
              </w:rPr>
            </w:pPr>
            <w:r w:rsidRPr="00E951EC">
              <w:rPr>
                <w:rFonts w:ascii="Calibri" w:hAnsi="Calibri" w:cs="Calibri"/>
                <w:b/>
                <w:bCs/>
                <w:sz w:val="16"/>
                <w:szCs w:val="16"/>
              </w:rPr>
              <w:t>Nominální hodnota podílu</w:t>
            </w:r>
          </w:p>
        </w:tc>
        <w:tc>
          <w:tcPr>
            <w:tcW w:w="992" w:type="dxa"/>
            <w:tcBorders>
              <w:top w:val="single" w:sz="4" w:space="0" w:color="auto"/>
              <w:left w:val="nil"/>
              <w:bottom w:val="single" w:sz="4" w:space="0" w:color="auto"/>
              <w:right w:val="single" w:sz="4" w:space="0" w:color="auto"/>
            </w:tcBorders>
            <w:shd w:val="clear" w:color="000000" w:fill="B4C6E7"/>
            <w:vAlign w:val="center"/>
            <w:hideMark/>
          </w:tcPr>
          <w:p w:rsidR="00BA7468" w:rsidRPr="00E951EC" w:rsidRDefault="00BA7468">
            <w:pPr>
              <w:jc w:val="center"/>
              <w:rPr>
                <w:rFonts w:ascii="Calibri" w:hAnsi="Calibri" w:cs="Calibri"/>
                <w:b/>
                <w:bCs/>
                <w:sz w:val="16"/>
                <w:szCs w:val="16"/>
              </w:rPr>
            </w:pPr>
            <w:r w:rsidRPr="00E951EC">
              <w:rPr>
                <w:rFonts w:ascii="Calibri" w:hAnsi="Calibri" w:cs="Calibri"/>
                <w:b/>
                <w:bCs/>
                <w:sz w:val="16"/>
                <w:szCs w:val="16"/>
              </w:rPr>
              <w:t>Základní kapitál obchodní společnosti</w:t>
            </w:r>
          </w:p>
        </w:tc>
        <w:tc>
          <w:tcPr>
            <w:tcW w:w="992" w:type="dxa"/>
            <w:tcBorders>
              <w:top w:val="single" w:sz="4" w:space="0" w:color="auto"/>
              <w:left w:val="nil"/>
              <w:bottom w:val="single" w:sz="4" w:space="0" w:color="auto"/>
              <w:right w:val="single" w:sz="4" w:space="0" w:color="auto"/>
            </w:tcBorders>
            <w:shd w:val="clear" w:color="000000" w:fill="B4C6E7"/>
            <w:vAlign w:val="center"/>
            <w:hideMark/>
          </w:tcPr>
          <w:p w:rsidR="00BA7468" w:rsidRPr="00E951EC" w:rsidRDefault="00BA7468">
            <w:pPr>
              <w:jc w:val="center"/>
              <w:rPr>
                <w:rFonts w:ascii="Calibri" w:hAnsi="Calibri" w:cs="Calibri"/>
                <w:b/>
                <w:bCs/>
                <w:sz w:val="16"/>
                <w:szCs w:val="16"/>
              </w:rPr>
            </w:pPr>
            <w:r w:rsidRPr="00E951EC">
              <w:rPr>
                <w:rFonts w:ascii="Calibri" w:hAnsi="Calibri" w:cs="Calibri"/>
                <w:b/>
                <w:bCs/>
                <w:sz w:val="16"/>
                <w:szCs w:val="16"/>
              </w:rPr>
              <w:t>Vlastní kapitál obchodní společnosti</w:t>
            </w:r>
          </w:p>
        </w:tc>
        <w:tc>
          <w:tcPr>
            <w:tcW w:w="1134" w:type="dxa"/>
            <w:tcBorders>
              <w:top w:val="single" w:sz="4" w:space="0" w:color="auto"/>
              <w:left w:val="nil"/>
              <w:bottom w:val="single" w:sz="4" w:space="0" w:color="auto"/>
              <w:right w:val="single" w:sz="4" w:space="0" w:color="auto"/>
            </w:tcBorders>
            <w:shd w:val="clear" w:color="000000" w:fill="B4C6E7"/>
            <w:vAlign w:val="center"/>
            <w:hideMark/>
          </w:tcPr>
          <w:p w:rsidR="00BA7468" w:rsidRPr="00E951EC" w:rsidRDefault="00BA7468">
            <w:pPr>
              <w:jc w:val="center"/>
              <w:rPr>
                <w:rFonts w:ascii="Calibri" w:hAnsi="Calibri" w:cs="Calibri"/>
                <w:b/>
                <w:bCs/>
                <w:sz w:val="16"/>
                <w:szCs w:val="16"/>
              </w:rPr>
            </w:pPr>
            <w:r w:rsidRPr="00E951EC">
              <w:rPr>
                <w:rFonts w:ascii="Calibri" w:hAnsi="Calibri" w:cs="Calibri"/>
                <w:b/>
                <w:bCs/>
                <w:sz w:val="16"/>
                <w:szCs w:val="16"/>
              </w:rPr>
              <w:t>Ocenění ekvivalencí</w:t>
            </w:r>
            <w:r w:rsidR="00E951EC" w:rsidRPr="00E951EC">
              <w:rPr>
                <w:rFonts w:ascii="Calibri" w:hAnsi="Calibri" w:cs="Calibri"/>
                <w:b/>
                <w:bCs/>
                <w:sz w:val="16"/>
                <w:szCs w:val="16"/>
                <w:lang w:val="en-US"/>
              </w:rPr>
              <w:t>*</w:t>
            </w:r>
          </w:p>
        </w:tc>
        <w:tc>
          <w:tcPr>
            <w:tcW w:w="987" w:type="dxa"/>
            <w:tcBorders>
              <w:top w:val="single" w:sz="4" w:space="0" w:color="auto"/>
              <w:left w:val="nil"/>
              <w:bottom w:val="single" w:sz="4" w:space="0" w:color="auto"/>
              <w:right w:val="single" w:sz="4" w:space="0" w:color="auto"/>
            </w:tcBorders>
            <w:shd w:val="clear" w:color="000000" w:fill="B4C6E7"/>
            <w:vAlign w:val="center"/>
            <w:hideMark/>
          </w:tcPr>
          <w:p w:rsidR="00BA7468" w:rsidRPr="00E951EC" w:rsidRDefault="00BA7468">
            <w:pPr>
              <w:jc w:val="center"/>
              <w:rPr>
                <w:rFonts w:ascii="Calibri" w:hAnsi="Calibri" w:cs="Calibri"/>
                <w:b/>
                <w:bCs/>
                <w:sz w:val="16"/>
                <w:szCs w:val="16"/>
              </w:rPr>
            </w:pPr>
            <w:r w:rsidRPr="00E951EC">
              <w:rPr>
                <w:rFonts w:ascii="Calibri" w:hAnsi="Calibri" w:cs="Calibri"/>
                <w:b/>
                <w:bCs/>
                <w:sz w:val="16"/>
                <w:szCs w:val="16"/>
              </w:rPr>
              <w:t>Oceň.rozdíl (oc.ekv.-poř.cena)</w:t>
            </w:r>
          </w:p>
        </w:tc>
      </w:tr>
      <w:tr w:rsidR="00E951EC" w:rsidTr="00E951EC">
        <w:trPr>
          <w:trHeight w:val="407"/>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BA7468" w:rsidRPr="00E951EC" w:rsidRDefault="00BA7468">
            <w:pPr>
              <w:rPr>
                <w:rFonts w:ascii="Calibri" w:hAnsi="Calibri" w:cs="Calibri"/>
                <w:sz w:val="16"/>
                <w:szCs w:val="16"/>
              </w:rPr>
            </w:pPr>
            <w:r w:rsidRPr="00E951EC">
              <w:rPr>
                <w:rFonts w:ascii="Calibri" w:hAnsi="Calibri" w:cs="Calibri"/>
                <w:sz w:val="16"/>
                <w:szCs w:val="16"/>
              </w:rPr>
              <w:t>Vodo</w:t>
            </w:r>
            <w:r w:rsidR="00E951EC">
              <w:rPr>
                <w:rFonts w:ascii="Calibri" w:hAnsi="Calibri" w:cs="Calibri"/>
                <w:sz w:val="16"/>
                <w:szCs w:val="16"/>
              </w:rPr>
              <w:t>vody a kanalizace Prostějov, a. </w:t>
            </w:r>
            <w:r w:rsidR="00823CA2">
              <w:rPr>
                <w:rFonts w:ascii="Calibri" w:hAnsi="Calibri" w:cs="Calibri"/>
                <w:sz w:val="16"/>
                <w:szCs w:val="16"/>
              </w:rPr>
              <w:t>s.,</w:t>
            </w:r>
          </w:p>
        </w:tc>
        <w:tc>
          <w:tcPr>
            <w:tcW w:w="992" w:type="dxa"/>
            <w:tcBorders>
              <w:top w:val="nil"/>
              <w:left w:val="nil"/>
              <w:bottom w:val="single" w:sz="4" w:space="0" w:color="auto"/>
              <w:right w:val="single" w:sz="4" w:space="0" w:color="auto"/>
            </w:tcBorders>
            <w:shd w:val="clear" w:color="auto" w:fill="auto"/>
            <w:noWrap/>
            <w:vAlign w:val="center"/>
            <w:hideMark/>
          </w:tcPr>
          <w:p w:rsidR="00BA7468" w:rsidRPr="00E951EC" w:rsidRDefault="00BA7468">
            <w:pPr>
              <w:jc w:val="right"/>
              <w:rPr>
                <w:rFonts w:ascii="Calibri" w:hAnsi="Calibri" w:cs="Calibri"/>
                <w:sz w:val="16"/>
                <w:szCs w:val="16"/>
              </w:rPr>
            </w:pPr>
            <w:r w:rsidRPr="00E951EC">
              <w:rPr>
                <w:rFonts w:ascii="Calibri" w:hAnsi="Calibri" w:cs="Calibri"/>
                <w:sz w:val="16"/>
                <w:szCs w:val="16"/>
              </w:rPr>
              <w:t>439 167,40</w:t>
            </w:r>
          </w:p>
        </w:tc>
        <w:tc>
          <w:tcPr>
            <w:tcW w:w="709" w:type="dxa"/>
            <w:tcBorders>
              <w:top w:val="nil"/>
              <w:left w:val="nil"/>
              <w:bottom w:val="single" w:sz="4" w:space="0" w:color="auto"/>
              <w:right w:val="single" w:sz="4" w:space="0" w:color="auto"/>
            </w:tcBorders>
            <w:shd w:val="clear" w:color="auto" w:fill="auto"/>
            <w:noWrap/>
            <w:vAlign w:val="center"/>
            <w:hideMark/>
          </w:tcPr>
          <w:p w:rsidR="00BA7468" w:rsidRPr="00E951EC" w:rsidRDefault="00BA7468">
            <w:pPr>
              <w:jc w:val="right"/>
              <w:rPr>
                <w:rFonts w:ascii="Calibri" w:hAnsi="Calibri" w:cs="Calibri"/>
                <w:sz w:val="16"/>
                <w:szCs w:val="16"/>
              </w:rPr>
            </w:pPr>
            <w:r w:rsidRPr="00E951EC">
              <w:rPr>
                <w:rFonts w:ascii="Calibri" w:hAnsi="Calibri" w:cs="Calibri"/>
                <w:sz w:val="16"/>
                <w:szCs w:val="16"/>
              </w:rPr>
              <w:t>75,13</w:t>
            </w:r>
          </w:p>
        </w:tc>
        <w:tc>
          <w:tcPr>
            <w:tcW w:w="992" w:type="dxa"/>
            <w:tcBorders>
              <w:top w:val="nil"/>
              <w:left w:val="nil"/>
              <w:bottom w:val="single" w:sz="4" w:space="0" w:color="auto"/>
              <w:right w:val="single" w:sz="4" w:space="0" w:color="auto"/>
            </w:tcBorders>
            <w:shd w:val="clear" w:color="auto" w:fill="auto"/>
            <w:noWrap/>
            <w:vAlign w:val="center"/>
            <w:hideMark/>
          </w:tcPr>
          <w:p w:rsidR="00BA7468" w:rsidRPr="00E951EC" w:rsidRDefault="00BA7468">
            <w:pPr>
              <w:jc w:val="right"/>
              <w:rPr>
                <w:rFonts w:ascii="Calibri" w:hAnsi="Calibri" w:cs="Calibri"/>
                <w:sz w:val="16"/>
                <w:szCs w:val="16"/>
              </w:rPr>
            </w:pPr>
            <w:r w:rsidRPr="00E951EC">
              <w:rPr>
                <w:rFonts w:ascii="Calibri" w:hAnsi="Calibri" w:cs="Calibri"/>
                <w:sz w:val="16"/>
                <w:szCs w:val="16"/>
              </w:rPr>
              <w:t>370 495,00</w:t>
            </w:r>
          </w:p>
        </w:tc>
        <w:tc>
          <w:tcPr>
            <w:tcW w:w="992" w:type="dxa"/>
            <w:tcBorders>
              <w:top w:val="nil"/>
              <w:left w:val="nil"/>
              <w:bottom w:val="single" w:sz="4" w:space="0" w:color="auto"/>
              <w:right w:val="single" w:sz="4" w:space="0" w:color="auto"/>
            </w:tcBorders>
            <w:shd w:val="clear" w:color="auto" w:fill="auto"/>
            <w:noWrap/>
            <w:vAlign w:val="center"/>
            <w:hideMark/>
          </w:tcPr>
          <w:p w:rsidR="00BA7468" w:rsidRPr="00E951EC" w:rsidRDefault="00823CA2">
            <w:pPr>
              <w:jc w:val="right"/>
              <w:rPr>
                <w:rFonts w:ascii="Calibri" w:hAnsi="Calibri" w:cs="Calibri"/>
                <w:sz w:val="16"/>
                <w:szCs w:val="16"/>
              </w:rPr>
            </w:pPr>
            <w:r>
              <w:rPr>
                <w:rFonts w:ascii="Calibri" w:hAnsi="Calibri" w:cs="Calibri"/>
                <w:sz w:val="16"/>
                <w:szCs w:val="16"/>
              </w:rPr>
              <w:t>493 149</w:t>
            </w:r>
            <w:r w:rsidR="00BA7468" w:rsidRPr="00E951EC">
              <w:rPr>
                <w:rFonts w:ascii="Calibri" w:hAnsi="Calibri" w:cs="Calibri"/>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BA7468" w:rsidRPr="00E951EC" w:rsidRDefault="00823CA2">
            <w:pPr>
              <w:jc w:val="right"/>
              <w:rPr>
                <w:rFonts w:ascii="Calibri" w:hAnsi="Calibri" w:cs="Calibri"/>
                <w:sz w:val="16"/>
                <w:szCs w:val="16"/>
              </w:rPr>
            </w:pPr>
            <w:r w:rsidRPr="00823CA2">
              <w:rPr>
                <w:rFonts w:ascii="Calibri" w:hAnsi="Calibri" w:cs="Calibri"/>
                <w:sz w:val="16"/>
                <w:szCs w:val="16"/>
              </w:rPr>
              <w:t>661 439,00</w:t>
            </w:r>
          </w:p>
        </w:tc>
        <w:tc>
          <w:tcPr>
            <w:tcW w:w="1134" w:type="dxa"/>
            <w:tcBorders>
              <w:top w:val="nil"/>
              <w:left w:val="nil"/>
              <w:bottom w:val="single" w:sz="4" w:space="0" w:color="auto"/>
              <w:right w:val="single" w:sz="4" w:space="0" w:color="auto"/>
            </w:tcBorders>
            <w:shd w:val="clear" w:color="auto" w:fill="auto"/>
            <w:noWrap/>
            <w:vAlign w:val="center"/>
            <w:hideMark/>
          </w:tcPr>
          <w:p w:rsidR="00BA7468" w:rsidRPr="00E951EC" w:rsidRDefault="00BA7468">
            <w:pPr>
              <w:jc w:val="right"/>
              <w:rPr>
                <w:rFonts w:ascii="Calibri" w:hAnsi="Calibri" w:cs="Calibri"/>
                <w:sz w:val="16"/>
                <w:szCs w:val="16"/>
              </w:rPr>
            </w:pPr>
            <w:r w:rsidRPr="00E951EC">
              <w:rPr>
                <w:rFonts w:ascii="Calibri" w:hAnsi="Calibri" w:cs="Calibri"/>
                <w:sz w:val="16"/>
                <w:szCs w:val="16"/>
              </w:rPr>
              <w:t>494 239,70</w:t>
            </w:r>
          </w:p>
        </w:tc>
        <w:tc>
          <w:tcPr>
            <w:tcW w:w="987" w:type="dxa"/>
            <w:tcBorders>
              <w:top w:val="nil"/>
              <w:left w:val="nil"/>
              <w:bottom w:val="single" w:sz="4" w:space="0" w:color="auto"/>
              <w:right w:val="single" w:sz="4" w:space="0" w:color="auto"/>
            </w:tcBorders>
            <w:shd w:val="clear" w:color="auto" w:fill="auto"/>
            <w:noWrap/>
            <w:vAlign w:val="center"/>
            <w:hideMark/>
          </w:tcPr>
          <w:p w:rsidR="00BA7468" w:rsidRPr="00E951EC" w:rsidRDefault="00BA7468">
            <w:pPr>
              <w:jc w:val="right"/>
              <w:rPr>
                <w:rFonts w:ascii="Calibri" w:hAnsi="Calibri" w:cs="Calibri"/>
                <w:sz w:val="16"/>
                <w:szCs w:val="16"/>
              </w:rPr>
            </w:pPr>
            <w:r w:rsidRPr="00E951EC">
              <w:rPr>
                <w:rFonts w:ascii="Calibri" w:hAnsi="Calibri" w:cs="Calibri"/>
                <w:sz w:val="16"/>
                <w:szCs w:val="16"/>
              </w:rPr>
              <w:t>55 072,30</w:t>
            </w:r>
          </w:p>
        </w:tc>
      </w:tr>
      <w:tr w:rsidR="00E951EC" w:rsidTr="00E951EC">
        <w:trPr>
          <w:trHeight w:val="407"/>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BA7468" w:rsidRPr="00E951EC" w:rsidRDefault="00BA7468">
            <w:pPr>
              <w:rPr>
                <w:rFonts w:ascii="Calibri" w:hAnsi="Calibri" w:cs="Calibri"/>
                <w:sz w:val="16"/>
                <w:szCs w:val="16"/>
              </w:rPr>
            </w:pPr>
            <w:r w:rsidRPr="00E951EC">
              <w:rPr>
                <w:rFonts w:ascii="Calibri" w:hAnsi="Calibri" w:cs="Calibri"/>
                <w:sz w:val="16"/>
                <w:szCs w:val="16"/>
              </w:rPr>
              <w:t>Domovní správa Prostějov, s. r. o.</w:t>
            </w:r>
          </w:p>
        </w:tc>
        <w:tc>
          <w:tcPr>
            <w:tcW w:w="992" w:type="dxa"/>
            <w:tcBorders>
              <w:top w:val="nil"/>
              <w:left w:val="nil"/>
              <w:bottom w:val="single" w:sz="4" w:space="0" w:color="auto"/>
              <w:right w:val="single" w:sz="4" w:space="0" w:color="auto"/>
            </w:tcBorders>
            <w:shd w:val="clear" w:color="auto" w:fill="auto"/>
            <w:noWrap/>
            <w:vAlign w:val="center"/>
            <w:hideMark/>
          </w:tcPr>
          <w:p w:rsidR="00BA7468" w:rsidRPr="00E951EC" w:rsidRDefault="00BA7468">
            <w:pPr>
              <w:jc w:val="right"/>
              <w:rPr>
                <w:rFonts w:ascii="Calibri" w:hAnsi="Calibri" w:cs="Calibri"/>
                <w:sz w:val="16"/>
                <w:szCs w:val="16"/>
              </w:rPr>
            </w:pPr>
            <w:r w:rsidRPr="00E951EC">
              <w:rPr>
                <w:rFonts w:ascii="Calibri" w:hAnsi="Calibri" w:cs="Calibri"/>
                <w:sz w:val="16"/>
                <w:szCs w:val="16"/>
              </w:rPr>
              <w:t>265 642,00</w:t>
            </w:r>
          </w:p>
        </w:tc>
        <w:tc>
          <w:tcPr>
            <w:tcW w:w="709" w:type="dxa"/>
            <w:tcBorders>
              <w:top w:val="nil"/>
              <w:left w:val="nil"/>
              <w:bottom w:val="single" w:sz="4" w:space="0" w:color="auto"/>
              <w:right w:val="single" w:sz="4" w:space="0" w:color="auto"/>
            </w:tcBorders>
            <w:shd w:val="clear" w:color="auto" w:fill="auto"/>
            <w:noWrap/>
            <w:vAlign w:val="center"/>
            <w:hideMark/>
          </w:tcPr>
          <w:p w:rsidR="00BA7468" w:rsidRPr="00E951EC" w:rsidRDefault="00BA7468">
            <w:pPr>
              <w:jc w:val="right"/>
              <w:rPr>
                <w:rFonts w:ascii="Calibri" w:hAnsi="Calibri" w:cs="Calibri"/>
                <w:sz w:val="16"/>
                <w:szCs w:val="16"/>
              </w:rPr>
            </w:pPr>
            <w:r w:rsidRPr="00E951EC">
              <w:rPr>
                <w:rFonts w:ascii="Calibri" w:hAnsi="Calibri" w:cs="Calibri"/>
                <w:sz w:val="16"/>
                <w:szCs w:val="16"/>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BA7468" w:rsidRPr="00E951EC" w:rsidRDefault="00BA7468">
            <w:pPr>
              <w:jc w:val="right"/>
              <w:rPr>
                <w:rFonts w:ascii="Calibri" w:hAnsi="Calibri" w:cs="Calibri"/>
                <w:sz w:val="16"/>
                <w:szCs w:val="16"/>
              </w:rPr>
            </w:pPr>
            <w:r w:rsidRPr="00E951EC">
              <w:rPr>
                <w:rFonts w:ascii="Calibri" w:hAnsi="Calibri" w:cs="Calibri"/>
                <w:sz w:val="16"/>
                <w:szCs w:val="16"/>
              </w:rPr>
              <w:t>91 100,00</w:t>
            </w:r>
          </w:p>
        </w:tc>
        <w:tc>
          <w:tcPr>
            <w:tcW w:w="992" w:type="dxa"/>
            <w:tcBorders>
              <w:top w:val="nil"/>
              <w:left w:val="nil"/>
              <w:bottom w:val="single" w:sz="4" w:space="0" w:color="auto"/>
              <w:right w:val="single" w:sz="4" w:space="0" w:color="auto"/>
            </w:tcBorders>
            <w:shd w:val="clear" w:color="auto" w:fill="auto"/>
            <w:noWrap/>
            <w:vAlign w:val="center"/>
            <w:hideMark/>
          </w:tcPr>
          <w:p w:rsidR="00BA7468" w:rsidRPr="00E951EC" w:rsidRDefault="00BA7468">
            <w:pPr>
              <w:jc w:val="right"/>
              <w:rPr>
                <w:rFonts w:ascii="Calibri" w:hAnsi="Calibri" w:cs="Calibri"/>
                <w:sz w:val="16"/>
                <w:szCs w:val="16"/>
              </w:rPr>
            </w:pPr>
            <w:r w:rsidRPr="00E951EC">
              <w:rPr>
                <w:rFonts w:ascii="Calibri" w:hAnsi="Calibri" w:cs="Calibri"/>
                <w:sz w:val="16"/>
                <w:szCs w:val="16"/>
              </w:rPr>
              <w:t>120 000,00</w:t>
            </w:r>
          </w:p>
        </w:tc>
        <w:tc>
          <w:tcPr>
            <w:tcW w:w="992" w:type="dxa"/>
            <w:tcBorders>
              <w:top w:val="nil"/>
              <w:left w:val="nil"/>
              <w:bottom w:val="single" w:sz="4" w:space="0" w:color="auto"/>
              <w:right w:val="single" w:sz="4" w:space="0" w:color="auto"/>
            </w:tcBorders>
            <w:shd w:val="clear" w:color="auto" w:fill="auto"/>
            <w:noWrap/>
            <w:vAlign w:val="center"/>
            <w:hideMark/>
          </w:tcPr>
          <w:p w:rsidR="00BA7468" w:rsidRPr="00E951EC" w:rsidRDefault="00BA7468">
            <w:pPr>
              <w:jc w:val="right"/>
              <w:rPr>
                <w:rFonts w:ascii="Calibri" w:hAnsi="Calibri" w:cs="Calibri"/>
                <w:sz w:val="16"/>
                <w:szCs w:val="16"/>
              </w:rPr>
            </w:pPr>
            <w:r w:rsidRPr="00E951EC">
              <w:rPr>
                <w:rFonts w:ascii="Calibri" w:hAnsi="Calibri" w:cs="Calibri"/>
                <w:sz w:val="16"/>
                <w:szCs w:val="16"/>
              </w:rPr>
              <w:t>188 615,00</w:t>
            </w:r>
          </w:p>
        </w:tc>
        <w:tc>
          <w:tcPr>
            <w:tcW w:w="1134" w:type="dxa"/>
            <w:tcBorders>
              <w:top w:val="nil"/>
              <w:left w:val="nil"/>
              <w:bottom w:val="single" w:sz="4" w:space="0" w:color="auto"/>
              <w:right w:val="single" w:sz="4" w:space="0" w:color="auto"/>
            </w:tcBorders>
            <w:shd w:val="clear" w:color="auto" w:fill="auto"/>
            <w:noWrap/>
            <w:vAlign w:val="center"/>
            <w:hideMark/>
          </w:tcPr>
          <w:p w:rsidR="00BA7468" w:rsidRPr="00E951EC" w:rsidRDefault="00BA7468">
            <w:pPr>
              <w:jc w:val="right"/>
              <w:rPr>
                <w:rFonts w:ascii="Calibri" w:hAnsi="Calibri" w:cs="Calibri"/>
                <w:sz w:val="16"/>
                <w:szCs w:val="16"/>
              </w:rPr>
            </w:pPr>
            <w:r w:rsidRPr="00E951EC">
              <w:rPr>
                <w:rFonts w:ascii="Calibri" w:hAnsi="Calibri" w:cs="Calibri"/>
                <w:sz w:val="16"/>
                <w:szCs w:val="16"/>
              </w:rPr>
              <w:t>188 615,00</w:t>
            </w:r>
          </w:p>
        </w:tc>
        <w:tc>
          <w:tcPr>
            <w:tcW w:w="987" w:type="dxa"/>
            <w:tcBorders>
              <w:top w:val="nil"/>
              <w:left w:val="nil"/>
              <w:bottom w:val="single" w:sz="4" w:space="0" w:color="auto"/>
              <w:right w:val="single" w:sz="4" w:space="0" w:color="auto"/>
            </w:tcBorders>
            <w:shd w:val="clear" w:color="auto" w:fill="auto"/>
            <w:noWrap/>
            <w:vAlign w:val="center"/>
            <w:hideMark/>
          </w:tcPr>
          <w:p w:rsidR="00BA7468" w:rsidRPr="00E951EC" w:rsidRDefault="00BA7468">
            <w:pPr>
              <w:jc w:val="right"/>
              <w:rPr>
                <w:rFonts w:ascii="Calibri" w:hAnsi="Calibri" w:cs="Calibri"/>
                <w:sz w:val="16"/>
                <w:szCs w:val="16"/>
              </w:rPr>
            </w:pPr>
            <w:r w:rsidRPr="00E951EC">
              <w:rPr>
                <w:rFonts w:ascii="Calibri" w:hAnsi="Calibri" w:cs="Calibri"/>
                <w:sz w:val="16"/>
                <w:szCs w:val="16"/>
              </w:rPr>
              <w:t>-77 027,00</w:t>
            </w:r>
          </w:p>
        </w:tc>
      </w:tr>
      <w:tr w:rsidR="00E951EC" w:rsidTr="00E951EC">
        <w:trPr>
          <w:trHeight w:val="407"/>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BA7468" w:rsidRPr="00E951EC" w:rsidRDefault="00BA7468">
            <w:pPr>
              <w:rPr>
                <w:rFonts w:ascii="Calibri" w:hAnsi="Calibri" w:cs="Calibri"/>
                <w:sz w:val="16"/>
                <w:szCs w:val="16"/>
              </w:rPr>
            </w:pPr>
            <w:r w:rsidRPr="00E951EC">
              <w:rPr>
                <w:rFonts w:ascii="Calibri" w:hAnsi="Calibri" w:cs="Calibri"/>
                <w:sz w:val="16"/>
                <w:szCs w:val="16"/>
              </w:rPr>
              <w:t>FCC Prostějov, s. r. o.</w:t>
            </w:r>
          </w:p>
        </w:tc>
        <w:tc>
          <w:tcPr>
            <w:tcW w:w="992" w:type="dxa"/>
            <w:tcBorders>
              <w:top w:val="nil"/>
              <w:left w:val="nil"/>
              <w:bottom w:val="single" w:sz="4" w:space="0" w:color="auto"/>
              <w:right w:val="single" w:sz="4" w:space="0" w:color="auto"/>
            </w:tcBorders>
            <w:shd w:val="clear" w:color="auto" w:fill="auto"/>
            <w:noWrap/>
            <w:vAlign w:val="center"/>
            <w:hideMark/>
          </w:tcPr>
          <w:p w:rsidR="00BA7468" w:rsidRPr="00E951EC" w:rsidRDefault="00BA7468">
            <w:pPr>
              <w:jc w:val="right"/>
              <w:rPr>
                <w:rFonts w:ascii="Calibri" w:hAnsi="Calibri" w:cs="Calibri"/>
                <w:sz w:val="16"/>
                <w:szCs w:val="16"/>
              </w:rPr>
            </w:pPr>
            <w:r w:rsidRPr="00E951EC">
              <w:rPr>
                <w:rFonts w:ascii="Calibri" w:hAnsi="Calibri" w:cs="Calibri"/>
                <w:sz w:val="16"/>
                <w:szCs w:val="16"/>
              </w:rPr>
              <w:t>11 114,16</w:t>
            </w:r>
          </w:p>
        </w:tc>
        <w:tc>
          <w:tcPr>
            <w:tcW w:w="709" w:type="dxa"/>
            <w:tcBorders>
              <w:top w:val="nil"/>
              <w:left w:val="nil"/>
              <w:bottom w:val="single" w:sz="4" w:space="0" w:color="auto"/>
              <w:right w:val="single" w:sz="4" w:space="0" w:color="auto"/>
            </w:tcBorders>
            <w:shd w:val="clear" w:color="auto" w:fill="auto"/>
            <w:noWrap/>
            <w:vAlign w:val="center"/>
            <w:hideMark/>
          </w:tcPr>
          <w:p w:rsidR="00BA7468" w:rsidRPr="00E951EC" w:rsidRDefault="00BA7468">
            <w:pPr>
              <w:jc w:val="right"/>
              <w:rPr>
                <w:rFonts w:ascii="Calibri" w:hAnsi="Calibri" w:cs="Calibri"/>
                <w:sz w:val="16"/>
                <w:szCs w:val="16"/>
              </w:rPr>
            </w:pPr>
            <w:r w:rsidRPr="00E951EC">
              <w:rPr>
                <w:rFonts w:ascii="Calibri" w:hAnsi="Calibri" w:cs="Calibri"/>
                <w:sz w:val="16"/>
                <w:szCs w:val="16"/>
              </w:rPr>
              <w:t>25,00</w:t>
            </w:r>
          </w:p>
        </w:tc>
        <w:tc>
          <w:tcPr>
            <w:tcW w:w="992" w:type="dxa"/>
            <w:tcBorders>
              <w:top w:val="nil"/>
              <w:left w:val="nil"/>
              <w:bottom w:val="single" w:sz="4" w:space="0" w:color="auto"/>
              <w:right w:val="single" w:sz="4" w:space="0" w:color="auto"/>
            </w:tcBorders>
            <w:shd w:val="clear" w:color="auto" w:fill="auto"/>
            <w:noWrap/>
            <w:vAlign w:val="center"/>
            <w:hideMark/>
          </w:tcPr>
          <w:p w:rsidR="00BA7468" w:rsidRPr="00E951EC" w:rsidRDefault="00BA7468">
            <w:pPr>
              <w:jc w:val="right"/>
              <w:rPr>
                <w:rFonts w:ascii="Calibri" w:hAnsi="Calibri" w:cs="Calibri"/>
                <w:sz w:val="16"/>
                <w:szCs w:val="16"/>
              </w:rPr>
            </w:pPr>
            <w:r w:rsidRPr="00E951EC">
              <w:rPr>
                <w:rFonts w:ascii="Calibri" w:hAnsi="Calibri" w:cs="Calibri"/>
                <w:sz w:val="16"/>
                <w:szCs w:val="16"/>
              </w:rPr>
              <w:t>11 114,00</w:t>
            </w:r>
          </w:p>
        </w:tc>
        <w:tc>
          <w:tcPr>
            <w:tcW w:w="992" w:type="dxa"/>
            <w:tcBorders>
              <w:top w:val="nil"/>
              <w:left w:val="nil"/>
              <w:bottom w:val="single" w:sz="4" w:space="0" w:color="auto"/>
              <w:right w:val="single" w:sz="4" w:space="0" w:color="auto"/>
            </w:tcBorders>
            <w:shd w:val="clear" w:color="auto" w:fill="auto"/>
            <w:noWrap/>
            <w:vAlign w:val="center"/>
            <w:hideMark/>
          </w:tcPr>
          <w:p w:rsidR="00BA7468" w:rsidRPr="00E951EC" w:rsidRDefault="00BA7468">
            <w:pPr>
              <w:jc w:val="right"/>
              <w:rPr>
                <w:rFonts w:ascii="Calibri" w:hAnsi="Calibri" w:cs="Calibri"/>
                <w:sz w:val="16"/>
                <w:szCs w:val="16"/>
              </w:rPr>
            </w:pPr>
            <w:r w:rsidRPr="00E951EC">
              <w:rPr>
                <w:rFonts w:ascii="Calibri" w:hAnsi="Calibri" w:cs="Calibri"/>
                <w:sz w:val="16"/>
                <w:szCs w:val="16"/>
              </w:rPr>
              <w:t>44 456,00</w:t>
            </w:r>
          </w:p>
        </w:tc>
        <w:tc>
          <w:tcPr>
            <w:tcW w:w="992" w:type="dxa"/>
            <w:tcBorders>
              <w:top w:val="nil"/>
              <w:left w:val="nil"/>
              <w:bottom w:val="single" w:sz="4" w:space="0" w:color="auto"/>
              <w:right w:val="single" w:sz="4" w:space="0" w:color="auto"/>
            </w:tcBorders>
            <w:shd w:val="clear" w:color="auto" w:fill="auto"/>
            <w:noWrap/>
            <w:vAlign w:val="center"/>
            <w:hideMark/>
          </w:tcPr>
          <w:p w:rsidR="00BA7468" w:rsidRPr="00E951EC" w:rsidRDefault="00BA7468">
            <w:pPr>
              <w:jc w:val="right"/>
              <w:rPr>
                <w:rFonts w:ascii="Calibri" w:hAnsi="Calibri" w:cs="Calibri"/>
                <w:sz w:val="16"/>
                <w:szCs w:val="16"/>
              </w:rPr>
            </w:pPr>
            <w:r w:rsidRPr="00E951EC">
              <w:rPr>
                <w:rFonts w:ascii="Calibri" w:hAnsi="Calibri" w:cs="Calibri"/>
                <w:sz w:val="16"/>
                <w:szCs w:val="16"/>
              </w:rPr>
              <w:t>53 193,00</w:t>
            </w:r>
          </w:p>
        </w:tc>
        <w:tc>
          <w:tcPr>
            <w:tcW w:w="1134" w:type="dxa"/>
            <w:tcBorders>
              <w:top w:val="nil"/>
              <w:left w:val="nil"/>
              <w:bottom w:val="single" w:sz="4" w:space="0" w:color="auto"/>
              <w:right w:val="single" w:sz="4" w:space="0" w:color="auto"/>
            </w:tcBorders>
            <w:shd w:val="clear" w:color="auto" w:fill="auto"/>
            <w:noWrap/>
            <w:vAlign w:val="center"/>
            <w:hideMark/>
          </w:tcPr>
          <w:p w:rsidR="00BA7468" w:rsidRPr="00E951EC" w:rsidRDefault="00BA7468">
            <w:pPr>
              <w:jc w:val="right"/>
              <w:rPr>
                <w:rFonts w:ascii="Calibri" w:hAnsi="Calibri" w:cs="Calibri"/>
                <w:sz w:val="16"/>
                <w:szCs w:val="16"/>
              </w:rPr>
            </w:pPr>
            <w:r w:rsidRPr="00E951EC">
              <w:rPr>
                <w:rFonts w:ascii="Calibri" w:hAnsi="Calibri" w:cs="Calibri"/>
                <w:sz w:val="16"/>
                <w:szCs w:val="16"/>
              </w:rPr>
              <w:t>13 298,25</w:t>
            </w:r>
          </w:p>
        </w:tc>
        <w:tc>
          <w:tcPr>
            <w:tcW w:w="987" w:type="dxa"/>
            <w:tcBorders>
              <w:top w:val="nil"/>
              <w:left w:val="nil"/>
              <w:bottom w:val="single" w:sz="4" w:space="0" w:color="auto"/>
              <w:right w:val="single" w:sz="4" w:space="0" w:color="auto"/>
            </w:tcBorders>
            <w:shd w:val="clear" w:color="auto" w:fill="auto"/>
            <w:noWrap/>
            <w:vAlign w:val="center"/>
            <w:hideMark/>
          </w:tcPr>
          <w:p w:rsidR="00BA7468" w:rsidRPr="00E951EC" w:rsidRDefault="00BA7468">
            <w:pPr>
              <w:jc w:val="right"/>
              <w:rPr>
                <w:rFonts w:ascii="Calibri" w:hAnsi="Calibri" w:cs="Calibri"/>
                <w:sz w:val="16"/>
                <w:szCs w:val="16"/>
              </w:rPr>
            </w:pPr>
            <w:r w:rsidRPr="00E951EC">
              <w:rPr>
                <w:rFonts w:ascii="Calibri" w:hAnsi="Calibri" w:cs="Calibri"/>
                <w:sz w:val="16"/>
                <w:szCs w:val="16"/>
              </w:rPr>
              <w:t>2 184,09</w:t>
            </w:r>
          </w:p>
        </w:tc>
      </w:tr>
      <w:tr w:rsidR="00E951EC" w:rsidTr="00E951EC">
        <w:trPr>
          <w:trHeight w:val="407"/>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BA7468" w:rsidRPr="00E951EC" w:rsidRDefault="00BA7468">
            <w:pPr>
              <w:rPr>
                <w:rFonts w:ascii="Calibri" w:hAnsi="Calibri" w:cs="Calibri"/>
                <w:sz w:val="16"/>
                <w:szCs w:val="16"/>
              </w:rPr>
            </w:pPr>
            <w:r w:rsidRPr="00E951EC">
              <w:rPr>
                <w:rFonts w:ascii="Calibri" w:hAnsi="Calibri" w:cs="Calibri"/>
                <w:sz w:val="16"/>
                <w:szCs w:val="16"/>
              </w:rPr>
              <w:t>FTL - First Transport Lines, a. s.</w:t>
            </w:r>
          </w:p>
        </w:tc>
        <w:tc>
          <w:tcPr>
            <w:tcW w:w="992" w:type="dxa"/>
            <w:tcBorders>
              <w:top w:val="nil"/>
              <w:left w:val="nil"/>
              <w:bottom w:val="single" w:sz="4" w:space="0" w:color="auto"/>
              <w:right w:val="single" w:sz="4" w:space="0" w:color="auto"/>
            </w:tcBorders>
            <w:shd w:val="clear" w:color="auto" w:fill="auto"/>
            <w:noWrap/>
            <w:vAlign w:val="center"/>
            <w:hideMark/>
          </w:tcPr>
          <w:p w:rsidR="00BA7468" w:rsidRPr="00E951EC" w:rsidRDefault="00BA7468">
            <w:pPr>
              <w:jc w:val="right"/>
              <w:rPr>
                <w:rFonts w:ascii="Calibri" w:hAnsi="Calibri" w:cs="Calibri"/>
                <w:sz w:val="16"/>
                <w:szCs w:val="16"/>
              </w:rPr>
            </w:pPr>
            <w:r w:rsidRPr="00E951EC">
              <w:rPr>
                <w:rFonts w:ascii="Calibri" w:hAnsi="Calibri" w:cs="Calibri"/>
                <w:sz w:val="16"/>
                <w:szCs w:val="16"/>
              </w:rPr>
              <w:t>2 636,21</w:t>
            </w:r>
          </w:p>
        </w:tc>
        <w:tc>
          <w:tcPr>
            <w:tcW w:w="709" w:type="dxa"/>
            <w:tcBorders>
              <w:top w:val="nil"/>
              <w:left w:val="nil"/>
              <w:bottom w:val="single" w:sz="4" w:space="0" w:color="auto"/>
              <w:right w:val="single" w:sz="4" w:space="0" w:color="auto"/>
            </w:tcBorders>
            <w:shd w:val="clear" w:color="auto" w:fill="auto"/>
            <w:noWrap/>
            <w:vAlign w:val="center"/>
            <w:hideMark/>
          </w:tcPr>
          <w:p w:rsidR="00BA7468" w:rsidRPr="00E951EC" w:rsidRDefault="00BA7468">
            <w:pPr>
              <w:jc w:val="right"/>
              <w:rPr>
                <w:rFonts w:ascii="Calibri" w:hAnsi="Calibri" w:cs="Calibri"/>
                <w:sz w:val="16"/>
                <w:szCs w:val="16"/>
              </w:rPr>
            </w:pPr>
            <w:r w:rsidRPr="00E951EC">
              <w:rPr>
                <w:rFonts w:ascii="Calibri" w:hAnsi="Calibri" w:cs="Calibri"/>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BA7468" w:rsidRPr="00E951EC" w:rsidRDefault="00BA7468">
            <w:pPr>
              <w:jc w:val="right"/>
              <w:rPr>
                <w:rFonts w:ascii="Calibri" w:hAnsi="Calibri" w:cs="Calibri"/>
                <w:sz w:val="16"/>
                <w:szCs w:val="16"/>
              </w:rPr>
            </w:pPr>
            <w:r w:rsidRPr="00E951EC">
              <w:rPr>
                <w:rFonts w:ascii="Calibri" w:hAnsi="Calibri" w:cs="Calibri"/>
                <w:sz w:val="16"/>
                <w:szCs w:val="16"/>
              </w:rPr>
              <w:t>6 731,00</w:t>
            </w:r>
          </w:p>
        </w:tc>
        <w:tc>
          <w:tcPr>
            <w:tcW w:w="992" w:type="dxa"/>
            <w:tcBorders>
              <w:top w:val="nil"/>
              <w:left w:val="nil"/>
              <w:bottom w:val="single" w:sz="4" w:space="0" w:color="auto"/>
              <w:right w:val="single" w:sz="4" w:space="0" w:color="auto"/>
            </w:tcBorders>
            <w:shd w:val="clear" w:color="auto" w:fill="auto"/>
            <w:noWrap/>
            <w:vAlign w:val="center"/>
            <w:hideMark/>
          </w:tcPr>
          <w:p w:rsidR="00BA7468" w:rsidRPr="00E951EC" w:rsidRDefault="00BA7468">
            <w:pPr>
              <w:jc w:val="right"/>
              <w:rPr>
                <w:rFonts w:ascii="Calibri" w:hAnsi="Calibri" w:cs="Calibri"/>
                <w:sz w:val="16"/>
                <w:szCs w:val="16"/>
              </w:rPr>
            </w:pPr>
            <w:r w:rsidRPr="00E951EC">
              <w:rPr>
                <w:rFonts w:ascii="Calibri" w:hAnsi="Calibri" w:cs="Calibri"/>
                <w:sz w:val="16"/>
                <w:szCs w:val="16"/>
              </w:rPr>
              <w:t>67 300,00</w:t>
            </w:r>
          </w:p>
        </w:tc>
        <w:tc>
          <w:tcPr>
            <w:tcW w:w="992" w:type="dxa"/>
            <w:tcBorders>
              <w:top w:val="nil"/>
              <w:left w:val="nil"/>
              <w:bottom w:val="single" w:sz="4" w:space="0" w:color="auto"/>
              <w:right w:val="single" w:sz="4" w:space="0" w:color="auto"/>
            </w:tcBorders>
            <w:shd w:val="clear" w:color="auto" w:fill="auto"/>
            <w:noWrap/>
            <w:vAlign w:val="center"/>
            <w:hideMark/>
          </w:tcPr>
          <w:p w:rsidR="00BA7468" w:rsidRPr="00E951EC" w:rsidRDefault="00BA7468">
            <w:pPr>
              <w:jc w:val="right"/>
              <w:rPr>
                <w:rFonts w:ascii="Calibri" w:hAnsi="Calibri" w:cs="Calibri"/>
                <w:sz w:val="16"/>
                <w:szCs w:val="16"/>
              </w:rPr>
            </w:pPr>
            <w:r w:rsidRPr="00E951EC">
              <w:rPr>
                <w:rFonts w:ascii="Calibri" w:hAnsi="Calibri" w:cs="Calibri"/>
                <w:sz w:val="16"/>
                <w:szCs w:val="16"/>
              </w:rPr>
              <w:t>143 130,00</w:t>
            </w:r>
          </w:p>
        </w:tc>
        <w:tc>
          <w:tcPr>
            <w:tcW w:w="1134" w:type="dxa"/>
            <w:tcBorders>
              <w:top w:val="nil"/>
              <w:left w:val="nil"/>
              <w:bottom w:val="single" w:sz="4" w:space="0" w:color="auto"/>
              <w:right w:val="single" w:sz="4" w:space="0" w:color="auto"/>
            </w:tcBorders>
            <w:shd w:val="clear" w:color="auto" w:fill="auto"/>
            <w:noWrap/>
            <w:vAlign w:val="center"/>
            <w:hideMark/>
          </w:tcPr>
          <w:p w:rsidR="00BA7468" w:rsidRPr="00E951EC" w:rsidRDefault="00BA7468">
            <w:pPr>
              <w:jc w:val="right"/>
              <w:rPr>
                <w:rFonts w:ascii="Calibri" w:hAnsi="Calibri" w:cs="Calibri"/>
                <w:sz w:val="16"/>
                <w:szCs w:val="16"/>
              </w:rPr>
            </w:pPr>
            <w:r w:rsidRPr="00E951EC">
              <w:rPr>
                <w:rFonts w:ascii="Calibri" w:hAnsi="Calibri" w:cs="Calibri"/>
                <w:sz w:val="16"/>
                <w:szCs w:val="16"/>
              </w:rPr>
              <w:t>14 313,00</w:t>
            </w:r>
          </w:p>
        </w:tc>
        <w:tc>
          <w:tcPr>
            <w:tcW w:w="987" w:type="dxa"/>
            <w:tcBorders>
              <w:top w:val="nil"/>
              <w:left w:val="nil"/>
              <w:bottom w:val="single" w:sz="4" w:space="0" w:color="auto"/>
              <w:right w:val="single" w:sz="4" w:space="0" w:color="auto"/>
            </w:tcBorders>
            <w:shd w:val="clear" w:color="auto" w:fill="auto"/>
            <w:noWrap/>
            <w:vAlign w:val="center"/>
            <w:hideMark/>
          </w:tcPr>
          <w:p w:rsidR="00BA7468" w:rsidRPr="00E951EC" w:rsidRDefault="00BA7468">
            <w:pPr>
              <w:jc w:val="right"/>
              <w:rPr>
                <w:rFonts w:ascii="Calibri" w:hAnsi="Calibri" w:cs="Calibri"/>
                <w:sz w:val="16"/>
                <w:szCs w:val="16"/>
              </w:rPr>
            </w:pPr>
            <w:r w:rsidRPr="00E951EC">
              <w:rPr>
                <w:rFonts w:ascii="Calibri" w:hAnsi="Calibri" w:cs="Calibri"/>
                <w:sz w:val="16"/>
                <w:szCs w:val="16"/>
              </w:rPr>
              <w:t>11 676,79</w:t>
            </w:r>
          </w:p>
        </w:tc>
      </w:tr>
      <w:tr w:rsidR="00E951EC" w:rsidTr="00E951EC">
        <w:trPr>
          <w:trHeight w:val="407"/>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BA7468" w:rsidRPr="00E951EC" w:rsidRDefault="00BA7468">
            <w:pPr>
              <w:rPr>
                <w:rFonts w:ascii="Calibri" w:hAnsi="Calibri" w:cs="Calibri"/>
                <w:sz w:val="16"/>
                <w:szCs w:val="16"/>
              </w:rPr>
            </w:pPr>
            <w:r w:rsidRPr="00E951EC">
              <w:rPr>
                <w:rFonts w:ascii="Calibri" w:hAnsi="Calibri" w:cs="Calibri"/>
                <w:sz w:val="16"/>
                <w:szCs w:val="16"/>
              </w:rPr>
              <w:t>Lesy města Prostějova, s. r. o.</w:t>
            </w:r>
          </w:p>
        </w:tc>
        <w:tc>
          <w:tcPr>
            <w:tcW w:w="992" w:type="dxa"/>
            <w:tcBorders>
              <w:top w:val="nil"/>
              <w:left w:val="nil"/>
              <w:bottom w:val="single" w:sz="4" w:space="0" w:color="auto"/>
              <w:right w:val="single" w:sz="4" w:space="0" w:color="auto"/>
            </w:tcBorders>
            <w:shd w:val="clear" w:color="auto" w:fill="auto"/>
            <w:noWrap/>
            <w:vAlign w:val="center"/>
            <w:hideMark/>
          </w:tcPr>
          <w:p w:rsidR="00BA7468" w:rsidRPr="00E951EC" w:rsidRDefault="00BA7468">
            <w:pPr>
              <w:jc w:val="right"/>
              <w:rPr>
                <w:rFonts w:ascii="Calibri" w:hAnsi="Calibri" w:cs="Calibri"/>
                <w:sz w:val="16"/>
                <w:szCs w:val="16"/>
              </w:rPr>
            </w:pPr>
            <w:r w:rsidRPr="00E951EC">
              <w:rPr>
                <w:rFonts w:ascii="Calibri" w:hAnsi="Calibri" w:cs="Calibri"/>
                <w:sz w:val="16"/>
                <w:szCs w:val="16"/>
              </w:rPr>
              <w:t>100,00</w:t>
            </w:r>
          </w:p>
        </w:tc>
        <w:tc>
          <w:tcPr>
            <w:tcW w:w="709" w:type="dxa"/>
            <w:tcBorders>
              <w:top w:val="nil"/>
              <w:left w:val="nil"/>
              <w:bottom w:val="single" w:sz="4" w:space="0" w:color="auto"/>
              <w:right w:val="single" w:sz="4" w:space="0" w:color="auto"/>
            </w:tcBorders>
            <w:shd w:val="clear" w:color="auto" w:fill="auto"/>
            <w:noWrap/>
            <w:vAlign w:val="center"/>
            <w:hideMark/>
          </w:tcPr>
          <w:p w:rsidR="00BA7468" w:rsidRPr="00E951EC" w:rsidRDefault="00BA7468">
            <w:pPr>
              <w:jc w:val="right"/>
              <w:rPr>
                <w:rFonts w:ascii="Calibri" w:hAnsi="Calibri" w:cs="Calibri"/>
                <w:sz w:val="16"/>
                <w:szCs w:val="16"/>
              </w:rPr>
            </w:pPr>
            <w:r w:rsidRPr="00E951EC">
              <w:rPr>
                <w:rFonts w:ascii="Calibri" w:hAnsi="Calibri" w:cs="Calibri"/>
                <w:sz w:val="16"/>
                <w:szCs w:val="16"/>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BA7468" w:rsidRPr="00E951EC" w:rsidRDefault="00BA7468">
            <w:pPr>
              <w:jc w:val="right"/>
              <w:rPr>
                <w:rFonts w:ascii="Calibri" w:hAnsi="Calibri" w:cs="Calibri"/>
                <w:sz w:val="16"/>
                <w:szCs w:val="16"/>
              </w:rPr>
            </w:pPr>
            <w:r w:rsidRPr="00E951EC">
              <w:rPr>
                <w:rFonts w:ascii="Calibri" w:hAnsi="Calibri" w:cs="Calibri"/>
                <w:sz w:val="16"/>
                <w:szCs w:val="16"/>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BA7468" w:rsidRPr="00E951EC" w:rsidRDefault="00BA7468">
            <w:pPr>
              <w:jc w:val="right"/>
              <w:rPr>
                <w:rFonts w:ascii="Calibri" w:hAnsi="Calibri" w:cs="Calibri"/>
                <w:sz w:val="16"/>
                <w:szCs w:val="16"/>
              </w:rPr>
            </w:pPr>
            <w:r w:rsidRPr="00E951EC">
              <w:rPr>
                <w:rFonts w:ascii="Calibri" w:hAnsi="Calibri" w:cs="Calibri"/>
                <w:sz w:val="16"/>
                <w:szCs w:val="16"/>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BA7468" w:rsidRPr="00E951EC" w:rsidRDefault="00BA7468">
            <w:pPr>
              <w:jc w:val="right"/>
              <w:rPr>
                <w:rFonts w:ascii="Calibri" w:hAnsi="Calibri" w:cs="Calibri"/>
                <w:sz w:val="16"/>
                <w:szCs w:val="16"/>
              </w:rPr>
            </w:pPr>
            <w:r w:rsidRPr="00E951EC">
              <w:rPr>
                <w:rFonts w:ascii="Calibri" w:hAnsi="Calibri" w:cs="Calibri"/>
                <w:sz w:val="16"/>
                <w:szCs w:val="16"/>
              </w:rPr>
              <w:t>23 393,00</w:t>
            </w:r>
          </w:p>
        </w:tc>
        <w:tc>
          <w:tcPr>
            <w:tcW w:w="1134" w:type="dxa"/>
            <w:tcBorders>
              <w:top w:val="nil"/>
              <w:left w:val="nil"/>
              <w:bottom w:val="single" w:sz="4" w:space="0" w:color="auto"/>
              <w:right w:val="single" w:sz="4" w:space="0" w:color="auto"/>
            </w:tcBorders>
            <w:shd w:val="clear" w:color="auto" w:fill="auto"/>
            <w:noWrap/>
            <w:vAlign w:val="center"/>
            <w:hideMark/>
          </w:tcPr>
          <w:p w:rsidR="00BA7468" w:rsidRPr="00E951EC" w:rsidRDefault="00BA7468">
            <w:pPr>
              <w:jc w:val="right"/>
              <w:rPr>
                <w:rFonts w:ascii="Calibri" w:hAnsi="Calibri" w:cs="Calibri"/>
                <w:sz w:val="16"/>
                <w:szCs w:val="16"/>
              </w:rPr>
            </w:pPr>
            <w:r w:rsidRPr="00E951EC">
              <w:rPr>
                <w:rFonts w:ascii="Calibri" w:hAnsi="Calibri" w:cs="Calibri"/>
                <w:sz w:val="16"/>
                <w:szCs w:val="16"/>
              </w:rPr>
              <w:t>23 393,00</w:t>
            </w:r>
          </w:p>
        </w:tc>
        <w:tc>
          <w:tcPr>
            <w:tcW w:w="987" w:type="dxa"/>
            <w:tcBorders>
              <w:top w:val="nil"/>
              <w:left w:val="nil"/>
              <w:bottom w:val="single" w:sz="4" w:space="0" w:color="auto"/>
              <w:right w:val="single" w:sz="4" w:space="0" w:color="auto"/>
            </w:tcBorders>
            <w:shd w:val="clear" w:color="auto" w:fill="auto"/>
            <w:noWrap/>
            <w:vAlign w:val="center"/>
            <w:hideMark/>
          </w:tcPr>
          <w:p w:rsidR="00BA7468" w:rsidRPr="00E951EC" w:rsidRDefault="00BA7468">
            <w:pPr>
              <w:jc w:val="right"/>
              <w:rPr>
                <w:rFonts w:ascii="Calibri" w:hAnsi="Calibri" w:cs="Calibri"/>
                <w:sz w:val="16"/>
                <w:szCs w:val="16"/>
              </w:rPr>
            </w:pPr>
            <w:r w:rsidRPr="00E951EC">
              <w:rPr>
                <w:rFonts w:ascii="Calibri" w:hAnsi="Calibri" w:cs="Calibri"/>
                <w:sz w:val="16"/>
                <w:szCs w:val="16"/>
              </w:rPr>
              <w:t>23 293,00</w:t>
            </w:r>
          </w:p>
        </w:tc>
      </w:tr>
      <w:tr w:rsidR="00E951EC" w:rsidTr="00E951EC">
        <w:trPr>
          <w:trHeight w:val="407"/>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BA7468" w:rsidRPr="00E951EC" w:rsidRDefault="00BA7468">
            <w:pPr>
              <w:rPr>
                <w:rFonts w:ascii="Calibri" w:hAnsi="Calibri" w:cs="Calibri"/>
                <w:sz w:val="16"/>
                <w:szCs w:val="16"/>
              </w:rPr>
            </w:pPr>
            <w:r w:rsidRPr="00E951EC">
              <w:rPr>
                <w:rFonts w:ascii="Calibri" w:hAnsi="Calibri" w:cs="Calibri"/>
                <w:sz w:val="16"/>
                <w:szCs w:val="16"/>
              </w:rPr>
              <w:t>Servisní společnost odpady Olomouckého kraje, a. s.</w:t>
            </w:r>
          </w:p>
        </w:tc>
        <w:tc>
          <w:tcPr>
            <w:tcW w:w="992" w:type="dxa"/>
            <w:tcBorders>
              <w:top w:val="nil"/>
              <w:left w:val="nil"/>
              <w:bottom w:val="single" w:sz="4" w:space="0" w:color="auto"/>
              <w:right w:val="single" w:sz="4" w:space="0" w:color="auto"/>
            </w:tcBorders>
            <w:shd w:val="clear" w:color="auto" w:fill="auto"/>
            <w:noWrap/>
            <w:vAlign w:val="center"/>
            <w:hideMark/>
          </w:tcPr>
          <w:p w:rsidR="00BA7468" w:rsidRPr="00E951EC" w:rsidRDefault="00BA7468">
            <w:pPr>
              <w:jc w:val="right"/>
              <w:rPr>
                <w:rFonts w:ascii="Calibri" w:hAnsi="Calibri" w:cs="Calibri"/>
                <w:sz w:val="16"/>
                <w:szCs w:val="16"/>
              </w:rPr>
            </w:pPr>
            <w:r w:rsidRPr="00E951EC">
              <w:rPr>
                <w:rFonts w:ascii="Calibri" w:hAnsi="Calibri" w:cs="Calibri"/>
                <w:sz w:val="16"/>
                <w:szCs w:val="16"/>
              </w:rPr>
              <w:t>663 150,00</w:t>
            </w:r>
          </w:p>
        </w:tc>
        <w:tc>
          <w:tcPr>
            <w:tcW w:w="709" w:type="dxa"/>
            <w:tcBorders>
              <w:top w:val="nil"/>
              <w:left w:val="nil"/>
              <w:bottom w:val="single" w:sz="4" w:space="0" w:color="auto"/>
              <w:right w:val="single" w:sz="4" w:space="0" w:color="auto"/>
            </w:tcBorders>
            <w:shd w:val="clear" w:color="auto" w:fill="auto"/>
            <w:noWrap/>
            <w:vAlign w:val="center"/>
            <w:hideMark/>
          </w:tcPr>
          <w:p w:rsidR="00BA7468" w:rsidRPr="00E951EC" w:rsidRDefault="00BA7468">
            <w:pPr>
              <w:jc w:val="right"/>
              <w:rPr>
                <w:rFonts w:ascii="Calibri" w:hAnsi="Calibri" w:cs="Calibri"/>
                <w:sz w:val="16"/>
                <w:szCs w:val="16"/>
              </w:rPr>
            </w:pPr>
            <w:r w:rsidRPr="00E951EC">
              <w:rPr>
                <w:rFonts w:ascii="Calibri" w:hAnsi="Calibri" w:cs="Calibri"/>
                <w:sz w:val="16"/>
                <w:szCs w:val="16"/>
              </w:rPr>
              <w:t>10,05</w:t>
            </w:r>
          </w:p>
        </w:tc>
        <w:tc>
          <w:tcPr>
            <w:tcW w:w="992" w:type="dxa"/>
            <w:tcBorders>
              <w:top w:val="nil"/>
              <w:left w:val="nil"/>
              <w:bottom w:val="single" w:sz="4" w:space="0" w:color="auto"/>
              <w:right w:val="single" w:sz="4" w:space="0" w:color="auto"/>
            </w:tcBorders>
            <w:shd w:val="clear" w:color="auto" w:fill="auto"/>
            <w:noWrap/>
            <w:vAlign w:val="center"/>
            <w:hideMark/>
          </w:tcPr>
          <w:p w:rsidR="00BA7468" w:rsidRPr="00E951EC" w:rsidRDefault="00BA7468">
            <w:pPr>
              <w:jc w:val="right"/>
              <w:rPr>
                <w:rFonts w:ascii="Calibri" w:hAnsi="Calibri" w:cs="Calibri"/>
                <w:sz w:val="16"/>
                <w:szCs w:val="16"/>
              </w:rPr>
            </w:pPr>
            <w:r w:rsidRPr="00E951EC">
              <w:rPr>
                <w:rFonts w:ascii="Calibri" w:hAnsi="Calibri" w:cs="Calibri"/>
                <w:sz w:val="16"/>
                <w:szCs w:val="16"/>
              </w:rPr>
              <w:t>663 150,00</w:t>
            </w:r>
          </w:p>
        </w:tc>
        <w:tc>
          <w:tcPr>
            <w:tcW w:w="992" w:type="dxa"/>
            <w:tcBorders>
              <w:top w:val="nil"/>
              <w:left w:val="nil"/>
              <w:bottom w:val="single" w:sz="4" w:space="0" w:color="auto"/>
              <w:right w:val="single" w:sz="4" w:space="0" w:color="auto"/>
            </w:tcBorders>
            <w:shd w:val="clear" w:color="auto" w:fill="auto"/>
            <w:noWrap/>
            <w:vAlign w:val="center"/>
            <w:hideMark/>
          </w:tcPr>
          <w:p w:rsidR="00BA7468" w:rsidRPr="00E951EC" w:rsidRDefault="00BA7468">
            <w:pPr>
              <w:jc w:val="right"/>
              <w:rPr>
                <w:rFonts w:ascii="Calibri" w:hAnsi="Calibri" w:cs="Calibri"/>
                <w:sz w:val="16"/>
                <w:szCs w:val="16"/>
              </w:rPr>
            </w:pPr>
            <w:r w:rsidRPr="00E951EC">
              <w:rPr>
                <w:rFonts w:ascii="Calibri" w:hAnsi="Calibri" w:cs="Calibri"/>
                <w:sz w:val="16"/>
                <w:szCs w:val="16"/>
              </w:rPr>
              <w:t>6 600 000,00</w:t>
            </w:r>
          </w:p>
        </w:tc>
        <w:tc>
          <w:tcPr>
            <w:tcW w:w="992" w:type="dxa"/>
            <w:tcBorders>
              <w:top w:val="nil"/>
              <w:left w:val="nil"/>
              <w:bottom w:val="single" w:sz="4" w:space="0" w:color="auto"/>
              <w:right w:val="single" w:sz="4" w:space="0" w:color="auto"/>
            </w:tcBorders>
            <w:shd w:val="clear" w:color="auto" w:fill="auto"/>
            <w:noWrap/>
            <w:vAlign w:val="center"/>
            <w:hideMark/>
          </w:tcPr>
          <w:p w:rsidR="00BA7468" w:rsidRPr="00E951EC" w:rsidRDefault="00BA7468">
            <w:pPr>
              <w:jc w:val="right"/>
              <w:rPr>
                <w:rFonts w:ascii="Calibri" w:hAnsi="Calibri" w:cs="Calibri"/>
                <w:sz w:val="16"/>
                <w:szCs w:val="16"/>
              </w:rPr>
            </w:pPr>
            <w:r w:rsidRPr="00E951EC">
              <w:rPr>
                <w:rFonts w:ascii="Calibri" w:hAnsi="Calibri" w:cs="Calibri"/>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BA7468" w:rsidRPr="00E951EC" w:rsidRDefault="00BA7468">
            <w:pPr>
              <w:jc w:val="right"/>
              <w:rPr>
                <w:rFonts w:ascii="Calibri" w:hAnsi="Calibri" w:cs="Calibri"/>
                <w:sz w:val="16"/>
                <w:szCs w:val="16"/>
              </w:rPr>
            </w:pPr>
            <w:r w:rsidRPr="00E951EC">
              <w:rPr>
                <w:rFonts w:ascii="Calibri" w:hAnsi="Calibri" w:cs="Calibri"/>
                <w:sz w:val="16"/>
                <w:szCs w:val="16"/>
              </w:rPr>
              <w:t>0,00</w:t>
            </w:r>
          </w:p>
        </w:tc>
        <w:tc>
          <w:tcPr>
            <w:tcW w:w="987" w:type="dxa"/>
            <w:tcBorders>
              <w:top w:val="nil"/>
              <w:left w:val="nil"/>
              <w:bottom w:val="single" w:sz="4" w:space="0" w:color="auto"/>
              <w:right w:val="single" w:sz="4" w:space="0" w:color="auto"/>
            </w:tcBorders>
            <w:shd w:val="clear" w:color="auto" w:fill="auto"/>
            <w:noWrap/>
            <w:vAlign w:val="center"/>
            <w:hideMark/>
          </w:tcPr>
          <w:p w:rsidR="00BA7468" w:rsidRPr="00E951EC" w:rsidRDefault="00BA7468">
            <w:pPr>
              <w:jc w:val="right"/>
              <w:rPr>
                <w:rFonts w:ascii="Calibri" w:hAnsi="Calibri" w:cs="Calibri"/>
                <w:sz w:val="16"/>
                <w:szCs w:val="16"/>
              </w:rPr>
            </w:pPr>
            <w:r w:rsidRPr="00E951EC">
              <w:rPr>
                <w:rFonts w:ascii="Calibri" w:hAnsi="Calibri" w:cs="Calibri"/>
                <w:sz w:val="16"/>
                <w:szCs w:val="16"/>
              </w:rPr>
              <w:t>-663 150,00</w:t>
            </w:r>
          </w:p>
        </w:tc>
      </w:tr>
      <w:tr w:rsidR="00E951EC" w:rsidTr="00E951EC">
        <w:trPr>
          <w:trHeight w:val="407"/>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BA7468" w:rsidRPr="00E951EC" w:rsidRDefault="00BA7468">
            <w:pPr>
              <w:rPr>
                <w:rFonts w:ascii="Calibri" w:hAnsi="Calibri" w:cs="Calibri"/>
                <w:sz w:val="16"/>
                <w:szCs w:val="16"/>
              </w:rPr>
            </w:pPr>
            <w:r w:rsidRPr="00E951EC">
              <w:rPr>
                <w:rFonts w:ascii="Calibri" w:hAnsi="Calibri" w:cs="Calibri"/>
                <w:sz w:val="16"/>
                <w:szCs w:val="16"/>
              </w:rPr>
              <w:t>Nadační fond sportu, kultury a vzdělávání PV</w:t>
            </w:r>
          </w:p>
        </w:tc>
        <w:tc>
          <w:tcPr>
            <w:tcW w:w="992" w:type="dxa"/>
            <w:tcBorders>
              <w:top w:val="nil"/>
              <w:left w:val="nil"/>
              <w:bottom w:val="single" w:sz="4" w:space="0" w:color="auto"/>
              <w:right w:val="single" w:sz="4" w:space="0" w:color="auto"/>
            </w:tcBorders>
            <w:shd w:val="clear" w:color="auto" w:fill="auto"/>
            <w:noWrap/>
            <w:vAlign w:val="center"/>
            <w:hideMark/>
          </w:tcPr>
          <w:p w:rsidR="00BA7468" w:rsidRPr="00E951EC" w:rsidRDefault="00BA7468">
            <w:pPr>
              <w:jc w:val="right"/>
              <w:rPr>
                <w:rFonts w:ascii="Calibri" w:hAnsi="Calibri" w:cs="Calibri"/>
                <w:sz w:val="16"/>
                <w:szCs w:val="16"/>
              </w:rPr>
            </w:pPr>
            <w:r w:rsidRPr="00E951EC">
              <w:rPr>
                <w:rFonts w:ascii="Calibri" w:hAnsi="Calibri" w:cs="Calibri"/>
                <w:sz w:val="16"/>
                <w:szCs w:val="16"/>
              </w:rPr>
              <w:t>100,00</w:t>
            </w:r>
          </w:p>
        </w:tc>
        <w:tc>
          <w:tcPr>
            <w:tcW w:w="709" w:type="dxa"/>
            <w:tcBorders>
              <w:top w:val="nil"/>
              <w:left w:val="nil"/>
              <w:bottom w:val="single" w:sz="4" w:space="0" w:color="auto"/>
              <w:right w:val="single" w:sz="4" w:space="0" w:color="auto"/>
            </w:tcBorders>
            <w:shd w:val="clear" w:color="auto" w:fill="auto"/>
            <w:noWrap/>
            <w:vAlign w:val="center"/>
            <w:hideMark/>
          </w:tcPr>
          <w:p w:rsidR="00BA7468" w:rsidRPr="00E951EC" w:rsidRDefault="00BA7468">
            <w:pPr>
              <w:jc w:val="right"/>
              <w:rPr>
                <w:rFonts w:ascii="Calibri" w:hAnsi="Calibri" w:cs="Calibri"/>
                <w:sz w:val="16"/>
                <w:szCs w:val="16"/>
              </w:rPr>
            </w:pPr>
            <w:r w:rsidRPr="00E951EC">
              <w:rPr>
                <w:rFonts w:ascii="Calibri" w:hAnsi="Calibri" w:cs="Calibri"/>
                <w:sz w:val="16"/>
                <w:szCs w:val="16"/>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BA7468" w:rsidRPr="00E951EC" w:rsidRDefault="00BA7468">
            <w:pPr>
              <w:jc w:val="right"/>
              <w:rPr>
                <w:rFonts w:ascii="Calibri" w:hAnsi="Calibri" w:cs="Calibri"/>
                <w:sz w:val="16"/>
                <w:szCs w:val="16"/>
              </w:rPr>
            </w:pPr>
            <w:r w:rsidRPr="00E951EC">
              <w:rPr>
                <w:rFonts w:ascii="Calibri" w:hAnsi="Calibri" w:cs="Calibri"/>
                <w:sz w:val="16"/>
                <w:szCs w:val="16"/>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BA7468" w:rsidRPr="00E951EC" w:rsidRDefault="00BA7468">
            <w:pPr>
              <w:jc w:val="right"/>
              <w:rPr>
                <w:rFonts w:ascii="Calibri" w:hAnsi="Calibri" w:cs="Calibri"/>
                <w:sz w:val="16"/>
                <w:szCs w:val="16"/>
              </w:rPr>
            </w:pPr>
            <w:r w:rsidRPr="00E951EC">
              <w:rPr>
                <w:rFonts w:ascii="Calibri" w:hAnsi="Calibri" w:cs="Calibri"/>
                <w:sz w:val="16"/>
                <w:szCs w:val="16"/>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BA7468" w:rsidRPr="00E951EC" w:rsidRDefault="00BA7468">
            <w:pPr>
              <w:jc w:val="right"/>
              <w:rPr>
                <w:rFonts w:ascii="Calibri" w:hAnsi="Calibri" w:cs="Calibri"/>
                <w:sz w:val="16"/>
                <w:szCs w:val="16"/>
              </w:rPr>
            </w:pPr>
            <w:r w:rsidRPr="00E951EC">
              <w:rPr>
                <w:rFonts w:ascii="Calibri" w:hAnsi="Calibri" w:cs="Calibri"/>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BA7468" w:rsidRPr="00E951EC" w:rsidRDefault="00BA7468">
            <w:pPr>
              <w:jc w:val="right"/>
              <w:rPr>
                <w:rFonts w:ascii="Calibri" w:hAnsi="Calibri" w:cs="Calibri"/>
                <w:sz w:val="16"/>
                <w:szCs w:val="16"/>
              </w:rPr>
            </w:pPr>
            <w:r w:rsidRPr="00E951EC">
              <w:rPr>
                <w:rFonts w:ascii="Calibri" w:hAnsi="Calibri" w:cs="Calibri"/>
                <w:sz w:val="16"/>
                <w:szCs w:val="16"/>
              </w:rPr>
              <w:t>0,00</w:t>
            </w:r>
          </w:p>
        </w:tc>
        <w:tc>
          <w:tcPr>
            <w:tcW w:w="987" w:type="dxa"/>
            <w:tcBorders>
              <w:top w:val="nil"/>
              <w:left w:val="nil"/>
              <w:bottom w:val="single" w:sz="4" w:space="0" w:color="auto"/>
              <w:right w:val="single" w:sz="4" w:space="0" w:color="auto"/>
            </w:tcBorders>
            <w:shd w:val="clear" w:color="auto" w:fill="auto"/>
            <w:noWrap/>
            <w:vAlign w:val="center"/>
            <w:hideMark/>
          </w:tcPr>
          <w:p w:rsidR="00BA7468" w:rsidRPr="00E951EC" w:rsidRDefault="00BA7468">
            <w:pPr>
              <w:jc w:val="right"/>
              <w:rPr>
                <w:rFonts w:ascii="Calibri" w:hAnsi="Calibri" w:cs="Calibri"/>
                <w:sz w:val="16"/>
                <w:szCs w:val="16"/>
              </w:rPr>
            </w:pPr>
            <w:r w:rsidRPr="00E951EC">
              <w:rPr>
                <w:rFonts w:ascii="Calibri" w:hAnsi="Calibri" w:cs="Calibri"/>
                <w:sz w:val="16"/>
                <w:szCs w:val="16"/>
              </w:rPr>
              <w:t>-100,00</w:t>
            </w:r>
          </w:p>
        </w:tc>
      </w:tr>
      <w:tr w:rsidR="00E951EC" w:rsidTr="00E951EC">
        <w:trPr>
          <w:trHeight w:val="407"/>
        </w:trPr>
        <w:tc>
          <w:tcPr>
            <w:tcW w:w="2689" w:type="dxa"/>
            <w:tcBorders>
              <w:top w:val="nil"/>
              <w:left w:val="single" w:sz="4" w:space="0" w:color="auto"/>
              <w:bottom w:val="single" w:sz="4" w:space="0" w:color="auto"/>
              <w:right w:val="single" w:sz="4" w:space="0" w:color="auto"/>
            </w:tcBorders>
            <w:shd w:val="clear" w:color="000000" w:fill="B4C6E7"/>
            <w:noWrap/>
            <w:vAlign w:val="center"/>
            <w:hideMark/>
          </w:tcPr>
          <w:p w:rsidR="00BA7468" w:rsidRPr="00E951EC" w:rsidRDefault="00BA7468">
            <w:pPr>
              <w:rPr>
                <w:rFonts w:ascii="Calibri" w:hAnsi="Calibri" w:cs="Calibri"/>
                <w:b/>
                <w:bCs/>
                <w:sz w:val="16"/>
                <w:szCs w:val="16"/>
              </w:rPr>
            </w:pPr>
            <w:r w:rsidRPr="00E951EC">
              <w:rPr>
                <w:rFonts w:ascii="Calibri" w:hAnsi="Calibri" w:cs="Calibri"/>
                <w:b/>
                <w:bCs/>
                <w:sz w:val="16"/>
                <w:szCs w:val="16"/>
              </w:rPr>
              <w:t>Celkem</w:t>
            </w:r>
          </w:p>
        </w:tc>
        <w:tc>
          <w:tcPr>
            <w:tcW w:w="992" w:type="dxa"/>
            <w:tcBorders>
              <w:top w:val="nil"/>
              <w:left w:val="nil"/>
              <w:bottom w:val="single" w:sz="4" w:space="0" w:color="auto"/>
              <w:right w:val="single" w:sz="4" w:space="0" w:color="auto"/>
            </w:tcBorders>
            <w:shd w:val="clear" w:color="000000" w:fill="B4C6E7"/>
            <w:noWrap/>
            <w:vAlign w:val="center"/>
            <w:hideMark/>
          </w:tcPr>
          <w:p w:rsidR="00BA7468" w:rsidRPr="00E951EC" w:rsidRDefault="00BA7468">
            <w:pPr>
              <w:jc w:val="right"/>
              <w:rPr>
                <w:rFonts w:ascii="Calibri" w:hAnsi="Calibri" w:cs="Calibri"/>
                <w:b/>
                <w:bCs/>
                <w:sz w:val="16"/>
                <w:szCs w:val="16"/>
              </w:rPr>
            </w:pPr>
            <w:r w:rsidRPr="00E951EC">
              <w:rPr>
                <w:rFonts w:ascii="Calibri" w:hAnsi="Calibri" w:cs="Calibri"/>
                <w:b/>
                <w:bCs/>
                <w:sz w:val="16"/>
                <w:szCs w:val="16"/>
              </w:rPr>
              <w:t>1 381 909,77</w:t>
            </w:r>
          </w:p>
        </w:tc>
        <w:tc>
          <w:tcPr>
            <w:tcW w:w="709" w:type="dxa"/>
            <w:tcBorders>
              <w:top w:val="nil"/>
              <w:left w:val="nil"/>
              <w:bottom w:val="single" w:sz="4" w:space="0" w:color="auto"/>
              <w:right w:val="single" w:sz="4" w:space="0" w:color="auto"/>
            </w:tcBorders>
            <w:shd w:val="clear" w:color="000000" w:fill="000000"/>
            <w:noWrap/>
            <w:vAlign w:val="center"/>
            <w:hideMark/>
          </w:tcPr>
          <w:p w:rsidR="00BA7468" w:rsidRPr="00E951EC" w:rsidRDefault="00BA7468">
            <w:pPr>
              <w:rPr>
                <w:rFonts w:ascii="Calibri" w:hAnsi="Calibri" w:cs="Calibri"/>
                <w:b/>
                <w:bCs/>
                <w:sz w:val="16"/>
                <w:szCs w:val="16"/>
              </w:rPr>
            </w:pPr>
            <w:r w:rsidRPr="00E951EC">
              <w:rPr>
                <w:rFonts w:ascii="Calibri" w:hAnsi="Calibri" w:cs="Calibri"/>
                <w:b/>
                <w:bCs/>
                <w:sz w:val="16"/>
                <w:szCs w:val="16"/>
              </w:rPr>
              <w:t> </w:t>
            </w:r>
          </w:p>
        </w:tc>
        <w:tc>
          <w:tcPr>
            <w:tcW w:w="992" w:type="dxa"/>
            <w:tcBorders>
              <w:top w:val="nil"/>
              <w:left w:val="nil"/>
              <w:bottom w:val="single" w:sz="4" w:space="0" w:color="auto"/>
              <w:right w:val="single" w:sz="4" w:space="0" w:color="auto"/>
            </w:tcBorders>
            <w:shd w:val="clear" w:color="000000" w:fill="000000"/>
            <w:noWrap/>
            <w:vAlign w:val="center"/>
            <w:hideMark/>
          </w:tcPr>
          <w:p w:rsidR="00BA7468" w:rsidRPr="00E951EC" w:rsidRDefault="00BA7468">
            <w:pPr>
              <w:rPr>
                <w:rFonts w:ascii="Calibri" w:hAnsi="Calibri" w:cs="Calibri"/>
                <w:b/>
                <w:bCs/>
                <w:sz w:val="16"/>
                <w:szCs w:val="16"/>
              </w:rPr>
            </w:pPr>
            <w:r w:rsidRPr="00E951EC">
              <w:rPr>
                <w:rFonts w:ascii="Calibri" w:hAnsi="Calibri" w:cs="Calibri"/>
                <w:b/>
                <w:bCs/>
                <w:sz w:val="16"/>
                <w:szCs w:val="16"/>
              </w:rPr>
              <w:t> </w:t>
            </w:r>
          </w:p>
        </w:tc>
        <w:tc>
          <w:tcPr>
            <w:tcW w:w="992" w:type="dxa"/>
            <w:tcBorders>
              <w:top w:val="nil"/>
              <w:left w:val="nil"/>
              <w:bottom w:val="single" w:sz="4" w:space="0" w:color="auto"/>
              <w:right w:val="single" w:sz="4" w:space="0" w:color="auto"/>
            </w:tcBorders>
            <w:shd w:val="clear" w:color="000000" w:fill="000000"/>
            <w:noWrap/>
            <w:vAlign w:val="center"/>
            <w:hideMark/>
          </w:tcPr>
          <w:p w:rsidR="00BA7468" w:rsidRPr="00E951EC" w:rsidRDefault="00BA7468">
            <w:pPr>
              <w:rPr>
                <w:rFonts w:ascii="Calibri" w:hAnsi="Calibri" w:cs="Calibri"/>
                <w:b/>
                <w:bCs/>
                <w:sz w:val="16"/>
                <w:szCs w:val="16"/>
              </w:rPr>
            </w:pPr>
            <w:r w:rsidRPr="00E951EC">
              <w:rPr>
                <w:rFonts w:ascii="Calibri" w:hAnsi="Calibri" w:cs="Calibri"/>
                <w:b/>
                <w:bCs/>
                <w:sz w:val="16"/>
                <w:szCs w:val="16"/>
              </w:rPr>
              <w:t> </w:t>
            </w:r>
          </w:p>
        </w:tc>
        <w:tc>
          <w:tcPr>
            <w:tcW w:w="992" w:type="dxa"/>
            <w:tcBorders>
              <w:top w:val="nil"/>
              <w:left w:val="nil"/>
              <w:bottom w:val="single" w:sz="4" w:space="0" w:color="auto"/>
              <w:right w:val="single" w:sz="4" w:space="0" w:color="auto"/>
            </w:tcBorders>
            <w:shd w:val="clear" w:color="000000" w:fill="000000"/>
            <w:noWrap/>
            <w:vAlign w:val="center"/>
            <w:hideMark/>
          </w:tcPr>
          <w:p w:rsidR="00BA7468" w:rsidRPr="00E951EC" w:rsidRDefault="00BA7468">
            <w:pPr>
              <w:rPr>
                <w:rFonts w:ascii="Calibri" w:hAnsi="Calibri" w:cs="Calibri"/>
                <w:b/>
                <w:bCs/>
                <w:sz w:val="16"/>
                <w:szCs w:val="16"/>
              </w:rPr>
            </w:pPr>
            <w:r w:rsidRPr="00E951EC">
              <w:rPr>
                <w:rFonts w:ascii="Calibri" w:hAnsi="Calibri" w:cs="Calibri"/>
                <w:b/>
                <w:bCs/>
                <w:sz w:val="16"/>
                <w:szCs w:val="16"/>
              </w:rPr>
              <w:t> </w:t>
            </w:r>
          </w:p>
        </w:tc>
        <w:tc>
          <w:tcPr>
            <w:tcW w:w="1134" w:type="dxa"/>
            <w:tcBorders>
              <w:top w:val="nil"/>
              <w:left w:val="nil"/>
              <w:bottom w:val="single" w:sz="4" w:space="0" w:color="auto"/>
              <w:right w:val="single" w:sz="4" w:space="0" w:color="auto"/>
            </w:tcBorders>
            <w:shd w:val="clear" w:color="000000" w:fill="000000"/>
            <w:noWrap/>
            <w:vAlign w:val="center"/>
            <w:hideMark/>
          </w:tcPr>
          <w:p w:rsidR="00BA7468" w:rsidRPr="00E951EC" w:rsidRDefault="00BA7468">
            <w:pPr>
              <w:rPr>
                <w:rFonts w:ascii="Calibri" w:hAnsi="Calibri" w:cs="Calibri"/>
                <w:b/>
                <w:bCs/>
                <w:sz w:val="16"/>
                <w:szCs w:val="16"/>
              </w:rPr>
            </w:pPr>
            <w:r w:rsidRPr="00E951EC">
              <w:rPr>
                <w:rFonts w:ascii="Calibri" w:hAnsi="Calibri" w:cs="Calibri"/>
                <w:b/>
                <w:bCs/>
                <w:sz w:val="16"/>
                <w:szCs w:val="16"/>
              </w:rPr>
              <w:t> </w:t>
            </w:r>
          </w:p>
        </w:tc>
        <w:tc>
          <w:tcPr>
            <w:tcW w:w="987" w:type="dxa"/>
            <w:tcBorders>
              <w:top w:val="nil"/>
              <w:left w:val="nil"/>
              <w:bottom w:val="single" w:sz="4" w:space="0" w:color="auto"/>
              <w:right w:val="single" w:sz="4" w:space="0" w:color="auto"/>
            </w:tcBorders>
            <w:shd w:val="clear" w:color="000000" w:fill="000000"/>
            <w:noWrap/>
            <w:vAlign w:val="center"/>
            <w:hideMark/>
          </w:tcPr>
          <w:p w:rsidR="00BA7468" w:rsidRPr="00E951EC" w:rsidRDefault="00BA7468">
            <w:pPr>
              <w:rPr>
                <w:rFonts w:ascii="Calibri" w:hAnsi="Calibri" w:cs="Calibri"/>
                <w:b/>
                <w:bCs/>
                <w:sz w:val="16"/>
                <w:szCs w:val="16"/>
              </w:rPr>
            </w:pPr>
            <w:r w:rsidRPr="00E951EC">
              <w:rPr>
                <w:rFonts w:ascii="Calibri" w:hAnsi="Calibri" w:cs="Calibri"/>
                <w:b/>
                <w:bCs/>
                <w:sz w:val="16"/>
                <w:szCs w:val="16"/>
              </w:rPr>
              <w:t> </w:t>
            </w:r>
          </w:p>
        </w:tc>
      </w:tr>
    </w:tbl>
    <w:p w:rsidR="00E951EC" w:rsidRPr="00E951EC" w:rsidRDefault="00E951EC" w:rsidP="00BA7468">
      <w:pPr>
        <w:rPr>
          <w:rFonts w:asciiTheme="minorHAnsi" w:hAnsiTheme="minorHAnsi" w:cstheme="minorHAnsi"/>
          <w:sz w:val="18"/>
          <w:szCs w:val="18"/>
        </w:rPr>
      </w:pPr>
      <w:r w:rsidRPr="00E951EC">
        <w:rPr>
          <w:rFonts w:asciiTheme="minorHAnsi" w:hAnsiTheme="minorHAnsi" w:cstheme="minorHAnsi"/>
          <w:sz w:val="18"/>
          <w:szCs w:val="18"/>
        </w:rPr>
        <w:t>* Ocenění ekvivalencí = ocenění majetkových účastí podílem na vlastním kapitálu</w:t>
      </w:r>
    </w:p>
    <w:p w:rsidR="000E6DD1" w:rsidRDefault="000E6DD1" w:rsidP="000E6DD1"/>
    <w:p w:rsidR="009D7C15" w:rsidRPr="00687DE9" w:rsidRDefault="00B7353A" w:rsidP="00101622">
      <w:pPr>
        <w:pStyle w:val="Nadpis3"/>
        <w:keepLines/>
      </w:pPr>
      <w:bookmarkStart w:id="60" w:name="_Toc39129549"/>
      <w:r w:rsidRPr="00687DE9">
        <w:lastRenderedPageBreak/>
        <w:t>Ú</w:t>
      </w:r>
      <w:r w:rsidR="009D7C15" w:rsidRPr="00687DE9">
        <w:t>čast města ve spolcích</w:t>
      </w:r>
      <w:bookmarkEnd w:id="60"/>
    </w:p>
    <w:p w:rsidR="005C1905" w:rsidRDefault="00B7353A" w:rsidP="00101622">
      <w:pPr>
        <w:keepNext/>
        <w:keepLines/>
        <w:spacing w:after="120"/>
        <w:rPr>
          <w:rFonts w:ascii="Calibri" w:hAnsi="Calibri"/>
          <w:sz w:val="20"/>
          <w:szCs w:val="20"/>
        </w:rPr>
      </w:pPr>
      <w:r w:rsidRPr="00687DE9">
        <w:rPr>
          <w:rFonts w:ascii="Calibri" w:hAnsi="Calibri"/>
          <w:sz w:val="20"/>
          <w:szCs w:val="20"/>
        </w:rPr>
        <w:t xml:space="preserve">Vliv na řízení </w:t>
      </w:r>
      <w:r w:rsidR="002800EC" w:rsidRPr="00687DE9">
        <w:rPr>
          <w:rFonts w:ascii="Calibri" w:hAnsi="Calibri"/>
          <w:sz w:val="20"/>
          <w:szCs w:val="20"/>
        </w:rPr>
        <w:t xml:space="preserve">a </w:t>
      </w:r>
      <w:r w:rsidRPr="00687DE9">
        <w:rPr>
          <w:rFonts w:ascii="Calibri" w:hAnsi="Calibri"/>
          <w:sz w:val="20"/>
          <w:szCs w:val="20"/>
        </w:rPr>
        <w:t>ovládání spolku je stanoven na základě konsolidačního manuá</w:t>
      </w:r>
      <w:r w:rsidR="005C1905" w:rsidRPr="00687DE9">
        <w:rPr>
          <w:rFonts w:ascii="Calibri" w:hAnsi="Calibri"/>
          <w:sz w:val="20"/>
          <w:szCs w:val="20"/>
        </w:rPr>
        <w:t>lu a stanov jednotlivých spolků (</w:t>
      </w:r>
      <w:r w:rsidR="002800EC" w:rsidRPr="00687DE9">
        <w:rPr>
          <w:rFonts w:ascii="Calibri" w:hAnsi="Calibri"/>
          <w:sz w:val="20"/>
          <w:szCs w:val="20"/>
        </w:rPr>
        <w:t>nejčastěji</w:t>
      </w:r>
      <w:r w:rsidR="005C1905" w:rsidRPr="00687DE9">
        <w:rPr>
          <w:rFonts w:ascii="Calibri" w:hAnsi="Calibri"/>
          <w:sz w:val="20"/>
          <w:szCs w:val="20"/>
        </w:rPr>
        <w:t xml:space="preserve"> podle výše členských příspěvků</w:t>
      </w:r>
      <w:r w:rsidR="002800EC" w:rsidRPr="00687DE9">
        <w:rPr>
          <w:rFonts w:ascii="Calibri" w:hAnsi="Calibri"/>
          <w:sz w:val="20"/>
          <w:szCs w:val="20"/>
        </w:rPr>
        <w:t xml:space="preserve"> nebo </w:t>
      </w:r>
      <w:r w:rsidR="005C1905" w:rsidRPr="00687DE9">
        <w:rPr>
          <w:rFonts w:ascii="Calibri" w:hAnsi="Calibri"/>
          <w:sz w:val="20"/>
          <w:szCs w:val="20"/>
        </w:rPr>
        <w:t>podle počtu členů daného spolku)</w:t>
      </w:r>
    </w:p>
    <w:tbl>
      <w:tblPr>
        <w:tblW w:w="7400" w:type="dxa"/>
        <w:tblCellMar>
          <w:left w:w="70" w:type="dxa"/>
          <w:right w:w="70" w:type="dxa"/>
        </w:tblCellMar>
        <w:tblLook w:val="04A0" w:firstRow="1" w:lastRow="0" w:firstColumn="1" w:lastColumn="0" w:noHBand="0" w:noVBand="1"/>
      </w:tblPr>
      <w:tblGrid>
        <w:gridCol w:w="5260"/>
        <w:gridCol w:w="2140"/>
      </w:tblGrid>
      <w:tr w:rsidR="00F273D8" w:rsidTr="00F273D8">
        <w:trPr>
          <w:trHeight w:val="510"/>
        </w:trPr>
        <w:tc>
          <w:tcPr>
            <w:tcW w:w="5260" w:type="dxa"/>
            <w:tcBorders>
              <w:top w:val="single" w:sz="4" w:space="0" w:color="auto"/>
              <w:left w:val="single" w:sz="4" w:space="0" w:color="auto"/>
              <w:bottom w:val="single" w:sz="4" w:space="0" w:color="auto"/>
              <w:right w:val="single" w:sz="4" w:space="0" w:color="auto"/>
            </w:tcBorders>
            <w:shd w:val="clear" w:color="000000" w:fill="FFE699"/>
            <w:vAlign w:val="center"/>
            <w:hideMark/>
          </w:tcPr>
          <w:p w:rsidR="00F273D8" w:rsidRDefault="00F273D8">
            <w:pPr>
              <w:jc w:val="center"/>
              <w:rPr>
                <w:rFonts w:ascii="Calibri" w:hAnsi="Calibri" w:cs="Calibri"/>
                <w:b/>
                <w:bCs/>
                <w:color w:val="000000"/>
                <w:sz w:val="20"/>
                <w:szCs w:val="20"/>
              </w:rPr>
            </w:pPr>
            <w:r>
              <w:rPr>
                <w:rFonts w:ascii="Calibri" w:hAnsi="Calibri" w:cs="Calibri"/>
                <w:b/>
                <w:bCs/>
                <w:color w:val="000000"/>
                <w:sz w:val="20"/>
                <w:szCs w:val="20"/>
              </w:rPr>
              <w:t>Název účetní jednotky</w:t>
            </w:r>
          </w:p>
        </w:tc>
        <w:tc>
          <w:tcPr>
            <w:tcW w:w="2140" w:type="dxa"/>
            <w:tcBorders>
              <w:top w:val="single" w:sz="4" w:space="0" w:color="auto"/>
              <w:left w:val="nil"/>
              <w:bottom w:val="single" w:sz="4" w:space="0" w:color="auto"/>
              <w:right w:val="single" w:sz="4" w:space="0" w:color="auto"/>
            </w:tcBorders>
            <w:shd w:val="clear" w:color="000000" w:fill="FFE699"/>
            <w:vAlign w:val="center"/>
            <w:hideMark/>
          </w:tcPr>
          <w:p w:rsidR="00F273D8" w:rsidRDefault="00F273D8">
            <w:pPr>
              <w:jc w:val="center"/>
              <w:rPr>
                <w:rFonts w:ascii="Calibri" w:hAnsi="Calibri" w:cs="Calibri"/>
                <w:b/>
                <w:bCs/>
                <w:sz w:val="20"/>
                <w:szCs w:val="20"/>
              </w:rPr>
            </w:pPr>
            <w:r>
              <w:rPr>
                <w:rFonts w:ascii="Calibri" w:hAnsi="Calibri" w:cs="Calibri"/>
                <w:b/>
                <w:bCs/>
                <w:sz w:val="20"/>
                <w:szCs w:val="20"/>
              </w:rPr>
              <w:t>Vliv na řízení a ovládání</w:t>
            </w:r>
            <w:r>
              <w:rPr>
                <w:rFonts w:ascii="Calibri" w:hAnsi="Calibri" w:cs="Calibri"/>
                <w:b/>
                <w:bCs/>
                <w:sz w:val="20"/>
                <w:szCs w:val="20"/>
              </w:rPr>
              <w:br/>
            </w:r>
            <w:r>
              <w:rPr>
                <w:rFonts w:ascii="Calibri" w:hAnsi="Calibri" w:cs="Calibri"/>
                <w:sz w:val="20"/>
                <w:szCs w:val="20"/>
              </w:rPr>
              <w:t>(vyjádřený v %)</w:t>
            </w:r>
          </w:p>
        </w:tc>
      </w:tr>
      <w:tr w:rsidR="00F273D8" w:rsidTr="00F273D8">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F273D8" w:rsidRDefault="00F273D8">
            <w:pPr>
              <w:rPr>
                <w:rFonts w:ascii="Calibri" w:hAnsi="Calibri" w:cs="Calibri"/>
                <w:color w:val="000000"/>
                <w:sz w:val="20"/>
                <w:szCs w:val="20"/>
              </w:rPr>
            </w:pPr>
            <w:r>
              <w:rPr>
                <w:rFonts w:ascii="Calibri" w:hAnsi="Calibri" w:cs="Calibri"/>
                <w:color w:val="000000"/>
                <w:sz w:val="20"/>
                <w:szCs w:val="20"/>
              </w:rPr>
              <w:t>Národní dům Prostějov, o. p. s.</w:t>
            </w:r>
          </w:p>
        </w:tc>
        <w:tc>
          <w:tcPr>
            <w:tcW w:w="2140" w:type="dxa"/>
            <w:tcBorders>
              <w:top w:val="nil"/>
              <w:left w:val="nil"/>
              <w:bottom w:val="single" w:sz="4" w:space="0" w:color="auto"/>
              <w:right w:val="single" w:sz="4" w:space="0" w:color="auto"/>
            </w:tcBorders>
            <w:shd w:val="clear" w:color="auto" w:fill="auto"/>
            <w:noWrap/>
            <w:vAlign w:val="center"/>
            <w:hideMark/>
          </w:tcPr>
          <w:p w:rsidR="00F273D8" w:rsidRDefault="00F273D8">
            <w:pPr>
              <w:jc w:val="center"/>
              <w:rPr>
                <w:rFonts w:ascii="Calibri" w:hAnsi="Calibri" w:cs="Calibri"/>
                <w:color w:val="000000"/>
                <w:sz w:val="20"/>
                <w:szCs w:val="20"/>
              </w:rPr>
            </w:pPr>
            <w:r>
              <w:rPr>
                <w:rFonts w:ascii="Calibri" w:hAnsi="Calibri" w:cs="Calibri"/>
                <w:color w:val="000000"/>
                <w:sz w:val="20"/>
                <w:szCs w:val="20"/>
              </w:rPr>
              <w:t>66,66</w:t>
            </w:r>
          </w:p>
        </w:tc>
      </w:tr>
      <w:tr w:rsidR="00F273D8" w:rsidTr="00F273D8">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F273D8" w:rsidRDefault="00F273D8">
            <w:pPr>
              <w:rPr>
                <w:rFonts w:ascii="Calibri" w:hAnsi="Calibri" w:cs="Calibri"/>
                <w:color w:val="000000"/>
                <w:sz w:val="20"/>
                <w:szCs w:val="20"/>
              </w:rPr>
            </w:pPr>
            <w:r>
              <w:rPr>
                <w:rFonts w:ascii="Calibri" w:hAnsi="Calibri" w:cs="Calibri"/>
                <w:color w:val="000000"/>
                <w:sz w:val="20"/>
                <w:szCs w:val="20"/>
              </w:rPr>
              <w:t>Svaz měst a obcí České republiky</w:t>
            </w:r>
          </w:p>
        </w:tc>
        <w:tc>
          <w:tcPr>
            <w:tcW w:w="2140" w:type="dxa"/>
            <w:tcBorders>
              <w:top w:val="nil"/>
              <w:left w:val="nil"/>
              <w:bottom w:val="single" w:sz="4" w:space="0" w:color="auto"/>
              <w:right w:val="single" w:sz="4" w:space="0" w:color="auto"/>
            </w:tcBorders>
            <w:shd w:val="clear" w:color="auto" w:fill="auto"/>
            <w:noWrap/>
            <w:vAlign w:val="center"/>
            <w:hideMark/>
          </w:tcPr>
          <w:p w:rsidR="00F273D8" w:rsidRDefault="00F273D8">
            <w:pPr>
              <w:jc w:val="center"/>
              <w:rPr>
                <w:rFonts w:ascii="Calibri" w:hAnsi="Calibri" w:cs="Calibri"/>
                <w:color w:val="000000"/>
                <w:sz w:val="20"/>
                <w:szCs w:val="20"/>
              </w:rPr>
            </w:pPr>
            <w:r>
              <w:rPr>
                <w:rFonts w:ascii="Calibri" w:hAnsi="Calibri" w:cs="Calibri"/>
                <w:color w:val="000000"/>
                <w:sz w:val="20"/>
                <w:szCs w:val="20"/>
              </w:rPr>
              <w:t>0,04</w:t>
            </w:r>
          </w:p>
        </w:tc>
      </w:tr>
      <w:tr w:rsidR="00F273D8" w:rsidTr="00F273D8">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F273D8" w:rsidRDefault="00F273D8">
            <w:pPr>
              <w:rPr>
                <w:rFonts w:ascii="Calibri" w:hAnsi="Calibri" w:cs="Calibri"/>
                <w:color w:val="000000"/>
                <w:sz w:val="20"/>
                <w:szCs w:val="20"/>
              </w:rPr>
            </w:pPr>
            <w:r>
              <w:rPr>
                <w:rFonts w:ascii="Calibri" w:hAnsi="Calibri" w:cs="Calibri"/>
                <w:color w:val="000000"/>
                <w:sz w:val="20"/>
                <w:szCs w:val="20"/>
              </w:rPr>
              <w:t>Sdružení historických sídel Čech, Moravy a Slezska</w:t>
            </w:r>
          </w:p>
        </w:tc>
        <w:tc>
          <w:tcPr>
            <w:tcW w:w="2140" w:type="dxa"/>
            <w:tcBorders>
              <w:top w:val="nil"/>
              <w:left w:val="nil"/>
              <w:bottom w:val="single" w:sz="4" w:space="0" w:color="auto"/>
              <w:right w:val="single" w:sz="4" w:space="0" w:color="auto"/>
            </w:tcBorders>
            <w:shd w:val="clear" w:color="auto" w:fill="auto"/>
            <w:noWrap/>
            <w:vAlign w:val="center"/>
            <w:hideMark/>
          </w:tcPr>
          <w:p w:rsidR="00F273D8" w:rsidRDefault="00F273D8">
            <w:pPr>
              <w:jc w:val="center"/>
              <w:rPr>
                <w:rFonts w:ascii="Calibri" w:hAnsi="Calibri" w:cs="Calibri"/>
                <w:color w:val="000000"/>
                <w:sz w:val="20"/>
                <w:szCs w:val="20"/>
              </w:rPr>
            </w:pPr>
            <w:r>
              <w:rPr>
                <w:rFonts w:ascii="Calibri" w:hAnsi="Calibri" w:cs="Calibri"/>
                <w:color w:val="000000"/>
                <w:sz w:val="20"/>
                <w:szCs w:val="20"/>
              </w:rPr>
              <w:t>0,48</w:t>
            </w:r>
          </w:p>
        </w:tc>
      </w:tr>
      <w:tr w:rsidR="00F273D8" w:rsidTr="00F273D8">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F273D8" w:rsidRDefault="00F273D8">
            <w:pPr>
              <w:rPr>
                <w:rFonts w:ascii="Calibri" w:hAnsi="Calibri" w:cs="Calibri"/>
                <w:color w:val="000000"/>
                <w:sz w:val="20"/>
                <w:szCs w:val="20"/>
              </w:rPr>
            </w:pPr>
            <w:r>
              <w:rPr>
                <w:rFonts w:ascii="Calibri" w:hAnsi="Calibri" w:cs="Calibri"/>
                <w:color w:val="000000"/>
                <w:sz w:val="20"/>
                <w:szCs w:val="20"/>
              </w:rPr>
              <w:t>Asociace turistických informačních center České republiky</w:t>
            </w:r>
          </w:p>
        </w:tc>
        <w:tc>
          <w:tcPr>
            <w:tcW w:w="2140" w:type="dxa"/>
            <w:tcBorders>
              <w:top w:val="nil"/>
              <w:left w:val="nil"/>
              <w:bottom w:val="single" w:sz="4" w:space="0" w:color="auto"/>
              <w:right w:val="single" w:sz="4" w:space="0" w:color="auto"/>
            </w:tcBorders>
            <w:shd w:val="clear" w:color="auto" w:fill="auto"/>
            <w:noWrap/>
            <w:vAlign w:val="center"/>
            <w:hideMark/>
          </w:tcPr>
          <w:p w:rsidR="00F273D8" w:rsidRDefault="00F273D8">
            <w:pPr>
              <w:jc w:val="center"/>
              <w:rPr>
                <w:rFonts w:ascii="Calibri" w:hAnsi="Calibri" w:cs="Calibri"/>
                <w:color w:val="000000"/>
                <w:sz w:val="20"/>
                <w:szCs w:val="20"/>
              </w:rPr>
            </w:pPr>
            <w:r>
              <w:rPr>
                <w:rFonts w:ascii="Calibri" w:hAnsi="Calibri" w:cs="Calibri"/>
                <w:color w:val="000000"/>
                <w:sz w:val="20"/>
                <w:szCs w:val="20"/>
              </w:rPr>
              <w:t>0,26</w:t>
            </w:r>
          </w:p>
        </w:tc>
      </w:tr>
      <w:tr w:rsidR="00F273D8" w:rsidTr="00F273D8">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F273D8" w:rsidRDefault="00F273D8">
            <w:pPr>
              <w:rPr>
                <w:rFonts w:ascii="Calibri" w:hAnsi="Calibri" w:cs="Calibri"/>
                <w:color w:val="000000"/>
                <w:sz w:val="20"/>
                <w:szCs w:val="20"/>
              </w:rPr>
            </w:pPr>
            <w:r>
              <w:rPr>
                <w:rFonts w:ascii="Calibri" w:hAnsi="Calibri" w:cs="Calibri"/>
                <w:color w:val="000000"/>
                <w:sz w:val="20"/>
                <w:szCs w:val="20"/>
              </w:rPr>
              <w:t>Národní síť Zdravých měst České republiky</w:t>
            </w:r>
          </w:p>
        </w:tc>
        <w:tc>
          <w:tcPr>
            <w:tcW w:w="2140" w:type="dxa"/>
            <w:tcBorders>
              <w:top w:val="nil"/>
              <w:left w:val="nil"/>
              <w:bottom w:val="single" w:sz="4" w:space="0" w:color="auto"/>
              <w:right w:val="single" w:sz="4" w:space="0" w:color="auto"/>
            </w:tcBorders>
            <w:shd w:val="clear" w:color="auto" w:fill="auto"/>
            <w:noWrap/>
            <w:vAlign w:val="center"/>
            <w:hideMark/>
          </w:tcPr>
          <w:p w:rsidR="00F273D8" w:rsidRDefault="00F273D8">
            <w:pPr>
              <w:jc w:val="center"/>
              <w:rPr>
                <w:rFonts w:ascii="Calibri" w:hAnsi="Calibri" w:cs="Calibri"/>
                <w:color w:val="000000"/>
                <w:sz w:val="20"/>
                <w:szCs w:val="20"/>
              </w:rPr>
            </w:pPr>
            <w:r>
              <w:rPr>
                <w:rFonts w:ascii="Calibri" w:hAnsi="Calibri" w:cs="Calibri"/>
                <w:color w:val="000000"/>
                <w:sz w:val="20"/>
                <w:szCs w:val="20"/>
              </w:rPr>
              <w:t>0,74</w:t>
            </w:r>
          </w:p>
        </w:tc>
      </w:tr>
      <w:tr w:rsidR="00F273D8" w:rsidTr="00F273D8">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F273D8" w:rsidRDefault="00F273D8">
            <w:pPr>
              <w:rPr>
                <w:rFonts w:ascii="Calibri" w:hAnsi="Calibri" w:cs="Calibri"/>
                <w:color w:val="000000"/>
                <w:sz w:val="20"/>
                <w:szCs w:val="20"/>
              </w:rPr>
            </w:pPr>
            <w:r>
              <w:rPr>
                <w:rFonts w:ascii="Calibri" w:hAnsi="Calibri" w:cs="Calibri"/>
                <w:color w:val="000000"/>
                <w:sz w:val="20"/>
                <w:szCs w:val="20"/>
              </w:rPr>
              <w:t>Národní sportovní centrum, z. s.</w:t>
            </w:r>
          </w:p>
        </w:tc>
        <w:tc>
          <w:tcPr>
            <w:tcW w:w="2140" w:type="dxa"/>
            <w:tcBorders>
              <w:top w:val="nil"/>
              <w:left w:val="nil"/>
              <w:bottom w:val="single" w:sz="4" w:space="0" w:color="auto"/>
              <w:right w:val="single" w:sz="4" w:space="0" w:color="auto"/>
            </w:tcBorders>
            <w:shd w:val="clear" w:color="auto" w:fill="auto"/>
            <w:noWrap/>
            <w:vAlign w:val="center"/>
            <w:hideMark/>
          </w:tcPr>
          <w:p w:rsidR="00F273D8" w:rsidRDefault="00F273D8">
            <w:pPr>
              <w:jc w:val="center"/>
              <w:rPr>
                <w:rFonts w:ascii="Calibri" w:hAnsi="Calibri" w:cs="Calibri"/>
                <w:color w:val="000000"/>
                <w:sz w:val="20"/>
                <w:szCs w:val="20"/>
              </w:rPr>
            </w:pPr>
            <w:r>
              <w:rPr>
                <w:rFonts w:ascii="Calibri" w:hAnsi="Calibri" w:cs="Calibri"/>
                <w:color w:val="000000"/>
                <w:sz w:val="20"/>
                <w:szCs w:val="20"/>
              </w:rPr>
              <w:t>33,33</w:t>
            </w:r>
          </w:p>
        </w:tc>
      </w:tr>
      <w:tr w:rsidR="00F273D8" w:rsidTr="00F273D8">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F273D8" w:rsidRDefault="00F273D8">
            <w:pPr>
              <w:rPr>
                <w:rFonts w:ascii="Calibri" w:hAnsi="Calibri" w:cs="Calibri"/>
                <w:color w:val="000000"/>
                <w:sz w:val="20"/>
                <w:szCs w:val="20"/>
              </w:rPr>
            </w:pPr>
            <w:r>
              <w:rPr>
                <w:rFonts w:ascii="Calibri" w:hAnsi="Calibri" w:cs="Calibri"/>
                <w:color w:val="000000"/>
                <w:sz w:val="20"/>
                <w:szCs w:val="20"/>
              </w:rPr>
              <w:t>Partnerství pro městskou mobilitu, z.</w:t>
            </w:r>
            <w:r w:rsidR="002E388D">
              <w:rPr>
                <w:rFonts w:ascii="Calibri" w:hAnsi="Calibri" w:cs="Calibri"/>
                <w:color w:val="000000"/>
                <w:sz w:val="20"/>
                <w:szCs w:val="20"/>
              </w:rPr>
              <w:t xml:space="preserve"> </w:t>
            </w:r>
            <w:r>
              <w:rPr>
                <w:rFonts w:ascii="Calibri" w:hAnsi="Calibri" w:cs="Calibri"/>
                <w:color w:val="000000"/>
                <w:sz w:val="20"/>
                <w:szCs w:val="20"/>
              </w:rPr>
              <w:t>s.</w:t>
            </w:r>
          </w:p>
        </w:tc>
        <w:tc>
          <w:tcPr>
            <w:tcW w:w="2140" w:type="dxa"/>
            <w:tcBorders>
              <w:top w:val="nil"/>
              <w:left w:val="nil"/>
              <w:bottom w:val="single" w:sz="4" w:space="0" w:color="auto"/>
              <w:right w:val="single" w:sz="4" w:space="0" w:color="auto"/>
            </w:tcBorders>
            <w:shd w:val="clear" w:color="auto" w:fill="auto"/>
            <w:noWrap/>
            <w:vAlign w:val="center"/>
            <w:hideMark/>
          </w:tcPr>
          <w:p w:rsidR="00F273D8" w:rsidRDefault="00F273D8">
            <w:pPr>
              <w:jc w:val="center"/>
              <w:rPr>
                <w:rFonts w:ascii="Calibri" w:hAnsi="Calibri" w:cs="Calibri"/>
                <w:color w:val="000000"/>
                <w:sz w:val="20"/>
                <w:szCs w:val="20"/>
              </w:rPr>
            </w:pPr>
            <w:r>
              <w:rPr>
                <w:rFonts w:ascii="Calibri" w:hAnsi="Calibri" w:cs="Calibri"/>
                <w:color w:val="000000"/>
                <w:sz w:val="20"/>
                <w:szCs w:val="20"/>
              </w:rPr>
              <w:t>1,16</w:t>
            </w:r>
          </w:p>
        </w:tc>
      </w:tr>
      <w:tr w:rsidR="00F273D8" w:rsidTr="00F273D8">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F273D8" w:rsidRDefault="00F273D8">
            <w:pPr>
              <w:rPr>
                <w:rFonts w:ascii="Calibri" w:hAnsi="Calibri" w:cs="Calibri"/>
                <w:color w:val="000000"/>
                <w:sz w:val="20"/>
                <w:szCs w:val="20"/>
              </w:rPr>
            </w:pPr>
            <w:r>
              <w:rPr>
                <w:rFonts w:ascii="Calibri" w:hAnsi="Calibri" w:cs="Calibri"/>
                <w:color w:val="000000"/>
                <w:sz w:val="20"/>
                <w:szCs w:val="20"/>
              </w:rPr>
              <w:t>Asociace provozovatelů kin, z. s.</w:t>
            </w:r>
          </w:p>
        </w:tc>
        <w:tc>
          <w:tcPr>
            <w:tcW w:w="2140" w:type="dxa"/>
            <w:tcBorders>
              <w:top w:val="nil"/>
              <w:left w:val="nil"/>
              <w:bottom w:val="single" w:sz="4" w:space="0" w:color="auto"/>
              <w:right w:val="single" w:sz="4" w:space="0" w:color="auto"/>
            </w:tcBorders>
            <w:shd w:val="clear" w:color="auto" w:fill="auto"/>
            <w:noWrap/>
            <w:vAlign w:val="center"/>
            <w:hideMark/>
          </w:tcPr>
          <w:p w:rsidR="00F273D8" w:rsidRDefault="00F273D8">
            <w:pPr>
              <w:jc w:val="center"/>
              <w:rPr>
                <w:rFonts w:ascii="Calibri" w:hAnsi="Calibri" w:cs="Calibri"/>
                <w:color w:val="000000"/>
                <w:sz w:val="20"/>
                <w:szCs w:val="20"/>
              </w:rPr>
            </w:pPr>
            <w:r>
              <w:rPr>
                <w:rFonts w:ascii="Calibri" w:hAnsi="Calibri" w:cs="Calibri"/>
                <w:color w:val="000000"/>
                <w:sz w:val="20"/>
                <w:szCs w:val="20"/>
              </w:rPr>
              <w:t>0,44</w:t>
            </w:r>
          </w:p>
        </w:tc>
      </w:tr>
      <w:tr w:rsidR="00F273D8" w:rsidTr="00F273D8">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F273D8" w:rsidRDefault="00F273D8">
            <w:pPr>
              <w:rPr>
                <w:rFonts w:ascii="Calibri" w:hAnsi="Calibri" w:cs="Calibri"/>
                <w:color w:val="000000"/>
                <w:sz w:val="20"/>
                <w:szCs w:val="20"/>
              </w:rPr>
            </w:pPr>
            <w:r>
              <w:rPr>
                <w:rFonts w:ascii="Calibri" w:hAnsi="Calibri" w:cs="Calibri"/>
                <w:color w:val="000000"/>
                <w:sz w:val="20"/>
                <w:szCs w:val="20"/>
              </w:rPr>
              <w:t>Střední Morava - Sdružení cestovního ruchu</w:t>
            </w:r>
          </w:p>
        </w:tc>
        <w:tc>
          <w:tcPr>
            <w:tcW w:w="2140" w:type="dxa"/>
            <w:tcBorders>
              <w:top w:val="nil"/>
              <w:left w:val="nil"/>
              <w:bottom w:val="single" w:sz="4" w:space="0" w:color="auto"/>
              <w:right w:val="single" w:sz="4" w:space="0" w:color="auto"/>
            </w:tcBorders>
            <w:shd w:val="clear" w:color="auto" w:fill="auto"/>
            <w:noWrap/>
            <w:vAlign w:val="center"/>
            <w:hideMark/>
          </w:tcPr>
          <w:p w:rsidR="00F273D8" w:rsidRDefault="00F273D8">
            <w:pPr>
              <w:jc w:val="center"/>
              <w:rPr>
                <w:rFonts w:ascii="Calibri" w:hAnsi="Calibri" w:cs="Calibri"/>
                <w:color w:val="000000"/>
                <w:sz w:val="20"/>
                <w:szCs w:val="20"/>
              </w:rPr>
            </w:pPr>
            <w:r>
              <w:rPr>
                <w:rFonts w:ascii="Calibri" w:hAnsi="Calibri" w:cs="Calibri"/>
                <w:color w:val="000000"/>
                <w:sz w:val="20"/>
                <w:szCs w:val="20"/>
              </w:rPr>
              <w:t>1,56</w:t>
            </w:r>
          </w:p>
        </w:tc>
      </w:tr>
    </w:tbl>
    <w:p w:rsidR="00F273D8" w:rsidRDefault="00F273D8" w:rsidP="00101622">
      <w:pPr>
        <w:keepNext/>
        <w:keepLines/>
        <w:spacing w:after="120"/>
        <w:rPr>
          <w:rFonts w:ascii="Calibri" w:hAnsi="Calibri"/>
          <w:sz w:val="20"/>
          <w:szCs w:val="20"/>
        </w:rPr>
      </w:pPr>
    </w:p>
    <w:p w:rsidR="00F273D8" w:rsidRPr="00687DE9" w:rsidRDefault="00F273D8" w:rsidP="00101622">
      <w:pPr>
        <w:keepNext/>
        <w:keepLines/>
        <w:spacing w:after="120"/>
        <w:rPr>
          <w:rFonts w:ascii="Calibri" w:hAnsi="Calibri"/>
          <w:sz w:val="20"/>
          <w:szCs w:val="20"/>
        </w:rPr>
      </w:pPr>
    </w:p>
    <w:p w:rsidR="00AB33E5" w:rsidRPr="009D7E1B" w:rsidRDefault="00AB33E5" w:rsidP="00D530B3">
      <w:pPr>
        <w:spacing w:after="120"/>
        <w:rPr>
          <w:rFonts w:ascii="Calibri" w:hAnsi="Calibri"/>
          <w:color w:val="BFBFBF" w:themeColor="background1" w:themeShade="BF"/>
          <w:sz w:val="20"/>
          <w:szCs w:val="20"/>
        </w:rPr>
      </w:pPr>
    </w:p>
    <w:p w:rsidR="009D7C15" w:rsidRDefault="009D7C15" w:rsidP="00AB33E5">
      <w:pPr>
        <w:spacing w:after="120"/>
        <w:jc w:val="center"/>
        <w:rPr>
          <w:rFonts w:ascii="Calibri" w:hAnsi="Calibri"/>
          <w:color w:val="A6A6A6" w:themeColor="background1" w:themeShade="A6"/>
          <w:sz w:val="20"/>
          <w:szCs w:val="20"/>
        </w:rPr>
      </w:pPr>
    </w:p>
    <w:p w:rsidR="00AB33E5" w:rsidRDefault="00AB33E5" w:rsidP="00AB33E5">
      <w:pPr>
        <w:spacing w:after="120"/>
        <w:jc w:val="center"/>
        <w:rPr>
          <w:rFonts w:ascii="Calibri" w:hAnsi="Calibri"/>
          <w:color w:val="A6A6A6" w:themeColor="background1" w:themeShade="A6"/>
          <w:sz w:val="20"/>
          <w:szCs w:val="20"/>
        </w:rPr>
      </w:pPr>
    </w:p>
    <w:p w:rsidR="00AB33E5" w:rsidRPr="00AB33E5" w:rsidRDefault="00AB33E5" w:rsidP="00AB33E5">
      <w:pPr>
        <w:spacing w:after="120"/>
        <w:jc w:val="center"/>
        <w:rPr>
          <w:rFonts w:ascii="Calibri" w:hAnsi="Calibri"/>
          <w:color w:val="A6A6A6" w:themeColor="background1" w:themeShade="A6"/>
          <w:sz w:val="20"/>
          <w:szCs w:val="20"/>
        </w:rPr>
      </w:pPr>
    </w:p>
    <w:p w:rsidR="00BF583E" w:rsidRDefault="00BF583E" w:rsidP="00BF583E">
      <w:pPr>
        <w:spacing w:after="120"/>
        <w:jc w:val="center"/>
        <w:rPr>
          <w:rFonts w:ascii="Calibri" w:hAnsi="Calibri"/>
          <w:color w:val="000000"/>
          <w:sz w:val="20"/>
          <w:szCs w:val="20"/>
        </w:rPr>
      </w:pPr>
    </w:p>
    <w:p w:rsidR="00F815C3" w:rsidRDefault="00F815C3" w:rsidP="00BF583E">
      <w:pPr>
        <w:spacing w:after="120"/>
        <w:jc w:val="center"/>
        <w:rPr>
          <w:rFonts w:ascii="Calibri" w:hAnsi="Calibri"/>
          <w:color w:val="000000"/>
          <w:sz w:val="20"/>
          <w:szCs w:val="20"/>
        </w:rPr>
      </w:pPr>
    </w:p>
    <w:p w:rsidR="00F815C3" w:rsidRDefault="00F815C3" w:rsidP="00BF583E">
      <w:pPr>
        <w:spacing w:after="120"/>
        <w:jc w:val="center"/>
        <w:rPr>
          <w:rFonts w:ascii="Calibri" w:hAnsi="Calibri"/>
          <w:color w:val="000000"/>
          <w:sz w:val="20"/>
          <w:szCs w:val="20"/>
        </w:rPr>
      </w:pPr>
    </w:p>
    <w:p w:rsidR="00F815C3" w:rsidRDefault="00F815C3" w:rsidP="00BF583E">
      <w:pPr>
        <w:spacing w:after="120"/>
        <w:jc w:val="center"/>
        <w:rPr>
          <w:rFonts w:ascii="Calibri" w:hAnsi="Calibri"/>
          <w:color w:val="000000"/>
          <w:sz w:val="20"/>
          <w:szCs w:val="20"/>
        </w:rPr>
      </w:pPr>
    </w:p>
    <w:p w:rsidR="00F815C3" w:rsidRDefault="00F815C3" w:rsidP="00BF583E">
      <w:pPr>
        <w:spacing w:after="120"/>
        <w:jc w:val="center"/>
        <w:rPr>
          <w:rFonts w:ascii="Calibri" w:hAnsi="Calibri"/>
          <w:color w:val="000000"/>
          <w:sz w:val="20"/>
          <w:szCs w:val="20"/>
        </w:rPr>
      </w:pPr>
    </w:p>
    <w:p w:rsidR="00F815C3" w:rsidRDefault="00F815C3" w:rsidP="00BF583E">
      <w:pPr>
        <w:spacing w:after="120"/>
        <w:jc w:val="center"/>
        <w:rPr>
          <w:rFonts w:ascii="Calibri" w:hAnsi="Calibri"/>
          <w:color w:val="000000"/>
          <w:sz w:val="20"/>
          <w:szCs w:val="20"/>
        </w:rPr>
      </w:pPr>
    </w:p>
    <w:p w:rsidR="00F815C3" w:rsidRDefault="00F815C3" w:rsidP="00BF583E">
      <w:pPr>
        <w:spacing w:after="120"/>
        <w:jc w:val="center"/>
        <w:rPr>
          <w:rFonts w:ascii="Calibri" w:hAnsi="Calibri"/>
          <w:color w:val="000000"/>
          <w:sz w:val="20"/>
          <w:szCs w:val="20"/>
        </w:rPr>
      </w:pPr>
    </w:p>
    <w:p w:rsidR="00F815C3" w:rsidRDefault="00F815C3" w:rsidP="00BF583E">
      <w:pPr>
        <w:spacing w:after="120"/>
        <w:jc w:val="center"/>
        <w:rPr>
          <w:rFonts w:ascii="Calibri" w:hAnsi="Calibri"/>
          <w:color w:val="000000"/>
          <w:sz w:val="20"/>
          <w:szCs w:val="20"/>
        </w:rPr>
      </w:pPr>
    </w:p>
    <w:p w:rsidR="00F815C3" w:rsidRDefault="00F815C3" w:rsidP="00BF583E">
      <w:pPr>
        <w:spacing w:after="120"/>
        <w:jc w:val="center"/>
        <w:rPr>
          <w:rFonts w:ascii="Calibri" w:hAnsi="Calibri"/>
          <w:color w:val="000000"/>
          <w:sz w:val="20"/>
          <w:szCs w:val="20"/>
        </w:rPr>
      </w:pPr>
    </w:p>
    <w:p w:rsidR="00F815C3" w:rsidRDefault="00F815C3" w:rsidP="00BF583E">
      <w:pPr>
        <w:spacing w:after="120"/>
        <w:jc w:val="center"/>
        <w:rPr>
          <w:rFonts w:ascii="Calibri" w:hAnsi="Calibri"/>
          <w:color w:val="000000"/>
          <w:sz w:val="20"/>
          <w:szCs w:val="20"/>
        </w:rPr>
      </w:pPr>
    </w:p>
    <w:p w:rsidR="00F815C3" w:rsidRDefault="00F815C3" w:rsidP="00BF583E">
      <w:pPr>
        <w:spacing w:after="120"/>
        <w:jc w:val="center"/>
        <w:rPr>
          <w:rFonts w:ascii="Calibri" w:hAnsi="Calibri"/>
          <w:color w:val="000000"/>
          <w:sz w:val="20"/>
          <w:szCs w:val="20"/>
        </w:rPr>
      </w:pPr>
    </w:p>
    <w:p w:rsidR="00F815C3" w:rsidRDefault="00F815C3" w:rsidP="00BF583E">
      <w:pPr>
        <w:spacing w:after="120"/>
        <w:jc w:val="center"/>
        <w:rPr>
          <w:rFonts w:ascii="Calibri" w:hAnsi="Calibri"/>
          <w:color w:val="000000"/>
          <w:sz w:val="20"/>
          <w:szCs w:val="20"/>
        </w:rPr>
      </w:pPr>
    </w:p>
    <w:p w:rsidR="00F815C3" w:rsidRDefault="00F815C3" w:rsidP="00BF583E">
      <w:pPr>
        <w:spacing w:after="120"/>
        <w:jc w:val="center"/>
        <w:rPr>
          <w:rFonts w:ascii="Calibri" w:hAnsi="Calibri"/>
          <w:color w:val="000000"/>
          <w:sz w:val="20"/>
          <w:szCs w:val="20"/>
        </w:rPr>
      </w:pPr>
    </w:p>
    <w:p w:rsidR="00F815C3" w:rsidRDefault="00F815C3" w:rsidP="00BF583E">
      <w:pPr>
        <w:spacing w:after="120"/>
        <w:jc w:val="center"/>
        <w:rPr>
          <w:rFonts w:ascii="Calibri" w:hAnsi="Calibri"/>
          <w:color w:val="000000"/>
          <w:sz w:val="20"/>
          <w:szCs w:val="20"/>
        </w:rPr>
      </w:pPr>
    </w:p>
    <w:p w:rsidR="00F815C3" w:rsidRDefault="00F815C3" w:rsidP="00BF583E">
      <w:pPr>
        <w:spacing w:after="120"/>
        <w:jc w:val="center"/>
        <w:rPr>
          <w:rFonts w:ascii="Calibri" w:hAnsi="Calibri"/>
          <w:color w:val="000000"/>
          <w:sz w:val="20"/>
          <w:szCs w:val="20"/>
        </w:rPr>
      </w:pPr>
    </w:p>
    <w:p w:rsidR="00F815C3" w:rsidRDefault="00F815C3" w:rsidP="00BF583E">
      <w:pPr>
        <w:spacing w:after="120"/>
        <w:jc w:val="center"/>
        <w:rPr>
          <w:rFonts w:ascii="Calibri" w:hAnsi="Calibri"/>
          <w:color w:val="000000"/>
          <w:sz w:val="20"/>
          <w:szCs w:val="20"/>
        </w:rPr>
      </w:pPr>
    </w:p>
    <w:p w:rsidR="00F273D8" w:rsidRDefault="00F273D8" w:rsidP="00BF583E">
      <w:pPr>
        <w:spacing w:after="120"/>
        <w:jc w:val="center"/>
        <w:rPr>
          <w:rFonts w:ascii="Calibri" w:hAnsi="Calibri"/>
          <w:color w:val="000000"/>
          <w:sz w:val="20"/>
          <w:szCs w:val="20"/>
        </w:rPr>
      </w:pPr>
    </w:p>
    <w:p w:rsidR="00F273D8" w:rsidRDefault="00F273D8" w:rsidP="00BF583E">
      <w:pPr>
        <w:spacing w:after="120"/>
        <w:jc w:val="center"/>
        <w:rPr>
          <w:rFonts w:ascii="Calibri" w:hAnsi="Calibri"/>
          <w:color w:val="000000"/>
          <w:sz w:val="20"/>
          <w:szCs w:val="20"/>
        </w:rPr>
      </w:pPr>
    </w:p>
    <w:p w:rsidR="00F273D8" w:rsidRDefault="00F273D8" w:rsidP="00BF583E">
      <w:pPr>
        <w:spacing w:after="120"/>
        <w:jc w:val="center"/>
        <w:rPr>
          <w:rFonts w:ascii="Calibri" w:hAnsi="Calibri"/>
          <w:color w:val="000000"/>
          <w:sz w:val="20"/>
          <w:szCs w:val="20"/>
        </w:rPr>
      </w:pPr>
    </w:p>
    <w:p w:rsidR="00F273D8" w:rsidRDefault="00F273D8" w:rsidP="00BF583E">
      <w:pPr>
        <w:spacing w:after="120"/>
        <w:jc w:val="center"/>
        <w:rPr>
          <w:rFonts w:ascii="Calibri" w:hAnsi="Calibri"/>
          <w:color w:val="000000"/>
          <w:sz w:val="20"/>
          <w:szCs w:val="20"/>
        </w:rPr>
      </w:pPr>
    </w:p>
    <w:p w:rsidR="00F273D8" w:rsidRDefault="00F273D8" w:rsidP="00BF583E">
      <w:pPr>
        <w:spacing w:after="120"/>
        <w:jc w:val="center"/>
        <w:rPr>
          <w:rFonts w:ascii="Calibri" w:hAnsi="Calibri"/>
          <w:color w:val="000000"/>
          <w:sz w:val="20"/>
          <w:szCs w:val="20"/>
        </w:rPr>
      </w:pPr>
    </w:p>
    <w:p w:rsidR="00F273D8" w:rsidRDefault="00F273D8" w:rsidP="00BF583E">
      <w:pPr>
        <w:spacing w:after="120"/>
        <w:jc w:val="center"/>
        <w:rPr>
          <w:rFonts w:ascii="Calibri" w:hAnsi="Calibri"/>
          <w:color w:val="000000"/>
          <w:sz w:val="20"/>
          <w:szCs w:val="20"/>
        </w:rPr>
      </w:pPr>
      <w:r w:rsidRPr="00F273D8">
        <w:rPr>
          <w:noProof/>
        </w:rPr>
        <w:lastRenderedPageBreak/>
        <w:drawing>
          <wp:inline distT="0" distB="0" distL="0" distR="0">
            <wp:extent cx="8976453" cy="4062611"/>
            <wp:effectExtent l="0" t="318"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rot="16200000">
                      <a:off x="0" y="0"/>
                      <a:ext cx="9034136" cy="4088717"/>
                    </a:xfrm>
                    <a:prstGeom prst="rect">
                      <a:avLst/>
                    </a:prstGeom>
                    <a:noFill/>
                    <a:ln>
                      <a:noFill/>
                    </a:ln>
                  </pic:spPr>
                </pic:pic>
              </a:graphicData>
            </a:graphic>
          </wp:inline>
        </w:drawing>
      </w:r>
    </w:p>
    <w:tbl>
      <w:tblPr>
        <w:tblW w:w="10828" w:type="dxa"/>
        <w:tblLayout w:type="fixed"/>
        <w:tblCellMar>
          <w:left w:w="70" w:type="dxa"/>
          <w:right w:w="70" w:type="dxa"/>
        </w:tblCellMar>
        <w:tblLook w:val="04A0" w:firstRow="1" w:lastRow="0" w:firstColumn="1" w:lastColumn="0" w:noHBand="0" w:noVBand="1"/>
      </w:tblPr>
      <w:tblGrid>
        <w:gridCol w:w="212"/>
        <w:gridCol w:w="245"/>
        <w:gridCol w:w="322"/>
        <w:gridCol w:w="135"/>
        <w:gridCol w:w="457"/>
        <w:gridCol w:w="259"/>
        <w:gridCol w:w="200"/>
        <w:gridCol w:w="459"/>
        <w:gridCol w:w="830"/>
        <w:gridCol w:w="126"/>
        <w:gridCol w:w="34"/>
        <w:gridCol w:w="460"/>
        <w:gridCol w:w="230"/>
        <w:gridCol w:w="196"/>
        <w:gridCol w:w="34"/>
        <w:gridCol w:w="426"/>
        <w:gridCol w:w="337"/>
        <w:gridCol w:w="123"/>
        <w:gridCol w:w="359"/>
        <w:gridCol w:w="6"/>
        <w:gridCol w:w="154"/>
        <w:gridCol w:w="6"/>
        <w:gridCol w:w="344"/>
        <w:gridCol w:w="110"/>
        <w:gridCol w:w="6"/>
        <w:gridCol w:w="44"/>
        <w:gridCol w:w="268"/>
        <w:gridCol w:w="142"/>
        <w:gridCol w:w="6"/>
        <w:gridCol w:w="44"/>
        <w:gridCol w:w="460"/>
        <w:gridCol w:w="312"/>
        <w:gridCol w:w="9"/>
        <w:gridCol w:w="139"/>
        <w:gridCol w:w="12"/>
        <w:gridCol w:w="9"/>
        <w:gridCol w:w="439"/>
        <w:gridCol w:w="12"/>
        <w:gridCol w:w="9"/>
        <w:gridCol w:w="439"/>
        <w:gridCol w:w="12"/>
        <w:gridCol w:w="9"/>
        <w:gridCol w:w="439"/>
        <w:gridCol w:w="12"/>
        <w:gridCol w:w="9"/>
        <w:gridCol w:w="439"/>
        <w:gridCol w:w="12"/>
        <w:gridCol w:w="9"/>
        <w:gridCol w:w="143"/>
        <w:gridCol w:w="283"/>
        <w:gridCol w:w="6"/>
        <w:gridCol w:w="19"/>
        <w:gridCol w:w="9"/>
        <w:gridCol w:w="75"/>
        <w:gridCol w:w="376"/>
        <w:gridCol w:w="9"/>
        <w:gridCol w:w="541"/>
        <w:gridCol w:w="12"/>
      </w:tblGrid>
      <w:tr w:rsidR="00B608DD" w:rsidRPr="006E55BA" w:rsidTr="00B95530">
        <w:trPr>
          <w:gridBefore w:val="1"/>
          <w:gridAfter w:val="9"/>
          <w:wBefore w:w="212" w:type="dxa"/>
          <w:wAfter w:w="1330" w:type="dxa"/>
        </w:trPr>
        <w:tc>
          <w:tcPr>
            <w:tcW w:w="9286" w:type="dxa"/>
            <w:gridSpan w:val="48"/>
            <w:shd w:val="clear" w:color="auto" w:fill="auto"/>
            <w:hideMark/>
          </w:tcPr>
          <w:p w:rsidR="002136E6" w:rsidRPr="00C24684" w:rsidRDefault="002136E6" w:rsidP="002136E6">
            <w:pPr>
              <w:pStyle w:val="Nadpis1"/>
            </w:pPr>
            <w:bookmarkStart w:id="61" w:name="_Toc39129550"/>
            <w:r w:rsidRPr="00C24684">
              <w:lastRenderedPageBreak/>
              <w:t>Rozbory hospodaření kapitol</w:t>
            </w:r>
          </w:p>
          <w:tbl>
            <w:tblPr>
              <w:tblW w:w="9921" w:type="dxa"/>
              <w:tblLayout w:type="fixed"/>
              <w:tblCellMar>
                <w:left w:w="70" w:type="dxa"/>
                <w:right w:w="70" w:type="dxa"/>
              </w:tblCellMar>
              <w:tblLook w:val="0000" w:firstRow="0" w:lastRow="0" w:firstColumn="0" w:lastColumn="0" w:noHBand="0" w:noVBand="0"/>
            </w:tblPr>
            <w:tblGrid>
              <w:gridCol w:w="9921"/>
            </w:tblGrid>
            <w:tr w:rsidR="001471ED" w:rsidTr="001471ED">
              <w:tc>
                <w:tcPr>
                  <w:tcW w:w="9921" w:type="dxa"/>
                </w:tcPr>
                <w:bookmarkEnd w:id="61"/>
                <w:p w:rsidR="001471ED" w:rsidRPr="001471ED" w:rsidRDefault="001471ED" w:rsidP="001471ED">
                  <w:pPr>
                    <w:rPr>
                      <w:rFonts w:asciiTheme="minorHAnsi" w:hAnsiTheme="minorHAnsi" w:cstheme="minorHAnsi"/>
                      <w:b/>
                    </w:rPr>
                  </w:pPr>
                  <w:r w:rsidRPr="001471ED">
                    <w:rPr>
                      <w:rFonts w:asciiTheme="minorHAnsi" w:hAnsiTheme="minorHAnsi" w:cstheme="minorHAnsi"/>
                      <w:b/>
                    </w:rPr>
                    <w:t>Kapitola 10 – Kancelář primátora</w:t>
                  </w:r>
                </w:p>
                <w:p w:rsidR="001471ED" w:rsidRPr="001471ED" w:rsidRDefault="001471ED" w:rsidP="001471ED">
                  <w:pPr>
                    <w:rPr>
                      <w:rFonts w:asciiTheme="minorHAnsi" w:hAnsiTheme="minorHAnsi" w:cstheme="minorHAnsi"/>
                      <w:b/>
                    </w:rPr>
                  </w:pPr>
                </w:p>
                <w:tbl>
                  <w:tblPr>
                    <w:tblW w:w="12242" w:type="dxa"/>
                    <w:tblLayout w:type="fixed"/>
                    <w:tblCellMar>
                      <w:left w:w="70" w:type="dxa"/>
                      <w:right w:w="70" w:type="dxa"/>
                    </w:tblCellMar>
                    <w:tblLook w:val="0000" w:firstRow="0" w:lastRow="0" w:firstColumn="0" w:lastColumn="0" w:noHBand="0" w:noVBand="0"/>
                  </w:tblPr>
                  <w:tblGrid>
                    <w:gridCol w:w="362"/>
                    <w:gridCol w:w="407"/>
                    <w:gridCol w:w="325"/>
                    <w:gridCol w:w="390"/>
                    <w:gridCol w:w="373"/>
                    <w:gridCol w:w="335"/>
                    <w:gridCol w:w="35"/>
                    <w:gridCol w:w="125"/>
                    <w:gridCol w:w="370"/>
                    <w:gridCol w:w="321"/>
                    <w:gridCol w:w="346"/>
                    <w:gridCol w:w="512"/>
                    <w:gridCol w:w="705"/>
                    <w:gridCol w:w="189"/>
                    <w:gridCol w:w="15"/>
                    <w:gridCol w:w="35"/>
                    <w:gridCol w:w="125"/>
                    <w:gridCol w:w="245"/>
                    <w:gridCol w:w="75"/>
                    <w:gridCol w:w="294"/>
                    <w:gridCol w:w="14"/>
                    <w:gridCol w:w="112"/>
                    <w:gridCol w:w="250"/>
                    <w:gridCol w:w="128"/>
                    <w:gridCol w:w="241"/>
                    <w:gridCol w:w="121"/>
                    <w:gridCol w:w="160"/>
                    <w:gridCol w:w="88"/>
                    <w:gridCol w:w="121"/>
                    <w:gridCol w:w="153"/>
                    <w:gridCol w:w="95"/>
                    <w:gridCol w:w="121"/>
                    <w:gridCol w:w="153"/>
                    <w:gridCol w:w="95"/>
                    <w:gridCol w:w="121"/>
                    <w:gridCol w:w="153"/>
                    <w:gridCol w:w="95"/>
                    <w:gridCol w:w="121"/>
                    <w:gridCol w:w="153"/>
                    <w:gridCol w:w="95"/>
                    <w:gridCol w:w="121"/>
                    <w:gridCol w:w="153"/>
                    <w:gridCol w:w="95"/>
                    <w:gridCol w:w="121"/>
                    <w:gridCol w:w="153"/>
                    <w:gridCol w:w="321"/>
                    <w:gridCol w:w="8"/>
                    <w:gridCol w:w="40"/>
                    <w:gridCol w:w="312"/>
                    <w:gridCol w:w="57"/>
                    <w:gridCol w:w="370"/>
                    <w:gridCol w:w="309"/>
                    <w:gridCol w:w="60"/>
                    <w:gridCol w:w="165"/>
                    <w:gridCol w:w="265"/>
                    <w:gridCol w:w="105"/>
                    <w:gridCol w:w="1413"/>
                  </w:tblGrid>
                  <w:tr w:rsidR="001471ED" w:rsidRPr="001471ED" w:rsidTr="00B95530">
                    <w:trPr>
                      <w:gridAfter w:val="11"/>
                      <w:wAfter w:w="3104" w:type="dxa"/>
                      <w:trHeight w:val="253"/>
                    </w:trPr>
                    <w:tc>
                      <w:tcPr>
                        <w:tcW w:w="9138" w:type="dxa"/>
                        <w:gridSpan w:val="46"/>
                        <w:shd w:val="clear" w:color="auto" w:fill="F79646"/>
                      </w:tcPr>
                      <w:p w:rsidR="001471ED" w:rsidRPr="001471ED" w:rsidRDefault="001471ED" w:rsidP="001471ED">
                        <w:pPr>
                          <w:rPr>
                            <w:rFonts w:asciiTheme="minorHAnsi" w:hAnsiTheme="minorHAnsi" w:cstheme="minorHAnsi"/>
                            <w:b/>
                            <w:sz w:val="20"/>
                            <w:szCs w:val="20"/>
                            <w:u w:val="single"/>
                          </w:rPr>
                        </w:pPr>
                        <w:r w:rsidRPr="001471ED">
                          <w:rPr>
                            <w:rFonts w:asciiTheme="minorHAnsi" w:hAnsiTheme="minorHAnsi" w:cstheme="minorHAnsi"/>
                            <w:b/>
                            <w:sz w:val="20"/>
                            <w:szCs w:val="20"/>
                            <w:u w:val="single"/>
                          </w:rPr>
                          <w:t>Rozbor plnění příjmů rozpočtu kapitoly</w:t>
                        </w:r>
                      </w:p>
                    </w:tc>
                  </w:tr>
                  <w:tr w:rsidR="001471ED" w:rsidRPr="001471ED" w:rsidTr="00B95530">
                    <w:trPr>
                      <w:gridAfter w:val="2"/>
                      <w:wAfter w:w="1518" w:type="dxa"/>
                      <w:trHeight w:val="243"/>
                    </w:trPr>
                    <w:tc>
                      <w:tcPr>
                        <w:tcW w:w="362" w:type="dxa"/>
                        <w:tcBorders>
                          <w:bottom w:val="single" w:sz="4" w:space="0" w:color="auto"/>
                        </w:tcBorders>
                      </w:tcPr>
                      <w:p w:rsidR="001471ED" w:rsidRPr="001471ED" w:rsidRDefault="001471ED" w:rsidP="001471ED">
                        <w:pPr>
                          <w:rPr>
                            <w:rFonts w:asciiTheme="minorHAnsi" w:hAnsiTheme="minorHAnsi" w:cstheme="minorHAnsi"/>
                            <w:b/>
                            <w:sz w:val="20"/>
                            <w:szCs w:val="20"/>
                          </w:rPr>
                        </w:pPr>
                      </w:p>
                    </w:tc>
                    <w:tc>
                      <w:tcPr>
                        <w:tcW w:w="407" w:type="dxa"/>
                        <w:tcBorders>
                          <w:bottom w:val="single" w:sz="4" w:space="0" w:color="auto"/>
                        </w:tcBorders>
                      </w:tcPr>
                      <w:p w:rsidR="001471ED" w:rsidRPr="001471ED" w:rsidRDefault="001471ED" w:rsidP="001471ED">
                        <w:pPr>
                          <w:rPr>
                            <w:rFonts w:asciiTheme="minorHAnsi" w:hAnsiTheme="minorHAnsi" w:cstheme="minorHAnsi"/>
                            <w:b/>
                            <w:sz w:val="20"/>
                            <w:szCs w:val="20"/>
                          </w:rPr>
                        </w:pPr>
                      </w:p>
                    </w:tc>
                    <w:tc>
                      <w:tcPr>
                        <w:tcW w:w="325" w:type="dxa"/>
                        <w:tcBorders>
                          <w:bottom w:val="single" w:sz="4" w:space="0" w:color="auto"/>
                        </w:tcBorders>
                      </w:tcPr>
                      <w:p w:rsidR="001471ED" w:rsidRPr="001471ED" w:rsidRDefault="001471ED" w:rsidP="001471ED">
                        <w:pPr>
                          <w:rPr>
                            <w:rFonts w:asciiTheme="minorHAnsi" w:hAnsiTheme="minorHAnsi" w:cstheme="minorHAnsi"/>
                            <w:b/>
                            <w:sz w:val="20"/>
                            <w:szCs w:val="20"/>
                          </w:rPr>
                        </w:pPr>
                      </w:p>
                    </w:tc>
                    <w:tc>
                      <w:tcPr>
                        <w:tcW w:w="1098" w:type="dxa"/>
                        <w:gridSpan w:val="3"/>
                        <w:tcBorders>
                          <w:bottom w:val="single" w:sz="4" w:space="0" w:color="auto"/>
                        </w:tcBorders>
                      </w:tcPr>
                      <w:p w:rsidR="001471ED" w:rsidRPr="001471ED" w:rsidRDefault="001471ED" w:rsidP="001471ED">
                        <w:pPr>
                          <w:rPr>
                            <w:rFonts w:asciiTheme="minorHAnsi" w:hAnsiTheme="minorHAnsi" w:cstheme="minorHAnsi"/>
                            <w:b/>
                            <w:sz w:val="20"/>
                            <w:szCs w:val="20"/>
                          </w:rPr>
                        </w:pPr>
                      </w:p>
                    </w:tc>
                    <w:tc>
                      <w:tcPr>
                        <w:tcW w:w="160" w:type="dxa"/>
                        <w:gridSpan w:val="2"/>
                        <w:tcBorders>
                          <w:bottom w:val="single" w:sz="4" w:space="0" w:color="auto"/>
                        </w:tcBorders>
                      </w:tcPr>
                      <w:p w:rsidR="001471ED" w:rsidRPr="001471ED" w:rsidRDefault="001471ED" w:rsidP="001471ED">
                        <w:pPr>
                          <w:rPr>
                            <w:rFonts w:asciiTheme="minorHAnsi" w:hAnsiTheme="minorHAnsi" w:cstheme="minorHAnsi"/>
                            <w:b/>
                            <w:sz w:val="20"/>
                            <w:szCs w:val="20"/>
                          </w:rPr>
                        </w:pPr>
                      </w:p>
                    </w:tc>
                    <w:tc>
                      <w:tcPr>
                        <w:tcW w:w="370" w:type="dxa"/>
                        <w:tcBorders>
                          <w:bottom w:val="single" w:sz="4" w:space="0" w:color="auto"/>
                        </w:tcBorders>
                      </w:tcPr>
                      <w:p w:rsidR="001471ED" w:rsidRPr="001471ED" w:rsidRDefault="001471ED" w:rsidP="001471ED">
                        <w:pPr>
                          <w:rPr>
                            <w:rFonts w:asciiTheme="minorHAnsi" w:hAnsiTheme="minorHAnsi" w:cstheme="minorHAnsi"/>
                            <w:b/>
                            <w:sz w:val="20"/>
                            <w:szCs w:val="20"/>
                          </w:rPr>
                        </w:pPr>
                      </w:p>
                    </w:tc>
                    <w:tc>
                      <w:tcPr>
                        <w:tcW w:w="667" w:type="dxa"/>
                        <w:gridSpan w:val="2"/>
                        <w:tcBorders>
                          <w:bottom w:val="single" w:sz="4" w:space="0" w:color="auto"/>
                        </w:tcBorders>
                      </w:tcPr>
                      <w:p w:rsidR="001471ED" w:rsidRPr="001471ED" w:rsidRDefault="001471ED" w:rsidP="001471ED">
                        <w:pPr>
                          <w:rPr>
                            <w:rFonts w:asciiTheme="minorHAnsi" w:hAnsiTheme="minorHAnsi" w:cstheme="minorHAnsi"/>
                            <w:b/>
                            <w:sz w:val="20"/>
                            <w:szCs w:val="20"/>
                          </w:rPr>
                        </w:pPr>
                      </w:p>
                    </w:tc>
                    <w:tc>
                      <w:tcPr>
                        <w:tcW w:w="1421" w:type="dxa"/>
                        <w:gridSpan w:val="4"/>
                        <w:tcBorders>
                          <w:bottom w:val="single" w:sz="4" w:space="0" w:color="auto"/>
                        </w:tcBorders>
                      </w:tcPr>
                      <w:p w:rsidR="001471ED" w:rsidRPr="001471ED" w:rsidRDefault="001471ED" w:rsidP="001471ED">
                        <w:pPr>
                          <w:rPr>
                            <w:rFonts w:asciiTheme="minorHAnsi" w:hAnsiTheme="minorHAnsi" w:cstheme="minorHAnsi"/>
                            <w:b/>
                            <w:sz w:val="20"/>
                            <w:szCs w:val="20"/>
                          </w:rPr>
                        </w:pPr>
                      </w:p>
                    </w:tc>
                    <w:tc>
                      <w:tcPr>
                        <w:tcW w:w="160" w:type="dxa"/>
                        <w:gridSpan w:val="2"/>
                        <w:tcBorders>
                          <w:bottom w:val="single" w:sz="4" w:space="0" w:color="auto"/>
                        </w:tcBorders>
                      </w:tcPr>
                      <w:p w:rsidR="001471ED" w:rsidRPr="001471ED" w:rsidRDefault="001471ED" w:rsidP="001471ED">
                        <w:pPr>
                          <w:rPr>
                            <w:rFonts w:asciiTheme="minorHAnsi" w:hAnsiTheme="minorHAnsi" w:cstheme="minorHAnsi"/>
                            <w:b/>
                            <w:sz w:val="20"/>
                            <w:szCs w:val="20"/>
                          </w:rPr>
                        </w:pPr>
                      </w:p>
                    </w:tc>
                    <w:tc>
                      <w:tcPr>
                        <w:tcW w:w="320" w:type="dxa"/>
                        <w:gridSpan w:val="2"/>
                        <w:tcBorders>
                          <w:bottom w:val="single" w:sz="4" w:space="0" w:color="auto"/>
                        </w:tcBorders>
                      </w:tcPr>
                      <w:p w:rsidR="001471ED" w:rsidRPr="001471ED" w:rsidRDefault="001471ED" w:rsidP="001471ED">
                        <w:pPr>
                          <w:rPr>
                            <w:rFonts w:asciiTheme="minorHAnsi" w:hAnsiTheme="minorHAnsi" w:cstheme="minorHAnsi"/>
                            <w:b/>
                            <w:sz w:val="20"/>
                            <w:szCs w:val="20"/>
                          </w:rPr>
                        </w:pPr>
                      </w:p>
                    </w:tc>
                    <w:tc>
                      <w:tcPr>
                        <w:tcW w:w="420" w:type="dxa"/>
                        <w:gridSpan w:val="3"/>
                        <w:tcBorders>
                          <w:bottom w:val="single" w:sz="4" w:space="0" w:color="auto"/>
                        </w:tcBorders>
                      </w:tcPr>
                      <w:p w:rsidR="001471ED" w:rsidRPr="001471ED" w:rsidRDefault="001471ED" w:rsidP="001471ED">
                        <w:pPr>
                          <w:rPr>
                            <w:rFonts w:asciiTheme="minorHAnsi" w:hAnsiTheme="minorHAnsi" w:cstheme="minorHAnsi"/>
                            <w:b/>
                            <w:sz w:val="20"/>
                            <w:szCs w:val="20"/>
                          </w:rPr>
                        </w:pPr>
                      </w:p>
                    </w:tc>
                    <w:tc>
                      <w:tcPr>
                        <w:tcW w:w="378" w:type="dxa"/>
                        <w:gridSpan w:val="2"/>
                        <w:tcBorders>
                          <w:bottom w:val="single" w:sz="4" w:space="0" w:color="auto"/>
                        </w:tcBorders>
                      </w:tcPr>
                      <w:p w:rsidR="001471ED" w:rsidRPr="001471ED" w:rsidRDefault="001471ED" w:rsidP="001471ED">
                        <w:pPr>
                          <w:rPr>
                            <w:rFonts w:asciiTheme="minorHAnsi" w:hAnsiTheme="minorHAnsi" w:cstheme="minorHAnsi"/>
                            <w:b/>
                            <w:sz w:val="20"/>
                            <w:szCs w:val="20"/>
                          </w:rPr>
                        </w:pPr>
                      </w:p>
                    </w:tc>
                    <w:tc>
                      <w:tcPr>
                        <w:tcW w:w="362" w:type="dxa"/>
                        <w:gridSpan w:val="2"/>
                        <w:tcBorders>
                          <w:bottom w:val="single" w:sz="4" w:space="0" w:color="auto"/>
                        </w:tcBorders>
                      </w:tcPr>
                      <w:p w:rsidR="001471ED" w:rsidRPr="001471ED" w:rsidRDefault="001471ED" w:rsidP="001471ED">
                        <w:pPr>
                          <w:rPr>
                            <w:rFonts w:asciiTheme="minorHAnsi" w:hAnsiTheme="minorHAnsi" w:cstheme="minorHAnsi"/>
                            <w:b/>
                            <w:sz w:val="20"/>
                            <w:szCs w:val="20"/>
                          </w:rPr>
                        </w:pPr>
                      </w:p>
                    </w:tc>
                    <w:tc>
                      <w:tcPr>
                        <w:tcW w:w="369" w:type="dxa"/>
                        <w:gridSpan w:val="3"/>
                        <w:tcBorders>
                          <w:bottom w:val="single" w:sz="4" w:space="0" w:color="auto"/>
                        </w:tcBorders>
                      </w:tcPr>
                      <w:p w:rsidR="001471ED" w:rsidRPr="001471ED" w:rsidRDefault="001471ED" w:rsidP="001471ED">
                        <w:pPr>
                          <w:rPr>
                            <w:rFonts w:asciiTheme="minorHAnsi" w:hAnsiTheme="minorHAnsi" w:cstheme="minorHAnsi"/>
                            <w:b/>
                            <w:sz w:val="20"/>
                            <w:szCs w:val="20"/>
                          </w:rPr>
                        </w:pPr>
                      </w:p>
                    </w:tc>
                    <w:tc>
                      <w:tcPr>
                        <w:tcW w:w="369" w:type="dxa"/>
                        <w:gridSpan w:val="3"/>
                        <w:tcBorders>
                          <w:bottom w:val="single" w:sz="4" w:space="0" w:color="auto"/>
                        </w:tcBorders>
                      </w:tcPr>
                      <w:p w:rsidR="001471ED" w:rsidRPr="001471ED" w:rsidRDefault="001471ED" w:rsidP="001471ED">
                        <w:pPr>
                          <w:rPr>
                            <w:rFonts w:asciiTheme="minorHAnsi" w:hAnsiTheme="minorHAnsi" w:cstheme="minorHAnsi"/>
                            <w:b/>
                            <w:sz w:val="20"/>
                            <w:szCs w:val="20"/>
                          </w:rPr>
                        </w:pPr>
                      </w:p>
                    </w:tc>
                    <w:tc>
                      <w:tcPr>
                        <w:tcW w:w="369" w:type="dxa"/>
                        <w:gridSpan w:val="3"/>
                        <w:tcBorders>
                          <w:bottom w:val="single" w:sz="4" w:space="0" w:color="auto"/>
                        </w:tcBorders>
                      </w:tcPr>
                      <w:p w:rsidR="001471ED" w:rsidRPr="001471ED" w:rsidRDefault="001471ED" w:rsidP="001471ED">
                        <w:pPr>
                          <w:rPr>
                            <w:rFonts w:asciiTheme="minorHAnsi" w:hAnsiTheme="minorHAnsi" w:cstheme="minorHAnsi"/>
                            <w:b/>
                            <w:sz w:val="20"/>
                            <w:szCs w:val="20"/>
                          </w:rPr>
                        </w:pPr>
                      </w:p>
                    </w:tc>
                    <w:tc>
                      <w:tcPr>
                        <w:tcW w:w="369" w:type="dxa"/>
                        <w:gridSpan w:val="3"/>
                        <w:tcBorders>
                          <w:bottom w:val="single" w:sz="4" w:space="0" w:color="auto"/>
                        </w:tcBorders>
                      </w:tcPr>
                      <w:p w:rsidR="001471ED" w:rsidRPr="001471ED" w:rsidRDefault="001471ED" w:rsidP="001471ED">
                        <w:pPr>
                          <w:rPr>
                            <w:rFonts w:asciiTheme="minorHAnsi" w:hAnsiTheme="minorHAnsi" w:cstheme="minorHAnsi"/>
                            <w:b/>
                            <w:sz w:val="20"/>
                            <w:szCs w:val="20"/>
                          </w:rPr>
                        </w:pPr>
                      </w:p>
                    </w:tc>
                    <w:tc>
                      <w:tcPr>
                        <w:tcW w:w="369" w:type="dxa"/>
                        <w:gridSpan w:val="3"/>
                        <w:tcBorders>
                          <w:bottom w:val="single" w:sz="4" w:space="0" w:color="auto"/>
                        </w:tcBorders>
                      </w:tcPr>
                      <w:p w:rsidR="001471ED" w:rsidRPr="001471ED" w:rsidRDefault="001471ED" w:rsidP="001471ED">
                        <w:pPr>
                          <w:rPr>
                            <w:rFonts w:asciiTheme="minorHAnsi" w:hAnsiTheme="minorHAnsi" w:cstheme="minorHAnsi"/>
                            <w:b/>
                            <w:sz w:val="20"/>
                            <w:szCs w:val="20"/>
                          </w:rPr>
                        </w:pPr>
                      </w:p>
                    </w:tc>
                    <w:tc>
                      <w:tcPr>
                        <w:tcW w:w="369" w:type="dxa"/>
                        <w:gridSpan w:val="3"/>
                        <w:tcBorders>
                          <w:bottom w:val="single" w:sz="4" w:space="0" w:color="auto"/>
                        </w:tcBorders>
                      </w:tcPr>
                      <w:p w:rsidR="001471ED" w:rsidRPr="001471ED" w:rsidRDefault="001471ED" w:rsidP="001471ED">
                        <w:pPr>
                          <w:rPr>
                            <w:rFonts w:asciiTheme="minorHAnsi" w:hAnsiTheme="minorHAnsi" w:cstheme="minorHAnsi"/>
                            <w:b/>
                            <w:sz w:val="20"/>
                            <w:szCs w:val="20"/>
                          </w:rPr>
                        </w:pPr>
                      </w:p>
                    </w:tc>
                    <w:tc>
                      <w:tcPr>
                        <w:tcW w:w="2060" w:type="dxa"/>
                        <w:gridSpan w:val="11"/>
                        <w:tcBorders>
                          <w:bottom w:val="single" w:sz="4" w:space="0" w:color="auto"/>
                        </w:tcBorders>
                      </w:tcPr>
                      <w:p w:rsidR="001471ED" w:rsidRPr="001471ED" w:rsidRDefault="001471ED" w:rsidP="001471ED">
                        <w:pPr>
                          <w:rPr>
                            <w:rFonts w:asciiTheme="minorHAnsi" w:hAnsiTheme="minorHAnsi" w:cstheme="minorHAnsi"/>
                            <w:b/>
                            <w:sz w:val="20"/>
                            <w:szCs w:val="20"/>
                          </w:rPr>
                        </w:pPr>
                      </w:p>
                    </w:tc>
                  </w:tr>
                  <w:tr w:rsidR="001471ED" w:rsidRPr="001471ED" w:rsidTr="00C55ACB">
                    <w:trPr>
                      <w:gridAfter w:val="11"/>
                      <w:wAfter w:w="3104" w:type="dxa"/>
                      <w:trHeight w:val="400"/>
                    </w:trPr>
                    <w:tc>
                      <w:tcPr>
                        <w:tcW w:w="2192"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1471ED" w:rsidRPr="009F1859" w:rsidRDefault="001471ED" w:rsidP="001471ED">
                        <w:pPr>
                          <w:jc w:val="center"/>
                          <w:rPr>
                            <w:rFonts w:ascii="Calibri" w:hAnsi="Calibri" w:cs="Calibri"/>
                            <w:b/>
                            <w:sz w:val="18"/>
                            <w:szCs w:val="18"/>
                          </w:rPr>
                        </w:pPr>
                        <w:r w:rsidRPr="009F1859">
                          <w:rPr>
                            <w:rFonts w:ascii="Calibri" w:hAnsi="Calibri" w:cs="Calibri"/>
                            <w:b/>
                            <w:sz w:val="18"/>
                            <w:szCs w:val="18"/>
                          </w:rPr>
                          <w:t>Rozpočet upravený v tis. Kč</w:t>
                        </w:r>
                      </w:p>
                    </w:tc>
                    <w:tc>
                      <w:tcPr>
                        <w:tcW w:w="1709"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1471ED" w:rsidRPr="009F1859" w:rsidRDefault="001471ED" w:rsidP="001471ED">
                        <w:pPr>
                          <w:jc w:val="center"/>
                          <w:rPr>
                            <w:rFonts w:ascii="Calibri" w:hAnsi="Calibri" w:cs="Calibri"/>
                            <w:b/>
                            <w:sz w:val="18"/>
                            <w:szCs w:val="18"/>
                          </w:rPr>
                        </w:pPr>
                        <w:r w:rsidRPr="009F1859">
                          <w:rPr>
                            <w:rFonts w:ascii="Calibri" w:hAnsi="Calibri" w:cs="Calibri"/>
                            <w:b/>
                            <w:sz w:val="18"/>
                            <w:szCs w:val="18"/>
                          </w:rPr>
                          <w:t>Skutečnost v tis. Kč</w:t>
                        </w:r>
                      </w:p>
                    </w:tc>
                    <w:tc>
                      <w:tcPr>
                        <w:tcW w:w="2549" w:type="dxa"/>
                        <w:gridSpan w:val="14"/>
                        <w:tcBorders>
                          <w:top w:val="single" w:sz="4" w:space="0" w:color="auto"/>
                          <w:left w:val="single" w:sz="4" w:space="0" w:color="auto"/>
                          <w:bottom w:val="single" w:sz="4" w:space="0" w:color="auto"/>
                          <w:right w:val="single" w:sz="4" w:space="0" w:color="auto"/>
                        </w:tcBorders>
                        <w:shd w:val="clear" w:color="auto" w:fill="FFFF00"/>
                        <w:vAlign w:val="center"/>
                      </w:tcPr>
                      <w:p w:rsidR="001471ED" w:rsidRPr="009F1859" w:rsidRDefault="001471ED" w:rsidP="001471ED">
                        <w:pPr>
                          <w:jc w:val="center"/>
                          <w:rPr>
                            <w:rFonts w:ascii="Calibri" w:hAnsi="Calibri" w:cs="Calibri"/>
                            <w:b/>
                            <w:sz w:val="18"/>
                            <w:szCs w:val="18"/>
                          </w:rPr>
                        </w:pPr>
                        <w:r w:rsidRPr="009F1859">
                          <w:rPr>
                            <w:rFonts w:ascii="Calibri" w:hAnsi="Calibri" w:cs="Calibri"/>
                            <w:b/>
                            <w:sz w:val="18"/>
                            <w:szCs w:val="18"/>
                          </w:rPr>
                          <w:t>SK/RU v %</w:t>
                        </w:r>
                      </w:p>
                    </w:tc>
                    <w:tc>
                      <w:tcPr>
                        <w:tcW w:w="2688" w:type="dxa"/>
                        <w:gridSpan w:val="20"/>
                        <w:tcBorders>
                          <w:top w:val="single" w:sz="4" w:space="0" w:color="auto"/>
                          <w:left w:val="single" w:sz="4" w:space="0" w:color="auto"/>
                          <w:bottom w:val="single" w:sz="4" w:space="0" w:color="auto"/>
                          <w:right w:val="single" w:sz="4" w:space="0" w:color="auto"/>
                        </w:tcBorders>
                        <w:shd w:val="clear" w:color="auto" w:fill="FFFF00"/>
                        <w:vAlign w:val="center"/>
                      </w:tcPr>
                      <w:p w:rsidR="001471ED" w:rsidRPr="009F1859" w:rsidRDefault="001471ED" w:rsidP="001471ED">
                        <w:pPr>
                          <w:jc w:val="center"/>
                          <w:rPr>
                            <w:rFonts w:ascii="Calibri" w:hAnsi="Calibri" w:cs="Calibri"/>
                            <w:b/>
                            <w:sz w:val="18"/>
                            <w:szCs w:val="18"/>
                          </w:rPr>
                        </w:pPr>
                        <w:r w:rsidRPr="009F1859">
                          <w:rPr>
                            <w:rFonts w:ascii="Calibri" w:hAnsi="Calibri" w:cs="Calibri"/>
                            <w:b/>
                            <w:sz w:val="18"/>
                            <w:szCs w:val="18"/>
                          </w:rPr>
                          <w:t>Komentář</w:t>
                        </w:r>
                      </w:p>
                    </w:tc>
                  </w:tr>
                  <w:tr w:rsidR="001471ED" w:rsidRPr="001471ED" w:rsidTr="00C55ACB">
                    <w:trPr>
                      <w:gridAfter w:val="11"/>
                      <w:wAfter w:w="3104" w:type="dxa"/>
                      <w:trHeight w:val="253"/>
                    </w:trPr>
                    <w:tc>
                      <w:tcPr>
                        <w:tcW w:w="2192" w:type="dxa"/>
                        <w:gridSpan w:val="6"/>
                        <w:tcBorders>
                          <w:top w:val="single" w:sz="4" w:space="0" w:color="auto"/>
                          <w:left w:val="single" w:sz="4" w:space="0" w:color="auto"/>
                          <w:bottom w:val="single" w:sz="4" w:space="0" w:color="auto"/>
                          <w:right w:val="single" w:sz="4" w:space="0" w:color="auto"/>
                        </w:tcBorders>
                        <w:vAlign w:val="center"/>
                      </w:tcPr>
                      <w:p w:rsidR="001471ED" w:rsidRPr="009F1859" w:rsidRDefault="001471ED" w:rsidP="001471ED">
                        <w:pPr>
                          <w:jc w:val="right"/>
                          <w:rPr>
                            <w:rFonts w:ascii="Calibri" w:hAnsi="Calibri" w:cs="Calibri"/>
                            <w:b/>
                            <w:sz w:val="18"/>
                            <w:szCs w:val="18"/>
                          </w:rPr>
                        </w:pPr>
                        <w:r w:rsidRPr="009F1859">
                          <w:rPr>
                            <w:rFonts w:ascii="Calibri" w:hAnsi="Calibri" w:cs="Calibri"/>
                            <w:b/>
                            <w:sz w:val="18"/>
                            <w:szCs w:val="18"/>
                          </w:rPr>
                          <w:t>230,95</w:t>
                        </w:r>
                      </w:p>
                    </w:tc>
                    <w:tc>
                      <w:tcPr>
                        <w:tcW w:w="1709" w:type="dxa"/>
                        <w:gridSpan w:val="6"/>
                        <w:tcBorders>
                          <w:top w:val="single" w:sz="4" w:space="0" w:color="auto"/>
                          <w:left w:val="single" w:sz="4" w:space="0" w:color="auto"/>
                          <w:bottom w:val="single" w:sz="4" w:space="0" w:color="auto"/>
                          <w:right w:val="single" w:sz="4" w:space="0" w:color="auto"/>
                        </w:tcBorders>
                        <w:vAlign w:val="center"/>
                      </w:tcPr>
                      <w:p w:rsidR="001471ED" w:rsidRPr="009F1859" w:rsidRDefault="001471ED" w:rsidP="001471ED">
                        <w:pPr>
                          <w:jc w:val="right"/>
                          <w:rPr>
                            <w:rFonts w:ascii="Calibri" w:hAnsi="Calibri" w:cs="Calibri"/>
                            <w:b/>
                            <w:sz w:val="18"/>
                            <w:szCs w:val="18"/>
                          </w:rPr>
                        </w:pPr>
                        <w:r w:rsidRPr="009F1859">
                          <w:rPr>
                            <w:rFonts w:ascii="Calibri" w:hAnsi="Calibri" w:cs="Calibri"/>
                            <w:b/>
                            <w:sz w:val="18"/>
                            <w:szCs w:val="18"/>
                          </w:rPr>
                          <w:t>277,10</w:t>
                        </w:r>
                      </w:p>
                    </w:tc>
                    <w:tc>
                      <w:tcPr>
                        <w:tcW w:w="2549" w:type="dxa"/>
                        <w:gridSpan w:val="14"/>
                        <w:tcBorders>
                          <w:top w:val="single" w:sz="4" w:space="0" w:color="auto"/>
                          <w:left w:val="single" w:sz="4" w:space="0" w:color="auto"/>
                          <w:bottom w:val="single" w:sz="4" w:space="0" w:color="auto"/>
                          <w:right w:val="single" w:sz="4" w:space="0" w:color="auto"/>
                        </w:tcBorders>
                        <w:vAlign w:val="center"/>
                      </w:tcPr>
                      <w:p w:rsidR="001471ED" w:rsidRPr="009F1859" w:rsidRDefault="001471ED" w:rsidP="00B95530">
                        <w:pPr>
                          <w:jc w:val="center"/>
                          <w:rPr>
                            <w:rFonts w:ascii="Calibri" w:hAnsi="Calibri" w:cs="Calibri"/>
                            <w:b/>
                            <w:sz w:val="18"/>
                            <w:szCs w:val="18"/>
                          </w:rPr>
                        </w:pPr>
                        <w:r w:rsidRPr="009F1859">
                          <w:rPr>
                            <w:rFonts w:ascii="Calibri" w:hAnsi="Calibri" w:cs="Calibri"/>
                            <w:b/>
                            <w:sz w:val="18"/>
                            <w:szCs w:val="18"/>
                          </w:rPr>
                          <w:t>120,00</w:t>
                        </w:r>
                      </w:p>
                    </w:tc>
                    <w:tc>
                      <w:tcPr>
                        <w:tcW w:w="2688" w:type="dxa"/>
                        <w:gridSpan w:val="20"/>
                        <w:tcBorders>
                          <w:top w:val="single" w:sz="4" w:space="0" w:color="auto"/>
                          <w:left w:val="single" w:sz="4" w:space="0" w:color="auto"/>
                          <w:bottom w:val="single" w:sz="4" w:space="0" w:color="auto"/>
                          <w:right w:val="single" w:sz="4" w:space="0" w:color="auto"/>
                        </w:tcBorders>
                        <w:vAlign w:val="center"/>
                      </w:tcPr>
                      <w:p w:rsidR="001471ED" w:rsidRPr="009F1859" w:rsidRDefault="001471ED" w:rsidP="001471ED">
                        <w:pPr>
                          <w:rPr>
                            <w:rFonts w:ascii="Calibri" w:hAnsi="Calibri" w:cs="Calibri"/>
                            <w:b/>
                            <w:sz w:val="18"/>
                            <w:szCs w:val="18"/>
                          </w:rPr>
                        </w:pPr>
                        <w:r w:rsidRPr="009F1859">
                          <w:rPr>
                            <w:rFonts w:ascii="Calibri" w:hAnsi="Calibri" w:cs="Calibri"/>
                            <w:b/>
                            <w:sz w:val="18"/>
                            <w:szCs w:val="18"/>
                          </w:rPr>
                          <w:t>Příjmy před konsolidací</w:t>
                        </w:r>
                      </w:p>
                    </w:tc>
                  </w:tr>
                  <w:tr w:rsidR="001471ED" w:rsidRPr="001471ED" w:rsidTr="00C55ACB">
                    <w:trPr>
                      <w:gridAfter w:val="11"/>
                      <w:wAfter w:w="3104" w:type="dxa"/>
                      <w:trHeight w:val="253"/>
                    </w:trPr>
                    <w:tc>
                      <w:tcPr>
                        <w:tcW w:w="2192" w:type="dxa"/>
                        <w:gridSpan w:val="6"/>
                        <w:tcBorders>
                          <w:top w:val="single" w:sz="4" w:space="0" w:color="auto"/>
                          <w:left w:val="single" w:sz="4" w:space="0" w:color="auto"/>
                          <w:bottom w:val="single" w:sz="4" w:space="0" w:color="auto"/>
                          <w:right w:val="single" w:sz="4" w:space="0" w:color="auto"/>
                        </w:tcBorders>
                        <w:vAlign w:val="center"/>
                      </w:tcPr>
                      <w:p w:rsidR="001471ED" w:rsidRPr="009F1859" w:rsidRDefault="001471ED" w:rsidP="001471ED">
                        <w:pPr>
                          <w:jc w:val="right"/>
                          <w:rPr>
                            <w:rFonts w:ascii="Calibri" w:hAnsi="Calibri" w:cs="Calibri"/>
                            <w:b/>
                            <w:sz w:val="18"/>
                            <w:szCs w:val="18"/>
                          </w:rPr>
                        </w:pPr>
                        <w:r w:rsidRPr="009F1859">
                          <w:rPr>
                            <w:rFonts w:ascii="Calibri" w:hAnsi="Calibri" w:cs="Calibri"/>
                            <w:b/>
                            <w:sz w:val="18"/>
                            <w:szCs w:val="18"/>
                          </w:rPr>
                          <w:t>230,95</w:t>
                        </w:r>
                      </w:p>
                    </w:tc>
                    <w:tc>
                      <w:tcPr>
                        <w:tcW w:w="1709" w:type="dxa"/>
                        <w:gridSpan w:val="6"/>
                        <w:tcBorders>
                          <w:top w:val="single" w:sz="4" w:space="0" w:color="auto"/>
                          <w:left w:val="single" w:sz="4" w:space="0" w:color="auto"/>
                          <w:bottom w:val="single" w:sz="4" w:space="0" w:color="auto"/>
                          <w:right w:val="single" w:sz="4" w:space="0" w:color="auto"/>
                        </w:tcBorders>
                        <w:vAlign w:val="center"/>
                      </w:tcPr>
                      <w:p w:rsidR="001471ED" w:rsidRPr="009F1859" w:rsidRDefault="001471ED" w:rsidP="001471ED">
                        <w:pPr>
                          <w:jc w:val="right"/>
                          <w:rPr>
                            <w:rFonts w:ascii="Calibri" w:hAnsi="Calibri" w:cs="Calibri"/>
                            <w:b/>
                            <w:sz w:val="18"/>
                            <w:szCs w:val="18"/>
                          </w:rPr>
                        </w:pPr>
                        <w:r w:rsidRPr="009F1859">
                          <w:rPr>
                            <w:rFonts w:ascii="Calibri" w:hAnsi="Calibri" w:cs="Calibri"/>
                            <w:b/>
                            <w:sz w:val="18"/>
                            <w:szCs w:val="18"/>
                          </w:rPr>
                          <w:t>277,10</w:t>
                        </w:r>
                      </w:p>
                    </w:tc>
                    <w:tc>
                      <w:tcPr>
                        <w:tcW w:w="2549" w:type="dxa"/>
                        <w:gridSpan w:val="14"/>
                        <w:tcBorders>
                          <w:top w:val="single" w:sz="4" w:space="0" w:color="auto"/>
                          <w:left w:val="single" w:sz="4" w:space="0" w:color="auto"/>
                          <w:bottom w:val="single" w:sz="4" w:space="0" w:color="auto"/>
                          <w:right w:val="single" w:sz="4" w:space="0" w:color="auto"/>
                        </w:tcBorders>
                        <w:vAlign w:val="center"/>
                      </w:tcPr>
                      <w:p w:rsidR="001471ED" w:rsidRPr="009F1859" w:rsidRDefault="001471ED" w:rsidP="00B95530">
                        <w:pPr>
                          <w:jc w:val="center"/>
                          <w:rPr>
                            <w:rFonts w:ascii="Calibri" w:hAnsi="Calibri" w:cs="Calibri"/>
                            <w:b/>
                            <w:sz w:val="18"/>
                            <w:szCs w:val="18"/>
                          </w:rPr>
                        </w:pPr>
                        <w:r w:rsidRPr="009F1859">
                          <w:rPr>
                            <w:rFonts w:ascii="Calibri" w:hAnsi="Calibri" w:cs="Calibri"/>
                            <w:b/>
                            <w:sz w:val="18"/>
                            <w:szCs w:val="18"/>
                          </w:rPr>
                          <w:t>120,00</w:t>
                        </w:r>
                      </w:p>
                    </w:tc>
                    <w:tc>
                      <w:tcPr>
                        <w:tcW w:w="2688" w:type="dxa"/>
                        <w:gridSpan w:val="20"/>
                        <w:tcBorders>
                          <w:top w:val="single" w:sz="4" w:space="0" w:color="auto"/>
                          <w:left w:val="single" w:sz="4" w:space="0" w:color="auto"/>
                          <w:bottom w:val="single" w:sz="4" w:space="0" w:color="auto"/>
                          <w:right w:val="single" w:sz="4" w:space="0" w:color="auto"/>
                        </w:tcBorders>
                        <w:vAlign w:val="center"/>
                      </w:tcPr>
                      <w:p w:rsidR="001471ED" w:rsidRPr="009F1859" w:rsidRDefault="001471ED" w:rsidP="001471ED">
                        <w:pPr>
                          <w:rPr>
                            <w:rFonts w:ascii="Calibri" w:hAnsi="Calibri" w:cs="Calibri"/>
                            <w:b/>
                            <w:sz w:val="18"/>
                            <w:szCs w:val="18"/>
                          </w:rPr>
                        </w:pPr>
                        <w:r w:rsidRPr="009F1859">
                          <w:rPr>
                            <w:rFonts w:ascii="Calibri" w:hAnsi="Calibri" w:cs="Calibri"/>
                            <w:b/>
                            <w:sz w:val="18"/>
                            <w:szCs w:val="18"/>
                          </w:rPr>
                          <w:t>Příjmy po konsolidaci</w:t>
                        </w:r>
                      </w:p>
                    </w:tc>
                  </w:tr>
                  <w:tr w:rsidR="001471ED" w:rsidRPr="001471ED" w:rsidTr="00B95530">
                    <w:trPr>
                      <w:gridAfter w:val="2"/>
                      <w:wAfter w:w="1518" w:type="dxa"/>
                      <w:trHeight w:val="243"/>
                    </w:trPr>
                    <w:tc>
                      <w:tcPr>
                        <w:tcW w:w="362" w:type="dxa"/>
                        <w:tcBorders>
                          <w:top w:val="single" w:sz="4" w:space="0" w:color="auto"/>
                        </w:tcBorders>
                      </w:tcPr>
                      <w:p w:rsidR="001471ED" w:rsidRPr="001471ED" w:rsidRDefault="001471ED" w:rsidP="001471ED">
                        <w:pPr>
                          <w:rPr>
                            <w:rFonts w:asciiTheme="minorHAnsi" w:hAnsiTheme="minorHAnsi" w:cstheme="minorHAnsi"/>
                            <w:b/>
                            <w:sz w:val="20"/>
                            <w:szCs w:val="20"/>
                          </w:rPr>
                        </w:pPr>
                      </w:p>
                    </w:tc>
                    <w:tc>
                      <w:tcPr>
                        <w:tcW w:w="407" w:type="dxa"/>
                        <w:tcBorders>
                          <w:top w:val="single" w:sz="4" w:space="0" w:color="auto"/>
                        </w:tcBorders>
                      </w:tcPr>
                      <w:p w:rsidR="001471ED" w:rsidRPr="001471ED" w:rsidRDefault="001471ED" w:rsidP="001471ED">
                        <w:pPr>
                          <w:rPr>
                            <w:rFonts w:asciiTheme="minorHAnsi" w:hAnsiTheme="minorHAnsi" w:cstheme="minorHAnsi"/>
                            <w:b/>
                            <w:sz w:val="20"/>
                            <w:szCs w:val="20"/>
                          </w:rPr>
                        </w:pPr>
                      </w:p>
                    </w:tc>
                    <w:tc>
                      <w:tcPr>
                        <w:tcW w:w="325" w:type="dxa"/>
                        <w:tcBorders>
                          <w:top w:val="single" w:sz="4" w:space="0" w:color="auto"/>
                        </w:tcBorders>
                      </w:tcPr>
                      <w:p w:rsidR="001471ED" w:rsidRPr="001471ED" w:rsidRDefault="001471ED" w:rsidP="001471ED">
                        <w:pPr>
                          <w:rPr>
                            <w:rFonts w:asciiTheme="minorHAnsi" w:hAnsiTheme="minorHAnsi" w:cstheme="minorHAnsi"/>
                            <w:b/>
                            <w:sz w:val="20"/>
                            <w:szCs w:val="20"/>
                          </w:rPr>
                        </w:pPr>
                      </w:p>
                    </w:tc>
                    <w:tc>
                      <w:tcPr>
                        <w:tcW w:w="1098" w:type="dxa"/>
                        <w:gridSpan w:val="3"/>
                        <w:tcBorders>
                          <w:top w:val="single" w:sz="4" w:space="0" w:color="auto"/>
                        </w:tcBorders>
                      </w:tcPr>
                      <w:p w:rsidR="001471ED" w:rsidRPr="001471ED" w:rsidRDefault="001471ED" w:rsidP="001471ED">
                        <w:pPr>
                          <w:rPr>
                            <w:rFonts w:asciiTheme="minorHAnsi" w:hAnsiTheme="minorHAnsi" w:cstheme="minorHAnsi"/>
                            <w:b/>
                            <w:sz w:val="20"/>
                            <w:szCs w:val="20"/>
                          </w:rPr>
                        </w:pPr>
                      </w:p>
                    </w:tc>
                    <w:tc>
                      <w:tcPr>
                        <w:tcW w:w="160" w:type="dxa"/>
                        <w:gridSpan w:val="2"/>
                        <w:tcBorders>
                          <w:top w:val="single" w:sz="4" w:space="0" w:color="auto"/>
                        </w:tcBorders>
                      </w:tcPr>
                      <w:p w:rsidR="001471ED" w:rsidRPr="001471ED" w:rsidRDefault="001471ED" w:rsidP="001471ED">
                        <w:pPr>
                          <w:rPr>
                            <w:rFonts w:asciiTheme="minorHAnsi" w:hAnsiTheme="minorHAnsi" w:cstheme="minorHAnsi"/>
                            <w:b/>
                            <w:sz w:val="20"/>
                            <w:szCs w:val="20"/>
                          </w:rPr>
                        </w:pPr>
                      </w:p>
                    </w:tc>
                    <w:tc>
                      <w:tcPr>
                        <w:tcW w:w="370" w:type="dxa"/>
                        <w:tcBorders>
                          <w:top w:val="single" w:sz="4" w:space="0" w:color="auto"/>
                        </w:tcBorders>
                      </w:tcPr>
                      <w:p w:rsidR="001471ED" w:rsidRPr="001471ED" w:rsidRDefault="001471ED" w:rsidP="001471ED">
                        <w:pPr>
                          <w:rPr>
                            <w:rFonts w:asciiTheme="minorHAnsi" w:hAnsiTheme="minorHAnsi" w:cstheme="minorHAnsi"/>
                            <w:b/>
                            <w:sz w:val="20"/>
                            <w:szCs w:val="20"/>
                          </w:rPr>
                        </w:pPr>
                      </w:p>
                    </w:tc>
                    <w:tc>
                      <w:tcPr>
                        <w:tcW w:w="667" w:type="dxa"/>
                        <w:gridSpan w:val="2"/>
                        <w:tcBorders>
                          <w:top w:val="single" w:sz="4" w:space="0" w:color="auto"/>
                        </w:tcBorders>
                      </w:tcPr>
                      <w:p w:rsidR="001471ED" w:rsidRPr="001471ED" w:rsidRDefault="001471ED" w:rsidP="001471ED">
                        <w:pPr>
                          <w:rPr>
                            <w:rFonts w:asciiTheme="minorHAnsi" w:hAnsiTheme="minorHAnsi" w:cstheme="minorHAnsi"/>
                            <w:b/>
                            <w:sz w:val="20"/>
                            <w:szCs w:val="20"/>
                          </w:rPr>
                        </w:pPr>
                      </w:p>
                    </w:tc>
                    <w:tc>
                      <w:tcPr>
                        <w:tcW w:w="1421" w:type="dxa"/>
                        <w:gridSpan w:val="4"/>
                        <w:tcBorders>
                          <w:top w:val="single" w:sz="4" w:space="0" w:color="auto"/>
                        </w:tcBorders>
                      </w:tcPr>
                      <w:p w:rsidR="001471ED" w:rsidRPr="001471ED" w:rsidRDefault="001471ED" w:rsidP="001471ED">
                        <w:pPr>
                          <w:rPr>
                            <w:rFonts w:asciiTheme="minorHAnsi" w:hAnsiTheme="minorHAnsi" w:cstheme="minorHAnsi"/>
                            <w:b/>
                            <w:sz w:val="20"/>
                            <w:szCs w:val="20"/>
                          </w:rPr>
                        </w:pPr>
                      </w:p>
                    </w:tc>
                    <w:tc>
                      <w:tcPr>
                        <w:tcW w:w="160" w:type="dxa"/>
                        <w:gridSpan w:val="2"/>
                        <w:tcBorders>
                          <w:top w:val="single" w:sz="4" w:space="0" w:color="auto"/>
                        </w:tcBorders>
                      </w:tcPr>
                      <w:p w:rsidR="001471ED" w:rsidRPr="001471ED" w:rsidRDefault="001471ED" w:rsidP="001471ED">
                        <w:pPr>
                          <w:rPr>
                            <w:rFonts w:asciiTheme="minorHAnsi" w:hAnsiTheme="minorHAnsi" w:cstheme="minorHAnsi"/>
                            <w:b/>
                            <w:sz w:val="20"/>
                            <w:szCs w:val="20"/>
                          </w:rPr>
                        </w:pPr>
                      </w:p>
                    </w:tc>
                    <w:tc>
                      <w:tcPr>
                        <w:tcW w:w="320" w:type="dxa"/>
                        <w:gridSpan w:val="2"/>
                        <w:tcBorders>
                          <w:top w:val="single" w:sz="4" w:space="0" w:color="auto"/>
                        </w:tcBorders>
                      </w:tcPr>
                      <w:p w:rsidR="001471ED" w:rsidRPr="001471ED" w:rsidRDefault="001471ED" w:rsidP="001471ED">
                        <w:pPr>
                          <w:rPr>
                            <w:rFonts w:asciiTheme="minorHAnsi" w:hAnsiTheme="minorHAnsi" w:cstheme="minorHAnsi"/>
                            <w:b/>
                            <w:sz w:val="20"/>
                            <w:szCs w:val="20"/>
                          </w:rPr>
                        </w:pPr>
                      </w:p>
                    </w:tc>
                    <w:tc>
                      <w:tcPr>
                        <w:tcW w:w="420" w:type="dxa"/>
                        <w:gridSpan w:val="3"/>
                        <w:tcBorders>
                          <w:top w:val="single" w:sz="4" w:space="0" w:color="auto"/>
                        </w:tcBorders>
                      </w:tcPr>
                      <w:p w:rsidR="001471ED" w:rsidRPr="001471ED" w:rsidRDefault="001471ED" w:rsidP="001471ED">
                        <w:pPr>
                          <w:rPr>
                            <w:rFonts w:asciiTheme="minorHAnsi" w:hAnsiTheme="minorHAnsi" w:cstheme="minorHAnsi"/>
                            <w:b/>
                            <w:sz w:val="20"/>
                            <w:szCs w:val="20"/>
                          </w:rPr>
                        </w:pPr>
                      </w:p>
                    </w:tc>
                    <w:tc>
                      <w:tcPr>
                        <w:tcW w:w="378" w:type="dxa"/>
                        <w:gridSpan w:val="2"/>
                        <w:tcBorders>
                          <w:top w:val="single" w:sz="4" w:space="0" w:color="auto"/>
                        </w:tcBorders>
                      </w:tcPr>
                      <w:p w:rsidR="001471ED" w:rsidRPr="001471ED" w:rsidRDefault="001471ED" w:rsidP="001471ED">
                        <w:pPr>
                          <w:rPr>
                            <w:rFonts w:asciiTheme="minorHAnsi" w:hAnsiTheme="minorHAnsi" w:cstheme="minorHAnsi"/>
                            <w:b/>
                            <w:sz w:val="20"/>
                            <w:szCs w:val="20"/>
                          </w:rPr>
                        </w:pPr>
                      </w:p>
                    </w:tc>
                    <w:tc>
                      <w:tcPr>
                        <w:tcW w:w="362" w:type="dxa"/>
                        <w:gridSpan w:val="2"/>
                        <w:tcBorders>
                          <w:top w:val="single" w:sz="4" w:space="0" w:color="auto"/>
                        </w:tcBorders>
                      </w:tcPr>
                      <w:p w:rsidR="001471ED" w:rsidRPr="001471ED" w:rsidRDefault="001471ED" w:rsidP="001471ED">
                        <w:pPr>
                          <w:rPr>
                            <w:rFonts w:asciiTheme="minorHAnsi" w:hAnsiTheme="minorHAnsi" w:cstheme="minorHAnsi"/>
                            <w:b/>
                            <w:sz w:val="20"/>
                            <w:szCs w:val="20"/>
                          </w:rPr>
                        </w:pPr>
                      </w:p>
                    </w:tc>
                    <w:tc>
                      <w:tcPr>
                        <w:tcW w:w="369" w:type="dxa"/>
                        <w:gridSpan w:val="3"/>
                        <w:tcBorders>
                          <w:top w:val="single" w:sz="4" w:space="0" w:color="auto"/>
                        </w:tcBorders>
                      </w:tcPr>
                      <w:p w:rsidR="001471ED" w:rsidRPr="001471ED" w:rsidRDefault="001471ED" w:rsidP="001471ED">
                        <w:pPr>
                          <w:rPr>
                            <w:rFonts w:asciiTheme="minorHAnsi" w:hAnsiTheme="minorHAnsi" w:cstheme="minorHAnsi"/>
                            <w:b/>
                            <w:sz w:val="20"/>
                            <w:szCs w:val="20"/>
                          </w:rPr>
                        </w:pPr>
                      </w:p>
                    </w:tc>
                    <w:tc>
                      <w:tcPr>
                        <w:tcW w:w="369" w:type="dxa"/>
                        <w:gridSpan w:val="3"/>
                        <w:tcBorders>
                          <w:top w:val="single" w:sz="4" w:space="0" w:color="auto"/>
                        </w:tcBorders>
                      </w:tcPr>
                      <w:p w:rsidR="001471ED" w:rsidRPr="001471ED" w:rsidRDefault="001471ED" w:rsidP="001471ED">
                        <w:pPr>
                          <w:rPr>
                            <w:rFonts w:asciiTheme="minorHAnsi" w:hAnsiTheme="minorHAnsi" w:cstheme="minorHAnsi"/>
                            <w:b/>
                            <w:sz w:val="20"/>
                            <w:szCs w:val="20"/>
                          </w:rPr>
                        </w:pPr>
                      </w:p>
                    </w:tc>
                    <w:tc>
                      <w:tcPr>
                        <w:tcW w:w="369" w:type="dxa"/>
                        <w:gridSpan w:val="3"/>
                        <w:tcBorders>
                          <w:top w:val="single" w:sz="4" w:space="0" w:color="auto"/>
                        </w:tcBorders>
                      </w:tcPr>
                      <w:p w:rsidR="001471ED" w:rsidRPr="001471ED" w:rsidRDefault="001471ED" w:rsidP="001471ED">
                        <w:pPr>
                          <w:rPr>
                            <w:rFonts w:asciiTheme="minorHAnsi" w:hAnsiTheme="minorHAnsi" w:cstheme="minorHAnsi"/>
                            <w:b/>
                            <w:sz w:val="20"/>
                            <w:szCs w:val="20"/>
                          </w:rPr>
                        </w:pPr>
                      </w:p>
                    </w:tc>
                    <w:tc>
                      <w:tcPr>
                        <w:tcW w:w="369" w:type="dxa"/>
                        <w:gridSpan w:val="3"/>
                        <w:tcBorders>
                          <w:top w:val="single" w:sz="4" w:space="0" w:color="auto"/>
                        </w:tcBorders>
                      </w:tcPr>
                      <w:p w:rsidR="001471ED" w:rsidRPr="001471ED" w:rsidRDefault="001471ED" w:rsidP="001471ED">
                        <w:pPr>
                          <w:rPr>
                            <w:rFonts w:asciiTheme="minorHAnsi" w:hAnsiTheme="minorHAnsi" w:cstheme="minorHAnsi"/>
                            <w:b/>
                            <w:sz w:val="20"/>
                            <w:szCs w:val="20"/>
                          </w:rPr>
                        </w:pPr>
                      </w:p>
                    </w:tc>
                    <w:tc>
                      <w:tcPr>
                        <w:tcW w:w="369" w:type="dxa"/>
                        <w:gridSpan w:val="3"/>
                        <w:tcBorders>
                          <w:top w:val="single" w:sz="4" w:space="0" w:color="auto"/>
                        </w:tcBorders>
                      </w:tcPr>
                      <w:p w:rsidR="001471ED" w:rsidRPr="001471ED" w:rsidRDefault="001471ED" w:rsidP="001471ED">
                        <w:pPr>
                          <w:rPr>
                            <w:rFonts w:asciiTheme="minorHAnsi" w:hAnsiTheme="minorHAnsi" w:cstheme="minorHAnsi"/>
                            <w:b/>
                            <w:sz w:val="20"/>
                            <w:szCs w:val="20"/>
                          </w:rPr>
                        </w:pPr>
                      </w:p>
                    </w:tc>
                    <w:tc>
                      <w:tcPr>
                        <w:tcW w:w="369" w:type="dxa"/>
                        <w:gridSpan w:val="3"/>
                        <w:tcBorders>
                          <w:top w:val="single" w:sz="4" w:space="0" w:color="auto"/>
                        </w:tcBorders>
                      </w:tcPr>
                      <w:p w:rsidR="001471ED" w:rsidRPr="001471ED" w:rsidRDefault="001471ED" w:rsidP="001471ED">
                        <w:pPr>
                          <w:rPr>
                            <w:rFonts w:asciiTheme="minorHAnsi" w:hAnsiTheme="minorHAnsi" w:cstheme="minorHAnsi"/>
                            <w:b/>
                            <w:sz w:val="20"/>
                            <w:szCs w:val="20"/>
                          </w:rPr>
                        </w:pPr>
                      </w:p>
                    </w:tc>
                    <w:tc>
                      <w:tcPr>
                        <w:tcW w:w="2060" w:type="dxa"/>
                        <w:gridSpan w:val="11"/>
                        <w:tcBorders>
                          <w:top w:val="single" w:sz="4" w:space="0" w:color="auto"/>
                        </w:tcBorders>
                      </w:tcPr>
                      <w:p w:rsidR="001471ED" w:rsidRPr="001471ED" w:rsidRDefault="001471ED" w:rsidP="001471ED">
                        <w:pPr>
                          <w:rPr>
                            <w:rFonts w:asciiTheme="minorHAnsi" w:hAnsiTheme="minorHAnsi" w:cstheme="minorHAnsi"/>
                            <w:b/>
                            <w:sz w:val="20"/>
                            <w:szCs w:val="20"/>
                          </w:rPr>
                        </w:pPr>
                      </w:p>
                    </w:tc>
                  </w:tr>
                  <w:tr w:rsidR="001471ED" w:rsidRPr="001471ED" w:rsidTr="00B95530">
                    <w:trPr>
                      <w:gridAfter w:val="11"/>
                      <w:wAfter w:w="3104" w:type="dxa"/>
                      <w:trHeight w:val="253"/>
                    </w:trPr>
                    <w:tc>
                      <w:tcPr>
                        <w:tcW w:w="9138" w:type="dxa"/>
                        <w:gridSpan w:val="46"/>
                      </w:tcPr>
                      <w:p w:rsidR="001471ED" w:rsidRPr="001471ED" w:rsidRDefault="001471ED" w:rsidP="001471ED">
                        <w:pPr>
                          <w:rPr>
                            <w:rFonts w:asciiTheme="minorHAnsi" w:hAnsiTheme="minorHAnsi" w:cstheme="minorHAnsi"/>
                            <w:b/>
                            <w:sz w:val="20"/>
                            <w:szCs w:val="20"/>
                          </w:rPr>
                        </w:pPr>
                        <w:r w:rsidRPr="001471ED">
                          <w:rPr>
                            <w:rFonts w:asciiTheme="minorHAnsi" w:hAnsiTheme="minorHAnsi" w:cstheme="minorHAnsi"/>
                            <w:b/>
                            <w:sz w:val="20"/>
                            <w:szCs w:val="20"/>
                          </w:rPr>
                          <w:t>Stručný komentář k celkovému vývoji plnění příjmů kapitoly ve sledovaném období</w:t>
                        </w:r>
                      </w:p>
                    </w:tc>
                  </w:tr>
                  <w:tr w:rsidR="001471ED" w:rsidRPr="001471ED" w:rsidTr="00C55ACB">
                    <w:trPr>
                      <w:gridAfter w:val="5"/>
                      <w:wAfter w:w="2008" w:type="dxa"/>
                      <w:trHeight w:val="243"/>
                    </w:trPr>
                    <w:tc>
                      <w:tcPr>
                        <w:tcW w:w="362" w:type="dxa"/>
                      </w:tcPr>
                      <w:p w:rsidR="001471ED" w:rsidRPr="001471ED" w:rsidRDefault="001471ED" w:rsidP="001471ED">
                        <w:pPr>
                          <w:rPr>
                            <w:rFonts w:asciiTheme="minorHAnsi" w:hAnsiTheme="minorHAnsi" w:cstheme="minorHAnsi"/>
                            <w:b/>
                            <w:sz w:val="20"/>
                            <w:szCs w:val="20"/>
                          </w:rPr>
                        </w:pPr>
                      </w:p>
                    </w:tc>
                    <w:tc>
                      <w:tcPr>
                        <w:tcW w:w="407" w:type="dxa"/>
                      </w:tcPr>
                      <w:p w:rsidR="001471ED" w:rsidRPr="001471ED" w:rsidRDefault="001471ED" w:rsidP="001471ED">
                        <w:pPr>
                          <w:rPr>
                            <w:rFonts w:asciiTheme="minorHAnsi" w:hAnsiTheme="minorHAnsi" w:cstheme="minorHAnsi"/>
                            <w:b/>
                            <w:sz w:val="20"/>
                            <w:szCs w:val="20"/>
                          </w:rPr>
                        </w:pPr>
                      </w:p>
                    </w:tc>
                    <w:tc>
                      <w:tcPr>
                        <w:tcW w:w="325" w:type="dxa"/>
                      </w:tcPr>
                      <w:p w:rsidR="001471ED" w:rsidRPr="001471ED" w:rsidRDefault="001471ED" w:rsidP="001471ED">
                        <w:pPr>
                          <w:rPr>
                            <w:rFonts w:asciiTheme="minorHAnsi" w:hAnsiTheme="minorHAnsi" w:cstheme="minorHAnsi"/>
                            <w:b/>
                            <w:sz w:val="20"/>
                            <w:szCs w:val="20"/>
                          </w:rPr>
                        </w:pPr>
                      </w:p>
                    </w:tc>
                    <w:tc>
                      <w:tcPr>
                        <w:tcW w:w="390" w:type="dxa"/>
                      </w:tcPr>
                      <w:p w:rsidR="001471ED" w:rsidRPr="001471ED" w:rsidRDefault="001471ED" w:rsidP="001471ED">
                        <w:pPr>
                          <w:rPr>
                            <w:rFonts w:asciiTheme="minorHAnsi" w:hAnsiTheme="minorHAnsi" w:cstheme="minorHAnsi"/>
                            <w:b/>
                            <w:sz w:val="20"/>
                            <w:szCs w:val="20"/>
                          </w:rPr>
                        </w:pPr>
                      </w:p>
                    </w:tc>
                    <w:tc>
                      <w:tcPr>
                        <w:tcW w:w="373" w:type="dxa"/>
                      </w:tcPr>
                      <w:p w:rsidR="001471ED" w:rsidRPr="001471ED" w:rsidRDefault="001471ED" w:rsidP="001471ED">
                        <w:pPr>
                          <w:rPr>
                            <w:rFonts w:asciiTheme="minorHAnsi" w:hAnsiTheme="minorHAnsi" w:cstheme="minorHAnsi"/>
                            <w:b/>
                            <w:sz w:val="20"/>
                            <w:szCs w:val="20"/>
                          </w:rPr>
                        </w:pPr>
                      </w:p>
                    </w:tc>
                    <w:tc>
                      <w:tcPr>
                        <w:tcW w:w="370" w:type="dxa"/>
                        <w:gridSpan w:val="2"/>
                      </w:tcPr>
                      <w:p w:rsidR="001471ED" w:rsidRPr="001471ED" w:rsidRDefault="001471ED" w:rsidP="001471ED">
                        <w:pPr>
                          <w:rPr>
                            <w:rFonts w:asciiTheme="minorHAnsi" w:hAnsiTheme="minorHAnsi" w:cstheme="minorHAnsi"/>
                            <w:b/>
                            <w:sz w:val="20"/>
                            <w:szCs w:val="20"/>
                          </w:rPr>
                        </w:pPr>
                      </w:p>
                    </w:tc>
                    <w:tc>
                      <w:tcPr>
                        <w:tcW w:w="816" w:type="dxa"/>
                        <w:gridSpan w:val="3"/>
                      </w:tcPr>
                      <w:p w:rsidR="001471ED" w:rsidRPr="001471ED" w:rsidRDefault="001471ED" w:rsidP="001471ED">
                        <w:pPr>
                          <w:rPr>
                            <w:rFonts w:asciiTheme="minorHAnsi" w:hAnsiTheme="minorHAnsi" w:cstheme="minorHAnsi"/>
                            <w:b/>
                            <w:sz w:val="20"/>
                            <w:szCs w:val="20"/>
                          </w:rPr>
                        </w:pPr>
                      </w:p>
                    </w:tc>
                    <w:tc>
                      <w:tcPr>
                        <w:tcW w:w="858" w:type="dxa"/>
                        <w:gridSpan w:val="2"/>
                      </w:tcPr>
                      <w:p w:rsidR="001471ED" w:rsidRPr="001471ED" w:rsidRDefault="001471ED" w:rsidP="001471ED">
                        <w:pPr>
                          <w:rPr>
                            <w:rFonts w:asciiTheme="minorHAnsi" w:hAnsiTheme="minorHAnsi" w:cstheme="minorHAnsi"/>
                            <w:b/>
                            <w:sz w:val="20"/>
                            <w:szCs w:val="20"/>
                          </w:rPr>
                        </w:pPr>
                      </w:p>
                    </w:tc>
                    <w:tc>
                      <w:tcPr>
                        <w:tcW w:w="705" w:type="dxa"/>
                      </w:tcPr>
                      <w:p w:rsidR="001471ED" w:rsidRPr="001471ED" w:rsidRDefault="001471ED" w:rsidP="001471ED">
                        <w:pPr>
                          <w:rPr>
                            <w:rFonts w:asciiTheme="minorHAnsi" w:hAnsiTheme="minorHAnsi" w:cstheme="minorHAnsi"/>
                            <w:b/>
                            <w:sz w:val="20"/>
                            <w:szCs w:val="20"/>
                          </w:rPr>
                        </w:pPr>
                      </w:p>
                    </w:tc>
                    <w:tc>
                      <w:tcPr>
                        <w:tcW w:w="189" w:type="dxa"/>
                      </w:tcPr>
                      <w:p w:rsidR="001471ED" w:rsidRPr="001471ED" w:rsidRDefault="001471ED" w:rsidP="001471ED">
                        <w:pPr>
                          <w:rPr>
                            <w:rFonts w:asciiTheme="minorHAnsi" w:hAnsiTheme="minorHAnsi" w:cstheme="minorHAnsi"/>
                            <w:b/>
                            <w:sz w:val="20"/>
                            <w:szCs w:val="20"/>
                          </w:rPr>
                        </w:pPr>
                      </w:p>
                    </w:tc>
                    <w:tc>
                      <w:tcPr>
                        <w:tcW w:w="420" w:type="dxa"/>
                        <w:gridSpan w:val="4"/>
                      </w:tcPr>
                      <w:p w:rsidR="001471ED" w:rsidRPr="001471ED" w:rsidRDefault="001471ED" w:rsidP="001471ED">
                        <w:pPr>
                          <w:rPr>
                            <w:rFonts w:asciiTheme="minorHAnsi" w:hAnsiTheme="minorHAnsi" w:cstheme="minorHAnsi"/>
                            <w:b/>
                            <w:sz w:val="20"/>
                            <w:szCs w:val="20"/>
                          </w:rPr>
                        </w:pPr>
                      </w:p>
                    </w:tc>
                    <w:tc>
                      <w:tcPr>
                        <w:tcW w:w="383" w:type="dxa"/>
                        <w:gridSpan w:val="3"/>
                      </w:tcPr>
                      <w:p w:rsidR="001471ED" w:rsidRPr="001471ED" w:rsidRDefault="001471ED" w:rsidP="001471ED">
                        <w:pPr>
                          <w:rPr>
                            <w:rFonts w:asciiTheme="minorHAnsi" w:hAnsiTheme="minorHAnsi" w:cstheme="minorHAnsi"/>
                            <w:b/>
                            <w:sz w:val="20"/>
                            <w:szCs w:val="20"/>
                          </w:rPr>
                        </w:pPr>
                      </w:p>
                    </w:tc>
                    <w:tc>
                      <w:tcPr>
                        <w:tcW w:w="362" w:type="dxa"/>
                        <w:gridSpan w:val="2"/>
                      </w:tcPr>
                      <w:p w:rsidR="001471ED" w:rsidRPr="001471ED" w:rsidRDefault="001471ED" w:rsidP="001471ED">
                        <w:pPr>
                          <w:rPr>
                            <w:rFonts w:asciiTheme="minorHAnsi" w:hAnsiTheme="minorHAnsi" w:cstheme="minorHAnsi"/>
                            <w:b/>
                            <w:sz w:val="20"/>
                            <w:szCs w:val="20"/>
                          </w:rPr>
                        </w:pPr>
                      </w:p>
                    </w:tc>
                    <w:tc>
                      <w:tcPr>
                        <w:tcW w:w="369" w:type="dxa"/>
                        <w:gridSpan w:val="2"/>
                      </w:tcPr>
                      <w:p w:rsidR="001471ED" w:rsidRPr="001471ED" w:rsidRDefault="001471ED" w:rsidP="001471ED">
                        <w:pPr>
                          <w:rPr>
                            <w:rFonts w:asciiTheme="minorHAnsi" w:hAnsiTheme="minorHAnsi" w:cstheme="minorHAnsi"/>
                            <w:b/>
                            <w:sz w:val="20"/>
                            <w:szCs w:val="20"/>
                          </w:rPr>
                        </w:pPr>
                      </w:p>
                    </w:tc>
                    <w:tc>
                      <w:tcPr>
                        <w:tcW w:w="369" w:type="dxa"/>
                        <w:gridSpan w:val="3"/>
                      </w:tcPr>
                      <w:p w:rsidR="001471ED" w:rsidRPr="001471ED" w:rsidRDefault="001471ED" w:rsidP="001471ED">
                        <w:pPr>
                          <w:rPr>
                            <w:rFonts w:asciiTheme="minorHAnsi" w:hAnsiTheme="minorHAnsi" w:cstheme="minorHAnsi"/>
                            <w:b/>
                            <w:sz w:val="20"/>
                            <w:szCs w:val="20"/>
                          </w:rPr>
                        </w:pPr>
                      </w:p>
                    </w:tc>
                    <w:tc>
                      <w:tcPr>
                        <w:tcW w:w="369" w:type="dxa"/>
                        <w:gridSpan w:val="3"/>
                      </w:tcPr>
                      <w:p w:rsidR="001471ED" w:rsidRPr="001471ED" w:rsidRDefault="001471ED" w:rsidP="001471ED">
                        <w:pPr>
                          <w:rPr>
                            <w:rFonts w:asciiTheme="minorHAnsi" w:hAnsiTheme="minorHAnsi" w:cstheme="minorHAnsi"/>
                            <w:b/>
                            <w:sz w:val="20"/>
                            <w:szCs w:val="20"/>
                          </w:rPr>
                        </w:pPr>
                      </w:p>
                    </w:tc>
                    <w:tc>
                      <w:tcPr>
                        <w:tcW w:w="369" w:type="dxa"/>
                        <w:gridSpan w:val="3"/>
                      </w:tcPr>
                      <w:p w:rsidR="001471ED" w:rsidRPr="001471ED" w:rsidRDefault="001471ED" w:rsidP="001471ED">
                        <w:pPr>
                          <w:rPr>
                            <w:rFonts w:asciiTheme="minorHAnsi" w:hAnsiTheme="minorHAnsi" w:cstheme="minorHAnsi"/>
                            <w:b/>
                            <w:sz w:val="20"/>
                            <w:szCs w:val="20"/>
                          </w:rPr>
                        </w:pPr>
                      </w:p>
                    </w:tc>
                    <w:tc>
                      <w:tcPr>
                        <w:tcW w:w="369" w:type="dxa"/>
                        <w:gridSpan w:val="3"/>
                      </w:tcPr>
                      <w:p w:rsidR="001471ED" w:rsidRPr="001471ED" w:rsidRDefault="001471ED" w:rsidP="001471ED">
                        <w:pPr>
                          <w:rPr>
                            <w:rFonts w:asciiTheme="minorHAnsi" w:hAnsiTheme="minorHAnsi" w:cstheme="minorHAnsi"/>
                            <w:b/>
                            <w:sz w:val="20"/>
                            <w:szCs w:val="20"/>
                          </w:rPr>
                        </w:pPr>
                      </w:p>
                    </w:tc>
                    <w:tc>
                      <w:tcPr>
                        <w:tcW w:w="369" w:type="dxa"/>
                        <w:gridSpan w:val="3"/>
                      </w:tcPr>
                      <w:p w:rsidR="001471ED" w:rsidRPr="001471ED" w:rsidRDefault="001471ED" w:rsidP="001471ED">
                        <w:pPr>
                          <w:rPr>
                            <w:rFonts w:asciiTheme="minorHAnsi" w:hAnsiTheme="minorHAnsi" w:cstheme="minorHAnsi"/>
                            <w:b/>
                            <w:sz w:val="20"/>
                            <w:szCs w:val="20"/>
                          </w:rPr>
                        </w:pPr>
                      </w:p>
                    </w:tc>
                    <w:tc>
                      <w:tcPr>
                        <w:tcW w:w="2060" w:type="dxa"/>
                        <w:gridSpan w:val="12"/>
                      </w:tcPr>
                      <w:p w:rsidR="001471ED" w:rsidRPr="001471ED" w:rsidRDefault="001471ED" w:rsidP="001471ED">
                        <w:pPr>
                          <w:rPr>
                            <w:rFonts w:asciiTheme="minorHAnsi" w:hAnsiTheme="minorHAnsi" w:cstheme="minorHAnsi"/>
                            <w:b/>
                            <w:sz w:val="20"/>
                            <w:szCs w:val="20"/>
                          </w:rPr>
                        </w:pPr>
                      </w:p>
                    </w:tc>
                  </w:tr>
                  <w:tr w:rsidR="001471ED" w:rsidRPr="001471ED" w:rsidTr="00B95530">
                    <w:trPr>
                      <w:gridAfter w:val="11"/>
                      <w:wAfter w:w="3104" w:type="dxa"/>
                      <w:trHeight w:val="1737"/>
                    </w:trPr>
                    <w:tc>
                      <w:tcPr>
                        <w:tcW w:w="9138" w:type="dxa"/>
                        <w:gridSpan w:val="46"/>
                        <w:tcBorders>
                          <w:top w:val="single" w:sz="6" w:space="0" w:color="auto"/>
                          <w:left w:val="single" w:sz="6" w:space="0" w:color="auto"/>
                          <w:bottom w:val="single" w:sz="6" w:space="0" w:color="auto"/>
                          <w:right w:val="single" w:sz="6" w:space="0" w:color="auto"/>
                        </w:tcBorders>
                      </w:tcPr>
                      <w:p w:rsidR="001471ED" w:rsidRPr="001471ED" w:rsidRDefault="001471ED" w:rsidP="001471ED">
                        <w:pPr>
                          <w:jc w:val="both"/>
                          <w:rPr>
                            <w:rFonts w:asciiTheme="minorHAnsi" w:hAnsiTheme="minorHAnsi" w:cstheme="minorHAnsi"/>
                            <w:sz w:val="20"/>
                            <w:szCs w:val="20"/>
                          </w:rPr>
                        </w:pPr>
                        <w:r w:rsidRPr="001471ED">
                          <w:rPr>
                            <w:rFonts w:asciiTheme="minorHAnsi" w:hAnsiTheme="minorHAnsi" w:cstheme="minorHAnsi"/>
                            <w:sz w:val="20"/>
                            <w:szCs w:val="20"/>
                          </w:rPr>
                          <w:t xml:space="preserve">Oblast příjmové části rozpočtu za kap. 10 byla plněna k 31. 12. 2022 na 120 %. </w:t>
                        </w:r>
                      </w:p>
                      <w:p w:rsidR="001471ED" w:rsidRPr="001471ED" w:rsidRDefault="001471ED" w:rsidP="001471ED">
                        <w:pPr>
                          <w:jc w:val="both"/>
                          <w:rPr>
                            <w:rFonts w:asciiTheme="minorHAnsi" w:hAnsiTheme="minorHAnsi" w:cstheme="minorHAnsi"/>
                            <w:sz w:val="20"/>
                            <w:szCs w:val="20"/>
                          </w:rPr>
                        </w:pPr>
                        <w:r w:rsidRPr="001471ED">
                          <w:rPr>
                            <w:rFonts w:asciiTheme="minorHAnsi" w:hAnsiTheme="minorHAnsi" w:cstheme="minorHAnsi"/>
                            <w:sz w:val="20"/>
                            <w:szCs w:val="20"/>
                          </w:rPr>
                          <w:t>Příjmová část kapitoly 10 je složena z příjmu z prodeje krátkodobého a drobného dlouhodobého neinvestičního majetku (propagačních předmětů - plněno na 99 %), dále ze správních poplatků na Czech Point (42 %), vidimaci a legalizaci, které jsou realizovány v rámci činnosti Turistického informačního centra.</w:t>
                        </w:r>
                      </w:p>
                      <w:p w:rsidR="001471ED" w:rsidRPr="001471ED" w:rsidRDefault="001471ED" w:rsidP="001471ED">
                        <w:pPr>
                          <w:jc w:val="both"/>
                          <w:rPr>
                            <w:rFonts w:asciiTheme="minorHAnsi" w:hAnsiTheme="minorHAnsi" w:cstheme="minorHAnsi"/>
                            <w:sz w:val="20"/>
                            <w:szCs w:val="20"/>
                          </w:rPr>
                        </w:pPr>
                        <w:r w:rsidRPr="001471ED">
                          <w:rPr>
                            <w:rFonts w:asciiTheme="minorHAnsi" w:hAnsiTheme="minorHAnsi" w:cstheme="minorHAnsi"/>
                            <w:sz w:val="20"/>
                            <w:szCs w:val="20"/>
                          </w:rPr>
                          <w:t>V sestavě roku 2022 je začleněn i příjem ze vstupného koncertu Operní gala pro Prostějov, výtěžek z tomboly městského plesu, který byl formou darovací smlouvy předán Azylovému centru Prostějov, o.</w:t>
                        </w:r>
                        <w:r w:rsidR="00B95530">
                          <w:rPr>
                            <w:rFonts w:asciiTheme="minorHAnsi" w:hAnsiTheme="minorHAnsi" w:cstheme="minorHAnsi"/>
                            <w:sz w:val="20"/>
                            <w:szCs w:val="20"/>
                          </w:rPr>
                          <w:t xml:space="preserve"> </w:t>
                        </w:r>
                        <w:r w:rsidRPr="001471ED">
                          <w:rPr>
                            <w:rFonts w:asciiTheme="minorHAnsi" w:hAnsiTheme="minorHAnsi" w:cstheme="minorHAnsi"/>
                            <w:sz w:val="20"/>
                            <w:szCs w:val="20"/>
                          </w:rPr>
                          <w:t>p.</w:t>
                        </w:r>
                        <w:r w:rsidR="00B95530">
                          <w:rPr>
                            <w:rFonts w:asciiTheme="minorHAnsi" w:hAnsiTheme="minorHAnsi" w:cstheme="minorHAnsi"/>
                            <w:sz w:val="20"/>
                            <w:szCs w:val="20"/>
                          </w:rPr>
                          <w:t xml:space="preserve"> </w:t>
                        </w:r>
                        <w:r w:rsidRPr="001471ED">
                          <w:rPr>
                            <w:rFonts w:asciiTheme="minorHAnsi" w:hAnsiTheme="minorHAnsi" w:cstheme="minorHAnsi"/>
                            <w:sz w:val="20"/>
                            <w:szCs w:val="20"/>
                          </w:rPr>
                          <w:t>s. a také částka za schválenou smlouvu o reklamě a propagaci v rámci akce "Rozsvícení vánočního stromu v Prostějově" od ČEZ a.</w:t>
                        </w:r>
                        <w:r w:rsidR="00B95530">
                          <w:rPr>
                            <w:rFonts w:asciiTheme="minorHAnsi" w:hAnsiTheme="minorHAnsi" w:cstheme="minorHAnsi"/>
                            <w:sz w:val="20"/>
                            <w:szCs w:val="20"/>
                          </w:rPr>
                          <w:t xml:space="preserve"> </w:t>
                        </w:r>
                        <w:r w:rsidRPr="001471ED">
                          <w:rPr>
                            <w:rFonts w:asciiTheme="minorHAnsi" w:hAnsiTheme="minorHAnsi" w:cstheme="minorHAnsi"/>
                            <w:sz w:val="20"/>
                            <w:szCs w:val="20"/>
                          </w:rPr>
                          <w:t>s.</w:t>
                        </w:r>
                      </w:p>
                    </w:tc>
                  </w:tr>
                  <w:tr w:rsidR="001471ED" w:rsidRPr="001471ED" w:rsidTr="00C55ACB">
                    <w:trPr>
                      <w:gridAfter w:val="5"/>
                      <w:wAfter w:w="2008" w:type="dxa"/>
                      <w:trHeight w:val="243"/>
                    </w:trPr>
                    <w:tc>
                      <w:tcPr>
                        <w:tcW w:w="362" w:type="dxa"/>
                      </w:tcPr>
                      <w:p w:rsidR="001471ED" w:rsidRPr="001471ED" w:rsidRDefault="001471ED" w:rsidP="001471ED">
                        <w:pPr>
                          <w:rPr>
                            <w:rFonts w:asciiTheme="minorHAnsi" w:hAnsiTheme="minorHAnsi" w:cstheme="minorHAnsi"/>
                            <w:b/>
                            <w:sz w:val="20"/>
                            <w:szCs w:val="20"/>
                          </w:rPr>
                        </w:pPr>
                      </w:p>
                    </w:tc>
                    <w:tc>
                      <w:tcPr>
                        <w:tcW w:w="407" w:type="dxa"/>
                      </w:tcPr>
                      <w:p w:rsidR="001471ED" w:rsidRPr="001471ED" w:rsidRDefault="001471ED" w:rsidP="001471ED">
                        <w:pPr>
                          <w:rPr>
                            <w:rFonts w:asciiTheme="minorHAnsi" w:hAnsiTheme="minorHAnsi" w:cstheme="minorHAnsi"/>
                            <w:b/>
                            <w:sz w:val="20"/>
                            <w:szCs w:val="20"/>
                          </w:rPr>
                        </w:pPr>
                      </w:p>
                    </w:tc>
                    <w:tc>
                      <w:tcPr>
                        <w:tcW w:w="325" w:type="dxa"/>
                      </w:tcPr>
                      <w:p w:rsidR="001471ED" w:rsidRPr="001471ED" w:rsidRDefault="001471ED" w:rsidP="001471ED">
                        <w:pPr>
                          <w:rPr>
                            <w:rFonts w:asciiTheme="minorHAnsi" w:hAnsiTheme="minorHAnsi" w:cstheme="minorHAnsi"/>
                            <w:b/>
                            <w:sz w:val="20"/>
                            <w:szCs w:val="20"/>
                          </w:rPr>
                        </w:pPr>
                      </w:p>
                    </w:tc>
                    <w:tc>
                      <w:tcPr>
                        <w:tcW w:w="390" w:type="dxa"/>
                      </w:tcPr>
                      <w:p w:rsidR="001471ED" w:rsidRPr="001471ED" w:rsidRDefault="001471ED" w:rsidP="001471ED">
                        <w:pPr>
                          <w:rPr>
                            <w:rFonts w:asciiTheme="minorHAnsi" w:hAnsiTheme="minorHAnsi" w:cstheme="minorHAnsi"/>
                            <w:b/>
                            <w:sz w:val="20"/>
                            <w:szCs w:val="20"/>
                          </w:rPr>
                        </w:pPr>
                      </w:p>
                    </w:tc>
                    <w:tc>
                      <w:tcPr>
                        <w:tcW w:w="373" w:type="dxa"/>
                      </w:tcPr>
                      <w:p w:rsidR="001471ED" w:rsidRPr="001471ED" w:rsidRDefault="001471ED" w:rsidP="001471ED">
                        <w:pPr>
                          <w:rPr>
                            <w:rFonts w:asciiTheme="minorHAnsi" w:hAnsiTheme="minorHAnsi" w:cstheme="minorHAnsi"/>
                            <w:b/>
                            <w:sz w:val="20"/>
                            <w:szCs w:val="20"/>
                          </w:rPr>
                        </w:pPr>
                      </w:p>
                    </w:tc>
                    <w:tc>
                      <w:tcPr>
                        <w:tcW w:w="370" w:type="dxa"/>
                        <w:gridSpan w:val="2"/>
                      </w:tcPr>
                      <w:p w:rsidR="001471ED" w:rsidRPr="001471ED" w:rsidRDefault="001471ED" w:rsidP="001471ED">
                        <w:pPr>
                          <w:rPr>
                            <w:rFonts w:asciiTheme="minorHAnsi" w:hAnsiTheme="minorHAnsi" w:cstheme="minorHAnsi"/>
                            <w:b/>
                            <w:sz w:val="20"/>
                            <w:szCs w:val="20"/>
                          </w:rPr>
                        </w:pPr>
                      </w:p>
                    </w:tc>
                    <w:tc>
                      <w:tcPr>
                        <w:tcW w:w="816" w:type="dxa"/>
                        <w:gridSpan w:val="3"/>
                      </w:tcPr>
                      <w:p w:rsidR="001471ED" w:rsidRPr="001471ED" w:rsidRDefault="001471ED" w:rsidP="001471ED">
                        <w:pPr>
                          <w:rPr>
                            <w:rFonts w:asciiTheme="minorHAnsi" w:hAnsiTheme="minorHAnsi" w:cstheme="minorHAnsi"/>
                            <w:b/>
                            <w:sz w:val="20"/>
                            <w:szCs w:val="20"/>
                          </w:rPr>
                        </w:pPr>
                      </w:p>
                    </w:tc>
                    <w:tc>
                      <w:tcPr>
                        <w:tcW w:w="858" w:type="dxa"/>
                        <w:gridSpan w:val="2"/>
                      </w:tcPr>
                      <w:p w:rsidR="001471ED" w:rsidRPr="001471ED" w:rsidRDefault="001471ED" w:rsidP="001471ED">
                        <w:pPr>
                          <w:rPr>
                            <w:rFonts w:asciiTheme="minorHAnsi" w:hAnsiTheme="minorHAnsi" w:cstheme="minorHAnsi"/>
                            <w:b/>
                            <w:sz w:val="20"/>
                            <w:szCs w:val="20"/>
                          </w:rPr>
                        </w:pPr>
                      </w:p>
                    </w:tc>
                    <w:tc>
                      <w:tcPr>
                        <w:tcW w:w="705" w:type="dxa"/>
                      </w:tcPr>
                      <w:p w:rsidR="001471ED" w:rsidRPr="001471ED" w:rsidRDefault="001471ED" w:rsidP="001471ED">
                        <w:pPr>
                          <w:rPr>
                            <w:rFonts w:asciiTheme="minorHAnsi" w:hAnsiTheme="minorHAnsi" w:cstheme="minorHAnsi"/>
                            <w:b/>
                            <w:sz w:val="20"/>
                            <w:szCs w:val="20"/>
                          </w:rPr>
                        </w:pPr>
                      </w:p>
                    </w:tc>
                    <w:tc>
                      <w:tcPr>
                        <w:tcW w:w="189" w:type="dxa"/>
                      </w:tcPr>
                      <w:p w:rsidR="001471ED" w:rsidRPr="001471ED" w:rsidRDefault="001471ED" w:rsidP="001471ED">
                        <w:pPr>
                          <w:rPr>
                            <w:rFonts w:asciiTheme="minorHAnsi" w:hAnsiTheme="minorHAnsi" w:cstheme="minorHAnsi"/>
                            <w:b/>
                            <w:sz w:val="20"/>
                            <w:szCs w:val="20"/>
                          </w:rPr>
                        </w:pPr>
                      </w:p>
                    </w:tc>
                    <w:tc>
                      <w:tcPr>
                        <w:tcW w:w="420" w:type="dxa"/>
                        <w:gridSpan w:val="4"/>
                      </w:tcPr>
                      <w:p w:rsidR="001471ED" w:rsidRPr="001471ED" w:rsidRDefault="001471ED" w:rsidP="001471ED">
                        <w:pPr>
                          <w:rPr>
                            <w:rFonts w:asciiTheme="minorHAnsi" w:hAnsiTheme="minorHAnsi" w:cstheme="minorHAnsi"/>
                            <w:b/>
                            <w:sz w:val="20"/>
                            <w:szCs w:val="20"/>
                          </w:rPr>
                        </w:pPr>
                      </w:p>
                    </w:tc>
                    <w:tc>
                      <w:tcPr>
                        <w:tcW w:w="383" w:type="dxa"/>
                        <w:gridSpan w:val="3"/>
                      </w:tcPr>
                      <w:p w:rsidR="001471ED" w:rsidRPr="001471ED" w:rsidRDefault="001471ED" w:rsidP="001471ED">
                        <w:pPr>
                          <w:rPr>
                            <w:rFonts w:asciiTheme="minorHAnsi" w:hAnsiTheme="minorHAnsi" w:cstheme="minorHAnsi"/>
                            <w:b/>
                            <w:sz w:val="20"/>
                            <w:szCs w:val="20"/>
                          </w:rPr>
                        </w:pPr>
                      </w:p>
                    </w:tc>
                    <w:tc>
                      <w:tcPr>
                        <w:tcW w:w="362" w:type="dxa"/>
                        <w:gridSpan w:val="2"/>
                      </w:tcPr>
                      <w:p w:rsidR="001471ED" w:rsidRPr="001471ED" w:rsidRDefault="001471ED" w:rsidP="001471ED">
                        <w:pPr>
                          <w:rPr>
                            <w:rFonts w:asciiTheme="minorHAnsi" w:hAnsiTheme="minorHAnsi" w:cstheme="minorHAnsi"/>
                            <w:b/>
                            <w:sz w:val="20"/>
                            <w:szCs w:val="20"/>
                          </w:rPr>
                        </w:pPr>
                      </w:p>
                    </w:tc>
                    <w:tc>
                      <w:tcPr>
                        <w:tcW w:w="369" w:type="dxa"/>
                        <w:gridSpan w:val="2"/>
                      </w:tcPr>
                      <w:p w:rsidR="001471ED" w:rsidRPr="001471ED" w:rsidRDefault="001471ED" w:rsidP="001471ED">
                        <w:pPr>
                          <w:rPr>
                            <w:rFonts w:asciiTheme="minorHAnsi" w:hAnsiTheme="minorHAnsi" w:cstheme="minorHAnsi"/>
                            <w:b/>
                            <w:sz w:val="20"/>
                            <w:szCs w:val="20"/>
                          </w:rPr>
                        </w:pPr>
                      </w:p>
                    </w:tc>
                    <w:tc>
                      <w:tcPr>
                        <w:tcW w:w="369" w:type="dxa"/>
                        <w:gridSpan w:val="3"/>
                      </w:tcPr>
                      <w:p w:rsidR="001471ED" w:rsidRPr="001471ED" w:rsidRDefault="001471ED" w:rsidP="001471ED">
                        <w:pPr>
                          <w:rPr>
                            <w:rFonts w:asciiTheme="minorHAnsi" w:hAnsiTheme="minorHAnsi" w:cstheme="minorHAnsi"/>
                            <w:b/>
                            <w:sz w:val="20"/>
                            <w:szCs w:val="20"/>
                          </w:rPr>
                        </w:pPr>
                      </w:p>
                    </w:tc>
                    <w:tc>
                      <w:tcPr>
                        <w:tcW w:w="369" w:type="dxa"/>
                        <w:gridSpan w:val="3"/>
                      </w:tcPr>
                      <w:p w:rsidR="001471ED" w:rsidRPr="001471ED" w:rsidRDefault="001471ED" w:rsidP="001471ED">
                        <w:pPr>
                          <w:rPr>
                            <w:rFonts w:asciiTheme="minorHAnsi" w:hAnsiTheme="minorHAnsi" w:cstheme="minorHAnsi"/>
                            <w:b/>
                            <w:sz w:val="20"/>
                            <w:szCs w:val="20"/>
                          </w:rPr>
                        </w:pPr>
                      </w:p>
                    </w:tc>
                    <w:tc>
                      <w:tcPr>
                        <w:tcW w:w="369" w:type="dxa"/>
                        <w:gridSpan w:val="3"/>
                      </w:tcPr>
                      <w:p w:rsidR="001471ED" w:rsidRPr="001471ED" w:rsidRDefault="001471ED" w:rsidP="001471ED">
                        <w:pPr>
                          <w:rPr>
                            <w:rFonts w:asciiTheme="minorHAnsi" w:hAnsiTheme="minorHAnsi" w:cstheme="minorHAnsi"/>
                            <w:b/>
                            <w:sz w:val="20"/>
                            <w:szCs w:val="20"/>
                          </w:rPr>
                        </w:pPr>
                      </w:p>
                    </w:tc>
                    <w:tc>
                      <w:tcPr>
                        <w:tcW w:w="369" w:type="dxa"/>
                        <w:gridSpan w:val="3"/>
                      </w:tcPr>
                      <w:p w:rsidR="001471ED" w:rsidRPr="001471ED" w:rsidRDefault="001471ED" w:rsidP="001471ED">
                        <w:pPr>
                          <w:rPr>
                            <w:rFonts w:asciiTheme="minorHAnsi" w:hAnsiTheme="minorHAnsi" w:cstheme="minorHAnsi"/>
                            <w:b/>
                            <w:sz w:val="20"/>
                            <w:szCs w:val="20"/>
                          </w:rPr>
                        </w:pPr>
                      </w:p>
                    </w:tc>
                    <w:tc>
                      <w:tcPr>
                        <w:tcW w:w="369" w:type="dxa"/>
                        <w:gridSpan w:val="3"/>
                      </w:tcPr>
                      <w:p w:rsidR="001471ED" w:rsidRPr="001471ED" w:rsidRDefault="001471ED" w:rsidP="001471ED">
                        <w:pPr>
                          <w:rPr>
                            <w:rFonts w:asciiTheme="minorHAnsi" w:hAnsiTheme="minorHAnsi" w:cstheme="minorHAnsi"/>
                            <w:b/>
                            <w:sz w:val="20"/>
                            <w:szCs w:val="20"/>
                          </w:rPr>
                        </w:pPr>
                      </w:p>
                    </w:tc>
                    <w:tc>
                      <w:tcPr>
                        <w:tcW w:w="2060" w:type="dxa"/>
                        <w:gridSpan w:val="12"/>
                      </w:tcPr>
                      <w:p w:rsidR="001471ED" w:rsidRPr="001471ED" w:rsidRDefault="001471ED" w:rsidP="001471ED">
                        <w:pPr>
                          <w:rPr>
                            <w:rFonts w:asciiTheme="minorHAnsi" w:hAnsiTheme="minorHAnsi" w:cstheme="minorHAnsi"/>
                            <w:b/>
                            <w:sz w:val="20"/>
                            <w:szCs w:val="20"/>
                          </w:rPr>
                        </w:pPr>
                      </w:p>
                    </w:tc>
                  </w:tr>
                  <w:tr w:rsidR="001471ED" w:rsidRPr="001471ED" w:rsidTr="00B95530">
                    <w:trPr>
                      <w:gridAfter w:val="11"/>
                      <w:wAfter w:w="3104" w:type="dxa"/>
                      <w:trHeight w:val="507"/>
                    </w:trPr>
                    <w:tc>
                      <w:tcPr>
                        <w:tcW w:w="9138" w:type="dxa"/>
                        <w:gridSpan w:val="46"/>
                      </w:tcPr>
                      <w:p w:rsidR="001471ED" w:rsidRPr="001471ED" w:rsidRDefault="001471ED" w:rsidP="00B95530">
                        <w:pPr>
                          <w:jc w:val="both"/>
                          <w:rPr>
                            <w:rFonts w:asciiTheme="minorHAnsi" w:hAnsiTheme="minorHAnsi" w:cstheme="minorHAnsi"/>
                            <w:b/>
                            <w:sz w:val="20"/>
                            <w:szCs w:val="20"/>
                          </w:rPr>
                        </w:pPr>
                        <w:r w:rsidRPr="001471ED">
                          <w:rPr>
                            <w:rFonts w:asciiTheme="minorHAnsi" w:hAnsiTheme="minorHAnsi" w:cstheme="minorHAnsi"/>
                            <w:b/>
                            <w:sz w:val="20"/>
                            <w:szCs w:val="20"/>
                          </w:rPr>
                          <w:t>Komentář k položkám (akcím), které vykázaly abnormalitu v řádném pln</w:t>
                        </w:r>
                        <w:r w:rsidR="00B95530">
                          <w:rPr>
                            <w:rFonts w:asciiTheme="minorHAnsi" w:hAnsiTheme="minorHAnsi" w:cstheme="minorHAnsi"/>
                            <w:b/>
                            <w:sz w:val="20"/>
                            <w:szCs w:val="20"/>
                          </w:rPr>
                          <w:t>ění příjmů rozpočtu kapitoly ve </w:t>
                        </w:r>
                        <w:r w:rsidRPr="001471ED">
                          <w:rPr>
                            <w:rFonts w:asciiTheme="minorHAnsi" w:hAnsiTheme="minorHAnsi" w:cstheme="minorHAnsi"/>
                            <w:b/>
                            <w:sz w:val="20"/>
                            <w:szCs w:val="20"/>
                          </w:rPr>
                          <w:t>sledovaném období</w:t>
                        </w:r>
                      </w:p>
                    </w:tc>
                  </w:tr>
                  <w:tr w:rsidR="00B95530" w:rsidRPr="001471ED" w:rsidTr="00C55ACB">
                    <w:trPr>
                      <w:trHeight w:val="243"/>
                    </w:trPr>
                    <w:tc>
                      <w:tcPr>
                        <w:tcW w:w="362" w:type="dxa"/>
                      </w:tcPr>
                      <w:p w:rsidR="001471ED" w:rsidRPr="001471ED" w:rsidRDefault="001471ED" w:rsidP="001471ED">
                        <w:pPr>
                          <w:rPr>
                            <w:rFonts w:asciiTheme="minorHAnsi" w:hAnsiTheme="minorHAnsi" w:cstheme="minorHAnsi"/>
                            <w:b/>
                            <w:sz w:val="20"/>
                            <w:szCs w:val="20"/>
                          </w:rPr>
                        </w:pPr>
                      </w:p>
                    </w:tc>
                    <w:tc>
                      <w:tcPr>
                        <w:tcW w:w="407" w:type="dxa"/>
                      </w:tcPr>
                      <w:p w:rsidR="001471ED" w:rsidRPr="001471ED" w:rsidRDefault="001471ED" w:rsidP="001471ED">
                        <w:pPr>
                          <w:rPr>
                            <w:rFonts w:asciiTheme="minorHAnsi" w:hAnsiTheme="minorHAnsi" w:cstheme="minorHAnsi"/>
                            <w:b/>
                            <w:sz w:val="20"/>
                            <w:szCs w:val="20"/>
                          </w:rPr>
                        </w:pPr>
                      </w:p>
                    </w:tc>
                    <w:tc>
                      <w:tcPr>
                        <w:tcW w:w="325" w:type="dxa"/>
                      </w:tcPr>
                      <w:p w:rsidR="001471ED" w:rsidRPr="001471ED" w:rsidRDefault="001471ED" w:rsidP="001471ED">
                        <w:pPr>
                          <w:rPr>
                            <w:rFonts w:asciiTheme="minorHAnsi" w:hAnsiTheme="minorHAnsi" w:cstheme="minorHAnsi"/>
                            <w:b/>
                            <w:sz w:val="20"/>
                            <w:szCs w:val="20"/>
                          </w:rPr>
                        </w:pPr>
                      </w:p>
                    </w:tc>
                    <w:tc>
                      <w:tcPr>
                        <w:tcW w:w="390" w:type="dxa"/>
                      </w:tcPr>
                      <w:p w:rsidR="001471ED" w:rsidRPr="001471ED" w:rsidRDefault="001471ED" w:rsidP="001471ED">
                        <w:pPr>
                          <w:rPr>
                            <w:rFonts w:asciiTheme="minorHAnsi" w:hAnsiTheme="minorHAnsi" w:cstheme="minorHAnsi"/>
                            <w:b/>
                            <w:sz w:val="20"/>
                            <w:szCs w:val="20"/>
                          </w:rPr>
                        </w:pPr>
                      </w:p>
                    </w:tc>
                    <w:tc>
                      <w:tcPr>
                        <w:tcW w:w="2417" w:type="dxa"/>
                        <w:gridSpan w:val="8"/>
                      </w:tcPr>
                      <w:p w:rsidR="001471ED" w:rsidRPr="001471ED" w:rsidRDefault="001471ED" w:rsidP="001471ED">
                        <w:pPr>
                          <w:rPr>
                            <w:rFonts w:asciiTheme="minorHAnsi" w:hAnsiTheme="minorHAnsi" w:cstheme="minorHAnsi"/>
                            <w:b/>
                            <w:sz w:val="20"/>
                            <w:szCs w:val="20"/>
                          </w:rPr>
                        </w:pPr>
                      </w:p>
                    </w:tc>
                    <w:tc>
                      <w:tcPr>
                        <w:tcW w:w="2549" w:type="dxa"/>
                        <w:gridSpan w:val="14"/>
                      </w:tcPr>
                      <w:p w:rsidR="001471ED" w:rsidRPr="001471ED" w:rsidRDefault="001471ED" w:rsidP="001471ED">
                        <w:pPr>
                          <w:rPr>
                            <w:rFonts w:asciiTheme="minorHAnsi" w:hAnsiTheme="minorHAnsi" w:cstheme="minorHAnsi"/>
                            <w:b/>
                            <w:sz w:val="20"/>
                            <w:szCs w:val="20"/>
                          </w:rPr>
                        </w:pPr>
                      </w:p>
                    </w:tc>
                    <w:tc>
                      <w:tcPr>
                        <w:tcW w:w="160" w:type="dxa"/>
                      </w:tcPr>
                      <w:p w:rsidR="001471ED" w:rsidRPr="001471ED" w:rsidRDefault="001471ED" w:rsidP="001471ED">
                        <w:pPr>
                          <w:rPr>
                            <w:rFonts w:asciiTheme="minorHAnsi" w:hAnsiTheme="minorHAnsi" w:cstheme="minorHAnsi"/>
                            <w:b/>
                            <w:sz w:val="20"/>
                            <w:szCs w:val="20"/>
                          </w:rPr>
                        </w:pPr>
                      </w:p>
                    </w:tc>
                    <w:tc>
                      <w:tcPr>
                        <w:tcW w:w="362" w:type="dxa"/>
                        <w:gridSpan w:val="3"/>
                      </w:tcPr>
                      <w:p w:rsidR="001471ED" w:rsidRPr="001471ED" w:rsidRDefault="001471ED" w:rsidP="001471ED">
                        <w:pPr>
                          <w:rPr>
                            <w:rFonts w:asciiTheme="minorHAnsi" w:hAnsiTheme="minorHAnsi" w:cstheme="minorHAnsi"/>
                            <w:b/>
                            <w:sz w:val="20"/>
                            <w:szCs w:val="20"/>
                          </w:rPr>
                        </w:pPr>
                      </w:p>
                    </w:tc>
                    <w:tc>
                      <w:tcPr>
                        <w:tcW w:w="369" w:type="dxa"/>
                        <w:gridSpan w:val="3"/>
                      </w:tcPr>
                      <w:p w:rsidR="001471ED" w:rsidRPr="001471ED" w:rsidRDefault="001471ED" w:rsidP="001471ED">
                        <w:pPr>
                          <w:rPr>
                            <w:rFonts w:asciiTheme="minorHAnsi" w:hAnsiTheme="minorHAnsi" w:cstheme="minorHAnsi"/>
                            <w:b/>
                            <w:sz w:val="20"/>
                            <w:szCs w:val="20"/>
                          </w:rPr>
                        </w:pPr>
                      </w:p>
                    </w:tc>
                    <w:tc>
                      <w:tcPr>
                        <w:tcW w:w="369" w:type="dxa"/>
                        <w:gridSpan w:val="3"/>
                      </w:tcPr>
                      <w:p w:rsidR="001471ED" w:rsidRPr="001471ED" w:rsidRDefault="001471ED" w:rsidP="001471ED">
                        <w:pPr>
                          <w:rPr>
                            <w:rFonts w:asciiTheme="minorHAnsi" w:hAnsiTheme="minorHAnsi" w:cstheme="minorHAnsi"/>
                            <w:b/>
                            <w:sz w:val="20"/>
                            <w:szCs w:val="20"/>
                          </w:rPr>
                        </w:pPr>
                      </w:p>
                    </w:tc>
                    <w:tc>
                      <w:tcPr>
                        <w:tcW w:w="369" w:type="dxa"/>
                        <w:gridSpan w:val="3"/>
                      </w:tcPr>
                      <w:p w:rsidR="001471ED" w:rsidRPr="001471ED" w:rsidRDefault="001471ED" w:rsidP="001471ED">
                        <w:pPr>
                          <w:rPr>
                            <w:rFonts w:asciiTheme="minorHAnsi" w:hAnsiTheme="minorHAnsi" w:cstheme="minorHAnsi"/>
                            <w:b/>
                            <w:sz w:val="20"/>
                            <w:szCs w:val="20"/>
                          </w:rPr>
                        </w:pPr>
                      </w:p>
                    </w:tc>
                    <w:tc>
                      <w:tcPr>
                        <w:tcW w:w="369" w:type="dxa"/>
                        <w:gridSpan w:val="3"/>
                      </w:tcPr>
                      <w:p w:rsidR="001471ED" w:rsidRPr="001471ED" w:rsidRDefault="001471ED" w:rsidP="001471ED">
                        <w:pPr>
                          <w:rPr>
                            <w:rFonts w:asciiTheme="minorHAnsi" w:hAnsiTheme="minorHAnsi" w:cstheme="minorHAnsi"/>
                            <w:b/>
                            <w:sz w:val="20"/>
                            <w:szCs w:val="20"/>
                          </w:rPr>
                        </w:pPr>
                      </w:p>
                    </w:tc>
                    <w:tc>
                      <w:tcPr>
                        <w:tcW w:w="369" w:type="dxa"/>
                        <w:gridSpan w:val="3"/>
                      </w:tcPr>
                      <w:p w:rsidR="001471ED" w:rsidRPr="001471ED" w:rsidRDefault="001471ED" w:rsidP="001471ED">
                        <w:pPr>
                          <w:rPr>
                            <w:rFonts w:asciiTheme="minorHAnsi" w:hAnsiTheme="minorHAnsi" w:cstheme="minorHAnsi"/>
                            <w:b/>
                            <w:sz w:val="20"/>
                            <w:szCs w:val="20"/>
                          </w:rPr>
                        </w:pPr>
                      </w:p>
                    </w:tc>
                    <w:tc>
                      <w:tcPr>
                        <w:tcW w:w="369" w:type="dxa"/>
                        <w:gridSpan w:val="3"/>
                      </w:tcPr>
                      <w:p w:rsidR="001471ED" w:rsidRPr="001471ED" w:rsidRDefault="001471ED" w:rsidP="001471ED">
                        <w:pPr>
                          <w:rPr>
                            <w:rFonts w:asciiTheme="minorHAnsi" w:hAnsiTheme="minorHAnsi" w:cstheme="minorHAnsi"/>
                            <w:b/>
                            <w:sz w:val="20"/>
                            <w:szCs w:val="20"/>
                          </w:rPr>
                        </w:pPr>
                      </w:p>
                    </w:tc>
                    <w:tc>
                      <w:tcPr>
                        <w:tcW w:w="369" w:type="dxa"/>
                        <w:gridSpan w:val="2"/>
                      </w:tcPr>
                      <w:p w:rsidR="001471ED" w:rsidRPr="001471ED" w:rsidRDefault="001471ED" w:rsidP="001471ED">
                        <w:pPr>
                          <w:rPr>
                            <w:rFonts w:asciiTheme="minorHAnsi" w:hAnsiTheme="minorHAnsi" w:cstheme="minorHAnsi"/>
                            <w:b/>
                            <w:sz w:val="20"/>
                            <w:szCs w:val="20"/>
                          </w:rPr>
                        </w:pPr>
                      </w:p>
                    </w:tc>
                    <w:tc>
                      <w:tcPr>
                        <w:tcW w:w="370" w:type="dxa"/>
                      </w:tcPr>
                      <w:p w:rsidR="001471ED" w:rsidRPr="001471ED" w:rsidRDefault="001471ED" w:rsidP="001471ED">
                        <w:pPr>
                          <w:rPr>
                            <w:rFonts w:asciiTheme="minorHAnsi" w:hAnsiTheme="minorHAnsi" w:cstheme="minorHAnsi"/>
                            <w:b/>
                            <w:sz w:val="20"/>
                            <w:szCs w:val="20"/>
                          </w:rPr>
                        </w:pPr>
                      </w:p>
                    </w:tc>
                    <w:tc>
                      <w:tcPr>
                        <w:tcW w:w="369" w:type="dxa"/>
                        <w:gridSpan w:val="2"/>
                      </w:tcPr>
                      <w:p w:rsidR="001471ED" w:rsidRPr="001471ED" w:rsidRDefault="001471ED" w:rsidP="001471ED">
                        <w:pPr>
                          <w:rPr>
                            <w:rFonts w:asciiTheme="minorHAnsi" w:hAnsiTheme="minorHAnsi" w:cstheme="minorHAnsi"/>
                            <w:b/>
                            <w:sz w:val="20"/>
                            <w:szCs w:val="20"/>
                          </w:rPr>
                        </w:pPr>
                      </w:p>
                    </w:tc>
                    <w:tc>
                      <w:tcPr>
                        <w:tcW w:w="165" w:type="dxa"/>
                      </w:tcPr>
                      <w:p w:rsidR="001471ED" w:rsidRPr="001471ED" w:rsidRDefault="001471ED" w:rsidP="001471ED">
                        <w:pPr>
                          <w:rPr>
                            <w:rFonts w:asciiTheme="minorHAnsi" w:hAnsiTheme="minorHAnsi" w:cstheme="minorHAnsi"/>
                            <w:b/>
                            <w:sz w:val="20"/>
                            <w:szCs w:val="20"/>
                          </w:rPr>
                        </w:pPr>
                      </w:p>
                    </w:tc>
                    <w:tc>
                      <w:tcPr>
                        <w:tcW w:w="370" w:type="dxa"/>
                        <w:gridSpan w:val="2"/>
                      </w:tcPr>
                      <w:p w:rsidR="001471ED" w:rsidRPr="001471ED" w:rsidRDefault="001471ED" w:rsidP="001471ED">
                        <w:pPr>
                          <w:rPr>
                            <w:rFonts w:asciiTheme="minorHAnsi" w:hAnsiTheme="minorHAnsi" w:cstheme="minorHAnsi"/>
                            <w:b/>
                            <w:sz w:val="20"/>
                            <w:szCs w:val="20"/>
                          </w:rPr>
                        </w:pPr>
                      </w:p>
                    </w:tc>
                    <w:tc>
                      <w:tcPr>
                        <w:tcW w:w="1413" w:type="dxa"/>
                      </w:tcPr>
                      <w:p w:rsidR="001471ED" w:rsidRPr="001471ED" w:rsidRDefault="001471ED" w:rsidP="001471ED">
                        <w:pPr>
                          <w:rPr>
                            <w:rFonts w:asciiTheme="minorHAnsi" w:hAnsiTheme="minorHAnsi" w:cstheme="minorHAnsi"/>
                            <w:b/>
                            <w:sz w:val="20"/>
                            <w:szCs w:val="20"/>
                          </w:rPr>
                        </w:pPr>
                      </w:p>
                    </w:tc>
                  </w:tr>
                  <w:tr w:rsidR="00B95530" w:rsidRPr="001471ED" w:rsidTr="00C55ACB">
                    <w:trPr>
                      <w:gridAfter w:val="10"/>
                      <w:wAfter w:w="3096" w:type="dxa"/>
                      <w:trHeight w:val="556"/>
                    </w:trPr>
                    <w:tc>
                      <w:tcPr>
                        <w:tcW w:w="769"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471ED" w:rsidRPr="001471ED" w:rsidRDefault="001471ED" w:rsidP="001471ED">
                        <w:pPr>
                          <w:jc w:val="center"/>
                          <w:rPr>
                            <w:rFonts w:asciiTheme="minorHAnsi" w:hAnsiTheme="minorHAnsi" w:cstheme="minorHAnsi"/>
                            <w:b/>
                            <w:sz w:val="16"/>
                            <w:szCs w:val="16"/>
                          </w:rPr>
                        </w:pPr>
                        <w:r w:rsidRPr="001471ED">
                          <w:rPr>
                            <w:rFonts w:asciiTheme="minorHAnsi" w:hAnsiTheme="minorHAnsi" w:cstheme="minorHAnsi"/>
                            <w:b/>
                            <w:sz w:val="16"/>
                            <w:szCs w:val="16"/>
                          </w:rPr>
                          <w:t>Oddíl, paragraf</w:t>
                        </w:r>
                      </w:p>
                    </w:tc>
                    <w:tc>
                      <w:tcPr>
                        <w:tcW w:w="715"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471ED" w:rsidRPr="001471ED" w:rsidRDefault="001471ED" w:rsidP="001471ED">
                        <w:pPr>
                          <w:jc w:val="center"/>
                          <w:rPr>
                            <w:rFonts w:asciiTheme="minorHAnsi" w:hAnsiTheme="minorHAnsi" w:cstheme="minorHAnsi"/>
                            <w:b/>
                            <w:sz w:val="16"/>
                            <w:szCs w:val="16"/>
                          </w:rPr>
                        </w:pPr>
                        <w:r w:rsidRPr="001471ED">
                          <w:rPr>
                            <w:rFonts w:asciiTheme="minorHAnsi" w:hAnsiTheme="minorHAnsi" w:cstheme="minorHAnsi"/>
                            <w:b/>
                            <w:sz w:val="16"/>
                            <w:szCs w:val="16"/>
                          </w:rPr>
                          <w:t>Položka</w:t>
                        </w:r>
                      </w:p>
                    </w:tc>
                    <w:tc>
                      <w:tcPr>
                        <w:tcW w:w="1559"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1471ED" w:rsidRPr="001471ED" w:rsidRDefault="001471ED" w:rsidP="001471ED">
                        <w:pPr>
                          <w:jc w:val="center"/>
                          <w:rPr>
                            <w:rFonts w:asciiTheme="minorHAnsi" w:hAnsiTheme="minorHAnsi" w:cstheme="minorHAnsi"/>
                            <w:b/>
                            <w:sz w:val="16"/>
                            <w:szCs w:val="16"/>
                          </w:rPr>
                        </w:pPr>
                        <w:r w:rsidRPr="001471ED">
                          <w:rPr>
                            <w:rFonts w:asciiTheme="minorHAnsi" w:hAnsiTheme="minorHAnsi" w:cstheme="minorHAnsi"/>
                            <w:b/>
                            <w:sz w:val="16"/>
                            <w:szCs w:val="16"/>
                          </w:rPr>
                          <w:t>Organizace</w:t>
                        </w:r>
                      </w:p>
                    </w:tc>
                    <w:tc>
                      <w:tcPr>
                        <w:tcW w:w="858"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1471ED" w:rsidRPr="001471ED" w:rsidRDefault="001471ED" w:rsidP="001471ED">
                        <w:pPr>
                          <w:jc w:val="center"/>
                          <w:rPr>
                            <w:rFonts w:asciiTheme="minorHAnsi" w:hAnsiTheme="minorHAnsi" w:cstheme="minorHAnsi"/>
                            <w:b/>
                            <w:sz w:val="16"/>
                            <w:szCs w:val="16"/>
                          </w:rPr>
                        </w:pPr>
                        <w:r w:rsidRPr="001471ED">
                          <w:rPr>
                            <w:rFonts w:asciiTheme="minorHAnsi" w:hAnsiTheme="minorHAnsi" w:cstheme="minorHAnsi"/>
                            <w:b/>
                            <w:sz w:val="16"/>
                            <w:szCs w:val="16"/>
                          </w:rPr>
                          <w:t>Účelový zdroj</w:t>
                        </w:r>
                      </w:p>
                    </w:tc>
                    <w:tc>
                      <w:tcPr>
                        <w:tcW w:w="705" w:type="dxa"/>
                        <w:tcBorders>
                          <w:top w:val="single" w:sz="4" w:space="0" w:color="auto"/>
                          <w:left w:val="single" w:sz="4" w:space="0" w:color="auto"/>
                          <w:bottom w:val="single" w:sz="4" w:space="0" w:color="auto"/>
                          <w:right w:val="single" w:sz="4" w:space="0" w:color="auto"/>
                        </w:tcBorders>
                        <w:shd w:val="clear" w:color="auto" w:fill="FFFF00"/>
                        <w:vAlign w:val="center"/>
                      </w:tcPr>
                      <w:p w:rsidR="001471ED" w:rsidRPr="001471ED" w:rsidRDefault="001471ED" w:rsidP="001471ED">
                        <w:pPr>
                          <w:jc w:val="center"/>
                          <w:rPr>
                            <w:rFonts w:asciiTheme="minorHAnsi" w:hAnsiTheme="minorHAnsi" w:cstheme="minorHAnsi"/>
                            <w:b/>
                            <w:sz w:val="16"/>
                            <w:szCs w:val="16"/>
                          </w:rPr>
                        </w:pPr>
                        <w:r w:rsidRPr="001471ED">
                          <w:rPr>
                            <w:rFonts w:asciiTheme="minorHAnsi" w:hAnsiTheme="minorHAnsi" w:cstheme="minorHAnsi"/>
                            <w:b/>
                            <w:sz w:val="16"/>
                            <w:szCs w:val="16"/>
                          </w:rPr>
                          <w:t>Upravený rozpočet v tis. Kč</w:t>
                        </w:r>
                      </w:p>
                    </w:tc>
                    <w:tc>
                      <w:tcPr>
                        <w:tcW w:w="992" w:type="dxa"/>
                        <w:gridSpan w:val="8"/>
                        <w:tcBorders>
                          <w:top w:val="single" w:sz="4" w:space="0" w:color="auto"/>
                          <w:left w:val="single" w:sz="4" w:space="0" w:color="auto"/>
                          <w:bottom w:val="single" w:sz="4" w:space="0" w:color="auto"/>
                          <w:right w:val="single" w:sz="4" w:space="0" w:color="auto"/>
                        </w:tcBorders>
                        <w:shd w:val="clear" w:color="auto" w:fill="FFFF00"/>
                        <w:vAlign w:val="center"/>
                      </w:tcPr>
                      <w:p w:rsidR="001471ED" w:rsidRPr="001471ED" w:rsidRDefault="001471ED" w:rsidP="001471ED">
                        <w:pPr>
                          <w:jc w:val="center"/>
                          <w:rPr>
                            <w:rFonts w:asciiTheme="minorHAnsi" w:hAnsiTheme="minorHAnsi" w:cstheme="minorHAnsi"/>
                            <w:b/>
                            <w:sz w:val="16"/>
                            <w:szCs w:val="16"/>
                          </w:rPr>
                        </w:pPr>
                        <w:r w:rsidRPr="001471ED">
                          <w:rPr>
                            <w:rFonts w:asciiTheme="minorHAnsi" w:hAnsiTheme="minorHAnsi" w:cstheme="minorHAnsi"/>
                            <w:b/>
                            <w:sz w:val="16"/>
                            <w:szCs w:val="16"/>
                          </w:rPr>
                          <w:t>Skutečnost v tis. Kč</w:t>
                        </w:r>
                      </w:p>
                    </w:tc>
                    <w:tc>
                      <w:tcPr>
                        <w:tcW w:w="3548" w:type="dxa"/>
                        <w:gridSpan w:val="26"/>
                        <w:tcBorders>
                          <w:top w:val="single" w:sz="4" w:space="0" w:color="auto"/>
                          <w:left w:val="single" w:sz="4" w:space="0" w:color="auto"/>
                          <w:bottom w:val="single" w:sz="4" w:space="0" w:color="auto"/>
                          <w:right w:val="single" w:sz="4" w:space="0" w:color="auto"/>
                        </w:tcBorders>
                        <w:shd w:val="clear" w:color="auto" w:fill="FFFF00"/>
                        <w:vAlign w:val="center"/>
                      </w:tcPr>
                      <w:p w:rsidR="001471ED" w:rsidRPr="001471ED" w:rsidRDefault="001471ED" w:rsidP="001471ED">
                        <w:pPr>
                          <w:jc w:val="center"/>
                          <w:rPr>
                            <w:rFonts w:asciiTheme="minorHAnsi" w:hAnsiTheme="minorHAnsi" w:cstheme="minorHAnsi"/>
                            <w:b/>
                            <w:sz w:val="16"/>
                            <w:szCs w:val="16"/>
                          </w:rPr>
                        </w:pPr>
                        <w:r w:rsidRPr="001471ED">
                          <w:rPr>
                            <w:rFonts w:asciiTheme="minorHAnsi" w:hAnsiTheme="minorHAnsi" w:cstheme="minorHAnsi"/>
                            <w:b/>
                            <w:sz w:val="16"/>
                            <w:szCs w:val="16"/>
                          </w:rPr>
                          <w:t>Komentář</w:t>
                        </w:r>
                      </w:p>
                    </w:tc>
                  </w:tr>
                  <w:tr w:rsidR="00B95530" w:rsidRPr="001471ED" w:rsidTr="00C55ACB">
                    <w:trPr>
                      <w:gridAfter w:val="10"/>
                      <w:wAfter w:w="3096" w:type="dxa"/>
                      <w:trHeight w:val="996"/>
                    </w:trPr>
                    <w:tc>
                      <w:tcPr>
                        <w:tcW w:w="769" w:type="dxa"/>
                        <w:gridSpan w:val="2"/>
                        <w:tcBorders>
                          <w:top w:val="single" w:sz="4" w:space="0" w:color="auto"/>
                          <w:left w:val="single" w:sz="4" w:space="0" w:color="auto"/>
                          <w:bottom w:val="single" w:sz="4" w:space="0" w:color="auto"/>
                          <w:right w:val="single" w:sz="4" w:space="0" w:color="auto"/>
                        </w:tcBorders>
                      </w:tcPr>
                      <w:p w:rsidR="001471ED" w:rsidRPr="001471ED" w:rsidRDefault="001471ED" w:rsidP="001471ED">
                        <w:pPr>
                          <w:jc w:val="right"/>
                          <w:rPr>
                            <w:rFonts w:asciiTheme="minorHAnsi" w:hAnsiTheme="minorHAnsi" w:cstheme="minorHAnsi"/>
                            <w:sz w:val="20"/>
                            <w:szCs w:val="20"/>
                          </w:rPr>
                        </w:pPr>
                        <w:r w:rsidRPr="001471ED">
                          <w:rPr>
                            <w:rFonts w:asciiTheme="minorHAnsi" w:hAnsiTheme="minorHAnsi" w:cstheme="minorHAnsi"/>
                            <w:sz w:val="20"/>
                            <w:szCs w:val="20"/>
                          </w:rPr>
                          <w:t>006171</w:t>
                        </w:r>
                      </w:p>
                    </w:tc>
                    <w:tc>
                      <w:tcPr>
                        <w:tcW w:w="715" w:type="dxa"/>
                        <w:gridSpan w:val="2"/>
                        <w:tcBorders>
                          <w:top w:val="single" w:sz="4" w:space="0" w:color="auto"/>
                          <w:left w:val="single" w:sz="4" w:space="0" w:color="auto"/>
                          <w:bottom w:val="single" w:sz="4" w:space="0" w:color="auto"/>
                          <w:right w:val="single" w:sz="4" w:space="0" w:color="auto"/>
                        </w:tcBorders>
                      </w:tcPr>
                      <w:p w:rsidR="001471ED" w:rsidRPr="001471ED" w:rsidRDefault="001471ED" w:rsidP="001471ED">
                        <w:pPr>
                          <w:jc w:val="right"/>
                          <w:rPr>
                            <w:rFonts w:asciiTheme="minorHAnsi" w:hAnsiTheme="minorHAnsi" w:cstheme="minorHAnsi"/>
                            <w:sz w:val="20"/>
                            <w:szCs w:val="20"/>
                          </w:rPr>
                        </w:pPr>
                        <w:r w:rsidRPr="001471ED">
                          <w:rPr>
                            <w:rFonts w:asciiTheme="minorHAnsi" w:hAnsiTheme="minorHAnsi" w:cstheme="minorHAnsi"/>
                            <w:sz w:val="20"/>
                            <w:szCs w:val="20"/>
                          </w:rPr>
                          <w:t>2111</w:t>
                        </w:r>
                      </w:p>
                    </w:tc>
                    <w:tc>
                      <w:tcPr>
                        <w:tcW w:w="1559" w:type="dxa"/>
                        <w:gridSpan w:val="6"/>
                        <w:tcBorders>
                          <w:top w:val="single" w:sz="4" w:space="0" w:color="auto"/>
                          <w:left w:val="single" w:sz="4" w:space="0" w:color="auto"/>
                          <w:bottom w:val="single" w:sz="4" w:space="0" w:color="auto"/>
                          <w:right w:val="single" w:sz="4" w:space="0" w:color="auto"/>
                        </w:tcBorders>
                      </w:tcPr>
                      <w:p w:rsidR="001471ED" w:rsidRPr="001471ED" w:rsidRDefault="001471ED" w:rsidP="001471ED">
                        <w:pPr>
                          <w:jc w:val="right"/>
                          <w:rPr>
                            <w:rFonts w:asciiTheme="minorHAnsi" w:hAnsiTheme="minorHAnsi" w:cstheme="minorHAnsi"/>
                            <w:sz w:val="20"/>
                            <w:szCs w:val="20"/>
                          </w:rPr>
                        </w:pPr>
                        <w:r w:rsidRPr="001471ED">
                          <w:rPr>
                            <w:rFonts w:asciiTheme="minorHAnsi" w:hAnsiTheme="minorHAnsi" w:cstheme="minorHAnsi"/>
                            <w:sz w:val="20"/>
                            <w:szCs w:val="20"/>
                          </w:rPr>
                          <w:t>0100000000000</w:t>
                        </w:r>
                      </w:p>
                    </w:tc>
                    <w:tc>
                      <w:tcPr>
                        <w:tcW w:w="858" w:type="dxa"/>
                        <w:gridSpan w:val="2"/>
                        <w:tcBorders>
                          <w:top w:val="single" w:sz="4" w:space="0" w:color="auto"/>
                          <w:left w:val="single" w:sz="4" w:space="0" w:color="auto"/>
                          <w:bottom w:val="single" w:sz="4" w:space="0" w:color="auto"/>
                          <w:right w:val="single" w:sz="4" w:space="0" w:color="auto"/>
                        </w:tcBorders>
                      </w:tcPr>
                      <w:p w:rsidR="001471ED" w:rsidRPr="001471ED" w:rsidRDefault="001471ED" w:rsidP="001471ED">
                        <w:pPr>
                          <w:rPr>
                            <w:rFonts w:asciiTheme="minorHAnsi" w:hAnsiTheme="minorHAnsi" w:cstheme="minorHAnsi"/>
                            <w:sz w:val="20"/>
                            <w:szCs w:val="20"/>
                          </w:rPr>
                        </w:pPr>
                      </w:p>
                    </w:tc>
                    <w:tc>
                      <w:tcPr>
                        <w:tcW w:w="705" w:type="dxa"/>
                        <w:tcBorders>
                          <w:top w:val="single" w:sz="4" w:space="0" w:color="auto"/>
                          <w:left w:val="single" w:sz="4" w:space="0" w:color="auto"/>
                          <w:bottom w:val="single" w:sz="4" w:space="0" w:color="auto"/>
                          <w:right w:val="single" w:sz="4" w:space="0" w:color="auto"/>
                        </w:tcBorders>
                      </w:tcPr>
                      <w:p w:rsidR="001471ED" w:rsidRPr="001471ED" w:rsidRDefault="001471ED" w:rsidP="001471ED">
                        <w:pPr>
                          <w:jc w:val="right"/>
                          <w:rPr>
                            <w:rFonts w:asciiTheme="minorHAnsi" w:hAnsiTheme="minorHAnsi" w:cstheme="minorHAnsi"/>
                            <w:sz w:val="20"/>
                            <w:szCs w:val="20"/>
                          </w:rPr>
                        </w:pPr>
                        <w:r w:rsidRPr="001471ED">
                          <w:rPr>
                            <w:rFonts w:asciiTheme="minorHAnsi" w:hAnsiTheme="minorHAnsi" w:cstheme="minorHAnsi"/>
                            <w:sz w:val="20"/>
                            <w:szCs w:val="20"/>
                          </w:rPr>
                          <w:t>0,00</w:t>
                        </w:r>
                      </w:p>
                    </w:tc>
                    <w:tc>
                      <w:tcPr>
                        <w:tcW w:w="992" w:type="dxa"/>
                        <w:gridSpan w:val="8"/>
                        <w:tcBorders>
                          <w:top w:val="single" w:sz="4" w:space="0" w:color="auto"/>
                          <w:left w:val="single" w:sz="4" w:space="0" w:color="auto"/>
                          <w:bottom w:val="single" w:sz="4" w:space="0" w:color="auto"/>
                          <w:right w:val="single" w:sz="4" w:space="0" w:color="auto"/>
                        </w:tcBorders>
                      </w:tcPr>
                      <w:p w:rsidR="001471ED" w:rsidRPr="001471ED" w:rsidRDefault="001471ED" w:rsidP="001471ED">
                        <w:pPr>
                          <w:jc w:val="right"/>
                          <w:rPr>
                            <w:rFonts w:asciiTheme="minorHAnsi" w:hAnsiTheme="minorHAnsi" w:cstheme="minorHAnsi"/>
                            <w:sz w:val="20"/>
                            <w:szCs w:val="20"/>
                          </w:rPr>
                        </w:pPr>
                        <w:r w:rsidRPr="001471ED">
                          <w:rPr>
                            <w:rFonts w:asciiTheme="minorHAnsi" w:hAnsiTheme="minorHAnsi" w:cstheme="minorHAnsi"/>
                            <w:sz w:val="20"/>
                            <w:szCs w:val="20"/>
                          </w:rPr>
                          <w:t>36,60</w:t>
                        </w:r>
                      </w:p>
                    </w:tc>
                    <w:tc>
                      <w:tcPr>
                        <w:tcW w:w="3548" w:type="dxa"/>
                        <w:gridSpan w:val="26"/>
                        <w:tcBorders>
                          <w:top w:val="single" w:sz="4" w:space="0" w:color="auto"/>
                          <w:left w:val="single" w:sz="4" w:space="0" w:color="auto"/>
                          <w:bottom w:val="single" w:sz="4" w:space="0" w:color="auto"/>
                          <w:right w:val="single" w:sz="4" w:space="0" w:color="auto"/>
                        </w:tcBorders>
                        <w:vAlign w:val="center"/>
                      </w:tcPr>
                      <w:p w:rsidR="001471ED" w:rsidRPr="001471ED" w:rsidRDefault="001471ED" w:rsidP="001471ED">
                        <w:pPr>
                          <w:rPr>
                            <w:rFonts w:asciiTheme="minorHAnsi" w:hAnsiTheme="minorHAnsi" w:cstheme="minorHAnsi"/>
                            <w:bCs/>
                            <w:sz w:val="20"/>
                            <w:szCs w:val="20"/>
                          </w:rPr>
                        </w:pPr>
                        <w:r w:rsidRPr="001471ED">
                          <w:rPr>
                            <w:rFonts w:asciiTheme="minorHAnsi" w:hAnsiTheme="minorHAnsi" w:cstheme="minorHAnsi"/>
                            <w:bCs/>
                            <w:sz w:val="20"/>
                            <w:szCs w:val="20"/>
                            <w:u w:val="single"/>
                          </w:rPr>
                          <w:t>Příjmy z poskytování služeb</w:t>
                        </w:r>
                        <w:r w:rsidRPr="001471ED">
                          <w:rPr>
                            <w:rFonts w:asciiTheme="minorHAnsi" w:hAnsiTheme="minorHAnsi" w:cstheme="minorHAnsi"/>
                            <w:bCs/>
                            <w:sz w:val="20"/>
                            <w:szCs w:val="20"/>
                          </w:rPr>
                          <w:t xml:space="preserve"> </w:t>
                        </w:r>
                      </w:p>
                      <w:p w:rsidR="001471ED" w:rsidRPr="001471ED" w:rsidRDefault="001471ED" w:rsidP="001471ED">
                        <w:pPr>
                          <w:rPr>
                            <w:rFonts w:asciiTheme="minorHAnsi" w:hAnsiTheme="minorHAnsi" w:cstheme="minorHAnsi"/>
                            <w:bCs/>
                            <w:sz w:val="20"/>
                            <w:szCs w:val="20"/>
                          </w:rPr>
                        </w:pPr>
                        <w:r w:rsidRPr="001471ED">
                          <w:rPr>
                            <w:rFonts w:asciiTheme="minorHAnsi" w:hAnsiTheme="minorHAnsi" w:cstheme="minorHAnsi"/>
                            <w:sz w:val="20"/>
                            <w:szCs w:val="20"/>
                          </w:rPr>
                          <w:t>Plnění za schválenou smlouvu o reklamě a propagaci v rámci akce "Rozsvícení vánočního stromu v Prostějově" od ČEZ a.</w:t>
                        </w:r>
                        <w:r w:rsidR="008A4756">
                          <w:rPr>
                            <w:rFonts w:asciiTheme="minorHAnsi" w:hAnsiTheme="minorHAnsi" w:cstheme="minorHAnsi"/>
                            <w:sz w:val="20"/>
                            <w:szCs w:val="20"/>
                          </w:rPr>
                          <w:t> </w:t>
                        </w:r>
                        <w:r w:rsidRPr="001471ED">
                          <w:rPr>
                            <w:rFonts w:asciiTheme="minorHAnsi" w:hAnsiTheme="minorHAnsi" w:cstheme="minorHAnsi"/>
                            <w:sz w:val="20"/>
                            <w:szCs w:val="20"/>
                          </w:rPr>
                          <w:t>s.</w:t>
                        </w:r>
                      </w:p>
                    </w:tc>
                  </w:tr>
                  <w:tr w:rsidR="00B95530" w:rsidRPr="001471ED" w:rsidTr="00C55ACB">
                    <w:trPr>
                      <w:gridAfter w:val="10"/>
                      <w:wAfter w:w="3096" w:type="dxa"/>
                      <w:trHeight w:val="1239"/>
                    </w:trPr>
                    <w:tc>
                      <w:tcPr>
                        <w:tcW w:w="769" w:type="dxa"/>
                        <w:gridSpan w:val="2"/>
                        <w:tcBorders>
                          <w:top w:val="single" w:sz="4" w:space="0" w:color="auto"/>
                          <w:left w:val="single" w:sz="4" w:space="0" w:color="auto"/>
                          <w:bottom w:val="single" w:sz="4" w:space="0" w:color="auto"/>
                          <w:right w:val="single" w:sz="4" w:space="0" w:color="auto"/>
                        </w:tcBorders>
                      </w:tcPr>
                      <w:p w:rsidR="001471ED" w:rsidRPr="001471ED" w:rsidRDefault="001471ED" w:rsidP="001471ED">
                        <w:pPr>
                          <w:jc w:val="right"/>
                          <w:rPr>
                            <w:rFonts w:asciiTheme="minorHAnsi" w:hAnsiTheme="minorHAnsi" w:cstheme="minorHAnsi"/>
                            <w:sz w:val="20"/>
                            <w:szCs w:val="20"/>
                          </w:rPr>
                        </w:pPr>
                        <w:r w:rsidRPr="001471ED">
                          <w:rPr>
                            <w:rFonts w:asciiTheme="minorHAnsi" w:hAnsiTheme="minorHAnsi" w:cstheme="minorHAnsi"/>
                            <w:sz w:val="20"/>
                            <w:szCs w:val="20"/>
                          </w:rPr>
                          <w:t>006171</w:t>
                        </w:r>
                      </w:p>
                    </w:tc>
                    <w:tc>
                      <w:tcPr>
                        <w:tcW w:w="715" w:type="dxa"/>
                        <w:gridSpan w:val="2"/>
                        <w:tcBorders>
                          <w:top w:val="single" w:sz="4" w:space="0" w:color="auto"/>
                          <w:left w:val="single" w:sz="4" w:space="0" w:color="auto"/>
                          <w:bottom w:val="single" w:sz="4" w:space="0" w:color="auto"/>
                          <w:right w:val="single" w:sz="4" w:space="0" w:color="auto"/>
                        </w:tcBorders>
                      </w:tcPr>
                      <w:p w:rsidR="001471ED" w:rsidRPr="001471ED" w:rsidRDefault="001471ED" w:rsidP="001471ED">
                        <w:pPr>
                          <w:jc w:val="right"/>
                          <w:rPr>
                            <w:rFonts w:asciiTheme="minorHAnsi" w:hAnsiTheme="minorHAnsi" w:cstheme="minorHAnsi"/>
                            <w:sz w:val="20"/>
                            <w:szCs w:val="20"/>
                          </w:rPr>
                        </w:pPr>
                        <w:r w:rsidRPr="001471ED">
                          <w:rPr>
                            <w:rFonts w:asciiTheme="minorHAnsi" w:hAnsiTheme="minorHAnsi" w:cstheme="minorHAnsi"/>
                            <w:sz w:val="20"/>
                            <w:szCs w:val="20"/>
                          </w:rPr>
                          <w:t>2324</w:t>
                        </w:r>
                      </w:p>
                    </w:tc>
                    <w:tc>
                      <w:tcPr>
                        <w:tcW w:w="1559" w:type="dxa"/>
                        <w:gridSpan w:val="6"/>
                        <w:tcBorders>
                          <w:top w:val="single" w:sz="4" w:space="0" w:color="auto"/>
                          <w:left w:val="single" w:sz="4" w:space="0" w:color="auto"/>
                          <w:bottom w:val="single" w:sz="4" w:space="0" w:color="auto"/>
                          <w:right w:val="single" w:sz="4" w:space="0" w:color="auto"/>
                        </w:tcBorders>
                      </w:tcPr>
                      <w:p w:rsidR="001471ED" w:rsidRPr="001471ED" w:rsidRDefault="001471ED" w:rsidP="001471ED">
                        <w:pPr>
                          <w:jc w:val="right"/>
                          <w:rPr>
                            <w:rFonts w:asciiTheme="minorHAnsi" w:hAnsiTheme="minorHAnsi" w:cstheme="minorHAnsi"/>
                            <w:sz w:val="20"/>
                            <w:szCs w:val="20"/>
                          </w:rPr>
                        </w:pPr>
                        <w:r w:rsidRPr="001471ED">
                          <w:rPr>
                            <w:rFonts w:asciiTheme="minorHAnsi" w:hAnsiTheme="minorHAnsi" w:cstheme="minorHAnsi"/>
                            <w:sz w:val="20"/>
                            <w:szCs w:val="20"/>
                          </w:rPr>
                          <w:t>0100000000000</w:t>
                        </w:r>
                      </w:p>
                    </w:tc>
                    <w:tc>
                      <w:tcPr>
                        <w:tcW w:w="858" w:type="dxa"/>
                        <w:gridSpan w:val="2"/>
                        <w:tcBorders>
                          <w:top w:val="single" w:sz="4" w:space="0" w:color="auto"/>
                          <w:left w:val="single" w:sz="4" w:space="0" w:color="auto"/>
                          <w:bottom w:val="single" w:sz="4" w:space="0" w:color="auto"/>
                          <w:right w:val="single" w:sz="4" w:space="0" w:color="auto"/>
                        </w:tcBorders>
                      </w:tcPr>
                      <w:p w:rsidR="001471ED" w:rsidRPr="001471ED" w:rsidRDefault="001471ED" w:rsidP="001471ED">
                        <w:pPr>
                          <w:rPr>
                            <w:rFonts w:asciiTheme="minorHAnsi" w:hAnsiTheme="minorHAnsi" w:cstheme="minorHAnsi"/>
                            <w:sz w:val="20"/>
                            <w:szCs w:val="20"/>
                          </w:rPr>
                        </w:pPr>
                      </w:p>
                    </w:tc>
                    <w:tc>
                      <w:tcPr>
                        <w:tcW w:w="705" w:type="dxa"/>
                        <w:tcBorders>
                          <w:top w:val="single" w:sz="4" w:space="0" w:color="auto"/>
                          <w:left w:val="single" w:sz="4" w:space="0" w:color="auto"/>
                          <w:bottom w:val="single" w:sz="4" w:space="0" w:color="auto"/>
                          <w:right w:val="single" w:sz="4" w:space="0" w:color="auto"/>
                        </w:tcBorders>
                      </w:tcPr>
                      <w:p w:rsidR="001471ED" w:rsidRPr="001471ED" w:rsidRDefault="001471ED" w:rsidP="001471ED">
                        <w:pPr>
                          <w:jc w:val="right"/>
                          <w:rPr>
                            <w:rFonts w:asciiTheme="minorHAnsi" w:hAnsiTheme="minorHAnsi" w:cstheme="minorHAnsi"/>
                            <w:sz w:val="20"/>
                            <w:szCs w:val="20"/>
                          </w:rPr>
                        </w:pPr>
                        <w:r w:rsidRPr="001471ED">
                          <w:rPr>
                            <w:rFonts w:asciiTheme="minorHAnsi" w:hAnsiTheme="minorHAnsi" w:cstheme="minorHAnsi"/>
                            <w:sz w:val="20"/>
                            <w:szCs w:val="20"/>
                          </w:rPr>
                          <w:t>0,00</w:t>
                        </w:r>
                      </w:p>
                    </w:tc>
                    <w:tc>
                      <w:tcPr>
                        <w:tcW w:w="992" w:type="dxa"/>
                        <w:gridSpan w:val="8"/>
                        <w:tcBorders>
                          <w:top w:val="single" w:sz="4" w:space="0" w:color="auto"/>
                          <w:left w:val="single" w:sz="4" w:space="0" w:color="auto"/>
                          <w:bottom w:val="single" w:sz="4" w:space="0" w:color="auto"/>
                          <w:right w:val="single" w:sz="4" w:space="0" w:color="auto"/>
                        </w:tcBorders>
                      </w:tcPr>
                      <w:p w:rsidR="001471ED" w:rsidRPr="001471ED" w:rsidRDefault="001471ED" w:rsidP="001471ED">
                        <w:pPr>
                          <w:jc w:val="right"/>
                          <w:rPr>
                            <w:rFonts w:asciiTheme="minorHAnsi" w:hAnsiTheme="minorHAnsi" w:cstheme="minorHAnsi"/>
                            <w:sz w:val="20"/>
                            <w:szCs w:val="20"/>
                          </w:rPr>
                        </w:pPr>
                        <w:r w:rsidRPr="001471ED">
                          <w:rPr>
                            <w:rFonts w:asciiTheme="minorHAnsi" w:hAnsiTheme="minorHAnsi" w:cstheme="minorHAnsi"/>
                            <w:sz w:val="20"/>
                            <w:szCs w:val="20"/>
                          </w:rPr>
                          <w:t>69,65</w:t>
                        </w:r>
                      </w:p>
                    </w:tc>
                    <w:tc>
                      <w:tcPr>
                        <w:tcW w:w="3548" w:type="dxa"/>
                        <w:gridSpan w:val="26"/>
                        <w:tcBorders>
                          <w:top w:val="single" w:sz="4" w:space="0" w:color="auto"/>
                          <w:left w:val="single" w:sz="4" w:space="0" w:color="auto"/>
                          <w:bottom w:val="single" w:sz="4" w:space="0" w:color="auto"/>
                          <w:right w:val="single" w:sz="4" w:space="0" w:color="auto"/>
                        </w:tcBorders>
                      </w:tcPr>
                      <w:p w:rsidR="001471ED" w:rsidRPr="001471ED" w:rsidRDefault="001471ED" w:rsidP="001471ED">
                        <w:pPr>
                          <w:rPr>
                            <w:rFonts w:asciiTheme="minorHAnsi" w:hAnsiTheme="minorHAnsi" w:cstheme="minorHAnsi"/>
                            <w:sz w:val="20"/>
                            <w:szCs w:val="20"/>
                            <w:u w:val="single"/>
                          </w:rPr>
                        </w:pPr>
                        <w:r w:rsidRPr="001471ED">
                          <w:rPr>
                            <w:rFonts w:asciiTheme="minorHAnsi" w:hAnsiTheme="minorHAnsi" w:cstheme="minorHAnsi"/>
                            <w:sz w:val="20"/>
                            <w:szCs w:val="20"/>
                            <w:u w:val="single"/>
                          </w:rPr>
                          <w:t>Přijaté neinvestiční příspěvky a náhrady </w:t>
                        </w:r>
                      </w:p>
                      <w:p w:rsidR="001471ED" w:rsidRPr="001471ED" w:rsidRDefault="001471ED" w:rsidP="001471ED">
                        <w:pPr>
                          <w:rPr>
                            <w:rFonts w:asciiTheme="minorHAnsi" w:hAnsiTheme="minorHAnsi" w:cstheme="minorHAnsi"/>
                            <w:sz w:val="20"/>
                            <w:szCs w:val="20"/>
                          </w:rPr>
                        </w:pPr>
                        <w:r w:rsidRPr="001471ED">
                          <w:rPr>
                            <w:rFonts w:asciiTheme="minorHAnsi" w:hAnsiTheme="minorHAnsi" w:cstheme="minorHAnsi"/>
                            <w:sz w:val="20"/>
                            <w:szCs w:val="20"/>
                          </w:rPr>
                          <w:t>Výtěžek ze vstupného koncertu Operní gala pro Prostějov a výtěžek z tomboly městského plesu – převeden darovací smlouvou organizaci Azylové centrum Prostějov, o.</w:t>
                        </w:r>
                        <w:r w:rsidR="00B95530">
                          <w:rPr>
                            <w:rFonts w:asciiTheme="minorHAnsi" w:hAnsiTheme="minorHAnsi" w:cstheme="minorHAnsi"/>
                            <w:sz w:val="20"/>
                            <w:szCs w:val="20"/>
                          </w:rPr>
                          <w:t xml:space="preserve"> </w:t>
                        </w:r>
                        <w:r w:rsidRPr="001471ED">
                          <w:rPr>
                            <w:rFonts w:asciiTheme="minorHAnsi" w:hAnsiTheme="minorHAnsi" w:cstheme="minorHAnsi"/>
                            <w:sz w:val="20"/>
                            <w:szCs w:val="20"/>
                          </w:rPr>
                          <w:t>p.</w:t>
                        </w:r>
                        <w:r w:rsidR="00B95530">
                          <w:rPr>
                            <w:rFonts w:asciiTheme="minorHAnsi" w:hAnsiTheme="minorHAnsi" w:cstheme="minorHAnsi"/>
                            <w:sz w:val="20"/>
                            <w:szCs w:val="20"/>
                          </w:rPr>
                          <w:t xml:space="preserve"> </w:t>
                        </w:r>
                        <w:r w:rsidRPr="001471ED">
                          <w:rPr>
                            <w:rFonts w:asciiTheme="minorHAnsi" w:hAnsiTheme="minorHAnsi" w:cstheme="minorHAnsi"/>
                            <w:sz w:val="20"/>
                            <w:szCs w:val="20"/>
                          </w:rPr>
                          <w:t>s.</w:t>
                        </w:r>
                      </w:p>
                    </w:tc>
                  </w:tr>
                  <w:tr w:rsidR="00B95530" w:rsidRPr="001471ED" w:rsidTr="00C55ACB">
                    <w:trPr>
                      <w:gridAfter w:val="10"/>
                      <w:wAfter w:w="3096" w:type="dxa"/>
                      <w:trHeight w:val="497"/>
                    </w:trPr>
                    <w:tc>
                      <w:tcPr>
                        <w:tcW w:w="769" w:type="dxa"/>
                        <w:gridSpan w:val="2"/>
                        <w:tcBorders>
                          <w:top w:val="single" w:sz="4" w:space="0" w:color="auto"/>
                          <w:left w:val="single" w:sz="4" w:space="0" w:color="auto"/>
                          <w:bottom w:val="single" w:sz="4" w:space="0" w:color="auto"/>
                          <w:right w:val="single" w:sz="4" w:space="0" w:color="auto"/>
                        </w:tcBorders>
                      </w:tcPr>
                      <w:p w:rsidR="001471ED" w:rsidRPr="001471ED" w:rsidRDefault="001471ED" w:rsidP="001471ED">
                        <w:pPr>
                          <w:jc w:val="right"/>
                          <w:rPr>
                            <w:rFonts w:asciiTheme="minorHAnsi" w:hAnsiTheme="minorHAnsi" w:cstheme="minorHAnsi"/>
                            <w:sz w:val="20"/>
                            <w:szCs w:val="20"/>
                          </w:rPr>
                        </w:pPr>
                        <w:r w:rsidRPr="001471ED">
                          <w:rPr>
                            <w:rFonts w:asciiTheme="minorHAnsi" w:hAnsiTheme="minorHAnsi" w:cstheme="minorHAnsi"/>
                            <w:sz w:val="20"/>
                            <w:szCs w:val="20"/>
                          </w:rPr>
                          <w:t>000000</w:t>
                        </w:r>
                      </w:p>
                    </w:tc>
                    <w:tc>
                      <w:tcPr>
                        <w:tcW w:w="715" w:type="dxa"/>
                        <w:gridSpan w:val="2"/>
                        <w:tcBorders>
                          <w:top w:val="single" w:sz="4" w:space="0" w:color="auto"/>
                          <w:left w:val="single" w:sz="4" w:space="0" w:color="auto"/>
                          <w:bottom w:val="single" w:sz="4" w:space="0" w:color="auto"/>
                          <w:right w:val="single" w:sz="4" w:space="0" w:color="auto"/>
                        </w:tcBorders>
                      </w:tcPr>
                      <w:p w:rsidR="001471ED" w:rsidRPr="001471ED" w:rsidRDefault="001471ED" w:rsidP="001471ED">
                        <w:pPr>
                          <w:jc w:val="right"/>
                          <w:rPr>
                            <w:rFonts w:asciiTheme="minorHAnsi" w:hAnsiTheme="minorHAnsi" w:cstheme="minorHAnsi"/>
                            <w:sz w:val="20"/>
                            <w:szCs w:val="20"/>
                          </w:rPr>
                        </w:pPr>
                        <w:r w:rsidRPr="001471ED">
                          <w:rPr>
                            <w:rFonts w:asciiTheme="minorHAnsi" w:hAnsiTheme="minorHAnsi" w:cstheme="minorHAnsi"/>
                            <w:sz w:val="20"/>
                            <w:szCs w:val="20"/>
                          </w:rPr>
                          <w:t>1361</w:t>
                        </w:r>
                      </w:p>
                    </w:tc>
                    <w:tc>
                      <w:tcPr>
                        <w:tcW w:w="1559" w:type="dxa"/>
                        <w:gridSpan w:val="6"/>
                        <w:tcBorders>
                          <w:top w:val="single" w:sz="4" w:space="0" w:color="auto"/>
                          <w:left w:val="single" w:sz="4" w:space="0" w:color="auto"/>
                          <w:bottom w:val="single" w:sz="4" w:space="0" w:color="auto"/>
                          <w:right w:val="single" w:sz="4" w:space="0" w:color="auto"/>
                        </w:tcBorders>
                      </w:tcPr>
                      <w:p w:rsidR="001471ED" w:rsidRPr="001471ED" w:rsidRDefault="001471ED" w:rsidP="001471ED">
                        <w:pPr>
                          <w:jc w:val="right"/>
                          <w:rPr>
                            <w:rFonts w:asciiTheme="minorHAnsi" w:hAnsiTheme="minorHAnsi" w:cstheme="minorHAnsi"/>
                            <w:sz w:val="20"/>
                            <w:szCs w:val="20"/>
                          </w:rPr>
                        </w:pPr>
                        <w:r w:rsidRPr="001471ED">
                          <w:rPr>
                            <w:rFonts w:asciiTheme="minorHAnsi" w:hAnsiTheme="minorHAnsi" w:cstheme="minorHAnsi"/>
                            <w:sz w:val="20"/>
                            <w:szCs w:val="20"/>
                          </w:rPr>
                          <w:t>0100000700000</w:t>
                        </w:r>
                      </w:p>
                    </w:tc>
                    <w:tc>
                      <w:tcPr>
                        <w:tcW w:w="858" w:type="dxa"/>
                        <w:gridSpan w:val="2"/>
                        <w:tcBorders>
                          <w:top w:val="single" w:sz="4" w:space="0" w:color="auto"/>
                          <w:left w:val="single" w:sz="4" w:space="0" w:color="auto"/>
                          <w:bottom w:val="single" w:sz="4" w:space="0" w:color="auto"/>
                          <w:right w:val="single" w:sz="4" w:space="0" w:color="auto"/>
                        </w:tcBorders>
                      </w:tcPr>
                      <w:p w:rsidR="001471ED" w:rsidRPr="001471ED" w:rsidRDefault="001471ED" w:rsidP="001471ED">
                        <w:pPr>
                          <w:rPr>
                            <w:rFonts w:asciiTheme="minorHAnsi" w:hAnsiTheme="minorHAnsi" w:cstheme="minorHAnsi"/>
                            <w:sz w:val="20"/>
                            <w:szCs w:val="20"/>
                          </w:rPr>
                        </w:pPr>
                      </w:p>
                    </w:tc>
                    <w:tc>
                      <w:tcPr>
                        <w:tcW w:w="705" w:type="dxa"/>
                        <w:tcBorders>
                          <w:top w:val="single" w:sz="4" w:space="0" w:color="auto"/>
                          <w:left w:val="single" w:sz="4" w:space="0" w:color="auto"/>
                          <w:bottom w:val="single" w:sz="4" w:space="0" w:color="auto"/>
                          <w:right w:val="single" w:sz="4" w:space="0" w:color="auto"/>
                        </w:tcBorders>
                      </w:tcPr>
                      <w:p w:rsidR="001471ED" w:rsidRPr="001471ED" w:rsidRDefault="001471ED" w:rsidP="001471ED">
                        <w:pPr>
                          <w:jc w:val="right"/>
                          <w:rPr>
                            <w:rFonts w:asciiTheme="minorHAnsi" w:hAnsiTheme="minorHAnsi" w:cstheme="minorHAnsi"/>
                            <w:sz w:val="20"/>
                            <w:szCs w:val="20"/>
                          </w:rPr>
                        </w:pPr>
                        <w:r w:rsidRPr="001471ED">
                          <w:rPr>
                            <w:rFonts w:asciiTheme="minorHAnsi" w:hAnsiTheme="minorHAnsi" w:cstheme="minorHAnsi"/>
                            <w:sz w:val="20"/>
                            <w:szCs w:val="20"/>
                          </w:rPr>
                          <w:t>100,00</w:t>
                        </w:r>
                      </w:p>
                    </w:tc>
                    <w:tc>
                      <w:tcPr>
                        <w:tcW w:w="992" w:type="dxa"/>
                        <w:gridSpan w:val="8"/>
                        <w:tcBorders>
                          <w:top w:val="single" w:sz="4" w:space="0" w:color="auto"/>
                          <w:left w:val="single" w:sz="4" w:space="0" w:color="auto"/>
                          <w:bottom w:val="single" w:sz="4" w:space="0" w:color="auto"/>
                          <w:right w:val="single" w:sz="4" w:space="0" w:color="auto"/>
                        </w:tcBorders>
                      </w:tcPr>
                      <w:p w:rsidR="001471ED" w:rsidRPr="001471ED" w:rsidRDefault="001471ED" w:rsidP="001471ED">
                        <w:pPr>
                          <w:jc w:val="right"/>
                          <w:rPr>
                            <w:rFonts w:asciiTheme="minorHAnsi" w:hAnsiTheme="minorHAnsi" w:cstheme="minorHAnsi"/>
                            <w:sz w:val="20"/>
                            <w:szCs w:val="20"/>
                          </w:rPr>
                        </w:pPr>
                        <w:r w:rsidRPr="001471ED">
                          <w:rPr>
                            <w:rFonts w:asciiTheme="minorHAnsi" w:hAnsiTheme="minorHAnsi" w:cstheme="minorHAnsi"/>
                            <w:sz w:val="20"/>
                            <w:szCs w:val="20"/>
                          </w:rPr>
                          <w:t>42,34</w:t>
                        </w:r>
                      </w:p>
                    </w:tc>
                    <w:tc>
                      <w:tcPr>
                        <w:tcW w:w="3548" w:type="dxa"/>
                        <w:gridSpan w:val="26"/>
                        <w:tcBorders>
                          <w:top w:val="single" w:sz="4" w:space="0" w:color="auto"/>
                          <w:left w:val="single" w:sz="4" w:space="0" w:color="auto"/>
                          <w:bottom w:val="single" w:sz="4" w:space="0" w:color="auto"/>
                          <w:right w:val="single" w:sz="4" w:space="0" w:color="auto"/>
                        </w:tcBorders>
                      </w:tcPr>
                      <w:p w:rsidR="001471ED" w:rsidRPr="001471ED" w:rsidRDefault="001471ED" w:rsidP="001471ED">
                        <w:pPr>
                          <w:rPr>
                            <w:rFonts w:asciiTheme="minorHAnsi" w:hAnsiTheme="minorHAnsi" w:cstheme="minorHAnsi"/>
                            <w:sz w:val="20"/>
                            <w:szCs w:val="20"/>
                            <w:u w:val="single"/>
                          </w:rPr>
                        </w:pPr>
                        <w:r w:rsidRPr="001471ED">
                          <w:rPr>
                            <w:rFonts w:asciiTheme="minorHAnsi" w:hAnsiTheme="minorHAnsi" w:cstheme="minorHAnsi"/>
                            <w:sz w:val="20"/>
                            <w:szCs w:val="20"/>
                            <w:u w:val="single"/>
                          </w:rPr>
                          <w:t>Správní poplatky (Czech Point)</w:t>
                        </w:r>
                      </w:p>
                      <w:p w:rsidR="001471ED" w:rsidRPr="001471ED" w:rsidRDefault="001471ED" w:rsidP="001471ED">
                        <w:pPr>
                          <w:rPr>
                            <w:rFonts w:asciiTheme="minorHAnsi" w:hAnsiTheme="minorHAnsi" w:cstheme="minorHAnsi"/>
                            <w:sz w:val="20"/>
                            <w:szCs w:val="20"/>
                          </w:rPr>
                        </w:pPr>
                        <w:r w:rsidRPr="001471ED">
                          <w:rPr>
                            <w:rFonts w:asciiTheme="minorHAnsi" w:hAnsiTheme="minorHAnsi" w:cstheme="minorHAnsi"/>
                            <w:sz w:val="20"/>
                            <w:szCs w:val="20"/>
                          </w:rPr>
                          <w:t>Viz komentář k celkovému vývoji kapitoly.</w:t>
                        </w:r>
                      </w:p>
                    </w:tc>
                  </w:tr>
                  <w:tr w:rsidR="00B95530" w:rsidRPr="001471ED" w:rsidTr="00C55ACB">
                    <w:trPr>
                      <w:gridAfter w:val="10"/>
                      <w:wAfter w:w="3096" w:type="dxa"/>
                      <w:trHeight w:val="497"/>
                    </w:trPr>
                    <w:tc>
                      <w:tcPr>
                        <w:tcW w:w="769" w:type="dxa"/>
                        <w:gridSpan w:val="2"/>
                        <w:tcBorders>
                          <w:top w:val="single" w:sz="4" w:space="0" w:color="auto"/>
                          <w:left w:val="single" w:sz="4" w:space="0" w:color="auto"/>
                          <w:bottom w:val="single" w:sz="4" w:space="0" w:color="auto"/>
                          <w:right w:val="single" w:sz="4" w:space="0" w:color="auto"/>
                        </w:tcBorders>
                      </w:tcPr>
                      <w:p w:rsidR="001471ED" w:rsidRPr="001471ED" w:rsidRDefault="001471ED" w:rsidP="001471ED">
                        <w:pPr>
                          <w:jc w:val="right"/>
                          <w:rPr>
                            <w:rFonts w:asciiTheme="minorHAnsi" w:hAnsiTheme="minorHAnsi" w:cstheme="minorHAnsi"/>
                            <w:sz w:val="20"/>
                            <w:szCs w:val="20"/>
                          </w:rPr>
                        </w:pPr>
                        <w:r w:rsidRPr="001471ED">
                          <w:rPr>
                            <w:rFonts w:asciiTheme="minorHAnsi" w:hAnsiTheme="minorHAnsi" w:cstheme="minorHAnsi"/>
                            <w:sz w:val="20"/>
                            <w:szCs w:val="20"/>
                          </w:rPr>
                          <w:t>000000</w:t>
                        </w:r>
                      </w:p>
                    </w:tc>
                    <w:tc>
                      <w:tcPr>
                        <w:tcW w:w="715" w:type="dxa"/>
                        <w:gridSpan w:val="2"/>
                        <w:tcBorders>
                          <w:top w:val="single" w:sz="4" w:space="0" w:color="auto"/>
                          <w:left w:val="single" w:sz="4" w:space="0" w:color="auto"/>
                          <w:bottom w:val="single" w:sz="4" w:space="0" w:color="auto"/>
                          <w:right w:val="single" w:sz="4" w:space="0" w:color="auto"/>
                        </w:tcBorders>
                      </w:tcPr>
                      <w:p w:rsidR="001471ED" w:rsidRPr="001471ED" w:rsidRDefault="001471ED" w:rsidP="001471ED">
                        <w:pPr>
                          <w:jc w:val="right"/>
                          <w:rPr>
                            <w:rFonts w:asciiTheme="minorHAnsi" w:hAnsiTheme="minorHAnsi" w:cstheme="minorHAnsi"/>
                            <w:sz w:val="20"/>
                            <w:szCs w:val="20"/>
                          </w:rPr>
                        </w:pPr>
                        <w:r w:rsidRPr="001471ED">
                          <w:rPr>
                            <w:rFonts w:asciiTheme="minorHAnsi" w:hAnsiTheme="minorHAnsi" w:cstheme="minorHAnsi"/>
                            <w:sz w:val="20"/>
                            <w:szCs w:val="20"/>
                          </w:rPr>
                          <w:t>1361</w:t>
                        </w:r>
                      </w:p>
                    </w:tc>
                    <w:tc>
                      <w:tcPr>
                        <w:tcW w:w="1559" w:type="dxa"/>
                        <w:gridSpan w:val="6"/>
                        <w:tcBorders>
                          <w:top w:val="single" w:sz="4" w:space="0" w:color="auto"/>
                          <w:left w:val="single" w:sz="4" w:space="0" w:color="auto"/>
                          <w:bottom w:val="single" w:sz="4" w:space="0" w:color="auto"/>
                          <w:right w:val="single" w:sz="4" w:space="0" w:color="auto"/>
                        </w:tcBorders>
                      </w:tcPr>
                      <w:p w:rsidR="001471ED" w:rsidRPr="001471ED" w:rsidRDefault="001471ED" w:rsidP="001471ED">
                        <w:pPr>
                          <w:jc w:val="right"/>
                          <w:rPr>
                            <w:rFonts w:asciiTheme="minorHAnsi" w:hAnsiTheme="minorHAnsi" w:cstheme="minorHAnsi"/>
                            <w:sz w:val="20"/>
                            <w:szCs w:val="20"/>
                          </w:rPr>
                        </w:pPr>
                        <w:r w:rsidRPr="001471ED">
                          <w:rPr>
                            <w:rFonts w:asciiTheme="minorHAnsi" w:hAnsiTheme="minorHAnsi" w:cstheme="minorHAnsi"/>
                            <w:sz w:val="20"/>
                            <w:szCs w:val="20"/>
                          </w:rPr>
                          <w:t>0100000700100</w:t>
                        </w:r>
                      </w:p>
                    </w:tc>
                    <w:tc>
                      <w:tcPr>
                        <w:tcW w:w="858" w:type="dxa"/>
                        <w:gridSpan w:val="2"/>
                        <w:tcBorders>
                          <w:top w:val="single" w:sz="4" w:space="0" w:color="auto"/>
                          <w:left w:val="single" w:sz="4" w:space="0" w:color="auto"/>
                          <w:bottom w:val="single" w:sz="4" w:space="0" w:color="auto"/>
                          <w:right w:val="single" w:sz="4" w:space="0" w:color="auto"/>
                        </w:tcBorders>
                      </w:tcPr>
                      <w:p w:rsidR="001471ED" w:rsidRPr="001471ED" w:rsidRDefault="001471ED" w:rsidP="001471ED">
                        <w:pPr>
                          <w:rPr>
                            <w:rFonts w:asciiTheme="minorHAnsi" w:hAnsiTheme="minorHAnsi" w:cstheme="minorHAnsi"/>
                            <w:sz w:val="20"/>
                            <w:szCs w:val="20"/>
                          </w:rPr>
                        </w:pPr>
                      </w:p>
                    </w:tc>
                    <w:tc>
                      <w:tcPr>
                        <w:tcW w:w="705" w:type="dxa"/>
                        <w:tcBorders>
                          <w:top w:val="single" w:sz="4" w:space="0" w:color="auto"/>
                          <w:left w:val="single" w:sz="4" w:space="0" w:color="auto"/>
                          <w:bottom w:val="single" w:sz="4" w:space="0" w:color="auto"/>
                          <w:right w:val="single" w:sz="4" w:space="0" w:color="auto"/>
                        </w:tcBorders>
                      </w:tcPr>
                      <w:p w:rsidR="001471ED" w:rsidRPr="001471ED" w:rsidRDefault="001471ED" w:rsidP="001471ED">
                        <w:pPr>
                          <w:jc w:val="right"/>
                          <w:rPr>
                            <w:rFonts w:asciiTheme="minorHAnsi" w:hAnsiTheme="minorHAnsi" w:cstheme="minorHAnsi"/>
                            <w:sz w:val="20"/>
                            <w:szCs w:val="20"/>
                          </w:rPr>
                        </w:pPr>
                        <w:r w:rsidRPr="001471ED">
                          <w:rPr>
                            <w:rFonts w:asciiTheme="minorHAnsi" w:hAnsiTheme="minorHAnsi" w:cstheme="minorHAnsi"/>
                            <w:sz w:val="20"/>
                            <w:szCs w:val="20"/>
                          </w:rPr>
                          <w:t>0,00</w:t>
                        </w:r>
                      </w:p>
                    </w:tc>
                    <w:tc>
                      <w:tcPr>
                        <w:tcW w:w="992" w:type="dxa"/>
                        <w:gridSpan w:val="8"/>
                        <w:tcBorders>
                          <w:top w:val="single" w:sz="4" w:space="0" w:color="auto"/>
                          <w:left w:val="single" w:sz="4" w:space="0" w:color="auto"/>
                          <w:bottom w:val="single" w:sz="4" w:space="0" w:color="auto"/>
                          <w:right w:val="single" w:sz="4" w:space="0" w:color="auto"/>
                        </w:tcBorders>
                      </w:tcPr>
                      <w:p w:rsidR="001471ED" w:rsidRPr="001471ED" w:rsidRDefault="001471ED" w:rsidP="001471ED">
                        <w:pPr>
                          <w:jc w:val="right"/>
                          <w:rPr>
                            <w:rFonts w:asciiTheme="minorHAnsi" w:hAnsiTheme="minorHAnsi" w:cstheme="minorHAnsi"/>
                            <w:sz w:val="20"/>
                            <w:szCs w:val="20"/>
                          </w:rPr>
                        </w:pPr>
                        <w:r w:rsidRPr="001471ED">
                          <w:rPr>
                            <w:rFonts w:asciiTheme="minorHAnsi" w:hAnsiTheme="minorHAnsi" w:cstheme="minorHAnsi"/>
                            <w:sz w:val="20"/>
                            <w:szCs w:val="20"/>
                          </w:rPr>
                          <w:t>29,67</w:t>
                        </w:r>
                      </w:p>
                    </w:tc>
                    <w:tc>
                      <w:tcPr>
                        <w:tcW w:w="3548" w:type="dxa"/>
                        <w:gridSpan w:val="26"/>
                        <w:tcBorders>
                          <w:top w:val="single" w:sz="4" w:space="0" w:color="auto"/>
                          <w:left w:val="single" w:sz="4" w:space="0" w:color="auto"/>
                          <w:bottom w:val="single" w:sz="4" w:space="0" w:color="auto"/>
                          <w:right w:val="single" w:sz="4" w:space="0" w:color="auto"/>
                        </w:tcBorders>
                      </w:tcPr>
                      <w:p w:rsidR="001471ED" w:rsidRPr="001471ED" w:rsidRDefault="001471ED" w:rsidP="001471ED">
                        <w:pPr>
                          <w:rPr>
                            <w:rFonts w:asciiTheme="minorHAnsi" w:hAnsiTheme="minorHAnsi" w:cstheme="minorHAnsi"/>
                            <w:sz w:val="20"/>
                            <w:szCs w:val="20"/>
                            <w:u w:val="single"/>
                          </w:rPr>
                        </w:pPr>
                        <w:r w:rsidRPr="001471ED">
                          <w:rPr>
                            <w:rFonts w:asciiTheme="minorHAnsi" w:hAnsiTheme="minorHAnsi" w:cstheme="minorHAnsi"/>
                            <w:sz w:val="20"/>
                            <w:szCs w:val="20"/>
                            <w:u w:val="single"/>
                          </w:rPr>
                          <w:t>Správní poplatky (vidimace a legalizace)</w:t>
                        </w:r>
                      </w:p>
                      <w:p w:rsidR="001471ED" w:rsidRPr="001471ED" w:rsidRDefault="001471ED" w:rsidP="001471ED">
                        <w:pPr>
                          <w:rPr>
                            <w:rFonts w:asciiTheme="minorHAnsi" w:hAnsiTheme="minorHAnsi" w:cstheme="minorHAnsi"/>
                            <w:sz w:val="20"/>
                            <w:szCs w:val="20"/>
                          </w:rPr>
                        </w:pPr>
                        <w:r w:rsidRPr="001471ED">
                          <w:rPr>
                            <w:rFonts w:asciiTheme="minorHAnsi" w:hAnsiTheme="minorHAnsi" w:cstheme="minorHAnsi"/>
                            <w:sz w:val="20"/>
                            <w:szCs w:val="20"/>
                          </w:rPr>
                          <w:t>Viz komentář k celkovému vývoji kapitoly.</w:t>
                        </w:r>
                      </w:p>
                    </w:tc>
                  </w:tr>
                  <w:tr w:rsidR="00B95530" w:rsidRPr="001471ED" w:rsidTr="00C55ACB">
                    <w:trPr>
                      <w:gridAfter w:val="8"/>
                      <w:wAfter w:w="2744" w:type="dxa"/>
                      <w:trHeight w:val="243"/>
                    </w:trPr>
                    <w:tc>
                      <w:tcPr>
                        <w:tcW w:w="362" w:type="dxa"/>
                      </w:tcPr>
                      <w:p w:rsidR="001471ED" w:rsidRPr="001471ED" w:rsidRDefault="001471ED" w:rsidP="001471ED">
                        <w:pPr>
                          <w:rPr>
                            <w:rFonts w:asciiTheme="minorHAnsi" w:hAnsiTheme="minorHAnsi" w:cstheme="minorHAnsi"/>
                            <w:b/>
                            <w:sz w:val="20"/>
                            <w:szCs w:val="20"/>
                          </w:rPr>
                        </w:pPr>
                      </w:p>
                    </w:tc>
                    <w:tc>
                      <w:tcPr>
                        <w:tcW w:w="407" w:type="dxa"/>
                      </w:tcPr>
                      <w:p w:rsidR="001471ED" w:rsidRPr="001471ED" w:rsidRDefault="001471ED" w:rsidP="001471ED">
                        <w:pPr>
                          <w:rPr>
                            <w:rFonts w:asciiTheme="minorHAnsi" w:hAnsiTheme="minorHAnsi" w:cstheme="minorHAnsi"/>
                            <w:b/>
                            <w:sz w:val="20"/>
                            <w:szCs w:val="20"/>
                          </w:rPr>
                        </w:pPr>
                      </w:p>
                    </w:tc>
                    <w:tc>
                      <w:tcPr>
                        <w:tcW w:w="325" w:type="dxa"/>
                      </w:tcPr>
                      <w:p w:rsidR="001471ED" w:rsidRPr="001471ED" w:rsidRDefault="001471ED" w:rsidP="001471ED">
                        <w:pPr>
                          <w:rPr>
                            <w:rFonts w:asciiTheme="minorHAnsi" w:hAnsiTheme="minorHAnsi" w:cstheme="minorHAnsi"/>
                            <w:b/>
                            <w:sz w:val="20"/>
                            <w:szCs w:val="20"/>
                          </w:rPr>
                        </w:pPr>
                      </w:p>
                    </w:tc>
                    <w:tc>
                      <w:tcPr>
                        <w:tcW w:w="390" w:type="dxa"/>
                      </w:tcPr>
                      <w:p w:rsidR="001471ED" w:rsidRPr="001471ED" w:rsidRDefault="001471ED" w:rsidP="001471ED">
                        <w:pPr>
                          <w:rPr>
                            <w:rFonts w:asciiTheme="minorHAnsi" w:hAnsiTheme="minorHAnsi" w:cstheme="minorHAnsi"/>
                            <w:b/>
                            <w:sz w:val="20"/>
                            <w:szCs w:val="20"/>
                          </w:rPr>
                        </w:pPr>
                      </w:p>
                    </w:tc>
                    <w:tc>
                      <w:tcPr>
                        <w:tcW w:w="373" w:type="dxa"/>
                      </w:tcPr>
                      <w:p w:rsidR="001471ED" w:rsidRPr="001471ED" w:rsidRDefault="001471ED" w:rsidP="001471ED">
                        <w:pPr>
                          <w:rPr>
                            <w:rFonts w:asciiTheme="minorHAnsi" w:hAnsiTheme="minorHAnsi" w:cstheme="minorHAnsi"/>
                            <w:b/>
                            <w:sz w:val="20"/>
                            <w:szCs w:val="20"/>
                          </w:rPr>
                        </w:pPr>
                      </w:p>
                    </w:tc>
                    <w:tc>
                      <w:tcPr>
                        <w:tcW w:w="1186" w:type="dxa"/>
                        <w:gridSpan w:val="5"/>
                      </w:tcPr>
                      <w:p w:rsidR="001471ED" w:rsidRPr="001471ED" w:rsidRDefault="001471ED" w:rsidP="001471ED">
                        <w:pPr>
                          <w:rPr>
                            <w:rFonts w:asciiTheme="minorHAnsi" w:hAnsiTheme="minorHAnsi" w:cstheme="minorHAnsi"/>
                            <w:b/>
                            <w:sz w:val="20"/>
                            <w:szCs w:val="20"/>
                          </w:rPr>
                        </w:pPr>
                      </w:p>
                    </w:tc>
                    <w:tc>
                      <w:tcPr>
                        <w:tcW w:w="858" w:type="dxa"/>
                        <w:gridSpan w:val="2"/>
                      </w:tcPr>
                      <w:p w:rsidR="001471ED" w:rsidRPr="001471ED" w:rsidRDefault="001471ED" w:rsidP="001471ED">
                        <w:pPr>
                          <w:rPr>
                            <w:rFonts w:asciiTheme="minorHAnsi" w:hAnsiTheme="minorHAnsi" w:cstheme="minorHAnsi"/>
                            <w:b/>
                            <w:sz w:val="20"/>
                            <w:szCs w:val="20"/>
                          </w:rPr>
                        </w:pPr>
                      </w:p>
                    </w:tc>
                    <w:tc>
                      <w:tcPr>
                        <w:tcW w:w="705" w:type="dxa"/>
                      </w:tcPr>
                      <w:p w:rsidR="001471ED" w:rsidRPr="001471ED" w:rsidRDefault="001471ED" w:rsidP="001471ED">
                        <w:pPr>
                          <w:rPr>
                            <w:rFonts w:asciiTheme="minorHAnsi" w:hAnsiTheme="minorHAnsi" w:cstheme="minorHAnsi"/>
                            <w:b/>
                            <w:sz w:val="20"/>
                            <w:szCs w:val="20"/>
                          </w:rPr>
                        </w:pPr>
                      </w:p>
                    </w:tc>
                    <w:tc>
                      <w:tcPr>
                        <w:tcW w:w="239" w:type="dxa"/>
                        <w:gridSpan w:val="3"/>
                      </w:tcPr>
                      <w:p w:rsidR="001471ED" w:rsidRPr="001471ED" w:rsidRDefault="001471ED" w:rsidP="001471ED">
                        <w:pPr>
                          <w:rPr>
                            <w:rFonts w:asciiTheme="minorHAnsi" w:hAnsiTheme="minorHAnsi" w:cstheme="minorHAnsi"/>
                            <w:b/>
                            <w:sz w:val="20"/>
                            <w:szCs w:val="20"/>
                          </w:rPr>
                        </w:pPr>
                      </w:p>
                    </w:tc>
                    <w:tc>
                      <w:tcPr>
                        <w:tcW w:w="370" w:type="dxa"/>
                        <w:gridSpan w:val="2"/>
                      </w:tcPr>
                      <w:p w:rsidR="001471ED" w:rsidRPr="001471ED" w:rsidRDefault="001471ED" w:rsidP="001471ED">
                        <w:pPr>
                          <w:rPr>
                            <w:rFonts w:asciiTheme="minorHAnsi" w:hAnsiTheme="minorHAnsi" w:cstheme="minorHAnsi"/>
                            <w:b/>
                            <w:sz w:val="20"/>
                            <w:szCs w:val="20"/>
                          </w:rPr>
                        </w:pPr>
                      </w:p>
                    </w:tc>
                    <w:tc>
                      <w:tcPr>
                        <w:tcW w:w="369" w:type="dxa"/>
                        <w:gridSpan w:val="2"/>
                      </w:tcPr>
                      <w:p w:rsidR="001471ED" w:rsidRPr="001471ED" w:rsidRDefault="001471ED" w:rsidP="001471ED">
                        <w:pPr>
                          <w:rPr>
                            <w:rFonts w:asciiTheme="minorHAnsi" w:hAnsiTheme="minorHAnsi" w:cstheme="minorHAnsi"/>
                            <w:b/>
                            <w:sz w:val="20"/>
                            <w:szCs w:val="20"/>
                          </w:rPr>
                        </w:pPr>
                      </w:p>
                    </w:tc>
                    <w:tc>
                      <w:tcPr>
                        <w:tcW w:w="376" w:type="dxa"/>
                        <w:gridSpan w:val="3"/>
                      </w:tcPr>
                      <w:p w:rsidR="001471ED" w:rsidRPr="001471ED" w:rsidRDefault="001471ED" w:rsidP="001471ED">
                        <w:pPr>
                          <w:rPr>
                            <w:rFonts w:asciiTheme="minorHAnsi" w:hAnsiTheme="minorHAnsi" w:cstheme="minorHAnsi"/>
                            <w:b/>
                            <w:sz w:val="20"/>
                            <w:szCs w:val="20"/>
                          </w:rPr>
                        </w:pPr>
                      </w:p>
                    </w:tc>
                    <w:tc>
                      <w:tcPr>
                        <w:tcW w:w="369" w:type="dxa"/>
                        <w:gridSpan w:val="2"/>
                      </w:tcPr>
                      <w:p w:rsidR="001471ED" w:rsidRPr="001471ED" w:rsidRDefault="001471ED" w:rsidP="001471ED">
                        <w:pPr>
                          <w:rPr>
                            <w:rFonts w:asciiTheme="minorHAnsi" w:hAnsiTheme="minorHAnsi" w:cstheme="minorHAnsi"/>
                            <w:b/>
                            <w:sz w:val="20"/>
                            <w:szCs w:val="20"/>
                          </w:rPr>
                        </w:pPr>
                      </w:p>
                    </w:tc>
                    <w:tc>
                      <w:tcPr>
                        <w:tcW w:w="369" w:type="dxa"/>
                        <w:gridSpan w:val="3"/>
                      </w:tcPr>
                      <w:p w:rsidR="001471ED" w:rsidRPr="001471ED" w:rsidRDefault="001471ED" w:rsidP="001471ED">
                        <w:pPr>
                          <w:rPr>
                            <w:rFonts w:asciiTheme="minorHAnsi" w:hAnsiTheme="minorHAnsi" w:cstheme="minorHAnsi"/>
                            <w:b/>
                            <w:sz w:val="20"/>
                            <w:szCs w:val="20"/>
                          </w:rPr>
                        </w:pPr>
                      </w:p>
                    </w:tc>
                    <w:tc>
                      <w:tcPr>
                        <w:tcW w:w="369" w:type="dxa"/>
                        <w:gridSpan w:val="3"/>
                      </w:tcPr>
                      <w:p w:rsidR="001471ED" w:rsidRPr="001471ED" w:rsidRDefault="001471ED" w:rsidP="001471ED">
                        <w:pPr>
                          <w:rPr>
                            <w:rFonts w:asciiTheme="minorHAnsi" w:hAnsiTheme="minorHAnsi" w:cstheme="minorHAnsi"/>
                            <w:b/>
                            <w:sz w:val="20"/>
                            <w:szCs w:val="20"/>
                          </w:rPr>
                        </w:pPr>
                      </w:p>
                    </w:tc>
                    <w:tc>
                      <w:tcPr>
                        <w:tcW w:w="369" w:type="dxa"/>
                        <w:gridSpan w:val="3"/>
                      </w:tcPr>
                      <w:p w:rsidR="001471ED" w:rsidRPr="001471ED" w:rsidRDefault="001471ED" w:rsidP="001471ED">
                        <w:pPr>
                          <w:rPr>
                            <w:rFonts w:asciiTheme="minorHAnsi" w:hAnsiTheme="minorHAnsi" w:cstheme="minorHAnsi"/>
                            <w:b/>
                            <w:sz w:val="20"/>
                            <w:szCs w:val="20"/>
                          </w:rPr>
                        </w:pPr>
                      </w:p>
                    </w:tc>
                    <w:tc>
                      <w:tcPr>
                        <w:tcW w:w="369" w:type="dxa"/>
                        <w:gridSpan w:val="3"/>
                      </w:tcPr>
                      <w:p w:rsidR="001471ED" w:rsidRPr="001471ED" w:rsidRDefault="001471ED" w:rsidP="001471ED">
                        <w:pPr>
                          <w:rPr>
                            <w:rFonts w:asciiTheme="minorHAnsi" w:hAnsiTheme="minorHAnsi" w:cstheme="minorHAnsi"/>
                            <w:b/>
                            <w:sz w:val="20"/>
                            <w:szCs w:val="20"/>
                          </w:rPr>
                        </w:pPr>
                      </w:p>
                    </w:tc>
                    <w:tc>
                      <w:tcPr>
                        <w:tcW w:w="369" w:type="dxa"/>
                        <w:gridSpan w:val="3"/>
                      </w:tcPr>
                      <w:p w:rsidR="001471ED" w:rsidRPr="001471ED" w:rsidRDefault="001471ED" w:rsidP="001471ED">
                        <w:pPr>
                          <w:rPr>
                            <w:rFonts w:asciiTheme="minorHAnsi" w:hAnsiTheme="minorHAnsi" w:cstheme="minorHAnsi"/>
                            <w:b/>
                            <w:sz w:val="20"/>
                            <w:szCs w:val="20"/>
                          </w:rPr>
                        </w:pPr>
                      </w:p>
                    </w:tc>
                    <w:tc>
                      <w:tcPr>
                        <w:tcW w:w="369" w:type="dxa"/>
                        <w:gridSpan w:val="3"/>
                      </w:tcPr>
                      <w:p w:rsidR="001471ED" w:rsidRPr="001471ED" w:rsidRDefault="001471ED" w:rsidP="001471ED">
                        <w:pPr>
                          <w:rPr>
                            <w:rFonts w:asciiTheme="minorHAnsi" w:hAnsiTheme="minorHAnsi" w:cstheme="minorHAnsi"/>
                            <w:b/>
                            <w:sz w:val="20"/>
                            <w:szCs w:val="20"/>
                          </w:rPr>
                        </w:pPr>
                      </w:p>
                    </w:tc>
                    <w:tc>
                      <w:tcPr>
                        <w:tcW w:w="955" w:type="dxa"/>
                        <w:gridSpan w:val="6"/>
                      </w:tcPr>
                      <w:p w:rsidR="001471ED" w:rsidRPr="001471ED" w:rsidRDefault="001471ED" w:rsidP="001471ED">
                        <w:pPr>
                          <w:rPr>
                            <w:rFonts w:asciiTheme="minorHAnsi" w:hAnsiTheme="minorHAnsi" w:cstheme="minorHAnsi"/>
                            <w:b/>
                            <w:sz w:val="20"/>
                            <w:szCs w:val="20"/>
                          </w:rPr>
                        </w:pPr>
                      </w:p>
                    </w:tc>
                  </w:tr>
                  <w:tr w:rsidR="001471ED" w:rsidRPr="001471ED" w:rsidTr="00B95530">
                    <w:trPr>
                      <w:gridAfter w:val="11"/>
                      <w:wAfter w:w="3104" w:type="dxa"/>
                      <w:trHeight w:val="243"/>
                    </w:trPr>
                    <w:tc>
                      <w:tcPr>
                        <w:tcW w:w="9138" w:type="dxa"/>
                        <w:gridSpan w:val="46"/>
                        <w:shd w:val="clear" w:color="auto" w:fill="F79646"/>
                      </w:tcPr>
                      <w:p w:rsidR="001471ED" w:rsidRPr="001471ED" w:rsidRDefault="001471ED" w:rsidP="001471ED">
                        <w:pPr>
                          <w:rPr>
                            <w:rFonts w:asciiTheme="minorHAnsi" w:hAnsiTheme="minorHAnsi" w:cstheme="minorHAnsi"/>
                            <w:b/>
                            <w:sz w:val="20"/>
                            <w:szCs w:val="20"/>
                            <w:u w:val="single"/>
                          </w:rPr>
                        </w:pPr>
                        <w:r w:rsidRPr="001471ED">
                          <w:rPr>
                            <w:rFonts w:asciiTheme="minorHAnsi" w:hAnsiTheme="minorHAnsi" w:cstheme="minorHAnsi"/>
                            <w:b/>
                            <w:sz w:val="20"/>
                            <w:szCs w:val="20"/>
                            <w:u w:val="single"/>
                          </w:rPr>
                          <w:t>Rozbor čerpání výdajů rozpočtu kapitoly</w:t>
                        </w:r>
                      </w:p>
                    </w:tc>
                  </w:tr>
                  <w:tr w:rsidR="001471ED" w:rsidRPr="001471ED" w:rsidTr="00B95530">
                    <w:trPr>
                      <w:gridAfter w:val="2"/>
                      <w:wAfter w:w="1518" w:type="dxa"/>
                      <w:trHeight w:val="253"/>
                    </w:trPr>
                    <w:tc>
                      <w:tcPr>
                        <w:tcW w:w="362" w:type="dxa"/>
                      </w:tcPr>
                      <w:p w:rsidR="001471ED" w:rsidRPr="001471ED" w:rsidRDefault="001471ED" w:rsidP="001471ED">
                        <w:pPr>
                          <w:rPr>
                            <w:rFonts w:asciiTheme="minorHAnsi" w:hAnsiTheme="minorHAnsi" w:cstheme="minorHAnsi"/>
                            <w:b/>
                            <w:sz w:val="20"/>
                            <w:szCs w:val="20"/>
                          </w:rPr>
                        </w:pPr>
                      </w:p>
                    </w:tc>
                    <w:tc>
                      <w:tcPr>
                        <w:tcW w:w="407" w:type="dxa"/>
                      </w:tcPr>
                      <w:p w:rsidR="001471ED" w:rsidRPr="001471ED" w:rsidRDefault="001471ED" w:rsidP="001471ED">
                        <w:pPr>
                          <w:rPr>
                            <w:rFonts w:asciiTheme="minorHAnsi" w:hAnsiTheme="minorHAnsi" w:cstheme="minorHAnsi"/>
                            <w:b/>
                            <w:sz w:val="20"/>
                            <w:szCs w:val="20"/>
                          </w:rPr>
                        </w:pPr>
                      </w:p>
                    </w:tc>
                    <w:tc>
                      <w:tcPr>
                        <w:tcW w:w="325" w:type="dxa"/>
                      </w:tcPr>
                      <w:p w:rsidR="001471ED" w:rsidRPr="001471ED" w:rsidRDefault="001471ED" w:rsidP="001471ED">
                        <w:pPr>
                          <w:rPr>
                            <w:rFonts w:asciiTheme="minorHAnsi" w:hAnsiTheme="minorHAnsi" w:cstheme="minorHAnsi"/>
                            <w:b/>
                            <w:sz w:val="20"/>
                            <w:szCs w:val="20"/>
                          </w:rPr>
                        </w:pPr>
                      </w:p>
                    </w:tc>
                    <w:tc>
                      <w:tcPr>
                        <w:tcW w:w="1098" w:type="dxa"/>
                        <w:gridSpan w:val="3"/>
                      </w:tcPr>
                      <w:p w:rsidR="001471ED" w:rsidRPr="001471ED" w:rsidRDefault="001471ED" w:rsidP="001471ED">
                        <w:pPr>
                          <w:rPr>
                            <w:rFonts w:asciiTheme="minorHAnsi" w:hAnsiTheme="minorHAnsi" w:cstheme="minorHAnsi"/>
                            <w:b/>
                            <w:sz w:val="20"/>
                            <w:szCs w:val="20"/>
                          </w:rPr>
                        </w:pPr>
                      </w:p>
                    </w:tc>
                    <w:tc>
                      <w:tcPr>
                        <w:tcW w:w="160" w:type="dxa"/>
                        <w:gridSpan w:val="2"/>
                      </w:tcPr>
                      <w:p w:rsidR="001471ED" w:rsidRPr="001471ED" w:rsidRDefault="001471ED" w:rsidP="001471ED">
                        <w:pPr>
                          <w:rPr>
                            <w:rFonts w:asciiTheme="minorHAnsi" w:hAnsiTheme="minorHAnsi" w:cstheme="minorHAnsi"/>
                            <w:b/>
                            <w:sz w:val="20"/>
                            <w:szCs w:val="20"/>
                          </w:rPr>
                        </w:pPr>
                      </w:p>
                    </w:tc>
                    <w:tc>
                      <w:tcPr>
                        <w:tcW w:w="370" w:type="dxa"/>
                      </w:tcPr>
                      <w:p w:rsidR="001471ED" w:rsidRPr="001471ED" w:rsidRDefault="001471ED" w:rsidP="001471ED">
                        <w:pPr>
                          <w:rPr>
                            <w:rFonts w:asciiTheme="minorHAnsi" w:hAnsiTheme="minorHAnsi" w:cstheme="minorHAnsi"/>
                            <w:b/>
                            <w:sz w:val="20"/>
                            <w:szCs w:val="20"/>
                          </w:rPr>
                        </w:pPr>
                      </w:p>
                    </w:tc>
                    <w:tc>
                      <w:tcPr>
                        <w:tcW w:w="667" w:type="dxa"/>
                        <w:gridSpan w:val="2"/>
                      </w:tcPr>
                      <w:p w:rsidR="001471ED" w:rsidRPr="001471ED" w:rsidRDefault="001471ED" w:rsidP="001471ED">
                        <w:pPr>
                          <w:rPr>
                            <w:rFonts w:asciiTheme="minorHAnsi" w:hAnsiTheme="minorHAnsi" w:cstheme="minorHAnsi"/>
                            <w:b/>
                            <w:sz w:val="20"/>
                            <w:szCs w:val="20"/>
                          </w:rPr>
                        </w:pPr>
                      </w:p>
                    </w:tc>
                    <w:tc>
                      <w:tcPr>
                        <w:tcW w:w="1421" w:type="dxa"/>
                        <w:gridSpan w:val="4"/>
                      </w:tcPr>
                      <w:p w:rsidR="001471ED" w:rsidRPr="001471ED" w:rsidRDefault="001471ED" w:rsidP="001471ED">
                        <w:pPr>
                          <w:rPr>
                            <w:rFonts w:asciiTheme="minorHAnsi" w:hAnsiTheme="minorHAnsi" w:cstheme="minorHAnsi"/>
                            <w:b/>
                            <w:sz w:val="20"/>
                            <w:szCs w:val="20"/>
                          </w:rPr>
                        </w:pPr>
                      </w:p>
                    </w:tc>
                    <w:tc>
                      <w:tcPr>
                        <w:tcW w:w="160" w:type="dxa"/>
                        <w:gridSpan w:val="2"/>
                      </w:tcPr>
                      <w:p w:rsidR="001471ED" w:rsidRPr="001471ED" w:rsidRDefault="001471ED" w:rsidP="001471ED">
                        <w:pPr>
                          <w:rPr>
                            <w:rFonts w:asciiTheme="minorHAnsi" w:hAnsiTheme="minorHAnsi" w:cstheme="minorHAnsi"/>
                            <w:b/>
                            <w:sz w:val="20"/>
                            <w:szCs w:val="20"/>
                          </w:rPr>
                        </w:pPr>
                      </w:p>
                    </w:tc>
                    <w:tc>
                      <w:tcPr>
                        <w:tcW w:w="320" w:type="dxa"/>
                        <w:gridSpan w:val="2"/>
                      </w:tcPr>
                      <w:p w:rsidR="001471ED" w:rsidRPr="001471ED" w:rsidRDefault="001471ED" w:rsidP="001471ED">
                        <w:pPr>
                          <w:rPr>
                            <w:rFonts w:asciiTheme="minorHAnsi" w:hAnsiTheme="minorHAnsi" w:cstheme="minorHAnsi"/>
                            <w:b/>
                            <w:sz w:val="20"/>
                            <w:szCs w:val="20"/>
                          </w:rPr>
                        </w:pPr>
                      </w:p>
                    </w:tc>
                    <w:tc>
                      <w:tcPr>
                        <w:tcW w:w="420" w:type="dxa"/>
                        <w:gridSpan w:val="3"/>
                      </w:tcPr>
                      <w:p w:rsidR="001471ED" w:rsidRPr="001471ED" w:rsidRDefault="001471ED" w:rsidP="001471ED">
                        <w:pPr>
                          <w:rPr>
                            <w:rFonts w:asciiTheme="minorHAnsi" w:hAnsiTheme="minorHAnsi" w:cstheme="minorHAnsi"/>
                            <w:b/>
                            <w:sz w:val="20"/>
                            <w:szCs w:val="20"/>
                          </w:rPr>
                        </w:pPr>
                      </w:p>
                    </w:tc>
                    <w:tc>
                      <w:tcPr>
                        <w:tcW w:w="378" w:type="dxa"/>
                        <w:gridSpan w:val="2"/>
                      </w:tcPr>
                      <w:p w:rsidR="001471ED" w:rsidRPr="001471ED" w:rsidRDefault="001471ED" w:rsidP="001471ED">
                        <w:pPr>
                          <w:rPr>
                            <w:rFonts w:asciiTheme="minorHAnsi" w:hAnsiTheme="minorHAnsi" w:cstheme="minorHAnsi"/>
                            <w:b/>
                            <w:sz w:val="20"/>
                            <w:szCs w:val="20"/>
                          </w:rPr>
                        </w:pPr>
                      </w:p>
                    </w:tc>
                    <w:tc>
                      <w:tcPr>
                        <w:tcW w:w="362" w:type="dxa"/>
                        <w:gridSpan w:val="2"/>
                      </w:tcPr>
                      <w:p w:rsidR="001471ED" w:rsidRPr="001471ED" w:rsidRDefault="001471ED" w:rsidP="001471ED">
                        <w:pPr>
                          <w:rPr>
                            <w:rFonts w:asciiTheme="minorHAnsi" w:hAnsiTheme="minorHAnsi" w:cstheme="minorHAnsi"/>
                            <w:b/>
                            <w:sz w:val="20"/>
                            <w:szCs w:val="20"/>
                          </w:rPr>
                        </w:pPr>
                      </w:p>
                    </w:tc>
                    <w:tc>
                      <w:tcPr>
                        <w:tcW w:w="369" w:type="dxa"/>
                        <w:gridSpan w:val="3"/>
                      </w:tcPr>
                      <w:p w:rsidR="001471ED" w:rsidRPr="001471ED" w:rsidRDefault="001471ED" w:rsidP="001471ED">
                        <w:pPr>
                          <w:rPr>
                            <w:rFonts w:asciiTheme="minorHAnsi" w:hAnsiTheme="minorHAnsi" w:cstheme="minorHAnsi"/>
                            <w:b/>
                            <w:sz w:val="20"/>
                            <w:szCs w:val="20"/>
                          </w:rPr>
                        </w:pPr>
                      </w:p>
                    </w:tc>
                    <w:tc>
                      <w:tcPr>
                        <w:tcW w:w="369" w:type="dxa"/>
                        <w:gridSpan w:val="3"/>
                      </w:tcPr>
                      <w:p w:rsidR="001471ED" w:rsidRPr="001471ED" w:rsidRDefault="001471ED" w:rsidP="001471ED">
                        <w:pPr>
                          <w:rPr>
                            <w:rFonts w:asciiTheme="minorHAnsi" w:hAnsiTheme="minorHAnsi" w:cstheme="minorHAnsi"/>
                            <w:b/>
                            <w:sz w:val="20"/>
                            <w:szCs w:val="20"/>
                          </w:rPr>
                        </w:pPr>
                      </w:p>
                    </w:tc>
                    <w:tc>
                      <w:tcPr>
                        <w:tcW w:w="369" w:type="dxa"/>
                        <w:gridSpan w:val="3"/>
                      </w:tcPr>
                      <w:p w:rsidR="001471ED" w:rsidRPr="001471ED" w:rsidRDefault="001471ED" w:rsidP="001471ED">
                        <w:pPr>
                          <w:rPr>
                            <w:rFonts w:asciiTheme="minorHAnsi" w:hAnsiTheme="minorHAnsi" w:cstheme="minorHAnsi"/>
                            <w:b/>
                            <w:sz w:val="20"/>
                            <w:szCs w:val="20"/>
                          </w:rPr>
                        </w:pPr>
                      </w:p>
                    </w:tc>
                    <w:tc>
                      <w:tcPr>
                        <w:tcW w:w="369" w:type="dxa"/>
                        <w:gridSpan w:val="3"/>
                      </w:tcPr>
                      <w:p w:rsidR="001471ED" w:rsidRPr="001471ED" w:rsidRDefault="001471ED" w:rsidP="001471ED">
                        <w:pPr>
                          <w:rPr>
                            <w:rFonts w:asciiTheme="minorHAnsi" w:hAnsiTheme="minorHAnsi" w:cstheme="minorHAnsi"/>
                            <w:b/>
                            <w:sz w:val="20"/>
                            <w:szCs w:val="20"/>
                          </w:rPr>
                        </w:pPr>
                      </w:p>
                    </w:tc>
                    <w:tc>
                      <w:tcPr>
                        <w:tcW w:w="369" w:type="dxa"/>
                        <w:gridSpan w:val="3"/>
                      </w:tcPr>
                      <w:p w:rsidR="001471ED" w:rsidRPr="001471ED" w:rsidRDefault="001471ED" w:rsidP="001471ED">
                        <w:pPr>
                          <w:rPr>
                            <w:rFonts w:asciiTheme="minorHAnsi" w:hAnsiTheme="minorHAnsi" w:cstheme="minorHAnsi"/>
                            <w:b/>
                            <w:sz w:val="20"/>
                            <w:szCs w:val="20"/>
                          </w:rPr>
                        </w:pPr>
                      </w:p>
                    </w:tc>
                    <w:tc>
                      <w:tcPr>
                        <w:tcW w:w="369" w:type="dxa"/>
                        <w:gridSpan w:val="3"/>
                      </w:tcPr>
                      <w:p w:rsidR="001471ED" w:rsidRPr="001471ED" w:rsidRDefault="001471ED" w:rsidP="001471ED">
                        <w:pPr>
                          <w:rPr>
                            <w:rFonts w:asciiTheme="minorHAnsi" w:hAnsiTheme="minorHAnsi" w:cstheme="minorHAnsi"/>
                            <w:b/>
                            <w:sz w:val="20"/>
                            <w:szCs w:val="20"/>
                          </w:rPr>
                        </w:pPr>
                      </w:p>
                    </w:tc>
                    <w:tc>
                      <w:tcPr>
                        <w:tcW w:w="2060" w:type="dxa"/>
                        <w:gridSpan w:val="11"/>
                      </w:tcPr>
                      <w:p w:rsidR="001471ED" w:rsidRPr="001471ED" w:rsidRDefault="001471ED" w:rsidP="001471ED">
                        <w:pPr>
                          <w:rPr>
                            <w:rFonts w:asciiTheme="minorHAnsi" w:hAnsiTheme="minorHAnsi" w:cstheme="minorHAnsi"/>
                            <w:b/>
                            <w:sz w:val="20"/>
                            <w:szCs w:val="20"/>
                          </w:rPr>
                        </w:pPr>
                      </w:p>
                    </w:tc>
                  </w:tr>
                  <w:tr w:rsidR="001471ED" w:rsidRPr="001471ED" w:rsidTr="00C55ACB">
                    <w:trPr>
                      <w:gridAfter w:val="11"/>
                      <w:wAfter w:w="3104" w:type="dxa"/>
                      <w:trHeight w:val="389"/>
                    </w:trPr>
                    <w:tc>
                      <w:tcPr>
                        <w:tcW w:w="2192"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1471ED" w:rsidRPr="00C55ACB" w:rsidRDefault="001471ED" w:rsidP="001471ED">
                        <w:pPr>
                          <w:jc w:val="center"/>
                          <w:rPr>
                            <w:rFonts w:asciiTheme="minorHAnsi" w:hAnsiTheme="minorHAnsi" w:cstheme="minorHAnsi"/>
                            <w:b/>
                            <w:sz w:val="18"/>
                            <w:szCs w:val="18"/>
                          </w:rPr>
                        </w:pPr>
                        <w:r w:rsidRPr="00C55ACB">
                          <w:rPr>
                            <w:rFonts w:asciiTheme="minorHAnsi" w:hAnsiTheme="minorHAnsi" w:cstheme="minorHAnsi"/>
                            <w:b/>
                            <w:sz w:val="18"/>
                            <w:szCs w:val="18"/>
                          </w:rPr>
                          <w:t>Rozpočet upravený v tis. Kč</w:t>
                        </w:r>
                      </w:p>
                    </w:tc>
                    <w:tc>
                      <w:tcPr>
                        <w:tcW w:w="1709"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1471ED" w:rsidRPr="00C55ACB" w:rsidRDefault="001471ED" w:rsidP="001471ED">
                        <w:pPr>
                          <w:jc w:val="center"/>
                          <w:rPr>
                            <w:rFonts w:asciiTheme="minorHAnsi" w:hAnsiTheme="minorHAnsi" w:cstheme="minorHAnsi"/>
                            <w:b/>
                            <w:sz w:val="18"/>
                            <w:szCs w:val="18"/>
                          </w:rPr>
                        </w:pPr>
                        <w:r w:rsidRPr="00C55ACB">
                          <w:rPr>
                            <w:rFonts w:asciiTheme="minorHAnsi" w:hAnsiTheme="minorHAnsi" w:cstheme="minorHAnsi"/>
                            <w:b/>
                            <w:sz w:val="18"/>
                            <w:szCs w:val="18"/>
                          </w:rPr>
                          <w:t>Skutečnost v tis. Kč</w:t>
                        </w:r>
                      </w:p>
                    </w:tc>
                    <w:tc>
                      <w:tcPr>
                        <w:tcW w:w="2549" w:type="dxa"/>
                        <w:gridSpan w:val="14"/>
                        <w:tcBorders>
                          <w:top w:val="single" w:sz="4" w:space="0" w:color="auto"/>
                          <w:left w:val="single" w:sz="4" w:space="0" w:color="auto"/>
                          <w:bottom w:val="single" w:sz="4" w:space="0" w:color="auto"/>
                          <w:right w:val="single" w:sz="4" w:space="0" w:color="auto"/>
                        </w:tcBorders>
                        <w:shd w:val="clear" w:color="auto" w:fill="FFFF00"/>
                        <w:vAlign w:val="center"/>
                      </w:tcPr>
                      <w:p w:rsidR="001471ED" w:rsidRPr="00C55ACB" w:rsidRDefault="001471ED" w:rsidP="001471ED">
                        <w:pPr>
                          <w:jc w:val="center"/>
                          <w:rPr>
                            <w:rFonts w:asciiTheme="minorHAnsi" w:hAnsiTheme="minorHAnsi" w:cstheme="minorHAnsi"/>
                            <w:b/>
                            <w:sz w:val="18"/>
                            <w:szCs w:val="18"/>
                          </w:rPr>
                        </w:pPr>
                        <w:r w:rsidRPr="00C55ACB">
                          <w:rPr>
                            <w:rFonts w:asciiTheme="minorHAnsi" w:hAnsiTheme="minorHAnsi" w:cstheme="minorHAnsi"/>
                            <w:b/>
                            <w:sz w:val="18"/>
                            <w:szCs w:val="18"/>
                          </w:rPr>
                          <w:t>SK/RU v %</w:t>
                        </w:r>
                      </w:p>
                    </w:tc>
                    <w:tc>
                      <w:tcPr>
                        <w:tcW w:w="2688" w:type="dxa"/>
                        <w:gridSpan w:val="20"/>
                        <w:tcBorders>
                          <w:top w:val="single" w:sz="4" w:space="0" w:color="auto"/>
                          <w:left w:val="single" w:sz="4" w:space="0" w:color="auto"/>
                          <w:bottom w:val="single" w:sz="4" w:space="0" w:color="auto"/>
                          <w:right w:val="single" w:sz="4" w:space="0" w:color="auto"/>
                        </w:tcBorders>
                        <w:shd w:val="clear" w:color="auto" w:fill="FFFF00"/>
                        <w:vAlign w:val="center"/>
                      </w:tcPr>
                      <w:p w:rsidR="001471ED" w:rsidRPr="00C55ACB" w:rsidRDefault="001471ED" w:rsidP="001471ED">
                        <w:pPr>
                          <w:jc w:val="center"/>
                          <w:rPr>
                            <w:rFonts w:asciiTheme="minorHAnsi" w:hAnsiTheme="minorHAnsi" w:cstheme="minorHAnsi"/>
                            <w:b/>
                            <w:sz w:val="18"/>
                            <w:szCs w:val="18"/>
                          </w:rPr>
                        </w:pPr>
                        <w:r w:rsidRPr="00C55ACB">
                          <w:rPr>
                            <w:rFonts w:asciiTheme="minorHAnsi" w:hAnsiTheme="minorHAnsi" w:cstheme="minorHAnsi"/>
                            <w:b/>
                            <w:sz w:val="18"/>
                            <w:szCs w:val="18"/>
                          </w:rPr>
                          <w:t>Komentář</w:t>
                        </w:r>
                      </w:p>
                    </w:tc>
                  </w:tr>
                  <w:tr w:rsidR="001471ED" w:rsidRPr="001471ED" w:rsidTr="00C55ACB">
                    <w:trPr>
                      <w:gridAfter w:val="11"/>
                      <w:wAfter w:w="3104" w:type="dxa"/>
                      <w:trHeight w:val="243"/>
                    </w:trPr>
                    <w:tc>
                      <w:tcPr>
                        <w:tcW w:w="2192" w:type="dxa"/>
                        <w:gridSpan w:val="6"/>
                        <w:tcBorders>
                          <w:top w:val="single" w:sz="4" w:space="0" w:color="auto"/>
                          <w:left w:val="single" w:sz="4" w:space="0" w:color="auto"/>
                          <w:bottom w:val="single" w:sz="4" w:space="0" w:color="auto"/>
                          <w:right w:val="single" w:sz="4" w:space="0" w:color="auto"/>
                        </w:tcBorders>
                      </w:tcPr>
                      <w:p w:rsidR="001471ED" w:rsidRPr="00C55ACB" w:rsidRDefault="00B95530" w:rsidP="001471ED">
                        <w:pPr>
                          <w:jc w:val="right"/>
                          <w:rPr>
                            <w:rFonts w:asciiTheme="minorHAnsi" w:hAnsiTheme="minorHAnsi" w:cstheme="minorHAnsi"/>
                            <w:b/>
                            <w:sz w:val="18"/>
                            <w:szCs w:val="18"/>
                          </w:rPr>
                        </w:pPr>
                        <w:r w:rsidRPr="00C55ACB">
                          <w:rPr>
                            <w:rFonts w:asciiTheme="minorHAnsi" w:hAnsiTheme="minorHAnsi" w:cstheme="minorHAnsi"/>
                            <w:b/>
                            <w:sz w:val="18"/>
                            <w:szCs w:val="18"/>
                          </w:rPr>
                          <w:t xml:space="preserve">25 </w:t>
                        </w:r>
                        <w:r w:rsidR="001471ED" w:rsidRPr="00C55ACB">
                          <w:rPr>
                            <w:rFonts w:asciiTheme="minorHAnsi" w:hAnsiTheme="minorHAnsi" w:cstheme="minorHAnsi"/>
                            <w:b/>
                            <w:sz w:val="18"/>
                            <w:szCs w:val="18"/>
                          </w:rPr>
                          <w:t>486,49</w:t>
                        </w:r>
                      </w:p>
                    </w:tc>
                    <w:tc>
                      <w:tcPr>
                        <w:tcW w:w="1709" w:type="dxa"/>
                        <w:gridSpan w:val="6"/>
                        <w:tcBorders>
                          <w:top w:val="single" w:sz="4" w:space="0" w:color="auto"/>
                          <w:left w:val="single" w:sz="4" w:space="0" w:color="auto"/>
                          <w:bottom w:val="single" w:sz="4" w:space="0" w:color="auto"/>
                          <w:right w:val="single" w:sz="4" w:space="0" w:color="auto"/>
                        </w:tcBorders>
                      </w:tcPr>
                      <w:p w:rsidR="001471ED" w:rsidRPr="00C55ACB" w:rsidRDefault="00B95530" w:rsidP="001471ED">
                        <w:pPr>
                          <w:jc w:val="right"/>
                          <w:rPr>
                            <w:rFonts w:asciiTheme="minorHAnsi" w:hAnsiTheme="minorHAnsi" w:cstheme="minorHAnsi"/>
                            <w:b/>
                            <w:sz w:val="18"/>
                            <w:szCs w:val="18"/>
                          </w:rPr>
                        </w:pPr>
                        <w:r w:rsidRPr="00C55ACB">
                          <w:rPr>
                            <w:rFonts w:asciiTheme="minorHAnsi" w:hAnsiTheme="minorHAnsi" w:cstheme="minorHAnsi"/>
                            <w:b/>
                            <w:sz w:val="18"/>
                            <w:szCs w:val="18"/>
                          </w:rPr>
                          <w:t xml:space="preserve">25 </w:t>
                        </w:r>
                        <w:r w:rsidR="001471ED" w:rsidRPr="00C55ACB">
                          <w:rPr>
                            <w:rFonts w:asciiTheme="minorHAnsi" w:hAnsiTheme="minorHAnsi" w:cstheme="minorHAnsi"/>
                            <w:b/>
                            <w:sz w:val="18"/>
                            <w:szCs w:val="18"/>
                          </w:rPr>
                          <w:t>068,48</w:t>
                        </w:r>
                      </w:p>
                    </w:tc>
                    <w:tc>
                      <w:tcPr>
                        <w:tcW w:w="2549" w:type="dxa"/>
                        <w:gridSpan w:val="14"/>
                        <w:tcBorders>
                          <w:top w:val="single" w:sz="4" w:space="0" w:color="auto"/>
                          <w:left w:val="single" w:sz="4" w:space="0" w:color="auto"/>
                          <w:bottom w:val="single" w:sz="4" w:space="0" w:color="auto"/>
                          <w:right w:val="single" w:sz="4" w:space="0" w:color="auto"/>
                        </w:tcBorders>
                      </w:tcPr>
                      <w:p w:rsidR="001471ED" w:rsidRPr="00C55ACB" w:rsidRDefault="001471ED" w:rsidP="00B95530">
                        <w:pPr>
                          <w:jc w:val="center"/>
                          <w:rPr>
                            <w:rFonts w:asciiTheme="minorHAnsi" w:hAnsiTheme="minorHAnsi" w:cstheme="minorHAnsi"/>
                            <w:b/>
                            <w:sz w:val="18"/>
                            <w:szCs w:val="18"/>
                          </w:rPr>
                        </w:pPr>
                        <w:r w:rsidRPr="00C55ACB">
                          <w:rPr>
                            <w:rFonts w:asciiTheme="minorHAnsi" w:hAnsiTheme="minorHAnsi" w:cstheme="minorHAnsi"/>
                            <w:b/>
                            <w:sz w:val="18"/>
                            <w:szCs w:val="18"/>
                          </w:rPr>
                          <w:t>98,36</w:t>
                        </w:r>
                      </w:p>
                    </w:tc>
                    <w:tc>
                      <w:tcPr>
                        <w:tcW w:w="2688" w:type="dxa"/>
                        <w:gridSpan w:val="20"/>
                        <w:tcBorders>
                          <w:top w:val="single" w:sz="4" w:space="0" w:color="auto"/>
                          <w:left w:val="single" w:sz="4" w:space="0" w:color="auto"/>
                          <w:bottom w:val="single" w:sz="4" w:space="0" w:color="auto"/>
                          <w:right w:val="single" w:sz="4" w:space="0" w:color="auto"/>
                        </w:tcBorders>
                      </w:tcPr>
                      <w:p w:rsidR="001471ED" w:rsidRPr="00C55ACB" w:rsidRDefault="001471ED" w:rsidP="001471ED">
                        <w:pPr>
                          <w:rPr>
                            <w:rFonts w:asciiTheme="minorHAnsi" w:hAnsiTheme="minorHAnsi" w:cstheme="minorHAnsi"/>
                            <w:b/>
                            <w:sz w:val="18"/>
                            <w:szCs w:val="18"/>
                          </w:rPr>
                        </w:pPr>
                        <w:r w:rsidRPr="00C55ACB">
                          <w:rPr>
                            <w:rFonts w:asciiTheme="minorHAnsi" w:hAnsiTheme="minorHAnsi" w:cstheme="minorHAnsi"/>
                            <w:b/>
                            <w:sz w:val="18"/>
                            <w:szCs w:val="18"/>
                          </w:rPr>
                          <w:t>Výdaje před konsolidací</w:t>
                        </w:r>
                      </w:p>
                    </w:tc>
                  </w:tr>
                  <w:tr w:rsidR="001471ED" w:rsidRPr="001471ED" w:rsidTr="00C55ACB">
                    <w:trPr>
                      <w:gridAfter w:val="11"/>
                      <w:wAfter w:w="3104" w:type="dxa"/>
                      <w:trHeight w:val="243"/>
                    </w:trPr>
                    <w:tc>
                      <w:tcPr>
                        <w:tcW w:w="2192" w:type="dxa"/>
                        <w:gridSpan w:val="6"/>
                        <w:tcBorders>
                          <w:top w:val="single" w:sz="4" w:space="0" w:color="auto"/>
                          <w:left w:val="single" w:sz="4" w:space="0" w:color="auto"/>
                          <w:bottom w:val="single" w:sz="4" w:space="0" w:color="auto"/>
                          <w:right w:val="single" w:sz="4" w:space="0" w:color="auto"/>
                        </w:tcBorders>
                      </w:tcPr>
                      <w:p w:rsidR="001471ED" w:rsidRPr="00C55ACB" w:rsidRDefault="00B95530" w:rsidP="001471ED">
                        <w:pPr>
                          <w:jc w:val="right"/>
                          <w:rPr>
                            <w:rFonts w:asciiTheme="minorHAnsi" w:hAnsiTheme="minorHAnsi" w:cstheme="minorHAnsi"/>
                            <w:b/>
                            <w:sz w:val="18"/>
                            <w:szCs w:val="18"/>
                          </w:rPr>
                        </w:pPr>
                        <w:r w:rsidRPr="00C55ACB">
                          <w:rPr>
                            <w:rFonts w:asciiTheme="minorHAnsi" w:hAnsiTheme="minorHAnsi" w:cstheme="minorHAnsi"/>
                            <w:b/>
                            <w:sz w:val="18"/>
                            <w:szCs w:val="18"/>
                          </w:rPr>
                          <w:t xml:space="preserve">25 </w:t>
                        </w:r>
                        <w:r w:rsidR="001471ED" w:rsidRPr="00C55ACB">
                          <w:rPr>
                            <w:rFonts w:asciiTheme="minorHAnsi" w:hAnsiTheme="minorHAnsi" w:cstheme="minorHAnsi"/>
                            <w:b/>
                            <w:sz w:val="18"/>
                            <w:szCs w:val="18"/>
                          </w:rPr>
                          <w:t>486,49</w:t>
                        </w:r>
                      </w:p>
                    </w:tc>
                    <w:tc>
                      <w:tcPr>
                        <w:tcW w:w="1709" w:type="dxa"/>
                        <w:gridSpan w:val="6"/>
                        <w:tcBorders>
                          <w:top w:val="single" w:sz="4" w:space="0" w:color="auto"/>
                          <w:left w:val="single" w:sz="4" w:space="0" w:color="auto"/>
                          <w:bottom w:val="single" w:sz="4" w:space="0" w:color="auto"/>
                          <w:right w:val="single" w:sz="4" w:space="0" w:color="auto"/>
                        </w:tcBorders>
                      </w:tcPr>
                      <w:p w:rsidR="001471ED" w:rsidRPr="00C55ACB" w:rsidRDefault="00B95530" w:rsidP="001471ED">
                        <w:pPr>
                          <w:jc w:val="right"/>
                          <w:rPr>
                            <w:rFonts w:asciiTheme="minorHAnsi" w:hAnsiTheme="minorHAnsi" w:cstheme="minorHAnsi"/>
                            <w:b/>
                            <w:sz w:val="18"/>
                            <w:szCs w:val="18"/>
                          </w:rPr>
                        </w:pPr>
                        <w:r w:rsidRPr="00C55ACB">
                          <w:rPr>
                            <w:rFonts w:asciiTheme="minorHAnsi" w:hAnsiTheme="minorHAnsi" w:cstheme="minorHAnsi"/>
                            <w:b/>
                            <w:sz w:val="18"/>
                            <w:szCs w:val="18"/>
                          </w:rPr>
                          <w:t xml:space="preserve">25 </w:t>
                        </w:r>
                        <w:r w:rsidR="001471ED" w:rsidRPr="00C55ACB">
                          <w:rPr>
                            <w:rFonts w:asciiTheme="minorHAnsi" w:hAnsiTheme="minorHAnsi" w:cstheme="minorHAnsi"/>
                            <w:b/>
                            <w:sz w:val="18"/>
                            <w:szCs w:val="18"/>
                          </w:rPr>
                          <w:t>068,48</w:t>
                        </w:r>
                      </w:p>
                    </w:tc>
                    <w:tc>
                      <w:tcPr>
                        <w:tcW w:w="2549" w:type="dxa"/>
                        <w:gridSpan w:val="14"/>
                        <w:tcBorders>
                          <w:top w:val="single" w:sz="4" w:space="0" w:color="auto"/>
                          <w:left w:val="single" w:sz="4" w:space="0" w:color="auto"/>
                          <w:bottom w:val="single" w:sz="4" w:space="0" w:color="auto"/>
                          <w:right w:val="single" w:sz="4" w:space="0" w:color="auto"/>
                        </w:tcBorders>
                      </w:tcPr>
                      <w:p w:rsidR="001471ED" w:rsidRPr="00C55ACB" w:rsidRDefault="001471ED" w:rsidP="00B95530">
                        <w:pPr>
                          <w:jc w:val="center"/>
                          <w:rPr>
                            <w:rFonts w:asciiTheme="minorHAnsi" w:hAnsiTheme="minorHAnsi" w:cstheme="minorHAnsi"/>
                            <w:b/>
                            <w:sz w:val="18"/>
                            <w:szCs w:val="18"/>
                          </w:rPr>
                        </w:pPr>
                        <w:r w:rsidRPr="00C55ACB">
                          <w:rPr>
                            <w:rFonts w:asciiTheme="minorHAnsi" w:hAnsiTheme="minorHAnsi" w:cstheme="minorHAnsi"/>
                            <w:b/>
                            <w:sz w:val="18"/>
                            <w:szCs w:val="18"/>
                          </w:rPr>
                          <w:t>98,36</w:t>
                        </w:r>
                      </w:p>
                    </w:tc>
                    <w:tc>
                      <w:tcPr>
                        <w:tcW w:w="2688" w:type="dxa"/>
                        <w:gridSpan w:val="20"/>
                        <w:tcBorders>
                          <w:top w:val="single" w:sz="4" w:space="0" w:color="auto"/>
                          <w:left w:val="single" w:sz="4" w:space="0" w:color="auto"/>
                          <w:bottom w:val="single" w:sz="4" w:space="0" w:color="auto"/>
                          <w:right w:val="single" w:sz="4" w:space="0" w:color="auto"/>
                        </w:tcBorders>
                      </w:tcPr>
                      <w:p w:rsidR="001471ED" w:rsidRPr="00C55ACB" w:rsidRDefault="001471ED" w:rsidP="001471ED">
                        <w:pPr>
                          <w:rPr>
                            <w:rFonts w:asciiTheme="minorHAnsi" w:hAnsiTheme="minorHAnsi" w:cstheme="minorHAnsi"/>
                            <w:b/>
                            <w:sz w:val="18"/>
                            <w:szCs w:val="18"/>
                          </w:rPr>
                        </w:pPr>
                        <w:r w:rsidRPr="00C55ACB">
                          <w:rPr>
                            <w:rFonts w:asciiTheme="minorHAnsi" w:hAnsiTheme="minorHAnsi" w:cstheme="minorHAnsi"/>
                            <w:b/>
                            <w:sz w:val="18"/>
                            <w:szCs w:val="18"/>
                          </w:rPr>
                          <w:t>Výdaje po konsolidaci</w:t>
                        </w:r>
                      </w:p>
                    </w:tc>
                  </w:tr>
                  <w:tr w:rsidR="001471ED" w:rsidRPr="001471ED" w:rsidTr="00B95530">
                    <w:trPr>
                      <w:gridAfter w:val="2"/>
                      <w:wAfter w:w="1518" w:type="dxa"/>
                      <w:trHeight w:val="243"/>
                    </w:trPr>
                    <w:tc>
                      <w:tcPr>
                        <w:tcW w:w="362" w:type="dxa"/>
                      </w:tcPr>
                      <w:p w:rsidR="001471ED" w:rsidRPr="001471ED" w:rsidRDefault="001471ED" w:rsidP="001471ED">
                        <w:pPr>
                          <w:rPr>
                            <w:rFonts w:asciiTheme="minorHAnsi" w:hAnsiTheme="minorHAnsi" w:cstheme="minorHAnsi"/>
                            <w:b/>
                            <w:sz w:val="20"/>
                            <w:szCs w:val="20"/>
                          </w:rPr>
                        </w:pPr>
                      </w:p>
                    </w:tc>
                    <w:tc>
                      <w:tcPr>
                        <w:tcW w:w="407" w:type="dxa"/>
                      </w:tcPr>
                      <w:p w:rsidR="001471ED" w:rsidRPr="001471ED" w:rsidRDefault="001471ED" w:rsidP="001471ED">
                        <w:pPr>
                          <w:rPr>
                            <w:rFonts w:asciiTheme="minorHAnsi" w:hAnsiTheme="minorHAnsi" w:cstheme="minorHAnsi"/>
                            <w:b/>
                            <w:sz w:val="20"/>
                            <w:szCs w:val="20"/>
                          </w:rPr>
                        </w:pPr>
                      </w:p>
                    </w:tc>
                    <w:tc>
                      <w:tcPr>
                        <w:tcW w:w="325" w:type="dxa"/>
                      </w:tcPr>
                      <w:p w:rsidR="001471ED" w:rsidRPr="001471ED" w:rsidRDefault="001471ED" w:rsidP="001471ED">
                        <w:pPr>
                          <w:rPr>
                            <w:rFonts w:asciiTheme="minorHAnsi" w:hAnsiTheme="minorHAnsi" w:cstheme="minorHAnsi"/>
                            <w:b/>
                            <w:sz w:val="20"/>
                            <w:szCs w:val="20"/>
                          </w:rPr>
                        </w:pPr>
                      </w:p>
                    </w:tc>
                    <w:tc>
                      <w:tcPr>
                        <w:tcW w:w="1098" w:type="dxa"/>
                        <w:gridSpan w:val="3"/>
                      </w:tcPr>
                      <w:p w:rsidR="001471ED" w:rsidRPr="001471ED" w:rsidRDefault="001471ED" w:rsidP="001471ED">
                        <w:pPr>
                          <w:rPr>
                            <w:rFonts w:asciiTheme="minorHAnsi" w:hAnsiTheme="minorHAnsi" w:cstheme="minorHAnsi"/>
                            <w:b/>
                            <w:sz w:val="20"/>
                            <w:szCs w:val="20"/>
                          </w:rPr>
                        </w:pPr>
                      </w:p>
                    </w:tc>
                    <w:tc>
                      <w:tcPr>
                        <w:tcW w:w="160" w:type="dxa"/>
                        <w:gridSpan w:val="2"/>
                      </w:tcPr>
                      <w:p w:rsidR="001471ED" w:rsidRPr="001471ED" w:rsidRDefault="001471ED" w:rsidP="001471ED">
                        <w:pPr>
                          <w:rPr>
                            <w:rFonts w:asciiTheme="minorHAnsi" w:hAnsiTheme="minorHAnsi" w:cstheme="minorHAnsi"/>
                            <w:b/>
                            <w:sz w:val="20"/>
                            <w:szCs w:val="20"/>
                          </w:rPr>
                        </w:pPr>
                      </w:p>
                    </w:tc>
                    <w:tc>
                      <w:tcPr>
                        <w:tcW w:w="370" w:type="dxa"/>
                      </w:tcPr>
                      <w:p w:rsidR="001471ED" w:rsidRPr="001471ED" w:rsidRDefault="001471ED" w:rsidP="001471ED">
                        <w:pPr>
                          <w:rPr>
                            <w:rFonts w:asciiTheme="minorHAnsi" w:hAnsiTheme="minorHAnsi" w:cstheme="minorHAnsi"/>
                            <w:b/>
                            <w:sz w:val="20"/>
                            <w:szCs w:val="20"/>
                          </w:rPr>
                        </w:pPr>
                      </w:p>
                    </w:tc>
                    <w:tc>
                      <w:tcPr>
                        <w:tcW w:w="667" w:type="dxa"/>
                        <w:gridSpan w:val="2"/>
                      </w:tcPr>
                      <w:p w:rsidR="001471ED" w:rsidRPr="001471ED" w:rsidRDefault="001471ED" w:rsidP="001471ED">
                        <w:pPr>
                          <w:rPr>
                            <w:rFonts w:asciiTheme="minorHAnsi" w:hAnsiTheme="minorHAnsi" w:cstheme="minorHAnsi"/>
                            <w:b/>
                            <w:sz w:val="20"/>
                            <w:szCs w:val="20"/>
                          </w:rPr>
                        </w:pPr>
                      </w:p>
                    </w:tc>
                    <w:tc>
                      <w:tcPr>
                        <w:tcW w:w="1421" w:type="dxa"/>
                        <w:gridSpan w:val="4"/>
                      </w:tcPr>
                      <w:p w:rsidR="001471ED" w:rsidRPr="001471ED" w:rsidRDefault="001471ED" w:rsidP="001471ED">
                        <w:pPr>
                          <w:rPr>
                            <w:rFonts w:asciiTheme="minorHAnsi" w:hAnsiTheme="minorHAnsi" w:cstheme="minorHAnsi"/>
                            <w:b/>
                            <w:sz w:val="20"/>
                            <w:szCs w:val="20"/>
                          </w:rPr>
                        </w:pPr>
                      </w:p>
                    </w:tc>
                    <w:tc>
                      <w:tcPr>
                        <w:tcW w:w="160" w:type="dxa"/>
                        <w:gridSpan w:val="2"/>
                      </w:tcPr>
                      <w:p w:rsidR="001471ED" w:rsidRPr="001471ED" w:rsidRDefault="001471ED" w:rsidP="001471ED">
                        <w:pPr>
                          <w:rPr>
                            <w:rFonts w:asciiTheme="minorHAnsi" w:hAnsiTheme="minorHAnsi" w:cstheme="minorHAnsi"/>
                            <w:b/>
                            <w:sz w:val="20"/>
                            <w:szCs w:val="20"/>
                          </w:rPr>
                        </w:pPr>
                      </w:p>
                    </w:tc>
                    <w:tc>
                      <w:tcPr>
                        <w:tcW w:w="320" w:type="dxa"/>
                        <w:gridSpan w:val="2"/>
                      </w:tcPr>
                      <w:p w:rsidR="001471ED" w:rsidRPr="001471ED" w:rsidRDefault="001471ED" w:rsidP="001471ED">
                        <w:pPr>
                          <w:rPr>
                            <w:rFonts w:asciiTheme="minorHAnsi" w:hAnsiTheme="minorHAnsi" w:cstheme="minorHAnsi"/>
                            <w:b/>
                            <w:sz w:val="20"/>
                            <w:szCs w:val="20"/>
                          </w:rPr>
                        </w:pPr>
                      </w:p>
                    </w:tc>
                    <w:tc>
                      <w:tcPr>
                        <w:tcW w:w="420" w:type="dxa"/>
                        <w:gridSpan w:val="3"/>
                      </w:tcPr>
                      <w:p w:rsidR="001471ED" w:rsidRPr="001471ED" w:rsidRDefault="001471ED" w:rsidP="001471ED">
                        <w:pPr>
                          <w:rPr>
                            <w:rFonts w:asciiTheme="minorHAnsi" w:hAnsiTheme="minorHAnsi" w:cstheme="minorHAnsi"/>
                            <w:b/>
                            <w:sz w:val="20"/>
                            <w:szCs w:val="20"/>
                          </w:rPr>
                        </w:pPr>
                      </w:p>
                    </w:tc>
                    <w:tc>
                      <w:tcPr>
                        <w:tcW w:w="378" w:type="dxa"/>
                        <w:gridSpan w:val="2"/>
                      </w:tcPr>
                      <w:p w:rsidR="001471ED" w:rsidRPr="001471ED" w:rsidRDefault="001471ED" w:rsidP="001471ED">
                        <w:pPr>
                          <w:rPr>
                            <w:rFonts w:asciiTheme="minorHAnsi" w:hAnsiTheme="minorHAnsi" w:cstheme="minorHAnsi"/>
                            <w:b/>
                            <w:sz w:val="20"/>
                            <w:szCs w:val="20"/>
                          </w:rPr>
                        </w:pPr>
                      </w:p>
                    </w:tc>
                    <w:tc>
                      <w:tcPr>
                        <w:tcW w:w="362" w:type="dxa"/>
                        <w:gridSpan w:val="2"/>
                      </w:tcPr>
                      <w:p w:rsidR="001471ED" w:rsidRPr="001471ED" w:rsidRDefault="001471ED" w:rsidP="001471ED">
                        <w:pPr>
                          <w:rPr>
                            <w:rFonts w:asciiTheme="minorHAnsi" w:hAnsiTheme="minorHAnsi" w:cstheme="minorHAnsi"/>
                            <w:b/>
                            <w:sz w:val="20"/>
                            <w:szCs w:val="20"/>
                          </w:rPr>
                        </w:pPr>
                      </w:p>
                    </w:tc>
                    <w:tc>
                      <w:tcPr>
                        <w:tcW w:w="369" w:type="dxa"/>
                        <w:gridSpan w:val="3"/>
                      </w:tcPr>
                      <w:p w:rsidR="001471ED" w:rsidRPr="001471ED" w:rsidRDefault="001471ED" w:rsidP="001471ED">
                        <w:pPr>
                          <w:rPr>
                            <w:rFonts w:asciiTheme="minorHAnsi" w:hAnsiTheme="minorHAnsi" w:cstheme="minorHAnsi"/>
                            <w:b/>
                            <w:sz w:val="20"/>
                            <w:szCs w:val="20"/>
                          </w:rPr>
                        </w:pPr>
                      </w:p>
                    </w:tc>
                    <w:tc>
                      <w:tcPr>
                        <w:tcW w:w="369" w:type="dxa"/>
                        <w:gridSpan w:val="3"/>
                      </w:tcPr>
                      <w:p w:rsidR="001471ED" w:rsidRPr="001471ED" w:rsidRDefault="001471ED" w:rsidP="001471ED">
                        <w:pPr>
                          <w:rPr>
                            <w:rFonts w:asciiTheme="minorHAnsi" w:hAnsiTheme="minorHAnsi" w:cstheme="minorHAnsi"/>
                            <w:b/>
                            <w:sz w:val="20"/>
                            <w:szCs w:val="20"/>
                          </w:rPr>
                        </w:pPr>
                      </w:p>
                    </w:tc>
                    <w:tc>
                      <w:tcPr>
                        <w:tcW w:w="369" w:type="dxa"/>
                        <w:gridSpan w:val="3"/>
                      </w:tcPr>
                      <w:p w:rsidR="001471ED" w:rsidRPr="001471ED" w:rsidRDefault="001471ED" w:rsidP="001471ED">
                        <w:pPr>
                          <w:rPr>
                            <w:rFonts w:asciiTheme="minorHAnsi" w:hAnsiTheme="minorHAnsi" w:cstheme="minorHAnsi"/>
                            <w:b/>
                            <w:sz w:val="20"/>
                            <w:szCs w:val="20"/>
                          </w:rPr>
                        </w:pPr>
                      </w:p>
                    </w:tc>
                    <w:tc>
                      <w:tcPr>
                        <w:tcW w:w="369" w:type="dxa"/>
                        <w:gridSpan w:val="3"/>
                      </w:tcPr>
                      <w:p w:rsidR="001471ED" w:rsidRPr="001471ED" w:rsidRDefault="001471ED" w:rsidP="001471ED">
                        <w:pPr>
                          <w:rPr>
                            <w:rFonts w:asciiTheme="minorHAnsi" w:hAnsiTheme="minorHAnsi" w:cstheme="minorHAnsi"/>
                            <w:b/>
                            <w:sz w:val="20"/>
                            <w:szCs w:val="20"/>
                          </w:rPr>
                        </w:pPr>
                      </w:p>
                    </w:tc>
                    <w:tc>
                      <w:tcPr>
                        <w:tcW w:w="369" w:type="dxa"/>
                        <w:gridSpan w:val="3"/>
                      </w:tcPr>
                      <w:p w:rsidR="001471ED" w:rsidRPr="001471ED" w:rsidRDefault="001471ED" w:rsidP="001471ED">
                        <w:pPr>
                          <w:rPr>
                            <w:rFonts w:asciiTheme="minorHAnsi" w:hAnsiTheme="minorHAnsi" w:cstheme="minorHAnsi"/>
                            <w:b/>
                            <w:sz w:val="20"/>
                            <w:szCs w:val="20"/>
                          </w:rPr>
                        </w:pPr>
                      </w:p>
                    </w:tc>
                    <w:tc>
                      <w:tcPr>
                        <w:tcW w:w="369" w:type="dxa"/>
                        <w:gridSpan w:val="3"/>
                      </w:tcPr>
                      <w:p w:rsidR="001471ED" w:rsidRPr="001471ED" w:rsidRDefault="001471ED" w:rsidP="001471ED">
                        <w:pPr>
                          <w:rPr>
                            <w:rFonts w:asciiTheme="minorHAnsi" w:hAnsiTheme="minorHAnsi" w:cstheme="minorHAnsi"/>
                            <w:b/>
                            <w:sz w:val="20"/>
                            <w:szCs w:val="20"/>
                          </w:rPr>
                        </w:pPr>
                      </w:p>
                    </w:tc>
                    <w:tc>
                      <w:tcPr>
                        <w:tcW w:w="2060" w:type="dxa"/>
                        <w:gridSpan w:val="11"/>
                      </w:tcPr>
                      <w:p w:rsidR="001471ED" w:rsidRPr="001471ED" w:rsidRDefault="001471ED" w:rsidP="001471ED">
                        <w:pPr>
                          <w:rPr>
                            <w:rFonts w:asciiTheme="minorHAnsi" w:hAnsiTheme="minorHAnsi" w:cstheme="minorHAnsi"/>
                            <w:b/>
                            <w:sz w:val="20"/>
                            <w:szCs w:val="20"/>
                          </w:rPr>
                        </w:pPr>
                      </w:p>
                    </w:tc>
                  </w:tr>
                  <w:tr w:rsidR="001471ED" w:rsidRPr="001471ED" w:rsidTr="00B95530">
                    <w:trPr>
                      <w:gridAfter w:val="11"/>
                      <w:wAfter w:w="3104" w:type="dxa"/>
                      <w:trHeight w:val="253"/>
                    </w:trPr>
                    <w:tc>
                      <w:tcPr>
                        <w:tcW w:w="9138" w:type="dxa"/>
                        <w:gridSpan w:val="46"/>
                      </w:tcPr>
                      <w:p w:rsidR="001471ED" w:rsidRPr="001471ED" w:rsidRDefault="001471ED" w:rsidP="001471ED">
                        <w:pPr>
                          <w:rPr>
                            <w:rFonts w:asciiTheme="minorHAnsi" w:hAnsiTheme="minorHAnsi" w:cstheme="minorHAnsi"/>
                            <w:b/>
                            <w:sz w:val="20"/>
                            <w:szCs w:val="20"/>
                          </w:rPr>
                        </w:pPr>
                        <w:r w:rsidRPr="001471ED">
                          <w:rPr>
                            <w:rFonts w:asciiTheme="minorHAnsi" w:hAnsiTheme="minorHAnsi" w:cstheme="minorHAnsi"/>
                            <w:b/>
                            <w:sz w:val="20"/>
                            <w:szCs w:val="20"/>
                          </w:rPr>
                          <w:t>Stručný komentář k celkovému vývoji čerpání výdajů kapitoly ve sledovaném období</w:t>
                        </w:r>
                      </w:p>
                    </w:tc>
                  </w:tr>
                  <w:tr w:rsidR="001471ED" w:rsidRPr="001471ED" w:rsidTr="00C55ACB">
                    <w:trPr>
                      <w:gridAfter w:val="5"/>
                      <w:wAfter w:w="2008" w:type="dxa"/>
                      <w:trHeight w:val="243"/>
                    </w:trPr>
                    <w:tc>
                      <w:tcPr>
                        <w:tcW w:w="362" w:type="dxa"/>
                      </w:tcPr>
                      <w:p w:rsidR="001471ED" w:rsidRPr="001471ED" w:rsidRDefault="001471ED" w:rsidP="001471ED">
                        <w:pPr>
                          <w:rPr>
                            <w:rFonts w:asciiTheme="minorHAnsi" w:hAnsiTheme="minorHAnsi" w:cstheme="minorHAnsi"/>
                            <w:b/>
                            <w:sz w:val="20"/>
                            <w:szCs w:val="20"/>
                          </w:rPr>
                        </w:pPr>
                      </w:p>
                    </w:tc>
                    <w:tc>
                      <w:tcPr>
                        <w:tcW w:w="407" w:type="dxa"/>
                      </w:tcPr>
                      <w:p w:rsidR="001471ED" w:rsidRPr="001471ED" w:rsidRDefault="001471ED" w:rsidP="001471ED">
                        <w:pPr>
                          <w:rPr>
                            <w:rFonts w:asciiTheme="minorHAnsi" w:hAnsiTheme="minorHAnsi" w:cstheme="minorHAnsi"/>
                            <w:b/>
                            <w:sz w:val="20"/>
                            <w:szCs w:val="20"/>
                          </w:rPr>
                        </w:pPr>
                      </w:p>
                    </w:tc>
                    <w:tc>
                      <w:tcPr>
                        <w:tcW w:w="325" w:type="dxa"/>
                      </w:tcPr>
                      <w:p w:rsidR="001471ED" w:rsidRPr="001471ED" w:rsidRDefault="001471ED" w:rsidP="001471ED">
                        <w:pPr>
                          <w:rPr>
                            <w:rFonts w:asciiTheme="minorHAnsi" w:hAnsiTheme="minorHAnsi" w:cstheme="minorHAnsi"/>
                            <w:b/>
                            <w:sz w:val="20"/>
                            <w:szCs w:val="20"/>
                          </w:rPr>
                        </w:pPr>
                      </w:p>
                    </w:tc>
                    <w:tc>
                      <w:tcPr>
                        <w:tcW w:w="390" w:type="dxa"/>
                      </w:tcPr>
                      <w:p w:rsidR="001471ED" w:rsidRPr="001471ED" w:rsidRDefault="001471ED" w:rsidP="001471ED">
                        <w:pPr>
                          <w:rPr>
                            <w:rFonts w:asciiTheme="minorHAnsi" w:hAnsiTheme="minorHAnsi" w:cstheme="minorHAnsi"/>
                            <w:b/>
                            <w:sz w:val="20"/>
                            <w:szCs w:val="20"/>
                          </w:rPr>
                        </w:pPr>
                      </w:p>
                    </w:tc>
                    <w:tc>
                      <w:tcPr>
                        <w:tcW w:w="373" w:type="dxa"/>
                      </w:tcPr>
                      <w:p w:rsidR="001471ED" w:rsidRPr="001471ED" w:rsidRDefault="001471ED" w:rsidP="001471ED">
                        <w:pPr>
                          <w:rPr>
                            <w:rFonts w:asciiTheme="minorHAnsi" w:hAnsiTheme="minorHAnsi" w:cstheme="minorHAnsi"/>
                            <w:b/>
                            <w:sz w:val="20"/>
                            <w:szCs w:val="20"/>
                          </w:rPr>
                        </w:pPr>
                      </w:p>
                    </w:tc>
                    <w:tc>
                      <w:tcPr>
                        <w:tcW w:w="370" w:type="dxa"/>
                        <w:gridSpan w:val="2"/>
                      </w:tcPr>
                      <w:p w:rsidR="001471ED" w:rsidRPr="001471ED" w:rsidRDefault="001471ED" w:rsidP="001471ED">
                        <w:pPr>
                          <w:rPr>
                            <w:rFonts w:asciiTheme="minorHAnsi" w:hAnsiTheme="minorHAnsi" w:cstheme="minorHAnsi"/>
                            <w:b/>
                            <w:sz w:val="20"/>
                            <w:szCs w:val="20"/>
                          </w:rPr>
                        </w:pPr>
                      </w:p>
                    </w:tc>
                    <w:tc>
                      <w:tcPr>
                        <w:tcW w:w="816" w:type="dxa"/>
                        <w:gridSpan w:val="3"/>
                      </w:tcPr>
                      <w:p w:rsidR="001471ED" w:rsidRPr="001471ED" w:rsidRDefault="001471ED" w:rsidP="001471ED">
                        <w:pPr>
                          <w:rPr>
                            <w:rFonts w:asciiTheme="minorHAnsi" w:hAnsiTheme="minorHAnsi" w:cstheme="minorHAnsi"/>
                            <w:b/>
                            <w:sz w:val="20"/>
                            <w:szCs w:val="20"/>
                          </w:rPr>
                        </w:pPr>
                      </w:p>
                    </w:tc>
                    <w:tc>
                      <w:tcPr>
                        <w:tcW w:w="858" w:type="dxa"/>
                        <w:gridSpan w:val="2"/>
                      </w:tcPr>
                      <w:p w:rsidR="001471ED" w:rsidRPr="001471ED" w:rsidRDefault="001471ED" w:rsidP="001471ED">
                        <w:pPr>
                          <w:rPr>
                            <w:rFonts w:asciiTheme="minorHAnsi" w:hAnsiTheme="minorHAnsi" w:cstheme="minorHAnsi"/>
                            <w:b/>
                            <w:sz w:val="20"/>
                            <w:szCs w:val="20"/>
                          </w:rPr>
                        </w:pPr>
                      </w:p>
                    </w:tc>
                    <w:tc>
                      <w:tcPr>
                        <w:tcW w:w="705" w:type="dxa"/>
                      </w:tcPr>
                      <w:p w:rsidR="001471ED" w:rsidRPr="001471ED" w:rsidRDefault="001471ED" w:rsidP="001471ED">
                        <w:pPr>
                          <w:rPr>
                            <w:rFonts w:asciiTheme="minorHAnsi" w:hAnsiTheme="minorHAnsi" w:cstheme="minorHAnsi"/>
                            <w:b/>
                            <w:sz w:val="20"/>
                            <w:szCs w:val="20"/>
                          </w:rPr>
                        </w:pPr>
                      </w:p>
                    </w:tc>
                    <w:tc>
                      <w:tcPr>
                        <w:tcW w:w="189" w:type="dxa"/>
                      </w:tcPr>
                      <w:p w:rsidR="001471ED" w:rsidRPr="001471ED" w:rsidRDefault="001471ED" w:rsidP="001471ED">
                        <w:pPr>
                          <w:rPr>
                            <w:rFonts w:asciiTheme="minorHAnsi" w:hAnsiTheme="minorHAnsi" w:cstheme="minorHAnsi"/>
                            <w:b/>
                            <w:sz w:val="20"/>
                            <w:szCs w:val="20"/>
                          </w:rPr>
                        </w:pPr>
                      </w:p>
                    </w:tc>
                    <w:tc>
                      <w:tcPr>
                        <w:tcW w:w="420" w:type="dxa"/>
                        <w:gridSpan w:val="4"/>
                      </w:tcPr>
                      <w:p w:rsidR="001471ED" w:rsidRPr="001471ED" w:rsidRDefault="001471ED" w:rsidP="001471ED">
                        <w:pPr>
                          <w:rPr>
                            <w:rFonts w:asciiTheme="minorHAnsi" w:hAnsiTheme="minorHAnsi" w:cstheme="minorHAnsi"/>
                            <w:b/>
                            <w:sz w:val="20"/>
                            <w:szCs w:val="20"/>
                          </w:rPr>
                        </w:pPr>
                      </w:p>
                    </w:tc>
                    <w:tc>
                      <w:tcPr>
                        <w:tcW w:w="383" w:type="dxa"/>
                        <w:gridSpan w:val="3"/>
                      </w:tcPr>
                      <w:p w:rsidR="001471ED" w:rsidRPr="001471ED" w:rsidRDefault="001471ED" w:rsidP="001471ED">
                        <w:pPr>
                          <w:rPr>
                            <w:rFonts w:asciiTheme="minorHAnsi" w:hAnsiTheme="minorHAnsi" w:cstheme="minorHAnsi"/>
                            <w:b/>
                            <w:sz w:val="20"/>
                            <w:szCs w:val="20"/>
                          </w:rPr>
                        </w:pPr>
                      </w:p>
                    </w:tc>
                    <w:tc>
                      <w:tcPr>
                        <w:tcW w:w="362" w:type="dxa"/>
                        <w:gridSpan w:val="2"/>
                      </w:tcPr>
                      <w:p w:rsidR="001471ED" w:rsidRPr="001471ED" w:rsidRDefault="001471ED" w:rsidP="001471ED">
                        <w:pPr>
                          <w:rPr>
                            <w:rFonts w:asciiTheme="minorHAnsi" w:hAnsiTheme="minorHAnsi" w:cstheme="minorHAnsi"/>
                            <w:b/>
                            <w:sz w:val="20"/>
                            <w:szCs w:val="20"/>
                          </w:rPr>
                        </w:pPr>
                      </w:p>
                    </w:tc>
                    <w:tc>
                      <w:tcPr>
                        <w:tcW w:w="369" w:type="dxa"/>
                        <w:gridSpan w:val="2"/>
                      </w:tcPr>
                      <w:p w:rsidR="001471ED" w:rsidRPr="001471ED" w:rsidRDefault="001471ED" w:rsidP="001471ED">
                        <w:pPr>
                          <w:rPr>
                            <w:rFonts w:asciiTheme="minorHAnsi" w:hAnsiTheme="minorHAnsi" w:cstheme="minorHAnsi"/>
                            <w:b/>
                            <w:sz w:val="20"/>
                            <w:szCs w:val="20"/>
                          </w:rPr>
                        </w:pPr>
                      </w:p>
                    </w:tc>
                    <w:tc>
                      <w:tcPr>
                        <w:tcW w:w="369" w:type="dxa"/>
                        <w:gridSpan w:val="3"/>
                      </w:tcPr>
                      <w:p w:rsidR="001471ED" w:rsidRPr="001471ED" w:rsidRDefault="001471ED" w:rsidP="001471ED">
                        <w:pPr>
                          <w:rPr>
                            <w:rFonts w:asciiTheme="minorHAnsi" w:hAnsiTheme="minorHAnsi" w:cstheme="minorHAnsi"/>
                            <w:b/>
                            <w:sz w:val="20"/>
                            <w:szCs w:val="20"/>
                          </w:rPr>
                        </w:pPr>
                      </w:p>
                    </w:tc>
                    <w:tc>
                      <w:tcPr>
                        <w:tcW w:w="369" w:type="dxa"/>
                        <w:gridSpan w:val="3"/>
                      </w:tcPr>
                      <w:p w:rsidR="001471ED" w:rsidRPr="001471ED" w:rsidRDefault="001471ED" w:rsidP="001471ED">
                        <w:pPr>
                          <w:rPr>
                            <w:rFonts w:asciiTheme="minorHAnsi" w:hAnsiTheme="minorHAnsi" w:cstheme="minorHAnsi"/>
                            <w:b/>
                            <w:sz w:val="20"/>
                            <w:szCs w:val="20"/>
                          </w:rPr>
                        </w:pPr>
                      </w:p>
                    </w:tc>
                    <w:tc>
                      <w:tcPr>
                        <w:tcW w:w="369" w:type="dxa"/>
                        <w:gridSpan w:val="3"/>
                      </w:tcPr>
                      <w:p w:rsidR="001471ED" w:rsidRPr="001471ED" w:rsidRDefault="001471ED" w:rsidP="001471ED">
                        <w:pPr>
                          <w:rPr>
                            <w:rFonts w:asciiTheme="minorHAnsi" w:hAnsiTheme="minorHAnsi" w:cstheme="minorHAnsi"/>
                            <w:b/>
                            <w:sz w:val="20"/>
                            <w:szCs w:val="20"/>
                          </w:rPr>
                        </w:pPr>
                      </w:p>
                    </w:tc>
                    <w:tc>
                      <w:tcPr>
                        <w:tcW w:w="369" w:type="dxa"/>
                        <w:gridSpan w:val="3"/>
                      </w:tcPr>
                      <w:p w:rsidR="001471ED" w:rsidRPr="001471ED" w:rsidRDefault="001471ED" w:rsidP="001471ED">
                        <w:pPr>
                          <w:rPr>
                            <w:rFonts w:asciiTheme="minorHAnsi" w:hAnsiTheme="minorHAnsi" w:cstheme="minorHAnsi"/>
                            <w:b/>
                            <w:sz w:val="20"/>
                            <w:szCs w:val="20"/>
                          </w:rPr>
                        </w:pPr>
                      </w:p>
                    </w:tc>
                    <w:tc>
                      <w:tcPr>
                        <w:tcW w:w="369" w:type="dxa"/>
                        <w:gridSpan w:val="3"/>
                      </w:tcPr>
                      <w:p w:rsidR="001471ED" w:rsidRPr="001471ED" w:rsidRDefault="001471ED" w:rsidP="001471ED">
                        <w:pPr>
                          <w:rPr>
                            <w:rFonts w:asciiTheme="minorHAnsi" w:hAnsiTheme="minorHAnsi" w:cstheme="minorHAnsi"/>
                            <w:b/>
                            <w:sz w:val="20"/>
                            <w:szCs w:val="20"/>
                          </w:rPr>
                        </w:pPr>
                      </w:p>
                    </w:tc>
                    <w:tc>
                      <w:tcPr>
                        <w:tcW w:w="2060" w:type="dxa"/>
                        <w:gridSpan w:val="12"/>
                      </w:tcPr>
                      <w:p w:rsidR="001471ED" w:rsidRPr="001471ED" w:rsidRDefault="001471ED" w:rsidP="001471ED">
                        <w:pPr>
                          <w:rPr>
                            <w:rFonts w:asciiTheme="minorHAnsi" w:hAnsiTheme="minorHAnsi" w:cstheme="minorHAnsi"/>
                            <w:b/>
                            <w:sz w:val="20"/>
                            <w:szCs w:val="20"/>
                          </w:rPr>
                        </w:pPr>
                      </w:p>
                    </w:tc>
                  </w:tr>
                  <w:tr w:rsidR="001471ED" w:rsidRPr="001471ED" w:rsidTr="00B95530">
                    <w:trPr>
                      <w:gridAfter w:val="11"/>
                      <w:wAfter w:w="3104" w:type="dxa"/>
                      <w:trHeight w:val="751"/>
                    </w:trPr>
                    <w:tc>
                      <w:tcPr>
                        <w:tcW w:w="9138" w:type="dxa"/>
                        <w:gridSpan w:val="46"/>
                      </w:tcPr>
                      <w:p w:rsidR="001471ED" w:rsidRPr="001471ED" w:rsidRDefault="001471ED" w:rsidP="001471ED">
                        <w:pPr>
                          <w:jc w:val="both"/>
                          <w:rPr>
                            <w:rFonts w:asciiTheme="minorHAnsi" w:hAnsiTheme="minorHAnsi" w:cstheme="minorHAnsi"/>
                            <w:sz w:val="20"/>
                            <w:szCs w:val="20"/>
                          </w:rPr>
                        </w:pPr>
                        <w:r w:rsidRPr="001471ED">
                          <w:rPr>
                            <w:rFonts w:asciiTheme="minorHAnsi" w:hAnsiTheme="minorHAnsi" w:cstheme="minorHAnsi"/>
                            <w:sz w:val="20"/>
                            <w:szCs w:val="20"/>
                          </w:rPr>
                          <w:lastRenderedPageBreak/>
                          <w:t xml:space="preserve">Za rok 2022 vykazují výdaje kapitoly 10 čerpání na 98,36 % a nepřekračují rozpočtovaný limit. </w:t>
                        </w:r>
                      </w:p>
                      <w:p w:rsidR="001471ED" w:rsidRPr="001471ED" w:rsidRDefault="001471ED" w:rsidP="001471ED">
                        <w:pPr>
                          <w:jc w:val="both"/>
                          <w:rPr>
                            <w:rFonts w:asciiTheme="minorHAnsi" w:hAnsiTheme="minorHAnsi" w:cstheme="minorHAnsi"/>
                            <w:sz w:val="20"/>
                            <w:szCs w:val="20"/>
                          </w:rPr>
                        </w:pPr>
                        <w:r w:rsidRPr="001471ED">
                          <w:rPr>
                            <w:rFonts w:asciiTheme="minorHAnsi" w:hAnsiTheme="minorHAnsi" w:cstheme="minorHAnsi"/>
                            <w:sz w:val="20"/>
                            <w:szCs w:val="20"/>
                          </w:rPr>
                          <w:t xml:space="preserve">Nižší čerpání vykazují tři položky, tj. věcné dary a čerpání kancelářských potřeb a pohoštění na jednáních osadních výborů (osadní výbory nečerpaly).  </w:t>
                        </w:r>
                      </w:p>
                    </w:tc>
                  </w:tr>
                  <w:tr w:rsidR="001471ED" w:rsidRPr="001471ED" w:rsidTr="00C55ACB">
                    <w:trPr>
                      <w:gridAfter w:val="5"/>
                      <w:wAfter w:w="2008" w:type="dxa"/>
                      <w:trHeight w:val="253"/>
                    </w:trPr>
                    <w:tc>
                      <w:tcPr>
                        <w:tcW w:w="362" w:type="dxa"/>
                      </w:tcPr>
                      <w:p w:rsidR="001471ED" w:rsidRPr="001471ED" w:rsidRDefault="001471ED" w:rsidP="001471ED">
                        <w:pPr>
                          <w:rPr>
                            <w:rFonts w:asciiTheme="minorHAnsi" w:hAnsiTheme="minorHAnsi" w:cstheme="minorHAnsi"/>
                            <w:b/>
                            <w:sz w:val="20"/>
                            <w:szCs w:val="20"/>
                          </w:rPr>
                        </w:pPr>
                      </w:p>
                    </w:tc>
                    <w:tc>
                      <w:tcPr>
                        <w:tcW w:w="407" w:type="dxa"/>
                      </w:tcPr>
                      <w:p w:rsidR="001471ED" w:rsidRPr="001471ED" w:rsidRDefault="001471ED" w:rsidP="001471ED">
                        <w:pPr>
                          <w:rPr>
                            <w:rFonts w:asciiTheme="minorHAnsi" w:hAnsiTheme="minorHAnsi" w:cstheme="minorHAnsi"/>
                            <w:b/>
                            <w:sz w:val="20"/>
                            <w:szCs w:val="20"/>
                          </w:rPr>
                        </w:pPr>
                      </w:p>
                    </w:tc>
                    <w:tc>
                      <w:tcPr>
                        <w:tcW w:w="325" w:type="dxa"/>
                      </w:tcPr>
                      <w:p w:rsidR="001471ED" w:rsidRPr="001471ED" w:rsidRDefault="001471ED" w:rsidP="001471ED">
                        <w:pPr>
                          <w:rPr>
                            <w:rFonts w:asciiTheme="minorHAnsi" w:hAnsiTheme="minorHAnsi" w:cstheme="minorHAnsi"/>
                            <w:b/>
                            <w:sz w:val="20"/>
                            <w:szCs w:val="20"/>
                          </w:rPr>
                        </w:pPr>
                      </w:p>
                    </w:tc>
                    <w:tc>
                      <w:tcPr>
                        <w:tcW w:w="390" w:type="dxa"/>
                      </w:tcPr>
                      <w:p w:rsidR="001471ED" w:rsidRPr="001471ED" w:rsidRDefault="001471ED" w:rsidP="001471ED">
                        <w:pPr>
                          <w:rPr>
                            <w:rFonts w:asciiTheme="minorHAnsi" w:hAnsiTheme="minorHAnsi" w:cstheme="minorHAnsi"/>
                            <w:b/>
                            <w:sz w:val="20"/>
                            <w:szCs w:val="20"/>
                          </w:rPr>
                        </w:pPr>
                      </w:p>
                    </w:tc>
                    <w:tc>
                      <w:tcPr>
                        <w:tcW w:w="373" w:type="dxa"/>
                      </w:tcPr>
                      <w:p w:rsidR="001471ED" w:rsidRPr="001471ED" w:rsidRDefault="001471ED" w:rsidP="001471ED">
                        <w:pPr>
                          <w:rPr>
                            <w:rFonts w:asciiTheme="minorHAnsi" w:hAnsiTheme="minorHAnsi" w:cstheme="minorHAnsi"/>
                            <w:b/>
                            <w:sz w:val="20"/>
                            <w:szCs w:val="20"/>
                          </w:rPr>
                        </w:pPr>
                      </w:p>
                    </w:tc>
                    <w:tc>
                      <w:tcPr>
                        <w:tcW w:w="370" w:type="dxa"/>
                        <w:gridSpan w:val="2"/>
                      </w:tcPr>
                      <w:p w:rsidR="001471ED" w:rsidRPr="001471ED" w:rsidRDefault="001471ED" w:rsidP="001471ED">
                        <w:pPr>
                          <w:rPr>
                            <w:rFonts w:asciiTheme="minorHAnsi" w:hAnsiTheme="minorHAnsi" w:cstheme="minorHAnsi"/>
                            <w:b/>
                            <w:sz w:val="20"/>
                            <w:szCs w:val="20"/>
                          </w:rPr>
                        </w:pPr>
                      </w:p>
                    </w:tc>
                    <w:tc>
                      <w:tcPr>
                        <w:tcW w:w="816" w:type="dxa"/>
                        <w:gridSpan w:val="3"/>
                      </w:tcPr>
                      <w:p w:rsidR="001471ED" w:rsidRPr="001471ED" w:rsidRDefault="001471ED" w:rsidP="001471ED">
                        <w:pPr>
                          <w:rPr>
                            <w:rFonts w:asciiTheme="minorHAnsi" w:hAnsiTheme="minorHAnsi" w:cstheme="minorHAnsi"/>
                            <w:b/>
                            <w:sz w:val="20"/>
                            <w:szCs w:val="20"/>
                          </w:rPr>
                        </w:pPr>
                      </w:p>
                    </w:tc>
                    <w:tc>
                      <w:tcPr>
                        <w:tcW w:w="858" w:type="dxa"/>
                        <w:gridSpan w:val="2"/>
                      </w:tcPr>
                      <w:p w:rsidR="001471ED" w:rsidRPr="001471ED" w:rsidRDefault="001471ED" w:rsidP="001471ED">
                        <w:pPr>
                          <w:rPr>
                            <w:rFonts w:asciiTheme="minorHAnsi" w:hAnsiTheme="minorHAnsi" w:cstheme="minorHAnsi"/>
                            <w:b/>
                            <w:sz w:val="20"/>
                            <w:szCs w:val="20"/>
                          </w:rPr>
                        </w:pPr>
                      </w:p>
                    </w:tc>
                    <w:tc>
                      <w:tcPr>
                        <w:tcW w:w="705" w:type="dxa"/>
                      </w:tcPr>
                      <w:p w:rsidR="001471ED" w:rsidRPr="001471ED" w:rsidRDefault="001471ED" w:rsidP="001471ED">
                        <w:pPr>
                          <w:rPr>
                            <w:rFonts w:asciiTheme="minorHAnsi" w:hAnsiTheme="minorHAnsi" w:cstheme="minorHAnsi"/>
                            <w:b/>
                            <w:sz w:val="20"/>
                            <w:szCs w:val="20"/>
                          </w:rPr>
                        </w:pPr>
                      </w:p>
                    </w:tc>
                    <w:tc>
                      <w:tcPr>
                        <w:tcW w:w="189" w:type="dxa"/>
                      </w:tcPr>
                      <w:p w:rsidR="001471ED" w:rsidRPr="001471ED" w:rsidRDefault="001471ED" w:rsidP="001471ED">
                        <w:pPr>
                          <w:rPr>
                            <w:rFonts w:asciiTheme="minorHAnsi" w:hAnsiTheme="minorHAnsi" w:cstheme="minorHAnsi"/>
                            <w:b/>
                            <w:sz w:val="20"/>
                            <w:szCs w:val="20"/>
                          </w:rPr>
                        </w:pPr>
                      </w:p>
                    </w:tc>
                    <w:tc>
                      <w:tcPr>
                        <w:tcW w:w="420" w:type="dxa"/>
                        <w:gridSpan w:val="4"/>
                      </w:tcPr>
                      <w:p w:rsidR="001471ED" w:rsidRPr="001471ED" w:rsidRDefault="001471ED" w:rsidP="001471ED">
                        <w:pPr>
                          <w:rPr>
                            <w:rFonts w:asciiTheme="minorHAnsi" w:hAnsiTheme="minorHAnsi" w:cstheme="minorHAnsi"/>
                            <w:b/>
                            <w:sz w:val="20"/>
                            <w:szCs w:val="20"/>
                          </w:rPr>
                        </w:pPr>
                      </w:p>
                    </w:tc>
                    <w:tc>
                      <w:tcPr>
                        <w:tcW w:w="383" w:type="dxa"/>
                        <w:gridSpan w:val="3"/>
                      </w:tcPr>
                      <w:p w:rsidR="001471ED" w:rsidRPr="001471ED" w:rsidRDefault="001471ED" w:rsidP="001471ED">
                        <w:pPr>
                          <w:rPr>
                            <w:rFonts w:asciiTheme="minorHAnsi" w:hAnsiTheme="minorHAnsi" w:cstheme="minorHAnsi"/>
                            <w:b/>
                            <w:sz w:val="20"/>
                            <w:szCs w:val="20"/>
                          </w:rPr>
                        </w:pPr>
                      </w:p>
                    </w:tc>
                    <w:tc>
                      <w:tcPr>
                        <w:tcW w:w="362" w:type="dxa"/>
                        <w:gridSpan w:val="2"/>
                      </w:tcPr>
                      <w:p w:rsidR="001471ED" w:rsidRPr="001471ED" w:rsidRDefault="001471ED" w:rsidP="001471ED">
                        <w:pPr>
                          <w:rPr>
                            <w:rFonts w:asciiTheme="minorHAnsi" w:hAnsiTheme="minorHAnsi" w:cstheme="minorHAnsi"/>
                            <w:b/>
                            <w:sz w:val="20"/>
                            <w:szCs w:val="20"/>
                          </w:rPr>
                        </w:pPr>
                      </w:p>
                    </w:tc>
                    <w:tc>
                      <w:tcPr>
                        <w:tcW w:w="369" w:type="dxa"/>
                        <w:gridSpan w:val="2"/>
                      </w:tcPr>
                      <w:p w:rsidR="001471ED" w:rsidRPr="001471ED" w:rsidRDefault="001471ED" w:rsidP="001471ED">
                        <w:pPr>
                          <w:rPr>
                            <w:rFonts w:asciiTheme="minorHAnsi" w:hAnsiTheme="minorHAnsi" w:cstheme="minorHAnsi"/>
                            <w:b/>
                            <w:sz w:val="20"/>
                            <w:szCs w:val="20"/>
                          </w:rPr>
                        </w:pPr>
                      </w:p>
                    </w:tc>
                    <w:tc>
                      <w:tcPr>
                        <w:tcW w:w="369" w:type="dxa"/>
                        <w:gridSpan w:val="3"/>
                      </w:tcPr>
                      <w:p w:rsidR="001471ED" w:rsidRPr="001471ED" w:rsidRDefault="001471ED" w:rsidP="001471ED">
                        <w:pPr>
                          <w:rPr>
                            <w:rFonts w:asciiTheme="minorHAnsi" w:hAnsiTheme="minorHAnsi" w:cstheme="minorHAnsi"/>
                            <w:b/>
                            <w:sz w:val="20"/>
                            <w:szCs w:val="20"/>
                          </w:rPr>
                        </w:pPr>
                      </w:p>
                    </w:tc>
                    <w:tc>
                      <w:tcPr>
                        <w:tcW w:w="369" w:type="dxa"/>
                        <w:gridSpan w:val="3"/>
                      </w:tcPr>
                      <w:p w:rsidR="001471ED" w:rsidRPr="001471ED" w:rsidRDefault="001471ED" w:rsidP="001471ED">
                        <w:pPr>
                          <w:rPr>
                            <w:rFonts w:asciiTheme="minorHAnsi" w:hAnsiTheme="minorHAnsi" w:cstheme="minorHAnsi"/>
                            <w:b/>
                            <w:sz w:val="20"/>
                            <w:szCs w:val="20"/>
                          </w:rPr>
                        </w:pPr>
                      </w:p>
                    </w:tc>
                    <w:tc>
                      <w:tcPr>
                        <w:tcW w:w="369" w:type="dxa"/>
                        <w:gridSpan w:val="3"/>
                      </w:tcPr>
                      <w:p w:rsidR="001471ED" w:rsidRPr="001471ED" w:rsidRDefault="001471ED" w:rsidP="001471ED">
                        <w:pPr>
                          <w:rPr>
                            <w:rFonts w:asciiTheme="minorHAnsi" w:hAnsiTheme="minorHAnsi" w:cstheme="minorHAnsi"/>
                            <w:b/>
                            <w:sz w:val="20"/>
                            <w:szCs w:val="20"/>
                          </w:rPr>
                        </w:pPr>
                      </w:p>
                    </w:tc>
                    <w:tc>
                      <w:tcPr>
                        <w:tcW w:w="369" w:type="dxa"/>
                        <w:gridSpan w:val="3"/>
                      </w:tcPr>
                      <w:p w:rsidR="001471ED" w:rsidRPr="001471ED" w:rsidRDefault="001471ED" w:rsidP="001471ED">
                        <w:pPr>
                          <w:rPr>
                            <w:rFonts w:asciiTheme="minorHAnsi" w:hAnsiTheme="minorHAnsi" w:cstheme="minorHAnsi"/>
                            <w:b/>
                            <w:sz w:val="20"/>
                            <w:szCs w:val="20"/>
                          </w:rPr>
                        </w:pPr>
                      </w:p>
                    </w:tc>
                    <w:tc>
                      <w:tcPr>
                        <w:tcW w:w="369" w:type="dxa"/>
                        <w:gridSpan w:val="3"/>
                      </w:tcPr>
                      <w:p w:rsidR="001471ED" w:rsidRPr="001471ED" w:rsidRDefault="001471ED" w:rsidP="001471ED">
                        <w:pPr>
                          <w:rPr>
                            <w:rFonts w:asciiTheme="minorHAnsi" w:hAnsiTheme="minorHAnsi" w:cstheme="minorHAnsi"/>
                            <w:b/>
                            <w:sz w:val="20"/>
                            <w:szCs w:val="20"/>
                          </w:rPr>
                        </w:pPr>
                      </w:p>
                    </w:tc>
                    <w:tc>
                      <w:tcPr>
                        <w:tcW w:w="2060" w:type="dxa"/>
                        <w:gridSpan w:val="12"/>
                      </w:tcPr>
                      <w:p w:rsidR="001471ED" w:rsidRPr="001471ED" w:rsidRDefault="001471ED" w:rsidP="001471ED">
                        <w:pPr>
                          <w:rPr>
                            <w:rFonts w:asciiTheme="minorHAnsi" w:hAnsiTheme="minorHAnsi" w:cstheme="minorHAnsi"/>
                            <w:b/>
                            <w:sz w:val="20"/>
                            <w:szCs w:val="20"/>
                          </w:rPr>
                        </w:pPr>
                      </w:p>
                    </w:tc>
                  </w:tr>
                </w:tbl>
                <w:p w:rsidR="001471ED" w:rsidRPr="001471ED" w:rsidRDefault="001471ED" w:rsidP="001471ED">
                  <w:pPr>
                    <w:rPr>
                      <w:rFonts w:asciiTheme="minorHAnsi" w:hAnsiTheme="minorHAnsi" w:cstheme="minorHAnsi"/>
                      <w:sz w:val="20"/>
                      <w:szCs w:val="20"/>
                    </w:rPr>
                  </w:pPr>
                  <w:r w:rsidRPr="001471ED">
                    <w:rPr>
                      <w:rFonts w:asciiTheme="minorHAnsi" w:hAnsiTheme="minorHAnsi" w:cstheme="minorHAnsi"/>
                      <w:sz w:val="20"/>
                      <w:szCs w:val="20"/>
                    </w:rPr>
                    <w:br w:type="page"/>
                  </w:r>
                </w:p>
                <w:tbl>
                  <w:tblPr>
                    <w:tblW w:w="9146" w:type="dxa"/>
                    <w:tblLayout w:type="fixed"/>
                    <w:tblCellMar>
                      <w:left w:w="70" w:type="dxa"/>
                      <w:right w:w="70" w:type="dxa"/>
                    </w:tblCellMar>
                    <w:tblLook w:val="0000" w:firstRow="0" w:lastRow="0" w:firstColumn="0" w:lastColumn="0" w:noHBand="0" w:noVBand="0"/>
                  </w:tblPr>
                  <w:tblGrid>
                    <w:gridCol w:w="780"/>
                    <w:gridCol w:w="709"/>
                    <w:gridCol w:w="1561"/>
                    <w:gridCol w:w="709"/>
                    <w:gridCol w:w="851"/>
                    <w:gridCol w:w="992"/>
                    <w:gridCol w:w="3544"/>
                  </w:tblGrid>
                  <w:tr w:rsidR="001471ED" w:rsidRPr="001471ED" w:rsidTr="00502C20">
                    <w:trPr>
                      <w:trHeight w:val="616"/>
                    </w:trPr>
                    <w:tc>
                      <w:tcPr>
                        <w:tcW w:w="9146" w:type="dxa"/>
                        <w:gridSpan w:val="7"/>
                      </w:tcPr>
                      <w:p w:rsidR="001471ED" w:rsidRPr="001471ED" w:rsidRDefault="001471ED" w:rsidP="00B95530">
                        <w:pPr>
                          <w:jc w:val="both"/>
                          <w:rPr>
                            <w:rFonts w:asciiTheme="minorHAnsi" w:hAnsiTheme="minorHAnsi" w:cstheme="minorHAnsi"/>
                            <w:b/>
                            <w:sz w:val="20"/>
                            <w:szCs w:val="20"/>
                          </w:rPr>
                        </w:pPr>
                        <w:r w:rsidRPr="001471ED">
                          <w:rPr>
                            <w:rFonts w:asciiTheme="minorHAnsi" w:hAnsiTheme="minorHAnsi" w:cstheme="minorHAnsi"/>
                            <w:b/>
                            <w:sz w:val="20"/>
                            <w:szCs w:val="20"/>
                          </w:rPr>
                          <w:t>Komentář k položkám (akcím), které vykázaly abnormalitu v řádném čerp</w:t>
                        </w:r>
                        <w:r w:rsidR="00B95530">
                          <w:rPr>
                            <w:rFonts w:asciiTheme="minorHAnsi" w:hAnsiTheme="minorHAnsi" w:cstheme="minorHAnsi"/>
                            <w:b/>
                            <w:sz w:val="20"/>
                            <w:szCs w:val="20"/>
                          </w:rPr>
                          <w:t>ání výdajů rozpočtu kapitoly ve </w:t>
                        </w:r>
                        <w:r w:rsidRPr="001471ED">
                          <w:rPr>
                            <w:rFonts w:asciiTheme="minorHAnsi" w:hAnsiTheme="minorHAnsi" w:cstheme="minorHAnsi"/>
                            <w:b/>
                            <w:sz w:val="20"/>
                            <w:szCs w:val="20"/>
                          </w:rPr>
                          <w:t>sledovaném období</w:t>
                        </w:r>
                      </w:p>
                    </w:tc>
                  </w:tr>
                  <w:tr w:rsidR="001471ED" w:rsidRPr="001471ED" w:rsidTr="000A3C9C">
                    <w:trPr>
                      <w:trHeight w:val="643"/>
                    </w:trPr>
                    <w:tc>
                      <w:tcPr>
                        <w:tcW w:w="780" w:type="dxa"/>
                        <w:tcBorders>
                          <w:top w:val="single" w:sz="4" w:space="0" w:color="auto"/>
                          <w:left w:val="single" w:sz="4" w:space="0" w:color="auto"/>
                          <w:bottom w:val="single" w:sz="4" w:space="0" w:color="auto"/>
                          <w:right w:val="single" w:sz="4" w:space="0" w:color="auto"/>
                        </w:tcBorders>
                        <w:shd w:val="clear" w:color="auto" w:fill="FFFF00"/>
                        <w:vAlign w:val="center"/>
                      </w:tcPr>
                      <w:p w:rsidR="001471ED" w:rsidRPr="001471ED" w:rsidRDefault="001471ED" w:rsidP="00502C20">
                        <w:pPr>
                          <w:jc w:val="center"/>
                          <w:rPr>
                            <w:rFonts w:asciiTheme="minorHAnsi" w:hAnsiTheme="minorHAnsi" w:cstheme="minorHAnsi"/>
                            <w:b/>
                            <w:sz w:val="16"/>
                            <w:szCs w:val="16"/>
                          </w:rPr>
                        </w:pPr>
                        <w:r w:rsidRPr="001471ED">
                          <w:rPr>
                            <w:rFonts w:asciiTheme="minorHAnsi" w:hAnsiTheme="minorHAnsi" w:cstheme="minorHAnsi"/>
                            <w:b/>
                            <w:sz w:val="16"/>
                            <w:szCs w:val="16"/>
                          </w:rPr>
                          <w:t>Oddíl, paragraf</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1471ED" w:rsidRPr="001471ED" w:rsidRDefault="001471ED" w:rsidP="00502C20">
                        <w:pPr>
                          <w:jc w:val="center"/>
                          <w:rPr>
                            <w:rFonts w:asciiTheme="minorHAnsi" w:hAnsiTheme="minorHAnsi" w:cstheme="minorHAnsi"/>
                            <w:b/>
                            <w:sz w:val="16"/>
                            <w:szCs w:val="16"/>
                          </w:rPr>
                        </w:pPr>
                        <w:r w:rsidRPr="001471ED">
                          <w:rPr>
                            <w:rFonts w:asciiTheme="minorHAnsi" w:hAnsiTheme="minorHAnsi" w:cstheme="minorHAnsi"/>
                            <w:b/>
                            <w:sz w:val="16"/>
                            <w:szCs w:val="16"/>
                          </w:rPr>
                          <w:t>Položka</w:t>
                        </w:r>
                      </w:p>
                    </w:tc>
                    <w:tc>
                      <w:tcPr>
                        <w:tcW w:w="1561" w:type="dxa"/>
                        <w:tcBorders>
                          <w:top w:val="single" w:sz="4" w:space="0" w:color="auto"/>
                          <w:left w:val="single" w:sz="4" w:space="0" w:color="auto"/>
                          <w:bottom w:val="single" w:sz="4" w:space="0" w:color="auto"/>
                          <w:right w:val="single" w:sz="4" w:space="0" w:color="auto"/>
                        </w:tcBorders>
                        <w:shd w:val="clear" w:color="auto" w:fill="FFFF00"/>
                        <w:vAlign w:val="center"/>
                      </w:tcPr>
                      <w:p w:rsidR="001471ED" w:rsidRPr="001471ED" w:rsidRDefault="001471ED" w:rsidP="00502C20">
                        <w:pPr>
                          <w:jc w:val="center"/>
                          <w:rPr>
                            <w:rFonts w:asciiTheme="minorHAnsi" w:hAnsiTheme="minorHAnsi" w:cstheme="minorHAnsi"/>
                            <w:b/>
                            <w:sz w:val="16"/>
                            <w:szCs w:val="16"/>
                          </w:rPr>
                        </w:pPr>
                        <w:r w:rsidRPr="001471ED">
                          <w:rPr>
                            <w:rFonts w:asciiTheme="minorHAnsi" w:hAnsiTheme="minorHAnsi" w:cstheme="minorHAnsi"/>
                            <w:b/>
                            <w:sz w:val="16"/>
                            <w:szCs w:val="16"/>
                          </w:rPr>
                          <w:t>Organizace</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1471ED" w:rsidRPr="001471ED" w:rsidRDefault="001471ED" w:rsidP="00502C20">
                        <w:pPr>
                          <w:jc w:val="center"/>
                          <w:rPr>
                            <w:rFonts w:asciiTheme="minorHAnsi" w:hAnsiTheme="minorHAnsi" w:cstheme="minorHAnsi"/>
                            <w:b/>
                            <w:sz w:val="16"/>
                            <w:szCs w:val="16"/>
                          </w:rPr>
                        </w:pPr>
                        <w:r w:rsidRPr="001471ED">
                          <w:rPr>
                            <w:rFonts w:asciiTheme="minorHAnsi" w:hAnsiTheme="minorHAnsi" w:cstheme="minorHAnsi"/>
                            <w:b/>
                            <w:sz w:val="16"/>
                            <w:szCs w:val="16"/>
                          </w:rPr>
                          <w:t>Účelový zdroj</w:t>
                        </w:r>
                      </w:p>
                    </w:tc>
                    <w:tc>
                      <w:tcPr>
                        <w:tcW w:w="851" w:type="dxa"/>
                        <w:tcBorders>
                          <w:top w:val="single" w:sz="4" w:space="0" w:color="auto"/>
                          <w:left w:val="single" w:sz="4" w:space="0" w:color="auto"/>
                          <w:bottom w:val="single" w:sz="4" w:space="0" w:color="auto"/>
                          <w:right w:val="single" w:sz="4" w:space="0" w:color="auto"/>
                        </w:tcBorders>
                        <w:shd w:val="clear" w:color="auto" w:fill="FFFF00"/>
                        <w:vAlign w:val="center"/>
                      </w:tcPr>
                      <w:p w:rsidR="001471ED" w:rsidRPr="001471ED" w:rsidRDefault="001471ED" w:rsidP="00502C20">
                        <w:pPr>
                          <w:jc w:val="center"/>
                          <w:rPr>
                            <w:rFonts w:asciiTheme="minorHAnsi" w:hAnsiTheme="minorHAnsi" w:cstheme="minorHAnsi"/>
                            <w:b/>
                            <w:sz w:val="16"/>
                            <w:szCs w:val="16"/>
                          </w:rPr>
                        </w:pPr>
                        <w:r w:rsidRPr="001471ED">
                          <w:rPr>
                            <w:rFonts w:asciiTheme="minorHAnsi" w:hAnsiTheme="minorHAnsi" w:cstheme="minorHAnsi"/>
                            <w:b/>
                            <w:sz w:val="16"/>
                            <w:szCs w:val="16"/>
                          </w:rPr>
                          <w:t>Upravený rozpočet v tis. Kč</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rsidR="001471ED" w:rsidRPr="001471ED" w:rsidRDefault="001471ED" w:rsidP="00502C20">
                        <w:pPr>
                          <w:jc w:val="center"/>
                          <w:rPr>
                            <w:rFonts w:asciiTheme="minorHAnsi" w:hAnsiTheme="minorHAnsi" w:cstheme="minorHAnsi"/>
                            <w:b/>
                            <w:sz w:val="16"/>
                            <w:szCs w:val="16"/>
                          </w:rPr>
                        </w:pPr>
                        <w:r w:rsidRPr="001471ED">
                          <w:rPr>
                            <w:rFonts w:asciiTheme="minorHAnsi" w:hAnsiTheme="minorHAnsi" w:cstheme="minorHAnsi"/>
                            <w:b/>
                            <w:sz w:val="16"/>
                            <w:szCs w:val="16"/>
                          </w:rPr>
                          <w:t>Skutečnost v tis. Kč</w:t>
                        </w:r>
                      </w:p>
                    </w:tc>
                    <w:tc>
                      <w:tcPr>
                        <w:tcW w:w="3544" w:type="dxa"/>
                        <w:tcBorders>
                          <w:top w:val="single" w:sz="4" w:space="0" w:color="auto"/>
                          <w:left w:val="single" w:sz="4" w:space="0" w:color="auto"/>
                          <w:bottom w:val="single" w:sz="4" w:space="0" w:color="auto"/>
                          <w:right w:val="single" w:sz="4" w:space="0" w:color="auto"/>
                        </w:tcBorders>
                        <w:shd w:val="clear" w:color="auto" w:fill="FFFF00"/>
                        <w:vAlign w:val="center"/>
                      </w:tcPr>
                      <w:p w:rsidR="001471ED" w:rsidRPr="001471ED" w:rsidRDefault="001471ED" w:rsidP="00502C20">
                        <w:pPr>
                          <w:jc w:val="center"/>
                          <w:rPr>
                            <w:rFonts w:asciiTheme="minorHAnsi" w:hAnsiTheme="minorHAnsi" w:cstheme="minorHAnsi"/>
                            <w:b/>
                            <w:sz w:val="16"/>
                            <w:szCs w:val="16"/>
                          </w:rPr>
                        </w:pPr>
                        <w:r w:rsidRPr="001471ED">
                          <w:rPr>
                            <w:rFonts w:asciiTheme="minorHAnsi" w:hAnsiTheme="minorHAnsi" w:cstheme="minorHAnsi"/>
                            <w:b/>
                            <w:sz w:val="16"/>
                            <w:szCs w:val="16"/>
                          </w:rPr>
                          <w:t>Komentář</w:t>
                        </w:r>
                      </w:p>
                    </w:tc>
                  </w:tr>
                  <w:tr w:rsidR="001471ED" w:rsidRPr="001471ED" w:rsidTr="000A3C9C">
                    <w:trPr>
                      <w:trHeight w:val="930"/>
                    </w:trPr>
                    <w:tc>
                      <w:tcPr>
                        <w:tcW w:w="780" w:type="dxa"/>
                        <w:tcBorders>
                          <w:top w:val="single" w:sz="4" w:space="0" w:color="auto"/>
                          <w:left w:val="single" w:sz="4" w:space="0" w:color="auto"/>
                          <w:bottom w:val="single" w:sz="4" w:space="0" w:color="auto"/>
                          <w:right w:val="single" w:sz="4" w:space="0" w:color="auto"/>
                        </w:tcBorders>
                      </w:tcPr>
                      <w:p w:rsidR="001471ED" w:rsidRPr="001471ED" w:rsidRDefault="001471ED" w:rsidP="001471ED">
                        <w:pPr>
                          <w:jc w:val="center"/>
                          <w:rPr>
                            <w:rFonts w:asciiTheme="minorHAnsi" w:hAnsiTheme="minorHAnsi" w:cstheme="minorHAnsi"/>
                            <w:sz w:val="20"/>
                            <w:szCs w:val="20"/>
                          </w:rPr>
                        </w:pPr>
                        <w:r w:rsidRPr="001471ED">
                          <w:rPr>
                            <w:rFonts w:asciiTheme="minorHAnsi" w:hAnsiTheme="minorHAnsi" w:cstheme="minorHAnsi"/>
                            <w:sz w:val="20"/>
                            <w:szCs w:val="20"/>
                          </w:rPr>
                          <w:t>006171</w:t>
                        </w:r>
                      </w:p>
                    </w:tc>
                    <w:tc>
                      <w:tcPr>
                        <w:tcW w:w="709" w:type="dxa"/>
                        <w:tcBorders>
                          <w:top w:val="single" w:sz="4" w:space="0" w:color="auto"/>
                          <w:left w:val="single" w:sz="4" w:space="0" w:color="auto"/>
                          <w:bottom w:val="single" w:sz="4" w:space="0" w:color="auto"/>
                          <w:right w:val="single" w:sz="4" w:space="0" w:color="auto"/>
                        </w:tcBorders>
                      </w:tcPr>
                      <w:p w:rsidR="001471ED" w:rsidRPr="001471ED" w:rsidRDefault="001471ED" w:rsidP="001471ED">
                        <w:pPr>
                          <w:jc w:val="center"/>
                          <w:rPr>
                            <w:rFonts w:asciiTheme="minorHAnsi" w:hAnsiTheme="minorHAnsi" w:cstheme="minorHAnsi"/>
                            <w:sz w:val="20"/>
                            <w:szCs w:val="20"/>
                          </w:rPr>
                        </w:pPr>
                        <w:r w:rsidRPr="001471ED">
                          <w:rPr>
                            <w:rFonts w:asciiTheme="minorHAnsi" w:hAnsiTheme="minorHAnsi" w:cstheme="minorHAnsi"/>
                            <w:sz w:val="20"/>
                            <w:szCs w:val="20"/>
                          </w:rPr>
                          <w:t>5194</w:t>
                        </w:r>
                      </w:p>
                      <w:p w:rsidR="001471ED" w:rsidRPr="001471ED" w:rsidRDefault="001471ED" w:rsidP="001471ED">
                        <w:pPr>
                          <w:jc w:val="center"/>
                          <w:rPr>
                            <w:rFonts w:asciiTheme="minorHAnsi" w:hAnsiTheme="minorHAnsi" w:cstheme="minorHAnsi"/>
                            <w:sz w:val="20"/>
                            <w:szCs w:val="20"/>
                          </w:rPr>
                        </w:pPr>
                      </w:p>
                    </w:tc>
                    <w:tc>
                      <w:tcPr>
                        <w:tcW w:w="1561" w:type="dxa"/>
                        <w:tcBorders>
                          <w:top w:val="single" w:sz="4" w:space="0" w:color="auto"/>
                          <w:left w:val="single" w:sz="4" w:space="0" w:color="auto"/>
                          <w:bottom w:val="single" w:sz="4" w:space="0" w:color="auto"/>
                          <w:right w:val="single" w:sz="4" w:space="0" w:color="auto"/>
                        </w:tcBorders>
                      </w:tcPr>
                      <w:p w:rsidR="001471ED" w:rsidRPr="001471ED" w:rsidRDefault="001471ED" w:rsidP="001471ED">
                        <w:pPr>
                          <w:jc w:val="center"/>
                          <w:rPr>
                            <w:rFonts w:asciiTheme="minorHAnsi" w:hAnsiTheme="minorHAnsi" w:cstheme="minorHAnsi"/>
                            <w:sz w:val="20"/>
                            <w:szCs w:val="20"/>
                          </w:rPr>
                        </w:pPr>
                        <w:r w:rsidRPr="001471ED">
                          <w:rPr>
                            <w:rFonts w:asciiTheme="minorHAnsi" w:hAnsiTheme="minorHAnsi" w:cstheme="minorHAnsi"/>
                            <w:sz w:val="20"/>
                            <w:szCs w:val="20"/>
                          </w:rPr>
                          <w:t>0100000000000</w:t>
                        </w:r>
                      </w:p>
                    </w:tc>
                    <w:tc>
                      <w:tcPr>
                        <w:tcW w:w="709" w:type="dxa"/>
                        <w:tcBorders>
                          <w:top w:val="single" w:sz="4" w:space="0" w:color="auto"/>
                          <w:left w:val="single" w:sz="4" w:space="0" w:color="auto"/>
                          <w:bottom w:val="single" w:sz="4" w:space="0" w:color="auto"/>
                          <w:right w:val="single" w:sz="4" w:space="0" w:color="auto"/>
                        </w:tcBorders>
                      </w:tcPr>
                      <w:p w:rsidR="001471ED" w:rsidRPr="001471ED" w:rsidRDefault="001471ED" w:rsidP="001471ED">
                        <w:pPr>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rsidR="001471ED" w:rsidRPr="001471ED" w:rsidRDefault="001471ED" w:rsidP="001471ED">
                        <w:pPr>
                          <w:jc w:val="right"/>
                          <w:rPr>
                            <w:rFonts w:asciiTheme="minorHAnsi" w:hAnsiTheme="minorHAnsi" w:cstheme="minorHAnsi"/>
                            <w:sz w:val="20"/>
                            <w:szCs w:val="20"/>
                          </w:rPr>
                        </w:pPr>
                        <w:r w:rsidRPr="001471ED">
                          <w:rPr>
                            <w:rFonts w:asciiTheme="minorHAnsi" w:hAnsiTheme="minorHAnsi" w:cstheme="minorHAnsi"/>
                            <w:sz w:val="20"/>
                            <w:szCs w:val="20"/>
                          </w:rPr>
                          <w:t>89,02</w:t>
                        </w:r>
                      </w:p>
                    </w:tc>
                    <w:tc>
                      <w:tcPr>
                        <w:tcW w:w="992" w:type="dxa"/>
                        <w:tcBorders>
                          <w:top w:val="single" w:sz="4" w:space="0" w:color="auto"/>
                          <w:left w:val="single" w:sz="4" w:space="0" w:color="auto"/>
                          <w:bottom w:val="single" w:sz="4" w:space="0" w:color="auto"/>
                          <w:right w:val="single" w:sz="4" w:space="0" w:color="auto"/>
                        </w:tcBorders>
                      </w:tcPr>
                      <w:p w:rsidR="001471ED" w:rsidRPr="001471ED" w:rsidRDefault="001471ED" w:rsidP="001471ED">
                        <w:pPr>
                          <w:jc w:val="right"/>
                          <w:rPr>
                            <w:rFonts w:asciiTheme="minorHAnsi" w:hAnsiTheme="minorHAnsi" w:cstheme="minorHAnsi"/>
                            <w:sz w:val="20"/>
                            <w:szCs w:val="20"/>
                          </w:rPr>
                        </w:pPr>
                        <w:r w:rsidRPr="001471ED">
                          <w:rPr>
                            <w:rFonts w:asciiTheme="minorHAnsi" w:hAnsiTheme="minorHAnsi" w:cstheme="minorHAnsi"/>
                            <w:sz w:val="20"/>
                            <w:szCs w:val="20"/>
                          </w:rPr>
                          <w:t>32,24</w:t>
                        </w:r>
                      </w:p>
                    </w:tc>
                    <w:tc>
                      <w:tcPr>
                        <w:tcW w:w="3544" w:type="dxa"/>
                        <w:tcBorders>
                          <w:top w:val="single" w:sz="4" w:space="0" w:color="auto"/>
                          <w:left w:val="single" w:sz="4" w:space="0" w:color="auto"/>
                          <w:bottom w:val="single" w:sz="4" w:space="0" w:color="auto"/>
                          <w:right w:val="single" w:sz="4" w:space="0" w:color="auto"/>
                        </w:tcBorders>
                      </w:tcPr>
                      <w:p w:rsidR="001471ED" w:rsidRPr="001471ED" w:rsidRDefault="001471ED" w:rsidP="001471ED">
                        <w:pPr>
                          <w:rPr>
                            <w:rFonts w:asciiTheme="minorHAnsi" w:hAnsiTheme="minorHAnsi" w:cstheme="minorHAnsi"/>
                            <w:sz w:val="20"/>
                            <w:szCs w:val="20"/>
                            <w:u w:val="single"/>
                          </w:rPr>
                        </w:pPr>
                        <w:r w:rsidRPr="001471ED">
                          <w:rPr>
                            <w:rFonts w:asciiTheme="minorHAnsi" w:hAnsiTheme="minorHAnsi" w:cstheme="minorHAnsi"/>
                            <w:sz w:val="20"/>
                            <w:szCs w:val="20"/>
                            <w:u w:val="single"/>
                          </w:rPr>
                          <w:t>Věcné dary</w:t>
                        </w:r>
                      </w:p>
                      <w:p w:rsidR="001471ED" w:rsidRPr="001471ED" w:rsidRDefault="001471ED" w:rsidP="001471ED">
                        <w:pPr>
                          <w:rPr>
                            <w:rFonts w:asciiTheme="minorHAnsi" w:hAnsiTheme="minorHAnsi" w:cstheme="minorHAnsi"/>
                            <w:sz w:val="20"/>
                            <w:szCs w:val="20"/>
                          </w:rPr>
                        </w:pPr>
                        <w:r w:rsidRPr="001471ED">
                          <w:rPr>
                            <w:rFonts w:asciiTheme="minorHAnsi" w:hAnsiTheme="minorHAnsi" w:cstheme="minorHAnsi"/>
                            <w:sz w:val="20"/>
                            <w:szCs w:val="20"/>
                          </w:rPr>
                          <w:t xml:space="preserve">Čerpáno dle potřeby (nakoupeny dary na Ceny města Prostějova, dar do tomboly plesu atp.). </w:t>
                        </w:r>
                      </w:p>
                    </w:tc>
                  </w:tr>
                  <w:tr w:rsidR="001471ED" w:rsidRPr="001471ED" w:rsidTr="000A3C9C">
                    <w:trPr>
                      <w:trHeight w:val="747"/>
                    </w:trPr>
                    <w:tc>
                      <w:tcPr>
                        <w:tcW w:w="780" w:type="dxa"/>
                        <w:tcBorders>
                          <w:top w:val="single" w:sz="4" w:space="0" w:color="auto"/>
                          <w:left w:val="single" w:sz="4" w:space="0" w:color="auto"/>
                          <w:bottom w:val="single" w:sz="4" w:space="0" w:color="auto"/>
                          <w:right w:val="single" w:sz="4" w:space="0" w:color="auto"/>
                        </w:tcBorders>
                      </w:tcPr>
                      <w:p w:rsidR="001471ED" w:rsidRPr="001471ED" w:rsidRDefault="001471ED" w:rsidP="001471ED">
                        <w:pPr>
                          <w:jc w:val="center"/>
                          <w:rPr>
                            <w:rFonts w:asciiTheme="minorHAnsi" w:hAnsiTheme="minorHAnsi" w:cstheme="minorHAnsi"/>
                            <w:sz w:val="20"/>
                            <w:szCs w:val="20"/>
                          </w:rPr>
                        </w:pPr>
                        <w:r w:rsidRPr="001471ED">
                          <w:rPr>
                            <w:rFonts w:asciiTheme="minorHAnsi" w:hAnsiTheme="minorHAnsi" w:cstheme="minorHAnsi"/>
                            <w:sz w:val="20"/>
                            <w:szCs w:val="20"/>
                          </w:rPr>
                          <w:t>006171</w:t>
                        </w:r>
                      </w:p>
                    </w:tc>
                    <w:tc>
                      <w:tcPr>
                        <w:tcW w:w="709" w:type="dxa"/>
                        <w:tcBorders>
                          <w:top w:val="single" w:sz="4" w:space="0" w:color="auto"/>
                          <w:left w:val="single" w:sz="4" w:space="0" w:color="auto"/>
                          <w:bottom w:val="single" w:sz="4" w:space="0" w:color="auto"/>
                          <w:right w:val="single" w:sz="4" w:space="0" w:color="auto"/>
                        </w:tcBorders>
                      </w:tcPr>
                      <w:p w:rsidR="001471ED" w:rsidRPr="001471ED" w:rsidRDefault="001471ED" w:rsidP="001471ED">
                        <w:pPr>
                          <w:jc w:val="center"/>
                          <w:rPr>
                            <w:rFonts w:asciiTheme="minorHAnsi" w:hAnsiTheme="minorHAnsi" w:cstheme="minorHAnsi"/>
                            <w:sz w:val="20"/>
                            <w:szCs w:val="20"/>
                          </w:rPr>
                        </w:pPr>
                        <w:r w:rsidRPr="001471ED">
                          <w:rPr>
                            <w:rFonts w:asciiTheme="minorHAnsi" w:hAnsiTheme="minorHAnsi" w:cstheme="minorHAnsi"/>
                            <w:sz w:val="20"/>
                            <w:szCs w:val="20"/>
                          </w:rPr>
                          <w:t>5139</w:t>
                        </w:r>
                      </w:p>
                    </w:tc>
                    <w:tc>
                      <w:tcPr>
                        <w:tcW w:w="1561" w:type="dxa"/>
                        <w:tcBorders>
                          <w:top w:val="single" w:sz="4" w:space="0" w:color="auto"/>
                          <w:left w:val="single" w:sz="4" w:space="0" w:color="auto"/>
                          <w:bottom w:val="single" w:sz="4" w:space="0" w:color="auto"/>
                          <w:right w:val="single" w:sz="4" w:space="0" w:color="auto"/>
                        </w:tcBorders>
                      </w:tcPr>
                      <w:p w:rsidR="001471ED" w:rsidRPr="001471ED" w:rsidRDefault="001471ED" w:rsidP="001471ED">
                        <w:pPr>
                          <w:jc w:val="center"/>
                          <w:rPr>
                            <w:rFonts w:asciiTheme="minorHAnsi" w:hAnsiTheme="minorHAnsi" w:cstheme="minorHAnsi"/>
                            <w:sz w:val="20"/>
                            <w:szCs w:val="20"/>
                          </w:rPr>
                        </w:pPr>
                        <w:r w:rsidRPr="001471ED">
                          <w:rPr>
                            <w:rFonts w:asciiTheme="minorHAnsi" w:hAnsiTheme="minorHAnsi" w:cstheme="minorHAnsi"/>
                            <w:sz w:val="20"/>
                            <w:szCs w:val="20"/>
                          </w:rPr>
                          <w:t>0100000103800</w:t>
                        </w:r>
                      </w:p>
                    </w:tc>
                    <w:tc>
                      <w:tcPr>
                        <w:tcW w:w="709" w:type="dxa"/>
                        <w:tcBorders>
                          <w:top w:val="single" w:sz="4" w:space="0" w:color="auto"/>
                          <w:left w:val="single" w:sz="4" w:space="0" w:color="auto"/>
                          <w:bottom w:val="single" w:sz="4" w:space="0" w:color="auto"/>
                          <w:right w:val="single" w:sz="4" w:space="0" w:color="auto"/>
                        </w:tcBorders>
                      </w:tcPr>
                      <w:p w:rsidR="001471ED" w:rsidRPr="001471ED" w:rsidRDefault="001471ED" w:rsidP="001471ED">
                        <w:pPr>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rsidR="001471ED" w:rsidRPr="001471ED" w:rsidRDefault="001471ED" w:rsidP="001471ED">
                        <w:pPr>
                          <w:jc w:val="right"/>
                          <w:rPr>
                            <w:rFonts w:asciiTheme="minorHAnsi" w:hAnsiTheme="minorHAnsi" w:cstheme="minorHAnsi"/>
                            <w:sz w:val="20"/>
                            <w:szCs w:val="20"/>
                          </w:rPr>
                        </w:pPr>
                        <w:r w:rsidRPr="001471ED">
                          <w:rPr>
                            <w:rFonts w:asciiTheme="minorHAnsi" w:hAnsiTheme="minorHAnsi" w:cstheme="minorHAnsi"/>
                            <w:sz w:val="20"/>
                            <w:szCs w:val="20"/>
                          </w:rPr>
                          <w:t>3,00</w:t>
                        </w:r>
                      </w:p>
                    </w:tc>
                    <w:tc>
                      <w:tcPr>
                        <w:tcW w:w="992" w:type="dxa"/>
                        <w:tcBorders>
                          <w:top w:val="single" w:sz="4" w:space="0" w:color="auto"/>
                          <w:left w:val="single" w:sz="4" w:space="0" w:color="auto"/>
                          <w:bottom w:val="single" w:sz="4" w:space="0" w:color="auto"/>
                          <w:right w:val="single" w:sz="4" w:space="0" w:color="auto"/>
                        </w:tcBorders>
                      </w:tcPr>
                      <w:p w:rsidR="001471ED" w:rsidRPr="001471ED" w:rsidRDefault="001471ED" w:rsidP="001471ED">
                        <w:pPr>
                          <w:jc w:val="right"/>
                          <w:rPr>
                            <w:rFonts w:asciiTheme="minorHAnsi" w:hAnsiTheme="minorHAnsi" w:cstheme="minorHAnsi"/>
                            <w:sz w:val="20"/>
                            <w:szCs w:val="20"/>
                          </w:rPr>
                        </w:pPr>
                        <w:r w:rsidRPr="001471ED">
                          <w:rPr>
                            <w:rFonts w:asciiTheme="minorHAnsi" w:hAnsiTheme="minorHAnsi" w:cstheme="minorHAnsi"/>
                            <w:sz w:val="20"/>
                            <w:szCs w:val="20"/>
                          </w:rPr>
                          <w:t>0,00</w:t>
                        </w:r>
                      </w:p>
                    </w:tc>
                    <w:tc>
                      <w:tcPr>
                        <w:tcW w:w="3544" w:type="dxa"/>
                        <w:tcBorders>
                          <w:top w:val="single" w:sz="4" w:space="0" w:color="auto"/>
                          <w:left w:val="single" w:sz="4" w:space="0" w:color="auto"/>
                          <w:bottom w:val="single" w:sz="4" w:space="0" w:color="auto"/>
                          <w:right w:val="single" w:sz="4" w:space="0" w:color="auto"/>
                        </w:tcBorders>
                      </w:tcPr>
                      <w:p w:rsidR="001471ED" w:rsidRPr="001471ED" w:rsidRDefault="001471ED" w:rsidP="001471ED">
                        <w:pPr>
                          <w:rPr>
                            <w:rFonts w:asciiTheme="minorHAnsi" w:hAnsiTheme="minorHAnsi" w:cstheme="minorHAnsi"/>
                            <w:sz w:val="20"/>
                            <w:szCs w:val="20"/>
                            <w:u w:val="single"/>
                          </w:rPr>
                        </w:pPr>
                        <w:r w:rsidRPr="001471ED">
                          <w:rPr>
                            <w:rFonts w:asciiTheme="minorHAnsi" w:hAnsiTheme="minorHAnsi" w:cstheme="minorHAnsi"/>
                            <w:sz w:val="20"/>
                            <w:szCs w:val="20"/>
                            <w:u w:val="single"/>
                          </w:rPr>
                          <w:t>Osadní výbory - kancelářské potřeby</w:t>
                        </w:r>
                      </w:p>
                      <w:p w:rsidR="001471ED" w:rsidRPr="001471ED" w:rsidRDefault="001471ED" w:rsidP="001471ED">
                        <w:pPr>
                          <w:rPr>
                            <w:rFonts w:asciiTheme="minorHAnsi" w:hAnsiTheme="minorHAnsi" w:cstheme="minorHAnsi"/>
                            <w:sz w:val="20"/>
                            <w:szCs w:val="20"/>
                          </w:rPr>
                        </w:pPr>
                        <w:r w:rsidRPr="001471ED">
                          <w:rPr>
                            <w:rFonts w:asciiTheme="minorHAnsi" w:hAnsiTheme="minorHAnsi" w:cstheme="minorHAnsi"/>
                            <w:sz w:val="20"/>
                            <w:szCs w:val="20"/>
                          </w:rPr>
                          <w:t>Osadními výbory nebyly finanční prostředky kancelářské potřeby čerpány.</w:t>
                        </w:r>
                      </w:p>
                    </w:tc>
                  </w:tr>
                  <w:tr w:rsidR="001471ED" w:rsidRPr="001471ED" w:rsidTr="000A3C9C">
                    <w:trPr>
                      <w:trHeight w:val="647"/>
                    </w:trPr>
                    <w:tc>
                      <w:tcPr>
                        <w:tcW w:w="780" w:type="dxa"/>
                        <w:tcBorders>
                          <w:top w:val="single" w:sz="4" w:space="0" w:color="auto"/>
                          <w:left w:val="single" w:sz="4" w:space="0" w:color="auto"/>
                          <w:bottom w:val="single" w:sz="4" w:space="0" w:color="auto"/>
                          <w:right w:val="single" w:sz="4" w:space="0" w:color="auto"/>
                        </w:tcBorders>
                      </w:tcPr>
                      <w:p w:rsidR="001471ED" w:rsidRPr="001471ED" w:rsidRDefault="001471ED" w:rsidP="001471ED">
                        <w:pPr>
                          <w:jc w:val="center"/>
                          <w:rPr>
                            <w:rFonts w:asciiTheme="minorHAnsi" w:hAnsiTheme="minorHAnsi" w:cstheme="minorHAnsi"/>
                            <w:sz w:val="20"/>
                            <w:szCs w:val="20"/>
                          </w:rPr>
                        </w:pPr>
                        <w:r w:rsidRPr="001471ED">
                          <w:rPr>
                            <w:rFonts w:asciiTheme="minorHAnsi" w:hAnsiTheme="minorHAnsi" w:cstheme="minorHAnsi"/>
                            <w:sz w:val="20"/>
                            <w:szCs w:val="20"/>
                          </w:rPr>
                          <w:t>006171</w:t>
                        </w:r>
                      </w:p>
                    </w:tc>
                    <w:tc>
                      <w:tcPr>
                        <w:tcW w:w="709" w:type="dxa"/>
                        <w:tcBorders>
                          <w:top w:val="single" w:sz="4" w:space="0" w:color="auto"/>
                          <w:left w:val="single" w:sz="4" w:space="0" w:color="auto"/>
                          <w:bottom w:val="single" w:sz="4" w:space="0" w:color="auto"/>
                          <w:right w:val="single" w:sz="4" w:space="0" w:color="auto"/>
                        </w:tcBorders>
                      </w:tcPr>
                      <w:p w:rsidR="001471ED" w:rsidRPr="001471ED" w:rsidRDefault="001471ED" w:rsidP="001471ED">
                        <w:pPr>
                          <w:jc w:val="center"/>
                          <w:rPr>
                            <w:rFonts w:asciiTheme="minorHAnsi" w:hAnsiTheme="minorHAnsi" w:cstheme="minorHAnsi"/>
                            <w:sz w:val="20"/>
                            <w:szCs w:val="20"/>
                          </w:rPr>
                        </w:pPr>
                        <w:r w:rsidRPr="001471ED">
                          <w:rPr>
                            <w:rFonts w:asciiTheme="minorHAnsi" w:hAnsiTheme="minorHAnsi" w:cstheme="minorHAnsi"/>
                            <w:sz w:val="20"/>
                            <w:szCs w:val="20"/>
                          </w:rPr>
                          <w:t>5175</w:t>
                        </w:r>
                      </w:p>
                    </w:tc>
                    <w:tc>
                      <w:tcPr>
                        <w:tcW w:w="1561" w:type="dxa"/>
                        <w:tcBorders>
                          <w:top w:val="single" w:sz="4" w:space="0" w:color="auto"/>
                          <w:left w:val="single" w:sz="4" w:space="0" w:color="auto"/>
                          <w:bottom w:val="single" w:sz="4" w:space="0" w:color="auto"/>
                          <w:right w:val="single" w:sz="4" w:space="0" w:color="auto"/>
                        </w:tcBorders>
                      </w:tcPr>
                      <w:p w:rsidR="001471ED" w:rsidRPr="001471ED" w:rsidRDefault="001471ED" w:rsidP="001471ED">
                        <w:pPr>
                          <w:jc w:val="center"/>
                          <w:rPr>
                            <w:rFonts w:asciiTheme="minorHAnsi" w:hAnsiTheme="minorHAnsi" w:cstheme="minorHAnsi"/>
                            <w:sz w:val="20"/>
                            <w:szCs w:val="20"/>
                          </w:rPr>
                        </w:pPr>
                        <w:r w:rsidRPr="001471ED">
                          <w:rPr>
                            <w:rFonts w:asciiTheme="minorHAnsi" w:hAnsiTheme="minorHAnsi" w:cstheme="minorHAnsi"/>
                            <w:sz w:val="20"/>
                            <w:szCs w:val="20"/>
                          </w:rPr>
                          <w:t>0100000103800</w:t>
                        </w:r>
                      </w:p>
                    </w:tc>
                    <w:tc>
                      <w:tcPr>
                        <w:tcW w:w="709" w:type="dxa"/>
                        <w:tcBorders>
                          <w:top w:val="single" w:sz="4" w:space="0" w:color="auto"/>
                          <w:left w:val="single" w:sz="4" w:space="0" w:color="auto"/>
                          <w:bottom w:val="single" w:sz="4" w:space="0" w:color="auto"/>
                          <w:right w:val="single" w:sz="4" w:space="0" w:color="auto"/>
                        </w:tcBorders>
                      </w:tcPr>
                      <w:p w:rsidR="001471ED" w:rsidRPr="001471ED" w:rsidRDefault="001471ED" w:rsidP="001471ED">
                        <w:pPr>
                          <w:jc w:val="center"/>
                          <w:rPr>
                            <w:rFonts w:asciiTheme="minorHAnsi" w:hAnsiTheme="minorHAnsi" w:cs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rsidR="001471ED" w:rsidRPr="001471ED" w:rsidRDefault="001471ED" w:rsidP="001471ED">
                        <w:pPr>
                          <w:jc w:val="right"/>
                          <w:rPr>
                            <w:rFonts w:asciiTheme="minorHAnsi" w:hAnsiTheme="minorHAnsi" w:cstheme="minorHAnsi"/>
                            <w:sz w:val="20"/>
                            <w:szCs w:val="20"/>
                          </w:rPr>
                        </w:pPr>
                        <w:r w:rsidRPr="001471ED">
                          <w:rPr>
                            <w:rFonts w:asciiTheme="minorHAnsi" w:hAnsiTheme="minorHAnsi" w:cstheme="minorHAnsi"/>
                            <w:sz w:val="20"/>
                            <w:szCs w:val="20"/>
                          </w:rPr>
                          <w:t>3,00</w:t>
                        </w:r>
                      </w:p>
                    </w:tc>
                    <w:tc>
                      <w:tcPr>
                        <w:tcW w:w="992" w:type="dxa"/>
                        <w:tcBorders>
                          <w:top w:val="single" w:sz="4" w:space="0" w:color="auto"/>
                          <w:left w:val="single" w:sz="4" w:space="0" w:color="auto"/>
                          <w:bottom w:val="single" w:sz="4" w:space="0" w:color="auto"/>
                          <w:right w:val="single" w:sz="4" w:space="0" w:color="auto"/>
                        </w:tcBorders>
                      </w:tcPr>
                      <w:p w:rsidR="001471ED" w:rsidRPr="001471ED" w:rsidRDefault="001471ED" w:rsidP="001471ED">
                        <w:pPr>
                          <w:jc w:val="right"/>
                          <w:rPr>
                            <w:rFonts w:asciiTheme="minorHAnsi" w:hAnsiTheme="minorHAnsi" w:cstheme="minorHAnsi"/>
                            <w:sz w:val="20"/>
                            <w:szCs w:val="20"/>
                          </w:rPr>
                        </w:pPr>
                        <w:r w:rsidRPr="001471ED">
                          <w:rPr>
                            <w:rFonts w:asciiTheme="minorHAnsi" w:hAnsiTheme="minorHAnsi" w:cstheme="minorHAnsi"/>
                            <w:sz w:val="20"/>
                            <w:szCs w:val="20"/>
                          </w:rPr>
                          <w:t>0,00</w:t>
                        </w:r>
                      </w:p>
                    </w:tc>
                    <w:tc>
                      <w:tcPr>
                        <w:tcW w:w="3544" w:type="dxa"/>
                        <w:tcBorders>
                          <w:top w:val="single" w:sz="4" w:space="0" w:color="auto"/>
                          <w:left w:val="single" w:sz="4" w:space="0" w:color="auto"/>
                          <w:bottom w:val="single" w:sz="4" w:space="0" w:color="auto"/>
                          <w:right w:val="single" w:sz="4" w:space="0" w:color="auto"/>
                        </w:tcBorders>
                      </w:tcPr>
                      <w:p w:rsidR="001471ED" w:rsidRPr="001471ED" w:rsidRDefault="001471ED" w:rsidP="001471ED">
                        <w:pPr>
                          <w:rPr>
                            <w:rFonts w:asciiTheme="minorHAnsi" w:hAnsiTheme="minorHAnsi" w:cstheme="minorHAnsi"/>
                            <w:sz w:val="20"/>
                            <w:szCs w:val="20"/>
                            <w:u w:val="single"/>
                          </w:rPr>
                        </w:pPr>
                        <w:r w:rsidRPr="001471ED">
                          <w:rPr>
                            <w:rFonts w:asciiTheme="minorHAnsi" w:hAnsiTheme="minorHAnsi" w:cstheme="minorHAnsi"/>
                            <w:sz w:val="20"/>
                            <w:szCs w:val="20"/>
                            <w:u w:val="single"/>
                          </w:rPr>
                          <w:t xml:space="preserve">Osadní výbory – pohoštění </w:t>
                        </w:r>
                      </w:p>
                      <w:p w:rsidR="001471ED" w:rsidRPr="001471ED" w:rsidRDefault="001471ED" w:rsidP="001471ED">
                        <w:pPr>
                          <w:rPr>
                            <w:rFonts w:asciiTheme="minorHAnsi" w:hAnsiTheme="minorHAnsi" w:cstheme="minorHAnsi"/>
                            <w:sz w:val="20"/>
                            <w:szCs w:val="20"/>
                          </w:rPr>
                        </w:pPr>
                        <w:r w:rsidRPr="001471ED">
                          <w:rPr>
                            <w:rFonts w:asciiTheme="minorHAnsi" w:hAnsiTheme="minorHAnsi" w:cstheme="minorHAnsi"/>
                            <w:sz w:val="20"/>
                            <w:szCs w:val="20"/>
                          </w:rPr>
                          <w:t>Osadními výbory nebyly finanční prostředky na občerstvení čerpány.</w:t>
                        </w:r>
                      </w:p>
                    </w:tc>
                  </w:tr>
                </w:tbl>
                <w:p w:rsidR="001471ED" w:rsidRPr="001471ED" w:rsidRDefault="001471ED" w:rsidP="001471ED">
                  <w:pPr>
                    <w:rPr>
                      <w:rFonts w:asciiTheme="minorHAnsi" w:hAnsiTheme="minorHAnsi" w:cstheme="minorHAnsi"/>
                      <w:b/>
                      <w:sz w:val="18"/>
                      <w:szCs w:val="20"/>
                    </w:rPr>
                  </w:pPr>
                </w:p>
                <w:p w:rsidR="001471ED" w:rsidRPr="001471ED" w:rsidRDefault="001471ED" w:rsidP="001471ED">
                  <w:pPr>
                    <w:rPr>
                      <w:rFonts w:asciiTheme="minorHAnsi" w:hAnsiTheme="minorHAnsi" w:cstheme="minorHAnsi"/>
                      <w:b/>
                      <w:sz w:val="20"/>
                      <w:szCs w:val="20"/>
                    </w:rPr>
                  </w:pPr>
                </w:p>
                <w:p w:rsidR="001471ED" w:rsidRPr="001471ED" w:rsidRDefault="001471ED" w:rsidP="001471ED">
                  <w:pPr>
                    <w:rPr>
                      <w:rFonts w:asciiTheme="minorHAnsi" w:hAnsiTheme="minorHAnsi" w:cstheme="minorHAnsi"/>
                      <w:b/>
                      <w:sz w:val="20"/>
                      <w:szCs w:val="20"/>
                    </w:rPr>
                  </w:pPr>
                  <w:r w:rsidRPr="001471ED">
                    <w:rPr>
                      <w:rFonts w:asciiTheme="minorHAnsi" w:hAnsiTheme="minorHAnsi" w:cstheme="minorHAnsi"/>
                      <w:b/>
                      <w:sz w:val="20"/>
                      <w:szCs w:val="20"/>
                    </w:rPr>
                    <w:t>Přehled schválených rozpočtových opatření k 31. 12. 2022:</w:t>
                  </w:r>
                </w:p>
                <w:tbl>
                  <w:tblPr>
                    <w:tblStyle w:val="Mkatabulky"/>
                    <w:tblW w:w="9141" w:type="dxa"/>
                    <w:tblLayout w:type="fixed"/>
                    <w:tblLook w:val="04A0" w:firstRow="1" w:lastRow="0" w:firstColumn="1" w:lastColumn="0" w:noHBand="0" w:noVBand="1"/>
                  </w:tblPr>
                  <w:tblGrid>
                    <w:gridCol w:w="1770"/>
                    <w:gridCol w:w="1134"/>
                    <w:gridCol w:w="850"/>
                    <w:gridCol w:w="4111"/>
                    <w:gridCol w:w="1276"/>
                  </w:tblGrid>
                  <w:tr w:rsidR="001471ED" w:rsidRPr="001471ED" w:rsidTr="000A3C9C">
                    <w:trPr>
                      <w:trHeight w:val="509"/>
                    </w:trPr>
                    <w:tc>
                      <w:tcPr>
                        <w:tcW w:w="1770" w:type="dxa"/>
                        <w:shd w:val="clear" w:color="auto" w:fill="D6E3BC"/>
                        <w:vAlign w:val="center"/>
                      </w:tcPr>
                      <w:p w:rsidR="001471ED" w:rsidRPr="001471ED" w:rsidRDefault="001471ED" w:rsidP="001471ED">
                        <w:pPr>
                          <w:jc w:val="center"/>
                          <w:rPr>
                            <w:rFonts w:asciiTheme="minorHAnsi" w:hAnsiTheme="minorHAnsi" w:cstheme="minorHAnsi"/>
                            <w:b/>
                            <w:sz w:val="20"/>
                            <w:szCs w:val="20"/>
                          </w:rPr>
                        </w:pPr>
                        <w:r w:rsidRPr="001471ED">
                          <w:rPr>
                            <w:rFonts w:asciiTheme="minorHAnsi" w:hAnsiTheme="minorHAnsi" w:cstheme="minorHAnsi"/>
                            <w:b/>
                            <w:sz w:val="20"/>
                            <w:szCs w:val="20"/>
                          </w:rPr>
                          <w:t>Usn.č.</w:t>
                        </w:r>
                      </w:p>
                    </w:tc>
                    <w:tc>
                      <w:tcPr>
                        <w:tcW w:w="1134" w:type="dxa"/>
                        <w:shd w:val="clear" w:color="auto" w:fill="D6E3BC"/>
                        <w:vAlign w:val="center"/>
                      </w:tcPr>
                      <w:p w:rsidR="001471ED" w:rsidRPr="001471ED" w:rsidRDefault="001471ED" w:rsidP="001471ED">
                        <w:pPr>
                          <w:jc w:val="center"/>
                          <w:rPr>
                            <w:rFonts w:asciiTheme="minorHAnsi" w:hAnsiTheme="minorHAnsi" w:cstheme="minorHAnsi"/>
                            <w:b/>
                            <w:sz w:val="20"/>
                            <w:szCs w:val="20"/>
                          </w:rPr>
                        </w:pPr>
                        <w:r w:rsidRPr="001471ED">
                          <w:rPr>
                            <w:rFonts w:asciiTheme="minorHAnsi" w:hAnsiTheme="minorHAnsi" w:cstheme="minorHAnsi"/>
                            <w:b/>
                            <w:sz w:val="20"/>
                            <w:szCs w:val="20"/>
                          </w:rPr>
                          <w:t>Datum</w:t>
                        </w:r>
                      </w:p>
                    </w:tc>
                    <w:tc>
                      <w:tcPr>
                        <w:tcW w:w="850" w:type="dxa"/>
                        <w:shd w:val="clear" w:color="auto" w:fill="D6E3BC"/>
                        <w:vAlign w:val="center"/>
                      </w:tcPr>
                      <w:p w:rsidR="001471ED" w:rsidRPr="001471ED" w:rsidRDefault="001471ED" w:rsidP="001471ED">
                        <w:pPr>
                          <w:jc w:val="center"/>
                          <w:rPr>
                            <w:rFonts w:asciiTheme="minorHAnsi" w:hAnsiTheme="minorHAnsi" w:cstheme="minorHAnsi"/>
                            <w:b/>
                            <w:sz w:val="20"/>
                            <w:szCs w:val="20"/>
                          </w:rPr>
                        </w:pPr>
                        <w:r w:rsidRPr="001471ED">
                          <w:rPr>
                            <w:rFonts w:asciiTheme="minorHAnsi" w:hAnsiTheme="minorHAnsi" w:cstheme="minorHAnsi"/>
                            <w:b/>
                            <w:sz w:val="20"/>
                            <w:szCs w:val="20"/>
                          </w:rPr>
                          <w:t>Částka v tis. Kč</w:t>
                        </w:r>
                      </w:p>
                    </w:tc>
                    <w:tc>
                      <w:tcPr>
                        <w:tcW w:w="4111" w:type="dxa"/>
                        <w:shd w:val="clear" w:color="auto" w:fill="D6E3BC"/>
                        <w:vAlign w:val="center"/>
                      </w:tcPr>
                      <w:p w:rsidR="001471ED" w:rsidRPr="001471ED" w:rsidRDefault="001471ED" w:rsidP="001471ED">
                        <w:pPr>
                          <w:jc w:val="center"/>
                          <w:rPr>
                            <w:rFonts w:asciiTheme="minorHAnsi" w:hAnsiTheme="minorHAnsi" w:cstheme="minorHAnsi"/>
                            <w:b/>
                            <w:sz w:val="20"/>
                            <w:szCs w:val="20"/>
                          </w:rPr>
                        </w:pPr>
                        <w:r w:rsidRPr="001471ED">
                          <w:rPr>
                            <w:rFonts w:asciiTheme="minorHAnsi" w:hAnsiTheme="minorHAnsi" w:cstheme="minorHAnsi"/>
                            <w:b/>
                            <w:sz w:val="20"/>
                            <w:szCs w:val="20"/>
                          </w:rPr>
                          <w:t>Rozpočtové opatření</w:t>
                        </w:r>
                      </w:p>
                    </w:tc>
                    <w:tc>
                      <w:tcPr>
                        <w:tcW w:w="1276" w:type="dxa"/>
                        <w:shd w:val="clear" w:color="auto" w:fill="D6E3BC"/>
                        <w:vAlign w:val="center"/>
                      </w:tcPr>
                      <w:p w:rsidR="001471ED" w:rsidRPr="001471ED" w:rsidRDefault="001471ED" w:rsidP="001471ED">
                        <w:pPr>
                          <w:jc w:val="center"/>
                          <w:rPr>
                            <w:rFonts w:asciiTheme="minorHAnsi" w:hAnsiTheme="minorHAnsi" w:cstheme="minorHAnsi"/>
                            <w:b/>
                            <w:sz w:val="20"/>
                            <w:szCs w:val="20"/>
                          </w:rPr>
                        </w:pPr>
                        <w:r w:rsidRPr="001471ED">
                          <w:rPr>
                            <w:rFonts w:asciiTheme="minorHAnsi" w:hAnsiTheme="minorHAnsi" w:cstheme="minorHAnsi"/>
                            <w:b/>
                            <w:sz w:val="20"/>
                            <w:szCs w:val="20"/>
                          </w:rPr>
                          <w:t>Stupeň realizace</w:t>
                        </w:r>
                      </w:p>
                    </w:tc>
                  </w:tr>
                  <w:tr w:rsidR="001471ED" w:rsidRPr="001471ED" w:rsidTr="000A3C9C">
                    <w:trPr>
                      <w:trHeight w:val="1029"/>
                    </w:trPr>
                    <w:tc>
                      <w:tcPr>
                        <w:tcW w:w="1770" w:type="dxa"/>
                        <w:vAlign w:val="center"/>
                      </w:tcPr>
                      <w:p w:rsidR="001471ED" w:rsidRPr="001471ED" w:rsidRDefault="001471ED" w:rsidP="001471ED">
                        <w:pPr>
                          <w:jc w:val="center"/>
                          <w:rPr>
                            <w:rFonts w:asciiTheme="minorHAnsi" w:hAnsiTheme="minorHAnsi" w:cstheme="minorHAnsi"/>
                            <w:sz w:val="20"/>
                            <w:szCs w:val="20"/>
                          </w:rPr>
                        </w:pPr>
                        <w:r w:rsidRPr="001471ED">
                          <w:rPr>
                            <w:rFonts w:asciiTheme="minorHAnsi" w:hAnsiTheme="minorHAnsi" w:cstheme="minorHAnsi"/>
                            <w:sz w:val="20"/>
                            <w:szCs w:val="20"/>
                          </w:rPr>
                          <w:t>RMP</w:t>
                        </w:r>
                      </w:p>
                      <w:p w:rsidR="001471ED" w:rsidRPr="001471ED" w:rsidRDefault="001471ED" w:rsidP="001471ED">
                        <w:pPr>
                          <w:jc w:val="center"/>
                          <w:rPr>
                            <w:rFonts w:asciiTheme="minorHAnsi" w:hAnsiTheme="minorHAnsi" w:cstheme="minorHAnsi"/>
                            <w:sz w:val="20"/>
                            <w:szCs w:val="20"/>
                          </w:rPr>
                        </w:pPr>
                        <w:r w:rsidRPr="001471ED">
                          <w:rPr>
                            <w:rFonts w:asciiTheme="minorHAnsi" w:hAnsiTheme="minorHAnsi" w:cstheme="minorHAnsi"/>
                            <w:sz w:val="20"/>
                            <w:szCs w:val="20"/>
                          </w:rPr>
                          <w:t>RM/2022/123/11</w:t>
                        </w:r>
                      </w:p>
                    </w:tc>
                    <w:tc>
                      <w:tcPr>
                        <w:tcW w:w="1134" w:type="dxa"/>
                        <w:vAlign w:val="center"/>
                      </w:tcPr>
                      <w:p w:rsidR="001471ED" w:rsidRPr="001471ED" w:rsidRDefault="000A3C9C" w:rsidP="001471ED">
                        <w:pPr>
                          <w:jc w:val="center"/>
                          <w:rPr>
                            <w:rFonts w:asciiTheme="minorHAnsi" w:hAnsiTheme="minorHAnsi" w:cstheme="minorHAnsi"/>
                            <w:sz w:val="20"/>
                            <w:szCs w:val="20"/>
                          </w:rPr>
                        </w:pPr>
                        <w:r>
                          <w:rPr>
                            <w:rFonts w:asciiTheme="minorHAnsi" w:hAnsiTheme="minorHAnsi" w:cstheme="minorHAnsi"/>
                            <w:sz w:val="20"/>
                            <w:szCs w:val="20"/>
                          </w:rPr>
                          <w:t xml:space="preserve">23. </w:t>
                        </w:r>
                        <w:r w:rsidR="001471ED" w:rsidRPr="001471ED">
                          <w:rPr>
                            <w:rFonts w:asciiTheme="minorHAnsi" w:hAnsiTheme="minorHAnsi" w:cstheme="minorHAnsi"/>
                            <w:sz w:val="20"/>
                            <w:szCs w:val="20"/>
                          </w:rPr>
                          <w:t>8.</w:t>
                        </w:r>
                        <w:r>
                          <w:rPr>
                            <w:rFonts w:asciiTheme="minorHAnsi" w:hAnsiTheme="minorHAnsi" w:cstheme="minorHAnsi"/>
                            <w:sz w:val="20"/>
                            <w:szCs w:val="20"/>
                          </w:rPr>
                          <w:t xml:space="preserve"> </w:t>
                        </w:r>
                        <w:r w:rsidR="001471ED" w:rsidRPr="001471ED">
                          <w:rPr>
                            <w:rFonts w:asciiTheme="minorHAnsi" w:hAnsiTheme="minorHAnsi" w:cstheme="minorHAnsi"/>
                            <w:sz w:val="20"/>
                            <w:szCs w:val="20"/>
                          </w:rPr>
                          <w:t>2022</w:t>
                        </w:r>
                      </w:p>
                    </w:tc>
                    <w:tc>
                      <w:tcPr>
                        <w:tcW w:w="850" w:type="dxa"/>
                        <w:vAlign w:val="center"/>
                      </w:tcPr>
                      <w:p w:rsidR="001471ED" w:rsidRPr="001471ED" w:rsidRDefault="000A3C9C" w:rsidP="001471ED">
                        <w:pPr>
                          <w:jc w:val="center"/>
                          <w:rPr>
                            <w:rFonts w:asciiTheme="minorHAnsi" w:hAnsiTheme="minorHAnsi" w:cstheme="minorHAnsi"/>
                            <w:sz w:val="20"/>
                            <w:szCs w:val="20"/>
                          </w:rPr>
                        </w:pPr>
                        <w:r>
                          <w:rPr>
                            <w:rFonts w:asciiTheme="minorHAnsi" w:hAnsiTheme="minorHAnsi" w:cstheme="minorHAnsi"/>
                            <w:sz w:val="20"/>
                            <w:szCs w:val="20"/>
                          </w:rPr>
                          <w:t xml:space="preserve">5 </w:t>
                        </w:r>
                        <w:r w:rsidR="001471ED" w:rsidRPr="001471ED">
                          <w:rPr>
                            <w:rFonts w:asciiTheme="minorHAnsi" w:hAnsiTheme="minorHAnsi" w:cstheme="minorHAnsi"/>
                            <w:sz w:val="20"/>
                            <w:szCs w:val="20"/>
                          </w:rPr>
                          <w:t>000</w:t>
                        </w:r>
                      </w:p>
                    </w:tc>
                    <w:tc>
                      <w:tcPr>
                        <w:tcW w:w="4111" w:type="dxa"/>
                      </w:tcPr>
                      <w:p w:rsidR="001471ED" w:rsidRPr="001471ED" w:rsidRDefault="001471ED" w:rsidP="001471ED">
                        <w:pPr>
                          <w:rPr>
                            <w:rFonts w:asciiTheme="minorHAnsi" w:hAnsiTheme="minorHAnsi" w:cstheme="minorHAnsi"/>
                            <w:sz w:val="20"/>
                            <w:szCs w:val="20"/>
                          </w:rPr>
                        </w:pPr>
                        <w:r w:rsidRPr="001471ED">
                          <w:rPr>
                            <w:rFonts w:asciiTheme="minorHAnsi" w:hAnsiTheme="minorHAnsi" w:cstheme="minorHAnsi"/>
                            <w:sz w:val="20"/>
                            <w:szCs w:val="20"/>
                          </w:rPr>
                          <w:t xml:space="preserve">zvýšení položky 5169 – nákup služeb (uzavření smlouvy na propagační služby) </w:t>
                        </w:r>
                      </w:p>
                      <w:p w:rsidR="000A3C9C" w:rsidRDefault="000A3C9C" w:rsidP="001471ED">
                        <w:pPr>
                          <w:rPr>
                            <w:rFonts w:asciiTheme="minorHAnsi" w:hAnsiTheme="minorHAnsi" w:cstheme="minorHAnsi"/>
                            <w:sz w:val="20"/>
                            <w:szCs w:val="20"/>
                          </w:rPr>
                        </w:pPr>
                      </w:p>
                      <w:p w:rsidR="001471ED" w:rsidRPr="001471ED" w:rsidRDefault="001471ED" w:rsidP="001471ED">
                        <w:pPr>
                          <w:rPr>
                            <w:rFonts w:asciiTheme="minorHAnsi" w:hAnsiTheme="minorHAnsi" w:cstheme="minorHAnsi"/>
                            <w:sz w:val="20"/>
                            <w:szCs w:val="20"/>
                          </w:rPr>
                        </w:pPr>
                        <w:r w:rsidRPr="001471ED">
                          <w:rPr>
                            <w:rFonts w:asciiTheme="minorHAnsi" w:hAnsiTheme="minorHAnsi" w:cstheme="minorHAnsi"/>
                            <w:sz w:val="20"/>
                            <w:szCs w:val="20"/>
                          </w:rPr>
                          <w:t>snížení pol. 5901 -  rezerva pro ROZOP RMP</w:t>
                        </w:r>
                      </w:p>
                    </w:tc>
                    <w:tc>
                      <w:tcPr>
                        <w:tcW w:w="1276" w:type="dxa"/>
                        <w:vAlign w:val="center"/>
                      </w:tcPr>
                      <w:p w:rsidR="001471ED" w:rsidRPr="001471ED" w:rsidRDefault="001471ED" w:rsidP="001471ED">
                        <w:pPr>
                          <w:rPr>
                            <w:rFonts w:asciiTheme="minorHAnsi" w:hAnsiTheme="minorHAnsi" w:cstheme="minorHAnsi"/>
                            <w:sz w:val="20"/>
                            <w:szCs w:val="20"/>
                          </w:rPr>
                        </w:pPr>
                        <w:r w:rsidRPr="001471ED">
                          <w:rPr>
                            <w:rFonts w:asciiTheme="minorHAnsi" w:hAnsiTheme="minorHAnsi" w:cstheme="minorHAnsi"/>
                            <w:sz w:val="20"/>
                            <w:szCs w:val="20"/>
                          </w:rPr>
                          <w:t xml:space="preserve">Realizováno  </w:t>
                        </w:r>
                      </w:p>
                      <w:p w:rsidR="001471ED" w:rsidRPr="001471ED" w:rsidRDefault="001471ED" w:rsidP="001471ED">
                        <w:pPr>
                          <w:rPr>
                            <w:rFonts w:asciiTheme="minorHAnsi" w:hAnsiTheme="minorHAnsi" w:cstheme="minorHAnsi"/>
                            <w:sz w:val="20"/>
                            <w:szCs w:val="20"/>
                          </w:rPr>
                        </w:pPr>
                      </w:p>
                      <w:p w:rsidR="001471ED" w:rsidRPr="001471ED" w:rsidRDefault="001471ED" w:rsidP="001471ED">
                        <w:pPr>
                          <w:rPr>
                            <w:rFonts w:asciiTheme="minorHAnsi" w:hAnsiTheme="minorHAnsi" w:cstheme="minorHAnsi"/>
                            <w:b/>
                            <w:sz w:val="20"/>
                            <w:szCs w:val="20"/>
                          </w:rPr>
                        </w:pPr>
                      </w:p>
                    </w:tc>
                  </w:tr>
                  <w:tr w:rsidR="001471ED" w:rsidRPr="001471ED" w:rsidTr="000A3C9C">
                    <w:trPr>
                      <w:trHeight w:val="1280"/>
                    </w:trPr>
                    <w:tc>
                      <w:tcPr>
                        <w:tcW w:w="1770" w:type="dxa"/>
                        <w:vAlign w:val="center"/>
                      </w:tcPr>
                      <w:p w:rsidR="001471ED" w:rsidRPr="001471ED" w:rsidRDefault="001471ED" w:rsidP="001471ED">
                        <w:pPr>
                          <w:jc w:val="center"/>
                          <w:rPr>
                            <w:rFonts w:asciiTheme="minorHAnsi" w:hAnsiTheme="minorHAnsi" w:cstheme="minorHAnsi"/>
                            <w:sz w:val="20"/>
                            <w:szCs w:val="20"/>
                          </w:rPr>
                        </w:pPr>
                        <w:r w:rsidRPr="001471ED">
                          <w:rPr>
                            <w:rFonts w:asciiTheme="minorHAnsi" w:hAnsiTheme="minorHAnsi" w:cstheme="minorHAnsi"/>
                            <w:sz w:val="20"/>
                            <w:szCs w:val="20"/>
                          </w:rPr>
                          <w:t xml:space="preserve">RMP </w:t>
                        </w:r>
                      </w:p>
                      <w:p w:rsidR="001471ED" w:rsidRPr="001471ED" w:rsidRDefault="001471ED" w:rsidP="001471ED">
                        <w:pPr>
                          <w:jc w:val="center"/>
                          <w:rPr>
                            <w:rFonts w:asciiTheme="minorHAnsi" w:hAnsiTheme="minorHAnsi" w:cstheme="minorHAnsi"/>
                            <w:sz w:val="20"/>
                            <w:szCs w:val="20"/>
                          </w:rPr>
                        </w:pPr>
                        <w:r w:rsidRPr="001471ED">
                          <w:rPr>
                            <w:rFonts w:asciiTheme="minorHAnsi" w:hAnsiTheme="minorHAnsi" w:cstheme="minorHAnsi"/>
                            <w:sz w:val="20"/>
                            <w:szCs w:val="20"/>
                          </w:rPr>
                          <w:t>RM/2022/123/12</w:t>
                        </w:r>
                      </w:p>
                    </w:tc>
                    <w:tc>
                      <w:tcPr>
                        <w:tcW w:w="1134" w:type="dxa"/>
                        <w:vAlign w:val="center"/>
                      </w:tcPr>
                      <w:p w:rsidR="001471ED" w:rsidRPr="001471ED" w:rsidRDefault="000A3C9C" w:rsidP="001471ED">
                        <w:pPr>
                          <w:jc w:val="center"/>
                          <w:rPr>
                            <w:rFonts w:asciiTheme="minorHAnsi" w:hAnsiTheme="minorHAnsi" w:cstheme="minorHAnsi"/>
                            <w:sz w:val="20"/>
                            <w:szCs w:val="20"/>
                          </w:rPr>
                        </w:pPr>
                        <w:r>
                          <w:rPr>
                            <w:rFonts w:asciiTheme="minorHAnsi" w:hAnsiTheme="minorHAnsi" w:cstheme="minorHAnsi"/>
                            <w:sz w:val="20"/>
                            <w:szCs w:val="20"/>
                          </w:rPr>
                          <w:t xml:space="preserve">23. </w:t>
                        </w:r>
                        <w:r w:rsidR="001471ED" w:rsidRPr="001471ED">
                          <w:rPr>
                            <w:rFonts w:asciiTheme="minorHAnsi" w:hAnsiTheme="minorHAnsi" w:cstheme="minorHAnsi"/>
                            <w:sz w:val="20"/>
                            <w:szCs w:val="20"/>
                          </w:rPr>
                          <w:t>8.</w:t>
                        </w:r>
                        <w:r>
                          <w:rPr>
                            <w:rFonts w:asciiTheme="minorHAnsi" w:hAnsiTheme="minorHAnsi" w:cstheme="minorHAnsi"/>
                            <w:sz w:val="20"/>
                            <w:szCs w:val="20"/>
                          </w:rPr>
                          <w:t xml:space="preserve"> </w:t>
                        </w:r>
                        <w:r w:rsidR="001471ED" w:rsidRPr="001471ED">
                          <w:rPr>
                            <w:rFonts w:asciiTheme="minorHAnsi" w:hAnsiTheme="minorHAnsi" w:cstheme="minorHAnsi"/>
                            <w:sz w:val="20"/>
                            <w:szCs w:val="20"/>
                          </w:rPr>
                          <w:t>2022</w:t>
                        </w:r>
                      </w:p>
                    </w:tc>
                    <w:tc>
                      <w:tcPr>
                        <w:tcW w:w="850" w:type="dxa"/>
                        <w:vAlign w:val="center"/>
                      </w:tcPr>
                      <w:p w:rsidR="001471ED" w:rsidRPr="001471ED" w:rsidRDefault="000A3C9C" w:rsidP="001471ED">
                        <w:pPr>
                          <w:jc w:val="center"/>
                          <w:rPr>
                            <w:rFonts w:asciiTheme="minorHAnsi" w:hAnsiTheme="minorHAnsi" w:cstheme="minorHAnsi"/>
                            <w:sz w:val="20"/>
                            <w:szCs w:val="20"/>
                          </w:rPr>
                        </w:pPr>
                        <w:r>
                          <w:rPr>
                            <w:rFonts w:asciiTheme="minorHAnsi" w:hAnsiTheme="minorHAnsi" w:cstheme="minorHAnsi"/>
                            <w:sz w:val="20"/>
                            <w:szCs w:val="20"/>
                          </w:rPr>
                          <w:t xml:space="preserve">3 </w:t>
                        </w:r>
                        <w:r w:rsidR="001471ED" w:rsidRPr="001471ED">
                          <w:rPr>
                            <w:rFonts w:asciiTheme="minorHAnsi" w:hAnsiTheme="minorHAnsi" w:cstheme="minorHAnsi"/>
                            <w:sz w:val="20"/>
                            <w:szCs w:val="20"/>
                          </w:rPr>
                          <w:t>993</w:t>
                        </w:r>
                      </w:p>
                    </w:tc>
                    <w:tc>
                      <w:tcPr>
                        <w:tcW w:w="4111" w:type="dxa"/>
                        <w:vAlign w:val="center"/>
                      </w:tcPr>
                      <w:p w:rsidR="001471ED" w:rsidRPr="001471ED" w:rsidRDefault="001471ED" w:rsidP="001471ED">
                        <w:pPr>
                          <w:rPr>
                            <w:rFonts w:asciiTheme="minorHAnsi" w:hAnsiTheme="minorHAnsi" w:cstheme="minorHAnsi"/>
                            <w:sz w:val="20"/>
                            <w:szCs w:val="20"/>
                          </w:rPr>
                        </w:pPr>
                        <w:r w:rsidRPr="001471ED">
                          <w:rPr>
                            <w:rFonts w:asciiTheme="minorHAnsi" w:hAnsiTheme="minorHAnsi" w:cstheme="minorHAnsi"/>
                            <w:sz w:val="20"/>
                            <w:szCs w:val="20"/>
                          </w:rPr>
                          <w:t xml:space="preserve">zvýšení položky 5169 – nákup služeb (uzavření smlouvy na propagační služby) </w:t>
                        </w:r>
                      </w:p>
                      <w:p w:rsidR="001471ED" w:rsidRPr="001471ED" w:rsidRDefault="001471ED" w:rsidP="001471ED">
                        <w:pPr>
                          <w:rPr>
                            <w:rFonts w:asciiTheme="minorHAnsi" w:hAnsiTheme="minorHAnsi" w:cstheme="minorHAnsi"/>
                            <w:sz w:val="20"/>
                            <w:szCs w:val="20"/>
                          </w:rPr>
                        </w:pPr>
                      </w:p>
                      <w:p w:rsidR="001471ED" w:rsidRPr="001471ED" w:rsidRDefault="001471ED" w:rsidP="001471ED">
                        <w:pPr>
                          <w:rPr>
                            <w:rFonts w:asciiTheme="minorHAnsi" w:hAnsiTheme="minorHAnsi" w:cstheme="minorHAnsi"/>
                            <w:sz w:val="20"/>
                            <w:szCs w:val="20"/>
                          </w:rPr>
                        </w:pPr>
                        <w:r w:rsidRPr="001471ED">
                          <w:rPr>
                            <w:rFonts w:asciiTheme="minorHAnsi" w:hAnsiTheme="minorHAnsi" w:cstheme="minorHAnsi"/>
                            <w:sz w:val="20"/>
                            <w:szCs w:val="20"/>
                          </w:rPr>
                          <w:t>snížení pol. 8115 - Fond rozvoje a rezerv</w:t>
                        </w:r>
                      </w:p>
                    </w:tc>
                    <w:tc>
                      <w:tcPr>
                        <w:tcW w:w="1276" w:type="dxa"/>
                        <w:vAlign w:val="center"/>
                      </w:tcPr>
                      <w:p w:rsidR="001471ED" w:rsidRPr="001471ED" w:rsidRDefault="001471ED" w:rsidP="001471ED">
                        <w:pPr>
                          <w:rPr>
                            <w:rFonts w:asciiTheme="minorHAnsi" w:hAnsiTheme="minorHAnsi" w:cstheme="minorHAnsi"/>
                            <w:sz w:val="20"/>
                            <w:szCs w:val="20"/>
                          </w:rPr>
                        </w:pPr>
                        <w:r w:rsidRPr="001471ED">
                          <w:rPr>
                            <w:rFonts w:asciiTheme="minorHAnsi" w:hAnsiTheme="minorHAnsi" w:cstheme="minorHAnsi"/>
                            <w:sz w:val="20"/>
                            <w:szCs w:val="20"/>
                          </w:rPr>
                          <w:t>Realizováno</w:t>
                        </w:r>
                      </w:p>
                    </w:tc>
                  </w:tr>
                  <w:tr w:rsidR="001471ED" w:rsidRPr="001471ED" w:rsidTr="000A3C9C">
                    <w:trPr>
                      <w:trHeight w:val="760"/>
                    </w:trPr>
                    <w:tc>
                      <w:tcPr>
                        <w:tcW w:w="1770" w:type="dxa"/>
                        <w:vAlign w:val="center"/>
                      </w:tcPr>
                      <w:p w:rsidR="001471ED" w:rsidRPr="001471ED" w:rsidRDefault="001471ED" w:rsidP="001471ED">
                        <w:pPr>
                          <w:jc w:val="center"/>
                          <w:rPr>
                            <w:rFonts w:asciiTheme="minorHAnsi" w:hAnsiTheme="minorHAnsi" w:cstheme="minorHAnsi"/>
                            <w:sz w:val="20"/>
                            <w:szCs w:val="20"/>
                          </w:rPr>
                        </w:pPr>
                        <w:r w:rsidRPr="001471ED">
                          <w:rPr>
                            <w:rFonts w:asciiTheme="minorHAnsi" w:hAnsiTheme="minorHAnsi" w:cstheme="minorHAnsi"/>
                            <w:sz w:val="20"/>
                            <w:szCs w:val="20"/>
                          </w:rPr>
                          <w:t>RMP</w:t>
                        </w:r>
                      </w:p>
                      <w:p w:rsidR="001471ED" w:rsidRPr="001471ED" w:rsidRDefault="001471ED" w:rsidP="001471ED">
                        <w:pPr>
                          <w:jc w:val="center"/>
                          <w:rPr>
                            <w:rFonts w:asciiTheme="minorHAnsi" w:hAnsiTheme="minorHAnsi" w:cstheme="minorHAnsi"/>
                            <w:sz w:val="20"/>
                            <w:szCs w:val="20"/>
                          </w:rPr>
                        </w:pPr>
                        <w:r w:rsidRPr="001471ED">
                          <w:rPr>
                            <w:rFonts w:asciiTheme="minorHAnsi" w:hAnsiTheme="minorHAnsi" w:cstheme="minorHAnsi"/>
                            <w:sz w:val="20"/>
                            <w:szCs w:val="20"/>
                          </w:rPr>
                          <w:t>RM/2022/124/08</w:t>
                        </w:r>
                      </w:p>
                    </w:tc>
                    <w:tc>
                      <w:tcPr>
                        <w:tcW w:w="1134" w:type="dxa"/>
                        <w:vAlign w:val="center"/>
                      </w:tcPr>
                      <w:p w:rsidR="001471ED" w:rsidRPr="001471ED" w:rsidRDefault="001471ED" w:rsidP="001471ED">
                        <w:pPr>
                          <w:jc w:val="center"/>
                          <w:rPr>
                            <w:rFonts w:asciiTheme="minorHAnsi" w:hAnsiTheme="minorHAnsi" w:cstheme="minorHAnsi"/>
                            <w:sz w:val="20"/>
                            <w:szCs w:val="20"/>
                          </w:rPr>
                        </w:pPr>
                      </w:p>
                      <w:p w:rsidR="001471ED" w:rsidRPr="001471ED" w:rsidRDefault="001471ED" w:rsidP="001471ED">
                        <w:pPr>
                          <w:jc w:val="center"/>
                          <w:rPr>
                            <w:rFonts w:asciiTheme="minorHAnsi" w:hAnsiTheme="minorHAnsi" w:cstheme="minorHAnsi"/>
                            <w:sz w:val="20"/>
                            <w:szCs w:val="20"/>
                          </w:rPr>
                        </w:pPr>
                        <w:r w:rsidRPr="001471ED">
                          <w:rPr>
                            <w:rFonts w:asciiTheme="minorHAnsi" w:hAnsiTheme="minorHAnsi" w:cstheme="minorHAnsi"/>
                            <w:sz w:val="20"/>
                            <w:szCs w:val="20"/>
                          </w:rPr>
                          <w:t>31.</w:t>
                        </w:r>
                        <w:r w:rsidR="000A3C9C">
                          <w:rPr>
                            <w:rFonts w:asciiTheme="minorHAnsi" w:hAnsiTheme="minorHAnsi" w:cstheme="minorHAnsi"/>
                            <w:sz w:val="20"/>
                            <w:szCs w:val="20"/>
                          </w:rPr>
                          <w:t xml:space="preserve"> </w:t>
                        </w:r>
                        <w:r w:rsidRPr="001471ED">
                          <w:rPr>
                            <w:rFonts w:asciiTheme="minorHAnsi" w:hAnsiTheme="minorHAnsi" w:cstheme="minorHAnsi"/>
                            <w:sz w:val="20"/>
                            <w:szCs w:val="20"/>
                          </w:rPr>
                          <w:t>8.</w:t>
                        </w:r>
                        <w:r w:rsidR="000A3C9C">
                          <w:rPr>
                            <w:rFonts w:asciiTheme="minorHAnsi" w:hAnsiTheme="minorHAnsi" w:cstheme="minorHAnsi"/>
                            <w:sz w:val="20"/>
                            <w:szCs w:val="20"/>
                          </w:rPr>
                          <w:t xml:space="preserve"> </w:t>
                        </w:r>
                        <w:r w:rsidRPr="001471ED">
                          <w:rPr>
                            <w:rFonts w:asciiTheme="minorHAnsi" w:hAnsiTheme="minorHAnsi" w:cstheme="minorHAnsi"/>
                            <w:sz w:val="20"/>
                            <w:szCs w:val="20"/>
                          </w:rPr>
                          <w:t>2022</w:t>
                        </w:r>
                      </w:p>
                    </w:tc>
                    <w:tc>
                      <w:tcPr>
                        <w:tcW w:w="850" w:type="dxa"/>
                        <w:vAlign w:val="center"/>
                      </w:tcPr>
                      <w:p w:rsidR="001471ED" w:rsidRPr="001471ED" w:rsidRDefault="001471ED" w:rsidP="001471ED">
                        <w:pPr>
                          <w:jc w:val="center"/>
                          <w:rPr>
                            <w:rFonts w:asciiTheme="minorHAnsi" w:hAnsiTheme="minorHAnsi" w:cstheme="minorHAnsi"/>
                            <w:sz w:val="20"/>
                            <w:szCs w:val="20"/>
                          </w:rPr>
                        </w:pPr>
                      </w:p>
                      <w:p w:rsidR="001471ED" w:rsidRPr="001471ED" w:rsidRDefault="001471ED" w:rsidP="001471ED">
                        <w:pPr>
                          <w:jc w:val="center"/>
                          <w:rPr>
                            <w:rFonts w:asciiTheme="minorHAnsi" w:hAnsiTheme="minorHAnsi" w:cstheme="minorHAnsi"/>
                            <w:sz w:val="20"/>
                            <w:szCs w:val="20"/>
                          </w:rPr>
                        </w:pPr>
                        <w:r w:rsidRPr="001471ED">
                          <w:rPr>
                            <w:rFonts w:asciiTheme="minorHAnsi" w:hAnsiTheme="minorHAnsi" w:cstheme="minorHAnsi"/>
                            <w:sz w:val="20"/>
                            <w:szCs w:val="20"/>
                          </w:rPr>
                          <w:t>500</w:t>
                        </w:r>
                      </w:p>
                    </w:tc>
                    <w:tc>
                      <w:tcPr>
                        <w:tcW w:w="4111" w:type="dxa"/>
                      </w:tcPr>
                      <w:p w:rsidR="001471ED" w:rsidRPr="001471ED" w:rsidRDefault="001471ED" w:rsidP="001471ED">
                        <w:pPr>
                          <w:rPr>
                            <w:rFonts w:asciiTheme="minorHAnsi" w:hAnsiTheme="minorHAnsi" w:cstheme="minorHAnsi"/>
                            <w:sz w:val="20"/>
                            <w:szCs w:val="20"/>
                          </w:rPr>
                        </w:pPr>
                        <w:r w:rsidRPr="001471ED">
                          <w:rPr>
                            <w:rFonts w:asciiTheme="minorHAnsi" w:hAnsiTheme="minorHAnsi" w:cstheme="minorHAnsi"/>
                            <w:sz w:val="20"/>
                            <w:szCs w:val="20"/>
                          </w:rPr>
                          <w:t>zvýšení položky 5169 – nákup služeb (nákup propagačních potřeb)</w:t>
                        </w:r>
                      </w:p>
                      <w:p w:rsidR="001471ED" w:rsidRPr="001471ED" w:rsidRDefault="001471ED" w:rsidP="001471ED">
                        <w:pPr>
                          <w:rPr>
                            <w:rFonts w:asciiTheme="minorHAnsi" w:hAnsiTheme="minorHAnsi" w:cstheme="minorHAnsi"/>
                            <w:sz w:val="20"/>
                            <w:szCs w:val="20"/>
                          </w:rPr>
                        </w:pPr>
                      </w:p>
                      <w:p w:rsidR="001471ED" w:rsidRPr="001471ED" w:rsidRDefault="001471ED" w:rsidP="001471ED">
                        <w:pPr>
                          <w:rPr>
                            <w:rFonts w:asciiTheme="minorHAnsi" w:hAnsiTheme="minorHAnsi" w:cstheme="minorHAnsi"/>
                            <w:sz w:val="20"/>
                            <w:szCs w:val="20"/>
                          </w:rPr>
                        </w:pPr>
                        <w:r w:rsidRPr="001471ED">
                          <w:rPr>
                            <w:rFonts w:asciiTheme="minorHAnsi" w:hAnsiTheme="minorHAnsi" w:cstheme="minorHAnsi"/>
                            <w:sz w:val="20"/>
                            <w:szCs w:val="20"/>
                          </w:rPr>
                          <w:t>zvýšení položky 5175 – nákup občerstvení (občerstvení na společenské akce)</w:t>
                        </w:r>
                      </w:p>
                      <w:p w:rsidR="001471ED" w:rsidRPr="001471ED" w:rsidRDefault="001471ED" w:rsidP="001471ED">
                        <w:pPr>
                          <w:rPr>
                            <w:rFonts w:asciiTheme="minorHAnsi" w:hAnsiTheme="minorHAnsi" w:cstheme="minorHAnsi"/>
                            <w:sz w:val="20"/>
                            <w:szCs w:val="20"/>
                          </w:rPr>
                        </w:pPr>
                      </w:p>
                      <w:p w:rsidR="001471ED" w:rsidRPr="001471ED" w:rsidRDefault="001471ED" w:rsidP="001471ED">
                        <w:pPr>
                          <w:rPr>
                            <w:rFonts w:asciiTheme="minorHAnsi" w:hAnsiTheme="minorHAnsi" w:cstheme="minorHAnsi"/>
                            <w:sz w:val="20"/>
                            <w:szCs w:val="20"/>
                          </w:rPr>
                        </w:pPr>
                        <w:r w:rsidRPr="001471ED">
                          <w:rPr>
                            <w:rFonts w:asciiTheme="minorHAnsi" w:hAnsiTheme="minorHAnsi" w:cstheme="minorHAnsi"/>
                            <w:sz w:val="20"/>
                            <w:szCs w:val="20"/>
                          </w:rPr>
                          <w:t>snížení pol. 8115 – Fond rozvoje a rezerv</w:t>
                        </w:r>
                      </w:p>
                    </w:tc>
                    <w:tc>
                      <w:tcPr>
                        <w:tcW w:w="1276" w:type="dxa"/>
                        <w:vAlign w:val="center"/>
                      </w:tcPr>
                      <w:p w:rsidR="001471ED" w:rsidRPr="001471ED" w:rsidRDefault="001471ED" w:rsidP="001471ED">
                        <w:pPr>
                          <w:rPr>
                            <w:rFonts w:asciiTheme="minorHAnsi" w:hAnsiTheme="minorHAnsi" w:cstheme="minorHAnsi"/>
                            <w:sz w:val="20"/>
                            <w:szCs w:val="20"/>
                          </w:rPr>
                        </w:pPr>
                        <w:r w:rsidRPr="001471ED">
                          <w:rPr>
                            <w:rFonts w:asciiTheme="minorHAnsi" w:hAnsiTheme="minorHAnsi" w:cstheme="minorHAnsi"/>
                            <w:sz w:val="20"/>
                            <w:szCs w:val="20"/>
                          </w:rPr>
                          <w:t>Realizováno</w:t>
                        </w:r>
                      </w:p>
                    </w:tc>
                  </w:tr>
                  <w:tr w:rsidR="001471ED" w:rsidRPr="001471ED" w:rsidTr="000A3C9C">
                    <w:trPr>
                      <w:trHeight w:val="760"/>
                    </w:trPr>
                    <w:tc>
                      <w:tcPr>
                        <w:tcW w:w="1770" w:type="dxa"/>
                        <w:vAlign w:val="center"/>
                      </w:tcPr>
                      <w:p w:rsidR="001471ED" w:rsidRPr="001471ED" w:rsidRDefault="001471ED" w:rsidP="001471ED">
                        <w:pPr>
                          <w:jc w:val="center"/>
                          <w:rPr>
                            <w:rFonts w:asciiTheme="minorHAnsi" w:hAnsiTheme="minorHAnsi" w:cstheme="minorHAnsi"/>
                            <w:sz w:val="20"/>
                            <w:szCs w:val="20"/>
                          </w:rPr>
                        </w:pPr>
                        <w:r w:rsidRPr="001471ED">
                          <w:rPr>
                            <w:rFonts w:asciiTheme="minorHAnsi" w:hAnsiTheme="minorHAnsi" w:cstheme="minorHAnsi"/>
                            <w:sz w:val="20"/>
                            <w:szCs w:val="20"/>
                          </w:rPr>
                          <w:t>RMP</w:t>
                        </w:r>
                      </w:p>
                      <w:p w:rsidR="001471ED" w:rsidRPr="001471ED" w:rsidRDefault="001471ED" w:rsidP="001471ED">
                        <w:pPr>
                          <w:jc w:val="center"/>
                          <w:rPr>
                            <w:rFonts w:asciiTheme="minorHAnsi" w:hAnsiTheme="minorHAnsi" w:cstheme="minorHAnsi"/>
                            <w:sz w:val="20"/>
                            <w:szCs w:val="20"/>
                          </w:rPr>
                        </w:pPr>
                        <w:r w:rsidRPr="001471ED">
                          <w:rPr>
                            <w:rFonts w:asciiTheme="minorHAnsi" w:hAnsiTheme="minorHAnsi" w:cstheme="minorHAnsi"/>
                            <w:sz w:val="20"/>
                            <w:szCs w:val="20"/>
                          </w:rPr>
                          <w:t>RM/2022/05/07</w:t>
                        </w:r>
                      </w:p>
                    </w:tc>
                    <w:tc>
                      <w:tcPr>
                        <w:tcW w:w="1134" w:type="dxa"/>
                        <w:vAlign w:val="center"/>
                      </w:tcPr>
                      <w:p w:rsidR="001471ED" w:rsidRPr="001471ED" w:rsidRDefault="001471ED" w:rsidP="001471ED">
                        <w:pPr>
                          <w:jc w:val="center"/>
                          <w:rPr>
                            <w:rFonts w:asciiTheme="minorHAnsi" w:hAnsiTheme="minorHAnsi" w:cstheme="minorHAnsi"/>
                            <w:sz w:val="20"/>
                            <w:szCs w:val="20"/>
                          </w:rPr>
                        </w:pPr>
                      </w:p>
                      <w:p w:rsidR="001471ED" w:rsidRPr="001471ED" w:rsidRDefault="001471ED" w:rsidP="001471ED">
                        <w:pPr>
                          <w:jc w:val="center"/>
                          <w:rPr>
                            <w:rFonts w:asciiTheme="minorHAnsi" w:hAnsiTheme="minorHAnsi" w:cstheme="minorHAnsi"/>
                            <w:sz w:val="20"/>
                            <w:szCs w:val="20"/>
                          </w:rPr>
                        </w:pPr>
                        <w:r w:rsidRPr="001471ED">
                          <w:rPr>
                            <w:rFonts w:asciiTheme="minorHAnsi" w:hAnsiTheme="minorHAnsi" w:cstheme="minorHAnsi"/>
                            <w:sz w:val="20"/>
                            <w:szCs w:val="20"/>
                          </w:rPr>
                          <w:t>6.</w:t>
                        </w:r>
                        <w:r w:rsidR="000A3C9C">
                          <w:rPr>
                            <w:rFonts w:asciiTheme="minorHAnsi" w:hAnsiTheme="minorHAnsi" w:cstheme="minorHAnsi"/>
                            <w:sz w:val="20"/>
                            <w:szCs w:val="20"/>
                          </w:rPr>
                          <w:t xml:space="preserve"> </w:t>
                        </w:r>
                        <w:r w:rsidRPr="001471ED">
                          <w:rPr>
                            <w:rFonts w:asciiTheme="minorHAnsi" w:hAnsiTheme="minorHAnsi" w:cstheme="minorHAnsi"/>
                            <w:sz w:val="20"/>
                            <w:szCs w:val="20"/>
                          </w:rPr>
                          <w:t>12.</w:t>
                        </w:r>
                        <w:r w:rsidR="000A3C9C">
                          <w:rPr>
                            <w:rFonts w:asciiTheme="minorHAnsi" w:hAnsiTheme="minorHAnsi" w:cstheme="minorHAnsi"/>
                            <w:sz w:val="20"/>
                            <w:szCs w:val="20"/>
                          </w:rPr>
                          <w:t xml:space="preserve"> </w:t>
                        </w:r>
                        <w:r w:rsidRPr="001471ED">
                          <w:rPr>
                            <w:rFonts w:asciiTheme="minorHAnsi" w:hAnsiTheme="minorHAnsi" w:cstheme="minorHAnsi"/>
                            <w:sz w:val="20"/>
                            <w:szCs w:val="20"/>
                          </w:rPr>
                          <w:t>2022</w:t>
                        </w:r>
                      </w:p>
                    </w:tc>
                    <w:tc>
                      <w:tcPr>
                        <w:tcW w:w="850" w:type="dxa"/>
                        <w:vAlign w:val="center"/>
                      </w:tcPr>
                      <w:p w:rsidR="001471ED" w:rsidRPr="001471ED" w:rsidRDefault="001471ED" w:rsidP="001471ED">
                        <w:pPr>
                          <w:jc w:val="center"/>
                          <w:rPr>
                            <w:rFonts w:asciiTheme="minorHAnsi" w:hAnsiTheme="minorHAnsi" w:cstheme="minorHAnsi"/>
                            <w:sz w:val="20"/>
                            <w:szCs w:val="20"/>
                          </w:rPr>
                        </w:pPr>
                      </w:p>
                      <w:p w:rsidR="001471ED" w:rsidRPr="001471ED" w:rsidRDefault="001471ED" w:rsidP="001471ED">
                        <w:pPr>
                          <w:jc w:val="center"/>
                          <w:rPr>
                            <w:rFonts w:asciiTheme="minorHAnsi" w:hAnsiTheme="minorHAnsi" w:cstheme="minorHAnsi"/>
                            <w:sz w:val="20"/>
                            <w:szCs w:val="20"/>
                          </w:rPr>
                        </w:pPr>
                        <w:r w:rsidRPr="001471ED">
                          <w:rPr>
                            <w:rFonts w:asciiTheme="minorHAnsi" w:hAnsiTheme="minorHAnsi" w:cstheme="minorHAnsi"/>
                            <w:sz w:val="20"/>
                            <w:szCs w:val="20"/>
                          </w:rPr>
                          <w:t>363</w:t>
                        </w:r>
                      </w:p>
                    </w:tc>
                    <w:tc>
                      <w:tcPr>
                        <w:tcW w:w="4111" w:type="dxa"/>
                      </w:tcPr>
                      <w:p w:rsidR="001471ED" w:rsidRPr="001471ED" w:rsidRDefault="001471ED" w:rsidP="001471ED">
                        <w:pPr>
                          <w:rPr>
                            <w:rFonts w:asciiTheme="minorHAnsi" w:hAnsiTheme="minorHAnsi" w:cstheme="minorHAnsi"/>
                            <w:sz w:val="20"/>
                            <w:szCs w:val="20"/>
                          </w:rPr>
                        </w:pPr>
                        <w:r w:rsidRPr="001471ED">
                          <w:rPr>
                            <w:rFonts w:asciiTheme="minorHAnsi" w:hAnsiTheme="minorHAnsi" w:cstheme="minorHAnsi"/>
                            <w:sz w:val="20"/>
                            <w:szCs w:val="20"/>
                          </w:rPr>
                          <w:t xml:space="preserve">snížení položky 5041 – odměny za užití duševního vlastnictví (změna v organizačním a technickém zajištění Open Air koncert) </w:t>
                        </w:r>
                      </w:p>
                      <w:p w:rsidR="001471ED" w:rsidRPr="001471ED" w:rsidRDefault="001471ED" w:rsidP="001471ED">
                        <w:pPr>
                          <w:rPr>
                            <w:rFonts w:asciiTheme="minorHAnsi" w:hAnsiTheme="minorHAnsi" w:cstheme="minorHAnsi"/>
                            <w:sz w:val="20"/>
                            <w:szCs w:val="20"/>
                          </w:rPr>
                        </w:pPr>
                      </w:p>
                      <w:p w:rsidR="001471ED" w:rsidRPr="001471ED" w:rsidRDefault="001471ED" w:rsidP="001471ED">
                        <w:pPr>
                          <w:rPr>
                            <w:rFonts w:asciiTheme="minorHAnsi" w:hAnsiTheme="minorHAnsi" w:cstheme="minorHAnsi"/>
                            <w:sz w:val="20"/>
                            <w:szCs w:val="20"/>
                          </w:rPr>
                        </w:pPr>
                        <w:r w:rsidRPr="001471ED">
                          <w:rPr>
                            <w:rFonts w:asciiTheme="minorHAnsi" w:hAnsiTheme="minorHAnsi" w:cstheme="minorHAnsi"/>
                            <w:sz w:val="20"/>
                            <w:szCs w:val="20"/>
                          </w:rPr>
                          <w:t>zvýšení pol. 8115 -  Fond rozvoje a rezerv</w:t>
                        </w:r>
                      </w:p>
                    </w:tc>
                    <w:tc>
                      <w:tcPr>
                        <w:tcW w:w="1276" w:type="dxa"/>
                        <w:vAlign w:val="center"/>
                      </w:tcPr>
                      <w:p w:rsidR="001471ED" w:rsidRPr="001471ED" w:rsidRDefault="001471ED" w:rsidP="001471ED">
                        <w:pPr>
                          <w:rPr>
                            <w:rFonts w:asciiTheme="minorHAnsi" w:hAnsiTheme="minorHAnsi" w:cstheme="minorHAnsi"/>
                            <w:sz w:val="20"/>
                            <w:szCs w:val="20"/>
                          </w:rPr>
                        </w:pPr>
                        <w:r w:rsidRPr="001471ED">
                          <w:rPr>
                            <w:rFonts w:asciiTheme="minorHAnsi" w:hAnsiTheme="minorHAnsi" w:cstheme="minorHAnsi"/>
                            <w:sz w:val="20"/>
                            <w:szCs w:val="20"/>
                          </w:rPr>
                          <w:t>Realizováno</w:t>
                        </w:r>
                      </w:p>
                    </w:tc>
                  </w:tr>
                </w:tbl>
                <w:p w:rsidR="001471ED" w:rsidRPr="001471ED" w:rsidRDefault="001471ED" w:rsidP="001471ED">
                  <w:pPr>
                    <w:rPr>
                      <w:rFonts w:asciiTheme="minorHAnsi" w:hAnsiTheme="minorHAnsi" w:cstheme="minorHAnsi"/>
                      <w:b/>
                      <w:sz w:val="20"/>
                      <w:szCs w:val="20"/>
                    </w:rPr>
                  </w:pPr>
                </w:p>
                <w:p w:rsidR="001471ED" w:rsidRPr="001471ED" w:rsidRDefault="001471ED" w:rsidP="001471ED">
                  <w:pPr>
                    <w:rPr>
                      <w:rFonts w:asciiTheme="minorHAnsi" w:hAnsiTheme="minorHAnsi" w:cstheme="minorHAnsi"/>
                      <w:b/>
                      <w:sz w:val="20"/>
                      <w:szCs w:val="20"/>
                    </w:rPr>
                  </w:pPr>
                </w:p>
                <w:p w:rsidR="001471ED" w:rsidRPr="001471ED" w:rsidRDefault="000A3C9C" w:rsidP="001471ED">
                  <w:pPr>
                    <w:rPr>
                      <w:rFonts w:asciiTheme="minorHAnsi" w:hAnsiTheme="minorHAnsi" w:cstheme="minorHAnsi"/>
                      <w:b/>
                      <w:sz w:val="20"/>
                      <w:szCs w:val="20"/>
                    </w:rPr>
                  </w:pPr>
                  <w:r>
                    <w:rPr>
                      <w:rFonts w:asciiTheme="minorHAnsi" w:hAnsiTheme="minorHAnsi" w:cstheme="minorHAnsi"/>
                      <w:b/>
                      <w:sz w:val="20"/>
                      <w:szCs w:val="20"/>
                    </w:rPr>
                    <w:t xml:space="preserve">V Prostějově: 15. </w:t>
                  </w:r>
                  <w:r w:rsidR="001471ED" w:rsidRPr="001471ED">
                    <w:rPr>
                      <w:rFonts w:asciiTheme="minorHAnsi" w:hAnsiTheme="minorHAnsi" w:cstheme="minorHAnsi"/>
                      <w:b/>
                      <w:sz w:val="20"/>
                      <w:szCs w:val="20"/>
                    </w:rPr>
                    <w:t>2. 2023</w:t>
                  </w:r>
                  <w:r w:rsidR="001471ED" w:rsidRPr="001471ED">
                    <w:rPr>
                      <w:rFonts w:asciiTheme="minorHAnsi" w:hAnsiTheme="minorHAnsi" w:cstheme="minorHAnsi"/>
                      <w:b/>
                      <w:sz w:val="20"/>
                      <w:szCs w:val="20"/>
                    </w:rPr>
                    <w:tab/>
                  </w:r>
                  <w:r w:rsidR="001471ED" w:rsidRPr="001471ED">
                    <w:rPr>
                      <w:rFonts w:asciiTheme="minorHAnsi" w:hAnsiTheme="minorHAnsi" w:cstheme="minorHAnsi"/>
                      <w:b/>
                      <w:sz w:val="20"/>
                      <w:szCs w:val="20"/>
                    </w:rPr>
                    <w:tab/>
                  </w:r>
                  <w:r w:rsidR="001471ED" w:rsidRPr="001471ED">
                    <w:rPr>
                      <w:rFonts w:asciiTheme="minorHAnsi" w:hAnsiTheme="minorHAnsi" w:cstheme="minorHAnsi"/>
                      <w:b/>
                      <w:sz w:val="20"/>
                      <w:szCs w:val="20"/>
                    </w:rPr>
                    <w:tab/>
                  </w:r>
                  <w:r w:rsidR="001471ED" w:rsidRPr="001471ED">
                    <w:rPr>
                      <w:rFonts w:asciiTheme="minorHAnsi" w:hAnsiTheme="minorHAnsi" w:cstheme="minorHAnsi"/>
                      <w:b/>
                      <w:sz w:val="20"/>
                      <w:szCs w:val="20"/>
                    </w:rPr>
                    <w:tab/>
                  </w:r>
                  <w:r w:rsidR="001471ED" w:rsidRPr="001471ED">
                    <w:rPr>
                      <w:rFonts w:asciiTheme="minorHAnsi" w:hAnsiTheme="minorHAnsi" w:cstheme="minorHAnsi"/>
                      <w:b/>
                      <w:sz w:val="20"/>
                      <w:szCs w:val="20"/>
                    </w:rPr>
                    <w:tab/>
                  </w:r>
                  <w:r w:rsidR="001471ED" w:rsidRPr="001471ED">
                    <w:rPr>
                      <w:rFonts w:asciiTheme="minorHAnsi" w:hAnsiTheme="minorHAnsi" w:cstheme="minorHAnsi"/>
                      <w:b/>
                      <w:sz w:val="20"/>
                      <w:szCs w:val="20"/>
                    </w:rPr>
                    <w:tab/>
                  </w:r>
                  <w:r w:rsidR="001471ED" w:rsidRPr="001471ED">
                    <w:rPr>
                      <w:rFonts w:asciiTheme="minorHAnsi" w:hAnsiTheme="minorHAnsi" w:cstheme="minorHAnsi"/>
                      <w:b/>
                      <w:sz w:val="20"/>
                      <w:szCs w:val="20"/>
                    </w:rPr>
                    <w:tab/>
                  </w:r>
                  <w:r w:rsidR="001471ED" w:rsidRPr="001471ED">
                    <w:rPr>
                      <w:rFonts w:asciiTheme="minorHAnsi" w:hAnsiTheme="minorHAnsi" w:cstheme="minorHAnsi"/>
                      <w:b/>
                      <w:sz w:val="20"/>
                      <w:szCs w:val="20"/>
                    </w:rPr>
                    <w:tab/>
                  </w:r>
                  <w:r w:rsidR="001471ED" w:rsidRPr="001471ED">
                    <w:rPr>
                      <w:rFonts w:asciiTheme="minorHAnsi" w:hAnsiTheme="minorHAnsi" w:cstheme="minorHAnsi"/>
                      <w:b/>
                      <w:sz w:val="20"/>
                      <w:szCs w:val="20"/>
                    </w:rPr>
                    <w:tab/>
                  </w:r>
                  <w:r w:rsidR="001471ED" w:rsidRPr="001471ED">
                    <w:rPr>
                      <w:rFonts w:asciiTheme="minorHAnsi" w:hAnsiTheme="minorHAnsi" w:cstheme="minorHAnsi"/>
                      <w:b/>
                      <w:sz w:val="20"/>
                      <w:szCs w:val="20"/>
                    </w:rPr>
                    <w:tab/>
                  </w:r>
                  <w:r w:rsidR="001471ED" w:rsidRPr="001471ED">
                    <w:rPr>
                      <w:rFonts w:asciiTheme="minorHAnsi" w:hAnsiTheme="minorHAnsi" w:cstheme="minorHAnsi"/>
                      <w:b/>
                      <w:sz w:val="20"/>
                      <w:szCs w:val="20"/>
                    </w:rPr>
                    <w:tab/>
                  </w:r>
                  <w:r w:rsidR="001471ED" w:rsidRPr="001471ED">
                    <w:rPr>
                      <w:rFonts w:asciiTheme="minorHAnsi" w:hAnsiTheme="minorHAnsi" w:cstheme="minorHAnsi"/>
                      <w:b/>
                      <w:sz w:val="20"/>
                      <w:szCs w:val="20"/>
                    </w:rPr>
                    <w:tab/>
                  </w:r>
                  <w:r w:rsidR="001471ED" w:rsidRPr="001471ED">
                    <w:rPr>
                      <w:rFonts w:asciiTheme="minorHAnsi" w:hAnsiTheme="minorHAnsi" w:cstheme="minorHAnsi"/>
                      <w:b/>
                      <w:sz w:val="20"/>
                      <w:szCs w:val="20"/>
                    </w:rPr>
                    <w:tab/>
                  </w:r>
                  <w:r w:rsidR="001471ED" w:rsidRPr="001471ED">
                    <w:rPr>
                      <w:rFonts w:asciiTheme="minorHAnsi" w:hAnsiTheme="minorHAnsi" w:cstheme="minorHAnsi"/>
                      <w:b/>
                      <w:sz w:val="20"/>
                      <w:szCs w:val="20"/>
                    </w:rPr>
                    <w:tab/>
                  </w:r>
                  <w:r w:rsidR="001471ED" w:rsidRPr="001471ED">
                    <w:rPr>
                      <w:rFonts w:asciiTheme="minorHAnsi" w:hAnsiTheme="minorHAnsi" w:cstheme="minorHAnsi"/>
                      <w:b/>
                      <w:sz w:val="20"/>
                      <w:szCs w:val="20"/>
                    </w:rPr>
                    <w:tab/>
                  </w:r>
                  <w:r w:rsidR="001471ED" w:rsidRPr="001471ED">
                    <w:rPr>
                      <w:rFonts w:asciiTheme="minorHAnsi" w:hAnsiTheme="minorHAnsi" w:cstheme="minorHAnsi"/>
                      <w:b/>
                      <w:sz w:val="20"/>
                      <w:szCs w:val="20"/>
                    </w:rPr>
                    <w:tab/>
                  </w:r>
                  <w:r w:rsidR="001471ED" w:rsidRPr="001471ED">
                    <w:rPr>
                      <w:rFonts w:asciiTheme="minorHAnsi" w:hAnsiTheme="minorHAnsi" w:cstheme="minorHAnsi"/>
                      <w:b/>
                      <w:sz w:val="20"/>
                      <w:szCs w:val="20"/>
                    </w:rPr>
                    <w:tab/>
                  </w:r>
                  <w:r w:rsidR="001471ED" w:rsidRPr="001471ED">
                    <w:rPr>
                      <w:rFonts w:asciiTheme="minorHAnsi" w:hAnsiTheme="minorHAnsi" w:cstheme="minorHAnsi"/>
                      <w:b/>
                      <w:sz w:val="20"/>
                      <w:szCs w:val="20"/>
                    </w:rPr>
                    <w:tab/>
                  </w:r>
                  <w:r w:rsidR="001471ED" w:rsidRPr="001471ED">
                    <w:rPr>
                      <w:rFonts w:asciiTheme="minorHAnsi" w:hAnsiTheme="minorHAnsi" w:cstheme="minorHAnsi"/>
                      <w:b/>
                      <w:sz w:val="20"/>
                      <w:szCs w:val="20"/>
                    </w:rPr>
                    <w:tab/>
                  </w:r>
                  <w:r w:rsidR="001471ED" w:rsidRPr="001471ED">
                    <w:rPr>
                      <w:rFonts w:asciiTheme="minorHAnsi" w:hAnsiTheme="minorHAnsi" w:cstheme="minorHAnsi"/>
                      <w:b/>
                      <w:sz w:val="20"/>
                      <w:szCs w:val="20"/>
                    </w:rPr>
                    <w:tab/>
                  </w:r>
                  <w:r w:rsidR="001471ED" w:rsidRPr="001471ED">
                    <w:rPr>
                      <w:rFonts w:asciiTheme="minorHAnsi" w:hAnsiTheme="minorHAnsi" w:cstheme="minorHAnsi"/>
                      <w:b/>
                      <w:sz w:val="20"/>
                      <w:szCs w:val="20"/>
                    </w:rPr>
                    <w:tab/>
                  </w:r>
                  <w:r w:rsidR="001471ED" w:rsidRPr="001471ED">
                    <w:rPr>
                      <w:rFonts w:asciiTheme="minorHAnsi" w:hAnsiTheme="minorHAnsi" w:cstheme="minorHAnsi"/>
                      <w:b/>
                      <w:sz w:val="20"/>
                      <w:szCs w:val="20"/>
                    </w:rPr>
                    <w:tab/>
                  </w:r>
                  <w:r w:rsidR="001471ED" w:rsidRPr="001471ED">
                    <w:rPr>
                      <w:rFonts w:asciiTheme="minorHAnsi" w:hAnsiTheme="minorHAnsi" w:cstheme="minorHAnsi"/>
                      <w:b/>
                      <w:sz w:val="20"/>
                      <w:szCs w:val="20"/>
                    </w:rPr>
                    <w:tab/>
                  </w:r>
                </w:p>
                <w:p w:rsidR="001471ED" w:rsidRPr="001471ED" w:rsidRDefault="001471ED" w:rsidP="001471ED">
                  <w:pPr>
                    <w:rPr>
                      <w:rFonts w:asciiTheme="minorHAnsi" w:hAnsiTheme="minorHAnsi" w:cstheme="minorHAnsi"/>
                      <w:b/>
                      <w:sz w:val="20"/>
                      <w:szCs w:val="20"/>
                    </w:rPr>
                  </w:pPr>
                </w:p>
                <w:p w:rsidR="001471ED" w:rsidRPr="001471ED" w:rsidRDefault="001471ED" w:rsidP="001471ED">
                  <w:pPr>
                    <w:rPr>
                      <w:rFonts w:asciiTheme="minorHAnsi" w:hAnsiTheme="minorHAnsi" w:cstheme="minorHAnsi"/>
                      <w:b/>
                      <w:sz w:val="20"/>
                      <w:szCs w:val="20"/>
                    </w:rPr>
                  </w:pPr>
                </w:p>
                <w:p w:rsidR="001471ED" w:rsidRPr="001471ED" w:rsidRDefault="001471ED" w:rsidP="001471ED">
                  <w:pPr>
                    <w:rPr>
                      <w:rFonts w:asciiTheme="minorHAnsi" w:hAnsiTheme="minorHAnsi" w:cstheme="minorHAnsi"/>
                      <w:b/>
                      <w:sz w:val="20"/>
                      <w:szCs w:val="20"/>
                    </w:rPr>
                  </w:pPr>
                  <w:r w:rsidRPr="001471ED">
                    <w:rPr>
                      <w:rFonts w:asciiTheme="minorHAnsi" w:hAnsiTheme="minorHAnsi" w:cstheme="minorHAnsi"/>
                      <w:b/>
                      <w:sz w:val="20"/>
                      <w:szCs w:val="20"/>
                    </w:rPr>
                    <w:t>Správce kapitoly: Ing. Petra Meisselová, LL.M.</w:t>
                  </w:r>
                </w:p>
                <w:p w:rsidR="001471ED" w:rsidRPr="001471ED" w:rsidRDefault="001471ED" w:rsidP="001471ED">
                  <w:pPr>
                    <w:rPr>
                      <w:rFonts w:asciiTheme="minorHAnsi" w:hAnsiTheme="minorHAnsi" w:cstheme="minorHAnsi"/>
                      <w:b/>
                      <w:sz w:val="20"/>
                      <w:szCs w:val="20"/>
                    </w:rPr>
                  </w:pPr>
                  <w:r w:rsidRPr="001471ED">
                    <w:rPr>
                      <w:rFonts w:asciiTheme="minorHAnsi" w:hAnsiTheme="minorHAnsi" w:cstheme="minorHAnsi"/>
                      <w:b/>
                      <w:sz w:val="20"/>
                      <w:szCs w:val="20"/>
                    </w:rPr>
                    <w:t>Zpracovala: Mgr. Irena Lenzová</w:t>
                  </w:r>
                </w:p>
                <w:p w:rsidR="001471ED" w:rsidRDefault="001471ED" w:rsidP="001471ED">
                  <w:pPr>
                    <w:rPr>
                      <w:b/>
                    </w:rPr>
                  </w:pPr>
                </w:p>
                <w:p w:rsidR="000A3C9C" w:rsidRDefault="000A3C9C" w:rsidP="001471ED">
                  <w:pPr>
                    <w:rPr>
                      <w:b/>
                    </w:rPr>
                  </w:pPr>
                </w:p>
              </w:tc>
            </w:tr>
          </w:tbl>
          <w:p w:rsidR="00B608DD" w:rsidRPr="006E55BA" w:rsidRDefault="00B608DD" w:rsidP="001471ED">
            <w:pPr>
              <w:rPr>
                <w:rFonts w:ascii="Calibri" w:hAnsi="Calibri" w:cs="Calibri"/>
                <w:b/>
                <w:color w:val="A6A6A6" w:themeColor="background1" w:themeShade="A6"/>
              </w:rPr>
            </w:pPr>
          </w:p>
        </w:tc>
      </w:tr>
      <w:tr w:rsidR="009552CD" w:rsidRPr="008A7A07" w:rsidTr="00F815C3">
        <w:tblPrEx>
          <w:tblLook w:val="0000" w:firstRow="0" w:lastRow="0" w:firstColumn="0" w:lastColumn="0" w:noHBand="0" w:noVBand="0"/>
        </w:tblPrEx>
        <w:trPr>
          <w:gridAfter w:val="8"/>
          <w:wAfter w:w="1047" w:type="dxa"/>
        </w:trPr>
        <w:tc>
          <w:tcPr>
            <w:tcW w:w="9781" w:type="dxa"/>
            <w:gridSpan w:val="50"/>
          </w:tcPr>
          <w:p w:rsidR="00AC40AA" w:rsidRPr="00AE504D" w:rsidRDefault="00AC40AA" w:rsidP="00CA6C24">
            <w:pPr>
              <w:pStyle w:val="Nadpis4"/>
            </w:pPr>
            <w:r w:rsidRPr="00AE504D">
              <w:lastRenderedPageBreak/>
              <w:t>Kapitola 11 – Správa a zabezpečení</w:t>
            </w:r>
          </w:p>
        </w:tc>
      </w:tr>
      <w:tr w:rsidR="006E55BA" w:rsidRPr="006E55BA" w:rsidTr="00F815C3">
        <w:tblPrEx>
          <w:tblLook w:val="0000" w:firstRow="0" w:lastRow="0" w:firstColumn="0" w:lastColumn="0" w:noHBand="0" w:noVBand="0"/>
        </w:tblPrEx>
        <w:trPr>
          <w:gridAfter w:val="4"/>
          <w:wAfter w:w="938" w:type="dxa"/>
        </w:trPr>
        <w:tc>
          <w:tcPr>
            <w:tcW w:w="457" w:type="dxa"/>
            <w:gridSpan w:val="2"/>
          </w:tcPr>
          <w:p w:rsidR="00AC40AA" w:rsidRPr="006E55BA" w:rsidRDefault="00AC40AA" w:rsidP="00F315F1">
            <w:pPr>
              <w:rPr>
                <w:rFonts w:ascii="Calibri" w:hAnsi="Calibri" w:cs="Calibri"/>
                <w:b/>
                <w:color w:val="A6A6A6" w:themeColor="background1" w:themeShade="A6"/>
                <w:sz w:val="18"/>
                <w:szCs w:val="18"/>
              </w:rPr>
            </w:pPr>
          </w:p>
        </w:tc>
        <w:tc>
          <w:tcPr>
            <w:tcW w:w="457" w:type="dxa"/>
            <w:gridSpan w:val="2"/>
          </w:tcPr>
          <w:p w:rsidR="00AC40AA" w:rsidRPr="006E55BA" w:rsidRDefault="00AC40AA" w:rsidP="00F315F1">
            <w:pPr>
              <w:rPr>
                <w:rFonts w:ascii="Calibri" w:hAnsi="Calibri" w:cs="Calibri"/>
                <w:b/>
                <w:color w:val="A6A6A6" w:themeColor="background1" w:themeShade="A6"/>
                <w:sz w:val="18"/>
                <w:szCs w:val="18"/>
              </w:rPr>
            </w:pPr>
          </w:p>
        </w:tc>
        <w:tc>
          <w:tcPr>
            <w:tcW w:w="457" w:type="dxa"/>
          </w:tcPr>
          <w:p w:rsidR="00AC40AA" w:rsidRPr="006E55BA" w:rsidRDefault="00AC40AA" w:rsidP="00F315F1">
            <w:pPr>
              <w:rPr>
                <w:rFonts w:ascii="Calibri" w:hAnsi="Calibri" w:cs="Calibri"/>
                <w:b/>
                <w:color w:val="A6A6A6" w:themeColor="background1" w:themeShade="A6"/>
                <w:sz w:val="18"/>
                <w:szCs w:val="18"/>
              </w:rPr>
            </w:pPr>
          </w:p>
        </w:tc>
        <w:tc>
          <w:tcPr>
            <w:tcW w:w="459" w:type="dxa"/>
            <w:gridSpan w:val="2"/>
          </w:tcPr>
          <w:p w:rsidR="00AC40AA" w:rsidRPr="006E55BA" w:rsidRDefault="00AC40AA" w:rsidP="00F315F1">
            <w:pPr>
              <w:rPr>
                <w:rFonts w:ascii="Calibri" w:hAnsi="Calibri" w:cs="Calibri"/>
                <w:b/>
                <w:color w:val="A6A6A6" w:themeColor="background1" w:themeShade="A6"/>
                <w:sz w:val="18"/>
                <w:szCs w:val="18"/>
              </w:rPr>
            </w:pPr>
          </w:p>
        </w:tc>
        <w:tc>
          <w:tcPr>
            <w:tcW w:w="459" w:type="dxa"/>
          </w:tcPr>
          <w:p w:rsidR="00AC40AA" w:rsidRPr="008A7A07" w:rsidRDefault="00AC40AA" w:rsidP="00F315F1">
            <w:pPr>
              <w:rPr>
                <w:rFonts w:ascii="Calibri" w:hAnsi="Calibri" w:cs="Calibri"/>
                <w:b/>
                <w:sz w:val="18"/>
                <w:szCs w:val="18"/>
              </w:rPr>
            </w:pPr>
          </w:p>
        </w:tc>
        <w:tc>
          <w:tcPr>
            <w:tcW w:w="956" w:type="dxa"/>
            <w:gridSpan w:val="2"/>
          </w:tcPr>
          <w:p w:rsidR="00AC40AA" w:rsidRPr="008A7A07" w:rsidRDefault="00AC40AA" w:rsidP="00F315F1">
            <w:pPr>
              <w:rPr>
                <w:rFonts w:ascii="Calibri" w:hAnsi="Calibri" w:cs="Calibri"/>
                <w:b/>
                <w:sz w:val="18"/>
                <w:szCs w:val="18"/>
              </w:rPr>
            </w:pPr>
          </w:p>
        </w:tc>
        <w:tc>
          <w:tcPr>
            <w:tcW w:w="724" w:type="dxa"/>
            <w:gridSpan w:val="3"/>
          </w:tcPr>
          <w:p w:rsidR="00AC40AA" w:rsidRPr="008A7A07" w:rsidRDefault="00AC40AA" w:rsidP="00F315F1">
            <w:pPr>
              <w:rPr>
                <w:rFonts w:ascii="Calibri" w:hAnsi="Calibri" w:cs="Calibri"/>
                <w:b/>
                <w:sz w:val="18"/>
                <w:szCs w:val="18"/>
              </w:rPr>
            </w:pPr>
          </w:p>
        </w:tc>
        <w:tc>
          <w:tcPr>
            <w:tcW w:w="196" w:type="dxa"/>
          </w:tcPr>
          <w:p w:rsidR="00AC40AA" w:rsidRPr="008A7A07" w:rsidRDefault="00AC40AA" w:rsidP="00F315F1">
            <w:pPr>
              <w:rPr>
                <w:rFonts w:ascii="Calibri" w:hAnsi="Calibri" w:cs="Calibri"/>
                <w:b/>
                <w:sz w:val="18"/>
                <w:szCs w:val="18"/>
              </w:rPr>
            </w:pPr>
          </w:p>
        </w:tc>
        <w:tc>
          <w:tcPr>
            <w:tcW w:w="460" w:type="dxa"/>
            <w:gridSpan w:val="2"/>
          </w:tcPr>
          <w:p w:rsidR="00AC40AA" w:rsidRPr="008A7A07" w:rsidRDefault="00AC40AA" w:rsidP="00F315F1">
            <w:pPr>
              <w:rPr>
                <w:rFonts w:ascii="Calibri" w:hAnsi="Calibri" w:cs="Calibri"/>
                <w:b/>
                <w:sz w:val="18"/>
                <w:szCs w:val="18"/>
              </w:rPr>
            </w:pPr>
          </w:p>
        </w:tc>
        <w:tc>
          <w:tcPr>
            <w:tcW w:w="460" w:type="dxa"/>
            <w:gridSpan w:val="2"/>
          </w:tcPr>
          <w:p w:rsidR="00AC40AA" w:rsidRPr="008A7A07" w:rsidRDefault="00AC40AA" w:rsidP="00F315F1">
            <w:pPr>
              <w:rPr>
                <w:rFonts w:ascii="Calibri" w:hAnsi="Calibri" w:cs="Calibri"/>
                <w:b/>
                <w:sz w:val="18"/>
                <w:szCs w:val="18"/>
              </w:rPr>
            </w:pPr>
          </w:p>
        </w:tc>
        <w:tc>
          <w:tcPr>
            <w:tcW w:w="869" w:type="dxa"/>
            <w:gridSpan w:val="5"/>
          </w:tcPr>
          <w:p w:rsidR="00AC40AA" w:rsidRPr="008A7A07" w:rsidRDefault="00AC40AA" w:rsidP="00F315F1">
            <w:pPr>
              <w:rPr>
                <w:rFonts w:ascii="Calibri" w:hAnsi="Calibri" w:cs="Calibri"/>
                <w:b/>
                <w:sz w:val="18"/>
                <w:szCs w:val="18"/>
              </w:rPr>
            </w:pPr>
          </w:p>
        </w:tc>
        <w:tc>
          <w:tcPr>
            <w:tcW w:w="160" w:type="dxa"/>
            <w:gridSpan w:val="3"/>
          </w:tcPr>
          <w:p w:rsidR="00AC40AA" w:rsidRPr="008A7A07" w:rsidRDefault="00AC40AA" w:rsidP="00F315F1">
            <w:pPr>
              <w:rPr>
                <w:rFonts w:ascii="Calibri" w:hAnsi="Calibri" w:cs="Calibri"/>
                <w:b/>
                <w:sz w:val="18"/>
                <w:szCs w:val="18"/>
              </w:rPr>
            </w:pPr>
          </w:p>
        </w:tc>
        <w:tc>
          <w:tcPr>
            <w:tcW w:w="460" w:type="dxa"/>
            <w:gridSpan w:val="4"/>
          </w:tcPr>
          <w:p w:rsidR="00AC40AA" w:rsidRPr="008A7A07" w:rsidRDefault="00AC40AA" w:rsidP="00F315F1">
            <w:pPr>
              <w:rPr>
                <w:rFonts w:ascii="Calibri" w:hAnsi="Calibri" w:cs="Calibri"/>
                <w:b/>
                <w:sz w:val="18"/>
                <w:szCs w:val="18"/>
              </w:rPr>
            </w:pPr>
          </w:p>
        </w:tc>
        <w:tc>
          <w:tcPr>
            <w:tcW w:w="460" w:type="dxa"/>
          </w:tcPr>
          <w:p w:rsidR="00AC40AA" w:rsidRPr="008A7A07" w:rsidRDefault="00AC40AA" w:rsidP="00F315F1">
            <w:pPr>
              <w:rPr>
                <w:rFonts w:ascii="Calibri" w:hAnsi="Calibri" w:cs="Calibri"/>
                <w:b/>
                <w:sz w:val="18"/>
                <w:szCs w:val="18"/>
              </w:rPr>
            </w:pPr>
          </w:p>
        </w:tc>
        <w:tc>
          <w:tcPr>
            <w:tcW w:w="460" w:type="dxa"/>
            <w:gridSpan w:val="3"/>
          </w:tcPr>
          <w:p w:rsidR="00AC40AA" w:rsidRPr="008A7A07" w:rsidRDefault="00AC40AA" w:rsidP="00F315F1">
            <w:pPr>
              <w:rPr>
                <w:rFonts w:ascii="Calibri" w:hAnsi="Calibri" w:cs="Calibri"/>
                <w:b/>
                <w:sz w:val="18"/>
                <w:szCs w:val="18"/>
              </w:rPr>
            </w:pPr>
          </w:p>
        </w:tc>
        <w:tc>
          <w:tcPr>
            <w:tcW w:w="460" w:type="dxa"/>
            <w:gridSpan w:val="3"/>
          </w:tcPr>
          <w:p w:rsidR="00AC40AA" w:rsidRPr="008A7A07" w:rsidRDefault="00AC40AA" w:rsidP="00F315F1">
            <w:pPr>
              <w:rPr>
                <w:rFonts w:ascii="Calibri" w:hAnsi="Calibri" w:cs="Calibri"/>
                <w:b/>
                <w:sz w:val="18"/>
                <w:szCs w:val="18"/>
              </w:rPr>
            </w:pPr>
          </w:p>
        </w:tc>
        <w:tc>
          <w:tcPr>
            <w:tcW w:w="460" w:type="dxa"/>
            <w:gridSpan w:val="3"/>
          </w:tcPr>
          <w:p w:rsidR="00AC40AA" w:rsidRPr="008A7A07" w:rsidRDefault="00AC40AA" w:rsidP="00F315F1">
            <w:pPr>
              <w:rPr>
                <w:rFonts w:ascii="Calibri" w:hAnsi="Calibri" w:cs="Calibri"/>
                <w:b/>
                <w:sz w:val="18"/>
                <w:szCs w:val="18"/>
              </w:rPr>
            </w:pPr>
          </w:p>
        </w:tc>
        <w:tc>
          <w:tcPr>
            <w:tcW w:w="460" w:type="dxa"/>
            <w:gridSpan w:val="3"/>
          </w:tcPr>
          <w:p w:rsidR="00AC40AA" w:rsidRPr="008A7A07" w:rsidRDefault="00AC40AA" w:rsidP="00F315F1">
            <w:pPr>
              <w:rPr>
                <w:rFonts w:ascii="Calibri" w:hAnsi="Calibri" w:cs="Calibri"/>
                <w:b/>
                <w:sz w:val="18"/>
                <w:szCs w:val="18"/>
              </w:rPr>
            </w:pPr>
          </w:p>
        </w:tc>
        <w:tc>
          <w:tcPr>
            <w:tcW w:w="460" w:type="dxa"/>
            <w:gridSpan w:val="3"/>
          </w:tcPr>
          <w:p w:rsidR="00AC40AA" w:rsidRPr="008A7A07" w:rsidRDefault="00AC40AA" w:rsidP="00F315F1">
            <w:pPr>
              <w:rPr>
                <w:rFonts w:ascii="Calibri" w:hAnsi="Calibri" w:cs="Calibri"/>
                <w:b/>
                <w:sz w:val="18"/>
                <w:szCs w:val="18"/>
              </w:rPr>
            </w:pPr>
          </w:p>
        </w:tc>
        <w:tc>
          <w:tcPr>
            <w:tcW w:w="556" w:type="dxa"/>
            <w:gridSpan w:val="8"/>
          </w:tcPr>
          <w:p w:rsidR="00AC40AA" w:rsidRPr="008A7A07" w:rsidRDefault="00AC40AA" w:rsidP="00F315F1">
            <w:pPr>
              <w:rPr>
                <w:rFonts w:ascii="Calibri" w:hAnsi="Calibri" w:cs="Calibri"/>
                <w:b/>
                <w:sz w:val="18"/>
                <w:szCs w:val="18"/>
              </w:rPr>
            </w:pPr>
          </w:p>
        </w:tc>
      </w:tr>
      <w:tr w:rsidR="009552CD" w:rsidRPr="008A7A07" w:rsidTr="00F815C3">
        <w:tblPrEx>
          <w:tblLook w:val="0000" w:firstRow="0" w:lastRow="0" w:firstColumn="0" w:lastColumn="0" w:noHBand="0" w:noVBand="0"/>
        </w:tblPrEx>
        <w:trPr>
          <w:gridAfter w:val="8"/>
          <w:wAfter w:w="1047" w:type="dxa"/>
        </w:trPr>
        <w:tc>
          <w:tcPr>
            <w:tcW w:w="9781" w:type="dxa"/>
            <w:gridSpan w:val="50"/>
            <w:shd w:val="clear" w:color="auto" w:fill="FFC000"/>
          </w:tcPr>
          <w:p w:rsidR="00AC40AA" w:rsidRPr="008A7A07" w:rsidRDefault="00AC40AA" w:rsidP="00F315F1">
            <w:pPr>
              <w:rPr>
                <w:rFonts w:ascii="Calibri" w:hAnsi="Calibri" w:cs="Calibri"/>
                <w:b/>
                <w:sz w:val="20"/>
                <w:szCs w:val="20"/>
                <w:u w:val="single"/>
              </w:rPr>
            </w:pPr>
            <w:r w:rsidRPr="008A7A07">
              <w:rPr>
                <w:rFonts w:ascii="Calibri" w:hAnsi="Calibri" w:cs="Calibri"/>
                <w:b/>
                <w:sz w:val="20"/>
                <w:szCs w:val="20"/>
                <w:u w:val="single"/>
              </w:rPr>
              <w:t xml:space="preserve">Rozbor plnění příjmů rozpočtu kapitoly </w:t>
            </w:r>
          </w:p>
        </w:tc>
      </w:tr>
      <w:tr w:rsidR="006E55BA" w:rsidRPr="006E55BA" w:rsidTr="00F815C3">
        <w:tblPrEx>
          <w:tblLook w:val="0000" w:firstRow="0" w:lastRow="0" w:firstColumn="0" w:lastColumn="0" w:noHBand="0" w:noVBand="0"/>
        </w:tblPrEx>
        <w:trPr>
          <w:gridAfter w:val="1"/>
          <w:wAfter w:w="12" w:type="dxa"/>
        </w:trPr>
        <w:tc>
          <w:tcPr>
            <w:tcW w:w="457" w:type="dxa"/>
            <w:gridSpan w:val="2"/>
          </w:tcPr>
          <w:p w:rsidR="00AC40AA" w:rsidRPr="006E55BA" w:rsidRDefault="00AC40AA" w:rsidP="00F315F1">
            <w:pPr>
              <w:rPr>
                <w:rFonts w:ascii="Calibri" w:hAnsi="Calibri" w:cs="Calibri"/>
                <w:b/>
                <w:color w:val="A6A6A6" w:themeColor="background1" w:themeShade="A6"/>
                <w:sz w:val="18"/>
                <w:szCs w:val="18"/>
              </w:rPr>
            </w:pPr>
          </w:p>
        </w:tc>
        <w:tc>
          <w:tcPr>
            <w:tcW w:w="457" w:type="dxa"/>
            <w:gridSpan w:val="2"/>
          </w:tcPr>
          <w:p w:rsidR="00AC40AA" w:rsidRPr="006E55BA" w:rsidRDefault="00AC40AA" w:rsidP="00F315F1">
            <w:pPr>
              <w:rPr>
                <w:rFonts w:ascii="Calibri" w:hAnsi="Calibri" w:cs="Calibri"/>
                <w:b/>
                <w:color w:val="A6A6A6" w:themeColor="background1" w:themeShade="A6"/>
                <w:sz w:val="18"/>
                <w:szCs w:val="18"/>
              </w:rPr>
            </w:pPr>
          </w:p>
        </w:tc>
        <w:tc>
          <w:tcPr>
            <w:tcW w:w="457" w:type="dxa"/>
          </w:tcPr>
          <w:p w:rsidR="00AC40AA" w:rsidRPr="006E55BA" w:rsidRDefault="00AC40AA" w:rsidP="00F315F1">
            <w:pPr>
              <w:rPr>
                <w:rFonts w:ascii="Calibri" w:hAnsi="Calibri" w:cs="Calibri"/>
                <w:b/>
                <w:color w:val="A6A6A6" w:themeColor="background1" w:themeShade="A6"/>
                <w:sz w:val="18"/>
                <w:szCs w:val="18"/>
              </w:rPr>
            </w:pPr>
          </w:p>
        </w:tc>
        <w:tc>
          <w:tcPr>
            <w:tcW w:w="1748" w:type="dxa"/>
            <w:gridSpan w:val="4"/>
          </w:tcPr>
          <w:p w:rsidR="00AC40AA" w:rsidRPr="008A7A07" w:rsidRDefault="00AC40AA" w:rsidP="00F315F1">
            <w:pPr>
              <w:rPr>
                <w:rFonts w:ascii="Calibri" w:hAnsi="Calibri" w:cs="Calibri"/>
                <w:b/>
                <w:sz w:val="18"/>
                <w:szCs w:val="18"/>
              </w:rPr>
            </w:pPr>
          </w:p>
        </w:tc>
        <w:tc>
          <w:tcPr>
            <w:tcW w:w="160" w:type="dxa"/>
            <w:gridSpan w:val="2"/>
          </w:tcPr>
          <w:p w:rsidR="00AC40AA" w:rsidRPr="008A7A07" w:rsidRDefault="00AC40AA" w:rsidP="00F315F1">
            <w:pPr>
              <w:rPr>
                <w:rFonts w:ascii="Calibri" w:hAnsi="Calibri" w:cs="Calibri"/>
                <w:b/>
                <w:sz w:val="18"/>
                <w:szCs w:val="18"/>
              </w:rPr>
            </w:pPr>
          </w:p>
        </w:tc>
        <w:tc>
          <w:tcPr>
            <w:tcW w:w="460" w:type="dxa"/>
          </w:tcPr>
          <w:p w:rsidR="00AC40AA" w:rsidRPr="008A7A07" w:rsidRDefault="00AC40AA" w:rsidP="00F315F1">
            <w:pPr>
              <w:rPr>
                <w:rFonts w:ascii="Calibri" w:hAnsi="Calibri" w:cs="Calibri"/>
                <w:b/>
                <w:sz w:val="18"/>
                <w:szCs w:val="18"/>
              </w:rPr>
            </w:pPr>
          </w:p>
        </w:tc>
        <w:tc>
          <w:tcPr>
            <w:tcW w:w="460" w:type="dxa"/>
            <w:gridSpan w:val="3"/>
          </w:tcPr>
          <w:p w:rsidR="00AC40AA" w:rsidRPr="008A7A07" w:rsidRDefault="00AC40AA" w:rsidP="00F315F1">
            <w:pPr>
              <w:rPr>
                <w:rFonts w:ascii="Calibri" w:hAnsi="Calibri" w:cs="Calibri"/>
                <w:b/>
                <w:sz w:val="18"/>
                <w:szCs w:val="18"/>
              </w:rPr>
            </w:pPr>
          </w:p>
        </w:tc>
        <w:tc>
          <w:tcPr>
            <w:tcW w:w="1245" w:type="dxa"/>
            <w:gridSpan w:val="4"/>
          </w:tcPr>
          <w:p w:rsidR="00AC40AA" w:rsidRPr="008A7A07" w:rsidRDefault="00AC40AA" w:rsidP="00F315F1">
            <w:pPr>
              <w:rPr>
                <w:rFonts w:ascii="Calibri" w:hAnsi="Calibri" w:cs="Calibri"/>
                <w:b/>
                <w:sz w:val="18"/>
                <w:szCs w:val="18"/>
              </w:rPr>
            </w:pPr>
          </w:p>
        </w:tc>
        <w:tc>
          <w:tcPr>
            <w:tcW w:w="160" w:type="dxa"/>
            <w:gridSpan w:val="2"/>
          </w:tcPr>
          <w:p w:rsidR="00AC40AA" w:rsidRPr="008A7A07" w:rsidRDefault="00AC40AA" w:rsidP="00F315F1">
            <w:pPr>
              <w:rPr>
                <w:rFonts w:ascii="Calibri" w:hAnsi="Calibri" w:cs="Calibri"/>
                <w:b/>
                <w:sz w:val="18"/>
                <w:szCs w:val="18"/>
              </w:rPr>
            </w:pPr>
          </w:p>
        </w:tc>
        <w:tc>
          <w:tcPr>
            <w:tcW w:w="460" w:type="dxa"/>
            <w:gridSpan w:val="3"/>
          </w:tcPr>
          <w:p w:rsidR="00AC40AA" w:rsidRPr="008A7A07" w:rsidRDefault="00AC40AA" w:rsidP="00F315F1">
            <w:pPr>
              <w:rPr>
                <w:rFonts w:ascii="Calibri" w:hAnsi="Calibri" w:cs="Calibri"/>
                <w:b/>
                <w:sz w:val="18"/>
                <w:szCs w:val="18"/>
              </w:rPr>
            </w:pPr>
          </w:p>
        </w:tc>
        <w:tc>
          <w:tcPr>
            <w:tcW w:w="460" w:type="dxa"/>
            <w:gridSpan w:val="4"/>
          </w:tcPr>
          <w:p w:rsidR="00AC40AA" w:rsidRPr="008A7A07" w:rsidRDefault="00AC40AA" w:rsidP="00F315F1">
            <w:pPr>
              <w:rPr>
                <w:rFonts w:ascii="Calibri" w:hAnsi="Calibri" w:cs="Calibri"/>
                <w:b/>
                <w:sz w:val="18"/>
                <w:szCs w:val="18"/>
              </w:rPr>
            </w:pPr>
          </w:p>
        </w:tc>
        <w:tc>
          <w:tcPr>
            <w:tcW w:w="822" w:type="dxa"/>
            <w:gridSpan w:val="4"/>
          </w:tcPr>
          <w:p w:rsidR="00AC40AA" w:rsidRPr="008A7A07" w:rsidRDefault="00AC40AA" w:rsidP="00F315F1">
            <w:pPr>
              <w:rPr>
                <w:rFonts w:ascii="Calibri" w:hAnsi="Calibri" w:cs="Calibri"/>
                <w:b/>
                <w:sz w:val="18"/>
                <w:szCs w:val="18"/>
              </w:rPr>
            </w:pPr>
          </w:p>
        </w:tc>
        <w:tc>
          <w:tcPr>
            <w:tcW w:w="160" w:type="dxa"/>
            <w:gridSpan w:val="3"/>
          </w:tcPr>
          <w:p w:rsidR="00AC40AA" w:rsidRPr="008A7A07" w:rsidRDefault="00AC40AA" w:rsidP="00F315F1">
            <w:pPr>
              <w:rPr>
                <w:rFonts w:ascii="Calibri" w:hAnsi="Calibri" w:cs="Calibri"/>
                <w:b/>
                <w:sz w:val="18"/>
                <w:szCs w:val="18"/>
              </w:rPr>
            </w:pPr>
          </w:p>
        </w:tc>
        <w:tc>
          <w:tcPr>
            <w:tcW w:w="460" w:type="dxa"/>
            <w:gridSpan w:val="3"/>
          </w:tcPr>
          <w:p w:rsidR="00AC40AA" w:rsidRPr="008A7A07" w:rsidRDefault="00AC40AA" w:rsidP="00F315F1">
            <w:pPr>
              <w:rPr>
                <w:rFonts w:ascii="Calibri" w:hAnsi="Calibri" w:cs="Calibri"/>
                <w:b/>
                <w:sz w:val="18"/>
                <w:szCs w:val="18"/>
              </w:rPr>
            </w:pPr>
          </w:p>
        </w:tc>
        <w:tc>
          <w:tcPr>
            <w:tcW w:w="460" w:type="dxa"/>
            <w:gridSpan w:val="3"/>
          </w:tcPr>
          <w:p w:rsidR="00AC40AA" w:rsidRPr="008A7A07" w:rsidRDefault="00AC40AA" w:rsidP="00F315F1">
            <w:pPr>
              <w:rPr>
                <w:rFonts w:ascii="Calibri" w:hAnsi="Calibri" w:cs="Calibri"/>
                <w:b/>
                <w:sz w:val="18"/>
                <w:szCs w:val="18"/>
              </w:rPr>
            </w:pPr>
          </w:p>
        </w:tc>
        <w:tc>
          <w:tcPr>
            <w:tcW w:w="460" w:type="dxa"/>
            <w:gridSpan w:val="3"/>
          </w:tcPr>
          <w:p w:rsidR="00AC40AA" w:rsidRPr="008A7A07" w:rsidRDefault="00AC40AA" w:rsidP="00F315F1">
            <w:pPr>
              <w:rPr>
                <w:rFonts w:ascii="Calibri" w:hAnsi="Calibri" w:cs="Calibri"/>
                <w:b/>
                <w:sz w:val="18"/>
                <w:szCs w:val="18"/>
              </w:rPr>
            </w:pPr>
          </w:p>
        </w:tc>
        <w:tc>
          <w:tcPr>
            <w:tcW w:w="460" w:type="dxa"/>
            <w:gridSpan w:val="3"/>
          </w:tcPr>
          <w:p w:rsidR="00AC40AA" w:rsidRPr="008A7A07" w:rsidRDefault="00AC40AA" w:rsidP="00F315F1">
            <w:pPr>
              <w:rPr>
                <w:rFonts w:ascii="Calibri" w:hAnsi="Calibri" w:cs="Calibri"/>
                <w:b/>
                <w:sz w:val="18"/>
                <w:szCs w:val="18"/>
              </w:rPr>
            </w:pPr>
          </w:p>
        </w:tc>
        <w:tc>
          <w:tcPr>
            <w:tcW w:w="460" w:type="dxa"/>
            <w:gridSpan w:val="5"/>
          </w:tcPr>
          <w:p w:rsidR="00AC40AA" w:rsidRPr="008A7A07" w:rsidRDefault="00AC40AA" w:rsidP="00F315F1">
            <w:pPr>
              <w:rPr>
                <w:rFonts w:ascii="Calibri" w:hAnsi="Calibri" w:cs="Calibri"/>
                <w:b/>
                <w:sz w:val="18"/>
                <w:szCs w:val="18"/>
              </w:rPr>
            </w:pPr>
          </w:p>
        </w:tc>
        <w:tc>
          <w:tcPr>
            <w:tcW w:w="460" w:type="dxa"/>
            <w:gridSpan w:val="3"/>
          </w:tcPr>
          <w:p w:rsidR="00AC40AA" w:rsidRPr="006E55BA" w:rsidRDefault="00AC40AA" w:rsidP="00F315F1">
            <w:pPr>
              <w:rPr>
                <w:rFonts w:ascii="Calibri" w:hAnsi="Calibri" w:cs="Calibri"/>
                <w:b/>
                <w:color w:val="A6A6A6" w:themeColor="background1" w:themeShade="A6"/>
                <w:sz w:val="18"/>
                <w:szCs w:val="18"/>
              </w:rPr>
            </w:pPr>
          </w:p>
        </w:tc>
        <w:tc>
          <w:tcPr>
            <w:tcW w:w="550" w:type="dxa"/>
            <w:gridSpan w:val="2"/>
          </w:tcPr>
          <w:p w:rsidR="00AC40AA" w:rsidRPr="006E55BA" w:rsidRDefault="00AC40AA" w:rsidP="00F315F1">
            <w:pPr>
              <w:rPr>
                <w:rFonts w:ascii="Calibri" w:hAnsi="Calibri" w:cs="Calibri"/>
                <w:b/>
                <w:color w:val="A6A6A6" w:themeColor="background1" w:themeShade="A6"/>
                <w:sz w:val="18"/>
                <w:szCs w:val="18"/>
              </w:rPr>
            </w:pPr>
          </w:p>
        </w:tc>
      </w:tr>
      <w:tr w:rsidR="006E55BA" w:rsidRPr="006E55BA" w:rsidTr="00F815C3">
        <w:tblPrEx>
          <w:tblLook w:val="0000" w:firstRow="0" w:lastRow="0" w:firstColumn="0" w:lastColumn="0" w:noHBand="0" w:noVBand="0"/>
        </w:tblPrEx>
        <w:trPr>
          <w:gridAfter w:val="7"/>
          <w:wAfter w:w="1041" w:type="dxa"/>
        </w:trPr>
        <w:tc>
          <w:tcPr>
            <w:tcW w:w="3119" w:type="dxa"/>
            <w:gridSpan w:val="9"/>
            <w:tcBorders>
              <w:top w:val="single" w:sz="4" w:space="0" w:color="auto"/>
              <w:left w:val="single" w:sz="4" w:space="0" w:color="auto"/>
              <w:bottom w:val="single" w:sz="4" w:space="0" w:color="auto"/>
              <w:right w:val="single" w:sz="4" w:space="0" w:color="auto"/>
            </w:tcBorders>
            <w:shd w:val="clear" w:color="auto" w:fill="FFFF00"/>
          </w:tcPr>
          <w:p w:rsidR="00AC40AA" w:rsidRPr="008A7A07" w:rsidRDefault="00AC40AA" w:rsidP="00F315F1">
            <w:pPr>
              <w:jc w:val="center"/>
              <w:rPr>
                <w:rFonts w:ascii="Calibri" w:hAnsi="Calibri" w:cs="Calibri"/>
                <w:b/>
                <w:sz w:val="18"/>
                <w:szCs w:val="18"/>
              </w:rPr>
            </w:pPr>
            <w:r w:rsidRPr="008A7A07">
              <w:rPr>
                <w:rFonts w:ascii="Calibri" w:hAnsi="Calibri" w:cs="Calibri"/>
                <w:b/>
                <w:sz w:val="18"/>
                <w:szCs w:val="18"/>
              </w:rPr>
              <w:t>Rozpočet upravený v tis. Kč</w:t>
            </w:r>
          </w:p>
        </w:tc>
        <w:tc>
          <w:tcPr>
            <w:tcW w:w="1843" w:type="dxa"/>
            <w:gridSpan w:val="8"/>
            <w:tcBorders>
              <w:top w:val="single" w:sz="4" w:space="0" w:color="auto"/>
              <w:left w:val="single" w:sz="4" w:space="0" w:color="auto"/>
              <w:bottom w:val="single" w:sz="4" w:space="0" w:color="auto"/>
              <w:right w:val="single" w:sz="4" w:space="0" w:color="auto"/>
            </w:tcBorders>
            <w:shd w:val="clear" w:color="auto" w:fill="FFFF00"/>
          </w:tcPr>
          <w:p w:rsidR="00AC40AA" w:rsidRPr="008A7A07" w:rsidRDefault="00AC40AA" w:rsidP="00F315F1">
            <w:pPr>
              <w:jc w:val="center"/>
              <w:rPr>
                <w:rFonts w:ascii="Calibri" w:hAnsi="Calibri" w:cs="Calibri"/>
                <w:b/>
                <w:sz w:val="18"/>
                <w:szCs w:val="18"/>
              </w:rPr>
            </w:pPr>
            <w:r w:rsidRPr="008A7A07">
              <w:rPr>
                <w:rFonts w:ascii="Calibri" w:hAnsi="Calibri" w:cs="Calibri"/>
                <w:b/>
                <w:sz w:val="18"/>
                <w:szCs w:val="18"/>
              </w:rPr>
              <w:t>Skutečnost v tis. Kč</w:t>
            </w:r>
          </w:p>
        </w:tc>
        <w:tc>
          <w:tcPr>
            <w:tcW w:w="1420" w:type="dxa"/>
            <w:gridSpan w:val="10"/>
            <w:tcBorders>
              <w:top w:val="single" w:sz="4" w:space="0" w:color="auto"/>
              <w:left w:val="single" w:sz="4" w:space="0" w:color="auto"/>
              <w:bottom w:val="single" w:sz="4" w:space="0" w:color="auto"/>
              <w:right w:val="single" w:sz="4" w:space="0" w:color="auto"/>
            </w:tcBorders>
            <w:shd w:val="clear" w:color="auto" w:fill="FFFF00"/>
          </w:tcPr>
          <w:p w:rsidR="00AC40AA" w:rsidRPr="008A7A07" w:rsidRDefault="00AC40AA" w:rsidP="00F315F1">
            <w:pPr>
              <w:jc w:val="center"/>
              <w:rPr>
                <w:rFonts w:ascii="Calibri" w:hAnsi="Calibri" w:cs="Calibri"/>
                <w:b/>
                <w:sz w:val="18"/>
                <w:szCs w:val="18"/>
              </w:rPr>
            </w:pPr>
            <w:r w:rsidRPr="008A7A07">
              <w:rPr>
                <w:rFonts w:ascii="Calibri" w:hAnsi="Calibri" w:cs="Calibri"/>
                <w:b/>
                <w:sz w:val="18"/>
                <w:szCs w:val="18"/>
              </w:rPr>
              <w:t>SK/RU v %</w:t>
            </w:r>
          </w:p>
        </w:tc>
        <w:tc>
          <w:tcPr>
            <w:tcW w:w="3405" w:type="dxa"/>
            <w:gridSpan w:val="24"/>
            <w:tcBorders>
              <w:top w:val="single" w:sz="4" w:space="0" w:color="auto"/>
              <w:left w:val="single" w:sz="4" w:space="0" w:color="auto"/>
              <w:bottom w:val="single" w:sz="4" w:space="0" w:color="auto"/>
              <w:right w:val="single" w:sz="4" w:space="0" w:color="auto"/>
            </w:tcBorders>
            <w:shd w:val="clear" w:color="auto" w:fill="FFFF00"/>
          </w:tcPr>
          <w:p w:rsidR="00AC40AA" w:rsidRPr="008A7A07" w:rsidRDefault="00AC40AA" w:rsidP="00F315F1">
            <w:pPr>
              <w:jc w:val="center"/>
              <w:rPr>
                <w:rFonts w:ascii="Calibri" w:hAnsi="Calibri" w:cs="Calibri"/>
                <w:b/>
                <w:sz w:val="18"/>
                <w:szCs w:val="18"/>
              </w:rPr>
            </w:pPr>
            <w:r w:rsidRPr="008A7A07">
              <w:rPr>
                <w:rFonts w:ascii="Calibri" w:hAnsi="Calibri" w:cs="Calibri"/>
                <w:b/>
                <w:sz w:val="18"/>
                <w:szCs w:val="18"/>
              </w:rPr>
              <w:t>Komentář</w:t>
            </w:r>
          </w:p>
        </w:tc>
      </w:tr>
      <w:tr w:rsidR="004922F5" w:rsidRPr="006E55BA" w:rsidTr="00F815C3">
        <w:tblPrEx>
          <w:tblLook w:val="0000" w:firstRow="0" w:lastRow="0" w:firstColumn="0" w:lastColumn="0" w:noHBand="0" w:noVBand="0"/>
        </w:tblPrEx>
        <w:trPr>
          <w:gridAfter w:val="7"/>
          <w:wAfter w:w="1041" w:type="dxa"/>
        </w:trPr>
        <w:tc>
          <w:tcPr>
            <w:tcW w:w="3119" w:type="dxa"/>
            <w:gridSpan w:val="9"/>
            <w:tcBorders>
              <w:top w:val="single" w:sz="4" w:space="0" w:color="auto"/>
              <w:left w:val="single" w:sz="4" w:space="0" w:color="auto"/>
              <w:bottom w:val="single" w:sz="4" w:space="0" w:color="auto"/>
              <w:right w:val="single" w:sz="4" w:space="0" w:color="auto"/>
            </w:tcBorders>
          </w:tcPr>
          <w:p w:rsidR="004922F5" w:rsidRPr="004922F5" w:rsidRDefault="000A3C9C" w:rsidP="004922F5">
            <w:pPr>
              <w:jc w:val="right"/>
              <w:rPr>
                <w:rFonts w:ascii="Calibri" w:hAnsi="Calibri" w:cs="Calibri"/>
                <w:b/>
                <w:sz w:val="18"/>
                <w:szCs w:val="18"/>
              </w:rPr>
            </w:pPr>
            <w:r>
              <w:rPr>
                <w:rFonts w:ascii="Calibri" w:hAnsi="Calibri" w:cs="Calibri"/>
                <w:b/>
                <w:sz w:val="18"/>
                <w:szCs w:val="18"/>
              </w:rPr>
              <w:t>1 891,60</w:t>
            </w:r>
          </w:p>
        </w:tc>
        <w:tc>
          <w:tcPr>
            <w:tcW w:w="1843" w:type="dxa"/>
            <w:gridSpan w:val="8"/>
            <w:tcBorders>
              <w:top w:val="single" w:sz="4" w:space="0" w:color="auto"/>
              <w:left w:val="single" w:sz="4" w:space="0" w:color="auto"/>
              <w:bottom w:val="single" w:sz="4" w:space="0" w:color="auto"/>
              <w:right w:val="single" w:sz="4" w:space="0" w:color="auto"/>
            </w:tcBorders>
          </w:tcPr>
          <w:p w:rsidR="004922F5" w:rsidRPr="004922F5" w:rsidRDefault="000A3C9C" w:rsidP="004922F5">
            <w:pPr>
              <w:jc w:val="right"/>
              <w:rPr>
                <w:rFonts w:ascii="Calibri" w:hAnsi="Calibri" w:cs="Calibri"/>
                <w:b/>
                <w:sz w:val="18"/>
                <w:szCs w:val="18"/>
              </w:rPr>
            </w:pPr>
            <w:r>
              <w:rPr>
                <w:rFonts w:ascii="Calibri" w:hAnsi="Calibri" w:cs="Calibri"/>
                <w:b/>
                <w:sz w:val="18"/>
                <w:szCs w:val="18"/>
              </w:rPr>
              <w:t>1 907,31</w:t>
            </w:r>
          </w:p>
        </w:tc>
        <w:tc>
          <w:tcPr>
            <w:tcW w:w="1420" w:type="dxa"/>
            <w:gridSpan w:val="10"/>
            <w:tcBorders>
              <w:top w:val="single" w:sz="4" w:space="0" w:color="auto"/>
              <w:left w:val="single" w:sz="4" w:space="0" w:color="auto"/>
              <w:bottom w:val="single" w:sz="4" w:space="0" w:color="auto"/>
              <w:right w:val="single" w:sz="4" w:space="0" w:color="auto"/>
            </w:tcBorders>
          </w:tcPr>
          <w:p w:rsidR="004922F5" w:rsidRPr="004922F5" w:rsidRDefault="000A3C9C" w:rsidP="00D07C73">
            <w:pPr>
              <w:jc w:val="center"/>
              <w:rPr>
                <w:rFonts w:ascii="Calibri" w:hAnsi="Calibri" w:cs="Calibri"/>
                <w:b/>
                <w:sz w:val="18"/>
                <w:szCs w:val="18"/>
              </w:rPr>
            </w:pPr>
            <w:r>
              <w:rPr>
                <w:rFonts w:ascii="Calibri" w:hAnsi="Calibri" w:cs="Calibri"/>
                <w:b/>
                <w:sz w:val="18"/>
                <w:szCs w:val="18"/>
              </w:rPr>
              <w:t>100,83</w:t>
            </w:r>
          </w:p>
        </w:tc>
        <w:tc>
          <w:tcPr>
            <w:tcW w:w="3405" w:type="dxa"/>
            <w:gridSpan w:val="24"/>
            <w:tcBorders>
              <w:top w:val="single" w:sz="4" w:space="0" w:color="auto"/>
              <w:left w:val="single" w:sz="4" w:space="0" w:color="auto"/>
              <w:bottom w:val="single" w:sz="4" w:space="0" w:color="auto"/>
              <w:right w:val="single" w:sz="4" w:space="0" w:color="auto"/>
            </w:tcBorders>
          </w:tcPr>
          <w:p w:rsidR="004922F5" w:rsidRPr="008A7A07" w:rsidRDefault="004922F5" w:rsidP="004922F5">
            <w:pPr>
              <w:rPr>
                <w:rFonts w:ascii="Calibri" w:hAnsi="Calibri" w:cs="Calibri"/>
                <w:b/>
                <w:sz w:val="18"/>
                <w:szCs w:val="18"/>
              </w:rPr>
            </w:pPr>
            <w:r w:rsidRPr="008A7A07">
              <w:rPr>
                <w:rFonts w:ascii="Calibri" w:hAnsi="Calibri" w:cs="Calibri"/>
                <w:b/>
                <w:sz w:val="18"/>
                <w:szCs w:val="18"/>
              </w:rPr>
              <w:t>Příjmy před konsolidací</w:t>
            </w:r>
          </w:p>
        </w:tc>
      </w:tr>
      <w:tr w:rsidR="004922F5" w:rsidRPr="006E55BA" w:rsidTr="00F815C3">
        <w:tblPrEx>
          <w:tblLook w:val="0000" w:firstRow="0" w:lastRow="0" w:firstColumn="0" w:lastColumn="0" w:noHBand="0" w:noVBand="0"/>
        </w:tblPrEx>
        <w:trPr>
          <w:gridAfter w:val="7"/>
          <w:wAfter w:w="1041" w:type="dxa"/>
        </w:trPr>
        <w:tc>
          <w:tcPr>
            <w:tcW w:w="3119" w:type="dxa"/>
            <w:gridSpan w:val="9"/>
            <w:tcBorders>
              <w:top w:val="single" w:sz="4" w:space="0" w:color="auto"/>
              <w:left w:val="single" w:sz="4" w:space="0" w:color="auto"/>
              <w:bottom w:val="single" w:sz="4" w:space="0" w:color="auto"/>
              <w:right w:val="single" w:sz="4" w:space="0" w:color="auto"/>
            </w:tcBorders>
          </w:tcPr>
          <w:p w:rsidR="004922F5" w:rsidRPr="004922F5" w:rsidRDefault="000A3C9C" w:rsidP="004922F5">
            <w:pPr>
              <w:jc w:val="right"/>
              <w:rPr>
                <w:rFonts w:ascii="Calibri" w:hAnsi="Calibri" w:cs="Calibri"/>
                <w:b/>
                <w:sz w:val="18"/>
                <w:szCs w:val="18"/>
              </w:rPr>
            </w:pPr>
            <w:r>
              <w:rPr>
                <w:rFonts w:ascii="Calibri" w:hAnsi="Calibri" w:cs="Calibri"/>
                <w:b/>
                <w:sz w:val="18"/>
                <w:szCs w:val="18"/>
              </w:rPr>
              <w:t>1 891,60</w:t>
            </w:r>
          </w:p>
        </w:tc>
        <w:tc>
          <w:tcPr>
            <w:tcW w:w="1843" w:type="dxa"/>
            <w:gridSpan w:val="8"/>
            <w:tcBorders>
              <w:top w:val="single" w:sz="4" w:space="0" w:color="auto"/>
              <w:left w:val="single" w:sz="4" w:space="0" w:color="auto"/>
              <w:bottom w:val="single" w:sz="4" w:space="0" w:color="auto"/>
              <w:right w:val="single" w:sz="4" w:space="0" w:color="auto"/>
            </w:tcBorders>
          </w:tcPr>
          <w:p w:rsidR="004922F5" w:rsidRPr="004922F5" w:rsidRDefault="000A3C9C" w:rsidP="004922F5">
            <w:pPr>
              <w:jc w:val="right"/>
              <w:rPr>
                <w:rFonts w:ascii="Calibri" w:hAnsi="Calibri" w:cs="Calibri"/>
                <w:b/>
                <w:sz w:val="18"/>
                <w:szCs w:val="18"/>
              </w:rPr>
            </w:pPr>
            <w:r>
              <w:rPr>
                <w:rFonts w:ascii="Calibri" w:hAnsi="Calibri" w:cs="Calibri"/>
                <w:b/>
                <w:sz w:val="18"/>
                <w:szCs w:val="18"/>
              </w:rPr>
              <w:t>1 907,31</w:t>
            </w:r>
          </w:p>
        </w:tc>
        <w:tc>
          <w:tcPr>
            <w:tcW w:w="1420" w:type="dxa"/>
            <w:gridSpan w:val="10"/>
            <w:tcBorders>
              <w:top w:val="single" w:sz="4" w:space="0" w:color="auto"/>
              <w:left w:val="single" w:sz="4" w:space="0" w:color="auto"/>
              <w:bottom w:val="single" w:sz="4" w:space="0" w:color="auto"/>
              <w:right w:val="single" w:sz="4" w:space="0" w:color="auto"/>
            </w:tcBorders>
          </w:tcPr>
          <w:p w:rsidR="004922F5" w:rsidRPr="004922F5" w:rsidRDefault="000A3C9C" w:rsidP="00D07C73">
            <w:pPr>
              <w:jc w:val="center"/>
              <w:rPr>
                <w:rFonts w:ascii="Calibri" w:hAnsi="Calibri" w:cs="Calibri"/>
                <w:b/>
                <w:sz w:val="18"/>
                <w:szCs w:val="18"/>
              </w:rPr>
            </w:pPr>
            <w:r>
              <w:rPr>
                <w:rFonts w:ascii="Calibri" w:hAnsi="Calibri" w:cs="Calibri"/>
                <w:b/>
                <w:sz w:val="18"/>
                <w:szCs w:val="18"/>
              </w:rPr>
              <w:t>100,83</w:t>
            </w:r>
          </w:p>
        </w:tc>
        <w:tc>
          <w:tcPr>
            <w:tcW w:w="3405" w:type="dxa"/>
            <w:gridSpan w:val="24"/>
            <w:tcBorders>
              <w:top w:val="single" w:sz="4" w:space="0" w:color="auto"/>
              <w:left w:val="single" w:sz="4" w:space="0" w:color="auto"/>
              <w:bottom w:val="single" w:sz="4" w:space="0" w:color="auto"/>
              <w:right w:val="single" w:sz="4" w:space="0" w:color="auto"/>
            </w:tcBorders>
          </w:tcPr>
          <w:p w:rsidR="004922F5" w:rsidRPr="008A7A07" w:rsidRDefault="004922F5" w:rsidP="004922F5">
            <w:pPr>
              <w:rPr>
                <w:rFonts w:ascii="Calibri" w:hAnsi="Calibri" w:cs="Calibri"/>
                <w:b/>
                <w:sz w:val="18"/>
                <w:szCs w:val="18"/>
              </w:rPr>
            </w:pPr>
            <w:r w:rsidRPr="008A7A07">
              <w:rPr>
                <w:rFonts w:ascii="Calibri" w:hAnsi="Calibri" w:cs="Calibri"/>
                <w:b/>
                <w:sz w:val="18"/>
                <w:szCs w:val="18"/>
              </w:rPr>
              <w:t>Příjmy po konsolidaci</w:t>
            </w:r>
          </w:p>
        </w:tc>
      </w:tr>
      <w:tr w:rsidR="009552CD" w:rsidRPr="008A7A07" w:rsidTr="00F815C3">
        <w:tblPrEx>
          <w:tblLook w:val="0000" w:firstRow="0" w:lastRow="0" w:firstColumn="0" w:lastColumn="0" w:noHBand="0" w:noVBand="0"/>
        </w:tblPrEx>
        <w:trPr>
          <w:gridAfter w:val="8"/>
          <w:wAfter w:w="1047" w:type="dxa"/>
        </w:trPr>
        <w:tc>
          <w:tcPr>
            <w:tcW w:w="9781" w:type="dxa"/>
            <w:gridSpan w:val="50"/>
            <w:tcBorders>
              <w:top w:val="single" w:sz="4" w:space="0" w:color="auto"/>
            </w:tcBorders>
          </w:tcPr>
          <w:p w:rsidR="00AC40AA" w:rsidRPr="008A7A07" w:rsidRDefault="00AC40AA" w:rsidP="00F315F1">
            <w:pPr>
              <w:rPr>
                <w:rFonts w:ascii="Calibri" w:hAnsi="Calibri" w:cs="Calibri"/>
                <w:b/>
                <w:sz w:val="18"/>
                <w:szCs w:val="18"/>
              </w:rPr>
            </w:pPr>
          </w:p>
          <w:p w:rsidR="00AC40AA" w:rsidRPr="008A7A07" w:rsidRDefault="00AC40AA" w:rsidP="00F315F1">
            <w:pPr>
              <w:rPr>
                <w:rFonts w:ascii="Calibri" w:hAnsi="Calibri" w:cs="Calibri"/>
                <w:b/>
                <w:sz w:val="18"/>
                <w:szCs w:val="18"/>
              </w:rPr>
            </w:pPr>
            <w:r w:rsidRPr="008A7A07">
              <w:rPr>
                <w:rFonts w:ascii="Calibri" w:hAnsi="Calibri" w:cs="Calibri"/>
                <w:b/>
                <w:sz w:val="18"/>
                <w:szCs w:val="18"/>
              </w:rPr>
              <w:t>Stručný komentář k celkovému vývoji plnění příjmů kapitoly ve sledovaném období</w:t>
            </w:r>
          </w:p>
        </w:tc>
      </w:tr>
      <w:tr w:rsidR="009552CD" w:rsidRPr="008A7A07" w:rsidTr="00F815C3">
        <w:tblPrEx>
          <w:tblLook w:val="0000" w:firstRow="0" w:lastRow="0" w:firstColumn="0" w:lastColumn="0" w:noHBand="0" w:noVBand="0"/>
        </w:tblPrEx>
        <w:trPr>
          <w:gridAfter w:val="8"/>
          <w:wAfter w:w="1047" w:type="dxa"/>
        </w:trPr>
        <w:tc>
          <w:tcPr>
            <w:tcW w:w="9781" w:type="dxa"/>
            <w:gridSpan w:val="50"/>
            <w:tcBorders>
              <w:top w:val="single" w:sz="6" w:space="0" w:color="auto"/>
              <w:left w:val="single" w:sz="6" w:space="0" w:color="auto"/>
              <w:bottom w:val="single" w:sz="6" w:space="0" w:color="auto"/>
              <w:right w:val="single" w:sz="6" w:space="0" w:color="auto"/>
            </w:tcBorders>
          </w:tcPr>
          <w:p w:rsidR="00AC40AA" w:rsidRPr="004922F5" w:rsidRDefault="004922F5" w:rsidP="00C55ACB">
            <w:pPr>
              <w:jc w:val="both"/>
              <w:rPr>
                <w:rFonts w:ascii="Calibri" w:hAnsi="Calibri" w:cs="Calibri"/>
                <w:sz w:val="20"/>
                <w:szCs w:val="20"/>
              </w:rPr>
            </w:pPr>
            <w:r w:rsidRPr="004922F5">
              <w:rPr>
                <w:rFonts w:ascii="Calibri" w:hAnsi="Calibri" w:cs="Calibri"/>
                <w:sz w:val="20"/>
                <w:szCs w:val="20"/>
              </w:rPr>
              <w:t xml:space="preserve">V příjmech kapitoly 11 jsou zahrnuty dotace na volby, které tvoří většinovou část RU (v součtu </w:t>
            </w:r>
            <w:r w:rsidR="00C55ACB">
              <w:rPr>
                <w:rFonts w:ascii="Calibri" w:hAnsi="Calibri" w:cs="Calibri"/>
                <w:sz w:val="20"/>
                <w:szCs w:val="20"/>
              </w:rPr>
              <w:t>1 856,60 tis. Kč</w:t>
            </w:r>
            <w:r w:rsidRPr="004922F5">
              <w:rPr>
                <w:rFonts w:ascii="Calibri" w:hAnsi="Calibri" w:cs="Calibri"/>
                <w:sz w:val="20"/>
                <w:szCs w:val="20"/>
              </w:rPr>
              <w:t>).</w:t>
            </w:r>
          </w:p>
        </w:tc>
      </w:tr>
      <w:tr w:rsidR="006E55BA" w:rsidRPr="006E55BA" w:rsidTr="00F815C3">
        <w:tblPrEx>
          <w:tblLook w:val="0000" w:firstRow="0" w:lastRow="0" w:firstColumn="0" w:lastColumn="0" w:noHBand="0" w:noVBand="0"/>
        </w:tblPrEx>
        <w:trPr>
          <w:gridAfter w:val="4"/>
          <w:wAfter w:w="938" w:type="dxa"/>
        </w:trPr>
        <w:tc>
          <w:tcPr>
            <w:tcW w:w="457" w:type="dxa"/>
            <w:gridSpan w:val="2"/>
          </w:tcPr>
          <w:p w:rsidR="00AC40AA" w:rsidRPr="008A7A07" w:rsidRDefault="00AC40AA" w:rsidP="00F315F1">
            <w:pPr>
              <w:rPr>
                <w:rFonts w:ascii="Calibri" w:hAnsi="Calibri" w:cs="Calibri"/>
                <w:b/>
                <w:sz w:val="18"/>
                <w:szCs w:val="18"/>
              </w:rPr>
            </w:pPr>
          </w:p>
        </w:tc>
        <w:tc>
          <w:tcPr>
            <w:tcW w:w="457" w:type="dxa"/>
            <w:gridSpan w:val="2"/>
          </w:tcPr>
          <w:p w:rsidR="00AC40AA" w:rsidRPr="008A7A07" w:rsidRDefault="00AC40AA" w:rsidP="00F315F1">
            <w:pPr>
              <w:rPr>
                <w:rFonts w:ascii="Calibri" w:hAnsi="Calibri" w:cs="Calibri"/>
                <w:b/>
                <w:sz w:val="18"/>
                <w:szCs w:val="18"/>
              </w:rPr>
            </w:pPr>
          </w:p>
        </w:tc>
        <w:tc>
          <w:tcPr>
            <w:tcW w:w="457" w:type="dxa"/>
          </w:tcPr>
          <w:p w:rsidR="00AC40AA" w:rsidRPr="008A7A07" w:rsidRDefault="00AC40AA" w:rsidP="00F315F1">
            <w:pPr>
              <w:rPr>
                <w:rFonts w:ascii="Calibri" w:hAnsi="Calibri" w:cs="Calibri"/>
                <w:b/>
                <w:sz w:val="18"/>
                <w:szCs w:val="18"/>
              </w:rPr>
            </w:pPr>
          </w:p>
        </w:tc>
        <w:tc>
          <w:tcPr>
            <w:tcW w:w="459" w:type="dxa"/>
            <w:gridSpan w:val="2"/>
          </w:tcPr>
          <w:p w:rsidR="00AC40AA" w:rsidRPr="008A7A07" w:rsidRDefault="00AC40AA" w:rsidP="00F315F1">
            <w:pPr>
              <w:rPr>
                <w:rFonts w:ascii="Calibri" w:hAnsi="Calibri" w:cs="Calibri"/>
                <w:b/>
                <w:sz w:val="18"/>
                <w:szCs w:val="18"/>
              </w:rPr>
            </w:pPr>
          </w:p>
        </w:tc>
        <w:tc>
          <w:tcPr>
            <w:tcW w:w="459" w:type="dxa"/>
          </w:tcPr>
          <w:p w:rsidR="00AC40AA" w:rsidRPr="008A7A07" w:rsidRDefault="00AC40AA" w:rsidP="00F315F1">
            <w:pPr>
              <w:rPr>
                <w:rFonts w:ascii="Calibri" w:hAnsi="Calibri" w:cs="Calibri"/>
                <w:b/>
                <w:sz w:val="18"/>
                <w:szCs w:val="18"/>
              </w:rPr>
            </w:pPr>
          </w:p>
        </w:tc>
        <w:tc>
          <w:tcPr>
            <w:tcW w:w="956" w:type="dxa"/>
            <w:gridSpan w:val="2"/>
          </w:tcPr>
          <w:p w:rsidR="00AC40AA" w:rsidRPr="008A7A07" w:rsidRDefault="00AC40AA" w:rsidP="00F315F1">
            <w:pPr>
              <w:rPr>
                <w:rFonts w:ascii="Calibri" w:hAnsi="Calibri" w:cs="Calibri"/>
                <w:b/>
                <w:sz w:val="18"/>
                <w:szCs w:val="18"/>
              </w:rPr>
            </w:pPr>
          </w:p>
        </w:tc>
        <w:tc>
          <w:tcPr>
            <w:tcW w:w="724" w:type="dxa"/>
            <w:gridSpan w:val="3"/>
          </w:tcPr>
          <w:p w:rsidR="00AC40AA" w:rsidRPr="008A7A07" w:rsidRDefault="00AC40AA" w:rsidP="00F315F1">
            <w:pPr>
              <w:rPr>
                <w:rFonts w:ascii="Calibri" w:hAnsi="Calibri" w:cs="Calibri"/>
                <w:b/>
                <w:sz w:val="18"/>
                <w:szCs w:val="18"/>
              </w:rPr>
            </w:pPr>
          </w:p>
        </w:tc>
        <w:tc>
          <w:tcPr>
            <w:tcW w:w="196" w:type="dxa"/>
          </w:tcPr>
          <w:p w:rsidR="00AC40AA" w:rsidRPr="008A7A07" w:rsidRDefault="00AC40AA" w:rsidP="00F315F1">
            <w:pPr>
              <w:rPr>
                <w:rFonts w:ascii="Calibri" w:hAnsi="Calibri" w:cs="Calibri"/>
                <w:b/>
                <w:sz w:val="18"/>
                <w:szCs w:val="18"/>
              </w:rPr>
            </w:pPr>
          </w:p>
        </w:tc>
        <w:tc>
          <w:tcPr>
            <w:tcW w:w="460" w:type="dxa"/>
            <w:gridSpan w:val="2"/>
          </w:tcPr>
          <w:p w:rsidR="00AC40AA" w:rsidRPr="008A7A07" w:rsidRDefault="00AC40AA" w:rsidP="00F315F1">
            <w:pPr>
              <w:rPr>
                <w:rFonts w:ascii="Calibri" w:hAnsi="Calibri" w:cs="Calibri"/>
                <w:b/>
                <w:sz w:val="18"/>
                <w:szCs w:val="18"/>
              </w:rPr>
            </w:pPr>
          </w:p>
        </w:tc>
        <w:tc>
          <w:tcPr>
            <w:tcW w:w="460" w:type="dxa"/>
            <w:gridSpan w:val="2"/>
          </w:tcPr>
          <w:p w:rsidR="00AC40AA" w:rsidRPr="008A7A07" w:rsidRDefault="00AC40AA" w:rsidP="00F315F1">
            <w:pPr>
              <w:rPr>
                <w:rFonts w:ascii="Calibri" w:hAnsi="Calibri" w:cs="Calibri"/>
                <w:b/>
                <w:sz w:val="18"/>
                <w:szCs w:val="18"/>
              </w:rPr>
            </w:pPr>
          </w:p>
        </w:tc>
        <w:tc>
          <w:tcPr>
            <w:tcW w:w="869" w:type="dxa"/>
            <w:gridSpan w:val="5"/>
          </w:tcPr>
          <w:p w:rsidR="00AC40AA" w:rsidRPr="008A7A07" w:rsidRDefault="00AC40AA" w:rsidP="00F315F1">
            <w:pPr>
              <w:rPr>
                <w:rFonts w:ascii="Calibri" w:hAnsi="Calibri" w:cs="Calibri"/>
                <w:b/>
                <w:sz w:val="18"/>
                <w:szCs w:val="18"/>
              </w:rPr>
            </w:pPr>
          </w:p>
        </w:tc>
        <w:tc>
          <w:tcPr>
            <w:tcW w:w="160" w:type="dxa"/>
            <w:gridSpan w:val="3"/>
          </w:tcPr>
          <w:p w:rsidR="00AC40AA" w:rsidRPr="008A7A07" w:rsidRDefault="00AC40AA" w:rsidP="00F315F1">
            <w:pPr>
              <w:rPr>
                <w:rFonts w:ascii="Calibri" w:hAnsi="Calibri" w:cs="Calibri"/>
                <w:b/>
                <w:sz w:val="18"/>
                <w:szCs w:val="18"/>
              </w:rPr>
            </w:pPr>
          </w:p>
        </w:tc>
        <w:tc>
          <w:tcPr>
            <w:tcW w:w="460" w:type="dxa"/>
            <w:gridSpan w:val="4"/>
          </w:tcPr>
          <w:p w:rsidR="00AC40AA" w:rsidRPr="008A7A07" w:rsidRDefault="00AC40AA" w:rsidP="00F315F1">
            <w:pPr>
              <w:rPr>
                <w:rFonts w:ascii="Calibri" w:hAnsi="Calibri" w:cs="Calibri"/>
                <w:b/>
                <w:sz w:val="18"/>
                <w:szCs w:val="18"/>
              </w:rPr>
            </w:pPr>
          </w:p>
        </w:tc>
        <w:tc>
          <w:tcPr>
            <w:tcW w:w="460" w:type="dxa"/>
          </w:tcPr>
          <w:p w:rsidR="00AC40AA" w:rsidRPr="008A7A07" w:rsidRDefault="00AC40AA" w:rsidP="00F315F1">
            <w:pPr>
              <w:rPr>
                <w:rFonts w:ascii="Calibri" w:hAnsi="Calibri" w:cs="Calibri"/>
                <w:b/>
                <w:sz w:val="18"/>
                <w:szCs w:val="18"/>
              </w:rPr>
            </w:pPr>
          </w:p>
        </w:tc>
        <w:tc>
          <w:tcPr>
            <w:tcW w:w="460" w:type="dxa"/>
            <w:gridSpan w:val="3"/>
          </w:tcPr>
          <w:p w:rsidR="00AC40AA" w:rsidRPr="008A7A07" w:rsidRDefault="00AC40AA" w:rsidP="00F315F1">
            <w:pPr>
              <w:rPr>
                <w:rFonts w:ascii="Calibri" w:hAnsi="Calibri" w:cs="Calibri"/>
                <w:b/>
                <w:sz w:val="18"/>
                <w:szCs w:val="18"/>
              </w:rPr>
            </w:pPr>
          </w:p>
        </w:tc>
        <w:tc>
          <w:tcPr>
            <w:tcW w:w="460" w:type="dxa"/>
            <w:gridSpan w:val="3"/>
          </w:tcPr>
          <w:p w:rsidR="00AC40AA" w:rsidRPr="008A7A07" w:rsidRDefault="00AC40AA" w:rsidP="00F315F1">
            <w:pPr>
              <w:rPr>
                <w:rFonts w:ascii="Calibri" w:hAnsi="Calibri" w:cs="Calibri"/>
                <w:b/>
                <w:sz w:val="18"/>
                <w:szCs w:val="18"/>
              </w:rPr>
            </w:pPr>
          </w:p>
        </w:tc>
        <w:tc>
          <w:tcPr>
            <w:tcW w:w="460" w:type="dxa"/>
            <w:gridSpan w:val="3"/>
          </w:tcPr>
          <w:p w:rsidR="00AC40AA" w:rsidRPr="008A7A07" w:rsidRDefault="00AC40AA" w:rsidP="00F315F1">
            <w:pPr>
              <w:rPr>
                <w:rFonts w:ascii="Calibri" w:hAnsi="Calibri" w:cs="Calibri"/>
                <w:b/>
                <w:sz w:val="18"/>
                <w:szCs w:val="18"/>
              </w:rPr>
            </w:pPr>
          </w:p>
        </w:tc>
        <w:tc>
          <w:tcPr>
            <w:tcW w:w="460" w:type="dxa"/>
            <w:gridSpan w:val="3"/>
          </w:tcPr>
          <w:p w:rsidR="00AC40AA" w:rsidRPr="008A7A07" w:rsidRDefault="00AC40AA" w:rsidP="00F315F1">
            <w:pPr>
              <w:rPr>
                <w:rFonts w:ascii="Calibri" w:hAnsi="Calibri" w:cs="Calibri"/>
                <w:b/>
                <w:sz w:val="18"/>
                <w:szCs w:val="18"/>
              </w:rPr>
            </w:pPr>
          </w:p>
        </w:tc>
        <w:tc>
          <w:tcPr>
            <w:tcW w:w="460" w:type="dxa"/>
            <w:gridSpan w:val="3"/>
          </w:tcPr>
          <w:p w:rsidR="00AC40AA" w:rsidRPr="008A7A07" w:rsidRDefault="00AC40AA" w:rsidP="00F315F1">
            <w:pPr>
              <w:rPr>
                <w:rFonts w:ascii="Calibri" w:hAnsi="Calibri" w:cs="Calibri"/>
                <w:b/>
                <w:sz w:val="18"/>
                <w:szCs w:val="18"/>
              </w:rPr>
            </w:pPr>
          </w:p>
        </w:tc>
        <w:tc>
          <w:tcPr>
            <w:tcW w:w="556" w:type="dxa"/>
            <w:gridSpan w:val="8"/>
          </w:tcPr>
          <w:p w:rsidR="00AC40AA" w:rsidRPr="008A7A07" w:rsidRDefault="00AC40AA" w:rsidP="00F315F1">
            <w:pPr>
              <w:rPr>
                <w:rFonts w:ascii="Calibri" w:hAnsi="Calibri" w:cs="Calibri"/>
                <w:b/>
                <w:sz w:val="18"/>
                <w:szCs w:val="18"/>
              </w:rPr>
            </w:pPr>
          </w:p>
        </w:tc>
      </w:tr>
      <w:tr w:rsidR="006E55BA" w:rsidRPr="006E55BA" w:rsidTr="00F815C3">
        <w:tblPrEx>
          <w:tblLook w:val="0000" w:firstRow="0" w:lastRow="0" w:firstColumn="0" w:lastColumn="0" w:noHBand="0" w:noVBand="0"/>
        </w:tblPrEx>
        <w:trPr>
          <w:gridAfter w:val="8"/>
          <w:wAfter w:w="1047" w:type="dxa"/>
        </w:trPr>
        <w:tc>
          <w:tcPr>
            <w:tcW w:w="9781" w:type="dxa"/>
            <w:gridSpan w:val="50"/>
            <w:shd w:val="clear" w:color="auto" w:fill="FFC000"/>
          </w:tcPr>
          <w:p w:rsidR="00AC40AA" w:rsidRPr="008A7A07" w:rsidRDefault="00AC40AA" w:rsidP="00F315F1">
            <w:pPr>
              <w:rPr>
                <w:rFonts w:ascii="Calibri" w:hAnsi="Calibri" w:cs="Calibri"/>
                <w:b/>
                <w:sz w:val="20"/>
                <w:szCs w:val="20"/>
                <w:u w:val="single"/>
              </w:rPr>
            </w:pPr>
            <w:r w:rsidRPr="008A7A07">
              <w:rPr>
                <w:rFonts w:ascii="Calibri" w:hAnsi="Calibri" w:cs="Calibri"/>
                <w:b/>
                <w:sz w:val="20"/>
                <w:szCs w:val="20"/>
                <w:u w:val="single"/>
              </w:rPr>
              <w:t>Rozbor čerpání výdajů rozpočtu kapitoly</w:t>
            </w:r>
          </w:p>
        </w:tc>
      </w:tr>
      <w:tr w:rsidR="006E55BA" w:rsidRPr="006E55BA" w:rsidTr="00F815C3">
        <w:tblPrEx>
          <w:tblLook w:val="0000" w:firstRow="0" w:lastRow="0" w:firstColumn="0" w:lastColumn="0" w:noHBand="0" w:noVBand="0"/>
        </w:tblPrEx>
        <w:tc>
          <w:tcPr>
            <w:tcW w:w="457" w:type="dxa"/>
            <w:gridSpan w:val="2"/>
          </w:tcPr>
          <w:p w:rsidR="00AC40AA" w:rsidRPr="006E55BA" w:rsidRDefault="00AC40AA" w:rsidP="00F315F1">
            <w:pPr>
              <w:rPr>
                <w:rFonts w:ascii="Calibri" w:hAnsi="Calibri" w:cs="Calibri"/>
                <w:b/>
                <w:color w:val="A6A6A6" w:themeColor="background1" w:themeShade="A6"/>
                <w:sz w:val="18"/>
                <w:szCs w:val="18"/>
              </w:rPr>
            </w:pPr>
          </w:p>
        </w:tc>
        <w:tc>
          <w:tcPr>
            <w:tcW w:w="457" w:type="dxa"/>
            <w:gridSpan w:val="2"/>
          </w:tcPr>
          <w:p w:rsidR="00AC40AA" w:rsidRPr="006E55BA" w:rsidRDefault="00AC40AA" w:rsidP="00F315F1">
            <w:pPr>
              <w:rPr>
                <w:rFonts w:ascii="Calibri" w:hAnsi="Calibri" w:cs="Calibri"/>
                <w:b/>
                <w:color w:val="A6A6A6" w:themeColor="background1" w:themeShade="A6"/>
                <w:sz w:val="18"/>
                <w:szCs w:val="18"/>
              </w:rPr>
            </w:pPr>
          </w:p>
        </w:tc>
        <w:tc>
          <w:tcPr>
            <w:tcW w:w="457" w:type="dxa"/>
          </w:tcPr>
          <w:p w:rsidR="00AC40AA" w:rsidRPr="006E55BA" w:rsidRDefault="00AC40AA" w:rsidP="00F315F1">
            <w:pPr>
              <w:rPr>
                <w:rFonts w:ascii="Calibri" w:hAnsi="Calibri" w:cs="Calibri"/>
                <w:b/>
                <w:color w:val="A6A6A6" w:themeColor="background1" w:themeShade="A6"/>
                <w:sz w:val="18"/>
                <w:szCs w:val="18"/>
              </w:rPr>
            </w:pPr>
          </w:p>
        </w:tc>
        <w:tc>
          <w:tcPr>
            <w:tcW w:w="1748" w:type="dxa"/>
            <w:gridSpan w:val="4"/>
          </w:tcPr>
          <w:p w:rsidR="00AC40AA" w:rsidRPr="006E55BA" w:rsidRDefault="00AC40AA" w:rsidP="00F315F1">
            <w:pPr>
              <w:rPr>
                <w:rFonts w:ascii="Calibri" w:hAnsi="Calibri" w:cs="Calibri"/>
                <w:b/>
                <w:color w:val="A6A6A6" w:themeColor="background1" w:themeShade="A6"/>
                <w:sz w:val="18"/>
                <w:szCs w:val="18"/>
              </w:rPr>
            </w:pPr>
          </w:p>
        </w:tc>
        <w:tc>
          <w:tcPr>
            <w:tcW w:w="160" w:type="dxa"/>
            <w:gridSpan w:val="2"/>
          </w:tcPr>
          <w:p w:rsidR="00AC40AA" w:rsidRPr="006E55BA" w:rsidRDefault="00AC40AA" w:rsidP="00F315F1">
            <w:pPr>
              <w:rPr>
                <w:rFonts w:ascii="Calibri" w:hAnsi="Calibri" w:cs="Calibri"/>
                <w:b/>
                <w:color w:val="A6A6A6" w:themeColor="background1" w:themeShade="A6"/>
                <w:sz w:val="18"/>
                <w:szCs w:val="18"/>
              </w:rPr>
            </w:pPr>
          </w:p>
        </w:tc>
        <w:tc>
          <w:tcPr>
            <w:tcW w:w="460" w:type="dxa"/>
          </w:tcPr>
          <w:p w:rsidR="00AC40AA" w:rsidRPr="008A7A07" w:rsidRDefault="00AC40AA" w:rsidP="00F315F1">
            <w:pPr>
              <w:rPr>
                <w:rFonts w:ascii="Calibri" w:hAnsi="Calibri" w:cs="Calibri"/>
                <w:b/>
                <w:sz w:val="18"/>
                <w:szCs w:val="18"/>
              </w:rPr>
            </w:pPr>
          </w:p>
        </w:tc>
        <w:tc>
          <w:tcPr>
            <w:tcW w:w="460" w:type="dxa"/>
            <w:gridSpan w:val="3"/>
          </w:tcPr>
          <w:p w:rsidR="00AC40AA" w:rsidRPr="008A7A07" w:rsidRDefault="00AC40AA" w:rsidP="00F315F1">
            <w:pPr>
              <w:rPr>
                <w:rFonts w:ascii="Calibri" w:hAnsi="Calibri" w:cs="Calibri"/>
                <w:b/>
                <w:sz w:val="18"/>
                <w:szCs w:val="18"/>
              </w:rPr>
            </w:pPr>
          </w:p>
        </w:tc>
        <w:tc>
          <w:tcPr>
            <w:tcW w:w="1251" w:type="dxa"/>
            <w:gridSpan w:val="5"/>
          </w:tcPr>
          <w:p w:rsidR="00AC40AA" w:rsidRPr="008A7A07" w:rsidRDefault="00AC40AA" w:rsidP="00F315F1">
            <w:pPr>
              <w:rPr>
                <w:rFonts w:ascii="Calibri" w:hAnsi="Calibri" w:cs="Calibri"/>
                <w:b/>
                <w:sz w:val="18"/>
                <w:szCs w:val="18"/>
              </w:rPr>
            </w:pPr>
          </w:p>
        </w:tc>
        <w:tc>
          <w:tcPr>
            <w:tcW w:w="160" w:type="dxa"/>
            <w:gridSpan w:val="2"/>
          </w:tcPr>
          <w:p w:rsidR="00AC40AA" w:rsidRPr="008A7A07" w:rsidRDefault="00AC40AA" w:rsidP="00F315F1">
            <w:pPr>
              <w:rPr>
                <w:rFonts w:ascii="Calibri" w:hAnsi="Calibri" w:cs="Calibri"/>
                <w:b/>
                <w:sz w:val="18"/>
                <w:szCs w:val="18"/>
              </w:rPr>
            </w:pPr>
          </w:p>
        </w:tc>
        <w:tc>
          <w:tcPr>
            <w:tcW w:w="460" w:type="dxa"/>
            <w:gridSpan w:val="3"/>
          </w:tcPr>
          <w:p w:rsidR="00AC40AA" w:rsidRPr="008A7A07" w:rsidRDefault="00AC40AA" w:rsidP="00F315F1">
            <w:pPr>
              <w:rPr>
                <w:rFonts w:ascii="Calibri" w:hAnsi="Calibri" w:cs="Calibri"/>
                <w:b/>
                <w:sz w:val="18"/>
                <w:szCs w:val="18"/>
              </w:rPr>
            </w:pPr>
          </w:p>
        </w:tc>
        <w:tc>
          <w:tcPr>
            <w:tcW w:w="460" w:type="dxa"/>
            <w:gridSpan w:val="4"/>
          </w:tcPr>
          <w:p w:rsidR="00AC40AA" w:rsidRPr="006E55BA" w:rsidRDefault="00AC40AA" w:rsidP="00F315F1">
            <w:pPr>
              <w:rPr>
                <w:rFonts w:ascii="Calibri" w:hAnsi="Calibri" w:cs="Calibri"/>
                <w:b/>
                <w:color w:val="A6A6A6" w:themeColor="background1" w:themeShade="A6"/>
                <w:sz w:val="18"/>
                <w:szCs w:val="18"/>
              </w:rPr>
            </w:pPr>
          </w:p>
        </w:tc>
        <w:tc>
          <w:tcPr>
            <w:tcW w:w="825" w:type="dxa"/>
            <w:gridSpan w:val="4"/>
          </w:tcPr>
          <w:p w:rsidR="00AC40AA" w:rsidRPr="006E55BA" w:rsidRDefault="00AC40AA" w:rsidP="00F315F1">
            <w:pPr>
              <w:rPr>
                <w:rFonts w:ascii="Calibri" w:hAnsi="Calibri" w:cs="Calibri"/>
                <w:b/>
                <w:color w:val="A6A6A6" w:themeColor="background1" w:themeShade="A6"/>
                <w:sz w:val="18"/>
                <w:szCs w:val="18"/>
              </w:rPr>
            </w:pPr>
          </w:p>
        </w:tc>
        <w:tc>
          <w:tcPr>
            <w:tcW w:w="160" w:type="dxa"/>
            <w:gridSpan w:val="3"/>
          </w:tcPr>
          <w:p w:rsidR="00AC40AA" w:rsidRPr="006E55BA" w:rsidRDefault="00AC40AA" w:rsidP="00F315F1">
            <w:pPr>
              <w:rPr>
                <w:rFonts w:ascii="Calibri" w:hAnsi="Calibri" w:cs="Calibri"/>
                <w:b/>
                <w:color w:val="A6A6A6" w:themeColor="background1" w:themeShade="A6"/>
                <w:sz w:val="18"/>
                <w:szCs w:val="18"/>
              </w:rPr>
            </w:pPr>
          </w:p>
        </w:tc>
        <w:tc>
          <w:tcPr>
            <w:tcW w:w="460" w:type="dxa"/>
            <w:gridSpan w:val="3"/>
          </w:tcPr>
          <w:p w:rsidR="00AC40AA" w:rsidRPr="006E55BA" w:rsidRDefault="00AC40AA" w:rsidP="00F315F1">
            <w:pPr>
              <w:rPr>
                <w:rFonts w:ascii="Calibri" w:hAnsi="Calibri" w:cs="Calibri"/>
                <w:b/>
                <w:color w:val="A6A6A6" w:themeColor="background1" w:themeShade="A6"/>
                <w:sz w:val="18"/>
                <w:szCs w:val="18"/>
              </w:rPr>
            </w:pPr>
          </w:p>
        </w:tc>
        <w:tc>
          <w:tcPr>
            <w:tcW w:w="460" w:type="dxa"/>
            <w:gridSpan w:val="3"/>
          </w:tcPr>
          <w:p w:rsidR="00AC40AA" w:rsidRPr="006E55BA" w:rsidRDefault="00AC40AA" w:rsidP="00F315F1">
            <w:pPr>
              <w:rPr>
                <w:rFonts w:ascii="Calibri" w:hAnsi="Calibri" w:cs="Calibri"/>
                <w:b/>
                <w:color w:val="A6A6A6" w:themeColor="background1" w:themeShade="A6"/>
                <w:sz w:val="18"/>
                <w:szCs w:val="18"/>
              </w:rPr>
            </w:pPr>
          </w:p>
        </w:tc>
        <w:tc>
          <w:tcPr>
            <w:tcW w:w="460" w:type="dxa"/>
            <w:gridSpan w:val="3"/>
          </w:tcPr>
          <w:p w:rsidR="00AC40AA" w:rsidRPr="006E55BA" w:rsidRDefault="00AC40AA" w:rsidP="00F315F1">
            <w:pPr>
              <w:rPr>
                <w:rFonts w:ascii="Calibri" w:hAnsi="Calibri" w:cs="Calibri"/>
                <w:b/>
                <w:color w:val="A6A6A6" w:themeColor="background1" w:themeShade="A6"/>
                <w:sz w:val="18"/>
                <w:szCs w:val="18"/>
              </w:rPr>
            </w:pPr>
          </w:p>
        </w:tc>
        <w:tc>
          <w:tcPr>
            <w:tcW w:w="460" w:type="dxa"/>
            <w:gridSpan w:val="3"/>
          </w:tcPr>
          <w:p w:rsidR="00AC40AA" w:rsidRPr="006E55BA" w:rsidRDefault="00AC40AA" w:rsidP="00F315F1">
            <w:pPr>
              <w:rPr>
                <w:rFonts w:ascii="Calibri" w:hAnsi="Calibri" w:cs="Calibri"/>
                <w:b/>
                <w:color w:val="A6A6A6" w:themeColor="background1" w:themeShade="A6"/>
                <w:sz w:val="18"/>
                <w:szCs w:val="18"/>
              </w:rPr>
            </w:pPr>
          </w:p>
        </w:tc>
        <w:tc>
          <w:tcPr>
            <w:tcW w:w="460" w:type="dxa"/>
            <w:gridSpan w:val="5"/>
          </w:tcPr>
          <w:p w:rsidR="00AC40AA" w:rsidRPr="006E55BA" w:rsidRDefault="00AC40AA" w:rsidP="00F315F1">
            <w:pPr>
              <w:rPr>
                <w:rFonts w:ascii="Calibri" w:hAnsi="Calibri" w:cs="Calibri"/>
                <w:b/>
                <w:color w:val="A6A6A6" w:themeColor="background1" w:themeShade="A6"/>
                <w:sz w:val="18"/>
                <w:szCs w:val="18"/>
              </w:rPr>
            </w:pPr>
          </w:p>
        </w:tc>
        <w:tc>
          <w:tcPr>
            <w:tcW w:w="460" w:type="dxa"/>
            <w:gridSpan w:val="3"/>
          </w:tcPr>
          <w:p w:rsidR="00AC40AA" w:rsidRPr="006E55BA" w:rsidRDefault="00AC40AA" w:rsidP="00F315F1">
            <w:pPr>
              <w:rPr>
                <w:rFonts w:ascii="Calibri" w:hAnsi="Calibri" w:cs="Calibri"/>
                <w:b/>
                <w:color w:val="A6A6A6" w:themeColor="background1" w:themeShade="A6"/>
                <w:sz w:val="18"/>
                <w:szCs w:val="18"/>
              </w:rPr>
            </w:pPr>
          </w:p>
        </w:tc>
        <w:tc>
          <w:tcPr>
            <w:tcW w:w="553" w:type="dxa"/>
            <w:gridSpan w:val="2"/>
          </w:tcPr>
          <w:p w:rsidR="00AC40AA" w:rsidRPr="006E55BA" w:rsidRDefault="00AC40AA" w:rsidP="00F315F1">
            <w:pPr>
              <w:rPr>
                <w:rFonts w:ascii="Calibri" w:hAnsi="Calibri" w:cs="Calibri"/>
                <w:b/>
                <w:color w:val="A6A6A6" w:themeColor="background1" w:themeShade="A6"/>
                <w:sz w:val="18"/>
                <w:szCs w:val="18"/>
              </w:rPr>
            </w:pPr>
          </w:p>
        </w:tc>
      </w:tr>
      <w:tr w:rsidR="006E55BA" w:rsidRPr="006E55BA" w:rsidTr="00F815C3">
        <w:tblPrEx>
          <w:tblLook w:val="0000" w:firstRow="0" w:lastRow="0" w:firstColumn="0" w:lastColumn="0" w:noHBand="0" w:noVBand="0"/>
        </w:tblPrEx>
        <w:trPr>
          <w:gridAfter w:val="7"/>
          <w:wAfter w:w="1041" w:type="dxa"/>
        </w:trPr>
        <w:tc>
          <w:tcPr>
            <w:tcW w:w="3119" w:type="dxa"/>
            <w:gridSpan w:val="9"/>
            <w:tcBorders>
              <w:top w:val="single" w:sz="4" w:space="0" w:color="auto"/>
              <w:left w:val="single" w:sz="4" w:space="0" w:color="auto"/>
              <w:bottom w:val="single" w:sz="4" w:space="0" w:color="auto"/>
              <w:right w:val="single" w:sz="4" w:space="0" w:color="auto"/>
            </w:tcBorders>
            <w:shd w:val="clear" w:color="auto" w:fill="FFFF00"/>
          </w:tcPr>
          <w:p w:rsidR="00AC40AA" w:rsidRPr="008A7A07" w:rsidRDefault="00AC40AA" w:rsidP="00F315F1">
            <w:pPr>
              <w:jc w:val="center"/>
              <w:rPr>
                <w:rFonts w:ascii="Calibri" w:hAnsi="Calibri" w:cs="Calibri"/>
                <w:b/>
                <w:sz w:val="18"/>
                <w:szCs w:val="18"/>
              </w:rPr>
            </w:pPr>
            <w:r w:rsidRPr="008A7A07">
              <w:rPr>
                <w:rFonts w:ascii="Calibri" w:hAnsi="Calibri" w:cs="Calibri"/>
                <w:b/>
                <w:sz w:val="18"/>
                <w:szCs w:val="18"/>
              </w:rPr>
              <w:t>Rozpočet upravený v tis. Kč</w:t>
            </w:r>
          </w:p>
        </w:tc>
        <w:tc>
          <w:tcPr>
            <w:tcW w:w="1843" w:type="dxa"/>
            <w:gridSpan w:val="8"/>
            <w:tcBorders>
              <w:top w:val="single" w:sz="4" w:space="0" w:color="auto"/>
              <w:left w:val="single" w:sz="4" w:space="0" w:color="auto"/>
              <w:bottom w:val="single" w:sz="4" w:space="0" w:color="auto"/>
              <w:right w:val="single" w:sz="4" w:space="0" w:color="auto"/>
            </w:tcBorders>
            <w:shd w:val="clear" w:color="auto" w:fill="FFFF00"/>
          </w:tcPr>
          <w:p w:rsidR="00AC40AA" w:rsidRPr="008A7A07" w:rsidRDefault="00AC40AA" w:rsidP="00F315F1">
            <w:pPr>
              <w:jc w:val="center"/>
              <w:rPr>
                <w:rFonts w:ascii="Calibri" w:hAnsi="Calibri" w:cs="Calibri"/>
                <w:b/>
                <w:sz w:val="18"/>
                <w:szCs w:val="18"/>
              </w:rPr>
            </w:pPr>
            <w:r w:rsidRPr="008A7A07">
              <w:rPr>
                <w:rFonts w:ascii="Calibri" w:hAnsi="Calibri" w:cs="Calibri"/>
                <w:b/>
                <w:sz w:val="18"/>
                <w:szCs w:val="18"/>
              </w:rPr>
              <w:t>Skutečnost v tis. Kč</w:t>
            </w:r>
          </w:p>
        </w:tc>
        <w:tc>
          <w:tcPr>
            <w:tcW w:w="1420" w:type="dxa"/>
            <w:gridSpan w:val="10"/>
            <w:tcBorders>
              <w:top w:val="single" w:sz="4" w:space="0" w:color="auto"/>
              <w:left w:val="single" w:sz="4" w:space="0" w:color="auto"/>
              <w:bottom w:val="single" w:sz="4" w:space="0" w:color="auto"/>
              <w:right w:val="single" w:sz="4" w:space="0" w:color="auto"/>
            </w:tcBorders>
            <w:shd w:val="clear" w:color="auto" w:fill="FFFF00"/>
          </w:tcPr>
          <w:p w:rsidR="00AC40AA" w:rsidRPr="008A7A07" w:rsidRDefault="00AC40AA" w:rsidP="00F315F1">
            <w:pPr>
              <w:jc w:val="center"/>
              <w:rPr>
                <w:rFonts w:ascii="Calibri" w:hAnsi="Calibri" w:cs="Calibri"/>
                <w:b/>
                <w:sz w:val="18"/>
                <w:szCs w:val="18"/>
              </w:rPr>
            </w:pPr>
            <w:r w:rsidRPr="008A7A07">
              <w:rPr>
                <w:rFonts w:ascii="Calibri" w:hAnsi="Calibri" w:cs="Calibri"/>
                <w:b/>
                <w:sz w:val="18"/>
                <w:szCs w:val="18"/>
              </w:rPr>
              <w:t>SK/RU v %</w:t>
            </w:r>
          </w:p>
        </w:tc>
        <w:tc>
          <w:tcPr>
            <w:tcW w:w="3405" w:type="dxa"/>
            <w:gridSpan w:val="24"/>
            <w:tcBorders>
              <w:top w:val="single" w:sz="4" w:space="0" w:color="auto"/>
              <w:left w:val="single" w:sz="4" w:space="0" w:color="auto"/>
              <w:bottom w:val="single" w:sz="4" w:space="0" w:color="auto"/>
              <w:right w:val="single" w:sz="4" w:space="0" w:color="auto"/>
            </w:tcBorders>
            <w:shd w:val="clear" w:color="auto" w:fill="FFFF00"/>
          </w:tcPr>
          <w:p w:rsidR="00AC40AA" w:rsidRPr="008A7A07" w:rsidRDefault="00AC40AA" w:rsidP="00F315F1">
            <w:pPr>
              <w:jc w:val="center"/>
              <w:rPr>
                <w:rFonts w:ascii="Calibri" w:hAnsi="Calibri" w:cs="Calibri"/>
                <w:b/>
                <w:sz w:val="18"/>
                <w:szCs w:val="18"/>
              </w:rPr>
            </w:pPr>
            <w:r w:rsidRPr="008A7A07">
              <w:rPr>
                <w:rFonts w:ascii="Calibri" w:hAnsi="Calibri" w:cs="Calibri"/>
                <w:b/>
                <w:sz w:val="18"/>
                <w:szCs w:val="18"/>
              </w:rPr>
              <w:t>Komentář</w:t>
            </w:r>
          </w:p>
        </w:tc>
      </w:tr>
      <w:tr w:rsidR="004922F5" w:rsidRPr="006E55BA" w:rsidTr="00F815C3">
        <w:tblPrEx>
          <w:tblLook w:val="0000" w:firstRow="0" w:lastRow="0" w:firstColumn="0" w:lastColumn="0" w:noHBand="0" w:noVBand="0"/>
        </w:tblPrEx>
        <w:trPr>
          <w:gridAfter w:val="7"/>
          <w:wAfter w:w="1041" w:type="dxa"/>
        </w:trPr>
        <w:tc>
          <w:tcPr>
            <w:tcW w:w="3119" w:type="dxa"/>
            <w:gridSpan w:val="9"/>
            <w:tcBorders>
              <w:top w:val="single" w:sz="4" w:space="0" w:color="auto"/>
              <w:left w:val="single" w:sz="4" w:space="0" w:color="auto"/>
              <w:bottom w:val="single" w:sz="4" w:space="0" w:color="auto"/>
              <w:right w:val="single" w:sz="4" w:space="0" w:color="auto"/>
            </w:tcBorders>
          </w:tcPr>
          <w:p w:rsidR="004922F5" w:rsidRPr="004922F5" w:rsidRDefault="00C55ACB" w:rsidP="004922F5">
            <w:pPr>
              <w:jc w:val="right"/>
              <w:rPr>
                <w:rFonts w:ascii="Calibri" w:hAnsi="Calibri" w:cs="Calibri"/>
                <w:b/>
                <w:sz w:val="18"/>
                <w:szCs w:val="18"/>
              </w:rPr>
            </w:pPr>
            <w:r>
              <w:rPr>
                <w:rFonts w:ascii="Calibri" w:hAnsi="Calibri" w:cs="Calibri"/>
                <w:b/>
                <w:sz w:val="18"/>
                <w:szCs w:val="18"/>
              </w:rPr>
              <w:t>45 056,73</w:t>
            </w:r>
          </w:p>
        </w:tc>
        <w:tc>
          <w:tcPr>
            <w:tcW w:w="1843" w:type="dxa"/>
            <w:gridSpan w:val="8"/>
            <w:tcBorders>
              <w:top w:val="single" w:sz="4" w:space="0" w:color="auto"/>
              <w:left w:val="single" w:sz="4" w:space="0" w:color="auto"/>
              <w:bottom w:val="single" w:sz="4" w:space="0" w:color="auto"/>
              <w:right w:val="single" w:sz="4" w:space="0" w:color="auto"/>
            </w:tcBorders>
          </w:tcPr>
          <w:p w:rsidR="004922F5" w:rsidRPr="004922F5" w:rsidRDefault="00C55ACB" w:rsidP="004922F5">
            <w:pPr>
              <w:jc w:val="right"/>
              <w:rPr>
                <w:rFonts w:ascii="Calibri" w:hAnsi="Calibri" w:cs="Calibri"/>
                <w:b/>
                <w:sz w:val="18"/>
                <w:szCs w:val="18"/>
              </w:rPr>
            </w:pPr>
            <w:r>
              <w:rPr>
                <w:rFonts w:ascii="Calibri" w:hAnsi="Calibri" w:cs="Calibri"/>
                <w:b/>
                <w:sz w:val="18"/>
                <w:szCs w:val="18"/>
              </w:rPr>
              <w:t>43 859,69</w:t>
            </w:r>
          </w:p>
        </w:tc>
        <w:tc>
          <w:tcPr>
            <w:tcW w:w="1420" w:type="dxa"/>
            <w:gridSpan w:val="10"/>
            <w:tcBorders>
              <w:top w:val="single" w:sz="4" w:space="0" w:color="auto"/>
              <w:left w:val="single" w:sz="4" w:space="0" w:color="auto"/>
              <w:bottom w:val="single" w:sz="4" w:space="0" w:color="auto"/>
              <w:right w:val="single" w:sz="4" w:space="0" w:color="auto"/>
            </w:tcBorders>
          </w:tcPr>
          <w:p w:rsidR="004922F5" w:rsidRPr="004922F5" w:rsidRDefault="00C55ACB" w:rsidP="00D07C73">
            <w:pPr>
              <w:jc w:val="center"/>
              <w:rPr>
                <w:rFonts w:ascii="Calibri" w:hAnsi="Calibri" w:cs="Calibri"/>
                <w:b/>
                <w:sz w:val="18"/>
                <w:szCs w:val="18"/>
              </w:rPr>
            </w:pPr>
            <w:r>
              <w:rPr>
                <w:rFonts w:ascii="Calibri" w:hAnsi="Calibri" w:cs="Calibri"/>
                <w:b/>
                <w:sz w:val="18"/>
                <w:szCs w:val="18"/>
              </w:rPr>
              <w:t>97,34</w:t>
            </w:r>
          </w:p>
        </w:tc>
        <w:tc>
          <w:tcPr>
            <w:tcW w:w="3405" w:type="dxa"/>
            <w:gridSpan w:val="24"/>
            <w:tcBorders>
              <w:top w:val="single" w:sz="4" w:space="0" w:color="auto"/>
              <w:left w:val="single" w:sz="4" w:space="0" w:color="auto"/>
              <w:bottom w:val="single" w:sz="4" w:space="0" w:color="auto"/>
              <w:right w:val="single" w:sz="4" w:space="0" w:color="auto"/>
            </w:tcBorders>
          </w:tcPr>
          <w:p w:rsidR="004922F5" w:rsidRPr="00C3047C" w:rsidRDefault="004922F5" w:rsidP="004922F5">
            <w:pPr>
              <w:rPr>
                <w:rFonts w:ascii="Calibri" w:hAnsi="Calibri" w:cs="Calibri"/>
                <w:b/>
                <w:sz w:val="18"/>
                <w:szCs w:val="18"/>
              </w:rPr>
            </w:pPr>
            <w:r w:rsidRPr="00C3047C">
              <w:rPr>
                <w:rFonts w:ascii="Calibri" w:hAnsi="Calibri" w:cs="Calibri"/>
                <w:b/>
                <w:sz w:val="18"/>
                <w:szCs w:val="18"/>
              </w:rPr>
              <w:t>Výdaje před konsolidací</w:t>
            </w:r>
          </w:p>
        </w:tc>
      </w:tr>
      <w:tr w:rsidR="004922F5" w:rsidRPr="006E55BA" w:rsidTr="00F815C3">
        <w:tblPrEx>
          <w:tblLook w:val="0000" w:firstRow="0" w:lastRow="0" w:firstColumn="0" w:lastColumn="0" w:noHBand="0" w:noVBand="0"/>
        </w:tblPrEx>
        <w:trPr>
          <w:gridAfter w:val="7"/>
          <w:wAfter w:w="1041" w:type="dxa"/>
        </w:trPr>
        <w:tc>
          <w:tcPr>
            <w:tcW w:w="3119" w:type="dxa"/>
            <w:gridSpan w:val="9"/>
            <w:tcBorders>
              <w:top w:val="single" w:sz="4" w:space="0" w:color="auto"/>
              <w:left w:val="single" w:sz="4" w:space="0" w:color="auto"/>
              <w:bottom w:val="single" w:sz="4" w:space="0" w:color="auto"/>
              <w:right w:val="single" w:sz="4" w:space="0" w:color="auto"/>
            </w:tcBorders>
          </w:tcPr>
          <w:p w:rsidR="004922F5" w:rsidRPr="004922F5" w:rsidRDefault="00C55ACB" w:rsidP="004922F5">
            <w:pPr>
              <w:jc w:val="right"/>
              <w:rPr>
                <w:rFonts w:ascii="Calibri" w:hAnsi="Calibri" w:cs="Calibri"/>
                <w:b/>
                <w:sz w:val="18"/>
                <w:szCs w:val="18"/>
              </w:rPr>
            </w:pPr>
            <w:r>
              <w:rPr>
                <w:rFonts w:ascii="Calibri" w:hAnsi="Calibri" w:cs="Calibri"/>
                <w:b/>
                <w:sz w:val="18"/>
                <w:szCs w:val="18"/>
              </w:rPr>
              <w:t>45 056,73</w:t>
            </w:r>
          </w:p>
        </w:tc>
        <w:tc>
          <w:tcPr>
            <w:tcW w:w="1843" w:type="dxa"/>
            <w:gridSpan w:val="8"/>
            <w:tcBorders>
              <w:top w:val="single" w:sz="4" w:space="0" w:color="auto"/>
              <w:left w:val="single" w:sz="4" w:space="0" w:color="auto"/>
              <w:bottom w:val="single" w:sz="4" w:space="0" w:color="auto"/>
              <w:right w:val="single" w:sz="4" w:space="0" w:color="auto"/>
            </w:tcBorders>
          </w:tcPr>
          <w:p w:rsidR="004922F5" w:rsidRPr="004922F5" w:rsidRDefault="00C55ACB" w:rsidP="004922F5">
            <w:pPr>
              <w:jc w:val="right"/>
              <w:rPr>
                <w:rFonts w:ascii="Calibri" w:hAnsi="Calibri" w:cs="Calibri"/>
                <w:b/>
                <w:sz w:val="18"/>
                <w:szCs w:val="18"/>
              </w:rPr>
            </w:pPr>
            <w:r>
              <w:rPr>
                <w:rFonts w:ascii="Calibri" w:hAnsi="Calibri" w:cs="Calibri"/>
                <w:b/>
                <w:sz w:val="18"/>
                <w:szCs w:val="18"/>
              </w:rPr>
              <w:t>43 859,69</w:t>
            </w:r>
          </w:p>
        </w:tc>
        <w:tc>
          <w:tcPr>
            <w:tcW w:w="1420" w:type="dxa"/>
            <w:gridSpan w:val="10"/>
            <w:tcBorders>
              <w:top w:val="single" w:sz="4" w:space="0" w:color="auto"/>
              <w:left w:val="single" w:sz="4" w:space="0" w:color="auto"/>
              <w:bottom w:val="single" w:sz="4" w:space="0" w:color="auto"/>
              <w:right w:val="single" w:sz="4" w:space="0" w:color="auto"/>
            </w:tcBorders>
          </w:tcPr>
          <w:p w:rsidR="004922F5" w:rsidRPr="004922F5" w:rsidRDefault="00C55ACB" w:rsidP="00D07C73">
            <w:pPr>
              <w:jc w:val="center"/>
              <w:rPr>
                <w:rFonts w:ascii="Calibri" w:hAnsi="Calibri" w:cs="Calibri"/>
                <w:b/>
                <w:sz w:val="18"/>
                <w:szCs w:val="18"/>
              </w:rPr>
            </w:pPr>
            <w:r>
              <w:rPr>
                <w:rFonts w:ascii="Calibri" w:hAnsi="Calibri" w:cs="Calibri"/>
                <w:b/>
                <w:sz w:val="18"/>
                <w:szCs w:val="18"/>
              </w:rPr>
              <w:t>97,34</w:t>
            </w:r>
          </w:p>
        </w:tc>
        <w:tc>
          <w:tcPr>
            <w:tcW w:w="3405" w:type="dxa"/>
            <w:gridSpan w:val="24"/>
            <w:tcBorders>
              <w:top w:val="single" w:sz="4" w:space="0" w:color="auto"/>
              <w:left w:val="single" w:sz="4" w:space="0" w:color="auto"/>
              <w:bottom w:val="single" w:sz="4" w:space="0" w:color="auto"/>
              <w:right w:val="single" w:sz="4" w:space="0" w:color="auto"/>
            </w:tcBorders>
          </w:tcPr>
          <w:p w:rsidR="004922F5" w:rsidRPr="00C3047C" w:rsidRDefault="004922F5" w:rsidP="004922F5">
            <w:pPr>
              <w:rPr>
                <w:rFonts w:ascii="Calibri" w:hAnsi="Calibri" w:cs="Calibri"/>
                <w:b/>
                <w:sz w:val="18"/>
                <w:szCs w:val="18"/>
              </w:rPr>
            </w:pPr>
            <w:r w:rsidRPr="00C3047C">
              <w:rPr>
                <w:rFonts w:ascii="Calibri" w:hAnsi="Calibri" w:cs="Calibri"/>
                <w:b/>
                <w:sz w:val="18"/>
                <w:szCs w:val="18"/>
              </w:rPr>
              <w:t>Výdaje po konsolidaci</w:t>
            </w:r>
          </w:p>
        </w:tc>
      </w:tr>
      <w:tr w:rsidR="006E55BA" w:rsidRPr="006E55BA" w:rsidTr="00F815C3">
        <w:tblPrEx>
          <w:tblLook w:val="0000" w:firstRow="0" w:lastRow="0" w:firstColumn="0" w:lastColumn="0" w:noHBand="0" w:noVBand="0"/>
        </w:tblPrEx>
        <w:trPr>
          <w:gridAfter w:val="4"/>
          <w:wAfter w:w="938" w:type="dxa"/>
        </w:trPr>
        <w:tc>
          <w:tcPr>
            <w:tcW w:w="457" w:type="dxa"/>
            <w:gridSpan w:val="2"/>
          </w:tcPr>
          <w:p w:rsidR="00AC40AA" w:rsidRPr="006E55BA" w:rsidRDefault="00AC40AA" w:rsidP="00F315F1">
            <w:pPr>
              <w:rPr>
                <w:rFonts w:ascii="Calibri" w:hAnsi="Calibri" w:cs="Calibri"/>
                <w:b/>
                <w:color w:val="A6A6A6" w:themeColor="background1" w:themeShade="A6"/>
                <w:sz w:val="18"/>
                <w:szCs w:val="18"/>
              </w:rPr>
            </w:pPr>
          </w:p>
        </w:tc>
        <w:tc>
          <w:tcPr>
            <w:tcW w:w="457" w:type="dxa"/>
            <w:gridSpan w:val="2"/>
          </w:tcPr>
          <w:p w:rsidR="00AC40AA" w:rsidRPr="006E55BA" w:rsidRDefault="00AC40AA" w:rsidP="00F315F1">
            <w:pPr>
              <w:rPr>
                <w:rFonts w:ascii="Calibri" w:hAnsi="Calibri" w:cs="Calibri"/>
                <w:b/>
                <w:color w:val="A6A6A6" w:themeColor="background1" w:themeShade="A6"/>
                <w:sz w:val="18"/>
                <w:szCs w:val="18"/>
              </w:rPr>
            </w:pPr>
          </w:p>
        </w:tc>
        <w:tc>
          <w:tcPr>
            <w:tcW w:w="457" w:type="dxa"/>
          </w:tcPr>
          <w:p w:rsidR="00AC40AA" w:rsidRPr="006E55BA" w:rsidRDefault="00AC40AA" w:rsidP="00F315F1">
            <w:pPr>
              <w:rPr>
                <w:rFonts w:ascii="Calibri" w:hAnsi="Calibri" w:cs="Calibri"/>
                <w:b/>
                <w:color w:val="A6A6A6" w:themeColor="background1" w:themeShade="A6"/>
                <w:sz w:val="18"/>
                <w:szCs w:val="18"/>
              </w:rPr>
            </w:pPr>
          </w:p>
        </w:tc>
        <w:tc>
          <w:tcPr>
            <w:tcW w:w="459" w:type="dxa"/>
            <w:gridSpan w:val="2"/>
          </w:tcPr>
          <w:p w:rsidR="00AC40AA" w:rsidRPr="006E55BA" w:rsidRDefault="00AC40AA" w:rsidP="00F315F1">
            <w:pPr>
              <w:rPr>
                <w:rFonts w:ascii="Calibri" w:hAnsi="Calibri" w:cs="Calibri"/>
                <w:b/>
                <w:color w:val="A6A6A6" w:themeColor="background1" w:themeShade="A6"/>
                <w:sz w:val="18"/>
                <w:szCs w:val="18"/>
              </w:rPr>
            </w:pPr>
          </w:p>
        </w:tc>
        <w:tc>
          <w:tcPr>
            <w:tcW w:w="459" w:type="dxa"/>
          </w:tcPr>
          <w:p w:rsidR="00AC40AA" w:rsidRPr="006E55BA" w:rsidRDefault="00AC40AA" w:rsidP="00F315F1">
            <w:pPr>
              <w:rPr>
                <w:rFonts w:ascii="Calibri" w:hAnsi="Calibri" w:cs="Calibri"/>
                <w:b/>
                <w:color w:val="A6A6A6" w:themeColor="background1" w:themeShade="A6"/>
                <w:sz w:val="18"/>
                <w:szCs w:val="18"/>
              </w:rPr>
            </w:pPr>
          </w:p>
        </w:tc>
        <w:tc>
          <w:tcPr>
            <w:tcW w:w="956" w:type="dxa"/>
            <w:gridSpan w:val="2"/>
          </w:tcPr>
          <w:p w:rsidR="00AC40AA" w:rsidRPr="006E55BA" w:rsidRDefault="00AC40AA" w:rsidP="00F315F1">
            <w:pPr>
              <w:rPr>
                <w:rFonts w:ascii="Calibri" w:hAnsi="Calibri" w:cs="Calibri"/>
                <w:b/>
                <w:color w:val="A6A6A6" w:themeColor="background1" w:themeShade="A6"/>
                <w:sz w:val="18"/>
                <w:szCs w:val="18"/>
              </w:rPr>
            </w:pPr>
          </w:p>
        </w:tc>
        <w:tc>
          <w:tcPr>
            <w:tcW w:w="724" w:type="dxa"/>
            <w:gridSpan w:val="3"/>
          </w:tcPr>
          <w:p w:rsidR="00AC40AA" w:rsidRPr="008A7A07" w:rsidRDefault="00AC40AA" w:rsidP="00F315F1">
            <w:pPr>
              <w:rPr>
                <w:rFonts w:ascii="Calibri" w:hAnsi="Calibri" w:cs="Calibri"/>
                <w:b/>
                <w:sz w:val="18"/>
                <w:szCs w:val="18"/>
              </w:rPr>
            </w:pPr>
          </w:p>
        </w:tc>
        <w:tc>
          <w:tcPr>
            <w:tcW w:w="196" w:type="dxa"/>
          </w:tcPr>
          <w:p w:rsidR="00AC40AA" w:rsidRPr="008A7A07" w:rsidRDefault="00AC40AA" w:rsidP="00F315F1">
            <w:pPr>
              <w:rPr>
                <w:rFonts w:ascii="Calibri" w:hAnsi="Calibri" w:cs="Calibri"/>
                <w:b/>
                <w:sz w:val="18"/>
                <w:szCs w:val="18"/>
              </w:rPr>
            </w:pPr>
          </w:p>
        </w:tc>
        <w:tc>
          <w:tcPr>
            <w:tcW w:w="460" w:type="dxa"/>
            <w:gridSpan w:val="2"/>
          </w:tcPr>
          <w:p w:rsidR="00AC40AA" w:rsidRPr="008A7A07" w:rsidRDefault="00AC40AA" w:rsidP="00F315F1">
            <w:pPr>
              <w:rPr>
                <w:rFonts w:ascii="Calibri" w:hAnsi="Calibri" w:cs="Calibri"/>
                <w:b/>
                <w:sz w:val="18"/>
                <w:szCs w:val="18"/>
              </w:rPr>
            </w:pPr>
          </w:p>
        </w:tc>
        <w:tc>
          <w:tcPr>
            <w:tcW w:w="460" w:type="dxa"/>
            <w:gridSpan w:val="2"/>
          </w:tcPr>
          <w:p w:rsidR="00AC40AA" w:rsidRPr="008A7A07" w:rsidRDefault="00AC40AA" w:rsidP="00F315F1">
            <w:pPr>
              <w:rPr>
                <w:rFonts w:ascii="Calibri" w:hAnsi="Calibri" w:cs="Calibri"/>
                <w:b/>
                <w:sz w:val="18"/>
                <w:szCs w:val="18"/>
              </w:rPr>
            </w:pPr>
          </w:p>
        </w:tc>
        <w:tc>
          <w:tcPr>
            <w:tcW w:w="869" w:type="dxa"/>
            <w:gridSpan w:val="5"/>
          </w:tcPr>
          <w:p w:rsidR="00AC40AA" w:rsidRPr="008A7A07" w:rsidRDefault="00AC40AA" w:rsidP="00F315F1">
            <w:pPr>
              <w:rPr>
                <w:rFonts w:ascii="Calibri" w:hAnsi="Calibri" w:cs="Calibri"/>
                <w:b/>
                <w:sz w:val="18"/>
                <w:szCs w:val="18"/>
              </w:rPr>
            </w:pPr>
          </w:p>
        </w:tc>
        <w:tc>
          <w:tcPr>
            <w:tcW w:w="160" w:type="dxa"/>
            <w:gridSpan w:val="3"/>
          </w:tcPr>
          <w:p w:rsidR="00AC40AA" w:rsidRPr="006E55BA" w:rsidRDefault="00AC40AA" w:rsidP="00F315F1">
            <w:pPr>
              <w:rPr>
                <w:rFonts w:ascii="Calibri" w:hAnsi="Calibri" w:cs="Calibri"/>
                <w:b/>
                <w:color w:val="A6A6A6" w:themeColor="background1" w:themeShade="A6"/>
                <w:sz w:val="18"/>
                <w:szCs w:val="18"/>
              </w:rPr>
            </w:pPr>
          </w:p>
        </w:tc>
        <w:tc>
          <w:tcPr>
            <w:tcW w:w="460" w:type="dxa"/>
            <w:gridSpan w:val="4"/>
          </w:tcPr>
          <w:p w:rsidR="00AC40AA" w:rsidRPr="006E55BA" w:rsidRDefault="00AC40AA" w:rsidP="00F315F1">
            <w:pPr>
              <w:rPr>
                <w:rFonts w:ascii="Calibri" w:hAnsi="Calibri" w:cs="Calibri"/>
                <w:b/>
                <w:color w:val="A6A6A6" w:themeColor="background1" w:themeShade="A6"/>
                <w:sz w:val="18"/>
                <w:szCs w:val="18"/>
              </w:rPr>
            </w:pPr>
          </w:p>
        </w:tc>
        <w:tc>
          <w:tcPr>
            <w:tcW w:w="460" w:type="dxa"/>
          </w:tcPr>
          <w:p w:rsidR="00AC40AA" w:rsidRPr="006E55BA" w:rsidRDefault="00AC40AA" w:rsidP="00F315F1">
            <w:pPr>
              <w:rPr>
                <w:rFonts w:ascii="Calibri" w:hAnsi="Calibri" w:cs="Calibri"/>
                <w:b/>
                <w:color w:val="A6A6A6" w:themeColor="background1" w:themeShade="A6"/>
                <w:sz w:val="18"/>
                <w:szCs w:val="18"/>
              </w:rPr>
            </w:pPr>
          </w:p>
        </w:tc>
        <w:tc>
          <w:tcPr>
            <w:tcW w:w="460" w:type="dxa"/>
            <w:gridSpan w:val="3"/>
          </w:tcPr>
          <w:p w:rsidR="00AC40AA" w:rsidRPr="006E55BA" w:rsidRDefault="00AC40AA" w:rsidP="00F315F1">
            <w:pPr>
              <w:rPr>
                <w:rFonts w:ascii="Calibri" w:hAnsi="Calibri" w:cs="Calibri"/>
                <w:b/>
                <w:color w:val="A6A6A6" w:themeColor="background1" w:themeShade="A6"/>
                <w:sz w:val="18"/>
                <w:szCs w:val="18"/>
              </w:rPr>
            </w:pPr>
          </w:p>
        </w:tc>
        <w:tc>
          <w:tcPr>
            <w:tcW w:w="460" w:type="dxa"/>
            <w:gridSpan w:val="3"/>
          </w:tcPr>
          <w:p w:rsidR="00AC40AA" w:rsidRPr="006E55BA" w:rsidRDefault="00AC40AA" w:rsidP="00F315F1">
            <w:pPr>
              <w:rPr>
                <w:rFonts w:ascii="Calibri" w:hAnsi="Calibri" w:cs="Calibri"/>
                <w:b/>
                <w:color w:val="A6A6A6" w:themeColor="background1" w:themeShade="A6"/>
                <w:sz w:val="18"/>
                <w:szCs w:val="18"/>
              </w:rPr>
            </w:pPr>
          </w:p>
        </w:tc>
        <w:tc>
          <w:tcPr>
            <w:tcW w:w="460" w:type="dxa"/>
            <w:gridSpan w:val="3"/>
          </w:tcPr>
          <w:p w:rsidR="00AC40AA" w:rsidRPr="006E55BA" w:rsidRDefault="00AC40AA" w:rsidP="00F315F1">
            <w:pPr>
              <w:rPr>
                <w:rFonts w:ascii="Calibri" w:hAnsi="Calibri" w:cs="Calibri"/>
                <w:b/>
                <w:color w:val="A6A6A6" w:themeColor="background1" w:themeShade="A6"/>
                <w:sz w:val="18"/>
                <w:szCs w:val="18"/>
              </w:rPr>
            </w:pPr>
          </w:p>
        </w:tc>
        <w:tc>
          <w:tcPr>
            <w:tcW w:w="460" w:type="dxa"/>
            <w:gridSpan w:val="3"/>
          </w:tcPr>
          <w:p w:rsidR="00AC40AA" w:rsidRPr="006E55BA" w:rsidRDefault="00AC40AA" w:rsidP="00F315F1">
            <w:pPr>
              <w:rPr>
                <w:rFonts w:ascii="Calibri" w:hAnsi="Calibri" w:cs="Calibri"/>
                <w:b/>
                <w:color w:val="A6A6A6" w:themeColor="background1" w:themeShade="A6"/>
                <w:sz w:val="18"/>
                <w:szCs w:val="18"/>
              </w:rPr>
            </w:pPr>
          </w:p>
        </w:tc>
        <w:tc>
          <w:tcPr>
            <w:tcW w:w="460" w:type="dxa"/>
            <w:gridSpan w:val="3"/>
          </w:tcPr>
          <w:p w:rsidR="00AC40AA" w:rsidRPr="006E55BA" w:rsidRDefault="00AC40AA" w:rsidP="00F315F1">
            <w:pPr>
              <w:rPr>
                <w:rFonts w:ascii="Calibri" w:hAnsi="Calibri" w:cs="Calibri"/>
                <w:b/>
                <w:color w:val="A6A6A6" w:themeColor="background1" w:themeShade="A6"/>
                <w:sz w:val="18"/>
                <w:szCs w:val="18"/>
              </w:rPr>
            </w:pPr>
          </w:p>
        </w:tc>
        <w:tc>
          <w:tcPr>
            <w:tcW w:w="556" w:type="dxa"/>
            <w:gridSpan w:val="8"/>
          </w:tcPr>
          <w:p w:rsidR="00AC40AA" w:rsidRPr="006E55BA" w:rsidRDefault="00AC40AA" w:rsidP="00F315F1">
            <w:pPr>
              <w:rPr>
                <w:rFonts w:ascii="Calibri" w:hAnsi="Calibri" w:cs="Calibri"/>
                <w:b/>
                <w:color w:val="A6A6A6" w:themeColor="background1" w:themeShade="A6"/>
                <w:sz w:val="18"/>
                <w:szCs w:val="18"/>
              </w:rPr>
            </w:pPr>
          </w:p>
        </w:tc>
      </w:tr>
      <w:tr w:rsidR="006E55BA" w:rsidRPr="006E55BA" w:rsidTr="00F815C3">
        <w:tblPrEx>
          <w:tblLook w:val="0000" w:firstRow="0" w:lastRow="0" w:firstColumn="0" w:lastColumn="0" w:noHBand="0" w:noVBand="0"/>
        </w:tblPrEx>
        <w:trPr>
          <w:gridAfter w:val="8"/>
          <w:wAfter w:w="1047" w:type="dxa"/>
        </w:trPr>
        <w:tc>
          <w:tcPr>
            <w:tcW w:w="9781" w:type="dxa"/>
            <w:gridSpan w:val="50"/>
            <w:tcBorders>
              <w:bottom w:val="single" w:sz="4" w:space="0" w:color="auto"/>
            </w:tcBorders>
          </w:tcPr>
          <w:p w:rsidR="00AC40AA" w:rsidRPr="009552CD" w:rsidRDefault="00AC40AA" w:rsidP="00C55ACB">
            <w:pPr>
              <w:jc w:val="both"/>
              <w:rPr>
                <w:rFonts w:ascii="Calibri" w:hAnsi="Calibri" w:cs="Calibri"/>
                <w:b/>
                <w:sz w:val="18"/>
                <w:szCs w:val="18"/>
              </w:rPr>
            </w:pPr>
            <w:r w:rsidRPr="009552CD">
              <w:rPr>
                <w:rFonts w:ascii="Calibri" w:hAnsi="Calibri" w:cs="Calibri"/>
                <w:b/>
                <w:sz w:val="20"/>
                <w:szCs w:val="20"/>
              </w:rPr>
              <w:t>Komentář k položkám (akcím), které vykázaly abnormalitu v řádném čerp</w:t>
            </w:r>
            <w:r w:rsidR="00C55ACB">
              <w:rPr>
                <w:rFonts w:ascii="Calibri" w:hAnsi="Calibri" w:cs="Calibri"/>
                <w:b/>
                <w:sz w:val="20"/>
                <w:szCs w:val="20"/>
              </w:rPr>
              <w:t>ání výdajů rozpočtu kapitoly ve </w:t>
            </w:r>
            <w:r w:rsidRPr="009552CD">
              <w:rPr>
                <w:rFonts w:ascii="Calibri" w:hAnsi="Calibri" w:cs="Calibri"/>
                <w:b/>
                <w:sz w:val="20"/>
                <w:szCs w:val="20"/>
              </w:rPr>
              <w:t>sledovaném období</w:t>
            </w:r>
          </w:p>
        </w:tc>
      </w:tr>
      <w:tr w:rsidR="006E55BA" w:rsidRPr="006E55BA" w:rsidTr="00F815C3">
        <w:tblPrEx>
          <w:tblLook w:val="0000" w:firstRow="0" w:lastRow="0" w:firstColumn="0" w:lastColumn="0" w:noHBand="0" w:noVBand="0"/>
        </w:tblPrEx>
        <w:trPr>
          <w:gridAfter w:val="8"/>
          <w:wAfter w:w="1047" w:type="dxa"/>
        </w:trPr>
        <w:tc>
          <w:tcPr>
            <w:tcW w:w="779"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AC40AA" w:rsidRPr="009552CD" w:rsidRDefault="00AC40AA" w:rsidP="00F315F1">
            <w:pPr>
              <w:jc w:val="center"/>
              <w:rPr>
                <w:rFonts w:ascii="Calibri" w:hAnsi="Calibri" w:cs="Calibri"/>
                <w:b/>
                <w:sz w:val="18"/>
                <w:szCs w:val="18"/>
              </w:rPr>
            </w:pPr>
            <w:r w:rsidRPr="009552CD">
              <w:rPr>
                <w:rFonts w:ascii="Calibri" w:hAnsi="Calibri" w:cs="Calibri"/>
                <w:b/>
                <w:sz w:val="18"/>
                <w:szCs w:val="18"/>
              </w:rPr>
              <w:t>Oddíl, paragraf</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AC40AA" w:rsidRPr="009552CD" w:rsidRDefault="00AC40AA" w:rsidP="00F315F1">
            <w:pPr>
              <w:jc w:val="center"/>
              <w:rPr>
                <w:rFonts w:ascii="Calibri" w:hAnsi="Calibri" w:cs="Calibri"/>
                <w:b/>
                <w:sz w:val="18"/>
                <w:szCs w:val="18"/>
              </w:rPr>
            </w:pPr>
            <w:r w:rsidRPr="009552CD">
              <w:rPr>
                <w:rFonts w:ascii="Calibri" w:hAnsi="Calibri" w:cs="Calibri"/>
                <w:b/>
                <w:sz w:val="18"/>
                <w:szCs w:val="18"/>
              </w:rPr>
              <w:t>Položka</w:t>
            </w:r>
          </w:p>
        </w:tc>
        <w:tc>
          <w:tcPr>
            <w:tcW w:w="1489"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AC40AA" w:rsidRPr="009552CD" w:rsidRDefault="00AC40AA" w:rsidP="00F315F1">
            <w:pPr>
              <w:jc w:val="center"/>
              <w:rPr>
                <w:rFonts w:ascii="Calibri" w:hAnsi="Calibri" w:cs="Calibri"/>
                <w:b/>
                <w:sz w:val="18"/>
                <w:szCs w:val="18"/>
              </w:rPr>
            </w:pPr>
            <w:r w:rsidRPr="009552CD">
              <w:rPr>
                <w:rFonts w:ascii="Calibri" w:hAnsi="Calibri" w:cs="Calibri"/>
                <w:b/>
                <w:sz w:val="18"/>
                <w:szCs w:val="18"/>
              </w:rPr>
              <w:t>Organizace</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AC40AA" w:rsidRPr="009552CD" w:rsidRDefault="009552CD" w:rsidP="00F315F1">
            <w:pPr>
              <w:jc w:val="center"/>
              <w:rPr>
                <w:rFonts w:ascii="Calibri" w:hAnsi="Calibri" w:cs="Calibri"/>
                <w:b/>
                <w:sz w:val="18"/>
                <w:szCs w:val="18"/>
              </w:rPr>
            </w:pPr>
            <w:r>
              <w:rPr>
                <w:rFonts w:ascii="Calibri" w:hAnsi="Calibri" w:cs="Calibri"/>
                <w:b/>
                <w:sz w:val="18"/>
                <w:szCs w:val="18"/>
              </w:rPr>
              <w:t>Účel.</w:t>
            </w:r>
            <w:r w:rsidR="00AC40AA" w:rsidRPr="009552CD">
              <w:rPr>
                <w:rFonts w:ascii="Calibri" w:hAnsi="Calibri" w:cs="Calibri"/>
                <w:b/>
                <w:sz w:val="18"/>
                <w:szCs w:val="18"/>
              </w:rPr>
              <w:t xml:space="preserve"> zdroj</w:t>
            </w:r>
          </w:p>
        </w:tc>
        <w:tc>
          <w:tcPr>
            <w:tcW w:w="993"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AC40AA" w:rsidRPr="009552CD" w:rsidRDefault="00CE5942" w:rsidP="00F315F1">
            <w:pPr>
              <w:jc w:val="center"/>
              <w:rPr>
                <w:rFonts w:ascii="Calibri" w:hAnsi="Calibri" w:cs="Calibri"/>
                <w:b/>
                <w:sz w:val="18"/>
                <w:szCs w:val="18"/>
              </w:rPr>
            </w:pPr>
            <w:r>
              <w:rPr>
                <w:rFonts w:ascii="Calibri" w:hAnsi="Calibri" w:cs="Calibri"/>
                <w:b/>
                <w:sz w:val="18"/>
                <w:szCs w:val="18"/>
              </w:rPr>
              <w:t>UR</w:t>
            </w:r>
            <w:r w:rsidR="00AC40AA" w:rsidRPr="009552CD">
              <w:rPr>
                <w:rFonts w:ascii="Calibri" w:hAnsi="Calibri" w:cs="Calibri"/>
                <w:b/>
                <w:sz w:val="18"/>
                <w:szCs w:val="18"/>
              </w:rPr>
              <w:t xml:space="preserve"> v tis. Kč</w:t>
            </w:r>
          </w:p>
        </w:tc>
        <w:tc>
          <w:tcPr>
            <w:tcW w:w="992"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AC40AA" w:rsidRPr="009552CD" w:rsidRDefault="00AC40AA" w:rsidP="00F315F1">
            <w:pPr>
              <w:jc w:val="center"/>
              <w:rPr>
                <w:rFonts w:ascii="Calibri" w:hAnsi="Calibri" w:cs="Calibri"/>
                <w:b/>
                <w:sz w:val="18"/>
                <w:szCs w:val="18"/>
              </w:rPr>
            </w:pPr>
            <w:r w:rsidRPr="009552CD">
              <w:rPr>
                <w:rFonts w:ascii="Calibri" w:hAnsi="Calibri" w:cs="Calibri"/>
                <w:b/>
                <w:sz w:val="18"/>
                <w:szCs w:val="18"/>
              </w:rPr>
              <w:t>Skutečnost v tis. Kč</w:t>
            </w:r>
          </w:p>
        </w:tc>
        <w:tc>
          <w:tcPr>
            <w:tcW w:w="3827" w:type="dxa"/>
            <w:gridSpan w:val="27"/>
            <w:tcBorders>
              <w:top w:val="single" w:sz="4" w:space="0" w:color="auto"/>
              <w:left w:val="single" w:sz="4" w:space="0" w:color="auto"/>
              <w:bottom w:val="single" w:sz="4" w:space="0" w:color="auto"/>
              <w:right w:val="single" w:sz="4" w:space="0" w:color="auto"/>
            </w:tcBorders>
            <w:shd w:val="clear" w:color="auto" w:fill="FFFF00"/>
            <w:vAlign w:val="center"/>
          </w:tcPr>
          <w:p w:rsidR="00AC40AA" w:rsidRPr="009552CD" w:rsidRDefault="00AC40AA" w:rsidP="00F315F1">
            <w:pPr>
              <w:jc w:val="center"/>
              <w:rPr>
                <w:rFonts w:ascii="Calibri" w:hAnsi="Calibri" w:cs="Calibri"/>
                <w:b/>
                <w:sz w:val="18"/>
                <w:szCs w:val="18"/>
              </w:rPr>
            </w:pPr>
            <w:r w:rsidRPr="009552CD">
              <w:rPr>
                <w:rFonts w:ascii="Calibri" w:hAnsi="Calibri" w:cs="Calibri"/>
                <w:b/>
                <w:sz w:val="18"/>
                <w:szCs w:val="18"/>
              </w:rPr>
              <w:t>Komentář</w:t>
            </w:r>
          </w:p>
        </w:tc>
      </w:tr>
      <w:tr w:rsidR="00406D32" w:rsidRPr="006E55BA" w:rsidTr="00F815C3">
        <w:tblPrEx>
          <w:tblLook w:val="0000" w:firstRow="0" w:lastRow="0" w:firstColumn="0" w:lastColumn="0" w:noHBand="0" w:noVBand="0"/>
        </w:tblPrEx>
        <w:trPr>
          <w:gridAfter w:val="8"/>
          <w:wAfter w:w="1047" w:type="dxa"/>
          <w:trHeight w:val="559"/>
        </w:trPr>
        <w:tc>
          <w:tcPr>
            <w:tcW w:w="779" w:type="dxa"/>
            <w:gridSpan w:val="3"/>
            <w:tcBorders>
              <w:top w:val="single" w:sz="4" w:space="0" w:color="auto"/>
              <w:left w:val="single" w:sz="4" w:space="0" w:color="auto"/>
              <w:bottom w:val="single" w:sz="4" w:space="0" w:color="auto"/>
              <w:right w:val="single" w:sz="4" w:space="0" w:color="auto"/>
            </w:tcBorders>
          </w:tcPr>
          <w:p w:rsidR="00406D32" w:rsidRPr="00406D32" w:rsidRDefault="00406D32" w:rsidP="00406D32">
            <w:pPr>
              <w:jc w:val="center"/>
              <w:rPr>
                <w:rFonts w:asciiTheme="minorHAnsi" w:hAnsiTheme="minorHAnsi" w:cstheme="minorHAnsi"/>
                <w:sz w:val="18"/>
                <w:szCs w:val="18"/>
              </w:rPr>
            </w:pPr>
            <w:r w:rsidRPr="00406D32">
              <w:rPr>
                <w:rFonts w:asciiTheme="minorHAnsi" w:hAnsiTheme="minorHAnsi" w:cstheme="minorHAnsi"/>
                <w:sz w:val="18"/>
                <w:szCs w:val="18"/>
              </w:rPr>
              <w:t>6112</w:t>
            </w:r>
          </w:p>
        </w:tc>
        <w:tc>
          <w:tcPr>
            <w:tcW w:w="851" w:type="dxa"/>
            <w:gridSpan w:val="3"/>
            <w:tcBorders>
              <w:top w:val="single" w:sz="4" w:space="0" w:color="auto"/>
              <w:left w:val="single" w:sz="4" w:space="0" w:color="auto"/>
              <w:bottom w:val="single" w:sz="4" w:space="0" w:color="auto"/>
              <w:right w:val="single" w:sz="4" w:space="0" w:color="auto"/>
            </w:tcBorders>
          </w:tcPr>
          <w:p w:rsidR="00406D32" w:rsidRPr="00406D32" w:rsidRDefault="00406D32" w:rsidP="00406D32">
            <w:pPr>
              <w:jc w:val="center"/>
              <w:rPr>
                <w:rFonts w:asciiTheme="minorHAnsi" w:hAnsiTheme="minorHAnsi" w:cstheme="minorHAnsi"/>
                <w:sz w:val="18"/>
                <w:szCs w:val="18"/>
              </w:rPr>
            </w:pPr>
            <w:r w:rsidRPr="00406D32">
              <w:rPr>
                <w:rFonts w:asciiTheme="minorHAnsi" w:hAnsiTheme="minorHAnsi" w:cstheme="minorHAnsi"/>
                <w:sz w:val="18"/>
                <w:szCs w:val="18"/>
              </w:rPr>
              <w:t>5173</w:t>
            </w:r>
          </w:p>
        </w:tc>
        <w:tc>
          <w:tcPr>
            <w:tcW w:w="1489" w:type="dxa"/>
            <w:gridSpan w:val="3"/>
            <w:tcBorders>
              <w:top w:val="single" w:sz="4" w:space="0" w:color="auto"/>
              <w:left w:val="single" w:sz="4" w:space="0" w:color="auto"/>
              <w:bottom w:val="single" w:sz="4" w:space="0" w:color="auto"/>
              <w:right w:val="single" w:sz="4" w:space="0" w:color="auto"/>
            </w:tcBorders>
          </w:tcPr>
          <w:p w:rsidR="00406D32" w:rsidRPr="00406D32" w:rsidRDefault="00C55ACB" w:rsidP="00406D32">
            <w:pPr>
              <w:jc w:val="center"/>
              <w:rPr>
                <w:rFonts w:asciiTheme="minorHAnsi" w:hAnsiTheme="minorHAnsi" w:cstheme="minorHAnsi"/>
                <w:sz w:val="18"/>
                <w:szCs w:val="18"/>
              </w:rPr>
            </w:pPr>
            <w:r>
              <w:rPr>
                <w:rFonts w:asciiTheme="minorHAnsi" w:hAnsiTheme="minorHAnsi" w:cstheme="minorHAnsi"/>
                <w:sz w:val="18"/>
                <w:szCs w:val="18"/>
              </w:rPr>
              <w:t>011</w:t>
            </w:r>
            <w:r w:rsidR="00406D32" w:rsidRPr="00406D32">
              <w:rPr>
                <w:rFonts w:asciiTheme="minorHAnsi" w:hAnsiTheme="minorHAnsi" w:cstheme="minorHAnsi"/>
                <w:sz w:val="18"/>
                <w:szCs w:val="18"/>
              </w:rPr>
              <w:t>000000</w:t>
            </w:r>
            <w:r>
              <w:rPr>
                <w:rFonts w:asciiTheme="minorHAnsi" w:hAnsiTheme="minorHAnsi" w:cstheme="minorHAnsi"/>
                <w:sz w:val="18"/>
                <w:szCs w:val="18"/>
              </w:rPr>
              <w:t>0000</w:t>
            </w:r>
          </w:p>
        </w:tc>
        <w:tc>
          <w:tcPr>
            <w:tcW w:w="850" w:type="dxa"/>
            <w:gridSpan w:val="4"/>
            <w:tcBorders>
              <w:top w:val="single" w:sz="4" w:space="0" w:color="auto"/>
              <w:left w:val="single" w:sz="4" w:space="0" w:color="auto"/>
              <w:bottom w:val="single" w:sz="4" w:space="0" w:color="auto"/>
              <w:right w:val="single" w:sz="4" w:space="0" w:color="auto"/>
            </w:tcBorders>
          </w:tcPr>
          <w:p w:rsidR="00406D32" w:rsidRPr="00406D32" w:rsidRDefault="00406D32" w:rsidP="00406D32">
            <w:pPr>
              <w:jc w:val="center"/>
              <w:rPr>
                <w:rFonts w:asciiTheme="minorHAnsi" w:hAnsiTheme="minorHAnsi" w:cstheme="minorHAnsi"/>
                <w:sz w:val="18"/>
                <w:szCs w:val="18"/>
              </w:rPr>
            </w:pPr>
            <w:r w:rsidRPr="00406D32">
              <w:rPr>
                <w:rFonts w:asciiTheme="minorHAnsi" w:hAnsiTheme="minorHAnsi" w:cstheme="minorHAnsi"/>
                <w:sz w:val="18"/>
                <w:szCs w:val="18"/>
              </w:rPr>
              <w:t>00000</w:t>
            </w:r>
          </w:p>
        </w:tc>
        <w:tc>
          <w:tcPr>
            <w:tcW w:w="993" w:type="dxa"/>
            <w:gridSpan w:val="4"/>
            <w:tcBorders>
              <w:top w:val="single" w:sz="4" w:space="0" w:color="auto"/>
              <w:left w:val="single" w:sz="4" w:space="0" w:color="auto"/>
              <w:bottom w:val="single" w:sz="4" w:space="0" w:color="auto"/>
              <w:right w:val="single" w:sz="4" w:space="0" w:color="auto"/>
            </w:tcBorders>
          </w:tcPr>
          <w:p w:rsidR="00406D32" w:rsidRPr="00406D32" w:rsidRDefault="00C55ACB" w:rsidP="00406D32">
            <w:pPr>
              <w:jc w:val="right"/>
              <w:rPr>
                <w:rFonts w:asciiTheme="minorHAnsi" w:hAnsiTheme="minorHAnsi" w:cstheme="minorHAnsi"/>
                <w:sz w:val="18"/>
                <w:szCs w:val="18"/>
              </w:rPr>
            </w:pPr>
            <w:r>
              <w:rPr>
                <w:rFonts w:asciiTheme="minorHAnsi" w:hAnsiTheme="minorHAnsi" w:cstheme="minorHAnsi"/>
                <w:sz w:val="18"/>
                <w:szCs w:val="18"/>
              </w:rPr>
              <w:t>20,00</w:t>
            </w:r>
          </w:p>
        </w:tc>
        <w:tc>
          <w:tcPr>
            <w:tcW w:w="992" w:type="dxa"/>
            <w:gridSpan w:val="6"/>
            <w:tcBorders>
              <w:top w:val="single" w:sz="4" w:space="0" w:color="auto"/>
              <w:left w:val="single" w:sz="4" w:space="0" w:color="auto"/>
              <w:bottom w:val="single" w:sz="4" w:space="0" w:color="auto"/>
              <w:right w:val="single" w:sz="4" w:space="0" w:color="auto"/>
            </w:tcBorders>
          </w:tcPr>
          <w:p w:rsidR="00406D32" w:rsidRPr="00406D32" w:rsidRDefault="00406D32" w:rsidP="00C55ACB">
            <w:pPr>
              <w:jc w:val="right"/>
              <w:rPr>
                <w:rFonts w:asciiTheme="minorHAnsi" w:hAnsiTheme="minorHAnsi" w:cstheme="minorHAnsi"/>
                <w:sz w:val="18"/>
                <w:szCs w:val="18"/>
              </w:rPr>
            </w:pPr>
            <w:r w:rsidRPr="00406D32">
              <w:rPr>
                <w:rFonts w:asciiTheme="minorHAnsi" w:hAnsiTheme="minorHAnsi" w:cstheme="minorHAnsi"/>
                <w:sz w:val="18"/>
                <w:szCs w:val="18"/>
              </w:rPr>
              <w:t>2,</w:t>
            </w:r>
            <w:r w:rsidR="00C55ACB">
              <w:rPr>
                <w:rFonts w:asciiTheme="minorHAnsi" w:hAnsiTheme="minorHAnsi" w:cstheme="minorHAnsi"/>
                <w:sz w:val="18"/>
                <w:szCs w:val="18"/>
              </w:rPr>
              <w:t>78</w:t>
            </w:r>
          </w:p>
        </w:tc>
        <w:tc>
          <w:tcPr>
            <w:tcW w:w="3827" w:type="dxa"/>
            <w:gridSpan w:val="27"/>
            <w:tcBorders>
              <w:top w:val="single" w:sz="4" w:space="0" w:color="auto"/>
              <w:left w:val="single" w:sz="4" w:space="0" w:color="auto"/>
              <w:bottom w:val="single" w:sz="4" w:space="0" w:color="auto"/>
              <w:right w:val="single" w:sz="4" w:space="0" w:color="auto"/>
            </w:tcBorders>
          </w:tcPr>
          <w:p w:rsidR="00406D32" w:rsidRPr="00406D32" w:rsidRDefault="00406D32" w:rsidP="00406D32">
            <w:pPr>
              <w:rPr>
                <w:rFonts w:asciiTheme="minorHAnsi" w:hAnsiTheme="minorHAnsi" w:cstheme="minorHAnsi"/>
                <w:b/>
                <w:sz w:val="18"/>
                <w:szCs w:val="18"/>
                <w:u w:val="single"/>
              </w:rPr>
            </w:pPr>
            <w:r w:rsidRPr="00406D32">
              <w:rPr>
                <w:rFonts w:asciiTheme="minorHAnsi" w:hAnsiTheme="minorHAnsi" w:cstheme="minorHAnsi"/>
                <w:b/>
                <w:sz w:val="18"/>
                <w:szCs w:val="18"/>
                <w:u w:val="single"/>
              </w:rPr>
              <w:t>Cestovné (zastupitelstva obcí)</w:t>
            </w:r>
          </w:p>
          <w:p w:rsidR="00406D32" w:rsidRPr="00406D32" w:rsidRDefault="00406D32" w:rsidP="00406D32">
            <w:pPr>
              <w:rPr>
                <w:rFonts w:asciiTheme="minorHAnsi" w:hAnsiTheme="minorHAnsi" w:cstheme="minorHAnsi"/>
                <w:sz w:val="18"/>
                <w:szCs w:val="18"/>
              </w:rPr>
            </w:pPr>
            <w:r w:rsidRPr="00406D32">
              <w:rPr>
                <w:rFonts w:asciiTheme="minorHAnsi" w:hAnsiTheme="minorHAnsi" w:cstheme="minorHAnsi"/>
                <w:sz w:val="18"/>
                <w:szCs w:val="18"/>
              </w:rPr>
              <w:t xml:space="preserve">Čerpání výdajů nelze předem přesně vyčíslit. V průběhu roku vyvstala potřeba výdajů za realizované služební cesty zastupitelů pouze ve výši uvedeného čerpání na položce. </w:t>
            </w:r>
          </w:p>
        </w:tc>
      </w:tr>
      <w:tr w:rsidR="00406D32" w:rsidRPr="006E55BA" w:rsidTr="00F815C3">
        <w:tblPrEx>
          <w:tblLook w:val="0000" w:firstRow="0" w:lastRow="0" w:firstColumn="0" w:lastColumn="0" w:noHBand="0" w:noVBand="0"/>
        </w:tblPrEx>
        <w:trPr>
          <w:gridAfter w:val="8"/>
          <w:wAfter w:w="1047" w:type="dxa"/>
          <w:trHeight w:val="542"/>
        </w:trPr>
        <w:tc>
          <w:tcPr>
            <w:tcW w:w="779" w:type="dxa"/>
            <w:gridSpan w:val="3"/>
            <w:tcBorders>
              <w:top w:val="single" w:sz="4" w:space="0" w:color="auto"/>
              <w:left w:val="single" w:sz="4" w:space="0" w:color="auto"/>
              <w:bottom w:val="single" w:sz="4" w:space="0" w:color="auto"/>
              <w:right w:val="single" w:sz="4" w:space="0" w:color="auto"/>
            </w:tcBorders>
          </w:tcPr>
          <w:p w:rsidR="00406D32" w:rsidRPr="00406D32" w:rsidRDefault="00406D32" w:rsidP="00516C0D">
            <w:pPr>
              <w:jc w:val="center"/>
              <w:rPr>
                <w:rFonts w:asciiTheme="minorHAnsi" w:hAnsiTheme="minorHAnsi" w:cstheme="minorHAnsi"/>
                <w:sz w:val="18"/>
                <w:szCs w:val="18"/>
              </w:rPr>
            </w:pPr>
            <w:r w:rsidRPr="00406D32">
              <w:rPr>
                <w:rFonts w:asciiTheme="minorHAnsi" w:hAnsiTheme="minorHAnsi" w:cstheme="minorHAnsi"/>
                <w:sz w:val="18"/>
                <w:szCs w:val="18"/>
              </w:rPr>
              <w:t>611</w:t>
            </w:r>
            <w:r w:rsidR="00516C0D">
              <w:rPr>
                <w:rFonts w:asciiTheme="minorHAnsi" w:hAnsiTheme="minorHAnsi" w:cstheme="minorHAnsi"/>
                <w:sz w:val="18"/>
                <w:szCs w:val="18"/>
              </w:rPr>
              <w:t>5</w:t>
            </w:r>
          </w:p>
        </w:tc>
        <w:tc>
          <w:tcPr>
            <w:tcW w:w="851" w:type="dxa"/>
            <w:gridSpan w:val="3"/>
            <w:tcBorders>
              <w:top w:val="single" w:sz="4" w:space="0" w:color="auto"/>
              <w:left w:val="single" w:sz="4" w:space="0" w:color="auto"/>
              <w:bottom w:val="single" w:sz="4" w:space="0" w:color="auto"/>
              <w:right w:val="single" w:sz="4" w:space="0" w:color="auto"/>
            </w:tcBorders>
          </w:tcPr>
          <w:p w:rsidR="00406D32" w:rsidRPr="00406D32" w:rsidRDefault="00516C0D" w:rsidP="00406D32">
            <w:pPr>
              <w:jc w:val="center"/>
              <w:rPr>
                <w:rFonts w:asciiTheme="minorHAnsi" w:hAnsiTheme="minorHAnsi" w:cstheme="minorHAnsi"/>
                <w:sz w:val="18"/>
                <w:szCs w:val="18"/>
              </w:rPr>
            </w:pPr>
            <w:r>
              <w:rPr>
                <w:rFonts w:asciiTheme="minorHAnsi" w:hAnsiTheme="minorHAnsi" w:cstheme="minorHAnsi"/>
                <w:sz w:val="18"/>
                <w:szCs w:val="18"/>
              </w:rPr>
              <w:t>5019 - 5169</w:t>
            </w:r>
          </w:p>
        </w:tc>
        <w:tc>
          <w:tcPr>
            <w:tcW w:w="1489" w:type="dxa"/>
            <w:gridSpan w:val="3"/>
            <w:tcBorders>
              <w:top w:val="single" w:sz="4" w:space="0" w:color="auto"/>
              <w:left w:val="single" w:sz="4" w:space="0" w:color="auto"/>
              <w:bottom w:val="single" w:sz="4" w:space="0" w:color="auto"/>
              <w:right w:val="single" w:sz="4" w:space="0" w:color="auto"/>
            </w:tcBorders>
          </w:tcPr>
          <w:p w:rsidR="00406D32" w:rsidRPr="00406D32" w:rsidRDefault="00516C0D" w:rsidP="00406D32">
            <w:pPr>
              <w:jc w:val="center"/>
              <w:rPr>
                <w:rFonts w:asciiTheme="minorHAnsi" w:hAnsiTheme="minorHAnsi" w:cstheme="minorHAnsi"/>
                <w:sz w:val="18"/>
                <w:szCs w:val="18"/>
              </w:rPr>
            </w:pPr>
            <w:r>
              <w:rPr>
                <w:rFonts w:asciiTheme="minorHAnsi" w:hAnsiTheme="minorHAnsi" w:cstheme="minorHAnsi"/>
                <w:sz w:val="18"/>
                <w:szCs w:val="18"/>
              </w:rPr>
              <w:t>011</w:t>
            </w:r>
            <w:r w:rsidRPr="00406D32">
              <w:rPr>
                <w:rFonts w:asciiTheme="minorHAnsi" w:hAnsiTheme="minorHAnsi" w:cstheme="minorHAnsi"/>
                <w:sz w:val="18"/>
                <w:szCs w:val="18"/>
              </w:rPr>
              <w:t>000000</w:t>
            </w:r>
            <w:r>
              <w:rPr>
                <w:rFonts w:asciiTheme="minorHAnsi" w:hAnsiTheme="minorHAnsi" w:cstheme="minorHAnsi"/>
                <w:sz w:val="18"/>
                <w:szCs w:val="18"/>
              </w:rPr>
              <w:t>0000</w:t>
            </w:r>
          </w:p>
        </w:tc>
        <w:tc>
          <w:tcPr>
            <w:tcW w:w="850" w:type="dxa"/>
            <w:gridSpan w:val="4"/>
            <w:tcBorders>
              <w:top w:val="single" w:sz="4" w:space="0" w:color="auto"/>
              <w:left w:val="single" w:sz="4" w:space="0" w:color="auto"/>
              <w:bottom w:val="single" w:sz="4" w:space="0" w:color="auto"/>
              <w:right w:val="single" w:sz="4" w:space="0" w:color="auto"/>
            </w:tcBorders>
          </w:tcPr>
          <w:p w:rsidR="00406D32" w:rsidRPr="00406D32" w:rsidRDefault="00406D32" w:rsidP="00516C0D">
            <w:pPr>
              <w:jc w:val="center"/>
              <w:rPr>
                <w:rFonts w:asciiTheme="minorHAnsi" w:hAnsiTheme="minorHAnsi" w:cstheme="minorHAnsi"/>
                <w:sz w:val="18"/>
                <w:szCs w:val="18"/>
              </w:rPr>
            </w:pPr>
            <w:r w:rsidRPr="00406D32">
              <w:rPr>
                <w:rFonts w:asciiTheme="minorHAnsi" w:hAnsiTheme="minorHAnsi" w:cstheme="minorHAnsi"/>
                <w:sz w:val="18"/>
                <w:szCs w:val="18"/>
              </w:rPr>
              <w:t>98</w:t>
            </w:r>
            <w:r w:rsidR="00516C0D">
              <w:rPr>
                <w:rFonts w:asciiTheme="minorHAnsi" w:hAnsiTheme="minorHAnsi" w:cstheme="minorHAnsi"/>
                <w:sz w:val="18"/>
                <w:szCs w:val="18"/>
              </w:rPr>
              <w:t>187</w:t>
            </w:r>
          </w:p>
        </w:tc>
        <w:tc>
          <w:tcPr>
            <w:tcW w:w="993" w:type="dxa"/>
            <w:gridSpan w:val="4"/>
            <w:tcBorders>
              <w:top w:val="single" w:sz="4" w:space="0" w:color="auto"/>
              <w:left w:val="single" w:sz="4" w:space="0" w:color="auto"/>
              <w:bottom w:val="single" w:sz="4" w:space="0" w:color="auto"/>
              <w:right w:val="single" w:sz="4" w:space="0" w:color="auto"/>
            </w:tcBorders>
          </w:tcPr>
          <w:p w:rsidR="00406D32" w:rsidRPr="00406D32" w:rsidRDefault="00516C0D" w:rsidP="00406D32">
            <w:pPr>
              <w:jc w:val="right"/>
              <w:rPr>
                <w:rFonts w:asciiTheme="minorHAnsi" w:hAnsiTheme="minorHAnsi" w:cstheme="minorHAnsi"/>
                <w:sz w:val="18"/>
                <w:szCs w:val="18"/>
              </w:rPr>
            </w:pPr>
            <w:r>
              <w:rPr>
                <w:rFonts w:asciiTheme="minorHAnsi" w:hAnsiTheme="minorHAnsi" w:cstheme="minorHAnsi"/>
                <w:sz w:val="18"/>
                <w:szCs w:val="18"/>
              </w:rPr>
              <w:t>1 428</w:t>
            </w:r>
            <w:r w:rsidR="00406D32" w:rsidRPr="00406D32">
              <w:rPr>
                <w:rFonts w:asciiTheme="minorHAnsi" w:hAnsiTheme="minorHAnsi" w:cstheme="minorHAnsi"/>
                <w:sz w:val="18"/>
                <w:szCs w:val="18"/>
              </w:rPr>
              <w:t>,00</w:t>
            </w:r>
          </w:p>
        </w:tc>
        <w:tc>
          <w:tcPr>
            <w:tcW w:w="992" w:type="dxa"/>
            <w:gridSpan w:val="6"/>
            <w:tcBorders>
              <w:top w:val="single" w:sz="4" w:space="0" w:color="auto"/>
              <w:left w:val="single" w:sz="4" w:space="0" w:color="auto"/>
              <w:bottom w:val="single" w:sz="4" w:space="0" w:color="auto"/>
              <w:right w:val="single" w:sz="4" w:space="0" w:color="auto"/>
            </w:tcBorders>
          </w:tcPr>
          <w:p w:rsidR="00406D32" w:rsidRPr="00406D32" w:rsidRDefault="00516C0D" w:rsidP="00406D32">
            <w:pPr>
              <w:jc w:val="right"/>
              <w:rPr>
                <w:rFonts w:asciiTheme="minorHAnsi" w:hAnsiTheme="minorHAnsi" w:cstheme="minorHAnsi"/>
                <w:sz w:val="18"/>
                <w:szCs w:val="18"/>
              </w:rPr>
            </w:pPr>
            <w:r>
              <w:rPr>
                <w:rFonts w:asciiTheme="minorHAnsi" w:hAnsiTheme="minorHAnsi" w:cstheme="minorHAnsi"/>
                <w:sz w:val="18"/>
                <w:szCs w:val="18"/>
              </w:rPr>
              <w:t>1 475,35</w:t>
            </w:r>
          </w:p>
        </w:tc>
        <w:tc>
          <w:tcPr>
            <w:tcW w:w="3827" w:type="dxa"/>
            <w:gridSpan w:val="27"/>
            <w:tcBorders>
              <w:top w:val="single" w:sz="4" w:space="0" w:color="auto"/>
              <w:left w:val="single" w:sz="4" w:space="0" w:color="auto"/>
              <w:bottom w:val="single" w:sz="4" w:space="0" w:color="auto"/>
              <w:right w:val="single" w:sz="4" w:space="0" w:color="auto"/>
            </w:tcBorders>
          </w:tcPr>
          <w:p w:rsidR="00406D32" w:rsidRPr="00406D32" w:rsidRDefault="00406D32" w:rsidP="00406D32">
            <w:pPr>
              <w:rPr>
                <w:rFonts w:asciiTheme="minorHAnsi" w:hAnsiTheme="minorHAnsi" w:cstheme="minorHAnsi"/>
                <w:b/>
                <w:sz w:val="18"/>
                <w:szCs w:val="18"/>
                <w:u w:val="single"/>
              </w:rPr>
            </w:pPr>
            <w:r w:rsidRPr="00406D32">
              <w:rPr>
                <w:rFonts w:asciiTheme="minorHAnsi" w:hAnsiTheme="minorHAnsi" w:cstheme="minorHAnsi"/>
                <w:b/>
                <w:sz w:val="18"/>
                <w:szCs w:val="18"/>
                <w:u w:val="single"/>
              </w:rPr>
              <w:t>Účelová dotace na výdaje spojené s konáním voleb do Poslanecké sněmovny Parlamentu ČR</w:t>
            </w:r>
          </w:p>
          <w:p w:rsidR="00406D32" w:rsidRPr="00406D32" w:rsidRDefault="00406D32" w:rsidP="00406D32">
            <w:pPr>
              <w:rPr>
                <w:rFonts w:asciiTheme="minorHAnsi" w:hAnsiTheme="minorHAnsi" w:cstheme="minorHAnsi"/>
                <w:sz w:val="18"/>
                <w:szCs w:val="18"/>
              </w:rPr>
            </w:pPr>
            <w:r w:rsidRPr="00406D32">
              <w:rPr>
                <w:rFonts w:asciiTheme="minorHAnsi" w:hAnsiTheme="minorHAnsi" w:cstheme="minorHAnsi"/>
                <w:sz w:val="18"/>
                <w:szCs w:val="18"/>
              </w:rPr>
              <w:t>Doplatek bude nárokován přes OlK.</w:t>
            </w:r>
          </w:p>
        </w:tc>
      </w:tr>
      <w:tr w:rsidR="00516C0D" w:rsidRPr="006E55BA" w:rsidTr="00F815C3">
        <w:tblPrEx>
          <w:tblLook w:val="0000" w:firstRow="0" w:lastRow="0" w:firstColumn="0" w:lastColumn="0" w:noHBand="0" w:noVBand="0"/>
        </w:tblPrEx>
        <w:trPr>
          <w:gridAfter w:val="8"/>
          <w:wAfter w:w="1047" w:type="dxa"/>
          <w:trHeight w:val="542"/>
        </w:trPr>
        <w:tc>
          <w:tcPr>
            <w:tcW w:w="779" w:type="dxa"/>
            <w:gridSpan w:val="3"/>
            <w:tcBorders>
              <w:top w:val="single" w:sz="4" w:space="0" w:color="auto"/>
              <w:left w:val="single" w:sz="4" w:space="0" w:color="auto"/>
              <w:bottom w:val="single" w:sz="4" w:space="0" w:color="auto"/>
              <w:right w:val="single" w:sz="4" w:space="0" w:color="auto"/>
            </w:tcBorders>
          </w:tcPr>
          <w:p w:rsidR="00516C0D" w:rsidRPr="00406D32" w:rsidRDefault="00516C0D" w:rsidP="00406D32">
            <w:pPr>
              <w:jc w:val="center"/>
              <w:rPr>
                <w:rFonts w:asciiTheme="minorHAnsi" w:hAnsiTheme="minorHAnsi" w:cstheme="minorHAnsi"/>
                <w:sz w:val="18"/>
                <w:szCs w:val="18"/>
              </w:rPr>
            </w:pPr>
            <w:r>
              <w:rPr>
                <w:rFonts w:asciiTheme="minorHAnsi" w:hAnsiTheme="minorHAnsi" w:cstheme="minorHAnsi"/>
                <w:sz w:val="18"/>
                <w:szCs w:val="18"/>
              </w:rPr>
              <w:t>6118</w:t>
            </w:r>
          </w:p>
        </w:tc>
        <w:tc>
          <w:tcPr>
            <w:tcW w:w="851" w:type="dxa"/>
            <w:gridSpan w:val="3"/>
            <w:tcBorders>
              <w:top w:val="single" w:sz="4" w:space="0" w:color="auto"/>
              <w:left w:val="single" w:sz="4" w:space="0" w:color="auto"/>
              <w:bottom w:val="single" w:sz="4" w:space="0" w:color="auto"/>
              <w:right w:val="single" w:sz="4" w:space="0" w:color="auto"/>
            </w:tcBorders>
          </w:tcPr>
          <w:p w:rsidR="00516C0D" w:rsidRPr="00406D32" w:rsidRDefault="00516C0D" w:rsidP="00406D32">
            <w:pPr>
              <w:jc w:val="center"/>
              <w:rPr>
                <w:rFonts w:asciiTheme="minorHAnsi" w:hAnsiTheme="minorHAnsi" w:cstheme="minorHAnsi"/>
                <w:sz w:val="18"/>
                <w:szCs w:val="18"/>
              </w:rPr>
            </w:pPr>
            <w:r>
              <w:rPr>
                <w:rFonts w:asciiTheme="minorHAnsi" w:hAnsiTheme="minorHAnsi" w:cstheme="minorHAnsi"/>
                <w:sz w:val="18"/>
                <w:szCs w:val="18"/>
              </w:rPr>
              <w:t>5909</w:t>
            </w:r>
          </w:p>
        </w:tc>
        <w:tc>
          <w:tcPr>
            <w:tcW w:w="1489" w:type="dxa"/>
            <w:gridSpan w:val="3"/>
            <w:tcBorders>
              <w:top w:val="single" w:sz="4" w:space="0" w:color="auto"/>
              <w:left w:val="single" w:sz="4" w:space="0" w:color="auto"/>
              <w:bottom w:val="single" w:sz="4" w:space="0" w:color="auto"/>
              <w:right w:val="single" w:sz="4" w:space="0" w:color="auto"/>
            </w:tcBorders>
          </w:tcPr>
          <w:p w:rsidR="00516C0D" w:rsidRDefault="00516C0D" w:rsidP="00406D32">
            <w:pPr>
              <w:jc w:val="center"/>
              <w:rPr>
                <w:rFonts w:asciiTheme="minorHAnsi" w:hAnsiTheme="minorHAnsi" w:cstheme="minorHAnsi"/>
                <w:sz w:val="18"/>
                <w:szCs w:val="18"/>
              </w:rPr>
            </w:pPr>
            <w:r>
              <w:rPr>
                <w:rFonts w:asciiTheme="minorHAnsi" w:hAnsiTheme="minorHAnsi" w:cstheme="minorHAnsi"/>
                <w:sz w:val="18"/>
                <w:szCs w:val="18"/>
              </w:rPr>
              <w:t>011</w:t>
            </w:r>
            <w:r w:rsidRPr="00406D32">
              <w:rPr>
                <w:rFonts w:asciiTheme="minorHAnsi" w:hAnsiTheme="minorHAnsi" w:cstheme="minorHAnsi"/>
                <w:sz w:val="18"/>
                <w:szCs w:val="18"/>
              </w:rPr>
              <w:t>000000</w:t>
            </w:r>
            <w:r>
              <w:rPr>
                <w:rFonts w:asciiTheme="minorHAnsi" w:hAnsiTheme="minorHAnsi" w:cstheme="minorHAnsi"/>
                <w:sz w:val="18"/>
                <w:szCs w:val="18"/>
              </w:rPr>
              <w:t>0000</w:t>
            </w:r>
          </w:p>
        </w:tc>
        <w:tc>
          <w:tcPr>
            <w:tcW w:w="850" w:type="dxa"/>
            <w:gridSpan w:val="4"/>
            <w:tcBorders>
              <w:top w:val="single" w:sz="4" w:space="0" w:color="auto"/>
              <w:left w:val="single" w:sz="4" w:space="0" w:color="auto"/>
              <w:bottom w:val="single" w:sz="4" w:space="0" w:color="auto"/>
              <w:right w:val="single" w:sz="4" w:space="0" w:color="auto"/>
            </w:tcBorders>
          </w:tcPr>
          <w:p w:rsidR="00516C0D" w:rsidRPr="00406D32" w:rsidRDefault="00516C0D" w:rsidP="00406D32">
            <w:pPr>
              <w:jc w:val="center"/>
              <w:rPr>
                <w:rFonts w:asciiTheme="minorHAnsi" w:hAnsiTheme="minorHAnsi" w:cstheme="minorHAnsi"/>
                <w:sz w:val="18"/>
                <w:szCs w:val="18"/>
              </w:rPr>
            </w:pPr>
            <w:r>
              <w:rPr>
                <w:rFonts w:asciiTheme="minorHAnsi" w:hAnsiTheme="minorHAnsi" w:cstheme="minorHAnsi"/>
                <w:sz w:val="18"/>
                <w:szCs w:val="18"/>
              </w:rPr>
              <w:t>98008</w:t>
            </w:r>
          </w:p>
        </w:tc>
        <w:tc>
          <w:tcPr>
            <w:tcW w:w="993" w:type="dxa"/>
            <w:gridSpan w:val="4"/>
            <w:tcBorders>
              <w:top w:val="single" w:sz="4" w:space="0" w:color="auto"/>
              <w:left w:val="single" w:sz="4" w:space="0" w:color="auto"/>
              <w:bottom w:val="single" w:sz="4" w:space="0" w:color="auto"/>
              <w:right w:val="single" w:sz="4" w:space="0" w:color="auto"/>
            </w:tcBorders>
          </w:tcPr>
          <w:p w:rsidR="00516C0D" w:rsidRPr="00406D32" w:rsidRDefault="00516C0D" w:rsidP="00406D32">
            <w:pPr>
              <w:jc w:val="right"/>
              <w:rPr>
                <w:rFonts w:asciiTheme="minorHAnsi" w:hAnsiTheme="minorHAnsi" w:cstheme="minorHAnsi"/>
                <w:sz w:val="18"/>
                <w:szCs w:val="18"/>
              </w:rPr>
            </w:pPr>
            <w:r>
              <w:rPr>
                <w:rFonts w:asciiTheme="minorHAnsi" w:hAnsiTheme="minorHAnsi" w:cstheme="minorHAnsi"/>
                <w:sz w:val="18"/>
                <w:szCs w:val="18"/>
              </w:rPr>
              <w:t>428,60</w:t>
            </w:r>
          </w:p>
        </w:tc>
        <w:tc>
          <w:tcPr>
            <w:tcW w:w="992" w:type="dxa"/>
            <w:gridSpan w:val="6"/>
            <w:tcBorders>
              <w:top w:val="single" w:sz="4" w:space="0" w:color="auto"/>
              <w:left w:val="single" w:sz="4" w:space="0" w:color="auto"/>
              <w:bottom w:val="single" w:sz="4" w:space="0" w:color="auto"/>
              <w:right w:val="single" w:sz="4" w:space="0" w:color="auto"/>
            </w:tcBorders>
          </w:tcPr>
          <w:p w:rsidR="00516C0D" w:rsidRPr="00406D32" w:rsidRDefault="00516C0D" w:rsidP="00406D32">
            <w:pPr>
              <w:jc w:val="right"/>
              <w:rPr>
                <w:rFonts w:asciiTheme="minorHAnsi" w:hAnsiTheme="minorHAnsi" w:cstheme="minorHAnsi"/>
                <w:sz w:val="18"/>
                <w:szCs w:val="18"/>
              </w:rPr>
            </w:pPr>
            <w:r>
              <w:rPr>
                <w:rFonts w:asciiTheme="minorHAnsi" w:hAnsiTheme="minorHAnsi" w:cstheme="minorHAnsi"/>
                <w:sz w:val="18"/>
                <w:szCs w:val="18"/>
              </w:rPr>
              <w:t>0</w:t>
            </w:r>
            <w:r w:rsidR="0057774D">
              <w:rPr>
                <w:rFonts w:asciiTheme="minorHAnsi" w:hAnsiTheme="minorHAnsi" w:cstheme="minorHAnsi"/>
                <w:sz w:val="18"/>
                <w:szCs w:val="18"/>
              </w:rPr>
              <w:t>,00</w:t>
            </w:r>
          </w:p>
        </w:tc>
        <w:tc>
          <w:tcPr>
            <w:tcW w:w="3827" w:type="dxa"/>
            <w:gridSpan w:val="27"/>
            <w:tcBorders>
              <w:top w:val="single" w:sz="4" w:space="0" w:color="auto"/>
              <w:left w:val="single" w:sz="4" w:space="0" w:color="auto"/>
              <w:bottom w:val="single" w:sz="4" w:space="0" w:color="auto"/>
              <w:right w:val="single" w:sz="4" w:space="0" w:color="auto"/>
            </w:tcBorders>
          </w:tcPr>
          <w:p w:rsidR="00CE5942" w:rsidRDefault="00516C0D" w:rsidP="00406D32">
            <w:pPr>
              <w:rPr>
                <w:rFonts w:asciiTheme="minorHAnsi" w:hAnsiTheme="minorHAnsi" w:cstheme="minorHAnsi"/>
                <w:b/>
                <w:sz w:val="18"/>
                <w:szCs w:val="18"/>
                <w:u w:val="single"/>
              </w:rPr>
            </w:pPr>
            <w:r>
              <w:rPr>
                <w:rFonts w:asciiTheme="minorHAnsi" w:hAnsiTheme="minorHAnsi" w:cstheme="minorHAnsi"/>
                <w:b/>
                <w:sz w:val="18"/>
                <w:szCs w:val="18"/>
                <w:u w:val="single"/>
              </w:rPr>
              <w:t>Volba prezidenta republiky</w:t>
            </w:r>
          </w:p>
          <w:p w:rsidR="00516C0D" w:rsidRPr="00406D32" w:rsidRDefault="00516C0D" w:rsidP="00406D32">
            <w:pPr>
              <w:rPr>
                <w:rFonts w:asciiTheme="minorHAnsi" w:hAnsiTheme="minorHAnsi" w:cstheme="minorHAnsi"/>
                <w:b/>
                <w:sz w:val="18"/>
                <w:szCs w:val="18"/>
                <w:u w:val="single"/>
              </w:rPr>
            </w:pPr>
            <w:r w:rsidRPr="00516C0D">
              <w:rPr>
                <w:rFonts w:asciiTheme="minorHAnsi" w:hAnsiTheme="minorHAnsi" w:cstheme="minorHAnsi"/>
                <w:sz w:val="18"/>
                <w:szCs w:val="18"/>
              </w:rPr>
              <w:t>V roce 2022 nečerpáno, vratka odvedena v rámci finančního vypořádání.</w:t>
            </w:r>
          </w:p>
        </w:tc>
      </w:tr>
      <w:tr w:rsidR="00406D32" w:rsidRPr="006E55BA" w:rsidTr="00F815C3">
        <w:tblPrEx>
          <w:tblLook w:val="0000" w:firstRow="0" w:lastRow="0" w:firstColumn="0" w:lastColumn="0" w:noHBand="0" w:noVBand="0"/>
        </w:tblPrEx>
        <w:trPr>
          <w:gridAfter w:val="8"/>
          <w:wAfter w:w="1047" w:type="dxa"/>
          <w:trHeight w:val="542"/>
        </w:trPr>
        <w:tc>
          <w:tcPr>
            <w:tcW w:w="779" w:type="dxa"/>
            <w:gridSpan w:val="3"/>
            <w:tcBorders>
              <w:top w:val="single" w:sz="4" w:space="0" w:color="auto"/>
              <w:left w:val="single" w:sz="4" w:space="0" w:color="auto"/>
              <w:bottom w:val="single" w:sz="4" w:space="0" w:color="auto"/>
              <w:right w:val="single" w:sz="4" w:space="0" w:color="auto"/>
            </w:tcBorders>
          </w:tcPr>
          <w:p w:rsidR="00406D32" w:rsidRPr="00406D32" w:rsidRDefault="00406D32" w:rsidP="00406D32">
            <w:pPr>
              <w:jc w:val="center"/>
              <w:rPr>
                <w:rFonts w:asciiTheme="minorHAnsi" w:hAnsiTheme="minorHAnsi" w:cstheme="minorHAnsi"/>
                <w:sz w:val="18"/>
                <w:szCs w:val="18"/>
              </w:rPr>
            </w:pPr>
            <w:r w:rsidRPr="00406D32">
              <w:rPr>
                <w:rFonts w:asciiTheme="minorHAnsi" w:hAnsiTheme="minorHAnsi" w:cstheme="minorHAnsi"/>
                <w:sz w:val="18"/>
                <w:szCs w:val="18"/>
              </w:rPr>
              <w:t>6171</w:t>
            </w:r>
          </w:p>
        </w:tc>
        <w:tc>
          <w:tcPr>
            <w:tcW w:w="851" w:type="dxa"/>
            <w:gridSpan w:val="3"/>
            <w:tcBorders>
              <w:top w:val="single" w:sz="4" w:space="0" w:color="auto"/>
              <w:left w:val="single" w:sz="4" w:space="0" w:color="auto"/>
              <w:bottom w:val="single" w:sz="4" w:space="0" w:color="auto"/>
              <w:right w:val="single" w:sz="4" w:space="0" w:color="auto"/>
            </w:tcBorders>
          </w:tcPr>
          <w:p w:rsidR="00406D32" w:rsidRPr="00406D32" w:rsidRDefault="00406D32" w:rsidP="00406D32">
            <w:pPr>
              <w:jc w:val="center"/>
              <w:rPr>
                <w:rFonts w:asciiTheme="minorHAnsi" w:hAnsiTheme="minorHAnsi" w:cstheme="minorHAnsi"/>
                <w:sz w:val="18"/>
                <w:szCs w:val="18"/>
              </w:rPr>
            </w:pPr>
            <w:r w:rsidRPr="00406D32">
              <w:rPr>
                <w:rFonts w:asciiTheme="minorHAnsi" w:hAnsiTheme="minorHAnsi" w:cstheme="minorHAnsi"/>
                <w:sz w:val="18"/>
                <w:szCs w:val="18"/>
              </w:rPr>
              <w:t>5123</w:t>
            </w:r>
          </w:p>
        </w:tc>
        <w:tc>
          <w:tcPr>
            <w:tcW w:w="1489" w:type="dxa"/>
            <w:gridSpan w:val="3"/>
            <w:tcBorders>
              <w:top w:val="single" w:sz="4" w:space="0" w:color="auto"/>
              <w:left w:val="single" w:sz="4" w:space="0" w:color="auto"/>
              <w:bottom w:val="single" w:sz="4" w:space="0" w:color="auto"/>
              <w:right w:val="single" w:sz="4" w:space="0" w:color="auto"/>
            </w:tcBorders>
          </w:tcPr>
          <w:p w:rsidR="00406D32" w:rsidRPr="00406D32" w:rsidRDefault="00516C0D" w:rsidP="00406D32">
            <w:pPr>
              <w:jc w:val="center"/>
              <w:rPr>
                <w:rFonts w:asciiTheme="minorHAnsi" w:hAnsiTheme="minorHAnsi" w:cstheme="minorHAnsi"/>
                <w:sz w:val="18"/>
                <w:szCs w:val="18"/>
              </w:rPr>
            </w:pPr>
            <w:r>
              <w:rPr>
                <w:rFonts w:asciiTheme="minorHAnsi" w:hAnsiTheme="minorHAnsi" w:cstheme="minorHAnsi"/>
                <w:sz w:val="18"/>
                <w:szCs w:val="18"/>
              </w:rPr>
              <w:t>011</w:t>
            </w:r>
            <w:r w:rsidRPr="00406D32">
              <w:rPr>
                <w:rFonts w:asciiTheme="minorHAnsi" w:hAnsiTheme="minorHAnsi" w:cstheme="minorHAnsi"/>
                <w:sz w:val="18"/>
                <w:szCs w:val="18"/>
              </w:rPr>
              <w:t>000000</w:t>
            </w:r>
            <w:r>
              <w:rPr>
                <w:rFonts w:asciiTheme="minorHAnsi" w:hAnsiTheme="minorHAnsi" w:cstheme="minorHAnsi"/>
                <w:sz w:val="18"/>
                <w:szCs w:val="18"/>
              </w:rPr>
              <w:t>0000</w:t>
            </w:r>
          </w:p>
        </w:tc>
        <w:tc>
          <w:tcPr>
            <w:tcW w:w="850" w:type="dxa"/>
            <w:gridSpan w:val="4"/>
            <w:tcBorders>
              <w:top w:val="single" w:sz="4" w:space="0" w:color="auto"/>
              <w:left w:val="single" w:sz="4" w:space="0" w:color="auto"/>
              <w:bottom w:val="single" w:sz="4" w:space="0" w:color="auto"/>
              <w:right w:val="single" w:sz="4" w:space="0" w:color="auto"/>
            </w:tcBorders>
          </w:tcPr>
          <w:p w:rsidR="00406D32" w:rsidRPr="00406D32" w:rsidRDefault="00406D32" w:rsidP="00406D32">
            <w:pPr>
              <w:jc w:val="center"/>
              <w:rPr>
                <w:rFonts w:asciiTheme="minorHAnsi" w:hAnsiTheme="minorHAnsi" w:cstheme="minorHAnsi"/>
                <w:sz w:val="18"/>
                <w:szCs w:val="18"/>
              </w:rPr>
            </w:pPr>
            <w:r w:rsidRPr="00406D32">
              <w:rPr>
                <w:rFonts w:asciiTheme="minorHAnsi" w:hAnsiTheme="minorHAnsi" w:cstheme="minorHAnsi"/>
                <w:sz w:val="18"/>
                <w:szCs w:val="18"/>
              </w:rPr>
              <w:t>000000</w:t>
            </w:r>
          </w:p>
        </w:tc>
        <w:tc>
          <w:tcPr>
            <w:tcW w:w="993" w:type="dxa"/>
            <w:gridSpan w:val="4"/>
            <w:tcBorders>
              <w:top w:val="single" w:sz="4" w:space="0" w:color="auto"/>
              <w:left w:val="single" w:sz="4" w:space="0" w:color="auto"/>
              <w:bottom w:val="single" w:sz="4" w:space="0" w:color="auto"/>
              <w:right w:val="single" w:sz="4" w:space="0" w:color="auto"/>
            </w:tcBorders>
          </w:tcPr>
          <w:p w:rsidR="00406D32" w:rsidRPr="00406D32" w:rsidRDefault="0057774D" w:rsidP="00406D32">
            <w:pPr>
              <w:jc w:val="right"/>
              <w:rPr>
                <w:rFonts w:asciiTheme="minorHAnsi" w:hAnsiTheme="minorHAnsi" w:cstheme="minorHAnsi"/>
                <w:sz w:val="18"/>
                <w:szCs w:val="18"/>
              </w:rPr>
            </w:pPr>
            <w:r>
              <w:rPr>
                <w:rFonts w:asciiTheme="minorHAnsi" w:hAnsiTheme="minorHAnsi" w:cstheme="minorHAnsi"/>
                <w:sz w:val="18"/>
                <w:szCs w:val="18"/>
              </w:rPr>
              <w:t>34,20</w:t>
            </w:r>
          </w:p>
        </w:tc>
        <w:tc>
          <w:tcPr>
            <w:tcW w:w="992" w:type="dxa"/>
            <w:gridSpan w:val="6"/>
            <w:tcBorders>
              <w:top w:val="single" w:sz="4" w:space="0" w:color="auto"/>
              <w:left w:val="single" w:sz="4" w:space="0" w:color="auto"/>
              <w:bottom w:val="single" w:sz="4" w:space="0" w:color="auto"/>
              <w:right w:val="single" w:sz="4" w:space="0" w:color="auto"/>
            </w:tcBorders>
          </w:tcPr>
          <w:p w:rsidR="00406D32" w:rsidRPr="00406D32" w:rsidRDefault="0057774D" w:rsidP="00406D32">
            <w:pPr>
              <w:jc w:val="right"/>
              <w:rPr>
                <w:rFonts w:asciiTheme="minorHAnsi" w:hAnsiTheme="minorHAnsi" w:cstheme="minorHAnsi"/>
                <w:sz w:val="18"/>
                <w:szCs w:val="18"/>
              </w:rPr>
            </w:pPr>
            <w:r>
              <w:rPr>
                <w:rFonts w:asciiTheme="minorHAnsi" w:hAnsiTheme="minorHAnsi" w:cstheme="minorHAnsi"/>
                <w:sz w:val="18"/>
                <w:szCs w:val="18"/>
              </w:rPr>
              <w:t>21,20</w:t>
            </w:r>
          </w:p>
        </w:tc>
        <w:tc>
          <w:tcPr>
            <w:tcW w:w="3827" w:type="dxa"/>
            <w:gridSpan w:val="27"/>
            <w:tcBorders>
              <w:top w:val="single" w:sz="4" w:space="0" w:color="auto"/>
              <w:left w:val="single" w:sz="4" w:space="0" w:color="auto"/>
              <w:bottom w:val="single" w:sz="4" w:space="0" w:color="auto"/>
              <w:right w:val="single" w:sz="4" w:space="0" w:color="auto"/>
            </w:tcBorders>
          </w:tcPr>
          <w:p w:rsidR="00406D32" w:rsidRPr="00406D32" w:rsidRDefault="00406D32" w:rsidP="00406D32">
            <w:pPr>
              <w:rPr>
                <w:rFonts w:asciiTheme="minorHAnsi" w:hAnsiTheme="minorHAnsi" w:cstheme="minorHAnsi"/>
                <w:b/>
                <w:sz w:val="18"/>
                <w:szCs w:val="18"/>
                <w:u w:val="single"/>
              </w:rPr>
            </w:pPr>
            <w:r w:rsidRPr="00406D32">
              <w:rPr>
                <w:rFonts w:asciiTheme="minorHAnsi" w:hAnsiTheme="minorHAnsi" w:cstheme="minorHAnsi"/>
                <w:b/>
                <w:sz w:val="18"/>
                <w:szCs w:val="18"/>
                <w:u w:val="single"/>
              </w:rPr>
              <w:t>Podlimitní technické zhodnocení</w:t>
            </w:r>
          </w:p>
          <w:p w:rsidR="00406D32" w:rsidRPr="00406D32" w:rsidRDefault="0057774D" w:rsidP="0057774D">
            <w:pPr>
              <w:rPr>
                <w:rFonts w:asciiTheme="minorHAnsi" w:hAnsiTheme="minorHAnsi" w:cstheme="minorHAnsi"/>
                <w:b/>
                <w:sz w:val="18"/>
                <w:szCs w:val="18"/>
                <w:u w:val="single"/>
              </w:rPr>
            </w:pPr>
            <w:r>
              <w:rPr>
                <w:rFonts w:asciiTheme="minorHAnsi" w:hAnsiTheme="minorHAnsi" w:cstheme="minorHAnsi"/>
                <w:sz w:val="18"/>
                <w:szCs w:val="18"/>
              </w:rPr>
              <w:t>Očalounění 4 ks dveří, i</w:t>
            </w:r>
            <w:r w:rsidRPr="0057774D">
              <w:rPr>
                <w:rFonts w:asciiTheme="minorHAnsi" w:hAnsiTheme="minorHAnsi" w:cstheme="minorHAnsi"/>
                <w:sz w:val="18"/>
                <w:szCs w:val="18"/>
              </w:rPr>
              <w:t>nstalace slaboproudých systémů v klubovně SDH Domamyslice</w:t>
            </w:r>
            <w:r>
              <w:rPr>
                <w:rFonts w:asciiTheme="minorHAnsi" w:hAnsiTheme="minorHAnsi" w:cstheme="minorHAnsi"/>
                <w:sz w:val="18"/>
                <w:szCs w:val="18"/>
              </w:rPr>
              <w:t>.</w:t>
            </w:r>
          </w:p>
        </w:tc>
      </w:tr>
      <w:tr w:rsidR="00406D32" w:rsidRPr="006E55BA" w:rsidTr="00F815C3">
        <w:tblPrEx>
          <w:tblLook w:val="0000" w:firstRow="0" w:lastRow="0" w:firstColumn="0" w:lastColumn="0" w:noHBand="0" w:noVBand="0"/>
        </w:tblPrEx>
        <w:trPr>
          <w:gridAfter w:val="8"/>
          <w:wAfter w:w="1047" w:type="dxa"/>
          <w:trHeight w:val="422"/>
        </w:trPr>
        <w:tc>
          <w:tcPr>
            <w:tcW w:w="779" w:type="dxa"/>
            <w:gridSpan w:val="3"/>
            <w:tcBorders>
              <w:top w:val="single" w:sz="4" w:space="0" w:color="auto"/>
              <w:left w:val="single" w:sz="4" w:space="0" w:color="auto"/>
              <w:bottom w:val="single" w:sz="4" w:space="0" w:color="auto"/>
              <w:right w:val="single" w:sz="4" w:space="0" w:color="auto"/>
            </w:tcBorders>
          </w:tcPr>
          <w:p w:rsidR="00406D32" w:rsidRPr="00406D32" w:rsidRDefault="00406D32" w:rsidP="00406D32">
            <w:pPr>
              <w:jc w:val="center"/>
              <w:rPr>
                <w:rFonts w:asciiTheme="minorHAnsi" w:hAnsiTheme="minorHAnsi" w:cstheme="minorHAnsi"/>
                <w:sz w:val="18"/>
                <w:szCs w:val="18"/>
              </w:rPr>
            </w:pPr>
            <w:r w:rsidRPr="00406D32">
              <w:rPr>
                <w:rFonts w:asciiTheme="minorHAnsi" w:hAnsiTheme="minorHAnsi" w:cstheme="minorHAnsi"/>
                <w:sz w:val="18"/>
                <w:szCs w:val="18"/>
              </w:rPr>
              <w:t>6171</w:t>
            </w:r>
          </w:p>
        </w:tc>
        <w:tc>
          <w:tcPr>
            <w:tcW w:w="851" w:type="dxa"/>
            <w:gridSpan w:val="3"/>
            <w:tcBorders>
              <w:top w:val="single" w:sz="4" w:space="0" w:color="auto"/>
              <w:left w:val="single" w:sz="4" w:space="0" w:color="auto"/>
              <w:bottom w:val="single" w:sz="4" w:space="0" w:color="auto"/>
              <w:right w:val="single" w:sz="4" w:space="0" w:color="auto"/>
            </w:tcBorders>
          </w:tcPr>
          <w:p w:rsidR="00406D32" w:rsidRPr="00406D32" w:rsidRDefault="00406D32" w:rsidP="00406D32">
            <w:pPr>
              <w:jc w:val="center"/>
              <w:rPr>
                <w:rFonts w:asciiTheme="minorHAnsi" w:hAnsiTheme="minorHAnsi" w:cstheme="minorHAnsi"/>
                <w:sz w:val="18"/>
                <w:szCs w:val="18"/>
              </w:rPr>
            </w:pPr>
            <w:r w:rsidRPr="00406D32">
              <w:rPr>
                <w:rFonts w:asciiTheme="minorHAnsi" w:hAnsiTheme="minorHAnsi" w:cstheme="minorHAnsi"/>
                <w:sz w:val="18"/>
                <w:szCs w:val="18"/>
              </w:rPr>
              <w:t>5192</w:t>
            </w:r>
          </w:p>
        </w:tc>
        <w:tc>
          <w:tcPr>
            <w:tcW w:w="1489" w:type="dxa"/>
            <w:gridSpan w:val="3"/>
            <w:tcBorders>
              <w:top w:val="single" w:sz="4" w:space="0" w:color="auto"/>
              <w:left w:val="single" w:sz="4" w:space="0" w:color="auto"/>
              <w:bottom w:val="single" w:sz="4" w:space="0" w:color="auto"/>
              <w:right w:val="single" w:sz="4" w:space="0" w:color="auto"/>
            </w:tcBorders>
          </w:tcPr>
          <w:p w:rsidR="00406D32" w:rsidRPr="00406D32" w:rsidRDefault="00516C0D" w:rsidP="00406D32">
            <w:pPr>
              <w:jc w:val="center"/>
              <w:rPr>
                <w:rFonts w:asciiTheme="minorHAnsi" w:hAnsiTheme="minorHAnsi" w:cstheme="minorHAnsi"/>
                <w:sz w:val="18"/>
                <w:szCs w:val="18"/>
              </w:rPr>
            </w:pPr>
            <w:r>
              <w:rPr>
                <w:rFonts w:asciiTheme="minorHAnsi" w:hAnsiTheme="minorHAnsi" w:cstheme="minorHAnsi"/>
                <w:sz w:val="18"/>
                <w:szCs w:val="18"/>
              </w:rPr>
              <w:t>011</w:t>
            </w:r>
            <w:r w:rsidRPr="00406D32">
              <w:rPr>
                <w:rFonts w:asciiTheme="minorHAnsi" w:hAnsiTheme="minorHAnsi" w:cstheme="minorHAnsi"/>
                <w:sz w:val="18"/>
                <w:szCs w:val="18"/>
              </w:rPr>
              <w:t>000000</w:t>
            </w:r>
            <w:r>
              <w:rPr>
                <w:rFonts w:asciiTheme="minorHAnsi" w:hAnsiTheme="minorHAnsi" w:cstheme="minorHAnsi"/>
                <w:sz w:val="18"/>
                <w:szCs w:val="18"/>
              </w:rPr>
              <w:t>0000</w:t>
            </w:r>
          </w:p>
        </w:tc>
        <w:tc>
          <w:tcPr>
            <w:tcW w:w="850" w:type="dxa"/>
            <w:gridSpan w:val="4"/>
            <w:tcBorders>
              <w:top w:val="single" w:sz="4" w:space="0" w:color="auto"/>
              <w:left w:val="single" w:sz="4" w:space="0" w:color="auto"/>
              <w:bottom w:val="single" w:sz="4" w:space="0" w:color="auto"/>
              <w:right w:val="single" w:sz="4" w:space="0" w:color="auto"/>
            </w:tcBorders>
          </w:tcPr>
          <w:p w:rsidR="00406D32" w:rsidRPr="00406D32" w:rsidRDefault="00406D32" w:rsidP="00406D32">
            <w:pPr>
              <w:jc w:val="center"/>
              <w:rPr>
                <w:rFonts w:asciiTheme="minorHAnsi" w:hAnsiTheme="minorHAnsi" w:cstheme="minorHAnsi"/>
                <w:sz w:val="18"/>
                <w:szCs w:val="18"/>
              </w:rPr>
            </w:pPr>
            <w:r w:rsidRPr="00406D32">
              <w:rPr>
                <w:rFonts w:asciiTheme="minorHAnsi" w:hAnsiTheme="minorHAnsi" w:cstheme="minorHAnsi"/>
                <w:sz w:val="18"/>
                <w:szCs w:val="18"/>
              </w:rPr>
              <w:t>00000</w:t>
            </w:r>
          </w:p>
        </w:tc>
        <w:tc>
          <w:tcPr>
            <w:tcW w:w="993" w:type="dxa"/>
            <w:gridSpan w:val="4"/>
            <w:tcBorders>
              <w:top w:val="single" w:sz="4" w:space="0" w:color="auto"/>
              <w:left w:val="single" w:sz="4" w:space="0" w:color="auto"/>
              <w:bottom w:val="single" w:sz="4" w:space="0" w:color="auto"/>
              <w:right w:val="single" w:sz="4" w:space="0" w:color="auto"/>
            </w:tcBorders>
          </w:tcPr>
          <w:p w:rsidR="00406D32" w:rsidRPr="00406D32" w:rsidRDefault="00406D32" w:rsidP="00406D32">
            <w:pPr>
              <w:jc w:val="right"/>
              <w:rPr>
                <w:rFonts w:asciiTheme="minorHAnsi" w:hAnsiTheme="minorHAnsi" w:cstheme="minorHAnsi"/>
                <w:sz w:val="18"/>
                <w:szCs w:val="18"/>
              </w:rPr>
            </w:pPr>
            <w:r w:rsidRPr="00406D32">
              <w:rPr>
                <w:rFonts w:asciiTheme="minorHAnsi" w:hAnsiTheme="minorHAnsi" w:cstheme="minorHAnsi"/>
                <w:sz w:val="18"/>
                <w:szCs w:val="18"/>
              </w:rPr>
              <w:t>35,00</w:t>
            </w:r>
          </w:p>
        </w:tc>
        <w:tc>
          <w:tcPr>
            <w:tcW w:w="992" w:type="dxa"/>
            <w:gridSpan w:val="6"/>
            <w:tcBorders>
              <w:top w:val="single" w:sz="4" w:space="0" w:color="auto"/>
              <w:left w:val="single" w:sz="4" w:space="0" w:color="auto"/>
              <w:bottom w:val="single" w:sz="4" w:space="0" w:color="auto"/>
              <w:right w:val="single" w:sz="4" w:space="0" w:color="auto"/>
            </w:tcBorders>
          </w:tcPr>
          <w:p w:rsidR="00406D32" w:rsidRPr="00406D32" w:rsidRDefault="0057774D" w:rsidP="00406D32">
            <w:pPr>
              <w:jc w:val="right"/>
              <w:rPr>
                <w:rFonts w:asciiTheme="minorHAnsi" w:hAnsiTheme="minorHAnsi" w:cstheme="minorHAnsi"/>
                <w:sz w:val="18"/>
                <w:szCs w:val="18"/>
              </w:rPr>
            </w:pPr>
            <w:r>
              <w:rPr>
                <w:rFonts w:asciiTheme="minorHAnsi" w:hAnsiTheme="minorHAnsi" w:cstheme="minorHAnsi"/>
                <w:sz w:val="18"/>
                <w:szCs w:val="18"/>
              </w:rPr>
              <w:t>22,57</w:t>
            </w:r>
          </w:p>
        </w:tc>
        <w:tc>
          <w:tcPr>
            <w:tcW w:w="3827" w:type="dxa"/>
            <w:gridSpan w:val="27"/>
            <w:tcBorders>
              <w:top w:val="single" w:sz="4" w:space="0" w:color="auto"/>
              <w:left w:val="single" w:sz="4" w:space="0" w:color="auto"/>
              <w:bottom w:val="single" w:sz="4" w:space="0" w:color="auto"/>
              <w:right w:val="single" w:sz="4" w:space="0" w:color="auto"/>
            </w:tcBorders>
          </w:tcPr>
          <w:p w:rsidR="00406D32" w:rsidRPr="00406D32" w:rsidRDefault="00406D32" w:rsidP="00406D32">
            <w:pPr>
              <w:rPr>
                <w:rFonts w:asciiTheme="minorHAnsi" w:hAnsiTheme="minorHAnsi" w:cstheme="minorHAnsi"/>
                <w:b/>
                <w:sz w:val="18"/>
                <w:szCs w:val="18"/>
                <w:u w:val="single"/>
              </w:rPr>
            </w:pPr>
            <w:r w:rsidRPr="00406D32">
              <w:rPr>
                <w:rFonts w:asciiTheme="minorHAnsi" w:hAnsiTheme="minorHAnsi" w:cstheme="minorHAnsi"/>
                <w:b/>
                <w:sz w:val="18"/>
                <w:szCs w:val="18"/>
                <w:u w:val="single"/>
              </w:rPr>
              <w:t>Poskytnuté náhrady</w:t>
            </w:r>
          </w:p>
          <w:p w:rsidR="00406D32" w:rsidRPr="00406D32" w:rsidRDefault="00406D32" w:rsidP="0057774D">
            <w:pPr>
              <w:rPr>
                <w:rFonts w:asciiTheme="minorHAnsi" w:hAnsiTheme="minorHAnsi" w:cstheme="minorHAnsi"/>
                <w:sz w:val="18"/>
                <w:szCs w:val="18"/>
              </w:rPr>
            </w:pPr>
            <w:r w:rsidRPr="00406D32">
              <w:rPr>
                <w:rFonts w:asciiTheme="minorHAnsi" w:hAnsiTheme="minorHAnsi" w:cstheme="minorHAnsi"/>
                <w:sz w:val="18"/>
                <w:szCs w:val="18"/>
              </w:rPr>
              <w:t>Z položky jsou hrazeny soudní poplatky, svědečné a členské příspěvky. V roce 202</w:t>
            </w:r>
            <w:r w:rsidR="0057774D">
              <w:rPr>
                <w:rFonts w:asciiTheme="minorHAnsi" w:hAnsiTheme="minorHAnsi" w:cstheme="minorHAnsi"/>
                <w:sz w:val="18"/>
                <w:szCs w:val="18"/>
              </w:rPr>
              <w:t>2</w:t>
            </w:r>
            <w:r w:rsidRPr="00406D32">
              <w:rPr>
                <w:rFonts w:asciiTheme="minorHAnsi" w:hAnsiTheme="minorHAnsi" w:cstheme="minorHAnsi"/>
                <w:sz w:val="18"/>
                <w:szCs w:val="18"/>
              </w:rPr>
              <w:t xml:space="preserve"> vznikly požadavky na úhrady pouze ve výši čerpání. </w:t>
            </w:r>
          </w:p>
        </w:tc>
      </w:tr>
      <w:tr w:rsidR="00406D32" w:rsidRPr="006E55BA" w:rsidTr="00CE5942">
        <w:tblPrEx>
          <w:tblLook w:val="0000" w:firstRow="0" w:lastRow="0" w:firstColumn="0" w:lastColumn="0" w:noHBand="0" w:noVBand="0"/>
        </w:tblPrEx>
        <w:trPr>
          <w:gridAfter w:val="8"/>
          <w:wAfter w:w="1047" w:type="dxa"/>
          <w:trHeight w:val="389"/>
        </w:trPr>
        <w:tc>
          <w:tcPr>
            <w:tcW w:w="779" w:type="dxa"/>
            <w:gridSpan w:val="3"/>
            <w:tcBorders>
              <w:top w:val="single" w:sz="4" w:space="0" w:color="auto"/>
              <w:left w:val="single" w:sz="4" w:space="0" w:color="auto"/>
              <w:bottom w:val="single" w:sz="4" w:space="0" w:color="auto"/>
              <w:right w:val="single" w:sz="4" w:space="0" w:color="auto"/>
            </w:tcBorders>
          </w:tcPr>
          <w:p w:rsidR="00406D32" w:rsidRPr="00406D32" w:rsidRDefault="00406D32" w:rsidP="00406D32">
            <w:pPr>
              <w:jc w:val="center"/>
              <w:rPr>
                <w:rFonts w:asciiTheme="minorHAnsi" w:hAnsiTheme="minorHAnsi" w:cstheme="minorHAnsi"/>
                <w:sz w:val="18"/>
                <w:szCs w:val="18"/>
              </w:rPr>
            </w:pPr>
            <w:r w:rsidRPr="00406D32">
              <w:rPr>
                <w:rFonts w:asciiTheme="minorHAnsi" w:hAnsiTheme="minorHAnsi" w:cstheme="minorHAnsi"/>
                <w:sz w:val="18"/>
                <w:szCs w:val="18"/>
              </w:rPr>
              <w:t>6171</w:t>
            </w:r>
          </w:p>
        </w:tc>
        <w:tc>
          <w:tcPr>
            <w:tcW w:w="851" w:type="dxa"/>
            <w:gridSpan w:val="3"/>
            <w:tcBorders>
              <w:top w:val="single" w:sz="4" w:space="0" w:color="auto"/>
              <w:left w:val="single" w:sz="4" w:space="0" w:color="auto"/>
              <w:bottom w:val="single" w:sz="4" w:space="0" w:color="auto"/>
              <w:right w:val="single" w:sz="4" w:space="0" w:color="auto"/>
            </w:tcBorders>
          </w:tcPr>
          <w:p w:rsidR="00406D32" w:rsidRPr="00406D32" w:rsidRDefault="00406D32" w:rsidP="00406D32">
            <w:pPr>
              <w:jc w:val="center"/>
              <w:rPr>
                <w:rFonts w:asciiTheme="minorHAnsi" w:hAnsiTheme="minorHAnsi" w:cstheme="minorHAnsi"/>
                <w:sz w:val="18"/>
                <w:szCs w:val="18"/>
              </w:rPr>
            </w:pPr>
            <w:r w:rsidRPr="00406D32">
              <w:rPr>
                <w:rFonts w:asciiTheme="minorHAnsi" w:hAnsiTheme="minorHAnsi" w:cstheme="minorHAnsi"/>
                <w:sz w:val="18"/>
                <w:szCs w:val="18"/>
              </w:rPr>
              <w:t>5361</w:t>
            </w:r>
          </w:p>
        </w:tc>
        <w:tc>
          <w:tcPr>
            <w:tcW w:w="1489" w:type="dxa"/>
            <w:gridSpan w:val="3"/>
            <w:tcBorders>
              <w:top w:val="single" w:sz="4" w:space="0" w:color="auto"/>
              <w:left w:val="single" w:sz="4" w:space="0" w:color="auto"/>
              <w:bottom w:val="single" w:sz="4" w:space="0" w:color="auto"/>
              <w:right w:val="single" w:sz="4" w:space="0" w:color="auto"/>
            </w:tcBorders>
          </w:tcPr>
          <w:p w:rsidR="00406D32" w:rsidRPr="00406D32" w:rsidRDefault="00516C0D" w:rsidP="00406D32">
            <w:pPr>
              <w:jc w:val="center"/>
              <w:rPr>
                <w:rFonts w:asciiTheme="minorHAnsi" w:hAnsiTheme="minorHAnsi" w:cstheme="minorHAnsi"/>
                <w:sz w:val="18"/>
                <w:szCs w:val="18"/>
              </w:rPr>
            </w:pPr>
            <w:r>
              <w:rPr>
                <w:rFonts w:asciiTheme="minorHAnsi" w:hAnsiTheme="minorHAnsi" w:cstheme="minorHAnsi"/>
                <w:sz w:val="18"/>
                <w:szCs w:val="18"/>
              </w:rPr>
              <w:t>011</w:t>
            </w:r>
            <w:r w:rsidRPr="00406D32">
              <w:rPr>
                <w:rFonts w:asciiTheme="minorHAnsi" w:hAnsiTheme="minorHAnsi" w:cstheme="minorHAnsi"/>
                <w:sz w:val="18"/>
                <w:szCs w:val="18"/>
              </w:rPr>
              <w:t>000000</w:t>
            </w:r>
            <w:r>
              <w:rPr>
                <w:rFonts w:asciiTheme="minorHAnsi" w:hAnsiTheme="minorHAnsi" w:cstheme="minorHAnsi"/>
                <w:sz w:val="18"/>
                <w:szCs w:val="18"/>
              </w:rPr>
              <w:t>0000</w:t>
            </w:r>
          </w:p>
        </w:tc>
        <w:tc>
          <w:tcPr>
            <w:tcW w:w="850" w:type="dxa"/>
            <w:gridSpan w:val="4"/>
            <w:tcBorders>
              <w:top w:val="single" w:sz="4" w:space="0" w:color="auto"/>
              <w:left w:val="single" w:sz="4" w:space="0" w:color="auto"/>
              <w:bottom w:val="single" w:sz="4" w:space="0" w:color="auto"/>
              <w:right w:val="single" w:sz="4" w:space="0" w:color="auto"/>
            </w:tcBorders>
          </w:tcPr>
          <w:p w:rsidR="00406D32" w:rsidRPr="00406D32" w:rsidRDefault="00406D32" w:rsidP="00406D32">
            <w:pPr>
              <w:jc w:val="center"/>
              <w:rPr>
                <w:rFonts w:asciiTheme="minorHAnsi" w:hAnsiTheme="minorHAnsi" w:cstheme="minorHAnsi"/>
                <w:sz w:val="18"/>
                <w:szCs w:val="18"/>
              </w:rPr>
            </w:pPr>
            <w:r w:rsidRPr="00406D32">
              <w:rPr>
                <w:rFonts w:asciiTheme="minorHAnsi" w:hAnsiTheme="minorHAnsi" w:cstheme="minorHAnsi"/>
                <w:sz w:val="18"/>
                <w:szCs w:val="18"/>
              </w:rPr>
              <w:t>000000</w:t>
            </w:r>
          </w:p>
        </w:tc>
        <w:tc>
          <w:tcPr>
            <w:tcW w:w="993" w:type="dxa"/>
            <w:gridSpan w:val="4"/>
            <w:tcBorders>
              <w:top w:val="single" w:sz="4" w:space="0" w:color="auto"/>
              <w:left w:val="single" w:sz="4" w:space="0" w:color="auto"/>
              <w:bottom w:val="single" w:sz="4" w:space="0" w:color="auto"/>
              <w:right w:val="single" w:sz="4" w:space="0" w:color="auto"/>
            </w:tcBorders>
          </w:tcPr>
          <w:p w:rsidR="00406D32" w:rsidRPr="00406D32" w:rsidRDefault="00406D32" w:rsidP="0057774D">
            <w:pPr>
              <w:jc w:val="right"/>
              <w:rPr>
                <w:rFonts w:asciiTheme="minorHAnsi" w:hAnsiTheme="minorHAnsi" w:cstheme="minorHAnsi"/>
                <w:sz w:val="18"/>
                <w:szCs w:val="18"/>
              </w:rPr>
            </w:pPr>
            <w:r w:rsidRPr="00406D32">
              <w:rPr>
                <w:rFonts w:asciiTheme="minorHAnsi" w:hAnsiTheme="minorHAnsi" w:cstheme="minorHAnsi"/>
                <w:sz w:val="18"/>
                <w:szCs w:val="18"/>
              </w:rPr>
              <w:t>1,</w:t>
            </w:r>
            <w:r w:rsidR="0057774D">
              <w:rPr>
                <w:rFonts w:asciiTheme="minorHAnsi" w:hAnsiTheme="minorHAnsi" w:cstheme="minorHAnsi"/>
                <w:sz w:val="18"/>
                <w:szCs w:val="18"/>
              </w:rPr>
              <w:t>69</w:t>
            </w:r>
          </w:p>
        </w:tc>
        <w:tc>
          <w:tcPr>
            <w:tcW w:w="992" w:type="dxa"/>
            <w:gridSpan w:val="6"/>
            <w:tcBorders>
              <w:top w:val="single" w:sz="4" w:space="0" w:color="auto"/>
              <w:left w:val="single" w:sz="4" w:space="0" w:color="auto"/>
              <w:bottom w:val="single" w:sz="4" w:space="0" w:color="auto"/>
              <w:right w:val="single" w:sz="4" w:space="0" w:color="auto"/>
            </w:tcBorders>
          </w:tcPr>
          <w:p w:rsidR="00406D32" w:rsidRPr="00406D32" w:rsidRDefault="00406D32" w:rsidP="00406D32">
            <w:pPr>
              <w:jc w:val="right"/>
              <w:rPr>
                <w:rFonts w:asciiTheme="minorHAnsi" w:hAnsiTheme="minorHAnsi" w:cstheme="minorHAnsi"/>
                <w:sz w:val="18"/>
                <w:szCs w:val="18"/>
              </w:rPr>
            </w:pPr>
            <w:r w:rsidRPr="00406D32">
              <w:rPr>
                <w:rFonts w:asciiTheme="minorHAnsi" w:hAnsiTheme="minorHAnsi" w:cstheme="minorHAnsi"/>
                <w:sz w:val="18"/>
                <w:szCs w:val="18"/>
              </w:rPr>
              <w:t>0,00</w:t>
            </w:r>
          </w:p>
        </w:tc>
        <w:tc>
          <w:tcPr>
            <w:tcW w:w="3827" w:type="dxa"/>
            <w:gridSpan w:val="27"/>
            <w:tcBorders>
              <w:top w:val="single" w:sz="4" w:space="0" w:color="auto"/>
              <w:left w:val="single" w:sz="4" w:space="0" w:color="auto"/>
              <w:bottom w:val="single" w:sz="4" w:space="0" w:color="auto"/>
              <w:right w:val="single" w:sz="4" w:space="0" w:color="auto"/>
            </w:tcBorders>
          </w:tcPr>
          <w:p w:rsidR="00406D32" w:rsidRPr="00406D32" w:rsidRDefault="00406D32" w:rsidP="0057774D">
            <w:pPr>
              <w:rPr>
                <w:rFonts w:asciiTheme="minorHAnsi" w:hAnsiTheme="minorHAnsi" w:cstheme="minorHAnsi"/>
                <w:b/>
                <w:sz w:val="18"/>
                <w:szCs w:val="18"/>
                <w:u w:val="single"/>
              </w:rPr>
            </w:pPr>
            <w:r w:rsidRPr="00406D32">
              <w:rPr>
                <w:rFonts w:asciiTheme="minorHAnsi" w:hAnsiTheme="minorHAnsi" w:cstheme="minorHAnsi"/>
                <w:b/>
                <w:sz w:val="18"/>
                <w:szCs w:val="18"/>
                <w:u w:val="single"/>
              </w:rPr>
              <w:t>Nákup kolků</w:t>
            </w:r>
            <w:r w:rsidR="00CE5942" w:rsidRPr="00CE5942">
              <w:rPr>
                <w:rFonts w:asciiTheme="minorHAnsi" w:hAnsiTheme="minorHAnsi" w:cstheme="minorHAnsi"/>
                <w:sz w:val="18"/>
                <w:szCs w:val="18"/>
              </w:rPr>
              <w:t xml:space="preserve"> -</w:t>
            </w:r>
            <w:r w:rsidR="00CE5942">
              <w:rPr>
                <w:rFonts w:asciiTheme="minorHAnsi" w:hAnsiTheme="minorHAnsi" w:cstheme="minorHAnsi"/>
                <w:b/>
                <w:sz w:val="18"/>
                <w:szCs w:val="18"/>
                <w:u w:val="single"/>
              </w:rPr>
              <w:t xml:space="preserve"> </w:t>
            </w:r>
            <w:r w:rsidRPr="00406D32">
              <w:rPr>
                <w:rFonts w:asciiTheme="minorHAnsi" w:hAnsiTheme="minorHAnsi" w:cstheme="minorHAnsi"/>
                <w:sz w:val="18"/>
                <w:szCs w:val="18"/>
              </w:rPr>
              <w:t xml:space="preserve">Požadavek na </w:t>
            </w:r>
            <w:r w:rsidR="0057774D">
              <w:rPr>
                <w:rFonts w:asciiTheme="minorHAnsi" w:hAnsiTheme="minorHAnsi" w:cstheme="minorHAnsi"/>
                <w:sz w:val="18"/>
                <w:szCs w:val="18"/>
              </w:rPr>
              <w:t xml:space="preserve">výdaj z této položky v roce 2022 </w:t>
            </w:r>
            <w:r w:rsidRPr="00406D32">
              <w:rPr>
                <w:rFonts w:asciiTheme="minorHAnsi" w:hAnsiTheme="minorHAnsi" w:cstheme="minorHAnsi"/>
                <w:sz w:val="18"/>
                <w:szCs w:val="18"/>
              </w:rPr>
              <w:t>nevznikl.</w:t>
            </w:r>
          </w:p>
        </w:tc>
      </w:tr>
    </w:tbl>
    <w:p w:rsidR="00AC40AA" w:rsidRPr="006E55BA" w:rsidRDefault="00AC40AA" w:rsidP="00AC40AA">
      <w:pPr>
        <w:rPr>
          <w:rFonts w:ascii="Calibri" w:hAnsi="Calibri" w:cs="Calibri"/>
          <w:b/>
          <w:color w:val="A6A6A6" w:themeColor="background1" w:themeShade="A6"/>
          <w:sz w:val="18"/>
          <w:szCs w:val="18"/>
        </w:rPr>
      </w:pPr>
    </w:p>
    <w:p w:rsidR="00AC40AA" w:rsidRPr="00CD2516" w:rsidRDefault="00AC40AA" w:rsidP="00AC40AA">
      <w:pPr>
        <w:rPr>
          <w:rFonts w:asciiTheme="minorHAnsi" w:hAnsiTheme="minorHAnsi" w:cstheme="minorHAnsi"/>
          <w:b/>
          <w:sz w:val="20"/>
          <w:szCs w:val="20"/>
          <w:u w:val="single"/>
        </w:rPr>
      </w:pPr>
      <w:r w:rsidRPr="00CD2516">
        <w:rPr>
          <w:rFonts w:asciiTheme="minorHAnsi" w:hAnsiTheme="minorHAnsi" w:cstheme="minorHAnsi"/>
          <w:b/>
          <w:sz w:val="20"/>
          <w:szCs w:val="20"/>
          <w:u w:val="single"/>
        </w:rPr>
        <w:t xml:space="preserve">Přehled schválených rozpočtových opatření kapitoly 11 </w:t>
      </w:r>
      <w:r w:rsidR="00E23E75" w:rsidRPr="00CD2516">
        <w:rPr>
          <w:rFonts w:asciiTheme="minorHAnsi" w:hAnsiTheme="minorHAnsi" w:cstheme="minorHAnsi"/>
          <w:b/>
          <w:sz w:val="20"/>
          <w:szCs w:val="20"/>
          <w:u w:val="single"/>
        </w:rPr>
        <w:t>a stupeň jejich realizace k 31.</w:t>
      </w:r>
      <w:r w:rsidR="009F56F3">
        <w:rPr>
          <w:rFonts w:asciiTheme="minorHAnsi" w:hAnsiTheme="minorHAnsi" w:cstheme="minorHAnsi"/>
          <w:b/>
          <w:sz w:val="20"/>
          <w:szCs w:val="20"/>
          <w:u w:val="single"/>
        </w:rPr>
        <w:t xml:space="preserve"> </w:t>
      </w:r>
      <w:r w:rsidR="00E23E75" w:rsidRPr="00CD2516">
        <w:rPr>
          <w:rFonts w:asciiTheme="minorHAnsi" w:hAnsiTheme="minorHAnsi" w:cstheme="minorHAnsi"/>
          <w:b/>
          <w:sz w:val="20"/>
          <w:szCs w:val="20"/>
          <w:u w:val="single"/>
        </w:rPr>
        <w:t>12.</w:t>
      </w:r>
      <w:r w:rsidR="009F56F3">
        <w:rPr>
          <w:rFonts w:asciiTheme="minorHAnsi" w:hAnsiTheme="minorHAnsi" w:cstheme="minorHAnsi"/>
          <w:b/>
          <w:sz w:val="20"/>
          <w:szCs w:val="20"/>
          <w:u w:val="single"/>
        </w:rPr>
        <w:t xml:space="preserve"> </w:t>
      </w:r>
      <w:r w:rsidR="00CD2516" w:rsidRPr="00CD2516">
        <w:rPr>
          <w:rFonts w:asciiTheme="minorHAnsi" w:hAnsiTheme="minorHAnsi" w:cstheme="minorHAnsi"/>
          <w:b/>
          <w:sz w:val="20"/>
          <w:szCs w:val="20"/>
          <w:u w:val="single"/>
        </w:rPr>
        <w:t>202</w:t>
      </w:r>
      <w:r w:rsidR="009F56F3">
        <w:rPr>
          <w:rFonts w:asciiTheme="minorHAnsi" w:hAnsiTheme="minorHAnsi" w:cstheme="minorHAnsi"/>
          <w:b/>
          <w:sz w:val="20"/>
          <w:szCs w:val="20"/>
          <w:u w:val="single"/>
        </w:rPr>
        <w:t>2</w:t>
      </w:r>
    </w:p>
    <w:tbl>
      <w:tblPr>
        <w:tblW w:w="976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0"/>
        <w:gridCol w:w="708"/>
        <w:gridCol w:w="709"/>
        <w:gridCol w:w="1559"/>
        <w:gridCol w:w="5812"/>
      </w:tblGrid>
      <w:tr w:rsidR="00101612" w:rsidRPr="006E55BA" w:rsidTr="00CE5942">
        <w:trPr>
          <w:trHeight w:val="264"/>
        </w:trPr>
        <w:tc>
          <w:tcPr>
            <w:tcW w:w="980" w:type="dxa"/>
            <w:shd w:val="clear" w:color="auto" w:fill="E2EFD9" w:themeFill="accent6" w:themeFillTint="33"/>
            <w:vAlign w:val="center"/>
          </w:tcPr>
          <w:p w:rsidR="00101612" w:rsidRPr="00626F95" w:rsidRDefault="00101612" w:rsidP="00F315F1">
            <w:pPr>
              <w:jc w:val="center"/>
              <w:rPr>
                <w:rFonts w:ascii="Calibri" w:hAnsi="Calibri" w:cs="Calibri"/>
                <w:b/>
                <w:sz w:val="18"/>
                <w:szCs w:val="18"/>
              </w:rPr>
            </w:pPr>
            <w:r w:rsidRPr="00626F95">
              <w:rPr>
                <w:rFonts w:ascii="Calibri" w:hAnsi="Calibri" w:cs="Calibri"/>
                <w:b/>
                <w:sz w:val="18"/>
                <w:szCs w:val="18"/>
              </w:rPr>
              <w:t>Datum</w:t>
            </w:r>
          </w:p>
        </w:tc>
        <w:tc>
          <w:tcPr>
            <w:tcW w:w="708" w:type="dxa"/>
            <w:shd w:val="clear" w:color="auto" w:fill="E2EFD9" w:themeFill="accent6" w:themeFillTint="33"/>
            <w:vAlign w:val="center"/>
          </w:tcPr>
          <w:p w:rsidR="00101612" w:rsidRPr="00626F95" w:rsidRDefault="00CE5942" w:rsidP="00F315F1">
            <w:pPr>
              <w:jc w:val="center"/>
              <w:rPr>
                <w:rFonts w:ascii="Calibri" w:hAnsi="Calibri" w:cs="Calibri"/>
                <w:b/>
                <w:sz w:val="18"/>
                <w:szCs w:val="18"/>
              </w:rPr>
            </w:pPr>
            <w:r>
              <w:rPr>
                <w:rFonts w:ascii="Calibri" w:hAnsi="Calibri" w:cs="Calibri"/>
                <w:b/>
                <w:sz w:val="18"/>
                <w:szCs w:val="18"/>
              </w:rPr>
              <w:t>Schv.</w:t>
            </w:r>
            <w:r w:rsidR="00101612" w:rsidRPr="00626F95">
              <w:rPr>
                <w:rFonts w:ascii="Calibri" w:hAnsi="Calibri" w:cs="Calibri"/>
                <w:b/>
                <w:sz w:val="18"/>
                <w:szCs w:val="18"/>
              </w:rPr>
              <w:t xml:space="preserve"> usnes. č.</w:t>
            </w:r>
          </w:p>
        </w:tc>
        <w:tc>
          <w:tcPr>
            <w:tcW w:w="709" w:type="dxa"/>
            <w:shd w:val="clear" w:color="auto" w:fill="E2EFD9" w:themeFill="accent6" w:themeFillTint="33"/>
            <w:vAlign w:val="center"/>
          </w:tcPr>
          <w:p w:rsidR="00101612" w:rsidRPr="00626F95" w:rsidRDefault="00101612" w:rsidP="00F315F1">
            <w:pPr>
              <w:keepNext/>
              <w:jc w:val="center"/>
              <w:outlineLvl w:val="1"/>
              <w:rPr>
                <w:rFonts w:ascii="Calibri" w:hAnsi="Calibri" w:cs="Calibri"/>
                <w:b/>
                <w:sz w:val="18"/>
                <w:szCs w:val="18"/>
              </w:rPr>
            </w:pPr>
            <w:bookmarkStart w:id="62" w:name="_Toc39129555"/>
            <w:r w:rsidRPr="00626F95">
              <w:rPr>
                <w:rFonts w:ascii="Calibri" w:hAnsi="Calibri" w:cs="Calibri"/>
                <w:b/>
                <w:sz w:val="18"/>
                <w:szCs w:val="18"/>
              </w:rPr>
              <w:t>tis. Kč</w:t>
            </w:r>
            <w:bookmarkEnd w:id="62"/>
          </w:p>
        </w:tc>
        <w:tc>
          <w:tcPr>
            <w:tcW w:w="1559" w:type="dxa"/>
            <w:shd w:val="clear" w:color="auto" w:fill="E2EFD9" w:themeFill="accent6" w:themeFillTint="33"/>
            <w:vAlign w:val="center"/>
          </w:tcPr>
          <w:p w:rsidR="00101612" w:rsidRPr="00626F95" w:rsidRDefault="00101612" w:rsidP="00F315F1">
            <w:pPr>
              <w:keepNext/>
              <w:jc w:val="center"/>
              <w:outlineLvl w:val="2"/>
              <w:rPr>
                <w:rFonts w:ascii="Calibri" w:hAnsi="Calibri" w:cs="Calibri"/>
                <w:b/>
                <w:sz w:val="18"/>
                <w:szCs w:val="18"/>
              </w:rPr>
            </w:pPr>
            <w:bookmarkStart w:id="63" w:name="_Toc39129556"/>
            <w:r w:rsidRPr="00626F95">
              <w:rPr>
                <w:rFonts w:ascii="Calibri" w:hAnsi="Calibri" w:cs="Calibri"/>
                <w:b/>
                <w:sz w:val="18"/>
                <w:szCs w:val="18"/>
              </w:rPr>
              <w:t>Stupeň realizace</w:t>
            </w:r>
            <w:bookmarkEnd w:id="63"/>
          </w:p>
        </w:tc>
        <w:tc>
          <w:tcPr>
            <w:tcW w:w="5812" w:type="dxa"/>
            <w:shd w:val="clear" w:color="auto" w:fill="E2EFD9" w:themeFill="accent6" w:themeFillTint="33"/>
            <w:vAlign w:val="center"/>
          </w:tcPr>
          <w:p w:rsidR="00101612" w:rsidRPr="00626F95" w:rsidRDefault="00101612" w:rsidP="00F315F1">
            <w:pPr>
              <w:keepNext/>
              <w:jc w:val="center"/>
              <w:outlineLvl w:val="2"/>
              <w:rPr>
                <w:rFonts w:ascii="Calibri" w:hAnsi="Calibri" w:cs="Calibri"/>
                <w:b/>
                <w:sz w:val="18"/>
                <w:szCs w:val="18"/>
              </w:rPr>
            </w:pPr>
            <w:bookmarkStart w:id="64" w:name="_Toc39129557"/>
            <w:r w:rsidRPr="00626F95">
              <w:rPr>
                <w:rFonts w:ascii="Calibri" w:hAnsi="Calibri" w:cs="Calibri"/>
                <w:b/>
                <w:sz w:val="18"/>
                <w:szCs w:val="18"/>
              </w:rPr>
              <w:t>Text  ROZOP</w:t>
            </w:r>
            <w:bookmarkEnd w:id="64"/>
          </w:p>
        </w:tc>
      </w:tr>
      <w:tr w:rsidR="00101612" w:rsidRPr="006E55BA" w:rsidTr="00CE5942">
        <w:trPr>
          <w:trHeight w:val="172"/>
        </w:trPr>
        <w:tc>
          <w:tcPr>
            <w:tcW w:w="980" w:type="dxa"/>
          </w:tcPr>
          <w:p w:rsidR="00101612" w:rsidRPr="00F638AA" w:rsidRDefault="00101612" w:rsidP="009F56F3">
            <w:pPr>
              <w:jc w:val="center"/>
              <w:rPr>
                <w:rFonts w:asciiTheme="minorHAnsi" w:hAnsiTheme="minorHAnsi" w:cstheme="minorHAnsi"/>
                <w:sz w:val="18"/>
                <w:szCs w:val="18"/>
              </w:rPr>
            </w:pPr>
            <w:r>
              <w:rPr>
                <w:rFonts w:asciiTheme="minorHAnsi" w:hAnsiTheme="minorHAnsi" w:cstheme="minorHAnsi"/>
                <w:sz w:val="18"/>
                <w:szCs w:val="18"/>
              </w:rPr>
              <w:t>11</w:t>
            </w:r>
            <w:r w:rsidRPr="00F638AA">
              <w:rPr>
                <w:rFonts w:asciiTheme="minorHAnsi" w:hAnsiTheme="minorHAnsi" w:cstheme="minorHAnsi"/>
                <w:sz w:val="18"/>
                <w:szCs w:val="18"/>
              </w:rPr>
              <w:t>.</w:t>
            </w:r>
            <w:r>
              <w:rPr>
                <w:rFonts w:asciiTheme="minorHAnsi" w:hAnsiTheme="minorHAnsi" w:cstheme="minorHAnsi"/>
                <w:sz w:val="18"/>
                <w:szCs w:val="18"/>
              </w:rPr>
              <w:t xml:space="preserve"> 1</w:t>
            </w:r>
            <w:r w:rsidRPr="00F638AA">
              <w:rPr>
                <w:rFonts w:asciiTheme="minorHAnsi" w:hAnsiTheme="minorHAnsi" w:cstheme="minorHAnsi"/>
                <w:sz w:val="18"/>
                <w:szCs w:val="18"/>
              </w:rPr>
              <w:t>.</w:t>
            </w:r>
            <w:r>
              <w:rPr>
                <w:rFonts w:asciiTheme="minorHAnsi" w:hAnsiTheme="minorHAnsi" w:cstheme="minorHAnsi"/>
                <w:sz w:val="18"/>
                <w:szCs w:val="18"/>
              </w:rPr>
              <w:t xml:space="preserve"> </w:t>
            </w:r>
            <w:r w:rsidRPr="00F638AA">
              <w:rPr>
                <w:rFonts w:asciiTheme="minorHAnsi" w:hAnsiTheme="minorHAnsi" w:cstheme="minorHAnsi"/>
                <w:sz w:val="18"/>
                <w:szCs w:val="18"/>
              </w:rPr>
              <w:t>202</w:t>
            </w:r>
            <w:r>
              <w:rPr>
                <w:rFonts w:asciiTheme="minorHAnsi" w:hAnsiTheme="minorHAnsi" w:cstheme="minorHAnsi"/>
                <w:sz w:val="18"/>
                <w:szCs w:val="18"/>
              </w:rPr>
              <w:t>2</w:t>
            </w:r>
          </w:p>
        </w:tc>
        <w:tc>
          <w:tcPr>
            <w:tcW w:w="708" w:type="dxa"/>
          </w:tcPr>
          <w:p w:rsidR="00101612" w:rsidRPr="00F638AA" w:rsidRDefault="00101612" w:rsidP="00F638AA">
            <w:pPr>
              <w:jc w:val="center"/>
              <w:rPr>
                <w:rFonts w:asciiTheme="minorHAnsi" w:hAnsiTheme="minorHAnsi" w:cstheme="minorHAnsi"/>
                <w:sz w:val="18"/>
                <w:szCs w:val="18"/>
              </w:rPr>
            </w:pPr>
            <w:r>
              <w:rPr>
                <w:rFonts w:asciiTheme="minorHAnsi" w:hAnsiTheme="minorHAnsi" w:cstheme="minorHAnsi"/>
                <w:sz w:val="18"/>
                <w:szCs w:val="18"/>
              </w:rPr>
              <w:t>103/20</w:t>
            </w:r>
          </w:p>
        </w:tc>
        <w:tc>
          <w:tcPr>
            <w:tcW w:w="709" w:type="dxa"/>
          </w:tcPr>
          <w:p w:rsidR="00101612" w:rsidRPr="00F638AA" w:rsidRDefault="00101612" w:rsidP="00F638AA">
            <w:pPr>
              <w:jc w:val="center"/>
              <w:rPr>
                <w:rFonts w:asciiTheme="minorHAnsi" w:hAnsiTheme="minorHAnsi" w:cstheme="minorHAnsi"/>
                <w:sz w:val="18"/>
                <w:szCs w:val="18"/>
              </w:rPr>
            </w:pPr>
            <w:r>
              <w:rPr>
                <w:rFonts w:asciiTheme="minorHAnsi" w:hAnsiTheme="minorHAnsi" w:cstheme="minorHAnsi"/>
                <w:sz w:val="18"/>
                <w:szCs w:val="18"/>
              </w:rPr>
              <w:t>835,01</w:t>
            </w:r>
          </w:p>
        </w:tc>
        <w:tc>
          <w:tcPr>
            <w:tcW w:w="1559" w:type="dxa"/>
          </w:tcPr>
          <w:p w:rsidR="00101612" w:rsidRPr="00F638AA" w:rsidRDefault="00101612" w:rsidP="00F638AA">
            <w:pPr>
              <w:rPr>
                <w:rFonts w:asciiTheme="minorHAnsi" w:hAnsiTheme="minorHAnsi" w:cstheme="minorHAnsi"/>
                <w:sz w:val="18"/>
                <w:szCs w:val="18"/>
              </w:rPr>
            </w:pPr>
            <w:r w:rsidRPr="00F638AA">
              <w:rPr>
                <w:rFonts w:asciiTheme="minorHAnsi" w:hAnsiTheme="minorHAnsi" w:cstheme="minorHAnsi"/>
                <w:sz w:val="18"/>
                <w:szCs w:val="18"/>
              </w:rPr>
              <w:t>ROZOP realizováno</w:t>
            </w:r>
          </w:p>
        </w:tc>
        <w:tc>
          <w:tcPr>
            <w:tcW w:w="5812" w:type="dxa"/>
          </w:tcPr>
          <w:p w:rsidR="00101612" w:rsidRPr="00F638AA" w:rsidRDefault="00101612" w:rsidP="00F638AA">
            <w:pPr>
              <w:rPr>
                <w:rFonts w:asciiTheme="minorHAnsi" w:hAnsiTheme="minorHAnsi" w:cstheme="minorHAnsi"/>
                <w:sz w:val="18"/>
                <w:szCs w:val="18"/>
              </w:rPr>
            </w:pPr>
            <w:r>
              <w:rPr>
                <w:rFonts w:asciiTheme="minorHAnsi" w:hAnsiTheme="minorHAnsi" w:cstheme="minorHAnsi"/>
                <w:sz w:val="18"/>
                <w:szCs w:val="18"/>
              </w:rPr>
              <w:t>Univerzální poplatková pokladna.</w:t>
            </w:r>
          </w:p>
        </w:tc>
      </w:tr>
      <w:tr w:rsidR="00101612" w:rsidRPr="006E55BA" w:rsidTr="00CE5942">
        <w:trPr>
          <w:trHeight w:val="264"/>
        </w:trPr>
        <w:tc>
          <w:tcPr>
            <w:tcW w:w="980" w:type="dxa"/>
          </w:tcPr>
          <w:p w:rsidR="00101612" w:rsidRPr="00F638AA" w:rsidRDefault="00101612" w:rsidP="00F638AA">
            <w:pPr>
              <w:jc w:val="center"/>
              <w:rPr>
                <w:rFonts w:asciiTheme="minorHAnsi" w:hAnsiTheme="minorHAnsi" w:cstheme="minorHAnsi"/>
                <w:sz w:val="18"/>
                <w:szCs w:val="18"/>
              </w:rPr>
            </w:pPr>
            <w:r>
              <w:rPr>
                <w:rFonts w:asciiTheme="minorHAnsi" w:hAnsiTheme="minorHAnsi" w:cstheme="minorHAnsi"/>
                <w:sz w:val="18"/>
                <w:szCs w:val="18"/>
              </w:rPr>
              <w:t>25</w:t>
            </w:r>
            <w:r w:rsidRPr="00F638AA">
              <w:rPr>
                <w:rFonts w:asciiTheme="minorHAnsi" w:hAnsiTheme="minorHAnsi" w:cstheme="minorHAnsi"/>
                <w:sz w:val="18"/>
                <w:szCs w:val="18"/>
              </w:rPr>
              <w:t>.</w:t>
            </w:r>
            <w:r>
              <w:rPr>
                <w:rFonts w:asciiTheme="minorHAnsi" w:hAnsiTheme="minorHAnsi" w:cstheme="minorHAnsi"/>
                <w:sz w:val="18"/>
                <w:szCs w:val="18"/>
              </w:rPr>
              <w:t xml:space="preserve"> 1</w:t>
            </w:r>
            <w:r w:rsidRPr="00F638AA">
              <w:rPr>
                <w:rFonts w:asciiTheme="minorHAnsi" w:hAnsiTheme="minorHAnsi" w:cstheme="minorHAnsi"/>
                <w:sz w:val="18"/>
                <w:szCs w:val="18"/>
              </w:rPr>
              <w:t>.</w:t>
            </w:r>
            <w:r>
              <w:rPr>
                <w:rFonts w:asciiTheme="minorHAnsi" w:hAnsiTheme="minorHAnsi" w:cstheme="minorHAnsi"/>
                <w:sz w:val="18"/>
                <w:szCs w:val="18"/>
              </w:rPr>
              <w:t xml:space="preserve"> 2022</w:t>
            </w:r>
          </w:p>
        </w:tc>
        <w:tc>
          <w:tcPr>
            <w:tcW w:w="708" w:type="dxa"/>
          </w:tcPr>
          <w:p w:rsidR="00101612" w:rsidRPr="00F638AA" w:rsidRDefault="00101612" w:rsidP="00F638AA">
            <w:pPr>
              <w:jc w:val="center"/>
              <w:rPr>
                <w:rFonts w:asciiTheme="minorHAnsi" w:hAnsiTheme="minorHAnsi" w:cstheme="minorHAnsi"/>
                <w:sz w:val="18"/>
                <w:szCs w:val="18"/>
              </w:rPr>
            </w:pPr>
            <w:r>
              <w:rPr>
                <w:rFonts w:asciiTheme="minorHAnsi" w:hAnsiTheme="minorHAnsi" w:cstheme="minorHAnsi"/>
                <w:sz w:val="18"/>
                <w:szCs w:val="18"/>
              </w:rPr>
              <w:t>104/52</w:t>
            </w:r>
          </w:p>
        </w:tc>
        <w:tc>
          <w:tcPr>
            <w:tcW w:w="709" w:type="dxa"/>
          </w:tcPr>
          <w:p w:rsidR="00101612" w:rsidRPr="00F638AA" w:rsidRDefault="00101612" w:rsidP="00F638AA">
            <w:pPr>
              <w:jc w:val="center"/>
              <w:rPr>
                <w:rFonts w:asciiTheme="minorHAnsi" w:hAnsiTheme="minorHAnsi" w:cstheme="minorHAnsi"/>
                <w:sz w:val="18"/>
                <w:szCs w:val="18"/>
              </w:rPr>
            </w:pPr>
            <w:r>
              <w:rPr>
                <w:rFonts w:asciiTheme="minorHAnsi" w:hAnsiTheme="minorHAnsi" w:cstheme="minorHAnsi"/>
                <w:sz w:val="18"/>
                <w:szCs w:val="18"/>
              </w:rPr>
              <w:t>351,00</w:t>
            </w:r>
          </w:p>
        </w:tc>
        <w:tc>
          <w:tcPr>
            <w:tcW w:w="1559" w:type="dxa"/>
          </w:tcPr>
          <w:p w:rsidR="00101612" w:rsidRPr="00F638AA" w:rsidRDefault="00101612" w:rsidP="001127C1">
            <w:pPr>
              <w:rPr>
                <w:rFonts w:asciiTheme="minorHAnsi" w:hAnsiTheme="minorHAnsi" w:cstheme="minorHAnsi"/>
                <w:sz w:val="18"/>
                <w:szCs w:val="18"/>
              </w:rPr>
            </w:pPr>
            <w:r w:rsidRPr="00F638AA">
              <w:rPr>
                <w:rFonts w:asciiTheme="minorHAnsi" w:hAnsiTheme="minorHAnsi" w:cstheme="minorHAnsi"/>
                <w:sz w:val="18"/>
                <w:szCs w:val="18"/>
              </w:rPr>
              <w:t xml:space="preserve">ROZOP realizováno </w:t>
            </w:r>
          </w:p>
        </w:tc>
        <w:tc>
          <w:tcPr>
            <w:tcW w:w="5812" w:type="dxa"/>
          </w:tcPr>
          <w:p w:rsidR="00101612" w:rsidRPr="00F638AA" w:rsidRDefault="00101612" w:rsidP="00F638AA">
            <w:pPr>
              <w:rPr>
                <w:rFonts w:asciiTheme="minorHAnsi" w:hAnsiTheme="minorHAnsi" w:cstheme="minorHAnsi"/>
                <w:sz w:val="18"/>
                <w:szCs w:val="18"/>
              </w:rPr>
            </w:pPr>
            <w:r>
              <w:rPr>
                <w:rFonts w:asciiTheme="minorHAnsi" w:hAnsiTheme="minorHAnsi" w:cstheme="minorHAnsi"/>
                <w:sz w:val="18"/>
                <w:szCs w:val="18"/>
              </w:rPr>
              <w:t>Navýšení výdajů za úklidové služby.</w:t>
            </w:r>
          </w:p>
        </w:tc>
      </w:tr>
      <w:tr w:rsidR="00101612" w:rsidRPr="006E55BA" w:rsidTr="00CE5942">
        <w:trPr>
          <w:trHeight w:val="264"/>
        </w:trPr>
        <w:tc>
          <w:tcPr>
            <w:tcW w:w="980" w:type="dxa"/>
          </w:tcPr>
          <w:p w:rsidR="00101612" w:rsidRPr="00F638AA" w:rsidRDefault="00101612" w:rsidP="00F638AA">
            <w:pPr>
              <w:jc w:val="center"/>
              <w:rPr>
                <w:rFonts w:asciiTheme="minorHAnsi" w:hAnsiTheme="minorHAnsi" w:cstheme="minorHAnsi"/>
                <w:sz w:val="18"/>
                <w:szCs w:val="18"/>
              </w:rPr>
            </w:pPr>
            <w:r>
              <w:rPr>
                <w:rFonts w:asciiTheme="minorHAnsi" w:hAnsiTheme="minorHAnsi" w:cstheme="minorHAnsi"/>
                <w:sz w:val="18"/>
                <w:szCs w:val="18"/>
              </w:rPr>
              <w:t>25</w:t>
            </w:r>
            <w:r w:rsidRPr="00F638AA">
              <w:rPr>
                <w:rFonts w:asciiTheme="minorHAnsi" w:hAnsiTheme="minorHAnsi" w:cstheme="minorHAnsi"/>
                <w:sz w:val="18"/>
                <w:szCs w:val="18"/>
              </w:rPr>
              <w:t>.</w:t>
            </w:r>
            <w:r>
              <w:rPr>
                <w:rFonts w:asciiTheme="minorHAnsi" w:hAnsiTheme="minorHAnsi" w:cstheme="minorHAnsi"/>
                <w:sz w:val="18"/>
                <w:szCs w:val="18"/>
              </w:rPr>
              <w:t xml:space="preserve"> 1</w:t>
            </w:r>
            <w:r w:rsidRPr="00F638AA">
              <w:rPr>
                <w:rFonts w:asciiTheme="minorHAnsi" w:hAnsiTheme="minorHAnsi" w:cstheme="minorHAnsi"/>
                <w:sz w:val="18"/>
                <w:szCs w:val="18"/>
              </w:rPr>
              <w:t>.</w:t>
            </w:r>
            <w:r>
              <w:rPr>
                <w:rFonts w:asciiTheme="minorHAnsi" w:hAnsiTheme="minorHAnsi" w:cstheme="minorHAnsi"/>
                <w:sz w:val="18"/>
                <w:szCs w:val="18"/>
              </w:rPr>
              <w:t xml:space="preserve"> 2022</w:t>
            </w:r>
          </w:p>
        </w:tc>
        <w:tc>
          <w:tcPr>
            <w:tcW w:w="708" w:type="dxa"/>
          </w:tcPr>
          <w:p w:rsidR="00101612" w:rsidRPr="00F638AA" w:rsidRDefault="00101612" w:rsidP="00F638AA">
            <w:pPr>
              <w:jc w:val="center"/>
              <w:rPr>
                <w:rFonts w:asciiTheme="minorHAnsi" w:hAnsiTheme="minorHAnsi" w:cstheme="minorHAnsi"/>
                <w:sz w:val="18"/>
                <w:szCs w:val="18"/>
              </w:rPr>
            </w:pPr>
            <w:r>
              <w:rPr>
                <w:rFonts w:asciiTheme="minorHAnsi" w:hAnsiTheme="minorHAnsi" w:cstheme="minorHAnsi"/>
                <w:sz w:val="18"/>
                <w:szCs w:val="18"/>
              </w:rPr>
              <w:t>104/53</w:t>
            </w:r>
          </w:p>
        </w:tc>
        <w:tc>
          <w:tcPr>
            <w:tcW w:w="709" w:type="dxa"/>
          </w:tcPr>
          <w:p w:rsidR="00101612" w:rsidRPr="00F638AA" w:rsidRDefault="00101612" w:rsidP="00F638AA">
            <w:pPr>
              <w:jc w:val="center"/>
              <w:rPr>
                <w:rFonts w:asciiTheme="minorHAnsi" w:hAnsiTheme="minorHAnsi" w:cstheme="minorHAnsi"/>
                <w:sz w:val="18"/>
                <w:szCs w:val="18"/>
              </w:rPr>
            </w:pPr>
            <w:r>
              <w:rPr>
                <w:rFonts w:asciiTheme="minorHAnsi" w:hAnsiTheme="minorHAnsi" w:cstheme="minorHAnsi"/>
                <w:sz w:val="18"/>
                <w:szCs w:val="18"/>
              </w:rPr>
              <w:t>5 000,00</w:t>
            </w:r>
          </w:p>
        </w:tc>
        <w:tc>
          <w:tcPr>
            <w:tcW w:w="1559" w:type="dxa"/>
          </w:tcPr>
          <w:p w:rsidR="00101612" w:rsidRPr="00F638AA" w:rsidRDefault="00101612" w:rsidP="00F638AA">
            <w:pPr>
              <w:rPr>
                <w:rFonts w:asciiTheme="minorHAnsi" w:hAnsiTheme="minorHAnsi" w:cstheme="minorHAnsi"/>
                <w:sz w:val="18"/>
                <w:szCs w:val="18"/>
              </w:rPr>
            </w:pPr>
            <w:r w:rsidRPr="00F638AA">
              <w:rPr>
                <w:rFonts w:asciiTheme="minorHAnsi" w:hAnsiTheme="minorHAnsi" w:cstheme="minorHAnsi"/>
                <w:sz w:val="18"/>
                <w:szCs w:val="18"/>
              </w:rPr>
              <w:t>ROZOP realizováno</w:t>
            </w:r>
          </w:p>
        </w:tc>
        <w:tc>
          <w:tcPr>
            <w:tcW w:w="5812" w:type="dxa"/>
          </w:tcPr>
          <w:p w:rsidR="00101612" w:rsidRPr="00F638AA" w:rsidRDefault="00101612" w:rsidP="00F638AA">
            <w:pPr>
              <w:rPr>
                <w:rFonts w:asciiTheme="minorHAnsi" w:hAnsiTheme="minorHAnsi" w:cstheme="minorHAnsi"/>
                <w:sz w:val="18"/>
                <w:szCs w:val="18"/>
              </w:rPr>
            </w:pPr>
            <w:r>
              <w:rPr>
                <w:rFonts w:asciiTheme="minorHAnsi" w:hAnsiTheme="minorHAnsi" w:cstheme="minorHAnsi"/>
                <w:sz w:val="18"/>
                <w:szCs w:val="18"/>
              </w:rPr>
              <w:t>Modernizace zabezpečovacího systému.</w:t>
            </w:r>
          </w:p>
        </w:tc>
      </w:tr>
      <w:tr w:rsidR="00101612" w:rsidRPr="006E55BA" w:rsidTr="00CE5942">
        <w:trPr>
          <w:trHeight w:val="264"/>
        </w:trPr>
        <w:tc>
          <w:tcPr>
            <w:tcW w:w="980" w:type="dxa"/>
          </w:tcPr>
          <w:p w:rsidR="00101612" w:rsidRPr="00F638AA" w:rsidRDefault="00101612" w:rsidP="00F638AA">
            <w:pPr>
              <w:jc w:val="center"/>
              <w:rPr>
                <w:rFonts w:asciiTheme="minorHAnsi" w:hAnsiTheme="minorHAnsi" w:cstheme="minorHAnsi"/>
                <w:sz w:val="18"/>
                <w:szCs w:val="18"/>
              </w:rPr>
            </w:pPr>
            <w:r>
              <w:rPr>
                <w:rFonts w:asciiTheme="minorHAnsi" w:hAnsiTheme="minorHAnsi" w:cstheme="minorHAnsi"/>
                <w:sz w:val="18"/>
                <w:szCs w:val="18"/>
              </w:rPr>
              <w:t>8. 3. 2022</w:t>
            </w:r>
          </w:p>
        </w:tc>
        <w:tc>
          <w:tcPr>
            <w:tcW w:w="708" w:type="dxa"/>
          </w:tcPr>
          <w:p w:rsidR="00101612" w:rsidRPr="00F638AA" w:rsidRDefault="00101612" w:rsidP="00F638AA">
            <w:pPr>
              <w:jc w:val="center"/>
              <w:rPr>
                <w:rFonts w:asciiTheme="minorHAnsi" w:hAnsiTheme="minorHAnsi" w:cstheme="minorHAnsi"/>
                <w:sz w:val="18"/>
                <w:szCs w:val="18"/>
              </w:rPr>
            </w:pPr>
            <w:r>
              <w:rPr>
                <w:rFonts w:asciiTheme="minorHAnsi" w:hAnsiTheme="minorHAnsi" w:cstheme="minorHAnsi"/>
                <w:sz w:val="18"/>
                <w:szCs w:val="18"/>
              </w:rPr>
              <w:t>110/14</w:t>
            </w:r>
          </w:p>
        </w:tc>
        <w:tc>
          <w:tcPr>
            <w:tcW w:w="709" w:type="dxa"/>
          </w:tcPr>
          <w:p w:rsidR="00101612" w:rsidRPr="00F638AA" w:rsidRDefault="00101612" w:rsidP="00F638AA">
            <w:pPr>
              <w:jc w:val="center"/>
              <w:rPr>
                <w:rFonts w:asciiTheme="minorHAnsi" w:hAnsiTheme="minorHAnsi" w:cstheme="minorHAnsi"/>
                <w:sz w:val="18"/>
                <w:szCs w:val="18"/>
              </w:rPr>
            </w:pPr>
            <w:r>
              <w:rPr>
                <w:rFonts w:asciiTheme="minorHAnsi" w:hAnsiTheme="minorHAnsi" w:cstheme="minorHAnsi"/>
                <w:sz w:val="18"/>
                <w:szCs w:val="18"/>
              </w:rPr>
              <w:t>2 292,00</w:t>
            </w:r>
          </w:p>
        </w:tc>
        <w:tc>
          <w:tcPr>
            <w:tcW w:w="1559" w:type="dxa"/>
          </w:tcPr>
          <w:p w:rsidR="00101612" w:rsidRPr="00F638AA" w:rsidRDefault="00101612" w:rsidP="00F638AA">
            <w:pPr>
              <w:rPr>
                <w:rFonts w:asciiTheme="minorHAnsi" w:hAnsiTheme="minorHAnsi" w:cstheme="minorHAnsi"/>
                <w:sz w:val="18"/>
                <w:szCs w:val="18"/>
              </w:rPr>
            </w:pPr>
            <w:r>
              <w:rPr>
                <w:rFonts w:asciiTheme="minorHAnsi" w:hAnsiTheme="minorHAnsi" w:cstheme="minorHAnsi"/>
                <w:sz w:val="18"/>
                <w:szCs w:val="18"/>
              </w:rPr>
              <w:t>ROZOP realizováno</w:t>
            </w:r>
          </w:p>
        </w:tc>
        <w:tc>
          <w:tcPr>
            <w:tcW w:w="5812" w:type="dxa"/>
          </w:tcPr>
          <w:p w:rsidR="00101612" w:rsidRPr="00F638AA" w:rsidRDefault="00101612" w:rsidP="00F638AA">
            <w:pPr>
              <w:rPr>
                <w:rFonts w:asciiTheme="minorHAnsi" w:hAnsiTheme="minorHAnsi" w:cstheme="minorHAnsi"/>
                <w:sz w:val="18"/>
                <w:szCs w:val="18"/>
              </w:rPr>
            </w:pPr>
            <w:r>
              <w:rPr>
                <w:rFonts w:asciiTheme="minorHAnsi" w:hAnsiTheme="minorHAnsi" w:cstheme="minorHAnsi"/>
                <w:sz w:val="18"/>
                <w:szCs w:val="18"/>
              </w:rPr>
              <w:t>Modernizace zabezpečovacího zařízení.</w:t>
            </w:r>
          </w:p>
        </w:tc>
      </w:tr>
      <w:tr w:rsidR="00101612" w:rsidRPr="006E55BA" w:rsidTr="00CE5942">
        <w:trPr>
          <w:trHeight w:val="264"/>
        </w:trPr>
        <w:tc>
          <w:tcPr>
            <w:tcW w:w="980" w:type="dxa"/>
          </w:tcPr>
          <w:p w:rsidR="00101612" w:rsidRPr="00F638AA" w:rsidRDefault="00101612" w:rsidP="00F638AA">
            <w:pPr>
              <w:jc w:val="center"/>
              <w:rPr>
                <w:rFonts w:asciiTheme="minorHAnsi" w:hAnsiTheme="minorHAnsi" w:cstheme="minorHAnsi"/>
                <w:sz w:val="18"/>
                <w:szCs w:val="18"/>
              </w:rPr>
            </w:pPr>
            <w:r>
              <w:rPr>
                <w:rFonts w:asciiTheme="minorHAnsi" w:hAnsiTheme="minorHAnsi" w:cstheme="minorHAnsi"/>
                <w:sz w:val="18"/>
                <w:szCs w:val="18"/>
              </w:rPr>
              <w:t>8. 3. 2022</w:t>
            </w:r>
          </w:p>
        </w:tc>
        <w:tc>
          <w:tcPr>
            <w:tcW w:w="708" w:type="dxa"/>
          </w:tcPr>
          <w:p w:rsidR="00101612" w:rsidRPr="00F638AA" w:rsidRDefault="00101612" w:rsidP="00F638AA">
            <w:pPr>
              <w:jc w:val="center"/>
              <w:rPr>
                <w:rFonts w:asciiTheme="minorHAnsi" w:hAnsiTheme="minorHAnsi" w:cstheme="minorHAnsi"/>
                <w:sz w:val="18"/>
                <w:szCs w:val="18"/>
              </w:rPr>
            </w:pPr>
            <w:r>
              <w:rPr>
                <w:rFonts w:asciiTheme="minorHAnsi" w:hAnsiTheme="minorHAnsi" w:cstheme="minorHAnsi"/>
                <w:sz w:val="18"/>
                <w:szCs w:val="18"/>
              </w:rPr>
              <w:t>110/15</w:t>
            </w:r>
          </w:p>
        </w:tc>
        <w:tc>
          <w:tcPr>
            <w:tcW w:w="709" w:type="dxa"/>
          </w:tcPr>
          <w:p w:rsidR="00101612" w:rsidRPr="00F638AA" w:rsidRDefault="00101612" w:rsidP="00F638AA">
            <w:pPr>
              <w:jc w:val="center"/>
              <w:rPr>
                <w:rFonts w:asciiTheme="minorHAnsi" w:hAnsiTheme="minorHAnsi" w:cstheme="minorHAnsi"/>
                <w:sz w:val="18"/>
                <w:szCs w:val="18"/>
              </w:rPr>
            </w:pPr>
            <w:r>
              <w:rPr>
                <w:rFonts w:asciiTheme="minorHAnsi" w:hAnsiTheme="minorHAnsi" w:cstheme="minorHAnsi"/>
                <w:sz w:val="18"/>
                <w:szCs w:val="18"/>
              </w:rPr>
              <w:t>302,00</w:t>
            </w:r>
          </w:p>
        </w:tc>
        <w:tc>
          <w:tcPr>
            <w:tcW w:w="1559" w:type="dxa"/>
          </w:tcPr>
          <w:p w:rsidR="00101612" w:rsidRPr="00F638AA" w:rsidRDefault="00101612" w:rsidP="00F638AA">
            <w:pPr>
              <w:rPr>
                <w:rFonts w:asciiTheme="minorHAnsi" w:hAnsiTheme="minorHAnsi" w:cstheme="minorHAnsi"/>
                <w:sz w:val="18"/>
                <w:szCs w:val="18"/>
              </w:rPr>
            </w:pPr>
            <w:r>
              <w:rPr>
                <w:rFonts w:asciiTheme="minorHAnsi" w:hAnsiTheme="minorHAnsi" w:cstheme="minorHAnsi"/>
                <w:sz w:val="18"/>
                <w:szCs w:val="18"/>
              </w:rPr>
              <w:t>ROZOP realizováno</w:t>
            </w:r>
          </w:p>
        </w:tc>
        <w:tc>
          <w:tcPr>
            <w:tcW w:w="5812" w:type="dxa"/>
          </w:tcPr>
          <w:p w:rsidR="00101612" w:rsidRPr="00F638AA" w:rsidRDefault="00101612" w:rsidP="00F638AA">
            <w:pPr>
              <w:rPr>
                <w:rFonts w:asciiTheme="minorHAnsi" w:hAnsiTheme="minorHAnsi" w:cstheme="minorHAnsi"/>
                <w:sz w:val="18"/>
                <w:szCs w:val="18"/>
              </w:rPr>
            </w:pPr>
            <w:r>
              <w:rPr>
                <w:rFonts w:asciiTheme="minorHAnsi" w:hAnsiTheme="minorHAnsi" w:cstheme="minorHAnsi"/>
                <w:sz w:val="18"/>
                <w:szCs w:val="18"/>
              </w:rPr>
              <w:t>Vybavení rekreačního zařízení Pohodlí.</w:t>
            </w:r>
          </w:p>
        </w:tc>
      </w:tr>
      <w:tr w:rsidR="00101612" w:rsidRPr="006E55BA" w:rsidTr="00CE5942">
        <w:trPr>
          <w:trHeight w:val="264"/>
        </w:trPr>
        <w:tc>
          <w:tcPr>
            <w:tcW w:w="980" w:type="dxa"/>
            <w:vAlign w:val="center"/>
          </w:tcPr>
          <w:p w:rsidR="00101612" w:rsidRPr="00F638AA" w:rsidRDefault="00101612" w:rsidP="00F638AA">
            <w:pPr>
              <w:jc w:val="center"/>
              <w:rPr>
                <w:rFonts w:asciiTheme="minorHAnsi" w:hAnsiTheme="minorHAnsi" w:cstheme="minorHAnsi"/>
                <w:sz w:val="18"/>
                <w:szCs w:val="18"/>
              </w:rPr>
            </w:pPr>
            <w:r>
              <w:rPr>
                <w:rFonts w:asciiTheme="minorHAnsi" w:hAnsiTheme="minorHAnsi" w:cstheme="minorHAnsi"/>
                <w:sz w:val="18"/>
                <w:szCs w:val="18"/>
              </w:rPr>
              <w:t>6. 6. 2022</w:t>
            </w:r>
          </w:p>
        </w:tc>
        <w:tc>
          <w:tcPr>
            <w:tcW w:w="708" w:type="dxa"/>
            <w:vAlign w:val="center"/>
          </w:tcPr>
          <w:p w:rsidR="00101612" w:rsidRPr="00F638AA" w:rsidRDefault="00101612" w:rsidP="00F638AA">
            <w:pPr>
              <w:jc w:val="center"/>
              <w:rPr>
                <w:rFonts w:asciiTheme="minorHAnsi" w:hAnsiTheme="minorHAnsi" w:cstheme="minorHAnsi"/>
                <w:sz w:val="18"/>
                <w:szCs w:val="18"/>
              </w:rPr>
            </w:pPr>
            <w:r>
              <w:rPr>
                <w:rFonts w:asciiTheme="minorHAnsi" w:hAnsiTheme="minorHAnsi" w:cstheme="minorHAnsi"/>
                <w:sz w:val="18"/>
                <w:szCs w:val="18"/>
              </w:rPr>
              <w:t>116/37</w:t>
            </w:r>
          </w:p>
        </w:tc>
        <w:tc>
          <w:tcPr>
            <w:tcW w:w="709" w:type="dxa"/>
            <w:vAlign w:val="center"/>
          </w:tcPr>
          <w:p w:rsidR="00101612" w:rsidRPr="00F638AA" w:rsidRDefault="00101612" w:rsidP="00F638AA">
            <w:pPr>
              <w:jc w:val="center"/>
              <w:rPr>
                <w:rFonts w:asciiTheme="minorHAnsi" w:hAnsiTheme="minorHAnsi" w:cstheme="minorHAnsi"/>
                <w:sz w:val="18"/>
                <w:szCs w:val="18"/>
              </w:rPr>
            </w:pPr>
            <w:r>
              <w:rPr>
                <w:rFonts w:asciiTheme="minorHAnsi" w:hAnsiTheme="minorHAnsi" w:cstheme="minorHAnsi"/>
                <w:sz w:val="18"/>
                <w:szCs w:val="18"/>
              </w:rPr>
              <w:t>178,00</w:t>
            </w:r>
          </w:p>
        </w:tc>
        <w:tc>
          <w:tcPr>
            <w:tcW w:w="1559" w:type="dxa"/>
            <w:vAlign w:val="center"/>
          </w:tcPr>
          <w:p w:rsidR="00101612" w:rsidRPr="00F638AA" w:rsidRDefault="00101612" w:rsidP="00F638AA">
            <w:pPr>
              <w:rPr>
                <w:rFonts w:asciiTheme="minorHAnsi" w:hAnsiTheme="minorHAnsi" w:cstheme="minorHAnsi"/>
                <w:sz w:val="18"/>
                <w:szCs w:val="18"/>
              </w:rPr>
            </w:pPr>
            <w:r>
              <w:rPr>
                <w:rFonts w:asciiTheme="minorHAnsi" w:hAnsiTheme="minorHAnsi" w:cstheme="minorHAnsi"/>
                <w:sz w:val="18"/>
                <w:szCs w:val="18"/>
              </w:rPr>
              <w:t>ROZOP realizováno</w:t>
            </w:r>
          </w:p>
        </w:tc>
        <w:tc>
          <w:tcPr>
            <w:tcW w:w="5812" w:type="dxa"/>
          </w:tcPr>
          <w:p w:rsidR="00101612" w:rsidRPr="00F638AA" w:rsidRDefault="00101612" w:rsidP="00F638AA">
            <w:pPr>
              <w:rPr>
                <w:rFonts w:asciiTheme="minorHAnsi" w:hAnsiTheme="minorHAnsi" w:cstheme="minorHAnsi"/>
                <w:sz w:val="18"/>
                <w:szCs w:val="18"/>
              </w:rPr>
            </w:pPr>
            <w:r>
              <w:rPr>
                <w:rFonts w:asciiTheme="minorHAnsi" w:hAnsiTheme="minorHAnsi" w:cstheme="minorHAnsi"/>
                <w:sz w:val="18"/>
                <w:szCs w:val="18"/>
              </w:rPr>
              <w:t xml:space="preserve">Rekonstrukce hasičské zbrojnice </w:t>
            </w:r>
            <w:r w:rsidRPr="007E1B49">
              <w:rPr>
                <w:rFonts w:asciiTheme="minorHAnsi" w:hAnsiTheme="minorHAnsi" w:cstheme="minorHAnsi"/>
                <w:sz w:val="18"/>
                <w:szCs w:val="18"/>
              </w:rPr>
              <w:t>Domamyslice - objekt prádelny</w:t>
            </w:r>
            <w:r>
              <w:rPr>
                <w:rFonts w:asciiTheme="minorHAnsi" w:hAnsiTheme="minorHAnsi" w:cstheme="minorHAnsi"/>
                <w:sz w:val="18"/>
                <w:szCs w:val="18"/>
              </w:rPr>
              <w:t>.</w:t>
            </w:r>
          </w:p>
        </w:tc>
      </w:tr>
      <w:tr w:rsidR="00101612" w:rsidRPr="006E55BA" w:rsidTr="00CE5942">
        <w:trPr>
          <w:trHeight w:val="264"/>
        </w:trPr>
        <w:tc>
          <w:tcPr>
            <w:tcW w:w="980" w:type="dxa"/>
          </w:tcPr>
          <w:p w:rsidR="00101612" w:rsidRPr="00F638AA" w:rsidRDefault="00101612" w:rsidP="00F638AA">
            <w:pPr>
              <w:jc w:val="center"/>
              <w:rPr>
                <w:rFonts w:asciiTheme="minorHAnsi" w:hAnsiTheme="minorHAnsi" w:cstheme="minorHAnsi"/>
                <w:sz w:val="18"/>
                <w:szCs w:val="18"/>
              </w:rPr>
            </w:pPr>
            <w:r>
              <w:rPr>
                <w:rFonts w:asciiTheme="minorHAnsi" w:hAnsiTheme="minorHAnsi" w:cstheme="minorHAnsi"/>
                <w:sz w:val="18"/>
                <w:szCs w:val="18"/>
              </w:rPr>
              <w:t>30. 6. 2022</w:t>
            </w:r>
          </w:p>
        </w:tc>
        <w:tc>
          <w:tcPr>
            <w:tcW w:w="708" w:type="dxa"/>
          </w:tcPr>
          <w:p w:rsidR="00101612" w:rsidRPr="00F638AA" w:rsidRDefault="00101612" w:rsidP="00F638AA">
            <w:pPr>
              <w:jc w:val="center"/>
              <w:rPr>
                <w:rFonts w:asciiTheme="minorHAnsi" w:hAnsiTheme="minorHAnsi" w:cstheme="minorHAnsi"/>
                <w:sz w:val="18"/>
                <w:szCs w:val="18"/>
              </w:rPr>
            </w:pPr>
            <w:r>
              <w:rPr>
                <w:rFonts w:asciiTheme="minorHAnsi" w:hAnsiTheme="minorHAnsi" w:cstheme="minorHAnsi"/>
                <w:sz w:val="18"/>
                <w:szCs w:val="18"/>
              </w:rPr>
              <w:t>119/71</w:t>
            </w:r>
          </w:p>
        </w:tc>
        <w:tc>
          <w:tcPr>
            <w:tcW w:w="709" w:type="dxa"/>
          </w:tcPr>
          <w:p w:rsidR="00101612" w:rsidRPr="00F638AA" w:rsidRDefault="00101612" w:rsidP="00F638AA">
            <w:pPr>
              <w:jc w:val="center"/>
              <w:rPr>
                <w:rFonts w:asciiTheme="minorHAnsi" w:hAnsiTheme="minorHAnsi" w:cstheme="minorHAnsi"/>
                <w:sz w:val="18"/>
                <w:szCs w:val="18"/>
              </w:rPr>
            </w:pPr>
            <w:r>
              <w:rPr>
                <w:rFonts w:asciiTheme="minorHAnsi" w:hAnsiTheme="minorHAnsi" w:cstheme="minorHAnsi"/>
                <w:sz w:val="18"/>
                <w:szCs w:val="18"/>
              </w:rPr>
              <w:t>3 450,00</w:t>
            </w:r>
          </w:p>
        </w:tc>
        <w:tc>
          <w:tcPr>
            <w:tcW w:w="1559" w:type="dxa"/>
          </w:tcPr>
          <w:p w:rsidR="00101612" w:rsidRPr="00F638AA" w:rsidRDefault="00101612" w:rsidP="00F638AA">
            <w:pPr>
              <w:rPr>
                <w:rFonts w:asciiTheme="minorHAnsi" w:hAnsiTheme="minorHAnsi" w:cstheme="minorHAnsi"/>
                <w:sz w:val="18"/>
                <w:szCs w:val="18"/>
              </w:rPr>
            </w:pPr>
            <w:r>
              <w:rPr>
                <w:rFonts w:asciiTheme="minorHAnsi" w:hAnsiTheme="minorHAnsi" w:cstheme="minorHAnsi"/>
                <w:sz w:val="18"/>
                <w:szCs w:val="18"/>
              </w:rPr>
              <w:t>ROZOP realizováno</w:t>
            </w:r>
          </w:p>
        </w:tc>
        <w:tc>
          <w:tcPr>
            <w:tcW w:w="5812" w:type="dxa"/>
          </w:tcPr>
          <w:p w:rsidR="00101612" w:rsidRPr="00F638AA" w:rsidRDefault="00101612" w:rsidP="00CE5942">
            <w:pPr>
              <w:spacing w:line="276" w:lineRule="auto"/>
              <w:rPr>
                <w:rFonts w:asciiTheme="minorHAnsi" w:hAnsiTheme="minorHAnsi" w:cstheme="minorHAnsi"/>
                <w:sz w:val="18"/>
                <w:szCs w:val="18"/>
              </w:rPr>
            </w:pPr>
            <w:r>
              <w:rPr>
                <w:rFonts w:asciiTheme="minorHAnsi" w:hAnsiTheme="minorHAnsi" w:cstheme="minorHAnsi"/>
                <w:sz w:val="18"/>
                <w:szCs w:val="18"/>
              </w:rPr>
              <w:t>M</w:t>
            </w:r>
            <w:r w:rsidRPr="00101612">
              <w:rPr>
                <w:rFonts w:asciiTheme="minorHAnsi" w:hAnsiTheme="minorHAnsi" w:cstheme="minorHAnsi"/>
                <w:sz w:val="18"/>
                <w:szCs w:val="18"/>
              </w:rPr>
              <w:t>odernizace zabezpečovacích systémů - budovy A a B</w:t>
            </w:r>
            <w:r>
              <w:rPr>
                <w:rFonts w:asciiTheme="minorHAnsi" w:hAnsiTheme="minorHAnsi" w:cstheme="minorHAnsi"/>
                <w:sz w:val="18"/>
                <w:szCs w:val="18"/>
              </w:rPr>
              <w:t>.</w:t>
            </w:r>
          </w:p>
        </w:tc>
      </w:tr>
      <w:tr w:rsidR="00101612" w:rsidRPr="006E55BA" w:rsidTr="00CE5942">
        <w:trPr>
          <w:trHeight w:val="264"/>
        </w:trPr>
        <w:tc>
          <w:tcPr>
            <w:tcW w:w="980" w:type="dxa"/>
          </w:tcPr>
          <w:p w:rsidR="00101612" w:rsidRPr="00F638AA" w:rsidRDefault="00101612" w:rsidP="00F638AA">
            <w:pPr>
              <w:jc w:val="center"/>
              <w:rPr>
                <w:rFonts w:asciiTheme="minorHAnsi" w:hAnsiTheme="minorHAnsi" w:cstheme="minorHAnsi"/>
                <w:sz w:val="18"/>
                <w:szCs w:val="18"/>
              </w:rPr>
            </w:pPr>
            <w:r>
              <w:rPr>
                <w:rFonts w:asciiTheme="minorHAnsi" w:hAnsiTheme="minorHAnsi" w:cstheme="minorHAnsi"/>
                <w:sz w:val="18"/>
                <w:szCs w:val="18"/>
              </w:rPr>
              <w:t>30. 6. 2022</w:t>
            </w:r>
          </w:p>
        </w:tc>
        <w:tc>
          <w:tcPr>
            <w:tcW w:w="708" w:type="dxa"/>
          </w:tcPr>
          <w:p w:rsidR="00101612" w:rsidRPr="00F638AA" w:rsidRDefault="00101612" w:rsidP="00F638AA">
            <w:pPr>
              <w:jc w:val="center"/>
              <w:rPr>
                <w:rFonts w:asciiTheme="minorHAnsi" w:hAnsiTheme="minorHAnsi" w:cstheme="minorHAnsi"/>
                <w:sz w:val="18"/>
                <w:szCs w:val="18"/>
              </w:rPr>
            </w:pPr>
            <w:r>
              <w:rPr>
                <w:rFonts w:asciiTheme="minorHAnsi" w:hAnsiTheme="minorHAnsi" w:cstheme="minorHAnsi"/>
                <w:sz w:val="18"/>
                <w:szCs w:val="18"/>
              </w:rPr>
              <w:t>119/72</w:t>
            </w:r>
          </w:p>
        </w:tc>
        <w:tc>
          <w:tcPr>
            <w:tcW w:w="709" w:type="dxa"/>
          </w:tcPr>
          <w:p w:rsidR="00101612" w:rsidRPr="00F638AA" w:rsidRDefault="00101612" w:rsidP="00F638AA">
            <w:pPr>
              <w:jc w:val="center"/>
              <w:rPr>
                <w:rFonts w:asciiTheme="minorHAnsi" w:hAnsiTheme="minorHAnsi" w:cstheme="minorHAnsi"/>
                <w:sz w:val="18"/>
                <w:szCs w:val="18"/>
              </w:rPr>
            </w:pPr>
            <w:r>
              <w:rPr>
                <w:rFonts w:asciiTheme="minorHAnsi" w:hAnsiTheme="minorHAnsi" w:cstheme="minorHAnsi"/>
                <w:sz w:val="18"/>
                <w:szCs w:val="18"/>
              </w:rPr>
              <w:t>2 230,00</w:t>
            </w:r>
          </w:p>
        </w:tc>
        <w:tc>
          <w:tcPr>
            <w:tcW w:w="1559" w:type="dxa"/>
          </w:tcPr>
          <w:p w:rsidR="00101612" w:rsidRPr="00F638AA" w:rsidRDefault="00101612" w:rsidP="00F638AA">
            <w:pPr>
              <w:rPr>
                <w:rFonts w:asciiTheme="minorHAnsi" w:hAnsiTheme="minorHAnsi" w:cstheme="minorHAnsi"/>
                <w:sz w:val="18"/>
                <w:szCs w:val="18"/>
              </w:rPr>
            </w:pPr>
            <w:r>
              <w:rPr>
                <w:rFonts w:asciiTheme="minorHAnsi" w:hAnsiTheme="minorHAnsi" w:cstheme="minorHAnsi"/>
                <w:sz w:val="18"/>
                <w:szCs w:val="18"/>
              </w:rPr>
              <w:t>ROZOP realizováno</w:t>
            </w:r>
          </w:p>
        </w:tc>
        <w:tc>
          <w:tcPr>
            <w:tcW w:w="5812" w:type="dxa"/>
          </w:tcPr>
          <w:p w:rsidR="00101612" w:rsidRPr="00F638AA" w:rsidRDefault="00101612" w:rsidP="00101612">
            <w:pPr>
              <w:spacing w:line="276" w:lineRule="auto"/>
              <w:rPr>
                <w:rFonts w:asciiTheme="minorHAnsi" w:hAnsiTheme="minorHAnsi" w:cstheme="minorHAnsi"/>
                <w:sz w:val="18"/>
                <w:szCs w:val="18"/>
              </w:rPr>
            </w:pPr>
            <w:r>
              <w:rPr>
                <w:rFonts w:asciiTheme="minorHAnsi" w:hAnsiTheme="minorHAnsi" w:cstheme="minorHAnsi"/>
                <w:sz w:val="18"/>
                <w:szCs w:val="18"/>
              </w:rPr>
              <w:t>P</w:t>
            </w:r>
            <w:r w:rsidR="00CE5942">
              <w:rPr>
                <w:rFonts w:asciiTheme="minorHAnsi" w:hAnsiTheme="minorHAnsi" w:cstheme="minorHAnsi"/>
                <w:sz w:val="18"/>
                <w:szCs w:val="18"/>
              </w:rPr>
              <w:t>osílení pol.</w:t>
            </w:r>
            <w:r>
              <w:rPr>
                <w:rFonts w:asciiTheme="minorHAnsi" w:hAnsiTheme="minorHAnsi" w:cstheme="minorHAnsi"/>
                <w:sz w:val="18"/>
                <w:szCs w:val="18"/>
              </w:rPr>
              <w:t xml:space="preserve"> p</w:t>
            </w:r>
            <w:r w:rsidR="00B60084">
              <w:rPr>
                <w:rFonts w:asciiTheme="minorHAnsi" w:hAnsiTheme="minorHAnsi" w:cstheme="minorHAnsi"/>
                <w:sz w:val="18"/>
                <w:szCs w:val="18"/>
              </w:rPr>
              <w:t>ohřebnictví, mat.</w:t>
            </w:r>
            <w:r w:rsidRPr="00101612">
              <w:rPr>
                <w:rFonts w:asciiTheme="minorHAnsi" w:hAnsiTheme="minorHAnsi" w:cstheme="minorHAnsi"/>
                <w:sz w:val="18"/>
                <w:szCs w:val="18"/>
              </w:rPr>
              <w:t>, DDHM, poštovné, služby, opravy a věcné dary</w:t>
            </w:r>
            <w:r>
              <w:rPr>
                <w:rFonts w:asciiTheme="minorHAnsi" w:hAnsiTheme="minorHAnsi" w:cstheme="minorHAnsi"/>
                <w:sz w:val="18"/>
                <w:szCs w:val="18"/>
              </w:rPr>
              <w:t>.</w:t>
            </w:r>
          </w:p>
        </w:tc>
      </w:tr>
      <w:tr w:rsidR="00101612" w:rsidRPr="006E55BA" w:rsidTr="00CE5942">
        <w:trPr>
          <w:trHeight w:val="264"/>
        </w:trPr>
        <w:tc>
          <w:tcPr>
            <w:tcW w:w="980" w:type="dxa"/>
          </w:tcPr>
          <w:p w:rsidR="00101612" w:rsidRPr="00F638AA" w:rsidRDefault="00101612" w:rsidP="00F638AA">
            <w:pPr>
              <w:jc w:val="center"/>
              <w:rPr>
                <w:rFonts w:asciiTheme="minorHAnsi" w:hAnsiTheme="minorHAnsi" w:cstheme="minorHAnsi"/>
                <w:sz w:val="18"/>
                <w:szCs w:val="18"/>
              </w:rPr>
            </w:pPr>
            <w:r>
              <w:rPr>
                <w:rFonts w:asciiTheme="minorHAnsi" w:hAnsiTheme="minorHAnsi" w:cstheme="minorHAnsi"/>
                <w:sz w:val="18"/>
                <w:szCs w:val="18"/>
              </w:rPr>
              <w:t>26. 8. 2022</w:t>
            </w:r>
          </w:p>
        </w:tc>
        <w:tc>
          <w:tcPr>
            <w:tcW w:w="708" w:type="dxa"/>
          </w:tcPr>
          <w:p w:rsidR="00101612" w:rsidRPr="00F638AA" w:rsidRDefault="00101612" w:rsidP="00F638AA">
            <w:pPr>
              <w:jc w:val="center"/>
              <w:rPr>
                <w:rFonts w:asciiTheme="minorHAnsi" w:hAnsiTheme="minorHAnsi" w:cstheme="minorHAnsi"/>
                <w:sz w:val="18"/>
                <w:szCs w:val="18"/>
              </w:rPr>
            </w:pPr>
            <w:r>
              <w:rPr>
                <w:rFonts w:asciiTheme="minorHAnsi" w:hAnsiTheme="minorHAnsi" w:cstheme="minorHAnsi"/>
                <w:sz w:val="18"/>
                <w:szCs w:val="18"/>
              </w:rPr>
              <w:t>123/73</w:t>
            </w:r>
          </w:p>
        </w:tc>
        <w:tc>
          <w:tcPr>
            <w:tcW w:w="709" w:type="dxa"/>
          </w:tcPr>
          <w:p w:rsidR="00101612" w:rsidRPr="00F638AA" w:rsidRDefault="00101612" w:rsidP="00F638AA">
            <w:pPr>
              <w:jc w:val="center"/>
              <w:rPr>
                <w:rFonts w:asciiTheme="minorHAnsi" w:hAnsiTheme="minorHAnsi" w:cstheme="minorHAnsi"/>
                <w:sz w:val="18"/>
                <w:szCs w:val="18"/>
              </w:rPr>
            </w:pPr>
            <w:r>
              <w:rPr>
                <w:rFonts w:asciiTheme="minorHAnsi" w:hAnsiTheme="minorHAnsi" w:cstheme="minorHAnsi"/>
                <w:sz w:val="18"/>
                <w:szCs w:val="18"/>
              </w:rPr>
              <w:t>51,00</w:t>
            </w:r>
          </w:p>
        </w:tc>
        <w:tc>
          <w:tcPr>
            <w:tcW w:w="1559" w:type="dxa"/>
          </w:tcPr>
          <w:p w:rsidR="00101612" w:rsidRPr="00F638AA" w:rsidRDefault="00101612" w:rsidP="00F638AA">
            <w:pPr>
              <w:rPr>
                <w:rFonts w:asciiTheme="minorHAnsi" w:hAnsiTheme="minorHAnsi" w:cstheme="minorHAnsi"/>
                <w:sz w:val="18"/>
                <w:szCs w:val="18"/>
              </w:rPr>
            </w:pPr>
            <w:r>
              <w:rPr>
                <w:rFonts w:asciiTheme="minorHAnsi" w:hAnsiTheme="minorHAnsi" w:cstheme="minorHAnsi"/>
                <w:sz w:val="18"/>
                <w:szCs w:val="18"/>
              </w:rPr>
              <w:t>ROZOP realizováno</w:t>
            </w:r>
          </w:p>
        </w:tc>
        <w:tc>
          <w:tcPr>
            <w:tcW w:w="5812" w:type="dxa"/>
          </w:tcPr>
          <w:p w:rsidR="00101612" w:rsidRPr="00F638AA" w:rsidRDefault="00101612" w:rsidP="00F638AA">
            <w:pPr>
              <w:rPr>
                <w:rFonts w:asciiTheme="minorHAnsi" w:hAnsiTheme="minorHAnsi" w:cstheme="minorHAnsi"/>
                <w:sz w:val="18"/>
                <w:szCs w:val="18"/>
              </w:rPr>
            </w:pPr>
            <w:r>
              <w:rPr>
                <w:rFonts w:asciiTheme="minorHAnsi" w:hAnsiTheme="minorHAnsi" w:cstheme="minorHAnsi"/>
                <w:sz w:val="18"/>
                <w:szCs w:val="18"/>
              </w:rPr>
              <w:t>D</w:t>
            </w:r>
            <w:r w:rsidRPr="00101612">
              <w:rPr>
                <w:rFonts w:asciiTheme="minorHAnsi" w:hAnsiTheme="minorHAnsi" w:cstheme="minorHAnsi"/>
                <w:sz w:val="18"/>
                <w:szCs w:val="18"/>
              </w:rPr>
              <w:t>odávka a instalace EZS – budova klubovny SDH Domamyslice</w:t>
            </w:r>
            <w:r>
              <w:rPr>
                <w:rFonts w:asciiTheme="minorHAnsi" w:hAnsiTheme="minorHAnsi" w:cstheme="minorHAnsi"/>
                <w:sz w:val="18"/>
                <w:szCs w:val="18"/>
              </w:rPr>
              <w:t>.</w:t>
            </w:r>
          </w:p>
        </w:tc>
      </w:tr>
      <w:tr w:rsidR="00101612" w:rsidRPr="006E55BA" w:rsidTr="00CE5942">
        <w:trPr>
          <w:trHeight w:val="264"/>
        </w:trPr>
        <w:tc>
          <w:tcPr>
            <w:tcW w:w="980" w:type="dxa"/>
          </w:tcPr>
          <w:p w:rsidR="00101612" w:rsidRPr="00F638AA" w:rsidRDefault="00101612" w:rsidP="00F638AA">
            <w:pPr>
              <w:jc w:val="center"/>
              <w:rPr>
                <w:rFonts w:asciiTheme="minorHAnsi" w:hAnsiTheme="minorHAnsi" w:cstheme="minorHAnsi"/>
                <w:sz w:val="18"/>
                <w:szCs w:val="18"/>
              </w:rPr>
            </w:pPr>
            <w:r>
              <w:rPr>
                <w:rFonts w:asciiTheme="minorHAnsi" w:hAnsiTheme="minorHAnsi" w:cstheme="minorHAnsi"/>
                <w:sz w:val="18"/>
                <w:szCs w:val="18"/>
              </w:rPr>
              <w:t>19. 10. 2022</w:t>
            </w:r>
          </w:p>
        </w:tc>
        <w:tc>
          <w:tcPr>
            <w:tcW w:w="708" w:type="dxa"/>
          </w:tcPr>
          <w:p w:rsidR="00101612" w:rsidRPr="00F638AA" w:rsidRDefault="00101612" w:rsidP="00F638AA">
            <w:pPr>
              <w:jc w:val="center"/>
              <w:rPr>
                <w:rFonts w:asciiTheme="minorHAnsi" w:hAnsiTheme="minorHAnsi" w:cstheme="minorHAnsi"/>
                <w:sz w:val="18"/>
                <w:szCs w:val="18"/>
              </w:rPr>
            </w:pPr>
            <w:r>
              <w:rPr>
                <w:rFonts w:asciiTheme="minorHAnsi" w:hAnsiTheme="minorHAnsi" w:cstheme="minorHAnsi"/>
                <w:sz w:val="18"/>
                <w:szCs w:val="18"/>
              </w:rPr>
              <w:t>127/16</w:t>
            </w:r>
          </w:p>
        </w:tc>
        <w:tc>
          <w:tcPr>
            <w:tcW w:w="709" w:type="dxa"/>
          </w:tcPr>
          <w:p w:rsidR="00101612" w:rsidRPr="00F638AA" w:rsidRDefault="00CE5942" w:rsidP="00F638AA">
            <w:pPr>
              <w:jc w:val="center"/>
              <w:rPr>
                <w:rFonts w:asciiTheme="minorHAnsi" w:hAnsiTheme="minorHAnsi" w:cstheme="minorHAnsi"/>
                <w:sz w:val="18"/>
                <w:szCs w:val="18"/>
              </w:rPr>
            </w:pPr>
            <w:r>
              <w:rPr>
                <w:rFonts w:asciiTheme="minorHAnsi" w:hAnsiTheme="minorHAnsi" w:cstheme="minorHAnsi"/>
                <w:sz w:val="18"/>
                <w:szCs w:val="18"/>
              </w:rPr>
              <w:t>176,00</w:t>
            </w:r>
          </w:p>
        </w:tc>
        <w:tc>
          <w:tcPr>
            <w:tcW w:w="1559" w:type="dxa"/>
          </w:tcPr>
          <w:p w:rsidR="00101612" w:rsidRPr="00F638AA" w:rsidRDefault="00CE5942" w:rsidP="00CE5942">
            <w:pPr>
              <w:rPr>
                <w:rFonts w:asciiTheme="minorHAnsi" w:hAnsiTheme="minorHAnsi" w:cstheme="minorHAnsi"/>
                <w:sz w:val="18"/>
                <w:szCs w:val="18"/>
              </w:rPr>
            </w:pPr>
            <w:r>
              <w:rPr>
                <w:rFonts w:asciiTheme="minorHAnsi" w:hAnsiTheme="minorHAnsi" w:cstheme="minorHAnsi"/>
                <w:sz w:val="18"/>
                <w:szCs w:val="18"/>
              </w:rPr>
              <w:t>ROZOP realizováno</w:t>
            </w:r>
          </w:p>
        </w:tc>
        <w:tc>
          <w:tcPr>
            <w:tcW w:w="5812" w:type="dxa"/>
          </w:tcPr>
          <w:p w:rsidR="00101612" w:rsidRPr="00F638AA" w:rsidRDefault="00CE5942" w:rsidP="00F638AA">
            <w:pPr>
              <w:rPr>
                <w:rFonts w:asciiTheme="minorHAnsi" w:hAnsiTheme="minorHAnsi" w:cstheme="minorHAnsi"/>
                <w:sz w:val="18"/>
                <w:szCs w:val="18"/>
              </w:rPr>
            </w:pPr>
            <w:r>
              <w:rPr>
                <w:rFonts w:asciiTheme="minorHAnsi" w:hAnsiTheme="minorHAnsi" w:cstheme="minorHAnsi"/>
                <w:sz w:val="18"/>
                <w:szCs w:val="18"/>
              </w:rPr>
              <w:t>Mobiliář Osadní výbor Čechovice.</w:t>
            </w:r>
          </w:p>
        </w:tc>
      </w:tr>
      <w:tr w:rsidR="00101612" w:rsidRPr="006E55BA" w:rsidTr="00CE5942">
        <w:trPr>
          <w:trHeight w:val="264"/>
        </w:trPr>
        <w:tc>
          <w:tcPr>
            <w:tcW w:w="980" w:type="dxa"/>
          </w:tcPr>
          <w:p w:rsidR="00101612" w:rsidRPr="00F638AA" w:rsidRDefault="00CE5942" w:rsidP="00F638AA">
            <w:pPr>
              <w:jc w:val="center"/>
              <w:rPr>
                <w:rFonts w:asciiTheme="minorHAnsi" w:hAnsiTheme="minorHAnsi" w:cstheme="minorHAnsi"/>
                <w:sz w:val="18"/>
                <w:szCs w:val="18"/>
              </w:rPr>
            </w:pPr>
            <w:r>
              <w:rPr>
                <w:rFonts w:asciiTheme="minorHAnsi" w:hAnsiTheme="minorHAnsi" w:cstheme="minorHAnsi"/>
                <w:sz w:val="18"/>
                <w:szCs w:val="18"/>
              </w:rPr>
              <w:t>27. 12. 2022</w:t>
            </w:r>
          </w:p>
        </w:tc>
        <w:tc>
          <w:tcPr>
            <w:tcW w:w="708" w:type="dxa"/>
          </w:tcPr>
          <w:p w:rsidR="00101612" w:rsidRPr="00F638AA" w:rsidRDefault="00CE5942" w:rsidP="00F638AA">
            <w:pPr>
              <w:jc w:val="center"/>
              <w:rPr>
                <w:rFonts w:asciiTheme="minorHAnsi" w:hAnsiTheme="minorHAnsi" w:cstheme="minorHAnsi"/>
                <w:sz w:val="18"/>
                <w:szCs w:val="18"/>
              </w:rPr>
            </w:pPr>
            <w:r>
              <w:rPr>
                <w:rFonts w:asciiTheme="minorHAnsi" w:hAnsiTheme="minorHAnsi" w:cstheme="minorHAnsi"/>
                <w:sz w:val="18"/>
                <w:szCs w:val="18"/>
              </w:rPr>
              <w:t>06/03</w:t>
            </w:r>
          </w:p>
        </w:tc>
        <w:tc>
          <w:tcPr>
            <w:tcW w:w="709" w:type="dxa"/>
          </w:tcPr>
          <w:p w:rsidR="00101612" w:rsidRPr="00F638AA" w:rsidRDefault="00CE5942" w:rsidP="00F638AA">
            <w:pPr>
              <w:jc w:val="center"/>
              <w:rPr>
                <w:rFonts w:asciiTheme="minorHAnsi" w:hAnsiTheme="minorHAnsi" w:cstheme="minorHAnsi"/>
                <w:sz w:val="18"/>
                <w:szCs w:val="18"/>
              </w:rPr>
            </w:pPr>
            <w:r>
              <w:rPr>
                <w:rFonts w:asciiTheme="minorHAnsi" w:hAnsiTheme="minorHAnsi" w:cstheme="minorHAnsi"/>
                <w:sz w:val="18"/>
                <w:szCs w:val="18"/>
              </w:rPr>
              <w:t>-4 941,00</w:t>
            </w:r>
          </w:p>
        </w:tc>
        <w:tc>
          <w:tcPr>
            <w:tcW w:w="1559" w:type="dxa"/>
          </w:tcPr>
          <w:p w:rsidR="00101612" w:rsidRPr="00F638AA" w:rsidRDefault="00CE5942" w:rsidP="00F638AA">
            <w:pPr>
              <w:rPr>
                <w:rFonts w:asciiTheme="minorHAnsi" w:hAnsiTheme="minorHAnsi" w:cstheme="minorHAnsi"/>
                <w:sz w:val="18"/>
                <w:szCs w:val="18"/>
              </w:rPr>
            </w:pPr>
            <w:r>
              <w:rPr>
                <w:rFonts w:asciiTheme="minorHAnsi" w:hAnsiTheme="minorHAnsi" w:cstheme="minorHAnsi"/>
                <w:sz w:val="18"/>
                <w:szCs w:val="18"/>
              </w:rPr>
              <w:t>ROZOP realizováno</w:t>
            </w:r>
          </w:p>
        </w:tc>
        <w:tc>
          <w:tcPr>
            <w:tcW w:w="5812" w:type="dxa"/>
          </w:tcPr>
          <w:p w:rsidR="00101612" w:rsidRPr="00F638AA" w:rsidRDefault="00CE5942" w:rsidP="00F638AA">
            <w:pPr>
              <w:rPr>
                <w:rFonts w:asciiTheme="minorHAnsi" w:hAnsiTheme="minorHAnsi" w:cstheme="minorHAnsi"/>
                <w:sz w:val="18"/>
                <w:szCs w:val="18"/>
              </w:rPr>
            </w:pPr>
            <w:r>
              <w:rPr>
                <w:rFonts w:asciiTheme="minorHAnsi" w:hAnsiTheme="minorHAnsi" w:cstheme="minorHAnsi"/>
                <w:sz w:val="18"/>
                <w:szCs w:val="18"/>
              </w:rPr>
              <w:t>Odvod nevyužitých finančních prostředků do FRR.</w:t>
            </w:r>
          </w:p>
        </w:tc>
      </w:tr>
    </w:tbl>
    <w:p w:rsidR="00AC40AA" w:rsidRPr="006E55BA" w:rsidRDefault="00AC40AA" w:rsidP="00AC40AA">
      <w:pPr>
        <w:rPr>
          <w:rFonts w:ascii="Calibri" w:hAnsi="Calibri" w:cs="Calibri"/>
          <w:color w:val="A6A6A6" w:themeColor="background1" w:themeShade="A6"/>
          <w:sz w:val="18"/>
          <w:szCs w:val="18"/>
        </w:rPr>
      </w:pPr>
    </w:p>
    <w:p w:rsidR="00420FB7" w:rsidRPr="007A0263" w:rsidRDefault="00420FB7" w:rsidP="00420FB7">
      <w:pPr>
        <w:rPr>
          <w:rFonts w:ascii="Calibri" w:hAnsi="Calibri" w:cs="Calibri"/>
          <w:b/>
          <w:sz w:val="20"/>
          <w:szCs w:val="20"/>
        </w:rPr>
      </w:pPr>
      <w:r w:rsidRPr="007A0263">
        <w:rPr>
          <w:rFonts w:ascii="Calibri" w:hAnsi="Calibri" w:cs="Calibri"/>
          <w:b/>
          <w:sz w:val="20"/>
          <w:szCs w:val="20"/>
        </w:rPr>
        <w:t>V Prostějově dne 1</w:t>
      </w:r>
      <w:r w:rsidR="009F56F3">
        <w:rPr>
          <w:rFonts w:ascii="Calibri" w:hAnsi="Calibri" w:cs="Calibri"/>
          <w:b/>
          <w:sz w:val="20"/>
          <w:szCs w:val="20"/>
        </w:rPr>
        <w:t>5</w:t>
      </w:r>
      <w:r w:rsidR="00762DA9">
        <w:rPr>
          <w:rFonts w:ascii="Calibri" w:hAnsi="Calibri" w:cs="Calibri"/>
          <w:b/>
          <w:sz w:val="20"/>
          <w:szCs w:val="20"/>
        </w:rPr>
        <w:t>.</w:t>
      </w:r>
      <w:r w:rsidR="009F56F3">
        <w:rPr>
          <w:rFonts w:ascii="Calibri" w:hAnsi="Calibri" w:cs="Calibri"/>
          <w:b/>
          <w:sz w:val="20"/>
          <w:szCs w:val="20"/>
        </w:rPr>
        <w:t xml:space="preserve"> </w:t>
      </w:r>
      <w:r w:rsidR="00762DA9">
        <w:rPr>
          <w:rFonts w:ascii="Calibri" w:hAnsi="Calibri" w:cs="Calibri"/>
          <w:b/>
          <w:sz w:val="20"/>
          <w:szCs w:val="20"/>
        </w:rPr>
        <w:t>2.</w:t>
      </w:r>
      <w:r w:rsidR="009F56F3">
        <w:rPr>
          <w:rFonts w:ascii="Calibri" w:hAnsi="Calibri" w:cs="Calibri"/>
          <w:b/>
          <w:sz w:val="20"/>
          <w:szCs w:val="20"/>
        </w:rPr>
        <w:t xml:space="preserve"> </w:t>
      </w:r>
      <w:r w:rsidR="00762DA9">
        <w:rPr>
          <w:rFonts w:ascii="Calibri" w:hAnsi="Calibri" w:cs="Calibri"/>
          <w:b/>
          <w:sz w:val="20"/>
          <w:szCs w:val="20"/>
        </w:rPr>
        <w:t>202</w:t>
      </w:r>
      <w:r w:rsidR="009F56F3">
        <w:rPr>
          <w:rFonts w:ascii="Calibri" w:hAnsi="Calibri" w:cs="Calibri"/>
          <w:b/>
          <w:sz w:val="20"/>
          <w:szCs w:val="20"/>
        </w:rPr>
        <w:t>3</w:t>
      </w:r>
      <w:r w:rsidRPr="007A0263">
        <w:rPr>
          <w:rFonts w:ascii="Calibri" w:hAnsi="Calibri" w:cs="Calibri"/>
          <w:b/>
          <w:sz w:val="20"/>
          <w:szCs w:val="20"/>
        </w:rPr>
        <w:t xml:space="preserve">                                                    </w:t>
      </w:r>
    </w:p>
    <w:p w:rsidR="00420FB7" w:rsidRPr="007A0263" w:rsidRDefault="00420FB7" w:rsidP="00420FB7">
      <w:pPr>
        <w:rPr>
          <w:rFonts w:ascii="Calibri" w:hAnsi="Calibri" w:cs="Calibri"/>
          <w:b/>
          <w:sz w:val="20"/>
          <w:szCs w:val="20"/>
        </w:rPr>
      </w:pPr>
      <w:r w:rsidRPr="007A0263">
        <w:rPr>
          <w:rFonts w:ascii="Calibri" w:hAnsi="Calibri" w:cs="Calibri"/>
          <w:b/>
          <w:sz w:val="20"/>
          <w:szCs w:val="20"/>
        </w:rPr>
        <w:t xml:space="preserve">Správce kapitoly:  </w:t>
      </w:r>
      <w:r w:rsidR="00CE5942">
        <w:rPr>
          <w:rFonts w:ascii="Calibri" w:hAnsi="Calibri" w:cs="Calibri"/>
          <w:b/>
          <w:sz w:val="20"/>
          <w:szCs w:val="20"/>
        </w:rPr>
        <w:t>Mgr. Lenka Tisoňová</w:t>
      </w:r>
    </w:p>
    <w:tbl>
      <w:tblPr>
        <w:tblW w:w="13362" w:type="dxa"/>
        <w:tblLayout w:type="fixed"/>
        <w:tblCellMar>
          <w:left w:w="70" w:type="dxa"/>
          <w:right w:w="70" w:type="dxa"/>
        </w:tblCellMar>
        <w:tblLook w:val="0000" w:firstRow="0" w:lastRow="0" w:firstColumn="0" w:lastColumn="0" w:noHBand="0" w:noVBand="0"/>
      </w:tblPr>
      <w:tblGrid>
        <w:gridCol w:w="459"/>
        <w:gridCol w:w="459"/>
        <w:gridCol w:w="391"/>
        <w:gridCol w:w="69"/>
        <w:gridCol w:w="391"/>
        <w:gridCol w:w="69"/>
        <w:gridCol w:w="460"/>
        <w:gridCol w:w="38"/>
        <w:gridCol w:w="160"/>
        <w:gridCol w:w="305"/>
        <w:gridCol w:w="313"/>
        <w:gridCol w:w="147"/>
        <w:gridCol w:w="51"/>
        <w:gridCol w:w="262"/>
        <w:gridCol w:w="22"/>
        <w:gridCol w:w="176"/>
        <w:gridCol w:w="262"/>
        <w:gridCol w:w="22"/>
        <w:gridCol w:w="438"/>
        <w:gridCol w:w="460"/>
        <w:gridCol w:w="148"/>
        <w:gridCol w:w="198"/>
        <w:gridCol w:w="114"/>
        <w:gridCol w:w="46"/>
        <w:gridCol w:w="35"/>
        <w:gridCol w:w="379"/>
        <w:gridCol w:w="46"/>
        <w:gridCol w:w="35"/>
        <w:gridCol w:w="379"/>
        <w:gridCol w:w="46"/>
        <w:gridCol w:w="196"/>
        <w:gridCol w:w="160"/>
        <w:gridCol w:w="58"/>
        <w:gridCol w:w="402"/>
        <w:gridCol w:w="58"/>
        <w:gridCol w:w="90"/>
        <w:gridCol w:w="160"/>
        <w:gridCol w:w="152"/>
        <w:gridCol w:w="58"/>
        <w:gridCol w:w="250"/>
        <w:gridCol w:w="210"/>
        <w:gridCol w:w="250"/>
        <w:gridCol w:w="210"/>
        <w:gridCol w:w="250"/>
        <w:gridCol w:w="210"/>
        <w:gridCol w:w="228"/>
        <w:gridCol w:w="22"/>
        <w:gridCol w:w="268"/>
        <w:gridCol w:w="170"/>
        <w:gridCol w:w="22"/>
        <w:gridCol w:w="110"/>
        <w:gridCol w:w="350"/>
        <w:gridCol w:w="110"/>
        <w:gridCol w:w="460"/>
        <w:gridCol w:w="116"/>
        <w:gridCol w:w="344"/>
        <w:gridCol w:w="460"/>
        <w:gridCol w:w="460"/>
        <w:gridCol w:w="460"/>
        <w:gridCol w:w="688"/>
      </w:tblGrid>
      <w:tr w:rsidR="006E55BA" w:rsidRPr="006E55BA" w:rsidTr="00596840">
        <w:trPr>
          <w:gridAfter w:val="11"/>
          <w:wAfter w:w="3580" w:type="dxa"/>
        </w:trPr>
        <w:tc>
          <w:tcPr>
            <w:tcW w:w="9782" w:type="dxa"/>
            <w:gridSpan w:val="49"/>
          </w:tcPr>
          <w:p w:rsidR="00B608DD" w:rsidRPr="00B15436" w:rsidRDefault="00B608DD" w:rsidP="00CA6C24">
            <w:pPr>
              <w:pStyle w:val="Nadpis4"/>
            </w:pPr>
            <w:r w:rsidRPr="00B15436">
              <w:lastRenderedPageBreak/>
              <w:t xml:space="preserve">Kapitola 12 – Krizové řízení </w:t>
            </w:r>
          </w:p>
        </w:tc>
      </w:tr>
      <w:tr w:rsidR="006E55BA" w:rsidRPr="006E55BA" w:rsidTr="00E8229C">
        <w:trPr>
          <w:gridAfter w:val="11"/>
          <w:wAfter w:w="3580" w:type="dxa"/>
        </w:trPr>
        <w:tc>
          <w:tcPr>
            <w:tcW w:w="459" w:type="dxa"/>
          </w:tcPr>
          <w:p w:rsidR="00B608DD" w:rsidRPr="0084462F" w:rsidRDefault="00B608DD" w:rsidP="00B608DD">
            <w:pPr>
              <w:rPr>
                <w:b/>
                <w:sz w:val="20"/>
                <w:szCs w:val="20"/>
              </w:rPr>
            </w:pPr>
          </w:p>
        </w:tc>
        <w:tc>
          <w:tcPr>
            <w:tcW w:w="459" w:type="dxa"/>
          </w:tcPr>
          <w:p w:rsidR="00B608DD" w:rsidRPr="0084462F" w:rsidRDefault="00B608DD" w:rsidP="00B608DD">
            <w:pPr>
              <w:rPr>
                <w:b/>
                <w:sz w:val="20"/>
                <w:szCs w:val="20"/>
              </w:rPr>
            </w:pPr>
          </w:p>
        </w:tc>
        <w:tc>
          <w:tcPr>
            <w:tcW w:w="460" w:type="dxa"/>
            <w:gridSpan w:val="2"/>
          </w:tcPr>
          <w:p w:rsidR="00B608DD" w:rsidRPr="0084462F" w:rsidRDefault="00B608DD" w:rsidP="00B608DD">
            <w:pPr>
              <w:rPr>
                <w:b/>
                <w:sz w:val="20"/>
                <w:szCs w:val="20"/>
              </w:rPr>
            </w:pPr>
          </w:p>
        </w:tc>
        <w:tc>
          <w:tcPr>
            <w:tcW w:w="460" w:type="dxa"/>
            <w:gridSpan w:val="2"/>
          </w:tcPr>
          <w:p w:rsidR="00B608DD" w:rsidRPr="0084462F" w:rsidRDefault="00B608DD" w:rsidP="00B608DD">
            <w:pPr>
              <w:rPr>
                <w:b/>
                <w:sz w:val="20"/>
                <w:szCs w:val="20"/>
              </w:rPr>
            </w:pPr>
          </w:p>
        </w:tc>
        <w:tc>
          <w:tcPr>
            <w:tcW w:w="460" w:type="dxa"/>
          </w:tcPr>
          <w:p w:rsidR="00B608DD" w:rsidRPr="0084462F" w:rsidRDefault="00B608DD" w:rsidP="00B608DD">
            <w:pPr>
              <w:rPr>
                <w:b/>
                <w:sz w:val="20"/>
                <w:szCs w:val="20"/>
              </w:rPr>
            </w:pPr>
          </w:p>
        </w:tc>
        <w:tc>
          <w:tcPr>
            <w:tcW w:w="963" w:type="dxa"/>
            <w:gridSpan w:val="5"/>
          </w:tcPr>
          <w:p w:rsidR="00B608DD" w:rsidRPr="0084462F" w:rsidRDefault="00B608DD" w:rsidP="00B608DD">
            <w:pPr>
              <w:rPr>
                <w:b/>
                <w:sz w:val="20"/>
                <w:szCs w:val="20"/>
              </w:rPr>
            </w:pPr>
          </w:p>
        </w:tc>
        <w:tc>
          <w:tcPr>
            <w:tcW w:w="313" w:type="dxa"/>
            <w:gridSpan w:val="2"/>
          </w:tcPr>
          <w:p w:rsidR="00B608DD" w:rsidRPr="0084462F" w:rsidRDefault="00B608DD" w:rsidP="00B608DD">
            <w:pPr>
              <w:rPr>
                <w:b/>
                <w:sz w:val="20"/>
                <w:szCs w:val="20"/>
              </w:rPr>
            </w:pPr>
          </w:p>
        </w:tc>
        <w:tc>
          <w:tcPr>
            <w:tcW w:w="460" w:type="dxa"/>
            <w:gridSpan w:val="3"/>
          </w:tcPr>
          <w:p w:rsidR="00B608DD" w:rsidRPr="0084462F" w:rsidRDefault="00B608DD" w:rsidP="00B608DD">
            <w:pPr>
              <w:rPr>
                <w:b/>
                <w:sz w:val="20"/>
                <w:szCs w:val="20"/>
              </w:rPr>
            </w:pPr>
          </w:p>
        </w:tc>
        <w:tc>
          <w:tcPr>
            <w:tcW w:w="460" w:type="dxa"/>
            <w:gridSpan w:val="2"/>
          </w:tcPr>
          <w:p w:rsidR="00B608DD" w:rsidRPr="0084462F" w:rsidRDefault="00B608DD" w:rsidP="00B608DD">
            <w:pPr>
              <w:rPr>
                <w:b/>
                <w:sz w:val="20"/>
                <w:szCs w:val="20"/>
              </w:rPr>
            </w:pPr>
          </w:p>
        </w:tc>
        <w:tc>
          <w:tcPr>
            <w:tcW w:w="460" w:type="dxa"/>
          </w:tcPr>
          <w:p w:rsidR="00B608DD" w:rsidRPr="0084462F" w:rsidRDefault="00B608DD" w:rsidP="00B608DD">
            <w:pPr>
              <w:rPr>
                <w:b/>
                <w:sz w:val="20"/>
                <w:szCs w:val="20"/>
              </w:rPr>
            </w:pPr>
          </w:p>
        </w:tc>
        <w:tc>
          <w:tcPr>
            <w:tcW w:w="460" w:type="dxa"/>
            <w:gridSpan w:val="3"/>
          </w:tcPr>
          <w:p w:rsidR="00B608DD" w:rsidRPr="0084462F" w:rsidRDefault="00B608DD" w:rsidP="00B608DD">
            <w:pPr>
              <w:rPr>
                <w:b/>
                <w:sz w:val="20"/>
                <w:szCs w:val="20"/>
              </w:rPr>
            </w:pPr>
          </w:p>
        </w:tc>
        <w:tc>
          <w:tcPr>
            <w:tcW w:w="541" w:type="dxa"/>
            <w:gridSpan w:val="5"/>
          </w:tcPr>
          <w:p w:rsidR="00B608DD" w:rsidRPr="0084462F" w:rsidRDefault="00B608DD" w:rsidP="00B608DD">
            <w:pPr>
              <w:rPr>
                <w:b/>
                <w:sz w:val="20"/>
                <w:szCs w:val="20"/>
              </w:rPr>
            </w:pPr>
          </w:p>
        </w:tc>
        <w:tc>
          <w:tcPr>
            <w:tcW w:w="379" w:type="dxa"/>
          </w:tcPr>
          <w:p w:rsidR="00B608DD" w:rsidRPr="0084462F" w:rsidRDefault="00B608DD" w:rsidP="00B608DD">
            <w:pPr>
              <w:rPr>
                <w:b/>
                <w:sz w:val="20"/>
                <w:szCs w:val="20"/>
              </w:rPr>
            </w:pPr>
          </w:p>
        </w:tc>
        <w:tc>
          <w:tcPr>
            <w:tcW w:w="460" w:type="dxa"/>
            <w:gridSpan w:val="4"/>
          </w:tcPr>
          <w:p w:rsidR="00B608DD" w:rsidRPr="0084462F" w:rsidRDefault="00B608DD" w:rsidP="00B608DD">
            <w:pPr>
              <w:rPr>
                <w:b/>
                <w:sz w:val="20"/>
                <w:szCs w:val="20"/>
              </w:rPr>
            </w:pPr>
          </w:p>
        </w:tc>
        <w:tc>
          <w:tcPr>
            <w:tcW w:w="460" w:type="dxa"/>
            <w:gridSpan w:val="2"/>
          </w:tcPr>
          <w:p w:rsidR="00B608DD" w:rsidRPr="0084462F" w:rsidRDefault="00B608DD" w:rsidP="00B608DD">
            <w:pPr>
              <w:rPr>
                <w:b/>
                <w:sz w:val="20"/>
                <w:szCs w:val="20"/>
              </w:rPr>
            </w:pPr>
          </w:p>
        </w:tc>
        <w:tc>
          <w:tcPr>
            <w:tcW w:w="460" w:type="dxa"/>
            <w:gridSpan w:val="4"/>
          </w:tcPr>
          <w:p w:rsidR="00B608DD" w:rsidRPr="0084462F" w:rsidRDefault="00B608DD" w:rsidP="00B608DD">
            <w:pPr>
              <w:rPr>
                <w:b/>
                <w:sz w:val="20"/>
                <w:szCs w:val="20"/>
              </w:rPr>
            </w:pPr>
          </w:p>
        </w:tc>
        <w:tc>
          <w:tcPr>
            <w:tcW w:w="460" w:type="dxa"/>
            <w:gridSpan w:val="2"/>
          </w:tcPr>
          <w:p w:rsidR="00B608DD" w:rsidRPr="0084462F" w:rsidRDefault="00B608DD" w:rsidP="00B608DD">
            <w:pPr>
              <w:rPr>
                <w:b/>
                <w:sz w:val="20"/>
                <w:szCs w:val="20"/>
              </w:rPr>
            </w:pPr>
          </w:p>
        </w:tc>
        <w:tc>
          <w:tcPr>
            <w:tcW w:w="460" w:type="dxa"/>
            <w:gridSpan w:val="2"/>
          </w:tcPr>
          <w:p w:rsidR="00B608DD" w:rsidRPr="0084462F" w:rsidRDefault="00B608DD" w:rsidP="00B608DD">
            <w:pPr>
              <w:rPr>
                <w:b/>
                <w:sz w:val="20"/>
                <w:szCs w:val="20"/>
              </w:rPr>
            </w:pPr>
          </w:p>
        </w:tc>
        <w:tc>
          <w:tcPr>
            <w:tcW w:w="460" w:type="dxa"/>
            <w:gridSpan w:val="2"/>
          </w:tcPr>
          <w:p w:rsidR="00B608DD" w:rsidRPr="006E55BA" w:rsidRDefault="00B608DD" w:rsidP="00B608DD">
            <w:pPr>
              <w:rPr>
                <w:b/>
                <w:color w:val="A6A6A6" w:themeColor="background1" w:themeShade="A6"/>
                <w:sz w:val="20"/>
                <w:szCs w:val="20"/>
              </w:rPr>
            </w:pPr>
          </w:p>
        </w:tc>
        <w:tc>
          <w:tcPr>
            <w:tcW w:w="688" w:type="dxa"/>
            <w:gridSpan w:val="4"/>
          </w:tcPr>
          <w:p w:rsidR="00B608DD" w:rsidRPr="006E55BA" w:rsidRDefault="00B608DD" w:rsidP="00B608DD">
            <w:pPr>
              <w:rPr>
                <w:b/>
                <w:color w:val="A6A6A6" w:themeColor="background1" w:themeShade="A6"/>
                <w:sz w:val="20"/>
                <w:szCs w:val="20"/>
              </w:rPr>
            </w:pPr>
          </w:p>
        </w:tc>
      </w:tr>
      <w:tr w:rsidR="006E55BA" w:rsidRPr="006E55BA" w:rsidTr="00596840">
        <w:trPr>
          <w:gridAfter w:val="11"/>
          <w:wAfter w:w="3580" w:type="dxa"/>
        </w:trPr>
        <w:tc>
          <w:tcPr>
            <w:tcW w:w="9782" w:type="dxa"/>
            <w:gridSpan w:val="49"/>
            <w:shd w:val="clear" w:color="auto" w:fill="F79646"/>
          </w:tcPr>
          <w:p w:rsidR="00B608DD" w:rsidRPr="0084462F" w:rsidRDefault="00B608DD" w:rsidP="00B608DD">
            <w:pPr>
              <w:rPr>
                <w:rFonts w:ascii="Calibri" w:hAnsi="Calibri" w:cs="Calibri"/>
                <w:b/>
                <w:sz w:val="20"/>
                <w:szCs w:val="20"/>
                <w:u w:val="single"/>
              </w:rPr>
            </w:pPr>
            <w:r w:rsidRPr="0084462F">
              <w:rPr>
                <w:rFonts w:ascii="Calibri" w:hAnsi="Calibri" w:cs="Calibri"/>
                <w:b/>
                <w:sz w:val="20"/>
                <w:szCs w:val="20"/>
                <w:u w:val="single"/>
              </w:rPr>
              <w:t>Rozbor plnění příjmů rozpočtu kapitoly</w:t>
            </w:r>
          </w:p>
        </w:tc>
      </w:tr>
      <w:tr w:rsidR="006E55BA" w:rsidRPr="006E55BA" w:rsidTr="00E8229C">
        <w:trPr>
          <w:trHeight w:val="251"/>
        </w:trPr>
        <w:tc>
          <w:tcPr>
            <w:tcW w:w="459" w:type="dxa"/>
          </w:tcPr>
          <w:p w:rsidR="00B608DD" w:rsidRPr="0084462F" w:rsidRDefault="00B608DD" w:rsidP="00B608DD">
            <w:pPr>
              <w:rPr>
                <w:rFonts w:ascii="Calibri" w:hAnsi="Calibri" w:cs="Calibri"/>
                <w:b/>
                <w:sz w:val="20"/>
                <w:szCs w:val="20"/>
              </w:rPr>
            </w:pPr>
          </w:p>
        </w:tc>
        <w:tc>
          <w:tcPr>
            <w:tcW w:w="459" w:type="dxa"/>
          </w:tcPr>
          <w:p w:rsidR="00B608DD" w:rsidRPr="0084462F" w:rsidRDefault="00B608DD" w:rsidP="00B608DD">
            <w:pPr>
              <w:rPr>
                <w:rFonts w:ascii="Calibri" w:hAnsi="Calibri" w:cs="Calibri"/>
                <w:b/>
                <w:sz w:val="20"/>
                <w:szCs w:val="20"/>
              </w:rPr>
            </w:pPr>
          </w:p>
        </w:tc>
        <w:tc>
          <w:tcPr>
            <w:tcW w:w="460" w:type="dxa"/>
            <w:gridSpan w:val="2"/>
          </w:tcPr>
          <w:p w:rsidR="00B608DD" w:rsidRPr="0084462F" w:rsidRDefault="00B608DD" w:rsidP="00B608DD">
            <w:pPr>
              <w:rPr>
                <w:rFonts w:ascii="Calibri" w:hAnsi="Calibri" w:cs="Calibri"/>
                <w:b/>
                <w:sz w:val="20"/>
                <w:szCs w:val="20"/>
              </w:rPr>
            </w:pPr>
          </w:p>
        </w:tc>
        <w:tc>
          <w:tcPr>
            <w:tcW w:w="958" w:type="dxa"/>
            <w:gridSpan w:val="4"/>
          </w:tcPr>
          <w:p w:rsidR="00B608DD" w:rsidRPr="0084462F" w:rsidRDefault="00B608DD" w:rsidP="00B608DD">
            <w:pPr>
              <w:rPr>
                <w:rFonts w:ascii="Calibri" w:hAnsi="Calibri" w:cs="Calibri"/>
                <w:b/>
                <w:sz w:val="20"/>
                <w:szCs w:val="20"/>
              </w:rPr>
            </w:pPr>
          </w:p>
        </w:tc>
        <w:tc>
          <w:tcPr>
            <w:tcW w:w="925" w:type="dxa"/>
            <w:gridSpan w:val="4"/>
          </w:tcPr>
          <w:p w:rsidR="00B608DD" w:rsidRPr="0084462F" w:rsidRDefault="00B608DD" w:rsidP="00B608DD">
            <w:pPr>
              <w:rPr>
                <w:rFonts w:ascii="Calibri" w:hAnsi="Calibri" w:cs="Calibri"/>
                <w:b/>
                <w:sz w:val="20"/>
                <w:szCs w:val="20"/>
              </w:rPr>
            </w:pPr>
          </w:p>
        </w:tc>
        <w:tc>
          <w:tcPr>
            <w:tcW w:w="335" w:type="dxa"/>
            <w:gridSpan w:val="3"/>
          </w:tcPr>
          <w:p w:rsidR="00B608DD" w:rsidRPr="0084462F" w:rsidRDefault="00B608DD" w:rsidP="00B608DD">
            <w:pPr>
              <w:rPr>
                <w:rFonts w:ascii="Calibri" w:hAnsi="Calibri" w:cs="Calibri"/>
                <w:b/>
                <w:sz w:val="20"/>
                <w:szCs w:val="20"/>
              </w:rPr>
            </w:pPr>
          </w:p>
        </w:tc>
        <w:tc>
          <w:tcPr>
            <w:tcW w:w="460" w:type="dxa"/>
            <w:gridSpan w:val="3"/>
          </w:tcPr>
          <w:p w:rsidR="00B608DD" w:rsidRPr="0084462F" w:rsidRDefault="00B608DD" w:rsidP="00B608DD">
            <w:pPr>
              <w:rPr>
                <w:rFonts w:ascii="Calibri" w:hAnsi="Calibri" w:cs="Calibri"/>
                <w:b/>
                <w:sz w:val="20"/>
                <w:szCs w:val="20"/>
              </w:rPr>
            </w:pPr>
          </w:p>
        </w:tc>
        <w:tc>
          <w:tcPr>
            <w:tcW w:w="2520" w:type="dxa"/>
            <w:gridSpan w:val="13"/>
          </w:tcPr>
          <w:p w:rsidR="00B608DD" w:rsidRPr="0084462F" w:rsidRDefault="00B608DD" w:rsidP="00B608DD">
            <w:pPr>
              <w:rPr>
                <w:rFonts w:ascii="Calibri" w:hAnsi="Calibri" w:cs="Calibri"/>
                <w:b/>
                <w:sz w:val="20"/>
                <w:szCs w:val="20"/>
              </w:rPr>
            </w:pPr>
          </w:p>
        </w:tc>
        <w:tc>
          <w:tcPr>
            <w:tcW w:w="160" w:type="dxa"/>
          </w:tcPr>
          <w:p w:rsidR="00B608DD" w:rsidRPr="0084462F" w:rsidRDefault="00B608DD" w:rsidP="00B608DD">
            <w:pPr>
              <w:rPr>
                <w:rFonts w:ascii="Calibri" w:hAnsi="Calibri" w:cs="Calibri"/>
                <w:b/>
                <w:sz w:val="20"/>
                <w:szCs w:val="20"/>
              </w:rPr>
            </w:pPr>
          </w:p>
        </w:tc>
        <w:tc>
          <w:tcPr>
            <w:tcW w:w="460" w:type="dxa"/>
            <w:gridSpan w:val="2"/>
          </w:tcPr>
          <w:p w:rsidR="00B608DD" w:rsidRPr="0084462F" w:rsidRDefault="00B608DD" w:rsidP="00B608DD">
            <w:pPr>
              <w:rPr>
                <w:rFonts w:ascii="Calibri" w:hAnsi="Calibri" w:cs="Calibri"/>
                <w:b/>
                <w:sz w:val="20"/>
                <w:szCs w:val="20"/>
              </w:rPr>
            </w:pPr>
          </w:p>
        </w:tc>
        <w:tc>
          <w:tcPr>
            <w:tcW w:w="460" w:type="dxa"/>
            <w:gridSpan w:val="4"/>
          </w:tcPr>
          <w:p w:rsidR="00B608DD" w:rsidRPr="0084462F" w:rsidRDefault="00B608DD" w:rsidP="00B608DD">
            <w:pPr>
              <w:rPr>
                <w:rFonts w:ascii="Calibri" w:hAnsi="Calibri" w:cs="Calibri"/>
                <w:b/>
                <w:sz w:val="20"/>
                <w:szCs w:val="20"/>
              </w:rPr>
            </w:pPr>
          </w:p>
        </w:tc>
        <w:tc>
          <w:tcPr>
            <w:tcW w:w="1956" w:type="dxa"/>
            <w:gridSpan w:val="10"/>
          </w:tcPr>
          <w:p w:rsidR="00B608DD" w:rsidRPr="0084462F" w:rsidRDefault="00B608DD" w:rsidP="00B608DD">
            <w:pPr>
              <w:rPr>
                <w:rFonts w:ascii="Calibri" w:hAnsi="Calibri" w:cs="Calibri"/>
                <w:b/>
                <w:sz w:val="20"/>
                <w:szCs w:val="20"/>
              </w:rPr>
            </w:pPr>
          </w:p>
        </w:tc>
        <w:tc>
          <w:tcPr>
            <w:tcW w:w="302" w:type="dxa"/>
            <w:gridSpan w:val="3"/>
          </w:tcPr>
          <w:p w:rsidR="00B608DD" w:rsidRPr="006E55BA" w:rsidRDefault="00B608DD" w:rsidP="00B608DD">
            <w:pPr>
              <w:rPr>
                <w:rFonts w:ascii="Calibri" w:hAnsi="Calibri" w:cs="Calibri"/>
                <w:b/>
                <w:color w:val="A6A6A6" w:themeColor="background1" w:themeShade="A6"/>
                <w:sz w:val="20"/>
                <w:szCs w:val="20"/>
              </w:rPr>
            </w:pPr>
          </w:p>
        </w:tc>
        <w:tc>
          <w:tcPr>
            <w:tcW w:w="460" w:type="dxa"/>
            <w:gridSpan w:val="2"/>
          </w:tcPr>
          <w:p w:rsidR="00B608DD" w:rsidRPr="006E55BA" w:rsidRDefault="00B608DD" w:rsidP="00B608DD">
            <w:pPr>
              <w:rPr>
                <w:rFonts w:ascii="Calibri" w:hAnsi="Calibri" w:cs="Calibri"/>
                <w:b/>
                <w:color w:val="A6A6A6" w:themeColor="background1" w:themeShade="A6"/>
                <w:sz w:val="20"/>
                <w:szCs w:val="20"/>
              </w:rPr>
            </w:pPr>
          </w:p>
        </w:tc>
        <w:tc>
          <w:tcPr>
            <w:tcW w:w="460" w:type="dxa"/>
          </w:tcPr>
          <w:p w:rsidR="00B608DD" w:rsidRPr="006E55BA" w:rsidRDefault="00B608DD" w:rsidP="00B608DD">
            <w:pPr>
              <w:rPr>
                <w:rFonts w:ascii="Calibri" w:hAnsi="Calibri" w:cs="Calibri"/>
                <w:b/>
                <w:color w:val="A6A6A6" w:themeColor="background1" w:themeShade="A6"/>
                <w:sz w:val="20"/>
                <w:szCs w:val="20"/>
              </w:rPr>
            </w:pPr>
          </w:p>
        </w:tc>
        <w:tc>
          <w:tcPr>
            <w:tcW w:w="460" w:type="dxa"/>
            <w:gridSpan w:val="2"/>
          </w:tcPr>
          <w:p w:rsidR="00B608DD" w:rsidRPr="006E55BA" w:rsidRDefault="00B608DD" w:rsidP="00B608DD">
            <w:pPr>
              <w:rPr>
                <w:rFonts w:ascii="Calibri" w:hAnsi="Calibri" w:cs="Calibri"/>
                <w:b/>
                <w:color w:val="A6A6A6" w:themeColor="background1" w:themeShade="A6"/>
                <w:sz w:val="20"/>
                <w:szCs w:val="20"/>
              </w:rPr>
            </w:pPr>
          </w:p>
        </w:tc>
        <w:tc>
          <w:tcPr>
            <w:tcW w:w="460" w:type="dxa"/>
          </w:tcPr>
          <w:p w:rsidR="00B608DD" w:rsidRPr="006E55BA" w:rsidRDefault="00B608DD" w:rsidP="00B608DD">
            <w:pPr>
              <w:rPr>
                <w:rFonts w:ascii="Calibri" w:hAnsi="Calibri" w:cs="Calibri"/>
                <w:b/>
                <w:color w:val="A6A6A6" w:themeColor="background1" w:themeShade="A6"/>
                <w:sz w:val="20"/>
                <w:szCs w:val="20"/>
              </w:rPr>
            </w:pPr>
          </w:p>
        </w:tc>
        <w:tc>
          <w:tcPr>
            <w:tcW w:w="460" w:type="dxa"/>
          </w:tcPr>
          <w:p w:rsidR="00B608DD" w:rsidRPr="006E55BA" w:rsidRDefault="00B608DD" w:rsidP="00B608DD">
            <w:pPr>
              <w:rPr>
                <w:rFonts w:ascii="Calibri" w:hAnsi="Calibri" w:cs="Calibri"/>
                <w:b/>
                <w:color w:val="A6A6A6" w:themeColor="background1" w:themeShade="A6"/>
                <w:sz w:val="20"/>
                <w:szCs w:val="20"/>
              </w:rPr>
            </w:pPr>
          </w:p>
        </w:tc>
        <w:tc>
          <w:tcPr>
            <w:tcW w:w="460" w:type="dxa"/>
          </w:tcPr>
          <w:p w:rsidR="00B608DD" w:rsidRPr="006E55BA" w:rsidRDefault="00B608DD" w:rsidP="00B608DD">
            <w:pPr>
              <w:rPr>
                <w:rFonts w:ascii="Calibri" w:hAnsi="Calibri" w:cs="Calibri"/>
                <w:b/>
                <w:color w:val="A6A6A6" w:themeColor="background1" w:themeShade="A6"/>
                <w:sz w:val="20"/>
                <w:szCs w:val="20"/>
              </w:rPr>
            </w:pPr>
          </w:p>
        </w:tc>
        <w:tc>
          <w:tcPr>
            <w:tcW w:w="688" w:type="dxa"/>
          </w:tcPr>
          <w:p w:rsidR="00B608DD" w:rsidRPr="006E55BA" w:rsidRDefault="00B608DD" w:rsidP="00B608DD">
            <w:pPr>
              <w:rPr>
                <w:rFonts w:ascii="Calibri" w:hAnsi="Calibri" w:cs="Calibri"/>
                <w:b/>
                <w:color w:val="A6A6A6" w:themeColor="background1" w:themeShade="A6"/>
                <w:sz w:val="20"/>
                <w:szCs w:val="20"/>
              </w:rPr>
            </w:pPr>
          </w:p>
        </w:tc>
      </w:tr>
      <w:tr w:rsidR="006E55BA" w:rsidRPr="006E55BA" w:rsidTr="00596840">
        <w:trPr>
          <w:gridAfter w:val="11"/>
          <w:wAfter w:w="3580" w:type="dxa"/>
        </w:trPr>
        <w:tc>
          <w:tcPr>
            <w:tcW w:w="2336" w:type="dxa"/>
            <w:gridSpan w:val="8"/>
            <w:tcBorders>
              <w:top w:val="single" w:sz="4" w:space="0" w:color="auto"/>
              <w:left w:val="single" w:sz="4" w:space="0" w:color="auto"/>
              <w:bottom w:val="single" w:sz="4" w:space="0" w:color="auto"/>
              <w:right w:val="single" w:sz="4" w:space="0" w:color="auto"/>
            </w:tcBorders>
            <w:shd w:val="clear" w:color="auto" w:fill="FFFF00"/>
          </w:tcPr>
          <w:p w:rsidR="00B608DD" w:rsidRPr="0084462F" w:rsidRDefault="00B608DD" w:rsidP="00B608DD">
            <w:pPr>
              <w:jc w:val="center"/>
              <w:rPr>
                <w:rFonts w:ascii="Calibri" w:hAnsi="Calibri" w:cs="Calibri"/>
                <w:b/>
                <w:sz w:val="18"/>
                <w:szCs w:val="18"/>
              </w:rPr>
            </w:pPr>
            <w:r w:rsidRPr="0084462F">
              <w:rPr>
                <w:rFonts w:ascii="Calibri" w:hAnsi="Calibri" w:cs="Calibri"/>
                <w:b/>
                <w:sz w:val="18"/>
                <w:szCs w:val="18"/>
              </w:rPr>
              <w:t>Rozpočet upravený v tis. Kč</w:t>
            </w:r>
          </w:p>
        </w:tc>
        <w:tc>
          <w:tcPr>
            <w:tcW w:w="2766" w:type="dxa"/>
            <w:gridSpan w:val="13"/>
            <w:tcBorders>
              <w:top w:val="single" w:sz="4" w:space="0" w:color="auto"/>
              <w:left w:val="single" w:sz="4" w:space="0" w:color="auto"/>
              <w:bottom w:val="single" w:sz="4" w:space="0" w:color="auto"/>
              <w:right w:val="single" w:sz="4" w:space="0" w:color="auto"/>
            </w:tcBorders>
            <w:shd w:val="clear" w:color="auto" w:fill="FFFF00"/>
          </w:tcPr>
          <w:p w:rsidR="00B608DD" w:rsidRPr="0084462F" w:rsidRDefault="00B608DD" w:rsidP="00B608DD">
            <w:pPr>
              <w:jc w:val="center"/>
              <w:rPr>
                <w:rFonts w:ascii="Calibri" w:hAnsi="Calibri" w:cs="Calibri"/>
                <w:b/>
                <w:sz w:val="18"/>
                <w:szCs w:val="18"/>
              </w:rPr>
            </w:pPr>
            <w:r w:rsidRPr="0084462F">
              <w:rPr>
                <w:rFonts w:ascii="Calibri" w:hAnsi="Calibri" w:cs="Calibri"/>
                <w:b/>
                <w:sz w:val="18"/>
                <w:szCs w:val="18"/>
              </w:rPr>
              <w:t>Skutečnost v tis. Kč</w:t>
            </w:r>
          </w:p>
        </w:tc>
        <w:tc>
          <w:tcPr>
            <w:tcW w:w="1278" w:type="dxa"/>
            <w:gridSpan w:val="9"/>
            <w:tcBorders>
              <w:top w:val="single" w:sz="4" w:space="0" w:color="auto"/>
              <w:left w:val="single" w:sz="4" w:space="0" w:color="auto"/>
              <w:bottom w:val="single" w:sz="4" w:space="0" w:color="auto"/>
              <w:right w:val="single" w:sz="4" w:space="0" w:color="auto"/>
            </w:tcBorders>
            <w:shd w:val="clear" w:color="auto" w:fill="FFFF00"/>
          </w:tcPr>
          <w:p w:rsidR="00B608DD" w:rsidRPr="0084462F" w:rsidRDefault="00B608DD" w:rsidP="00B608DD">
            <w:pPr>
              <w:jc w:val="center"/>
              <w:rPr>
                <w:rFonts w:ascii="Calibri" w:hAnsi="Calibri" w:cs="Calibri"/>
                <w:b/>
                <w:sz w:val="18"/>
                <w:szCs w:val="18"/>
              </w:rPr>
            </w:pPr>
            <w:r w:rsidRPr="0084462F">
              <w:rPr>
                <w:rFonts w:ascii="Calibri" w:hAnsi="Calibri" w:cs="Calibri"/>
                <w:b/>
                <w:sz w:val="18"/>
                <w:szCs w:val="18"/>
              </w:rPr>
              <w:t>SK/RU v %</w:t>
            </w:r>
          </w:p>
        </w:tc>
        <w:tc>
          <w:tcPr>
            <w:tcW w:w="3402" w:type="dxa"/>
            <w:gridSpan w:val="19"/>
            <w:tcBorders>
              <w:top w:val="single" w:sz="4" w:space="0" w:color="auto"/>
              <w:left w:val="single" w:sz="4" w:space="0" w:color="auto"/>
              <w:bottom w:val="single" w:sz="4" w:space="0" w:color="auto"/>
              <w:right w:val="single" w:sz="4" w:space="0" w:color="auto"/>
            </w:tcBorders>
            <w:shd w:val="clear" w:color="auto" w:fill="FFFF00"/>
          </w:tcPr>
          <w:p w:rsidR="00B608DD" w:rsidRPr="0084462F" w:rsidRDefault="00B608DD" w:rsidP="00B608DD">
            <w:pPr>
              <w:jc w:val="center"/>
              <w:rPr>
                <w:rFonts w:ascii="Calibri" w:hAnsi="Calibri" w:cs="Calibri"/>
                <w:b/>
                <w:sz w:val="18"/>
                <w:szCs w:val="18"/>
              </w:rPr>
            </w:pPr>
            <w:r w:rsidRPr="0084462F">
              <w:rPr>
                <w:rFonts w:ascii="Calibri" w:hAnsi="Calibri" w:cs="Calibri"/>
                <w:b/>
                <w:sz w:val="18"/>
                <w:szCs w:val="18"/>
              </w:rPr>
              <w:t>Komentář</w:t>
            </w:r>
          </w:p>
        </w:tc>
      </w:tr>
      <w:tr w:rsidR="00EC1F33" w:rsidRPr="006E55BA" w:rsidTr="004048EF">
        <w:trPr>
          <w:gridAfter w:val="11"/>
          <w:wAfter w:w="3580" w:type="dxa"/>
        </w:trPr>
        <w:tc>
          <w:tcPr>
            <w:tcW w:w="2336" w:type="dxa"/>
            <w:gridSpan w:val="8"/>
            <w:tcBorders>
              <w:top w:val="single" w:sz="6" w:space="0" w:color="auto"/>
              <w:left w:val="single" w:sz="6" w:space="0" w:color="auto"/>
              <w:bottom w:val="single" w:sz="6" w:space="0" w:color="auto"/>
              <w:right w:val="single" w:sz="6" w:space="0" w:color="auto"/>
            </w:tcBorders>
            <w:vAlign w:val="center"/>
          </w:tcPr>
          <w:p w:rsidR="00EC1F33" w:rsidRPr="00EC1F33" w:rsidRDefault="00DC641F" w:rsidP="00EC1F33">
            <w:pPr>
              <w:jc w:val="right"/>
              <w:rPr>
                <w:rFonts w:asciiTheme="minorHAnsi" w:hAnsiTheme="minorHAnsi" w:cstheme="minorHAnsi"/>
                <w:b/>
                <w:sz w:val="18"/>
              </w:rPr>
            </w:pPr>
            <w:r>
              <w:rPr>
                <w:rFonts w:asciiTheme="minorHAnsi" w:hAnsiTheme="minorHAnsi" w:cstheme="minorHAnsi"/>
                <w:b/>
                <w:sz w:val="18"/>
              </w:rPr>
              <w:t>833,40</w:t>
            </w:r>
          </w:p>
        </w:tc>
        <w:tc>
          <w:tcPr>
            <w:tcW w:w="2766" w:type="dxa"/>
            <w:gridSpan w:val="13"/>
            <w:tcBorders>
              <w:top w:val="single" w:sz="6" w:space="0" w:color="auto"/>
              <w:left w:val="single" w:sz="6" w:space="0" w:color="auto"/>
              <w:bottom w:val="single" w:sz="6" w:space="0" w:color="auto"/>
              <w:right w:val="single" w:sz="6" w:space="0" w:color="auto"/>
            </w:tcBorders>
            <w:vAlign w:val="center"/>
          </w:tcPr>
          <w:p w:rsidR="00EC1F33" w:rsidRPr="00EC1F33" w:rsidRDefault="00DC641F" w:rsidP="00EC1F33">
            <w:pPr>
              <w:jc w:val="right"/>
              <w:rPr>
                <w:rFonts w:asciiTheme="minorHAnsi" w:hAnsiTheme="minorHAnsi" w:cstheme="minorHAnsi"/>
                <w:b/>
                <w:sz w:val="18"/>
              </w:rPr>
            </w:pPr>
            <w:r>
              <w:rPr>
                <w:rFonts w:asciiTheme="minorHAnsi" w:hAnsiTheme="minorHAnsi" w:cstheme="minorHAnsi"/>
                <w:b/>
                <w:sz w:val="18"/>
              </w:rPr>
              <w:t>823,40</w:t>
            </w:r>
          </w:p>
        </w:tc>
        <w:tc>
          <w:tcPr>
            <w:tcW w:w="1278" w:type="dxa"/>
            <w:gridSpan w:val="9"/>
            <w:tcBorders>
              <w:top w:val="single" w:sz="6" w:space="0" w:color="auto"/>
              <w:left w:val="single" w:sz="6" w:space="0" w:color="auto"/>
              <w:bottom w:val="single" w:sz="6" w:space="0" w:color="auto"/>
              <w:right w:val="single" w:sz="6" w:space="0" w:color="auto"/>
            </w:tcBorders>
            <w:vAlign w:val="center"/>
          </w:tcPr>
          <w:p w:rsidR="00EC1F33" w:rsidRPr="00EC1F33" w:rsidRDefault="00DC641F" w:rsidP="00D07C73">
            <w:pPr>
              <w:jc w:val="center"/>
              <w:rPr>
                <w:rFonts w:asciiTheme="minorHAnsi" w:hAnsiTheme="minorHAnsi" w:cstheme="minorHAnsi"/>
                <w:b/>
                <w:sz w:val="18"/>
              </w:rPr>
            </w:pPr>
            <w:r>
              <w:rPr>
                <w:rFonts w:asciiTheme="minorHAnsi" w:hAnsiTheme="minorHAnsi" w:cstheme="minorHAnsi"/>
                <w:b/>
                <w:sz w:val="18"/>
              </w:rPr>
              <w:t>98,80</w:t>
            </w:r>
          </w:p>
        </w:tc>
        <w:tc>
          <w:tcPr>
            <w:tcW w:w="3402" w:type="dxa"/>
            <w:gridSpan w:val="19"/>
            <w:tcBorders>
              <w:top w:val="single" w:sz="4" w:space="0" w:color="auto"/>
              <w:left w:val="single" w:sz="4" w:space="0" w:color="auto"/>
              <w:bottom w:val="single" w:sz="4" w:space="0" w:color="auto"/>
              <w:right w:val="single" w:sz="4" w:space="0" w:color="auto"/>
            </w:tcBorders>
          </w:tcPr>
          <w:p w:rsidR="00EC1F33" w:rsidRPr="0084462F" w:rsidRDefault="00EC1F33" w:rsidP="00EC1F33">
            <w:pPr>
              <w:rPr>
                <w:rFonts w:ascii="Calibri" w:hAnsi="Calibri" w:cs="Calibri"/>
                <w:b/>
                <w:sz w:val="18"/>
                <w:szCs w:val="18"/>
              </w:rPr>
            </w:pPr>
            <w:r w:rsidRPr="0084462F">
              <w:rPr>
                <w:rFonts w:ascii="Calibri" w:hAnsi="Calibri" w:cs="Calibri"/>
                <w:b/>
                <w:sz w:val="18"/>
                <w:szCs w:val="18"/>
              </w:rPr>
              <w:t>Příjmy před konsolidací</w:t>
            </w:r>
          </w:p>
        </w:tc>
      </w:tr>
      <w:tr w:rsidR="00EC1F33" w:rsidRPr="006E55BA" w:rsidTr="004048EF">
        <w:trPr>
          <w:gridAfter w:val="11"/>
          <w:wAfter w:w="3580" w:type="dxa"/>
        </w:trPr>
        <w:tc>
          <w:tcPr>
            <w:tcW w:w="2336" w:type="dxa"/>
            <w:gridSpan w:val="8"/>
            <w:tcBorders>
              <w:top w:val="single" w:sz="6" w:space="0" w:color="auto"/>
              <w:left w:val="single" w:sz="6" w:space="0" w:color="auto"/>
              <w:bottom w:val="single" w:sz="6" w:space="0" w:color="auto"/>
              <w:right w:val="single" w:sz="6" w:space="0" w:color="auto"/>
            </w:tcBorders>
            <w:vAlign w:val="center"/>
          </w:tcPr>
          <w:p w:rsidR="00EC1F33" w:rsidRPr="00EC1F33" w:rsidRDefault="00DC641F" w:rsidP="00EC1F33">
            <w:pPr>
              <w:jc w:val="right"/>
              <w:rPr>
                <w:rFonts w:asciiTheme="minorHAnsi" w:hAnsiTheme="minorHAnsi" w:cstheme="minorHAnsi"/>
                <w:b/>
                <w:sz w:val="18"/>
              </w:rPr>
            </w:pPr>
            <w:r>
              <w:rPr>
                <w:rFonts w:asciiTheme="minorHAnsi" w:hAnsiTheme="minorHAnsi" w:cstheme="minorHAnsi"/>
                <w:b/>
                <w:sz w:val="18"/>
              </w:rPr>
              <w:t>833,40</w:t>
            </w:r>
          </w:p>
        </w:tc>
        <w:tc>
          <w:tcPr>
            <w:tcW w:w="2766" w:type="dxa"/>
            <w:gridSpan w:val="13"/>
            <w:tcBorders>
              <w:top w:val="single" w:sz="6" w:space="0" w:color="auto"/>
              <w:left w:val="single" w:sz="6" w:space="0" w:color="auto"/>
              <w:bottom w:val="single" w:sz="6" w:space="0" w:color="auto"/>
              <w:right w:val="single" w:sz="6" w:space="0" w:color="auto"/>
            </w:tcBorders>
            <w:vAlign w:val="center"/>
          </w:tcPr>
          <w:p w:rsidR="00EC1F33" w:rsidRPr="00EC1F33" w:rsidRDefault="00DC641F" w:rsidP="00EC1F33">
            <w:pPr>
              <w:jc w:val="right"/>
              <w:rPr>
                <w:rFonts w:asciiTheme="minorHAnsi" w:hAnsiTheme="minorHAnsi" w:cstheme="minorHAnsi"/>
                <w:b/>
                <w:sz w:val="18"/>
              </w:rPr>
            </w:pPr>
            <w:r>
              <w:rPr>
                <w:rFonts w:asciiTheme="minorHAnsi" w:hAnsiTheme="minorHAnsi" w:cstheme="minorHAnsi"/>
                <w:b/>
                <w:sz w:val="18"/>
              </w:rPr>
              <w:t>823,40</w:t>
            </w:r>
          </w:p>
        </w:tc>
        <w:tc>
          <w:tcPr>
            <w:tcW w:w="1278" w:type="dxa"/>
            <w:gridSpan w:val="9"/>
            <w:tcBorders>
              <w:top w:val="single" w:sz="6" w:space="0" w:color="auto"/>
              <w:left w:val="single" w:sz="6" w:space="0" w:color="auto"/>
              <w:bottom w:val="single" w:sz="6" w:space="0" w:color="auto"/>
              <w:right w:val="single" w:sz="6" w:space="0" w:color="auto"/>
            </w:tcBorders>
            <w:vAlign w:val="center"/>
          </w:tcPr>
          <w:p w:rsidR="00EC1F33" w:rsidRPr="00EC1F33" w:rsidRDefault="00DC641F" w:rsidP="00D07C73">
            <w:pPr>
              <w:jc w:val="center"/>
              <w:rPr>
                <w:rFonts w:asciiTheme="minorHAnsi" w:hAnsiTheme="minorHAnsi" w:cstheme="minorHAnsi"/>
                <w:b/>
                <w:sz w:val="18"/>
              </w:rPr>
            </w:pPr>
            <w:r>
              <w:rPr>
                <w:rFonts w:asciiTheme="minorHAnsi" w:hAnsiTheme="minorHAnsi" w:cstheme="minorHAnsi"/>
                <w:b/>
                <w:sz w:val="18"/>
              </w:rPr>
              <w:t>98,80</w:t>
            </w:r>
          </w:p>
        </w:tc>
        <w:tc>
          <w:tcPr>
            <w:tcW w:w="3402" w:type="dxa"/>
            <w:gridSpan w:val="19"/>
            <w:tcBorders>
              <w:top w:val="single" w:sz="4" w:space="0" w:color="auto"/>
              <w:left w:val="single" w:sz="4" w:space="0" w:color="auto"/>
              <w:bottom w:val="single" w:sz="4" w:space="0" w:color="auto"/>
              <w:right w:val="single" w:sz="4" w:space="0" w:color="auto"/>
            </w:tcBorders>
          </w:tcPr>
          <w:p w:rsidR="00EC1F33" w:rsidRPr="0084462F" w:rsidRDefault="00EC1F33" w:rsidP="00EC1F33">
            <w:pPr>
              <w:rPr>
                <w:rFonts w:ascii="Calibri" w:hAnsi="Calibri" w:cs="Calibri"/>
                <w:b/>
                <w:sz w:val="18"/>
                <w:szCs w:val="18"/>
              </w:rPr>
            </w:pPr>
            <w:r w:rsidRPr="0084462F">
              <w:rPr>
                <w:rFonts w:ascii="Calibri" w:hAnsi="Calibri" w:cs="Calibri"/>
                <w:b/>
                <w:sz w:val="18"/>
                <w:szCs w:val="18"/>
              </w:rPr>
              <w:t>Příjmy po konsolidaci</w:t>
            </w:r>
          </w:p>
        </w:tc>
      </w:tr>
      <w:tr w:rsidR="006E55BA" w:rsidRPr="006E55BA" w:rsidTr="00E8229C">
        <w:tc>
          <w:tcPr>
            <w:tcW w:w="459" w:type="dxa"/>
          </w:tcPr>
          <w:p w:rsidR="00B608DD" w:rsidRPr="0084462F" w:rsidRDefault="00B608DD" w:rsidP="00B608DD">
            <w:pPr>
              <w:rPr>
                <w:rFonts w:ascii="Calibri" w:hAnsi="Calibri" w:cs="Calibri"/>
                <w:b/>
                <w:sz w:val="20"/>
                <w:szCs w:val="20"/>
              </w:rPr>
            </w:pPr>
          </w:p>
        </w:tc>
        <w:tc>
          <w:tcPr>
            <w:tcW w:w="459" w:type="dxa"/>
          </w:tcPr>
          <w:p w:rsidR="00B608DD" w:rsidRPr="0084462F" w:rsidRDefault="00B608DD" w:rsidP="00B608DD">
            <w:pPr>
              <w:rPr>
                <w:rFonts w:ascii="Calibri" w:hAnsi="Calibri" w:cs="Calibri"/>
                <w:b/>
                <w:sz w:val="20"/>
                <w:szCs w:val="20"/>
              </w:rPr>
            </w:pPr>
          </w:p>
        </w:tc>
        <w:tc>
          <w:tcPr>
            <w:tcW w:w="460" w:type="dxa"/>
            <w:gridSpan w:val="2"/>
          </w:tcPr>
          <w:p w:rsidR="00B608DD" w:rsidRPr="0084462F" w:rsidRDefault="00B608DD" w:rsidP="00B608DD">
            <w:pPr>
              <w:rPr>
                <w:rFonts w:ascii="Calibri" w:hAnsi="Calibri" w:cs="Calibri"/>
                <w:b/>
                <w:sz w:val="20"/>
                <w:szCs w:val="20"/>
              </w:rPr>
            </w:pPr>
          </w:p>
        </w:tc>
        <w:tc>
          <w:tcPr>
            <w:tcW w:w="958" w:type="dxa"/>
            <w:gridSpan w:val="4"/>
          </w:tcPr>
          <w:p w:rsidR="00B608DD" w:rsidRPr="0084462F" w:rsidRDefault="00B608DD" w:rsidP="00B608DD">
            <w:pPr>
              <w:rPr>
                <w:rFonts w:ascii="Calibri" w:hAnsi="Calibri" w:cs="Calibri"/>
                <w:b/>
                <w:sz w:val="20"/>
                <w:szCs w:val="20"/>
              </w:rPr>
            </w:pPr>
          </w:p>
        </w:tc>
        <w:tc>
          <w:tcPr>
            <w:tcW w:w="925" w:type="dxa"/>
            <w:gridSpan w:val="4"/>
          </w:tcPr>
          <w:p w:rsidR="00B608DD" w:rsidRPr="0084462F" w:rsidRDefault="00B608DD" w:rsidP="00B608DD">
            <w:pPr>
              <w:rPr>
                <w:rFonts w:ascii="Calibri" w:hAnsi="Calibri" w:cs="Calibri"/>
                <w:b/>
                <w:sz w:val="20"/>
                <w:szCs w:val="20"/>
              </w:rPr>
            </w:pPr>
          </w:p>
        </w:tc>
        <w:tc>
          <w:tcPr>
            <w:tcW w:w="335" w:type="dxa"/>
            <w:gridSpan w:val="3"/>
          </w:tcPr>
          <w:p w:rsidR="00B608DD" w:rsidRPr="0084462F" w:rsidRDefault="00B608DD" w:rsidP="00B608DD">
            <w:pPr>
              <w:rPr>
                <w:rFonts w:ascii="Calibri" w:hAnsi="Calibri" w:cs="Calibri"/>
                <w:b/>
                <w:sz w:val="20"/>
                <w:szCs w:val="20"/>
              </w:rPr>
            </w:pPr>
          </w:p>
        </w:tc>
        <w:tc>
          <w:tcPr>
            <w:tcW w:w="460" w:type="dxa"/>
            <w:gridSpan w:val="3"/>
          </w:tcPr>
          <w:p w:rsidR="00B608DD" w:rsidRPr="0084462F" w:rsidRDefault="00B608DD" w:rsidP="00B608DD">
            <w:pPr>
              <w:rPr>
                <w:rFonts w:ascii="Calibri" w:hAnsi="Calibri" w:cs="Calibri"/>
                <w:b/>
                <w:sz w:val="20"/>
                <w:szCs w:val="20"/>
              </w:rPr>
            </w:pPr>
          </w:p>
        </w:tc>
        <w:tc>
          <w:tcPr>
            <w:tcW w:w="2520" w:type="dxa"/>
            <w:gridSpan w:val="13"/>
          </w:tcPr>
          <w:p w:rsidR="00B608DD" w:rsidRPr="0084462F" w:rsidRDefault="00B608DD" w:rsidP="00B608DD">
            <w:pPr>
              <w:rPr>
                <w:rFonts w:ascii="Calibri" w:hAnsi="Calibri" w:cs="Calibri"/>
                <w:b/>
                <w:sz w:val="20"/>
                <w:szCs w:val="20"/>
              </w:rPr>
            </w:pPr>
          </w:p>
        </w:tc>
        <w:tc>
          <w:tcPr>
            <w:tcW w:w="160" w:type="dxa"/>
          </w:tcPr>
          <w:p w:rsidR="00B608DD" w:rsidRPr="0084462F" w:rsidRDefault="00B608DD" w:rsidP="00B608DD">
            <w:pPr>
              <w:rPr>
                <w:rFonts w:ascii="Calibri" w:hAnsi="Calibri" w:cs="Calibri"/>
                <w:b/>
                <w:sz w:val="20"/>
                <w:szCs w:val="20"/>
              </w:rPr>
            </w:pPr>
          </w:p>
        </w:tc>
        <w:tc>
          <w:tcPr>
            <w:tcW w:w="460" w:type="dxa"/>
            <w:gridSpan w:val="2"/>
          </w:tcPr>
          <w:p w:rsidR="00B608DD" w:rsidRPr="0084462F" w:rsidRDefault="00B608DD" w:rsidP="00B608DD">
            <w:pPr>
              <w:rPr>
                <w:rFonts w:ascii="Calibri" w:hAnsi="Calibri" w:cs="Calibri"/>
                <w:b/>
                <w:sz w:val="20"/>
                <w:szCs w:val="20"/>
              </w:rPr>
            </w:pPr>
          </w:p>
        </w:tc>
        <w:tc>
          <w:tcPr>
            <w:tcW w:w="460" w:type="dxa"/>
            <w:gridSpan w:val="4"/>
          </w:tcPr>
          <w:p w:rsidR="00B608DD" w:rsidRPr="0084462F" w:rsidRDefault="00B608DD" w:rsidP="00B608DD">
            <w:pPr>
              <w:rPr>
                <w:rFonts w:ascii="Calibri" w:hAnsi="Calibri" w:cs="Calibri"/>
                <w:b/>
                <w:sz w:val="20"/>
                <w:szCs w:val="20"/>
              </w:rPr>
            </w:pPr>
          </w:p>
        </w:tc>
        <w:tc>
          <w:tcPr>
            <w:tcW w:w="1956" w:type="dxa"/>
            <w:gridSpan w:val="10"/>
          </w:tcPr>
          <w:p w:rsidR="00B608DD" w:rsidRPr="0084462F" w:rsidRDefault="00B608DD" w:rsidP="00B608DD">
            <w:pPr>
              <w:rPr>
                <w:rFonts w:ascii="Calibri" w:hAnsi="Calibri" w:cs="Calibri"/>
                <w:b/>
                <w:sz w:val="20"/>
                <w:szCs w:val="20"/>
              </w:rPr>
            </w:pPr>
          </w:p>
        </w:tc>
        <w:tc>
          <w:tcPr>
            <w:tcW w:w="302" w:type="dxa"/>
            <w:gridSpan w:val="3"/>
          </w:tcPr>
          <w:p w:rsidR="00B608DD" w:rsidRPr="006E55BA" w:rsidRDefault="00B608DD" w:rsidP="00B608DD">
            <w:pPr>
              <w:rPr>
                <w:rFonts w:ascii="Calibri" w:hAnsi="Calibri" w:cs="Calibri"/>
                <w:b/>
                <w:color w:val="A6A6A6" w:themeColor="background1" w:themeShade="A6"/>
                <w:sz w:val="20"/>
                <w:szCs w:val="20"/>
              </w:rPr>
            </w:pPr>
          </w:p>
        </w:tc>
        <w:tc>
          <w:tcPr>
            <w:tcW w:w="460" w:type="dxa"/>
            <w:gridSpan w:val="2"/>
          </w:tcPr>
          <w:p w:rsidR="00B608DD" w:rsidRPr="006E55BA" w:rsidRDefault="00B608DD" w:rsidP="00B608DD">
            <w:pPr>
              <w:rPr>
                <w:rFonts w:ascii="Calibri" w:hAnsi="Calibri" w:cs="Calibri"/>
                <w:b/>
                <w:color w:val="A6A6A6" w:themeColor="background1" w:themeShade="A6"/>
                <w:sz w:val="20"/>
                <w:szCs w:val="20"/>
              </w:rPr>
            </w:pPr>
          </w:p>
        </w:tc>
        <w:tc>
          <w:tcPr>
            <w:tcW w:w="460" w:type="dxa"/>
          </w:tcPr>
          <w:p w:rsidR="00B608DD" w:rsidRPr="006E55BA" w:rsidRDefault="00B608DD" w:rsidP="00B608DD">
            <w:pPr>
              <w:rPr>
                <w:rFonts w:ascii="Calibri" w:hAnsi="Calibri" w:cs="Calibri"/>
                <w:b/>
                <w:color w:val="A6A6A6" w:themeColor="background1" w:themeShade="A6"/>
                <w:sz w:val="20"/>
                <w:szCs w:val="20"/>
              </w:rPr>
            </w:pPr>
          </w:p>
        </w:tc>
        <w:tc>
          <w:tcPr>
            <w:tcW w:w="460" w:type="dxa"/>
            <w:gridSpan w:val="2"/>
          </w:tcPr>
          <w:p w:rsidR="00B608DD" w:rsidRPr="006E55BA" w:rsidRDefault="00B608DD" w:rsidP="00B608DD">
            <w:pPr>
              <w:rPr>
                <w:rFonts w:ascii="Calibri" w:hAnsi="Calibri" w:cs="Calibri"/>
                <w:b/>
                <w:color w:val="A6A6A6" w:themeColor="background1" w:themeShade="A6"/>
                <w:sz w:val="20"/>
                <w:szCs w:val="20"/>
              </w:rPr>
            </w:pPr>
          </w:p>
        </w:tc>
        <w:tc>
          <w:tcPr>
            <w:tcW w:w="460" w:type="dxa"/>
          </w:tcPr>
          <w:p w:rsidR="00B608DD" w:rsidRPr="006E55BA" w:rsidRDefault="00B608DD" w:rsidP="00B608DD">
            <w:pPr>
              <w:rPr>
                <w:rFonts w:ascii="Calibri" w:hAnsi="Calibri" w:cs="Calibri"/>
                <w:b/>
                <w:color w:val="A6A6A6" w:themeColor="background1" w:themeShade="A6"/>
                <w:sz w:val="20"/>
                <w:szCs w:val="20"/>
              </w:rPr>
            </w:pPr>
          </w:p>
        </w:tc>
        <w:tc>
          <w:tcPr>
            <w:tcW w:w="460" w:type="dxa"/>
          </w:tcPr>
          <w:p w:rsidR="00B608DD" w:rsidRPr="006E55BA" w:rsidRDefault="00B608DD" w:rsidP="00B608DD">
            <w:pPr>
              <w:rPr>
                <w:rFonts w:ascii="Calibri" w:hAnsi="Calibri" w:cs="Calibri"/>
                <w:b/>
                <w:color w:val="A6A6A6" w:themeColor="background1" w:themeShade="A6"/>
                <w:sz w:val="20"/>
                <w:szCs w:val="20"/>
              </w:rPr>
            </w:pPr>
          </w:p>
        </w:tc>
        <w:tc>
          <w:tcPr>
            <w:tcW w:w="460" w:type="dxa"/>
          </w:tcPr>
          <w:p w:rsidR="00B608DD" w:rsidRPr="006E55BA" w:rsidRDefault="00B608DD" w:rsidP="00B608DD">
            <w:pPr>
              <w:rPr>
                <w:rFonts w:ascii="Calibri" w:hAnsi="Calibri" w:cs="Calibri"/>
                <w:b/>
                <w:color w:val="A6A6A6" w:themeColor="background1" w:themeShade="A6"/>
                <w:sz w:val="20"/>
                <w:szCs w:val="20"/>
              </w:rPr>
            </w:pPr>
          </w:p>
        </w:tc>
        <w:tc>
          <w:tcPr>
            <w:tcW w:w="688" w:type="dxa"/>
          </w:tcPr>
          <w:p w:rsidR="00B608DD" w:rsidRPr="006E55BA" w:rsidRDefault="00B608DD" w:rsidP="00B608DD">
            <w:pPr>
              <w:rPr>
                <w:rFonts w:ascii="Calibri" w:hAnsi="Calibri" w:cs="Calibri"/>
                <w:b/>
                <w:color w:val="A6A6A6" w:themeColor="background1" w:themeShade="A6"/>
                <w:sz w:val="20"/>
                <w:szCs w:val="20"/>
              </w:rPr>
            </w:pPr>
          </w:p>
        </w:tc>
      </w:tr>
      <w:tr w:rsidR="006E55BA" w:rsidRPr="006E55BA" w:rsidTr="00596840">
        <w:trPr>
          <w:gridAfter w:val="11"/>
          <w:wAfter w:w="3580" w:type="dxa"/>
        </w:trPr>
        <w:tc>
          <w:tcPr>
            <w:tcW w:w="9782" w:type="dxa"/>
            <w:gridSpan w:val="49"/>
            <w:shd w:val="clear" w:color="auto" w:fill="EEECE1"/>
          </w:tcPr>
          <w:p w:rsidR="00B608DD" w:rsidRPr="0084462F" w:rsidRDefault="00B608DD" w:rsidP="00B608DD">
            <w:pPr>
              <w:rPr>
                <w:rFonts w:ascii="Calibri" w:hAnsi="Calibri" w:cs="Calibri"/>
                <w:b/>
                <w:sz w:val="20"/>
                <w:szCs w:val="20"/>
              </w:rPr>
            </w:pPr>
            <w:r w:rsidRPr="0084462F">
              <w:rPr>
                <w:rFonts w:ascii="Calibri" w:hAnsi="Calibri" w:cs="Calibri"/>
                <w:b/>
                <w:sz w:val="20"/>
                <w:szCs w:val="20"/>
              </w:rPr>
              <w:t>Stručný komentář k celkovému vývoji plnění příjmů kapitoly ve sledovaném období</w:t>
            </w:r>
          </w:p>
        </w:tc>
      </w:tr>
      <w:tr w:rsidR="006E55BA" w:rsidRPr="006E55BA" w:rsidTr="00596840">
        <w:trPr>
          <w:gridAfter w:val="11"/>
          <w:wAfter w:w="3580" w:type="dxa"/>
        </w:trPr>
        <w:tc>
          <w:tcPr>
            <w:tcW w:w="9782" w:type="dxa"/>
            <w:gridSpan w:val="49"/>
            <w:tcBorders>
              <w:top w:val="single" w:sz="6" w:space="0" w:color="auto"/>
              <w:left w:val="single" w:sz="6" w:space="0" w:color="auto"/>
              <w:bottom w:val="single" w:sz="6" w:space="0" w:color="auto"/>
              <w:right w:val="single" w:sz="6" w:space="0" w:color="auto"/>
            </w:tcBorders>
          </w:tcPr>
          <w:p w:rsidR="00D01B4B" w:rsidRPr="00EC1F33" w:rsidRDefault="00EC1F33" w:rsidP="00DC641F">
            <w:pPr>
              <w:jc w:val="both"/>
              <w:rPr>
                <w:rFonts w:ascii="Calibri" w:hAnsi="Calibri" w:cs="Calibri"/>
                <w:color w:val="A6A6A6" w:themeColor="background1" w:themeShade="A6"/>
                <w:sz w:val="20"/>
                <w:szCs w:val="20"/>
              </w:rPr>
            </w:pPr>
            <w:r w:rsidRPr="00EC1F33">
              <w:rPr>
                <w:rFonts w:asciiTheme="minorHAnsi" w:hAnsiTheme="minorHAnsi" w:cstheme="minorHAnsi"/>
                <w:sz w:val="20"/>
                <w:szCs w:val="20"/>
              </w:rPr>
              <w:t>Příjmy kapitoly tvoří v roce 202</w:t>
            </w:r>
            <w:r w:rsidR="00DC641F">
              <w:rPr>
                <w:rFonts w:asciiTheme="minorHAnsi" w:hAnsiTheme="minorHAnsi" w:cstheme="minorHAnsi"/>
                <w:sz w:val="20"/>
                <w:szCs w:val="20"/>
              </w:rPr>
              <w:t>2</w:t>
            </w:r>
            <w:r w:rsidRPr="00EC1F33">
              <w:rPr>
                <w:rFonts w:asciiTheme="minorHAnsi" w:hAnsiTheme="minorHAnsi" w:cstheme="minorHAnsi"/>
                <w:sz w:val="20"/>
                <w:szCs w:val="20"/>
              </w:rPr>
              <w:t xml:space="preserve"> dotace Ministerstva vnitra ČR ve výši </w:t>
            </w:r>
            <w:r w:rsidR="00DC641F">
              <w:rPr>
                <w:rFonts w:asciiTheme="minorHAnsi" w:hAnsiTheme="minorHAnsi" w:cstheme="minorHAnsi"/>
                <w:sz w:val="20"/>
                <w:szCs w:val="20"/>
              </w:rPr>
              <w:t xml:space="preserve">312,70 tis. </w:t>
            </w:r>
            <w:r w:rsidRPr="00EC1F33">
              <w:rPr>
                <w:rFonts w:asciiTheme="minorHAnsi" w:hAnsiTheme="minorHAnsi" w:cstheme="minorHAnsi"/>
                <w:sz w:val="20"/>
                <w:szCs w:val="20"/>
              </w:rPr>
              <w:t xml:space="preserve">Kč a Olomouckého kraje pro Jednotky sborů dobrovolných hasičů města Prostějova ve výši </w:t>
            </w:r>
            <w:r w:rsidR="00DC641F">
              <w:rPr>
                <w:rFonts w:asciiTheme="minorHAnsi" w:hAnsiTheme="minorHAnsi" w:cstheme="minorHAnsi"/>
                <w:sz w:val="20"/>
                <w:szCs w:val="20"/>
              </w:rPr>
              <w:t xml:space="preserve">432,3 tis. </w:t>
            </w:r>
            <w:r w:rsidRPr="00EC1F33">
              <w:rPr>
                <w:rFonts w:asciiTheme="minorHAnsi" w:hAnsiTheme="minorHAnsi" w:cstheme="minorHAnsi"/>
                <w:sz w:val="20"/>
                <w:szCs w:val="20"/>
              </w:rPr>
              <w:t xml:space="preserve">Kč. Dále </w:t>
            </w:r>
            <w:r w:rsidR="00DC641F">
              <w:rPr>
                <w:rFonts w:asciiTheme="minorHAnsi" w:hAnsiTheme="minorHAnsi" w:cstheme="minorHAnsi"/>
                <w:sz w:val="20"/>
                <w:szCs w:val="20"/>
              </w:rPr>
              <w:t xml:space="preserve">příjem z pojistného plnění ve výši 78,4 tis. Kč.  </w:t>
            </w:r>
          </w:p>
        </w:tc>
      </w:tr>
      <w:tr w:rsidR="00DC641F" w:rsidRPr="006E55BA" w:rsidTr="00E8229C">
        <w:trPr>
          <w:gridAfter w:val="14"/>
          <w:wAfter w:w="4040" w:type="dxa"/>
        </w:trPr>
        <w:tc>
          <w:tcPr>
            <w:tcW w:w="459" w:type="dxa"/>
            <w:tcBorders>
              <w:top w:val="single" w:sz="4" w:space="0" w:color="auto"/>
            </w:tcBorders>
          </w:tcPr>
          <w:p w:rsidR="00DC641F" w:rsidRPr="006E55BA" w:rsidRDefault="00DC641F" w:rsidP="00D01B4B">
            <w:pPr>
              <w:rPr>
                <w:rFonts w:ascii="Calibri" w:hAnsi="Calibri" w:cs="Calibri"/>
                <w:b/>
                <w:color w:val="A6A6A6" w:themeColor="background1" w:themeShade="A6"/>
                <w:sz w:val="20"/>
                <w:szCs w:val="20"/>
              </w:rPr>
            </w:pPr>
          </w:p>
        </w:tc>
        <w:tc>
          <w:tcPr>
            <w:tcW w:w="459" w:type="dxa"/>
            <w:tcBorders>
              <w:top w:val="single" w:sz="4" w:space="0" w:color="auto"/>
            </w:tcBorders>
          </w:tcPr>
          <w:p w:rsidR="00DC641F" w:rsidRPr="006E55BA" w:rsidRDefault="00DC641F" w:rsidP="00D01B4B">
            <w:pPr>
              <w:rPr>
                <w:rFonts w:ascii="Calibri" w:hAnsi="Calibri" w:cs="Calibri"/>
                <w:b/>
                <w:color w:val="A6A6A6" w:themeColor="background1" w:themeShade="A6"/>
                <w:sz w:val="20"/>
                <w:szCs w:val="20"/>
              </w:rPr>
            </w:pPr>
          </w:p>
        </w:tc>
        <w:tc>
          <w:tcPr>
            <w:tcW w:w="391" w:type="dxa"/>
            <w:tcBorders>
              <w:top w:val="single" w:sz="4" w:space="0" w:color="auto"/>
            </w:tcBorders>
          </w:tcPr>
          <w:p w:rsidR="00DC641F" w:rsidRPr="006E55BA" w:rsidRDefault="00DC641F" w:rsidP="00D01B4B">
            <w:pPr>
              <w:rPr>
                <w:rFonts w:ascii="Calibri" w:hAnsi="Calibri" w:cs="Calibri"/>
                <w:b/>
                <w:color w:val="A6A6A6" w:themeColor="background1" w:themeShade="A6"/>
                <w:sz w:val="20"/>
                <w:szCs w:val="20"/>
              </w:rPr>
            </w:pPr>
          </w:p>
        </w:tc>
        <w:tc>
          <w:tcPr>
            <w:tcW w:w="529" w:type="dxa"/>
            <w:gridSpan w:val="3"/>
            <w:tcBorders>
              <w:top w:val="single" w:sz="4" w:space="0" w:color="auto"/>
            </w:tcBorders>
          </w:tcPr>
          <w:p w:rsidR="00DC641F" w:rsidRPr="006E55BA" w:rsidRDefault="00DC641F" w:rsidP="00D01B4B">
            <w:pPr>
              <w:rPr>
                <w:rFonts w:ascii="Calibri" w:hAnsi="Calibri" w:cs="Calibri"/>
                <w:b/>
                <w:color w:val="A6A6A6" w:themeColor="background1" w:themeShade="A6"/>
                <w:sz w:val="20"/>
                <w:szCs w:val="20"/>
              </w:rPr>
            </w:pPr>
          </w:p>
        </w:tc>
        <w:tc>
          <w:tcPr>
            <w:tcW w:w="963" w:type="dxa"/>
            <w:gridSpan w:val="4"/>
            <w:tcBorders>
              <w:top w:val="single" w:sz="4" w:space="0" w:color="auto"/>
            </w:tcBorders>
          </w:tcPr>
          <w:p w:rsidR="00DC641F" w:rsidRPr="006E55BA" w:rsidRDefault="00DC641F" w:rsidP="00D01B4B">
            <w:pPr>
              <w:rPr>
                <w:rFonts w:ascii="Calibri" w:hAnsi="Calibri" w:cs="Calibri"/>
                <w:b/>
                <w:color w:val="A6A6A6" w:themeColor="background1" w:themeShade="A6"/>
                <w:sz w:val="20"/>
                <w:szCs w:val="20"/>
              </w:rPr>
            </w:pPr>
          </w:p>
        </w:tc>
        <w:tc>
          <w:tcPr>
            <w:tcW w:w="313" w:type="dxa"/>
            <w:tcBorders>
              <w:top w:val="single" w:sz="4" w:space="0" w:color="auto"/>
            </w:tcBorders>
          </w:tcPr>
          <w:p w:rsidR="00DC641F" w:rsidRPr="006E55BA" w:rsidRDefault="00DC641F" w:rsidP="00D01B4B">
            <w:pPr>
              <w:rPr>
                <w:rFonts w:ascii="Calibri" w:hAnsi="Calibri" w:cs="Calibri"/>
                <w:b/>
                <w:color w:val="A6A6A6" w:themeColor="background1" w:themeShade="A6"/>
                <w:sz w:val="20"/>
                <w:szCs w:val="20"/>
              </w:rPr>
            </w:pPr>
          </w:p>
        </w:tc>
        <w:tc>
          <w:tcPr>
            <w:tcW w:w="460" w:type="dxa"/>
            <w:gridSpan w:val="3"/>
            <w:tcBorders>
              <w:top w:val="single" w:sz="4" w:space="0" w:color="auto"/>
            </w:tcBorders>
          </w:tcPr>
          <w:p w:rsidR="00DC641F" w:rsidRPr="006E55BA" w:rsidRDefault="00DC641F" w:rsidP="00D01B4B">
            <w:pPr>
              <w:rPr>
                <w:rFonts w:ascii="Calibri" w:hAnsi="Calibri" w:cs="Calibri"/>
                <w:b/>
                <w:color w:val="A6A6A6" w:themeColor="background1" w:themeShade="A6"/>
                <w:sz w:val="20"/>
                <w:szCs w:val="20"/>
              </w:rPr>
            </w:pPr>
          </w:p>
        </w:tc>
        <w:tc>
          <w:tcPr>
            <w:tcW w:w="460" w:type="dxa"/>
            <w:gridSpan w:val="3"/>
            <w:tcBorders>
              <w:top w:val="single" w:sz="4" w:space="0" w:color="auto"/>
            </w:tcBorders>
          </w:tcPr>
          <w:p w:rsidR="00DC641F" w:rsidRPr="006E55BA" w:rsidRDefault="00DC641F" w:rsidP="00D01B4B">
            <w:pPr>
              <w:rPr>
                <w:rFonts w:ascii="Calibri" w:hAnsi="Calibri" w:cs="Calibri"/>
                <w:b/>
                <w:color w:val="A6A6A6" w:themeColor="background1" w:themeShade="A6"/>
                <w:sz w:val="20"/>
                <w:szCs w:val="20"/>
              </w:rPr>
            </w:pPr>
          </w:p>
        </w:tc>
        <w:tc>
          <w:tcPr>
            <w:tcW w:w="460" w:type="dxa"/>
            <w:gridSpan w:val="2"/>
            <w:tcBorders>
              <w:top w:val="single" w:sz="4" w:space="0" w:color="auto"/>
            </w:tcBorders>
          </w:tcPr>
          <w:p w:rsidR="00DC641F" w:rsidRPr="006E55BA" w:rsidRDefault="00DC641F" w:rsidP="00D01B4B">
            <w:pPr>
              <w:rPr>
                <w:rFonts w:ascii="Calibri" w:hAnsi="Calibri" w:cs="Calibri"/>
                <w:b/>
                <w:color w:val="A6A6A6" w:themeColor="background1" w:themeShade="A6"/>
                <w:sz w:val="20"/>
                <w:szCs w:val="20"/>
              </w:rPr>
            </w:pPr>
          </w:p>
        </w:tc>
        <w:tc>
          <w:tcPr>
            <w:tcW w:w="460" w:type="dxa"/>
            <w:tcBorders>
              <w:top w:val="single" w:sz="4" w:space="0" w:color="auto"/>
            </w:tcBorders>
          </w:tcPr>
          <w:p w:rsidR="00DC641F" w:rsidRPr="006E55BA" w:rsidRDefault="00DC641F" w:rsidP="00D01B4B">
            <w:pPr>
              <w:rPr>
                <w:rFonts w:ascii="Calibri" w:hAnsi="Calibri" w:cs="Calibri"/>
                <w:b/>
                <w:color w:val="A6A6A6" w:themeColor="background1" w:themeShade="A6"/>
                <w:sz w:val="20"/>
                <w:szCs w:val="20"/>
              </w:rPr>
            </w:pPr>
          </w:p>
        </w:tc>
        <w:tc>
          <w:tcPr>
            <w:tcW w:w="541" w:type="dxa"/>
            <w:gridSpan w:val="5"/>
            <w:tcBorders>
              <w:top w:val="single" w:sz="4" w:space="0" w:color="auto"/>
            </w:tcBorders>
          </w:tcPr>
          <w:p w:rsidR="00DC641F" w:rsidRPr="006E55BA" w:rsidRDefault="00DC641F" w:rsidP="00D01B4B">
            <w:pPr>
              <w:rPr>
                <w:rFonts w:ascii="Calibri" w:hAnsi="Calibri" w:cs="Calibri"/>
                <w:b/>
                <w:color w:val="A6A6A6" w:themeColor="background1" w:themeShade="A6"/>
                <w:sz w:val="20"/>
                <w:szCs w:val="20"/>
              </w:rPr>
            </w:pPr>
          </w:p>
        </w:tc>
        <w:tc>
          <w:tcPr>
            <w:tcW w:w="379" w:type="dxa"/>
            <w:tcBorders>
              <w:top w:val="single" w:sz="4" w:space="0" w:color="auto"/>
            </w:tcBorders>
          </w:tcPr>
          <w:p w:rsidR="00DC641F" w:rsidRPr="006E55BA" w:rsidRDefault="00DC641F" w:rsidP="00D01B4B">
            <w:pPr>
              <w:rPr>
                <w:rFonts w:ascii="Calibri" w:hAnsi="Calibri" w:cs="Calibri"/>
                <w:b/>
                <w:color w:val="A6A6A6" w:themeColor="background1" w:themeShade="A6"/>
                <w:sz w:val="20"/>
                <w:szCs w:val="20"/>
              </w:rPr>
            </w:pPr>
          </w:p>
        </w:tc>
        <w:tc>
          <w:tcPr>
            <w:tcW w:w="460" w:type="dxa"/>
            <w:gridSpan w:val="3"/>
            <w:tcBorders>
              <w:top w:val="single" w:sz="4" w:space="0" w:color="auto"/>
            </w:tcBorders>
          </w:tcPr>
          <w:p w:rsidR="00DC641F" w:rsidRDefault="00DC641F" w:rsidP="00D01B4B">
            <w:pPr>
              <w:rPr>
                <w:rFonts w:ascii="Calibri" w:hAnsi="Calibri" w:cs="Calibri"/>
                <w:b/>
                <w:color w:val="A6A6A6" w:themeColor="background1" w:themeShade="A6"/>
                <w:sz w:val="20"/>
                <w:szCs w:val="20"/>
              </w:rPr>
            </w:pPr>
          </w:p>
          <w:p w:rsidR="00DC641F" w:rsidRPr="006E55BA" w:rsidRDefault="00DC641F" w:rsidP="00D01B4B">
            <w:pPr>
              <w:rPr>
                <w:rFonts w:ascii="Calibri" w:hAnsi="Calibri" w:cs="Calibri"/>
                <w:b/>
                <w:color w:val="A6A6A6" w:themeColor="background1" w:themeShade="A6"/>
                <w:sz w:val="20"/>
                <w:szCs w:val="20"/>
              </w:rPr>
            </w:pPr>
          </w:p>
        </w:tc>
        <w:tc>
          <w:tcPr>
            <w:tcW w:w="460" w:type="dxa"/>
            <w:gridSpan w:val="4"/>
            <w:tcBorders>
              <w:top w:val="single" w:sz="4" w:space="0" w:color="auto"/>
            </w:tcBorders>
          </w:tcPr>
          <w:p w:rsidR="00DC641F" w:rsidRPr="006E55BA" w:rsidRDefault="00DC641F" w:rsidP="00D01B4B">
            <w:pPr>
              <w:rPr>
                <w:rFonts w:ascii="Calibri" w:hAnsi="Calibri" w:cs="Calibri"/>
                <w:b/>
                <w:color w:val="A6A6A6" w:themeColor="background1" w:themeShade="A6"/>
                <w:sz w:val="20"/>
                <w:szCs w:val="20"/>
              </w:rPr>
            </w:pPr>
          </w:p>
        </w:tc>
        <w:tc>
          <w:tcPr>
            <w:tcW w:w="460" w:type="dxa"/>
            <w:gridSpan w:val="2"/>
            <w:tcBorders>
              <w:top w:val="single" w:sz="4" w:space="0" w:color="auto"/>
            </w:tcBorders>
          </w:tcPr>
          <w:p w:rsidR="00DC641F" w:rsidRPr="006E55BA" w:rsidRDefault="00DC641F" w:rsidP="00D01B4B">
            <w:pPr>
              <w:rPr>
                <w:rFonts w:ascii="Calibri" w:hAnsi="Calibri" w:cs="Calibri"/>
                <w:b/>
                <w:color w:val="A6A6A6" w:themeColor="background1" w:themeShade="A6"/>
                <w:sz w:val="20"/>
                <w:szCs w:val="20"/>
              </w:rPr>
            </w:pPr>
          </w:p>
        </w:tc>
        <w:tc>
          <w:tcPr>
            <w:tcW w:w="460" w:type="dxa"/>
            <w:gridSpan w:val="4"/>
            <w:tcBorders>
              <w:top w:val="single" w:sz="4" w:space="0" w:color="auto"/>
            </w:tcBorders>
          </w:tcPr>
          <w:p w:rsidR="00DC641F" w:rsidRPr="006E55BA" w:rsidRDefault="00DC641F" w:rsidP="00D01B4B">
            <w:pPr>
              <w:rPr>
                <w:rFonts w:ascii="Calibri" w:hAnsi="Calibri" w:cs="Calibri"/>
                <w:b/>
                <w:color w:val="A6A6A6" w:themeColor="background1" w:themeShade="A6"/>
                <w:sz w:val="20"/>
                <w:szCs w:val="20"/>
              </w:rPr>
            </w:pPr>
          </w:p>
        </w:tc>
        <w:tc>
          <w:tcPr>
            <w:tcW w:w="460" w:type="dxa"/>
            <w:gridSpan w:val="2"/>
            <w:tcBorders>
              <w:top w:val="single" w:sz="4" w:space="0" w:color="auto"/>
            </w:tcBorders>
          </w:tcPr>
          <w:p w:rsidR="00DC641F" w:rsidRPr="006E55BA" w:rsidRDefault="00DC641F" w:rsidP="00D01B4B">
            <w:pPr>
              <w:rPr>
                <w:rFonts w:ascii="Calibri" w:hAnsi="Calibri" w:cs="Calibri"/>
                <w:b/>
                <w:color w:val="A6A6A6" w:themeColor="background1" w:themeShade="A6"/>
                <w:sz w:val="20"/>
                <w:szCs w:val="20"/>
              </w:rPr>
            </w:pPr>
          </w:p>
        </w:tc>
        <w:tc>
          <w:tcPr>
            <w:tcW w:w="460" w:type="dxa"/>
            <w:gridSpan w:val="2"/>
            <w:tcBorders>
              <w:top w:val="single" w:sz="4" w:space="0" w:color="auto"/>
            </w:tcBorders>
          </w:tcPr>
          <w:p w:rsidR="00DC641F" w:rsidRPr="006E55BA" w:rsidRDefault="00DC641F" w:rsidP="00D01B4B">
            <w:pPr>
              <w:rPr>
                <w:rFonts w:ascii="Calibri" w:hAnsi="Calibri" w:cs="Calibri"/>
                <w:b/>
                <w:color w:val="A6A6A6" w:themeColor="background1" w:themeShade="A6"/>
                <w:sz w:val="20"/>
                <w:szCs w:val="20"/>
              </w:rPr>
            </w:pPr>
          </w:p>
        </w:tc>
        <w:tc>
          <w:tcPr>
            <w:tcW w:w="688" w:type="dxa"/>
            <w:gridSpan w:val="3"/>
            <w:tcBorders>
              <w:top w:val="single" w:sz="4" w:space="0" w:color="auto"/>
            </w:tcBorders>
          </w:tcPr>
          <w:p w:rsidR="00DC641F" w:rsidRPr="006E55BA" w:rsidRDefault="00DC641F" w:rsidP="00D01B4B">
            <w:pPr>
              <w:rPr>
                <w:rFonts w:ascii="Calibri" w:hAnsi="Calibri" w:cs="Calibri"/>
                <w:b/>
                <w:color w:val="A6A6A6" w:themeColor="background1" w:themeShade="A6"/>
                <w:sz w:val="20"/>
                <w:szCs w:val="20"/>
              </w:rPr>
            </w:pPr>
          </w:p>
        </w:tc>
      </w:tr>
      <w:tr w:rsidR="006E55BA" w:rsidRPr="006E55BA" w:rsidTr="00596840">
        <w:trPr>
          <w:gridAfter w:val="11"/>
          <w:wAfter w:w="3580" w:type="dxa"/>
        </w:trPr>
        <w:tc>
          <w:tcPr>
            <w:tcW w:w="9782" w:type="dxa"/>
            <w:gridSpan w:val="49"/>
            <w:shd w:val="clear" w:color="auto" w:fill="F79646"/>
          </w:tcPr>
          <w:p w:rsidR="00D01B4B" w:rsidRPr="00CF7711" w:rsidRDefault="00D01B4B" w:rsidP="00D01B4B">
            <w:pPr>
              <w:rPr>
                <w:rFonts w:ascii="Calibri" w:hAnsi="Calibri" w:cs="Calibri"/>
                <w:b/>
                <w:sz w:val="20"/>
                <w:szCs w:val="20"/>
                <w:u w:val="single"/>
              </w:rPr>
            </w:pPr>
            <w:r w:rsidRPr="00CF7711">
              <w:rPr>
                <w:rFonts w:ascii="Calibri" w:hAnsi="Calibri" w:cs="Calibri"/>
                <w:b/>
                <w:sz w:val="20"/>
                <w:szCs w:val="20"/>
                <w:u w:val="single"/>
              </w:rPr>
              <w:t>Rozbor čerpání výdajů rozpočtu kapitoly</w:t>
            </w:r>
          </w:p>
        </w:tc>
      </w:tr>
      <w:tr w:rsidR="006E55BA" w:rsidRPr="006E55BA" w:rsidTr="00E8229C">
        <w:trPr>
          <w:gridAfter w:val="5"/>
          <w:wAfter w:w="2412" w:type="dxa"/>
        </w:trPr>
        <w:tc>
          <w:tcPr>
            <w:tcW w:w="459" w:type="dxa"/>
          </w:tcPr>
          <w:p w:rsidR="00D01B4B" w:rsidRPr="00CF7711" w:rsidRDefault="00D01B4B" w:rsidP="00D01B4B">
            <w:pPr>
              <w:rPr>
                <w:rFonts w:ascii="Calibri" w:hAnsi="Calibri" w:cs="Calibri"/>
                <w:sz w:val="20"/>
                <w:szCs w:val="20"/>
              </w:rPr>
            </w:pPr>
          </w:p>
        </w:tc>
        <w:tc>
          <w:tcPr>
            <w:tcW w:w="459" w:type="dxa"/>
          </w:tcPr>
          <w:p w:rsidR="00D01B4B" w:rsidRPr="00CF7711" w:rsidRDefault="00D01B4B" w:rsidP="00D01B4B">
            <w:pPr>
              <w:rPr>
                <w:rFonts w:ascii="Calibri" w:hAnsi="Calibri" w:cs="Calibri"/>
                <w:b/>
                <w:sz w:val="20"/>
                <w:szCs w:val="20"/>
              </w:rPr>
            </w:pPr>
          </w:p>
        </w:tc>
        <w:tc>
          <w:tcPr>
            <w:tcW w:w="460" w:type="dxa"/>
            <w:gridSpan w:val="2"/>
          </w:tcPr>
          <w:p w:rsidR="00D01B4B" w:rsidRPr="00CF7711" w:rsidRDefault="00D01B4B" w:rsidP="00D01B4B">
            <w:pPr>
              <w:rPr>
                <w:rFonts w:ascii="Calibri" w:hAnsi="Calibri" w:cs="Calibri"/>
                <w:b/>
                <w:sz w:val="20"/>
                <w:szCs w:val="20"/>
              </w:rPr>
            </w:pPr>
          </w:p>
        </w:tc>
        <w:tc>
          <w:tcPr>
            <w:tcW w:w="958" w:type="dxa"/>
            <w:gridSpan w:val="4"/>
          </w:tcPr>
          <w:p w:rsidR="00D01B4B" w:rsidRPr="00CF7711" w:rsidRDefault="00D01B4B" w:rsidP="00D01B4B">
            <w:pPr>
              <w:rPr>
                <w:rFonts w:ascii="Calibri" w:hAnsi="Calibri" w:cs="Calibri"/>
                <w:b/>
                <w:sz w:val="20"/>
                <w:szCs w:val="20"/>
              </w:rPr>
            </w:pPr>
          </w:p>
        </w:tc>
        <w:tc>
          <w:tcPr>
            <w:tcW w:w="160" w:type="dxa"/>
          </w:tcPr>
          <w:p w:rsidR="00D01B4B" w:rsidRPr="00CF7711" w:rsidRDefault="00D01B4B" w:rsidP="00D01B4B">
            <w:pPr>
              <w:rPr>
                <w:rFonts w:ascii="Calibri" w:hAnsi="Calibri" w:cs="Calibri"/>
                <w:b/>
                <w:sz w:val="20"/>
                <w:szCs w:val="20"/>
              </w:rPr>
            </w:pPr>
          </w:p>
        </w:tc>
        <w:tc>
          <w:tcPr>
            <w:tcW w:w="816" w:type="dxa"/>
            <w:gridSpan w:val="4"/>
          </w:tcPr>
          <w:p w:rsidR="00D01B4B" w:rsidRPr="00CF7711" w:rsidRDefault="00D01B4B" w:rsidP="00D01B4B">
            <w:pPr>
              <w:rPr>
                <w:rFonts w:ascii="Calibri" w:hAnsi="Calibri" w:cs="Calibri"/>
                <w:b/>
                <w:sz w:val="20"/>
                <w:szCs w:val="20"/>
              </w:rPr>
            </w:pPr>
          </w:p>
        </w:tc>
        <w:tc>
          <w:tcPr>
            <w:tcW w:w="460" w:type="dxa"/>
            <w:gridSpan w:val="3"/>
          </w:tcPr>
          <w:p w:rsidR="00D01B4B" w:rsidRPr="00CF7711" w:rsidRDefault="00D01B4B" w:rsidP="00D01B4B">
            <w:pPr>
              <w:rPr>
                <w:rFonts w:ascii="Calibri" w:hAnsi="Calibri" w:cs="Calibri"/>
                <w:b/>
                <w:sz w:val="20"/>
                <w:szCs w:val="20"/>
              </w:rPr>
            </w:pPr>
          </w:p>
        </w:tc>
        <w:tc>
          <w:tcPr>
            <w:tcW w:w="1528" w:type="dxa"/>
            <w:gridSpan w:val="6"/>
          </w:tcPr>
          <w:p w:rsidR="00D01B4B" w:rsidRPr="00CF7711" w:rsidRDefault="00D01B4B" w:rsidP="00D01B4B">
            <w:pPr>
              <w:rPr>
                <w:rFonts w:ascii="Calibri" w:hAnsi="Calibri" w:cs="Calibri"/>
                <w:b/>
                <w:sz w:val="20"/>
                <w:szCs w:val="20"/>
              </w:rPr>
            </w:pPr>
          </w:p>
        </w:tc>
        <w:tc>
          <w:tcPr>
            <w:tcW w:w="160" w:type="dxa"/>
            <w:gridSpan w:val="2"/>
          </w:tcPr>
          <w:p w:rsidR="00D01B4B" w:rsidRPr="00CF7711" w:rsidRDefault="00D01B4B" w:rsidP="00D01B4B">
            <w:pPr>
              <w:rPr>
                <w:rFonts w:ascii="Calibri" w:hAnsi="Calibri" w:cs="Calibri"/>
                <w:b/>
                <w:sz w:val="20"/>
                <w:szCs w:val="20"/>
              </w:rPr>
            </w:pPr>
          </w:p>
        </w:tc>
        <w:tc>
          <w:tcPr>
            <w:tcW w:w="460" w:type="dxa"/>
            <w:gridSpan w:val="3"/>
          </w:tcPr>
          <w:p w:rsidR="00D01B4B" w:rsidRPr="00CF7711" w:rsidRDefault="00D01B4B" w:rsidP="00D01B4B">
            <w:pPr>
              <w:rPr>
                <w:rFonts w:ascii="Calibri" w:hAnsi="Calibri" w:cs="Calibri"/>
                <w:b/>
                <w:sz w:val="20"/>
                <w:szCs w:val="20"/>
              </w:rPr>
            </w:pPr>
          </w:p>
        </w:tc>
        <w:tc>
          <w:tcPr>
            <w:tcW w:w="460" w:type="dxa"/>
            <w:gridSpan w:val="3"/>
          </w:tcPr>
          <w:p w:rsidR="00D01B4B" w:rsidRPr="00CF7711" w:rsidRDefault="00D01B4B" w:rsidP="00D01B4B">
            <w:pPr>
              <w:rPr>
                <w:rFonts w:ascii="Calibri" w:hAnsi="Calibri" w:cs="Calibri"/>
                <w:b/>
                <w:sz w:val="20"/>
                <w:szCs w:val="20"/>
              </w:rPr>
            </w:pPr>
          </w:p>
        </w:tc>
        <w:tc>
          <w:tcPr>
            <w:tcW w:w="964" w:type="dxa"/>
            <w:gridSpan w:val="6"/>
          </w:tcPr>
          <w:p w:rsidR="00D01B4B" w:rsidRPr="00CF7711" w:rsidRDefault="00D01B4B" w:rsidP="00D01B4B">
            <w:pPr>
              <w:rPr>
                <w:rFonts w:ascii="Calibri" w:hAnsi="Calibri" w:cs="Calibri"/>
                <w:b/>
                <w:sz w:val="20"/>
                <w:szCs w:val="20"/>
              </w:rPr>
            </w:pPr>
          </w:p>
        </w:tc>
        <w:tc>
          <w:tcPr>
            <w:tcW w:w="160" w:type="dxa"/>
          </w:tcPr>
          <w:p w:rsidR="00D01B4B" w:rsidRPr="00CF7711" w:rsidRDefault="00D01B4B" w:rsidP="00D01B4B">
            <w:pPr>
              <w:rPr>
                <w:rFonts w:ascii="Calibri" w:hAnsi="Calibri" w:cs="Calibri"/>
                <w:b/>
                <w:sz w:val="20"/>
                <w:szCs w:val="20"/>
              </w:rPr>
            </w:pPr>
          </w:p>
        </w:tc>
        <w:tc>
          <w:tcPr>
            <w:tcW w:w="460" w:type="dxa"/>
            <w:gridSpan w:val="3"/>
          </w:tcPr>
          <w:p w:rsidR="00D01B4B" w:rsidRPr="00CF7711" w:rsidRDefault="00D01B4B" w:rsidP="00D01B4B">
            <w:pPr>
              <w:rPr>
                <w:rFonts w:ascii="Calibri" w:hAnsi="Calibri" w:cs="Calibri"/>
                <w:b/>
                <w:sz w:val="20"/>
                <w:szCs w:val="20"/>
              </w:rPr>
            </w:pPr>
          </w:p>
        </w:tc>
        <w:tc>
          <w:tcPr>
            <w:tcW w:w="460" w:type="dxa"/>
            <w:gridSpan w:val="2"/>
          </w:tcPr>
          <w:p w:rsidR="00D01B4B" w:rsidRPr="00CF7711" w:rsidRDefault="00D01B4B" w:rsidP="00D01B4B">
            <w:pPr>
              <w:rPr>
                <w:rFonts w:ascii="Calibri" w:hAnsi="Calibri" w:cs="Calibri"/>
                <w:b/>
                <w:sz w:val="20"/>
                <w:szCs w:val="20"/>
              </w:rPr>
            </w:pPr>
          </w:p>
        </w:tc>
        <w:tc>
          <w:tcPr>
            <w:tcW w:w="460" w:type="dxa"/>
            <w:gridSpan w:val="2"/>
          </w:tcPr>
          <w:p w:rsidR="00D01B4B" w:rsidRPr="00CF7711" w:rsidRDefault="00D01B4B" w:rsidP="00D01B4B">
            <w:pPr>
              <w:rPr>
                <w:rFonts w:ascii="Calibri" w:hAnsi="Calibri" w:cs="Calibri"/>
                <w:b/>
                <w:sz w:val="20"/>
                <w:szCs w:val="20"/>
              </w:rPr>
            </w:pPr>
          </w:p>
        </w:tc>
        <w:tc>
          <w:tcPr>
            <w:tcW w:w="460" w:type="dxa"/>
            <w:gridSpan w:val="3"/>
          </w:tcPr>
          <w:p w:rsidR="00D01B4B" w:rsidRPr="00CF7711" w:rsidRDefault="00D01B4B" w:rsidP="00D01B4B">
            <w:pPr>
              <w:rPr>
                <w:rFonts w:ascii="Calibri" w:hAnsi="Calibri" w:cs="Calibri"/>
                <w:b/>
                <w:sz w:val="20"/>
                <w:szCs w:val="20"/>
              </w:rPr>
            </w:pPr>
          </w:p>
        </w:tc>
        <w:tc>
          <w:tcPr>
            <w:tcW w:w="460" w:type="dxa"/>
            <w:gridSpan w:val="3"/>
          </w:tcPr>
          <w:p w:rsidR="00D01B4B" w:rsidRPr="006E55BA" w:rsidRDefault="00D01B4B" w:rsidP="00D01B4B">
            <w:pPr>
              <w:rPr>
                <w:rFonts w:ascii="Calibri" w:hAnsi="Calibri" w:cs="Calibri"/>
                <w:b/>
                <w:color w:val="A6A6A6" w:themeColor="background1" w:themeShade="A6"/>
                <w:sz w:val="20"/>
                <w:szCs w:val="20"/>
              </w:rPr>
            </w:pPr>
          </w:p>
        </w:tc>
        <w:tc>
          <w:tcPr>
            <w:tcW w:w="460" w:type="dxa"/>
            <w:gridSpan w:val="2"/>
          </w:tcPr>
          <w:p w:rsidR="00D01B4B" w:rsidRPr="006E55BA" w:rsidRDefault="00D01B4B" w:rsidP="00D01B4B">
            <w:pPr>
              <w:rPr>
                <w:rFonts w:ascii="Calibri" w:hAnsi="Calibri" w:cs="Calibri"/>
                <w:b/>
                <w:color w:val="A6A6A6" w:themeColor="background1" w:themeShade="A6"/>
                <w:sz w:val="20"/>
                <w:szCs w:val="20"/>
              </w:rPr>
            </w:pPr>
          </w:p>
        </w:tc>
        <w:tc>
          <w:tcPr>
            <w:tcW w:w="686" w:type="dxa"/>
            <w:gridSpan w:val="3"/>
          </w:tcPr>
          <w:p w:rsidR="00D01B4B" w:rsidRPr="006E55BA" w:rsidRDefault="00D01B4B" w:rsidP="00D01B4B">
            <w:pPr>
              <w:rPr>
                <w:rFonts w:ascii="Calibri" w:hAnsi="Calibri" w:cs="Calibri"/>
                <w:b/>
                <w:color w:val="A6A6A6" w:themeColor="background1" w:themeShade="A6"/>
                <w:sz w:val="20"/>
                <w:szCs w:val="20"/>
              </w:rPr>
            </w:pPr>
          </w:p>
        </w:tc>
      </w:tr>
      <w:tr w:rsidR="006E55BA" w:rsidRPr="006E55BA" w:rsidTr="00596840">
        <w:trPr>
          <w:gridAfter w:val="11"/>
          <w:wAfter w:w="3580" w:type="dxa"/>
        </w:trPr>
        <w:tc>
          <w:tcPr>
            <w:tcW w:w="2336" w:type="dxa"/>
            <w:gridSpan w:val="8"/>
            <w:tcBorders>
              <w:top w:val="single" w:sz="4" w:space="0" w:color="auto"/>
              <w:left w:val="single" w:sz="4" w:space="0" w:color="auto"/>
              <w:bottom w:val="single" w:sz="4" w:space="0" w:color="auto"/>
              <w:right w:val="single" w:sz="4" w:space="0" w:color="auto"/>
            </w:tcBorders>
            <w:shd w:val="clear" w:color="auto" w:fill="FFFF00"/>
          </w:tcPr>
          <w:p w:rsidR="00D01B4B" w:rsidRPr="00CF7711" w:rsidRDefault="00D01B4B" w:rsidP="00D01B4B">
            <w:pPr>
              <w:jc w:val="center"/>
              <w:rPr>
                <w:rFonts w:ascii="Calibri" w:hAnsi="Calibri" w:cs="Calibri"/>
                <w:b/>
                <w:sz w:val="18"/>
                <w:szCs w:val="18"/>
              </w:rPr>
            </w:pPr>
            <w:r w:rsidRPr="00CF7711">
              <w:rPr>
                <w:rFonts w:ascii="Calibri" w:hAnsi="Calibri" w:cs="Calibri"/>
                <w:b/>
                <w:sz w:val="18"/>
                <w:szCs w:val="18"/>
              </w:rPr>
              <w:t>Rozpočet upravený v tis. Kč</w:t>
            </w:r>
          </w:p>
        </w:tc>
        <w:tc>
          <w:tcPr>
            <w:tcW w:w="2766" w:type="dxa"/>
            <w:gridSpan w:val="13"/>
            <w:tcBorders>
              <w:top w:val="single" w:sz="4" w:space="0" w:color="auto"/>
              <w:left w:val="single" w:sz="4" w:space="0" w:color="auto"/>
              <w:bottom w:val="single" w:sz="4" w:space="0" w:color="auto"/>
              <w:right w:val="single" w:sz="4" w:space="0" w:color="auto"/>
            </w:tcBorders>
            <w:shd w:val="clear" w:color="auto" w:fill="FFFF00"/>
          </w:tcPr>
          <w:p w:rsidR="00D01B4B" w:rsidRPr="00CF7711" w:rsidRDefault="00D01B4B" w:rsidP="00D01B4B">
            <w:pPr>
              <w:jc w:val="center"/>
              <w:rPr>
                <w:rFonts w:ascii="Calibri" w:hAnsi="Calibri" w:cs="Calibri"/>
                <w:b/>
                <w:sz w:val="18"/>
                <w:szCs w:val="18"/>
              </w:rPr>
            </w:pPr>
            <w:r w:rsidRPr="00CF7711">
              <w:rPr>
                <w:rFonts w:ascii="Calibri" w:hAnsi="Calibri" w:cs="Calibri"/>
                <w:b/>
                <w:sz w:val="18"/>
                <w:szCs w:val="18"/>
              </w:rPr>
              <w:t>Skutečnost v tis. Kč</w:t>
            </w:r>
          </w:p>
        </w:tc>
        <w:tc>
          <w:tcPr>
            <w:tcW w:w="1278" w:type="dxa"/>
            <w:gridSpan w:val="9"/>
            <w:tcBorders>
              <w:top w:val="single" w:sz="4" w:space="0" w:color="auto"/>
              <w:left w:val="single" w:sz="4" w:space="0" w:color="auto"/>
              <w:bottom w:val="single" w:sz="4" w:space="0" w:color="auto"/>
              <w:right w:val="single" w:sz="4" w:space="0" w:color="auto"/>
            </w:tcBorders>
            <w:shd w:val="clear" w:color="auto" w:fill="FFFF00"/>
          </w:tcPr>
          <w:p w:rsidR="00D01B4B" w:rsidRPr="00CF7711" w:rsidRDefault="00D01B4B" w:rsidP="00D01B4B">
            <w:pPr>
              <w:jc w:val="center"/>
              <w:rPr>
                <w:rFonts w:ascii="Calibri" w:hAnsi="Calibri" w:cs="Calibri"/>
                <w:b/>
                <w:sz w:val="18"/>
                <w:szCs w:val="18"/>
              </w:rPr>
            </w:pPr>
            <w:r w:rsidRPr="00CF7711">
              <w:rPr>
                <w:rFonts w:ascii="Calibri" w:hAnsi="Calibri" w:cs="Calibri"/>
                <w:b/>
                <w:sz w:val="18"/>
                <w:szCs w:val="18"/>
              </w:rPr>
              <w:t>SK/RU v %</w:t>
            </w:r>
          </w:p>
        </w:tc>
        <w:tc>
          <w:tcPr>
            <w:tcW w:w="3402" w:type="dxa"/>
            <w:gridSpan w:val="19"/>
            <w:tcBorders>
              <w:top w:val="single" w:sz="4" w:space="0" w:color="auto"/>
              <w:left w:val="single" w:sz="4" w:space="0" w:color="auto"/>
              <w:bottom w:val="single" w:sz="4" w:space="0" w:color="auto"/>
              <w:right w:val="single" w:sz="4" w:space="0" w:color="auto"/>
            </w:tcBorders>
            <w:shd w:val="clear" w:color="auto" w:fill="FFFF00"/>
          </w:tcPr>
          <w:p w:rsidR="00D01B4B" w:rsidRPr="00CF7711" w:rsidRDefault="00D01B4B" w:rsidP="00D01B4B">
            <w:pPr>
              <w:jc w:val="center"/>
              <w:rPr>
                <w:rFonts w:ascii="Calibri" w:hAnsi="Calibri" w:cs="Calibri"/>
                <w:b/>
                <w:sz w:val="18"/>
                <w:szCs w:val="18"/>
              </w:rPr>
            </w:pPr>
            <w:r w:rsidRPr="00CF7711">
              <w:rPr>
                <w:rFonts w:ascii="Calibri" w:hAnsi="Calibri" w:cs="Calibri"/>
                <w:b/>
                <w:sz w:val="18"/>
                <w:szCs w:val="18"/>
              </w:rPr>
              <w:t>Komentář</w:t>
            </w:r>
          </w:p>
        </w:tc>
      </w:tr>
      <w:tr w:rsidR="00396065" w:rsidRPr="006E55BA" w:rsidTr="004048EF">
        <w:trPr>
          <w:gridAfter w:val="11"/>
          <w:wAfter w:w="3580" w:type="dxa"/>
        </w:trPr>
        <w:tc>
          <w:tcPr>
            <w:tcW w:w="2336" w:type="dxa"/>
            <w:gridSpan w:val="8"/>
            <w:tcBorders>
              <w:top w:val="single" w:sz="6" w:space="0" w:color="auto"/>
              <w:left w:val="single" w:sz="6" w:space="0" w:color="auto"/>
              <w:bottom w:val="single" w:sz="6" w:space="0" w:color="auto"/>
              <w:right w:val="single" w:sz="6" w:space="0" w:color="auto"/>
            </w:tcBorders>
            <w:vAlign w:val="center"/>
          </w:tcPr>
          <w:p w:rsidR="00396065" w:rsidRPr="00396065" w:rsidRDefault="00DC641F" w:rsidP="00396065">
            <w:pPr>
              <w:jc w:val="right"/>
              <w:rPr>
                <w:rFonts w:asciiTheme="minorHAnsi" w:hAnsiTheme="minorHAnsi" w:cstheme="minorHAnsi"/>
                <w:b/>
                <w:sz w:val="18"/>
              </w:rPr>
            </w:pPr>
            <w:r>
              <w:rPr>
                <w:rFonts w:asciiTheme="minorHAnsi" w:hAnsiTheme="minorHAnsi" w:cstheme="minorHAnsi"/>
                <w:b/>
                <w:sz w:val="18"/>
              </w:rPr>
              <w:t>21 325,36</w:t>
            </w:r>
          </w:p>
        </w:tc>
        <w:tc>
          <w:tcPr>
            <w:tcW w:w="2766" w:type="dxa"/>
            <w:gridSpan w:val="13"/>
            <w:tcBorders>
              <w:top w:val="single" w:sz="6" w:space="0" w:color="auto"/>
              <w:left w:val="single" w:sz="6" w:space="0" w:color="auto"/>
              <w:bottom w:val="single" w:sz="6" w:space="0" w:color="auto"/>
              <w:right w:val="single" w:sz="6" w:space="0" w:color="auto"/>
            </w:tcBorders>
            <w:vAlign w:val="center"/>
          </w:tcPr>
          <w:p w:rsidR="00396065" w:rsidRPr="00396065" w:rsidRDefault="00DC641F" w:rsidP="00396065">
            <w:pPr>
              <w:jc w:val="right"/>
              <w:rPr>
                <w:rFonts w:asciiTheme="minorHAnsi" w:hAnsiTheme="minorHAnsi" w:cstheme="minorHAnsi"/>
                <w:b/>
                <w:sz w:val="18"/>
              </w:rPr>
            </w:pPr>
            <w:r>
              <w:rPr>
                <w:rFonts w:asciiTheme="minorHAnsi" w:hAnsiTheme="minorHAnsi" w:cstheme="minorHAnsi"/>
                <w:b/>
                <w:sz w:val="18"/>
              </w:rPr>
              <w:t>2 918,86</w:t>
            </w:r>
          </w:p>
        </w:tc>
        <w:tc>
          <w:tcPr>
            <w:tcW w:w="1278" w:type="dxa"/>
            <w:gridSpan w:val="9"/>
            <w:tcBorders>
              <w:top w:val="single" w:sz="6" w:space="0" w:color="auto"/>
              <w:left w:val="single" w:sz="6" w:space="0" w:color="auto"/>
              <w:bottom w:val="single" w:sz="6" w:space="0" w:color="auto"/>
              <w:right w:val="single" w:sz="6" w:space="0" w:color="auto"/>
            </w:tcBorders>
            <w:vAlign w:val="center"/>
          </w:tcPr>
          <w:p w:rsidR="00396065" w:rsidRPr="00396065" w:rsidRDefault="00DC641F" w:rsidP="00D07C73">
            <w:pPr>
              <w:jc w:val="center"/>
              <w:rPr>
                <w:rFonts w:asciiTheme="minorHAnsi" w:hAnsiTheme="minorHAnsi" w:cstheme="minorHAnsi"/>
                <w:b/>
                <w:sz w:val="18"/>
              </w:rPr>
            </w:pPr>
            <w:r>
              <w:rPr>
                <w:rFonts w:asciiTheme="minorHAnsi" w:hAnsiTheme="minorHAnsi" w:cstheme="minorHAnsi"/>
                <w:b/>
                <w:sz w:val="18"/>
              </w:rPr>
              <w:t>13,69</w:t>
            </w:r>
          </w:p>
        </w:tc>
        <w:tc>
          <w:tcPr>
            <w:tcW w:w="3402" w:type="dxa"/>
            <w:gridSpan w:val="19"/>
            <w:tcBorders>
              <w:top w:val="single" w:sz="4" w:space="0" w:color="auto"/>
              <w:left w:val="single" w:sz="4" w:space="0" w:color="auto"/>
              <w:bottom w:val="single" w:sz="4" w:space="0" w:color="auto"/>
              <w:right w:val="single" w:sz="4" w:space="0" w:color="auto"/>
            </w:tcBorders>
          </w:tcPr>
          <w:p w:rsidR="00396065" w:rsidRPr="00CF7711" w:rsidRDefault="00396065" w:rsidP="00396065">
            <w:pPr>
              <w:rPr>
                <w:rFonts w:ascii="Calibri" w:hAnsi="Calibri" w:cs="Calibri"/>
                <w:b/>
                <w:sz w:val="18"/>
                <w:szCs w:val="18"/>
              </w:rPr>
            </w:pPr>
            <w:r w:rsidRPr="00CF7711">
              <w:rPr>
                <w:rFonts w:ascii="Calibri" w:hAnsi="Calibri" w:cs="Calibri"/>
                <w:b/>
                <w:sz w:val="18"/>
                <w:szCs w:val="18"/>
              </w:rPr>
              <w:t>Výdaje před konsolidací</w:t>
            </w:r>
          </w:p>
        </w:tc>
      </w:tr>
      <w:tr w:rsidR="00396065" w:rsidRPr="006E55BA" w:rsidTr="004048EF">
        <w:trPr>
          <w:gridAfter w:val="11"/>
          <w:wAfter w:w="3580" w:type="dxa"/>
        </w:trPr>
        <w:tc>
          <w:tcPr>
            <w:tcW w:w="2336" w:type="dxa"/>
            <w:gridSpan w:val="8"/>
            <w:tcBorders>
              <w:top w:val="single" w:sz="6" w:space="0" w:color="auto"/>
              <w:left w:val="single" w:sz="6" w:space="0" w:color="auto"/>
              <w:bottom w:val="single" w:sz="6" w:space="0" w:color="auto"/>
              <w:right w:val="single" w:sz="6" w:space="0" w:color="auto"/>
            </w:tcBorders>
            <w:vAlign w:val="center"/>
          </w:tcPr>
          <w:p w:rsidR="00396065" w:rsidRPr="00396065" w:rsidRDefault="00DC641F" w:rsidP="00396065">
            <w:pPr>
              <w:jc w:val="right"/>
              <w:rPr>
                <w:rFonts w:asciiTheme="minorHAnsi" w:hAnsiTheme="minorHAnsi" w:cstheme="minorHAnsi"/>
                <w:b/>
                <w:sz w:val="18"/>
              </w:rPr>
            </w:pPr>
            <w:r>
              <w:rPr>
                <w:rFonts w:asciiTheme="minorHAnsi" w:hAnsiTheme="minorHAnsi" w:cstheme="minorHAnsi"/>
                <w:b/>
                <w:sz w:val="18"/>
              </w:rPr>
              <w:t>21 325,36</w:t>
            </w:r>
          </w:p>
        </w:tc>
        <w:tc>
          <w:tcPr>
            <w:tcW w:w="2766" w:type="dxa"/>
            <w:gridSpan w:val="13"/>
            <w:tcBorders>
              <w:top w:val="single" w:sz="6" w:space="0" w:color="auto"/>
              <w:left w:val="single" w:sz="6" w:space="0" w:color="auto"/>
              <w:bottom w:val="single" w:sz="6" w:space="0" w:color="auto"/>
              <w:right w:val="single" w:sz="6" w:space="0" w:color="auto"/>
            </w:tcBorders>
            <w:vAlign w:val="center"/>
          </w:tcPr>
          <w:p w:rsidR="00396065" w:rsidRPr="00396065" w:rsidRDefault="00DC641F" w:rsidP="00396065">
            <w:pPr>
              <w:jc w:val="right"/>
              <w:rPr>
                <w:rFonts w:asciiTheme="minorHAnsi" w:hAnsiTheme="minorHAnsi" w:cstheme="minorHAnsi"/>
                <w:b/>
                <w:sz w:val="18"/>
              </w:rPr>
            </w:pPr>
            <w:r>
              <w:rPr>
                <w:rFonts w:asciiTheme="minorHAnsi" w:hAnsiTheme="minorHAnsi" w:cstheme="minorHAnsi"/>
                <w:b/>
                <w:sz w:val="18"/>
              </w:rPr>
              <w:t>2 918,86</w:t>
            </w:r>
          </w:p>
        </w:tc>
        <w:tc>
          <w:tcPr>
            <w:tcW w:w="1278" w:type="dxa"/>
            <w:gridSpan w:val="9"/>
            <w:tcBorders>
              <w:top w:val="single" w:sz="6" w:space="0" w:color="auto"/>
              <w:left w:val="single" w:sz="6" w:space="0" w:color="auto"/>
              <w:bottom w:val="single" w:sz="6" w:space="0" w:color="auto"/>
              <w:right w:val="single" w:sz="6" w:space="0" w:color="auto"/>
            </w:tcBorders>
            <w:vAlign w:val="center"/>
          </w:tcPr>
          <w:p w:rsidR="00396065" w:rsidRPr="00396065" w:rsidRDefault="00DC641F" w:rsidP="00D07C73">
            <w:pPr>
              <w:jc w:val="center"/>
              <w:rPr>
                <w:rFonts w:asciiTheme="minorHAnsi" w:hAnsiTheme="minorHAnsi" w:cstheme="minorHAnsi"/>
                <w:b/>
                <w:sz w:val="18"/>
              </w:rPr>
            </w:pPr>
            <w:r>
              <w:rPr>
                <w:rFonts w:asciiTheme="minorHAnsi" w:hAnsiTheme="minorHAnsi" w:cstheme="minorHAnsi"/>
                <w:b/>
                <w:sz w:val="18"/>
              </w:rPr>
              <w:t>13,69</w:t>
            </w:r>
          </w:p>
        </w:tc>
        <w:tc>
          <w:tcPr>
            <w:tcW w:w="3402" w:type="dxa"/>
            <w:gridSpan w:val="19"/>
            <w:tcBorders>
              <w:top w:val="single" w:sz="4" w:space="0" w:color="auto"/>
              <w:left w:val="single" w:sz="4" w:space="0" w:color="auto"/>
              <w:bottom w:val="single" w:sz="4" w:space="0" w:color="auto"/>
              <w:right w:val="single" w:sz="4" w:space="0" w:color="auto"/>
            </w:tcBorders>
          </w:tcPr>
          <w:p w:rsidR="00396065" w:rsidRPr="00CF7711" w:rsidRDefault="00396065" w:rsidP="00396065">
            <w:pPr>
              <w:rPr>
                <w:rFonts w:ascii="Calibri" w:hAnsi="Calibri" w:cs="Calibri"/>
                <w:b/>
                <w:sz w:val="18"/>
                <w:szCs w:val="18"/>
              </w:rPr>
            </w:pPr>
            <w:r w:rsidRPr="00CF7711">
              <w:rPr>
                <w:rFonts w:ascii="Calibri" w:hAnsi="Calibri" w:cs="Calibri"/>
                <w:b/>
                <w:sz w:val="18"/>
                <w:szCs w:val="18"/>
              </w:rPr>
              <w:t>Výdaje po konsolidaci</w:t>
            </w:r>
          </w:p>
        </w:tc>
      </w:tr>
      <w:tr w:rsidR="006E55BA" w:rsidRPr="006E55BA" w:rsidTr="00E8229C">
        <w:trPr>
          <w:gridAfter w:val="5"/>
          <w:wAfter w:w="2412" w:type="dxa"/>
        </w:trPr>
        <w:tc>
          <w:tcPr>
            <w:tcW w:w="459" w:type="dxa"/>
          </w:tcPr>
          <w:p w:rsidR="00D01B4B" w:rsidRPr="006E55BA" w:rsidRDefault="00D01B4B" w:rsidP="00D01B4B">
            <w:pPr>
              <w:rPr>
                <w:rFonts w:ascii="Calibri" w:hAnsi="Calibri" w:cs="Calibri"/>
                <w:b/>
                <w:color w:val="A6A6A6" w:themeColor="background1" w:themeShade="A6"/>
                <w:sz w:val="20"/>
                <w:szCs w:val="20"/>
              </w:rPr>
            </w:pPr>
          </w:p>
        </w:tc>
        <w:tc>
          <w:tcPr>
            <w:tcW w:w="459" w:type="dxa"/>
          </w:tcPr>
          <w:p w:rsidR="00D01B4B" w:rsidRPr="006E55BA" w:rsidRDefault="00D01B4B" w:rsidP="00D01B4B">
            <w:pPr>
              <w:rPr>
                <w:rFonts w:ascii="Calibri" w:hAnsi="Calibri" w:cs="Calibri"/>
                <w:b/>
                <w:color w:val="A6A6A6" w:themeColor="background1" w:themeShade="A6"/>
                <w:sz w:val="20"/>
                <w:szCs w:val="20"/>
              </w:rPr>
            </w:pPr>
          </w:p>
        </w:tc>
        <w:tc>
          <w:tcPr>
            <w:tcW w:w="460" w:type="dxa"/>
            <w:gridSpan w:val="2"/>
          </w:tcPr>
          <w:p w:rsidR="00D01B4B" w:rsidRPr="006E55BA" w:rsidRDefault="00D01B4B" w:rsidP="00D01B4B">
            <w:pPr>
              <w:rPr>
                <w:rFonts w:ascii="Calibri" w:hAnsi="Calibri" w:cs="Calibri"/>
                <w:b/>
                <w:color w:val="A6A6A6" w:themeColor="background1" w:themeShade="A6"/>
                <w:sz w:val="20"/>
                <w:szCs w:val="20"/>
              </w:rPr>
            </w:pPr>
          </w:p>
        </w:tc>
        <w:tc>
          <w:tcPr>
            <w:tcW w:w="958" w:type="dxa"/>
            <w:gridSpan w:val="4"/>
          </w:tcPr>
          <w:p w:rsidR="00D01B4B" w:rsidRPr="006E55BA" w:rsidRDefault="00D01B4B" w:rsidP="00D01B4B">
            <w:pPr>
              <w:rPr>
                <w:rFonts w:ascii="Calibri" w:hAnsi="Calibri" w:cs="Calibri"/>
                <w:b/>
                <w:color w:val="A6A6A6" w:themeColor="background1" w:themeShade="A6"/>
                <w:sz w:val="20"/>
                <w:szCs w:val="20"/>
              </w:rPr>
            </w:pPr>
          </w:p>
        </w:tc>
        <w:tc>
          <w:tcPr>
            <w:tcW w:w="160" w:type="dxa"/>
          </w:tcPr>
          <w:p w:rsidR="00D01B4B" w:rsidRPr="006E55BA" w:rsidRDefault="00D01B4B" w:rsidP="00D01B4B">
            <w:pPr>
              <w:rPr>
                <w:rFonts w:ascii="Calibri" w:hAnsi="Calibri" w:cs="Calibri"/>
                <w:b/>
                <w:color w:val="A6A6A6" w:themeColor="background1" w:themeShade="A6"/>
                <w:sz w:val="20"/>
                <w:szCs w:val="20"/>
              </w:rPr>
            </w:pPr>
          </w:p>
        </w:tc>
        <w:tc>
          <w:tcPr>
            <w:tcW w:w="816" w:type="dxa"/>
            <w:gridSpan w:val="4"/>
          </w:tcPr>
          <w:p w:rsidR="00D01B4B" w:rsidRPr="006E55BA" w:rsidRDefault="00D01B4B" w:rsidP="00D01B4B">
            <w:pPr>
              <w:rPr>
                <w:rFonts w:ascii="Calibri" w:hAnsi="Calibri" w:cs="Calibri"/>
                <w:b/>
                <w:color w:val="A6A6A6" w:themeColor="background1" w:themeShade="A6"/>
                <w:sz w:val="20"/>
                <w:szCs w:val="20"/>
              </w:rPr>
            </w:pPr>
          </w:p>
        </w:tc>
        <w:tc>
          <w:tcPr>
            <w:tcW w:w="460" w:type="dxa"/>
            <w:gridSpan w:val="3"/>
          </w:tcPr>
          <w:p w:rsidR="00D01B4B" w:rsidRPr="006E55BA" w:rsidRDefault="00D01B4B" w:rsidP="00D01B4B">
            <w:pPr>
              <w:rPr>
                <w:rFonts w:ascii="Calibri" w:hAnsi="Calibri" w:cs="Calibri"/>
                <w:b/>
                <w:color w:val="A6A6A6" w:themeColor="background1" w:themeShade="A6"/>
                <w:sz w:val="20"/>
                <w:szCs w:val="20"/>
              </w:rPr>
            </w:pPr>
          </w:p>
        </w:tc>
        <w:tc>
          <w:tcPr>
            <w:tcW w:w="1528" w:type="dxa"/>
            <w:gridSpan w:val="6"/>
          </w:tcPr>
          <w:p w:rsidR="00D01B4B" w:rsidRPr="006E55BA" w:rsidRDefault="00D01B4B" w:rsidP="00D01B4B">
            <w:pPr>
              <w:rPr>
                <w:rFonts w:ascii="Calibri" w:hAnsi="Calibri" w:cs="Calibri"/>
                <w:b/>
                <w:color w:val="A6A6A6" w:themeColor="background1" w:themeShade="A6"/>
                <w:sz w:val="20"/>
                <w:szCs w:val="20"/>
              </w:rPr>
            </w:pPr>
          </w:p>
        </w:tc>
        <w:tc>
          <w:tcPr>
            <w:tcW w:w="160" w:type="dxa"/>
            <w:gridSpan w:val="2"/>
          </w:tcPr>
          <w:p w:rsidR="00D01B4B" w:rsidRPr="006E55BA" w:rsidRDefault="00D01B4B" w:rsidP="00D01B4B">
            <w:pPr>
              <w:rPr>
                <w:rFonts w:ascii="Calibri" w:hAnsi="Calibri" w:cs="Calibri"/>
                <w:b/>
                <w:color w:val="A6A6A6" w:themeColor="background1" w:themeShade="A6"/>
                <w:sz w:val="20"/>
                <w:szCs w:val="20"/>
              </w:rPr>
            </w:pPr>
          </w:p>
        </w:tc>
        <w:tc>
          <w:tcPr>
            <w:tcW w:w="460" w:type="dxa"/>
            <w:gridSpan w:val="3"/>
          </w:tcPr>
          <w:p w:rsidR="00D01B4B" w:rsidRPr="00CF7711" w:rsidRDefault="00D01B4B" w:rsidP="00D01B4B">
            <w:pPr>
              <w:rPr>
                <w:rFonts w:ascii="Calibri" w:hAnsi="Calibri" w:cs="Calibri"/>
                <w:b/>
                <w:sz w:val="20"/>
                <w:szCs w:val="20"/>
              </w:rPr>
            </w:pPr>
          </w:p>
        </w:tc>
        <w:tc>
          <w:tcPr>
            <w:tcW w:w="460" w:type="dxa"/>
            <w:gridSpan w:val="3"/>
          </w:tcPr>
          <w:p w:rsidR="00D01B4B" w:rsidRPr="00CF7711" w:rsidRDefault="00D01B4B" w:rsidP="00D01B4B">
            <w:pPr>
              <w:rPr>
                <w:rFonts w:ascii="Calibri" w:hAnsi="Calibri" w:cs="Calibri"/>
                <w:b/>
                <w:sz w:val="20"/>
                <w:szCs w:val="20"/>
              </w:rPr>
            </w:pPr>
          </w:p>
        </w:tc>
        <w:tc>
          <w:tcPr>
            <w:tcW w:w="964" w:type="dxa"/>
            <w:gridSpan w:val="6"/>
          </w:tcPr>
          <w:p w:rsidR="00D01B4B" w:rsidRPr="00CF7711" w:rsidRDefault="00D01B4B" w:rsidP="00D01B4B">
            <w:pPr>
              <w:rPr>
                <w:rFonts w:ascii="Calibri" w:hAnsi="Calibri" w:cs="Calibri"/>
                <w:b/>
                <w:sz w:val="20"/>
                <w:szCs w:val="20"/>
              </w:rPr>
            </w:pPr>
          </w:p>
        </w:tc>
        <w:tc>
          <w:tcPr>
            <w:tcW w:w="160" w:type="dxa"/>
          </w:tcPr>
          <w:p w:rsidR="00D01B4B" w:rsidRPr="00CF7711" w:rsidRDefault="00D01B4B" w:rsidP="00D01B4B">
            <w:pPr>
              <w:rPr>
                <w:rFonts w:ascii="Calibri" w:hAnsi="Calibri" w:cs="Calibri"/>
                <w:b/>
                <w:sz w:val="20"/>
                <w:szCs w:val="20"/>
              </w:rPr>
            </w:pPr>
          </w:p>
        </w:tc>
        <w:tc>
          <w:tcPr>
            <w:tcW w:w="460" w:type="dxa"/>
            <w:gridSpan w:val="3"/>
          </w:tcPr>
          <w:p w:rsidR="00D01B4B" w:rsidRPr="00CF7711" w:rsidRDefault="00D01B4B" w:rsidP="00D01B4B">
            <w:pPr>
              <w:rPr>
                <w:rFonts w:ascii="Calibri" w:hAnsi="Calibri" w:cs="Calibri"/>
                <w:b/>
                <w:sz w:val="20"/>
                <w:szCs w:val="20"/>
              </w:rPr>
            </w:pPr>
          </w:p>
        </w:tc>
        <w:tc>
          <w:tcPr>
            <w:tcW w:w="460" w:type="dxa"/>
            <w:gridSpan w:val="2"/>
          </w:tcPr>
          <w:p w:rsidR="00D01B4B" w:rsidRPr="00CF7711" w:rsidRDefault="00D01B4B" w:rsidP="00D01B4B">
            <w:pPr>
              <w:rPr>
                <w:rFonts w:ascii="Calibri" w:hAnsi="Calibri" w:cs="Calibri"/>
                <w:b/>
                <w:sz w:val="20"/>
                <w:szCs w:val="20"/>
              </w:rPr>
            </w:pPr>
          </w:p>
        </w:tc>
        <w:tc>
          <w:tcPr>
            <w:tcW w:w="460" w:type="dxa"/>
            <w:gridSpan w:val="2"/>
          </w:tcPr>
          <w:p w:rsidR="00D01B4B" w:rsidRPr="00CF7711" w:rsidRDefault="00D01B4B" w:rsidP="00D01B4B">
            <w:pPr>
              <w:rPr>
                <w:rFonts w:ascii="Calibri" w:hAnsi="Calibri" w:cs="Calibri"/>
                <w:b/>
                <w:sz w:val="20"/>
                <w:szCs w:val="20"/>
              </w:rPr>
            </w:pPr>
          </w:p>
        </w:tc>
        <w:tc>
          <w:tcPr>
            <w:tcW w:w="460" w:type="dxa"/>
            <w:gridSpan w:val="3"/>
          </w:tcPr>
          <w:p w:rsidR="00D01B4B" w:rsidRPr="00CF7711" w:rsidRDefault="00D01B4B" w:rsidP="00D01B4B">
            <w:pPr>
              <w:rPr>
                <w:rFonts w:ascii="Calibri" w:hAnsi="Calibri" w:cs="Calibri"/>
                <w:b/>
                <w:sz w:val="20"/>
                <w:szCs w:val="20"/>
              </w:rPr>
            </w:pPr>
          </w:p>
        </w:tc>
        <w:tc>
          <w:tcPr>
            <w:tcW w:w="460" w:type="dxa"/>
            <w:gridSpan w:val="3"/>
          </w:tcPr>
          <w:p w:rsidR="00D01B4B" w:rsidRPr="006E55BA" w:rsidRDefault="00D01B4B" w:rsidP="00D01B4B">
            <w:pPr>
              <w:rPr>
                <w:rFonts w:ascii="Calibri" w:hAnsi="Calibri" w:cs="Calibri"/>
                <w:b/>
                <w:color w:val="A6A6A6" w:themeColor="background1" w:themeShade="A6"/>
                <w:sz w:val="20"/>
                <w:szCs w:val="20"/>
              </w:rPr>
            </w:pPr>
          </w:p>
        </w:tc>
        <w:tc>
          <w:tcPr>
            <w:tcW w:w="460" w:type="dxa"/>
            <w:gridSpan w:val="2"/>
          </w:tcPr>
          <w:p w:rsidR="00D01B4B" w:rsidRPr="006E55BA" w:rsidRDefault="00D01B4B" w:rsidP="00D01B4B">
            <w:pPr>
              <w:rPr>
                <w:rFonts w:ascii="Calibri" w:hAnsi="Calibri" w:cs="Calibri"/>
                <w:b/>
                <w:color w:val="A6A6A6" w:themeColor="background1" w:themeShade="A6"/>
                <w:sz w:val="20"/>
                <w:szCs w:val="20"/>
              </w:rPr>
            </w:pPr>
          </w:p>
        </w:tc>
        <w:tc>
          <w:tcPr>
            <w:tcW w:w="686" w:type="dxa"/>
            <w:gridSpan w:val="3"/>
          </w:tcPr>
          <w:p w:rsidR="00D01B4B" w:rsidRPr="006E55BA" w:rsidRDefault="00D01B4B" w:rsidP="00D01B4B">
            <w:pPr>
              <w:rPr>
                <w:rFonts w:ascii="Calibri" w:hAnsi="Calibri" w:cs="Calibri"/>
                <w:b/>
                <w:color w:val="A6A6A6" w:themeColor="background1" w:themeShade="A6"/>
                <w:sz w:val="20"/>
                <w:szCs w:val="20"/>
              </w:rPr>
            </w:pPr>
          </w:p>
        </w:tc>
      </w:tr>
      <w:tr w:rsidR="006E55BA" w:rsidRPr="006E55BA" w:rsidTr="00596840">
        <w:trPr>
          <w:gridAfter w:val="11"/>
          <w:wAfter w:w="3580" w:type="dxa"/>
        </w:trPr>
        <w:tc>
          <w:tcPr>
            <w:tcW w:w="9782" w:type="dxa"/>
            <w:gridSpan w:val="49"/>
            <w:shd w:val="clear" w:color="auto" w:fill="EEECE1"/>
          </w:tcPr>
          <w:p w:rsidR="00D01B4B" w:rsidRPr="00CF7711" w:rsidRDefault="00D01B4B" w:rsidP="00D01B4B">
            <w:pPr>
              <w:rPr>
                <w:rFonts w:ascii="Calibri" w:hAnsi="Calibri" w:cs="Calibri"/>
                <w:b/>
                <w:sz w:val="20"/>
                <w:szCs w:val="20"/>
              </w:rPr>
            </w:pPr>
            <w:r w:rsidRPr="00CF7711">
              <w:rPr>
                <w:rFonts w:ascii="Calibri" w:hAnsi="Calibri" w:cs="Calibri"/>
                <w:b/>
                <w:sz w:val="20"/>
                <w:szCs w:val="20"/>
              </w:rPr>
              <w:t>Stručný komentář k celkovému vývoji čerpání výdajů kapitoly ve sledovaném období</w:t>
            </w:r>
          </w:p>
        </w:tc>
      </w:tr>
      <w:tr w:rsidR="006E55BA" w:rsidRPr="006E55BA" w:rsidTr="00E8229C">
        <w:trPr>
          <w:gridAfter w:val="11"/>
          <w:wAfter w:w="3580" w:type="dxa"/>
        </w:trPr>
        <w:tc>
          <w:tcPr>
            <w:tcW w:w="459" w:type="dxa"/>
          </w:tcPr>
          <w:p w:rsidR="00D01B4B" w:rsidRPr="006E55BA" w:rsidRDefault="00D01B4B" w:rsidP="00D01B4B">
            <w:pPr>
              <w:rPr>
                <w:rFonts w:ascii="Calibri" w:hAnsi="Calibri" w:cs="Calibri"/>
                <w:b/>
                <w:color w:val="A6A6A6" w:themeColor="background1" w:themeShade="A6"/>
                <w:sz w:val="20"/>
                <w:szCs w:val="20"/>
              </w:rPr>
            </w:pPr>
          </w:p>
        </w:tc>
        <w:tc>
          <w:tcPr>
            <w:tcW w:w="459" w:type="dxa"/>
          </w:tcPr>
          <w:p w:rsidR="00D01B4B" w:rsidRPr="006E55BA" w:rsidRDefault="00D01B4B" w:rsidP="00D01B4B">
            <w:pPr>
              <w:rPr>
                <w:rFonts w:ascii="Calibri" w:hAnsi="Calibri" w:cs="Calibri"/>
                <w:b/>
                <w:color w:val="A6A6A6" w:themeColor="background1" w:themeShade="A6"/>
                <w:sz w:val="20"/>
                <w:szCs w:val="20"/>
              </w:rPr>
            </w:pPr>
          </w:p>
        </w:tc>
        <w:tc>
          <w:tcPr>
            <w:tcW w:w="460" w:type="dxa"/>
            <w:gridSpan w:val="2"/>
          </w:tcPr>
          <w:p w:rsidR="00D01B4B" w:rsidRPr="006E55BA" w:rsidRDefault="00D01B4B" w:rsidP="00D01B4B">
            <w:pPr>
              <w:rPr>
                <w:rFonts w:ascii="Calibri" w:hAnsi="Calibri" w:cs="Calibri"/>
                <w:b/>
                <w:color w:val="A6A6A6" w:themeColor="background1" w:themeShade="A6"/>
                <w:sz w:val="20"/>
                <w:szCs w:val="20"/>
              </w:rPr>
            </w:pPr>
          </w:p>
        </w:tc>
        <w:tc>
          <w:tcPr>
            <w:tcW w:w="460" w:type="dxa"/>
            <w:gridSpan w:val="2"/>
          </w:tcPr>
          <w:p w:rsidR="00D01B4B" w:rsidRPr="006E55BA" w:rsidRDefault="00D01B4B" w:rsidP="00D01B4B">
            <w:pPr>
              <w:rPr>
                <w:rFonts w:ascii="Calibri" w:hAnsi="Calibri" w:cs="Calibri"/>
                <w:b/>
                <w:color w:val="A6A6A6" w:themeColor="background1" w:themeShade="A6"/>
                <w:sz w:val="20"/>
                <w:szCs w:val="20"/>
              </w:rPr>
            </w:pPr>
          </w:p>
        </w:tc>
        <w:tc>
          <w:tcPr>
            <w:tcW w:w="460" w:type="dxa"/>
          </w:tcPr>
          <w:p w:rsidR="00D01B4B" w:rsidRPr="006E55BA" w:rsidRDefault="00D01B4B" w:rsidP="00D01B4B">
            <w:pPr>
              <w:rPr>
                <w:rFonts w:ascii="Calibri" w:hAnsi="Calibri" w:cs="Calibri"/>
                <w:b/>
                <w:color w:val="A6A6A6" w:themeColor="background1" w:themeShade="A6"/>
                <w:sz w:val="20"/>
                <w:szCs w:val="20"/>
              </w:rPr>
            </w:pPr>
          </w:p>
        </w:tc>
        <w:tc>
          <w:tcPr>
            <w:tcW w:w="963" w:type="dxa"/>
            <w:gridSpan w:val="5"/>
          </w:tcPr>
          <w:p w:rsidR="00D01B4B" w:rsidRPr="006E55BA" w:rsidRDefault="00D01B4B" w:rsidP="00D01B4B">
            <w:pPr>
              <w:rPr>
                <w:rFonts w:ascii="Calibri" w:hAnsi="Calibri" w:cs="Calibri"/>
                <w:b/>
                <w:color w:val="A6A6A6" w:themeColor="background1" w:themeShade="A6"/>
                <w:sz w:val="20"/>
                <w:szCs w:val="20"/>
              </w:rPr>
            </w:pPr>
          </w:p>
        </w:tc>
        <w:tc>
          <w:tcPr>
            <w:tcW w:w="313" w:type="dxa"/>
            <w:gridSpan w:val="2"/>
          </w:tcPr>
          <w:p w:rsidR="00D01B4B" w:rsidRPr="006E55BA" w:rsidRDefault="00D01B4B" w:rsidP="00D01B4B">
            <w:pPr>
              <w:rPr>
                <w:rFonts w:ascii="Calibri" w:hAnsi="Calibri" w:cs="Calibri"/>
                <w:b/>
                <w:color w:val="A6A6A6" w:themeColor="background1" w:themeShade="A6"/>
                <w:sz w:val="20"/>
                <w:szCs w:val="20"/>
              </w:rPr>
            </w:pPr>
          </w:p>
        </w:tc>
        <w:tc>
          <w:tcPr>
            <w:tcW w:w="460" w:type="dxa"/>
            <w:gridSpan w:val="3"/>
          </w:tcPr>
          <w:p w:rsidR="00D01B4B" w:rsidRPr="006E55BA" w:rsidRDefault="00D01B4B" w:rsidP="00D01B4B">
            <w:pPr>
              <w:rPr>
                <w:rFonts w:ascii="Calibri" w:hAnsi="Calibri" w:cs="Calibri"/>
                <w:b/>
                <w:color w:val="A6A6A6" w:themeColor="background1" w:themeShade="A6"/>
                <w:sz w:val="20"/>
                <w:szCs w:val="20"/>
              </w:rPr>
            </w:pPr>
          </w:p>
        </w:tc>
        <w:tc>
          <w:tcPr>
            <w:tcW w:w="460" w:type="dxa"/>
            <w:gridSpan w:val="2"/>
          </w:tcPr>
          <w:p w:rsidR="00D01B4B" w:rsidRPr="006E55BA" w:rsidRDefault="00D01B4B" w:rsidP="00D01B4B">
            <w:pPr>
              <w:rPr>
                <w:rFonts w:ascii="Calibri" w:hAnsi="Calibri" w:cs="Calibri"/>
                <w:b/>
                <w:color w:val="A6A6A6" w:themeColor="background1" w:themeShade="A6"/>
                <w:sz w:val="20"/>
                <w:szCs w:val="20"/>
              </w:rPr>
            </w:pPr>
          </w:p>
        </w:tc>
        <w:tc>
          <w:tcPr>
            <w:tcW w:w="460" w:type="dxa"/>
          </w:tcPr>
          <w:p w:rsidR="00D01B4B" w:rsidRPr="006E55BA" w:rsidRDefault="00D01B4B" w:rsidP="00D01B4B">
            <w:pPr>
              <w:rPr>
                <w:rFonts w:ascii="Calibri" w:hAnsi="Calibri" w:cs="Calibri"/>
                <w:b/>
                <w:color w:val="A6A6A6" w:themeColor="background1" w:themeShade="A6"/>
                <w:sz w:val="20"/>
                <w:szCs w:val="20"/>
              </w:rPr>
            </w:pPr>
          </w:p>
        </w:tc>
        <w:tc>
          <w:tcPr>
            <w:tcW w:w="460" w:type="dxa"/>
            <w:gridSpan w:val="3"/>
          </w:tcPr>
          <w:p w:rsidR="00D01B4B" w:rsidRPr="006E55BA" w:rsidRDefault="00D01B4B" w:rsidP="00D01B4B">
            <w:pPr>
              <w:rPr>
                <w:rFonts w:ascii="Calibri" w:hAnsi="Calibri" w:cs="Calibri"/>
                <w:b/>
                <w:color w:val="A6A6A6" w:themeColor="background1" w:themeShade="A6"/>
                <w:sz w:val="20"/>
                <w:szCs w:val="20"/>
              </w:rPr>
            </w:pPr>
          </w:p>
        </w:tc>
        <w:tc>
          <w:tcPr>
            <w:tcW w:w="541" w:type="dxa"/>
            <w:gridSpan w:val="5"/>
          </w:tcPr>
          <w:p w:rsidR="00D01B4B" w:rsidRPr="00CF7711" w:rsidRDefault="00D01B4B" w:rsidP="00D01B4B">
            <w:pPr>
              <w:rPr>
                <w:rFonts w:ascii="Calibri" w:hAnsi="Calibri" w:cs="Calibri"/>
                <w:b/>
                <w:sz w:val="20"/>
                <w:szCs w:val="20"/>
              </w:rPr>
            </w:pPr>
          </w:p>
        </w:tc>
        <w:tc>
          <w:tcPr>
            <w:tcW w:w="379" w:type="dxa"/>
          </w:tcPr>
          <w:p w:rsidR="00D01B4B" w:rsidRPr="00CF7711" w:rsidRDefault="00D01B4B" w:rsidP="00D01B4B">
            <w:pPr>
              <w:rPr>
                <w:rFonts w:ascii="Calibri" w:hAnsi="Calibri" w:cs="Calibri"/>
                <w:b/>
                <w:sz w:val="20"/>
                <w:szCs w:val="20"/>
              </w:rPr>
            </w:pPr>
          </w:p>
        </w:tc>
        <w:tc>
          <w:tcPr>
            <w:tcW w:w="460" w:type="dxa"/>
            <w:gridSpan w:val="4"/>
          </w:tcPr>
          <w:p w:rsidR="00D01B4B" w:rsidRPr="00CF7711" w:rsidRDefault="00D01B4B" w:rsidP="00D01B4B">
            <w:pPr>
              <w:rPr>
                <w:rFonts w:ascii="Calibri" w:hAnsi="Calibri" w:cs="Calibri"/>
                <w:b/>
                <w:sz w:val="20"/>
                <w:szCs w:val="20"/>
              </w:rPr>
            </w:pPr>
          </w:p>
        </w:tc>
        <w:tc>
          <w:tcPr>
            <w:tcW w:w="460" w:type="dxa"/>
            <w:gridSpan w:val="2"/>
          </w:tcPr>
          <w:p w:rsidR="00D01B4B" w:rsidRPr="00CF7711" w:rsidRDefault="00D01B4B" w:rsidP="00D01B4B">
            <w:pPr>
              <w:rPr>
                <w:rFonts w:ascii="Calibri" w:hAnsi="Calibri" w:cs="Calibri"/>
                <w:b/>
                <w:sz w:val="20"/>
                <w:szCs w:val="20"/>
              </w:rPr>
            </w:pPr>
          </w:p>
        </w:tc>
        <w:tc>
          <w:tcPr>
            <w:tcW w:w="460" w:type="dxa"/>
            <w:gridSpan w:val="4"/>
          </w:tcPr>
          <w:p w:rsidR="00D01B4B" w:rsidRPr="00CF7711" w:rsidRDefault="00D01B4B" w:rsidP="00D01B4B">
            <w:pPr>
              <w:rPr>
                <w:rFonts w:ascii="Calibri" w:hAnsi="Calibri" w:cs="Calibri"/>
                <w:b/>
                <w:sz w:val="20"/>
                <w:szCs w:val="20"/>
              </w:rPr>
            </w:pPr>
          </w:p>
        </w:tc>
        <w:tc>
          <w:tcPr>
            <w:tcW w:w="460" w:type="dxa"/>
            <w:gridSpan w:val="2"/>
          </w:tcPr>
          <w:p w:rsidR="00D01B4B" w:rsidRPr="00CF7711" w:rsidRDefault="00D01B4B" w:rsidP="00D01B4B">
            <w:pPr>
              <w:rPr>
                <w:rFonts w:ascii="Calibri" w:hAnsi="Calibri" w:cs="Calibri"/>
                <w:b/>
                <w:sz w:val="20"/>
                <w:szCs w:val="20"/>
              </w:rPr>
            </w:pPr>
          </w:p>
        </w:tc>
        <w:tc>
          <w:tcPr>
            <w:tcW w:w="460" w:type="dxa"/>
            <w:gridSpan w:val="2"/>
          </w:tcPr>
          <w:p w:rsidR="00D01B4B" w:rsidRPr="00CF7711" w:rsidRDefault="00D01B4B" w:rsidP="00D01B4B">
            <w:pPr>
              <w:rPr>
                <w:rFonts w:ascii="Calibri" w:hAnsi="Calibri" w:cs="Calibri"/>
                <w:b/>
                <w:sz w:val="20"/>
                <w:szCs w:val="20"/>
              </w:rPr>
            </w:pPr>
          </w:p>
        </w:tc>
        <w:tc>
          <w:tcPr>
            <w:tcW w:w="460" w:type="dxa"/>
            <w:gridSpan w:val="2"/>
          </w:tcPr>
          <w:p w:rsidR="00D01B4B" w:rsidRPr="00CF7711" w:rsidRDefault="00D01B4B" w:rsidP="00D01B4B">
            <w:pPr>
              <w:rPr>
                <w:rFonts w:ascii="Calibri" w:hAnsi="Calibri" w:cs="Calibri"/>
                <w:b/>
                <w:sz w:val="20"/>
                <w:szCs w:val="20"/>
              </w:rPr>
            </w:pPr>
          </w:p>
        </w:tc>
        <w:tc>
          <w:tcPr>
            <w:tcW w:w="688" w:type="dxa"/>
            <w:gridSpan w:val="4"/>
          </w:tcPr>
          <w:p w:rsidR="00D01B4B" w:rsidRPr="006E55BA" w:rsidRDefault="00D01B4B" w:rsidP="00D01B4B">
            <w:pPr>
              <w:rPr>
                <w:rFonts w:ascii="Calibri" w:hAnsi="Calibri" w:cs="Calibri"/>
                <w:b/>
                <w:color w:val="A6A6A6" w:themeColor="background1" w:themeShade="A6"/>
                <w:sz w:val="20"/>
                <w:szCs w:val="20"/>
              </w:rPr>
            </w:pPr>
          </w:p>
        </w:tc>
      </w:tr>
      <w:tr w:rsidR="00D80012" w:rsidRPr="006E55BA" w:rsidTr="00596840">
        <w:trPr>
          <w:gridAfter w:val="11"/>
          <w:wAfter w:w="3580" w:type="dxa"/>
        </w:trPr>
        <w:tc>
          <w:tcPr>
            <w:tcW w:w="9782" w:type="dxa"/>
            <w:gridSpan w:val="49"/>
            <w:tcBorders>
              <w:top w:val="single" w:sz="6" w:space="0" w:color="auto"/>
              <w:left w:val="single" w:sz="6" w:space="0" w:color="auto"/>
              <w:bottom w:val="single" w:sz="6" w:space="0" w:color="auto"/>
              <w:right w:val="single" w:sz="6" w:space="0" w:color="auto"/>
            </w:tcBorders>
          </w:tcPr>
          <w:p w:rsidR="00D80012" w:rsidRPr="00D80012" w:rsidRDefault="00396065" w:rsidP="004C694A">
            <w:pPr>
              <w:jc w:val="both"/>
              <w:rPr>
                <w:sz w:val="20"/>
                <w:szCs w:val="20"/>
              </w:rPr>
            </w:pPr>
            <w:r w:rsidRPr="00396065">
              <w:rPr>
                <w:rFonts w:asciiTheme="minorHAnsi" w:hAnsiTheme="minorHAnsi" w:cstheme="minorHAnsi"/>
                <w:sz w:val="20"/>
                <w:szCs w:val="20"/>
              </w:rPr>
              <w:t xml:space="preserve">Výdaje kapitoly byly </w:t>
            </w:r>
            <w:r w:rsidR="00DC641F">
              <w:rPr>
                <w:rFonts w:asciiTheme="minorHAnsi" w:hAnsiTheme="minorHAnsi" w:cstheme="minorHAnsi"/>
                <w:sz w:val="20"/>
                <w:szCs w:val="20"/>
              </w:rPr>
              <w:t>čerpány na 13,69 % upraveného rozpočtu.</w:t>
            </w:r>
            <w:r w:rsidR="004C694A">
              <w:rPr>
                <w:rFonts w:asciiTheme="minorHAnsi" w:hAnsiTheme="minorHAnsi" w:cstheme="minorHAnsi"/>
                <w:sz w:val="20"/>
                <w:szCs w:val="20"/>
              </w:rPr>
              <w:t xml:space="preserve"> Nejvíce se na tom podílelo nečerpání finančních prostředků na </w:t>
            </w:r>
            <w:r w:rsidR="004C694A" w:rsidRPr="004C694A">
              <w:rPr>
                <w:rFonts w:asciiTheme="minorHAnsi" w:hAnsiTheme="minorHAnsi" w:cstheme="minorHAnsi"/>
                <w:sz w:val="20"/>
                <w:szCs w:val="20"/>
              </w:rPr>
              <w:t>Digitalizac</w:t>
            </w:r>
            <w:r w:rsidR="004C694A">
              <w:rPr>
                <w:rFonts w:asciiTheme="minorHAnsi" w:hAnsiTheme="minorHAnsi" w:cstheme="minorHAnsi"/>
                <w:sz w:val="20"/>
                <w:szCs w:val="20"/>
              </w:rPr>
              <w:t>i</w:t>
            </w:r>
            <w:r w:rsidR="004C694A" w:rsidRPr="004C694A">
              <w:rPr>
                <w:rFonts w:asciiTheme="minorHAnsi" w:hAnsiTheme="minorHAnsi" w:cstheme="minorHAnsi"/>
                <w:sz w:val="20"/>
                <w:szCs w:val="20"/>
              </w:rPr>
              <w:t xml:space="preserve"> VISO a aktualizac</w:t>
            </w:r>
            <w:r w:rsidR="004C694A">
              <w:rPr>
                <w:rFonts w:asciiTheme="minorHAnsi" w:hAnsiTheme="minorHAnsi" w:cstheme="minorHAnsi"/>
                <w:sz w:val="20"/>
                <w:szCs w:val="20"/>
              </w:rPr>
              <w:t>i</w:t>
            </w:r>
            <w:r w:rsidR="004C694A" w:rsidRPr="004C694A">
              <w:rPr>
                <w:rFonts w:asciiTheme="minorHAnsi" w:hAnsiTheme="minorHAnsi" w:cstheme="minorHAnsi"/>
                <w:sz w:val="20"/>
                <w:szCs w:val="20"/>
              </w:rPr>
              <w:t xml:space="preserve"> DPP</w:t>
            </w:r>
            <w:r w:rsidR="004C694A">
              <w:rPr>
                <w:rFonts w:asciiTheme="minorHAnsi" w:hAnsiTheme="minorHAnsi" w:cstheme="minorHAnsi"/>
                <w:sz w:val="20"/>
                <w:szCs w:val="20"/>
              </w:rPr>
              <w:t xml:space="preserve"> – bude realizováno v roce 2023.</w:t>
            </w:r>
          </w:p>
        </w:tc>
      </w:tr>
      <w:tr w:rsidR="00D80012" w:rsidRPr="006E55BA" w:rsidTr="00E8229C">
        <w:trPr>
          <w:gridAfter w:val="11"/>
          <w:wAfter w:w="3580" w:type="dxa"/>
        </w:trPr>
        <w:tc>
          <w:tcPr>
            <w:tcW w:w="459" w:type="dxa"/>
          </w:tcPr>
          <w:p w:rsidR="00D80012" w:rsidRPr="006E55BA" w:rsidRDefault="00D80012" w:rsidP="00D80012">
            <w:pPr>
              <w:rPr>
                <w:rFonts w:ascii="Calibri" w:hAnsi="Calibri" w:cs="Calibri"/>
                <w:color w:val="A6A6A6" w:themeColor="background1" w:themeShade="A6"/>
                <w:sz w:val="20"/>
                <w:szCs w:val="20"/>
              </w:rPr>
            </w:pPr>
          </w:p>
        </w:tc>
        <w:tc>
          <w:tcPr>
            <w:tcW w:w="459" w:type="dxa"/>
          </w:tcPr>
          <w:p w:rsidR="00D80012" w:rsidRPr="006E55BA" w:rsidRDefault="00D80012" w:rsidP="00D80012">
            <w:pPr>
              <w:rPr>
                <w:rFonts w:ascii="Calibri" w:hAnsi="Calibri" w:cs="Calibri"/>
                <w:b/>
                <w:color w:val="A6A6A6" w:themeColor="background1" w:themeShade="A6"/>
                <w:sz w:val="20"/>
                <w:szCs w:val="20"/>
              </w:rPr>
            </w:pPr>
          </w:p>
        </w:tc>
        <w:tc>
          <w:tcPr>
            <w:tcW w:w="460" w:type="dxa"/>
            <w:gridSpan w:val="2"/>
          </w:tcPr>
          <w:p w:rsidR="00D80012" w:rsidRPr="006E55BA" w:rsidRDefault="00D80012" w:rsidP="00D80012">
            <w:pPr>
              <w:rPr>
                <w:rFonts w:ascii="Calibri" w:hAnsi="Calibri" w:cs="Calibri"/>
                <w:b/>
                <w:color w:val="A6A6A6" w:themeColor="background1" w:themeShade="A6"/>
                <w:sz w:val="20"/>
                <w:szCs w:val="20"/>
              </w:rPr>
            </w:pPr>
          </w:p>
        </w:tc>
        <w:tc>
          <w:tcPr>
            <w:tcW w:w="460" w:type="dxa"/>
            <w:gridSpan w:val="2"/>
          </w:tcPr>
          <w:p w:rsidR="00D80012" w:rsidRPr="006E55BA" w:rsidRDefault="00D80012" w:rsidP="00D80012">
            <w:pPr>
              <w:rPr>
                <w:rFonts w:ascii="Calibri" w:hAnsi="Calibri" w:cs="Calibri"/>
                <w:b/>
                <w:color w:val="A6A6A6" w:themeColor="background1" w:themeShade="A6"/>
                <w:sz w:val="20"/>
                <w:szCs w:val="20"/>
              </w:rPr>
            </w:pPr>
          </w:p>
        </w:tc>
        <w:tc>
          <w:tcPr>
            <w:tcW w:w="460" w:type="dxa"/>
          </w:tcPr>
          <w:p w:rsidR="00D80012" w:rsidRPr="006E55BA" w:rsidRDefault="00D80012" w:rsidP="00D80012">
            <w:pPr>
              <w:rPr>
                <w:rFonts w:ascii="Calibri" w:hAnsi="Calibri" w:cs="Calibri"/>
                <w:b/>
                <w:color w:val="A6A6A6" w:themeColor="background1" w:themeShade="A6"/>
                <w:sz w:val="20"/>
                <w:szCs w:val="20"/>
              </w:rPr>
            </w:pPr>
          </w:p>
        </w:tc>
        <w:tc>
          <w:tcPr>
            <w:tcW w:w="963" w:type="dxa"/>
            <w:gridSpan w:val="5"/>
          </w:tcPr>
          <w:p w:rsidR="00D80012" w:rsidRPr="006E55BA" w:rsidRDefault="00D80012" w:rsidP="00D80012">
            <w:pPr>
              <w:rPr>
                <w:rFonts w:ascii="Calibri" w:hAnsi="Calibri" w:cs="Calibri"/>
                <w:b/>
                <w:color w:val="A6A6A6" w:themeColor="background1" w:themeShade="A6"/>
                <w:sz w:val="20"/>
                <w:szCs w:val="20"/>
              </w:rPr>
            </w:pPr>
          </w:p>
        </w:tc>
        <w:tc>
          <w:tcPr>
            <w:tcW w:w="313" w:type="dxa"/>
            <w:gridSpan w:val="2"/>
          </w:tcPr>
          <w:p w:rsidR="00D80012" w:rsidRPr="006E55BA" w:rsidRDefault="00D80012" w:rsidP="00D80012">
            <w:pPr>
              <w:rPr>
                <w:rFonts w:ascii="Calibri" w:hAnsi="Calibri" w:cs="Calibri"/>
                <w:b/>
                <w:color w:val="A6A6A6" w:themeColor="background1" w:themeShade="A6"/>
                <w:sz w:val="20"/>
                <w:szCs w:val="20"/>
              </w:rPr>
            </w:pPr>
          </w:p>
        </w:tc>
        <w:tc>
          <w:tcPr>
            <w:tcW w:w="460" w:type="dxa"/>
            <w:gridSpan w:val="3"/>
          </w:tcPr>
          <w:p w:rsidR="00D80012" w:rsidRPr="006E55BA" w:rsidRDefault="00D80012" w:rsidP="00D80012">
            <w:pPr>
              <w:rPr>
                <w:rFonts w:ascii="Calibri" w:hAnsi="Calibri" w:cs="Calibri"/>
                <w:b/>
                <w:color w:val="A6A6A6" w:themeColor="background1" w:themeShade="A6"/>
                <w:sz w:val="20"/>
                <w:szCs w:val="20"/>
              </w:rPr>
            </w:pPr>
          </w:p>
        </w:tc>
        <w:tc>
          <w:tcPr>
            <w:tcW w:w="460" w:type="dxa"/>
            <w:gridSpan w:val="2"/>
          </w:tcPr>
          <w:p w:rsidR="00D80012" w:rsidRPr="006E55BA" w:rsidRDefault="00D80012" w:rsidP="00D80012">
            <w:pPr>
              <w:rPr>
                <w:rFonts w:ascii="Calibri" w:hAnsi="Calibri" w:cs="Calibri"/>
                <w:b/>
                <w:color w:val="A6A6A6" w:themeColor="background1" w:themeShade="A6"/>
                <w:sz w:val="20"/>
                <w:szCs w:val="20"/>
              </w:rPr>
            </w:pPr>
          </w:p>
        </w:tc>
        <w:tc>
          <w:tcPr>
            <w:tcW w:w="460" w:type="dxa"/>
          </w:tcPr>
          <w:p w:rsidR="00D80012" w:rsidRPr="006E55BA" w:rsidRDefault="00D80012" w:rsidP="00D80012">
            <w:pPr>
              <w:rPr>
                <w:rFonts w:ascii="Calibri" w:hAnsi="Calibri" w:cs="Calibri"/>
                <w:b/>
                <w:color w:val="A6A6A6" w:themeColor="background1" w:themeShade="A6"/>
                <w:sz w:val="20"/>
                <w:szCs w:val="20"/>
              </w:rPr>
            </w:pPr>
          </w:p>
        </w:tc>
        <w:tc>
          <w:tcPr>
            <w:tcW w:w="460" w:type="dxa"/>
            <w:gridSpan w:val="3"/>
          </w:tcPr>
          <w:p w:rsidR="00D80012" w:rsidRPr="006E55BA" w:rsidRDefault="00D80012" w:rsidP="00D80012">
            <w:pPr>
              <w:rPr>
                <w:rFonts w:ascii="Calibri" w:hAnsi="Calibri" w:cs="Calibri"/>
                <w:b/>
                <w:color w:val="A6A6A6" w:themeColor="background1" w:themeShade="A6"/>
                <w:sz w:val="20"/>
                <w:szCs w:val="20"/>
              </w:rPr>
            </w:pPr>
          </w:p>
        </w:tc>
        <w:tc>
          <w:tcPr>
            <w:tcW w:w="541" w:type="dxa"/>
            <w:gridSpan w:val="5"/>
          </w:tcPr>
          <w:p w:rsidR="00D80012" w:rsidRPr="006E55BA" w:rsidRDefault="00D80012" w:rsidP="00D80012">
            <w:pPr>
              <w:rPr>
                <w:rFonts w:ascii="Calibri" w:hAnsi="Calibri" w:cs="Calibri"/>
                <w:b/>
                <w:color w:val="A6A6A6" w:themeColor="background1" w:themeShade="A6"/>
                <w:sz w:val="20"/>
                <w:szCs w:val="20"/>
              </w:rPr>
            </w:pPr>
          </w:p>
        </w:tc>
        <w:tc>
          <w:tcPr>
            <w:tcW w:w="379" w:type="dxa"/>
          </w:tcPr>
          <w:p w:rsidR="00D80012" w:rsidRPr="006E55BA" w:rsidRDefault="00D80012" w:rsidP="00D80012">
            <w:pPr>
              <w:rPr>
                <w:rFonts w:ascii="Calibri" w:hAnsi="Calibri" w:cs="Calibri"/>
                <w:b/>
                <w:color w:val="A6A6A6" w:themeColor="background1" w:themeShade="A6"/>
                <w:sz w:val="20"/>
                <w:szCs w:val="20"/>
              </w:rPr>
            </w:pPr>
          </w:p>
        </w:tc>
        <w:tc>
          <w:tcPr>
            <w:tcW w:w="460" w:type="dxa"/>
            <w:gridSpan w:val="4"/>
          </w:tcPr>
          <w:p w:rsidR="00D80012" w:rsidRPr="006E55BA" w:rsidRDefault="00D80012" w:rsidP="00D80012">
            <w:pPr>
              <w:rPr>
                <w:rFonts w:ascii="Calibri" w:hAnsi="Calibri" w:cs="Calibri"/>
                <w:b/>
                <w:color w:val="A6A6A6" w:themeColor="background1" w:themeShade="A6"/>
                <w:sz w:val="20"/>
                <w:szCs w:val="20"/>
              </w:rPr>
            </w:pPr>
          </w:p>
        </w:tc>
        <w:tc>
          <w:tcPr>
            <w:tcW w:w="460" w:type="dxa"/>
            <w:gridSpan w:val="2"/>
          </w:tcPr>
          <w:p w:rsidR="00D80012" w:rsidRPr="006E55BA" w:rsidRDefault="00D80012" w:rsidP="00D80012">
            <w:pPr>
              <w:rPr>
                <w:rFonts w:ascii="Calibri" w:hAnsi="Calibri" w:cs="Calibri"/>
                <w:b/>
                <w:color w:val="A6A6A6" w:themeColor="background1" w:themeShade="A6"/>
                <w:sz w:val="20"/>
                <w:szCs w:val="20"/>
              </w:rPr>
            </w:pPr>
          </w:p>
        </w:tc>
        <w:tc>
          <w:tcPr>
            <w:tcW w:w="460" w:type="dxa"/>
            <w:gridSpan w:val="4"/>
          </w:tcPr>
          <w:p w:rsidR="00D80012" w:rsidRPr="006E55BA" w:rsidRDefault="00D80012" w:rsidP="00D80012">
            <w:pPr>
              <w:rPr>
                <w:rFonts w:ascii="Calibri" w:hAnsi="Calibri" w:cs="Calibri"/>
                <w:b/>
                <w:color w:val="A6A6A6" w:themeColor="background1" w:themeShade="A6"/>
                <w:sz w:val="20"/>
                <w:szCs w:val="20"/>
              </w:rPr>
            </w:pPr>
          </w:p>
        </w:tc>
        <w:tc>
          <w:tcPr>
            <w:tcW w:w="460" w:type="dxa"/>
            <w:gridSpan w:val="2"/>
          </w:tcPr>
          <w:p w:rsidR="00D80012" w:rsidRPr="006E55BA" w:rsidRDefault="00D80012" w:rsidP="00D80012">
            <w:pPr>
              <w:rPr>
                <w:rFonts w:ascii="Calibri" w:hAnsi="Calibri" w:cs="Calibri"/>
                <w:b/>
                <w:color w:val="A6A6A6" w:themeColor="background1" w:themeShade="A6"/>
                <w:sz w:val="20"/>
                <w:szCs w:val="20"/>
              </w:rPr>
            </w:pPr>
          </w:p>
        </w:tc>
        <w:tc>
          <w:tcPr>
            <w:tcW w:w="460" w:type="dxa"/>
            <w:gridSpan w:val="2"/>
          </w:tcPr>
          <w:p w:rsidR="00D80012" w:rsidRPr="006E55BA" w:rsidRDefault="00D80012" w:rsidP="00D80012">
            <w:pPr>
              <w:rPr>
                <w:rFonts w:ascii="Calibri" w:hAnsi="Calibri" w:cs="Calibri"/>
                <w:b/>
                <w:color w:val="A6A6A6" w:themeColor="background1" w:themeShade="A6"/>
                <w:sz w:val="20"/>
                <w:szCs w:val="20"/>
              </w:rPr>
            </w:pPr>
          </w:p>
        </w:tc>
        <w:tc>
          <w:tcPr>
            <w:tcW w:w="460" w:type="dxa"/>
            <w:gridSpan w:val="2"/>
          </w:tcPr>
          <w:p w:rsidR="00D80012" w:rsidRPr="006E55BA" w:rsidRDefault="00D80012" w:rsidP="00D80012">
            <w:pPr>
              <w:rPr>
                <w:rFonts w:ascii="Calibri" w:hAnsi="Calibri" w:cs="Calibri"/>
                <w:b/>
                <w:color w:val="A6A6A6" w:themeColor="background1" w:themeShade="A6"/>
                <w:sz w:val="20"/>
                <w:szCs w:val="20"/>
              </w:rPr>
            </w:pPr>
          </w:p>
        </w:tc>
        <w:tc>
          <w:tcPr>
            <w:tcW w:w="688" w:type="dxa"/>
            <w:gridSpan w:val="4"/>
          </w:tcPr>
          <w:p w:rsidR="00D80012" w:rsidRPr="006E55BA" w:rsidRDefault="00D80012" w:rsidP="00D80012">
            <w:pPr>
              <w:rPr>
                <w:rFonts w:ascii="Calibri" w:hAnsi="Calibri" w:cs="Calibri"/>
                <w:b/>
                <w:color w:val="A6A6A6" w:themeColor="background1" w:themeShade="A6"/>
                <w:sz w:val="20"/>
                <w:szCs w:val="20"/>
              </w:rPr>
            </w:pPr>
          </w:p>
        </w:tc>
      </w:tr>
      <w:tr w:rsidR="00D80012" w:rsidRPr="006E55BA" w:rsidTr="00596840">
        <w:trPr>
          <w:gridAfter w:val="11"/>
          <w:wAfter w:w="3580" w:type="dxa"/>
        </w:trPr>
        <w:tc>
          <w:tcPr>
            <w:tcW w:w="9782" w:type="dxa"/>
            <w:gridSpan w:val="49"/>
            <w:shd w:val="clear" w:color="auto" w:fill="EEECE1"/>
          </w:tcPr>
          <w:p w:rsidR="00D80012" w:rsidRPr="00C80681" w:rsidRDefault="00D80012" w:rsidP="00D80012">
            <w:pPr>
              <w:rPr>
                <w:rFonts w:ascii="Calibri" w:hAnsi="Calibri" w:cs="Calibri"/>
                <w:b/>
                <w:color w:val="A6A6A6" w:themeColor="background1" w:themeShade="A6"/>
                <w:sz w:val="18"/>
                <w:szCs w:val="18"/>
              </w:rPr>
            </w:pPr>
            <w:r w:rsidRPr="00C80681">
              <w:rPr>
                <w:rFonts w:ascii="Calibri" w:hAnsi="Calibri" w:cs="Calibri"/>
                <w:b/>
                <w:sz w:val="18"/>
                <w:szCs w:val="18"/>
              </w:rPr>
              <w:t>Komentář k položkám (akcím), které vykázaly abnormalitu v řádném čerpání výdajů</w:t>
            </w:r>
            <w:r w:rsidR="00B3640E" w:rsidRPr="00C80681">
              <w:rPr>
                <w:rFonts w:ascii="Calibri" w:hAnsi="Calibri" w:cs="Calibri"/>
                <w:b/>
                <w:sz w:val="18"/>
                <w:szCs w:val="18"/>
              </w:rPr>
              <w:t xml:space="preserve"> rozpočtu kapitoly ve </w:t>
            </w:r>
            <w:r w:rsidRPr="00C80681">
              <w:rPr>
                <w:rFonts w:ascii="Calibri" w:hAnsi="Calibri" w:cs="Calibri"/>
                <w:b/>
                <w:sz w:val="18"/>
                <w:szCs w:val="18"/>
              </w:rPr>
              <w:t>sledovaném období</w:t>
            </w:r>
          </w:p>
        </w:tc>
      </w:tr>
      <w:tr w:rsidR="00D80012" w:rsidRPr="006E55BA" w:rsidTr="00E8229C">
        <w:trPr>
          <w:gridAfter w:val="11"/>
          <w:wAfter w:w="3580" w:type="dxa"/>
        </w:trPr>
        <w:tc>
          <w:tcPr>
            <w:tcW w:w="918"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D80012" w:rsidRPr="006E55BA" w:rsidRDefault="00D80012" w:rsidP="00D80012">
            <w:pPr>
              <w:jc w:val="center"/>
              <w:rPr>
                <w:rFonts w:ascii="Calibri" w:hAnsi="Calibri" w:cs="Calibri"/>
                <w:b/>
                <w:color w:val="A6A6A6" w:themeColor="background1" w:themeShade="A6"/>
                <w:sz w:val="18"/>
                <w:szCs w:val="18"/>
              </w:rPr>
            </w:pPr>
            <w:r w:rsidRPr="00D80012">
              <w:rPr>
                <w:rFonts w:ascii="Calibri" w:hAnsi="Calibri" w:cs="Calibri"/>
                <w:b/>
                <w:sz w:val="18"/>
                <w:szCs w:val="18"/>
              </w:rPr>
              <w:t>Oddíl, paragraf</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D80012" w:rsidRPr="00D80012" w:rsidRDefault="00D80012" w:rsidP="00D80012">
            <w:pPr>
              <w:jc w:val="center"/>
              <w:rPr>
                <w:rFonts w:ascii="Calibri" w:hAnsi="Calibri" w:cs="Calibri"/>
                <w:b/>
                <w:sz w:val="18"/>
                <w:szCs w:val="18"/>
              </w:rPr>
            </w:pPr>
            <w:r w:rsidRPr="00D80012">
              <w:rPr>
                <w:rFonts w:ascii="Calibri" w:hAnsi="Calibri" w:cs="Calibri"/>
                <w:b/>
                <w:sz w:val="18"/>
                <w:szCs w:val="18"/>
              </w:rPr>
              <w:t>Položka</w:t>
            </w:r>
          </w:p>
        </w:tc>
        <w:tc>
          <w:tcPr>
            <w:tcW w:w="1492" w:type="dxa"/>
            <w:gridSpan w:val="7"/>
            <w:tcBorders>
              <w:top w:val="single" w:sz="4" w:space="0" w:color="auto"/>
              <w:left w:val="single" w:sz="4" w:space="0" w:color="auto"/>
              <w:bottom w:val="single" w:sz="4" w:space="0" w:color="auto"/>
              <w:right w:val="single" w:sz="4" w:space="0" w:color="auto"/>
            </w:tcBorders>
            <w:shd w:val="clear" w:color="auto" w:fill="FFFF00"/>
            <w:vAlign w:val="center"/>
          </w:tcPr>
          <w:p w:rsidR="00D80012" w:rsidRPr="00D80012" w:rsidRDefault="00D80012" w:rsidP="00D80012">
            <w:pPr>
              <w:jc w:val="center"/>
              <w:rPr>
                <w:rFonts w:ascii="Calibri" w:hAnsi="Calibri" w:cs="Calibri"/>
                <w:b/>
                <w:sz w:val="18"/>
                <w:szCs w:val="18"/>
              </w:rPr>
            </w:pPr>
            <w:r w:rsidRPr="00D80012">
              <w:rPr>
                <w:rFonts w:ascii="Calibri" w:hAnsi="Calibri" w:cs="Calibri"/>
                <w:b/>
                <w:sz w:val="18"/>
                <w:szCs w:val="18"/>
              </w:rPr>
              <w:t>Organizace</w:t>
            </w:r>
          </w:p>
        </w:tc>
        <w:tc>
          <w:tcPr>
            <w:tcW w:w="773" w:type="dxa"/>
            <w:gridSpan w:val="5"/>
            <w:tcBorders>
              <w:top w:val="single" w:sz="4" w:space="0" w:color="auto"/>
              <w:left w:val="single" w:sz="4" w:space="0" w:color="auto"/>
              <w:bottom w:val="single" w:sz="4" w:space="0" w:color="auto"/>
              <w:right w:val="single" w:sz="4" w:space="0" w:color="auto"/>
            </w:tcBorders>
            <w:shd w:val="clear" w:color="auto" w:fill="FFFF00"/>
            <w:vAlign w:val="center"/>
          </w:tcPr>
          <w:p w:rsidR="00D80012" w:rsidRPr="00D80012" w:rsidRDefault="00D80012" w:rsidP="00D80012">
            <w:pPr>
              <w:jc w:val="center"/>
              <w:rPr>
                <w:rFonts w:ascii="Calibri" w:hAnsi="Calibri" w:cs="Calibri"/>
                <w:b/>
                <w:sz w:val="18"/>
                <w:szCs w:val="18"/>
              </w:rPr>
            </w:pPr>
            <w:r w:rsidRPr="00D80012">
              <w:rPr>
                <w:rFonts w:ascii="Calibri" w:hAnsi="Calibri" w:cs="Calibri"/>
                <w:b/>
                <w:sz w:val="18"/>
                <w:szCs w:val="18"/>
              </w:rPr>
              <w:t>Účelový zdroj</w:t>
            </w:r>
          </w:p>
        </w:tc>
        <w:tc>
          <w:tcPr>
            <w:tcW w:w="920"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D80012" w:rsidRPr="00D80012" w:rsidRDefault="00D80012" w:rsidP="00D80012">
            <w:pPr>
              <w:jc w:val="center"/>
              <w:rPr>
                <w:rFonts w:ascii="Calibri" w:hAnsi="Calibri" w:cs="Calibri"/>
                <w:b/>
                <w:sz w:val="18"/>
                <w:szCs w:val="18"/>
              </w:rPr>
            </w:pPr>
            <w:r w:rsidRPr="00D80012">
              <w:rPr>
                <w:rFonts w:ascii="Calibri" w:hAnsi="Calibri" w:cs="Calibri"/>
                <w:b/>
                <w:sz w:val="18"/>
                <w:szCs w:val="18"/>
              </w:rPr>
              <w:t>Upravený rozpočet v tis. Kč</w:t>
            </w:r>
          </w:p>
        </w:tc>
        <w:tc>
          <w:tcPr>
            <w:tcW w:w="1001" w:type="dxa"/>
            <w:gridSpan w:val="8"/>
            <w:tcBorders>
              <w:top w:val="single" w:sz="4" w:space="0" w:color="auto"/>
              <w:left w:val="single" w:sz="4" w:space="0" w:color="auto"/>
              <w:bottom w:val="single" w:sz="4" w:space="0" w:color="auto"/>
              <w:right w:val="single" w:sz="4" w:space="0" w:color="auto"/>
            </w:tcBorders>
            <w:shd w:val="clear" w:color="auto" w:fill="FFFF00"/>
            <w:vAlign w:val="center"/>
          </w:tcPr>
          <w:p w:rsidR="00D80012" w:rsidRPr="00D80012" w:rsidRDefault="00D80012" w:rsidP="00D80012">
            <w:pPr>
              <w:jc w:val="center"/>
              <w:rPr>
                <w:rFonts w:ascii="Calibri" w:hAnsi="Calibri" w:cs="Calibri"/>
                <w:b/>
                <w:sz w:val="18"/>
                <w:szCs w:val="18"/>
              </w:rPr>
            </w:pPr>
            <w:r w:rsidRPr="00D80012">
              <w:rPr>
                <w:rFonts w:ascii="Calibri" w:hAnsi="Calibri" w:cs="Calibri"/>
                <w:b/>
                <w:sz w:val="18"/>
                <w:szCs w:val="18"/>
              </w:rPr>
              <w:t>Skutečnost v tis. Kč</w:t>
            </w:r>
          </w:p>
        </w:tc>
        <w:tc>
          <w:tcPr>
            <w:tcW w:w="3827" w:type="dxa"/>
            <w:gridSpan w:val="21"/>
            <w:tcBorders>
              <w:top w:val="single" w:sz="4" w:space="0" w:color="auto"/>
              <w:left w:val="single" w:sz="4" w:space="0" w:color="auto"/>
              <w:bottom w:val="single" w:sz="4" w:space="0" w:color="auto"/>
              <w:right w:val="single" w:sz="4" w:space="0" w:color="auto"/>
            </w:tcBorders>
            <w:shd w:val="clear" w:color="auto" w:fill="FFFF00"/>
            <w:vAlign w:val="center"/>
          </w:tcPr>
          <w:p w:rsidR="00D80012" w:rsidRPr="00D80012" w:rsidRDefault="00D80012" w:rsidP="00D80012">
            <w:pPr>
              <w:jc w:val="center"/>
              <w:rPr>
                <w:rFonts w:ascii="Calibri" w:hAnsi="Calibri" w:cs="Calibri"/>
                <w:b/>
                <w:sz w:val="18"/>
                <w:szCs w:val="18"/>
              </w:rPr>
            </w:pPr>
            <w:r w:rsidRPr="00D80012">
              <w:rPr>
                <w:rFonts w:ascii="Calibri" w:hAnsi="Calibri" w:cs="Calibri"/>
                <w:b/>
                <w:sz w:val="18"/>
                <w:szCs w:val="18"/>
              </w:rPr>
              <w:t>Komentář</w:t>
            </w:r>
          </w:p>
        </w:tc>
      </w:tr>
      <w:tr w:rsidR="00396065" w:rsidRPr="006E55BA" w:rsidTr="00E8229C">
        <w:trPr>
          <w:gridAfter w:val="11"/>
          <w:wAfter w:w="3580" w:type="dxa"/>
        </w:trPr>
        <w:tc>
          <w:tcPr>
            <w:tcW w:w="918" w:type="dxa"/>
            <w:gridSpan w:val="2"/>
            <w:tcBorders>
              <w:top w:val="single" w:sz="4" w:space="0" w:color="auto"/>
              <w:left w:val="single" w:sz="4" w:space="0" w:color="auto"/>
              <w:bottom w:val="single" w:sz="4" w:space="0" w:color="auto"/>
              <w:right w:val="single" w:sz="4" w:space="0" w:color="auto"/>
            </w:tcBorders>
            <w:vAlign w:val="center"/>
          </w:tcPr>
          <w:p w:rsidR="00396065" w:rsidRPr="00091F65" w:rsidRDefault="00396065" w:rsidP="00B3640E">
            <w:pPr>
              <w:jc w:val="center"/>
              <w:rPr>
                <w:rFonts w:asciiTheme="minorHAnsi" w:hAnsiTheme="minorHAnsi" w:cstheme="minorHAnsi"/>
                <w:sz w:val="18"/>
              </w:rPr>
            </w:pPr>
            <w:r>
              <w:rPr>
                <w:rFonts w:asciiTheme="minorHAnsi" w:hAnsiTheme="minorHAnsi" w:cstheme="minorHAnsi"/>
                <w:sz w:val="18"/>
              </w:rPr>
              <w:t>527</w:t>
            </w:r>
            <w:r w:rsidR="00B3640E">
              <w:rPr>
                <w:rFonts w:asciiTheme="minorHAnsi" w:hAnsiTheme="minorHAnsi" w:cstheme="minorHAnsi"/>
                <w:sz w:val="18"/>
              </w:rPr>
              <w:t>3</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396065" w:rsidRPr="00091F65" w:rsidRDefault="00396065" w:rsidP="00396065">
            <w:pPr>
              <w:jc w:val="center"/>
              <w:rPr>
                <w:rFonts w:asciiTheme="minorHAnsi" w:hAnsiTheme="minorHAnsi" w:cstheme="minorHAnsi"/>
                <w:sz w:val="18"/>
              </w:rPr>
            </w:pPr>
            <w:r>
              <w:rPr>
                <w:rFonts w:asciiTheme="minorHAnsi" w:hAnsiTheme="minorHAnsi" w:cstheme="minorHAnsi"/>
                <w:sz w:val="18"/>
              </w:rPr>
              <w:t>5139</w:t>
            </w:r>
          </w:p>
        </w:tc>
        <w:tc>
          <w:tcPr>
            <w:tcW w:w="1492" w:type="dxa"/>
            <w:gridSpan w:val="7"/>
            <w:tcBorders>
              <w:top w:val="single" w:sz="4" w:space="0" w:color="auto"/>
              <w:left w:val="single" w:sz="4" w:space="0" w:color="auto"/>
              <w:bottom w:val="single" w:sz="4" w:space="0" w:color="auto"/>
              <w:right w:val="single" w:sz="4" w:space="0" w:color="auto"/>
            </w:tcBorders>
            <w:vAlign w:val="center"/>
          </w:tcPr>
          <w:p w:rsidR="00396065" w:rsidRPr="00091F65" w:rsidRDefault="00B3640E" w:rsidP="00396065">
            <w:pPr>
              <w:jc w:val="center"/>
              <w:rPr>
                <w:rFonts w:asciiTheme="minorHAnsi" w:hAnsiTheme="minorHAnsi" w:cstheme="minorHAnsi"/>
                <w:sz w:val="18"/>
              </w:rPr>
            </w:pPr>
            <w:r>
              <w:rPr>
                <w:rFonts w:asciiTheme="minorHAnsi" w:hAnsiTheme="minorHAnsi" w:cstheme="minorHAnsi"/>
                <w:sz w:val="18"/>
              </w:rPr>
              <w:t>0120000000000</w:t>
            </w:r>
          </w:p>
        </w:tc>
        <w:tc>
          <w:tcPr>
            <w:tcW w:w="773" w:type="dxa"/>
            <w:gridSpan w:val="5"/>
            <w:tcBorders>
              <w:top w:val="single" w:sz="4" w:space="0" w:color="auto"/>
              <w:left w:val="single" w:sz="4" w:space="0" w:color="auto"/>
              <w:bottom w:val="single" w:sz="4" w:space="0" w:color="auto"/>
              <w:right w:val="single" w:sz="4" w:space="0" w:color="auto"/>
            </w:tcBorders>
            <w:vAlign w:val="center"/>
          </w:tcPr>
          <w:p w:rsidR="00396065" w:rsidRPr="00091F65" w:rsidRDefault="00396065" w:rsidP="00396065">
            <w:pPr>
              <w:jc w:val="center"/>
              <w:rPr>
                <w:rFonts w:asciiTheme="minorHAnsi" w:hAnsiTheme="minorHAnsi" w:cstheme="minorHAnsi"/>
                <w:sz w:val="18"/>
              </w:rPr>
            </w:pPr>
          </w:p>
        </w:tc>
        <w:tc>
          <w:tcPr>
            <w:tcW w:w="920" w:type="dxa"/>
            <w:gridSpan w:val="3"/>
            <w:tcBorders>
              <w:top w:val="single" w:sz="4" w:space="0" w:color="auto"/>
              <w:left w:val="single" w:sz="4" w:space="0" w:color="auto"/>
              <w:bottom w:val="single" w:sz="4" w:space="0" w:color="auto"/>
              <w:right w:val="single" w:sz="4" w:space="0" w:color="auto"/>
            </w:tcBorders>
            <w:vAlign w:val="center"/>
          </w:tcPr>
          <w:p w:rsidR="00396065" w:rsidRPr="00091F65" w:rsidRDefault="00B3640E" w:rsidP="00396065">
            <w:pPr>
              <w:jc w:val="center"/>
              <w:rPr>
                <w:rFonts w:asciiTheme="minorHAnsi" w:hAnsiTheme="minorHAnsi" w:cstheme="minorHAnsi"/>
                <w:sz w:val="18"/>
              </w:rPr>
            </w:pPr>
            <w:r>
              <w:rPr>
                <w:rFonts w:asciiTheme="minorHAnsi" w:hAnsiTheme="minorHAnsi" w:cstheme="minorHAnsi"/>
                <w:sz w:val="18"/>
              </w:rPr>
              <w:t>121,54</w:t>
            </w:r>
          </w:p>
        </w:tc>
        <w:tc>
          <w:tcPr>
            <w:tcW w:w="1001" w:type="dxa"/>
            <w:gridSpan w:val="8"/>
            <w:tcBorders>
              <w:top w:val="single" w:sz="4" w:space="0" w:color="auto"/>
              <w:left w:val="single" w:sz="4" w:space="0" w:color="auto"/>
              <w:bottom w:val="single" w:sz="4" w:space="0" w:color="auto"/>
              <w:right w:val="single" w:sz="4" w:space="0" w:color="auto"/>
            </w:tcBorders>
            <w:vAlign w:val="center"/>
          </w:tcPr>
          <w:p w:rsidR="00396065" w:rsidRPr="00091F65" w:rsidRDefault="00B3640E" w:rsidP="00396065">
            <w:pPr>
              <w:jc w:val="center"/>
              <w:rPr>
                <w:rFonts w:asciiTheme="minorHAnsi" w:hAnsiTheme="minorHAnsi" w:cstheme="minorHAnsi"/>
                <w:sz w:val="18"/>
              </w:rPr>
            </w:pPr>
            <w:r>
              <w:rPr>
                <w:rFonts w:asciiTheme="minorHAnsi" w:hAnsiTheme="minorHAnsi" w:cstheme="minorHAnsi"/>
                <w:sz w:val="18"/>
              </w:rPr>
              <w:t>56,84</w:t>
            </w:r>
          </w:p>
        </w:tc>
        <w:tc>
          <w:tcPr>
            <w:tcW w:w="3827" w:type="dxa"/>
            <w:gridSpan w:val="21"/>
            <w:tcBorders>
              <w:top w:val="single" w:sz="4" w:space="0" w:color="auto"/>
              <w:left w:val="single" w:sz="4" w:space="0" w:color="auto"/>
              <w:bottom w:val="single" w:sz="4" w:space="0" w:color="auto"/>
              <w:right w:val="single" w:sz="4" w:space="0" w:color="auto"/>
            </w:tcBorders>
            <w:vAlign w:val="center"/>
          </w:tcPr>
          <w:p w:rsidR="00396065" w:rsidRPr="001576BB" w:rsidRDefault="00B3640E" w:rsidP="00396065">
            <w:pPr>
              <w:rPr>
                <w:rFonts w:asciiTheme="minorHAnsi" w:hAnsiTheme="minorHAnsi" w:cstheme="minorHAnsi"/>
                <w:b/>
                <w:sz w:val="18"/>
                <w:szCs w:val="18"/>
                <w:u w:val="single"/>
              </w:rPr>
            </w:pPr>
            <w:r>
              <w:rPr>
                <w:rFonts w:asciiTheme="minorHAnsi" w:hAnsiTheme="minorHAnsi" w:cstheme="minorHAnsi"/>
                <w:b/>
                <w:sz w:val="18"/>
                <w:szCs w:val="18"/>
                <w:u w:val="single"/>
              </w:rPr>
              <w:t>Nákup materiálu j. n.</w:t>
            </w:r>
          </w:p>
          <w:p w:rsidR="00396065" w:rsidRPr="001576BB" w:rsidRDefault="00C80681" w:rsidP="00C80681">
            <w:pPr>
              <w:jc w:val="both"/>
              <w:rPr>
                <w:rFonts w:asciiTheme="minorHAnsi" w:hAnsiTheme="minorHAnsi" w:cstheme="minorHAnsi"/>
                <w:sz w:val="18"/>
                <w:szCs w:val="18"/>
              </w:rPr>
            </w:pPr>
            <w:r>
              <w:rPr>
                <w:rFonts w:asciiTheme="minorHAnsi" w:hAnsiTheme="minorHAnsi" w:cstheme="minorHAnsi"/>
                <w:sz w:val="18"/>
                <w:szCs w:val="18"/>
              </w:rPr>
              <w:t>Z důvodu ukrajinské krize a z důvodu stabilizace situace nebyly prostředky dočerpány.</w:t>
            </w:r>
          </w:p>
        </w:tc>
      </w:tr>
      <w:tr w:rsidR="00E8229C" w:rsidRPr="006E55BA" w:rsidTr="00E8229C">
        <w:trPr>
          <w:gridAfter w:val="11"/>
          <w:wAfter w:w="3580" w:type="dxa"/>
        </w:trPr>
        <w:tc>
          <w:tcPr>
            <w:tcW w:w="918" w:type="dxa"/>
            <w:gridSpan w:val="2"/>
            <w:tcBorders>
              <w:top w:val="single" w:sz="4" w:space="0" w:color="auto"/>
              <w:left w:val="single" w:sz="4" w:space="0" w:color="auto"/>
              <w:bottom w:val="single" w:sz="4" w:space="0" w:color="auto"/>
              <w:right w:val="single" w:sz="4" w:space="0" w:color="auto"/>
            </w:tcBorders>
          </w:tcPr>
          <w:p w:rsidR="00E8229C" w:rsidRDefault="00E8229C" w:rsidP="00396065">
            <w:pPr>
              <w:jc w:val="center"/>
              <w:rPr>
                <w:rFonts w:asciiTheme="minorHAnsi" w:hAnsiTheme="minorHAnsi" w:cstheme="minorHAnsi"/>
                <w:sz w:val="18"/>
              </w:rPr>
            </w:pPr>
            <w:r>
              <w:rPr>
                <w:rFonts w:asciiTheme="minorHAnsi" w:hAnsiTheme="minorHAnsi" w:cstheme="minorHAnsi"/>
                <w:sz w:val="18"/>
              </w:rPr>
              <w:t>5273</w:t>
            </w:r>
          </w:p>
        </w:tc>
        <w:tc>
          <w:tcPr>
            <w:tcW w:w="851" w:type="dxa"/>
            <w:gridSpan w:val="3"/>
            <w:tcBorders>
              <w:top w:val="single" w:sz="4" w:space="0" w:color="auto"/>
              <w:left w:val="single" w:sz="4" w:space="0" w:color="auto"/>
              <w:bottom w:val="single" w:sz="4" w:space="0" w:color="auto"/>
              <w:right w:val="single" w:sz="4" w:space="0" w:color="auto"/>
            </w:tcBorders>
          </w:tcPr>
          <w:p w:rsidR="00E8229C" w:rsidRDefault="00E8229C" w:rsidP="00396065">
            <w:pPr>
              <w:jc w:val="center"/>
              <w:rPr>
                <w:rFonts w:asciiTheme="minorHAnsi" w:hAnsiTheme="minorHAnsi" w:cstheme="minorHAnsi"/>
                <w:sz w:val="18"/>
              </w:rPr>
            </w:pPr>
            <w:r>
              <w:rPr>
                <w:rFonts w:asciiTheme="minorHAnsi" w:hAnsiTheme="minorHAnsi" w:cstheme="minorHAnsi"/>
                <w:sz w:val="18"/>
              </w:rPr>
              <w:t>5171</w:t>
            </w:r>
          </w:p>
        </w:tc>
        <w:tc>
          <w:tcPr>
            <w:tcW w:w="1492" w:type="dxa"/>
            <w:gridSpan w:val="7"/>
            <w:tcBorders>
              <w:top w:val="single" w:sz="4" w:space="0" w:color="auto"/>
              <w:left w:val="single" w:sz="4" w:space="0" w:color="auto"/>
              <w:bottom w:val="single" w:sz="4" w:space="0" w:color="auto"/>
              <w:right w:val="single" w:sz="4" w:space="0" w:color="auto"/>
            </w:tcBorders>
          </w:tcPr>
          <w:p w:rsidR="00E8229C" w:rsidRDefault="00E8229C" w:rsidP="00396065">
            <w:pPr>
              <w:jc w:val="center"/>
              <w:rPr>
                <w:rFonts w:asciiTheme="minorHAnsi" w:hAnsiTheme="minorHAnsi" w:cstheme="minorHAnsi"/>
                <w:sz w:val="18"/>
              </w:rPr>
            </w:pPr>
            <w:r>
              <w:rPr>
                <w:rFonts w:asciiTheme="minorHAnsi" w:hAnsiTheme="minorHAnsi" w:cstheme="minorHAnsi"/>
                <w:sz w:val="18"/>
              </w:rPr>
              <w:t>0120000000000</w:t>
            </w:r>
          </w:p>
        </w:tc>
        <w:tc>
          <w:tcPr>
            <w:tcW w:w="773" w:type="dxa"/>
            <w:gridSpan w:val="5"/>
            <w:tcBorders>
              <w:top w:val="single" w:sz="4" w:space="0" w:color="auto"/>
              <w:left w:val="single" w:sz="4" w:space="0" w:color="auto"/>
              <w:bottom w:val="single" w:sz="4" w:space="0" w:color="auto"/>
              <w:right w:val="single" w:sz="4" w:space="0" w:color="auto"/>
            </w:tcBorders>
          </w:tcPr>
          <w:p w:rsidR="00E8229C" w:rsidRPr="00091F65" w:rsidRDefault="00E8229C" w:rsidP="00396065">
            <w:pPr>
              <w:jc w:val="center"/>
              <w:rPr>
                <w:rFonts w:asciiTheme="minorHAnsi" w:hAnsiTheme="minorHAnsi" w:cstheme="minorHAnsi"/>
                <w:sz w:val="18"/>
              </w:rPr>
            </w:pPr>
          </w:p>
        </w:tc>
        <w:tc>
          <w:tcPr>
            <w:tcW w:w="920" w:type="dxa"/>
            <w:gridSpan w:val="3"/>
            <w:tcBorders>
              <w:top w:val="single" w:sz="4" w:space="0" w:color="auto"/>
              <w:left w:val="single" w:sz="4" w:space="0" w:color="auto"/>
              <w:bottom w:val="single" w:sz="4" w:space="0" w:color="auto"/>
              <w:right w:val="single" w:sz="4" w:space="0" w:color="auto"/>
            </w:tcBorders>
          </w:tcPr>
          <w:p w:rsidR="00E8229C" w:rsidRDefault="00E8229C" w:rsidP="00396065">
            <w:pPr>
              <w:jc w:val="center"/>
              <w:rPr>
                <w:rFonts w:asciiTheme="minorHAnsi" w:hAnsiTheme="minorHAnsi" w:cstheme="minorHAnsi"/>
                <w:sz w:val="18"/>
              </w:rPr>
            </w:pPr>
            <w:r>
              <w:rPr>
                <w:rFonts w:asciiTheme="minorHAnsi" w:hAnsiTheme="minorHAnsi" w:cstheme="minorHAnsi"/>
                <w:sz w:val="18"/>
              </w:rPr>
              <w:t>256,75</w:t>
            </w:r>
          </w:p>
        </w:tc>
        <w:tc>
          <w:tcPr>
            <w:tcW w:w="1001" w:type="dxa"/>
            <w:gridSpan w:val="8"/>
            <w:tcBorders>
              <w:top w:val="single" w:sz="4" w:space="0" w:color="auto"/>
              <w:left w:val="single" w:sz="4" w:space="0" w:color="auto"/>
              <w:bottom w:val="single" w:sz="4" w:space="0" w:color="auto"/>
              <w:right w:val="single" w:sz="4" w:space="0" w:color="auto"/>
            </w:tcBorders>
          </w:tcPr>
          <w:p w:rsidR="00E8229C" w:rsidRDefault="00E8229C" w:rsidP="00396065">
            <w:pPr>
              <w:jc w:val="center"/>
              <w:rPr>
                <w:rFonts w:asciiTheme="minorHAnsi" w:hAnsiTheme="minorHAnsi" w:cstheme="minorHAnsi"/>
                <w:sz w:val="18"/>
              </w:rPr>
            </w:pPr>
            <w:r>
              <w:rPr>
                <w:rFonts w:asciiTheme="minorHAnsi" w:hAnsiTheme="minorHAnsi" w:cstheme="minorHAnsi"/>
                <w:sz w:val="18"/>
              </w:rPr>
              <w:t>100,64</w:t>
            </w:r>
          </w:p>
        </w:tc>
        <w:tc>
          <w:tcPr>
            <w:tcW w:w="3827" w:type="dxa"/>
            <w:gridSpan w:val="21"/>
            <w:tcBorders>
              <w:top w:val="single" w:sz="4" w:space="0" w:color="auto"/>
              <w:left w:val="single" w:sz="4" w:space="0" w:color="auto"/>
              <w:bottom w:val="single" w:sz="4" w:space="0" w:color="auto"/>
              <w:right w:val="single" w:sz="4" w:space="0" w:color="auto"/>
            </w:tcBorders>
          </w:tcPr>
          <w:p w:rsidR="00E8229C" w:rsidRDefault="00E8229C" w:rsidP="00396065">
            <w:pPr>
              <w:jc w:val="both"/>
              <w:rPr>
                <w:rFonts w:asciiTheme="minorHAnsi" w:hAnsiTheme="minorHAnsi" w:cstheme="minorHAnsi"/>
                <w:b/>
                <w:sz w:val="18"/>
                <w:u w:val="single"/>
              </w:rPr>
            </w:pPr>
            <w:r>
              <w:rPr>
                <w:rFonts w:asciiTheme="minorHAnsi" w:hAnsiTheme="minorHAnsi" w:cstheme="minorHAnsi"/>
                <w:b/>
                <w:sz w:val="18"/>
                <w:u w:val="single"/>
              </w:rPr>
              <w:t>Opravy a udržování</w:t>
            </w:r>
          </w:p>
          <w:p w:rsidR="00E8229C" w:rsidRPr="00E8229C" w:rsidRDefault="00C80681" w:rsidP="00396065">
            <w:pPr>
              <w:jc w:val="both"/>
              <w:rPr>
                <w:rFonts w:asciiTheme="minorHAnsi" w:hAnsiTheme="minorHAnsi" w:cstheme="minorHAnsi"/>
                <w:sz w:val="18"/>
              </w:rPr>
            </w:pPr>
            <w:r>
              <w:rPr>
                <w:rFonts w:asciiTheme="minorHAnsi" w:hAnsiTheme="minorHAnsi" w:cstheme="minorHAnsi"/>
                <w:sz w:val="18"/>
              </w:rPr>
              <w:t>Podstatná část oprav krytu CO přesunuta do roku 2023.</w:t>
            </w:r>
          </w:p>
        </w:tc>
      </w:tr>
      <w:tr w:rsidR="00396065" w:rsidRPr="006E55BA" w:rsidTr="00E8229C">
        <w:trPr>
          <w:gridAfter w:val="11"/>
          <w:wAfter w:w="3580" w:type="dxa"/>
        </w:trPr>
        <w:tc>
          <w:tcPr>
            <w:tcW w:w="918" w:type="dxa"/>
            <w:gridSpan w:val="2"/>
            <w:tcBorders>
              <w:top w:val="single" w:sz="4" w:space="0" w:color="auto"/>
              <w:left w:val="single" w:sz="4" w:space="0" w:color="auto"/>
              <w:bottom w:val="single" w:sz="4" w:space="0" w:color="auto"/>
              <w:right w:val="single" w:sz="4" w:space="0" w:color="auto"/>
            </w:tcBorders>
          </w:tcPr>
          <w:p w:rsidR="00396065" w:rsidRDefault="00396065" w:rsidP="00396065">
            <w:pPr>
              <w:jc w:val="center"/>
              <w:rPr>
                <w:rFonts w:asciiTheme="minorHAnsi" w:hAnsiTheme="minorHAnsi" w:cstheme="minorHAnsi"/>
                <w:sz w:val="18"/>
              </w:rPr>
            </w:pPr>
            <w:r>
              <w:rPr>
                <w:rFonts w:asciiTheme="minorHAnsi" w:hAnsiTheme="minorHAnsi" w:cstheme="minorHAnsi"/>
                <w:sz w:val="18"/>
              </w:rPr>
              <w:t>5213</w:t>
            </w:r>
          </w:p>
        </w:tc>
        <w:tc>
          <w:tcPr>
            <w:tcW w:w="851" w:type="dxa"/>
            <w:gridSpan w:val="3"/>
            <w:tcBorders>
              <w:top w:val="single" w:sz="4" w:space="0" w:color="auto"/>
              <w:left w:val="single" w:sz="4" w:space="0" w:color="auto"/>
              <w:bottom w:val="single" w:sz="4" w:space="0" w:color="auto"/>
              <w:right w:val="single" w:sz="4" w:space="0" w:color="auto"/>
            </w:tcBorders>
          </w:tcPr>
          <w:p w:rsidR="00396065" w:rsidRPr="00091F65" w:rsidRDefault="00396065" w:rsidP="00396065">
            <w:pPr>
              <w:jc w:val="center"/>
              <w:rPr>
                <w:rFonts w:asciiTheme="minorHAnsi" w:hAnsiTheme="minorHAnsi" w:cstheme="minorHAnsi"/>
                <w:sz w:val="18"/>
              </w:rPr>
            </w:pPr>
            <w:r>
              <w:rPr>
                <w:rFonts w:asciiTheme="minorHAnsi" w:hAnsiTheme="minorHAnsi" w:cstheme="minorHAnsi"/>
                <w:sz w:val="18"/>
              </w:rPr>
              <w:t>5903</w:t>
            </w:r>
          </w:p>
        </w:tc>
        <w:tc>
          <w:tcPr>
            <w:tcW w:w="1492" w:type="dxa"/>
            <w:gridSpan w:val="7"/>
            <w:tcBorders>
              <w:top w:val="single" w:sz="4" w:space="0" w:color="auto"/>
              <w:left w:val="single" w:sz="4" w:space="0" w:color="auto"/>
              <w:bottom w:val="single" w:sz="4" w:space="0" w:color="auto"/>
              <w:right w:val="single" w:sz="4" w:space="0" w:color="auto"/>
            </w:tcBorders>
          </w:tcPr>
          <w:p w:rsidR="00396065" w:rsidRPr="00091F65" w:rsidRDefault="00B3640E" w:rsidP="00396065">
            <w:pPr>
              <w:jc w:val="center"/>
              <w:rPr>
                <w:rFonts w:asciiTheme="minorHAnsi" w:hAnsiTheme="minorHAnsi" w:cstheme="minorHAnsi"/>
                <w:sz w:val="18"/>
              </w:rPr>
            </w:pPr>
            <w:r>
              <w:rPr>
                <w:rFonts w:asciiTheme="minorHAnsi" w:hAnsiTheme="minorHAnsi" w:cstheme="minorHAnsi"/>
                <w:sz w:val="18"/>
              </w:rPr>
              <w:t>0120000000000</w:t>
            </w:r>
          </w:p>
        </w:tc>
        <w:tc>
          <w:tcPr>
            <w:tcW w:w="773" w:type="dxa"/>
            <w:gridSpan w:val="5"/>
            <w:tcBorders>
              <w:top w:val="single" w:sz="4" w:space="0" w:color="auto"/>
              <w:left w:val="single" w:sz="4" w:space="0" w:color="auto"/>
              <w:bottom w:val="single" w:sz="4" w:space="0" w:color="auto"/>
              <w:right w:val="single" w:sz="4" w:space="0" w:color="auto"/>
            </w:tcBorders>
          </w:tcPr>
          <w:p w:rsidR="00396065" w:rsidRPr="00091F65" w:rsidRDefault="00396065" w:rsidP="00396065">
            <w:pPr>
              <w:jc w:val="center"/>
              <w:rPr>
                <w:rFonts w:asciiTheme="minorHAnsi" w:hAnsiTheme="minorHAnsi" w:cstheme="minorHAnsi"/>
                <w:sz w:val="18"/>
              </w:rPr>
            </w:pPr>
          </w:p>
        </w:tc>
        <w:tc>
          <w:tcPr>
            <w:tcW w:w="920" w:type="dxa"/>
            <w:gridSpan w:val="3"/>
            <w:tcBorders>
              <w:top w:val="single" w:sz="4" w:space="0" w:color="auto"/>
              <w:left w:val="single" w:sz="4" w:space="0" w:color="auto"/>
              <w:bottom w:val="single" w:sz="4" w:space="0" w:color="auto"/>
              <w:right w:val="single" w:sz="4" w:space="0" w:color="auto"/>
            </w:tcBorders>
          </w:tcPr>
          <w:p w:rsidR="00396065" w:rsidRPr="00091F65" w:rsidRDefault="00396065" w:rsidP="00396065">
            <w:pPr>
              <w:jc w:val="center"/>
              <w:rPr>
                <w:rFonts w:asciiTheme="minorHAnsi" w:hAnsiTheme="minorHAnsi" w:cstheme="minorHAnsi"/>
                <w:sz w:val="18"/>
              </w:rPr>
            </w:pPr>
            <w:r>
              <w:rPr>
                <w:rFonts w:asciiTheme="minorHAnsi" w:hAnsiTheme="minorHAnsi" w:cstheme="minorHAnsi"/>
                <w:sz w:val="18"/>
              </w:rPr>
              <w:t>200,00</w:t>
            </w:r>
          </w:p>
        </w:tc>
        <w:tc>
          <w:tcPr>
            <w:tcW w:w="1001" w:type="dxa"/>
            <w:gridSpan w:val="8"/>
            <w:tcBorders>
              <w:top w:val="single" w:sz="4" w:space="0" w:color="auto"/>
              <w:left w:val="single" w:sz="4" w:space="0" w:color="auto"/>
              <w:bottom w:val="single" w:sz="4" w:space="0" w:color="auto"/>
              <w:right w:val="single" w:sz="4" w:space="0" w:color="auto"/>
            </w:tcBorders>
          </w:tcPr>
          <w:p w:rsidR="00396065" w:rsidRPr="00091F65" w:rsidRDefault="00396065" w:rsidP="00396065">
            <w:pPr>
              <w:jc w:val="center"/>
              <w:rPr>
                <w:rFonts w:asciiTheme="minorHAnsi" w:hAnsiTheme="minorHAnsi" w:cstheme="minorHAnsi"/>
                <w:sz w:val="18"/>
              </w:rPr>
            </w:pPr>
            <w:r>
              <w:rPr>
                <w:rFonts w:asciiTheme="minorHAnsi" w:hAnsiTheme="minorHAnsi" w:cstheme="minorHAnsi"/>
                <w:sz w:val="18"/>
              </w:rPr>
              <w:t>0,00</w:t>
            </w:r>
          </w:p>
        </w:tc>
        <w:tc>
          <w:tcPr>
            <w:tcW w:w="3827" w:type="dxa"/>
            <w:gridSpan w:val="21"/>
            <w:tcBorders>
              <w:top w:val="single" w:sz="4" w:space="0" w:color="auto"/>
              <w:left w:val="single" w:sz="4" w:space="0" w:color="auto"/>
              <w:bottom w:val="single" w:sz="4" w:space="0" w:color="auto"/>
              <w:right w:val="single" w:sz="4" w:space="0" w:color="auto"/>
            </w:tcBorders>
          </w:tcPr>
          <w:p w:rsidR="00396065" w:rsidRPr="00416F98" w:rsidRDefault="00396065" w:rsidP="00396065">
            <w:pPr>
              <w:jc w:val="both"/>
              <w:rPr>
                <w:rFonts w:asciiTheme="minorHAnsi" w:hAnsiTheme="minorHAnsi" w:cstheme="minorHAnsi"/>
                <w:sz w:val="18"/>
              </w:rPr>
            </w:pPr>
            <w:r>
              <w:rPr>
                <w:rFonts w:asciiTheme="minorHAnsi" w:hAnsiTheme="minorHAnsi" w:cstheme="minorHAnsi"/>
                <w:b/>
                <w:sz w:val="18"/>
                <w:u w:val="single"/>
              </w:rPr>
              <w:t>R</w:t>
            </w:r>
            <w:r w:rsidRPr="00303A24">
              <w:rPr>
                <w:rFonts w:asciiTheme="minorHAnsi" w:hAnsiTheme="minorHAnsi" w:cstheme="minorHAnsi"/>
                <w:b/>
                <w:sz w:val="18"/>
                <w:u w:val="single"/>
              </w:rPr>
              <w:t>ezerva rozpočtu na krizová opatření</w:t>
            </w:r>
            <w:r>
              <w:rPr>
                <w:rFonts w:asciiTheme="minorHAnsi" w:hAnsiTheme="minorHAnsi" w:cstheme="minorHAnsi"/>
                <w:sz w:val="18"/>
              </w:rPr>
              <w:t xml:space="preserve"> nebyla čerpána</w:t>
            </w:r>
            <w:r w:rsidR="00C80681">
              <w:rPr>
                <w:rFonts w:asciiTheme="minorHAnsi" w:hAnsiTheme="minorHAnsi" w:cstheme="minorHAnsi"/>
                <w:sz w:val="18"/>
              </w:rPr>
              <w:t xml:space="preserve"> – jen v případě krizového stavu.</w:t>
            </w:r>
          </w:p>
        </w:tc>
      </w:tr>
      <w:tr w:rsidR="00E8229C" w:rsidRPr="006E55BA" w:rsidTr="00E8229C">
        <w:trPr>
          <w:gridAfter w:val="11"/>
          <w:wAfter w:w="3580" w:type="dxa"/>
        </w:trPr>
        <w:tc>
          <w:tcPr>
            <w:tcW w:w="918" w:type="dxa"/>
            <w:gridSpan w:val="2"/>
            <w:tcBorders>
              <w:top w:val="single" w:sz="4" w:space="0" w:color="auto"/>
              <w:left w:val="single" w:sz="4" w:space="0" w:color="auto"/>
              <w:bottom w:val="single" w:sz="4" w:space="0" w:color="auto"/>
              <w:right w:val="single" w:sz="4" w:space="0" w:color="auto"/>
            </w:tcBorders>
          </w:tcPr>
          <w:p w:rsidR="00E8229C" w:rsidRDefault="00E8229C" w:rsidP="00396065">
            <w:pPr>
              <w:jc w:val="center"/>
              <w:rPr>
                <w:rFonts w:asciiTheme="minorHAnsi" w:hAnsiTheme="minorHAnsi" w:cstheme="minorHAnsi"/>
                <w:sz w:val="18"/>
              </w:rPr>
            </w:pPr>
            <w:r>
              <w:rPr>
                <w:rFonts w:asciiTheme="minorHAnsi" w:hAnsiTheme="minorHAnsi" w:cstheme="minorHAnsi"/>
                <w:sz w:val="18"/>
              </w:rPr>
              <w:t>5273</w:t>
            </w:r>
          </w:p>
        </w:tc>
        <w:tc>
          <w:tcPr>
            <w:tcW w:w="851" w:type="dxa"/>
            <w:gridSpan w:val="3"/>
            <w:tcBorders>
              <w:top w:val="single" w:sz="4" w:space="0" w:color="auto"/>
              <w:left w:val="single" w:sz="4" w:space="0" w:color="auto"/>
              <w:bottom w:val="single" w:sz="4" w:space="0" w:color="auto"/>
              <w:right w:val="single" w:sz="4" w:space="0" w:color="auto"/>
            </w:tcBorders>
          </w:tcPr>
          <w:p w:rsidR="00E8229C" w:rsidRDefault="00E8229C" w:rsidP="00396065">
            <w:pPr>
              <w:jc w:val="center"/>
              <w:rPr>
                <w:rFonts w:asciiTheme="minorHAnsi" w:hAnsiTheme="minorHAnsi" w:cstheme="minorHAnsi"/>
                <w:sz w:val="18"/>
              </w:rPr>
            </w:pPr>
            <w:r>
              <w:rPr>
                <w:rFonts w:asciiTheme="minorHAnsi" w:hAnsiTheme="minorHAnsi" w:cstheme="minorHAnsi"/>
                <w:sz w:val="18"/>
              </w:rPr>
              <w:t>5122</w:t>
            </w:r>
          </w:p>
        </w:tc>
        <w:tc>
          <w:tcPr>
            <w:tcW w:w="1492" w:type="dxa"/>
            <w:gridSpan w:val="7"/>
            <w:tcBorders>
              <w:top w:val="single" w:sz="4" w:space="0" w:color="auto"/>
              <w:left w:val="single" w:sz="4" w:space="0" w:color="auto"/>
              <w:bottom w:val="single" w:sz="4" w:space="0" w:color="auto"/>
              <w:right w:val="single" w:sz="4" w:space="0" w:color="auto"/>
            </w:tcBorders>
          </w:tcPr>
          <w:p w:rsidR="00E8229C" w:rsidRDefault="00E8229C" w:rsidP="00396065">
            <w:pPr>
              <w:jc w:val="center"/>
              <w:rPr>
                <w:rFonts w:asciiTheme="minorHAnsi" w:hAnsiTheme="minorHAnsi" w:cstheme="minorHAnsi"/>
                <w:sz w:val="18"/>
              </w:rPr>
            </w:pPr>
            <w:r>
              <w:rPr>
                <w:rFonts w:asciiTheme="minorHAnsi" w:hAnsiTheme="minorHAnsi" w:cstheme="minorHAnsi"/>
                <w:sz w:val="18"/>
              </w:rPr>
              <w:t>0120000000000</w:t>
            </w:r>
          </w:p>
        </w:tc>
        <w:tc>
          <w:tcPr>
            <w:tcW w:w="773" w:type="dxa"/>
            <w:gridSpan w:val="5"/>
            <w:tcBorders>
              <w:top w:val="single" w:sz="4" w:space="0" w:color="auto"/>
              <w:left w:val="single" w:sz="4" w:space="0" w:color="auto"/>
              <w:bottom w:val="single" w:sz="4" w:space="0" w:color="auto"/>
              <w:right w:val="single" w:sz="4" w:space="0" w:color="auto"/>
            </w:tcBorders>
          </w:tcPr>
          <w:p w:rsidR="00E8229C" w:rsidRPr="00091F65" w:rsidRDefault="00E8229C" w:rsidP="00396065">
            <w:pPr>
              <w:jc w:val="center"/>
              <w:rPr>
                <w:rFonts w:asciiTheme="minorHAnsi" w:hAnsiTheme="minorHAnsi" w:cstheme="minorHAnsi"/>
                <w:sz w:val="18"/>
              </w:rPr>
            </w:pPr>
          </w:p>
        </w:tc>
        <w:tc>
          <w:tcPr>
            <w:tcW w:w="920" w:type="dxa"/>
            <w:gridSpan w:val="3"/>
            <w:tcBorders>
              <w:top w:val="single" w:sz="4" w:space="0" w:color="auto"/>
              <w:left w:val="single" w:sz="4" w:space="0" w:color="auto"/>
              <w:bottom w:val="single" w:sz="4" w:space="0" w:color="auto"/>
              <w:right w:val="single" w:sz="4" w:space="0" w:color="auto"/>
            </w:tcBorders>
          </w:tcPr>
          <w:p w:rsidR="00E8229C" w:rsidRDefault="00E8229C" w:rsidP="00396065">
            <w:pPr>
              <w:jc w:val="center"/>
              <w:rPr>
                <w:rFonts w:asciiTheme="minorHAnsi" w:hAnsiTheme="minorHAnsi" w:cstheme="minorHAnsi"/>
                <w:sz w:val="18"/>
              </w:rPr>
            </w:pPr>
            <w:r>
              <w:rPr>
                <w:rFonts w:asciiTheme="minorHAnsi" w:hAnsiTheme="minorHAnsi" w:cstheme="minorHAnsi"/>
                <w:sz w:val="18"/>
              </w:rPr>
              <w:t>11 747,50</w:t>
            </w:r>
          </w:p>
        </w:tc>
        <w:tc>
          <w:tcPr>
            <w:tcW w:w="1001" w:type="dxa"/>
            <w:gridSpan w:val="8"/>
            <w:tcBorders>
              <w:top w:val="single" w:sz="4" w:space="0" w:color="auto"/>
              <w:left w:val="single" w:sz="4" w:space="0" w:color="auto"/>
              <w:bottom w:val="single" w:sz="4" w:space="0" w:color="auto"/>
              <w:right w:val="single" w:sz="4" w:space="0" w:color="auto"/>
            </w:tcBorders>
          </w:tcPr>
          <w:p w:rsidR="00E8229C" w:rsidRDefault="00E8229C" w:rsidP="00396065">
            <w:pPr>
              <w:jc w:val="center"/>
              <w:rPr>
                <w:rFonts w:asciiTheme="minorHAnsi" w:hAnsiTheme="minorHAnsi" w:cstheme="minorHAnsi"/>
                <w:sz w:val="18"/>
              </w:rPr>
            </w:pPr>
            <w:r>
              <w:rPr>
                <w:rFonts w:asciiTheme="minorHAnsi" w:hAnsiTheme="minorHAnsi" w:cstheme="minorHAnsi"/>
                <w:sz w:val="18"/>
              </w:rPr>
              <w:t>111,32</w:t>
            </w:r>
          </w:p>
        </w:tc>
        <w:tc>
          <w:tcPr>
            <w:tcW w:w="3827" w:type="dxa"/>
            <w:gridSpan w:val="21"/>
            <w:tcBorders>
              <w:top w:val="single" w:sz="4" w:space="0" w:color="auto"/>
              <w:left w:val="single" w:sz="4" w:space="0" w:color="auto"/>
              <w:bottom w:val="single" w:sz="4" w:space="0" w:color="auto"/>
              <w:right w:val="single" w:sz="4" w:space="0" w:color="auto"/>
            </w:tcBorders>
          </w:tcPr>
          <w:p w:rsidR="00E8229C" w:rsidRDefault="00E8229C" w:rsidP="00396065">
            <w:pPr>
              <w:jc w:val="both"/>
              <w:rPr>
                <w:rFonts w:asciiTheme="minorHAnsi" w:hAnsiTheme="minorHAnsi" w:cstheme="minorHAnsi"/>
                <w:b/>
                <w:sz w:val="18"/>
                <w:u w:val="single"/>
              </w:rPr>
            </w:pPr>
            <w:r>
              <w:rPr>
                <w:rFonts w:asciiTheme="minorHAnsi" w:hAnsiTheme="minorHAnsi" w:cstheme="minorHAnsi"/>
                <w:b/>
                <w:sz w:val="18"/>
                <w:u w:val="single"/>
              </w:rPr>
              <w:t>Stroje, přístroje a zařízení</w:t>
            </w:r>
          </w:p>
          <w:p w:rsidR="00E8229C" w:rsidRPr="00E8229C" w:rsidRDefault="00C80681" w:rsidP="00396065">
            <w:pPr>
              <w:jc w:val="both"/>
              <w:rPr>
                <w:rFonts w:asciiTheme="minorHAnsi" w:hAnsiTheme="minorHAnsi" w:cstheme="minorHAnsi"/>
                <w:sz w:val="18"/>
              </w:rPr>
            </w:pPr>
            <w:r>
              <w:rPr>
                <w:rFonts w:asciiTheme="minorHAnsi" w:hAnsiTheme="minorHAnsi" w:cstheme="minorHAnsi"/>
                <w:sz w:val="18"/>
              </w:rPr>
              <w:t>VISO realizace v průběhu roku 2023.</w:t>
            </w:r>
          </w:p>
        </w:tc>
      </w:tr>
      <w:tr w:rsidR="00E8229C" w:rsidRPr="006E55BA" w:rsidTr="00E8229C">
        <w:trPr>
          <w:gridAfter w:val="11"/>
          <w:wAfter w:w="3580" w:type="dxa"/>
        </w:trPr>
        <w:tc>
          <w:tcPr>
            <w:tcW w:w="918" w:type="dxa"/>
            <w:gridSpan w:val="2"/>
            <w:tcBorders>
              <w:top w:val="single" w:sz="4" w:space="0" w:color="auto"/>
              <w:left w:val="single" w:sz="4" w:space="0" w:color="auto"/>
              <w:bottom w:val="single" w:sz="4" w:space="0" w:color="auto"/>
              <w:right w:val="single" w:sz="4" w:space="0" w:color="auto"/>
            </w:tcBorders>
          </w:tcPr>
          <w:p w:rsidR="00E8229C" w:rsidRDefault="00E8229C" w:rsidP="00396065">
            <w:pPr>
              <w:jc w:val="center"/>
              <w:rPr>
                <w:rFonts w:asciiTheme="minorHAnsi" w:hAnsiTheme="minorHAnsi" w:cstheme="minorHAnsi"/>
                <w:sz w:val="18"/>
              </w:rPr>
            </w:pPr>
            <w:r>
              <w:rPr>
                <w:rFonts w:asciiTheme="minorHAnsi" w:hAnsiTheme="minorHAnsi" w:cstheme="minorHAnsi"/>
                <w:sz w:val="18"/>
              </w:rPr>
              <w:t>5512</w:t>
            </w:r>
          </w:p>
        </w:tc>
        <w:tc>
          <w:tcPr>
            <w:tcW w:w="851" w:type="dxa"/>
            <w:gridSpan w:val="3"/>
            <w:tcBorders>
              <w:top w:val="single" w:sz="4" w:space="0" w:color="auto"/>
              <w:left w:val="single" w:sz="4" w:space="0" w:color="auto"/>
              <w:bottom w:val="single" w:sz="4" w:space="0" w:color="auto"/>
              <w:right w:val="single" w:sz="4" w:space="0" w:color="auto"/>
            </w:tcBorders>
          </w:tcPr>
          <w:p w:rsidR="00E8229C" w:rsidRDefault="00E8229C" w:rsidP="00396065">
            <w:pPr>
              <w:jc w:val="center"/>
              <w:rPr>
                <w:rFonts w:asciiTheme="minorHAnsi" w:hAnsiTheme="minorHAnsi" w:cstheme="minorHAnsi"/>
                <w:sz w:val="18"/>
              </w:rPr>
            </w:pPr>
            <w:r>
              <w:rPr>
                <w:rFonts w:asciiTheme="minorHAnsi" w:hAnsiTheme="minorHAnsi" w:cstheme="minorHAnsi"/>
                <w:sz w:val="18"/>
              </w:rPr>
              <w:t>6123</w:t>
            </w:r>
          </w:p>
        </w:tc>
        <w:tc>
          <w:tcPr>
            <w:tcW w:w="1492" w:type="dxa"/>
            <w:gridSpan w:val="7"/>
            <w:tcBorders>
              <w:top w:val="single" w:sz="4" w:space="0" w:color="auto"/>
              <w:left w:val="single" w:sz="4" w:space="0" w:color="auto"/>
              <w:bottom w:val="single" w:sz="4" w:space="0" w:color="auto"/>
              <w:right w:val="single" w:sz="4" w:space="0" w:color="auto"/>
            </w:tcBorders>
          </w:tcPr>
          <w:p w:rsidR="00E8229C" w:rsidRDefault="00E8229C" w:rsidP="00396065">
            <w:pPr>
              <w:jc w:val="center"/>
              <w:rPr>
                <w:rFonts w:asciiTheme="minorHAnsi" w:hAnsiTheme="minorHAnsi" w:cstheme="minorHAnsi"/>
                <w:sz w:val="18"/>
              </w:rPr>
            </w:pPr>
            <w:r>
              <w:rPr>
                <w:rFonts w:asciiTheme="minorHAnsi" w:hAnsiTheme="minorHAnsi" w:cstheme="minorHAnsi"/>
                <w:sz w:val="18"/>
              </w:rPr>
              <w:t>0120000000000</w:t>
            </w:r>
          </w:p>
        </w:tc>
        <w:tc>
          <w:tcPr>
            <w:tcW w:w="773" w:type="dxa"/>
            <w:gridSpan w:val="5"/>
            <w:tcBorders>
              <w:top w:val="single" w:sz="4" w:space="0" w:color="auto"/>
              <w:left w:val="single" w:sz="4" w:space="0" w:color="auto"/>
              <w:bottom w:val="single" w:sz="4" w:space="0" w:color="auto"/>
              <w:right w:val="single" w:sz="4" w:space="0" w:color="auto"/>
            </w:tcBorders>
          </w:tcPr>
          <w:p w:rsidR="00E8229C" w:rsidRPr="00091F65" w:rsidRDefault="00E8229C" w:rsidP="00396065">
            <w:pPr>
              <w:jc w:val="center"/>
              <w:rPr>
                <w:rFonts w:asciiTheme="minorHAnsi" w:hAnsiTheme="minorHAnsi" w:cstheme="minorHAnsi"/>
                <w:sz w:val="18"/>
              </w:rPr>
            </w:pPr>
          </w:p>
        </w:tc>
        <w:tc>
          <w:tcPr>
            <w:tcW w:w="920" w:type="dxa"/>
            <w:gridSpan w:val="3"/>
            <w:tcBorders>
              <w:top w:val="single" w:sz="4" w:space="0" w:color="auto"/>
              <w:left w:val="single" w:sz="4" w:space="0" w:color="auto"/>
              <w:bottom w:val="single" w:sz="4" w:space="0" w:color="auto"/>
              <w:right w:val="single" w:sz="4" w:space="0" w:color="auto"/>
            </w:tcBorders>
          </w:tcPr>
          <w:p w:rsidR="00E8229C" w:rsidRDefault="00E8229C" w:rsidP="00396065">
            <w:pPr>
              <w:jc w:val="center"/>
              <w:rPr>
                <w:rFonts w:asciiTheme="minorHAnsi" w:hAnsiTheme="minorHAnsi" w:cstheme="minorHAnsi"/>
                <w:sz w:val="18"/>
              </w:rPr>
            </w:pPr>
            <w:r>
              <w:rPr>
                <w:rFonts w:asciiTheme="minorHAnsi" w:hAnsiTheme="minorHAnsi" w:cstheme="minorHAnsi"/>
                <w:sz w:val="18"/>
              </w:rPr>
              <w:t>6 000,00</w:t>
            </w:r>
          </w:p>
        </w:tc>
        <w:tc>
          <w:tcPr>
            <w:tcW w:w="1001" w:type="dxa"/>
            <w:gridSpan w:val="8"/>
            <w:tcBorders>
              <w:top w:val="single" w:sz="4" w:space="0" w:color="auto"/>
              <w:left w:val="single" w:sz="4" w:space="0" w:color="auto"/>
              <w:bottom w:val="single" w:sz="4" w:space="0" w:color="auto"/>
              <w:right w:val="single" w:sz="4" w:space="0" w:color="auto"/>
            </w:tcBorders>
          </w:tcPr>
          <w:p w:rsidR="00E8229C" w:rsidRDefault="00E8229C" w:rsidP="00396065">
            <w:pPr>
              <w:jc w:val="center"/>
              <w:rPr>
                <w:rFonts w:asciiTheme="minorHAnsi" w:hAnsiTheme="minorHAnsi" w:cstheme="minorHAnsi"/>
                <w:sz w:val="18"/>
              </w:rPr>
            </w:pPr>
            <w:r>
              <w:rPr>
                <w:rFonts w:asciiTheme="minorHAnsi" w:hAnsiTheme="minorHAnsi" w:cstheme="minorHAnsi"/>
                <w:sz w:val="18"/>
              </w:rPr>
              <w:t>0,00</w:t>
            </w:r>
          </w:p>
        </w:tc>
        <w:tc>
          <w:tcPr>
            <w:tcW w:w="3827" w:type="dxa"/>
            <w:gridSpan w:val="21"/>
            <w:tcBorders>
              <w:top w:val="single" w:sz="4" w:space="0" w:color="auto"/>
              <w:left w:val="single" w:sz="4" w:space="0" w:color="auto"/>
              <w:bottom w:val="single" w:sz="4" w:space="0" w:color="auto"/>
              <w:right w:val="single" w:sz="4" w:space="0" w:color="auto"/>
            </w:tcBorders>
          </w:tcPr>
          <w:p w:rsidR="00E8229C" w:rsidRDefault="00E8229C" w:rsidP="00396065">
            <w:pPr>
              <w:jc w:val="both"/>
              <w:rPr>
                <w:rFonts w:asciiTheme="minorHAnsi" w:hAnsiTheme="minorHAnsi" w:cstheme="minorHAnsi"/>
                <w:b/>
                <w:sz w:val="18"/>
                <w:u w:val="single"/>
              </w:rPr>
            </w:pPr>
            <w:r>
              <w:rPr>
                <w:rFonts w:asciiTheme="minorHAnsi" w:hAnsiTheme="minorHAnsi" w:cstheme="minorHAnsi"/>
                <w:b/>
                <w:sz w:val="18"/>
                <w:u w:val="single"/>
              </w:rPr>
              <w:t>Dopravní prostředky</w:t>
            </w:r>
          </w:p>
          <w:p w:rsidR="00E8229C" w:rsidRPr="00E8229C" w:rsidRDefault="00C80681" w:rsidP="00396065">
            <w:pPr>
              <w:jc w:val="both"/>
              <w:rPr>
                <w:rFonts w:asciiTheme="minorHAnsi" w:hAnsiTheme="minorHAnsi" w:cstheme="minorHAnsi"/>
                <w:sz w:val="18"/>
              </w:rPr>
            </w:pPr>
            <w:r>
              <w:rPr>
                <w:rFonts w:asciiTheme="minorHAnsi" w:hAnsiTheme="minorHAnsi" w:cstheme="minorHAnsi"/>
                <w:sz w:val="18"/>
              </w:rPr>
              <w:t>Nová cisterna JSDH Vrahovice realizace v průběhu roku 2023.</w:t>
            </w:r>
          </w:p>
        </w:tc>
      </w:tr>
      <w:tr w:rsidR="00E8229C" w:rsidRPr="006E55BA" w:rsidTr="00E8229C">
        <w:trPr>
          <w:gridAfter w:val="11"/>
          <w:wAfter w:w="3580" w:type="dxa"/>
        </w:trPr>
        <w:tc>
          <w:tcPr>
            <w:tcW w:w="918" w:type="dxa"/>
            <w:gridSpan w:val="2"/>
            <w:tcBorders>
              <w:top w:val="single" w:sz="4" w:space="0" w:color="auto"/>
              <w:left w:val="single" w:sz="4" w:space="0" w:color="auto"/>
              <w:bottom w:val="single" w:sz="4" w:space="0" w:color="auto"/>
              <w:right w:val="single" w:sz="4" w:space="0" w:color="auto"/>
            </w:tcBorders>
          </w:tcPr>
          <w:p w:rsidR="00E8229C" w:rsidRDefault="00E8229C" w:rsidP="00396065">
            <w:pPr>
              <w:jc w:val="center"/>
              <w:rPr>
                <w:rFonts w:asciiTheme="minorHAnsi" w:hAnsiTheme="minorHAnsi" w:cstheme="minorHAnsi"/>
                <w:sz w:val="18"/>
              </w:rPr>
            </w:pPr>
            <w:r>
              <w:rPr>
                <w:rFonts w:asciiTheme="minorHAnsi" w:hAnsiTheme="minorHAnsi" w:cstheme="minorHAnsi"/>
                <w:sz w:val="18"/>
              </w:rPr>
              <w:t>5512</w:t>
            </w:r>
          </w:p>
        </w:tc>
        <w:tc>
          <w:tcPr>
            <w:tcW w:w="851" w:type="dxa"/>
            <w:gridSpan w:val="3"/>
            <w:tcBorders>
              <w:top w:val="single" w:sz="4" w:space="0" w:color="auto"/>
              <w:left w:val="single" w:sz="4" w:space="0" w:color="auto"/>
              <w:bottom w:val="single" w:sz="4" w:space="0" w:color="auto"/>
              <w:right w:val="single" w:sz="4" w:space="0" w:color="auto"/>
            </w:tcBorders>
          </w:tcPr>
          <w:p w:rsidR="00E8229C" w:rsidRDefault="00E8229C" w:rsidP="00396065">
            <w:pPr>
              <w:jc w:val="center"/>
              <w:rPr>
                <w:rFonts w:asciiTheme="minorHAnsi" w:hAnsiTheme="minorHAnsi" w:cstheme="minorHAnsi"/>
                <w:sz w:val="18"/>
              </w:rPr>
            </w:pPr>
            <w:r>
              <w:rPr>
                <w:rFonts w:asciiTheme="minorHAnsi" w:hAnsiTheme="minorHAnsi" w:cstheme="minorHAnsi"/>
                <w:sz w:val="18"/>
              </w:rPr>
              <w:t>6123</w:t>
            </w:r>
          </w:p>
        </w:tc>
        <w:tc>
          <w:tcPr>
            <w:tcW w:w="1492" w:type="dxa"/>
            <w:gridSpan w:val="7"/>
            <w:tcBorders>
              <w:top w:val="single" w:sz="4" w:space="0" w:color="auto"/>
              <w:left w:val="single" w:sz="4" w:space="0" w:color="auto"/>
              <w:bottom w:val="single" w:sz="4" w:space="0" w:color="auto"/>
              <w:right w:val="single" w:sz="4" w:space="0" w:color="auto"/>
            </w:tcBorders>
          </w:tcPr>
          <w:p w:rsidR="00E8229C" w:rsidRDefault="00E8229C" w:rsidP="00396065">
            <w:pPr>
              <w:jc w:val="center"/>
              <w:rPr>
                <w:rFonts w:asciiTheme="minorHAnsi" w:hAnsiTheme="minorHAnsi" w:cstheme="minorHAnsi"/>
                <w:sz w:val="18"/>
              </w:rPr>
            </w:pPr>
            <w:r>
              <w:rPr>
                <w:rFonts w:asciiTheme="minorHAnsi" w:hAnsiTheme="minorHAnsi" w:cstheme="minorHAnsi"/>
                <w:sz w:val="18"/>
              </w:rPr>
              <w:t>0120000000000</w:t>
            </w:r>
          </w:p>
        </w:tc>
        <w:tc>
          <w:tcPr>
            <w:tcW w:w="773" w:type="dxa"/>
            <w:gridSpan w:val="5"/>
            <w:tcBorders>
              <w:top w:val="single" w:sz="4" w:space="0" w:color="auto"/>
              <w:left w:val="single" w:sz="4" w:space="0" w:color="auto"/>
              <w:bottom w:val="single" w:sz="4" w:space="0" w:color="auto"/>
              <w:right w:val="single" w:sz="4" w:space="0" w:color="auto"/>
            </w:tcBorders>
          </w:tcPr>
          <w:p w:rsidR="00E8229C" w:rsidRPr="00091F65" w:rsidRDefault="00E8229C" w:rsidP="00396065">
            <w:pPr>
              <w:jc w:val="center"/>
              <w:rPr>
                <w:rFonts w:asciiTheme="minorHAnsi" w:hAnsiTheme="minorHAnsi" w:cstheme="minorHAnsi"/>
                <w:sz w:val="18"/>
              </w:rPr>
            </w:pPr>
            <w:r>
              <w:rPr>
                <w:rFonts w:asciiTheme="minorHAnsi" w:hAnsiTheme="minorHAnsi" w:cstheme="minorHAnsi"/>
                <w:sz w:val="18"/>
              </w:rPr>
              <w:t>415</w:t>
            </w:r>
          </w:p>
        </w:tc>
        <w:tc>
          <w:tcPr>
            <w:tcW w:w="920" w:type="dxa"/>
            <w:gridSpan w:val="3"/>
            <w:tcBorders>
              <w:top w:val="single" w:sz="4" w:space="0" w:color="auto"/>
              <w:left w:val="single" w:sz="4" w:space="0" w:color="auto"/>
              <w:bottom w:val="single" w:sz="4" w:space="0" w:color="auto"/>
              <w:right w:val="single" w:sz="4" w:space="0" w:color="auto"/>
            </w:tcBorders>
          </w:tcPr>
          <w:p w:rsidR="00E8229C" w:rsidRDefault="00E8229C" w:rsidP="00396065">
            <w:pPr>
              <w:jc w:val="center"/>
              <w:rPr>
                <w:rFonts w:asciiTheme="minorHAnsi" w:hAnsiTheme="minorHAnsi" w:cstheme="minorHAnsi"/>
                <w:sz w:val="18"/>
              </w:rPr>
            </w:pPr>
            <w:r>
              <w:rPr>
                <w:rFonts w:asciiTheme="minorHAnsi" w:hAnsiTheme="minorHAnsi" w:cstheme="minorHAnsi"/>
                <w:sz w:val="18"/>
              </w:rPr>
              <w:t>300</w:t>
            </w:r>
            <w:r w:rsidR="00791861">
              <w:rPr>
                <w:rFonts w:asciiTheme="minorHAnsi" w:hAnsiTheme="minorHAnsi" w:cstheme="minorHAnsi"/>
                <w:sz w:val="18"/>
              </w:rPr>
              <w:t>,00</w:t>
            </w:r>
          </w:p>
        </w:tc>
        <w:tc>
          <w:tcPr>
            <w:tcW w:w="1001" w:type="dxa"/>
            <w:gridSpan w:val="8"/>
            <w:tcBorders>
              <w:top w:val="single" w:sz="4" w:space="0" w:color="auto"/>
              <w:left w:val="single" w:sz="4" w:space="0" w:color="auto"/>
              <w:bottom w:val="single" w:sz="4" w:space="0" w:color="auto"/>
              <w:right w:val="single" w:sz="4" w:space="0" w:color="auto"/>
            </w:tcBorders>
          </w:tcPr>
          <w:p w:rsidR="00E8229C" w:rsidRDefault="00E8229C" w:rsidP="00396065">
            <w:pPr>
              <w:jc w:val="center"/>
              <w:rPr>
                <w:rFonts w:asciiTheme="minorHAnsi" w:hAnsiTheme="minorHAnsi" w:cstheme="minorHAnsi"/>
                <w:sz w:val="18"/>
              </w:rPr>
            </w:pPr>
            <w:r>
              <w:rPr>
                <w:rFonts w:asciiTheme="minorHAnsi" w:hAnsiTheme="minorHAnsi" w:cstheme="minorHAnsi"/>
                <w:sz w:val="18"/>
              </w:rPr>
              <w:t>0,00</w:t>
            </w:r>
          </w:p>
        </w:tc>
        <w:tc>
          <w:tcPr>
            <w:tcW w:w="3827" w:type="dxa"/>
            <w:gridSpan w:val="21"/>
            <w:tcBorders>
              <w:top w:val="single" w:sz="4" w:space="0" w:color="auto"/>
              <w:left w:val="single" w:sz="4" w:space="0" w:color="auto"/>
              <w:bottom w:val="single" w:sz="4" w:space="0" w:color="auto"/>
              <w:right w:val="single" w:sz="4" w:space="0" w:color="auto"/>
            </w:tcBorders>
          </w:tcPr>
          <w:p w:rsidR="00E8229C" w:rsidRDefault="00E8229C" w:rsidP="00396065">
            <w:pPr>
              <w:jc w:val="both"/>
              <w:rPr>
                <w:rFonts w:asciiTheme="minorHAnsi" w:hAnsiTheme="minorHAnsi" w:cstheme="minorHAnsi"/>
                <w:b/>
                <w:sz w:val="18"/>
                <w:u w:val="single"/>
              </w:rPr>
            </w:pPr>
            <w:r>
              <w:rPr>
                <w:rFonts w:asciiTheme="minorHAnsi" w:hAnsiTheme="minorHAnsi" w:cstheme="minorHAnsi"/>
                <w:b/>
                <w:sz w:val="18"/>
                <w:u w:val="single"/>
              </w:rPr>
              <w:t>Pořízení auta pro JSDH</w:t>
            </w:r>
          </w:p>
          <w:p w:rsidR="00E8229C" w:rsidRPr="00E8229C" w:rsidRDefault="00C80681" w:rsidP="00396065">
            <w:pPr>
              <w:jc w:val="both"/>
              <w:rPr>
                <w:rFonts w:asciiTheme="minorHAnsi" w:hAnsiTheme="minorHAnsi" w:cstheme="minorHAnsi"/>
                <w:sz w:val="18"/>
              </w:rPr>
            </w:pPr>
            <w:r>
              <w:rPr>
                <w:rFonts w:asciiTheme="minorHAnsi" w:hAnsiTheme="minorHAnsi" w:cstheme="minorHAnsi"/>
                <w:sz w:val="18"/>
              </w:rPr>
              <w:t>Dotace z OLK na CAS pro JSDH Vrahovice, realizace v průběhu roku 2023.</w:t>
            </w:r>
          </w:p>
        </w:tc>
      </w:tr>
    </w:tbl>
    <w:p w:rsidR="00771E88" w:rsidRDefault="00771E88" w:rsidP="000A4721">
      <w:pPr>
        <w:autoSpaceDE w:val="0"/>
        <w:autoSpaceDN w:val="0"/>
        <w:rPr>
          <w:rFonts w:ascii="Calibri" w:hAnsi="Calibri" w:cs="Calibri"/>
          <w:color w:val="A6A6A6" w:themeColor="background1" w:themeShade="A6"/>
          <w:sz w:val="20"/>
          <w:szCs w:val="20"/>
        </w:rPr>
      </w:pPr>
    </w:p>
    <w:p w:rsidR="00396065" w:rsidRDefault="00396065" w:rsidP="004048EF">
      <w:pPr>
        <w:rPr>
          <w:rFonts w:asciiTheme="minorHAnsi" w:hAnsiTheme="minorHAnsi" w:cstheme="minorHAnsi"/>
          <w:b/>
          <w:sz w:val="18"/>
        </w:rPr>
      </w:pPr>
      <w:r>
        <w:rPr>
          <w:rFonts w:asciiTheme="minorHAnsi" w:hAnsiTheme="minorHAnsi" w:cstheme="minorHAnsi"/>
          <w:b/>
          <w:sz w:val="18"/>
        </w:rPr>
        <w:t>Přehled schválených rozpočtových opatření k 31.</w:t>
      </w:r>
      <w:r w:rsidR="008F4311">
        <w:rPr>
          <w:rFonts w:asciiTheme="minorHAnsi" w:hAnsiTheme="minorHAnsi" w:cstheme="minorHAnsi"/>
          <w:b/>
          <w:sz w:val="18"/>
        </w:rPr>
        <w:t xml:space="preserve"> </w:t>
      </w:r>
      <w:r>
        <w:rPr>
          <w:rFonts w:asciiTheme="minorHAnsi" w:hAnsiTheme="minorHAnsi" w:cstheme="minorHAnsi"/>
          <w:b/>
          <w:sz w:val="18"/>
        </w:rPr>
        <w:t>12. 202</w:t>
      </w:r>
      <w:r w:rsidR="008F4311">
        <w:rPr>
          <w:rFonts w:asciiTheme="minorHAnsi" w:hAnsiTheme="minorHAnsi" w:cstheme="minorHAnsi"/>
          <w:b/>
          <w:sz w:val="18"/>
        </w:rPr>
        <w:t>2</w:t>
      </w:r>
      <w:r>
        <w:rPr>
          <w:rFonts w:asciiTheme="minorHAnsi" w:hAnsiTheme="minorHAnsi" w:cstheme="minorHAnsi"/>
          <w:b/>
          <w:sz w:val="18"/>
        </w:rPr>
        <w:t>:</w:t>
      </w:r>
    </w:p>
    <w:tbl>
      <w:tblPr>
        <w:tblStyle w:val="Mkatabulky"/>
        <w:tblW w:w="9776" w:type="dxa"/>
        <w:tblLook w:val="04A0" w:firstRow="1" w:lastRow="0" w:firstColumn="1" w:lastColumn="0" w:noHBand="0" w:noVBand="1"/>
      </w:tblPr>
      <w:tblGrid>
        <w:gridCol w:w="742"/>
        <w:gridCol w:w="1238"/>
        <w:gridCol w:w="1417"/>
        <w:gridCol w:w="4536"/>
        <w:gridCol w:w="1843"/>
      </w:tblGrid>
      <w:tr w:rsidR="00396065" w:rsidTr="002E388D">
        <w:tc>
          <w:tcPr>
            <w:tcW w:w="742" w:type="dxa"/>
            <w:shd w:val="clear" w:color="auto" w:fill="E2EFD9" w:themeFill="accent6" w:themeFillTint="33"/>
            <w:vAlign w:val="center"/>
          </w:tcPr>
          <w:p w:rsidR="00396065" w:rsidRDefault="00396065" w:rsidP="00396065">
            <w:pPr>
              <w:jc w:val="center"/>
              <w:rPr>
                <w:rFonts w:asciiTheme="minorHAnsi" w:hAnsiTheme="minorHAnsi" w:cstheme="minorHAnsi"/>
                <w:b/>
                <w:sz w:val="18"/>
              </w:rPr>
            </w:pPr>
            <w:r>
              <w:rPr>
                <w:rFonts w:asciiTheme="minorHAnsi" w:hAnsiTheme="minorHAnsi" w:cstheme="minorHAnsi"/>
                <w:b/>
                <w:sz w:val="18"/>
              </w:rPr>
              <w:t>Usn.č.</w:t>
            </w:r>
          </w:p>
        </w:tc>
        <w:tc>
          <w:tcPr>
            <w:tcW w:w="1238" w:type="dxa"/>
            <w:shd w:val="clear" w:color="auto" w:fill="E2EFD9" w:themeFill="accent6" w:themeFillTint="33"/>
            <w:vAlign w:val="center"/>
          </w:tcPr>
          <w:p w:rsidR="00396065" w:rsidRDefault="00396065" w:rsidP="00396065">
            <w:pPr>
              <w:jc w:val="center"/>
              <w:rPr>
                <w:rFonts w:asciiTheme="minorHAnsi" w:hAnsiTheme="minorHAnsi" w:cstheme="minorHAnsi"/>
                <w:b/>
                <w:sz w:val="18"/>
              </w:rPr>
            </w:pPr>
            <w:r>
              <w:rPr>
                <w:rFonts w:asciiTheme="minorHAnsi" w:hAnsiTheme="minorHAnsi" w:cstheme="minorHAnsi"/>
                <w:b/>
                <w:sz w:val="18"/>
              </w:rPr>
              <w:t>Datum</w:t>
            </w:r>
          </w:p>
        </w:tc>
        <w:tc>
          <w:tcPr>
            <w:tcW w:w="1417" w:type="dxa"/>
            <w:shd w:val="clear" w:color="auto" w:fill="E2EFD9" w:themeFill="accent6" w:themeFillTint="33"/>
            <w:vAlign w:val="center"/>
          </w:tcPr>
          <w:p w:rsidR="00396065" w:rsidRDefault="00396065" w:rsidP="00396065">
            <w:pPr>
              <w:jc w:val="center"/>
              <w:rPr>
                <w:rFonts w:asciiTheme="minorHAnsi" w:hAnsiTheme="minorHAnsi" w:cstheme="minorHAnsi"/>
                <w:b/>
                <w:sz w:val="18"/>
              </w:rPr>
            </w:pPr>
            <w:r>
              <w:rPr>
                <w:rFonts w:asciiTheme="minorHAnsi" w:hAnsiTheme="minorHAnsi" w:cstheme="minorHAnsi"/>
                <w:b/>
                <w:sz w:val="18"/>
              </w:rPr>
              <w:t>Částka v tis. Kč</w:t>
            </w:r>
          </w:p>
        </w:tc>
        <w:tc>
          <w:tcPr>
            <w:tcW w:w="4536" w:type="dxa"/>
            <w:shd w:val="clear" w:color="auto" w:fill="E2EFD9" w:themeFill="accent6" w:themeFillTint="33"/>
            <w:vAlign w:val="center"/>
          </w:tcPr>
          <w:p w:rsidR="00396065" w:rsidRDefault="00396065" w:rsidP="00396065">
            <w:pPr>
              <w:jc w:val="center"/>
              <w:rPr>
                <w:rFonts w:asciiTheme="minorHAnsi" w:hAnsiTheme="minorHAnsi" w:cstheme="minorHAnsi"/>
                <w:b/>
                <w:sz w:val="18"/>
              </w:rPr>
            </w:pPr>
            <w:r>
              <w:rPr>
                <w:rFonts w:asciiTheme="minorHAnsi" w:hAnsiTheme="minorHAnsi" w:cstheme="minorHAnsi"/>
                <w:b/>
                <w:sz w:val="18"/>
              </w:rPr>
              <w:t>Rozpočtové opatření</w:t>
            </w:r>
          </w:p>
        </w:tc>
        <w:tc>
          <w:tcPr>
            <w:tcW w:w="1843" w:type="dxa"/>
            <w:shd w:val="clear" w:color="auto" w:fill="E2EFD9" w:themeFill="accent6" w:themeFillTint="33"/>
            <w:vAlign w:val="center"/>
          </w:tcPr>
          <w:p w:rsidR="00396065" w:rsidRDefault="00396065" w:rsidP="00396065">
            <w:pPr>
              <w:jc w:val="center"/>
              <w:rPr>
                <w:rFonts w:asciiTheme="minorHAnsi" w:hAnsiTheme="minorHAnsi" w:cstheme="minorHAnsi"/>
                <w:b/>
                <w:sz w:val="18"/>
              </w:rPr>
            </w:pPr>
            <w:r>
              <w:rPr>
                <w:rFonts w:asciiTheme="minorHAnsi" w:hAnsiTheme="minorHAnsi" w:cstheme="minorHAnsi"/>
                <w:b/>
                <w:sz w:val="18"/>
              </w:rPr>
              <w:t>Stupeň realizace</w:t>
            </w:r>
          </w:p>
        </w:tc>
      </w:tr>
      <w:tr w:rsidR="00396065" w:rsidTr="002E388D">
        <w:tc>
          <w:tcPr>
            <w:tcW w:w="742" w:type="dxa"/>
          </w:tcPr>
          <w:p w:rsidR="00396065" w:rsidRPr="00590A57" w:rsidRDefault="008F4311" w:rsidP="00396065">
            <w:pPr>
              <w:jc w:val="center"/>
              <w:rPr>
                <w:rFonts w:asciiTheme="minorHAnsi" w:hAnsiTheme="minorHAnsi" w:cstheme="minorHAnsi"/>
                <w:sz w:val="18"/>
              </w:rPr>
            </w:pPr>
            <w:r>
              <w:rPr>
                <w:rFonts w:asciiTheme="minorHAnsi" w:hAnsiTheme="minorHAnsi" w:cstheme="minorHAnsi"/>
                <w:sz w:val="18"/>
              </w:rPr>
              <w:t>110/07</w:t>
            </w:r>
          </w:p>
        </w:tc>
        <w:tc>
          <w:tcPr>
            <w:tcW w:w="1238" w:type="dxa"/>
          </w:tcPr>
          <w:p w:rsidR="00396065" w:rsidRPr="00590A57" w:rsidRDefault="008F4311" w:rsidP="00396065">
            <w:pPr>
              <w:jc w:val="center"/>
              <w:rPr>
                <w:rFonts w:asciiTheme="minorHAnsi" w:hAnsiTheme="minorHAnsi" w:cstheme="minorHAnsi"/>
                <w:sz w:val="18"/>
              </w:rPr>
            </w:pPr>
            <w:r>
              <w:rPr>
                <w:rFonts w:asciiTheme="minorHAnsi" w:hAnsiTheme="minorHAnsi" w:cstheme="minorHAnsi"/>
                <w:sz w:val="18"/>
              </w:rPr>
              <w:t>8. 3. 2022</w:t>
            </w:r>
          </w:p>
        </w:tc>
        <w:tc>
          <w:tcPr>
            <w:tcW w:w="1417" w:type="dxa"/>
          </w:tcPr>
          <w:p w:rsidR="00396065" w:rsidRPr="00590A57" w:rsidRDefault="008F4311" w:rsidP="00396065">
            <w:pPr>
              <w:jc w:val="center"/>
              <w:rPr>
                <w:rFonts w:asciiTheme="minorHAnsi" w:hAnsiTheme="minorHAnsi" w:cstheme="minorHAnsi"/>
                <w:sz w:val="18"/>
              </w:rPr>
            </w:pPr>
            <w:r>
              <w:rPr>
                <w:rFonts w:asciiTheme="minorHAnsi" w:hAnsiTheme="minorHAnsi" w:cstheme="minorHAnsi"/>
                <w:sz w:val="18"/>
              </w:rPr>
              <w:t>500,00</w:t>
            </w:r>
          </w:p>
        </w:tc>
        <w:tc>
          <w:tcPr>
            <w:tcW w:w="4536" w:type="dxa"/>
          </w:tcPr>
          <w:p w:rsidR="00396065" w:rsidRPr="00590A57" w:rsidRDefault="008F4311" w:rsidP="008F4311">
            <w:pPr>
              <w:rPr>
                <w:rFonts w:asciiTheme="minorHAnsi" w:hAnsiTheme="minorHAnsi" w:cstheme="minorHAnsi"/>
                <w:sz w:val="18"/>
              </w:rPr>
            </w:pPr>
            <w:r>
              <w:rPr>
                <w:rFonts w:asciiTheme="minorHAnsi" w:hAnsiTheme="minorHAnsi" w:cstheme="minorHAnsi"/>
                <w:sz w:val="18"/>
              </w:rPr>
              <w:t xml:space="preserve">Navýšení položky opravy a udržování, </w:t>
            </w:r>
            <w:r w:rsidRPr="008F4311">
              <w:rPr>
                <w:rFonts w:asciiTheme="minorHAnsi" w:hAnsiTheme="minorHAnsi" w:cstheme="minorHAnsi"/>
                <w:sz w:val="18"/>
              </w:rPr>
              <w:t>potřebn</w:t>
            </w:r>
            <w:r>
              <w:rPr>
                <w:rFonts w:asciiTheme="minorHAnsi" w:hAnsiTheme="minorHAnsi" w:cstheme="minorHAnsi"/>
                <w:sz w:val="18"/>
              </w:rPr>
              <w:t xml:space="preserve">é </w:t>
            </w:r>
            <w:r w:rsidRPr="008F4311">
              <w:rPr>
                <w:rFonts w:asciiTheme="minorHAnsi" w:hAnsiTheme="minorHAnsi" w:cstheme="minorHAnsi"/>
                <w:sz w:val="18"/>
              </w:rPr>
              <w:t>v souvislosti s krizovým řízením</w:t>
            </w:r>
            <w:r w:rsidR="00692D6A">
              <w:rPr>
                <w:rFonts w:asciiTheme="minorHAnsi" w:hAnsiTheme="minorHAnsi" w:cstheme="minorHAnsi"/>
                <w:sz w:val="18"/>
              </w:rPr>
              <w:t>.</w:t>
            </w:r>
          </w:p>
        </w:tc>
        <w:tc>
          <w:tcPr>
            <w:tcW w:w="1843" w:type="dxa"/>
          </w:tcPr>
          <w:p w:rsidR="00396065" w:rsidRPr="009D61FA" w:rsidRDefault="00396065" w:rsidP="00396065">
            <w:pPr>
              <w:rPr>
                <w:rFonts w:asciiTheme="minorHAnsi" w:hAnsiTheme="minorHAnsi" w:cstheme="minorHAnsi"/>
                <w:b/>
                <w:sz w:val="18"/>
              </w:rPr>
            </w:pPr>
          </w:p>
        </w:tc>
      </w:tr>
      <w:tr w:rsidR="008F4311" w:rsidTr="002E388D">
        <w:tc>
          <w:tcPr>
            <w:tcW w:w="742" w:type="dxa"/>
          </w:tcPr>
          <w:p w:rsidR="008F4311" w:rsidRDefault="008F4311" w:rsidP="00396065">
            <w:pPr>
              <w:jc w:val="center"/>
              <w:rPr>
                <w:rFonts w:asciiTheme="minorHAnsi" w:hAnsiTheme="minorHAnsi" w:cstheme="minorHAnsi"/>
                <w:sz w:val="18"/>
              </w:rPr>
            </w:pPr>
            <w:r>
              <w:rPr>
                <w:rFonts w:asciiTheme="minorHAnsi" w:hAnsiTheme="minorHAnsi" w:cstheme="minorHAnsi"/>
                <w:sz w:val="18"/>
              </w:rPr>
              <w:t>121/03</w:t>
            </w:r>
          </w:p>
        </w:tc>
        <w:tc>
          <w:tcPr>
            <w:tcW w:w="1238" w:type="dxa"/>
          </w:tcPr>
          <w:p w:rsidR="008F4311" w:rsidRDefault="008F4311" w:rsidP="00396065">
            <w:pPr>
              <w:jc w:val="center"/>
              <w:rPr>
                <w:rFonts w:asciiTheme="minorHAnsi" w:hAnsiTheme="minorHAnsi" w:cstheme="minorHAnsi"/>
                <w:sz w:val="18"/>
              </w:rPr>
            </w:pPr>
            <w:r>
              <w:rPr>
                <w:rFonts w:asciiTheme="minorHAnsi" w:hAnsiTheme="minorHAnsi" w:cstheme="minorHAnsi"/>
                <w:sz w:val="18"/>
              </w:rPr>
              <w:t>2. 8. 2022</w:t>
            </w:r>
          </w:p>
        </w:tc>
        <w:tc>
          <w:tcPr>
            <w:tcW w:w="1417" w:type="dxa"/>
          </w:tcPr>
          <w:p w:rsidR="008F4311" w:rsidRDefault="00692D6A" w:rsidP="00396065">
            <w:pPr>
              <w:jc w:val="center"/>
              <w:rPr>
                <w:rFonts w:asciiTheme="minorHAnsi" w:hAnsiTheme="minorHAnsi" w:cstheme="minorHAnsi"/>
                <w:sz w:val="18"/>
              </w:rPr>
            </w:pPr>
            <w:r>
              <w:rPr>
                <w:rFonts w:asciiTheme="minorHAnsi" w:hAnsiTheme="minorHAnsi" w:cstheme="minorHAnsi"/>
                <w:sz w:val="18"/>
              </w:rPr>
              <w:t>45,00</w:t>
            </w:r>
          </w:p>
        </w:tc>
        <w:tc>
          <w:tcPr>
            <w:tcW w:w="4536" w:type="dxa"/>
          </w:tcPr>
          <w:p w:rsidR="008F4311" w:rsidRDefault="00692D6A" w:rsidP="008F4311">
            <w:pPr>
              <w:rPr>
                <w:rFonts w:asciiTheme="minorHAnsi" w:hAnsiTheme="minorHAnsi" w:cstheme="minorHAnsi"/>
                <w:sz w:val="18"/>
              </w:rPr>
            </w:pPr>
            <w:r>
              <w:rPr>
                <w:rFonts w:asciiTheme="minorHAnsi" w:hAnsiTheme="minorHAnsi" w:cstheme="minorHAnsi"/>
                <w:sz w:val="18"/>
              </w:rPr>
              <w:t>Navýšení položky pohonné hmoty a maziva.</w:t>
            </w:r>
          </w:p>
        </w:tc>
        <w:tc>
          <w:tcPr>
            <w:tcW w:w="1843" w:type="dxa"/>
          </w:tcPr>
          <w:p w:rsidR="008F4311" w:rsidRPr="009D61FA" w:rsidRDefault="008F4311" w:rsidP="00396065">
            <w:pPr>
              <w:rPr>
                <w:rFonts w:asciiTheme="minorHAnsi" w:hAnsiTheme="minorHAnsi" w:cstheme="minorHAnsi"/>
                <w:b/>
                <w:sz w:val="18"/>
              </w:rPr>
            </w:pPr>
          </w:p>
        </w:tc>
      </w:tr>
      <w:tr w:rsidR="008F4311" w:rsidTr="002E388D">
        <w:tc>
          <w:tcPr>
            <w:tcW w:w="742" w:type="dxa"/>
          </w:tcPr>
          <w:p w:rsidR="008F4311" w:rsidRDefault="008F4311" w:rsidP="00396065">
            <w:pPr>
              <w:jc w:val="center"/>
              <w:rPr>
                <w:rFonts w:asciiTheme="minorHAnsi" w:hAnsiTheme="minorHAnsi" w:cstheme="minorHAnsi"/>
                <w:sz w:val="18"/>
              </w:rPr>
            </w:pPr>
            <w:r>
              <w:rPr>
                <w:rFonts w:asciiTheme="minorHAnsi" w:hAnsiTheme="minorHAnsi" w:cstheme="minorHAnsi"/>
                <w:sz w:val="18"/>
              </w:rPr>
              <w:t>121/04</w:t>
            </w:r>
          </w:p>
        </w:tc>
        <w:tc>
          <w:tcPr>
            <w:tcW w:w="1238" w:type="dxa"/>
          </w:tcPr>
          <w:p w:rsidR="008F4311" w:rsidRDefault="008F4311" w:rsidP="00396065">
            <w:pPr>
              <w:jc w:val="center"/>
              <w:rPr>
                <w:rFonts w:asciiTheme="minorHAnsi" w:hAnsiTheme="minorHAnsi" w:cstheme="minorHAnsi"/>
                <w:sz w:val="18"/>
              </w:rPr>
            </w:pPr>
            <w:r>
              <w:rPr>
                <w:rFonts w:asciiTheme="minorHAnsi" w:hAnsiTheme="minorHAnsi" w:cstheme="minorHAnsi"/>
                <w:sz w:val="18"/>
              </w:rPr>
              <w:t>2. 8. 2022</w:t>
            </w:r>
          </w:p>
        </w:tc>
        <w:tc>
          <w:tcPr>
            <w:tcW w:w="1417" w:type="dxa"/>
          </w:tcPr>
          <w:p w:rsidR="008F4311" w:rsidRDefault="00692D6A" w:rsidP="00396065">
            <w:pPr>
              <w:jc w:val="center"/>
              <w:rPr>
                <w:rFonts w:asciiTheme="minorHAnsi" w:hAnsiTheme="minorHAnsi" w:cstheme="minorHAnsi"/>
                <w:sz w:val="18"/>
              </w:rPr>
            </w:pPr>
            <w:r>
              <w:rPr>
                <w:rFonts w:asciiTheme="minorHAnsi" w:hAnsiTheme="minorHAnsi" w:cstheme="minorHAnsi"/>
                <w:sz w:val="18"/>
              </w:rPr>
              <w:t>72,80</w:t>
            </w:r>
          </w:p>
        </w:tc>
        <w:tc>
          <w:tcPr>
            <w:tcW w:w="4536" w:type="dxa"/>
          </w:tcPr>
          <w:p w:rsidR="008F4311" w:rsidRDefault="00692D6A" w:rsidP="008F4311">
            <w:pPr>
              <w:rPr>
                <w:rFonts w:asciiTheme="minorHAnsi" w:hAnsiTheme="minorHAnsi" w:cstheme="minorHAnsi"/>
                <w:sz w:val="18"/>
              </w:rPr>
            </w:pPr>
            <w:r>
              <w:rPr>
                <w:rFonts w:asciiTheme="minorHAnsi" w:hAnsiTheme="minorHAnsi" w:cstheme="minorHAnsi"/>
                <w:sz w:val="18"/>
              </w:rPr>
              <w:t>Příjem z pojistných plnění, navýšení položky ochranné pomůcky.</w:t>
            </w:r>
          </w:p>
        </w:tc>
        <w:tc>
          <w:tcPr>
            <w:tcW w:w="1843" w:type="dxa"/>
          </w:tcPr>
          <w:p w:rsidR="008F4311" w:rsidRPr="009D61FA" w:rsidRDefault="008F4311" w:rsidP="00396065">
            <w:pPr>
              <w:rPr>
                <w:rFonts w:asciiTheme="minorHAnsi" w:hAnsiTheme="minorHAnsi" w:cstheme="minorHAnsi"/>
                <w:b/>
                <w:sz w:val="18"/>
              </w:rPr>
            </w:pPr>
          </w:p>
        </w:tc>
      </w:tr>
      <w:tr w:rsidR="008F4311" w:rsidTr="002E388D">
        <w:tc>
          <w:tcPr>
            <w:tcW w:w="742" w:type="dxa"/>
          </w:tcPr>
          <w:p w:rsidR="008F4311" w:rsidRDefault="00692D6A" w:rsidP="00396065">
            <w:pPr>
              <w:jc w:val="center"/>
              <w:rPr>
                <w:rFonts w:asciiTheme="minorHAnsi" w:hAnsiTheme="minorHAnsi" w:cstheme="minorHAnsi"/>
                <w:sz w:val="18"/>
              </w:rPr>
            </w:pPr>
            <w:r>
              <w:rPr>
                <w:rFonts w:asciiTheme="minorHAnsi" w:hAnsiTheme="minorHAnsi" w:cstheme="minorHAnsi"/>
                <w:sz w:val="18"/>
              </w:rPr>
              <w:t>127/18</w:t>
            </w:r>
          </w:p>
        </w:tc>
        <w:tc>
          <w:tcPr>
            <w:tcW w:w="1238" w:type="dxa"/>
          </w:tcPr>
          <w:p w:rsidR="008F4311" w:rsidRDefault="00692D6A" w:rsidP="00396065">
            <w:pPr>
              <w:jc w:val="center"/>
              <w:rPr>
                <w:rFonts w:asciiTheme="minorHAnsi" w:hAnsiTheme="minorHAnsi" w:cstheme="minorHAnsi"/>
                <w:sz w:val="18"/>
              </w:rPr>
            </w:pPr>
            <w:r>
              <w:rPr>
                <w:rFonts w:asciiTheme="minorHAnsi" w:hAnsiTheme="minorHAnsi" w:cstheme="minorHAnsi"/>
                <w:sz w:val="18"/>
              </w:rPr>
              <w:t>19. 10. 2022</w:t>
            </w:r>
          </w:p>
        </w:tc>
        <w:tc>
          <w:tcPr>
            <w:tcW w:w="1417" w:type="dxa"/>
          </w:tcPr>
          <w:p w:rsidR="008F4311" w:rsidRDefault="00692D6A" w:rsidP="00396065">
            <w:pPr>
              <w:jc w:val="center"/>
              <w:rPr>
                <w:rFonts w:asciiTheme="minorHAnsi" w:hAnsiTheme="minorHAnsi" w:cstheme="minorHAnsi"/>
                <w:sz w:val="18"/>
              </w:rPr>
            </w:pPr>
            <w:r>
              <w:rPr>
                <w:rFonts w:asciiTheme="minorHAnsi" w:hAnsiTheme="minorHAnsi" w:cstheme="minorHAnsi"/>
                <w:sz w:val="18"/>
              </w:rPr>
              <w:t>31,54</w:t>
            </w:r>
          </w:p>
        </w:tc>
        <w:tc>
          <w:tcPr>
            <w:tcW w:w="4536" w:type="dxa"/>
          </w:tcPr>
          <w:p w:rsidR="008F4311" w:rsidRDefault="00692D6A" w:rsidP="008F4311">
            <w:pPr>
              <w:rPr>
                <w:rFonts w:asciiTheme="minorHAnsi" w:hAnsiTheme="minorHAnsi" w:cstheme="minorHAnsi"/>
                <w:sz w:val="18"/>
              </w:rPr>
            </w:pPr>
            <w:r>
              <w:rPr>
                <w:rFonts w:asciiTheme="minorHAnsi" w:hAnsiTheme="minorHAnsi" w:cstheme="minorHAnsi"/>
                <w:sz w:val="18"/>
              </w:rPr>
              <w:t>Přesun částky z neinvestičních položek na investiční – nákup kalového čerpadla pro JSDH Domamyslice.</w:t>
            </w:r>
          </w:p>
        </w:tc>
        <w:tc>
          <w:tcPr>
            <w:tcW w:w="1843" w:type="dxa"/>
          </w:tcPr>
          <w:p w:rsidR="008F4311" w:rsidRPr="009D61FA" w:rsidRDefault="008F4311" w:rsidP="00396065">
            <w:pPr>
              <w:rPr>
                <w:rFonts w:asciiTheme="minorHAnsi" w:hAnsiTheme="minorHAnsi" w:cstheme="minorHAnsi"/>
                <w:b/>
                <w:sz w:val="18"/>
              </w:rPr>
            </w:pPr>
          </w:p>
        </w:tc>
      </w:tr>
      <w:tr w:rsidR="00692D6A" w:rsidTr="002E388D">
        <w:tc>
          <w:tcPr>
            <w:tcW w:w="742" w:type="dxa"/>
          </w:tcPr>
          <w:p w:rsidR="00692D6A" w:rsidRDefault="00692D6A" w:rsidP="00396065">
            <w:pPr>
              <w:jc w:val="center"/>
              <w:rPr>
                <w:rFonts w:asciiTheme="minorHAnsi" w:hAnsiTheme="minorHAnsi" w:cstheme="minorHAnsi"/>
                <w:sz w:val="18"/>
              </w:rPr>
            </w:pPr>
            <w:r>
              <w:rPr>
                <w:rFonts w:asciiTheme="minorHAnsi" w:hAnsiTheme="minorHAnsi" w:cstheme="minorHAnsi"/>
                <w:sz w:val="18"/>
              </w:rPr>
              <w:t>4/10</w:t>
            </w:r>
          </w:p>
        </w:tc>
        <w:tc>
          <w:tcPr>
            <w:tcW w:w="1238" w:type="dxa"/>
          </w:tcPr>
          <w:p w:rsidR="00692D6A" w:rsidRDefault="00692D6A" w:rsidP="00396065">
            <w:pPr>
              <w:jc w:val="center"/>
              <w:rPr>
                <w:rFonts w:asciiTheme="minorHAnsi" w:hAnsiTheme="minorHAnsi" w:cstheme="minorHAnsi"/>
                <w:sz w:val="18"/>
              </w:rPr>
            </w:pPr>
            <w:r>
              <w:rPr>
                <w:rFonts w:asciiTheme="minorHAnsi" w:hAnsiTheme="minorHAnsi" w:cstheme="minorHAnsi"/>
                <w:sz w:val="18"/>
              </w:rPr>
              <w:t>30. 11. 2022</w:t>
            </w:r>
          </w:p>
        </w:tc>
        <w:tc>
          <w:tcPr>
            <w:tcW w:w="1417" w:type="dxa"/>
          </w:tcPr>
          <w:p w:rsidR="00692D6A" w:rsidRDefault="00692D6A" w:rsidP="00396065">
            <w:pPr>
              <w:jc w:val="center"/>
              <w:rPr>
                <w:rFonts w:asciiTheme="minorHAnsi" w:hAnsiTheme="minorHAnsi" w:cstheme="minorHAnsi"/>
                <w:sz w:val="18"/>
              </w:rPr>
            </w:pPr>
            <w:r>
              <w:rPr>
                <w:rFonts w:asciiTheme="minorHAnsi" w:hAnsiTheme="minorHAnsi" w:cstheme="minorHAnsi"/>
                <w:sz w:val="18"/>
              </w:rPr>
              <w:t>5,60</w:t>
            </w:r>
          </w:p>
        </w:tc>
        <w:tc>
          <w:tcPr>
            <w:tcW w:w="4536" w:type="dxa"/>
          </w:tcPr>
          <w:p w:rsidR="00692D6A" w:rsidRDefault="00692D6A" w:rsidP="008F4311">
            <w:pPr>
              <w:rPr>
                <w:rFonts w:asciiTheme="minorHAnsi" w:hAnsiTheme="minorHAnsi" w:cstheme="minorHAnsi"/>
                <w:sz w:val="18"/>
              </w:rPr>
            </w:pPr>
            <w:r>
              <w:rPr>
                <w:rFonts w:asciiTheme="minorHAnsi" w:hAnsiTheme="minorHAnsi" w:cstheme="minorHAnsi"/>
                <w:sz w:val="18"/>
              </w:rPr>
              <w:t>Příjem z pojistných plnění, navýšení položky ochranné pomůcky.</w:t>
            </w:r>
          </w:p>
        </w:tc>
        <w:tc>
          <w:tcPr>
            <w:tcW w:w="1843" w:type="dxa"/>
          </w:tcPr>
          <w:p w:rsidR="00692D6A" w:rsidRPr="009D61FA" w:rsidRDefault="00692D6A" w:rsidP="00396065">
            <w:pPr>
              <w:rPr>
                <w:rFonts w:asciiTheme="minorHAnsi" w:hAnsiTheme="minorHAnsi" w:cstheme="minorHAnsi"/>
                <w:b/>
                <w:sz w:val="18"/>
              </w:rPr>
            </w:pPr>
          </w:p>
        </w:tc>
      </w:tr>
      <w:tr w:rsidR="00396065" w:rsidRPr="009D61FA" w:rsidTr="002E388D">
        <w:tc>
          <w:tcPr>
            <w:tcW w:w="742" w:type="dxa"/>
          </w:tcPr>
          <w:p w:rsidR="00396065" w:rsidRPr="00590A57" w:rsidRDefault="00692D6A" w:rsidP="00396065">
            <w:pPr>
              <w:jc w:val="center"/>
              <w:rPr>
                <w:rFonts w:asciiTheme="minorHAnsi" w:hAnsiTheme="minorHAnsi" w:cstheme="minorHAnsi"/>
                <w:sz w:val="18"/>
              </w:rPr>
            </w:pPr>
            <w:r>
              <w:rPr>
                <w:rFonts w:asciiTheme="minorHAnsi" w:hAnsiTheme="minorHAnsi" w:cstheme="minorHAnsi"/>
                <w:sz w:val="18"/>
              </w:rPr>
              <w:t>5/08</w:t>
            </w:r>
          </w:p>
        </w:tc>
        <w:tc>
          <w:tcPr>
            <w:tcW w:w="1238" w:type="dxa"/>
          </w:tcPr>
          <w:p w:rsidR="00396065" w:rsidRPr="00590A57" w:rsidRDefault="00692D6A" w:rsidP="00396065">
            <w:pPr>
              <w:jc w:val="center"/>
              <w:rPr>
                <w:rFonts w:asciiTheme="minorHAnsi" w:hAnsiTheme="minorHAnsi" w:cstheme="minorHAnsi"/>
                <w:sz w:val="18"/>
              </w:rPr>
            </w:pPr>
            <w:r>
              <w:rPr>
                <w:rFonts w:asciiTheme="minorHAnsi" w:hAnsiTheme="minorHAnsi" w:cstheme="minorHAnsi"/>
                <w:sz w:val="18"/>
              </w:rPr>
              <w:t>6. 12. 2022</w:t>
            </w:r>
          </w:p>
        </w:tc>
        <w:tc>
          <w:tcPr>
            <w:tcW w:w="1417" w:type="dxa"/>
          </w:tcPr>
          <w:p w:rsidR="00396065" w:rsidRPr="00590A57" w:rsidRDefault="00692D6A" w:rsidP="00396065">
            <w:pPr>
              <w:jc w:val="center"/>
              <w:rPr>
                <w:rFonts w:asciiTheme="minorHAnsi" w:hAnsiTheme="minorHAnsi" w:cstheme="minorHAnsi"/>
                <w:sz w:val="18"/>
              </w:rPr>
            </w:pPr>
            <w:r>
              <w:rPr>
                <w:rFonts w:asciiTheme="minorHAnsi" w:hAnsiTheme="minorHAnsi" w:cstheme="minorHAnsi"/>
                <w:sz w:val="18"/>
              </w:rPr>
              <w:t>10,00</w:t>
            </w:r>
          </w:p>
        </w:tc>
        <w:tc>
          <w:tcPr>
            <w:tcW w:w="4536" w:type="dxa"/>
          </w:tcPr>
          <w:p w:rsidR="00396065" w:rsidRPr="00590A57" w:rsidRDefault="00DA36CF" w:rsidP="00396065">
            <w:pPr>
              <w:rPr>
                <w:rFonts w:asciiTheme="minorHAnsi" w:hAnsiTheme="minorHAnsi" w:cstheme="minorHAnsi"/>
                <w:sz w:val="18"/>
              </w:rPr>
            </w:pPr>
            <w:r>
              <w:rPr>
                <w:rFonts w:asciiTheme="minorHAnsi" w:hAnsiTheme="minorHAnsi" w:cstheme="minorHAnsi"/>
                <w:sz w:val="18"/>
              </w:rPr>
              <w:t>Pořízení přístřešku pro JSDH Vrahovice – přesun z neinvestiční položky na investiční.</w:t>
            </w:r>
          </w:p>
        </w:tc>
        <w:tc>
          <w:tcPr>
            <w:tcW w:w="1843" w:type="dxa"/>
          </w:tcPr>
          <w:p w:rsidR="00396065" w:rsidRPr="009D61FA" w:rsidRDefault="00396065" w:rsidP="00DA36CF">
            <w:pPr>
              <w:rPr>
                <w:rFonts w:asciiTheme="minorHAnsi" w:hAnsiTheme="minorHAnsi" w:cstheme="minorHAnsi"/>
                <w:b/>
                <w:sz w:val="18"/>
              </w:rPr>
            </w:pPr>
          </w:p>
        </w:tc>
      </w:tr>
    </w:tbl>
    <w:p w:rsidR="00396065" w:rsidRDefault="00396065" w:rsidP="004048EF">
      <w:pPr>
        <w:rPr>
          <w:rFonts w:asciiTheme="minorHAnsi" w:hAnsiTheme="minorHAnsi" w:cstheme="minorHAnsi"/>
          <w:b/>
          <w:sz w:val="18"/>
        </w:rPr>
      </w:pPr>
    </w:p>
    <w:p w:rsidR="00396065" w:rsidRDefault="00396065" w:rsidP="00396065">
      <w:pPr>
        <w:rPr>
          <w:b/>
          <w:sz w:val="18"/>
        </w:rPr>
      </w:pPr>
      <w:r w:rsidRPr="00091F65">
        <w:rPr>
          <w:rFonts w:asciiTheme="minorHAnsi" w:hAnsiTheme="minorHAnsi" w:cstheme="minorHAnsi"/>
          <w:b/>
          <w:sz w:val="18"/>
        </w:rPr>
        <w:t>V Prostějově:</w:t>
      </w:r>
      <w:r>
        <w:rPr>
          <w:rFonts w:asciiTheme="minorHAnsi" w:hAnsiTheme="minorHAnsi" w:cstheme="minorHAnsi"/>
          <w:b/>
          <w:sz w:val="18"/>
        </w:rPr>
        <w:t xml:space="preserve"> 1</w:t>
      </w:r>
      <w:r w:rsidR="008F4311">
        <w:rPr>
          <w:rFonts w:asciiTheme="minorHAnsi" w:hAnsiTheme="minorHAnsi" w:cstheme="minorHAnsi"/>
          <w:b/>
          <w:sz w:val="18"/>
        </w:rPr>
        <w:t>5</w:t>
      </w:r>
      <w:r>
        <w:rPr>
          <w:rFonts w:asciiTheme="minorHAnsi" w:hAnsiTheme="minorHAnsi" w:cstheme="minorHAnsi"/>
          <w:b/>
          <w:sz w:val="18"/>
        </w:rPr>
        <w:t>. 02. 2022</w:t>
      </w:r>
      <w:r w:rsidRPr="00091F65">
        <w:rPr>
          <w:rFonts w:asciiTheme="minorHAnsi" w:hAnsiTheme="minorHAnsi" w:cstheme="minorHAnsi"/>
          <w:b/>
          <w:sz w:val="18"/>
        </w:rPr>
        <w:tab/>
      </w:r>
      <w:r w:rsidRPr="00091F65">
        <w:rPr>
          <w:rFonts w:asciiTheme="minorHAnsi" w:hAnsiTheme="minorHAnsi" w:cstheme="minorHAnsi"/>
          <w:b/>
          <w:sz w:val="18"/>
        </w:rPr>
        <w:tab/>
      </w:r>
      <w:r w:rsidRPr="00091F65">
        <w:rPr>
          <w:rFonts w:asciiTheme="minorHAnsi" w:hAnsiTheme="minorHAnsi" w:cstheme="minorHAnsi"/>
          <w:b/>
          <w:sz w:val="18"/>
        </w:rPr>
        <w:tab/>
      </w:r>
      <w:r w:rsidRPr="00091F65">
        <w:rPr>
          <w:rFonts w:asciiTheme="minorHAnsi" w:hAnsiTheme="minorHAnsi" w:cstheme="minorHAnsi"/>
          <w:b/>
          <w:sz w:val="18"/>
        </w:rPr>
        <w:tab/>
      </w:r>
      <w:r w:rsidRPr="00091F65">
        <w:rPr>
          <w:rFonts w:asciiTheme="minorHAnsi" w:hAnsiTheme="minorHAnsi" w:cstheme="minorHAnsi"/>
          <w:b/>
          <w:sz w:val="18"/>
        </w:rPr>
        <w:tab/>
      </w:r>
      <w:r w:rsidRPr="00091F65">
        <w:rPr>
          <w:rFonts w:asciiTheme="minorHAnsi" w:hAnsiTheme="minorHAnsi" w:cstheme="minorHAnsi"/>
          <w:b/>
          <w:sz w:val="18"/>
        </w:rPr>
        <w:tab/>
        <w:t>Správce kap</w:t>
      </w:r>
      <w:r>
        <w:rPr>
          <w:b/>
          <w:sz w:val="18"/>
        </w:rPr>
        <w:t>itoly: Ing. Adolf Labák</w:t>
      </w:r>
    </w:p>
    <w:tbl>
      <w:tblPr>
        <w:tblW w:w="13688" w:type="dxa"/>
        <w:tblInd w:w="-72" w:type="dxa"/>
        <w:tblLayout w:type="fixed"/>
        <w:tblCellMar>
          <w:left w:w="70" w:type="dxa"/>
          <w:right w:w="70" w:type="dxa"/>
        </w:tblCellMar>
        <w:tblLook w:val="0000" w:firstRow="0" w:lastRow="0" w:firstColumn="0" w:lastColumn="0" w:noHBand="0" w:noVBand="0"/>
      </w:tblPr>
      <w:tblGrid>
        <w:gridCol w:w="458"/>
        <w:gridCol w:w="2"/>
        <w:gridCol w:w="386"/>
        <w:gridCol w:w="6"/>
        <w:gridCol w:w="518"/>
        <w:gridCol w:w="10"/>
        <w:gridCol w:w="98"/>
        <w:gridCol w:w="52"/>
        <w:gridCol w:w="296"/>
        <w:gridCol w:w="14"/>
        <w:gridCol w:w="446"/>
        <w:gridCol w:w="14"/>
        <w:gridCol w:w="165"/>
        <w:gridCol w:w="17"/>
        <w:gridCol w:w="143"/>
        <w:gridCol w:w="17"/>
        <w:gridCol w:w="108"/>
        <w:gridCol w:w="10"/>
        <w:gridCol w:w="3"/>
        <w:gridCol w:w="325"/>
        <w:gridCol w:w="14"/>
        <w:gridCol w:w="111"/>
        <w:gridCol w:w="7"/>
        <w:gridCol w:w="48"/>
        <w:gridCol w:w="280"/>
        <w:gridCol w:w="14"/>
        <w:gridCol w:w="38"/>
        <w:gridCol w:w="722"/>
        <w:gridCol w:w="142"/>
        <w:gridCol w:w="3"/>
        <w:gridCol w:w="15"/>
        <w:gridCol w:w="142"/>
        <w:gridCol w:w="3"/>
        <w:gridCol w:w="315"/>
        <w:gridCol w:w="420"/>
        <w:gridCol w:w="14"/>
        <w:gridCol w:w="26"/>
        <w:gridCol w:w="120"/>
        <w:gridCol w:w="14"/>
        <w:gridCol w:w="326"/>
        <w:gridCol w:w="28"/>
        <w:gridCol w:w="3"/>
        <w:gridCol w:w="26"/>
        <w:gridCol w:w="14"/>
        <w:gridCol w:w="146"/>
        <w:gridCol w:w="14"/>
        <w:gridCol w:w="86"/>
        <w:gridCol w:w="234"/>
        <w:gridCol w:w="3"/>
        <w:gridCol w:w="379"/>
        <w:gridCol w:w="220"/>
        <w:gridCol w:w="3"/>
        <w:gridCol w:w="237"/>
        <w:gridCol w:w="460"/>
        <w:gridCol w:w="460"/>
        <w:gridCol w:w="196"/>
        <w:gridCol w:w="3"/>
        <w:gridCol w:w="26"/>
        <w:gridCol w:w="14"/>
        <w:gridCol w:w="117"/>
        <w:gridCol w:w="3"/>
        <w:gridCol w:w="26"/>
        <w:gridCol w:w="14"/>
        <w:gridCol w:w="61"/>
        <w:gridCol w:w="356"/>
        <w:gridCol w:w="3"/>
        <w:gridCol w:w="26"/>
        <w:gridCol w:w="14"/>
        <w:gridCol w:w="61"/>
        <w:gridCol w:w="356"/>
        <w:gridCol w:w="3"/>
        <w:gridCol w:w="26"/>
        <w:gridCol w:w="14"/>
        <w:gridCol w:w="361"/>
        <w:gridCol w:w="56"/>
        <w:gridCol w:w="3"/>
        <w:gridCol w:w="6"/>
        <w:gridCol w:w="3"/>
        <w:gridCol w:w="17"/>
        <w:gridCol w:w="14"/>
        <w:gridCol w:w="324"/>
        <w:gridCol w:w="93"/>
        <w:gridCol w:w="3"/>
        <w:gridCol w:w="26"/>
        <w:gridCol w:w="14"/>
        <w:gridCol w:w="417"/>
        <w:gridCol w:w="3"/>
        <w:gridCol w:w="26"/>
        <w:gridCol w:w="14"/>
        <w:gridCol w:w="417"/>
        <w:gridCol w:w="3"/>
        <w:gridCol w:w="26"/>
        <w:gridCol w:w="14"/>
        <w:gridCol w:w="1138"/>
        <w:gridCol w:w="5"/>
        <w:gridCol w:w="1211"/>
      </w:tblGrid>
      <w:tr w:rsidR="00D07C73" w:rsidRPr="00D07C73" w:rsidTr="00B15436">
        <w:trPr>
          <w:gridAfter w:val="19"/>
          <w:wAfter w:w="3768" w:type="dxa"/>
        </w:trPr>
        <w:tc>
          <w:tcPr>
            <w:tcW w:w="9920" w:type="dxa"/>
            <w:gridSpan w:val="77"/>
          </w:tcPr>
          <w:p w:rsidR="00D07C73" w:rsidRPr="00D07C73" w:rsidRDefault="00221CD3" w:rsidP="00B15436">
            <w:pPr>
              <w:rPr>
                <w:rFonts w:ascii="Calibri" w:hAnsi="Calibri" w:cs="Calibri"/>
                <w:b/>
              </w:rPr>
            </w:pPr>
            <w:r>
              <w:rPr>
                <w:b/>
                <w:sz w:val="18"/>
              </w:rPr>
              <w:lastRenderedPageBreak/>
              <w:br w:type="page"/>
            </w:r>
            <w:r w:rsidR="00D07C73" w:rsidRPr="00D07C73">
              <w:rPr>
                <w:rFonts w:ascii="Calibri" w:hAnsi="Calibri" w:cs="Calibri"/>
                <w:b/>
              </w:rPr>
              <w:t>Kapitola 13 – Městská policie</w:t>
            </w:r>
          </w:p>
        </w:tc>
      </w:tr>
      <w:tr w:rsidR="00B15436" w:rsidRPr="00D07C73" w:rsidTr="00B15436">
        <w:trPr>
          <w:gridAfter w:val="2"/>
          <w:wAfter w:w="1216" w:type="dxa"/>
        </w:trPr>
        <w:tc>
          <w:tcPr>
            <w:tcW w:w="458" w:type="dxa"/>
          </w:tcPr>
          <w:p w:rsidR="00D07C73" w:rsidRPr="00D07C73" w:rsidRDefault="00D07C73" w:rsidP="00B15436">
            <w:pPr>
              <w:rPr>
                <w:rFonts w:ascii="Calibri" w:hAnsi="Calibri" w:cs="Calibri"/>
                <w:b/>
              </w:rPr>
            </w:pPr>
          </w:p>
        </w:tc>
        <w:tc>
          <w:tcPr>
            <w:tcW w:w="388" w:type="dxa"/>
            <w:gridSpan w:val="2"/>
          </w:tcPr>
          <w:p w:rsidR="00D07C73" w:rsidRPr="00D07C73" w:rsidRDefault="00D07C73" w:rsidP="00B15436">
            <w:pPr>
              <w:rPr>
                <w:rFonts w:ascii="Calibri" w:hAnsi="Calibri" w:cs="Calibri"/>
                <w:b/>
              </w:rPr>
            </w:pPr>
          </w:p>
        </w:tc>
        <w:tc>
          <w:tcPr>
            <w:tcW w:w="524" w:type="dxa"/>
            <w:gridSpan w:val="2"/>
          </w:tcPr>
          <w:p w:rsidR="00D07C73" w:rsidRPr="00D07C73" w:rsidRDefault="00D07C73" w:rsidP="00B15436">
            <w:pPr>
              <w:rPr>
                <w:rFonts w:ascii="Calibri" w:hAnsi="Calibri" w:cs="Calibri"/>
                <w:b/>
              </w:rPr>
            </w:pPr>
          </w:p>
        </w:tc>
        <w:tc>
          <w:tcPr>
            <w:tcW w:w="456" w:type="dxa"/>
            <w:gridSpan w:val="4"/>
          </w:tcPr>
          <w:p w:rsidR="00D07C73" w:rsidRPr="00D07C73" w:rsidRDefault="00D07C73" w:rsidP="00B15436">
            <w:pPr>
              <w:rPr>
                <w:rFonts w:ascii="Calibri" w:hAnsi="Calibri" w:cs="Calibri"/>
                <w:b/>
              </w:rPr>
            </w:pPr>
          </w:p>
        </w:tc>
        <w:tc>
          <w:tcPr>
            <w:tcW w:w="460" w:type="dxa"/>
            <w:gridSpan w:val="2"/>
          </w:tcPr>
          <w:p w:rsidR="00D07C73" w:rsidRPr="00D07C73" w:rsidRDefault="00D07C73" w:rsidP="00B15436">
            <w:pPr>
              <w:rPr>
                <w:rFonts w:ascii="Calibri" w:hAnsi="Calibri" w:cs="Calibri"/>
                <w:b/>
              </w:rPr>
            </w:pPr>
          </w:p>
        </w:tc>
        <w:tc>
          <w:tcPr>
            <w:tcW w:w="464" w:type="dxa"/>
            <w:gridSpan w:val="6"/>
          </w:tcPr>
          <w:p w:rsidR="00D07C73" w:rsidRPr="00D07C73" w:rsidRDefault="00D07C73" w:rsidP="00B15436">
            <w:pPr>
              <w:rPr>
                <w:rFonts w:ascii="Calibri" w:hAnsi="Calibri" w:cs="Calibri"/>
                <w:b/>
              </w:rPr>
            </w:pPr>
          </w:p>
        </w:tc>
        <w:tc>
          <w:tcPr>
            <w:tcW w:w="463" w:type="dxa"/>
            <w:gridSpan w:val="5"/>
          </w:tcPr>
          <w:p w:rsidR="00D07C73" w:rsidRPr="00D07C73" w:rsidRDefault="00D07C73" w:rsidP="00B15436">
            <w:pPr>
              <w:rPr>
                <w:rFonts w:ascii="Calibri" w:hAnsi="Calibri" w:cs="Calibri"/>
                <w:b/>
              </w:rPr>
            </w:pPr>
          </w:p>
        </w:tc>
        <w:tc>
          <w:tcPr>
            <w:tcW w:w="1251" w:type="dxa"/>
            <w:gridSpan w:val="7"/>
          </w:tcPr>
          <w:p w:rsidR="00D07C73" w:rsidRPr="00D07C73" w:rsidRDefault="00D07C73" w:rsidP="00B15436">
            <w:pPr>
              <w:rPr>
                <w:rFonts w:ascii="Calibri" w:hAnsi="Calibri" w:cs="Calibri"/>
                <w:b/>
              </w:rPr>
            </w:pPr>
          </w:p>
        </w:tc>
        <w:tc>
          <w:tcPr>
            <w:tcW w:w="160" w:type="dxa"/>
            <w:gridSpan w:val="3"/>
          </w:tcPr>
          <w:p w:rsidR="00D07C73" w:rsidRPr="00D07C73" w:rsidRDefault="00D07C73" w:rsidP="00B15436">
            <w:pPr>
              <w:rPr>
                <w:rFonts w:ascii="Calibri" w:hAnsi="Calibri" w:cs="Calibri"/>
                <w:b/>
              </w:rPr>
            </w:pPr>
          </w:p>
        </w:tc>
        <w:tc>
          <w:tcPr>
            <w:tcW w:w="1266" w:type="dxa"/>
            <w:gridSpan w:val="9"/>
          </w:tcPr>
          <w:p w:rsidR="00D07C73" w:rsidRPr="00D07C73" w:rsidRDefault="00D07C73" w:rsidP="00B15436">
            <w:pPr>
              <w:rPr>
                <w:rFonts w:ascii="Calibri" w:hAnsi="Calibri" w:cs="Calibri"/>
                <w:b/>
              </w:rPr>
            </w:pPr>
          </w:p>
        </w:tc>
        <w:tc>
          <w:tcPr>
            <w:tcW w:w="523" w:type="dxa"/>
            <w:gridSpan w:val="7"/>
          </w:tcPr>
          <w:p w:rsidR="00D07C73" w:rsidRPr="00D07C73" w:rsidRDefault="00D07C73" w:rsidP="00B15436">
            <w:pPr>
              <w:rPr>
                <w:rFonts w:ascii="Calibri" w:hAnsi="Calibri" w:cs="Calibri"/>
                <w:b/>
              </w:rPr>
            </w:pPr>
          </w:p>
        </w:tc>
        <w:tc>
          <w:tcPr>
            <w:tcW w:w="1958" w:type="dxa"/>
            <w:gridSpan w:val="8"/>
          </w:tcPr>
          <w:p w:rsidR="00D07C73" w:rsidRPr="00D07C73" w:rsidRDefault="00D07C73" w:rsidP="00B15436">
            <w:pPr>
              <w:rPr>
                <w:rFonts w:ascii="Calibri" w:hAnsi="Calibri" w:cs="Calibri"/>
                <w:b/>
              </w:rPr>
            </w:pPr>
          </w:p>
        </w:tc>
        <w:tc>
          <w:tcPr>
            <w:tcW w:w="160" w:type="dxa"/>
            <w:gridSpan w:val="4"/>
          </w:tcPr>
          <w:p w:rsidR="00D07C73" w:rsidRPr="00D07C73" w:rsidRDefault="00D07C73" w:rsidP="00B15436">
            <w:pPr>
              <w:rPr>
                <w:rFonts w:ascii="Calibri" w:hAnsi="Calibri" w:cs="Calibri"/>
                <w:b/>
              </w:rPr>
            </w:pPr>
          </w:p>
        </w:tc>
        <w:tc>
          <w:tcPr>
            <w:tcW w:w="460" w:type="dxa"/>
            <w:gridSpan w:val="5"/>
          </w:tcPr>
          <w:p w:rsidR="00D07C73" w:rsidRPr="00D07C73" w:rsidRDefault="00D07C73" w:rsidP="00B15436">
            <w:pPr>
              <w:rPr>
                <w:rFonts w:ascii="Calibri" w:hAnsi="Calibri" w:cs="Calibri"/>
                <w:b/>
              </w:rPr>
            </w:pPr>
          </w:p>
        </w:tc>
        <w:tc>
          <w:tcPr>
            <w:tcW w:w="460" w:type="dxa"/>
            <w:gridSpan w:val="5"/>
          </w:tcPr>
          <w:p w:rsidR="00D07C73" w:rsidRPr="00D07C73" w:rsidRDefault="00D07C73" w:rsidP="00B15436">
            <w:pPr>
              <w:rPr>
                <w:rFonts w:ascii="Calibri" w:hAnsi="Calibri" w:cs="Calibri"/>
                <w:b/>
              </w:rPr>
            </w:pPr>
          </w:p>
        </w:tc>
        <w:tc>
          <w:tcPr>
            <w:tcW w:w="460" w:type="dxa"/>
            <w:gridSpan w:val="5"/>
          </w:tcPr>
          <w:p w:rsidR="00D07C73" w:rsidRPr="00D07C73" w:rsidRDefault="00D07C73" w:rsidP="00B15436">
            <w:pPr>
              <w:rPr>
                <w:rFonts w:ascii="Calibri" w:hAnsi="Calibri" w:cs="Calibri"/>
                <w:b/>
              </w:rPr>
            </w:pPr>
          </w:p>
        </w:tc>
        <w:tc>
          <w:tcPr>
            <w:tcW w:w="460" w:type="dxa"/>
            <w:gridSpan w:val="7"/>
          </w:tcPr>
          <w:p w:rsidR="00D07C73" w:rsidRPr="00D07C73" w:rsidRDefault="00D07C73" w:rsidP="00B15436">
            <w:pPr>
              <w:rPr>
                <w:rFonts w:ascii="Calibri" w:hAnsi="Calibri" w:cs="Calibri"/>
                <w:b/>
              </w:rPr>
            </w:pPr>
          </w:p>
        </w:tc>
        <w:tc>
          <w:tcPr>
            <w:tcW w:w="460" w:type="dxa"/>
            <w:gridSpan w:val="4"/>
          </w:tcPr>
          <w:p w:rsidR="00D07C73" w:rsidRPr="00D07C73" w:rsidRDefault="00D07C73" w:rsidP="00B15436">
            <w:pPr>
              <w:rPr>
                <w:rFonts w:ascii="Calibri" w:hAnsi="Calibri" w:cs="Calibri"/>
                <w:b/>
              </w:rPr>
            </w:pPr>
          </w:p>
        </w:tc>
        <w:tc>
          <w:tcPr>
            <w:tcW w:w="460" w:type="dxa"/>
            <w:gridSpan w:val="4"/>
          </w:tcPr>
          <w:p w:rsidR="00D07C73" w:rsidRPr="00D07C73" w:rsidRDefault="00D07C73" w:rsidP="00B15436">
            <w:pPr>
              <w:rPr>
                <w:rFonts w:ascii="Calibri" w:hAnsi="Calibri" w:cs="Calibri"/>
                <w:b/>
              </w:rPr>
            </w:pPr>
          </w:p>
        </w:tc>
        <w:tc>
          <w:tcPr>
            <w:tcW w:w="1181" w:type="dxa"/>
            <w:gridSpan w:val="4"/>
          </w:tcPr>
          <w:p w:rsidR="00D07C73" w:rsidRPr="00D07C73" w:rsidRDefault="00D07C73" w:rsidP="00B15436">
            <w:pPr>
              <w:rPr>
                <w:rFonts w:ascii="Calibri" w:hAnsi="Calibri" w:cs="Calibri"/>
                <w:b/>
              </w:rPr>
            </w:pPr>
          </w:p>
        </w:tc>
      </w:tr>
      <w:tr w:rsidR="00D07C73" w:rsidRPr="00D07C73" w:rsidTr="00B15436">
        <w:trPr>
          <w:gridAfter w:val="19"/>
          <w:wAfter w:w="3768" w:type="dxa"/>
        </w:trPr>
        <w:tc>
          <w:tcPr>
            <w:tcW w:w="9920" w:type="dxa"/>
            <w:gridSpan w:val="77"/>
            <w:shd w:val="clear" w:color="auto" w:fill="F79646"/>
          </w:tcPr>
          <w:p w:rsidR="00D07C73" w:rsidRPr="00D07C73" w:rsidRDefault="00D07C73" w:rsidP="00B15436">
            <w:pPr>
              <w:rPr>
                <w:rFonts w:ascii="Calibri" w:hAnsi="Calibri" w:cs="Calibri"/>
                <w:b/>
                <w:sz w:val="20"/>
                <w:szCs w:val="20"/>
                <w:u w:val="single"/>
              </w:rPr>
            </w:pPr>
            <w:r w:rsidRPr="00D07C73">
              <w:rPr>
                <w:rFonts w:ascii="Calibri" w:hAnsi="Calibri" w:cs="Calibri"/>
                <w:b/>
                <w:sz w:val="20"/>
                <w:szCs w:val="20"/>
                <w:u w:val="single"/>
              </w:rPr>
              <w:t>Rozbor plnění příjmů rozpočtu kapitoly</w:t>
            </w:r>
          </w:p>
        </w:tc>
      </w:tr>
      <w:tr w:rsidR="00B15436" w:rsidRPr="00D07C73" w:rsidTr="00B15436">
        <w:tc>
          <w:tcPr>
            <w:tcW w:w="458" w:type="dxa"/>
          </w:tcPr>
          <w:p w:rsidR="00D07C73" w:rsidRPr="00D07C73" w:rsidRDefault="00D07C73" w:rsidP="00B15436">
            <w:pPr>
              <w:rPr>
                <w:rFonts w:ascii="Calibri" w:hAnsi="Calibri" w:cs="Calibri"/>
                <w:b/>
                <w:sz w:val="20"/>
                <w:szCs w:val="20"/>
              </w:rPr>
            </w:pPr>
          </w:p>
        </w:tc>
        <w:tc>
          <w:tcPr>
            <w:tcW w:w="388" w:type="dxa"/>
            <w:gridSpan w:val="2"/>
          </w:tcPr>
          <w:p w:rsidR="00D07C73" w:rsidRPr="00D07C73" w:rsidRDefault="00D07C73" w:rsidP="00B15436">
            <w:pPr>
              <w:rPr>
                <w:rFonts w:ascii="Calibri" w:hAnsi="Calibri" w:cs="Calibri"/>
                <w:b/>
                <w:sz w:val="20"/>
                <w:szCs w:val="20"/>
              </w:rPr>
            </w:pPr>
          </w:p>
        </w:tc>
        <w:tc>
          <w:tcPr>
            <w:tcW w:w="524" w:type="dxa"/>
            <w:gridSpan w:val="2"/>
          </w:tcPr>
          <w:p w:rsidR="00D07C73" w:rsidRPr="00D07C73" w:rsidRDefault="00D07C73" w:rsidP="00B15436">
            <w:pPr>
              <w:rPr>
                <w:rFonts w:ascii="Calibri" w:hAnsi="Calibri" w:cs="Calibri"/>
                <w:b/>
                <w:sz w:val="20"/>
                <w:szCs w:val="20"/>
              </w:rPr>
            </w:pPr>
          </w:p>
        </w:tc>
        <w:tc>
          <w:tcPr>
            <w:tcW w:w="1095" w:type="dxa"/>
            <w:gridSpan w:val="8"/>
          </w:tcPr>
          <w:p w:rsidR="00D07C73" w:rsidRPr="00D07C73" w:rsidRDefault="00D07C73" w:rsidP="00B15436">
            <w:pPr>
              <w:rPr>
                <w:rFonts w:ascii="Calibri" w:hAnsi="Calibri" w:cs="Calibri"/>
                <w:b/>
                <w:sz w:val="20"/>
                <w:szCs w:val="20"/>
              </w:rPr>
            </w:pPr>
          </w:p>
        </w:tc>
        <w:tc>
          <w:tcPr>
            <w:tcW w:w="160" w:type="dxa"/>
            <w:gridSpan w:val="2"/>
          </w:tcPr>
          <w:p w:rsidR="00D07C73" w:rsidRPr="00D07C73" w:rsidRDefault="00D07C73" w:rsidP="00B15436">
            <w:pPr>
              <w:rPr>
                <w:rFonts w:ascii="Calibri" w:hAnsi="Calibri" w:cs="Calibri"/>
                <w:b/>
                <w:sz w:val="20"/>
                <w:szCs w:val="20"/>
              </w:rPr>
            </w:pPr>
          </w:p>
        </w:tc>
        <w:tc>
          <w:tcPr>
            <w:tcW w:w="463" w:type="dxa"/>
            <w:gridSpan w:val="5"/>
          </w:tcPr>
          <w:p w:rsidR="00D07C73" w:rsidRPr="00D07C73" w:rsidRDefault="00D07C73" w:rsidP="00B15436">
            <w:pPr>
              <w:rPr>
                <w:rFonts w:ascii="Calibri" w:hAnsi="Calibri" w:cs="Calibri"/>
                <w:b/>
                <w:sz w:val="20"/>
                <w:szCs w:val="20"/>
              </w:rPr>
            </w:pPr>
          </w:p>
        </w:tc>
        <w:tc>
          <w:tcPr>
            <w:tcW w:w="460" w:type="dxa"/>
            <w:gridSpan w:val="5"/>
          </w:tcPr>
          <w:p w:rsidR="00D07C73" w:rsidRPr="00D07C73" w:rsidRDefault="00D07C73" w:rsidP="00B15436">
            <w:pPr>
              <w:rPr>
                <w:rFonts w:ascii="Calibri" w:hAnsi="Calibri" w:cs="Calibri"/>
                <w:b/>
                <w:sz w:val="20"/>
                <w:szCs w:val="20"/>
              </w:rPr>
            </w:pPr>
          </w:p>
        </w:tc>
        <w:tc>
          <w:tcPr>
            <w:tcW w:w="1814" w:type="dxa"/>
            <w:gridSpan w:val="10"/>
          </w:tcPr>
          <w:p w:rsidR="00D07C73" w:rsidRPr="00D07C73" w:rsidRDefault="00D07C73" w:rsidP="00B15436">
            <w:pPr>
              <w:rPr>
                <w:rFonts w:ascii="Calibri" w:hAnsi="Calibri" w:cs="Calibri"/>
                <w:b/>
                <w:sz w:val="20"/>
                <w:szCs w:val="20"/>
              </w:rPr>
            </w:pPr>
          </w:p>
        </w:tc>
        <w:tc>
          <w:tcPr>
            <w:tcW w:w="160" w:type="dxa"/>
            <w:gridSpan w:val="3"/>
          </w:tcPr>
          <w:p w:rsidR="00D07C73" w:rsidRPr="00D07C73" w:rsidRDefault="00D07C73" w:rsidP="00B15436">
            <w:pPr>
              <w:rPr>
                <w:rFonts w:ascii="Calibri" w:hAnsi="Calibri" w:cs="Calibri"/>
                <w:b/>
                <w:sz w:val="20"/>
                <w:szCs w:val="20"/>
              </w:rPr>
            </w:pPr>
          </w:p>
        </w:tc>
        <w:tc>
          <w:tcPr>
            <w:tcW w:w="397" w:type="dxa"/>
            <w:gridSpan w:val="5"/>
          </w:tcPr>
          <w:p w:rsidR="00D07C73" w:rsidRPr="00D07C73" w:rsidRDefault="00D07C73" w:rsidP="00B15436">
            <w:pPr>
              <w:rPr>
                <w:rFonts w:ascii="Calibri" w:hAnsi="Calibri" w:cs="Calibri"/>
                <w:b/>
                <w:sz w:val="20"/>
                <w:szCs w:val="20"/>
              </w:rPr>
            </w:pPr>
          </w:p>
        </w:tc>
        <w:tc>
          <w:tcPr>
            <w:tcW w:w="160" w:type="dxa"/>
            <w:gridSpan w:val="2"/>
          </w:tcPr>
          <w:p w:rsidR="00D07C73" w:rsidRPr="00D07C73" w:rsidRDefault="00D07C73" w:rsidP="00B15436">
            <w:pPr>
              <w:rPr>
                <w:rFonts w:ascii="Calibri" w:hAnsi="Calibri" w:cs="Calibri"/>
                <w:b/>
                <w:sz w:val="20"/>
                <w:szCs w:val="20"/>
              </w:rPr>
            </w:pPr>
          </w:p>
        </w:tc>
        <w:tc>
          <w:tcPr>
            <w:tcW w:w="2321" w:type="dxa"/>
            <w:gridSpan w:val="13"/>
          </w:tcPr>
          <w:p w:rsidR="00D07C73" w:rsidRPr="00D07C73" w:rsidRDefault="00D07C73" w:rsidP="00B15436">
            <w:pPr>
              <w:rPr>
                <w:rFonts w:ascii="Calibri" w:hAnsi="Calibri" w:cs="Calibri"/>
                <w:b/>
                <w:sz w:val="20"/>
                <w:szCs w:val="20"/>
              </w:rPr>
            </w:pPr>
          </w:p>
        </w:tc>
        <w:tc>
          <w:tcPr>
            <w:tcW w:w="160" w:type="dxa"/>
            <w:gridSpan w:val="4"/>
          </w:tcPr>
          <w:p w:rsidR="00D07C73" w:rsidRPr="00D07C73" w:rsidRDefault="00D07C73" w:rsidP="00B15436">
            <w:pPr>
              <w:rPr>
                <w:rFonts w:ascii="Calibri" w:hAnsi="Calibri" w:cs="Calibri"/>
                <w:b/>
                <w:sz w:val="20"/>
                <w:szCs w:val="20"/>
              </w:rPr>
            </w:pPr>
          </w:p>
        </w:tc>
        <w:tc>
          <w:tcPr>
            <w:tcW w:w="460" w:type="dxa"/>
            <w:gridSpan w:val="5"/>
          </w:tcPr>
          <w:p w:rsidR="00D07C73" w:rsidRPr="00D07C73" w:rsidRDefault="00D07C73" w:rsidP="00B15436">
            <w:pPr>
              <w:rPr>
                <w:rFonts w:ascii="Calibri" w:hAnsi="Calibri" w:cs="Calibri"/>
                <w:b/>
                <w:sz w:val="20"/>
                <w:szCs w:val="20"/>
              </w:rPr>
            </w:pPr>
          </w:p>
        </w:tc>
        <w:tc>
          <w:tcPr>
            <w:tcW w:w="460" w:type="dxa"/>
            <w:gridSpan w:val="5"/>
          </w:tcPr>
          <w:p w:rsidR="00D07C73" w:rsidRPr="00D07C73" w:rsidRDefault="00D07C73" w:rsidP="00B15436">
            <w:pPr>
              <w:rPr>
                <w:rFonts w:ascii="Calibri" w:hAnsi="Calibri" w:cs="Calibri"/>
                <w:b/>
                <w:sz w:val="20"/>
                <w:szCs w:val="20"/>
              </w:rPr>
            </w:pPr>
          </w:p>
        </w:tc>
        <w:tc>
          <w:tcPr>
            <w:tcW w:w="460" w:type="dxa"/>
            <w:gridSpan w:val="7"/>
          </w:tcPr>
          <w:p w:rsidR="00D07C73" w:rsidRPr="00D07C73" w:rsidRDefault="00D07C73" w:rsidP="00B15436">
            <w:pPr>
              <w:rPr>
                <w:rFonts w:ascii="Calibri" w:hAnsi="Calibri" w:cs="Calibri"/>
                <w:b/>
                <w:sz w:val="20"/>
                <w:szCs w:val="20"/>
              </w:rPr>
            </w:pPr>
          </w:p>
        </w:tc>
        <w:tc>
          <w:tcPr>
            <w:tcW w:w="460" w:type="dxa"/>
            <w:gridSpan w:val="5"/>
          </w:tcPr>
          <w:p w:rsidR="00D07C73" w:rsidRPr="00D07C73" w:rsidRDefault="00D07C73" w:rsidP="00B15436">
            <w:pPr>
              <w:rPr>
                <w:rFonts w:ascii="Calibri" w:hAnsi="Calibri" w:cs="Calibri"/>
                <w:b/>
                <w:sz w:val="20"/>
                <w:szCs w:val="20"/>
              </w:rPr>
            </w:pPr>
          </w:p>
        </w:tc>
        <w:tc>
          <w:tcPr>
            <w:tcW w:w="460" w:type="dxa"/>
            <w:gridSpan w:val="4"/>
          </w:tcPr>
          <w:p w:rsidR="00D07C73" w:rsidRPr="00D07C73" w:rsidRDefault="00D07C73" w:rsidP="00B15436">
            <w:pPr>
              <w:rPr>
                <w:rFonts w:ascii="Calibri" w:hAnsi="Calibri" w:cs="Calibri"/>
                <w:b/>
                <w:sz w:val="20"/>
                <w:szCs w:val="20"/>
              </w:rPr>
            </w:pPr>
          </w:p>
        </w:tc>
        <w:tc>
          <w:tcPr>
            <w:tcW w:w="460" w:type="dxa"/>
            <w:gridSpan w:val="4"/>
          </w:tcPr>
          <w:p w:rsidR="00D07C73" w:rsidRPr="00D07C73" w:rsidRDefault="00D07C73" w:rsidP="00B15436">
            <w:pPr>
              <w:rPr>
                <w:rFonts w:ascii="Calibri" w:hAnsi="Calibri" w:cs="Calibri"/>
                <w:b/>
                <w:sz w:val="20"/>
                <w:szCs w:val="20"/>
              </w:rPr>
            </w:pPr>
          </w:p>
        </w:tc>
        <w:tc>
          <w:tcPr>
            <w:tcW w:w="2368" w:type="dxa"/>
            <w:gridSpan w:val="4"/>
          </w:tcPr>
          <w:p w:rsidR="00D07C73" w:rsidRPr="00D07C73" w:rsidRDefault="00D07C73" w:rsidP="00B15436">
            <w:pPr>
              <w:rPr>
                <w:rFonts w:ascii="Calibri" w:hAnsi="Calibri" w:cs="Calibri"/>
                <w:b/>
                <w:sz w:val="20"/>
                <w:szCs w:val="20"/>
              </w:rPr>
            </w:pPr>
          </w:p>
        </w:tc>
      </w:tr>
      <w:tr w:rsidR="00B15436" w:rsidRPr="00D07C73" w:rsidTr="00B15436">
        <w:trPr>
          <w:gridAfter w:val="19"/>
          <w:wAfter w:w="3768" w:type="dxa"/>
        </w:trPr>
        <w:tc>
          <w:tcPr>
            <w:tcW w:w="2465" w:type="dxa"/>
            <w:gridSpan w:val="13"/>
            <w:tcBorders>
              <w:top w:val="single" w:sz="4" w:space="0" w:color="auto"/>
              <w:left w:val="single" w:sz="4" w:space="0" w:color="auto"/>
              <w:bottom w:val="single" w:sz="4" w:space="0" w:color="auto"/>
              <w:right w:val="single" w:sz="4" w:space="0" w:color="auto"/>
            </w:tcBorders>
            <w:shd w:val="clear" w:color="auto" w:fill="FFFF00"/>
          </w:tcPr>
          <w:p w:rsidR="00D07C73" w:rsidRPr="00D07C73" w:rsidRDefault="00D07C73" w:rsidP="00B15436">
            <w:pPr>
              <w:jc w:val="center"/>
              <w:rPr>
                <w:rFonts w:ascii="Calibri" w:hAnsi="Calibri" w:cs="Calibri"/>
                <w:b/>
                <w:sz w:val="20"/>
                <w:szCs w:val="20"/>
              </w:rPr>
            </w:pPr>
            <w:r w:rsidRPr="00D07C73">
              <w:rPr>
                <w:rFonts w:ascii="Calibri" w:hAnsi="Calibri" w:cs="Calibri"/>
                <w:b/>
                <w:sz w:val="20"/>
                <w:szCs w:val="20"/>
              </w:rPr>
              <w:t>Rozpočet upravený v tis. Kč</w:t>
            </w:r>
          </w:p>
        </w:tc>
        <w:tc>
          <w:tcPr>
            <w:tcW w:w="1999" w:type="dxa"/>
            <w:gridSpan w:val="16"/>
            <w:tcBorders>
              <w:top w:val="single" w:sz="4" w:space="0" w:color="auto"/>
              <w:left w:val="single" w:sz="4" w:space="0" w:color="auto"/>
              <w:bottom w:val="single" w:sz="4" w:space="0" w:color="auto"/>
              <w:right w:val="single" w:sz="4" w:space="0" w:color="auto"/>
            </w:tcBorders>
            <w:shd w:val="clear" w:color="auto" w:fill="FFFF00"/>
          </w:tcPr>
          <w:p w:rsidR="00D07C73" w:rsidRPr="00D07C73" w:rsidRDefault="00D07C73" w:rsidP="00B15436">
            <w:pPr>
              <w:jc w:val="center"/>
              <w:rPr>
                <w:rFonts w:ascii="Calibri" w:hAnsi="Calibri" w:cs="Calibri"/>
                <w:b/>
                <w:sz w:val="20"/>
                <w:szCs w:val="20"/>
              </w:rPr>
            </w:pPr>
            <w:r w:rsidRPr="00D07C73">
              <w:rPr>
                <w:rFonts w:ascii="Calibri" w:hAnsi="Calibri" w:cs="Calibri"/>
                <w:b/>
                <w:sz w:val="20"/>
                <w:szCs w:val="20"/>
              </w:rPr>
              <w:t>Skutečnost v tis. Kč</w:t>
            </w:r>
          </w:p>
        </w:tc>
        <w:tc>
          <w:tcPr>
            <w:tcW w:w="2551" w:type="dxa"/>
            <w:gridSpan w:val="22"/>
            <w:tcBorders>
              <w:top w:val="single" w:sz="4" w:space="0" w:color="auto"/>
              <w:left w:val="single" w:sz="4" w:space="0" w:color="auto"/>
              <w:bottom w:val="single" w:sz="4" w:space="0" w:color="auto"/>
              <w:right w:val="single" w:sz="4" w:space="0" w:color="auto"/>
            </w:tcBorders>
            <w:shd w:val="clear" w:color="auto" w:fill="FFFF00"/>
          </w:tcPr>
          <w:p w:rsidR="00D07C73" w:rsidRPr="00D07C73" w:rsidRDefault="00D07C73" w:rsidP="00B15436">
            <w:pPr>
              <w:jc w:val="center"/>
              <w:rPr>
                <w:rFonts w:ascii="Calibri" w:hAnsi="Calibri" w:cs="Calibri"/>
                <w:b/>
                <w:sz w:val="20"/>
                <w:szCs w:val="20"/>
              </w:rPr>
            </w:pPr>
            <w:r w:rsidRPr="00D07C73">
              <w:rPr>
                <w:rFonts w:ascii="Calibri" w:hAnsi="Calibri" w:cs="Calibri"/>
                <w:b/>
                <w:sz w:val="20"/>
                <w:szCs w:val="20"/>
              </w:rPr>
              <w:t>SK/RU v %</w:t>
            </w:r>
          </w:p>
        </w:tc>
        <w:tc>
          <w:tcPr>
            <w:tcW w:w="2905" w:type="dxa"/>
            <w:gridSpan w:val="26"/>
            <w:tcBorders>
              <w:top w:val="single" w:sz="4" w:space="0" w:color="auto"/>
              <w:left w:val="single" w:sz="4" w:space="0" w:color="auto"/>
              <w:bottom w:val="single" w:sz="4" w:space="0" w:color="auto"/>
              <w:right w:val="single" w:sz="4" w:space="0" w:color="auto"/>
            </w:tcBorders>
            <w:shd w:val="clear" w:color="auto" w:fill="FFFF00"/>
          </w:tcPr>
          <w:p w:rsidR="00D07C73" w:rsidRPr="00D07C73" w:rsidRDefault="00D07C73" w:rsidP="00B15436">
            <w:pPr>
              <w:jc w:val="center"/>
              <w:rPr>
                <w:rFonts w:ascii="Calibri" w:hAnsi="Calibri" w:cs="Calibri"/>
                <w:b/>
                <w:sz w:val="20"/>
                <w:szCs w:val="20"/>
              </w:rPr>
            </w:pPr>
            <w:r w:rsidRPr="00D07C73">
              <w:rPr>
                <w:rFonts w:ascii="Calibri" w:hAnsi="Calibri" w:cs="Calibri"/>
                <w:b/>
                <w:sz w:val="20"/>
                <w:szCs w:val="20"/>
              </w:rPr>
              <w:t>Komentář</w:t>
            </w:r>
          </w:p>
        </w:tc>
      </w:tr>
      <w:tr w:rsidR="00B15436" w:rsidRPr="00D07C73" w:rsidTr="00B15436">
        <w:trPr>
          <w:gridAfter w:val="19"/>
          <w:wAfter w:w="3768" w:type="dxa"/>
        </w:trPr>
        <w:tc>
          <w:tcPr>
            <w:tcW w:w="2465" w:type="dxa"/>
            <w:gridSpan w:val="13"/>
            <w:tcBorders>
              <w:top w:val="single" w:sz="4" w:space="0" w:color="auto"/>
              <w:left w:val="single" w:sz="4" w:space="0" w:color="auto"/>
              <w:bottom w:val="single" w:sz="4" w:space="0" w:color="auto"/>
              <w:right w:val="single" w:sz="4" w:space="0" w:color="auto"/>
            </w:tcBorders>
          </w:tcPr>
          <w:p w:rsidR="00D07C73" w:rsidRPr="00D07C73" w:rsidRDefault="00D07C73" w:rsidP="00B15436">
            <w:pPr>
              <w:jc w:val="right"/>
              <w:rPr>
                <w:rFonts w:ascii="Calibri" w:hAnsi="Calibri" w:cs="Calibri"/>
                <w:sz w:val="20"/>
                <w:szCs w:val="20"/>
              </w:rPr>
            </w:pPr>
            <w:r w:rsidRPr="00D07C73">
              <w:rPr>
                <w:rFonts w:ascii="Calibri" w:hAnsi="Calibri" w:cs="Calibri"/>
                <w:sz w:val="20"/>
                <w:szCs w:val="20"/>
              </w:rPr>
              <w:t>2</w:t>
            </w:r>
            <w:r>
              <w:rPr>
                <w:rFonts w:ascii="Calibri" w:hAnsi="Calibri" w:cs="Calibri"/>
                <w:sz w:val="20"/>
                <w:szCs w:val="20"/>
              </w:rPr>
              <w:t xml:space="preserve"> </w:t>
            </w:r>
            <w:r w:rsidRPr="00D07C73">
              <w:rPr>
                <w:rFonts w:ascii="Calibri" w:hAnsi="Calibri" w:cs="Calibri"/>
                <w:sz w:val="20"/>
                <w:szCs w:val="20"/>
              </w:rPr>
              <w:t>682,38</w:t>
            </w:r>
          </w:p>
        </w:tc>
        <w:tc>
          <w:tcPr>
            <w:tcW w:w="1999" w:type="dxa"/>
            <w:gridSpan w:val="16"/>
            <w:tcBorders>
              <w:top w:val="single" w:sz="4" w:space="0" w:color="auto"/>
              <w:left w:val="single" w:sz="4" w:space="0" w:color="auto"/>
              <w:bottom w:val="single" w:sz="4" w:space="0" w:color="auto"/>
              <w:right w:val="single" w:sz="4" w:space="0" w:color="auto"/>
            </w:tcBorders>
          </w:tcPr>
          <w:p w:rsidR="00D07C73" w:rsidRPr="00D07C73" w:rsidRDefault="00D07C73" w:rsidP="00D07C73">
            <w:pPr>
              <w:jc w:val="right"/>
              <w:rPr>
                <w:rFonts w:ascii="Calibri" w:hAnsi="Calibri" w:cs="Calibri"/>
                <w:sz w:val="20"/>
                <w:szCs w:val="20"/>
              </w:rPr>
            </w:pPr>
            <w:r w:rsidRPr="00D07C73">
              <w:rPr>
                <w:rFonts w:ascii="Calibri" w:hAnsi="Calibri" w:cs="Calibri"/>
                <w:sz w:val="20"/>
                <w:szCs w:val="20"/>
              </w:rPr>
              <w:t>2</w:t>
            </w:r>
            <w:r>
              <w:rPr>
                <w:rFonts w:ascii="Calibri" w:hAnsi="Calibri" w:cs="Calibri"/>
                <w:sz w:val="20"/>
                <w:szCs w:val="20"/>
              </w:rPr>
              <w:t xml:space="preserve"> </w:t>
            </w:r>
            <w:r w:rsidRPr="00D07C73">
              <w:rPr>
                <w:rFonts w:ascii="Calibri" w:hAnsi="Calibri" w:cs="Calibri"/>
                <w:sz w:val="20"/>
                <w:szCs w:val="20"/>
              </w:rPr>
              <w:t>578,</w:t>
            </w:r>
            <w:r>
              <w:rPr>
                <w:rFonts w:ascii="Calibri" w:hAnsi="Calibri" w:cs="Calibri"/>
                <w:sz w:val="20"/>
                <w:szCs w:val="20"/>
              </w:rPr>
              <w:t>07</w:t>
            </w:r>
          </w:p>
        </w:tc>
        <w:tc>
          <w:tcPr>
            <w:tcW w:w="2551" w:type="dxa"/>
            <w:gridSpan w:val="22"/>
            <w:tcBorders>
              <w:top w:val="single" w:sz="4" w:space="0" w:color="auto"/>
              <w:left w:val="single" w:sz="4" w:space="0" w:color="auto"/>
              <w:bottom w:val="single" w:sz="4" w:space="0" w:color="auto"/>
              <w:right w:val="single" w:sz="4" w:space="0" w:color="auto"/>
            </w:tcBorders>
          </w:tcPr>
          <w:p w:rsidR="00D07C73" w:rsidRPr="00D07C73" w:rsidRDefault="00D07C73" w:rsidP="00D07C73">
            <w:pPr>
              <w:jc w:val="center"/>
              <w:rPr>
                <w:rFonts w:ascii="Calibri" w:hAnsi="Calibri" w:cs="Calibri"/>
                <w:sz w:val="20"/>
                <w:szCs w:val="20"/>
              </w:rPr>
            </w:pPr>
            <w:r w:rsidRPr="00D07C73">
              <w:rPr>
                <w:rFonts w:ascii="Calibri" w:hAnsi="Calibri" w:cs="Calibri"/>
                <w:sz w:val="20"/>
                <w:szCs w:val="20"/>
              </w:rPr>
              <w:t>96,11</w:t>
            </w:r>
          </w:p>
        </w:tc>
        <w:tc>
          <w:tcPr>
            <w:tcW w:w="2905" w:type="dxa"/>
            <w:gridSpan w:val="26"/>
            <w:tcBorders>
              <w:top w:val="single" w:sz="4" w:space="0" w:color="auto"/>
              <w:left w:val="single" w:sz="4" w:space="0" w:color="auto"/>
              <w:bottom w:val="single" w:sz="4" w:space="0" w:color="auto"/>
              <w:right w:val="single" w:sz="4" w:space="0" w:color="auto"/>
            </w:tcBorders>
          </w:tcPr>
          <w:p w:rsidR="00D07C73" w:rsidRPr="00D07C73" w:rsidRDefault="00D07C73" w:rsidP="00B15436">
            <w:pPr>
              <w:rPr>
                <w:rFonts w:ascii="Calibri" w:hAnsi="Calibri" w:cs="Calibri"/>
                <w:sz w:val="20"/>
                <w:szCs w:val="20"/>
              </w:rPr>
            </w:pPr>
            <w:r w:rsidRPr="00D07C73">
              <w:rPr>
                <w:rFonts w:ascii="Calibri" w:hAnsi="Calibri" w:cs="Calibri"/>
                <w:sz w:val="20"/>
                <w:szCs w:val="20"/>
              </w:rPr>
              <w:t>Příjmy před konsolidací</w:t>
            </w:r>
          </w:p>
        </w:tc>
      </w:tr>
      <w:tr w:rsidR="00B15436" w:rsidRPr="00D07C73" w:rsidTr="00B15436">
        <w:trPr>
          <w:gridAfter w:val="19"/>
          <w:wAfter w:w="3768" w:type="dxa"/>
        </w:trPr>
        <w:tc>
          <w:tcPr>
            <w:tcW w:w="2465" w:type="dxa"/>
            <w:gridSpan w:val="13"/>
            <w:tcBorders>
              <w:top w:val="single" w:sz="4" w:space="0" w:color="auto"/>
              <w:left w:val="single" w:sz="4" w:space="0" w:color="auto"/>
              <w:bottom w:val="single" w:sz="4" w:space="0" w:color="auto"/>
              <w:right w:val="single" w:sz="4" w:space="0" w:color="auto"/>
            </w:tcBorders>
          </w:tcPr>
          <w:p w:rsidR="00D07C73" w:rsidRPr="00D07C73" w:rsidRDefault="00D07C73" w:rsidP="00B15436">
            <w:pPr>
              <w:jc w:val="right"/>
              <w:rPr>
                <w:rFonts w:ascii="Calibri" w:hAnsi="Calibri" w:cs="Calibri"/>
                <w:sz w:val="20"/>
                <w:szCs w:val="20"/>
              </w:rPr>
            </w:pPr>
            <w:r>
              <w:rPr>
                <w:rFonts w:ascii="Calibri" w:hAnsi="Calibri" w:cs="Calibri"/>
                <w:sz w:val="20"/>
                <w:szCs w:val="20"/>
              </w:rPr>
              <w:t xml:space="preserve">2 </w:t>
            </w:r>
            <w:r w:rsidRPr="00D07C73">
              <w:rPr>
                <w:rFonts w:ascii="Calibri" w:hAnsi="Calibri" w:cs="Calibri"/>
                <w:sz w:val="20"/>
                <w:szCs w:val="20"/>
              </w:rPr>
              <w:t>682,38</w:t>
            </w:r>
          </w:p>
        </w:tc>
        <w:tc>
          <w:tcPr>
            <w:tcW w:w="1999" w:type="dxa"/>
            <w:gridSpan w:val="16"/>
            <w:tcBorders>
              <w:top w:val="single" w:sz="4" w:space="0" w:color="auto"/>
              <w:left w:val="single" w:sz="4" w:space="0" w:color="auto"/>
              <w:bottom w:val="single" w:sz="4" w:space="0" w:color="auto"/>
              <w:right w:val="single" w:sz="4" w:space="0" w:color="auto"/>
            </w:tcBorders>
          </w:tcPr>
          <w:p w:rsidR="00D07C73" w:rsidRPr="00D07C73" w:rsidRDefault="00D07C73" w:rsidP="00D07C73">
            <w:pPr>
              <w:jc w:val="right"/>
              <w:rPr>
                <w:rFonts w:ascii="Calibri" w:hAnsi="Calibri" w:cs="Calibri"/>
                <w:sz w:val="20"/>
                <w:szCs w:val="20"/>
              </w:rPr>
            </w:pPr>
            <w:r>
              <w:rPr>
                <w:rFonts w:ascii="Calibri" w:hAnsi="Calibri" w:cs="Calibri"/>
                <w:sz w:val="20"/>
                <w:szCs w:val="20"/>
              </w:rPr>
              <w:t xml:space="preserve">2 </w:t>
            </w:r>
            <w:r w:rsidRPr="00D07C73">
              <w:rPr>
                <w:rFonts w:ascii="Calibri" w:hAnsi="Calibri" w:cs="Calibri"/>
                <w:sz w:val="20"/>
                <w:szCs w:val="20"/>
              </w:rPr>
              <w:t>578,</w:t>
            </w:r>
            <w:r>
              <w:rPr>
                <w:rFonts w:ascii="Calibri" w:hAnsi="Calibri" w:cs="Calibri"/>
                <w:sz w:val="20"/>
                <w:szCs w:val="20"/>
              </w:rPr>
              <w:t>07</w:t>
            </w:r>
          </w:p>
        </w:tc>
        <w:tc>
          <w:tcPr>
            <w:tcW w:w="2551" w:type="dxa"/>
            <w:gridSpan w:val="22"/>
            <w:tcBorders>
              <w:top w:val="single" w:sz="4" w:space="0" w:color="auto"/>
              <w:left w:val="single" w:sz="4" w:space="0" w:color="auto"/>
              <w:bottom w:val="single" w:sz="4" w:space="0" w:color="auto"/>
              <w:right w:val="single" w:sz="4" w:space="0" w:color="auto"/>
            </w:tcBorders>
          </w:tcPr>
          <w:p w:rsidR="00D07C73" w:rsidRPr="00D07C73" w:rsidRDefault="00D07C73" w:rsidP="00D07C73">
            <w:pPr>
              <w:jc w:val="center"/>
              <w:rPr>
                <w:rFonts w:ascii="Calibri" w:hAnsi="Calibri" w:cs="Calibri"/>
                <w:sz w:val="20"/>
                <w:szCs w:val="20"/>
              </w:rPr>
            </w:pPr>
            <w:r w:rsidRPr="00D07C73">
              <w:rPr>
                <w:rFonts w:ascii="Calibri" w:hAnsi="Calibri" w:cs="Calibri"/>
                <w:sz w:val="20"/>
                <w:szCs w:val="20"/>
              </w:rPr>
              <w:t>96,11</w:t>
            </w:r>
          </w:p>
        </w:tc>
        <w:tc>
          <w:tcPr>
            <w:tcW w:w="2905" w:type="dxa"/>
            <w:gridSpan w:val="26"/>
            <w:tcBorders>
              <w:top w:val="single" w:sz="4" w:space="0" w:color="auto"/>
              <w:left w:val="single" w:sz="4" w:space="0" w:color="auto"/>
              <w:bottom w:val="single" w:sz="4" w:space="0" w:color="auto"/>
              <w:right w:val="single" w:sz="4" w:space="0" w:color="auto"/>
            </w:tcBorders>
          </w:tcPr>
          <w:p w:rsidR="00D07C73" w:rsidRPr="00D07C73" w:rsidRDefault="00D07C73" w:rsidP="00B15436">
            <w:pPr>
              <w:rPr>
                <w:rFonts w:ascii="Calibri" w:hAnsi="Calibri" w:cs="Calibri"/>
                <w:sz w:val="20"/>
                <w:szCs w:val="20"/>
              </w:rPr>
            </w:pPr>
            <w:r w:rsidRPr="00D07C73">
              <w:rPr>
                <w:rFonts w:ascii="Calibri" w:hAnsi="Calibri" w:cs="Calibri"/>
                <w:sz w:val="20"/>
                <w:szCs w:val="20"/>
              </w:rPr>
              <w:t>Příjmy po konsolidaci</w:t>
            </w:r>
          </w:p>
        </w:tc>
      </w:tr>
      <w:tr w:rsidR="00B15436" w:rsidRPr="00D07C73" w:rsidTr="00B15436">
        <w:tc>
          <w:tcPr>
            <w:tcW w:w="458" w:type="dxa"/>
          </w:tcPr>
          <w:p w:rsidR="00D07C73" w:rsidRPr="00D07C73" w:rsidRDefault="00D07C73" w:rsidP="00B15436">
            <w:pPr>
              <w:rPr>
                <w:rFonts w:ascii="Calibri" w:hAnsi="Calibri" w:cs="Calibri"/>
                <w:b/>
                <w:sz w:val="20"/>
                <w:szCs w:val="20"/>
              </w:rPr>
            </w:pPr>
          </w:p>
        </w:tc>
        <w:tc>
          <w:tcPr>
            <w:tcW w:w="388" w:type="dxa"/>
            <w:gridSpan w:val="2"/>
          </w:tcPr>
          <w:p w:rsidR="00D07C73" w:rsidRPr="00D07C73" w:rsidRDefault="00D07C73" w:rsidP="00B15436">
            <w:pPr>
              <w:rPr>
                <w:rFonts w:ascii="Calibri" w:hAnsi="Calibri" w:cs="Calibri"/>
                <w:b/>
                <w:sz w:val="20"/>
                <w:szCs w:val="20"/>
              </w:rPr>
            </w:pPr>
          </w:p>
        </w:tc>
        <w:tc>
          <w:tcPr>
            <w:tcW w:w="524" w:type="dxa"/>
            <w:gridSpan w:val="2"/>
          </w:tcPr>
          <w:p w:rsidR="00D07C73" w:rsidRPr="00D07C73" w:rsidRDefault="00D07C73" w:rsidP="00B15436">
            <w:pPr>
              <w:rPr>
                <w:rFonts w:ascii="Calibri" w:hAnsi="Calibri" w:cs="Calibri"/>
                <w:b/>
                <w:sz w:val="20"/>
                <w:szCs w:val="20"/>
              </w:rPr>
            </w:pPr>
          </w:p>
        </w:tc>
        <w:tc>
          <w:tcPr>
            <w:tcW w:w="1095" w:type="dxa"/>
            <w:gridSpan w:val="8"/>
          </w:tcPr>
          <w:p w:rsidR="00D07C73" w:rsidRPr="00D07C73" w:rsidRDefault="00D07C73" w:rsidP="00B15436">
            <w:pPr>
              <w:rPr>
                <w:rFonts w:ascii="Calibri" w:hAnsi="Calibri" w:cs="Calibri"/>
                <w:b/>
                <w:sz w:val="20"/>
                <w:szCs w:val="20"/>
              </w:rPr>
            </w:pPr>
          </w:p>
        </w:tc>
        <w:tc>
          <w:tcPr>
            <w:tcW w:w="160" w:type="dxa"/>
            <w:gridSpan w:val="2"/>
          </w:tcPr>
          <w:p w:rsidR="00D07C73" w:rsidRPr="00D07C73" w:rsidRDefault="00D07C73" w:rsidP="00B15436">
            <w:pPr>
              <w:rPr>
                <w:rFonts w:ascii="Calibri" w:hAnsi="Calibri" w:cs="Calibri"/>
                <w:b/>
                <w:sz w:val="20"/>
                <w:szCs w:val="20"/>
              </w:rPr>
            </w:pPr>
          </w:p>
        </w:tc>
        <w:tc>
          <w:tcPr>
            <w:tcW w:w="463" w:type="dxa"/>
            <w:gridSpan w:val="5"/>
          </w:tcPr>
          <w:p w:rsidR="00D07C73" w:rsidRPr="00D07C73" w:rsidRDefault="00D07C73" w:rsidP="00B15436">
            <w:pPr>
              <w:rPr>
                <w:rFonts w:ascii="Calibri" w:hAnsi="Calibri" w:cs="Calibri"/>
                <w:b/>
                <w:sz w:val="20"/>
                <w:szCs w:val="20"/>
              </w:rPr>
            </w:pPr>
          </w:p>
        </w:tc>
        <w:tc>
          <w:tcPr>
            <w:tcW w:w="460" w:type="dxa"/>
            <w:gridSpan w:val="5"/>
          </w:tcPr>
          <w:p w:rsidR="00D07C73" w:rsidRPr="00D07C73" w:rsidRDefault="00D07C73" w:rsidP="00B15436">
            <w:pPr>
              <w:rPr>
                <w:rFonts w:ascii="Calibri" w:hAnsi="Calibri" w:cs="Calibri"/>
                <w:b/>
                <w:sz w:val="20"/>
                <w:szCs w:val="20"/>
              </w:rPr>
            </w:pPr>
          </w:p>
        </w:tc>
        <w:tc>
          <w:tcPr>
            <w:tcW w:w="1814" w:type="dxa"/>
            <w:gridSpan w:val="10"/>
          </w:tcPr>
          <w:p w:rsidR="00D07C73" w:rsidRPr="00D07C73" w:rsidRDefault="00D07C73" w:rsidP="00B15436">
            <w:pPr>
              <w:rPr>
                <w:rFonts w:ascii="Calibri" w:hAnsi="Calibri" w:cs="Calibri"/>
                <w:b/>
                <w:sz w:val="20"/>
                <w:szCs w:val="20"/>
              </w:rPr>
            </w:pPr>
          </w:p>
        </w:tc>
        <w:tc>
          <w:tcPr>
            <w:tcW w:w="160" w:type="dxa"/>
            <w:gridSpan w:val="3"/>
          </w:tcPr>
          <w:p w:rsidR="00D07C73" w:rsidRPr="00D07C73" w:rsidRDefault="00D07C73" w:rsidP="00B15436">
            <w:pPr>
              <w:rPr>
                <w:rFonts w:ascii="Calibri" w:hAnsi="Calibri" w:cs="Calibri"/>
                <w:b/>
                <w:sz w:val="20"/>
                <w:szCs w:val="20"/>
              </w:rPr>
            </w:pPr>
          </w:p>
        </w:tc>
        <w:tc>
          <w:tcPr>
            <w:tcW w:w="397" w:type="dxa"/>
            <w:gridSpan w:val="5"/>
          </w:tcPr>
          <w:p w:rsidR="00D07C73" w:rsidRPr="00D07C73" w:rsidRDefault="00D07C73" w:rsidP="00B15436">
            <w:pPr>
              <w:rPr>
                <w:rFonts w:ascii="Calibri" w:hAnsi="Calibri" w:cs="Calibri"/>
                <w:b/>
                <w:sz w:val="20"/>
                <w:szCs w:val="20"/>
              </w:rPr>
            </w:pPr>
          </w:p>
        </w:tc>
        <w:tc>
          <w:tcPr>
            <w:tcW w:w="160" w:type="dxa"/>
            <w:gridSpan w:val="2"/>
          </w:tcPr>
          <w:p w:rsidR="00D07C73" w:rsidRPr="00D07C73" w:rsidRDefault="00D07C73" w:rsidP="00B15436">
            <w:pPr>
              <w:rPr>
                <w:rFonts w:ascii="Calibri" w:hAnsi="Calibri" w:cs="Calibri"/>
                <w:b/>
                <w:sz w:val="20"/>
                <w:szCs w:val="20"/>
              </w:rPr>
            </w:pPr>
          </w:p>
        </w:tc>
        <w:tc>
          <w:tcPr>
            <w:tcW w:w="2321" w:type="dxa"/>
            <w:gridSpan w:val="13"/>
          </w:tcPr>
          <w:p w:rsidR="00D07C73" w:rsidRPr="00D07C73" w:rsidRDefault="00D07C73" w:rsidP="00B15436">
            <w:pPr>
              <w:rPr>
                <w:rFonts w:ascii="Calibri" w:hAnsi="Calibri" w:cs="Calibri"/>
                <w:b/>
                <w:sz w:val="20"/>
                <w:szCs w:val="20"/>
              </w:rPr>
            </w:pPr>
          </w:p>
        </w:tc>
        <w:tc>
          <w:tcPr>
            <w:tcW w:w="160" w:type="dxa"/>
            <w:gridSpan w:val="4"/>
          </w:tcPr>
          <w:p w:rsidR="00D07C73" w:rsidRPr="00D07C73" w:rsidRDefault="00D07C73" w:rsidP="00B15436">
            <w:pPr>
              <w:rPr>
                <w:rFonts w:ascii="Calibri" w:hAnsi="Calibri" w:cs="Calibri"/>
                <w:b/>
                <w:sz w:val="20"/>
                <w:szCs w:val="20"/>
              </w:rPr>
            </w:pPr>
          </w:p>
        </w:tc>
        <w:tc>
          <w:tcPr>
            <w:tcW w:w="460" w:type="dxa"/>
            <w:gridSpan w:val="5"/>
          </w:tcPr>
          <w:p w:rsidR="00D07C73" w:rsidRPr="00D07C73" w:rsidRDefault="00D07C73" w:rsidP="00B15436">
            <w:pPr>
              <w:rPr>
                <w:rFonts w:ascii="Calibri" w:hAnsi="Calibri" w:cs="Calibri"/>
                <w:b/>
                <w:sz w:val="20"/>
                <w:szCs w:val="20"/>
              </w:rPr>
            </w:pPr>
          </w:p>
        </w:tc>
        <w:tc>
          <w:tcPr>
            <w:tcW w:w="460" w:type="dxa"/>
            <w:gridSpan w:val="5"/>
          </w:tcPr>
          <w:p w:rsidR="00D07C73" w:rsidRPr="00D07C73" w:rsidRDefault="00D07C73" w:rsidP="00B15436">
            <w:pPr>
              <w:rPr>
                <w:rFonts w:ascii="Calibri" w:hAnsi="Calibri" w:cs="Calibri"/>
                <w:b/>
                <w:sz w:val="20"/>
                <w:szCs w:val="20"/>
              </w:rPr>
            </w:pPr>
          </w:p>
        </w:tc>
        <w:tc>
          <w:tcPr>
            <w:tcW w:w="460" w:type="dxa"/>
            <w:gridSpan w:val="7"/>
          </w:tcPr>
          <w:p w:rsidR="00D07C73" w:rsidRPr="00D07C73" w:rsidRDefault="00D07C73" w:rsidP="00B15436">
            <w:pPr>
              <w:rPr>
                <w:rFonts w:ascii="Calibri" w:hAnsi="Calibri" w:cs="Calibri"/>
                <w:b/>
                <w:sz w:val="20"/>
                <w:szCs w:val="20"/>
              </w:rPr>
            </w:pPr>
          </w:p>
        </w:tc>
        <w:tc>
          <w:tcPr>
            <w:tcW w:w="460" w:type="dxa"/>
            <w:gridSpan w:val="5"/>
          </w:tcPr>
          <w:p w:rsidR="00D07C73" w:rsidRPr="00D07C73" w:rsidRDefault="00D07C73" w:rsidP="00B15436">
            <w:pPr>
              <w:rPr>
                <w:rFonts w:ascii="Calibri" w:hAnsi="Calibri" w:cs="Calibri"/>
                <w:b/>
                <w:sz w:val="20"/>
                <w:szCs w:val="20"/>
              </w:rPr>
            </w:pPr>
          </w:p>
        </w:tc>
        <w:tc>
          <w:tcPr>
            <w:tcW w:w="460" w:type="dxa"/>
            <w:gridSpan w:val="4"/>
          </w:tcPr>
          <w:p w:rsidR="00D07C73" w:rsidRPr="00D07C73" w:rsidRDefault="00D07C73" w:rsidP="00B15436">
            <w:pPr>
              <w:rPr>
                <w:rFonts w:ascii="Calibri" w:hAnsi="Calibri" w:cs="Calibri"/>
                <w:b/>
                <w:sz w:val="20"/>
                <w:szCs w:val="20"/>
              </w:rPr>
            </w:pPr>
          </w:p>
        </w:tc>
        <w:tc>
          <w:tcPr>
            <w:tcW w:w="460" w:type="dxa"/>
            <w:gridSpan w:val="4"/>
          </w:tcPr>
          <w:p w:rsidR="00D07C73" w:rsidRPr="00D07C73" w:rsidRDefault="00D07C73" w:rsidP="00B15436">
            <w:pPr>
              <w:rPr>
                <w:rFonts w:ascii="Calibri" w:hAnsi="Calibri" w:cs="Calibri"/>
                <w:b/>
                <w:sz w:val="20"/>
                <w:szCs w:val="20"/>
              </w:rPr>
            </w:pPr>
          </w:p>
        </w:tc>
        <w:tc>
          <w:tcPr>
            <w:tcW w:w="2368" w:type="dxa"/>
            <w:gridSpan w:val="4"/>
          </w:tcPr>
          <w:p w:rsidR="00D07C73" w:rsidRPr="00D07C73" w:rsidRDefault="00D07C73" w:rsidP="00B15436">
            <w:pPr>
              <w:rPr>
                <w:rFonts w:ascii="Calibri" w:hAnsi="Calibri" w:cs="Calibri"/>
                <w:b/>
                <w:sz w:val="20"/>
                <w:szCs w:val="20"/>
              </w:rPr>
            </w:pPr>
          </w:p>
        </w:tc>
      </w:tr>
      <w:tr w:rsidR="00D07C73" w:rsidRPr="00D07C73" w:rsidTr="00B15436">
        <w:trPr>
          <w:gridAfter w:val="19"/>
          <w:wAfter w:w="3768" w:type="dxa"/>
        </w:trPr>
        <w:tc>
          <w:tcPr>
            <w:tcW w:w="9920" w:type="dxa"/>
            <w:gridSpan w:val="77"/>
          </w:tcPr>
          <w:p w:rsidR="00D07C73" w:rsidRPr="00D07C73" w:rsidRDefault="00D07C73" w:rsidP="00B15436">
            <w:pPr>
              <w:rPr>
                <w:rFonts w:ascii="Calibri" w:hAnsi="Calibri" w:cs="Calibri"/>
                <w:b/>
                <w:sz w:val="20"/>
                <w:szCs w:val="20"/>
              </w:rPr>
            </w:pPr>
            <w:r w:rsidRPr="00D07C73">
              <w:rPr>
                <w:rFonts w:ascii="Calibri" w:hAnsi="Calibri" w:cs="Calibri"/>
                <w:b/>
                <w:sz w:val="20"/>
                <w:szCs w:val="20"/>
              </w:rPr>
              <w:t>Stručný komentář k celkovému vývoji plnění příjmů kapitoly ve sledovaném období</w:t>
            </w:r>
          </w:p>
        </w:tc>
      </w:tr>
      <w:tr w:rsidR="00D07C73" w:rsidRPr="00D07C73" w:rsidTr="00B15436">
        <w:trPr>
          <w:gridAfter w:val="19"/>
          <w:wAfter w:w="3768" w:type="dxa"/>
        </w:trPr>
        <w:tc>
          <w:tcPr>
            <w:tcW w:w="9920" w:type="dxa"/>
            <w:gridSpan w:val="77"/>
            <w:tcBorders>
              <w:top w:val="single" w:sz="6" w:space="0" w:color="auto"/>
              <w:left w:val="single" w:sz="6" w:space="0" w:color="auto"/>
              <w:bottom w:val="single" w:sz="6" w:space="0" w:color="auto"/>
              <w:right w:val="single" w:sz="6" w:space="0" w:color="auto"/>
            </w:tcBorders>
          </w:tcPr>
          <w:p w:rsidR="00D07C73" w:rsidRPr="00D07C73" w:rsidRDefault="00D07C73" w:rsidP="00B15436">
            <w:pPr>
              <w:jc w:val="both"/>
              <w:rPr>
                <w:rFonts w:ascii="Calibri" w:hAnsi="Calibri" w:cs="Calibri"/>
                <w:sz w:val="20"/>
                <w:szCs w:val="20"/>
              </w:rPr>
            </w:pPr>
            <w:r w:rsidRPr="00D07C73">
              <w:rPr>
                <w:rFonts w:ascii="Calibri" w:hAnsi="Calibri" w:cs="Calibri"/>
                <w:sz w:val="20"/>
                <w:szCs w:val="20"/>
              </w:rPr>
              <w:t xml:space="preserve">Plnění příjmů kapitoly 13 k 31. 12. 2022 je na 171,87 %. Položka 1359 jsou poplatky dle nařízení obce za odtahy vozidel, které jsou hrazeny dodavateli odtahové služby. Tato položka byla naplněna ve výší 26,04 tis Kč (13,02 %) Na blokových pokutách je na položce 2212 naplněn příjem sankčních plateb (pokut) na 947,80 tis. Kč (90,27%). Položka 1359 pro výběr poplatků za přiložení TPZOV je naplněna ve výši 217,46 tis. Kč (108,73%). V příjmech je zahrnuta dotace z programu prevence kriminality (MVČR) (investiční a neinvestiční dotace) ve výši 916,95 tis. Kč, na projekty prevence kriminality, které byly realizovány v druhé polovině roku 2022 a dotace ve výši 43,9 tis. Kč (od OL kraj). Všechny dotace byly vyčerpány na 100%. </w:t>
            </w:r>
            <w:r w:rsidRPr="00D07C73">
              <w:rPr>
                <w:rFonts w:ascii="Calibri" w:hAnsi="Calibri" w:cs="Calibri"/>
                <w:b/>
                <w:sz w:val="20"/>
                <w:szCs w:val="20"/>
              </w:rPr>
              <w:t xml:space="preserve">Příjmy z uložených sankcí automatického měření rychlosti, </w:t>
            </w:r>
            <w:r w:rsidRPr="00D07C73">
              <w:rPr>
                <w:rFonts w:ascii="Calibri" w:hAnsi="Calibri" w:cs="Calibri"/>
                <w:b/>
                <w:sz w:val="20"/>
                <w:szCs w:val="20"/>
                <w:u w:val="single"/>
              </w:rPr>
              <w:t>nejsou zahrnuty v kap. 13.</w:t>
            </w:r>
            <w:r w:rsidRPr="00D07C73">
              <w:rPr>
                <w:rFonts w:ascii="Calibri" w:hAnsi="Calibri" w:cs="Calibri"/>
                <w:b/>
                <w:sz w:val="20"/>
                <w:szCs w:val="20"/>
              </w:rPr>
              <w:t xml:space="preserve"> Městská policie pouze realizuje provoz měřičů a vynakládá prostředky na údržbu a provoz těchto zařízení.</w:t>
            </w:r>
          </w:p>
        </w:tc>
      </w:tr>
      <w:tr w:rsidR="00B15436" w:rsidRPr="00D07C73" w:rsidTr="00B15436">
        <w:trPr>
          <w:gridAfter w:val="2"/>
          <w:wAfter w:w="1216" w:type="dxa"/>
        </w:trPr>
        <w:tc>
          <w:tcPr>
            <w:tcW w:w="458" w:type="dxa"/>
          </w:tcPr>
          <w:p w:rsidR="00D07C73" w:rsidRPr="00D07C73" w:rsidRDefault="00D07C73" w:rsidP="00B15436">
            <w:pPr>
              <w:rPr>
                <w:rFonts w:ascii="Calibri" w:hAnsi="Calibri" w:cs="Calibri"/>
                <w:b/>
                <w:sz w:val="20"/>
                <w:szCs w:val="20"/>
              </w:rPr>
            </w:pPr>
          </w:p>
        </w:tc>
        <w:tc>
          <w:tcPr>
            <w:tcW w:w="388" w:type="dxa"/>
            <w:gridSpan w:val="2"/>
          </w:tcPr>
          <w:p w:rsidR="00D07C73" w:rsidRPr="00D07C73" w:rsidRDefault="00D07C73" w:rsidP="00B15436">
            <w:pPr>
              <w:rPr>
                <w:rFonts w:ascii="Calibri" w:hAnsi="Calibri" w:cs="Calibri"/>
                <w:b/>
                <w:sz w:val="20"/>
                <w:szCs w:val="20"/>
              </w:rPr>
            </w:pPr>
          </w:p>
        </w:tc>
        <w:tc>
          <w:tcPr>
            <w:tcW w:w="524" w:type="dxa"/>
            <w:gridSpan w:val="2"/>
          </w:tcPr>
          <w:p w:rsidR="00D07C73" w:rsidRPr="00D07C73" w:rsidRDefault="00D07C73" w:rsidP="00B15436">
            <w:pPr>
              <w:rPr>
                <w:rFonts w:ascii="Calibri" w:hAnsi="Calibri" w:cs="Calibri"/>
                <w:b/>
                <w:sz w:val="20"/>
                <w:szCs w:val="20"/>
              </w:rPr>
            </w:pPr>
          </w:p>
        </w:tc>
        <w:tc>
          <w:tcPr>
            <w:tcW w:w="456" w:type="dxa"/>
            <w:gridSpan w:val="4"/>
          </w:tcPr>
          <w:p w:rsidR="00D07C73" w:rsidRPr="00D07C73" w:rsidRDefault="00D07C73" w:rsidP="00B15436">
            <w:pPr>
              <w:rPr>
                <w:rFonts w:ascii="Calibri" w:hAnsi="Calibri" w:cs="Calibri"/>
                <w:b/>
                <w:sz w:val="20"/>
                <w:szCs w:val="20"/>
              </w:rPr>
            </w:pPr>
          </w:p>
        </w:tc>
        <w:tc>
          <w:tcPr>
            <w:tcW w:w="460" w:type="dxa"/>
            <w:gridSpan w:val="2"/>
          </w:tcPr>
          <w:p w:rsidR="00D07C73" w:rsidRPr="00D07C73" w:rsidRDefault="00D07C73" w:rsidP="00B15436">
            <w:pPr>
              <w:rPr>
                <w:rFonts w:ascii="Calibri" w:hAnsi="Calibri" w:cs="Calibri"/>
                <w:b/>
                <w:sz w:val="20"/>
                <w:szCs w:val="20"/>
              </w:rPr>
            </w:pPr>
          </w:p>
        </w:tc>
        <w:tc>
          <w:tcPr>
            <w:tcW w:w="464" w:type="dxa"/>
            <w:gridSpan w:val="6"/>
          </w:tcPr>
          <w:p w:rsidR="00D07C73" w:rsidRPr="00D07C73" w:rsidRDefault="00D07C73" w:rsidP="00B15436">
            <w:pPr>
              <w:rPr>
                <w:rFonts w:ascii="Calibri" w:hAnsi="Calibri" w:cs="Calibri"/>
                <w:b/>
                <w:sz w:val="20"/>
                <w:szCs w:val="20"/>
              </w:rPr>
            </w:pPr>
          </w:p>
        </w:tc>
        <w:tc>
          <w:tcPr>
            <w:tcW w:w="463" w:type="dxa"/>
            <w:gridSpan w:val="5"/>
          </w:tcPr>
          <w:p w:rsidR="00D07C73" w:rsidRPr="00D07C73" w:rsidRDefault="00D07C73" w:rsidP="00B15436">
            <w:pPr>
              <w:rPr>
                <w:rFonts w:ascii="Calibri" w:hAnsi="Calibri" w:cs="Calibri"/>
                <w:b/>
                <w:sz w:val="20"/>
                <w:szCs w:val="20"/>
              </w:rPr>
            </w:pPr>
          </w:p>
        </w:tc>
        <w:tc>
          <w:tcPr>
            <w:tcW w:w="1251" w:type="dxa"/>
            <w:gridSpan w:val="7"/>
          </w:tcPr>
          <w:p w:rsidR="00D07C73" w:rsidRPr="00D07C73" w:rsidRDefault="00D07C73" w:rsidP="00B15436">
            <w:pPr>
              <w:rPr>
                <w:rFonts w:ascii="Calibri" w:hAnsi="Calibri" w:cs="Calibri"/>
                <w:b/>
                <w:sz w:val="20"/>
                <w:szCs w:val="20"/>
              </w:rPr>
            </w:pPr>
          </w:p>
        </w:tc>
        <w:tc>
          <w:tcPr>
            <w:tcW w:w="160" w:type="dxa"/>
            <w:gridSpan w:val="3"/>
          </w:tcPr>
          <w:p w:rsidR="00D07C73" w:rsidRPr="00D07C73" w:rsidRDefault="00D07C73" w:rsidP="00B15436">
            <w:pPr>
              <w:rPr>
                <w:rFonts w:ascii="Calibri" w:hAnsi="Calibri" w:cs="Calibri"/>
                <w:b/>
                <w:sz w:val="20"/>
                <w:szCs w:val="20"/>
              </w:rPr>
            </w:pPr>
          </w:p>
        </w:tc>
        <w:tc>
          <w:tcPr>
            <w:tcW w:w="1266" w:type="dxa"/>
            <w:gridSpan w:val="9"/>
          </w:tcPr>
          <w:p w:rsidR="00D07C73" w:rsidRPr="00D07C73" w:rsidRDefault="00D07C73" w:rsidP="00B15436">
            <w:pPr>
              <w:rPr>
                <w:rFonts w:ascii="Calibri" w:hAnsi="Calibri" w:cs="Calibri"/>
                <w:b/>
                <w:sz w:val="20"/>
                <w:szCs w:val="20"/>
              </w:rPr>
            </w:pPr>
          </w:p>
        </w:tc>
        <w:tc>
          <w:tcPr>
            <w:tcW w:w="523" w:type="dxa"/>
            <w:gridSpan w:val="7"/>
          </w:tcPr>
          <w:p w:rsidR="00D07C73" w:rsidRPr="00D07C73" w:rsidRDefault="00D07C73" w:rsidP="00B15436">
            <w:pPr>
              <w:rPr>
                <w:rFonts w:ascii="Calibri" w:hAnsi="Calibri" w:cs="Calibri"/>
                <w:b/>
                <w:sz w:val="20"/>
                <w:szCs w:val="20"/>
              </w:rPr>
            </w:pPr>
          </w:p>
        </w:tc>
        <w:tc>
          <w:tcPr>
            <w:tcW w:w="1958" w:type="dxa"/>
            <w:gridSpan w:val="8"/>
          </w:tcPr>
          <w:p w:rsidR="00D07C73" w:rsidRPr="00D07C73" w:rsidRDefault="00D07C73" w:rsidP="00B15436">
            <w:pPr>
              <w:rPr>
                <w:rFonts w:ascii="Calibri" w:hAnsi="Calibri" w:cs="Calibri"/>
                <w:b/>
                <w:sz w:val="20"/>
                <w:szCs w:val="20"/>
              </w:rPr>
            </w:pPr>
          </w:p>
        </w:tc>
        <w:tc>
          <w:tcPr>
            <w:tcW w:w="160" w:type="dxa"/>
            <w:gridSpan w:val="4"/>
          </w:tcPr>
          <w:p w:rsidR="00D07C73" w:rsidRPr="00D07C73" w:rsidRDefault="00D07C73" w:rsidP="00B15436">
            <w:pPr>
              <w:rPr>
                <w:rFonts w:ascii="Calibri" w:hAnsi="Calibri" w:cs="Calibri"/>
                <w:b/>
                <w:sz w:val="20"/>
                <w:szCs w:val="20"/>
              </w:rPr>
            </w:pPr>
          </w:p>
        </w:tc>
        <w:tc>
          <w:tcPr>
            <w:tcW w:w="460" w:type="dxa"/>
            <w:gridSpan w:val="5"/>
          </w:tcPr>
          <w:p w:rsidR="00D07C73" w:rsidRPr="00D07C73" w:rsidRDefault="00D07C73" w:rsidP="00B15436">
            <w:pPr>
              <w:rPr>
                <w:rFonts w:ascii="Calibri" w:hAnsi="Calibri" w:cs="Calibri"/>
                <w:b/>
                <w:sz w:val="20"/>
                <w:szCs w:val="20"/>
              </w:rPr>
            </w:pPr>
          </w:p>
        </w:tc>
        <w:tc>
          <w:tcPr>
            <w:tcW w:w="460" w:type="dxa"/>
            <w:gridSpan w:val="5"/>
          </w:tcPr>
          <w:p w:rsidR="00D07C73" w:rsidRPr="00D07C73" w:rsidRDefault="00D07C73" w:rsidP="00B15436">
            <w:pPr>
              <w:rPr>
                <w:rFonts w:ascii="Calibri" w:hAnsi="Calibri" w:cs="Calibri"/>
                <w:b/>
                <w:sz w:val="20"/>
                <w:szCs w:val="20"/>
              </w:rPr>
            </w:pPr>
          </w:p>
        </w:tc>
        <w:tc>
          <w:tcPr>
            <w:tcW w:w="460" w:type="dxa"/>
            <w:gridSpan w:val="5"/>
          </w:tcPr>
          <w:p w:rsidR="00D07C73" w:rsidRPr="00D07C73" w:rsidRDefault="00D07C73" w:rsidP="00B15436">
            <w:pPr>
              <w:rPr>
                <w:rFonts w:ascii="Calibri" w:hAnsi="Calibri" w:cs="Calibri"/>
                <w:b/>
                <w:sz w:val="20"/>
                <w:szCs w:val="20"/>
              </w:rPr>
            </w:pPr>
          </w:p>
        </w:tc>
        <w:tc>
          <w:tcPr>
            <w:tcW w:w="460" w:type="dxa"/>
            <w:gridSpan w:val="7"/>
          </w:tcPr>
          <w:p w:rsidR="00D07C73" w:rsidRPr="00D07C73" w:rsidRDefault="00D07C73" w:rsidP="00B15436">
            <w:pPr>
              <w:rPr>
                <w:rFonts w:ascii="Calibri" w:hAnsi="Calibri" w:cs="Calibri"/>
                <w:b/>
                <w:sz w:val="20"/>
                <w:szCs w:val="20"/>
              </w:rPr>
            </w:pPr>
          </w:p>
        </w:tc>
        <w:tc>
          <w:tcPr>
            <w:tcW w:w="460" w:type="dxa"/>
            <w:gridSpan w:val="4"/>
          </w:tcPr>
          <w:p w:rsidR="00D07C73" w:rsidRPr="00D07C73" w:rsidRDefault="00D07C73" w:rsidP="00B15436">
            <w:pPr>
              <w:rPr>
                <w:rFonts w:ascii="Calibri" w:hAnsi="Calibri" w:cs="Calibri"/>
                <w:b/>
                <w:sz w:val="20"/>
                <w:szCs w:val="20"/>
              </w:rPr>
            </w:pPr>
          </w:p>
        </w:tc>
        <w:tc>
          <w:tcPr>
            <w:tcW w:w="460" w:type="dxa"/>
            <w:gridSpan w:val="4"/>
          </w:tcPr>
          <w:p w:rsidR="00D07C73" w:rsidRPr="00D07C73" w:rsidRDefault="00D07C73" w:rsidP="00B15436">
            <w:pPr>
              <w:rPr>
                <w:rFonts w:ascii="Calibri" w:hAnsi="Calibri" w:cs="Calibri"/>
                <w:b/>
                <w:sz w:val="20"/>
                <w:szCs w:val="20"/>
              </w:rPr>
            </w:pPr>
          </w:p>
        </w:tc>
        <w:tc>
          <w:tcPr>
            <w:tcW w:w="1181" w:type="dxa"/>
            <w:gridSpan w:val="4"/>
          </w:tcPr>
          <w:p w:rsidR="00D07C73" w:rsidRPr="00D07C73" w:rsidRDefault="00D07C73" w:rsidP="00B15436">
            <w:pPr>
              <w:rPr>
                <w:rFonts w:ascii="Calibri" w:hAnsi="Calibri" w:cs="Calibri"/>
                <w:b/>
                <w:sz w:val="20"/>
                <w:szCs w:val="20"/>
              </w:rPr>
            </w:pPr>
          </w:p>
        </w:tc>
      </w:tr>
      <w:tr w:rsidR="00D07C73" w:rsidRPr="00D07C73" w:rsidTr="00B15436">
        <w:trPr>
          <w:gridAfter w:val="19"/>
          <w:wAfter w:w="3768" w:type="dxa"/>
        </w:trPr>
        <w:tc>
          <w:tcPr>
            <w:tcW w:w="9920" w:type="dxa"/>
            <w:gridSpan w:val="77"/>
          </w:tcPr>
          <w:p w:rsidR="00D07C73" w:rsidRPr="00D07C73" w:rsidRDefault="00D07C73" w:rsidP="00B15436">
            <w:pPr>
              <w:rPr>
                <w:rFonts w:ascii="Calibri" w:hAnsi="Calibri" w:cs="Calibri"/>
                <w:b/>
                <w:sz w:val="20"/>
                <w:szCs w:val="20"/>
              </w:rPr>
            </w:pPr>
            <w:r w:rsidRPr="00D07C73">
              <w:rPr>
                <w:rFonts w:ascii="Calibri" w:hAnsi="Calibri" w:cs="Calibri"/>
                <w:b/>
                <w:sz w:val="20"/>
                <w:szCs w:val="20"/>
              </w:rPr>
              <w:t>Komentář k položkám (akcím), které vykázaly abnormalitu v řádném plnění příjmů rozpočtu kapitoly ve sledovaném období</w:t>
            </w:r>
          </w:p>
        </w:tc>
      </w:tr>
      <w:tr w:rsidR="00B15436" w:rsidRPr="00D07C73" w:rsidTr="00AE504D">
        <w:trPr>
          <w:gridAfter w:val="22"/>
          <w:wAfter w:w="3833" w:type="dxa"/>
        </w:trPr>
        <w:tc>
          <w:tcPr>
            <w:tcW w:w="846"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D07C73" w:rsidRPr="00D07C73" w:rsidRDefault="00D07C73" w:rsidP="00B15436">
            <w:pPr>
              <w:jc w:val="center"/>
              <w:rPr>
                <w:rFonts w:ascii="Calibri" w:hAnsi="Calibri" w:cs="Calibri"/>
                <w:b/>
                <w:sz w:val="18"/>
                <w:szCs w:val="18"/>
              </w:rPr>
            </w:pPr>
            <w:r w:rsidRPr="00D07C73">
              <w:rPr>
                <w:rFonts w:ascii="Calibri" w:hAnsi="Calibri" w:cs="Calibri"/>
                <w:b/>
                <w:sz w:val="18"/>
                <w:szCs w:val="18"/>
              </w:rPr>
              <w:t>Oddíl, paragraf</w:t>
            </w:r>
          </w:p>
        </w:tc>
        <w:tc>
          <w:tcPr>
            <w:tcW w:w="632"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D07C73" w:rsidRPr="00D07C73" w:rsidRDefault="00D07C73" w:rsidP="00B15436">
            <w:pPr>
              <w:jc w:val="center"/>
              <w:rPr>
                <w:rFonts w:ascii="Calibri" w:hAnsi="Calibri" w:cs="Calibri"/>
                <w:b/>
                <w:sz w:val="18"/>
                <w:szCs w:val="18"/>
              </w:rPr>
            </w:pPr>
            <w:r w:rsidRPr="00D07C73">
              <w:rPr>
                <w:rFonts w:ascii="Calibri" w:hAnsi="Calibri" w:cs="Calibri"/>
                <w:b/>
                <w:sz w:val="18"/>
                <w:szCs w:val="18"/>
              </w:rPr>
              <w:t>Pol.</w:t>
            </w:r>
          </w:p>
        </w:tc>
        <w:tc>
          <w:tcPr>
            <w:tcW w:w="1272" w:type="dxa"/>
            <w:gridSpan w:val="10"/>
            <w:tcBorders>
              <w:top w:val="single" w:sz="4" w:space="0" w:color="auto"/>
              <w:left w:val="single" w:sz="4" w:space="0" w:color="auto"/>
              <w:bottom w:val="single" w:sz="4" w:space="0" w:color="auto"/>
              <w:right w:val="single" w:sz="4" w:space="0" w:color="auto"/>
            </w:tcBorders>
            <w:shd w:val="clear" w:color="auto" w:fill="FFFF00"/>
            <w:vAlign w:val="center"/>
          </w:tcPr>
          <w:p w:rsidR="00D07C73" w:rsidRPr="00D07C73" w:rsidRDefault="00D07C73" w:rsidP="00B15436">
            <w:pPr>
              <w:jc w:val="center"/>
              <w:rPr>
                <w:rFonts w:ascii="Calibri" w:hAnsi="Calibri" w:cs="Calibri"/>
                <w:b/>
                <w:sz w:val="18"/>
                <w:szCs w:val="18"/>
              </w:rPr>
            </w:pPr>
            <w:r w:rsidRPr="00D07C73">
              <w:rPr>
                <w:rFonts w:ascii="Calibri" w:hAnsi="Calibri" w:cs="Calibri"/>
                <w:b/>
                <w:sz w:val="18"/>
                <w:szCs w:val="18"/>
              </w:rPr>
              <w:t>Organizace</w:t>
            </w:r>
          </w:p>
        </w:tc>
        <w:tc>
          <w:tcPr>
            <w:tcW w:w="850" w:type="dxa"/>
            <w:gridSpan w:val="10"/>
            <w:tcBorders>
              <w:top w:val="single" w:sz="4" w:space="0" w:color="auto"/>
              <w:left w:val="single" w:sz="4" w:space="0" w:color="auto"/>
              <w:bottom w:val="single" w:sz="4" w:space="0" w:color="auto"/>
              <w:right w:val="single" w:sz="4" w:space="0" w:color="auto"/>
            </w:tcBorders>
            <w:shd w:val="clear" w:color="auto" w:fill="FFFF00"/>
            <w:vAlign w:val="center"/>
          </w:tcPr>
          <w:p w:rsidR="00D07C73" w:rsidRPr="00D07C73" w:rsidRDefault="00D07C73" w:rsidP="00B15436">
            <w:pPr>
              <w:jc w:val="center"/>
              <w:rPr>
                <w:rFonts w:ascii="Calibri" w:hAnsi="Calibri" w:cs="Calibri"/>
                <w:b/>
                <w:sz w:val="18"/>
                <w:szCs w:val="18"/>
              </w:rPr>
            </w:pPr>
            <w:r w:rsidRPr="00D07C73">
              <w:rPr>
                <w:rFonts w:ascii="Calibri" w:hAnsi="Calibri" w:cs="Calibri"/>
                <w:b/>
                <w:sz w:val="18"/>
                <w:szCs w:val="18"/>
              </w:rPr>
              <w:t>Účelový zdroj</w:t>
            </w:r>
          </w:p>
        </w:tc>
        <w:tc>
          <w:tcPr>
            <w:tcW w:w="722" w:type="dxa"/>
            <w:tcBorders>
              <w:top w:val="single" w:sz="4" w:space="0" w:color="auto"/>
              <w:left w:val="single" w:sz="4" w:space="0" w:color="auto"/>
              <w:bottom w:val="single" w:sz="4" w:space="0" w:color="auto"/>
              <w:right w:val="single" w:sz="4" w:space="0" w:color="auto"/>
            </w:tcBorders>
            <w:shd w:val="clear" w:color="auto" w:fill="FFFF00"/>
            <w:vAlign w:val="center"/>
          </w:tcPr>
          <w:p w:rsidR="00D07C73" w:rsidRPr="00D07C73" w:rsidRDefault="00D07C73" w:rsidP="00B15436">
            <w:pPr>
              <w:jc w:val="center"/>
              <w:rPr>
                <w:rFonts w:ascii="Calibri" w:hAnsi="Calibri" w:cs="Calibri"/>
                <w:b/>
                <w:sz w:val="18"/>
                <w:szCs w:val="18"/>
              </w:rPr>
            </w:pPr>
            <w:r>
              <w:rPr>
                <w:rFonts w:ascii="Calibri" w:hAnsi="Calibri" w:cs="Calibri"/>
                <w:b/>
                <w:sz w:val="18"/>
                <w:szCs w:val="18"/>
              </w:rPr>
              <w:t>UR</w:t>
            </w:r>
            <w:r w:rsidRPr="00D07C73">
              <w:rPr>
                <w:rFonts w:ascii="Calibri" w:hAnsi="Calibri" w:cs="Calibri"/>
                <w:b/>
                <w:sz w:val="18"/>
                <w:szCs w:val="18"/>
              </w:rPr>
              <w:t xml:space="preserve"> v tis. Kč</w:t>
            </w:r>
          </w:p>
        </w:tc>
        <w:tc>
          <w:tcPr>
            <w:tcW w:w="1568" w:type="dxa"/>
            <w:gridSpan w:val="13"/>
            <w:tcBorders>
              <w:top w:val="single" w:sz="4" w:space="0" w:color="auto"/>
              <w:left w:val="single" w:sz="4" w:space="0" w:color="auto"/>
              <w:bottom w:val="single" w:sz="4" w:space="0" w:color="auto"/>
              <w:right w:val="single" w:sz="4" w:space="0" w:color="auto"/>
            </w:tcBorders>
            <w:shd w:val="clear" w:color="auto" w:fill="FFFF00"/>
            <w:vAlign w:val="center"/>
          </w:tcPr>
          <w:p w:rsidR="00D07C73" w:rsidRPr="00D07C73" w:rsidRDefault="00D07C73" w:rsidP="00B15436">
            <w:pPr>
              <w:jc w:val="center"/>
              <w:rPr>
                <w:rFonts w:ascii="Calibri" w:hAnsi="Calibri" w:cs="Calibri"/>
                <w:b/>
                <w:sz w:val="18"/>
                <w:szCs w:val="18"/>
              </w:rPr>
            </w:pPr>
            <w:r w:rsidRPr="00D07C73">
              <w:rPr>
                <w:rFonts w:ascii="Calibri" w:hAnsi="Calibri" w:cs="Calibri"/>
                <w:b/>
                <w:sz w:val="18"/>
                <w:szCs w:val="18"/>
              </w:rPr>
              <w:t>Skutečnost v tis. Kč</w:t>
            </w:r>
          </w:p>
        </w:tc>
        <w:tc>
          <w:tcPr>
            <w:tcW w:w="3965" w:type="dxa"/>
            <w:gridSpan w:val="33"/>
            <w:tcBorders>
              <w:top w:val="single" w:sz="4" w:space="0" w:color="auto"/>
              <w:left w:val="single" w:sz="4" w:space="0" w:color="auto"/>
              <w:bottom w:val="single" w:sz="4" w:space="0" w:color="auto"/>
              <w:right w:val="single" w:sz="4" w:space="0" w:color="auto"/>
            </w:tcBorders>
            <w:shd w:val="clear" w:color="auto" w:fill="FFFF00"/>
            <w:vAlign w:val="center"/>
          </w:tcPr>
          <w:p w:rsidR="00D07C73" w:rsidRPr="00D07C73" w:rsidRDefault="00D07C73" w:rsidP="00D07C73">
            <w:pPr>
              <w:ind w:right="-46"/>
              <w:jc w:val="center"/>
              <w:rPr>
                <w:rFonts w:ascii="Calibri" w:hAnsi="Calibri" w:cs="Calibri"/>
                <w:b/>
                <w:sz w:val="18"/>
                <w:szCs w:val="18"/>
              </w:rPr>
            </w:pPr>
            <w:r w:rsidRPr="00D07C73">
              <w:rPr>
                <w:rFonts w:ascii="Calibri" w:hAnsi="Calibri" w:cs="Calibri"/>
                <w:b/>
                <w:sz w:val="18"/>
                <w:szCs w:val="18"/>
              </w:rPr>
              <w:t>Komentář</w:t>
            </w:r>
          </w:p>
        </w:tc>
      </w:tr>
      <w:tr w:rsidR="00D07C73" w:rsidRPr="00D07C73" w:rsidTr="00AE504D">
        <w:trPr>
          <w:gridAfter w:val="22"/>
          <w:wAfter w:w="3833" w:type="dxa"/>
        </w:trPr>
        <w:tc>
          <w:tcPr>
            <w:tcW w:w="846" w:type="dxa"/>
            <w:gridSpan w:val="3"/>
            <w:tcBorders>
              <w:top w:val="single" w:sz="4" w:space="0" w:color="auto"/>
              <w:left w:val="single" w:sz="4" w:space="0" w:color="auto"/>
              <w:bottom w:val="single" w:sz="4" w:space="0" w:color="auto"/>
              <w:right w:val="single" w:sz="4" w:space="0" w:color="auto"/>
            </w:tcBorders>
          </w:tcPr>
          <w:p w:rsidR="00D07C73" w:rsidRPr="00D07C73" w:rsidRDefault="00D07C73" w:rsidP="00B15436">
            <w:pPr>
              <w:jc w:val="center"/>
              <w:rPr>
                <w:rFonts w:ascii="Calibri" w:hAnsi="Calibri" w:cs="Calibri"/>
                <w:sz w:val="18"/>
                <w:szCs w:val="18"/>
              </w:rPr>
            </w:pPr>
            <w:r w:rsidRPr="00D07C73">
              <w:rPr>
                <w:rFonts w:ascii="Calibri" w:hAnsi="Calibri" w:cs="Calibri"/>
                <w:sz w:val="18"/>
                <w:szCs w:val="18"/>
              </w:rPr>
              <w:t>5311</w:t>
            </w:r>
          </w:p>
        </w:tc>
        <w:tc>
          <w:tcPr>
            <w:tcW w:w="632" w:type="dxa"/>
            <w:gridSpan w:val="4"/>
            <w:tcBorders>
              <w:top w:val="single" w:sz="4" w:space="0" w:color="auto"/>
              <w:left w:val="single" w:sz="4" w:space="0" w:color="auto"/>
              <w:bottom w:val="single" w:sz="4" w:space="0" w:color="auto"/>
              <w:right w:val="single" w:sz="4" w:space="0" w:color="auto"/>
            </w:tcBorders>
          </w:tcPr>
          <w:p w:rsidR="00D07C73" w:rsidRPr="00D07C73" w:rsidRDefault="00D07C73" w:rsidP="00B15436">
            <w:pPr>
              <w:jc w:val="center"/>
              <w:rPr>
                <w:rFonts w:ascii="Calibri" w:hAnsi="Calibri" w:cs="Calibri"/>
                <w:sz w:val="18"/>
                <w:szCs w:val="18"/>
              </w:rPr>
            </w:pPr>
            <w:r w:rsidRPr="00D07C73">
              <w:rPr>
                <w:rFonts w:ascii="Calibri" w:hAnsi="Calibri" w:cs="Calibri"/>
                <w:sz w:val="18"/>
                <w:szCs w:val="18"/>
              </w:rPr>
              <w:t>4121</w:t>
            </w:r>
          </w:p>
        </w:tc>
        <w:tc>
          <w:tcPr>
            <w:tcW w:w="1272" w:type="dxa"/>
            <w:gridSpan w:val="10"/>
            <w:tcBorders>
              <w:top w:val="single" w:sz="4" w:space="0" w:color="auto"/>
              <w:left w:val="single" w:sz="4" w:space="0" w:color="auto"/>
              <w:bottom w:val="single" w:sz="4" w:space="0" w:color="auto"/>
              <w:right w:val="single" w:sz="4" w:space="0" w:color="auto"/>
            </w:tcBorders>
          </w:tcPr>
          <w:p w:rsidR="00D07C73" w:rsidRPr="00D07C73" w:rsidRDefault="00D07C73" w:rsidP="00B15436">
            <w:pPr>
              <w:jc w:val="center"/>
              <w:rPr>
                <w:rFonts w:ascii="Calibri" w:hAnsi="Calibri" w:cs="Calibri"/>
                <w:sz w:val="18"/>
                <w:szCs w:val="18"/>
              </w:rPr>
            </w:pPr>
            <w:r w:rsidRPr="00D07C73">
              <w:rPr>
                <w:rFonts w:ascii="Calibri" w:hAnsi="Calibri" w:cs="Calibri"/>
                <w:sz w:val="18"/>
                <w:szCs w:val="18"/>
              </w:rPr>
              <w:t>013000000000</w:t>
            </w:r>
          </w:p>
        </w:tc>
        <w:tc>
          <w:tcPr>
            <w:tcW w:w="850" w:type="dxa"/>
            <w:gridSpan w:val="10"/>
            <w:tcBorders>
              <w:top w:val="single" w:sz="4" w:space="0" w:color="auto"/>
              <w:left w:val="single" w:sz="4" w:space="0" w:color="auto"/>
              <w:bottom w:val="single" w:sz="4" w:space="0" w:color="auto"/>
              <w:right w:val="single" w:sz="4" w:space="0" w:color="auto"/>
            </w:tcBorders>
          </w:tcPr>
          <w:p w:rsidR="00D07C73" w:rsidRPr="00D07C73" w:rsidRDefault="00D07C73" w:rsidP="00B15436">
            <w:pPr>
              <w:jc w:val="center"/>
              <w:rPr>
                <w:rFonts w:ascii="Calibri" w:hAnsi="Calibri" w:cs="Calibri"/>
                <w:sz w:val="18"/>
                <w:szCs w:val="18"/>
              </w:rPr>
            </w:pPr>
          </w:p>
        </w:tc>
        <w:tc>
          <w:tcPr>
            <w:tcW w:w="722" w:type="dxa"/>
            <w:tcBorders>
              <w:top w:val="single" w:sz="4" w:space="0" w:color="auto"/>
              <w:left w:val="single" w:sz="4" w:space="0" w:color="auto"/>
              <w:bottom w:val="single" w:sz="4" w:space="0" w:color="auto"/>
              <w:right w:val="single" w:sz="4" w:space="0" w:color="auto"/>
            </w:tcBorders>
          </w:tcPr>
          <w:p w:rsidR="00D07C73" w:rsidRPr="00D07C73" w:rsidRDefault="00D07C73" w:rsidP="00B15436">
            <w:pPr>
              <w:jc w:val="right"/>
              <w:rPr>
                <w:rFonts w:ascii="Calibri" w:hAnsi="Calibri" w:cs="Calibri"/>
                <w:sz w:val="18"/>
                <w:szCs w:val="18"/>
              </w:rPr>
            </w:pPr>
            <w:r w:rsidRPr="00D07C73">
              <w:rPr>
                <w:rFonts w:ascii="Calibri" w:hAnsi="Calibri" w:cs="Calibri"/>
                <w:sz w:val="18"/>
                <w:szCs w:val="18"/>
              </w:rPr>
              <w:t>0</w:t>
            </w:r>
            <w:r>
              <w:rPr>
                <w:rFonts w:ascii="Calibri" w:hAnsi="Calibri" w:cs="Calibri"/>
                <w:sz w:val="18"/>
                <w:szCs w:val="18"/>
              </w:rPr>
              <w:t>,00</w:t>
            </w:r>
          </w:p>
        </w:tc>
        <w:tc>
          <w:tcPr>
            <w:tcW w:w="1568" w:type="dxa"/>
            <w:gridSpan w:val="13"/>
            <w:tcBorders>
              <w:top w:val="single" w:sz="4" w:space="0" w:color="auto"/>
              <w:left w:val="single" w:sz="4" w:space="0" w:color="auto"/>
              <w:bottom w:val="single" w:sz="4" w:space="0" w:color="auto"/>
              <w:right w:val="single" w:sz="4" w:space="0" w:color="auto"/>
            </w:tcBorders>
          </w:tcPr>
          <w:p w:rsidR="00D07C73" w:rsidRPr="00D07C73" w:rsidRDefault="00D07C73" w:rsidP="00B15436">
            <w:pPr>
              <w:jc w:val="right"/>
              <w:rPr>
                <w:rFonts w:ascii="Calibri" w:hAnsi="Calibri" w:cs="Calibri"/>
                <w:sz w:val="18"/>
                <w:szCs w:val="18"/>
              </w:rPr>
            </w:pPr>
            <w:r w:rsidRPr="00D07C73">
              <w:rPr>
                <w:rFonts w:ascii="Calibri" w:hAnsi="Calibri" w:cs="Calibri"/>
                <w:sz w:val="18"/>
                <w:szCs w:val="18"/>
              </w:rPr>
              <w:t>7,3</w:t>
            </w:r>
            <w:r>
              <w:rPr>
                <w:rFonts w:ascii="Calibri" w:hAnsi="Calibri" w:cs="Calibri"/>
                <w:sz w:val="18"/>
                <w:szCs w:val="18"/>
              </w:rPr>
              <w:t>0</w:t>
            </w:r>
          </w:p>
        </w:tc>
        <w:tc>
          <w:tcPr>
            <w:tcW w:w="3965" w:type="dxa"/>
            <w:gridSpan w:val="33"/>
            <w:tcBorders>
              <w:top w:val="single" w:sz="4" w:space="0" w:color="auto"/>
              <w:left w:val="single" w:sz="4" w:space="0" w:color="auto"/>
              <w:bottom w:val="single" w:sz="4" w:space="0" w:color="auto"/>
              <w:right w:val="single" w:sz="4" w:space="0" w:color="auto"/>
            </w:tcBorders>
          </w:tcPr>
          <w:p w:rsidR="00D07C73" w:rsidRPr="00D07C73" w:rsidRDefault="00D07C73" w:rsidP="00B15436">
            <w:pPr>
              <w:rPr>
                <w:rFonts w:ascii="Calibri" w:hAnsi="Calibri" w:cs="Calibri"/>
                <w:sz w:val="18"/>
                <w:szCs w:val="18"/>
              </w:rPr>
            </w:pPr>
            <w:r w:rsidRPr="00D07C73">
              <w:rPr>
                <w:rFonts w:ascii="Calibri" w:hAnsi="Calibri" w:cs="Calibri"/>
                <w:sz w:val="18"/>
                <w:szCs w:val="18"/>
              </w:rPr>
              <w:t>Refundace  SDH za rok 2022 (nebylo rozpočtováno)</w:t>
            </w:r>
          </w:p>
        </w:tc>
      </w:tr>
      <w:tr w:rsidR="00D07C73" w:rsidRPr="00D07C73" w:rsidTr="00AE504D">
        <w:trPr>
          <w:gridAfter w:val="22"/>
          <w:wAfter w:w="3833" w:type="dxa"/>
        </w:trPr>
        <w:tc>
          <w:tcPr>
            <w:tcW w:w="846" w:type="dxa"/>
            <w:gridSpan w:val="3"/>
            <w:tcBorders>
              <w:top w:val="single" w:sz="4" w:space="0" w:color="auto"/>
              <w:left w:val="single" w:sz="4" w:space="0" w:color="auto"/>
              <w:bottom w:val="single" w:sz="4" w:space="0" w:color="auto"/>
              <w:right w:val="single" w:sz="4" w:space="0" w:color="auto"/>
            </w:tcBorders>
          </w:tcPr>
          <w:p w:rsidR="00D07C73" w:rsidRPr="00D07C73" w:rsidRDefault="00D07C73" w:rsidP="00B15436">
            <w:pPr>
              <w:jc w:val="center"/>
              <w:rPr>
                <w:rFonts w:ascii="Calibri" w:hAnsi="Calibri" w:cs="Calibri"/>
                <w:sz w:val="18"/>
                <w:szCs w:val="18"/>
              </w:rPr>
            </w:pPr>
            <w:r w:rsidRPr="00D07C73">
              <w:rPr>
                <w:rFonts w:ascii="Calibri" w:hAnsi="Calibri" w:cs="Calibri"/>
                <w:sz w:val="18"/>
                <w:szCs w:val="18"/>
              </w:rPr>
              <w:t>5311</w:t>
            </w:r>
          </w:p>
        </w:tc>
        <w:tc>
          <w:tcPr>
            <w:tcW w:w="632" w:type="dxa"/>
            <w:gridSpan w:val="4"/>
            <w:tcBorders>
              <w:top w:val="single" w:sz="4" w:space="0" w:color="auto"/>
              <w:left w:val="single" w:sz="4" w:space="0" w:color="auto"/>
              <w:bottom w:val="single" w:sz="4" w:space="0" w:color="auto"/>
              <w:right w:val="single" w:sz="4" w:space="0" w:color="auto"/>
            </w:tcBorders>
          </w:tcPr>
          <w:p w:rsidR="00D07C73" w:rsidRPr="00D07C73" w:rsidRDefault="00D07C73" w:rsidP="00B15436">
            <w:pPr>
              <w:jc w:val="center"/>
              <w:rPr>
                <w:rFonts w:ascii="Calibri" w:hAnsi="Calibri" w:cs="Calibri"/>
                <w:sz w:val="18"/>
                <w:szCs w:val="18"/>
              </w:rPr>
            </w:pPr>
            <w:r w:rsidRPr="00D07C73">
              <w:rPr>
                <w:rFonts w:ascii="Calibri" w:hAnsi="Calibri" w:cs="Calibri"/>
                <w:sz w:val="18"/>
                <w:szCs w:val="18"/>
              </w:rPr>
              <w:t>1359</w:t>
            </w:r>
          </w:p>
        </w:tc>
        <w:tc>
          <w:tcPr>
            <w:tcW w:w="1272" w:type="dxa"/>
            <w:gridSpan w:val="10"/>
            <w:tcBorders>
              <w:top w:val="single" w:sz="4" w:space="0" w:color="auto"/>
              <w:left w:val="single" w:sz="4" w:space="0" w:color="auto"/>
              <w:bottom w:val="single" w:sz="4" w:space="0" w:color="auto"/>
              <w:right w:val="single" w:sz="4" w:space="0" w:color="auto"/>
            </w:tcBorders>
          </w:tcPr>
          <w:p w:rsidR="00D07C73" w:rsidRPr="00D07C73" w:rsidRDefault="00D07C73" w:rsidP="00B15436">
            <w:pPr>
              <w:jc w:val="center"/>
              <w:rPr>
                <w:rFonts w:ascii="Calibri" w:hAnsi="Calibri" w:cs="Calibri"/>
                <w:sz w:val="18"/>
                <w:szCs w:val="18"/>
              </w:rPr>
            </w:pPr>
            <w:r w:rsidRPr="00D07C73">
              <w:rPr>
                <w:rFonts w:ascii="Calibri" w:hAnsi="Calibri" w:cs="Calibri"/>
                <w:sz w:val="18"/>
                <w:szCs w:val="18"/>
              </w:rPr>
              <w:t>013000135000</w:t>
            </w:r>
          </w:p>
        </w:tc>
        <w:tc>
          <w:tcPr>
            <w:tcW w:w="850" w:type="dxa"/>
            <w:gridSpan w:val="10"/>
            <w:tcBorders>
              <w:top w:val="single" w:sz="4" w:space="0" w:color="auto"/>
              <w:left w:val="single" w:sz="4" w:space="0" w:color="auto"/>
              <w:bottom w:val="single" w:sz="4" w:space="0" w:color="auto"/>
              <w:right w:val="single" w:sz="4" w:space="0" w:color="auto"/>
            </w:tcBorders>
          </w:tcPr>
          <w:p w:rsidR="00D07C73" w:rsidRPr="00D07C73" w:rsidRDefault="00D07C73" w:rsidP="00B15436">
            <w:pPr>
              <w:jc w:val="center"/>
              <w:rPr>
                <w:rFonts w:ascii="Calibri" w:hAnsi="Calibri" w:cs="Calibri"/>
                <w:sz w:val="18"/>
                <w:szCs w:val="18"/>
              </w:rPr>
            </w:pPr>
          </w:p>
        </w:tc>
        <w:tc>
          <w:tcPr>
            <w:tcW w:w="722" w:type="dxa"/>
            <w:tcBorders>
              <w:top w:val="single" w:sz="4" w:space="0" w:color="auto"/>
              <w:left w:val="single" w:sz="4" w:space="0" w:color="auto"/>
              <w:bottom w:val="single" w:sz="4" w:space="0" w:color="auto"/>
              <w:right w:val="single" w:sz="4" w:space="0" w:color="auto"/>
            </w:tcBorders>
          </w:tcPr>
          <w:p w:rsidR="00D07C73" w:rsidRPr="00D07C73" w:rsidRDefault="00D07C73" w:rsidP="00B15436">
            <w:pPr>
              <w:jc w:val="right"/>
              <w:rPr>
                <w:rFonts w:ascii="Calibri" w:hAnsi="Calibri" w:cs="Calibri"/>
                <w:sz w:val="18"/>
                <w:szCs w:val="18"/>
              </w:rPr>
            </w:pPr>
            <w:r w:rsidRPr="00D07C73">
              <w:rPr>
                <w:rFonts w:ascii="Calibri" w:hAnsi="Calibri" w:cs="Calibri"/>
                <w:sz w:val="18"/>
                <w:szCs w:val="18"/>
              </w:rPr>
              <w:t>200</w:t>
            </w:r>
            <w:r>
              <w:rPr>
                <w:rFonts w:ascii="Calibri" w:hAnsi="Calibri" w:cs="Calibri"/>
                <w:sz w:val="18"/>
                <w:szCs w:val="18"/>
              </w:rPr>
              <w:t>,00</w:t>
            </w:r>
          </w:p>
        </w:tc>
        <w:tc>
          <w:tcPr>
            <w:tcW w:w="1568" w:type="dxa"/>
            <w:gridSpan w:val="13"/>
            <w:tcBorders>
              <w:top w:val="single" w:sz="4" w:space="0" w:color="auto"/>
              <w:left w:val="single" w:sz="4" w:space="0" w:color="auto"/>
              <w:bottom w:val="single" w:sz="4" w:space="0" w:color="auto"/>
              <w:right w:val="single" w:sz="4" w:space="0" w:color="auto"/>
            </w:tcBorders>
          </w:tcPr>
          <w:p w:rsidR="00D07C73" w:rsidRPr="00D07C73" w:rsidRDefault="00D07C73" w:rsidP="00B15436">
            <w:pPr>
              <w:jc w:val="right"/>
              <w:rPr>
                <w:rFonts w:ascii="Calibri" w:hAnsi="Calibri" w:cs="Calibri"/>
                <w:sz w:val="18"/>
                <w:szCs w:val="18"/>
              </w:rPr>
            </w:pPr>
            <w:r w:rsidRPr="00D07C73">
              <w:rPr>
                <w:rFonts w:ascii="Calibri" w:hAnsi="Calibri" w:cs="Calibri"/>
                <w:sz w:val="18"/>
                <w:szCs w:val="18"/>
              </w:rPr>
              <w:t>26</w:t>
            </w:r>
            <w:r>
              <w:rPr>
                <w:rFonts w:ascii="Calibri" w:hAnsi="Calibri" w:cs="Calibri"/>
                <w:sz w:val="18"/>
                <w:szCs w:val="18"/>
              </w:rPr>
              <w:t>,00</w:t>
            </w:r>
          </w:p>
        </w:tc>
        <w:tc>
          <w:tcPr>
            <w:tcW w:w="3965" w:type="dxa"/>
            <w:gridSpan w:val="33"/>
            <w:tcBorders>
              <w:top w:val="single" w:sz="4" w:space="0" w:color="auto"/>
              <w:left w:val="single" w:sz="4" w:space="0" w:color="auto"/>
              <w:bottom w:val="single" w:sz="4" w:space="0" w:color="auto"/>
              <w:right w:val="single" w:sz="4" w:space="0" w:color="auto"/>
            </w:tcBorders>
          </w:tcPr>
          <w:p w:rsidR="00D07C73" w:rsidRPr="00D07C73" w:rsidRDefault="00D07C73" w:rsidP="00B15436">
            <w:pPr>
              <w:rPr>
                <w:rFonts w:ascii="Calibri" w:hAnsi="Calibri" w:cs="Calibri"/>
                <w:sz w:val="18"/>
                <w:szCs w:val="18"/>
              </w:rPr>
            </w:pPr>
            <w:r w:rsidRPr="00D07C73">
              <w:rPr>
                <w:rFonts w:ascii="Calibri" w:hAnsi="Calibri" w:cs="Calibri"/>
                <w:sz w:val="18"/>
                <w:szCs w:val="18"/>
              </w:rPr>
              <w:t>Odtahy vozidel – provedeno méně odtahů</w:t>
            </w:r>
          </w:p>
        </w:tc>
      </w:tr>
      <w:tr w:rsidR="00B15436" w:rsidRPr="00D07C73" w:rsidTr="00B15436">
        <w:trPr>
          <w:gridAfter w:val="15"/>
          <w:wAfter w:w="3410" w:type="dxa"/>
        </w:trPr>
        <w:tc>
          <w:tcPr>
            <w:tcW w:w="458" w:type="dxa"/>
          </w:tcPr>
          <w:p w:rsidR="00D07C73" w:rsidRPr="00D07C73" w:rsidRDefault="00D07C73" w:rsidP="00B15436">
            <w:pPr>
              <w:rPr>
                <w:rFonts w:ascii="Calibri" w:hAnsi="Calibri" w:cs="Calibri"/>
                <w:b/>
                <w:sz w:val="20"/>
                <w:szCs w:val="20"/>
              </w:rPr>
            </w:pPr>
          </w:p>
        </w:tc>
        <w:tc>
          <w:tcPr>
            <w:tcW w:w="388" w:type="dxa"/>
            <w:gridSpan w:val="2"/>
          </w:tcPr>
          <w:p w:rsidR="00D07C73" w:rsidRPr="00D07C73" w:rsidRDefault="00D07C73" w:rsidP="00B15436">
            <w:pPr>
              <w:rPr>
                <w:rFonts w:ascii="Calibri" w:hAnsi="Calibri" w:cs="Calibri"/>
                <w:b/>
                <w:sz w:val="20"/>
                <w:szCs w:val="20"/>
              </w:rPr>
            </w:pPr>
          </w:p>
        </w:tc>
        <w:tc>
          <w:tcPr>
            <w:tcW w:w="524" w:type="dxa"/>
            <w:gridSpan w:val="2"/>
          </w:tcPr>
          <w:p w:rsidR="00D07C73" w:rsidRPr="00D07C73" w:rsidRDefault="00D07C73" w:rsidP="00B15436">
            <w:pPr>
              <w:rPr>
                <w:rFonts w:ascii="Calibri" w:hAnsi="Calibri" w:cs="Calibri"/>
                <w:b/>
                <w:sz w:val="20"/>
                <w:szCs w:val="20"/>
              </w:rPr>
            </w:pPr>
          </w:p>
        </w:tc>
        <w:tc>
          <w:tcPr>
            <w:tcW w:w="160" w:type="dxa"/>
            <w:gridSpan w:val="3"/>
          </w:tcPr>
          <w:p w:rsidR="00D07C73" w:rsidRPr="00D07C73" w:rsidRDefault="00D07C73" w:rsidP="00B15436">
            <w:pPr>
              <w:rPr>
                <w:rFonts w:ascii="Calibri" w:hAnsi="Calibri" w:cs="Calibri"/>
                <w:b/>
                <w:sz w:val="20"/>
                <w:szCs w:val="20"/>
              </w:rPr>
            </w:pPr>
          </w:p>
        </w:tc>
        <w:tc>
          <w:tcPr>
            <w:tcW w:w="756" w:type="dxa"/>
            <w:gridSpan w:val="3"/>
          </w:tcPr>
          <w:p w:rsidR="00D07C73" w:rsidRPr="00D07C73" w:rsidRDefault="00D07C73" w:rsidP="00B15436">
            <w:pPr>
              <w:rPr>
                <w:rFonts w:ascii="Calibri" w:hAnsi="Calibri" w:cs="Calibri"/>
                <w:b/>
                <w:sz w:val="20"/>
                <w:szCs w:val="20"/>
              </w:rPr>
            </w:pPr>
          </w:p>
        </w:tc>
        <w:tc>
          <w:tcPr>
            <w:tcW w:w="477" w:type="dxa"/>
            <w:gridSpan w:val="8"/>
          </w:tcPr>
          <w:p w:rsidR="00D07C73" w:rsidRPr="00D07C73" w:rsidRDefault="00D07C73" w:rsidP="00B15436">
            <w:pPr>
              <w:rPr>
                <w:rFonts w:ascii="Calibri" w:hAnsi="Calibri" w:cs="Calibri"/>
                <w:b/>
                <w:sz w:val="20"/>
                <w:szCs w:val="20"/>
              </w:rPr>
            </w:pPr>
          </w:p>
        </w:tc>
        <w:tc>
          <w:tcPr>
            <w:tcW w:w="505" w:type="dxa"/>
            <w:gridSpan w:val="5"/>
          </w:tcPr>
          <w:p w:rsidR="00D07C73" w:rsidRPr="00D07C73" w:rsidRDefault="00D07C73" w:rsidP="00B15436">
            <w:pPr>
              <w:rPr>
                <w:rFonts w:ascii="Calibri" w:hAnsi="Calibri" w:cs="Calibri"/>
                <w:b/>
                <w:sz w:val="20"/>
                <w:szCs w:val="20"/>
              </w:rPr>
            </w:pPr>
          </w:p>
        </w:tc>
        <w:tc>
          <w:tcPr>
            <w:tcW w:w="1054" w:type="dxa"/>
            <w:gridSpan w:val="4"/>
          </w:tcPr>
          <w:p w:rsidR="00D07C73" w:rsidRPr="00D07C73" w:rsidRDefault="00D07C73" w:rsidP="00B15436">
            <w:pPr>
              <w:rPr>
                <w:rFonts w:ascii="Calibri" w:hAnsi="Calibri" w:cs="Calibri"/>
                <w:b/>
                <w:sz w:val="20"/>
                <w:szCs w:val="20"/>
              </w:rPr>
            </w:pPr>
          </w:p>
        </w:tc>
        <w:tc>
          <w:tcPr>
            <w:tcW w:w="160" w:type="dxa"/>
            <w:gridSpan w:val="3"/>
          </w:tcPr>
          <w:p w:rsidR="00D07C73" w:rsidRPr="00D07C73" w:rsidRDefault="00D07C73" w:rsidP="00B15436">
            <w:pPr>
              <w:rPr>
                <w:rFonts w:ascii="Calibri" w:hAnsi="Calibri" w:cs="Calibri"/>
                <w:b/>
                <w:sz w:val="20"/>
                <w:szCs w:val="20"/>
              </w:rPr>
            </w:pPr>
          </w:p>
        </w:tc>
        <w:tc>
          <w:tcPr>
            <w:tcW w:w="460" w:type="dxa"/>
            <w:gridSpan w:val="3"/>
          </w:tcPr>
          <w:p w:rsidR="00D07C73" w:rsidRPr="00D07C73" w:rsidRDefault="00D07C73" w:rsidP="00B15436">
            <w:pPr>
              <w:rPr>
                <w:rFonts w:ascii="Calibri" w:hAnsi="Calibri" w:cs="Calibri"/>
                <w:b/>
                <w:sz w:val="20"/>
                <w:szCs w:val="20"/>
              </w:rPr>
            </w:pPr>
          </w:p>
        </w:tc>
        <w:tc>
          <w:tcPr>
            <w:tcW w:w="460" w:type="dxa"/>
            <w:gridSpan w:val="3"/>
          </w:tcPr>
          <w:p w:rsidR="00D07C73" w:rsidRPr="00D07C73" w:rsidRDefault="00D07C73" w:rsidP="00B15436">
            <w:pPr>
              <w:rPr>
                <w:rFonts w:ascii="Calibri" w:hAnsi="Calibri" w:cs="Calibri"/>
                <w:b/>
                <w:sz w:val="20"/>
                <w:szCs w:val="20"/>
              </w:rPr>
            </w:pPr>
          </w:p>
        </w:tc>
        <w:tc>
          <w:tcPr>
            <w:tcW w:w="460" w:type="dxa"/>
            <w:gridSpan w:val="3"/>
          </w:tcPr>
          <w:p w:rsidR="00D07C73" w:rsidRPr="00D07C73" w:rsidRDefault="00D07C73" w:rsidP="00B15436">
            <w:pPr>
              <w:rPr>
                <w:rFonts w:ascii="Calibri" w:hAnsi="Calibri" w:cs="Calibri"/>
                <w:b/>
                <w:sz w:val="20"/>
                <w:szCs w:val="20"/>
              </w:rPr>
            </w:pPr>
          </w:p>
        </w:tc>
        <w:tc>
          <w:tcPr>
            <w:tcW w:w="317" w:type="dxa"/>
            <w:gridSpan w:val="7"/>
          </w:tcPr>
          <w:p w:rsidR="00D07C73" w:rsidRPr="00D07C73" w:rsidRDefault="00D07C73" w:rsidP="00B15436">
            <w:pPr>
              <w:rPr>
                <w:rFonts w:ascii="Calibri" w:hAnsi="Calibri" w:cs="Calibri"/>
                <w:b/>
                <w:sz w:val="20"/>
                <w:szCs w:val="20"/>
              </w:rPr>
            </w:pPr>
          </w:p>
        </w:tc>
        <w:tc>
          <w:tcPr>
            <w:tcW w:w="616" w:type="dxa"/>
            <w:gridSpan w:val="3"/>
          </w:tcPr>
          <w:p w:rsidR="00D07C73" w:rsidRPr="00D07C73" w:rsidRDefault="00D07C73" w:rsidP="00B15436">
            <w:pPr>
              <w:rPr>
                <w:rFonts w:ascii="Calibri" w:hAnsi="Calibri" w:cs="Calibri"/>
                <w:b/>
                <w:sz w:val="20"/>
                <w:szCs w:val="20"/>
              </w:rPr>
            </w:pPr>
          </w:p>
        </w:tc>
        <w:tc>
          <w:tcPr>
            <w:tcW w:w="460" w:type="dxa"/>
            <w:gridSpan w:val="3"/>
          </w:tcPr>
          <w:p w:rsidR="00D07C73" w:rsidRPr="00D07C73" w:rsidRDefault="00D07C73" w:rsidP="00B15436">
            <w:pPr>
              <w:rPr>
                <w:rFonts w:ascii="Calibri" w:hAnsi="Calibri" w:cs="Calibri"/>
                <w:b/>
                <w:sz w:val="20"/>
                <w:szCs w:val="20"/>
              </w:rPr>
            </w:pPr>
          </w:p>
        </w:tc>
        <w:tc>
          <w:tcPr>
            <w:tcW w:w="460" w:type="dxa"/>
          </w:tcPr>
          <w:p w:rsidR="00D07C73" w:rsidRPr="00D07C73" w:rsidRDefault="00D07C73" w:rsidP="00B15436">
            <w:pPr>
              <w:rPr>
                <w:rFonts w:ascii="Calibri" w:hAnsi="Calibri" w:cs="Calibri"/>
                <w:b/>
                <w:sz w:val="20"/>
                <w:szCs w:val="20"/>
              </w:rPr>
            </w:pPr>
          </w:p>
        </w:tc>
        <w:tc>
          <w:tcPr>
            <w:tcW w:w="460" w:type="dxa"/>
          </w:tcPr>
          <w:p w:rsidR="00D07C73" w:rsidRPr="00D07C73" w:rsidRDefault="00D07C73" w:rsidP="00B15436">
            <w:pPr>
              <w:rPr>
                <w:rFonts w:ascii="Calibri" w:hAnsi="Calibri" w:cs="Calibri"/>
                <w:b/>
                <w:sz w:val="20"/>
                <w:szCs w:val="20"/>
              </w:rPr>
            </w:pPr>
          </w:p>
        </w:tc>
        <w:tc>
          <w:tcPr>
            <w:tcW w:w="460" w:type="dxa"/>
            <w:gridSpan w:val="9"/>
          </w:tcPr>
          <w:p w:rsidR="00D07C73" w:rsidRPr="00D07C73" w:rsidRDefault="00D07C73" w:rsidP="00B15436">
            <w:pPr>
              <w:rPr>
                <w:rFonts w:ascii="Calibri" w:hAnsi="Calibri" w:cs="Calibri"/>
                <w:b/>
                <w:sz w:val="20"/>
                <w:szCs w:val="20"/>
              </w:rPr>
            </w:pPr>
          </w:p>
        </w:tc>
        <w:tc>
          <w:tcPr>
            <w:tcW w:w="460" w:type="dxa"/>
            <w:gridSpan w:val="5"/>
          </w:tcPr>
          <w:p w:rsidR="00D07C73" w:rsidRPr="00D07C73" w:rsidRDefault="00D07C73" w:rsidP="00B15436">
            <w:pPr>
              <w:rPr>
                <w:rFonts w:ascii="Calibri" w:hAnsi="Calibri" w:cs="Calibri"/>
                <w:b/>
                <w:sz w:val="20"/>
                <w:szCs w:val="20"/>
              </w:rPr>
            </w:pPr>
          </w:p>
        </w:tc>
        <w:tc>
          <w:tcPr>
            <w:tcW w:w="1183" w:type="dxa"/>
            <w:gridSpan w:val="12"/>
          </w:tcPr>
          <w:p w:rsidR="00D07C73" w:rsidRPr="00D07C73" w:rsidRDefault="00D07C73" w:rsidP="00B15436">
            <w:pPr>
              <w:rPr>
                <w:rFonts w:ascii="Calibri" w:hAnsi="Calibri" w:cs="Calibri"/>
                <w:b/>
                <w:sz w:val="20"/>
                <w:szCs w:val="20"/>
              </w:rPr>
            </w:pPr>
          </w:p>
        </w:tc>
      </w:tr>
      <w:tr w:rsidR="00D07C73" w:rsidRPr="00D07C73" w:rsidTr="00B15436">
        <w:trPr>
          <w:gridAfter w:val="19"/>
          <w:wAfter w:w="3768" w:type="dxa"/>
        </w:trPr>
        <w:tc>
          <w:tcPr>
            <w:tcW w:w="9920" w:type="dxa"/>
            <w:gridSpan w:val="77"/>
            <w:shd w:val="clear" w:color="auto" w:fill="F79646"/>
          </w:tcPr>
          <w:p w:rsidR="00D07C73" w:rsidRPr="00D07C73" w:rsidRDefault="00D07C73" w:rsidP="00B15436">
            <w:pPr>
              <w:rPr>
                <w:rFonts w:ascii="Calibri" w:hAnsi="Calibri" w:cs="Calibri"/>
                <w:b/>
                <w:sz w:val="20"/>
                <w:szCs w:val="20"/>
                <w:u w:val="single"/>
              </w:rPr>
            </w:pPr>
            <w:r w:rsidRPr="00D07C73">
              <w:rPr>
                <w:rFonts w:ascii="Calibri" w:hAnsi="Calibri" w:cs="Calibri"/>
                <w:b/>
                <w:sz w:val="20"/>
                <w:szCs w:val="20"/>
                <w:u w:val="single"/>
              </w:rPr>
              <w:t>Rozbor čerpání výdajů rozpočtu kapitoly</w:t>
            </w:r>
          </w:p>
        </w:tc>
      </w:tr>
      <w:tr w:rsidR="00D07C73" w:rsidRPr="00D07C73" w:rsidTr="00B15436">
        <w:tc>
          <w:tcPr>
            <w:tcW w:w="460" w:type="dxa"/>
            <w:gridSpan w:val="2"/>
          </w:tcPr>
          <w:p w:rsidR="00D07C73" w:rsidRPr="00D07C73" w:rsidRDefault="00D07C73" w:rsidP="00B15436">
            <w:pPr>
              <w:rPr>
                <w:rFonts w:ascii="Calibri" w:hAnsi="Calibri" w:cs="Calibri"/>
                <w:b/>
                <w:sz w:val="20"/>
                <w:szCs w:val="20"/>
              </w:rPr>
            </w:pPr>
          </w:p>
        </w:tc>
        <w:tc>
          <w:tcPr>
            <w:tcW w:w="392" w:type="dxa"/>
            <w:gridSpan w:val="2"/>
          </w:tcPr>
          <w:p w:rsidR="00D07C73" w:rsidRPr="00D07C73" w:rsidRDefault="00D07C73" w:rsidP="00B15436">
            <w:pPr>
              <w:rPr>
                <w:rFonts w:ascii="Calibri" w:hAnsi="Calibri" w:cs="Calibri"/>
                <w:b/>
                <w:sz w:val="20"/>
                <w:szCs w:val="20"/>
              </w:rPr>
            </w:pPr>
          </w:p>
        </w:tc>
        <w:tc>
          <w:tcPr>
            <w:tcW w:w="528" w:type="dxa"/>
            <w:gridSpan w:val="2"/>
          </w:tcPr>
          <w:p w:rsidR="00D07C73" w:rsidRPr="00D07C73" w:rsidRDefault="00D07C73" w:rsidP="00B15436">
            <w:pPr>
              <w:rPr>
                <w:rFonts w:ascii="Calibri" w:hAnsi="Calibri" w:cs="Calibri"/>
                <w:b/>
                <w:sz w:val="20"/>
                <w:szCs w:val="20"/>
              </w:rPr>
            </w:pPr>
          </w:p>
        </w:tc>
        <w:tc>
          <w:tcPr>
            <w:tcW w:w="1102" w:type="dxa"/>
            <w:gridSpan w:val="8"/>
          </w:tcPr>
          <w:p w:rsidR="00D07C73" w:rsidRPr="00D07C73" w:rsidRDefault="00D07C73" w:rsidP="00B15436">
            <w:pPr>
              <w:rPr>
                <w:rFonts w:ascii="Calibri" w:hAnsi="Calibri" w:cs="Calibri"/>
                <w:b/>
                <w:sz w:val="20"/>
                <w:szCs w:val="20"/>
              </w:rPr>
            </w:pPr>
          </w:p>
        </w:tc>
        <w:tc>
          <w:tcPr>
            <w:tcW w:w="160" w:type="dxa"/>
            <w:gridSpan w:val="2"/>
          </w:tcPr>
          <w:p w:rsidR="00D07C73" w:rsidRPr="00D07C73" w:rsidRDefault="00D07C73" w:rsidP="00B15436">
            <w:pPr>
              <w:rPr>
                <w:rFonts w:ascii="Calibri" w:hAnsi="Calibri" w:cs="Calibri"/>
                <w:b/>
                <w:sz w:val="20"/>
                <w:szCs w:val="20"/>
              </w:rPr>
            </w:pPr>
          </w:p>
        </w:tc>
        <w:tc>
          <w:tcPr>
            <w:tcW w:w="460" w:type="dxa"/>
            <w:gridSpan w:val="5"/>
          </w:tcPr>
          <w:p w:rsidR="00D07C73" w:rsidRPr="00D07C73" w:rsidRDefault="00D07C73" w:rsidP="00B15436">
            <w:pPr>
              <w:rPr>
                <w:rFonts w:ascii="Calibri" w:hAnsi="Calibri" w:cs="Calibri"/>
                <w:b/>
                <w:sz w:val="20"/>
                <w:szCs w:val="20"/>
              </w:rPr>
            </w:pPr>
          </w:p>
        </w:tc>
        <w:tc>
          <w:tcPr>
            <w:tcW w:w="460" w:type="dxa"/>
            <w:gridSpan w:val="5"/>
          </w:tcPr>
          <w:p w:rsidR="00D07C73" w:rsidRPr="00D07C73" w:rsidRDefault="00D07C73" w:rsidP="00B15436">
            <w:pPr>
              <w:rPr>
                <w:rFonts w:ascii="Calibri" w:hAnsi="Calibri" w:cs="Calibri"/>
                <w:b/>
                <w:sz w:val="20"/>
                <w:szCs w:val="20"/>
              </w:rPr>
            </w:pPr>
          </w:p>
        </w:tc>
        <w:tc>
          <w:tcPr>
            <w:tcW w:w="1814" w:type="dxa"/>
            <w:gridSpan w:val="10"/>
          </w:tcPr>
          <w:p w:rsidR="00D07C73" w:rsidRPr="00D07C73" w:rsidRDefault="00D07C73" w:rsidP="00B15436">
            <w:pPr>
              <w:rPr>
                <w:rFonts w:ascii="Calibri" w:hAnsi="Calibri" w:cs="Calibri"/>
                <w:b/>
                <w:sz w:val="20"/>
                <w:szCs w:val="20"/>
              </w:rPr>
            </w:pPr>
          </w:p>
        </w:tc>
        <w:tc>
          <w:tcPr>
            <w:tcW w:w="160" w:type="dxa"/>
            <w:gridSpan w:val="3"/>
          </w:tcPr>
          <w:p w:rsidR="00D07C73" w:rsidRPr="00D07C73" w:rsidRDefault="00D07C73" w:rsidP="00B15436">
            <w:pPr>
              <w:rPr>
                <w:rFonts w:ascii="Calibri" w:hAnsi="Calibri" w:cs="Calibri"/>
                <w:b/>
                <w:sz w:val="20"/>
                <w:szCs w:val="20"/>
              </w:rPr>
            </w:pPr>
          </w:p>
        </w:tc>
        <w:tc>
          <w:tcPr>
            <w:tcW w:w="397" w:type="dxa"/>
            <w:gridSpan w:val="5"/>
          </w:tcPr>
          <w:p w:rsidR="00D07C73" w:rsidRPr="00D07C73" w:rsidRDefault="00D07C73" w:rsidP="00B15436">
            <w:pPr>
              <w:rPr>
                <w:rFonts w:ascii="Calibri" w:hAnsi="Calibri" w:cs="Calibri"/>
                <w:b/>
                <w:sz w:val="20"/>
                <w:szCs w:val="20"/>
              </w:rPr>
            </w:pPr>
          </w:p>
        </w:tc>
        <w:tc>
          <w:tcPr>
            <w:tcW w:w="160" w:type="dxa"/>
            <w:gridSpan w:val="2"/>
          </w:tcPr>
          <w:p w:rsidR="00D07C73" w:rsidRPr="00D07C73" w:rsidRDefault="00D07C73" w:rsidP="00B15436">
            <w:pPr>
              <w:rPr>
                <w:rFonts w:ascii="Calibri" w:hAnsi="Calibri" w:cs="Calibri"/>
                <w:b/>
                <w:sz w:val="20"/>
                <w:szCs w:val="20"/>
              </w:rPr>
            </w:pPr>
          </w:p>
        </w:tc>
        <w:tc>
          <w:tcPr>
            <w:tcW w:w="2321" w:type="dxa"/>
            <w:gridSpan w:val="13"/>
          </w:tcPr>
          <w:p w:rsidR="00D07C73" w:rsidRPr="00D07C73" w:rsidRDefault="00D07C73" w:rsidP="00B15436">
            <w:pPr>
              <w:rPr>
                <w:rFonts w:ascii="Calibri" w:hAnsi="Calibri" w:cs="Calibri"/>
                <w:b/>
                <w:sz w:val="20"/>
                <w:szCs w:val="20"/>
              </w:rPr>
            </w:pPr>
          </w:p>
        </w:tc>
        <w:tc>
          <w:tcPr>
            <w:tcW w:w="160" w:type="dxa"/>
            <w:gridSpan w:val="4"/>
          </w:tcPr>
          <w:p w:rsidR="00D07C73" w:rsidRPr="00D07C73" w:rsidRDefault="00D07C73" w:rsidP="00B15436">
            <w:pPr>
              <w:rPr>
                <w:rFonts w:ascii="Calibri" w:hAnsi="Calibri" w:cs="Calibri"/>
                <w:b/>
                <w:sz w:val="20"/>
                <w:szCs w:val="20"/>
              </w:rPr>
            </w:pPr>
          </w:p>
        </w:tc>
        <w:tc>
          <w:tcPr>
            <w:tcW w:w="460" w:type="dxa"/>
            <w:gridSpan w:val="5"/>
          </w:tcPr>
          <w:p w:rsidR="00D07C73" w:rsidRPr="00D07C73" w:rsidRDefault="00D07C73" w:rsidP="00B15436">
            <w:pPr>
              <w:rPr>
                <w:rFonts w:ascii="Calibri" w:hAnsi="Calibri" w:cs="Calibri"/>
                <w:b/>
                <w:sz w:val="20"/>
                <w:szCs w:val="20"/>
              </w:rPr>
            </w:pPr>
          </w:p>
        </w:tc>
        <w:tc>
          <w:tcPr>
            <w:tcW w:w="460" w:type="dxa"/>
            <w:gridSpan w:val="5"/>
          </w:tcPr>
          <w:p w:rsidR="00D07C73" w:rsidRPr="00D07C73" w:rsidRDefault="00D07C73" w:rsidP="00B15436">
            <w:pPr>
              <w:rPr>
                <w:rFonts w:ascii="Calibri" w:hAnsi="Calibri" w:cs="Calibri"/>
                <w:b/>
                <w:sz w:val="20"/>
                <w:szCs w:val="20"/>
              </w:rPr>
            </w:pPr>
          </w:p>
        </w:tc>
        <w:tc>
          <w:tcPr>
            <w:tcW w:w="460" w:type="dxa"/>
            <w:gridSpan w:val="7"/>
          </w:tcPr>
          <w:p w:rsidR="00D07C73" w:rsidRPr="00D07C73" w:rsidRDefault="00D07C73" w:rsidP="00B15436">
            <w:pPr>
              <w:rPr>
                <w:rFonts w:ascii="Calibri" w:hAnsi="Calibri" w:cs="Calibri"/>
                <w:b/>
                <w:sz w:val="20"/>
                <w:szCs w:val="20"/>
              </w:rPr>
            </w:pPr>
          </w:p>
        </w:tc>
        <w:tc>
          <w:tcPr>
            <w:tcW w:w="460" w:type="dxa"/>
            <w:gridSpan w:val="5"/>
          </w:tcPr>
          <w:p w:rsidR="00D07C73" w:rsidRPr="00D07C73" w:rsidRDefault="00D07C73" w:rsidP="00B15436">
            <w:pPr>
              <w:rPr>
                <w:rFonts w:ascii="Calibri" w:hAnsi="Calibri" w:cs="Calibri"/>
                <w:b/>
                <w:sz w:val="20"/>
                <w:szCs w:val="20"/>
              </w:rPr>
            </w:pPr>
          </w:p>
        </w:tc>
        <w:tc>
          <w:tcPr>
            <w:tcW w:w="460" w:type="dxa"/>
            <w:gridSpan w:val="4"/>
          </w:tcPr>
          <w:p w:rsidR="00D07C73" w:rsidRPr="00D07C73" w:rsidRDefault="00D07C73" w:rsidP="00B15436">
            <w:pPr>
              <w:rPr>
                <w:rFonts w:ascii="Calibri" w:hAnsi="Calibri" w:cs="Calibri"/>
                <w:b/>
                <w:sz w:val="20"/>
                <w:szCs w:val="20"/>
              </w:rPr>
            </w:pPr>
          </w:p>
        </w:tc>
        <w:tc>
          <w:tcPr>
            <w:tcW w:w="460" w:type="dxa"/>
            <w:gridSpan w:val="4"/>
          </w:tcPr>
          <w:p w:rsidR="00D07C73" w:rsidRPr="00D07C73" w:rsidRDefault="00D07C73" w:rsidP="00B15436">
            <w:pPr>
              <w:rPr>
                <w:rFonts w:ascii="Calibri" w:hAnsi="Calibri" w:cs="Calibri"/>
                <w:b/>
                <w:sz w:val="20"/>
                <w:szCs w:val="20"/>
              </w:rPr>
            </w:pPr>
          </w:p>
        </w:tc>
        <w:tc>
          <w:tcPr>
            <w:tcW w:w="2354" w:type="dxa"/>
            <w:gridSpan w:val="3"/>
          </w:tcPr>
          <w:p w:rsidR="00D07C73" w:rsidRPr="00D07C73" w:rsidRDefault="00D07C73" w:rsidP="00B15436">
            <w:pPr>
              <w:rPr>
                <w:rFonts w:ascii="Calibri" w:hAnsi="Calibri" w:cs="Calibri"/>
                <w:b/>
                <w:sz w:val="20"/>
                <w:szCs w:val="20"/>
              </w:rPr>
            </w:pPr>
          </w:p>
        </w:tc>
      </w:tr>
      <w:tr w:rsidR="00B15436" w:rsidRPr="00D07C73" w:rsidTr="00AE504D">
        <w:trPr>
          <w:gridAfter w:val="18"/>
          <w:wAfter w:w="3765" w:type="dxa"/>
        </w:trPr>
        <w:tc>
          <w:tcPr>
            <w:tcW w:w="2482" w:type="dxa"/>
            <w:gridSpan w:val="14"/>
            <w:tcBorders>
              <w:top w:val="single" w:sz="4" w:space="0" w:color="auto"/>
              <w:left w:val="single" w:sz="4" w:space="0" w:color="auto"/>
              <w:bottom w:val="single" w:sz="4" w:space="0" w:color="auto"/>
              <w:right w:val="single" w:sz="4" w:space="0" w:color="auto"/>
            </w:tcBorders>
            <w:shd w:val="clear" w:color="auto" w:fill="FFFF00"/>
          </w:tcPr>
          <w:p w:rsidR="00D07C73" w:rsidRPr="00D07C73" w:rsidRDefault="00D07C73" w:rsidP="00B15436">
            <w:pPr>
              <w:jc w:val="center"/>
              <w:rPr>
                <w:rFonts w:ascii="Calibri" w:hAnsi="Calibri" w:cs="Calibri"/>
                <w:b/>
                <w:sz w:val="20"/>
                <w:szCs w:val="20"/>
              </w:rPr>
            </w:pPr>
            <w:r w:rsidRPr="00D07C73">
              <w:rPr>
                <w:rFonts w:ascii="Calibri" w:hAnsi="Calibri" w:cs="Calibri"/>
                <w:b/>
                <w:sz w:val="20"/>
                <w:szCs w:val="20"/>
              </w:rPr>
              <w:t>Rozpočet upravený v tis. Kč</w:t>
            </w:r>
          </w:p>
        </w:tc>
        <w:tc>
          <w:tcPr>
            <w:tcW w:w="1985" w:type="dxa"/>
            <w:gridSpan w:val="16"/>
            <w:tcBorders>
              <w:top w:val="single" w:sz="4" w:space="0" w:color="auto"/>
              <w:left w:val="single" w:sz="4" w:space="0" w:color="auto"/>
              <w:bottom w:val="single" w:sz="4" w:space="0" w:color="auto"/>
              <w:right w:val="single" w:sz="4" w:space="0" w:color="auto"/>
            </w:tcBorders>
            <w:shd w:val="clear" w:color="auto" w:fill="FFFF00"/>
          </w:tcPr>
          <w:p w:rsidR="00D07C73" w:rsidRPr="00D07C73" w:rsidRDefault="00D07C73" w:rsidP="00B15436">
            <w:pPr>
              <w:jc w:val="center"/>
              <w:rPr>
                <w:rFonts w:ascii="Calibri" w:hAnsi="Calibri" w:cs="Calibri"/>
                <w:b/>
                <w:sz w:val="20"/>
                <w:szCs w:val="20"/>
              </w:rPr>
            </w:pPr>
            <w:r w:rsidRPr="00D07C73">
              <w:rPr>
                <w:rFonts w:ascii="Calibri" w:hAnsi="Calibri" w:cs="Calibri"/>
                <w:b/>
                <w:sz w:val="20"/>
                <w:szCs w:val="20"/>
              </w:rPr>
              <w:t>Skutečnost v tis. Kč</w:t>
            </w:r>
          </w:p>
        </w:tc>
        <w:tc>
          <w:tcPr>
            <w:tcW w:w="2551" w:type="dxa"/>
            <w:gridSpan w:val="22"/>
            <w:tcBorders>
              <w:top w:val="single" w:sz="4" w:space="0" w:color="auto"/>
              <w:left w:val="single" w:sz="4" w:space="0" w:color="auto"/>
              <w:bottom w:val="single" w:sz="4" w:space="0" w:color="auto"/>
              <w:right w:val="single" w:sz="4" w:space="0" w:color="auto"/>
            </w:tcBorders>
            <w:shd w:val="clear" w:color="auto" w:fill="FFFF00"/>
          </w:tcPr>
          <w:p w:rsidR="00D07C73" w:rsidRPr="00D07C73" w:rsidRDefault="00D07C73" w:rsidP="00B15436">
            <w:pPr>
              <w:jc w:val="center"/>
              <w:rPr>
                <w:rFonts w:ascii="Calibri" w:hAnsi="Calibri" w:cs="Calibri"/>
                <w:b/>
                <w:sz w:val="20"/>
                <w:szCs w:val="20"/>
              </w:rPr>
            </w:pPr>
            <w:r w:rsidRPr="00D07C73">
              <w:rPr>
                <w:rFonts w:ascii="Calibri" w:hAnsi="Calibri" w:cs="Calibri"/>
                <w:b/>
                <w:sz w:val="20"/>
                <w:szCs w:val="20"/>
              </w:rPr>
              <w:t>SK/RU v %</w:t>
            </w:r>
          </w:p>
        </w:tc>
        <w:tc>
          <w:tcPr>
            <w:tcW w:w="2905" w:type="dxa"/>
            <w:gridSpan w:val="26"/>
            <w:tcBorders>
              <w:top w:val="single" w:sz="4" w:space="0" w:color="auto"/>
              <w:left w:val="single" w:sz="4" w:space="0" w:color="auto"/>
              <w:bottom w:val="single" w:sz="4" w:space="0" w:color="auto"/>
              <w:right w:val="single" w:sz="4" w:space="0" w:color="auto"/>
            </w:tcBorders>
            <w:shd w:val="clear" w:color="auto" w:fill="FFFF00"/>
          </w:tcPr>
          <w:p w:rsidR="00D07C73" w:rsidRPr="00D07C73" w:rsidRDefault="00D07C73" w:rsidP="00B15436">
            <w:pPr>
              <w:jc w:val="center"/>
              <w:rPr>
                <w:rFonts w:ascii="Calibri" w:hAnsi="Calibri" w:cs="Calibri"/>
                <w:b/>
                <w:sz w:val="20"/>
                <w:szCs w:val="20"/>
              </w:rPr>
            </w:pPr>
            <w:r w:rsidRPr="00D07C73">
              <w:rPr>
                <w:rFonts w:ascii="Calibri" w:hAnsi="Calibri" w:cs="Calibri"/>
                <w:b/>
                <w:sz w:val="20"/>
                <w:szCs w:val="20"/>
              </w:rPr>
              <w:t>Komentář</w:t>
            </w:r>
          </w:p>
        </w:tc>
      </w:tr>
      <w:tr w:rsidR="00D07C73" w:rsidRPr="00D07C73" w:rsidTr="00AE504D">
        <w:trPr>
          <w:gridAfter w:val="18"/>
          <w:wAfter w:w="3765" w:type="dxa"/>
        </w:trPr>
        <w:tc>
          <w:tcPr>
            <w:tcW w:w="2482" w:type="dxa"/>
            <w:gridSpan w:val="14"/>
            <w:tcBorders>
              <w:top w:val="single" w:sz="4" w:space="0" w:color="auto"/>
              <w:left w:val="single" w:sz="4" w:space="0" w:color="auto"/>
              <w:bottom w:val="single" w:sz="4" w:space="0" w:color="auto"/>
              <w:right w:val="single" w:sz="4" w:space="0" w:color="auto"/>
            </w:tcBorders>
            <w:vAlign w:val="center"/>
          </w:tcPr>
          <w:p w:rsidR="00D07C73" w:rsidRPr="00D07C73" w:rsidRDefault="00B15436" w:rsidP="00B15436">
            <w:pPr>
              <w:jc w:val="right"/>
              <w:rPr>
                <w:rFonts w:ascii="Calibri" w:hAnsi="Calibri" w:cs="Calibri"/>
                <w:sz w:val="20"/>
                <w:szCs w:val="20"/>
              </w:rPr>
            </w:pPr>
            <w:r>
              <w:rPr>
                <w:rFonts w:ascii="Calibri" w:hAnsi="Calibri" w:cs="Calibri"/>
                <w:sz w:val="20"/>
                <w:szCs w:val="20"/>
              </w:rPr>
              <w:t xml:space="preserve">54 </w:t>
            </w:r>
            <w:r w:rsidR="00D07C73" w:rsidRPr="00D07C73">
              <w:rPr>
                <w:rFonts w:ascii="Calibri" w:hAnsi="Calibri" w:cs="Calibri"/>
                <w:sz w:val="20"/>
                <w:szCs w:val="20"/>
              </w:rPr>
              <w:t>937,88</w:t>
            </w:r>
          </w:p>
        </w:tc>
        <w:tc>
          <w:tcPr>
            <w:tcW w:w="1985" w:type="dxa"/>
            <w:gridSpan w:val="16"/>
            <w:tcBorders>
              <w:top w:val="single" w:sz="4" w:space="0" w:color="auto"/>
              <w:left w:val="single" w:sz="4" w:space="0" w:color="auto"/>
              <w:bottom w:val="single" w:sz="4" w:space="0" w:color="auto"/>
              <w:right w:val="single" w:sz="4" w:space="0" w:color="auto"/>
            </w:tcBorders>
            <w:vAlign w:val="center"/>
          </w:tcPr>
          <w:p w:rsidR="00D07C73" w:rsidRPr="00D07C73" w:rsidRDefault="00B15436" w:rsidP="00B15436">
            <w:pPr>
              <w:jc w:val="right"/>
              <w:rPr>
                <w:rFonts w:ascii="Calibri" w:hAnsi="Calibri" w:cs="Calibri"/>
                <w:sz w:val="20"/>
                <w:szCs w:val="20"/>
              </w:rPr>
            </w:pPr>
            <w:r>
              <w:rPr>
                <w:rFonts w:ascii="Calibri" w:hAnsi="Calibri" w:cs="Calibri"/>
                <w:sz w:val="20"/>
                <w:szCs w:val="20"/>
              </w:rPr>
              <w:t xml:space="preserve">53 </w:t>
            </w:r>
            <w:r w:rsidR="00D07C73" w:rsidRPr="00D07C73">
              <w:rPr>
                <w:rFonts w:ascii="Calibri" w:hAnsi="Calibri" w:cs="Calibri"/>
                <w:sz w:val="20"/>
                <w:szCs w:val="20"/>
              </w:rPr>
              <w:t>223,95</w:t>
            </w:r>
          </w:p>
        </w:tc>
        <w:tc>
          <w:tcPr>
            <w:tcW w:w="2551" w:type="dxa"/>
            <w:gridSpan w:val="22"/>
            <w:tcBorders>
              <w:top w:val="single" w:sz="4" w:space="0" w:color="auto"/>
              <w:left w:val="single" w:sz="4" w:space="0" w:color="auto"/>
              <w:bottom w:val="single" w:sz="4" w:space="0" w:color="auto"/>
              <w:right w:val="single" w:sz="4" w:space="0" w:color="auto"/>
            </w:tcBorders>
            <w:vAlign w:val="center"/>
          </w:tcPr>
          <w:p w:rsidR="00D07C73" w:rsidRPr="00D07C73" w:rsidRDefault="00D07C73" w:rsidP="00B15436">
            <w:pPr>
              <w:jc w:val="center"/>
              <w:rPr>
                <w:rFonts w:ascii="Calibri" w:hAnsi="Calibri" w:cs="Calibri"/>
                <w:sz w:val="20"/>
                <w:szCs w:val="20"/>
              </w:rPr>
            </w:pPr>
            <w:r w:rsidRPr="00D07C73">
              <w:rPr>
                <w:rFonts w:ascii="Calibri" w:hAnsi="Calibri" w:cs="Calibri"/>
                <w:sz w:val="20"/>
                <w:szCs w:val="20"/>
              </w:rPr>
              <w:t>96,88</w:t>
            </w:r>
          </w:p>
        </w:tc>
        <w:tc>
          <w:tcPr>
            <w:tcW w:w="2905" w:type="dxa"/>
            <w:gridSpan w:val="26"/>
            <w:tcBorders>
              <w:top w:val="single" w:sz="4" w:space="0" w:color="auto"/>
              <w:left w:val="single" w:sz="4" w:space="0" w:color="auto"/>
              <w:bottom w:val="single" w:sz="4" w:space="0" w:color="auto"/>
              <w:right w:val="single" w:sz="4" w:space="0" w:color="auto"/>
            </w:tcBorders>
            <w:vAlign w:val="center"/>
          </w:tcPr>
          <w:p w:rsidR="00D07C73" w:rsidRPr="00D07C73" w:rsidRDefault="00D07C73" w:rsidP="00B15436">
            <w:pPr>
              <w:rPr>
                <w:rFonts w:ascii="Calibri" w:hAnsi="Calibri" w:cs="Calibri"/>
                <w:sz w:val="20"/>
                <w:szCs w:val="20"/>
              </w:rPr>
            </w:pPr>
            <w:r w:rsidRPr="00D07C73">
              <w:rPr>
                <w:rFonts w:ascii="Calibri" w:hAnsi="Calibri" w:cs="Calibri"/>
                <w:sz w:val="20"/>
                <w:szCs w:val="20"/>
              </w:rPr>
              <w:t>Nekonsolidované výdaje</w:t>
            </w:r>
          </w:p>
        </w:tc>
      </w:tr>
      <w:tr w:rsidR="00D07C73" w:rsidRPr="00D07C73" w:rsidTr="00AE504D">
        <w:trPr>
          <w:gridAfter w:val="18"/>
          <w:wAfter w:w="3765" w:type="dxa"/>
        </w:trPr>
        <w:tc>
          <w:tcPr>
            <w:tcW w:w="2482" w:type="dxa"/>
            <w:gridSpan w:val="14"/>
            <w:tcBorders>
              <w:top w:val="single" w:sz="4" w:space="0" w:color="auto"/>
              <w:left w:val="single" w:sz="4" w:space="0" w:color="auto"/>
              <w:bottom w:val="single" w:sz="4" w:space="0" w:color="auto"/>
              <w:right w:val="single" w:sz="4" w:space="0" w:color="auto"/>
            </w:tcBorders>
            <w:vAlign w:val="center"/>
          </w:tcPr>
          <w:p w:rsidR="00D07C73" w:rsidRPr="00D07C73" w:rsidRDefault="00B15436" w:rsidP="00B15436">
            <w:pPr>
              <w:jc w:val="right"/>
              <w:rPr>
                <w:rFonts w:ascii="Calibri" w:hAnsi="Calibri" w:cs="Calibri"/>
                <w:sz w:val="20"/>
                <w:szCs w:val="20"/>
              </w:rPr>
            </w:pPr>
            <w:r>
              <w:rPr>
                <w:rFonts w:ascii="Calibri" w:hAnsi="Calibri" w:cs="Calibri"/>
                <w:sz w:val="20"/>
                <w:szCs w:val="20"/>
              </w:rPr>
              <w:t xml:space="preserve">54 </w:t>
            </w:r>
            <w:r w:rsidR="00D07C73" w:rsidRPr="00D07C73">
              <w:rPr>
                <w:rFonts w:ascii="Calibri" w:hAnsi="Calibri" w:cs="Calibri"/>
                <w:sz w:val="20"/>
                <w:szCs w:val="20"/>
              </w:rPr>
              <w:t>937,88</w:t>
            </w:r>
          </w:p>
        </w:tc>
        <w:tc>
          <w:tcPr>
            <w:tcW w:w="1985" w:type="dxa"/>
            <w:gridSpan w:val="16"/>
            <w:tcBorders>
              <w:top w:val="single" w:sz="4" w:space="0" w:color="auto"/>
              <w:left w:val="single" w:sz="4" w:space="0" w:color="auto"/>
              <w:bottom w:val="single" w:sz="4" w:space="0" w:color="auto"/>
              <w:right w:val="single" w:sz="4" w:space="0" w:color="auto"/>
            </w:tcBorders>
            <w:vAlign w:val="center"/>
          </w:tcPr>
          <w:p w:rsidR="00D07C73" w:rsidRPr="00D07C73" w:rsidRDefault="00B15436" w:rsidP="00B15436">
            <w:pPr>
              <w:jc w:val="right"/>
              <w:rPr>
                <w:rFonts w:ascii="Calibri" w:hAnsi="Calibri" w:cs="Calibri"/>
                <w:sz w:val="20"/>
                <w:szCs w:val="20"/>
              </w:rPr>
            </w:pPr>
            <w:r>
              <w:rPr>
                <w:rFonts w:ascii="Calibri" w:hAnsi="Calibri" w:cs="Calibri"/>
                <w:sz w:val="20"/>
                <w:szCs w:val="20"/>
              </w:rPr>
              <w:t xml:space="preserve">53 </w:t>
            </w:r>
            <w:r w:rsidR="00D07C73" w:rsidRPr="00D07C73">
              <w:rPr>
                <w:rFonts w:ascii="Calibri" w:hAnsi="Calibri" w:cs="Calibri"/>
                <w:sz w:val="20"/>
                <w:szCs w:val="20"/>
              </w:rPr>
              <w:t>223,95</w:t>
            </w:r>
          </w:p>
        </w:tc>
        <w:tc>
          <w:tcPr>
            <w:tcW w:w="2551" w:type="dxa"/>
            <w:gridSpan w:val="22"/>
            <w:tcBorders>
              <w:top w:val="single" w:sz="4" w:space="0" w:color="auto"/>
              <w:left w:val="single" w:sz="4" w:space="0" w:color="auto"/>
              <w:bottom w:val="single" w:sz="4" w:space="0" w:color="auto"/>
              <w:right w:val="single" w:sz="4" w:space="0" w:color="auto"/>
            </w:tcBorders>
            <w:vAlign w:val="center"/>
          </w:tcPr>
          <w:p w:rsidR="00D07C73" w:rsidRPr="00D07C73" w:rsidRDefault="00D07C73" w:rsidP="00B15436">
            <w:pPr>
              <w:jc w:val="center"/>
              <w:rPr>
                <w:rFonts w:ascii="Calibri" w:hAnsi="Calibri" w:cs="Calibri"/>
                <w:sz w:val="20"/>
                <w:szCs w:val="20"/>
              </w:rPr>
            </w:pPr>
            <w:r w:rsidRPr="00D07C73">
              <w:rPr>
                <w:rFonts w:ascii="Calibri" w:hAnsi="Calibri" w:cs="Calibri"/>
                <w:sz w:val="20"/>
                <w:szCs w:val="20"/>
              </w:rPr>
              <w:t>96,88</w:t>
            </w:r>
          </w:p>
        </w:tc>
        <w:tc>
          <w:tcPr>
            <w:tcW w:w="2905" w:type="dxa"/>
            <w:gridSpan w:val="26"/>
            <w:tcBorders>
              <w:top w:val="single" w:sz="4" w:space="0" w:color="auto"/>
              <w:left w:val="single" w:sz="4" w:space="0" w:color="auto"/>
              <w:bottom w:val="single" w:sz="4" w:space="0" w:color="auto"/>
              <w:right w:val="single" w:sz="4" w:space="0" w:color="auto"/>
            </w:tcBorders>
            <w:vAlign w:val="center"/>
          </w:tcPr>
          <w:p w:rsidR="00D07C73" w:rsidRPr="00D07C73" w:rsidRDefault="00D07C73" w:rsidP="00B15436">
            <w:pPr>
              <w:rPr>
                <w:rFonts w:ascii="Calibri" w:hAnsi="Calibri" w:cs="Calibri"/>
                <w:sz w:val="20"/>
                <w:szCs w:val="20"/>
              </w:rPr>
            </w:pPr>
            <w:r w:rsidRPr="00D07C73">
              <w:rPr>
                <w:rFonts w:ascii="Calibri" w:hAnsi="Calibri" w:cs="Calibri"/>
                <w:sz w:val="20"/>
                <w:szCs w:val="20"/>
              </w:rPr>
              <w:t>Konsolidované výdaje</w:t>
            </w:r>
          </w:p>
        </w:tc>
      </w:tr>
      <w:tr w:rsidR="00D07C73" w:rsidRPr="00D07C73" w:rsidTr="00B15436">
        <w:tc>
          <w:tcPr>
            <w:tcW w:w="460" w:type="dxa"/>
            <w:gridSpan w:val="2"/>
          </w:tcPr>
          <w:p w:rsidR="00D07C73" w:rsidRPr="00D07C73" w:rsidRDefault="00D07C73" w:rsidP="00B15436">
            <w:pPr>
              <w:rPr>
                <w:rFonts w:ascii="Calibri" w:hAnsi="Calibri" w:cs="Calibri"/>
                <w:b/>
                <w:sz w:val="20"/>
                <w:szCs w:val="20"/>
              </w:rPr>
            </w:pPr>
          </w:p>
        </w:tc>
        <w:tc>
          <w:tcPr>
            <w:tcW w:w="392" w:type="dxa"/>
            <w:gridSpan w:val="2"/>
          </w:tcPr>
          <w:p w:rsidR="00D07C73" w:rsidRPr="00D07C73" w:rsidRDefault="00D07C73" w:rsidP="00B15436">
            <w:pPr>
              <w:rPr>
                <w:rFonts w:ascii="Calibri" w:hAnsi="Calibri" w:cs="Calibri"/>
                <w:b/>
                <w:sz w:val="20"/>
                <w:szCs w:val="20"/>
              </w:rPr>
            </w:pPr>
          </w:p>
        </w:tc>
        <w:tc>
          <w:tcPr>
            <w:tcW w:w="528" w:type="dxa"/>
            <w:gridSpan w:val="2"/>
          </w:tcPr>
          <w:p w:rsidR="00D07C73" w:rsidRPr="00D07C73" w:rsidRDefault="00D07C73" w:rsidP="00B15436">
            <w:pPr>
              <w:rPr>
                <w:rFonts w:ascii="Calibri" w:hAnsi="Calibri" w:cs="Calibri"/>
                <w:b/>
                <w:sz w:val="20"/>
                <w:szCs w:val="20"/>
              </w:rPr>
            </w:pPr>
          </w:p>
        </w:tc>
        <w:tc>
          <w:tcPr>
            <w:tcW w:w="1102" w:type="dxa"/>
            <w:gridSpan w:val="8"/>
          </w:tcPr>
          <w:p w:rsidR="00D07C73" w:rsidRPr="00D07C73" w:rsidRDefault="00D07C73" w:rsidP="00B15436">
            <w:pPr>
              <w:rPr>
                <w:rFonts w:ascii="Calibri" w:hAnsi="Calibri" w:cs="Calibri"/>
                <w:b/>
                <w:sz w:val="20"/>
                <w:szCs w:val="20"/>
              </w:rPr>
            </w:pPr>
          </w:p>
        </w:tc>
        <w:tc>
          <w:tcPr>
            <w:tcW w:w="160" w:type="dxa"/>
            <w:gridSpan w:val="2"/>
          </w:tcPr>
          <w:p w:rsidR="00D07C73" w:rsidRPr="00D07C73" w:rsidRDefault="00D07C73" w:rsidP="00B15436">
            <w:pPr>
              <w:rPr>
                <w:rFonts w:ascii="Calibri" w:hAnsi="Calibri" w:cs="Calibri"/>
                <w:b/>
                <w:sz w:val="20"/>
                <w:szCs w:val="20"/>
              </w:rPr>
            </w:pPr>
          </w:p>
        </w:tc>
        <w:tc>
          <w:tcPr>
            <w:tcW w:w="460" w:type="dxa"/>
            <w:gridSpan w:val="5"/>
          </w:tcPr>
          <w:p w:rsidR="00D07C73" w:rsidRPr="00D07C73" w:rsidRDefault="00D07C73" w:rsidP="00B15436">
            <w:pPr>
              <w:rPr>
                <w:rFonts w:ascii="Calibri" w:hAnsi="Calibri" w:cs="Calibri"/>
                <w:b/>
                <w:sz w:val="20"/>
                <w:szCs w:val="20"/>
              </w:rPr>
            </w:pPr>
          </w:p>
        </w:tc>
        <w:tc>
          <w:tcPr>
            <w:tcW w:w="460" w:type="dxa"/>
            <w:gridSpan w:val="5"/>
          </w:tcPr>
          <w:p w:rsidR="00D07C73" w:rsidRPr="00D07C73" w:rsidRDefault="00D07C73" w:rsidP="00B15436">
            <w:pPr>
              <w:rPr>
                <w:rFonts w:ascii="Calibri" w:hAnsi="Calibri" w:cs="Calibri"/>
                <w:b/>
                <w:sz w:val="20"/>
                <w:szCs w:val="20"/>
              </w:rPr>
            </w:pPr>
          </w:p>
        </w:tc>
        <w:tc>
          <w:tcPr>
            <w:tcW w:w="1814" w:type="dxa"/>
            <w:gridSpan w:val="10"/>
          </w:tcPr>
          <w:p w:rsidR="00D07C73" w:rsidRPr="00D07C73" w:rsidRDefault="00D07C73" w:rsidP="00B15436">
            <w:pPr>
              <w:rPr>
                <w:rFonts w:ascii="Calibri" w:hAnsi="Calibri" w:cs="Calibri"/>
                <w:b/>
                <w:sz w:val="20"/>
                <w:szCs w:val="20"/>
              </w:rPr>
            </w:pPr>
          </w:p>
        </w:tc>
        <w:tc>
          <w:tcPr>
            <w:tcW w:w="160" w:type="dxa"/>
            <w:gridSpan w:val="3"/>
          </w:tcPr>
          <w:p w:rsidR="00D07C73" w:rsidRPr="00D07C73" w:rsidRDefault="00D07C73" w:rsidP="00B15436">
            <w:pPr>
              <w:rPr>
                <w:rFonts w:ascii="Calibri" w:hAnsi="Calibri" w:cs="Calibri"/>
                <w:b/>
                <w:sz w:val="20"/>
                <w:szCs w:val="20"/>
              </w:rPr>
            </w:pPr>
          </w:p>
        </w:tc>
        <w:tc>
          <w:tcPr>
            <w:tcW w:w="397" w:type="dxa"/>
            <w:gridSpan w:val="5"/>
          </w:tcPr>
          <w:p w:rsidR="00D07C73" w:rsidRPr="00D07C73" w:rsidRDefault="00D07C73" w:rsidP="00B15436">
            <w:pPr>
              <w:rPr>
                <w:rFonts w:ascii="Calibri" w:hAnsi="Calibri" w:cs="Calibri"/>
                <w:b/>
                <w:sz w:val="20"/>
                <w:szCs w:val="20"/>
              </w:rPr>
            </w:pPr>
          </w:p>
        </w:tc>
        <w:tc>
          <w:tcPr>
            <w:tcW w:w="160" w:type="dxa"/>
            <w:gridSpan w:val="2"/>
          </w:tcPr>
          <w:p w:rsidR="00D07C73" w:rsidRPr="00D07C73" w:rsidRDefault="00D07C73" w:rsidP="00B15436">
            <w:pPr>
              <w:rPr>
                <w:rFonts w:ascii="Calibri" w:hAnsi="Calibri" w:cs="Calibri"/>
                <w:b/>
                <w:sz w:val="20"/>
                <w:szCs w:val="20"/>
              </w:rPr>
            </w:pPr>
          </w:p>
        </w:tc>
        <w:tc>
          <w:tcPr>
            <w:tcW w:w="2321" w:type="dxa"/>
            <w:gridSpan w:val="13"/>
          </w:tcPr>
          <w:p w:rsidR="00D07C73" w:rsidRPr="00D07C73" w:rsidRDefault="00D07C73" w:rsidP="00B15436">
            <w:pPr>
              <w:rPr>
                <w:rFonts w:ascii="Calibri" w:hAnsi="Calibri" w:cs="Calibri"/>
                <w:b/>
                <w:sz w:val="20"/>
                <w:szCs w:val="20"/>
              </w:rPr>
            </w:pPr>
          </w:p>
        </w:tc>
        <w:tc>
          <w:tcPr>
            <w:tcW w:w="160" w:type="dxa"/>
            <w:gridSpan w:val="4"/>
          </w:tcPr>
          <w:p w:rsidR="00D07C73" w:rsidRPr="00D07C73" w:rsidRDefault="00D07C73" w:rsidP="00B15436">
            <w:pPr>
              <w:rPr>
                <w:rFonts w:ascii="Calibri" w:hAnsi="Calibri" w:cs="Calibri"/>
                <w:b/>
                <w:sz w:val="20"/>
                <w:szCs w:val="20"/>
              </w:rPr>
            </w:pPr>
          </w:p>
        </w:tc>
        <w:tc>
          <w:tcPr>
            <w:tcW w:w="460" w:type="dxa"/>
            <w:gridSpan w:val="5"/>
          </w:tcPr>
          <w:p w:rsidR="00D07C73" w:rsidRPr="00D07C73" w:rsidRDefault="00D07C73" w:rsidP="00B15436">
            <w:pPr>
              <w:rPr>
                <w:rFonts w:ascii="Calibri" w:hAnsi="Calibri" w:cs="Calibri"/>
                <w:b/>
                <w:sz w:val="20"/>
                <w:szCs w:val="20"/>
              </w:rPr>
            </w:pPr>
          </w:p>
        </w:tc>
        <w:tc>
          <w:tcPr>
            <w:tcW w:w="460" w:type="dxa"/>
            <w:gridSpan w:val="5"/>
          </w:tcPr>
          <w:p w:rsidR="00D07C73" w:rsidRPr="00D07C73" w:rsidRDefault="00D07C73" w:rsidP="00B15436">
            <w:pPr>
              <w:rPr>
                <w:rFonts w:ascii="Calibri" w:hAnsi="Calibri" w:cs="Calibri"/>
                <w:b/>
                <w:sz w:val="20"/>
                <w:szCs w:val="20"/>
              </w:rPr>
            </w:pPr>
          </w:p>
        </w:tc>
        <w:tc>
          <w:tcPr>
            <w:tcW w:w="460" w:type="dxa"/>
            <w:gridSpan w:val="7"/>
          </w:tcPr>
          <w:p w:rsidR="00D07C73" w:rsidRPr="00D07C73" w:rsidRDefault="00D07C73" w:rsidP="00B15436">
            <w:pPr>
              <w:rPr>
                <w:rFonts w:ascii="Calibri" w:hAnsi="Calibri" w:cs="Calibri"/>
                <w:b/>
                <w:sz w:val="20"/>
                <w:szCs w:val="20"/>
              </w:rPr>
            </w:pPr>
          </w:p>
        </w:tc>
        <w:tc>
          <w:tcPr>
            <w:tcW w:w="460" w:type="dxa"/>
            <w:gridSpan w:val="5"/>
          </w:tcPr>
          <w:p w:rsidR="00D07C73" w:rsidRPr="00D07C73" w:rsidRDefault="00D07C73" w:rsidP="00B15436">
            <w:pPr>
              <w:rPr>
                <w:rFonts w:ascii="Calibri" w:hAnsi="Calibri" w:cs="Calibri"/>
                <w:b/>
                <w:sz w:val="20"/>
                <w:szCs w:val="20"/>
              </w:rPr>
            </w:pPr>
          </w:p>
        </w:tc>
        <w:tc>
          <w:tcPr>
            <w:tcW w:w="460" w:type="dxa"/>
            <w:gridSpan w:val="4"/>
          </w:tcPr>
          <w:p w:rsidR="00D07C73" w:rsidRPr="00D07C73" w:rsidRDefault="00D07C73" w:rsidP="00B15436">
            <w:pPr>
              <w:rPr>
                <w:rFonts w:ascii="Calibri" w:hAnsi="Calibri" w:cs="Calibri"/>
                <w:b/>
                <w:sz w:val="20"/>
                <w:szCs w:val="20"/>
              </w:rPr>
            </w:pPr>
          </w:p>
        </w:tc>
        <w:tc>
          <w:tcPr>
            <w:tcW w:w="460" w:type="dxa"/>
            <w:gridSpan w:val="4"/>
          </w:tcPr>
          <w:p w:rsidR="00D07C73" w:rsidRPr="00D07C73" w:rsidRDefault="00D07C73" w:rsidP="00B15436">
            <w:pPr>
              <w:rPr>
                <w:rFonts w:ascii="Calibri" w:hAnsi="Calibri" w:cs="Calibri"/>
                <w:b/>
                <w:sz w:val="20"/>
                <w:szCs w:val="20"/>
              </w:rPr>
            </w:pPr>
          </w:p>
        </w:tc>
        <w:tc>
          <w:tcPr>
            <w:tcW w:w="2354" w:type="dxa"/>
            <w:gridSpan w:val="3"/>
          </w:tcPr>
          <w:p w:rsidR="00D07C73" w:rsidRPr="00D07C73" w:rsidRDefault="00D07C73" w:rsidP="00B15436">
            <w:pPr>
              <w:rPr>
                <w:rFonts w:ascii="Calibri" w:hAnsi="Calibri" w:cs="Calibri"/>
                <w:b/>
                <w:sz w:val="20"/>
                <w:szCs w:val="20"/>
              </w:rPr>
            </w:pPr>
          </w:p>
        </w:tc>
      </w:tr>
      <w:tr w:rsidR="00D07C73" w:rsidRPr="00D07C73" w:rsidTr="00D07C73">
        <w:trPr>
          <w:gridAfter w:val="18"/>
          <w:wAfter w:w="3765" w:type="dxa"/>
        </w:trPr>
        <w:tc>
          <w:tcPr>
            <w:tcW w:w="9923" w:type="dxa"/>
            <w:gridSpan w:val="78"/>
          </w:tcPr>
          <w:p w:rsidR="00D07C73" w:rsidRPr="00D07C73" w:rsidRDefault="00D07C73" w:rsidP="00B15436">
            <w:pPr>
              <w:rPr>
                <w:rFonts w:ascii="Calibri" w:hAnsi="Calibri" w:cs="Calibri"/>
                <w:b/>
                <w:sz w:val="20"/>
                <w:szCs w:val="20"/>
              </w:rPr>
            </w:pPr>
            <w:r w:rsidRPr="00D07C73">
              <w:rPr>
                <w:rFonts w:ascii="Calibri" w:hAnsi="Calibri" w:cs="Calibri"/>
                <w:b/>
                <w:sz w:val="20"/>
                <w:szCs w:val="20"/>
              </w:rPr>
              <w:t>Stručný komentář k celkovému vývoji čerpání výdajů kapitoly ve sledovaném období</w:t>
            </w:r>
          </w:p>
        </w:tc>
      </w:tr>
      <w:tr w:rsidR="00D07C73" w:rsidRPr="00D07C73" w:rsidTr="00D07C73">
        <w:trPr>
          <w:gridAfter w:val="18"/>
          <w:wAfter w:w="3765" w:type="dxa"/>
        </w:trPr>
        <w:tc>
          <w:tcPr>
            <w:tcW w:w="9923" w:type="dxa"/>
            <w:gridSpan w:val="78"/>
            <w:tcBorders>
              <w:top w:val="single" w:sz="6" w:space="0" w:color="auto"/>
              <w:left w:val="single" w:sz="6" w:space="0" w:color="auto"/>
              <w:bottom w:val="single" w:sz="6" w:space="0" w:color="auto"/>
              <w:right w:val="single" w:sz="6" w:space="0" w:color="auto"/>
            </w:tcBorders>
          </w:tcPr>
          <w:p w:rsidR="00D07C73" w:rsidRPr="00D07C73" w:rsidRDefault="00D07C73" w:rsidP="00B15436">
            <w:pPr>
              <w:jc w:val="both"/>
              <w:rPr>
                <w:rFonts w:ascii="Calibri" w:hAnsi="Calibri" w:cs="Calibri"/>
                <w:sz w:val="20"/>
                <w:szCs w:val="20"/>
              </w:rPr>
            </w:pPr>
            <w:r w:rsidRPr="00D07C73">
              <w:rPr>
                <w:rFonts w:ascii="Calibri" w:hAnsi="Calibri" w:cs="Calibri"/>
                <w:sz w:val="20"/>
                <w:szCs w:val="20"/>
              </w:rPr>
              <w:t>Čerpání výdajů kapitoly 13 bylo k 31. 12. 2022 plněno na 96,88%. V rozpočtu kapitoly jsou zahrnuty přijaté dotace k projektům prevence kriminality. Všechny dotace prevence kriminality byly přijaty v II. pololetí 2022 a realizovány s podílem města na projekty prevence (investiční a neinvestiční akce).</w:t>
            </w:r>
          </w:p>
        </w:tc>
      </w:tr>
      <w:tr w:rsidR="00D07C73" w:rsidRPr="00D07C73" w:rsidTr="00B15436">
        <w:trPr>
          <w:gridAfter w:val="1"/>
          <w:wAfter w:w="1211" w:type="dxa"/>
        </w:trPr>
        <w:tc>
          <w:tcPr>
            <w:tcW w:w="460" w:type="dxa"/>
            <w:gridSpan w:val="2"/>
          </w:tcPr>
          <w:p w:rsidR="00D07C73" w:rsidRPr="00D07C73" w:rsidRDefault="00D07C73" w:rsidP="00B15436">
            <w:pPr>
              <w:rPr>
                <w:rFonts w:ascii="Calibri" w:hAnsi="Calibri" w:cs="Calibri"/>
                <w:b/>
                <w:sz w:val="20"/>
                <w:szCs w:val="20"/>
              </w:rPr>
            </w:pPr>
          </w:p>
        </w:tc>
        <w:tc>
          <w:tcPr>
            <w:tcW w:w="392" w:type="dxa"/>
            <w:gridSpan w:val="2"/>
          </w:tcPr>
          <w:p w:rsidR="00D07C73" w:rsidRPr="00D07C73" w:rsidRDefault="00D07C73" w:rsidP="00B15436">
            <w:pPr>
              <w:rPr>
                <w:rFonts w:ascii="Calibri" w:hAnsi="Calibri" w:cs="Calibri"/>
                <w:b/>
                <w:sz w:val="20"/>
                <w:szCs w:val="20"/>
              </w:rPr>
            </w:pPr>
          </w:p>
        </w:tc>
        <w:tc>
          <w:tcPr>
            <w:tcW w:w="528" w:type="dxa"/>
            <w:gridSpan w:val="2"/>
          </w:tcPr>
          <w:p w:rsidR="00D07C73" w:rsidRPr="00D07C73" w:rsidRDefault="00D07C73" w:rsidP="00B15436">
            <w:pPr>
              <w:rPr>
                <w:rFonts w:ascii="Calibri" w:hAnsi="Calibri" w:cs="Calibri"/>
                <w:b/>
                <w:sz w:val="20"/>
                <w:szCs w:val="20"/>
              </w:rPr>
            </w:pPr>
          </w:p>
        </w:tc>
        <w:tc>
          <w:tcPr>
            <w:tcW w:w="460" w:type="dxa"/>
            <w:gridSpan w:val="4"/>
          </w:tcPr>
          <w:p w:rsidR="00D07C73" w:rsidRPr="00D07C73" w:rsidRDefault="00D07C73" w:rsidP="00B15436">
            <w:pPr>
              <w:rPr>
                <w:rFonts w:ascii="Calibri" w:hAnsi="Calibri" w:cs="Calibri"/>
                <w:b/>
                <w:sz w:val="20"/>
                <w:szCs w:val="20"/>
              </w:rPr>
            </w:pPr>
          </w:p>
        </w:tc>
        <w:tc>
          <w:tcPr>
            <w:tcW w:w="460" w:type="dxa"/>
            <w:gridSpan w:val="2"/>
          </w:tcPr>
          <w:p w:rsidR="00D07C73" w:rsidRPr="00D07C73" w:rsidRDefault="00D07C73" w:rsidP="00B15436">
            <w:pPr>
              <w:rPr>
                <w:rFonts w:ascii="Calibri" w:hAnsi="Calibri" w:cs="Calibri"/>
                <w:b/>
                <w:sz w:val="20"/>
                <w:szCs w:val="20"/>
              </w:rPr>
            </w:pPr>
          </w:p>
        </w:tc>
        <w:tc>
          <w:tcPr>
            <w:tcW w:w="460" w:type="dxa"/>
            <w:gridSpan w:val="6"/>
          </w:tcPr>
          <w:p w:rsidR="00D07C73" w:rsidRPr="00D07C73" w:rsidRDefault="00D07C73" w:rsidP="00B15436">
            <w:pPr>
              <w:rPr>
                <w:rFonts w:ascii="Calibri" w:hAnsi="Calibri" w:cs="Calibri"/>
                <w:b/>
                <w:sz w:val="20"/>
                <w:szCs w:val="20"/>
              </w:rPr>
            </w:pPr>
          </w:p>
        </w:tc>
        <w:tc>
          <w:tcPr>
            <w:tcW w:w="460" w:type="dxa"/>
            <w:gridSpan w:val="5"/>
          </w:tcPr>
          <w:p w:rsidR="00D07C73" w:rsidRPr="00D07C73" w:rsidRDefault="00D07C73" w:rsidP="00B15436">
            <w:pPr>
              <w:rPr>
                <w:rFonts w:ascii="Calibri" w:hAnsi="Calibri" w:cs="Calibri"/>
                <w:b/>
                <w:sz w:val="20"/>
                <w:szCs w:val="20"/>
              </w:rPr>
            </w:pPr>
          </w:p>
        </w:tc>
        <w:tc>
          <w:tcPr>
            <w:tcW w:w="1247" w:type="dxa"/>
            <w:gridSpan w:val="7"/>
          </w:tcPr>
          <w:p w:rsidR="00D07C73" w:rsidRPr="00D07C73" w:rsidRDefault="00D07C73" w:rsidP="00B15436">
            <w:pPr>
              <w:rPr>
                <w:rFonts w:ascii="Calibri" w:hAnsi="Calibri" w:cs="Calibri"/>
                <w:b/>
                <w:sz w:val="20"/>
                <w:szCs w:val="20"/>
              </w:rPr>
            </w:pPr>
          </w:p>
        </w:tc>
        <w:tc>
          <w:tcPr>
            <w:tcW w:w="160" w:type="dxa"/>
            <w:gridSpan w:val="3"/>
          </w:tcPr>
          <w:p w:rsidR="00D07C73" w:rsidRPr="00D07C73" w:rsidRDefault="00D07C73" w:rsidP="00B15436">
            <w:pPr>
              <w:rPr>
                <w:rFonts w:ascii="Calibri" w:hAnsi="Calibri" w:cs="Calibri"/>
                <w:b/>
                <w:sz w:val="20"/>
                <w:szCs w:val="20"/>
              </w:rPr>
            </w:pPr>
          </w:p>
        </w:tc>
        <w:tc>
          <w:tcPr>
            <w:tcW w:w="1266" w:type="dxa"/>
            <w:gridSpan w:val="9"/>
          </w:tcPr>
          <w:p w:rsidR="00D07C73" w:rsidRPr="00D07C73" w:rsidRDefault="00D07C73" w:rsidP="00B15436">
            <w:pPr>
              <w:rPr>
                <w:rFonts w:ascii="Calibri" w:hAnsi="Calibri" w:cs="Calibri"/>
                <w:b/>
                <w:sz w:val="20"/>
                <w:szCs w:val="20"/>
              </w:rPr>
            </w:pPr>
          </w:p>
        </w:tc>
        <w:tc>
          <w:tcPr>
            <w:tcW w:w="523" w:type="dxa"/>
            <w:gridSpan w:val="7"/>
          </w:tcPr>
          <w:p w:rsidR="00D07C73" w:rsidRPr="00D07C73" w:rsidRDefault="00D07C73" w:rsidP="00B15436">
            <w:pPr>
              <w:rPr>
                <w:rFonts w:ascii="Calibri" w:hAnsi="Calibri" w:cs="Calibri"/>
                <w:b/>
                <w:sz w:val="20"/>
                <w:szCs w:val="20"/>
              </w:rPr>
            </w:pPr>
          </w:p>
        </w:tc>
        <w:tc>
          <w:tcPr>
            <w:tcW w:w="1958" w:type="dxa"/>
            <w:gridSpan w:val="8"/>
          </w:tcPr>
          <w:p w:rsidR="00D07C73" w:rsidRPr="00D07C73" w:rsidRDefault="00D07C73" w:rsidP="00B15436">
            <w:pPr>
              <w:rPr>
                <w:rFonts w:ascii="Calibri" w:hAnsi="Calibri" w:cs="Calibri"/>
                <w:b/>
                <w:sz w:val="20"/>
                <w:szCs w:val="20"/>
              </w:rPr>
            </w:pPr>
          </w:p>
        </w:tc>
        <w:tc>
          <w:tcPr>
            <w:tcW w:w="160" w:type="dxa"/>
            <w:gridSpan w:val="4"/>
          </w:tcPr>
          <w:p w:rsidR="00D07C73" w:rsidRPr="00D07C73" w:rsidRDefault="00D07C73" w:rsidP="00B15436">
            <w:pPr>
              <w:rPr>
                <w:rFonts w:ascii="Calibri" w:hAnsi="Calibri" w:cs="Calibri"/>
                <w:b/>
                <w:sz w:val="20"/>
                <w:szCs w:val="20"/>
              </w:rPr>
            </w:pPr>
          </w:p>
        </w:tc>
        <w:tc>
          <w:tcPr>
            <w:tcW w:w="460" w:type="dxa"/>
            <w:gridSpan w:val="5"/>
          </w:tcPr>
          <w:p w:rsidR="00D07C73" w:rsidRPr="00D07C73" w:rsidRDefault="00D07C73" w:rsidP="00B15436">
            <w:pPr>
              <w:rPr>
                <w:rFonts w:ascii="Calibri" w:hAnsi="Calibri" w:cs="Calibri"/>
                <w:b/>
                <w:sz w:val="20"/>
                <w:szCs w:val="20"/>
              </w:rPr>
            </w:pPr>
          </w:p>
        </w:tc>
        <w:tc>
          <w:tcPr>
            <w:tcW w:w="460" w:type="dxa"/>
            <w:gridSpan w:val="5"/>
          </w:tcPr>
          <w:p w:rsidR="00D07C73" w:rsidRPr="00D07C73" w:rsidRDefault="00D07C73" w:rsidP="00B15436">
            <w:pPr>
              <w:rPr>
                <w:rFonts w:ascii="Calibri" w:hAnsi="Calibri" w:cs="Calibri"/>
                <w:b/>
                <w:sz w:val="20"/>
                <w:szCs w:val="20"/>
              </w:rPr>
            </w:pPr>
          </w:p>
        </w:tc>
        <w:tc>
          <w:tcPr>
            <w:tcW w:w="460" w:type="dxa"/>
            <w:gridSpan w:val="5"/>
          </w:tcPr>
          <w:p w:rsidR="00D07C73" w:rsidRPr="00D07C73" w:rsidRDefault="00D07C73" w:rsidP="00B15436">
            <w:pPr>
              <w:rPr>
                <w:rFonts w:ascii="Calibri" w:hAnsi="Calibri" w:cs="Calibri"/>
                <w:b/>
                <w:sz w:val="20"/>
                <w:szCs w:val="20"/>
              </w:rPr>
            </w:pPr>
          </w:p>
        </w:tc>
        <w:tc>
          <w:tcPr>
            <w:tcW w:w="460" w:type="dxa"/>
            <w:gridSpan w:val="7"/>
          </w:tcPr>
          <w:p w:rsidR="00D07C73" w:rsidRPr="00D07C73" w:rsidRDefault="00D07C73" w:rsidP="00B15436">
            <w:pPr>
              <w:rPr>
                <w:rFonts w:ascii="Calibri" w:hAnsi="Calibri" w:cs="Calibri"/>
                <w:b/>
                <w:sz w:val="20"/>
                <w:szCs w:val="20"/>
              </w:rPr>
            </w:pPr>
          </w:p>
        </w:tc>
        <w:tc>
          <w:tcPr>
            <w:tcW w:w="460" w:type="dxa"/>
            <w:gridSpan w:val="4"/>
          </w:tcPr>
          <w:p w:rsidR="00D07C73" w:rsidRPr="00D07C73" w:rsidRDefault="00D07C73" w:rsidP="00B15436">
            <w:pPr>
              <w:rPr>
                <w:rFonts w:ascii="Calibri" w:hAnsi="Calibri" w:cs="Calibri"/>
                <w:b/>
                <w:sz w:val="20"/>
                <w:szCs w:val="20"/>
              </w:rPr>
            </w:pPr>
          </w:p>
        </w:tc>
        <w:tc>
          <w:tcPr>
            <w:tcW w:w="460" w:type="dxa"/>
            <w:gridSpan w:val="4"/>
          </w:tcPr>
          <w:p w:rsidR="00D07C73" w:rsidRPr="00D07C73" w:rsidRDefault="00D07C73" w:rsidP="00B15436">
            <w:pPr>
              <w:rPr>
                <w:rFonts w:ascii="Calibri" w:hAnsi="Calibri" w:cs="Calibri"/>
                <w:b/>
                <w:sz w:val="20"/>
                <w:szCs w:val="20"/>
              </w:rPr>
            </w:pPr>
          </w:p>
        </w:tc>
        <w:tc>
          <w:tcPr>
            <w:tcW w:w="1183" w:type="dxa"/>
            <w:gridSpan w:val="4"/>
          </w:tcPr>
          <w:p w:rsidR="00D07C73" w:rsidRPr="00D07C73" w:rsidRDefault="00D07C73" w:rsidP="00B15436">
            <w:pPr>
              <w:rPr>
                <w:rFonts w:ascii="Calibri" w:hAnsi="Calibri" w:cs="Calibri"/>
                <w:b/>
                <w:sz w:val="20"/>
                <w:szCs w:val="20"/>
              </w:rPr>
            </w:pPr>
          </w:p>
        </w:tc>
      </w:tr>
    </w:tbl>
    <w:p w:rsidR="00D07C73" w:rsidRPr="00D07C73" w:rsidRDefault="00D07C73" w:rsidP="00D07C73">
      <w:pPr>
        <w:rPr>
          <w:rFonts w:ascii="Calibri" w:hAnsi="Calibri" w:cs="Calibri"/>
          <w:b/>
          <w:sz w:val="20"/>
          <w:szCs w:val="20"/>
        </w:rPr>
      </w:pPr>
      <w:r w:rsidRPr="00D07C73">
        <w:rPr>
          <w:rFonts w:ascii="Calibri" w:hAnsi="Calibri" w:cs="Calibri"/>
          <w:b/>
          <w:sz w:val="20"/>
          <w:szCs w:val="20"/>
        </w:rPr>
        <w:t>Přehled schválených rozpočtových opatření k 31. 12. 2022:</w:t>
      </w:r>
    </w:p>
    <w:tbl>
      <w:tblPr>
        <w:tblStyle w:val="Mkatabulky"/>
        <w:tblW w:w="9918" w:type="dxa"/>
        <w:tblLook w:val="04A0" w:firstRow="1" w:lastRow="0" w:firstColumn="1" w:lastColumn="0" w:noHBand="0" w:noVBand="1"/>
      </w:tblPr>
      <w:tblGrid>
        <w:gridCol w:w="1498"/>
        <w:gridCol w:w="1115"/>
        <w:gridCol w:w="849"/>
        <w:gridCol w:w="4471"/>
        <w:gridCol w:w="1985"/>
      </w:tblGrid>
      <w:tr w:rsidR="00D07C73" w:rsidRPr="00D07C73" w:rsidTr="002E388D">
        <w:tc>
          <w:tcPr>
            <w:tcW w:w="1498" w:type="dxa"/>
            <w:shd w:val="clear" w:color="auto" w:fill="DBDBDB" w:themeFill="accent3" w:themeFillTint="66"/>
            <w:vAlign w:val="center"/>
          </w:tcPr>
          <w:p w:rsidR="00D07C73" w:rsidRPr="00B15436" w:rsidRDefault="00D07C73" w:rsidP="00B15436">
            <w:pPr>
              <w:jc w:val="center"/>
              <w:rPr>
                <w:rFonts w:ascii="Calibri" w:hAnsi="Calibri" w:cs="Calibri"/>
                <w:b/>
                <w:sz w:val="18"/>
                <w:szCs w:val="18"/>
              </w:rPr>
            </w:pPr>
            <w:r w:rsidRPr="00B15436">
              <w:rPr>
                <w:rFonts w:ascii="Calibri" w:hAnsi="Calibri" w:cs="Calibri"/>
                <w:b/>
                <w:sz w:val="18"/>
                <w:szCs w:val="18"/>
              </w:rPr>
              <w:t>Usn.č.</w:t>
            </w:r>
          </w:p>
        </w:tc>
        <w:tc>
          <w:tcPr>
            <w:tcW w:w="1119" w:type="dxa"/>
            <w:shd w:val="clear" w:color="auto" w:fill="DBDBDB" w:themeFill="accent3" w:themeFillTint="66"/>
            <w:vAlign w:val="center"/>
          </w:tcPr>
          <w:p w:rsidR="00D07C73" w:rsidRPr="00B15436" w:rsidRDefault="00D07C73" w:rsidP="00B15436">
            <w:pPr>
              <w:jc w:val="center"/>
              <w:rPr>
                <w:rFonts w:ascii="Calibri" w:hAnsi="Calibri" w:cs="Calibri"/>
                <w:b/>
                <w:sz w:val="18"/>
                <w:szCs w:val="18"/>
              </w:rPr>
            </w:pPr>
            <w:r w:rsidRPr="00B15436">
              <w:rPr>
                <w:rFonts w:ascii="Calibri" w:hAnsi="Calibri" w:cs="Calibri"/>
                <w:b/>
                <w:sz w:val="18"/>
                <w:szCs w:val="18"/>
              </w:rPr>
              <w:t>Datum</w:t>
            </w:r>
          </w:p>
        </w:tc>
        <w:tc>
          <w:tcPr>
            <w:tcW w:w="801" w:type="dxa"/>
            <w:shd w:val="clear" w:color="auto" w:fill="DBDBDB" w:themeFill="accent3" w:themeFillTint="66"/>
            <w:vAlign w:val="center"/>
          </w:tcPr>
          <w:p w:rsidR="00D07C73" w:rsidRPr="00B15436" w:rsidRDefault="00D07C73" w:rsidP="00B15436">
            <w:pPr>
              <w:jc w:val="center"/>
              <w:rPr>
                <w:rFonts w:ascii="Calibri" w:hAnsi="Calibri" w:cs="Calibri"/>
                <w:b/>
                <w:sz w:val="18"/>
                <w:szCs w:val="18"/>
              </w:rPr>
            </w:pPr>
            <w:r w:rsidRPr="00B15436">
              <w:rPr>
                <w:rFonts w:ascii="Calibri" w:hAnsi="Calibri" w:cs="Calibri"/>
                <w:b/>
                <w:sz w:val="18"/>
                <w:szCs w:val="18"/>
              </w:rPr>
              <w:t>Částka v tis. Kč</w:t>
            </w:r>
          </w:p>
        </w:tc>
        <w:tc>
          <w:tcPr>
            <w:tcW w:w="4505" w:type="dxa"/>
            <w:shd w:val="clear" w:color="auto" w:fill="DBDBDB" w:themeFill="accent3" w:themeFillTint="66"/>
            <w:vAlign w:val="center"/>
          </w:tcPr>
          <w:p w:rsidR="00D07C73" w:rsidRPr="00B15436" w:rsidRDefault="00D07C73" w:rsidP="00B15436">
            <w:pPr>
              <w:jc w:val="center"/>
              <w:rPr>
                <w:rFonts w:ascii="Calibri" w:hAnsi="Calibri" w:cs="Calibri"/>
                <w:b/>
                <w:sz w:val="18"/>
                <w:szCs w:val="18"/>
              </w:rPr>
            </w:pPr>
            <w:r w:rsidRPr="00B15436">
              <w:rPr>
                <w:rFonts w:ascii="Calibri" w:hAnsi="Calibri" w:cs="Calibri"/>
                <w:b/>
                <w:sz w:val="18"/>
                <w:szCs w:val="18"/>
              </w:rPr>
              <w:t>Rozpočtové opatření</w:t>
            </w:r>
          </w:p>
        </w:tc>
        <w:tc>
          <w:tcPr>
            <w:tcW w:w="1995" w:type="dxa"/>
            <w:shd w:val="clear" w:color="auto" w:fill="DBDBDB" w:themeFill="accent3" w:themeFillTint="66"/>
            <w:vAlign w:val="center"/>
          </w:tcPr>
          <w:p w:rsidR="00D07C73" w:rsidRPr="00B15436" w:rsidRDefault="00D07C73" w:rsidP="00B15436">
            <w:pPr>
              <w:jc w:val="center"/>
              <w:rPr>
                <w:rFonts w:ascii="Calibri" w:hAnsi="Calibri" w:cs="Calibri"/>
                <w:b/>
                <w:sz w:val="18"/>
                <w:szCs w:val="18"/>
              </w:rPr>
            </w:pPr>
            <w:r w:rsidRPr="00B15436">
              <w:rPr>
                <w:rFonts w:ascii="Calibri" w:hAnsi="Calibri" w:cs="Calibri"/>
                <w:b/>
                <w:sz w:val="18"/>
                <w:szCs w:val="18"/>
              </w:rPr>
              <w:t>Stupeň realizace</w:t>
            </w:r>
          </w:p>
        </w:tc>
      </w:tr>
      <w:tr w:rsidR="00D07C73" w:rsidRPr="00D07C73" w:rsidTr="002E388D">
        <w:tc>
          <w:tcPr>
            <w:tcW w:w="1498" w:type="dxa"/>
            <w:vAlign w:val="center"/>
          </w:tcPr>
          <w:p w:rsidR="00D07C73" w:rsidRPr="00B15436" w:rsidRDefault="00D07C73" w:rsidP="00B15436">
            <w:pPr>
              <w:rPr>
                <w:rFonts w:ascii="Calibri" w:hAnsi="Calibri" w:cs="Calibri"/>
                <w:sz w:val="18"/>
                <w:szCs w:val="18"/>
              </w:rPr>
            </w:pPr>
            <w:r w:rsidRPr="00B15436">
              <w:rPr>
                <w:rFonts w:ascii="Calibri" w:hAnsi="Calibri" w:cs="Calibri"/>
                <w:sz w:val="18"/>
                <w:szCs w:val="18"/>
              </w:rPr>
              <w:t>RM/2022/113/06</w:t>
            </w:r>
          </w:p>
        </w:tc>
        <w:tc>
          <w:tcPr>
            <w:tcW w:w="1119" w:type="dxa"/>
            <w:vAlign w:val="center"/>
          </w:tcPr>
          <w:p w:rsidR="00D07C73" w:rsidRPr="00B15436" w:rsidRDefault="00B15436" w:rsidP="00B15436">
            <w:pPr>
              <w:jc w:val="center"/>
              <w:rPr>
                <w:rFonts w:ascii="Calibri" w:hAnsi="Calibri" w:cs="Calibri"/>
                <w:sz w:val="18"/>
                <w:szCs w:val="18"/>
              </w:rPr>
            </w:pPr>
            <w:r>
              <w:rPr>
                <w:rFonts w:ascii="Calibri" w:hAnsi="Calibri" w:cs="Calibri"/>
                <w:sz w:val="18"/>
                <w:szCs w:val="18"/>
              </w:rPr>
              <w:t xml:space="preserve">19. </w:t>
            </w:r>
            <w:r w:rsidR="00D07C73" w:rsidRPr="00B15436">
              <w:rPr>
                <w:rFonts w:ascii="Calibri" w:hAnsi="Calibri" w:cs="Calibri"/>
                <w:sz w:val="18"/>
                <w:szCs w:val="18"/>
              </w:rPr>
              <w:t>4.</w:t>
            </w:r>
            <w:r>
              <w:rPr>
                <w:rFonts w:ascii="Calibri" w:hAnsi="Calibri" w:cs="Calibri"/>
                <w:sz w:val="18"/>
                <w:szCs w:val="18"/>
              </w:rPr>
              <w:t xml:space="preserve"> </w:t>
            </w:r>
            <w:r w:rsidR="00D07C73" w:rsidRPr="00B15436">
              <w:rPr>
                <w:rFonts w:ascii="Calibri" w:hAnsi="Calibri" w:cs="Calibri"/>
                <w:sz w:val="18"/>
                <w:szCs w:val="18"/>
              </w:rPr>
              <w:t>2022</w:t>
            </w:r>
          </w:p>
        </w:tc>
        <w:tc>
          <w:tcPr>
            <w:tcW w:w="801" w:type="dxa"/>
            <w:vAlign w:val="center"/>
          </w:tcPr>
          <w:p w:rsidR="00D07C73" w:rsidRPr="00B15436" w:rsidRDefault="00D07C73" w:rsidP="00B15436">
            <w:pPr>
              <w:jc w:val="center"/>
              <w:rPr>
                <w:rFonts w:ascii="Calibri" w:hAnsi="Calibri" w:cs="Calibri"/>
                <w:sz w:val="18"/>
                <w:szCs w:val="18"/>
              </w:rPr>
            </w:pPr>
            <w:r w:rsidRPr="00B15436">
              <w:rPr>
                <w:rFonts w:ascii="Calibri" w:hAnsi="Calibri" w:cs="Calibri"/>
                <w:sz w:val="18"/>
                <w:szCs w:val="18"/>
              </w:rPr>
              <w:t>60</w:t>
            </w:r>
            <w:r w:rsidR="00E101BC">
              <w:rPr>
                <w:rFonts w:ascii="Calibri" w:hAnsi="Calibri" w:cs="Calibri"/>
                <w:sz w:val="18"/>
                <w:szCs w:val="18"/>
              </w:rPr>
              <w:t>,00</w:t>
            </w:r>
          </w:p>
        </w:tc>
        <w:tc>
          <w:tcPr>
            <w:tcW w:w="4505" w:type="dxa"/>
            <w:vAlign w:val="center"/>
          </w:tcPr>
          <w:p w:rsidR="00D07C73" w:rsidRPr="00B15436" w:rsidRDefault="00D07C73" w:rsidP="00B15436">
            <w:pPr>
              <w:rPr>
                <w:rFonts w:ascii="Calibri" w:hAnsi="Calibri" w:cs="Calibri"/>
                <w:sz w:val="18"/>
                <w:szCs w:val="18"/>
              </w:rPr>
            </w:pPr>
            <w:r w:rsidRPr="00B15436">
              <w:rPr>
                <w:rFonts w:ascii="Calibri" w:hAnsi="Calibri" w:cs="Calibri"/>
                <w:sz w:val="18"/>
                <w:szCs w:val="18"/>
              </w:rPr>
              <w:t>Navýšení ceny  na nákup nového ručního měřiče rychlosti vozidel</w:t>
            </w:r>
          </w:p>
        </w:tc>
        <w:tc>
          <w:tcPr>
            <w:tcW w:w="1995" w:type="dxa"/>
          </w:tcPr>
          <w:p w:rsidR="00D07C73" w:rsidRPr="00B15436" w:rsidRDefault="00D07C73" w:rsidP="00B15436">
            <w:pPr>
              <w:rPr>
                <w:rFonts w:ascii="Calibri" w:hAnsi="Calibri" w:cs="Calibri"/>
                <w:sz w:val="18"/>
                <w:szCs w:val="18"/>
              </w:rPr>
            </w:pPr>
            <w:r w:rsidRPr="00B15436">
              <w:rPr>
                <w:rFonts w:ascii="Calibri" w:hAnsi="Calibri" w:cs="Calibri"/>
                <w:sz w:val="18"/>
                <w:szCs w:val="18"/>
              </w:rPr>
              <w:t>realizováno</w:t>
            </w:r>
          </w:p>
        </w:tc>
      </w:tr>
      <w:tr w:rsidR="00D07C73" w:rsidRPr="00D07C73" w:rsidTr="002E388D">
        <w:tc>
          <w:tcPr>
            <w:tcW w:w="1498" w:type="dxa"/>
            <w:vAlign w:val="center"/>
          </w:tcPr>
          <w:p w:rsidR="00D07C73" w:rsidRPr="00B15436" w:rsidRDefault="00D07C73" w:rsidP="00B15436">
            <w:pPr>
              <w:rPr>
                <w:rFonts w:ascii="Calibri" w:hAnsi="Calibri" w:cs="Calibri"/>
                <w:sz w:val="18"/>
                <w:szCs w:val="18"/>
              </w:rPr>
            </w:pPr>
            <w:r w:rsidRPr="00B15436">
              <w:rPr>
                <w:rFonts w:ascii="Calibri" w:hAnsi="Calibri" w:cs="Calibri"/>
                <w:sz w:val="18"/>
                <w:szCs w:val="18"/>
              </w:rPr>
              <w:t>RM/2022/125/03</w:t>
            </w:r>
          </w:p>
        </w:tc>
        <w:tc>
          <w:tcPr>
            <w:tcW w:w="1119" w:type="dxa"/>
            <w:vAlign w:val="center"/>
          </w:tcPr>
          <w:p w:rsidR="00D07C73" w:rsidRPr="00B15436" w:rsidRDefault="00D07C73" w:rsidP="00B15436">
            <w:pPr>
              <w:jc w:val="center"/>
              <w:rPr>
                <w:rFonts w:ascii="Calibri" w:hAnsi="Calibri" w:cs="Calibri"/>
                <w:sz w:val="18"/>
                <w:szCs w:val="18"/>
              </w:rPr>
            </w:pPr>
            <w:r w:rsidRPr="00B15436">
              <w:rPr>
                <w:rFonts w:ascii="Calibri" w:hAnsi="Calibri" w:cs="Calibri"/>
                <w:sz w:val="18"/>
                <w:szCs w:val="18"/>
              </w:rPr>
              <w:t>20.</w:t>
            </w:r>
            <w:r w:rsidR="00B15436">
              <w:rPr>
                <w:rFonts w:ascii="Calibri" w:hAnsi="Calibri" w:cs="Calibri"/>
                <w:sz w:val="18"/>
                <w:szCs w:val="18"/>
              </w:rPr>
              <w:t xml:space="preserve"> </w:t>
            </w:r>
            <w:r w:rsidRPr="00B15436">
              <w:rPr>
                <w:rFonts w:ascii="Calibri" w:hAnsi="Calibri" w:cs="Calibri"/>
                <w:sz w:val="18"/>
                <w:szCs w:val="18"/>
              </w:rPr>
              <w:t>9.</w:t>
            </w:r>
            <w:r w:rsidR="00B15436">
              <w:rPr>
                <w:rFonts w:ascii="Calibri" w:hAnsi="Calibri" w:cs="Calibri"/>
                <w:sz w:val="18"/>
                <w:szCs w:val="18"/>
              </w:rPr>
              <w:t xml:space="preserve"> </w:t>
            </w:r>
            <w:r w:rsidRPr="00B15436">
              <w:rPr>
                <w:rFonts w:ascii="Calibri" w:hAnsi="Calibri" w:cs="Calibri"/>
                <w:sz w:val="18"/>
                <w:szCs w:val="18"/>
              </w:rPr>
              <w:t>2022</w:t>
            </w:r>
          </w:p>
        </w:tc>
        <w:tc>
          <w:tcPr>
            <w:tcW w:w="801" w:type="dxa"/>
            <w:vAlign w:val="center"/>
          </w:tcPr>
          <w:p w:rsidR="00D07C73" w:rsidRPr="00B15436" w:rsidRDefault="00B15436" w:rsidP="00B15436">
            <w:pPr>
              <w:jc w:val="center"/>
              <w:rPr>
                <w:rFonts w:ascii="Calibri" w:hAnsi="Calibri" w:cs="Calibri"/>
                <w:sz w:val="18"/>
                <w:szCs w:val="18"/>
              </w:rPr>
            </w:pPr>
            <w:r>
              <w:rPr>
                <w:rFonts w:ascii="Calibri" w:hAnsi="Calibri" w:cs="Calibri"/>
                <w:sz w:val="18"/>
                <w:szCs w:val="18"/>
              </w:rPr>
              <w:t>1</w:t>
            </w:r>
            <w:r w:rsidR="00E101BC">
              <w:rPr>
                <w:rFonts w:ascii="Calibri" w:hAnsi="Calibri" w:cs="Calibri"/>
                <w:sz w:val="18"/>
                <w:szCs w:val="18"/>
              </w:rPr>
              <w:t> </w:t>
            </w:r>
            <w:r w:rsidR="00D07C73" w:rsidRPr="00B15436">
              <w:rPr>
                <w:rFonts w:ascii="Calibri" w:hAnsi="Calibri" w:cs="Calibri"/>
                <w:sz w:val="18"/>
                <w:szCs w:val="18"/>
              </w:rPr>
              <w:t>233</w:t>
            </w:r>
            <w:r w:rsidR="00E101BC">
              <w:rPr>
                <w:rFonts w:ascii="Calibri" w:hAnsi="Calibri" w:cs="Calibri"/>
                <w:sz w:val="18"/>
                <w:szCs w:val="18"/>
              </w:rPr>
              <w:t>,00</w:t>
            </w:r>
          </w:p>
        </w:tc>
        <w:tc>
          <w:tcPr>
            <w:tcW w:w="4505" w:type="dxa"/>
            <w:vAlign w:val="center"/>
          </w:tcPr>
          <w:p w:rsidR="00D07C73" w:rsidRPr="00B15436" w:rsidRDefault="00D07C73" w:rsidP="00B15436">
            <w:pPr>
              <w:jc w:val="both"/>
              <w:rPr>
                <w:rFonts w:ascii="Calibri" w:hAnsi="Calibri" w:cs="Calibri"/>
                <w:sz w:val="18"/>
                <w:szCs w:val="18"/>
              </w:rPr>
            </w:pPr>
            <w:r w:rsidRPr="00B15436">
              <w:rPr>
                <w:rFonts w:ascii="Calibri" w:hAnsi="Calibri" w:cs="Calibri"/>
                <w:sz w:val="18"/>
                <w:szCs w:val="18"/>
              </w:rPr>
              <w:t>Změna nařízení vlády č. 341/2017 Sb., o platových poměrech zaměstnanců ve veřejných službách a správě</w:t>
            </w:r>
          </w:p>
        </w:tc>
        <w:tc>
          <w:tcPr>
            <w:tcW w:w="1995" w:type="dxa"/>
          </w:tcPr>
          <w:p w:rsidR="00D07C73" w:rsidRPr="00B15436" w:rsidRDefault="00D07C73" w:rsidP="00B15436">
            <w:pPr>
              <w:rPr>
                <w:rFonts w:ascii="Calibri" w:hAnsi="Calibri" w:cs="Calibri"/>
                <w:sz w:val="18"/>
                <w:szCs w:val="18"/>
              </w:rPr>
            </w:pPr>
            <w:r w:rsidRPr="00B15436">
              <w:rPr>
                <w:rFonts w:ascii="Calibri" w:hAnsi="Calibri" w:cs="Calibri"/>
                <w:sz w:val="18"/>
                <w:szCs w:val="18"/>
              </w:rPr>
              <w:t>realizováno</w:t>
            </w:r>
          </w:p>
        </w:tc>
      </w:tr>
      <w:tr w:rsidR="00D07C73" w:rsidRPr="00D07C73" w:rsidTr="002E388D">
        <w:tc>
          <w:tcPr>
            <w:tcW w:w="1498" w:type="dxa"/>
            <w:vAlign w:val="center"/>
          </w:tcPr>
          <w:p w:rsidR="00D07C73" w:rsidRPr="00B15436" w:rsidRDefault="00D07C73" w:rsidP="00B15436">
            <w:pPr>
              <w:jc w:val="center"/>
              <w:rPr>
                <w:rFonts w:ascii="Calibri" w:hAnsi="Calibri" w:cs="Calibri"/>
                <w:sz w:val="18"/>
                <w:szCs w:val="18"/>
              </w:rPr>
            </w:pPr>
            <w:r w:rsidRPr="00B15436">
              <w:rPr>
                <w:rFonts w:ascii="Calibri" w:hAnsi="Calibri" w:cs="Calibri"/>
                <w:sz w:val="18"/>
                <w:szCs w:val="18"/>
              </w:rPr>
              <w:t>RM/2022/125/04</w:t>
            </w:r>
          </w:p>
        </w:tc>
        <w:tc>
          <w:tcPr>
            <w:tcW w:w="1119" w:type="dxa"/>
            <w:vAlign w:val="center"/>
          </w:tcPr>
          <w:p w:rsidR="00D07C73" w:rsidRPr="00B15436" w:rsidRDefault="00D07C73" w:rsidP="00B15436">
            <w:pPr>
              <w:jc w:val="center"/>
              <w:rPr>
                <w:rFonts w:ascii="Calibri" w:hAnsi="Calibri" w:cs="Calibri"/>
                <w:sz w:val="18"/>
                <w:szCs w:val="18"/>
              </w:rPr>
            </w:pPr>
            <w:r w:rsidRPr="00B15436">
              <w:rPr>
                <w:rFonts w:ascii="Calibri" w:hAnsi="Calibri" w:cs="Calibri"/>
                <w:sz w:val="18"/>
                <w:szCs w:val="18"/>
              </w:rPr>
              <w:t>20.</w:t>
            </w:r>
            <w:r w:rsidR="00B15436">
              <w:rPr>
                <w:rFonts w:ascii="Calibri" w:hAnsi="Calibri" w:cs="Calibri"/>
                <w:sz w:val="18"/>
                <w:szCs w:val="18"/>
              </w:rPr>
              <w:t xml:space="preserve"> </w:t>
            </w:r>
            <w:r w:rsidRPr="00B15436">
              <w:rPr>
                <w:rFonts w:ascii="Calibri" w:hAnsi="Calibri" w:cs="Calibri"/>
                <w:sz w:val="18"/>
                <w:szCs w:val="18"/>
              </w:rPr>
              <w:t>9.</w:t>
            </w:r>
            <w:r w:rsidR="00B15436">
              <w:rPr>
                <w:rFonts w:ascii="Calibri" w:hAnsi="Calibri" w:cs="Calibri"/>
                <w:sz w:val="18"/>
                <w:szCs w:val="18"/>
              </w:rPr>
              <w:t xml:space="preserve"> </w:t>
            </w:r>
            <w:r w:rsidRPr="00B15436">
              <w:rPr>
                <w:rFonts w:ascii="Calibri" w:hAnsi="Calibri" w:cs="Calibri"/>
                <w:sz w:val="18"/>
                <w:szCs w:val="18"/>
              </w:rPr>
              <w:t>2022</w:t>
            </w:r>
          </w:p>
        </w:tc>
        <w:tc>
          <w:tcPr>
            <w:tcW w:w="801" w:type="dxa"/>
            <w:vAlign w:val="center"/>
          </w:tcPr>
          <w:p w:rsidR="00D07C73" w:rsidRPr="00B15436" w:rsidRDefault="00B15436" w:rsidP="00B15436">
            <w:pPr>
              <w:jc w:val="center"/>
              <w:rPr>
                <w:rFonts w:ascii="Calibri" w:hAnsi="Calibri" w:cs="Calibri"/>
                <w:sz w:val="18"/>
                <w:szCs w:val="18"/>
              </w:rPr>
            </w:pPr>
            <w:r>
              <w:rPr>
                <w:rFonts w:ascii="Calibri" w:hAnsi="Calibri" w:cs="Calibri"/>
                <w:sz w:val="18"/>
                <w:szCs w:val="18"/>
              </w:rPr>
              <w:t>1</w:t>
            </w:r>
            <w:r w:rsidR="00E101BC">
              <w:rPr>
                <w:rFonts w:ascii="Calibri" w:hAnsi="Calibri" w:cs="Calibri"/>
                <w:sz w:val="18"/>
                <w:szCs w:val="18"/>
              </w:rPr>
              <w:t> </w:t>
            </w:r>
            <w:r w:rsidR="00D07C73" w:rsidRPr="00B15436">
              <w:rPr>
                <w:rFonts w:ascii="Calibri" w:hAnsi="Calibri" w:cs="Calibri"/>
                <w:sz w:val="18"/>
                <w:szCs w:val="18"/>
              </w:rPr>
              <w:t>302</w:t>
            </w:r>
            <w:r w:rsidR="00E101BC">
              <w:rPr>
                <w:rFonts w:ascii="Calibri" w:hAnsi="Calibri" w:cs="Calibri"/>
                <w:sz w:val="18"/>
                <w:szCs w:val="18"/>
              </w:rPr>
              <w:t>,00</w:t>
            </w:r>
          </w:p>
        </w:tc>
        <w:tc>
          <w:tcPr>
            <w:tcW w:w="4505" w:type="dxa"/>
            <w:vAlign w:val="center"/>
          </w:tcPr>
          <w:p w:rsidR="00D07C73" w:rsidRPr="00B15436" w:rsidRDefault="00D07C73" w:rsidP="00B15436">
            <w:pPr>
              <w:rPr>
                <w:rFonts w:ascii="Calibri" w:hAnsi="Calibri" w:cs="Calibri"/>
                <w:sz w:val="18"/>
                <w:szCs w:val="18"/>
              </w:rPr>
            </w:pPr>
            <w:r w:rsidRPr="00B15436">
              <w:rPr>
                <w:rFonts w:ascii="Calibri" w:hAnsi="Calibri" w:cs="Calibri"/>
                <w:sz w:val="18"/>
                <w:szCs w:val="18"/>
              </w:rPr>
              <w:t>Přesun položek  – projekty prevence kriminality 2022</w:t>
            </w:r>
          </w:p>
        </w:tc>
        <w:tc>
          <w:tcPr>
            <w:tcW w:w="1995" w:type="dxa"/>
          </w:tcPr>
          <w:p w:rsidR="00D07C73" w:rsidRPr="00B15436" w:rsidRDefault="00D07C73" w:rsidP="00B15436">
            <w:pPr>
              <w:rPr>
                <w:rFonts w:ascii="Calibri" w:hAnsi="Calibri" w:cs="Calibri"/>
                <w:b/>
                <w:sz w:val="18"/>
                <w:szCs w:val="18"/>
              </w:rPr>
            </w:pPr>
            <w:r w:rsidRPr="00B15436">
              <w:rPr>
                <w:rFonts w:ascii="Calibri" w:hAnsi="Calibri" w:cs="Calibri"/>
                <w:sz w:val="18"/>
                <w:szCs w:val="18"/>
              </w:rPr>
              <w:t>realizováno</w:t>
            </w:r>
          </w:p>
        </w:tc>
      </w:tr>
    </w:tbl>
    <w:p w:rsidR="00D07C73" w:rsidRPr="00D07C73" w:rsidRDefault="00D07C73" w:rsidP="00D07C73">
      <w:pPr>
        <w:rPr>
          <w:rFonts w:ascii="Calibri" w:hAnsi="Calibri" w:cs="Calibri"/>
          <w:b/>
          <w:sz w:val="20"/>
          <w:szCs w:val="20"/>
        </w:rPr>
      </w:pPr>
    </w:p>
    <w:p w:rsidR="00D07C73" w:rsidRPr="00D07C73" w:rsidRDefault="00D07C73" w:rsidP="00D07C73">
      <w:pPr>
        <w:rPr>
          <w:rFonts w:ascii="Calibri" w:hAnsi="Calibri" w:cs="Calibri"/>
          <w:b/>
          <w:sz w:val="20"/>
          <w:szCs w:val="20"/>
        </w:rPr>
      </w:pPr>
      <w:r w:rsidRPr="00D07C73">
        <w:rPr>
          <w:rFonts w:ascii="Calibri" w:hAnsi="Calibri" w:cs="Calibri"/>
          <w:b/>
          <w:sz w:val="20"/>
          <w:szCs w:val="20"/>
        </w:rPr>
        <w:t>V Prostějově: 08.02.2023</w:t>
      </w:r>
      <w:r w:rsidRPr="00D07C73">
        <w:rPr>
          <w:rFonts w:ascii="Calibri" w:hAnsi="Calibri" w:cs="Calibri"/>
          <w:b/>
          <w:sz w:val="20"/>
          <w:szCs w:val="20"/>
        </w:rPr>
        <w:tab/>
      </w:r>
      <w:r w:rsidRPr="00D07C73">
        <w:rPr>
          <w:rFonts w:ascii="Calibri" w:hAnsi="Calibri" w:cs="Calibri"/>
          <w:b/>
          <w:sz w:val="20"/>
          <w:szCs w:val="20"/>
        </w:rPr>
        <w:tab/>
      </w:r>
      <w:r w:rsidRPr="00D07C73">
        <w:rPr>
          <w:rFonts w:ascii="Calibri" w:hAnsi="Calibri" w:cs="Calibri"/>
          <w:b/>
          <w:sz w:val="20"/>
          <w:szCs w:val="20"/>
        </w:rPr>
        <w:tab/>
      </w:r>
      <w:r w:rsidRPr="00D07C73">
        <w:rPr>
          <w:rFonts w:ascii="Calibri" w:hAnsi="Calibri" w:cs="Calibri"/>
          <w:b/>
          <w:sz w:val="20"/>
          <w:szCs w:val="20"/>
        </w:rPr>
        <w:tab/>
      </w:r>
      <w:r w:rsidRPr="00D07C73">
        <w:rPr>
          <w:rFonts w:ascii="Calibri" w:hAnsi="Calibri" w:cs="Calibri"/>
          <w:b/>
          <w:sz w:val="20"/>
          <w:szCs w:val="20"/>
        </w:rPr>
        <w:tab/>
      </w:r>
      <w:r w:rsidRPr="00D07C73">
        <w:rPr>
          <w:rFonts w:ascii="Calibri" w:hAnsi="Calibri" w:cs="Calibri"/>
          <w:b/>
          <w:sz w:val="20"/>
          <w:szCs w:val="20"/>
        </w:rPr>
        <w:tab/>
      </w:r>
      <w:r w:rsidRPr="00D07C73">
        <w:rPr>
          <w:rFonts w:ascii="Calibri" w:hAnsi="Calibri" w:cs="Calibri"/>
          <w:b/>
          <w:sz w:val="20"/>
          <w:szCs w:val="20"/>
        </w:rPr>
        <w:tab/>
      </w:r>
      <w:r w:rsidRPr="00D07C73">
        <w:rPr>
          <w:rFonts w:ascii="Calibri" w:hAnsi="Calibri" w:cs="Calibri"/>
          <w:b/>
          <w:sz w:val="20"/>
          <w:szCs w:val="20"/>
        </w:rPr>
        <w:tab/>
      </w:r>
      <w:r w:rsidRPr="00D07C73">
        <w:rPr>
          <w:rFonts w:ascii="Calibri" w:hAnsi="Calibri" w:cs="Calibri"/>
          <w:b/>
          <w:sz w:val="20"/>
          <w:szCs w:val="20"/>
        </w:rPr>
        <w:tab/>
      </w:r>
      <w:r w:rsidRPr="00D07C73">
        <w:rPr>
          <w:rFonts w:ascii="Calibri" w:hAnsi="Calibri" w:cs="Calibri"/>
          <w:b/>
          <w:sz w:val="20"/>
          <w:szCs w:val="20"/>
        </w:rPr>
        <w:tab/>
      </w:r>
      <w:r w:rsidRPr="00D07C73">
        <w:rPr>
          <w:rFonts w:ascii="Calibri" w:hAnsi="Calibri" w:cs="Calibri"/>
          <w:b/>
          <w:sz w:val="20"/>
          <w:szCs w:val="20"/>
        </w:rPr>
        <w:tab/>
      </w:r>
      <w:r w:rsidRPr="00D07C73">
        <w:rPr>
          <w:rFonts w:ascii="Calibri" w:hAnsi="Calibri" w:cs="Calibri"/>
          <w:b/>
          <w:sz w:val="20"/>
          <w:szCs w:val="20"/>
        </w:rPr>
        <w:tab/>
      </w:r>
      <w:r w:rsidRPr="00D07C73">
        <w:rPr>
          <w:rFonts w:ascii="Calibri" w:hAnsi="Calibri" w:cs="Calibri"/>
          <w:b/>
          <w:sz w:val="20"/>
          <w:szCs w:val="20"/>
        </w:rPr>
        <w:tab/>
      </w:r>
      <w:r w:rsidRPr="00D07C73">
        <w:rPr>
          <w:rFonts w:ascii="Calibri" w:hAnsi="Calibri" w:cs="Calibri"/>
          <w:b/>
          <w:sz w:val="20"/>
          <w:szCs w:val="20"/>
        </w:rPr>
        <w:tab/>
      </w:r>
      <w:r w:rsidRPr="00D07C73">
        <w:rPr>
          <w:rFonts w:ascii="Calibri" w:hAnsi="Calibri" w:cs="Calibri"/>
          <w:b/>
          <w:sz w:val="20"/>
          <w:szCs w:val="20"/>
        </w:rPr>
        <w:tab/>
      </w:r>
      <w:r w:rsidRPr="00D07C73">
        <w:rPr>
          <w:rFonts w:ascii="Calibri" w:hAnsi="Calibri" w:cs="Calibri"/>
          <w:b/>
          <w:sz w:val="20"/>
          <w:szCs w:val="20"/>
        </w:rPr>
        <w:tab/>
      </w:r>
      <w:r w:rsidRPr="00D07C73">
        <w:rPr>
          <w:rFonts w:ascii="Calibri" w:hAnsi="Calibri" w:cs="Calibri"/>
          <w:b/>
          <w:sz w:val="20"/>
          <w:szCs w:val="20"/>
        </w:rPr>
        <w:tab/>
      </w:r>
      <w:r w:rsidRPr="00D07C73">
        <w:rPr>
          <w:rFonts w:ascii="Calibri" w:hAnsi="Calibri" w:cs="Calibri"/>
          <w:b/>
          <w:sz w:val="20"/>
          <w:szCs w:val="20"/>
        </w:rPr>
        <w:tab/>
      </w:r>
      <w:r w:rsidRPr="00D07C73">
        <w:rPr>
          <w:rFonts w:ascii="Calibri" w:hAnsi="Calibri" w:cs="Calibri"/>
          <w:b/>
          <w:sz w:val="20"/>
          <w:szCs w:val="20"/>
        </w:rPr>
        <w:tab/>
      </w:r>
      <w:r w:rsidRPr="00D07C73">
        <w:rPr>
          <w:rFonts w:ascii="Calibri" w:hAnsi="Calibri" w:cs="Calibri"/>
          <w:b/>
          <w:sz w:val="20"/>
          <w:szCs w:val="20"/>
        </w:rPr>
        <w:tab/>
      </w:r>
      <w:r w:rsidRPr="00D07C73">
        <w:rPr>
          <w:rFonts w:ascii="Calibri" w:hAnsi="Calibri" w:cs="Calibri"/>
          <w:b/>
          <w:sz w:val="20"/>
          <w:szCs w:val="20"/>
        </w:rPr>
        <w:tab/>
      </w:r>
      <w:r w:rsidRPr="00D07C73">
        <w:rPr>
          <w:rFonts w:ascii="Calibri" w:hAnsi="Calibri" w:cs="Calibri"/>
          <w:b/>
          <w:sz w:val="20"/>
          <w:szCs w:val="20"/>
        </w:rPr>
        <w:tab/>
      </w:r>
      <w:r w:rsidRPr="00D07C73">
        <w:rPr>
          <w:rFonts w:ascii="Calibri" w:hAnsi="Calibri" w:cs="Calibri"/>
          <w:b/>
          <w:sz w:val="20"/>
          <w:szCs w:val="20"/>
        </w:rPr>
        <w:tab/>
      </w:r>
    </w:p>
    <w:p w:rsidR="00D07C73" w:rsidRPr="00D07C73" w:rsidRDefault="00D07C73" w:rsidP="00D07C73">
      <w:pPr>
        <w:rPr>
          <w:rFonts w:ascii="Calibri" w:hAnsi="Calibri" w:cs="Calibri"/>
          <w:b/>
          <w:sz w:val="20"/>
          <w:szCs w:val="20"/>
        </w:rPr>
      </w:pPr>
      <w:r w:rsidRPr="00D07C73">
        <w:rPr>
          <w:rFonts w:ascii="Calibri" w:hAnsi="Calibri" w:cs="Calibri"/>
          <w:b/>
          <w:sz w:val="20"/>
          <w:szCs w:val="20"/>
        </w:rPr>
        <w:t>Celkové pohledávky /dlužné/ částky evidované  na kap. 13 k 31.</w:t>
      </w:r>
      <w:r w:rsidR="00B15436">
        <w:rPr>
          <w:rFonts w:ascii="Calibri" w:hAnsi="Calibri" w:cs="Calibri"/>
          <w:b/>
          <w:sz w:val="20"/>
          <w:szCs w:val="20"/>
        </w:rPr>
        <w:t xml:space="preserve"> </w:t>
      </w:r>
      <w:r w:rsidRPr="00D07C73">
        <w:rPr>
          <w:rFonts w:ascii="Calibri" w:hAnsi="Calibri" w:cs="Calibri"/>
          <w:b/>
          <w:sz w:val="20"/>
          <w:szCs w:val="20"/>
        </w:rPr>
        <w:t>12.</w:t>
      </w:r>
      <w:r w:rsidR="00B15436">
        <w:rPr>
          <w:rFonts w:ascii="Calibri" w:hAnsi="Calibri" w:cs="Calibri"/>
          <w:b/>
          <w:sz w:val="20"/>
          <w:szCs w:val="20"/>
        </w:rPr>
        <w:t xml:space="preserve"> </w:t>
      </w:r>
      <w:r w:rsidRPr="00D07C73">
        <w:rPr>
          <w:rFonts w:ascii="Calibri" w:hAnsi="Calibri" w:cs="Calibri"/>
          <w:b/>
          <w:sz w:val="20"/>
          <w:szCs w:val="20"/>
        </w:rPr>
        <w:t>2022</w:t>
      </w:r>
    </w:p>
    <w:p w:rsidR="00D07C73" w:rsidRPr="00D07C73" w:rsidRDefault="00D07C73" w:rsidP="00D07C73">
      <w:pPr>
        <w:rPr>
          <w:rFonts w:ascii="Calibri" w:hAnsi="Calibri" w:cs="Calibri"/>
          <w:sz w:val="20"/>
          <w:szCs w:val="20"/>
        </w:rPr>
      </w:pPr>
      <w:r w:rsidRPr="00D07C73">
        <w:rPr>
          <w:rFonts w:ascii="Calibri" w:hAnsi="Calibri" w:cs="Calibri"/>
          <w:sz w:val="20"/>
          <w:szCs w:val="20"/>
        </w:rPr>
        <w:t xml:space="preserve">1303 - pokuty </w:t>
      </w:r>
      <w:r w:rsidRPr="00D07C73">
        <w:rPr>
          <w:rFonts w:ascii="Calibri" w:hAnsi="Calibri" w:cs="Calibri"/>
          <w:sz w:val="20"/>
          <w:szCs w:val="20"/>
        </w:rPr>
        <w:tab/>
      </w:r>
      <w:r w:rsidRPr="00D07C73">
        <w:rPr>
          <w:rFonts w:ascii="Calibri" w:hAnsi="Calibri" w:cs="Calibri"/>
          <w:sz w:val="20"/>
          <w:szCs w:val="20"/>
        </w:rPr>
        <w:tab/>
      </w:r>
      <w:r w:rsidR="00B15436">
        <w:rPr>
          <w:rFonts w:ascii="Calibri" w:hAnsi="Calibri" w:cs="Calibri"/>
          <w:sz w:val="20"/>
          <w:szCs w:val="20"/>
        </w:rPr>
        <w:tab/>
      </w:r>
      <w:r w:rsidRPr="00D07C73">
        <w:rPr>
          <w:rFonts w:ascii="Calibri" w:hAnsi="Calibri" w:cs="Calibri"/>
          <w:sz w:val="20"/>
          <w:szCs w:val="20"/>
        </w:rPr>
        <w:t>560 tis. Kč</w:t>
      </w:r>
    </w:p>
    <w:p w:rsidR="00D07C73" w:rsidRPr="00D07C73" w:rsidRDefault="00D07C73" w:rsidP="00D07C73">
      <w:pPr>
        <w:rPr>
          <w:rFonts w:ascii="Calibri" w:hAnsi="Calibri" w:cs="Calibri"/>
          <w:sz w:val="20"/>
          <w:szCs w:val="20"/>
        </w:rPr>
      </w:pPr>
      <w:r w:rsidRPr="00D07C73">
        <w:rPr>
          <w:rFonts w:ascii="Calibri" w:hAnsi="Calibri" w:cs="Calibri"/>
          <w:sz w:val="20"/>
          <w:szCs w:val="20"/>
        </w:rPr>
        <w:t>1310 - doprava do PTZ</w:t>
      </w:r>
      <w:r w:rsidRPr="00D07C73">
        <w:rPr>
          <w:rFonts w:ascii="Calibri" w:hAnsi="Calibri" w:cs="Calibri"/>
          <w:sz w:val="20"/>
          <w:szCs w:val="20"/>
        </w:rPr>
        <w:tab/>
      </w:r>
      <w:r w:rsidR="00B15436">
        <w:rPr>
          <w:rFonts w:ascii="Calibri" w:hAnsi="Calibri" w:cs="Calibri"/>
          <w:sz w:val="20"/>
          <w:szCs w:val="20"/>
        </w:rPr>
        <w:tab/>
      </w:r>
      <w:r w:rsidRPr="00D07C73">
        <w:rPr>
          <w:rFonts w:ascii="Calibri" w:hAnsi="Calibri" w:cs="Calibri"/>
          <w:sz w:val="20"/>
          <w:szCs w:val="20"/>
        </w:rPr>
        <w:t>126 tis. Kč</w:t>
      </w:r>
    </w:p>
    <w:p w:rsidR="00D07C73" w:rsidRPr="00D07C73" w:rsidRDefault="00B15436" w:rsidP="00D07C73">
      <w:pPr>
        <w:rPr>
          <w:rFonts w:ascii="Calibri" w:hAnsi="Calibri" w:cs="Calibri"/>
          <w:sz w:val="20"/>
          <w:szCs w:val="20"/>
        </w:rPr>
      </w:pPr>
      <w:r>
        <w:rPr>
          <w:rFonts w:ascii="Calibri" w:hAnsi="Calibri" w:cs="Calibri"/>
          <w:sz w:val="20"/>
          <w:szCs w:val="20"/>
        </w:rPr>
        <w:t xml:space="preserve">1351 - odtahy překážky sil. </w:t>
      </w:r>
      <w:r>
        <w:rPr>
          <w:rFonts w:ascii="Calibri" w:hAnsi="Calibri" w:cs="Calibri"/>
          <w:sz w:val="20"/>
          <w:szCs w:val="20"/>
        </w:rPr>
        <w:tab/>
        <w:t xml:space="preserve">  </w:t>
      </w:r>
      <w:r w:rsidR="00D07C73" w:rsidRPr="00D07C73">
        <w:rPr>
          <w:rFonts w:ascii="Calibri" w:hAnsi="Calibri" w:cs="Calibri"/>
          <w:sz w:val="20"/>
          <w:szCs w:val="20"/>
        </w:rPr>
        <w:t>21 tis. Kč</w:t>
      </w:r>
    </w:p>
    <w:p w:rsidR="00D07C73" w:rsidRPr="00D07C73" w:rsidRDefault="00D07C73" w:rsidP="00D07C73">
      <w:pPr>
        <w:rPr>
          <w:rFonts w:ascii="Calibri" w:hAnsi="Calibri" w:cs="Calibri"/>
          <w:sz w:val="20"/>
          <w:szCs w:val="20"/>
        </w:rPr>
      </w:pPr>
      <w:r w:rsidRPr="00D07C73">
        <w:rPr>
          <w:rFonts w:ascii="Calibri" w:hAnsi="Calibri" w:cs="Calibri"/>
          <w:sz w:val="20"/>
          <w:szCs w:val="20"/>
        </w:rPr>
        <w:t>1350 - TPZOV - (botičky)</w:t>
      </w:r>
      <w:r w:rsidRPr="00D07C73">
        <w:rPr>
          <w:rFonts w:ascii="Calibri" w:hAnsi="Calibri" w:cs="Calibri"/>
          <w:sz w:val="20"/>
          <w:szCs w:val="20"/>
        </w:rPr>
        <w:tab/>
        <w:t xml:space="preserve">  </w:t>
      </w:r>
      <w:r w:rsidR="00B15436">
        <w:rPr>
          <w:rFonts w:ascii="Calibri" w:hAnsi="Calibri" w:cs="Calibri"/>
          <w:sz w:val="20"/>
          <w:szCs w:val="20"/>
        </w:rPr>
        <w:tab/>
        <w:t xml:space="preserve">  </w:t>
      </w:r>
      <w:r w:rsidRPr="00D07C73">
        <w:rPr>
          <w:rFonts w:ascii="Calibri" w:hAnsi="Calibri" w:cs="Calibri"/>
          <w:sz w:val="20"/>
          <w:szCs w:val="20"/>
        </w:rPr>
        <w:t>57 tis. Kč</w:t>
      </w:r>
    </w:p>
    <w:p w:rsidR="00D07C73" w:rsidRPr="00D07C73" w:rsidRDefault="00D07C73" w:rsidP="00D07C73">
      <w:pPr>
        <w:rPr>
          <w:rFonts w:ascii="Calibri" w:hAnsi="Calibri" w:cs="Calibri"/>
          <w:b/>
          <w:sz w:val="20"/>
          <w:szCs w:val="20"/>
        </w:rPr>
      </w:pPr>
    </w:p>
    <w:p w:rsidR="00D07C73" w:rsidRPr="00D07C73" w:rsidRDefault="00D07C73" w:rsidP="00D07C73">
      <w:pPr>
        <w:rPr>
          <w:rFonts w:ascii="Calibri" w:hAnsi="Calibri" w:cs="Calibri"/>
          <w:b/>
          <w:sz w:val="20"/>
          <w:szCs w:val="20"/>
        </w:rPr>
      </w:pPr>
      <w:r w:rsidRPr="00D07C73">
        <w:rPr>
          <w:rFonts w:ascii="Calibri" w:hAnsi="Calibri" w:cs="Calibri"/>
          <w:b/>
          <w:sz w:val="20"/>
          <w:szCs w:val="20"/>
        </w:rPr>
        <w:t>Správce kapitoly:</w:t>
      </w:r>
    </w:p>
    <w:p w:rsidR="00D07C73" w:rsidRPr="00D07C73" w:rsidRDefault="00D07C73" w:rsidP="00D07C73">
      <w:pPr>
        <w:ind w:left="4956" w:firstLine="708"/>
        <w:rPr>
          <w:rFonts w:ascii="Calibri" w:hAnsi="Calibri" w:cs="Calibri"/>
          <w:b/>
          <w:sz w:val="20"/>
          <w:szCs w:val="20"/>
        </w:rPr>
      </w:pPr>
      <w:r w:rsidRPr="00D07C73">
        <w:rPr>
          <w:rFonts w:ascii="Calibri" w:hAnsi="Calibri" w:cs="Calibri"/>
          <w:b/>
          <w:sz w:val="20"/>
          <w:szCs w:val="20"/>
        </w:rPr>
        <w:t>vrch.</w:t>
      </w:r>
      <w:r w:rsidR="00B15436">
        <w:rPr>
          <w:rFonts w:ascii="Calibri" w:hAnsi="Calibri" w:cs="Calibri"/>
          <w:b/>
          <w:sz w:val="20"/>
          <w:szCs w:val="20"/>
        </w:rPr>
        <w:t xml:space="preserve"> </w:t>
      </w:r>
      <w:r w:rsidRPr="00D07C73">
        <w:rPr>
          <w:rFonts w:ascii="Calibri" w:hAnsi="Calibri" w:cs="Calibri"/>
          <w:b/>
          <w:sz w:val="20"/>
          <w:szCs w:val="20"/>
        </w:rPr>
        <w:t>pol. rada PhDr. Bc. Libor Šebestík</w:t>
      </w:r>
    </w:p>
    <w:p w:rsidR="00004CD5" w:rsidRPr="00D07C73" w:rsidRDefault="00D07C73" w:rsidP="00D07C73">
      <w:pPr>
        <w:rPr>
          <w:rFonts w:ascii="Calibri" w:hAnsi="Calibri" w:cs="Calibri"/>
          <w:b/>
          <w:sz w:val="20"/>
          <w:szCs w:val="20"/>
        </w:rPr>
      </w:pPr>
      <w:r w:rsidRPr="00D07C73">
        <w:rPr>
          <w:rFonts w:ascii="Calibri" w:hAnsi="Calibri" w:cs="Calibri"/>
          <w:b/>
          <w:sz w:val="20"/>
          <w:szCs w:val="20"/>
        </w:rPr>
        <w:tab/>
      </w:r>
      <w:r w:rsidRPr="00D07C73">
        <w:rPr>
          <w:rFonts w:ascii="Calibri" w:hAnsi="Calibri" w:cs="Calibri"/>
          <w:b/>
          <w:sz w:val="20"/>
          <w:szCs w:val="20"/>
        </w:rPr>
        <w:tab/>
      </w:r>
      <w:r w:rsidRPr="00D07C73">
        <w:rPr>
          <w:rFonts w:ascii="Calibri" w:hAnsi="Calibri" w:cs="Calibri"/>
          <w:b/>
          <w:sz w:val="20"/>
          <w:szCs w:val="20"/>
        </w:rPr>
        <w:tab/>
      </w:r>
      <w:r w:rsidRPr="00D07C73">
        <w:rPr>
          <w:rFonts w:ascii="Calibri" w:hAnsi="Calibri" w:cs="Calibri"/>
          <w:b/>
          <w:sz w:val="20"/>
          <w:szCs w:val="20"/>
        </w:rPr>
        <w:tab/>
      </w:r>
      <w:r w:rsidRPr="00D07C73">
        <w:rPr>
          <w:rFonts w:ascii="Calibri" w:hAnsi="Calibri" w:cs="Calibri"/>
          <w:b/>
          <w:sz w:val="20"/>
          <w:szCs w:val="20"/>
        </w:rPr>
        <w:tab/>
      </w:r>
      <w:r w:rsidRPr="00D07C73">
        <w:rPr>
          <w:rFonts w:ascii="Calibri" w:hAnsi="Calibri" w:cs="Calibri"/>
          <w:b/>
          <w:sz w:val="20"/>
          <w:szCs w:val="20"/>
        </w:rPr>
        <w:tab/>
      </w:r>
      <w:r w:rsidRPr="00D07C73">
        <w:rPr>
          <w:rFonts w:ascii="Calibri" w:hAnsi="Calibri" w:cs="Calibri"/>
          <w:b/>
          <w:sz w:val="20"/>
          <w:szCs w:val="20"/>
        </w:rPr>
        <w:tab/>
      </w:r>
      <w:r w:rsidRPr="00D07C73">
        <w:rPr>
          <w:rFonts w:ascii="Calibri" w:hAnsi="Calibri" w:cs="Calibri"/>
          <w:b/>
          <w:sz w:val="20"/>
          <w:szCs w:val="20"/>
        </w:rPr>
        <w:tab/>
      </w:r>
      <w:r w:rsidRPr="00D07C73">
        <w:rPr>
          <w:rFonts w:ascii="Calibri" w:hAnsi="Calibri" w:cs="Calibri"/>
          <w:b/>
          <w:sz w:val="20"/>
          <w:szCs w:val="20"/>
        </w:rPr>
        <w:tab/>
        <w:t>ředitel městské policie</w:t>
      </w:r>
    </w:p>
    <w:p w:rsidR="00D07C73" w:rsidRDefault="00D07C73" w:rsidP="00D07C73">
      <w:pPr>
        <w:rPr>
          <w:b/>
          <w:sz w:val="18"/>
        </w:rPr>
      </w:pPr>
    </w:p>
    <w:p w:rsidR="00D07C73" w:rsidRDefault="00D07C73" w:rsidP="00D07C73">
      <w:pPr>
        <w:rPr>
          <w:b/>
          <w:sz w:val="18"/>
        </w:rPr>
      </w:pPr>
    </w:p>
    <w:tbl>
      <w:tblPr>
        <w:tblW w:w="11964" w:type="dxa"/>
        <w:tblInd w:w="-72" w:type="dxa"/>
        <w:tblLayout w:type="fixed"/>
        <w:tblCellMar>
          <w:left w:w="70" w:type="dxa"/>
          <w:right w:w="70" w:type="dxa"/>
        </w:tblCellMar>
        <w:tblLook w:val="0000" w:firstRow="0" w:lastRow="0" w:firstColumn="0" w:lastColumn="0" w:noHBand="0" w:noVBand="0"/>
      </w:tblPr>
      <w:tblGrid>
        <w:gridCol w:w="457"/>
        <w:gridCol w:w="390"/>
        <w:gridCol w:w="527"/>
        <w:gridCol w:w="116"/>
        <w:gridCol w:w="44"/>
        <w:gridCol w:w="300"/>
        <w:gridCol w:w="460"/>
        <w:gridCol w:w="323"/>
        <w:gridCol w:w="7"/>
        <w:gridCol w:w="130"/>
        <w:gridCol w:w="30"/>
        <w:gridCol w:w="259"/>
        <w:gridCol w:w="171"/>
        <w:gridCol w:w="30"/>
        <w:gridCol w:w="30"/>
        <w:gridCol w:w="430"/>
        <w:gridCol w:w="763"/>
        <w:gridCol w:w="992"/>
        <w:gridCol w:w="202"/>
        <w:gridCol w:w="160"/>
        <w:gridCol w:w="81"/>
        <w:gridCol w:w="387"/>
        <w:gridCol w:w="65"/>
        <w:gridCol w:w="8"/>
        <w:gridCol w:w="231"/>
        <w:gridCol w:w="229"/>
        <w:gridCol w:w="336"/>
        <w:gridCol w:w="124"/>
        <w:gridCol w:w="460"/>
        <w:gridCol w:w="460"/>
        <w:gridCol w:w="253"/>
        <w:gridCol w:w="160"/>
        <w:gridCol w:w="47"/>
        <w:gridCol w:w="180"/>
        <w:gridCol w:w="160"/>
        <w:gridCol w:w="73"/>
        <w:gridCol w:w="47"/>
        <w:gridCol w:w="340"/>
        <w:gridCol w:w="73"/>
        <w:gridCol w:w="47"/>
        <w:gridCol w:w="271"/>
        <w:gridCol w:w="69"/>
        <w:gridCol w:w="73"/>
        <w:gridCol w:w="47"/>
        <w:gridCol w:w="340"/>
        <w:gridCol w:w="48"/>
        <w:gridCol w:w="25"/>
        <w:gridCol w:w="87"/>
        <w:gridCol w:w="73"/>
        <w:gridCol w:w="89"/>
        <w:gridCol w:w="73"/>
        <w:gridCol w:w="387"/>
        <w:gridCol w:w="160"/>
        <w:gridCol w:w="640"/>
      </w:tblGrid>
      <w:tr w:rsidR="00B15436" w:rsidRPr="00B15436" w:rsidTr="00AE504D">
        <w:trPr>
          <w:gridAfter w:val="12"/>
          <w:wAfter w:w="2042" w:type="dxa"/>
        </w:trPr>
        <w:tc>
          <w:tcPr>
            <w:tcW w:w="9922" w:type="dxa"/>
            <w:gridSpan w:val="42"/>
          </w:tcPr>
          <w:p w:rsidR="00B15436" w:rsidRPr="00AE504D" w:rsidRDefault="00B15436" w:rsidP="00B15436">
            <w:pPr>
              <w:rPr>
                <w:rFonts w:asciiTheme="minorHAnsi" w:hAnsiTheme="minorHAnsi" w:cstheme="minorHAnsi"/>
                <w:b/>
              </w:rPr>
            </w:pPr>
            <w:r w:rsidRPr="00AE504D">
              <w:rPr>
                <w:rFonts w:asciiTheme="minorHAnsi" w:hAnsiTheme="minorHAnsi" w:cstheme="minorHAnsi"/>
                <w:b/>
              </w:rPr>
              <w:lastRenderedPageBreak/>
              <w:t>Kapitola 14 – Lidské zdroje</w:t>
            </w:r>
          </w:p>
        </w:tc>
      </w:tr>
      <w:tr w:rsidR="00B15436" w:rsidRPr="00B15436" w:rsidTr="00AE504D">
        <w:tc>
          <w:tcPr>
            <w:tcW w:w="457" w:type="dxa"/>
          </w:tcPr>
          <w:p w:rsidR="00B15436" w:rsidRPr="00B15436" w:rsidRDefault="00B15436" w:rsidP="00B15436">
            <w:pPr>
              <w:rPr>
                <w:rFonts w:asciiTheme="minorHAnsi" w:hAnsiTheme="minorHAnsi" w:cstheme="minorHAnsi"/>
                <w:b/>
                <w:sz w:val="20"/>
                <w:szCs w:val="20"/>
              </w:rPr>
            </w:pPr>
          </w:p>
        </w:tc>
        <w:tc>
          <w:tcPr>
            <w:tcW w:w="390" w:type="dxa"/>
          </w:tcPr>
          <w:p w:rsidR="00B15436" w:rsidRPr="00B15436" w:rsidRDefault="00B15436" w:rsidP="00B15436">
            <w:pPr>
              <w:rPr>
                <w:rFonts w:asciiTheme="minorHAnsi" w:hAnsiTheme="minorHAnsi" w:cstheme="minorHAnsi"/>
                <w:b/>
                <w:sz w:val="20"/>
                <w:szCs w:val="20"/>
              </w:rPr>
            </w:pPr>
          </w:p>
        </w:tc>
        <w:tc>
          <w:tcPr>
            <w:tcW w:w="527" w:type="dxa"/>
          </w:tcPr>
          <w:p w:rsidR="00B15436" w:rsidRPr="00B15436" w:rsidRDefault="00B15436" w:rsidP="00B15436">
            <w:pPr>
              <w:rPr>
                <w:rFonts w:asciiTheme="minorHAnsi" w:hAnsiTheme="minorHAnsi" w:cstheme="minorHAnsi"/>
                <w:b/>
                <w:sz w:val="20"/>
                <w:szCs w:val="20"/>
              </w:rPr>
            </w:pPr>
          </w:p>
        </w:tc>
        <w:tc>
          <w:tcPr>
            <w:tcW w:w="460" w:type="dxa"/>
            <w:gridSpan w:val="3"/>
          </w:tcPr>
          <w:p w:rsidR="00B15436" w:rsidRPr="00B15436" w:rsidRDefault="00B15436" w:rsidP="00B15436">
            <w:pPr>
              <w:rPr>
                <w:rFonts w:asciiTheme="minorHAnsi" w:hAnsiTheme="minorHAnsi" w:cstheme="minorHAnsi"/>
                <w:b/>
                <w:sz w:val="20"/>
                <w:szCs w:val="20"/>
              </w:rPr>
            </w:pPr>
          </w:p>
        </w:tc>
        <w:tc>
          <w:tcPr>
            <w:tcW w:w="460" w:type="dxa"/>
          </w:tcPr>
          <w:p w:rsidR="00B15436" w:rsidRPr="00B15436" w:rsidRDefault="00B15436" w:rsidP="00B15436">
            <w:pPr>
              <w:rPr>
                <w:rFonts w:asciiTheme="minorHAnsi" w:hAnsiTheme="minorHAnsi" w:cstheme="minorHAnsi"/>
                <w:b/>
                <w:sz w:val="20"/>
                <w:szCs w:val="20"/>
              </w:rPr>
            </w:pPr>
          </w:p>
        </w:tc>
        <w:tc>
          <w:tcPr>
            <w:tcW w:w="460" w:type="dxa"/>
            <w:gridSpan w:val="3"/>
          </w:tcPr>
          <w:p w:rsidR="00B15436" w:rsidRPr="00B15436" w:rsidRDefault="00B15436" w:rsidP="00B15436">
            <w:pPr>
              <w:rPr>
                <w:rFonts w:asciiTheme="minorHAnsi" w:hAnsiTheme="minorHAnsi" w:cstheme="minorHAnsi"/>
                <w:b/>
                <w:sz w:val="20"/>
                <w:szCs w:val="20"/>
              </w:rPr>
            </w:pPr>
          </w:p>
        </w:tc>
        <w:tc>
          <w:tcPr>
            <w:tcW w:w="460" w:type="dxa"/>
            <w:gridSpan w:val="3"/>
          </w:tcPr>
          <w:p w:rsidR="00B15436" w:rsidRPr="00B15436" w:rsidRDefault="00B15436" w:rsidP="00B15436">
            <w:pPr>
              <w:rPr>
                <w:rFonts w:asciiTheme="minorHAnsi" w:hAnsiTheme="minorHAnsi" w:cstheme="minorHAnsi"/>
                <w:b/>
                <w:sz w:val="20"/>
                <w:szCs w:val="20"/>
              </w:rPr>
            </w:pPr>
          </w:p>
        </w:tc>
        <w:tc>
          <w:tcPr>
            <w:tcW w:w="1253" w:type="dxa"/>
            <w:gridSpan w:val="4"/>
          </w:tcPr>
          <w:p w:rsidR="00B15436" w:rsidRPr="00B15436" w:rsidRDefault="00B15436" w:rsidP="00B15436">
            <w:pPr>
              <w:rPr>
                <w:rFonts w:asciiTheme="minorHAnsi" w:hAnsiTheme="minorHAnsi" w:cstheme="minorHAnsi"/>
                <w:b/>
                <w:sz w:val="20"/>
                <w:szCs w:val="20"/>
              </w:rPr>
            </w:pPr>
          </w:p>
        </w:tc>
        <w:tc>
          <w:tcPr>
            <w:tcW w:w="992" w:type="dxa"/>
          </w:tcPr>
          <w:p w:rsidR="00B15436" w:rsidRPr="00B15436" w:rsidRDefault="00B15436" w:rsidP="00B15436">
            <w:pPr>
              <w:rPr>
                <w:rFonts w:asciiTheme="minorHAnsi" w:hAnsiTheme="minorHAnsi" w:cstheme="minorHAnsi"/>
                <w:b/>
                <w:sz w:val="20"/>
                <w:szCs w:val="20"/>
              </w:rPr>
            </w:pPr>
          </w:p>
        </w:tc>
        <w:tc>
          <w:tcPr>
            <w:tcW w:w="443" w:type="dxa"/>
            <w:gridSpan w:val="3"/>
          </w:tcPr>
          <w:p w:rsidR="00B15436" w:rsidRPr="00B15436" w:rsidRDefault="00B15436" w:rsidP="00B15436">
            <w:pPr>
              <w:rPr>
                <w:rFonts w:asciiTheme="minorHAnsi" w:hAnsiTheme="minorHAnsi" w:cstheme="minorHAnsi"/>
                <w:b/>
                <w:sz w:val="20"/>
                <w:szCs w:val="20"/>
              </w:rPr>
            </w:pPr>
          </w:p>
        </w:tc>
        <w:tc>
          <w:tcPr>
            <w:tcW w:w="452" w:type="dxa"/>
            <w:gridSpan w:val="2"/>
          </w:tcPr>
          <w:p w:rsidR="00B15436" w:rsidRPr="00B15436" w:rsidRDefault="00B15436" w:rsidP="00B15436">
            <w:pPr>
              <w:rPr>
                <w:rFonts w:asciiTheme="minorHAnsi" w:hAnsiTheme="minorHAnsi" w:cstheme="minorHAnsi"/>
                <w:b/>
                <w:sz w:val="20"/>
                <w:szCs w:val="20"/>
              </w:rPr>
            </w:pPr>
          </w:p>
        </w:tc>
        <w:tc>
          <w:tcPr>
            <w:tcW w:w="2101" w:type="dxa"/>
            <w:gridSpan w:val="8"/>
          </w:tcPr>
          <w:p w:rsidR="00B15436" w:rsidRPr="00B15436" w:rsidRDefault="00B15436" w:rsidP="00B15436">
            <w:pPr>
              <w:rPr>
                <w:rFonts w:asciiTheme="minorHAnsi" w:hAnsiTheme="minorHAnsi" w:cstheme="minorHAnsi"/>
                <w:b/>
                <w:sz w:val="20"/>
                <w:szCs w:val="20"/>
              </w:rPr>
            </w:pPr>
          </w:p>
        </w:tc>
        <w:tc>
          <w:tcPr>
            <w:tcW w:w="160" w:type="dxa"/>
          </w:tcPr>
          <w:p w:rsidR="00B15436" w:rsidRPr="00B15436" w:rsidRDefault="00B15436" w:rsidP="00B15436">
            <w:pPr>
              <w:rPr>
                <w:rFonts w:asciiTheme="minorHAnsi" w:hAnsiTheme="minorHAnsi" w:cstheme="minorHAnsi"/>
                <w:b/>
                <w:sz w:val="20"/>
                <w:szCs w:val="20"/>
              </w:rPr>
            </w:pPr>
          </w:p>
        </w:tc>
        <w:tc>
          <w:tcPr>
            <w:tcW w:w="460" w:type="dxa"/>
            <w:gridSpan w:val="4"/>
          </w:tcPr>
          <w:p w:rsidR="00B15436" w:rsidRPr="00B15436" w:rsidRDefault="00B15436" w:rsidP="00B15436">
            <w:pPr>
              <w:rPr>
                <w:rFonts w:asciiTheme="minorHAnsi" w:hAnsiTheme="minorHAnsi" w:cstheme="minorHAnsi"/>
                <w:b/>
                <w:sz w:val="20"/>
                <w:szCs w:val="20"/>
              </w:rPr>
            </w:pPr>
          </w:p>
        </w:tc>
        <w:tc>
          <w:tcPr>
            <w:tcW w:w="460" w:type="dxa"/>
            <w:gridSpan w:val="3"/>
          </w:tcPr>
          <w:p w:rsidR="00B15436" w:rsidRPr="00B15436" w:rsidRDefault="00B15436" w:rsidP="00B15436">
            <w:pPr>
              <w:rPr>
                <w:rFonts w:asciiTheme="minorHAnsi" w:hAnsiTheme="minorHAnsi" w:cstheme="minorHAnsi"/>
                <w:b/>
                <w:sz w:val="20"/>
                <w:szCs w:val="20"/>
              </w:rPr>
            </w:pPr>
          </w:p>
        </w:tc>
        <w:tc>
          <w:tcPr>
            <w:tcW w:w="460" w:type="dxa"/>
            <w:gridSpan w:val="4"/>
          </w:tcPr>
          <w:p w:rsidR="00B15436" w:rsidRPr="00B15436" w:rsidRDefault="00B15436" w:rsidP="00B15436">
            <w:pPr>
              <w:rPr>
                <w:rFonts w:asciiTheme="minorHAnsi" w:hAnsiTheme="minorHAnsi" w:cstheme="minorHAnsi"/>
                <w:b/>
                <w:sz w:val="20"/>
                <w:szCs w:val="20"/>
              </w:rPr>
            </w:pPr>
          </w:p>
        </w:tc>
        <w:tc>
          <w:tcPr>
            <w:tcW w:w="460" w:type="dxa"/>
            <w:gridSpan w:val="4"/>
          </w:tcPr>
          <w:p w:rsidR="00B15436" w:rsidRPr="00B15436" w:rsidRDefault="00B15436" w:rsidP="00B15436">
            <w:pPr>
              <w:rPr>
                <w:rFonts w:asciiTheme="minorHAnsi" w:hAnsiTheme="minorHAnsi" w:cstheme="minorHAnsi"/>
                <w:b/>
                <w:sz w:val="20"/>
                <w:szCs w:val="20"/>
              </w:rPr>
            </w:pPr>
          </w:p>
        </w:tc>
        <w:tc>
          <w:tcPr>
            <w:tcW w:w="160" w:type="dxa"/>
            <w:gridSpan w:val="2"/>
          </w:tcPr>
          <w:p w:rsidR="00B15436" w:rsidRPr="00B15436" w:rsidRDefault="00B15436" w:rsidP="00B15436">
            <w:pPr>
              <w:rPr>
                <w:rFonts w:asciiTheme="minorHAnsi" w:hAnsiTheme="minorHAnsi" w:cstheme="minorHAnsi"/>
                <w:b/>
                <w:sz w:val="20"/>
                <w:szCs w:val="20"/>
              </w:rPr>
            </w:pPr>
          </w:p>
        </w:tc>
        <w:tc>
          <w:tcPr>
            <w:tcW w:w="162" w:type="dxa"/>
            <w:gridSpan w:val="2"/>
          </w:tcPr>
          <w:p w:rsidR="00B15436" w:rsidRPr="00B15436" w:rsidRDefault="00B15436" w:rsidP="00B15436">
            <w:pPr>
              <w:rPr>
                <w:rFonts w:asciiTheme="minorHAnsi" w:hAnsiTheme="minorHAnsi" w:cstheme="minorHAnsi"/>
                <w:b/>
                <w:sz w:val="20"/>
                <w:szCs w:val="20"/>
              </w:rPr>
            </w:pPr>
          </w:p>
        </w:tc>
        <w:tc>
          <w:tcPr>
            <w:tcW w:w="1187" w:type="dxa"/>
            <w:gridSpan w:val="3"/>
          </w:tcPr>
          <w:p w:rsidR="00B15436" w:rsidRPr="00B15436" w:rsidRDefault="00B15436" w:rsidP="00B15436">
            <w:pPr>
              <w:rPr>
                <w:rFonts w:asciiTheme="minorHAnsi" w:hAnsiTheme="minorHAnsi" w:cstheme="minorHAnsi"/>
                <w:b/>
                <w:sz w:val="20"/>
                <w:szCs w:val="20"/>
              </w:rPr>
            </w:pPr>
          </w:p>
        </w:tc>
      </w:tr>
      <w:tr w:rsidR="00B15436" w:rsidRPr="00B15436" w:rsidTr="00AE504D">
        <w:trPr>
          <w:gridAfter w:val="12"/>
          <w:wAfter w:w="2042" w:type="dxa"/>
        </w:trPr>
        <w:tc>
          <w:tcPr>
            <w:tcW w:w="9922" w:type="dxa"/>
            <w:gridSpan w:val="42"/>
            <w:shd w:val="clear" w:color="auto" w:fill="F79646"/>
          </w:tcPr>
          <w:p w:rsidR="00B15436" w:rsidRPr="00B15436" w:rsidRDefault="00B15436" w:rsidP="00B15436">
            <w:pPr>
              <w:rPr>
                <w:rFonts w:asciiTheme="minorHAnsi" w:hAnsiTheme="minorHAnsi" w:cstheme="minorHAnsi"/>
                <w:b/>
                <w:sz w:val="20"/>
                <w:szCs w:val="20"/>
                <w:u w:val="single"/>
              </w:rPr>
            </w:pPr>
            <w:r w:rsidRPr="00B15436">
              <w:rPr>
                <w:rFonts w:asciiTheme="minorHAnsi" w:hAnsiTheme="minorHAnsi" w:cstheme="minorHAnsi"/>
                <w:b/>
                <w:sz w:val="20"/>
                <w:szCs w:val="20"/>
                <w:u w:val="single"/>
              </w:rPr>
              <w:t>Rozbor plnění příjmů rozpočtu kapitoly</w:t>
            </w:r>
          </w:p>
        </w:tc>
      </w:tr>
      <w:tr w:rsidR="00B15436" w:rsidRPr="00B15436" w:rsidTr="00AE504D">
        <w:trPr>
          <w:gridAfter w:val="1"/>
          <w:wAfter w:w="640" w:type="dxa"/>
        </w:trPr>
        <w:tc>
          <w:tcPr>
            <w:tcW w:w="457" w:type="dxa"/>
            <w:tcBorders>
              <w:bottom w:val="single" w:sz="4" w:space="0" w:color="auto"/>
            </w:tcBorders>
          </w:tcPr>
          <w:p w:rsidR="00B15436" w:rsidRPr="00B15436" w:rsidRDefault="00B15436" w:rsidP="00B15436">
            <w:pPr>
              <w:rPr>
                <w:rFonts w:asciiTheme="minorHAnsi" w:hAnsiTheme="minorHAnsi" w:cstheme="minorHAnsi"/>
                <w:b/>
                <w:sz w:val="20"/>
                <w:szCs w:val="20"/>
              </w:rPr>
            </w:pPr>
          </w:p>
        </w:tc>
        <w:tc>
          <w:tcPr>
            <w:tcW w:w="390" w:type="dxa"/>
            <w:tcBorders>
              <w:bottom w:val="single" w:sz="4" w:space="0" w:color="auto"/>
            </w:tcBorders>
          </w:tcPr>
          <w:p w:rsidR="00B15436" w:rsidRPr="00B15436" w:rsidRDefault="00B15436" w:rsidP="00B15436">
            <w:pPr>
              <w:rPr>
                <w:rFonts w:asciiTheme="minorHAnsi" w:hAnsiTheme="minorHAnsi" w:cstheme="minorHAnsi"/>
                <w:b/>
                <w:sz w:val="20"/>
                <w:szCs w:val="20"/>
              </w:rPr>
            </w:pPr>
          </w:p>
        </w:tc>
        <w:tc>
          <w:tcPr>
            <w:tcW w:w="527" w:type="dxa"/>
            <w:tcBorders>
              <w:bottom w:val="single" w:sz="4" w:space="0" w:color="auto"/>
            </w:tcBorders>
          </w:tcPr>
          <w:p w:rsidR="00B15436" w:rsidRPr="00B15436" w:rsidRDefault="00B15436" w:rsidP="00B15436">
            <w:pPr>
              <w:rPr>
                <w:rFonts w:asciiTheme="minorHAnsi" w:hAnsiTheme="minorHAnsi" w:cstheme="minorHAnsi"/>
                <w:b/>
                <w:sz w:val="20"/>
                <w:szCs w:val="20"/>
              </w:rPr>
            </w:pPr>
          </w:p>
        </w:tc>
        <w:tc>
          <w:tcPr>
            <w:tcW w:w="1250" w:type="dxa"/>
            <w:gridSpan w:val="6"/>
            <w:tcBorders>
              <w:bottom w:val="single" w:sz="4" w:space="0" w:color="auto"/>
            </w:tcBorders>
          </w:tcPr>
          <w:p w:rsidR="00B15436" w:rsidRPr="00B15436" w:rsidRDefault="00B15436" w:rsidP="00B15436">
            <w:pPr>
              <w:rPr>
                <w:rFonts w:asciiTheme="minorHAnsi" w:hAnsiTheme="minorHAnsi" w:cstheme="minorHAnsi"/>
                <w:b/>
                <w:sz w:val="20"/>
                <w:szCs w:val="20"/>
              </w:rPr>
            </w:pPr>
          </w:p>
        </w:tc>
        <w:tc>
          <w:tcPr>
            <w:tcW w:w="160" w:type="dxa"/>
            <w:gridSpan w:val="2"/>
            <w:tcBorders>
              <w:bottom w:val="single" w:sz="4" w:space="0" w:color="auto"/>
            </w:tcBorders>
          </w:tcPr>
          <w:p w:rsidR="00B15436" w:rsidRPr="00B15436" w:rsidRDefault="00B15436" w:rsidP="00B15436">
            <w:pPr>
              <w:rPr>
                <w:rFonts w:asciiTheme="minorHAnsi" w:hAnsiTheme="minorHAnsi" w:cstheme="minorHAnsi"/>
                <w:b/>
                <w:sz w:val="20"/>
                <w:szCs w:val="20"/>
              </w:rPr>
            </w:pPr>
          </w:p>
        </w:tc>
        <w:tc>
          <w:tcPr>
            <w:tcW w:w="460" w:type="dxa"/>
            <w:gridSpan w:val="3"/>
            <w:tcBorders>
              <w:bottom w:val="single" w:sz="4" w:space="0" w:color="auto"/>
            </w:tcBorders>
          </w:tcPr>
          <w:p w:rsidR="00B15436" w:rsidRPr="00B15436" w:rsidRDefault="00B15436" w:rsidP="00B15436">
            <w:pPr>
              <w:rPr>
                <w:rFonts w:asciiTheme="minorHAnsi" w:hAnsiTheme="minorHAnsi" w:cstheme="minorHAnsi"/>
                <w:b/>
                <w:sz w:val="20"/>
                <w:szCs w:val="20"/>
              </w:rPr>
            </w:pPr>
          </w:p>
        </w:tc>
        <w:tc>
          <w:tcPr>
            <w:tcW w:w="460" w:type="dxa"/>
            <w:gridSpan w:val="2"/>
            <w:tcBorders>
              <w:bottom w:val="single" w:sz="4" w:space="0" w:color="auto"/>
            </w:tcBorders>
          </w:tcPr>
          <w:p w:rsidR="00B15436" w:rsidRPr="00B15436" w:rsidRDefault="00B15436" w:rsidP="00B15436">
            <w:pPr>
              <w:rPr>
                <w:rFonts w:asciiTheme="minorHAnsi" w:hAnsiTheme="minorHAnsi" w:cstheme="minorHAnsi"/>
                <w:b/>
                <w:sz w:val="20"/>
                <w:szCs w:val="20"/>
              </w:rPr>
            </w:pPr>
          </w:p>
        </w:tc>
        <w:tc>
          <w:tcPr>
            <w:tcW w:w="1957" w:type="dxa"/>
            <w:gridSpan w:val="3"/>
            <w:tcBorders>
              <w:bottom w:val="single" w:sz="4" w:space="0" w:color="auto"/>
            </w:tcBorders>
          </w:tcPr>
          <w:p w:rsidR="00B15436" w:rsidRPr="00B15436" w:rsidRDefault="00B15436" w:rsidP="00B15436">
            <w:pPr>
              <w:rPr>
                <w:rFonts w:asciiTheme="minorHAnsi" w:hAnsiTheme="minorHAnsi" w:cstheme="minorHAnsi"/>
                <w:b/>
                <w:sz w:val="20"/>
                <w:szCs w:val="20"/>
              </w:rPr>
            </w:pPr>
          </w:p>
        </w:tc>
        <w:tc>
          <w:tcPr>
            <w:tcW w:w="160" w:type="dxa"/>
            <w:tcBorders>
              <w:bottom w:val="single" w:sz="4" w:space="0" w:color="auto"/>
            </w:tcBorders>
          </w:tcPr>
          <w:p w:rsidR="00B15436" w:rsidRPr="00B15436" w:rsidRDefault="00B15436" w:rsidP="00B15436">
            <w:pPr>
              <w:rPr>
                <w:rFonts w:asciiTheme="minorHAnsi" w:hAnsiTheme="minorHAnsi" w:cstheme="minorHAnsi"/>
                <w:b/>
                <w:sz w:val="20"/>
                <w:szCs w:val="20"/>
              </w:rPr>
            </w:pPr>
          </w:p>
        </w:tc>
        <w:tc>
          <w:tcPr>
            <w:tcW w:w="468" w:type="dxa"/>
            <w:gridSpan w:val="2"/>
            <w:tcBorders>
              <w:bottom w:val="single" w:sz="4" w:space="0" w:color="auto"/>
            </w:tcBorders>
          </w:tcPr>
          <w:p w:rsidR="00B15436" w:rsidRPr="00B15436" w:rsidRDefault="00B15436" w:rsidP="00B15436">
            <w:pPr>
              <w:rPr>
                <w:rFonts w:asciiTheme="minorHAnsi" w:hAnsiTheme="minorHAnsi" w:cstheme="minorHAnsi"/>
                <w:b/>
                <w:sz w:val="20"/>
                <w:szCs w:val="20"/>
              </w:rPr>
            </w:pPr>
          </w:p>
        </w:tc>
        <w:tc>
          <w:tcPr>
            <w:tcW w:w="304" w:type="dxa"/>
            <w:gridSpan w:val="3"/>
            <w:tcBorders>
              <w:bottom w:val="single" w:sz="4" w:space="0" w:color="auto"/>
            </w:tcBorders>
          </w:tcPr>
          <w:p w:rsidR="00B15436" w:rsidRPr="00B15436" w:rsidRDefault="00B15436" w:rsidP="00B15436">
            <w:pPr>
              <w:rPr>
                <w:rFonts w:asciiTheme="minorHAnsi" w:hAnsiTheme="minorHAnsi" w:cstheme="minorHAnsi"/>
                <w:b/>
                <w:sz w:val="20"/>
                <w:szCs w:val="20"/>
              </w:rPr>
            </w:pPr>
          </w:p>
        </w:tc>
        <w:tc>
          <w:tcPr>
            <w:tcW w:w="2249" w:type="dxa"/>
            <w:gridSpan w:val="9"/>
            <w:tcBorders>
              <w:bottom w:val="single" w:sz="4" w:space="0" w:color="auto"/>
            </w:tcBorders>
          </w:tcPr>
          <w:p w:rsidR="00B15436" w:rsidRPr="00B15436" w:rsidRDefault="00B15436" w:rsidP="00B15436">
            <w:pPr>
              <w:rPr>
                <w:rFonts w:asciiTheme="minorHAnsi" w:hAnsiTheme="minorHAnsi" w:cstheme="minorHAnsi"/>
                <w:b/>
                <w:sz w:val="20"/>
                <w:szCs w:val="20"/>
              </w:rPr>
            </w:pPr>
          </w:p>
        </w:tc>
        <w:tc>
          <w:tcPr>
            <w:tcW w:w="160" w:type="dxa"/>
            <w:tcBorders>
              <w:bottom w:val="single" w:sz="4" w:space="0" w:color="auto"/>
            </w:tcBorders>
          </w:tcPr>
          <w:p w:rsidR="00B15436" w:rsidRPr="00B15436" w:rsidRDefault="00B15436" w:rsidP="00B15436">
            <w:pPr>
              <w:rPr>
                <w:rFonts w:asciiTheme="minorHAnsi" w:hAnsiTheme="minorHAnsi" w:cstheme="minorHAnsi"/>
                <w:b/>
                <w:sz w:val="20"/>
                <w:szCs w:val="20"/>
              </w:rPr>
            </w:pPr>
          </w:p>
        </w:tc>
        <w:tc>
          <w:tcPr>
            <w:tcW w:w="460" w:type="dxa"/>
            <w:gridSpan w:val="3"/>
            <w:tcBorders>
              <w:bottom w:val="single" w:sz="4" w:space="0" w:color="auto"/>
            </w:tcBorders>
          </w:tcPr>
          <w:p w:rsidR="00B15436" w:rsidRPr="00B15436" w:rsidRDefault="00B15436" w:rsidP="00B15436">
            <w:pPr>
              <w:rPr>
                <w:rFonts w:asciiTheme="minorHAnsi" w:hAnsiTheme="minorHAnsi" w:cstheme="minorHAnsi"/>
                <w:b/>
                <w:sz w:val="20"/>
                <w:szCs w:val="20"/>
              </w:rPr>
            </w:pPr>
          </w:p>
        </w:tc>
        <w:tc>
          <w:tcPr>
            <w:tcW w:w="460" w:type="dxa"/>
            <w:gridSpan w:val="4"/>
            <w:tcBorders>
              <w:bottom w:val="single" w:sz="4" w:space="0" w:color="auto"/>
            </w:tcBorders>
          </w:tcPr>
          <w:p w:rsidR="00B15436" w:rsidRPr="00B15436" w:rsidRDefault="00B15436" w:rsidP="00B15436">
            <w:pPr>
              <w:rPr>
                <w:rFonts w:asciiTheme="minorHAnsi" w:hAnsiTheme="minorHAnsi" w:cstheme="minorHAnsi"/>
                <w:b/>
                <w:sz w:val="20"/>
                <w:szCs w:val="20"/>
              </w:rPr>
            </w:pPr>
          </w:p>
        </w:tc>
        <w:tc>
          <w:tcPr>
            <w:tcW w:w="460" w:type="dxa"/>
            <w:gridSpan w:val="3"/>
            <w:tcBorders>
              <w:bottom w:val="single" w:sz="4" w:space="0" w:color="auto"/>
            </w:tcBorders>
          </w:tcPr>
          <w:p w:rsidR="00B15436" w:rsidRPr="00B15436" w:rsidRDefault="00B15436" w:rsidP="00B15436">
            <w:pPr>
              <w:rPr>
                <w:rFonts w:asciiTheme="minorHAnsi" w:hAnsiTheme="minorHAnsi" w:cstheme="minorHAnsi"/>
                <w:b/>
                <w:sz w:val="20"/>
                <w:szCs w:val="20"/>
              </w:rPr>
            </w:pPr>
          </w:p>
        </w:tc>
        <w:tc>
          <w:tcPr>
            <w:tcW w:w="160" w:type="dxa"/>
            <w:gridSpan w:val="3"/>
            <w:tcBorders>
              <w:bottom w:val="single" w:sz="4" w:space="0" w:color="auto"/>
            </w:tcBorders>
          </w:tcPr>
          <w:p w:rsidR="00B15436" w:rsidRPr="00B15436" w:rsidRDefault="00B15436" w:rsidP="00B15436">
            <w:pPr>
              <w:rPr>
                <w:rFonts w:asciiTheme="minorHAnsi" w:hAnsiTheme="minorHAnsi" w:cstheme="minorHAnsi"/>
                <w:b/>
                <w:sz w:val="20"/>
                <w:szCs w:val="20"/>
              </w:rPr>
            </w:pPr>
          </w:p>
        </w:tc>
        <w:tc>
          <w:tcPr>
            <w:tcW w:w="162" w:type="dxa"/>
            <w:gridSpan w:val="2"/>
            <w:tcBorders>
              <w:bottom w:val="single" w:sz="4" w:space="0" w:color="auto"/>
            </w:tcBorders>
          </w:tcPr>
          <w:p w:rsidR="00B15436" w:rsidRPr="00B15436" w:rsidRDefault="00B15436" w:rsidP="00B15436">
            <w:pPr>
              <w:rPr>
                <w:rFonts w:asciiTheme="minorHAnsi" w:hAnsiTheme="minorHAnsi" w:cstheme="minorHAnsi"/>
                <w:b/>
                <w:sz w:val="20"/>
                <w:szCs w:val="20"/>
              </w:rPr>
            </w:pPr>
          </w:p>
        </w:tc>
        <w:tc>
          <w:tcPr>
            <w:tcW w:w="460" w:type="dxa"/>
            <w:gridSpan w:val="2"/>
            <w:tcBorders>
              <w:bottom w:val="single" w:sz="4" w:space="0" w:color="auto"/>
            </w:tcBorders>
          </w:tcPr>
          <w:p w:rsidR="00B15436" w:rsidRPr="00B15436" w:rsidRDefault="00B15436" w:rsidP="00B15436">
            <w:pPr>
              <w:rPr>
                <w:rFonts w:asciiTheme="minorHAnsi" w:hAnsiTheme="minorHAnsi" w:cstheme="minorHAnsi"/>
                <w:b/>
                <w:sz w:val="20"/>
                <w:szCs w:val="20"/>
              </w:rPr>
            </w:pPr>
          </w:p>
        </w:tc>
        <w:tc>
          <w:tcPr>
            <w:tcW w:w="160" w:type="dxa"/>
            <w:tcBorders>
              <w:bottom w:val="single" w:sz="4" w:space="0" w:color="auto"/>
            </w:tcBorders>
          </w:tcPr>
          <w:p w:rsidR="00B15436" w:rsidRPr="00B15436" w:rsidRDefault="00B15436" w:rsidP="00B15436">
            <w:pPr>
              <w:rPr>
                <w:rFonts w:asciiTheme="minorHAnsi" w:hAnsiTheme="minorHAnsi" w:cstheme="minorHAnsi"/>
                <w:b/>
                <w:sz w:val="20"/>
                <w:szCs w:val="20"/>
              </w:rPr>
            </w:pPr>
          </w:p>
        </w:tc>
      </w:tr>
      <w:tr w:rsidR="00B15436" w:rsidRPr="00B15436" w:rsidTr="00AE504D">
        <w:trPr>
          <w:gridAfter w:val="12"/>
          <w:wAfter w:w="2042" w:type="dxa"/>
        </w:trPr>
        <w:tc>
          <w:tcPr>
            <w:tcW w:w="2617" w:type="dxa"/>
            <w:gridSpan w:val="8"/>
            <w:tcBorders>
              <w:top w:val="single" w:sz="4" w:space="0" w:color="auto"/>
              <w:left w:val="single" w:sz="4" w:space="0" w:color="auto"/>
              <w:bottom w:val="single" w:sz="4" w:space="0" w:color="auto"/>
              <w:right w:val="single" w:sz="4" w:space="0" w:color="auto"/>
            </w:tcBorders>
            <w:shd w:val="clear" w:color="auto" w:fill="FFFF00"/>
          </w:tcPr>
          <w:p w:rsidR="00B15436" w:rsidRPr="00B15436" w:rsidRDefault="00B15436" w:rsidP="00B15436">
            <w:pPr>
              <w:jc w:val="center"/>
              <w:rPr>
                <w:rFonts w:asciiTheme="minorHAnsi" w:hAnsiTheme="minorHAnsi" w:cstheme="minorHAnsi"/>
                <w:b/>
                <w:sz w:val="20"/>
                <w:szCs w:val="20"/>
              </w:rPr>
            </w:pPr>
            <w:r w:rsidRPr="00B15436">
              <w:rPr>
                <w:rFonts w:asciiTheme="minorHAnsi" w:hAnsiTheme="minorHAnsi" w:cstheme="minorHAnsi"/>
                <w:b/>
                <w:sz w:val="20"/>
                <w:szCs w:val="20"/>
              </w:rPr>
              <w:t>Rozpočet upravený v tis. Kč</w:t>
            </w:r>
          </w:p>
        </w:tc>
        <w:tc>
          <w:tcPr>
            <w:tcW w:w="1850" w:type="dxa"/>
            <w:gridSpan w:val="9"/>
            <w:tcBorders>
              <w:top w:val="single" w:sz="4" w:space="0" w:color="auto"/>
              <w:left w:val="single" w:sz="4" w:space="0" w:color="auto"/>
              <w:bottom w:val="single" w:sz="4" w:space="0" w:color="auto"/>
              <w:right w:val="single" w:sz="4" w:space="0" w:color="auto"/>
            </w:tcBorders>
            <w:shd w:val="clear" w:color="auto" w:fill="FFFF00"/>
          </w:tcPr>
          <w:p w:rsidR="00B15436" w:rsidRPr="00B15436" w:rsidRDefault="00B15436" w:rsidP="00B15436">
            <w:pPr>
              <w:jc w:val="center"/>
              <w:rPr>
                <w:rFonts w:asciiTheme="minorHAnsi" w:hAnsiTheme="minorHAnsi" w:cstheme="minorHAnsi"/>
                <w:b/>
                <w:sz w:val="20"/>
                <w:szCs w:val="20"/>
              </w:rPr>
            </w:pPr>
            <w:r w:rsidRPr="00B15436">
              <w:rPr>
                <w:rFonts w:asciiTheme="minorHAnsi" w:hAnsiTheme="minorHAnsi" w:cstheme="minorHAnsi"/>
                <w:b/>
                <w:sz w:val="20"/>
                <w:szCs w:val="20"/>
              </w:rPr>
              <w:t>Skutečnost v tis. Kč</w:t>
            </w:r>
          </w:p>
        </w:tc>
        <w:tc>
          <w:tcPr>
            <w:tcW w:w="2691" w:type="dxa"/>
            <w:gridSpan w:val="10"/>
            <w:tcBorders>
              <w:top w:val="single" w:sz="4" w:space="0" w:color="auto"/>
              <w:left w:val="single" w:sz="4" w:space="0" w:color="auto"/>
              <w:bottom w:val="single" w:sz="4" w:space="0" w:color="auto"/>
              <w:right w:val="single" w:sz="4" w:space="0" w:color="auto"/>
            </w:tcBorders>
            <w:shd w:val="clear" w:color="auto" w:fill="FFFF00"/>
          </w:tcPr>
          <w:p w:rsidR="00B15436" w:rsidRPr="00B15436" w:rsidRDefault="00B15436" w:rsidP="00B15436">
            <w:pPr>
              <w:jc w:val="center"/>
              <w:rPr>
                <w:rFonts w:asciiTheme="minorHAnsi" w:hAnsiTheme="minorHAnsi" w:cstheme="minorHAnsi"/>
                <w:b/>
                <w:sz w:val="20"/>
                <w:szCs w:val="20"/>
              </w:rPr>
            </w:pPr>
            <w:r w:rsidRPr="00B15436">
              <w:rPr>
                <w:rFonts w:asciiTheme="minorHAnsi" w:hAnsiTheme="minorHAnsi" w:cstheme="minorHAnsi"/>
                <w:b/>
                <w:sz w:val="20"/>
                <w:szCs w:val="20"/>
              </w:rPr>
              <w:t>SK/RU v %</w:t>
            </w:r>
          </w:p>
        </w:tc>
        <w:tc>
          <w:tcPr>
            <w:tcW w:w="2764" w:type="dxa"/>
            <w:gridSpan w:val="15"/>
            <w:tcBorders>
              <w:top w:val="single" w:sz="4" w:space="0" w:color="auto"/>
              <w:left w:val="single" w:sz="4" w:space="0" w:color="auto"/>
              <w:bottom w:val="single" w:sz="4" w:space="0" w:color="auto"/>
              <w:right w:val="single" w:sz="4" w:space="0" w:color="auto"/>
            </w:tcBorders>
            <w:shd w:val="clear" w:color="auto" w:fill="FFFF00"/>
          </w:tcPr>
          <w:p w:rsidR="00B15436" w:rsidRPr="00B15436" w:rsidRDefault="00B15436" w:rsidP="00B15436">
            <w:pPr>
              <w:jc w:val="center"/>
              <w:rPr>
                <w:rFonts w:asciiTheme="minorHAnsi" w:hAnsiTheme="minorHAnsi" w:cstheme="minorHAnsi"/>
                <w:b/>
                <w:sz w:val="20"/>
                <w:szCs w:val="20"/>
              </w:rPr>
            </w:pPr>
            <w:r w:rsidRPr="00B15436">
              <w:rPr>
                <w:rFonts w:asciiTheme="minorHAnsi" w:hAnsiTheme="minorHAnsi" w:cstheme="minorHAnsi"/>
                <w:b/>
                <w:sz w:val="20"/>
                <w:szCs w:val="20"/>
              </w:rPr>
              <w:t>Komentář</w:t>
            </w:r>
          </w:p>
        </w:tc>
      </w:tr>
      <w:tr w:rsidR="00B15436" w:rsidRPr="00B15436" w:rsidTr="00AE504D">
        <w:trPr>
          <w:gridAfter w:val="12"/>
          <w:wAfter w:w="2042" w:type="dxa"/>
        </w:trPr>
        <w:tc>
          <w:tcPr>
            <w:tcW w:w="2617" w:type="dxa"/>
            <w:gridSpan w:val="8"/>
            <w:tcBorders>
              <w:top w:val="single" w:sz="4" w:space="0" w:color="auto"/>
              <w:left w:val="single" w:sz="4" w:space="0" w:color="auto"/>
              <w:bottom w:val="single" w:sz="4" w:space="0" w:color="auto"/>
              <w:right w:val="single" w:sz="4" w:space="0" w:color="auto"/>
            </w:tcBorders>
          </w:tcPr>
          <w:p w:rsidR="00B15436" w:rsidRPr="00B15436" w:rsidRDefault="00AE504D" w:rsidP="00B15436">
            <w:pPr>
              <w:jc w:val="right"/>
              <w:rPr>
                <w:rFonts w:asciiTheme="minorHAnsi" w:hAnsiTheme="minorHAnsi" w:cstheme="minorHAnsi"/>
                <w:b/>
                <w:sz w:val="20"/>
                <w:szCs w:val="20"/>
              </w:rPr>
            </w:pPr>
            <w:r>
              <w:rPr>
                <w:rFonts w:asciiTheme="minorHAnsi" w:hAnsiTheme="minorHAnsi" w:cstheme="minorHAnsi"/>
                <w:b/>
                <w:sz w:val="20"/>
                <w:szCs w:val="20"/>
              </w:rPr>
              <w:t xml:space="preserve">1 </w:t>
            </w:r>
            <w:r w:rsidR="00B15436" w:rsidRPr="00B15436">
              <w:rPr>
                <w:rFonts w:asciiTheme="minorHAnsi" w:hAnsiTheme="minorHAnsi" w:cstheme="minorHAnsi"/>
                <w:b/>
                <w:sz w:val="20"/>
                <w:szCs w:val="20"/>
              </w:rPr>
              <w:t>252,80</w:t>
            </w:r>
          </w:p>
        </w:tc>
        <w:tc>
          <w:tcPr>
            <w:tcW w:w="1850" w:type="dxa"/>
            <w:gridSpan w:val="9"/>
            <w:tcBorders>
              <w:top w:val="single" w:sz="4" w:space="0" w:color="auto"/>
              <w:left w:val="single" w:sz="4" w:space="0" w:color="auto"/>
              <w:bottom w:val="single" w:sz="4" w:space="0" w:color="auto"/>
              <w:right w:val="single" w:sz="4" w:space="0" w:color="auto"/>
            </w:tcBorders>
          </w:tcPr>
          <w:p w:rsidR="00B15436" w:rsidRPr="00B15436" w:rsidRDefault="00AE504D" w:rsidP="00B15436">
            <w:pPr>
              <w:jc w:val="right"/>
              <w:rPr>
                <w:rFonts w:asciiTheme="minorHAnsi" w:hAnsiTheme="minorHAnsi" w:cstheme="minorHAnsi"/>
                <w:b/>
                <w:sz w:val="20"/>
                <w:szCs w:val="20"/>
              </w:rPr>
            </w:pPr>
            <w:r>
              <w:rPr>
                <w:rFonts w:asciiTheme="minorHAnsi" w:hAnsiTheme="minorHAnsi" w:cstheme="minorHAnsi"/>
                <w:b/>
                <w:sz w:val="20"/>
                <w:szCs w:val="20"/>
              </w:rPr>
              <w:t xml:space="preserve">1 </w:t>
            </w:r>
            <w:r w:rsidR="00B15436" w:rsidRPr="00B15436">
              <w:rPr>
                <w:rFonts w:asciiTheme="minorHAnsi" w:hAnsiTheme="minorHAnsi" w:cstheme="minorHAnsi"/>
                <w:b/>
                <w:sz w:val="20"/>
                <w:szCs w:val="20"/>
              </w:rPr>
              <w:t>252,80</w:t>
            </w:r>
          </w:p>
        </w:tc>
        <w:tc>
          <w:tcPr>
            <w:tcW w:w="2691" w:type="dxa"/>
            <w:gridSpan w:val="10"/>
            <w:tcBorders>
              <w:top w:val="single" w:sz="4" w:space="0" w:color="auto"/>
              <w:left w:val="single" w:sz="4" w:space="0" w:color="auto"/>
              <w:bottom w:val="single" w:sz="4" w:space="0" w:color="auto"/>
              <w:right w:val="single" w:sz="4" w:space="0" w:color="auto"/>
            </w:tcBorders>
          </w:tcPr>
          <w:p w:rsidR="00B15436" w:rsidRPr="00B15436" w:rsidRDefault="00B15436" w:rsidP="00AE504D">
            <w:pPr>
              <w:jc w:val="center"/>
              <w:rPr>
                <w:rFonts w:asciiTheme="minorHAnsi" w:hAnsiTheme="minorHAnsi" w:cstheme="minorHAnsi"/>
                <w:b/>
                <w:sz w:val="20"/>
                <w:szCs w:val="20"/>
              </w:rPr>
            </w:pPr>
            <w:r w:rsidRPr="00B15436">
              <w:rPr>
                <w:rFonts w:asciiTheme="minorHAnsi" w:hAnsiTheme="minorHAnsi" w:cstheme="minorHAnsi"/>
                <w:b/>
                <w:sz w:val="20"/>
                <w:szCs w:val="20"/>
              </w:rPr>
              <w:t>100,00</w:t>
            </w:r>
          </w:p>
        </w:tc>
        <w:tc>
          <w:tcPr>
            <w:tcW w:w="2764" w:type="dxa"/>
            <w:gridSpan w:val="15"/>
            <w:tcBorders>
              <w:top w:val="single" w:sz="4" w:space="0" w:color="auto"/>
              <w:left w:val="single" w:sz="4" w:space="0" w:color="auto"/>
              <w:bottom w:val="single" w:sz="4" w:space="0" w:color="auto"/>
              <w:right w:val="single" w:sz="4" w:space="0" w:color="auto"/>
            </w:tcBorders>
          </w:tcPr>
          <w:p w:rsidR="00B15436" w:rsidRPr="00B15436" w:rsidRDefault="00B15436" w:rsidP="00B15436">
            <w:pPr>
              <w:rPr>
                <w:rFonts w:asciiTheme="minorHAnsi" w:hAnsiTheme="minorHAnsi" w:cstheme="minorHAnsi"/>
                <w:b/>
                <w:sz w:val="20"/>
                <w:szCs w:val="20"/>
              </w:rPr>
            </w:pPr>
            <w:r w:rsidRPr="00B15436">
              <w:rPr>
                <w:rFonts w:asciiTheme="minorHAnsi" w:hAnsiTheme="minorHAnsi" w:cstheme="minorHAnsi"/>
                <w:b/>
                <w:sz w:val="20"/>
                <w:szCs w:val="20"/>
              </w:rPr>
              <w:t>Příjmy před konsolidací</w:t>
            </w:r>
          </w:p>
        </w:tc>
      </w:tr>
      <w:tr w:rsidR="00B15436" w:rsidRPr="00B15436" w:rsidTr="00AE504D">
        <w:trPr>
          <w:gridAfter w:val="12"/>
          <w:wAfter w:w="2042" w:type="dxa"/>
        </w:trPr>
        <w:tc>
          <w:tcPr>
            <w:tcW w:w="2617" w:type="dxa"/>
            <w:gridSpan w:val="8"/>
            <w:tcBorders>
              <w:top w:val="single" w:sz="4" w:space="0" w:color="auto"/>
              <w:left w:val="single" w:sz="4" w:space="0" w:color="auto"/>
              <w:bottom w:val="single" w:sz="4" w:space="0" w:color="auto"/>
              <w:right w:val="single" w:sz="4" w:space="0" w:color="auto"/>
            </w:tcBorders>
          </w:tcPr>
          <w:p w:rsidR="00B15436" w:rsidRPr="00B15436" w:rsidRDefault="00AE504D" w:rsidP="00B15436">
            <w:pPr>
              <w:jc w:val="right"/>
              <w:rPr>
                <w:rFonts w:asciiTheme="minorHAnsi" w:hAnsiTheme="minorHAnsi" w:cstheme="minorHAnsi"/>
                <w:b/>
                <w:sz w:val="20"/>
                <w:szCs w:val="20"/>
              </w:rPr>
            </w:pPr>
            <w:r>
              <w:rPr>
                <w:rFonts w:asciiTheme="minorHAnsi" w:hAnsiTheme="minorHAnsi" w:cstheme="minorHAnsi"/>
                <w:b/>
                <w:sz w:val="20"/>
                <w:szCs w:val="20"/>
              </w:rPr>
              <w:t xml:space="preserve">1 </w:t>
            </w:r>
            <w:r w:rsidR="00B15436" w:rsidRPr="00B15436">
              <w:rPr>
                <w:rFonts w:asciiTheme="minorHAnsi" w:hAnsiTheme="minorHAnsi" w:cstheme="minorHAnsi"/>
                <w:b/>
                <w:sz w:val="20"/>
                <w:szCs w:val="20"/>
              </w:rPr>
              <w:t>252,80</w:t>
            </w:r>
          </w:p>
        </w:tc>
        <w:tc>
          <w:tcPr>
            <w:tcW w:w="1850" w:type="dxa"/>
            <w:gridSpan w:val="9"/>
            <w:tcBorders>
              <w:top w:val="single" w:sz="4" w:space="0" w:color="auto"/>
              <w:left w:val="single" w:sz="4" w:space="0" w:color="auto"/>
              <w:bottom w:val="single" w:sz="4" w:space="0" w:color="auto"/>
              <w:right w:val="single" w:sz="4" w:space="0" w:color="auto"/>
            </w:tcBorders>
          </w:tcPr>
          <w:p w:rsidR="00B15436" w:rsidRPr="00B15436" w:rsidRDefault="00B15436" w:rsidP="00AE504D">
            <w:pPr>
              <w:jc w:val="right"/>
              <w:rPr>
                <w:rFonts w:asciiTheme="minorHAnsi" w:hAnsiTheme="minorHAnsi" w:cstheme="minorHAnsi"/>
                <w:b/>
                <w:sz w:val="20"/>
                <w:szCs w:val="20"/>
              </w:rPr>
            </w:pPr>
            <w:r w:rsidRPr="00B15436">
              <w:rPr>
                <w:rFonts w:asciiTheme="minorHAnsi" w:hAnsiTheme="minorHAnsi" w:cstheme="minorHAnsi"/>
                <w:b/>
                <w:sz w:val="20"/>
                <w:szCs w:val="20"/>
              </w:rPr>
              <w:t>1</w:t>
            </w:r>
            <w:r w:rsidR="00AE504D">
              <w:rPr>
                <w:rFonts w:asciiTheme="minorHAnsi" w:hAnsiTheme="minorHAnsi" w:cstheme="minorHAnsi"/>
                <w:b/>
                <w:sz w:val="20"/>
                <w:szCs w:val="20"/>
              </w:rPr>
              <w:t xml:space="preserve"> </w:t>
            </w:r>
            <w:r w:rsidRPr="00B15436">
              <w:rPr>
                <w:rFonts w:asciiTheme="minorHAnsi" w:hAnsiTheme="minorHAnsi" w:cstheme="minorHAnsi"/>
                <w:b/>
                <w:sz w:val="20"/>
                <w:szCs w:val="20"/>
              </w:rPr>
              <w:t>252,80</w:t>
            </w:r>
          </w:p>
        </w:tc>
        <w:tc>
          <w:tcPr>
            <w:tcW w:w="2691" w:type="dxa"/>
            <w:gridSpan w:val="10"/>
            <w:tcBorders>
              <w:top w:val="single" w:sz="4" w:space="0" w:color="auto"/>
              <w:left w:val="single" w:sz="4" w:space="0" w:color="auto"/>
              <w:bottom w:val="single" w:sz="4" w:space="0" w:color="auto"/>
              <w:right w:val="single" w:sz="4" w:space="0" w:color="auto"/>
            </w:tcBorders>
          </w:tcPr>
          <w:p w:rsidR="00B15436" w:rsidRPr="00B15436" w:rsidRDefault="00B15436" w:rsidP="00AE504D">
            <w:pPr>
              <w:jc w:val="center"/>
              <w:rPr>
                <w:rFonts w:asciiTheme="minorHAnsi" w:hAnsiTheme="minorHAnsi" w:cstheme="minorHAnsi"/>
                <w:b/>
                <w:sz w:val="20"/>
                <w:szCs w:val="20"/>
              </w:rPr>
            </w:pPr>
            <w:r w:rsidRPr="00B15436">
              <w:rPr>
                <w:rFonts w:asciiTheme="minorHAnsi" w:hAnsiTheme="minorHAnsi" w:cstheme="minorHAnsi"/>
                <w:b/>
                <w:sz w:val="20"/>
                <w:szCs w:val="20"/>
              </w:rPr>
              <w:t>100,00</w:t>
            </w:r>
          </w:p>
        </w:tc>
        <w:tc>
          <w:tcPr>
            <w:tcW w:w="2764" w:type="dxa"/>
            <w:gridSpan w:val="15"/>
            <w:tcBorders>
              <w:top w:val="single" w:sz="4" w:space="0" w:color="auto"/>
              <w:left w:val="single" w:sz="4" w:space="0" w:color="auto"/>
              <w:bottom w:val="single" w:sz="4" w:space="0" w:color="auto"/>
              <w:right w:val="single" w:sz="4" w:space="0" w:color="auto"/>
            </w:tcBorders>
          </w:tcPr>
          <w:p w:rsidR="00B15436" w:rsidRPr="00B15436" w:rsidRDefault="00B15436" w:rsidP="00B15436">
            <w:pPr>
              <w:rPr>
                <w:rFonts w:asciiTheme="minorHAnsi" w:hAnsiTheme="minorHAnsi" w:cstheme="minorHAnsi"/>
                <w:b/>
                <w:sz w:val="20"/>
                <w:szCs w:val="20"/>
              </w:rPr>
            </w:pPr>
            <w:r w:rsidRPr="00B15436">
              <w:rPr>
                <w:rFonts w:asciiTheme="minorHAnsi" w:hAnsiTheme="minorHAnsi" w:cstheme="minorHAnsi"/>
                <w:b/>
                <w:sz w:val="20"/>
                <w:szCs w:val="20"/>
              </w:rPr>
              <w:t>Příjmy po konsolidaci</w:t>
            </w:r>
          </w:p>
        </w:tc>
      </w:tr>
      <w:tr w:rsidR="00B15436" w:rsidRPr="00B15436" w:rsidTr="00AE504D">
        <w:trPr>
          <w:gridAfter w:val="1"/>
          <w:wAfter w:w="640" w:type="dxa"/>
        </w:trPr>
        <w:tc>
          <w:tcPr>
            <w:tcW w:w="457" w:type="dxa"/>
            <w:tcBorders>
              <w:top w:val="single" w:sz="4" w:space="0" w:color="auto"/>
            </w:tcBorders>
          </w:tcPr>
          <w:p w:rsidR="00B15436" w:rsidRPr="00B15436" w:rsidRDefault="00B15436" w:rsidP="00B15436">
            <w:pPr>
              <w:rPr>
                <w:rFonts w:asciiTheme="minorHAnsi" w:hAnsiTheme="minorHAnsi" w:cstheme="minorHAnsi"/>
                <w:b/>
                <w:sz w:val="20"/>
                <w:szCs w:val="20"/>
              </w:rPr>
            </w:pPr>
          </w:p>
        </w:tc>
        <w:tc>
          <w:tcPr>
            <w:tcW w:w="390" w:type="dxa"/>
            <w:tcBorders>
              <w:top w:val="single" w:sz="4" w:space="0" w:color="auto"/>
            </w:tcBorders>
          </w:tcPr>
          <w:p w:rsidR="00B15436" w:rsidRPr="00B15436" w:rsidRDefault="00B15436" w:rsidP="00B15436">
            <w:pPr>
              <w:rPr>
                <w:rFonts w:asciiTheme="minorHAnsi" w:hAnsiTheme="minorHAnsi" w:cstheme="minorHAnsi"/>
                <w:b/>
                <w:sz w:val="20"/>
                <w:szCs w:val="20"/>
              </w:rPr>
            </w:pPr>
          </w:p>
        </w:tc>
        <w:tc>
          <w:tcPr>
            <w:tcW w:w="527" w:type="dxa"/>
            <w:tcBorders>
              <w:top w:val="single" w:sz="4" w:space="0" w:color="auto"/>
            </w:tcBorders>
          </w:tcPr>
          <w:p w:rsidR="00B15436" w:rsidRPr="00B15436" w:rsidRDefault="00B15436" w:rsidP="00B15436">
            <w:pPr>
              <w:rPr>
                <w:rFonts w:asciiTheme="minorHAnsi" w:hAnsiTheme="minorHAnsi" w:cstheme="minorHAnsi"/>
                <w:b/>
                <w:sz w:val="20"/>
                <w:szCs w:val="20"/>
              </w:rPr>
            </w:pPr>
          </w:p>
        </w:tc>
        <w:tc>
          <w:tcPr>
            <w:tcW w:w="1250" w:type="dxa"/>
            <w:gridSpan w:val="6"/>
            <w:tcBorders>
              <w:top w:val="single" w:sz="4" w:space="0" w:color="auto"/>
            </w:tcBorders>
          </w:tcPr>
          <w:p w:rsidR="00B15436" w:rsidRPr="00B15436" w:rsidRDefault="00B15436" w:rsidP="00B15436">
            <w:pPr>
              <w:rPr>
                <w:rFonts w:asciiTheme="minorHAnsi" w:hAnsiTheme="minorHAnsi" w:cstheme="minorHAnsi"/>
                <w:b/>
                <w:sz w:val="20"/>
                <w:szCs w:val="20"/>
              </w:rPr>
            </w:pPr>
          </w:p>
        </w:tc>
        <w:tc>
          <w:tcPr>
            <w:tcW w:w="160" w:type="dxa"/>
            <w:gridSpan w:val="2"/>
            <w:tcBorders>
              <w:top w:val="single" w:sz="4" w:space="0" w:color="auto"/>
            </w:tcBorders>
          </w:tcPr>
          <w:p w:rsidR="00B15436" w:rsidRPr="00B15436" w:rsidRDefault="00B15436" w:rsidP="00B15436">
            <w:pPr>
              <w:rPr>
                <w:rFonts w:asciiTheme="minorHAnsi" w:hAnsiTheme="minorHAnsi" w:cstheme="minorHAnsi"/>
                <w:b/>
                <w:sz w:val="20"/>
                <w:szCs w:val="20"/>
              </w:rPr>
            </w:pPr>
          </w:p>
        </w:tc>
        <w:tc>
          <w:tcPr>
            <w:tcW w:w="460" w:type="dxa"/>
            <w:gridSpan w:val="3"/>
            <w:tcBorders>
              <w:top w:val="single" w:sz="4" w:space="0" w:color="auto"/>
            </w:tcBorders>
          </w:tcPr>
          <w:p w:rsidR="00B15436" w:rsidRPr="00B15436" w:rsidRDefault="00B15436" w:rsidP="00B15436">
            <w:pPr>
              <w:rPr>
                <w:rFonts w:asciiTheme="minorHAnsi" w:hAnsiTheme="minorHAnsi" w:cstheme="minorHAnsi"/>
                <w:b/>
                <w:sz w:val="20"/>
                <w:szCs w:val="20"/>
              </w:rPr>
            </w:pPr>
          </w:p>
        </w:tc>
        <w:tc>
          <w:tcPr>
            <w:tcW w:w="460" w:type="dxa"/>
            <w:gridSpan w:val="2"/>
            <w:tcBorders>
              <w:top w:val="single" w:sz="4" w:space="0" w:color="auto"/>
            </w:tcBorders>
          </w:tcPr>
          <w:p w:rsidR="00B15436" w:rsidRPr="00B15436" w:rsidRDefault="00B15436" w:rsidP="00B15436">
            <w:pPr>
              <w:rPr>
                <w:rFonts w:asciiTheme="minorHAnsi" w:hAnsiTheme="minorHAnsi" w:cstheme="minorHAnsi"/>
                <w:b/>
                <w:sz w:val="20"/>
                <w:szCs w:val="20"/>
              </w:rPr>
            </w:pPr>
          </w:p>
        </w:tc>
        <w:tc>
          <w:tcPr>
            <w:tcW w:w="1957" w:type="dxa"/>
            <w:gridSpan w:val="3"/>
            <w:tcBorders>
              <w:top w:val="single" w:sz="4" w:space="0" w:color="auto"/>
            </w:tcBorders>
          </w:tcPr>
          <w:p w:rsidR="00B15436" w:rsidRPr="00B15436" w:rsidRDefault="00B15436" w:rsidP="00B15436">
            <w:pPr>
              <w:rPr>
                <w:rFonts w:asciiTheme="minorHAnsi" w:hAnsiTheme="minorHAnsi" w:cstheme="minorHAnsi"/>
                <w:b/>
                <w:sz w:val="20"/>
                <w:szCs w:val="20"/>
              </w:rPr>
            </w:pPr>
          </w:p>
        </w:tc>
        <w:tc>
          <w:tcPr>
            <w:tcW w:w="160" w:type="dxa"/>
            <w:tcBorders>
              <w:top w:val="single" w:sz="4" w:space="0" w:color="auto"/>
            </w:tcBorders>
          </w:tcPr>
          <w:p w:rsidR="00B15436" w:rsidRPr="00B15436" w:rsidRDefault="00B15436" w:rsidP="00B15436">
            <w:pPr>
              <w:rPr>
                <w:rFonts w:asciiTheme="minorHAnsi" w:hAnsiTheme="minorHAnsi" w:cstheme="minorHAnsi"/>
                <w:b/>
                <w:sz w:val="20"/>
                <w:szCs w:val="20"/>
              </w:rPr>
            </w:pPr>
          </w:p>
        </w:tc>
        <w:tc>
          <w:tcPr>
            <w:tcW w:w="468" w:type="dxa"/>
            <w:gridSpan w:val="2"/>
            <w:tcBorders>
              <w:top w:val="single" w:sz="4" w:space="0" w:color="auto"/>
            </w:tcBorders>
          </w:tcPr>
          <w:p w:rsidR="00B15436" w:rsidRPr="00B15436" w:rsidRDefault="00B15436" w:rsidP="00B15436">
            <w:pPr>
              <w:rPr>
                <w:rFonts w:asciiTheme="minorHAnsi" w:hAnsiTheme="minorHAnsi" w:cstheme="minorHAnsi"/>
                <w:b/>
                <w:sz w:val="20"/>
                <w:szCs w:val="20"/>
              </w:rPr>
            </w:pPr>
          </w:p>
        </w:tc>
        <w:tc>
          <w:tcPr>
            <w:tcW w:w="304" w:type="dxa"/>
            <w:gridSpan w:val="3"/>
            <w:tcBorders>
              <w:top w:val="single" w:sz="4" w:space="0" w:color="auto"/>
            </w:tcBorders>
          </w:tcPr>
          <w:p w:rsidR="00B15436" w:rsidRPr="00B15436" w:rsidRDefault="00B15436" w:rsidP="00B15436">
            <w:pPr>
              <w:rPr>
                <w:rFonts w:asciiTheme="minorHAnsi" w:hAnsiTheme="minorHAnsi" w:cstheme="minorHAnsi"/>
                <w:b/>
                <w:sz w:val="20"/>
                <w:szCs w:val="20"/>
              </w:rPr>
            </w:pPr>
          </w:p>
        </w:tc>
        <w:tc>
          <w:tcPr>
            <w:tcW w:w="2249" w:type="dxa"/>
            <w:gridSpan w:val="9"/>
            <w:tcBorders>
              <w:top w:val="single" w:sz="4" w:space="0" w:color="auto"/>
            </w:tcBorders>
          </w:tcPr>
          <w:p w:rsidR="00B15436" w:rsidRPr="00B15436" w:rsidRDefault="00B15436" w:rsidP="00B15436">
            <w:pPr>
              <w:rPr>
                <w:rFonts w:asciiTheme="minorHAnsi" w:hAnsiTheme="minorHAnsi" w:cstheme="minorHAnsi"/>
                <w:b/>
                <w:sz w:val="20"/>
                <w:szCs w:val="20"/>
              </w:rPr>
            </w:pPr>
          </w:p>
        </w:tc>
        <w:tc>
          <w:tcPr>
            <w:tcW w:w="160" w:type="dxa"/>
            <w:tcBorders>
              <w:top w:val="single" w:sz="4" w:space="0" w:color="auto"/>
            </w:tcBorders>
          </w:tcPr>
          <w:p w:rsidR="00B15436" w:rsidRPr="00B15436" w:rsidRDefault="00B15436" w:rsidP="00B15436">
            <w:pPr>
              <w:rPr>
                <w:rFonts w:asciiTheme="minorHAnsi" w:hAnsiTheme="minorHAnsi" w:cstheme="minorHAnsi"/>
                <w:b/>
                <w:sz w:val="20"/>
                <w:szCs w:val="20"/>
              </w:rPr>
            </w:pPr>
          </w:p>
        </w:tc>
        <w:tc>
          <w:tcPr>
            <w:tcW w:w="460" w:type="dxa"/>
            <w:gridSpan w:val="3"/>
            <w:tcBorders>
              <w:top w:val="single" w:sz="4" w:space="0" w:color="auto"/>
            </w:tcBorders>
          </w:tcPr>
          <w:p w:rsidR="00B15436" w:rsidRPr="00B15436" w:rsidRDefault="00B15436" w:rsidP="00B15436">
            <w:pPr>
              <w:rPr>
                <w:rFonts w:asciiTheme="minorHAnsi" w:hAnsiTheme="minorHAnsi" w:cstheme="minorHAnsi"/>
                <w:b/>
                <w:sz w:val="20"/>
                <w:szCs w:val="20"/>
              </w:rPr>
            </w:pPr>
          </w:p>
        </w:tc>
        <w:tc>
          <w:tcPr>
            <w:tcW w:w="460" w:type="dxa"/>
            <w:gridSpan w:val="4"/>
            <w:tcBorders>
              <w:top w:val="single" w:sz="4" w:space="0" w:color="auto"/>
            </w:tcBorders>
          </w:tcPr>
          <w:p w:rsidR="00B15436" w:rsidRPr="00B15436" w:rsidRDefault="00B15436" w:rsidP="00B15436">
            <w:pPr>
              <w:rPr>
                <w:rFonts w:asciiTheme="minorHAnsi" w:hAnsiTheme="minorHAnsi" w:cstheme="minorHAnsi"/>
                <w:b/>
                <w:sz w:val="20"/>
                <w:szCs w:val="20"/>
              </w:rPr>
            </w:pPr>
          </w:p>
        </w:tc>
        <w:tc>
          <w:tcPr>
            <w:tcW w:w="460" w:type="dxa"/>
            <w:gridSpan w:val="3"/>
            <w:tcBorders>
              <w:top w:val="single" w:sz="4" w:space="0" w:color="auto"/>
            </w:tcBorders>
          </w:tcPr>
          <w:p w:rsidR="00B15436" w:rsidRPr="00B15436" w:rsidRDefault="00B15436" w:rsidP="00B15436">
            <w:pPr>
              <w:rPr>
                <w:rFonts w:asciiTheme="minorHAnsi" w:hAnsiTheme="minorHAnsi" w:cstheme="minorHAnsi"/>
                <w:b/>
                <w:sz w:val="20"/>
                <w:szCs w:val="20"/>
              </w:rPr>
            </w:pPr>
          </w:p>
        </w:tc>
        <w:tc>
          <w:tcPr>
            <w:tcW w:w="160" w:type="dxa"/>
            <w:gridSpan w:val="3"/>
            <w:tcBorders>
              <w:top w:val="single" w:sz="4" w:space="0" w:color="auto"/>
            </w:tcBorders>
          </w:tcPr>
          <w:p w:rsidR="00B15436" w:rsidRPr="00B15436" w:rsidRDefault="00B15436" w:rsidP="00B15436">
            <w:pPr>
              <w:rPr>
                <w:rFonts w:asciiTheme="minorHAnsi" w:hAnsiTheme="minorHAnsi" w:cstheme="minorHAnsi"/>
                <w:b/>
                <w:sz w:val="20"/>
                <w:szCs w:val="20"/>
              </w:rPr>
            </w:pPr>
          </w:p>
        </w:tc>
        <w:tc>
          <w:tcPr>
            <w:tcW w:w="162" w:type="dxa"/>
            <w:gridSpan w:val="2"/>
            <w:tcBorders>
              <w:top w:val="single" w:sz="4" w:space="0" w:color="auto"/>
            </w:tcBorders>
          </w:tcPr>
          <w:p w:rsidR="00B15436" w:rsidRPr="00B15436" w:rsidRDefault="00B15436" w:rsidP="00B15436">
            <w:pPr>
              <w:rPr>
                <w:rFonts w:asciiTheme="minorHAnsi" w:hAnsiTheme="minorHAnsi" w:cstheme="minorHAnsi"/>
                <w:b/>
                <w:sz w:val="20"/>
                <w:szCs w:val="20"/>
              </w:rPr>
            </w:pPr>
          </w:p>
        </w:tc>
        <w:tc>
          <w:tcPr>
            <w:tcW w:w="460" w:type="dxa"/>
            <w:gridSpan w:val="2"/>
            <w:tcBorders>
              <w:top w:val="single" w:sz="4" w:space="0" w:color="auto"/>
            </w:tcBorders>
          </w:tcPr>
          <w:p w:rsidR="00B15436" w:rsidRPr="00B15436" w:rsidRDefault="00B15436" w:rsidP="00B15436">
            <w:pPr>
              <w:rPr>
                <w:rFonts w:asciiTheme="minorHAnsi" w:hAnsiTheme="minorHAnsi" w:cstheme="minorHAnsi"/>
                <w:b/>
                <w:sz w:val="20"/>
                <w:szCs w:val="20"/>
              </w:rPr>
            </w:pPr>
          </w:p>
        </w:tc>
        <w:tc>
          <w:tcPr>
            <w:tcW w:w="160" w:type="dxa"/>
            <w:tcBorders>
              <w:top w:val="single" w:sz="4" w:space="0" w:color="auto"/>
            </w:tcBorders>
          </w:tcPr>
          <w:p w:rsidR="00B15436" w:rsidRPr="00B15436" w:rsidRDefault="00B15436" w:rsidP="00B15436">
            <w:pPr>
              <w:rPr>
                <w:rFonts w:asciiTheme="minorHAnsi" w:hAnsiTheme="minorHAnsi" w:cstheme="minorHAnsi"/>
                <w:b/>
                <w:sz w:val="20"/>
                <w:szCs w:val="20"/>
              </w:rPr>
            </w:pPr>
          </w:p>
        </w:tc>
      </w:tr>
      <w:tr w:rsidR="00B15436" w:rsidRPr="00B15436" w:rsidTr="00AE504D">
        <w:trPr>
          <w:gridAfter w:val="12"/>
          <w:wAfter w:w="2042" w:type="dxa"/>
        </w:trPr>
        <w:tc>
          <w:tcPr>
            <w:tcW w:w="9922" w:type="dxa"/>
            <w:gridSpan w:val="42"/>
          </w:tcPr>
          <w:p w:rsidR="00B15436" w:rsidRPr="00B15436" w:rsidRDefault="00B15436" w:rsidP="00B15436">
            <w:pPr>
              <w:rPr>
                <w:rFonts w:asciiTheme="minorHAnsi" w:hAnsiTheme="minorHAnsi" w:cstheme="minorHAnsi"/>
                <w:b/>
                <w:sz w:val="20"/>
                <w:szCs w:val="20"/>
              </w:rPr>
            </w:pPr>
            <w:r w:rsidRPr="00B15436">
              <w:rPr>
                <w:rFonts w:asciiTheme="minorHAnsi" w:hAnsiTheme="minorHAnsi" w:cstheme="minorHAnsi"/>
                <w:b/>
                <w:sz w:val="20"/>
                <w:szCs w:val="20"/>
              </w:rPr>
              <w:t>Stručný komentář k celkovému vývoji plnění příjmů kapitoly ve sledovaném období</w:t>
            </w:r>
          </w:p>
        </w:tc>
      </w:tr>
      <w:tr w:rsidR="00B15436" w:rsidRPr="00B15436" w:rsidTr="00AE504D">
        <w:trPr>
          <w:gridAfter w:val="12"/>
          <w:wAfter w:w="2042" w:type="dxa"/>
        </w:trPr>
        <w:tc>
          <w:tcPr>
            <w:tcW w:w="9922" w:type="dxa"/>
            <w:gridSpan w:val="42"/>
            <w:tcBorders>
              <w:top w:val="single" w:sz="6" w:space="0" w:color="auto"/>
              <w:left w:val="single" w:sz="6" w:space="0" w:color="auto"/>
              <w:bottom w:val="single" w:sz="6" w:space="0" w:color="auto"/>
              <w:right w:val="single" w:sz="6" w:space="0" w:color="auto"/>
            </w:tcBorders>
          </w:tcPr>
          <w:p w:rsidR="00B15436" w:rsidRPr="00AE504D" w:rsidRDefault="00B15436" w:rsidP="00B15436">
            <w:pPr>
              <w:jc w:val="both"/>
              <w:rPr>
                <w:rFonts w:asciiTheme="minorHAnsi" w:hAnsiTheme="minorHAnsi" w:cstheme="minorHAnsi"/>
                <w:sz w:val="19"/>
                <w:szCs w:val="19"/>
              </w:rPr>
            </w:pPr>
            <w:r w:rsidRPr="00AE504D">
              <w:rPr>
                <w:rFonts w:asciiTheme="minorHAnsi" w:hAnsiTheme="minorHAnsi" w:cstheme="minorHAnsi"/>
                <w:sz w:val="19"/>
                <w:szCs w:val="19"/>
              </w:rPr>
              <w:t>Jedná se o dotaci na aktivní politiku zaměstnanosti pro obec Prostějov a dotace poskytnuté z Evropského sociálního fondu v rámci projektu Záruky pro mladé, veřejně prospěšných pracovníků a podpory zaměstnanosti dlouhodobě evidovaných uchazečů.</w:t>
            </w:r>
          </w:p>
        </w:tc>
      </w:tr>
      <w:tr w:rsidR="00B15436" w:rsidRPr="00B15436" w:rsidTr="00AE504D">
        <w:trPr>
          <w:gridAfter w:val="8"/>
          <w:wAfter w:w="1534" w:type="dxa"/>
        </w:trPr>
        <w:tc>
          <w:tcPr>
            <w:tcW w:w="457" w:type="dxa"/>
          </w:tcPr>
          <w:p w:rsidR="00B15436" w:rsidRPr="00B15436" w:rsidRDefault="00B15436" w:rsidP="00B15436">
            <w:pPr>
              <w:rPr>
                <w:rFonts w:asciiTheme="minorHAnsi" w:hAnsiTheme="minorHAnsi" w:cstheme="minorHAnsi"/>
                <w:b/>
                <w:sz w:val="20"/>
                <w:szCs w:val="20"/>
              </w:rPr>
            </w:pPr>
          </w:p>
        </w:tc>
        <w:tc>
          <w:tcPr>
            <w:tcW w:w="390" w:type="dxa"/>
          </w:tcPr>
          <w:p w:rsidR="00B15436" w:rsidRPr="00B15436" w:rsidRDefault="00B15436" w:rsidP="00B15436">
            <w:pPr>
              <w:rPr>
                <w:rFonts w:asciiTheme="minorHAnsi" w:hAnsiTheme="minorHAnsi" w:cstheme="minorHAnsi"/>
                <w:b/>
                <w:sz w:val="20"/>
                <w:szCs w:val="20"/>
              </w:rPr>
            </w:pPr>
          </w:p>
        </w:tc>
        <w:tc>
          <w:tcPr>
            <w:tcW w:w="527" w:type="dxa"/>
          </w:tcPr>
          <w:p w:rsidR="00B15436" w:rsidRPr="00B15436" w:rsidRDefault="00B15436" w:rsidP="00B15436">
            <w:pPr>
              <w:rPr>
                <w:rFonts w:asciiTheme="minorHAnsi" w:hAnsiTheme="minorHAnsi" w:cstheme="minorHAnsi"/>
                <w:b/>
                <w:sz w:val="20"/>
                <w:szCs w:val="20"/>
              </w:rPr>
            </w:pPr>
          </w:p>
        </w:tc>
        <w:tc>
          <w:tcPr>
            <w:tcW w:w="160" w:type="dxa"/>
            <w:gridSpan w:val="2"/>
          </w:tcPr>
          <w:p w:rsidR="00B15436" w:rsidRPr="00B15436" w:rsidRDefault="00B15436" w:rsidP="00B15436">
            <w:pPr>
              <w:rPr>
                <w:rFonts w:asciiTheme="minorHAnsi" w:hAnsiTheme="minorHAnsi" w:cstheme="minorHAnsi"/>
                <w:b/>
                <w:sz w:val="20"/>
                <w:szCs w:val="20"/>
              </w:rPr>
            </w:pPr>
          </w:p>
        </w:tc>
        <w:tc>
          <w:tcPr>
            <w:tcW w:w="760" w:type="dxa"/>
            <w:gridSpan w:val="2"/>
          </w:tcPr>
          <w:p w:rsidR="00B15436" w:rsidRPr="00B15436" w:rsidRDefault="00B15436" w:rsidP="00B15436">
            <w:pPr>
              <w:rPr>
                <w:rFonts w:asciiTheme="minorHAnsi" w:hAnsiTheme="minorHAnsi" w:cstheme="minorHAnsi"/>
                <w:b/>
                <w:sz w:val="20"/>
                <w:szCs w:val="20"/>
              </w:rPr>
            </w:pPr>
          </w:p>
        </w:tc>
        <w:tc>
          <w:tcPr>
            <w:tcW w:w="749" w:type="dxa"/>
            <w:gridSpan w:val="5"/>
          </w:tcPr>
          <w:p w:rsidR="00B15436" w:rsidRPr="00B15436" w:rsidRDefault="00B15436" w:rsidP="00B15436">
            <w:pPr>
              <w:rPr>
                <w:rFonts w:asciiTheme="minorHAnsi" w:hAnsiTheme="minorHAnsi" w:cstheme="minorHAnsi"/>
                <w:b/>
                <w:sz w:val="20"/>
                <w:szCs w:val="20"/>
              </w:rPr>
            </w:pPr>
          </w:p>
        </w:tc>
        <w:tc>
          <w:tcPr>
            <w:tcW w:w="231" w:type="dxa"/>
            <w:gridSpan w:val="3"/>
          </w:tcPr>
          <w:p w:rsidR="00B15436" w:rsidRPr="00B15436" w:rsidRDefault="00B15436" w:rsidP="00B15436">
            <w:pPr>
              <w:rPr>
                <w:rFonts w:asciiTheme="minorHAnsi" w:hAnsiTheme="minorHAnsi" w:cstheme="minorHAnsi"/>
                <w:b/>
                <w:sz w:val="20"/>
                <w:szCs w:val="20"/>
              </w:rPr>
            </w:pPr>
          </w:p>
        </w:tc>
        <w:tc>
          <w:tcPr>
            <w:tcW w:w="1193" w:type="dxa"/>
            <w:gridSpan w:val="2"/>
          </w:tcPr>
          <w:p w:rsidR="00B15436" w:rsidRPr="00B15436" w:rsidRDefault="00B15436" w:rsidP="00B15436">
            <w:pPr>
              <w:rPr>
                <w:rFonts w:asciiTheme="minorHAnsi" w:hAnsiTheme="minorHAnsi" w:cstheme="minorHAnsi"/>
                <w:b/>
                <w:sz w:val="20"/>
                <w:szCs w:val="20"/>
              </w:rPr>
            </w:pPr>
          </w:p>
        </w:tc>
        <w:tc>
          <w:tcPr>
            <w:tcW w:w="992" w:type="dxa"/>
          </w:tcPr>
          <w:p w:rsidR="00B15436" w:rsidRPr="00B15436" w:rsidRDefault="00B15436" w:rsidP="00B15436">
            <w:pPr>
              <w:rPr>
                <w:rFonts w:asciiTheme="minorHAnsi" w:hAnsiTheme="minorHAnsi" w:cstheme="minorHAnsi"/>
                <w:b/>
                <w:sz w:val="20"/>
                <w:szCs w:val="20"/>
              </w:rPr>
            </w:pPr>
          </w:p>
        </w:tc>
        <w:tc>
          <w:tcPr>
            <w:tcW w:w="443" w:type="dxa"/>
            <w:gridSpan w:val="3"/>
          </w:tcPr>
          <w:p w:rsidR="00B15436" w:rsidRPr="00B15436" w:rsidRDefault="00B15436" w:rsidP="00B15436">
            <w:pPr>
              <w:rPr>
                <w:rFonts w:asciiTheme="minorHAnsi" w:hAnsiTheme="minorHAnsi" w:cstheme="minorHAnsi"/>
                <w:b/>
                <w:sz w:val="20"/>
                <w:szCs w:val="20"/>
              </w:rPr>
            </w:pPr>
          </w:p>
        </w:tc>
        <w:tc>
          <w:tcPr>
            <w:tcW w:w="460" w:type="dxa"/>
            <w:gridSpan w:val="3"/>
          </w:tcPr>
          <w:p w:rsidR="00B15436" w:rsidRPr="00B15436" w:rsidRDefault="00B15436" w:rsidP="00B15436">
            <w:pPr>
              <w:rPr>
                <w:rFonts w:asciiTheme="minorHAnsi" w:hAnsiTheme="minorHAnsi" w:cstheme="minorHAnsi"/>
                <w:b/>
                <w:sz w:val="20"/>
                <w:szCs w:val="20"/>
              </w:rPr>
            </w:pPr>
          </w:p>
        </w:tc>
        <w:tc>
          <w:tcPr>
            <w:tcW w:w="460" w:type="dxa"/>
            <w:gridSpan w:val="2"/>
          </w:tcPr>
          <w:p w:rsidR="00B15436" w:rsidRPr="00B15436" w:rsidRDefault="00B15436" w:rsidP="00B15436">
            <w:pPr>
              <w:rPr>
                <w:rFonts w:asciiTheme="minorHAnsi" w:hAnsiTheme="minorHAnsi" w:cstheme="minorHAnsi"/>
                <w:b/>
                <w:sz w:val="20"/>
                <w:szCs w:val="20"/>
              </w:rPr>
            </w:pPr>
          </w:p>
        </w:tc>
        <w:tc>
          <w:tcPr>
            <w:tcW w:w="460" w:type="dxa"/>
            <w:gridSpan w:val="2"/>
          </w:tcPr>
          <w:p w:rsidR="00B15436" w:rsidRPr="00B15436" w:rsidRDefault="00B15436" w:rsidP="00B15436">
            <w:pPr>
              <w:rPr>
                <w:rFonts w:asciiTheme="minorHAnsi" w:hAnsiTheme="minorHAnsi" w:cstheme="minorHAnsi"/>
                <w:b/>
                <w:sz w:val="20"/>
                <w:szCs w:val="20"/>
              </w:rPr>
            </w:pPr>
          </w:p>
        </w:tc>
        <w:tc>
          <w:tcPr>
            <w:tcW w:w="460" w:type="dxa"/>
          </w:tcPr>
          <w:p w:rsidR="00B15436" w:rsidRPr="00B15436" w:rsidRDefault="00B15436" w:rsidP="00B15436">
            <w:pPr>
              <w:rPr>
                <w:rFonts w:asciiTheme="minorHAnsi" w:hAnsiTheme="minorHAnsi" w:cstheme="minorHAnsi"/>
                <w:b/>
                <w:sz w:val="20"/>
                <w:szCs w:val="20"/>
              </w:rPr>
            </w:pPr>
          </w:p>
        </w:tc>
        <w:tc>
          <w:tcPr>
            <w:tcW w:w="460" w:type="dxa"/>
          </w:tcPr>
          <w:p w:rsidR="00B15436" w:rsidRPr="00B15436" w:rsidRDefault="00B15436" w:rsidP="00B15436">
            <w:pPr>
              <w:rPr>
                <w:rFonts w:asciiTheme="minorHAnsi" w:hAnsiTheme="minorHAnsi" w:cstheme="minorHAnsi"/>
                <w:b/>
                <w:sz w:val="20"/>
                <w:szCs w:val="20"/>
              </w:rPr>
            </w:pPr>
          </w:p>
        </w:tc>
        <w:tc>
          <w:tcPr>
            <w:tcW w:w="460" w:type="dxa"/>
            <w:gridSpan w:val="3"/>
          </w:tcPr>
          <w:p w:rsidR="00B15436" w:rsidRPr="00B15436" w:rsidRDefault="00B15436" w:rsidP="00B15436">
            <w:pPr>
              <w:rPr>
                <w:rFonts w:asciiTheme="minorHAnsi" w:hAnsiTheme="minorHAnsi" w:cstheme="minorHAnsi"/>
                <w:b/>
                <w:sz w:val="20"/>
                <w:szCs w:val="20"/>
              </w:rPr>
            </w:pPr>
          </w:p>
        </w:tc>
        <w:tc>
          <w:tcPr>
            <w:tcW w:w="460" w:type="dxa"/>
            <w:gridSpan w:val="4"/>
          </w:tcPr>
          <w:p w:rsidR="00B15436" w:rsidRPr="00B15436" w:rsidRDefault="00B15436" w:rsidP="00B15436">
            <w:pPr>
              <w:rPr>
                <w:rFonts w:asciiTheme="minorHAnsi" w:hAnsiTheme="minorHAnsi" w:cstheme="minorHAnsi"/>
                <w:b/>
                <w:sz w:val="20"/>
                <w:szCs w:val="20"/>
              </w:rPr>
            </w:pPr>
          </w:p>
        </w:tc>
        <w:tc>
          <w:tcPr>
            <w:tcW w:w="460" w:type="dxa"/>
            <w:gridSpan w:val="3"/>
          </w:tcPr>
          <w:p w:rsidR="00B15436" w:rsidRPr="00B15436" w:rsidRDefault="00B15436" w:rsidP="00B15436">
            <w:pPr>
              <w:rPr>
                <w:rFonts w:asciiTheme="minorHAnsi" w:hAnsiTheme="minorHAnsi" w:cstheme="minorHAnsi"/>
                <w:b/>
                <w:sz w:val="20"/>
                <w:szCs w:val="20"/>
              </w:rPr>
            </w:pPr>
          </w:p>
        </w:tc>
        <w:tc>
          <w:tcPr>
            <w:tcW w:w="460" w:type="dxa"/>
            <w:gridSpan w:val="4"/>
          </w:tcPr>
          <w:p w:rsidR="00B15436" w:rsidRPr="00B15436" w:rsidRDefault="00B15436" w:rsidP="00B15436">
            <w:pPr>
              <w:rPr>
                <w:rFonts w:asciiTheme="minorHAnsi" w:hAnsiTheme="minorHAnsi" w:cstheme="minorHAnsi"/>
                <w:b/>
                <w:sz w:val="20"/>
                <w:szCs w:val="20"/>
              </w:rPr>
            </w:pPr>
          </w:p>
        </w:tc>
        <w:tc>
          <w:tcPr>
            <w:tcW w:w="388" w:type="dxa"/>
            <w:gridSpan w:val="2"/>
          </w:tcPr>
          <w:p w:rsidR="00B15436" w:rsidRPr="00B15436" w:rsidRDefault="00B15436" w:rsidP="00B15436">
            <w:pPr>
              <w:rPr>
                <w:rFonts w:asciiTheme="minorHAnsi" w:hAnsiTheme="minorHAnsi" w:cstheme="minorHAnsi"/>
                <w:b/>
                <w:sz w:val="20"/>
                <w:szCs w:val="20"/>
              </w:rPr>
            </w:pPr>
          </w:p>
        </w:tc>
      </w:tr>
      <w:tr w:rsidR="00B15436" w:rsidRPr="00B15436" w:rsidTr="00AE504D">
        <w:trPr>
          <w:gridAfter w:val="12"/>
          <w:wAfter w:w="2042" w:type="dxa"/>
        </w:trPr>
        <w:tc>
          <w:tcPr>
            <w:tcW w:w="9922" w:type="dxa"/>
            <w:gridSpan w:val="42"/>
            <w:shd w:val="clear" w:color="auto" w:fill="F79646"/>
          </w:tcPr>
          <w:p w:rsidR="00B15436" w:rsidRPr="00B15436" w:rsidRDefault="00B15436" w:rsidP="00B15436">
            <w:pPr>
              <w:rPr>
                <w:rFonts w:asciiTheme="minorHAnsi" w:hAnsiTheme="minorHAnsi" w:cstheme="minorHAnsi"/>
                <w:b/>
                <w:sz w:val="20"/>
                <w:szCs w:val="20"/>
                <w:u w:val="single"/>
              </w:rPr>
            </w:pPr>
            <w:r w:rsidRPr="00B15436">
              <w:rPr>
                <w:rFonts w:asciiTheme="minorHAnsi" w:hAnsiTheme="minorHAnsi" w:cstheme="minorHAnsi"/>
                <w:b/>
                <w:sz w:val="20"/>
                <w:szCs w:val="20"/>
                <w:u w:val="single"/>
              </w:rPr>
              <w:t>Rozbor čerpání výdajů rozpočtu kapitoly</w:t>
            </w:r>
          </w:p>
        </w:tc>
      </w:tr>
      <w:tr w:rsidR="00B15436" w:rsidRPr="00B15436" w:rsidTr="00AE504D">
        <w:trPr>
          <w:gridAfter w:val="1"/>
          <w:wAfter w:w="640" w:type="dxa"/>
        </w:trPr>
        <w:tc>
          <w:tcPr>
            <w:tcW w:w="457" w:type="dxa"/>
          </w:tcPr>
          <w:p w:rsidR="00B15436" w:rsidRPr="00B15436" w:rsidRDefault="00B15436" w:rsidP="00B15436">
            <w:pPr>
              <w:rPr>
                <w:rFonts w:asciiTheme="minorHAnsi" w:hAnsiTheme="minorHAnsi" w:cstheme="minorHAnsi"/>
                <w:b/>
                <w:sz w:val="20"/>
                <w:szCs w:val="20"/>
              </w:rPr>
            </w:pPr>
          </w:p>
        </w:tc>
        <w:tc>
          <w:tcPr>
            <w:tcW w:w="390" w:type="dxa"/>
          </w:tcPr>
          <w:p w:rsidR="00B15436" w:rsidRPr="00B15436" w:rsidRDefault="00B15436" w:rsidP="00B15436">
            <w:pPr>
              <w:rPr>
                <w:rFonts w:asciiTheme="minorHAnsi" w:hAnsiTheme="minorHAnsi" w:cstheme="minorHAnsi"/>
                <w:b/>
                <w:sz w:val="20"/>
                <w:szCs w:val="20"/>
              </w:rPr>
            </w:pPr>
          </w:p>
        </w:tc>
        <w:tc>
          <w:tcPr>
            <w:tcW w:w="527" w:type="dxa"/>
          </w:tcPr>
          <w:p w:rsidR="00B15436" w:rsidRPr="00B15436" w:rsidRDefault="00B15436" w:rsidP="00B15436">
            <w:pPr>
              <w:rPr>
                <w:rFonts w:asciiTheme="minorHAnsi" w:hAnsiTheme="minorHAnsi" w:cstheme="minorHAnsi"/>
                <w:b/>
                <w:sz w:val="20"/>
                <w:szCs w:val="20"/>
              </w:rPr>
            </w:pPr>
          </w:p>
        </w:tc>
        <w:tc>
          <w:tcPr>
            <w:tcW w:w="1250" w:type="dxa"/>
            <w:gridSpan w:val="6"/>
          </w:tcPr>
          <w:p w:rsidR="00B15436" w:rsidRPr="00B15436" w:rsidRDefault="00B15436" w:rsidP="00B15436">
            <w:pPr>
              <w:rPr>
                <w:rFonts w:asciiTheme="minorHAnsi" w:hAnsiTheme="minorHAnsi" w:cstheme="minorHAnsi"/>
                <w:b/>
                <w:sz w:val="20"/>
                <w:szCs w:val="20"/>
              </w:rPr>
            </w:pPr>
          </w:p>
        </w:tc>
        <w:tc>
          <w:tcPr>
            <w:tcW w:w="160" w:type="dxa"/>
            <w:gridSpan w:val="2"/>
          </w:tcPr>
          <w:p w:rsidR="00B15436" w:rsidRPr="00B15436" w:rsidRDefault="00B15436" w:rsidP="00B15436">
            <w:pPr>
              <w:rPr>
                <w:rFonts w:asciiTheme="minorHAnsi" w:hAnsiTheme="minorHAnsi" w:cstheme="minorHAnsi"/>
                <w:b/>
                <w:sz w:val="20"/>
                <w:szCs w:val="20"/>
              </w:rPr>
            </w:pPr>
          </w:p>
        </w:tc>
        <w:tc>
          <w:tcPr>
            <w:tcW w:w="460" w:type="dxa"/>
            <w:gridSpan w:val="3"/>
          </w:tcPr>
          <w:p w:rsidR="00B15436" w:rsidRPr="00B15436" w:rsidRDefault="00B15436" w:rsidP="00B15436">
            <w:pPr>
              <w:rPr>
                <w:rFonts w:asciiTheme="minorHAnsi" w:hAnsiTheme="minorHAnsi" w:cstheme="minorHAnsi"/>
                <w:b/>
                <w:sz w:val="20"/>
                <w:szCs w:val="20"/>
              </w:rPr>
            </w:pPr>
          </w:p>
        </w:tc>
        <w:tc>
          <w:tcPr>
            <w:tcW w:w="460" w:type="dxa"/>
            <w:gridSpan w:val="2"/>
          </w:tcPr>
          <w:p w:rsidR="00B15436" w:rsidRPr="00B15436" w:rsidRDefault="00B15436" w:rsidP="00B15436">
            <w:pPr>
              <w:rPr>
                <w:rFonts w:asciiTheme="minorHAnsi" w:hAnsiTheme="minorHAnsi" w:cstheme="minorHAnsi"/>
                <w:b/>
                <w:sz w:val="20"/>
                <w:szCs w:val="20"/>
              </w:rPr>
            </w:pPr>
          </w:p>
        </w:tc>
        <w:tc>
          <w:tcPr>
            <w:tcW w:w="1957" w:type="dxa"/>
            <w:gridSpan w:val="3"/>
          </w:tcPr>
          <w:p w:rsidR="00B15436" w:rsidRPr="00B15436" w:rsidRDefault="00B15436" w:rsidP="00B15436">
            <w:pPr>
              <w:rPr>
                <w:rFonts w:asciiTheme="minorHAnsi" w:hAnsiTheme="minorHAnsi" w:cstheme="minorHAnsi"/>
                <w:b/>
                <w:sz w:val="20"/>
                <w:szCs w:val="20"/>
              </w:rPr>
            </w:pPr>
          </w:p>
        </w:tc>
        <w:tc>
          <w:tcPr>
            <w:tcW w:w="160" w:type="dxa"/>
          </w:tcPr>
          <w:p w:rsidR="00B15436" w:rsidRPr="00B15436" w:rsidRDefault="00B15436" w:rsidP="00B15436">
            <w:pPr>
              <w:rPr>
                <w:rFonts w:asciiTheme="minorHAnsi" w:hAnsiTheme="minorHAnsi" w:cstheme="minorHAnsi"/>
                <w:b/>
                <w:sz w:val="20"/>
                <w:szCs w:val="20"/>
              </w:rPr>
            </w:pPr>
          </w:p>
        </w:tc>
        <w:tc>
          <w:tcPr>
            <w:tcW w:w="468" w:type="dxa"/>
            <w:gridSpan w:val="2"/>
          </w:tcPr>
          <w:p w:rsidR="00B15436" w:rsidRPr="00B15436" w:rsidRDefault="00B15436" w:rsidP="00B15436">
            <w:pPr>
              <w:rPr>
                <w:rFonts w:asciiTheme="minorHAnsi" w:hAnsiTheme="minorHAnsi" w:cstheme="minorHAnsi"/>
                <w:b/>
                <w:sz w:val="20"/>
                <w:szCs w:val="20"/>
              </w:rPr>
            </w:pPr>
          </w:p>
        </w:tc>
        <w:tc>
          <w:tcPr>
            <w:tcW w:w="304" w:type="dxa"/>
            <w:gridSpan w:val="3"/>
          </w:tcPr>
          <w:p w:rsidR="00B15436" w:rsidRPr="00B15436" w:rsidRDefault="00B15436" w:rsidP="00B15436">
            <w:pPr>
              <w:rPr>
                <w:rFonts w:asciiTheme="minorHAnsi" w:hAnsiTheme="minorHAnsi" w:cstheme="minorHAnsi"/>
                <w:b/>
                <w:sz w:val="20"/>
                <w:szCs w:val="20"/>
              </w:rPr>
            </w:pPr>
          </w:p>
        </w:tc>
        <w:tc>
          <w:tcPr>
            <w:tcW w:w="2249" w:type="dxa"/>
            <w:gridSpan w:val="9"/>
          </w:tcPr>
          <w:p w:rsidR="00B15436" w:rsidRPr="00B15436" w:rsidRDefault="00B15436" w:rsidP="00B15436">
            <w:pPr>
              <w:rPr>
                <w:rFonts w:asciiTheme="minorHAnsi" w:hAnsiTheme="minorHAnsi" w:cstheme="minorHAnsi"/>
                <w:b/>
                <w:sz w:val="20"/>
                <w:szCs w:val="20"/>
              </w:rPr>
            </w:pPr>
          </w:p>
        </w:tc>
        <w:tc>
          <w:tcPr>
            <w:tcW w:w="160" w:type="dxa"/>
          </w:tcPr>
          <w:p w:rsidR="00B15436" w:rsidRPr="00B15436" w:rsidRDefault="00B15436" w:rsidP="00B15436">
            <w:pPr>
              <w:rPr>
                <w:rFonts w:asciiTheme="minorHAnsi" w:hAnsiTheme="minorHAnsi" w:cstheme="minorHAnsi"/>
                <w:b/>
                <w:sz w:val="20"/>
                <w:szCs w:val="20"/>
              </w:rPr>
            </w:pPr>
          </w:p>
        </w:tc>
        <w:tc>
          <w:tcPr>
            <w:tcW w:w="460" w:type="dxa"/>
            <w:gridSpan w:val="3"/>
          </w:tcPr>
          <w:p w:rsidR="00B15436" w:rsidRPr="00B15436" w:rsidRDefault="00B15436" w:rsidP="00B15436">
            <w:pPr>
              <w:rPr>
                <w:rFonts w:asciiTheme="minorHAnsi" w:hAnsiTheme="minorHAnsi" w:cstheme="minorHAnsi"/>
                <w:b/>
                <w:sz w:val="20"/>
                <w:szCs w:val="20"/>
              </w:rPr>
            </w:pPr>
          </w:p>
        </w:tc>
        <w:tc>
          <w:tcPr>
            <w:tcW w:w="460" w:type="dxa"/>
            <w:gridSpan w:val="4"/>
          </w:tcPr>
          <w:p w:rsidR="00B15436" w:rsidRPr="00B15436" w:rsidRDefault="00B15436" w:rsidP="00B15436">
            <w:pPr>
              <w:rPr>
                <w:rFonts w:asciiTheme="minorHAnsi" w:hAnsiTheme="minorHAnsi" w:cstheme="minorHAnsi"/>
                <w:b/>
                <w:sz w:val="20"/>
                <w:szCs w:val="20"/>
              </w:rPr>
            </w:pPr>
          </w:p>
        </w:tc>
        <w:tc>
          <w:tcPr>
            <w:tcW w:w="460" w:type="dxa"/>
            <w:gridSpan w:val="3"/>
          </w:tcPr>
          <w:p w:rsidR="00B15436" w:rsidRPr="00B15436" w:rsidRDefault="00B15436" w:rsidP="00B15436">
            <w:pPr>
              <w:rPr>
                <w:rFonts w:asciiTheme="minorHAnsi" w:hAnsiTheme="minorHAnsi" w:cstheme="minorHAnsi"/>
                <w:b/>
                <w:sz w:val="20"/>
                <w:szCs w:val="20"/>
              </w:rPr>
            </w:pPr>
          </w:p>
        </w:tc>
        <w:tc>
          <w:tcPr>
            <w:tcW w:w="160" w:type="dxa"/>
            <w:gridSpan w:val="3"/>
          </w:tcPr>
          <w:p w:rsidR="00B15436" w:rsidRPr="00B15436" w:rsidRDefault="00B15436" w:rsidP="00B15436">
            <w:pPr>
              <w:rPr>
                <w:rFonts w:asciiTheme="minorHAnsi" w:hAnsiTheme="minorHAnsi" w:cstheme="minorHAnsi"/>
                <w:b/>
                <w:sz w:val="20"/>
                <w:szCs w:val="20"/>
              </w:rPr>
            </w:pPr>
          </w:p>
        </w:tc>
        <w:tc>
          <w:tcPr>
            <w:tcW w:w="162" w:type="dxa"/>
            <w:gridSpan w:val="2"/>
          </w:tcPr>
          <w:p w:rsidR="00B15436" w:rsidRPr="00B15436" w:rsidRDefault="00B15436" w:rsidP="00B15436">
            <w:pPr>
              <w:rPr>
                <w:rFonts w:asciiTheme="minorHAnsi" w:hAnsiTheme="minorHAnsi" w:cstheme="minorHAnsi"/>
                <w:b/>
                <w:sz w:val="20"/>
                <w:szCs w:val="20"/>
              </w:rPr>
            </w:pPr>
          </w:p>
        </w:tc>
        <w:tc>
          <w:tcPr>
            <w:tcW w:w="460" w:type="dxa"/>
            <w:gridSpan w:val="2"/>
          </w:tcPr>
          <w:p w:rsidR="00B15436" w:rsidRPr="00B15436" w:rsidRDefault="00B15436" w:rsidP="00B15436">
            <w:pPr>
              <w:rPr>
                <w:rFonts w:asciiTheme="minorHAnsi" w:hAnsiTheme="minorHAnsi" w:cstheme="minorHAnsi"/>
                <w:b/>
                <w:sz w:val="20"/>
                <w:szCs w:val="20"/>
              </w:rPr>
            </w:pPr>
          </w:p>
        </w:tc>
        <w:tc>
          <w:tcPr>
            <w:tcW w:w="160" w:type="dxa"/>
          </w:tcPr>
          <w:p w:rsidR="00B15436" w:rsidRPr="00B15436" w:rsidRDefault="00B15436" w:rsidP="00B15436">
            <w:pPr>
              <w:rPr>
                <w:rFonts w:asciiTheme="minorHAnsi" w:hAnsiTheme="minorHAnsi" w:cstheme="minorHAnsi"/>
                <w:b/>
                <w:sz w:val="20"/>
                <w:szCs w:val="20"/>
              </w:rPr>
            </w:pPr>
          </w:p>
        </w:tc>
      </w:tr>
      <w:tr w:rsidR="00B15436" w:rsidRPr="00B15436" w:rsidTr="00AE504D">
        <w:trPr>
          <w:gridAfter w:val="12"/>
          <w:wAfter w:w="2042" w:type="dxa"/>
        </w:trPr>
        <w:tc>
          <w:tcPr>
            <w:tcW w:w="2624" w:type="dxa"/>
            <w:gridSpan w:val="9"/>
            <w:tcBorders>
              <w:top w:val="single" w:sz="6" w:space="0" w:color="auto"/>
              <w:left w:val="single" w:sz="6" w:space="0" w:color="auto"/>
              <w:bottom w:val="single" w:sz="6" w:space="0" w:color="auto"/>
              <w:right w:val="single" w:sz="6" w:space="0" w:color="auto"/>
            </w:tcBorders>
            <w:shd w:val="clear" w:color="auto" w:fill="FFFF00"/>
          </w:tcPr>
          <w:p w:rsidR="00B15436" w:rsidRPr="00B15436" w:rsidRDefault="00B15436" w:rsidP="00B15436">
            <w:pPr>
              <w:jc w:val="center"/>
              <w:rPr>
                <w:rFonts w:asciiTheme="minorHAnsi" w:hAnsiTheme="minorHAnsi" w:cstheme="minorHAnsi"/>
                <w:b/>
                <w:sz w:val="20"/>
                <w:szCs w:val="20"/>
              </w:rPr>
            </w:pPr>
            <w:r w:rsidRPr="00B15436">
              <w:rPr>
                <w:rFonts w:asciiTheme="minorHAnsi" w:hAnsiTheme="minorHAnsi" w:cstheme="minorHAnsi"/>
                <w:b/>
                <w:sz w:val="20"/>
                <w:szCs w:val="20"/>
              </w:rPr>
              <w:t>Rozpočet upravený v tis. Kč</w:t>
            </w:r>
          </w:p>
        </w:tc>
        <w:tc>
          <w:tcPr>
            <w:tcW w:w="1843" w:type="dxa"/>
            <w:gridSpan w:val="8"/>
            <w:tcBorders>
              <w:top w:val="single" w:sz="6" w:space="0" w:color="auto"/>
              <w:left w:val="single" w:sz="6" w:space="0" w:color="auto"/>
              <w:bottom w:val="single" w:sz="6" w:space="0" w:color="auto"/>
              <w:right w:val="single" w:sz="6" w:space="0" w:color="auto"/>
            </w:tcBorders>
            <w:shd w:val="clear" w:color="auto" w:fill="FFFF00"/>
          </w:tcPr>
          <w:p w:rsidR="00B15436" w:rsidRPr="00B15436" w:rsidRDefault="00B15436" w:rsidP="00B15436">
            <w:pPr>
              <w:jc w:val="center"/>
              <w:rPr>
                <w:rFonts w:asciiTheme="minorHAnsi" w:hAnsiTheme="minorHAnsi" w:cstheme="minorHAnsi"/>
                <w:b/>
                <w:sz w:val="20"/>
                <w:szCs w:val="20"/>
              </w:rPr>
            </w:pPr>
            <w:r w:rsidRPr="00B15436">
              <w:rPr>
                <w:rFonts w:asciiTheme="minorHAnsi" w:hAnsiTheme="minorHAnsi" w:cstheme="minorHAnsi"/>
                <w:b/>
                <w:sz w:val="20"/>
                <w:szCs w:val="20"/>
              </w:rPr>
              <w:t>Skutečnost v tis. Kč</w:t>
            </w:r>
          </w:p>
        </w:tc>
        <w:tc>
          <w:tcPr>
            <w:tcW w:w="2691" w:type="dxa"/>
            <w:gridSpan w:val="10"/>
            <w:tcBorders>
              <w:top w:val="single" w:sz="6" w:space="0" w:color="auto"/>
              <w:left w:val="single" w:sz="6" w:space="0" w:color="auto"/>
              <w:bottom w:val="single" w:sz="6" w:space="0" w:color="auto"/>
              <w:right w:val="single" w:sz="6" w:space="0" w:color="auto"/>
            </w:tcBorders>
            <w:shd w:val="clear" w:color="auto" w:fill="FFFF00"/>
          </w:tcPr>
          <w:p w:rsidR="00B15436" w:rsidRPr="00B15436" w:rsidRDefault="00B15436" w:rsidP="00B15436">
            <w:pPr>
              <w:jc w:val="center"/>
              <w:rPr>
                <w:rFonts w:asciiTheme="minorHAnsi" w:hAnsiTheme="minorHAnsi" w:cstheme="minorHAnsi"/>
                <w:b/>
                <w:sz w:val="20"/>
                <w:szCs w:val="20"/>
              </w:rPr>
            </w:pPr>
            <w:r w:rsidRPr="00B15436">
              <w:rPr>
                <w:rFonts w:asciiTheme="minorHAnsi" w:hAnsiTheme="minorHAnsi" w:cstheme="minorHAnsi"/>
                <w:b/>
                <w:sz w:val="20"/>
                <w:szCs w:val="20"/>
              </w:rPr>
              <w:t>SK/RU v %</w:t>
            </w:r>
          </w:p>
        </w:tc>
        <w:tc>
          <w:tcPr>
            <w:tcW w:w="2764" w:type="dxa"/>
            <w:gridSpan w:val="15"/>
            <w:tcBorders>
              <w:top w:val="single" w:sz="6" w:space="0" w:color="auto"/>
              <w:left w:val="single" w:sz="6" w:space="0" w:color="auto"/>
              <w:bottom w:val="single" w:sz="6" w:space="0" w:color="auto"/>
              <w:right w:val="single" w:sz="6" w:space="0" w:color="auto"/>
            </w:tcBorders>
            <w:shd w:val="clear" w:color="auto" w:fill="FFFF00"/>
          </w:tcPr>
          <w:p w:rsidR="00B15436" w:rsidRPr="00B15436" w:rsidRDefault="00B15436" w:rsidP="00B15436">
            <w:pPr>
              <w:jc w:val="center"/>
              <w:rPr>
                <w:rFonts w:asciiTheme="minorHAnsi" w:hAnsiTheme="minorHAnsi" w:cstheme="minorHAnsi"/>
                <w:b/>
                <w:sz w:val="20"/>
                <w:szCs w:val="20"/>
              </w:rPr>
            </w:pPr>
            <w:r w:rsidRPr="00B15436">
              <w:rPr>
                <w:rFonts w:asciiTheme="minorHAnsi" w:hAnsiTheme="minorHAnsi" w:cstheme="minorHAnsi"/>
                <w:b/>
                <w:sz w:val="20"/>
                <w:szCs w:val="20"/>
              </w:rPr>
              <w:t>Komentář</w:t>
            </w:r>
          </w:p>
        </w:tc>
      </w:tr>
      <w:tr w:rsidR="00B15436" w:rsidRPr="00B15436" w:rsidTr="00AE504D">
        <w:trPr>
          <w:gridAfter w:val="12"/>
          <w:wAfter w:w="2042" w:type="dxa"/>
        </w:trPr>
        <w:tc>
          <w:tcPr>
            <w:tcW w:w="2624" w:type="dxa"/>
            <w:gridSpan w:val="9"/>
            <w:tcBorders>
              <w:top w:val="single" w:sz="6" w:space="0" w:color="auto"/>
              <w:left w:val="single" w:sz="6" w:space="0" w:color="auto"/>
              <w:bottom w:val="single" w:sz="6" w:space="0" w:color="auto"/>
              <w:right w:val="single" w:sz="6" w:space="0" w:color="auto"/>
            </w:tcBorders>
          </w:tcPr>
          <w:p w:rsidR="00B15436" w:rsidRPr="00B15436" w:rsidRDefault="00AE504D" w:rsidP="00B15436">
            <w:pPr>
              <w:jc w:val="right"/>
              <w:rPr>
                <w:rFonts w:asciiTheme="minorHAnsi" w:hAnsiTheme="minorHAnsi" w:cstheme="minorHAnsi"/>
                <w:b/>
                <w:sz w:val="20"/>
                <w:szCs w:val="20"/>
              </w:rPr>
            </w:pPr>
            <w:r>
              <w:rPr>
                <w:rFonts w:asciiTheme="minorHAnsi" w:hAnsiTheme="minorHAnsi" w:cstheme="minorHAnsi"/>
                <w:b/>
                <w:sz w:val="20"/>
                <w:szCs w:val="20"/>
              </w:rPr>
              <w:t xml:space="preserve">236 </w:t>
            </w:r>
            <w:r w:rsidR="00B15436" w:rsidRPr="00B15436">
              <w:rPr>
                <w:rFonts w:asciiTheme="minorHAnsi" w:hAnsiTheme="minorHAnsi" w:cstheme="minorHAnsi"/>
                <w:b/>
                <w:sz w:val="20"/>
                <w:szCs w:val="20"/>
              </w:rPr>
              <w:t>705,49</w:t>
            </w:r>
          </w:p>
        </w:tc>
        <w:tc>
          <w:tcPr>
            <w:tcW w:w="1843" w:type="dxa"/>
            <w:gridSpan w:val="8"/>
            <w:tcBorders>
              <w:top w:val="single" w:sz="6" w:space="0" w:color="auto"/>
              <w:left w:val="single" w:sz="6" w:space="0" w:color="auto"/>
              <w:bottom w:val="single" w:sz="6" w:space="0" w:color="auto"/>
              <w:right w:val="single" w:sz="6" w:space="0" w:color="auto"/>
            </w:tcBorders>
          </w:tcPr>
          <w:p w:rsidR="00B15436" w:rsidRPr="00B15436" w:rsidRDefault="00AE504D" w:rsidP="00B15436">
            <w:pPr>
              <w:jc w:val="right"/>
              <w:rPr>
                <w:rFonts w:asciiTheme="minorHAnsi" w:hAnsiTheme="minorHAnsi" w:cstheme="minorHAnsi"/>
                <w:b/>
                <w:sz w:val="20"/>
                <w:szCs w:val="20"/>
              </w:rPr>
            </w:pPr>
            <w:r>
              <w:rPr>
                <w:rFonts w:asciiTheme="minorHAnsi" w:hAnsiTheme="minorHAnsi" w:cstheme="minorHAnsi"/>
                <w:b/>
                <w:sz w:val="20"/>
                <w:szCs w:val="20"/>
              </w:rPr>
              <w:t xml:space="preserve">220 </w:t>
            </w:r>
            <w:r w:rsidR="00B15436" w:rsidRPr="00B15436">
              <w:rPr>
                <w:rFonts w:asciiTheme="minorHAnsi" w:hAnsiTheme="minorHAnsi" w:cstheme="minorHAnsi"/>
                <w:b/>
                <w:sz w:val="20"/>
                <w:szCs w:val="20"/>
              </w:rPr>
              <w:t>635,51</w:t>
            </w:r>
          </w:p>
        </w:tc>
        <w:tc>
          <w:tcPr>
            <w:tcW w:w="2691" w:type="dxa"/>
            <w:gridSpan w:val="10"/>
            <w:tcBorders>
              <w:top w:val="single" w:sz="6" w:space="0" w:color="auto"/>
              <w:left w:val="single" w:sz="6" w:space="0" w:color="auto"/>
              <w:bottom w:val="single" w:sz="6" w:space="0" w:color="auto"/>
              <w:right w:val="single" w:sz="6" w:space="0" w:color="auto"/>
            </w:tcBorders>
          </w:tcPr>
          <w:p w:rsidR="00B15436" w:rsidRPr="00B15436" w:rsidRDefault="00B15436" w:rsidP="00AE504D">
            <w:pPr>
              <w:jc w:val="center"/>
              <w:rPr>
                <w:rFonts w:asciiTheme="minorHAnsi" w:hAnsiTheme="minorHAnsi" w:cstheme="minorHAnsi"/>
                <w:b/>
                <w:sz w:val="20"/>
                <w:szCs w:val="20"/>
              </w:rPr>
            </w:pPr>
            <w:r w:rsidRPr="00B15436">
              <w:rPr>
                <w:rFonts w:asciiTheme="minorHAnsi" w:hAnsiTheme="minorHAnsi" w:cstheme="minorHAnsi"/>
                <w:b/>
                <w:sz w:val="20"/>
                <w:szCs w:val="20"/>
              </w:rPr>
              <w:t>93,21</w:t>
            </w:r>
          </w:p>
        </w:tc>
        <w:tc>
          <w:tcPr>
            <w:tcW w:w="2764" w:type="dxa"/>
            <w:gridSpan w:val="15"/>
            <w:tcBorders>
              <w:top w:val="single" w:sz="6" w:space="0" w:color="auto"/>
              <w:left w:val="single" w:sz="6" w:space="0" w:color="auto"/>
              <w:bottom w:val="single" w:sz="6" w:space="0" w:color="auto"/>
              <w:right w:val="single" w:sz="6" w:space="0" w:color="auto"/>
            </w:tcBorders>
          </w:tcPr>
          <w:p w:rsidR="00B15436" w:rsidRPr="00B15436" w:rsidRDefault="00B15436" w:rsidP="00B15436">
            <w:pPr>
              <w:rPr>
                <w:rFonts w:asciiTheme="minorHAnsi" w:hAnsiTheme="minorHAnsi" w:cstheme="minorHAnsi"/>
                <w:b/>
                <w:sz w:val="20"/>
                <w:szCs w:val="20"/>
              </w:rPr>
            </w:pPr>
            <w:r w:rsidRPr="00B15436">
              <w:rPr>
                <w:rFonts w:asciiTheme="minorHAnsi" w:hAnsiTheme="minorHAnsi" w:cstheme="minorHAnsi"/>
                <w:b/>
                <w:sz w:val="20"/>
                <w:szCs w:val="20"/>
              </w:rPr>
              <w:t>Výdaje před konsolidací</w:t>
            </w:r>
          </w:p>
        </w:tc>
      </w:tr>
      <w:tr w:rsidR="00B15436" w:rsidRPr="00B15436" w:rsidTr="00AE504D">
        <w:trPr>
          <w:gridAfter w:val="12"/>
          <w:wAfter w:w="2042" w:type="dxa"/>
        </w:trPr>
        <w:tc>
          <w:tcPr>
            <w:tcW w:w="2624" w:type="dxa"/>
            <w:gridSpan w:val="9"/>
            <w:tcBorders>
              <w:top w:val="single" w:sz="6" w:space="0" w:color="auto"/>
              <w:left w:val="single" w:sz="6" w:space="0" w:color="auto"/>
              <w:bottom w:val="single" w:sz="6" w:space="0" w:color="auto"/>
              <w:right w:val="single" w:sz="6" w:space="0" w:color="auto"/>
            </w:tcBorders>
          </w:tcPr>
          <w:p w:rsidR="00B15436" w:rsidRPr="00B15436" w:rsidRDefault="00AE504D" w:rsidP="00B15436">
            <w:pPr>
              <w:jc w:val="right"/>
              <w:rPr>
                <w:rFonts w:asciiTheme="minorHAnsi" w:hAnsiTheme="minorHAnsi" w:cstheme="minorHAnsi"/>
                <w:b/>
                <w:sz w:val="20"/>
                <w:szCs w:val="20"/>
              </w:rPr>
            </w:pPr>
            <w:r>
              <w:rPr>
                <w:rFonts w:asciiTheme="minorHAnsi" w:hAnsiTheme="minorHAnsi" w:cstheme="minorHAnsi"/>
                <w:b/>
                <w:sz w:val="20"/>
                <w:szCs w:val="20"/>
              </w:rPr>
              <w:t xml:space="preserve">236 </w:t>
            </w:r>
            <w:r w:rsidR="00B15436" w:rsidRPr="00B15436">
              <w:rPr>
                <w:rFonts w:asciiTheme="minorHAnsi" w:hAnsiTheme="minorHAnsi" w:cstheme="minorHAnsi"/>
                <w:b/>
                <w:sz w:val="20"/>
                <w:szCs w:val="20"/>
              </w:rPr>
              <w:t>705,49</w:t>
            </w:r>
          </w:p>
        </w:tc>
        <w:tc>
          <w:tcPr>
            <w:tcW w:w="1843" w:type="dxa"/>
            <w:gridSpan w:val="8"/>
            <w:tcBorders>
              <w:top w:val="single" w:sz="6" w:space="0" w:color="auto"/>
              <w:left w:val="single" w:sz="6" w:space="0" w:color="auto"/>
              <w:bottom w:val="single" w:sz="6" w:space="0" w:color="auto"/>
              <w:right w:val="single" w:sz="6" w:space="0" w:color="auto"/>
            </w:tcBorders>
          </w:tcPr>
          <w:p w:rsidR="00B15436" w:rsidRPr="00B15436" w:rsidRDefault="00AE504D" w:rsidP="00B15436">
            <w:pPr>
              <w:jc w:val="right"/>
              <w:rPr>
                <w:rFonts w:asciiTheme="minorHAnsi" w:hAnsiTheme="minorHAnsi" w:cstheme="minorHAnsi"/>
                <w:b/>
                <w:sz w:val="20"/>
                <w:szCs w:val="20"/>
              </w:rPr>
            </w:pPr>
            <w:r>
              <w:rPr>
                <w:rFonts w:asciiTheme="minorHAnsi" w:hAnsiTheme="minorHAnsi" w:cstheme="minorHAnsi"/>
                <w:b/>
                <w:sz w:val="20"/>
                <w:szCs w:val="20"/>
              </w:rPr>
              <w:t xml:space="preserve">220 </w:t>
            </w:r>
            <w:r w:rsidR="00B15436" w:rsidRPr="00B15436">
              <w:rPr>
                <w:rFonts w:asciiTheme="minorHAnsi" w:hAnsiTheme="minorHAnsi" w:cstheme="minorHAnsi"/>
                <w:b/>
                <w:sz w:val="20"/>
                <w:szCs w:val="20"/>
              </w:rPr>
              <w:t>635,51</w:t>
            </w:r>
          </w:p>
        </w:tc>
        <w:tc>
          <w:tcPr>
            <w:tcW w:w="2691" w:type="dxa"/>
            <w:gridSpan w:val="10"/>
            <w:tcBorders>
              <w:top w:val="single" w:sz="6" w:space="0" w:color="auto"/>
              <w:left w:val="single" w:sz="6" w:space="0" w:color="auto"/>
              <w:bottom w:val="single" w:sz="6" w:space="0" w:color="auto"/>
              <w:right w:val="single" w:sz="6" w:space="0" w:color="auto"/>
            </w:tcBorders>
          </w:tcPr>
          <w:p w:rsidR="00B15436" w:rsidRPr="00B15436" w:rsidRDefault="00B15436" w:rsidP="00AE504D">
            <w:pPr>
              <w:jc w:val="center"/>
              <w:rPr>
                <w:rFonts w:asciiTheme="minorHAnsi" w:hAnsiTheme="minorHAnsi" w:cstheme="minorHAnsi"/>
                <w:b/>
                <w:sz w:val="20"/>
                <w:szCs w:val="20"/>
              </w:rPr>
            </w:pPr>
            <w:r w:rsidRPr="00B15436">
              <w:rPr>
                <w:rFonts w:asciiTheme="minorHAnsi" w:hAnsiTheme="minorHAnsi" w:cstheme="minorHAnsi"/>
                <w:b/>
                <w:sz w:val="20"/>
                <w:szCs w:val="20"/>
              </w:rPr>
              <w:t>93,21</w:t>
            </w:r>
          </w:p>
        </w:tc>
        <w:tc>
          <w:tcPr>
            <w:tcW w:w="2764" w:type="dxa"/>
            <w:gridSpan w:val="15"/>
            <w:tcBorders>
              <w:top w:val="single" w:sz="6" w:space="0" w:color="auto"/>
              <w:left w:val="single" w:sz="6" w:space="0" w:color="auto"/>
              <w:bottom w:val="single" w:sz="6" w:space="0" w:color="auto"/>
              <w:right w:val="single" w:sz="6" w:space="0" w:color="auto"/>
            </w:tcBorders>
          </w:tcPr>
          <w:p w:rsidR="00B15436" w:rsidRPr="00B15436" w:rsidRDefault="00B15436" w:rsidP="00B15436">
            <w:pPr>
              <w:rPr>
                <w:rFonts w:asciiTheme="minorHAnsi" w:hAnsiTheme="minorHAnsi" w:cstheme="minorHAnsi"/>
                <w:b/>
                <w:sz w:val="20"/>
                <w:szCs w:val="20"/>
              </w:rPr>
            </w:pPr>
            <w:r w:rsidRPr="00B15436">
              <w:rPr>
                <w:rFonts w:asciiTheme="minorHAnsi" w:hAnsiTheme="minorHAnsi" w:cstheme="minorHAnsi"/>
                <w:b/>
                <w:sz w:val="20"/>
                <w:szCs w:val="20"/>
              </w:rPr>
              <w:t>Výdaje po konsolidaci</w:t>
            </w:r>
          </w:p>
        </w:tc>
      </w:tr>
      <w:tr w:rsidR="00B15436" w:rsidRPr="00B15436" w:rsidTr="00AE504D">
        <w:trPr>
          <w:gridAfter w:val="1"/>
          <w:wAfter w:w="640" w:type="dxa"/>
        </w:trPr>
        <w:tc>
          <w:tcPr>
            <w:tcW w:w="457" w:type="dxa"/>
          </w:tcPr>
          <w:p w:rsidR="00B15436" w:rsidRPr="00B15436" w:rsidRDefault="00B15436" w:rsidP="00B15436">
            <w:pPr>
              <w:rPr>
                <w:rFonts w:asciiTheme="minorHAnsi" w:hAnsiTheme="minorHAnsi" w:cstheme="minorHAnsi"/>
                <w:b/>
                <w:sz w:val="20"/>
                <w:szCs w:val="20"/>
              </w:rPr>
            </w:pPr>
          </w:p>
        </w:tc>
        <w:tc>
          <w:tcPr>
            <w:tcW w:w="390" w:type="dxa"/>
          </w:tcPr>
          <w:p w:rsidR="00B15436" w:rsidRPr="00B15436" w:rsidRDefault="00B15436" w:rsidP="00B15436">
            <w:pPr>
              <w:rPr>
                <w:rFonts w:asciiTheme="minorHAnsi" w:hAnsiTheme="minorHAnsi" w:cstheme="minorHAnsi"/>
                <w:b/>
                <w:sz w:val="20"/>
                <w:szCs w:val="20"/>
              </w:rPr>
            </w:pPr>
          </w:p>
        </w:tc>
        <w:tc>
          <w:tcPr>
            <w:tcW w:w="527" w:type="dxa"/>
          </w:tcPr>
          <w:p w:rsidR="00B15436" w:rsidRPr="00B15436" w:rsidRDefault="00B15436" w:rsidP="00B15436">
            <w:pPr>
              <w:rPr>
                <w:rFonts w:asciiTheme="minorHAnsi" w:hAnsiTheme="minorHAnsi" w:cstheme="minorHAnsi"/>
                <w:b/>
                <w:sz w:val="20"/>
                <w:szCs w:val="20"/>
              </w:rPr>
            </w:pPr>
          </w:p>
        </w:tc>
        <w:tc>
          <w:tcPr>
            <w:tcW w:w="1250" w:type="dxa"/>
            <w:gridSpan w:val="6"/>
          </w:tcPr>
          <w:p w:rsidR="00B15436" w:rsidRPr="00B15436" w:rsidRDefault="00B15436" w:rsidP="00B15436">
            <w:pPr>
              <w:rPr>
                <w:rFonts w:asciiTheme="minorHAnsi" w:hAnsiTheme="minorHAnsi" w:cstheme="minorHAnsi"/>
                <w:b/>
                <w:sz w:val="20"/>
                <w:szCs w:val="20"/>
              </w:rPr>
            </w:pPr>
          </w:p>
        </w:tc>
        <w:tc>
          <w:tcPr>
            <w:tcW w:w="160" w:type="dxa"/>
            <w:gridSpan w:val="2"/>
          </w:tcPr>
          <w:p w:rsidR="00B15436" w:rsidRPr="00B15436" w:rsidRDefault="00B15436" w:rsidP="00B15436">
            <w:pPr>
              <w:rPr>
                <w:rFonts w:asciiTheme="minorHAnsi" w:hAnsiTheme="minorHAnsi" w:cstheme="minorHAnsi"/>
                <w:b/>
                <w:sz w:val="20"/>
                <w:szCs w:val="20"/>
              </w:rPr>
            </w:pPr>
          </w:p>
        </w:tc>
        <w:tc>
          <w:tcPr>
            <w:tcW w:w="460" w:type="dxa"/>
            <w:gridSpan w:val="3"/>
          </w:tcPr>
          <w:p w:rsidR="00B15436" w:rsidRPr="00B15436" w:rsidRDefault="00B15436" w:rsidP="00B15436">
            <w:pPr>
              <w:rPr>
                <w:rFonts w:asciiTheme="minorHAnsi" w:hAnsiTheme="minorHAnsi" w:cstheme="minorHAnsi"/>
                <w:b/>
                <w:sz w:val="20"/>
                <w:szCs w:val="20"/>
              </w:rPr>
            </w:pPr>
          </w:p>
        </w:tc>
        <w:tc>
          <w:tcPr>
            <w:tcW w:w="460" w:type="dxa"/>
            <w:gridSpan w:val="2"/>
          </w:tcPr>
          <w:p w:rsidR="00B15436" w:rsidRPr="00B15436" w:rsidRDefault="00B15436" w:rsidP="00B15436">
            <w:pPr>
              <w:rPr>
                <w:rFonts w:asciiTheme="minorHAnsi" w:hAnsiTheme="minorHAnsi" w:cstheme="minorHAnsi"/>
                <w:b/>
                <w:sz w:val="20"/>
                <w:szCs w:val="20"/>
              </w:rPr>
            </w:pPr>
          </w:p>
        </w:tc>
        <w:tc>
          <w:tcPr>
            <w:tcW w:w="1957" w:type="dxa"/>
            <w:gridSpan w:val="3"/>
          </w:tcPr>
          <w:p w:rsidR="00B15436" w:rsidRPr="00B15436" w:rsidRDefault="00B15436" w:rsidP="00B15436">
            <w:pPr>
              <w:rPr>
                <w:rFonts w:asciiTheme="minorHAnsi" w:hAnsiTheme="minorHAnsi" w:cstheme="minorHAnsi"/>
                <w:b/>
                <w:sz w:val="20"/>
                <w:szCs w:val="20"/>
              </w:rPr>
            </w:pPr>
          </w:p>
        </w:tc>
        <w:tc>
          <w:tcPr>
            <w:tcW w:w="160" w:type="dxa"/>
          </w:tcPr>
          <w:p w:rsidR="00B15436" w:rsidRPr="00B15436" w:rsidRDefault="00B15436" w:rsidP="00B15436">
            <w:pPr>
              <w:rPr>
                <w:rFonts w:asciiTheme="minorHAnsi" w:hAnsiTheme="minorHAnsi" w:cstheme="minorHAnsi"/>
                <w:b/>
                <w:sz w:val="20"/>
                <w:szCs w:val="20"/>
              </w:rPr>
            </w:pPr>
          </w:p>
        </w:tc>
        <w:tc>
          <w:tcPr>
            <w:tcW w:w="468" w:type="dxa"/>
            <w:gridSpan w:val="2"/>
          </w:tcPr>
          <w:p w:rsidR="00B15436" w:rsidRPr="00B15436" w:rsidRDefault="00B15436" w:rsidP="00B15436">
            <w:pPr>
              <w:rPr>
                <w:rFonts w:asciiTheme="minorHAnsi" w:hAnsiTheme="minorHAnsi" w:cstheme="minorHAnsi"/>
                <w:b/>
                <w:sz w:val="20"/>
                <w:szCs w:val="20"/>
              </w:rPr>
            </w:pPr>
          </w:p>
        </w:tc>
        <w:tc>
          <w:tcPr>
            <w:tcW w:w="304" w:type="dxa"/>
            <w:gridSpan w:val="3"/>
          </w:tcPr>
          <w:p w:rsidR="00B15436" w:rsidRPr="00B15436" w:rsidRDefault="00B15436" w:rsidP="00B15436">
            <w:pPr>
              <w:rPr>
                <w:rFonts w:asciiTheme="minorHAnsi" w:hAnsiTheme="minorHAnsi" w:cstheme="minorHAnsi"/>
                <w:b/>
                <w:sz w:val="20"/>
                <w:szCs w:val="20"/>
              </w:rPr>
            </w:pPr>
          </w:p>
        </w:tc>
        <w:tc>
          <w:tcPr>
            <w:tcW w:w="2249" w:type="dxa"/>
            <w:gridSpan w:val="9"/>
          </w:tcPr>
          <w:p w:rsidR="00B15436" w:rsidRPr="00B15436" w:rsidRDefault="00B15436" w:rsidP="00B15436">
            <w:pPr>
              <w:rPr>
                <w:rFonts w:asciiTheme="minorHAnsi" w:hAnsiTheme="minorHAnsi" w:cstheme="minorHAnsi"/>
                <w:b/>
                <w:sz w:val="20"/>
                <w:szCs w:val="20"/>
              </w:rPr>
            </w:pPr>
          </w:p>
        </w:tc>
        <w:tc>
          <w:tcPr>
            <w:tcW w:w="160" w:type="dxa"/>
          </w:tcPr>
          <w:p w:rsidR="00B15436" w:rsidRPr="00B15436" w:rsidRDefault="00B15436" w:rsidP="00B15436">
            <w:pPr>
              <w:rPr>
                <w:rFonts w:asciiTheme="minorHAnsi" w:hAnsiTheme="minorHAnsi" w:cstheme="minorHAnsi"/>
                <w:b/>
                <w:sz w:val="20"/>
                <w:szCs w:val="20"/>
              </w:rPr>
            </w:pPr>
          </w:p>
        </w:tc>
        <w:tc>
          <w:tcPr>
            <w:tcW w:w="460" w:type="dxa"/>
            <w:gridSpan w:val="3"/>
          </w:tcPr>
          <w:p w:rsidR="00B15436" w:rsidRPr="00B15436" w:rsidRDefault="00B15436" w:rsidP="00B15436">
            <w:pPr>
              <w:rPr>
                <w:rFonts w:asciiTheme="minorHAnsi" w:hAnsiTheme="minorHAnsi" w:cstheme="minorHAnsi"/>
                <w:b/>
                <w:sz w:val="20"/>
                <w:szCs w:val="20"/>
              </w:rPr>
            </w:pPr>
          </w:p>
        </w:tc>
        <w:tc>
          <w:tcPr>
            <w:tcW w:w="460" w:type="dxa"/>
            <w:gridSpan w:val="4"/>
          </w:tcPr>
          <w:p w:rsidR="00B15436" w:rsidRPr="00B15436" w:rsidRDefault="00B15436" w:rsidP="00B15436">
            <w:pPr>
              <w:rPr>
                <w:rFonts w:asciiTheme="minorHAnsi" w:hAnsiTheme="minorHAnsi" w:cstheme="minorHAnsi"/>
                <w:b/>
                <w:sz w:val="20"/>
                <w:szCs w:val="20"/>
              </w:rPr>
            </w:pPr>
          </w:p>
        </w:tc>
        <w:tc>
          <w:tcPr>
            <w:tcW w:w="460" w:type="dxa"/>
            <w:gridSpan w:val="3"/>
          </w:tcPr>
          <w:p w:rsidR="00B15436" w:rsidRPr="00B15436" w:rsidRDefault="00B15436" w:rsidP="00B15436">
            <w:pPr>
              <w:rPr>
                <w:rFonts w:asciiTheme="minorHAnsi" w:hAnsiTheme="minorHAnsi" w:cstheme="minorHAnsi"/>
                <w:b/>
                <w:sz w:val="20"/>
                <w:szCs w:val="20"/>
              </w:rPr>
            </w:pPr>
          </w:p>
        </w:tc>
        <w:tc>
          <w:tcPr>
            <w:tcW w:w="160" w:type="dxa"/>
            <w:gridSpan w:val="3"/>
          </w:tcPr>
          <w:p w:rsidR="00B15436" w:rsidRPr="00B15436" w:rsidRDefault="00B15436" w:rsidP="00B15436">
            <w:pPr>
              <w:rPr>
                <w:rFonts w:asciiTheme="minorHAnsi" w:hAnsiTheme="minorHAnsi" w:cstheme="minorHAnsi"/>
                <w:b/>
                <w:sz w:val="20"/>
                <w:szCs w:val="20"/>
              </w:rPr>
            </w:pPr>
          </w:p>
        </w:tc>
        <w:tc>
          <w:tcPr>
            <w:tcW w:w="162" w:type="dxa"/>
            <w:gridSpan w:val="2"/>
          </w:tcPr>
          <w:p w:rsidR="00B15436" w:rsidRPr="00B15436" w:rsidRDefault="00B15436" w:rsidP="00B15436">
            <w:pPr>
              <w:rPr>
                <w:rFonts w:asciiTheme="minorHAnsi" w:hAnsiTheme="minorHAnsi" w:cstheme="minorHAnsi"/>
                <w:b/>
                <w:sz w:val="20"/>
                <w:szCs w:val="20"/>
              </w:rPr>
            </w:pPr>
          </w:p>
        </w:tc>
        <w:tc>
          <w:tcPr>
            <w:tcW w:w="460" w:type="dxa"/>
            <w:gridSpan w:val="2"/>
          </w:tcPr>
          <w:p w:rsidR="00B15436" w:rsidRPr="00B15436" w:rsidRDefault="00B15436" w:rsidP="00B15436">
            <w:pPr>
              <w:rPr>
                <w:rFonts w:asciiTheme="minorHAnsi" w:hAnsiTheme="minorHAnsi" w:cstheme="minorHAnsi"/>
                <w:b/>
                <w:sz w:val="20"/>
                <w:szCs w:val="20"/>
              </w:rPr>
            </w:pPr>
          </w:p>
        </w:tc>
        <w:tc>
          <w:tcPr>
            <w:tcW w:w="160" w:type="dxa"/>
          </w:tcPr>
          <w:p w:rsidR="00B15436" w:rsidRPr="00B15436" w:rsidRDefault="00B15436" w:rsidP="00B15436">
            <w:pPr>
              <w:rPr>
                <w:rFonts w:asciiTheme="minorHAnsi" w:hAnsiTheme="minorHAnsi" w:cstheme="minorHAnsi"/>
                <w:b/>
                <w:sz w:val="20"/>
                <w:szCs w:val="20"/>
              </w:rPr>
            </w:pPr>
          </w:p>
        </w:tc>
      </w:tr>
      <w:tr w:rsidR="00B15436" w:rsidRPr="00B15436" w:rsidTr="00AE504D">
        <w:trPr>
          <w:gridAfter w:val="12"/>
          <w:wAfter w:w="2042" w:type="dxa"/>
        </w:trPr>
        <w:tc>
          <w:tcPr>
            <w:tcW w:w="9922" w:type="dxa"/>
            <w:gridSpan w:val="42"/>
          </w:tcPr>
          <w:p w:rsidR="00B15436" w:rsidRPr="00B15436" w:rsidRDefault="00B15436" w:rsidP="00B15436">
            <w:pPr>
              <w:rPr>
                <w:rFonts w:asciiTheme="minorHAnsi" w:hAnsiTheme="minorHAnsi" w:cstheme="minorHAnsi"/>
                <w:b/>
                <w:sz w:val="20"/>
                <w:szCs w:val="20"/>
              </w:rPr>
            </w:pPr>
            <w:r w:rsidRPr="00B15436">
              <w:rPr>
                <w:rFonts w:asciiTheme="minorHAnsi" w:hAnsiTheme="minorHAnsi" w:cstheme="minorHAnsi"/>
                <w:b/>
                <w:sz w:val="20"/>
                <w:szCs w:val="20"/>
              </w:rPr>
              <w:t>Stručný komentář k celkovému vývoji čerpání výdajů kapitoly ve sledovaném období</w:t>
            </w:r>
          </w:p>
        </w:tc>
      </w:tr>
      <w:tr w:rsidR="00B15436" w:rsidRPr="00B15436" w:rsidTr="00AE504D">
        <w:trPr>
          <w:gridAfter w:val="12"/>
          <w:wAfter w:w="2042" w:type="dxa"/>
        </w:trPr>
        <w:tc>
          <w:tcPr>
            <w:tcW w:w="9922" w:type="dxa"/>
            <w:gridSpan w:val="42"/>
            <w:tcBorders>
              <w:top w:val="single" w:sz="6" w:space="0" w:color="auto"/>
              <w:left w:val="single" w:sz="6" w:space="0" w:color="auto"/>
              <w:bottom w:val="single" w:sz="6" w:space="0" w:color="auto"/>
              <w:right w:val="single" w:sz="6" w:space="0" w:color="auto"/>
            </w:tcBorders>
          </w:tcPr>
          <w:p w:rsidR="00B15436" w:rsidRPr="00B15436" w:rsidRDefault="00B15436" w:rsidP="00B15436">
            <w:pPr>
              <w:jc w:val="both"/>
              <w:rPr>
                <w:rFonts w:asciiTheme="minorHAnsi" w:hAnsiTheme="minorHAnsi" w:cstheme="minorHAnsi"/>
                <w:sz w:val="20"/>
                <w:szCs w:val="20"/>
              </w:rPr>
            </w:pPr>
            <w:r w:rsidRPr="00B15436">
              <w:rPr>
                <w:rFonts w:asciiTheme="minorHAnsi" w:hAnsiTheme="minorHAnsi" w:cstheme="minorHAnsi"/>
                <w:sz w:val="20"/>
                <w:szCs w:val="20"/>
              </w:rPr>
              <w:t>Čerpání výdajů rozpočtu probíhalo za sledované období v souladu se schváleným rozpočtem kapitoly na cca 93 %.</w:t>
            </w:r>
          </w:p>
        </w:tc>
      </w:tr>
      <w:tr w:rsidR="00B15436" w:rsidRPr="00B15436" w:rsidTr="00AE504D">
        <w:tc>
          <w:tcPr>
            <w:tcW w:w="457" w:type="dxa"/>
          </w:tcPr>
          <w:p w:rsidR="00B15436" w:rsidRPr="00B15436" w:rsidRDefault="00B15436" w:rsidP="00B15436">
            <w:pPr>
              <w:rPr>
                <w:rFonts w:asciiTheme="minorHAnsi" w:hAnsiTheme="minorHAnsi" w:cstheme="minorHAnsi"/>
                <w:b/>
                <w:sz w:val="20"/>
                <w:szCs w:val="20"/>
              </w:rPr>
            </w:pPr>
          </w:p>
        </w:tc>
        <w:tc>
          <w:tcPr>
            <w:tcW w:w="390" w:type="dxa"/>
          </w:tcPr>
          <w:p w:rsidR="00B15436" w:rsidRPr="00B15436" w:rsidRDefault="00B15436" w:rsidP="00B15436">
            <w:pPr>
              <w:rPr>
                <w:rFonts w:asciiTheme="minorHAnsi" w:hAnsiTheme="minorHAnsi" w:cstheme="minorHAnsi"/>
                <w:b/>
                <w:sz w:val="20"/>
                <w:szCs w:val="20"/>
              </w:rPr>
            </w:pPr>
          </w:p>
        </w:tc>
        <w:tc>
          <w:tcPr>
            <w:tcW w:w="527" w:type="dxa"/>
          </w:tcPr>
          <w:p w:rsidR="00B15436" w:rsidRPr="00B15436" w:rsidRDefault="00B15436" w:rsidP="00B15436">
            <w:pPr>
              <w:rPr>
                <w:rFonts w:asciiTheme="minorHAnsi" w:hAnsiTheme="minorHAnsi" w:cstheme="minorHAnsi"/>
                <w:b/>
                <w:sz w:val="20"/>
                <w:szCs w:val="20"/>
              </w:rPr>
            </w:pPr>
          </w:p>
        </w:tc>
        <w:tc>
          <w:tcPr>
            <w:tcW w:w="460" w:type="dxa"/>
            <w:gridSpan w:val="3"/>
          </w:tcPr>
          <w:p w:rsidR="00B15436" w:rsidRPr="00B15436" w:rsidRDefault="00B15436" w:rsidP="00B15436">
            <w:pPr>
              <w:rPr>
                <w:rFonts w:asciiTheme="minorHAnsi" w:hAnsiTheme="minorHAnsi" w:cstheme="minorHAnsi"/>
                <w:b/>
                <w:sz w:val="20"/>
                <w:szCs w:val="20"/>
              </w:rPr>
            </w:pPr>
          </w:p>
        </w:tc>
        <w:tc>
          <w:tcPr>
            <w:tcW w:w="460" w:type="dxa"/>
          </w:tcPr>
          <w:p w:rsidR="00B15436" w:rsidRPr="00B15436" w:rsidRDefault="00B15436" w:rsidP="00B15436">
            <w:pPr>
              <w:rPr>
                <w:rFonts w:asciiTheme="minorHAnsi" w:hAnsiTheme="minorHAnsi" w:cstheme="minorHAnsi"/>
                <w:b/>
                <w:sz w:val="20"/>
                <w:szCs w:val="20"/>
              </w:rPr>
            </w:pPr>
          </w:p>
        </w:tc>
        <w:tc>
          <w:tcPr>
            <w:tcW w:w="460" w:type="dxa"/>
            <w:gridSpan w:val="3"/>
          </w:tcPr>
          <w:p w:rsidR="00B15436" w:rsidRPr="00B15436" w:rsidRDefault="00B15436" w:rsidP="00B15436">
            <w:pPr>
              <w:rPr>
                <w:rFonts w:asciiTheme="minorHAnsi" w:hAnsiTheme="minorHAnsi" w:cstheme="minorHAnsi"/>
                <w:b/>
                <w:sz w:val="20"/>
                <w:szCs w:val="20"/>
              </w:rPr>
            </w:pPr>
          </w:p>
        </w:tc>
        <w:tc>
          <w:tcPr>
            <w:tcW w:w="460" w:type="dxa"/>
            <w:gridSpan w:val="3"/>
          </w:tcPr>
          <w:p w:rsidR="00B15436" w:rsidRPr="00B15436" w:rsidRDefault="00B15436" w:rsidP="00B15436">
            <w:pPr>
              <w:rPr>
                <w:rFonts w:asciiTheme="minorHAnsi" w:hAnsiTheme="minorHAnsi" w:cstheme="minorHAnsi"/>
                <w:b/>
                <w:sz w:val="20"/>
                <w:szCs w:val="20"/>
              </w:rPr>
            </w:pPr>
          </w:p>
        </w:tc>
        <w:tc>
          <w:tcPr>
            <w:tcW w:w="1253" w:type="dxa"/>
            <w:gridSpan w:val="4"/>
          </w:tcPr>
          <w:p w:rsidR="00B15436" w:rsidRPr="00B15436" w:rsidRDefault="00B15436" w:rsidP="00B15436">
            <w:pPr>
              <w:rPr>
                <w:rFonts w:asciiTheme="minorHAnsi" w:hAnsiTheme="minorHAnsi" w:cstheme="minorHAnsi"/>
                <w:b/>
                <w:sz w:val="20"/>
                <w:szCs w:val="20"/>
              </w:rPr>
            </w:pPr>
          </w:p>
        </w:tc>
        <w:tc>
          <w:tcPr>
            <w:tcW w:w="992" w:type="dxa"/>
          </w:tcPr>
          <w:p w:rsidR="00B15436" w:rsidRPr="00B15436" w:rsidRDefault="00B15436" w:rsidP="00B15436">
            <w:pPr>
              <w:rPr>
                <w:rFonts w:asciiTheme="minorHAnsi" w:hAnsiTheme="minorHAnsi" w:cstheme="minorHAnsi"/>
                <w:b/>
                <w:sz w:val="20"/>
                <w:szCs w:val="20"/>
              </w:rPr>
            </w:pPr>
          </w:p>
        </w:tc>
        <w:tc>
          <w:tcPr>
            <w:tcW w:w="443" w:type="dxa"/>
            <w:gridSpan w:val="3"/>
          </w:tcPr>
          <w:p w:rsidR="00B15436" w:rsidRPr="00B15436" w:rsidRDefault="00B15436" w:rsidP="00B15436">
            <w:pPr>
              <w:rPr>
                <w:rFonts w:asciiTheme="minorHAnsi" w:hAnsiTheme="minorHAnsi" w:cstheme="minorHAnsi"/>
                <w:b/>
                <w:sz w:val="20"/>
                <w:szCs w:val="20"/>
              </w:rPr>
            </w:pPr>
          </w:p>
        </w:tc>
        <w:tc>
          <w:tcPr>
            <w:tcW w:w="452" w:type="dxa"/>
            <w:gridSpan w:val="2"/>
          </w:tcPr>
          <w:p w:rsidR="00B15436" w:rsidRPr="00B15436" w:rsidRDefault="00B15436" w:rsidP="00B15436">
            <w:pPr>
              <w:rPr>
                <w:rFonts w:asciiTheme="minorHAnsi" w:hAnsiTheme="minorHAnsi" w:cstheme="minorHAnsi"/>
                <w:b/>
                <w:sz w:val="20"/>
                <w:szCs w:val="20"/>
              </w:rPr>
            </w:pPr>
          </w:p>
        </w:tc>
        <w:tc>
          <w:tcPr>
            <w:tcW w:w="2101" w:type="dxa"/>
            <w:gridSpan w:val="8"/>
          </w:tcPr>
          <w:p w:rsidR="00B15436" w:rsidRPr="00B15436" w:rsidRDefault="00B15436" w:rsidP="00B15436">
            <w:pPr>
              <w:rPr>
                <w:rFonts w:asciiTheme="minorHAnsi" w:hAnsiTheme="minorHAnsi" w:cstheme="minorHAnsi"/>
                <w:b/>
                <w:sz w:val="20"/>
                <w:szCs w:val="20"/>
              </w:rPr>
            </w:pPr>
          </w:p>
        </w:tc>
        <w:tc>
          <w:tcPr>
            <w:tcW w:w="160" w:type="dxa"/>
          </w:tcPr>
          <w:p w:rsidR="00B15436" w:rsidRPr="00B15436" w:rsidRDefault="00B15436" w:rsidP="00B15436">
            <w:pPr>
              <w:rPr>
                <w:rFonts w:asciiTheme="minorHAnsi" w:hAnsiTheme="minorHAnsi" w:cstheme="minorHAnsi"/>
                <w:b/>
                <w:sz w:val="20"/>
                <w:szCs w:val="20"/>
              </w:rPr>
            </w:pPr>
          </w:p>
        </w:tc>
        <w:tc>
          <w:tcPr>
            <w:tcW w:w="460" w:type="dxa"/>
            <w:gridSpan w:val="4"/>
          </w:tcPr>
          <w:p w:rsidR="00B15436" w:rsidRPr="00B15436" w:rsidRDefault="00B15436" w:rsidP="00B15436">
            <w:pPr>
              <w:rPr>
                <w:rFonts w:asciiTheme="minorHAnsi" w:hAnsiTheme="minorHAnsi" w:cstheme="minorHAnsi"/>
                <w:b/>
                <w:sz w:val="20"/>
                <w:szCs w:val="20"/>
              </w:rPr>
            </w:pPr>
          </w:p>
        </w:tc>
        <w:tc>
          <w:tcPr>
            <w:tcW w:w="460" w:type="dxa"/>
            <w:gridSpan w:val="3"/>
          </w:tcPr>
          <w:p w:rsidR="00B15436" w:rsidRPr="00B15436" w:rsidRDefault="00B15436" w:rsidP="00B15436">
            <w:pPr>
              <w:rPr>
                <w:rFonts w:asciiTheme="minorHAnsi" w:hAnsiTheme="minorHAnsi" w:cstheme="minorHAnsi"/>
                <w:b/>
                <w:sz w:val="20"/>
                <w:szCs w:val="20"/>
              </w:rPr>
            </w:pPr>
          </w:p>
        </w:tc>
        <w:tc>
          <w:tcPr>
            <w:tcW w:w="460" w:type="dxa"/>
            <w:gridSpan w:val="4"/>
          </w:tcPr>
          <w:p w:rsidR="00B15436" w:rsidRPr="00B15436" w:rsidRDefault="00B15436" w:rsidP="00B15436">
            <w:pPr>
              <w:rPr>
                <w:rFonts w:asciiTheme="minorHAnsi" w:hAnsiTheme="minorHAnsi" w:cstheme="minorHAnsi"/>
                <w:b/>
                <w:sz w:val="20"/>
                <w:szCs w:val="20"/>
              </w:rPr>
            </w:pPr>
          </w:p>
        </w:tc>
        <w:tc>
          <w:tcPr>
            <w:tcW w:w="460" w:type="dxa"/>
            <w:gridSpan w:val="4"/>
          </w:tcPr>
          <w:p w:rsidR="00B15436" w:rsidRPr="00B15436" w:rsidRDefault="00B15436" w:rsidP="00B15436">
            <w:pPr>
              <w:rPr>
                <w:rFonts w:asciiTheme="minorHAnsi" w:hAnsiTheme="minorHAnsi" w:cstheme="minorHAnsi"/>
                <w:b/>
                <w:sz w:val="20"/>
                <w:szCs w:val="20"/>
              </w:rPr>
            </w:pPr>
          </w:p>
        </w:tc>
        <w:tc>
          <w:tcPr>
            <w:tcW w:w="160" w:type="dxa"/>
            <w:gridSpan w:val="2"/>
          </w:tcPr>
          <w:p w:rsidR="00B15436" w:rsidRPr="00B15436" w:rsidRDefault="00B15436" w:rsidP="00B15436">
            <w:pPr>
              <w:rPr>
                <w:rFonts w:asciiTheme="minorHAnsi" w:hAnsiTheme="minorHAnsi" w:cstheme="minorHAnsi"/>
                <w:b/>
                <w:sz w:val="20"/>
                <w:szCs w:val="20"/>
              </w:rPr>
            </w:pPr>
          </w:p>
        </w:tc>
        <w:tc>
          <w:tcPr>
            <w:tcW w:w="162" w:type="dxa"/>
            <w:gridSpan w:val="2"/>
          </w:tcPr>
          <w:p w:rsidR="00B15436" w:rsidRPr="00B15436" w:rsidRDefault="00B15436" w:rsidP="00B15436">
            <w:pPr>
              <w:rPr>
                <w:rFonts w:asciiTheme="minorHAnsi" w:hAnsiTheme="minorHAnsi" w:cstheme="minorHAnsi"/>
                <w:b/>
                <w:sz w:val="20"/>
                <w:szCs w:val="20"/>
              </w:rPr>
            </w:pPr>
          </w:p>
        </w:tc>
        <w:tc>
          <w:tcPr>
            <w:tcW w:w="1187" w:type="dxa"/>
            <w:gridSpan w:val="3"/>
          </w:tcPr>
          <w:p w:rsidR="00B15436" w:rsidRPr="00B15436" w:rsidRDefault="00B15436" w:rsidP="00B15436">
            <w:pPr>
              <w:rPr>
                <w:rFonts w:asciiTheme="minorHAnsi" w:hAnsiTheme="minorHAnsi" w:cstheme="minorHAnsi"/>
                <w:b/>
                <w:sz w:val="20"/>
                <w:szCs w:val="20"/>
              </w:rPr>
            </w:pPr>
          </w:p>
        </w:tc>
      </w:tr>
      <w:tr w:rsidR="00B15436" w:rsidRPr="00B15436" w:rsidTr="00AE504D">
        <w:trPr>
          <w:gridAfter w:val="12"/>
          <w:wAfter w:w="2042" w:type="dxa"/>
        </w:trPr>
        <w:tc>
          <w:tcPr>
            <w:tcW w:w="9922" w:type="dxa"/>
            <w:gridSpan w:val="42"/>
          </w:tcPr>
          <w:p w:rsidR="00B15436" w:rsidRPr="00B15436" w:rsidRDefault="00B15436" w:rsidP="00B15436">
            <w:pPr>
              <w:rPr>
                <w:rFonts w:asciiTheme="minorHAnsi" w:hAnsiTheme="minorHAnsi" w:cstheme="minorHAnsi"/>
                <w:b/>
                <w:sz w:val="20"/>
                <w:szCs w:val="20"/>
              </w:rPr>
            </w:pPr>
            <w:r w:rsidRPr="00B15436">
              <w:rPr>
                <w:rFonts w:asciiTheme="minorHAnsi" w:hAnsiTheme="minorHAnsi" w:cstheme="minorHAnsi"/>
                <w:b/>
                <w:sz w:val="20"/>
                <w:szCs w:val="20"/>
              </w:rPr>
              <w:t>Komentář k položkám (akcím), které vykázaly abnormalitu v řádném čerpání výdajů rozpočtu kapitoly ve sledovaném období</w:t>
            </w:r>
          </w:p>
        </w:tc>
      </w:tr>
      <w:tr w:rsidR="00B15436" w:rsidRPr="00B15436" w:rsidTr="0078573D">
        <w:trPr>
          <w:gridAfter w:val="13"/>
          <w:wAfter w:w="2111" w:type="dxa"/>
        </w:trPr>
        <w:tc>
          <w:tcPr>
            <w:tcW w:w="847" w:type="dxa"/>
            <w:gridSpan w:val="2"/>
            <w:tcBorders>
              <w:top w:val="single" w:sz="6" w:space="0" w:color="auto"/>
              <w:left w:val="single" w:sz="6" w:space="0" w:color="auto"/>
              <w:bottom w:val="single" w:sz="6" w:space="0" w:color="auto"/>
              <w:right w:val="single" w:sz="6" w:space="0" w:color="auto"/>
            </w:tcBorders>
            <w:shd w:val="clear" w:color="auto" w:fill="FFFF00"/>
            <w:vAlign w:val="center"/>
          </w:tcPr>
          <w:p w:rsidR="00B15436" w:rsidRPr="0078573D" w:rsidRDefault="00B15436" w:rsidP="00B15436">
            <w:pPr>
              <w:jc w:val="center"/>
              <w:rPr>
                <w:rFonts w:asciiTheme="minorHAnsi" w:hAnsiTheme="minorHAnsi" w:cstheme="minorHAnsi"/>
                <w:b/>
                <w:sz w:val="17"/>
                <w:szCs w:val="17"/>
              </w:rPr>
            </w:pPr>
            <w:r w:rsidRPr="0078573D">
              <w:rPr>
                <w:rFonts w:asciiTheme="minorHAnsi" w:hAnsiTheme="minorHAnsi" w:cstheme="minorHAnsi"/>
                <w:b/>
                <w:sz w:val="17"/>
                <w:szCs w:val="17"/>
              </w:rPr>
              <w:t>Oddíl, paragraf</w:t>
            </w:r>
          </w:p>
        </w:tc>
        <w:tc>
          <w:tcPr>
            <w:tcW w:w="643" w:type="dxa"/>
            <w:gridSpan w:val="2"/>
            <w:tcBorders>
              <w:top w:val="single" w:sz="6" w:space="0" w:color="auto"/>
              <w:left w:val="single" w:sz="6" w:space="0" w:color="auto"/>
              <w:bottom w:val="single" w:sz="6" w:space="0" w:color="auto"/>
              <w:right w:val="single" w:sz="6" w:space="0" w:color="auto"/>
            </w:tcBorders>
            <w:shd w:val="clear" w:color="auto" w:fill="FFFF00"/>
            <w:vAlign w:val="center"/>
          </w:tcPr>
          <w:p w:rsidR="00B15436" w:rsidRPr="0078573D" w:rsidRDefault="00B15436" w:rsidP="00AE504D">
            <w:pPr>
              <w:jc w:val="center"/>
              <w:rPr>
                <w:rFonts w:asciiTheme="minorHAnsi" w:hAnsiTheme="minorHAnsi" w:cstheme="minorHAnsi"/>
                <w:b/>
                <w:sz w:val="17"/>
                <w:szCs w:val="17"/>
              </w:rPr>
            </w:pPr>
            <w:r w:rsidRPr="0078573D">
              <w:rPr>
                <w:rFonts w:asciiTheme="minorHAnsi" w:hAnsiTheme="minorHAnsi" w:cstheme="minorHAnsi"/>
                <w:b/>
                <w:sz w:val="17"/>
                <w:szCs w:val="17"/>
              </w:rPr>
              <w:t>Pol</w:t>
            </w:r>
            <w:r w:rsidR="00AE504D" w:rsidRPr="0078573D">
              <w:rPr>
                <w:rFonts w:asciiTheme="minorHAnsi" w:hAnsiTheme="minorHAnsi" w:cstheme="minorHAnsi"/>
                <w:b/>
                <w:sz w:val="17"/>
                <w:szCs w:val="17"/>
              </w:rPr>
              <w:t>.</w:t>
            </w:r>
          </w:p>
        </w:tc>
        <w:tc>
          <w:tcPr>
            <w:tcW w:w="1553" w:type="dxa"/>
            <w:gridSpan w:val="8"/>
            <w:tcBorders>
              <w:top w:val="single" w:sz="6" w:space="0" w:color="auto"/>
              <w:left w:val="single" w:sz="6" w:space="0" w:color="auto"/>
              <w:bottom w:val="single" w:sz="6" w:space="0" w:color="auto"/>
              <w:right w:val="single" w:sz="6" w:space="0" w:color="auto"/>
            </w:tcBorders>
            <w:shd w:val="clear" w:color="auto" w:fill="FFFF00"/>
            <w:vAlign w:val="center"/>
          </w:tcPr>
          <w:p w:rsidR="00B15436" w:rsidRPr="0078573D" w:rsidRDefault="00B15436" w:rsidP="00B15436">
            <w:pPr>
              <w:jc w:val="center"/>
              <w:rPr>
                <w:rFonts w:asciiTheme="minorHAnsi" w:hAnsiTheme="minorHAnsi" w:cstheme="minorHAnsi"/>
                <w:b/>
                <w:sz w:val="17"/>
                <w:szCs w:val="17"/>
              </w:rPr>
            </w:pPr>
            <w:r w:rsidRPr="0078573D">
              <w:rPr>
                <w:rFonts w:asciiTheme="minorHAnsi" w:hAnsiTheme="minorHAnsi" w:cstheme="minorHAnsi"/>
                <w:b/>
                <w:sz w:val="17"/>
                <w:szCs w:val="17"/>
              </w:rPr>
              <w:t>Organizace</w:t>
            </w:r>
          </w:p>
        </w:tc>
        <w:tc>
          <w:tcPr>
            <w:tcW w:w="1424" w:type="dxa"/>
            <w:gridSpan w:val="5"/>
            <w:tcBorders>
              <w:top w:val="single" w:sz="6" w:space="0" w:color="auto"/>
              <w:left w:val="single" w:sz="6" w:space="0" w:color="auto"/>
              <w:bottom w:val="single" w:sz="6" w:space="0" w:color="auto"/>
              <w:right w:val="single" w:sz="6" w:space="0" w:color="auto"/>
            </w:tcBorders>
            <w:shd w:val="clear" w:color="auto" w:fill="FFFF00"/>
            <w:vAlign w:val="center"/>
          </w:tcPr>
          <w:p w:rsidR="00B15436" w:rsidRPr="0078573D" w:rsidRDefault="00B15436" w:rsidP="00B15436">
            <w:pPr>
              <w:jc w:val="center"/>
              <w:rPr>
                <w:rFonts w:asciiTheme="minorHAnsi" w:hAnsiTheme="minorHAnsi" w:cstheme="minorHAnsi"/>
                <w:b/>
                <w:sz w:val="17"/>
                <w:szCs w:val="17"/>
              </w:rPr>
            </w:pPr>
            <w:r w:rsidRPr="0078573D">
              <w:rPr>
                <w:rFonts w:asciiTheme="minorHAnsi" w:hAnsiTheme="minorHAnsi" w:cstheme="minorHAnsi"/>
                <w:b/>
                <w:sz w:val="17"/>
                <w:szCs w:val="17"/>
              </w:rPr>
              <w:t>Účelový zdroj</w:t>
            </w:r>
          </w:p>
        </w:tc>
        <w:tc>
          <w:tcPr>
            <w:tcW w:w="992" w:type="dxa"/>
            <w:tcBorders>
              <w:top w:val="single" w:sz="6" w:space="0" w:color="auto"/>
              <w:left w:val="single" w:sz="6" w:space="0" w:color="auto"/>
              <w:bottom w:val="single" w:sz="6" w:space="0" w:color="auto"/>
              <w:right w:val="single" w:sz="6" w:space="0" w:color="auto"/>
            </w:tcBorders>
            <w:shd w:val="clear" w:color="auto" w:fill="FFFF00"/>
            <w:vAlign w:val="center"/>
          </w:tcPr>
          <w:p w:rsidR="00B15436" w:rsidRPr="0078573D" w:rsidRDefault="00AE504D" w:rsidP="00B15436">
            <w:pPr>
              <w:jc w:val="center"/>
              <w:rPr>
                <w:rFonts w:asciiTheme="minorHAnsi" w:hAnsiTheme="minorHAnsi" w:cstheme="minorHAnsi"/>
                <w:b/>
                <w:sz w:val="17"/>
                <w:szCs w:val="17"/>
              </w:rPr>
            </w:pPr>
            <w:r w:rsidRPr="0078573D">
              <w:rPr>
                <w:rFonts w:asciiTheme="minorHAnsi" w:hAnsiTheme="minorHAnsi" w:cstheme="minorHAnsi"/>
                <w:b/>
                <w:sz w:val="17"/>
                <w:szCs w:val="17"/>
              </w:rPr>
              <w:t>UR</w:t>
            </w:r>
            <w:r w:rsidR="00B15436" w:rsidRPr="0078573D">
              <w:rPr>
                <w:rFonts w:asciiTheme="minorHAnsi" w:hAnsiTheme="minorHAnsi" w:cstheme="minorHAnsi"/>
                <w:b/>
                <w:sz w:val="17"/>
                <w:szCs w:val="17"/>
              </w:rPr>
              <w:t xml:space="preserve"> v tis. Kč</w:t>
            </w:r>
          </w:p>
        </w:tc>
        <w:tc>
          <w:tcPr>
            <w:tcW w:w="1134" w:type="dxa"/>
            <w:gridSpan w:val="7"/>
            <w:tcBorders>
              <w:top w:val="single" w:sz="6" w:space="0" w:color="auto"/>
              <w:left w:val="single" w:sz="6" w:space="0" w:color="auto"/>
              <w:bottom w:val="single" w:sz="6" w:space="0" w:color="auto"/>
              <w:right w:val="single" w:sz="6" w:space="0" w:color="auto"/>
            </w:tcBorders>
            <w:shd w:val="clear" w:color="auto" w:fill="FFFF00"/>
            <w:vAlign w:val="center"/>
          </w:tcPr>
          <w:p w:rsidR="00B15436" w:rsidRPr="0078573D" w:rsidRDefault="00B15436" w:rsidP="00B15436">
            <w:pPr>
              <w:jc w:val="center"/>
              <w:rPr>
                <w:rFonts w:asciiTheme="minorHAnsi" w:hAnsiTheme="minorHAnsi" w:cstheme="minorHAnsi"/>
                <w:b/>
                <w:sz w:val="17"/>
                <w:szCs w:val="17"/>
              </w:rPr>
            </w:pPr>
            <w:r w:rsidRPr="0078573D">
              <w:rPr>
                <w:rFonts w:asciiTheme="minorHAnsi" w:hAnsiTheme="minorHAnsi" w:cstheme="minorHAnsi"/>
                <w:b/>
                <w:sz w:val="17"/>
                <w:szCs w:val="17"/>
              </w:rPr>
              <w:t>Skutečnost v tis. Kč</w:t>
            </w:r>
          </w:p>
        </w:tc>
        <w:tc>
          <w:tcPr>
            <w:tcW w:w="3260" w:type="dxa"/>
            <w:gridSpan w:val="16"/>
            <w:tcBorders>
              <w:top w:val="single" w:sz="6" w:space="0" w:color="auto"/>
              <w:left w:val="single" w:sz="6" w:space="0" w:color="auto"/>
              <w:bottom w:val="single" w:sz="6" w:space="0" w:color="auto"/>
              <w:right w:val="single" w:sz="6" w:space="0" w:color="auto"/>
            </w:tcBorders>
            <w:shd w:val="clear" w:color="auto" w:fill="FFFF00"/>
            <w:vAlign w:val="center"/>
          </w:tcPr>
          <w:p w:rsidR="00B15436" w:rsidRPr="0078573D" w:rsidRDefault="00B15436" w:rsidP="00B15436">
            <w:pPr>
              <w:jc w:val="center"/>
              <w:rPr>
                <w:rFonts w:asciiTheme="minorHAnsi" w:hAnsiTheme="minorHAnsi" w:cstheme="minorHAnsi"/>
                <w:b/>
                <w:sz w:val="17"/>
                <w:szCs w:val="17"/>
              </w:rPr>
            </w:pPr>
            <w:r w:rsidRPr="0078573D">
              <w:rPr>
                <w:rFonts w:asciiTheme="minorHAnsi" w:hAnsiTheme="minorHAnsi" w:cstheme="minorHAnsi"/>
                <w:b/>
                <w:sz w:val="17"/>
                <w:szCs w:val="17"/>
              </w:rPr>
              <w:t>Komentář</w:t>
            </w:r>
          </w:p>
        </w:tc>
      </w:tr>
      <w:tr w:rsidR="00B15436" w:rsidRPr="00B15436" w:rsidTr="00AE504D">
        <w:trPr>
          <w:gridAfter w:val="13"/>
          <w:wAfter w:w="2111" w:type="dxa"/>
        </w:trPr>
        <w:tc>
          <w:tcPr>
            <w:tcW w:w="847" w:type="dxa"/>
            <w:gridSpan w:val="2"/>
            <w:tcBorders>
              <w:top w:val="single" w:sz="6" w:space="0" w:color="auto"/>
              <w:left w:val="single" w:sz="6" w:space="0" w:color="auto"/>
              <w:bottom w:val="single" w:sz="6" w:space="0" w:color="auto"/>
              <w:right w:val="single" w:sz="6" w:space="0" w:color="auto"/>
            </w:tcBorders>
          </w:tcPr>
          <w:p w:rsidR="00B15436" w:rsidRPr="0078573D" w:rsidRDefault="00B15436" w:rsidP="00B15436">
            <w:pPr>
              <w:jc w:val="center"/>
              <w:rPr>
                <w:rFonts w:asciiTheme="minorHAnsi" w:hAnsiTheme="minorHAnsi" w:cstheme="minorHAnsi"/>
                <w:sz w:val="17"/>
                <w:szCs w:val="17"/>
              </w:rPr>
            </w:pPr>
            <w:r w:rsidRPr="0078573D">
              <w:rPr>
                <w:rFonts w:asciiTheme="minorHAnsi" w:hAnsiTheme="minorHAnsi" w:cstheme="minorHAnsi"/>
                <w:sz w:val="17"/>
                <w:szCs w:val="17"/>
              </w:rPr>
              <w:t>3639</w:t>
            </w:r>
          </w:p>
          <w:p w:rsidR="00B15436" w:rsidRPr="0078573D" w:rsidRDefault="00B15436" w:rsidP="00B15436">
            <w:pPr>
              <w:jc w:val="center"/>
              <w:rPr>
                <w:rFonts w:asciiTheme="minorHAnsi" w:hAnsiTheme="minorHAnsi" w:cstheme="minorHAnsi"/>
                <w:sz w:val="17"/>
                <w:szCs w:val="17"/>
              </w:rPr>
            </w:pPr>
          </w:p>
          <w:p w:rsidR="00B15436" w:rsidRPr="0078573D" w:rsidRDefault="00B15436" w:rsidP="00B15436">
            <w:pPr>
              <w:jc w:val="center"/>
              <w:rPr>
                <w:rFonts w:asciiTheme="minorHAnsi" w:hAnsiTheme="minorHAnsi" w:cstheme="minorHAnsi"/>
                <w:sz w:val="17"/>
                <w:szCs w:val="17"/>
              </w:rPr>
            </w:pPr>
          </w:p>
          <w:p w:rsidR="00B15436" w:rsidRPr="0078573D" w:rsidRDefault="00B15436" w:rsidP="00B15436">
            <w:pPr>
              <w:jc w:val="center"/>
              <w:rPr>
                <w:rFonts w:asciiTheme="minorHAnsi" w:hAnsiTheme="minorHAnsi" w:cstheme="minorHAnsi"/>
                <w:sz w:val="17"/>
                <w:szCs w:val="17"/>
              </w:rPr>
            </w:pPr>
            <w:r w:rsidRPr="0078573D">
              <w:rPr>
                <w:rFonts w:asciiTheme="minorHAnsi" w:hAnsiTheme="minorHAnsi" w:cstheme="minorHAnsi"/>
                <w:sz w:val="17"/>
                <w:szCs w:val="17"/>
              </w:rPr>
              <w:t>3639</w:t>
            </w:r>
          </w:p>
          <w:p w:rsidR="00B15436" w:rsidRPr="0078573D" w:rsidRDefault="00B15436" w:rsidP="00B15436">
            <w:pPr>
              <w:jc w:val="center"/>
              <w:rPr>
                <w:rFonts w:asciiTheme="minorHAnsi" w:hAnsiTheme="minorHAnsi" w:cstheme="minorHAnsi"/>
                <w:sz w:val="17"/>
                <w:szCs w:val="17"/>
              </w:rPr>
            </w:pPr>
          </w:p>
          <w:p w:rsidR="00B15436" w:rsidRPr="0078573D" w:rsidRDefault="00B15436" w:rsidP="00B15436">
            <w:pPr>
              <w:jc w:val="center"/>
              <w:rPr>
                <w:rFonts w:asciiTheme="minorHAnsi" w:hAnsiTheme="minorHAnsi" w:cstheme="minorHAnsi"/>
                <w:sz w:val="17"/>
                <w:szCs w:val="17"/>
              </w:rPr>
            </w:pPr>
            <w:r w:rsidRPr="0078573D">
              <w:rPr>
                <w:rFonts w:asciiTheme="minorHAnsi" w:hAnsiTheme="minorHAnsi" w:cstheme="minorHAnsi"/>
                <w:sz w:val="17"/>
                <w:szCs w:val="17"/>
              </w:rPr>
              <w:t>3639</w:t>
            </w:r>
          </w:p>
          <w:p w:rsidR="00B15436" w:rsidRPr="0078573D" w:rsidRDefault="00B15436" w:rsidP="00B15436">
            <w:pPr>
              <w:jc w:val="center"/>
              <w:rPr>
                <w:rFonts w:asciiTheme="minorHAnsi" w:hAnsiTheme="minorHAnsi" w:cstheme="minorHAnsi"/>
                <w:sz w:val="17"/>
                <w:szCs w:val="17"/>
              </w:rPr>
            </w:pPr>
          </w:p>
          <w:p w:rsidR="00B15436" w:rsidRPr="0078573D" w:rsidRDefault="00B15436" w:rsidP="00B15436">
            <w:pPr>
              <w:jc w:val="center"/>
              <w:rPr>
                <w:rFonts w:asciiTheme="minorHAnsi" w:hAnsiTheme="minorHAnsi" w:cstheme="minorHAnsi"/>
                <w:sz w:val="17"/>
                <w:szCs w:val="17"/>
              </w:rPr>
            </w:pPr>
            <w:r w:rsidRPr="0078573D">
              <w:rPr>
                <w:rFonts w:asciiTheme="minorHAnsi" w:hAnsiTheme="minorHAnsi" w:cstheme="minorHAnsi"/>
                <w:sz w:val="17"/>
                <w:szCs w:val="17"/>
              </w:rPr>
              <w:t>3639</w:t>
            </w:r>
          </w:p>
          <w:p w:rsidR="00B15436" w:rsidRPr="0078573D" w:rsidRDefault="00B15436" w:rsidP="00B15436">
            <w:pPr>
              <w:jc w:val="center"/>
              <w:rPr>
                <w:rFonts w:asciiTheme="minorHAnsi" w:hAnsiTheme="minorHAnsi" w:cstheme="minorHAnsi"/>
                <w:sz w:val="17"/>
                <w:szCs w:val="17"/>
              </w:rPr>
            </w:pPr>
          </w:p>
          <w:p w:rsidR="00B15436" w:rsidRPr="0078573D" w:rsidRDefault="00B15436" w:rsidP="00B15436">
            <w:pPr>
              <w:jc w:val="center"/>
              <w:rPr>
                <w:rFonts w:asciiTheme="minorHAnsi" w:hAnsiTheme="minorHAnsi" w:cstheme="minorHAnsi"/>
                <w:sz w:val="17"/>
                <w:szCs w:val="17"/>
              </w:rPr>
            </w:pPr>
            <w:r w:rsidRPr="0078573D">
              <w:rPr>
                <w:rFonts w:asciiTheme="minorHAnsi" w:hAnsiTheme="minorHAnsi" w:cstheme="minorHAnsi"/>
                <w:sz w:val="17"/>
                <w:szCs w:val="17"/>
              </w:rPr>
              <w:t>6112</w:t>
            </w:r>
          </w:p>
          <w:p w:rsidR="00B15436" w:rsidRPr="0078573D" w:rsidRDefault="00B15436" w:rsidP="00B15436">
            <w:pPr>
              <w:jc w:val="center"/>
              <w:rPr>
                <w:rFonts w:asciiTheme="minorHAnsi" w:hAnsiTheme="minorHAnsi" w:cstheme="minorHAnsi"/>
                <w:sz w:val="17"/>
                <w:szCs w:val="17"/>
              </w:rPr>
            </w:pPr>
          </w:p>
          <w:p w:rsidR="00B15436" w:rsidRPr="0078573D" w:rsidRDefault="00B15436" w:rsidP="00B15436">
            <w:pPr>
              <w:jc w:val="center"/>
              <w:rPr>
                <w:rFonts w:asciiTheme="minorHAnsi" w:hAnsiTheme="minorHAnsi" w:cstheme="minorHAnsi"/>
                <w:sz w:val="17"/>
                <w:szCs w:val="17"/>
              </w:rPr>
            </w:pPr>
          </w:p>
          <w:p w:rsidR="00B15436" w:rsidRPr="0078573D" w:rsidRDefault="00B15436" w:rsidP="00B15436">
            <w:pPr>
              <w:jc w:val="center"/>
              <w:rPr>
                <w:rFonts w:asciiTheme="minorHAnsi" w:hAnsiTheme="minorHAnsi" w:cstheme="minorHAnsi"/>
                <w:sz w:val="17"/>
                <w:szCs w:val="17"/>
              </w:rPr>
            </w:pPr>
          </w:p>
          <w:p w:rsidR="00B15436" w:rsidRPr="0078573D" w:rsidRDefault="00B15436" w:rsidP="00B15436">
            <w:pPr>
              <w:jc w:val="center"/>
              <w:rPr>
                <w:rFonts w:asciiTheme="minorHAnsi" w:hAnsiTheme="minorHAnsi" w:cstheme="minorHAnsi"/>
                <w:sz w:val="17"/>
                <w:szCs w:val="17"/>
              </w:rPr>
            </w:pPr>
          </w:p>
          <w:p w:rsidR="00B15436" w:rsidRPr="0078573D" w:rsidRDefault="00B15436" w:rsidP="00B15436">
            <w:pPr>
              <w:jc w:val="center"/>
              <w:rPr>
                <w:rFonts w:asciiTheme="minorHAnsi" w:hAnsiTheme="minorHAnsi" w:cstheme="minorHAnsi"/>
                <w:sz w:val="17"/>
                <w:szCs w:val="17"/>
              </w:rPr>
            </w:pPr>
            <w:r w:rsidRPr="0078573D">
              <w:rPr>
                <w:rFonts w:asciiTheme="minorHAnsi" w:hAnsiTheme="minorHAnsi" w:cstheme="minorHAnsi"/>
                <w:sz w:val="17"/>
                <w:szCs w:val="17"/>
              </w:rPr>
              <w:t>6112</w:t>
            </w:r>
          </w:p>
          <w:p w:rsidR="00B15436" w:rsidRPr="0078573D" w:rsidRDefault="00B15436" w:rsidP="00B15436">
            <w:pPr>
              <w:jc w:val="center"/>
              <w:rPr>
                <w:rFonts w:asciiTheme="minorHAnsi" w:hAnsiTheme="minorHAnsi" w:cstheme="minorHAnsi"/>
                <w:sz w:val="17"/>
                <w:szCs w:val="17"/>
              </w:rPr>
            </w:pPr>
          </w:p>
          <w:p w:rsidR="00B15436" w:rsidRPr="0078573D" w:rsidRDefault="00B15436" w:rsidP="00B15436">
            <w:pPr>
              <w:jc w:val="center"/>
              <w:rPr>
                <w:rFonts w:asciiTheme="minorHAnsi" w:hAnsiTheme="minorHAnsi" w:cstheme="minorHAnsi"/>
                <w:sz w:val="17"/>
                <w:szCs w:val="17"/>
              </w:rPr>
            </w:pPr>
          </w:p>
          <w:p w:rsidR="00B15436" w:rsidRPr="0078573D" w:rsidRDefault="00B15436" w:rsidP="00B15436">
            <w:pPr>
              <w:jc w:val="center"/>
              <w:rPr>
                <w:rFonts w:asciiTheme="minorHAnsi" w:hAnsiTheme="minorHAnsi" w:cstheme="minorHAnsi"/>
                <w:sz w:val="17"/>
                <w:szCs w:val="17"/>
              </w:rPr>
            </w:pPr>
          </w:p>
          <w:p w:rsidR="00B15436" w:rsidRPr="0078573D" w:rsidRDefault="00B15436" w:rsidP="00B15436">
            <w:pPr>
              <w:jc w:val="center"/>
              <w:rPr>
                <w:rFonts w:asciiTheme="minorHAnsi" w:hAnsiTheme="minorHAnsi" w:cstheme="minorHAnsi"/>
                <w:sz w:val="17"/>
                <w:szCs w:val="17"/>
              </w:rPr>
            </w:pPr>
            <w:r w:rsidRPr="0078573D">
              <w:rPr>
                <w:rFonts w:asciiTheme="minorHAnsi" w:hAnsiTheme="minorHAnsi" w:cstheme="minorHAnsi"/>
                <w:sz w:val="17"/>
                <w:szCs w:val="17"/>
              </w:rPr>
              <w:t>6171</w:t>
            </w:r>
          </w:p>
          <w:p w:rsidR="00B15436" w:rsidRPr="0078573D" w:rsidRDefault="00B15436" w:rsidP="00B15436">
            <w:pPr>
              <w:jc w:val="center"/>
              <w:rPr>
                <w:rFonts w:asciiTheme="minorHAnsi" w:hAnsiTheme="minorHAnsi" w:cstheme="minorHAnsi"/>
                <w:sz w:val="17"/>
                <w:szCs w:val="17"/>
              </w:rPr>
            </w:pPr>
          </w:p>
          <w:p w:rsidR="00B15436" w:rsidRPr="0078573D" w:rsidRDefault="00B15436" w:rsidP="00B15436">
            <w:pPr>
              <w:jc w:val="center"/>
              <w:rPr>
                <w:rFonts w:asciiTheme="minorHAnsi" w:hAnsiTheme="minorHAnsi" w:cstheme="minorHAnsi"/>
                <w:sz w:val="17"/>
                <w:szCs w:val="17"/>
              </w:rPr>
            </w:pPr>
          </w:p>
          <w:p w:rsidR="00B15436" w:rsidRPr="0078573D" w:rsidRDefault="00B15436" w:rsidP="00B15436">
            <w:pPr>
              <w:jc w:val="center"/>
              <w:rPr>
                <w:rFonts w:asciiTheme="minorHAnsi" w:hAnsiTheme="minorHAnsi" w:cstheme="minorHAnsi"/>
                <w:sz w:val="17"/>
                <w:szCs w:val="17"/>
              </w:rPr>
            </w:pPr>
            <w:r w:rsidRPr="0078573D">
              <w:rPr>
                <w:rFonts w:asciiTheme="minorHAnsi" w:hAnsiTheme="minorHAnsi" w:cstheme="minorHAnsi"/>
                <w:sz w:val="17"/>
                <w:szCs w:val="17"/>
              </w:rPr>
              <w:t>6171</w:t>
            </w:r>
          </w:p>
          <w:p w:rsidR="00B15436" w:rsidRPr="0078573D" w:rsidRDefault="00B15436" w:rsidP="00B15436">
            <w:pPr>
              <w:jc w:val="center"/>
              <w:rPr>
                <w:rFonts w:asciiTheme="minorHAnsi" w:hAnsiTheme="minorHAnsi" w:cstheme="minorHAnsi"/>
                <w:sz w:val="17"/>
                <w:szCs w:val="17"/>
              </w:rPr>
            </w:pPr>
          </w:p>
          <w:p w:rsidR="0078573D" w:rsidRPr="0078573D" w:rsidRDefault="0078573D" w:rsidP="00B15436">
            <w:pPr>
              <w:jc w:val="center"/>
              <w:rPr>
                <w:rFonts w:asciiTheme="minorHAnsi" w:hAnsiTheme="minorHAnsi" w:cstheme="minorHAnsi"/>
                <w:sz w:val="17"/>
                <w:szCs w:val="17"/>
              </w:rPr>
            </w:pPr>
          </w:p>
          <w:p w:rsidR="00B15436" w:rsidRPr="0078573D" w:rsidRDefault="00B15436" w:rsidP="00B15436">
            <w:pPr>
              <w:jc w:val="center"/>
              <w:rPr>
                <w:rFonts w:asciiTheme="minorHAnsi" w:hAnsiTheme="minorHAnsi" w:cstheme="minorHAnsi"/>
                <w:sz w:val="17"/>
                <w:szCs w:val="17"/>
              </w:rPr>
            </w:pPr>
            <w:r w:rsidRPr="0078573D">
              <w:rPr>
                <w:rFonts w:asciiTheme="minorHAnsi" w:hAnsiTheme="minorHAnsi" w:cstheme="minorHAnsi"/>
                <w:sz w:val="17"/>
                <w:szCs w:val="17"/>
              </w:rPr>
              <w:t>6171</w:t>
            </w:r>
          </w:p>
          <w:p w:rsidR="00B15436" w:rsidRPr="0078573D" w:rsidRDefault="00B15436" w:rsidP="00B15436">
            <w:pPr>
              <w:jc w:val="center"/>
              <w:rPr>
                <w:rFonts w:asciiTheme="minorHAnsi" w:hAnsiTheme="minorHAnsi" w:cstheme="minorHAnsi"/>
                <w:sz w:val="17"/>
                <w:szCs w:val="17"/>
              </w:rPr>
            </w:pPr>
          </w:p>
          <w:p w:rsidR="0078573D" w:rsidRPr="0078573D" w:rsidRDefault="0078573D" w:rsidP="00B15436">
            <w:pPr>
              <w:jc w:val="center"/>
              <w:rPr>
                <w:rFonts w:asciiTheme="minorHAnsi" w:hAnsiTheme="minorHAnsi" w:cstheme="minorHAnsi"/>
                <w:sz w:val="17"/>
                <w:szCs w:val="17"/>
              </w:rPr>
            </w:pPr>
          </w:p>
          <w:p w:rsidR="00B15436" w:rsidRPr="0078573D" w:rsidRDefault="00B15436" w:rsidP="00B15436">
            <w:pPr>
              <w:jc w:val="center"/>
              <w:rPr>
                <w:rFonts w:asciiTheme="minorHAnsi" w:hAnsiTheme="minorHAnsi" w:cstheme="minorHAnsi"/>
                <w:sz w:val="17"/>
                <w:szCs w:val="17"/>
              </w:rPr>
            </w:pPr>
            <w:r w:rsidRPr="0078573D">
              <w:rPr>
                <w:rFonts w:asciiTheme="minorHAnsi" w:hAnsiTheme="minorHAnsi" w:cstheme="minorHAnsi"/>
                <w:sz w:val="17"/>
                <w:szCs w:val="17"/>
              </w:rPr>
              <w:t>6171</w:t>
            </w:r>
          </w:p>
          <w:p w:rsidR="00B15436" w:rsidRPr="0078573D" w:rsidRDefault="00B15436" w:rsidP="00B15436">
            <w:pPr>
              <w:jc w:val="center"/>
              <w:rPr>
                <w:rFonts w:asciiTheme="minorHAnsi" w:hAnsiTheme="minorHAnsi" w:cstheme="minorHAnsi"/>
                <w:sz w:val="17"/>
                <w:szCs w:val="17"/>
              </w:rPr>
            </w:pPr>
            <w:r w:rsidRPr="0078573D">
              <w:rPr>
                <w:rFonts w:asciiTheme="minorHAnsi" w:hAnsiTheme="minorHAnsi" w:cstheme="minorHAnsi"/>
                <w:sz w:val="17"/>
                <w:szCs w:val="17"/>
              </w:rPr>
              <w:t>6171</w:t>
            </w:r>
          </w:p>
          <w:p w:rsidR="00B15436" w:rsidRPr="0078573D" w:rsidRDefault="00B15436" w:rsidP="00B15436">
            <w:pPr>
              <w:jc w:val="center"/>
              <w:rPr>
                <w:rFonts w:asciiTheme="minorHAnsi" w:hAnsiTheme="minorHAnsi" w:cstheme="minorHAnsi"/>
                <w:sz w:val="17"/>
                <w:szCs w:val="17"/>
              </w:rPr>
            </w:pPr>
            <w:r w:rsidRPr="0078573D">
              <w:rPr>
                <w:rFonts w:asciiTheme="minorHAnsi" w:hAnsiTheme="minorHAnsi" w:cstheme="minorHAnsi"/>
                <w:sz w:val="17"/>
                <w:szCs w:val="17"/>
              </w:rPr>
              <w:t>6171</w:t>
            </w:r>
          </w:p>
        </w:tc>
        <w:tc>
          <w:tcPr>
            <w:tcW w:w="643" w:type="dxa"/>
            <w:gridSpan w:val="2"/>
            <w:tcBorders>
              <w:top w:val="single" w:sz="6" w:space="0" w:color="auto"/>
              <w:left w:val="single" w:sz="6" w:space="0" w:color="auto"/>
              <w:bottom w:val="single" w:sz="6" w:space="0" w:color="auto"/>
              <w:right w:val="single" w:sz="6" w:space="0" w:color="auto"/>
            </w:tcBorders>
          </w:tcPr>
          <w:p w:rsidR="00B15436" w:rsidRPr="0078573D" w:rsidRDefault="00B15436" w:rsidP="00B15436">
            <w:pPr>
              <w:jc w:val="center"/>
              <w:rPr>
                <w:rFonts w:asciiTheme="minorHAnsi" w:hAnsiTheme="minorHAnsi" w:cstheme="minorHAnsi"/>
                <w:sz w:val="17"/>
                <w:szCs w:val="17"/>
              </w:rPr>
            </w:pPr>
            <w:r w:rsidRPr="0078573D">
              <w:rPr>
                <w:rFonts w:asciiTheme="minorHAnsi" w:hAnsiTheme="minorHAnsi" w:cstheme="minorHAnsi"/>
                <w:sz w:val="17"/>
                <w:szCs w:val="17"/>
              </w:rPr>
              <w:t>5011</w:t>
            </w:r>
          </w:p>
          <w:p w:rsidR="00B15436" w:rsidRPr="0078573D" w:rsidRDefault="00B15436" w:rsidP="00B15436">
            <w:pPr>
              <w:jc w:val="center"/>
              <w:rPr>
                <w:rFonts w:asciiTheme="minorHAnsi" w:hAnsiTheme="minorHAnsi" w:cstheme="minorHAnsi"/>
                <w:sz w:val="17"/>
                <w:szCs w:val="17"/>
              </w:rPr>
            </w:pPr>
          </w:p>
          <w:p w:rsidR="00B15436" w:rsidRPr="0078573D" w:rsidRDefault="00B15436" w:rsidP="00B15436">
            <w:pPr>
              <w:jc w:val="center"/>
              <w:rPr>
                <w:rFonts w:asciiTheme="minorHAnsi" w:hAnsiTheme="minorHAnsi" w:cstheme="minorHAnsi"/>
                <w:sz w:val="17"/>
                <w:szCs w:val="17"/>
              </w:rPr>
            </w:pPr>
          </w:p>
          <w:p w:rsidR="00B15436" w:rsidRPr="0078573D" w:rsidRDefault="00B15436" w:rsidP="00B15436">
            <w:pPr>
              <w:jc w:val="center"/>
              <w:rPr>
                <w:rFonts w:asciiTheme="minorHAnsi" w:hAnsiTheme="minorHAnsi" w:cstheme="minorHAnsi"/>
                <w:sz w:val="17"/>
                <w:szCs w:val="17"/>
              </w:rPr>
            </w:pPr>
            <w:r w:rsidRPr="0078573D">
              <w:rPr>
                <w:rFonts w:asciiTheme="minorHAnsi" w:hAnsiTheme="minorHAnsi" w:cstheme="minorHAnsi"/>
                <w:sz w:val="17"/>
                <w:szCs w:val="17"/>
              </w:rPr>
              <w:t>5031</w:t>
            </w:r>
          </w:p>
          <w:p w:rsidR="00B15436" w:rsidRPr="0078573D" w:rsidRDefault="00B15436" w:rsidP="00B15436">
            <w:pPr>
              <w:jc w:val="center"/>
              <w:rPr>
                <w:rFonts w:asciiTheme="minorHAnsi" w:hAnsiTheme="minorHAnsi" w:cstheme="minorHAnsi"/>
                <w:sz w:val="17"/>
                <w:szCs w:val="17"/>
              </w:rPr>
            </w:pPr>
          </w:p>
          <w:p w:rsidR="00B15436" w:rsidRPr="0078573D" w:rsidRDefault="00B15436" w:rsidP="00B15436">
            <w:pPr>
              <w:jc w:val="center"/>
              <w:rPr>
                <w:rFonts w:asciiTheme="minorHAnsi" w:hAnsiTheme="minorHAnsi" w:cstheme="minorHAnsi"/>
                <w:sz w:val="17"/>
                <w:szCs w:val="17"/>
              </w:rPr>
            </w:pPr>
            <w:r w:rsidRPr="0078573D">
              <w:rPr>
                <w:rFonts w:asciiTheme="minorHAnsi" w:hAnsiTheme="minorHAnsi" w:cstheme="minorHAnsi"/>
                <w:sz w:val="17"/>
                <w:szCs w:val="17"/>
              </w:rPr>
              <w:t>5032</w:t>
            </w:r>
          </w:p>
          <w:p w:rsidR="00B15436" w:rsidRPr="0078573D" w:rsidRDefault="00B15436" w:rsidP="00B15436">
            <w:pPr>
              <w:jc w:val="center"/>
              <w:rPr>
                <w:rFonts w:asciiTheme="minorHAnsi" w:hAnsiTheme="minorHAnsi" w:cstheme="minorHAnsi"/>
                <w:sz w:val="17"/>
                <w:szCs w:val="17"/>
              </w:rPr>
            </w:pPr>
          </w:p>
          <w:p w:rsidR="00B15436" w:rsidRPr="0078573D" w:rsidRDefault="00B15436" w:rsidP="00B15436">
            <w:pPr>
              <w:jc w:val="center"/>
              <w:rPr>
                <w:rFonts w:asciiTheme="minorHAnsi" w:hAnsiTheme="minorHAnsi" w:cstheme="minorHAnsi"/>
                <w:sz w:val="17"/>
                <w:szCs w:val="17"/>
              </w:rPr>
            </w:pPr>
            <w:r w:rsidRPr="0078573D">
              <w:rPr>
                <w:rFonts w:asciiTheme="minorHAnsi" w:hAnsiTheme="minorHAnsi" w:cstheme="minorHAnsi"/>
                <w:sz w:val="17"/>
                <w:szCs w:val="17"/>
              </w:rPr>
              <w:t>5424</w:t>
            </w:r>
          </w:p>
          <w:p w:rsidR="00B15436" w:rsidRPr="0078573D" w:rsidRDefault="00B15436" w:rsidP="00B15436">
            <w:pPr>
              <w:jc w:val="center"/>
              <w:rPr>
                <w:rFonts w:asciiTheme="minorHAnsi" w:hAnsiTheme="minorHAnsi" w:cstheme="minorHAnsi"/>
                <w:sz w:val="17"/>
                <w:szCs w:val="17"/>
              </w:rPr>
            </w:pPr>
          </w:p>
          <w:p w:rsidR="00B15436" w:rsidRPr="0078573D" w:rsidRDefault="00B15436" w:rsidP="00B15436">
            <w:pPr>
              <w:jc w:val="center"/>
              <w:rPr>
                <w:rFonts w:asciiTheme="minorHAnsi" w:hAnsiTheme="minorHAnsi" w:cstheme="minorHAnsi"/>
                <w:sz w:val="17"/>
                <w:szCs w:val="17"/>
              </w:rPr>
            </w:pPr>
            <w:r w:rsidRPr="0078573D">
              <w:rPr>
                <w:rFonts w:asciiTheme="minorHAnsi" w:hAnsiTheme="minorHAnsi" w:cstheme="minorHAnsi"/>
                <w:sz w:val="17"/>
                <w:szCs w:val="17"/>
              </w:rPr>
              <w:t>5019</w:t>
            </w:r>
          </w:p>
          <w:p w:rsidR="00B15436" w:rsidRPr="0078573D" w:rsidRDefault="00B15436" w:rsidP="00B15436">
            <w:pPr>
              <w:jc w:val="center"/>
              <w:rPr>
                <w:rFonts w:asciiTheme="minorHAnsi" w:hAnsiTheme="minorHAnsi" w:cstheme="minorHAnsi"/>
                <w:sz w:val="17"/>
                <w:szCs w:val="17"/>
              </w:rPr>
            </w:pPr>
          </w:p>
          <w:p w:rsidR="00B15436" w:rsidRPr="0078573D" w:rsidRDefault="00B15436" w:rsidP="00B15436">
            <w:pPr>
              <w:jc w:val="center"/>
              <w:rPr>
                <w:rFonts w:asciiTheme="minorHAnsi" w:hAnsiTheme="minorHAnsi" w:cstheme="minorHAnsi"/>
                <w:sz w:val="17"/>
                <w:szCs w:val="17"/>
              </w:rPr>
            </w:pPr>
          </w:p>
          <w:p w:rsidR="00B15436" w:rsidRPr="0078573D" w:rsidRDefault="00B15436" w:rsidP="00B15436">
            <w:pPr>
              <w:jc w:val="center"/>
              <w:rPr>
                <w:rFonts w:asciiTheme="minorHAnsi" w:hAnsiTheme="minorHAnsi" w:cstheme="minorHAnsi"/>
                <w:sz w:val="17"/>
                <w:szCs w:val="17"/>
              </w:rPr>
            </w:pPr>
          </w:p>
          <w:p w:rsidR="00B15436" w:rsidRPr="0078573D" w:rsidRDefault="00B15436" w:rsidP="00B15436">
            <w:pPr>
              <w:jc w:val="center"/>
              <w:rPr>
                <w:rFonts w:asciiTheme="minorHAnsi" w:hAnsiTheme="minorHAnsi" w:cstheme="minorHAnsi"/>
                <w:sz w:val="17"/>
                <w:szCs w:val="17"/>
              </w:rPr>
            </w:pPr>
          </w:p>
          <w:p w:rsidR="00B15436" w:rsidRPr="0078573D" w:rsidRDefault="00B15436" w:rsidP="00B15436">
            <w:pPr>
              <w:jc w:val="center"/>
              <w:rPr>
                <w:rFonts w:asciiTheme="minorHAnsi" w:hAnsiTheme="minorHAnsi" w:cstheme="minorHAnsi"/>
                <w:sz w:val="17"/>
                <w:szCs w:val="17"/>
              </w:rPr>
            </w:pPr>
            <w:r w:rsidRPr="0078573D">
              <w:rPr>
                <w:rFonts w:asciiTheme="minorHAnsi" w:hAnsiTheme="minorHAnsi" w:cstheme="minorHAnsi"/>
                <w:sz w:val="17"/>
                <w:szCs w:val="17"/>
              </w:rPr>
              <w:t>5167</w:t>
            </w:r>
          </w:p>
          <w:p w:rsidR="00B15436" w:rsidRPr="0078573D" w:rsidRDefault="00B15436" w:rsidP="00B15436">
            <w:pPr>
              <w:jc w:val="center"/>
              <w:rPr>
                <w:rFonts w:asciiTheme="minorHAnsi" w:hAnsiTheme="minorHAnsi" w:cstheme="minorHAnsi"/>
                <w:sz w:val="17"/>
                <w:szCs w:val="17"/>
              </w:rPr>
            </w:pPr>
          </w:p>
          <w:p w:rsidR="00B15436" w:rsidRPr="0078573D" w:rsidRDefault="00B15436" w:rsidP="00B15436">
            <w:pPr>
              <w:jc w:val="center"/>
              <w:rPr>
                <w:rFonts w:asciiTheme="minorHAnsi" w:hAnsiTheme="minorHAnsi" w:cstheme="minorHAnsi"/>
                <w:sz w:val="17"/>
                <w:szCs w:val="17"/>
              </w:rPr>
            </w:pPr>
          </w:p>
          <w:p w:rsidR="00B15436" w:rsidRPr="0078573D" w:rsidRDefault="00B15436" w:rsidP="00B15436">
            <w:pPr>
              <w:jc w:val="center"/>
              <w:rPr>
                <w:rFonts w:asciiTheme="minorHAnsi" w:hAnsiTheme="minorHAnsi" w:cstheme="minorHAnsi"/>
                <w:sz w:val="17"/>
                <w:szCs w:val="17"/>
              </w:rPr>
            </w:pPr>
          </w:p>
          <w:p w:rsidR="00B15436" w:rsidRPr="0078573D" w:rsidRDefault="00B15436" w:rsidP="00B15436">
            <w:pPr>
              <w:jc w:val="center"/>
              <w:rPr>
                <w:rFonts w:asciiTheme="minorHAnsi" w:hAnsiTheme="minorHAnsi" w:cstheme="minorHAnsi"/>
                <w:sz w:val="17"/>
                <w:szCs w:val="17"/>
              </w:rPr>
            </w:pPr>
            <w:r w:rsidRPr="0078573D">
              <w:rPr>
                <w:rFonts w:asciiTheme="minorHAnsi" w:hAnsiTheme="minorHAnsi" w:cstheme="minorHAnsi"/>
                <w:sz w:val="17"/>
                <w:szCs w:val="17"/>
              </w:rPr>
              <w:t>5019</w:t>
            </w:r>
          </w:p>
          <w:p w:rsidR="00B15436" w:rsidRPr="0078573D" w:rsidRDefault="00B15436" w:rsidP="00B15436">
            <w:pPr>
              <w:jc w:val="center"/>
              <w:rPr>
                <w:rFonts w:asciiTheme="minorHAnsi" w:hAnsiTheme="minorHAnsi" w:cstheme="minorHAnsi"/>
                <w:sz w:val="17"/>
                <w:szCs w:val="17"/>
              </w:rPr>
            </w:pPr>
          </w:p>
          <w:p w:rsidR="00B15436" w:rsidRPr="0078573D" w:rsidRDefault="00B15436" w:rsidP="00B15436">
            <w:pPr>
              <w:jc w:val="center"/>
              <w:rPr>
                <w:rFonts w:asciiTheme="minorHAnsi" w:hAnsiTheme="minorHAnsi" w:cstheme="minorHAnsi"/>
                <w:sz w:val="17"/>
                <w:szCs w:val="17"/>
              </w:rPr>
            </w:pPr>
          </w:p>
          <w:p w:rsidR="00B15436" w:rsidRPr="0078573D" w:rsidRDefault="00B15436" w:rsidP="00B15436">
            <w:pPr>
              <w:jc w:val="center"/>
              <w:rPr>
                <w:rFonts w:asciiTheme="minorHAnsi" w:hAnsiTheme="minorHAnsi" w:cstheme="minorHAnsi"/>
                <w:sz w:val="17"/>
                <w:szCs w:val="17"/>
              </w:rPr>
            </w:pPr>
            <w:r w:rsidRPr="0078573D">
              <w:rPr>
                <w:rFonts w:asciiTheme="minorHAnsi" w:hAnsiTheme="minorHAnsi" w:cstheme="minorHAnsi"/>
                <w:sz w:val="17"/>
                <w:szCs w:val="17"/>
              </w:rPr>
              <w:t>5024</w:t>
            </w:r>
          </w:p>
          <w:p w:rsidR="00B15436" w:rsidRPr="0078573D" w:rsidRDefault="00B15436" w:rsidP="00B15436">
            <w:pPr>
              <w:jc w:val="center"/>
              <w:rPr>
                <w:rFonts w:asciiTheme="minorHAnsi" w:hAnsiTheme="minorHAnsi" w:cstheme="minorHAnsi"/>
                <w:sz w:val="17"/>
                <w:szCs w:val="17"/>
              </w:rPr>
            </w:pPr>
          </w:p>
          <w:p w:rsidR="0078573D" w:rsidRPr="0078573D" w:rsidRDefault="0078573D" w:rsidP="00B15436">
            <w:pPr>
              <w:jc w:val="center"/>
              <w:rPr>
                <w:rFonts w:asciiTheme="minorHAnsi" w:hAnsiTheme="minorHAnsi" w:cstheme="minorHAnsi"/>
                <w:sz w:val="17"/>
                <w:szCs w:val="17"/>
              </w:rPr>
            </w:pPr>
          </w:p>
          <w:p w:rsidR="00B15436" w:rsidRPr="0078573D" w:rsidRDefault="00B15436" w:rsidP="00B15436">
            <w:pPr>
              <w:jc w:val="center"/>
              <w:rPr>
                <w:rFonts w:asciiTheme="minorHAnsi" w:hAnsiTheme="minorHAnsi" w:cstheme="minorHAnsi"/>
                <w:sz w:val="17"/>
                <w:szCs w:val="17"/>
              </w:rPr>
            </w:pPr>
            <w:r w:rsidRPr="0078573D">
              <w:rPr>
                <w:rFonts w:asciiTheme="minorHAnsi" w:hAnsiTheme="minorHAnsi" w:cstheme="minorHAnsi"/>
                <w:sz w:val="17"/>
                <w:szCs w:val="17"/>
              </w:rPr>
              <w:t>5169</w:t>
            </w:r>
          </w:p>
          <w:p w:rsidR="00B15436" w:rsidRPr="0078573D" w:rsidRDefault="00B15436" w:rsidP="00B15436">
            <w:pPr>
              <w:jc w:val="center"/>
              <w:rPr>
                <w:rFonts w:asciiTheme="minorHAnsi" w:hAnsiTheme="minorHAnsi" w:cstheme="minorHAnsi"/>
                <w:sz w:val="17"/>
                <w:szCs w:val="17"/>
              </w:rPr>
            </w:pPr>
          </w:p>
          <w:p w:rsidR="0078573D" w:rsidRPr="0078573D" w:rsidRDefault="0078573D" w:rsidP="00B15436">
            <w:pPr>
              <w:jc w:val="center"/>
              <w:rPr>
                <w:rFonts w:asciiTheme="minorHAnsi" w:hAnsiTheme="minorHAnsi" w:cstheme="minorHAnsi"/>
                <w:sz w:val="17"/>
                <w:szCs w:val="17"/>
              </w:rPr>
            </w:pPr>
          </w:p>
          <w:p w:rsidR="00B15436" w:rsidRPr="0078573D" w:rsidRDefault="00B15436" w:rsidP="00B15436">
            <w:pPr>
              <w:jc w:val="center"/>
              <w:rPr>
                <w:rFonts w:asciiTheme="minorHAnsi" w:hAnsiTheme="minorHAnsi" w:cstheme="minorHAnsi"/>
                <w:sz w:val="17"/>
                <w:szCs w:val="17"/>
              </w:rPr>
            </w:pPr>
            <w:r w:rsidRPr="0078573D">
              <w:rPr>
                <w:rFonts w:asciiTheme="minorHAnsi" w:hAnsiTheme="minorHAnsi" w:cstheme="minorHAnsi"/>
                <w:sz w:val="17"/>
                <w:szCs w:val="17"/>
              </w:rPr>
              <w:t>5011</w:t>
            </w:r>
          </w:p>
          <w:p w:rsidR="00B15436" w:rsidRPr="0078573D" w:rsidRDefault="00B15436" w:rsidP="00B15436">
            <w:pPr>
              <w:jc w:val="center"/>
              <w:rPr>
                <w:rFonts w:asciiTheme="minorHAnsi" w:hAnsiTheme="minorHAnsi" w:cstheme="minorHAnsi"/>
                <w:sz w:val="17"/>
                <w:szCs w:val="17"/>
              </w:rPr>
            </w:pPr>
            <w:r w:rsidRPr="0078573D">
              <w:rPr>
                <w:rFonts w:asciiTheme="minorHAnsi" w:hAnsiTheme="minorHAnsi" w:cstheme="minorHAnsi"/>
                <w:sz w:val="17"/>
                <w:szCs w:val="17"/>
              </w:rPr>
              <w:t>5031</w:t>
            </w:r>
          </w:p>
          <w:p w:rsidR="00B15436" w:rsidRPr="0078573D" w:rsidRDefault="00B15436" w:rsidP="00B15436">
            <w:pPr>
              <w:jc w:val="center"/>
              <w:rPr>
                <w:rFonts w:asciiTheme="minorHAnsi" w:hAnsiTheme="minorHAnsi" w:cstheme="minorHAnsi"/>
                <w:sz w:val="17"/>
                <w:szCs w:val="17"/>
              </w:rPr>
            </w:pPr>
            <w:r w:rsidRPr="0078573D">
              <w:rPr>
                <w:rFonts w:asciiTheme="minorHAnsi" w:hAnsiTheme="minorHAnsi" w:cstheme="minorHAnsi"/>
                <w:sz w:val="17"/>
                <w:szCs w:val="17"/>
              </w:rPr>
              <w:t>5032</w:t>
            </w:r>
          </w:p>
        </w:tc>
        <w:tc>
          <w:tcPr>
            <w:tcW w:w="1553" w:type="dxa"/>
            <w:gridSpan w:val="8"/>
            <w:tcBorders>
              <w:top w:val="single" w:sz="6" w:space="0" w:color="auto"/>
              <w:left w:val="single" w:sz="6" w:space="0" w:color="auto"/>
              <w:bottom w:val="single" w:sz="6" w:space="0" w:color="auto"/>
              <w:right w:val="single" w:sz="6" w:space="0" w:color="auto"/>
            </w:tcBorders>
          </w:tcPr>
          <w:p w:rsidR="00B15436" w:rsidRPr="0078573D" w:rsidRDefault="00B15436" w:rsidP="00B15436">
            <w:pPr>
              <w:jc w:val="center"/>
              <w:rPr>
                <w:rFonts w:asciiTheme="minorHAnsi" w:hAnsiTheme="minorHAnsi" w:cstheme="minorHAnsi"/>
                <w:sz w:val="17"/>
                <w:szCs w:val="17"/>
              </w:rPr>
            </w:pPr>
            <w:r w:rsidRPr="0078573D">
              <w:rPr>
                <w:rFonts w:asciiTheme="minorHAnsi" w:hAnsiTheme="minorHAnsi" w:cstheme="minorHAnsi"/>
                <w:sz w:val="17"/>
                <w:szCs w:val="17"/>
              </w:rPr>
              <w:t>0140000000000</w:t>
            </w:r>
          </w:p>
          <w:p w:rsidR="00B15436" w:rsidRPr="0078573D" w:rsidRDefault="00B15436" w:rsidP="00B15436">
            <w:pPr>
              <w:jc w:val="center"/>
              <w:rPr>
                <w:rFonts w:asciiTheme="minorHAnsi" w:hAnsiTheme="minorHAnsi" w:cstheme="minorHAnsi"/>
                <w:sz w:val="17"/>
                <w:szCs w:val="17"/>
              </w:rPr>
            </w:pPr>
          </w:p>
          <w:p w:rsidR="00B15436" w:rsidRPr="0078573D" w:rsidRDefault="00B15436" w:rsidP="00B15436">
            <w:pPr>
              <w:jc w:val="center"/>
              <w:rPr>
                <w:rFonts w:asciiTheme="minorHAnsi" w:hAnsiTheme="minorHAnsi" w:cstheme="minorHAnsi"/>
                <w:sz w:val="17"/>
                <w:szCs w:val="17"/>
              </w:rPr>
            </w:pPr>
          </w:p>
          <w:p w:rsidR="00B15436" w:rsidRPr="0078573D" w:rsidRDefault="00B15436" w:rsidP="00B15436">
            <w:pPr>
              <w:jc w:val="center"/>
              <w:rPr>
                <w:rFonts w:asciiTheme="minorHAnsi" w:hAnsiTheme="minorHAnsi" w:cstheme="minorHAnsi"/>
                <w:sz w:val="17"/>
                <w:szCs w:val="17"/>
              </w:rPr>
            </w:pPr>
            <w:r w:rsidRPr="0078573D">
              <w:rPr>
                <w:rFonts w:asciiTheme="minorHAnsi" w:hAnsiTheme="minorHAnsi" w:cstheme="minorHAnsi"/>
                <w:sz w:val="17"/>
                <w:szCs w:val="17"/>
              </w:rPr>
              <w:t>0140000000000</w:t>
            </w:r>
          </w:p>
          <w:p w:rsidR="00B15436" w:rsidRPr="0078573D" w:rsidRDefault="00B15436" w:rsidP="00B15436">
            <w:pPr>
              <w:jc w:val="center"/>
              <w:rPr>
                <w:rFonts w:asciiTheme="minorHAnsi" w:hAnsiTheme="minorHAnsi" w:cstheme="minorHAnsi"/>
                <w:sz w:val="17"/>
                <w:szCs w:val="17"/>
              </w:rPr>
            </w:pPr>
          </w:p>
          <w:p w:rsidR="00B15436" w:rsidRPr="0078573D" w:rsidRDefault="00B15436" w:rsidP="00B15436">
            <w:pPr>
              <w:jc w:val="center"/>
              <w:rPr>
                <w:rFonts w:asciiTheme="minorHAnsi" w:hAnsiTheme="minorHAnsi" w:cstheme="minorHAnsi"/>
                <w:sz w:val="17"/>
                <w:szCs w:val="17"/>
              </w:rPr>
            </w:pPr>
            <w:r w:rsidRPr="0078573D">
              <w:rPr>
                <w:rFonts w:asciiTheme="minorHAnsi" w:hAnsiTheme="minorHAnsi" w:cstheme="minorHAnsi"/>
                <w:sz w:val="17"/>
                <w:szCs w:val="17"/>
              </w:rPr>
              <w:t>0140000000000</w:t>
            </w:r>
          </w:p>
          <w:p w:rsidR="00B15436" w:rsidRPr="0078573D" w:rsidRDefault="00B15436" w:rsidP="00B15436">
            <w:pPr>
              <w:jc w:val="center"/>
              <w:rPr>
                <w:rFonts w:asciiTheme="minorHAnsi" w:hAnsiTheme="minorHAnsi" w:cstheme="minorHAnsi"/>
                <w:sz w:val="17"/>
                <w:szCs w:val="17"/>
              </w:rPr>
            </w:pPr>
          </w:p>
          <w:p w:rsidR="00B15436" w:rsidRPr="0078573D" w:rsidRDefault="00B15436" w:rsidP="00B15436">
            <w:pPr>
              <w:jc w:val="center"/>
              <w:rPr>
                <w:rFonts w:asciiTheme="minorHAnsi" w:hAnsiTheme="minorHAnsi" w:cstheme="minorHAnsi"/>
                <w:sz w:val="17"/>
                <w:szCs w:val="17"/>
              </w:rPr>
            </w:pPr>
            <w:r w:rsidRPr="0078573D">
              <w:rPr>
                <w:rFonts w:asciiTheme="minorHAnsi" w:hAnsiTheme="minorHAnsi" w:cstheme="minorHAnsi"/>
                <w:sz w:val="17"/>
                <w:szCs w:val="17"/>
              </w:rPr>
              <w:t>0140000000000</w:t>
            </w:r>
          </w:p>
          <w:p w:rsidR="00B15436" w:rsidRPr="0078573D" w:rsidRDefault="00B15436" w:rsidP="00B15436">
            <w:pPr>
              <w:jc w:val="center"/>
              <w:rPr>
                <w:rFonts w:asciiTheme="minorHAnsi" w:hAnsiTheme="minorHAnsi" w:cstheme="minorHAnsi"/>
                <w:sz w:val="17"/>
                <w:szCs w:val="17"/>
              </w:rPr>
            </w:pPr>
          </w:p>
          <w:p w:rsidR="00B15436" w:rsidRPr="0078573D" w:rsidRDefault="00B15436" w:rsidP="00B15436">
            <w:pPr>
              <w:jc w:val="center"/>
              <w:rPr>
                <w:rFonts w:asciiTheme="minorHAnsi" w:hAnsiTheme="minorHAnsi" w:cstheme="minorHAnsi"/>
                <w:sz w:val="17"/>
                <w:szCs w:val="17"/>
              </w:rPr>
            </w:pPr>
            <w:r w:rsidRPr="0078573D">
              <w:rPr>
                <w:rFonts w:asciiTheme="minorHAnsi" w:hAnsiTheme="minorHAnsi" w:cstheme="minorHAnsi"/>
                <w:sz w:val="17"/>
                <w:szCs w:val="17"/>
              </w:rPr>
              <w:t>0140000000000</w:t>
            </w:r>
          </w:p>
          <w:p w:rsidR="00B15436" w:rsidRPr="0078573D" w:rsidRDefault="00B15436" w:rsidP="00B15436">
            <w:pPr>
              <w:jc w:val="center"/>
              <w:rPr>
                <w:rFonts w:asciiTheme="minorHAnsi" w:hAnsiTheme="minorHAnsi" w:cstheme="minorHAnsi"/>
                <w:sz w:val="17"/>
                <w:szCs w:val="17"/>
              </w:rPr>
            </w:pPr>
          </w:p>
          <w:p w:rsidR="00B15436" w:rsidRPr="0078573D" w:rsidRDefault="00B15436" w:rsidP="00B15436">
            <w:pPr>
              <w:jc w:val="center"/>
              <w:rPr>
                <w:rFonts w:asciiTheme="minorHAnsi" w:hAnsiTheme="minorHAnsi" w:cstheme="minorHAnsi"/>
                <w:sz w:val="17"/>
                <w:szCs w:val="17"/>
              </w:rPr>
            </w:pPr>
          </w:p>
          <w:p w:rsidR="00B15436" w:rsidRPr="0078573D" w:rsidRDefault="00B15436" w:rsidP="00B15436">
            <w:pPr>
              <w:jc w:val="center"/>
              <w:rPr>
                <w:rFonts w:asciiTheme="minorHAnsi" w:hAnsiTheme="minorHAnsi" w:cstheme="minorHAnsi"/>
                <w:sz w:val="17"/>
                <w:szCs w:val="17"/>
              </w:rPr>
            </w:pPr>
          </w:p>
          <w:p w:rsidR="00B15436" w:rsidRPr="0078573D" w:rsidRDefault="00B15436" w:rsidP="00B15436">
            <w:pPr>
              <w:jc w:val="center"/>
              <w:rPr>
                <w:rFonts w:asciiTheme="minorHAnsi" w:hAnsiTheme="minorHAnsi" w:cstheme="minorHAnsi"/>
                <w:sz w:val="17"/>
                <w:szCs w:val="17"/>
              </w:rPr>
            </w:pPr>
          </w:p>
          <w:p w:rsidR="00B15436" w:rsidRPr="0078573D" w:rsidRDefault="00B15436" w:rsidP="00B15436">
            <w:pPr>
              <w:jc w:val="center"/>
              <w:rPr>
                <w:rFonts w:asciiTheme="minorHAnsi" w:hAnsiTheme="minorHAnsi" w:cstheme="minorHAnsi"/>
                <w:sz w:val="17"/>
                <w:szCs w:val="17"/>
              </w:rPr>
            </w:pPr>
            <w:r w:rsidRPr="0078573D">
              <w:rPr>
                <w:rFonts w:asciiTheme="minorHAnsi" w:hAnsiTheme="minorHAnsi" w:cstheme="minorHAnsi"/>
                <w:sz w:val="17"/>
                <w:szCs w:val="17"/>
              </w:rPr>
              <w:t>0140000000000</w:t>
            </w:r>
          </w:p>
          <w:p w:rsidR="00B15436" w:rsidRPr="0078573D" w:rsidRDefault="00B15436" w:rsidP="00B15436">
            <w:pPr>
              <w:jc w:val="center"/>
              <w:rPr>
                <w:rFonts w:asciiTheme="minorHAnsi" w:hAnsiTheme="minorHAnsi" w:cstheme="minorHAnsi"/>
                <w:sz w:val="17"/>
                <w:szCs w:val="17"/>
              </w:rPr>
            </w:pPr>
          </w:p>
          <w:p w:rsidR="00B15436" w:rsidRPr="0078573D" w:rsidRDefault="00B15436" w:rsidP="00B15436">
            <w:pPr>
              <w:jc w:val="center"/>
              <w:rPr>
                <w:rFonts w:asciiTheme="minorHAnsi" w:hAnsiTheme="minorHAnsi" w:cstheme="minorHAnsi"/>
                <w:sz w:val="17"/>
                <w:szCs w:val="17"/>
              </w:rPr>
            </w:pPr>
          </w:p>
          <w:p w:rsidR="00B15436" w:rsidRPr="0078573D" w:rsidRDefault="00B15436" w:rsidP="00B15436">
            <w:pPr>
              <w:jc w:val="center"/>
              <w:rPr>
                <w:rFonts w:asciiTheme="minorHAnsi" w:hAnsiTheme="minorHAnsi" w:cstheme="minorHAnsi"/>
                <w:sz w:val="17"/>
                <w:szCs w:val="17"/>
              </w:rPr>
            </w:pPr>
          </w:p>
          <w:p w:rsidR="00B15436" w:rsidRPr="0078573D" w:rsidRDefault="00B15436" w:rsidP="00B15436">
            <w:pPr>
              <w:jc w:val="center"/>
              <w:rPr>
                <w:rFonts w:asciiTheme="minorHAnsi" w:hAnsiTheme="minorHAnsi" w:cstheme="minorHAnsi"/>
                <w:sz w:val="17"/>
                <w:szCs w:val="17"/>
              </w:rPr>
            </w:pPr>
            <w:r w:rsidRPr="0078573D">
              <w:rPr>
                <w:rFonts w:asciiTheme="minorHAnsi" w:hAnsiTheme="minorHAnsi" w:cstheme="minorHAnsi"/>
                <w:sz w:val="17"/>
                <w:szCs w:val="17"/>
              </w:rPr>
              <w:t>0140000000000</w:t>
            </w:r>
          </w:p>
          <w:p w:rsidR="00B15436" w:rsidRPr="0078573D" w:rsidRDefault="00B15436" w:rsidP="00B15436">
            <w:pPr>
              <w:jc w:val="center"/>
              <w:rPr>
                <w:rFonts w:asciiTheme="minorHAnsi" w:hAnsiTheme="minorHAnsi" w:cstheme="minorHAnsi"/>
                <w:sz w:val="17"/>
                <w:szCs w:val="17"/>
              </w:rPr>
            </w:pPr>
          </w:p>
          <w:p w:rsidR="00B15436" w:rsidRPr="0078573D" w:rsidRDefault="00B15436" w:rsidP="00B15436">
            <w:pPr>
              <w:jc w:val="center"/>
              <w:rPr>
                <w:rFonts w:asciiTheme="minorHAnsi" w:hAnsiTheme="minorHAnsi" w:cstheme="minorHAnsi"/>
                <w:sz w:val="17"/>
                <w:szCs w:val="17"/>
              </w:rPr>
            </w:pPr>
          </w:p>
          <w:p w:rsidR="00B15436" w:rsidRPr="0078573D" w:rsidRDefault="00B15436" w:rsidP="00B15436">
            <w:pPr>
              <w:jc w:val="center"/>
              <w:rPr>
                <w:rFonts w:asciiTheme="minorHAnsi" w:hAnsiTheme="minorHAnsi" w:cstheme="minorHAnsi"/>
                <w:sz w:val="17"/>
                <w:szCs w:val="17"/>
              </w:rPr>
            </w:pPr>
            <w:r w:rsidRPr="0078573D">
              <w:rPr>
                <w:rFonts w:asciiTheme="minorHAnsi" w:hAnsiTheme="minorHAnsi" w:cstheme="minorHAnsi"/>
                <w:sz w:val="17"/>
                <w:szCs w:val="17"/>
              </w:rPr>
              <w:t>0140000000000</w:t>
            </w:r>
          </w:p>
          <w:p w:rsidR="00B15436" w:rsidRPr="0078573D" w:rsidRDefault="00B15436" w:rsidP="00B15436">
            <w:pPr>
              <w:jc w:val="center"/>
              <w:rPr>
                <w:rFonts w:asciiTheme="minorHAnsi" w:hAnsiTheme="minorHAnsi" w:cstheme="minorHAnsi"/>
                <w:sz w:val="17"/>
                <w:szCs w:val="17"/>
              </w:rPr>
            </w:pPr>
          </w:p>
          <w:p w:rsidR="0078573D" w:rsidRPr="0078573D" w:rsidRDefault="0078573D" w:rsidP="00B15436">
            <w:pPr>
              <w:jc w:val="center"/>
              <w:rPr>
                <w:rFonts w:asciiTheme="minorHAnsi" w:hAnsiTheme="minorHAnsi" w:cstheme="minorHAnsi"/>
                <w:sz w:val="17"/>
                <w:szCs w:val="17"/>
              </w:rPr>
            </w:pPr>
          </w:p>
          <w:p w:rsidR="00B15436" w:rsidRPr="0078573D" w:rsidRDefault="00B15436" w:rsidP="00B15436">
            <w:pPr>
              <w:jc w:val="center"/>
              <w:rPr>
                <w:rFonts w:asciiTheme="minorHAnsi" w:hAnsiTheme="minorHAnsi" w:cstheme="minorHAnsi"/>
                <w:sz w:val="17"/>
                <w:szCs w:val="17"/>
              </w:rPr>
            </w:pPr>
            <w:r w:rsidRPr="0078573D">
              <w:rPr>
                <w:rFonts w:asciiTheme="minorHAnsi" w:hAnsiTheme="minorHAnsi" w:cstheme="minorHAnsi"/>
                <w:sz w:val="17"/>
                <w:szCs w:val="17"/>
              </w:rPr>
              <w:t>0140000000000</w:t>
            </w:r>
          </w:p>
          <w:p w:rsidR="00B15436" w:rsidRPr="0078573D" w:rsidRDefault="00B15436" w:rsidP="00B15436">
            <w:pPr>
              <w:jc w:val="center"/>
              <w:rPr>
                <w:rFonts w:asciiTheme="minorHAnsi" w:hAnsiTheme="minorHAnsi" w:cstheme="minorHAnsi"/>
                <w:sz w:val="17"/>
                <w:szCs w:val="17"/>
              </w:rPr>
            </w:pPr>
          </w:p>
          <w:p w:rsidR="0078573D" w:rsidRPr="0078573D" w:rsidRDefault="0078573D" w:rsidP="00B15436">
            <w:pPr>
              <w:jc w:val="center"/>
              <w:rPr>
                <w:rFonts w:asciiTheme="minorHAnsi" w:hAnsiTheme="minorHAnsi" w:cstheme="minorHAnsi"/>
                <w:sz w:val="17"/>
                <w:szCs w:val="17"/>
              </w:rPr>
            </w:pPr>
          </w:p>
          <w:p w:rsidR="00B15436" w:rsidRPr="0078573D" w:rsidRDefault="00B15436" w:rsidP="00B15436">
            <w:pPr>
              <w:jc w:val="center"/>
              <w:rPr>
                <w:rFonts w:asciiTheme="minorHAnsi" w:hAnsiTheme="minorHAnsi" w:cstheme="minorHAnsi"/>
                <w:sz w:val="17"/>
                <w:szCs w:val="17"/>
              </w:rPr>
            </w:pPr>
            <w:r w:rsidRPr="0078573D">
              <w:rPr>
                <w:rFonts w:asciiTheme="minorHAnsi" w:hAnsiTheme="minorHAnsi" w:cstheme="minorHAnsi"/>
                <w:sz w:val="17"/>
                <w:szCs w:val="17"/>
              </w:rPr>
              <w:t>0140789000000</w:t>
            </w:r>
          </w:p>
          <w:p w:rsidR="00B15436" w:rsidRPr="0078573D" w:rsidRDefault="00B15436" w:rsidP="00B15436">
            <w:pPr>
              <w:jc w:val="center"/>
              <w:rPr>
                <w:rFonts w:asciiTheme="minorHAnsi" w:hAnsiTheme="minorHAnsi" w:cstheme="minorHAnsi"/>
                <w:sz w:val="17"/>
                <w:szCs w:val="17"/>
              </w:rPr>
            </w:pPr>
            <w:r w:rsidRPr="0078573D">
              <w:rPr>
                <w:rFonts w:asciiTheme="minorHAnsi" w:hAnsiTheme="minorHAnsi" w:cstheme="minorHAnsi"/>
                <w:sz w:val="17"/>
                <w:szCs w:val="17"/>
              </w:rPr>
              <w:t>0140789000000</w:t>
            </w:r>
          </w:p>
          <w:p w:rsidR="00B15436" w:rsidRPr="0078573D" w:rsidRDefault="00B15436" w:rsidP="00B15436">
            <w:pPr>
              <w:jc w:val="center"/>
              <w:rPr>
                <w:rFonts w:asciiTheme="minorHAnsi" w:hAnsiTheme="minorHAnsi" w:cstheme="minorHAnsi"/>
                <w:sz w:val="17"/>
                <w:szCs w:val="17"/>
              </w:rPr>
            </w:pPr>
            <w:r w:rsidRPr="0078573D">
              <w:rPr>
                <w:rFonts w:asciiTheme="minorHAnsi" w:hAnsiTheme="minorHAnsi" w:cstheme="minorHAnsi"/>
                <w:sz w:val="17"/>
                <w:szCs w:val="17"/>
              </w:rPr>
              <w:t>0140789000000</w:t>
            </w:r>
          </w:p>
        </w:tc>
        <w:tc>
          <w:tcPr>
            <w:tcW w:w="1424" w:type="dxa"/>
            <w:gridSpan w:val="5"/>
            <w:tcBorders>
              <w:top w:val="single" w:sz="6" w:space="0" w:color="auto"/>
              <w:left w:val="single" w:sz="6" w:space="0" w:color="auto"/>
              <w:bottom w:val="single" w:sz="6" w:space="0" w:color="auto"/>
              <w:right w:val="single" w:sz="6" w:space="0" w:color="auto"/>
            </w:tcBorders>
          </w:tcPr>
          <w:p w:rsidR="00B15436" w:rsidRPr="0078573D" w:rsidRDefault="00B15436" w:rsidP="00B15436">
            <w:pPr>
              <w:jc w:val="center"/>
              <w:rPr>
                <w:rFonts w:asciiTheme="minorHAnsi" w:hAnsiTheme="minorHAnsi" w:cstheme="minorHAnsi"/>
                <w:sz w:val="17"/>
                <w:szCs w:val="17"/>
              </w:rPr>
            </w:pPr>
          </w:p>
          <w:p w:rsidR="00B15436" w:rsidRPr="0078573D" w:rsidRDefault="00B15436" w:rsidP="00B15436">
            <w:pPr>
              <w:jc w:val="center"/>
              <w:rPr>
                <w:rFonts w:asciiTheme="minorHAnsi" w:hAnsiTheme="minorHAnsi" w:cstheme="minorHAnsi"/>
                <w:sz w:val="17"/>
                <w:szCs w:val="17"/>
              </w:rPr>
            </w:pPr>
          </w:p>
          <w:p w:rsidR="00B15436" w:rsidRPr="0078573D" w:rsidRDefault="00B15436" w:rsidP="00B15436">
            <w:pPr>
              <w:jc w:val="center"/>
              <w:rPr>
                <w:rFonts w:asciiTheme="minorHAnsi" w:hAnsiTheme="minorHAnsi" w:cstheme="minorHAnsi"/>
                <w:sz w:val="17"/>
                <w:szCs w:val="17"/>
              </w:rPr>
            </w:pPr>
          </w:p>
          <w:p w:rsidR="00B15436" w:rsidRPr="0078573D" w:rsidRDefault="00B15436" w:rsidP="00B15436">
            <w:pPr>
              <w:jc w:val="center"/>
              <w:rPr>
                <w:rFonts w:asciiTheme="minorHAnsi" w:hAnsiTheme="minorHAnsi" w:cstheme="minorHAnsi"/>
                <w:sz w:val="17"/>
                <w:szCs w:val="17"/>
              </w:rPr>
            </w:pPr>
          </w:p>
        </w:tc>
        <w:tc>
          <w:tcPr>
            <w:tcW w:w="992" w:type="dxa"/>
            <w:tcBorders>
              <w:top w:val="single" w:sz="6" w:space="0" w:color="auto"/>
              <w:left w:val="single" w:sz="6" w:space="0" w:color="auto"/>
              <w:bottom w:val="single" w:sz="6" w:space="0" w:color="auto"/>
              <w:right w:val="single" w:sz="6" w:space="0" w:color="auto"/>
            </w:tcBorders>
          </w:tcPr>
          <w:p w:rsidR="00B15436" w:rsidRPr="0078573D" w:rsidRDefault="00E101BC" w:rsidP="00B15436">
            <w:pPr>
              <w:jc w:val="right"/>
              <w:rPr>
                <w:rFonts w:asciiTheme="minorHAnsi" w:hAnsiTheme="minorHAnsi" w:cstheme="minorHAnsi"/>
                <w:sz w:val="17"/>
                <w:szCs w:val="17"/>
              </w:rPr>
            </w:pPr>
            <w:r>
              <w:rPr>
                <w:rFonts w:asciiTheme="minorHAnsi" w:hAnsiTheme="minorHAnsi" w:cstheme="minorHAnsi"/>
                <w:sz w:val="17"/>
                <w:szCs w:val="17"/>
              </w:rPr>
              <w:t xml:space="preserve">1 </w:t>
            </w:r>
            <w:r w:rsidR="00B15436" w:rsidRPr="0078573D">
              <w:rPr>
                <w:rFonts w:asciiTheme="minorHAnsi" w:hAnsiTheme="minorHAnsi" w:cstheme="minorHAnsi"/>
                <w:sz w:val="17"/>
                <w:szCs w:val="17"/>
              </w:rPr>
              <w:t>500,00</w:t>
            </w:r>
          </w:p>
          <w:p w:rsidR="00B15436" w:rsidRPr="0078573D" w:rsidRDefault="00B15436" w:rsidP="00B15436">
            <w:pPr>
              <w:jc w:val="right"/>
              <w:rPr>
                <w:rFonts w:asciiTheme="minorHAnsi" w:hAnsiTheme="minorHAnsi" w:cstheme="minorHAnsi"/>
                <w:sz w:val="17"/>
                <w:szCs w:val="17"/>
              </w:rPr>
            </w:pPr>
          </w:p>
          <w:p w:rsidR="00B15436" w:rsidRPr="0078573D" w:rsidRDefault="00B15436" w:rsidP="00B15436">
            <w:pPr>
              <w:jc w:val="right"/>
              <w:rPr>
                <w:rFonts w:asciiTheme="minorHAnsi" w:hAnsiTheme="minorHAnsi" w:cstheme="minorHAnsi"/>
                <w:sz w:val="17"/>
                <w:szCs w:val="17"/>
              </w:rPr>
            </w:pPr>
          </w:p>
          <w:p w:rsidR="00B15436" w:rsidRPr="0078573D" w:rsidRDefault="00B15436" w:rsidP="00B15436">
            <w:pPr>
              <w:jc w:val="right"/>
              <w:rPr>
                <w:rFonts w:asciiTheme="minorHAnsi" w:hAnsiTheme="minorHAnsi" w:cstheme="minorHAnsi"/>
                <w:sz w:val="17"/>
                <w:szCs w:val="17"/>
              </w:rPr>
            </w:pPr>
            <w:r w:rsidRPr="0078573D">
              <w:rPr>
                <w:rFonts w:asciiTheme="minorHAnsi" w:hAnsiTheme="minorHAnsi" w:cstheme="minorHAnsi"/>
                <w:sz w:val="17"/>
                <w:szCs w:val="17"/>
              </w:rPr>
              <w:t>372,00</w:t>
            </w:r>
          </w:p>
          <w:p w:rsidR="00B15436" w:rsidRPr="0078573D" w:rsidRDefault="00B15436" w:rsidP="00B15436">
            <w:pPr>
              <w:jc w:val="right"/>
              <w:rPr>
                <w:rFonts w:asciiTheme="minorHAnsi" w:hAnsiTheme="minorHAnsi" w:cstheme="minorHAnsi"/>
                <w:sz w:val="17"/>
                <w:szCs w:val="17"/>
              </w:rPr>
            </w:pPr>
          </w:p>
          <w:p w:rsidR="00B15436" w:rsidRPr="0078573D" w:rsidRDefault="00B15436" w:rsidP="00B15436">
            <w:pPr>
              <w:jc w:val="right"/>
              <w:rPr>
                <w:rFonts w:asciiTheme="minorHAnsi" w:hAnsiTheme="minorHAnsi" w:cstheme="minorHAnsi"/>
                <w:sz w:val="17"/>
                <w:szCs w:val="17"/>
              </w:rPr>
            </w:pPr>
            <w:r w:rsidRPr="0078573D">
              <w:rPr>
                <w:rFonts w:asciiTheme="minorHAnsi" w:hAnsiTheme="minorHAnsi" w:cstheme="minorHAnsi"/>
                <w:sz w:val="17"/>
                <w:szCs w:val="17"/>
              </w:rPr>
              <w:t>135,00</w:t>
            </w:r>
          </w:p>
          <w:p w:rsidR="00B15436" w:rsidRPr="0078573D" w:rsidRDefault="00B15436" w:rsidP="00B15436">
            <w:pPr>
              <w:jc w:val="right"/>
              <w:rPr>
                <w:rFonts w:asciiTheme="minorHAnsi" w:hAnsiTheme="minorHAnsi" w:cstheme="minorHAnsi"/>
                <w:sz w:val="17"/>
                <w:szCs w:val="17"/>
              </w:rPr>
            </w:pPr>
          </w:p>
          <w:p w:rsidR="00B15436" w:rsidRPr="0078573D" w:rsidRDefault="00B15436" w:rsidP="00B15436">
            <w:pPr>
              <w:jc w:val="right"/>
              <w:rPr>
                <w:rFonts w:asciiTheme="minorHAnsi" w:hAnsiTheme="minorHAnsi" w:cstheme="minorHAnsi"/>
                <w:sz w:val="17"/>
                <w:szCs w:val="17"/>
              </w:rPr>
            </w:pPr>
            <w:r w:rsidRPr="0078573D">
              <w:rPr>
                <w:rFonts w:asciiTheme="minorHAnsi" w:hAnsiTheme="minorHAnsi" w:cstheme="minorHAnsi"/>
                <w:sz w:val="17"/>
                <w:szCs w:val="17"/>
              </w:rPr>
              <w:t>60,00</w:t>
            </w:r>
          </w:p>
          <w:p w:rsidR="00B15436" w:rsidRPr="0078573D" w:rsidRDefault="00B15436" w:rsidP="00B15436">
            <w:pPr>
              <w:jc w:val="right"/>
              <w:rPr>
                <w:rFonts w:asciiTheme="minorHAnsi" w:hAnsiTheme="minorHAnsi" w:cstheme="minorHAnsi"/>
                <w:sz w:val="17"/>
                <w:szCs w:val="17"/>
              </w:rPr>
            </w:pPr>
          </w:p>
          <w:p w:rsidR="00B15436" w:rsidRPr="0078573D" w:rsidRDefault="00B15436" w:rsidP="00B15436">
            <w:pPr>
              <w:jc w:val="right"/>
              <w:rPr>
                <w:rFonts w:asciiTheme="minorHAnsi" w:hAnsiTheme="minorHAnsi" w:cstheme="minorHAnsi"/>
                <w:sz w:val="17"/>
                <w:szCs w:val="17"/>
              </w:rPr>
            </w:pPr>
            <w:r w:rsidRPr="0078573D">
              <w:rPr>
                <w:rFonts w:asciiTheme="minorHAnsi" w:hAnsiTheme="minorHAnsi" w:cstheme="minorHAnsi"/>
                <w:sz w:val="17"/>
                <w:szCs w:val="17"/>
              </w:rPr>
              <w:t>70,00</w:t>
            </w:r>
          </w:p>
          <w:p w:rsidR="00B15436" w:rsidRPr="0078573D" w:rsidRDefault="00B15436" w:rsidP="00B15436">
            <w:pPr>
              <w:jc w:val="right"/>
              <w:rPr>
                <w:rFonts w:asciiTheme="minorHAnsi" w:hAnsiTheme="minorHAnsi" w:cstheme="minorHAnsi"/>
                <w:sz w:val="17"/>
                <w:szCs w:val="17"/>
              </w:rPr>
            </w:pPr>
          </w:p>
          <w:p w:rsidR="00B15436" w:rsidRPr="0078573D" w:rsidRDefault="00B15436" w:rsidP="00B15436">
            <w:pPr>
              <w:jc w:val="right"/>
              <w:rPr>
                <w:rFonts w:asciiTheme="minorHAnsi" w:hAnsiTheme="minorHAnsi" w:cstheme="minorHAnsi"/>
                <w:sz w:val="17"/>
                <w:szCs w:val="17"/>
              </w:rPr>
            </w:pPr>
          </w:p>
          <w:p w:rsidR="00B15436" w:rsidRPr="0078573D" w:rsidRDefault="00B15436" w:rsidP="00B15436">
            <w:pPr>
              <w:jc w:val="right"/>
              <w:rPr>
                <w:rFonts w:asciiTheme="minorHAnsi" w:hAnsiTheme="minorHAnsi" w:cstheme="minorHAnsi"/>
                <w:sz w:val="17"/>
                <w:szCs w:val="17"/>
              </w:rPr>
            </w:pPr>
          </w:p>
          <w:p w:rsidR="00B15436" w:rsidRPr="0078573D" w:rsidRDefault="00B15436" w:rsidP="00B15436">
            <w:pPr>
              <w:jc w:val="right"/>
              <w:rPr>
                <w:rFonts w:asciiTheme="minorHAnsi" w:hAnsiTheme="minorHAnsi" w:cstheme="minorHAnsi"/>
                <w:sz w:val="17"/>
                <w:szCs w:val="17"/>
              </w:rPr>
            </w:pPr>
          </w:p>
          <w:p w:rsidR="00B15436" w:rsidRPr="0078573D" w:rsidRDefault="00B15436" w:rsidP="00B15436">
            <w:pPr>
              <w:jc w:val="right"/>
              <w:rPr>
                <w:rFonts w:asciiTheme="minorHAnsi" w:hAnsiTheme="minorHAnsi" w:cstheme="minorHAnsi"/>
                <w:sz w:val="17"/>
                <w:szCs w:val="17"/>
              </w:rPr>
            </w:pPr>
            <w:r w:rsidRPr="0078573D">
              <w:rPr>
                <w:rFonts w:asciiTheme="minorHAnsi" w:hAnsiTheme="minorHAnsi" w:cstheme="minorHAnsi"/>
                <w:sz w:val="17"/>
                <w:szCs w:val="17"/>
              </w:rPr>
              <w:t>100,00</w:t>
            </w:r>
          </w:p>
          <w:p w:rsidR="00B15436" w:rsidRPr="0078573D" w:rsidRDefault="00B15436" w:rsidP="00B15436">
            <w:pPr>
              <w:jc w:val="right"/>
              <w:rPr>
                <w:rFonts w:asciiTheme="minorHAnsi" w:hAnsiTheme="minorHAnsi" w:cstheme="minorHAnsi"/>
                <w:sz w:val="17"/>
                <w:szCs w:val="17"/>
              </w:rPr>
            </w:pPr>
          </w:p>
          <w:p w:rsidR="00B15436" w:rsidRPr="0078573D" w:rsidRDefault="00B15436" w:rsidP="00B15436">
            <w:pPr>
              <w:jc w:val="right"/>
              <w:rPr>
                <w:rFonts w:asciiTheme="minorHAnsi" w:hAnsiTheme="minorHAnsi" w:cstheme="minorHAnsi"/>
                <w:sz w:val="17"/>
                <w:szCs w:val="17"/>
              </w:rPr>
            </w:pPr>
          </w:p>
          <w:p w:rsidR="00B15436" w:rsidRPr="0078573D" w:rsidRDefault="00B15436" w:rsidP="00B15436">
            <w:pPr>
              <w:jc w:val="right"/>
              <w:rPr>
                <w:rFonts w:asciiTheme="minorHAnsi" w:hAnsiTheme="minorHAnsi" w:cstheme="minorHAnsi"/>
                <w:sz w:val="17"/>
                <w:szCs w:val="17"/>
              </w:rPr>
            </w:pPr>
          </w:p>
          <w:p w:rsidR="00B15436" w:rsidRPr="0078573D" w:rsidRDefault="00B15436" w:rsidP="00B15436">
            <w:pPr>
              <w:jc w:val="right"/>
              <w:rPr>
                <w:rFonts w:asciiTheme="minorHAnsi" w:hAnsiTheme="minorHAnsi" w:cstheme="minorHAnsi"/>
                <w:sz w:val="17"/>
                <w:szCs w:val="17"/>
              </w:rPr>
            </w:pPr>
            <w:r w:rsidRPr="0078573D">
              <w:rPr>
                <w:rFonts w:asciiTheme="minorHAnsi" w:hAnsiTheme="minorHAnsi" w:cstheme="minorHAnsi"/>
                <w:sz w:val="17"/>
                <w:szCs w:val="17"/>
              </w:rPr>
              <w:t>5,00</w:t>
            </w:r>
          </w:p>
          <w:p w:rsidR="00B15436" w:rsidRPr="0078573D" w:rsidRDefault="00B15436" w:rsidP="00B15436">
            <w:pPr>
              <w:jc w:val="right"/>
              <w:rPr>
                <w:rFonts w:asciiTheme="minorHAnsi" w:hAnsiTheme="minorHAnsi" w:cstheme="minorHAnsi"/>
                <w:sz w:val="17"/>
                <w:szCs w:val="17"/>
              </w:rPr>
            </w:pPr>
          </w:p>
          <w:p w:rsidR="00B15436" w:rsidRPr="0078573D" w:rsidRDefault="00B15436" w:rsidP="00B15436">
            <w:pPr>
              <w:jc w:val="right"/>
              <w:rPr>
                <w:rFonts w:asciiTheme="minorHAnsi" w:hAnsiTheme="minorHAnsi" w:cstheme="minorHAnsi"/>
                <w:sz w:val="17"/>
                <w:szCs w:val="17"/>
              </w:rPr>
            </w:pPr>
          </w:p>
          <w:p w:rsidR="00B15436" w:rsidRPr="0078573D" w:rsidRDefault="00E101BC" w:rsidP="00B15436">
            <w:pPr>
              <w:jc w:val="right"/>
              <w:rPr>
                <w:rFonts w:asciiTheme="minorHAnsi" w:hAnsiTheme="minorHAnsi" w:cstheme="minorHAnsi"/>
                <w:sz w:val="17"/>
                <w:szCs w:val="17"/>
              </w:rPr>
            </w:pPr>
            <w:r>
              <w:rPr>
                <w:rFonts w:asciiTheme="minorHAnsi" w:hAnsiTheme="minorHAnsi" w:cstheme="minorHAnsi"/>
                <w:sz w:val="17"/>
                <w:szCs w:val="17"/>
              </w:rPr>
              <w:t xml:space="preserve">1 </w:t>
            </w:r>
            <w:r w:rsidR="00B15436" w:rsidRPr="0078573D">
              <w:rPr>
                <w:rFonts w:asciiTheme="minorHAnsi" w:hAnsiTheme="minorHAnsi" w:cstheme="minorHAnsi"/>
                <w:sz w:val="17"/>
                <w:szCs w:val="17"/>
              </w:rPr>
              <w:t>180,00</w:t>
            </w:r>
          </w:p>
          <w:p w:rsidR="00B15436" w:rsidRPr="0078573D" w:rsidRDefault="00B15436" w:rsidP="00B15436">
            <w:pPr>
              <w:jc w:val="right"/>
              <w:rPr>
                <w:rFonts w:asciiTheme="minorHAnsi" w:hAnsiTheme="minorHAnsi" w:cstheme="minorHAnsi"/>
                <w:sz w:val="17"/>
                <w:szCs w:val="17"/>
              </w:rPr>
            </w:pPr>
          </w:p>
          <w:p w:rsidR="0078573D" w:rsidRPr="0078573D" w:rsidRDefault="0078573D" w:rsidP="00B15436">
            <w:pPr>
              <w:jc w:val="right"/>
              <w:rPr>
                <w:rFonts w:asciiTheme="minorHAnsi" w:hAnsiTheme="minorHAnsi" w:cstheme="minorHAnsi"/>
                <w:sz w:val="17"/>
                <w:szCs w:val="17"/>
              </w:rPr>
            </w:pPr>
          </w:p>
          <w:p w:rsidR="00B15436" w:rsidRPr="0078573D" w:rsidRDefault="00B15436" w:rsidP="00B15436">
            <w:pPr>
              <w:jc w:val="right"/>
              <w:rPr>
                <w:rFonts w:asciiTheme="minorHAnsi" w:hAnsiTheme="minorHAnsi" w:cstheme="minorHAnsi"/>
                <w:sz w:val="17"/>
                <w:szCs w:val="17"/>
              </w:rPr>
            </w:pPr>
            <w:r w:rsidRPr="0078573D">
              <w:rPr>
                <w:rFonts w:asciiTheme="minorHAnsi" w:hAnsiTheme="minorHAnsi" w:cstheme="minorHAnsi"/>
                <w:sz w:val="17"/>
                <w:szCs w:val="17"/>
              </w:rPr>
              <w:t>30,00</w:t>
            </w:r>
          </w:p>
          <w:p w:rsidR="00B15436" w:rsidRPr="0078573D" w:rsidRDefault="00B15436" w:rsidP="00B15436">
            <w:pPr>
              <w:jc w:val="right"/>
              <w:rPr>
                <w:rFonts w:asciiTheme="minorHAnsi" w:hAnsiTheme="minorHAnsi" w:cstheme="minorHAnsi"/>
                <w:sz w:val="17"/>
                <w:szCs w:val="17"/>
              </w:rPr>
            </w:pPr>
          </w:p>
          <w:p w:rsidR="0078573D" w:rsidRPr="0078573D" w:rsidRDefault="0078573D" w:rsidP="00B15436">
            <w:pPr>
              <w:jc w:val="right"/>
              <w:rPr>
                <w:rFonts w:asciiTheme="minorHAnsi" w:hAnsiTheme="minorHAnsi" w:cstheme="minorHAnsi"/>
                <w:sz w:val="17"/>
                <w:szCs w:val="17"/>
              </w:rPr>
            </w:pPr>
          </w:p>
          <w:p w:rsidR="00B15436" w:rsidRPr="0078573D" w:rsidRDefault="00B15436" w:rsidP="00B15436">
            <w:pPr>
              <w:jc w:val="right"/>
              <w:rPr>
                <w:rFonts w:asciiTheme="minorHAnsi" w:hAnsiTheme="minorHAnsi" w:cstheme="minorHAnsi"/>
                <w:sz w:val="17"/>
                <w:szCs w:val="17"/>
              </w:rPr>
            </w:pPr>
            <w:r w:rsidRPr="0078573D">
              <w:rPr>
                <w:rFonts w:asciiTheme="minorHAnsi" w:hAnsiTheme="minorHAnsi" w:cstheme="minorHAnsi"/>
                <w:sz w:val="17"/>
                <w:szCs w:val="17"/>
              </w:rPr>
              <w:t>64,56</w:t>
            </w:r>
          </w:p>
          <w:p w:rsidR="00B15436" w:rsidRPr="0078573D" w:rsidRDefault="00B15436" w:rsidP="00B15436">
            <w:pPr>
              <w:jc w:val="right"/>
              <w:rPr>
                <w:rFonts w:asciiTheme="minorHAnsi" w:hAnsiTheme="minorHAnsi" w:cstheme="minorHAnsi"/>
                <w:sz w:val="17"/>
                <w:szCs w:val="17"/>
              </w:rPr>
            </w:pPr>
            <w:r w:rsidRPr="0078573D">
              <w:rPr>
                <w:rFonts w:asciiTheme="minorHAnsi" w:hAnsiTheme="minorHAnsi" w:cstheme="minorHAnsi"/>
                <w:sz w:val="17"/>
                <w:szCs w:val="17"/>
              </w:rPr>
              <w:t>16,01</w:t>
            </w:r>
          </w:p>
          <w:p w:rsidR="00B15436" w:rsidRPr="0078573D" w:rsidRDefault="00B15436" w:rsidP="00B15436">
            <w:pPr>
              <w:jc w:val="right"/>
              <w:rPr>
                <w:rFonts w:asciiTheme="minorHAnsi" w:hAnsiTheme="minorHAnsi" w:cstheme="minorHAnsi"/>
                <w:sz w:val="17"/>
                <w:szCs w:val="17"/>
              </w:rPr>
            </w:pPr>
            <w:r w:rsidRPr="0078573D">
              <w:rPr>
                <w:rFonts w:asciiTheme="minorHAnsi" w:hAnsiTheme="minorHAnsi" w:cstheme="minorHAnsi"/>
                <w:sz w:val="17"/>
                <w:szCs w:val="17"/>
              </w:rPr>
              <w:t>5,81</w:t>
            </w:r>
          </w:p>
        </w:tc>
        <w:tc>
          <w:tcPr>
            <w:tcW w:w="1134" w:type="dxa"/>
            <w:gridSpan w:val="7"/>
            <w:tcBorders>
              <w:top w:val="single" w:sz="6" w:space="0" w:color="auto"/>
              <w:left w:val="single" w:sz="6" w:space="0" w:color="auto"/>
              <w:bottom w:val="single" w:sz="6" w:space="0" w:color="auto"/>
              <w:right w:val="single" w:sz="6" w:space="0" w:color="auto"/>
            </w:tcBorders>
          </w:tcPr>
          <w:p w:rsidR="00B15436" w:rsidRPr="0078573D" w:rsidRDefault="00E101BC" w:rsidP="00B15436">
            <w:pPr>
              <w:jc w:val="right"/>
              <w:rPr>
                <w:rFonts w:asciiTheme="minorHAnsi" w:hAnsiTheme="minorHAnsi" w:cstheme="minorHAnsi"/>
                <w:sz w:val="17"/>
                <w:szCs w:val="17"/>
              </w:rPr>
            </w:pPr>
            <w:r>
              <w:rPr>
                <w:rFonts w:asciiTheme="minorHAnsi" w:hAnsiTheme="minorHAnsi" w:cstheme="minorHAnsi"/>
                <w:sz w:val="17"/>
                <w:szCs w:val="17"/>
              </w:rPr>
              <w:t xml:space="preserve">1 </w:t>
            </w:r>
            <w:r w:rsidR="00B15436" w:rsidRPr="0078573D">
              <w:rPr>
                <w:rFonts w:asciiTheme="minorHAnsi" w:hAnsiTheme="minorHAnsi" w:cstheme="minorHAnsi"/>
                <w:sz w:val="17"/>
                <w:szCs w:val="17"/>
              </w:rPr>
              <w:t>038,90</w:t>
            </w:r>
          </w:p>
          <w:p w:rsidR="00B15436" w:rsidRPr="0078573D" w:rsidRDefault="00B15436" w:rsidP="00B15436">
            <w:pPr>
              <w:jc w:val="right"/>
              <w:rPr>
                <w:rFonts w:asciiTheme="minorHAnsi" w:hAnsiTheme="minorHAnsi" w:cstheme="minorHAnsi"/>
                <w:sz w:val="17"/>
                <w:szCs w:val="17"/>
              </w:rPr>
            </w:pPr>
          </w:p>
          <w:p w:rsidR="00B15436" w:rsidRPr="0078573D" w:rsidRDefault="00B15436" w:rsidP="00B15436">
            <w:pPr>
              <w:jc w:val="right"/>
              <w:rPr>
                <w:rFonts w:asciiTheme="minorHAnsi" w:hAnsiTheme="minorHAnsi" w:cstheme="minorHAnsi"/>
                <w:sz w:val="17"/>
                <w:szCs w:val="17"/>
              </w:rPr>
            </w:pPr>
          </w:p>
          <w:p w:rsidR="00B15436" w:rsidRPr="0078573D" w:rsidRDefault="00B15436" w:rsidP="00B15436">
            <w:pPr>
              <w:jc w:val="right"/>
              <w:rPr>
                <w:rFonts w:asciiTheme="minorHAnsi" w:hAnsiTheme="minorHAnsi" w:cstheme="minorHAnsi"/>
                <w:sz w:val="17"/>
                <w:szCs w:val="17"/>
              </w:rPr>
            </w:pPr>
            <w:r w:rsidRPr="0078573D">
              <w:rPr>
                <w:rFonts w:asciiTheme="minorHAnsi" w:hAnsiTheme="minorHAnsi" w:cstheme="minorHAnsi"/>
                <w:sz w:val="17"/>
                <w:szCs w:val="17"/>
              </w:rPr>
              <w:t>257,65</w:t>
            </w:r>
          </w:p>
          <w:p w:rsidR="00B15436" w:rsidRPr="0078573D" w:rsidRDefault="00B15436" w:rsidP="00B15436">
            <w:pPr>
              <w:jc w:val="right"/>
              <w:rPr>
                <w:rFonts w:asciiTheme="minorHAnsi" w:hAnsiTheme="minorHAnsi" w:cstheme="minorHAnsi"/>
                <w:sz w:val="17"/>
                <w:szCs w:val="17"/>
              </w:rPr>
            </w:pPr>
          </w:p>
          <w:p w:rsidR="00B15436" w:rsidRPr="0078573D" w:rsidRDefault="00B15436" w:rsidP="00B15436">
            <w:pPr>
              <w:jc w:val="right"/>
              <w:rPr>
                <w:rFonts w:asciiTheme="minorHAnsi" w:hAnsiTheme="minorHAnsi" w:cstheme="minorHAnsi"/>
                <w:sz w:val="17"/>
                <w:szCs w:val="17"/>
              </w:rPr>
            </w:pPr>
            <w:r w:rsidRPr="0078573D">
              <w:rPr>
                <w:rFonts w:asciiTheme="minorHAnsi" w:hAnsiTheme="minorHAnsi" w:cstheme="minorHAnsi"/>
                <w:sz w:val="17"/>
                <w:szCs w:val="17"/>
              </w:rPr>
              <w:t>93,50</w:t>
            </w:r>
          </w:p>
          <w:p w:rsidR="00B15436" w:rsidRPr="0078573D" w:rsidRDefault="00B15436" w:rsidP="00B15436">
            <w:pPr>
              <w:jc w:val="right"/>
              <w:rPr>
                <w:rFonts w:asciiTheme="minorHAnsi" w:hAnsiTheme="minorHAnsi" w:cstheme="minorHAnsi"/>
                <w:sz w:val="17"/>
                <w:szCs w:val="17"/>
              </w:rPr>
            </w:pPr>
          </w:p>
          <w:p w:rsidR="00B15436" w:rsidRPr="0078573D" w:rsidRDefault="00B15436" w:rsidP="00B15436">
            <w:pPr>
              <w:jc w:val="right"/>
              <w:rPr>
                <w:rFonts w:asciiTheme="minorHAnsi" w:hAnsiTheme="minorHAnsi" w:cstheme="minorHAnsi"/>
                <w:sz w:val="17"/>
                <w:szCs w:val="17"/>
              </w:rPr>
            </w:pPr>
            <w:r w:rsidRPr="0078573D">
              <w:rPr>
                <w:rFonts w:asciiTheme="minorHAnsi" w:hAnsiTheme="minorHAnsi" w:cstheme="minorHAnsi"/>
                <w:sz w:val="17"/>
                <w:szCs w:val="17"/>
              </w:rPr>
              <w:t>0,00</w:t>
            </w:r>
          </w:p>
          <w:p w:rsidR="00B15436" w:rsidRPr="0078573D" w:rsidRDefault="00B15436" w:rsidP="00B15436">
            <w:pPr>
              <w:jc w:val="right"/>
              <w:rPr>
                <w:rFonts w:asciiTheme="minorHAnsi" w:hAnsiTheme="minorHAnsi" w:cstheme="minorHAnsi"/>
                <w:sz w:val="17"/>
                <w:szCs w:val="17"/>
              </w:rPr>
            </w:pPr>
          </w:p>
          <w:p w:rsidR="00B15436" w:rsidRPr="0078573D" w:rsidRDefault="00B15436" w:rsidP="00B15436">
            <w:pPr>
              <w:jc w:val="right"/>
              <w:rPr>
                <w:rFonts w:asciiTheme="minorHAnsi" w:hAnsiTheme="minorHAnsi" w:cstheme="minorHAnsi"/>
                <w:sz w:val="17"/>
                <w:szCs w:val="17"/>
              </w:rPr>
            </w:pPr>
            <w:r w:rsidRPr="0078573D">
              <w:rPr>
                <w:rFonts w:asciiTheme="minorHAnsi" w:hAnsiTheme="minorHAnsi" w:cstheme="minorHAnsi"/>
                <w:sz w:val="17"/>
                <w:szCs w:val="17"/>
              </w:rPr>
              <w:t>37,84</w:t>
            </w:r>
          </w:p>
          <w:p w:rsidR="00B15436" w:rsidRPr="0078573D" w:rsidRDefault="00B15436" w:rsidP="00B15436">
            <w:pPr>
              <w:jc w:val="right"/>
              <w:rPr>
                <w:rFonts w:asciiTheme="minorHAnsi" w:hAnsiTheme="minorHAnsi" w:cstheme="minorHAnsi"/>
                <w:sz w:val="17"/>
                <w:szCs w:val="17"/>
              </w:rPr>
            </w:pPr>
          </w:p>
          <w:p w:rsidR="00B15436" w:rsidRPr="0078573D" w:rsidRDefault="00B15436" w:rsidP="00B15436">
            <w:pPr>
              <w:jc w:val="right"/>
              <w:rPr>
                <w:rFonts w:asciiTheme="minorHAnsi" w:hAnsiTheme="minorHAnsi" w:cstheme="minorHAnsi"/>
                <w:sz w:val="17"/>
                <w:szCs w:val="17"/>
              </w:rPr>
            </w:pPr>
          </w:p>
          <w:p w:rsidR="00B15436" w:rsidRPr="0078573D" w:rsidRDefault="00B15436" w:rsidP="00B15436">
            <w:pPr>
              <w:jc w:val="right"/>
              <w:rPr>
                <w:rFonts w:asciiTheme="minorHAnsi" w:hAnsiTheme="minorHAnsi" w:cstheme="minorHAnsi"/>
                <w:sz w:val="17"/>
                <w:szCs w:val="17"/>
              </w:rPr>
            </w:pPr>
          </w:p>
          <w:p w:rsidR="00B15436" w:rsidRPr="0078573D" w:rsidRDefault="00B15436" w:rsidP="00B15436">
            <w:pPr>
              <w:jc w:val="right"/>
              <w:rPr>
                <w:rFonts w:asciiTheme="minorHAnsi" w:hAnsiTheme="minorHAnsi" w:cstheme="minorHAnsi"/>
                <w:sz w:val="17"/>
                <w:szCs w:val="17"/>
              </w:rPr>
            </w:pPr>
          </w:p>
          <w:p w:rsidR="00B15436" w:rsidRPr="0078573D" w:rsidRDefault="00B15436" w:rsidP="00B15436">
            <w:pPr>
              <w:jc w:val="right"/>
              <w:rPr>
                <w:rFonts w:asciiTheme="minorHAnsi" w:hAnsiTheme="minorHAnsi" w:cstheme="minorHAnsi"/>
                <w:sz w:val="17"/>
                <w:szCs w:val="17"/>
              </w:rPr>
            </w:pPr>
            <w:r w:rsidRPr="0078573D">
              <w:rPr>
                <w:rFonts w:asciiTheme="minorHAnsi" w:hAnsiTheme="minorHAnsi" w:cstheme="minorHAnsi"/>
                <w:sz w:val="17"/>
                <w:szCs w:val="17"/>
              </w:rPr>
              <w:t>11,95</w:t>
            </w:r>
          </w:p>
          <w:p w:rsidR="00B15436" w:rsidRPr="0078573D" w:rsidRDefault="00B15436" w:rsidP="00B15436">
            <w:pPr>
              <w:jc w:val="right"/>
              <w:rPr>
                <w:rFonts w:asciiTheme="minorHAnsi" w:hAnsiTheme="minorHAnsi" w:cstheme="minorHAnsi"/>
                <w:sz w:val="17"/>
                <w:szCs w:val="17"/>
              </w:rPr>
            </w:pPr>
          </w:p>
          <w:p w:rsidR="00B15436" w:rsidRPr="0078573D" w:rsidRDefault="00B15436" w:rsidP="00B15436">
            <w:pPr>
              <w:jc w:val="right"/>
              <w:rPr>
                <w:rFonts w:asciiTheme="minorHAnsi" w:hAnsiTheme="minorHAnsi" w:cstheme="minorHAnsi"/>
                <w:sz w:val="17"/>
                <w:szCs w:val="17"/>
              </w:rPr>
            </w:pPr>
          </w:p>
          <w:p w:rsidR="00B15436" w:rsidRPr="0078573D" w:rsidRDefault="00B15436" w:rsidP="00B15436">
            <w:pPr>
              <w:jc w:val="right"/>
              <w:rPr>
                <w:rFonts w:asciiTheme="minorHAnsi" w:hAnsiTheme="minorHAnsi" w:cstheme="minorHAnsi"/>
                <w:sz w:val="17"/>
                <w:szCs w:val="17"/>
              </w:rPr>
            </w:pPr>
          </w:p>
          <w:p w:rsidR="00B15436" w:rsidRPr="0078573D" w:rsidRDefault="00B15436" w:rsidP="00B15436">
            <w:pPr>
              <w:jc w:val="right"/>
              <w:rPr>
                <w:rFonts w:asciiTheme="minorHAnsi" w:hAnsiTheme="minorHAnsi" w:cstheme="minorHAnsi"/>
                <w:sz w:val="17"/>
                <w:szCs w:val="17"/>
              </w:rPr>
            </w:pPr>
            <w:r w:rsidRPr="0078573D">
              <w:rPr>
                <w:rFonts w:asciiTheme="minorHAnsi" w:hAnsiTheme="minorHAnsi" w:cstheme="minorHAnsi"/>
                <w:sz w:val="17"/>
                <w:szCs w:val="17"/>
              </w:rPr>
              <w:t>0,00</w:t>
            </w:r>
          </w:p>
          <w:p w:rsidR="00B15436" w:rsidRPr="0078573D" w:rsidRDefault="00B15436" w:rsidP="00B15436">
            <w:pPr>
              <w:jc w:val="right"/>
              <w:rPr>
                <w:rFonts w:asciiTheme="minorHAnsi" w:hAnsiTheme="minorHAnsi" w:cstheme="minorHAnsi"/>
                <w:sz w:val="17"/>
                <w:szCs w:val="17"/>
              </w:rPr>
            </w:pPr>
          </w:p>
          <w:p w:rsidR="00B15436" w:rsidRPr="0078573D" w:rsidRDefault="00B15436" w:rsidP="00B15436">
            <w:pPr>
              <w:jc w:val="right"/>
              <w:rPr>
                <w:rFonts w:asciiTheme="minorHAnsi" w:hAnsiTheme="minorHAnsi" w:cstheme="minorHAnsi"/>
                <w:sz w:val="17"/>
                <w:szCs w:val="17"/>
              </w:rPr>
            </w:pPr>
          </w:p>
          <w:p w:rsidR="00B15436" w:rsidRPr="0078573D" w:rsidRDefault="00B15436" w:rsidP="00B15436">
            <w:pPr>
              <w:jc w:val="right"/>
              <w:rPr>
                <w:rFonts w:asciiTheme="minorHAnsi" w:hAnsiTheme="minorHAnsi" w:cstheme="minorHAnsi"/>
                <w:sz w:val="17"/>
                <w:szCs w:val="17"/>
              </w:rPr>
            </w:pPr>
            <w:r w:rsidRPr="0078573D">
              <w:rPr>
                <w:rFonts w:asciiTheme="minorHAnsi" w:hAnsiTheme="minorHAnsi" w:cstheme="minorHAnsi"/>
                <w:sz w:val="17"/>
                <w:szCs w:val="17"/>
              </w:rPr>
              <w:t>824,22</w:t>
            </w:r>
          </w:p>
          <w:p w:rsidR="00B15436" w:rsidRPr="0078573D" w:rsidRDefault="00B15436" w:rsidP="00B15436">
            <w:pPr>
              <w:jc w:val="right"/>
              <w:rPr>
                <w:rFonts w:asciiTheme="minorHAnsi" w:hAnsiTheme="minorHAnsi" w:cstheme="minorHAnsi"/>
                <w:sz w:val="17"/>
                <w:szCs w:val="17"/>
              </w:rPr>
            </w:pPr>
          </w:p>
          <w:p w:rsidR="0078573D" w:rsidRPr="0078573D" w:rsidRDefault="0078573D" w:rsidP="00B15436">
            <w:pPr>
              <w:jc w:val="right"/>
              <w:rPr>
                <w:rFonts w:asciiTheme="minorHAnsi" w:hAnsiTheme="minorHAnsi" w:cstheme="minorHAnsi"/>
                <w:sz w:val="17"/>
                <w:szCs w:val="17"/>
              </w:rPr>
            </w:pPr>
          </w:p>
          <w:p w:rsidR="00B15436" w:rsidRPr="0078573D" w:rsidRDefault="00B15436" w:rsidP="00B15436">
            <w:pPr>
              <w:jc w:val="right"/>
              <w:rPr>
                <w:rFonts w:asciiTheme="minorHAnsi" w:hAnsiTheme="minorHAnsi" w:cstheme="minorHAnsi"/>
                <w:sz w:val="17"/>
                <w:szCs w:val="17"/>
              </w:rPr>
            </w:pPr>
            <w:r w:rsidRPr="0078573D">
              <w:rPr>
                <w:rFonts w:asciiTheme="minorHAnsi" w:hAnsiTheme="minorHAnsi" w:cstheme="minorHAnsi"/>
                <w:sz w:val="17"/>
                <w:szCs w:val="17"/>
              </w:rPr>
              <w:t>12,26</w:t>
            </w:r>
          </w:p>
          <w:p w:rsidR="00B15436" w:rsidRPr="0078573D" w:rsidRDefault="00B15436" w:rsidP="00B15436">
            <w:pPr>
              <w:jc w:val="right"/>
              <w:rPr>
                <w:rFonts w:asciiTheme="minorHAnsi" w:hAnsiTheme="minorHAnsi" w:cstheme="minorHAnsi"/>
                <w:sz w:val="17"/>
                <w:szCs w:val="17"/>
              </w:rPr>
            </w:pPr>
          </w:p>
          <w:p w:rsidR="0078573D" w:rsidRPr="0078573D" w:rsidRDefault="0078573D" w:rsidP="00B15436">
            <w:pPr>
              <w:jc w:val="right"/>
              <w:rPr>
                <w:rFonts w:asciiTheme="minorHAnsi" w:hAnsiTheme="minorHAnsi" w:cstheme="minorHAnsi"/>
                <w:sz w:val="17"/>
                <w:szCs w:val="17"/>
              </w:rPr>
            </w:pPr>
          </w:p>
          <w:p w:rsidR="00B15436" w:rsidRPr="0078573D" w:rsidRDefault="00B15436" w:rsidP="00B15436">
            <w:pPr>
              <w:jc w:val="right"/>
              <w:rPr>
                <w:rFonts w:asciiTheme="minorHAnsi" w:hAnsiTheme="minorHAnsi" w:cstheme="minorHAnsi"/>
                <w:sz w:val="17"/>
                <w:szCs w:val="17"/>
              </w:rPr>
            </w:pPr>
            <w:r w:rsidRPr="0078573D">
              <w:rPr>
                <w:rFonts w:asciiTheme="minorHAnsi" w:hAnsiTheme="minorHAnsi" w:cstheme="minorHAnsi"/>
                <w:sz w:val="17"/>
                <w:szCs w:val="17"/>
              </w:rPr>
              <w:t>36,59</w:t>
            </w:r>
          </w:p>
          <w:p w:rsidR="00B15436" w:rsidRPr="0078573D" w:rsidRDefault="00B15436" w:rsidP="00B15436">
            <w:pPr>
              <w:jc w:val="right"/>
              <w:rPr>
                <w:rFonts w:asciiTheme="minorHAnsi" w:hAnsiTheme="minorHAnsi" w:cstheme="minorHAnsi"/>
                <w:sz w:val="17"/>
                <w:szCs w:val="17"/>
              </w:rPr>
            </w:pPr>
            <w:r w:rsidRPr="0078573D">
              <w:rPr>
                <w:rFonts w:asciiTheme="minorHAnsi" w:hAnsiTheme="minorHAnsi" w:cstheme="minorHAnsi"/>
                <w:sz w:val="17"/>
                <w:szCs w:val="17"/>
              </w:rPr>
              <w:t>9,07</w:t>
            </w:r>
          </w:p>
          <w:p w:rsidR="00B15436" w:rsidRPr="0078573D" w:rsidRDefault="00B15436" w:rsidP="00B15436">
            <w:pPr>
              <w:jc w:val="right"/>
              <w:rPr>
                <w:rFonts w:asciiTheme="minorHAnsi" w:hAnsiTheme="minorHAnsi" w:cstheme="minorHAnsi"/>
                <w:sz w:val="17"/>
                <w:szCs w:val="17"/>
              </w:rPr>
            </w:pPr>
            <w:r w:rsidRPr="0078573D">
              <w:rPr>
                <w:rFonts w:asciiTheme="minorHAnsi" w:hAnsiTheme="minorHAnsi" w:cstheme="minorHAnsi"/>
                <w:sz w:val="17"/>
                <w:szCs w:val="17"/>
              </w:rPr>
              <w:t>3,29</w:t>
            </w:r>
          </w:p>
        </w:tc>
        <w:tc>
          <w:tcPr>
            <w:tcW w:w="3260" w:type="dxa"/>
            <w:gridSpan w:val="16"/>
            <w:tcBorders>
              <w:top w:val="single" w:sz="6" w:space="0" w:color="auto"/>
              <w:left w:val="single" w:sz="6" w:space="0" w:color="auto"/>
              <w:bottom w:val="single" w:sz="6" w:space="0" w:color="auto"/>
              <w:right w:val="single" w:sz="6" w:space="0" w:color="auto"/>
            </w:tcBorders>
          </w:tcPr>
          <w:p w:rsidR="00B15436" w:rsidRPr="0078573D" w:rsidRDefault="00B15436" w:rsidP="00B15436">
            <w:pPr>
              <w:rPr>
                <w:rFonts w:asciiTheme="minorHAnsi" w:hAnsiTheme="minorHAnsi" w:cstheme="minorHAnsi"/>
                <w:b/>
                <w:sz w:val="17"/>
                <w:szCs w:val="17"/>
                <w:u w:val="single"/>
              </w:rPr>
            </w:pPr>
            <w:r w:rsidRPr="0078573D">
              <w:rPr>
                <w:rFonts w:asciiTheme="minorHAnsi" w:hAnsiTheme="minorHAnsi" w:cstheme="minorHAnsi"/>
                <w:b/>
                <w:sz w:val="17"/>
                <w:szCs w:val="17"/>
                <w:u w:val="single"/>
              </w:rPr>
              <w:t>Platy zaměstnanců v pracovním poměru</w:t>
            </w:r>
          </w:p>
          <w:p w:rsidR="00B15436" w:rsidRPr="0078573D" w:rsidRDefault="00B15436" w:rsidP="00B15436">
            <w:pPr>
              <w:rPr>
                <w:rFonts w:asciiTheme="minorHAnsi" w:hAnsiTheme="minorHAnsi" w:cstheme="minorHAnsi"/>
                <w:sz w:val="17"/>
                <w:szCs w:val="17"/>
              </w:rPr>
            </w:pPr>
            <w:r w:rsidRPr="0078573D">
              <w:rPr>
                <w:rFonts w:asciiTheme="minorHAnsi" w:hAnsiTheme="minorHAnsi" w:cstheme="minorHAnsi"/>
                <w:sz w:val="17"/>
                <w:szCs w:val="17"/>
              </w:rPr>
              <w:t>Zaměstnanci vykonávající veřejně prospěšné práce. Čerpání ovlivněno pracovním trhem.</w:t>
            </w:r>
          </w:p>
          <w:p w:rsidR="00B15436" w:rsidRPr="0078573D" w:rsidRDefault="00B15436" w:rsidP="00B15436">
            <w:pPr>
              <w:rPr>
                <w:rFonts w:asciiTheme="minorHAnsi" w:hAnsiTheme="minorHAnsi" w:cstheme="minorHAnsi"/>
                <w:b/>
                <w:sz w:val="17"/>
                <w:szCs w:val="17"/>
                <w:u w:val="single"/>
              </w:rPr>
            </w:pPr>
            <w:r w:rsidRPr="0078573D">
              <w:rPr>
                <w:rFonts w:asciiTheme="minorHAnsi" w:hAnsiTheme="minorHAnsi" w:cstheme="minorHAnsi"/>
                <w:b/>
                <w:sz w:val="17"/>
                <w:szCs w:val="17"/>
                <w:u w:val="single"/>
              </w:rPr>
              <w:t>Povinné pojistné na sociální zabezpečení</w:t>
            </w:r>
          </w:p>
          <w:p w:rsidR="00B15436" w:rsidRPr="0078573D" w:rsidRDefault="00B15436" w:rsidP="00B15436">
            <w:pPr>
              <w:rPr>
                <w:rFonts w:asciiTheme="minorHAnsi" w:hAnsiTheme="minorHAnsi" w:cstheme="minorHAnsi"/>
                <w:sz w:val="17"/>
                <w:szCs w:val="17"/>
              </w:rPr>
            </w:pPr>
            <w:r w:rsidRPr="0078573D">
              <w:rPr>
                <w:rFonts w:asciiTheme="minorHAnsi" w:hAnsiTheme="minorHAnsi" w:cstheme="minorHAnsi"/>
                <w:sz w:val="17"/>
                <w:szCs w:val="17"/>
              </w:rPr>
              <w:t>Sociální pojistné zaměstnanců VPP.</w:t>
            </w:r>
          </w:p>
          <w:p w:rsidR="00B15436" w:rsidRPr="0078573D" w:rsidRDefault="00B15436" w:rsidP="00B15436">
            <w:pPr>
              <w:rPr>
                <w:rFonts w:asciiTheme="minorHAnsi" w:hAnsiTheme="minorHAnsi" w:cstheme="minorHAnsi"/>
                <w:b/>
                <w:sz w:val="17"/>
                <w:szCs w:val="17"/>
                <w:u w:val="single"/>
              </w:rPr>
            </w:pPr>
            <w:r w:rsidRPr="0078573D">
              <w:rPr>
                <w:rFonts w:asciiTheme="minorHAnsi" w:hAnsiTheme="minorHAnsi" w:cstheme="minorHAnsi"/>
                <w:b/>
                <w:sz w:val="17"/>
                <w:szCs w:val="17"/>
                <w:u w:val="single"/>
              </w:rPr>
              <w:t>Povinné zdravotní pojištění</w:t>
            </w:r>
          </w:p>
          <w:p w:rsidR="00B15436" w:rsidRPr="0078573D" w:rsidRDefault="00B15436" w:rsidP="00B15436">
            <w:pPr>
              <w:rPr>
                <w:rFonts w:asciiTheme="minorHAnsi" w:hAnsiTheme="minorHAnsi" w:cstheme="minorHAnsi"/>
                <w:sz w:val="17"/>
                <w:szCs w:val="17"/>
              </w:rPr>
            </w:pPr>
            <w:r w:rsidRPr="0078573D">
              <w:rPr>
                <w:rFonts w:asciiTheme="minorHAnsi" w:hAnsiTheme="minorHAnsi" w:cstheme="minorHAnsi"/>
                <w:sz w:val="17"/>
                <w:szCs w:val="17"/>
              </w:rPr>
              <w:t>Zdravotní pojistné zaměstnanců VPP.</w:t>
            </w:r>
          </w:p>
          <w:p w:rsidR="00B15436" w:rsidRPr="0078573D" w:rsidRDefault="00B15436" w:rsidP="00B15436">
            <w:pPr>
              <w:rPr>
                <w:rFonts w:asciiTheme="minorHAnsi" w:hAnsiTheme="minorHAnsi" w:cstheme="minorHAnsi"/>
                <w:b/>
                <w:sz w:val="17"/>
                <w:szCs w:val="17"/>
                <w:u w:val="single"/>
              </w:rPr>
            </w:pPr>
            <w:r w:rsidRPr="0078573D">
              <w:rPr>
                <w:rFonts w:asciiTheme="minorHAnsi" w:hAnsiTheme="minorHAnsi" w:cstheme="minorHAnsi"/>
                <w:b/>
                <w:sz w:val="17"/>
                <w:szCs w:val="17"/>
                <w:u w:val="single"/>
              </w:rPr>
              <w:t>Náhrady mezd v době nemoci</w:t>
            </w:r>
          </w:p>
          <w:p w:rsidR="00B15436" w:rsidRPr="0078573D" w:rsidRDefault="00B15436" w:rsidP="00B15436">
            <w:pPr>
              <w:rPr>
                <w:rFonts w:asciiTheme="minorHAnsi" w:hAnsiTheme="minorHAnsi" w:cstheme="minorHAnsi"/>
                <w:sz w:val="17"/>
                <w:szCs w:val="17"/>
              </w:rPr>
            </w:pPr>
            <w:r w:rsidRPr="0078573D">
              <w:rPr>
                <w:rFonts w:asciiTheme="minorHAnsi" w:hAnsiTheme="minorHAnsi" w:cstheme="minorHAnsi"/>
                <w:sz w:val="17"/>
                <w:szCs w:val="17"/>
              </w:rPr>
              <w:t>Náhrada v době nemoci zaměstnanců VPP.</w:t>
            </w:r>
          </w:p>
          <w:p w:rsidR="00B15436" w:rsidRPr="0078573D" w:rsidRDefault="00B15436" w:rsidP="00B15436">
            <w:pPr>
              <w:jc w:val="both"/>
              <w:rPr>
                <w:rFonts w:asciiTheme="minorHAnsi" w:hAnsiTheme="minorHAnsi" w:cstheme="minorHAnsi"/>
                <w:b/>
                <w:sz w:val="17"/>
                <w:szCs w:val="17"/>
                <w:u w:val="single"/>
              </w:rPr>
            </w:pPr>
            <w:r w:rsidRPr="0078573D">
              <w:rPr>
                <w:rFonts w:asciiTheme="minorHAnsi" w:hAnsiTheme="minorHAnsi" w:cstheme="minorHAnsi"/>
                <w:b/>
                <w:sz w:val="17"/>
                <w:szCs w:val="17"/>
                <w:u w:val="single"/>
              </w:rPr>
              <w:t>Ostatní platy</w:t>
            </w:r>
          </w:p>
          <w:p w:rsidR="00B15436" w:rsidRPr="0078573D" w:rsidRDefault="00B15436" w:rsidP="00B15436">
            <w:pPr>
              <w:rPr>
                <w:rFonts w:asciiTheme="minorHAnsi" w:hAnsiTheme="minorHAnsi" w:cstheme="minorHAnsi"/>
                <w:sz w:val="17"/>
                <w:szCs w:val="17"/>
              </w:rPr>
            </w:pPr>
            <w:r w:rsidRPr="0078573D">
              <w:rPr>
                <w:rFonts w:asciiTheme="minorHAnsi" w:hAnsiTheme="minorHAnsi" w:cstheme="minorHAnsi"/>
                <w:sz w:val="17"/>
                <w:szCs w:val="17"/>
              </w:rPr>
              <w:t>Refundace mezd členů zastupitelstva, kteří jsou v zaměstnaneckém poměru, v souvislosti s jejich účastí na jednáních orgánů města.</w:t>
            </w:r>
          </w:p>
          <w:p w:rsidR="00B15436" w:rsidRPr="0078573D" w:rsidRDefault="00B15436" w:rsidP="00B15436">
            <w:pPr>
              <w:rPr>
                <w:rFonts w:asciiTheme="minorHAnsi" w:hAnsiTheme="minorHAnsi" w:cstheme="minorHAnsi"/>
                <w:b/>
                <w:sz w:val="17"/>
                <w:szCs w:val="17"/>
                <w:u w:val="single"/>
              </w:rPr>
            </w:pPr>
            <w:r w:rsidRPr="0078573D">
              <w:rPr>
                <w:rFonts w:asciiTheme="minorHAnsi" w:hAnsiTheme="minorHAnsi" w:cstheme="minorHAnsi"/>
                <w:b/>
                <w:sz w:val="17"/>
                <w:szCs w:val="17"/>
                <w:u w:val="single"/>
              </w:rPr>
              <w:t>Služby školení a vzdělávání</w:t>
            </w:r>
          </w:p>
          <w:p w:rsidR="00B15436" w:rsidRPr="0078573D" w:rsidRDefault="00B15436" w:rsidP="00B15436">
            <w:pPr>
              <w:rPr>
                <w:rFonts w:asciiTheme="minorHAnsi" w:hAnsiTheme="minorHAnsi" w:cstheme="minorHAnsi"/>
                <w:sz w:val="17"/>
                <w:szCs w:val="17"/>
              </w:rPr>
            </w:pPr>
            <w:r w:rsidRPr="0078573D">
              <w:rPr>
                <w:rFonts w:asciiTheme="minorHAnsi" w:hAnsiTheme="minorHAnsi" w:cstheme="minorHAnsi"/>
                <w:sz w:val="17"/>
                <w:szCs w:val="17"/>
              </w:rPr>
              <w:t>Položka je určena pro čerpání finančních prostředků na semináře členů ZM. Výdaj nelze předem stanovit.</w:t>
            </w:r>
          </w:p>
          <w:p w:rsidR="00B15436" w:rsidRPr="0078573D" w:rsidRDefault="00B15436" w:rsidP="00B15436">
            <w:pPr>
              <w:rPr>
                <w:rFonts w:asciiTheme="minorHAnsi" w:hAnsiTheme="minorHAnsi" w:cstheme="minorHAnsi"/>
                <w:b/>
                <w:sz w:val="17"/>
                <w:szCs w:val="17"/>
                <w:u w:val="single"/>
              </w:rPr>
            </w:pPr>
            <w:r w:rsidRPr="0078573D">
              <w:rPr>
                <w:rFonts w:asciiTheme="minorHAnsi" w:hAnsiTheme="minorHAnsi" w:cstheme="minorHAnsi"/>
                <w:b/>
                <w:sz w:val="17"/>
                <w:szCs w:val="17"/>
                <w:u w:val="single"/>
              </w:rPr>
              <w:t>Ostatní platy</w:t>
            </w:r>
          </w:p>
          <w:p w:rsidR="00B15436" w:rsidRPr="0078573D" w:rsidRDefault="00B15436" w:rsidP="00B15436">
            <w:pPr>
              <w:rPr>
                <w:rFonts w:asciiTheme="minorHAnsi" w:hAnsiTheme="minorHAnsi" w:cstheme="minorHAnsi"/>
                <w:sz w:val="17"/>
                <w:szCs w:val="17"/>
              </w:rPr>
            </w:pPr>
            <w:r w:rsidRPr="0078573D">
              <w:rPr>
                <w:rFonts w:asciiTheme="minorHAnsi" w:hAnsiTheme="minorHAnsi" w:cstheme="minorHAnsi"/>
                <w:sz w:val="17"/>
                <w:szCs w:val="17"/>
              </w:rPr>
              <w:t>Refundace mezd svědků při jednání přestupkové komise.</w:t>
            </w:r>
          </w:p>
          <w:p w:rsidR="00B15436" w:rsidRPr="0078573D" w:rsidRDefault="00B15436" w:rsidP="00B15436">
            <w:pPr>
              <w:rPr>
                <w:rFonts w:asciiTheme="minorHAnsi" w:hAnsiTheme="minorHAnsi" w:cstheme="minorHAnsi"/>
                <w:b/>
                <w:sz w:val="17"/>
                <w:szCs w:val="17"/>
                <w:u w:val="single"/>
              </w:rPr>
            </w:pPr>
            <w:r w:rsidRPr="0078573D">
              <w:rPr>
                <w:rFonts w:asciiTheme="minorHAnsi" w:hAnsiTheme="minorHAnsi" w:cstheme="minorHAnsi"/>
                <w:b/>
                <w:sz w:val="17"/>
                <w:szCs w:val="17"/>
                <w:u w:val="single"/>
              </w:rPr>
              <w:t>Odstupné</w:t>
            </w:r>
          </w:p>
          <w:p w:rsidR="00B15436" w:rsidRPr="0078573D" w:rsidRDefault="00B15436" w:rsidP="00B15436">
            <w:pPr>
              <w:rPr>
                <w:rFonts w:asciiTheme="minorHAnsi" w:hAnsiTheme="minorHAnsi" w:cstheme="minorHAnsi"/>
                <w:sz w:val="17"/>
                <w:szCs w:val="17"/>
              </w:rPr>
            </w:pPr>
            <w:r w:rsidRPr="0078573D">
              <w:rPr>
                <w:rFonts w:asciiTheme="minorHAnsi" w:hAnsiTheme="minorHAnsi" w:cstheme="minorHAnsi"/>
                <w:sz w:val="17"/>
                <w:szCs w:val="17"/>
              </w:rPr>
              <w:t>Položka byla čerpána v souvislosti s organizačními změnami.</w:t>
            </w:r>
          </w:p>
          <w:p w:rsidR="00B15436" w:rsidRPr="0078573D" w:rsidRDefault="00B15436" w:rsidP="00B15436">
            <w:pPr>
              <w:rPr>
                <w:rFonts w:asciiTheme="minorHAnsi" w:hAnsiTheme="minorHAnsi" w:cstheme="minorHAnsi"/>
                <w:b/>
                <w:sz w:val="17"/>
                <w:szCs w:val="17"/>
                <w:u w:val="single"/>
              </w:rPr>
            </w:pPr>
            <w:r w:rsidRPr="0078573D">
              <w:rPr>
                <w:rFonts w:asciiTheme="minorHAnsi" w:hAnsiTheme="minorHAnsi" w:cstheme="minorHAnsi"/>
                <w:b/>
                <w:sz w:val="17"/>
                <w:szCs w:val="17"/>
                <w:u w:val="single"/>
              </w:rPr>
              <w:t>Nákupy ostatních služeb</w:t>
            </w:r>
          </w:p>
          <w:p w:rsidR="00B15436" w:rsidRPr="0078573D" w:rsidRDefault="00B15436" w:rsidP="00B15436">
            <w:pPr>
              <w:rPr>
                <w:rFonts w:asciiTheme="minorHAnsi" w:hAnsiTheme="minorHAnsi" w:cstheme="minorHAnsi"/>
                <w:sz w:val="17"/>
                <w:szCs w:val="17"/>
              </w:rPr>
            </w:pPr>
            <w:r w:rsidRPr="0078573D">
              <w:rPr>
                <w:rFonts w:asciiTheme="minorHAnsi" w:hAnsiTheme="minorHAnsi" w:cstheme="minorHAnsi"/>
                <w:sz w:val="17"/>
                <w:szCs w:val="17"/>
              </w:rPr>
              <w:t xml:space="preserve">Platby za výpisy ze zdravotní dokumentace k lékařským prohlídkám. </w:t>
            </w:r>
          </w:p>
          <w:p w:rsidR="00B15436" w:rsidRPr="0078573D" w:rsidRDefault="00B15436" w:rsidP="00B15436">
            <w:pPr>
              <w:rPr>
                <w:rFonts w:asciiTheme="minorHAnsi" w:hAnsiTheme="minorHAnsi" w:cstheme="minorHAnsi"/>
                <w:b/>
                <w:sz w:val="17"/>
                <w:szCs w:val="17"/>
                <w:u w:val="single"/>
              </w:rPr>
            </w:pPr>
            <w:r w:rsidRPr="0078573D">
              <w:rPr>
                <w:rFonts w:asciiTheme="minorHAnsi" w:hAnsiTheme="minorHAnsi" w:cstheme="minorHAnsi"/>
                <w:b/>
                <w:sz w:val="17"/>
                <w:szCs w:val="17"/>
                <w:u w:val="single"/>
              </w:rPr>
              <w:t>Projekt „Lepší města pro život“</w:t>
            </w:r>
          </w:p>
          <w:p w:rsidR="00B15436" w:rsidRPr="0078573D" w:rsidRDefault="00B15436" w:rsidP="00B15436">
            <w:pPr>
              <w:rPr>
                <w:rFonts w:asciiTheme="minorHAnsi" w:hAnsiTheme="minorHAnsi" w:cstheme="minorHAnsi"/>
                <w:sz w:val="17"/>
                <w:szCs w:val="17"/>
              </w:rPr>
            </w:pPr>
            <w:r w:rsidRPr="0078573D">
              <w:rPr>
                <w:rFonts w:asciiTheme="minorHAnsi" w:hAnsiTheme="minorHAnsi" w:cstheme="minorHAnsi"/>
                <w:sz w:val="17"/>
                <w:szCs w:val="17"/>
              </w:rPr>
              <w:t>Dotace z programu životního prostředí, ekosystémy a změny klimatu.</w:t>
            </w:r>
          </w:p>
        </w:tc>
      </w:tr>
    </w:tbl>
    <w:p w:rsidR="00B15436" w:rsidRPr="00B15436" w:rsidRDefault="00B15436" w:rsidP="00B15436">
      <w:pPr>
        <w:rPr>
          <w:rFonts w:asciiTheme="minorHAnsi" w:hAnsiTheme="minorHAnsi" w:cstheme="minorHAnsi"/>
          <w:b/>
          <w:sz w:val="20"/>
          <w:szCs w:val="20"/>
        </w:rPr>
      </w:pPr>
    </w:p>
    <w:p w:rsidR="00B15436" w:rsidRPr="0078573D" w:rsidRDefault="00B15436" w:rsidP="00B15436">
      <w:pPr>
        <w:rPr>
          <w:rFonts w:asciiTheme="minorHAnsi" w:hAnsiTheme="minorHAnsi" w:cstheme="minorHAnsi"/>
          <w:b/>
          <w:sz w:val="17"/>
          <w:szCs w:val="17"/>
        </w:rPr>
      </w:pPr>
      <w:r w:rsidRPr="0078573D">
        <w:rPr>
          <w:rFonts w:asciiTheme="minorHAnsi" w:hAnsiTheme="minorHAnsi" w:cstheme="minorHAnsi"/>
          <w:b/>
          <w:sz w:val="17"/>
          <w:szCs w:val="17"/>
        </w:rPr>
        <w:t>Přehled schválených rozpočtových opatření k 31. 12. 2022:</w:t>
      </w:r>
    </w:p>
    <w:tbl>
      <w:tblPr>
        <w:tblStyle w:val="Mkatabulky"/>
        <w:tblW w:w="9776" w:type="dxa"/>
        <w:tblLook w:val="04A0" w:firstRow="1" w:lastRow="0" w:firstColumn="1" w:lastColumn="0" w:noHBand="0" w:noVBand="1"/>
      </w:tblPr>
      <w:tblGrid>
        <w:gridCol w:w="1498"/>
        <w:gridCol w:w="1181"/>
        <w:gridCol w:w="854"/>
        <w:gridCol w:w="4393"/>
        <w:gridCol w:w="1850"/>
      </w:tblGrid>
      <w:tr w:rsidR="00B15436" w:rsidRPr="0078573D" w:rsidTr="0078573D">
        <w:tc>
          <w:tcPr>
            <w:tcW w:w="1498" w:type="dxa"/>
            <w:shd w:val="clear" w:color="auto" w:fill="DBDBDB" w:themeFill="accent3" w:themeFillTint="66"/>
            <w:vAlign w:val="center"/>
          </w:tcPr>
          <w:p w:rsidR="00B15436" w:rsidRPr="0078573D" w:rsidRDefault="00B15436" w:rsidP="00B15436">
            <w:pPr>
              <w:jc w:val="center"/>
              <w:rPr>
                <w:rFonts w:asciiTheme="minorHAnsi" w:hAnsiTheme="minorHAnsi" w:cstheme="minorHAnsi"/>
                <w:b/>
                <w:sz w:val="17"/>
                <w:szCs w:val="17"/>
              </w:rPr>
            </w:pPr>
            <w:r w:rsidRPr="0078573D">
              <w:rPr>
                <w:rFonts w:asciiTheme="minorHAnsi" w:hAnsiTheme="minorHAnsi" w:cstheme="minorHAnsi"/>
                <w:b/>
                <w:sz w:val="17"/>
                <w:szCs w:val="17"/>
              </w:rPr>
              <w:t>Usn.</w:t>
            </w:r>
            <w:r w:rsidR="0078573D" w:rsidRPr="0078573D">
              <w:rPr>
                <w:rFonts w:asciiTheme="minorHAnsi" w:hAnsiTheme="minorHAnsi" w:cstheme="minorHAnsi"/>
                <w:b/>
                <w:sz w:val="17"/>
                <w:szCs w:val="17"/>
              </w:rPr>
              <w:t xml:space="preserve"> </w:t>
            </w:r>
            <w:r w:rsidRPr="0078573D">
              <w:rPr>
                <w:rFonts w:asciiTheme="minorHAnsi" w:hAnsiTheme="minorHAnsi" w:cstheme="minorHAnsi"/>
                <w:b/>
                <w:sz w:val="17"/>
                <w:szCs w:val="17"/>
              </w:rPr>
              <w:t>č.</w:t>
            </w:r>
          </w:p>
        </w:tc>
        <w:tc>
          <w:tcPr>
            <w:tcW w:w="1181" w:type="dxa"/>
            <w:shd w:val="clear" w:color="auto" w:fill="DBDBDB" w:themeFill="accent3" w:themeFillTint="66"/>
            <w:vAlign w:val="center"/>
          </w:tcPr>
          <w:p w:rsidR="00B15436" w:rsidRPr="0078573D" w:rsidRDefault="00B15436" w:rsidP="00B15436">
            <w:pPr>
              <w:jc w:val="center"/>
              <w:rPr>
                <w:rFonts w:asciiTheme="minorHAnsi" w:hAnsiTheme="minorHAnsi" w:cstheme="minorHAnsi"/>
                <w:b/>
                <w:sz w:val="17"/>
                <w:szCs w:val="17"/>
              </w:rPr>
            </w:pPr>
            <w:r w:rsidRPr="0078573D">
              <w:rPr>
                <w:rFonts w:asciiTheme="minorHAnsi" w:hAnsiTheme="minorHAnsi" w:cstheme="minorHAnsi"/>
                <w:b/>
                <w:sz w:val="17"/>
                <w:szCs w:val="17"/>
              </w:rPr>
              <w:t>Datum</w:t>
            </w:r>
          </w:p>
        </w:tc>
        <w:tc>
          <w:tcPr>
            <w:tcW w:w="854" w:type="dxa"/>
            <w:shd w:val="clear" w:color="auto" w:fill="DBDBDB" w:themeFill="accent3" w:themeFillTint="66"/>
            <w:vAlign w:val="center"/>
          </w:tcPr>
          <w:p w:rsidR="00B15436" w:rsidRPr="0078573D" w:rsidRDefault="00B15436" w:rsidP="00B15436">
            <w:pPr>
              <w:jc w:val="center"/>
              <w:rPr>
                <w:rFonts w:asciiTheme="minorHAnsi" w:hAnsiTheme="minorHAnsi" w:cstheme="minorHAnsi"/>
                <w:b/>
                <w:sz w:val="17"/>
                <w:szCs w:val="17"/>
              </w:rPr>
            </w:pPr>
            <w:r w:rsidRPr="0078573D">
              <w:rPr>
                <w:rFonts w:asciiTheme="minorHAnsi" w:hAnsiTheme="minorHAnsi" w:cstheme="minorHAnsi"/>
                <w:b/>
                <w:sz w:val="17"/>
                <w:szCs w:val="17"/>
              </w:rPr>
              <w:t>Částka v tis. Kč</w:t>
            </w:r>
          </w:p>
        </w:tc>
        <w:tc>
          <w:tcPr>
            <w:tcW w:w="4393" w:type="dxa"/>
            <w:shd w:val="clear" w:color="auto" w:fill="DBDBDB" w:themeFill="accent3" w:themeFillTint="66"/>
            <w:vAlign w:val="center"/>
          </w:tcPr>
          <w:p w:rsidR="00B15436" w:rsidRPr="0078573D" w:rsidRDefault="00B15436" w:rsidP="00B15436">
            <w:pPr>
              <w:jc w:val="center"/>
              <w:rPr>
                <w:rFonts w:asciiTheme="minorHAnsi" w:hAnsiTheme="minorHAnsi" w:cstheme="minorHAnsi"/>
                <w:b/>
                <w:sz w:val="17"/>
                <w:szCs w:val="17"/>
              </w:rPr>
            </w:pPr>
            <w:r w:rsidRPr="0078573D">
              <w:rPr>
                <w:rFonts w:asciiTheme="minorHAnsi" w:hAnsiTheme="minorHAnsi" w:cstheme="minorHAnsi"/>
                <w:b/>
                <w:sz w:val="17"/>
                <w:szCs w:val="17"/>
              </w:rPr>
              <w:t>Rozpočtové opatření</w:t>
            </w:r>
          </w:p>
        </w:tc>
        <w:tc>
          <w:tcPr>
            <w:tcW w:w="1850" w:type="dxa"/>
            <w:shd w:val="clear" w:color="auto" w:fill="DBDBDB" w:themeFill="accent3" w:themeFillTint="66"/>
            <w:vAlign w:val="center"/>
          </w:tcPr>
          <w:p w:rsidR="00B15436" w:rsidRPr="0078573D" w:rsidRDefault="00B15436" w:rsidP="00B15436">
            <w:pPr>
              <w:jc w:val="center"/>
              <w:rPr>
                <w:rFonts w:asciiTheme="minorHAnsi" w:hAnsiTheme="minorHAnsi" w:cstheme="minorHAnsi"/>
                <w:b/>
                <w:sz w:val="17"/>
                <w:szCs w:val="17"/>
              </w:rPr>
            </w:pPr>
            <w:r w:rsidRPr="0078573D">
              <w:rPr>
                <w:rFonts w:asciiTheme="minorHAnsi" w:hAnsiTheme="minorHAnsi" w:cstheme="minorHAnsi"/>
                <w:b/>
                <w:sz w:val="17"/>
                <w:szCs w:val="17"/>
              </w:rPr>
              <w:t>Stupeň realizace</w:t>
            </w:r>
          </w:p>
        </w:tc>
      </w:tr>
      <w:tr w:rsidR="0078573D" w:rsidRPr="0078573D" w:rsidTr="0078573D">
        <w:tc>
          <w:tcPr>
            <w:tcW w:w="1498" w:type="dxa"/>
            <w:shd w:val="clear" w:color="auto" w:fill="auto"/>
            <w:vAlign w:val="center"/>
          </w:tcPr>
          <w:p w:rsidR="0078573D" w:rsidRPr="0078573D" w:rsidRDefault="0078573D" w:rsidP="00B15436">
            <w:pPr>
              <w:jc w:val="center"/>
              <w:rPr>
                <w:rFonts w:asciiTheme="minorHAnsi" w:hAnsiTheme="minorHAnsi" w:cstheme="minorHAnsi"/>
                <w:sz w:val="17"/>
                <w:szCs w:val="17"/>
              </w:rPr>
            </w:pPr>
            <w:r w:rsidRPr="0078573D">
              <w:rPr>
                <w:rFonts w:asciiTheme="minorHAnsi" w:hAnsiTheme="minorHAnsi" w:cstheme="minorHAnsi"/>
                <w:sz w:val="17"/>
                <w:szCs w:val="17"/>
              </w:rPr>
              <w:t>RM/2022/125/54</w:t>
            </w:r>
          </w:p>
        </w:tc>
        <w:tc>
          <w:tcPr>
            <w:tcW w:w="1181" w:type="dxa"/>
            <w:shd w:val="clear" w:color="auto" w:fill="auto"/>
            <w:vAlign w:val="center"/>
          </w:tcPr>
          <w:p w:rsidR="0078573D" w:rsidRPr="0078573D" w:rsidRDefault="0078573D" w:rsidP="00B15436">
            <w:pPr>
              <w:jc w:val="center"/>
              <w:rPr>
                <w:rFonts w:asciiTheme="minorHAnsi" w:hAnsiTheme="minorHAnsi" w:cstheme="minorHAnsi"/>
                <w:sz w:val="17"/>
                <w:szCs w:val="17"/>
              </w:rPr>
            </w:pPr>
            <w:r>
              <w:rPr>
                <w:rFonts w:asciiTheme="minorHAnsi" w:hAnsiTheme="minorHAnsi" w:cstheme="minorHAnsi"/>
                <w:sz w:val="17"/>
                <w:szCs w:val="17"/>
              </w:rPr>
              <w:t>20. 9. 2022</w:t>
            </w:r>
          </w:p>
        </w:tc>
        <w:tc>
          <w:tcPr>
            <w:tcW w:w="854" w:type="dxa"/>
            <w:shd w:val="clear" w:color="auto" w:fill="auto"/>
            <w:vAlign w:val="center"/>
          </w:tcPr>
          <w:p w:rsidR="0078573D" w:rsidRPr="0078573D" w:rsidRDefault="0078573D" w:rsidP="00B15436">
            <w:pPr>
              <w:jc w:val="center"/>
              <w:rPr>
                <w:rFonts w:asciiTheme="minorHAnsi" w:hAnsiTheme="minorHAnsi" w:cstheme="minorHAnsi"/>
                <w:sz w:val="17"/>
                <w:szCs w:val="17"/>
              </w:rPr>
            </w:pPr>
            <w:r>
              <w:rPr>
                <w:rFonts w:asciiTheme="minorHAnsi" w:hAnsiTheme="minorHAnsi" w:cstheme="minorHAnsi"/>
                <w:sz w:val="17"/>
                <w:szCs w:val="17"/>
              </w:rPr>
              <w:t>4 998,00</w:t>
            </w:r>
          </w:p>
        </w:tc>
        <w:tc>
          <w:tcPr>
            <w:tcW w:w="4393" w:type="dxa"/>
            <w:shd w:val="clear" w:color="auto" w:fill="auto"/>
            <w:vAlign w:val="center"/>
          </w:tcPr>
          <w:p w:rsidR="0078573D" w:rsidRPr="0078573D" w:rsidRDefault="0078573D" w:rsidP="0078573D">
            <w:pPr>
              <w:rPr>
                <w:rFonts w:asciiTheme="minorHAnsi" w:hAnsiTheme="minorHAnsi" w:cstheme="minorHAnsi"/>
                <w:sz w:val="17"/>
                <w:szCs w:val="17"/>
              </w:rPr>
            </w:pPr>
            <w:r>
              <w:rPr>
                <w:rFonts w:asciiTheme="minorHAnsi" w:hAnsiTheme="minorHAnsi" w:cstheme="minorHAnsi"/>
                <w:sz w:val="17"/>
                <w:szCs w:val="17"/>
              </w:rPr>
              <w:t>Změna nařízení vlády v platových poměrech zaměstnanců ve veřejných službách a správě.</w:t>
            </w:r>
          </w:p>
        </w:tc>
        <w:tc>
          <w:tcPr>
            <w:tcW w:w="1850" w:type="dxa"/>
            <w:shd w:val="clear" w:color="auto" w:fill="auto"/>
            <w:vAlign w:val="center"/>
          </w:tcPr>
          <w:p w:rsidR="0078573D" w:rsidRPr="0078573D" w:rsidRDefault="0078573D" w:rsidP="00B15436">
            <w:pPr>
              <w:jc w:val="center"/>
              <w:rPr>
                <w:rFonts w:asciiTheme="minorHAnsi" w:hAnsiTheme="minorHAnsi" w:cstheme="minorHAnsi"/>
                <w:sz w:val="17"/>
                <w:szCs w:val="17"/>
              </w:rPr>
            </w:pPr>
            <w:r>
              <w:rPr>
                <w:rFonts w:asciiTheme="minorHAnsi" w:hAnsiTheme="minorHAnsi" w:cstheme="minorHAnsi"/>
                <w:sz w:val="17"/>
                <w:szCs w:val="17"/>
              </w:rPr>
              <w:t>Realizováno</w:t>
            </w:r>
          </w:p>
        </w:tc>
      </w:tr>
      <w:tr w:rsidR="0078573D" w:rsidRPr="0078573D" w:rsidTr="0078573D">
        <w:tc>
          <w:tcPr>
            <w:tcW w:w="1498" w:type="dxa"/>
            <w:shd w:val="clear" w:color="auto" w:fill="auto"/>
            <w:vAlign w:val="center"/>
          </w:tcPr>
          <w:p w:rsidR="0078573D" w:rsidRPr="0078573D" w:rsidRDefault="0078573D" w:rsidP="00B15436">
            <w:pPr>
              <w:jc w:val="center"/>
              <w:rPr>
                <w:rFonts w:asciiTheme="minorHAnsi" w:hAnsiTheme="minorHAnsi" w:cstheme="minorHAnsi"/>
                <w:sz w:val="17"/>
                <w:szCs w:val="17"/>
              </w:rPr>
            </w:pPr>
            <w:r>
              <w:rPr>
                <w:rFonts w:asciiTheme="minorHAnsi" w:hAnsiTheme="minorHAnsi" w:cstheme="minorHAnsi"/>
                <w:sz w:val="17"/>
                <w:szCs w:val="17"/>
              </w:rPr>
              <w:t>RM/2022/125/55</w:t>
            </w:r>
          </w:p>
        </w:tc>
        <w:tc>
          <w:tcPr>
            <w:tcW w:w="1181" w:type="dxa"/>
            <w:shd w:val="clear" w:color="auto" w:fill="auto"/>
            <w:vAlign w:val="center"/>
          </w:tcPr>
          <w:p w:rsidR="0078573D" w:rsidRPr="0078573D" w:rsidRDefault="0078573D" w:rsidP="00B15436">
            <w:pPr>
              <w:jc w:val="center"/>
              <w:rPr>
                <w:rFonts w:asciiTheme="minorHAnsi" w:hAnsiTheme="minorHAnsi" w:cstheme="minorHAnsi"/>
                <w:sz w:val="17"/>
                <w:szCs w:val="17"/>
              </w:rPr>
            </w:pPr>
            <w:r>
              <w:rPr>
                <w:rFonts w:asciiTheme="minorHAnsi" w:hAnsiTheme="minorHAnsi" w:cstheme="minorHAnsi"/>
                <w:sz w:val="17"/>
                <w:szCs w:val="17"/>
              </w:rPr>
              <w:t>20. 9. 2022</w:t>
            </w:r>
          </w:p>
        </w:tc>
        <w:tc>
          <w:tcPr>
            <w:tcW w:w="854" w:type="dxa"/>
            <w:shd w:val="clear" w:color="auto" w:fill="auto"/>
            <w:vAlign w:val="center"/>
          </w:tcPr>
          <w:p w:rsidR="0078573D" w:rsidRPr="0078573D" w:rsidRDefault="0078573D" w:rsidP="00B15436">
            <w:pPr>
              <w:jc w:val="center"/>
              <w:rPr>
                <w:rFonts w:asciiTheme="minorHAnsi" w:hAnsiTheme="minorHAnsi" w:cstheme="minorHAnsi"/>
                <w:sz w:val="17"/>
                <w:szCs w:val="17"/>
              </w:rPr>
            </w:pPr>
            <w:r>
              <w:rPr>
                <w:rFonts w:asciiTheme="minorHAnsi" w:hAnsiTheme="minorHAnsi" w:cstheme="minorHAnsi"/>
                <w:sz w:val="17"/>
                <w:szCs w:val="17"/>
              </w:rPr>
              <w:t>779,00</w:t>
            </w:r>
          </w:p>
        </w:tc>
        <w:tc>
          <w:tcPr>
            <w:tcW w:w="4393" w:type="dxa"/>
            <w:shd w:val="clear" w:color="auto" w:fill="auto"/>
            <w:vAlign w:val="center"/>
          </w:tcPr>
          <w:p w:rsidR="0078573D" w:rsidRPr="0078573D" w:rsidRDefault="0078573D" w:rsidP="0078573D">
            <w:pPr>
              <w:rPr>
                <w:rFonts w:asciiTheme="minorHAnsi" w:hAnsiTheme="minorHAnsi" w:cstheme="minorHAnsi"/>
                <w:sz w:val="17"/>
                <w:szCs w:val="17"/>
              </w:rPr>
            </w:pPr>
            <w:r>
              <w:rPr>
                <w:rFonts w:asciiTheme="minorHAnsi" w:hAnsiTheme="minorHAnsi" w:cstheme="minorHAnsi"/>
                <w:sz w:val="17"/>
                <w:szCs w:val="17"/>
              </w:rPr>
              <w:t>Mimořádný příspěvek na ošacení.</w:t>
            </w:r>
          </w:p>
        </w:tc>
        <w:tc>
          <w:tcPr>
            <w:tcW w:w="1850" w:type="dxa"/>
            <w:shd w:val="clear" w:color="auto" w:fill="auto"/>
            <w:vAlign w:val="center"/>
          </w:tcPr>
          <w:p w:rsidR="0078573D" w:rsidRPr="0078573D" w:rsidRDefault="0078573D" w:rsidP="00B15436">
            <w:pPr>
              <w:jc w:val="center"/>
              <w:rPr>
                <w:rFonts w:asciiTheme="minorHAnsi" w:hAnsiTheme="minorHAnsi" w:cstheme="minorHAnsi"/>
                <w:sz w:val="17"/>
                <w:szCs w:val="17"/>
              </w:rPr>
            </w:pPr>
            <w:r>
              <w:rPr>
                <w:rFonts w:asciiTheme="minorHAnsi" w:hAnsiTheme="minorHAnsi" w:cstheme="minorHAnsi"/>
                <w:sz w:val="17"/>
                <w:szCs w:val="17"/>
              </w:rPr>
              <w:t>Realizováno</w:t>
            </w:r>
          </w:p>
        </w:tc>
      </w:tr>
    </w:tbl>
    <w:p w:rsidR="00B15436" w:rsidRPr="00B15436" w:rsidRDefault="00B15436" w:rsidP="00B15436">
      <w:pPr>
        <w:rPr>
          <w:rFonts w:asciiTheme="minorHAnsi" w:hAnsiTheme="minorHAnsi" w:cstheme="minorHAnsi"/>
          <w:b/>
          <w:sz w:val="20"/>
          <w:szCs w:val="20"/>
        </w:rPr>
      </w:pPr>
    </w:p>
    <w:p w:rsidR="0078573D" w:rsidRPr="0008158E" w:rsidRDefault="0078573D" w:rsidP="0078573D">
      <w:pPr>
        <w:pStyle w:val="Zkladntext"/>
        <w:shd w:val="clear" w:color="auto" w:fill="92D050"/>
        <w:rPr>
          <w:rFonts w:asciiTheme="minorHAnsi" w:hAnsiTheme="minorHAnsi" w:cstheme="minorHAnsi"/>
          <w:szCs w:val="18"/>
        </w:rPr>
      </w:pPr>
      <w:r w:rsidRPr="0008158E">
        <w:rPr>
          <w:rFonts w:asciiTheme="minorHAnsi" w:hAnsiTheme="minorHAnsi" w:cstheme="minorHAnsi"/>
          <w:szCs w:val="18"/>
        </w:rPr>
        <w:t xml:space="preserve">Rozbor výdajů statutárního města Prostějova ve sledovaném období na platy, ostatní platby za provedenou práci a pojistné </w:t>
      </w:r>
    </w:p>
    <w:p w:rsidR="0078573D" w:rsidRPr="0008158E" w:rsidRDefault="0078573D" w:rsidP="0078573D">
      <w:pPr>
        <w:jc w:val="center"/>
        <w:rPr>
          <w:rFonts w:asciiTheme="minorHAnsi" w:hAnsiTheme="minorHAnsi" w:cstheme="minorHAnsi"/>
          <w:b/>
          <w:sz w:val="18"/>
          <w:szCs w:val="18"/>
        </w:rPr>
      </w:pPr>
    </w:p>
    <w:p w:rsidR="0078573D" w:rsidRPr="0008158E" w:rsidRDefault="00791861" w:rsidP="0078573D">
      <w:pPr>
        <w:rPr>
          <w:rFonts w:asciiTheme="minorHAnsi" w:hAnsiTheme="minorHAnsi" w:cstheme="minorHAnsi"/>
          <w:b/>
          <w:sz w:val="18"/>
          <w:szCs w:val="18"/>
        </w:rPr>
      </w:pPr>
      <w:bookmarkStart w:id="65" w:name="_MON_1224499994"/>
      <w:bookmarkStart w:id="66" w:name="_MON_1287317819"/>
      <w:bookmarkStart w:id="67" w:name="_MON_1318306652"/>
      <w:bookmarkStart w:id="68" w:name="_MON_1318306737"/>
      <w:bookmarkStart w:id="69" w:name="_MON_1318306760"/>
      <w:bookmarkStart w:id="70" w:name="_MON_1353306274"/>
      <w:bookmarkStart w:id="71" w:name="_MON_1382762976"/>
      <w:bookmarkStart w:id="72" w:name="_MON_1414834044"/>
      <w:bookmarkStart w:id="73" w:name="_MON_1414834113"/>
      <w:bookmarkStart w:id="74" w:name="_958391120"/>
      <w:bookmarkStart w:id="75" w:name="_MON_1020593852"/>
      <w:bookmarkStart w:id="76" w:name="_MON_1053153607"/>
      <w:bookmarkStart w:id="77" w:name="_MON_1084190252"/>
      <w:bookmarkStart w:id="78" w:name="_MON_1084599497"/>
      <w:bookmarkStart w:id="79" w:name="_MON_1114832836"/>
      <w:bookmarkStart w:id="80" w:name="_MON_1114834320"/>
      <w:bookmarkStart w:id="81" w:name="_MON_1133074377"/>
      <w:bookmarkStart w:id="82" w:name="_MON_1193808591"/>
      <w:bookmarkStart w:id="83" w:name="_MON_1193808617"/>
      <w:bookmarkStart w:id="84" w:name="_MON_1194326043"/>
      <w:bookmarkStart w:id="85" w:name="_MON_119432611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cstheme="minorHAnsi"/>
          <w:b/>
          <w:noProof/>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443.9pt;height:444.85pt;z-index:251659264;mso-position-horizontal:left;mso-position-horizontal-relative:text;mso-position-vertical-relative:text" fillcolor="window">
            <v:imagedata r:id="rId42" o:title=""/>
            <w10:wrap type="square" side="right"/>
          </v:shape>
          <o:OLEObject Type="Embed" ProgID="Excel.Sheet.8" ShapeID="_x0000_s1027" DrawAspect="Content" ObjectID="_1745211902" r:id="rId43"/>
        </w:object>
      </w:r>
      <w:r w:rsidR="00AF7330">
        <w:rPr>
          <w:rFonts w:asciiTheme="minorHAnsi" w:hAnsiTheme="minorHAnsi" w:cstheme="minorHAnsi"/>
          <w:b/>
          <w:sz w:val="18"/>
          <w:szCs w:val="18"/>
        </w:rPr>
        <w:br w:type="textWrapping" w:clear="all"/>
      </w:r>
    </w:p>
    <w:tbl>
      <w:tblPr>
        <w:tblW w:w="0" w:type="auto"/>
        <w:tblInd w:w="70" w:type="dxa"/>
        <w:tblLayout w:type="fixed"/>
        <w:tblCellMar>
          <w:left w:w="70" w:type="dxa"/>
          <w:right w:w="70" w:type="dxa"/>
        </w:tblCellMar>
        <w:tblLook w:val="0000" w:firstRow="0" w:lastRow="0" w:firstColumn="0" w:lastColumn="0" w:noHBand="0" w:noVBand="0"/>
      </w:tblPr>
      <w:tblGrid>
        <w:gridCol w:w="9142"/>
      </w:tblGrid>
      <w:tr w:rsidR="0078573D" w:rsidRPr="0008158E" w:rsidTr="00B916C2">
        <w:tc>
          <w:tcPr>
            <w:tcW w:w="9142" w:type="dxa"/>
          </w:tcPr>
          <w:p w:rsidR="0078573D" w:rsidRPr="0008158E" w:rsidRDefault="0078573D" w:rsidP="00B916C2">
            <w:pPr>
              <w:jc w:val="center"/>
              <w:rPr>
                <w:rFonts w:asciiTheme="minorHAnsi" w:hAnsiTheme="minorHAnsi" w:cstheme="minorHAnsi"/>
                <w:sz w:val="18"/>
                <w:szCs w:val="18"/>
              </w:rPr>
            </w:pPr>
            <w:r w:rsidRPr="0008158E">
              <w:rPr>
                <w:rFonts w:asciiTheme="minorHAnsi" w:hAnsiTheme="minorHAnsi" w:cstheme="minorHAnsi"/>
                <w:b/>
                <w:sz w:val="18"/>
                <w:szCs w:val="18"/>
              </w:rPr>
              <w:t>Stručný komentář k plnění rozpočtu osobních nákladů ve sledovaném období</w:t>
            </w:r>
          </w:p>
        </w:tc>
      </w:tr>
      <w:tr w:rsidR="0078573D" w:rsidRPr="0008158E" w:rsidTr="00B916C2">
        <w:tc>
          <w:tcPr>
            <w:tcW w:w="9142" w:type="dxa"/>
            <w:tcBorders>
              <w:top w:val="single" w:sz="6" w:space="0" w:color="auto"/>
              <w:left w:val="single" w:sz="6" w:space="0" w:color="auto"/>
              <w:bottom w:val="single" w:sz="6" w:space="0" w:color="auto"/>
              <w:right w:val="single" w:sz="6" w:space="0" w:color="auto"/>
            </w:tcBorders>
          </w:tcPr>
          <w:p w:rsidR="0078573D" w:rsidRPr="0008158E" w:rsidRDefault="0078573D" w:rsidP="00B916C2">
            <w:pPr>
              <w:jc w:val="both"/>
              <w:rPr>
                <w:rFonts w:asciiTheme="minorHAnsi" w:hAnsiTheme="minorHAnsi" w:cstheme="minorHAnsi"/>
                <w:sz w:val="18"/>
                <w:szCs w:val="18"/>
              </w:rPr>
            </w:pPr>
            <w:r w:rsidRPr="0008158E">
              <w:rPr>
                <w:rFonts w:asciiTheme="minorHAnsi" w:hAnsiTheme="minorHAnsi" w:cstheme="minorHAnsi"/>
                <w:sz w:val="18"/>
                <w:szCs w:val="18"/>
              </w:rPr>
              <w:t>Ve sledovaném období byly výdaje na osobní náklady čerpány v souladu s upraveným rozpočtem. Realizována byla všechna rozpočtová opatření. Do výdajů jsou zahrnuta vyúčtování platů, včetně náhrad placených zaměstnavatele při DPN. Procento čerpání rozpočtu na platy zaměstnanců a dohod je ovlivněno poskytnutím dotací a finančních prostředků na projekty. Počet zaměstnanců je ovlivněn zaměstnanci na VPP a neobsazenými pozicemi sekretářů, které jsou dotované úřadem práce, a případnými zástupy.</w:t>
            </w:r>
          </w:p>
        </w:tc>
      </w:tr>
    </w:tbl>
    <w:p w:rsidR="0078573D" w:rsidRPr="0008158E" w:rsidRDefault="0078573D" w:rsidP="0078573D">
      <w:pPr>
        <w:rPr>
          <w:rFonts w:asciiTheme="minorHAnsi" w:hAnsiTheme="minorHAnsi" w:cstheme="minorHAnsi"/>
          <w:b/>
          <w:sz w:val="18"/>
          <w:szCs w:val="18"/>
        </w:rPr>
      </w:pPr>
    </w:p>
    <w:p w:rsidR="0078573D" w:rsidRPr="0008158E" w:rsidRDefault="0078573D" w:rsidP="0078573D">
      <w:pPr>
        <w:rPr>
          <w:rFonts w:asciiTheme="minorHAnsi" w:hAnsiTheme="minorHAnsi" w:cstheme="minorHAnsi"/>
          <w:b/>
          <w:sz w:val="18"/>
          <w:szCs w:val="18"/>
        </w:rPr>
      </w:pPr>
    </w:p>
    <w:p w:rsidR="0078573D" w:rsidRPr="0008158E" w:rsidRDefault="0078573D" w:rsidP="0078573D">
      <w:pPr>
        <w:rPr>
          <w:rFonts w:asciiTheme="minorHAnsi" w:hAnsiTheme="minorHAnsi" w:cstheme="minorHAnsi"/>
          <w:b/>
          <w:sz w:val="18"/>
          <w:szCs w:val="18"/>
        </w:rPr>
      </w:pPr>
    </w:p>
    <w:p w:rsidR="0078573D" w:rsidRPr="0008158E" w:rsidRDefault="0078573D" w:rsidP="0078573D">
      <w:pPr>
        <w:rPr>
          <w:rFonts w:asciiTheme="minorHAnsi" w:hAnsiTheme="minorHAnsi" w:cstheme="minorHAnsi"/>
          <w:b/>
          <w:sz w:val="18"/>
          <w:szCs w:val="18"/>
        </w:rPr>
      </w:pPr>
    </w:p>
    <w:p w:rsidR="0078573D" w:rsidRPr="0008158E" w:rsidRDefault="0078573D" w:rsidP="0078573D">
      <w:pPr>
        <w:rPr>
          <w:rFonts w:asciiTheme="minorHAnsi" w:hAnsiTheme="minorHAnsi" w:cstheme="minorHAnsi"/>
          <w:b/>
          <w:sz w:val="18"/>
          <w:szCs w:val="18"/>
        </w:rPr>
      </w:pPr>
    </w:p>
    <w:p w:rsidR="0078573D" w:rsidRPr="0008158E" w:rsidRDefault="0078573D" w:rsidP="0078573D">
      <w:pPr>
        <w:rPr>
          <w:rFonts w:asciiTheme="minorHAnsi" w:hAnsiTheme="minorHAnsi" w:cstheme="minorHAnsi"/>
          <w:b/>
          <w:sz w:val="18"/>
          <w:szCs w:val="18"/>
        </w:rPr>
      </w:pPr>
      <w:r w:rsidRPr="0008158E">
        <w:rPr>
          <w:rFonts w:asciiTheme="minorHAnsi" w:hAnsiTheme="minorHAnsi" w:cstheme="minorHAnsi"/>
          <w:b/>
          <w:sz w:val="18"/>
          <w:szCs w:val="18"/>
        </w:rPr>
        <w:t>V Prostějově</w:t>
      </w:r>
      <w:r w:rsidR="00AF7330">
        <w:rPr>
          <w:rFonts w:asciiTheme="minorHAnsi" w:hAnsiTheme="minorHAnsi" w:cstheme="minorHAnsi"/>
          <w:b/>
          <w:sz w:val="18"/>
          <w:szCs w:val="18"/>
        </w:rPr>
        <w:t xml:space="preserve"> </w:t>
      </w:r>
      <w:r>
        <w:rPr>
          <w:rFonts w:asciiTheme="minorHAnsi" w:hAnsiTheme="minorHAnsi" w:cstheme="minorHAnsi"/>
          <w:b/>
          <w:sz w:val="18"/>
          <w:szCs w:val="18"/>
        </w:rPr>
        <w:t xml:space="preserve">8. </w:t>
      </w:r>
      <w:r w:rsidRPr="0008158E">
        <w:rPr>
          <w:rFonts w:asciiTheme="minorHAnsi" w:hAnsiTheme="minorHAnsi" w:cstheme="minorHAnsi"/>
          <w:b/>
          <w:sz w:val="18"/>
          <w:szCs w:val="18"/>
        </w:rPr>
        <w:t>2.</w:t>
      </w:r>
      <w:r>
        <w:rPr>
          <w:rFonts w:asciiTheme="minorHAnsi" w:hAnsiTheme="minorHAnsi" w:cstheme="minorHAnsi"/>
          <w:b/>
          <w:sz w:val="18"/>
          <w:szCs w:val="18"/>
        </w:rPr>
        <w:t xml:space="preserve"> </w:t>
      </w:r>
      <w:r w:rsidRPr="0008158E">
        <w:rPr>
          <w:rFonts w:asciiTheme="minorHAnsi" w:hAnsiTheme="minorHAnsi" w:cstheme="minorHAnsi"/>
          <w:b/>
          <w:sz w:val="18"/>
          <w:szCs w:val="18"/>
        </w:rPr>
        <w:t>2023</w:t>
      </w:r>
      <w:r w:rsidRPr="0008158E">
        <w:rPr>
          <w:rFonts w:asciiTheme="minorHAnsi" w:hAnsiTheme="minorHAnsi" w:cstheme="minorHAnsi"/>
          <w:b/>
          <w:sz w:val="18"/>
          <w:szCs w:val="18"/>
        </w:rPr>
        <w:tab/>
      </w:r>
      <w:r w:rsidRPr="0008158E">
        <w:rPr>
          <w:rFonts w:asciiTheme="minorHAnsi" w:hAnsiTheme="minorHAnsi" w:cstheme="minorHAnsi"/>
          <w:b/>
          <w:sz w:val="18"/>
          <w:szCs w:val="18"/>
        </w:rPr>
        <w:tab/>
      </w:r>
      <w:r w:rsidRPr="0008158E">
        <w:rPr>
          <w:rFonts w:asciiTheme="minorHAnsi" w:hAnsiTheme="minorHAnsi" w:cstheme="minorHAnsi"/>
          <w:b/>
          <w:sz w:val="18"/>
          <w:szCs w:val="18"/>
        </w:rPr>
        <w:tab/>
      </w:r>
      <w:r w:rsidRPr="0008158E">
        <w:rPr>
          <w:rFonts w:asciiTheme="minorHAnsi" w:hAnsiTheme="minorHAnsi" w:cstheme="minorHAnsi"/>
          <w:b/>
          <w:sz w:val="18"/>
          <w:szCs w:val="18"/>
        </w:rPr>
        <w:tab/>
      </w:r>
      <w:r w:rsidRPr="0008158E">
        <w:rPr>
          <w:rFonts w:asciiTheme="minorHAnsi" w:hAnsiTheme="minorHAnsi" w:cstheme="minorHAnsi"/>
          <w:b/>
          <w:sz w:val="18"/>
          <w:szCs w:val="18"/>
        </w:rPr>
        <w:tab/>
        <w:t>Správce kapitoly:…………………………………..</w:t>
      </w:r>
    </w:p>
    <w:p w:rsidR="0078573D" w:rsidRPr="0008158E" w:rsidRDefault="0078573D" w:rsidP="0078573D">
      <w:pPr>
        <w:rPr>
          <w:rFonts w:asciiTheme="minorHAnsi" w:hAnsiTheme="minorHAnsi" w:cstheme="minorHAnsi"/>
          <w:b/>
          <w:sz w:val="18"/>
          <w:szCs w:val="18"/>
        </w:rPr>
      </w:pPr>
      <w:r w:rsidRPr="0008158E">
        <w:rPr>
          <w:rFonts w:asciiTheme="minorHAnsi" w:hAnsiTheme="minorHAnsi" w:cstheme="minorHAnsi"/>
          <w:b/>
          <w:sz w:val="18"/>
          <w:szCs w:val="18"/>
        </w:rPr>
        <w:tab/>
      </w:r>
      <w:r w:rsidRPr="0008158E">
        <w:rPr>
          <w:rFonts w:asciiTheme="minorHAnsi" w:hAnsiTheme="minorHAnsi" w:cstheme="minorHAnsi"/>
          <w:b/>
          <w:sz w:val="18"/>
          <w:szCs w:val="18"/>
        </w:rPr>
        <w:tab/>
      </w:r>
      <w:r w:rsidRPr="0008158E">
        <w:rPr>
          <w:rFonts w:asciiTheme="minorHAnsi" w:hAnsiTheme="minorHAnsi" w:cstheme="minorHAnsi"/>
          <w:b/>
          <w:sz w:val="18"/>
          <w:szCs w:val="18"/>
        </w:rPr>
        <w:tab/>
      </w:r>
      <w:r w:rsidRPr="0008158E">
        <w:rPr>
          <w:rFonts w:asciiTheme="minorHAnsi" w:hAnsiTheme="minorHAnsi" w:cstheme="minorHAnsi"/>
          <w:b/>
          <w:sz w:val="18"/>
          <w:szCs w:val="18"/>
        </w:rPr>
        <w:tab/>
      </w:r>
      <w:r w:rsidRPr="0008158E">
        <w:rPr>
          <w:rFonts w:asciiTheme="minorHAnsi" w:hAnsiTheme="minorHAnsi" w:cstheme="minorHAnsi"/>
          <w:b/>
          <w:sz w:val="18"/>
          <w:szCs w:val="18"/>
        </w:rPr>
        <w:tab/>
      </w:r>
      <w:r w:rsidRPr="0008158E">
        <w:rPr>
          <w:rFonts w:asciiTheme="minorHAnsi" w:hAnsiTheme="minorHAnsi" w:cstheme="minorHAnsi"/>
          <w:b/>
          <w:sz w:val="18"/>
          <w:szCs w:val="18"/>
        </w:rPr>
        <w:tab/>
      </w:r>
      <w:r w:rsidRPr="0008158E">
        <w:rPr>
          <w:rFonts w:asciiTheme="minorHAnsi" w:hAnsiTheme="minorHAnsi" w:cstheme="minorHAnsi"/>
          <w:b/>
          <w:sz w:val="18"/>
          <w:szCs w:val="18"/>
        </w:rPr>
        <w:tab/>
      </w:r>
      <w:r w:rsidRPr="0008158E">
        <w:rPr>
          <w:rFonts w:asciiTheme="minorHAnsi" w:hAnsiTheme="minorHAnsi" w:cstheme="minorHAnsi"/>
          <w:b/>
          <w:sz w:val="18"/>
          <w:szCs w:val="18"/>
        </w:rPr>
        <w:tab/>
      </w:r>
      <w:r w:rsidRPr="0008158E">
        <w:rPr>
          <w:rFonts w:asciiTheme="minorHAnsi" w:hAnsiTheme="minorHAnsi" w:cstheme="minorHAnsi"/>
          <w:b/>
          <w:sz w:val="18"/>
          <w:szCs w:val="18"/>
        </w:rPr>
        <w:tab/>
        <w:t>Mgr. Lenka Tisoňová</w:t>
      </w:r>
    </w:p>
    <w:p w:rsidR="0078573D" w:rsidRPr="0008158E" w:rsidRDefault="0078573D" w:rsidP="0078573D">
      <w:pPr>
        <w:rPr>
          <w:rFonts w:asciiTheme="minorHAnsi" w:hAnsiTheme="minorHAnsi" w:cstheme="minorHAnsi"/>
          <w:b/>
          <w:sz w:val="18"/>
          <w:szCs w:val="18"/>
        </w:rPr>
      </w:pPr>
      <w:r w:rsidRPr="0008158E">
        <w:rPr>
          <w:rFonts w:asciiTheme="minorHAnsi" w:hAnsiTheme="minorHAnsi" w:cstheme="minorHAnsi"/>
          <w:b/>
          <w:sz w:val="18"/>
          <w:szCs w:val="18"/>
        </w:rPr>
        <w:tab/>
      </w:r>
      <w:r w:rsidRPr="0008158E">
        <w:rPr>
          <w:rFonts w:asciiTheme="minorHAnsi" w:hAnsiTheme="minorHAnsi" w:cstheme="minorHAnsi"/>
          <w:b/>
          <w:sz w:val="18"/>
          <w:szCs w:val="18"/>
        </w:rPr>
        <w:tab/>
      </w:r>
      <w:r w:rsidRPr="0008158E">
        <w:rPr>
          <w:rFonts w:asciiTheme="minorHAnsi" w:hAnsiTheme="minorHAnsi" w:cstheme="minorHAnsi"/>
          <w:b/>
          <w:sz w:val="18"/>
          <w:szCs w:val="18"/>
        </w:rPr>
        <w:tab/>
      </w:r>
      <w:r w:rsidRPr="0008158E">
        <w:rPr>
          <w:rFonts w:asciiTheme="minorHAnsi" w:hAnsiTheme="minorHAnsi" w:cstheme="minorHAnsi"/>
          <w:b/>
          <w:sz w:val="18"/>
          <w:szCs w:val="18"/>
        </w:rPr>
        <w:tab/>
      </w:r>
      <w:r w:rsidRPr="0008158E">
        <w:rPr>
          <w:rFonts w:asciiTheme="minorHAnsi" w:hAnsiTheme="minorHAnsi" w:cstheme="minorHAnsi"/>
          <w:b/>
          <w:sz w:val="18"/>
          <w:szCs w:val="18"/>
        </w:rPr>
        <w:tab/>
      </w:r>
      <w:r w:rsidRPr="0008158E">
        <w:rPr>
          <w:rFonts w:asciiTheme="minorHAnsi" w:hAnsiTheme="minorHAnsi" w:cstheme="minorHAnsi"/>
          <w:b/>
          <w:sz w:val="18"/>
          <w:szCs w:val="18"/>
        </w:rPr>
        <w:tab/>
      </w:r>
      <w:r w:rsidRPr="0008158E">
        <w:rPr>
          <w:rFonts w:asciiTheme="minorHAnsi" w:hAnsiTheme="minorHAnsi" w:cstheme="minorHAnsi"/>
          <w:b/>
          <w:sz w:val="18"/>
          <w:szCs w:val="18"/>
        </w:rPr>
        <w:tab/>
      </w:r>
      <w:r w:rsidRPr="0008158E">
        <w:rPr>
          <w:rFonts w:asciiTheme="minorHAnsi" w:hAnsiTheme="minorHAnsi" w:cstheme="minorHAnsi"/>
          <w:b/>
          <w:sz w:val="18"/>
          <w:szCs w:val="18"/>
        </w:rPr>
        <w:tab/>
      </w:r>
      <w:r w:rsidRPr="0008158E">
        <w:rPr>
          <w:rFonts w:asciiTheme="minorHAnsi" w:hAnsiTheme="minorHAnsi" w:cstheme="minorHAnsi"/>
          <w:b/>
          <w:sz w:val="18"/>
          <w:szCs w:val="18"/>
        </w:rPr>
        <w:tab/>
        <w:t>vedoucí Odboru vnitřní správy</w:t>
      </w:r>
    </w:p>
    <w:p w:rsidR="00F36B92" w:rsidRDefault="00F36B92">
      <w:pPr>
        <w:rPr>
          <w:rFonts w:asciiTheme="minorHAnsi" w:hAnsiTheme="minorHAnsi" w:cstheme="minorHAnsi"/>
          <w:b/>
          <w:sz w:val="20"/>
          <w:szCs w:val="20"/>
        </w:rPr>
      </w:pPr>
      <w:r>
        <w:rPr>
          <w:rFonts w:asciiTheme="minorHAnsi" w:hAnsiTheme="minorHAnsi" w:cstheme="minorHAnsi"/>
          <w:b/>
          <w:sz w:val="20"/>
          <w:szCs w:val="20"/>
        </w:rPr>
        <w:br w:type="page"/>
      </w:r>
    </w:p>
    <w:tbl>
      <w:tblPr>
        <w:tblW w:w="13589" w:type="dxa"/>
        <w:tblInd w:w="-356" w:type="dxa"/>
        <w:tblLayout w:type="fixed"/>
        <w:tblCellMar>
          <w:left w:w="70" w:type="dxa"/>
          <w:right w:w="70" w:type="dxa"/>
        </w:tblCellMar>
        <w:tblLook w:val="0000" w:firstRow="0" w:lastRow="0" w:firstColumn="0" w:lastColumn="0" w:noHBand="0" w:noVBand="0"/>
      </w:tblPr>
      <w:tblGrid>
        <w:gridCol w:w="388"/>
        <w:gridCol w:w="66"/>
        <w:gridCol w:w="393"/>
        <w:gridCol w:w="63"/>
        <w:gridCol w:w="160"/>
        <w:gridCol w:w="302"/>
        <w:gridCol w:w="118"/>
        <w:gridCol w:w="341"/>
        <w:gridCol w:w="458"/>
        <w:gridCol w:w="42"/>
        <w:gridCol w:w="160"/>
        <w:gridCol w:w="95"/>
        <w:gridCol w:w="163"/>
        <w:gridCol w:w="66"/>
        <w:gridCol w:w="136"/>
        <w:gridCol w:w="96"/>
        <w:gridCol w:w="162"/>
        <w:gridCol w:w="66"/>
        <w:gridCol w:w="136"/>
        <w:gridCol w:w="324"/>
        <w:gridCol w:w="304"/>
        <w:gridCol w:w="156"/>
        <w:gridCol w:w="464"/>
        <w:gridCol w:w="160"/>
        <w:gridCol w:w="212"/>
        <w:gridCol w:w="88"/>
        <w:gridCol w:w="72"/>
        <w:gridCol w:w="25"/>
        <w:gridCol w:w="363"/>
        <w:gridCol w:w="135"/>
        <w:gridCol w:w="25"/>
        <w:gridCol w:w="286"/>
        <w:gridCol w:w="14"/>
        <w:gridCol w:w="460"/>
        <w:gridCol w:w="90"/>
        <w:gridCol w:w="370"/>
        <w:gridCol w:w="288"/>
        <w:gridCol w:w="25"/>
        <w:gridCol w:w="135"/>
        <w:gridCol w:w="12"/>
        <w:gridCol w:w="13"/>
        <w:gridCol w:w="447"/>
        <w:gridCol w:w="13"/>
        <w:gridCol w:w="25"/>
        <w:gridCol w:w="422"/>
        <w:gridCol w:w="13"/>
        <w:gridCol w:w="25"/>
        <w:gridCol w:w="435"/>
        <w:gridCol w:w="25"/>
        <w:gridCol w:w="435"/>
        <w:gridCol w:w="25"/>
        <w:gridCol w:w="435"/>
        <w:gridCol w:w="25"/>
        <w:gridCol w:w="333"/>
        <w:gridCol w:w="47"/>
        <w:gridCol w:w="55"/>
        <w:gridCol w:w="25"/>
        <w:gridCol w:w="149"/>
        <w:gridCol w:w="1220"/>
        <w:gridCol w:w="25"/>
        <w:gridCol w:w="1978"/>
      </w:tblGrid>
      <w:tr w:rsidR="00AF7330" w:rsidRPr="00AF7330" w:rsidTr="00AF7330">
        <w:trPr>
          <w:gridAfter w:val="6"/>
          <w:wAfter w:w="3452" w:type="dxa"/>
        </w:trPr>
        <w:tc>
          <w:tcPr>
            <w:tcW w:w="10137" w:type="dxa"/>
            <w:gridSpan w:val="55"/>
          </w:tcPr>
          <w:p w:rsidR="00AF7330" w:rsidRPr="00AF7330" w:rsidRDefault="00EC5D34" w:rsidP="00B916C2">
            <w:pPr>
              <w:rPr>
                <w:rFonts w:asciiTheme="minorHAnsi" w:hAnsiTheme="minorHAnsi" w:cstheme="minorHAnsi"/>
                <w:b/>
              </w:rPr>
            </w:pPr>
            <w:r w:rsidRPr="009A6F44">
              <w:rPr>
                <w:rFonts w:asciiTheme="minorHAnsi" w:hAnsiTheme="minorHAnsi" w:cstheme="minorHAnsi"/>
                <w:color w:val="A6A6A6" w:themeColor="background1" w:themeShade="A6"/>
                <w:sz w:val="20"/>
                <w:szCs w:val="20"/>
              </w:rPr>
              <w:lastRenderedPageBreak/>
              <w:br w:type="page"/>
            </w:r>
            <w:r w:rsidR="00AF7330" w:rsidRPr="00AF7330">
              <w:rPr>
                <w:rFonts w:asciiTheme="minorHAnsi" w:hAnsiTheme="minorHAnsi" w:cstheme="minorHAnsi"/>
                <w:b/>
              </w:rPr>
              <w:t>Kapitola 15 – Odbor informačních technologií</w:t>
            </w:r>
          </w:p>
        </w:tc>
      </w:tr>
      <w:tr w:rsidR="00AF7330" w:rsidRPr="00AF7330" w:rsidTr="00AF7330">
        <w:trPr>
          <w:gridAfter w:val="2"/>
          <w:wAfter w:w="2003" w:type="dxa"/>
        </w:trPr>
        <w:tc>
          <w:tcPr>
            <w:tcW w:w="454" w:type="dxa"/>
            <w:gridSpan w:val="2"/>
          </w:tcPr>
          <w:p w:rsidR="00AF7330" w:rsidRPr="00AF7330" w:rsidRDefault="00AF7330" w:rsidP="00B916C2">
            <w:pPr>
              <w:rPr>
                <w:rFonts w:asciiTheme="minorHAnsi" w:hAnsiTheme="minorHAnsi" w:cstheme="minorHAnsi"/>
                <w:b/>
                <w:sz w:val="20"/>
                <w:szCs w:val="20"/>
              </w:rPr>
            </w:pPr>
          </w:p>
        </w:tc>
        <w:tc>
          <w:tcPr>
            <w:tcW w:w="393" w:type="dxa"/>
          </w:tcPr>
          <w:p w:rsidR="00AF7330" w:rsidRPr="00AF7330" w:rsidRDefault="00AF7330" w:rsidP="00B916C2">
            <w:pPr>
              <w:rPr>
                <w:rFonts w:asciiTheme="minorHAnsi" w:hAnsiTheme="minorHAnsi" w:cstheme="minorHAnsi"/>
                <w:b/>
                <w:sz w:val="20"/>
                <w:szCs w:val="20"/>
              </w:rPr>
            </w:pPr>
          </w:p>
        </w:tc>
        <w:tc>
          <w:tcPr>
            <w:tcW w:w="525" w:type="dxa"/>
            <w:gridSpan w:val="3"/>
          </w:tcPr>
          <w:p w:rsidR="00AF7330" w:rsidRPr="00AF7330" w:rsidRDefault="00AF7330" w:rsidP="00B916C2">
            <w:pPr>
              <w:rPr>
                <w:rFonts w:asciiTheme="minorHAnsi" w:hAnsiTheme="minorHAnsi" w:cstheme="minorHAnsi"/>
                <w:b/>
                <w:sz w:val="20"/>
                <w:szCs w:val="20"/>
              </w:rPr>
            </w:pPr>
          </w:p>
        </w:tc>
        <w:tc>
          <w:tcPr>
            <w:tcW w:w="459" w:type="dxa"/>
            <w:gridSpan w:val="2"/>
          </w:tcPr>
          <w:p w:rsidR="00AF7330" w:rsidRPr="00AF7330" w:rsidRDefault="00AF7330" w:rsidP="00B916C2">
            <w:pPr>
              <w:rPr>
                <w:rFonts w:asciiTheme="minorHAnsi" w:hAnsiTheme="minorHAnsi" w:cstheme="minorHAnsi"/>
                <w:b/>
                <w:sz w:val="20"/>
                <w:szCs w:val="20"/>
              </w:rPr>
            </w:pPr>
          </w:p>
        </w:tc>
        <w:tc>
          <w:tcPr>
            <w:tcW w:w="458" w:type="dxa"/>
          </w:tcPr>
          <w:p w:rsidR="00AF7330" w:rsidRPr="00AF7330" w:rsidRDefault="00AF7330" w:rsidP="00B916C2">
            <w:pPr>
              <w:rPr>
                <w:rFonts w:asciiTheme="minorHAnsi" w:hAnsiTheme="minorHAnsi" w:cstheme="minorHAnsi"/>
                <w:b/>
                <w:sz w:val="20"/>
                <w:szCs w:val="20"/>
              </w:rPr>
            </w:pPr>
          </w:p>
        </w:tc>
        <w:tc>
          <w:tcPr>
            <w:tcW w:w="460" w:type="dxa"/>
            <w:gridSpan w:val="4"/>
          </w:tcPr>
          <w:p w:rsidR="00AF7330" w:rsidRPr="00AF7330" w:rsidRDefault="00AF7330" w:rsidP="00B916C2">
            <w:pPr>
              <w:rPr>
                <w:rFonts w:asciiTheme="minorHAnsi" w:hAnsiTheme="minorHAnsi" w:cstheme="minorHAnsi"/>
                <w:b/>
                <w:sz w:val="20"/>
                <w:szCs w:val="20"/>
              </w:rPr>
            </w:pPr>
          </w:p>
        </w:tc>
        <w:tc>
          <w:tcPr>
            <w:tcW w:w="460" w:type="dxa"/>
            <w:gridSpan w:val="4"/>
          </w:tcPr>
          <w:p w:rsidR="00AF7330" w:rsidRPr="00AF7330" w:rsidRDefault="00AF7330" w:rsidP="00B916C2">
            <w:pPr>
              <w:rPr>
                <w:rFonts w:asciiTheme="minorHAnsi" w:hAnsiTheme="minorHAnsi" w:cstheme="minorHAnsi"/>
                <w:b/>
                <w:sz w:val="20"/>
                <w:szCs w:val="20"/>
              </w:rPr>
            </w:pPr>
          </w:p>
        </w:tc>
        <w:tc>
          <w:tcPr>
            <w:tcW w:w="830" w:type="dxa"/>
            <w:gridSpan w:val="4"/>
          </w:tcPr>
          <w:p w:rsidR="00AF7330" w:rsidRPr="00AF7330" w:rsidRDefault="00AF7330" w:rsidP="00B916C2">
            <w:pPr>
              <w:rPr>
                <w:rFonts w:asciiTheme="minorHAnsi" w:hAnsiTheme="minorHAnsi" w:cstheme="minorHAnsi"/>
                <w:b/>
                <w:sz w:val="20"/>
                <w:szCs w:val="20"/>
              </w:rPr>
            </w:pPr>
          </w:p>
        </w:tc>
        <w:tc>
          <w:tcPr>
            <w:tcW w:w="992" w:type="dxa"/>
            <w:gridSpan w:val="4"/>
          </w:tcPr>
          <w:p w:rsidR="00AF7330" w:rsidRPr="00AF7330" w:rsidRDefault="00AF7330" w:rsidP="00B916C2">
            <w:pPr>
              <w:rPr>
                <w:rFonts w:asciiTheme="minorHAnsi" w:hAnsiTheme="minorHAnsi" w:cstheme="minorHAnsi"/>
                <w:b/>
                <w:sz w:val="20"/>
                <w:szCs w:val="20"/>
              </w:rPr>
            </w:pPr>
          </w:p>
        </w:tc>
        <w:tc>
          <w:tcPr>
            <w:tcW w:w="160" w:type="dxa"/>
            <w:gridSpan w:val="2"/>
          </w:tcPr>
          <w:p w:rsidR="00AF7330" w:rsidRPr="00AF7330" w:rsidRDefault="00AF7330" w:rsidP="00B916C2">
            <w:pPr>
              <w:rPr>
                <w:rFonts w:asciiTheme="minorHAnsi" w:hAnsiTheme="minorHAnsi" w:cstheme="minorHAnsi"/>
                <w:b/>
                <w:sz w:val="20"/>
                <w:szCs w:val="20"/>
              </w:rPr>
            </w:pPr>
          </w:p>
        </w:tc>
        <w:tc>
          <w:tcPr>
            <w:tcW w:w="523" w:type="dxa"/>
            <w:gridSpan w:val="3"/>
          </w:tcPr>
          <w:p w:rsidR="00AF7330" w:rsidRPr="00AF7330" w:rsidRDefault="00AF7330" w:rsidP="00B916C2">
            <w:pPr>
              <w:rPr>
                <w:rFonts w:asciiTheme="minorHAnsi" w:hAnsiTheme="minorHAnsi" w:cstheme="minorHAnsi"/>
                <w:b/>
                <w:sz w:val="20"/>
                <w:szCs w:val="20"/>
              </w:rPr>
            </w:pPr>
          </w:p>
        </w:tc>
        <w:tc>
          <w:tcPr>
            <w:tcW w:w="1533" w:type="dxa"/>
            <w:gridSpan w:val="7"/>
          </w:tcPr>
          <w:p w:rsidR="00AF7330" w:rsidRPr="00AF7330" w:rsidRDefault="00AF7330" w:rsidP="00B916C2">
            <w:pPr>
              <w:rPr>
                <w:rFonts w:asciiTheme="minorHAnsi" w:hAnsiTheme="minorHAnsi" w:cstheme="minorHAnsi"/>
                <w:b/>
                <w:sz w:val="20"/>
                <w:szCs w:val="20"/>
              </w:rPr>
            </w:pPr>
          </w:p>
        </w:tc>
        <w:tc>
          <w:tcPr>
            <w:tcW w:w="160" w:type="dxa"/>
            <w:gridSpan w:val="2"/>
          </w:tcPr>
          <w:p w:rsidR="00AF7330" w:rsidRPr="00AF7330" w:rsidRDefault="00AF7330" w:rsidP="00B916C2">
            <w:pPr>
              <w:rPr>
                <w:rFonts w:asciiTheme="minorHAnsi" w:hAnsiTheme="minorHAnsi" w:cstheme="minorHAnsi"/>
                <w:b/>
                <w:sz w:val="20"/>
                <w:szCs w:val="20"/>
              </w:rPr>
            </w:pPr>
          </w:p>
        </w:tc>
        <w:tc>
          <w:tcPr>
            <w:tcW w:w="485" w:type="dxa"/>
            <w:gridSpan w:val="4"/>
          </w:tcPr>
          <w:p w:rsidR="00AF7330" w:rsidRPr="00AF7330" w:rsidRDefault="00AF7330" w:rsidP="00B916C2">
            <w:pPr>
              <w:rPr>
                <w:rFonts w:asciiTheme="minorHAnsi" w:hAnsiTheme="minorHAnsi" w:cstheme="minorHAnsi"/>
                <w:b/>
                <w:sz w:val="20"/>
                <w:szCs w:val="20"/>
              </w:rPr>
            </w:pPr>
          </w:p>
        </w:tc>
        <w:tc>
          <w:tcPr>
            <w:tcW w:w="460" w:type="dxa"/>
            <w:gridSpan w:val="3"/>
          </w:tcPr>
          <w:p w:rsidR="00AF7330" w:rsidRPr="00AF7330" w:rsidRDefault="00AF7330" w:rsidP="00B916C2">
            <w:pPr>
              <w:rPr>
                <w:rFonts w:asciiTheme="minorHAnsi" w:hAnsiTheme="minorHAnsi" w:cstheme="minorHAnsi"/>
                <w:b/>
                <w:sz w:val="20"/>
                <w:szCs w:val="20"/>
              </w:rPr>
            </w:pPr>
          </w:p>
        </w:tc>
        <w:tc>
          <w:tcPr>
            <w:tcW w:w="460" w:type="dxa"/>
            <w:gridSpan w:val="2"/>
          </w:tcPr>
          <w:p w:rsidR="00AF7330" w:rsidRPr="00AF7330" w:rsidRDefault="00AF7330" w:rsidP="00B916C2">
            <w:pPr>
              <w:rPr>
                <w:rFonts w:asciiTheme="minorHAnsi" w:hAnsiTheme="minorHAnsi" w:cstheme="minorHAnsi"/>
                <w:b/>
                <w:sz w:val="20"/>
                <w:szCs w:val="20"/>
              </w:rPr>
            </w:pPr>
          </w:p>
        </w:tc>
        <w:tc>
          <w:tcPr>
            <w:tcW w:w="460" w:type="dxa"/>
            <w:gridSpan w:val="2"/>
          </w:tcPr>
          <w:p w:rsidR="00AF7330" w:rsidRPr="00AF7330" w:rsidRDefault="00AF7330" w:rsidP="00B916C2">
            <w:pPr>
              <w:rPr>
                <w:rFonts w:asciiTheme="minorHAnsi" w:hAnsiTheme="minorHAnsi" w:cstheme="minorHAnsi"/>
                <w:b/>
                <w:sz w:val="20"/>
                <w:szCs w:val="20"/>
              </w:rPr>
            </w:pPr>
          </w:p>
        </w:tc>
        <w:tc>
          <w:tcPr>
            <w:tcW w:w="460" w:type="dxa"/>
            <w:gridSpan w:val="2"/>
          </w:tcPr>
          <w:p w:rsidR="00AF7330" w:rsidRPr="00AF7330" w:rsidRDefault="00AF7330" w:rsidP="00B916C2">
            <w:pPr>
              <w:rPr>
                <w:rFonts w:asciiTheme="minorHAnsi" w:hAnsiTheme="minorHAnsi" w:cstheme="minorHAnsi"/>
                <w:b/>
                <w:sz w:val="20"/>
                <w:szCs w:val="20"/>
              </w:rPr>
            </w:pPr>
          </w:p>
        </w:tc>
        <w:tc>
          <w:tcPr>
            <w:tcW w:w="460" w:type="dxa"/>
            <w:gridSpan w:val="4"/>
          </w:tcPr>
          <w:p w:rsidR="00AF7330" w:rsidRPr="00AF7330" w:rsidRDefault="00AF7330" w:rsidP="00B916C2">
            <w:pPr>
              <w:rPr>
                <w:rFonts w:asciiTheme="minorHAnsi" w:hAnsiTheme="minorHAnsi" w:cstheme="minorHAnsi"/>
                <w:b/>
                <w:sz w:val="20"/>
                <w:szCs w:val="20"/>
              </w:rPr>
            </w:pPr>
          </w:p>
        </w:tc>
        <w:tc>
          <w:tcPr>
            <w:tcW w:w="1394" w:type="dxa"/>
            <w:gridSpan w:val="3"/>
          </w:tcPr>
          <w:p w:rsidR="00AF7330" w:rsidRPr="00AF7330" w:rsidRDefault="00AF7330" w:rsidP="00B916C2">
            <w:pPr>
              <w:rPr>
                <w:rFonts w:asciiTheme="minorHAnsi" w:hAnsiTheme="minorHAnsi" w:cstheme="minorHAnsi"/>
                <w:b/>
                <w:sz w:val="20"/>
                <w:szCs w:val="20"/>
              </w:rPr>
            </w:pPr>
          </w:p>
        </w:tc>
      </w:tr>
      <w:tr w:rsidR="00AF7330" w:rsidRPr="00AF7330" w:rsidTr="00AF7330">
        <w:trPr>
          <w:gridAfter w:val="6"/>
          <w:wAfter w:w="3452" w:type="dxa"/>
        </w:trPr>
        <w:tc>
          <w:tcPr>
            <w:tcW w:w="10137" w:type="dxa"/>
            <w:gridSpan w:val="55"/>
            <w:shd w:val="clear" w:color="auto" w:fill="F79646"/>
          </w:tcPr>
          <w:p w:rsidR="00AF7330" w:rsidRPr="00AF7330" w:rsidRDefault="00AF7330" w:rsidP="00B916C2">
            <w:pPr>
              <w:rPr>
                <w:rFonts w:asciiTheme="minorHAnsi" w:hAnsiTheme="minorHAnsi" w:cstheme="minorHAnsi"/>
                <w:b/>
                <w:sz w:val="20"/>
                <w:szCs w:val="20"/>
                <w:u w:val="single"/>
              </w:rPr>
            </w:pPr>
            <w:r w:rsidRPr="00AF7330">
              <w:rPr>
                <w:rFonts w:asciiTheme="minorHAnsi" w:hAnsiTheme="minorHAnsi" w:cstheme="minorHAnsi"/>
                <w:b/>
                <w:sz w:val="20"/>
                <w:szCs w:val="20"/>
                <w:u w:val="single"/>
              </w:rPr>
              <w:t>Rozbor plnění příjmů rozpočtu kapitoly</w:t>
            </w:r>
          </w:p>
        </w:tc>
      </w:tr>
      <w:tr w:rsidR="00AF7330" w:rsidRPr="00AF7330" w:rsidTr="00AF7330">
        <w:trPr>
          <w:gridAfter w:val="1"/>
          <w:wAfter w:w="1978" w:type="dxa"/>
        </w:trPr>
        <w:tc>
          <w:tcPr>
            <w:tcW w:w="454" w:type="dxa"/>
            <w:gridSpan w:val="2"/>
          </w:tcPr>
          <w:p w:rsidR="00AF7330" w:rsidRPr="00AF7330" w:rsidRDefault="00AF7330" w:rsidP="00B916C2">
            <w:pPr>
              <w:rPr>
                <w:rFonts w:asciiTheme="minorHAnsi" w:hAnsiTheme="minorHAnsi" w:cstheme="minorHAnsi"/>
                <w:b/>
                <w:sz w:val="20"/>
                <w:szCs w:val="20"/>
              </w:rPr>
            </w:pPr>
          </w:p>
        </w:tc>
        <w:tc>
          <w:tcPr>
            <w:tcW w:w="393" w:type="dxa"/>
          </w:tcPr>
          <w:p w:rsidR="00AF7330" w:rsidRPr="00AF7330" w:rsidRDefault="00AF7330" w:rsidP="00B916C2">
            <w:pPr>
              <w:rPr>
                <w:rFonts w:asciiTheme="minorHAnsi" w:hAnsiTheme="minorHAnsi" w:cstheme="minorHAnsi"/>
                <w:b/>
                <w:sz w:val="20"/>
                <w:szCs w:val="20"/>
              </w:rPr>
            </w:pPr>
          </w:p>
        </w:tc>
        <w:tc>
          <w:tcPr>
            <w:tcW w:w="525" w:type="dxa"/>
            <w:gridSpan w:val="3"/>
          </w:tcPr>
          <w:p w:rsidR="00AF7330" w:rsidRPr="00AF7330" w:rsidRDefault="00AF7330" w:rsidP="00B916C2">
            <w:pPr>
              <w:rPr>
                <w:rFonts w:asciiTheme="minorHAnsi" w:hAnsiTheme="minorHAnsi" w:cstheme="minorHAnsi"/>
                <w:b/>
                <w:sz w:val="20"/>
                <w:szCs w:val="20"/>
              </w:rPr>
            </w:pPr>
          </w:p>
        </w:tc>
        <w:tc>
          <w:tcPr>
            <w:tcW w:w="959" w:type="dxa"/>
            <w:gridSpan w:val="4"/>
          </w:tcPr>
          <w:p w:rsidR="00AF7330" w:rsidRPr="00AF7330" w:rsidRDefault="00AF7330" w:rsidP="00B916C2">
            <w:pPr>
              <w:rPr>
                <w:rFonts w:asciiTheme="minorHAnsi" w:hAnsiTheme="minorHAnsi" w:cstheme="minorHAnsi"/>
                <w:b/>
                <w:sz w:val="20"/>
                <w:szCs w:val="20"/>
              </w:rPr>
            </w:pPr>
          </w:p>
        </w:tc>
        <w:tc>
          <w:tcPr>
            <w:tcW w:w="160" w:type="dxa"/>
          </w:tcPr>
          <w:p w:rsidR="00AF7330" w:rsidRPr="00AF7330" w:rsidRDefault="00AF7330" w:rsidP="00B916C2">
            <w:pPr>
              <w:rPr>
                <w:rFonts w:asciiTheme="minorHAnsi" w:hAnsiTheme="minorHAnsi" w:cstheme="minorHAnsi"/>
                <w:b/>
                <w:sz w:val="20"/>
                <w:szCs w:val="20"/>
              </w:rPr>
            </w:pPr>
          </w:p>
        </w:tc>
        <w:tc>
          <w:tcPr>
            <w:tcW w:w="460" w:type="dxa"/>
            <w:gridSpan w:val="4"/>
          </w:tcPr>
          <w:p w:rsidR="00AF7330" w:rsidRPr="00AF7330" w:rsidRDefault="00AF7330" w:rsidP="00B916C2">
            <w:pPr>
              <w:rPr>
                <w:rFonts w:asciiTheme="minorHAnsi" w:hAnsiTheme="minorHAnsi" w:cstheme="minorHAnsi"/>
                <w:b/>
                <w:sz w:val="20"/>
                <w:szCs w:val="20"/>
              </w:rPr>
            </w:pPr>
          </w:p>
        </w:tc>
        <w:tc>
          <w:tcPr>
            <w:tcW w:w="460" w:type="dxa"/>
            <w:gridSpan w:val="4"/>
          </w:tcPr>
          <w:p w:rsidR="00AF7330" w:rsidRPr="00AF7330" w:rsidRDefault="00AF7330" w:rsidP="00B916C2">
            <w:pPr>
              <w:rPr>
                <w:rFonts w:asciiTheme="minorHAnsi" w:hAnsiTheme="minorHAnsi" w:cstheme="minorHAnsi"/>
                <w:b/>
                <w:sz w:val="20"/>
                <w:szCs w:val="20"/>
              </w:rPr>
            </w:pPr>
          </w:p>
        </w:tc>
        <w:tc>
          <w:tcPr>
            <w:tcW w:w="1248" w:type="dxa"/>
            <w:gridSpan w:val="4"/>
          </w:tcPr>
          <w:p w:rsidR="00AF7330" w:rsidRPr="00AF7330" w:rsidRDefault="00AF7330" w:rsidP="00B916C2">
            <w:pPr>
              <w:rPr>
                <w:rFonts w:asciiTheme="minorHAnsi" w:hAnsiTheme="minorHAnsi" w:cstheme="minorHAnsi"/>
                <w:b/>
                <w:sz w:val="20"/>
                <w:szCs w:val="20"/>
              </w:rPr>
            </w:pPr>
          </w:p>
        </w:tc>
        <w:tc>
          <w:tcPr>
            <w:tcW w:w="160" w:type="dxa"/>
          </w:tcPr>
          <w:p w:rsidR="00AF7330" w:rsidRPr="00AF7330" w:rsidRDefault="00AF7330" w:rsidP="00B916C2">
            <w:pPr>
              <w:rPr>
                <w:rFonts w:asciiTheme="minorHAnsi" w:hAnsiTheme="minorHAnsi" w:cstheme="minorHAnsi"/>
                <w:b/>
                <w:sz w:val="20"/>
                <w:szCs w:val="20"/>
              </w:rPr>
            </w:pPr>
          </w:p>
        </w:tc>
        <w:tc>
          <w:tcPr>
            <w:tcW w:w="397" w:type="dxa"/>
            <w:gridSpan w:val="4"/>
          </w:tcPr>
          <w:p w:rsidR="00AF7330" w:rsidRPr="00AF7330" w:rsidRDefault="00AF7330" w:rsidP="00B916C2">
            <w:pPr>
              <w:rPr>
                <w:rFonts w:asciiTheme="minorHAnsi" w:hAnsiTheme="minorHAnsi" w:cstheme="minorHAnsi"/>
                <w:b/>
                <w:sz w:val="20"/>
                <w:szCs w:val="20"/>
              </w:rPr>
            </w:pPr>
          </w:p>
        </w:tc>
        <w:tc>
          <w:tcPr>
            <w:tcW w:w="523" w:type="dxa"/>
            <w:gridSpan w:val="3"/>
          </w:tcPr>
          <w:p w:rsidR="00AF7330" w:rsidRPr="00AF7330" w:rsidRDefault="00AF7330" w:rsidP="00B916C2">
            <w:pPr>
              <w:rPr>
                <w:rFonts w:asciiTheme="minorHAnsi" w:hAnsiTheme="minorHAnsi" w:cstheme="minorHAnsi"/>
                <w:b/>
                <w:sz w:val="20"/>
                <w:szCs w:val="20"/>
              </w:rPr>
            </w:pPr>
          </w:p>
        </w:tc>
        <w:tc>
          <w:tcPr>
            <w:tcW w:w="1533" w:type="dxa"/>
            <w:gridSpan w:val="7"/>
          </w:tcPr>
          <w:p w:rsidR="00AF7330" w:rsidRPr="00AF7330" w:rsidRDefault="00AF7330" w:rsidP="00B916C2">
            <w:pPr>
              <w:rPr>
                <w:rFonts w:asciiTheme="minorHAnsi" w:hAnsiTheme="minorHAnsi" w:cstheme="minorHAnsi"/>
                <w:b/>
                <w:sz w:val="20"/>
                <w:szCs w:val="20"/>
              </w:rPr>
            </w:pPr>
          </w:p>
        </w:tc>
        <w:tc>
          <w:tcPr>
            <w:tcW w:w="160" w:type="dxa"/>
            <w:gridSpan w:val="3"/>
          </w:tcPr>
          <w:p w:rsidR="00AF7330" w:rsidRPr="00AF7330" w:rsidRDefault="00AF7330" w:rsidP="00B916C2">
            <w:pPr>
              <w:rPr>
                <w:rFonts w:asciiTheme="minorHAnsi" w:hAnsiTheme="minorHAnsi" w:cstheme="minorHAnsi"/>
                <w:b/>
                <w:sz w:val="20"/>
                <w:szCs w:val="20"/>
              </w:rPr>
            </w:pPr>
          </w:p>
        </w:tc>
        <w:tc>
          <w:tcPr>
            <w:tcW w:w="485" w:type="dxa"/>
            <w:gridSpan w:val="3"/>
          </w:tcPr>
          <w:p w:rsidR="00AF7330" w:rsidRPr="00AF7330" w:rsidRDefault="00AF7330" w:rsidP="00B916C2">
            <w:pPr>
              <w:rPr>
                <w:rFonts w:asciiTheme="minorHAnsi" w:hAnsiTheme="minorHAnsi" w:cstheme="minorHAnsi"/>
                <w:b/>
                <w:sz w:val="20"/>
                <w:szCs w:val="20"/>
              </w:rPr>
            </w:pPr>
          </w:p>
        </w:tc>
        <w:tc>
          <w:tcPr>
            <w:tcW w:w="460" w:type="dxa"/>
            <w:gridSpan w:val="3"/>
          </w:tcPr>
          <w:p w:rsidR="00AF7330" w:rsidRPr="00AF7330" w:rsidRDefault="00AF7330" w:rsidP="00B916C2">
            <w:pPr>
              <w:rPr>
                <w:rFonts w:asciiTheme="minorHAnsi" w:hAnsiTheme="minorHAnsi" w:cstheme="minorHAnsi"/>
                <w:b/>
                <w:sz w:val="20"/>
                <w:szCs w:val="20"/>
              </w:rPr>
            </w:pPr>
          </w:p>
        </w:tc>
        <w:tc>
          <w:tcPr>
            <w:tcW w:w="460" w:type="dxa"/>
            <w:gridSpan w:val="2"/>
          </w:tcPr>
          <w:p w:rsidR="00AF7330" w:rsidRPr="00AF7330" w:rsidRDefault="00AF7330" w:rsidP="00B916C2">
            <w:pPr>
              <w:rPr>
                <w:rFonts w:asciiTheme="minorHAnsi" w:hAnsiTheme="minorHAnsi" w:cstheme="minorHAnsi"/>
                <w:b/>
                <w:sz w:val="20"/>
                <w:szCs w:val="20"/>
              </w:rPr>
            </w:pPr>
          </w:p>
        </w:tc>
        <w:tc>
          <w:tcPr>
            <w:tcW w:w="460" w:type="dxa"/>
            <w:gridSpan w:val="2"/>
          </w:tcPr>
          <w:p w:rsidR="00AF7330" w:rsidRPr="00AF7330" w:rsidRDefault="00AF7330" w:rsidP="00B916C2">
            <w:pPr>
              <w:rPr>
                <w:rFonts w:asciiTheme="minorHAnsi" w:hAnsiTheme="minorHAnsi" w:cstheme="minorHAnsi"/>
                <w:b/>
                <w:sz w:val="20"/>
                <w:szCs w:val="20"/>
              </w:rPr>
            </w:pPr>
          </w:p>
        </w:tc>
        <w:tc>
          <w:tcPr>
            <w:tcW w:w="460" w:type="dxa"/>
            <w:gridSpan w:val="2"/>
          </w:tcPr>
          <w:p w:rsidR="00AF7330" w:rsidRPr="00AF7330" w:rsidRDefault="00AF7330" w:rsidP="00B916C2">
            <w:pPr>
              <w:rPr>
                <w:rFonts w:asciiTheme="minorHAnsi" w:hAnsiTheme="minorHAnsi" w:cstheme="minorHAnsi"/>
                <w:b/>
                <w:sz w:val="20"/>
                <w:szCs w:val="20"/>
              </w:rPr>
            </w:pPr>
          </w:p>
        </w:tc>
        <w:tc>
          <w:tcPr>
            <w:tcW w:w="460" w:type="dxa"/>
            <w:gridSpan w:val="4"/>
          </w:tcPr>
          <w:p w:rsidR="00AF7330" w:rsidRPr="00AF7330" w:rsidRDefault="00AF7330" w:rsidP="00B916C2">
            <w:pPr>
              <w:rPr>
                <w:rFonts w:asciiTheme="minorHAnsi" w:hAnsiTheme="minorHAnsi" w:cstheme="minorHAnsi"/>
                <w:b/>
                <w:sz w:val="20"/>
                <w:szCs w:val="20"/>
              </w:rPr>
            </w:pPr>
          </w:p>
        </w:tc>
        <w:tc>
          <w:tcPr>
            <w:tcW w:w="1394" w:type="dxa"/>
            <w:gridSpan w:val="3"/>
          </w:tcPr>
          <w:p w:rsidR="00AF7330" w:rsidRPr="00AF7330" w:rsidRDefault="00AF7330" w:rsidP="00B916C2">
            <w:pPr>
              <w:rPr>
                <w:rFonts w:asciiTheme="minorHAnsi" w:hAnsiTheme="minorHAnsi" w:cstheme="minorHAnsi"/>
                <w:b/>
                <w:sz w:val="20"/>
                <w:szCs w:val="20"/>
              </w:rPr>
            </w:pPr>
          </w:p>
        </w:tc>
      </w:tr>
      <w:tr w:rsidR="00AF7330" w:rsidRPr="00AF7330" w:rsidTr="00AF7330">
        <w:trPr>
          <w:gridAfter w:val="6"/>
          <w:wAfter w:w="3452" w:type="dxa"/>
        </w:trPr>
        <w:tc>
          <w:tcPr>
            <w:tcW w:w="2331" w:type="dxa"/>
            <w:gridSpan w:val="10"/>
            <w:tcBorders>
              <w:top w:val="single" w:sz="4" w:space="0" w:color="auto"/>
              <w:left w:val="single" w:sz="4" w:space="0" w:color="auto"/>
              <w:bottom w:val="single" w:sz="4" w:space="0" w:color="auto"/>
              <w:right w:val="single" w:sz="4" w:space="0" w:color="auto"/>
            </w:tcBorders>
            <w:shd w:val="clear" w:color="auto" w:fill="FFFF00"/>
          </w:tcPr>
          <w:p w:rsidR="00AF7330" w:rsidRPr="00AF7330" w:rsidRDefault="00AF7330" w:rsidP="00B916C2">
            <w:pPr>
              <w:jc w:val="center"/>
              <w:rPr>
                <w:rFonts w:asciiTheme="minorHAnsi" w:hAnsiTheme="minorHAnsi" w:cstheme="minorHAnsi"/>
                <w:b/>
                <w:sz w:val="18"/>
                <w:szCs w:val="18"/>
              </w:rPr>
            </w:pPr>
            <w:r w:rsidRPr="00AF7330">
              <w:rPr>
                <w:rFonts w:asciiTheme="minorHAnsi" w:hAnsiTheme="minorHAnsi" w:cstheme="minorHAnsi"/>
                <w:b/>
                <w:sz w:val="18"/>
                <w:szCs w:val="18"/>
              </w:rPr>
              <w:t>Rozpočet upravený v tis. Kč</w:t>
            </w:r>
          </w:p>
        </w:tc>
        <w:tc>
          <w:tcPr>
            <w:tcW w:w="1708" w:type="dxa"/>
            <w:gridSpan w:val="11"/>
            <w:tcBorders>
              <w:top w:val="single" w:sz="4" w:space="0" w:color="auto"/>
              <w:left w:val="single" w:sz="4" w:space="0" w:color="auto"/>
              <w:bottom w:val="single" w:sz="4" w:space="0" w:color="auto"/>
              <w:right w:val="single" w:sz="4" w:space="0" w:color="auto"/>
            </w:tcBorders>
            <w:shd w:val="clear" w:color="auto" w:fill="FFFF00"/>
          </w:tcPr>
          <w:p w:rsidR="00AF7330" w:rsidRPr="00AF7330" w:rsidRDefault="00AF7330" w:rsidP="00B916C2">
            <w:pPr>
              <w:jc w:val="center"/>
              <w:rPr>
                <w:rFonts w:asciiTheme="minorHAnsi" w:hAnsiTheme="minorHAnsi" w:cstheme="minorHAnsi"/>
                <w:b/>
                <w:sz w:val="18"/>
                <w:szCs w:val="18"/>
              </w:rPr>
            </w:pPr>
            <w:r w:rsidRPr="00AF7330">
              <w:rPr>
                <w:rFonts w:asciiTheme="minorHAnsi" w:hAnsiTheme="minorHAnsi" w:cstheme="minorHAnsi"/>
                <w:b/>
                <w:sz w:val="18"/>
                <w:szCs w:val="18"/>
              </w:rPr>
              <w:t>Skutečnost v tis. Kč</w:t>
            </w:r>
          </w:p>
        </w:tc>
        <w:tc>
          <w:tcPr>
            <w:tcW w:w="2550" w:type="dxa"/>
            <w:gridSpan w:val="14"/>
            <w:tcBorders>
              <w:top w:val="single" w:sz="4" w:space="0" w:color="auto"/>
              <w:left w:val="single" w:sz="4" w:space="0" w:color="auto"/>
              <w:bottom w:val="single" w:sz="4" w:space="0" w:color="auto"/>
              <w:right w:val="single" w:sz="4" w:space="0" w:color="auto"/>
            </w:tcBorders>
            <w:shd w:val="clear" w:color="auto" w:fill="FFFF00"/>
          </w:tcPr>
          <w:p w:rsidR="00AF7330" w:rsidRPr="00AF7330" w:rsidRDefault="00AF7330" w:rsidP="00B916C2">
            <w:pPr>
              <w:jc w:val="center"/>
              <w:rPr>
                <w:rFonts w:asciiTheme="minorHAnsi" w:hAnsiTheme="minorHAnsi" w:cstheme="minorHAnsi"/>
                <w:b/>
                <w:sz w:val="18"/>
                <w:szCs w:val="18"/>
              </w:rPr>
            </w:pPr>
            <w:r w:rsidRPr="00AF7330">
              <w:rPr>
                <w:rFonts w:asciiTheme="minorHAnsi" w:hAnsiTheme="minorHAnsi" w:cstheme="minorHAnsi"/>
                <w:b/>
                <w:sz w:val="18"/>
                <w:szCs w:val="18"/>
              </w:rPr>
              <w:t>SK/RU v %</w:t>
            </w:r>
          </w:p>
        </w:tc>
        <w:tc>
          <w:tcPr>
            <w:tcW w:w="3548" w:type="dxa"/>
            <w:gridSpan w:val="20"/>
            <w:tcBorders>
              <w:top w:val="single" w:sz="4" w:space="0" w:color="auto"/>
              <w:left w:val="single" w:sz="4" w:space="0" w:color="auto"/>
              <w:bottom w:val="single" w:sz="4" w:space="0" w:color="auto"/>
              <w:right w:val="single" w:sz="4" w:space="0" w:color="auto"/>
            </w:tcBorders>
            <w:shd w:val="clear" w:color="auto" w:fill="FFFF00"/>
          </w:tcPr>
          <w:p w:rsidR="00AF7330" w:rsidRPr="00AF7330" w:rsidRDefault="00AF7330" w:rsidP="00B916C2">
            <w:pPr>
              <w:jc w:val="center"/>
              <w:rPr>
                <w:rFonts w:asciiTheme="minorHAnsi" w:hAnsiTheme="minorHAnsi" w:cstheme="minorHAnsi"/>
                <w:b/>
                <w:sz w:val="18"/>
                <w:szCs w:val="18"/>
              </w:rPr>
            </w:pPr>
            <w:r w:rsidRPr="00AF7330">
              <w:rPr>
                <w:rFonts w:asciiTheme="minorHAnsi" w:hAnsiTheme="minorHAnsi" w:cstheme="minorHAnsi"/>
                <w:b/>
                <w:sz w:val="18"/>
                <w:szCs w:val="18"/>
              </w:rPr>
              <w:t>Komentář</w:t>
            </w:r>
          </w:p>
        </w:tc>
      </w:tr>
      <w:tr w:rsidR="00AF7330" w:rsidRPr="00AF7330" w:rsidTr="00AF7330">
        <w:trPr>
          <w:gridAfter w:val="6"/>
          <w:wAfter w:w="3452" w:type="dxa"/>
        </w:trPr>
        <w:tc>
          <w:tcPr>
            <w:tcW w:w="2331" w:type="dxa"/>
            <w:gridSpan w:val="10"/>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right"/>
              <w:rPr>
                <w:rFonts w:asciiTheme="minorHAnsi" w:hAnsiTheme="minorHAnsi" w:cstheme="minorHAnsi"/>
                <w:b/>
                <w:sz w:val="18"/>
                <w:szCs w:val="18"/>
              </w:rPr>
            </w:pPr>
            <w:r w:rsidRPr="00AF7330">
              <w:rPr>
                <w:rFonts w:asciiTheme="minorHAnsi" w:hAnsiTheme="minorHAnsi" w:cstheme="minorHAnsi"/>
                <w:b/>
                <w:sz w:val="18"/>
                <w:szCs w:val="18"/>
              </w:rPr>
              <w:t>20,00</w:t>
            </w:r>
          </w:p>
        </w:tc>
        <w:tc>
          <w:tcPr>
            <w:tcW w:w="1708" w:type="dxa"/>
            <w:gridSpan w:val="11"/>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right"/>
              <w:rPr>
                <w:rFonts w:asciiTheme="minorHAnsi" w:hAnsiTheme="minorHAnsi" w:cstheme="minorHAnsi"/>
                <w:b/>
                <w:sz w:val="18"/>
                <w:szCs w:val="18"/>
              </w:rPr>
            </w:pPr>
            <w:r w:rsidRPr="00AF7330">
              <w:rPr>
                <w:rFonts w:asciiTheme="minorHAnsi" w:hAnsiTheme="minorHAnsi" w:cstheme="minorHAnsi"/>
                <w:b/>
                <w:sz w:val="18"/>
                <w:szCs w:val="18"/>
              </w:rPr>
              <w:t>171,64</w:t>
            </w:r>
          </w:p>
        </w:tc>
        <w:tc>
          <w:tcPr>
            <w:tcW w:w="2550" w:type="dxa"/>
            <w:gridSpan w:val="14"/>
            <w:tcBorders>
              <w:top w:val="single" w:sz="4" w:space="0" w:color="auto"/>
              <w:left w:val="single" w:sz="4" w:space="0" w:color="auto"/>
              <w:bottom w:val="single" w:sz="4" w:space="0" w:color="auto"/>
              <w:right w:val="single" w:sz="4" w:space="0" w:color="auto"/>
            </w:tcBorders>
          </w:tcPr>
          <w:p w:rsidR="00AF7330" w:rsidRPr="00AF7330" w:rsidRDefault="00AF7330" w:rsidP="00AF7330">
            <w:pPr>
              <w:jc w:val="center"/>
              <w:rPr>
                <w:rFonts w:asciiTheme="minorHAnsi" w:hAnsiTheme="minorHAnsi" w:cstheme="minorHAnsi"/>
                <w:b/>
                <w:sz w:val="18"/>
                <w:szCs w:val="18"/>
              </w:rPr>
            </w:pPr>
            <w:r w:rsidRPr="00AF7330">
              <w:rPr>
                <w:rFonts w:asciiTheme="minorHAnsi" w:hAnsiTheme="minorHAnsi" w:cstheme="minorHAnsi"/>
                <w:b/>
                <w:sz w:val="18"/>
                <w:szCs w:val="18"/>
              </w:rPr>
              <w:t>858,22</w:t>
            </w:r>
          </w:p>
        </w:tc>
        <w:tc>
          <w:tcPr>
            <w:tcW w:w="3548" w:type="dxa"/>
            <w:gridSpan w:val="20"/>
            <w:tcBorders>
              <w:top w:val="single" w:sz="4" w:space="0" w:color="auto"/>
              <w:left w:val="single" w:sz="4" w:space="0" w:color="auto"/>
              <w:bottom w:val="single" w:sz="4" w:space="0" w:color="auto"/>
              <w:right w:val="single" w:sz="4" w:space="0" w:color="auto"/>
            </w:tcBorders>
          </w:tcPr>
          <w:p w:rsidR="00AF7330" w:rsidRPr="00AF7330" w:rsidRDefault="00AF7330" w:rsidP="00B916C2">
            <w:pPr>
              <w:rPr>
                <w:rFonts w:asciiTheme="minorHAnsi" w:hAnsiTheme="minorHAnsi" w:cstheme="minorHAnsi"/>
                <w:b/>
                <w:sz w:val="18"/>
                <w:szCs w:val="18"/>
              </w:rPr>
            </w:pPr>
            <w:r w:rsidRPr="00AF7330">
              <w:rPr>
                <w:rFonts w:asciiTheme="minorHAnsi" w:hAnsiTheme="minorHAnsi" w:cstheme="minorHAnsi"/>
                <w:b/>
                <w:sz w:val="18"/>
                <w:szCs w:val="18"/>
              </w:rPr>
              <w:t>Příjmy před konsolidací</w:t>
            </w:r>
          </w:p>
        </w:tc>
      </w:tr>
      <w:tr w:rsidR="00AF7330" w:rsidRPr="00AF7330" w:rsidTr="00AF7330">
        <w:trPr>
          <w:gridAfter w:val="6"/>
          <w:wAfter w:w="3452" w:type="dxa"/>
        </w:trPr>
        <w:tc>
          <w:tcPr>
            <w:tcW w:w="2331" w:type="dxa"/>
            <w:gridSpan w:val="10"/>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right"/>
              <w:rPr>
                <w:rFonts w:asciiTheme="minorHAnsi" w:hAnsiTheme="minorHAnsi" w:cstheme="minorHAnsi"/>
                <w:b/>
                <w:sz w:val="18"/>
                <w:szCs w:val="18"/>
              </w:rPr>
            </w:pPr>
            <w:r w:rsidRPr="00AF7330">
              <w:rPr>
                <w:rFonts w:asciiTheme="minorHAnsi" w:hAnsiTheme="minorHAnsi" w:cstheme="minorHAnsi"/>
                <w:b/>
                <w:sz w:val="18"/>
                <w:szCs w:val="18"/>
              </w:rPr>
              <w:t>20,00</w:t>
            </w:r>
          </w:p>
        </w:tc>
        <w:tc>
          <w:tcPr>
            <w:tcW w:w="1708" w:type="dxa"/>
            <w:gridSpan w:val="11"/>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right"/>
              <w:rPr>
                <w:rFonts w:asciiTheme="minorHAnsi" w:hAnsiTheme="minorHAnsi" w:cstheme="minorHAnsi"/>
                <w:b/>
                <w:sz w:val="18"/>
                <w:szCs w:val="18"/>
              </w:rPr>
            </w:pPr>
            <w:r w:rsidRPr="00AF7330">
              <w:rPr>
                <w:rFonts w:asciiTheme="minorHAnsi" w:hAnsiTheme="minorHAnsi" w:cstheme="minorHAnsi"/>
                <w:b/>
                <w:sz w:val="18"/>
                <w:szCs w:val="18"/>
              </w:rPr>
              <w:t>171,64</w:t>
            </w:r>
          </w:p>
        </w:tc>
        <w:tc>
          <w:tcPr>
            <w:tcW w:w="2550" w:type="dxa"/>
            <w:gridSpan w:val="14"/>
            <w:tcBorders>
              <w:top w:val="single" w:sz="4" w:space="0" w:color="auto"/>
              <w:left w:val="single" w:sz="4" w:space="0" w:color="auto"/>
              <w:bottom w:val="single" w:sz="4" w:space="0" w:color="auto"/>
              <w:right w:val="single" w:sz="4" w:space="0" w:color="auto"/>
            </w:tcBorders>
          </w:tcPr>
          <w:p w:rsidR="00AF7330" w:rsidRPr="00AF7330" w:rsidRDefault="00AF7330" w:rsidP="00AF7330">
            <w:pPr>
              <w:jc w:val="center"/>
              <w:rPr>
                <w:rFonts w:asciiTheme="minorHAnsi" w:hAnsiTheme="minorHAnsi" w:cstheme="minorHAnsi"/>
                <w:b/>
                <w:sz w:val="18"/>
                <w:szCs w:val="18"/>
              </w:rPr>
            </w:pPr>
            <w:r w:rsidRPr="00AF7330">
              <w:rPr>
                <w:rFonts w:asciiTheme="minorHAnsi" w:hAnsiTheme="minorHAnsi" w:cstheme="minorHAnsi"/>
                <w:b/>
                <w:sz w:val="18"/>
                <w:szCs w:val="18"/>
              </w:rPr>
              <w:t>858,22</w:t>
            </w:r>
          </w:p>
        </w:tc>
        <w:tc>
          <w:tcPr>
            <w:tcW w:w="3548" w:type="dxa"/>
            <w:gridSpan w:val="20"/>
            <w:tcBorders>
              <w:top w:val="single" w:sz="4" w:space="0" w:color="auto"/>
              <w:left w:val="single" w:sz="4" w:space="0" w:color="auto"/>
              <w:bottom w:val="single" w:sz="4" w:space="0" w:color="auto"/>
              <w:right w:val="single" w:sz="4" w:space="0" w:color="auto"/>
            </w:tcBorders>
          </w:tcPr>
          <w:p w:rsidR="00AF7330" w:rsidRPr="00AF7330" w:rsidRDefault="00AF7330" w:rsidP="00B916C2">
            <w:pPr>
              <w:rPr>
                <w:rFonts w:asciiTheme="minorHAnsi" w:hAnsiTheme="minorHAnsi" w:cstheme="minorHAnsi"/>
                <w:b/>
                <w:sz w:val="18"/>
                <w:szCs w:val="18"/>
              </w:rPr>
            </w:pPr>
            <w:r w:rsidRPr="00AF7330">
              <w:rPr>
                <w:rFonts w:asciiTheme="minorHAnsi" w:hAnsiTheme="minorHAnsi" w:cstheme="minorHAnsi"/>
                <w:b/>
                <w:sz w:val="18"/>
                <w:szCs w:val="18"/>
              </w:rPr>
              <w:t>Příjmy po konsolidaci</w:t>
            </w:r>
          </w:p>
        </w:tc>
      </w:tr>
      <w:tr w:rsidR="00AF7330" w:rsidRPr="00AF7330" w:rsidTr="00AF7330">
        <w:trPr>
          <w:gridAfter w:val="1"/>
          <w:wAfter w:w="1978" w:type="dxa"/>
        </w:trPr>
        <w:tc>
          <w:tcPr>
            <w:tcW w:w="454" w:type="dxa"/>
            <w:gridSpan w:val="2"/>
          </w:tcPr>
          <w:p w:rsidR="00AF7330" w:rsidRPr="00AF7330" w:rsidRDefault="00AF7330" w:rsidP="00B916C2">
            <w:pPr>
              <w:rPr>
                <w:rFonts w:asciiTheme="minorHAnsi" w:hAnsiTheme="minorHAnsi" w:cstheme="minorHAnsi"/>
                <w:b/>
                <w:sz w:val="20"/>
                <w:szCs w:val="20"/>
              </w:rPr>
            </w:pPr>
          </w:p>
        </w:tc>
        <w:tc>
          <w:tcPr>
            <w:tcW w:w="393" w:type="dxa"/>
          </w:tcPr>
          <w:p w:rsidR="00AF7330" w:rsidRPr="00AF7330" w:rsidRDefault="00AF7330" w:rsidP="00B916C2">
            <w:pPr>
              <w:rPr>
                <w:rFonts w:asciiTheme="minorHAnsi" w:hAnsiTheme="minorHAnsi" w:cstheme="minorHAnsi"/>
                <w:b/>
                <w:sz w:val="20"/>
                <w:szCs w:val="20"/>
              </w:rPr>
            </w:pPr>
          </w:p>
        </w:tc>
        <w:tc>
          <w:tcPr>
            <w:tcW w:w="525" w:type="dxa"/>
            <w:gridSpan w:val="3"/>
          </w:tcPr>
          <w:p w:rsidR="00AF7330" w:rsidRPr="00AF7330" w:rsidRDefault="00AF7330" w:rsidP="00B916C2">
            <w:pPr>
              <w:rPr>
                <w:rFonts w:asciiTheme="minorHAnsi" w:hAnsiTheme="minorHAnsi" w:cstheme="minorHAnsi"/>
                <w:b/>
                <w:sz w:val="20"/>
                <w:szCs w:val="20"/>
              </w:rPr>
            </w:pPr>
          </w:p>
        </w:tc>
        <w:tc>
          <w:tcPr>
            <w:tcW w:w="959" w:type="dxa"/>
            <w:gridSpan w:val="4"/>
          </w:tcPr>
          <w:p w:rsidR="00AF7330" w:rsidRPr="00AF7330" w:rsidRDefault="00AF7330" w:rsidP="00B916C2">
            <w:pPr>
              <w:rPr>
                <w:rFonts w:asciiTheme="minorHAnsi" w:hAnsiTheme="minorHAnsi" w:cstheme="minorHAnsi"/>
                <w:b/>
                <w:sz w:val="20"/>
                <w:szCs w:val="20"/>
              </w:rPr>
            </w:pPr>
          </w:p>
        </w:tc>
        <w:tc>
          <w:tcPr>
            <w:tcW w:w="160" w:type="dxa"/>
          </w:tcPr>
          <w:p w:rsidR="00AF7330" w:rsidRPr="00AF7330" w:rsidRDefault="00AF7330" w:rsidP="00B916C2">
            <w:pPr>
              <w:rPr>
                <w:rFonts w:asciiTheme="minorHAnsi" w:hAnsiTheme="minorHAnsi" w:cstheme="minorHAnsi"/>
                <w:b/>
                <w:sz w:val="20"/>
                <w:szCs w:val="20"/>
              </w:rPr>
            </w:pPr>
          </w:p>
        </w:tc>
        <w:tc>
          <w:tcPr>
            <w:tcW w:w="460" w:type="dxa"/>
            <w:gridSpan w:val="4"/>
          </w:tcPr>
          <w:p w:rsidR="00AF7330" w:rsidRPr="00AF7330" w:rsidRDefault="00AF7330" w:rsidP="00B916C2">
            <w:pPr>
              <w:rPr>
                <w:rFonts w:asciiTheme="minorHAnsi" w:hAnsiTheme="minorHAnsi" w:cstheme="minorHAnsi"/>
                <w:b/>
                <w:sz w:val="20"/>
                <w:szCs w:val="20"/>
              </w:rPr>
            </w:pPr>
          </w:p>
        </w:tc>
        <w:tc>
          <w:tcPr>
            <w:tcW w:w="460" w:type="dxa"/>
            <w:gridSpan w:val="4"/>
          </w:tcPr>
          <w:p w:rsidR="00AF7330" w:rsidRPr="00AF7330" w:rsidRDefault="00AF7330" w:rsidP="00B916C2">
            <w:pPr>
              <w:rPr>
                <w:rFonts w:asciiTheme="minorHAnsi" w:hAnsiTheme="minorHAnsi" w:cstheme="minorHAnsi"/>
                <w:b/>
                <w:sz w:val="20"/>
                <w:szCs w:val="20"/>
              </w:rPr>
            </w:pPr>
          </w:p>
        </w:tc>
        <w:tc>
          <w:tcPr>
            <w:tcW w:w="1248" w:type="dxa"/>
            <w:gridSpan w:val="4"/>
          </w:tcPr>
          <w:p w:rsidR="00AF7330" w:rsidRPr="00AF7330" w:rsidRDefault="00AF7330" w:rsidP="00B916C2">
            <w:pPr>
              <w:rPr>
                <w:rFonts w:asciiTheme="minorHAnsi" w:hAnsiTheme="minorHAnsi" w:cstheme="minorHAnsi"/>
                <w:b/>
                <w:sz w:val="20"/>
                <w:szCs w:val="20"/>
              </w:rPr>
            </w:pPr>
          </w:p>
        </w:tc>
        <w:tc>
          <w:tcPr>
            <w:tcW w:w="160" w:type="dxa"/>
          </w:tcPr>
          <w:p w:rsidR="00AF7330" w:rsidRPr="00AF7330" w:rsidRDefault="00AF7330" w:rsidP="00B916C2">
            <w:pPr>
              <w:rPr>
                <w:rFonts w:asciiTheme="minorHAnsi" w:hAnsiTheme="minorHAnsi" w:cstheme="minorHAnsi"/>
                <w:b/>
                <w:sz w:val="20"/>
                <w:szCs w:val="20"/>
              </w:rPr>
            </w:pPr>
          </w:p>
        </w:tc>
        <w:tc>
          <w:tcPr>
            <w:tcW w:w="397" w:type="dxa"/>
            <w:gridSpan w:val="4"/>
          </w:tcPr>
          <w:p w:rsidR="00AF7330" w:rsidRPr="00AF7330" w:rsidRDefault="00AF7330" w:rsidP="00B916C2">
            <w:pPr>
              <w:rPr>
                <w:rFonts w:asciiTheme="minorHAnsi" w:hAnsiTheme="minorHAnsi" w:cstheme="minorHAnsi"/>
                <w:b/>
                <w:sz w:val="20"/>
                <w:szCs w:val="20"/>
              </w:rPr>
            </w:pPr>
          </w:p>
        </w:tc>
        <w:tc>
          <w:tcPr>
            <w:tcW w:w="523" w:type="dxa"/>
            <w:gridSpan w:val="3"/>
          </w:tcPr>
          <w:p w:rsidR="00AF7330" w:rsidRPr="00AF7330" w:rsidRDefault="00AF7330" w:rsidP="00B916C2">
            <w:pPr>
              <w:rPr>
                <w:rFonts w:asciiTheme="minorHAnsi" w:hAnsiTheme="minorHAnsi" w:cstheme="minorHAnsi"/>
                <w:b/>
                <w:sz w:val="20"/>
                <w:szCs w:val="20"/>
              </w:rPr>
            </w:pPr>
          </w:p>
        </w:tc>
        <w:tc>
          <w:tcPr>
            <w:tcW w:w="1533" w:type="dxa"/>
            <w:gridSpan w:val="7"/>
          </w:tcPr>
          <w:p w:rsidR="00AF7330" w:rsidRPr="00AF7330" w:rsidRDefault="00AF7330" w:rsidP="00B916C2">
            <w:pPr>
              <w:rPr>
                <w:rFonts w:asciiTheme="minorHAnsi" w:hAnsiTheme="minorHAnsi" w:cstheme="minorHAnsi"/>
                <w:b/>
                <w:sz w:val="20"/>
                <w:szCs w:val="20"/>
              </w:rPr>
            </w:pPr>
          </w:p>
        </w:tc>
        <w:tc>
          <w:tcPr>
            <w:tcW w:w="160" w:type="dxa"/>
            <w:gridSpan w:val="3"/>
          </w:tcPr>
          <w:p w:rsidR="00AF7330" w:rsidRPr="00AF7330" w:rsidRDefault="00AF7330" w:rsidP="00B916C2">
            <w:pPr>
              <w:rPr>
                <w:rFonts w:asciiTheme="minorHAnsi" w:hAnsiTheme="minorHAnsi" w:cstheme="minorHAnsi"/>
                <w:b/>
                <w:sz w:val="20"/>
                <w:szCs w:val="20"/>
              </w:rPr>
            </w:pPr>
          </w:p>
        </w:tc>
        <w:tc>
          <w:tcPr>
            <w:tcW w:w="485" w:type="dxa"/>
            <w:gridSpan w:val="3"/>
          </w:tcPr>
          <w:p w:rsidR="00AF7330" w:rsidRPr="00AF7330" w:rsidRDefault="00AF7330" w:rsidP="00B916C2">
            <w:pPr>
              <w:rPr>
                <w:rFonts w:asciiTheme="minorHAnsi" w:hAnsiTheme="minorHAnsi" w:cstheme="minorHAnsi"/>
                <w:b/>
                <w:sz w:val="20"/>
                <w:szCs w:val="20"/>
              </w:rPr>
            </w:pPr>
          </w:p>
        </w:tc>
        <w:tc>
          <w:tcPr>
            <w:tcW w:w="460" w:type="dxa"/>
            <w:gridSpan w:val="3"/>
          </w:tcPr>
          <w:p w:rsidR="00AF7330" w:rsidRPr="00AF7330" w:rsidRDefault="00AF7330" w:rsidP="00B916C2">
            <w:pPr>
              <w:rPr>
                <w:rFonts w:asciiTheme="minorHAnsi" w:hAnsiTheme="minorHAnsi" w:cstheme="minorHAnsi"/>
                <w:b/>
                <w:sz w:val="20"/>
                <w:szCs w:val="20"/>
              </w:rPr>
            </w:pPr>
          </w:p>
        </w:tc>
        <w:tc>
          <w:tcPr>
            <w:tcW w:w="460" w:type="dxa"/>
            <w:gridSpan w:val="2"/>
          </w:tcPr>
          <w:p w:rsidR="00AF7330" w:rsidRPr="00AF7330" w:rsidRDefault="00AF7330" w:rsidP="00B916C2">
            <w:pPr>
              <w:rPr>
                <w:rFonts w:asciiTheme="minorHAnsi" w:hAnsiTheme="minorHAnsi" w:cstheme="minorHAnsi"/>
                <w:b/>
                <w:sz w:val="20"/>
                <w:szCs w:val="20"/>
              </w:rPr>
            </w:pPr>
          </w:p>
        </w:tc>
        <w:tc>
          <w:tcPr>
            <w:tcW w:w="460" w:type="dxa"/>
            <w:gridSpan w:val="2"/>
          </w:tcPr>
          <w:p w:rsidR="00AF7330" w:rsidRPr="00AF7330" w:rsidRDefault="00AF7330" w:rsidP="00B916C2">
            <w:pPr>
              <w:rPr>
                <w:rFonts w:asciiTheme="minorHAnsi" w:hAnsiTheme="minorHAnsi" w:cstheme="minorHAnsi"/>
                <w:b/>
                <w:sz w:val="20"/>
                <w:szCs w:val="20"/>
              </w:rPr>
            </w:pPr>
          </w:p>
        </w:tc>
        <w:tc>
          <w:tcPr>
            <w:tcW w:w="460" w:type="dxa"/>
            <w:gridSpan w:val="2"/>
          </w:tcPr>
          <w:p w:rsidR="00AF7330" w:rsidRPr="00AF7330" w:rsidRDefault="00AF7330" w:rsidP="00B916C2">
            <w:pPr>
              <w:rPr>
                <w:rFonts w:asciiTheme="minorHAnsi" w:hAnsiTheme="minorHAnsi" w:cstheme="minorHAnsi"/>
                <w:b/>
                <w:sz w:val="20"/>
                <w:szCs w:val="20"/>
              </w:rPr>
            </w:pPr>
          </w:p>
        </w:tc>
        <w:tc>
          <w:tcPr>
            <w:tcW w:w="460" w:type="dxa"/>
            <w:gridSpan w:val="4"/>
          </w:tcPr>
          <w:p w:rsidR="00AF7330" w:rsidRPr="00AF7330" w:rsidRDefault="00AF7330" w:rsidP="00B916C2">
            <w:pPr>
              <w:rPr>
                <w:rFonts w:asciiTheme="minorHAnsi" w:hAnsiTheme="minorHAnsi" w:cstheme="minorHAnsi"/>
                <w:b/>
                <w:sz w:val="20"/>
                <w:szCs w:val="20"/>
              </w:rPr>
            </w:pPr>
          </w:p>
        </w:tc>
        <w:tc>
          <w:tcPr>
            <w:tcW w:w="1394" w:type="dxa"/>
            <w:gridSpan w:val="3"/>
          </w:tcPr>
          <w:p w:rsidR="00AF7330" w:rsidRPr="00AF7330" w:rsidRDefault="00AF7330" w:rsidP="00B916C2">
            <w:pPr>
              <w:rPr>
                <w:rFonts w:asciiTheme="minorHAnsi" w:hAnsiTheme="minorHAnsi" w:cstheme="minorHAnsi"/>
                <w:b/>
                <w:sz w:val="20"/>
                <w:szCs w:val="20"/>
              </w:rPr>
            </w:pPr>
          </w:p>
        </w:tc>
      </w:tr>
      <w:tr w:rsidR="00AF7330" w:rsidRPr="00AF7330" w:rsidTr="00AF7330">
        <w:trPr>
          <w:gridAfter w:val="6"/>
          <w:wAfter w:w="3452" w:type="dxa"/>
        </w:trPr>
        <w:tc>
          <w:tcPr>
            <w:tcW w:w="10137" w:type="dxa"/>
            <w:gridSpan w:val="55"/>
          </w:tcPr>
          <w:p w:rsidR="00AF7330" w:rsidRPr="00AF7330" w:rsidRDefault="00AF7330" w:rsidP="00B916C2">
            <w:pPr>
              <w:rPr>
                <w:rFonts w:asciiTheme="minorHAnsi" w:hAnsiTheme="minorHAnsi" w:cstheme="minorHAnsi"/>
                <w:b/>
                <w:sz w:val="20"/>
                <w:szCs w:val="20"/>
              </w:rPr>
            </w:pPr>
            <w:r w:rsidRPr="00AF7330">
              <w:rPr>
                <w:rFonts w:asciiTheme="minorHAnsi" w:hAnsiTheme="minorHAnsi" w:cstheme="minorHAnsi"/>
                <w:b/>
                <w:sz w:val="20"/>
                <w:szCs w:val="20"/>
              </w:rPr>
              <w:t>Stručný komentář k celkovému vývoji plnění příjmů kapitoly ve sledovaném období</w:t>
            </w:r>
          </w:p>
        </w:tc>
      </w:tr>
      <w:tr w:rsidR="00AF7330" w:rsidRPr="00AF7330" w:rsidTr="00AF7330">
        <w:trPr>
          <w:gridAfter w:val="2"/>
          <w:wAfter w:w="2003" w:type="dxa"/>
        </w:trPr>
        <w:tc>
          <w:tcPr>
            <w:tcW w:w="454" w:type="dxa"/>
            <w:gridSpan w:val="2"/>
          </w:tcPr>
          <w:p w:rsidR="00AF7330" w:rsidRPr="00AF7330" w:rsidRDefault="00AF7330" w:rsidP="00B916C2">
            <w:pPr>
              <w:rPr>
                <w:rFonts w:asciiTheme="minorHAnsi" w:hAnsiTheme="minorHAnsi" w:cstheme="minorHAnsi"/>
                <w:b/>
                <w:sz w:val="20"/>
                <w:szCs w:val="20"/>
              </w:rPr>
            </w:pPr>
          </w:p>
        </w:tc>
        <w:tc>
          <w:tcPr>
            <w:tcW w:w="393" w:type="dxa"/>
          </w:tcPr>
          <w:p w:rsidR="00AF7330" w:rsidRPr="00AF7330" w:rsidRDefault="00AF7330" w:rsidP="00B916C2">
            <w:pPr>
              <w:rPr>
                <w:rFonts w:asciiTheme="minorHAnsi" w:hAnsiTheme="minorHAnsi" w:cstheme="minorHAnsi"/>
                <w:b/>
                <w:sz w:val="20"/>
                <w:szCs w:val="20"/>
              </w:rPr>
            </w:pPr>
          </w:p>
        </w:tc>
        <w:tc>
          <w:tcPr>
            <w:tcW w:w="525" w:type="dxa"/>
            <w:gridSpan w:val="3"/>
          </w:tcPr>
          <w:p w:rsidR="00AF7330" w:rsidRPr="00AF7330" w:rsidRDefault="00AF7330" w:rsidP="00B916C2">
            <w:pPr>
              <w:rPr>
                <w:rFonts w:asciiTheme="minorHAnsi" w:hAnsiTheme="minorHAnsi" w:cstheme="minorHAnsi"/>
                <w:b/>
                <w:sz w:val="20"/>
                <w:szCs w:val="20"/>
              </w:rPr>
            </w:pPr>
          </w:p>
        </w:tc>
        <w:tc>
          <w:tcPr>
            <w:tcW w:w="459" w:type="dxa"/>
            <w:gridSpan w:val="2"/>
          </w:tcPr>
          <w:p w:rsidR="00AF7330" w:rsidRPr="00AF7330" w:rsidRDefault="00AF7330" w:rsidP="00B916C2">
            <w:pPr>
              <w:rPr>
                <w:rFonts w:asciiTheme="minorHAnsi" w:hAnsiTheme="minorHAnsi" w:cstheme="minorHAnsi"/>
                <w:b/>
                <w:sz w:val="20"/>
                <w:szCs w:val="20"/>
              </w:rPr>
            </w:pPr>
          </w:p>
        </w:tc>
        <w:tc>
          <w:tcPr>
            <w:tcW w:w="458" w:type="dxa"/>
          </w:tcPr>
          <w:p w:rsidR="00AF7330" w:rsidRPr="00AF7330" w:rsidRDefault="00AF7330" w:rsidP="00B916C2">
            <w:pPr>
              <w:rPr>
                <w:rFonts w:asciiTheme="minorHAnsi" w:hAnsiTheme="minorHAnsi" w:cstheme="minorHAnsi"/>
                <w:b/>
                <w:sz w:val="20"/>
                <w:szCs w:val="20"/>
              </w:rPr>
            </w:pPr>
          </w:p>
        </w:tc>
        <w:tc>
          <w:tcPr>
            <w:tcW w:w="460" w:type="dxa"/>
            <w:gridSpan w:val="4"/>
          </w:tcPr>
          <w:p w:rsidR="00AF7330" w:rsidRPr="00AF7330" w:rsidRDefault="00AF7330" w:rsidP="00B916C2">
            <w:pPr>
              <w:rPr>
                <w:rFonts w:asciiTheme="minorHAnsi" w:hAnsiTheme="minorHAnsi" w:cstheme="minorHAnsi"/>
                <w:b/>
                <w:sz w:val="20"/>
                <w:szCs w:val="20"/>
              </w:rPr>
            </w:pPr>
          </w:p>
        </w:tc>
        <w:tc>
          <w:tcPr>
            <w:tcW w:w="460" w:type="dxa"/>
            <w:gridSpan w:val="4"/>
          </w:tcPr>
          <w:p w:rsidR="00AF7330" w:rsidRPr="00AF7330" w:rsidRDefault="00AF7330" w:rsidP="00B916C2">
            <w:pPr>
              <w:rPr>
                <w:rFonts w:asciiTheme="minorHAnsi" w:hAnsiTheme="minorHAnsi" w:cstheme="minorHAnsi"/>
                <w:b/>
                <w:sz w:val="20"/>
                <w:szCs w:val="20"/>
              </w:rPr>
            </w:pPr>
          </w:p>
        </w:tc>
        <w:tc>
          <w:tcPr>
            <w:tcW w:w="830" w:type="dxa"/>
            <w:gridSpan w:val="4"/>
          </w:tcPr>
          <w:p w:rsidR="00AF7330" w:rsidRPr="00AF7330" w:rsidRDefault="00AF7330" w:rsidP="00B916C2">
            <w:pPr>
              <w:rPr>
                <w:rFonts w:asciiTheme="minorHAnsi" w:hAnsiTheme="minorHAnsi" w:cstheme="minorHAnsi"/>
                <w:b/>
                <w:sz w:val="20"/>
                <w:szCs w:val="20"/>
              </w:rPr>
            </w:pPr>
          </w:p>
        </w:tc>
        <w:tc>
          <w:tcPr>
            <w:tcW w:w="992" w:type="dxa"/>
            <w:gridSpan w:val="4"/>
          </w:tcPr>
          <w:p w:rsidR="00AF7330" w:rsidRPr="00AF7330" w:rsidRDefault="00AF7330" w:rsidP="00B916C2">
            <w:pPr>
              <w:rPr>
                <w:rFonts w:asciiTheme="minorHAnsi" w:hAnsiTheme="minorHAnsi" w:cstheme="minorHAnsi"/>
                <w:b/>
                <w:sz w:val="20"/>
                <w:szCs w:val="20"/>
              </w:rPr>
            </w:pPr>
          </w:p>
        </w:tc>
        <w:tc>
          <w:tcPr>
            <w:tcW w:w="160" w:type="dxa"/>
            <w:gridSpan w:val="2"/>
          </w:tcPr>
          <w:p w:rsidR="00AF7330" w:rsidRPr="00AF7330" w:rsidRDefault="00AF7330" w:rsidP="00B916C2">
            <w:pPr>
              <w:rPr>
                <w:rFonts w:asciiTheme="minorHAnsi" w:hAnsiTheme="minorHAnsi" w:cstheme="minorHAnsi"/>
                <w:b/>
                <w:sz w:val="20"/>
                <w:szCs w:val="20"/>
              </w:rPr>
            </w:pPr>
          </w:p>
        </w:tc>
        <w:tc>
          <w:tcPr>
            <w:tcW w:w="523" w:type="dxa"/>
            <w:gridSpan w:val="3"/>
          </w:tcPr>
          <w:p w:rsidR="00AF7330" w:rsidRPr="00AF7330" w:rsidRDefault="00AF7330" w:rsidP="00B916C2">
            <w:pPr>
              <w:rPr>
                <w:rFonts w:asciiTheme="minorHAnsi" w:hAnsiTheme="minorHAnsi" w:cstheme="minorHAnsi"/>
                <w:b/>
                <w:sz w:val="20"/>
                <w:szCs w:val="20"/>
              </w:rPr>
            </w:pPr>
          </w:p>
        </w:tc>
        <w:tc>
          <w:tcPr>
            <w:tcW w:w="1533" w:type="dxa"/>
            <w:gridSpan w:val="7"/>
          </w:tcPr>
          <w:p w:rsidR="00AF7330" w:rsidRPr="00AF7330" w:rsidRDefault="00AF7330" w:rsidP="00B916C2">
            <w:pPr>
              <w:rPr>
                <w:rFonts w:asciiTheme="minorHAnsi" w:hAnsiTheme="minorHAnsi" w:cstheme="minorHAnsi"/>
                <w:b/>
                <w:sz w:val="20"/>
                <w:szCs w:val="20"/>
              </w:rPr>
            </w:pPr>
          </w:p>
        </w:tc>
        <w:tc>
          <w:tcPr>
            <w:tcW w:w="160" w:type="dxa"/>
            <w:gridSpan w:val="2"/>
          </w:tcPr>
          <w:p w:rsidR="00AF7330" w:rsidRPr="00AF7330" w:rsidRDefault="00AF7330" w:rsidP="00B916C2">
            <w:pPr>
              <w:rPr>
                <w:rFonts w:asciiTheme="minorHAnsi" w:hAnsiTheme="minorHAnsi" w:cstheme="minorHAnsi"/>
                <w:b/>
                <w:sz w:val="20"/>
                <w:szCs w:val="20"/>
              </w:rPr>
            </w:pPr>
          </w:p>
        </w:tc>
        <w:tc>
          <w:tcPr>
            <w:tcW w:w="485" w:type="dxa"/>
            <w:gridSpan w:val="4"/>
          </w:tcPr>
          <w:p w:rsidR="00AF7330" w:rsidRPr="00AF7330" w:rsidRDefault="00AF7330" w:rsidP="00B916C2">
            <w:pPr>
              <w:rPr>
                <w:rFonts w:asciiTheme="minorHAnsi" w:hAnsiTheme="minorHAnsi" w:cstheme="minorHAnsi"/>
                <w:b/>
                <w:sz w:val="20"/>
                <w:szCs w:val="20"/>
              </w:rPr>
            </w:pPr>
          </w:p>
        </w:tc>
        <w:tc>
          <w:tcPr>
            <w:tcW w:w="460" w:type="dxa"/>
            <w:gridSpan w:val="3"/>
          </w:tcPr>
          <w:p w:rsidR="00AF7330" w:rsidRPr="00AF7330" w:rsidRDefault="00AF7330" w:rsidP="00B916C2">
            <w:pPr>
              <w:rPr>
                <w:rFonts w:asciiTheme="minorHAnsi" w:hAnsiTheme="minorHAnsi" w:cstheme="minorHAnsi"/>
                <w:b/>
                <w:sz w:val="20"/>
                <w:szCs w:val="20"/>
              </w:rPr>
            </w:pPr>
          </w:p>
        </w:tc>
        <w:tc>
          <w:tcPr>
            <w:tcW w:w="460" w:type="dxa"/>
            <w:gridSpan w:val="2"/>
          </w:tcPr>
          <w:p w:rsidR="00AF7330" w:rsidRPr="00AF7330" w:rsidRDefault="00AF7330" w:rsidP="00B916C2">
            <w:pPr>
              <w:rPr>
                <w:rFonts w:asciiTheme="minorHAnsi" w:hAnsiTheme="minorHAnsi" w:cstheme="minorHAnsi"/>
                <w:b/>
                <w:sz w:val="20"/>
                <w:szCs w:val="20"/>
              </w:rPr>
            </w:pPr>
          </w:p>
        </w:tc>
        <w:tc>
          <w:tcPr>
            <w:tcW w:w="460" w:type="dxa"/>
            <w:gridSpan w:val="2"/>
          </w:tcPr>
          <w:p w:rsidR="00AF7330" w:rsidRPr="00AF7330" w:rsidRDefault="00AF7330" w:rsidP="00B916C2">
            <w:pPr>
              <w:rPr>
                <w:rFonts w:asciiTheme="minorHAnsi" w:hAnsiTheme="minorHAnsi" w:cstheme="minorHAnsi"/>
                <w:b/>
                <w:sz w:val="20"/>
                <w:szCs w:val="20"/>
              </w:rPr>
            </w:pPr>
          </w:p>
        </w:tc>
        <w:tc>
          <w:tcPr>
            <w:tcW w:w="460" w:type="dxa"/>
            <w:gridSpan w:val="2"/>
          </w:tcPr>
          <w:p w:rsidR="00AF7330" w:rsidRPr="00AF7330" w:rsidRDefault="00AF7330" w:rsidP="00B916C2">
            <w:pPr>
              <w:rPr>
                <w:rFonts w:asciiTheme="minorHAnsi" w:hAnsiTheme="minorHAnsi" w:cstheme="minorHAnsi"/>
                <w:b/>
                <w:sz w:val="20"/>
                <w:szCs w:val="20"/>
              </w:rPr>
            </w:pPr>
          </w:p>
        </w:tc>
        <w:tc>
          <w:tcPr>
            <w:tcW w:w="460" w:type="dxa"/>
            <w:gridSpan w:val="4"/>
          </w:tcPr>
          <w:p w:rsidR="00AF7330" w:rsidRPr="00AF7330" w:rsidRDefault="00AF7330" w:rsidP="00B916C2">
            <w:pPr>
              <w:rPr>
                <w:rFonts w:asciiTheme="minorHAnsi" w:hAnsiTheme="minorHAnsi" w:cstheme="minorHAnsi"/>
                <w:b/>
                <w:sz w:val="20"/>
                <w:szCs w:val="20"/>
              </w:rPr>
            </w:pPr>
          </w:p>
        </w:tc>
        <w:tc>
          <w:tcPr>
            <w:tcW w:w="1394" w:type="dxa"/>
            <w:gridSpan w:val="3"/>
          </w:tcPr>
          <w:p w:rsidR="00AF7330" w:rsidRPr="00AF7330" w:rsidRDefault="00AF7330" w:rsidP="00B916C2">
            <w:pPr>
              <w:rPr>
                <w:rFonts w:asciiTheme="minorHAnsi" w:hAnsiTheme="minorHAnsi" w:cstheme="minorHAnsi"/>
                <w:b/>
                <w:sz w:val="20"/>
                <w:szCs w:val="20"/>
              </w:rPr>
            </w:pPr>
          </w:p>
        </w:tc>
      </w:tr>
      <w:tr w:rsidR="00AF7330" w:rsidRPr="00AF7330" w:rsidTr="00AF7330">
        <w:trPr>
          <w:gridAfter w:val="6"/>
          <w:wAfter w:w="3452" w:type="dxa"/>
        </w:trPr>
        <w:tc>
          <w:tcPr>
            <w:tcW w:w="10137" w:type="dxa"/>
            <w:gridSpan w:val="55"/>
            <w:tcBorders>
              <w:top w:val="single" w:sz="6" w:space="0" w:color="auto"/>
              <w:left w:val="single" w:sz="6" w:space="0" w:color="auto"/>
              <w:bottom w:val="single" w:sz="6" w:space="0" w:color="auto"/>
              <w:right w:val="single" w:sz="6" w:space="0" w:color="auto"/>
            </w:tcBorders>
          </w:tcPr>
          <w:p w:rsidR="00AF7330" w:rsidRPr="00AF7330" w:rsidRDefault="00AF7330" w:rsidP="00B916C2">
            <w:pPr>
              <w:jc w:val="both"/>
              <w:rPr>
                <w:rFonts w:asciiTheme="minorHAnsi" w:hAnsiTheme="minorHAnsi" w:cstheme="minorHAnsi"/>
                <w:sz w:val="20"/>
                <w:szCs w:val="20"/>
              </w:rPr>
            </w:pPr>
            <w:r w:rsidRPr="00AF7330">
              <w:rPr>
                <w:rFonts w:asciiTheme="minorHAnsi" w:hAnsiTheme="minorHAnsi" w:cstheme="minorHAnsi"/>
                <w:sz w:val="20"/>
                <w:szCs w:val="20"/>
              </w:rPr>
              <w:t>Plnění příjmů rozpočtu kapitoly 15 bylo v souladu s rozpočtem 2022. Vyšší plnění na pol. 2310 bylo z důvodu odprodeje notebooků zastupitelům. Nižší plnění na pol. 2111 bylo z důvodu, že nedošlo k prodeji dat GIS. Zpoplatněný prodej dat GIS byl během roku 2022 zrušen.</w:t>
            </w:r>
          </w:p>
        </w:tc>
      </w:tr>
      <w:tr w:rsidR="00AF7330" w:rsidRPr="00AF7330" w:rsidTr="00AF7330">
        <w:trPr>
          <w:gridAfter w:val="2"/>
          <w:wAfter w:w="2003" w:type="dxa"/>
        </w:trPr>
        <w:tc>
          <w:tcPr>
            <w:tcW w:w="454" w:type="dxa"/>
            <w:gridSpan w:val="2"/>
          </w:tcPr>
          <w:p w:rsidR="00AF7330" w:rsidRPr="00AF7330" w:rsidRDefault="00AF7330" w:rsidP="00B916C2">
            <w:pPr>
              <w:rPr>
                <w:rFonts w:asciiTheme="minorHAnsi" w:hAnsiTheme="minorHAnsi" w:cstheme="minorHAnsi"/>
                <w:b/>
                <w:sz w:val="20"/>
                <w:szCs w:val="20"/>
              </w:rPr>
            </w:pPr>
          </w:p>
        </w:tc>
        <w:tc>
          <w:tcPr>
            <w:tcW w:w="393" w:type="dxa"/>
          </w:tcPr>
          <w:p w:rsidR="00AF7330" w:rsidRPr="00AF7330" w:rsidRDefault="00AF7330" w:rsidP="00B916C2">
            <w:pPr>
              <w:rPr>
                <w:rFonts w:asciiTheme="minorHAnsi" w:hAnsiTheme="minorHAnsi" w:cstheme="minorHAnsi"/>
                <w:b/>
                <w:sz w:val="20"/>
                <w:szCs w:val="20"/>
              </w:rPr>
            </w:pPr>
          </w:p>
        </w:tc>
        <w:tc>
          <w:tcPr>
            <w:tcW w:w="525" w:type="dxa"/>
            <w:gridSpan w:val="3"/>
          </w:tcPr>
          <w:p w:rsidR="00AF7330" w:rsidRPr="00AF7330" w:rsidRDefault="00AF7330" w:rsidP="00B916C2">
            <w:pPr>
              <w:rPr>
                <w:rFonts w:asciiTheme="minorHAnsi" w:hAnsiTheme="minorHAnsi" w:cstheme="minorHAnsi"/>
                <w:b/>
                <w:sz w:val="20"/>
                <w:szCs w:val="20"/>
              </w:rPr>
            </w:pPr>
          </w:p>
        </w:tc>
        <w:tc>
          <w:tcPr>
            <w:tcW w:w="459" w:type="dxa"/>
            <w:gridSpan w:val="2"/>
          </w:tcPr>
          <w:p w:rsidR="00AF7330" w:rsidRPr="00AF7330" w:rsidRDefault="00AF7330" w:rsidP="00B916C2">
            <w:pPr>
              <w:rPr>
                <w:rFonts w:asciiTheme="minorHAnsi" w:hAnsiTheme="minorHAnsi" w:cstheme="minorHAnsi"/>
                <w:b/>
                <w:sz w:val="20"/>
                <w:szCs w:val="20"/>
              </w:rPr>
            </w:pPr>
          </w:p>
        </w:tc>
        <w:tc>
          <w:tcPr>
            <w:tcW w:w="458" w:type="dxa"/>
          </w:tcPr>
          <w:p w:rsidR="00AF7330" w:rsidRPr="00AF7330" w:rsidRDefault="00AF7330" w:rsidP="00B916C2">
            <w:pPr>
              <w:rPr>
                <w:rFonts w:asciiTheme="minorHAnsi" w:hAnsiTheme="minorHAnsi" w:cstheme="minorHAnsi"/>
                <w:b/>
                <w:sz w:val="20"/>
                <w:szCs w:val="20"/>
              </w:rPr>
            </w:pPr>
          </w:p>
        </w:tc>
        <w:tc>
          <w:tcPr>
            <w:tcW w:w="460" w:type="dxa"/>
            <w:gridSpan w:val="4"/>
          </w:tcPr>
          <w:p w:rsidR="00AF7330" w:rsidRPr="00AF7330" w:rsidRDefault="00AF7330" w:rsidP="00B916C2">
            <w:pPr>
              <w:rPr>
                <w:rFonts w:asciiTheme="minorHAnsi" w:hAnsiTheme="minorHAnsi" w:cstheme="minorHAnsi"/>
                <w:b/>
                <w:sz w:val="20"/>
                <w:szCs w:val="20"/>
              </w:rPr>
            </w:pPr>
          </w:p>
        </w:tc>
        <w:tc>
          <w:tcPr>
            <w:tcW w:w="460" w:type="dxa"/>
            <w:gridSpan w:val="4"/>
          </w:tcPr>
          <w:p w:rsidR="00AF7330" w:rsidRPr="00AF7330" w:rsidRDefault="00AF7330" w:rsidP="00B916C2">
            <w:pPr>
              <w:rPr>
                <w:rFonts w:asciiTheme="minorHAnsi" w:hAnsiTheme="minorHAnsi" w:cstheme="minorHAnsi"/>
                <w:b/>
                <w:sz w:val="20"/>
                <w:szCs w:val="20"/>
              </w:rPr>
            </w:pPr>
          </w:p>
        </w:tc>
        <w:tc>
          <w:tcPr>
            <w:tcW w:w="830" w:type="dxa"/>
            <w:gridSpan w:val="4"/>
          </w:tcPr>
          <w:p w:rsidR="00AF7330" w:rsidRPr="00AF7330" w:rsidRDefault="00AF7330" w:rsidP="00B916C2">
            <w:pPr>
              <w:rPr>
                <w:rFonts w:asciiTheme="minorHAnsi" w:hAnsiTheme="minorHAnsi" w:cstheme="minorHAnsi"/>
                <w:b/>
                <w:sz w:val="20"/>
                <w:szCs w:val="20"/>
              </w:rPr>
            </w:pPr>
          </w:p>
        </w:tc>
        <w:tc>
          <w:tcPr>
            <w:tcW w:w="992" w:type="dxa"/>
            <w:gridSpan w:val="4"/>
          </w:tcPr>
          <w:p w:rsidR="00AF7330" w:rsidRPr="00AF7330" w:rsidRDefault="00AF7330" w:rsidP="00B916C2">
            <w:pPr>
              <w:rPr>
                <w:rFonts w:asciiTheme="minorHAnsi" w:hAnsiTheme="minorHAnsi" w:cstheme="minorHAnsi"/>
                <w:b/>
                <w:sz w:val="20"/>
                <w:szCs w:val="20"/>
              </w:rPr>
            </w:pPr>
          </w:p>
        </w:tc>
        <w:tc>
          <w:tcPr>
            <w:tcW w:w="160" w:type="dxa"/>
            <w:gridSpan w:val="2"/>
          </w:tcPr>
          <w:p w:rsidR="00AF7330" w:rsidRPr="00AF7330" w:rsidRDefault="00AF7330" w:rsidP="00B916C2">
            <w:pPr>
              <w:rPr>
                <w:rFonts w:asciiTheme="minorHAnsi" w:hAnsiTheme="minorHAnsi" w:cstheme="minorHAnsi"/>
                <w:b/>
                <w:sz w:val="20"/>
                <w:szCs w:val="20"/>
              </w:rPr>
            </w:pPr>
          </w:p>
        </w:tc>
        <w:tc>
          <w:tcPr>
            <w:tcW w:w="523" w:type="dxa"/>
            <w:gridSpan w:val="3"/>
          </w:tcPr>
          <w:p w:rsidR="00AF7330" w:rsidRPr="00AF7330" w:rsidRDefault="00AF7330" w:rsidP="00B916C2">
            <w:pPr>
              <w:rPr>
                <w:rFonts w:asciiTheme="minorHAnsi" w:hAnsiTheme="minorHAnsi" w:cstheme="minorHAnsi"/>
                <w:b/>
                <w:sz w:val="20"/>
                <w:szCs w:val="20"/>
              </w:rPr>
            </w:pPr>
          </w:p>
        </w:tc>
        <w:tc>
          <w:tcPr>
            <w:tcW w:w="1533" w:type="dxa"/>
            <w:gridSpan w:val="7"/>
          </w:tcPr>
          <w:p w:rsidR="00AF7330" w:rsidRPr="00AF7330" w:rsidRDefault="00AF7330" w:rsidP="00B916C2">
            <w:pPr>
              <w:rPr>
                <w:rFonts w:asciiTheme="minorHAnsi" w:hAnsiTheme="minorHAnsi" w:cstheme="minorHAnsi"/>
                <w:b/>
                <w:sz w:val="20"/>
                <w:szCs w:val="20"/>
              </w:rPr>
            </w:pPr>
          </w:p>
        </w:tc>
        <w:tc>
          <w:tcPr>
            <w:tcW w:w="160" w:type="dxa"/>
            <w:gridSpan w:val="2"/>
          </w:tcPr>
          <w:p w:rsidR="00AF7330" w:rsidRPr="00AF7330" w:rsidRDefault="00AF7330" w:rsidP="00B916C2">
            <w:pPr>
              <w:rPr>
                <w:rFonts w:asciiTheme="minorHAnsi" w:hAnsiTheme="minorHAnsi" w:cstheme="minorHAnsi"/>
                <w:b/>
                <w:sz w:val="20"/>
                <w:szCs w:val="20"/>
              </w:rPr>
            </w:pPr>
          </w:p>
        </w:tc>
        <w:tc>
          <w:tcPr>
            <w:tcW w:w="485" w:type="dxa"/>
            <w:gridSpan w:val="4"/>
          </w:tcPr>
          <w:p w:rsidR="00AF7330" w:rsidRPr="00AF7330" w:rsidRDefault="00AF7330" w:rsidP="00B916C2">
            <w:pPr>
              <w:rPr>
                <w:rFonts w:asciiTheme="minorHAnsi" w:hAnsiTheme="minorHAnsi" w:cstheme="minorHAnsi"/>
                <w:b/>
                <w:sz w:val="20"/>
                <w:szCs w:val="20"/>
              </w:rPr>
            </w:pPr>
          </w:p>
        </w:tc>
        <w:tc>
          <w:tcPr>
            <w:tcW w:w="460" w:type="dxa"/>
            <w:gridSpan w:val="3"/>
          </w:tcPr>
          <w:p w:rsidR="00AF7330" w:rsidRPr="00AF7330" w:rsidRDefault="00AF7330" w:rsidP="00B916C2">
            <w:pPr>
              <w:rPr>
                <w:rFonts w:asciiTheme="minorHAnsi" w:hAnsiTheme="minorHAnsi" w:cstheme="minorHAnsi"/>
                <w:b/>
                <w:sz w:val="20"/>
                <w:szCs w:val="20"/>
              </w:rPr>
            </w:pPr>
          </w:p>
        </w:tc>
        <w:tc>
          <w:tcPr>
            <w:tcW w:w="460" w:type="dxa"/>
            <w:gridSpan w:val="2"/>
          </w:tcPr>
          <w:p w:rsidR="00AF7330" w:rsidRPr="00AF7330" w:rsidRDefault="00AF7330" w:rsidP="00B916C2">
            <w:pPr>
              <w:rPr>
                <w:rFonts w:asciiTheme="minorHAnsi" w:hAnsiTheme="minorHAnsi" w:cstheme="minorHAnsi"/>
                <w:b/>
                <w:sz w:val="20"/>
                <w:szCs w:val="20"/>
              </w:rPr>
            </w:pPr>
          </w:p>
        </w:tc>
        <w:tc>
          <w:tcPr>
            <w:tcW w:w="460" w:type="dxa"/>
            <w:gridSpan w:val="2"/>
          </w:tcPr>
          <w:p w:rsidR="00AF7330" w:rsidRPr="00AF7330" w:rsidRDefault="00AF7330" w:rsidP="00B916C2">
            <w:pPr>
              <w:rPr>
                <w:rFonts w:asciiTheme="minorHAnsi" w:hAnsiTheme="minorHAnsi" w:cstheme="minorHAnsi"/>
                <w:b/>
                <w:sz w:val="20"/>
                <w:szCs w:val="20"/>
              </w:rPr>
            </w:pPr>
          </w:p>
        </w:tc>
        <w:tc>
          <w:tcPr>
            <w:tcW w:w="460" w:type="dxa"/>
            <w:gridSpan w:val="2"/>
          </w:tcPr>
          <w:p w:rsidR="00AF7330" w:rsidRPr="00AF7330" w:rsidRDefault="00AF7330" w:rsidP="00B916C2">
            <w:pPr>
              <w:rPr>
                <w:rFonts w:asciiTheme="minorHAnsi" w:hAnsiTheme="minorHAnsi" w:cstheme="minorHAnsi"/>
                <w:b/>
                <w:sz w:val="20"/>
                <w:szCs w:val="20"/>
              </w:rPr>
            </w:pPr>
          </w:p>
        </w:tc>
        <w:tc>
          <w:tcPr>
            <w:tcW w:w="460" w:type="dxa"/>
            <w:gridSpan w:val="4"/>
          </w:tcPr>
          <w:p w:rsidR="00AF7330" w:rsidRPr="00AF7330" w:rsidRDefault="00AF7330" w:rsidP="00B916C2">
            <w:pPr>
              <w:rPr>
                <w:rFonts w:asciiTheme="minorHAnsi" w:hAnsiTheme="minorHAnsi" w:cstheme="minorHAnsi"/>
                <w:b/>
                <w:sz w:val="20"/>
                <w:szCs w:val="20"/>
              </w:rPr>
            </w:pPr>
          </w:p>
        </w:tc>
        <w:tc>
          <w:tcPr>
            <w:tcW w:w="1394" w:type="dxa"/>
            <w:gridSpan w:val="3"/>
          </w:tcPr>
          <w:p w:rsidR="00AF7330" w:rsidRPr="00AF7330" w:rsidRDefault="00AF7330" w:rsidP="00B916C2">
            <w:pPr>
              <w:rPr>
                <w:rFonts w:asciiTheme="minorHAnsi" w:hAnsiTheme="minorHAnsi" w:cstheme="minorHAnsi"/>
                <w:b/>
                <w:sz w:val="20"/>
                <w:szCs w:val="20"/>
              </w:rPr>
            </w:pPr>
          </w:p>
        </w:tc>
      </w:tr>
      <w:tr w:rsidR="00AF7330" w:rsidRPr="00AF7330" w:rsidTr="00AF7330">
        <w:trPr>
          <w:gridAfter w:val="6"/>
          <w:wAfter w:w="3452" w:type="dxa"/>
        </w:trPr>
        <w:tc>
          <w:tcPr>
            <w:tcW w:w="10137" w:type="dxa"/>
            <w:gridSpan w:val="55"/>
          </w:tcPr>
          <w:p w:rsidR="00AF7330" w:rsidRPr="00AF7330" w:rsidRDefault="00AF7330" w:rsidP="00B916C2">
            <w:pPr>
              <w:rPr>
                <w:rFonts w:asciiTheme="minorHAnsi" w:hAnsiTheme="minorHAnsi" w:cstheme="minorHAnsi"/>
                <w:b/>
                <w:sz w:val="20"/>
                <w:szCs w:val="20"/>
              </w:rPr>
            </w:pPr>
            <w:r w:rsidRPr="00AF7330">
              <w:rPr>
                <w:rFonts w:asciiTheme="minorHAnsi" w:hAnsiTheme="minorHAnsi" w:cstheme="minorHAnsi"/>
                <w:b/>
                <w:sz w:val="20"/>
                <w:szCs w:val="20"/>
              </w:rPr>
              <w:t>Komentář k položkám (akcím), které vykázaly abnormalitu v řádném plnění příjmů rozpočtu kapitoly ve sledovaném období</w:t>
            </w:r>
          </w:p>
        </w:tc>
      </w:tr>
      <w:tr w:rsidR="00AF7330" w:rsidRPr="00AF7330" w:rsidTr="00AF7330">
        <w:trPr>
          <w:gridAfter w:val="6"/>
          <w:wAfter w:w="3452" w:type="dxa"/>
        </w:trPr>
        <w:tc>
          <w:tcPr>
            <w:tcW w:w="847"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AF7330" w:rsidRPr="00AF7330" w:rsidRDefault="00AF7330" w:rsidP="00B916C2">
            <w:pPr>
              <w:jc w:val="center"/>
              <w:rPr>
                <w:rFonts w:asciiTheme="minorHAnsi" w:hAnsiTheme="minorHAnsi" w:cstheme="minorHAnsi"/>
                <w:b/>
                <w:sz w:val="17"/>
                <w:szCs w:val="17"/>
              </w:rPr>
            </w:pPr>
            <w:r w:rsidRPr="00AF7330">
              <w:rPr>
                <w:rFonts w:asciiTheme="minorHAnsi" w:hAnsiTheme="minorHAnsi" w:cstheme="minorHAnsi"/>
                <w:b/>
                <w:sz w:val="17"/>
                <w:szCs w:val="17"/>
              </w:rPr>
              <w:t>Oddíl, paragraf</w:t>
            </w:r>
          </w:p>
        </w:tc>
        <w:tc>
          <w:tcPr>
            <w:tcW w:w="643"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AF7330" w:rsidRPr="00AF7330" w:rsidRDefault="00AF7330" w:rsidP="00AF7330">
            <w:pPr>
              <w:jc w:val="center"/>
              <w:rPr>
                <w:rFonts w:asciiTheme="minorHAnsi" w:hAnsiTheme="minorHAnsi" w:cstheme="minorHAnsi"/>
                <w:b/>
                <w:sz w:val="17"/>
                <w:szCs w:val="17"/>
              </w:rPr>
            </w:pPr>
            <w:r w:rsidRPr="00AF7330">
              <w:rPr>
                <w:rFonts w:asciiTheme="minorHAnsi" w:hAnsiTheme="minorHAnsi" w:cstheme="minorHAnsi"/>
                <w:b/>
                <w:sz w:val="17"/>
                <w:szCs w:val="17"/>
              </w:rPr>
              <w:t>Pol.</w:t>
            </w:r>
          </w:p>
        </w:tc>
        <w:tc>
          <w:tcPr>
            <w:tcW w:w="1557" w:type="dxa"/>
            <w:gridSpan w:val="9"/>
            <w:tcBorders>
              <w:top w:val="single" w:sz="4" w:space="0" w:color="auto"/>
              <w:left w:val="single" w:sz="4" w:space="0" w:color="auto"/>
              <w:bottom w:val="single" w:sz="4" w:space="0" w:color="auto"/>
              <w:right w:val="single" w:sz="4" w:space="0" w:color="auto"/>
            </w:tcBorders>
            <w:shd w:val="clear" w:color="auto" w:fill="FFFF00"/>
            <w:vAlign w:val="center"/>
          </w:tcPr>
          <w:p w:rsidR="00AF7330" w:rsidRPr="00AF7330" w:rsidRDefault="00AF7330" w:rsidP="00B916C2">
            <w:pPr>
              <w:jc w:val="center"/>
              <w:rPr>
                <w:rFonts w:asciiTheme="minorHAnsi" w:hAnsiTheme="minorHAnsi" w:cstheme="minorHAnsi"/>
                <w:b/>
                <w:sz w:val="17"/>
                <w:szCs w:val="17"/>
              </w:rPr>
            </w:pPr>
            <w:r w:rsidRPr="00AF7330">
              <w:rPr>
                <w:rFonts w:asciiTheme="minorHAnsi" w:hAnsiTheme="minorHAnsi" w:cstheme="minorHAnsi"/>
                <w:b/>
                <w:sz w:val="17"/>
                <w:szCs w:val="17"/>
              </w:rPr>
              <w:t>Organizace</w:t>
            </w:r>
          </w:p>
        </w:tc>
        <w:tc>
          <w:tcPr>
            <w:tcW w:w="992" w:type="dxa"/>
            <w:gridSpan w:val="5"/>
            <w:tcBorders>
              <w:top w:val="single" w:sz="4" w:space="0" w:color="auto"/>
              <w:left w:val="single" w:sz="4" w:space="0" w:color="auto"/>
              <w:bottom w:val="single" w:sz="4" w:space="0" w:color="auto"/>
              <w:right w:val="single" w:sz="4" w:space="0" w:color="auto"/>
            </w:tcBorders>
            <w:shd w:val="clear" w:color="auto" w:fill="FFFF00"/>
            <w:vAlign w:val="center"/>
          </w:tcPr>
          <w:p w:rsidR="00AF7330" w:rsidRPr="00AF7330" w:rsidRDefault="00AF7330" w:rsidP="00B916C2">
            <w:pPr>
              <w:jc w:val="center"/>
              <w:rPr>
                <w:rFonts w:asciiTheme="minorHAnsi" w:hAnsiTheme="minorHAnsi" w:cstheme="minorHAnsi"/>
                <w:b/>
                <w:sz w:val="17"/>
                <w:szCs w:val="17"/>
              </w:rPr>
            </w:pPr>
            <w:r w:rsidRPr="00AF7330">
              <w:rPr>
                <w:rFonts w:asciiTheme="minorHAnsi" w:hAnsiTheme="minorHAnsi" w:cstheme="minorHAnsi"/>
                <w:b/>
                <w:sz w:val="17"/>
                <w:szCs w:val="17"/>
              </w:rPr>
              <w:t>Účelový zdroj</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AF7330" w:rsidRPr="00AF7330" w:rsidRDefault="00AF7330" w:rsidP="00B916C2">
            <w:pPr>
              <w:jc w:val="center"/>
              <w:rPr>
                <w:rFonts w:asciiTheme="minorHAnsi" w:hAnsiTheme="minorHAnsi" w:cstheme="minorHAnsi"/>
                <w:b/>
                <w:sz w:val="17"/>
                <w:szCs w:val="17"/>
              </w:rPr>
            </w:pPr>
            <w:r w:rsidRPr="00AF7330">
              <w:rPr>
                <w:rFonts w:asciiTheme="minorHAnsi" w:hAnsiTheme="minorHAnsi" w:cstheme="minorHAnsi"/>
                <w:b/>
                <w:sz w:val="17"/>
                <w:szCs w:val="17"/>
              </w:rPr>
              <w:t>UR v tis. Kč</w:t>
            </w:r>
          </w:p>
        </w:tc>
        <w:tc>
          <w:tcPr>
            <w:tcW w:w="994" w:type="dxa"/>
            <w:gridSpan w:val="7"/>
            <w:tcBorders>
              <w:top w:val="single" w:sz="4" w:space="0" w:color="auto"/>
              <w:left w:val="single" w:sz="4" w:space="0" w:color="auto"/>
              <w:bottom w:val="single" w:sz="4" w:space="0" w:color="auto"/>
              <w:right w:val="single" w:sz="4" w:space="0" w:color="auto"/>
            </w:tcBorders>
            <w:shd w:val="clear" w:color="auto" w:fill="FFFF00"/>
            <w:vAlign w:val="center"/>
          </w:tcPr>
          <w:p w:rsidR="00AF7330" w:rsidRPr="00AF7330" w:rsidRDefault="00AF7330" w:rsidP="00B916C2">
            <w:pPr>
              <w:jc w:val="center"/>
              <w:rPr>
                <w:rFonts w:asciiTheme="minorHAnsi" w:hAnsiTheme="minorHAnsi" w:cstheme="minorHAnsi"/>
                <w:b/>
                <w:sz w:val="17"/>
                <w:szCs w:val="17"/>
              </w:rPr>
            </w:pPr>
            <w:r w:rsidRPr="00AF7330">
              <w:rPr>
                <w:rFonts w:asciiTheme="minorHAnsi" w:hAnsiTheme="minorHAnsi" w:cstheme="minorHAnsi"/>
                <w:b/>
                <w:sz w:val="17"/>
                <w:szCs w:val="17"/>
              </w:rPr>
              <w:t>Skutečnost v tis. Kč</w:t>
            </w:r>
          </w:p>
        </w:tc>
        <w:tc>
          <w:tcPr>
            <w:tcW w:w="4112" w:type="dxa"/>
            <w:gridSpan w:val="23"/>
            <w:tcBorders>
              <w:top w:val="single" w:sz="4" w:space="0" w:color="auto"/>
              <w:left w:val="single" w:sz="4" w:space="0" w:color="auto"/>
              <w:bottom w:val="single" w:sz="4" w:space="0" w:color="auto"/>
              <w:right w:val="single" w:sz="4" w:space="0" w:color="auto"/>
            </w:tcBorders>
            <w:shd w:val="clear" w:color="auto" w:fill="FFFF00"/>
            <w:vAlign w:val="center"/>
          </w:tcPr>
          <w:p w:rsidR="00AF7330" w:rsidRPr="00AF7330" w:rsidRDefault="00AF7330" w:rsidP="00B916C2">
            <w:pPr>
              <w:jc w:val="center"/>
              <w:rPr>
                <w:rFonts w:asciiTheme="minorHAnsi" w:hAnsiTheme="minorHAnsi" w:cstheme="minorHAnsi"/>
                <w:b/>
                <w:sz w:val="17"/>
                <w:szCs w:val="17"/>
              </w:rPr>
            </w:pPr>
            <w:r w:rsidRPr="00AF7330">
              <w:rPr>
                <w:rFonts w:asciiTheme="minorHAnsi" w:hAnsiTheme="minorHAnsi" w:cstheme="minorHAnsi"/>
                <w:b/>
                <w:sz w:val="17"/>
                <w:szCs w:val="17"/>
              </w:rPr>
              <w:t>Komentář</w:t>
            </w:r>
          </w:p>
        </w:tc>
      </w:tr>
      <w:tr w:rsidR="00AF7330" w:rsidRPr="00AF7330" w:rsidTr="00AF7330">
        <w:trPr>
          <w:gridAfter w:val="6"/>
          <w:wAfter w:w="3452" w:type="dxa"/>
        </w:trPr>
        <w:tc>
          <w:tcPr>
            <w:tcW w:w="847" w:type="dxa"/>
            <w:gridSpan w:val="3"/>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center"/>
              <w:rPr>
                <w:rFonts w:asciiTheme="minorHAnsi" w:hAnsiTheme="minorHAnsi" w:cstheme="minorHAnsi"/>
                <w:sz w:val="17"/>
                <w:szCs w:val="17"/>
              </w:rPr>
            </w:pPr>
            <w:r w:rsidRPr="00AF7330">
              <w:rPr>
                <w:rFonts w:asciiTheme="minorHAnsi" w:hAnsiTheme="minorHAnsi" w:cstheme="minorHAnsi"/>
                <w:sz w:val="17"/>
                <w:szCs w:val="17"/>
              </w:rPr>
              <w:t>6171</w:t>
            </w:r>
          </w:p>
        </w:tc>
        <w:tc>
          <w:tcPr>
            <w:tcW w:w="643" w:type="dxa"/>
            <w:gridSpan w:val="4"/>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center"/>
              <w:rPr>
                <w:rFonts w:asciiTheme="minorHAnsi" w:hAnsiTheme="minorHAnsi" w:cstheme="minorHAnsi"/>
                <w:sz w:val="17"/>
                <w:szCs w:val="17"/>
              </w:rPr>
            </w:pPr>
            <w:r w:rsidRPr="00AF7330">
              <w:rPr>
                <w:rFonts w:asciiTheme="minorHAnsi" w:hAnsiTheme="minorHAnsi" w:cstheme="minorHAnsi"/>
                <w:sz w:val="17"/>
                <w:szCs w:val="17"/>
              </w:rPr>
              <w:t>2111</w:t>
            </w:r>
          </w:p>
        </w:tc>
        <w:tc>
          <w:tcPr>
            <w:tcW w:w="1557" w:type="dxa"/>
            <w:gridSpan w:val="9"/>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center"/>
              <w:rPr>
                <w:rFonts w:asciiTheme="minorHAnsi" w:hAnsiTheme="minorHAnsi" w:cstheme="minorHAnsi"/>
                <w:sz w:val="17"/>
                <w:szCs w:val="17"/>
              </w:rPr>
            </w:pPr>
            <w:r w:rsidRPr="00AF7330">
              <w:rPr>
                <w:rFonts w:asciiTheme="minorHAnsi" w:hAnsiTheme="minorHAnsi" w:cstheme="minorHAnsi"/>
                <w:sz w:val="17"/>
                <w:szCs w:val="17"/>
              </w:rPr>
              <w:t>0150000000000</w:t>
            </w:r>
          </w:p>
        </w:tc>
        <w:tc>
          <w:tcPr>
            <w:tcW w:w="992" w:type="dxa"/>
            <w:gridSpan w:val="5"/>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center"/>
              <w:rPr>
                <w:rFonts w:asciiTheme="minorHAnsi" w:hAnsiTheme="minorHAnsi" w:cstheme="minorHAnsi"/>
                <w:sz w:val="17"/>
                <w:szCs w:val="17"/>
              </w:rPr>
            </w:pPr>
          </w:p>
        </w:tc>
        <w:tc>
          <w:tcPr>
            <w:tcW w:w="992" w:type="dxa"/>
            <w:gridSpan w:val="4"/>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right"/>
              <w:rPr>
                <w:rFonts w:asciiTheme="minorHAnsi" w:hAnsiTheme="minorHAnsi" w:cstheme="minorHAnsi"/>
                <w:sz w:val="17"/>
                <w:szCs w:val="17"/>
              </w:rPr>
            </w:pPr>
            <w:r w:rsidRPr="00AF7330">
              <w:rPr>
                <w:rFonts w:asciiTheme="minorHAnsi" w:hAnsiTheme="minorHAnsi" w:cstheme="minorHAnsi"/>
                <w:sz w:val="17"/>
                <w:szCs w:val="17"/>
              </w:rPr>
              <w:t>5,00</w:t>
            </w:r>
          </w:p>
        </w:tc>
        <w:tc>
          <w:tcPr>
            <w:tcW w:w="994" w:type="dxa"/>
            <w:gridSpan w:val="7"/>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right"/>
              <w:rPr>
                <w:rFonts w:asciiTheme="minorHAnsi" w:hAnsiTheme="minorHAnsi" w:cstheme="minorHAnsi"/>
                <w:sz w:val="17"/>
                <w:szCs w:val="17"/>
              </w:rPr>
            </w:pPr>
            <w:r w:rsidRPr="00AF7330">
              <w:rPr>
                <w:rFonts w:asciiTheme="minorHAnsi" w:hAnsiTheme="minorHAnsi" w:cstheme="minorHAnsi"/>
                <w:sz w:val="17"/>
                <w:szCs w:val="17"/>
              </w:rPr>
              <w:t>0,00</w:t>
            </w:r>
          </w:p>
        </w:tc>
        <w:tc>
          <w:tcPr>
            <w:tcW w:w="4112" w:type="dxa"/>
            <w:gridSpan w:val="23"/>
            <w:tcBorders>
              <w:top w:val="single" w:sz="4" w:space="0" w:color="auto"/>
              <w:left w:val="single" w:sz="4" w:space="0" w:color="auto"/>
              <w:bottom w:val="single" w:sz="4" w:space="0" w:color="auto"/>
              <w:right w:val="single" w:sz="4" w:space="0" w:color="auto"/>
            </w:tcBorders>
          </w:tcPr>
          <w:p w:rsidR="00AF7330" w:rsidRPr="00AF7330" w:rsidRDefault="00AF7330" w:rsidP="00B916C2">
            <w:pPr>
              <w:rPr>
                <w:rFonts w:asciiTheme="minorHAnsi" w:hAnsiTheme="minorHAnsi" w:cstheme="minorHAnsi"/>
                <w:b/>
                <w:sz w:val="17"/>
                <w:szCs w:val="17"/>
                <w:u w:val="single"/>
              </w:rPr>
            </w:pPr>
            <w:r w:rsidRPr="00AF7330">
              <w:rPr>
                <w:rFonts w:asciiTheme="minorHAnsi" w:hAnsiTheme="minorHAnsi" w:cstheme="minorHAnsi"/>
                <w:b/>
                <w:sz w:val="17"/>
                <w:szCs w:val="17"/>
                <w:u w:val="single"/>
              </w:rPr>
              <w:t>Příjmy z poskytování služeb a výrobků</w:t>
            </w:r>
          </w:p>
          <w:p w:rsidR="00AF7330" w:rsidRPr="00AF7330" w:rsidRDefault="00AF7330" w:rsidP="00B916C2">
            <w:pPr>
              <w:rPr>
                <w:rFonts w:asciiTheme="minorHAnsi" w:hAnsiTheme="minorHAnsi" w:cstheme="minorHAnsi"/>
                <w:b/>
                <w:sz w:val="17"/>
                <w:szCs w:val="17"/>
                <w:u w:val="single"/>
              </w:rPr>
            </w:pPr>
            <w:r w:rsidRPr="00AF7330">
              <w:rPr>
                <w:rFonts w:asciiTheme="minorHAnsi" w:hAnsiTheme="minorHAnsi" w:cstheme="minorHAnsi"/>
                <w:sz w:val="17"/>
                <w:szCs w:val="17"/>
              </w:rPr>
              <w:t>Příjem nebyl naplněn, protože nedošlo k prodeji dat GIS</w:t>
            </w:r>
          </w:p>
        </w:tc>
      </w:tr>
      <w:tr w:rsidR="00AF7330" w:rsidRPr="00AF7330" w:rsidTr="00AF7330">
        <w:trPr>
          <w:gridAfter w:val="6"/>
          <w:wAfter w:w="3452" w:type="dxa"/>
        </w:trPr>
        <w:tc>
          <w:tcPr>
            <w:tcW w:w="847" w:type="dxa"/>
            <w:gridSpan w:val="3"/>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center"/>
              <w:rPr>
                <w:rFonts w:asciiTheme="minorHAnsi" w:hAnsiTheme="minorHAnsi" w:cstheme="minorHAnsi"/>
                <w:sz w:val="17"/>
                <w:szCs w:val="17"/>
              </w:rPr>
            </w:pPr>
            <w:r w:rsidRPr="00AF7330">
              <w:rPr>
                <w:rFonts w:asciiTheme="minorHAnsi" w:hAnsiTheme="minorHAnsi" w:cstheme="minorHAnsi"/>
                <w:sz w:val="17"/>
                <w:szCs w:val="17"/>
              </w:rPr>
              <w:t>6171</w:t>
            </w:r>
          </w:p>
        </w:tc>
        <w:tc>
          <w:tcPr>
            <w:tcW w:w="643" w:type="dxa"/>
            <w:gridSpan w:val="4"/>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center"/>
              <w:rPr>
                <w:rFonts w:asciiTheme="minorHAnsi" w:hAnsiTheme="minorHAnsi" w:cstheme="minorHAnsi"/>
                <w:sz w:val="17"/>
                <w:szCs w:val="17"/>
              </w:rPr>
            </w:pPr>
            <w:r w:rsidRPr="00AF7330">
              <w:rPr>
                <w:rFonts w:asciiTheme="minorHAnsi" w:hAnsiTheme="minorHAnsi" w:cstheme="minorHAnsi"/>
                <w:sz w:val="17"/>
                <w:szCs w:val="17"/>
              </w:rPr>
              <w:t>2310</w:t>
            </w:r>
          </w:p>
        </w:tc>
        <w:tc>
          <w:tcPr>
            <w:tcW w:w="1557" w:type="dxa"/>
            <w:gridSpan w:val="9"/>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center"/>
              <w:rPr>
                <w:rFonts w:asciiTheme="minorHAnsi" w:hAnsiTheme="minorHAnsi" w:cstheme="minorHAnsi"/>
                <w:sz w:val="17"/>
                <w:szCs w:val="17"/>
              </w:rPr>
            </w:pPr>
            <w:r w:rsidRPr="00AF7330">
              <w:rPr>
                <w:rFonts w:asciiTheme="minorHAnsi" w:hAnsiTheme="minorHAnsi" w:cstheme="minorHAnsi"/>
                <w:sz w:val="17"/>
                <w:szCs w:val="17"/>
              </w:rPr>
              <w:t>0150000000000</w:t>
            </w:r>
          </w:p>
        </w:tc>
        <w:tc>
          <w:tcPr>
            <w:tcW w:w="992" w:type="dxa"/>
            <w:gridSpan w:val="5"/>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center"/>
              <w:rPr>
                <w:rFonts w:asciiTheme="minorHAnsi" w:hAnsiTheme="minorHAnsi" w:cstheme="minorHAnsi"/>
                <w:sz w:val="17"/>
                <w:szCs w:val="17"/>
              </w:rPr>
            </w:pPr>
          </w:p>
        </w:tc>
        <w:tc>
          <w:tcPr>
            <w:tcW w:w="992" w:type="dxa"/>
            <w:gridSpan w:val="4"/>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right"/>
              <w:rPr>
                <w:rFonts w:asciiTheme="minorHAnsi" w:hAnsiTheme="minorHAnsi" w:cstheme="minorHAnsi"/>
                <w:sz w:val="17"/>
                <w:szCs w:val="17"/>
              </w:rPr>
            </w:pPr>
            <w:r w:rsidRPr="00AF7330">
              <w:rPr>
                <w:rFonts w:asciiTheme="minorHAnsi" w:hAnsiTheme="minorHAnsi" w:cstheme="minorHAnsi"/>
                <w:sz w:val="17"/>
                <w:szCs w:val="17"/>
              </w:rPr>
              <w:t>15,00</w:t>
            </w:r>
          </w:p>
        </w:tc>
        <w:tc>
          <w:tcPr>
            <w:tcW w:w="994" w:type="dxa"/>
            <w:gridSpan w:val="7"/>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right"/>
              <w:rPr>
                <w:rFonts w:asciiTheme="minorHAnsi" w:hAnsiTheme="minorHAnsi" w:cstheme="minorHAnsi"/>
                <w:sz w:val="17"/>
                <w:szCs w:val="17"/>
              </w:rPr>
            </w:pPr>
            <w:r w:rsidRPr="00AF7330">
              <w:rPr>
                <w:rFonts w:asciiTheme="minorHAnsi" w:hAnsiTheme="minorHAnsi" w:cstheme="minorHAnsi"/>
                <w:sz w:val="17"/>
                <w:szCs w:val="17"/>
              </w:rPr>
              <w:t>162,59</w:t>
            </w:r>
          </w:p>
        </w:tc>
        <w:tc>
          <w:tcPr>
            <w:tcW w:w="4112" w:type="dxa"/>
            <w:gridSpan w:val="23"/>
            <w:tcBorders>
              <w:top w:val="single" w:sz="4" w:space="0" w:color="auto"/>
              <w:left w:val="single" w:sz="4" w:space="0" w:color="auto"/>
              <w:bottom w:val="single" w:sz="4" w:space="0" w:color="auto"/>
              <w:right w:val="single" w:sz="4" w:space="0" w:color="auto"/>
            </w:tcBorders>
          </w:tcPr>
          <w:p w:rsidR="00AF7330" w:rsidRPr="00AF7330" w:rsidRDefault="00AF7330" w:rsidP="00B916C2">
            <w:pPr>
              <w:rPr>
                <w:rFonts w:asciiTheme="minorHAnsi" w:hAnsiTheme="minorHAnsi" w:cstheme="minorHAnsi"/>
                <w:b/>
                <w:sz w:val="17"/>
                <w:szCs w:val="17"/>
                <w:u w:val="single"/>
              </w:rPr>
            </w:pPr>
            <w:r w:rsidRPr="00AF7330">
              <w:rPr>
                <w:rFonts w:asciiTheme="minorHAnsi" w:hAnsiTheme="minorHAnsi" w:cstheme="minorHAnsi"/>
                <w:b/>
                <w:sz w:val="17"/>
                <w:szCs w:val="17"/>
                <w:u w:val="single"/>
              </w:rPr>
              <w:t>Příjmy z prodeje krátk. a drobného dlouhodob. majetku</w:t>
            </w:r>
          </w:p>
          <w:p w:rsidR="00AF7330" w:rsidRPr="00AF7330" w:rsidRDefault="00AF7330" w:rsidP="00B916C2">
            <w:pPr>
              <w:rPr>
                <w:rFonts w:asciiTheme="minorHAnsi" w:hAnsiTheme="minorHAnsi" w:cstheme="minorHAnsi"/>
                <w:b/>
                <w:sz w:val="17"/>
                <w:szCs w:val="17"/>
                <w:u w:val="single"/>
              </w:rPr>
            </w:pPr>
            <w:r w:rsidRPr="00AF7330">
              <w:rPr>
                <w:rFonts w:asciiTheme="minorHAnsi" w:hAnsiTheme="minorHAnsi" w:cstheme="minorHAnsi"/>
                <w:sz w:val="17"/>
                <w:szCs w:val="17"/>
              </w:rPr>
              <w:t xml:space="preserve">Příjem byl vyšší z důvodu odprodeje notebooků zastupitelům </w:t>
            </w:r>
          </w:p>
        </w:tc>
      </w:tr>
      <w:tr w:rsidR="00AF7330" w:rsidRPr="00AF7330" w:rsidTr="00AF7330">
        <w:trPr>
          <w:gridAfter w:val="6"/>
          <w:wAfter w:w="3452" w:type="dxa"/>
        </w:trPr>
        <w:tc>
          <w:tcPr>
            <w:tcW w:w="847" w:type="dxa"/>
            <w:gridSpan w:val="3"/>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center"/>
              <w:rPr>
                <w:rFonts w:asciiTheme="minorHAnsi" w:hAnsiTheme="minorHAnsi" w:cstheme="minorHAnsi"/>
                <w:sz w:val="17"/>
                <w:szCs w:val="17"/>
              </w:rPr>
            </w:pPr>
            <w:r w:rsidRPr="00AF7330">
              <w:rPr>
                <w:rFonts w:asciiTheme="minorHAnsi" w:hAnsiTheme="minorHAnsi" w:cstheme="minorHAnsi"/>
                <w:sz w:val="17"/>
                <w:szCs w:val="17"/>
              </w:rPr>
              <w:t>6171</w:t>
            </w:r>
          </w:p>
        </w:tc>
        <w:tc>
          <w:tcPr>
            <w:tcW w:w="643" w:type="dxa"/>
            <w:gridSpan w:val="4"/>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center"/>
              <w:rPr>
                <w:rFonts w:asciiTheme="minorHAnsi" w:hAnsiTheme="minorHAnsi" w:cstheme="minorHAnsi"/>
                <w:sz w:val="17"/>
                <w:szCs w:val="17"/>
              </w:rPr>
            </w:pPr>
            <w:r w:rsidRPr="00AF7330">
              <w:rPr>
                <w:rFonts w:asciiTheme="minorHAnsi" w:hAnsiTheme="minorHAnsi" w:cstheme="minorHAnsi"/>
                <w:sz w:val="17"/>
                <w:szCs w:val="17"/>
              </w:rPr>
              <w:t>2324</w:t>
            </w:r>
          </w:p>
        </w:tc>
        <w:tc>
          <w:tcPr>
            <w:tcW w:w="1557" w:type="dxa"/>
            <w:gridSpan w:val="9"/>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center"/>
              <w:rPr>
                <w:rFonts w:asciiTheme="minorHAnsi" w:hAnsiTheme="minorHAnsi" w:cstheme="minorHAnsi"/>
                <w:sz w:val="17"/>
                <w:szCs w:val="17"/>
              </w:rPr>
            </w:pPr>
            <w:r w:rsidRPr="00AF7330">
              <w:rPr>
                <w:rFonts w:asciiTheme="minorHAnsi" w:hAnsiTheme="minorHAnsi" w:cstheme="minorHAnsi"/>
                <w:sz w:val="17"/>
                <w:szCs w:val="17"/>
              </w:rPr>
              <w:t>0150000000000</w:t>
            </w:r>
          </w:p>
        </w:tc>
        <w:tc>
          <w:tcPr>
            <w:tcW w:w="992" w:type="dxa"/>
            <w:gridSpan w:val="5"/>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center"/>
              <w:rPr>
                <w:rFonts w:asciiTheme="minorHAnsi" w:hAnsiTheme="minorHAnsi" w:cstheme="minorHAnsi"/>
                <w:sz w:val="17"/>
                <w:szCs w:val="17"/>
              </w:rPr>
            </w:pPr>
          </w:p>
        </w:tc>
        <w:tc>
          <w:tcPr>
            <w:tcW w:w="992" w:type="dxa"/>
            <w:gridSpan w:val="4"/>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right"/>
              <w:rPr>
                <w:rFonts w:asciiTheme="minorHAnsi" w:hAnsiTheme="minorHAnsi" w:cstheme="minorHAnsi"/>
                <w:sz w:val="17"/>
                <w:szCs w:val="17"/>
              </w:rPr>
            </w:pPr>
            <w:r w:rsidRPr="00AF7330">
              <w:rPr>
                <w:rFonts w:asciiTheme="minorHAnsi" w:hAnsiTheme="minorHAnsi" w:cstheme="minorHAnsi"/>
                <w:sz w:val="17"/>
                <w:szCs w:val="17"/>
              </w:rPr>
              <w:t>0,00</w:t>
            </w:r>
          </w:p>
        </w:tc>
        <w:tc>
          <w:tcPr>
            <w:tcW w:w="994" w:type="dxa"/>
            <w:gridSpan w:val="7"/>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right"/>
              <w:rPr>
                <w:rFonts w:asciiTheme="minorHAnsi" w:hAnsiTheme="minorHAnsi" w:cstheme="minorHAnsi"/>
                <w:sz w:val="17"/>
                <w:szCs w:val="17"/>
              </w:rPr>
            </w:pPr>
            <w:r w:rsidRPr="00AF7330">
              <w:rPr>
                <w:rFonts w:asciiTheme="minorHAnsi" w:hAnsiTheme="minorHAnsi" w:cstheme="minorHAnsi"/>
                <w:sz w:val="17"/>
                <w:szCs w:val="17"/>
              </w:rPr>
              <w:t>9,05</w:t>
            </w:r>
          </w:p>
        </w:tc>
        <w:tc>
          <w:tcPr>
            <w:tcW w:w="4112" w:type="dxa"/>
            <w:gridSpan w:val="23"/>
            <w:tcBorders>
              <w:top w:val="single" w:sz="4" w:space="0" w:color="auto"/>
              <w:left w:val="single" w:sz="4" w:space="0" w:color="auto"/>
              <w:bottom w:val="single" w:sz="4" w:space="0" w:color="auto"/>
              <w:right w:val="single" w:sz="4" w:space="0" w:color="auto"/>
            </w:tcBorders>
          </w:tcPr>
          <w:p w:rsidR="00AF7330" w:rsidRPr="00AF7330" w:rsidRDefault="00AF7330" w:rsidP="00B916C2">
            <w:pPr>
              <w:rPr>
                <w:rFonts w:asciiTheme="minorHAnsi" w:hAnsiTheme="minorHAnsi" w:cstheme="minorHAnsi"/>
                <w:b/>
                <w:sz w:val="17"/>
                <w:szCs w:val="17"/>
                <w:u w:val="single"/>
              </w:rPr>
            </w:pPr>
            <w:r w:rsidRPr="00AF7330">
              <w:rPr>
                <w:rFonts w:asciiTheme="minorHAnsi" w:hAnsiTheme="minorHAnsi" w:cstheme="minorHAnsi"/>
                <w:b/>
                <w:sz w:val="17"/>
                <w:szCs w:val="17"/>
                <w:u w:val="single"/>
              </w:rPr>
              <w:t>Přijaté neinvestiční příspěvky a náhrady</w:t>
            </w:r>
          </w:p>
          <w:p w:rsidR="00AF7330" w:rsidRPr="00AF7330" w:rsidRDefault="00AF7330" w:rsidP="00B916C2">
            <w:pPr>
              <w:rPr>
                <w:rFonts w:asciiTheme="minorHAnsi" w:hAnsiTheme="minorHAnsi" w:cstheme="minorHAnsi"/>
                <w:b/>
                <w:sz w:val="17"/>
                <w:szCs w:val="17"/>
                <w:u w:val="single"/>
              </w:rPr>
            </w:pPr>
            <w:r w:rsidRPr="00AF7330">
              <w:rPr>
                <w:rFonts w:asciiTheme="minorHAnsi" w:hAnsiTheme="minorHAnsi" w:cstheme="minorHAnsi"/>
                <w:sz w:val="17"/>
                <w:szCs w:val="17"/>
              </w:rPr>
              <w:t>Příjem byl vyšší, protože nám byly dobropisovány 2 úhrady z předchozích let</w:t>
            </w:r>
          </w:p>
        </w:tc>
      </w:tr>
      <w:tr w:rsidR="00AF7330" w:rsidRPr="00AF7330" w:rsidTr="00AF7330">
        <w:trPr>
          <w:gridAfter w:val="7"/>
          <w:wAfter w:w="3499" w:type="dxa"/>
        </w:trPr>
        <w:tc>
          <w:tcPr>
            <w:tcW w:w="388" w:type="dxa"/>
          </w:tcPr>
          <w:p w:rsidR="00AF7330" w:rsidRPr="00AF7330" w:rsidRDefault="00AF7330" w:rsidP="00B916C2">
            <w:pPr>
              <w:rPr>
                <w:rFonts w:asciiTheme="minorHAnsi" w:hAnsiTheme="minorHAnsi" w:cstheme="minorHAnsi"/>
                <w:b/>
                <w:sz w:val="20"/>
                <w:szCs w:val="20"/>
              </w:rPr>
            </w:pPr>
          </w:p>
        </w:tc>
        <w:tc>
          <w:tcPr>
            <w:tcW w:w="522" w:type="dxa"/>
            <w:gridSpan w:val="3"/>
          </w:tcPr>
          <w:p w:rsidR="00AF7330" w:rsidRPr="00AF7330" w:rsidRDefault="00AF7330" w:rsidP="00B916C2">
            <w:pPr>
              <w:rPr>
                <w:rFonts w:asciiTheme="minorHAnsi" w:hAnsiTheme="minorHAnsi" w:cstheme="minorHAnsi"/>
                <w:b/>
                <w:sz w:val="20"/>
                <w:szCs w:val="20"/>
              </w:rPr>
            </w:pPr>
          </w:p>
        </w:tc>
        <w:tc>
          <w:tcPr>
            <w:tcW w:w="160" w:type="dxa"/>
          </w:tcPr>
          <w:p w:rsidR="00AF7330" w:rsidRPr="00AF7330" w:rsidRDefault="00AF7330" w:rsidP="00B916C2">
            <w:pPr>
              <w:rPr>
                <w:rFonts w:asciiTheme="minorHAnsi" w:hAnsiTheme="minorHAnsi" w:cstheme="minorHAnsi"/>
                <w:b/>
                <w:sz w:val="20"/>
                <w:szCs w:val="20"/>
              </w:rPr>
            </w:pPr>
          </w:p>
        </w:tc>
        <w:tc>
          <w:tcPr>
            <w:tcW w:w="761" w:type="dxa"/>
            <w:gridSpan w:val="3"/>
          </w:tcPr>
          <w:p w:rsidR="00AF7330" w:rsidRPr="00AF7330" w:rsidRDefault="00AF7330" w:rsidP="00B916C2">
            <w:pPr>
              <w:rPr>
                <w:rFonts w:asciiTheme="minorHAnsi" w:hAnsiTheme="minorHAnsi" w:cstheme="minorHAnsi"/>
                <w:b/>
                <w:sz w:val="20"/>
                <w:szCs w:val="20"/>
              </w:rPr>
            </w:pPr>
          </w:p>
        </w:tc>
        <w:tc>
          <w:tcPr>
            <w:tcW w:w="755" w:type="dxa"/>
            <w:gridSpan w:val="4"/>
          </w:tcPr>
          <w:p w:rsidR="00AF7330" w:rsidRPr="00AF7330" w:rsidRDefault="00AF7330" w:rsidP="00B916C2">
            <w:pPr>
              <w:rPr>
                <w:rFonts w:asciiTheme="minorHAnsi" w:hAnsiTheme="minorHAnsi" w:cstheme="minorHAnsi"/>
                <w:b/>
                <w:sz w:val="20"/>
                <w:szCs w:val="20"/>
              </w:rPr>
            </w:pPr>
          </w:p>
        </w:tc>
        <w:tc>
          <w:tcPr>
            <w:tcW w:w="229" w:type="dxa"/>
            <w:gridSpan w:val="2"/>
          </w:tcPr>
          <w:p w:rsidR="00AF7330" w:rsidRPr="00AF7330" w:rsidRDefault="00AF7330" w:rsidP="00B916C2">
            <w:pPr>
              <w:rPr>
                <w:rFonts w:asciiTheme="minorHAnsi" w:hAnsiTheme="minorHAnsi" w:cstheme="minorHAnsi"/>
                <w:b/>
                <w:sz w:val="20"/>
                <w:szCs w:val="20"/>
              </w:rPr>
            </w:pPr>
          </w:p>
        </w:tc>
        <w:tc>
          <w:tcPr>
            <w:tcW w:w="460" w:type="dxa"/>
            <w:gridSpan w:val="4"/>
          </w:tcPr>
          <w:p w:rsidR="00AF7330" w:rsidRPr="00AF7330" w:rsidRDefault="00AF7330" w:rsidP="00B916C2">
            <w:pPr>
              <w:rPr>
                <w:rFonts w:asciiTheme="minorHAnsi" w:hAnsiTheme="minorHAnsi" w:cstheme="minorHAnsi"/>
                <w:b/>
                <w:sz w:val="20"/>
                <w:szCs w:val="20"/>
              </w:rPr>
            </w:pPr>
          </w:p>
        </w:tc>
        <w:tc>
          <w:tcPr>
            <w:tcW w:w="460" w:type="dxa"/>
            <w:gridSpan w:val="2"/>
          </w:tcPr>
          <w:p w:rsidR="00AF7330" w:rsidRPr="00AF7330" w:rsidRDefault="00AF7330" w:rsidP="00B916C2">
            <w:pPr>
              <w:rPr>
                <w:rFonts w:asciiTheme="minorHAnsi" w:hAnsiTheme="minorHAnsi" w:cstheme="minorHAnsi"/>
                <w:b/>
                <w:sz w:val="20"/>
                <w:szCs w:val="20"/>
              </w:rPr>
            </w:pPr>
          </w:p>
        </w:tc>
        <w:tc>
          <w:tcPr>
            <w:tcW w:w="460" w:type="dxa"/>
            <w:gridSpan w:val="2"/>
          </w:tcPr>
          <w:p w:rsidR="00AF7330" w:rsidRPr="00AF7330" w:rsidRDefault="00AF7330" w:rsidP="00B916C2">
            <w:pPr>
              <w:rPr>
                <w:rFonts w:asciiTheme="minorHAnsi" w:hAnsiTheme="minorHAnsi" w:cstheme="minorHAnsi"/>
                <w:b/>
                <w:sz w:val="20"/>
                <w:szCs w:val="20"/>
              </w:rPr>
            </w:pPr>
          </w:p>
        </w:tc>
        <w:tc>
          <w:tcPr>
            <w:tcW w:w="464" w:type="dxa"/>
          </w:tcPr>
          <w:p w:rsidR="00AF7330" w:rsidRPr="00AF7330" w:rsidRDefault="00AF7330" w:rsidP="00B916C2">
            <w:pPr>
              <w:rPr>
                <w:rFonts w:asciiTheme="minorHAnsi" w:hAnsiTheme="minorHAnsi" w:cstheme="minorHAnsi"/>
                <w:b/>
                <w:sz w:val="20"/>
                <w:szCs w:val="20"/>
              </w:rPr>
            </w:pPr>
          </w:p>
        </w:tc>
        <w:tc>
          <w:tcPr>
            <w:tcW w:w="460" w:type="dxa"/>
            <w:gridSpan w:val="3"/>
          </w:tcPr>
          <w:p w:rsidR="00AF7330" w:rsidRPr="00AF7330" w:rsidRDefault="00AF7330" w:rsidP="00B916C2">
            <w:pPr>
              <w:rPr>
                <w:rFonts w:asciiTheme="minorHAnsi" w:hAnsiTheme="minorHAnsi" w:cstheme="minorHAnsi"/>
                <w:b/>
                <w:sz w:val="20"/>
                <w:szCs w:val="20"/>
              </w:rPr>
            </w:pPr>
          </w:p>
        </w:tc>
        <w:tc>
          <w:tcPr>
            <w:tcW w:w="460" w:type="dxa"/>
            <w:gridSpan w:val="3"/>
          </w:tcPr>
          <w:p w:rsidR="00AF7330" w:rsidRPr="00AF7330" w:rsidRDefault="00AF7330" w:rsidP="00B916C2">
            <w:pPr>
              <w:rPr>
                <w:rFonts w:asciiTheme="minorHAnsi" w:hAnsiTheme="minorHAnsi" w:cstheme="minorHAnsi"/>
                <w:b/>
                <w:sz w:val="20"/>
                <w:szCs w:val="20"/>
              </w:rPr>
            </w:pPr>
          </w:p>
        </w:tc>
        <w:tc>
          <w:tcPr>
            <w:tcW w:w="460" w:type="dxa"/>
            <w:gridSpan w:val="4"/>
          </w:tcPr>
          <w:p w:rsidR="00AF7330" w:rsidRPr="00AF7330" w:rsidRDefault="00AF7330" w:rsidP="00B916C2">
            <w:pPr>
              <w:rPr>
                <w:rFonts w:asciiTheme="minorHAnsi" w:hAnsiTheme="minorHAnsi" w:cstheme="minorHAnsi"/>
                <w:b/>
                <w:sz w:val="20"/>
                <w:szCs w:val="20"/>
              </w:rPr>
            </w:pPr>
          </w:p>
        </w:tc>
        <w:tc>
          <w:tcPr>
            <w:tcW w:w="460" w:type="dxa"/>
          </w:tcPr>
          <w:p w:rsidR="00AF7330" w:rsidRPr="00AF7330" w:rsidRDefault="00AF7330" w:rsidP="00B916C2">
            <w:pPr>
              <w:rPr>
                <w:rFonts w:asciiTheme="minorHAnsi" w:hAnsiTheme="minorHAnsi" w:cstheme="minorHAnsi"/>
                <w:b/>
                <w:sz w:val="20"/>
                <w:szCs w:val="20"/>
              </w:rPr>
            </w:pPr>
          </w:p>
        </w:tc>
        <w:tc>
          <w:tcPr>
            <w:tcW w:w="460" w:type="dxa"/>
            <w:gridSpan w:val="2"/>
          </w:tcPr>
          <w:p w:rsidR="00AF7330" w:rsidRPr="00AF7330" w:rsidRDefault="00AF7330" w:rsidP="00B916C2">
            <w:pPr>
              <w:rPr>
                <w:rFonts w:asciiTheme="minorHAnsi" w:hAnsiTheme="minorHAnsi" w:cstheme="minorHAnsi"/>
                <w:b/>
                <w:sz w:val="20"/>
                <w:szCs w:val="20"/>
              </w:rPr>
            </w:pPr>
          </w:p>
        </w:tc>
        <w:tc>
          <w:tcPr>
            <w:tcW w:w="460" w:type="dxa"/>
            <w:gridSpan w:val="4"/>
          </w:tcPr>
          <w:p w:rsidR="00AF7330" w:rsidRPr="00AF7330" w:rsidRDefault="00AF7330" w:rsidP="00B916C2">
            <w:pPr>
              <w:rPr>
                <w:rFonts w:asciiTheme="minorHAnsi" w:hAnsiTheme="minorHAnsi" w:cstheme="minorHAnsi"/>
                <w:b/>
                <w:sz w:val="20"/>
                <w:szCs w:val="20"/>
              </w:rPr>
            </w:pPr>
          </w:p>
        </w:tc>
        <w:tc>
          <w:tcPr>
            <w:tcW w:w="460" w:type="dxa"/>
            <w:gridSpan w:val="2"/>
          </w:tcPr>
          <w:p w:rsidR="00AF7330" w:rsidRPr="00AF7330" w:rsidRDefault="00AF7330" w:rsidP="00B916C2">
            <w:pPr>
              <w:rPr>
                <w:rFonts w:asciiTheme="minorHAnsi" w:hAnsiTheme="minorHAnsi" w:cstheme="minorHAnsi"/>
                <w:b/>
                <w:sz w:val="20"/>
                <w:szCs w:val="20"/>
              </w:rPr>
            </w:pPr>
          </w:p>
        </w:tc>
        <w:tc>
          <w:tcPr>
            <w:tcW w:w="460" w:type="dxa"/>
            <w:gridSpan w:val="3"/>
          </w:tcPr>
          <w:p w:rsidR="00AF7330" w:rsidRPr="00AF7330" w:rsidRDefault="00AF7330" w:rsidP="00B916C2">
            <w:pPr>
              <w:rPr>
                <w:rFonts w:asciiTheme="minorHAnsi" w:hAnsiTheme="minorHAnsi" w:cstheme="minorHAnsi"/>
                <w:b/>
                <w:sz w:val="20"/>
                <w:szCs w:val="20"/>
              </w:rPr>
            </w:pPr>
          </w:p>
        </w:tc>
        <w:tc>
          <w:tcPr>
            <w:tcW w:w="1751" w:type="dxa"/>
            <w:gridSpan w:val="9"/>
          </w:tcPr>
          <w:p w:rsidR="00AF7330" w:rsidRPr="00AF7330" w:rsidRDefault="00AF7330" w:rsidP="00B916C2">
            <w:pPr>
              <w:rPr>
                <w:rFonts w:asciiTheme="minorHAnsi" w:hAnsiTheme="minorHAnsi" w:cstheme="minorHAnsi"/>
                <w:b/>
                <w:sz w:val="20"/>
                <w:szCs w:val="20"/>
              </w:rPr>
            </w:pPr>
          </w:p>
        </w:tc>
      </w:tr>
      <w:tr w:rsidR="00AF7330" w:rsidRPr="00AF7330" w:rsidTr="00AF7330">
        <w:trPr>
          <w:gridAfter w:val="6"/>
          <w:wAfter w:w="3452" w:type="dxa"/>
        </w:trPr>
        <w:tc>
          <w:tcPr>
            <w:tcW w:w="10137" w:type="dxa"/>
            <w:gridSpan w:val="55"/>
            <w:shd w:val="clear" w:color="auto" w:fill="F79646"/>
          </w:tcPr>
          <w:p w:rsidR="00AF7330" w:rsidRPr="00AF7330" w:rsidRDefault="00AF7330" w:rsidP="00B916C2">
            <w:pPr>
              <w:rPr>
                <w:rFonts w:asciiTheme="minorHAnsi" w:hAnsiTheme="minorHAnsi" w:cstheme="minorHAnsi"/>
                <w:b/>
                <w:sz w:val="20"/>
                <w:szCs w:val="20"/>
                <w:u w:val="single"/>
              </w:rPr>
            </w:pPr>
            <w:r w:rsidRPr="00AF7330">
              <w:rPr>
                <w:rFonts w:asciiTheme="minorHAnsi" w:hAnsiTheme="minorHAnsi" w:cstheme="minorHAnsi"/>
                <w:b/>
                <w:sz w:val="20"/>
                <w:szCs w:val="20"/>
                <w:u w:val="single"/>
              </w:rPr>
              <w:t>Rozbor čerpání výdajů rozpočtu kapitoly</w:t>
            </w:r>
          </w:p>
        </w:tc>
      </w:tr>
      <w:tr w:rsidR="00AF7330" w:rsidRPr="00AF7330" w:rsidTr="00AF7330">
        <w:tc>
          <w:tcPr>
            <w:tcW w:w="454" w:type="dxa"/>
            <w:gridSpan w:val="2"/>
          </w:tcPr>
          <w:p w:rsidR="00AF7330" w:rsidRPr="00AF7330" w:rsidRDefault="00AF7330" w:rsidP="00B916C2">
            <w:pPr>
              <w:rPr>
                <w:rFonts w:asciiTheme="minorHAnsi" w:hAnsiTheme="minorHAnsi" w:cstheme="minorHAnsi"/>
                <w:b/>
                <w:sz w:val="20"/>
                <w:szCs w:val="20"/>
              </w:rPr>
            </w:pPr>
          </w:p>
        </w:tc>
        <w:tc>
          <w:tcPr>
            <w:tcW w:w="393" w:type="dxa"/>
          </w:tcPr>
          <w:p w:rsidR="00AF7330" w:rsidRPr="00AF7330" w:rsidRDefault="00AF7330" w:rsidP="00B916C2">
            <w:pPr>
              <w:rPr>
                <w:rFonts w:asciiTheme="minorHAnsi" w:hAnsiTheme="minorHAnsi" w:cstheme="minorHAnsi"/>
                <w:b/>
                <w:sz w:val="20"/>
                <w:szCs w:val="20"/>
              </w:rPr>
            </w:pPr>
          </w:p>
        </w:tc>
        <w:tc>
          <w:tcPr>
            <w:tcW w:w="525" w:type="dxa"/>
            <w:gridSpan w:val="3"/>
          </w:tcPr>
          <w:p w:rsidR="00AF7330" w:rsidRPr="00AF7330" w:rsidRDefault="00AF7330" w:rsidP="00B916C2">
            <w:pPr>
              <w:rPr>
                <w:rFonts w:asciiTheme="minorHAnsi" w:hAnsiTheme="minorHAnsi" w:cstheme="minorHAnsi"/>
                <w:b/>
                <w:sz w:val="20"/>
                <w:szCs w:val="20"/>
              </w:rPr>
            </w:pPr>
          </w:p>
        </w:tc>
        <w:tc>
          <w:tcPr>
            <w:tcW w:w="959" w:type="dxa"/>
            <w:gridSpan w:val="4"/>
          </w:tcPr>
          <w:p w:rsidR="00AF7330" w:rsidRPr="00AF7330" w:rsidRDefault="00AF7330" w:rsidP="00B916C2">
            <w:pPr>
              <w:rPr>
                <w:rFonts w:asciiTheme="minorHAnsi" w:hAnsiTheme="minorHAnsi" w:cstheme="minorHAnsi"/>
                <w:b/>
                <w:sz w:val="20"/>
                <w:szCs w:val="20"/>
              </w:rPr>
            </w:pPr>
          </w:p>
        </w:tc>
        <w:tc>
          <w:tcPr>
            <w:tcW w:w="160" w:type="dxa"/>
          </w:tcPr>
          <w:p w:rsidR="00AF7330" w:rsidRPr="00AF7330" w:rsidRDefault="00AF7330" w:rsidP="00B916C2">
            <w:pPr>
              <w:rPr>
                <w:rFonts w:asciiTheme="minorHAnsi" w:hAnsiTheme="minorHAnsi" w:cstheme="minorHAnsi"/>
                <w:b/>
                <w:sz w:val="20"/>
                <w:szCs w:val="20"/>
              </w:rPr>
            </w:pPr>
          </w:p>
        </w:tc>
        <w:tc>
          <w:tcPr>
            <w:tcW w:w="460" w:type="dxa"/>
            <w:gridSpan w:val="4"/>
          </w:tcPr>
          <w:p w:rsidR="00AF7330" w:rsidRPr="00AF7330" w:rsidRDefault="00AF7330" w:rsidP="00B916C2">
            <w:pPr>
              <w:rPr>
                <w:rFonts w:asciiTheme="minorHAnsi" w:hAnsiTheme="minorHAnsi" w:cstheme="minorHAnsi"/>
                <w:b/>
                <w:sz w:val="20"/>
                <w:szCs w:val="20"/>
              </w:rPr>
            </w:pPr>
          </w:p>
        </w:tc>
        <w:tc>
          <w:tcPr>
            <w:tcW w:w="460" w:type="dxa"/>
            <w:gridSpan w:val="4"/>
          </w:tcPr>
          <w:p w:rsidR="00AF7330" w:rsidRPr="00AF7330" w:rsidRDefault="00AF7330" w:rsidP="00B916C2">
            <w:pPr>
              <w:rPr>
                <w:rFonts w:asciiTheme="minorHAnsi" w:hAnsiTheme="minorHAnsi" w:cstheme="minorHAnsi"/>
                <w:b/>
                <w:sz w:val="20"/>
                <w:szCs w:val="20"/>
              </w:rPr>
            </w:pPr>
          </w:p>
        </w:tc>
        <w:tc>
          <w:tcPr>
            <w:tcW w:w="1248" w:type="dxa"/>
            <w:gridSpan w:val="4"/>
          </w:tcPr>
          <w:p w:rsidR="00AF7330" w:rsidRPr="00AF7330" w:rsidRDefault="00AF7330" w:rsidP="00B916C2">
            <w:pPr>
              <w:rPr>
                <w:rFonts w:asciiTheme="minorHAnsi" w:hAnsiTheme="minorHAnsi" w:cstheme="minorHAnsi"/>
                <w:b/>
                <w:sz w:val="20"/>
                <w:szCs w:val="20"/>
              </w:rPr>
            </w:pPr>
          </w:p>
        </w:tc>
        <w:tc>
          <w:tcPr>
            <w:tcW w:w="160" w:type="dxa"/>
          </w:tcPr>
          <w:p w:rsidR="00AF7330" w:rsidRPr="00AF7330" w:rsidRDefault="00AF7330" w:rsidP="00B916C2">
            <w:pPr>
              <w:rPr>
                <w:rFonts w:asciiTheme="minorHAnsi" w:hAnsiTheme="minorHAnsi" w:cstheme="minorHAnsi"/>
                <w:b/>
                <w:sz w:val="20"/>
                <w:szCs w:val="20"/>
              </w:rPr>
            </w:pPr>
          </w:p>
        </w:tc>
        <w:tc>
          <w:tcPr>
            <w:tcW w:w="397" w:type="dxa"/>
            <w:gridSpan w:val="4"/>
          </w:tcPr>
          <w:p w:rsidR="00AF7330" w:rsidRPr="00AF7330" w:rsidRDefault="00AF7330" w:rsidP="00B916C2">
            <w:pPr>
              <w:rPr>
                <w:rFonts w:asciiTheme="minorHAnsi" w:hAnsiTheme="minorHAnsi" w:cstheme="minorHAnsi"/>
                <w:b/>
                <w:sz w:val="20"/>
                <w:szCs w:val="20"/>
              </w:rPr>
            </w:pPr>
          </w:p>
        </w:tc>
        <w:tc>
          <w:tcPr>
            <w:tcW w:w="523" w:type="dxa"/>
            <w:gridSpan w:val="3"/>
          </w:tcPr>
          <w:p w:rsidR="00AF7330" w:rsidRPr="00AF7330" w:rsidRDefault="00AF7330" w:rsidP="00B916C2">
            <w:pPr>
              <w:rPr>
                <w:rFonts w:asciiTheme="minorHAnsi" w:hAnsiTheme="minorHAnsi" w:cstheme="minorHAnsi"/>
                <w:b/>
                <w:sz w:val="20"/>
                <w:szCs w:val="20"/>
              </w:rPr>
            </w:pPr>
          </w:p>
        </w:tc>
        <w:tc>
          <w:tcPr>
            <w:tcW w:w="1533" w:type="dxa"/>
            <w:gridSpan w:val="7"/>
          </w:tcPr>
          <w:p w:rsidR="00AF7330" w:rsidRPr="00AF7330" w:rsidRDefault="00AF7330" w:rsidP="00B916C2">
            <w:pPr>
              <w:rPr>
                <w:rFonts w:asciiTheme="minorHAnsi" w:hAnsiTheme="minorHAnsi" w:cstheme="minorHAnsi"/>
                <w:b/>
                <w:sz w:val="20"/>
                <w:szCs w:val="20"/>
              </w:rPr>
            </w:pPr>
          </w:p>
        </w:tc>
        <w:tc>
          <w:tcPr>
            <w:tcW w:w="160" w:type="dxa"/>
            <w:gridSpan w:val="3"/>
          </w:tcPr>
          <w:p w:rsidR="00AF7330" w:rsidRPr="00AF7330" w:rsidRDefault="00AF7330" w:rsidP="00B916C2">
            <w:pPr>
              <w:rPr>
                <w:rFonts w:asciiTheme="minorHAnsi" w:hAnsiTheme="minorHAnsi" w:cstheme="minorHAnsi"/>
                <w:b/>
                <w:sz w:val="20"/>
                <w:szCs w:val="20"/>
              </w:rPr>
            </w:pPr>
          </w:p>
        </w:tc>
        <w:tc>
          <w:tcPr>
            <w:tcW w:w="485" w:type="dxa"/>
            <w:gridSpan w:val="3"/>
          </w:tcPr>
          <w:p w:rsidR="00AF7330" w:rsidRPr="00AF7330" w:rsidRDefault="00AF7330" w:rsidP="00B916C2">
            <w:pPr>
              <w:rPr>
                <w:rFonts w:asciiTheme="minorHAnsi" w:hAnsiTheme="minorHAnsi" w:cstheme="minorHAnsi"/>
                <w:b/>
                <w:sz w:val="20"/>
                <w:szCs w:val="20"/>
              </w:rPr>
            </w:pPr>
          </w:p>
        </w:tc>
        <w:tc>
          <w:tcPr>
            <w:tcW w:w="460" w:type="dxa"/>
            <w:gridSpan w:val="3"/>
          </w:tcPr>
          <w:p w:rsidR="00AF7330" w:rsidRPr="00AF7330" w:rsidRDefault="00AF7330" w:rsidP="00B916C2">
            <w:pPr>
              <w:rPr>
                <w:rFonts w:asciiTheme="minorHAnsi" w:hAnsiTheme="minorHAnsi" w:cstheme="minorHAnsi"/>
                <w:b/>
                <w:sz w:val="20"/>
                <w:szCs w:val="20"/>
              </w:rPr>
            </w:pPr>
          </w:p>
        </w:tc>
        <w:tc>
          <w:tcPr>
            <w:tcW w:w="460" w:type="dxa"/>
            <w:gridSpan w:val="2"/>
          </w:tcPr>
          <w:p w:rsidR="00AF7330" w:rsidRPr="00AF7330" w:rsidRDefault="00AF7330" w:rsidP="00B916C2">
            <w:pPr>
              <w:rPr>
                <w:rFonts w:asciiTheme="minorHAnsi" w:hAnsiTheme="minorHAnsi" w:cstheme="minorHAnsi"/>
                <w:b/>
                <w:sz w:val="20"/>
                <w:szCs w:val="20"/>
              </w:rPr>
            </w:pPr>
          </w:p>
        </w:tc>
        <w:tc>
          <w:tcPr>
            <w:tcW w:w="460" w:type="dxa"/>
            <w:gridSpan w:val="2"/>
          </w:tcPr>
          <w:p w:rsidR="00AF7330" w:rsidRPr="00AF7330" w:rsidRDefault="00AF7330" w:rsidP="00B916C2">
            <w:pPr>
              <w:rPr>
                <w:rFonts w:asciiTheme="minorHAnsi" w:hAnsiTheme="minorHAnsi" w:cstheme="minorHAnsi"/>
                <w:b/>
                <w:sz w:val="20"/>
                <w:szCs w:val="20"/>
              </w:rPr>
            </w:pPr>
          </w:p>
        </w:tc>
        <w:tc>
          <w:tcPr>
            <w:tcW w:w="460" w:type="dxa"/>
            <w:gridSpan w:val="2"/>
          </w:tcPr>
          <w:p w:rsidR="00AF7330" w:rsidRPr="00AF7330" w:rsidRDefault="00AF7330" w:rsidP="00B916C2">
            <w:pPr>
              <w:rPr>
                <w:rFonts w:asciiTheme="minorHAnsi" w:hAnsiTheme="minorHAnsi" w:cstheme="minorHAnsi"/>
                <w:b/>
                <w:sz w:val="20"/>
                <w:szCs w:val="20"/>
              </w:rPr>
            </w:pPr>
          </w:p>
        </w:tc>
        <w:tc>
          <w:tcPr>
            <w:tcW w:w="460" w:type="dxa"/>
            <w:gridSpan w:val="4"/>
          </w:tcPr>
          <w:p w:rsidR="00AF7330" w:rsidRPr="00AF7330" w:rsidRDefault="00AF7330" w:rsidP="00B916C2">
            <w:pPr>
              <w:rPr>
                <w:rFonts w:asciiTheme="minorHAnsi" w:hAnsiTheme="minorHAnsi" w:cstheme="minorHAnsi"/>
                <w:b/>
                <w:sz w:val="20"/>
                <w:szCs w:val="20"/>
              </w:rPr>
            </w:pPr>
          </w:p>
        </w:tc>
        <w:tc>
          <w:tcPr>
            <w:tcW w:w="3372" w:type="dxa"/>
            <w:gridSpan w:val="4"/>
          </w:tcPr>
          <w:p w:rsidR="00AF7330" w:rsidRPr="00AF7330" w:rsidRDefault="00AF7330" w:rsidP="00B916C2">
            <w:pPr>
              <w:rPr>
                <w:rFonts w:asciiTheme="minorHAnsi" w:hAnsiTheme="minorHAnsi" w:cstheme="minorHAnsi"/>
                <w:b/>
                <w:sz w:val="20"/>
                <w:szCs w:val="20"/>
              </w:rPr>
            </w:pPr>
          </w:p>
        </w:tc>
      </w:tr>
      <w:tr w:rsidR="00AF7330" w:rsidRPr="00AF7330" w:rsidTr="00AF7330">
        <w:trPr>
          <w:gridAfter w:val="6"/>
          <w:wAfter w:w="3452" w:type="dxa"/>
        </w:trPr>
        <w:tc>
          <w:tcPr>
            <w:tcW w:w="2331" w:type="dxa"/>
            <w:gridSpan w:val="10"/>
            <w:tcBorders>
              <w:top w:val="single" w:sz="4" w:space="0" w:color="auto"/>
              <w:left w:val="single" w:sz="4" w:space="0" w:color="auto"/>
              <w:bottom w:val="single" w:sz="4" w:space="0" w:color="auto"/>
              <w:right w:val="single" w:sz="4" w:space="0" w:color="auto"/>
            </w:tcBorders>
            <w:shd w:val="clear" w:color="auto" w:fill="FFFF00"/>
          </w:tcPr>
          <w:p w:rsidR="00AF7330" w:rsidRPr="00AF7330" w:rsidRDefault="00AF7330" w:rsidP="00B916C2">
            <w:pPr>
              <w:jc w:val="center"/>
              <w:rPr>
                <w:rFonts w:asciiTheme="minorHAnsi" w:hAnsiTheme="minorHAnsi" w:cstheme="minorHAnsi"/>
                <w:b/>
                <w:sz w:val="18"/>
                <w:szCs w:val="18"/>
              </w:rPr>
            </w:pPr>
            <w:r w:rsidRPr="00AF7330">
              <w:rPr>
                <w:rFonts w:asciiTheme="minorHAnsi" w:hAnsiTheme="minorHAnsi" w:cstheme="minorHAnsi"/>
                <w:b/>
                <w:sz w:val="18"/>
                <w:szCs w:val="18"/>
              </w:rPr>
              <w:t>Rozpočet upravený v tis. Kč</w:t>
            </w:r>
          </w:p>
        </w:tc>
        <w:tc>
          <w:tcPr>
            <w:tcW w:w="1708" w:type="dxa"/>
            <w:gridSpan w:val="11"/>
            <w:tcBorders>
              <w:top w:val="single" w:sz="4" w:space="0" w:color="auto"/>
              <w:left w:val="single" w:sz="4" w:space="0" w:color="auto"/>
              <w:bottom w:val="single" w:sz="4" w:space="0" w:color="auto"/>
              <w:right w:val="single" w:sz="4" w:space="0" w:color="auto"/>
            </w:tcBorders>
            <w:shd w:val="clear" w:color="auto" w:fill="FFFF00"/>
          </w:tcPr>
          <w:p w:rsidR="00AF7330" w:rsidRPr="00AF7330" w:rsidRDefault="00AF7330" w:rsidP="00B916C2">
            <w:pPr>
              <w:jc w:val="center"/>
              <w:rPr>
                <w:rFonts w:asciiTheme="minorHAnsi" w:hAnsiTheme="minorHAnsi" w:cstheme="minorHAnsi"/>
                <w:b/>
                <w:sz w:val="18"/>
                <w:szCs w:val="18"/>
              </w:rPr>
            </w:pPr>
            <w:r w:rsidRPr="00AF7330">
              <w:rPr>
                <w:rFonts w:asciiTheme="minorHAnsi" w:hAnsiTheme="minorHAnsi" w:cstheme="minorHAnsi"/>
                <w:b/>
                <w:sz w:val="18"/>
                <w:szCs w:val="18"/>
              </w:rPr>
              <w:t>Skutečnost v tis. Kč</w:t>
            </w:r>
          </w:p>
        </w:tc>
        <w:tc>
          <w:tcPr>
            <w:tcW w:w="2550" w:type="dxa"/>
            <w:gridSpan w:val="14"/>
            <w:tcBorders>
              <w:top w:val="single" w:sz="4" w:space="0" w:color="auto"/>
              <w:left w:val="single" w:sz="4" w:space="0" w:color="auto"/>
              <w:bottom w:val="single" w:sz="4" w:space="0" w:color="auto"/>
              <w:right w:val="single" w:sz="4" w:space="0" w:color="auto"/>
            </w:tcBorders>
            <w:shd w:val="clear" w:color="auto" w:fill="FFFF00"/>
          </w:tcPr>
          <w:p w:rsidR="00AF7330" w:rsidRPr="00AF7330" w:rsidRDefault="00AF7330" w:rsidP="00B916C2">
            <w:pPr>
              <w:jc w:val="center"/>
              <w:rPr>
                <w:rFonts w:asciiTheme="minorHAnsi" w:hAnsiTheme="minorHAnsi" w:cstheme="minorHAnsi"/>
                <w:b/>
                <w:sz w:val="18"/>
                <w:szCs w:val="18"/>
              </w:rPr>
            </w:pPr>
            <w:r w:rsidRPr="00AF7330">
              <w:rPr>
                <w:rFonts w:asciiTheme="minorHAnsi" w:hAnsiTheme="minorHAnsi" w:cstheme="minorHAnsi"/>
                <w:b/>
                <w:sz w:val="18"/>
                <w:szCs w:val="18"/>
              </w:rPr>
              <w:t>SK/RU v %</w:t>
            </w:r>
          </w:p>
        </w:tc>
        <w:tc>
          <w:tcPr>
            <w:tcW w:w="3548" w:type="dxa"/>
            <w:gridSpan w:val="20"/>
            <w:tcBorders>
              <w:top w:val="single" w:sz="4" w:space="0" w:color="auto"/>
              <w:left w:val="single" w:sz="4" w:space="0" w:color="auto"/>
              <w:bottom w:val="single" w:sz="4" w:space="0" w:color="auto"/>
              <w:right w:val="single" w:sz="4" w:space="0" w:color="auto"/>
            </w:tcBorders>
            <w:shd w:val="clear" w:color="auto" w:fill="FFFF00"/>
          </w:tcPr>
          <w:p w:rsidR="00AF7330" w:rsidRPr="00AF7330" w:rsidRDefault="00AF7330" w:rsidP="00B916C2">
            <w:pPr>
              <w:jc w:val="center"/>
              <w:rPr>
                <w:rFonts w:asciiTheme="minorHAnsi" w:hAnsiTheme="minorHAnsi" w:cstheme="minorHAnsi"/>
                <w:b/>
                <w:sz w:val="18"/>
                <w:szCs w:val="18"/>
              </w:rPr>
            </w:pPr>
            <w:r w:rsidRPr="00AF7330">
              <w:rPr>
                <w:rFonts w:asciiTheme="minorHAnsi" w:hAnsiTheme="minorHAnsi" w:cstheme="minorHAnsi"/>
                <w:b/>
                <w:sz w:val="18"/>
                <w:szCs w:val="18"/>
              </w:rPr>
              <w:t>Komentář</w:t>
            </w:r>
          </w:p>
        </w:tc>
      </w:tr>
      <w:tr w:rsidR="00AF7330" w:rsidRPr="00AF7330" w:rsidTr="00AF7330">
        <w:trPr>
          <w:gridAfter w:val="6"/>
          <w:wAfter w:w="3452" w:type="dxa"/>
        </w:trPr>
        <w:tc>
          <w:tcPr>
            <w:tcW w:w="2331" w:type="dxa"/>
            <w:gridSpan w:val="10"/>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right"/>
              <w:rPr>
                <w:rFonts w:asciiTheme="minorHAnsi" w:hAnsiTheme="minorHAnsi" w:cstheme="minorHAnsi"/>
                <w:b/>
                <w:sz w:val="18"/>
                <w:szCs w:val="18"/>
              </w:rPr>
            </w:pPr>
            <w:r w:rsidRPr="00AF7330">
              <w:rPr>
                <w:rFonts w:asciiTheme="minorHAnsi" w:hAnsiTheme="minorHAnsi" w:cstheme="minorHAnsi"/>
                <w:b/>
                <w:sz w:val="18"/>
                <w:szCs w:val="18"/>
              </w:rPr>
              <w:t>16</w:t>
            </w:r>
            <w:r>
              <w:rPr>
                <w:rFonts w:asciiTheme="minorHAnsi" w:hAnsiTheme="minorHAnsi" w:cstheme="minorHAnsi"/>
                <w:b/>
                <w:sz w:val="18"/>
                <w:szCs w:val="18"/>
              </w:rPr>
              <w:t xml:space="preserve"> </w:t>
            </w:r>
            <w:r w:rsidRPr="00AF7330">
              <w:rPr>
                <w:rFonts w:asciiTheme="minorHAnsi" w:hAnsiTheme="minorHAnsi" w:cstheme="minorHAnsi"/>
                <w:b/>
                <w:sz w:val="18"/>
                <w:szCs w:val="18"/>
              </w:rPr>
              <w:t>293,57</w:t>
            </w:r>
          </w:p>
        </w:tc>
        <w:tc>
          <w:tcPr>
            <w:tcW w:w="1708" w:type="dxa"/>
            <w:gridSpan w:val="11"/>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right"/>
              <w:rPr>
                <w:rFonts w:asciiTheme="minorHAnsi" w:hAnsiTheme="minorHAnsi" w:cstheme="minorHAnsi"/>
                <w:b/>
                <w:sz w:val="18"/>
                <w:szCs w:val="18"/>
              </w:rPr>
            </w:pPr>
            <w:r>
              <w:rPr>
                <w:rFonts w:asciiTheme="minorHAnsi" w:hAnsiTheme="minorHAnsi" w:cstheme="minorHAnsi"/>
                <w:b/>
                <w:sz w:val="18"/>
                <w:szCs w:val="18"/>
              </w:rPr>
              <w:t xml:space="preserve">10 </w:t>
            </w:r>
            <w:r w:rsidRPr="00AF7330">
              <w:rPr>
                <w:rFonts w:asciiTheme="minorHAnsi" w:hAnsiTheme="minorHAnsi" w:cstheme="minorHAnsi"/>
                <w:b/>
                <w:sz w:val="18"/>
                <w:szCs w:val="18"/>
              </w:rPr>
              <w:t>103,68</w:t>
            </w:r>
          </w:p>
        </w:tc>
        <w:tc>
          <w:tcPr>
            <w:tcW w:w="2550" w:type="dxa"/>
            <w:gridSpan w:val="14"/>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right"/>
              <w:rPr>
                <w:rFonts w:asciiTheme="minorHAnsi" w:hAnsiTheme="minorHAnsi" w:cstheme="minorHAnsi"/>
                <w:b/>
                <w:sz w:val="18"/>
                <w:szCs w:val="18"/>
              </w:rPr>
            </w:pPr>
            <w:r w:rsidRPr="00AF7330">
              <w:rPr>
                <w:rFonts w:asciiTheme="minorHAnsi" w:hAnsiTheme="minorHAnsi" w:cstheme="minorHAnsi"/>
                <w:b/>
                <w:sz w:val="18"/>
                <w:szCs w:val="18"/>
              </w:rPr>
              <w:t>62,01</w:t>
            </w:r>
          </w:p>
        </w:tc>
        <w:tc>
          <w:tcPr>
            <w:tcW w:w="3548" w:type="dxa"/>
            <w:gridSpan w:val="20"/>
            <w:tcBorders>
              <w:top w:val="single" w:sz="4" w:space="0" w:color="auto"/>
              <w:left w:val="single" w:sz="4" w:space="0" w:color="auto"/>
              <w:bottom w:val="single" w:sz="4" w:space="0" w:color="auto"/>
              <w:right w:val="single" w:sz="4" w:space="0" w:color="auto"/>
            </w:tcBorders>
          </w:tcPr>
          <w:p w:rsidR="00AF7330" w:rsidRPr="00AF7330" w:rsidRDefault="00AF7330" w:rsidP="00B916C2">
            <w:pPr>
              <w:rPr>
                <w:rFonts w:asciiTheme="minorHAnsi" w:hAnsiTheme="minorHAnsi" w:cstheme="minorHAnsi"/>
                <w:b/>
                <w:sz w:val="18"/>
                <w:szCs w:val="18"/>
              </w:rPr>
            </w:pPr>
            <w:r w:rsidRPr="00AF7330">
              <w:rPr>
                <w:rFonts w:asciiTheme="minorHAnsi" w:hAnsiTheme="minorHAnsi" w:cstheme="minorHAnsi"/>
                <w:b/>
                <w:sz w:val="18"/>
                <w:szCs w:val="18"/>
              </w:rPr>
              <w:t>Výdaje před konsolidací</w:t>
            </w:r>
          </w:p>
        </w:tc>
      </w:tr>
      <w:tr w:rsidR="00AF7330" w:rsidRPr="00AF7330" w:rsidTr="00AF7330">
        <w:trPr>
          <w:gridAfter w:val="6"/>
          <w:wAfter w:w="3452" w:type="dxa"/>
        </w:trPr>
        <w:tc>
          <w:tcPr>
            <w:tcW w:w="2331" w:type="dxa"/>
            <w:gridSpan w:val="10"/>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right"/>
              <w:rPr>
                <w:rFonts w:asciiTheme="minorHAnsi" w:hAnsiTheme="minorHAnsi" w:cstheme="minorHAnsi"/>
                <w:b/>
                <w:sz w:val="18"/>
                <w:szCs w:val="18"/>
              </w:rPr>
            </w:pPr>
            <w:r w:rsidRPr="00AF7330">
              <w:rPr>
                <w:rFonts w:asciiTheme="minorHAnsi" w:hAnsiTheme="minorHAnsi" w:cstheme="minorHAnsi"/>
                <w:b/>
                <w:sz w:val="18"/>
                <w:szCs w:val="18"/>
              </w:rPr>
              <w:t>1</w:t>
            </w:r>
            <w:r>
              <w:rPr>
                <w:rFonts w:asciiTheme="minorHAnsi" w:hAnsiTheme="minorHAnsi" w:cstheme="minorHAnsi"/>
                <w:b/>
                <w:sz w:val="18"/>
                <w:szCs w:val="18"/>
              </w:rPr>
              <w:t xml:space="preserve">6 </w:t>
            </w:r>
            <w:r w:rsidRPr="00AF7330">
              <w:rPr>
                <w:rFonts w:asciiTheme="minorHAnsi" w:hAnsiTheme="minorHAnsi" w:cstheme="minorHAnsi"/>
                <w:b/>
                <w:sz w:val="18"/>
                <w:szCs w:val="18"/>
              </w:rPr>
              <w:t>293,57</w:t>
            </w:r>
          </w:p>
        </w:tc>
        <w:tc>
          <w:tcPr>
            <w:tcW w:w="1708" w:type="dxa"/>
            <w:gridSpan w:val="11"/>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right"/>
              <w:rPr>
                <w:rFonts w:asciiTheme="minorHAnsi" w:hAnsiTheme="minorHAnsi" w:cstheme="minorHAnsi"/>
                <w:b/>
                <w:sz w:val="18"/>
                <w:szCs w:val="18"/>
              </w:rPr>
            </w:pPr>
            <w:r w:rsidRPr="00AF7330">
              <w:rPr>
                <w:rFonts w:asciiTheme="minorHAnsi" w:hAnsiTheme="minorHAnsi" w:cstheme="minorHAnsi"/>
                <w:b/>
                <w:sz w:val="18"/>
                <w:szCs w:val="18"/>
              </w:rPr>
              <w:t>1</w:t>
            </w:r>
            <w:r>
              <w:rPr>
                <w:rFonts w:asciiTheme="minorHAnsi" w:hAnsiTheme="minorHAnsi" w:cstheme="minorHAnsi"/>
                <w:b/>
                <w:sz w:val="18"/>
                <w:szCs w:val="18"/>
              </w:rPr>
              <w:t xml:space="preserve">0 </w:t>
            </w:r>
            <w:r w:rsidRPr="00AF7330">
              <w:rPr>
                <w:rFonts w:asciiTheme="minorHAnsi" w:hAnsiTheme="minorHAnsi" w:cstheme="minorHAnsi"/>
                <w:b/>
                <w:sz w:val="18"/>
                <w:szCs w:val="18"/>
              </w:rPr>
              <w:t>103,68</w:t>
            </w:r>
          </w:p>
        </w:tc>
        <w:tc>
          <w:tcPr>
            <w:tcW w:w="2550" w:type="dxa"/>
            <w:gridSpan w:val="14"/>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right"/>
              <w:rPr>
                <w:rFonts w:asciiTheme="minorHAnsi" w:hAnsiTheme="minorHAnsi" w:cstheme="minorHAnsi"/>
                <w:b/>
                <w:sz w:val="18"/>
                <w:szCs w:val="18"/>
              </w:rPr>
            </w:pPr>
            <w:r w:rsidRPr="00AF7330">
              <w:rPr>
                <w:rFonts w:asciiTheme="minorHAnsi" w:hAnsiTheme="minorHAnsi" w:cstheme="minorHAnsi"/>
                <w:b/>
                <w:sz w:val="18"/>
                <w:szCs w:val="18"/>
              </w:rPr>
              <w:t>62,01</w:t>
            </w:r>
          </w:p>
        </w:tc>
        <w:tc>
          <w:tcPr>
            <w:tcW w:w="3548" w:type="dxa"/>
            <w:gridSpan w:val="20"/>
            <w:tcBorders>
              <w:top w:val="single" w:sz="4" w:space="0" w:color="auto"/>
              <w:left w:val="single" w:sz="4" w:space="0" w:color="auto"/>
              <w:bottom w:val="single" w:sz="4" w:space="0" w:color="auto"/>
              <w:right w:val="single" w:sz="4" w:space="0" w:color="auto"/>
            </w:tcBorders>
          </w:tcPr>
          <w:p w:rsidR="00AF7330" w:rsidRPr="00AF7330" w:rsidRDefault="00AF7330" w:rsidP="00B916C2">
            <w:pPr>
              <w:rPr>
                <w:rFonts w:asciiTheme="minorHAnsi" w:hAnsiTheme="minorHAnsi" w:cstheme="minorHAnsi"/>
                <w:b/>
                <w:sz w:val="18"/>
                <w:szCs w:val="18"/>
              </w:rPr>
            </w:pPr>
            <w:r w:rsidRPr="00AF7330">
              <w:rPr>
                <w:rFonts w:asciiTheme="minorHAnsi" w:hAnsiTheme="minorHAnsi" w:cstheme="minorHAnsi"/>
                <w:b/>
                <w:sz w:val="18"/>
                <w:szCs w:val="18"/>
              </w:rPr>
              <w:t>Výdaje po konsolidaci</w:t>
            </w:r>
          </w:p>
        </w:tc>
      </w:tr>
      <w:tr w:rsidR="00AF7330" w:rsidRPr="00AF7330" w:rsidTr="00AF7330">
        <w:tc>
          <w:tcPr>
            <w:tcW w:w="454" w:type="dxa"/>
            <w:gridSpan w:val="2"/>
          </w:tcPr>
          <w:p w:rsidR="00AF7330" w:rsidRPr="00AF7330" w:rsidRDefault="00AF7330" w:rsidP="00B916C2">
            <w:pPr>
              <w:rPr>
                <w:rFonts w:asciiTheme="minorHAnsi" w:hAnsiTheme="minorHAnsi" w:cstheme="minorHAnsi"/>
                <w:b/>
                <w:sz w:val="20"/>
                <w:szCs w:val="20"/>
              </w:rPr>
            </w:pPr>
          </w:p>
        </w:tc>
        <w:tc>
          <w:tcPr>
            <w:tcW w:w="393" w:type="dxa"/>
          </w:tcPr>
          <w:p w:rsidR="00AF7330" w:rsidRPr="00AF7330" w:rsidRDefault="00AF7330" w:rsidP="00B916C2">
            <w:pPr>
              <w:rPr>
                <w:rFonts w:asciiTheme="minorHAnsi" w:hAnsiTheme="minorHAnsi" w:cstheme="minorHAnsi"/>
                <w:b/>
                <w:sz w:val="20"/>
                <w:szCs w:val="20"/>
              </w:rPr>
            </w:pPr>
          </w:p>
        </w:tc>
        <w:tc>
          <w:tcPr>
            <w:tcW w:w="525" w:type="dxa"/>
            <w:gridSpan w:val="3"/>
          </w:tcPr>
          <w:p w:rsidR="00AF7330" w:rsidRPr="00AF7330" w:rsidRDefault="00AF7330" w:rsidP="00B916C2">
            <w:pPr>
              <w:rPr>
                <w:rFonts w:asciiTheme="minorHAnsi" w:hAnsiTheme="minorHAnsi" w:cstheme="minorHAnsi"/>
                <w:b/>
                <w:sz w:val="20"/>
                <w:szCs w:val="20"/>
              </w:rPr>
            </w:pPr>
          </w:p>
        </w:tc>
        <w:tc>
          <w:tcPr>
            <w:tcW w:w="959" w:type="dxa"/>
            <w:gridSpan w:val="4"/>
          </w:tcPr>
          <w:p w:rsidR="00AF7330" w:rsidRPr="00AF7330" w:rsidRDefault="00AF7330" w:rsidP="00B916C2">
            <w:pPr>
              <w:rPr>
                <w:rFonts w:asciiTheme="minorHAnsi" w:hAnsiTheme="minorHAnsi" w:cstheme="minorHAnsi"/>
                <w:b/>
                <w:sz w:val="20"/>
                <w:szCs w:val="20"/>
              </w:rPr>
            </w:pPr>
          </w:p>
        </w:tc>
        <w:tc>
          <w:tcPr>
            <w:tcW w:w="160" w:type="dxa"/>
          </w:tcPr>
          <w:p w:rsidR="00AF7330" w:rsidRPr="00AF7330" w:rsidRDefault="00AF7330" w:rsidP="00B916C2">
            <w:pPr>
              <w:rPr>
                <w:rFonts w:asciiTheme="minorHAnsi" w:hAnsiTheme="minorHAnsi" w:cstheme="minorHAnsi"/>
                <w:b/>
                <w:sz w:val="20"/>
                <w:szCs w:val="20"/>
              </w:rPr>
            </w:pPr>
          </w:p>
        </w:tc>
        <w:tc>
          <w:tcPr>
            <w:tcW w:w="460" w:type="dxa"/>
            <w:gridSpan w:val="4"/>
          </w:tcPr>
          <w:p w:rsidR="00AF7330" w:rsidRPr="00AF7330" w:rsidRDefault="00AF7330" w:rsidP="00B916C2">
            <w:pPr>
              <w:rPr>
                <w:rFonts w:asciiTheme="minorHAnsi" w:hAnsiTheme="minorHAnsi" w:cstheme="minorHAnsi"/>
                <w:b/>
                <w:sz w:val="20"/>
                <w:szCs w:val="20"/>
              </w:rPr>
            </w:pPr>
          </w:p>
        </w:tc>
        <w:tc>
          <w:tcPr>
            <w:tcW w:w="460" w:type="dxa"/>
            <w:gridSpan w:val="4"/>
          </w:tcPr>
          <w:p w:rsidR="00AF7330" w:rsidRPr="00AF7330" w:rsidRDefault="00AF7330" w:rsidP="00B916C2">
            <w:pPr>
              <w:rPr>
                <w:rFonts w:asciiTheme="minorHAnsi" w:hAnsiTheme="minorHAnsi" w:cstheme="minorHAnsi"/>
                <w:b/>
                <w:sz w:val="20"/>
                <w:szCs w:val="20"/>
              </w:rPr>
            </w:pPr>
          </w:p>
        </w:tc>
        <w:tc>
          <w:tcPr>
            <w:tcW w:w="1248" w:type="dxa"/>
            <w:gridSpan w:val="4"/>
          </w:tcPr>
          <w:p w:rsidR="00AF7330" w:rsidRPr="00AF7330" w:rsidRDefault="00AF7330" w:rsidP="00B916C2">
            <w:pPr>
              <w:rPr>
                <w:rFonts w:asciiTheme="minorHAnsi" w:hAnsiTheme="minorHAnsi" w:cstheme="minorHAnsi"/>
                <w:b/>
                <w:sz w:val="20"/>
                <w:szCs w:val="20"/>
              </w:rPr>
            </w:pPr>
          </w:p>
        </w:tc>
        <w:tc>
          <w:tcPr>
            <w:tcW w:w="160" w:type="dxa"/>
          </w:tcPr>
          <w:p w:rsidR="00AF7330" w:rsidRPr="00AF7330" w:rsidRDefault="00AF7330" w:rsidP="00B916C2">
            <w:pPr>
              <w:rPr>
                <w:rFonts w:asciiTheme="minorHAnsi" w:hAnsiTheme="minorHAnsi" w:cstheme="minorHAnsi"/>
                <w:b/>
                <w:sz w:val="20"/>
                <w:szCs w:val="20"/>
              </w:rPr>
            </w:pPr>
          </w:p>
        </w:tc>
        <w:tc>
          <w:tcPr>
            <w:tcW w:w="397" w:type="dxa"/>
            <w:gridSpan w:val="4"/>
          </w:tcPr>
          <w:p w:rsidR="00AF7330" w:rsidRPr="00AF7330" w:rsidRDefault="00AF7330" w:rsidP="00B916C2">
            <w:pPr>
              <w:rPr>
                <w:rFonts w:asciiTheme="minorHAnsi" w:hAnsiTheme="minorHAnsi" w:cstheme="minorHAnsi"/>
                <w:b/>
                <w:sz w:val="20"/>
                <w:szCs w:val="20"/>
              </w:rPr>
            </w:pPr>
          </w:p>
        </w:tc>
        <w:tc>
          <w:tcPr>
            <w:tcW w:w="523" w:type="dxa"/>
            <w:gridSpan w:val="3"/>
          </w:tcPr>
          <w:p w:rsidR="00AF7330" w:rsidRPr="00AF7330" w:rsidRDefault="00AF7330" w:rsidP="00B916C2">
            <w:pPr>
              <w:rPr>
                <w:rFonts w:asciiTheme="minorHAnsi" w:hAnsiTheme="minorHAnsi" w:cstheme="minorHAnsi"/>
                <w:b/>
                <w:sz w:val="20"/>
                <w:szCs w:val="20"/>
              </w:rPr>
            </w:pPr>
          </w:p>
        </w:tc>
        <w:tc>
          <w:tcPr>
            <w:tcW w:w="1533" w:type="dxa"/>
            <w:gridSpan w:val="7"/>
          </w:tcPr>
          <w:p w:rsidR="00AF7330" w:rsidRPr="00AF7330" w:rsidRDefault="00AF7330" w:rsidP="00B916C2">
            <w:pPr>
              <w:rPr>
                <w:rFonts w:asciiTheme="minorHAnsi" w:hAnsiTheme="minorHAnsi" w:cstheme="minorHAnsi"/>
                <w:b/>
                <w:sz w:val="20"/>
                <w:szCs w:val="20"/>
              </w:rPr>
            </w:pPr>
          </w:p>
        </w:tc>
        <w:tc>
          <w:tcPr>
            <w:tcW w:w="160" w:type="dxa"/>
            <w:gridSpan w:val="3"/>
          </w:tcPr>
          <w:p w:rsidR="00AF7330" w:rsidRPr="00AF7330" w:rsidRDefault="00AF7330" w:rsidP="00B916C2">
            <w:pPr>
              <w:rPr>
                <w:rFonts w:asciiTheme="minorHAnsi" w:hAnsiTheme="minorHAnsi" w:cstheme="minorHAnsi"/>
                <w:b/>
                <w:sz w:val="20"/>
                <w:szCs w:val="20"/>
              </w:rPr>
            </w:pPr>
          </w:p>
        </w:tc>
        <w:tc>
          <w:tcPr>
            <w:tcW w:w="485" w:type="dxa"/>
            <w:gridSpan w:val="3"/>
          </w:tcPr>
          <w:p w:rsidR="00AF7330" w:rsidRPr="00AF7330" w:rsidRDefault="00AF7330" w:rsidP="00B916C2">
            <w:pPr>
              <w:rPr>
                <w:rFonts w:asciiTheme="minorHAnsi" w:hAnsiTheme="minorHAnsi" w:cstheme="minorHAnsi"/>
                <w:b/>
                <w:sz w:val="20"/>
                <w:szCs w:val="20"/>
              </w:rPr>
            </w:pPr>
          </w:p>
        </w:tc>
        <w:tc>
          <w:tcPr>
            <w:tcW w:w="460" w:type="dxa"/>
            <w:gridSpan w:val="3"/>
          </w:tcPr>
          <w:p w:rsidR="00AF7330" w:rsidRPr="00AF7330" w:rsidRDefault="00AF7330" w:rsidP="00B916C2">
            <w:pPr>
              <w:rPr>
                <w:rFonts w:asciiTheme="minorHAnsi" w:hAnsiTheme="minorHAnsi" w:cstheme="minorHAnsi"/>
                <w:b/>
                <w:sz w:val="20"/>
                <w:szCs w:val="20"/>
              </w:rPr>
            </w:pPr>
          </w:p>
        </w:tc>
        <w:tc>
          <w:tcPr>
            <w:tcW w:w="460" w:type="dxa"/>
            <w:gridSpan w:val="2"/>
          </w:tcPr>
          <w:p w:rsidR="00AF7330" w:rsidRPr="00AF7330" w:rsidRDefault="00AF7330" w:rsidP="00B916C2">
            <w:pPr>
              <w:rPr>
                <w:rFonts w:asciiTheme="minorHAnsi" w:hAnsiTheme="minorHAnsi" w:cstheme="minorHAnsi"/>
                <w:b/>
                <w:sz w:val="20"/>
                <w:szCs w:val="20"/>
              </w:rPr>
            </w:pPr>
          </w:p>
        </w:tc>
        <w:tc>
          <w:tcPr>
            <w:tcW w:w="460" w:type="dxa"/>
            <w:gridSpan w:val="2"/>
          </w:tcPr>
          <w:p w:rsidR="00AF7330" w:rsidRPr="00AF7330" w:rsidRDefault="00AF7330" w:rsidP="00B916C2">
            <w:pPr>
              <w:rPr>
                <w:rFonts w:asciiTheme="minorHAnsi" w:hAnsiTheme="minorHAnsi" w:cstheme="minorHAnsi"/>
                <w:b/>
                <w:sz w:val="20"/>
                <w:szCs w:val="20"/>
              </w:rPr>
            </w:pPr>
          </w:p>
        </w:tc>
        <w:tc>
          <w:tcPr>
            <w:tcW w:w="460" w:type="dxa"/>
            <w:gridSpan w:val="2"/>
          </w:tcPr>
          <w:p w:rsidR="00AF7330" w:rsidRPr="00AF7330" w:rsidRDefault="00AF7330" w:rsidP="00B916C2">
            <w:pPr>
              <w:rPr>
                <w:rFonts w:asciiTheme="minorHAnsi" w:hAnsiTheme="minorHAnsi" w:cstheme="minorHAnsi"/>
                <w:b/>
                <w:sz w:val="20"/>
                <w:szCs w:val="20"/>
              </w:rPr>
            </w:pPr>
          </w:p>
        </w:tc>
        <w:tc>
          <w:tcPr>
            <w:tcW w:w="460" w:type="dxa"/>
            <w:gridSpan w:val="4"/>
          </w:tcPr>
          <w:p w:rsidR="00AF7330" w:rsidRPr="00AF7330" w:rsidRDefault="00AF7330" w:rsidP="00B916C2">
            <w:pPr>
              <w:rPr>
                <w:rFonts w:asciiTheme="minorHAnsi" w:hAnsiTheme="minorHAnsi" w:cstheme="minorHAnsi"/>
                <w:b/>
                <w:sz w:val="20"/>
                <w:szCs w:val="20"/>
              </w:rPr>
            </w:pPr>
          </w:p>
        </w:tc>
        <w:tc>
          <w:tcPr>
            <w:tcW w:w="3372" w:type="dxa"/>
            <w:gridSpan w:val="4"/>
          </w:tcPr>
          <w:p w:rsidR="00AF7330" w:rsidRPr="00AF7330" w:rsidRDefault="00AF7330" w:rsidP="00B916C2">
            <w:pPr>
              <w:rPr>
                <w:rFonts w:asciiTheme="minorHAnsi" w:hAnsiTheme="minorHAnsi" w:cstheme="minorHAnsi"/>
                <w:b/>
                <w:sz w:val="20"/>
                <w:szCs w:val="20"/>
              </w:rPr>
            </w:pPr>
          </w:p>
        </w:tc>
      </w:tr>
      <w:tr w:rsidR="00AF7330" w:rsidRPr="00AF7330" w:rsidTr="00AF7330">
        <w:trPr>
          <w:gridAfter w:val="6"/>
          <w:wAfter w:w="3452" w:type="dxa"/>
        </w:trPr>
        <w:tc>
          <w:tcPr>
            <w:tcW w:w="10137" w:type="dxa"/>
            <w:gridSpan w:val="55"/>
          </w:tcPr>
          <w:p w:rsidR="00AF7330" w:rsidRPr="00AF7330" w:rsidRDefault="00AF7330" w:rsidP="00B916C2">
            <w:pPr>
              <w:rPr>
                <w:rFonts w:asciiTheme="minorHAnsi" w:hAnsiTheme="minorHAnsi" w:cstheme="minorHAnsi"/>
                <w:b/>
                <w:sz w:val="20"/>
                <w:szCs w:val="20"/>
              </w:rPr>
            </w:pPr>
            <w:r w:rsidRPr="00AF7330">
              <w:rPr>
                <w:rFonts w:asciiTheme="minorHAnsi" w:hAnsiTheme="minorHAnsi" w:cstheme="minorHAnsi"/>
                <w:b/>
                <w:sz w:val="20"/>
                <w:szCs w:val="20"/>
              </w:rPr>
              <w:t>Stručný komentář k celkovému vývoji čerpání výdajů kapitoly ve sledovaném období</w:t>
            </w:r>
          </w:p>
        </w:tc>
      </w:tr>
      <w:tr w:rsidR="00AF7330" w:rsidRPr="00AF7330" w:rsidTr="00AF7330">
        <w:trPr>
          <w:gridAfter w:val="6"/>
          <w:wAfter w:w="3452" w:type="dxa"/>
        </w:trPr>
        <w:tc>
          <w:tcPr>
            <w:tcW w:w="10137" w:type="dxa"/>
            <w:gridSpan w:val="55"/>
            <w:tcBorders>
              <w:top w:val="single" w:sz="6" w:space="0" w:color="auto"/>
              <w:left w:val="single" w:sz="6" w:space="0" w:color="auto"/>
              <w:bottom w:val="single" w:sz="6" w:space="0" w:color="auto"/>
              <w:right w:val="single" w:sz="6" w:space="0" w:color="auto"/>
            </w:tcBorders>
          </w:tcPr>
          <w:p w:rsidR="00AF7330" w:rsidRPr="00AF7330" w:rsidRDefault="00AF7330" w:rsidP="00B916C2">
            <w:pPr>
              <w:jc w:val="both"/>
              <w:rPr>
                <w:rFonts w:asciiTheme="minorHAnsi" w:hAnsiTheme="minorHAnsi" w:cstheme="minorHAnsi"/>
                <w:sz w:val="20"/>
                <w:szCs w:val="20"/>
              </w:rPr>
            </w:pPr>
            <w:r w:rsidRPr="00AF7330">
              <w:rPr>
                <w:rFonts w:asciiTheme="minorHAnsi" w:hAnsiTheme="minorHAnsi" w:cstheme="minorHAnsi"/>
                <w:sz w:val="20"/>
                <w:szCs w:val="20"/>
              </w:rPr>
              <w:t>Čerpání rozpočtu kapitoly 15 bylo v souladu s rozpočtem 2022. Nedošlo k většímu podlimitnímu zhodnocení, proto bylo nižší čerpání pol. 5123. Nižší čerpání na pol. 5139 bylo z důvodu úspory za materiál IT, nižší čerpání na pol. 5137 bylo z důvodu úspory při nákupech a špatné dostupnosti zboží. Nevyčerpané prostředky na pol. 6111, akci 0150331 – nákup SW a aplikací z důvodu přesunu realizace části zakázek do roku 2023 či jejich nerealizace (příčinou bylo např. nezískání/nevypsání dotace či přepracování zadání pro pasporty),</w:t>
            </w:r>
            <w:r w:rsidRPr="00AF7330">
              <w:rPr>
                <w:rFonts w:asciiTheme="minorHAnsi" w:hAnsiTheme="minorHAnsi" w:cstheme="minorHAnsi"/>
                <w:color w:val="FF0000"/>
                <w:sz w:val="20"/>
                <w:szCs w:val="20"/>
              </w:rPr>
              <w:t xml:space="preserve"> </w:t>
            </w:r>
            <w:r w:rsidRPr="00AF7330">
              <w:rPr>
                <w:rFonts w:asciiTheme="minorHAnsi" w:hAnsiTheme="minorHAnsi" w:cstheme="minorHAnsi"/>
                <w:sz w:val="20"/>
                <w:szCs w:val="20"/>
              </w:rPr>
              <w:t>na pol. 6111, akci 0150333 – Kopírovací stroje méně strojů, větší optimalizace tisku a na pol. 6111, akci 0150359 – intranet vč. oběhu dokumentů nečerpání kvůli zrušení realizace zakázky.</w:t>
            </w:r>
          </w:p>
        </w:tc>
      </w:tr>
      <w:tr w:rsidR="00AF7330" w:rsidRPr="00AF7330" w:rsidTr="00AF7330">
        <w:trPr>
          <w:gridAfter w:val="2"/>
          <w:wAfter w:w="2003" w:type="dxa"/>
        </w:trPr>
        <w:tc>
          <w:tcPr>
            <w:tcW w:w="454" w:type="dxa"/>
            <w:gridSpan w:val="2"/>
          </w:tcPr>
          <w:p w:rsidR="00AF7330" w:rsidRPr="00AF7330" w:rsidRDefault="00AF7330" w:rsidP="00B916C2">
            <w:pPr>
              <w:rPr>
                <w:rFonts w:asciiTheme="minorHAnsi" w:hAnsiTheme="minorHAnsi" w:cstheme="minorHAnsi"/>
                <w:b/>
                <w:sz w:val="20"/>
                <w:szCs w:val="20"/>
              </w:rPr>
            </w:pPr>
          </w:p>
        </w:tc>
        <w:tc>
          <w:tcPr>
            <w:tcW w:w="393" w:type="dxa"/>
          </w:tcPr>
          <w:p w:rsidR="00AF7330" w:rsidRPr="00AF7330" w:rsidRDefault="00AF7330" w:rsidP="00B916C2">
            <w:pPr>
              <w:rPr>
                <w:rFonts w:asciiTheme="minorHAnsi" w:hAnsiTheme="minorHAnsi" w:cstheme="minorHAnsi"/>
                <w:b/>
                <w:sz w:val="20"/>
                <w:szCs w:val="20"/>
              </w:rPr>
            </w:pPr>
          </w:p>
        </w:tc>
        <w:tc>
          <w:tcPr>
            <w:tcW w:w="525" w:type="dxa"/>
            <w:gridSpan w:val="3"/>
          </w:tcPr>
          <w:p w:rsidR="00AF7330" w:rsidRPr="00AF7330" w:rsidRDefault="00AF7330" w:rsidP="00B916C2">
            <w:pPr>
              <w:rPr>
                <w:rFonts w:asciiTheme="minorHAnsi" w:hAnsiTheme="minorHAnsi" w:cstheme="minorHAnsi"/>
                <w:b/>
                <w:sz w:val="20"/>
                <w:szCs w:val="20"/>
              </w:rPr>
            </w:pPr>
          </w:p>
        </w:tc>
        <w:tc>
          <w:tcPr>
            <w:tcW w:w="459" w:type="dxa"/>
            <w:gridSpan w:val="2"/>
          </w:tcPr>
          <w:p w:rsidR="00AF7330" w:rsidRPr="00AF7330" w:rsidRDefault="00AF7330" w:rsidP="00B916C2">
            <w:pPr>
              <w:rPr>
                <w:rFonts w:asciiTheme="minorHAnsi" w:hAnsiTheme="minorHAnsi" w:cstheme="minorHAnsi"/>
                <w:b/>
                <w:sz w:val="20"/>
                <w:szCs w:val="20"/>
              </w:rPr>
            </w:pPr>
          </w:p>
        </w:tc>
        <w:tc>
          <w:tcPr>
            <w:tcW w:w="458" w:type="dxa"/>
          </w:tcPr>
          <w:p w:rsidR="00AF7330" w:rsidRPr="00AF7330" w:rsidRDefault="00AF7330" w:rsidP="00B916C2">
            <w:pPr>
              <w:rPr>
                <w:rFonts w:asciiTheme="minorHAnsi" w:hAnsiTheme="minorHAnsi" w:cstheme="minorHAnsi"/>
                <w:b/>
                <w:sz w:val="20"/>
                <w:szCs w:val="20"/>
              </w:rPr>
            </w:pPr>
          </w:p>
        </w:tc>
        <w:tc>
          <w:tcPr>
            <w:tcW w:w="460" w:type="dxa"/>
            <w:gridSpan w:val="4"/>
          </w:tcPr>
          <w:p w:rsidR="00AF7330" w:rsidRPr="00AF7330" w:rsidRDefault="00AF7330" w:rsidP="00B916C2">
            <w:pPr>
              <w:rPr>
                <w:rFonts w:asciiTheme="minorHAnsi" w:hAnsiTheme="minorHAnsi" w:cstheme="minorHAnsi"/>
                <w:b/>
                <w:sz w:val="20"/>
                <w:szCs w:val="20"/>
              </w:rPr>
            </w:pPr>
          </w:p>
        </w:tc>
        <w:tc>
          <w:tcPr>
            <w:tcW w:w="460" w:type="dxa"/>
            <w:gridSpan w:val="4"/>
          </w:tcPr>
          <w:p w:rsidR="00AF7330" w:rsidRPr="00AF7330" w:rsidRDefault="00AF7330" w:rsidP="00B916C2">
            <w:pPr>
              <w:rPr>
                <w:rFonts w:asciiTheme="minorHAnsi" w:hAnsiTheme="minorHAnsi" w:cstheme="minorHAnsi"/>
                <w:b/>
                <w:sz w:val="20"/>
                <w:szCs w:val="20"/>
              </w:rPr>
            </w:pPr>
          </w:p>
        </w:tc>
        <w:tc>
          <w:tcPr>
            <w:tcW w:w="830" w:type="dxa"/>
            <w:gridSpan w:val="4"/>
          </w:tcPr>
          <w:p w:rsidR="00AF7330" w:rsidRPr="00AF7330" w:rsidRDefault="00AF7330" w:rsidP="00B916C2">
            <w:pPr>
              <w:rPr>
                <w:rFonts w:asciiTheme="minorHAnsi" w:hAnsiTheme="minorHAnsi" w:cstheme="minorHAnsi"/>
                <w:b/>
                <w:sz w:val="20"/>
                <w:szCs w:val="20"/>
              </w:rPr>
            </w:pPr>
          </w:p>
        </w:tc>
        <w:tc>
          <w:tcPr>
            <w:tcW w:w="992" w:type="dxa"/>
            <w:gridSpan w:val="4"/>
          </w:tcPr>
          <w:p w:rsidR="00AF7330" w:rsidRPr="00AF7330" w:rsidRDefault="00AF7330" w:rsidP="00B916C2">
            <w:pPr>
              <w:rPr>
                <w:rFonts w:asciiTheme="minorHAnsi" w:hAnsiTheme="minorHAnsi" w:cstheme="minorHAnsi"/>
                <w:b/>
                <w:sz w:val="20"/>
                <w:szCs w:val="20"/>
              </w:rPr>
            </w:pPr>
          </w:p>
        </w:tc>
        <w:tc>
          <w:tcPr>
            <w:tcW w:w="160" w:type="dxa"/>
            <w:gridSpan w:val="2"/>
          </w:tcPr>
          <w:p w:rsidR="00AF7330" w:rsidRPr="00AF7330" w:rsidRDefault="00AF7330" w:rsidP="00B916C2">
            <w:pPr>
              <w:rPr>
                <w:rFonts w:asciiTheme="minorHAnsi" w:hAnsiTheme="minorHAnsi" w:cstheme="minorHAnsi"/>
                <w:b/>
                <w:sz w:val="20"/>
                <w:szCs w:val="20"/>
              </w:rPr>
            </w:pPr>
          </w:p>
        </w:tc>
        <w:tc>
          <w:tcPr>
            <w:tcW w:w="523" w:type="dxa"/>
            <w:gridSpan w:val="3"/>
          </w:tcPr>
          <w:p w:rsidR="00AF7330" w:rsidRPr="00AF7330" w:rsidRDefault="00AF7330" w:rsidP="00B916C2">
            <w:pPr>
              <w:rPr>
                <w:rFonts w:asciiTheme="minorHAnsi" w:hAnsiTheme="minorHAnsi" w:cstheme="minorHAnsi"/>
                <w:b/>
                <w:sz w:val="20"/>
                <w:szCs w:val="20"/>
              </w:rPr>
            </w:pPr>
          </w:p>
        </w:tc>
        <w:tc>
          <w:tcPr>
            <w:tcW w:w="1533" w:type="dxa"/>
            <w:gridSpan w:val="7"/>
          </w:tcPr>
          <w:p w:rsidR="00AF7330" w:rsidRPr="00AF7330" w:rsidRDefault="00AF7330" w:rsidP="00B916C2">
            <w:pPr>
              <w:rPr>
                <w:rFonts w:asciiTheme="minorHAnsi" w:hAnsiTheme="minorHAnsi" w:cstheme="minorHAnsi"/>
                <w:b/>
                <w:sz w:val="20"/>
                <w:szCs w:val="20"/>
              </w:rPr>
            </w:pPr>
          </w:p>
        </w:tc>
        <w:tc>
          <w:tcPr>
            <w:tcW w:w="160" w:type="dxa"/>
            <w:gridSpan w:val="2"/>
          </w:tcPr>
          <w:p w:rsidR="00AF7330" w:rsidRPr="00AF7330" w:rsidRDefault="00AF7330" w:rsidP="00B916C2">
            <w:pPr>
              <w:rPr>
                <w:rFonts w:asciiTheme="minorHAnsi" w:hAnsiTheme="minorHAnsi" w:cstheme="minorHAnsi"/>
                <w:b/>
                <w:sz w:val="20"/>
                <w:szCs w:val="20"/>
              </w:rPr>
            </w:pPr>
          </w:p>
        </w:tc>
        <w:tc>
          <w:tcPr>
            <w:tcW w:w="485" w:type="dxa"/>
            <w:gridSpan w:val="4"/>
          </w:tcPr>
          <w:p w:rsidR="00AF7330" w:rsidRPr="00AF7330" w:rsidRDefault="00AF7330" w:rsidP="00B916C2">
            <w:pPr>
              <w:rPr>
                <w:rFonts w:asciiTheme="minorHAnsi" w:hAnsiTheme="minorHAnsi" w:cstheme="minorHAnsi"/>
                <w:b/>
                <w:sz w:val="20"/>
                <w:szCs w:val="20"/>
              </w:rPr>
            </w:pPr>
          </w:p>
        </w:tc>
        <w:tc>
          <w:tcPr>
            <w:tcW w:w="460" w:type="dxa"/>
            <w:gridSpan w:val="3"/>
          </w:tcPr>
          <w:p w:rsidR="00AF7330" w:rsidRPr="00AF7330" w:rsidRDefault="00AF7330" w:rsidP="00B916C2">
            <w:pPr>
              <w:rPr>
                <w:rFonts w:asciiTheme="minorHAnsi" w:hAnsiTheme="minorHAnsi" w:cstheme="minorHAnsi"/>
                <w:b/>
                <w:sz w:val="20"/>
                <w:szCs w:val="20"/>
              </w:rPr>
            </w:pPr>
          </w:p>
        </w:tc>
        <w:tc>
          <w:tcPr>
            <w:tcW w:w="460" w:type="dxa"/>
            <w:gridSpan w:val="2"/>
          </w:tcPr>
          <w:p w:rsidR="00AF7330" w:rsidRPr="00AF7330" w:rsidRDefault="00AF7330" w:rsidP="00B916C2">
            <w:pPr>
              <w:rPr>
                <w:rFonts w:asciiTheme="minorHAnsi" w:hAnsiTheme="minorHAnsi" w:cstheme="minorHAnsi"/>
                <w:b/>
                <w:sz w:val="20"/>
                <w:szCs w:val="20"/>
              </w:rPr>
            </w:pPr>
          </w:p>
        </w:tc>
        <w:tc>
          <w:tcPr>
            <w:tcW w:w="460" w:type="dxa"/>
            <w:gridSpan w:val="2"/>
          </w:tcPr>
          <w:p w:rsidR="00AF7330" w:rsidRPr="00AF7330" w:rsidRDefault="00AF7330" w:rsidP="00B916C2">
            <w:pPr>
              <w:rPr>
                <w:rFonts w:asciiTheme="minorHAnsi" w:hAnsiTheme="minorHAnsi" w:cstheme="minorHAnsi"/>
                <w:b/>
                <w:sz w:val="20"/>
                <w:szCs w:val="20"/>
              </w:rPr>
            </w:pPr>
          </w:p>
        </w:tc>
        <w:tc>
          <w:tcPr>
            <w:tcW w:w="460" w:type="dxa"/>
            <w:gridSpan w:val="2"/>
          </w:tcPr>
          <w:p w:rsidR="00AF7330" w:rsidRPr="00AF7330" w:rsidRDefault="00AF7330" w:rsidP="00B916C2">
            <w:pPr>
              <w:rPr>
                <w:rFonts w:asciiTheme="minorHAnsi" w:hAnsiTheme="minorHAnsi" w:cstheme="minorHAnsi"/>
                <w:b/>
                <w:sz w:val="20"/>
                <w:szCs w:val="20"/>
              </w:rPr>
            </w:pPr>
          </w:p>
        </w:tc>
        <w:tc>
          <w:tcPr>
            <w:tcW w:w="460" w:type="dxa"/>
            <w:gridSpan w:val="4"/>
          </w:tcPr>
          <w:p w:rsidR="00AF7330" w:rsidRPr="00AF7330" w:rsidRDefault="00AF7330" w:rsidP="00B916C2">
            <w:pPr>
              <w:rPr>
                <w:rFonts w:asciiTheme="minorHAnsi" w:hAnsiTheme="minorHAnsi" w:cstheme="minorHAnsi"/>
                <w:b/>
                <w:sz w:val="20"/>
                <w:szCs w:val="20"/>
              </w:rPr>
            </w:pPr>
          </w:p>
        </w:tc>
        <w:tc>
          <w:tcPr>
            <w:tcW w:w="1394" w:type="dxa"/>
            <w:gridSpan w:val="3"/>
          </w:tcPr>
          <w:p w:rsidR="00AF7330" w:rsidRPr="00AF7330" w:rsidRDefault="00AF7330" w:rsidP="00B916C2">
            <w:pPr>
              <w:rPr>
                <w:rFonts w:asciiTheme="minorHAnsi" w:hAnsiTheme="minorHAnsi" w:cstheme="minorHAnsi"/>
                <w:b/>
                <w:sz w:val="20"/>
                <w:szCs w:val="20"/>
              </w:rPr>
            </w:pPr>
          </w:p>
        </w:tc>
      </w:tr>
      <w:tr w:rsidR="00AF7330" w:rsidRPr="00AF7330" w:rsidTr="00AF7330">
        <w:trPr>
          <w:gridAfter w:val="6"/>
          <w:wAfter w:w="3452" w:type="dxa"/>
        </w:trPr>
        <w:tc>
          <w:tcPr>
            <w:tcW w:w="10137" w:type="dxa"/>
            <w:gridSpan w:val="55"/>
          </w:tcPr>
          <w:p w:rsidR="00AF7330" w:rsidRPr="00AF7330" w:rsidRDefault="00AF7330" w:rsidP="00B916C2">
            <w:pPr>
              <w:rPr>
                <w:rFonts w:asciiTheme="minorHAnsi" w:hAnsiTheme="minorHAnsi" w:cstheme="minorHAnsi"/>
                <w:b/>
                <w:sz w:val="20"/>
                <w:szCs w:val="20"/>
              </w:rPr>
            </w:pPr>
            <w:r w:rsidRPr="00AF7330">
              <w:rPr>
                <w:rFonts w:asciiTheme="minorHAnsi" w:hAnsiTheme="minorHAnsi" w:cstheme="minorHAnsi"/>
                <w:b/>
                <w:sz w:val="20"/>
                <w:szCs w:val="20"/>
              </w:rPr>
              <w:t>Komentář k položkám (akcím), které vykázaly abnormalitu v řádném čerpání výdajů rozpočtu kapitoly ve sledovaném období</w:t>
            </w:r>
          </w:p>
        </w:tc>
      </w:tr>
      <w:tr w:rsidR="00AF7330" w:rsidRPr="00AF7330" w:rsidTr="00AF7330">
        <w:trPr>
          <w:gridAfter w:val="3"/>
          <w:wAfter w:w="3223" w:type="dxa"/>
        </w:trPr>
        <w:tc>
          <w:tcPr>
            <w:tcW w:w="847"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AF7330" w:rsidRPr="00AF7330" w:rsidRDefault="00AF7330" w:rsidP="00B916C2">
            <w:pPr>
              <w:jc w:val="center"/>
              <w:rPr>
                <w:rFonts w:asciiTheme="minorHAnsi" w:hAnsiTheme="minorHAnsi" w:cstheme="minorHAnsi"/>
                <w:b/>
                <w:sz w:val="17"/>
                <w:szCs w:val="17"/>
              </w:rPr>
            </w:pPr>
            <w:r w:rsidRPr="00AF7330">
              <w:rPr>
                <w:rFonts w:asciiTheme="minorHAnsi" w:hAnsiTheme="minorHAnsi" w:cstheme="minorHAnsi"/>
                <w:b/>
                <w:sz w:val="17"/>
                <w:szCs w:val="17"/>
              </w:rPr>
              <w:t>Oddíl, paragraf</w:t>
            </w:r>
          </w:p>
        </w:tc>
        <w:tc>
          <w:tcPr>
            <w:tcW w:w="643"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AF7330" w:rsidRPr="00AF7330" w:rsidRDefault="00AF7330" w:rsidP="00AF7330">
            <w:pPr>
              <w:jc w:val="center"/>
              <w:rPr>
                <w:rFonts w:asciiTheme="minorHAnsi" w:hAnsiTheme="minorHAnsi" w:cstheme="minorHAnsi"/>
                <w:b/>
                <w:sz w:val="17"/>
                <w:szCs w:val="17"/>
              </w:rPr>
            </w:pPr>
            <w:r w:rsidRPr="00AF7330">
              <w:rPr>
                <w:rFonts w:asciiTheme="minorHAnsi" w:hAnsiTheme="minorHAnsi" w:cstheme="minorHAnsi"/>
                <w:b/>
                <w:sz w:val="17"/>
                <w:szCs w:val="17"/>
              </w:rPr>
              <w:t>Pol</w:t>
            </w:r>
            <w:r>
              <w:rPr>
                <w:rFonts w:asciiTheme="minorHAnsi" w:hAnsiTheme="minorHAnsi" w:cstheme="minorHAnsi"/>
                <w:b/>
                <w:sz w:val="17"/>
                <w:szCs w:val="17"/>
              </w:rPr>
              <w:t>.</w:t>
            </w:r>
          </w:p>
        </w:tc>
        <w:tc>
          <w:tcPr>
            <w:tcW w:w="1557" w:type="dxa"/>
            <w:gridSpan w:val="9"/>
            <w:tcBorders>
              <w:top w:val="single" w:sz="4" w:space="0" w:color="auto"/>
              <w:left w:val="single" w:sz="4" w:space="0" w:color="auto"/>
              <w:bottom w:val="single" w:sz="4" w:space="0" w:color="auto"/>
              <w:right w:val="single" w:sz="4" w:space="0" w:color="auto"/>
            </w:tcBorders>
            <w:shd w:val="clear" w:color="auto" w:fill="FFFF00"/>
            <w:vAlign w:val="center"/>
          </w:tcPr>
          <w:p w:rsidR="00AF7330" w:rsidRPr="00AF7330" w:rsidRDefault="00AF7330" w:rsidP="00B916C2">
            <w:pPr>
              <w:jc w:val="center"/>
              <w:rPr>
                <w:rFonts w:asciiTheme="minorHAnsi" w:hAnsiTheme="minorHAnsi" w:cstheme="minorHAnsi"/>
                <w:b/>
                <w:sz w:val="17"/>
                <w:szCs w:val="17"/>
              </w:rPr>
            </w:pPr>
            <w:r w:rsidRPr="00AF7330">
              <w:rPr>
                <w:rFonts w:asciiTheme="minorHAnsi" w:hAnsiTheme="minorHAnsi" w:cstheme="minorHAnsi"/>
                <w:b/>
                <w:sz w:val="17"/>
                <w:szCs w:val="17"/>
              </w:rPr>
              <w:t>Organizace</w:t>
            </w:r>
          </w:p>
        </w:tc>
        <w:tc>
          <w:tcPr>
            <w:tcW w:w="992" w:type="dxa"/>
            <w:gridSpan w:val="5"/>
            <w:tcBorders>
              <w:top w:val="single" w:sz="4" w:space="0" w:color="auto"/>
              <w:left w:val="single" w:sz="4" w:space="0" w:color="auto"/>
              <w:bottom w:val="single" w:sz="4" w:space="0" w:color="auto"/>
              <w:right w:val="single" w:sz="4" w:space="0" w:color="auto"/>
            </w:tcBorders>
            <w:shd w:val="clear" w:color="auto" w:fill="FFFF00"/>
            <w:vAlign w:val="center"/>
          </w:tcPr>
          <w:p w:rsidR="00AF7330" w:rsidRPr="00AF7330" w:rsidRDefault="00AF7330" w:rsidP="00B916C2">
            <w:pPr>
              <w:jc w:val="center"/>
              <w:rPr>
                <w:rFonts w:asciiTheme="minorHAnsi" w:hAnsiTheme="minorHAnsi" w:cstheme="minorHAnsi"/>
                <w:b/>
                <w:sz w:val="17"/>
                <w:szCs w:val="17"/>
              </w:rPr>
            </w:pPr>
            <w:r w:rsidRPr="00AF7330">
              <w:rPr>
                <w:rFonts w:asciiTheme="minorHAnsi" w:hAnsiTheme="minorHAnsi" w:cstheme="minorHAnsi"/>
                <w:b/>
                <w:sz w:val="17"/>
                <w:szCs w:val="17"/>
              </w:rPr>
              <w:t>Účelový zdroj</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AF7330" w:rsidRPr="00AF7330" w:rsidRDefault="00AF7330" w:rsidP="00B916C2">
            <w:pPr>
              <w:jc w:val="center"/>
              <w:rPr>
                <w:rFonts w:asciiTheme="minorHAnsi" w:hAnsiTheme="minorHAnsi" w:cstheme="minorHAnsi"/>
                <w:b/>
                <w:sz w:val="17"/>
                <w:szCs w:val="17"/>
              </w:rPr>
            </w:pPr>
            <w:r>
              <w:rPr>
                <w:rFonts w:asciiTheme="minorHAnsi" w:hAnsiTheme="minorHAnsi" w:cstheme="minorHAnsi"/>
                <w:b/>
                <w:sz w:val="17"/>
                <w:szCs w:val="17"/>
              </w:rPr>
              <w:t>UR</w:t>
            </w:r>
            <w:r w:rsidRPr="00AF7330">
              <w:rPr>
                <w:rFonts w:asciiTheme="minorHAnsi" w:hAnsiTheme="minorHAnsi" w:cstheme="minorHAnsi"/>
                <w:b/>
                <w:sz w:val="17"/>
                <w:szCs w:val="17"/>
              </w:rPr>
              <w:t xml:space="preserve"> v tis. Kč</w:t>
            </w:r>
          </w:p>
        </w:tc>
        <w:tc>
          <w:tcPr>
            <w:tcW w:w="994" w:type="dxa"/>
            <w:gridSpan w:val="7"/>
            <w:tcBorders>
              <w:top w:val="single" w:sz="4" w:space="0" w:color="auto"/>
              <w:left w:val="single" w:sz="4" w:space="0" w:color="auto"/>
              <w:bottom w:val="single" w:sz="4" w:space="0" w:color="auto"/>
              <w:right w:val="single" w:sz="4" w:space="0" w:color="auto"/>
            </w:tcBorders>
            <w:shd w:val="clear" w:color="auto" w:fill="FFFF00"/>
            <w:vAlign w:val="center"/>
          </w:tcPr>
          <w:p w:rsidR="00AF7330" w:rsidRPr="00AF7330" w:rsidRDefault="00AF7330" w:rsidP="00B916C2">
            <w:pPr>
              <w:jc w:val="center"/>
              <w:rPr>
                <w:rFonts w:asciiTheme="minorHAnsi" w:hAnsiTheme="minorHAnsi" w:cstheme="minorHAnsi"/>
                <w:b/>
                <w:sz w:val="17"/>
                <w:szCs w:val="17"/>
              </w:rPr>
            </w:pPr>
            <w:r w:rsidRPr="00AF7330">
              <w:rPr>
                <w:rFonts w:asciiTheme="minorHAnsi" w:hAnsiTheme="minorHAnsi" w:cstheme="minorHAnsi"/>
                <w:b/>
                <w:sz w:val="17"/>
                <w:szCs w:val="17"/>
              </w:rPr>
              <w:t>Skutečnost v tis. Kč</w:t>
            </w:r>
          </w:p>
        </w:tc>
        <w:tc>
          <w:tcPr>
            <w:tcW w:w="4341" w:type="dxa"/>
            <w:gridSpan w:val="26"/>
            <w:tcBorders>
              <w:top w:val="single" w:sz="4" w:space="0" w:color="auto"/>
              <w:left w:val="single" w:sz="4" w:space="0" w:color="auto"/>
              <w:bottom w:val="single" w:sz="4" w:space="0" w:color="auto"/>
              <w:right w:val="single" w:sz="4" w:space="0" w:color="auto"/>
            </w:tcBorders>
            <w:shd w:val="clear" w:color="auto" w:fill="FFFF00"/>
            <w:vAlign w:val="center"/>
          </w:tcPr>
          <w:p w:rsidR="00AF7330" w:rsidRPr="00AF7330" w:rsidRDefault="00AF7330" w:rsidP="00B916C2">
            <w:pPr>
              <w:jc w:val="center"/>
              <w:rPr>
                <w:rFonts w:asciiTheme="minorHAnsi" w:hAnsiTheme="minorHAnsi" w:cstheme="minorHAnsi"/>
                <w:b/>
                <w:sz w:val="17"/>
                <w:szCs w:val="17"/>
              </w:rPr>
            </w:pPr>
            <w:r w:rsidRPr="00AF7330">
              <w:rPr>
                <w:rFonts w:asciiTheme="minorHAnsi" w:hAnsiTheme="minorHAnsi" w:cstheme="minorHAnsi"/>
                <w:b/>
                <w:sz w:val="17"/>
                <w:szCs w:val="17"/>
              </w:rPr>
              <w:t>Komentář</w:t>
            </w:r>
          </w:p>
        </w:tc>
      </w:tr>
      <w:tr w:rsidR="00AF7330" w:rsidRPr="00AF7330" w:rsidTr="00AF7330">
        <w:trPr>
          <w:gridAfter w:val="3"/>
          <w:wAfter w:w="3223" w:type="dxa"/>
        </w:trPr>
        <w:tc>
          <w:tcPr>
            <w:tcW w:w="847" w:type="dxa"/>
            <w:gridSpan w:val="3"/>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center"/>
              <w:rPr>
                <w:rFonts w:asciiTheme="minorHAnsi" w:hAnsiTheme="minorHAnsi" w:cstheme="minorHAnsi"/>
                <w:sz w:val="17"/>
                <w:szCs w:val="17"/>
              </w:rPr>
            </w:pPr>
            <w:r w:rsidRPr="00AF7330">
              <w:rPr>
                <w:rFonts w:asciiTheme="minorHAnsi" w:hAnsiTheme="minorHAnsi" w:cstheme="minorHAnsi"/>
                <w:sz w:val="17"/>
                <w:szCs w:val="17"/>
              </w:rPr>
              <w:t>6171</w:t>
            </w:r>
          </w:p>
        </w:tc>
        <w:tc>
          <w:tcPr>
            <w:tcW w:w="643" w:type="dxa"/>
            <w:gridSpan w:val="4"/>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center"/>
              <w:rPr>
                <w:rFonts w:asciiTheme="minorHAnsi" w:hAnsiTheme="minorHAnsi" w:cstheme="minorHAnsi"/>
                <w:sz w:val="17"/>
                <w:szCs w:val="17"/>
              </w:rPr>
            </w:pPr>
            <w:r w:rsidRPr="00AF7330">
              <w:rPr>
                <w:rFonts w:asciiTheme="minorHAnsi" w:hAnsiTheme="minorHAnsi" w:cstheme="minorHAnsi"/>
                <w:sz w:val="17"/>
                <w:szCs w:val="17"/>
              </w:rPr>
              <w:t>5123</w:t>
            </w:r>
          </w:p>
        </w:tc>
        <w:tc>
          <w:tcPr>
            <w:tcW w:w="1557" w:type="dxa"/>
            <w:gridSpan w:val="9"/>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center"/>
              <w:rPr>
                <w:rFonts w:asciiTheme="minorHAnsi" w:hAnsiTheme="minorHAnsi" w:cstheme="minorHAnsi"/>
                <w:sz w:val="17"/>
                <w:szCs w:val="17"/>
              </w:rPr>
            </w:pPr>
            <w:r w:rsidRPr="00AF7330">
              <w:rPr>
                <w:rFonts w:asciiTheme="minorHAnsi" w:hAnsiTheme="minorHAnsi" w:cstheme="minorHAnsi"/>
                <w:sz w:val="17"/>
                <w:szCs w:val="17"/>
              </w:rPr>
              <w:t>0150000000000</w:t>
            </w:r>
          </w:p>
        </w:tc>
        <w:tc>
          <w:tcPr>
            <w:tcW w:w="992" w:type="dxa"/>
            <w:gridSpan w:val="5"/>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center"/>
              <w:rPr>
                <w:rFonts w:asciiTheme="minorHAnsi" w:hAnsiTheme="minorHAnsi" w:cstheme="minorHAnsi"/>
                <w:sz w:val="17"/>
                <w:szCs w:val="17"/>
              </w:rPr>
            </w:pPr>
          </w:p>
        </w:tc>
        <w:tc>
          <w:tcPr>
            <w:tcW w:w="992" w:type="dxa"/>
            <w:gridSpan w:val="4"/>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right"/>
              <w:rPr>
                <w:rFonts w:asciiTheme="minorHAnsi" w:hAnsiTheme="minorHAnsi" w:cstheme="minorHAnsi"/>
                <w:sz w:val="17"/>
                <w:szCs w:val="17"/>
              </w:rPr>
            </w:pPr>
            <w:r w:rsidRPr="00AF7330">
              <w:rPr>
                <w:rFonts w:asciiTheme="minorHAnsi" w:hAnsiTheme="minorHAnsi" w:cstheme="minorHAnsi"/>
                <w:sz w:val="17"/>
                <w:szCs w:val="17"/>
              </w:rPr>
              <w:t>100,00</w:t>
            </w:r>
          </w:p>
        </w:tc>
        <w:tc>
          <w:tcPr>
            <w:tcW w:w="994" w:type="dxa"/>
            <w:gridSpan w:val="7"/>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right"/>
              <w:rPr>
                <w:rFonts w:asciiTheme="minorHAnsi" w:hAnsiTheme="minorHAnsi" w:cstheme="minorHAnsi"/>
                <w:sz w:val="17"/>
                <w:szCs w:val="17"/>
              </w:rPr>
            </w:pPr>
            <w:r w:rsidRPr="00AF7330">
              <w:rPr>
                <w:rFonts w:asciiTheme="minorHAnsi" w:hAnsiTheme="minorHAnsi" w:cstheme="minorHAnsi"/>
                <w:sz w:val="17"/>
                <w:szCs w:val="17"/>
              </w:rPr>
              <w:t>20,10</w:t>
            </w:r>
          </w:p>
        </w:tc>
        <w:tc>
          <w:tcPr>
            <w:tcW w:w="4341" w:type="dxa"/>
            <w:gridSpan w:val="26"/>
            <w:tcBorders>
              <w:top w:val="single" w:sz="4" w:space="0" w:color="auto"/>
              <w:left w:val="single" w:sz="4" w:space="0" w:color="auto"/>
              <w:bottom w:val="single" w:sz="4" w:space="0" w:color="auto"/>
              <w:right w:val="single" w:sz="4" w:space="0" w:color="auto"/>
            </w:tcBorders>
          </w:tcPr>
          <w:p w:rsidR="00AF7330" w:rsidRPr="00AF7330" w:rsidRDefault="00AF7330" w:rsidP="00B916C2">
            <w:pPr>
              <w:rPr>
                <w:rFonts w:asciiTheme="minorHAnsi" w:hAnsiTheme="minorHAnsi" w:cstheme="minorHAnsi"/>
                <w:b/>
                <w:sz w:val="17"/>
                <w:szCs w:val="17"/>
                <w:u w:val="single"/>
              </w:rPr>
            </w:pPr>
            <w:r w:rsidRPr="00AF7330">
              <w:rPr>
                <w:rFonts w:asciiTheme="minorHAnsi" w:hAnsiTheme="minorHAnsi" w:cstheme="minorHAnsi"/>
                <w:b/>
                <w:sz w:val="17"/>
                <w:szCs w:val="17"/>
                <w:u w:val="single"/>
              </w:rPr>
              <w:t>Podlimitní technické zhodnocení</w:t>
            </w:r>
          </w:p>
          <w:p w:rsidR="00AF7330" w:rsidRPr="00AF7330" w:rsidRDefault="00AF7330" w:rsidP="00B916C2">
            <w:pPr>
              <w:rPr>
                <w:rFonts w:asciiTheme="minorHAnsi" w:hAnsiTheme="minorHAnsi" w:cstheme="minorHAnsi"/>
                <w:sz w:val="17"/>
                <w:szCs w:val="17"/>
              </w:rPr>
            </w:pPr>
            <w:r w:rsidRPr="00AF7330">
              <w:rPr>
                <w:rFonts w:asciiTheme="minorHAnsi" w:hAnsiTheme="minorHAnsi" w:cstheme="minorHAnsi"/>
                <w:sz w:val="17"/>
                <w:szCs w:val="17"/>
              </w:rPr>
              <w:t>Nižší čerpání bylo z důvodu, že nedošlo ke zhodnocení dlouhodobého majetku.</w:t>
            </w:r>
          </w:p>
        </w:tc>
      </w:tr>
      <w:tr w:rsidR="00AF7330" w:rsidRPr="00AF7330" w:rsidTr="00AF7330">
        <w:trPr>
          <w:gridAfter w:val="3"/>
          <w:wAfter w:w="3223" w:type="dxa"/>
        </w:trPr>
        <w:tc>
          <w:tcPr>
            <w:tcW w:w="847" w:type="dxa"/>
            <w:gridSpan w:val="3"/>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center"/>
              <w:rPr>
                <w:rFonts w:asciiTheme="minorHAnsi" w:hAnsiTheme="minorHAnsi" w:cstheme="minorHAnsi"/>
                <w:sz w:val="17"/>
                <w:szCs w:val="17"/>
              </w:rPr>
            </w:pPr>
            <w:r w:rsidRPr="00AF7330">
              <w:rPr>
                <w:rFonts w:asciiTheme="minorHAnsi" w:hAnsiTheme="minorHAnsi" w:cstheme="minorHAnsi"/>
                <w:sz w:val="17"/>
                <w:szCs w:val="17"/>
              </w:rPr>
              <w:t>6171</w:t>
            </w:r>
          </w:p>
        </w:tc>
        <w:tc>
          <w:tcPr>
            <w:tcW w:w="643" w:type="dxa"/>
            <w:gridSpan w:val="4"/>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center"/>
              <w:rPr>
                <w:rFonts w:asciiTheme="minorHAnsi" w:hAnsiTheme="minorHAnsi" w:cstheme="minorHAnsi"/>
                <w:sz w:val="17"/>
                <w:szCs w:val="17"/>
              </w:rPr>
            </w:pPr>
            <w:r w:rsidRPr="00AF7330">
              <w:rPr>
                <w:rFonts w:asciiTheme="minorHAnsi" w:hAnsiTheme="minorHAnsi" w:cstheme="minorHAnsi"/>
                <w:sz w:val="17"/>
                <w:szCs w:val="17"/>
              </w:rPr>
              <w:t>5137</w:t>
            </w:r>
          </w:p>
        </w:tc>
        <w:tc>
          <w:tcPr>
            <w:tcW w:w="1557" w:type="dxa"/>
            <w:gridSpan w:val="9"/>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center"/>
              <w:rPr>
                <w:rFonts w:asciiTheme="minorHAnsi" w:hAnsiTheme="minorHAnsi" w:cstheme="minorHAnsi"/>
                <w:sz w:val="17"/>
                <w:szCs w:val="17"/>
              </w:rPr>
            </w:pPr>
            <w:r w:rsidRPr="00AF7330">
              <w:rPr>
                <w:rFonts w:asciiTheme="minorHAnsi" w:hAnsiTheme="minorHAnsi" w:cstheme="minorHAnsi"/>
                <w:sz w:val="17"/>
                <w:szCs w:val="17"/>
              </w:rPr>
              <w:t>0150000000000</w:t>
            </w:r>
          </w:p>
        </w:tc>
        <w:tc>
          <w:tcPr>
            <w:tcW w:w="992" w:type="dxa"/>
            <w:gridSpan w:val="5"/>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center"/>
              <w:rPr>
                <w:rFonts w:asciiTheme="minorHAnsi" w:hAnsiTheme="minorHAnsi" w:cstheme="minorHAnsi"/>
                <w:sz w:val="17"/>
                <w:szCs w:val="17"/>
              </w:rPr>
            </w:pPr>
          </w:p>
        </w:tc>
        <w:tc>
          <w:tcPr>
            <w:tcW w:w="992" w:type="dxa"/>
            <w:gridSpan w:val="4"/>
            <w:tcBorders>
              <w:top w:val="single" w:sz="4" w:space="0" w:color="auto"/>
              <w:left w:val="single" w:sz="4" w:space="0" w:color="auto"/>
              <w:bottom w:val="single" w:sz="4" w:space="0" w:color="auto"/>
              <w:right w:val="single" w:sz="4" w:space="0" w:color="auto"/>
            </w:tcBorders>
          </w:tcPr>
          <w:p w:rsidR="00AF7330" w:rsidRPr="00AF7330" w:rsidRDefault="00401503" w:rsidP="00B916C2">
            <w:pPr>
              <w:jc w:val="right"/>
              <w:rPr>
                <w:rFonts w:asciiTheme="minorHAnsi" w:hAnsiTheme="minorHAnsi" w:cstheme="minorHAnsi"/>
                <w:sz w:val="17"/>
                <w:szCs w:val="17"/>
              </w:rPr>
            </w:pPr>
            <w:r>
              <w:rPr>
                <w:rFonts w:asciiTheme="minorHAnsi" w:hAnsiTheme="minorHAnsi" w:cstheme="minorHAnsi"/>
                <w:sz w:val="17"/>
                <w:szCs w:val="17"/>
              </w:rPr>
              <w:t xml:space="preserve">1 </w:t>
            </w:r>
            <w:r w:rsidR="00AF7330" w:rsidRPr="00AF7330">
              <w:rPr>
                <w:rFonts w:asciiTheme="minorHAnsi" w:hAnsiTheme="minorHAnsi" w:cstheme="minorHAnsi"/>
                <w:sz w:val="17"/>
                <w:szCs w:val="17"/>
              </w:rPr>
              <w:t>882,97</w:t>
            </w:r>
          </w:p>
        </w:tc>
        <w:tc>
          <w:tcPr>
            <w:tcW w:w="994" w:type="dxa"/>
            <w:gridSpan w:val="7"/>
            <w:tcBorders>
              <w:top w:val="single" w:sz="4" w:space="0" w:color="auto"/>
              <w:left w:val="single" w:sz="4" w:space="0" w:color="auto"/>
              <w:bottom w:val="single" w:sz="4" w:space="0" w:color="auto"/>
              <w:right w:val="single" w:sz="4" w:space="0" w:color="auto"/>
            </w:tcBorders>
          </w:tcPr>
          <w:p w:rsidR="00AF7330" w:rsidRPr="00AF7330" w:rsidRDefault="00401503" w:rsidP="00B916C2">
            <w:pPr>
              <w:jc w:val="right"/>
              <w:rPr>
                <w:rFonts w:asciiTheme="minorHAnsi" w:hAnsiTheme="minorHAnsi" w:cstheme="minorHAnsi"/>
                <w:sz w:val="17"/>
                <w:szCs w:val="17"/>
              </w:rPr>
            </w:pPr>
            <w:r>
              <w:rPr>
                <w:rFonts w:asciiTheme="minorHAnsi" w:hAnsiTheme="minorHAnsi" w:cstheme="minorHAnsi"/>
                <w:sz w:val="17"/>
                <w:szCs w:val="17"/>
              </w:rPr>
              <w:t xml:space="preserve">1 </w:t>
            </w:r>
            <w:r w:rsidR="00AF7330" w:rsidRPr="00AF7330">
              <w:rPr>
                <w:rFonts w:asciiTheme="minorHAnsi" w:hAnsiTheme="minorHAnsi" w:cstheme="minorHAnsi"/>
                <w:sz w:val="17"/>
                <w:szCs w:val="17"/>
              </w:rPr>
              <w:t>395,17</w:t>
            </w:r>
          </w:p>
        </w:tc>
        <w:tc>
          <w:tcPr>
            <w:tcW w:w="4341" w:type="dxa"/>
            <w:gridSpan w:val="26"/>
            <w:tcBorders>
              <w:top w:val="single" w:sz="4" w:space="0" w:color="auto"/>
              <w:left w:val="single" w:sz="4" w:space="0" w:color="auto"/>
              <w:bottom w:val="single" w:sz="4" w:space="0" w:color="auto"/>
              <w:right w:val="single" w:sz="4" w:space="0" w:color="auto"/>
            </w:tcBorders>
          </w:tcPr>
          <w:p w:rsidR="00AF7330" w:rsidRPr="00AF7330" w:rsidRDefault="00AF7330" w:rsidP="00B916C2">
            <w:pPr>
              <w:rPr>
                <w:rFonts w:asciiTheme="minorHAnsi" w:hAnsiTheme="minorHAnsi" w:cstheme="minorHAnsi"/>
                <w:b/>
                <w:sz w:val="17"/>
                <w:szCs w:val="17"/>
                <w:u w:val="single"/>
              </w:rPr>
            </w:pPr>
            <w:r w:rsidRPr="00AF7330">
              <w:rPr>
                <w:rFonts w:asciiTheme="minorHAnsi" w:hAnsiTheme="minorHAnsi" w:cstheme="minorHAnsi"/>
                <w:b/>
                <w:sz w:val="17"/>
                <w:szCs w:val="17"/>
                <w:u w:val="single"/>
              </w:rPr>
              <w:t>Drobný dlouhodobý hmotný majetek</w:t>
            </w:r>
          </w:p>
          <w:p w:rsidR="00AF7330" w:rsidRPr="00AF7330" w:rsidRDefault="00AF7330" w:rsidP="00B916C2">
            <w:pPr>
              <w:rPr>
                <w:rFonts w:asciiTheme="minorHAnsi" w:hAnsiTheme="minorHAnsi" w:cstheme="minorHAnsi"/>
                <w:b/>
                <w:sz w:val="17"/>
                <w:szCs w:val="17"/>
                <w:u w:val="single"/>
              </w:rPr>
            </w:pPr>
            <w:r w:rsidRPr="00AF7330">
              <w:rPr>
                <w:rFonts w:asciiTheme="minorHAnsi" w:hAnsiTheme="minorHAnsi" w:cstheme="minorHAnsi"/>
                <w:sz w:val="17"/>
                <w:szCs w:val="17"/>
              </w:rPr>
              <w:t>Úspory při nákupech výpočetní techniky – notebooky zastupitelů atd. a nedostupnost zboží.</w:t>
            </w:r>
          </w:p>
        </w:tc>
      </w:tr>
      <w:tr w:rsidR="00AF7330" w:rsidRPr="00AF7330" w:rsidTr="00AF7330">
        <w:trPr>
          <w:gridAfter w:val="3"/>
          <w:wAfter w:w="3223" w:type="dxa"/>
        </w:trPr>
        <w:tc>
          <w:tcPr>
            <w:tcW w:w="847" w:type="dxa"/>
            <w:gridSpan w:val="3"/>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center"/>
              <w:rPr>
                <w:rFonts w:asciiTheme="minorHAnsi" w:hAnsiTheme="minorHAnsi" w:cstheme="minorHAnsi"/>
                <w:sz w:val="17"/>
                <w:szCs w:val="17"/>
              </w:rPr>
            </w:pPr>
            <w:r w:rsidRPr="00AF7330">
              <w:rPr>
                <w:rFonts w:asciiTheme="minorHAnsi" w:hAnsiTheme="minorHAnsi" w:cstheme="minorHAnsi"/>
                <w:sz w:val="17"/>
                <w:szCs w:val="17"/>
              </w:rPr>
              <w:t>6171</w:t>
            </w:r>
          </w:p>
        </w:tc>
        <w:tc>
          <w:tcPr>
            <w:tcW w:w="643" w:type="dxa"/>
            <w:gridSpan w:val="4"/>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center"/>
              <w:rPr>
                <w:rFonts w:asciiTheme="minorHAnsi" w:hAnsiTheme="minorHAnsi" w:cstheme="minorHAnsi"/>
                <w:sz w:val="17"/>
                <w:szCs w:val="17"/>
              </w:rPr>
            </w:pPr>
            <w:r w:rsidRPr="00AF7330">
              <w:rPr>
                <w:rFonts w:asciiTheme="minorHAnsi" w:hAnsiTheme="minorHAnsi" w:cstheme="minorHAnsi"/>
                <w:sz w:val="17"/>
                <w:szCs w:val="17"/>
              </w:rPr>
              <w:t>5139</w:t>
            </w:r>
          </w:p>
        </w:tc>
        <w:tc>
          <w:tcPr>
            <w:tcW w:w="1557" w:type="dxa"/>
            <w:gridSpan w:val="9"/>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center"/>
              <w:rPr>
                <w:rFonts w:asciiTheme="minorHAnsi" w:hAnsiTheme="minorHAnsi" w:cstheme="minorHAnsi"/>
                <w:sz w:val="17"/>
                <w:szCs w:val="17"/>
              </w:rPr>
            </w:pPr>
            <w:r w:rsidRPr="00AF7330">
              <w:rPr>
                <w:rFonts w:asciiTheme="minorHAnsi" w:hAnsiTheme="minorHAnsi" w:cstheme="minorHAnsi"/>
                <w:sz w:val="17"/>
                <w:szCs w:val="17"/>
              </w:rPr>
              <w:t>0150000000000</w:t>
            </w:r>
          </w:p>
        </w:tc>
        <w:tc>
          <w:tcPr>
            <w:tcW w:w="992" w:type="dxa"/>
            <w:gridSpan w:val="5"/>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center"/>
              <w:rPr>
                <w:rFonts w:asciiTheme="minorHAnsi" w:hAnsiTheme="minorHAnsi" w:cstheme="minorHAnsi"/>
                <w:sz w:val="17"/>
                <w:szCs w:val="17"/>
              </w:rPr>
            </w:pPr>
          </w:p>
        </w:tc>
        <w:tc>
          <w:tcPr>
            <w:tcW w:w="992" w:type="dxa"/>
            <w:gridSpan w:val="4"/>
            <w:tcBorders>
              <w:top w:val="single" w:sz="4" w:space="0" w:color="auto"/>
              <w:left w:val="single" w:sz="4" w:space="0" w:color="auto"/>
              <w:bottom w:val="single" w:sz="4" w:space="0" w:color="auto"/>
              <w:right w:val="single" w:sz="4" w:space="0" w:color="auto"/>
            </w:tcBorders>
          </w:tcPr>
          <w:p w:rsidR="00AF7330" w:rsidRPr="00AF7330" w:rsidRDefault="00401503" w:rsidP="00B916C2">
            <w:pPr>
              <w:jc w:val="right"/>
              <w:rPr>
                <w:rFonts w:asciiTheme="minorHAnsi" w:hAnsiTheme="minorHAnsi" w:cstheme="minorHAnsi"/>
                <w:sz w:val="17"/>
                <w:szCs w:val="17"/>
              </w:rPr>
            </w:pPr>
            <w:r>
              <w:rPr>
                <w:rFonts w:asciiTheme="minorHAnsi" w:hAnsiTheme="minorHAnsi" w:cstheme="minorHAnsi"/>
                <w:sz w:val="17"/>
                <w:szCs w:val="17"/>
              </w:rPr>
              <w:t xml:space="preserve">1 </w:t>
            </w:r>
            <w:r w:rsidR="00AF7330" w:rsidRPr="00AF7330">
              <w:rPr>
                <w:rFonts w:asciiTheme="minorHAnsi" w:hAnsiTheme="minorHAnsi" w:cstheme="minorHAnsi"/>
                <w:sz w:val="17"/>
                <w:szCs w:val="17"/>
              </w:rPr>
              <w:t>500,00</w:t>
            </w:r>
          </w:p>
        </w:tc>
        <w:tc>
          <w:tcPr>
            <w:tcW w:w="994" w:type="dxa"/>
            <w:gridSpan w:val="7"/>
            <w:tcBorders>
              <w:top w:val="single" w:sz="4" w:space="0" w:color="auto"/>
              <w:left w:val="single" w:sz="4" w:space="0" w:color="auto"/>
              <w:bottom w:val="single" w:sz="4" w:space="0" w:color="auto"/>
              <w:right w:val="single" w:sz="4" w:space="0" w:color="auto"/>
            </w:tcBorders>
          </w:tcPr>
          <w:p w:rsidR="00AF7330" w:rsidRPr="00AF7330" w:rsidRDefault="00401503" w:rsidP="00B916C2">
            <w:pPr>
              <w:jc w:val="right"/>
              <w:rPr>
                <w:rFonts w:asciiTheme="minorHAnsi" w:hAnsiTheme="minorHAnsi" w:cstheme="minorHAnsi"/>
                <w:sz w:val="17"/>
                <w:szCs w:val="17"/>
              </w:rPr>
            </w:pPr>
            <w:r>
              <w:rPr>
                <w:rFonts w:asciiTheme="minorHAnsi" w:hAnsiTheme="minorHAnsi" w:cstheme="minorHAnsi"/>
                <w:sz w:val="17"/>
                <w:szCs w:val="17"/>
              </w:rPr>
              <w:t xml:space="preserve">1 </w:t>
            </w:r>
            <w:r w:rsidR="00AF7330" w:rsidRPr="00AF7330">
              <w:rPr>
                <w:rFonts w:asciiTheme="minorHAnsi" w:hAnsiTheme="minorHAnsi" w:cstheme="minorHAnsi"/>
                <w:sz w:val="17"/>
                <w:szCs w:val="17"/>
              </w:rPr>
              <w:t>150,49</w:t>
            </w:r>
          </w:p>
        </w:tc>
        <w:tc>
          <w:tcPr>
            <w:tcW w:w="4341" w:type="dxa"/>
            <w:gridSpan w:val="26"/>
            <w:tcBorders>
              <w:top w:val="single" w:sz="4" w:space="0" w:color="auto"/>
              <w:left w:val="single" w:sz="4" w:space="0" w:color="auto"/>
              <w:bottom w:val="single" w:sz="4" w:space="0" w:color="auto"/>
              <w:right w:val="single" w:sz="4" w:space="0" w:color="auto"/>
            </w:tcBorders>
          </w:tcPr>
          <w:p w:rsidR="00AF7330" w:rsidRPr="00AF7330" w:rsidRDefault="00AF7330" w:rsidP="00B916C2">
            <w:pPr>
              <w:rPr>
                <w:rFonts w:asciiTheme="minorHAnsi" w:hAnsiTheme="minorHAnsi" w:cstheme="minorHAnsi"/>
                <w:b/>
                <w:sz w:val="17"/>
                <w:szCs w:val="17"/>
                <w:u w:val="single"/>
              </w:rPr>
            </w:pPr>
            <w:r w:rsidRPr="00AF7330">
              <w:rPr>
                <w:rFonts w:asciiTheme="minorHAnsi" w:hAnsiTheme="minorHAnsi" w:cstheme="minorHAnsi"/>
                <w:b/>
                <w:sz w:val="17"/>
                <w:szCs w:val="17"/>
                <w:u w:val="single"/>
              </w:rPr>
              <w:t>Nákup materiálu j.n.</w:t>
            </w:r>
          </w:p>
          <w:p w:rsidR="00AF7330" w:rsidRPr="00AF7330" w:rsidRDefault="00AF7330" w:rsidP="00B916C2">
            <w:pPr>
              <w:rPr>
                <w:rFonts w:asciiTheme="minorHAnsi" w:hAnsiTheme="minorHAnsi" w:cstheme="minorHAnsi"/>
                <w:b/>
                <w:sz w:val="17"/>
                <w:szCs w:val="17"/>
                <w:u w:val="single"/>
              </w:rPr>
            </w:pPr>
            <w:r w:rsidRPr="00AF7330">
              <w:rPr>
                <w:rFonts w:asciiTheme="minorHAnsi" w:hAnsiTheme="minorHAnsi" w:cstheme="minorHAnsi"/>
                <w:sz w:val="17"/>
                <w:szCs w:val="17"/>
              </w:rPr>
              <w:t>Nižší čerpání z důvodu úspory za materiál IT.</w:t>
            </w:r>
          </w:p>
        </w:tc>
      </w:tr>
      <w:tr w:rsidR="00AF7330" w:rsidRPr="00AF7330" w:rsidTr="00AF7330">
        <w:trPr>
          <w:gridAfter w:val="3"/>
          <w:wAfter w:w="3223" w:type="dxa"/>
        </w:trPr>
        <w:tc>
          <w:tcPr>
            <w:tcW w:w="847" w:type="dxa"/>
            <w:gridSpan w:val="3"/>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center"/>
              <w:rPr>
                <w:rFonts w:asciiTheme="minorHAnsi" w:hAnsiTheme="minorHAnsi" w:cstheme="minorHAnsi"/>
                <w:sz w:val="17"/>
                <w:szCs w:val="17"/>
              </w:rPr>
            </w:pPr>
            <w:r w:rsidRPr="00AF7330">
              <w:rPr>
                <w:rFonts w:asciiTheme="minorHAnsi" w:hAnsiTheme="minorHAnsi" w:cstheme="minorHAnsi"/>
                <w:sz w:val="17"/>
                <w:szCs w:val="17"/>
              </w:rPr>
              <w:t>6171</w:t>
            </w:r>
          </w:p>
        </w:tc>
        <w:tc>
          <w:tcPr>
            <w:tcW w:w="643" w:type="dxa"/>
            <w:gridSpan w:val="4"/>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center"/>
              <w:rPr>
                <w:rFonts w:asciiTheme="minorHAnsi" w:hAnsiTheme="minorHAnsi" w:cstheme="minorHAnsi"/>
                <w:sz w:val="17"/>
                <w:szCs w:val="17"/>
              </w:rPr>
            </w:pPr>
            <w:r w:rsidRPr="00AF7330">
              <w:rPr>
                <w:rFonts w:asciiTheme="minorHAnsi" w:hAnsiTheme="minorHAnsi" w:cstheme="minorHAnsi"/>
                <w:sz w:val="17"/>
                <w:szCs w:val="17"/>
              </w:rPr>
              <w:t>6111</w:t>
            </w:r>
          </w:p>
        </w:tc>
        <w:tc>
          <w:tcPr>
            <w:tcW w:w="1557" w:type="dxa"/>
            <w:gridSpan w:val="9"/>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center"/>
              <w:rPr>
                <w:rFonts w:asciiTheme="minorHAnsi" w:hAnsiTheme="minorHAnsi" w:cstheme="minorHAnsi"/>
                <w:sz w:val="17"/>
                <w:szCs w:val="17"/>
              </w:rPr>
            </w:pPr>
            <w:r w:rsidRPr="00AF7330">
              <w:rPr>
                <w:rFonts w:asciiTheme="minorHAnsi" w:hAnsiTheme="minorHAnsi" w:cstheme="minorHAnsi"/>
                <w:sz w:val="17"/>
                <w:szCs w:val="17"/>
              </w:rPr>
              <w:t>0150331000000</w:t>
            </w:r>
          </w:p>
        </w:tc>
        <w:tc>
          <w:tcPr>
            <w:tcW w:w="992" w:type="dxa"/>
            <w:gridSpan w:val="5"/>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center"/>
              <w:rPr>
                <w:rFonts w:asciiTheme="minorHAnsi" w:hAnsiTheme="minorHAnsi" w:cstheme="minorHAnsi"/>
                <w:sz w:val="17"/>
                <w:szCs w:val="17"/>
              </w:rPr>
            </w:pPr>
          </w:p>
        </w:tc>
        <w:tc>
          <w:tcPr>
            <w:tcW w:w="992" w:type="dxa"/>
            <w:gridSpan w:val="4"/>
            <w:tcBorders>
              <w:top w:val="single" w:sz="4" w:space="0" w:color="auto"/>
              <w:left w:val="single" w:sz="4" w:space="0" w:color="auto"/>
              <w:bottom w:val="single" w:sz="4" w:space="0" w:color="auto"/>
              <w:right w:val="single" w:sz="4" w:space="0" w:color="auto"/>
            </w:tcBorders>
          </w:tcPr>
          <w:p w:rsidR="00AF7330" w:rsidRPr="00AF7330" w:rsidRDefault="00AF7330" w:rsidP="00401503">
            <w:pPr>
              <w:jc w:val="right"/>
              <w:rPr>
                <w:rFonts w:asciiTheme="minorHAnsi" w:hAnsiTheme="minorHAnsi" w:cstheme="minorHAnsi"/>
                <w:sz w:val="17"/>
                <w:szCs w:val="17"/>
              </w:rPr>
            </w:pPr>
            <w:r w:rsidRPr="00AF7330">
              <w:rPr>
                <w:rFonts w:asciiTheme="minorHAnsi" w:hAnsiTheme="minorHAnsi" w:cstheme="minorHAnsi"/>
                <w:sz w:val="17"/>
                <w:szCs w:val="17"/>
              </w:rPr>
              <w:t>3</w:t>
            </w:r>
            <w:r w:rsidR="00401503">
              <w:rPr>
                <w:rFonts w:asciiTheme="minorHAnsi" w:hAnsiTheme="minorHAnsi" w:cstheme="minorHAnsi"/>
                <w:sz w:val="17"/>
                <w:szCs w:val="17"/>
              </w:rPr>
              <w:t xml:space="preserve"> </w:t>
            </w:r>
            <w:r w:rsidRPr="00AF7330">
              <w:rPr>
                <w:rFonts w:asciiTheme="minorHAnsi" w:hAnsiTheme="minorHAnsi" w:cstheme="minorHAnsi"/>
                <w:sz w:val="17"/>
                <w:szCs w:val="17"/>
              </w:rPr>
              <w:t>058,05</w:t>
            </w:r>
          </w:p>
        </w:tc>
        <w:tc>
          <w:tcPr>
            <w:tcW w:w="994" w:type="dxa"/>
            <w:gridSpan w:val="7"/>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right"/>
              <w:rPr>
                <w:rFonts w:asciiTheme="minorHAnsi" w:hAnsiTheme="minorHAnsi" w:cstheme="minorHAnsi"/>
                <w:sz w:val="17"/>
                <w:szCs w:val="17"/>
              </w:rPr>
            </w:pPr>
            <w:r w:rsidRPr="00AF7330">
              <w:rPr>
                <w:rFonts w:asciiTheme="minorHAnsi" w:hAnsiTheme="minorHAnsi" w:cstheme="minorHAnsi"/>
                <w:sz w:val="17"/>
                <w:szCs w:val="17"/>
              </w:rPr>
              <w:t>0,00</w:t>
            </w:r>
          </w:p>
        </w:tc>
        <w:tc>
          <w:tcPr>
            <w:tcW w:w="4341" w:type="dxa"/>
            <w:gridSpan w:val="26"/>
            <w:tcBorders>
              <w:top w:val="single" w:sz="4" w:space="0" w:color="auto"/>
              <w:left w:val="single" w:sz="4" w:space="0" w:color="auto"/>
              <w:bottom w:val="single" w:sz="4" w:space="0" w:color="auto"/>
              <w:right w:val="single" w:sz="4" w:space="0" w:color="auto"/>
            </w:tcBorders>
          </w:tcPr>
          <w:p w:rsidR="00AF7330" w:rsidRPr="00AF7330" w:rsidRDefault="00AF7330" w:rsidP="00B916C2">
            <w:pPr>
              <w:rPr>
                <w:rFonts w:asciiTheme="minorHAnsi" w:hAnsiTheme="minorHAnsi" w:cstheme="minorHAnsi"/>
                <w:b/>
                <w:sz w:val="17"/>
                <w:szCs w:val="17"/>
                <w:u w:val="single"/>
              </w:rPr>
            </w:pPr>
            <w:r w:rsidRPr="00AF7330">
              <w:rPr>
                <w:rFonts w:asciiTheme="minorHAnsi" w:hAnsiTheme="minorHAnsi" w:cstheme="minorHAnsi"/>
                <w:b/>
                <w:sz w:val="17"/>
                <w:szCs w:val="17"/>
                <w:u w:val="single"/>
              </w:rPr>
              <w:t>Programové vybavení – nákup SW a aplikací</w:t>
            </w:r>
          </w:p>
          <w:p w:rsidR="00AF7330" w:rsidRPr="00AF7330" w:rsidRDefault="00AF7330" w:rsidP="00B916C2">
            <w:pPr>
              <w:rPr>
                <w:rFonts w:asciiTheme="minorHAnsi" w:hAnsiTheme="minorHAnsi" w:cstheme="minorHAnsi"/>
                <w:b/>
                <w:sz w:val="17"/>
                <w:szCs w:val="17"/>
                <w:u w:val="single"/>
              </w:rPr>
            </w:pPr>
            <w:r w:rsidRPr="00AF7330">
              <w:rPr>
                <w:rFonts w:asciiTheme="minorHAnsi" w:hAnsiTheme="minorHAnsi" w:cstheme="minorHAnsi"/>
                <w:sz w:val="17"/>
                <w:szCs w:val="17"/>
              </w:rPr>
              <w:t>Realizace zakázky Pasporty je až do roku 2023. Ostatní zakázky nerealizovány, nebyl vypsán vhodný dotační titul.</w:t>
            </w:r>
          </w:p>
        </w:tc>
      </w:tr>
      <w:tr w:rsidR="00AF7330" w:rsidRPr="00AF7330" w:rsidTr="00AF7330">
        <w:trPr>
          <w:gridAfter w:val="3"/>
          <w:wAfter w:w="3223" w:type="dxa"/>
        </w:trPr>
        <w:tc>
          <w:tcPr>
            <w:tcW w:w="847" w:type="dxa"/>
            <w:gridSpan w:val="3"/>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center"/>
              <w:rPr>
                <w:rFonts w:asciiTheme="minorHAnsi" w:hAnsiTheme="minorHAnsi" w:cstheme="minorHAnsi"/>
                <w:sz w:val="17"/>
                <w:szCs w:val="17"/>
              </w:rPr>
            </w:pPr>
            <w:r w:rsidRPr="00AF7330">
              <w:rPr>
                <w:rFonts w:asciiTheme="minorHAnsi" w:hAnsiTheme="minorHAnsi" w:cstheme="minorHAnsi"/>
                <w:sz w:val="17"/>
                <w:szCs w:val="17"/>
              </w:rPr>
              <w:t>6171</w:t>
            </w:r>
          </w:p>
        </w:tc>
        <w:tc>
          <w:tcPr>
            <w:tcW w:w="643" w:type="dxa"/>
            <w:gridSpan w:val="4"/>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center"/>
              <w:rPr>
                <w:rFonts w:asciiTheme="minorHAnsi" w:hAnsiTheme="minorHAnsi" w:cstheme="minorHAnsi"/>
                <w:sz w:val="17"/>
                <w:szCs w:val="17"/>
              </w:rPr>
            </w:pPr>
            <w:r w:rsidRPr="00AF7330">
              <w:rPr>
                <w:rFonts w:asciiTheme="minorHAnsi" w:hAnsiTheme="minorHAnsi" w:cstheme="minorHAnsi"/>
                <w:sz w:val="17"/>
                <w:szCs w:val="17"/>
              </w:rPr>
              <w:t>6111</w:t>
            </w:r>
          </w:p>
        </w:tc>
        <w:tc>
          <w:tcPr>
            <w:tcW w:w="1557" w:type="dxa"/>
            <w:gridSpan w:val="9"/>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center"/>
              <w:rPr>
                <w:rFonts w:asciiTheme="minorHAnsi" w:hAnsiTheme="minorHAnsi" w:cstheme="minorHAnsi"/>
                <w:sz w:val="17"/>
                <w:szCs w:val="17"/>
              </w:rPr>
            </w:pPr>
            <w:r w:rsidRPr="00AF7330">
              <w:rPr>
                <w:rFonts w:asciiTheme="minorHAnsi" w:hAnsiTheme="minorHAnsi" w:cstheme="minorHAnsi"/>
                <w:sz w:val="17"/>
                <w:szCs w:val="17"/>
              </w:rPr>
              <w:t>0150333000000</w:t>
            </w:r>
          </w:p>
        </w:tc>
        <w:tc>
          <w:tcPr>
            <w:tcW w:w="992" w:type="dxa"/>
            <w:gridSpan w:val="5"/>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center"/>
              <w:rPr>
                <w:rFonts w:asciiTheme="minorHAnsi" w:hAnsiTheme="minorHAnsi" w:cstheme="minorHAnsi"/>
                <w:sz w:val="17"/>
                <w:szCs w:val="17"/>
              </w:rPr>
            </w:pPr>
          </w:p>
        </w:tc>
        <w:tc>
          <w:tcPr>
            <w:tcW w:w="992" w:type="dxa"/>
            <w:gridSpan w:val="4"/>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right"/>
              <w:rPr>
                <w:rFonts w:asciiTheme="minorHAnsi" w:hAnsiTheme="minorHAnsi" w:cstheme="minorHAnsi"/>
                <w:sz w:val="17"/>
                <w:szCs w:val="17"/>
              </w:rPr>
            </w:pPr>
            <w:r w:rsidRPr="00AF7330">
              <w:rPr>
                <w:rFonts w:asciiTheme="minorHAnsi" w:hAnsiTheme="minorHAnsi" w:cstheme="minorHAnsi"/>
                <w:sz w:val="17"/>
                <w:szCs w:val="17"/>
              </w:rPr>
              <w:t>280,00</w:t>
            </w:r>
          </w:p>
        </w:tc>
        <w:tc>
          <w:tcPr>
            <w:tcW w:w="994" w:type="dxa"/>
            <w:gridSpan w:val="7"/>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right"/>
              <w:rPr>
                <w:rFonts w:asciiTheme="minorHAnsi" w:hAnsiTheme="minorHAnsi" w:cstheme="minorHAnsi"/>
                <w:sz w:val="17"/>
                <w:szCs w:val="17"/>
              </w:rPr>
            </w:pPr>
            <w:r w:rsidRPr="00AF7330">
              <w:rPr>
                <w:rFonts w:asciiTheme="minorHAnsi" w:hAnsiTheme="minorHAnsi" w:cstheme="minorHAnsi"/>
                <w:sz w:val="17"/>
                <w:szCs w:val="17"/>
              </w:rPr>
              <w:t>78,02</w:t>
            </w:r>
          </w:p>
        </w:tc>
        <w:tc>
          <w:tcPr>
            <w:tcW w:w="4341" w:type="dxa"/>
            <w:gridSpan w:val="26"/>
            <w:tcBorders>
              <w:top w:val="single" w:sz="4" w:space="0" w:color="auto"/>
              <w:left w:val="single" w:sz="4" w:space="0" w:color="auto"/>
              <w:bottom w:val="single" w:sz="4" w:space="0" w:color="auto"/>
              <w:right w:val="single" w:sz="4" w:space="0" w:color="auto"/>
            </w:tcBorders>
          </w:tcPr>
          <w:p w:rsidR="00AF7330" w:rsidRPr="00AF7330" w:rsidRDefault="00AF7330" w:rsidP="00B916C2">
            <w:pPr>
              <w:rPr>
                <w:rFonts w:asciiTheme="minorHAnsi" w:hAnsiTheme="minorHAnsi" w:cstheme="minorHAnsi"/>
                <w:b/>
                <w:sz w:val="17"/>
                <w:szCs w:val="17"/>
                <w:u w:val="single"/>
              </w:rPr>
            </w:pPr>
            <w:r w:rsidRPr="00AF7330">
              <w:rPr>
                <w:rFonts w:asciiTheme="minorHAnsi" w:hAnsiTheme="minorHAnsi" w:cstheme="minorHAnsi"/>
                <w:b/>
                <w:sz w:val="17"/>
                <w:szCs w:val="17"/>
                <w:u w:val="single"/>
              </w:rPr>
              <w:t>Kopírovací stroje</w:t>
            </w:r>
          </w:p>
          <w:p w:rsidR="00AF7330" w:rsidRPr="00AF7330" w:rsidRDefault="00AF7330" w:rsidP="00B916C2">
            <w:pPr>
              <w:rPr>
                <w:rFonts w:asciiTheme="minorHAnsi" w:hAnsiTheme="minorHAnsi" w:cstheme="minorHAnsi"/>
                <w:b/>
                <w:sz w:val="17"/>
                <w:szCs w:val="17"/>
                <w:u w:val="single"/>
              </w:rPr>
            </w:pPr>
            <w:r w:rsidRPr="00AF7330">
              <w:rPr>
                <w:rFonts w:asciiTheme="minorHAnsi" w:hAnsiTheme="minorHAnsi" w:cstheme="minorHAnsi"/>
                <w:sz w:val="17"/>
                <w:szCs w:val="17"/>
              </w:rPr>
              <w:t>Koupeno méně nových strojů, větší optimalizace tisku.</w:t>
            </w:r>
          </w:p>
        </w:tc>
      </w:tr>
      <w:tr w:rsidR="00AF7330" w:rsidRPr="00AF7330" w:rsidTr="00AF7330">
        <w:trPr>
          <w:gridAfter w:val="3"/>
          <w:wAfter w:w="3223" w:type="dxa"/>
        </w:trPr>
        <w:tc>
          <w:tcPr>
            <w:tcW w:w="847" w:type="dxa"/>
            <w:gridSpan w:val="3"/>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center"/>
              <w:rPr>
                <w:rFonts w:asciiTheme="minorHAnsi" w:hAnsiTheme="minorHAnsi" w:cstheme="minorHAnsi"/>
                <w:sz w:val="17"/>
                <w:szCs w:val="17"/>
              </w:rPr>
            </w:pPr>
            <w:r w:rsidRPr="00AF7330">
              <w:rPr>
                <w:rFonts w:asciiTheme="minorHAnsi" w:hAnsiTheme="minorHAnsi" w:cstheme="minorHAnsi"/>
                <w:sz w:val="17"/>
                <w:szCs w:val="17"/>
              </w:rPr>
              <w:t>6171</w:t>
            </w:r>
          </w:p>
        </w:tc>
        <w:tc>
          <w:tcPr>
            <w:tcW w:w="643" w:type="dxa"/>
            <w:gridSpan w:val="4"/>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center"/>
              <w:rPr>
                <w:rFonts w:asciiTheme="minorHAnsi" w:hAnsiTheme="minorHAnsi" w:cstheme="minorHAnsi"/>
                <w:sz w:val="17"/>
                <w:szCs w:val="17"/>
              </w:rPr>
            </w:pPr>
            <w:r w:rsidRPr="00AF7330">
              <w:rPr>
                <w:rFonts w:asciiTheme="minorHAnsi" w:hAnsiTheme="minorHAnsi" w:cstheme="minorHAnsi"/>
                <w:sz w:val="17"/>
                <w:szCs w:val="17"/>
              </w:rPr>
              <w:t>6111</w:t>
            </w:r>
          </w:p>
        </w:tc>
        <w:tc>
          <w:tcPr>
            <w:tcW w:w="1557" w:type="dxa"/>
            <w:gridSpan w:val="9"/>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center"/>
              <w:rPr>
                <w:rFonts w:asciiTheme="minorHAnsi" w:hAnsiTheme="minorHAnsi" w:cstheme="minorHAnsi"/>
                <w:sz w:val="17"/>
                <w:szCs w:val="17"/>
              </w:rPr>
            </w:pPr>
            <w:r w:rsidRPr="00AF7330">
              <w:rPr>
                <w:rFonts w:asciiTheme="minorHAnsi" w:hAnsiTheme="minorHAnsi" w:cstheme="minorHAnsi"/>
                <w:sz w:val="17"/>
                <w:szCs w:val="17"/>
              </w:rPr>
              <w:t>0150359000000</w:t>
            </w:r>
          </w:p>
        </w:tc>
        <w:tc>
          <w:tcPr>
            <w:tcW w:w="992" w:type="dxa"/>
            <w:gridSpan w:val="5"/>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center"/>
              <w:rPr>
                <w:rFonts w:asciiTheme="minorHAnsi" w:hAnsiTheme="minorHAnsi" w:cstheme="minorHAnsi"/>
                <w:sz w:val="17"/>
                <w:szCs w:val="17"/>
              </w:rPr>
            </w:pPr>
          </w:p>
        </w:tc>
        <w:tc>
          <w:tcPr>
            <w:tcW w:w="992" w:type="dxa"/>
            <w:gridSpan w:val="4"/>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right"/>
              <w:rPr>
                <w:rFonts w:asciiTheme="minorHAnsi" w:hAnsiTheme="minorHAnsi" w:cstheme="minorHAnsi"/>
                <w:sz w:val="17"/>
                <w:szCs w:val="17"/>
              </w:rPr>
            </w:pPr>
            <w:r w:rsidRPr="00AF7330">
              <w:rPr>
                <w:rFonts w:asciiTheme="minorHAnsi" w:hAnsiTheme="minorHAnsi" w:cstheme="minorHAnsi"/>
                <w:sz w:val="17"/>
                <w:szCs w:val="17"/>
              </w:rPr>
              <w:t>700,00</w:t>
            </w:r>
          </w:p>
        </w:tc>
        <w:tc>
          <w:tcPr>
            <w:tcW w:w="994" w:type="dxa"/>
            <w:gridSpan w:val="7"/>
            <w:tcBorders>
              <w:top w:val="single" w:sz="4" w:space="0" w:color="auto"/>
              <w:left w:val="single" w:sz="4" w:space="0" w:color="auto"/>
              <w:bottom w:val="single" w:sz="4" w:space="0" w:color="auto"/>
              <w:right w:val="single" w:sz="4" w:space="0" w:color="auto"/>
            </w:tcBorders>
          </w:tcPr>
          <w:p w:rsidR="00AF7330" w:rsidRPr="00AF7330" w:rsidRDefault="00AF7330" w:rsidP="00B916C2">
            <w:pPr>
              <w:jc w:val="right"/>
              <w:rPr>
                <w:rFonts w:asciiTheme="minorHAnsi" w:hAnsiTheme="minorHAnsi" w:cstheme="minorHAnsi"/>
                <w:sz w:val="17"/>
                <w:szCs w:val="17"/>
              </w:rPr>
            </w:pPr>
            <w:r w:rsidRPr="00AF7330">
              <w:rPr>
                <w:rFonts w:asciiTheme="minorHAnsi" w:hAnsiTheme="minorHAnsi" w:cstheme="minorHAnsi"/>
                <w:sz w:val="17"/>
                <w:szCs w:val="17"/>
              </w:rPr>
              <w:t>0,00</w:t>
            </w:r>
          </w:p>
        </w:tc>
        <w:tc>
          <w:tcPr>
            <w:tcW w:w="4341" w:type="dxa"/>
            <w:gridSpan w:val="26"/>
            <w:tcBorders>
              <w:top w:val="single" w:sz="4" w:space="0" w:color="auto"/>
              <w:left w:val="single" w:sz="4" w:space="0" w:color="auto"/>
              <w:bottom w:val="single" w:sz="4" w:space="0" w:color="auto"/>
              <w:right w:val="single" w:sz="4" w:space="0" w:color="auto"/>
            </w:tcBorders>
          </w:tcPr>
          <w:p w:rsidR="00AF7330" w:rsidRPr="00AF7330" w:rsidRDefault="00AF7330" w:rsidP="00B916C2">
            <w:pPr>
              <w:rPr>
                <w:rFonts w:asciiTheme="minorHAnsi" w:hAnsiTheme="minorHAnsi" w:cstheme="minorHAnsi"/>
                <w:b/>
                <w:sz w:val="17"/>
                <w:szCs w:val="17"/>
                <w:u w:val="single"/>
              </w:rPr>
            </w:pPr>
            <w:r w:rsidRPr="00AF7330">
              <w:rPr>
                <w:rFonts w:asciiTheme="minorHAnsi" w:hAnsiTheme="minorHAnsi" w:cstheme="minorHAnsi"/>
                <w:b/>
                <w:sz w:val="17"/>
                <w:szCs w:val="17"/>
                <w:u w:val="single"/>
              </w:rPr>
              <w:t>Programové vybavení – Intranet vč. oběhu dokumentů</w:t>
            </w:r>
          </w:p>
          <w:p w:rsidR="00AF7330" w:rsidRPr="00AF7330" w:rsidRDefault="00AF7330" w:rsidP="00B916C2">
            <w:pPr>
              <w:rPr>
                <w:rFonts w:asciiTheme="minorHAnsi" w:hAnsiTheme="minorHAnsi" w:cstheme="minorHAnsi"/>
                <w:b/>
                <w:sz w:val="17"/>
                <w:szCs w:val="17"/>
                <w:u w:val="single"/>
              </w:rPr>
            </w:pPr>
            <w:r w:rsidRPr="00AF7330">
              <w:rPr>
                <w:rFonts w:asciiTheme="minorHAnsi" w:hAnsiTheme="minorHAnsi" w:cstheme="minorHAnsi"/>
                <w:sz w:val="17"/>
                <w:szCs w:val="17"/>
              </w:rPr>
              <w:t>Zakázka na oběh dokumentů nerealizována.</w:t>
            </w:r>
          </w:p>
        </w:tc>
      </w:tr>
    </w:tbl>
    <w:p w:rsidR="00AF7330" w:rsidRPr="00AF7330" w:rsidRDefault="00AF7330" w:rsidP="00AF7330">
      <w:pPr>
        <w:rPr>
          <w:rFonts w:asciiTheme="minorHAnsi" w:hAnsiTheme="minorHAnsi" w:cstheme="minorHAnsi"/>
          <w:b/>
          <w:sz w:val="20"/>
          <w:szCs w:val="20"/>
        </w:rPr>
      </w:pPr>
    </w:p>
    <w:p w:rsidR="00AF7330" w:rsidRPr="00AF7330" w:rsidRDefault="00AF7330" w:rsidP="00AF7330">
      <w:pPr>
        <w:rPr>
          <w:rFonts w:asciiTheme="minorHAnsi" w:hAnsiTheme="minorHAnsi" w:cstheme="minorHAnsi"/>
          <w:b/>
          <w:sz w:val="20"/>
          <w:szCs w:val="20"/>
        </w:rPr>
      </w:pPr>
      <w:r w:rsidRPr="00AF7330">
        <w:rPr>
          <w:rFonts w:asciiTheme="minorHAnsi" w:hAnsiTheme="minorHAnsi" w:cstheme="minorHAnsi"/>
          <w:b/>
          <w:sz w:val="20"/>
          <w:szCs w:val="20"/>
        </w:rPr>
        <w:lastRenderedPageBreak/>
        <w:t>Pohledávka 1501 – Prodej vyřazeného majetku OIT</w:t>
      </w:r>
    </w:p>
    <w:p w:rsidR="00AF7330" w:rsidRPr="00AF7330" w:rsidRDefault="00AF7330" w:rsidP="00AF7330">
      <w:pPr>
        <w:rPr>
          <w:rFonts w:asciiTheme="minorHAnsi" w:hAnsiTheme="minorHAnsi" w:cstheme="minorHAnsi"/>
          <w:sz w:val="20"/>
          <w:szCs w:val="20"/>
        </w:rPr>
      </w:pPr>
      <w:r w:rsidRPr="00AF7330">
        <w:rPr>
          <w:rFonts w:asciiTheme="minorHAnsi" w:hAnsiTheme="minorHAnsi" w:cstheme="minorHAnsi"/>
          <w:sz w:val="20"/>
          <w:szCs w:val="20"/>
        </w:rPr>
        <w:t>K 31.</w:t>
      </w:r>
      <w:r w:rsidR="00401503">
        <w:rPr>
          <w:rFonts w:asciiTheme="minorHAnsi" w:hAnsiTheme="minorHAnsi" w:cstheme="minorHAnsi"/>
          <w:sz w:val="20"/>
          <w:szCs w:val="20"/>
        </w:rPr>
        <w:t xml:space="preserve"> </w:t>
      </w:r>
      <w:r w:rsidRPr="00AF7330">
        <w:rPr>
          <w:rFonts w:asciiTheme="minorHAnsi" w:hAnsiTheme="minorHAnsi" w:cstheme="minorHAnsi"/>
          <w:sz w:val="20"/>
          <w:szCs w:val="20"/>
        </w:rPr>
        <w:t>12.</w:t>
      </w:r>
      <w:r w:rsidR="00401503">
        <w:rPr>
          <w:rFonts w:asciiTheme="minorHAnsi" w:hAnsiTheme="minorHAnsi" w:cstheme="minorHAnsi"/>
          <w:sz w:val="20"/>
          <w:szCs w:val="20"/>
        </w:rPr>
        <w:t xml:space="preserve"> </w:t>
      </w:r>
      <w:r w:rsidRPr="00AF7330">
        <w:rPr>
          <w:rFonts w:asciiTheme="minorHAnsi" w:hAnsiTheme="minorHAnsi" w:cstheme="minorHAnsi"/>
          <w:sz w:val="20"/>
          <w:szCs w:val="20"/>
        </w:rPr>
        <w:t>2022 nejsou evidovány nedoplatky</w:t>
      </w:r>
    </w:p>
    <w:p w:rsidR="00AF7330" w:rsidRPr="00AF7330" w:rsidRDefault="00AF7330" w:rsidP="00AF7330">
      <w:pPr>
        <w:rPr>
          <w:rFonts w:asciiTheme="minorHAnsi" w:hAnsiTheme="minorHAnsi" w:cstheme="minorHAnsi"/>
          <w:b/>
          <w:sz w:val="20"/>
          <w:szCs w:val="20"/>
        </w:rPr>
      </w:pPr>
    </w:p>
    <w:p w:rsidR="00AF7330" w:rsidRPr="00AF7330" w:rsidRDefault="00AF7330" w:rsidP="00AF7330">
      <w:pPr>
        <w:rPr>
          <w:rFonts w:asciiTheme="minorHAnsi" w:hAnsiTheme="minorHAnsi" w:cstheme="minorHAnsi"/>
          <w:b/>
          <w:sz w:val="20"/>
          <w:szCs w:val="20"/>
        </w:rPr>
      </w:pPr>
      <w:r w:rsidRPr="00AF7330">
        <w:rPr>
          <w:rFonts w:asciiTheme="minorHAnsi" w:hAnsiTheme="minorHAnsi" w:cstheme="minorHAnsi"/>
          <w:b/>
          <w:sz w:val="20"/>
          <w:szCs w:val="20"/>
        </w:rPr>
        <w:t>Přehled schválených rozpočtových opatření k 31.</w:t>
      </w:r>
      <w:r w:rsidR="00401503">
        <w:rPr>
          <w:rFonts w:asciiTheme="minorHAnsi" w:hAnsiTheme="minorHAnsi" w:cstheme="minorHAnsi"/>
          <w:b/>
          <w:sz w:val="20"/>
          <w:szCs w:val="20"/>
        </w:rPr>
        <w:t xml:space="preserve"> </w:t>
      </w:r>
      <w:r w:rsidRPr="00AF7330">
        <w:rPr>
          <w:rFonts w:asciiTheme="minorHAnsi" w:hAnsiTheme="minorHAnsi" w:cstheme="minorHAnsi"/>
          <w:b/>
          <w:sz w:val="20"/>
          <w:szCs w:val="20"/>
        </w:rPr>
        <w:t>12.</w:t>
      </w:r>
      <w:r w:rsidR="00401503">
        <w:rPr>
          <w:rFonts w:asciiTheme="minorHAnsi" w:hAnsiTheme="minorHAnsi" w:cstheme="minorHAnsi"/>
          <w:b/>
          <w:sz w:val="20"/>
          <w:szCs w:val="20"/>
        </w:rPr>
        <w:t xml:space="preserve"> </w:t>
      </w:r>
      <w:r w:rsidRPr="00AF7330">
        <w:rPr>
          <w:rFonts w:asciiTheme="minorHAnsi" w:hAnsiTheme="minorHAnsi" w:cstheme="minorHAnsi"/>
          <w:b/>
          <w:sz w:val="20"/>
          <w:szCs w:val="20"/>
        </w:rPr>
        <w:t>2022:</w:t>
      </w:r>
    </w:p>
    <w:p w:rsidR="00AF7330" w:rsidRPr="00AF7330" w:rsidRDefault="00AF7330" w:rsidP="00AF7330">
      <w:pPr>
        <w:rPr>
          <w:rFonts w:asciiTheme="minorHAnsi" w:hAnsiTheme="minorHAnsi" w:cstheme="minorHAnsi"/>
          <w:b/>
          <w:sz w:val="20"/>
          <w:szCs w:val="20"/>
        </w:rPr>
      </w:pPr>
    </w:p>
    <w:tbl>
      <w:tblPr>
        <w:tblStyle w:val="Mkatabulky"/>
        <w:tblW w:w="0" w:type="auto"/>
        <w:tblLook w:val="04A0" w:firstRow="1" w:lastRow="0" w:firstColumn="1" w:lastColumn="0" w:noHBand="0" w:noVBand="1"/>
      </w:tblPr>
      <w:tblGrid>
        <w:gridCol w:w="988"/>
        <w:gridCol w:w="1417"/>
        <w:gridCol w:w="1418"/>
        <w:gridCol w:w="4110"/>
        <w:gridCol w:w="1554"/>
      </w:tblGrid>
      <w:tr w:rsidR="00B916C2" w:rsidRPr="00401503" w:rsidTr="00B916C2">
        <w:tc>
          <w:tcPr>
            <w:tcW w:w="988" w:type="dxa"/>
            <w:shd w:val="clear" w:color="auto" w:fill="DBDBDB" w:themeFill="accent3" w:themeFillTint="66"/>
            <w:vAlign w:val="center"/>
          </w:tcPr>
          <w:p w:rsidR="00AF7330" w:rsidRPr="00401503" w:rsidRDefault="00AF7330" w:rsidP="00B916C2">
            <w:pPr>
              <w:jc w:val="center"/>
              <w:rPr>
                <w:rFonts w:asciiTheme="minorHAnsi" w:hAnsiTheme="minorHAnsi" w:cstheme="minorHAnsi"/>
                <w:b/>
                <w:sz w:val="18"/>
                <w:szCs w:val="18"/>
              </w:rPr>
            </w:pPr>
            <w:r w:rsidRPr="00401503">
              <w:rPr>
                <w:rFonts w:asciiTheme="minorHAnsi" w:hAnsiTheme="minorHAnsi" w:cstheme="minorHAnsi"/>
                <w:b/>
                <w:sz w:val="18"/>
                <w:szCs w:val="18"/>
              </w:rPr>
              <w:t>Usn.č.</w:t>
            </w:r>
          </w:p>
        </w:tc>
        <w:tc>
          <w:tcPr>
            <w:tcW w:w="1417" w:type="dxa"/>
            <w:shd w:val="clear" w:color="auto" w:fill="DBDBDB" w:themeFill="accent3" w:themeFillTint="66"/>
            <w:vAlign w:val="center"/>
          </w:tcPr>
          <w:p w:rsidR="00AF7330" w:rsidRPr="00401503" w:rsidRDefault="00AF7330" w:rsidP="00B916C2">
            <w:pPr>
              <w:jc w:val="center"/>
              <w:rPr>
                <w:rFonts w:asciiTheme="minorHAnsi" w:hAnsiTheme="minorHAnsi" w:cstheme="minorHAnsi"/>
                <w:b/>
                <w:sz w:val="18"/>
                <w:szCs w:val="18"/>
              </w:rPr>
            </w:pPr>
            <w:r w:rsidRPr="00401503">
              <w:rPr>
                <w:rFonts w:asciiTheme="minorHAnsi" w:hAnsiTheme="minorHAnsi" w:cstheme="minorHAnsi"/>
                <w:b/>
                <w:sz w:val="18"/>
                <w:szCs w:val="18"/>
              </w:rPr>
              <w:t>Datum</w:t>
            </w:r>
          </w:p>
        </w:tc>
        <w:tc>
          <w:tcPr>
            <w:tcW w:w="1418" w:type="dxa"/>
            <w:shd w:val="clear" w:color="auto" w:fill="DBDBDB" w:themeFill="accent3" w:themeFillTint="66"/>
            <w:vAlign w:val="center"/>
          </w:tcPr>
          <w:p w:rsidR="00AF7330" w:rsidRPr="00401503" w:rsidRDefault="00AF7330" w:rsidP="00B916C2">
            <w:pPr>
              <w:jc w:val="center"/>
              <w:rPr>
                <w:rFonts w:asciiTheme="minorHAnsi" w:hAnsiTheme="minorHAnsi" w:cstheme="minorHAnsi"/>
                <w:b/>
                <w:sz w:val="18"/>
                <w:szCs w:val="18"/>
              </w:rPr>
            </w:pPr>
            <w:r w:rsidRPr="00401503">
              <w:rPr>
                <w:rFonts w:asciiTheme="minorHAnsi" w:hAnsiTheme="minorHAnsi" w:cstheme="minorHAnsi"/>
                <w:b/>
                <w:sz w:val="18"/>
                <w:szCs w:val="18"/>
              </w:rPr>
              <w:t>Částka v tis. Kč</w:t>
            </w:r>
          </w:p>
        </w:tc>
        <w:tc>
          <w:tcPr>
            <w:tcW w:w="4110" w:type="dxa"/>
            <w:shd w:val="clear" w:color="auto" w:fill="DBDBDB" w:themeFill="accent3" w:themeFillTint="66"/>
            <w:vAlign w:val="center"/>
          </w:tcPr>
          <w:p w:rsidR="00AF7330" w:rsidRPr="00401503" w:rsidRDefault="00AF7330" w:rsidP="00B916C2">
            <w:pPr>
              <w:jc w:val="center"/>
              <w:rPr>
                <w:rFonts w:asciiTheme="minorHAnsi" w:hAnsiTheme="minorHAnsi" w:cstheme="minorHAnsi"/>
                <w:b/>
                <w:sz w:val="18"/>
                <w:szCs w:val="18"/>
              </w:rPr>
            </w:pPr>
            <w:r w:rsidRPr="00401503">
              <w:rPr>
                <w:rFonts w:asciiTheme="minorHAnsi" w:hAnsiTheme="minorHAnsi" w:cstheme="minorHAnsi"/>
                <w:b/>
                <w:sz w:val="18"/>
                <w:szCs w:val="18"/>
              </w:rPr>
              <w:t>Rozpočtové opatření</w:t>
            </w:r>
          </w:p>
        </w:tc>
        <w:tc>
          <w:tcPr>
            <w:tcW w:w="1554" w:type="dxa"/>
            <w:shd w:val="clear" w:color="auto" w:fill="DBDBDB" w:themeFill="accent3" w:themeFillTint="66"/>
            <w:vAlign w:val="center"/>
          </w:tcPr>
          <w:p w:rsidR="00AF7330" w:rsidRPr="00401503" w:rsidRDefault="00AF7330" w:rsidP="00B916C2">
            <w:pPr>
              <w:jc w:val="center"/>
              <w:rPr>
                <w:rFonts w:asciiTheme="minorHAnsi" w:hAnsiTheme="minorHAnsi" w:cstheme="minorHAnsi"/>
                <w:b/>
                <w:sz w:val="18"/>
                <w:szCs w:val="18"/>
              </w:rPr>
            </w:pPr>
            <w:r w:rsidRPr="00401503">
              <w:rPr>
                <w:rFonts w:asciiTheme="minorHAnsi" w:hAnsiTheme="minorHAnsi" w:cstheme="minorHAnsi"/>
                <w:b/>
                <w:sz w:val="18"/>
                <w:szCs w:val="18"/>
              </w:rPr>
              <w:t>Stupeň realizace</w:t>
            </w:r>
          </w:p>
        </w:tc>
      </w:tr>
      <w:tr w:rsidR="00B916C2" w:rsidRPr="00401503" w:rsidTr="00B916C2">
        <w:tc>
          <w:tcPr>
            <w:tcW w:w="988" w:type="dxa"/>
            <w:vAlign w:val="center"/>
          </w:tcPr>
          <w:p w:rsidR="00AF7330" w:rsidRPr="00401503" w:rsidRDefault="00AF7330" w:rsidP="00B916C2">
            <w:pPr>
              <w:jc w:val="center"/>
              <w:rPr>
                <w:rFonts w:asciiTheme="minorHAnsi" w:hAnsiTheme="minorHAnsi" w:cstheme="minorHAnsi"/>
                <w:sz w:val="18"/>
                <w:szCs w:val="18"/>
              </w:rPr>
            </w:pPr>
            <w:r w:rsidRPr="00401503">
              <w:rPr>
                <w:rFonts w:asciiTheme="minorHAnsi" w:hAnsiTheme="minorHAnsi" w:cstheme="minorHAnsi"/>
                <w:sz w:val="18"/>
                <w:szCs w:val="18"/>
              </w:rPr>
              <w:t>103.</w:t>
            </w:r>
            <w:r w:rsidR="00B916C2">
              <w:rPr>
                <w:rFonts w:asciiTheme="minorHAnsi" w:hAnsiTheme="minorHAnsi" w:cstheme="minorHAnsi"/>
                <w:sz w:val="18"/>
                <w:szCs w:val="18"/>
              </w:rPr>
              <w:t xml:space="preserve"> </w:t>
            </w:r>
            <w:r w:rsidRPr="00401503">
              <w:rPr>
                <w:rFonts w:asciiTheme="minorHAnsi" w:hAnsiTheme="minorHAnsi" w:cstheme="minorHAnsi"/>
                <w:sz w:val="18"/>
                <w:szCs w:val="18"/>
              </w:rPr>
              <w:t>RMP</w:t>
            </w:r>
          </w:p>
        </w:tc>
        <w:tc>
          <w:tcPr>
            <w:tcW w:w="1417" w:type="dxa"/>
            <w:vAlign w:val="center"/>
          </w:tcPr>
          <w:p w:rsidR="00AF7330" w:rsidRPr="00401503" w:rsidRDefault="00AF7330" w:rsidP="00B916C2">
            <w:pPr>
              <w:jc w:val="center"/>
              <w:rPr>
                <w:rFonts w:asciiTheme="minorHAnsi" w:hAnsiTheme="minorHAnsi" w:cstheme="minorHAnsi"/>
                <w:sz w:val="18"/>
                <w:szCs w:val="18"/>
              </w:rPr>
            </w:pPr>
            <w:r w:rsidRPr="00401503">
              <w:rPr>
                <w:rFonts w:asciiTheme="minorHAnsi" w:hAnsiTheme="minorHAnsi" w:cstheme="minorHAnsi"/>
                <w:sz w:val="18"/>
                <w:szCs w:val="18"/>
              </w:rPr>
              <w:t>11.</w:t>
            </w:r>
            <w:r w:rsidR="00B916C2">
              <w:rPr>
                <w:rFonts w:asciiTheme="minorHAnsi" w:hAnsiTheme="minorHAnsi" w:cstheme="minorHAnsi"/>
                <w:sz w:val="18"/>
                <w:szCs w:val="18"/>
              </w:rPr>
              <w:t xml:space="preserve"> </w:t>
            </w:r>
            <w:r w:rsidRPr="00401503">
              <w:rPr>
                <w:rFonts w:asciiTheme="minorHAnsi" w:hAnsiTheme="minorHAnsi" w:cstheme="minorHAnsi"/>
                <w:sz w:val="18"/>
                <w:szCs w:val="18"/>
              </w:rPr>
              <w:t>1.</w:t>
            </w:r>
            <w:r w:rsidR="00B916C2">
              <w:rPr>
                <w:rFonts w:asciiTheme="minorHAnsi" w:hAnsiTheme="minorHAnsi" w:cstheme="minorHAnsi"/>
                <w:sz w:val="18"/>
                <w:szCs w:val="18"/>
              </w:rPr>
              <w:t xml:space="preserve"> </w:t>
            </w:r>
            <w:r w:rsidRPr="00401503">
              <w:rPr>
                <w:rFonts w:asciiTheme="minorHAnsi" w:hAnsiTheme="minorHAnsi" w:cstheme="minorHAnsi"/>
                <w:sz w:val="18"/>
                <w:szCs w:val="18"/>
              </w:rPr>
              <w:t>2022</w:t>
            </w:r>
          </w:p>
        </w:tc>
        <w:tc>
          <w:tcPr>
            <w:tcW w:w="1418" w:type="dxa"/>
            <w:vAlign w:val="center"/>
          </w:tcPr>
          <w:p w:rsidR="00AF7330" w:rsidRPr="00401503" w:rsidRDefault="00B916C2" w:rsidP="00B916C2">
            <w:pPr>
              <w:jc w:val="center"/>
              <w:rPr>
                <w:rFonts w:asciiTheme="minorHAnsi" w:hAnsiTheme="minorHAnsi" w:cstheme="minorHAnsi"/>
                <w:sz w:val="18"/>
                <w:szCs w:val="18"/>
              </w:rPr>
            </w:pPr>
            <w:r>
              <w:rPr>
                <w:rFonts w:asciiTheme="minorHAnsi" w:hAnsiTheme="minorHAnsi" w:cstheme="minorHAnsi"/>
                <w:sz w:val="18"/>
                <w:szCs w:val="18"/>
              </w:rPr>
              <w:t>92,44</w:t>
            </w:r>
          </w:p>
        </w:tc>
        <w:tc>
          <w:tcPr>
            <w:tcW w:w="4110" w:type="dxa"/>
            <w:vAlign w:val="center"/>
          </w:tcPr>
          <w:p w:rsidR="00AF7330" w:rsidRPr="00401503" w:rsidRDefault="00AF7330" w:rsidP="00B916C2">
            <w:pPr>
              <w:rPr>
                <w:rFonts w:asciiTheme="minorHAnsi" w:hAnsiTheme="minorHAnsi" w:cstheme="minorHAnsi"/>
                <w:sz w:val="18"/>
                <w:szCs w:val="18"/>
              </w:rPr>
            </w:pPr>
            <w:r w:rsidRPr="00401503">
              <w:rPr>
                <w:rFonts w:asciiTheme="minorHAnsi" w:hAnsiTheme="minorHAnsi" w:cstheme="minorHAnsi"/>
                <w:sz w:val="18"/>
                <w:szCs w:val="18"/>
              </w:rPr>
              <w:t>ROZOP č. 1/2022 – Podlimitní programové vybavení – Poplatková pokladna na Odboru dopravy</w:t>
            </w:r>
          </w:p>
        </w:tc>
        <w:tc>
          <w:tcPr>
            <w:tcW w:w="1554" w:type="dxa"/>
          </w:tcPr>
          <w:p w:rsidR="00AF7330" w:rsidRPr="00401503" w:rsidRDefault="00AF7330" w:rsidP="00B916C2">
            <w:pPr>
              <w:rPr>
                <w:rFonts w:asciiTheme="minorHAnsi" w:hAnsiTheme="minorHAnsi" w:cstheme="minorHAnsi"/>
                <w:sz w:val="18"/>
                <w:szCs w:val="18"/>
              </w:rPr>
            </w:pPr>
          </w:p>
          <w:p w:rsidR="00AF7330" w:rsidRPr="00401503" w:rsidRDefault="00AF7330" w:rsidP="00B916C2">
            <w:pPr>
              <w:rPr>
                <w:rFonts w:asciiTheme="minorHAnsi" w:hAnsiTheme="minorHAnsi" w:cstheme="minorHAnsi"/>
                <w:sz w:val="18"/>
                <w:szCs w:val="18"/>
              </w:rPr>
            </w:pPr>
            <w:r w:rsidRPr="00401503">
              <w:rPr>
                <w:rFonts w:asciiTheme="minorHAnsi" w:hAnsiTheme="minorHAnsi" w:cstheme="minorHAnsi"/>
                <w:sz w:val="18"/>
                <w:szCs w:val="18"/>
              </w:rPr>
              <w:t xml:space="preserve">Realizováno  </w:t>
            </w:r>
          </w:p>
          <w:p w:rsidR="00AF7330" w:rsidRPr="00401503" w:rsidRDefault="00AF7330" w:rsidP="00B916C2">
            <w:pPr>
              <w:rPr>
                <w:rFonts w:asciiTheme="minorHAnsi" w:hAnsiTheme="minorHAnsi" w:cstheme="minorHAnsi"/>
                <w:b/>
                <w:sz w:val="18"/>
                <w:szCs w:val="18"/>
              </w:rPr>
            </w:pPr>
          </w:p>
        </w:tc>
      </w:tr>
      <w:tr w:rsidR="00B916C2" w:rsidRPr="00401503" w:rsidTr="00B916C2">
        <w:tc>
          <w:tcPr>
            <w:tcW w:w="988" w:type="dxa"/>
            <w:vAlign w:val="center"/>
          </w:tcPr>
          <w:p w:rsidR="00AF7330" w:rsidRPr="00401503" w:rsidRDefault="00AF7330" w:rsidP="00B916C2">
            <w:pPr>
              <w:jc w:val="center"/>
              <w:rPr>
                <w:rFonts w:asciiTheme="minorHAnsi" w:hAnsiTheme="minorHAnsi" w:cstheme="minorHAnsi"/>
                <w:sz w:val="18"/>
                <w:szCs w:val="18"/>
              </w:rPr>
            </w:pPr>
            <w:r w:rsidRPr="00401503">
              <w:rPr>
                <w:rFonts w:asciiTheme="minorHAnsi" w:hAnsiTheme="minorHAnsi" w:cstheme="minorHAnsi"/>
                <w:sz w:val="18"/>
                <w:szCs w:val="18"/>
              </w:rPr>
              <w:t>103.</w:t>
            </w:r>
            <w:r w:rsidR="00B916C2">
              <w:rPr>
                <w:rFonts w:asciiTheme="minorHAnsi" w:hAnsiTheme="minorHAnsi" w:cstheme="minorHAnsi"/>
                <w:sz w:val="18"/>
                <w:szCs w:val="18"/>
              </w:rPr>
              <w:t xml:space="preserve"> </w:t>
            </w:r>
            <w:r w:rsidRPr="00401503">
              <w:rPr>
                <w:rFonts w:asciiTheme="minorHAnsi" w:hAnsiTheme="minorHAnsi" w:cstheme="minorHAnsi"/>
                <w:sz w:val="18"/>
                <w:szCs w:val="18"/>
              </w:rPr>
              <w:t>RMP</w:t>
            </w:r>
          </w:p>
        </w:tc>
        <w:tc>
          <w:tcPr>
            <w:tcW w:w="1417" w:type="dxa"/>
            <w:vAlign w:val="center"/>
          </w:tcPr>
          <w:p w:rsidR="00AF7330" w:rsidRPr="00401503" w:rsidRDefault="00AF7330" w:rsidP="00B916C2">
            <w:pPr>
              <w:jc w:val="center"/>
              <w:rPr>
                <w:rFonts w:asciiTheme="minorHAnsi" w:hAnsiTheme="minorHAnsi" w:cstheme="minorHAnsi"/>
                <w:sz w:val="18"/>
                <w:szCs w:val="18"/>
              </w:rPr>
            </w:pPr>
            <w:r w:rsidRPr="00401503">
              <w:rPr>
                <w:rFonts w:asciiTheme="minorHAnsi" w:hAnsiTheme="minorHAnsi" w:cstheme="minorHAnsi"/>
                <w:sz w:val="18"/>
                <w:szCs w:val="18"/>
              </w:rPr>
              <w:t>11.</w:t>
            </w:r>
            <w:r w:rsidR="00B916C2">
              <w:rPr>
                <w:rFonts w:asciiTheme="minorHAnsi" w:hAnsiTheme="minorHAnsi" w:cstheme="minorHAnsi"/>
                <w:sz w:val="18"/>
                <w:szCs w:val="18"/>
              </w:rPr>
              <w:t xml:space="preserve"> </w:t>
            </w:r>
            <w:r w:rsidRPr="00401503">
              <w:rPr>
                <w:rFonts w:asciiTheme="minorHAnsi" w:hAnsiTheme="minorHAnsi" w:cstheme="minorHAnsi"/>
                <w:sz w:val="18"/>
                <w:szCs w:val="18"/>
              </w:rPr>
              <w:t>1.</w:t>
            </w:r>
            <w:r w:rsidR="00B916C2">
              <w:rPr>
                <w:rFonts w:asciiTheme="minorHAnsi" w:hAnsiTheme="minorHAnsi" w:cstheme="minorHAnsi"/>
                <w:sz w:val="18"/>
                <w:szCs w:val="18"/>
              </w:rPr>
              <w:t xml:space="preserve"> </w:t>
            </w:r>
            <w:r w:rsidRPr="00401503">
              <w:rPr>
                <w:rFonts w:asciiTheme="minorHAnsi" w:hAnsiTheme="minorHAnsi" w:cstheme="minorHAnsi"/>
                <w:sz w:val="18"/>
                <w:szCs w:val="18"/>
              </w:rPr>
              <w:t>2022</w:t>
            </w:r>
          </w:p>
        </w:tc>
        <w:tc>
          <w:tcPr>
            <w:tcW w:w="1418" w:type="dxa"/>
            <w:vAlign w:val="center"/>
          </w:tcPr>
          <w:p w:rsidR="00AF7330" w:rsidRPr="00401503" w:rsidRDefault="00B916C2" w:rsidP="00B916C2">
            <w:pPr>
              <w:jc w:val="center"/>
              <w:rPr>
                <w:rFonts w:asciiTheme="minorHAnsi" w:hAnsiTheme="minorHAnsi" w:cstheme="minorHAnsi"/>
                <w:sz w:val="18"/>
                <w:szCs w:val="18"/>
              </w:rPr>
            </w:pPr>
            <w:r>
              <w:rPr>
                <w:rFonts w:asciiTheme="minorHAnsi" w:hAnsiTheme="minorHAnsi" w:cstheme="minorHAnsi"/>
                <w:sz w:val="18"/>
                <w:szCs w:val="18"/>
              </w:rPr>
              <w:t>96,00</w:t>
            </w:r>
          </w:p>
        </w:tc>
        <w:tc>
          <w:tcPr>
            <w:tcW w:w="4110" w:type="dxa"/>
            <w:vAlign w:val="center"/>
          </w:tcPr>
          <w:p w:rsidR="00AF7330" w:rsidRPr="00401503" w:rsidRDefault="00AF7330" w:rsidP="00B916C2">
            <w:pPr>
              <w:rPr>
                <w:rFonts w:asciiTheme="minorHAnsi" w:hAnsiTheme="minorHAnsi" w:cstheme="minorHAnsi"/>
                <w:sz w:val="18"/>
                <w:szCs w:val="18"/>
              </w:rPr>
            </w:pPr>
            <w:r w:rsidRPr="00401503">
              <w:rPr>
                <w:rFonts w:asciiTheme="minorHAnsi" w:hAnsiTheme="minorHAnsi" w:cstheme="minorHAnsi"/>
                <w:sz w:val="18"/>
                <w:szCs w:val="18"/>
              </w:rPr>
              <w:t>ROZOP č. 16/2022 – Podlimitní programové vybavení – Turistický portál</w:t>
            </w:r>
          </w:p>
        </w:tc>
        <w:tc>
          <w:tcPr>
            <w:tcW w:w="1554" w:type="dxa"/>
          </w:tcPr>
          <w:p w:rsidR="00AF7330" w:rsidRPr="00401503" w:rsidRDefault="00AF7330" w:rsidP="00B916C2">
            <w:pPr>
              <w:rPr>
                <w:rFonts w:asciiTheme="minorHAnsi" w:hAnsiTheme="minorHAnsi" w:cstheme="minorHAnsi"/>
                <w:sz w:val="18"/>
                <w:szCs w:val="18"/>
              </w:rPr>
            </w:pPr>
          </w:p>
          <w:p w:rsidR="00AF7330" w:rsidRPr="00401503" w:rsidRDefault="00AF7330" w:rsidP="00B916C2">
            <w:pPr>
              <w:rPr>
                <w:rFonts w:asciiTheme="minorHAnsi" w:hAnsiTheme="minorHAnsi" w:cstheme="minorHAnsi"/>
                <w:sz w:val="18"/>
                <w:szCs w:val="18"/>
              </w:rPr>
            </w:pPr>
            <w:r w:rsidRPr="00401503">
              <w:rPr>
                <w:rFonts w:asciiTheme="minorHAnsi" w:hAnsiTheme="minorHAnsi" w:cstheme="minorHAnsi"/>
                <w:sz w:val="18"/>
                <w:szCs w:val="18"/>
              </w:rPr>
              <w:t xml:space="preserve">Realizováno  </w:t>
            </w:r>
          </w:p>
          <w:p w:rsidR="00AF7330" w:rsidRPr="00401503" w:rsidRDefault="00AF7330" w:rsidP="00B916C2">
            <w:pPr>
              <w:rPr>
                <w:rFonts w:asciiTheme="minorHAnsi" w:hAnsiTheme="minorHAnsi" w:cstheme="minorHAnsi"/>
                <w:b/>
                <w:sz w:val="18"/>
                <w:szCs w:val="18"/>
              </w:rPr>
            </w:pPr>
          </w:p>
        </w:tc>
      </w:tr>
      <w:tr w:rsidR="00B916C2" w:rsidRPr="00401503" w:rsidTr="00B916C2">
        <w:tc>
          <w:tcPr>
            <w:tcW w:w="988" w:type="dxa"/>
            <w:vAlign w:val="center"/>
          </w:tcPr>
          <w:p w:rsidR="00AF7330" w:rsidRPr="00401503" w:rsidRDefault="00AF7330" w:rsidP="00B916C2">
            <w:pPr>
              <w:jc w:val="center"/>
              <w:rPr>
                <w:rFonts w:asciiTheme="minorHAnsi" w:hAnsiTheme="minorHAnsi" w:cstheme="minorHAnsi"/>
                <w:sz w:val="18"/>
                <w:szCs w:val="18"/>
              </w:rPr>
            </w:pPr>
            <w:r w:rsidRPr="00401503">
              <w:rPr>
                <w:rFonts w:asciiTheme="minorHAnsi" w:hAnsiTheme="minorHAnsi" w:cstheme="minorHAnsi"/>
                <w:sz w:val="18"/>
                <w:szCs w:val="18"/>
              </w:rPr>
              <w:t>30.</w:t>
            </w:r>
            <w:r w:rsidR="00B916C2">
              <w:rPr>
                <w:rFonts w:asciiTheme="minorHAnsi" w:hAnsiTheme="minorHAnsi" w:cstheme="minorHAnsi"/>
                <w:sz w:val="18"/>
                <w:szCs w:val="18"/>
              </w:rPr>
              <w:t xml:space="preserve"> </w:t>
            </w:r>
            <w:r w:rsidRPr="00401503">
              <w:rPr>
                <w:rFonts w:asciiTheme="minorHAnsi" w:hAnsiTheme="minorHAnsi" w:cstheme="minorHAnsi"/>
                <w:sz w:val="18"/>
                <w:szCs w:val="18"/>
              </w:rPr>
              <w:t>ZMP</w:t>
            </w:r>
          </w:p>
        </w:tc>
        <w:tc>
          <w:tcPr>
            <w:tcW w:w="1417" w:type="dxa"/>
            <w:vAlign w:val="center"/>
          </w:tcPr>
          <w:p w:rsidR="00AF7330" w:rsidRPr="00401503" w:rsidRDefault="00AF7330" w:rsidP="00B916C2">
            <w:pPr>
              <w:jc w:val="center"/>
              <w:rPr>
                <w:rFonts w:asciiTheme="minorHAnsi" w:hAnsiTheme="minorHAnsi" w:cstheme="minorHAnsi"/>
                <w:sz w:val="18"/>
                <w:szCs w:val="18"/>
              </w:rPr>
            </w:pPr>
            <w:r w:rsidRPr="00401503">
              <w:rPr>
                <w:rFonts w:asciiTheme="minorHAnsi" w:hAnsiTheme="minorHAnsi" w:cstheme="minorHAnsi"/>
                <w:sz w:val="18"/>
                <w:szCs w:val="18"/>
              </w:rPr>
              <w:t>5.</w:t>
            </w:r>
            <w:r w:rsidR="00B916C2">
              <w:rPr>
                <w:rFonts w:asciiTheme="minorHAnsi" w:hAnsiTheme="minorHAnsi" w:cstheme="minorHAnsi"/>
                <w:sz w:val="18"/>
                <w:szCs w:val="18"/>
              </w:rPr>
              <w:t xml:space="preserve"> </w:t>
            </w:r>
            <w:r w:rsidRPr="00401503">
              <w:rPr>
                <w:rFonts w:asciiTheme="minorHAnsi" w:hAnsiTheme="minorHAnsi" w:cstheme="minorHAnsi"/>
                <w:sz w:val="18"/>
                <w:szCs w:val="18"/>
              </w:rPr>
              <w:t>4.</w:t>
            </w:r>
            <w:r w:rsidR="00B916C2">
              <w:rPr>
                <w:rFonts w:asciiTheme="minorHAnsi" w:hAnsiTheme="minorHAnsi" w:cstheme="minorHAnsi"/>
                <w:sz w:val="18"/>
                <w:szCs w:val="18"/>
              </w:rPr>
              <w:t xml:space="preserve"> </w:t>
            </w:r>
            <w:r w:rsidRPr="00401503">
              <w:rPr>
                <w:rFonts w:asciiTheme="minorHAnsi" w:hAnsiTheme="minorHAnsi" w:cstheme="minorHAnsi"/>
                <w:sz w:val="18"/>
                <w:szCs w:val="18"/>
              </w:rPr>
              <w:t>2022</w:t>
            </w:r>
          </w:p>
        </w:tc>
        <w:tc>
          <w:tcPr>
            <w:tcW w:w="1418" w:type="dxa"/>
            <w:vAlign w:val="center"/>
          </w:tcPr>
          <w:p w:rsidR="00AF7330" w:rsidRPr="00401503" w:rsidRDefault="00B916C2" w:rsidP="00B916C2">
            <w:pPr>
              <w:jc w:val="center"/>
              <w:rPr>
                <w:rFonts w:asciiTheme="minorHAnsi" w:hAnsiTheme="minorHAnsi" w:cstheme="minorHAnsi"/>
                <w:sz w:val="18"/>
                <w:szCs w:val="18"/>
              </w:rPr>
            </w:pPr>
            <w:r>
              <w:rPr>
                <w:rFonts w:asciiTheme="minorHAnsi" w:hAnsiTheme="minorHAnsi" w:cstheme="minorHAnsi"/>
                <w:sz w:val="18"/>
                <w:szCs w:val="18"/>
              </w:rPr>
              <w:t>93,</w:t>
            </w:r>
            <w:r w:rsidR="00AF7330" w:rsidRPr="00401503">
              <w:rPr>
                <w:rFonts w:asciiTheme="minorHAnsi" w:hAnsiTheme="minorHAnsi" w:cstheme="minorHAnsi"/>
                <w:sz w:val="18"/>
                <w:szCs w:val="18"/>
              </w:rPr>
              <w:t>5</w:t>
            </w:r>
            <w:r>
              <w:rPr>
                <w:rFonts w:asciiTheme="minorHAnsi" w:hAnsiTheme="minorHAnsi" w:cstheme="minorHAnsi"/>
                <w:sz w:val="18"/>
                <w:szCs w:val="18"/>
              </w:rPr>
              <w:t>8</w:t>
            </w:r>
          </w:p>
        </w:tc>
        <w:tc>
          <w:tcPr>
            <w:tcW w:w="4110" w:type="dxa"/>
            <w:vAlign w:val="center"/>
          </w:tcPr>
          <w:p w:rsidR="00AF7330" w:rsidRPr="00401503" w:rsidRDefault="00AF7330" w:rsidP="00B916C2">
            <w:pPr>
              <w:rPr>
                <w:rFonts w:asciiTheme="minorHAnsi" w:hAnsiTheme="minorHAnsi" w:cstheme="minorHAnsi"/>
                <w:sz w:val="18"/>
                <w:szCs w:val="18"/>
              </w:rPr>
            </w:pPr>
            <w:r w:rsidRPr="00401503">
              <w:rPr>
                <w:rFonts w:asciiTheme="minorHAnsi" w:hAnsiTheme="minorHAnsi" w:cstheme="minorHAnsi"/>
                <w:sz w:val="18"/>
                <w:szCs w:val="18"/>
              </w:rPr>
              <w:t>ROZOP č. 16/2022 – Dotace „Lepší město pro život“</w:t>
            </w:r>
          </w:p>
        </w:tc>
        <w:tc>
          <w:tcPr>
            <w:tcW w:w="1554" w:type="dxa"/>
          </w:tcPr>
          <w:p w:rsidR="00AF7330" w:rsidRPr="00401503" w:rsidRDefault="00AF7330" w:rsidP="00B916C2">
            <w:pPr>
              <w:rPr>
                <w:rFonts w:asciiTheme="minorHAnsi" w:hAnsiTheme="minorHAnsi" w:cstheme="minorHAnsi"/>
                <w:sz w:val="18"/>
                <w:szCs w:val="18"/>
              </w:rPr>
            </w:pPr>
          </w:p>
          <w:p w:rsidR="00AF7330" w:rsidRPr="00401503" w:rsidRDefault="00AF7330" w:rsidP="00B916C2">
            <w:pPr>
              <w:rPr>
                <w:rFonts w:asciiTheme="minorHAnsi" w:hAnsiTheme="minorHAnsi" w:cstheme="minorHAnsi"/>
                <w:sz w:val="18"/>
                <w:szCs w:val="18"/>
              </w:rPr>
            </w:pPr>
            <w:r w:rsidRPr="00401503">
              <w:rPr>
                <w:rFonts w:asciiTheme="minorHAnsi" w:hAnsiTheme="minorHAnsi" w:cstheme="minorHAnsi"/>
                <w:sz w:val="18"/>
                <w:szCs w:val="18"/>
              </w:rPr>
              <w:t xml:space="preserve">Realizováno  </w:t>
            </w:r>
          </w:p>
          <w:p w:rsidR="00AF7330" w:rsidRPr="00401503" w:rsidRDefault="00AF7330" w:rsidP="00B916C2">
            <w:pPr>
              <w:rPr>
                <w:rFonts w:asciiTheme="minorHAnsi" w:hAnsiTheme="minorHAnsi" w:cstheme="minorHAnsi"/>
                <w:b/>
                <w:sz w:val="18"/>
                <w:szCs w:val="18"/>
              </w:rPr>
            </w:pPr>
          </w:p>
        </w:tc>
      </w:tr>
    </w:tbl>
    <w:p w:rsidR="00AF7330" w:rsidRPr="00AF7330" w:rsidRDefault="00AF7330" w:rsidP="00AF7330">
      <w:pPr>
        <w:rPr>
          <w:rFonts w:asciiTheme="minorHAnsi" w:hAnsiTheme="minorHAnsi" w:cstheme="minorHAnsi"/>
          <w:b/>
          <w:sz w:val="20"/>
          <w:szCs w:val="20"/>
        </w:rPr>
      </w:pPr>
    </w:p>
    <w:p w:rsidR="00AF7330" w:rsidRPr="00AF7330" w:rsidRDefault="00AF7330" w:rsidP="00AF7330">
      <w:pPr>
        <w:rPr>
          <w:rFonts w:asciiTheme="minorHAnsi" w:hAnsiTheme="minorHAnsi" w:cstheme="minorHAnsi"/>
          <w:b/>
          <w:sz w:val="20"/>
          <w:szCs w:val="20"/>
        </w:rPr>
      </w:pPr>
    </w:p>
    <w:p w:rsidR="00AF7330" w:rsidRPr="00AF7330" w:rsidRDefault="00AF7330" w:rsidP="00AF7330">
      <w:pPr>
        <w:rPr>
          <w:rFonts w:asciiTheme="minorHAnsi" w:hAnsiTheme="minorHAnsi" w:cstheme="minorHAnsi"/>
          <w:b/>
          <w:sz w:val="20"/>
          <w:szCs w:val="20"/>
        </w:rPr>
      </w:pPr>
    </w:p>
    <w:p w:rsidR="00AF7330" w:rsidRPr="00AF7330" w:rsidRDefault="00AF7330" w:rsidP="00AF7330">
      <w:pPr>
        <w:rPr>
          <w:rFonts w:asciiTheme="minorHAnsi" w:hAnsiTheme="minorHAnsi" w:cstheme="minorHAnsi"/>
          <w:b/>
          <w:sz w:val="20"/>
          <w:szCs w:val="20"/>
        </w:rPr>
      </w:pPr>
    </w:p>
    <w:p w:rsidR="00AF7330" w:rsidRPr="00AF7330" w:rsidRDefault="00AF7330" w:rsidP="00AF7330">
      <w:pPr>
        <w:rPr>
          <w:rFonts w:asciiTheme="minorHAnsi" w:hAnsiTheme="minorHAnsi" w:cstheme="minorHAnsi"/>
          <w:b/>
          <w:sz w:val="20"/>
          <w:szCs w:val="20"/>
        </w:rPr>
      </w:pPr>
      <w:r w:rsidRPr="00AF7330">
        <w:rPr>
          <w:rFonts w:asciiTheme="minorHAnsi" w:hAnsiTheme="minorHAnsi" w:cstheme="minorHAnsi"/>
          <w:b/>
          <w:sz w:val="20"/>
          <w:szCs w:val="20"/>
        </w:rPr>
        <w:t xml:space="preserve">V Prostějově: </w:t>
      </w:r>
      <w:r w:rsidR="00B916C2">
        <w:rPr>
          <w:rFonts w:asciiTheme="minorHAnsi" w:hAnsiTheme="minorHAnsi" w:cstheme="minorHAnsi"/>
          <w:b/>
          <w:sz w:val="20"/>
          <w:szCs w:val="20"/>
        </w:rPr>
        <w:t xml:space="preserve"> 15. </w:t>
      </w:r>
      <w:r w:rsidRPr="00AF7330">
        <w:rPr>
          <w:rFonts w:asciiTheme="minorHAnsi" w:hAnsiTheme="minorHAnsi" w:cstheme="minorHAnsi"/>
          <w:b/>
          <w:sz w:val="20"/>
          <w:szCs w:val="20"/>
        </w:rPr>
        <w:t>2.</w:t>
      </w:r>
      <w:r w:rsidR="00B916C2">
        <w:rPr>
          <w:rFonts w:asciiTheme="minorHAnsi" w:hAnsiTheme="minorHAnsi" w:cstheme="minorHAnsi"/>
          <w:b/>
          <w:sz w:val="20"/>
          <w:szCs w:val="20"/>
        </w:rPr>
        <w:t xml:space="preserve"> </w:t>
      </w:r>
      <w:r w:rsidRPr="00AF7330">
        <w:rPr>
          <w:rFonts w:asciiTheme="minorHAnsi" w:hAnsiTheme="minorHAnsi" w:cstheme="minorHAnsi"/>
          <w:b/>
          <w:sz w:val="20"/>
          <w:szCs w:val="20"/>
        </w:rPr>
        <w:t>2023</w:t>
      </w:r>
      <w:r w:rsidRPr="00AF7330">
        <w:rPr>
          <w:rFonts w:asciiTheme="minorHAnsi" w:hAnsiTheme="minorHAnsi" w:cstheme="minorHAnsi"/>
          <w:b/>
          <w:sz w:val="20"/>
          <w:szCs w:val="20"/>
        </w:rPr>
        <w:tab/>
      </w:r>
      <w:r w:rsidRPr="00AF7330">
        <w:rPr>
          <w:rFonts w:asciiTheme="minorHAnsi" w:hAnsiTheme="minorHAnsi" w:cstheme="minorHAnsi"/>
          <w:b/>
          <w:sz w:val="20"/>
          <w:szCs w:val="20"/>
        </w:rPr>
        <w:tab/>
      </w:r>
      <w:r w:rsidRPr="00AF7330">
        <w:rPr>
          <w:rFonts w:asciiTheme="minorHAnsi" w:hAnsiTheme="minorHAnsi" w:cstheme="minorHAnsi"/>
          <w:b/>
          <w:sz w:val="20"/>
          <w:szCs w:val="20"/>
        </w:rPr>
        <w:tab/>
      </w:r>
      <w:r w:rsidRPr="00AF7330">
        <w:rPr>
          <w:rFonts w:asciiTheme="minorHAnsi" w:hAnsiTheme="minorHAnsi" w:cstheme="minorHAnsi"/>
          <w:b/>
          <w:sz w:val="20"/>
          <w:szCs w:val="20"/>
        </w:rPr>
        <w:tab/>
      </w:r>
      <w:r w:rsidRPr="00AF7330">
        <w:rPr>
          <w:rFonts w:asciiTheme="minorHAnsi" w:hAnsiTheme="minorHAnsi" w:cstheme="minorHAnsi"/>
          <w:b/>
          <w:sz w:val="20"/>
          <w:szCs w:val="20"/>
        </w:rPr>
        <w:tab/>
      </w:r>
      <w:r w:rsidRPr="00AF7330">
        <w:rPr>
          <w:rFonts w:asciiTheme="minorHAnsi" w:hAnsiTheme="minorHAnsi" w:cstheme="minorHAnsi"/>
          <w:b/>
          <w:sz w:val="20"/>
          <w:szCs w:val="20"/>
        </w:rPr>
        <w:tab/>
      </w:r>
      <w:r w:rsidRPr="00AF7330">
        <w:rPr>
          <w:rFonts w:asciiTheme="minorHAnsi" w:hAnsiTheme="minorHAnsi" w:cstheme="minorHAnsi"/>
          <w:b/>
          <w:sz w:val="20"/>
          <w:szCs w:val="20"/>
        </w:rPr>
        <w:tab/>
      </w:r>
      <w:r w:rsidRPr="00AF7330">
        <w:rPr>
          <w:rFonts w:asciiTheme="minorHAnsi" w:hAnsiTheme="minorHAnsi" w:cstheme="minorHAnsi"/>
          <w:b/>
          <w:sz w:val="20"/>
          <w:szCs w:val="20"/>
        </w:rPr>
        <w:tab/>
      </w:r>
      <w:r w:rsidRPr="00AF7330">
        <w:rPr>
          <w:rFonts w:asciiTheme="minorHAnsi" w:hAnsiTheme="minorHAnsi" w:cstheme="minorHAnsi"/>
          <w:b/>
          <w:sz w:val="20"/>
          <w:szCs w:val="20"/>
        </w:rPr>
        <w:tab/>
      </w:r>
      <w:r w:rsidRPr="00AF7330">
        <w:rPr>
          <w:rFonts w:asciiTheme="minorHAnsi" w:hAnsiTheme="minorHAnsi" w:cstheme="minorHAnsi"/>
          <w:b/>
          <w:sz w:val="20"/>
          <w:szCs w:val="20"/>
        </w:rPr>
        <w:tab/>
      </w:r>
      <w:r w:rsidRPr="00AF7330">
        <w:rPr>
          <w:rFonts w:asciiTheme="minorHAnsi" w:hAnsiTheme="minorHAnsi" w:cstheme="minorHAnsi"/>
          <w:b/>
          <w:sz w:val="20"/>
          <w:szCs w:val="20"/>
        </w:rPr>
        <w:tab/>
      </w:r>
    </w:p>
    <w:p w:rsidR="00AF7330" w:rsidRPr="00AF7330" w:rsidRDefault="00AF7330" w:rsidP="00AF7330">
      <w:pPr>
        <w:rPr>
          <w:rFonts w:asciiTheme="minorHAnsi" w:hAnsiTheme="minorHAnsi" w:cstheme="minorHAnsi"/>
          <w:b/>
          <w:sz w:val="20"/>
          <w:szCs w:val="20"/>
        </w:rPr>
      </w:pPr>
      <w:r w:rsidRPr="00AF7330">
        <w:rPr>
          <w:rFonts w:asciiTheme="minorHAnsi" w:hAnsiTheme="minorHAnsi" w:cstheme="minorHAnsi"/>
          <w:b/>
          <w:sz w:val="20"/>
          <w:szCs w:val="20"/>
        </w:rPr>
        <w:tab/>
      </w:r>
    </w:p>
    <w:p w:rsidR="00AF7330" w:rsidRPr="00AF7330" w:rsidRDefault="00AF7330" w:rsidP="00AF7330">
      <w:pPr>
        <w:rPr>
          <w:rFonts w:asciiTheme="minorHAnsi" w:hAnsiTheme="minorHAnsi" w:cstheme="minorHAnsi"/>
          <w:b/>
          <w:sz w:val="20"/>
          <w:szCs w:val="20"/>
        </w:rPr>
      </w:pPr>
      <w:r w:rsidRPr="00AF7330">
        <w:rPr>
          <w:rFonts w:asciiTheme="minorHAnsi" w:hAnsiTheme="minorHAnsi" w:cstheme="minorHAnsi"/>
          <w:b/>
          <w:sz w:val="20"/>
          <w:szCs w:val="20"/>
        </w:rPr>
        <w:t>Správce kapitoly: Ing. Jan Števko</w:t>
      </w:r>
    </w:p>
    <w:p w:rsidR="00AF7330" w:rsidRPr="00AF7330" w:rsidRDefault="00AF7330" w:rsidP="00AF7330">
      <w:pPr>
        <w:rPr>
          <w:rFonts w:asciiTheme="minorHAnsi" w:hAnsiTheme="minorHAnsi" w:cstheme="minorHAnsi"/>
          <w:b/>
          <w:sz w:val="20"/>
          <w:szCs w:val="20"/>
        </w:rPr>
      </w:pPr>
      <w:r w:rsidRPr="00AF7330">
        <w:rPr>
          <w:rFonts w:asciiTheme="minorHAnsi" w:hAnsiTheme="minorHAnsi" w:cstheme="minorHAnsi"/>
          <w:b/>
          <w:sz w:val="20"/>
          <w:szCs w:val="20"/>
        </w:rPr>
        <w:t xml:space="preserve">                               vedoucí Odboru informačních technologií</w:t>
      </w:r>
    </w:p>
    <w:p w:rsidR="00EC5D34" w:rsidRPr="00AF7330" w:rsidRDefault="00EC5D34">
      <w:pPr>
        <w:rPr>
          <w:rFonts w:asciiTheme="minorHAnsi" w:hAnsiTheme="minorHAnsi" w:cstheme="minorHAnsi"/>
          <w:color w:val="A6A6A6" w:themeColor="background1" w:themeShade="A6"/>
          <w:sz w:val="20"/>
          <w:szCs w:val="20"/>
        </w:rPr>
      </w:pPr>
    </w:p>
    <w:p w:rsidR="00146EDA" w:rsidRPr="006E55BA" w:rsidRDefault="00146EDA">
      <w:pPr>
        <w:rPr>
          <w:b/>
          <w:color w:val="A6A6A6" w:themeColor="background1" w:themeShade="A6"/>
          <w:sz w:val="20"/>
          <w:szCs w:val="20"/>
        </w:rPr>
      </w:pPr>
      <w:r w:rsidRPr="006E55BA">
        <w:rPr>
          <w:b/>
          <w:color w:val="A6A6A6" w:themeColor="background1" w:themeShade="A6"/>
          <w:sz w:val="20"/>
          <w:szCs w:val="20"/>
        </w:rPr>
        <w:br w:type="page"/>
      </w:r>
    </w:p>
    <w:p w:rsidR="006447B6" w:rsidRPr="006447B6" w:rsidRDefault="006447B6" w:rsidP="00F6124A">
      <w:pPr>
        <w:rPr>
          <w:rFonts w:asciiTheme="minorHAnsi" w:hAnsiTheme="minorHAnsi" w:cstheme="minorHAnsi"/>
          <w:b/>
        </w:rPr>
      </w:pPr>
      <w:r w:rsidRPr="006447B6">
        <w:rPr>
          <w:rFonts w:asciiTheme="minorHAnsi" w:hAnsiTheme="minorHAnsi" w:cstheme="minorHAnsi"/>
          <w:b/>
        </w:rPr>
        <w:lastRenderedPageBreak/>
        <w:t>Kapitola 16 – Občanské záležitosti</w:t>
      </w:r>
    </w:p>
    <w:p w:rsidR="006447B6" w:rsidRPr="006447B6" w:rsidRDefault="006447B6" w:rsidP="00F6124A">
      <w:pPr>
        <w:rPr>
          <w:rFonts w:asciiTheme="minorHAnsi" w:hAnsiTheme="minorHAnsi" w:cstheme="minorHAnsi"/>
          <w:b/>
          <w:sz w:val="20"/>
          <w:szCs w:val="20"/>
        </w:rPr>
      </w:pPr>
    </w:p>
    <w:p w:rsidR="006447B6" w:rsidRPr="006447B6" w:rsidRDefault="006447B6" w:rsidP="00F6124A">
      <w:pPr>
        <w:rPr>
          <w:rFonts w:asciiTheme="minorHAnsi" w:hAnsiTheme="minorHAnsi" w:cstheme="minorHAnsi"/>
          <w:b/>
          <w:sz w:val="20"/>
          <w:szCs w:val="20"/>
          <w:u w:val="single"/>
        </w:rPr>
      </w:pPr>
      <w:r w:rsidRPr="006447B6">
        <w:rPr>
          <w:rFonts w:asciiTheme="minorHAnsi" w:hAnsiTheme="minorHAnsi" w:cstheme="minorHAnsi"/>
          <w:b/>
          <w:sz w:val="20"/>
          <w:szCs w:val="20"/>
          <w:u w:val="single"/>
        </w:rPr>
        <w:t>Rozbor plnění příjmů rozpočtu kapitoly</w:t>
      </w:r>
    </w:p>
    <w:p w:rsidR="006447B6" w:rsidRPr="006447B6" w:rsidRDefault="006447B6" w:rsidP="00F6124A">
      <w:pPr>
        <w:rPr>
          <w:rFonts w:asciiTheme="minorHAnsi" w:hAnsiTheme="minorHAnsi" w:cstheme="minorHAnsi"/>
          <w:b/>
          <w:sz w:val="20"/>
          <w:szCs w:val="20"/>
        </w:rPr>
      </w:pPr>
    </w:p>
    <w:tbl>
      <w:tblPr>
        <w:tblStyle w:val="Mkatabulky"/>
        <w:tblW w:w="9776" w:type="dxa"/>
        <w:tblLook w:val="04A0" w:firstRow="1" w:lastRow="0" w:firstColumn="1" w:lastColumn="0" w:noHBand="0" w:noVBand="1"/>
      </w:tblPr>
      <w:tblGrid>
        <w:gridCol w:w="2830"/>
        <w:gridCol w:w="2694"/>
        <w:gridCol w:w="1417"/>
        <w:gridCol w:w="2835"/>
      </w:tblGrid>
      <w:tr w:rsidR="006447B6" w:rsidRPr="006447B6" w:rsidTr="006447B6">
        <w:trPr>
          <w:trHeight w:val="284"/>
        </w:trPr>
        <w:tc>
          <w:tcPr>
            <w:tcW w:w="2830" w:type="dxa"/>
            <w:shd w:val="clear" w:color="auto" w:fill="FFC000"/>
            <w:vAlign w:val="center"/>
          </w:tcPr>
          <w:p w:rsidR="006447B6" w:rsidRPr="006447B6" w:rsidRDefault="006447B6" w:rsidP="006447B6">
            <w:pPr>
              <w:jc w:val="center"/>
              <w:rPr>
                <w:rFonts w:asciiTheme="minorHAnsi" w:hAnsiTheme="minorHAnsi" w:cstheme="minorHAnsi"/>
                <w:b/>
                <w:sz w:val="20"/>
                <w:szCs w:val="20"/>
              </w:rPr>
            </w:pPr>
            <w:r w:rsidRPr="006447B6">
              <w:rPr>
                <w:rFonts w:asciiTheme="minorHAnsi" w:hAnsiTheme="minorHAnsi" w:cstheme="minorHAnsi"/>
                <w:b/>
                <w:sz w:val="20"/>
                <w:szCs w:val="20"/>
              </w:rPr>
              <w:t>Rozpočet upravený v tis. Kč</w:t>
            </w:r>
          </w:p>
        </w:tc>
        <w:tc>
          <w:tcPr>
            <w:tcW w:w="2694" w:type="dxa"/>
            <w:shd w:val="clear" w:color="auto" w:fill="FFC000"/>
            <w:vAlign w:val="center"/>
          </w:tcPr>
          <w:p w:rsidR="006447B6" w:rsidRPr="006447B6" w:rsidRDefault="006447B6" w:rsidP="006447B6">
            <w:pPr>
              <w:jc w:val="center"/>
              <w:rPr>
                <w:rFonts w:asciiTheme="minorHAnsi" w:hAnsiTheme="minorHAnsi" w:cstheme="minorHAnsi"/>
                <w:b/>
                <w:sz w:val="20"/>
                <w:szCs w:val="20"/>
              </w:rPr>
            </w:pPr>
            <w:r w:rsidRPr="006447B6">
              <w:rPr>
                <w:rFonts w:asciiTheme="minorHAnsi" w:hAnsiTheme="minorHAnsi" w:cstheme="minorHAnsi"/>
                <w:b/>
                <w:sz w:val="20"/>
                <w:szCs w:val="20"/>
              </w:rPr>
              <w:t>Skutečnost v tis. Kč</w:t>
            </w:r>
          </w:p>
        </w:tc>
        <w:tc>
          <w:tcPr>
            <w:tcW w:w="1417" w:type="dxa"/>
            <w:shd w:val="clear" w:color="auto" w:fill="FFC000"/>
            <w:vAlign w:val="center"/>
          </w:tcPr>
          <w:p w:rsidR="006447B6" w:rsidRPr="006447B6" w:rsidRDefault="006447B6" w:rsidP="006447B6">
            <w:pPr>
              <w:jc w:val="center"/>
              <w:rPr>
                <w:rFonts w:asciiTheme="minorHAnsi" w:hAnsiTheme="minorHAnsi" w:cstheme="minorHAnsi"/>
                <w:b/>
                <w:sz w:val="20"/>
                <w:szCs w:val="20"/>
              </w:rPr>
            </w:pPr>
            <w:r w:rsidRPr="006447B6">
              <w:rPr>
                <w:rFonts w:asciiTheme="minorHAnsi" w:hAnsiTheme="minorHAnsi" w:cstheme="minorHAnsi"/>
                <w:b/>
                <w:sz w:val="20"/>
                <w:szCs w:val="20"/>
              </w:rPr>
              <w:t>SK/RU v %</w:t>
            </w:r>
          </w:p>
        </w:tc>
        <w:tc>
          <w:tcPr>
            <w:tcW w:w="2835" w:type="dxa"/>
            <w:shd w:val="clear" w:color="auto" w:fill="FFC000"/>
            <w:vAlign w:val="center"/>
          </w:tcPr>
          <w:p w:rsidR="006447B6" w:rsidRPr="006447B6" w:rsidRDefault="006447B6" w:rsidP="006447B6">
            <w:pPr>
              <w:jc w:val="center"/>
              <w:rPr>
                <w:rFonts w:asciiTheme="minorHAnsi" w:hAnsiTheme="minorHAnsi" w:cstheme="minorHAnsi"/>
                <w:b/>
                <w:sz w:val="20"/>
                <w:szCs w:val="20"/>
              </w:rPr>
            </w:pPr>
            <w:r w:rsidRPr="006447B6">
              <w:rPr>
                <w:rFonts w:asciiTheme="minorHAnsi" w:hAnsiTheme="minorHAnsi" w:cstheme="minorHAnsi"/>
                <w:b/>
                <w:sz w:val="20"/>
                <w:szCs w:val="20"/>
              </w:rPr>
              <w:t>Komentář</w:t>
            </w:r>
          </w:p>
        </w:tc>
      </w:tr>
      <w:tr w:rsidR="006447B6" w:rsidRPr="006447B6" w:rsidTr="006447B6">
        <w:trPr>
          <w:trHeight w:val="284"/>
        </w:trPr>
        <w:tc>
          <w:tcPr>
            <w:tcW w:w="2830" w:type="dxa"/>
            <w:vAlign w:val="center"/>
          </w:tcPr>
          <w:p w:rsidR="006447B6" w:rsidRPr="006447B6" w:rsidRDefault="006447B6" w:rsidP="006447B6">
            <w:pPr>
              <w:jc w:val="right"/>
              <w:rPr>
                <w:rFonts w:asciiTheme="minorHAnsi" w:hAnsiTheme="minorHAnsi" w:cstheme="minorHAnsi"/>
                <w:sz w:val="20"/>
                <w:szCs w:val="20"/>
              </w:rPr>
            </w:pPr>
            <w:r w:rsidRPr="006447B6">
              <w:rPr>
                <w:rFonts w:asciiTheme="minorHAnsi" w:hAnsiTheme="minorHAnsi" w:cstheme="minorHAnsi"/>
                <w:sz w:val="20"/>
                <w:szCs w:val="20"/>
              </w:rPr>
              <w:t>9</w:t>
            </w:r>
            <w:r>
              <w:rPr>
                <w:rFonts w:asciiTheme="minorHAnsi" w:hAnsiTheme="minorHAnsi" w:cstheme="minorHAnsi"/>
                <w:sz w:val="20"/>
                <w:szCs w:val="20"/>
              </w:rPr>
              <w:t xml:space="preserve"> </w:t>
            </w:r>
            <w:r w:rsidRPr="006447B6">
              <w:rPr>
                <w:rFonts w:asciiTheme="minorHAnsi" w:hAnsiTheme="minorHAnsi" w:cstheme="minorHAnsi"/>
                <w:sz w:val="20"/>
                <w:szCs w:val="20"/>
              </w:rPr>
              <w:t>580,00</w:t>
            </w:r>
          </w:p>
        </w:tc>
        <w:tc>
          <w:tcPr>
            <w:tcW w:w="2694" w:type="dxa"/>
            <w:vAlign w:val="center"/>
          </w:tcPr>
          <w:p w:rsidR="006447B6" w:rsidRPr="006447B6" w:rsidRDefault="006447B6" w:rsidP="006447B6">
            <w:pPr>
              <w:jc w:val="right"/>
              <w:rPr>
                <w:rFonts w:asciiTheme="minorHAnsi" w:hAnsiTheme="minorHAnsi" w:cstheme="minorHAnsi"/>
                <w:sz w:val="20"/>
                <w:szCs w:val="20"/>
              </w:rPr>
            </w:pPr>
            <w:r w:rsidRPr="006447B6">
              <w:rPr>
                <w:rFonts w:asciiTheme="minorHAnsi" w:hAnsiTheme="minorHAnsi" w:cstheme="minorHAnsi"/>
                <w:sz w:val="20"/>
                <w:szCs w:val="20"/>
              </w:rPr>
              <w:t>16</w:t>
            </w:r>
            <w:r>
              <w:rPr>
                <w:rFonts w:asciiTheme="minorHAnsi" w:hAnsiTheme="minorHAnsi" w:cstheme="minorHAnsi"/>
                <w:sz w:val="20"/>
                <w:szCs w:val="20"/>
              </w:rPr>
              <w:t xml:space="preserve"> </w:t>
            </w:r>
            <w:r w:rsidRPr="006447B6">
              <w:rPr>
                <w:rFonts w:asciiTheme="minorHAnsi" w:hAnsiTheme="minorHAnsi" w:cstheme="minorHAnsi"/>
                <w:sz w:val="20"/>
                <w:szCs w:val="20"/>
              </w:rPr>
              <w:t>77</w:t>
            </w:r>
            <w:r>
              <w:rPr>
                <w:rFonts w:asciiTheme="minorHAnsi" w:hAnsiTheme="minorHAnsi" w:cstheme="minorHAnsi"/>
                <w:sz w:val="20"/>
                <w:szCs w:val="20"/>
              </w:rPr>
              <w:t>2</w:t>
            </w:r>
            <w:r w:rsidRPr="006447B6">
              <w:rPr>
                <w:rFonts w:asciiTheme="minorHAnsi" w:hAnsiTheme="minorHAnsi" w:cstheme="minorHAnsi"/>
                <w:sz w:val="20"/>
                <w:szCs w:val="20"/>
              </w:rPr>
              <w:t>,9</w:t>
            </w:r>
            <w:r>
              <w:rPr>
                <w:rFonts w:asciiTheme="minorHAnsi" w:hAnsiTheme="minorHAnsi" w:cstheme="minorHAnsi"/>
                <w:sz w:val="20"/>
                <w:szCs w:val="20"/>
              </w:rPr>
              <w:t>3</w:t>
            </w:r>
          </w:p>
        </w:tc>
        <w:tc>
          <w:tcPr>
            <w:tcW w:w="1417" w:type="dxa"/>
            <w:vAlign w:val="center"/>
          </w:tcPr>
          <w:p w:rsidR="006447B6" w:rsidRPr="006447B6" w:rsidRDefault="006447B6" w:rsidP="00310EB2">
            <w:pPr>
              <w:jc w:val="center"/>
              <w:rPr>
                <w:rFonts w:asciiTheme="minorHAnsi" w:hAnsiTheme="minorHAnsi" w:cstheme="minorHAnsi"/>
                <w:sz w:val="20"/>
                <w:szCs w:val="20"/>
              </w:rPr>
            </w:pPr>
            <w:r>
              <w:rPr>
                <w:rFonts w:asciiTheme="minorHAnsi" w:hAnsiTheme="minorHAnsi" w:cstheme="minorHAnsi"/>
                <w:sz w:val="20"/>
                <w:szCs w:val="20"/>
              </w:rPr>
              <w:t>175,08</w:t>
            </w:r>
          </w:p>
        </w:tc>
        <w:tc>
          <w:tcPr>
            <w:tcW w:w="2835" w:type="dxa"/>
            <w:vAlign w:val="center"/>
          </w:tcPr>
          <w:p w:rsidR="006447B6" w:rsidRPr="006447B6" w:rsidRDefault="006447B6" w:rsidP="006447B6">
            <w:pPr>
              <w:rPr>
                <w:rFonts w:asciiTheme="minorHAnsi" w:hAnsiTheme="minorHAnsi" w:cstheme="minorHAnsi"/>
                <w:sz w:val="20"/>
                <w:szCs w:val="20"/>
              </w:rPr>
            </w:pPr>
            <w:r w:rsidRPr="006447B6">
              <w:rPr>
                <w:rFonts w:asciiTheme="minorHAnsi" w:hAnsiTheme="minorHAnsi" w:cstheme="minorHAnsi"/>
                <w:sz w:val="20"/>
                <w:szCs w:val="20"/>
              </w:rPr>
              <w:t>Příjmy před konsolidací</w:t>
            </w:r>
          </w:p>
        </w:tc>
      </w:tr>
      <w:tr w:rsidR="006447B6" w:rsidRPr="006447B6" w:rsidTr="006447B6">
        <w:trPr>
          <w:trHeight w:val="284"/>
        </w:trPr>
        <w:tc>
          <w:tcPr>
            <w:tcW w:w="2830" w:type="dxa"/>
            <w:vAlign w:val="center"/>
          </w:tcPr>
          <w:p w:rsidR="006447B6" w:rsidRPr="006447B6" w:rsidRDefault="006447B6" w:rsidP="006447B6">
            <w:pPr>
              <w:jc w:val="right"/>
              <w:rPr>
                <w:rFonts w:asciiTheme="minorHAnsi" w:hAnsiTheme="minorHAnsi" w:cstheme="minorHAnsi"/>
                <w:sz w:val="20"/>
                <w:szCs w:val="20"/>
              </w:rPr>
            </w:pPr>
            <w:r w:rsidRPr="006447B6">
              <w:rPr>
                <w:rFonts w:asciiTheme="minorHAnsi" w:hAnsiTheme="minorHAnsi" w:cstheme="minorHAnsi"/>
                <w:sz w:val="20"/>
                <w:szCs w:val="20"/>
              </w:rPr>
              <w:t>9</w:t>
            </w:r>
            <w:r>
              <w:rPr>
                <w:rFonts w:asciiTheme="minorHAnsi" w:hAnsiTheme="minorHAnsi" w:cstheme="minorHAnsi"/>
                <w:sz w:val="20"/>
                <w:szCs w:val="20"/>
              </w:rPr>
              <w:t xml:space="preserve"> </w:t>
            </w:r>
            <w:r w:rsidRPr="006447B6">
              <w:rPr>
                <w:rFonts w:asciiTheme="minorHAnsi" w:hAnsiTheme="minorHAnsi" w:cstheme="minorHAnsi"/>
                <w:sz w:val="20"/>
                <w:szCs w:val="20"/>
              </w:rPr>
              <w:t>580,00</w:t>
            </w:r>
          </w:p>
        </w:tc>
        <w:tc>
          <w:tcPr>
            <w:tcW w:w="2694" w:type="dxa"/>
            <w:vAlign w:val="center"/>
          </w:tcPr>
          <w:p w:rsidR="006447B6" w:rsidRPr="006447B6" w:rsidRDefault="006447B6" w:rsidP="006447B6">
            <w:pPr>
              <w:jc w:val="right"/>
              <w:rPr>
                <w:rFonts w:asciiTheme="minorHAnsi" w:hAnsiTheme="minorHAnsi" w:cstheme="minorHAnsi"/>
                <w:sz w:val="20"/>
                <w:szCs w:val="20"/>
              </w:rPr>
            </w:pPr>
            <w:r w:rsidRPr="006447B6">
              <w:rPr>
                <w:rFonts w:asciiTheme="minorHAnsi" w:hAnsiTheme="minorHAnsi" w:cstheme="minorHAnsi"/>
                <w:sz w:val="20"/>
                <w:szCs w:val="20"/>
              </w:rPr>
              <w:t>16</w:t>
            </w:r>
            <w:r>
              <w:rPr>
                <w:rFonts w:asciiTheme="minorHAnsi" w:hAnsiTheme="minorHAnsi" w:cstheme="minorHAnsi"/>
                <w:sz w:val="20"/>
                <w:szCs w:val="20"/>
              </w:rPr>
              <w:t xml:space="preserve"> </w:t>
            </w:r>
            <w:r w:rsidRPr="006447B6">
              <w:rPr>
                <w:rFonts w:asciiTheme="minorHAnsi" w:hAnsiTheme="minorHAnsi" w:cstheme="minorHAnsi"/>
                <w:sz w:val="20"/>
                <w:szCs w:val="20"/>
              </w:rPr>
              <w:t>77</w:t>
            </w:r>
            <w:r>
              <w:rPr>
                <w:rFonts w:asciiTheme="minorHAnsi" w:hAnsiTheme="minorHAnsi" w:cstheme="minorHAnsi"/>
                <w:sz w:val="20"/>
                <w:szCs w:val="20"/>
              </w:rPr>
              <w:t>2</w:t>
            </w:r>
            <w:r w:rsidRPr="006447B6">
              <w:rPr>
                <w:rFonts w:asciiTheme="minorHAnsi" w:hAnsiTheme="minorHAnsi" w:cstheme="minorHAnsi"/>
                <w:sz w:val="20"/>
                <w:szCs w:val="20"/>
              </w:rPr>
              <w:t>,9</w:t>
            </w:r>
            <w:r>
              <w:rPr>
                <w:rFonts w:asciiTheme="minorHAnsi" w:hAnsiTheme="minorHAnsi" w:cstheme="minorHAnsi"/>
                <w:sz w:val="20"/>
                <w:szCs w:val="20"/>
              </w:rPr>
              <w:t>3</w:t>
            </w:r>
          </w:p>
        </w:tc>
        <w:tc>
          <w:tcPr>
            <w:tcW w:w="1417" w:type="dxa"/>
            <w:vAlign w:val="center"/>
          </w:tcPr>
          <w:p w:rsidR="006447B6" w:rsidRPr="006447B6" w:rsidRDefault="006447B6" w:rsidP="00310EB2">
            <w:pPr>
              <w:jc w:val="center"/>
              <w:rPr>
                <w:rFonts w:asciiTheme="minorHAnsi" w:hAnsiTheme="minorHAnsi" w:cstheme="minorHAnsi"/>
                <w:sz w:val="20"/>
                <w:szCs w:val="20"/>
              </w:rPr>
            </w:pPr>
            <w:r>
              <w:rPr>
                <w:rFonts w:asciiTheme="minorHAnsi" w:hAnsiTheme="minorHAnsi" w:cstheme="minorHAnsi"/>
                <w:sz w:val="20"/>
                <w:szCs w:val="20"/>
              </w:rPr>
              <w:t>175,08</w:t>
            </w:r>
          </w:p>
        </w:tc>
        <w:tc>
          <w:tcPr>
            <w:tcW w:w="2835" w:type="dxa"/>
            <w:vAlign w:val="center"/>
          </w:tcPr>
          <w:p w:rsidR="006447B6" w:rsidRPr="006447B6" w:rsidRDefault="006447B6" w:rsidP="006447B6">
            <w:pPr>
              <w:rPr>
                <w:rFonts w:asciiTheme="minorHAnsi" w:hAnsiTheme="minorHAnsi" w:cstheme="minorHAnsi"/>
                <w:sz w:val="20"/>
                <w:szCs w:val="20"/>
              </w:rPr>
            </w:pPr>
            <w:r w:rsidRPr="006447B6">
              <w:rPr>
                <w:rFonts w:asciiTheme="minorHAnsi" w:hAnsiTheme="minorHAnsi" w:cstheme="minorHAnsi"/>
                <w:sz w:val="20"/>
                <w:szCs w:val="20"/>
              </w:rPr>
              <w:t>Příjmy po konsolidaci</w:t>
            </w:r>
          </w:p>
        </w:tc>
      </w:tr>
    </w:tbl>
    <w:p w:rsidR="006447B6" w:rsidRPr="006447B6" w:rsidRDefault="006447B6" w:rsidP="00F6124A">
      <w:pPr>
        <w:rPr>
          <w:rFonts w:asciiTheme="minorHAnsi" w:hAnsiTheme="minorHAnsi" w:cstheme="minorHAnsi"/>
          <w:b/>
          <w:sz w:val="20"/>
          <w:szCs w:val="20"/>
        </w:rPr>
      </w:pPr>
    </w:p>
    <w:p w:rsidR="006447B6" w:rsidRPr="006447B6" w:rsidRDefault="006447B6" w:rsidP="00F6124A">
      <w:pPr>
        <w:rPr>
          <w:rFonts w:asciiTheme="minorHAnsi" w:hAnsiTheme="minorHAnsi" w:cstheme="minorHAnsi"/>
          <w:b/>
          <w:sz w:val="20"/>
          <w:szCs w:val="20"/>
        </w:rPr>
      </w:pPr>
      <w:r w:rsidRPr="006447B6">
        <w:rPr>
          <w:rFonts w:asciiTheme="minorHAnsi" w:hAnsiTheme="minorHAnsi" w:cstheme="minorHAnsi"/>
          <w:b/>
          <w:sz w:val="20"/>
          <w:szCs w:val="20"/>
        </w:rPr>
        <w:t>Stručný komentář k celkovému vývoji plnění příjmů kapitoly ve sledovaném období</w:t>
      </w:r>
    </w:p>
    <w:tbl>
      <w:tblPr>
        <w:tblStyle w:val="Mkatabulky"/>
        <w:tblW w:w="9776" w:type="dxa"/>
        <w:tblLook w:val="04A0" w:firstRow="1" w:lastRow="0" w:firstColumn="1" w:lastColumn="0" w:noHBand="0" w:noVBand="1"/>
      </w:tblPr>
      <w:tblGrid>
        <w:gridCol w:w="9776"/>
      </w:tblGrid>
      <w:tr w:rsidR="006447B6" w:rsidRPr="006447B6" w:rsidTr="00F6124A">
        <w:trPr>
          <w:trHeight w:val="245"/>
        </w:trPr>
        <w:tc>
          <w:tcPr>
            <w:tcW w:w="9776" w:type="dxa"/>
          </w:tcPr>
          <w:p w:rsidR="006447B6" w:rsidRPr="006447B6" w:rsidRDefault="006447B6" w:rsidP="006447B6">
            <w:pPr>
              <w:jc w:val="both"/>
              <w:rPr>
                <w:rFonts w:asciiTheme="minorHAnsi" w:hAnsiTheme="minorHAnsi" w:cstheme="minorHAnsi"/>
                <w:sz w:val="20"/>
                <w:szCs w:val="20"/>
              </w:rPr>
            </w:pPr>
            <w:r w:rsidRPr="006447B6">
              <w:rPr>
                <w:rFonts w:asciiTheme="minorHAnsi" w:hAnsiTheme="minorHAnsi" w:cstheme="minorHAnsi"/>
                <w:sz w:val="20"/>
                <w:szCs w:val="20"/>
              </w:rPr>
              <w:t>Plnění příjmové stránky rozpočtu kapitoly za sledované období probíhalo v souladu se schváleným rozpočtem kapitoly 16.</w:t>
            </w:r>
          </w:p>
        </w:tc>
      </w:tr>
    </w:tbl>
    <w:p w:rsidR="006447B6" w:rsidRPr="006447B6" w:rsidRDefault="006447B6" w:rsidP="00F6124A">
      <w:pPr>
        <w:rPr>
          <w:rFonts w:asciiTheme="minorHAnsi" w:hAnsiTheme="minorHAnsi" w:cstheme="minorHAnsi"/>
          <w:b/>
          <w:sz w:val="20"/>
          <w:szCs w:val="20"/>
        </w:rPr>
      </w:pPr>
    </w:p>
    <w:p w:rsidR="006447B6" w:rsidRPr="006447B6" w:rsidRDefault="006447B6" w:rsidP="006447B6">
      <w:pPr>
        <w:jc w:val="both"/>
        <w:rPr>
          <w:rFonts w:asciiTheme="minorHAnsi" w:hAnsiTheme="minorHAnsi" w:cstheme="minorHAnsi"/>
          <w:b/>
          <w:sz w:val="20"/>
          <w:szCs w:val="20"/>
        </w:rPr>
      </w:pPr>
      <w:r w:rsidRPr="006447B6">
        <w:rPr>
          <w:rFonts w:asciiTheme="minorHAnsi" w:hAnsiTheme="minorHAnsi" w:cstheme="minorHAnsi"/>
          <w:b/>
          <w:sz w:val="20"/>
          <w:szCs w:val="20"/>
        </w:rPr>
        <w:t>Komentář k položkám (akcím), které vykázaly abnormalitu v řádném pln</w:t>
      </w:r>
      <w:r>
        <w:rPr>
          <w:rFonts w:asciiTheme="minorHAnsi" w:hAnsiTheme="minorHAnsi" w:cstheme="minorHAnsi"/>
          <w:b/>
          <w:sz w:val="20"/>
          <w:szCs w:val="20"/>
        </w:rPr>
        <w:t>ění příjmů rozpočtu kapitoly ve </w:t>
      </w:r>
      <w:r w:rsidRPr="006447B6">
        <w:rPr>
          <w:rFonts w:asciiTheme="minorHAnsi" w:hAnsiTheme="minorHAnsi" w:cstheme="minorHAnsi"/>
          <w:b/>
          <w:sz w:val="20"/>
          <w:szCs w:val="20"/>
        </w:rPr>
        <w:t xml:space="preserve">sledovaném období </w:t>
      </w:r>
      <w:r w:rsidRPr="006447B6">
        <w:rPr>
          <w:rFonts w:asciiTheme="minorHAnsi" w:hAnsiTheme="minorHAnsi" w:cstheme="minorHAnsi"/>
          <w:sz w:val="20"/>
          <w:szCs w:val="20"/>
        </w:rPr>
        <w:t>(položky nižší než 40 % a vyšší než 60 % ve srovnání s upraveným rozpočtem)</w:t>
      </w:r>
    </w:p>
    <w:p w:rsidR="006447B6" w:rsidRPr="006447B6" w:rsidRDefault="006447B6" w:rsidP="00F6124A">
      <w:pPr>
        <w:rPr>
          <w:rFonts w:asciiTheme="minorHAnsi" w:hAnsiTheme="minorHAnsi" w:cstheme="minorHAnsi"/>
          <w:b/>
          <w:sz w:val="20"/>
          <w:szCs w:val="20"/>
        </w:rPr>
      </w:pPr>
    </w:p>
    <w:tbl>
      <w:tblPr>
        <w:tblStyle w:val="Mkatabulky"/>
        <w:tblW w:w="9778" w:type="dxa"/>
        <w:tblLayout w:type="fixed"/>
        <w:tblLook w:val="04A0" w:firstRow="1" w:lastRow="0" w:firstColumn="1" w:lastColumn="0" w:noHBand="0" w:noVBand="1"/>
      </w:tblPr>
      <w:tblGrid>
        <w:gridCol w:w="959"/>
        <w:gridCol w:w="850"/>
        <w:gridCol w:w="1418"/>
        <w:gridCol w:w="850"/>
        <w:gridCol w:w="1134"/>
        <w:gridCol w:w="1134"/>
        <w:gridCol w:w="3433"/>
      </w:tblGrid>
      <w:tr w:rsidR="006447B6" w:rsidRPr="006447B6" w:rsidTr="006447B6">
        <w:trPr>
          <w:trHeight w:val="284"/>
        </w:trPr>
        <w:tc>
          <w:tcPr>
            <w:tcW w:w="959" w:type="dxa"/>
            <w:shd w:val="clear" w:color="auto" w:fill="FFFF00"/>
            <w:vAlign w:val="center"/>
          </w:tcPr>
          <w:p w:rsidR="006447B6" w:rsidRPr="006447B6" w:rsidRDefault="006447B6" w:rsidP="006447B6">
            <w:pPr>
              <w:jc w:val="center"/>
              <w:rPr>
                <w:rFonts w:asciiTheme="minorHAnsi" w:hAnsiTheme="minorHAnsi" w:cstheme="minorHAnsi"/>
                <w:b/>
                <w:sz w:val="18"/>
                <w:szCs w:val="18"/>
              </w:rPr>
            </w:pPr>
            <w:r w:rsidRPr="006447B6">
              <w:rPr>
                <w:rFonts w:asciiTheme="minorHAnsi" w:hAnsiTheme="minorHAnsi" w:cstheme="minorHAnsi"/>
                <w:b/>
                <w:sz w:val="18"/>
                <w:szCs w:val="18"/>
              </w:rPr>
              <w:t>Oddíl, paragraf</w:t>
            </w:r>
          </w:p>
        </w:tc>
        <w:tc>
          <w:tcPr>
            <w:tcW w:w="850" w:type="dxa"/>
            <w:shd w:val="clear" w:color="auto" w:fill="FFFF00"/>
            <w:vAlign w:val="center"/>
          </w:tcPr>
          <w:p w:rsidR="006447B6" w:rsidRPr="006447B6" w:rsidRDefault="006447B6" w:rsidP="006447B6">
            <w:pPr>
              <w:jc w:val="center"/>
              <w:rPr>
                <w:rFonts w:asciiTheme="minorHAnsi" w:hAnsiTheme="minorHAnsi" w:cstheme="minorHAnsi"/>
                <w:b/>
                <w:sz w:val="18"/>
                <w:szCs w:val="18"/>
              </w:rPr>
            </w:pPr>
            <w:r w:rsidRPr="006447B6">
              <w:rPr>
                <w:rFonts w:asciiTheme="minorHAnsi" w:hAnsiTheme="minorHAnsi" w:cstheme="minorHAnsi"/>
                <w:b/>
                <w:sz w:val="18"/>
                <w:szCs w:val="18"/>
              </w:rPr>
              <w:t>Položka</w:t>
            </w:r>
          </w:p>
        </w:tc>
        <w:tc>
          <w:tcPr>
            <w:tcW w:w="1418" w:type="dxa"/>
            <w:shd w:val="clear" w:color="auto" w:fill="FFFF00"/>
            <w:vAlign w:val="center"/>
          </w:tcPr>
          <w:p w:rsidR="006447B6" w:rsidRPr="006447B6" w:rsidRDefault="006447B6" w:rsidP="006447B6">
            <w:pPr>
              <w:jc w:val="center"/>
              <w:rPr>
                <w:rFonts w:asciiTheme="minorHAnsi" w:hAnsiTheme="minorHAnsi" w:cstheme="minorHAnsi"/>
                <w:b/>
                <w:sz w:val="18"/>
                <w:szCs w:val="18"/>
              </w:rPr>
            </w:pPr>
            <w:r w:rsidRPr="006447B6">
              <w:rPr>
                <w:rFonts w:asciiTheme="minorHAnsi" w:hAnsiTheme="minorHAnsi" w:cstheme="minorHAnsi"/>
                <w:b/>
                <w:sz w:val="18"/>
                <w:szCs w:val="18"/>
              </w:rPr>
              <w:t>Organizace</w:t>
            </w:r>
          </w:p>
        </w:tc>
        <w:tc>
          <w:tcPr>
            <w:tcW w:w="850" w:type="dxa"/>
            <w:shd w:val="clear" w:color="auto" w:fill="FFFF00"/>
            <w:vAlign w:val="center"/>
          </w:tcPr>
          <w:p w:rsidR="006447B6" w:rsidRPr="006447B6" w:rsidRDefault="006447B6" w:rsidP="006447B6">
            <w:pPr>
              <w:jc w:val="center"/>
              <w:rPr>
                <w:rFonts w:asciiTheme="minorHAnsi" w:hAnsiTheme="minorHAnsi" w:cstheme="minorHAnsi"/>
                <w:b/>
                <w:sz w:val="18"/>
                <w:szCs w:val="18"/>
              </w:rPr>
            </w:pPr>
            <w:r w:rsidRPr="006447B6">
              <w:rPr>
                <w:rFonts w:asciiTheme="minorHAnsi" w:hAnsiTheme="minorHAnsi" w:cstheme="minorHAnsi"/>
                <w:b/>
                <w:sz w:val="18"/>
                <w:szCs w:val="18"/>
              </w:rPr>
              <w:t>Účelový zdroj</w:t>
            </w:r>
          </w:p>
        </w:tc>
        <w:tc>
          <w:tcPr>
            <w:tcW w:w="1134" w:type="dxa"/>
            <w:shd w:val="clear" w:color="auto" w:fill="FFFF00"/>
            <w:vAlign w:val="center"/>
          </w:tcPr>
          <w:p w:rsidR="006447B6" w:rsidRPr="006447B6" w:rsidRDefault="006447B6" w:rsidP="006447B6">
            <w:pPr>
              <w:jc w:val="center"/>
              <w:rPr>
                <w:rFonts w:asciiTheme="minorHAnsi" w:hAnsiTheme="minorHAnsi" w:cstheme="minorHAnsi"/>
                <w:b/>
                <w:sz w:val="18"/>
                <w:szCs w:val="18"/>
              </w:rPr>
            </w:pPr>
            <w:r w:rsidRPr="006447B6">
              <w:rPr>
                <w:rFonts w:asciiTheme="minorHAnsi" w:hAnsiTheme="minorHAnsi" w:cstheme="minorHAnsi"/>
                <w:b/>
                <w:sz w:val="18"/>
                <w:szCs w:val="18"/>
              </w:rPr>
              <w:t>Upravený rozpočet v tis. Kč</w:t>
            </w:r>
          </w:p>
        </w:tc>
        <w:tc>
          <w:tcPr>
            <w:tcW w:w="1134" w:type="dxa"/>
            <w:shd w:val="clear" w:color="auto" w:fill="FFFF00"/>
            <w:vAlign w:val="center"/>
          </w:tcPr>
          <w:p w:rsidR="006447B6" w:rsidRPr="006447B6" w:rsidRDefault="006447B6" w:rsidP="006447B6">
            <w:pPr>
              <w:jc w:val="center"/>
              <w:rPr>
                <w:rFonts w:asciiTheme="minorHAnsi" w:hAnsiTheme="minorHAnsi" w:cstheme="minorHAnsi"/>
                <w:b/>
                <w:sz w:val="18"/>
                <w:szCs w:val="18"/>
              </w:rPr>
            </w:pPr>
            <w:r w:rsidRPr="006447B6">
              <w:rPr>
                <w:rFonts w:asciiTheme="minorHAnsi" w:hAnsiTheme="minorHAnsi" w:cstheme="minorHAnsi"/>
                <w:b/>
                <w:sz w:val="18"/>
                <w:szCs w:val="18"/>
              </w:rPr>
              <w:t>Skutečnost v tis. Kč</w:t>
            </w:r>
          </w:p>
        </w:tc>
        <w:tc>
          <w:tcPr>
            <w:tcW w:w="3433" w:type="dxa"/>
            <w:shd w:val="clear" w:color="auto" w:fill="FFFF00"/>
            <w:vAlign w:val="center"/>
          </w:tcPr>
          <w:p w:rsidR="006447B6" w:rsidRPr="006447B6" w:rsidRDefault="006447B6" w:rsidP="006447B6">
            <w:pPr>
              <w:jc w:val="center"/>
              <w:rPr>
                <w:rFonts w:asciiTheme="minorHAnsi" w:hAnsiTheme="minorHAnsi" w:cstheme="minorHAnsi"/>
                <w:b/>
                <w:sz w:val="18"/>
                <w:szCs w:val="18"/>
              </w:rPr>
            </w:pPr>
            <w:r w:rsidRPr="006447B6">
              <w:rPr>
                <w:rFonts w:asciiTheme="minorHAnsi" w:hAnsiTheme="minorHAnsi" w:cstheme="minorHAnsi"/>
                <w:b/>
                <w:sz w:val="18"/>
                <w:szCs w:val="18"/>
              </w:rPr>
              <w:t>Komentář</w:t>
            </w:r>
          </w:p>
        </w:tc>
      </w:tr>
      <w:tr w:rsidR="006447B6" w:rsidRPr="006447B6" w:rsidTr="00F6124A">
        <w:trPr>
          <w:trHeight w:val="284"/>
        </w:trPr>
        <w:tc>
          <w:tcPr>
            <w:tcW w:w="959" w:type="dxa"/>
            <w:vAlign w:val="center"/>
          </w:tcPr>
          <w:p w:rsidR="006447B6" w:rsidRPr="006447B6" w:rsidRDefault="006447B6" w:rsidP="006447B6">
            <w:pPr>
              <w:jc w:val="center"/>
              <w:rPr>
                <w:rFonts w:asciiTheme="minorHAnsi" w:hAnsiTheme="minorHAnsi" w:cstheme="minorHAnsi"/>
                <w:sz w:val="18"/>
                <w:szCs w:val="18"/>
              </w:rPr>
            </w:pPr>
          </w:p>
          <w:p w:rsidR="006447B6" w:rsidRPr="006447B6" w:rsidRDefault="006447B6" w:rsidP="006447B6">
            <w:pPr>
              <w:jc w:val="center"/>
              <w:rPr>
                <w:rFonts w:asciiTheme="minorHAnsi" w:hAnsiTheme="minorHAnsi" w:cstheme="minorHAnsi"/>
                <w:sz w:val="18"/>
                <w:szCs w:val="18"/>
              </w:rPr>
            </w:pPr>
            <w:r w:rsidRPr="006447B6">
              <w:rPr>
                <w:rFonts w:asciiTheme="minorHAnsi" w:hAnsiTheme="minorHAnsi" w:cstheme="minorHAnsi"/>
                <w:sz w:val="18"/>
                <w:szCs w:val="18"/>
              </w:rPr>
              <w:t>000000</w:t>
            </w:r>
          </w:p>
          <w:p w:rsidR="006447B6" w:rsidRPr="006447B6" w:rsidRDefault="006447B6" w:rsidP="006447B6">
            <w:pPr>
              <w:jc w:val="center"/>
              <w:rPr>
                <w:rFonts w:asciiTheme="minorHAnsi" w:hAnsiTheme="minorHAnsi" w:cstheme="minorHAnsi"/>
                <w:sz w:val="18"/>
                <w:szCs w:val="18"/>
              </w:rPr>
            </w:pPr>
          </w:p>
        </w:tc>
        <w:tc>
          <w:tcPr>
            <w:tcW w:w="850" w:type="dxa"/>
            <w:vAlign w:val="center"/>
          </w:tcPr>
          <w:p w:rsidR="006447B6" w:rsidRPr="006447B6" w:rsidRDefault="006447B6" w:rsidP="006447B6">
            <w:pPr>
              <w:jc w:val="center"/>
              <w:rPr>
                <w:rFonts w:asciiTheme="minorHAnsi" w:hAnsiTheme="minorHAnsi" w:cstheme="minorHAnsi"/>
                <w:sz w:val="18"/>
                <w:szCs w:val="18"/>
              </w:rPr>
            </w:pPr>
            <w:r w:rsidRPr="006447B6">
              <w:rPr>
                <w:rFonts w:asciiTheme="minorHAnsi" w:hAnsiTheme="minorHAnsi" w:cstheme="minorHAnsi"/>
                <w:sz w:val="18"/>
                <w:szCs w:val="18"/>
              </w:rPr>
              <w:t>1361</w:t>
            </w:r>
          </w:p>
        </w:tc>
        <w:tc>
          <w:tcPr>
            <w:tcW w:w="1418" w:type="dxa"/>
            <w:vAlign w:val="center"/>
          </w:tcPr>
          <w:p w:rsidR="006447B6" w:rsidRPr="006447B6" w:rsidRDefault="006447B6" w:rsidP="006447B6">
            <w:pPr>
              <w:jc w:val="center"/>
              <w:rPr>
                <w:rFonts w:asciiTheme="minorHAnsi" w:hAnsiTheme="minorHAnsi" w:cstheme="minorHAnsi"/>
                <w:sz w:val="18"/>
                <w:szCs w:val="18"/>
              </w:rPr>
            </w:pPr>
            <w:r w:rsidRPr="006447B6">
              <w:rPr>
                <w:rFonts w:asciiTheme="minorHAnsi" w:hAnsiTheme="minorHAnsi" w:cstheme="minorHAnsi"/>
                <w:sz w:val="18"/>
                <w:szCs w:val="18"/>
              </w:rPr>
              <w:t>0160000000000</w:t>
            </w:r>
          </w:p>
        </w:tc>
        <w:tc>
          <w:tcPr>
            <w:tcW w:w="850" w:type="dxa"/>
            <w:vAlign w:val="center"/>
          </w:tcPr>
          <w:p w:rsidR="006447B6" w:rsidRPr="006447B6" w:rsidRDefault="006447B6" w:rsidP="006447B6">
            <w:pPr>
              <w:jc w:val="center"/>
              <w:rPr>
                <w:rFonts w:asciiTheme="minorHAnsi" w:hAnsiTheme="minorHAnsi" w:cstheme="minorHAnsi"/>
                <w:sz w:val="18"/>
                <w:szCs w:val="18"/>
              </w:rPr>
            </w:pPr>
          </w:p>
        </w:tc>
        <w:tc>
          <w:tcPr>
            <w:tcW w:w="1134" w:type="dxa"/>
            <w:vAlign w:val="center"/>
          </w:tcPr>
          <w:p w:rsidR="006447B6" w:rsidRPr="006447B6" w:rsidRDefault="006447B6" w:rsidP="006447B6">
            <w:pPr>
              <w:jc w:val="right"/>
              <w:rPr>
                <w:rFonts w:asciiTheme="minorHAnsi" w:hAnsiTheme="minorHAnsi" w:cstheme="minorHAnsi"/>
                <w:sz w:val="18"/>
                <w:szCs w:val="18"/>
              </w:rPr>
            </w:pPr>
            <w:r w:rsidRPr="006447B6">
              <w:rPr>
                <w:rFonts w:asciiTheme="minorHAnsi" w:hAnsiTheme="minorHAnsi" w:cstheme="minorHAnsi"/>
                <w:sz w:val="18"/>
                <w:szCs w:val="18"/>
              </w:rPr>
              <w:t>3</w:t>
            </w:r>
            <w:r>
              <w:rPr>
                <w:rFonts w:asciiTheme="minorHAnsi" w:hAnsiTheme="minorHAnsi" w:cstheme="minorHAnsi"/>
                <w:sz w:val="18"/>
                <w:szCs w:val="18"/>
              </w:rPr>
              <w:t xml:space="preserve"> </w:t>
            </w:r>
            <w:r w:rsidRPr="006447B6">
              <w:rPr>
                <w:rFonts w:asciiTheme="minorHAnsi" w:hAnsiTheme="minorHAnsi" w:cstheme="minorHAnsi"/>
                <w:sz w:val="18"/>
                <w:szCs w:val="18"/>
              </w:rPr>
              <w:t>500,00</w:t>
            </w:r>
          </w:p>
        </w:tc>
        <w:tc>
          <w:tcPr>
            <w:tcW w:w="1134" w:type="dxa"/>
            <w:vAlign w:val="center"/>
          </w:tcPr>
          <w:p w:rsidR="006447B6" w:rsidRPr="006447B6" w:rsidRDefault="006447B6" w:rsidP="006447B6">
            <w:pPr>
              <w:jc w:val="right"/>
              <w:rPr>
                <w:rFonts w:asciiTheme="minorHAnsi" w:hAnsiTheme="minorHAnsi" w:cstheme="minorHAnsi"/>
                <w:sz w:val="18"/>
                <w:szCs w:val="18"/>
              </w:rPr>
            </w:pPr>
            <w:r w:rsidRPr="006447B6">
              <w:rPr>
                <w:rFonts w:asciiTheme="minorHAnsi" w:hAnsiTheme="minorHAnsi" w:cstheme="minorHAnsi"/>
                <w:sz w:val="18"/>
                <w:szCs w:val="18"/>
              </w:rPr>
              <w:t>5</w:t>
            </w:r>
            <w:r>
              <w:rPr>
                <w:rFonts w:asciiTheme="minorHAnsi" w:hAnsiTheme="minorHAnsi" w:cstheme="minorHAnsi"/>
                <w:sz w:val="18"/>
                <w:szCs w:val="18"/>
              </w:rPr>
              <w:t xml:space="preserve"> </w:t>
            </w:r>
            <w:r w:rsidRPr="006447B6">
              <w:rPr>
                <w:rFonts w:asciiTheme="minorHAnsi" w:hAnsiTheme="minorHAnsi" w:cstheme="minorHAnsi"/>
                <w:sz w:val="18"/>
                <w:szCs w:val="18"/>
              </w:rPr>
              <w:t>005,09</w:t>
            </w:r>
          </w:p>
        </w:tc>
        <w:tc>
          <w:tcPr>
            <w:tcW w:w="3433" w:type="dxa"/>
            <w:vAlign w:val="center"/>
          </w:tcPr>
          <w:p w:rsidR="006447B6" w:rsidRPr="006447B6" w:rsidRDefault="006447B6" w:rsidP="006447B6">
            <w:pPr>
              <w:jc w:val="both"/>
              <w:rPr>
                <w:rFonts w:asciiTheme="minorHAnsi" w:hAnsiTheme="minorHAnsi" w:cstheme="minorHAnsi"/>
                <w:b/>
                <w:sz w:val="18"/>
                <w:szCs w:val="18"/>
                <w:u w:val="single"/>
              </w:rPr>
            </w:pPr>
            <w:r w:rsidRPr="006447B6">
              <w:rPr>
                <w:rFonts w:asciiTheme="minorHAnsi" w:hAnsiTheme="minorHAnsi" w:cstheme="minorHAnsi"/>
                <w:b/>
                <w:sz w:val="18"/>
                <w:szCs w:val="18"/>
                <w:u w:val="single"/>
              </w:rPr>
              <w:t xml:space="preserve">Příjem ze správních poplatků </w:t>
            </w:r>
            <w:r w:rsidRPr="006447B6">
              <w:rPr>
                <w:rFonts w:asciiTheme="minorHAnsi" w:hAnsiTheme="minorHAnsi" w:cstheme="minorHAnsi"/>
                <w:sz w:val="18"/>
                <w:szCs w:val="18"/>
              </w:rPr>
              <w:t>– nárůst příjmů způ</w:t>
            </w:r>
            <w:r>
              <w:rPr>
                <w:rFonts w:asciiTheme="minorHAnsi" w:hAnsiTheme="minorHAnsi" w:cstheme="minorHAnsi"/>
                <w:sz w:val="18"/>
                <w:szCs w:val="18"/>
              </w:rPr>
              <w:t>soben nárůstem počtu žadatelů o </w:t>
            </w:r>
            <w:r w:rsidRPr="006447B6">
              <w:rPr>
                <w:rFonts w:asciiTheme="minorHAnsi" w:hAnsiTheme="minorHAnsi" w:cstheme="minorHAnsi"/>
                <w:sz w:val="18"/>
                <w:szCs w:val="18"/>
              </w:rPr>
              <w:t>dok</w:t>
            </w:r>
            <w:r>
              <w:rPr>
                <w:rFonts w:asciiTheme="minorHAnsi" w:hAnsiTheme="minorHAnsi" w:cstheme="minorHAnsi"/>
                <w:sz w:val="18"/>
                <w:szCs w:val="18"/>
              </w:rPr>
              <w:t>lady z důvodu zvýšeného zájmu o </w:t>
            </w:r>
            <w:r w:rsidRPr="006447B6">
              <w:rPr>
                <w:rFonts w:asciiTheme="minorHAnsi" w:hAnsiTheme="minorHAnsi" w:cstheme="minorHAnsi"/>
                <w:sz w:val="18"/>
                <w:szCs w:val="18"/>
              </w:rPr>
              <w:t>cestování a války na Ukrajině</w:t>
            </w:r>
          </w:p>
        </w:tc>
      </w:tr>
      <w:tr w:rsidR="006447B6" w:rsidRPr="006447B6" w:rsidTr="00F6124A">
        <w:trPr>
          <w:trHeight w:val="284"/>
        </w:trPr>
        <w:tc>
          <w:tcPr>
            <w:tcW w:w="959" w:type="dxa"/>
            <w:vAlign w:val="center"/>
          </w:tcPr>
          <w:p w:rsidR="006447B6" w:rsidRPr="006447B6" w:rsidRDefault="006447B6" w:rsidP="006447B6">
            <w:pPr>
              <w:jc w:val="center"/>
              <w:rPr>
                <w:rFonts w:asciiTheme="minorHAnsi" w:hAnsiTheme="minorHAnsi" w:cstheme="minorHAnsi"/>
                <w:sz w:val="18"/>
                <w:szCs w:val="18"/>
              </w:rPr>
            </w:pPr>
            <w:r w:rsidRPr="006447B6">
              <w:rPr>
                <w:rFonts w:asciiTheme="minorHAnsi" w:hAnsiTheme="minorHAnsi" w:cstheme="minorHAnsi"/>
                <w:sz w:val="18"/>
                <w:szCs w:val="18"/>
              </w:rPr>
              <w:t>002229</w:t>
            </w:r>
          </w:p>
        </w:tc>
        <w:tc>
          <w:tcPr>
            <w:tcW w:w="850" w:type="dxa"/>
            <w:vAlign w:val="center"/>
          </w:tcPr>
          <w:p w:rsidR="006447B6" w:rsidRPr="006447B6" w:rsidRDefault="006447B6" w:rsidP="006447B6">
            <w:pPr>
              <w:jc w:val="center"/>
              <w:rPr>
                <w:rFonts w:asciiTheme="minorHAnsi" w:hAnsiTheme="minorHAnsi" w:cstheme="minorHAnsi"/>
                <w:sz w:val="18"/>
                <w:szCs w:val="18"/>
              </w:rPr>
            </w:pPr>
            <w:r w:rsidRPr="006447B6">
              <w:rPr>
                <w:rFonts w:asciiTheme="minorHAnsi" w:hAnsiTheme="minorHAnsi" w:cstheme="minorHAnsi"/>
                <w:sz w:val="18"/>
                <w:szCs w:val="18"/>
              </w:rPr>
              <w:t>2212</w:t>
            </w:r>
          </w:p>
        </w:tc>
        <w:tc>
          <w:tcPr>
            <w:tcW w:w="1418" w:type="dxa"/>
            <w:vAlign w:val="center"/>
          </w:tcPr>
          <w:p w:rsidR="006447B6" w:rsidRPr="006447B6" w:rsidRDefault="006447B6" w:rsidP="006447B6">
            <w:pPr>
              <w:jc w:val="center"/>
              <w:rPr>
                <w:rFonts w:asciiTheme="minorHAnsi" w:hAnsiTheme="minorHAnsi" w:cstheme="minorHAnsi"/>
                <w:sz w:val="18"/>
                <w:szCs w:val="18"/>
              </w:rPr>
            </w:pPr>
            <w:r w:rsidRPr="006447B6">
              <w:rPr>
                <w:rFonts w:asciiTheme="minorHAnsi" w:hAnsiTheme="minorHAnsi" w:cstheme="minorHAnsi"/>
                <w:sz w:val="18"/>
                <w:szCs w:val="18"/>
              </w:rPr>
              <w:t>0160000000000</w:t>
            </w:r>
          </w:p>
        </w:tc>
        <w:tc>
          <w:tcPr>
            <w:tcW w:w="850" w:type="dxa"/>
            <w:vAlign w:val="center"/>
          </w:tcPr>
          <w:p w:rsidR="006447B6" w:rsidRPr="006447B6" w:rsidRDefault="006447B6" w:rsidP="006447B6">
            <w:pPr>
              <w:jc w:val="center"/>
              <w:rPr>
                <w:rFonts w:asciiTheme="minorHAnsi" w:hAnsiTheme="minorHAnsi" w:cstheme="minorHAnsi"/>
                <w:sz w:val="18"/>
                <w:szCs w:val="18"/>
              </w:rPr>
            </w:pPr>
          </w:p>
        </w:tc>
        <w:tc>
          <w:tcPr>
            <w:tcW w:w="1134" w:type="dxa"/>
            <w:vAlign w:val="center"/>
          </w:tcPr>
          <w:p w:rsidR="006447B6" w:rsidRPr="006447B6" w:rsidRDefault="006447B6" w:rsidP="006447B6">
            <w:pPr>
              <w:jc w:val="right"/>
              <w:rPr>
                <w:rFonts w:asciiTheme="minorHAnsi" w:hAnsiTheme="minorHAnsi" w:cstheme="minorHAnsi"/>
                <w:sz w:val="18"/>
                <w:szCs w:val="18"/>
              </w:rPr>
            </w:pPr>
            <w:r w:rsidRPr="006447B6">
              <w:rPr>
                <w:rFonts w:asciiTheme="minorHAnsi" w:hAnsiTheme="minorHAnsi" w:cstheme="minorHAnsi"/>
                <w:sz w:val="18"/>
                <w:szCs w:val="18"/>
              </w:rPr>
              <w:t>4</w:t>
            </w:r>
            <w:r>
              <w:rPr>
                <w:rFonts w:asciiTheme="minorHAnsi" w:hAnsiTheme="minorHAnsi" w:cstheme="minorHAnsi"/>
                <w:sz w:val="18"/>
                <w:szCs w:val="18"/>
              </w:rPr>
              <w:t xml:space="preserve"> </w:t>
            </w:r>
            <w:r w:rsidRPr="006447B6">
              <w:rPr>
                <w:rFonts w:asciiTheme="minorHAnsi" w:hAnsiTheme="minorHAnsi" w:cstheme="minorHAnsi"/>
                <w:sz w:val="18"/>
                <w:szCs w:val="18"/>
              </w:rPr>
              <w:t>500,00</w:t>
            </w:r>
          </w:p>
        </w:tc>
        <w:tc>
          <w:tcPr>
            <w:tcW w:w="1134" w:type="dxa"/>
            <w:vAlign w:val="center"/>
          </w:tcPr>
          <w:p w:rsidR="006447B6" w:rsidRPr="006447B6" w:rsidRDefault="006447B6" w:rsidP="006447B6">
            <w:pPr>
              <w:jc w:val="right"/>
              <w:rPr>
                <w:rFonts w:asciiTheme="minorHAnsi" w:hAnsiTheme="minorHAnsi" w:cstheme="minorHAnsi"/>
                <w:sz w:val="18"/>
                <w:szCs w:val="18"/>
              </w:rPr>
            </w:pPr>
            <w:r w:rsidRPr="006447B6">
              <w:rPr>
                <w:rFonts w:asciiTheme="minorHAnsi" w:hAnsiTheme="minorHAnsi" w:cstheme="minorHAnsi"/>
                <w:sz w:val="18"/>
                <w:szCs w:val="18"/>
              </w:rPr>
              <w:t>9</w:t>
            </w:r>
            <w:r>
              <w:rPr>
                <w:rFonts w:asciiTheme="minorHAnsi" w:hAnsiTheme="minorHAnsi" w:cstheme="minorHAnsi"/>
                <w:sz w:val="18"/>
                <w:szCs w:val="18"/>
              </w:rPr>
              <w:t xml:space="preserve"> </w:t>
            </w:r>
            <w:r w:rsidRPr="006447B6">
              <w:rPr>
                <w:rFonts w:asciiTheme="minorHAnsi" w:hAnsiTheme="minorHAnsi" w:cstheme="minorHAnsi"/>
                <w:sz w:val="18"/>
                <w:szCs w:val="18"/>
              </w:rPr>
              <w:t>884,01</w:t>
            </w:r>
          </w:p>
        </w:tc>
        <w:tc>
          <w:tcPr>
            <w:tcW w:w="3433" w:type="dxa"/>
            <w:vAlign w:val="center"/>
          </w:tcPr>
          <w:p w:rsidR="006447B6" w:rsidRPr="006447B6" w:rsidRDefault="006447B6" w:rsidP="006447B6">
            <w:pPr>
              <w:jc w:val="both"/>
              <w:rPr>
                <w:rFonts w:asciiTheme="minorHAnsi" w:hAnsiTheme="minorHAnsi" w:cstheme="minorHAnsi"/>
                <w:b/>
                <w:sz w:val="18"/>
                <w:szCs w:val="18"/>
              </w:rPr>
            </w:pPr>
            <w:r w:rsidRPr="006447B6">
              <w:rPr>
                <w:rFonts w:asciiTheme="minorHAnsi" w:hAnsiTheme="minorHAnsi" w:cstheme="minorHAnsi"/>
                <w:b/>
                <w:sz w:val="18"/>
                <w:szCs w:val="18"/>
                <w:u w:val="single"/>
              </w:rPr>
              <w:t>Příjem sankčních plateb přijaté od jiných osob -</w:t>
            </w:r>
            <w:r>
              <w:rPr>
                <w:rFonts w:asciiTheme="minorHAnsi" w:hAnsiTheme="minorHAnsi" w:cstheme="minorHAnsi"/>
                <w:b/>
                <w:sz w:val="18"/>
                <w:szCs w:val="18"/>
                <w:u w:val="single"/>
              </w:rPr>
              <w:t xml:space="preserve"> </w:t>
            </w:r>
            <w:r w:rsidRPr="006447B6">
              <w:rPr>
                <w:rFonts w:asciiTheme="minorHAnsi" w:hAnsiTheme="minorHAnsi" w:cstheme="minorHAnsi"/>
                <w:b/>
                <w:sz w:val="18"/>
                <w:szCs w:val="18"/>
                <w:u w:val="single"/>
              </w:rPr>
              <w:t>Ostatní záležitosti v silniční dopravě</w:t>
            </w:r>
            <w:r w:rsidRPr="006447B6">
              <w:rPr>
                <w:rFonts w:asciiTheme="minorHAnsi" w:hAnsiTheme="minorHAnsi" w:cstheme="minorHAnsi"/>
                <w:sz w:val="18"/>
                <w:szCs w:val="18"/>
              </w:rPr>
              <w:t xml:space="preserve"> – vyšší plnění příjmové části rozpočtu bylo způsobeno spuštěním automatizovaného měření rychlosti (nárůst počtu přestupků) </w:t>
            </w:r>
            <w:r>
              <w:rPr>
                <w:rFonts w:asciiTheme="minorHAnsi" w:hAnsiTheme="minorHAnsi" w:cstheme="minorHAnsi"/>
                <w:sz w:val="18"/>
                <w:szCs w:val="18"/>
              </w:rPr>
              <w:t>a </w:t>
            </w:r>
            <w:r w:rsidRPr="006447B6">
              <w:rPr>
                <w:rFonts w:asciiTheme="minorHAnsi" w:hAnsiTheme="minorHAnsi" w:cstheme="minorHAnsi"/>
                <w:sz w:val="18"/>
                <w:szCs w:val="18"/>
              </w:rPr>
              <w:t xml:space="preserve">účtování pokut za dopravní přestupky </w:t>
            </w:r>
            <w:r>
              <w:rPr>
                <w:rFonts w:asciiTheme="minorHAnsi" w:hAnsiTheme="minorHAnsi" w:cstheme="minorHAnsi"/>
                <w:sz w:val="18"/>
                <w:szCs w:val="18"/>
              </w:rPr>
              <w:t>na </w:t>
            </w:r>
            <w:r w:rsidRPr="006447B6">
              <w:rPr>
                <w:rFonts w:asciiTheme="minorHAnsi" w:hAnsiTheme="minorHAnsi" w:cstheme="minorHAnsi"/>
                <w:sz w:val="18"/>
                <w:szCs w:val="18"/>
              </w:rPr>
              <w:t>jednu položku</w:t>
            </w:r>
          </w:p>
        </w:tc>
      </w:tr>
      <w:tr w:rsidR="006447B6" w:rsidRPr="006447B6" w:rsidTr="00F6124A">
        <w:trPr>
          <w:trHeight w:val="284"/>
        </w:trPr>
        <w:tc>
          <w:tcPr>
            <w:tcW w:w="959" w:type="dxa"/>
            <w:vAlign w:val="center"/>
          </w:tcPr>
          <w:p w:rsidR="006447B6" w:rsidRPr="006447B6" w:rsidRDefault="006447B6" w:rsidP="006447B6">
            <w:pPr>
              <w:jc w:val="center"/>
              <w:rPr>
                <w:rFonts w:asciiTheme="minorHAnsi" w:hAnsiTheme="minorHAnsi" w:cstheme="minorHAnsi"/>
                <w:sz w:val="18"/>
                <w:szCs w:val="18"/>
              </w:rPr>
            </w:pPr>
          </w:p>
          <w:p w:rsidR="006447B6" w:rsidRPr="006447B6" w:rsidRDefault="006447B6" w:rsidP="006447B6">
            <w:pPr>
              <w:jc w:val="center"/>
              <w:rPr>
                <w:rFonts w:asciiTheme="minorHAnsi" w:hAnsiTheme="minorHAnsi" w:cstheme="minorHAnsi"/>
                <w:sz w:val="18"/>
                <w:szCs w:val="18"/>
              </w:rPr>
            </w:pPr>
          </w:p>
          <w:p w:rsidR="006447B6" w:rsidRPr="006447B6" w:rsidRDefault="006447B6" w:rsidP="006447B6">
            <w:pPr>
              <w:jc w:val="center"/>
              <w:rPr>
                <w:rFonts w:asciiTheme="minorHAnsi" w:hAnsiTheme="minorHAnsi" w:cstheme="minorHAnsi"/>
                <w:sz w:val="18"/>
                <w:szCs w:val="18"/>
              </w:rPr>
            </w:pPr>
            <w:r w:rsidRPr="006447B6">
              <w:rPr>
                <w:rFonts w:asciiTheme="minorHAnsi" w:hAnsiTheme="minorHAnsi" w:cstheme="minorHAnsi"/>
                <w:sz w:val="18"/>
                <w:szCs w:val="18"/>
              </w:rPr>
              <w:t>006171</w:t>
            </w:r>
          </w:p>
          <w:p w:rsidR="006447B6" w:rsidRPr="006447B6" w:rsidRDefault="006447B6" w:rsidP="006447B6">
            <w:pPr>
              <w:jc w:val="center"/>
              <w:rPr>
                <w:rFonts w:asciiTheme="minorHAnsi" w:hAnsiTheme="minorHAnsi" w:cstheme="minorHAnsi"/>
                <w:sz w:val="18"/>
                <w:szCs w:val="18"/>
              </w:rPr>
            </w:pPr>
          </w:p>
          <w:p w:rsidR="006447B6" w:rsidRPr="006447B6" w:rsidRDefault="006447B6" w:rsidP="006447B6">
            <w:pPr>
              <w:jc w:val="center"/>
              <w:rPr>
                <w:rFonts w:asciiTheme="minorHAnsi" w:hAnsiTheme="minorHAnsi" w:cstheme="minorHAnsi"/>
                <w:sz w:val="18"/>
                <w:szCs w:val="18"/>
              </w:rPr>
            </w:pPr>
          </w:p>
        </w:tc>
        <w:tc>
          <w:tcPr>
            <w:tcW w:w="850" w:type="dxa"/>
            <w:vAlign w:val="center"/>
          </w:tcPr>
          <w:p w:rsidR="006447B6" w:rsidRPr="006447B6" w:rsidRDefault="006447B6" w:rsidP="006447B6">
            <w:pPr>
              <w:jc w:val="center"/>
              <w:rPr>
                <w:rFonts w:asciiTheme="minorHAnsi" w:hAnsiTheme="minorHAnsi" w:cstheme="minorHAnsi"/>
                <w:sz w:val="18"/>
                <w:szCs w:val="18"/>
              </w:rPr>
            </w:pPr>
            <w:r w:rsidRPr="006447B6">
              <w:rPr>
                <w:rFonts w:asciiTheme="minorHAnsi" w:hAnsiTheme="minorHAnsi" w:cstheme="minorHAnsi"/>
                <w:sz w:val="18"/>
                <w:szCs w:val="18"/>
              </w:rPr>
              <w:t>2212</w:t>
            </w:r>
          </w:p>
        </w:tc>
        <w:tc>
          <w:tcPr>
            <w:tcW w:w="1418" w:type="dxa"/>
            <w:vAlign w:val="center"/>
          </w:tcPr>
          <w:p w:rsidR="006447B6" w:rsidRPr="006447B6" w:rsidRDefault="006447B6" w:rsidP="006447B6">
            <w:pPr>
              <w:jc w:val="center"/>
              <w:rPr>
                <w:rFonts w:asciiTheme="minorHAnsi" w:hAnsiTheme="minorHAnsi" w:cstheme="minorHAnsi"/>
                <w:sz w:val="18"/>
                <w:szCs w:val="18"/>
              </w:rPr>
            </w:pPr>
            <w:r w:rsidRPr="006447B6">
              <w:rPr>
                <w:rFonts w:asciiTheme="minorHAnsi" w:hAnsiTheme="minorHAnsi" w:cstheme="minorHAnsi"/>
                <w:sz w:val="18"/>
                <w:szCs w:val="18"/>
              </w:rPr>
              <w:t>0160000000000</w:t>
            </w:r>
          </w:p>
        </w:tc>
        <w:tc>
          <w:tcPr>
            <w:tcW w:w="850" w:type="dxa"/>
            <w:vAlign w:val="center"/>
          </w:tcPr>
          <w:p w:rsidR="006447B6" w:rsidRPr="006447B6" w:rsidRDefault="006447B6" w:rsidP="006447B6">
            <w:pPr>
              <w:jc w:val="center"/>
              <w:rPr>
                <w:rFonts w:asciiTheme="minorHAnsi" w:hAnsiTheme="minorHAnsi" w:cstheme="minorHAnsi"/>
                <w:sz w:val="18"/>
                <w:szCs w:val="18"/>
              </w:rPr>
            </w:pPr>
          </w:p>
        </w:tc>
        <w:tc>
          <w:tcPr>
            <w:tcW w:w="1134" w:type="dxa"/>
            <w:vAlign w:val="center"/>
          </w:tcPr>
          <w:p w:rsidR="006447B6" w:rsidRPr="006447B6" w:rsidRDefault="006447B6" w:rsidP="006447B6">
            <w:pPr>
              <w:jc w:val="right"/>
              <w:rPr>
                <w:rFonts w:asciiTheme="minorHAnsi" w:hAnsiTheme="minorHAnsi" w:cstheme="minorHAnsi"/>
                <w:sz w:val="18"/>
                <w:szCs w:val="18"/>
              </w:rPr>
            </w:pPr>
            <w:r w:rsidRPr="006447B6">
              <w:rPr>
                <w:rFonts w:asciiTheme="minorHAnsi" w:hAnsiTheme="minorHAnsi" w:cstheme="minorHAnsi"/>
                <w:sz w:val="18"/>
                <w:szCs w:val="18"/>
              </w:rPr>
              <w:t>580,00</w:t>
            </w:r>
          </w:p>
        </w:tc>
        <w:tc>
          <w:tcPr>
            <w:tcW w:w="1134" w:type="dxa"/>
            <w:vAlign w:val="center"/>
          </w:tcPr>
          <w:p w:rsidR="006447B6" w:rsidRPr="006447B6" w:rsidRDefault="006447B6" w:rsidP="006447B6">
            <w:pPr>
              <w:jc w:val="right"/>
              <w:rPr>
                <w:rFonts w:asciiTheme="minorHAnsi" w:hAnsiTheme="minorHAnsi" w:cstheme="minorHAnsi"/>
                <w:sz w:val="18"/>
                <w:szCs w:val="18"/>
              </w:rPr>
            </w:pPr>
            <w:r w:rsidRPr="006447B6">
              <w:rPr>
                <w:rFonts w:asciiTheme="minorHAnsi" w:hAnsiTheme="minorHAnsi" w:cstheme="minorHAnsi"/>
                <w:sz w:val="18"/>
                <w:szCs w:val="18"/>
              </w:rPr>
              <w:t>874,54</w:t>
            </w:r>
          </w:p>
        </w:tc>
        <w:tc>
          <w:tcPr>
            <w:tcW w:w="3433" w:type="dxa"/>
            <w:vAlign w:val="center"/>
          </w:tcPr>
          <w:p w:rsidR="006447B6" w:rsidRPr="006447B6" w:rsidRDefault="006447B6" w:rsidP="006447B6">
            <w:pPr>
              <w:jc w:val="both"/>
              <w:rPr>
                <w:rFonts w:asciiTheme="minorHAnsi" w:hAnsiTheme="minorHAnsi" w:cstheme="minorHAnsi"/>
                <w:b/>
                <w:sz w:val="18"/>
                <w:szCs w:val="18"/>
                <w:u w:val="single"/>
              </w:rPr>
            </w:pPr>
            <w:r w:rsidRPr="006447B6">
              <w:rPr>
                <w:rFonts w:asciiTheme="minorHAnsi" w:hAnsiTheme="minorHAnsi" w:cstheme="minorHAnsi"/>
                <w:b/>
                <w:sz w:val="18"/>
                <w:szCs w:val="18"/>
                <w:u w:val="single"/>
              </w:rPr>
              <w:t>Příjem sankčních plateb přijaté od jiných osob - Činnost místní správy</w:t>
            </w:r>
            <w:r w:rsidRPr="006447B6">
              <w:rPr>
                <w:rFonts w:asciiTheme="minorHAnsi" w:hAnsiTheme="minorHAnsi" w:cstheme="minorHAnsi"/>
                <w:sz w:val="18"/>
                <w:szCs w:val="18"/>
              </w:rPr>
              <w:t xml:space="preserve"> – vyšší plnění příjmové části rozpočtu bylo způsobeno nárůstem počtu přestupků </w:t>
            </w:r>
          </w:p>
        </w:tc>
      </w:tr>
    </w:tbl>
    <w:p w:rsidR="006447B6" w:rsidRPr="006447B6" w:rsidRDefault="006447B6" w:rsidP="00F6124A">
      <w:pPr>
        <w:rPr>
          <w:rFonts w:asciiTheme="minorHAnsi" w:hAnsiTheme="minorHAnsi" w:cstheme="minorHAnsi"/>
          <w:b/>
          <w:sz w:val="20"/>
          <w:szCs w:val="20"/>
        </w:rPr>
      </w:pPr>
    </w:p>
    <w:p w:rsidR="006447B6" w:rsidRPr="006447B6" w:rsidRDefault="006447B6" w:rsidP="00F6124A">
      <w:pPr>
        <w:rPr>
          <w:rFonts w:asciiTheme="minorHAnsi" w:hAnsiTheme="minorHAnsi" w:cstheme="minorHAnsi"/>
          <w:b/>
          <w:sz w:val="20"/>
          <w:szCs w:val="20"/>
          <w:u w:val="single"/>
        </w:rPr>
      </w:pPr>
      <w:r w:rsidRPr="006447B6">
        <w:rPr>
          <w:rFonts w:asciiTheme="minorHAnsi" w:hAnsiTheme="minorHAnsi" w:cstheme="minorHAnsi"/>
          <w:b/>
          <w:sz w:val="20"/>
          <w:szCs w:val="20"/>
          <w:u w:val="single"/>
        </w:rPr>
        <w:t>Rozbor plnění výdajů rozpočtu kapitoly</w:t>
      </w:r>
    </w:p>
    <w:p w:rsidR="006447B6" w:rsidRPr="006447B6" w:rsidRDefault="006447B6" w:rsidP="00F6124A">
      <w:pPr>
        <w:rPr>
          <w:rFonts w:asciiTheme="minorHAnsi" w:hAnsiTheme="minorHAnsi" w:cstheme="minorHAnsi"/>
          <w:b/>
          <w:sz w:val="20"/>
          <w:szCs w:val="20"/>
        </w:rPr>
      </w:pPr>
    </w:p>
    <w:tbl>
      <w:tblPr>
        <w:tblStyle w:val="Mkatabulky"/>
        <w:tblW w:w="9776" w:type="dxa"/>
        <w:tblLook w:val="04A0" w:firstRow="1" w:lastRow="0" w:firstColumn="1" w:lastColumn="0" w:noHBand="0" w:noVBand="1"/>
      </w:tblPr>
      <w:tblGrid>
        <w:gridCol w:w="2407"/>
        <w:gridCol w:w="2409"/>
        <w:gridCol w:w="1162"/>
        <w:gridCol w:w="3798"/>
      </w:tblGrid>
      <w:tr w:rsidR="006447B6" w:rsidRPr="006447B6" w:rsidTr="00F6124A">
        <w:trPr>
          <w:trHeight w:val="284"/>
        </w:trPr>
        <w:tc>
          <w:tcPr>
            <w:tcW w:w="2407" w:type="dxa"/>
            <w:shd w:val="clear" w:color="auto" w:fill="FFC000"/>
            <w:vAlign w:val="center"/>
          </w:tcPr>
          <w:p w:rsidR="006447B6" w:rsidRPr="006447B6" w:rsidRDefault="006447B6" w:rsidP="006447B6">
            <w:pPr>
              <w:jc w:val="center"/>
              <w:rPr>
                <w:rFonts w:asciiTheme="minorHAnsi" w:hAnsiTheme="minorHAnsi" w:cstheme="minorHAnsi"/>
                <w:b/>
                <w:sz w:val="18"/>
                <w:szCs w:val="18"/>
              </w:rPr>
            </w:pPr>
            <w:r w:rsidRPr="006447B6">
              <w:rPr>
                <w:rFonts w:asciiTheme="minorHAnsi" w:hAnsiTheme="minorHAnsi" w:cstheme="minorHAnsi"/>
                <w:b/>
                <w:sz w:val="18"/>
                <w:szCs w:val="18"/>
              </w:rPr>
              <w:t>Rozpočet upravený v tis. Kč</w:t>
            </w:r>
          </w:p>
        </w:tc>
        <w:tc>
          <w:tcPr>
            <w:tcW w:w="2409" w:type="dxa"/>
            <w:shd w:val="clear" w:color="auto" w:fill="FFC000"/>
            <w:vAlign w:val="center"/>
          </w:tcPr>
          <w:p w:rsidR="006447B6" w:rsidRPr="006447B6" w:rsidRDefault="006447B6" w:rsidP="006447B6">
            <w:pPr>
              <w:jc w:val="center"/>
              <w:rPr>
                <w:rFonts w:asciiTheme="minorHAnsi" w:hAnsiTheme="minorHAnsi" w:cstheme="minorHAnsi"/>
                <w:b/>
                <w:sz w:val="18"/>
                <w:szCs w:val="18"/>
              </w:rPr>
            </w:pPr>
            <w:r w:rsidRPr="006447B6">
              <w:rPr>
                <w:rFonts w:asciiTheme="minorHAnsi" w:hAnsiTheme="minorHAnsi" w:cstheme="minorHAnsi"/>
                <w:b/>
                <w:sz w:val="18"/>
                <w:szCs w:val="18"/>
              </w:rPr>
              <w:t>Skutečnost v tis. Kč</w:t>
            </w:r>
          </w:p>
        </w:tc>
        <w:tc>
          <w:tcPr>
            <w:tcW w:w="1162" w:type="dxa"/>
            <w:shd w:val="clear" w:color="auto" w:fill="FFC000"/>
            <w:vAlign w:val="center"/>
          </w:tcPr>
          <w:p w:rsidR="006447B6" w:rsidRPr="006447B6" w:rsidRDefault="006447B6" w:rsidP="006447B6">
            <w:pPr>
              <w:jc w:val="center"/>
              <w:rPr>
                <w:rFonts w:asciiTheme="minorHAnsi" w:hAnsiTheme="minorHAnsi" w:cstheme="minorHAnsi"/>
                <w:b/>
                <w:sz w:val="18"/>
                <w:szCs w:val="18"/>
              </w:rPr>
            </w:pPr>
            <w:r w:rsidRPr="006447B6">
              <w:rPr>
                <w:rFonts w:asciiTheme="minorHAnsi" w:hAnsiTheme="minorHAnsi" w:cstheme="minorHAnsi"/>
                <w:b/>
                <w:sz w:val="18"/>
                <w:szCs w:val="18"/>
              </w:rPr>
              <w:t>SK/RU v %</w:t>
            </w:r>
          </w:p>
        </w:tc>
        <w:tc>
          <w:tcPr>
            <w:tcW w:w="3798" w:type="dxa"/>
            <w:shd w:val="clear" w:color="auto" w:fill="FFC000"/>
            <w:vAlign w:val="center"/>
          </w:tcPr>
          <w:p w:rsidR="006447B6" w:rsidRPr="006447B6" w:rsidRDefault="006447B6" w:rsidP="006447B6">
            <w:pPr>
              <w:jc w:val="center"/>
              <w:rPr>
                <w:rFonts w:asciiTheme="minorHAnsi" w:hAnsiTheme="minorHAnsi" w:cstheme="minorHAnsi"/>
                <w:b/>
                <w:sz w:val="18"/>
                <w:szCs w:val="18"/>
              </w:rPr>
            </w:pPr>
            <w:r w:rsidRPr="006447B6">
              <w:rPr>
                <w:rFonts w:asciiTheme="minorHAnsi" w:hAnsiTheme="minorHAnsi" w:cstheme="minorHAnsi"/>
                <w:b/>
                <w:sz w:val="18"/>
                <w:szCs w:val="18"/>
              </w:rPr>
              <w:t>Komentář</w:t>
            </w:r>
          </w:p>
        </w:tc>
      </w:tr>
      <w:tr w:rsidR="006447B6" w:rsidRPr="006447B6" w:rsidTr="00F6124A">
        <w:trPr>
          <w:trHeight w:val="284"/>
        </w:trPr>
        <w:tc>
          <w:tcPr>
            <w:tcW w:w="2407" w:type="dxa"/>
            <w:vAlign w:val="center"/>
          </w:tcPr>
          <w:p w:rsidR="006447B6" w:rsidRPr="006447B6" w:rsidRDefault="006447B6" w:rsidP="006447B6">
            <w:pPr>
              <w:jc w:val="right"/>
              <w:rPr>
                <w:rFonts w:asciiTheme="minorHAnsi" w:hAnsiTheme="minorHAnsi" w:cstheme="minorHAnsi"/>
                <w:sz w:val="18"/>
                <w:szCs w:val="18"/>
              </w:rPr>
            </w:pPr>
            <w:r w:rsidRPr="006447B6">
              <w:rPr>
                <w:rFonts w:asciiTheme="minorHAnsi" w:hAnsiTheme="minorHAnsi" w:cstheme="minorHAnsi"/>
                <w:sz w:val="18"/>
                <w:szCs w:val="18"/>
              </w:rPr>
              <w:t>0</w:t>
            </w:r>
          </w:p>
        </w:tc>
        <w:tc>
          <w:tcPr>
            <w:tcW w:w="2409" w:type="dxa"/>
            <w:vAlign w:val="center"/>
          </w:tcPr>
          <w:p w:rsidR="006447B6" w:rsidRPr="006447B6" w:rsidRDefault="006447B6" w:rsidP="006447B6">
            <w:pPr>
              <w:jc w:val="right"/>
              <w:rPr>
                <w:rFonts w:asciiTheme="minorHAnsi" w:hAnsiTheme="minorHAnsi" w:cstheme="minorHAnsi"/>
                <w:sz w:val="18"/>
                <w:szCs w:val="18"/>
              </w:rPr>
            </w:pPr>
            <w:r w:rsidRPr="006447B6">
              <w:rPr>
                <w:rFonts w:asciiTheme="minorHAnsi" w:hAnsiTheme="minorHAnsi" w:cstheme="minorHAnsi"/>
                <w:sz w:val="18"/>
                <w:szCs w:val="18"/>
              </w:rPr>
              <w:t>0</w:t>
            </w:r>
          </w:p>
        </w:tc>
        <w:tc>
          <w:tcPr>
            <w:tcW w:w="1162" w:type="dxa"/>
            <w:vAlign w:val="center"/>
          </w:tcPr>
          <w:p w:rsidR="006447B6" w:rsidRPr="006447B6" w:rsidRDefault="006447B6" w:rsidP="00310EB2">
            <w:pPr>
              <w:jc w:val="center"/>
              <w:rPr>
                <w:rFonts w:asciiTheme="minorHAnsi" w:hAnsiTheme="minorHAnsi" w:cstheme="minorHAnsi"/>
                <w:sz w:val="18"/>
                <w:szCs w:val="18"/>
              </w:rPr>
            </w:pPr>
            <w:r w:rsidRPr="006447B6">
              <w:rPr>
                <w:rFonts w:asciiTheme="minorHAnsi" w:hAnsiTheme="minorHAnsi" w:cstheme="minorHAnsi"/>
                <w:sz w:val="18"/>
                <w:szCs w:val="18"/>
              </w:rPr>
              <w:t>0</w:t>
            </w:r>
          </w:p>
        </w:tc>
        <w:tc>
          <w:tcPr>
            <w:tcW w:w="3798" w:type="dxa"/>
            <w:vAlign w:val="center"/>
          </w:tcPr>
          <w:p w:rsidR="006447B6" w:rsidRPr="006447B6" w:rsidRDefault="006447B6" w:rsidP="006447B6">
            <w:pPr>
              <w:rPr>
                <w:rFonts w:asciiTheme="minorHAnsi" w:hAnsiTheme="minorHAnsi" w:cstheme="minorHAnsi"/>
                <w:sz w:val="18"/>
                <w:szCs w:val="18"/>
              </w:rPr>
            </w:pPr>
            <w:r w:rsidRPr="006447B6">
              <w:rPr>
                <w:rFonts w:asciiTheme="minorHAnsi" w:hAnsiTheme="minorHAnsi" w:cstheme="minorHAnsi"/>
                <w:sz w:val="18"/>
                <w:szCs w:val="18"/>
              </w:rPr>
              <w:t>Výdaje před konsolidací</w:t>
            </w:r>
          </w:p>
        </w:tc>
      </w:tr>
      <w:tr w:rsidR="006447B6" w:rsidRPr="006447B6" w:rsidTr="00F6124A">
        <w:trPr>
          <w:trHeight w:val="284"/>
        </w:trPr>
        <w:tc>
          <w:tcPr>
            <w:tcW w:w="2407" w:type="dxa"/>
            <w:vAlign w:val="center"/>
          </w:tcPr>
          <w:p w:rsidR="006447B6" w:rsidRPr="006447B6" w:rsidRDefault="006447B6" w:rsidP="006447B6">
            <w:pPr>
              <w:jc w:val="right"/>
              <w:rPr>
                <w:rFonts w:asciiTheme="minorHAnsi" w:hAnsiTheme="minorHAnsi" w:cstheme="minorHAnsi"/>
                <w:sz w:val="18"/>
                <w:szCs w:val="18"/>
              </w:rPr>
            </w:pPr>
            <w:r w:rsidRPr="006447B6">
              <w:rPr>
                <w:rFonts w:asciiTheme="minorHAnsi" w:hAnsiTheme="minorHAnsi" w:cstheme="minorHAnsi"/>
                <w:sz w:val="18"/>
                <w:szCs w:val="18"/>
              </w:rPr>
              <w:t>0</w:t>
            </w:r>
          </w:p>
        </w:tc>
        <w:tc>
          <w:tcPr>
            <w:tcW w:w="2409" w:type="dxa"/>
            <w:vAlign w:val="center"/>
          </w:tcPr>
          <w:p w:rsidR="006447B6" w:rsidRPr="006447B6" w:rsidRDefault="006447B6" w:rsidP="006447B6">
            <w:pPr>
              <w:jc w:val="right"/>
              <w:rPr>
                <w:rFonts w:asciiTheme="minorHAnsi" w:hAnsiTheme="minorHAnsi" w:cstheme="minorHAnsi"/>
                <w:sz w:val="18"/>
                <w:szCs w:val="18"/>
              </w:rPr>
            </w:pPr>
            <w:r w:rsidRPr="006447B6">
              <w:rPr>
                <w:rFonts w:asciiTheme="minorHAnsi" w:hAnsiTheme="minorHAnsi" w:cstheme="minorHAnsi"/>
                <w:sz w:val="18"/>
                <w:szCs w:val="18"/>
              </w:rPr>
              <w:t>0</w:t>
            </w:r>
          </w:p>
        </w:tc>
        <w:tc>
          <w:tcPr>
            <w:tcW w:w="1162" w:type="dxa"/>
            <w:vAlign w:val="center"/>
          </w:tcPr>
          <w:p w:rsidR="006447B6" w:rsidRPr="006447B6" w:rsidRDefault="006447B6" w:rsidP="00310EB2">
            <w:pPr>
              <w:jc w:val="center"/>
              <w:rPr>
                <w:rFonts w:asciiTheme="minorHAnsi" w:hAnsiTheme="minorHAnsi" w:cstheme="minorHAnsi"/>
                <w:sz w:val="18"/>
                <w:szCs w:val="18"/>
              </w:rPr>
            </w:pPr>
            <w:r w:rsidRPr="006447B6">
              <w:rPr>
                <w:rFonts w:asciiTheme="minorHAnsi" w:hAnsiTheme="minorHAnsi" w:cstheme="minorHAnsi"/>
                <w:sz w:val="18"/>
                <w:szCs w:val="18"/>
              </w:rPr>
              <w:t>0</w:t>
            </w:r>
          </w:p>
        </w:tc>
        <w:tc>
          <w:tcPr>
            <w:tcW w:w="3798" w:type="dxa"/>
            <w:vAlign w:val="center"/>
          </w:tcPr>
          <w:p w:rsidR="006447B6" w:rsidRPr="006447B6" w:rsidRDefault="006447B6" w:rsidP="006447B6">
            <w:pPr>
              <w:rPr>
                <w:rFonts w:asciiTheme="minorHAnsi" w:hAnsiTheme="minorHAnsi" w:cstheme="minorHAnsi"/>
                <w:sz w:val="18"/>
                <w:szCs w:val="18"/>
              </w:rPr>
            </w:pPr>
            <w:r w:rsidRPr="006447B6">
              <w:rPr>
                <w:rFonts w:asciiTheme="minorHAnsi" w:hAnsiTheme="minorHAnsi" w:cstheme="minorHAnsi"/>
                <w:sz w:val="18"/>
                <w:szCs w:val="18"/>
              </w:rPr>
              <w:t>Výdaje po konsolidaci</w:t>
            </w:r>
          </w:p>
        </w:tc>
      </w:tr>
    </w:tbl>
    <w:p w:rsidR="006447B6" w:rsidRPr="006447B6" w:rsidRDefault="006447B6" w:rsidP="00F6124A">
      <w:pPr>
        <w:rPr>
          <w:rFonts w:asciiTheme="minorHAnsi" w:hAnsiTheme="minorHAnsi" w:cstheme="minorHAnsi"/>
          <w:b/>
          <w:sz w:val="20"/>
          <w:szCs w:val="20"/>
        </w:rPr>
      </w:pPr>
    </w:p>
    <w:p w:rsidR="006447B6" w:rsidRPr="006447B6" w:rsidRDefault="006447B6" w:rsidP="00F6124A">
      <w:pPr>
        <w:rPr>
          <w:rFonts w:asciiTheme="minorHAnsi" w:hAnsiTheme="minorHAnsi" w:cstheme="minorHAnsi"/>
          <w:b/>
          <w:sz w:val="20"/>
          <w:szCs w:val="20"/>
        </w:rPr>
      </w:pPr>
      <w:r w:rsidRPr="006447B6">
        <w:rPr>
          <w:rFonts w:asciiTheme="minorHAnsi" w:hAnsiTheme="minorHAnsi" w:cstheme="minorHAnsi"/>
          <w:b/>
          <w:sz w:val="20"/>
          <w:szCs w:val="20"/>
        </w:rPr>
        <w:t>Stručný komentář k celkovému vývoji čerpání výdajů kapitoly ve sledovaném období</w:t>
      </w:r>
    </w:p>
    <w:p w:rsidR="006447B6" w:rsidRPr="006447B6" w:rsidRDefault="006447B6" w:rsidP="00F6124A">
      <w:pPr>
        <w:rPr>
          <w:rFonts w:asciiTheme="minorHAnsi" w:hAnsiTheme="minorHAnsi" w:cstheme="minorHAnsi"/>
          <w:b/>
          <w:sz w:val="20"/>
          <w:szCs w:val="20"/>
        </w:rPr>
      </w:pPr>
    </w:p>
    <w:tbl>
      <w:tblPr>
        <w:tblStyle w:val="Mkatabulky"/>
        <w:tblW w:w="9776" w:type="dxa"/>
        <w:tblLook w:val="04A0" w:firstRow="1" w:lastRow="0" w:firstColumn="1" w:lastColumn="0" w:noHBand="0" w:noVBand="1"/>
      </w:tblPr>
      <w:tblGrid>
        <w:gridCol w:w="9776"/>
      </w:tblGrid>
      <w:tr w:rsidR="006447B6" w:rsidRPr="006447B6" w:rsidTr="00F6124A">
        <w:trPr>
          <w:trHeight w:val="295"/>
        </w:trPr>
        <w:tc>
          <w:tcPr>
            <w:tcW w:w="9776" w:type="dxa"/>
          </w:tcPr>
          <w:p w:rsidR="006447B6" w:rsidRPr="006447B6" w:rsidRDefault="006447B6" w:rsidP="006447B6">
            <w:pPr>
              <w:jc w:val="both"/>
              <w:rPr>
                <w:rFonts w:asciiTheme="minorHAnsi" w:hAnsiTheme="minorHAnsi" w:cstheme="minorHAnsi"/>
                <w:sz w:val="20"/>
                <w:szCs w:val="20"/>
              </w:rPr>
            </w:pPr>
            <w:r w:rsidRPr="006447B6">
              <w:rPr>
                <w:rFonts w:asciiTheme="minorHAnsi" w:hAnsiTheme="minorHAnsi" w:cstheme="minorHAnsi"/>
                <w:sz w:val="20"/>
                <w:szCs w:val="20"/>
              </w:rPr>
              <w:t>Výdaje pro rok 2022 nebyly rozpočtovány.</w:t>
            </w:r>
          </w:p>
        </w:tc>
      </w:tr>
    </w:tbl>
    <w:p w:rsidR="006447B6" w:rsidRPr="006447B6" w:rsidRDefault="006447B6" w:rsidP="00F6124A">
      <w:pPr>
        <w:rPr>
          <w:rFonts w:asciiTheme="minorHAnsi" w:hAnsiTheme="minorHAnsi" w:cstheme="minorHAnsi"/>
          <w:b/>
          <w:sz w:val="20"/>
          <w:szCs w:val="20"/>
        </w:rPr>
      </w:pPr>
    </w:p>
    <w:p w:rsidR="006447B6" w:rsidRPr="006447B6" w:rsidRDefault="006447B6" w:rsidP="00F6124A">
      <w:pPr>
        <w:rPr>
          <w:rFonts w:asciiTheme="minorHAnsi" w:hAnsiTheme="minorHAnsi" w:cstheme="minorHAnsi"/>
          <w:b/>
          <w:sz w:val="20"/>
          <w:szCs w:val="20"/>
        </w:rPr>
      </w:pPr>
      <w:r w:rsidRPr="006447B6">
        <w:rPr>
          <w:rFonts w:asciiTheme="minorHAnsi" w:hAnsiTheme="minorHAnsi" w:cstheme="minorHAnsi"/>
          <w:b/>
          <w:sz w:val="20"/>
          <w:szCs w:val="20"/>
        </w:rPr>
        <w:t>Přehled schválených rozpočtových opatření k 31. 12. 2022:</w:t>
      </w:r>
    </w:p>
    <w:tbl>
      <w:tblPr>
        <w:tblStyle w:val="Mkatabulky"/>
        <w:tblW w:w="9776" w:type="dxa"/>
        <w:tblLook w:val="04A0" w:firstRow="1" w:lastRow="0" w:firstColumn="1" w:lastColumn="0" w:noHBand="0" w:noVBand="1"/>
      </w:tblPr>
      <w:tblGrid>
        <w:gridCol w:w="725"/>
        <w:gridCol w:w="781"/>
        <w:gridCol w:w="830"/>
        <w:gridCol w:w="5462"/>
        <w:gridCol w:w="1978"/>
      </w:tblGrid>
      <w:tr w:rsidR="006447B6" w:rsidRPr="006447B6" w:rsidTr="002E388D">
        <w:tc>
          <w:tcPr>
            <w:tcW w:w="725" w:type="dxa"/>
            <w:shd w:val="clear" w:color="auto" w:fill="DBDBDB" w:themeFill="accent3" w:themeFillTint="66"/>
            <w:vAlign w:val="center"/>
          </w:tcPr>
          <w:p w:rsidR="006447B6" w:rsidRPr="006447B6" w:rsidRDefault="006447B6" w:rsidP="006447B6">
            <w:pPr>
              <w:jc w:val="center"/>
              <w:rPr>
                <w:rFonts w:asciiTheme="minorHAnsi" w:hAnsiTheme="minorHAnsi" w:cstheme="minorHAnsi"/>
                <w:b/>
                <w:sz w:val="20"/>
                <w:szCs w:val="20"/>
              </w:rPr>
            </w:pPr>
            <w:r w:rsidRPr="006447B6">
              <w:rPr>
                <w:rFonts w:asciiTheme="minorHAnsi" w:hAnsiTheme="minorHAnsi" w:cstheme="minorHAnsi"/>
                <w:b/>
                <w:sz w:val="20"/>
                <w:szCs w:val="20"/>
              </w:rPr>
              <w:t>Usn.č.</w:t>
            </w:r>
          </w:p>
        </w:tc>
        <w:tc>
          <w:tcPr>
            <w:tcW w:w="781" w:type="dxa"/>
            <w:shd w:val="clear" w:color="auto" w:fill="DBDBDB" w:themeFill="accent3" w:themeFillTint="66"/>
            <w:vAlign w:val="center"/>
          </w:tcPr>
          <w:p w:rsidR="006447B6" w:rsidRPr="006447B6" w:rsidRDefault="006447B6" w:rsidP="006447B6">
            <w:pPr>
              <w:jc w:val="center"/>
              <w:rPr>
                <w:rFonts w:asciiTheme="minorHAnsi" w:hAnsiTheme="minorHAnsi" w:cstheme="minorHAnsi"/>
                <w:b/>
                <w:sz w:val="20"/>
                <w:szCs w:val="20"/>
              </w:rPr>
            </w:pPr>
            <w:r w:rsidRPr="006447B6">
              <w:rPr>
                <w:rFonts w:asciiTheme="minorHAnsi" w:hAnsiTheme="minorHAnsi" w:cstheme="minorHAnsi"/>
                <w:b/>
                <w:sz w:val="20"/>
                <w:szCs w:val="20"/>
              </w:rPr>
              <w:t>Datum</w:t>
            </w:r>
          </w:p>
        </w:tc>
        <w:tc>
          <w:tcPr>
            <w:tcW w:w="830" w:type="dxa"/>
            <w:shd w:val="clear" w:color="auto" w:fill="DBDBDB" w:themeFill="accent3" w:themeFillTint="66"/>
            <w:vAlign w:val="center"/>
          </w:tcPr>
          <w:p w:rsidR="006447B6" w:rsidRPr="006447B6" w:rsidRDefault="006447B6" w:rsidP="006447B6">
            <w:pPr>
              <w:jc w:val="center"/>
              <w:rPr>
                <w:rFonts w:asciiTheme="minorHAnsi" w:hAnsiTheme="minorHAnsi" w:cstheme="minorHAnsi"/>
                <w:b/>
                <w:sz w:val="20"/>
                <w:szCs w:val="20"/>
              </w:rPr>
            </w:pPr>
            <w:r w:rsidRPr="006447B6">
              <w:rPr>
                <w:rFonts w:asciiTheme="minorHAnsi" w:hAnsiTheme="minorHAnsi" w:cstheme="minorHAnsi"/>
                <w:b/>
                <w:sz w:val="20"/>
                <w:szCs w:val="20"/>
              </w:rPr>
              <w:t>Částka v tis. Kč</w:t>
            </w:r>
          </w:p>
        </w:tc>
        <w:tc>
          <w:tcPr>
            <w:tcW w:w="5462" w:type="dxa"/>
            <w:shd w:val="clear" w:color="auto" w:fill="DBDBDB" w:themeFill="accent3" w:themeFillTint="66"/>
            <w:vAlign w:val="center"/>
          </w:tcPr>
          <w:p w:rsidR="006447B6" w:rsidRPr="006447B6" w:rsidRDefault="006447B6" w:rsidP="006447B6">
            <w:pPr>
              <w:jc w:val="center"/>
              <w:rPr>
                <w:rFonts w:asciiTheme="minorHAnsi" w:hAnsiTheme="minorHAnsi" w:cstheme="minorHAnsi"/>
                <w:b/>
                <w:sz w:val="20"/>
                <w:szCs w:val="20"/>
              </w:rPr>
            </w:pPr>
            <w:r w:rsidRPr="006447B6">
              <w:rPr>
                <w:rFonts w:asciiTheme="minorHAnsi" w:hAnsiTheme="minorHAnsi" w:cstheme="minorHAnsi"/>
                <w:b/>
                <w:sz w:val="20"/>
                <w:szCs w:val="20"/>
              </w:rPr>
              <w:t>Rozpočtové opatření</w:t>
            </w:r>
          </w:p>
        </w:tc>
        <w:tc>
          <w:tcPr>
            <w:tcW w:w="1978" w:type="dxa"/>
            <w:shd w:val="clear" w:color="auto" w:fill="DBDBDB" w:themeFill="accent3" w:themeFillTint="66"/>
            <w:vAlign w:val="center"/>
          </w:tcPr>
          <w:p w:rsidR="006447B6" w:rsidRPr="006447B6" w:rsidRDefault="006447B6" w:rsidP="006447B6">
            <w:pPr>
              <w:jc w:val="center"/>
              <w:rPr>
                <w:rFonts w:asciiTheme="minorHAnsi" w:hAnsiTheme="minorHAnsi" w:cstheme="minorHAnsi"/>
                <w:b/>
                <w:sz w:val="20"/>
                <w:szCs w:val="20"/>
              </w:rPr>
            </w:pPr>
            <w:r w:rsidRPr="006447B6">
              <w:rPr>
                <w:rFonts w:asciiTheme="minorHAnsi" w:hAnsiTheme="minorHAnsi" w:cstheme="minorHAnsi"/>
                <w:b/>
                <w:sz w:val="20"/>
                <w:szCs w:val="20"/>
              </w:rPr>
              <w:t>Stupeň realizace</w:t>
            </w:r>
          </w:p>
        </w:tc>
      </w:tr>
      <w:tr w:rsidR="006447B6" w:rsidRPr="006447B6" w:rsidTr="002E388D">
        <w:tc>
          <w:tcPr>
            <w:tcW w:w="725" w:type="dxa"/>
            <w:vAlign w:val="center"/>
          </w:tcPr>
          <w:p w:rsidR="006447B6" w:rsidRPr="006447B6" w:rsidRDefault="006447B6" w:rsidP="006447B6">
            <w:pPr>
              <w:jc w:val="center"/>
              <w:rPr>
                <w:rFonts w:asciiTheme="minorHAnsi" w:hAnsiTheme="minorHAnsi" w:cstheme="minorHAnsi"/>
                <w:sz w:val="20"/>
                <w:szCs w:val="20"/>
              </w:rPr>
            </w:pPr>
          </w:p>
        </w:tc>
        <w:tc>
          <w:tcPr>
            <w:tcW w:w="781" w:type="dxa"/>
            <w:vAlign w:val="center"/>
          </w:tcPr>
          <w:p w:rsidR="006447B6" w:rsidRPr="006447B6" w:rsidRDefault="006447B6" w:rsidP="006447B6">
            <w:pPr>
              <w:jc w:val="center"/>
              <w:rPr>
                <w:rFonts w:asciiTheme="minorHAnsi" w:hAnsiTheme="minorHAnsi" w:cstheme="minorHAnsi"/>
                <w:sz w:val="20"/>
                <w:szCs w:val="20"/>
              </w:rPr>
            </w:pPr>
          </w:p>
        </w:tc>
        <w:tc>
          <w:tcPr>
            <w:tcW w:w="830" w:type="dxa"/>
            <w:vAlign w:val="center"/>
          </w:tcPr>
          <w:p w:rsidR="006447B6" w:rsidRPr="006447B6" w:rsidRDefault="006447B6" w:rsidP="006447B6">
            <w:pPr>
              <w:jc w:val="center"/>
              <w:rPr>
                <w:rFonts w:asciiTheme="minorHAnsi" w:hAnsiTheme="minorHAnsi" w:cstheme="minorHAnsi"/>
                <w:sz w:val="20"/>
                <w:szCs w:val="20"/>
              </w:rPr>
            </w:pPr>
          </w:p>
        </w:tc>
        <w:tc>
          <w:tcPr>
            <w:tcW w:w="5462" w:type="dxa"/>
            <w:vAlign w:val="center"/>
          </w:tcPr>
          <w:p w:rsidR="006447B6" w:rsidRPr="006447B6" w:rsidRDefault="006447B6" w:rsidP="006447B6">
            <w:pPr>
              <w:rPr>
                <w:rFonts w:asciiTheme="minorHAnsi" w:hAnsiTheme="minorHAnsi" w:cstheme="minorHAnsi"/>
                <w:sz w:val="20"/>
                <w:szCs w:val="20"/>
              </w:rPr>
            </w:pPr>
            <w:r w:rsidRPr="006447B6">
              <w:rPr>
                <w:rFonts w:asciiTheme="minorHAnsi" w:hAnsiTheme="minorHAnsi" w:cstheme="minorHAnsi"/>
                <w:sz w:val="20"/>
                <w:szCs w:val="20"/>
              </w:rPr>
              <w:t>Nebyla realizována žádná rozpočtová opatření kapitoly 16.</w:t>
            </w:r>
          </w:p>
        </w:tc>
        <w:tc>
          <w:tcPr>
            <w:tcW w:w="1978" w:type="dxa"/>
          </w:tcPr>
          <w:p w:rsidR="006447B6" w:rsidRPr="006447B6" w:rsidRDefault="006447B6" w:rsidP="006447B6">
            <w:pPr>
              <w:rPr>
                <w:rFonts w:asciiTheme="minorHAnsi" w:hAnsiTheme="minorHAnsi" w:cstheme="minorHAnsi"/>
                <w:b/>
                <w:sz w:val="20"/>
                <w:szCs w:val="20"/>
              </w:rPr>
            </w:pPr>
          </w:p>
        </w:tc>
      </w:tr>
    </w:tbl>
    <w:p w:rsidR="006447B6" w:rsidRPr="006447B6" w:rsidRDefault="006447B6" w:rsidP="00F6124A">
      <w:pPr>
        <w:rPr>
          <w:rFonts w:asciiTheme="minorHAnsi" w:hAnsiTheme="minorHAnsi" w:cstheme="minorHAnsi"/>
          <w:b/>
          <w:sz w:val="20"/>
          <w:szCs w:val="20"/>
        </w:rPr>
      </w:pPr>
    </w:p>
    <w:p w:rsidR="006447B6" w:rsidRDefault="006447B6" w:rsidP="006447B6">
      <w:pPr>
        <w:rPr>
          <w:rFonts w:asciiTheme="minorHAnsi" w:hAnsiTheme="minorHAnsi" w:cstheme="minorHAnsi"/>
          <w:b/>
          <w:sz w:val="20"/>
          <w:szCs w:val="20"/>
        </w:rPr>
      </w:pPr>
      <w:r w:rsidRPr="006447B6">
        <w:rPr>
          <w:rFonts w:asciiTheme="minorHAnsi" w:hAnsiTheme="minorHAnsi" w:cstheme="minorHAnsi"/>
          <w:b/>
          <w:sz w:val="20"/>
          <w:szCs w:val="20"/>
        </w:rPr>
        <w:t xml:space="preserve">V Prostějově: 13. 2. 2023  </w:t>
      </w:r>
      <w:r w:rsidRPr="006447B6">
        <w:rPr>
          <w:rFonts w:asciiTheme="minorHAnsi" w:hAnsiTheme="minorHAnsi" w:cstheme="minorHAnsi"/>
          <w:b/>
          <w:sz w:val="20"/>
          <w:szCs w:val="20"/>
        </w:rPr>
        <w:tab/>
      </w:r>
      <w:r w:rsidRPr="006447B6">
        <w:rPr>
          <w:rFonts w:asciiTheme="minorHAnsi" w:hAnsiTheme="minorHAnsi" w:cstheme="minorHAnsi"/>
          <w:b/>
          <w:sz w:val="20"/>
          <w:szCs w:val="20"/>
        </w:rPr>
        <w:tab/>
      </w:r>
      <w:r w:rsidRPr="006447B6">
        <w:rPr>
          <w:rFonts w:asciiTheme="minorHAnsi" w:hAnsiTheme="minorHAnsi" w:cstheme="minorHAnsi"/>
          <w:b/>
          <w:sz w:val="20"/>
          <w:szCs w:val="20"/>
        </w:rPr>
        <w:tab/>
      </w:r>
      <w:r w:rsidRPr="006447B6">
        <w:rPr>
          <w:rFonts w:asciiTheme="minorHAnsi" w:hAnsiTheme="minorHAnsi" w:cstheme="minorHAnsi"/>
          <w:b/>
          <w:sz w:val="20"/>
          <w:szCs w:val="20"/>
        </w:rPr>
        <w:tab/>
      </w:r>
      <w:r w:rsidRPr="006447B6">
        <w:rPr>
          <w:rFonts w:asciiTheme="minorHAnsi" w:hAnsiTheme="minorHAnsi" w:cstheme="minorHAnsi"/>
          <w:b/>
          <w:sz w:val="20"/>
          <w:szCs w:val="20"/>
        </w:rPr>
        <w:tab/>
      </w:r>
      <w:r w:rsidRPr="006447B6">
        <w:rPr>
          <w:rFonts w:asciiTheme="minorHAnsi" w:hAnsiTheme="minorHAnsi" w:cstheme="minorHAnsi"/>
          <w:b/>
          <w:sz w:val="20"/>
          <w:szCs w:val="20"/>
        </w:rPr>
        <w:tab/>
      </w:r>
    </w:p>
    <w:p w:rsidR="006447B6" w:rsidRPr="006447B6" w:rsidRDefault="006447B6" w:rsidP="006447B6">
      <w:pPr>
        <w:rPr>
          <w:rFonts w:asciiTheme="minorHAnsi" w:hAnsiTheme="minorHAnsi" w:cstheme="minorHAnsi"/>
          <w:b/>
          <w:sz w:val="20"/>
          <w:szCs w:val="20"/>
        </w:rPr>
      </w:pPr>
      <w:r w:rsidRPr="006447B6">
        <w:rPr>
          <w:rFonts w:asciiTheme="minorHAnsi" w:hAnsiTheme="minorHAnsi" w:cstheme="minorHAnsi"/>
          <w:b/>
          <w:sz w:val="20"/>
          <w:szCs w:val="20"/>
        </w:rPr>
        <w:t>Správce kapitoly: Mgr. Marie Javůrková</w:t>
      </w:r>
    </w:p>
    <w:tbl>
      <w:tblPr>
        <w:tblW w:w="9639" w:type="dxa"/>
        <w:tblLayout w:type="fixed"/>
        <w:tblCellMar>
          <w:left w:w="70" w:type="dxa"/>
          <w:right w:w="70" w:type="dxa"/>
        </w:tblCellMar>
        <w:tblLook w:val="0000" w:firstRow="0" w:lastRow="0" w:firstColumn="0" w:lastColumn="0" w:noHBand="0" w:noVBand="0"/>
      </w:tblPr>
      <w:tblGrid>
        <w:gridCol w:w="9639"/>
      </w:tblGrid>
      <w:tr w:rsidR="00310EB2" w:rsidRPr="006E55BA" w:rsidTr="00310EB2">
        <w:tc>
          <w:tcPr>
            <w:tcW w:w="9639" w:type="dxa"/>
            <w:tcBorders>
              <w:top w:val="nil"/>
              <w:left w:val="nil"/>
              <w:bottom w:val="nil"/>
              <w:right w:val="nil"/>
            </w:tcBorders>
            <w:shd w:val="clear" w:color="auto" w:fill="auto"/>
          </w:tcPr>
          <w:p w:rsidR="00310EB2" w:rsidRDefault="00310EB2" w:rsidP="002E38B4">
            <w:pPr>
              <w:rPr>
                <w:rFonts w:ascii="Calibri" w:hAnsi="Calibri" w:cs="Calibri"/>
                <w:b/>
                <w:bCs/>
                <w:sz w:val="28"/>
                <w:szCs w:val="28"/>
              </w:rPr>
            </w:pPr>
          </w:p>
        </w:tc>
      </w:tr>
      <w:tr w:rsidR="002E38B4" w:rsidRPr="006E55BA" w:rsidTr="00310EB2">
        <w:tc>
          <w:tcPr>
            <w:tcW w:w="9639" w:type="dxa"/>
            <w:tcBorders>
              <w:top w:val="nil"/>
              <w:left w:val="nil"/>
              <w:bottom w:val="nil"/>
              <w:right w:val="nil"/>
            </w:tcBorders>
            <w:shd w:val="clear" w:color="auto" w:fill="auto"/>
          </w:tcPr>
          <w:p w:rsidR="006447B6" w:rsidRDefault="006447B6" w:rsidP="002E38B4">
            <w:pPr>
              <w:rPr>
                <w:rFonts w:ascii="Calibri" w:hAnsi="Calibri" w:cs="Calibri"/>
                <w:b/>
                <w:bCs/>
                <w:sz w:val="28"/>
                <w:szCs w:val="28"/>
              </w:rPr>
            </w:pPr>
          </w:p>
          <w:p w:rsidR="006447B6" w:rsidRDefault="006447B6" w:rsidP="002E38B4">
            <w:pPr>
              <w:rPr>
                <w:rFonts w:ascii="Calibri" w:hAnsi="Calibri" w:cs="Calibri"/>
                <w:b/>
                <w:bCs/>
                <w:sz w:val="28"/>
                <w:szCs w:val="28"/>
              </w:rPr>
            </w:pPr>
          </w:p>
          <w:p w:rsidR="00310EB2" w:rsidRPr="00310EB2" w:rsidRDefault="00310EB2" w:rsidP="00310EB2">
            <w:pPr>
              <w:pStyle w:val="Nadpis1"/>
              <w:rPr>
                <w:rFonts w:asciiTheme="minorHAnsi" w:hAnsiTheme="minorHAnsi" w:cstheme="minorHAnsi"/>
                <w:sz w:val="24"/>
                <w:szCs w:val="24"/>
              </w:rPr>
            </w:pPr>
            <w:r w:rsidRPr="00310EB2">
              <w:rPr>
                <w:rFonts w:asciiTheme="minorHAnsi" w:hAnsiTheme="minorHAnsi" w:cstheme="minorHAnsi"/>
                <w:sz w:val="24"/>
                <w:szCs w:val="24"/>
              </w:rPr>
              <w:lastRenderedPageBreak/>
              <w:t xml:space="preserve">Kapitola 17 – Dotace a veřejné zakázky         </w:t>
            </w:r>
          </w:p>
          <w:p w:rsidR="00310EB2" w:rsidRPr="00310EB2" w:rsidRDefault="00310EB2" w:rsidP="00310EB2">
            <w:pPr>
              <w:shd w:val="clear" w:color="auto" w:fill="F4B083" w:themeFill="accent2" w:themeFillTint="99"/>
              <w:rPr>
                <w:rFonts w:ascii="Calibri" w:hAnsi="Calibri" w:cs="Calibri"/>
                <w:b/>
                <w:bCs/>
                <w:sz w:val="20"/>
                <w:szCs w:val="20"/>
                <w:u w:val="single"/>
              </w:rPr>
            </w:pPr>
            <w:r w:rsidRPr="00310EB2">
              <w:rPr>
                <w:rFonts w:ascii="Calibri" w:hAnsi="Calibri" w:cs="Calibri"/>
                <w:b/>
                <w:bCs/>
                <w:sz w:val="20"/>
                <w:szCs w:val="20"/>
                <w:u w:val="single"/>
              </w:rPr>
              <w:t>Rozbor plnění příjmů rozpočtu kapitoly</w:t>
            </w:r>
          </w:p>
          <w:p w:rsidR="00310EB2" w:rsidRPr="00310EB2" w:rsidRDefault="00310EB2" w:rsidP="00310EB2">
            <w:pPr>
              <w:rPr>
                <w:rFonts w:asciiTheme="minorHAnsi" w:hAnsiTheme="minorHAnsi" w:cstheme="minorHAnsi"/>
                <w:b/>
                <w:sz w:val="20"/>
                <w:szCs w:val="20"/>
              </w:rPr>
            </w:pPr>
          </w:p>
          <w:tbl>
            <w:tblPr>
              <w:tblStyle w:val="Mkatabulky"/>
              <w:tblW w:w="9410" w:type="dxa"/>
              <w:tblLayout w:type="fixed"/>
              <w:tblLook w:val="04A0" w:firstRow="1" w:lastRow="0" w:firstColumn="1" w:lastColumn="0" w:noHBand="0" w:noVBand="1"/>
            </w:tblPr>
            <w:tblGrid>
              <w:gridCol w:w="2317"/>
              <w:gridCol w:w="2319"/>
              <w:gridCol w:w="1118"/>
              <w:gridCol w:w="3656"/>
            </w:tblGrid>
            <w:tr w:rsidR="00310EB2" w:rsidRPr="00310EB2" w:rsidTr="00310EB2">
              <w:trPr>
                <w:trHeight w:val="287"/>
              </w:trPr>
              <w:tc>
                <w:tcPr>
                  <w:tcW w:w="231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310EB2" w:rsidRPr="00310EB2" w:rsidRDefault="00310EB2" w:rsidP="00310EB2">
                  <w:pPr>
                    <w:jc w:val="center"/>
                    <w:rPr>
                      <w:rFonts w:asciiTheme="minorHAnsi" w:hAnsiTheme="minorHAnsi" w:cstheme="minorHAnsi"/>
                      <w:b/>
                      <w:sz w:val="18"/>
                      <w:szCs w:val="18"/>
                    </w:rPr>
                  </w:pPr>
                  <w:r w:rsidRPr="00310EB2">
                    <w:rPr>
                      <w:rFonts w:asciiTheme="minorHAnsi" w:hAnsiTheme="minorHAnsi" w:cstheme="minorHAnsi"/>
                      <w:b/>
                      <w:sz w:val="18"/>
                      <w:szCs w:val="18"/>
                    </w:rPr>
                    <w:t>Rozpočet upravený v tis. Kč</w:t>
                  </w:r>
                </w:p>
              </w:tc>
              <w:tc>
                <w:tcPr>
                  <w:tcW w:w="2319"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310EB2" w:rsidRPr="00310EB2" w:rsidRDefault="00310EB2" w:rsidP="00310EB2">
                  <w:pPr>
                    <w:jc w:val="center"/>
                    <w:rPr>
                      <w:rFonts w:asciiTheme="minorHAnsi" w:hAnsiTheme="minorHAnsi" w:cstheme="minorHAnsi"/>
                      <w:b/>
                      <w:sz w:val="18"/>
                      <w:szCs w:val="18"/>
                    </w:rPr>
                  </w:pPr>
                  <w:r w:rsidRPr="00310EB2">
                    <w:rPr>
                      <w:rFonts w:asciiTheme="minorHAnsi" w:hAnsiTheme="minorHAnsi" w:cstheme="minorHAnsi"/>
                      <w:b/>
                      <w:sz w:val="18"/>
                      <w:szCs w:val="18"/>
                    </w:rPr>
                    <w:t>Skutečnost v tis. Kč</w:t>
                  </w:r>
                </w:p>
              </w:tc>
              <w:tc>
                <w:tcPr>
                  <w:tcW w:w="111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310EB2" w:rsidRPr="00310EB2" w:rsidRDefault="00310EB2" w:rsidP="00310EB2">
                  <w:pPr>
                    <w:jc w:val="center"/>
                    <w:rPr>
                      <w:rFonts w:asciiTheme="minorHAnsi" w:hAnsiTheme="minorHAnsi" w:cstheme="minorHAnsi"/>
                      <w:b/>
                      <w:sz w:val="18"/>
                      <w:szCs w:val="18"/>
                    </w:rPr>
                  </w:pPr>
                  <w:r w:rsidRPr="00310EB2">
                    <w:rPr>
                      <w:rFonts w:asciiTheme="minorHAnsi" w:hAnsiTheme="minorHAnsi" w:cstheme="minorHAnsi"/>
                      <w:b/>
                      <w:sz w:val="18"/>
                      <w:szCs w:val="18"/>
                    </w:rPr>
                    <w:t>SK/RU v %</w:t>
                  </w:r>
                </w:p>
              </w:tc>
              <w:tc>
                <w:tcPr>
                  <w:tcW w:w="3656"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310EB2" w:rsidRPr="00310EB2" w:rsidRDefault="00310EB2" w:rsidP="00310EB2">
                  <w:pPr>
                    <w:jc w:val="center"/>
                    <w:rPr>
                      <w:rFonts w:asciiTheme="minorHAnsi" w:hAnsiTheme="minorHAnsi" w:cstheme="minorHAnsi"/>
                      <w:b/>
                      <w:sz w:val="18"/>
                      <w:szCs w:val="18"/>
                    </w:rPr>
                  </w:pPr>
                  <w:r w:rsidRPr="00310EB2">
                    <w:rPr>
                      <w:rFonts w:asciiTheme="minorHAnsi" w:hAnsiTheme="minorHAnsi" w:cstheme="minorHAnsi"/>
                      <w:b/>
                      <w:sz w:val="18"/>
                      <w:szCs w:val="18"/>
                    </w:rPr>
                    <w:t>Komentář</w:t>
                  </w:r>
                </w:p>
              </w:tc>
            </w:tr>
            <w:tr w:rsidR="00310EB2" w:rsidRPr="00310EB2" w:rsidTr="00310EB2">
              <w:trPr>
                <w:trHeight w:val="287"/>
              </w:trPr>
              <w:tc>
                <w:tcPr>
                  <w:tcW w:w="2317" w:type="dxa"/>
                  <w:tcBorders>
                    <w:top w:val="single" w:sz="4" w:space="0" w:color="auto"/>
                    <w:left w:val="single" w:sz="4" w:space="0" w:color="auto"/>
                    <w:bottom w:val="single" w:sz="4" w:space="0" w:color="auto"/>
                    <w:right w:val="single" w:sz="4" w:space="0" w:color="auto"/>
                  </w:tcBorders>
                  <w:vAlign w:val="center"/>
                  <w:hideMark/>
                </w:tcPr>
                <w:p w:rsidR="00310EB2" w:rsidRPr="00310EB2" w:rsidRDefault="00310EB2" w:rsidP="00310EB2">
                  <w:pPr>
                    <w:jc w:val="right"/>
                    <w:rPr>
                      <w:rFonts w:asciiTheme="minorHAnsi" w:hAnsiTheme="minorHAnsi" w:cstheme="minorHAnsi"/>
                      <w:sz w:val="18"/>
                      <w:szCs w:val="18"/>
                    </w:rPr>
                  </w:pPr>
                  <w:r w:rsidRPr="00310EB2">
                    <w:rPr>
                      <w:rFonts w:asciiTheme="minorHAnsi" w:hAnsiTheme="minorHAnsi" w:cstheme="minorHAnsi"/>
                      <w:sz w:val="18"/>
                      <w:szCs w:val="18"/>
                    </w:rPr>
                    <w:t>0,00</w:t>
                  </w:r>
                </w:p>
              </w:tc>
              <w:tc>
                <w:tcPr>
                  <w:tcW w:w="2319" w:type="dxa"/>
                  <w:tcBorders>
                    <w:top w:val="single" w:sz="4" w:space="0" w:color="auto"/>
                    <w:left w:val="single" w:sz="4" w:space="0" w:color="auto"/>
                    <w:bottom w:val="single" w:sz="4" w:space="0" w:color="auto"/>
                    <w:right w:val="single" w:sz="4" w:space="0" w:color="auto"/>
                  </w:tcBorders>
                  <w:vAlign w:val="center"/>
                  <w:hideMark/>
                </w:tcPr>
                <w:p w:rsidR="00310EB2" w:rsidRPr="00310EB2" w:rsidRDefault="00310EB2" w:rsidP="00310EB2">
                  <w:pPr>
                    <w:jc w:val="right"/>
                    <w:rPr>
                      <w:rFonts w:asciiTheme="minorHAnsi" w:hAnsiTheme="minorHAnsi" w:cstheme="minorHAnsi"/>
                      <w:sz w:val="18"/>
                      <w:szCs w:val="18"/>
                    </w:rPr>
                  </w:pPr>
                  <w:r w:rsidRPr="00310EB2">
                    <w:rPr>
                      <w:rFonts w:asciiTheme="minorHAnsi" w:hAnsiTheme="minorHAnsi" w:cstheme="minorHAnsi"/>
                      <w:sz w:val="18"/>
                      <w:szCs w:val="18"/>
                    </w:rPr>
                    <w:t>0,00</w:t>
                  </w:r>
                </w:p>
              </w:tc>
              <w:tc>
                <w:tcPr>
                  <w:tcW w:w="1118" w:type="dxa"/>
                  <w:tcBorders>
                    <w:top w:val="single" w:sz="4" w:space="0" w:color="auto"/>
                    <w:left w:val="single" w:sz="4" w:space="0" w:color="auto"/>
                    <w:bottom w:val="single" w:sz="4" w:space="0" w:color="auto"/>
                    <w:right w:val="single" w:sz="4" w:space="0" w:color="auto"/>
                  </w:tcBorders>
                  <w:vAlign w:val="center"/>
                  <w:hideMark/>
                </w:tcPr>
                <w:p w:rsidR="00310EB2" w:rsidRPr="00310EB2" w:rsidRDefault="00310EB2" w:rsidP="00310EB2">
                  <w:pPr>
                    <w:jc w:val="center"/>
                    <w:rPr>
                      <w:rFonts w:asciiTheme="minorHAnsi" w:hAnsiTheme="minorHAnsi" w:cstheme="minorHAnsi"/>
                      <w:sz w:val="18"/>
                      <w:szCs w:val="18"/>
                    </w:rPr>
                  </w:pPr>
                  <w:r w:rsidRPr="00310EB2">
                    <w:rPr>
                      <w:rFonts w:asciiTheme="minorHAnsi" w:hAnsiTheme="minorHAnsi" w:cstheme="minorHAnsi"/>
                      <w:sz w:val="18"/>
                      <w:szCs w:val="18"/>
                    </w:rPr>
                    <w:t>*****</w:t>
                  </w:r>
                </w:p>
              </w:tc>
              <w:tc>
                <w:tcPr>
                  <w:tcW w:w="3656" w:type="dxa"/>
                  <w:tcBorders>
                    <w:top w:val="single" w:sz="4" w:space="0" w:color="auto"/>
                    <w:left w:val="single" w:sz="4" w:space="0" w:color="auto"/>
                    <w:bottom w:val="single" w:sz="4" w:space="0" w:color="auto"/>
                    <w:right w:val="single" w:sz="4" w:space="0" w:color="auto"/>
                  </w:tcBorders>
                  <w:vAlign w:val="center"/>
                  <w:hideMark/>
                </w:tcPr>
                <w:p w:rsidR="00310EB2" w:rsidRPr="00310EB2" w:rsidRDefault="00310EB2" w:rsidP="00310EB2">
                  <w:pPr>
                    <w:rPr>
                      <w:rFonts w:asciiTheme="minorHAnsi" w:hAnsiTheme="minorHAnsi" w:cstheme="minorHAnsi"/>
                      <w:sz w:val="18"/>
                      <w:szCs w:val="18"/>
                    </w:rPr>
                  </w:pPr>
                  <w:r w:rsidRPr="00310EB2">
                    <w:rPr>
                      <w:rFonts w:asciiTheme="minorHAnsi" w:hAnsiTheme="minorHAnsi" w:cstheme="minorHAnsi"/>
                      <w:sz w:val="18"/>
                      <w:szCs w:val="18"/>
                    </w:rPr>
                    <w:t>Příjmy před konsolidací</w:t>
                  </w:r>
                </w:p>
              </w:tc>
            </w:tr>
            <w:tr w:rsidR="00310EB2" w:rsidRPr="00310EB2" w:rsidTr="00310EB2">
              <w:trPr>
                <w:trHeight w:val="287"/>
              </w:trPr>
              <w:tc>
                <w:tcPr>
                  <w:tcW w:w="2317" w:type="dxa"/>
                  <w:tcBorders>
                    <w:top w:val="single" w:sz="4" w:space="0" w:color="auto"/>
                    <w:left w:val="single" w:sz="4" w:space="0" w:color="auto"/>
                    <w:bottom w:val="single" w:sz="4" w:space="0" w:color="auto"/>
                    <w:right w:val="single" w:sz="4" w:space="0" w:color="auto"/>
                  </w:tcBorders>
                  <w:vAlign w:val="center"/>
                  <w:hideMark/>
                </w:tcPr>
                <w:p w:rsidR="00310EB2" w:rsidRPr="00310EB2" w:rsidRDefault="00310EB2" w:rsidP="00310EB2">
                  <w:pPr>
                    <w:jc w:val="right"/>
                    <w:rPr>
                      <w:rFonts w:asciiTheme="minorHAnsi" w:hAnsiTheme="minorHAnsi" w:cstheme="minorHAnsi"/>
                      <w:sz w:val="18"/>
                      <w:szCs w:val="18"/>
                    </w:rPr>
                  </w:pPr>
                  <w:r w:rsidRPr="00310EB2">
                    <w:rPr>
                      <w:rFonts w:asciiTheme="minorHAnsi" w:hAnsiTheme="minorHAnsi" w:cstheme="minorHAnsi"/>
                      <w:sz w:val="18"/>
                      <w:szCs w:val="18"/>
                    </w:rPr>
                    <w:t>0,00</w:t>
                  </w:r>
                </w:p>
              </w:tc>
              <w:tc>
                <w:tcPr>
                  <w:tcW w:w="2319" w:type="dxa"/>
                  <w:tcBorders>
                    <w:top w:val="single" w:sz="4" w:space="0" w:color="auto"/>
                    <w:left w:val="single" w:sz="4" w:space="0" w:color="auto"/>
                    <w:bottom w:val="single" w:sz="4" w:space="0" w:color="auto"/>
                    <w:right w:val="single" w:sz="4" w:space="0" w:color="auto"/>
                  </w:tcBorders>
                  <w:vAlign w:val="center"/>
                  <w:hideMark/>
                </w:tcPr>
                <w:p w:rsidR="00310EB2" w:rsidRPr="00310EB2" w:rsidRDefault="00310EB2" w:rsidP="00310EB2">
                  <w:pPr>
                    <w:jc w:val="right"/>
                    <w:rPr>
                      <w:rFonts w:asciiTheme="minorHAnsi" w:hAnsiTheme="minorHAnsi" w:cstheme="minorHAnsi"/>
                      <w:sz w:val="18"/>
                      <w:szCs w:val="18"/>
                    </w:rPr>
                  </w:pPr>
                  <w:r w:rsidRPr="00310EB2">
                    <w:rPr>
                      <w:rFonts w:asciiTheme="minorHAnsi" w:hAnsiTheme="minorHAnsi" w:cstheme="minorHAnsi"/>
                      <w:sz w:val="18"/>
                      <w:szCs w:val="18"/>
                    </w:rPr>
                    <w:t>0,00</w:t>
                  </w:r>
                </w:p>
              </w:tc>
              <w:tc>
                <w:tcPr>
                  <w:tcW w:w="1118" w:type="dxa"/>
                  <w:tcBorders>
                    <w:top w:val="single" w:sz="4" w:space="0" w:color="auto"/>
                    <w:left w:val="single" w:sz="4" w:space="0" w:color="auto"/>
                    <w:bottom w:val="single" w:sz="4" w:space="0" w:color="auto"/>
                    <w:right w:val="single" w:sz="4" w:space="0" w:color="auto"/>
                  </w:tcBorders>
                  <w:vAlign w:val="center"/>
                  <w:hideMark/>
                </w:tcPr>
                <w:p w:rsidR="00310EB2" w:rsidRPr="00310EB2" w:rsidRDefault="00310EB2" w:rsidP="00310EB2">
                  <w:pPr>
                    <w:jc w:val="center"/>
                    <w:rPr>
                      <w:rFonts w:asciiTheme="minorHAnsi" w:hAnsiTheme="minorHAnsi" w:cstheme="minorHAnsi"/>
                      <w:sz w:val="18"/>
                      <w:szCs w:val="18"/>
                    </w:rPr>
                  </w:pPr>
                  <w:r w:rsidRPr="00310EB2">
                    <w:rPr>
                      <w:rFonts w:asciiTheme="minorHAnsi" w:hAnsiTheme="minorHAnsi" w:cstheme="minorHAnsi"/>
                      <w:sz w:val="18"/>
                      <w:szCs w:val="18"/>
                    </w:rPr>
                    <w:t>*****</w:t>
                  </w:r>
                </w:p>
              </w:tc>
              <w:tc>
                <w:tcPr>
                  <w:tcW w:w="3656" w:type="dxa"/>
                  <w:tcBorders>
                    <w:top w:val="single" w:sz="4" w:space="0" w:color="auto"/>
                    <w:left w:val="single" w:sz="4" w:space="0" w:color="auto"/>
                    <w:bottom w:val="single" w:sz="4" w:space="0" w:color="auto"/>
                    <w:right w:val="single" w:sz="4" w:space="0" w:color="auto"/>
                  </w:tcBorders>
                  <w:vAlign w:val="center"/>
                  <w:hideMark/>
                </w:tcPr>
                <w:p w:rsidR="00310EB2" w:rsidRPr="00310EB2" w:rsidRDefault="00310EB2" w:rsidP="00310EB2">
                  <w:pPr>
                    <w:rPr>
                      <w:rFonts w:asciiTheme="minorHAnsi" w:hAnsiTheme="minorHAnsi" w:cstheme="minorHAnsi"/>
                      <w:sz w:val="18"/>
                      <w:szCs w:val="18"/>
                    </w:rPr>
                  </w:pPr>
                  <w:r w:rsidRPr="00310EB2">
                    <w:rPr>
                      <w:rFonts w:asciiTheme="minorHAnsi" w:hAnsiTheme="minorHAnsi" w:cstheme="minorHAnsi"/>
                      <w:sz w:val="18"/>
                      <w:szCs w:val="18"/>
                    </w:rPr>
                    <w:t>Příjmy po konsolidaci</w:t>
                  </w:r>
                </w:p>
              </w:tc>
            </w:tr>
          </w:tbl>
          <w:p w:rsidR="00310EB2" w:rsidRPr="00310EB2" w:rsidRDefault="00310EB2" w:rsidP="00310EB2">
            <w:pPr>
              <w:rPr>
                <w:rFonts w:asciiTheme="minorHAnsi" w:hAnsiTheme="minorHAnsi" w:cstheme="minorHAnsi"/>
                <w:b/>
                <w:sz w:val="20"/>
                <w:szCs w:val="20"/>
              </w:rPr>
            </w:pPr>
          </w:p>
          <w:p w:rsidR="00310EB2" w:rsidRPr="00310EB2" w:rsidRDefault="00310EB2" w:rsidP="00310EB2">
            <w:pPr>
              <w:rPr>
                <w:rFonts w:asciiTheme="minorHAnsi" w:hAnsiTheme="minorHAnsi" w:cstheme="minorHAnsi"/>
                <w:b/>
                <w:sz w:val="20"/>
                <w:szCs w:val="20"/>
              </w:rPr>
            </w:pPr>
            <w:r w:rsidRPr="00310EB2">
              <w:rPr>
                <w:rFonts w:asciiTheme="minorHAnsi" w:hAnsiTheme="minorHAnsi" w:cstheme="minorHAnsi"/>
                <w:b/>
                <w:sz w:val="20"/>
                <w:szCs w:val="20"/>
              </w:rPr>
              <w:t>Stručný komentář k celkovému vývoji plnění příjmů kapitoly za rok 2022.</w:t>
            </w:r>
          </w:p>
          <w:p w:rsidR="00310EB2" w:rsidRPr="00310EB2" w:rsidRDefault="00310EB2" w:rsidP="00310EB2">
            <w:pPr>
              <w:rPr>
                <w:rFonts w:asciiTheme="minorHAnsi" w:hAnsiTheme="minorHAnsi" w:cstheme="minorHAnsi"/>
                <w:b/>
                <w:sz w:val="20"/>
                <w:szCs w:val="20"/>
              </w:rPr>
            </w:pPr>
          </w:p>
          <w:tbl>
            <w:tblPr>
              <w:tblStyle w:val="Mkatabulky"/>
              <w:tblW w:w="9412" w:type="dxa"/>
              <w:tblLayout w:type="fixed"/>
              <w:tblLook w:val="04A0" w:firstRow="1" w:lastRow="0" w:firstColumn="1" w:lastColumn="0" w:noHBand="0" w:noVBand="1"/>
            </w:tblPr>
            <w:tblGrid>
              <w:gridCol w:w="9412"/>
            </w:tblGrid>
            <w:tr w:rsidR="00310EB2" w:rsidRPr="00310EB2" w:rsidTr="00310EB2">
              <w:trPr>
                <w:trHeight w:val="245"/>
              </w:trPr>
              <w:tc>
                <w:tcPr>
                  <w:tcW w:w="9412" w:type="dxa"/>
                  <w:tcBorders>
                    <w:top w:val="single" w:sz="4" w:space="0" w:color="auto"/>
                    <w:left w:val="single" w:sz="4" w:space="0" w:color="auto"/>
                    <w:bottom w:val="single" w:sz="4" w:space="0" w:color="auto"/>
                    <w:right w:val="single" w:sz="4" w:space="0" w:color="auto"/>
                  </w:tcBorders>
                  <w:hideMark/>
                </w:tcPr>
                <w:p w:rsidR="00310EB2" w:rsidRPr="00310EB2" w:rsidRDefault="00310EB2" w:rsidP="00310EB2">
                  <w:pPr>
                    <w:jc w:val="both"/>
                    <w:rPr>
                      <w:rFonts w:asciiTheme="minorHAnsi" w:hAnsiTheme="minorHAnsi" w:cstheme="minorHAnsi"/>
                      <w:sz w:val="20"/>
                      <w:szCs w:val="20"/>
                    </w:rPr>
                  </w:pPr>
                  <w:r>
                    <w:rPr>
                      <w:rFonts w:asciiTheme="minorHAnsi" w:hAnsiTheme="minorHAnsi" w:cstheme="minorHAnsi"/>
                      <w:sz w:val="20"/>
                      <w:szCs w:val="20"/>
                    </w:rPr>
                    <w:t>Kapitola vznikla k </w:t>
                  </w:r>
                  <w:r w:rsidRPr="00310EB2">
                    <w:rPr>
                      <w:rFonts w:asciiTheme="minorHAnsi" w:hAnsiTheme="minorHAnsi" w:cstheme="minorHAnsi"/>
                      <w:sz w:val="20"/>
                      <w:szCs w:val="20"/>
                    </w:rPr>
                    <w:t>1.</w:t>
                  </w:r>
                  <w:r>
                    <w:rPr>
                      <w:rFonts w:asciiTheme="minorHAnsi" w:hAnsiTheme="minorHAnsi" w:cstheme="minorHAnsi"/>
                      <w:sz w:val="20"/>
                      <w:szCs w:val="20"/>
                    </w:rPr>
                    <w:t xml:space="preserve"> </w:t>
                  </w:r>
                  <w:r w:rsidRPr="00310EB2">
                    <w:rPr>
                      <w:rFonts w:asciiTheme="minorHAnsi" w:hAnsiTheme="minorHAnsi" w:cstheme="minorHAnsi"/>
                      <w:sz w:val="20"/>
                      <w:szCs w:val="20"/>
                    </w:rPr>
                    <w:t xml:space="preserve">6. 2020 a nemá žádné rozpočtované příjmy. </w:t>
                  </w:r>
                </w:p>
              </w:tc>
            </w:tr>
          </w:tbl>
          <w:p w:rsidR="00310EB2" w:rsidRPr="00310EB2" w:rsidRDefault="00310EB2" w:rsidP="00310EB2">
            <w:pPr>
              <w:rPr>
                <w:rFonts w:asciiTheme="minorHAnsi" w:hAnsiTheme="minorHAnsi" w:cstheme="minorHAnsi"/>
                <w:b/>
                <w:sz w:val="20"/>
                <w:szCs w:val="20"/>
              </w:rPr>
            </w:pPr>
          </w:p>
          <w:p w:rsidR="00310EB2" w:rsidRPr="00310EB2" w:rsidRDefault="00310EB2" w:rsidP="00310EB2">
            <w:pPr>
              <w:shd w:val="clear" w:color="auto" w:fill="F4B083" w:themeFill="accent2" w:themeFillTint="99"/>
              <w:rPr>
                <w:rFonts w:asciiTheme="minorHAnsi" w:hAnsiTheme="minorHAnsi" w:cstheme="minorHAnsi"/>
                <w:b/>
                <w:sz w:val="20"/>
                <w:szCs w:val="20"/>
                <w:u w:val="single"/>
              </w:rPr>
            </w:pPr>
            <w:r w:rsidRPr="00310EB2">
              <w:rPr>
                <w:rFonts w:asciiTheme="minorHAnsi" w:hAnsiTheme="minorHAnsi" w:cstheme="minorHAnsi"/>
                <w:b/>
                <w:sz w:val="20"/>
                <w:szCs w:val="20"/>
                <w:u w:val="single"/>
              </w:rPr>
              <w:t>Rozbor plnění výdajů rozpočtu kapitoly</w:t>
            </w:r>
          </w:p>
          <w:p w:rsidR="00310EB2" w:rsidRPr="00310EB2" w:rsidRDefault="00310EB2" w:rsidP="00310EB2">
            <w:pPr>
              <w:rPr>
                <w:rFonts w:asciiTheme="minorHAnsi" w:hAnsiTheme="minorHAnsi" w:cstheme="minorHAnsi"/>
                <w:b/>
                <w:sz w:val="20"/>
                <w:szCs w:val="20"/>
              </w:rPr>
            </w:pPr>
          </w:p>
          <w:tbl>
            <w:tblPr>
              <w:tblStyle w:val="Mkatabulky"/>
              <w:tblW w:w="9431" w:type="dxa"/>
              <w:tblLayout w:type="fixed"/>
              <w:tblLook w:val="04A0" w:firstRow="1" w:lastRow="0" w:firstColumn="1" w:lastColumn="0" w:noHBand="0" w:noVBand="1"/>
            </w:tblPr>
            <w:tblGrid>
              <w:gridCol w:w="2322"/>
              <w:gridCol w:w="2324"/>
              <w:gridCol w:w="1121"/>
              <w:gridCol w:w="3664"/>
            </w:tblGrid>
            <w:tr w:rsidR="00310EB2" w:rsidRPr="00310EB2" w:rsidTr="00310EB2">
              <w:trPr>
                <w:trHeight w:val="428"/>
              </w:trPr>
              <w:tc>
                <w:tcPr>
                  <w:tcW w:w="2322"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310EB2" w:rsidRPr="00310EB2" w:rsidRDefault="00310EB2" w:rsidP="00310EB2">
                  <w:pPr>
                    <w:jc w:val="center"/>
                    <w:rPr>
                      <w:rFonts w:asciiTheme="minorHAnsi" w:hAnsiTheme="minorHAnsi" w:cstheme="minorHAnsi"/>
                      <w:b/>
                      <w:sz w:val="18"/>
                      <w:szCs w:val="18"/>
                    </w:rPr>
                  </w:pPr>
                  <w:r w:rsidRPr="00310EB2">
                    <w:rPr>
                      <w:rFonts w:asciiTheme="minorHAnsi" w:hAnsiTheme="minorHAnsi" w:cstheme="minorHAnsi"/>
                      <w:b/>
                      <w:sz w:val="18"/>
                      <w:szCs w:val="18"/>
                    </w:rPr>
                    <w:t>Rozpočet upravený v tis. Kč</w:t>
                  </w:r>
                </w:p>
              </w:tc>
              <w:tc>
                <w:tcPr>
                  <w:tcW w:w="2324"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310EB2" w:rsidRPr="00310EB2" w:rsidRDefault="00310EB2" w:rsidP="00310EB2">
                  <w:pPr>
                    <w:jc w:val="center"/>
                    <w:rPr>
                      <w:rFonts w:asciiTheme="minorHAnsi" w:hAnsiTheme="minorHAnsi" w:cstheme="minorHAnsi"/>
                      <w:b/>
                      <w:sz w:val="18"/>
                      <w:szCs w:val="18"/>
                    </w:rPr>
                  </w:pPr>
                  <w:r w:rsidRPr="00310EB2">
                    <w:rPr>
                      <w:rFonts w:asciiTheme="minorHAnsi" w:hAnsiTheme="minorHAnsi" w:cstheme="minorHAnsi"/>
                      <w:b/>
                      <w:sz w:val="18"/>
                      <w:szCs w:val="18"/>
                    </w:rPr>
                    <w:t>Skutečnost v tis. Kč</w:t>
                  </w:r>
                </w:p>
              </w:tc>
              <w:tc>
                <w:tcPr>
                  <w:tcW w:w="1121"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310EB2" w:rsidRPr="00310EB2" w:rsidRDefault="00310EB2" w:rsidP="00310EB2">
                  <w:pPr>
                    <w:jc w:val="center"/>
                    <w:rPr>
                      <w:rFonts w:asciiTheme="minorHAnsi" w:hAnsiTheme="minorHAnsi" w:cstheme="minorHAnsi"/>
                      <w:b/>
                      <w:sz w:val="18"/>
                      <w:szCs w:val="18"/>
                    </w:rPr>
                  </w:pPr>
                  <w:r w:rsidRPr="00310EB2">
                    <w:rPr>
                      <w:rFonts w:asciiTheme="minorHAnsi" w:hAnsiTheme="minorHAnsi" w:cstheme="minorHAnsi"/>
                      <w:b/>
                      <w:sz w:val="18"/>
                      <w:szCs w:val="18"/>
                    </w:rPr>
                    <w:t>SK/RU v %</w:t>
                  </w:r>
                </w:p>
              </w:tc>
              <w:tc>
                <w:tcPr>
                  <w:tcW w:w="3664"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310EB2" w:rsidRPr="00310EB2" w:rsidRDefault="00310EB2" w:rsidP="00310EB2">
                  <w:pPr>
                    <w:jc w:val="center"/>
                    <w:rPr>
                      <w:rFonts w:asciiTheme="minorHAnsi" w:hAnsiTheme="minorHAnsi" w:cstheme="minorHAnsi"/>
                      <w:b/>
                      <w:sz w:val="18"/>
                      <w:szCs w:val="18"/>
                    </w:rPr>
                  </w:pPr>
                  <w:r w:rsidRPr="00310EB2">
                    <w:rPr>
                      <w:rFonts w:asciiTheme="minorHAnsi" w:hAnsiTheme="minorHAnsi" w:cstheme="minorHAnsi"/>
                      <w:b/>
                      <w:sz w:val="18"/>
                      <w:szCs w:val="18"/>
                    </w:rPr>
                    <w:t>Komentář</w:t>
                  </w:r>
                </w:p>
              </w:tc>
            </w:tr>
            <w:tr w:rsidR="00310EB2" w:rsidRPr="00310EB2" w:rsidTr="00310EB2">
              <w:trPr>
                <w:trHeight w:val="299"/>
              </w:trPr>
              <w:tc>
                <w:tcPr>
                  <w:tcW w:w="2322" w:type="dxa"/>
                  <w:tcBorders>
                    <w:top w:val="single" w:sz="4" w:space="0" w:color="auto"/>
                    <w:left w:val="single" w:sz="4" w:space="0" w:color="auto"/>
                    <w:bottom w:val="single" w:sz="4" w:space="0" w:color="auto"/>
                    <w:right w:val="single" w:sz="4" w:space="0" w:color="auto"/>
                  </w:tcBorders>
                  <w:vAlign w:val="center"/>
                  <w:hideMark/>
                </w:tcPr>
                <w:p w:rsidR="00310EB2" w:rsidRPr="00310EB2" w:rsidRDefault="00310EB2" w:rsidP="00310EB2">
                  <w:pPr>
                    <w:jc w:val="right"/>
                    <w:rPr>
                      <w:rFonts w:asciiTheme="minorHAnsi" w:hAnsiTheme="minorHAnsi" w:cstheme="minorHAnsi"/>
                      <w:sz w:val="18"/>
                      <w:szCs w:val="18"/>
                    </w:rPr>
                  </w:pPr>
                  <w:r w:rsidRPr="00310EB2">
                    <w:rPr>
                      <w:rFonts w:asciiTheme="minorHAnsi" w:hAnsiTheme="minorHAnsi" w:cstheme="minorHAnsi"/>
                      <w:sz w:val="18"/>
                      <w:szCs w:val="18"/>
                    </w:rPr>
                    <w:t>9,00</w:t>
                  </w:r>
                </w:p>
              </w:tc>
              <w:tc>
                <w:tcPr>
                  <w:tcW w:w="2324" w:type="dxa"/>
                  <w:tcBorders>
                    <w:top w:val="single" w:sz="4" w:space="0" w:color="auto"/>
                    <w:left w:val="single" w:sz="4" w:space="0" w:color="auto"/>
                    <w:bottom w:val="single" w:sz="4" w:space="0" w:color="auto"/>
                    <w:right w:val="single" w:sz="4" w:space="0" w:color="auto"/>
                  </w:tcBorders>
                  <w:vAlign w:val="center"/>
                  <w:hideMark/>
                </w:tcPr>
                <w:p w:rsidR="00310EB2" w:rsidRPr="00310EB2" w:rsidRDefault="00310EB2" w:rsidP="00310EB2">
                  <w:pPr>
                    <w:jc w:val="right"/>
                    <w:rPr>
                      <w:rFonts w:asciiTheme="minorHAnsi" w:hAnsiTheme="minorHAnsi" w:cstheme="minorHAnsi"/>
                      <w:sz w:val="18"/>
                      <w:szCs w:val="18"/>
                    </w:rPr>
                  </w:pPr>
                  <w:r w:rsidRPr="00310EB2">
                    <w:rPr>
                      <w:rFonts w:asciiTheme="minorHAnsi" w:hAnsiTheme="minorHAnsi" w:cstheme="minorHAnsi"/>
                      <w:sz w:val="18"/>
                      <w:szCs w:val="18"/>
                    </w:rPr>
                    <w:t>3,32</w:t>
                  </w:r>
                </w:p>
              </w:tc>
              <w:tc>
                <w:tcPr>
                  <w:tcW w:w="1121" w:type="dxa"/>
                  <w:tcBorders>
                    <w:top w:val="single" w:sz="4" w:space="0" w:color="auto"/>
                    <w:left w:val="single" w:sz="4" w:space="0" w:color="auto"/>
                    <w:bottom w:val="single" w:sz="4" w:space="0" w:color="auto"/>
                    <w:right w:val="single" w:sz="4" w:space="0" w:color="auto"/>
                  </w:tcBorders>
                  <w:vAlign w:val="center"/>
                  <w:hideMark/>
                </w:tcPr>
                <w:p w:rsidR="00310EB2" w:rsidRPr="00310EB2" w:rsidRDefault="00310EB2" w:rsidP="00310EB2">
                  <w:pPr>
                    <w:jc w:val="center"/>
                    <w:rPr>
                      <w:rFonts w:asciiTheme="minorHAnsi" w:hAnsiTheme="minorHAnsi" w:cstheme="minorHAnsi"/>
                      <w:sz w:val="18"/>
                      <w:szCs w:val="18"/>
                    </w:rPr>
                  </w:pPr>
                  <w:r w:rsidRPr="00310EB2">
                    <w:rPr>
                      <w:rFonts w:asciiTheme="minorHAnsi" w:hAnsiTheme="minorHAnsi" w:cstheme="minorHAnsi"/>
                      <w:sz w:val="18"/>
                      <w:szCs w:val="18"/>
                    </w:rPr>
                    <w:t>36,84</w:t>
                  </w:r>
                </w:p>
              </w:tc>
              <w:tc>
                <w:tcPr>
                  <w:tcW w:w="3664" w:type="dxa"/>
                  <w:tcBorders>
                    <w:top w:val="single" w:sz="4" w:space="0" w:color="auto"/>
                    <w:left w:val="single" w:sz="4" w:space="0" w:color="auto"/>
                    <w:bottom w:val="single" w:sz="4" w:space="0" w:color="auto"/>
                    <w:right w:val="single" w:sz="4" w:space="0" w:color="auto"/>
                  </w:tcBorders>
                  <w:vAlign w:val="center"/>
                  <w:hideMark/>
                </w:tcPr>
                <w:p w:rsidR="00310EB2" w:rsidRPr="00310EB2" w:rsidRDefault="00310EB2" w:rsidP="00310EB2">
                  <w:pPr>
                    <w:rPr>
                      <w:rFonts w:asciiTheme="minorHAnsi" w:hAnsiTheme="minorHAnsi" w:cstheme="minorHAnsi"/>
                      <w:sz w:val="18"/>
                      <w:szCs w:val="18"/>
                    </w:rPr>
                  </w:pPr>
                  <w:r w:rsidRPr="00310EB2">
                    <w:rPr>
                      <w:rFonts w:asciiTheme="minorHAnsi" w:hAnsiTheme="minorHAnsi" w:cstheme="minorHAnsi"/>
                      <w:sz w:val="18"/>
                      <w:szCs w:val="18"/>
                    </w:rPr>
                    <w:t>Platba za oznámení do věstníku veřejných zakázek.</w:t>
                  </w:r>
                </w:p>
              </w:tc>
            </w:tr>
          </w:tbl>
          <w:p w:rsidR="00310EB2" w:rsidRPr="00310EB2" w:rsidRDefault="00310EB2" w:rsidP="00310EB2">
            <w:pPr>
              <w:rPr>
                <w:rFonts w:asciiTheme="minorHAnsi" w:hAnsiTheme="minorHAnsi" w:cstheme="minorHAnsi"/>
                <w:b/>
                <w:sz w:val="20"/>
                <w:szCs w:val="20"/>
              </w:rPr>
            </w:pPr>
          </w:p>
          <w:p w:rsidR="00310EB2" w:rsidRPr="00310EB2" w:rsidRDefault="00310EB2" w:rsidP="00310EB2">
            <w:pPr>
              <w:rPr>
                <w:rFonts w:asciiTheme="minorHAnsi" w:hAnsiTheme="minorHAnsi" w:cstheme="minorHAnsi"/>
                <w:b/>
                <w:sz w:val="20"/>
                <w:szCs w:val="20"/>
              </w:rPr>
            </w:pPr>
            <w:r w:rsidRPr="00310EB2">
              <w:rPr>
                <w:rFonts w:asciiTheme="minorHAnsi" w:hAnsiTheme="minorHAnsi" w:cstheme="minorHAnsi"/>
                <w:b/>
                <w:sz w:val="20"/>
                <w:szCs w:val="20"/>
              </w:rPr>
              <w:t>Stručný komentář k celkovému vývoji čerpání výdajů kapitoly za rok 2022.</w:t>
            </w:r>
          </w:p>
          <w:p w:rsidR="00310EB2" w:rsidRPr="00310EB2" w:rsidRDefault="00310EB2" w:rsidP="00310EB2">
            <w:pPr>
              <w:rPr>
                <w:rFonts w:asciiTheme="minorHAnsi" w:hAnsiTheme="minorHAnsi" w:cstheme="minorHAnsi"/>
                <w:b/>
                <w:sz w:val="20"/>
                <w:szCs w:val="20"/>
              </w:rPr>
            </w:pPr>
          </w:p>
          <w:tbl>
            <w:tblPr>
              <w:tblStyle w:val="Mkatabulky"/>
              <w:tblW w:w="9460" w:type="dxa"/>
              <w:tblLayout w:type="fixed"/>
              <w:tblLook w:val="04A0" w:firstRow="1" w:lastRow="0" w:firstColumn="1" w:lastColumn="0" w:noHBand="0" w:noVBand="1"/>
            </w:tblPr>
            <w:tblGrid>
              <w:gridCol w:w="9460"/>
            </w:tblGrid>
            <w:tr w:rsidR="00310EB2" w:rsidRPr="00310EB2" w:rsidTr="00310EB2">
              <w:trPr>
                <w:trHeight w:val="329"/>
              </w:trPr>
              <w:tc>
                <w:tcPr>
                  <w:tcW w:w="9460" w:type="dxa"/>
                  <w:tcBorders>
                    <w:top w:val="single" w:sz="4" w:space="0" w:color="auto"/>
                    <w:left w:val="single" w:sz="4" w:space="0" w:color="auto"/>
                    <w:bottom w:val="single" w:sz="4" w:space="0" w:color="auto"/>
                    <w:right w:val="single" w:sz="4" w:space="0" w:color="auto"/>
                  </w:tcBorders>
                </w:tcPr>
                <w:p w:rsidR="00310EB2" w:rsidRPr="00310EB2" w:rsidRDefault="00310EB2" w:rsidP="00310EB2">
                  <w:pPr>
                    <w:pStyle w:val="Zkladntext"/>
                    <w:tabs>
                      <w:tab w:val="left" w:pos="-284"/>
                    </w:tabs>
                    <w:jc w:val="both"/>
                    <w:rPr>
                      <w:rFonts w:asciiTheme="minorHAnsi" w:hAnsiTheme="minorHAnsi" w:cstheme="minorHAnsi"/>
                      <w:b w:val="0"/>
                      <w:sz w:val="20"/>
                      <w:u w:val="none"/>
                    </w:rPr>
                  </w:pPr>
                  <w:r w:rsidRPr="00310EB2">
                    <w:rPr>
                      <w:rFonts w:asciiTheme="minorHAnsi" w:hAnsiTheme="minorHAnsi" w:cstheme="minorHAnsi"/>
                      <w:b w:val="0"/>
                      <w:sz w:val="20"/>
                      <w:u w:val="none"/>
                    </w:rPr>
                    <w:t>Částka ve výši 3 315 Kč se jedná o finanční prostředky na úhradu uživatelského poplatku za zveřejňování informací ve Věstníku veřejných zakázek.</w:t>
                  </w:r>
                </w:p>
                <w:p w:rsidR="00310EB2" w:rsidRPr="00310EB2" w:rsidRDefault="00310EB2" w:rsidP="00310EB2">
                  <w:pPr>
                    <w:pStyle w:val="Zkladntext"/>
                    <w:tabs>
                      <w:tab w:val="left" w:pos="-284"/>
                    </w:tabs>
                    <w:rPr>
                      <w:rFonts w:asciiTheme="minorHAnsi" w:hAnsiTheme="minorHAnsi" w:cstheme="minorHAnsi"/>
                      <w:sz w:val="20"/>
                    </w:rPr>
                  </w:pPr>
                </w:p>
              </w:tc>
            </w:tr>
          </w:tbl>
          <w:p w:rsidR="00310EB2" w:rsidRPr="00310EB2" w:rsidRDefault="00310EB2" w:rsidP="00310EB2">
            <w:pPr>
              <w:rPr>
                <w:rFonts w:asciiTheme="minorHAnsi" w:hAnsiTheme="minorHAnsi" w:cstheme="minorHAnsi"/>
                <w:b/>
                <w:sz w:val="20"/>
                <w:szCs w:val="20"/>
              </w:rPr>
            </w:pPr>
          </w:p>
          <w:p w:rsidR="00310EB2" w:rsidRPr="00310EB2" w:rsidRDefault="00310EB2" w:rsidP="00310EB2">
            <w:pPr>
              <w:rPr>
                <w:rFonts w:asciiTheme="minorHAnsi" w:hAnsiTheme="minorHAnsi" w:cstheme="minorHAnsi"/>
                <w:b/>
                <w:sz w:val="20"/>
                <w:szCs w:val="20"/>
              </w:rPr>
            </w:pPr>
          </w:p>
          <w:p w:rsidR="00310EB2" w:rsidRPr="00310EB2" w:rsidRDefault="00310EB2" w:rsidP="00310EB2">
            <w:pPr>
              <w:rPr>
                <w:rFonts w:asciiTheme="minorHAnsi" w:hAnsiTheme="minorHAnsi" w:cstheme="minorHAnsi"/>
                <w:b/>
                <w:sz w:val="20"/>
                <w:szCs w:val="20"/>
              </w:rPr>
            </w:pPr>
            <w:r w:rsidRPr="00310EB2">
              <w:rPr>
                <w:rFonts w:asciiTheme="minorHAnsi" w:hAnsiTheme="minorHAnsi" w:cstheme="minorHAnsi"/>
                <w:b/>
                <w:sz w:val="20"/>
                <w:szCs w:val="20"/>
              </w:rPr>
              <w:t>Přehled schválených rozpočtových opatření k 31. 12. 2022:</w:t>
            </w:r>
          </w:p>
          <w:p w:rsidR="00310EB2" w:rsidRPr="00310EB2" w:rsidRDefault="00310EB2" w:rsidP="00310EB2">
            <w:pPr>
              <w:rPr>
                <w:rFonts w:asciiTheme="minorHAnsi" w:hAnsiTheme="minorHAnsi" w:cstheme="minorHAnsi"/>
                <w:b/>
                <w:sz w:val="20"/>
                <w:szCs w:val="20"/>
              </w:rPr>
            </w:pPr>
          </w:p>
          <w:p w:rsidR="00310EB2" w:rsidRPr="00310EB2" w:rsidRDefault="00310EB2" w:rsidP="00310EB2">
            <w:pPr>
              <w:rPr>
                <w:rFonts w:asciiTheme="minorHAnsi" w:hAnsiTheme="minorHAnsi" w:cstheme="minorHAnsi"/>
                <w:sz w:val="20"/>
                <w:szCs w:val="20"/>
              </w:rPr>
            </w:pPr>
            <w:r w:rsidRPr="00310EB2">
              <w:rPr>
                <w:rFonts w:asciiTheme="minorHAnsi" w:hAnsiTheme="minorHAnsi" w:cstheme="minorHAnsi"/>
                <w:sz w:val="20"/>
                <w:szCs w:val="20"/>
              </w:rPr>
              <w:t>Nebylo schváleno žádné rozpočtové opatření.</w:t>
            </w:r>
          </w:p>
          <w:p w:rsidR="00310EB2" w:rsidRPr="00310EB2" w:rsidRDefault="00310EB2" w:rsidP="00310EB2">
            <w:pPr>
              <w:rPr>
                <w:rFonts w:asciiTheme="minorHAnsi" w:hAnsiTheme="minorHAnsi" w:cstheme="minorHAnsi"/>
                <w:b/>
                <w:sz w:val="20"/>
                <w:szCs w:val="20"/>
              </w:rPr>
            </w:pPr>
          </w:p>
          <w:p w:rsidR="00310EB2" w:rsidRPr="00310EB2" w:rsidRDefault="00310EB2" w:rsidP="00310EB2">
            <w:pPr>
              <w:rPr>
                <w:rFonts w:asciiTheme="minorHAnsi" w:hAnsiTheme="minorHAnsi" w:cstheme="minorHAnsi"/>
                <w:b/>
                <w:sz w:val="20"/>
                <w:szCs w:val="20"/>
              </w:rPr>
            </w:pPr>
          </w:p>
          <w:p w:rsidR="002E38B4" w:rsidRPr="00310EB2" w:rsidRDefault="00310EB2" w:rsidP="002E38B4">
            <w:pPr>
              <w:rPr>
                <w:rFonts w:asciiTheme="minorHAnsi" w:hAnsiTheme="minorHAnsi" w:cstheme="minorHAnsi"/>
                <w:b/>
                <w:sz w:val="20"/>
                <w:szCs w:val="20"/>
              </w:rPr>
            </w:pPr>
            <w:r w:rsidRPr="00310EB2">
              <w:rPr>
                <w:rFonts w:asciiTheme="minorHAnsi" w:hAnsiTheme="minorHAnsi" w:cstheme="minorHAnsi"/>
                <w:b/>
                <w:sz w:val="20"/>
                <w:szCs w:val="20"/>
              </w:rPr>
              <w:t xml:space="preserve"> Prostějov: </w:t>
            </w:r>
            <w:r>
              <w:rPr>
                <w:rFonts w:asciiTheme="minorHAnsi" w:hAnsiTheme="minorHAnsi" w:cstheme="minorHAnsi"/>
                <w:b/>
                <w:sz w:val="20"/>
                <w:szCs w:val="20"/>
              </w:rPr>
              <w:t xml:space="preserve">8. </w:t>
            </w:r>
            <w:r w:rsidRPr="00310EB2">
              <w:rPr>
                <w:rFonts w:asciiTheme="minorHAnsi" w:hAnsiTheme="minorHAnsi" w:cstheme="minorHAnsi"/>
                <w:b/>
                <w:sz w:val="20"/>
                <w:szCs w:val="20"/>
              </w:rPr>
              <w:t xml:space="preserve">2. 2023  </w:t>
            </w:r>
            <w:r w:rsidRPr="00310EB2">
              <w:rPr>
                <w:rFonts w:asciiTheme="minorHAnsi" w:hAnsiTheme="minorHAnsi" w:cstheme="minorHAnsi"/>
                <w:b/>
                <w:sz w:val="20"/>
                <w:szCs w:val="20"/>
              </w:rPr>
              <w:tab/>
            </w:r>
            <w:r w:rsidRPr="00310EB2">
              <w:rPr>
                <w:rFonts w:asciiTheme="minorHAnsi" w:hAnsiTheme="minorHAnsi" w:cstheme="minorHAnsi"/>
                <w:b/>
                <w:sz w:val="20"/>
                <w:szCs w:val="20"/>
              </w:rPr>
              <w:tab/>
            </w:r>
            <w:r w:rsidRPr="00310EB2">
              <w:rPr>
                <w:rFonts w:asciiTheme="minorHAnsi" w:hAnsiTheme="minorHAnsi" w:cstheme="minorHAnsi"/>
                <w:b/>
                <w:sz w:val="20"/>
                <w:szCs w:val="20"/>
              </w:rPr>
              <w:tab/>
            </w:r>
            <w:r w:rsidRPr="00310EB2">
              <w:rPr>
                <w:rFonts w:asciiTheme="minorHAnsi" w:hAnsiTheme="minorHAnsi" w:cstheme="minorHAnsi"/>
                <w:b/>
                <w:sz w:val="20"/>
                <w:szCs w:val="20"/>
              </w:rPr>
              <w:tab/>
            </w:r>
            <w:r w:rsidRPr="00310EB2">
              <w:rPr>
                <w:rFonts w:asciiTheme="minorHAnsi" w:hAnsiTheme="minorHAnsi" w:cstheme="minorHAnsi"/>
                <w:b/>
                <w:sz w:val="20"/>
                <w:szCs w:val="20"/>
              </w:rPr>
              <w:tab/>
            </w:r>
            <w:r w:rsidRPr="00310EB2">
              <w:rPr>
                <w:rFonts w:asciiTheme="minorHAnsi" w:hAnsiTheme="minorHAnsi" w:cstheme="minorHAnsi"/>
                <w:b/>
                <w:sz w:val="20"/>
                <w:szCs w:val="20"/>
              </w:rPr>
              <w:tab/>
              <w:t>Správce kapitoly: Bc. Lenka Rašková</w:t>
            </w:r>
          </w:p>
        </w:tc>
      </w:tr>
    </w:tbl>
    <w:p w:rsidR="00C5133F" w:rsidRDefault="00C5133F" w:rsidP="00C5133F">
      <w:pPr>
        <w:spacing w:after="200" w:line="276" w:lineRule="auto"/>
        <w:rPr>
          <w:rFonts w:asciiTheme="minorHAnsi" w:hAnsiTheme="minorHAnsi" w:cstheme="minorHAnsi"/>
          <w:b/>
          <w:sz w:val="18"/>
        </w:rPr>
      </w:pPr>
    </w:p>
    <w:p w:rsidR="002E38B4" w:rsidRPr="00192613" w:rsidRDefault="002E38B4" w:rsidP="002E38B4">
      <w:pPr>
        <w:rPr>
          <w:rFonts w:asciiTheme="minorHAnsi" w:hAnsiTheme="minorHAnsi" w:cstheme="minorHAnsi"/>
          <w:b/>
          <w:sz w:val="20"/>
          <w:szCs w:val="20"/>
        </w:rPr>
      </w:pPr>
    </w:p>
    <w:p w:rsidR="002E38B4" w:rsidRDefault="002E38B4" w:rsidP="002E38B4">
      <w:pPr>
        <w:rPr>
          <w:color w:val="A6A6A6" w:themeColor="background1" w:themeShade="A6"/>
        </w:rPr>
      </w:pPr>
      <w:r>
        <w:rPr>
          <w:color w:val="A6A6A6" w:themeColor="background1" w:themeShade="A6"/>
        </w:rPr>
        <w:br w:type="page"/>
      </w:r>
    </w:p>
    <w:tbl>
      <w:tblPr>
        <w:tblW w:w="12490" w:type="dxa"/>
        <w:tblInd w:w="-72" w:type="dxa"/>
        <w:tblLayout w:type="fixed"/>
        <w:tblCellMar>
          <w:left w:w="70" w:type="dxa"/>
          <w:right w:w="70" w:type="dxa"/>
        </w:tblCellMar>
        <w:tblLook w:val="0000" w:firstRow="0" w:lastRow="0" w:firstColumn="0" w:lastColumn="0" w:noHBand="0" w:noVBand="0"/>
      </w:tblPr>
      <w:tblGrid>
        <w:gridCol w:w="457"/>
        <w:gridCol w:w="3"/>
        <w:gridCol w:w="386"/>
        <w:gridCol w:w="6"/>
        <w:gridCol w:w="521"/>
        <w:gridCol w:w="7"/>
        <w:gridCol w:w="105"/>
        <w:gridCol w:w="5"/>
        <w:gridCol w:w="43"/>
        <w:gridCol w:w="7"/>
        <w:gridCol w:w="292"/>
        <w:gridCol w:w="460"/>
        <w:gridCol w:w="460"/>
        <w:gridCol w:w="8"/>
        <w:gridCol w:w="6"/>
        <w:gridCol w:w="275"/>
        <w:gridCol w:w="160"/>
        <w:gridCol w:w="11"/>
        <w:gridCol w:w="60"/>
        <w:gridCol w:w="338"/>
        <w:gridCol w:w="6"/>
        <w:gridCol w:w="116"/>
        <w:gridCol w:w="389"/>
        <w:gridCol w:w="11"/>
        <w:gridCol w:w="60"/>
        <w:gridCol w:w="337"/>
        <w:gridCol w:w="8"/>
        <w:gridCol w:w="44"/>
        <w:gridCol w:w="71"/>
        <w:gridCol w:w="345"/>
        <w:gridCol w:w="44"/>
        <w:gridCol w:w="11"/>
        <w:gridCol w:w="60"/>
        <w:gridCol w:w="326"/>
        <w:gridCol w:w="19"/>
        <w:gridCol w:w="115"/>
        <w:gridCol w:w="25"/>
        <w:gridCol w:w="320"/>
        <w:gridCol w:w="44"/>
        <w:gridCol w:w="61"/>
        <w:gridCol w:w="10"/>
        <w:gridCol w:w="345"/>
        <w:gridCol w:w="55"/>
        <w:gridCol w:w="60"/>
        <w:gridCol w:w="282"/>
        <w:gridCol w:w="178"/>
        <w:gridCol w:w="66"/>
        <w:gridCol w:w="94"/>
        <w:gridCol w:w="185"/>
        <w:gridCol w:w="50"/>
        <w:gridCol w:w="254"/>
        <w:gridCol w:w="24"/>
        <w:gridCol w:w="182"/>
        <w:gridCol w:w="65"/>
        <w:gridCol w:w="189"/>
        <w:gridCol w:w="156"/>
        <w:gridCol w:w="50"/>
        <w:gridCol w:w="65"/>
        <w:gridCol w:w="189"/>
        <w:gridCol w:w="156"/>
        <w:gridCol w:w="50"/>
        <w:gridCol w:w="65"/>
        <w:gridCol w:w="189"/>
        <w:gridCol w:w="156"/>
        <w:gridCol w:w="50"/>
        <w:gridCol w:w="254"/>
        <w:gridCol w:w="156"/>
        <w:gridCol w:w="50"/>
        <w:gridCol w:w="254"/>
        <w:gridCol w:w="20"/>
        <w:gridCol w:w="2"/>
        <w:gridCol w:w="52"/>
        <w:gridCol w:w="81"/>
        <w:gridCol w:w="160"/>
        <w:gridCol w:w="145"/>
        <w:gridCol w:w="315"/>
        <w:gridCol w:w="868"/>
        <w:gridCol w:w="946"/>
      </w:tblGrid>
      <w:tr w:rsidR="00310EB2" w:rsidRPr="00310EB2" w:rsidTr="003A1AEF">
        <w:trPr>
          <w:gridAfter w:val="8"/>
          <w:wAfter w:w="2569" w:type="dxa"/>
        </w:trPr>
        <w:tc>
          <w:tcPr>
            <w:tcW w:w="9921" w:type="dxa"/>
            <w:gridSpan w:val="70"/>
          </w:tcPr>
          <w:p w:rsidR="00310EB2" w:rsidRPr="00F2042D" w:rsidRDefault="00310EB2" w:rsidP="00310EB2">
            <w:pPr>
              <w:rPr>
                <w:rFonts w:asciiTheme="minorHAnsi" w:hAnsiTheme="minorHAnsi" w:cstheme="minorHAnsi"/>
                <w:b/>
              </w:rPr>
            </w:pPr>
            <w:r w:rsidRPr="00F2042D">
              <w:rPr>
                <w:rFonts w:asciiTheme="minorHAnsi" w:hAnsiTheme="minorHAnsi" w:cstheme="minorHAnsi"/>
                <w:b/>
              </w:rPr>
              <w:t>Kapitola 19 – DUHA KK U Hradeb</w:t>
            </w:r>
          </w:p>
        </w:tc>
      </w:tr>
      <w:tr w:rsidR="00310EB2" w:rsidRPr="00310EB2" w:rsidTr="004C526F">
        <w:trPr>
          <w:gridAfter w:val="1"/>
          <w:wAfter w:w="946" w:type="dxa"/>
        </w:trPr>
        <w:tc>
          <w:tcPr>
            <w:tcW w:w="457" w:type="dxa"/>
          </w:tcPr>
          <w:p w:rsidR="00310EB2" w:rsidRPr="00310EB2" w:rsidRDefault="00310EB2" w:rsidP="00310EB2">
            <w:pPr>
              <w:rPr>
                <w:rFonts w:asciiTheme="minorHAnsi" w:hAnsiTheme="minorHAnsi" w:cstheme="minorHAnsi"/>
                <w:b/>
                <w:sz w:val="20"/>
                <w:szCs w:val="20"/>
              </w:rPr>
            </w:pPr>
          </w:p>
        </w:tc>
        <w:tc>
          <w:tcPr>
            <w:tcW w:w="389" w:type="dxa"/>
            <w:gridSpan w:val="2"/>
          </w:tcPr>
          <w:p w:rsidR="00310EB2" w:rsidRPr="00310EB2" w:rsidRDefault="00310EB2" w:rsidP="00310EB2">
            <w:pPr>
              <w:rPr>
                <w:rFonts w:asciiTheme="minorHAnsi" w:hAnsiTheme="minorHAnsi" w:cstheme="minorHAnsi"/>
                <w:b/>
                <w:sz w:val="20"/>
                <w:szCs w:val="20"/>
              </w:rPr>
            </w:pPr>
          </w:p>
        </w:tc>
        <w:tc>
          <w:tcPr>
            <w:tcW w:w="527" w:type="dxa"/>
            <w:gridSpan w:val="2"/>
          </w:tcPr>
          <w:p w:rsidR="00310EB2" w:rsidRPr="00310EB2" w:rsidRDefault="00310EB2" w:rsidP="00310EB2">
            <w:pPr>
              <w:rPr>
                <w:rFonts w:asciiTheme="minorHAnsi" w:hAnsiTheme="minorHAnsi" w:cstheme="minorHAnsi"/>
                <w:b/>
                <w:sz w:val="20"/>
                <w:szCs w:val="20"/>
              </w:rPr>
            </w:pPr>
          </w:p>
        </w:tc>
        <w:tc>
          <w:tcPr>
            <w:tcW w:w="459" w:type="dxa"/>
            <w:gridSpan w:val="6"/>
          </w:tcPr>
          <w:p w:rsidR="00310EB2" w:rsidRPr="00310EB2" w:rsidRDefault="00310EB2" w:rsidP="00310EB2">
            <w:pPr>
              <w:rPr>
                <w:rFonts w:asciiTheme="minorHAnsi" w:hAnsiTheme="minorHAnsi" w:cstheme="minorHAnsi"/>
                <w:b/>
                <w:sz w:val="20"/>
                <w:szCs w:val="20"/>
              </w:rPr>
            </w:pPr>
          </w:p>
        </w:tc>
        <w:tc>
          <w:tcPr>
            <w:tcW w:w="460" w:type="dxa"/>
          </w:tcPr>
          <w:p w:rsidR="00310EB2" w:rsidRPr="00310EB2" w:rsidRDefault="00310EB2" w:rsidP="00310EB2">
            <w:pPr>
              <w:rPr>
                <w:rFonts w:asciiTheme="minorHAnsi" w:hAnsiTheme="minorHAnsi" w:cstheme="minorHAnsi"/>
                <w:b/>
                <w:sz w:val="20"/>
                <w:szCs w:val="20"/>
              </w:rPr>
            </w:pPr>
          </w:p>
        </w:tc>
        <w:tc>
          <w:tcPr>
            <w:tcW w:w="460" w:type="dxa"/>
          </w:tcPr>
          <w:p w:rsidR="00310EB2" w:rsidRPr="00310EB2" w:rsidRDefault="00310EB2" w:rsidP="00310EB2">
            <w:pPr>
              <w:rPr>
                <w:rFonts w:asciiTheme="minorHAnsi" w:hAnsiTheme="minorHAnsi" w:cstheme="minorHAnsi"/>
                <w:b/>
                <w:sz w:val="20"/>
                <w:szCs w:val="20"/>
              </w:rPr>
            </w:pPr>
          </w:p>
        </w:tc>
        <w:tc>
          <w:tcPr>
            <w:tcW w:w="460" w:type="dxa"/>
            <w:gridSpan w:val="5"/>
          </w:tcPr>
          <w:p w:rsidR="00310EB2" w:rsidRPr="00310EB2" w:rsidRDefault="00310EB2" w:rsidP="00310EB2">
            <w:pPr>
              <w:rPr>
                <w:rFonts w:asciiTheme="minorHAnsi" w:hAnsiTheme="minorHAnsi" w:cstheme="minorHAnsi"/>
                <w:b/>
                <w:sz w:val="20"/>
                <w:szCs w:val="20"/>
              </w:rPr>
            </w:pPr>
          </w:p>
        </w:tc>
        <w:tc>
          <w:tcPr>
            <w:tcW w:w="398" w:type="dxa"/>
            <w:gridSpan w:val="2"/>
          </w:tcPr>
          <w:p w:rsidR="00310EB2" w:rsidRPr="00310EB2" w:rsidRDefault="00310EB2" w:rsidP="00310EB2">
            <w:pPr>
              <w:rPr>
                <w:rFonts w:asciiTheme="minorHAnsi" w:hAnsiTheme="minorHAnsi" w:cstheme="minorHAnsi"/>
                <w:b/>
                <w:sz w:val="20"/>
                <w:szCs w:val="20"/>
              </w:rPr>
            </w:pPr>
          </w:p>
        </w:tc>
        <w:tc>
          <w:tcPr>
            <w:tcW w:w="522" w:type="dxa"/>
            <w:gridSpan w:val="4"/>
          </w:tcPr>
          <w:p w:rsidR="00310EB2" w:rsidRPr="00310EB2" w:rsidRDefault="00310EB2" w:rsidP="00310EB2">
            <w:pPr>
              <w:rPr>
                <w:rFonts w:asciiTheme="minorHAnsi" w:hAnsiTheme="minorHAnsi" w:cstheme="minorHAnsi"/>
                <w:b/>
                <w:sz w:val="20"/>
                <w:szCs w:val="20"/>
              </w:rPr>
            </w:pPr>
          </w:p>
        </w:tc>
        <w:tc>
          <w:tcPr>
            <w:tcW w:w="397" w:type="dxa"/>
            <w:gridSpan w:val="2"/>
          </w:tcPr>
          <w:p w:rsidR="00310EB2" w:rsidRPr="00310EB2" w:rsidRDefault="00310EB2" w:rsidP="00310EB2">
            <w:pPr>
              <w:rPr>
                <w:rFonts w:asciiTheme="minorHAnsi" w:hAnsiTheme="minorHAnsi" w:cstheme="minorHAnsi"/>
                <w:b/>
                <w:sz w:val="20"/>
                <w:szCs w:val="20"/>
              </w:rPr>
            </w:pPr>
          </w:p>
        </w:tc>
        <w:tc>
          <w:tcPr>
            <w:tcW w:w="523" w:type="dxa"/>
            <w:gridSpan w:val="6"/>
          </w:tcPr>
          <w:p w:rsidR="00310EB2" w:rsidRPr="00310EB2" w:rsidRDefault="00310EB2" w:rsidP="00310EB2">
            <w:pPr>
              <w:rPr>
                <w:rFonts w:asciiTheme="minorHAnsi" w:hAnsiTheme="minorHAnsi" w:cstheme="minorHAnsi"/>
                <w:b/>
                <w:sz w:val="20"/>
                <w:szCs w:val="20"/>
              </w:rPr>
            </w:pPr>
          </w:p>
        </w:tc>
        <w:tc>
          <w:tcPr>
            <w:tcW w:w="1966" w:type="dxa"/>
            <w:gridSpan w:val="15"/>
          </w:tcPr>
          <w:p w:rsidR="00310EB2" w:rsidRPr="00310EB2" w:rsidRDefault="00310EB2" w:rsidP="00310EB2">
            <w:pPr>
              <w:rPr>
                <w:rFonts w:asciiTheme="minorHAnsi" w:hAnsiTheme="minorHAnsi" w:cstheme="minorHAnsi"/>
                <w:b/>
                <w:sz w:val="20"/>
                <w:szCs w:val="20"/>
              </w:rPr>
            </w:pPr>
          </w:p>
        </w:tc>
        <w:tc>
          <w:tcPr>
            <w:tcW w:w="583" w:type="dxa"/>
            <w:gridSpan w:val="4"/>
          </w:tcPr>
          <w:p w:rsidR="00310EB2" w:rsidRPr="00310EB2" w:rsidRDefault="00310EB2" w:rsidP="00310EB2">
            <w:pPr>
              <w:rPr>
                <w:rFonts w:asciiTheme="minorHAnsi" w:hAnsiTheme="minorHAnsi" w:cstheme="minorHAnsi"/>
                <w:b/>
                <w:sz w:val="20"/>
                <w:szCs w:val="20"/>
              </w:rPr>
            </w:pPr>
          </w:p>
        </w:tc>
        <w:tc>
          <w:tcPr>
            <w:tcW w:w="460" w:type="dxa"/>
            <w:gridSpan w:val="4"/>
          </w:tcPr>
          <w:p w:rsidR="00310EB2" w:rsidRPr="00310EB2" w:rsidRDefault="00310EB2" w:rsidP="00310EB2">
            <w:pPr>
              <w:rPr>
                <w:rFonts w:asciiTheme="minorHAnsi" w:hAnsiTheme="minorHAnsi" w:cstheme="minorHAnsi"/>
                <w:b/>
                <w:sz w:val="20"/>
                <w:szCs w:val="20"/>
              </w:rPr>
            </w:pPr>
          </w:p>
        </w:tc>
        <w:tc>
          <w:tcPr>
            <w:tcW w:w="460" w:type="dxa"/>
            <w:gridSpan w:val="4"/>
          </w:tcPr>
          <w:p w:rsidR="00310EB2" w:rsidRPr="00310EB2" w:rsidRDefault="00310EB2" w:rsidP="00310EB2">
            <w:pPr>
              <w:rPr>
                <w:rFonts w:asciiTheme="minorHAnsi" w:hAnsiTheme="minorHAnsi" w:cstheme="minorHAnsi"/>
                <w:b/>
                <w:sz w:val="20"/>
                <w:szCs w:val="20"/>
              </w:rPr>
            </w:pPr>
          </w:p>
        </w:tc>
        <w:tc>
          <w:tcPr>
            <w:tcW w:w="460" w:type="dxa"/>
            <w:gridSpan w:val="4"/>
          </w:tcPr>
          <w:p w:rsidR="00310EB2" w:rsidRPr="00310EB2" w:rsidRDefault="00310EB2" w:rsidP="00310EB2">
            <w:pPr>
              <w:rPr>
                <w:rFonts w:asciiTheme="minorHAnsi" w:hAnsiTheme="minorHAnsi" w:cstheme="minorHAnsi"/>
                <w:b/>
                <w:sz w:val="20"/>
                <w:szCs w:val="20"/>
              </w:rPr>
            </w:pPr>
          </w:p>
        </w:tc>
        <w:tc>
          <w:tcPr>
            <w:tcW w:w="460" w:type="dxa"/>
            <w:gridSpan w:val="3"/>
          </w:tcPr>
          <w:p w:rsidR="00310EB2" w:rsidRPr="00310EB2" w:rsidRDefault="00310EB2" w:rsidP="00310EB2">
            <w:pPr>
              <w:rPr>
                <w:rFonts w:asciiTheme="minorHAnsi" w:hAnsiTheme="minorHAnsi" w:cstheme="minorHAnsi"/>
                <w:b/>
                <w:sz w:val="20"/>
                <w:szCs w:val="20"/>
              </w:rPr>
            </w:pPr>
          </w:p>
        </w:tc>
        <w:tc>
          <w:tcPr>
            <w:tcW w:w="460" w:type="dxa"/>
            <w:gridSpan w:val="3"/>
          </w:tcPr>
          <w:p w:rsidR="00310EB2" w:rsidRPr="00310EB2" w:rsidRDefault="00310EB2" w:rsidP="00310EB2">
            <w:pPr>
              <w:rPr>
                <w:rFonts w:asciiTheme="minorHAnsi" w:hAnsiTheme="minorHAnsi" w:cstheme="minorHAnsi"/>
                <w:b/>
                <w:sz w:val="20"/>
                <w:szCs w:val="20"/>
              </w:rPr>
            </w:pPr>
          </w:p>
        </w:tc>
        <w:tc>
          <w:tcPr>
            <w:tcW w:w="460" w:type="dxa"/>
            <w:gridSpan w:val="6"/>
          </w:tcPr>
          <w:p w:rsidR="00310EB2" w:rsidRPr="00310EB2" w:rsidRDefault="00310EB2" w:rsidP="00310EB2">
            <w:pPr>
              <w:rPr>
                <w:rFonts w:asciiTheme="minorHAnsi" w:hAnsiTheme="minorHAnsi" w:cstheme="minorHAnsi"/>
                <w:b/>
                <w:sz w:val="20"/>
                <w:szCs w:val="20"/>
              </w:rPr>
            </w:pPr>
          </w:p>
        </w:tc>
        <w:tc>
          <w:tcPr>
            <w:tcW w:w="1183" w:type="dxa"/>
            <w:gridSpan w:val="2"/>
          </w:tcPr>
          <w:p w:rsidR="00310EB2" w:rsidRPr="00310EB2" w:rsidRDefault="00310EB2" w:rsidP="00310EB2">
            <w:pPr>
              <w:rPr>
                <w:rFonts w:asciiTheme="minorHAnsi" w:hAnsiTheme="minorHAnsi" w:cstheme="minorHAnsi"/>
                <w:b/>
                <w:sz w:val="20"/>
                <w:szCs w:val="20"/>
              </w:rPr>
            </w:pPr>
          </w:p>
        </w:tc>
      </w:tr>
      <w:tr w:rsidR="00310EB2" w:rsidRPr="00310EB2" w:rsidTr="003A1AEF">
        <w:trPr>
          <w:gridAfter w:val="8"/>
          <w:wAfter w:w="2569" w:type="dxa"/>
        </w:trPr>
        <w:tc>
          <w:tcPr>
            <w:tcW w:w="9921" w:type="dxa"/>
            <w:gridSpan w:val="70"/>
            <w:shd w:val="clear" w:color="auto" w:fill="F79646"/>
          </w:tcPr>
          <w:p w:rsidR="00310EB2" w:rsidRPr="00310EB2" w:rsidRDefault="00310EB2" w:rsidP="00310EB2">
            <w:pPr>
              <w:rPr>
                <w:rFonts w:asciiTheme="minorHAnsi" w:hAnsiTheme="minorHAnsi" w:cstheme="minorHAnsi"/>
                <w:b/>
                <w:sz w:val="20"/>
                <w:szCs w:val="20"/>
                <w:u w:val="single"/>
              </w:rPr>
            </w:pPr>
            <w:r w:rsidRPr="00310EB2">
              <w:rPr>
                <w:rFonts w:asciiTheme="minorHAnsi" w:hAnsiTheme="minorHAnsi" w:cstheme="minorHAnsi"/>
                <w:b/>
                <w:sz w:val="20"/>
                <w:szCs w:val="20"/>
                <w:u w:val="single"/>
              </w:rPr>
              <w:t>Rozbor plnění příjmů rozpočtu kapitoly 19 k 31. 12. 2022</w:t>
            </w:r>
          </w:p>
        </w:tc>
      </w:tr>
      <w:tr w:rsidR="00310EB2" w:rsidRPr="00310EB2" w:rsidTr="004C526F">
        <w:tc>
          <w:tcPr>
            <w:tcW w:w="457" w:type="dxa"/>
            <w:tcBorders>
              <w:bottom w:val="single" w:sz="4" w:space="0" w:color="auto"/>
            </w:tcBorders>
          </w:tcPr>
          <w:p w:rsidR="00310EB2" w:rsidRPr="00310EB2" w:rsidRDefault="00310EB2" w:rsidP="00310EB2">
            <w:pPr>
              <w:rPr>
                <w:rFonts w:asciiTheme="minorHAnsi" w:hAnsiTheme="minorHAnsi" w:cstheme="minorHAnsi"/>
                <w:b/>
                <w:sz w:val="20"/>
                <w:szCs w:val="20"/>
              </w:rPr>
            </w:pPr>
          </w:p>
        </w:tc>
        <w:tc>
          <w:tcPr>
            <w:tcW w:w="389" w:type="dxa"/>
            <w:gridSpan w:val="2"/>
            <w:tcBorders>
              <w:bottom w:val="single" w:sz="4" w:space="0" w:color="auto"/>
            </w:tcBorders>
          </w:tcPr>
          <w:p w:rsidR="00310EB2" w:rsidRPr="00310EB2" w:rsidRDefault="00310EB2" w:rsidP="00310EB2">
            <w:pPr>
              <w:rPr>
                <w:rFonts w:asciiTheme="minorHAnsi" w:hAnsiTheme="minorHAnsi" w:cstheme="minorHAnsi"/>
                <w:b/>
                <w:sz w:val="20"/>
                <w:szCs w:val="20"/>
              </w:rPr>
            </w:pPr>
          </w:p>
        </w:tc>
        <w:tc>
          <w:tcPr>
            <w:tcW w:w="527" w:type="dxa"/>
            <w:gridSpan w:val="2"/>
            <w:tcBorders>
              <w:bottom w:val="single" w:sz="4" w:space="0" w:color="auto"/>
            </w:tcBorders>
          </w:tcPr>
          <w:p w:rsidR="00310EB2" w:rsidRPr="00310EB2" w:rsidRDefault="00310EB2" w:rsidP="00310EB2">
            <w:pPr>
              <w:rPr>
                <w:rFonts w:asciiTheme="minorHAnsi" w:hAnsiTheme="minorHAnsi" w:cstheme="minorHAnsi"/>
                <w:b/>
                <w:sz w:val="20"/>
                <w:szCs w:val="20"/>
              </w:rPr>
            </w:pPr>
          </w:p>
        </w:tc>
        <w:tc>
          <w:tcPr>
            <w:tcW w:w="1668" w:type="dxa"/>
            <w:gridSpan w:val="11"/>
            <w:tcBorders>
              <w:bottom w:val="single" w:sz="4" w:space="0" w:color="auto"/>
            </w:tcBorders>
          </w:tcPr>
          <w:p w:rsidR="00310EB2" w:rsidRPr="00310EB2" w:rsidRDefault="00310EB2" w:rsidP="00310EB2">
            <w:pPr>
              <w:rPr>
                <w:rFonts w:asciiTheme="minorHAnsi" w:hAnsiTheme="minorHAnsi" w:cstheme="minorHAnsi"/>
                <w:b/>
                <w:sz w:val="20"/>
                <w:szCs w:val="20"/>
              </w:rPr>
            </w:pPr>
          </w:p>
        </w:tc>
        <w:tc>
          <w:tcPr>
            <w:tcW w:w="160" w:type="dxa"/>
            <w:tcBorders>
              <w:bottom w:val="single" w:sz="4" w:space="0" w:color="auto"/>
            </w:tcBorders>
          </w:tcPr>
          <w:p w:rsidR="00310EB2" w:rsidRPr="00310EB2" w:rsidRDefault="00310EB2" w:rsidP="00310EB2">
            <w:pPr>
              <w:rPr>
                <w:rFonts w:asciiTheme="minorHAnsi" w:hAnsiTheme="minorHAnsi" w:cstheme="minorHAnsi"/>
                <w:b/>
                <w:sz w:val="20"/>
                <w:szCs w:val="20"/>
              </w:rPr>
            </w:pPr>
          </w:p>
        </w:tc>
        <w:tc>
          <w:tcPr>
            <w:tcW w:w="409" w:type="dxa"/>
            <w:gridSpan w:val="3"/>
            <w:tcBorders>
              <w:bottom w:val="single" w:sz="4" w:space="0" w:color="auto"/>
            </w:tcBorders>
          </w:tcPr>
          <w:p w:rsidR="00310EB2" w:rsidRPr="00310EB2" w:rsidRDefault="00310EB2" w:rsidP="00310EB2">
            <w:pPr>
              <w:rPr>
                <w:rFonts w:asciiTheme="minorHAnsi" w:hAnsiTheme="minorHAnsi" w:cstheme="minorHAnsi"/>
                <w:b/>
                <w:sz w:val="20"/>
                <w:szCs w:val="20"/>
              </w:rPr>
            </w:pPr>
          </w:p>
        </w:tc>
        <w:tc>
          <w:tcPr>
            <w:tcW w:w="511" w:type="dxa"/>
            <w:gridSpan w:val="3"/>
            <w:tcBorders>
              <w:bottom w:val="single" w:sz="4" w:space="0" w:color="auto"/>
            </w:tcBorders>
          </w:tcPr>
          <w:p w:rsidR="00310EB2" w:rsidRPr="00310EB2" w:rsidRDefault="00310EB2" w:rsidP="00310EB2">
            <w:pPr>
              <w:rPr>
                <w:rFonts w:asciiTheme="minorHAnsi" w:hAnsiTheme="minorHAnsi" w:cstheme="minorHAnsi"/>
                <w:b/>
                <w:sz w:val="20"/>
                <w:szCs w:val="20"/>
              </w:rPr>
            </w:pPr>
          </w:p>
        </w:tc>
        <w:tc>
          <w:tcPr>
            <w:tcW w:w="460" w:type="dxa"/>
            <w:gridSpan w:val="5"/>
            <w:tcBorders>
              <w:bottom w:val="single" w:sz="4" w:space="0" w:color="auto"/>
            </w:tcBorders>
          </w:tcPr>
          <w:p w:rsidR="00310EB2" w:rsidRPr="00310EB2" w:rsidRDefault="00310EB2" w:rsidP="00310EB2">
            <w:pPr>
              <w:rPr>
                <w:rFonts w:asciiTheme="minorHAnsi" w:hAnsiTheme="minorHAnsi" w:cstheme="minorHAnsi"/>
                <w:b/>
                <w:sz w:val="20"/>
                <w:szCs w:val="20"/>
              </w:rPr>
            </w:pPr>
          </w:p>
        </w:tc>
        <w:tc>
          <w:tcPr>
            <w:tcW w:w="460" w:type="dxa"/>
            <w:gridSpan w:val="3"/>
            <w:tcBorders>
              <w:bottom w:val="single" w:sz="4" w:space="0" w:color="auto"/>
            </w:tcBorders>
          </w:tcPr>
          <w:p w:rsidR="00310EB2" w:rsidRPr="00310EB2" w:rsidRDefault="00310EB2" w:rsidP="00310EB2">
            <w:pPr>
              <w:rPr>
                <w:rFonts w:asciiTheme="minorHAnsi" w:hAnsiTheme="minorHAnsi" w:cstheme="minorHAnsi"/>
                <w:b/>
                <w:sz w:val="20"/>
                <w:szCs w:val="20"/>
              </w:rPr>
            </w:pPr>
          </w:p>
        </w:tc>
        <w:tc>
          <w:tcPr>
            <w:tcW w:w="397" w:type="dxa"/>
            <w:gridSpan w:val="3"/>
            <w:tcBorders>
              <w:bottom w:val="single" w:sz="4" w:space="0" w:color="auto"/>
            </w:tcBorders>
          </w:tcPr>
          <w:p w:rsidR="00310EB2" w:rsidRPr="00310EB2" w:rsidRDefault="00310EB2" w:rsidP="00310EB2">
            <w:pPr>
              <w:rPr>
                <w:rFonts w:asciiTheme="minorHAnsi" w:hAnsiTheme="minorHAnsi" w:cstheme="minorHAnsi"/>
                <w:b/>
                <w:sz w:val="20"/>
                <w:szCs w:val="20"/>
              </w:rPr>
            </w:pPr>
          </w:p>
        </w:tc>
        <w:tc>
          <w:tcPr>
            <w:tcW w:w="523" w:type="dxa"/>
            <w:gridSpan w:val="5"/>
            <w:tcBorders>
              <w:bottom w:val="single" w:sz="4" w:space="0" w:color="auto"/>
            </w:tcBorders>
          </w:tcPr>
          <w:p w:rsidR="00310EB2" w:rsidRPr="00310EB2" w:rsidRDefault="00310EB2" w:rsidP="00310EB2">
            <w:pPr>
              <w:rPr>
                <w:rFonts w:asciiTheme="minorHAnsi" w:hAnsiTheme="minorHAnsi" w:cstheme="minorHAnsi"/>
                <w:b/>
                <w:sz w:val="20"/>
                <w:szCs w:val="20"/>
              </w:rPr>
            </w:pPr>
          </w:p>
        </w:tc>
        <w:tc>
          <w:tcPr>
            <w:tcW w:w="471" w:type="dxa"/>
            <w:gridSpan w:val="4"/>
            <w:tcBorders>
              <w:bottom w:val="single" w:sz="4" w:space="0" w:color="auto"/>
            </w:tcBorders>
          </w:tcPr>
          <w:p w:rsidR="00310EB2" w:rsidRPr="00310EB2" w:rsidRDefault="00310EB2" w:rsidP="00310EB2">
            <w:pPr>
              <w:rPr>
                <w:rFonts w:asciiTheme="minorHAnsi" w:hAnsiTheme="minorHAnsi" w:cstheme="minorHAnsi"/>
                <w:b/>
                <w:sz w:val="20"/>
                <w:szCs w:val="20"/>
              </w:rPr>
            </w:pPr>
          </w:p>
        </w:tc>
        <w:tc>
          <w:tcPr>
            <w:tcW w:w="586" w:type="dxa"/>
            <w:gridSpan w:val="4"/>
            <w:tcBorders>
              <w:bottom w:val="single" w:sz="4" w:space="0" w:color="auto"/>
            </w:tcBorders>
          </w:tcPr>
          <w:p w:rsidR="00310EB2" w:rsidRPr="00310EB2" w:rsidRDefault="00310EB2" w:rsidP="00310EB2">
            <w:pPr>
              <w:rPr>
                <w:rFonts w:asciiTheme="minorHAnsi" w:hAnsiTheme="minorHAnsi" w:cstheme="minorHAnsi"/>
                <w:b/>
                <w:sz w:val="20"/>
                <w:szCs w:val="20"/>
              </w:rPr>
            </w:pPr>
          </w:p>
        </w:tc>
        <w:tc>
          <w:tcPr>
            <w:tcW w:w="329" w:type="dxa"/>
            <w:gridSpan w:val="3"/>
            <w:tcBorders>
              <w:bottom w:val="single" w:sz="4" w:space="0" w:color="auto"/>
            </w:tcBorders>
          </w:tcPr>
          <w:p w:rsidR="00310EB2" w:rsidRPr="00310EB2" w:rsidRDefault="00310EB2" w:rsidP="00310EB2">
            <w:pPr>
              <w:rPr>
                <w:rFonts w:asciiTheme="minorHAnsi" w:hAnsiTheme="minorHAnsi" w:cstheme="minorHAnsi"/>
                <w:b/>
                <w:sz w:val="20"/>
                <w:szCs w:val="20"/>
              </w:rPr>
            </w:pPr>
          </w:p>
        </w:tc>
        <w:tc>
          <w:tcPr>
            <w:tcW w:w="460" w:type="dxa"/>
            <w:gridSpan w:val="3"/>
            <w:tcBorders>
              <w:bottom w:val="single" w:sz="4" w:space="0" w:color="auto"/>
            </w:tcBorders>
          </w:tcPr>
          <w:p w:rsidR="00310EB2" w:rsidRPr="00310EB2" w:rsidRDefault="00310EB2" w:rsidP="00310EB2">
            <w:pPr>
              <w:rPr>
                <w:rFonts w:asciiTheme="minorHAnsi" w:hAnsiTheme="minorHAnsi" w:cstheme="minorHAnsi"/>
                <w:b/>
                <w:sz w:val="20"/>
                <w:szCs w:val="20"/>
              </w:rPr>
            </w:pPr>
          </w:p>
        </w:tc>
        <w:tc>
          <w:tcPr>
            <w:tcW w:w="460" w:type="dxa"/>
            <w:gridSpan w:val="4"/>
            <w:tcBorders>
              <w:bottom w:val="single" w:sz="4" w:space="0" w:color="auto"/>
            </w:tcBorders>
          </w:tcPr>
          <w:p w:rsidR="00310EB2" w:rsidRPr="00310EB2" w:rsidRDefault="00310EB2" w:rsidP="00310EB2">
            <w:pPr>
              <w:rPr>
                <w:rFonts w:asciiTheme="minorHAnsi" w:hAnsiTheme="minorHAnsi" w:cstheme="minorHAnsi"/>
                <w:b/>
                <w:sz w:val="20"/>
                <w:szCs w:val="20"/>
              </w:rPr>
            </w:pPr>
          </w:p>
        </w:tc>
        <w:tc>
          <w:tcPr>
            <w:tcW w:w="460" w:type="dxa"/>
            <w:gridSpan w:val="4"/>
            <w:tcBorders>
              <w:bottom w:val="single" w:sz="4" w:space="0" w:color="auto"/>
            </w:tcBorders>
          </w:tcPr>
          <w:p w:rsidR="00310EB2" w:rsidRPr="00310EB2" w:rsidRDefault="00310EB2" w:rsidP="00310EB2">
            <w:pPr>
              <w:rPr>
                <w:rFonts w:asciiTheme="minorHAnsi" w:hAnsiTheme="minorHAnsi" w:cstheme="minorHAnsi"/>
                <w:b/>
                <w:sz w:val="20"/>
                <w:szCs w:val="20"/>
              </w:rPr>
            </w:pPr>
          </w:p>
        </w:tc>
        <w:tc>
          <w:tcPr>
            <w:tcW w:w="460" w:type="dxa"/>
            <w:gridSpan w:val="4"/>
            <w:tcBorders>
              <w:bottom w:val="single" w:sz="4" w:space="0" w:color="auto"/>
            </w:tcBorders>
          </w:tcPr>
          <w:p w:rsidR="00310EB2" w:rsidRPr="00310EB2" w:rsidRDefault="00310EB2" w:rsidP="00310EB2">
            <w:pPr>
              <w:rPr>
                <w:rFonts w:asciiTheme="minorHAnsi" w:hAnsiTheme="minorHAnsi" w:cstheme="minorHAnsi"/>
                <w:b/>
                <w:sz w:val="20"/>
                <w:szCs w:val="20"/>
              </w:rPr>
            </w:pPr>
          </w:p>
        </w:tc>
        <w:tc>
          <w:tcPr>
            <w:tcW w:w="460" w:type="dxa"/>
            <w:gridSpan w:val="3"/>
            <w:tcBorders>
              <w:bottom w:val="single" w:sz="4" w:space="0" w:color="auto"/>
            </w:tcBorders>
          </w:tcPr>
          <w:p w:rsidR="00310EB2" w:rsidRPr="00310EB2" w:rsidRDefault="00310EB2" w:rsidP="00310EB2">
            <w:pPr>
              <w:rPr>
                <w:rFonts w:asciiTheme="minorHAnsi" w:hAnsiTheme="minorHAnsi" w:cstheme="minorHAnsi"/>
                <w:b/>
                <w:sz w:val="20"/>
                <w:szCs w:val="20"/>
              </w:rPr>
            </w:pPr>
          </w:p>
        </w:tc>
        <w:tc>
          <w:tcPr>
            <w:tcW w:w="2843" w:type="dxa"/>
            <w:gridSpan w:val="10"/>
            <w:tcBorders>
              <w:bottom w:val="single" w:sz="4" w:space="0" w:color="auto"/>
            </w:tcBorders>
          </w:tcPr>
          <w:p w:rsidR="00310EB2" w:rsidRPr="00310EB2" w:rsidRDefault="00310EB2" w:rsidP="00310EB2">
            <w:pPr>
              <w:rPr>
                <w:rFonts w:asciiTheme="minorHAnsi" w:hAnsiTheme="minorHAnsi" w:cstheme="minorHAnsi"/>
                <w:b/>
                <w:sz w:val="20"/>
                <w:szCs w:val="20"/>
              </w:rPr>
            </w:pPr>
          </w:p>
        </w:tc>
      </w:tr>
      <w:tr w:rsidR="00310EB2" w:rsidRPr="00310EB2" w:rsidTr="004C526F">
        <w:trPr>
          <w:gridAfter w:val="8"/>
          <w:wAfter w:w="2569" w:type="dxa"/>
        </w:trPr>
        <w:tc>
          <w:tcPr>
            <w:tcW w:w="3041" w:type="dxa"/>
            <w:gridSpan w:val="16"/>
            <w:tcBorders>
              <w:top w:val="single" w:sz="4" w:space="0" w:color="auto"/>
              <w:left w:val="single" w:sz="4" w:space="0" w:color="auto"/>
              <w:bottom w:val="single" w:sz="4" w:space="0" w:color="auto"/>
              <w:right w:val="single" w:sz="4" w:space="0" w:color="auto"/>
            </w:tcBorders>
            <w:shd w:val="clear" w:color="auto" w:fill="FFFF00"/>
          </w:tcPr>
          <w:p w:rsidR="00310EB2" w:rsidRPr="003A1AEF" w:rsidRDefault="00310EB2" w:rsidP="00310EB2">
            <w:pPr>
              <w:jc w:val="center"/>
              <w:rPr>
                <w:rFonts w:asciiTheme="minorHAnsi" w:hAnsiTheme="minorHAnsi" w:cstheme="minorHAnsi"/>
                <w:b/>
                <w:sz w:val="18"/>
                <w:szCs w:val="18"/>
              </w:rPr>
            </w:pPr>
            <w:r w:rsidRPr="003A1AEF">
              <w:rPr>
                <w:rFonts w:asciiTheme="minorHAnsi" w:hAnsiTheme="minorHAnsi" w:cstheme="minorHAnsi"/>
                <w:b/>
                <w:sz w:val="18"/>
                <w:szCs w:val="18"/>
              </w:rPr>
              <w:t>Rozpočet upravený v tis. Kč</w:t>
            </w:r>
          </w:p>
        </w:tc>
        <w:tc>
          <w:tcPr>
            <w:tcW w:w="2981" w:type="dxa"/>
            <w:gridSpan w:val="24"/>
            <w:tcBorders>
              <w:top w:val="single" w:sz="4" w:space="0" w:color="auto"/>
              <w:left w:val="single" w:sz="4" w:space="0" w:color="auto"/>
              <w:bottom w:val="single" w:sz="4" w:space="0" w:color="auto"/>
              <w:right w:val="single" w:sz="4" w:space="0" w:color="auto"/>
            </w:tcBorders>
            <w:shd w:val="clear" w:color="auto" w:fill="FFFF00"/>
          </w:tcPr>
          <w:p w:rsidR="00310EB2" w:rsidRPr="003A1AEF" w:rsidRDefault="00310EB2" w:rsidP="00310EB2">
            <w:pPr>
              <w:jc w:val="center"/>
              <w:rPr>
                <w:rFonts w:asciiTheme="minorHAnsi" w:hAnsiTheme="minorHAnsi" w:cstheme="minorHAnsi"/>
                <w:b/>
                <w:sz w:val="18"/>
                <w:szCs w:val="18"/>
              </w:rPr>
            </w:pPr>
            <w:r w:rsidRPr="003A1AEF">
              <w:rPr>
                <w:rFonts w:asciiTheme="minorHAnsi" w:hAnsiTheme="minorHAnsi" w:cstheme="minorHAnsi"/>
                <w:b/>
                <w:sz w:val="18"/>
                <w:szCs w:val="18"/>
              </w:rPr>
              <w:t>Skutečnost v tis. Kč</w:t>
            </w:r>
          </w:p>
        </w:tc>
        <w:tc>
          <w:tcPr>
            <w:tcW w:w="996" w:type="dxa"/>
            <w:gridSpan w:val="7"/>
            <w:tcBorders>
              <w:top w:val="single" w:sz="4" w:space="0" w:color="auto"/>
              <w:left w:val="single" w:sz="4" w:space="0" w:color="auto"/>
              <w:bottom w:val="single" w:sz="4" w:space="0" w:color="auto"/>
              <w:right w:val="single" w:sz="4" w:space="0" w:color="auto"/>
            </w:tcBorders>
            <w:shd w:val="clear" w:color="auto" w:fill="FFFF00"/>
          </w:tcPr>
          <w:p w:rsidR="00310EB2" w:rsidRPr="003A1AEF" w:rsidRDefault="00310EB2" w:rsidP="00310EB2">
            <w:pPr>
              <w:jc w:val="center"/>
              <w:rPr>
                <w:rFonts w:asciiTheme="minorHAnsi" w:hAnsiTheme="minorHAnsi" w:cstheme="minorHAnsi"/>
                <w:b/>
                <w:sz w:val="18"/>
                <w:szCs w:val="18"/>
              </w:rPr>
            </w:pPr>
            <w:r w:rsidRPr="003A1AEF">
              <w:rPr>
                <w:rFonts w:asciiTheme="minorHAnsi" w:hAnsiTheme="minorHAnsi" w:cstheme="minorHAnsi"/>
                <w:b/>
                <w:sz w:val="18"/>
                <w:szCs w:val="18"/>
              </w:rPr>
              <w:t>SK/RU v %</w:t>
            </w:r>
          </w:p>
        </w:tc>
        <w:tc>
          <w:tcPr>
            <w:tcW w:w="2903" w:type="dxa"/>
            <w:gridSpan w:val="23"/>
            <w:tcBorders>
              <w:top w:val="single" w:sz="4" w:space="0" w:color="auto"/>
              <w:left w:val="single" w:sz="4" w:space="0" w:color="auto"/>
              <w:bottom w:val="single" w:sz="4" w:space="0" w:color="auto"/>
              <w:right w:val="single" w:sz="4" w:space="0" w:color="auto"/>
            </w:tcBorders>
            <w:shd w:val="clear" w:color="auto" w:fill="FFFF00"/>
          </w:tcPr>
          <w:p w:rsidR="00310EB2" w:rsidRPr="003A1AEF" w:rsidRDefault="00310EB2" w:rsidP="00310EB2">
            <w:pPr>
              <w:jc w:val="center"/>
              <w:rPr>
                <w:rFonts w:asciiTheme="minorHAnsi" w:hAnsiTheme="minorHAnsi" w:cstheme="minorHAnsi"/>
                <w:b/>
                <w:sz w:val="18"/>
                <w:szCs w:val="18"/>
              </w:rPr>
            </w:pPr>
            <w:r w:rsidRPr="003A1AEF">
              <w:rPr>
                <w:rFonts w:asciiTheme="minorHAnsi" w:hAnsiTheme="minorHAnsi" w:cstheme="minorHAnsi"/>
                <w:b/>
                <w:sz w:val="18"/>
                <w:szCs w:val="18"/>
              </w:rPr>
              <w:t>Komentář</w:t>
            </w:r>
          </w:p>
        </w:tc>
      </w:tr>
      <w:tr w:rsidR="00310EB2" w:rsidRPr="00310EB2" w:rsidTr="004C526F">
        <w:trPr>
          <w:gridAfter w:val="8"/>
          <w:wAfter w:w="2569" w:type="dxa"/>
        </w:trPr>
        <w:tc>
          <w:tcPr>
            <w:tcW w:w="3041" w:type="dxa"/>
            <w:gridSpan w:val="16"/>
            <w:tcBorders>
              <w:top w:val="single" w:sz="4" w:space="0" w:color="auto"/>
              <w:left w:val="single" w:sz="4" w:space="0" w:color="auto"/>
              <w:bottom w:val="single" w:sz="4" w:space="0" w:color="auto"/>
              <w:right w:val="single" w:sz="4" w:space="0" w:color="auto"/>
            </w:tcBorders>
          </w:tcPr>
          <w:p w:rsidR="00310EB2" w:rsidRPr="003A1AEF" w:rsidRDefault="00310EB2" w:rsidP="00310EB2">
            <w:pPr>
              <w:jc w:val="right"/>
              <w:rPr>
                <w:rFonts w:asciiTheme="minorHAnsi" w:hAnsiTheme="minorHAnsi" w:cstheme="minorHAnsi"/>
                <w:b/>
                <w:sz w:val="18"/>
                <w:szCs w:val="18"/>
              </w:rPr>
            </w:pPr>
            <w:r w:rsidRPr="003A1AEF">
              <w:rPr>
                <w:rFonts w:asciiTheme="minorHAnsi" w:hAnsiTheme="minorHAnsi" w:cstheme="minorHAnsi"/>
                <w:b/>
                <w:sz w:val="18"/>
                <w:szCs w:val="18"/>
              </w:rPr>
              <w:t>2 770,00</w:t>
            </w:r>
          </w:p>
        </w:tc>
        <w:tc>
          <w:tcPr>
            <w:tcW w:w="2981" w:type="dxa"/>
            <w:gridSpan w:val="24"/>
            <w:tcBorders>
              <w:top w:val="single" w:sz="4" w:space="0" w:color="auto"/>
              <w:left w:val="single" w:sz="4" w:space="0" w:color="auto"/>
              <w:bottom w:val="single" w:sz="4" w:space="0" w:color="auto"/>
              <w:right w:val="single" w:sz="4" w:space="0" w:color="auto"/>
            </w:tcBorders>
          </w:tcPr>
          <w:p w:rsidR="00310EB2" w:rsidRPr="003A1AEF" w:rsidRDefault="00310EB2" w:rsidP="00310EB2">
            <w:pPr>
              <w:jc w:val="right"/>
              <w:rPr>
                <w:rFonts w:asciiTheme="minorHAnsi" w:hAnsiTheme="minorHAnsi" w:cstheme="minorHAnsi"/>
                <w:b/>
                <w:sz w:val="18"/>
                <w:szCs w:val="18"/>
              </w:rPr>
            </w:pPr>
            <w:r w:rsidRPr="003A1AEF">
              <w:rPr>
                <w:rFonts w:asciiTheme="minorHAnsi" w:hAnsiTheme="minorHAnsi" w:cstheme="minorHAnsi"/>
                <w:b/>
                <w:sz w:val="18"/>
                <w:szCs w:val="18"/>
              </w:rPr>
              <w:t>4 512,33</w:t>
            </w:r>
          </w:p>
        </w:tc>
        <w:tc>
          <w:tcPr>
            <w:tcW w:w="996" w:type="dxa"/>
            <w:gridSpan w:val="7"/>
            <w:tcBorders>
              <w:top w:val="single" w:sz="4" w:space="0" w:color="auto"/>
              <w:left w:val="single" w:sz="4" w:space="0" w:color="auto"/>
              <w:bottom w:val="single" w:sz="4" w:space="0" w:color="auto"/>
              <w:right w:val="single" w:sz="4" w:space="0" w:color="auto"/>
            </w:tcBorders>
          </w:tcPr>
          <w:p w:rsidR="00310EB2" w:rsidRPr="003A1AEF" w:rsidRDefault="00310EB2" w:rsidP="00310EB2">
            <w:pPr>
              <w:jc w:val="center"/>
              <w:rPr>
                <w:rFonts w:asciiTheme="minorHAnsi" w:hAnsiTheme="minorHAnsi" w:cstheme="minorHAnsi"/>
                <w:b/>
                <w:sz w:val="18"/>
                <w:szCs w:val="18"/>
              </w:rPr>
            </w:pPr>
            <w:r w:rsidRPr="003A1AEF">
              <w:rPr>
                <w:rFonts w:asciiTheme="minorHAnsi" w:hAnsiTheme="minorHAnsi" w:cstheme="minorHAnsi"/>
                <w:b/>
                <w:sz w:val="18"/>
                <w:szCs w:val="18"/>
              </w:rPr>
              <w:t>162,90</w:t>
            </w:r>
          </w:p>
        </w:tc>
        <w:tc>
          <w:tcPr>
            <w:tcW w:w="2903" w:type="dxa"/>
            <w:gridSpan w:val="23"/>
            <w:tcBorders>
              <w:top w:val="single" w:sz="4" w:space="0" w:color="auto"/>
              <w:left w:val="single" w:sz="4" w:space="0" w:color="auto"/>
              <w:bottom w:val="single" w:sz="4" w:space="0" w:color="auto"/>
              <w:right w:val="single" w:sz="4" w:space="0" w:color="auto"/>
            </w:tcBorders>
          </w:tcPr>
          <w:p w:rsidR="00310EB2" w:rsidRPr="003A1AEF" w:rsidRDefault="00310EB2" w:rsidP="00310EB2">
            <w:pPr>
              <w:rPr>
                <w:rFonts w:asciiTheme="minorHAnsi" w:hAnsiTheme="minorHAnsi" w:cstheme="minorHAnsi"/>
                <w:b/>
                <w:sz w:val="18"/>
                <w:szCs w:val="18"/>
              </w:rPr>
            </w:pPr>
            <w:r w:rsidRPr="003A1AEF">
              <w:rPr>
                <w:rFonts w:asciiTheme="minorHAnsi" w:hAnsiTheme="minorHAnsi" w:cstheme="minorHAnsi"/>
                <w:b/>
                <w:sz w:val="18"/>
                <w:szCs w:val="18"/>
              </w:rPr>
              <w:t>Příjmy před konsolidací</w:t>
            </w:r>
          </w:p>
        </w:tc>
      </w:tr>
      <w:tr w:rsidR="00310EB2" w:rsidRPr="00310EB2" w:rsidTr="004C526F">
        <w:trPr>
          <w:gridAfter w:val="8"/>
          <w:wAfter w:w="2569" w:type="dxa"/>
        </w:trPr>
        <w:tc>
          <w:tcPr>
            <w:tcW w:w="3041" w:type="dxa"/>
            <w:gridSpan w:val="16"/>
            <w:tcBorders>
              <w:top w:val="single" w:sz="4" w:space="0" w:color="auto"/>
              <w:left w:val="single" w:sz="4" w:space="0" w:color="auto"/>
              <w:bottom w:val="single" w:sz="4" w:space="0" w:color="auto"/>
              <w:right w:val="single" w:sz="4" w:space="0" w:color="auto"/>
            </w:tcBorders>
          </w:tcPr>
          <w:p w:rsidR="00310EB2" w:rsidRPr="003A1AEF" w:rsidRDefault="00310EB2" w:rsidP="00310EB2">
            <w:pPr>
              <w:jc w:val="right"/>
              <w:rPr>
                <w:rFonts w:asciiTheme="minorHAnsi" w:hAnsiTheme="minorHAnsi" w:cstheme="minorHAnsi"/>
                <w:b/>
                <w:sz w:val="18"/>
                <w:szCs w:val="18"/>
              </w:rPr>
            </w:pPr>
            <w:r w:rsidRPr="003A1AEF">
              <w:rPr>
                <w:rFonts w:asciiTheme="minorHAnsi" w:hAnsiTheme="minorHAnsi" w:cstheme="minorHAnsi"/>
                <w:b/>
                <w:sz w:val="18"/>
                <w:szCs w:val="18"/>
              </w:rPr>
              <w:t>2 770,00</w:t>
            </w:r>
          </w:p>
        </w:tc>
        <w:tc>
          <w:tcPr>
            <w:tcW w:w="2981" w:type="dxa"/>
            <w:gridSpan w:val="24"/>
            <w:tcBorders>
              <w:top w:val="single" w:sz="4" w:space="0" w:color="auto"/>
              <w:left w:val="single" w:sz="4" w:space="0" w:color="auto"/>
              <w:bottom w:val="single" w:sz="4" w:space="0" w:color="auto"/>
              <w:right w:val="single" w:sz="4" w:space="0" w:color="auto"/>
            </w:tcBorders>
          </w:tcPr>
          <w:p w:rsidR="00310EB2" w:rsidRPr="003A1AEF" w:rsidRDefault="00310EB2" w:rsidP="00310EB2">
            <w:pPr>
              <w:jc w:val="right"/>
              <w:rPr>
                <w:rFonts w:asciiTheme="minorHAnsi" w:hAnsiTheme="minorHAnsi" w:cstheme="minorHAnsi"/>
                <w:b/>
                <w:sz w:val="18"/>
                <w:szCs w:val="18"/>
              </w:rPr>
            </w:pPr>
            <w:r w:rsidRPr="003A1AEF">
              <w:rPr>
                <w:rFonts w:asciiTheme="minorHAnsi" w:hAnsiTheme="minorHAnsi" w:cstheme="minorHAnsi"/>
                <w:b/>
                <w:sz w:val="18"/>
                <w:szCs w:val="18"/>
              </w:rPr>
              <w:t>4 512,33</w:t>
            </w:r>
          </w:p>
        </w:tc>
        <w:tc>
          <w:tcPr>
            <w:tcW w:w="996" w:type="dxa"/>
            <w:gridSpan w:val="7"/>
            <w:tcBorders>
              <w:top w:val="single" w:sz="4" w:space="0" w:color="auto"/>
              <w:left w:val="single" w:sz="4" w:space="0" w:color="auto"/>
              <w:bottom w:val="single" w:sz="4" w:space="0" w:color="auto"/>
              <w:right w:val="single" w:sz="4" w:space="0" w:color="auto"/>
            </w:tcBorders>
          </w:tcPr>
          <w:p w:rsidR="00310EB2" w:rsidRPr="003A1AEF" w:rsidRDefault="00310EB2" w:rsidP="00310EB2">
            <w:pPr>
              <w:jc w:val="center"/>
              <w:rPr>
                <w:rFonts w:asciiTheme="minorHAnsi" w:hAnsiTheme="minorHAnsi" w:cstheme="minorHAnsi"/>
                <w:b/>
                <w:sz w:val="18"/>
                <w:szCs w:val="18"/>
              </w:rPr>
            </w:pPr>
            <w:r w:rsidRPr="003A1AEF">
              <w:rPr>
                <w:rFonts w:asciiTheme="minorHAnsi" w:hAnsiTheme="minorHAnsi" w:cstheme="minorHAnsi"/>
                <w:b/>
                <w:sz w:val="18"/>
                <w:szCs w:val="18"/>
              </w:rPr>
              <w:t>162,90</w:t>
            </w:r>
          </w:p>
        </w:tc>
        <w:tc>
          <w:tcPr>
            <w:tcW w:w="2903" w:type="dxa"/>
            <w:gridSpan w:val="23"/>
            <w:tcBorders>
              <w:top w:val="single" w:sz="4" w:space="0" w:color="auto"/>
              <w:left w:val="single" w:sz="4" w:space="0" w:color="auto"/>
              <w:bottom w:val="single" w:sz="4" w:space="0" w:color="auto"/>
              <w:right w:val="single" w:sz="4" w:space="0" w:color="auto"/>
            </w:tcBorders>
          </w:tcPr>
          <w:p w:rsidR="00310EB2" w:rsidRPr="003A1AEF" w:rsidRDefault="00310EB2" w:rsidP="00310EB2">
            <w:pPr>
              <w:rPr>
                <w:rFonts w:asciiTheme="minorHAnsi" w:hAnsiTheme="minorHAnsi" w:cstheme="minorHAnsi"/>
                <w:b/>
                <w:sz w:val="18"/>
                <w:szCs w:val="18"/>
              </w:rPr>
            </w:pPr>
            <w:r w:rsidRPr="003A1AEF">
              <w:rPr>
                <w:rFonts w:asciiTheme="minorHAnsi" w:hAnsiTheme="minorHAnsi" w:cstheme="minorHAnsi"/>
                <w:b/>
                <w:sz w:val="18"/>
                <w:szCs w:val="18"/>
              </w:rPr>
              <w:t>Příjmy po konsolidaci</w:t>
            </w:r>
          </w:p>
        </w:tc>
      </w:tr>
      <w:tr w:rsidR="00310EB2" w:rsidRPr="00310EB2" w:rsidTr="004C526F">
        <w:tc>
          <w:tcPr>
            <w:tcW w:w="457" w:type="dxa"/>
            <w:tcBorders>
              <w:top w:val="single" w:sz="4" w:space="0" w:color="auto"/>
            </w:tcBorders>
          </w:tcPr>
          <w:p w:rsidR="00310EB2" w:rsidRPr="00310EB2" w:rsidRDefault="00310EB2" w:rsidP="00310EB2">
            <w:pPr>
              <w:rPr>
                <w:rFonts w:asciiTheme="minorHAnsi" w:hAnsiTheme="minorHAnsi" w:cstheme="minorHAnsi"/>
                <w:b/>
                <w:sz w:val="20"/>
                <w:szCs w:val="20"/>
              </w:rPr>
            </w:pPr>
          </w:p>
        </w:tc>
        <w:tc>
          <w:tcPr>
            <w:tcW w:w="389" w:type="dxa"/>
            <w:gridSpan w:val="2"/>
            <w:tcBorders>
              <w:top w:val="single" w:sz="4" w:space="0" w:color="auto"/>
            </w:tcBorders>
          </w:tcPr>
          <w:p w:rsidR="00310EB2" w:rsidRPr="00310EB2" w:rsidRDefault="00310EB2" w:rsidP="00310EB2">
            <w:pPr>
              <w:rPr>
                <w:rFonts w:asciiTheme="minorHAnsi" w:hAnsiTheme="minorHAnsi" w:cstheme="minorHAnsi"/>
                <w:b/>
                <w:sz w:val="20"/>
                <w:szCs w:val="20"/>
              </w:rPr>
            </w:pPr>
          </w:p>
        </w:tc>
        <w:tc>
          <w:tcPr>
            <w:tcW w:w="527" w:type="dxa"/>
            <w:gridSpan w:val="2"/>
            <w:tcBorders>
              <w:top w:val="single" w:sz="4" w:space="0" w:color="auto"/>
            </w:tcBorders>
          </w:tcPr>
          <w:p w:rsidR="00310EB2" w:rsidRPr="00310EB2" w:rsidRDefault="00310EB2" w:rsidP="00310EB2">
            <w:pPr>
              <w:rPr>
                <w:rFonts w:asciiTheme="minorHAnsi" w:hAnsiTheme="minorHAnsi" w:cstheme="minorHAnsi"/>
                <w:b/>
                <w:sz w:val="20"/>
                <w:szCs w:val="20"/>
              </w:rPr>
            </w:pPr>
          </w:p>
        </w:tc>
        <w:tc>
          <w:tcPr>
            <w:tcW w:w="1668" w:type="dxa"/>
            <w:gridSpan w:val="11"/>
            <w:tcBorders>
              <w:top w:val="single" w:sz="4" w:space="0" w:color="auto"/>
            </w:tcBorders>
          </w:tcPr>
          <w:p w:rsidR="00310EB2" w:rsidRPr="00310EB2" w:rsidRDefault="00310EB2" w:rsidP="00310EB2">
            <w:pPr>
              <w:rPr>
                <w:rFonts w:asciiTheme="minorHAnsi" w:hAnsiTheme="minorHAnsi" w:cstheme="minorHAnsi"/>
                <w:b/>
                <w:sz w:val="20"/>
                <w:szCs w:val="20"/>
              </w:rPr>
            </w:pPr>
          </w:p>
        </w:tc>
        <w:tc>
          <w:tcPr>
            <w:tcW w:w="160" w:type="dxa"/>
            <w:tcBorders>
              <w:top w:val="single" w:sz="4" w:space="0" w:color="auto"/>
            </w:tcBorders>
          </w:tcPr>
          <w:p w:rsidR="00310EB2" w:rsidRPr="00310EB2" w:rsidRDefault="00310EB2" w:rsidP="00310EB2">
            <w:pPr>
              <w:rPr>
                <w:rFonts w:asciiTheme="minorHAnsi" w:hAnsiTheme="minorHAnsi" w:cstheme="minorHAnsi"/>
                <w:b/>
                <w:sz w:val="20"/>
                <w:szCs w:val="20"/>
              </w:rPr>
            </w:pPr>
          </w:p>
        </w:tc>
        <w:tc>
          <w:tcPr>
            <w:tcW w:w="409" w:type="dxa"/>
            <w:gridSpan w:val="3"/>
            <w:tcBorders>
              <w:top w:val="single" w:sz="4" w:space="0" w:color="auto"/>
            </w:tcBorders>
          </w:tcPr>
          <w:p w:rsidR="00310EB2" w:rsidRPr="00310EB2" w:rsidRDefault="00310EB2" w:rsidP="00310EB2">
            <w:pPr>
              <w:rPr>
                <w:rFonts w:asciiTheme="minorHAnsi" w:hAnsiTheme="minorHAnsi" w:cstheme="minorHAnsi"/>
                <w:b/>
                <w:sz w:val="20"/>
                <w:szCs w:val="20"/>
              </w:rPr>
            </w:pPr>
          </w:p>
        </w:tc>
        <w:tc>
          <w:tcPr>
            <w:tcW w:w="511" w:type="dxa"/>
            <w:gridSpan w:val="3"/>
            <w:tcBorders>
              <w:top w:val="single" w:sz="4" w:space="0" w:color="auto"/>
            </w:tcBorders>
          </w:tcPr>
          <w:p w:rsidR="00310EB2" w:rsidRPr="00310EB2" w:rsidRDefault="00310EB2" w:rsidP="00310EB2">
            <w:pPr>
              <w:rPr>
                <w:rFonts w:asciiTheme="minorHAnsi" w:hAnsiTheme="minorHAnsi" w:cstheme="minorHAnsi"/>
                <w:b/>
                <w:sz w:val="20"/>
                <w:szCs w:val="20"/>
              </w:rPr>
            </w:pPr>
          </w:p>
        </w:tc>
        <w:tc>
          <w:tcPr>
            <w:tcW w:w="460" w:type="dxa"/>
            <w:gridSpan w:val="5"/>
            <w:tcBorders>
              <w:top w:val="single" w:sz="4" w:space="0" w:color="auto"/>
            </w:tcBorders>
          </w:tcPr>
          <w:p w:rsidR="00310EB2" w:rsidRPr="00310EB2" w:rsidRDefault="00310EB2" w:rsidP="00310EB2">
            <w:pPr>
              <w:rPr>
                <w:rFonts w:asciiTheme="minorHAnsi" w:hAnsiTheme="minorHAnsi" w:cstheme="minorHAnsi"/>
                <w:b/>
                <w:sz w:val="20"/>
                <w:szCs w:val="20"/>
              </w:rPr>
            </w:pPr>
          </w:p>
        </w:tc>
        <w:tc>
          <w:tcPr>
            <w:tcW w:w="460" w:type="dxa"/>
            <w:gridSpan w:val="3"/>
            <w:tcBorders>
              <w:top w:val="single" w:sz="4" w:space="0" w:color="auto"/>
            </w:tcBorders>
          </w:tcPr>
          <w:p w:rsidR="00310EB2" w:rsidRPr="00310EB2" w:rsidRDefault="00310EB2" w:rsidP="00310EB2">
            <w:pPr>
              <w:rPr>
                <w:rFonts w:asciiTheme="minorHAnsi" w:hAnsiTheme="minorHAnsi" w:cstheme="minorHAnsi"/>
                <w:b/>
                <w:sz w:val="20"/>
                <w:szCs w:val="20"/>
              </w:rPr>
            </w:pPr>
          </w:p>
        </w:tc>
        <w:tc>
          <w:tcPr>
            <w:tcW w:w="397" w:type="dxa"/>
            <w:gridSpan w:val="3"/>
            <w:tcBorders>
              <w:top w:val="single" w:sz="4" w:space="0" w:color="auto"/>
            </w:tcBorders>
          </w:tcPr>
          <w:p w:rsidR="00310EB2" w:rsidRPr="00310EB2" w:rsidRDefault="00310EB2" w:rsidP="00310EB2">
            <w:pPr>
              <w:rPr>
                <w:rFonts w:asciiTheme="minorHAnsi" w:hAnsiTheme="minorHAnsi" w:cstheme="minorHAnsi"/>
                <w:b/>
                <w:sz w:val="20"/>
                <w:szCs w:val="20"/>
              </w:rPr>
            </w:pPr>
          </w:p>
        </w:tc>
        <w:tc>
          <w:tcPr>
            <w:tcW w:w="523" w:type="dxa"/>
            <w:gridSpan w:val="5"/>
            <w:tcBorders>
              <w:top w:val="single" w:sz="4" w:space="0" w:color="auto"/>
            </w:tcBorders>
          </w:tcPr>
          <w:p w:rsidR="00310EB2" w:rsidRPr="00310EB2" w:rsidRDefault="00310EB2" w:rsidP="00310EB2">
            <w:pPr>
              <w:rPr>
                <w:rFonts w:asciiTheme="minorHAnsi" w:hAnsiTheme="minorHAnsi" w:cstheme="minorHAnsi"/>
                <w:b/>
                <w:sz w:val="20"/>
                <w:szCs w:val="20"/>
              </w:rPr>
            </w:pPr>
          </w:p>
        </w:tc>
        <w:tc>
          <w:tcPr>
            <w:tcW w:w="471" w:type="dxa"/>
            <w:gridSpan w:val="4"/>
            <w:tcBorders>
              <w:top w:val="single" w:sz="4" w:space="0" w:color="auto"/>
            </w:tcBorders>
          </w:tcPr>
          <w:p w:rsidR="00310EB2" w:rsidRPr="00310EB2" w:rsidRDefault="00310EB2" w:rsidP="00310EB2">
            <w:pPr>
              <w:rPr>
                <w:rFonts w:asciiTheme="minorHAnsi" w:hAnsiTheme="minorHAnsi" w:cstheme="minorHAnsi"/>
                <w:b/>
                <w:sz w:val="20"/>
                <w:szCs w:val="20"/>
              </w:rPr>
            </w:pPr>
          </w:p>
        </w:tc>
        <w:tc>
          <w:tcPr>
            <w:tcW w:w="586" w:type="dxa"/>
            <w:gridSpan w:val="4"/>
            <w:tcBorders>
              <w:top w:val="single" w:sz="4" w:space="0" w:color="auto"/>
            </w:tcBorders>
          </w:tcPr>
          <w:p w:rsidR="00310EB2" w:rsidRPr="00310EB2" w:rsidRDefault="00310EB2" w:rsidP="00310EB2">
            <w:pPr>
              <w:rPr>
                <w:rFonts w:asciiTheme="minorHAnsi" w:hAnsiTheme="minorHAnsi" w:cstheme="minorHAnsi"/>
                <w:b/>
                <w:sz w:val="20"/>
                <w:szCs w:val="20"/>
              </w:rPr>
            </w:pPr>
          </w:p>
        </w:tc>
        <w:tc>
          <w:tcPr>
            <w:tcW w:w="329" w:type="dxa"/>
            <w:gridSpan w:val="3"/>
            <w:tcBorders>
              <w:top w:val="single" w:sz="4" w:space="0" w:color="auto"/>
            </w:tcBorders>
          </w:tcPr>
          <w:p w:rsidR="00310EB2" w:rsidRPr="00310EB2" w:rsidRDefault="00310EB2" w:rsidP="00310EB2">
            <w:pPr>
              <w:rPr>
                <w:rFonts w:asciiTheme="minorHAnsi" w:hAnsiTheme="minorHAnsi" w:cstheme="minorHAnsi"/>
                <w:b/>
                <w:sz w:val="20"/>
                <w:szCs w:val="20"/>
              </w:rPr>
            </w:pPr>
          </w:p>
        </w:tc>
        <w:tc>
          <w:tcPr>
            <w:tcW w:w="460" w:type="dxa"/>
            <w:gridSpan w:val="3"/>
            <w:tcBorders>
              <w:top w:val="single" w:sz="4" w:space="0" w:color="auto"/>
            </w:tcBorders>
          </w:tcPr>
          <w:p w:rsidR="00310EB2" w:rsidRPr="00310EB2" w:rsidRDefault="00310EB2" w:rsidP="00310EB2">
            <w:pPr>
              <w:rPr>
                <w:rFonts w:asciiTheme="minorHAnsi" w:hAnsiTheme="minorHAnsi" w:cstheme="minorHAnsi"/>
                <w:b/>
                <w:sz w:val="20"/>
                <w:szCs w:val="20"/>
              </w:rPr>
            </w:pPr>
          </w:p>
        </w:tc>
        <w:tc>
          <w:tcPr>
            <w:tcW w:w="460" w:type="dxa"/>
            <w:gridSpan w:val="4"/>
            <w:tcBorders>
              <w:top w:val="single" w:sz="4" w:space="0" w:color="auto"/>
            </w:tcBorders>
          </w:tcPr>
          <w:p w:rsidR="00310EB2" w:rsidRPr="00310EB2" w:rsidRDefault="00310EB2" w:rsidP="00310EB2">
            <w:pPr>
              <w:rPr>
                <w:rFonts w:asciiTheme="minorHAnsi" w:hAnsiTheme="minorHAnsi" w:cstheme="minorHAnsi"/>
                <w:b/>
                <w:sz w:val="20"/>
                <w:szCs w:val="20"/>
              </w:rPr>
            </w:pPr>
          </w:p>
        </w:tc>
        <w:tc>
          <w:tcPr>
            <w:tcW w:w="460" w:type="dxa"/>
            <w:gridSpan w:val="4"/>
            <w:tcBorders>
              <w:top w:val="single" w:sz="4" w:space="0" w:color="auto"/>
            </w:tcBorders>
          </w:tcPr>
          <w:p w:rsidR="00310EB2" w:rsidRPr="00310EB2" w:rsidRDefault="00310EB2" w:rsidP="00310EB2">
            <w:pPr>
              <w:rPr>
                <w:rFonts w:asciiTheme="minorHAnsi" w:hAnsiTheme="minorHAnsi" w:cstheme="minorHAnsi"/>
                <w:b/>
                <w:sz w:val="20"/>
                <w:szCs w:val="20"/>
              </w:rPr>
            </w:pPr>
          </w:p>
        </w:tc>
        <w:tc>
          <w:tcPr>
            <w:tcW w:w="460" w:type="dxa"/>
            <w:gridSpan w:val="4"/>
            <w:tcBorders>
              <w:top w:val="single" w:sz="4" w:space="0" w:color="auto"/>
            </w:tcBorders>
          </w:tcPr>
          <w:p w:rsidR="00310EB2" w:rsidRPr="00310EB2" w:rsidRDefault="00310EB2" w:rsidP="00310EB2">
            <w:pPr>
              <w:rPr>
                <w:rFonts w:asciiTheme="minorHAnsi" w:hAnsiTheme="minorHAnsi" w:cstheme="minorHAnsi"/>
                <w:b/>
                <w:sz w:val="20"/>
                <w:szCs w:val="20"/>
              </w:rPr>
            </w:pPr>
          </w:p>
        </w:tc>
        <w:tc>
          <w:tcPr>
            <w:tcW w:w="460" w:type="dxa"/>
            <w:gridSpan w:val="3"/>
            <w:tcBorders>
              <w:top w:val="single" w:sz="4" w:space="0" w:color="auto"/>
            </w:tcBorders>
          </w:tcPr>
          <w:p w:rsidR="00310EB2" w:rsidRPr="00310EB2" w:rsidRDefault="00310EB2" w:rsidP="00310EB2">
            <w:pPr>
              <w:rPr>
                <w:rFonts w:asciiTheme="minorHAnsi" w:hAnsiTheme="minorHAnsi" w:cstheme="minorHAnsi"/>
                <w:b/>
                <w:sz w:val="20"/>
                <w:szCs w:val="20"/>
              </w:rPr>
            </w:pPr>
          </w:p>
        </w:tc>
        <w:tc>
          <w:tcPr>
            <w:tcW w:w="2843" w:type="dxa"/>
            <w:gridSpan w:val="10"/>
            <w:tcBorders>
              <w:top w:val="single" w:sz="4" w:space="0" w:color="auto"/>
            </w:tcBorders>
          </w:tcPr>
          <w:p w:rsidR="00310EB2" w:rsidRPr="00310EB2" w:rsidRDefault="00310EB2" w:rsidP="00310EB2">
            <w:pPr>
              <w:rPr>
                <w:rFonts w:asciiTheme="minorHAnsi" w:hAnsiTheme="minorHAnsi" w:cstheme="minorHAnsi"/>
                <w:b/>
                <w:sz w:val="20"/>
                <w:szCs w:val="20"/>
              </w:rPr>
            </w:pPr>
          </w:p>
        </w:tc>
      </w:tr>
      <w:tr w:rsidR="00310EB2" w:rsidRPr="00310EB2" w:rsidTr="003A1AEF">
        <w:trPr>
          <w:gridAfter w:val="8"/>
          <w:wAfter w:w="2569" w:type="dxa"/>
        </w:trPr>
        <w:tc>
          <w:tcPr>
            <w:tcW w:w="9921" w:type="dxa"/>
            <w:gridSpan w:val="70"/>
          </w:tcPr>
          <w:p w:rsidR="00310EB2" w:rsidRPr="00310EB2" w:rsidRDefault="00310EB2" w:rsidP="00310EB2">
            <w:pPr>
              <w:rPr>
                <w:rFonts w:asciiTheme="minorHAnsi" w:hAnsiTheme="minorHAnsi" w:cstheme="minorHAnsi"/>
                <w:b/>
                <w:sz w:val="20"/>
                <w:szCs w:val="20"/>
              </w:rPr>
            </w:pPr>
            <w:r w:rsidRPr="00310EB2">
              <w:rPr>
                <w:rFonts w:asciiTheme="minorHAnsi" w:hAnsiTheme="minorHAnsi" w:cstheme="minorHAnsi"/>
                <w:b/>
                <w:sz w:val="20"/>
                <w:szCs w:val="20"/>
              </w:rPr>
              <w:t>Stručný komentář k celkovému vývoji plnění příjmů kapitoly ve sledovaném období</w:t>
            </w:r>
          </w:p>
        </w:tc>
      </w:tr>
      <w:tr w:rsidR="00310EB2" w:rsidRPr="00310EB2" w:rsidTr="003A1AEF">
        <w:trPr>
          <w:gridAfter w:val="8"/>
          <w:wAfter w:w="2569" w:type="dxa"/>
        </w:trPr>
        <w:tc>
          <w:tcPr>
            <w:tcW w:w="9921" w:type="dxa"/>
            <w:gridSpan w:val="70"/>
            <w:tcBorders>
              <w:top w:val="single" w:sz="6" w:space="0" w:color="auto"/>
              <w:left w:val="single" w:sz="6" w:space="0" w:color="auto"/>
              <w:bottom w:val="single" w:sz="6" w:space="0" w:color="auto"/>
              <w:right w:val="single" w:sz="6" w:space="0" w:color="auto"/>
            </w:tcBorders>
          </w:tcPr>
          <w:p w:rsidR="00310EB2" w:rsidRPr="00310EB2" w:rsidRDefault="00310EB2" w:rsidP="00310EB2">
            <w:pPr>
              <w:jc w:val="both"/>
              <w:rPr>
                <w:rFonts w:asciiTheme="minorHAnsi" w:hAnsiTheme="minorHAnsi" w:cstheme="minorHAnsi"/>
                <w:sz w:val="20"/>
                <w:szCs w:val="20"/>
              </w:rPr>
            </w:pPr>
            <w:r w:rsidRPr="00310EB2">
              <w:rPr>
                <w:rFonts w:asciiTheme="minorHAnsi" w:hAnsiTheme="minorHAnsi" w:cstheme="minorHAnsi"/>
                <w:sz w:val="20"/>
                <w:szCs w:val="20"/>
              </w:rPr>
              <w:t xml:space="preserve">Příjmy kapitoly 19 – Duha KK u hradeb byly k 31. 12. 2022 plněny na 162,90%. Vzhledem k vládním opatřením v předchozích letech, kdy se kulturní akce nekonaly, došlo na kap. 19 Duha – Kulturní klub u hradeb k překročení předpokládaného rozpočtu příjmů, především v souvislosti s pronájmy movitých věcí – stánků. Příjmy kapitoly byly tvořeny dotacemi z Ministerstva kultury ČR a Ol. kraje na realizaci 65. ročníku celostátní přehlídky recitátorů sólistů a divadel poezie „Wolkrův Prostějov 2022“, dále na projekt Krajské postupové přehlídky 2022 - folklor, divadlo, hudba, tanec, dotací na realizaci XXXIX. ročníku Prostějovských hanáckých slavností 2022, příjmy z činnosti oddělení Duha. </w:t>
            </w:r>
          </w:p>
        </w:tc>
      </w:tr>
      <w:tr w:rsidR="00310EB2" w:rsidRPr="00310EB2" w:rsidTr="004C526F">
        <w:trPr>
          <w:gridAfter w:val="1"/>
          <w:wAfter w:w="946" w:type="dxa"/>
        </w:trPr>
        <w:tc>
          <w:tcPr>
            <w:tcW w:w="457" w:type="dxa"/>
          </w:tcPr>
          <w:p w:rsidR="00310EB2" w:rsidRPr="00310EB2" w:rsidRDefault="00310EB2" w:rsidP="00310EB2">
            <w:pPr>
              <w:rPr>
                <w:rFonts w:asciiTheme="minorHAnsi" w:hAnsiTheme="minorHAnsi" w:cstheme="minorHAnsi"/>
                <w:b/>
                <w:sz w:val="20"/>
                <w:szCs w:val="20"/>
              </w:rPr>
            </w:pPr>
          </w:p>
        </w:tc>
        <w:tc>
          <w:tcPr>
            <w:tcW w:w="389" w:type="dxa"/>
            <w:gridSpan w:val="2"/>
          </w:tcPr>
          <w:p w:rsidR="00310EB2" w:rsidRPr="00310EB2" w:rsidRDefault="00310EB2" w:rsidP="00310EB2">
            <w:pPr>
              <w:rPr>
                <w:rFonts w:asciiTheme="minorHAnsi" w:hAnsiTheme="minorHAnsi" w:cstheme="minorHAnsi"/>
                <w:b/>
                <w:sz w:val="20"/>
                <w:szCs w:val="20"/>
              </w:rPr>
            </w:pPr>
          </w:p>
        </w:tc>
        <w:tc>
          <w:tcPr>
            <w:tcW w:w="527" w:type="dxa"/>
            <w:gridSpan w:val="2"/>
          </w:tcPr>
          <w:p w:rsidR="00310EB2" w:rsidRPr="00310EB2" w:rsidRDefault="00310EB2" w:rsidP="00310EB2">
            <w:pPr>
              <w:rPr>
                <w:rFonts w:asciiTheme="minorHAnsi" w:hAnsiTheme="minorHAnsi" w:cstheme="minorHAnsi"/>
                <w:b/>
                <w:sz w:val="20"/>
                <w:szCs w:val="20"/>
              </w:rPr>
            </w:pPr>
          </w:p>
        </w:tc>
        <w:tc>
          <w:tcPr>
            <w:tcW w:w="459" w:type="dxa"/>
            <w:gridSpan w:val="6"/>
          </w:tcPr>
          <w:p w:rsidR="00310EB2" w:rsidRPr="00310EB2" w:rsidRDefault="00310EB2" w:rsidP="00310EB2">
            <w:pPr>
              <w:rPr>
                <w:rFonts w:asciiTheme="minorHAnsi" w:hAnsiTheme="minorHAnsi" w:cstheme="minorHAnsi"/>
                <w:b/>
                <w:sz w:val="20"/>
                <w:szCs w:val="20"/>
              </w:rPr>
            </w:pPr>
          </w:p>
        </w:tc>
        <w:tc>
          <w:tcPr>
            <w:tcW w:w="460" w:type="dxa"/>
          </w:tcPr>
          <w:p w:rsidR="00310EB2" w:rsidRPr="00310EB2" w:rsidRDefault="00310EB2" w:rsidP="00310EB2">
            <w:pPr>
              <w:rPr>
                <w:rFonts w:asciiTheme="minorHAnsi" w:hAnsiTheme="minorHAnsi" w:cstheme="minorHAnsi"/>
                <w:b/>
                <w:sz w:val="20"/>
                <w:szCs w:val="20"/>
              </w:rPr>
            </w:pPr>
          </w:p>
        </w:tc>
        <w:tc>
          <w:tcPr>
            <w:tcW w:w="460" w:type="dxa"/>
          </w:tcPr>
          <w:p w:rsidR="00310EB2" w:rsidRPr="00310EB2" w:rsidRDefault="00310EB2" w:rsidP="00310EB2">
            <w:pPr>
              <w:rPr>
                <w:rFonts w:asciiTheme="minorHAnsi" w:hAnsiTheme="minorHAnsi" w:cstheme="minorHAnsi"/>
                <w:b/>
                <w:sz w:val="20"/>
                <w:szCs w:val="20"/>
              </w:rPr>
            </w:pPr>
          </w:p>
        </w:tc>
        <w:tc>
          <w:tcPr>
            <w:tcW w:w="460" w:type="dxa"/>
            <w:gridSpan w:val="5"/>
          </w:tcPr>
          <w:p w:rsidR="00310EB2" w:rsidRPr="00310EB2" w:rsidRDefault="00310EB2" w:rsidP="00310EB2">
            <w:pPr>
              <w:rPr>
                <w:rFonts w:asciiTheme="minorHAnsi" w:hAnsiTheme="minorHAnsi" w:cstheme="minorHAnsi"/>
                <w:b/>
                <w:sz w:val="20"/>
                <w:szCs w:val="20"/>
              </w:rPr>
            </w:pPr>
          </w:p>
        </w:tc>
        <w:tc>
          <w:tcPr>
            <w:tcW w:w="398" w:type="dxa"/>
            <w:gridSpan w:val="2"/>
          </w:tcPr>
          <w:p w:rsidR="00310EB2" w:rsidRPr="00310EB2" w:rsidRDefault="00310EB2" w:rsidP="00310EB2">
            <w:pPr>
              <w:rPr>
                <w:rFonts w:asciiTheme="minorHAnsi" w:hAnsiTheme="minorHAnsi" w:cstheme="minorHAnsi"/>
                <w:b/>
                <w:sz w:val="20"/>
                <w:szCs w:val="20"/>
              </w:rPr>
            </w:pPr>
          </w:p>
        </w:tc>
        <w:tc>
          <w:tcPr>
            <w:tcW w:w="522" w:type="dxa"/>
            <w:gridSpan w:val="4"/>
          </w:tcPr>
          <w:p w:rsidR="00310EB2" w:rsidRPr="00310EB2" w:rsidRDefault="00310EB2" w:rsidP="00310EB2">
            <w:pPr>
              <w:rPr>
                <w:rFonts w:asciiTheme="minorHAnsi" w:hAnsiTheme="minorHAnsi" w:cstheme="minorHAnsi"/>
                <w:b/>
                <w:sz w:val="20"/>
                <w:szCs w:val="20"/>
              </w:rPr>
            </w:pPr>
          </w:p>
        </w:tc>
        <w:tc>
          <w:tcPr>
            <w:tcW w:w="397" w:type="dxa"/>
            <w:gridSpan w:val="2"/>
          </w:tcPr>
          <w:p w:rsidR="00310EB2" w:rsidRPr="00310EB2" w:rsidRDefault="00310EB2" w:rsidP="00310EB2">
            <w:pPr>
              <w:rPr>
                <w:rFonts w:asciiTheme="minorHAnsi" w:hAnsiTheme="minorHAnsi" w:cstheme="minorHAnsi"/>
                <w:b/>
                <w:sz w:val="20"/>
                <w:szCs w:val="20"/>
              </w:rPr>
            </w:pPr>
          </w:p>
        </w:tc>
        <w:tc>
          <w:tcPr>
            <w:tcW w:w="523" w:type="dxa"/>
            <w:gridSpan w:val="6"/>
          </w:tcPr>
          <w:p w:rsidR="00310EB2" w:rsidRPr="00310EB2" w:rsidRDefault="00310EB2" w:rsidP="00310EB2">
            <w:pPr>
              <w:rPr>
                <w:rFonts w:asciiTheme="minorHAnsi" w:hAnsiTheme="minorHAnsi" w:cstheme="minorHAnsi"/>
                <w:b/>
                <w:sz w:val="20"/>
                <w:szCs w:val="20"/>
              </w:rPr>
            </w:pPr>
          </w:p>
        </w:tc>
        <w:tc>
          <w:tcPr>
            <w:tcW w:w="1966" w:type="dxa"/>
            <w:gridSpan w:val="15"/>
          </w:tcPr>
          <w:p w:rsidR="00310EB2" w:rsidRPr="00310EB2" w:rsidRDefault="00310EB2" w:rsidP="00310EB2">
            <w:pPr>
              <w:rPr>
                <w:rFonts w:asciiTheme="minorHAnsi" w:hAnsiTheme="minorHAnsi" w:cstheme="minorHAnsi"/>
                <w:b/>
                <w:sz w:val="20"/>
                <w:szCs w:val="20"/>
              </w:rPr>
            </w:pPr>
          </w:p>
        </w:tc>
        <w:tc>
          <w:tcPr>
            <w:tcW w:w="583" w:type="dxa"/>
            <w:gridSpan w:val="4"/>
          </w:tcPr>
          <w:p w:rsidR="00310EB2" w:rsidRPr="00310EB2" w:rsidRDefault="00310EB2" w:rsidP="00310EB2">
            <w:pPr>
              <w:rPr>
                <w:rFonts w:asciiTheme="minorHAnsi" w:hAnsiTheme="minorHAnsi" w:cstheme="minorHAnsi"/>
                <w:b/>
                <w:sz w:val="20"/>
                <w:szCs w:val="20"/>
              </w:rPr>
            </w:pPr>
          </w:p>
        </w:tc>
        <w:tc>
          <w:tcPr>
            <w:tcW w:w="460" w:type="dxa"/>
            <w:gridSpan w:val="4"/>
          </w:tcPr>
          <w:p w:rsidR="00310EB2" w:rsidRPr="00310EB2" w:rsidRDefault="00310EB2" w:rsidP="00310EB2">
            <w:pPr>
              <w:rPr>
                <w:rFonts w:asciiTheme="minorHAnsi" w:hAnsiTheme="minorHAnsi" w:cstheme="minorHAnsi"/>
                <w:b/>
                <w:sz w:val="20"/>
                <w:szCs w:val="20"/>
              </w:rPr>
            </w:pPr>
          </w:p>
        </w:tc>
        <w:tc>
          <w:tcPr>
            <w:tcW w:w="460" w:type="dxa"/>
            <w:gridSpan w:val="4"/>
          </w:tcPr>
          <w:p w:rsidR="00310EB2" w:rsidRPr="00310EB2" w:rsidRDefault="00310EB2" w:rsidP="00310EB2">
            <w:pPr>
              <w:rPr>
                <w:rFonts w:asciiTheme="minorHAnsi" w:hAnsiTheme="minorHAnsi" w:cstheme="minorHAnsi"/>
                <w:b/>
                <w:sz w:val="20"/>
                <w:szCs w:val="20"/>
              </w:rPr>
            </w:pPr>
          </w:p>
        </w:tc>
        <w:tc>
          <w:tcPr>
            <w:tcW w:w="460" w:type="dxa"/>
            <w:gridSpan w:val="4"/>
          </w:tcPr>
          <w:p w:rsidR="00310EB2" w:rsidRPr="00310EB2" w:rsidRDefault="00310EB2" w:rsidP="00310EB2">
            <w:pPr>
              <w:rPr>
                <w:rFonts w:asciiTheme="minorHAnsi" w:hAnsiTheme="minorHAnsi" w:cstheme="minorHAnsi"/>
                <w:b/>
                <w:sz w:val="20"/>
                <w:szCs w:val="20"/>
              </w:rPr>
            </w:pPr>
          </w:p>
        </w:tc>
        <w:tc>
          <w:tcPr>
            <w:tcW w:w="460" w:type="dxa"/>
            <w:gridSpan w:val="3"/>
          </w:tcPr>
          <w:p w:rsidR="00310EB2" w:rsidRPr="00310EB2" w:rsidRDefault="00310EB2" w:rsidP="00310EB2">
            <w:pPr>
              <w:rPr>
                <w:rFonts w:asciiTheme="minorHAnsi" w:hAnsiTheme="minorHAnsi" w:cstheme="minorHAnsi"/>
                <w:b/>
                <w:sz w:val="20"/>
                <w:szCs w:val="20"/>
              </w:rPr>
            </w:pPr>
          </w:p>
        </w:tc>
        <w:tc>
          <w:tcPr>
            <w:tcW w:w="460" w:type="dxa"/>
            <w:gridSpan w:val="3"/>
          </w:tcPr>
          <w:p w:rsidR="00310EB2" w:rsidRPr="00310EB2" w:rsidRDefault="00310EB2" w:rsidP="00310EB2">
            <w:pPr>
              <w:rPr>
                <w:rFonts w:asciiTheme="minorHAnsi" w:hAnsiTheme="minorHAnsi" w:cstheme="minorHAnsi"/>
                <w:b/>
                <w:sz w:val="20"/>
                <w:szCs w:val="20"/>
              </w:rPr>
            </w:pPr>
          </w:p>
        </w:tc>
        <w:tc>
          <w:tcPr>
            <w:tcW w:w="460" w:type="dxa"/>
            <w:gridSpan w:val="6"/>
          </w:tcPr>
          <w:p w:rsidR="00310EB2" w:rsidRPr="00310EB2" w:rsidRDefault="00310EB2" w:rsidP="00310EB2">
            <w:pPr>
              <w:rPr>
                <w:rFonts w:asciiTheme="minorHAnsi" w:hAnsiTheme="minorHAnsi" w:cstheme="minorHAnsi"/>
                <w:b/>
                <w:sz w:val="20"/>
                <w:szCs w:val="20"/>
              </w:rPr>
            </w:pPr>
          </w:p>
        </w:tc>
        <w:tc>
          <w:tcPr>
            <w:tcW w:w="1183" w:type="dxa"/>
            <w:gridSpan w:val="2"/>
          </w:tcPr>
          <w:p w:rsidR="00310EB2" w:rsidRPr="00310EB2" w:rsidRDefault="00310EB2" w:rsidP="00310EB2">
            <w:pPr>
              <w:rPr>
                <w:rFonts w:asciiTheme="minorHAnsi" w:hAnsiTheme="minorHAnsi" w:cstheme="minorHAnsi"/>
                <w:b/>
                <w:sz w:val="20"/>
                <w:szCs w:val="20"/>
              </w:rPr>
            </w:pPr>
          </w:p>
        </w:tc>
      </w:tr>
      <w:tr w:rsidR="00310EB2" w:rsidRPr="00310EB2" w:rsidTr="004C526F">
        <w:trPr>
          <w:gridAfter w:val="8"/>
          <w:wAfter w:w="2569" w:type="dxa"/>
        </w:trPr>
        <w:tc>
          <w:tcPr>
            <w:tcW w:w="9921" w:type="dxa"/>
            <w:gridSpan w:val="70"/>
            <w:tcBorders>
              <w:bottom w:val="single" w:sz="4" w:space="0" w:color="auto"/>
            </w:tcBorders>
          </w:tcPr>
          <w:p w:rsidR="00310EB2" w:rsidRDefault="00310EB2" w:rsidP="00310EB2">
            <w:pPr>
              <w:rPr>
                <w:rFonts w:asciiTheme="minorHAnsi" w:hAnsiTheme="minorHAnsi" w:cstheme="minorHAnsi"/>
                <w:b/>
                <w:sz w:val="20"/>
                <w:szCs w:val="20"/>
              </w:rPr>
            </w:pPr>
            <w:r w:rsidRPr="00310EB2">
              <w:rPr>
                <w:rFonts w:asciiTheme="minorHAnsi" w:hAnsiTheme="minorHAnsi" w:cstheme="minorHAnsi"/>
                <w:b/>
                <w:sz w:val="20"/>
                <w:szCs w:val="20"/>
              </w:rPr>
              <w:t>Komentář k položkám (akcím), které vykázaly abnormalitu v řádném plnění příjmů rozpočtu kapitoly ve sledovaném období</w:t>
            </w:r>
          </w:p>
          <w:p w:rsidR="004C526F" w:rsidRPr="00310EB2" w:rsidRDefault="004C526F" w:rsidP="00310EB2">
            <w:pPr>
              <w:rPr>
                <w:rFonts w:asciiTheme="minorHAnsi" w:hAnsiTheme="minorHAnsi" w:cstheme="minorHAnsi"/>
                <w:b/>
                <w:sz w:val="20"/>
                <w:szCs w:val="20"/>
              </w:rPr>
            </w:pPr>
          </w:p>
        </w:tc>
      </w:tr>
      <w:tr w:rsidR="004C526F" w:rsidRPr="00310EB2" w:rsidTr="004C526F">
        <w:trPr>
          <w:gridAfter w:val="8"/>
          <w:wAfter w:w="2569" w:type="dxa"/>
        </w:trPr>
        <w:tc>
          <w:tcPr>
            <w:tcW w:w="846"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310EB2" w:rsidRPr="003A1AEF" w:rsidRDefault="00310EB2" w:rsidP="00310EB2">
            <w:pPr>
              <w:jc w:val="center"/>
              <w:rPr>
                <w:rFonts w:asciiTheme="minorHAnsi" w:hAnsiTheme="minorHAnsi" w:cstheme="minorHAnsi"/>
                <w:b/>
                <w:sz w:val="18"/>
                <w:szCs w:val="18"/>
              </w:rPr>
            </w:pPr>
            <w:r w:rsidRPr="003A1AEF">
              <w:rPr>
                <w:rFonts w:asciiTheme="minorHAnsi" w:hAnsiTheme="minorHAnsi" w:cstheme="minorHAnsi"/>
                <w:b/>
                <w:sz w:val="18"/>
                <w:szCs w:val="18"/>
              </w:rPr>
              <w:t>Oddíl, paragraf</w:t>
            </w:r>
          </w:p>
        </w:tc>
        <w:tc>
          <w:tcPr>
            <w:tcW w:w="639"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310EB2" w:rsidRPr="003A1AEF" w:rsidRDefault="00310EB2" w:rsidP="00310EB2">
            <w:pPr>
              <w:jc w:val="center"/>
              <w:rPr>
                <w:rFonts w:asciiTheme="minorHAnsi" w:hAnsiTheme="minorHAnsi" w:cstheme="minorHAnsi"/>
                <w:b/>
                <w:sz w:val="18"/>
                <w:szCs w:val="18"/>
              </w:rPr>
            </w:pPr>
            <w:r w:rsidRPr="003A1AEF">
              <w:rPr>
                <w:rFonts w:asciiTheme="minorHAnsi" w:hAnsiTheme="minorHAnsi" w:cstheme="minorHAnsi"/>
                <w:b/>
                <w:sz w:val="18"/>
                <w:szCs w:val="18"/>
              </w:rPr>
              <w:t>Pol</w:t>
            </w:r>
            <w:r w:rsidR="003A1AEF">
              <w:rPr>
                <w:rFonts w:asciiTheme="minorHAnsi" w:hAnsiTheme="minorHAnsi" w:cstheme="minorHAnsi"/>
                <w:b/>
                <w:sz w:val="18"/>
                <w:szCs w:val="18"/>
              </w:rPr>
              <w:t>.</w:t>
            </w:r>
          </w:p>
        </w:tc>
        <w:tc>
          <w:tcPr>
            <w:tcW w:w="1275" w:type="dxa"/>
            <w:gridSpan w:val="7"/>
            <w:tcBorders>
              <w:top w:val="single" w:sz="4" w:space="0" w:color="auto"/>
              <w:left w:val="single" w:sz="4" w:space="0" w:color="auto"/>
              <w:bottom w:val="single" w:sz="4" w:space="0" w:color="auto"/>
              <w:right w:val="single" w:sz="4" w:space="0" w:color="auto"/>
            </w:tcBorders>
            <w:shd w:val="clear" w:color="auto" w:fill="FFFF00"/>
            <w:vAlign w:val="center"/>
          </w:tcPr>
          <w:p w:rsidR="00310EB2" w:rsidRPr="003A1AEF" w:rsidRDefault="00310EB2" w:rsidP="00310EB2">
            <w:pPr>
              <w:jc w:val="center"/>
              <w:rPr>
                <w:rFonts w:asciiTheme="minorHAnsi" w:hAnsiTheme="minorHAnsi" w:cstheme="minorHAnsi"/>
                <w:b/>
                <w:sz w:val="18"/>
                <w:szCs w:val="18"/>
              </w:rPr>
            </w:pPr>
            <w:r w:rsidRPr="003A1AEF">
              <w:rPr>
                <w:rFonts w:asciiTheme="minorHAnsi" w:hAnsiTheme="minorHAnsi" w:cstheme="minorHAnsi"/>
                <w:b/>
                <w:sz w:val="18"/>
                <w:szCs w:val="18"/>
              </w:rPr>
              <w:t>Organizace</w:t>
            </w:r>
          </w:p>
        </w:tc>
        <w:tc>
          <w:tcPr>
            <w:tcW w:w="850"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310EB2" w:rsidRPr="003A1AEF" w:rsidRDefault="00310EB2" w:rsidP="00310EB2">
            <w:pPr>
              <w:jc w:val="center"/>
              <w:rPr>
                <w:rFonts w:asciiTheme="minorHAnsi" w:hAnsiTheme="minorHAnsi" w:cstheme="minorHAnsi"/>
                <w:b/>
                <w:sz w:val="18"/>
                <w:szCs w:val="18"/>
              </w:rPr>
            </w:pPr>
            <w:r w:rsidRPr="003A1AEF">
              <w:rPr>
                <w:rFonts w:asciiTheme="minorHAnsi" w:hAnsiTheme="minorHAnsi" w:cstheme="minorHAnsi"/>
                <w:b/>
                <w:sz w:val="18"/>
                <w:szCs w:val="18"/>
              </w:rPr>
              <w:t>Účelový zdroj</w:t>
            </w:r>
          </w:p>
        </w:tc>
        <w:tc>
          <w:tcPr>
            <w:tcW w:w="919"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310EB2" w:rsidRPr="003A1AEF" w:rsidRDefault="004C526F" w:rsidP="00310EB2">
            <w:pPr>
              <w:jc w:val="center"/>
              <w:rPr>
                <w:rFonts w:asciiTheme="minorHAnsi" w:hAnsiTheme="minorHAnsi" w:cstheme="minorHAnsi"/>
                <w:b/>
                <w:sz w:val="18"/>
                <w:szCs w:val="18"/>
              </w:rPr>
            </w:pPr>
            <w:r>
              <w:rPr>
                <w:rFonts w:asciiTheme="minorHAnsi" w:hAnsiTheme="minorHAnsi" w:cstheme="minorHAnsi"/>
                <w:b/>
                <w:sz w:val="18"/>
                <w:szCs w:val="18"/>
              </w:rPr>
              <w:t>UR</w:t>
            </w:r>
            <w:r w:rsidR="00310EB2" w:rsidRPr="003A1AEF">
              <w:rPr>
                <w:rFonts w:asciiTheme="minorHAnsi" w:hAnsiTheme="minorHAnsi" w:cstheme="minorHAnsi"/>
                <w:b/>
                <w:sz w:val="18"/>
                <w:szCs w:val="18"/>
              </w:rPr>
              <w:t xml:space="preserve"> v tis. Kč</w:t>
            </w:r>
          </w:p>
        </w:tc>
        <w:tc>
          <w:tcPr>
            <w:tcW w:w="1068" w:type="dxa"/>
            <w:gridSpan w:val="11"/>
            <w:tcBorders>
              <w:top w:val="single" w:sz="4" w:space="0" w:color="auto"/>
              <w:left w:val="single" w:sz="4" w:space="0" w:color="auto"/>
              <w:bottom w:val="single" w:sz="4" w:space="0" w:color="auto"/>
              <w:right w:val="single" w:sz="4" w:space="0" w:color="auto"/>
            </w:tcBorders>
            <w:shd w:val="clear" w:color="auto" w:fill="FFFF00"/>
            <w:vAlign w:val="center"/>
          </w:tcPr>
          <w:p w:rsidR="00310EB2" w:rsidRPr="003A1AEF" w:rsidRDefault="00310EB2" w:rsidP="00310EB2">
            <w:pPr>
              <w:jc w:val="center"/>
              <w:rPr>
                <w:rFonts w:asciiTheme="minorHAnsi" w:hAnsiTheme="minorHAnsi" w:cstheme="minorHAnsi"/>
                <w:b/>
                <w:sz w:val="18"/>
                <w:szCs w:val="18"/>
              </w:rPr>
            </w:pPr>
            <w:r w:rsidRPr="003A1AEF">
              <w:rPr>
                <w:rFonts w:asciiTheme="minorHAnsi" w:hAnsiTheme="minorHAnsi" w:cstheme="minorHAnsi"/>
                <w:b/>
                <w:sz w:val="18"/>
                <w:szCs w:val="18"/>
              </w:rPr>
              <w:t>Skutečnost v tis. Kč</w:t>
            </w:r>
          </w:p>
        </w:tc>
        <w:tc>
          <w:tcPr>
            <w:tcW w:w="4324" w:type="dxa"/>
            <w:gridSpan w:val="33"/>
            <w:tcBorders>
              <w:top w:val="single" w:sz="4" w:space="0" w:color="auto"/>
              <w:left w:val="single" w:sz="4" w:space="0" w:color="auto"/>
              <w:bottom w:val="single" w:sz="4" w:space="0" w:color="auto"/>
              <w:right w:val="single" w:sz="4" w:space="0" w:color="auto"/>
            </w:tcBorders>
            <w:shd w:val="clear" w:color="auto" w:fill="FFFF00"/>
            <w:vAlign w:val="center"/>
          </w:tcPr>
          <w:p w:rsidR="00310EB2" w:rsidRPr="003A1AEF" w:rsidRDefault="00310EB2" w:rsidP="00310EB2">
            <w:pPr>
              <w:jc w:val="center"/>
              <w:rPr>
                <w:rFonts w:asciiTheme="minorHAnsi" w:hAnsiTheme="minorHAnsi" w:cstheme="minorHAnsi"/>
                <w:b/>
                <w:sz w:val="18"/>
                <w:szCs w:val="18"/>
              </w:rPr>
            </w:pPr>
            <w:r w:rsidRPr="003A1AEF">
              <w:rPr>
                <w:rFonts w:asciiTheme="minorHAnsi" w:hAnsiTheme="minorHAnsi" w:cstheme="minorHAnsi"/>
                <w:b/>
                <w:sz w:val="18"/>
                <w:szCs w:val="18"/>
              </w:rPr>
              <w:t>Komentář</w:t>
            </w:r>
          </w:p>
        </w:tc>
      </w:tr>
      <w:tr w:rsidR="00310EB2" w:rsidRPr="00310EB2" w:rsidTr="004C526F">
        <w:trPr>
          <w:gridAfter w:val="8"/>
          <w:wAfter w:w="2569" w:type="dxa"/>
        </w:trPr>
        <w:tc>
          <w:tcPr>
            <w:tcW w:w="846" w:type="dxa"/>
            <w:gridSpan w:val="3"/>
            <w:tcBorders>
              <w:top w:val="single" w:sz="4" w:space="0" w:color="auto"/>
              <w:left w:val="single" w:sz="4" w:space="0" w:color="auto"/>
              <w:bottom w:val="single" w:sz="4" w:space="0" w:color="auto"/>
              <w:right w:val="single" w:sz="4" w:space="0" w:color="auto"/>
            </w:tcBorders>
          </w:tcPr>
          <w:p w:rsidR="00310EB2" w:rsidRPr="003A1AEF" w:rsidRDefault="00310EB2" w:rsidP="00310EB2">
            <w:pPr>
              <w:jc w:val="center"/>
              <w:rPr>
                <w:rFonts w:asciiTheme="minorHAnsi" w:hAnsiTheme="minorHAnsi" w:cstheme="minorHAnsi"/>
                <w:sz w:val="18"/>
                <w:szCs w:val="18"/>
              </w:rPr>
            </w:pPr>
            <w:r w:rsidRPr="003A1AEF">
              <w:rPr>
                <w:rFonts w:asciiTheme="minorHAnsi" w:hAnsiTheme="minorHAnsi" w:cstheme="minorHAnsi"/>
                <w:sz w:val="18"/>
                <w:szCs w:val="18"/>
              </w:rPr>
              <w:t>3639</w:t>
            </w:r>
          </w:p>
        </w:tc>
        <w:tc>
          <w:tcPr>
            <w:tcW w:w="639" w:type="dxa"/>
            <w:gridSpan w:val="4"/>
            <w:tcBorders>
              <w:top w:val="single" w:sz="4" w:space="0" w:color="auto"/>
              <w:left w:val="single" w:sz="4" w:space="0" w:color="auto"/>
              <w:bottom w:val="single" w:sz="4" w:space="0" w:color="auto"/>
              <w:right w:val="single" w:sz="4" w:space="0" w:color="auto"/>
            </w:tcBorders>
          </w:tcPr>
          <w:p w:rsidR="00310EB2" w:rsidRPr="003A1AEF" w:rsidRDefault="00310EB2" w:rsidP="00310EB2">
            <w:pPr>
              <w:jc w:val="center"/>
              <w:rPr>
                <w:rFonts w:asciiTheme="minorHAnsi" w:hAnsiTheme="minorHAnsi" w:cstheme="minorHAnsi"/>
                <w:sz w:val="18"/>
                <w:szCs w:val="18"/>
              </w:rPr>
            </w:pPr>
            <w:r w:rsidRPr="003A1AEF">
              <w:rPr>
                <w:rFonts w:asciiTheme="minorHAnsi" w:hAnsiTheme="minorHAnsi" w:cstheme="minorHAnsi"/>
                <w:sz w:val="18"/>
                <w:szCs w:val="18"/>
              </w:rPr>
              <w:t>2133</w:t>
            </w:r>
          </w:p>
        </w:tc>
        <w:tc>
          <w:tcPr>
            <w:tcW w:w="1275" w:type="dxa"/>
            <w:gridSpan w:val="7"/>
            <w:tcBorders>
              <w:top w:val="single" w:sz="4" w:space="0" w:color="auto"/>
              <w:left w:val="single" w:sz="4" w:space="0" w:color="auto"/>
              <w:bottom w:val="single" w:sz="4" w:space="0" w:color="auto"/>
              <w:right w:val="single" w:sz="4" w:space="0" w:color="auto"/>
            </w:tcBorders>
          </w:tcPr>
          <w:p w:rsidR="00310EB2" w:rsidRPr="003A1AEF" w:rsidRDefault="00310EB2" w:rsidP="00310EB2">
            <w:pPr>
              <w:jc w:val="center"/>
              <w:rPr>
                <w:rFonts w:asciiTheme="minorHAnsi" w:hAnsiTheme="minorHAnsi" w:cstheme="minorHAnsi"/>
                <w:sz w:val="18"/>
                <w:szCs w:val="18"/>
              </w:rPr>
            </w:pPr>
            <w:r w:rsidRPr="003A1AEF">
              <w:rPr>
                <w:rFonts w:asciiTheme="minorHAnsi" w:hAnsiTheme="minorHAnsi" w:cstheme="minorHAnsi"/>
                <w:sz w:val="18"/>
                <w:szCs w:val="18"/>
              </w:rPr>
              <w:t>019000000000</w:t>
            </w:r>
          </w:p>
        </w:tc>
        <w:tc>
          <w:tcPr>
            <w:tcW w:w="850" w:type="dxa"/>
            <w:gridSpan w:val="6"/>
            <w:tcBorders>
              <w:top w:val="single" w:sz="4" w:space="0" w:color="auto"/>
              <w:left w:val="single" w:sz="4" w:space="0" w:color="auto"/>
              <w:bottom w:val="single" w:sz="4" w:space="0" w:color="auto"/>
              <w:right w:val="single" w:sz="4" w:space="0" w:color="auto"/>
            </w:tcBorders>
          </w:tcPr>
          <w:p w:rsidR="00310EB2" w:rsidRPr="003A1AEF" w:rsidRDefault="00310EB2" w:rsidP="00310EB2">
            <w:pPr>
              <w:jc w:val="center"/>
              <w:rPr>
                <w:rFonts w:asciiTheme="minorHAnsi" w:hAnsiTheme="minorHAnsi" w:cstheme="minorHAnsi"/>
                <w:sz w:val="18"/>
                <w:szCs w:val="18"/>
              </w:rPr>
            </w:pPr>
          </w:p>
        </w:tc>
        <w:tc>
          <w:tcPr>
            <w:tcW w:w="919" w:type="dxa"/>
            <w:gridSpan w:val="6"/>
            <w:tcBorders>
              <w:top w:val="single" w:sz="4" w:space="0" w:color="auto"/>
              <w:left w:val="single" w:sz="4" w:space="0" w:color="auto"/>
              <w:bottom w:val="single" w:sz="4" w:space="0" w:color="auto"/>
              <w:right w:val="single" w:sz="4" w:space="0" w:color="auto"/>
            </w:tcBorders>
          </w:tcPr>
          <w:p w:rsidR="00310EB2" w:rsidRPr="003A1AEF" w:rsidRDefault="00310EB2" w:rsidP="00310EB2">
            <w:pPr>
              <w:jc w:val="right"/>
              <w:rPr>
                <w:rFonts w:asciiTheme="minorHAnsi" w:hAnsiTheme="minorHAnsi" w:cstheme="minorHAnsi"/>
                <w:sz w:val="18"/>
                <w:szCs w:val="18"/>
              </w:rPr>
            </w:pPr>
            <w:r w:rsidRPr="003A1AEF">
              <w:rPr>
                <w:rFonts w:asciiTheme="minorHAnsi" w:hAnsiTheme="minorHAnsi" w:cstheme="minorHAnsi"/>
                <w:sz w:val="18"/>
                <w:szCs w:val="18"/>
              </w:rPr>
              <w:t>0</w:t>
            </w:r>
          </w:p>
        </w:tc>
        <w:tc>
          <w:tcPr>
            <w:tcW w:w="1068" w:type="dxa"/>
            <w:gridSpan w:val="11"/>
            <w:tcBorders>
              <w:top w:val="single" w:sz="4" w:space="0" w:color="auto"/>
              <w:left w:val="single" w:sz="4" w:space="0" w:color="auto"/>
              <w:bottom w:val="single" w:sz="4" w:space="0" w:color="auto"/>
              <w:right w:val="single" w:sz="4" w:space="0" w:color="auto"/>
            </w:tcBorders>
          </w:tcPr>
          <w:p w:rsidR="00310EB2" w:rsidRPr="003A1AEF" w:rsidRDefault="004C526F" w:rsidP="00310EB2">
            <w:pPr>
              <w:jc w:val="right"/>
              <w:rPr>
                <w:rFonts w:asciiTheme="minorHAnsi" w:hAnsiTheme="minorHAnsi" w:cstheme="minorHAnsi"/>
                <w:sz w:val="18"/>
                <w:szCs w:val="18"/>
              </w:rPr>
            </w:pPr>
            <w:r>
              <w:rPr>
                <w:rFonts w:asciiTheme="minorHAnsi" w:hAnsiTheme="minorHAnsi" w:cstheme="minorHAnsi"/>
                <w:sz w:val="18"/>
                <w:szCs w:val="18"/>
              </w:rPr>
              <w:t xml:space="preserve">1 </w:t>
            </w:r>
            <w:r w:rsidR="00310EB2" w:rsidRPr="003A1AEF">
              <w:rPr>
                <w:rFonts w:asciiTheme="minorHAnsi" w:hAnsiTheme="minorHAnsi" w:cstheme="minorHAnsi"/>
                <w:sz w:val="18"/>
                <w:szCs w:val="18"/>
              </w:rPr>
              <w:t>010,77</w:t>
            </w:r>
          </w:p>
        </w:tc>
        <w:tc>
          <w:tcPr>
            <w:tcW w:w="4324" w:type="dxa"/>
            <w:gridSpan w:val="33"/>
            <w:tcBorders>
              <w:top w:val="single" w:sz="4" w:space="0" w:color="auto"/>
              <w:left w:val="single" w:sz="4" w:space="0" w:color="auto"/>
              <w:bottom w:val="single" w:sz="4" w:space="0" w:color="auto"/>
              <w:right w:val="single" w:sz="4" w:space="0" w:color="auto"/>
            </w:tcBorders>
          </w:tcPr>
          <w:p w:rsidR="00310EB2" w:rsidRPr="003A1AEF" w:rsidRDefault="00310EB2" w:rsidP="00310EB2">
            <w:pPr>
              <w:pStyle w:val="Zkladntext"/>
              <w:rPr>
                <w:rFonts w:asciiTheme="minorHAnsi" w:hAnsiTheme="minorHAnsi" w:cstheme="minorHAnsi"/>
                <w:b w:val="0"/>
                <w:szCs w:val="18"/>
                <w:u w:val="none"/>
              </w:rPr>
            </w:pPr>
            <w:r w:rsidRPr="003A1AEF">
              <w:rPr>
                <w:rFonts w:asciiTheme="minorHAnsi" w:hAnsiTheme="minorHAnsi" w:cstheme="minorHAnsi"/>
                <w:b w:val="0"/>
                <w:szCs w:val="18"/>
                <w:u w:val="none"/>
              </w:rPr>
              <w:t>Příjem z pronájmu movitých věcí – stánků. Bylo zaúčtováno v závěru měsíce. Rozpočtové opatření nemohlo být z důvodu nekonání Rady města Prostějova předloženo.</w:t>
            </w:r>
          </w:p>
        </w:tc>
      </w:tr>
      <w:tr w:rsidR="00310EB2" w:rsidRPr="00310EB2" w:rsidTr="004C526F">
        <w:trPr>
          <w:gridAfter w:val="6"/>
          <w:wAfter w:w="2515" w:type="dxa"/>
        </w:trPr>
        <w:tc>
          <w:tcPr>
            <w:tcW w:w="457" w:type="dxa"/>
          </w:tcPr>
          <w:p w:rsidR="00310EB2" w:rsidRPr="00310EB2" w:rsidRDefault="00310EB2" w:rsidP="00310EB2">
            <w:pPr>
              <w:rPr>
                <w:rFonts w:asciiTheme="minorHAnsi" w:hAnsiTheme="minorHAnsi" w:cstheme="minorHAnsi"/>
                <w:b/>
                <w:sz w:val="20"/>
                <w:szCs w:val="20"/>
              </w:rPr>
            </w:pPr>
          </w:p>
        </w:tc>
        <w:tc>
          <w:tcPr>
            <w:tcW w:w="389" w:type="dxa"/>
            <w:gridSpan w:val="2"/>
          </w:tcPr>
          <w:p w:rsidR="00310EB2" w:rsidRPr="00310EB2" w:rsidRDefault="00310EB2" w:rsidP="00310EB2">
            <w:pPr>
              <w:rPr>
                <w:rFonts w:asciiTheme="minorHAnsi" w:hAnsiTheme="minorHAnsi" w:cstheme="minorHAnsi"/>
                <w:b/>
                <w:sz w:val="20"/>
                <w:szCs w:val="20"/>
              </w:rPr>
            </w:pPr>
          </w:p>
        </w:tc>
        <w:tc>
          <w:tcPr>
            <w:tcW w:w="527" w:type="dxa"/>
            <w:gridSpan w:val="2"/>
          </w:tcPr>
          <w:p w:rsidR="00310EB2" w:rsidRPr="00310EB2" w:rsidRDefault="00310EB2" w:rsidP="00310EB2">
            <w:pPr>
              <w:rPr>
                <w:rFonts w:asciiTheme="minorHAnsi" w:hAnsiTheme="minorHAnsi" w:cstheme="minorHAnsi"/>
                <w:b/>
                <w:sz w:val="20"/>
                <w:szCs w:val="20"/>
              </w:rPr>
            </w:pPr>
          </w:p>
        </w:tc>
        <w:tc>
          <w:tcPr>
            <w:tcW w:w="160" w:type="dxa"/>
            <w:gridSpan w:val="4"/>
          </w:tcPr>
          <w:p w:rsidR="00310EB2" w:rsidRPr="00310EB2" w:rsidRDefault="00310EB2" w:rsidP="00310EB2">
            <w:pPr>
              <w:rPr>
                <w:rFonts w:asciiTheme="minorHAnsi" w:hAnsiTheme="minorHAnsi" w:cstheme="minorHAnsi"/>
                <w:b/>
                <w:sz w:val="20"/>
                <w:szCs w:val="20"/>
              </w:rPr>
            </w:pPr>
          </w:p>
        </w:tc>
        <w:tc>
          <w:tcPr>
            <w:tcW w:w="759" w:type="dxa"/>
            <w:gridSpan w:val="3"/>
          </w:tcPr>
          <w:p w:rsidR="00310EB2" w:rsidRPr="00310EB2" w:rsidRDefault="00310EB2" w:rsidP="00310EB2">
            <w:pPr>
              <w:rPr>
                <w:rFonts w:asciiTheme="minorHAnsi" w:hAnsiTheme="minorHAnsi" w:cstheme="minorHAnsi"/>
                <w:b/>
                <w:sz w:val="20"/>
                <w:szCs w:val="20"/>
              </w:rPr>
            </w:pPr>
          </w:p>
        </w:tc>
        <w:tc>
          <w:tcPr>
            <w:tcW w:w="468" w:type="dxa"/>
            <w:gridSpan w:val="2"/>
          </w:tcPr>
          <w:p w:rsidR="00310EB2" w:rsidRPr="00310EB2" w:rsidRDefault="00310EB2" w:rsidP="00310EB2">
            <w:pPr>
              <w:rPr>
                <w:rFonts w:asciiTheme="minorHAnsi" w:hAnsiTheme="minorHAnsi" w:cstheme="minorHAnsi"/>
                <w:b/>
                <w:sz w:val="20"/>
                <w:szCs w:val="20"/>
              </w:rPr>
            </w:pPr>
          </w:p>
        </w:tc>
        <w:tc>
          <w:tcPr>
            <w:tcW w:w="512" w:type="dxa"/>
            <w:gridSpan w:val="5"/>
          </w:tcPr>
          <w:p w:rsidR="00310EB2" w:rsidRPr="00310EB2" w:rsidRDefault="00310EB2" w:rsidP="00310EB2">
            <w:pPr>
              <w:rPr>
                <w:rFonts w:asciiTheme="minorHAnsi" w:hAnsiTheme="minorHAnsi" w:cstheme="minorHAnsi"/>
                <w:b/>
                <w:sz w:val="20"/>
                <w:szCs w:val="20"/>
              </w:rPr>
            </w:pPr>
          </w:p>
        </w:tc>
        <w:tc>
          <w:tcPr>
            <w:tcW w:w="460" w:type="dxa"/>
            <w:gridSpan w:val="3"/>
          </w:tcPr>
          <w:p w:rsidR="00310EB2" w:rsidRPr="00310EB2" w:rsidRDefault="00310EB2" w:rsidP="00310EB2">
            <w:pPr>
              <w:rPr>
                <w:rFonts w:asciiTheme="minorHAnsi" w:hAnsiTheme="minorHAnsi" w:cstheme="minorHAnsi"/>
                <w:b/>
                <w:sz w:val="20"/>
                <w:szCs w:val="20"/>
              </w:rPr>
            </w:pPr>
          </w:p>
        </w:tc>
        <w:tc>
          <w:tcPr>
            <w:tcW w:w="460" w:type="dxa"/>
            <w:gridSpan w:val="3"/>
          </w:tcPr>
          <w:p w:rsidR="00310EB2" w:rsidRPr="00310EB2" w:rsidRDefault="00310EB2" w:rsidP="00310EB2">
            <w:pPr>
              <w:rPr>
                <w:rFonts w:asciiTheme="minorHAnsi" w:hAnsiTheme="minorHAnsi" w:cstheme="minorHAnsi"/>
                <w:b/>
                <w:sz w:val="20"/>
                <w:szCs w:val="20"/>
              </w:rPr>
            </w:pPr>
          </w:p>
        </w:tc>
        <w:tc>
          <w:tcPr>
            <w:tcW w:w="460" w:type="dxa"/>
            <w:gridSpan w:val="4"/>
          </w:tcPr>
          <w:p w:rsidR="00310EB2" w:rsidRPr="00310EB2" w:rsidRDefault="00310EB2" w:rsidP="00310EB2">
            <w:pPr>
              <w:rPr>
                <w:rFonts w:asciiTheme="minorHAnsi" w:hAnsiTheme="minorHAnsi" w:cstheme="minorHAnsi"/>
                <w:b/>
                <w:sz w:val="20"/>
                <w:szCs w:val="20"/>
              </w:rPr>
            </w:pPr>
          </w:p>
        </w:tc>
        <w:tc>
          <w:tcPr>
            <w:tcW w:w="460" w:type="dxa"/>
            <w:gridSpan w:val="4"/>
          </w:tcPr>
          <w:p w:rsidR="00310EB2" w:rsidRPr="00310EB2" w:rsidRDefault="00310EB2" w:rsidP="00310EB2">
            <w:pPr>
              <w:rPr>
                <w:rFonts w:asciiTheme="minorHAnsi" w:hAnsiTheme="minorHAnsi" w:cstheme="minorHAnsi"/>
                <w:b/>
                <w:sz w:val="20"/>
                <w:szCs w:val="20"/>
              </w:rPr>
            </w:pPr>
          </w:p>
        </w:tc>
        <w:tc>
          <w:tcPr>
            <w:tcW w:w="460" w:type="dxa"/>
            <w:gridSpan w:val="3"/>
          </w:tcPr>
          <w:p w:rsidR="00310EB2" w:rsidRPr="00310EB2" w:rsidRDefault="00310EB2" w:rsidP="00310EB2">
            <w:pPr>
              <w:rPr>
                <w:rFonts w:asciiTheme="minorHAnsi" w:hAnsiTheme="minorHAnsi" w:cstheme="minorHAnsi"/>
                <w:b/>
                <w:sz w:val="20"/>
                <w:szCs w:val="20"/>
              </w:rPr>
            </w:pPr>
          </w:p>
        </w:tc>
        <w:tc>
          <w:tcPr>
            <w:tcW w:w="460" w:type="dxa"/>
            <w:gridSpan w:val="5"/>
          </w:tcPr>
          <w:p w:rsidR="00310EB2" w:rsidRPr="00310EB2" w:rsidRDefault="00310EB2" w:rsidP="00310EB2">
            <w:pPr>
              <w:rPr>
                <w:rFonts w:asciiTheme="minorHAnsi" w:hAnsiTheme="minorHAnsi" w:cstheme="minorHAnsi"/>
                <w:b/>
                <w:sz w:val="20"/>
                <w:szCs w:val="20"/>
              </w:rPr>
            </w:pPr>
          </w:p>
        </w:tc>
        <w:tc>
          <w:tcPr>
            <w:tcW w:w="460" w:type="dxa"/>
            <w:gridSpan w:val="3"/>
          </w:tcPr>
          <w:p w:rsidR="00310EB2" w:rsidRPr="00310EB2" w:rsidRDefault="00310EB2" w:rsidP="00310EB2">
            <w:pPr>
              <w:rPr>
                <w:rFonts w:asciiTheme="minorHAnsi" w:hAnsiTheme="minorHAnsi" w:cstheme="minorHAnsi"/>
                <w:b/>
                <w:sz w:val="20"/>
                <w:szCs w:val="20"/>
              </w:rPr>
            </w:pPr>
          </w:p>
        </w:tc>
        <w:tc>
          <w:tcPr>
            <w:tcW w:w="460" w:type="dxa"/>
            <w:gridSpan w:val="2"/>
          </w:tcPr>
          <w:p w:rsidR="00310EB2" w:rsidRPr="00310EB2" w:rsidRDefault="00310EB2" w:rsidP="00310EB2">
            <w:pPr>
              <w:rPr>
                <w:rFonts w:asciiTheme="minorHAnsi" w:hAnsiTheme="minorHAnsi" w:cstheme="minorHAnsi"/>
                <w:b/>
                <w:sz w:val="20"/>
                <w:szCs w:val="20"/>
              </w:rPr>
            </w:pPr>
          </w:p>
        </w:tc>
        <w:tc>
          <w:tcPr>
            <w:tcW w:w="160" w:type="dxa"/>
            <w:gridSpan w:val="2"/>
          </w:tcPr>
          <w:p w:rsidR="00310EB2" w:rsidRPr="00310EB2" w:rsidRDefault="00310EB2" w:rsidP="00310EB2">
            <w:pPr>
              <w:rPr>
                <w:rFonts w:asciiTheme="minorHAnsi" w:hAnsiTheme="minorHAnsi" w:cstheme="minorHAnsi"/>
                <w:b/>
                <w:sz w:val="20"/>
                <w:szCs w:val="20"/>
              </w:rPr>
            </w:pPr>
          </w:p>
        </w:tc>
        <w:tc>
          <w:tcPr>
            <w:tcW w:w="760" w:type="dxa"/>
            <w:gridSpan w:val="6"/>
          </w:tcPr>
          <w:p w:rsidR="00310EB2" w:rsidRPr="00310EB2" w:rsidRDefault="00310EB2" w:rsidP="00310EB2">
            <w:pPr>
              <w:rPr>
                <w:rFonts w:asciiTheme="minorHAnsi" w:hAnsiTheme="minorHAnsi" w:cstheme="minorHAnsi"/>
                <w:b/>
                <w:sz w:val="20"/>
                <w:szCs w:val="20"/>
              </w:rPr>
            </w:pPr>
          </w:p>
        </w:tc>
        <w:tc>
          <w:tcPr>
            <w:tcW w:w="460" w:type="dxa"/>
            <w:gridSpan w:val="4"/>
          </w:tcPr>
          <w:p w:rsidR="00310EB2" w:rsidRPr="00310EB2" w:rsidRDefault="00310EB2" w:rsidP="00310EB2">
            <w:pPr>
              <w:rPr>
                <w:rFonts w:asciiTheme="minorHAnsi" w:hAnsiTheme="minorHAnsi" w:cstheme="minorHAnsi"/>
                <w:b/>
                <w:sz w:val="20"/>
                <w:szCs w:val="20"/>
              </w:rPr>
            </w:pPr>
          </w:p>
        </w:tc>
        <w:tc>
          <w:tcPr>
            <w:tcW w:w="460" w:type="dxa"/>
            <w:gridSpan w:val="4"/>
          </w:tcPr>
          <w:p w:rsidR="00310EB2" w:rsidRPr="00310EB2" w:rsidRDefault="00310EB2" w:rsidP="00310EB2">
            <w:pPr>
              <w:rPr>
                <w:rFonts w:asciiTheme="minorHAnsi" w:hAnsiTheme="minorHAnsi" w:cstheme="minorHAnsi"/>
                <w:b/>
                <w:sz w:val="20"/>
                <w:szCs w:val="20"/>
              </w:rPr>
            </w:pPr>
          </w:p>
        </w:tc>
        <w:tc>
          <w:tcPr>
            <w:tcW w:w="1183" w:type="dxa"/>
            <w:gridSpan w:val="10"/>
          </w:tcPr>
          <w:p w:rsidR="00310EB2" w:rsidRPr="00310EB2" w:rsidRDefault="00310EB2" w:rsidP="00310EB2">
            <w:pPr>
              <w:rPr>
                <w:rFonts w:asciiTheme="minorHAnsi" w:hAnsiTheme="minorHAnsi" w:cstheme="minorHAnsi"/>
                <w:b/>
                <w:sz w:val="20"/>
                <w:szCs w:val="20"/>
              </w:rPr>
            </w:pPr>
          </w:p>
        </w:tc>
      </w:tr>
      <w:tr w:rsidR="00310EB2" w:rsidRPr="00310EB2" w:rsidTr="003A1AEF">
        <w:trPr>
          <w:gridAfter w:val="8"/>
          <w:wAfter w:w="2569" w:type="dxa"/>
        </w:trPr>
        <w:tc>
          <w:tcPr>
            <w:tcW w:w="9921" w:type="dxa"/>
            <w:gridSpan w:val="70"/>
            <w:shd w:val="clear" w:color="auto" w:fill="F79646"/>
          </w:tcPr>
          <w:p w:rsidR="00310EB2" w:rsidRPr="00310EB2" w:rsidRDefault="00310EB2" w:rsidP="00310EB2">
            <w:pPr>
              <w:rPr>
                <w:rFonts w:asciiTheme="minorHAnsi" w:hAnsiTheme="minorHAnsi" w:cstheme="minorHAnsi"/>
                <w:b/>
                <w:sz w:val="20"/>
                <w:szCs w:val="20"/>
                <w:u w:val="single"/>
              </w:rPr>
            </w:pPr>
            <w:r w:rsidRPr="00310EB2">
              <w:rPr>
                <w:rFonts w:asciiTheme="minorHAnsi" w:hAnsiTheme="minorHAnsi" w:cstheme="minorHAnsi"/>
                <w:b/>
                <w:sz w:val="20"/>
                <w:szCs w:val="20"/>
                <w:u w:val="single"/>
              </w:rPr>
              <w:t>Rozbor čerpání výdajů rozpočtu kapitoly 19 k 31. 12. 2022</w:t>
            </w:r>
          </w:p>
        </w:tc>
      </w:tr>
      <w:tr w:rsidR="00310EB2" w:rsidRPr="00310EB2" w:rsidTr="004C526F">
        <w:tc>
          <w:tcPr>
            <w:tcW w:w="457" w:type="dxa"/>
          </w:tcPr>
          <w:p w:rsidR="00310EB2" w:rsidRPr="00310EB2" w:rsidRDefault="00310EB2" w:rsidP="00310EB2">
            <w:pPr>
              <w:rPr>
                <w:rFonts w:asciiTheme="minorHAnsi" w:hAnsiTheme="minorHAnsi" w:cstheme="minorHAnsi"/>
                <w:b/>
                <w:sz w:val="20"/>
                <w:szCs w:val="20"/>
              </w:rPr>
            </w:pPr>
          </w:p>
        </w:tc>
        <w:tc>
          <w:tcPr>
            <w:tcW w:w="389" w:type="dxa"/>
            <w:gridSpan w:val="2"/>
          </w:tcPr>
          <w:p w:rsidR="00310EB2" w:rsidRPr="00310EB2" w:rsidRDefault="00310EB2" w:rsidP="00310EB2">
            <w:pPr>
              <w:rPr>
                <w:rFonts w:asciiTheme="minorHAnsi" w:hAnsiTheme="minorHAnsi" w:cstheme="minorHAnsi"/>
                <w:b/>
                <w:sz w:val="20"/>
                <w:szCs w:val="20"/>
              </w:rPr>
            </w:pPr>
          </w:p>
        </w:tc>
        <w:tc>
          <w:tcPr>
            <w:tcW w:w="527" w:type="dxa"/>
            <w:gridSpan w:val="2"/>
          </w:tcPr>
          <w:p w:rsidR="00310EB2" w:rsidRPr="00310EB2" w:rsidRDefault="00310EB2" w:rsidP="00310EB2">
            <w:pPr>
              <w:rPr>
                <w:rFonts w:asciiTheme="minorHAnsi" w:hAnsiTheme="minorHAnsi" w:cstheme="minorHAnsi"/>
                <w:b/>
                <w:sz w:val="20"/>
                <w:szCs w:val="20"/>
              </w:rPr>
            </w:pPr>
          </w:p>
        </w:tc>
        <w:tc>
          <w:tcPr>
            <w:tcW w:w="1668" w:type="dxa"/>
            <w:gridSpan w:val="11"/>
          </w:tcPr>
          <w:p w:rsidR="00310EB2" w:rsidRPr="00310EB2" w:rsidRDefault="00310EB2" w:rsidP="00310EB2">
            <w:pPr>
              <w:rPr>
                <w:rFonts w:asciiTheme="minorHAnsi" w:hAnsiTheme="minorHAnsi" w:cstheme="minorHAnsi"/>
                <w:b/>
                <w:sz w:val="20"/>
                <w:szCs w:val="20"/>
              </w:rPr>
            </w:pPr>
          </w:p>
        </w:tc>
        <w:tc>
          <w:tcPr>
            <w:tcW w:w="160" w:type="dxa"/>
          </w:tcPr>
          <w:p w:rsidR="00310EB2" w:rsidRPr="00310EB2" w:rsidRDefault="00310EB2" w:rsidP="00310EB2">
            <w:pPr>
              <w:rPr>
                <w:rFonts w:asciiTheme="minorHAnsi" w:hAnsiTheme="minorHAnsi" w:cstheme="minorHAnsi"/>
                <w:b/>
                <w:sz w:val="20"/>
                <w:szCs w:val="20"/>
              </w:rPr>
            </w:pPr>
          </w:p>
        </w:tc>
        <w:tc>
          <w:tcPr>
            <w:tcW w:w="409" w:type="dxa"/>
            <w:gridSpan w:val="3"/>
          </w:tcPr>
          <w:p w:rsidR="00310EB2" w:rsidRPr="00310EB2" w:rsidRDefault="00310EB2" w:rsidP="00310EB2">
            <w:pPr>
              <w:rPr>
                <w:rFonts w:asciiTheme="minorHAnsi" w:hAnsiTheme="minorHAnsi" w:cstheme="minorHAnsi"/>
                <w:b/>
                <w:sz w:val="20"/>
                <w:szCs w:val="20"/>
              </w:rPr>
            </w:pPr>
          </w:p>
        </w:tc>
        <w:tc>
          <w:tcPr>
            <w:tcW w:w="511" w:type="dxa"/>
            <w:gridSpan w:val="3"/>
          </w:tcPr>
          <w:p w:rsidR="00310EB2" w:rsidRPr="00310EB2" w:rsidRDefault="00310EB2" w:rsidP="00310EB2">
            <w:pPr>
              <w:rPr>
                <w:rFonts w:asciiTheme="minorHAnsi" w:hAnsiTheme="minorHAnsi" w:cstheme="minorHAnsi"/>
                <w:b/>
                <w:sz w:val="20"/>
                <w:szCs w:val="20"/>
              </w:rPr>
            </w:pPr>
          </w:p>
        </w:tc>
        <w:tc>
          <w:tcPr>
            <w:tcW w:w="460" w:type="dxa"/>
            <w:gridSpan w:val="5"/>
          </w:tcPr>
          <w:p w:rsidR="00310EB2" w:rsidRPr="00310EB2" w:rsidRDefault="00310EB2" w:rsidP="00310EB2">
            <w:pPr>
              <w:rPr>
                <w:rFonts w:asciiTheme="minorHAnsi" w:hAnsiTheme="minorHAnsi" w:cstheme="minorHAnsi"/>
                <w:b/>
                <w:sz w:val="20"/>
                <w:szCs w:val="20"/>
              </w:rPr>
            </w:pPr>
          </w:p>
        </w:tc>
        <w:tc>
          <w:tcPr>
            <w:tcW w:w="460" w:type="dxa"/>
            <w:gridSpan w:val="3"/>
          </w:tcPr>
          <w:p w:rsidR="00310EB2" w:rsidRPr="00310EB2" w:rsidRDefault="00310EB2" w:rsidP="00310EB2">
            <w:pPr>
              <w:rPr>
                <w:rFonts w:asciiTheme="minorHAnsi" w:hAnsiTheme="minorHAnsi" w:cstheme="minorHAnsi"/>
                <w:b/>
                <w:sz w:val="20"/>
                <w:szCs w:val="20"/>
              </w:rPr>
            </w:pPr>
          </w:p>
        </w:tc>
        <w:tc>
          <w:tcPr>
            <w:tcW w:w="397" w:type="dxa"/>
            <w:gridSpan w:val="3"/>
          </w:tcPr>
          <w:p w:rsidR="00310EB2" w:rsidRPr="00310EB2" w:rsidRDefault="00310EB2" w:rsidP="00310EB2">
            <w:pPr>
              <w:rPr>
                <w:rFonts w:asciiTheme="minorHAnsi" w:hAnsiTheme="minorHAnsi" w:cstheme="minorHAnsi"/>
                <w:b/>
                <w:sz w:val="20"/>
                <w:szCs w:val="20"/>
              </w:rPr>
            </w:pPr>
          </w:p>
        </w:tc>
        <w:tc>
          <w:tcPr>
            <w:tcW w:w="523" w:type="dxa"/>
            <w:gridSpan w:val="5"/>
          </w:tcPr>
          <w:p w:rsidR="00310EB2" w:rsidRPr="00310EB2" w:rsidRDefault="00310EB2" w:rsidP="00310EB2">
            <w:pPr>
              <w:rPr>
                <w:rFonts w:asciiTheme="minorHAnsi" w:hAnsiTheme="minorHAnsi" w:cstheme="minorHAnsi"/>
                <w:b/>
                <w:sz w:val="20"/>
                <w:szCs w:val="20"/>
              </w:rPr>
            </w:pPr>
          </w:p>
        </w:tc>
        <w:tc>
          <w:tcPr>
            <w:tcW w:w="471" w:type="dxa"/>
            <w:gridSpan w:val="4"/>
          </w:tcPr>
          <w:p w:rsidR="00310EB2" w:rsidRPr="00310EB2" w:rsidRDefault="00310EB2" w:rsidP="00310EB2">
            <w:pPr>
              <w:rPr>
                <w:rFonts w:asciiTheme="minorHAnsi" w:hAnsiTheme="minorHAnsi" w:cstheme="minorHAnsi"/>
                <w:b/>
                <w:sz w:val="20"/>
                <w:szCs w:val="20"/>
              </w:rPr>
            </w:pPr>
          </w:p>
        </w:tc>
        <w:tc>
          <w:tcPr>
            <w:tcW w:w="586" w:type="dxa"/>
            <w:gridSpan w:val="4"/>
          </w:tcPr>
          <w:p w:rsidR="00310EB2" w:rsidRPr="00310EB2" w:rsidRDefault="00310EB2" w:rsidP="00310EB2">
            <w:pPr>
              <w:rPr>
                <w:rFonts w:asciiTheme="minorHAnsi" w:hAnsiTheme="minorHAnsi" w:cstheme="minorHAnsi"/>
                <w:b/>
                <w:sz w:val="20"/>
                <w:szCs w:val="20"/>
              </w:rPr>
            </w:pPr>
          </w:p>
        </w:tc>
        <w:tc>
          <w:tcPr>
            <w:tcW w:w="329" w:type="dxa"/>
            <w:gridSpan w:val="3"/>
          </w:tcPr>
          <w:p w:rsidR="00310EB2" w:rsidRPr="00310EB2" w:rsidRDefault="00310EB2" w:rsidP="00310EB2">
            <w:pPr>
              <w:rPr>
                <w:rFonts w:asciiTheme="minorHAnsi" w:hAnsiTheme="minorHAnsi" w:cstheme="minorHAnsi"/>
                <w:b/>
                <w:sz w:val="20"/>
                <w:szCs w:val="20"/>
              </w:rPr>
            </w:pPr>
          </w:p>
        </w:tc>
        <w:tc>
          <w:tcPr>
            <w:tcW w:w="460" w:type="dxa"/>
            <w:gridSpan w:val="3"/>
          </w:tcPr>
          <w:p w:rsidR="00310EB2" w:rsidRPr="00310EB2" w:rsidRDefault="00310EB2" w:rsidP="00310EB2">
            <w:pPr>
              <w:rPr>
                <w:rFonts w:asciiTheme="minorHAnsi" w:hAnsiTheme="minorHAnsi" w:cstheme="minorHAnsi"/>
                <w:b/>
                <w:sz w:val="20"/>
                <w:szCs w:val="20"/>
              </w:rPr>
            </w:pPr>
          </w:p>
        </w:tc>
        <w:tc>
          <w:tcPr>
            <w:tcW w:w="460" w:type="dxa"/>
            <w:gridSpan w:val="4"/>
          </w:tcPr>
          <w:p w:rsidR="00310EB2" w:rsidRPr="00310EB2" w:rsidRDefault="00310EB2" w:rsidP="00310EB2">
            <w:pPr>
              <w:rPr>
                <w:rFonts w:asciiTheme="minorHAnsi" w:hAnsiTheme="minorHAnsi" w:cstheme="minorHAnsi"/>
                <w:b/>
                <w:sz w:val="20"/>
                <w:szCs w:val="20"/>
              </w:rPr>
            </w:pPr>
          </w:p>
        </w:tc>
        <w:tc>
          <w:tcPr>
            <w:tcW w:w="460" w:type="dxa"/>
            <w:gridSpan w:val="4"/>
          </w:tcPr>
          <w:p w:rsidR="00310EB2" w:rsidRPr="00310EB2" w:rsidRDefault="00310EB2" w:rsidP="00310EB2">
            <w:pPr>
              <w:rPr>
                <w:rFonts w:asciiTheme="minorHAnsi" w:hAnsiTheme="minorHAnsi" w:cstheme="minorHAnsi"/>
                <w:b/>
                <w:sz w:val="20"/>
                <w:szCs w:val="20"/>
              </w:rPr>
            </w:pPr>
          </w:p>
        </w:tc>
        <w:tc>
          <w:tcPr>
            <w:tcW w:w="460" w:type="dxa"/>
            <w:gridSpan w:val="4"/>
          </w:tcPr>
          <w:p w:rsidR="00310EB2" w:rsidRPr="00310EB2" w:rsidRDefault="00310EB2" w:rsidP="00310EB2">
            <w:pPr>
              <w:rPr>
                <w:rFonts w:asciiTheme="minorHAnsi" w:hAnsiTheme="minorHAnsi" w:cstheme="minorHAnsi"/>
                <w:b/>
                <w:sz w:val="20"/>
                <w:szCs w:val="20"/>
              </w:rPr>
            </w:pPr>
          </w:p>
        </w:tc>
        <w:tc>
          <w:tcPr>
            <w:tcW w:w="460" w:type="dxa"/>
            <w:gridSpan w:val="3"/>
          </w:tcPr>
          <w:p w:rsidR="00310EB2" w:rsidRPr="00310EB2" w:rsidRDefault="00310EB2" w:rsidP="00310EB2">
            <w:pPr>
              <w:rPr>
                <w:rFonts w:asciiTheme="minorHAnsi" w:hAnsiTheme="minorHAnsi" w:cstheme="minorHAnsi"/>
                <w:b/>
                <w:sz w:val="20"/>
                <w:szCs w:val="20"/>
              </w:rPr>
            </w:pPr>
          </w:p>
        </w:tc>
        <w:tc>
          <w:tcPr>
            <w:tcW w:w="2843" w:type="dxa"/>
            <w:gridSpan w:val="10"/>
          </w:tcPr>
          <w:p w:rsidR="00310EB2" w:rsidRPr="00310EB2" w:rsidRDefault="00310EB2" w:rsidP="00310EB2">
            <w:pPr>
              <w:rPr>
                <w:rFonts w:asciiTheme="minorHAnsi" w:hAnsiTheme="minorHAnsi" w:cstheme="minorHAnsi"/>
                <w:b/>
                <w:sz w:val="20"/>
                <w:szCs w:val="20"/>
              </w:rPr>
            </w:pPr>
          </w:p>
        </w:tc>
      </w:tr>
      <w:tr w:rsidR="004C526F" w:rsidRPr="004C526F" w:rsidTr="004C526F">
        <w:trPr>
          <w:gridAfter w:val="8"/>
          <w:wAfter w:w="2569" w:type="dxa"/>
        </w:trPr>
        <w:tc>
          <w:tcPr>
            <w:tcW w:w="3041" w:type="dxa"/>
            <w:gridSpan w:val="16"/>
            <w:tcBorders>
              <w:top w:val="single" w:sz="4" w:space="0" w:color="auto"/>
              <w:left w:val="single" w:sz="4" w:space="0" w:color="auto"/>
              <w:bottom w:val="single" w:sz="4" w:space="0" w:color="auto"/>
              <w:right w:val="single" w:sz="4" w:space="0" w:color="auto"/>
            </w:tcBorders>
            <w:shd w:val="clear" w:color="auto" w:fill="FFFF00"/>
          </w:tcPr>
          <w:p w:rsidR="00310EB2" w:rsidRPr="004C526F" w:rsidRDefault="00310EB2" w:rsidP="00310EB2">
            <w:pPr>
              <w:jc w:val="center"/>
              <w:rPr>
                <w:rFonts w:asciiTheme="minorHAnsi" w:hAnsiTheme="minorHAnsi" w:cstheme="minorHAnsi"/>
                <w:b/>
                <w:sz w:val="18"/>
                <w:szCs w:val="18"/>
              </w:rPr>
            </w:pPr>
            <w:r w:rsidRPr="004C526F">
              <w:rPr>
                <w:rFonts w:asciiTheme="minorHAnsi" w:hAnsiTheme="minorHAnsi" w:cstheme="minorHAnsi"/>
                <w:b/>
                <w:sz w:val="18"/>
                <w:szCs w:val="18"/>
              </w:rPr>
              <w:t>Rozpočet upravený v tis. Kč</w:t>
            </w:r>
          </w:p>
        </w:tc>
        <w:tc>
          <w:tcPr>
            <w:tcW w:w="2981" w:type="dxa"/>
            <w:gridSpan w:val="24"/>
            <w:tcBorders>
              <w:top w:val="single" w:sz="4" w:space="0" w:color="auto"/>
              <w:left w:val="single" w:sz="4" w:space="0" w:color="auto"/>
              <w:bottom w:val="single" w:sz="4" w:space="0" w:color="auto"/>
              <w:right w:val="single" w:sz="4" w:space="0" w:color="auto"/>
            </w:tcBorders>
            <w:shd w:val="clear" w:color="auto" w:fill="FFFF00"/>
          </w:tcPr>
          <w:p w:rsidR="00310EB2" w:rsidRPr="004C526F" w:rsidRDefault="00310EB2" w:rsidP="00310EB2">
            <w:pPr>
              <w:jc w:val="center"/>
              <w:rPr>
                <w:rFonts w:asciiTheme="minorHAnsi" w:hAnsiTheme="minorHAnsi" w:cstheme="minorHAnsi"/>
                <w:b/>
                <w:sz w:val="18"/>
                <w:szCs w:val="18"/>
              </w:rPr>
            </w:pPr>
            <w:r w:rsidRPr="004C526F">
              <w:rPr>
                <w:rFonts w:asciiTheme="minorHAnsi" w:hAnsiTheme="minorHAnsi" w:cstheme="minorHAnsi"/>
                <w:b/>
                <w:sz w:val="18"/>
                <w:szCs w:val="18"/>
              </w:rPr>
              <w:t>Skutečnost v tis. Kč</w:t>
            </w:r>
          </w:p>
        </w:tc>
        <w:tc>
          <w:tcPr>
            <w:tcW w:w="996" w:type="dxa"/>
            <w:gridSpan w:val="7"/>
            <w:tcBorders>
              <w:top w:val="single" w:sz="4" w:space="0" w:color="auto"/>
              <w:left w:val="single" w:sz="4" w:space="0" w:color="auto"/>
              <w:bottom w:val="single" w:sz="4" w:space="0" w:color="auto"/>
              <w:right w:val="single" w:sz="4" w:space="0" w:color="auto"/>
            </w:tcBorders>
            <w:shd w:val="clear" w:color="auto" w:fill="FFFF00"/>
          </w:tcPr>
          <w:p w:rsidR="00310EB2" w:rsidRPr="004C526F" w:rsidRDefault="00310EB2" w:rsidP="00310EB2">
            <w:pPr>
              <w:jc w:val="center"/>
              <w:rPr>
                <w:rFonts w:asciiTheme="minorHAnsi" w:hAnsiTheme="minorHAnsi" w:cstheme="minorHAnsi"/>
                <w:b/>
                <w:sz w:val="18"/>
                <w:szCs w:val="18"/>
              </w:rPr>
            </w:pPr>
            <w:r w:rsidRPr="004C526F">
              <w:rPr>
                <w:rFonts w:asciiTheme="minorHAnsi" w:hAnsiTheme="minorHAnsi" w:cstheme="minorHAnsi"/>
                <w:b/>
                <w:sz w:val="18"/>
                <w:szCs w:val="18"/>
              </w:rPr>
              <w:t>SK/RU v %</w:t>
            </w:r>
          </w:p>
        </w:tc>
        <w:tc>
          <w:tcPr>
            <w:tcW w:w="2903" w:type="dxa"/>
            <w:gridSpan w:val="23"/>
            <w:tcBorders>
              <w:top w:val="single" w:sz="4" w:space="0" w:color="auto"/>
              <w:left w:val="single" w:sz="4" w:space="0" w:color="auto"/>
              <w:bottom w:val="single" w:sz="4" w:space="0" w:color="auto"/>
              <w:right w:val="single" w:sz="4" w:space="0" w:color="auto"/>
            </w:tcBorders>
            <w:shd w:val="clear" w:color="auto" w:fill="FFFF00"/>
          </w:tcPr>
          <w:p w:rsidR="00310EB2" w:rsidRPr="004C526F" w:rsidRDefault="00310EB2" w:rsidP="00310EB2">
            <w:pPr>
              <w:jc w:val="center"/>
              <w:rPr>
                <w:rFonts w:asciiTheme="minorHAnsi" w:hAnsiTheme="minorHAnsi" w:cstheme="minorHAnsi"/>
                <w:b/>
                <w:sz w:val="18"/>
                <w:szCs w:val="18"/>
              </w:rPr>
            </w:pPr>
            <w:r w:rsidRPr="004C526F">
              <w:rPr>
                <w:rFonts w:asciiTheme="minorHAnsi" w:hAnsiTheme="minorHAnsi" w:cstheme="minorHAnsi"/>
                <w:b/>
                <w:sz w:val="18"/>
                <w:szCs w:val="18"/>
              </w:rPr>
              <w:t>Komentář</w:t>
            </w:r>
          </w:p>
        </w:tc>
      </w:tr>
      <w:tr w:rsidR="004C526F" w:rsidRPr="004C526F" w:rsidTr="004C526F">
        <w:trPr>
          <w:gridAfter w:val="8"/>
          <w:wAfter w:w="2569" w:type="dxa"/>
        </w:trPr>
        <w:tc>
          <w:tcPr>
            <w:tcW w:w="3041" w:type="dxa"/>
            <w:gridSpan w:val="16"/>
            <w:tcBorders>
              <w:top w:val="single" w:sz="4" w:space="0" w:color="auto"/>
              <w:left w:val="single" w:sz="4" w:space="0" w:color="auto"/>
              <w:bottom w:val="single" w:sz="4" w:space="0" w:color="auto"/>
              <w:right w:val="single" w:sz="4" w:space="0" w:color="auto"/>
            </w:tcBorders>
          </w:tcPr>
          <w:p w:rsidR="00310EB2" w:rsidRPr="004C526F" w:rsidRDefault="00F6124A" w:rsidP="00310EB2">
            <w:pPr>
              <w:jc w:val="right"/>
              <w:rPr>
                <w:rFonts w:asciiTheme="minorHAnsi" w:hAnsiTheme="minorHAnsi" w:cstheme="minorHAnsi"/>
                <w:b/>
                <w:sz w:val="18"/>
                <w:szCs w:val="18"/>
              </w:rPr>
            </w:pPr>
            <w:r>
              <w:rPr>
                <w:rFonts w:asciiTheme="minorHAnsi" w:hAnsiTheme="minorHAnsi" w:cstheme="minorHAnsi"/>
                <w:b/>
                <w:sz w:val="18"/>
                <w:szCs w:val="18"/>
              </w:rPr>
              <w:t xml:space="preserve">10 </w:t>
            </w:r>
            <w:r w:rsidR="00310EB2" w:rsidRPr="004C526F">
              <w:rPr>
                <w:rFonts w:asciiTheme="minorHAnsi" w:hAnsiTheme="minorHAnsi" w:cstheme="minorHAnsi"/>
                <w:b/>
                <w:sz w:val="18"/>
                <w:szCs w:val="18"/>
              </w:rPr>
              <w:t>479,70</w:t>
            </w:r>
          </w:p>
        </w:tc>
        <w:tc>
          <w:tcPr>
            <w:tcW w:w="2981" w:type="dxa"/>
            <w:gridSpan w:val="24"/>
            <w:tcBorders>
              <w:top w:val="single" w:sz="4" w:space="0" w:color="auto"/>
              <w:left w:val="single" w:sz="4" w:space="0" w:color="auto"/>
              <w:bottom w:val="single" w:sz="4" w:space="0" w:color="auto"/>
              <w:right w:val="single" w:sz="4" w:space="0" w:color="auto"/>
            </w:tcBorders>
          </w:tcPr>
          <w:p w:rsidR="00310EB2" w:rsidRPr="004C526F" w:rsidRDefault="00F6124A" w:rsidP="00310EB2">
            <w:pPr>
              <w:jc w:val="right"/>
              <w:rPr>
                <w:rFonts w:asciiTheme="minorHAnsi" w:hAnsiTheme="minorHAnsi" w:cstheme="minorHAnsi"/>
                <w:b/>
                <w:sz w:val="18"/>
                <w:szCs w:val="18"/>
              </w:rPr>
            </w:pPr>
            <w:r>
              <w:rPr>
                <w:rFonts w:asciiTheme="minorHAnsi" w:hAnsiTheme="minorHAnsi" w:cstheme="minorHAnsi"/>
                <w:b/>
                <w:sz w:val="18"/>
                <w:szCs w:val="18"/>
              </w:rPr>
              <w:t xml:space="preserve">10 </w:t>
            </w:r>
            <w:r w:rsidR="00310EB2" w:rsidRPr="004C526F">
              <w:rPr>
                <w:rFonts w:asciiTheme="minorHAnsi" w:hAnsiTheme="minorHAnsi" w:cstheme="minorHAnsi"/>
                <w:b/>
                <w:sz w:val="18"/>
                <w:szCs w:val="18"/>
              </w:rPr>
              <w:t>029,40</w:t>
            </w:r>
          </w:p>
        </w:tc>
        <w:tc>
          <w:tcPr>
            <w:tcW w:w="996" w:type="dxa"/>
            <w:gridSpan w:val="7"/>
            <w:tcBorders>
              <w:top w:val="single" w:sz="4" w:space="0" w:color="auto"/>
              <w:left w:val="single" w:sz="4" w:space="0" w:color="auto"/>
              <w:bottom w:val="single" w:sz="4" w:space="0" w:color="auto"/>
              <w:right w:val="single" w:sz="4" w:space="0" w:color="auto"/>
            </w:tcBorders>
          </w:tcPr>
          <w:p w:rsidR="00310EB2" w:rsidRPr="004C526F" w:rsidRDefault="00310EB2" w:rsidP="004C526F">
            <w:pPr>
              <w:jc w:val="center"/>
              <w:rPr>
                <w:rFonts w:asciiTheme="minorHAnsi" w:hAnsiTheme="minorHAnsi" w:cstheme="minorHAnsi"/>
                <w:b/>
                <w:sz w:val="18"/>
                <w:szCs w:val="18"/>
              </w:rPr>
            </w:pPr>
            <w:r w:rsidRPr="004C526F">
              <w:rPr>
                <w:rFonts w:asciiTheme="minorHAnsi" w:hAnsiTheme="minorHAnsi" w:cstheme="minorHAnsi"/>
                <w:b/>
                <w:sz w:val="18"/>
                <w:szCs w:val="18"/>
              </w:rPr>
              <w:t>95,70</w:t>
            </w:r>
          </w:p>
        </w:tc>
        <w:tc>
          <w:tcPr>
            <w:tcW w:w="2903" w:type="dxa"/>
            <w:gridSpan w:val="23"/>
            <w:tcBorders>
              <w:top w:val="single" w:sz="4" w:space="0" w:color="auto"/>
              <w:left w:val="single" w:sz="4" w:space="0" w:color="auto"/>
              <w:bottom w:val="single" w:sz="4" w:space="0" w:color="auto"/>
              <w:right w:val="single" w:sz="4" w:space="0" w:color="auto"/>
            </w:tcBorders>
          </w:tcPr>
          <w:p w:rsidR="00310EB2" w:rsidRPr="004C526F" w:rsidRDefault="00310EB2" w:rsidP="00310EB2">
            <w:pPr>
              <w:rPr>
                <w:rFonts w:asciiTheme="minorHAnsi" w:hAnsiTheme="minorHAnsi" w:cstheme="minorHAnsi"/>
                <w:b/>
                <w:sz w:val="18"/>
                <w:szCs w:val="18"/>
              </w:rPr>
            </w:pPr>
            <w:r w:rsidRPr="004C526F">
              <w:rPr>
                <w:rFonts w:asciiTheme="minorHAnsi" w:hAnsiTheme="minorHAnsi" w:cstheme="minorHAnsi"/>
                <w:b/>
                <w:sz w:val="18"/>
                <w:szCs w:val="18"/>
              </w:rPr>
              <w:t>Výdaje před konsolidací</w:t>
            </w:r>
          </w:p>
        </w:tc>
      </w:tr>
      <w:tr w:rsidR="004C526F" w:rsidRPr="004C526F" w:rsidTr="004C526F">
        <w:trPr>
          <w:gridAfter w:val="8"/>
          <w:wAfter w:w="2569" w:type="dxa"/>
        </w:trPr>
        <w:tc>
          <w:tcPr>
            <w:tcW w:w="3041" w:type="dxa"/>
            <w:gridSpan w:val="16"/>
            <w:tcBorders>
              <w:top w:val="single" w:sz="4" w:space="0" w:color="auto"/>
              <w:left w:val="single" w:sz="4" w:space="0" w:color="auto"/>
              <w:bottom w:val="single" w:sz="4" w:space="0" w:color="auto"/>
              <w:right w:val="single" w:sz="4" w:space="0" w:color="auto"/>
            </w:tcBorders>
          </w:tcPr>
          <w:p w:rsidR="00310EB2" w:rsidRPr="004C526F" w:rsidRDefault="00F6124A" w:rsidP="00310EB2">
            <w:pPr>
              <w:jc w:val="right"/>
              <w:rPr>
                <w:rFonts w:asciiTheme="minorHAnsi" w:hAnsiTheme="minorHAnsi" w:cstheme="minorHAnsi"/>
                <w:b/>
                <w:sz w:val="18"/>
                <w:szCs w:val="18"/>
              </w:rPr>
            </w:pPr>
            <w:r>
              <w:rPr>
                <w:rFonts w:asciiTheme="minorHAnsi" w:hAnsiTheme="minorHAnsi" w:cstheme="minorHAnsi"/>
                <w:b/>
                <w:sz w:val="18"/>
                <w:szCs w:val="18"/>
              </w:rPr>
              <w:t xml:space="preserve">10 </w:t>
            </w:r>
            <w:r w:rsidR="00310EB2" w:rsidRPr="004C526F">
              <w:rPr>
                <w:rFonts w:asciiTheme="minorHAnsi" w:hAnsiTheme="minorHAnsi" w:cstheme="minorHAnsi"/>
                <w:b/>
                <w:sz w:val="18"/>
                <w:szCs w:val="18"/>
              </w:rPr>
              <w:t>479,70</w:t>
            </w:r>
          </w:p>
        </w:tc>
        <w:tc>
          <w:tcPr>
            <w:tcW w:w="2981" w:type="dxa"/>
            <w:gridSpan w:val="24"/>
            <w:tcBorders>
              <w:top w:val="single" w:sz="4" w:space="0" w:color="auto"/>
              <w:left w:val="single" w:sz="4" w:space="0" w:color="auto"/>
              <w:bottom w:val="single" w:sz="4" w:space="0" w:color="auto"/>
              <w:right w:val="single" w:sz="4" w:space="0" w:color="auto"/>
            </w:tcBorders>
          </w:tcPr>
          <w:p w:rsidR="00310EB2" w:rsidRPr="004C526F" w:rsidRDefault="00F6124A" w:rsidP="00310EB2">
            <w:pPr>
              <w:jc w:val="right"/>
              <w:rPr>
                <w:rFonts w:asciiTheme="minorHAnsi" w:hAnsiTheme="minorHAnsi" w:cstheme="minorHAnsi"/>
                <w:b/>
                <w:sz w:val="18"/>
                <w:szCs w:val="18"/>
              </w:rPr>
            </w:pPr>
            <w:r>
              <w:rPr>
                <w:rFonts w:asciiTheme="minorHAnsi" w:hAnsiTheme="minorHAnsi" w:cstheme="minorHAnsi"/>
                <w:b/>
                <w:sz w:val="18"/>
                <w:szCs w:val="18"/>
              </w:rPr>
              <w:t xml:space="preserve">10 </w:t>
            </w:r>
            <w:r w:rsidR="00310EB2" w:rsidRPr="004C526F">
              <w:rPr>
                <w:rFonts w:asciiTheme="minorHAnsi" w:hAnsiTheme="minorHAnsi" w:cstheme="minorHAnsi"/>
                <w:b/>
                <w:sz w:val="18"/>
                <w:szCs w:val="18"/>
              </w:rPr>
              <w:t>029,40</w:t>
            </w:r>
          </w:p>
        </w:tc>
        <w:tc>
          <w:tcPr>
            <w:tcW w:w="996" w:type="dxa"/>
            <w:gridSpan w:val="7"/>
            <w:tcBorders>
              <w:top w:val="single" w:sz="4" w:space="0" w:color="auto"/>
              <w:left w:val="single" w:sz="4" w:space="0" w:color="auto"/>
              <w:bottom w:val="single" w:sz="4" w:space="0" w:color="auto"/>
              <w:right w:val="single" w:sz="4" w:space="0" w:color="auto"/>
            </w:tcBorders>
          </w:tcPr>
          <w:p w:rsidR="00310EB2" w:rsidRPr="004C526F" w:rsidRDefault="00310EB2" w:rsidP="004C526F">
            <w:pPr>
              <w:jc w:val="center"/>
              <w:rPr>
                <w:rFonts w:asciiTheme="minorHAnsi" w:hAnsiTheme="minorHAnsi" w:cstheme="minorHAnsi"/>
                <w:b/>
                <w:sz w:val="18"/>
                <w:szCs w:val="18"/>
              </w:rPr>
            </w:pPr>
            <w:r w:rsidRPr="004C526F">
              <w:rPr>
                <w:rFonts w:asciiTheme="minorHAnsi" w:hAnsiTheme="minorHAnsi" w:cstheme="minorHAnsi"/>
                <w:b/>
                <w:sz w:val="18"/>
                <w:szCs w:val="18"/>
              </w:rPr>
              <w:t>95,70</w:t>
            </w:r>
          </w:p>
        </w:tc>
        <w:tc>
          <w:tcPr>
            <w:tcW w:w="2903" w:type="dxa"/>
            <w:gridSpan w:val="23"/>
            <w:tcBorders>
              <w:top w:val="single" w:sz="4" w:space="0" w:color="auto"/>
              <w:left w:val="single" w:sz="4" w:space="0" w:color="auto"/>
              <w:bottom w:val="single" w:sz="4" w:space="0" w:color="auto"/>
              <w:right w:val="single" w:sz="4" w:space="0" w:color="auto"/>
            </w:tcBorders>
          </w:tcPr>
          <w:p w:rsidR="00310EB2" w:rsidRPr="004C526F" w:rsidRDefault="00310EB2" w:rsidP="00310EB2">
            <w:pPr>
              <w:rPr>
                <w:rFonts w:asciiTheme="minorHAnsi" w:hAnsiTheme="minorHAnsi" w:cstheme="minorHAnsi"/>
                <w:b/>
                <w:sz w:val="18"/>
                <w:szCs w:val="18"/>
              </w:rPr>
            </w:pPr>
            <w:r w:rsidRPr="004C526F">
              <w:rPr>
                <w:rFonts w:asciiTheme="minorHAnsi" w:hAnsiTheme="minorHAnsi" w:cstheme="minorHAnsi"/>
                <w:b/>
                <w:sz w:val="18"/>
                <w:szCs w:val="18"/>
              </w:rPr>
              <w:t>Výdaje po konsolidaci</w:t>
            </w:r>
          </w:p>
        </w:tc>
      </w:tr>
      <w:tr w:rsidR="00310EB2" w:rsidRPr="00310EB2" w:rsidTr="004C526F">
        <w:tc>
          <w:tcPr>
            <w:tcW w:w="457" w:type="dxa"/>
          </w:tcPr>
          <w:p w:rsidR="00310EB2" w:rsidRPr="00310EB2" w:rsidRDefault="00310EB2" w:rsidP="00310EB2">
            <w:pPr>
              <w:rPr>
                <w:rFonts w:asciiTheme="minorHAnsi" w:hAnsiTheme="minorHAnsi" w:cstheme="minorHAnsi"/>
                <w:b/>
                <w:sz w:val="20"/>
                <w:szCs w:val="20"/>
              </w:rPr>
            </w:pPr>
          </w:p>
        </w:tc>
        <w:tc>
          <w:tcPr>
            <w:tcW w:w="389" w:type="dxa"/>
            <w:gridSpan w:val="2"/>
          </w:tcPr>
          <w:p w:rsidR="00310EB2" w:rsidRPr="00310EB2" w:rsidRDefault="00310EB2" w:rsidP="00310EB2">
            <w:pPr>
              <w:rPr>
                <w:rFonts w:asciiTheme="minorHAnsi" w:hAnsiTheme="minorHAnsi" w:cstheme="minorHAnsi"/>
                <w:b/>
                <w:sz w:val="20"/>
                <w:szCs w:val="20"/>
              </w:rPr>
            </w:pPr>
          </w:p>
        </w:tc>
        <w:tc>
          <w:tcPr>
            <w:tcW w:w="527" w:type="dxa"/>
            <w:gridSpan w:val="2"/>
          </w:tcPr>
          <w:p w:rsidR="00310EB2" w:rsidRPr="00310EB2" w:rsidRDefault="00310EB2" w:rsidP="00310EB2">
            <w:pPr>
              <w:rPr>
                <w:rFonts w:asciiTheme="minorHAnsi" w:hAnsiTheme="minorHAnsi" w:cstheme="minorHAnsi"/>
                <w:b/>
                <w:sz w:val="20"/>
                <w:szCs w:val="20"/>
              </w:rPr>
            </w:pPr>
          </w:p>
        </w:tc>
        <w:tc>
          <w:tcPr>
            <w:tcW w:w="1668" w:type="dxa"/>
            <w:gridSpan w:val="11"/>
          </w:tcPr>
          <w:p w:rsidR="00310EB2" w:rsidRPr="00310EB2" w:rsidRDefault="00310EB2" w:rsidP="00310EB2">
            <w:pPr>
              <w:rPr>
                <w:rFonts w:asciiTheme="minorHAnsi" w:hAnsiTheme="minorHAnsi" w:cstheme="minorHAnsi"/>
                <w:b/>
                <w:sz w:val="20"/>
                <w:szCs w:val="20"/>
              </w:rPr>
            </w:pPr>
          </w:p>
        </w:tc>
        <w:tc>
          <w:tcPr>
            <w:tcW w:w="160" w:type="dxa"/>
          </w:tcPr>
          <w:p w:rsidR="00310EB2" w:rsidRPr="00310EB2" w:rsidRDefault="00310EB2" w:rsidP="00310EB2">
            <w:pPr>
              <w:rPr>
                <w:rFonts w:asciiTheme="minorHAnsi" w:hAnsiTheme="minorHAnsi" w:cstheme="minorHAnsi"/>
                <w:b/>
                <w:sz w:val="20"/>
                <w:szCs w:val="20"/>
              </w:rPr>
            </w:pPr>
          </w:p>
        </w:tc>
        <w:tc>
          <w:tcPr>
            <w:tcW w:w="409" w:type="dxa"/>
            <w:gridSpan w:val="3"/>
          </w:tcPr>
          <w:p w:rsidR="00310EB2" w:rsidRPr="00310EB2" w:rsidRDefault="00310EB2" w:rsidP="00310EB2">
            <w:pPr>
              <w:rPr>
                <w:rFonts w:asciiTheme="minorHAnsi" w:hAnsiTheme="minorHAnsi" w:cstheme="minorHAnsi"/>
                <w:b/>
                <w:sz w:val="20"/>
                <w:szCs w:val="20"/>
              </w:rPr>
            </w:pPr>
          </w:p>
        </w:tc>
        <w:tc>
          <w:tcPr>
            <w:tcW w:w="511" w:type="dxa"/>
            <w:gridSpan w:val="3"/>
          </w:tcPr>
          <w:p w:rsidR="00310EB2" w:rsidRPr="00310EB2" w:rsidRDefault="00310EB2" w:rsidP="00310EB2">
            <w:pPr>
              <w:rPr>
                <w:rFonts w:asciiTheme="minorHAnsi" w:hAnsiTheme="minorHAnsi" w:cstheme="minorHAnsi"/>
                <w:b/>
                <w:sz w:val="20"/>
                <w:szCs w:val="20"/>
              </w:rPr>
            </w:pPr>
          </w:p>
        </w:tc>
        <w:tc>
          <w:tcPr>
            <w:tcW w:w="460" w:type="dxa"/>
            <w:gridSpan w:val="5"/>
          </w:tcPr>
          <w:p w:rsidR="00310EB2" w:rsidRPr="00310EB2" w:rsidRDefault="00310EB2" w:rsidP="00310EB2">
            <w:pPr>
              <w:rPr>
                <w:rFonts w:asciiTheme="minorHAnsi" w:hAnsiTheme="minorHAnsi" w:cstheme="minorHAnsi"/>
                <w:b/>
                <w:sz w:val="20"/>
                <w:szCs w:val="20"/>
              </w:rPr>
            </w:pPr>
          </w:p>
        </w:tc>
        <w:tc>
          <w:tcPr>
            <w:tcW w:w="460" w:type="dxa"/>
            <w:gridSpan w:val="3"/>
          </w:tcPr>
          <w:p w:rsidR="00310EB2" w:rsidRPr="00310EB2" w:rsidRDefault="00310EB2" w:rsidP="00310EB2">
            <w:pPr>
              <w:rPr>
                <w:rFonts w:asciiTheme="minorHAnsi" w:hAnsiTheme="minorHAnsi" w:cstheme="minorHAnsi"/>
                <w:b/>
                <w:sz w:val="20"/>
                <w:szCs w:val="20"/>
              </w:rPr>
            </w:pPr>
          </w:p>
        </w:tc>
        <w:tc>
          <w:tcPr>
            <w:tcW w:w="397" w:type="dxa"/>
            <w:gridSpan w:val="3"/>
          </w:tcPr>
          <w:p w:rsidR="00310EB2" w:rsidRPr="00310EB2" w:rsidRDefault="00310EB2" w:rsidP="00310EB2">
            <w:pPr>
              <w:rPr>
                <w:rFonts w:asciiTheme="minorHAnsi" w:hAnsiTheme="minorHAnsi" w:cstheme="minorHAnsi"/>
                <w:b/>
                <w:sz w:val="20"/>
                <w:szCs w:val="20"/>
              </w:rPr>
            </w:pPr>
          </w:p>
        </w:tc>
        <w:tc>
          <w:tcPr>
            <w:tcW w:w="523" w:type="dxa"/>
            <w:gridSpan w:val="5"/>
          </w:tcPr>
          <w:p w:rsidR="00310EB2" w:rsidRPr="00310EB2" w:rsidRDefault="00310EB2" w:rsidP="00310EB2">
            <w:pPr>
              <w:rPr>
                <w:rFonts w:asciiTheme="minorHAnsi" w:hAnsiTheme="minorHAnsi" w:cstheme="minorHAnsi"/>
                <w:b/>
                <w:sz w:val="20"/>
                <w:szCs w:val="20"/>
              </w:rPr>
            </w:pPr>
          </w:p>
        </w:tc>
        <w:tc>
          <w:tcPr>
            <w:tcW w:w="471" w:type="dxa"/>
            <w:gridSpan w:val="4"/>
          </w:tcPr>
          <w:p w:rsidR="00310EB2" w:rsidRPr="00310EB2" w:rsidRDefault="00310EB2" w:rsidP="00310EB2">
            <w:pPr>
              <w:rPr>
                <w:rFonts w:asciiTheme="minorHAnsi" w:hAnsiTheme="minorHAnsi" w:cstheme="minorHAnsi"/>
                <w:b/>
                <w:sz w:val="20"/>
                <w:szCs w:val="20"/>
              </w:rPr>
            </w:pPr>
          </w:p>
        </w:tc>
        <w:tc>
          <w:tcPr>
            <w:tcW w:w="586" w:type="dxa"/>
            <w:gridSpan w:val="4"/>
          </w:tcPr>
          <w:p w:rsidR="00310EB2" w:rsidRPr="00310EB2" w:rsidRDefault="00310EB2" w:rsidP="00310EB2">
            <w:pPr>
              <w:rPr>
                <w:rFonts w:asciiTheme="minorHAnsi" w:hAnsiTheme="minorHAnsi" w:cstheme="minorHAnsi"/>
                <w:b/>
                <w:sz w:val="20"/>
                <w:szCs w:val="20"/>
              </w:rPr>
            </w:pPr>
          </w:p>
        </w:tc>
        <w:tc>
          <w:tcPr>
            <w:tcW w:w="329" w:type="dxa"/>
            <w:gridSpan w:val="3"/>
          </w:tcPr>
          <w:p w:rsidR="00310EB2" w:rsidRPr="00310EB2" w:rsidRDefault="00310EB2" w:rsidP="00310EB2">
            <w:pPr>
              <w:rPr>
                <w:rFonts w:asciiTheme="minorHAnsi" w:hAnsiTheme="minorHAnsi" w:cstheme="minorHAnsi"/>
                <w:b/>
                <w:sz w:val="20"/>
                <w:szCs w:val="20"/>
              </w:rPr>
            </w:pPr>
          </w:p>
        </w:tc>
        <w:tc>
          <w:tcPr>
            <w:tcW w:w="460" w:type="dxa"/>
            <w:gridSpan w:val="3"/>
          </w:tcPr>
          <w:p w:rsidR="00310EB2" w:rsidRPr="00310EB2" w:rsidRDefault="00310EB2" w:rsidP="00310EB2">
            <w:pPr>
              <w:rPr>
                <w:rFonts w:asciiTheme="minorHAnsi" w:hAnsiTheme="minorHAnsi" w:cstheme="minorHAnsi"/>
                <w:b/>
                <w:sz w:val="20"/>
                <w:szCs w:val="20"/>
              </w:rPr>
            </w:pPr>
          </w:p>
        </w:tc>
        <w:tc>
          <w:tcPr>
            <w:tcW w:w="460" w:type="dxa"/>
            <w:gridSpan w:val="4"/>
          </w:tcPr>
          <w:p w:rsidR="00310EB2" w:rsidRPr="00310EB2" w:rsidRDefault="00310EB2" w:rsidP="00310EB2">
            <w:pPr>
              <w:rPr>
                <w:rFonts w:asciiTheme="minorHAnsi" w:hAnsiTheme="minorHAnsi" w:cstheme="minorHAnsi"/>
                <w:b/>
                <w:sz w:val="20"/>
                <w:szCs w:val="20"/>
              </w:rPr>
            </w:pPr>
          </w:p>
        </w:tc>
        <w:tc>
          <w:tcPr>
            <w:tcW w:w="460" w:type="dxa"/>
            <w:gridSpan w:val="4"/>
          </w:tcPr>
          <w:p w:rsidR="00310EB2" w:rsidRPr="00310EB2" w:rsidRDefault="00310EB2" w:rsidP="00310EB2">
            <w:pPr>
              <w:rPr>
                <w:rFonts w:asciiTheme="minorHAnsi" w:hAnsiTheme="minorHAnsi" w:cstheme="minorHAnsi"/>
                <w:b/>
                <w:sz w:val="20"/>
                <w:szCs w:val="20"/>
              </w:rPr>
            </w:pPr>
          </w:p>
        </w:tc>
        <w:tc>
          <w:tcPr>
            <w:tcW w:w="460" w:type="dxa"/>
            <w:gridSpan w:val="4"/>
          </w:tcPr>
          <w:p w:rsidR="00310EB2" w:rsidRPr="00310EB2" w:rsidRDefault="00310EB2" w:rsidP="00310EB2">
            <w:pPr>
              <w:rPr>
                <w:rFonts w:asciiTheme="minorHAnsi" w:hAnsiTheme="minorHAnsi" w:cstheme="minorHAnsi"/>
                <w:b/>
                <w:sz w:val="20"/>
                <w:szCs w:val="20"/>
              </w:rPr>
            </w:pPr>
          </w:p>
        </w:tc>
        <w:tc>
          <w:tcPr>
            <w:tcW w:w="460" w:type="dxa"/>
            <w:gridSpan w:val="3"/>
          </w:tcPr>
          <w:p w:rsidR="00310EB2" w:rsidRPr="00310EB2" w:rsidRDefault="00310EB2" w:rsidP="00310EB2">
            <w:pPr>
              <w:rPr>
                <w:rFonts w:asciiTheme="minorHAnsi" w:hAnsiTheme="minorHAnsi" w:cstheme="minorHAnsi"/>
                <w:b/>
                <w:sz w:val="20"/>
                <w:szCs w:val="20"/>
              </w:rPr>
            </w:pPr>
          </w:p>
        </w:tc>
        <w:tc>
          <w:tcPr>
            <w:tcW w:w="2843" w:type="dxa"/>
            <w:gridSpan w:val="10"/>
          </w:tcPr>
          <w:p w:rsidR="00310EB2" w:rsidRPr="00310EB2" w:rsidRDefault="00310EB2" w:rsidP="00310EB2">
            <w:pPr>
              <w:rPr>
                <w:rFonts w:asciiTheme="minorHAnsi" w:hAnsiTheme="minorHAnsi" w:cstheme="minorHAnsi"/>
                <w:b/>
                <w:sz w:val="20"/>
                <w:szCs w:val="20"/>
              </w:rPr>
            </w:pPr>
          </w:p>
        </w:tc>
      </w:tr>
      <w:tr w:rsidR="00310EB2" w:rsidRPr="00310EB2" w:rsidTr="003A1AEF">
        <w:trPr>
          <w:gridAfter w:val="8"/>
          <w:wAfter w:w="2569" w:type="dxa"/>
        </w:trPr>
        <w:tc>
          <w:tcPr>
            <w:tcW w:w="9921" w:type="dxa"/>
            <w:gridSpan w:val="70"/>
          </w:tcPr>
          <w:p w:rsidR="00310EB2" w:rsidRPr="00310EB2" w:rsidRDefault="00310EB2" w:rsidP="00310EB2">
            <w:pPr>
              <w:rPr>
                <w:rFonts w:asciiTheme="minorHAnsi" w:hAnsiTheme="minorHAnsi" w:cstheme="minorHAnsi"/>
                <w:b/>
                <w:sz w:val="20"/>
                <w:szCs w:val="20"/>
              </w:rPr>
            </w:pPr>
            <w:r w:rsidRPr="00310EB2">
              <w:rPr>
                <w:rFonts w:asciiTheme="minorHAnsi" w:hAnsiTheme="minorHAnsi" w:cstheme="minorHAnsi"/>
                <w:b/>
                <w:sz w:val="20"/>
                <w:szCs w:val="20"/>
              </w:rPr>
              <w:t>Stručný komentář k celkovému vývoji čerpání výdajů kapitoly ve sledovaném období</w:t>
            </w:r>
          </w:p>
        </w:tc>
      </w:tr>
      <w:tr w:rsidR="00310EB2" w:rsidRPr="00310EB2" w:rsidTr="004C526F">
        <w:trPr>
          <w:gridAfter w:val="1"/>
          <w:wAfter w:w="946" w:type="dxa"/>
        </w:trPr>
        <w:tc>
          <w:tcPr>
            <w:tcW w:w="457" w:type="dxa"/>
          </w:tcPr>
          <w:p w:rsidR="00310EB2" w:rsidRPr="00310EB2" w:rsidRDefault="00310EB2" w:rsidP="00310EB2">
            <w:pPr>
              <w:rPr>
                <w:rFonts w:asciiTheme="minorHAnsi" w:hAnsiTheme="minorHAnsi" w:cstheme="minorHAnsi"/>
                <w:b/>
                <w:sz w:val="20"/>
                <w:szCs w:val="20"/>
              </w:rPr>
            </w:pPr>
          </w:p>
        </w:tc>
        <w:tc>
          <w:tcPr>
            <w:tcW w:w="389" w:type="dxa"/>
            <w:gridSpan w:val="2"/>
          </w:tcPr>
          <w:p w:rsidR="00310EB2" w:rsidRPr="00310EB2" w:rsidRDefault="00310EB2" w:rsidP="00310EB2">
            <w:pPr>
              <w:rPr>
                <w:rFonts w:asciiTheme="minorHAnsi" w:hAnsiTheme="minorHAnsi" w:cstheme="minorHAnsi"/>
                <w:b/>
                <w:sz w:val="20"/>
                <w:szCs w:val="20"/>
              </w:rPr>
            </w:pPr>
          </w:p>
        </w:tc>
        <w:tc>
          <w:tcPr>
            <w:tcW w:w="527" w:type="dxa"/>
            <w:gridSpan w:val="2"/>
          </w:tcPr>
          <w:p w:rsidR="00310EB2" w:rsidRPr="00310EB2" w:rsidRDefault="00310EB2" w:rsidP="00310EB2">
            <w:pPr>
              <w:rPr>
                <w:rFonts w:asciiTheme="minorHAnsi" w:hAnsiTheme="minorHAnsi" w:cstheme="minorHAnsi"/>
                <w:b/>
                <w:sz w:val="20"/>
                <w:szCs w:val="20"/>
              </w:rPr>
            </w:pPr>
          </w:p>
        </w:tc>
        <w:tc>
          <w:tcPr>
            <w:tcW w:w="459" w:type="dxa"/>
            <w:gridSpan w:val="6"/>
          </w:tcPr>
          <w:p w:rsidR="00310EB2" w:rsidRPr="00310EB2" w:rsidRDefault="00310EB2" w:rsidP="00310EB2">
            <w:pPr>
              <w:rPr>
                <w:rFonts w:asciiTheme="minorHAnsi" w:hAnsiTheme="minorHAnsi" w:cstheme="minorHAnsi"/>
                <w:b/>
                <w:sz w:val="20"/>
                <w:szCs w:val="20"/>
              </w:rPr>
            </w:pPr>
          </w:p>
        </w:tc>
        <w:tc>
          <w:tcPr>
            <w:tcW w:w="460" w:type="dxa"/>
          </w:tcPr>
          <w:p w:rsidR="00310EB2" w:rsidRPr="00310EB2" w:rsidRDefault="00310EB2" w:rsidP="00310EB2">
            <w:pPr>
              <w:rPr>
                <w:rFonts w:asciiTheme="minorHAnsi" w:hAnsiTheme="minorHAnsi" w:cstheme="minorHAnsi"/>
                <w:b/>
                <w:sz w:val="20"/>
                <w:szCs w:val="20"/>
              </w:rPr>
            </w:pPr>
          </w:p>
        </w:tc>
        <w:tc>
          <w:tcPr>
            <w:tcW w:w="460" w:type="dxa"/>
          </w:tcPr>
          <w:p w:rsidR="00310EB2" w:rsidRPr="00310EB2" w:rsidRDefault="00310EB2" w:rsidP="00310EB2">
            <w:pPr>
              <w:rPr>
                <w:rFonts w:asciiTheme="minorHAnsi" w:hAnsiTheme="minorHAnsi" w:cstheme="minorHAnsi"/>
                <w:b/>
                <w:sz w:val="20"/>
                <w:szCs w:val="20"/>
              </w:rPr>
            </w:pPr>
          </w:p>
        </w:tc>
        <w:tc>
          <w:tcPr>
            <w:tcW w:w="460" w:type="dxa"/>
            <w:gridSpan w:val="5"/>
          </w:tcPr>
          <w:p w:rsidR="00310EB2" w:rsidRPr="00310EB2" w:rsidRDefault="00310EB2" w:rsidP="00310EB2">
            <w:pPr>
              <w:rPr>
                <w:rFonts w:asciiTheme="minorHAnsi" w:hAnsiTheme="minorHAnsi" w:cstheme="minorHAnsi"/>
                <w:b/>
                <w:sz w:val="20"/>
                <w:szCs w:val="20"/>
              </w:rPr>
            </w:pPr>
          </w:p>
        </w:tc>
        <w:tc>
          <w:tcPr>
            <w:tcW w:w="398" w:type="dxa"/>
            <w:gridSpan w:val="2"/>
          </w:tcPr>
          <w:p w:rsidR="00310EB2" w:rsidRPr="00310EB2" w:rsidRDefault="00310EB2" w:rsidP="00310EB2">
            <w:pPr>
              <w:rPr>
                <w:rFonts w:asciiTheme="minorHAnsi" w:hAnsiTheme="minorHAnsi" w:cstheme="minorHAnsi"/>
                <w:b/>
                <w:sz w:val="20"/>
                <w:szCs w:val="20"/>
              </w:rPr>
            </w:pPr>
          </w:p>
        </w:tc>
        <w:tc>
          <w:tcPr>
            <w:tcW w:w="522" w:type="dxa"/>
            <w:gridSpan w:val="4"/>
          </w:tcPr>
          <w:p w:rsidR="00310EB2" w:rsidRPr="00310EB2" w:rsidRDefault="00310EB2" w:rsidP="00310EB2">
            <w:pPr>
              <w:rPr>
                <w:rFonts w:asciiTheme="minorHAnsi" w:hAnsiTheme="minorHAnsi" w:cstheme="minorHAnsi"/>
                <w:b/>
                <w:sz w:val="20"/>
                <w:szCs w:val="20"/>
              </w:rPr>
            </w:pPr>
          </w:p>
        </w:tc>
        <w:tc>
          <w:tcPr>
            <w:tcW w:w="397" w:type="dxa"/>
            <w:gridSpan w:val="2"/>
          </w:tcPr>
          <w:p w:rsidR="00310EB2" w:rsidRPr="00310EB2" w:rsidRDefault="00310EB2" w:rsidP="00310EB2">
            <w:pPr>
              <w:rPr>
                <w:rFonts w:asciiTheme="minorHAnsi" w:hAnsiTheme="minorHAnsi" w:cstheme="minorHAnsi"/>
                <w:b/>
                <w:sz w:val="20"/>
                <w:szCs w:val="20"/>
              </w:rPr>
            </w:pPr>
          </w:p>
        </w:tc>
        <w:tc>
          <w:tcPr>
            <w:tcW w:w="523" w:type="dxa"/>
            <w:gridSpan w:val="6"/>
          </w:tcPr>
          <w:p w:rsidR="00310EB2" w:rsidRPr="00310EB2" w:rsidRDefault="00310EB2" w:rsidP="00310EB2">
            <w:pPr>
              <w:rPr>
                <w:rFonts w:asciiTheme="minorHAnsi" w:hAnsiTheme="minorHAnsi" w:cstheme="minorHAnsi"/>
                <w:b/>
                <w:sz w:val="20"/>
                <w:szCs w:val="20"/>
              </w:rPr>
            </w:pPr>
          </w:p>
        </w:tc>
        <w:tc>
          <w:tcPr>
            <w:tcW w:w="1966" w:type="dxa"/>
            <w:gridSpan w:val="15"/>
          </w:tcPr>
          <w:p w:rsidR="00310EB2" w:rsidRPr="00310EB2" w:rsidRDefault="00310EB2" w:rsidP="00310EB2">
            <w:pPr>
              <w:rPr>
                <w:rFonts w:asciiTheme="minorHAnsi" w:hAnsiTheme="minorHAnsi" w:cstheme="minorHAnsi"/>
                <w:b/>
                <w:sz w:val="20"/>
                <w:szCs w:val="20"/>
              </w:rPr>
            </w:pPr>
          </w:p>
        </w:tc>
        <w:tc>
          <w:tcPr>
            <w:tcW w:w="583" w:type="dxa"/>
            <w:gridSpan w:val="4"/>
          </w:tcPr>
          <w:p w:rsidR="00310EB2" w:rsidRPr="00310EB2" w:rsidRDefault="00310EB2" w:rsidP="00310EB2">
            <w:pPr>
              <w:rPr>
                <w:rFonts w:asciiTheme="minorHAnsi" w:hAnsiTheme="minorHAnsi" w:cstheme="minorHAnsi"/>
                <w:b/>
                <w:sz w:val="20"/>
                <w:szCs w:val="20"/>
              </w:rPr>
            </w:pPr>
          </w:p>
        </w:tc>
        <w:tc>
          <w:tcPr>
            <w:tcW w:w="460" w:type="dxa"/>
            <w:gridSpan w:val="4"/>
          </w:tcPr>
          <w:p w:rsidR="00310EB2" w:rsidRPr="00310EB2" w:rsidRDefault="00310EB2" w:rsidP="00310EB2">
            <w:pPr>
              <w:rPr>
                <w:rFonts w:asciiTheme="minorHAnsi" w:hAnsiTheme="minorHAnsi" w:cstheme="minorHAnsi"/>
                <w:b/>
                <w:sz w:val="20"/>
                <w:szCs w:val="20"/>
              </w:rPr>
            </w:pPr>
          </w:p>
        </w:tc>
        <w:tc>
          <w:tcPr>
            <w:tcW w:w="460" w:type="dxa"/>
            <w:gridSpan w:val="4"/>
          </w:tcPr>
          <w:p w:rsidR="00310EB2" w:rsidRPr="00310EB2" w:rsidRDefault="00310EB2" w:rsidP="00310EB2">
            <w:pPr>
              <w:rPr>
                <w:rFonts w:asciiTheme="minorHAnsi" w:hAnsiTheme="minorHAnsi" w:cstheme="minorHAnsi"/>
                <w:b/>
                <w:sz w:val="20"/>
                <w:szCs w:val="20"/>
              </w:rPr>
            </w:pPr>
          </w:p>
        </w:tc>
        <w:tc>
          <w:tcPr>
            <w:tcW w:w="460" w:type="dxa"/>
            <w:gridSpan w:val="4"/>
          </w:tcPr>
          <w:p w:rsidR="00310EB2" w:rsidRPr="00310EB2" w:rsidRDefault="00310EB2" w:rsidP="00310EB2">
            <w:pPr>
              <w:rPr>
                <w:rFonts w:asciiTheme="minorHAnsi" w:hAnsiTheme="minorHAnsi" w:cstheme="minorHAnsi"/>
                <w:b/>
                <w:sz w:val="20"/>
                <w:szCs w:val="20"/>
              </w:rPr>
            </w:pPr>
          </w:p>
        </w:tc>
        <w:tc>
          <w:tcPr>
            <w:tcW w:w="460" w:type="dxa"/>
            <w:gridSpan w:val="3"/>
          </w:tcPr>
          <w:p w:rsidR="00310EB2" w:rsidRPr="00310EB2" w:rsidRDefault="00310EB2" w:rsidP="00310EB2">
            <w:pPr>
              <w:rPr>
                <w:rFonts w:asciiTheme="minorHAnsi" w:hAnsiTheme="minorHAnsi" w:cstheme="minorHAnsi"/>
                <w:b/>
                <w:sz w:val="20"/>
                <w:szCs w:val="20"/>
              </w:rPr>
            </w:pPr>
          </w:p>
        </w:tc>
        <w:tc>
          <w:tcPr>
            <w:tcW w:w="460" w:type="dxa"/>
            <w:gridSpan w:val="3"/>
          </w:tcPr>
          <w:p w:rsidR="00310EB2" w:rsidRPr="00310EB2" w:rsidRDefault="00310EB2" w:rsidP="00310EB2">
            <w:pPr>
              <w:rPr>
                <w:rFonts w:asciiTheme="minorHAnsi" w:hAnsiTheme="minorHAnsi" w:cstheme="minorHAnsi"/>
                <w:b/>
                <w:sz w:val="20"/>
                <w:szCs w:val="20"/>
              </w:rPr>
            </w:pPr>
          </w:p>
        </w:tc>
        <w:tc>
          <w:tcPr>
            <w:tcW w:w="460" w:type="dxa"/>
            <w:gridSpan w:val="6"/>
          </w:tcPr>
          <w:p w:rsidR="00310EB2" w:rsidRPr="00310EB2" w:rsidRDefault="00310EB2" w:rsidP="00310EB2">
            <w:pPr>
              <w:rPr>
                <w:rFonts w:asciiTheme="minorHAnsi" w:hAnsiTheme="minorHAnsi" w:cstheme="minorHAnsi"/>
                <w:b/>
                <w:sz w:val="20"/>
                <w:szCs w:val="20"/>
              </w:rPr>
            </w:pPr>
          </w:p>
        </w:tc>
        <w:tc>
          <w:tcPr>
            <w:tcW w:w="1183" w:type="dxa"/>
            <w:gridSpan w:val="2"/>
          </w:tcPr>
          <w:p w:rsidR="00310EB2" w:rsidRPr="00310EB2" w:rsidRDefault="00310EB2" w:rsidP="00310EB2">
            <w:pPr>
              <w:rPr>
                <w:rFonts w:asciiTheme="minorHAnsi" w:hAnsiTheme="minorHAnsi" w:cstheme="minorHAnsi"/>
                <w:b/>
                <w:sz w:val="20"/>
                <w:szCs w:val="20"/>
              </w:rPr>
            </w:pPr>
          </w:p>
        </w:tc>
      </w:tr>
      <w:tr w:rsidR="00310EB2" w:rsidRPr="00310EB2" w:rsidTr="003A1AEF">
        <w:trPr>
          <w:gridAfter w:val="8"/>
          <w:wAfter w:w="2569" w:type="dxa"/>
        </w:trPr>
        <w:tc>
          <w:tcPr>
            <w:tcW w:w="9921" w:type="dxa"/>
            <w:gridSpan w:val="70"/>
            <w:tcBorders>
              <w:top w:val="single" w:sz="6" w:space="0" w:color="auto"/>
              <w:left w:val="single" w:sz="6" w:space="0" w:color="auto"/>
              <w:bottom w:val="single" w:sz="6" w:space="0" w:color="auto"/>
              <w:right w:val="single" w:sz="6" w:space="0" w:color="auto"/>
            </w:tcBorders>
          </w:tcPr>
          <w:p w:rsidR="00310EB2" w:rsidRPr="00310EB2" w:rsidRDefault="00310EB2" w:rsidP="00310EB2">
            <w:pPr>
              <w:jc w:val="both"/>
              <w:rPr>
                <w:rFonts w:asciiTheme="minorHAnsi" w:hAnsiTheme="minorHAnsi" w:cstheme="minorHAnsi"/>
                <w:sz w:val="20"/>
                <w:szCs w:val="20"/>
              </w:rPr>
            </w:pPr>
            <w:r w:rsidRPr="00310EB2">
              <w:rPr>
                <w:rFonts w:asciiTheme="minorHAnsi" w:hAnsiTheme="minorHAnsi" w:cstheme="minorHAnsi"/>
                <w:sz w:val="20"/>
                <w:szCs w:val="20"/>
              </w:rPr>
              <w:t xml:space="preserve">Výdaje kapitoly 19 – Duha KK u hradeb byly k 31. 12. 2022 čerpány na 95,70% v souladu s upraveným rozpočtem kapitoly 19. Finanční prostředky byly vynaloženy na činnost oddělení Duha KK u hradeb, agendu Novorozenci města Prostějova, agendu Jubilanti města Prostějova, realizaci 65. ročníku celostátní přehlídky recitátorů sólistů a divadel poezie „Wolkrův Prostějov 2022“, projekt Krajské postupové přehlídky 2022 - folklor, divadlo, hudba, tanec, realizaci projektu XXXVIII. ročníku Prostějovských hanáckých slavností 2021, Prostějovské kulturní léto 2022. V závěru roku se úspěšně uskutečnil projekt Prostějovská zima 2022, v předchozích letech bylo z protiepidemických opatření zrušeno. </w:t>
            </w:r>
          </w:p>
        </w:tc>
      </w:tr>
      <w:tr w:rsidR="00310EB2" w:rsidRPr="00310EB2" w:rsidTr="004C526F">
        <w:trPr>
          <w:gridAfter w:val="1"/>
          <w:wAfter w:w="946" w:type="dxa"/>
        </w:trPr>
        <w:tc>
          <w:tcPr>
            <w:tcW w:w="457" w:type="dxa"/>
          </w:tcPr>
          <w:p w:rsidR="00310EB2" w:rsidRPr="00310EB2" w:rsidRDefault="00310EB2" w:rsidP="00310EB2">
            <w:pPr>
              <w:rPr>
                <w:rFonts w:asciiTheme="minorHAnsi" w:hAnsiTheme="minorHAnsi" w:cstheme="minorHAnsi"/>
                <w:b/>
                <w:sz w:val="20"/>
                <w:szCs w:val="20"/>
              </w:rPr>
            </w:pPr>
          </w:p>
        </w:tc>
        <w:tc>
          <w:tcPr>
            <w:tcW w:w="389" w:type="dxa"/>
            <w:gridSpan w:val="2"/>
          </w:tcPr>
          <w:p w:rsidR="00310EB2" w:rsidRPr="00310EB2" w:rsidRDefault="00310EB2" w:rsidP="00310EB2">
            <w:pPr>
              <w:rPr>
                <w:rFonts w:asciiTheme="minorHAnsi" w:hAnsiTheme="minorHAnsi" w:cstheme="minorHAnsi"/>
                <w:b/>
                <w:sz w:val="20"/>
                <w:szCs w:val="20"/>
              </w:rPr>
            </w:pPr>
          </w:p>
        </w:tc>
        <w:tc>
          <w:tcPr>
            <w:tcW w:w="527" w:type="dxa"/>
            <w:gridSpan w:val="2"/>
          </w:tcPr>
          <w:p w:rsidR="00310EB2" w:rsidRPr="00310EB2" w:rsidRDefault="00310EB2" w:rsidP="00310EB2">
            <w:pPr>
              <w:rPr>
                <w:rFonts w:asciiTheme="minorHAnsi" w:hAnsiTheme="minorHAnsi" w:cstheme="minorHAnsi"/>
                <w:b/>
                <w:sz w:val="20"/>
                <w:szCs w:val="20"/>
              </w:rPr>
            </w:pPr>
          </w:p>
        </w:tc>
        <w:tc>
          <w:tcPr>
            <w:tcW w:w="459" w:type="dxa"/>
            <w:gridSpan w:val="6"/>
          </w:tcPr>
          <w:p w:rsidR="00310EB2" w:rsidRPr="00310EB2" w:rsidRDefault="00310EB2" w:rsidP="00310EB2">
            <w:pPr>
              <w:rPr>
                <w:rFonts w:asciiTheme="minorHAnsi" w:hAnsiTheme="minorHAnsi" w:cstheme="minorHAnsi"/>
                <w:b/>
                <w:sz w:val="20"/>
                <w:szCs w:val="20"/>
              </w:rPr>
            </w:pPr>
          </w:p>
        </w:tc>
        <w:tc>
          <w:tcPr>
            <w:tcW w:w="460" w:type="dxa"/>
          </w:tcPr>
          <w:p w:rsidR="00310EB2" w:rsidRPr="00310EB2" w:rsidRDefault="00310EB2" w:rsidP="00310EB2">
            <w:pPr>
              <w:rPr>
                <w:rFonts w:asciiTheme="minorHAnsi" w:hAnsiTheme="minorHAnsi" w:cstheme="minorHAnsi"/>
                <w:b/>
                <w:sz w:val="20"/>
                <w:szCs w:val="20"/>
              </w:rPr>
            </w:pPr>
          </w:p>
        </w:tc>
        <w:tc>
          <w:tcPr>
            <w:tcW w:w="460" w:type="dxa"/>
          </w:tcPr>
          <w:p w:rsidR="00310EB2" w:rsidRPr="00310EB2" w:rsidRDefault="00310EB2" w:rsidP="00310EB2">
            <w:pPr>
              <w:rPr>
                <w:rFonts w:asciiTheme="minorHAnsi" w:hAnsiTheme="minorHAnsi" w:cstheme="minorHAnsi"/>
                <w:b/>
                <w:sz w:val="20"/>
                <w:szCs w:val="20"/>
              </w:rPr>
            </w:pPr>
          </w:p>
        </w:tc>
        <w:tc>
          <w:tcPr>
            <w:tcW w:w="460" w:type="dxa"/>
            <w:gridSpan w:val="5"/>
          </w:tcPr>
          <w:p w:rsidR="00310EB2" w:rsidRPr="00310EB2" w:rsidRDefault="00310EB2" w:rsidP="00310EB2">
            <w:pPr>
              <w:rPr>
                <w:rFonts w:asciiTheme="minorHAnsi" w:hAnsiTheme="minorHAnsi" w:cstheme="minorHAnsi"/>
                <w:b/>
                <w:sz w:val="20"/>
                <w:szCs w:val="20"/>
              </w:rPr>
            </w:pPr>
          </w:p>
        </w:tc>
        <w:tc>
          <w:tcPr>
            <w:tcW w:w="398" w:type="dxa"/>
            <w:gridSpan w:val="2"/>
          </w:tcPr>
          <w:p w:rsidR="00310EB2" w:rsidRPr="00310EB2" w:rsidRDefault="00310EB2" w:rsidP="00310EB2">
            <w:pPr>
              <w:rPr>
                <w:rFonts w:asciiTheme="minorHAnsi" w:hAnsiTheme="minorHAnsi" w:cstheme="minorHAnsi"/>
                <w:b/>
                <w:sz w:val="20"/>
                <w:szCs w:val="20"/>
              </w:rPr>
            </w:pPr>
          </w:p>
        </w:tc>
        <w:tc>
          <w:tcPr>
            <w:tcW w:w="522" w:type="dxa"/>
            <w:gridSpan w:val="4"/>
          </w:tcPr>
          <w:p w:rsidR="00310EB2" w:rsidRPr="00310EB2" w:rsidRDefault="00310EB2" w:rsidP="00310EB2">
            <w:pPr>
              <w:rPr>
                <w:rFonts w:asciiTheme="minorHAnsi" w:hAnsiTheme="minorHAnsi" w:cstheme="minorHAnsi"/>
                <w:b/>
                <w:sz w:val="20"/>
                <w:szCs w:val="20"/>
              </w:rPr>
            </w:pPr>
          </w:p>
        </w:tc>
        <w:tc>
          <w:tcPr>
            <w:tcW w:w="397" w:type="dxa"/>
            <w:gridSpan w:val="2"/>
          </w:tcPr>
          <w:p w:rsidR="00310EB2" w:rsidRPr="00310EB2" w:rsidRDefault="00310EB2" w:rsidP="00310EB2">
            <w:pPr>
              <w:rPr>
                <w:rFonts w:asciiTheme="minorHAnsi" w:hAnsiTheme="minorHAnsi" w:cstheme="minorHAnsi"/>
                <w:b/>
                <w:sz w:val="20"/>
                <w:szCs w:val="20"/>
              </w:rPr>
            </w:pPr>
          </w:p>
        </w:tc>
        <w:tc>
          <w:tcPr>
            <w:tcW w:w="523" w:type="dxa"/>
            <w:gridSpan w:val="6"/>
          </w:tcPr>
          <w:p w:rsidR="00310EB2" w:rsidRPr="00310EB2" w:rsidRDefault="00310EB2" w:rsidP="00310EB2">
            <w:pPr>
              <w:rPr>
                <w:rFonts w:asciiTheme="minorHAnsi" w:hAnsiTheme="minorHAnsi" w:cstheme="minorHAnsi"/>
                <w:b/>
                <w:sz w:val="20"/>
                <w:szCs w:val="20"/>
              </w:rPr>
            </w:pPr>
          </w:p>
        </w:tc>
        <w:tc>
          <w:tcPr>
            <w:tcW w:w="1966" w:type="dxa"/>
            <w:gridSpan w:val="15"/>
          </w:tcPr>
          <w:p w:rsidR="00310EB2" w:rsidRPr="00310EB2" w:rsidRDefault="00310EB2" w:rsidP="00310EB2">
            <w:pPr>
              <w:rPr>
                <w:rFonts w:asciiTheme="minorHAnsi" w:hAnsiTheme="minorHAnsi" w:cstheme="minorHAnsi"/>
                <w:b/>
                <w:sz w:val="20"/>
                <w:szCs w:val="20"/>
              </w:rPr>
            </w:pPr>
          </w:p>
        </w:tc>
        <w:tc>
          <w:tcPr>
            <w:tcW w:w="583" w:type="dxa"/>
            <w:gridSpan w:val="4"/>
          </w:tcPr>
          <w:p w:rsidR="00310EB2" w:rsidRPr="00310EB2" w:rsidRDefault="00310EB2" w:rsidP="00310EB2">
            <w:pPr>
              <w:rPr>
                <w:rFonts w:asciiTheme="minorHAnsi" w:hAnsiTheme="minorHAnsi" w:cstheme="minorHAnsi"/>
                <w:b/>
                <w:sz w:val="20"/>
                <w:szCs w:val="20"/>
              </w:rPr>
            </w:pPr>
          </w:p>
        </w:tc>
        <w:tc>
          <w:tcPr>
            <w:tcW w:w="460" w:type="dxa"/>
            <w:gridSpan w:val="4"/>
          </w:tcPr>
          <w:p w:rsidR="00310EB2" w:rsidRPr="00310EB2" w:rsidRDefault="00310EB2" w:rsidP="00310EB2">
            <w:pPr>
              <w:rPr>
                <w:rFonts w:asciiTheme="minorHAnsi" w:hAnsiTheme="minorHAnsi" w:cstheme="minorHAnsi"/>
                <w:b/>
                <w:sz w:val="20"/>
                <w:szCs w:val="20"/>
              </w:rPr>
            </w:pPr>
          </w:p>
        </w:tc>
        <w:tc>
          <w:tcPr>
            <w:tcW w:w="460" w:type="dxa"/>
            <w:gridSpan w:val="4"/>
          </w:tcPr>
          <w:p w:rsidR="00310EB2" w:rsidRPr="00310EB2" w:rsidRDefault="00310EB2" w:rsidP="00310EB2">
            <w:pPr>
              <w:rPr>
                <w:rFonts w:asciiTheme="minorHAnsi" w:hAnsiTheme="minorHAnsi" w:cstheme="minorHAnsi"/>
                <w:b/>
                <w:sz w:val="20"/>
                <w:szCs w:val="20"/>
              </w:rPr>
            </w:pPr>
          </w:p>
        </w:tc>
        <w:tc>
          <w:tcPr>
            <w:tcW w:w="460" w:type="dxa"/>
            <w:gridSpan w:val="4"/>
          </w:tcPr>
          <w:p w:rsidR="00310EB2" w:rsidRPr="00310EB2" w:rsidRDefault="00310EB2" w:rsidP="00310EB2">
            <w:pPr>
              <w:rPr>
                <w:rFonts w:asciiTheme="minorHAnsi" w:hAnsiTheme="minorHAnsi" w:cstheme="minorHAnsi"/>
                <w:b/>
                <w:sz w:val="20"/>
                <w:szCs w:val="20"/>
              </w:rPr>
            </w:pPr>
          </w:p>
        </w:tc>
        <w:tc>
          <w:tcPr>
            <w:tcW w:w="460" w:type="dxa"/>
            <w:gridSpan w:val="3"/>
          </w:tcPr>
          <w:p w:rsidR="00310EB2" w:rsidRPr="00310EB2" w:rsidRDefault="00310EB2" w:rsidP="00310EB2">
            <w:pPr>
              <w:rPr>
                <w:rFonts w:asciiTheme="minorHAnsi" w:hAnsiTheme="minorHAnsi" w:cstheme="minorHAnsi"/>
                <w:b/>
                <w:sz w:val="20"/>
                <w:szCs w:val="20"/>
              </w:rPr>
            </w:pPr>
          </w:p>
        </w:tc>
        <w:tc>
          <w:tcPr>
            <w:tcW w:w="460" w:type="dxa"/>
            <w:gridSpan w:val="3"/>
          </w:tcPr>
          <w:p w:rsidR="00310EB2" w:rsidRPr="00310EB2" w:rsidRDefault="00310EB2" w:rsidP="00310EB2">
            <w:pPr>
              <w:rPr>
                <w:rFonts w:asciiTheme="minorHAnsi" w:hAnsiTheme="minorHAnsi" w:cstheme="minorHAnsi"/>
                <w:b/>
                <w:sz w:val="20"/>
                <w:szCs w:val="20"/>
              </w:rPr>
            </w:pPr>
          </w:p>
        </w:tc>
        <w:tc>
          <w:tcPr>
            <w:tcW w:w="460" w:type="dxa"/>
            <w:gridSpan w:val="6"/>
          </w:tcPr>
          <w:p w:rsidR="00310EB2" w:rsidRPr="00310EB2" w:rsidRDefault="00310EB2" w:rsidP="00310EB2">
            <w:pPr>
              <w:rPr>
                <w:rFonts w:asciiTheme="minorHAnsi" w:hAnsiTheme="minorHAnsi" w:cstheme="minorHAnsi"/>
                <w:b/>
                <w:sz w:val="20"/>
                <w:szCs w:val="20"/>
              </w:rPr>
            </w:pPr>
          </w:p>
        </w:tc>
        <w:tc>
          <w:tcPr>
            <w:tcW w:w="1183" w:type="dxa"/>
            <w:gridSpan w:val="2"/>
          </w:tcPr>
          <w:p w:rsidR="00310EB2" w:rsidRPr="00310EB2" w:rsidRDefault="00310EB2" w:rsidP="00310EB2">
            <w:pPr>
              <w:rPr>
                <w:rFonts w:asciiTheme="minorHAnsi" w:hAnsiTheme="minorHAnsi" w:cstheme="minorHAnsi"/>
                <w:b/>
                <w:sz w:val="20"/>
                <w:szCs w:val="20"/>
              </w:rPr>
            </w:pPr>
          </w:p>
        </w:tc>
      </w:tr>
      <w:tr w:rsidR="00310EB2" w:rsidRPr="00310EB2" w:rsidTr="003A1AEF">
        <w:trPr>
          <w:gridAfter w:val="8"/>
          <w:wAfter w:w="2569" w:type="dxa"/>
        </w:trPr>
        <w:tc>
          <w:tcPr>
            <w:tcW w:w="9921" w:type="dxa"/>
            <w:gridSpan w:val="70"/>
          </w:tcPr>
          <w:p w:rsidR="00310EB2" w:rsidRPr="00310EB2" w:rsidRDefault="00310EB2" w:rsidP="00310EB2">
            <w:pPr>
              <w:rPr>
                <w:rFonts w:asciiTheme="minorHAnsi" w:hAnsiTheme="minorHAnsi" w:cstheme="minorHAnsi"/>
                <w:b/>
                <w:sz w:val="20"/>
                <w:szCs w:val="20"/>
              </w:rPr>
            </w:pPr>
            <w:r w:rsidRPr="00310EB2">
              <w:rPr>
                <w:rFonts w:asciiTheme="minorHAnsi" w:hAnsiTheme="minorHAnsi" w:cstheme="minorHAnsi"/>
                <w:b/>
                <w:sz w:val="20"/>
                <w:szCs w:val="20"/>
              </w:rPr>
              <w:t>Komentář k položkám (akcím), které vykázaly abnormalitu v řádném čerpání výdajů rozpočtu kapitoly ve sledovaném období</w:t>
            </w:r>
          </w:p>
        </w:tc>
      </w:tr>
      <w:tr w:rsidR="00310EB2" w:rsidRPr="00310EB2" w:rsidTr="004C526F">
        <w:tc>
          <w:tcPr>
            <w:tcW w:w="460" w:type="dxa"/>
            <w:gridSpan w:val="2"/>
          </w:tcPr>
          <w:p w:rsidR="00310EB2" w:rsidRPr="00310EB2" w:rsidRDefault="00310EB2" w:rsidP="00310EB2">
            <w:pPr>
              <w:rPr>
                <w:rFonts w:asciiTheme="minorHAnsi" w:hAnsiTheme="minorHAnsi" w:cstheme="minorHAnsi"/>
                <w:b/>
                <w:sz w:val="20"/>
                <w:szCs w:val="20"/>
              </w:rPr>
            </w:pPr>
          </w:p>
        </w:tc>
        <w:tc>
          <w:tcPr>
            <w:tcW w:w="392" w:type="dxa"/>
            <w:gridSpan w:val="2"/>
          </w:tcPr>
          <w:p w:rsidR="00310EB2" w:rsidRPr="00310EB2" w:rsidRDefault="00310EB2" w:rsidP="00310EB2">
            <w:pPr>
              <w:rPr>
                <w:rFonts w:asciiTheme="minorHAnsi" w:hAnsiTheme="minorHAnsi" w:cstheme="minorHAnsi"/>
                <w:b/>
                <w:sz w:val="20"/>
                <w:szCs w:val="20"/>
              </w:rPr>
            </w:pPr>
          </w:p>
        </w:tc>
        <w:tc>
          <w:tcPr>
            <w:tcW w:w="528" w:type="dxa"/>
            <w:gridSpan w:val="2"/>
          </w:tcPr>
          <w:p w:rsidR="00310EB2" w:rsidRPr="00310EB2" w:rsidRDefault="00310EB2" w:rsidP="00310EB2">
            <w:pPr>
              <w:rPr>
                <w:rFonts w:asciiTheme="minorHAnsi" w:hAnsiTheme="minorHAnsi" w:cstheme="minorHAnsi"/>
                <w:b/>
                <w:sz w:val="20"/>
                <w:szCs w:val="20"/>
              </w:rPr>
            </w:pPr>
          </w:p>
        </w:tc>
        <w:tc>
          <w:tcPr>
            <w:tcW w:w="160" w:type="dxa"/>
            <w:gridSpan w:val="4"/>
          </w:tcPr>
          <w:p w:rsidR="00310EB2" w:rsidRPr="00310EB2" w:rsidRDefault="00310EB2" w:rsidP="00310EB2">
            <w:pPr>
              <w:rPr>
                <w:rFonts w:asciiTheme="minorHAnsi" w:hAnsiTheme="minorHAnsi" w:cstheme="minorHAnsi"/>
                <w:b/>
                <w:sz w:val="20"/>
                <w:szCs w:val="20"/>
              </w:rPr>
            </w:pPr>
          </w:p>
        </w:tc>
        <w:tc>
          <w:tcPr>
            <w:tcW w:w="2997" w:type="dxa"/>
            <w:gridSpan w:val="17"/>
          </w:tcPr>
          <w:p w:rsidR="00310EB2" w:rsidRPr="00310EB2" w:rsidRDefault="00310EB2" w:rsidP="00310EB2">
            <w:pPr>
              <w:rPr>
                <w:rFonts w:asciiTheme="minorHAnsi" w:hAnsiTheme="minorHAnsi" w:cstheme="minorHAnsi"/>
                <w:b/>
                <w:sz w:val="20"/>
                <w:szCs w:val="20"/>
              </w:rPr>
            </w:pPr>
          </w:p>
        </w:tc>
        <w:tc>
          <w:tcPr>
            <w:tcW w:w="460" w:type="dxa"/>
            <w:gridSpan w:val="3"/>
          </w:tcPr>
          <w:p w:rsidR="00310EB2" w:rsidRPr="00310EB2" w:rsidRDefault="00310EB2" w:rsidP="00310EB2">
            <w:pPr>
              <w:rPr>
                <w:rFonts w:asciiTheme="minorHAnsi" w:hAnsiTheme="minorHAnsi" w:cstheme="minorHAnsi"/>
                <w:b/>
                <w:sz w:val="20"/>
                <w:szCs w:val="20"/>
              </w:rPr>
            </w:pPr>
          </w:p>
        </w:tc>
        <w:tc>
          <w:tcPr>
            <w:tcW w:w="460" w:type="dxa"/>
            <w:gridSpan w:val="5"/>
          </w:tcPr>
          <w:p w:rsidR="00310EB2" w:rsidRPr="00310EB2" w:rsidRDefault="00310EB2" w:rsidP="00310EB2">
            <w:pPr>
              <w:rPr>
                <w:rFonts w:asciiTheme="minorHAnsi" w:hAnsiTheme="minorHAnsi" w:cstheme="minorHAnsi"/>
                <w:b/>
                <w:sz w:val="20"/>
                <w:szCs w:val="20"/>
              </w:rPr>
            </w:pPr>
          </w:p>
        </w:tc>
        <w:tc>
          <w:tcPr>
            <w:tcW w:w="460" w:type="dxa"/>
            <w:gridSpan w:val="3"/>
          </w:tcPr>
          <w:p w:rsidR="00310EB2" w:rsidRPr="00310EB2" w:rsidRDefault="00310EB2" w:rsidP="00310EB2">
            <w:pPr>
              <w:rPr>
                <w:rFonts w:asciiTheme="minorHAnsi" w:hAnsiTheme="minorHAnsi" w:cstheme="minorHAnsi"/>
                <w:b/>
                <w:sz w:val="20"/>
                <w:szCs w:val="20"/>
              </w:rPr>
            </w:pPr>
          </w:p>
        </w:tc>
        <w:tc>
          <w:tcPr>
            <w:tcW w:w="460" w:type="dxa"/>
            <w:gridSpan w:val="4"/>
          </w:tcPr>
          <w:p w:rsidR="00310EB2" w:rsidRPr="00310EB2" w:rsidRDefault="00310EB2" w:rsidP="00310EB2">
            <w:pPr>
              <w:rPr>
                <w:rFonts w:asciiTheme="minorHAnsi" w:hAnsiTheme="minorHAnsi" w:cstheme="minorHAnsi"/>
                <w:b/>
                <w:sz w:val="20"/>
                <w:szCs w:val="20"/>
              </w:rPr>
            </w:pPr>
          </w:p>
        </w:tc>
        <w:tc>
          <w:tcPr>
            <w:tcW w:w="397" w:type="dxa"/>
            <w:gridSpan w:val="3"/>
          </w:tcPr>
          <w:p w:rsidR="00310EB2" w:rsidRPr="00310EB2" w:rsidRDefault="00310EB2" w:rsidP="00310EB2">
            <w:pPr>
              <w:rPr>
                <w:rFonts w:asciiTheme="minorHAnsi" w:hAnsiTheme="minorHAnsi" w:cstheme="minorHAnsi"/>
                <w:b/>
                <w:sz w:val="20"/>
                <w:szCs w:val="20"/>
              </w:rPr>
            </w:pPr>
          </w:p>
        </w:tc>
        <w:tc>
          <w:tcPr>
            <w:tcW w:w="523" w:type="dxa"/>
            <w:gridSpan w:val="4"/>
          </w:tcPr>
          <w:p w:rsidR="00310EB2" w:rsidRPr="00310EB2" w:rsidRDefault="00310EB2" w:rsidP="00310EB2">
            <w:pPr>
              <w:rPr>
                <w:rFonts w:asciiTheme="minorHAnsi" w:hAnsiTheme="minorHAnsi" w:cstheme="minorHAnsi"/>
                <w:b/>
                <w:sz w:val="20"/>
                <w:szCs w:val="20"/>
              </w:rPr>
            </w:pPr>
          </w:p>
        </w:tc>
        <w:tc>
          <w:tcPr>
            <w:tcW w:w="328" w:type="dxa"/>
            <w:gridSpan w:val="3"/>
          </w:tcPr>
          <w:p w:rsidR="00310EB2" w:rsidRPr="00310EB2" w:rsidRDefault="00310EB2" w:rsidP="00310EB2">
            <w:pPr>
              <w:rPr>
                <w:rFonts w:asciiTheme="minorHAnsi" w:hAnsiTheme="minorHAnsi" w:cstheme="minorHAnsi"/>
                <w:b/>
                <w:sz w:val="20"/>
                <w:szCs w:val="20"/>
              </w:rPr>
            </w:pPr>
          </w:p>
        </w:tc>
        <w:tc>
          <w:tcPr>
            <w:tcW w:w="592" w:type="dxa"/>
            <w:gridSpan w:val="4"/>
          </w:tcPr>
          <w:p w:rsidR="00310EB2" w:rsidRPr="00310EB2" w:rsidRDefault="00310EB2" w:rsidP="00310EB2">
            <w:pPr>
              <w:rPr>
                <w:rFonts w:asciiTheme="minorHAnsi" w:hAnsiTheme="minorHAnsi" w:cstheme="minorHAnsi"/>
                <w:b/>
                <w:sz w:val="20"/>
                <w:szCs w:val="20"/>
              </w:rPr>
            </w:pPr>
          </w:p>
        </w:tc>
        <w:tc>
          <w:tcPr>
            <w:tcW w:w="460" w:type="dxa"/>
            <w:gridSpan w:val="4"/>
          </w:tcPr>
          <w:p w:rsidR="00310EB2" w:rsidRPr="00310EB2" w:rsidRDefault="00310EB2" w:rsidP="00310EB2">
            <w:pPr>
              <w:rPr>
                <w:rFonts w:asciiTheme="minorHAnsi" w:hAnsiTheme="minorHAnsi" w:cstheme="minorHAnsi"/>
                <w:b/>
                <w:sz w:val="20"/>
                <w:szCs w:val="20"/>
              </w:rPr>
            </w:pPr>
          </w:p>
        </w:tc>
        <w:tc>
          <w:tcPr>
            <w:tcW w:w="460" w:type="dxa"/>
            <w:gridSpan w:val="4"/>
          </w:tcPr>
          <w:p w:rsidR="00310EB2" w:rsidRPr="00310EB2" w:rsidRDefault="00310EB2" w:rsidP="00310EB2">
            <w:pPr>
              <w:rPr>
                <w:rFonts w:asciiTheme="minorHAnsi" w:hAnsiTheme="minorHAnsi" w:cstheme="minorHAnsi"/>
                <w:b/>
                <w:sz w:val="20"/>
                <w:szCs w:val="20"/>
              </w:rPr>
            </w:pPr>
          </w:p>
        </w:tc>
        <w:tc>
          <w:tcPr>
            <w:tcW w:w="460" w:type="dxa"/>
            <w:gridSpan w:val="3"/>
          </w:tcPr>
          <w:p w:rsidR="00310EB2" w:rsidRPr="00310EB2" w:rsidRDefault="00310EB2" w:rsidP="00310EB2">
            <w:pPr>
              <w:rPr>
                <w:rFonts w:asciiTheme="minorHAnsi" w:hAnsiTheme="minorHAnsi" w:cstheme="minorHAnsi"/>
                <w:b/>
                <w:sz w:val="20"/>
                <w:szCs w:val="20"/>
              </w:rPr>
            </w:pPr>
          </w:p>
        </w:tc>
        <w:tc>
          <w:tcPr>
            <w:tcW w:w="459" w:type="dxa"/>
            <w:gridSpan w:val="6"/>
          </w:tcPr>
          <w:p w:rsidR="00310EB2" w:rsidRPr="00310EB2" w:rsidRDefault="00310EB2" w:rsidP="00310EB2">
            <w:pPr>
              <w:rPr>
                <w:rFonts w:asciiTheme="minorHAnsi" w:hAnsiTheme="minorHAnsi" w:cstheme="minorHAnsi"/>
                <w:b/>
                <w:sz w:val="20"/>
                <w:szCs w:val="20"/>
              </w:rPr>
            </w:pPr>
          </w:p>
        </w:tc>
        <w:tc>
          <w:tcPr>
            <w:tcW w:w="160" w:type="dxa"/>
          </w:tcPr>
          <w:p w:rsidR="00310EB2" w:rsidRPr="00310EB2" w:rsidRDefault="00310EB2" w:rsidP="00310EB2">
            <w:pPr>
              <w:rPr>
                <w:rFonts w:asciiTheme="minorHAnsi" w:hAnsiTheme="minorHAnsi" w:cstheme="minorHAnsi"/>
                <w:b/>
                <w:sz w:val="20"/>
                <w:szCs w:val="20"/>
              </w:rPr>
            </w:pPr>
          </w:p>
        </w:tc>
        <w:tc>
          <w:tcPr>
            <w:tcW w:w="460" w:type="dxa"/>
            <w:gridSpan w:val="2"/>
          </w:tcPr>
          <w:p w:rsidR="00310EB2" w:rsidRPr="00310EB2" w:rsidRDefault="00310EB2" w:rsidP="00310EB2">
            <w:pPr>
              <w:rPr>
                <w:rFonts w:asciiTheme="minorHAnsi" w:hAnsiTheme="minorHAnsi" w:cstheme="minorHAnsi"/>
                <w:b/>
                <w:sz w:val="20"/>
                <w:szCs w:val="20"/>
              </w:rPr>
            </w:pPr>
          </w:p>
        </w:tc>
        <w:tc>
          <w:tcPr>
            <w:tcW w:w="1814" w:type="dxa"/>
            <w:gridSpan w:val="2"/>
          </w:tcPr>
          <w:p w:rsidR="00310EB2" w:rsidRPr="00310EB2" w:rsidRDefault="00310EB2" w:rsidP="00310EB2">
            <w:pPr>
              <w:rPr>
                <w:rFonts w:asciiTheme="minorHAnsi" w:hAnsiTheme="minorHAnsi" w:cstheme="minorHAnsi"/>
                <w:b/>
                <w:sz w:val="20"/>
                <w:szCs w:val="20"/>
              </w:rPr>
            </w:pPr>
          </w:p>
        </w:tc>
      </w:tr>
      <w:tr w:rsidR="00310EB2" w:rsidRPr="00310EB2" w:rsidTr="00F6124A">
        <w:trPr>
          <w:gridAfter w:val="7"/>
          <w:wAfter w:w="2567" w:type="dxa"/>
        </w:trPr>
        <w:tc>
          <w:tcPr>
            <w:tcW w:w="852"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310EB2" w:rsidRPr="004C526F" w:rsidRDefault="00310EB2" w:rsidP="00310EB2">
            <w:pPr>
              <w:jc w:val="center"/>
              <w:rPr>
                <w:rFonts w:asciiTheme="minorHAnsi" w:hAnsiTheme="minorHAnsi" w:cstheme="minorHAnsi"/>
                <w:b/>
                <w:sz w:val="18"/>
                <w:szCs w:val="18"/>
              </w:rPr>
            </w:pPr>
            <w:r w:rsidRPr="004C526F">
              <w:rPr>
                <w:rFonts w:asciiTheme="minorHAnsi" w:hAnsiTheme="minorHAnsi" w:cstheme="minorHAnsi"/>
                <w:b/>
                <w:sz w:val="18"/>
                <w:szCs w:val="18"/>
              </w:rPr>
              <w:t>Oddíl, paragraf</w:t>
            </w:r>
          </w:p>
        </w:tc>
        <w:tc>
          <w:tcPr>
            <w:tcW w:w="638"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310EB2" w:rsidRPr="004C526F" w:rsidRDefault="00310EB2" w:rsidP="00310EB2">
            <w:pPr>
              <w:jc w:val="center"/>
              <w:rPr>
                <w:rFonts w:asciiTheme="minorHAnsi" w:hAnsiTheme="minorHAnsi" w:cstheme="minorHAnsi"/>
                <w:b/>
                <w:sz w:val="18"/>
                <w:szCs w:val="18"/>
              </w:rPr>
            </w:pPr>
            <w:r w:rsidRPr="004C526F">
              <w:rPr>
                <w:rFonts w:asciiTheme="minorHAnsi" w:hAnsiTheme="minorHAnsi" w:cstheme="minorHAnsi"/>
                <w:b/>
                <w:sz w:val="18"/>
                <w:szCs w:val="18"/>
              </w:rPr>
              <w:t>Položka</w:t>
            </w:r>
          </w:p>
        </w:tc>
        <w:tc>
          <w:tcPr>
            <w:tcW w:w="1276" w:type="dxa"/>
            <w:gridSpan w:val="7"/>
            <w:tcBorders>
              <w:top w:val="single" w:sz="4" w:space="0" w:color="auto"/>
              <w:left w:val="single" w:sz="4" w:space="0" w:color="auto"/>
              <w:bottom w:val="single" w:sz="4" w:space="0" w:color="auto"/>
              <w:right w:val="single" w:sz="4" w:space="0" w:color="auto"/>
            </w:tcBorders>
            <w:shd w:val="clear" w:color="auto" w:fill="FFFF00"/>
            <w:vAlign w:val="center"/>
          </w:tcPr>
          <w:p w:rsidR="00310EB2" w:rsidRPr="004C526F" w:rsidRDefault="00310EB2" w:rsidP="00310EB2">
            <w:pPr>
              <w:jc w:val="center"/>
              <w:rPr>
                <w:rFonts w:asciiTheme="minorHAnsi" w:hAnsiTheme="minorHAnsi" w:cstheme="minorHAnsi"/>
                <w:b/>
                <w:sz w:val="18"/>
                <w:szCs w:val="18"/>
              </w:rPr>
            </w:pPr>
            <w:r w:rsidRPr="004C526F">
              <w:rPr>
                <w:rFonts w:asciiTheme="minorHAnsi" w:hAnsiTheme="minorHAnsi" w:cstheme="minorHAnsi"/>
                <w:b/>
                <w:sz w:val="18"/>
                <w:szCs w:val="18"/>
              </w:rPr>
              <w:t>Organizace</w:t>
            </w:r>
          </w:p>
        </w:tc>
        <w:tc>
          <w:tcPr>
            <w:tcW w:w="850"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310EB2" w:rsidRPr="004C526F" w:rsidRDefault="00310EB2" w:rsidP="00310EB2">
            <w:pPr>
              <w:jc w:val="center"/>
              <w:rPr>
                <w:rFonts w:asciiTheme="minorHAnsi" w:hAnsiTheme="minorHAnsi" w:cstheme="minorHAnsi"/>
                <w:b/>
                <w:sz w:val="18"/>
                <w:szCs w:val="18"/>
              </w:rPr>
            </w:pPr>
            <w:r w:rsidRPr="004C526F">
              <w:rPr>
                <w:rFonts w:asciiTheme="minorHAnsi" w:hAnsiTheme="minorHAnsi" w:cstheme="minorHAnsi"/>
                <w:b/>
                <w:sz w:val="18"/>
                <w:szCs w:val="18"/>
              </w:rPr>
              <w:t>Účelový zdroj</w:t>
            </w:r>
          </w:p>
        </w:tc>
        <w:tc>
          <w:tcPr>
            <w:tcW w:w="921"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310EB2" w:rsidRPr="004C526F" w:rsidRDefault="00310EB2" w:rsidP="00310EB2">
            <w:pPr>
              <w:jc w:val="center"/>
              <w:rPr>
                <w:rFonts w:asciiTheme="minorHAnsi" w:hAnsiTheme="minorHAnsi" w:cstheme="minorHAnsi"/>
                <w:b/>
                <w:sz w:val="18"/>
                <w:szCs w:val="18"/>
              </w:rPr>
            </w:pPr>
            <w:r w:rsidRPr="004C526F">
              <w:rPr>
                <w:rFonts w:asciiTheme="minorHAnsi" w:hAnsiTheme="minorHAnsi" w:cstheme="minorHAnsi"/>
                <w:b/>
                <w:sz w:val="18"/>
                <w:szCs w:val="18"/>
              </w:rPr>
              <w:t>Upravený rozpočet v tis. Kč</w:t>
            </w:r>
          </w:p>
        </w:tc>
        <w:tc>
          <w:tcPr>
            <w:tcW w:w="2481" w:type="dxa"/>
            <w:gridSpan w:val="20"/>
            <w:tcBorders>
              <w:top w:val="single" w:sz="4" w:space="0" w:color="auto"/>
              <w:left w:val="single" w:sz="4" w:space="0" w:color="auto"/>
              <w:bottom w:val="single" w:sz="4" w:space="0" w:color="auto"/>
              <w:right w:val="single" w:sz="4" w:space="0" w:color="auto"/>
            </w:tcBorders>
            <w:shd w:val="clear" w:color="auto" w:fill="FFFF00"/>
            <w:vAlign w:val="center"/>
          </w:tcPr>
          <w:p w:rsidR="00310EB2" w:rsidRPr="004C526F" w:rsidRDefault="00310EB2" w:rsidP="00310EB2">
            <w:pPr>
              <w:jc w:val="center"/>
              <w:rPr>
                <w:rFonts w:asciiTheme="minorHAnsi" w:hAnsiTheme="minorHAnsi" w:cstheme="minorHAnsi"/>
                <w:b/>
                <w:sz w:val="18"/>
                <w:szCs w:val="18"/>
              </w:rPr>
            </w:pPr>
            <w:r w:rsidRPr="004C526F">
              <w:rPr>
                <w:rFonts w:asciiTheme="minorHAnsi" w:hAnsiTheme="minorHAnsi" w:cstheme="minorHAnsi"/>
                <w:b/>
                <w:sz w:val="18"/>
                <w:szCs w:val="18"/>
              </w:rPr>
              <w:t>Skutečnost v tis. Kč</w:t>
            </w:r>
          </w:p>
        </w:tc>
        <w:tc>
          <w:tcPr>
            <w:tcW w:w="2905" w:type="dxa"/>
            <w:gridSpan w:val="24"/>
            <w:tcBorders>
              <w:top w:val="single" w:sz="4" w:space="0" w:color="auto"/>
              <w:left w:val="single" w:sz="4" w:space="0" w:color="auto"/>
              <w:bottom w:val="single" w:sz="4" w:space="0" w:color="auto"/>
              <w:right w:val="single" w:sz="4" w:space="0" w:color="auto"/>
            </w:tcBorders>
            <w:shd w:val="clear" w:color="auto" w:fill="FFFF00"/>
            <w:vAlign w:val="center"/>
          </w:tcPr>
          <w:p w:rsidR="00310EB2" w:rsidRPr="004C526F" w:rsidRDefault="00310EB2" w:rsidP="00310EB2">
            <w:pPr>
              <w:jc w:val="center"/>
              <w:rPr>
                <w:rFonts w:asciiTheme="minorHAnsi" w:hAnsiTheme="minorHAnsi" w:cstheme="minorHAnsi"/>
                <w:b/>
                <w:sz w:val="18"/>
                <w:szCs w:val="18"/>
              </w:rPr>
            </w:pPr>
            <w:r w:rsidRPr="004C526F">
              <w:rPr>
                <w:rFonts w:asciiTheme="minorHAnsi" w:hAnsiTheme="minorHAnsi" w:cstheme="minorHAnsi"/>
                <w:b/>
                <w:sz w:val="18"/>
                <w:szCs w:val="18"/>
              </w:rPr>
              <w:t>Komentář</w:t>
            </w:r>
          </w:p>
        </w:tc>
      </w:tr>
      <w:tr w:rsidR="00310EB2" w:rsidRPr="00310EB2" w:rsidTr="00F6124A">
        <w:trPr>
          <w:gridAfter w:val="7"/>
          <w:wAfter w:w="2567" w:type="dxa"/>
        </w:trPr>
        <w:tc>
          <w:tcPr>
            <w:tcW w:w="852" w:type="dxa"/>
            <w:gridSpan w:val="4"/>
            <w:tcBorders>
              <w:top w:val="single" w:sz="4" w:space="0" w:color="auto"/>
              <w:left w:val="single" w:sz="4" w:space="0" w:color="auto"/>
              <w:bottom w:val="single" w:sz="4" w:space="0" w:color="auto"/>
              <w:right w:val="single" w:sz="4" w:space="0" w:color="auto"/>
            </w:tcBorders>
          </w:tcPr>
          <w:p w:rsidR="00310EB2" w:rsidRPr="004C526F" w:rsidRDefault="00310EB2" w:rsidP="00310EB2">
            <w:pPr>
              <w:jc w:val="center"/>
              <w:rPr>
                <w:rFonts w:asciiTheme="minorHAnsi" w:hAnsiTheme="minorHAnsi" w:cstheme="minorHAnsi"/>
                <w:sz w:val="18"/>
                <w:szCs w:val="18"/>
              </w:rPr>
            </w:pPr>
            <w:r w:rsidRPr="004C526F">
              <w:rPr>
                <w:rFonts w:asciiTheme="minorHAnsi" w:hAnsiTheme="minorHAnsi" w:cstheme="minorHAnsi"/>
                <w:sz w:val="18"/>
                <w:szCs w:val="18"/>
              </w:rPr>
              <w:t>xxxx</w:t>
            </w:r>
          </w:p>
        </w:tc>
        <w:tc>
          <w:tcPr>
            <w:tcW w:w="638" w:type="dxa"/>
            <w:gridSpan w:val="4"/>
            <w:tcBorders>
              <w:top w:val="single" w:sz="4" w:space="0" w:color="auto"/>
              <w:left w:val="single" w:sz="4" w:space="0" w:color="auto"/>
              <w:bottom w:val="single" w:sz="4" w:space="0" w:color="auto"/>
              <w:right w:val="single" w:sz="4" w:space="0" w:color="auto"/>
            </w:tcBorders>
          </w:tcPr>
          <w:p w:rsidR="00310EB2" w:rsidRPr="004C526F" w:rsidRDefault="00310EB2" w:rsidP="00310EB2">
            <w:pPr>
              <w:jc w:val="center"/>
              <w:rPr>
                <w:rFonts w:asciiTheme="minorHAnsi" w:hAnsiTheme="minorHAnsi" w:cstheme="minorHAnsi"/>
                <w:sz w:val="18"/>
                <w:szCs w:val="18"/>
              </w:rPr>
            </w:pPr>
            <w:r w:rsidRPr="004C526F">
              <w:rPr>
                <w:rFonts w:asciiTheme="minorHAnsi" w:hAnsiTheme="minorHAnsi" w:cstheme="minorHAnsi"/>
                <w:sz w:val="18"/>
                <w:szCs w:val="18"/>
              </w:rPr>
              <w:t>xxxx</w:t>
            </w:r>
          </w:p>
        </w:tc>
        <w:tc>
          <w:tcPr>
            <w:tcW w:w="1276" w:type="dxa"/>
            <w:gridSpan w:val="7"/>
            <w:tcBorders>
              <w:top w:val="single" w:sz="4" w:space="0" w:color="auto"/>
              <w:left w:val="single" w:sz="4" w:space="0" w:color="auto"/>
              <w:bottom w:val="single" w:sz="4" w:space="0" w:color="auto"/>
              <w:right w:val="single" w:sz="4" w:space="0" w:color="auto"/>
            </w:tcBorders>
          </w:tcPr>
          <w:p w:rsidR="00310EB2" w:rsidRPr="004C526F" w:rsidRDefault="00310EB2" w:rsidP="00310EB2">
            <w:pPr>
              <w:jc w:val="center"/>
              <w:rPr>
                <w:rFonts w:asciiTheme="minorHAnsi" w:hAnsiTheme="minorHAnsi" w:cstheme="minorHAnsi"/>
                <w:sz w:val="18"/>
                <w:szCs w:val="18"/>
              </w:rPr>
            </w:pPr>
            <w:r w:rsidRPr="004C526F">
              <w:rPr>
                <w:rFonts w:asciiTheme="minorHAnsi" w:hAnsiTheme="minorHAnsi" w:cstheme="minorHAnsi"/>
                <w:sz w:val="18"/>
                <w:szCs w:val="18"/>
              </w:rPr>
              <w:t>xxxxxx</w:t>
            </w:r>
          </w:p>
        </w:tc>
        <w:tc>
          <w:tcPr>
            <w:tcW w:w="850" w:type="dxa"/>
            <w:gridSpan w:val="6"/>
            <w:tcBorders>
              <w:top w:val="single" w:sz="4" w:space="0" w:color="auto"/>
              <w:left w:val="single" w:sz="4" w:space="0" w:color="auto"/>
              <w:bottom w:val="single" w:sz="4" w:space="0" w:color="auto"/>
              <w:right w:val="single" w:sz="4" w:space="0" w:color="auto"/>
            </w:tcBorders>
          </w:tcPr>
          <w:p w:rsidR="00310EB2" w:rsidRPr="004C526F" w:rsidRDefault="00310EB2" w:rsidP="00310EB2">
            <w:pPr>
              <w:jc w:val="center"/>
              <w:rPr>
                <w:rFonts w:asciiTheme="minorHAnsi" w:hAnsiTheme="minorHAnsi" w:cstheme="minorHAnsi"/>
                <w:sz w:val="18"/>
                <w:szCs w:val="18"/>
              </w:rPr>
            </w:pPr>
            <w:r w:rsidRPr="004C526F">
              <w:rPr>
                <w:rFonts w:asciiTheme="minorHAnsi" w:hAnsiTheme="minorHAnsi" w:cstheme="minorHAnsi"/>
                <w:sz w:val="18"/>
                <w:szCs w:val="18"/>
              </w:rPr>
              <w:t>xxxxx</w:t>
            </w:r>
          </w:p>
        </w:tc>
        <w:tc>
          <w:tcPr>
            <w:tcW w:w="921" w:type="dxa"/>
            <w:gridSpan w:val="6"/>
            <w:tcBorders>
              <w:top w:val="single" w:sz="4" w:space="0" w:color="auto"/>
              <w:left w:val="single" w:sz="4" w:space="0" w:color="auto"/>
              <w:bottom w:val="single" w:sz="4" w:space="0" w:color="auto"/>
              <w:right w:val="single" w:sz="4" w:space="0" w:color="auto"/>
            </w:tcBorders>
          </w:tcPr>
          <w:p w:rsidR="00310EB2" w:rsidRPr="004C526F" w:rsidRDefault="00310EB2" w:rsidP="00310EB2">
            <w:pPr>
              <w:jc w:val="right"/>
              <w:rPr>
                <w:rFonts w:asciiTheme="minorHAnsi" w:hAnsiTheme="minorHAnsi" w:cstheme="minorHAnsi"/>
                <w:sz w:val="18"/>
                <w:szCs w:val="18"/>
              </w:rPr>
            </w:pPr>
            <w:r w:rsidRPr="004C526F">
              <w:rPr>
                <w:rFonts w:asciiTheme="minorHAnsi" w:hAnsiTheme="minorHAnsi" w:cstheme="minorHAnsi"/>
                <w:sz w:val="18"/>
                <w:szCs w:val="18"/>
              </w:rPr>
              <w:t>x.xxx,xx</w:t>
            </w:r>
          </w:p>
        </w:tc>
        <w:tc>
          <w:tcPr>
            <w:tcW w:w="2481" w:type="dxa"/>
            <w:gridSpan w:val="20"/>
            <w:tcBorders>
              <w:top w:val="single" w:sz="4" w:space="0" w:color="auto"/>
              <w:left w:val="single" w:sz="4" w:space="0" w:color="auto"/>
              <w:bottom w:val="single" w:sz="4" w:space="0" w:color="auto"/>
              <w:right w:val="single" w:sz="4" w:space="0" w:color="auto"/>
            </w:tcBorders>
          </w:tcPr>
          <w:p w:rsidR="00310EB2" w:rsidRPr="004C526F" w:rsidRDefault="00310EB2" w:rsidP="00310EB2">
            <w:pPr>
              <w:jc w:val="right"/>
              <w:rPr>
                <w:rFonts w:asciiTheme="minorHAnsi" w:hAnsiTheme="minorHAnsi" w:cstheme="minorHAnsi"/>
                <w:sz w:val="18"/>
                <w:szCs w:val="18"/>
              </w:rPr>
            </w:pPr>
            <w:r w:rsidRPr="004C526F">
              <w:rPr>
                <w:rFonts w:asciiTheme="minorHAnsi" w:hAnsiTheme="minorHAnsi" w:cstheme="minorHAnsi"/>
                <w:sz w:val="18"/>
                <w:szCs w:val="18"/>
              </w:rPr>
              <w:t>x.xxx,xx</w:t>
            </w:r>
          </w:p>
        </w:tc>
        <w:tc>
          <w:tcPr>
            <w:tcW w:w="2905" w:type="dxa"/>
            <w:gridSpan w:val="24"/>
            <w:tcBorders>
              <w:top w:val="single" w:sz="4" w:space="0" w:color="auto"/>
              <w:left w:val="single" w:sz="4" w:space="0" w:color="auto"/>
              <w:bottom w:val="single" w:sz="4" w:space="0" w:color="auto"/>
              <w:right w:val="single" w:sz="4" w:space="0" w:color="auto"/>
            </w:tcBorders>
          </w:tcPr>
          <w:p w:rsidR="00310EB2" w:rsidRPr="004C526F" w:rsidRDefault="00310EB2" w:rsidP="00310EB2">
            <w:pPr>
              <w:rPr>
                <w:rFonts w:asciiTheme="minorHAnsi" w:hAnsiTheme="minorHAnsi" w:cstheme="minorHAnsi"/>
                <w:sz w:val="18"/>
                <w:szCs w:val="18"/>
              </w:rPr>
            </w:pPr>
            <w:r w:rsidRPr="004C526F">
              <w:rPr>
                <w:rFonts w:asciiTheme="minorHAnsi" w:hAnsiTheme="minorHAnsi" w:cstheme="minorHAnsi"/>
                <w:sz w:val="18"/>
                <w:szCs w:val="18"/>
              </w:rPr>
              <w:t>Abnormality se nevyskytly.</w:t>
            </w:r>
          </w:p>
        </w:tc>
      </w:tr>
    </w:tbl>
    <w:p w:rsidR="00310EB2" w:rsidRPr="00310EB2" w:rsidRDefault="00310EB2" w:rsidP="00F6124A">
      <w:pPr>
        <w:rPr>
          <w:rFonts w:asciiTheme="minorHAnsi" w:hAnsiTheme="minorHAnsi" w:cstheme="minorHAnsi"/>
          <w:b/>
          <w:sz w:val="20"/>
          <w:szCs w:val="20"/>
        </w:rPr>
      </w:pPr>
    </w:p>
    <w:p w:rsidR="00310EB2" w:rsidRPr="00310EB2" w:rsidRDefault="00310EB2" w:rsidP="00F6124A">
      <w:pPr>
        <w:rPr>
          <w:rFonts w:asciiTheme="minorHAnsi" w:hAnsiTheme="minorHAnsi" w:cstheme="minorHAnsi"/>
          <w:b/>
          <w:sz w:val="20"/>
          <w:szCs w:val="20"/>
        </w:rPr>
      </w:pPr>
      <w:r w:rsidRPr="00310EB2">
        <w:rPr>
          <w:rFonts w:asciiTheme="minorHAnsi" w:hAnsiTheme="minorHAnsi" w:cstheme="minorHAnsi"/>
          <w:b/>
          <w:sz w:val="20"/>
          <w:szCs w:val="20"/>
        </w:rPr>
        <w:t>Rozpočtová opatření byla realizována v souladu s upraveným rozpočtem.</w:t>
      </w:r>
    </w:p>
    <w:p w:rsidR="00310EB2" w:rsidRPr="00310EB2" w:rsidRDefault="00310EB2" w:rsidP="00F6124A">
      <w:pPr>
        <w:rPr>
          <w:rFonts w:asciiTheme="minorHAnsi" w:hAnsiTheme="minorHAnsi" w:cstheme="minorHAnsi"/>
          <w:b/>
          <w:sz w:val="20"/>
          <w:szCs w:val="20"/>
        </w:rPr>
      </w:pPr>
    </w:p>
    <w:p w:rsidR="004C526F" w:rsidRDefault="00310EB2" w:rsidP="00F6124A">
      <w:pPr>
        <w:rPr>
          <w:rFonts w:asciiTheme="minorHAnsi" w:hAnsiTheme="minorHAnsi" w:cstheme="minorHAnsi"/>
          <w:b/>
          <w:sz w:val="20"/>
          <w:szCs w:val="20"/>
        </w:rPr>
      </w:pPr>
      <w:r w:rsidRPr="00310EB2">
        <w:rPr>
          <w:rFonts w:asciiTheme="minorHAnsi" w:hAnsiTheme="minorHAnsi" w:cstheme="minorHAnsi"/>
          <w:sz w:val="20"/>
          <w:szCs w:val="20"/>
        </w:rPr>
        <w:t>V Prostějově: 15. 2. 2023</w:t>
      </w:r>
      <w:r w:rsidRPr="00310EB2">
        <w:rPr>
          <w:rFonts w:asciiTheme="minorHAnsi" w:hAnsiTheme="minorHAnsi" w:cstheme="minorHAnsi"/>
          <w:b/>
          <w:sz w:val="20"/>
          <w:szCs w:val="20"/>
        </w:rPr>
        <w:tab/>
      </w:r>
      <w:r w:rsidRPr="00310EB2">
        <w:rPr>
          <w:rFonts w:asciiTheme="minorHAnsi" w:hAnsiTheme="minorHAnsi" w:cstheme="minorHAnsi"/>
          <w:b/>
          <w:sz w:val="20"/>
          <w:szCs w:val="20"/>
        </w:rPr>
        <w:tab/>
      </w:r>
    </w:p>
    <w:p w:rsidR="00310EB2" w:rsidRPr="00310EB2" w:rsidRDefault="00310EB2" w:rsidP="00F6124A">
      <w:pPr>
        <w:rPr>
          <w:rFonts w:asciiTheme="minorHAnsi" w:hAnsiTheme="minorHAnsi" w:cstheme="minorHAnsi"/>
          <w:b/>
          <w:sz w:val="20"/>
          <w:szCs w:val="20"/>
        </w:rPr>
      </w:pPr>
      <w:r w:rsidRPr="00310EB2">
        <w:rPr>
          <w:rFonts w:asciiTheme="minorHAnsi" w:hAnsiTheme="minorHAnsi" w:cstheme="minorHAnsi"/>
          <w:sz w:val="20"/>
          <w:szCs w:val="20"/>
        </w:rPr>
        <w:t>Správce kapitoly: Mgr. Petr Ivánek, vedoucí OŠKS MMP</w:t>
      </w:r>
      <w:r w:rsidR="004C526F">
        <w:rPr>
          <w:rFonts w:asciiTheme="minorHAnsi" w:hAnsiTheme="minorHAnsi" w:cstheme="minorHAnsi"/>
          <w:b/>
          <w:sz w:val="20"/>
          <w:szCs w:val="20"/>
        </w:rPr>
        <w:tab/>
      </w:r>
      <w:r w:rsidR="004C526F">
        <w:rPr>
          <w:rFonts w:asciiTheme="minorHAnsi" w:hAnsiTheme="minorHAnsi" w:cstheme="minorHAnsi"/>
          <w:b/>
          <w:sz w:val="20"/>
          <w:szCs w:val="20"/>
        </w:rPr>
        <w:tab/>
      </w:r>
      <w:r w:rsidR="004C526F">
        <w:rPr>
          <w:rFonts w:asciiTheme="minorHAnsi" w:hAnsiTheme="minorHAnsi" w:cstheme="minorHAnsi"/>
          <w:b/>
          <w:sz w:val="20"/>
          <w:szCs w:val="20"/>
        </w:rPr>
        <w:tab/>
      </w:r>
      <w:r w:rsidR="004C526F">
        <w:rPr>
          <w:rFonts w:asciiTheme="minorHAnsi" w:hAnsiTheme="minorHAnsi" w:cstheme="minorHAnsi"/>
          <w:b/>
          <w:sz w:val="20"/>
          <w:szCs w:val="20"/>
        </w:rPr>
        <w:tab/>
      </w:r>
      <w:r w:rsidR="004C526F">
        <w:rPr>
          <w:rFonts w:asciiTheme="minorHAnsi" w:hAnsiTheme="minorHAnsi" w:cstheme="minorHAnsi"/>
          <w:b/>
          <w:sz w:val="20"/>
          <w:szCs w:val="20"/>
        </w:rPr>
        <w:tab/>
      </w:r>
      <w:r w:rsidR="004C526F">
        <w:rPr>
          <w:rFonts w:asciiTheme="minorHAnsi" w:hAnsiTheme="minorHAnsi" w:cstheme="minorHAnsi"/>
          <w:b/>
          <w:sz w:val="20"/>
          <w:szCs w:val="20"/>
        </w:rPr>
        <w:tab/>
      </w:r>
      <w:r w:rsidRPr="00310EB2">
        <w:rPr>
          <w:rFonts w:asciiTheme="minorHAnsi" w:hAnsiTheme="minorHAnsi" w:cstheme="minorHAnsi"/>
          <w:b/>
          <w:sz w:val="20"/>
          <w:szCs w:val="20"/>
        </w:rPr>
        <w:tab/>
      </w:r>
      <w:r w:rsidRPr="00310EB2">
        <w:rPr>
          <w:rFonts w:asciiTheme="minorHAnsi" w:hAnsiTheme="minorHAnsi" w:cstheme="minorHAnsi"/>
          <w:b/>
          <w:sz w:val="20"/>
          <w:szCs w:val="20"/>
        </w:rPr>
        <w:tab/>
      </w:r>
      <w:r w:rsidRPr="00310EB2">
        <w:rPr>
          <w:rFonts w:asciiTheme="minorHAnsi" w:hAnsiTheme="minorHAnsi" w:cstheme="minorHAnsi"/>
          <w:b/>
          <w:sz w:val="20"/>
          <w:szCs w:val="20"/>
        </w:rPr>
        <w:tab/>
      </w:r>
      <w:r w:rsidRPr="00310EB2">
        <w:rPr>
          <w:rFonts w:asciiTheme="minorHAnsi" w:hAnsiTheme="minorHAnsi" w:cstheme="minorHAnsi"/>
          <w:b/>
          <w:sz w:val="20"/>
          <w:szCs w:val="20"/>
        </w:rPr>
        <w:tab/>
      </w:r>
      <w:r w:rsidRPr="00310EB2">
        <w:rPr>
          <w:rFonts w:asciiTheme="minorHAnsi" w:hAnsiTheme="minorHAnsi" w:cstheme="minorHAnsi"/>
          <w:b/>
          <w:sz w:val="20"/>
          <w:szCs w:val="20"/>
        </w:rPr>
        <w:tab/>
      </w:r>
      <w:r w:rsidRPr="00310EB2">
        <w:rPr>
          <w:rFonts w:asciiTheme="minorHAnsi" w:hAnsiTheme="minorHAnsi" w:cstheme="minorHAnsi"/>
          <w:b/>
          <w:sz w:val="20"/>
          <w:szCs w:val="20"/>
        </w:rPr>
        <w:tab/>
      </w:r>
      <w:r w:rsidRPr="00310EB2">
        <w:rPr>
          <w:rFonts w:asciiTheme="minorHAnsi" w:hAnsiTheme="minorHAnsi" w:cstheme="minorHAnsi"/>
          <w:b/>
          <w:sz w:val="20"/>
          <w:szCs w:val="20"/>
        </w:rPr>
        <w:tab/>
      </w:r>
      <w:r w:rsidRPr="00310EB2">
        <w:rPr>
          <w:rFonts w:asciiTheme="minorHAnsi" w:hAnsiTheme="minorHAnsi" w:cstheme="minorHAnsi"/>
          <w:b/>
          <w:sz w:val="20"/>
          <w:szCs w:val="20"/>
        </w:rPr>
        <w:tab/>
      </w:r>
      <w:r w:rsidRPr="00310EB2">
        <w:rPr>
          <w:rFonts w:asciiTheme="minorHAnsi" w:hAnsiTheme="minorHAnsi" w:cstheme="minorHAnsi"/>
          <w:b/>
          <w:sz w:val="20"/>
          <w:szCs w:val="20"/>
        </w:rPr>
        <w:tab/>
      </w:r>
      <w:r w:rsidRPr="00310EB2">
        <w:rPr>
          <w:rFonts w:asciiTheme="minorHAnsi" w:hAnsiTheme="minorHAnsi" w:cstheme="minorHAnsi"/>
          <w:b/>
          <w:sz w:val="20"/>
          <w:szCs w:val="20"/>
        </w:rPr>
        <w:tab/>
      </w:r>
    </w:p>
    <w:p w:rsidR="00F6124A" w:rsidRDefault="00310EB2" w:rsidP="00310EB2">
      <w:pPr>
        <w:rPr>
          <w:rFonts w:asciiTheme="minorHAnsi" w:hAnsiTheme="minorHAnsi" w:cstheme="minorHAnsi"/>
          <w:sz w:val="20"/>
          <w:szCs w:val="20"/>
        </w:rPr>
      </w:pPr>
      <w:r w:rsidRPr="00310EB2">
        <w:rPr>
          <w:rFonts w:asciiTheme="minorHAnsi" w:hAnsiTheme="minorHAnsi" w:cstheme="minorHAnsi"/>
          <w:sz w:val="20"/>
          <w:szCs w:val="20"/>
        </w:rPr>
        <w:t xml:space="preserve">Zpracovala: R. Maděrková    </w:t>
      </w:r>
    </w:p>
    <w:p w:rsidR="00F6124A" w:rsidRDefault="00F6124A" w:rsidP="00310EB2">
      <w:pPr>
        <w:rPr>
          <w:rFonts w:asciiTheme="minorHAnsi" w:hAnsiTheme="minorHAnsi" w:cstheme="minorHAnsi"/>
          <w:sz w:val="20"/>
          <w:szCs w:val="20"/>
        </w:rPr>
      </w:pPr>
    </w:p>
    <w:p w:rsidR="00F6124A" w:rsidRDefault="00F6124A" w:rsidP="00310EB2">
      <w:pPr>
        <w:rPr>
          <w:rFonts w:asciiTheme="minorHAnsi" w:hAnsiTheme="minorHAnsi" w:cstheme="minorHAnsi"/>
          <w:sz w:val="20"/>
          <w:szCs w:val="20"/>
        </w:rPr>
      </w:pPr>
    </w:p>
    <w:p w:rsidR="005F7B0F" w:rsidRDefault="005F7B0F" w:rsidP="00310EB2">
      <w:pPr>
        <w:rPr>
          <w:rFonts w:asciiTheme="minorHAnsi" w:hAnsiTheme="minorHAnsi" w:cstheme="minorHAnsi"/>
          <w:sz w:val="20"/>
          <w:szCs w:val="20"/>
        </w:rPr>
      </w:pPr>
    </w:p>
    <w:tbl>
      <w:tblPr>
        <w:tblW w:w="11546" w:type="dxa"/>
        <w:tblInd w:w="-72" w:type="dxa"/>
        <w:tblLayout w:type="fixed"/>
        <w:tblCellMar>
          <w:left w:w="70" w:type="dxa"/>
          <w:right w:w="70" w:type="dxa"/>
        </w:tblCellMar>
        <w:tblLook w:val="0000" w:firstRow="0" w:lastRow="0" w:firstColumn="0" w:lastColumn="0" w:noHBand="0" w:noVBand="0"/>
      </w:tblPr>
      <w:tblGrid>
        <w:gridCol w:w="460"/>
        <w:gridCol w:w="392"/>
        <w:gridCol w:w="528"/>
        <w:gridCol w:w="180"/>
        <w:gridCol w:w="72"/>
        <w:gridCol w:w="139"/>
        <w:gridCol w:w="69"/>
        <w:gridCol w:w="460"/>
        <w:gridCol w:w="324"/>
        <w:gridCol w:w="136"/>
        <w:gridCol w:w="218"/>
        <w:gridCol w:w="242"/>
        <w:gridCol w:w="60"/>
        <w:gridCol w:w="194"/>
        <w:gridCol w:w="206"/>
        <w:gridCol w:w="60"/>
        <w:gridCol w:w="18"/>
        <w:gridCol w:w="382"/>
        <w:gridCol w:w="60"/>
        <w:gridCol w:w="337"/>
        <w:gridCol w:w="123"/>
        <w:gridCol w:w="232"/>
        <w:gridCol w:w="168"/>
        <w:gridCol w:w="60"/>
        <w:gridCol w:w="197"/>
        <w:gridCol w:w="263"/>
        <w:gridCol w:w="460"/>
        <w:gridCol w:w="128"/>
        <w:gridCol w:w="141"/>
        <w:gridCol w:w="142"/>
        <w:gridCol w:w="49"/>
        <w:gridCol w:w="460"/>
        <w:gridCol w:w="460"/>
        <w:gridCol w:w="23"/>
        <w:gridCol w:w="160"/>
        <w:gridCol w:w="277"/>
        <w:gridCol w:w="183"/>
        <w:gridCol w:w="277"/>
        <w:gridCol w:w="183"/>
        <w:gridCol w:w="277"/>
        <w:gridCol w:w="183"/>
        <w:gridCol w:w="460"/>
        <w:gridCol w:w="460"/>
        <w:gridCol w:w="20"/>
        <w:gridCol w:w="60"/>
        <w:gridCol w:w="380"/>
        <w:gridCol w:w="1183"/>
      </w:tblGrid>
      <w:tr w:rsidR="005F7B0F" w:rsidTr="005F7B0F">
        <w:trPr>
          <w:gridAfter w:val="3"/>
          <w:wAfter w:w="1623" w:type="dxa"/>
        </w:trPr>
        <w:tc>
          <w:tcPr>
            <w:tcW w:w="9923" w:type="dxa"/>
            <w:gridSpan w:val="44"/>
          </w:tcPr>
          <w:p w:rsidR="005F7B0F" w:rsidRPr="005F7B0F" w:rsidRDefault="005F7B0F" w:rsidP="009D2F55">
            <w:pPr>
              <w:rPr>
                <w:rFonts w:asciiTheme="minorHAnsi" w:hAnsiTheme="minorHAnsi" w:cstheme="minorHAnsi"/>
                <w:b/>
              </w:rPr>
            </w:pPr>
            <w:r w:rsidRPr="005F7B0F">
              <w:rPr>
                <w:rFonts w:asciiTheme="minorHAnsi" w:hAnsiTheme="minorHAnsi" w:cstheme="minorHAnsi"/>
                <w:b/>
              </w:rPr>
              <w:t>Kapitola 20 – školství, kultura a sport</w:t>
            </w:r>
          </w:p>
        </w:tc>
      </w:tr>
      <w:tr w:rsidR="005F7B0F" w:rsidRPr="00C50E8E" w:rsidTr="005F7B0F">
        <w:tc>
          <w:tcPr>
            <w:tcW w:w="460" w:type="dxa"/>
          </w:tcPr>
          <w:p w:rsidR="005F7B0F" w:rsidRPr="00C50E8E" w:rsidRDefault="005F7B0F" w:rsidP="009D2F55">
            <w:pPr>
              <w:rPr>
                <w:b/>
              </w:rPr>
            </w:pPr>
          </w:p>
        </w:tc>
        <w:tc>
          <w:tcPr>
            <w:tcW w:w="392" w:type="dxa"/>
          </w:tcPr>
          <w:p w:rsidR="005F7B0F" w:rsidRPr="00C50E8E" w:rsidRDefault="005F7B0F" w:rsidP="009D2F55">
            <w:pPr>
              <w:rPr>
                <w:b/>
              </w:rPr>
            </w:pPr>
          </w:p>
        </w:tc>
        <w:tc>
          <w:tcPr>
            <w:tcW w:w="528" w:type="dxa"/>
          </w:tcPr>
          <w:p w:rsidR="005F7B0F" w:rsidRPr="00C50E8E" w:rsidRDefault="005F7B0F" w:rsidP="009D2F55">
            <w:pPr>
              <w:rPr>
                <w:b/>
              </w:rPr>
            </w:pPr>
          </w:p>
        </w:tc>
        <w:tc>
          <w:tcPr>
            <w:tcW w:w="460" w:type="dxa"/>
            <w:gridSpan w:val="4"/>
          </w:tcPr>
          <w:p w:rsidR="005F7B0F" w:rsidRPr="00C50E8E" w:rsidRDefault="005F7B0F" w:rsidP="009D2F55">
            <w:pPr>
              <w:rPr>
                <w:b/>
              </w:rPr>
            </w:pPr>
          </w:p>
        </w:tc>
        <w:tc>
          <w:tcPr>
            <w:tcW w:w="460" w:type="dxa"/>
          </w:tcPr>
          <w:p w:rsidR="005F7B0F" w:rsidRPr="00C50E8E" w:rsidRDefault="005F7B0F" w:rsidP="009D2F55">
            <w:pPr>
              <w:rPr>
                <w:b/>
              </w:rPr>
            </w:pPr>
          </w:p>
        </w:tc>
        <w:tc>
          <w:tcPr>
            <w:tcW w:w="460" w:type="dxa"/>
            <w:gridSpan w:val="2"/>
          </w:tcPr>
          <w:p w:rsidR="005F7B0F" w:rsidRPr="00C50E8E" w:rsidRDefault="005F7B0F" w:rsidP="009D2F55">
            <w:pPr>
              <w:rPr>
                <w:b/>
              </w:rPr>
            </w:pPr>
          </w:p>
        </w:tc>
        <w:tc>
          <w:tcPr>
            <w:tcW w:w="460" w:type="dxa"/>
            <w:gridSpan w:val="2"/>
          </w:tcPr>
          <w:p w:rsidR="005F7B0F" w:rsidRPr="00C50E8E" w:rsidRDefault="005F7B0F" w:rsidP="009D2F55">
            <w:pPr>
              <w:rPr>
                <w:b/>
              </w:rPr>
            </w:pPr>
          </w:p>
        </w:tc>
        <w:tc>
          <w:tcPr>
            <w:tcW w:w="460" w:type="dxa"/>
            <w:gridSpan w:val="3"/>
          </w:tcPr>
          <w:p w:rsidR="005F7B0F" w:rsidRPr="00C50E8E" w:rsidRDefault="005F7B0F" w:rsidP="009D2F55">
            <w:pPr>
              <w:rPr>
                <w:b/>
              </w:rPr>
            </w:pPr>
          </w:p>
        </w:tc>
        <w:tc>
          <w:tcPr>
            <w:tcW w:w="460" w:type="dxa"/>
            <w:gridSpan w:val="3"/>
          </w:tcPr>
          <w:p w:rsidR="005F7B0F" w:rsidRPr="00C50E8E" w:rsidRDefault="005F7B0F" w:rsidP="009D2F55">
            <w:pPr>
              <w:rPr>
                <w:b/>
              </w:rPr>
            </w:pPr>
          </w:p>
        </w:tc>
        <w:tc>
          <w:tcPr>
            <w:tcW w:w="397" w:type="dxa"/>
            <w:gridSpan w:val="2"/>
          </w:tcPr>
          <w:p w:rsidR="005F7B0F" w:rsidRPr="00C50E8E" w:rsidRDefault="005F7B0F" w:rsidP="009D2F55">
            <w:pPr>
              <w:rPr>
                <w:b/>
              </w:rPr>
            </w:pPr>
          </w:p>
        </w:tc>
        <w:tc>
          <w:tcPr>
            <w:tcW w:w="523" w:type="dxa"/>
            <w:gridSpan w:val="3"/>
          </w:tcPr>
          <w:p w:rsidR="005F7B0F" w:rsidRPr="00C50E8E" w:rsidRDefault="005F7B0F" w:rsidP="009D2F55">
            <w:pPr>
              <w:rPr>
                <w:b/>
              </w:rPr>
            </w:pPr>
          </w:p>
        </w:tc>
        <w:tc>
          <w:tcPr>
            <w:tcW w:w="2383" w:type="dxa"/>
            <w:gridSpan w:val="11"/>
          </w:tcPr>
          <w:p w:rsidR="005F7B0F" w:rsidRPr="00C50E8E" w:rsidRDefault="005F7B0F" w:rsidP="009D2F55">
            <w:pPr>
              <w:rPr>
                <w:b/>
              </w:rPr>
            </w:pPr>
          </w:p>
        </w:tc>
        <w:tc>
          <w:tcPr>
            <w:tcW w:w="160" w:type="dxa"/>
          </w:tcPr>
          <w:p w:rsidR="005F7B0F" w:rsidRPr="00C50E8E" w:rsidRDefault="005F7B0F" w:rsidP="009D2F55">
            <w:pPr>
              <w:rPr>
                <w:b/>
              </w:rPr>
            </w:pPr>
          </w:p>
        </w:tc>
        <w:tc>
          <w:tcPr>
            <w:tcW w:w="460" w:type="dxa"/>
            <w:gridSpan w:val="2"/>
          </w:tcPr>
          <w:p w:rsidR="005F7B0F" w:rsidRPr="00C50E8E" w:rsidRDefault="005F7B0F" w:rsidP="009D2F55">
            <w:pPr>
              <w:rPr>
                <w:b/>
              </w:rPr>
            </w:pPr>
          </w:p>
        </w:tc>
        <w:tc>
          <w:tcPr>
            <w:tcW w:w="460" w:type="dxa"/>
            <w:gridSpan w:val="2"/>
          </w:tcPr>
          <w:p w:rsidR="005F7B0F" w:rsidRPr="00C50E8E" w:rsidRDefault="005F7B0F" w:rsidP="009D2F55">
            <w:pPr>
              <w:rPr>
                <w:b/>
              </w:rPr>
            </w:pPr>
          </w:p>
        </w:tc>
        <w:tc>
          <w:tcPr>
            <w:tcW w:w="460" w:type="dxa"/>
            <w:gridSpan w:val="2"/>
          </w:tcPr>
          <w:p w:rsidR="005F7B0F" w:rsidRPr="00C50E8E" w:rsidRDefault="005F7B0F" w:rsidP="009D2F55">
            <w:pPr>
              <w:rPr>
                <w:b/>
              </w:rPr>
            </w:pPr>
          </w:p>
        </w:tc>
        <w:tc>
          <w:tcPr>
            <w:tcW w:w="460" w:type="dxa"/>
          </w:tcPr>
          <w:p w:rsidR="005F7B0F" w:rsidRPr="00C50E8E" w:rsidRDefault="005F7B0F" w:rsidP="009D2F55">
            <w:pPr>
              <w:rPr>
                <w:b/>
              </w:rPr>
            </w:pPr>
          </w:p>
        </w:tc>
        <w:tc>
          <w:tcPr>
            <w:tcW w:w="460" w:type="dxa"/>
          </w:tcPr>
          <w:p w:rsidR="005F7B0F" w:rsidRPr="00C50E8E" w:rsidRDefault="005F7B0F" w:rsidP="009D2F55">
            <w:pPr>
              <w:rPr>
                <w:b/>
              </w:rPr>
            </w:pPr>
          </w:p>
        </w:tc>
        <w:tc>
          <w:tcPr>
            <w:tcW w:w="460" w:type="dxa"/>
            <w:gridSpan w:val="3"/>
          </w:tcPr>
          <w:p w:rsidR="005F7B0F" w:rsidRPr="00C50E8E" w:rsidRDefault="005F7B0F" w:rsidP="009D2F55">
            <w:pPr>
              <w:rPr>
                <w:b/>
              </w:rPr>
            </w:pPr>
          </w:p>
        </w:tc>
        <w:tc>
          <w:tcPr>
            <w:tcW w:w="1183" w:type="dxa"/>
          </w:tcPr>
          <w:p w:rsidR="005F7B0F" w:rsidRPr="00C50E8E" w:rsidRDefault="005F7B0F" w:rsidP="009D2F55">
            <w:pPr>
              <w:rPr>
                <w:b/>
              </w:rPr>
            </w:pPr>
          </w:p>
        </w:tc>
      </w:tr>
      <w:tr w:rsidR="005F7B0F" w:rsidRPr="005F7B0F" w:rsidTr="005F7B0F">
        <w:trPr>
          <w:gridAfter w:val="3"/>
          <w:wAfter w:w="1623" w:type="dxa"/>
        </w:trPr>
        <w:tc>
          <w:tcPr>
            <w:tcW w:w="9923" w:type="dxa"/>
            <w:gridSpan w:val="44"/>
            <w:shd w:val="clear" w:color="auto" w:fill="F79646"/>
          </w:tcPr>
          <w:p w:rsidR="005F7B0F" w:rsidRPr="005F7B0F" w:rsidRDefault="005F7B0F" w:rsidP="009D2F55">
            <w:pPr>
              <w:rPr>
                <w:rFonts w:asciiTheme="minorHAnsi" w:hAnsiTheme="minorHAnsi" w:cstheme="minorHAnsi"/>
                <w:b/>
                <w:sz w:val="20"/>
                <w:szCs w:val="20"/>
                <w:u w:val="single"/>
              </w:rPr>
            </w:pPr>
            <w:r w:rsidRPr="005F7B0F">
              <w:rPr>
                <w:rFonts w:asciiTheme="minorHAnsi" w:hAnsiTheme="minorHAnsi" w:cstheme="minorHAnsi"/>
                <w:b/>
                <w:sz w:val="20"/>
                <w:szCs w:val="20"/>
                <w:u w:val="single"/>
              </w:rPr>
              <w:t>Rozbor plnění příjmů rozpočtu kapitoly 31. 12. 2022</w:t>
            </w:r>
          </w:p>
        </w:tc>
      </w:tr>
      <w:tr w:rsidR="005F7B0F" w:rsidRPr="005F7B0F" w:rsidTr="005F7B0F">
        <w:tc>
          <w:tcPr>
            <w:tcW w:w="460" w:type="dxa"/>
          </w:tcPr>
          <w:p w:rsidR="005F7B0F" w:rsidRPr="005F7B0F" w:rsidRDefault="005F7B0F" w:rsidP="009D2F55">
            <w:pPr>
              <w:rPr>
                <w:rFonts w:asciiTheme="minorHAnsi" w:hAnsiTheme="minorHAnsi" w:cstheme="minorHAnsi"/>
                <w:b/>
                <w:sz w:val="20"/>
                <w:szCs w:val="20"/>
              </w:rPr>
            </w:pPr>
          </w:p>
        </w:tc>
        <w:tc>
          <w:tcPr>
            <w:tcW w:w="392" w:type="dxa"/>
          </w:tcPr>
          <w:p w:rsidR="005F7B0F" w:rsidRPr="005F7B0F" w:rsidRDefault="005F7B0F" w:rsidP="009D2F55">
            <w:pPr>
              <w:rPr>
                <w:rFonts w:asciiTheme="minorHAnsi" w:hAnsiTheme="minorHAnsi" w:cstheme="minorHAnsi"/>
                <w:b/>
                <w:sz w:val="20"/>
                <w:szCs w:val="20"/>
              </w:rPr>
            </w:pPr>
          </w:p>
        </w:tc>
        <w:tc>
          <w:tcPr>
            <w:tcW w:w="528" w:type="dxa"/>
          </w:tcPr>
          <w:p w:rsidR="005F7B0F" w:rsidRPr="005F7B0F" w:rsidRDefault="005F7B0F" w:rsidP="009D2F55">
            <w:pPr>
              <w:rPr>
                <w:rFonts w:asciiTheme="minorHAnsi" w:hAnsiTheme="minorHAnsi" w:cstheme="minorHAnsi"/>
                <w:b/>
                <w:sz w:val="20"/>
                <w:szCs w:val="20"/>
              </w:rPr>
            </w:pPr>
          </w:p>
        </w:tc>
        <w:tc>
          <w:tcPr>
            <w:tcW w:w="391" w:type="dxa"/>
            <w:gridSpan w:val="3"/>
          </w:tcPr>
          <w:p w:rsidR="005F7B0F" w:rsidRPr="005F7B0F" w:rsidRDefault="005F7B0F" w:rsidP="009D2F55">
            <w:pPr>
              <w:rPr>
                <w:rFonts w:asciiTheme="minorHAnsi" w:hAnsiTheme="minorHAnsi" w:cstheme="minorHAnsi"/>
                <w:b/>
                <w:sz w:val="20"/>
                <w:szCs w:val="20"/>
              </w:rPr>
            </w:pPr>
          </w:p>
        </w:tc>
        <w:tc>
          <w:tcPr>
            <w:tcW w:w="529" w:type="dxa"/>
            <w:gridSpan w:val="2"/>
          </w:tcPr>
          <w:p w:rsidR="005F7B0F" w:rsidRPr="005F7B0F" w:rsidRDefault="005F7B0F" w:rsidP="009D2F55">
            <w:pPr>
              <w:rPr>
                <w:rFonts w:asciiTheme="minorHAnsi" w:hAnsiTheme="minorHAnsi" w:cstheme="minorHAnsi"/>
                <w:b/>
                <w:sz w:val="20"/>
                <w:szCs w:val="20"/>
              </w:rPr>
            </w:pPr>
          </w:p>
        </w:tc>
        <w:tc>
          <w:tcPr>
            <w:tcW w:w="460" w:type="dxa"/>
            <w:gridSpan w:val="2"/>
          </w:tcPr>
          <w:p w:rsidR="005F7B0F" w:rsidRPr="005F7B0F" w:rsidRDefault="005F7B0F" w:rsidP="009D2F55">
            <w:pPr>
              <w:rPr>
                <w:rFonts w:asciiTheme="minorHAnsi" w:hAnsiTheme="minorHAnsi" w:cstheme="minorHAnsi"/>
                <w:b/>
                <w:sz w:val="20"/>
                <w:szCs w:val="20"/>
              </w:rPr>
            </w:pPr>
          </w:p>
        </w:tc>
        <w:tc>
          <w:tcPr>
            <w:tcW w:w="460" w:type="dxa"/>
            <w:gridSpan w:val="2"/>
          </w:tcPr>
          <w:p w:rsidR="005F7B0F" w:rsidRPr="005F7B0F" w:rsidRDefault="005F7B0F" w:rsidP="009D2F55">
            <w:pPr>
              <w:rPr>
                <w:rFonts w:asciiTheme="minorHAnsi" w:hAnsiTheme="minorHAnsi" w:cstheme="minorHAnsi"/>
                <w:b/>
                <w:sz w:val="20"/>
                <w:szCs w:val="20"/>
              </w:rPr>
            </w:pPr>
          </w:p>
        </w:tc>
        <w:tc>
          <w:tcPr>
            <w:tcW w:w="460" w:type="dxa"/>
            <w:gridSpan w:val="3"/>
          </w:tcPr>
          <w:p w:rsidR="005F7B0F" w:rsidRPr="005F7B0F" w:rsidRDefault="005F7B0F" w:rsidP="009D2F55">
            <w:pPr>
              <w:rPr>
                <w:rFonts w:asciiTheme="minorHAnsi" w:hAnsiTheme="minorHAnsi" w:cstheme="minorHAnsi"/>
                <w:b/>
                <w:sz w:val="20"/>
                <w:szCs w:val="20"/>
              </w:rPr>
            </w:pPr>
          </w:p>
        </w:tc>
        <w:tc>
          <w:tcPr>
            <w:tcW w:w="460" w:type="dxa"/>
            <w:gridSpan w:val="3"/>
          </w:tcPr>
          <w:p w:rsidR="005F7B0F" w:rsidRPr="005F7B0F" w:rsidRDefault="005F7B0F" w:rsidP="009D2F55">
            <w:pPr>
              <w:rPr>
                <w:rFonts w:asciiTheme="minorHAnsi" w:hAnsiTheme="minorHAnsi" w:cstheme="minorHAnsi"/>
                <w:b/>
                <w:sz w:val="20"/>
                <w:szCs w:val="20"/>
              </w:rPr>
            </w:pPr>
          </w:p>
        </w:tc>
        <w:tc>
          <w:tcPr>
            <w:tcW w:w="397" w:type="dxa"/>
            <w:gridSpan w:val="2"/>
          </w:tcPr>
          <w:p w:rsidR="005F7B0F" w:rsidRPr="005F7B0F" w:rsidRDefault="005F7B0F" w:rsidP="009D2F55">
            <w:pPr>
              <w:rPr>
                <w:rFonts w:asciiTheme="minorHAnsi" w:hAnsiTheme="minorHAnsi" w:cstheme="minorHAnsi"/>
                <w:b/>
                <w:sz w:val="20"/>
                <w:szCs w:val="20"/>
              </w:rPr>
            </w:pPr>
          </w:p>
        </w:tc>
        <w:tc>
          <w:tcPr>
            <w:tcW w:w="523" w:type="dxa"/>
            <w:gridSpan w:val="3"/>
          </w:tcPr>
          <w:p w:rsidR="005F7B0F" w:rsidRPr="005F7B0F" w:rsidRDefault="005F7B0F" w:rsidP="009D2F55">
            <w:pPr>
              <w:rPr>
                <w:rFonts w:asciiTheme="minorHAnsi" w:hAnsiTheme="minorHAnsi" w:cstheme="minorHAnsi"/>
                <w:b/>
                <w:sz w:val="20"/>
                <w:szCs w:val="20"/>
              </w:rPr>
            </w:pPr>
          </w:p>
        </w:tc>
        <w:tc>
          <w:tcPr>
            <w:tcW w:w="2383" w:type="dxa"/>
            <w:gridSpan w:val="11"/>
          </w:tcPr>
          <w:p w:rsidR="005F7B0F" w:rsidRPr="005F7B0F" w:rsidRDefault="005F7B0F" w:rsidP="009D2F55">
            <w:pPr>
              <w:rPr>
                <w:rFonts w:asciiTheme="minorHAnsi" w:hAnsiTheme="minorHAnsi" w:cstheme="minorHAnsi"/>
                <w:b/>
                <w:sz w:val="20"/>
                <w:szCs w:val="20"/>
              </w:rPr>
            </w:pPr>
          </w:p>
        </w:tc>
        <w:tc>
          <w:tcPr>
            <w:tcW w:w="160" w:type="dxa"/>
          </w:tcPr>
          <w:p w:rsidR="005F7B0F" w:rsidRPr="005F7B0F" w:rsidRDefault="005F7B0F" w:rsidP="009D2F55">
            <w:pPr>
              <w:rPr>
                <w:rFonts w:asciiTheme="minorHAnsi" w:hAnsiTheme="minorHAnsi" w:cstheme="minorHAnsi"/>
                <w:b/>
                <w:sz w:val="20"/>
                <w:szCs w:val="20"/>
              </w:rPr>
            </w:pPr>
          </w:p>
        </w:tc>
        <w:tc>
          <w:tcPr>
            <w:tcW w:w="460" w:type="dxa"/>
            <w:gridSpan w:val="2"/>
          </w:tcPr>
          <w:p w:rsidR="005F7B0F" w:rsidRPr="005F7B0F" w:rsidRDefault="005F7B0F" w:rsidP="009D2F55">
            <w:pPr>
              <w:rPr>
                <w:rFonts w:asciiTheme="minorHAnsi" w:hAnsiTheme="minorHAnsi" w:cstheme="minorHAnsi"/>
                <w:b/>
                <w:sz w:val="20"/>
                <w:szCs w:val="20"/>
              </w:rPr>
            </w:pPr>
          </w:p>
        </w:tc>
        <w:tc>
          <w:tcPr>
            <w:tcW w:w="460" w:type="dxa"/>
            <w:gridSpan w:val="2"/>
          </w:tcPr>
          <w:p w:rsidR="005F7B0F" w:rsidRPr="005F7B0F" w:rsidRDefault="005F7B0F" w:rsidP="009D2F55">
            <w:pPr>
              <w:rPr>
                <w:rFonts w:asciiTheme="minorHAnsi" w:hAnsiTheme="minorHAnsi" w:cstheme="minorHAnsi"/>
                <w:b/>
                <w:sz w:val="20"/>
                <w:szCs w:val="20"/>
              </w:rPr>
            </w:pPr>
          </w:p>
        </w:tc>
        <w:tc>
          <w:tcPr>
            <w:tcW w:w="460" w:type="dxa"/>
            <w:gridSpan w:val="2"/>
          </w:tcPr>
          <w:p w:rsidR="005F7B0F" w:rsidRPr="005F7B0F" w:rsidRDefault="005F7B0F" w:rsidP="009D2F55">
            <w:pPr>
              <w:rPr>
                <w:rFonts w:asciiTheme="minorHAnsi" w:hAnsiTheme="minorHAnsi" w:cstheme="minorHAnsi"/>
                <w:b/>
                <w:sz w:val="20"/>
                <w:szCs w:val="20"/>
              </w:rPr>
            </w:pPr>
          </w:p>
        </w:tc>
        <w:tc>
          <w:tcPr>
            <w:tcW w:w="460" w:type="dxa"/>
          </w:tcPr>
          <w:p w:rsidR="005F7B0F" w:rsidRPr="005F7B0F" w:rsidRDefault="005F7B0F" w:rsidP="009D2F55">
            <w:pPr>
              <w:rPr>
                <w:rFonts w:asciiTheme="minorHAnsi" w:hAnsiTheme="minorHAnsi" w:cstheme="minorHAnsi"/>
                <w:b/>
                <w:sz w:val="20"/>
                <w:szCs w:val="20"/>
              </w:rPr>
            </w:pPr>
          </w:p>
        </w:tc>
        <w:tc>
          <w:tcPr>
            <w:tcW w:w="460" w:type="dxa"/>
          </w:tcPr>
          <w:p w:rsidR="005F7B0F" w:rsidRPr="005F7B0F" w:rsidRDefault="005F7B0F" w:rsidP="009D2F55">
            <w:pPr>
              <w:rPr>
                <w:rFonts w:asciiTheme="minorHAnsi" w:hAnsiTheme="minorHAnsi" w:cstheme="minorHAnsi"/>
                <w:b/>
                <w:sz w:val="20"/>
                <w:szCs w:val="20"/>
              </w:rPr>
            </w:pPr>
          </w:p>
        </w:tc>
        <w:tc>
          <w:tcPr>
            <w:tcW w:w="460" w:type="dxa"/>
            <w:gridSpan w:val="3"/>
          </w:tcPr>
          <w:p w:rsidR="005F7B0F" w:rsidRPr="005F7B0F" w:rsidRDefault="005F7B0F" w:rsidP="009D2F55">
            <w:pPr>
              <w:rPr>
                <w:rFonts w:asciiTheme="minorHAnsi" w:hAnsiTheme="minorHAnsi" w:cstheme="minorHAnsi"/>
                <w:b/>
                <w:sz w:val="20"/>
                <w:szCs w:val="20"/>
              </w:rPr>
            </w:pPr>
          </w:p>
        </w:tc>
        <w:tc>
          <w:tcPr>
            <w:tcW w:w="1183" w:type="dxa"/>
          </w:tcPr>
          <w:p w:rsidR="005F7B0F" w:rsidRPr="005F7B0F" w:rsidRDefault="005F7B0F" w:rsidP="009D2F55">
            <w:pPr>
              <w:rPr>
                <w:rFonts w:asciiTheme="minorHAnsi" w:hAnsiTheme="minorHAnsi" w:cstheme="minorHAnsi"/>
                <w:b/>
                <w:sz w:val="20"/>
                <w:szCs w:val="20"/>
              </w:rPr>
            </w:pPr>
          </w:p>
        </w:tc>
      </w:tr>
      <w:tr w:rsidR="005F7B0F" w:rsidRPr="005F7B0F" w:rsidTr="005F7B0F">
        <w:trPr>
          <w:gridAfter w:val="3"/>
          <w:wAfter w:w="1623" w:type="dxa"/>
        </w:trPr>
        <w:tc>
          <w:tcPr>
            <w:tcW w:w="3474" w:type="dxa"/>
            <w:gridSpan w:val="14"/>
            <w:tcBorders>
              <w:top w:val="single" w:sz="6" w:space="0" w:color="auto"/>
              <w:left w:val="single" w:sz="6" w:space="0" w:color="auto"/>
              <w:bottom w:val="single" w:sz="6" w:space="0" w:color="auto"/>
              <w:right w:val="single" w:sz="6" w:space="0" w:color="auto"/>
            </w:tcBorders>
            <w:shd w:val="clear" w:color="auto" w:fill="FFFF00"/>
          </w:tcPr>
          <w:p w:rsidR="005F7B0F" w:rsidRPr="005F7B0F" w:rsidRDefault="005F7B0F" w:rsidP="009D2F55">
            <w:pPr>
              <w:jc w:val="center"/>
              <w:rPr>
                <w:rFonts w:asciiTheme="minorHAnsi" w:hAnsiTheme="minorHAnsi" w:cstheme="minorHAnsi"/>
                <w:b/>
                <w:sz w:val="18"/>
                <w:szCs w:val="18"/>
              </w:rPr>
            </w:pPr>
            <w:r w:rsidRPr="005F7B0F">
              <w:rPr>
                <w:rFonts w:asciiTheme="minorHAnsi" w:hAnsiTheme="minorHAnsi" w:cstheme="minorHAnsi"/>
                <w:b/>
                <w:sz w:val="18"/>
                <w:szCs w:val="18"/>
              </w:rPr>
              <w:t>Rozpočet upravený v tis. Kč</w:t>
            </w:r>
          </w:p>
        </w:tc>
        <w:tc>
          <w:tcPr>
            <w:tcW w:w="2835" w:type="dxa"/>
            <w:gridSpan w:val="15"/>
            <w:tcBorders>
              <w:top w:val="single" w:sz="6" w:space="0" w:color="auto"/>
              <w:left w:val="single" w:sz="6" w:space="0" w:color="auto"/>
              <w:bottom w:val="single" w:sz="6" w:space="0" w:color="auto"/>
              <w:right w:val="single" w:sz="6" w:space="0" w:color="auto"/>
            </w:tcBorders>
            <w:shd w:val="clear" w:color="auto" w:fill="FFFF00"/>
          </w:tcPr>
          <w:p w:rsidR="005F7B0F" w:rsidRPr="005F7B0F" w:rsidRDefault="005F7B0F" w:rsidP="009D2F55">
            <w:pPr>
              <w:jc w:val="center"/>
              <w:rPr>
                <w:rFonts w:asciiTheme="minorHAnsi" w:hAnsiTheme="minorHAnsi" w:cstheme="minorHAnsi"/>
                <w:b/>
                <w:sz w:val="18"/>
                <w:szCs w:val="18"/>
              </w:rPr>
            </w:pPr>
            <w:r w:rsidRPr="005F7B0F">
              <w:rPr>
                <w:rFonts w:asciiTheme="minorHAnsi" w:hAnsiTheme="minorHAnsi" w:cstheme="minorHAnsi"/>
                <w:b/>
                <w:sz w:val="18"/>
                <w:szCs w:val="18"/>
              </w:rPr>
              <w:t>Skutečnost v tis. Kč</w:t>
            </w:r>
          </w:p>
        </w:tc>
        <w:tc>
          <w:tcPr>
            <w:tcW w:w="1134" w:type="dxa"/>
            <w:gridSpan w:val="5"/>
            <w:tcBorders>
              <w:top w:val="single" w:sz="6" w:space="0" w:color="auto"/>
              <w:left w:val="single" w:sz="6" w:space="0" w:color="auto"/>
              <w:bottom w:val="single" w:sz="6" w:space="0" w:color="auto"/>
              <w:right w:val="single" w:sz="6" w:space="0" w:color="auto"/>
            </w:tcBorders>
            <w:shd w:val="clear" w:color="auto" w:fill="FFFF00"/>
          </w:tcPr>
          <w:p w:rsidR="005F7B0F" w:rsidRPr="005F7B0F" w:rsidRDefault="005F7B0F" w:rsidP="009D2F55">
            <w:pPr>
              <w:jc w:val="center"/>
              <w:rPr>
                <w:rFonts w:asciiTheme="minorHAnsi" w:hAnsiTheme="minorHAnsi" w:cstheme="minorHAnsi"/>
                <w:b/>
                <w:sz w:val="18"/>
                <w:szCs w:val="18"/>
              </w:rPr>
            </w:pPr>
            <w:r w:rsidRPr="005F7B0F">
              <w:rPr>
                <w:rFonts w:asciiTheme="minorHAnsi" w:hAnsiTheme="minorHAnsi" w:cstheme="minorHAnsi"/>
                <w:b/>
                <w:sz w:val="18"/>
                <w:szCs w:val="18"/>
              </w:rPr>
              <w:t>SK/RU v %</w:t>
            </w:r>
          </w:p>
        </w:tc>
        <w:tc>
          <w:tcPr>
            <w:tcW w:w="2480" w:type="dxa"/>
            <w:gridSpan w:val="10"/>
            <w:tcBorders>
              <w:top w:val="single" w:sz="6" w:space="0" w:color="auto"/>
              <w:left w:val="single" w:sz="6" w:space="0" w:color="auto"/>
              <w:bottom w:val="single" w:sz="6" w:space="0" w:color="auto"/>
              <w:right w:val="single" w:sz="6" w:space="0" w:color="auto"/>
            </w:tcBorders>
            <w:shd w:val="clear" w:color="auto" w:fill="FFFF00"/>
          </w:tcPr>
          <w:p w:rsidR="005F7B0F" w:rsidRPr="005F7B0F" w:rsidRDefault="005F7B0F" w:rsidP="009D2F55">
            <w:pPr>
              <w:jc w:val="center"/>
              <w:rPr>
                <w:rFonts w:asciiTheme="minorHAnsi" w:hAnsiTheme="minorHAnsi" w:cstheme="minorHAnsi"/>
                <w:b/>
                <w:sz w:val="18"/>
                <w:szCs w:val="18"/>
              </w:rPr>
            </w:pPr>
            <w:r w:rsidRPr="005F7B0F">
              <w:rPr>
                <w:rFonts w:asciiTheme="minorHAnsi" w:hAnsiTheme="minorHAnsi" w:cstheme="minorHAnsi"/>
                <w:b/>
                <w:sz w:val="18"/>
                <w:szCs w:val="18"/>
              </w:rPr>
              <w:t>Komentář</w:t>
            </w:r>
          </w:p>
        </w:tc>
      </w:tr>
      <w:tr w:rsidR="005F7B0F" w:rsidRPr="005F7B0F" w:rsidTr="005F7B0F">
        <w:trPr>
          <w:gridAfter w:val="3"/>
          <w:wAfter w:w="1623" w:type="dxa"/>
        </w:trPr>
        <w:tc>
          <w:tcPr>
            <w:tcW w:w="3474" w:type="dxa"/>
            <w:gridSpan w:val="14"/>
            <w:tcBorders>
              <w:top w:val="single" w:sz="6" w:space="0" w:color="auto"/>
              <w:left w:val="single" w:sz="6" w:space="0" w:color="auto"/>
              <w:bottom w:val="single" w:sz="6" w:space="0" w:color="auto"/>
              <w:right w:val="single" w:sz="6" w:space="0" w:color="auto"/>
            </w:tcBorders>
          </w:tcPr>
          <w:p w:rsidR="005F7B0F" w:rsidRPr="005F7B0F" w:rsidRDefault="00E101BC" w:rsidP="009D2F55">
            <w:pPr>
              <w:jc w:val="right"/>
              <w:rPr>
                <w:rFonts w:asciiTheme="minorHAnsi" w:hAnsiTheme="minorHAnsi" w:cstheme="minorHAnsi"/>
                <w:b/>
                <w:sz w:val="18"/>
                <w:szCs w:val="18"/>
              </w:rPr>
            </w:pPr>
            <w:r>
              <w:rPr>
                <w:rFonts w:asciiTheme="minorHAnsi" w:hAnsiTheme="minorHAnsi" w:cstheme="minorHAnsi"/>
                <w:b/>
                <w:sz w:val="18"/>
                <w:szCs w:val="18"/>
              </w:rPr>
              <w:t xml:space="preserve">27 </w:t>
            </w:r>
            <w:r w:rsidR="005F7B0F" w:rsidRPr="005F7B0F">
              <w:rPr>
                <w:rFonts w:asciiTheme="minorHAnsi" w:hAnsiTheme="minorHAnsi" w:cstheme="minorHAnsi"/>
                <w:b/>
                <w:sz w:val="18"/>
                <w:szCs w:val="18"/>
              </w:rPr>
              <w:t>619,44</w:t>
            </w:r>
          </w:p>
        </w:tc>
        <w:tc>
          <w:tcPr>
            <w:tcW w:w="2835" w:type="dxa"/>
            <w:gridSpan w:val="15"/>
            <w:tcBorders>
              <w:top w:val="single" w:sz="6" w:space="0" w:color="auto"/>
              <w:left w:val="single" w:sz="6" w:space="0" w:color="auto"/>
              <w:bottom w:val="single" w:sz="6" w:space="0" w:color="auto"/>
              <w:right w:val="single" w:sz="6" w:space="0" w:color="auto"/>
            </w:tcBorders>
          </w:tcPr>
          <w:p w:rsidR="005F7B0F" w:rsidRPr="005F7B0F" w:rsidRDefault="00E101BC" w:rsidP="009D2F55">
            <w:pPr>
              <w:jc w:val="right"/>
              <w:rPr>
                <w:rFonts w:asciiTheme="minorHAnsi" w:hAnsiTheme="minorHAnsi" w:cstheme="minorHAnsi"/>
                <w:b/>
                <w:sz w:val="18"/>
                <w:szCs w:val="18"/>
              </w:rPr>
            </w:pPr>
            <w:r>
              <w:rPr>
                <w:rFonts w:asciiTheme="minorHAnsi" w:hAnsiTheme="minorHAnsi" w:cstheme="minorHAnsi"/>
                <w:b/>
                <w:sz w:val="18"/>
                <w:szCs w:val="18"/>
              </w:rPr>
              <w:t xml:space="preserve">35 </w:t>
            </w:r>
            <w:r w:rsidR="005F7B0F" w:rsidRPr="005F7B0F">
              <w:rPr>
                <w:rFonts w:asciiTheme="minorHAnsi" w:hAnsiTheme="minorHAnsi" w:cstheme="minorHAnsi"/>
                <w:b/>
                <w:sz w:val="18"/>
                <w:szCs w:val="18"/>
              </w:rPr>
              <w:t>287,14</w:t>
            </w:r>
          </w:p>
        </w:tc>
        <w:tc>
          <w:tcPr>
            <w:tcW w:w="1134" w:type="dxa"/>
            <w:gridSpan w:val="5"/>
            <w:tcBorders>
              <w:top w:val="single" w:sz="6" w:space="0" w:color="auto"/>
              <w:left w:val="single" w:sz="6" w:space="0" w:color="auto"/>
              <w:bottom w:val="single" w:sz="6" w:space="0" w:color="auto"/>
              <w:right w:val="single" w:sz="6" w:space="0" w:color="auto"/>
            </w:tcBorders>
          </w:tcPr>
          <w:p w:rsidR="005F7B0F" w:rsidRPr="005F7B0F" w:rsidRDefault="005F7B0F" w:rsidP="005F7B0F">
            <w:pPr>
              <w:jc w:val="center"/>
              <w:rPr>
                <w:rFonts w:asciiTheme="minorHAnsi" w:hAnsiTheme="minorHAnsi" w:cstheme="minorHAnsi"/>
                <w:b/>
                <w:sz w:val="18"/>
                <w:szCs w:val="18"/>
              </w:rPr>
            </w:pPr>
            <w:r w:rsidRPr="005F7B0F">
              <w:rPr>
                <w:rFonts w:asciiTheme="minorHAnsi" w:hAnsiTheme="minorHAnsi" w:cstheme="minorHAnsi"/>
                <w:b/>
                <w:sz w:val="18"/>
                <w:szCs w:val="18"/>
              </w:rPr>
              <w:t>127,76</w:t>
            </w:r>
          </w:p>
        </w:tc>
        <w:tc>
          <w:tcPr>
            <w:tcW w:w="2480" w:type="dxa"/>
            <w:gridSpan w:val="10"/>
            <w:tcBorders>
              <w:top w:val="single" w:sz="6" w:space="0" w:color="auto"/>
              <w:left w:val="single" w:sz="6" w:space="0" w:color="auto"/>
              <w:bottom w:val="single" w:sz="6" w:space="0" w:color="auto"/>
              <w:right w:val="single" w:sz="6" w:space="0" w:color="auto"/>
            </w:tcBorders>
          </w:tcPr>
          <w:p w:rsidR="005F7B0F" w:rsidRPr="005F7B0F" w:rsidRDefault="005F7B0F" w:rsidP="009D2F55">
            <w:pPr>
              <w:rPr>
                <w:rFonts w:asciiTheme="minorHAnsi" w:hAnsiTheme="minorHAnsi" w:cstheme="minorHAnsi"/>
                <w:b/>
                <w:sz w:val="18"/>
                <w:szCs w:val="18"/>
              </w:rPr>
            </w:pPr>
            <w:r w:rsidRPr="005F7B0F">
              <w:rPr>
                <w:rFonts w:asciiTheme="minorHAnsi" w:hAnsiTheme="minorHAnsi" w:cstheme="minorHAnsi"/>
                <w:b/>
                <w:sz w:val="18"/>
                <w:szCs w:val="18"/>
              </w:rPr>
              <w:t>Příjmy před konsolidací</w:t>
            </w:r>
          </w:p>
        </w:tc>
      </w:tr>
      <w:tr w:rsidR="005F7B0F" w:rsidRPr="005F7B0F" w:rsidTr="005F7B0F">
        <w:trPr>
          <w:gridAfter w:val="3"/>
          <w:wAfter w:w="1623" w:type="dxa"/>
        </w:trPr>
        <w:tc>
          <w:tcPr>
            <w:tcW w:w="3474" w:type="dxa"/>
            <w:gridSpan w:val="14"/>
            <w:tcBorders>
              <w:top w:val="single" w:sz="6" w:space="0" w:color="auto"/>
              <w:left w:val="single" w:sz="6" w:space="0" w:color="auto"/>
              <w:bottom w:val="single" w:sz="6" w:space="0" w:color="auto"/>
              <w:right w:val="single" w:sz="6" w:space="0" w:color="auto"/>
            </w:tcBorders>
          </w:tcPr>
          <w:p w:rsidR="005F7B0F" w:rsidRPr="005F7B0F" w:rsidRDefault="00E101BC" w:rsidP="009D2F55">
            <w:pPr>
              <w:jc w:val="right"/>
              <w:rPr>
                <w:rFonts w:asciiTheme="minorHAnsi" w:hAnsiTheme="minorHAnsi" w:cstheme="minorHAnsi"/>
                <w:b/>
                <w:sz w:val="18"/>
                <w:szCs w:val="18"/>
              </w:rPr>
            </w:pPr>
            <w:r>
              <w:rPr>
                <w:rFonts w:asciiTheme="minorHAnsi" w:hAnsiTheme="minorHAnsi" w:cstheme="minorHAnsi"/>
                <w:b/>
                <w:sz w:val="18"/>
                <w:szCs w:val="18"/>
              </w:rPr>
              <w:t xml:space="preserve">27 </w:t>
            </w:r>
            <w:r w:rsidR="005F7B0F" w:rsidRPr="005F7B0F">
              <w:rPr>
                <w:rFonts w:asciiTheme="minorHAnsi" w:hAnsiTheme="minorHAnsi" w:cstheme="minorHAnsi"/>
                <w:b/>
                <w:sz w:val="18"/>
                <w:szCs w:val="18"/>
              </w:rPr>
              <w:t>619,44</w:t>
            </w:r>
          </w:p>
        </w:tc>
        <w:tc>
          <w:tcPr>
            <w:tcW w:w="2835" w:type="dxa"/>
            <w:gridSpan w:val="15"/>
            <w:tcBorders>
              <w:top w:val="single" w:sz="6" w:space="0" w:color="auto"/>
              <w:left w:val="single" w:sz="6" w:space="0" w:color="auto"/>
              <w:bottom w:val="single" w:sz="6" w:space="0" w:color="auto"/>
              <w:right w:val="single" w:sz="6" w:space="0" w:color="auto"/>
            </w:tcBorders>
          </w:tcPr>
          <w:p w:rsidR="005F7B0F" w:rsidRPr="005F7B0F" w:rsidRDefault="00E101BC" w:rsidP="009D2F55">
            <w:pPr>
              <w:jc w:val="right"/>
              <w:rPr>
                <w:rFonts w:asciiTheme="minorHAnsi" w:hAnsiTheme="minorHAnsi" w:cstheme="minorHAnsi"/>
                <w:b/>
                <w:sz w:val="18"/>
                <w:szCs w:val="18"/>
              </w:rPr>
            </w:pPr>
            <w:r>
              <w:rPr>
                <w:rFonts w:asciiTheme="minorHAnsi" w:hAnsiTheme="minorHAnsi" w:cstheme="minorHAnsi"/>
                <w:b/>
                <w:sz w:val="18"/>
                <w:szCs w:val="18"/>
              </w:rPr>
              <w:t xml:space="preserve">35 </w:t>
            </w:r>
            <w:r w:rsidR="005F7B0F" w:rsidRPr="005F7B0F">
              <w:rPr>
                <w:rFonts w:asciiTheme="minorHAnsi" w:hAnsiTheme="minorHAnsi" w:cstheme="minorHAnsi"/>
                <w:b/>
                <w:sz w:val="18"/>
                <w:szCs w:val="18"/>
              </w:rPr>
              <w:t>287,14</w:t>
            </w:r>
          </w:p>
        </w:tc>
        <w:tc>
          <w:tcPr>
            <w:tcW w:w="1134" w:type="dxa"/>
            <w:gridSpan w:val="5"/>
            <w:tcBorders>
              <w:top w:val="single" w:sz="6" w:space="0" w:color="auto"/>
              <w:left w:val="single" w:sz="6" w:space="0" w:color="auto"/>
              <w:bottom w:val="single" w:sz="6" w:space="0" w:color="auto"/>
              <w:right w:val="single" w:sz="6" w:space="0" w:color="auto"/>
            </w:tcBorders>
          </w:tcPr>
          <w:p w:rsidR="005F7B0F" w:rsidRPr="005F7B0F" w:rsidRDefault="005F7B0F" w:rsidP="005F7B0F">
            <w:pPr>
              <w:jc w:val="center"/>
              <w:rPr>
                <w:rFonts w:asciiTheme="minorHAnsi" w:hAnsiTheme="minorHAnsi" w:cstheme="minorHAnsi"/>
                <w:b/>
                <w:sz w:val="18"/>
                <w:szCs w:val="18"/>
              </w:rPr>
            </w:pPr>
            <w:r w:rsidRPr="005F7B0F">
              <w:rPr>
                <w:rFonts w:asciiTheme="minorHAnsi" w:hAnsiTheme="minorHAnsi" w:cstheme="minorHAnsi"/>
                <w:b/>
                <w:sz w:val="18"/>
                <w:szCs w:val="18"/>
              </w:rPr>
              <w:t>127,76</w:t>
            </w:r>
          </w:p>
        </w:tc>
        <w:tc>
          <w:tcPr>
            <w:tcW w:w="2480" w:type="dxa"/>
            <w:gridSpan w:val="10"/>
            <w:tcBorders>
              <w:top w:val="single" w:sz="6" w:space="0" w:color="auto"/>
              <w:left w:val="single" w:sz="6" w:space="0" w:color="auto"/>
              <w:bottom w:val="single" w:sz="6" w:space="0" w:color="auto"/>
              <w:right w:val="single" w:sz="6" w:space="0" w:color="auto"/>
            </w:tcBorders>
          </w:tcPr>
          <w:p w:rsidR="005F7B0F" w:rsidRPr="005F7B0F" w:rsidRDefault="005F7B0F" w:rsidP="009D2F55">
            <w:pPr>
              <w:rPr>
                <w:rFonts w:asciiTheme="minorHAnsi" w:hAnsiTheme="minorHAnsi" w:cstheme="minorHAnsi"/>
                <w:b/>
                <w:sz w:val="18"/>
                <w:szCs w:val="18"/>
              </w:rPr>
            </w:pPr>
            <w:r w:rsidRPr="005F7B0F">
              <w:rPr>
                <w:rFonts w:asciiTheme="minorHAnsi" w:hAnsiTheme="minorHAnsi" w:cstheme="minorHAnsi"/>
                <w:b/>
                <w:sz w:val="18"/>
                <w:szCs w:val="18"/>
              </w:rPr>
              <w:t>Příjmy po konsolidaci</w:t>
            </w:r>
          </w:p>
        </w:tc>
      </w:tr>
      <w:tr w:rsidR="005F7B0F" w:rsidRPr="005F7B0F" w:rsidTr="005F7B0F">
        <w:tc>
          <w:tcPr>
            <w:tcW w:w="460" w:type="dxa"/>
          </w:tcPr>
          <w:p w:rsidR="005F7B0F" w:rsidRPr="005F7B0F" w:rsidRDefault="005F7B0F" w:rsidP="009D2F55">
            <w:pPr>
              <w:rPr>
                <w:rFonts w:asciiTheme="minorHAnsi" w:hAnsiTheme="minorHAnsi" w:cstheme="minorHAnsi"/>
                <w:b/>
                <w:sz w:val="20"/>
                <w:szCs w:val="20"/>
              </w:rPr>
            </w:pPr>
          </w:p>
        </w:tc>
        <w:tc>
          <w:tcPr>
            <w:tcW w:w="392" w:type="dxa"/>
          </w:tcPr>
          <w:p w:rsidR="005F7B0F" w:rsidRPr="005F7B0F" w:rsidRDefault="005F7B0F" w:rsidP="009D2F55">
            <w:pPr>
              <w:rPr>
                <w:rFonts w:asciiTheme="minorHAnsi" w:hAnsiTheme="minorHAnsi" w:cstheme="minorHAnsi"/>
                <w:b/>
                <w:sz w:val="20"/>
                <w:szCs w:val="20"/>
              </w:rPr>
            </w:pPr>
          </w:p>
        </w:tc>
        <w:tc>
          <w:tcPr>
            <w:tcW w:w="528" w:type="dxa"/>
          </w:tcPr>
          <w:p w:rsidR="005F7B0F" w:rsidRPr="005F7B0F" w:rsidRDefault="005F7B0F" w:rsidP="009D2F55">
            <w:pPr>
              <w:rPr>
                <w:rFonts w:asciiTheme="minorHAnsi" w:hAnsiTheme="minorHAnsi" w:cstheme="minorHAnsi"/>
                <w:b/>
                <w:sz w:val="20"/>
                <w:szCs w:val="20"/>
              </w:rPr>
            </w:pPr>
          </w:p>
        </w:tc>
        <w:tc>
          <w:tcPr>
            <w:tcW w:w="391" w:type="dxa"/>
            <w:gridSpan w:val="3"/>
          </w:tcPr>
          <w:p w:rsidR="005F7B0F" w:rsidRPr="005F7B0F" w:rsidRDefault="005F7B0F" w:rsidP="009D2F55">
            <w:pPr>
              <w:rPr>
                <w:rFonts w:asciiTheme="minorHAnsi" w:hAnsiTheme="minorHAnsi" w:cstheme="minorHAnsi"/>
                <w:b/>
                <w:sz w:val="20"/>
                <w:szCs w:val="20"/>
              </w:rPr>
            </w:pPr>
          </w:p>
        </w:tc>
        <w:tc>
          <w:tcPr>
            <w:tcW w:w="529" w:type="dxa"/>
            <w:gridSpan w:val="2"/>
          </w:tcPr>
          <w:p w:rsidR="005F7B0F" w:rsidRPr="005F7B0F" w:rsidRDefault="005F7B0F" w:rsidP="009D2F55">
            <w:pPr>
              <w:rPr>
                <w:rFonts w:asciiTheme="minorHAnsi" w:hAnsiTheme="minorHAnsi" w:cstheme="minorHAnsi"/>
                <w:b/>
                <w:sz w:val="20"/>
                <w:szCs w:val="20"/>
              </w:rPr>
            </w:pPr>
          </w:p>
        </w:tc>
        <w:tc>
          <w:tcPr>
            <w:tcW w:w="460" w:type="dxa"/>
            <w:gridSpan w:val="2"/>
          </w:tcPr>
          <w:p w:rsidR="005F7B0F" w:rsidRPr="005F7B0F" w:rsidRDefault="005F7B0F" w:rsidP="009D2F55">
            <w:pPr>
              <w:rPr>
                <w:rFonts w:asciiTheme="minorHAnsi" w:hAnsiTheme="minorHAnsi" w:cstheme="minorHAnsi"/>
                <w:b/>
                <w:sz w:val="20"/>
                <w:szCs w:val="20"/>
              </w:rPr>
            </w:pPr>
          </w:p>
        </w:tc>
        <w:tc>
          <w:tcPr>
            <w:tcW w:w="460" w:type="dxa"/>
            <w:gridSpan w:val="2"/>
          </w:tcPr>
          <w:p w:rsidR="005F7B0F" w:rsidRPr="005F7B0F" w:rsidRDefault="005F7B0F" w:rsidP="009D2F55">
            <w:pPr>
              <w:rPr>
                <w:rFonts w:asciiTheme="minorHAnsi" w:hAnsiTheme="minorHAnsi" w:cstheme="minorHAnsi"/>
                <w:b/>
                <w:sz w:val="20"/>
                <w:szCs w:val="20"/>
              </w:rPr>
            </w:pPr>
          </w:p>
        </w:tc>
        <w:tc>
          <w:tcPr>
            <w:tcW w:w="460" w:type="dxa"/>
            <w:gridSpan w:val="3"/>
          </w:tcPr>
          <w:p w:rsidR="005F7B0F" w:rsidRPr="005F7B0F" w:rsidRDefault="005F7B0F" w:rsidP="009D2F55">
            <w:pPr>
              <w:rPr>
                <w:rFonts w:asciiTheme="minorHAnsi" w:hAnsiTheme="minorHAnsi" w:cstheme="minorHAnsi"/>
                <w:b/>
                <w:sz w:val="20"/>
                <w:szCs w:val="20"/>
              </w:rPr>
            </w:pPr>
          </w:p>
        </w:tc>
        <w:tc>
          <w:tcPr>
            <w:tcW w:w="460" w:type="dxa"/>
            <w:gridSpan w:val="3"/>
          </w:tcPr>
          <w:p w:rsidR="005F7B0F" w:rsidRPr="005F7B0F" w:rsidRDefault="005F7B0F" w:rsidP="009D2F55">
            <w:pPr>
              <w:rPr>
                <w:rFonts w:asciiTheme="minorHAnsi" w:hAnsiTheme="minorHAnsi" w:cstheme="minorHAnsi"/>
                <w:b/>
                <w:sz w:val="20"/>
                <w:szCs w:val="20"/>
              </w:rPr>
            </w:pPr>
          </w:p>
        </w:tc>
        <w:tc>
          <w:tcPr>
            <w:tcW w:w="397" w:type="dxa"/>
            <w:gridSpan w:val="2"/>
          </w:tcPr>
          <w:p w:rsidR="005F7B0F" w:rsidRPr="005F7B0F" w:rsidRDefault="005F7B0F" w:rsidP="009D2F55">
            <w:pPr>
              <w:rPr>
                <w:rFonts w:asciiTheme="minorHAnsi" w:hAnsiTheme="minorHAnsi" w:cstheme="minorHAnsi"/>
                <w:b/>
                <w:sz w:val="20"/>
                <w:szCs w:val="20"/>
              </w:rPr>
            </w:pPr>
          </w:p>
        </w:tc>
        <w:tc>
          <w:tcPr>
            <w:tcW w:w="523" w:type="dxa"/>
            <w:gridSpan w:val="3"/>
          </w:tcPr>
          <w:p w:rsidR="005F7B0F" w:rsidRPr="005F7B0F" w:rsidRDefault="005F7B0F" w:rsidP="009D2F55">
            <w:pPr>
              <w:rPr>
                <w:rFonts w:asciiTheme="minorHAnsi" w:hAnsiTheme="minorHAnsi" w:cstheme="minorHAnsi"/>
                <w:b/>
                <w:sz w:val="20"/>
                <w:szCs w:val="20"/>
              </w:rPr>
            </w:pPr>
          </w:p>
        </w:tc>
        <w:tc>
          <w:tcPr>
            <w:tcW w:w="2383" w:type="dxa"/>
            <w:gridSpan w:val="11"/>
          </w:tcPr>
          <w:p w:rsidR="005F7B0F" w:rsidRPr="005F7B0F" w:rsidRDefault="005F7B0F" w:rsidP="009D2F55">
            <w:pPr>
              <w:rPr>
                <w:rFonts w:asciiTheme="minorHAnsi" w:hAnsiTheme="minorHAnsi" w:cstheme="minorHAnsi"/>
                <w:b/>
                <w:sz w:val="20"/>
                <w:szCs w:val="20"/>
              </w:rPr>
            </w:pPr>
          </w:p>
        </w:tc>
        <w:tc>
          <w:tcPr>
            <w:tcW w:w="160" w:type="dxa"/>
          </w:tcPr>
          <w:p w:rsidR="005F7B0F" w:rsidRPr="005F7B0F" w:rsidRDefault="005F7B0F" w:rsidP="009D2F55">
            <w:pPr>
              <w:rPr>
                <w:rFonts w:asciiTheme="minorHAnsi" w:hAnsiTheme="minorHAnsi" w:cstheme="minorHAnsi"/>
                <w:b/>
                <w:sz w:val="20"/>
                <w:szCs w:val="20"/>
              </w:rPr>
            </w:pPr>
          </w:p>
        </w:tc>
        <w:tc>
          <w:tcPr>
            <w:tcW w:w="460" w:type="dxa"/>
            <w:gridSpan w:val="2"/>
          </w:tcPr>
          <w:p w:rsidR="005F7B0F" w:rsidRPr="005F7B0F" w:rsidRDefault="005F7B0F" w:rsidP="009D2F55">
            <w:pPr>
              <w:rPr>
                <w:rFonts w:asciiTheme="minorHAnsi" w:hAnsiTheme="minorHAnsi" w:cstheme="minorHAnsi"/>
                <w:b/>
                <w:sz w:val="20"/>
                <w:szCs w:val="20"/>
              </w:rPr>
            </w:pPr>
          </w:p>
        </w:tc>
        <w:tc>
          <w:tcPr>
            <w:tcW w:w="460" w:type="dxa"/>
            <w:gridSpan w:val="2"/>
          </w:tcPr>
          <w:p w:rsidR="005F7B0F" w:rsidRPr="005F7B0F" w:rsidRDefault="005F7B0F" w:rsidP="009D2F55">
            <w:pPr>
              <w:rPr>
                <w:rFonts w:asciiTheme="minorHAnsi" w:hAnsiTheme="minorHAnsi" w:cstheme="minorHAnsi"/>
                <w:b/>
                <w:sz w:val="20"/>
                <w:szCs w:val="20"/>
              </w:rPr>
            </w:pPr>
          </w:p>
        </w:tc>
        <w:tc>
          <w:tcPr>
            <w:tcW w:w="460" w:type="dxa"/>
            <w:gridSpan w:val="2"/>
          </w:tcPr>
          <w:p w:rsidR="005F7B0F" w:rsidRPr="005F7B0F" w:rsidRDefault="005F7B0F" w:rsidP="009D2F55">
            <w:pPr>
              <w:rPr>
                <w:rFonts w:asciiTheme="minorHAnsi" w:hAnsiTheme="minorHAnsi" w:cstheme="minorHAnsi"/>
                <w:b/>
                <w:sz w:val="20"/>
                <w:szCs w:val="20"/>
              </w:rPr>
            </w:pPr>
          </w:p>
        </w:tc>
        <w:tc>
          <w:tcPr>
            <w:tcW w:w="460" w:type="dxa"/>
          </w:tcPr>
          <w:p w:rsidR="005F7B0F" w:rsidRPr="005F7B0F" w:rsidRDefault="005F7B0F" w:rsidP="009D2F55">
            <w:pPr>
              <w:rPr>
                <w:rFonts w:asciiTheme="minorHAnsi" w:hAnsiTheme="minorHAnsi" w:cstheme="minorHAnsi"/>
                <w:b/>
                <w:sz w:val="20"/>
                <w:szCs w:val="20"/>
              </w:rPr>
            </w:pPr>
          </w:p>
        </w:tc>
        <w:tc>
          <w:tcPr>
            <w:tcW w:w="460" w:type="dxa"/>
          </w:tcPr>
          <w:p w:rsidR="005F7B0F" w:rsidRPr="005F7B0F" w:rsidRDefault="005F7B0F" w:rsidP="009D2F55">
            <w:pPr>
              <w:rPr>
                <w:rFonts w:asciiTheme="minorHAnsi" w:hAnsiTheme="minorHAnsi" w:cstheme="minorHAnsi"/>
                <w:b/>
                <w:sz w:val="20"/>
                <w:szCs w:val="20"/>
              </w:rPr>
            </w:pPr>
          </w:p>
        </w:tc>
        <w:tc>
          <w:tcPr>
            <w:tcW w:w="460" w:type="dxa"/>
            <w:gridSpan w:val="3"/>
          </w:tcPr>
          <w:p w:rsidR="005F7B0F" w:rsidRPr="005F7B0F" w:rsidRDefault="005F7B0F" w:rsidP="009D2F55">
            <w:pPr>
              <w:rPr>
                <w:rFonts w:asciiTheme="minorHAnsi" w:hAnsiTheme="minorHAnsi" w:cstheme="minorHAnsi"/>
                <w:b/>
                <w:sz w:val="20"/>
                <w:szCs w:val="20"/>
              </w:rPr>
            </w:pPr>
          </w:p>
        </w:tc>
        <w:tc>
          <w:tcPr>
            <w:tcW w:w="1183" w:type="dxa"/>
          </w:tcPr>
          <w:p w:rsidR="005F7B0F" w:rsidRPr="005F7B0F" w:rsidRDefault="005F7B0F" w:rsidP="009D2F55">
            <w:pPr>
              <w:rPr>
                <w:rFonts w:asciiTheme="minorHAnsi" w:hAnsiTheme="minorHAnsi" w:cstheme="minorHAnsi"/>
                <w:b/>
                <w:sz w:val="20"/>
                <w:szCs w:val="20"/>
              </w:rPr>
            </w:pPr>
          </w:p>
        </w:tc>
      </w:tr>
      <w:tr w:rsidR="005F7B0F" w:rsidRPr="005F7B0F" w:rsidTr="005F7B0F">
        <w:trPr>
          <w:gridAfter w:val="3"/>
          <w:wAfter w:w="1623" w:type="dxa"/>
        </w:trPr>
        <w:tc>
          <w:tcPr>
            <w:tcW w:w="9923" w:type="dxa"/>
            <w:gridSpan w:val="44"/>
          </w:tcPr>
          <w:p w:rsidR="005F7B0F" w:rsidRPr="005F7B0F" w:rsidRDefault="005F7B0F" w:rsidP="009D2F55">
            <w:pPr>
              <w:rPr>
                <w:rFonts w:asciiTheme="minorHAnsi" w:hAnsiTheme="minorHAnsi" w:cstheme="minorHAnsi"/>
                <w:b/>
                <w:sz w:val="20"/>
                <w:szCs w:val="20"/>
              </w:rPr>
            </w:pPr>
            <w:r w:rsidRPr="005F7B0F">
              <w:rPr>
                <w:rFonts w:asciiTheme="minorHAnsi" w:hAnsiTheme="minorHAnsi" w:cstheme="minorHAnsi"/>
                <w:b/>
                <w:sz w:val="20"/>
                <w:szCs w:val="20"/>
              </w:rPr>
              <w:t>Stručný komentář k celkovému vývoji plnění příjmů kapitoly ve sledovaném období</w:t>
            </w:r>
          </w:p>
        </w:tc>
      </w:tr>
      <w:tr w:rsidR="005F7B0F" w:rsidRPr="005F7B0F" w:rsidTr="005F7B0F">
        <w:trPr>
          <w:gridAfter w:val="3"/>
          <w:wAfter w:w="1623" w:type="dxa"/>
        </w:trPr>
        <w:tc>
          <w:tcPr>
            <w:tcW w:w="9923" w:type="dxa"/>
            <w:gridSpan w:val="44"/>
            <w:tcBorders>
              <w:top w:val="single" w:sz="6" w:space="0" w:color="auto"/>
              <w:left w:val="single" w:sz="6" w:space="0" w:color="auto"/>
              <w:bottom w:val="single" w:sz="6" w:space="0" w:color="auto"/>
              <w:right w:val="single" w:sz="6" w:space="0" w:color="auto"/>
            </w:tcBorders>
          </w:tcPr>
          <w:p w:rsidR="005F7B0F" w:rsidRPr="005F7B0F" w:rsidRDefault="005F7B0F" w:rsidP="009D2F55">
            <w:pPr>
              <w:jc w:val="both"/>
              <w:rPr>
                <w:rFonts w:asciiTheme="minorHAnsi" w:hAnsiTheme="minorHAnsi" w:cstheme="minorHAnsi"/>
                <w:sz w:val="18"/>
                <w:szCs w:val="18"/>
              </w:rPr>
            </w:pPr>
            <w:r w:rsidRPr="005F7B0F">
              <w:rPr>
                <w:rFonts w:asciiTheme="minorHAnsi" w:hAnsiTheme="minorHAnsi" w:cstheme="minorHAnsi"/>
                <w:sz w:val="18"/>
                <w:szCs w:val="18"/>
              </w:rPr>
              <w:t>Příjmy kapitoly 20 – školství, kultury a sportu byly k  31. 12. 2022 plněny na 127,76%. Byly tvořeny finančními prostředky vrácenými příspěvkovými organizacemi za rok 2022, částečně vrácenými poskytnutými neinvestičními dotacemi a) Operačního programu  - Výzkum, vývoj a vzdělávání – projekt využívající zjednodušené vykazování nákladů, tzv. „Šablony“, b) v oblasti kultury a vzdělávání. Dále poskytnutými neinvestičními dotacemi z Ministerstva školství, mládeže a tělovýchovy ČR pro mateřské a základní školy na realizaci projektu v rámci Operačního programu  - Výzkum, vývoj a vzdělávání – projekt využívající zjednodušené vykazování nákladů, tzv. „Šablony“, neinvestiční dotací z Krajského úřadu Ol. kraje pro Sportcentrum DDM Prostějov – částečně bylo vráceno, Městskou knihovnu Prostějov, PO na výkon regionálních funkcí, z Ministerstva kultury ČR pro Městskou knihovnu Prostějov, PO na projekt „Veřejné informační služby knihoven“. Odvodem finančních prostředků příspěvkovými organizacemi zřízenými městem Prostějovem na základě závěrů hospodaření za rok 2022 a z fondů investic ze svěřeného nemovitého majetku dle novelizovaných právních předpisů. Mateřská škola Prostějov, ul. Šárka 4a vrátila část poskytnutých finančních prostředků zřizovateli v souvislosti s budováním přírodních zahrad, budou se realizovat tři zahrady, původní plán byl čtyři. Do příjmů kapitoly 20 byly omylem zaúčtování příjmy z prodeje zboží, které patří do kapitoly 19 Duha KK u Hradeb. Sportcentrum DDM Prostějov vracelo část nevyčerpaného neinvestičního příspěvku za předchozí období v souvislosti s předaným provozem zimního stadionu.</w:t>
            </w:r>
          </w:p>
        </w:tc>
      </w:tr>
      <w:tr w:rsidR="005F7B0F" w:rsidRPr="005F7B0F" w:rsidTr="005F7B0F">
        <w:tc>
          <w:tcPr>
            <w:tcW w:w="460" w:type="dxa"/>
          </w:tcPr>
          <w:p w:rsidR="005F7B0F" w:rsidRPr="005F7B0F" w:rsidRDefault="005F7B0F" w:rsidP="009D2F55">
            <w:pPr>
              <w:rPr>
                <w:rFonts w:asciiTheme="minorHAnsi" w:hAnsiTheme="minorHAnsi" w:cstheme="minorHAnsi"/>
                <w:b/>
                <w:sz w:val="20"/>
                <w:szCs w:val="20"/>
              </w:rPr>
            </w:pPr>
          </w:p>
        </w:tc>
        <w:tc>
          <w:tcPr>
            <w:tcW w:w="392" w:type="dxa"/>
          </w:tcPr>
          <w:p w:rsidR="005F7B0F" w:rsidRPr="005F7B0F" w:rsidRDefault="005F7B0F" w:rsidP="009D2F55">
            <w:pPr>
              <w:rPr>
                <w:rFonts w:asciiTheme="minorHAnsi" w:hAnsiTheme="minorHAnsi" w:cstheme="minorHAnsi"/>
                <w:b/>
                <w:sz w:val="20"/>
                <w:szCs w:val="20"/>
              </w:rPr>
            </w:pPr>
          </w:p>
        </w:tc>
        <w:tc>
          <w:tcPr>
            <w:tcW w:w="528" w:type="dxa"/>
          </w:tcPr>
          <w:p w:rsidR="005F7B0F" w:rsidRPr="005F7B0F" w:rsidRDefault="005F7B0F" w:rsidP="009D2F55">
            <w:pPr>
              <w:rPr>
                <w:rFonts w:asciiTheme="minorHAnsi" w:hAnsiTheme="minorHAnsi" w:cstheme="minorHAnsi"/>
                <w:b/>
                <w:sz w:val="20"/>
                <w:szCs w:val="20"/>
              </w:rPr>
            </w:pPr>
          </w:p>
        </w:tc>
        <w:tc>
          <w:tcPr>
            <w:tcW w:w="460" w:type="dxa"/>
            <w:gridSpan w:val="4"/>
          </w:tcPr>
          <w:p w:rsidR="005F7B0F" w:rsidRPr="005F7B0F" w:rsidRDefault="005F7B0F" w:rsidP="009D2F55">
            <w:pPr>
              <w:rPr>
                <w:rFonts w:asciiTheme="minorHAnsi" w:hAnsiTheme="minorHAnsi" w:cstheme="minorHAnsi"/>
                <w:b/>
                <w:sz w:val="20"/>
                <w:szCs w:val="20"/>
              </w:rPr>
            </w:pPr>
          </w:p>
        </w:tc>
        <w:tc>
          <w:tcPr>
            <w:tcW w:w="460" w:type="dxa"/>
          </w:tcPr>
          <w:p w:rsidR="005F7B0F" w:rsidRPr="005F7B0F" w:rsidRDefault="005F7B0F" w:rsidP="009D2F55">
            <w:pPr>
              <w:rPr>
                <w:rFonts w:asciiTheme="minorHAnsi" w:hAnsiTheme="minorHAnsi" w:cstheme="minorHAnsi"/>
                <w:b/>
                <w:sz w:val="20"/>
                <w:szCs w:val="20"/>
              </w:rPr>
            </w:pPr>
          </w:p>
        </w:tc>
        <w:tc>
          <w:tcPr>
            <w:tcW w:w="460" w:type="dxa"/>
            <w:gridSpan w:val="2"/>
          </w:tcPr>
          <w:p w:rsidR="005F7B0F" w:rsidRPr="005F7B0F" w:rsidRDefault="005F7B0F" w:rsidP="009D2F55">
            <w:pPr>
              <w:rPr>
                <w:rFonts w:asciiTheme="minorHAnsi" w:hAnsiTheme="minorHAnsi" w:cstheme="minorHAnsi"/>
                <w:b/>
                <w:sz w:val="20"/>
                <w:szCs w:val="20"/>
              </w:rPr>
            </w:pPr>
          </w:p>
        </w:tc>
        <w:tc>
          <w:tcPr>
            <w:tcW w:w="460" w:type="dxa"/>
            <w:gridSpan w:val="2"/>
          </w:tcPr>
          <w:p w:rsidR="005F7B0F" w:rsidRPr="005F7B0F" w:rsidRDefault="005F7B0F" w:rsidP="009D2F55">
            <w:pPr>
              <w:rPr>
                <w:rFonts w:asciiTheme="minorHAnsi" w:hAnsiTheme="minorHAnsi" w:cstheme="minorHAnsi"/>
                <w:b/>
                <w:sz w:val="20"/>
                <w:szCs w:val="20"/>
              </w:rPr>
            </w:pPr>
          </w:p>
        </w:tc>
        <w:tc>
          <w:tcPr>
            <w:tcW w:w="460" w:type="dxa"/>
            <w:gridSpan w:val="3"/>
          </w:tcPr>
          <w:p w:rsidR="005F7B0F" w:rsidRPr="005F7B0F" w:rsidRDefault="005F7B0F" w:rsidP="009D2F55">
            <w:pPr>
              <w:rPr>
                <w:rFonts w:asciiTheme="minorHAnsi" w:hAnsiTheme="minorHAnsi" w:cstheme="minorHAnsi"/>
                <w:b/>
                <w:sz w:val="20"/>
                <w:szCs w:val="20"/>
              </w:rPr>
            </w:pPr>
          </w:p>
        </w:tc>
        <w:tc>
          <w:tcPr>
            <w:tcW w:w="460" w:type="dxa"/>
            <w:gridSpan w:val="3"/>
          </w:tcPr>
          <w:p w:rsidR="005F7B0F" w:rsidRPr="005F7B0F" w:rsidRDefault="005F7B0F" w:rsidP="009D2F55">
            <w:pPr>
              <w:rPr>
                <w:rFonts w:asciiTheme="minorHAnsi" w:hAnsiTheme="minorHAnsi" w:cstheme="minorHAnsi"/>
                <w:b/>
                <w:sz w:val="20"/>
                <w:szCs w:val="20"/>
              </w:rPr>
            </w:pPr>
          </w:p>
        </w:tc>
        <w:tc>
          <w:tcPr>
            <w:tcW w:w="397" w:type="dxa"/>
            <w:gridSpan w:val="2"/>
          </w:tcPr>
          <w:p w:rsidR="005F7B0F" w:rsidRPr="005F7B0F" w:rsidRDefault="005F7B0F" w:rsidP="009D2F55">
            <w:pPr>
              <w:rPr>
                <w:rFonts w:asciiTheme="minorHAnsi" w:hAnsiTheme="minorHAnsi" w:cstheme="minorHAnsi"/>
                <w:b/>
                <w:sz w:val="20"/>
                <w:szCs w:val="20"/>
              </w:rPr>
            </w:pPr>
          </w:p>
        </w:tc>
        <w:tc>
          <w:tcPr>
            <w:tcW w:w="523" w:type="dxa"/>
            <w:gridSpan w:val="3"/>
          </w:tcPr>
          <w:p w:rsidR="005F7B0F" w:rsidRPr="005F7B0F" w:rsidRDefault="005F7B0F" w:rsidP="009D2F55">
            <w:pPr>
              <w:rPr>
                <w:rFonts w:asciiTheme="minorHAnsi" w:hAnsiTheme="minorHAnsi" w:cstheme="minorHAnsi"/>
                <w:b/>
                <w:sz w:val="20"/>
                <w:szCs w:val="20"/>
              </w:rPr>
            </w:pPr>
          </w:p>
        </w:tc>
        <w:tc>
          <w:tcPr>
            <w:tcW w:w="2383" w:type="dxa"/>
            <w:gridSpan w:val="11"/>
          </w:tcPr>
          <w:p w:rsidR="005F7B0F" w:rsidRPr="005F7B0F" w:rsidRDefault="005F7B0F" w:rsidP="009D2F55">
            <w:pPr>
              <w:rPr>
                <w:rFonts w:asciiTheme="minorHAnsi" w:hAnsiTheme="minorHAnsi" w:cstheme="minorHAnsi"/>
                <w:b/>
                <w:sz w:val="20"/>
                <w:szCs w:val="20"/>
              </w:rPr>
            </w:pPr>
          </w:p>
        </w:tc>
        <w:tc>
          <w:tcPr>
            <w:tcW w:w="160" w:type="dxa"/>
          </w:tcPr>
          <w:p w:rsidR="005F7B0F" w:rsidRPr="005F7B0F" w:rsidRDefault="005F7B0F" w:rsidP="009D2F55">
            <w:pPr>
              <w:rPr>
                <w:rFonts w:asciiTheme="minorHAnsi" w:hAnsiTheme="minorHAnsi" w:cstheme="minorHAnsi"/>
                <w:b/>
                <w:sz w:val="20"/>
                <w:szCs w:val="20"/>
              </w:rPr>
            </w:pPr>
          </w:p>
        </w:tc>
        <w:tc>
          <w:tcPr>
            <w:tcW w:w="460" w:type="dxa"/>
            <w:gridSpan w:val="2"/>
          </w:tcPr>
          <w:p w:rsidR="005F7B0F" w:rsidRPr="005F7B0F" w:rsidRDefault="005F7B0F" w:rsidP="009D2F55">
            <w:pPr>
              <w:rPr>
                <w:rFonts w:asciiTheme="minorHAnsi" w:hAnsiTheme="minorHAnsi" w:cstheme="minorHAnsi"/>
                <w:b/>
                <w:sz w:val="20"/>
                <w:szCs w:val="20"/>
              </w:rPr>
            </w:pPr>
          </w:p>
        </w:tc>
        <w:tc>
          <w:tcPr>
            <w:tcW w:w="460" w:type="dxa"/>
            <w:gridSpan w:val="2"/>
          </w:tcPr>
          <w:p w:rsidR="005F7B0F" w:rsidRPr="005F7B0F" w:rsidRDefault="005F7B0F" w:rsidP="009D2F55">
            <w:pPr>
              <w:rPr>
                <w:rFonts w:asciiTheme="minorHAnsi" w:hAnsiTheme="minorHAnsi" w:cstheme="minorHAnsi"/>
                <w:b/>
                <w:sz w:val="20"/>
                <w:szCs w:val="20"/>
              </w:rPr>
            </w:pPr>
          </w:p>
        </w:tc>
        <w:tc>
          <w:tcPr>
            <w:tcW w:w="460" w:type="dxa"/>
            <w:gridSpan w:val="2"/>
          </w:tcPr>
          <w:p w:rsidR="005F7B0F" w:rsidRPr="005F7B0F" w:rsidRDefault="005F7B0F" w:rsidP="009D2F55">
            <w:pPr>
              <w:rPr>
                <w:rFonts w:asciiTheme="minorHAnsi" w:hAnsiTheme="minorHAnsi" w:cstheme="minorHAnsi"/>
                <w:b/>
                <w:sz w:val="20"/>
                <w:szCs w:val="20"/>
              </w:rPr>
            </w:pPr>
          </w:p>
        </w:tc>
        <w:tc>
          <w:tcPr>
            <w:tcW w:w="460" w:type="dxa"/>
          </w:tcPr>
          <w:p w:rsidR="005F7B0F" w:rsidRPr="005F7B0F" w:rsidRDefault="005F7B0F" w:rsidP="009D2F55">
            <w:pPr>
              <w:rPr>
                <w:rFonts w:asciiTheme="minorHAnsi" w:hAnsiTheme="minorHAnsi" w:cstheme="minorHAnsi"/>
                <w:b/>
                <w:sz w:val="20"/>
                <w:szCs w:val="20"/>
              </w:rPr>
            </w:pPr>
          </w:p>
        </w:tc>
        <w:tc>
          <w:tcPr>
            <w:tcW w:w="460" w:type="dxa"/>
          </w:tcPr>
          <w:p w:rsidR="005F7B0F" w:rsidRPr="005F7B0F" w:rsidRDefault="005F7B0F" w:rsidP="009D2F55">
            <w:pPr>
              <w:rPr>
                <w:rFonts w:asciiTheme="minorHAnsi" w:hAnsiTheme="minorHAnsi" w:cstheme="minorHAnsi"/>
                <w:b/>
                <w:sz w:val="20"/>
                <w:szCs w:val="20"/>
              </w:rPr>
            </w:pPr>
          </w:p>
        </w:tc>
        <w:tc>
          <w:tcPr>
            <w:tcW w:w="460" w:type="dxa"/>
            <w:gridSpan w:val="3"/>
          </w:tcPr>
          <w:p w:rsidR="005F7B0F" w:rsidRPr="005F7B0F" w:rsidRDefault="005F7B0F" w:rsidP="009D2F55">
            <w:pPr>
              <w:rPr>
                <w:rFonts w:asciiTheme="minorHAnsi" w:hAnsiTheme="minorHAnsi" w:cstheme="minorHAnsi"/>
                <w:b/>
                <w:sz w:val="20"/>
                <w:szCs w:val="20"/>
              </w:rPr>
            </w:pPr>
          </w:p>
        </w:tc>
        <w:tc>
          <w:tcPr>
            <w:tcW w:w="1183" w:type="dxa"/>
          </w:tcPr>
          <w:p w:rsidR="005F7B0F" w:rsidRPr="005F7B0F" w:rsidRDefault="005F7B0F" w:rsidP="009D2F55">
            <w:pPr>
              <w:rPr>
                <w:rFonts w:asciiTheme="minorHAnsi" w:hAnsiTheme="minorHAnsi" w:cstheme="minorHAnsi"/>
                <w:b/>
                <w:sz w:val="20"/>
                <w:szCs w:val="20"/>
              </w:rPr>
            </w:pPr>
          </w:p>
        </w:tc>
      </w:tr>
      <w:tr w:rsidR="005F7B0F" w:rsidRPr="005F7B0F" w:rsidTr="005F7B0F">
        <w:trPr>
          <w:gridAfter w:val="3"/>
          <w:wAfter w:w="1623" w:type="dxa"/>
        </w:trPr>
        <w:tc>
          <w:tcPr>
            <w:tcW w:w="9923" w:type="dxa"/>
            <w:gridSpan w:val="44"/>
          </w:tcPr>
          <w:p w:rsidR="005F7B0F" w:rsidRPr="005F7B0F" w:rsidRDefault="005F7B0F" w:rsidP="009D2F55">
            <w:pPr>
              <w:rPr>
                <w:rFonts w:asciiTheme="minorHAnsi" w:hAnsiTheme="minorHAnsi" w:cstheme="minorHAnsi"/>
                <w:b/>
                <w:sz w:val="18"/>
                <w:szCs w:val="18"/>
              </w:rPr>
            </w:pPr>
            <w:r w:rsidRPr="005F7B0F">
              <w:rPr>
                <w:rFonts w:asciiTheme="minorHAnsi" w:hAnsiTheme="minorHAnsi" w:cstheme="minorHAnsi"/>
                <w:b/>
                <w:sz w:val="18"/>
                <w:szCs w:val="18"/>
              </w:rPr>
              <w:t>Komentář k položkám (akcím), které vykázaly abnormalitu v řádném plnění příjmů rozpočtu kapitoly ve sledovaném období</w:t>
            </w:r>
          </w:p>
        </w:tc>
      </w:tr>
      <w:tr w:rsidR="005F7B0F" w:rsidRPr="005F7B0F" w:rsidTr="005F7B0F">
        <w:trPr>
          <w:gridAfter w:val="3"/>
          <w:wAfter w:w="1623" w:type="dxa"/>
        </w:trPr>
        <w:tc>
          <w:tcPr>
            <w:tcW w:w="852" w:type="dxa"/>
            <w:gridSpan w:val="2"/>
            <w:tcBorders>
              <w:top w:val="single" w:sz="6" w:space="0" w:color="auto"/>
              <w:left w:val="single" w:sz="6" w:space="0" w:color="auto"/>
              <w:bottom w:val="single" w:sz="6" w:space="0" w:color="auto"/>
              <w:right w:val="single" w:sz="6" w:space="0" w:color="auto"/>
            </w:tcBorders>
            <w:shd w:val="clear" w:color="auto" w:fill="FFFF00"/>
            <w:vAlign w:val="center"/>
          </w:tcPr>
          <w:p w:rsidR="005F7B0F" w:rsidRPr="005F7B0F" w:rsidRDefault="005F7B0F" w:rsidP="009D2F55">
            <w:pPr>
              <w:jc w:val="center"/>
              <w:rPr>
                <w:rFonts w:asciiTheme="minorHAnsi" w:hAnsiTheme="minorHAnsi" w:cstheme="minorHAnsi"/>
                <w:b/>
                <w:sz w:val="18"/>
                <w:szCs w:val="18"/>
              </w:rPr>
            </w:pPr>
            <w:r w:rsidRPr="005F7B0F">
              <w:rPr>
                <w:rFonts w:asciiTheme="minorHAnsi" w:hAnsiTheme="minorHAnsi" w:cstheme="minorHAnsi"/>
                <w:b/>
                <w:sz w:val="18"/>
                <w:szCs w:val="18"/>
              </w:rPr>
              <w:t>Oddíl, paragraf</w:t>
            </w:r>
          </w:p>
        </w:tc>
        <w:tc>
          <w:tcPr>
            <w:tcW w:w="780" w:type="dxa"/>
            <w:gridSpan w:val="3"/>
            <w:tcBorders>
              <w:top w:val="single" w:sz="6" w:space="0" w:color="auto"/>
              <w:left w:val="single" w:sz="6" w:space="0" w:color="auto"/>
              <w:bottom w:val="single" w:sz="6" w:space="0" w:color="auto"/>
              <w:right w:val="single" w:sz="6" w:space="0" w:color="auto"/>
            </w:tcBorders>
            <w:shd w:val="clear" w:color="auto" w:fill="FFFF00"/>
            <w:vAlign w:val="center"/>
          </w:tcPr>
          <w:p w:rsidR="005F7B0F" w:rsidRPr="005F7B0F" w:rsidRDefault="005F7B0F" w:rsidP="009D2F55">
            <w:pPr>
              <w:jc w:val="center"/>
              <w:rPr>
                <w:rFonts w:asciiTheme="minorHAnsi" w:hAnsiTheme="minorHAnsi" w:cstheme="minorHAnsi"/>
                <w:b/>
                <w:sz w:val="18"/>
                <w:szCs w:val="18"/>
              </w:rPr>
            </w:pPr>
            <w:r w:rsidRPr="005F7B0F">
              <w:rPr>
                <w:rFonts w:asciiTheme="minorHAnsi" w:hAnsiTheme="minorHAnsi" w:cstheme="minorHAnsi"/>
                <w:b/>
                <w:sz w:val="18"/>
                <w:szCs w:val="18"/>
              </w:rPr>
              <w:t>Položka</w:t>
            </w:r>
          </w:p>
        </w:tc>
        <w:tc>
          <w:tcPr>
            <w:tcW w:w="992" w:type="dxa"/>
            <w:gridSpan w:val="4"/>
            <w:tcBorders>
              <w:top w:val="single" w:sz="6" w:space="0" w:color="auto"/>
              <w:left w:val="single" w:sz="6" w:space="0" w:color="auto"/>
              <w:bottom w:val="single" w:sz="6" w:space="0" w:color="auto"/>
              <w:right w:val="single" w:sz="6" w:space="0" w:color="auto"/>
            </w:tcBorders>
            <w:shd w:val="clear" w:color="auto" w:fill="FFFF00"/>
            <w:vAlign w:val="center"/>
          </w:tcPr>
          <w:p w:rsidR="005F7B0F" w:rsidRPr="005F7B0F" w:rsidRDefault="005F7B0F" w:rsidP="009D2F55">
            <w:pPr>
              <w:jc w:val="center"/>
              <w:rPr>
                <w:rFonts w:asciiTheme="minorHAnsi" w:hAnsiTheme="minorHAnsi" w:cstheme="minorHAnsi"/>
                <w:b/>
                <w:sz w:val="18"/>
                <w:szCs w:val="18"/>
              </w:rPr>
            </w:pPr>
            <w:r w:rsidRPr="005F7B0F">
              <w:rPr>
                <w:rFonts w:asciiTheme="minorHAnsi" w:hAnsiTheme="minorHAnsi" w:cstheme="minorHAnsi"/>
                <w:b/>
                <w:sz w:val="18"/>
                <w:szCs w:val="18"/>
              </w:rPr>
              <w:t>Organizace</w:t>
            </w:r>
          </w:p>
        </w:tc>
        <w:tc>
          <w:tcPr>
            <w:tcW w:w="850" w:type="dxa"/>
            <w:gridSpan w:val="5"/>
            <w:tcBorders>
              <w:top w:val="single" w:sz="6" w:space="0" w:color="auto"/>
              <w:left w:val="single" w:sz="6" w:space="0" w:color="auto"/>
              <w:bottom w:val="single" w:sz="6" w:space="0" w:color="auto"/>
              <w:right w:val="single" w:sz="6" w:space="0" w:color="auto"/>
            </w:tcBorders>
            <w:shd w:val="clear" w:color="auto" w:fill="FFFF00"/>
            <w:vAlign w:val="center"/>
          </w:tcPr>
          <w:p w:rsidR="005F7B0F" w:rsidRPr="005F7B0F" w:rsidRDefault="005F7B0F" w:rsidP="009D2F55">
            <w:pPr>
              <w:jc w:val="center"/>
              <w:rPr>
                <w:rFonts w:asciiTheme="minorHAnsi" w:hAnsiTheme="minorHAnsi" w:cstheme="minorHAnsi"/>
                <w:b/>
                <w:sz w:val="18"/>
                <w:szCs w:val="18"/>
              </w:rPr>
            </w:pPr>
            <w:r w:rsidRPr="005F7B0F">
              <w:rPr>
                <w:rFonts w:asciiTheme="minorHAnsi" w:hAnsiTheme="minorHAnsi" w:cstheme="minorHAnsi"/>
                <w:b/>
                <w:sz w:val="18"/>
                <w:szCs w:val="18"/>
              </w:rPr>
              <w:t>Účelový zdroj</w:t>
            </w:r>
          </w:p>
        </w:tc>
        <w:tc>
          <w:tcPr>
            <w:tcW w:w="1418" w:type="dxa"/>
            <w:gridSpan w:val="8"/>
            <w:tcBorders>
              <w:top w:val="single" w:sz="6" w:space="0" w:color="auto"/>
              <w:left w:val="single" w:sz="6" w:space="0" w:color="auto"/>
              <w:bottom w:val="single" w:sz="6" w:space="0" w:color="auto"/>
              <w:right w:val="single" w:sz="6" w:space="0" w:color="auto"/>
            </w:tcBorders>
            <w:shd w:val="clear" w:color="auto" w:fill="FFFF00"/>
            <w:vAlign w:val="center"/>
          </w:tcPr>
          <w:p w:rsidR="005F7B0F" w:rsidRPr="005F7B0F" w:rsidRDefault="005F7B0F" w:rsidP="009D2F55">
            <w:pPr>
              <w:jc w:val="center"/>
              <w:rPr>
                <w:rFonts w:asciiTheme="minorHAnsi" w:hAnsiTheme="minorHAnsi" w:cstheme="minorHAnsi"/>
                <w:b/>
                <w:sz w:val="18"/>
                <w:szCs w:val="18"/>
              </w:rPr>
            </w:pPr>
            <w:r w:rsidRPr="005F7B0F">
              <w:rPr>
                <w:rFonts w:asciiTheme="minorHAnsi" w:hAnsiTheme="minorHAnsi" w:cstheme="minorHAnsi"/>
                <w:b/>
                <w:sz w:val="18"/>
                <w:szCs w:val="18"/>
              </w:rPr>
              <w:t>Upravený rozpočet v tis. Kč</w:t>
            </w:r>
          </w:p>
        </w:tc>
        <w:tc>
          <w:tcPr>
            <w:tcW w:w="1276" w:type="dxa"/>
            <w:gridSpan w:val="6"/>
            <w:tcBorders>
              <w:top w:val="single" w:sz="6" w:space="0" w:color="auto"/>
              <w:left w:val="single" w:sz="6" w:space="0" w:color="auto"/>
              <w:bottom w:val="single" w:sz="6" w:space="0" w:color="auto"/>
              <w:right w:val="single" w:sz="6" w:space="0" w:color="auto"/>
            </w:tcBorders>
            <w:shd w:val="clear" w:color="auto" w:fill="FFFF00"/>
            <w:vAlign w:val="center"/>
          </w:tcPr>
          <w:p w:rsidR="005F7B0F" w:rsidRPr="005F7B0F" w:rsidRDefault="005F7B0F" w:rsidP="009D2F55">
            <w:pPr>
              <w:jc w:val="center"/>
              <w:rPr>
                <w:rFonts w:asciiTheme="minorHAnsi" w:hAnsiTheme="minorHAnsi" w:cstheme="minorHAnsi"/>
                <w:b/>
                <w:sz w:val="18"/>
                <w:szCs w:val="18"/>
              </w:rPr>
            </w:pPr>
            <w:r w:rsidRPr="005F7B0F">
              <w:rPr>
                <w:rFonts w:asciiTheme="minorHAnsi" w:hAnsiTheme="minorHAnsi" w:cstheme="minorHAnsi"/>
                <w:b/>
                <w:sz w:val="18"/>
                <w:szCs w:val="18"/>
              </w:rPr>
              <w:t>Skutečnost v tis. Kč</w:t>
            </w:r>
          </w:p>
        </w:tc>
        <w:tc>
          <w:tcPr>
            <w:tcW w:w="3755" w:type="dxa"/>
            <w:gridSpan w:val="16"/>
            <w:tcBorders>
              <w:top w:val="single" w:sz="6" w:space="0" w:color="auto"/>
              <w:left w:val="single" w:sz="6" w:space="0" w:color="auto"/>
              <w:bottom w:val="single" w:sz="6" w:space="0" w:color="auto"/>
              <w:right w:val="single" w:sz="6" w:space="0" w:color="auto"/>
            </w:tcBorders>
            <w:shd w:val="clear" w:color="auto" w:fill="FFFF00"/>
            <w:vAlign w:val="center"/>
          </w:tcPr>
          <w:p w:rsidR="005F7B0F" w:rsidRPr="005F7B0F" w:rsidRDefault="005F7B0F" w:rsidP="009D2F55">
            <w:pPr>
              <w:jc w:val="center"/>
              <w:rPr>
                <w:rFonts w:asciiTheme="minorHAnsi" w:hAnsiTheme="minorHAnsi" w:cstheme="minorHAnsi"/>
                <w:b/>
                <w:sz w:val="18"/>
                <w:szCs w:val="18"/>
              </w:rPr>
            </w:pPr>
            <w:r w:rsidRPr="005F7B0F">
              <w:rPr>
                <w:rFonts w:asciiTheme="minorHAnsi" w:hAnsiTheme="minorHAnsi" w:cstheme="minorHAnsi"/>
                <w:b/>
                <w:sz w:val="18"/>
                <w:szCs w:val="18"/>
              </w:rPr>
              <w:t>Komentář</w:t>
            </w:r>
          </w:p>
        </w:tc>
      </w:tr>
      <w:tr w:rsidR="005F7B0F" w:rsidRPr="005F7B0F" w:rsidTr="005F7B0F">
        <w:trPr>
          <w:gridAfter w:val="3"/>
          <w:wAfter w:w="1623" w:type="dxa"/>
        </w:trPr>
        <w:tc>
          <w:tcPr>
            <w:tcW w:w="852" w:type="dxa"/>
            <w:gridSpan w:val="2"/>
            <w:tcBorders>
              <w:top w:val="single" w:sz="6" w:space="0" w:color="auto"/>
              <w:left w:val="single" w:sz="6" w:space="0" w:color="auto"/>
              <w:bottom w:val="single" w:sz="6" w:space="0" w:color="auto"/>
              <w:right w:val="single" w:sz="6" w:space="0" w:color="auto"/>
            </w:tcBorders>
          </w:tcPr>
          <w:p w:rsidR="005F7B0F" w:rsidRPr="005F7B0F" w:rsidRDefault="005F7B0F" w:rsidP="009D2F55">
            <w:pPr>
              <w:jc w:val="center"/>
              <w:rPr>
                <w:rFonts w:asciiTheme="minorHAnsi" w:hAnsiTheme="minorHAnsi" w:cstheme="minorHAnsi"/>
                <w:sz w:val="18"/>
                <w:szCs w:val="18"/>
              </w:rPr>
            </w:pPr>
            <w:r w:rsidRPr="005F7B0F">
              <w:rPr>
                <w:rFonts w:asciiTheme="minorHAnsi" w:hAnsiTheme="minorHAnsi" w:cstheme="minorHAnsi"/>
                <w:sz w:val="18"/>
                <w:szCs w:val="18"/>
              </w:rPr>
              <w:t>xxxx</w:t>
            </w:r>
          </w:p>
        </w:tc>
        <w:tc>
          <w:tcPr>
            <w:tcW w:w="780" w:type="dxa"/>
            <w:gridSpan w:val="3"/>
            <w:tcBorders>
              <w:top w:val="single" w:sz="6" w:space="0" w:color="auto"/>
              <w:left w:val="single" w:sz="6" w:space="0" w:color="auto"/>
              <w:bottom w:val="single" w:sz="6" w:space="0" w:color="auto"/>
              <w:right w:val="single" w:sz="6" w:space="0" w:color="auto"/>
            </w:tcBorders>
          </w:tcPr>
          <w:p w:rsidR="005F7B0F" w:rsidRPr="005F7B0F" w:rsidRDefault="005F7B0F" w:rsidP="009D2F55">
            <w:pPr>
              <w:jc w:val="center"/>
              <w:rPr>
                <w:rFonts w:asciiTheme="minorHAnsi" w:hAnsiTheme="minorHAnsi" w:cstheme="minorHAnsi"/>
                <w:sz w:val="18"/>
                <w:szCs w:val="18"/>
              </w:rPr>
            </w:pPr>
            <w:r w:rsidRPr="005F7B0F">
              <w:rPr>
                <w:rFonts w:asciiTheme="minorHAnsi" w:hAnsiTheme="minorHAnsi" w:cstheme="minorHAnsi"/>
                <w:sz w:val="18"/>
                <w:szCs w:val="18"/>
              </w:rPr>
              <w:t>xxxx</w:t>
            </w:r>
          </w:p>
        </w:tc>
        <w:tc>
          <w:tcPr>
            <w:tcW w:w="992" w:type="dxa"/>
            <w:gridSpan w:val="4"/>
            <w:tcBorders>
              <w:top w:val="single" w:sz="6" w:space="0" w:color="auto"/>
              <w:left w:val="single" w:sz="6" w:space="0" w:color="auto"/>
              <w:bottom w:val="single" w:sz="6" w:space="0" w:color="auto"/>
              <w:right w:val="single" w:sz="6" w:space="0" w:color="auto"/>
            </w:tcBorders>
          </w:tcPr>
          <w:p w:rsidR="005F7B0F" w:rsidRPr="005F7B0F" w:rsidRDefault="005F7B0F" w:rsidP="009D2F55">
            <w:pPr>
              <w:jc w:val="center"/>
              <w:rPr>
                <w:rFonts w:asciiTheme="minorHAnsi" w:hAnsiTheme="minorHAnsi" w:cstheme="minorHAnsi"/>
                <w:sz w:val="18"/>
                <w:szCs w:val="18"/>
              </w:rPr>
            </w:pPr>
            <w:r w:rsidRPr="005F7B0F">
              <w:rPr>
                <w:rFonts w:asciiTheme="minorHAnsi" w:hAnsiTheme="minorHAnsi" w:cstheme="minorHAnsi"/>
                <w:sz w:val="18"/>
                <w:szCs w:val="18"/>
              </w:rPr>
              <w:t>xxxxxx</w:t>
            </w:r>
          </w:p>
        </w:tc>
        <w:tc>
          <w:tcPr>
            <w:tcW w:w="850" w:type="dxa"/>
            <w:gridSpan w:val="5"/>
            <w:tcBorders>
              <w:top w:val="single" w:sz="6" w:space="0" w:color="auto"/>
              <w:left w:val="single" w:sz="6" w:space="0" w:color="auto"/>
              <w:bottom w:val="single" w:sz="6" w:space="0" w:color="auto"/>
              <w:right w:val="single" w:sz="6" w:space="0" w:color="auto"/>
            </w:tcBorders>
          </w:tcPr>
          <w:p w:rsidR="005F7B0F" w:rsidRPr="005F7B0F" w:rsidRDefault="005F7B0F" w:rsidP="009D2F55">
            <w:pPr>
              <w:jc w:val="center"/>
              <w:rPr>
                <w:rFonts w:asciiTheme="minorHAnsi" w:hAnsiTheme="minorHAnsi" w:cstheme="minorHAnsi"/>
                <w:sz w:val="18"/>
                <w:szCs w:val="18"/>
              </w:rPr>
            </w:pPr>
            <w:r w:rsidRPr="005F7B0F">
              <w:rPr>
                <w:rFonts w:asciiTheme="minorHAnsi" w:hAnsiTheme="minorHAnsi" w:cstheme="minorHAnsi"/>
                <w:sz w:val="18"/>
                <w:szCs w:val="18"/>
              </w:rPr>
              <w:t>xxxxx</w:t>
            </w:r>
          </w:p>
        </w:tc>
        <w:tc>
          <w:tcPr>
            <w:tcW w:w="1418" w:type="dxa"/>
            <w:gridSpan w:val="8"/>
            <w:tcBorders>
              <w:top w:val="single" w:sz="6" w:space="0" w:color="auto"/>
              <w:left w:val="single" w:sz="6" w:space="0" w:color="auto"/>
              <w:bottom w:val="single" w:sz="6" w:space="0" w:color="auto"/>
              <w:right w:val="single" w:sz="6" w:space="0" w:color="auto"/>
            </w:tcBorders>
          </w:tcPr>
          <w:p w:rsidR="005F7B0F" w:rsidRPr="005F7B0F" w:rsidRDefault="005F7B0F" w:rsidP="009D2F55">
            <w:pPr>
              <w:jc w:val="right"/>
              <w:rPr>
                <w:rFonts w:asciiTheme="minorHAnsi" w:hAnsiTheme="minorHAnsi" w:cstheme="minorHAnsi"/>
                <w:sz w:val="18"/>
                <w:szCs w:val="18"/>
              </w:rPr>
            </w:pPr>
            <w:r w:rsidRPr="005F7B0F">
              <w:rPr>
                <w:rFonts w:asciiTheme="minorHAnsi" w:hAnsiTheme="minorHAnsi" w:cstheme="minorHAnsi"/>
                <w:sz w:val="18"/>
                <w:szCs w:val="18"/>
              </w:rPr>
              <w:t>x.xxx,xx</w:t>
            </w:r>
          </w:p>
        </w:tc>
        <w:tc>
          <w:tcPr>
            <w:tcW w:w="1276" w:type="dxa"/>
            <w:gridSpan w:val="6"/>
            <w:tcBorders>
              <w:top w:val="single" w:sz="6" w:space="0" w:color="auto"/>
              <w:left w:val="single" w:sz="6" w:space="0" w:color="auto"/>
              <w:bottom w:val="single" w:sz="6" w:space="0" w:color="auto"/>
              <w:right w:val="single" w:sz="6" w:space="0" w:color="auto"/>
            </w:tcBorders>
          </w:tcPr>
          <w:p w:rsidR="005F7B0F" w:rsidRPr="005F7B0F" w:rsidRDefault="005F7B0F" w:rsidP="009D2F55">
            <w:pPr>
              <w:jc w:val="right"/>
              <w:rPr>
                <w:rFonts w:asciiTheme="minorHAnsi" w:hAnsiTheme="minorHAnsi" w:cstheme="minorHAnsi"/>
                <w:sz w:val="18"/>
                <w:szCs w:val="18"/>
              </w:rPr>
            </w:pPr>
            <w:r w:rsidRPr="005F7B0F">
              <w:rPr>
                <w:rFonts w:asciiTheme="minorHAnsi" w:hAnsiTheme="minorHAnsi" w:cstheme="minorHAnsi"/>
                <w:sz w:val="18"/>
                <w:szCs w:val="18"/>
              </w:rPr>
              <w:t>x.xxx,xx</w:t>
            </w:r>
          </w:p>
        </w:tc>
        <w:tc>
          <w:tcPr>
            <w:tcW w:w="3755" w:type="dxa"/>
            <w:gridSpan w:val="16"/>
            <w:tcBorders>
              <w:top w:val="single" w:sz="6" w:space="0" w:color="auto"/>
              <w:left w:val="single" w:sz="6" w:space="0" w:color="auto"/>
              <w:bottom w:val="single" w:sz="6" w:space="0" w:color="auto"/>
              <w:right w:val="single" w:sz="6" w:space="0" w:color="auto"/>
            </w:tcBorders>
          </w:tcPr>
          <w:p w:rsidR="005F7B0F" w:rsidRPr="005F7B0F" w:rsidRDefault="005F7B0F" w:rsidP="009D2F55">
            <w:pPr>
              <w:rPr>
                <w:rFonts w:asciiTheme="minorHAnsi" w:hAnsiTheme="minorHAnsi" w:cstheme="minorHAnsi"/>
                <w:sz w:val="18"/>
                <w:szCs w:val="18"/>
              </w:rPr>
            </w:pPr>
            <w:r w:rsidRPr="005F7B0F">
              <w:rPr>
                <w:rFonts w:asciiTheme="minorHAnsi" w:hAnsiTheme="minorHAnsi" w:cstheme="minorHAnsi"/>
                <w:sz w:val="18"/>
                <w:szCs w:val="18"/>
              </w:rPr>
              <w:t>Abnormality se nevyskytly.</w:t>
            </w:r>
          </w:p>
        </w:tc>
      </w:tr>
      <w:tr w:rsidR="005F7B0F" w:rsidRPr="005F7B0F" w:rsidTr="005F7B0F">
        <w:trPr>
          <w:gridAfter w:val="2"/>
          <w:wAfter w:w="1563" w:type="dxa"/>
        </w:trPr>
        <w:tc>
          <w:tcPr>
            <w:tcW w:w="460" w:type="dxa"/>
          </w:tcPr>
          <w:p w:rsidR="005F7B0F" w:rsidRPr="005F7B0F" w:rsidRDefault="005F7B0F" w:rsidP="009D2F55">
            <w:pPr>
              <w:rPr>
                <w:rFonts w:asciiTheme="minorHAnsi" w:hAnsiTheme="minorHAnsi" w:cstheme="minorHAnsi"/>
                <w:b/>
                <w:sz w:val="20"/>
                <w:szCs w:val="20"/>
              </w:rPr>
            </w:pPr>
          </w:p>
        </w:tc>
        <w:tc>
          <w:tcPr>
            <w:tcW w:w="392" w:type="dxa"/>
          </w:tcPr>
          <w:p w:rsidR="005F7B0F" w:rsidRPr="005F7B0F" w:rsidRDefault="005F7B0F" w:rsidP="009D2F55">
            <w:pPr>
              <w:rPr>
                <w:rFonts w:asciiTheme="minorHAnsi" w:hAnsiTheme="minorHAnsi" w:cstheme="minorHAnsi"/>
                <w:b/>
                <w:sz w:val="20"/>
                <w:szCs w:val="20"/>
              </w:rPr>
            </w:pPr>
          </w:p>
        </w:tc>
        <w:tc>
          <w:tcPr>
            <w:tcW w:w="528" w:type="dxa"/>
          </w:tcPr>
          <w:p w:rsidR="005F7B0F" w:rsidRPr="005F7B0F" w:rsidRDefault="005F7B0F" w:rsidP="009D2F55">
            <w:pPr>
              <w:rPr>
                <w:rFonts w:asciiTheme="minorHAnsi" w:hAnsiTheme="minorHAnsi" w:cstheme="minorHAnsi"/>
                <w:b/>
                <w:sz w:val="20"/>
                <w:szCs w:val="20"/>
              </w:rPr>
            </w:pPr>
          </w:p>
        </w:tc>
        <w:tc>
          <w:tcPr>
            <w:tcW w:w="180" w:type="dxa"/>
          </w:tcPr>
          <w:p w:rsidR="005F7B0F" w:rsidRPr="005F7B0F" w:rsidRDefault="005F7B0F" w:rsidP="009D2F55">
            <w:pPr>
              <w:rPr>
                <w:rFonts w:asciiTheme="minorHAnsi" w:hAnsiTheme="minorHAnsi" w:cstheme="minorHAnsi"/>
                <w:b/>
                <w:sz w:val="20"/>
                <w:szCs w:val="20"/>
              </w:rPr>
            </w:pPr>
          </w:p>
        </w:tc>
        <w:tc>
          <w:tcPr>
            <w:tcW w:w="740" w:type="dxa"/>
            <w:gridSpan w:val="4"/>
          </w:tcPr>
          <w:p w:rsidR="005F7B0F" w:rsidRPr="005F7B0F" w:rsidRDefault="005F7B0F" w:rsidP="009D2F55">
            <w:pPr>
              <w:rPr>
                <w:rFonts w:asciiTheme="minorHAnsi" w:hAnsiTheme="minorHAnsi" w:cstheme="minorHAnsi"/>
                <w:b/>
                <w:sz w:val="20"/>
                <w:szCs w:val="20"/>
              </w:rPr>
            </w:pPr>
          </w:p>
        </w:tc>
        <w:tc>
          <w:tcPr>
            <w:tcW w:w="678" w:type="dxa"/>
            <w:gridSpan w:val="3"/>
          </w:tcPr>
          <w:p w:rsidR="005F7B0F" w:rsidRPr="005F7B0F" w:rsidRDefault="005F7B0F" w:rsidP="009D2F55">
            <w:pPr>
              <w:rPr>
                <w:rFonts w:asciiTheme="minorHAnsi" w:hAnsiTheme="minorHAnsi" w:cstheme="minorHAnsi"/>
                <w:b/>
                <w:sz w:val="20"/>
                <w:szCs w:val="20"/>
              </w:rPr>
            </w:pPr>
          </w:p>
        </w:tc>
        <w:tc>
          <w:tcPr>
            <w:tcW w:w="302" w:type="dxa"/>
            <w:gridSpan w:val="2"/>
          </w:tcPr>
          <w:p w:rsidR="005F7B0F" w:rsidRPr="005F7B0F" w:rsidRDefault="005F7B0F" w:rsidP="009D2F55">
            <w:pPr>
              <w:rPr>
                <w:rFonts w:asciiTheme="minorHAnsi" w:hAnsiTheme="minorHAnsi" w:cstheme="minorHAnsi"/>
                <w:b/>
                <w:sz w:val="20"/>
                <w:szCs w:val="20"/>
              </w:rPr>
            </w:pPr>
          </w:p>
        </w:tc>
        <w:tc>
          <w:tcPr>
            <w:tcW w:w="460" w:type="dxa"/>
            <w:gridSpan w:val="3"/>
          </w:tcPr>
          <w:p w:rsidR="005F7B0F" w:rsidRPr="005F7B0F" w:rsidRDefault="005F7B0F" w:rsidP="009D2F55">
            <w:pPr>
              <w:rPr>
                <w:rFonts w:asciiTheme="minorHAnsi" w:hAnsiTheme="minorHAnsi" w:cstheme="minorHAnsi"/>
                <w:b/>
                <w:sz w:val="20"/>
                <w:szCs w:val="20"/>
              </w:rPr>
            </w:pPr>
          </w:p>
        </w:tc>
        <w:tc>
          <w:tcPr>
            <w:tcW w:w="460" w:type="dxa"/>
            <w:gridSpan w:val="3"/>
          </w:tcPr>
          <w:p w:rsidR="005F7B0F" w:rsidRPr="005F7B0F" w:rsidRDefault="005F7B0F" w:rsidP="009D2F55">
            <w:pPr>
              <w:rPr>
                <w:rFonts w:asciiTheme="minorHAnsi" w:hAnsiTheme="minorHAnsi" w:cstheme="minorHAnsi"/>
                <w:b/>
                <w:sz w:val="20"/>
                <w:szCs w:val="20"/>
              </w:rPr>
            </w:pPr>
          </w:p>
        </w:tc>
        <w:tc>
          <w:tcPr>
            <w:tcW w:w="460" w:type="dxa"/>
            <w:gridSpan w:val="2"/>
          </w:tcPr>
          <w:p w:rsidR="005F7B0F" w:rsidRPr="005F7B0F" w:rsidRDefault="005F7B0F" w:rsidP="009D2F55">
            <w:pPr>
              <w:rPr>
                <w:rFonts w:asciiTheme="minorHAnsi" w:hAnsiTheme="minorHAnsi" w:cstheme="minorHAnsi"/>
                <w:b/>
                <w:sz w:val="20"/>
                <w:szCs w:val="20"/>
              </w:rPr>
            </w:pPr>
          </w:p>
        </w:tc>
        <w:tc>
          <w:tcPr>
            <w:tcW w:w="460" w:type="dxa"/>
            <w:gridSpan w:val="3"/>
          </w:tcPr>
          <w:p w:rsidR="005F7B0F" w:rsidRPr="005F7B0F" w:rsidRDefault="005F7B0F" w:rsidP="009D2F55">
            <w:pPr>
              <w:rPr>
                <w:rFonts w:asciiTheme="minorHAnsi" w:hAnsiTheme="minorHAnsi" w:cstheme="minorHAnsi"/>
                <w:b/>
                <w:sz w:val="20"/>
                <w:szCs w:val="20"/>
              </w:rPr>
            </w:pPr>
          </w:p>
        </w:tc>
        <w:tc>
          <w:tcPr>
            <w:tcW w:w="460" w:type="dxa"/>
            <w:gridSpan w:val="2"/>
          </w:tcPr>
          <w:p w:rsidR="005F7B0F" w:rsidRPr="005F7B0F" w:rsidRDefault="005F7B0F" w:rsidP="009D2F55">
            <w:pPr>
              <w:rPr>
                <w:rFonts w:asciiTheme="minorHAnsi" w:hAnsiTheme="minorHAnsi" w:cstheme="minorHAnsi"/>
                <w:b/>
                <w:sz w:val="20"/>
                <w:szCs w:val="20"/>
              </w:rPr>
            </w:pPr>
          </w:p>
        </w:tc>
        <w:tc>
          <w:tcPr>
            <w:tcW w:w="460" w:type="dxa"/>
          </w:tcPr>
          <w:p w:rsidR="005F7B0F" w:rsidRPr="005F7B0F" w:rsidRDefault="005F7B0F" w:rsidP="009D2F55">
            <w:pPr>
              <w:rPr>
                <w:rFonts w:asciiTheme="minorHAnsi" w:hAnsiTheme="minorHAnsi" w:cstheme="minorHAnsi"/>
                <w:b/>
                <w:sz w:val="20"/>
                <w:szCs w:val="20"/>
              </w:rPr>
            </w:pPr>
          </w:p>
        </w:tc>
        <w:tc>
          <w:tcPr>
            <w:tcW w:w="460" w:type="dxa"/>
            <w:gridSpan w:val="4"/>
          </w:tcPr>
          <w:p w:rsidR="005F7B0F" w:rsidRPr="005F7B0F" w:rsidRDefault="005F7B0F" w:rsidP="009D2F55">
            <w:pPr>
              <w:rPr>
                <w:rFonts w:asciiTheme="minorHAnsi" w:hAnsiTheme="minorHAnsi" w:cstheme="minorHAnsi"/>
                <w:b/>
                <w:sz w:val="20"/>
                <w:szCs w:val="20"/>
              </w:rPr>
            </w:pPr>
          </w:p>
        </w:tc>
        <w:tc>
          <w:tcPr>
            <w:tcW w:w="460" w:type="dxa"/>
          </w:tcPr>
          <w:p w:rsidR="005F7B0F" w:rsidRPr="005F7B0F" w:rsidRDefault="005F7B0F" w:rsidP="009D2F55">
            <w:pPr>
              <w:rPr>
                <w:rFonts w:asciiTheme="minorHAnsi" w:hAnsiTheme="minorHAnsi" w:cstheme="minorHAnsi"/>
                <w:b/>
                <w:sz w:val="20"/>
                <w:szCs w:val="20"/>
              </w:rPr>
            </w:pPr>
          </w:p>
        </w:tc>
        <w:tc>
          <w:tcPr>
            <w:tcW w:w="460" w:type="dxa"/>
          </w:tcPr>
          <w:p w:rsidR="005F7B0F" w:rsidRPr="005F7B0F" w:rsidRDefault="005F7B0F" w:rsidP="009D2F55">
            <w:pPr>
              <w:rPr>
                <w:rFonts w:asciiTheme="minorHAnsi" w:hAnsiTheme="minorHAnsi" w:cstheme="minorHAnsi"/>
                <w:b/>
                <w:sz w:val="20"/>
                <w:szCs w:val="20"/>
              </w:rPr>
            </w:pPr>
          </w:p>
        </w:tc>
        <w:tc>
          <w:tcPr>
            <w:tcW w:w="460" w:type="dxa"/>
            <w:gridSpan w:val="3"/>
          </w:tcPr>
          <w:p w:rsidR="005F7B0F" w:rsidRPr="005F7B0F" w:rsidRDefault="005F7B0F" w:rsidP="009D2F55">
            <w:pPr>
              <w:rPr>
                <w:rFonts w:asciiTheme="minorHAnsi" w:hAnsiTheme="minorHAnsi" w:cstheme="minorHAnsi"/>
                <w:b/>
                <w:sz w:val="20"/>
                <w:szCs w:val="20"/>
              </w:rPr>
            </w:pPr>
          </w:p>
        </w:tc>
        <w:tc>
          <w:tcPr>
            <w:tcW w:w="460" w:type="dxa"/>
            <w:gridSpan w:val="2"/>
          </w:tcPr>
          <w:p w:rsidR="005F7B0F" w:rsidRPr="005F7B0F" w:rsidRDefault="005F7B0F" w:rsidP="009D2F55">
            <w:pPr>
              <w:rPr>
                <w:rFonts w:asciiTheme="minorHAnsi" w:hAnsiTheme="minorHAnsi" w:cstheme="minorHAnsi"/>
                <w:b/>
                <w:sz w:val="20"/>
                <w:szCs w:val="20"/>
              </w:rPr>
            </w:pPr>
          </w:p>
        </w:tc>
        <w:tc>
          <w:tcPr>
            <w:tcW w:w="460" w:type="dxa"/>
            <w:gridSpan w:val="2"/>
          </w:tcPr>
          <w:p w:rsidR="005F7B0F" w:rsidRPr="005F7B0F" w:rsidRDefault="005F7B0F" w:rsidP="009D2F55">
            <w:pPr>
              <w:rPr>
                <w:rFonts w:asciiTheme="minorHAnsi" w:hAnsiTheme="minorHAnsi" w:cstheme="minorHAnsi"/>
                <w:b/>
                <w:sz w:val="20"/>
                <w:szCs w:val="20"/>
              </w:rPr>
            </w:pPr>
          </w:p>
        </w:tc>
        <w:tc>
          <w:tcPr>
            <w:tcW w:w="1183" w:type="dxa"/>
            <w:gridSpan w:val="5"/>
          </w:tcPr>
          <w:p w:rsidR="005F7B0F" w:rsidRPr="005F7B0F" w:rsidRDefault="005F7B0F" w:rsidP="009D2F55">
            <w:pPr>
              <w:rPr>
                <w:rFonts w:asciiTheme="minorHAnsi" w:hAnsiTheme="minorHAnsi" w:cstheme="minorHAnsi"/>
                <w:b/>
                <w:sz w:val="20"/>
                <w:szCs w:val="20"/>
              </w:rPr>
            </w:pPr>
          </w:p>
        </w:tc>
      </w:tr>
      <w:tr w:rsidR="005F7B0F" w:rsidRPr="005F7B0F" w:rsidTr="005F7B0F">
        <w:trPr>
          <w:gridAfter w:val="3"/>
          <w:wAfter w:w="1623" w:type="dxa"/>
        </w:trPr>
        <w:tc>
          <w:tcPr>
            <w:tcW w:w="9923" w:type="dxa"/>
            <w:gridSpan w:val="44"/>
            <w:shd w:val="clear" w:color="auto" w:fill="F79646"/>
          </w:tcPr>
          <w:p w:rsidR="005F7B0F" w:rsidRPr="005F7B0F" w:rsidRDefault="005F7B0F" w:rsidP="009D2F55">
            <w:pPr>
              <w:rPr>
                <w:rFonts w:asciiTheme="minorHAnsi" w:hAnsiTheme="minorHAnsi" w:cstheme="minorHAnsi"/>
                <w:b/>
                <w:sz w:val="20"/>
                <w:szCs w:val="20"/>
                <w:u w:val="single"/>
              </w:rPr>
            </w:pPr>
            <w:r w:rsidRPr="005F7B0F">
              <w:rPr>
                <w:rFonts w:asciiTheme="minorHAnsi" w:hAnsiTheme="minorHAnsi" w:cstheme="minorHAnsi"/>
                <w:b/>
                <w:sz w:val="20"/>
                <w:szCs w:val="20"/>
                <w:u w:val="single"/>
              </w:rPr>
              <w:t>Rozbor čerpání výdajů rozpočtu kapitoly</w:t>
            </w:r>
          </w:p>
        </w:tc>
      </w:tr>
      <w:tr w:rsidR="005F7B0F" w:rsidRPr="005F7B0F" w:rsidTr="005F7B0F">
        <w:tc>
          <w:tcPr>
            <w:tcW w:w="460" w:type="dxa"/>
          </w:tcPr>
          <w:p w:rsidR="005F7B0F" w:rsidRPr="005F7B0F" w:rsidRDefault="005F7B0F" w:rsidP="009D2F55">
            <w:pPr>
              <w:rPr>
                <w:rFonts w:asciiTheme="minorHAnsi" w:hAnsiTheme="minorHAnsi" w:cstheme="minorHAnsi"/>
                <w:b/>
                <w:sz w:val="20"/>
                <w:szCs w:val="20"/>
              </w:rPr>
            </w:pPr>
          </w:p>
        </w:tc>
        <w:tc>
          <w:tcPr>
            <w:tcW w:w="392" w:type="dxa"/>
          </w:tcPr>
          <w:p w:rsidR="005F7B0F" w:rsidRPr="005F7B0F" w:rsidRDefault="005F7B0F" w:rsidP="009D2F55">
            <w:pPr>
              <w:rPr>
                <w:rFonts w:asciiTheme="minorHAnsi" w:hAnsiTheme="minorHAnsi" w:cstheme="minorHAnsi"/>
                <w:b/>
                <w:sz w:val="20"/>
                <w:szCs w:val="20"/>
              </w:rPr>
            </w:pPr>
          </w:p>
        </w:tc>
        <w:tc>
          <w:tcPr>
            <w:tcW w:w="528" w:type="dxa"/>
          </w:tcPr>
          <w:p w:rsidR="005F7B0F" w:rsidRPr="005F7B0F" w:rsidRDefault="005F7B0F" w:rsidP="009D2F55">
            <w:pPr>
              <w:rPr>
                <w:rFonts w:asciiTheme="minorHAnsi" w:hAnsiTheme="minorHAnsi" w:cstheme="minorHAnsi"/>
                <w:b/>
                <w:sz w:val="20"/>
                <w:szCs w:val="20"/>
              </w:rPr>
            </w:pPr>
          </w:p>
        </w:tc>
        <w:tc>
          <w:tcPr>
            <w:tcW w:w="391" w:type="dxa"/>
            <w:gridSpan w:val="3"/>
          </w:tcPr>
          <w:p w:rsidR="005F7B0F" w:rsidRPr="005F7B0F" w:rsidRDefault="005F7B0F" w:rsidP="009D2F55">
            <w:pPr>
              <w:rPr>
                <w:rFonts w:asciiTheme="minorHAnsi" w:hAnsiTheme="minorHAnsi" w:cstheme="minorHAnsi"/>
                <w:b/>
                <w:sz w:val="20"/>
                <w:szCs w:val="20"/>
              </w:rPr>
            </w:pPr>
          </w:p>
        </w:tc>
        <w:tc>
          <w:tcPr>
            <w:tcW w:w="529" w:type="dxa"/>
            <w:gridSpan w:val="2"/>
          </w:tcPr>
          <w:p w:rsidR="005F7B0F" w:rsidRPr="005F7B0F" w:rsidRDefault="005F7B0F" w:rsidP="009D2F55">
            <w:pPr>
              <w:rPr>
                <w:rFonts w:asciiTheme="minorHAnsi" w:hAnsiTheme="minorHAnsi" w:cstheme="minorHAnsi"/>
                <w:b/>
                <w:sz w:val="20"/>
                <w:szCs w:val="20"/>
              </w:rPr>
            </w:pPr>
          </w:p>
        </w:tc>
        <w:tc>
          <w:tcPr>
            <w:tcW w:w="460" w:type="dxa"/>
            <w:gridSpan w:val="2"/>
          </w:tcPr>
          <w:p w:rsidR="005F7B0F" w:rsidRPr="005F7B0F" w:rsidRDefault="005F7B0F" w:rsidP="009D2F55">
            <w:pPr>
              <w:rPr>
                <w:rFonts w:asciiTheme="minorHAnsi" w:hAnsiTheme="minorHAnsi" w:cstheme="minorHAnsi"/>
                <w:b/>
                <w:sz w:val="20"/>
                <w:szCs w:val="20"/>
              </w:rPr>
            </w:pPr>
          </w:p>
        </w:tc>
        <w:tc>
          <w:tcPr>
            <w:tcW w:w="460" w:type="dxa"/>
            <w:gridSpan w:val="2"/>
          </w:tcPr>
          <w:p w:rsidR="005F7B0F" w:rsidRPr="005F7B0F" w:rsidRDefault="005F7B0F" w:rsidP="009D2F55">
            <w:pPr>
              <w:rPr>
                <w:rFonts w:asciiTheme="minorHAnsi" w:hAnsiTheme="minorHAnsi" w:cstheme="minorHAnsi"/>
                <w:b/>
                <w:sz w:val="20"/>
                <w:szCs w:val="20"/>
              </w:rPr>
            </w:pPr>
          </w:p>
        </w:tc>
        <w:tc>
          <w:tcPr>
            <w:tcW w:w="460" w:type="dxa"/>
            <w:gridSpan w:val="3"/>
          </w:tcPr>
          <w:p w:rsidR="005F7B0F" w:rsidRPr="005F7B0F" w:rsidRDefault="005F7B0F" w:rsidP="009D2F55">
            <w:pPr>
              <w:rPr>
                <w:rFonts w:asciiTheme="minorHAnsi" w:hAnsiTheme="minorHAnsi" w:cstheme="minorHAnsi"/>
                <w:b/>
                <w:sz w:val="20"/>
                <w:szCs w:val="20"/>
              </w:rPr>
            </w:pPr>
          </w:p>
        </w:tc>
        <w:tc>
          <w:tcPr>
            <w:tcW w:w="460" w:type="dxa"/>
            <w:gridSpan w:val="3"/>
          </w:tcPr>
          <w:p w:rsidR="005F7B0F" w:rsidRPr="005F7B0F" w:rsidRDefault="005F7B0F" w:rsidP="009D2F55">
            <w:pPr>
              <w:rPr>
                <w:rFonts w:asciiTheme="minorHAnsi" w:hAnsiTheme="minorHAnsi" w:cstheme="minorHAnsi"/>
                <w:b/>
                <w:sz w:val="20"/>
                <w:szCs w:val="20"/>
              </w:rPr>
            </w:pPr>
          </w:p>
        </w:tc>
        <w:tc>
          <w:tcPr>
            <w:tcW w:w="397" w:type="dxa"/>
            <w:gridSpan w:val="2"/>
          </w:tcPr>
          <w:p w:rsidR="005F7B0F" w:rsidRPr="005F7B0F" w:rsidRDefault="005F7B0F" w:rsidP="009D2F55">
            <w:pPr>
              <w:rPr>
                <w:rFonts w:asciiTheme="minorHAnsi" w:hAnsiTheme="minorHAnsi" w:cstheme="minorHAnsi"/>
                <w:b/>
                <w:sz w:val="20"/>
                <w:szCs w:val="20"/>
              </w:rPr>
            </w:pPr>
          </w:p>
        </w:tc>
        <w:tc>
          <w:tcPr>
            <w:tcW w:w="523" w:type="dxa"/>
            <w:gridSpan w:val="3"/>
          </w:tcPr>
          <w:p w:rsidR="005F7B0F" w:rsidRPr="005F7B0F" w:rsidRDefault="005F7B0F" w:rsidP="009D2F55">
            <w:pPr>
              <w:rPr>
                <w:rFonts w:asciiTheme="minorHAnsi" w:hAnsiTheme="minorHAnsi" w:cstheme="minorHAnsi"/>
                <w:b/>
                <w:sz w:val="20"/>
                <w:szCs w:val="20"/>
              </w:rPr>
            </w:pPr>
          </w:p>
        </w:tc>
        <w:tc>
          <w:tcPr>
            <w:tcW w:w="2383" w:type="dxa"/>
            <w:gridSpan w:val="11"/>
          </w:tcPr>
          <w:p w:rsidR="005F7B0F" w:rsidRPr="005F7B0F" w:rsidRDefault="005F7B0F" w:rsidP="009D2F55">
            <w:pPr>
              <w:rPr>
                <w:rFonts w:asciiTheme="minorHAnsi" w:hAnsiTheme="minorHAnsi" w:cstheme="minorHAnsi"/>
                <w:b/>
                <w:sz w:val="20"/>
                <w:szCs w:val="20"/>
              </w:rPr>
            </w:pPr>
          </w:p>
        </w:tc>
        <w:tc>
          <w:tcPr>
            <w:tcW w:w="160" w:type="dxa"/>
          </w:tcPr>
          <w:p w:rsidR="005F7B0F" w:rsidRPr="005F7B0F" w:rsidRDefault="005F7B0F" w:rsidP="009D2F55">
            <w:pPr>
              <w:rPr>
                <w:rFonts w:asciiTheme="minorHAnsi" w:hAnsiTheme="minorHAnsi" w:cstheme="minorHAnsi"/>
                <w:b/>
                <w:sz w:val="20"/>
                <w:szCs w:val="20"/>
              </w:rPr>
            </w:pPr>
          </w:p>
        </w:tc>
        <w:tc>
          <w:tcPr>
            <w:tcW w:w="460" w:type="dxa"/>
            <w:gridSpan w:val="2"/>
          </w:tcPr>
          <w:p w:rsidR="005F7B0F" w:rsidRPr="005F7B0F" w:rsidRDefault="005F7B0F" w:rsidP="009D2F55">
            <w:pPr>
              <w:rPr>
                <w:rFonts w:asciiTheme="minorHAnsi" w:hAnsiTheme="minorHAnsi" w:cstheme="minorHAnsi"/>
                <w:b/>
                <w:sz w:val="20"/>
                <w:szCs w:val="20"/>
              </w:rPr>
            </w:pPr>
          </w:p>
        </w:tc>
        <w:tc>
          <w:tcPr>
            <w:tcW w:w="460" w:type="dxa"/>
            <w:gridSpan w:val="2"/>
          </w:tcPr>
          <w:p w:rsidR="005F7B0F" w:rsidRPr="005F7B0F" w:rsidRDefault="005F7B0F" w:rsidP="009D2F55">
            <w:pPr>
              <w:rPr>
                <w:rFonts w:asciiTheme="minorHAnsi" w:hAnsiTheme="minorHAnsi" w:cstheme="minorHAnsi"/>
                <w:b/>
                <w:sz w:val="20"/>
                <w:szCs w:val="20"/>
              </w:rPr>
            </w:pPr>
          </w:p>
        </w:tc>
        <w:tc>
          <w:tcPr>
            <w:tcW w:w="460" w:type="dxa"/>
            <w:gridSpan w:val="2"/>
          </w:tcPr>
          <w:p w:rsidR="005F7B0F" w:rsidRPr="005F7B0F" w:rsidRDefault="005F7B0F" w:rsidP="009D2F55">
            <w:pPr>
              <w:rPr>
                <w:rFonts w:asciiTheme="minorHAnsi" w:hAnsiTheme="minorHAnsi" w:cstheme="minorHAnsi"/>
                <w:b/>
                <w:sz w:val="20"/>
                <w:szCs w:val="20"/>
              </w:rPr>
            </w:pPr>
          </w:p>
        </w:tc>
        <w:tc>
          <w:tcPr>
            <w:tcW w:w="460" w:type="dxa"/>
          </w:tcPr>
          <w:p w:rsidR="005F7B0F" w:rsidRPr="005F7B0F" w:rsidRDefault="005F7B0F" w:rsidP="009D2F55">
            <w:pPr>
              <w:rPr>
                <w:rFonts w:asciiTheme="minorHAnsi" w:hAnsiTheme="minorHAnsi" w:cstheme="minorHAnsi"/>
                <w:b/>
                <w:sz w:val="20"/>
                <w:szCs w:val="20"/>
              </w:rPr>
            </w:pPr>
          </w:p>
        </w:tc>
        <w:tc>
          <w:tcPr>
            <w:tcW w:w="460" w:type="dxa"/>
          </w:tcPr>
          <w:p w:rsidR="005F7B0F" w:rsidRPr="005F7B0F" w:rsidRDefault="005F7B0F" w:rsidP="009D2F55">
            <w:pPr>
              <w:rPr>
                <w:rFonts w:asciiTheme="minorHAnsi" w:hAnsiTheme="minorHAnsi" w:cstheme="minorHAnsi"/>
                <w:b/>
                <w:sz w:val="20"/>
                <w:szCs w:val="20"/>
              </w:rPr>
            </w:pPr>
          </w:p>
        </w:tc>
        <w:tc>
          <w:tcPr>
            <w:tcW w:w="460" w:type="dxa"/>
            <w:gridSpan w:val="3"/>
          </w:tcPr>
          <w:p w:rsidR="005F7B0F" w:rsidRPr="005F7B0F" w:rsidRDefault="005F7B0F" w:rsidP="009D2F55">
            <w:pPr>
              <w:rPr>
                <w:rFonts w:asciiTheme="minorHAnsi" w:hAnsiTheme="minorHAnsi" w:cstheme="minorHAnsi"/>
                <w:b/>
                <w:sz w:val="20"/>
                <w:szCs w:val="20"/>
              </w:rPr>
            </w:pPr>
          </w:p>
        </w:tc>
        <w:tc>
          <w:tcPr>
            <w:tcW w:w="1183" w:type="dxa"/>
          </w:tcPr>
          <w:p w:rsidR="005F7B0F" w:rsidRPr="005F7B0F" w:rsidRDefault="005F7B0F" w:rsidP="009D2F55">
            <w:pPr>
              <w:rPr>
                <w:rFonts w:asciiTheme="minorHAnsi" w:hAnsiTheme="minorHAnsi" w:cstheme="minorHAnsi"/>
                <w:b/>
                <w:sz w:val="20"/>
                <w:szCs w:val="20"/>
              </w:rPr>
            </w:pPr>
          </w:p>
        </w:tc>
      </w:tr>
      <w:tr w:rsidR="005F7B0F" w:rsidRPr="005F7B0F" w:rsidTr="005F7B0F">
        <w:trPr>
          <w:gridAfter w:val="3"/>
          <w:wAfter w:w="1623" w:type="dxa"/>
        </w:trPr>
        <w:tc>
          <w:tcPr>
            <w:tcW w:w="3474" w:type="dxa"/>
            <w:gridSpan w:val="14"/>
            <w:tcBorders>
              <w:top w:val="single" w:sz="6" w:space="0" w:color="auto"/>
              <w:left w:val="single" w:sz="6" w:space="0" w:color="auto"/>
              <w:bottom w:val="single" w:sz="6" w:space="0" w:color="auto"/>
              <w:right w:val="single" w:sz="6" w:space="0" w:color="auto"/>
            </w:tcBorders>
            <w:shd w:val="clear" w:color="auto" w:fill="FFFF00"/>
          </w:tcPr>
          <w:p w:rsidR="005F7B0F" w:rsidRPr="005F7B0F" w:rsidRDefault="005F7B0F" w:rsidP="009D2F55">
            <w:pPr>
              <w:jc w:val="center"/>
              <w:rPr>
                <w:rFonts w:asciiTheme="minorHAnsi" w:hAnsiTheme="minorHAnsi" w:cstheme="minorHAnsi"/>
                <w:b/>
                <w:sz w:val="18"/>
                <w:szCs w:val="18"/>
              </w:rPr>
            </w:pPr>
            <w:r w:rsidRPr="005F7B0F">
              <w:rPr>
                <w:rFonts w:asciiTheme="minorHAnsi" w:hAnsiTheme="minorHAnsi" w:cstheme="minorHAnsi"/>
                <w:b/>
                <w:sz w:val="18"/>
                <w:szCs w:val="18"/>
              </w:rPr>
              <w:t>Rozpočet upravený v tis. Kč</w:t>
            </w:r>
          </w:p>
        </w:tc>
        <w:tc>
          <w:tcPr>
            <w:tcW w:w="2835" w:type="dxa"/>
            <w:gridSpan w:val="15"/>
            <w:tcBorders>
              <w:top w:val="single" w:sz="6" w:space="0" w:color="auto"/>
              <w:left w:val="single" w:sz="6" w:space="0" w:color="auto"/>
              <w:bottom w:val="single" w:sz="6" w:space="0" w:color="auto"/>
              <w:right w:val="single" w:sz="6" w:space="0" w:color="auto"/>
            </w:tcBorders>
            <w:shd w:val="clear" w:color="auto" w:fill="FFFF00"/>
          </w:tcPr>
          <w:p w:rsidR="005F7B0F" w:rsidRPr="005F7B0F" w:rsidRDefault="005F7B0F" w:rsidP="009D2F55">
            <w:pPr>
              <w:jc w:val="center"/>
              <w:rPr>
                <w:rFonts w:asciiTheme="minorHAnsi" w:hAnsiTheme="minorHAnsi" w:cstheme="minorHAnsi"/>
                <w:b/>
                <w:sz w:val="18"/>
                <w:szCs w:val="18"/>
              </w:rPr>
            </w:pPr>
            <w:r w:rsidRPr="005F7B0F">
              <w:rPr>
                <w:rFonts w:asciiTheme="minorHAnsi" w:hAnsiTheme="minorHAnsi" w:cstheme="minorHAnsi"/>
                <w:b/>
                <w:sz w:val="18"/>
                <w:szCs w:val="18"/>
              </w:rPr>
              <w:t>Skutečnost v tis. Kč</w:t>
            </w:r>
          </w:p>
        </w:tc>
        <w:tc>
          <w:tcPr>
            <w:tcW w:w="1134" w:type="dxa"/>
            <w:gridSpan w:val="5"/>
            <w:tcBorders>
              <w:top w:val="single" w:sz="6" w:space="0" w:color="auto"/>
              <w:left w:val="single" w:sz="6" w:space="0" w:color="auto"/>
              <w:bottom w:val="single" w:sz="6" w:space="0" w:color="auto"/>
              <w:right w:val="single" w:sz="6" w:space="0" w:color="auto"/>
            </w:tcBorders>
            <w:shd w:val="clear" w:color="auto" w:fill="FFFF00"/>
          </w:tcPr>
          <w:p w:rsidR="005F7B0F" w:rsidRPr="005F7B0F" w:rsidRDefault="005F7B0F" w:rsidP="009D2F55">
            <w:pPr>
              <w:jc w:val="center"/>
              <w:rPr>
                <w:rFonts w:asciiTheme="minorHAnsi" w:hAnsiTheme="minorHAnsi" w:cstheme="minorHAnsi"/>
                <w:b/>
                <w:sz w:val="18"/>
                <w:szCs w:val="18"/>
              </w:rPr>
            </w:pPr>
            <w:r w:rsidRPr="005F7B0F">
              <w:rPr>
                <w:rFonts w:asciiTheme="minorHAnsi" w:hAnsiTheme="minorHAnsi" w:cstheme="minorHAnsi"/>
                <w:b/>
                <w:sz w:val="18"/>
                <w:szCs w:val="18"/>
              </w:rPr>
              <w:t>SK/RU v %</w:t>
            </w:r>
          </w:p>
        </w:tc>
        <w:tc>
          <w:tcPr>
            <w:tcW w:w="2480" w:type="dxa"/>
            <w:gridSpan w:val="10"/>
            <w:tcBorders>
              <w:top w:val="single" w:sz="6" w:space="0" w:color="auto"/>
              <w:left w:val="single" w:sz="6" w:space="0" w:color="auto"/>
              <w:bottom w:val="single" w:sz="6" w:space="0" w:color="auto"/>
              <w:right w:val="single" w:sz="6" w:space="0" w:color="auto"/>
            </w:tcBorders>
            <w:shd w:val="clear" w:color="auto" w:fill="FFFF00"/>
          </w:tcPr>
          <w:p w:rsidR="005F7B0F" w:rsidRPr="005F7B0F" w:rsidRDefault="005F7B0F" w:rsidP="009D2F55">
            <w:pPr>
              <w:jc w:val="center"/>
              <w:rPr>
                <w:rFonts w:asciiTheme="minorHAnsi" w:hAnsiTheme="minorHAnsi" w:cstheme="minorHAnsi"/>
                <w:b/>
                <w:sz w:val="18"/>
                <w:szCs w:val="18"/>
              </w:rPr>
            </w:pPr>
            <w:r w:rsidRPr="005F7B0F">
              <w:rPr>
                <w:rFonts w:asciiTheme="minorHAnsi" w:hAnsiTheme="minorHAnsi" w:cstheme="minorHAnsi"/>
                <w:b/>
                <w:sz w:val="18"/>
                <w:szCs w:val="18"/>
              </w:rPr>
              <w:t>Komentář</w:t>
            </w:r>
          </w:p>
        </w:tc>
      </w:tr>
      <w:tr w:rsidR="005F7B0F" w:rsidRPr="005F7B0F" w:rsidTr="005F7B0F">
        <w:trPr>
          <w:gridAfter w:val="3"/>
          <w:wAfter w:w="1623" w:type="dxa"/>
        </w:trPr>
        <w:tc>
          <w:tcPr>
            <w:tcW w:w="3474" w:type="dxa"/>
            <w:gridSpan w:val="14"/>
            <w:tcBorders>
              <w:top w:val="single" w:sz="6" w:space="0" w:color="auto"/>
              <w:left w:val="single" w:sz="6" w:space="0" w:color="auto"/>
              <w:bottom w:val="single" w:sz="6" w:space="0" w:color="auto"/>
              <w:right w:val="single" w:sz="6" w:space="0" w:color="auto"/>
            </w:tcBorders>
          </w:tcPr>
          <w:p w:rsidR="005F7B0F" w:rsidRPr="005F7B0F" w:rsidRDefault="00E101BC" w:rsidP="009D2F55">
            <w:pPr>
              <w:jc w:val="right"/>
              <w:rPr>
                <w:rFonts w:asciiTheme="minorHAnsi" w:hAnsiTheme="minorHAnsi" w:cstheme="minorHAnsi"/>
                <w:b/>
                <w:sz w:val="18"/>
                <w:szCs w:val="18"/>
              </w:rPr>
            </w:pPr>
            <w:r>
              <w:rPr>
                <w:rFonts w:asciiTheme="minorHAnsi" w:hAnsiTheme="minorHAnsi" w:cstheme="minorHAnsi"/>
                <w:b/>
                <w:sz w:val="18"/>
                <w:szCs w:val="18"/>
              </w:rPr>
              <w:t xml:space="preserve">169 </w:t>
            </w:r>
            <w:r w:rsidR="005F7B0F" w:rsidRPr="005F7B0F">
              <w:rPr>
                <w:rFonts w:asciiTheme="minorHAnsi" w:hAnsiTheme="minorHAnsi" w:cstheme="minorHAnsi"/>
                <w:b/>
                <w:sz w:val="18"/>
                <w:szCs w:val="18"/>
              </w:rPr>
              <w:t>731,42</w:t>
            </w:r>
          </w:p>
        </w:tc>
        <w:tc>
          <w:tcPr>
            <w:tcW w:w="2835" w:type="dxa"/>
            <w:gridSpan w:val="15"/>
            <w:tcBorders>
              <w:top w:val="single" w:sz="6" w:space="0" w:color="auto"/>
              <w:left w:val="single" w:sz="6" w:space="0" w:color="auto"/>
              <w:bottom w:val="single" w:sz="6" w:space="0" w:color="auto"/>
              <w:right w:val="single" w:sz="6" w:space="0" w:color="auto"/>
            </w:tcBorders>
          </w:tcPr>
          <w:p w:rsidR="005F7B0F" w:rsidRPr="005F7B0F" w:rsidRDefault="00E101BC" w:rsidP="009D2F55">
            <w:pPr>
              <w:jc w:val="right"/>
              <w:rPr>
                <w:rFonts w:asciiTheme="minorHAnsi" w:hAnsiTheme="minorHAnsi" w:cstheme="minorHAnsi"/>
                <w:b/>
                <w:sz w:val="18"/>
                <w:szCs w:val="18"/>
              </w:rPr>
            </w:pPr>
            <w:r>
              <w:rPr>
                <w:rFonts w:asciiTheme="minorHAnsi" w:hAnsiTheme="minorHAnsi" w:cstheme="minorHAnsi"/>
                <w:b/>
                <w:sz w:val="18"/>
                <w:szCs w:val="18"/>
              </w:rPr>
              <w:t xml:space="preserve">169 </w:t>
            </w:r>
            <w:r w:rsidR="005F7B0F" w:rsidRPr="005F7B0F">
              <w:rPr>
                <w:rFonts w:asciiTheme="minorHAnsi" w:hAnsiTheme="minorHAnsi" w:cstheme="minorHAnsi"/>
                <w:b/>
                <w:sz w:val="18"/>
                <w:szCs w:val="18"/>
              </w:rPr>
              <w:t>490,25</w:t>
            </w:r>
          </w:p>
        </w:tc>
        <w:tc>
          <w:tcPr>
            <w:tcW w:w="1134" w:type="dxa"/>
            <w:gridSpan w:val="5"/>
            <w:tcBorders>
              <w:top w:val="single" w:sz="6" w:space="0" w:color="auto"/>
              <w:left w:val="single" w:sz="6" w:space="0" w:color="auto"/>
              <w:bottom w:val="single" w:sz="6" w:space="0" w:color="auto"/>
              <w:right w:val="single" w:sz="6" w:space="0" w:color="auto"/>
            </w:tcBorders>
          </w:tcPr>
          <w:p w:rsidR="005F7B0F" w:rsidRPr="005F7B0F" w:rsidRDefault="005F7B0F" w:rsidP="005F7B0F">
            <w:pPr>
              <w:jc w:val="center"/>
              <w:rPr>
                <w:rFonts w:asciiTheme="minorHAnsi" w:hAnsiTheme="minorHAnsi" w:cstheme="minorHAnsi"/>
                <w:b/>
                <w:sz w:val="18"/>
                <w:szCs w:val="18"/>
              </w:rPr>
            </w:pPr>
            <w:r w:rsidRPr="005F7B0F">
              <w:rPr>
                <w:rFonts w:asciiTheme="minorHAnsi" w:hAnsiTheme="minorHAnsi" w:cstheme="minorHAnsi"/>
                <w:b/>
                <w:sz w:val="18"/>
                <w:szCs w:val="18"/>
              </w:rPr>
              <w:t>99,86</w:t>
            </w:r>
          </w:p>
        </w:tc>
        <w:tc>
          <w:tcPr>
            <w:tcW w:w="2480" w:type="dxa"/>
            <w:gridSpan w:val="10"/>
            <w:tcBorders>
              <w:top w:val="single" w:sz="6" w:space="0" w:color="auto"/>
              <w:left w:val="single" w:sz="6" w:space="0" w:color="auto"/>
              <w:bottom w:val="single" w:sz="6" w:space="0" w:color="auto"/>
              <w:right w:val="single" w:sz="6" w:space="0" w:color="auto"/>
            </w:tcBorders>
          </w:tcPr>
          <w:p w:rsidR="005F7B0F" w:rsidRPr="005F7B0F" w:rsidRDefault="005F7B0F" w:rsidP="009D2F55">
            <w:pPr>
              <w:rPr>
                <w:rFonts w:asciiTheme="minorHAnsi" w:hAnsiTheme="minorHAnsi" w:cstheme="minorHAnsi"/>
                <w:b/>
                <w:sz w:val="18"/>
                <w:szCs w:val="18"/>
              </w:rPr>
            </w:pPr>
            <w:r w:rsidRPr="005F7B0F">
              <w:rPr>
                <w:rFonts w:asciiTheme="minorHAnsi" w:hAnsiTheme="minorHAnsi" w:cstheme="minorHAnsi"/>
                <w:b/>
                <w:sz w:val="18"/>
                <w:szCs w:val="18"/>
              </w:rPr>
              <w:t>Výdaje před konsolidací</w:t>
            </w:r>
          </w:p>
        </w:tc>
      </w:tr>
      <w:tr w:rsidR="005F7B0F" w:rsidRPr="005F7B0F" w:rsidTr="005F7B0F">
        <w:trPr>
          <w:gridAfter w:val="3"/>
          <w:wAfter w:w="1623" w:type="dxa"/>
        </w:trPr>
        <w:tc>
          <w:tcPr>
            <w:tcW w:w="3474" w:type="dxa"/>
            <w:gridSpan w:val="14"/>
            <w:tcBorders>
              <w:top w:val="single" w:sz="6" w:space="0" w:color="auto"/>
              <w:left w:val="single" w:sz="6" w:space="0" w:color="auto"/>
              <w:bottom w:val="single" w:sz="6" w:space="0" w:color="auto"/>
              <w:right w:val="single" w:sz="6" w:space="0" w:color="auto"/>
            </w:tcBorders>
          </w:tcPr>
          <w:p w:rsidR="005F7B0F" w:rsidRPr="005F7B0F" w:rsidRDefault="00E101BC" w:rsidP="009D2F55">
            <w:pPr>
              <w:jc w:val="right"/>
              <w:rPr>
                <w:rFonts w:asciiTheme="minorHAnsi" w:hAnsiTheme="minorHAnsi" w:cstheme="minorHAnsi"/>
                <w:b/>
                <w:sz w:val="18"/>
                <w:szCs w:val="18"/>
              </w:rPr>
            </w:pPr>
            <w:r>
              <w:rPr>
                <w:rFonts w:asciiTheme="minorHAnsi" w:hAnsiTheme="minorHAnsi" w:cstheme="minorHAnsi"/>
                <w:b/>
                <w:sz w:val="18"/>
                <w:szCs w:val="18"/>
              </w:rPr>
              <w:t xml:space="preserve">169 </w:t>
            </w:r>
            <w:r w:rsidR="005F7B0F" w:rsidRPr="005F7B0F">
              <w:rPr>
                <w:rFonts w:asciiTheme="minorHAnsi" w:hAnsiTheme="minorHAnsi" w:cstheme="minorHAnsi"/>
                <w:b/>
                <w:sz w:val="18"/>
                <w:szCs w:val="18"/>
              </w:rPr>
              <w:t>731,42</w:t>
            </w:r>
          </w:p>
        </w:tc>
        <w:tc>
          <w:tcPr>
            <w:tcW w:w="2835" w:type="dxa"/>
            <w:gridSpan w:val="15"/>
            <w:tcBorders>
              <w:top w:val="single" w:sz="6" w:space="0" w:color="auto"/>
              <w:left w:val="single" w:sz="6" w:space="0" w:color="auto"/>
              <w:bottom w:val="single" w:sz="6" w:space="0" w:color="auto"/>
              <w:right w:val="single" w:sz="6" w:space="0" w:color="auto"/>
            </w:tcBorders>
          </w:tcPr>
          <w:p w:rsidR="005F7B0F" w:rsidRPr="005F7B0F" w:rsidRDefault="00E101BC" w:rsidP="009D2F55">
            <w:pPr>
              <w:jc w:val="right"/>
              <w:rPr>
                <w:rFonts w:asciiTheme="minorHAnsi" w:hAnsiTheme="minorHAnsi" w:cstheme="minorHAnsi"/>
                <w:b/>
                <w:sz w:val="18"/>
                <w:szCs w:val="18"/>
              </w:rPr>
            </w:pPr>
            <w:r>
              <w:rPr>
                <w:rFonts w:asciiTheme="minorHAnsi" w:hAnsiTheme="minorHAnsi" w:cstheme="minorHAnsi"/>
                <w:b/>
                <w:sz w:val="18"/>
                <w:szCs w:val="18"/>
              </w:rPr>
              <w:t xml:space="preserve">169 </w:t>
            </w:r>
            <w:r w:rsidR="005F7B0F" w:rsidRPr="005F7B0F">
              <w:rPr>
                <w:rFonts w:asciiTheme="minorHAnsi" w:hAnsiTheme="minorHAnsi" w:cstheme="minorHAnsi"/>
                <w:b/>
                <w:sz w:val="18"/>
                <w:szCs w:val="18"/>
              </w:rPr>
              <w:t>490,25</w:t>
            </w:r>
          </w:p>
        </w:tc>
        <w:tc>
          <w:tcPr>
            <w:tcW w:w="1134" w:type="dxa"/>
            <w:gridSpan w:val="5"/>
            <w:tcBorders>
              <w:top w:val="single" w:sz="6" w:space="0" w:color="auto"/>
              <w:left w:val="single" w:sz="6" w:space="0" w:color="auto"/>
              <w:bottom w:val="single" w:sz="6" w:space="0" w:color="auto"/>
              <w:right w:val="single" w:sz="6" w:space="0" w:color="auto"/>
            </w:tcBorders>
          </w:tcPr>
          <w:p w:rsidR="005F7B0F" w:rsidRPr="005F7B0F" w:rsidRDefault="005F7B0F" w:rsidP="005F7B0F">
            <w:pPr>
              <w:jc w:val="center"/>
              <w:rPr>
                <w:rFonts w:asciiTheme="minorHAnsi" w:hAnsiTheme="minorHAnsi" w:cstheme="minorHAnsi"/>
                <w:b/>
                <w:sz w:val="18"/>
                <w:szCs w:val="18"/>
              </w:rPr>
            </w:pPr>
            <w:r w:rsidRPr="005F7B0F">
              <w:rPr>
                <w:rFonts w:asciiTheme="minorHAnsi" w:hAnsiTheme="minorHAnsi" w:cstheme="minorHAnsi"/>
                <w:b/>
                <w:sz w:val="18"/>
                <w:szCs w:val="18"/>
              </w:rPr>
              <w:t>99,86</w:t>
            </w:r>
          </w:p>
        </w:tc>
        <w:tc>
          <w:tcPr>
            <w:tcW w:w="2480" w:type="dxa"/>
            <w:gridSpan w:val="10"/>
            <w:tcBorders>
              <w:top w:val="single" w:sz="6" w:space="0" w:color="auto"/>
              <w:left w:val="single" w:sz="6" w:space="0" w:color="auto"/>
              <w:bottom w:val="single" w:sz="6" w:space="0" w:color="auto"/>
              <w:right w:val="single" w:sz="6" w:space="0" w:color="auto"/>
            </w:tcBorders>
          </w:tcPr>
          <w:p w:rsidR="005F7B0F" w:rsidRPr="005F7B0F" w:rsidRDefault="005F7B0F" w:rsidP="009D2F55">
            <w:pPr>
              <w:rPr>
                <w:rFonts w:asciiTheme="minorHAnsi" w:hAnsiTheme="minorHAnsi" w:cstheme="minorHAnsi"/>
                <w:b/>
                <w:sz w:val="18"/>
                <w:szCs w:val="18"/>
              </w:rPr>
            </w:pPr>
            <w:r w:rsidRPr="005F7B0F">
              <w:rPr>
                <w:rFonts w:asciiTheme="minorHAnsi" w:hAnsiTheme="minorHAnsi" w:cstheme="minorHAnsi"/>
                <w:b/>
                <w:sz w:val="18"/>
                <w:szCs w:val="18"/>
              </w:rPr>
              <w:t>Výdaje po konsolidaci</w:t>
            </w:r>
          </w:p>
        </w:tc>
      </w:tr>
      <w:tr w:rsidR="005F7B0F" w:rsidRPr="005F7B0F" w:rsidTr="005F7B0F">
        <w:tc>
          <w:tcPr>
            <w:tcW w:w="460" w:type="dxa"/>
          </w:tcPr>
          <w:p w:rsidR="005F7B0F" w:rsidRPr="005F7B0F" w:rsidRDefault="005F7B0F" w:rsidP="009D2F55">
            <w:pPr>
              <w:rPr>
                <w:rFonts w:asciiTheme="minorHAnsi" w:hAnsiTheme="minorHAnsi" w:cstheme="minorHAnsi"/>
                <w:b/>
                <w:sz w:val="20"/>
                <w:szCs w:val="20"/>
              </w:rPr>
            </w:pPr>
          </w:p>
        </w:tc>
        <w:tc>
          <w:tcPr>
            <w:tcW w:w="392" w:type="dxa"/>
          </w:tcPr>
          <w:p w:rsidR="005F7B0F" w:rsidRPr="005F7B0F" w:rsidRDefault="005F7B0F" w:rsidP="009D2F55">
            <w:pPr>
              <w:rPr>
                <w:rFonts w:asciiTheme="minorHAnsi" w:hAnsiTheme="minorHAnsi" w:cstheme="minorHAnsi"/>
                <w:b/>
                <w:sz w:val="20"/>
                <w:szCs w:val="20"/>
              </w:rPr>
            </w:pPr>
          </w:p>
        </w:tc>
        <w:tc>
          <w:tcPr>
            <w:tcW w:w="528" w:type="dxa"/>
          </w:tcPr>
          <w:p w:rsidR="005F7B0F" w:rsidRPr="005F7B0F" w:rsidRDefault="005F7B0F" w:rsidP="009D2F55">
            <w:pPr>
              <w:rPr>
                <w:rFonts w:asciiTheme="minorHAnsi" w:hAnsiTheme="minorHAnsi" w:cstheme="minorHAnsi"/>
                <w:b/>
                <w:sz w:val="20"/>
                <w:szCs w:val="20"/>
              </w:rPr>
            </w:pPr>
          </w:p>
        </w:tc>
        <w:tc>
          <w:tcPr>
            <w:tcW w:w="391" w:type="dxa"/>
            <w:gridSpan w:val="3"/>
          </w:tcPr>
          <w:p w:rsidR="005F7B0F" w:rsidRPr="005F7B0F" w:rsidRDefault="005F7B0F" w:rsidP="009D2F55">
            <w:pPr>
              <w:rPr>
                <w:rFonts w:asciiTheme="minorHAnsi" w:hAnsiTheme="minorHAnsi" w:cstheme="minorHAnsi"/>
                <w:b/>
                <w:sz w:val="20"/>
                <w:szCs w:val="20"/>
              </w:rPr>
            </w:pPr>
          </w:p>
        </w:tc>
        <w:tc>
          <w:tcPr>
            <w:tcW w:w="529" w:type="dxa"/>
            <w:gridSpan w:val="2"/>
          </w:tcPr>
          <w:p w:rsidR="005F7B0F" w:rsidRPr="005F7B0F" w:rsidRDefault="005F7B0F" w:rsidP="009D2F55">
            <w:pPr>
              <w:rPr>
                <w:rFonts w:asciiTheme="minorHAnsi" w:hAnsiTheme="minorHAnsi" w:cstheme="minorHAnsi"/>
                <w:b/>
                <w:sz w:val="20"/>
                <w:szCs w:val="20"/>
              </w:rPr>
            </w:pPr>
          </w:p>
        </w:tc>
        <w:tc>
          <w:tcPr>
            <w:tcW w:w="460" w:type="dxa"/>
            <w:gridSpan w:val="2"/>
          </w:tcPr>
          <w:p w:rsidR="005F7B0F" w:rsidRPr="005F7B0F" w:rsidRDefault="005F7B0F" w:rsidP="009D2F55">
            <w:pPr>
              <w:rPr>
                <w:rFonts w:asciiTheme="minorHAnsi" w:hAnsiTheme="minorHAnsi" w:cstheme="minorHAnsi"/>
                <w:b/>
                <w:sz w:val="20"/>
                <w:szCs w:val="20"/>
              </w:rPr>
            </w:pPr>
          </w:p>
        </w:tc>
        <w:tc>
          <w:tcPr>
            <w:tcW w:w="460" w:type="dxa"/>
            <w:gridSpan w:val="2"/>
          </w:tcPr>
          <w:p w:rsidR="005F7B0F" w:rsidRPr="005F7B0F" w:rsidRDefault="005F7B0F" w:rsidP="009D2F55">
            <w:pPr>
              <w:rPr>
                <w:rFonts w:asciiTheme="minorHAnsi" w:hAnsiTheme="minorHAnsi" w:cstheme="minorHAnsi"/>
                <w:b/>
                <w:sz w:val="20"/>
                <w:szCs w:val="20"/>
              </w:rPr>
            </w:pPr>
          </w:p>
        </w:tc>
        <w:tc>
          <w:tcPr>
            <w:tcW w:w="460" w:type="dxa"/>
            <w:gridSpan w:val="3"/>
          </w:tcPr>
          <w:p w:rsidR="005F7B0F" w:rsidRPr="005F7B0F" w:rsidRDefault="005F7B0F" w:rsidP="009D2F55">
            <w:pPr>
              <w:rPr>
                <w:rFonts w:asciiTheme="minorHAnsi" w:hAnsiTheme="minorHAnsi" w:cstheme="minorHAnsi"/>
                <w:b/>
                <w:sz w:val="20"/>
                <w:szCs w:val="20"/>
              </w:rPr>
            </w:pPr>
          </w:p>
        </w:tc>
        <w:tc>
          <w:tcPr>
            <w:tcW w:w="460" w:type="dxa"/>
            <w:gridSpan w:val="3"/>
          </w:tcPr>
          <w:p w:rsidR="005F7B0F" w:rsidRPr="005F7B0F" w:rsidRDefault="005F7B0F" w:rsidP="009D2F55">
            <w:pPr>
              <w:rPr>
                <w:rFonts w:asciiTheme="minorHAnsi" w:hAnsiTheme="minorHAnsi" w:cstheme="minorHAnsi"/>
                <w:b/>
                <w:sz w:val="20"/>
                <w:szCs w:val="20"/>
              </w:rPr>
            </w:pPr>
          </w:p>
        </w:tc>
        <w:tc>
          <w:tcPr>
            <w:tcW w:w="397" w:type="dxa"/>
            <w:gridSpan w:val="2"/>
          </w:tcPr>
          <w:p w:rsidR="005F7B0F" w:rsidRPr="005F7B0F" w:rsidRDefault="005F7B0F" w:rsidP="009D2F55">
            <w:pPr>
              <w:rPr>
                <w:rFonts w:asciiTheme="minorHAnsi" w:hAnsiTheme="minorHAnsi" w:cstheme="minorHAnsi"/>
                <w:b/>
                <w:sz w:val="20"/>
                <w:szCs w:val="20"/>
              </w:rPr>
            </w:pPr>
          </w:p>
        </w:tc>
        <w:tc>
          <w:tcPr>
            <w:tcW w:w="523" w:type="dxa"/>
            <w:gridSpan w:val="3"/>
          </w:tcPr>
          <w:p w:rsidR="005F7B0F" w:rsidRPr="005F7B0F" w:rsidRDefault="005F7B0F" w:rsidP="009D2F55">
            <w:pPr>
              <w:rPr>
                <w:rFonts w:asciiTheme="minorHAnsi" w:hAnsiTheme="minorHAnsi" w:cstheme="minorHAnsi"/>
                <w:b/>
                <w:sz w:val="20"/>
                <w:szCs w:val="20"/>
              </w:rPr>
            </w:pPr>
          </w:p>
        </w:tc>
        <w:tc>
          <w:tcPr>
            <w:tcW w:w="2383" w:type="dxa"/>
            <w:gridSpan w:val="11"/>
          </w:tcPr>
          <w:p w:rsidR="005F7B0F" w:rsidRPr="005F7B0F" w:rsidRDefault="005F7B0F" w:rsidP="009D2F55">
            <w:pPr>
              <w:rPr>
                <w:rFonts w:asciiTheme="minorHAnsi" w:hAnsiTheme="minorHAnsi" w:cstheme="minorHAnsi"/>
                <w:b/>
                <w:sz w:val="20"/>
                <w:szCs w:val="20"/>
              </w:rPr>
            </w:pPr>
          </w:p>
        </w:tc>
        <w:tc>
          <w:tcPr>
            <w:tcW w:w="160" w:type="dxa"/>
          </w:tcPr>
          <w:p w:rsidR="005F7B0F" w:rsidRPr="005F7B0F" w:rsidRDefault="005F7B0F" w:rsidP="009D2F55">
            <w:pPr>
              <w:rPr>
                <w:rFonts w:asciiTheme="minorHAnsi" w:hAnsiTheme="minorHAnsi" w:cstheme="minorHAnsi"/>
                <w:b/>
                <w:sz w:val="20"/>
                <w:szCs w:val="20"/>
              </w:rPr>
            </w:pPr>
          </w:p>
        </w:tc>
        <w:tc>
          <w:tcPr>
            <w:tcW w:w="460" w:type="dxa"/>
            <w:gridSpan w:val="2"/>
          </w:tcPr>
          <w:p w:rsidR="005F7B0F" w:rsidRPr="005F7B0F" w:rsidRDefault="005F7B0F" w:rsidP="009D2F55">
            <w:pPr>
              <w:rPr>
                <w:rFonts w:asciiTheme="minorHAnsi" w:hAnsiTheme="minorHAnsi" w:cstheme="minorHAnsi"/>
                <w:b/>
                <w:sz w:val="20"/>
                <w:szCs w:val="20"/>
              </w:rPr>
            </w:pPr>
          </w:p>
        </w:tc>
        <w:tc>
          <w:tcPr>
            <w:tcW w:w="460" w:type="dxa"/>
            <w:gridSpan w:val="2"/>
          </w:tcPr>
          <w:p w:rsidR="005F7B0F" w:rsidRPr="005F7B0F" w:rsidRDefault="005F7B0F" w:rsidP="009D2F55">
            <w:pPr>
              <w:rPr>
                <w:rFonts w:asciiTheme="minorHAnsi" w:hAnsiTheme="minorHAnsi" w:cstheme="minorHAnsi"/>
                <w:b/>
                <w:sz w:val="20"/>
                <w:szCs w:val="20"/>
              </w:rPr>
            </w:pPr>
          </w:p>
        </w:tc>
        <w:tc>
          <w:tcPr>
            <w:tcW w:w="460" w:type="dxa"/>
            <w:gridSpan w:val="2"/>
          </w:tcPr>
          <w:p w:rsidR="005F7B0F" w:rsidRPr="005F7B0F" w:rsidRDefault="005F7B0F" w:rsidP="009D2F55">
            <w:pPr>
              <w:rPr>
                <w:rFonts w:asciiTheme="minorHAnsi" w:hAnsiTheme="minorHAnsi" w:cstheme="minorHAnsi"/>
                <w:b/>
                <w:sz w:val="20"/>
                <w:szCs w:val="20"/>
              </w:rPr>
            </w:pPr>
          </w:p>
        </w:tc>
        <w:tc>
          <w:tcPr>
            <w:tcW w:w="460" w:type="dxa"/>
          </w:tcPr>
          <w:p w:rsidR="005F7B0F" w:rsidRPr="005F7B0F" w:rsidRDefault="005F7B0F" w:rsidP="009D2F55">
            <w:pPr>
              <w:rPr>
                <w:rFonts w:asciiTheme="minorHAnsi" w:hAnsiTheme="minorHAnsi" w:cstheme="minorHAnsi"/>
                <w:b/>
                <w:sz w:val="20"/>
                <w:szCs w:val="20"/>
              </w:rPr>
            </w:pPr>
          </w:p>
        </w:tc>
        <w:tc>
          <w:tcPr>
            <w:tcW w:w="460" w:type="dxa"/>
          </w:tcPr>
          <w:p w:rsidR="005F7B0F" w:rsidRPr="005F7B0F" w:rsidRDefault="005F7B0F" w:rsidP="009D2F55">
            <w:pPr>
              <w:rPr>
                <w:rFonts w:asciiTheme="minorHAnsi" w:hAnsiTheme="minorHAnsi" w:cstheme="minorHAnsi"/>
                <w:b/>
                <w:sz w:val="20"/>
                <w:szCs w:val="20"/>
              </w:rPr>
            </w:pPr>
          </w:p>
        </w:tc>
        <w:tc>
          <w:tcPr>
            <w:tcW w:w="460" w:type="dxa"/>
            <w:gridSpan w:val="3"/>
          </w:tcPr>
          <w:p w:rsidR="005F7B0F" w:rsidRPr="005F7B0F" w:rsidRDefault="005F7B0F" w:rsidP="009D2F55">
            <w:pPr>
              <w:rPr>
                <w:rFonts w:asciiTheme="minorHAnsi" w:hAnsiTheme="minorHAnsi" w:cstheme="minorHAnsi"/>
                <w:b/>
                <w:sz w:val="20"/>
                <w:szCs w:val="20"/>
              </w:rPr>
            </w:pPr>
          </w:p>
        </w:tc>
        <w:tc>
          <w:tcPr>
            <w:tcW w:w="1183" w:type="dxa"/>
          </w:tcPr>
          <w:p w:rsidR="005F7B0F" w:rsidRPr="005F7B0F" w:rsidRDefault="005F7B0F" w:rsidP="009D2F55">
            <w:pPr>
              <w:rPr>
                <w:rFonts w:asciiTheme="minorHAnsi" w:hAnsiTheme="minorHAnsi" w:cstheme="minorHAnsi"/>
                <w:b/>
                <w:sz w:val="20"/>
                <w:szCs w:val="20"/>
              </w:rPr>
            </w:pPr>
          </w:p>
        </w:tc>
      </w:tr>
      <w:tr w:rsidR="005F7B0F" w:rsidRPr="005F7B0F" w:rsidTr="005F7B0F">
        <w:trPr>
          <w:gridAfter w:val="3"/>
          <w:wAfter w:w="1623" w:type="dxa"/>
        </w:trPr>
        <w:tc>
          <w:tcPr>
            <w:tcW w:w="9923" w:type="dxa"/>
            <w:gridSpan w:val="44"/>
          </w:tcPr>
          <w:p w:rsidR="005F7B0F" w:rsidRPr="005F7B0F" w:rsidRDefault="005F7B0F" w:rsidP="009D2F55">
            <w:pPr>
              <w:rPr>
                <w:rFonts w:asciiTheme="minorHAnsi" w:hAnsiTheme="minorHAnsi" w:cstheme="minorHAnsi"/>
                <w:b/>
                <w:sz w:val="20"/>
                <w:szCs w:val="20"/>
              </w:rPr>
            </w:pPr>
            <w:r w:rsidRPr="005F7B0F">
              <w:rPr>
                <w:rFonts w:asciiTheme="minorHAnsi" w:hAnsiTheme="minorHAnsi" w:cstheme="minorHAnsi"/>
                <w:b/>
                <w:sz w:val="20"/>
                <w:szCs w:val="20"/>
              </w:rPr>
              <w:t>Stručný komentář k celkovému vývoji čerpání výdajů kapitoly ve sledovaném období</w:t>
            </w:r>
          </w:p>
        </w:tc>
      </w:tr>
      <w:tr w:rsidR="005F7B0F" w:rsidRPr="005F7B0F" w:rsidTr="005F7B0F">
        <w:trPr>
          <w:gridAfter w:val="3"/>
          <w:wAfter w:w="1623" w:type="dxa"/>
        </w:trPr>
        <w:tc>
          <w:tcPr>
            <w:tcW w:w="9923" w:type="dxa"/>
            <w:gridSpan w:val="44"/>
            <w:tcBorders>
              <w:top w:val="single" w:sz="6" w:space="0" w:color="auto"/>
              <w:left w:val="single" w:sz="6" w:space="0" w:color="auto"/>
              <w:bottom w:val="single" w:sz="6" w:space="0" w:color="auto"/>
              <w:right w:val="single" w:sz="6" w:space="0" w:color="auto"/>
            </w:tcBorders>
          </w:tcPr>
          <w:p w:rsidR="005F7B0F" w:rsidRPr="005F7B0F" w:rsidRDefault="005F7B0F" w:rsidP="009D2F55">
            <w:pPr>
              <w:jc w:val="both"/>
              <w:rPr>
                <w:rFonts w:asciiTheme="minorHAnsi" w:hAnsiTheme="minorHAnsi" w:cstheme="minorHAnsi"/>
                <w:sz w:val="18"/>
                <w:szCs w:val="18"/>
              </w:rPr>
            </w:pPr>
            <w:r w:rsidRPr="005F7B0F">
              <w:rPr>
                <w:rFonts w:asciiTheme="minorHAnsi" w:hAnsiTheme="minorHAnsi" w:cstheme="minorHAnsi"/>
                <w:sz w:val="18"/>
                <w:szCs w:val="18"/>
              </w:rPr>
              <w:t>Výdaje kapitoly 20 – školství, kultury a sportu byly k 31. 12. 2022 čerpány na 99,86 % v souladu s upraveným rozpočtem kapitoly pro rok 2022. Finanční prostředky byly vynaloženy na provozní výdaje školským a kulturním organizacím, akci Sportovec města Prostějova, Den Učitelů. Min. kultury ČR poskytlo neinv. dotaci pro Městskou knihovnu Prostějov, na projekt „Veřejné informační služby knihoven“. Krajský úřad Olomouckého kraje poskytl neinvestiční dotací pro Městskou knihovnu Prostějov na výkon regionálních funkcí; Ministerstvo školství, mládeže a tělovýchovy ČR poskytlo neinv. dotace  pro mateřské a základní školy na realizaci projektu v rámci Operačního programu  - Výzkum, vývoj a vzdělávání – projekt využívající zjednodušené vykazování nákladů, tzv. „Šablony“.</w:t>
            </w:r>
          </w:p>
          <w:p w:rsidR="005F7B0F" w:rsidRPr="005F7B0F" w:rsidRDefault="005F7B0F" w:rsidP="009D2F55">
            <w:pPr>
              <w:jc w:val="both"/>
              <w:rPr>
                <w:rFonts w:asciiTheme="minorHAnsi" w:hAnsiTheme="minorHAnsi" w:cstheme="minorHAnsi"/>
                <w:sz w:val="20"/>
                <w:szCs w:val="20"/>
              </w:rPr>
            </w:pPr>
            <w:r w:rsidRPr="005F7B0F">
              <w:rPr>
                <w:rFonts w:asciiTheme="minorHAnsi" w:hAnsiTheme="minorHAnsi" w:cstheme="minorHAnsi"/>
                <w:sz w:val="18"/>
                <w:szCs w:val="18"/>
              </w:rPr>
              <w:t>Dále byly poskytnuty finanční prostředky na odpisy nemovitého majetku u zřízených příspěvkových organizací, na úhradu služeb v oblasti revizí, BOZP, požární ochrany, na dotace poskytnuté fyzickým osobám, občanským sdružením, obecně prospěšným společnostem, právnickým osobám, aj. na sportovní, kulturní a výchovně vzdělávací činnosti z Komise sportovní, Komise pro kulturu, Komise školské a dále na dotace z dalších prostředků rozpočtu města v oblasti sportu, kultury a vzdělávání.</w:t>
            </w:r>
          </w:p>
        </w:tc>
      </w:tr>
      <w:tr w:rsidR="005F7B0F" w:rsidRPr="005F7B0F" w:rsidTr="005F7B0F">
        <w:tc>
          <w:tcPr>
            <w:tcW w:w="460" w:type="dxa"/>
          </w:tcPr>
          <w:p w:rsidR="005F7B0F" w:rsidRPr="005F7B0F" w:rsidRDefault="005F7B0F" w:rsidP="009D2F55">
            <w:pPr>
              <w:rPr>
                <w:rFonts w:asciiTheme="minorHAnsi" w:hAnsiTheme="minorHAnsi" w:cstheme="minorHAnsi"/>
                <w:b/>
                <w:sz w:val="20"/>
                <w:szCs w:val="20"/>
              </w:rPr>
            </w:pPr>
          </w:p>
        </w:tc>
        <w:tc>
          <w:tcPr>
            <w:tcW w:w="392" w:type="dxa"/>
          </w:tcPr>
          <w:p w:rsidR="005F7B0F" w:rsidRPr="005F7B0F" w:rsidRDefault="005F7B0F" w:rsidP="009D2F55">
            <w:pPr>
              <w:rPr>
                <w:rFonts w:asciiTheme="minorHAnsi" w:hAnsiTheme="minorHAnsi" w:cstheme="minorHAnsi"/>
                <w:b/>
                <w:sz w:val="20"/>
                <w:szCs w:val="20"/>
              </w:rPr>
            </w:pPr>
          </w:p>
        </w:tc>
        <w:tc>
          <w:tcPr>
            <w:tcW w:w="528" w:type="dxa"/>
          </w:tcPr>
          <w:p w:rsidR="005F7B0F" w:rsidRPr="005F7B0F" w:rsidRDefault="005F7B0F" w:rsidP="009D2F55">
            <w:pPr>
              <w:rPr>
                <w:rFonts w:asciiTheme="minorHAnsi" w:hAnsiTheme="minorHAnsi" w:cstheme="minorHAnsi"/>
                <w:b/>
                <w:sz w:val="20"/>
                <w:szCs w:val="20"/>
              </w:rPr>
            </w:pPr>
          </w:p>
        </w:tc>
        <w:tc>
          <w:tcPr>
            <w:tcW w:w="460" w:type="dxa"/>
            <w:gridSpan w:val="4"/>
          </w:tcPr>
          <w:p w:rsidR="005F7B0F" w:rsidRPr="005F7B0F" w:rsidRDefault="005F7B0F" w:rsidP="009D2F55">
            <w:pPr>
              <w:rPr>
                <w:rFonts w:asciiTheme="minorHAnsi" w:hAnsiTheme="minorHAnsi" w:cstheme="minorHAnsi"/>
                <w:b/>
                <w:sz w:val="20"/>
                <w:szCs w:val="20"/>
              </w:rPr>
            </w:pPr>
          </w:p>
        </w:tc>
        <w:tc>
          <w:tcPr>
            <w:tcW w:w="460" w:type="dxa"/>
          </w:tcPr>
          <w:p w:rsidR="005F7B0F" w:rsidRPr="005F7B0F" w:rsidRDefault="005F7B0F" w:rsidP="009D2F55">
            <w:pPr>
              <w:rPr>
                <w:rFonts w:asciiTheme="minorHAnsi" w:hAnsiTheme="minorHAnsi" w:cstheme="minorHAnsi"/>
                <w:b/>
                <w:sz w:val="20"/>
                <w:szCs w:val="20"/>
              </w:rPr>
            </w:pPr>
          </w:p>
        </w:tc>
        <w:tc>
          <w:tcPr>
            <w:tcW w:w="460" w:type="dxa"/>
            <w:gridSpan w:val="2"/>
          </w:tcPr>
          <w:p w:rsidR="005F7B0F" w:rsidRPr="005F7B0F" w:rsidRDefault="005F7B0F" w:rsidP="009D2F55">
            <w:pPr>
              <w:rPr>
                <w:rFonts w:asciiTheme="minorHAnsi" w:hAnsiTheme="minorHAnsi" w:cstheme="minorHAnsi"/>
                <w:b/>
                <w:sz w:val="20"/>
                <w:szCs w:val="20"/>
              </w:rPr>
            </w:pPr>
          </w:p>
        </w:tc>
        <w:tc>
          <w:tcPr>
            <w:tcW w:w="460" w:type="dxa"/>
            <w:gridSpan w:val="2"/>
          </w:tcPr>
          <w:p w:rsidR="005F7B0F" w:rsidRPr="005F7B0F" w:rsidRDefault="005F7B0F" w:rsidP="009D2F55">
            <w:pPr>
              <w:rPr>
                <w:rFonts w:asciiTheme="minorHAnsi" w:hAnsiTheme="minorHAnsi" w:cstheme="minorHAnsi"/>
                <w:b/>
                <w:sz w:val="20"/>
                <w:szCs w:val="20"/>
              </w:rPr>
            </w:pPr>
          </w:p>
        </w:tc>
        <w:tc>
          <w:tcPr>
            <w:tcW w:w="460" w:type="dxa"/>
            <w:gridSpan w:val="3"/>
          </w:tcPr>
          <w:p w:rsidR="005F7B0F" w:rsidRPr="005F7B0F" w:rsidRDefault="005F7B0F" w:rsidP="009D2F55">
            <w:pPr>
              <w:rPr>
                <w:rFonts w:asciiTheme="minorHAnsi" w:hAnsiTheme="minorHAnsi" w:cstheme="minorHAnsi"/>
                <w:b/>
                <w:sz w:val="20"/>
                <w:szCs w:val="20"/>
              </w:rPr>
            </w:pPr>
          </w:p>
        </w:tc>
        <w:tc>
          <w:tcPr>
            <w:tcW w:w="460" w:type="dxa"/>
            <w:gridSpan w:val="3"/>
          </w:tcPr>
          <w:p w:rsidR="005F7B0F" w:rsidRPr="005F7B0F" w:rsidRDefault="005F7B0F" w:rsidP="009D2F55">
            <w:pPr>
              <w:rPr>
                <w:rFonts w:asciiTheme="minorHAnsi" w:hAnsiTheme="minorHAnsi" w:cstheme="minorHAnsi"/>
                <w:b/>
                <w:sz w:val="20"/>
                <w:szCs w:val="20"/>
              </w:rPr>
            </w:pPr>
          </w:p>
        </w:tc>
        <w:tc>
          <w:tcPr>
            <w:tcW w:w="397" w:type="dxa"/>
            <w:gridSpan w:val="2"/>
          </w:tcPr>
          <w:p w:rsidR="005F7B0F" w:rsidRPr="005F7B0F" w:rsidRDefault="005F7B0F" w:rsidP="009D2F55">
            <w:pPr>
              <w:rPr>
                <w:rFonts w:asciiTheme="minorHAnsi" w:hAnsiTheme="minorHAnsi" w:cstheme="minorHAnsi"/>
                <w:b/>
                <w:sz w:val="20"/>
                <w:szCs w:val="20"/>
              </w:rPr>
            </w:pPr>
          </w:p>
        </w:tc>
        <w:tc>
          <w:tcPr>
            <w:tcW w:w="523" w:type="dxa"/>
            <w:gridSpan w:val="3"/>
          </w:tcPr>
          <w:p w:rsidR="005F7B0F" w:rsidRPr="005F7B0F" w:rsidRDefault="005F7B0F" w:rsidP="009D2F55">
            <w:pPr>
              <w:rPr>
                <w:rFonts w:asciiTheme="minorHAnsi" w:hAnsiTheme="minorHAnsi" w:cstheme="minorHAnsi"/>
                <w:b/>
                <w:sz w:val="20"/>
                <w:szCs w:val="20"/>
              </w:rPr>
            </w:pPr>
          </w:p>
        </w:tc>
        <w:tc>
          <w:tcPr>
            <w:tcW w:w="2383" w:type="dxa"/>
            <w:gridSpan w:val="11"/>
          </w:tcPr>
          <w:p w:rsidR="005F7B0F" w:rsidRPr="005F7B0F" w:rsidRDefault="005F7B0F" w:rsidP="009D2F55">
            <w:pPr>
              <w:rPr>
                <w:rFonts w:asciiTheme="minorHAnsi" w:hAnsiTheme="minorHAnsi" w:cstheme="minorHAnsi"/>
                <w:b/>
                <w:sz w:val="20"/>
                <w:szCs w:val="20"/>
              </w:rPr>
            </w:pPr>
          </w:p>
        </w:tc>
        <w:tc>
          <w:tcPr>
            <w:tcW w:w="160" w:type="dxa"/>
          </w:tcPr>
          <w:p w:rsidR="005F7B0F" w:rsidRPr="005F7B0F" w:rsidRDefault="005F7B0F" w:rsidP="009D2F55">
            <w:pPr>
              <w:rPr>
                <w:rFonts w:asciiTheme="minorHAnsi" w:hAnsiTheme="minorHAnsi" w:cstheme="minorHAnsi"/>
                <w:b/>
                <w:sz w:val="20"/>
                <w:szCs w:val="20"/>
              </w:rPr>
            </w:pPr>
          </w:p>
        </w:tc>
        <w:tc>
          <w:tcPr>
            <w:tcW w:w="460" w:type="dxa"/>
            <w:gridSpan w:val="2"/>
          </w:tcPr>
          <w:p w:rsidR="005F7B0F" w:rsidRPr="005F7B0F" w:rsidRDefault="005F7B0F" w:rsidP="009D2F55">
            <w:pPr>
              <w:rPr>
                <w:rFonts w:asciiTheme="minorHAnsi" w:hAnsiTheme="minorHAnsi" w:cstheme="minorHAnsi"/>
                <w:b/>
                <w:sz w:val="20"/>
                <w:szCs w:val="20"/>
              </w:rPr>
            </w:pPr>
          </w:p>
        </w:tc>
        <w:tc>
          <w:tcPr>
            <w:tcW w:w="460" w:type="dxa"/>
            <w:gridSpan w:val="2"/>
          </w:tcPr>
          <w:p w:rsidR="005F7B0F" w:rsidRPr="005F7B0F" w:rsidRDefault="005F7B0F" w:rsidP="009D2F55">
            <w:pPr>
              <w:rPr>
                <w:rFonts w:asciiTheme="minorHAnsi" w:hAnsiTheme="minorHAnsi" w:cstheme="minorHAnsi"/>
                <w:b/>
                <w:sz w:val="20"/>
                <w:szCs w:val="20"/>
              </w:rPr>
            </w:pPr>
          </w:p>
        </w:tc>
        <w:tc>
          <w:tcPr>
            <w:tcW w:w="460" w:type="dxa"/>
            <w:gridSpan w:val="2"/>
          </w:tcPr>
          <w:p w:rsidR="005F7B0F" w:rsidRPr="005F7B0F" w:rsidRDefault="005F7B0F" w:rsidP="009D2F55">
            <w:pPr>
              <w:rPr>
                <w:rFonts w:asciiTheme="minorHAnsi" w:hAnsiTheme="minorHAnsi" w:cstheme="minorHAnsi"/>
                <w:b/>
                <w:sz w:val="20"/>
                <w:szCs w:val="20"/>
              </w:rPr>
            </w:pPr>
          </w:p>
        </w:tc>
        <w:tc>
          <w:tcPr>
            <w:tcW w:w="460" w:type="dxa"/>
          </w:tcPr>
          <w:p w:rsidR="005F7B0F" w:rsidRPr="005F7B0F" w:rsidRDefault="005F7B0F" w:rsidP="009D2F55">
            <w:pPr>
              <w:rPr>
                <w:rFonts w:asciiTheme="minorHAnsi" w:hAnsiTheme="minorHAnsi" w:cstheme="minorHAnsi"/>
                <w:b/>
                <w:sz w:val="20"/>
                <w:szCs w:val="20"/>
              </w:rPr>
            </w:pPr>
          </w:p>
        </w:tc>
        <w:tc>
          <w:tcPr>
            <w:tcW w:w="460" w:type="dxa"/>
          </w:tcPr>
          <w:p w:rsidR="005F7B0F" w:rsidRPr="005F7B0F" w:rsidRDefault="005F7B0F" w:rsidP="009D2F55">
            <w:pPr>
              <w:rPr>
                <w:rFonts w:asciiTheme="minorHAnsi" w:hAnsiTheme="minorHAnsi" w:cstheme="minorHAnsi"/>
                <w:b/>
                <w:sz w:val="20"/>
                <w:szCs w:val="20"/>
              </w:rPr>
            </w:pPr>
          </w:p>
        </w:tc>
        <w:tc>
          <w:tcPr>
            <w:tcW w:w="460" w:type="dxa"/>
            <w:gridSpan w:val="3"/>
          </w:tcPr>
          <w:p w:rsidR="005F7B0F" w:rsidRPr="005F7B0F" w:rsidRDefault="005F7B0F" w:rsidP="009D2F55">
            <w:pPr>
              <w:rPr>
                <w:rFonts w:asciiTheme="minorHAnsi" w:hAnsiTheme="minorHAnsi" w:cstheme="minorHAnsi"/>
                <w:b/>
                <w:sz w:val="20"/>
                <w:szCs w:val="20"/>
              </w:rPr>
            </w:pPr>
          </w:p>
        </w:tc>
        <w:tc>
          <w:tcPr>
            <w:tcW w:w="1183" w:type="dxa"/>
          </w:tcPr>
          <w:p w:rsidR="005F7B0F" w:rsidRPr="005F7B0F" w:rsidRDefault="005F7B0F" w:rsidP="009D2F55">
            <w:pPr>
              <w:rPr>
                <w:rFonts w:asciiTheme="minorHAnsi" w:hAnsiTheme="minorHAnsi" w:cstheme="minorHAnsi"/>
                <w:b/>
                <w:sz w:val="20"/>
                <w:szCs w:val="20"/>
              </w:rPr>
            </w:pPr>
          </w:p>
        </w:tc>
      </w:tr>
      <w:tr w:rsidR="005F7B0F" w:rsidRPr="005F7B0F" w:rsidTr="005F7B0F">
        <w:trPr>
          <w:gridAfter w:val="3"/>
          <w:wAfter w:w="1623" w:type="dxa"/>
        </w:trPr>
        <w:tc>
          <w:tcPr>
            <w:tcW w:w="9923" w:type="dxa"/>
            <w:gridSpan w:val="44"/>
          </w:tcPr>
          <w:p w:rsidR="005F7B0F" w:rsidRPr="005F7B0F" w:rsidRDefault="005F7B0F" w:rsidP="009D2F55">
            <w:pPr>
              <w:rPr>
                <w:rFonts w:asciiTheme="minorHAnsi" w:hAnsiTheme="minorHAnsi" w:cstheme="minorHAnsi"/>
                <w:b/>
                <w:sz w:val="18"/>
                <w:szCs w:val="18"/>
              </w:rPr>
            </w:pPr>
            <w:r w:rsidRPr="005F7B0F">
              <w:rPr>
                <w:rFonts w:asciiTheme="minorHAnsi" w:hAnsiTheme="minorHAnsi" w:cstheme="minorHAnsi"/>
                <w:b/>
                <w:sz w:val="18"/>
                <w:szCs w:val="18"/>
              </w:rPr>
              <w:t>Komentář k položkám (akcím), které vykázaly abnormalitu v řádném čerpání výdajů rozpočtu kapitoly ve sledovaném období</w:t>
            </w:r>
          </w:p>
        </w:tc>
      </w:tr>
      <w:tr w:rsidR="005F7B0F" w:rsidRPr="005F7B0F" w:rsidTr="005F7B0F">
        <w:trPr>
          <w:gridAfter w:val="3"/>
          <w:wAfter w:w="1623" w:type="dxa"/>
        </w:trPr>
        <w:tc>
          <w:tcPr>
            <w:tcW w:w="852" w:type="dxa"/>
            <w:gridSpan w:val="2"/>
            <w:tcBorders>
              <w:top w:val="single" w:sz="6" w:space="0" w:color="auto"/>
              <w:left w:val="single" w:sz="6" w:space="0" w:color="auto"/>
              <w:bottom w:val="single" w:sz="6" w:space="0" w:color="auto"/>
              <w:right w:val="single" w:sz="6" w:space="0" w:color="auto"/>
            </w:tcBorders>
            <w:shd w:val="clear" w:color="auto" w:fill="FFFF00"/>
          </w:tcPr>
          <w:p w:rsidR="005F7B0F" w:rsidRPr="005F7B0F" w:rsidRDefault="005F7B0F" w:rsidP="009D2F55">
            <w:pPr>
              <w:jc w:val="center"/>
              <w:rPr>
                <w:rFonts w:asciiTheme="minorHAnsi" w:hAnsiTheme="minorHAnsi" w:cstheme="minorHAnsi"/>
                <w:b/>
                <w:sz w:val="18"/>
                <w:szCs w:val="18"/>
              </w:rPr>
            </w:pPr>
            <w:r w:rsidRPr="005F7B0F">
              <w:rPr>
                <w:rFonts w:asciiTheme="minorHAnsi" w:hAnsiTheme="minorHAnsi" w:cstheme="minorHAnsi"/>
                <w:b/>
                <w:sz w:val="18"/>
                <w:szCs w:val="18"/>
              </w:rPr>
              <w:t>Oddíl, paragraf</w:t>
            </w:r>
          </w:p>
        </w:tc>
        <w:tc>
          <w:tcPr>
            <w:tcW w:w="780" w:type="dxa"/>
            <w:gridSpan w:val="3"/>
            <w:tcBorders>
              <w:top w:val="single" w:sz="6" w:space="0" w:color="auto"/>
              <w:left w:val="single" w:sz="6" w:space="0" w:color="auto"/>
              <w:bottom w:val="single" w:sz="6" w:space="0" w:color="auto"/>
              <w:right w:val="single" w:sz="6" w:space="0" w:color="auto"/>
            </w:tcBorders>
            <w:shd w:val="clear" w:color="auto" w:fill="FFFF00"/>
          </w:tcPr>
          <w:p w:rsidR="005F7B0F" w:rsidRPr="005F7B0F" w:rsidRDefault="005F7B0F" w:rsidP="009D2F55">
            <w:pPr>
              <w:jc w:val="center"/>
              <w:rPr>
                <w:rFonts w:asciiTheme="minorHAnsi" w:hAnsiTheme="minorHAnsi" w:cstheme="minorHAnsi"/>
                <w:b/>
                <w:sz w:val="18"/>
                <w:szCs w:val="18"/>
              </w:rPr>
            </w:pPr>
            <w:r w:rsidRPr="005F7B0F">
              <w:rPr>
                <w:rFonts w:asciiTheme="minorHAnsi" w:hAnsiTheme="minorHAnsi" w:cstheme="minorHAnsi"/>
                <w:b/>
                <w:sz w:val="18"/>
                <w:szCs w:val="18"/>
              </w:rPr>
              <w:t>Položka</w:t>
            </w:r>
          </w:p>
        </w:tc>
        <w:tc>
          <w:tcPr>
            <w:tcW w:w="1346" w:type="dxa"/>
            <w:gridSpan w:val="6"/>
            <w:tcBorders>
              <w:top w:val="single" w:sz="6" w:space="0" w:color="auto"/>
              <w:left w:val="single" w:sz="6" w:space="0" w:color="auto"/>
              <w:bottom w:val="single" w:sz="6" w:space="0" w:color="auto"/>
              <w:right w:val="single" w:sz="6" w:space="0" w:color="auto"/>
            </w:tcBorders>
            <w:shd w:val="clear" w:color="auto" w:fill="FFFF00"/>
          </w:tcPr>
          <w:p w:rsidR="005F7B0F" w:rsidRPr="005F7B0F" w:rsidRDefault="005F7B0F" w:rsidP="009D2F55">
            <w:pPr>
              <w:jc w:val="center"/>
              <w:rPr>
                <w:rFonts w:asciiTheme="minorHAnsi" w:hAnsiTheme="minorHAnsi" w:cstheme="minorHAnsi"/>
                <w:b/>
                <w:sz w:val="18"/>
                <w:szCs w:val="18"/>
              </w:rPr>
            </w:pPr>
            <w:r w:rsidRPr="005F7B0F">
              <w:rPr>
                <w:rFonts w:asciiTheme="minorHAnsi" w:hAnsiTheme="minorHAnsi" w:cstheme="minorHAnsi"/>
                <w:b/>
                <w:sz w:val="18"/>
                <w:szCs w:val="18"/>
              </w:rPr>
              <w:t>Organizace</w:t>
            </w:r>
          </w:p>
        </w:tc>
        <w:tc>
          <w:tcPr>
            <w:tcW w:w="780" w:type="dxa"/>
            <w:gridSpan w:val="6"/>
            <w:tcBorders>
              <w:top w:val="single" w:sz="6" w:space="0" w:color="auto"/>
              <w:left w:val="single" w:sz="6" w:space="0" w:color="auto"/>
              <w:bottom w:val="single" w:sz="6" w:space="0" w:color="auto"/>
              <w:right w:val="single" w:sz="6" w:space="0" w:color="auto"/>
            </w:tcBorders>
            <w:shd w:val="clear" w:color="auto" w:fill="FFFF00"/>
          </w:tcPr>
          <w:p w:rsidR="005F7B0F" w:rsidRPr="005F7B0F" w:rsidRDefault="005F7B0F" w:rsidP="009D2F55">
            <w:pPr>
              <w:jc w:val="center"/>
              <w:rPr>
                <w:rFonts w:asciiTheme="minorHAnsi" w:hAnsiTheme="minorHAnsi" w:cstheme="minorHAnsi"/>
                <w:b/>
                <w:sz w:val="18"/>
                <w:szCs w:val="18"/>
              </w:rPr>
            </w:pPr>
            <w:r w:rsidRPr="005F7B0F">
              <w:rPr>
                <w:rFonts w:asciiTheme="minorHAnsi" w:hAnsiTheme="minorHAnsi" w:cstheme="minorHAnsi"/>
                <w:b/>
                <w:sz w:val="18"/>
                <w:szCs w:val="18"/>
              </w:rPr>
              <w:t>Účelový zdroj</w:t>
            </w:r>
          </w:p>
        </w:tc>
        <w:tc>
          <w:tcPr>
            <w:tcW w:w="1559" w:type="dxa"/>
            <w:gridSpan w:val="8"/>
            <w:tcBorders>
              <w:top w:val="single" w:sz="6" w:space="0" w:color="auto"/>
              <w:left w:val="single" w:sz="6" w:space="0" w:color="auto"/>
              <w:bottom w:val="single" w:sz="6" w:space="0" w:color="auto"/>
              <w:right w:val="single" w:sz="6" w:space="0" w:color="auto"/>
            </w:tcBorders>
            <w:shd w:val="clear" w:color="auto" w:fill="FFFF00"/>
          </w:tcPr>
          <w:p w:rsidR="005F7B0F" w:rsidRPr="005F7B0F" w:rsidRDefault="005F7B0F" w:rsidP="009D2F55">
            <w:pPr>
              <w:jc w:val="center"/>
              <w:rPr>
                <w:rFonts w:asciiTheme="minorHAnsi" w:hAnsiTheme="minorHAnsi" w:cstheme="minorHAnsi"/>
                <w:b/>
                <w:sz w:val="18"/>
                <w:szCs w:val="18"/>
              </w:rPr>
            </w:pPr>
            <w:r w:rsidRPr="005F7B0F">
              <w:rPr>
                <w:rFonts w:asciiTheme="minorHAnsi" w:hAnsiTheme="minorHAnsi" w:cstheme="minorHAnsi"/>
                <w:b/>
                <w:sz w:val="18"/>
                <w:szCs w:val="18"/>
              </w:rPr>
              <w:t>Upravený rozpočet v tis. Kč</w:t>
            </w:r>
          </w:p>
        </w:tc>
        <w:tc>
          <w:tcPr>
            <w:tcW w:w="1134" w:type="dxa"/>
            <w:gridSpan w:val="5"/>
            <w:tcBorders>
              <w:top w:val="single" w:sz="6" w:space="0" w:color="auto"/>
              <w:left w:val="single" w:sz="6" w:space="0" w:color="auto"/>
              <w:bottom w:val="single" w:sz="6" w:space="0" w:color="auto"/>
              <w:right w:val="single" w:sz="6" w:space="0" w:color="auto"/>
            </w:tcBorders>
            <w:shd w:val="clear" w:color="auto" w:fill="FFFF00"/>
          </w:tcPr>
          <w:p w:rsidR="005F7B0F" w:rsidRPr="005F7B0F" w:rsidRDefault="005F7B0F" w:rsidP="009D2F55">
            <w:pPr>
              <w:jc w:val="center"/>
              <w:rPr>
                <w:rFonts w:asciiTheme="minorHAnsi" w:hAnsiTheme="minorHAnsi" w:cstheme="minorHAnsi"/>
                <w:b/>
                <w:sz w:val="18"/>
                <w:szCs w:val="18"/>
              </w:rPr>
            </w:pPr>
            <w:r w:rsidRPr="005F7B0F">
              <w:rPr>
                <w:rFonts w:asciiTheme="minorHAnsi" w:hAnsiTheme="minorHAnsi" w:cstheme="minorHAnsi"/>
                <w:b/>
                <w:sz w:val="18"/>
                <w:szCs w:val="18"/>
              </w:rPr>
              <w:t>Skutečnost v tis. Kč</w:t>
            </w:r>
          </w:p>
        </w:tc>
        <w:tc>
          <w:tcPr>
            <w:tcW w:w="3472" w:type="dxa"/>
            <w:gridSpan w:val="14"/>
            <w:tcBorders>
              <w:top w:val="single" w:sz="6" w:space="0" w:color="auto"/>
              <w:left w:val="single" w:sz="6" w:space="0" w:color="auto"/>
              <w:bottom w:val="single" w:sz="6" w:space="0" w:color="auto"/>
              <w:right w:val="single" w:sz="6" w:space="0" w:color="auto"/>
            </w:tcBorders>
            <w:shd w:val="clear" w:color="auto" w:fill="FFFF00"/>
          </w:tcPr>
          <w:p w:rsidR="005F7B0F" w:rsidRPr="005F7B0F" w:rsidRDefault="005F7B0F" w:rsidP="009D2F55">
            <w:pPr>
              <w:jc w:val="center"/>
              <w:rPr>
                <w:rFonts w:asciiTheme="minorHAnsi" w:hAnsiTheme="minorHAnsi" w:cstheme="minorHAnsi"/>
                <w:b/>
                <w:sz w:val="18"/>
                <w:szCs w:val="18"/>
              </w:rPr>
            </w:pPr>
            <w:r w:rsidRPr="005F7B0F">
              <w:rPr>
                <w:rFonts w:asciiTheme="minorHAnsi" w:hAnsiTheme="minorHAnsi" w:cstheme="minorHAnsi"/>
                <w:b/>
                <w:sz w:val="18"/>
                <w:szCs w:val="18"/>
              </w:rPr>
              <w:t>Komentář</w:t>
            </w:r>
          </w:p>
        </w:tc>
      </w:tr>
      <w:tr w:rsidR="005F7B0F" w:rsidRPr="005F7B0F" w:rsidTr="005F7B0F">
        <w:trPr>
          <w:gridAfter w:val="3"/>
          <w:wAfter w:w="1623" w:type="dxa"/>
        </w:trPr>
        <w:tc>
          <w:tcPr>
            <w:tcW w:w="852" w:type="dxa"/>
            <w:gridSpan w:val="2"/>
            <w:tcBorders>
              <w:top w:val="single" w:sz="6" w:space="0" w:color="auto"/>
              <w:left w:val="single" w:sz="6" w:space="0" w:color="auto"/>
              <w:bottom w:val="single" w:sz="6" w:space="0" w:color="auto"/>
              <w:right w:val="single" w:sz="6" w:space="0" w:color="auto"/>
            </w:tcBorders>
          </w:tcPr>
          <w:p w:rsidR="005F7B0F" w:rsidRPr="005F7B0F" w:rsidRDefault="005F7B0F" w:rsidP="009D2F55">
            <w:pPr>
              <w:jc w:val="center"/>
              <w:rPr>
                <w:rFonts w:asciiTheme="minorHAnsi" w:hAnsiTheme="minorHAnsi" w:cstheme="minorHAnsi"/>
                <w:sz w:val="18"/>
                <w:szCs w:val="18"/>
              </w:rPr>
            </w:pPr>
            <w:r w:rsidRPr="005F7B0F">
              <w:rPr>
                <w:rFonts w:asciiTheme="minorHAnsi" w:hAnsiTheme="minorHAnsi" w:cstheme="minorHAnsi"/>
                <w:sz w:val="18"/>
                <w:szCs w:val="18"/>
              </w:rPr>
              <w:t>xxxx</w:t>
            </w:r>
          </w:p>
        </w:tc>
        <w:tc>
          <w:tcPr>
            <w:tcW w:w="780" w:type="dxa"/>
            <w:gridSpan w:val="3"/>
            <w:tcBorders>
              <w:top w:val="single" w:sz="6" w:space="0" w:color="auto"/>
              <w:left w:val="single" w:sz="6" w:space="0" w:color="auto"/>
              <w:bottom w:val="single" w:sz="6" w:space="0" w:color="auto"/>
              <w:right w:val="single" w:sz="6" w:space="0" w:color="auto"/>
            </w:tcBorders>
          </w:tcPr>
          <w:p w:rsidR="005F7B0F" w:rsidRPr="005F7B0F" w:rsidRDefault="005F7B0F" w:rsidP="009D2F55">
            <w:pPr>
              <w:jc w:val="center"/>
              <w:rPr>
                <w:rFonts w:asciiTheme="minorHAnsi" w:hAnsiTheme="minorHAnsi" w:cstheme="minorHAnsi"/>
                <w:sz w:val="18"/>
                <w:szCs w:val="18"/>
              </w:rPr>
            </w:pPr>
            <w:r w:rsidRPr="005F7B0F">
              <w:rPr>
                <w:rFonts w:asciiTheme="minorHAnsi" w:hAnsiTheme="minorHAnsi" w:cstheme="minorHAnsi"/>
                <w:sz w:val="18"/>
                <w:szCs w:val="18"/>
              </w:rPr>
              <w:t>xxxx</w:t>
            </w:r>
          </w:p>
        </w:tc>
        <w:tc>
          <w:tcPr>
            <w:tcW w:w="1346" w:type="dxa"/>
            <w:gridSpan w:val="6"/>
            <w:tcBorders>
              <w:top w:val="single" w:sz="6" w:space="0" w:color="auto"/>
              <w:left w:val="single" w:sz="6" w:space="0" w:color="auto"/>
              <w:bottom w:val="single" w:sz="6" w:space="0" w:color="auto"/>
              <w:right w:val="single" w:sz="6" w:space="0" w:color="auto"/>
            </w:tcBorders>
          </w:tcPr>
          <w:p w:rsidR="005F7B0F" w:rsidRPr="005F7B0F" w:rsidRDefault="005F7B0F" w:rsidP="009D2F55">
            <w:pPr>
              <w:jc w:val="center"/>
              <w:rPr>
                <w:rFonts w:asciiTheme="minorHAnsi" w:hAnsiTheme="minorHAnsi" w:cstheme="minorHAnsi"/>
                <w:sz w:val="18"/>
                <w:szCs w:val="18"/>
              </w:rPr>
            </w:pPr>
            <w:r w:rsidRPr="005F7B0F">
              <w:rPr>
                <w:rFonts w:asciiTheme="minorHAnsi" w:hAnsiTheme="minorHAnsi" w:cstheme="minorHAnsi"/>
                <w:sz w:val="18"/>
                <w:szCs w:val="18"/>
              </w:rPr>
              <w:t>xxxxxx</w:t>
            </w:r>
          </w:p>
        </w:tc>
        <w:tc>
          <w:tcPr>
            <w:tcW w:w="780" w:type="dxa"/>
            <w:gridSpan w:val="6"/>
            <w:tcBorders>
              <w:top w:val="single" w:sz="6" w:space="0" w:color="auto"/>
              <w:left w:val="single" w:sz="6" w:space="0" w:color="auto"/>
              <w:bottom w:val="single" w:sz="6" w:space="0" w:color="auto"/>
              <w:right w:val="single" w:sz="6" w:space="0" w:color="auto"/>
            </w:tcBorders>
          </w:tcPr>
          <w:p w:rsidR="005F7B0F" w:rsidRPr="005F7B0F" w:rsidRDefault="005F7B0F" w:rsidP="009D2F55">
            <w:pPr>
              <w:jc w:val="center"/>
              <w:rPr>
                <w:rFonts w:asciiTheme="minorHAnsi" w:hAnsiTheme="minorHAnsi" w:cstheme="minorHAnsi"/>
                <w:sz w:val="18"/>
                <w:szCs w:val="18"/>
              </w:rPr>
            </w:pPr>
            <w:r w:rsidRPr="005F7B0F">
              <w:rPr>
                <w:rFonts w:asciiTheme="minorHAnsi" w:hAnsiTheme="minorHAnsi" w:cstheme="minorHAnsi"/>
                <w:sz w:val="18"/>
                <w:szCs w:val="18"/>
              </w:rPr>
              <w:t>xxxxx</w:t>
            </w:r>
          </w:p>
        </w:tc>
        <w:tc>
          <w:tcPr>
            <w:tcW w:w="1559" w:type="dxa"/>
            <w:gridSpan w:val="8"/>
            <w:tcBorders>
              <w:top w:val="single" w:sz="6" w:space="0" w:color="auto"/>
              <w:left w:val="single" w:sz="6" w:space="0" w:color="auto"/>
              <w:bottom w:val="single" w:sz="6" w:space="0" w:color="auto"/>
              <w:right w:val="single" w:sz="6" w:space="0" w:color="auto"/>
            </w:tcBorders>
          </w:tcPr>
          <w:p w:rsidR="005F7B0F" w:rsidRPr="005F7B0F" w:rsidRDefault="005F7B0F" w:rsidP="009D2F55">
            <w:pPr>
              <w:jc w:val="right"/>
              <w:rPr>
                <w:rFonts w:asciiTheme="minorHAnsi" w:hAnsiTheme="minorHAnsi" w:cstheme="minorHAnsi"/>
                <w:sz w:val="18"/>
                <w:szCs w:val="18"/>
              </w:rPr>
            </w:pPr>
            <w:r w:rsidRPr="005F7B0F">
              <w:rPr>
                <w:rFonts w:asciiTheme="minorHAnsi" w:hAnsiTheme="minorHAnsi" w:cstheme="minorHAnsi"/>
                <w:sz w:val="18"/>
                <w:szCs w:val="18"/>
              </w:rPr>
              <w:t>x.xxx,xx</w:t>
            </w:r>
          </w:p>
        </w:tc>
        <w:tc>
          <w:tcPr>
            <w:tcW w:w="1134" w:type="dxa"/>
            <w:gridSpan w:val="5"/>
            <w:tcBorders>
              <w:top w:val="single" w:sz="6" w:space="0" w:color="auto"/>
              <w:left w:val="single" w:sz="6" w:space="0" w:color="auto"/>
              <w:bottom w:val="single" w:sz="6" w:space="0" w:color="auto"/>
              <w:right w:val="single" w:sz="6" w:space="0" w:color="auto"/>
            </w:tcBorders>
          </w:tcPr>
          <w:p w:rsidR="005F7B0F" w:rsidRPr="005F7B0F" w:rsidRDefault="005F7B0F" w:rsidP="009D2F55">
            <w:pPr>
              <w:jc w:val="right"/>
              <w:rPr>
                <w:rFonts w:asciiTheme="minorHAnsi" w:hAnsiTheme="minorHAnsi" w:cstheme="minorHAnsi"/>
                <w:sz w:val="18"/>
                <w:szCs w:val="18"/>
              </w:rPr>
            </w:pPr>
            <w:r w:rsidRPr="005F7B0F">
              <w:rPr>
                <w:rFonts w:asciiTheme="minorHAnsi" w:hAnsiTheme="minorHAnsi" w:cstheme="minorHAnsi"/>
                <w:sz w:val="18"/>
                <w:szCs w:val="18"/>
              </w:rPr>
              <w:t>x.xxx,xx</w:t>
            </w:r>
          </w:p>
        </w:tc>
        <w:tc>
          <w:tcPr>
            <w:tcW w:w="3472" w:type="dxa"/>
            <w:gridSpan w:val="14"/>
            <w:tcBorders>
              <w:top w:val="single" w:sz="6" w:space="0" w:color="auto"/>
              <w:left w:val="single" w:sz="6" w:space="0" w:color="auto"/>
              <w:bottom w:val="single" w:sz="6" w:space="0" w:color="auto"/>
              <w:right w:val="single" w:sz="6" w:space="0" w:color="auto"/>
            </w:tcBorders>
          </w:tcPr>
          <w:p w:rsidR="005F7B0F" w:rsidRPr="005F7B0F" w:rsidRDefault="005F7B0F" w:rsidP="009D2F55">
            <w:pPr>
              <w:rPr>
                <w:rFonts w:asciiTheme="minorHAnsi" w:hAnsiTheme="minorHAnsi" w:cstheme="minorHAnsi"/>
                <w:sz w:val="18"/>
                <w:szCs w:val="18"/>
              </w:rPr>
            </w:pPr>
            <w:r w:rsidRPr="005F7B0F">
              <w:rPr>
                <w:rFonts w:asciiTheme="minorHAnsi" w:hAnsiTheme="minorHAnsi" w:cstheme="minorHAnsi"/>
                <w:sz w:val="18"/>
                <w:szCs w:val="18"/>
              </w:rPr>
              <w:t>Abnormality se nevyskytly.</w:t>
            </w:r>
          </w:p>
        </w:tc>
      </w:tr>
    </w:tbl>
    <w:p w:rsidR="005F7B0F" w:rsidRDefault="005F7B0F" w:rsidP="005F7B0F">
      <w:pPr>
        <w:rPr>
          <w:rFonts w:asciiTheme="minorHAnsi" w:hAnsiTheme="minorHAnsi" w:cstheme="minorHAnsi"/>
          <w:b/>
          <w:sz w:val="20"/>
          <w:szCs w:val="20"/>
        </w:rPr>
      </w:pPr>
    </w:p>
    <w:p w:rsidR="00F2042D" w:rsidRDefault="00F2042D" w:rsidP="005F7B0F">
      <w:pPr>
        <w:rPr>
          <w:rFonts w:asciiTheme="minorHAnsi" w:hAnsiTheme="minorHAnsi" w:cstheme="minorHAnsi"/>
          <w:b/>
          <w:sz w:val="20"/>
          <w:szCs w:val="20"/>
        </w:rPr>
      </w:pPr>
    </w:p>
    <w:p w:rsidR="00F2042D" w:rsidRPr="005F7B0F" w:rsidRDefault="00F2042D" w:rsidP="005F7B0F">
      <w:pPr>
        <w:rPr>
          <w:rFonts w:asciiTheme="minorHAnsi" w:hAnsiTheme="minorHAnsi" w:cstheme="minorHAnsi"/>
          <w:b/>
          <w:sz w:val="20"/>
          <w:szCs w:val="20"/>
        </w:rPr>
      </w:pPr>
    </w:p>
    <w:p w:rsidR="005F7B0F" w:rsidRPr="005F7B0F" w:rsidRDefault="005F7B0F" w:rsidP="005F7B0F">
      <w:pPr>
        <w:rPr>
          <w:rFonts w:asciiTheme="minorHAnsi" w:hAnsiTheme="minorHAnsi" w:cstheme="minorHAnsi"/>
          <w:b/>
          <w:sz w:val="20"/>
          <w:szCs w:val="20"/>
        </w:rPr>
      </w:pPr>
      <w:r w:rsidRPr="005F7B0F">
        <w:rPr>
          <w:rFonts w:asciiTheme="minorHAnsi" w:hAnsiTheme="minorHAnsi" w:cstheme="minorHAnsi"/>
          <w:b/>
          <w:sz w:val="20"/>
          <w:szCs w:val="20"/>
        </w:rPr>
        <w:t>Přehled schválených rozpočtových opatření k 31. 12. 2022:</w:t>
      </w:r>
    </w:p>
    <w:tbl>
      <w:tblPr>
        <w:tblW w:w="9602" w:type="dxa"/>
        <w:tblInd w:w="-72" w:type="dxa"/>
        <w:tblLayout w:type="fixed"/>
        <w:tblCellMar>
          <w:left w:w="70" w:type="dxa"/>
          <w:right w:w="70" w:type="dxa"/>
        </w:tblCellMar>
        <w:tblLook w:val="0000" w:firstRow="0" w:lastRow="0" w:firstColumn="0" w:lastColumn="0" w:noHBand="0" w:noVBand="0"/>
      </w:tblPr>
      <w:tblGrid>
        <w:gridCol w:w="67"/>
        <w:gridCol w:w="386"/>
        <w:gridCol w:w="4"/>
        <w:gridCol w:w="56"/>
        <w:gridCol w:w="268"/>
        <w:gridCol w:w="47"/>
        <w:gridCol w:w="452"/>
        <w:gridCol w:w="63"/>
        <w:gridCol w:w="5"/>
        <w:gridCol w:w="48"/>
        <w:gridCol w:w="107"/>
        <w:gridCol w:w="18"/>
        <w:gridCol w:w="68"/>
        <w:gridCol w:w="46"/>
        <w:gridCol w:w="54"/>
        <w:gridCol w:w="361"/>
        <w:gridCol w:w="8"/>
        <w:gridCol w:w="36"/>
        <w:gridCol w:w="71"/>
        <w:gridCol w:w="345"/>
        <w:gridCol w:w="8"/>
        <w:gridCol w:w="40"/>
        <w:gridCol w:w="65"/>
        <w:gridCol w:w="99"/>
        <w:gridCol w:w="6"/>
        <w:gridCol w:w="18"/>
        <w:gridCol w:w="11"/>
        <w:gridCol w:w="49"/>
        <w:gridCol w:w="22"/>
        <w:gridCol w:w="15"/>
        <w:gridCol w:w="160"/>
        <w:gridCol w:w="330"/>
        <w:gridCol w:w="296"/>
        <w:gridCol w:w="16"/>
        <w:gridCol w:w="285"/>
        <w:gridCol w:w="96"/>
        <w:gridCol w:w="14"/>
        <w:gridCol w:w="49"/>
        <w:gridCol w:w="16"/>
        <w:gridCol w:w="177"/>
        <w:gridCol w:w="161"/>
        <w:gridCol w:w="14"/>
        <w:gridCol w:w="109"/>
        <w:gridCol w:w="160"/>
        <w:gridCol w:w="191"/>
        <w:gridCol w:w="112"/>
        <w:gridCol w:w="5"/>
        <w:gridCol w:w="161"/>
        <w:gridCol w:w="15"/>
        <w:gridCol w:w="55"/>
        <w:gridCol w:w="5"/>
        <w:gridCol w:w="110"/>
        <w:gridCol w:w="160"/>
        <w:gridCol w:w="256"/>
        <w:gridCol w:w="160"/>
        <w:gridCol w:w="44"/>
        <w:gridCol w:w="399"/>
        <w:gridCol w:w="47"/>
        <w:gridCol w:w="147"/>
        <w:gridCol w:w="123"/>
        <w:gridCol w:w="43"/>
        <w:gridCol w:w="12"/>
        <w:gridCol w:w="149"/>
        <w:gridCol w:w="11"/>
        <w:gridCol w:w="160"/>
        <w:gridCol w:w="85"/>
        <w:gridCol w:w="204"/>
        <w:gridCol w:w="256"/>
        <w:gridCol w:w="204"/>
        <w:gridCol w:w="11"/>
        <w:gridCol w:w="149"/>
        <w:gridCol w:w="96"/>
        <w:gridCol w:w="215"/>
        <w:gridCol w:w="9"/>
        <w:gridCol w:w="377"/>
        <w:gridCol w:w="63"/>
        <w:gridCol w:w="11"/>
        <w:gridCol w:w="385"/>
        <w:gridCol w:w="64"/>
        <w:gridCol w:w="62"/>
        <w:gridCol w:w="4"/>
        <w:gridCol w:w="182"/>
        <w:gridCol w:w="134"/>
      </w:tblGrid>
      <w:tr w:rsidR="006E55BA" w:rsidRPr="00F6124A" w:rsidTr="000F4CB9">
        <w:trPr>
          <w:gridBefore w:val="1"/>
          <w:gridAfter w:val="9"/>
          <w:wBefore w:w="67" w:type="dxa"/>
          <w:wAfter w:w="1282" w:type="dxa"/>
        </w:trPr>
        <w:tc>
          <w:tcPr>
            <w:tcW w:w="8253" w:type="dxa"/>
            <w:gridSpan w:val="73"/>
          </w:tcPr>
          <w:p w:rsidR="00F6124A" w:rsidRPr="00F2042D" w:rsidRDefault="00F6124A" w:rsidP="00F6124A">
            <w:pPr>
              <w:rPr>
                <w:rFonts w:asciiTheme="minorHAnsi" w:hAnsiTheme="minorHAnsi" w:cstheme="minorHAnsi"/>
                <w:sz w:val="20"/>
                <w:szCs w:val="20"/>
              </w:rPr>
            </w:pPr>
            <w:r w:rsidRPr="00F6124A">
              <w:rPr>
                <w:rFonts w:asciiTheme="minorHAnsi" w:hAnsiTheme="minorHAnsi" w:cstheme="minorHAnsi"/>
                <w:b/>
                <w:sz w:val="20"/>
                <w:szCs w:val="20"/>
              </w:rPr>
              <w:t>Rozpočtová opatření byla v souladu s upraveným rozpočtem realizována.</w:t>
            </w:r>
          </w:p>
          <w:p w:rsidR="00F6124A" w:rsidRPr="00F6124A" w:rsidRDefault="00F6124A" w:rsidP="00F6124A">
            <w:pPr>
              <w:rPr>
                <w:rFonts w:asciiTheme="minorHAnsi" w:hAnsiTheme="minorHAnsi" w:cstheme="minorHAnsi"/>
                <w:b/>
                <w:sz w:val="20"/>
                <w:szCs w:val="20"/>
              </w:rPr>
            </w:pPr>
          </w:p>
          <w:p w:rsidR="00F2042D" w:rsidRDefault="00F6124A" w:rsidP="00F6124A">
            <w:pPr>
              <w:rPr>
                <w:rFonts w:asciiTheme="minorHAnsi" w:hAnsiTheme="minorHAnsi" w:cstheme="minorHAnsi"/>
                <w:sz w:val="20"/>
                <w:szCs w:val="20"/>
              </w:rPr>
            </w:pPr>
            <w:r w:rsidRPr="00F6124A">
              <w:rPr>
                <w:rFonts w:asciiTheme="minorHAnsi" w:hAnsiTheme="minorHAnsi" w:cstheme="minorHAnsi"/>
                <w:sz w:val="20"/>
                <w:szCs w:val="20"/>
              </w:rPr>
              <w:t>V Pr</w:t>
            </w:r>
            <w:r w:rsidR="00F2042D">
              <w:rPr>
                <w:rFonts w:asciiTheme="minorHAnsi" w:hAnsiTheme="minorHAnsi" w:cstheme="minorHAnsi"/>
                <w:sz w:val="20"/>
                <w:szCs w:val="20"/>
              </w:rPr>
              <w:t>ostějově: 15. 2. 2023</w:t>
            </w:r>
            <w:r w:rsidR="00F2042D">
              <w:rPr>
                <w:rFonts w:asciiTheme="minorHAnsi" w:hAnsiTheme="minorHAnsi" w:cstheme="minorHAnsi"/>
                <w:sz w:val="20"/>
                <w:szCs w:val="20"/>
              </w:rPr>
              <w:tab/>
            </w:r>
            <w:r w:rsidR="00F2042D">
              <w:rPr>
                <w:rFonts w:asciiTheme="minorHAnsi" w:hAnsiTheme="minorHAnsi" w:cstheme="minorHAnsi"/>
                <w:sz w:val="20"/>
                <w:szCs w:val="20"/>
              </w:rPr>
              <w:tab/>
            </w:r>
            <w:r w:rsidR="00F2042D">
              <w:rPr>
                <w:rFonts w:asciiTheme="minorHAnsi" w:hAnsiTheme="minorHAnsi" w:cstheme="minorHAnsi"/>
                <w:sz w:val="20"/>
                <w:szCs w:val="20"/>
              </w:rPr>
              <w:tab/>
            </w:r>
            <w:r w:rsidR="00F2042D">
              <w:rPr>
                <w:rFonts w:asciiTheme="minorHAnsi" w:hAnsiTheme="minorHAnsi" w:cstheme="minorHAnsi"/>
                <w:sz w:val="20"/>
                <w:szCs w:val="20"/>
              </w:rPr>
              <w:tab/>
            </w:r>
            <w:r w:rsidR="00F2042D">
              <w:rPr>
                <w:rFonts w:asciiTheme="minorHAnsi" w:hAnsiTheme="minorHAnsi" w:cstheme="minorHAnsi"/>
                <w:sz w:val="20"/>
                <w:szCs w:val="20"/>
              </w:rPr>
              <w:tab/>
            </w:r>
            <w:r w:rsidR="00F2042D">
              <w:rPr>
                <w:rFonts w:asciiTheme="minorHAnsi" w:hAnsiTheme="minorHAnsi" w:cstheme="minorHAnsi"/>
                <w:sz w:val="20"/>
                <w:szCs w:val="20"/>
              </w:rPr>
              <w:tab/>
            </w:r>
            <w:r w:rsidR="00F2042D">
              <w:rPr>
                <w:rFonts w:asciiTheme="minorHAnsi" w:hAnsiTheme="minorHAnsi" w:cstheme="minorHAnsi"/>
                <w:sz w:val="20"/>
                <w:szCs w:val="20"/>
              </w:rPr>
              <w:tab/>
            </w:r>
            <w:r w:rsidR="00F2042D">
              <w:rPr>
                <w:rFonts w:asciiTheme="minorHAnsi" w:hAnsiTheme="minorHAnsi" w:cstheme="minorHAnsi"/>
                <w:sz w:val="20"/>
                <w:szCs w:val="20"/>
              </w:rPr>
              <w:tab/>
            </w:r>
          </w:p>
          <w:p w:rsidR="006A102D" w:rsidRDefault="00F6124A" w:rsidP="00F6124A">
            <w:pPr>
              <w:rPr>
                <w:rFonts w:asciiTheme="minorHAnsi" w:hAnsiTheme="minorHAnsi" w:cstheme="minorHAnsi"/>
                <w:sz w:val="20"/>
                <w:szCs w:val="20"/>
              </w:rPr>
            </w:pPr>
            <w:r w:rsidRPr="00F6124A">
              <w:rPr>
                <w:rFonts w:asciiTheme="minorHAnsi" w:hAnsiTheme="minorHAnsi" w:cstheme="minorHAnsi"/>
                <w:sz w:val="20"/>
                <w:szCs w:val="20"/>
              </w:rPr>
              <w:t>Zpracovala: Ing. Romana Maděrková</w:t>
            </w:r>
          </w:p>
          <w:p w:rsidR="00B608DD" w:rsidRPr="00F6124A" w:rsidRDefault="00F6124A" w:rsidP="00F6124A">
            <w:pPr>
              <w:rPr>
                <w:rFonts w:asciiTheme="minorHAnsi" w:hAnsiTheme="minorHAnsi" w:cstheme="minorHAnsi"/>
                <w:sz w:val="20"/>
                <w:szCs w:val="20"/>
              </w:rPr>
            </w:pPr>
            <w:r w:rsidRPr="00F6124A">
              <w:rPr>
                <w:rFonts w:asciiTheme="minorHAnsi" w:hAnsiTheme="minorHAnsi" w:cstheme="minorHAnsi"/>
                <w:sz w:val="20"/>
                <w:szCs w:val="20"/>
              </w:rPr>
              <w:t>Správce kapitoly: Mgr. Petr Ivánek, vedoucí OŠKS MMPV</w:t>
            </w:r>
          </w:p>
        </w:tc>
      </w:tr>
      <w:tr w:rsidR="006E55BA" w:rsidRPr="00F6124A" w:rsidTr="00E101BC">
        <w:trPr>
          <w:gridBefore w:val="1"/>
          <w:gridAfter w:val="1"/>
          <w:wBefore w:w="67" w:type="dxa"/>
          <w:wAfter w:w="134" w:type="dxa"/>
        </w:trPr>
        <w:tc>
          <w:tcPr>
            <w:tcW w:w="446" w:type="dxa"/>
            <w:gridSpan w:val="3"/>
          </w:tcPr>
          <w:p w:rsidR="00B608DD" w:rsidRPr="00F6124A" w:rsidRDefault="00B608DD" w:rsidP="00B608DD">
            <w:pPr>
              <w:rPr>
                <w:rFonts w:asciiTheme="minorHAnsi" w:hAnsiTheme="minorHAnsi" w:cstheme="minorHAnsi"/>
                <w:b/>
                <w:color w:val="A6A6A6" w:themeColor="background1" w:themeShade="A6"/>
                <w:sz w:val="20"/>
                <w:szCs w:val="20"/>
              </w:rPr>
            </w:pPr>
          </w:p>
        </w:tc>
        <w:tc>
          <w:tcPr>
            <w:tcW w:w="315" w:type="dxa"/>
            <w:gridSpan w:val="2"/>
          </w:tcPr>
          <w:p w:rsidR="00B608DD" w:rsidRPr="00F6124A" w:rsidRDefault="00B608DD" w:rsidP="00B608DD">
            <w:pPr>
              <w:rPr>
                <w:rFonts w:asciiTheme="minorHAnsi" w:hAnsiTheme="minorHAnsi" w:cstheme="minorHAnsi"/>
                <w:b/>
                <w:color w:val="A6A6A6" w:themeColor="background1" w:themeShade="A6"/>
                <w:sz w:val="20"/>
                <w:szCs w:val="20"/>
              </w:rPr>
            </w:pPr>
          </w:p>
        </w:tc>
        <w:tc>
          <w:tcPr>
            <w:tcW w:w="452" w:type="dxa"/>
          </w:tcPr>
          <w:p w:rsidR="00B608DD" w:rsidRPr="00F6124A" w:rsidRDefault="00B608DD" w:rsidP="00B608DD">
            <w:pPr>
              <w:rPr>
                <w:rFonts w:asciiTheme="minorHAnsi" w:hAnsiTheme="minorHAnsi" w:cstheme="minorHAnsi"/>
                <w:b/>
                <w:color w:val="A6A6A6" w:themeColor="background1" w:themeShade="A6"/>
                <w:sz w:val="20"/>
                <w:szCs w:val="20"/>
              </w:rPr>
            </w:pPr>
          </w:p>
        </w:tc>
        <w:tc>
          <w:tcPr>
            <w:tcW w:w="355" w:type="dxa"/>
            <w:gridSpan w:val="7"/>
          </w:tcPr>
          <w:p w:rsidR="00B608DD" w:rsidRPr="00F6124A" w:rsidRDefault="00B608DD" w:rsidP="00B608DD">
            <w:pPr>
              <w:rPr>
                <w:rFonts w:asciiTheme="minorHAnsi" w:hAnsiTheme="minorHAnsi" w:cstheme="minorHAnsi"/>
                <w:b/>
                <w:color w:val="A6A6A6" w:themeColor="background1" w:themeShade="A6"/>
                <w:sz w:val="20"/>
                <w:szCs w:val="20"/>
              </w:rPr>
            </w:pPr>
          </w:p>
        </w:tc>
        <w:tc>
          <w:tcPr>
            <w:tcW w:w="459" w:type="dxa"/>
            <w:gridSpan w:val="4"/>
          </w:tcPr>
          <w:p w:rsidR="00B608DD" w:rsidRPr="00F6124A" w:rsidRDefault="00B608DD" w:rsidP="00B608DD">
            <w:pPr>
              <w:rPr>
                <w:rFonts w:asciiTheme="minorHAnsi" w:hAnsiTheme="minorHAnsi" w:cstheme="minorHAnsi"/>
                <w:b/>
                <w:color w:val="A6A6A6" w:themeColor="background1" w:themeShade="A6"/>
                <w:sz w:val="20"/>
                <w:szCs w:val="20"/>
              </w:rPr>
            </w:pPr>
          </w:p>
        </w:tc>
        <w:tc>
          <w:tcPr>
            <w:tcW w:w="464" w:type="dxa"/>
            <w:gridSpan w:val="4"/>
          </w:tcPr>
          <w:p w:rsidR="00B608DD" w:rsidRPr="00F6124A" w:rsidRDefault="00B608DD" w:rsidP="00B608DD">
            <w:pPr>
              <w:rPr>
                <w:rFonts w:asciiTheme="minorHAnsi" w:hAnsiTheme="minorHAnsi" w:cstheme="minorHAnsi"/>
                <w:b/>
                <w:color w:val="A6A6A6" w:themeColor="background1" w:themeShade="A6"/>
                <w:sz w:val="20"/>
                <w:szCs w:val="20"/>
              </w:rPr>
            </w:pPr>
          </w:p>
        </w:tc>
        <w:tc>
          <w:tcPr>
            <w:tcW w:w="248" w:type="dxa"/>
            <w:gridSpan w:val="6"/>
          </w:tcPr>
          <w:p w:rsidR="00B608DD" w:rsidRPr="00F6124A" w:rsidRDefault="00B608DD" w:rsidP="00B608DD">
            <w:pPr>
              <w:rPr>
                <w:rFonts w:asciiTheme="minorHAnsi" w:hAnsiTheme="minorHAnsi" w:cstheme="minorHAnsi"/>
                <w:b/>
                <w:color w:val="A6A6A6" w:themeColor="background1" w:themeShade="A6"/>
                <w:sz w:val="20"/>
                <w:szCs w:val="20"/>
              </w:rPr>
            </w:pPr>
          </w:p>
        </w:tc>
        <w:tc>
          <w:tcPr>
            <w:tcW w:w="527" w:type="dxa"/>
            <w:gridSpan w:val="4"/>
          </w:tcPr>
          <w:p w:rsidR="00B608DD" w:rsidRPr="00F6124A" w:rsidRDefault="00B608DD" w:rsidP="00B608DD">
            <w:pPr>
              <w:rPr>
                <w:rFonts w:asciiTheme="minorHAnsi" w:hAnsiTheme="minorHAnsi" w:cstheme="minorHAnsi"/>
                <w:b/>
                <w:color w:val="A6A6A6" w:themeColor="background1" w:themeShade="A6"/>
                <w:sz w:val="20"/>
                <w:szCs w:val="20"/>
              </w:rPr>
            </w:pPr>
          </w:p>
        </w:tc>
        <w:tc>
          <w:tcPr>
            <w:tcW w:w="296" w:type="dxa"/>
          </w:tcPr>
          <w:p w:rsidR="00B608DD" w:rsidRPr="00F6124A" w:rsidRDefault="00B608DD" w:rsidP="00B608DD">
            <w:pPr>
              <w:rPr>
                <w:rFonts w:asciiTheme="minorHAnsi" w:hAnsiTheme="minorHAnsi" w:cstheme="minorHAnsi"/>
                <w:b/>
                <w:color w:val="A6A6A6" w:themeColor="background1" w:themeShade="A6"/>
                <w:sz w:val="20"/>
                <w:szCs w:val="20"/>
              </w:rPr>
            </w:pPr>
          </w:p>
        </w:tc>
        <w:tc>
          <w:tcPr>
            <w:tcW w:w="460" w:type="dxa"/>
            <w:gridSpan w:val="5"/>
          </w:tcPr>
          <w:p w:rsidR="00B608DD" w:rsidRPr="00F6124A" w:rsidRDefault="00B608DD" w:rsidP="00B608DD">
            <w:pPr>
              <w:rPr>
                <w:rFonts w:asciiTheme="minorHAnsi" w:hAnsiTheme="minorHAnsi" w:cstheme="minorHAnsi"/>
                <w:b/>
                <w:color w:val="A6A6A6" w:themeColor="background1" w:themeShade="A6"/>
                <w:sz w:val="20"/>
                <w:szCs w:val="20"/>
              </w:rPr>
            </w:pPr>
          </w:p>
        </w:tc>
        <w:tc>
          <w:tcPr>
            <w:tcW w:w="354" w:type="dxa"/>
            <w:gridSpan w:val="3"/>
          </w:tcPr>
          <w:p w:rsidR="00B608DD" w:rsidRPr="00F6124A" w:rsidRDefault="00B608DD" w:rsidP="00B608DD">
            <w:pPr>
              <w:rPr>
                <w:rFonts w:asciiTheme="minorHAnsi" w:hAnsiTheme="minorHAnsi" w:cstheme="minorHAnsi"/>
                <w:b/>
                <w:sz w:val="20"/>
                <w:szCs w:val="20"/>
              </w:rPr>
            </w:pPr>
          </w:p>
        </w:tc>
        <w:tc>
          <w:tcPr>
            <w:tcW w:w="767" w:type="dxa"/>
            <w:gridSpan w:val="8"/>
          </w:tcPr>
          <w:p w:rsidR="00B608DD" w:rsidRPr="00F6124A" w:rsidRDefault="00B608DD" w:rsidP="00B608DD">
            <w:pPr>
              <w:rPr>
                <w:rFonts w:asciiTheme="minorHAnsi" w:hAnsiTheme="minorHAnsi" w:cstheme="minorHAnsi"/>
                <w:b/>
                <w:sz w:val="20"/>
                <w:szCs w:val="20"/>
              </w:rPr>
            </w:pPr>
          </w:p>
        </w:tc>
        <w:tc>
          <w:tcPr>
            <w:tcW w:w="170" w:type="dxa"/>
            <w:gridSpan w:val="3"/>
          </w:tcPr>
          <w:p w:rsidR="00B608DD" w:rsidRPr="00F6124A" w:rsidRDefault="00B608DD" w:rsidP="00B608DD">
            <w:pPr>
              <w:rPr>
                <w:rFonts w:asciiTheme="minorHAnsi" w:hAnsiTheme="minorHAnsi" w:cstheme="minorHAnsi"/>
                <w:b/>
                <w:sz w:val="20"/>
                <w:szCs w:val="20"/>
              </w:rPr>
            </w:pPr>
          </w:p>
        </w:tc>
        <w:tc>
          <w:tcPr>
            <w:tcW w:w="1391" w:type="dxa"/>
            <w:gridSpan w:val="10"/>
          </w:tcPr>
          <w:p w:rsidR="00B608DD" w:rsidRPr="00F6124A" w:rsidRDefault="00B608DD" w:rsidP="00B608DD">
            <w:pPr>
              <w:rPr>
                <w:rFonts w:asciiTheme="minorHAnsi" w:hAnsiTheme="minorHAnsi" w:cstheme="minorHAnsi"/>
                <w:b/>
                <w:sz w:val="20"/>
                <w:szCs w:val="20"/>
              </w:rPr>
            </w:pPr>
          </w:p>
        </w:tc>
        <w:tc>
          <w:tcPr>
            <w:tcW w:w="160" w:type="dxa"/>
            <w:gridSpan w:val="2"/>
          </w:tcPr>
          <w:p w:rsidR="00B608DD" w:rsidRPr="00F6124A" w:rsidRDefault="00B608DD" w:rsidP="00B608DD">
            <w:pPr>
              <w:rPr>
                <w:rFonts w:asciiTheme="minorHAnsi" w:hAnsiTheme="minorHAnsi" w:cstheme="minorHAnsi"/>
                <w:b/>
                <w:sz w:val="20"/>
                <w:szCs w:val="20"/>
              </w:rPr>
            </w:pPr>
          </w:p>
        </w:tc>
        <w:tc>
          <w:tcPr>
            <w:tcW w:w="160" w:type="dxa"/>
          </w:tcPr>
          <w:p w:rsidR="00B608DD" w:rsidRPr="00F6124A" w:rsidRDefault="00B608DD" w:rsidP="00B608DD">
            <w:pPr>
              <w:rPr>
                <w:rFonts w:asciiTheme="minorHAnsi" w:hAnsiTheme="minorHAnsi" w:cstheme="minorHAnsi"/>
                <w:b/>
                <w:sz w:val="20"/>
                <w:szCs w:val="20"/>
              </w:rPr>
            </w:pPr>
          </w:p>
        </w:tc>
        <w:tc>
          <w:tcPr>
            <w:tcW w:w="760" w:type="dxa"/>
            <w:gridSpan w:val="5"/>
          </w:tcPr>
          <w:p w:rsidR="00B608DD" w:rsidRPr="00F6124A" w:rsidRDefault="00B608DD" w:rsidP="00B608DD">
            <w:pPr>
              <w:rPr>
                <w:rFonts w:asciiTheme="minorHAnsi" w:hAnsiTheme="minorHAnsi" w:cstheme="minorHAnsi"/>
                <w:b/>
                <w:sz w:val="20"/>
                <w:szCs w:val="20"/>
              </w:rPr>
            </w:pPr>
          </w:p>
        </w:tc>
        <w:tc>
          <w:tcPr>
            <w:tcW w:w="460" w:type="dxa"/>
            <w:gridSpan w:val="3"/>
          </w:tcPr>
          <w:p w:rsidR="00B608DD" w:rsidRPr="00F6124A" w:rsidRDefault="00B608DD" w:rsidP="00B608DD">
            <w:pPr>
              <w:rPr>
                <w:rFonts w:asciiTheme="minorHAnsi" w:hAnsiTheme="minorHAnsi" w:cstheme="minorHAnsi"/>
                <w:b/>
                <w:sz w:val="20"/>
                <w:szCs w:val="20"/>
              </w:rPr>
            </w:pPr>
          </w:p>
        </w:tc>
        <w:tc>
          <w:tcPr>
            <w:tcW w:w="460" w:type="dxa"/>
            <w:gridSpan w:val="4"/>
          </w:tcPr>
          <w:p w:rsidR="00B608DD" w:rsidRPr="00F6124A" w:rsidRDefault="00B608DD" w:rsidP="00B608DD">
            <w:pPr>
              <w:rPr>
                <w:rFonts w:asciiTheme="minorHAnsi" w:hAnsiTheme="minorHAnsi" w:cstheme="minorHAnsi"/>
                <w:b/>
                <w:sz w:val="20"/>
                <w:szCs w:val="20"/>
              </w:rPr>
            </w:pPr>
          </w:p>
        </w:tc>
        <w:tc>
          <w:tcPr>
            <w:tcW w:w="697" w:type="dxa"/>
            <w:gridSpan w:val="5"/>
          </w:tcPr>
          <w:p w:rsidR="00B608DD" w:rsidRPr="00F6124A" w:rsidRDefault="00B608DD" w:rsidP="00B608DD">
            <w:pPr>
              <w:rPr>
                <w:rFonts w:asciiTheme="minorHAnsi" w:hAnsiTheme="minorHAnsi" w:cstheme="minorHAnsi"/>
                <w:b/>
                <w:sz w:val="20"/>
                <w:szCs w:val="20"/>
              </w:rPr>
            </w:pPr>
          </w:p>
        </w:tc>
      </w:tr>
      <w:tr w:rsidR="00B44960" w:rsidRPr="00B44960" w:rsidTr="000F4CB9">
        <w:trPr>
          <w:gridAfter w:val="3"/>
          <w:wAfter w:w="320" w:type="dxa"/>
        </w:trPr>
        <w:tc>
          <w:tcPr>
            <w:tcW w:w="9282" w:type="dxa"/>
            <w:gridSpan w:val="80"/>
          </w:tcPr>
          <w:p w:rsidR="00B44960" w:rsidRPr="00B44960" w:rsidRDefault="00B44960" w:rsidP="00BA11CF">
            <w:pPr>
              <w:rPr>
                <w:rFonts w:asciiTheme="minorHAnsi" w:hAnsiTheme="minorHAnsi" w:cstheme="minorHAnsi"/>
                <w:b/>
              </w:rPr>
            </w:pPr>
            <w:r w:rsidRPr="00B44960">
              <w:rPr>
                <w:rFonts w:asciiTheme="minorHAnsi" w:hAnsiTheme="minorHAnsi" w:cstheme="minorHAnsi"/>
                <w:b/>
              </w:rPr>
              <w:t>Kapitola 21 – SOCIÁLNÍ VĚCI</w:t>
            </w:r>
          </w:p>
        </w:tc>
      </w:tr>
      <w:tr w:rsidR="0051317E" w:rsidRPr="00B44960" w:rsidTr="00E101BC">
        <w:tc>
          <w:tcPr>
            <w:tcW w:w="453" w:type="dxa"/>
            <w:gridSpan w:val="2"/>
          </w:tcPr>
          <w:p w:rsidR="00B44960" w:rsidRPr="00B44960" w:rsidRDefault="00B44960" w:rsidP="00BA11CF">
            <w:pPr>
              <w:rPr>
                <w:rFonts w:asciiTheme="minorHAnsi" w:hAnsiTheme="minorHAnsi" w:cstheme="minorHAnsi"/>
                <w:b/>
                <w:sz w:val="20"/>
                <w:szCs w:val="20"/>
              </w:rPr>
            </w:pPr>
          </w:p>
        </w:tc>
        <w:tc>
          <w:tcPr>
            <w:tcW w:w="328" w:type="dxa"/>
            <w:gridSpan w:val="3"/>
          </w:tcPr>
          <w:p w:rsidR="00B44960" w:rsidRPr="00B44960" w:rsidRDefault="00B44960" w:rsidP="00BA11CF">
            <w:pPr>
              <w:rPr>
                <w:rFonts w:asciiTheme="minorHAnsi" w:hAnsiTheme="minorHAnsi" w:cstheme="minorHAnsi"/>
                <w:b/>
                <w:sz w:val="20"/>
                <w:szCs w:val="20"/>
              </w:rPr>
            </w:pPr>
          </w:p>
        </w:tc>
        <w:tc>
          <w:tcPr>
            <w:tcW w:w="562" w:type="dxa"/>
            <w:gridSpan w:val="3"/>
          </w:tcPr>
          <w:p w:rsidR="00B44960" w:rsidRPr="00B44960" w:rsidRDefault="00B44960" w:rsidP="00BA11CF">
            <w:pPr>
              <w:rPr>
                <w:rFonts w:asciiTheme="minorHAnsi" w:hAnsiTheme="minorHAnsi" w:cstheme="minorHAnsi"/>
                <w:b/>
                <w:sz w:val="20"/>
                <w:szCs w:val="20"/>
              </w:rPr>
            </w:pPr>
          </w:p>
        </w:tc>
        <w:tc>
          <w:tcPr>
            <w:tcW w:w="246" w:type="dxa"/>
            <w:gridSpan w:val="5"/>
          </w:tcPr>
          <w:p w:rsidR="00B44960" w:rsidRPr="00B44960" w:rsidRDefault="00B44960" w:rsidP="00BA11CF">
            <w:pPr>
              <w:rPr>
                <w:rFonts w:asciiTheme="minorHAnsi" w:hAnsiTheme="minorHAnsi" w:cstheme="minorHAnsi"/>
                <w:b/>
                <w:sz w:val="20"/>
                <w:szCs w:val="20"/>
              </w:rPr>
            </w:pPr>
          </w:p>
        </w:tc>
        <w:tc>
          <w:tcPr>
            <w:tcW w:w="461" w:type="dxa"/>
            <w:gridSpan w:val="3"/>
          </w:tcPr>
          <w:p w:rsidR="00B44960" w:rsidRPr="00B44960" w:rsidRDefault="00B44960" w:rsidP="00BA11CF">
            <w:pPr>
              <w:rPr>
                <w:rFonts w:asciiTheme="minorHAnsi" w:hAnsiTheme="minorHAnsi" w:cstheme="minorHAnsi"/>
                <w:b/>
                <w:sz w:val="20"/>
                <w:szCs w:val="20"/>
              </w:rPr>
            </w:pPr>
          </w:p>
        </w:tc>
        <w:tc>
          <w:tcPr>
            <w:tcW w:w="460" w:type="dxa"/>
            <w:gridSpan w:val="4"/>
          </w:tcPr>
          <w:p w:rsidR="00B44960" w:rsidRPr="00B44960" w:rsidRDefault="00B44960" w:rsidP="00BA11CF">
            <w:pPr>
              <w:rPr>
                <w:rFonts w:asciiTheme="minorHAnsi" w:hAnsiTheme="minorHAnsi" w:cstheme="minorHAnsi"/>
                <w:b/>
                <w:sz w:val="20"/>
                <w:szCs w:val="20"/>
              </w:rPr>
            </w:pPr>
          </w:p>
        </w:tc>
        <w:tc>
          <w:tcPr>
            <w:tcW w:w="247" w:type="dxa"/>
            <w:gridSpan w:val="7"/>
          </w:tcPr>
          <w:p w:rsidR="00B44960" w:rsidRPr="00B44960" w:rsidRDefault="00B44960" w:rsidP="00BA11CF">
            <w:pPr>
              <w:rPr>
                <w:rFonts w:asciiTheme="minorHAnsi" w:hAnsiTheme="minorHAnsi" w:cstheme="minorHAnsi"/>
                <w:b/>
                <w:sz w:val="20"/>
                <w:szCs w:val="20"/>
              </w:rPr>
            </w:pPr>
          </w:p>
        </w:tc>
        <w:tc>
          <w:tcPr>
            <w:tcW w:w="576" w:type="dxa"/>
            <w:gridSpan w:val="5"/>
          </w:tcPr>
          <w:p w:rsidR="00B44960" w:rsidRPr="00B44960" w:rsidRDefault="00B44960" w:rsidP="00BA11CF">
            <w:pPr>
              <w:rPr>
                <w:rFonts w:asciiTheme="minorHAnsi" w:hAnsiTheme="minorHAnsi" w:cstheme="minorHAnsi"/>
                <w:b/>
                <w:sz w:val="20"/>
                <w:szCs w:val="20"/>
              </w:rPr>
            </w:pPr>
          </w:p>
        </w:tc>
        <w:tc>
          <w:tcPr>
            <w:tcW w:w="296" w:type="dxa"/>
          </w:tcPr>
          <w:p w:rsidR="00B44960" w:rsidRPr="00B44960" w:rsidRDefault="00B44960" w:rsidP="00BA11CF">
            <w:pPr>
              <w:rPr>
                <w:rFonts w:asciiTheme="minorHAnsi" w:hAnsiTheme="minorHAnsi" w:cstheme="minorHAnsi"/>
                <w:b/>
                <w:sz w:val="20"/>
                <w:szCs w:val="20"/>
              </w:rPr>
            </w:pPr>
          </w:p>
        </w:tc>
        <w:tc>
          <w:tcPr>
            <w:tcW w:w="397" w:type="dxa"/>
            <w:gridSpan w:val="3"/>
          </w:tcPr>
          <w:p w:rsidR="00B44960" w:rsidRPr="00B44960" w:rsidRDefault="00B44960" w:rsidP="00BA11CF">
            <w:pPr>
              <w:rPr>
                <w:rFonts w:asciiTheme="minorHAnsi" w:hAnsiTheme="minorHAnsi" w:cstheme="minorHAnsi"/>
                <w:b/>
                <w:sz w:val="20"/>
                <w:szCs w:val="20"/>
              </w:rPr>
            </w:pPr>
          </w:p>
        </w:tc>
        <w:tc>
          <w:tcPr>
            <w:tcW w:w="540" w:type="dxa"/>
            <w:gridSpan w:val="7"/>
          </w:tcPr>
          <w:p w:rsidR="00B44960" w:rsidRPr="00B44960" w:rsidRDefault="00B44960" w:rsidP="00BA11CF">
            <w:pPr>
              <w:rPr>
                <w:rFonts w:asciiTheme="minorHAnsi" w:hAnsiTheme="minorHAnsi" w:cstheme="minorHAnsi"/>
                <w:b/>
                <w:sz w:val="20"/>
                <w:szCs w:val="20"/>
              </w:rPr>
            </w:pPr>
          </w:p>
        </w:tc>
        <w:tc>
          <w:tcPr>
            <w:tcW w:w="160" w:type="dxa"/>
          </w:tcPr>
          <w:p w:rsidR="00B44960" w:rsidRPr="00B44960" w:rsidRDefault="00B44960" w:rsidP="00BA11CF">
            <w:pPr>
              <w:rPr>
                <w:rFonts w:asciiTheme="minorHAnsi" w:hAnsiTheme="minorHAnsi" w:cstheme="minorHAnsi"/>
                <w:b/>
                <w:sz w:val="20"/>
                <w:szCs w:val="20"/>
              </w:rPr>
            </w:pPr>
          </w:p>
        </w:tc>
        <w:tc>
          <w:tcPr>
            <w:tcW w:w="2033" w:type="dxa"/>
            <w:gridSpan w:val="17"/>
          </w:tcPr>
          <w:p w:rsidR="00B44960" w:rsidRPr="00B44960" w:rsidRDefault="00B44960" w:rsidP="00BA11CF">
            <w:pPr>
              <w:rPr>
                <w:rFonts w:asciiTheme="minorHAnsi" w:hAnsiTheme="minorHAnsi" w:cstheme="minorHAnsi"/>
                <w:b/>
                <w:sz w:val="20"/>
                <w:szCs w:val="20"/>
              </w:rPr>
            </w:pPr>
          </w:p>
        </w:tc>
        <w:tc>
          <w:tcPr>
            <w:tcW w:w="161" w:type="dxa"/>
            <w:gridSpan w:val="2"/>
          </w:tcPr>
          <w:p w:rsidR="00B44960" w:rsidRPr="00B44960" w:rsidRDefault="00B44960" w:rsidP="00BA11CF">
            <w:pPr>
              <w:rPr>
                <w:rFonts w:asciiTheme="minorHAnsi" w:hAnsiTheme="minorHAnsi" w:cstheme="minorHAnsi"/>
                <w:b/>
                <w:sz w:val="20"/>
                <w:szCs w:val="20"/>
              </w:rPr>
            </w:pPr>
          </w:p>
        </w:tc>
        <w:tc>
          <w:tcPr>
            <w:tcW w:w="460" w:type="dxa"/>
            <w:gridSpan w:val="4"/>
          </w:tcPr>
          <w:p w:rsidR="00B44960" w:rsidRPr="00B44960" w:rsidRDefault="00B44960" w:rsidP="00BA11CF">
            <w:pPr>
              <w:rPr>
                <w:rFonts w:asciiTheme="minorHAnsi" w:hAnsiTheme="minorHAnsi" w:cstheme="minorHAnsi"/>
                <w:b/>
                <w:sz w:val="20"/>
                <w:szCs w:val="20"/>
              </w:rPr>
            </w:pPr>
          </w:p>
        </w:tc>
        <w:tc>
          <w:tcPr>
            <w:tcW w:w="460" w:type="dxa"/>
            <w:gridSpan w:val="2"/>
          </w:tcPr>
          <w:p w:rsidR="00B44960" w:rsidRPr="00B44960" w:rsidRDefault="00B44960" w:rsidP="00BA11CF">
            <w:pPr>
              <w:rPr>
                <w:rFonts w:asciiTheme="minorHAnsi" w:hAnsiTheme="minorHAnsi" w:cstheme="minorHAnsi"/>
                <w:b/>
                <w:sz w:val="20"/>
                <w:szCs w:val="20"/>
              </w:rPr>
            </w:pPr>
          </w:p>
        </w:tc>
        <w:tc>
          <w:tcPr>
            <w:tcW w:w="160" w:type="dxa"/>
            <w:gridSpan w:val="2"/>
          </w:tcPr>
          <w:p w:rsidR="00B44960" w:rsidRPr="00B44960" w:rsidRDefault="00B44960" w:rsidP="00BA11CF">
            <w:pPr>
              <w:rPr>
                <w:rFonts w:asciiTheme="minorHAnsi" w:hAnsiTheme="minorHAnsi" w:cstheme="minorHAnsi"/>
                <w:b/>
                <w:sz w:val="20"/>
                <w:szCs w:val="20"/>
              </w:rPr>
            </w:pPr>
          </w:p>
        </w:tc>
        <w:tc>
          <w:tcPr>
            <w:tcW w:w="760" w:type="dxa"/>
            <w:gridSpan w:val="5"/>
          </w:tcPr>
          <w:p w:rsidR="00B44960" w:rsidRPr="00B44960" w:rsidRDefault="00B44960" w:rsidP="00BA11CF">
            <w:pPr>
              <w:rPr>
                <w:rFonts w:asciiTheme="minorHAnsi" w:hAnsiTheme="minorHAnsi" w:cstheme="minorHAnsi"/>
                <w:b/>
                <w:sz w:val="20"/>
                <w:szCs w:val="20"/>
              </w:rPr>
            </w:pPr>
          </w:p>
        </w:tc>
        <w:tc>
          <w:tcPr>
            <w:tcW w:w="460" w:type="dxa"/>
            <w:gridSpan w:val="3"/>
          </w:tcPr>
          <w:p w:rsidR="00B44960" w:rsidRPr="00B44960" w:rsidRDefault="00B44960" w:rsidP="00BA11CF">
            <w:pPr>
              <w:rPr>
                <w:rFonts w:asciiTheme="minorHAnsi" w:hAnsiTheme="minorHAnsi" w:cstheme="minorHAnsi"/>
                <w:b/>
                <w:sz w:val="20"/>
                <w:szCs w:val="20"/>
              </w:rPr>
            </w:pPr>
          </w:p>
        </w:tc>
        <w:tc>
          <w:tcPr>
            <w:tcW w:w="382" w:type="dxa"/>
            <w:gridSpan w:val="4"/>
          </w:tcPr>
          <w:p w:rsidR="00B44960" w:rsidRPr="00B44960" w:rsidRDefault="00B44960" w:rsidP="00BA11CF">
            <w:pPr>
              <w:rPr>
                <w:rFonts w:asciiTheme="minorHAnsi" w:hAnsiTheme="minorHAnsi" w:cstheme="minorHAnsi"/>
                <w:b/>
                <w:sz w:val="20"/>
                <w:szCs w:val="20"/>
              </w:rPr>
            </w:pPr>
          </w:p>
        </w:tc>
      </w:tr>
      <w:tr w:rsidR="00B44960" w:rsidRPr="00B44960" w:rsidTr="000F4CB9">
        <w:trPr>
          <w:gridAfter w:val="3"/>
          <w:wAfter w:w="320" w:type="dxa"/>
        </w:trPr>
        <w:tc>
          <w:tcPr>
            <w:tcW w:w="9282" w:type="dxa"/>
            <w:gridSpan w:val="80"/>
            <w:shd w:val="clear" w:color="auto" w:fill="F79646"/>
          </w:tcPr>
          <w:p w:rsidR="00B44960" w:rsidRPr="00B44960" w:rsidRDefault="00B44960" w:rsidP="00BA11CF">
            <w:pPr>
              <w:rPr>
                <w:rFonts w:asciiTheme="minorHAnsi" w:hAnsiTheme="minorHAnsi" w:cstheme="minorHAnsi"/>
                <w:b/>
                <w:sz w:val="20"/>
                <w:szCs w:val="20"/>
                <w:u w:val="single"/>
              </w:rPr>
            </w:pPr>
            <w:r w:rsidRPr="00B44960">
              <w:rPr>
                <w:rFonts w:asciiTheme="minorHAnsi" w:hAnsiTheme="minorHAnsi" w:cstheme="minorHAnsi"/>
                <w:b/>
                <w:sz w:val="20"/>
                <w:szCs w:val="20"/>
                <w:u w:val="single"/>
              </w:rPr>
              <w:t>Rozbor plnění příjmů rozpočtu kapitoly</w:t>
            </w:r>
          </w:p>
        </w:tc>
      </w:tr>
      <w:tr w:rsidR="0051317E" w:rsidRPr="00B44960" w:rsidTr="00E101BC">
        <w:tc>
          <w:tcPr>
            <w:tcW w:w="453" w:type="dxa"/>
            <w:gridSpan w:val="2"/>
            <w:tcBorders>
              <w:bottom w:val="single" w:sz="4" w:space="0" w:color="auto"/>
            </w:tcBorders>
          </w:tcPr>
          <w:p w:rsidR="00B44960" w:rsidRPr="00B44960" w:rsidRDefault="00B44960" w:rsidP="00BA11CF">
            <w:pPr>
              <w:rPr>
                <w:rFonts w:asciiTheme="minorHAnsi" w:hAnsiTheme="minorHAnsi" w:cstheme="minorHAnsi"/>
                <w:b/>
                <w:sz w:val="20"/>
                <w:szCs w:val="20"/>
              </w:rPr>
            </w:pPr>
          </w:p>
        </w:tc>
        <w:tc>
          <w:tcPr>
            <w:tcW w:w="328" w:type="dxa"/>
            <w:gridSpan w:val="3"/>
            <w:tcBorders>
              <w:bottom w:val="single" w:sz="4" w:space="0" w:color="auto"/>
            </w:tcBorders>
          </w:tcPr>
          <w:p w:rsidR="00B44960" w:rsidRPr="00B44960" w:rsidRDefault="00B44960" w:rsidP="00BA11CF">
            <w:pPr>
              <w:rPr>
                <w:rFonts w:asciiTheme="minorHAnsi" w:hAnsiTheme="minorHAnsi" w:cstheme="minorHAnsi"/>
                <w:b/>
                <w:sz w:val="20"/>
                <w:szCs w:val="20"/>
              </w:rPr>
            </w:pPr>
          </w:p>
        </w:tc>
        <w:tc>
          <w:tcPr>
            <w:tcW w:w="562" w:type="dxa"/>
            <w:gridSpan w:val="3"/>
            <w:tcBorders>
              <w:bottom w:val="single" w:sz="4" w:space="0" w:color="auto"/>
            </w:tcBorders>
          </w:tcPr>
          <w:p w:rsidR="00B44960" w:rsidRPr="00B44960" w:rsidRDefault="00B44960" w:rsidP="00BA11CF">
            <w:pPr>
              <w:rPr>
                <w:rFonts w:asciiTheme="minorHAnsi" w:hAnsiTheme="minorHAnsi" w:cstheme="minorHAnsi"/>
                <w:b/>
                <w:sz w:val="20"/>
                <w:szCs w:val="20"/>
              </w:rPr>
            </w:pPr>
          </w:p>
        </w:tc>
        <w:tc>
          <w:tcPr>
            <w:tcW w:w="178" w:type="dxa"/>
            <w:gridSpan w:val="4"/>
            <w:tcBorders>
              <w:bottom w:val="single" w:sz="4" w:space="0" w:color="auto"/>
            </w:tcBorders>
          </w:tcPr>
          <w:p w:rsidR="00B44960" w:rsidRPr="00B44960" w:rsidRDefault="00B44960" w:rsidP="00BA11CF">
            <w:pPr>
              <w:rPr>
                <w:rFonts w:asciiTheme="minorHAnsi" w:hAnsiTheme="minorHAnsi" w:cstheme="minorHAnsi"/>
                <w:b/>
                <w:sz w:val="20"/>
                <w:szCs w:val="20"/>
              </w:rPr>
            </w:pPr>
          </w:p>
        </w:tc>
        <w:tc>
          <w:tcPr>
            <w:tcW w:w="529" w:type="dxa"/>
            <w:gridSpan w:val="4"/>
            <w:tcBorders>
              <w:bottom w:val="single" w:sz="4" w:space="0" w:color="auto"/>
            </w:tcBorders>
          </w:tcPr>
          <w:p w:rsidR="00B44960" w:rsidRPr="00B44960" w:rsidRDefault="00B44960" w:rsidP="00BA11CF">
            <w:pPr>
              <w:rPr>
                <w:rFonts w:asciiTheme="minorHAnsi" w:hAnsiTheme="minorHAnsi" w:cstheme="minorHAnsi"/>
                <w:b/>
                <w:sz w:val="20"/>
                <w:szCs w:val="20"/>
              </w:rPr>
            </w:pPr>
          </w:p>
        </w:tc>
        <w:tc>
          <w:tcPr>
            <w:tcW w:w="460" w:type="dxa"/>
            <w:gridSpan w:val="4"/>
            <w:tcBorders>
              <w:bottom w:val="single" w:sz="4" w:space="0" w:color="auto"/>
            </w:tcBorders>
          </w:tcPr>
          <w:p w:rsidR="00B44960" w:rsidRPr="00B44960" w:rsidRDefault="00B44960" w:rsidP="00BA11CF">
            <w:pPr>
              <w:rPr>
                <w:rFonts w:asciiTheme="minorHAnsi" w:hAnsiTheme="minorHAnsi" w:cstheme="minorHAnsi"/>
                <w:b/>
                <w:sz w:val="20"/>
                <w:szCs w:val="20"/>
              </w:rPr>
            </w:pPr>
          </w:p>
        </w:tc>
        <w:tc>
          <w:tcPr>
            <w:tcW w:w="247" w:type="dxa"/>
            <w:gridSpan w:val="7"/>
            <w:tcBorders>
              <w:bottom w:val="single" w:sz="4" w:space="0" w:color="auto"/>
            </w:tcBorders>
          </w:tcPr>
          <w:p w:rsidR="00B44960" w:rsidRPr="00B44960" w:rsidRDefault="00B44960" w:rsidP="00BA11CF">
            <w:pPr>
              <w:rPr>
                <w:rFonts w:asciiTheme="minorHAnsi" w:hAnsiTheme="minorHAnsi" w:cstheme="minorHAnsi"/>
                <w:b/>
                <w:sz w:val="20"/>
                <w:szCs w:val="20"/>
              </w:rPr>
            </w:pPr>
          </w:p>
        </w:tc>
        <w:tc>
          <w:tcPr>
            <w:tcW w:w="576" w:type="dxa"/>
            <w:gridSpan w:val="5"/>
            <w:tcBorders>
              <w:bottom w:val="single" w:sz="4" w:space="0" w:color="auto"/>
            </w:tcBorders>
          </w:tcPr>
          <w:p w:rsidR="00B44960" w:rsidRPr="00B44960" w:rsidRDefault="00B44960" w:rsidP="00BA11CF">
            <w:pPr>
              <w:rPr>
                <w:rFonts w:asciiTheme="minorHAnsi" w:hAnsiTheme="minorHAnsi" w:cstheme="minorHAnsi"/>
                <w:b/>
                <w:sz w:val="20"/>
                <w:szCs w:val="20"/>
              </w:rPr>
            </w:pPr>
          </w:p>
        </w:tc>
        <w:tc>
          <w:tcPr>
            <w:tcW w:w="296" w:type="dxa"/>
            <w:tcBorders>
              <w:bottom w:val="single" w:sz="4" w:space="0" w:color="auto"/>
            </w:tcBorders>
          </w:tcPr>
          <w:p w:rsidR="00B44960" w:rsidRPr="00B44960" w:rsidRDefault="00B44960" w:rsidP="00BA11CF">
            <w:pPr>
              <w:rPr>
                <w:rFonts w:asciiTheme="minorHAnsi" w:hAnsiTheme="minorHAnsi" w:cstheme="minorHAnsi"/>
                <w:b/>
                <w:sz w:val="20"/>
                <w:szCs w:val="20"/>
              </w:rPr>
            </w:pPr>
          </w:p>
        </w:tc>
        <w:tc>
          <w:tcPr>
            <w:tcW w:w="397" w:type="dxa"/>
            <w:gridSpan w:val="3"/>
            <w:tcBorders>
              <w:bottom w:val="single" w:sz="4" w:space="0" w:color="auto"/>
            </w:tcBorders>
          </w:tcPr>
          <w:p w:rsidR="00B44960" w:rsidRPr="00B44960" w:rsidRDefault="00B44960" w:rsidP="00BA11CF">
            <w:pPr>
              <w:rPr>
                <w:rFonts w:asciiTheme="minorHAnsi" w:hAnsiTheme="minorHAnsi" w:cstheme="minorHAnsi"/>
                <w:b/>
                <w:sz w:val="20"/>
                <w:szCs w:val="20"/>
              </w:rPr>
            </w:pPr>
          </w:p>
        </w:tc>
        <w:tc>
          <w:tcPr>
            <w:tcW w:w="540" w:type="dxa"/>
            <w:gridSpan w:val="7"/>
            <w:tcBorders>
              <w:bottom w:val="single" w:sz="4" w:space="0" w:color="auto"/>
            </w:tcBorders>
          </w:tcPr>
          <w:p w:rsidR="00B44960" w:rsidRPr="00B44960" w:rsidRDefault="00B44960" w:rsidP="00BA11CF">
            <w:pPr>
              <w:rPr>
                <w:rFonts w:asciiTheme="minorHAnsi" w:hAnsiTheme="minorHAnsi" w:cstheme="minorHAnsi"/>
                <w:b/>
                <w:sz w:val="20"/>
                <w:szCs w:val="20"/>
              </w:rPr>
            </w:pPr>
          </w:p>
        </w:tc>
        <w:tc>
          <w:tcPr>
            <w:tcW w:w="160" w:type="dxa"/>
            <w:tcBorders>
              <w:bottom w:val="single" w:sz="4" w:space="0" w:color="auto"/>
            </w:tcBorders>
          </w:tcPr>
          <w:p w:rsidR="00B44960" w:rsidRPr="00B44960" w:rsidRDefault="00B44960" w:rsidP="00BA11CF">
            <w:pPr>
              <w:rPr>
                <w:rFonts w:asciiTheme="minorHAnsi" w:hAnsiTheme="minorHAnsi" w:cstheme="minorHAnsi"/>
                <w:b/>
                <w:sz w:val="20"/>
                <w:szCs w:val="20"/>
              </w:rPr>
            </w:pPr>
          </w:p>
        </w:tc>
        <w:tc>
          <w:tcPr>
            <w:tcW w:w="2033" w:type="dxa"/>
            <w:gridSpan w:val="17"/>
            <w:tcBorders>
              <w:bottom w:val="single" w:sz="4" w:space="0" w:color="auto"/>
            </w:tcBorders>
          </w:tcPr>
          <w:p w:rsidR="00B44960" w:rsidRPr="00B44960" w:rsidRDefault="00B44960" w:rsidP="00BA11CF">
            <w:pPr>
              <w:rPr>
                <w:rFonts w:asciiTheme="minorHAnsi" w:hAnsiTheme="minorHAnsi" w:cstheme="minorHAnsi"/>
                <w:b/>
                <w:sz w:val="20"/>
                <w:szCs w:val="20"/>
              </w:rPr>
            </w:pPr>
          </w:p>
        </w:tc>
        <w:tc>
          <w:tcPr>
            <w:tcW w:w="161" w:type="dxa"/>
            <w:gridSpan w:val="2"/>
            <w:tcBorders>
              <w:bottom w:val="single" w:sz="4" w:space="0" w:color="auto"/>
            </w:tcBorders>
          </w:tcPr>
          <w:p w:rsidR="00B44960" w:rsidRPr="00B44960" w:rsidRDefault="00B44960" w:rsidP="00BA11CF">
            <w:pPr>
              <w:rPr>
                <w:rFonts w:asciiTheme="minorHAnsi" w:hAnsiTheme="minorHAnsi" w:cstheme="minorHAnsi"/>
                <w:b/>
                <w:sz w:val="20"/>
                <w:szCs w:val="20"/>
              </w:rPr>
            </w:pPr>
          </w:p>
        </w:tc>
        <w:tc>
          <w:tcPr>
            <w:tcW w:w="460" w:type="dxa"/>
            <w:gridSpan w:val="4"/>
            <w:tcBorders>
              <w:bottom w:val="single" w:sz="4" w:space="0" w:color="auto"/>
            </w:tcBorders>
          </w:tcPr>
          <w:p w:rsidR="00B44960" w:rsidRPr="00B44960" w:rsidRDefault="00B44960" w:rsidP="00BA11CF">
            <w:pPr>
              <w:rPr>
                <w:rFonts w:asciiTheme="minorHAnsi" w:hAnsiTheme="minorHAnsi" w:cstheme="minorHAnsi"/>
                <w:b/>
                <w:sz w:val="20"/>
                <w:szCs w:val="20"/>
              </w:rPr>
            </w:pPr>
          </w:p>
        </w:tc>
        <w:tc>
          <w:tcPr>
            <w:tcW w:w="460" w:type="dxa"/>
            <w:gridSpan w:val="2"/>
            <w:tcBorders>
              <w:bottom w:val="single" w:sz="4" w:space="0" w:color="auto"/>
            </w:tcBorders>
          </w:tcPr>
          <w:p w:rsidR="00B44960" w:rsidRPr="00B44960" w:rsidRDefault="00B44960" w:rsidP="00BA11CF">
            <w:pPr>
              <w:rPr>
                <w:rFonts w:asciiTheme="minorHAnsi" w:hAnsiTheme="minorHAnsi" w:cstheme="minorHAnsi"/>
                <w:b/>
                <w:sz w:val="20"/>
                <w:szCs w:val="20"/>
              </w:rPr>
            </w:pPr>
          </w:p>
        </w:tc>
        <w:tc>
          <w:tcPr>
            <w:tcW w:w="160" w:type="dxa"/>
            <w:gridSpan w:val="2"/>
            <w:tcBorders>
              <w:bottom w:val="single" w:sz="4" w:space="0" w:color="auto"/>
            </w:tcBorders>
          </w:tcPr>
          <w:p w:rsidR="00B44960" w:rsidRPr="00B44960" w:rsidRDefault="00B44960" w:rsidP="00BA11CF">
            <w:pPr>
              <w:rPr>
                <w:rFonts w:asciiTheme="minorHAnsi" w:hAnsiTheme="minorHAnsi" w:cstheme="minorHAnsi"/>
                <w:b/>
                <w:sz w:val="20"/>
                <w:szCs w:val="20"/>
              </w:rPr>
            </w:pPr>
          </w:p>
        </w:tc>
        <w:tc>
          <w:tcPr>
            <w:tcW w:w="760" w:type="dxa"/>
            <w:gridSpan w:val="5"/>
            <w:tcBorders>
              <w:bottom w:val="single" w:sz="4" w:space="0" w:color="auto"/>
            </w:tcBorders>
          </w:tcPr>
          <w:p w:rsidR="00B44960" w:rsidRPr="00B44960" w:rsidRDefault="00B44960" w:rsidP="00BA11CF">
            <w:pPr>
              <w:rPr>
                <w:rFonts w:asciiTheme="minorHAnsi" w:hAnsiTheme="minorHAnsi" w:cstheme="minorHAnsi"/>
                <w:b/>
                <w:sz w:val="20"/>
                <w:szCs w:val="20"/>
              </w:rPr>
            </w:pPr>
          </w:p>
        </w:tc>
        <w:tc>
          <w:tcPr>
            <w:tcW w:w="460" w:type="dxa"/>
            <w:gridSpan w:val="3"/>
            <w:tcBorders>
              <w:bottom w:val="single" w:sz="4" w:space="0" w:color="auto"/>
            </w:tcBorders>
          </w:tcPr>
          <w:p w:rsidR="00B44960" w:rsidRPr="00B44960" w:rsidRDefault="00B44960" w:rsidP="00BA11CF">
            <w:pPr>
              <w:rPr>
                <w:rFonts w:asciiTheme="minorHAnsi" w:hAnsiTheme="minorHAnsi" w:cstheme="minorHAnsi"/>
                <w:b/>
                <w:sz w:val="20"/>
                <w:szCs w:val="20"/>
              </w:rPr>
            </w:pPr>
          </w:p>
        </w:tc>
        <w:tc>
          <w:tcPr>
            <w:tcW w:w="382" w:type="dxa"/>
            <w:gridSpan w:val="4"/>
            <w:tcBorders>
              <w:bottom w:val="single" w:sz="4" w:space="0" w:color="auto"/>
            </w:tcBorders>
          </w:tcPr>
          <w:p w:rsidR="00B44960" w:rsidRPr="00B44960" w:rsidRDefault="00B44960" w:rsidP="00BA11CF">
            <w:pPr>
              <w:rPr>
                <w:rFonts w:asciiTheme="minorHAnsi" w:hAnsiTheme="minorHAnsi" w:cstheme="minorHAnsi"/>
                <w:b/>
                <w:sz w:val="20"/>
                <w:szCs w:val="20"/>
              </w:rPr>
            </w:pPr>
          </w:p>
        </w:tc>
      </w:tr>
      <w:tr w:rsidR="00225B7E" w:rsidRPr="00B44960" w:rsidTr="000F4CB9">
        <w:trPr>
          <w:gridAfter w:val="3"/>
          <w:wAfter w:w="320" w:type="dxa"/>
        </w:trPr>
        <w:tc>
          <w:tcPr>
            <w:tcW w:w="2722" w:type="dxa"/>
            <w:gridSpan w:val="24"/>
            <w:tcBorders>
              <w:top w:val="single" w:sz="4" w:space="0" w:color="auto"/>
              <w:left w:val="single" w:sz="4" w:space="0" w:color="auto"/>
              <w:bottom w:val="single" w:sz="4" w:space="0" w:color="auto"/>
              <w:right w:val="single" w:sz="4" w:space="0" w:color="auto"/>
            </w:tcBorders>
            <w:shd w:val="clear" w:color="auto" w:fill="FFFF00"/>
            <w:vAlign w:val="center"/>
          </w:tcPr>
          <w:p w:rsidR="00B44960" w:rsidRPr="00B44960" w:rsidRDefault="00B44960" w:rsidP="00BA11CF">
            <w:pPr>
              <w:jc w:val="center"/>
              <w:rPr>
                <w:rFonts w:asciiTheme="minorHAnsi" w:hAnsiTheme="minorHAnsi" w:cstheme="minorHAnsi"/>
                <w:b/>
                <w:sz w:val="18"/>
                <w:szCs w:val="18"/>
              </w:rPr>
            </w:pPr>
            <w:r w:rsidRPr="00B44960">
              <w:rPr>
                <w:rFonts w:asciiTheme="minorHAnsi" w:hAnsiTheme="minorHAnsi" w:cstheme="minorHAnsi"/>
                <w:b/>
                <w:sz w:val="18"/>
                <w:szCs w:val="18"/>
              </w:rPr>
              <w:t>Rozpočet upravený v tis. Kč</w:t>
            </w:r>
          </w:p>
        </w:tc>
        <w:tc>
          <w:tcPr>
            <w:tcW w:w="2543" w:type="dxa"/>
            <w:gridSpan w:val="26"/>
            <w:tcBorders>
              <w:top w:val="single" w:sz="4" w:space="0" w:color="auto"/>
              <w:left w:val="single" w:sz="4" w:space="0" w:color="auto"/>
              <w:bottom w:val="single" w:sz="4" w:space="0" w:color="auto"/>
              <w:right w:val="single" w:sz="4" w:space="0" w:color="auto"/>
            </w:tcBorders>
            <w:shd w:val="clear" w:color="auto" w:fill="FFFF00"/>
            <w:vAlign w:val="center"/>
          </w:tcPr>
          <w:p w:rsidR="00B44960" w:rsidRPr="00B44960" w:rsidRDefault="00B44960" w:rsidP="00BA11CF">
            <w:pPr>
              <w:jc w:val="center"/>
              <w:rPr>
                <w:rFonts w:asciiTheme="minorHAnsi" w:hAnsiTheme="minorHAnsi" w:cstheme="minorHAnsi"/>
                <w:b/>
                <w:sz w:val="18"/>
                <w:szCs w:val="18"/>
              </w:rPr>
            </w:pPr>
            <w:r w:rsidRPr="00B44960">
              <w:rPr>
                <w:rFonts w:asciiTheme="minorHAnsi" w:hAnsiTheme="minorHAnsi" w:cstheme="minorHAnsi"/>
                <w:b/>
                <w:sz w:val="18"/>
                <w:szCs w:val="18"/>
              </w:rPr>
              <w:t>Skutečnost v tis. Kč</w:t>
            </w:r>
          </w:p>
        </w:tc>
        <w:tc>
          <w:tcPr>
            <w:tcW w:w="1134" w:type="dxa"/>
            <w:gridSpan w:val="7"/>
            <w:tcBorders>
              <w:top w:val="single" w:sz="4" w:space="0" w:color="auto"/>
              <w:left w:val="single" w:sz="4" w:space="0" w:color="auto"/>
              <w:bottom w:val="single" w:sz="4" w:space="0" w:color="auto"/>
              <w:right w:val="single" w:sz="4" w:space="0" w:color="auto"/>
            </w:tcBorders>
            <w:shd w:val="clear" w:color="auto" w:fill="FFFF00"/>
            <w:vAlign w:val="center"/>
          </w:tcPr>
          <w:p w:rsidR="00B44960" w:rsidRPr="00B44960" w:rsidRDefault="00B44960" w:rsidP="00BA11CF">
            <w:pPr>
              <w:jc w:val="center"/>
              <w:rPr>
                <w:rFonts w:asciiTheme="minorHAnsi" w:hAnsiTheme="minorHAnsi" w:cstheme="minorHAnsi"/>
                <w:b/>
                <w:sz w:val="18"/>
                <w:szCs w:val="18"/>
              </w:rPr>
            </w:pPr>
            <w:r w:rsidRPr="00B44960">
              <w:rPr>
                <w:rFonts w:asciiTheme="minorHAnsi" w:hAnsiTheme="minorHAnsi" w:cstheme="minorHAnsi"/>
                <w:b/>
                <w:sz w:val="18"/>
                <w:szCs w:val="18"/>
              </w:rPr>
              <w:t>SK/RU v %</w:t>
            </w:r>
          </w:p>
        </w:tc>
        <w:tc>
          <w:tcPr>
            <w:tcW w:w="2883" w:type="dxa"/>
            <w:gridSpan w:val="23"/>
            <w:tcBorders>
              <w:top w:val="single" w:sz="4" w:space="0" w:color="auto"/>
              <w:left w:val="single" w:sz="4" w:space="0" w:color="auto"/>
              <w:bottom w:val="single" w:sz="4" w:space="0" w:color="auto"/>
              <w:right w:val="single" w:sz="4" w:space="0" w:color="auto"/>
            </w:tcBorders>
            <w:shd w:val="clear" w:color="auto" w:fill="FFFF00"/>
            <w:vAlign w:val="center"/>
          </w:tcPr>
          <w:p w:rsidR="00B44960" w:rsidRPr="00B44960" w:rsidRDefault="00B44960" w:rsidP="00BA11CF">
            <w:pPr>
              <w:jc w:val="center"/>
              <w:rPr>
                <w:rFonts w:asciiTheme="minorHAnsi" w:hAnsiTheme="minorHAnsi" w:cstheme="minorHAnsi"/>
                <w:b/>
                <w:sz w:val="18"/>
                <w:szCs w:val="18"/>
              </w:rPr>
            </w:pPr>
            <w:r w:rsidRPr="00B44960">
              <w:rPr>
                <w:rFonts w:asciiTheme="minorHAnsi" w:hAnsiTheme="minorHAnsi" w:cstheme="minorHAnsi"/>
                <w:b/>
                <w:sz w:val="18"/>
                <w:szCs w:val="18"/>
              </w:rPr>
              <w:t>Komentář</w:t>
            </w:r>
          </w:p>
        </w:tc>
      </w:tr>
      <w:tr w:rsidR="0051317E" w:rsidRPr="00B44960" w:rsidTr="000F4CB9">
        <w:trPr>
          <w:gridAfter w:val="3"/>
          <w:wAfter w:w="320" w:type="dxa"/>
        </w:trPr>
        <w:tc>
          <w:tcPr>
            <w:tcW w:w="2722" w:type="dxa"/>
            <w:gridSpan w:val="24"/>
            <w:tcBorders>
              <w:top w:val="single" w:sz="4" w:space="0" w:color="auto"/>
              <w:left w:val="single" w:sz="4" w:space="0" w:color="auto"/>
              <w:bottom w:val="single" w:sz="4" w:space="0" w:color="auto"/>
              <w:right w:val="single" w:sz="4" w:space="0" w:color="auto"/>
            </w:tcBorders>
          </w:tcPr>
          <w:p w:rsidR="00B44960" w:rsidRPr="00B44960" w:rsidRDefault="000F4CB9" w:rsidP="00BA11CF">
            <w:pPr>
              <w:jc w:val="right"/>
              <w:rPr>
                <w:rFonts w:asciiTheme="minorHAnsi" w:hAnsiTheme="minorHAnsi" w:cstheme="minorHAnsi"/>
                <w:b/>
                <w:sz w:val="18"/>
                <w:szCs w:val="18"/>
              </w:rPr>
            </w:pPr>
            <w:r>
              <w:rPr>
                <w:rFonts w:asciiTheme="minorHAnsi" w:hAnsiTheme="minorHAnsi" w:cstheme="minorHAnsi"/>
                <w:b/>
                <w:sz w:val="18"/>
                <w:szCs w:val="18"/>
              </w:rPr>
              <w:t xml:space="preserve">18 </w:t>
            </w:r>
            <w:r w:rsidR="00B44960" w:rsidRPr="00B44960">
              <w:rPr>
                <w:rFonts w:asciiTheme="minorHAnsi" w:hAnsiTheme="minorHAnsi" w:cstheme="minorHAnsi"/>
                <w:b/>
                <w:sz w:val="18"/>
                <w:szCs w:val="18"/>
              </w:rPr>
              <w:t>557,35</w:t>
            </w:r>
          </w:p>
        </w:tc>
        <w:tc>
          <w:tcPr>
            <w:tcW w:w="2543" w:type="dxa"/>
            <w:gridSpan w:val="26"/>
            <w:tcBorders>
              <w:top w:val="single" w:sz="4" w:space="0" w:color="auto"/>
              <w:left w:val="single" w:sz="4" w:space="0" w:color="auto"/>
              <w:bottom w:val="single" w:sz="4" w:space="0" w:color="auto"/>
              <w:right w:val="single" w:sz="4" w:space="0" w:color="auto"/>
            </w:tcBorders>
          </w:tcPr>
          <w:p w:rsidR="00B44960" w:rsidRPr="00B44960" w:rsidRDefault="000F4CB9" w:rsidP="00BA11CF">
            <w:pPr>
              <w:jc w:val="right"/>
              <w:rPr>
                <w:rFonts w:asciiTheme="minorHAnsi" w:hAnsiTheme="minorHAnsi" w:cstheme="minorHAnsi"/>
                <w:b/>
                <w:sz w:val="18"/>
                <w:szCs w:val="18"/>
              </w:rPr>
            </w:pPr>
            <w:r>
              <w:rPr>
                <w:rFonts w:asciiTheme="minorHAnsi" w:hAnsiTheme="minorHAnsi" w:cstheme="minorHAnsi"/>
                <w:b/>
                <w:sz w:val="18"/>
                <w:szCs w:val="18"/>
              </w:rPr>
              <w:t xml:space="preserve">18 </w:t>
            </w:r>
            <w:r w:rsidR="00B44960" w:rsidRPr="00B44960">
              <w:rPr>
                <w:rFonts w:asciiTheme="minorHAnsi" w:hAnsiTheme="minorHAnsi" w:cstheme="minorHAnsi"/>
                <w:b/>
                <w:sz w:val="18"/>
                <w:szCs w:val="18"/>
              </w:rPr>
              <w:t>571,25</w:t>
            </w:r>
          </w:p>
        </w:tc>
        <w:tc>
          <w:tcPr>
            <w:tcW w:w="1134" w:type="dxa"/>
            <w:gridSpan w:val="7"/>
            <w:tcBorders>
              <w:top w:val="single" w:sz="4" w:space="0" w:color="auto"/>
              <w:left w:val="single" w:sz="4" w:space="0" w:color="auto"/>
              <w:bottom w:val="single" w:sz="4" w:space="0" w:color="auto"/>
              <w:right w:val="single" w:sz="4" w:space="0" w:color="auto"/>
            </w:tcBorders>
          </w:tcPr>
          <w:p w:rsidR="00B44960" w:rsidRPr="00B44960" w:rsidRDefault="00B44960" w:rsidP="00B44960">
            <w:pPr>
              <w:jc w:val="center"/>
              <w:rPr>
                <w:rFonts w:asciiTheme="minorHAnsi" w:hAnsiTheme="minorHAnsi" w:cstheme="minorHAnsi"/>
                <w:b/>
                <w:sz w:val="18"/>
                <w:szCs w:val="18"/>
              </w:rPr>
            </w:pPr>
            <w:r w:rsidRPr="00B44960">
              <w:rPr>
                <w:rFonts w:asciiTheme="minorHAnsi" w:hAnsiTheme="minorHAnsi" w:cstheme="minorHAnsi"/>
                <w:b/>
                <w:sz w:val="18"/>
                <w:szCs w:val="18"/>
              </w:rPr>
              <w:t>100,07</w:t>
            </w:r>
          </w:p>
        </w:tc>
        <w:tc>
          <w:tcPr>
            <w:tcW w:w="2883" w:type="dxa"/>
            <w:gridSpan w:val="23"/>
            <w:tcBorders>
              <w:top w:val="single" w:sz="4" w:space="0" w:color="auto"/>
              <w:left w:val="single" w:sz="4" w:space="0" w:color="auto"/>
              <w:bottom w:val="single" w:sz="4" w:space="0" w:color="auto"/>
              <w:right w:val="single" w:sz="4" w:space="0" w:color="auto"/>
            </w:tcBorders>
          </w:tcPr>
          <w:p w:rsidR="00B44960" w:rsidRPr="00B44960" w:rsidRDefault="00B44960" w:rsidP="00243915">
            <w:pPr>
              <w:ind w:right="-69"/>
              <w:rPr>
                <w:rFonts w:asciiTheme="minorHAnsi" w:hAnsiTheme="minorHAnsi" w:cstheme="minorHAnsi"/>
                <w:b/>
                <w:sz w:val="18"/>
                <w:szCs w:val="18"/>
              </w:rPr>
            </w:pPr>
            <w:r w:rsidRPr="00B44960">
              <w:rPr>
                <w:rFonts w:asciiTheme="minorHAnsi" w:hAnsiTheme="minorHAnsi" w:cstheme="minorHAnsi"/>
                <w:b/>
                <w:sz w:val="18"/>
                <w:szCs w:val="18"/>
              </w:rPr>
              <w:t>Příjmy před konsolidací</w:t>
            </w:r>
          </w:p>
        </w:tc>
      </w:tr>
      <w:tr w:rsidR="0051317E" w:rsidRPr="00B44960" w:rsidTr="000F4CB9">
        <w:trPr>
          <w:gridAfter w:val="3"/>
          <w:wAfter w:w="320" w:type="dxa"/>
        </w:trPr>
        <w:tc>
          <w:tcPr>
            <w:tcW w:w="2722" w:type="dxa"/>
            <w:gridSpan w:val="24"/>
            <w:tcBorders>
              <w:top w:val="single" w:sz="4" w:space="0" w:color="auto"/>
              <w:left w:val="single" w:sz="4" w:space="0" w:color="auto"/>
              <w:bottom w:val="single" w:sz="4" w:space="0" w:color="auto"/>
              <w:right w:val="single" w:sz="4" w:space="0" w:color="auto"/>
            </w:tcBorders>
          </w:tcPr>
          <w:p w:rsidR="00B44960" w:rsidRPr="00B44960" w:rsidRDefault="000F4CB9" w:rsidP="00BA11CF">
            <w:pPr>
              <w:jc w:val="right"/>
              <w:rPr>
                <w:rFonts w:asciiTheme="minorHAnsi" w:hAnsiTheme="minorHAnsi" w:cstheme="minorHAnsi"/>
                <w:b/>
                <w:sz w:val="18"/>
                <w:szCs w:val="18"/>
              </w:rPr>
            </w:pPr>
            <w:r>
              <w:rPr>
                <w:rFonts w:asciiTheme="minorHAnsi" w:hAnsiTheme="minorHAnsi" w:cstheme="minorHAnsi"/>
                <w:b/>
                <w:sz w:val="18"/>
                <w:szCs w:val="18"/>
              </w:rPr>
              <w:t xml:space="preserve">18 </w:t>
            </w:r>
            <w:r w:rsidR="00B44960" w:rsidRPr="00B44960">
              <w:rPr>
                <w:rFonts w:asciiTheme="minorHAnsi" w:hAnsiTheme="minorHAnsi" w:cstheme="minorHAnsi"/>
                <w:b/>
                <w:sz w:val="18"/>
                <w:szCs w:val="18"/>
              </w:rPr>
              <w:t>557,35</w:t>
            </w:r>
          </w:p>
        </w:tc>
        <w:tc>
          <w:tcPr>
            <w:tcW w:w="2543" w:type="dxa"/>
            <w:gridSpan w:val="26"/>
            <w:tcBorders>
              <w:top w:val="single" w:sz="4" w:space="0" w:color="auto"/>
              <w:left w:val="single" w:sz="4" w:space="0" w:color="auto"/>
              <w:bottom w:val="single" w:sz="4" w:space="0" w:color="auto"/>
              <w:right w:val="single" w:sz="4" w:space="0" w:color="auto"/>
            </w:tcBorders>
          </w:tcPr>
          <w:p w:rsidR="00B44960" w:rsidRPr="00B44960" w:rsidRDefault="000F4CB9" w:rsidP="00BA11CF">
            <w:pPr>
              <w:jc w:val="right"/>
              <w:rPr>
                <w:rFonts w:asciiTheme="minorHAnsi" w:hAnsiTheme="minorHAnsi" w:cstheme="minorHAnsi"/>
                <w:b/>
                <w:sz w:val="18"/>
                <w:szCs w:val="18"/>
              </w:rPr>
            </w:pPr>
            <w:r>
              <w:rPr>
                <w:rFonts w:asciiTheme="minorHAnsi" w:hAnsiTheme="minorHAnsi" w:cstheme="minorHAnsi"/>
                <w:b/>
                <w:sz w:val="18"/>
                <w:szCs w:val="18"/>
              </w:rPr>
              <w:t xml:space="preserve">18 </w:t>
            </w:r>
            <w:r w:rsidR="00B44960" w:rsidRPr="00B44960">
              <w:rPr>
                <w:rFonts w:asciiTheme="minorHAnsi" w:hAnsiTheme="minorHAnsi" w:cstheme="minorHAnsi"/>
                <w:b/>
                <w:sz w:val="18"/>
                <w:szCs w:val="18"/>
              </w:rPr>
              <w:t>571,25</w:t>
            </w:r>
          </w:p>
        </w:tc>
        <w:tc>
          <w:tcPr>
            <w:tcW w:w="1134" w:type="dxa"/>
            <w:gridSpan w:val="7"/>
            <w:tcBorders>
              <w:top w:val="single" w:sz="4" w:space="0" w:color="auto"/>
              <w:left w:val="single" w:sz="4" w:space="0" w:color="auto"/>
              <w:bottom w:val="single" w:sz="4" w:space="0" w:color="auto"/>
              <w:right w:val="single" w:sz="4" w:space="0" w:color="auto"/>
            </w:tcBorders>
          </w:tcPr>
          <w:p w:rsidR="00B44960" w:rsidRPr="00B44960" w:rsidRDefault="00B44960" w:rsidP="00B44960">
            <w:pPr>
              <w:jc w:val="center"/>
              <w:rPr>
                <w:rFonts w:asciiTheme="minorHAnsi" w:hAnsiTheme="minorHAnsi" w:cstheme="minorHAnsi"/>
                <w:b/>
                <w:sz w:val="18"/>
                <w:szCs w:val="18"/>
              </w:rPr>
            </w:pPr>
            <w:r w:rsidRPr="00B44960">
              <w:rPr>
                <w:rFonts w:asciiTheme="minorHAnsi" w:hAnsiTheme="minorHAnsi" w:cstheme="minorHAnsi"/>
                <w:b/>
                <w:sz w:val="18"/>
                <w:szCs w:val="18"/>
              </w:rPr>
              <w:t>100,07</w:t>
            </w:r>
          </w:p>
        </w:tc>
        <w:tc>
          <w:tcPr>
            <w:tcW w:w="2883" w:type="dxa"/>
            <w:gridSpan w:val="23"/>
            <w:tcBorders>
              <w:top w:val="single" w:sz="4" w:space="0" w:color="auto"/>
              <w:left w:val="single" w:sz="4" w:space="0" w:color="auto"/>
              <w:bottom w:val="single" w:sz="4" w:space="0" w:color="auto"/>
              <w:right w:val="single" w:sz="4" w:space="0" w:color="auto"/>
            </w:tcBorders>
          </w:tcPr>
          <w:p w:rsidR="00B44960" w:rsidRPr="00B44960" w:rsidRDefault="00B44960" w:rsidP="00BA11CF">
            <w:pPr>
              <w:rPr>
                <w:rFonts w:asciiTheme="minorHAnsi" w:hAnsiTheme="minorHAnsi" w:cstheme="minorHAnsi"/>
                <w:b/>
                <w:sz w:val="18"/>
                <w:szCs w:val="18"/>
              </w:rPr>
            </w:pPr>
            <w:r w:rsidRPr="00B44960">
              <w:rPr>
                <w:rFonts w:asciiTheme="minorHAnsi" w:hAnsiTheme="minorHAnsi" w:cstheme="minorHAnsi"/>
                <w:b/>
                <w:sz w:val="18"/>
                <w:szCs w:val="18"/>
              </w:rPr>
              <w:t>Příjmy po konsolidaci</w:t>
            </w:r>
          </w:p>
        </w:tc>
      </w:tr>
      <w:tr w:rsidR="0051317E" w:rsidRPr="00B44960" w:rsidTr="00E101BC">
        <w:tc>
          <w:tcPr>
            <w:tcW w:w="453" w:type="dxa"/>
            <w:gridSpan w:val="2"/>
            <w:tcBorders>
              <w:top w:val="single" w:sz="4" w:space="0" w:color="auto"/>
            </w:tcBorders>
          </w:tcPr>
          <w:p w:rsidR="00B44960" w:rsidRPr="00B44960" w:rsidRDefault="00B44960" w:rsidP="00BA11CF">
            <w:pPr>
              <w:rPr>
                <w:rFonts w:asciiTheme="minorHAnsi" w:hAnsiTheme="minorHAnsi" w:cstheme="minorHAnsi"/>
                <w:b/>
                <w:sz w:val="20"/>
                <w:szCs w:val="20"/>
              </w:rPr>
            </w:pPr>
          </w:p>
        </w:tc>
        <w:tc>
          <w:tcPr>
            <w:tcW w:w="328" w:type="dxa"/>
            <w:gridSpan w:val="3"/>
            <w:tcBorders>
              <w:top w:val="single" w:sz="4" w:space="0" w:color="auto"/>
            </w:tcBorders>
          </w:tcPr>
          <w:p w:rsidR="00B44960" w:rsidRPr="00B44960" w:rsidRDefault="00B44960" w:rsidP="00BA11CF">
            <w:pPr>
              <w:rPr>
                <w:rFonts w:asciiTheme="minorHAnsi" w:hAnsiTheme="minorHAnsi" w:cstheme="minorHAnsi"/>
                <w:b/>
                <w:sz w:val="20"/>
                <w:szCs w:val="20"/>
              </w:rPr>
            </w:pPr>
          </w:p>
        </w:tc>
        <w:tc>
          <w:tcPr>
            <w:tcW w:w="562" w:type="dxa"/>
            <w:gridSpan w:val="3"/>
            <w:tcBorders>
              <w:top w:val="single" w:sz="4" w:space="0" w:color="auto"/>
            </w:tcBorders>
          </w:tcPr>
          <w:p w:rsidR="00B44960" w:rsidRPr="00B44960" w:rsidRDefault="00B44960" w:rsidP="00BA11CF">
            <w:pPr>
              <w:rPr>
                <w:rFonts w:asciiTheme="minorHAnsi" w:hAnsiTheme="minorHAnsi" w:cstheme="minorHAnsi"/>
                <w:b/>
                <w:sz w:val="20"/>
                <w:szCs w:val="20"/>
              </w:rPr>
            </w:pPr>
          </w:p>
        </w:tc>
        <w:tc>
          <w:tcPr>
            <w:tcW w:w="178" w:type="dxa"/>
            <w:gridSpan w:val="4"/>
            <w:tcBorders>
              <w:top w:val="single" w:sz="4" w:space="0" w:color="auto"/>
            </w:tcBorders>
          </w:tcPr>
          <w:p w:rsidR="00B44960" w:rsidRPr="00B44960" w:rsidRDefault="00B44960" w:rsidP="00BA11CF">
            <w:pPr>
              <w:rPr>
                <w:rFonts w:asciiTheme="minorHAnsi" w:hAnsiTheme="minorHAnsi" w:cstheme="minorHAnsi"/>
                <w:b/>
                <w:sz w:val="20"/>
                <w:szCs w:val="20"/>
              </w:rPr>
            </w:pPr>
          </w:p>
        </w:tc>
        <w:tc>
          <w:tcPr>
            <w:tcW w:w="529" w:type="dxa"/>
            <w:gridSpan w:val="4"/>
            <w:tcBorders>
              <w:top w:val="single" w:sz="4" w:space="0" w:color="auto"/>
            </w:tcBorders>
          </w:tcPr>
          <w:p w:rsidR="00B44960" w:rsidRPr="00B44960" w:rsidRDefault="00B44960" w:rsidP="00BA11CF">
            <w:pPr>
              <w:rPr>
                <w:rFonts w:asciiTheme="minorHAnsi" w:hAnsiTheme="minorHAnsi" w:cstheme="minorHAnsi"/>
                <w:b/>
                <w:sz w:val="20"/>
                <w:szCs w:val="20"/>
              </w:rPr>
            </w:pPr>
          </w:p>
        </w:tc>
        <w:tc>
          <w:tcPr>
            <w:tcW w:w="460" w:type="dxa"/>
            <w:gridSpan w:val="4"/>
            <w:tcBorders>
              <w:top w:val="single" w:sz="4" w:space="0" w:color="auto"/>
            </w:tcBorders>
          </w:tcPr>
          <w:p w:rsidR="00B44960" w:rsidRPr="00B44960" w:rsidRDefault="00B44960" w:rsidP="00BA11CF">
            <w:pPr>
              <w:rPr>
                <w:rFonts w:asciiTheme="minorHAnsi" w:hAnsiTheme="minorHAnsi" w:cstheme="minorHAnsi"/>
                <w:b/>
                <w:sz w:val="20"/>
                <w:szCs w:val="20"/>
              </w:rPr>
            </w:pPr>
          </w:p>
        </w:tc>
        <w:tc>
          <w:tcPr>
            <w:tcW w:w="247" w:type="dxa"/>
            <w:gridSpan w:val="7"/>
            <w:tcBorders>
              <w:top w:val="single" w:sz="4" w:space="0" w:color="auto"/>
            </w:tcBorders>
          </w:tcPr>
          <w:p w:rsidR="00B44960" w:rsidRPr="00B44960" w:rsidRDefault="00B44960" w:rsidP="00BA11CF">
            <w:pPr>
              <w:rPr>
                <w:rFonts w:asciiTheme="minorHAnsi" w:hAnsiTheme="minorHAnsi" w:cstheme="minorHAnsi"/>
                <w:b/>
                <w:sz w:val="20"/>
                <w:szCs w:val="20"/>
              </w:rPr>
            </w:pPr>
          </w:p>
        </w:tc>
        <w:tc>
          <w:tcPr>
            <w:tcW w:w="576" w:type="dxa"/>
            <w:gridSpan w:val="5"/>
            <w:tcBorders>
              <w:top w:val="single" w:sz="4" w:space="0" w:color="auto"/>
            </w:tcBorders>
          </w:tcPr>
          <w:p w:rsidR="00B44960" w:rsidRPr="00B44960" w:rsidRDefault="00B44960" w:rsidP="00BA11CF">
            <w:pPr>
              <w:rPr>
                <w:rFonts w:asciiTheme="minorHAnsi" w:hAnsiTheme="minorHAnsi" w:cstheme="minorHAnsi"/>
                <w:b/>
                <w:sz w:val="20"/>
                <w:szCs w:val="20"/>
              </w:rPr>
            </w:pPr>
          </w:p>
        </w:tc>
        <w:tc>
          <w:tcPr>
            <w:tcW w:w="296" w:type="dxa"/>
            <w:tcBorders>
              <w:top w:val="single" w:sz="4" w:space="0" w:color="auto"/>
            </w:tcBorders>
          </w:tcPr>
          <w:p w:rsidR="00B44960" w:rsidRPr="00B44960" w:rsidRDefault="00B44960" w:rsidP="00BA11CF">
            <w:pPr>
              <w:rPr>
                <w:rFonts w:asciiTheme="minorHAnsi" w:hAnsiTheme="minorHAnsi" w:cstheme="minorHAnsi"/>
                <w:b/>
                <w:sz w:val="20"/>
                <w:szCs w:val="20"/>
              </w:rPr>
            </w:pPr>
          </w:p>
        </w:tc>
        <w:tc>
          <w:tcPr>
            <w:tcW w:w="397" w:type="dxa"/>
            <w:gridSpan w:val="3"/>
            <w:tcBorders>
              <w:top w:val="single" w:sz="4" w:space="0" w:color="auto"/>
            </w:tcBorders>
          </w:tcPr>
          <w:p w:rsidR="00B44960" w:rsidRPr="00B44960" w:rsidRDefault="00B44960" w:rsidP="00BA11CF">
            <w:pPr>
              <w:rPr>
                <w:rFonts w:asciiTheme="minorHAnsi" w:hAnsiTheme="minorHAnsi" w:cstheme="minorHAnsi"/>
                <w:b/>
                <w:sz w:val="20"/>
                <w:szCs w:val="20"/>
              </w:rPr>
            </w:pPr>
          </w:p>
        </w:tc>
        <w:tc>
          <w:tcPr>
            <w:tcW w:w="540" w:type="dxa"/>
            <w:gridSpan w:val="7"/>
            <w:tcBorders>
              <w:top w:val="single" w:sz="4" w:space="0" w:color="auto"/>
            </w:tcBorders>
          </w:tcPr>
          <w:p w:rsidR="00B44960" w:rsidRPr="00B44960" w:rsidRDefault="00B44960" w:rsidP="00BA11CF">
            <w:pPr>
              <w:rPr>
                <w:rFonts w:asciiTheme="minorHAnsi" w:hAnsiTheme="minorHAnsi" w:cstheme="minorHAnsi"/>
                <w:b/>
                <w:sz w:val="20"/>
                <w:szCs w:val="20"/>
              </w:rPr>
            </w:pPr>
          </w:p>
        </w:tc>
        <w:tc>
          <w:tcPr>
            <w:tcW w:w="160" w:type="dxa"/>
            <w:tcBorders>
              <w:top w:val="single" w:sz="4" w:space="0" w:color="auto"/>
            </w:tcBorders>
          </w:tcPr>
          <w:p w:rsidR="00B44960" w:rsidRPr="00B44960" w:rsidRDefault="00B44960" w:rsidP="00BA11CF">
            <w:pPr>
              <w:rPr>
                <w:rFonts w:asciiTheme="minorHAnsi" w:hAnsiTheme="minorHAnsi" w:cstheme="minorHAnsi"/>
                <w:b/>
                <w:sz w:val="20"/>
                <w:szCs w:val="20"/>
              </w:rPr>
            </w:pPr>
          </w:p>
        </w:tc>
        <w:tc>
          <w:tcPr>
            <w:tcW w:w="2033" w:type="dxa"/>
            <w:gridSpan w:val="17"/>
            <w:tcBorders>
              <w:top w:val="single" w:sz="4" w:space="0" w:color="auto"/>
            </w:tcBorders>
          </w:tcPr>
          <w:p w:rsidR="00B44960" w:rsidRPr="00B44960" w:rsidRDefault="00B44960" w:rsidP="00BA11CF">
            <w:pPr>
              <w:rPr>
                <w:rFonts w:asciiTheme="minorHAnsi" w:hAnsiTheme="minorHAnsi" w:cstheme="minorHAnsi"/>
                <w:b/>
                <w:sz w:val="20"/>
                <w:szCs w:val="20"/>
              </w:rPr>
            </w:pPr>
          </w:p>
        </w:tc>
        <w:tc>
          <w:tcPr>
            <w:tcW w:w="161" w:type="dxa"/>
            <w:gridSpan w:val="2"/>
            <w:tcBorders>
              <w:top w:val="single" w:sz="4" w:space="0" w:color="auto"/>
            </w:tcBorders>
          </w:tcPr>
          <w:p w:rsidR="00B44960" w:rsidRPr="00B44960" w:rsidRDefault="00B44960" w:rsidP="00BA11CF">
            <w:pPr>
              <w:rPr>
                <w:rFonts w:asciiTheme="minorHAnsi" w:hAnsiTheme="minorHAnsi" w:cstheme="minorHAnsi"/>
                <w:b/>
                <w:sz w:val="20"/>
                <w:szCs w:val="20"/>
              </w:rPr>
            </w:pPr>
          </w:p>
        </w:tc>
        <w:tc>
          <w:tcPr>
            <w:tcW w:w="460" w:type="dxa"/>
            <w:gridSpan w:val="4"/>
            <w:tcBorders>
              <w:top w:val="single" w:sz="4" w:space="0" w:color="auto"/>
            </w:tcBorders>
          </w:tcPr>
          <w:p w:rsidR="00B44960" w:rsidRPr="00B44960" w:rsidRDefault="00B44960" w:rsidP="00BA11CF">
            <w:pPr>
              <w:rPr>
                <w:rFonts w:asciiTheme="minorHAnsi" w:hAnsiTheme="minorHAnsi" w:cstheme="minorHAnsi"/>
                <w:b/>
                <w:sz w:val="20"/>
                <w:szCs w:val="20"/>
              </w:rPr>
            </w:pPr>
          </w:p>
        </w:tc>
        <w:tc>
          <w:tcPr>
            <w:tcW w:w="460" w:type="dxa"/>
            <w:gridSpan w:val="2"/>
            <w:tcBorders>
              <w:top w:val="single" w:sz="4" w:space="0" w:color="auto"/>
            </w:tcBorders>
          </w:tcPr>
          <w:p w:rsidR="00B44960" w:rsidRPr="00B44960" w:rsidRDefault="00B44960" w:rsidP="00BA11CF">
            <w:pPr>
              <w:rPr>
                <w:rFonts w:asciiTheme="minorHAnsi" w:hAnsiTheme="minorHAnsi" w:cstheme="minorHAnsi"/>
                <w:b/>
                <w:sz w:val="20"/>
                <w:szCs w:val="20"/>
              </w:rPr>
            </w:pPr>
          </w:p>
        </w:tc>
        <w:tc>
          <w:tcPr>
            <w:tcW w:w="160" w:type="dxa"/>
            <w:gridSpan w:val="2"/>
            <w:tcBorders>
              <w:top w:val="single" w:sz="4" w:space="0" w:color="auto"/>
            </w:tcBorders>
          </w:tcPr>
          <w:p w:rsidR="00B44960" w:rsidRPr="00B44960" w:rsidRDefault="00B44960" w:rsidP="00BA11CF">
            <w:pPr>
              <w:rPr>
                <w:rFonts w:asciiTheme="minorHAnsi" w:hAnsiTheme="minorHAnsi" w:cstheme="minorHAnsi"/>
                <w:b/>
                <w:sz w:val="20"/>
                <w:szCs w:val="20"/>
              </w:rPr>
            </w:pPr>
          </w:p>
        </w:tc>
        <w:tc>
          <w:tcPr>
            <w:tcW w:w="760" w:type="dxa"/>
            <w:gridSpan w:val="5"/>
            <w:tcBorders>
              <w:top w:val="single" w:sz="4" w:space="0" w:color="auto"/>
            </w:tcBorders>
          </w:tcPr>
          <w:p w:rsidR="00B44960" w:rsidRPr="00B44960" w:rsidRDefault="00B44960" w:rsidP="00BA11CF">
            <w:pPr>
              <w:rPr>
                <w:rFonts w:asciiTheme="minorHAnsi" w:hAnsiTheme="minorHAnsi" w:cstheme="minorHAnsi"/>
                <w:b/>
                <w:sz w:val="20"/>
                <w:szCs w:val="20"/>
              </w:rPr>
            </w:pPr>
          </w:p>
        </w:tc>
        <w:tc>
          <w:tcPr>
            <w:tcW w:w="460" w:type="dxa"/>
            <w:gridSpan w:val="3"/>
            <w:tcBorders>
              <w:top w:val="single" w:sz="4" w:space="0" w:color="auto"/>
            </w:tcBorders>
          </w:tcPr>
          <w:p w:rsidR="00B44960" w:rsidRPr="00B44960" w:rsidRDefault="00B44960" w:rsidP="00BA11CF">
            <w:pPr>
              <w:rPr>
                <w:rFonts w:asciiTheme="minorHAnsi" w:hAnsiTheme="minorHAnsi" w:cstheme="minorHAnsi"/>
                <w:b/>
                <w:sz w:val="20"/>
                <w:szCs w:val="20"/>
              </w:rPr>
            </w:pPr>
          </w:p>
        </w:tc>
        <w:tc>
          <w:tcPr>
            <w:tcW w:w="382" w:type="dxa"/>
            <w:gridSpan w:val="4"/>
            <w:tcBorders>
              <w:top w:val="single" w:sz="4" w:space="0" w:color="auto"/>
            </w:tcBorders>
          </w:tcPr>
          <w:p w:rsidR="00B44960" w:rsidRPr="00B44960" w:rsidRDefault="00B44960" w:rsidP="00BA11CF">
            <w:pPr>
              <w:rPr>
                <w:rFonts w:asciiTheme="minorHAnsi" w:hAnsiTheme="minorHAnsi" w:cstheme="minorHAnsi"/>
                <w:b/>
                <w:sz w:val="20"/>
                <w:szCs w:val="20"/>
              </w:rPr>
            </w:pPr>
          </w:p>
        </w:tc>
      </w:tr>
      <w:tr w:rsidR="00B44960" w:rsidRPr="00B44960" w:rsidTr="000F4CB9">
        <w:trPr>
          <w:gridAfter w:val="3"/>
          <w:wAfter w:w="320" w:type="dxa"/>
        </w:trPr>
        <w:tc>
          <w:tcPr>
            <w:tcW w:w="9282" w:type="dxa"/>
            <w:gridSpan w:val="80"/>
          </w:tcPr>
          <w:p w:rsidR="00B44960" w:rsidRPr="00B44960" w:rsidRDefault="00B44960" w:rsidP="00BA11CF">
            <w:pPr>
              <w:rPr>
                <w:rFonts w:asciiTheme="minorHAnsi" w:hAnsiTheme="minorHAnsi" w:cstheme="minorHAnsi"/>
                <w:b/>
                <w:sz w:val="20"/>
                <w:szCs w:val="20"/>
              </w:rPr>
            </w:pPr>
            <w:r w:rsidRPr="00B44960">
              <w:rPr>
                <w:rFonts w:asciiTheme="minorHAnsi" w:hAnsiTheme="minorHAnsi" w:cstheme="minorHAnsi"/>
                <w:b/>
                <w:sz w:val="20"/>
                <w:szCs w:val="20"/>
              </w:rPr>
              <w:t>Stručný komentář k celkovému vývoji plnění příjmů kapitoly ve sledovaném období</w:t>
            </w:r>
          </w:p>
        </w:tc>
      </w:tr>
      <w:tr w:rsidR="00B44960" w:rsidRPr="00B44960" w:rsidTr="000F4CB9">
        <w:trPr>
          <w:gridAfter w:val="3"/>
          <w:wAfter w:w="320" w:type="dxa"/>
        </w:trPr>
        <w:tc>
          <w:tcPr>
            <w:tcW w:w="9282" w:type="dxa"/>
            <w:gridSpan w:val="80"/>
            <w:tcBorders>
              <w:top w:val="single" w:sz="6" w:space="0" w:color="auto"/>
              <w:left w:val="single" w:sz="6" w:space="0" w:color="auto"/>
              <w:bottom w:val="single" w:sz="6" w:space="0" w:color="auto"/>
              <w:right w:val="single" w:sz="6" w:space="0" w:color="auto"/>
            </w:tcBorders>
          </w:tcPr>
          <w:p w:rsidR="00B44960" w:rsidRPr="00B44960" w:rsidRDefault="00B44960" w:rsidP="00BA11CF">
            <w:pPr>
              <w:spacing w:before="40"/>
              <w:jc w:val="both"/>
              <w:rPr>
                <w:rFonts w:asciiTheme="minorHAnsi" w:hAnsiTheme="minorHAnsi" w:cstheme="minorHAnsi"/>
                <w:sz w:val="18"/>
                <w:szCs w:val="18"/>
              </w:rPr>
            </w:pPr>
            <w:r w:rsidRPr="00B44960">
              <w:rPr>
                <w:rFonts w:asciiTheme="minorHAnsi" w:hAnsiTheme="minorHAnsi" w:cstheme="minorHAnsi"/>
                <w:b/>
                <w:spacing w:val="-4"/>
                <w:sz w:val="18"/>
                <w:szCs w:val="18"/>
              </w:rPr>
              <w:t>K 31. 12. 2022 činily příjmy kapitoly 21 – sociální věci</w:t>
            </w:r>
            <w:r w:rsidRPr="00B44960">
              <w:rPr>
                <w:rFonts w:asciiTheme="minorHAnsi" w:hAnsiTheme="minorHAnsi" w:cstheme="minorHAnsi"/>
                <w:spacing w:val="-4"/>
                <w:sz w:val="18"/>
                <w:szCs w:val="18"/>
              </w:rPr>
              <w:t xml:space="preserve"> (dále jen „kap. 21“) </w:t>
            </w:r>
            <w:r w:rsidRPr="00B44960">
              <w:rPr>
                <w:rFonts w:asciiTheme="minorHAnsi" w:hAnsiTheme="minorHAnsi" w:cstheme="minorHAnsi"/>
                <w:b/>
                <w:spacing w:val="-4"/>
                <w:sz w:val="18"/>
                <w:szCs w:val="18"/>
              </w:rPr>
              <w:t>celkem 18.571.254,31 Kč,</w:t>
            </w:r>
            <w:r w:rsidRPr="00B44960">
              <w:rPr>
                <w:rFonts w:asciiTheme="minorHAnsi" w:hAnsiTheme="minorHAnsi" w:cstheme="minorHAnsi"/>
                <w:spacing w:val="-4"/>
                <w:sz w:val="18"/>
                <w:szCs w:val="18"/>
              </w:rPr>
              <w:t xml:space="preserve"> a to včetně přijatých </w:t>
            </w:r>
            <w:r w:rsidRPr="00B44960">
              <w:rPr>
                <w:rFonts w:asciiTheme="minorHAnsi" w:hAnsiTheme="minorHAnsi" w:cstheme="minorHAnsi"/>
                <w:sz w:val="18"/>
                <w:szCs w:val="18"/>
              </w:rPr>
              <w:t>neinvestičních transferů ze státního rozpočtu.</w:t>
            </w:r>
          </w:p>
          <w:p w:rsidR="00B44960" w:rsidRPr="00B44960" w:rsidRDefault="00B44960" w:rsidP="00BA11CF">
            <w:pPr>
              <w:jc w:val="both"/>
              <w:rPr>
                <w:rFonts w:asciiTheme="minorHAnsi" w:hAnsiTheme="minorHAnsi" w:cstheme="minorHAnsi"/>
                <w:sz w:val="18"/>
                <w:szCs w:val="18"/>
              </w:rPr>
            </w:pPr>
            <w:r w:rsidRPr="00B44960">
              <w:rPr>
                <w:rFonts w:asciiTheme="minorHAnsi" w:hAnsiTheme="minorHAnsi" w:cstheme="minorHAnsi"/>
                <w:sz w:val="18"/>
                <w:szCs w:val="18"/>
              </w:rPr>
              <w:t>Složení příjmů kap. 21 bylo k 31. 12. 2022 následující:</w:t>
            </w:r>
          </w:p>
          <w:p w:rsidR="00B44960" w:rsidRPr="00B44960" w:rsidRDefault="00B44960" w:rsidP="00B44960">
            <w:pPr>
              <w:pStyle w:val="Odstavecseseznamem"/>
              <w:numPr>
                <w:ilvl w:val="0"/>
                <w:numId w:val="49"/>
              </w:numPr>
              <w:ind w:left="286" w:hanging="284"/>
              <w:contextualSpacing/>
              <w:rPr>
                <w:rFonts w:asciiTheme="minorHAnsi" w:hAnsiTheme="minorHAnsi" w:cstheme="minorHAnsi"/>
                <w:sz w:val="18"/>
                <w:szCs w:val="18"/>
              </w:rPr>
            </w:pPr>
            <w:r w:rsidRPr="00B44960">
              <w:rPr>
                <w:rFonts w:asciiTheme="minorHAnsi" w:hAnsiTheme="minorHAnsi" w:cstheme="minorHAnsi"/>
                <w:sz w:val="18"/>
                <w:szCs w:val="18"/>
              </w:rPr>
              <w:t>účelové neinvestiční transfery (dotace) ze státního rozpočtu</w:t>
            </w:r>
          </w:p>
          <w:p w:rsidR="00B44960" w:rsidRPr="00B44960" w:rsidRDefault="00B44960" w:rsidP="00B44960">
            <w:pPr>
              <w:pStyle w:val="Odstavecseseznamem"/>
              <w:numPr>
                <w:ilvl w:val="1"/>
                <w:numId w:val="49"/>
              </w:numPr>
              <w:ind w:left="711" w:hanging="283"/>
              <w:contextualSpacing/>
              <w:rPr>
                <w:rFonts w:asciiTheme="minorHAnsi" w:hAnsiTheme="minorHAnsi" w:cstheme="minorHAnsi"/>
                <w:sz w:val="18"/>
                <w:szCs w:val="18"/>
              </w:rPr>
            </w:pPr>
            <w:r w:rsidRPr="00B44960">
              <w:rPr>
                <w:rFonts w:asciiTheme="minorHAnsi" w:hAnsiTheme="minorHAnsi" w:cstheme="minorHAnsi"/>
                <w:sz w:val="18"/>
                <w:szCs w:val="18"/>
              </w:rPr>
              <w:t>ÚZ 13010 – státní příspěvek na výkon pěstounské péče (598.500,00 Kč),</w:t>
            </w:r>
          </w:p>
          <w:p w:rsidR="00B44960" w:rsidRPr="00B44960" w:rsidRDefault="00B44960" w:rsidP="00B44960">
            <w:pPr>
              <w:pStyle w:val="Odstavecseseznamem"/>
              <w:numPr>
                <w:ilvl w:val="1"/>
                <w:numId w:val="49"/>
              </w:numPr>
              <w:ind w:left="711" w:hanging="283"/>
              <w:contextualSpacing/>
              <w:rPr>
                <w:rFonts w:asciiTheme="minorHAnsi" w:hAnsiTheme="minorHAnsi" w:cstheme="minorHAnsi"/>
                <w:sz w:val="18"/>
                <w:szCs w:val="18"/>
              </w:rPr>
            </w:pPr>
            <w:r w:rsidRPr="00B44960">
              <w:rPr>
                <w:rFonts w:asciiTheme="minorHAnsi" w:hAnsiTheme="minorHAnsi" w:cstheme="minorHAnsi"/>
                <w:sz w:val="18"/>
                <w:szCs w:val="18"/>
              </w:rPr>
              <w:t>ÚZ 13011 – dotace na výkon činnosti obce s rozšířenou působností – SPOD (1.470.689,00</w:t>
            </w:r>
            <w:r w:rsidR="00243915">
              <w:rPr>
                <w:rFonts w:asciiTheme="minorHAnsi" w:hAnsiTheme="minorHAnsi" w:cstheme="minorHAnsi"/>
                <w:sz w:val="18"/>
                <w:szCs w:val="18"/>
              </w:rPr>
              <w:t xml:space="preserve"> Kč) – doplatek dotace za </w:t>
            </w:r>
            <w:r w:rsidRPr="00B44960">
              <w:rPr>
                <w:rFonts w:asciiTheme="minorHAnsi" w:hAnsiTheme="minorHAnsi" w:cstheme="minorHAnsi"/>
                <w:sz w:val="18"/>
                <w:szCs w:val="18"/>
              </w:rPr>
              <w:t>rok 2021 (pozn.: dotace pro rok 2022 zařazena pod ÚZ 13024 – viz níže),</w:t>
            </w:r>
          </w:p>
          <w:p w:rsidR="00B44960" w:rsidRPr="00B44960" w:rsidRDefault="00B44960" w:rsidP="00B44960">
            <w:pPr>
              <w:pStyle w:val="Odstavecseseznamem"/>
              <w:numPr>
                <w:ilvl w:val="1"/>
                <w:numId w:val="49"/>
              </w:numPr>
              <w:ind w:left="711" w:hanging="283"/>
              <w:contextualSpacing/>
              <w:rPr>
                <w:rFonts w:asciiTheme="minorHAnsi" w:hAnsiTheme="minorHAnsi" w:cstheme="minorHAnsi"/>
                <w:sz w:val="18"/>
                <w:szCs w:val="18"/>
              </w:rPr>
            </w:pPr>
            <w:r w:rsidRPr="00B44960">
              <w:rPr>
                <w:rFonts w:asciiTheme="minorHAnsi" w:hAnsiTheme="minorHAnsi" w:cstheme="minorHAnsi"/>
                <w:sz w:val="18"/>
                <w:szCs w:val="18"/>
              </w:rPr>
              <w:t>ÚZ 13015 – výkon sociální práce mimo SPOD (3.582.763,00 Kč),</w:t>
            </w:r>
          </w:p>
          <w:p w:rsidR="00B44960" w:rsidRPr="00B44960" w:rsidRDefault="00B44960" w:rsidP="00B44960">
            <w:pPr>
              <w:pStyle w:val="Odstavecseseznamem"/>
              <w:numPr>
                <w:ilvl w:val="1"/>
                <w:numId w:val="49"/>
              </w:numPr>
              <w:ind w:left="711" w:hanging="283"/>
              <w:contextualSpacing/>
              <w:rPr>
                <w:rFonts w:asciiTheme="minorHAnsi" w:hAnsiTheme="minorHAnsi" w:cstheme="minorHAnsi"/>
                <w:sz w:val="18"/>
                <w:szCs w:val="18"/>
              </w:rPr>
            </w:pPr>
            <w:r w:rsidRPr="00B44960">
              <w:rPr>
                <w:rFonts w:asciiTheme="minorHAnsi" w:hAnsiTheme="minorHAnsi" w:cstheme="minorHAnsi"/>
                <w:sz w:val="18"/>
                <w:szCs w:val="18"/>
              </w:rPr>
              <w:t>ÚZ 13024 – transfer na SPOD (12.902.400,00 Kč);</w:t>
            </w:r>
          </w:p>
          <w:p w:rsidR="00B44960" w:rsidRPr="00B44960" w:rsidRDefault="00B44960" w:rsidP="00B44960">
            <w:pPr>
              <w:pStyle w:val="Odstavecseseznamem"/>
              <w:numPr>
                <w:ilvl w:val="0"/>
                <w:numId w:val="49"/>
              </w:numPr>
              <w:ind w:left="286" w:hanging="284"/>
              <w:contextualSpacing/>
              <w:rPr>
                <w:rFonts w:asciiTheme="minorHAnsi" w:hAnsiTheme="minorHAnsi" w:cstheme="minorHAnsi"/>
                <w:sz w:val="18"/>
                <w:szCs w:val="18"/>
              </w:rPr>
            </w:pPr>
            <w:r w:rsidRPr="00B44960">
              <w:rPr>
                <w:rFonts w:asciiTheme="minorHAnsi" w:hAnsiTheme="minorHAnsi" w:cstheme="minorHAnsi"/>
                <w:sz w:val="18"/>
                <w:szCs w:val="18"/>
              </w:rPr>
              <w:t>nerozpočtované příjmy – vymožené neprávem přijaté dávky sociální péče, které byly rozděleny na</w:t>
            </w:r>
          </w:p>
          <w:p w:rsidR="00B44960" w:rsidRPr="00B44960" w:rsidRDefault="00B44960" w:rsidP="00B44960">
            <w:pPr>
              <w:pStyle w:val="Odstavecseseznamem"/>
              <w:numPr>
                <w:ilvl w:val="1"/>
                <w:numId w:val="49"/>
              </w:numPr>
              <w:ind w:left="711" w:hanging="283"/>
              <w:contextualSpacing/>
              <w:rPr>
                <w:rFonts w:asciiTheme="minorHAnsi" w:hAnsiTheme="minorHAnsi" w:cstheme="minorHAnsi"/>
                <w:sz w:val="18"/>
                <w:szCs w:val="18"/>
              </w:rPr>
            </w:pPr>
            <w:r w:rsidRPr="00B44960">
              <w:rPr>
                <w:rFonts w:asciiTheme="minorHAnsi" w:hAnsiTheme="minorHAnsi" w:cstheme="minorHAnsi"/>
                <w:spacing w:val="-2"/>
                <w:sz w:val="18"/>
                <w:szCs w:val="18"/>
              </w:rPr>
              <w:t>pohledávky vzniklé za předešlé období k 31. 12. 2006 (položka „ostatní dávky sociální pomoci“) ve výši 30,78 Kč,</w:t>
            </w:r>
            <w:r w:rsidRPr="00B44960">
              <w:rPr>
                <w:rFonts w:asciiTheme="minorHAnsi" w:hAnsiTheme="minorHAnsi" w:cstheme="minorHAnsi"/>
                <w:sz w:val="18"/>
                <w:szCs w:val="18"/>
              </w:rPr>
              <w:t xml:space="preserve"> </w:t>
            </w:r>
            <w:r w:rsidRPr="00B44960">
              <w:rPr>
                <w:rFonts w:asciiTheme="minorHAnsi" w:hAnsiTheme="minorHAnsi" w:cstheme="minorHAnsi"/>
                <w:spacing w:val="-4"/>
                <w:sz w:val="18"/>
                <w:szCs w:val="18"/>
              </w:rPr>
              <w:t>které se odvádí na účet Krajského úřadu Olomouckého kraje (pozn.: v souladu s pokyny Krajského úřadu Olomouckého</w:t>
            </w:r>
            <w:r w:rsidRPr="00B44960">
              <w:rPr>
                <w:rFonts w:asciiTheme="minorHAnsi" w:hAnsiTheme="minorHAnsi" w:cstheme="minorHAnsi"/>
                <w:sz w:val="18"/>
                <w:szCs w:val="18"/>
              </w:rPr>
              <w:t xml:space="preserve"> </w:t>
            </w:r>
            <w:r w:rsidRPr="00B44960">
              <w:rPr>
                <w:rFonts w:asciiTheme="minorHAnsi" w:hAnsiTheme="minorHAnsi" w:cstheme="minorHAnsi"/>
                <w:spacing w:val="-4"/>
                <w:sz w:val="18"/>
                <w:szCs w:val="18"/>
              </w:rPr>
              <w:t>kraje byl odvod za rok 2022 proveden k 12. 12. 2022, a to ve výši 7.367,97 Kč; částka 30,78 Kč byla uhrazena dlužníkem až po datu odvodu prostředků – tato částka není příjmem města, proto bude převedena do rozpočtu roku 2023 a odvedena na účet Krajského</w:t>
            </w:r>
            <w:r w:rsidRPr="00B44960">
              <w:rPr>
                <w:rFonts w:asciiTheme="minorHAnsi" w:hAnsiTheme="minorHAnsi" w:cstheme="minorHAnsi"/>
                <w:sz w:val="18"/>
                <w:szCs w:val="18"/>
              </w:rPr>
              <w:t xml:space="preserve"> úřadu Olomouckého kraje v závěru tohoto roku),</w:t>
            </w:r>
          </w:p>
          <w:p w:rsidR="00B44960" w:rsidRPr="00B44960" w:rsidRDefault="00B44960" w:rsidP="00B44960">
            <w:pPr>
              <w:pStyle w:val="Odstavecseseznamem"/>
              <w:numPr>
                <w:ilvl w:val="1"/>
                <w:numId w:val="49"/>
              </w:numPr>
              <w:ind w:left="711" w:hanging="283"/>
              <w:contextualSpacing/>
              <w:rPr>
                <w:rFonts w:asciiTheme="minorHAnsi" w:hAnsiTheme="minorHAnsi" w:cstheme="minorHAnsi"/>
                <w:sz w:val="18"/>
                <w:szCs w:val="18"/>
              </w:rPr>
            </w:pPr>
            <w:r w:rsidRPr="00B44960">
              <w:rPr>
                <w:rFonts w:asciiTheme="minorHAnsi" w:hAnsiTheme="minorHAnsi" w:cstheme="minorHAnsi"/>
                <w:spacing w:val="-4"/>
                <w:sz w:val="18"/>
                <w:szCs w:val="18"/>
              </w:rPr>
              <w:t>pohledávky vzniklé v období od 1. 1. 2007 do 31. 12. 2011 (položka „mimořádná okamžitá pomoc osobám ohroženým</w:t>
            </w:r>
            <w:r w:rsidRPr="00B44960">
              <w:rPr>
                <w:rFonts w:asciiTheme="minorHAnsi" w:hAnsiTheme="minorHAnsi" w:cstheme="minorHAnsi"/>
                <w:sz w:val="18"/>
                <w:szCs w:val="18"/>
              </w:rPr>
              <w:t xml:space="preserve"> sociálním vyloučením“) ve výši 1.621,53 Kč,</w:t>
            </w:r>
          </w:p>
          <w:p w:rsidR="00B44960" w:rsidRPr="00B44960" w:rsidRDefault="00B44960" w:rsidP="00B44960">
            <w:pPr>
              <w:pStyle w:val="Odstavecseseznamem"/>
              <w:numPr>
                <w:ilvl w:val="1"/>
                <w:numId w:val="49"/>
              </w:numPr>
              <w:ind w:left="711" w:hanging="283"/>
              <w:contextualSpacing/>
              <w:rPr>
                <w:rFonts w:asciiTheme="minorHAnsi" w:hAnsiTheme="minorHAnsi" w:cstheme="minorHAnsi"/>
                <w:sz w:val="18"/>
                <w:szCs w:val="18"/>
              </w:rPr>
            </w:pPr>
            <w:r w:rsidRPr="00B44960">
              <w:rPr>
                <w:rFonts w:asciiTheme="minorHAnsi" w:hAnsiTheme="minorHAnsi" w:cstheme="minorHAnsi"/>
                <w:spacing w:val="-4"/>
                <w:sz w:val="18"/>
                <w:szCs w:val="18"/>
              </w:rPr>
              <w:t>vymožené pohledávky z nájemného sociálních bytů (položka „azylové domy, nízkoprahová denní centra a noclehárny“)</w:t>
            </w:r>
            <w:r w:rsidR="00243915">
              <w:rPr>
                <w:rFonts w:asciiTheme="minorHAnsi" w:hAnsiTheme="minorHAnsi" w:cstheme="minorHAnsi"/>
                <w:sz w:val="18"/>
                <w:szCs w:val="18"/>
              </w:rPr>
              <w:t xml:space="preserve"> ve </w:t>
            </w:r>
            <w:r w:rsidRPr="00B44960">
              <w:rPr>
                <w:rFonts w:asciiTheme="minorHAnsi" w:hAnsiTheme="minorHAnsi" w:cstheme="minorHAnsi"/>
                <w:sz w:val="18"/>
                <w:szCs w:val="18"/>
              </w:rPr>
              <w:t>výši 13.362,00 Kč (pohledávka vzniklá k 1. 2. 1999),</w:t>
            </w:r>
          </w:p>
          <w:p w:rsidR="00B44960" w:rsidRPr="00B44960" w:rsidRDefault="00B44960" w:rsidP="00B44960">
            <w:pPr>
              <w:pStyle w:val="Odstavecseseznamem"/>
              <w:numPr>
                <w:ilvl w:val="0"/>
                <w:numId w:val="49"/>
              </w:numPr>
              <w:spacing w:after="40"/>
              <w:ind w:left="286" w:hanging="284"/>
              <w:contextualSpacing/>
              <w:rPr>
                <w:rFonts w:asciiTheme="minorHAnsi" w:hAnsiTheme="minorHAnsi" w:cstheme="minorHAnsi"/>
                <w:sz w:val="20"/>
                <w:szCs w:val="20"/>
              </w:rPr>
            </w:pPr>
            <w:r w:rsidRPr="00B44960">
              <w:rPr>
                <w:rFonts w:asciiTheme="minorHAnsi" w:hAnsiTheme="minorHAnsi" w:cstheme="minorHAnsi"/>
                <w:spacing w:val="-2"/>
                <w:sz w:val="18"/>
                <w:szCs w:val="18"/>
              </w:rPr>
              <w:t>rozpočtované příjmy na správních poplatcích – výdej receptů a žádanek s modrým pruhem (1.888,00 Kč) – výde</w:t>
            </w:r>
            <w:r w:rsidR="00243915">
              <w:rPr>
                <w:rFonts w:asciiTheme="minorHAnsi" w:hAnsiTheme="minorHAnsi" w:cstheme="minorHAnsi"/>
                <w:sz w:val="18"/>
                <w:szCs w:val="18"/>
              </w:rPr>
              <w:t>j receptů a </w:t>
            </w:r>
            <w:r w:rsidRPr="00B44960">
              <w:rPr>
                <w:rFonts w:asciiTheme="minorHAnsi" w:hAnsiTheme="minorHAnsi" w:cstheme="minorHAnsi"/>
                <w:sz w:val="18"/>
                <w:szCs w:val="18"/>
              </w:rPr>
              <w:t>žádanek pro předpis léčiv obsahujících návykové látky probíhá na základě potřeby ze strany lékařů a zdravotnických zařízení.</w:t>
            </w:r>
          </w:p>
        </w:tc>
      </w:tr>
      <w:tr w:rsidR="0051317E" w:rsidRPr="00B44960" w:rsidTr="00E101BC">
        <w:tc>
          <w:tcPr>
            <w:tcW w:w="453" w:type="dxa"/>
            <w:gridSpan w:val="2"/>
          </w:tcPr>
          <w:p w:rsidR="00B44960" w:rsidRPr="00B44960" w:rsidRDefault="00B44960" w:rsidP="00BA11CF">
            <w:pPr>
              <w:rPr>
                <w:rFonts w:asciiTheme="minorHAnsi" w:hAnsiTheme="minorHAnsi" w:cstheme="minorHAnsi"/>
                <w:b/>
                <w:sz w:val="20"/>
                <w:szCs w:val="20"/>
              </w:rPr>
            </w:pPr>
          </w:p>
        </w:tc>
        <w:tc>
          <w:tcPr>
            <w:tcW w:w="328" w:type="dxa"/>
            <w:gridSpan w:val="3"/>
          </w:tcPr>
          <w:p w:rsidR="00B44960" w:rsidRPr="00B44960" w:rsidRDefault="00B44960" w:rsidP="00BA11CF">
            <w:pPr>
              <w:rPr>
                <w:rFonts w:asciiTheme="minorHAnsi" w:hAnsiTheme="minorHAnsi" w:cstheme="minorHAnsi"/>
                <w:b/>
                <w:sz w:val="20"/>
                <w:szCs w:val="20"/>
              </w:rPr>
            </w:pPr>
          </w:p>
        </w:tc>
        <w:tc>
          <w:tcPr>
            <w:tcW w:w="562" w:type="dxa"/>
            <w:gridSpan w:val="3"/>
          </w:tcPr>
          <w:p w:rsidR="00B44960" w:rsidRPr="00B44960" w:rsidRDefault="00B44960" w:rsidP="00BA11CF">
            <w:pPr>
              <w:rPr>
                <w:rFonts w:asciiTheme="minorHAnsi" w:hAnsiTheme="minorHAnsi" w:cstheme="minorHAnsi"/>
                <w:b/>
                <w:sz w:val="20"/>
                <w:szCs w:val="20"/>
              </w:rPr>
            </w:pPr>
          </w:p>
        </w:tc>
        <w:tc>
          <w:tcPr>
            <w:tcW w:w="246" w:type="dxa"/>
            <w:gridSpan w:val="5"/>
          </w:tcPr>
          <w:p w:rsidR="00B44960" w:rsidRPr="00B44960" w:rsidRDefault="00B44960" w:rsidP="00BA11CF">
            <w:pPr>
              <w:rPr>
                <w:rFonts w:asciiTheme="minorHAnsi" w:hAnsiTheme="minorHAnsi" w:cstheme="minorHAnsi"/>
                <w:b/>
                <w:sz w:val="20"/>
                <w:szCs w:val="20"/>
              </w:rPr>
            </w:pPr>
          </w:p>
        </w:tc>
        <w:tc>
          <w:tcPr>
            <w:tcW w:w="461" w:type="dxa"/>
            <w:gridSpan w:val="3"/>
          </w:tcPr>
          <w:p w:rsidR="00B44960" w:rsidRPr="00B44960" w:rsidRDefault="00B44960" w:rsidP="00BA11CF">
            <w:pPr>
              <w:rPr>
                <w:rFonts w:asciiTheme="minorHAnsi" w:hAnsiTheme="minorHAnsi" w:cstheme="minorHAnsi"/>
                <w:b/>
                <w:sz w:val="20"/>
                <w:szCs w:val="20"/>
              </w:rPr>
            </w:pPr>
          </w:p>
        </w:tc>
        <w:tc>
          <w:tcPr>
            <w:tcW w:w="460" w:type="dxa"/>
            <w:gridSpan w:val="4"/>
          </w:tcPr>
          <w:p w:rsidR="00B44960" w:rsidRPr="00B44960" w:rsidRDefault="00B44960" w:rsidP="00BA11CF">
            <w:pPr>
              <w:rPr>
                <w:rFonts w:asciiTheme="minorHAnsi" w:hAnsiTheme="minorHAnsi" w:cstheme="minorHAnsi"/>
                <w:b/>
                <w:sz w:val="20"/>
                <w:szCs w:val="20"/>
              </w:rPr>
            </w:pPr>
          </w:p>
        </w:tc>
        <w:tc>
          <w:tcPr>
            <w:tcW w:w="247" w:type="dxa"/>
            <w:gridSpan w:val="7"/>
          </w:tcPr>
          <w:p w:rsidR="00B44960" w:rsidRPr="00B44960" w:rsidRDefault="00B44960" w:rsidP="00BA11CF">
            <w:pPr>
              <w:rPr>
                <w:rFonts w:asciiTheme="minorHAnsi" w:hAnsiTheme="minorHAnsi" w:cstheme="minorHAnsi"/>
                <w:b/>
                <w:sz w:val="20"/>
                <w:szCs w:val="20"/>
              </w:rPr>
            </w:pPr>
          </w:p>
        </w:tc>
        <w:tc>
          <w:tcPr>
            <w:tcW w:w="576" w:type="dxa"/>
            <w:gridSpan w:val="5"/>
          </w:tcPr>
          <w:p w:rsidR="00B44960" w:rsidRPr="00B44960" w:rsidRDefault="00B44960" w:rsidP="00BA11CF">
            <w:pPr>
              <w:rPr>
                <w:rFonts w:asciiTheme="minorHAnsi" w:hAnsiTheme="minorHAnsi" w:cstheme="minorHAnsi"/>
                <w:b/>
                <w:sz w:val="20"/>
                <w:szCs w:val="20"/>
              </w:rPr>
            </w:pPr>
          </w:p>
        </w:tc>
        <w:tc>
          <w:tcPr>
            <w:tcW w:w="296" w:type="dxa"/>
          </w:tcPr>
          <w:p w:rsidR="00B44960" w:rsidRPr="00B44960" w:rsidRDefault="00B44960" w:rsidP="00BA11CF">
            <w:pPr>
              <w:rPr>
                <w:rFonts w:asciiTheme="minorHAnsi" w:hAnsiTheme="minorHAnsi" w:cstheme="minorHAnsi"/>
                <w:b/>
                <w:sz w:val="20"/>
                <w:szCs w:val="20"/>
              </w:rPr>
            </w:pPr>
          </w:p>
        </w:tc>
        <w:tc>
          <w:tcPr>
            <w:tcW w:w="397" w:type="dxa"/>
            <w:gridSpan w:val="3"/>
          </w:tcPr>
          <w:p w:rsidR="00B44960" w:rsidRPr="00B44960" w:rsidRDefault="00B44960" w:rsidP="00BA11CF">
            <w:pPr>
              <w:rPr>
                <w:rFonts w:asciiTheme="minorHAnsi" w:hAnsiTheme="minorHAnsi" w:cstheme="minorHAnsi"/>
                <w:b/>
                <w:sz w:val="20"/>
                <w:szCs w:val="20"/>
              </w:rPr>
            </w:pPr>
          </w:p>
        </w:tc>
        <w:tc>
          <w:tcPr>
            <w:tcW w:w="540" w:type="dxa"/>
            <w:gridSpan w:val="7"/>
          </w:tcPr>
          <w:p w:rsidR="00B44960" w:rsidRPr="00B44960" w:rsidRDefault="00B44960" w:rsidP="00BA11CF">
            <w:pPr>
              <w:rPr>
                <w:rFonts w:asciiTheme="minorHAnsi" w:hAnsiTheme="minorHAnsi" w:cstheme="minorHAnsi"/>
                <w:b/>
                <w:sz w:val="20"/>
                <w:szCs w:val="20"/>
              </w:rPr>
            </w:pPr>
          </w:p>
        </w:tc>
        <w:tc>
          <w:tcPr>
            <w:tcW w:w="160" w:type="dxa"/>
          </w:tcPr>
          <w:p w:rsidR="00B44960" w:rsidRPr="00B44960" w:rsidRDefault="00B44960" w:rsidP="00BA11CF">
            <w:pPr>
              <w:rPr>
                <w:rFonts w:asciiTheme="minorHAnsi" w:hAnsiTheme="minorHAnsi" w:cstheme="minorHAnsi"/>
                <w:b/>
                <w:sz w:val="20"/>
                <w:szCs w:val="20"/>
              </w:rPr>
            </w:pPr>
          </w:p>
        </w:tc>
        <w:tc>
          <w:tcPr>
            <w:tcW w:w="2033" w:type="dxa"/>
            <w:gridSpan w:val="17"/>
          </w:tcPr>
          <w:p w:rsidR="00B44960" w:rsidRPr="00B44960" w:rsidRDefault="00B44960" w:rsidP="00BA11CF">
            <w:pPr>
              <w:rPr>
                <w:rFonts w:asciiTheme="minorHAnsi" w:hAnsiTheme="minorHAnsi" w:cstheme="minorHAnsi"/>
                <w:b/>
                <w:sz w:val="20"/>
                <w:szCs w:val="20"/>
              </w:rPr>
            </w:pPr>
          </w:p>
        </w:tc>
        <w:tc>
          <w:tcPr>
            <w:tcW w:w="161" w:type="dxa"/>
            <w:gridSpan w:val="2"/>
          </w:tcPr>
          <w:p w:rsidR="00B44960" w:rsidRPr="00B44960" w:rsidRDefault="00B44960" w:rsidP="00BA11CF">
            <w:pPr>
              <w:rPr>
                <w:rFonts w:asciiTheme="minorHAnsi" w:hAnsiTheme="minorHAnsi" w:cstheme="minorHAnsi"/>
                <w:b/>
                <w:sz w:val="20"/>
                <w:szCs w:val="20"/>
              </w:rPr>
            </w:pPr>
          </w:p>
        </w:tc>
        <w:tc>
          <w:tcPr>
            <w:tcW w:w="460" w:type="dxa"/>
            <w:gridSpan w:val="4"/>
          </w:tcPr>
          <w:p w:rsidR="00B44960" w:rsidRPr="00B44960" w:rsidRDefault="00B44960" w:rsidP="00BA11CF">
            <w:pPr>
              <w:rPr>
                <w:rFonts w:asciiTheme="minorHAnsi" w:hAnsiTheme="minorHAnsi" w:cstheme="minorHAnsi"/>
                <w:b/>
                <w:sz w:val="20"/>
                <w:szCs w:val="20"/>
              </w:rPr>
            </w:pPr>
          </w:p>
        </w:tc>
        <w:tc>
          <w:tcPr>
            <w:tcW w:w="460" w:type="dxa"/>
            <w:gridSpan w:val="2"/>
          </w:tcPr>
          <w:p w:rsidR="00B44960" w:rsidRPr="00B44960" w:rsidRDefault="00B44960" w:rsidP="00BA11CF">
            <w:pPr>
              <w:rPr>
                <w:rFonts w:asciiTheme="minorHAnsi" w:hAnsiTheme="minorHAnsi" w:cstheme="minorHAnsi"/>
                <w:b/>
                <w:sz w:val="20"/>
                <w:szCs w:val="20"/>
              </w:rPr>
            </w:pPr>
          </w:p>
        </w:tc>
        <w:tc>
          <w:tcPr>
            <w:tcW w:w="160" w:type="dxa"/>
            <w:gridSpan w:val="2"/>
          </w:tcPr>
          <w:p w:rsidR="00B44960" w:rsidRPr="00B44960" w:rsidRDefault="00B44960" w:rsidP="00BA11CF">
            <w:pPr>
              <w:rPr>
                <w:rFonts w:asciiTheme="minorHAnsi" w:hAnsiTheme="minorHAnsi" w:cstheme="minorHAnsi"/>
                <w:b/>
                <w:sz w:val="20"/>
                <w:szCs w:val="20"/>
              </w:rPr>
            </w:pPr>
          </w:p>
        </w:tc>
        <w:tc>
          <w:tcPr>
            <w:tcW w:w="760" w:type="dxa"/>
            <w:gridSpan w:val="5"/>
          </w:tcPr>
          <w:p w:rsidR="00B44960" w:rsidRPr="00B44960" w:rsidRDefault="00B44960" w:rsidP="00BA11CF">
            <w:pPr>
              <w:rPr>
                <w:rFonts w:asciiTheme="minorHAnsi" w:hAnsiTheme="minorHAnsi" w:cstheme="minorHAnsi"/>
                <w:b/>
                <w:sz w:val="20"/>
                <w:szCs w:val="20"/>
              </w:rPr>
            </w:pPr>
          </w:p>
        </w:tc>
        <w:tc>
          <w:tcPr>
            <w:tcW w:w="460" w:type="dxa"/>
            <w:gridSpan w:val="3"/>
          </w:tcPr>
          <w:p w:rsidR="00B44960" w:rsidRPr="00B44960" w:rsidRDefault="00B44960" w:rsidP="00BA11CF">
            <w:pPr>
              <w:rPr>
                <w:rFonts w:asciiTheme="minorHAnsi" w:hAnsiTheme="minorHAnsi" w:cstheme="minorHAnsi"/>
                <w:b/>
                <w:sz w:val="20"/>
                <w:szCs w:val="20"/>
              </w:rPr>
            </w:pPr>
          </w:p>
        </w:tc>
        <w:tc>
          <w:tcPr>
            <w:tcW w:w="382" w:type="dxa"/>
            <w:gridSpan w:val="4"/>
          </w:tcPr>
          <w:p w:rsidR="00B44960" w:rsidRPr="00B44960" w:rsidRDefault="00B44960" w:rsidP="00BA11CF">
            <w:pPr>
              <w:rPr>
                <w:rFonts w:asciiTheme="minorHAnsi" w:hAnsiTheme="minorHAnsi" w:cstheme="minorHAnsi"/>
                <w:b/>
                <w:sz w:val="20"/>
                <w:szCs w:val="20"/>
              </w:rPr>
            </w:pPr>
          </w:p>
        </w:tc>
      </w:tr>
      <w:tr w:rsidR="00B44960" w:rsidRPr="00B44960" w:rsidTr="000F4CB9">
        <w:trPr>
          <w:gridAfter w:val="3"/>
          <w:wAfter w:w="320" w:type="dxa"/>
        </w:trPr>
        <w:tc>
          <w:tcPr>
            <w:tcW w:w="9282" w:type="dxa"/>
            <w:gridSpan w:val="80"/>
          </w:tcPr>
          <w:p w:rsidR="00B44960" w:rsidRPr="00225B7E" w:rsidRDefault="00B44960" w:rsidP="00BA11CF">
            <w:pPr>
              <w:jc w:val="both"/>
              <w:rPr>
                <w:rFonts w:asciiTheme="minorHAnsi" w:hAnsiTheme="minorHAnsi" w:cstheme="minorHAnsi"/>
                <w:b/>
                <w:sz w:val="18"/>
                <w:szCs w:val="18"/>
              </w:rPr>
            </w:pPr>
            <w:r w:rsidRPr="00225B7E">
              <w:rPr>
                <w:rFonts w:asciiTheme="minorHAnsi" w:hAnsiTheme="minorHAnsi" w:cstheme="minorHAnsi"/>
                <w:b/>
                <w:spacing w:val="-4"/>
                <w:sz w:val="18"/>
                <w:szCs w:val="18"/>
              </w:rPr>
              <w:t>Komentář k položkám (akcím), které vykázaly abnormalitu v řádném plnění příjmů rozpočtu kapitoly ve sledovaném</w:t>
            </w:r>
            <w:r w:rsidRPr="00225B7E">
              <w:rPr>
                <w:rFonts w:asciiTheme="minorHAnsi" w:hAnsiTheme="minorHAnsi" w:cstheme="minorHAnsi"/>
                <w:b/>
                <w:sz w:val="18"/>
                <w:szCs w:val="18"/>
              </w:rPr>
              <w:t xml:space="preserve"> období</w:t>
            </w:r>
          </w:p>
        </w:tc>
      </w:tr>
      <w:tr w:rsidR="00225B7E" w:rsidRPr="00B44960" w:rsidTr="00E101BC">
        <w:trPr>
          <w:gridAfter w:val="3"/>
          <w:wAfter w:w="320" w:type="dxa"/>
        </w:trPr>
        <w:tc>
          <w:tcPr>
            <w:tcW w:w="781" w:type="dxa"/>
            <w:gridSpan w:val="5"/>
            <w:tcBorders>
              <w:top w:val="single" w:sz="4" w:space="0" w:color="auto"/>
              <w:left w:val="single" w:sz="4" w:space="0" w:color="auto"/>
              <w:bottom w:val="single" w:sz="4" w:space="0" w:color="auto"/>
              <w:right w:val="single" w:sz="4" w:space="0" w:color="auto"/>
            </w:tcBorders>
            <w:shd w:val="clear" w:color="auto" w:fill="FFFF00"/>
            <w:vAlign w:val="center"/>
          </w:tcPr>
          <w:p w:rsidR="00B44960" w:rsidRPr="00B44960" w:rsidRDefault="00B44960" w:rsidP="00BA11CF">
            <w:pPr>
              <w:jc w:val="center"/>
              <w:rPr>
                <w:rFonts w:asciiTheme="minorHAnsi" w:hAnsiTheme="minorHAnsi" w:cstheme="minorHAnsi"/>
                <w:b/>
                <w:sz w:val="18"/>
                <w:szCs w:val="18"/>
              </w:rPr>
            </w:pPr>
            <w:r w:rsidRPr="00B44960">
              <w:rPr>
                <w:rFonts w:asciiTheme="minorHAnsi" w:hAnsiTheme="minorHAnsi" w:cstheme="minorHAnsi"/>
                <w:b/>
                <w:sz w:val="18"/>
                <w:szCs w:val="18"/>
              </w:rPr>
              <w:t>Oddíl, paragraf</w:t>
            </w:r>
          </w:p>
        </w:tc>
        <w:tc>
          <w:tcPr>
            <w:tcW w:w="562"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B44960" w:rsidRPr="00B44960" w:rsidRDefault="00B44960" w:rsidP="00B44960">
            <w:pPr>
              <w:jc w:val="center"/>
              <w:rPr>
                <w:rFonts w:asciiTheme="minorHAnsi" w:hAnsiTheme="minorHAnsi" w:cstheme="minorHAnsi"/>
                <w:b/>
                <w:sz w:val="18"/>
                <w:szCs w:val="18"/>
              </w:rPr>
            </w:pPr>
            <w:r w:rsidRPr="00B44960">
              <w:rPr>
                <w:rFonts w:asciiTheme="minorHAnsi" w:hAnsiTheme="minorHAnsi" w:cstheme="minorHAnsi"/>
                <w:b/>
                <w:sz w:val="18"/>
                <w:szCs w:val="18"/>
              </w:rPr>
              <w:t>Pol</w:t>
            </w:r>
            <w:r>
              <w:rPr>
                <w:rFonts w:asciiTheme="minorHAnsi" w:hAnsiTheme="minorHAnsi" w:cstheme="minorHAnsi"/>
                <w:b/>
                <w:sz w:val="18"/>
                <w:szCs w:val="18"/>
              </w:rPr>
              <w:t>.</w:t>
            </w:r>
          </w:p>
        </w:tc>
        <w:tc>
          <w:tcPr>
            <w:tcW w:w="1385" w:type="dxa"/>
            <w:gridSpan w:val="17"/>
            <w:tcBorders>
              <w:top w:val="single" w:sz="4" w:space="0" w:color="auto"/>
              <w:left w:val="single" w:sz="4" w:space="0" w:color="auto"/>
              <w:bottom w:val="single" w:sz="4" w:space="0" w:color="auto"/>
              <w:right w:val="single" w:sz="4" w:space="0" w:color="auto"/>
            </w:tcBorders>
            <w:shd w:val="clear" w:color="auto" w:fill="FFFF00"/>
            <w:vAlign w:val="center"/>
          </w:tcPr>
          <w:p w:rsidR="00B44960" w:rsidRPr="00B44960" w:rsidRDefault="00B44960" w:rsidP="00BA11CF">
            <w:pPr>
              <w:jc w:val="center"/>
              <w:rPr>
                <w:rFonts w:asciiTheme="minorHAnsi" w:hAnsiTheme="minorHAnsi" w:cstheme="minorHAnsi"/>
                <w:b/>
                <w:sz w:val="18"/>
                <w:szCs w:val="18"/>
              </w:rPr>
            </w:pPr>
            <w:r w:rsidRPr="00B44960">
              <w:rPr>
                <w:rFonts w:asciiTheme="minorHAnsi" w:hAnsiTheme="minorHAnsi" w:cstheme="minorHAnsi"/>
                <w:b/>
                <w:sz w:val="18"/>
                <w:szCs w:val="18"/>
              </w:rPr>
              <w:t>Organizace</w:t>
            </w:r>
          </w:p>
        </w:tc>
        <w:tc>
          <w:tcPr>
            <w:tcW w:w="605" w:type="dxa"/>
            <w:gridSpan w:val="7"/>
            <w:tcBorders>
              <w:top w:val="single" w:sz="4" w:space="0" w:color="auto"/>
              <w:left w:val="single" w:sz="4" w:space="0" w:color="auto"/>
              <w:bottom w:val="single" w:sz="4" w:space="0" w:color="auto"/>
              <w:right w:val="single" w:sz="4" w:space="0" w:color="auto"/>
            </w:tcBorders>
            <w:shd w:val="clear" w:color="auto" w:fill="FFFF00"/>
            <w:vAlign w:val="center"/>
          </w:tcPr>
          <w:p w:rsidR="00B44960" w:rsidRPr="00B44960" w:rsidRDefault="00B44960" w:rsidP="00BA11CF">
            <w:pPr>
              <w:jc w:val="center"/>
              <w:rPr>
                <w:rFonts w:asciiTheme="minorHAnsi" w:hAnsiTheme="minorHAnsi" w:cstheme="minorHAnsi"/>
                <w:b/>
                <w:sz w:val="18"/>
                <w:szCs w:val="18"/>
              </w:rPr>
            </w:pPr>
            <w:r w:rsidRPr="00B44960">
              <w:rPr>
                <w:rFonts w:asciiTheme="minorHAnsi" w:hAnsiTheme="minorHAnsi" w:cstheme="minorHAnsi"/>
                <w:b/>
                <w:sz w:val="18"/>
                <w:szCs w:val="18"/>
              </w:rPr>
              <w:t>Účelový zdroj</w:t>
            </w:r>
          </w:p>
        </w:tc>
        <w:tc>
          <w:tcPr>
            <w:tcW w:w="1696" w:type="dxa"/>
            <w:gridSpan w:val="14"/>
            <w:tcBorders>
              <w:top w:val="single" w:sz="4" w:space="0" w:color="auto"/>
              <w:left w:val="single" w:sz="4" w:space="0" w:color="auto"/>
              <w:bottom w:val="single" w:sz="4" w:space="0" w:color="auto"/>
              <w:right w:val="single" w:sz="4" w:space="0" w:color="auto"/>
            </w:tcBorders>
            <w:shd w:val="clear" w:color="auto" w:fill="FFFF00"/>
            <w:vAlign w:val="center"/>
          </w:tcPr>
          <w:p w:rsidR="00B44960" w:rsidRPr="00B44960" w:rsidRDefault="00B44960" w:rsidP="00BA11CF">
            <w:pPr>
              <w:jc w:val="center"/>
              <w:rPr>
                <w:rFonts w:asciiTheme="minorHAnsi" w:hAnsiTheme="minorHAnsi" w:cstheme="minorHAnsi"/>
                <w:b/>
                <w:sz w:val="18"/>
                <w:szCs w:val="18"/>
              </w:rPr>
            </w:pPr>
            <w:r w:rsidRPr="00B44960">
              <w:rPr>
                <w:rFonts w:asciiTheme="minorHAnsi" w:hAnsiTheme="minorHAnsi" w:cstheme="minorHAnsi"/>
                <w:b/>
                <w:sz w:val="18"/>
                <w:szCs w:val="18"/>
              </w:rPr>
              <w:t>Upravený rozpočet v tis. Kč</w:t>
            </w:r>
          </w:p>
        </w:tc>
        <w:tc>
          <w:tcPr>
            <w:tcW w:w="1417" w:type="dxa"/>
            <w:gridSpan w:val="12"/>
            <w:tcBorders>
              <w:top w:val="single" w:sz="4" w:space="0" w:color="auto"/>
              <w:left w:val="single" w:sz="4" w:space="0" w:color="auto"/>
              <w:bottom w:val="single" w:sz="4" w:space="0" w:color="auto"/>
              <w:right w:val="single" w:sz="4" w:space="0" w:color="auto"/>
            </w:tcBorders>
            <w:shd w:val="clear" w:color="auto" w:fill="FFFF00"/>
            <w:vAlign w:val="center"/>
          </w:tcPr>
          <w:p w:rsidR="00B44960" w:rsidRPr="00B44960" w:rsidRDefault="00B44960" w:rsidP="00BA11CF">
            <w:pPr>
              <w:jc w:val="center"/>
              <w:rPr>
                <w:rFonts w:asciiTheme="minorHAnsi" w:hAnsiTheme="minorHAnsi" w:cstheme="minorHAnsi"/>
                <w:b/>
                <w:sz w:val="18"/>
                <w:szCs w:val="18"/>
              </w:rPr>
            </w:pPr>
            <w:r w:rsidRPr="00B44960">
              <w:rPr>
                <w:rFonts w:asciiTheme="minorHAnsi" w:hAnsiTheme="minorHAnsi" w:cstheme="minorHAnsi"/>
                <w:b/>
                <w:sz w:val="18"/>
                <w:szCs w:val="18"/>
              </w:rPr>
              <w:t>Skutečnost v tis. Kč</w:t>
            </w:r>
          </w:p>
        </w:tc>
        <w:tc>
          <w:tcPr>
            <w:tcW w:w="2836" w:type="dxa"/>
            <w:gridSpan w:val="22"/>
            <w:tcBorders>
              <w:top w:val="single" w:sz="4" w:space="0" w:color="auto"/>
              <w:left w:val="single" w:sz="4" w:space="0" w:color="auto"/>
              <w:bottom w:val="single" w:sz="4" w:space="0" w:color="auto"/>
              <w:right w:val="single" w:sz="4" w:space="0" w:color="auto"/>
            </w:tcBorders>
            <w:shd w:val="clear" w:color="auto" w:fill="FFFF00"/>
            <w:vAlign w:val="center"/>
          </w:tcPr>
          <w:p w:rsidR="00B44960" w:rsidRPr="00B44960" w:rsidRDefault="00B44960" w:rsidP="00BA11CF">
            <w:pPr>
              <w:jc w:val="center"/>
              <w:rPr>
                <w:rFonts w:asciiTheme="minorHAnsi" w:hAnsiTheme="minorHAnsi" w:cstheme="minorHAnsi"/>
                <w:b/>
                <w:sz w:val="18"/>
                <w:szCs w:val="18"/>
              </w:rPr>
            </w:pPr>
            <w:r w:rsidRPr="00B44960">
              <w:rPr>
                <w:rFonts w:asciiTheme="minorHAnsi" w:hAnsiTheme="minorHAnsi" w:cstheme="minorHAnsi"/>
                <w:b/>
                <w:sz w:val="18"/>
                <w:szCs w:val="18"/>
              </w:rPr>
              <w:t>Komentář</w:t>
            </w:r>
          </w:p>
        </w:tc>
      </w:tr>
      <w:tr w:rsidR="00225B7E" w:rsidRPr="00B44960" w:rsidTr="00E101BC">
        <w:trPr>
          <w:gridAfter w:val="3"/>
          <w:wAfter w:w="320" w:type="dxa"/>
        </w:trPr>
        <w:tc>
          <w:tcPr>
            <w:tcW w:w="781" w:type="dxa"/>
            <w:gridSpan w:val="5"/>
            <w:tcBorders>
              <w:top w:val="single" w:sz="4" w:space="0" w:color="auto"/>
              <w:left w:val="single" w:sz="4" w:space="0" w:color="auto"/>
              <w:bottom w:val="single" w:sz="4" w:space="0" w:color="auto"/>
              <w:right w:val="single" w:sz="4" w:space="0" w:color="auto"/>
            </w:tcBorders>
          </w:tcPr>
          <w:p w:rsidR="00B44960" w:rsidRPr="00B44960" w:rsidRDefault="00B44960" w:rsidP="00BA11CF">
            <w:pPr>
              <w:jc w:val="center"/>
              <w:rPr>
                <w:rFonts w:asciiTheme="minorHAnsi" w:hAnsiTheme="minorHAnsi" w:cstheme="minorHAnsi"/>
                <w:sz w:val="18"/>
                <w:szCs w:val="18"/>
              </w:rPr>
            </w:pPr>
            <w:r w:rsidRPr="00B44960">
              <w:rPr>
                <w:rFonts w:asciiTheme="minorHAnsi" w:hAnsiTheme="minorHAnsi" w:cstheme="minorHAnsi"/>
                <w:sz w:val="18"/>
                <w:szCs w:val="18"/>
              </w:rPr>
              <w:t>-</w:t>
            </w:r>
          </w:p>
        </w:tc>
        <w:tc>
          <w:tcPr>
            <w:tcW w:w="562" w:type="dxa"/>
            <w:gridSpan w:val="3"/>
            <w:tcBorders>
              <w:top w:val="single" w:sz="4" w:space="0" w:color="auto"/>
              <w:left w:val="single" w:sz="4" w:space="0" w:color="auto"/>
              <w:bottom w:val="single" w:sz="4" w:space="0" w:color="auto"/>
              <w:right w:val="single" w:sz="4" w:space="0" w:color="auto"/>
            </w:tcBorders>
          </w:tcPr>
          <w:p w:rsidR="00B44960" w:rsidRPr="00B44960" w:rsidRDefault="00B44960" w:rsidP="00BA11CF">
            <w:pPr>
              <w:jc w:val="center"/>
              <w:rPr>
                <w:rFonts w:asciiTheme="minorHAnsi" w:hAnsiTheme="minorHAnsi" w:cstheme="minorHAnsi"/>
                <w:sz w:val="18"/>
                <w:szCs w:val="18"/>
              </w:rPr>
            </w:pPr>
            <w:r w:rsidRPr="00B44960">
              <w:rPr>
                <w:rFonts w:asciiTheme="minorHAnsi" w:hAnsiTheme="minorHAnsi" w:cstheme="minorHAnsi"/>
                <w:sz w:val="18"/>
                <w:szCs w:val="18"/>
              </w:rPr>
              <w:t>-</w:t>
            </w:r>
          </w:p>
        </w:tc>
        <w:tc>
          <w:tcPr>
            <w:tcW w:w="1385" w:type="dxa"/>
            <w:gridSpan w:val="17"/>
            <w:tcBorders>
              <w:top w:val="single" w:sz="4" w:space="0" w:color="auto"/>
              <w:left w:val="single" w:sz="4" w:space="0" w:color="auto"/>
              <w:bottom w:val="single" w:sz="4" w:space="0" w:color="auto"/>
              <w:right w:val="single" w:sz="4" w:space="0" w:color="auto"/>
            </w:tcBorders>
          </w:tcPr>
          <w:p w:rsidR="00B44960" w:rsidRPr="00B44960" w:rsidRDefault="00B44960" w:rsidP="00BA11CF">
            <w:pPr>
              <w:jc w:val="center"/>
              <w:rPr>
                <w:rFonts w:asciiTheme="minorHAnsi" w:hAnsiTheme="minorHAnsi" w:cstheme="minorHAnsi"/>
                <w:sz w:val="18"/>
                <w:szCs w:val="18"/>
              </w:rPr>
            </w:pPr>
            <w:r w:rsidRPr="00B44960">
              <w:rPr>
                <w:rFonts w:asciiTheme="minorHAnsi" w:hAnsiTheme="minorHAnsi" w:cstheme="minorHAnsi"/>
                <w:sz w:val="18"/>
                <w:szCs w:val="18"/>
              </w:rPr>
              <w:t>-</w:t>
            </w:r>
          </w:p>
        </w:tc>
        <w:tc>
          <w:tcPr>
            <w:tcW w:w="605" w:type="dxa"/>
            <w:gridSpan w:val="7"/>
            <w:tcBorders>
              <w:top w:val="single" w:sz="4" w:space="0" w:color="auto"/>
              <w:left w:val="single" w:sz="4" w:space="0" w:color="auto"/>
              <w:bottom w:val="single" w:sz="4" w:space="0" w:color="auto"/>
              <w:right w:val="single" w:sz="4" w:space="0" w:color="auto"/>
            </w:tcBorders>
          </w:tcPr>
          <w:p w:rsidR="00B44960" w:rsidRPr="00B44960" w:rsidRDefault="00B44960" w:rsidP="00BA11CF">
            <w:pPr>
              <w:jc w:val="center"/>
              <w:rPr>
                <w:rFonts w:asciiTheme="minorHAnsi" w:hAnsiTheme="minorHAnsi" w:cstheme="minorHAnsi"/>
                <w:sz w:val="18"/>
                <w:szCs w:val="18"/>
              </w:rPr>
            </w:pPr>
            <w:r w:rsidRPr="00B44960">
              <w:rPr>
                <w:rFonts w:asciiTheme="minorHAnsi" w:hAnsiTheme="minorHAnsi" w:cstheme="minorHAnsi"/>
                <w:sz w:val="18"/>
                <w:szCs w:val="18"/>
              </w:rPr>
              <w:t>-</w:t>
            </w:r>
          </w:p>
        </w:tc>
        <w:tc>
          <w:tcPr>
            <w:tcW w:w="1696" w:type="dxa"/>
            <w:gridSpan w:val="14"/>
            <w:tcBorders>
              <w:top w:val="single" w:sz="4" w:space="0" w:color="auto"/>
              <w:left w:val="single" w:sz="4" w:space="0" w:color="auto"/>
              <w:bottom w:val="single" w:sz="4" w:space="0" w:color="auto"/>
              <w:right w:val="single" w:sz="4" w:space="0" w:color="auto"/>
            </w:tcBorders>
          </w:tcPr>
          <w:p w:rsidR="00B44960" w:rsidRPr="00B44960" w:rsidRDefault="00B44960" w:rsidP="00BA11CF">
            <w:pPr>
              <w:jc w:val="center"/>
              <w:rPr>
                <w:rFonts w:asciiTheme="minorHAnsi" w:hAnsiTheme="minorHAnsi" w:cstheme="minorHAnsi"/>
                <w:sz w:val="18"/>
                <w:szCs w:val="18"/>
              </w:rPr>
            </w:pPr>
            <w:r w:rsidRPr="00B44960">
              <w:rPr>
                <w:rFonts w:asciiTheme="minorHAnsi" w:hAnsiTheme="minorHAnsi" w:cstheme="minorHAnsi"/>
                <w:sz w:val="18"/>
                <w:szCs w:val="18"/>
              </w:rPr>
              <w:t>-</w:t>
            </w:r>
          </w:p>
        </w:tc>
        <w:tc>
          <w:tcPr>
            <w:tcW w:w="1417" w:type="dxa"/>
            <w:gridSpan w:val="12"/>
            <w:tcBorders>
              <w:top w:val="single" w:sz="4" w:space="0" w:color="auto"/>
              <w:left w:val="single" w:sz="4" w:space="0" w:color="auto"/>
              <w:bottom w:val="single" w:sz="4" w:space="0" w:color="auto"/>
              <w:right w:val="single" w:sz="4" w:space="0" w:color="auto"/>
            </w:tcBorders>
          </w:tcPr>
          <w:p w:rsidR="00B44960" w:rsidRPr="00B44960" w:rsidRDefault="00B44960" w:rsidP="00BA11CF">
            <w:pPr>
              <w:jc w:val="center"/>
              <w:rPr>
                <w:rFonts w:asciiTheme="minorHAnsi" w:hAnsiTheme="minorHAnsi" w:cstheme="minorHAnsi"/>
                <w:sz w:val="18"/>
                <w:szCs w:val="18"/>
              </w:rPr>
            </w:pPr>
            <w:r w:rsidRPr="00B44960">
              <w:rPr>
                <w:rFonts w:asciiTheme="minorHAnsi" w:hAnsiTheme="minorHAnsi" w:cstheme="minorHAnsi"/>
                <w:sz w:val="18"/>
                <w:szCs w:val="18"/>
              </w:rPr>
              <w:t>-</w:t>
            </w:r>
          </w:p>
        </w:tc>
        <w:tc>
          <w:tcPr>
            <w:tcW w:w="2836" w:type="dxa"/>
            <w:gridSpan w:val="22"/>
            <w:tcBorders>
              <w:top w:val="single" w:sz="4" w:space="0" w:color="auto"/>
              <w:left w:val="single" w:sz="4" w:space="0" w:color="auto"/>
              <w:bottom w:val="single" w:sz="4" w:space="0" w:color="auto"/>
              <w:right w:val="single" w:sz="4" w:space="0" w:color="auto"/>
            </w:tcBorders>
          </w:tcPr>
          <w:p w:rsidR="00B44960" w:rsidRPr="00B44960" w:rsidRDefault="00B44960" w:rsidP="00BA11CF">
            <w:pPr>
              <w:jc w:val="center"/>
              <w:rPr>
                <w:rFonts w:asciiTheme="minorHAnsi" w:hAnsiTheme="minorHAnsi" w:cstheme="minorHAnsi"/>
                <w:sz w:val="18"/>
                <w:szCs w:val="18"/>
              </w:rPr>
            </w:pPr>
            <w:r w:rsidRPr="00B44960">
              <w:rPr>
                <w:rFonts w:asciiTheme="minorHAnsi" w:hAnsiTheme="minorHAnsi" w:cstheme="minorHAnsi"/>
                <w:sz w:val="18"/>
                <w:szCs w:val="18"/>
              </w:rPr>
              <w:t>-</w:t>
            </w:r>
          </w:p>
        </w:tc>
      </w:tr>
      <w:tr w:rsidR="0051317E" w:rsidRPr="00B44960" w:rsidTr="00E101BC">
        <w:trPr>
          <w:gridAfter w:val="7"/>
          <w:wAfter w:w="842" w:type="dxa"/>
        </w:trPr>
        <w:tc>
          <w:tcPr>
            <w:tcW w:w="453" w:type="dxa"/>
            <w:gridSpan w:val="2"/>
          </w:tcPr>
          <w:p w:rsidR="00B44960" w:rsidRPr="00B44960" w:rsidRDefault="00B44960" w:rsidP="00BA11CF">
            <w:pPr>
              <w:rPr>
                <w:rFonts w:asciiTheme="minorHAnsi" w:hAnsiTheme="minorHAnsi" w:cstheme="minorHAnsi"/>
                <w:b/>
                <w:sz w:val="20"/>
                <w:szCs w:val="20"/>
              </w:rPr>
            </w:pPr>
          </w:p>
        </w:tc>
        <w:tc>
          <w:tcPr>
            <w:tcW w:w="328" w:type="dxa"/>
            <w:gridSpan w:val="3"/>
          </w:tcPr>
          <w:p w:rsidR="00B44960" w:rsidRPr="00B44960" w:rsidRDefault="00B44960" w:rsidP="00BA11CF">
            <w:pPr>
              <w:rPr>
                <w:rFonts w:asciiTheme="minorHAnsi" w:hAnsiTheme="minorHAnsi" w:cstheme="minorHAnsi"/>
                <w:b/>
                <w:sz w:val="20"/>
                <w:szCs w:val="20"/>
              </w:rPr>
            </w:pPr>
          </w:p>
        </w:tc>
        <w:tc>
          <w:tcPr>
            <w:tcW w:w="562" w:type="dxa"/>
            <w:gridSpan w:val="3"/>
          </w:tcPr>
          <w:p w:rsidR="00B44960" w:rsidRPr="00B44960" w:rsidRDefault="00B44960" w:rsidP="00BA11CF">
            <w:pPr>
              <w:rPr>
                <w:rFonts w:asciiTheme="minorHAnsi" w:hAnsiTheme="minorHAnsi" w:cstheme="minorHAnsi"/>
                <w:b/>
                <w:sz w:val="20"/>
                <w:szCs w:val="20"/>
              </w:rPr>
            </w:pPr>
          </w:p>
        </w:tc>
        <w:tc>
          <w:tcPr>
            <w:tcW w:w="160" w:type="dxa"/>
            <w:gridSpan w:val="3"/>
          </w:tcPr>
          <w:p w:rsidR="00B44960" w:rsidRPr="00B44960" w:rsidRDefault="00B44960" w:rsidP="00BA11CF">
            <w:pPr>
              <w:rPr>
                <w:rFonts w:asciiTheme="minorHAnsi" w:hAnsiTheme="minorHAnsi" w:cstheme="minorHAnsi"/>
                <w:b/>
                <w:sz w:val="20"/>
                <w:szCs w:val="20"/>
              </w:rPr>
            </w:pPr>
          </w:p>
        </w:tc>
        <w:tc>
          <w:tcPr>
            <w:tcW w:w="662" w:type="dxa"/>
            <w:gridSpan w:val="8"/>
          </w:tcPr>
          <w:p w:rsidR="00B44960" w:rsidRPr="00B44960" w:rsidRDefault="00B44960" w:rsidP="00BA11CF">
            <w:pPr>
              <w:rPr>
                <w:rFonts w:asciiTheme="minorHAnsi" w:hAnsiTheme="minorHAnsi" w:cstheme="minorHAnsi"/>
                <w:b/>
                <w:sz w:val="20"/>
                <w:szCs w:val="20"/>
              </w:rPr>
            </w:pPr>
          </w:p>
        </w:tc>
        <w:tc>
          <w:tcPr>
            <w:tcW w:w="678" w:type="dxa"/>
            <w:gridSpan w:val="11"/>
          </w:tcPr>
          <w:p w:rsidR="00B44960" w:rsidRPr="00B44960" w:rsidRDefault="00B44960" w:rsidP="00BA11CF">
            <w:pPr>
              <w:rPr>
                <w:rFonts w:asciiTheme="minorHAnsi" w:hAnsiTheme="minorHAnsi" w:cstheme="minorHAnsi"/>
                <w:b/>
                <w:sz w:val="20"/>
                <w:szCs w:val="20"/>
              </w:rPr>
            </w:pPr>
          </w:p>
        </w:tc>
        <w:tc>
          <w:tcPr>
            <w:tcW w:w="160" w:type="dxa"/>
          </w:tcPr>
          <w:p w:rsidR="00B44960" w:rsidRPr="00B44960" w:rsidRDefault="00B44960" w:rsidP="00BA11CF">
            <w:pPr>
              <w:rPr>
                <w:rFonts w:asciiTheme="minorHAnsi" w:hAnsiTheme="minorHAnsi" w:cstheme="minorHAnsi"/>
                <w:b/>
                <w:sz w:val="20"/>
                <w:szCs w:val="20"/>
              </w:rPr>
            </w:pPr>
          </w:p>
        </w:tc>
        <w:tc>
          <w:tcPr>
            <w:tcW w:w="330" w:type="dxa"/>
          </w:tcPr>
          <w:p w:rsidR="00B44960" w:rsidRPr="00B44960" w:rsidRDefault="00B44960" w:rsidP="00BA11CF">
            <w:pPr>
              <w:rPr>
                <w:rFonts w:asciiTheme="minorHAnsi" w:hAnsiTheme="minorHAnsi" w:cstheme="minorHAnsi"/>
                <w:b/>
                <w:sz w:val="20"/>
                <w:szCs w:val="20"/>
              </w:rPr>
            </w:pPr>
          </w:p>
        </w:tc>
        <w:tc>
          <w:tcPr>
            <w:tcW w:w="312" w:type="dxa"/>
            <w:gridSpan w:val="2"/>
          </w:tcPr>
          <w:p w:rsidR="00B44960" w:rsidRPr="00B44960" w:rsidRDefault="00B44960" w:rsidP="00BA11CF">
            <w:pPr>
              <w:rPr>
                <w:rFonts w:asciiTheme="minorHAnsi" w:hAnsiTheme="minorHAnsi" w:cstheme="minorHAnsi"/>
                <w:b/>
                <w:sz w:val="20"/>
                <w:szCs w:val="20"/>
              </w:rPr>
            </w:pPr>
          </w:p>
        </w:tc>
        <w:tc>
          <w:tcPr>
            <w:tcW w:w="460" w:type="dxa"/>
            <w:gridSpan w:val="5"/>
          </w:tcPr>
          <w:p w:rsidR="00B44960" w:rsidRPr="00B44960" w:rsidRDefault="00B44960" w:rsidP="00BA11CF">
            <w:pPr>
              <w:rPr>
                <w:rFonts w:asciiTheme="minorHAnsi" w:hAnsiTheme="minorHAnsi" w:cstheme="minorHAnsi"/>
                <w:b/>
                <w:sz w:val="20"/>
                <w:szCs w:val="20"/>
              </w:rPr>
            </w:pPr>
          </w:p>
        </w:tc>
        <w:tc>
          <w:tcPr>
            <w:tcW w:w="352" w:type="dxa"/>
            <w:gridSpan w:val="3"/>
          </w:tcPr>
          <w:p w:rsidR="00B44960" w:rsidRPr="00B44960" w:rsidRDefault="00B44960" w:rsidP="00BA11CF">
            <w:pPr>
              <w:rPr>
                <w:rFonts w:asciiTheme="minorHAnsi" w:hAnsiTheme="minorHAnsi" w:cstheme="minorHAnsi"/>
                <w:b/>
                <w:sz w:val="20"/>
                <w:szCs w:val="20"/>
              </w:rPr>
            </w:pPr>
          </w:p>
        </w:tc>
        <w:tc>
          <w:tcPr>
            <w:tcW w:w="460" w:type="dxa"/>
            <w:gridSpan w:val="3"/>
          </w:tcPr>
          <w:p w:rsidR="00B44960" w:rsidRPr="00B44960" w:rsidRDefault="00B44960" w:rsidP="00BA11CF">
            <w:pPr>
              <w:rPr>
                <w:rFonts w:asciiTheme="minorHAnsi" w:hAnsiTheme="minorHAnsi" w:cstheme="minorHAnsi"/>
                <w:b/>
                <w:sz w:val="20"/>
                <w:szCs w:val="20"/>
              </w:rPr>
            </w:pPr>
          </w:p>
        </w:tc>
        <w:tc>
          <w:tcPr>
            <w:tcW w:w="463" w:type="dxa"/>
            <w:gridSpan w:val="7"/>
          </w:tcPr>
          <w:p w:rsidR="00B44960" w:rsidRPr="00B44960" w:rsidRDefault="00B44960" w:rsidP="00BA11CF">
            <w:pPr>
              <w:rPr>
                <w:rFonts w:asciiTheme="minorHAnsi" w:hAnsiTheme="minorHAnsi" w:cstheme="minorHAnsi"/>
                <w:b/>
                <w:sz w:val="20"/>
                <w:szCs w:val="20"/>
              </w:rPr>
            </w:pPr>
          </w:p>
        </w:tc>
        <w:tc>
          <w:tcPr>
            <w:tcW w:w="160" w:type="dxa"/>
          </w:tcPr>
          <w:p w:rsidR="00B44960" w:rsidRPr="00B44960" w:rsidRDefault="00B44960" w:rsidP="00BA11CF">
            <w:pPr>
              <w:rPr>
                <w:rFonts w:asciiTheme="minorHAnsi" w:hAnsiTheme="minorHAnsi" w:cstheme="minorHAnsi"/>
                <w:b/>
                <w:sz w:val="20"/>
                <w:szCs w:val="20"/>
              </w:rPr>
            </w:pPr>
          </w:p>
        </w:tc>
        <w:tc>
          <w:tcPr>
            <w:tcW w:w="460" w:type="dxa"/>
            <w:gridSpan w:val="3"/>
          </w:tcPr>
          <w:p w:rsidR="00B44960" w:rsidRPr="00B44960" w:rsidRDefault="00B44960" w:rsidP="00BA11CF">
            <w:pPr>
              <w:rPr>
                <w:rFonts w:asciiTheme="minorHAnsi" w:hAnsiTheme="minorHAnsi" w:cstheme="minorHAnsi"/>
                <w:b/>
                <w:sz w:val="20"/>
                <w:szCs w:val="20"/>
              </w:rPr>
            </w:pPr>
          </w:p>
        </w:tc>
        <w:tc>
          <w:tcPr>
            <w:tcW w:w="446" w:type="dxa"/>
            <w:gridSpan w:val="2"/>
          </w:tcPr>
          <w:p w:rsidR="00B44960" w:rsidRPr="00B44960" w:rsidRDefault="00B44960" w:rsidP="00BA11CF">
            <w:pPr>
              <w:rPr>
                <w:rFonts w:asciiTheme="minorHAnsi" w:hAnsiTheme="minorHAnsi" w:cstheme="minorHAnsi"/>
                <w:b/>
                <w:sz w:val="20"/>
                <w:szCs w:val="20"/>
              </w:rPr>
            </w:pPr>
          </w:p>
        </w:tc>
        <w:tc>
          <w:tcPr>
            <w:tcW w:w="474" w:type="dxa"/>
            <w:gridSpan w:val="5"/>
          </w:tcPr>
          <w:p w:rsidR="00B44960" w:rsidRPr="00B44960" w:rsidRDefault="00B44960" w:rsidP="00BA11CF">
            <w:pPr>
              <w:rPr>
                <w:rFonts w:asciiTheme="minorHAnsi" w:hAnsiTheme="minorHAnsi" w:cstheme="minorHAnsi"/>
                <w:b/>
                <w:sz w:val="20"/>
                <w:szCs w:val="20"/>
              </w:rPr>
            </w:pPr>
          </w:p>
        </w:tc>
        <w:tc>
          <w:tcPr>
            <w:tcW w:w="460" w:type="dxa"/>
            <w:gridSpan w:val="4"/>
          </w:tcPr>
          <w:p w:rsidR="00B44960" w:rsidRPr="00B44960" w:rsidRDefault="00B44960" w:rsidP="00BA11CF">
            <w:pPr>
              <w:rPr>
                <w:rFonts w:asciiTheme="minorHAnsi" w:hAnsiTheme="minorHAnsi" w:cstheme="minorHAnsi"/>
                <w:b/>
                <w:sz w:val="20"/>
                <w:szCs w:val="20"/>
              </w:rPr>
            </w:pPr>
          </w:p>
        </w:tc>
        <w:tc>
          <w:tcPr>
            <w:tcW w:w="460" w:type="dxa"/>
            <w:gridSpan w:val="2"/>
          </w:tcPr>
          <w:p w:rsidR="00B44960" w:rsidRPr="00B44960" w:rsidRDefault="00B44960" w:rsidP="00BA11CF">
            <w:pPr>
              <w:rPr>
                <w:rFonts w:asciiTheme="minorHAnsi" w:hAnsiTheme="minorHAnsi" w:cstheme="minorHAnsi"/>
                <w:b/>
                <w:sz w:val="20"/>
                <w:szCs w:val="20"/>
              </w:rPr>
            </w:pPr>
          </w:p>
        </w:tc>
        <w:tc>
          <w:tcPr>
            <w:tcW w:w="920" w:type="dxa"/>
            <w:gridSpan w:val="7"/>
          </w:tcPr>
          <w:p w:rsidR="00B44960" w:rsidRPr="00B44960" w:rsidRDefault="00B44960" w:rsidP="00BA11CF">
            <w:pPr>
              <w:rPr>
                <w:rFonts w:asciiTheme="minorHAnsi" w:hAnsiTheme="minorHAnsi" w:cstheme="minorHAnsi"/>
                <w:b/>
                <w:sz w:val="20"/>
                <w:szCs w:val="20"/>
              </w:rPr>
            </w:pPr>
          </w:p>
        </w:tc>
      </w:tr>
      <w:tr w:rsidR="00B44960" w:rsidRPr="00B44960" w:rsidTr="000F4CB9">
        <w:trPr>
          <w:gridAfter w:val="3"/>
          <w:wAfter w:w="320" w:type="dxa"/>
        </w:trPr>
        <w:tc>
          <w:tcPr>
            <w:tcW w:w="9282" w:type="dxa"/>
            <w:gridSpan w:val="80"/>
            <w:shd w:val="clear" w:color="auto" w:fill="F79646"/>
          </w:tcPr>
          <w:p w:rsidR="00B44960" w:rsidRPr="00B44960" w:rsidRDefault="00B44960" w:rsidP="00BA11CF">
            <w:pPr>
              <w:rPr>
                <w:rFonts w:asciiTheme="minorHAnsi" w:hAnsiTheme="minorHAnsi" w:cstheme="minorHAnsi"/>
                <w:b/>
                <w:sz w:val="20"/>
                <w:szCs w:val="20"/>
                <w:u w:val="single"/>
              </w:rPr>
            </w:pPr>
            <w:r w:rsidRPr="00B44960">
              <w:rPr>
                <w:rFonts w:asciiTheme="minorHAnsi" w:hAnsiTheme="minorHAnsi" w:cstheme="minorHAnsi"/>
                <w:b/>
                <w:sz w:val="20"/>
                <w:szCs w:val="20"/>
                <w:u w:val="single"/>
              </w:rPr>
              <w:t>Rozbor čerpání výdajů rozpočtu kapitoly</w:t>
            </w:r>
          </w:p>
        </w:tc>
      </w:tr>
      <w:tr w:rsidR="00243915" w:rsidRPr="00B44960" w:rsidTr="00E101BC">
        <w:tc>
          <w:tcPr>
            <w:tcW w:w="457" w:type="dxa"/>
            <w:gridSpan w:val="3"/>
            <w:tcBorders>
              <w:bottom w:val="single" w:sz="4" w:space="0" w:color="auto"/>
            </w:tcBorders>
          </w:tcPr>
          <w:p w:rsidR="00B44960" w:rsidRPr="00B44960" w:rsidRDefault="00B44960" w:rsidP="00BA11CF">
            <w:pPr>
              <w:rPr>
                <w:rFonts w:asciiTheme="minorHAnsi" w:hAnsiTheme="minorHAnsi" w:cstheme="minorHAnsi"/>
                <w:b/>
                <w:sz w:val="20"/>
                <w:szCs w:val="20"/>
              </w:rPr>
            </w:pPr>
          </w:p>
        </w:tc>
        <w:tc>
          <w:tcPr>
            <w:tcW w:w="324" w:type="dxa"/>
            <w:gridSpan w:val="2"/>
            <w:tcBorders>
              <w:bottom w:val="single" w:sz="4" w:space="0" w:color="auto"/>
            </w:tcBorders>
          </w:tcPr>
          <w:p w:rsidR="00B44960" w:rsidRPr="00B44960" w:rsidRDefault="00B44960" w:rsidP="00BA11CF">
            <w:pPr>
              <w:rPr>
                <w:rFonts w:asciiTheme="minorHAnsi" w:hAnsiTheme="minorHAnsi" w:cstheme="minorHAnsi"/>
                <w:b/>
                <w:sz w:val="20"/>
                <w:szCs w:val="20"/>
              </w:rPr>
            </w:pPr>
          </w:p>
        </w:tc>
        <w:tc>
          <w:tcPr>
            <w:tcW w:w="615" w:type="dxa"/>
            <w:gridSpan w:val="5"/>
            <w:tcBorders>
              <w:bottom w:val="single" w:sz="4" w:space="0" w:color="auto"/>
            </w:tcBorders>
          </w:tcPr>
          <w:p w:rsidR="00B44960" w:rsidRPr="00B44960" w:rsidRDefault="00B44960" w:rsidP="00BA11CF">
            <w:pPr>
              <w:rPr>
                <w:rFonts w:asciiTheme="minorHAnsi" w:hAnsiTheme="minorHAnsi" w:cstheme="minorHAnsi"/>
                <w:b/>
                <w:sz w:val="20"/>
                <w:szCs w:val="20"/>
              </w:rPr>
            </w:pPr>
          </w:p>
        </w:tc>
        <w:tc>
          <w:tcPr>
            <w:tcW w:w="293" w:type="dxa"/>
            <w:gridSpan w:val="5"/>
            <w:tcBorders>
              <w:bottom w:val="single" w:sz="4" w:space="0" w:color="auto"/>
            </w:tcBorders>
          </w:tcPr>
          <w:p w:rsidR="00B44960" w:rsidRPr="00B44960" w:rsidRDefault="00B44960" w:rsidP="00BA11CF">
            <w:pPr>
              <w:rPr>
                <w:rFonts w:asciiTheme="minorHAnsi" w:hAnsiTheme="minorHAnsi" w:cstheme="minorHAnsi"/>
                <w:b/>
                <w:sz w:val="20"/>
                <w:szCs w:val="20"/>
              </w:rPr>
            </w:pPr>
          </w:p>
        </w:tc>
        <w:tc>
          <w:tcPr>
            <w:tcW w:w="829" w:type="dxa"/>
            <w:gridSpan w:val="6"/>
            <w:tcBorders>
              <w:bottom w:val="single" w:sz="4" w:space="0" w:color="auto"/>
            </w:tcBorders>
          </w:tcPr>
          <w:p w:rsidR="00B44960" w:rsidRPr="00B44960" w:rsidRDefault="00B44960" w:rsidP="00BA11CF">
            <w:pPr>
              <w:rPr>
                <w:rFonts w:asciiTheme="minorHAnsi" w:hAnsiTheme="minorHAnsi" w:cstheme="minorHAnsi"/>
                <w:b/>
                <w:sz w:val="20"/>
                <w:szCs w:val="20"/>
              </w:rPr>
            </w:pPr>
          </w:p>
        </w:tc>
        <w:tc>
          <w:tcPr>
            <w:tcW w:w="310" w:type="dxa"/>
            <w:gridSpan w:val="8"/>
            <w:tcBorders>
              <w:bottom w:val="single" w:sz="4" w:space="0" w:color="auto"/>
            </w:tcBorders>
          </w:tcPr>
          <w:p w:rsidR="00B44960" w:rsidRPr="00B44960" w:rsidRDefault="00B44960" w:rsidP="00BA11CF">
            <w:pPr>
              <w:rPr>
                <w:rFonts w:asciiTheme="minorHAnsi" w:hAnsiTheme="minorHAnsi" w:cstheme="minorHAnsi"/>
                <w:b/>
                <w:sz w:val="20"/>
                <w:szCs w:val="20"/>
              </w:rPr>
            </w:pPr>
          </w:p>
        </w:tc>
        <w:tc>
          <w:tcPr>
            <w:tcW w:w="505" w:type="dxa"/>
            <w:gridSpan w:val="3"/>
            <w:tcBorders>
              <w:bottom w:val="single" w:sz="4" w:space="0" w:color="auto"/>
            </w:tcBorders>
          </w:tcPr>
          <w:p w:rsidR="00B44960" w:rsidRPr="00B44960" w:rsidRDefault="00B44960" w:rsidP="00BA11CF">
            <w:pPr>
              <w:rPr>
                <w:rFonts w:asciiTheme="minorHAnsi" w:hAnsiTheme="minorHAnsi" w:cstheme="minorHAnsi"/>
                <w:b/>
                <w:sz w:val="20"/>
                <w:szCs w:val="20"/>
              </w:rPr>
            </w:pPr>
          </w:p>
        </w:tc>
        <w:tc>
          <w:tcPr>
            <w:tcW w:w="597" w:type="dxa"/>
            <w:gridSpan w:val="3"/>
            <w:tcBorders>
              <w:bottom w:val="single" w:sz="4" w:space="0" w:color="auto"/>
            </w:tcBorders>
          </w:tcPr>
          <w:p w:rsidR="00B44960" w:rsidRPr="00B44960" w:rsidRDefault="00B44960" w:rsidP="00BA11CF">
            <w:pPr>
              <w:rPr>
                <w:rFonts w:asciiTheme="minorHAnsi" w:hAnsiTheme="minorHAnsi" w:cstheme="minorHAnsi"/>
                <w:b/>
                <w:sz w:val="20"/>
                <w:szCs w:val="20"/>
              </w:rPr>
            </w:pPr>
          </w:p>
        </w:tc>
        <w:tc>
          <w:tcPr>
            <w:tcW w:w="352" w:type="dxa"/>
            <w:gridSpan w:val="5"/>
            <w:tcBorders>
              <w:bottom w:val="single" w:sz="4" w:space="0" w:color="auto"/>
            </w:tcBorders>
          </w:tcPr>
          <w:p w:rsidR="00B44960" w:rsidRPr="00B44960" w:rsidRDefault="00B44960" w:rsidP="00BA11CF">
            <w:pPr>
              <w:rPr>
                <w:rFonts w:asciiTheme="minorHAnsi" w:hAnsiTheme="minorHAnsi" w:cstheme="minorHAnsi"/>
                <w:b/>
                <w:sz w:val="20"/>
                <w:szCs w:val="20"/>
              </w:rPr>
            </w:pPr>
          </w:p>
        </w:tc>
        <w:tc>
          <w:tcPr>
            <w:tcW w:w="752" w:type="dxa"/>
            <w:gridSpan w:val="7"/>
            <w:tcBorders>
              <w:bottom w:val="single" w:sz="4" w:space="0" w:color="auto"/>
            </w:tcBorders>
          </w:tcPr>
          <w:p w:rsidR="00B44960" w:rsidRPr="00B44960" w:rsidRDefault="00B44960" w:rsidP="00BA11CF">
            <w:pPr>
              <w:rPr>
                <w:rFonts w:asciiTheme="minorHAnsi" w:hAnsiTheme="minorHAnsi" w:cstheme="minorHAnsi"/>
                <w:b/>
                <w:sz w:val="20"/>
                <w:szCs w:val="20"/>
              </w:rPr>
            </w:pPr>
          </w:p>
        </w:tc>
        <w:tc>
          <w:tcPr>
            <w:tcW w:w="236" w:type="dxa"/>
            <w:gridSpan w:val="4"/>
            <w:tcBorders>
              <w:bottom w:val="single" w:sz="4" w:space="0" w:color="auto"/>
            </w:tcBorders>
          </w:tcPr>
          <w:p w:rsidR="00B44960" w:rsidRPr="00B44960" w:rsidRDefault="00B44960" w:rsidP="00BA11CF">
            <w:pPr>
              <w:rPr>
                <w:rFonts w:asciiTheme="minorHAnsi" w:hAnsiTheme="minorHAnsi" w:cstheme="minorHAnsi"/>
                <w:b/>
                <w:sz w:val="20"/>
                <w:szCs w:val="20"/>
              </w:rPr>
            </w:pPr>
          </w:p>
        </w:tc>
        <w:tc>
          <w:tcPr>
            <w:tcW w:w="526" w:type="dxa"/>
            <w:gridSpan w:val="3"/>
            <w:tcBorders>
              <w:bottom w:val="single" w:sz="4" w:space="0" w:color="auto"/>
            </w:tcBorders>
          </w:tcPr>
          <w:p w:rsidR="00B44960" w:rsidRPr="00B44960" w:rsidRDefault="00B44960" w:rsidP="00BA11CF">
            <w:pPr>
              <w:rPr>
                <w:rFonts w:asciiTheme="minorHAnsi" w:hAnsiTheme="minorHAnsi" w:cstheme="minorHAnsi"/>
                <w:b/>
                <w:sz w:val="20"/>
                <w:szCs w:val="20"/>
              </w:rPr>
            </w:pPr>
          </w:p>
        </w:tc>
        <w:tc>
          <w:tcPr>
            <w:tcW w:w="160" w:type="dxa"/>
            <w:tcBorders>
              <w:bottom w:val="single" w:sz="4" w:space="0" w:color="auto"/>
            </w:tcBorders>
          </w:tcPr>
          <w:p w:rsidR="00B44960" w:rsidRPr="00B44960" w:rsidRDefault="00B44960" w:rsidP="00BA11CF">
            <w:pPr>
              <w:rPr>
                <w:rFonts w:asciiTheme="minorHAnsi" w:hAnsiTheme="minorHAnsi" w:cstheme="minorHAnsi"/>
                <w:b/>
                <w:sz w:val="20"/>
                <w:szCs w:val="20"/>
              </w:rPr>
            </w:pPr>
          </w:p>
        </w:tc>
        <w:tc>
          <w:tcPr>
            <w:tcW w:w="760" w:type="dxa"/>
            <w:gridSpan w:val="5"/>
            <w:tcBorders>
              <w:bottom w:val="single" w:sz="4" w:space="0" w:color="auto"/>
            </w:tcBorders>
          </w:tcPr>
          <w:p w:rsidR="00B44960" w:rsidRPr="00B44960" w:rsidRDefault="00B44960" w:rsidP="00BA11CF">
            <w:pPr>
              <w:rPr>
                <w:rFonts w:asciiTheme="minorHAnsi" w:hAnsiTheme="minorHAnsi" w:cstheme="minorHAnsi"/>
                <w:b/>
                <w:sz w:val="20"/>
                <w:szCs w:val="20"/>
              </w:rPr>
            </w:pPr>
          </w:p>
        </w:tc>
        <w:tc>
          <w:tcPr>
            <w:tcW w:w="460" w:type="dxa"/>
            <w:gridSpan w:val="6"/>
            <w:tcBorders>
              <w:bottom w:val="single" w:sz="4" w:space="0" w:color="auto"/>
            </w:tcBorders>
          </w:tcPr>
          <w:p w:rsidR="00B44960" w:rsidRPr="00B44960" w:rsidRDefault="00B44960" w:rsidP="00BA11CF">
            <w:pPr>
              <w:rPr>
                <w:rFonts w:asciiTheme="minorHAnsi" w:hAnsiTheme="minorHAnsi" w:cstheme="minorHAnsi"/>
                <w:b/>
                <w:sz w:val="20"/>
                <w:szCs w:val="20"/>
              </w:rPr>
            </w:pPr>
          </w:p>
        </w:tc>
        <w:tc>
          <w:tcPr>
            <w:tcW w:w="460" w:type="dxa"/>
            <w:gridSpan w:val="2"/>
            <w:tcBorders>
              <w:bottom w:val="single" w:sz="4" w:space="0" w:color="auto"/>
            </w:tcBorders>
          </w:tcPr>
          <w:p w:rsidR="00B44960" w:rsidRPr="00B44960" w:rsidRDefault="00B44960" w:rsidP="00BA11CF">
            <w:pPr>
              <w:rPr>
                <w:rFonts w:asciiTheme="minorHAnsi" w:hAnsiTheme="minorHAnsi" w:cstheme="minorHAnsi"/>
                <w:b/>
                <w:sz w:val="20"/>
                <w:szCs w:val="20"/>
              </w:rPr>
            </w:pPr>
          </w:p>
        </w:tc>
        <w:tc>
          <w:tcPr>
            <w:tcW w:w="460" w:type="dxa"/>
            <w:gridSpan w:val="4"/>
            <w:tcBorders>
              <w:bottom w:val="single" w:sz="4" w:space="0" w:color="auto"/>
            </w:tcBorders>
          </w:tcPr>
          <w:p w:rsidR="00B44960" w:rsidRPr="00B44960" w:rsidRDefault="00B44960" w:rsidP="00BA11CF">
            <w:pPr>
              <w:rPr>
                <w:rFonts w:asciiTheme="minorHAnsi" w:hAnsiTheme="minorHAnsi" w:cstheme="minorHAnsi"/>
                <w:b/>
                <w:sz w:val="20"/>
                <w:szCs w:val="20"/>
              </w:rPr>
            </w:pPr>
          </w:p>
        </w:tc>
        <w:tc>
          <w:tcPr>
            <w:tcW w:w="601" w:type="dxa"/>
            <w:gridSpan w:val="3"/>
            <w:tcBorders>
              <w:bottom w:val="single" w:sz="4" w:space="0" w:color="auto"/>
            </w:tcBorders>
          </w:tcPr>
          <w:p w:rsidR="00B44960" w:rsidRPr="00B44960" w:rsidRDefault="00B44960" w:rsidP="00BA11CF">
            <w:pPr>
              <w:rPr>
                <w:rFonts w:asciiTheme="minorHAnsi" w:hAnsiTheme="minorHAnsi" w:cstheme="minorHAnsi"/>
                <w:b/>
                <w:sz w:val="20"/>
                <w:szCs w:val="20"/>
              </w:rPr>
            </w:pPr>
          </w:p>
        </w:tc>
        <w:tc>
          <w:tcPr>
            <w:tcW w:w="459" w:type="dxa"/>
            <w:gridSpan w:val="3"/>
            <w:tcBorders>
              <w:bottom w:val="single" w:sz="4" w:space="0" w:color="auto"/>
            </w:tcBorders>
          </w:tcPr>
          <w:p w:rsidR="00B44960" w:rsidRPr="00B44960" w:rsidRDefault="00B44960" w:rsidP="00BA11CF">
            <w:pPr>
              <w:rPr>
                <w:rFonts w:asciiTheme="minorHAnsi" w:hAnsiTheme="minorHAnsi" w:cstheme="minorHAnsi"/>
                <w:b/>
                <w:sz w:val="20"/>
                <w:szCs w:val="20"/>
              </w:rPr>
            </w:pPr>
          </w:p>
        </w:tc>
        <w:tc>
          <w:tcPr>
            <w:tcW w:w="446" w:type="dxa"/>
            <w:gridSpan w:val="5"/>
            <w:tcBorders>
              <w:bottom w:val="single" w:sz="4" w:space="0" w:color="auto"/>
            </w:tcBorders>
          </w:tcPr>
          <w:p w:rsidR="00B44960" w:rsidRPr="00B44960" w:rsidRDefault="00B44960" w:rsidP="00BA11CF">
            <w:pPr>
              <w:rPr>
                <w:rFonts w:asciiTheme="minorHAnsi" w:hAnsiTheme="minorHAnsi" w:cstheme="minorHAnsi"/>
                <w:b/>
                <w:sz w:val="20"/>
                <w:szCs w:val="20"/>
              </w:rPr>
            </w:pPr>
          </w:p>
        </w:tc>
      </w:tr>
      <w:tr w:rsidR="00225B7E" w:rsidRPr="00B44960" w:rsidTr="000F4CB9">
        <w:trPr>
          <w:gridAfter w:val="2"/>
          <w:wAfter w:w="316" w:type="dxa"/>
        </w:trPr>
        <w:tc>
          <w:tcPr>
            <w:tcW w:w="2746" w:type="dxa"/>
            <w:gridSpan w:val="26"/>
            <w:tcBorders>
              <w:top w:val="single" w:sz="4" w:space="0" w:color="auto"/>
              <w:left w:val="single" w:sz="4" w:space="0" w:color="auto"/>
              <w:bottom w:val="single" w:sz="4" w:space="0" w:color="auto"/>
              <w:right w:val="single" w:sz="4" w:space="0" w:color="auto"/>
            </w:tcBorders>
            <w:shd w:val="clear" w:color="auto" w:fill="FFFF00"/>
            <w:vAlign w:val="center"/>
          </w:tcPr>
          <w:p w:rsidR="00B44960" w:rsidRPr="00B44960" w:rsidRDefault="00B44960" w:rsidP="00BA11CF">
            <w:pPr>
              <w:jc w:val="center"/>
              <w:rPr>
                <w:rFonts w:asciiTheme="minorHAnsi" w:hAnsiTheme="minorHAnsi" w:cstheme="minorHAnsi"/>
                <w:b/>
                <w:sz w:val="18"/>
                <w:szCs w:val="18"/>
              </w:rPr>
            </w:pPr>
            <w:r w:rsidRPr="00B44960">
              <w:rPr>
                <w:rFonts w:asciiTheme="minorHAnsi" w:hAnsiTheme="minorHAnsi" w:cstheme="minorHAnsi"/>
                <w:b/>
                <w:sz w:val="18"/>
                <w:szCs w:val="18"/>
              </w:rPr>
              <w:t>Rozpočet upravený v tis. Kč</w:t>
            </w:r>
          </w:p>
        </w:tc>
        <w:tc>
          <w:tcPr>
            <w:tcW w:w="2449" w:type="dxa"/>
            <w:gridSpan w:val="22"/>
            <w:tcBorders>
              <w:top w:val="single" w:sz="4" w:space="0" w:color="auto"/>
              <w:left w:val="single" w:sz="4" w:space="0" w:color="auto"/>
              <w:bottom w:val="single" w:sz="4" w:space="0" w:color="auto"/>
              <w:right w:val="single" w:sz="4" w:space="0" w:color="auto"/>
            </w:tcBorders>
            <w:shd w:val="clear" w:color="auto" w:fill="FFFF00"/>
            <w:vAlign w:val="center"/>
          </w:tcPr>
          <w:p w:rsidR="00B44960" w:rsidRPr="00B44960" w:rsidRDefault="00B44960" w:rsidP="00BA11CF">
            <w:pPr>
              <w:jc w:val="center"/>
              <w:rPr>
                <w:rFonts w:asciiTheme="minorHAnsi" w:hAnsiTheme="minorHAnsi" w:cstheme="minorHAnsi"/>
                <w:b/>
                <w:sz w:val="18"/>
                <w:szCs w:val="18"/>
              </w:rPr>
            </w:pPr>
            <w:r w:rsidRPr="00B44960">
              <w:rPr>
                <w:rFonts w:asciiTheme="minorHAnsi" w:hAnsiTheme="minorHAnsi" w:cstheme="minorHAnsi"/>
                <w:b/>
                <w:sz w:val="18"/>
                <w:szCs w:val="18"/>
              </w:rPr>
              <w:t>Skutečnost v tis. Kč</w:t>
            </w:r>
          </w:p>
        </w:tc>
        <w:tc>
          <w:tcPr>
            <w:tcW w:w="1398" w:type="dxa"/>
            <w:gridSpan w:val="11"/>
            <w:tcBorders>
              <w:top w:val="single" w:sz="4" w:space="0" w:color="auto"/>
              <w:left w:val="single" w:sz="4" w:space="0" w:color="auto"/>
              <w:bottom w:val="single" w:sz="4" w:space="0" w:color="auto"/>
              <w:right w:val="single" w:sz="4" w:space="0" w:color="auto"/>
            </w:tcBorders>
            <w:shd w:val="clear" w:color="auto" w:fill="FFFF00"/>
            <w:vAlign w:val="center"/>
          </w:tcPr>
          <w:p w:rsidR="00B44960" w:rsidRPr="00B44960" w:rsidRDefault="00B44960" w:rsidP="00BA11CF">
            <w:pPr>
              <w:jc w:val="center"/>
              <w:rPr>
                <w:rFonts w:asciiTheme="minorHAnsi" w:hAnsiTheme="minorHAnsi" w:cstheme="minorHAnsi"/>
                <w:b/>
                <w:sz w:val="18"/>
                <w:szCs w:val="18"/>
              </w:rPr>
            </w:pPr>
            <w:r w:rsidRPr="00B44960">
              <w:rPr>
                <w:rFonts w:asciiTheme="minorHAnsi" w:hAnsiTheme="minorHAnsi" w:cstheme="minorHAnsi"/>
                <w:b/>
                <w:sz w:val="18"/>
                <w:szCs w:val="18"/>
              </w:rPr>
              <w:t>SK/RU v %</w:t>
            </w:r>
          </w:p>
        </w:tc>
        <w:tc>
          <w:tcPr>
            <w:tcW w:w="2693" w:type="dxa"/>
            <w:gridSpan w:val="22"/>
            <w:tcBorders>
              <w:top w:val="single" w:sz="4" w:space="0" w:color="auto"/>
              <w:left w:val="single" w:sz="4" w:space="0" w:color="auto"/>
              <w:bottom w:val="single" w:sz="4" w:space="0" w:color="auto"/>
              <w:right w:val="single" w:sz="4" w:space="0" w:color="auto"/>
            </w:tcBorders>
            <w:shd w:val="clear" w:color="auto" w:fill="FFFF00"/>
            <w:vAlign w:val="center"/>
          </w:tcPr>
          <w:p w:rsidR="00B44960" w:rsidRPr="00B44960" w:rsidRDefault="00B44960" w:rsidP="00BA11CF">
            <w:pPr>
              <w:jc w:val="center"/>
              <w:rPr>
                <w:rFonts w:asciiTheme="minorHAnsi" w:hAnsiTheme="minorHAnsi" w:cstheme="minorHAnsi"/>
                <w:b/>
                <w:sz w:val="18"/>
                <w:szCs w:val="18"/>
              </w:rPr>
            </w:pPr>
            <w:r w:rsidRPr="00B44960">
              <w:rPr>
                <w:rFonts w:asciiTheme="minorHAnsi" w:hAnsiTheme="minorHAnsi" w:cstheme="minorHAnsi"/>
                <w:b/>
                <w:sz w:val="18"/>
                <w:szCs w:val="18"/>
              </w:rPr>
              <w:t>Komentář</w:t>
            </w:r>
          </w:p>
        </w:tc>
      </w:tr>
      <w:tr w:rsidR="00225B7E" w:rsidRPr="00B44960" w:rsidTr="000F4CB9">
        <w:trPr>
          <w:gridAfter w:val="2"/>
          <w:wAfter w:w="316" w:type="dxa"/>
        </w:trPr>
        <w:tc>
          <w:tcPr>
            <w:tcW w:w="2746" w:type="dxa"/>
            <w:gridSpan w:val="26"/>
            <w:tcBorders>
              <w:top w:val="single" w:sz="4" w:space="0" w:color="auto"/>
              <w:left w:val="single" w:sz="4" w:space="0" w:color="auto"/>
              <w:bottom w:val="single" w:sz="4" w:space="0" w:color="auto"/>
              <w:right w:val="single" w:sz="4" w:space="0" w:color="auto"/>
            </w:tcBorders>
          </w:tcPr>
          <w:p w:rsidR="00B44960" w:rsidRPr="00B44960" w:rsidRDefault="00E101BC" w:rsidP="00BA11CF">
            <w:pPr>
              <w:jc w:val="right"/>
              <w:rPr>
                <w:rFonts w:asciiTheme="minorHAnsi" w:hAnsiTheme="minorHAnsi" w:cstheme="minorHAnsi"/>
                <w:b/>
                <w:sz w:val="18"/>
                <w:szCs w:val="18"/>
              </w:rPr>
            </w:pPr>
            <w:r>
              <w:rPr>
                <w:rFonts w:asciiTheme="minorHAnsi" w:hAnsiTheme="minorHAnsi" w:cstheme="minorHAnsi"/>
                <w:b/>
                <w:sz w:val="18"/>
                <w:szCs w:val="18"/>
              </w:rPr>
              <w:t xml:space="preserve">10 </w:t>
            </w:r>
            <w:r w:rsidR="00B44960" w:rsidRPr="00B44960">
              <w:rPr>
                <w:rFonts w:asciiTheme="minorHAnsi" w:hAnsiTheme="minorHAnsi" w:cstheme="minorHAnsi"/>
                <w:b/>
                <w:sz w:val="18"/>
                <w:szCs w:val="18"/>
              </w:rPr>
              <w:t>175,21</w:t>
            </w:r>
          </w:p>
        </w:tc>
        <w:tc>
          <w:tcPr>
            <w:tcW w:w="2449" w:type="dxa"/>
            <w:gridSpan w:val="22"/>
            <w:tcBorders>
              <w:top w:val="single" w:sz="4" w:space="0" w:color="auto"/>
              <w:left w:val="single" w:sz="4" w:space="0" w:color="auto"/>
              <w:bottom w:val="single" w:sz="4" w:space="0" w:color="auto"/>
              <w:right w:val="single" w:sz="4" w:space="0" w:color="auto"/>
            </w:tcBorders>
          </w:tcPr>
          <w:p w:rsidR="00B44960" w:rsidRPr="00B44960" w:rsidRDefault="00E101BC" w:rsidP="00BA11CF">
            <w:pPr>
              <w:jc w:val="right"/>
              <w:rPr>
                <w:rFonts w:asciiTheme="minorHAnsi" w:hAnsiTheme="minorHAnsi" w:cstheme="minorHAnsi"/>
                <w:b/>
                <w:sz w:val="18"/>
                <w:szCs w:val="18"/>
              </w:rPr>
            </w:pPr>
            <w:r>
              <w:rPr>
                <w:rFonts w:asciiTheme="minorHAnsi" w:hAnsiTheme="minorHAnsi" w:cstheme="minorHAnsi"/>
                <w:b/>
                <w:sz w:val="18"/>
                <w:szCs w:val="18"/>
              </w:rPr>
              <w:t xml:space="preserve">7 </w:t>
            </w:r>
            <w:r w:rsidR="00B44960" w:rsidRPr="00B44960">
              <w:rPr>
                <w:rFonts w:asciiTheme="minorHAnsi" w:hAnsiTheme="minorHAnsi" w:cstheme="minorHAnsi"/>
                <w:b/>
                <w:sz w:val="18"/>
                <w:szCs w:val="18"/>
              </w:rPr>
              <w:t>493,12</w:t>
            </w:r>
          </w:p>
        </w:tc>
        <w:tc>
          <w:tcPr>
            <w:tcW w:w="1398" w:type="dxa"/>
            <w:gridSpan w:val="11"/>
            <w:tcBorders>
              <w:top w:val="single" w:sz="4" w:space="0" w:color="auto"/>
              <w:left w:val="single" w:sz="4" w:space="0" w:color="auto"/>
              <w:bottom w:val="single" w:sz="4" w:space="0" w:color="auto"/>
              <w:right w:val="single" w:sz="4" w:space="0" w:color="auto"/>
            </w:tcBorders>
          </w:tcPr>
          <w:p w:rsidR="00B44960" w:rsidRPr="00B44960" w:rsidRDefault="00B44960" w:rsidP="00B44960">
            <w:pPr>
              <w:jc w:val="center"/>
              <w:rPr>
                <w:rFonts w:asciiTheme="minorHAnsi" w:hAnsiTheme="minorHAnsi" w:cstheme="minorHAnsi"/>
                <w:b/>
                <w:sz w:val="18"/>
                <w:szCs w:val="18"/>
              </w:rPr>
            </w:pPr>
            <w:r w:rsidRPr="00B44960">
              <w:rPr>
                <w:rFonts w:asciiTheme="minorHAnsi" w:hAnsiTheme="minorHAnsi" w:cstheme="minorHAnsi"/>
                <w:b/>
                <w:sz w:val="18"/>
                <w:szCs w:val="18"/>
              </w:rPr>
              <w:t>73,64</w:t>
            </w:r>
          </w:p>
        </w:tc>
        <w:tc>
          <w:tcPr>
            <w:tcW w:w="2693" w:type="dxa"/>
            <w:gridSpan w:val="22"/>
            <w:tcBorders>
              <w:top w:val="single" w:sz="4" w:space="0" w:color="auto"/>
              <w:left w:val="single" w:sz="4" w:space="0" w:color="auto"/>
              <w:bottom w:val="single" w:sz="4" w:space="0" w:color="auto"/>
              <w:right w:val="single" w:sz="4" w:space="0" w:color="auto"/>
            </w:tcBorders>
          </w:tcPr>
          <w:p w:rsidR="00B44960" w:rsidRPr="00B44960" w:rsidRDefault="00B44960" w:rsidP="00BA11CF">
            <w:pPr>
              <w:rPr>
                <w:rFonts w:asciiTheme="minorHAnsi" w:hAnsiTheme="minorHAnsi" w:cstheme="minorHAnsi"/>
                <w:b/>
                <w:sz w:val="18"/>
                <w:szCs w:val="18"/>
              </w:rPr>
            </w:pPr>
            <w:r w:rsidRPr="00B44960">
              <w:rPr>
                <w:rFonts w:asciiTheme="minorHAnsi" w:hAnsiTheme="minorHAnsi" w:cstheme="minorHAnsi"/>
                <w:b/>
                <w:sz w:val="18"/>
                <w:szCs w:val="18"/>
              </w:rPr>
              <w:t>Výdaje před konsolidací</w:t>
            </w:r>
          </w:p>
        </w:tc>
      </w:tr>
      <w:tr w:rsidR="00225B7E" w:rsidRPr="00B44960" w:rsidTr="000F4CB9">
        <w:trPr>
          <w:gridAfter w:val="2"/>
          <w:wAfter w:w="316" w:type="dxa"/>
        </w:trPr>
        <w:tc>
          <w:tcPr>
            <w:tcW w:w="2746" w:type="dxa"/>
            <w:gridSpan w:val="26"/>
            <w:tcBorders>
              <w:top w:val="single" w:sz="4" w:space="0" w:color="auto"/>
              <w:left w:val="single" w:sz="4" w:space="0" w:color="auto"/>
              <w:bottom w:val="single" w:sz="4" w:space="0" w:color="auto"/>
              <w:right w:val="single" w:sz="4" w:space="0" w:color="auto"/>
            </w:tcBorders>
          </w:tcPr>
          <w:p w:rsidR="00B44960" w:rsidRPr="00B44960" w:rsidRDefault="00E101BC" w:rsidP="00BA11CF">
            <w:pPr>
              <w:jc w:val="right"/>
              <w:rPr>
                <w:rFonts w:asciiTheme="minorHAnsi" w:hAnsiTheme="minorHAnsi" w:cstheme="minorHAnsi"/>
                <w:b/>
                <w:sz w:val="18"/>
                <w:szCs w:val="18"/>
              </w:rPr>
            </w:pPr>
            <w:r>
              <w:rPr>
                <w:rFonts w:asciiTheme="minorHAnsi" w:hAnsiTheme="minorHAnsi" w:cstheme="minorHAnsi"/>
                <w:b/>
                <w:sz w:val="18"/>
                <w:szCs w:val="18"/>
              </w:rPr>
              <w:t xml:space="preserve">10 </w:t>
            </w:r>
            <w:r w:rsidR="00B44960" w:rsidRPr="00B44960">
              <w:rPr>
                <w:rFonts w:asciiTheme="minorHAnsi" w:hAnsiTheme="minorHAnsi" w:cstheme="minorHAnsi"/>
                <w:b/>
                <w:sz w:val="18"/>
                <w:szCs w:val="18"/>
              </w:rPr>
              <w:t>175,21</w:t>
            </w:r>
          </w:p>
        </w:tc>
        <w:tc>
          <w:tcPr>
            <w:tcW w:w="2449" w:type="dxa"/>
            <w:gridSpan w:val="22"/>
            <w:tcBorders>
              <w:top w:val="single" w:sz="4" w:space="0" w:color="auto"/>
              <w:left w:val="single" w:sz="4" w:space="0" w:color="auto"/>
              <w:bottom w:val="single" w:sz="4" w:space="0" w:color="auto"/>
              <w:right w:val="single" w:sz="4" w:space="0" w:color="auto"/>
            </w:tcBorders>
          </w:tcPr>
          <w:p w:rsidR="00B44960" w:rsidRPr="00B44960" w:rsidRDefault="00E101BC" w:rsidP="00BA11CF">
            <w:pPr>
              <w:jc w:val="right"/>
              <w:rPr>
                <w:rFonts w:asciiTheme="minorHAnsi" w:hAnsiTheme="minorHAnsi" w:cstheme="minorHAnsi"/>
                <w:b/>
                <w:sz w:val="18"/>
                <w:szCs w:val="18"/>
              </w:rPr>
            </w:pPr>
            <w:r>
              <w:rPr>
                <w:rFonts w:asciiTheme="minorHAnsi" w:hAnsiTheme="minorHAnsi" w:cstheme="minorHAnsi"/>
                <w:b/>
                <w:sz w:val="18"/>
                <w:szCs w:val="18"/>
              </w:rPr>
              <w:t xml:space="preserve">7 </w:t>
            </w:r>
            <w:r w:rsidR="00B44960" w:rsidRPr="00B44960">
              <w:rPr>
                <w:rFonts w:asciiTheme="minorHAnsi" w:hAnsiTheme="minorHAnsi" w:cstheme="minorHAnsi"/>
                <w:b/>
                <w:sz w:val="18"/>
                <w:szCs w:val="18"/>
              </w:rPr>
              <w:t>493,12</w:t>
            </w:r>
          </w:p>
        </w:tc>
        <w:tc>
          <w:tcPr>
            <w:tcW w:w="1398" w:type="dxa"/>
            <w:gridSpan w:val="11"/>
            <w:tcBorders>
              <w:top w:val="single" w:sz="4" w:space="0" w:color="auto"/>
              <w:left w:val="single" w:sz="4" w:space="0" w:color="auto"/>
              <w:bottom w:val="single" w:sz="4" w:space="0" w:color="auto"/>
              <w:right w:val="single" w:sz="4" w:space="0" w:color="auto"/>
            </w:tcBorders>
          </w:tcPr>
          <w:p w:rsidR="00B44960" w:rsidRPr="00B44960" w:rsidRDefault="00B44960" w:rsidP="00B44960">
            <w:pPr>
              <w:jc w:val="center"/>
              <w:rPr>
                <w:rFonts w:asciiTheme="minorHAnsi" w:hAnsiTheme="minorHAnsi" w:cstheme="minorHAnsi"/>
                <w:b/>
                <w:sz w:val="18"/>
                <w:szCs w:val="18"/>
              </w:rPr>
            </w:pPr>
            <w:r w:rsidRPr="00B44960">
              <w:rPr>
                <w:rFonts w:asciiTheme="minorHAnsi" w:hAnsiTheme="minorHAnsi" w:cstheme="minorHAnsi"/>
                <w:b/>
                <w:sz w:val="18"/>
                <w:szCs w:val="18"/>
              </w:rPr>
              <w:t>73,64</w:t>
            </w:r>
          </w:p>
        </w:tc>
        <w:tc>
          <w:tcPr>
            <w:tcW w:w="2693" w:type="dxa"/>
            <w:gridSpan w:val="22"/>
            <w:tcBorders>
              <w:top w:val="single" w:sz="4" w:space="0" w:color="auto"/>
              <w:left w:val="single" w:sz="4" w:space="0" w:color="auto"/>
              <w:bottom w:val="single" w:sz="4" w:space="0" w:color="auto"/>
              <w:right w:val="single" w:sz="4" w:space="0" w:color="auto"/>
            </w:tcBorders>
          </w:tcPr>
          <w:p w:rsidR="00B44960" w:rsidRPr="00B44960" w:rsidRDefault="00B44960" w:rsidP="00BA11CF">
            <w:pPr>
              <w:rPr>
                <w:rFonts w:asciiTheme="minorHAnsi" w:hAnsiTheme="minorHAnsi" w:cstheme="minorHAnsi"/>
                <w:b/>
                <w:sz w:val="18"/>
                <w:szCs w:val="18"/>
              </w:rPr>
            </w:pPr>
            <w:r w:rsidRPr="00B44960">
              <w:rPr>
                <w:rFonts w:asciiTheme="minorHAnsi" w:hAnsiTheme="minorHAnsi" w:cstheme="minorHAnsi"/>
                <w:b/>
                <w:sz w:val="18"/>
                <w:szCs w:val="18"/>
              </w:rPr>
              <w:t>Výdaje po konsolidaci</w:t>
            </w:r>
          </w:p>
        </w:tc>
      </w:tr>
      <w:tr w:rsidR="00243915" w:rsidRPr="00B44960" w:rsidTr="00E101BC">
        <w:tc>
          <w:tcPr>
            <w:tcW w:w="457" w:type="dxa"/>
            <w:gridSpan w:val="3"/>
            <w:tcBorders>
              <w:top w:val="single" w:sz="4" w:space="0" w:color="auto"/>
            </w:tcBorders>
          </w:tcPr>
          <w:p w:rsidR="00B44960" w:rsidRPr="00B44960" w:rsidRDefault="00B44960" w:rsidP="00BA11CF">
            <w:pPr>
              <w:rPr>
                <w:rFonts w:asciiTheme="minorHAnsi" w:hAnsiTheme="minorHAnsi" w:cstheme="minorHAnsi"/>
                <w:b/>
                <w:sz w:val="20"/>
                <w:szCs w:val="20"/>
              </w:rPr>
            </w:pPr>
          </w:p>
        </w:tc>
        <w:tc>
          <w:tcPr>
            <w:tcW w:w="324" w:type="dxa"/>
            <w:gridSpan w:val="2"/>
            <w:tcBorders>
              <w:top w:val="single" w:sz="4" w:space="0" w:color="auto"/>
            </w:tcBorders>
          </w:tcPr>
          <w:p w:rsidR="00B44960" w:rsidRPr="00B44960" w:rsidRDefault="00B44960" w:rsidP="00BA11CF">
            <w:pPr>
              <w:rPr>
                <w:rFonts w:asciiTheme="minorHAnsi" w:hAnsiTheme="minorHAnsi" w:cstheme="minorHAnsi"/>
                <w:b/>
                <w:sz w:val="20"/>
                <w:szCs w:val="20"/>
              </w:rPr>
            </w:pPr>
          </w:p>
        </w:tc>
        <w:tc>
          <w:tcPr>
            <w:tcW w:w="615" w:type="dxa"/>
            <w:gridSpan w:val="5"/>
            <w:tcBorders>
              <w:top w:val="single" w:sz="4" w:space="0" w:color="auto"/>
            </w:tcBorders>
          </w:tcPr>
          <w:p w:rsidR="00B44960" w:rsidRPr="00B44960" w:rsidRDefault="00B44960" w:rsidP="00BA11CF">
            <w:pPr>
              <w:rPr>
                <w:rFonts w:asciiTheme="minorHAnsi" w:hAnsiTheme="minorHAnsi" w:cstheme="minorHAnsi"/>
                <w:b/>
                <w:sz w:val="20"/>
                <w:szCs w:val="20"/>
              </w:rPr>
            </w:pPr>
          </w:p>
        </w:tc>
        <w:tc>
          <w:tcPr>
            <w:tcW w:w="293" w:type="dxa"/>
            <w:gridSpan w:val="5"/>
            <w:tcBorders>
              <w:top w:val="single" w:sz="4" w:space="0" w:color="auto"/>
            </w:tcBorders>
          </w:tcPr>
          <w:p w:rsidR="00B44960" w:rsidRPr="00B44960" w:rsidRDefault="00B44960" w:rsidP="00BA11CF">
            <w:pPr>
              <w:rPr>
                <w:rFonts w:asciiTheme="minorHAnsi" w:hAnsiTheme="minorHAnsi" w:cstheme="minorHAnsi"/>
                <w:b/>
                <w:sz w:val="20"/>
                <w:szCs w:val="20"/>
              </w:rPr>
            </w:pPr>
          </w:p>
        </w:tc>
        <w:tc>
          <w:tcPr>
            <w:tcW w:w="829" w:type="dxa"/>
            <w:gridSpan w:val="6"/>
            <w:tcBorders>
              <w:top w:val="single" w:sz="4" w:space="0" w:color="auto"/>
            </w:tcBorders>
          </w:tcPr>
          <w:p w:rsidR="00B44960" w:rsidRPr="00B44960" w:rsidRDefault="00B44960" w:rsidP="00BA11CF">
            <w:pPr>
              <w:rPr>
                <w:rFonts w:asciiTheme="minorHAnsi" w:hAnsiTheme="minorHAnsi" w:cstheme="minorHAnsi"/>
                <w:b/>
                <w:sz w:val="20"/>
                <w:szCs w:val="20"/>
              </w:rPr>
            </w:pPr>
          </w:p>
        </w:tc>
        <w:tc>
          <w:tcPr>
            <w:tcW w:w="310" w:type="dxa"/>
            <w:gridSpan w:val="8"/>
            <w:tcBorders>
              <w:top w:val="single" w:sz="4" w:space="0" w:color="auto"/>
            </w:tcBorders>
          </w:tcPr>
          <w:p w:rsidR="00B44960" w:rsidRPr="00B44960" w:rsidRDefault="00B44960" w:rsidP="00BA11CF">
            <w:pPr>
              <w:rPr>
                <w:rFonts w:asciiTheme="minorHAnsi" w:hAnsiTheme="minorHAnsi" w:cstheme="minorHAnsi"/>
                <w:b/>
                <w:sz w:val="20"/>
                <w:szCs w:val="20"/>
              </w:rPr>
            </w:pPr>
          </w:p>
        </w:tc>
        <w:tc>
          <w:tcPr>
            <w:tcW w:w="505" w:type="dxa"/>
            <w:gridSpan w:val="3"/>
            <w:tcBorders>
              <w:top w:val="single" w:sz="4" w:space="0" w:color="auto"/>
            </w:tcBorders>
          </w:tcPr>
          <w:p w:rsidR="00B44960" w:rsidRPr="00B44960" w:rsidRDefault="00B44960" w:rsidP="00BA11CF">
            <w:pPr>
              <w:rPr>
                <w:rFonts w:asciiTheme="minorHAnsi" w:hAnsiTheme="minorHAnsi" w:cstheme="minorHAnsi"/>
                <w:b/>
                <w:sz w:val="20"/>
                <w:szCs w:val="20"/>
              </w:rPr>
            </w:pPr>
          </w:p>
        </w:tc>
        <w:tc>
          <w:tcPr>
            <w:tcW w:w="597" w:type="dxa"/>
            <w:gridSpan w:val="3"/>
            <w:tcBorders>
              <w:top w:val="single" w:sz="4" w:space="0" w:color="auto"/>
            </w:tcBorders>
          </w:tcPr>
          <w:p w:rsidR="00B44960" w:rsidRPr="00B44960" w:rsidRDefault="00B44960" w:rsidP="00BA11CF">
            <w:pPr>
              <w:rPr>
                <w:rFonts w:asciiTheme="minorHAnsi" w:hAnsiTheme="minorHAnsi" w:cstheme="minorHAnsi"/>
                <w:b/>
                <w:sz w:val="20"/>
                <w:szCs w:val="20"/>
              </w:rPr>
            </w:pPr>
          </w:p>
        </w:tc>
        <w:tc>
          <w:tcPr>
            <w:tcW w:w="352" w:type="dxa"/>
            <w:gridSpan w:val="5"/>
            <w:tcBorders>
              <w:top w:val="single" w:sz="4" w:space="0" w:color="auto"/>
            </w:tcBorders>
          </w:tcPr>
          <w:p w:rsidR="00B44960" w:rsidRPr="00B44960" w:rsidRDefault="00B44960" w:rsidP="00BA11CF">
            <w:pPr>
              <w:rPr>
                <w:rFonts w:asciiTheme="minorHAnsi" w:hAnsiTheme="minorHAnsi" w:cstheme="minorHAnsi"/>
                <w:b/>
                <w:sz w:val="20"/>
                <w:szCs w:val="20"/>
              </w:rPr>
            </w:pPr>
          </w:p>
        </w:tc>
        <w:tc>
          <w:tcPr>
            <w:tcW w:w="752" w:type="dxa"/>
            <w:gridSpan w:val="7"/>
            <w:tcBorders>
              <w:top w:val="single" w:sz="4" w:space="0" w:color="auto"/>
            </w:tcBorders>
          </w:tcPr>
          <w:p w:rsidR="00B44960" w:rsidRPr="00B44960" w:rsidRDefault="00B44960" w:rsidP="00BA11CF">
            <w:pPr>
              <w:rPr>
                <w:rFonts w:asciiTheme="minorHAnsi" w:hAnsiTheme="minorHAnsi" w:cstheme="minorHAnsi"/>
                <w:b/>
                <w:sz w:val="20"/>
                <w:szCs w:val="20"/>
              </w:rPr>
            </w:pPr>
          </w:p>
        </w:tc>
        <w:tc>
          <w:tcPr>
            <w:tcW w:w="236" w:type="dxa"/>
            <w:gridSpan w:val="4"/>
            <w:tcBorders>
              <w:top w:val="single" w:sz="4" w:space="0" w:color="auto"/>
            </w:tcBorders>
          </w:tcPr>
          <w:p w:rsidR="00B44960" w:rsidRPr="00B44960" w:rsidRDefault="00B44960" w:rsidP="00BA11CF">
            <w:pPr>
              <w:rPr>
                <w:rFonts w:asciiTheme="minorHAnsi" w:hAnsiTheme="minorHAnsi" w:cstheme="minorHAnsi"/>
                <w:b/>
                <w:sz w:val="20"/>
                <w:szCs w:val="20"/>
              </w:rPr>
            </w:pPr>
          </w:p>
        </w:tc>
        <w:tc>
          <w:tcPr>
            <w:tcW w:w="526" w:type="dxa"/>
            <w:gridSpan w:val="3"/>
            <w:tcBorders>
              <w:top w:val="single" w:sz="4" w:space="0" w:color="auto"/>
            </w:tcBorders>
          </w:tcPr>
          <w:p w:rsidR="00B44960" w:rsidRPr="00B44960" w:rsidRDefault="00B44960" w:rsidP="00BA11CF">
            <w:pPr>
              <w:rPr>
                <w:rFonts w:asciiTheme="minorHAnsi" w:hAnsiTheme="minorHAnsi" w:cstheme="minorHAnsi"/>
                <w:b/>
                <w:sz w:val="20"/>
                <w:szCs w:val="20"/>
              </w:rPr>
            </w:pPr>
          </w:p>
        </w:tc>
        <w:tc>
          <w:tcPr>
            <w:tcW w:w="160" w:type="dxa"/>
            <w:tcBorders>
              <w:top w:val="single" w:sz="4" w:space="0" w:color="auto"/>
            </w:tcBorders>
          </w:tcPr>
          <w:p w:rsidR="00B44960" w:rsidRPr="00B44960" w:rsidRDefault="00B44960" w:rsidP="00BA11CF">
            <w:pPr>
              <w:rPr>
                <w:rFonts w:asciiTheme="minorHAnsi" w:hAnsiTheme="minorHAnsi" w:cstheme="minorHAnsi"/>
                <w:b/>
                <w:sz w:val="20"/>
                <w:szCs w:val="20"/>
              </w:rPr>
            </w:pPr>
          </w:p>
        </w:tc>
        <w:tc>
          <w:tcPr>
            <w:tcW w:w="760" w:type="dxa"/>
            <w:gridSpan w:val="5"/>
            <w:tcBorders>
              <w:top w:val="single" w:sz="4" w:space="0" w:color="auto"/>
            </w:tcBorders>
          </w:tcPr>
          <w:p w:rsidR="00B44960" w:rsidRPr="00B44960" w:rsidRDefault="00B44960" w:rsidP="00BA11CF">
            <w:pPr>
              <w:rPr>
                <w:rFonts w:asciiTheme="minorHAnsi" w:hAnsiTheme="minorHAnsi" w:cstheme="minorHAnsi"/>
                <w:b/>
                <w:sz w:val="20"/>
                <w:szCs w:val="20"/>
              </w:rPr>
            </w:pPr>
          </w:p>
        </w:tc>
        <w:tc>
          <w:tcPr>
            <w:tcW w:w="460" w:type="dxa"/>
            <w:gridSpan w:val="6"/>
            <w:tcBorders>
              <w:top w:val="single" w:sz="4" w:space="0" w:color="auto"/>
            </w:tcBorders>
          </w:tcPr>
          <w:p w:rsidR="00B44960" w:rsidRPr="00B44960" w:rsidRDefault="00B44960" w:rsidP="00BA11CF">
            <w:pPr>
              <w:rPr>
                <w:rFonts w:asciiTheme="minorHAnsi" w:hAnsiTheme="minorHAnsi" w:cstheme="minorHAnsi"/>
                <w:b/>
                <w:sz w:val="20"/>
                <w:szCs w:val="20"/>
              </w:rPr>
            </w:pPr>
          </w:p>
        </w:tc>
        <w:tc>
          <w:tcPr>
            <w:tcW w:w="460" w:type="dxa"/>
            <w:gridSpan w:val="2"/>
            <w:tcBorders>
              <w:top w:val="single" w:sz="4" w:space="0" w:color="auto"/>
            </w:tcBorders>
          </w:tcPr>
          <w:p w:rsidR="00B44960" w:rsidRPr="00B44960" w:rsidRDefault="00B44960" w:rsidP="00BA11CF">
            <w:pPr>
              <w:rPr>
                <w:rFonts w:asciiTheme="minorHAnsi" w:hAnsiTheme="minorHAnsi" w:cstheme="minorHAnsi"/>
                <w:b/>
                <w:sz w:val="20"/>
                <w:szCs w:val="20"/>
              </w:rPr>
            </w:pPr>
          </w:p>
        </w:tc>
        <w:tc>
          <w:tcPr>
            <w:tcW w:w="460" w:type="dxa"/>
            <w:gridSpan w:val="4"/>
            <w:tcBorders>
              <w:top w:val="single" w:sz="4" w:space="0" w:color="auto"/>
            </w:tcBorders>
          </w:tcPr>
          <w:p w:rsidR="00B44960" w:rsidRPr="00B44960" w:rsidRDefault="00B44960" w:rsidP="00BA11CF">
            <w:pPr>
              <w:rPr>
                <w:rFonts w:asciiTheme="minorHAnsi" w:hAnsiTheme="minorHAnsi" w:cstheme="minorHAnsi"/>
                <w:b/>
                <w:sz w:val="20"/>
                <w:szCs w:val="20"/>
              </w:rPr>
            </w:pPr>
          </w:p>
        </w:tc>
        <w:tc>
          <w:tcPr>
            <w:tcW w:w="601" w:type="dxa"/>
            <w:gridSpan w:val="3"/>
            <w:tcBorders>
              <w:top w:val="single" w:sz="4" w:space="0" w:color="auto"/>
            </w:tcBorders>
          </w:tcPr>
          <w:p w:rsidR="00B44960" w:rsidRPr="00B44960" w:rsidRDefault="00B44960" w:rsidP="00BA11CF">
            <w:pPr>
              <w:rPr>
                <w:rFonts w:asciiTheme="minorHAnsi" w:hAnsiTheme="minorHAnsi" w:cstheme="minorHAnsi"/>
                <w:b/>
                <w:sz w:val="20"/>
                <w:szCs w:val="20"/>
              </w:rPr>
            </w:pPr>
          </w:p>
        </w:tc>
        <w:tc>
          <w:tcPr>
            <w:tcW w:w="459" w:type="dxa"/>
            <w:gridSpan w:val="3"/>
            <w:tcBorders>
              <w:top w:val="single" w:sz="4" w:space="0" w:color="auto"/>
            </w:tcBorders>
          </w:tcPr>
          <w:p w:rsidR="00B44960" w:rsidRPr="00B44960" w:rsidRDefault="00B44960" w:rsidP="00BA11CF">
            <w:pPr>
              <w:rPr>
                <w:rFonts w:asciiTheme="minorHAnsi" w:hAnsiTheme="minorHAnsi" w:cstheme="minorHAnsi"/>
                <w:b/>
                <w:sz w:val="20"/>
                <w:szCs w:val="20"/>
              </w:rPr>
            </w:pPr>
          </w:p>
        </w:tc>
        <w:tc>
          <w:tcPr>
            <w:tcW w:w="446" w:type="dxa"/>
            <w:gridSpan w:val="5"/>
            <w:tcBorders>
              <w:top w:val="single" w:sz="4" w:space="0" w:color="auto"/>
            </w:tcBorders>
          </w:tcPr>
          <w:p w:rsidR="00B44960" w:rsidRPr="00B44960" w:rsidRDefault="00B44960" w:rsidP="00BA11CF">
            <w:pPr>
              <w:rPr>
                <w:rFonts w:asciiTheme="minorHAnsi" w:hAnsiTheme="minorHAnsi" w:cstheme="minorHAnsi"/>
                <w:b/>
                <w:sz w:val="20"/>
                <w:szCs w:val="20"/>
              </w:rPr>
            </w:pPr>
          </w:p>
        </w:tc>
      </w:tr>
      <w:tr w:rsidR="00B44960" w:rsidRPr="00B44960" w:rsidTr="000F4CB9">
        <w:trPr>
          <w:gridAfter w:val="2"/>
          <w:wAfter w:w="316" w:type="dxa"/>
        </w:trPr>
        <w:tc>
          <w:tcPr>
            <w:tcW w:w="9286" w:type="dxa"/>
            <w:gridSpan w:val="81"/>
          </w:tcPr>
          <w:p w:rsidR="00B44960" w:rsidRPr="00B44960" w:rsidRDefault="00B44960" w:rsidP="00BA11CF">
            <w:pPr>
              <w:rPr>
                <w:rFonts w:asciiTheme="minorHAnsi" w:hAnsiTheme="minorHAnsi" w:cstheme="minorHAnsi"/>
                <w:b/>
                <w:sz w:val="20"/>
                <w:szCs w:val="20"/>
              </w:rPr>
            </w:pPr>
            <w:r w:rsidRPr="00B44960">
              <w:rPr>
                <w:rFonts w:asciiTheme="minorHAnsi" w:hAnsiTheme="minorHAnsi" w:cstheme="minorHAnsi"/>
                <w:b/>
                <w:sz w:val="20"/>
                <w:szCs w:val="20"/>
              </w:rPr>
              <w:t>Stručný komentář k celkovému vývoji čerpání výdajů kapitoly ve sledovaném období</w:t>
            </w:r>
          </w:p>
        </w:tc>
      </w:tr>
      <w:tr w:rsidR="00B44960" w:rsidRPr="00B44960" w:rsidTr="000F4CB9">
        <w:trPr>
          <w:gridAfter w:val="2"/>
          <w:wAfter w:w="316" w:type="dxa"/>
        </w:trPr>
        <w:tc>
          <w:tcPr>
            <w:tcW w:w="9286" w:type="dxa"/>
            <w:gridSpan w:val="81"/>
            <w:tcBorders>
              <w:top w:val="single" w:sz="6" w:space="0" w:color="auto"/>
              <w:left w:val="single" w:sz="6" w:space="0" w:color="auto"/>
              <w:bottom w:val="single" w:sz="6" w:space="0" w:color="auto"/>
              <w:right w:val="single" w:sz="6" w:space="0" w:color="auto"/>
            </w:tcBorders>
          </w:tcPr>
          <w:p w:rsidR="00B44960" w:rsidRPr="00B44960" w:rsidRDefault="00B44960" w:rsidP="00BA11CF">
            <w:pPr>
              <w:spacing w:before="40"/>
              <w:jc w:val="both"/>
              <w:rPr>
                <w:rFonts w:asciiTheme="minorHAnsi" w:hAnsiTheme="minorHAnsi" w:cstheme="minorHAnsi"/>
                <w:sz w:val="18"/>
                <w:szCs w:val="18"/>
              </w:rPr>
            </w:pPr>
            <w:r w:rsidRPr="00B44960">
              <w:rPr>
                <w:rFonts w:asciiTheme="minorHAnsi" w:hAnsiTheme="minorHAnsi" w:cstheme="minorHAnsi"/>
                <w:b/>
                <w:sz w:val="18"/>
                <w:szCs w:val="18"/>
              </w:rPr>
              <w:t>Celkové čerpání výdajových položek kap. 21 bylo k 31. 12. 2022 ve výši 7.493.122,21 Kč</w:t>
            </w:r>
            <w:r w:rsidRPr="00B44960">
              <w:rPr>
                <w:rFonts w:asciiTheme="minorHAnsi" w:hAnsiTheme="minorHAnsi" w:cstheme="minorHAnsi"/>
                <w:sz w:val="18"/>
                <w:szCs w:val="18"/>
              </w:rPr>
              <w:t xml:space="preserve"> (tj. čerpání na 73,64 %).</w:t>
            </w:r>
          </w:p>
          <w:p w:rsidR="00B44960" w:rsidRPr="00B44960" w:rsidRDefault="00B44960" w:rsidP="00BA11CF">
            <w:pPr>
              <w:jc w:val="both"/>
              <w:rPr>
                <w:rFonts w:asciiTheme="minorHAnsi" w:hAnsiTheme="minorHAnsi" w:cstheme="minorHAnsi"/>
                <w:sz w:val="18"/>
                <w:szCs w:val="18"/>
              </w:rPr>
            </w:pPr>
            <w:r w:rsidRPr="00B44960">
              <w:rPr>
                <w:rFonts w:asciiTheme="minorHAnsi" w:hAnsiTheme="minorHAnsi" w:cstheme="minorHAnsi"/>
                <w:sz w:val="18"/>
                <w:szCs w:val="18"/>
              </w:rPr>
              <w:t>V průběhu roku 2022 byly z kap. 21 uvolňovány finanční prostředky především na:</w:t>
            </w:r>
          </w:p>
          <w:p w:rsidR="00B44960" w:rsidRPr="00B44960" w:rsidRDefault="00B44960" w:rsidP="00B44960">
            <w:pPr>
              <w:pStyle w:val="Odstavecseseznamem"/>
              <w:numPr>
                <w:ilvl w:val="0"/>
                <w:numId w:val="50"/>
              </w:numPr>
              <w:ind w:left="286" w:hanging="293"/>
              <w:contextualSpacing/>
              <w:rPr>
                <w:rFonts w:asciiTheme="minorHAnsi" w:hAnsiTheme="minorHAnsi" w:cstheme="minorHAnsi"/>
                <w:sz w:val="18"/>
                <w:szCs w:val="18"/>
              </w:rPr>
            </w:pPr>
            <w:r w:rsidRPr="00B44960">
              <w:rPr>
                <w:rFonts w:asciiTheme="minorHAnsi" w:hAnsiTheme="minorHAnsi" w:cstheme="minorHAnsi"/>
                <w:b/>
                <w:spacing w:val="-2"/>
                <w:sz w:val="18"/>
                <w:szCs w:val="18"/>
              </w:rPr>
              <w:t>Provoz příspěvkové organizace Dětská skupina Jesle Prostějov</w:t>
            </w:r>
            <w:r w:rsidRPr="00B44960">
              <w:rPr>
                <w:rFonts w:asciiTheme="minorHAnsi" w:hAnsiTheme="minorHAnsi" w:cstheme="minorHAnsi"/>
                <w:spacing w:val="-2"/>
                <w:sz w:val="18"/>
                <w:szCs w:val="18"/>
              </w:rPr>
              <w:t xml:space="preserve"> (dále jen „jesle“) – jesle obdržely v závěru roku 2021</w:t>
            </w:r>
            <w:r w:rsidRPr="00B44960">
              <w:rPr>
                <w:rFonts w:asciiTheme="minorHAnsi" w:hAnsiTheme="minorHAnsi" w:cstheme="minorHAnsi"/>
                <w:sz w:val="18"/>
                <w:szCs w:val="18"/>
              </w:rPr>
              <w:t xml:space="preserve"> oprávnění MPSV ČR na provozování dětské skupiny dle zákona č. 247/2014 Sb., o poskytování služby péče o dítě v dětské skupině a o změně souvisejících zákonů, v platném znění; od 1. 1. 2022 tak jesle mohou žádat o státní příspěvek </w:t>
            </w:r>
            <w:r w:rsidRPr="00B44960">
              <w:rPr>
                <w:rFonts w:asciiTheme="minorHAnsi" w:hAnsiTheme="minorHAnsi" w:cstheme="minorHAnsi"/>
                <w:spacing w:val="-2"/>
                <w:sz w:val="18"/>
                <w:szCs w:val="18"/>
              </w:rPr>
              <w:t>na úhradu provozních nákladů. V průběhu roku byla v jeslích realizována např. obnova části značně zastaralého vybavení</w:t>
            </w:r>
            <w:r w:rsidRPr="00B44960">
              <w:rPr>
                <w:rFonts w:asciiTheme="minorHAnsi" w:hAnsiTheme="minorHAnsi" w:cstheme="minorHAnsi"/>
                <w:sz w:val="18"/>
                <w:szCs w:val="18"/>
              </w:rPr>
              <w:t xml:space="preserve"> a byly doplněny nové herní prvky pro děti, dále byla na DPP zřízena pozice „provozář“, jelikož údržba prostor jeslí byla doposud prováděna především dobrovolnicky. V závěru roku pak byla do rozpočtu města vrácena část rozpočtovaného neinvestičního příspěvku zřizovatele na provoz jeslí ve výši</w:t>
            </w:r>
            <w:r>
              <w:rPr>
                <w:rFonts w:asciiTheme="minorHAnsi" w:hAnsiTheme="minorHAnsi" w:cstheme="minorHAnsi"/>
                <w:sz w:val="18"/>
                <w:szCs w:val="18"/>
              </w:rPr>
              <w:t xml:space="preserve"> 1.800.000 </w:t>
            </w:r>
            <w:r w:rsidRPr="00B44960">
              <w:rPr>
                <w:rFonts w:asciiTheme="minorHAnsi" w:hAnsiTheme="minorHAnsi" w:cstheme="minorHAnsi"/>
                <w:sz w:val="18"/>
                <w:szCs w:val="18"/>
              </w:rPr>
              <w:t>Kč.</w:t>
            </w:r>
          </w:p>
          <w:p w:rsidR="00B44960" w:rsidRPr="00B44960" w:rsidRDefault="00B44960" w:rsidP="00B44960">
            <w:pPr>
              <w:pStyle w:val="Odstavecseseznamem"/>
              <w:numPr>
                <w:ilvl w:val="0"/>
                <w:numId w:val="50"/>
              </w:numPr>
              <w:ind w:left="286" w:hanging="293"/>
              <w:contextualSpacing/>
              <w:rPr>
                <w:rFonts w:asciiTheme="minorHAnsi" w:hAnsiTheme="minorHAnsi" w:cstheme="minorHAnsi"/>
                <w:sz w:val="18"/>
                <w:szCs w:val="18"/>
              </w:rPr>
            </w:pPr>
            <w:r w:rsidRPr="00B44960">
              <w:rPr>
                <w:rFonts w:asciiTheme="minorHAnsi" w:hAnsiTheme="minorHAnsi" w:cstheme="minorHAnsi"/>
                <w:b/>
                <w:spacing w:val="-2"/>
                <w:sz w:val="18"/>
                <w:szCs w:val="18"/>
              </w:rPr>
              <w:t xml:space="preserve">Klub důchodců Prostějov, Svatoplukova 15, Prostějov </w:t>
            </w:r>
            <w:r w:rsidRPr="00B44960">
              <w:rPr>
                <w:rFonts w:asciiTheme="minorHAnsi" w:hAnsiTheme="minorHAnsi" w:cstheme="minorHAnsi"/>
                <w:spacing w:val="-2"/>
                <w:sz w:val="18"/>
                <w:szCs w:val="18"/>
              </w:rPr>
              <w:t>(čerpání položek rozpočtu ve výši 88.975,14 Kč, tj. čerpání na 91,03 %) – činnost klubu byla v minulém roce přerušena z důvodu epidemiologické situace již jen krátce (uzavření v období leden-březen 2022). Pro členy klubu tak již bylo možné v průběhu roku realizovat obvyklé akce.</w:t>
            </w:r>
          </w:p>
          <w:p w:rsidR="00B44960" w:rsidRPr="00B44960" w:rsidRDefault="00B44960" w:rsidP="00B44960">
            <w:pPr>
              <w:pStyle w:val="Odstavecseseznamem"/>
              <w:numPr>
                <w:ilvl w:val="0"/>
                <w:numId w:val="50"/>
              </w:numPr>
              <w:ind w:left="286" w:hanging="293"/>
              <w:contextualSpacing/>
              <w:rPr>
                <w:rFonts w:asciiTheme="minorHAnsi" w:hAnsiTheme="minorHAnsi" w:cstheme="minorHAnsi"/>
                <w:sz w:val="18"/>
                <w:szCs w:val="18"/>
              </w:rPr>
            </w:pPr>
            <w:r w:rsidRPr="00B44960">
              <w:rPr>
                <w:rFonts w:asciiTheme="minorHAnsi" w:hAnsiTheme="minorHAnsi" w:cstheme="minorHAnsi"/>
                <w:b/>
                <w:spacing w:val="-2"/>
                <w:sz w:val="18"/>
                <w:szCs w:val="18"/>
              </w:rPr>
              <w:t xml:space="preserve">Senior taxi Prostějov </w:t>
            </w:r>
            <w:r w:rsidRPr="00B44960">
              <w:rPr>
                <w:rFonts w:asciiTheme="minorHAnsi" w:hAnsiTheme="minorHAnsi" w:cstheme="minorHAnsi"/>
                <w:spacing w:val="-2"/>
                <w:sz w:val="18"/>
                <w:szCs w:val="18"/>
              </w:rPr>
              <w:t>(čerpání položky rozpočtu ve výši 1.112.104,60 Kč, tj. čerpání na 99,38 %) – provoz této služby probíhal v roce 2022 bez omezení. V souvislosti s výrazným růstem nákladů v roce 2022 došlo na základě uza</w:t>
            </w:r>
            <w:r>
              <w:rPr>
                <w:rFonts w:asciiTheme="minorHAnsi" w:hAnsiTheme="minorHAnsi" w:cstheme="minorHAnsi"/>
                <w:spacing w:val="-2"/>
                <w:sz w:val="18"/>
                <w:szCs w:val="18"/>
              </w:rPr>
              <w:t>vřen</w:t>
            </w:r>
            <w:r w:rsidR="00243915">
              <w:rPr>
                <w:rFonts w:asciiTheme="minorHAnsi" w:hAnsiTheme="minorHAnsi" w:cstheme="minorHAnsi"/>
                <w:spacing w:val="-2"/>
                <w:sz w:val="18"/>
                <w:szCs w:val="18"/>
              </w:rPr>
              <w:t>í Dodatku č. 1 ke </w:t>
            </w:r>
            <w:r>
              <w:rPr>
                <w:rFonts w:asciiTheme="minorHAnsi" w:hAnsiTheme="minorHAnsi" w:cstheme="minorHAnsi"/>
                <w:spacing w:val="-2"/>
                <w:sz w:val="18"/>
                <w:szCs w:val="18"/>
              </w:rPr>
              <w:t>Smlouvě o </w:t>
            </w:r>
            <w:r w:rsidRPr="00B44960">
              <w:rPr>
                <w:rFonts w:asciiTheme="minorHAnsi" w:hAnsiTheme="minorHAnsi" w:cstheme="minorHAnsi"/>
                <w:spacing w:val="-2"/>
                <w:sz w:val="18"/>
                <w:szCs w:val="18"/>
              </w:rPr>
              <w:t>poskytnutí služeb od 1. 7. 2022 k navýšení ceny na 40 Kč/km vč. DPH a c</w:t>
            </w:r>
            <w:r w:rsidR="00243915">
              <w:rPr>
                <w:rFonts w:asciiTheme="minorHAnsi" w:hAnsiTheme="minorHAnsi" w:cstheme="minorHAnsi"/>
                <w:spacing w:val="-2"/>
                <w:sz w:val="18"/>
                <w:szCs w:val="18"/>
              </w:rPr>
              <w:t>elkovému max. plnění smlouvy na </w:t>
            </w:r>
            <w:r w:rsidRPr="00B44960">
              <w:rPr>
                <w:rFonts w:asciiTheme="minorHAnsi" w:hAnsiTheme="minorHAnsi" w:cstheme="minorHAnsi"/>
                <w:spacing w:val="-2"/>
                <w:sz w:val="18"/>
                <w:szCs w:val="18"/>
              </w:rPr>
              <w:t>2.413.200 Kč vč. DPH. Smlouva, na základě které je služba provozována, je platná do 31. 8. 2023.</w:t>
            </w:r>
          </w:p>
          <w:p w:rsidR="00B44960" w:rsidRPr="00B44960" w:rsidRDefault="00B44960" w:rsidP="00B44960">
            <w:pPr>
              <w:pStyle w:val="Odstavecseseznamem"/>
              <w:numPr>
                <w:ilvl w:val="0"/>
                <w:numId w:val="50"/>
              </w:numPr>
              <w:ind w:left="286" w:hanging="293"/>
              <w:contextualSpacing/>
              <w:rPr>
                <w:rFonts w:asciiTheme="minorHAnsi" w:hAnsiTheme="minorHAnsi" w:cstheme="minorHAnsi"/>
                <w:sz w:val="18"/>
                <w:szCs w:val="18"/>
              </w:rPr>
            </w:pPr>
            <w:r w:rsidRPr="00B44960">
              <w:rPr>
                <w:rFonts w:asciiTheme="minorHAnsi" w:hAnsiTheme="minorHAnsi" w:cstheme="minorHAnsi"/>
                <w:b/>
                <w:spacing w:val="-4"/>
                <w:sz w:val="18"/>
                <w:szCs w:val="18"/>
              </w:rPr>
              <w:t>Činnost vykonávanou v rámci agendy odd. sociální prevence (projekty prevence kriminality)</w:t>
            </w:r>
            <w:r w:rsidRPr="00B44960">
              <w:rPr>
                <w:rFonts w:asciiTheme="minorHAnsi" w:hAnsiTheme="minorHAnsi" w:cstheme="minorHAnsi"/>
                <w:spacing w:val="-4"/>
                <w:sz w:val="18"/>
                <w:szCs w:val="18"/>
              </w:rPr>
              <w:t xml:space="preserve"> – mimo dotace ze státního</w:t>
            </w:r>
            <w:r>
              <w:rPr>
                <w:rFonts w:asciiTheme="minorHAnsi" w:hAnsiTheme="minorHAnsi" w:cstheme="minorHAnsi"/>
                <w:spacing w:val="-2"/>
                <w:sz w:val="18"/>
                <w:szCs w:val="18"/>
              </w:rPr>
              <w:t xml:space="preserve"> rozpočtu na </w:t>
            </w:r>
            <w:r w:rsidRPr="00B44960">
              <w:rPr>
                <w:rFonts w:asciiTheme="minorHAnsi" w:hAnsiTheme="minorHAnsi" w:cstheme="minorHAnsi"/>
                <w:spacing w:val="-2"/>
                <w:sz w:val="18"/>
                <w:szCs w:val="18"/>
              </w:rPr>
              <w:t xml:space="preserve">výkon činnosti SPOD (čerpání položek rozpočtu ve výši 232.463,37 Kč, tj. čerpání na 99,84 %) – v roce 2022 </w:t>
            </w:r>
            <w:r w:rsidRPr="00B44960">
              <w:rPr>
                <w:rFonts w:asciiTheme="minorHAnsi" w:hAnsiTheme="minorHAnsi" w:cstheme="minorHAnsi"/>
                <w:spacing w:val="-4"/>
                <w:sz w:val="18"/>
                <w:szCs w:val="18"/>
              </w:rPr>
              <w:t>mohly být obnoveny akce, realizované v rámci projektů prevence kriminality, např. Aktivní senior, akce pro děti „Podzimky“</w:t>
            </w:r>
            <w:r w:rsidRPr="00B44960">
              <w:rPr>
                <w:rFonts w:asciiTheme="minorHAnsi" w:hAnsiTheme="minorHAnsi" w:cstheme="minorHAnsi"/>
                <w:spacing w:val="-2"/>
                <w:sz w:val="18"/>
                <w:szCs w:val="18"/>
              </w:rPr>
              <w:t xml:space="preserve"> nebo „Mikuláš v Nízkoprahu“, workshop na téma „Možnosti a rizika online světa“, proběhla druhá část programu REVOLUTION TRAIN TOUR 2021/2022, realizace projektu „Ozbrojený útočník ve školním prostředí“, ve spolupráci s Městskou policií Prostějov byly také doplněny reflexní prvky aj. materiál, které jsou využívány pro potřeby prev</w:t>
            </w:r>
            <w:r w:rsidR="00243915">
              <w:rPr>
                <w:rFonts w:asciiTheme="minorHAnsi" w:hAnsiTheme="minorHAnsi" w:cstheme="minorHAnsi"/>
                <w:spacing w:val="-2"/>
                <w:sz w:val="18"/>
                <w:szCs w:val="18"/>
              </w:rPr>
              <w:t>entivních akcí realizovaných ve </w:t>
            </w:r>
            <w:r w:rsidRPr="00B44960">
              <w:rPr>
                <w:rFonts w:asciiTheme="minorHAnsi" w:hAnsiTheme="minorHAnsi" w:cstheme="minorHAnsi"/>
                <w:spacing w:val="-2"/>
                <w:sz w:val="18"/>
                <w:szCs w:val="18"/>
              </w:rPr>
              <w:t>městě Prostějov.</w:t>
            </w:r>
          </w:p>
          <w:p w:rsidR="00B44960" w:rsidRPr="00B44960" w:rsidRDefault="00B44960" w:rsidP="00B44960">
            <w:pPr>
              <w:pStyle w:val="Odstavecseseznamem"/>
              <w:numPr>
                <w:ilvl w:val="0"/>
                <w:numId w:val="50"/>
              </w:numPr>
              <w:ind w:left="286" w:hanging="293"/>
              <w:contextualSpacing/>
              <w:rPr>
                <w:rFonts w:asciiTheme="minorHAnsi" w:hAnsiTheme="minorHAnsi" w:cstheme="minorHAnsi"/>
                <w:sz w:val="18"/>
                <w:szCs w:val="18"/>
              </w:rPr>
            </w:pPr>
            <w:r w:rsidRPr="00B44960">
              <w:rPr>
                <w:rFonts w:asciiTheme="minorHAnsi" w:hAnsiTheme="minorHAnsi" w:cstheme="minorHAnsi"/>
                <w:b/>
                <w:spacing w:val="-4"/>
                <w:sz w:val="18"/>
                <w:szCs w:val="18"/>
              </w:rPr>
              <w:t>Činnost vykonávanou v rámci sociálně-právní ochrany dětí</w:t>
            </w:r>
            <w:r w:rsidRPr="00B44960">
              <w:rPr>
                <w:rFonts w:asciiTheme="minorHAnsi" w:hAnsiTheme="minorHAnsi" w:cstheme="minorHAnsi"/>
                <w:spacing w:val="-4"/>
                <w:sz w:val="18"/>
                <w:szCs w:val="18"/>
              </w:rPr>
              <w:t xml:space="preserve"> – mimo dotace ze státního rozpočtu na výkon činnosti SPOD</w:t>
            </w:r>
            <w:r w:rsidRPr="00B44960">
              <w:rPr>
                <w:rFonts w:asciiTheme="minorHAnsi" w:hAnsiTheme="minorHAnsi" w:cstheme="minorHAnsi"/>
                <w:sz w:val="18"/>
                <w:szCs w:val="18"/>
              </w:rPr>
              <w:t xml:space="preserve"> a státní příspěvek na výkon pěstounské péče (čerpání položek rozpočtu ve výši 26.780,10 Kč, tj. čerpání na 99,89 %)</w:t>
            </w:r>
            <w:r w:rsidR="00225B7E">
              <w:rPr>
                <w:rFonts w:asciiTheme="minorHAnsi" w:hAnsiTheme="minorHAnsi" w:cstheme="minorHAnsi"/>
                <w:sz w:val="18"/>
                <w:szCs w:val="18"/>
              </w:rPr>
              <w:t xml:space="preserve"> </w:t>
            </w:r>
            <w:r w:rsidRPr="00B44960">
              <w:rPr>
                <w:rFonts w:asciiTheme="minorHAnsi" w:hAnsiTheme="minorHAnsi" w:cstheme="minorHAnsi"/>
                <w:sz w:val="18"/>
                <w:szCs w:val="18"/>
              </w:rPr>
              <w:t>– v období letních prázdnin byla realizována akce pro rodiče s dětmi v evidenci OSV MMPv. V průběhu roku byly z položek pohoštění a materiál nakupovány drobné dárky pro děti v evidenci OSV MMPv (návštěvy dětí v ústavní péči pracovníky SPOD).</w:t>
            </w:r>
          </w:p>
          <w:p w:rsidR="00B44960" w:rsidRPr="00B44960" w:rsidRDefault="00B44960" w:rsidP="00B44960">
            <w:pPr>
              <w:pStyle w:val="Odstavecseseznamem"/>
              <w:numPr>
                <w:ilvl w:val="0"/>
                <w:numId w:val="50"/>
              </w:numPr>
              <w:ind w:left="286" w:hanging="293"/>
              <w:contextualSpacing/>
              <w:rPr>
                <w:rFonts w:asciiTheme="minorHAnsi" w:hAnsiTheme="minorHAnsi" w:cstheme="minorHAnsi"/>
                <w:sz w:val="18"/>
                <w:szCs w:val="18"/>
              </w:rPr>
            </w:pPr>
            <w:r w:rsidRPr="00B44960">
              <w:rPr>
                <w:rFonts w:asciiTheme="minorHAnsi" w:hAnsiTheme="minorHAnsi" w:cstheme="minorHAnsi"/>
                <w:b/>
                <w:spacing w:val="-4"/>
                <w:sz w:val="18"/>
                <w:szCs w:val="18"/>
              </w:rPr>
              <w:t xml:space="preserve">Střednědobé plánování rozvoje sociálních služeb </w:t>
            </w:r>
            <w:r w:rsidRPr="00B44960">
              <w:rPr>
                <w:rFonts w:asciiTheme="minorHAnsi" w:hAnsiTheme="minorHAnsi" w:cstheme="minorHAnsi"/>
                <w:spacing w:val="-4"/>
                <w:sz w:val="18"/>
                <w:szCs w:val="18"/>
              </w:rPr>
              <w:t>(čerpání položky ve výši 12.284,00 Kč, tj. čerpání na 81,89 %) – v průběhu roku probíhala řada setkání Řídící skupiny a jednotlivých pracovních skupin. Výstupem jednání se stal zejména nový Střednědobý plán rozvoje sociálních služeb SO ORP Prostějov na období 2023-2025 a navazující Akční plán 2023, který je prováděcím dokumentem pro daný rok k uvedenému Střednědobému plánu. Nákup pohoštění byl realizován dle potřeby v návaznosti na jednání jednotlivých skupin.</w:t>
            </w:r>
          </w:p>
          <w:p w:rsidR="00B44960" w:rsidRPr="00B44960" w:rsidRDefault="00B44960" w:rsidP="00B44960">
            <w:pPr>
              <w:pStyle w:val="Odstavecseseznamem"/>
              <w:numPr>
                <w:ilvl w:val="0"/>
                <w:numId w:val="50"/>
              </w:numPr>
              <w:ind w:left="286" w:hanging="293"/>
              <w:contextualSpacing/>
              <w:rPr>
                <w:rFonts w:asciiTheme="minorHAnsi" w:hAnsiTheme="minorHAnsi" w:cstheme="minorHAnsi"/>
                <w:sz w:val="18"/>
                <w:szCs w:val="18"/>
              </w:rPr>
            </w:pPr>
            <w:r w:rsidRPr="00B44960">
              <w:rPr>
                <w:rFonts w:asciiTheme="minorHAnsi" w:hAnsiTheme="minorHAnsi" w:cstheme="minorHAnsi"/>
                <w:b/>
                <w:spacing w:val="-4"/>
                <w:sz w:val="18"/>
                <w:szCs w:val="18"/>
              </w:rPr>
              <w:t xml:space="preserve">Koncepce podporovaného bydlení statutárního města Prostějov </w:t>
            </w:r>
            <w:r w:rsidRPr="00B44960">
              <w:rPr>
                <w:rFonts w:asciiTheme="minorHAnsi" w:hAnsiTheme="minorHAnsi" w:cstheme="minorHAnsi"/>
                <w:spacing w:val="-4"/>
                <w:sz w:val="18"/>
                <w:szCs w:val="18"/>
              </w:rPr>
              <w:t xml:space="preserve">(čerpání položky rozpočtu ve výši 145.200 Kč, tj. čerpání </w:t>
            </w:r>
            <w:r w:rsidR="00243915">
              <w:rPr>
                <w:rFonts w:asciiTheme="minorHAnsi" w:hAnsiTheme="minorHAnsi" w:cstheme="minorHAnsi"/>
                <w:sz w:val="18"/>
                <w:szCs w:val="18"/>
              </w:rPr>
              <w:t>na 100,00 </w:t>
            </w:r>
            <w:r w:rsidRPr="00B44960">
              <w:rPr>
                <w:rFonts w:asciiTheme="minorHAnsi" w:hAnsiTheme="minorHAnsi" w:cstheme="minorHAnsi"/>
                <w:sz w:val="18"/>
                <w:szCs w:val="18"/>
              </w:rPr>
              <w:t>%) – dokument, který byl v roce 2022 zpracován na základě Smlouvy o dílo, schválilo Zastupitelstvo města Prostějova</w:t>
            </w:r>
            <w:r w:rsidRPr="00B44960">
              <w:rPr>
                <w:rFonts w:asciiTheme="minorHAnsi" w:hAnsiTheme="minorHAnsi" w:cstheme="minorHAnsi"/>
                <w:spacing w:val="-4"/>
                <w:sz w:val="18"/>
                <w:szCs w:val="18"/>
              </w:rPr>
              <w:t xml:space="preserve"> 6. 9. 2022 (usnesení č. ZM/2022/33/36). </w:t>
            </w:r>
          </w:p>
          <w:p w:rsidR="00B44960" w:rsidRPr="00B44960" w:rsidRDefault="00B44960" w:rsidP="00BA11CF">
            <w:pPr>
              <w:spacing w:before="120"/>
              <w:jc w:val="both"/>
              <w:rPr>
                <w:rFonts w:asciiTheme="minorHAnsi" w:hAnsiTheme="minorHAnsi" w:cstheme="minorHAnsi"/>
                <w:sz w:val="18"/>
                <w:szCs w:val="18"/>
              </w:rPr>
            </w:pPr>
            <w:r w:rsidRPr="00B44960">
              <w:rPr>
                <w:rFonts w:asciiTheme="minorHAnsi" w:hAnsiTheme="minorHAnsi" w:cstheme="minorHAnsi"/>
                <w:spacing w:val="-2"/>
                <w:sz w:val="18"/>
                <w:szCs w:val="18"/>
              </w:rPr>
              <w:t>Na základě usnesení orgánů města byly rozpočtovými opatřeními v průběhu roku poskytovány a vypláceny dotace z rozpočtu</w:t>
            </w:r>
            <w:r w:rsidRPr="00B44960">
              <w:rPr>
                <w:rFonts w:asciiTheme="minorHAnsi" w:hAnsiTheme="minorHAnsi" w:cstheme="minorHAnsi"/>
                <w:sz w:val="18"/>
                <w:szCs w:val="18"/>
              </w:rPr>
              <w:t xml:space="preserve"> města Prostějova na rok 2022. </w:t>
            </w:r>
            <w:r w:rsidRPr="00B44960">
              <w:rPr>
                <w:rFonts w:asciiTheme="minorHAnsi" w:hAnsiTheme="minorHAnsi" w:cstheme="minorHAnsi"/>
                <w:b/>
                <w:sz w:val="18"/>
                <w:szCs w:val="18"/>
              </w:rPr>
              <w:t xml:space="preserve">Celkem byly v roce 2022 schváleny a poskytnuty dotace v oblasti sociální a zdravotní </w:t>
            </w:r>
            <w:r w:rsidRPr="00B44960">
              <w:rPr>
                <w:rFonts w:asciiTheme="minorHAnsi" w:hAnsiTheme="minorHAnsi" w:cstheme="minorHAnsi"/>
                <w:b/>
                <w:spacing w:val="-4"/>
                <w:sz w:val="18"/>
                <w:szCs w:val="18"/>
              </w:rPr>
              <w:t xml:space="preserve">ve výši 3.943.500 Kč. </w:t>
            </w:r>
            <w:r w:rsidRPr="00B44960">
              <w:rPr>
                <w:rFonts w:asciiTheme="minorHAnsi" w:hAnsiTheme="minorHAnsi" w:cstheme="minorHAnsi"/>
                <w:spacing w:val="-4"/>
                <w:sz w:val="18"/>
                <w:szCs w:val="18"/>
              </w:rPr>
              <w:t>V souvislosti s výrazným, hlavně neočekávaným, růstem nákladů na energie a PHM, byli ve 2. polovině</w:t>
            </w:r>
            <w:r w:rsidRPr="00B44960">
              <w:rPr>
                <w:rFonts w:asciiTheme="minorHAnsi" w:hAnsiTheme="minorHAnsi" w:cstheme="minorHAnsi"/>
                <w:sz w:val="18"/>
                <w:szCs w:val="18"/>
              </w:rPr>
              <w:t xml:space="preserve"> roku 2022 osloveni poskytovatelé sociálních, zdravotních a návazných služeb, kteří na území města zajišťují pro občany nezbytné základní služby celodenní péče, příp. jiné důležité služby. V rámci mimořádných dotací na dofinancování služeb byla poskytnuta částka 350.500 Kč (pozn.: zahrnuto již v součtu výše) – tyto mimořádné dotace byly poskytnuty v plné výši dle požadavků jednotlivých poskytovatelů služeb (dle upravených/reálných rozpočtů organizací pro rok 2022). </w:t>
            </w:r>
          </w:p>
          <w:p w:rsidR="00B44960" w:rsidRPr="00B44960" w:rsidRDefault="00B44960" w:rsidP="00BA11CF">
            <w:pPr>
              <w:jc w:val="both"/>
              <w:rPr>
                <w:rFonts w:asciiTheme="minorHAnsi" w:hAnsiTheme="minorHAnsi" w:cstheme="minorHAnsi"/>
                <w:sz w:val="18"/>
                <w:szCs w:val="18"/>
              </w:rPr>
            </w:pPr>
            <w:r w:rsidRPr="00B44960">
              <w:rPr>
                <w:rFonts w:asciiTheme="minorHAnsi" w:hAnsiTheme="minorHAnsi" w:cstheme="minorHAnsi"/>
                <w:sz w:val="18"/>
                <w:szCs w:val="18"/>
              </w:rPr>
              <w:t xml:space="preserve">Dalších 30.000 Kč pak bylo poskytnuto prostřednictvím kap. 20 – školství, kultura a sport formou </w:t>
            </w:r>
            <w:r w:rsidRPr="00B44960">
              <w:rPr>
                <w:rFonts w:asciiTheme="minorHAnsi" w:hAnsiTheme="minorHAnsi" w:cstheme="minorHAnsi"/>
                <w:spacing w:val="-2"/>
                <w:sz w:val="18"/>
                <w:szCs w:val="18"/>
              </w:rPr>
              <w:t>účelového navýšení neinvestičního příspěvku zřizovatele ZŠ Prostějov, ul. Dr. Horáka 24 (projekt mezigeneračního setkávání</w:t>
            </w:r>
            <w:r w:rsidRPr="00B44960">
              <w:rPr>
                <w:rFonts w:asciiTheme="minorHAnsi" w:hAnsiTheme="minorHAnsi" w:cstheme="minorHAnsi"/>
                <w:sz w:val="18"/>
                <w:szCs w:val="18"/>
              </w:rPr>
              <w:t xml:space="preserve"> aj. aktivit, který je nad rámec běžné činnosti školy). Ve výši 20.000 Kč byl dále poskytnut peněžitý dar na projekt v oblasti zdravotní.</w:t>
            </w:r>
          </w:p>
          <w:p w:rsidR="00B44960" w:rsidRPr="00B44960" w:rsidRDefault="00B44960" w:rsidP="00BA11CF">
            <w:pPr>
              <w:spacing w:before="120"/>
              <w:jc w:val="both"/>
              <w:rPr>
                <w:rFonts w:asciiTheme="minorHAnsi" w:hAnsiTheme="minorHAnsi" w:cstheme="minorHAnsi"/>
                <w:sz w:val="18"/>
                <w:szCs w:val="18"/>
              </w:rPr>
            </w:pPr>
            <w:r w:rsidRPr="00B44960">
              <w:rPr>
                <w:rFonts w:asciiTheme="minorHAnsi" w:hAnsiTheme="minorHAnsi" w:cstheme="minorHAnsi"/>
                <w:sz w:val="18"/>
                <w:szCs w:val="18"/>
              </w:rPr>
              <w:t xml:space="preserve">Dotace ze státního rozpočtu na výkon jednotlivých agend byly čerpány v průběhu celého roku dle potřeby (prostředky byly převáděny z kap. 21 na jiné kapitoly dle charakteru hrazených položek – např. mzdy, energie, školení pracovníků apod.). </w:t>
            </w:r>
            <w:r w:rsidRPr="00B44960">
              <w:rPr>
                <w:rFonts w:asciiTheme="minorHAnsi" w:hAnsiTheme="minorHAnsi" w:cstheme="minorHAnsi"/>
                <w:b/>
                <w:sz w:val="18"/>
                <w:szCs w:val="18"/>
              </w:rPr>
              <w:t>Nevyčerpaná část státního příspěvku na výkon pěstounské péče (ÚZ 13010) ve výši 2.457.869,50 Kč</w:t>
            </w:r>
            <w:r w:rsidRPr="00B44960">
              <w:rPr>
                <w:rFonts w:asciiTheme="minorHAnsi" w:hAnsiTheme="minorHAnsi" w:cstheme="minorHAnsi"/>
                <w:sz w:val="18"/>
                <w:szCs w:val="18"/>
              </w:rPr>
              <w:t xml:space="preserve"> </w:t>
            </w:r>
            <w:r w:rsidR="00243915">
              <w:rPr>
                <w:rFonts w:asciiTheme="minorHAnsi" w:hAnsiTheme="minorHAnsi" w:cstheme="minorHAnsi"/>
                <w:sz w:val="18"/>
                <w:szCs w:val="18"/>
              </w:rPr>
              <w:t>bude převedena do </w:t>
            </w:r>
            <w:r w:rsidRPr="00B44960">
              <w:rPr>
                <w:rFonts w:asciiTheme="minorHAnsi" w:hAnsiTheme="minorHAnsi" w:cstheme="minorHAnsi"/>
                <w:sz w:val="18"/>
                <w:szCs w:val="18"/>
              </w:rPr>
              <w:t>dalšího období pro užití na účel stanovený poskytovatelem dotace.</w:t>
            </w:r>
          </w:p>
          <w:p w:rsidR="00B44960" w:rsidRPr="00B44960" w:rsidRDefault="00B44960" w:rsidP="00BA11CF">
            <w:pPr>
              <w:spacing w:before="120" w:after="40"/>
              <w:jc w:val="both"/>
              <w:rPr>
                <w:rFonts w:asciiTheme="minorHAnsi" w:hAnsiTheme="minorHAnsi" w:cstheme="minorHAnsi"/>
                <w:b/>
                <w:sz w:val="20"/>
                <w:szCs w:val="20"/>
              </w:rPr>
            </w:pPr>
            <w:r w:rsidRPr="00B44960">
              <w:rPr>
                <w:rFonts w:asciiTheme="minorHAnsi" w:hAnsiTheme="minorHAnsi" w:cstheme="minorHAnsi"/>
                <w:spacing w:val="-4"/>
                <w:sz w:val="18"/>
                <w:szCs w:val="18"/>
              </w:rPr>
              <w:t>Čerpání výdajových položek rozpočtu kap. 21 bylo v průběhu roku 2022 prováděno v souladu s příslušnými právními normami</w:t>
            </w:r>
            <w:r w:rsidR="00243915">
              <w:rPr>
                <w:rFonts w:asciiTheme="minorHAnsi" w:hAnsiTheme="minorHAnsi" w:cstheme="minorHAnsi"/>
                <w:sz w:val="18"/>
                <w:szCs w:val="18"/>
              </w:rPr>
              <w:t xml:space="preserve"> a </w:t>
            </w:r>
            <w:r w:rsidRPr="00B44960">
              <w:rPr>
                <w:rFonts w:asciiTheme="minorHAnsi" w:hAnsiTheme="minorHAnsi" w:cstheme="minorHAnsi"/>
                <w:sz w:val="18"/>
                <w:szCs w:val="18"/>
              </w:rPr>
              <w:t xml:space="preserve">pokyny Finančního odboru Magistrátu města Prostějova. </w:t>
            </w:r>
            <w:r w:rsidRPr="00B44960">
              <w:rPr>
                <w:rFonts w:asciiTheme="minorHAnsi" w:hAnsiTheme="minorHAnsi" w:cstheme="minorHAnsi"/>
                <w:b/>
                <w:sz w:val="18"/>
                <w:szCs w:val="18"/>
              </w:rPr>
              <w:t>Realizována byla všechna ROZOP schválená v roce 2022.</w:t>
            </w:r>
          </w:p>
        </w:tc>
      </w:tr>
      <w:tr w:rsidR="00243915" w:rsidRPr="00B44960" w:rsidTr="00E101BC">
        <w:tc>
          <w:tcPr>
            <w:tcW w:w="457" w:type="dxa"/>
            <w:gridSpan w:val="3"/>
          </w:tcPr>
          <w:p w:rsidR="00B44960" w:rsidRPr="00B44960" w:rsidRDefault="00B44960" w:rsidP="00BA11CF">
            <w:pPr>
              <w:rPr>
                <w:rFonts w:asciiTheme="minorHAnsi" w:hAnsiTheme="minorHAnsi" w:cstheme="minorHAnsi"/>
                <w:b/>
                <w:sz w:val="20"/>
                <w:szCs w:val="20"/>
              </w:rPr>
            </w:pPr>
          </w:p>
        </w:tc>
        <w:tc>
          <w:tcPr>
            <w:tcW w:w="324" w:type="dxa"/>
            <w:gridSpan w:val="2"/>
          </w:tcPr>
          <w:p w:rsidR="00B44960" w:rsidRPr="00B44960" w:rsidRDefault="00B44960" w:rsidP="00BA11CF">
            <w:pPr>
              <w:rPr>
                <w:rFonts w:asciiTheme="minorHAnsi" w:hAnsiTheme="minorHAnsi" w:cstheme="minorHAnsi"/>
                <w:b/>
                <w:sz w:val="20"/>
                <w:szCs w:val="20"/>
              </w:rPr>
            </w:pPr>
          </w:p>
        </w:tc>
        <w:tc>
          <w:tcPr>
            <w:tcW w:w="615" w:type="dxa"/>
            <w:gridSpan w:val="5"/>
          </w:tcPr>
          <w:p w:rsidR="00B44960" w:rsidRPr="00B44960" w:rsidRDefault="00B44960" w:rsidP="00BA11CF">
            <w:pPr>
              <w:rPr>
                <w:rFonts w:asciiTheme="minorHAnsi" w:hAnsiTheme="minorHAnsi" w:cstheme="minorHAnsi"/>
                <w:b/>
                <w:sz w:val="20"/>
                <w:szCs w:val="20"/>
              </w:rPr>
            </w:pPr>
          </w:p>
        </w:tc>
        <w:tc>
          <w:tcPr>
            <w:tcW w:w="662" w:type="dxa"/>
            <w:gridSpan w:val="7"/>
          </w:tcPr>
          <w:p w:rsidR="00B44960" w:rsidRPr="00B44960" w:rsidRDefault="00B44960" w:rsidP="00BA11CF">
            <w:pPr>
              <w:rPr>
                <w:rFonts w:asciiTheme="minorHAnsi" w:hAnsiTheme="minorHAnsi" w:cstheme="minorHAnsi"/>
                <w:b/>
                <w:sz w:val="20"/>
                <w:szCs w:val="20"/>
              </w:rPr>
            </w:pPr>
          </w:p>
        </w:tc>
        <w:tc>
          <w:tcPr>
            <w:tcW w:w="460" w:type="dxa"/>
            <w:gridSpan w:val="4"/>
          </w:tcPr>
          <w:p w:rsidR="00B44960" w:rsidRPr="00B44960" w:rsidRDefault="00B44960" w:rsidP="00BA11CF">
            <w:pPr>
              <w:rPr>
                <w:rFonts w:asciiTheme="minorHAnsi" w:hAnsiTheme="minorHAnsi" w:cstheme="minorHAnsi"/>
                <w:b/>
                <w:sz w:val="20"/>
                <w:szCs w:val="20"/>
              </w:rPr>
            </w:pPr>
          </w:p>
        </w:tc>
        <w:tc>
          <w:tcPr>
            <w:tcW w:w="310" w:type="dxa"/>
            <w:gridSpan w:val="8"/>
          </w:tcPr>
          <w:p w:rsidR="00B44960" w:rsidRPr="00B44960" w:rsidRDefault="00B44960" w:rsidP="00BA11CF">
            <w:pPr>
              <w:rPr>
                <w:rFonts w:asciiTheme="minorHAnsi" w:hAnsiTheme="minorHAnsi" w:cstheme="minorHAnsi"/>
                <w:b/>
                <w:sz w:val="20"/>
                <w:szCs w:val="20"/>
              </w:rPr>
            </w:pPr>
          </w:p>
        </w:tc>
        <w:tc>
          <w:tcPr>
            <w:tcW w:w="505" w:type="dxa"/>
            <w:gridSpan w:val="3"/>
          </w:tcPr>
          <w:p w:rsidR="00B44960" w:rsidRPr="00B44960" w:rsidRDefault="00B44960" w:rsidP="00BA11CF">
            <w:pPr>
              <w:rPr>
                <w:rFonts w:asciiTheme="minorHAnsi" w:hAnsiTheme="minorHAnsi" w:cstheme="minorHAnsi"/>
                <w:b/>
                <w:sz w:val="20"/>
                <w:szCs w:val="20"/>
              </w:rPr>
            </w:pPr>
          </w:p>
        </w:tc>
        <w:tc>
          <w:tcPr>
            <w:tcW w:w="597" w:type="dxa"/>
            <w:gridSpan w:val="3"/>
          </w:tcPr>
          <w:p w:rsidR="00B44960" w:rsidRPr="00B44960" w:rsidRDefault="00B44960" w:rsidP="00BA11CF">
            <w:pPr>
              <w:rPr>
                <w:rFonts w:asciiTheme="minorHAnsi" w:hAnsiTheme="minorHAnsi" w:cstheme="minorHAnsi"/>
                <w:b/>
                <w:sz w:val="20"/>
                <w:szCs w:val="20"/>
              </w:rPr>
            </w:pPr>
          </w:p>
        </w:tc>
        <w:tc>
          <w:tcPr>
            <w:tcW w:w="352" w:type="dxa"/>
            <w:gridSpan w:val="5"/>
          </w:tcPr>
          <w:p w:rsidR="00B44960" w:rsidRPr="00B44960" w:rsidRDefault="00B44960" w:rsidP="00BA11CF">
            <w:pPr>
              <w:rPr>
                <w:rFonts w:asciiTheme="minorHAnsi" w:hAnsiTheme="minorHAnsi" w:cstheme="minorHAnsi"/>
                <w:b/>
                <w:sz w:val="20"/>
                <w:szCs w:val="20"/>
              </w:rPr>
            </w:pPr>
          </w:p>
        </w:tc>
        <w:tc>
          <w:tcPr>
            <w:tcW w:w="752" w:type="dxa"/>
            <w:gridSpan w:val="7"/>
          </w:tcPr>
          <w:p w:rsidR="00B44960" w:rsidRPr="00B44960" w:rsidRDefault="00B44960" w:rsidP="00BA11CF">
            <w:pPr>
              <w:rPr>
                <w:rFonts w:asciiTheme="minorHAnsi" w:hAnsiTheme="minorHAnsi" w:cstheme="minorHAnsi"/>
                <w:b/>
                <w:sz w:val="20"/>
                <w:szCs w:val="20"/>
              </w:rPr>
            </w:pPr>
          </w:p>
        </w:tc>
        <w:tc>
          <w:tcPr>
            <w:tcW w:w="236" w:type="dxa"/>
            <w:gridSpan w:val="4"/>
          </w:tcPr>
          <w:p w:rsidR="00B44960" w:rsidRPr="00B44960" w:rsidRDefault="00B44960" w:rsidP="00BA11CF">
            <w:pPr>
              <w:rPr>
                <w:rFonts w:asciiTheme="minorHAnsi" w:hAnsiTheme="minorHAnsi" w:cstheme="minorHAnsi"/>
                <w:b/>
                <w:sz w:val="20"/>
                <w:szCs w:val="20"/>
              </w:rPr>
            </w:pPr>
          </w:p>
        </w:tc>
        <w:tc>
          <w:tcPr>
            <w:tcW w:w="526" w:type="dxa"/>
            <w:gridSpan w:val="3"/>
          </w:tcPr>
          <w:p w:rsidR="00B44960" w:rsidRPr="00B44960" w:rsidRDefault="00B44960" w:rsidP="00BA11CF">
            <w:pPr>
              <w:rPr>
                <w:rFonts w:asciiTheme="minorHAnsi" w:hAnsiTheme="minorHAnsi" w:cstheme="minorHAnsi"/>
                <w:b/>
                <w:sz w:val="20"/>
                <w:szCs w:val="20"/>
              </w:rPr>
            </w:pPr>
          </w:p>
        </w:tc>
        <w:tc>
          <w:tcPr>
            <w:tcW w:w="160" w:type="dxa"/>
          </w:tcPr>
          <w:p w:rsidR="00B44960" w:rsidRPr="00B44960" w:rsidRDefault="00B44960" w:rsidP="00BA11CF">
            <w:pPr>
              <w:rPr>
                <w:rFonts w:asciiTheme="minorHAnsi" w:hAnsiTheme="minorHAnsi" w:cstheme="minorHAnsi"/>
                <w:b/>
                <w:sz w:val="20"/>
                <w:szCs w:val="20"/>
              </w:rPr>
            </w:pPr>
          </w:p>
        </w:tc>
        <w:tc>
          <w:tcPr>
            <w:tcW w:w="760" w:type="dxa"/>
            <w:gridSpan w:val="5"/>
          </w:tcPr>
          <w:p w:rsidR="00B44960" w:rsidRPr="00B44960" w:rsidRDefault="00B44960" w:rsidP="00BA11CF">
            <w:pPr>
              <w:rPr>
                <w:rFonts w:asciiTheme="minorHAnsi" w:hAnsiTheme="minorHAnsi" w:cstheme="minorHAnsi"/>
                <w:b/>
                <w:sz w:val="20"/>
                <w:szCs w:val="20"/>
              </w:rPr>
            </w:pPr>
          </w:p>
        </w:tc>
        <w:tc>
          <w:tcPr>
            <w:tcW w:w="460" w:type="dxa"/>
            <w:gridSpan w:val="6"/>
          </w:tcPr>
          <w:p w:rsidR="00B44960" w:rsidRPr="00B44960" w:rsidRDefault="00B44960" w:rsidP="00BA11CF">
            <w:pPr>
              <w:rPr>
                <w:rFonts w:asciiTheme="minorHAnsi" w:hAnsiTheme="minorHAnsi" w:cstheme="minorHAnsi"/>
                <w:b/>
                <w:sz w:val="20"/>
                <w:szCs w:val="20"/>
              </w:rPr>
            </w:pPr>
          </w:p>
        </w:tc>
        <w:tc>
          <w:tcPr>
            <w:tcW w:w="460" w:type="dxa"/>
            <w:gridSpan w:val="2"/>
          </w:tcPr>
          <w:p w:rsidR="00B44960" w:rsidRPr="00B44960" w:rsidRDefault="00B44960" w:rsidP="00BA11CF">
            <w:pPr>
              <w:rPr>
                <w:rFonts w:asciiTheme="minorHAnsi" w:hAnsiTheme="minorHAnsi" w:cstheme="minorHAnsi"/>
                <w:b/>
                <w:sz w:val="20"/>
                <w:szCs w:val="20"/>
              </w:rPr>
            </w:pPr>
          </w:p>
        </w:tc>
        <w:tc>
          <w:tcPr>
            <w:tcW w:w="460" w:type="dxa"/>
            <w:gridSpan w:val="4"/>
          </w:tcPr>
          <w:p w:rsidR="00B44960" w:rsidRPr="00B44960" w:rsidRDefault="00B44960" w:rsidP="00BA11CF">
            <w:pPr>
              <w:rPr>
                <w:rFonts w:asciiTheme="minorHAnsi" w:hAnsiTheme="minorHAnsi" w:cstheme="minorHAnsi"/>
                <w:b/>
                <w:sz w:val="20"/>
                <w:szCs w:val="20"/>
              </w:rPr>
            </w:pPr>
          </w:p>
        </w:tc>
        <w:tc>
          <w:tcPr>
            <w:tcW w:w="601" w:type="dxa"/>
            <w:gridSpan w:val="3"/>
          </w:tcPr>
          <w:p w:rsidR="00B44960" w:rsidRPr="00B44960" w:rsidRDefault="00B44960" w:rsidP="00BA11CF">
            <w:pPr>
              <w:rPr>
                <w:rFonts w:asciiTheme="minorHAnsi" w:hAnsiTheme="minorHAnsi" w:cstheme="minorHAnsi"/>
                <w:b/>
                <w:sz w:val="20"/>
                <w:szCs w:val="20"/>
              </w:rPr>
            </w:pPr>
          </w:p>
        </w:tc>
        <w:tc>
          <w:tcPr>
            <w:tcW w:w="459" w:type="dxa"/>
            <w:gridSpan w:val="3"/>
          </w:tcPr>
          <w:p w:rsidR="00B44960" w:rsidRPr="00B44960" w:rsidRDefault="00B44960" w:rsidP="00BA11CF">
            <w:pPr>
              <w:rPr>
                <w:rFonts w:asciiTheme="minorHAnsi" w:hAnsiTheme="minorHAnsi" w:cstheme="minorHAnsi"/>
                <w:b/>
                <w:sz w:val="20"/>
                <w:szCs w:val="20"/>
              </w:rPr>
            </w:pPr>
          </w:p>
        </w:tc>
        <w:tc>
          <w:tcPr>
            <w:tcW w:w="446" w:type="dxa"/>
            <w:gridSpan w:val="5"/>
          </w:tcPr>
          <w:p w:rsidR="00B44960" w:rsidRPr="00B44960" w:rsidRDefault="00B44960" w:rsidP="00BA11CF">
            <w:pPr>
              <w:rPr>
                <w:rFonts w:asciiTheme="minorHAnsi" w:hAnsiTheme="minorHAnsi" w:cstheme="minorHAnsi"/>
                <w:b/>
                <w:sz w:val="20"/>
                <w:szCs w:val="20"/>
              </w:rPr>
            </w:pPr>
          </w:p>
        </w:tc>
      </w:tr>
      <w:tr w:rsidR="00B44960" w:rsidRPr="00B44960" w:rsidTr="000F4CB9">
        <w:trPr>
          <w:gridAfter w:val="2"/>
          <w:wAfter w:w="316" w:type="dxa"/>
        </w:trPr>
        <w:tc>
          <w:tcPr>
            <w:tcW w:w="9286" w:type="dxa"/>
            <w:gridSpan w:val="81"/>
          </w:tcPr>
          <w:p w:rsidR="00B44960" w:rsidRPr="00243915" w:rsidRDefault="00B44960" w:rsidP="00243915">
            <w:pPr>
              <w:ind w:right="-70"/>
              <w:jc w:val="both"/>
              <w:rPr>
                <w:rFonts w:asciiTheme="minorHAnsi" w:hAnsiTheme="minorHAnsi" w:cstheme="minorHAnsi"/>
                <w:b/>
                <w:sz w:val="18"/>
                <w:szCs w:val="18"/>
              </w:rPr>
            </w:pPr>
            <w:r w:rsidRPr="00243915">
              <w:rPr>
                <w:rFonts w:asciiTheme="minorHAnsi" w:hAnsiTheme="minorHAnsi" w:cstheme="minorHAnsi"/>
                <w:b/>
                <w:spacing w:val="-2"/>
                <w:sz w:val="18"/>
                <w:szCs w:val="18"/>
              </w:rPr>
              <w:t>Komentář k položkám (akcím), které vykázaly abno</w:t>
            </w:r>
            <w:r w:rsidR="00243915" w:rsidRPr="00243915">
              <w:rPr>
                <w:rFonts w:asciiTheme="minorHAnsi" w:hAnsiTheme="minorHAnsi" w:cstheme="minorHAnsi"/>
                <w:b/>
                <w:spacing w:val="-2"/>
                <w:sz w:val="18"/>
                <w:szCs w:val="18"/>
              </w:rPr>
              <w:t xml:space="preserve">rmalitu v řádném čerpání výdajů </w:t>
            </w:r>
            <w:r w:rsidRPr="00243915">
              <w:rPr>
                <w:rFonts w:asciiTheme="minorHAnsi" w:hAnsiTheme="minorHAnsi" w:cstheme="minorHAnsi"/>
                <w:b/>
                <w:spacing w:val="-2"/>
                <w:sz w:val="18"/>
                <w:szCs w:val="18"/>
              </w:rPr>
              <w:t>rozpočtu kapitoly ve sledovaném</w:t>
            </w:r>
            <w:r w:rsidRPr="00243915">
              <w:rPr>
                <w:rFonts w:asciiTheme="minorHAnsi" w:hAnsiTheme="minorHAnsi" w:cstheme="minorHAnsi"/>
                <w:b/>
                <w:sz w:val="18"/>
                <w:szCs w:val="18"/>
              </w:rPr>
              <w:t xml:space="preserve"> období</w:t>
            </w:r>
          </w:p>
        </w:tc>
      </w:tr>
      <w:tr w:rsidR="00243915" w:rsidRPr="00B44960" w:rsidTr="00E101BC">
        <w:tc>
          <w:tcPr>
            <w:tcW w:w="781" w:type="dxa"/>
            <w:gridSpan w:val="5"/>
            <w:tcBorders>
              <w:top w:val="single" w:sz="4" w:space="0" w:color="auto"/>
              <w:left w:val="single" w:sz="4" w:space="0" w:color="auto"/>
              <w:bottom w:val="single" w:sz="4" w:space="0" w:color="auto"/>
              <w:right w:val="single" w:sz="4" w:space="0" w:color="auto"/>
            </w:tcBorders>
            <w:shd w:val="clear" w:color="auto" w:fill="FFFF00"/>
            <w:vAlign w:val="center"/>
          </w:tcPr>
          <w:p w:rsidR="00B44960" w:rsidRPr="0051317E" w:rsidRDefault="00B44960" w:rsidP="00BA11CF">
            <w:pPr>
              <w:jc w:val="center"/>
              <w:rPr>
                <w:rFonts w:asciiTheme="minorHAnsi" w:hAnsiTheme="minorHAnsi" w:cstheme="minorHAnsi"/>
                <w:b/>
                <w:sz w:val="17"/>
                <w:szCs w:val="17"/>
              </w:rPr>
            </w:pPr>
            <w:r w:rsidRPr="0051317E">
              <w:rPr>
                <w:rFonts w:asciiTheme="minorHAnsi" w:hAnsiTheme="minorHAnsi" w:cstheme="minorHAnsi"/>
                <w:b/>
                <w:sz w:val="17"/>
                <w:szCs w:val="17"/>
              </w:rPr>
              <w:t>Oddíl, paragraf</w:t>
            </w:r>
          </w:p>
        </w:tc>
        <w:tc>
          <w:tcPr>
            <w:tcW w:w="567"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B44960" w:rsidRPr="0051317E" w:rsidRDefault="00B44960" w:rsidP="00BA11CF">
            <w:pPr>
              <w:jc w:val="center"/>
              <w:rPr>
                <w:rFonts w:asciiTheme="minorHAnsi" w:hAnsiTheme="minorHAnsi" w:cstheme="minorHAnsi"/>
                <w:b/>
                <w:sz w:val="17"/>
                <w:szCs w:val="17"/>
              </w:rPr>
            </w:pPr>
            <w:r w:rsidRPr="0051317E">
              <w:rPr>
                <w:rFonts w:asciiTheme="minorHAnsi" w:hAnsiTheme="minorHAnsi" w:cstheme="minorHAnsi"/>
                <w:b/>
                <w:sz w:val="17"/>
                <w:szCs w:val="17"/>
              </w:rPr>
              <w:t>Pol.</w:t>
            </w:r>
          </w:p>
        </w:tc>
        <w:tc>
          <w:tcPr>
            <w:tcW w:w="1275" w:type="dxa"/>
            <w:gridSpan w:val="14"/>
            <w:tcBorders>
              <w:top w:val="single" w:sz="4" w:space="0" w:color="auto"/>
              <w:left w:val="single" w:sz="4" w:space="0" w:color="auto"/>
              <w:bottom w:val="single" w:sz="4" w:space="0" w:color="auto"/>
              <w:right w:val="single" w:sz="4" w:space="0" w:color="auto"/>
            </w:tcBorders>
            <w:shd w:val="clear" w:color="auto" w:fill="FFFF00"/>
            <w:vAlign w:val="center"/>
          </w:tcPr>
          <w:p w:rsidR="00B44960" w:rsidRPr="0051317E" w:rsidRDefault="00B44960" w:rsidP="00BA11CF">
            <w:pPr>
              <w:jc w:val="center"/>
              <w:rPr>
                <w:rFonts w:asciiTheme="minorHAnsi" w:hAnsiTheme="minorHAnsi" w:cstheme="minorHAnsi"/>
                <w:b/>
                <w:sz w:val="17"/>
                <w:szCs w:val="17"/>
              </w:rPr>
            </w:pPr>
            <w:r w:rsidRPr="0051317E">
              <w:rPr>
                <w:rFonts w:asciiTheme="minorHAnsi" w:hAnsiTheme="minorHAnsi" w:cstheme="minorHAnsi"/>
                <w:b/>
                <w:sz w:val="17"/>
                <w:szCs w:val="17"/>
              </w:rPr>
              <w:t>Organizace</w:t>
            </w:r>
          </w:p>
        </w:tc>
        <w:tc>
          <w:tcPr>
            <w:tcW w:w="710" w:type="dxa"/>
            <w:gridSpan w:val="9"/>
            <w:tcBorders>
              <w:top w:val="single" w:sz="4" w:space="0" w:color="auto"/>
              <w:left w:val="single" w:sz="4" w:space="0" w:color="auto"/>
              <w:bottom w:val="single" w:sz="4" w:space="0" w:color="auto"/>
              <w:right w:val="single" w:sz="4" w:space="0" w:color="auto"/>
            </w:tcBorders>
            <w:shd w:val="clear" w:color="auto" w:fill="FFFF00"/>
            <w:vAlign w:val="center"/>
          </w:tcPr>
          <w:p w:rsidR="00B44960" w:rsidRPr="0051317E" w:rsidRDefault="00B44960" w:rsidP="00BA11CF">
            <w:pPr>
              <w:jc w:val="center"/>
              <w:rPr>
                <w:rFonts w:asciiTheme="minorHAnsi" w:hAnsiTheme="minorHAnsi" w:cstheme="minorHAnsi"/>
                <w:b/>
                <w:sz w:val="17"/>
                <w:szCs w:val="17"/>
              </w:rPr>
            </w:pPr>
            <w:r w:rsidRPr="0051317E">
              <w:rPr>
                <w:rFonts w:asciiTheme="minorHAnsi" w:hAnsiTheme="minorHAnsi" w:cstheme="minorHAnsi"/>
                <w:b/>
                <w:sz w:val="17"/>
                <w:szCs w:val="17"/>
              </w:rPr>
              <w:t>Účelový zdroj</w:t>
            </w:r>
          </w:p>
        </w:tc>
        <w:tc>
          <w:tcPr>
            <w:tcW w:w="707" w:type="dxa"/>
            <w:gridSpan w:val="5"/>
            <w:tcBorders>
              <w:top w:val="single" w:sz="4" w:space="0" w:color="auto"/>
              <w:left w:val="single" w:sz="4" w:space="0" w:color="auto"/>
              <w:bottom w:val="single" w:sz="4" w:space="0" w:color="auto"/>
              <w:right w:val="single" w:sz="4" w:space="0" w:color="auto"/>
            </w:tcBorders>
            <w:shd w:val="clear" w:color="auto" w:fill="FFFF00"/>
            <w:vAlign w:val="center"/>
          </w:tcPr>
          <w:p w:rsidR="00B44960" w:rsidRPr="0051317E" w:rsidRDefault="00B44960" w:rsidP="00BA11CF">
            <w:pPr>
              <w:jc w:val="center"/>
              <w:rPr>
                <w:rFonts w:asciiTheme="minorHAnsi" w:hAnsiTheme="minorHAnsi" w:cstheme="minorHAnsi"/>
                <w:b/>
                <w:sz w:val="17"/>
                <w:szCs w:val="17"/>
              </w:rPr>
            </w:pPr>
            <w:r w:rsidRPr="0051317E">
              <w:rPr>
                <w:rFonts w:asciiTheme="minorHAnsi" w:hAnsiTheme="minorHAnsi" w:cstheme="minorHAnsi"/>
                <w:b/>
                <w:sz w:val="17"/>
                <w:szCs w:val="17"/>
              </w:rPr>
              <w:t>UR v tis. Kč</w:t>
            </w:r>
          </w:p>
        </w:tc>
        <w:tc>
          <w:tcPr>
            <w:tcW w:w="994" w:type="dxa"/>
            <w:gridSpan w:val="10"/>
            <w:tcBorders>
              <w:top w:val="single" w:sz="4" w:space="0" w:color="auto"/>
              <w:left w:val="single" w:sz="4" w:space="0" w:color="auto"/>
              <w:bottom w:val="single" w:sz="4" w:space="0" w:color="auto"/>
              <w:right w:val="single" w:sz="4" w:space="0" w:color="auto"/>
            </w:tcBorders>
            <w:shd w:val="clear" w:color="auto" w:fill="FFFF00"/>
            <w:vAlign w:val="center"/>
          </w:tcPr>
          <w:p w:rsidR="00B44960" w:rsidRPr="0051317E" w:rsidRDefault="00B44960" w:rsidP="00BA11CF">
            <w:pPr>
              <w:jc w:val="center"/>
              <w:rPr>
                <w:rFonts w:asciiTheme="minorHAnsi" w:hAnsiTheme="minorHAnsi" w:cstheme="minorHAnsi"/>
                <w:b/>
                <w:sz w:val="17"/>
                <w:szCs w:val="17"/>
              </w:rPr>
            </w:pPr>
            <w:r w:rsidRPr="0051317E">
              <w:rPr>
                <w:rFonts w:asciiTheme="minorHAnsi" w:hAnsiTheme="minorHAnsi" w:cstheme="minorHAnsi"/>
                <w:b/>
                <w:sz w:val="17"/>
                <w:szCs w:val="17"/>
              </w:rPr>
              <w:t>Skutečnost v tis. Kč</w:t>
            </w:r>
          </w:p>
        </w:tc>
        <w:tc>
          <w:tcPr>
            <w:tcW w:w="4568" w:type="dxa"/>
            <w:gridSpan w:val="36"/>
            <w:tcBorders>
              <w:top w:val="single" w:sz="4" w:space="0" w:color="auto"/>
              <w:left w:val="single" w:sz="4" w:space="0" w:color="auto"/>
              <w:bottom w:val="single" w:sz="4" w:space="0" w:color="auto"/>
              <w:right w:val="single" w:sz="4" w:space="0" w:color="auto"/>
            </w:tcBorders>
            <w:shd w:val="clear" w:color="auto" w:fill="FFFF00"/>
            <w:vAlign w:val="center"/>
          </w:tcPr>
          <w:p w:rsidR="00B44960" w:rsidRPr="0051317E" w:rsidRDefault="00B44960" w:rsidP="00243915">
            <w:pPr>
              <w:ind w:left="-543" w:right="1400"/>
              <w:jc w:val="center"/>
              <w:rPr>
                <w:rFonts w:asciiTheme="minorHAnsi" w:hAnsiTheme="minorHAnsi" w:cstheme="minorHAnsi"/>
                <w:b/>
                <w:sz w:val="17"/>
                <w:szCs w:val="17"/>
              </w:rPr>
            </w:pPr>
            <w:r w:rsidRPr="0051317E">
              <w:rPr>
                <w:rFonts w:asciiTheme="minorHAnsi" w:hAnsiTheme="minorHAnsi" w:cstheme="minorHAnsi"/>
                <w:b/>
                <w:sz w:val="17"/>
                <w:szCs w:val="17"/>
              </w:rPr>
              <w:t>Komentář</w:t>
            </w:r>
          </w:p>
        </w:tc>
      </w:tr>
      <w:tr w:rsidR="00243915" w:rsidRPr="00B44960" w:rsidTr="00E101BC">
        <w:tc>
          <w:tcPr>
            <w:tcW w:w="781" w:type="dxa"/>
            <w:gridSpan w:val="5"/>
            <w:tcBorders>
              <w:top w:val="single" w:sz="4" w:space="0" w:color="auto"/>
              <w:left w:val="single" w:sz="4" w:space="0" w:color="auto"/>
              <w:bottom w:val="single" w:sz="4" w:space="0" w:color="auto"/>
              <w:right w:val="single" w:sz="4" w:space="0" w:color="auto"/>
            </w:tcBorders>
          </w:tcPr>
          <w:p w:rsidR="00B44960" w:rsidRPr="0051317E" w:rsidRDefault="00B44960" w:rsidP="00BA11CF">
            <w:pPr>
              <w:jc w:val="center"/>
              <w:rPr>
                <w:rFonts w:asciiTheme="minorHAnsi" w:hAnsiTheme="minorHAnsi" w:cstheme="minorHAnsi"/>
                <w:sz w:val="17"/>
                <w:szCs w:val="17"/>
              </w:rPr>
            </w:pPr>
            <w:r w:rsidRPr="0051317E">
              <w:rPr>
                <w:rFonts w:asciiTheme="minorHAnsi" w:hAnsiTheme="minorHAnsi" w:cstheme="minorHAnsi"/>
                <w:sz w:val="17"/>
                <w:szCs w:val="17"/>
              </w:rPr>
              <w:t>4339</w:t>
            </w:r>
          </w:p>
        </w:tc>
        <w:tc>
          <w:tcPr>
            <w:tcW w:w="567" w:type="dxa"/>
            <w:gridSpan w:val="4"/>
            <w:tcBorders>
              <w:top w:val="single" w:sz="4" w:space="0" w:color="auto"/>
              <w:left w:val="single" w:sz="4" w:space="0" w:color="auto"/>
              <w:bottom w:val="single" w:sz="4" w:space="0" w:color="auto"/>
              <w:right w:val="single" w:sz="4" w:space="0" w:color="auto"/>
            </w:tcBorders>
          </w:tcPr>
          <w:p w:rsidR="00B44960" w:rsidRPr="0051317E" w:rsidRDefault="00B44960" w:rsidP="00BA11CF">
            <w:pPr>
              <w:jc w:val="center"/>
              <w:rPr>
                <w:rFonts w:asciiTheme="minorHAnsi" w:hAnsiTheme="minorHAnsi" w:cstheme="minorHAnsi"/>
                <w:sz w:val="17"/>
                <w:szCs w:val="17"/>
              </w:rPr>
            </w:pPr>
            <w:r w:rsidRPr="0051317E">
              <w:rPr>
                <w:rFonts w:asciiTheme="minorHAnsi" w:hAnsiTheme="minorHAnsi" w:cstheme="minorHAnsi"/>
                <w:sz w:val="17"/>
                <w:szCs w:val="17"/>
              </w:rPr>
              <w:t>5222</w:t>
            </w:r>
          </w:p>
        </w:tc>
        <w:tc>
          <w:tcPr>
            <w:tcW w:w="1275" w:type="dxa"/>
            <w:gridSpan w:val="14"/>
            <w:tcBorders>
              <w:top w:val="single" w:sz="4" w:space="0" w:color="auto"/>
              <w:left w:val="single" w:sz="4" w:space="0" w:color="auto"/>
              <w:bottom w:val="single" w:sz="4" w:space="0" w:color="auto"/>
              <w:right w:val="single" w:sz="4" w:space="0" w:color="auto"/>
            </w:tcBorders>
          </w:tcPr>
          <w:p w:rsidR="00B44960" w:rsidRPr="0051317E" w:rsidRDefault="00B44960" w:rsidP="00BA11CF">
            <w:pPr>
              <w:jc w:val="center"/>
              <w:rPr>
                <w:rFonts w:asciiTheme="minorHAnsi" w:hAnsiTheme="minorHAnsi" w:cstheme="minorHAnsi"/>
                <w:sz w:val="17"/>
                <w:szCs w:val="17"/>
              </w:rPr>
            </w:pPr>
            <w:r w:rsidRPr="0051317E">
              <w:rPr>
                <w:rFonts w:asciiTheme="minorHAnsi" w:hAnsiTheme="minorHAnsi" w:cstheme="minorHAnsi"/>
                <w:sz w:val="17"/>
                <w:szCs w:val="17"/>
              </w:rPr>
              <w:t>0210000000000</w:t>
            </w:r>
          </w:p>
        </w:tc>
        <w:tc>
          <w:tcPr>
            <w:tcW w:w="710" w:type="dxa"/>
            <w:gridSpan w:val="9"/>
            <w:tcBorders>
              <w:top w:val="single" w:sz="4" w:space="0" w:color="auto"/>
              <w:left w:val="single" w:sz="4" w:space="0" w:color="auto"/>
              <w:bottom w:val="single" w:sz="4" w:space="0" w:color="auto"/>
              <w:right w:val="single" w:sz="4" w:space="0" w:color="auto"/>
            </w:tcBorders>
          </w:tcPr>
          <w:p w:rsidR="00B44960" w:rsidRPr="0051317E" w:rsidRDefault="00B44960" w:rsidP="00BA11CF">
            <w:pPr>
              <w:jc w:val="center"/>
              <w:rPr>
                <w:rFonts w:asciiTheme="minorHAnsi" w:hAnsiTheme="minorHAnsi" w:cstheme="minorHAnsi"/>
                <w:sz w:val="17"/>
                <w:szCs w:val="17"/>
              </w:rPr>
            </w:pPr>
            <w:r w:rsidRPr="0051317E">
              <w:rPr>
                <w:rFonts w:asciiTheme="minorHAnsi" w:hAnsiTheme="minorHAnsi" w:cstheme="minorHAnsi"/>
                <w:sz w:val="17"/>
                <w:szCs w:val="17"/>
              </w:rPr>
              <w:t>00000</w:t>
            </w:r>
          </w:p>
        </w:tc>
        <w:tc>
          <w:tcPr>
            <w:tcW w:w="707" w:type="dxa"/>
            <w:gridSpan w:val="5"/>
            <w:tcBorders>
              <w:top w:val="single" w:sz="4" w:space="0" w:color="auto"/>
              <w:left w:val="single" w:sz="4" w:space="0" w:color="auto"/>
              <w:bottom w:val="single" w:sz="4" w:space="0" w:color="auto"/>
              <w:right w:val="single" w:sz="4" w:space="0" w:color="auto"/>
            </w:tcBorders>
          </w:tcPr>
          <w:p w:rsidR="00B44960" w:rsidRPr="0051317E" w:rsidRDefault="00B44960" w:rsidP="00BA11CF">
            <w:pPr>
              <w:jc w:val="right"/>
              <w:rPr>
                <w:rFonts w:asciiTheme="minorHAnsi" w:hAnsiTheme="minorHAnsi" w:cstheme="minorHAnsi"/>
                <w:sz w:val="17"/>
                <w:szCs w:val="17"/>
              </w:rPr>
            </w:pPr>
            <w:r w:rsidRPr="0051317E">
              <w:rPr>
                <w:rFonts w:asciiTheme="minorHAnsi" w:hAnsiTheme="minorHAnsi" w:cstheme="minorHAnsi"/>
                <w:sz w:val="17"/>
                <w:szCs w:val="17"/>
              </w:rPr>
              <w:t>335,00</w:t>
            </w:r>
          </w:p>
        </w:tc>
        <w:tc>
          <w:tcPr>
            <w:tcW w:w="994" w:type="dxa"/>
            <w:gridSpan w:val="10"/>
            <w:tcBorders>
              <w:top w:val="single" w:sz="4" w:space="0" w:color="auto"/>
              <w:left w:val="single" w:sz="4" w:space="0" w:color="auto"/>
              <w:bottom w:val="single" w:sz="4" w:space="0" w:color="auto"/>
              <w:right w:val="single" w:sz="4" w:space="0" w:color="auto"/>
            </w:tcBorders>
          </w:tcPr>
          <w:p w:rsidR="00B44960" w:rsidRPr="0051317E" w:rsidRDefault="00B44960" w:rsidP="00BA11CF">
            <w:pPr>
              <w:jc w:val="right"/>
              <w:rPr>
                <w:rFonts w:asciiTheme="minorHAnsi" w:hAnsiTheme="minorHAnsi" w:cstheme="minorHAnsi"/>
                <w:sz w:val="17"/>
                <w:szCs w:val="17"/>
              </w:rPr>
            </w:pPr>
            <w:r w:rsidRPr="0051317E">
              <w:rPr>
                <w:rFonts w:asciiTheme="minorHAnsi" w:hAnsiTheme="minorHAnsi" w:cstheme="minorHAnsi"/>
                <w:sz w:val="17"/>
                <w:szCs w:val="17"/>
              </w:rPr>
              <w:t>330,00</w:t>
            </w:r>
          </w:p>
        </w:tc>
        <w:tc>
          <w:tcPr>
            <w:tcW w:w="4568" w:type="dxa"/>
            <w:gridSpan w:val="36"/>
            <w:tcBorders>
              <w:top w:val="single" w:sz="4" w:space="0" w:color="auto"/>
              <w:left w:val="single" w:sz="4" w:space="0" w:color="auto"/>
              <w:bottom w:val="single" w:sz="4" w:space="0" w:color="auto"/>
              <w:right w:val="single" w:sz="4" w:space="0" w:color="auto"/>
            </w:tcBorders>
          </w:tcPr>
          <w:p w:rsidR="00B44960" w:rsidRPr="0051317E" w:rsidRDefault="00B44960" w:rsidP="00BA11CF">
            <w:pPr>
              <w:rPr>
                <w:rFonts w:asciiTheme="minorHAnsi" w:hAnsiTheme="minorHAnsi" w:cstheme="minorHAnsi"/>
                <w:b/>
                <w:sz w:val="17"/>
                <w:szCs w:val="17"/>
                <w:u w:val="single"/>
              </w:rPr>
            </w:pPr>
            <w:r w:rsidRPr="0051317E">
              <w:rPr>
                <w:rFonts w:asciiTheme="minorHAnsi" w:hAnsiTheme="minorHAnsi" w:cstheme="minorHAnsi"/>
                <w:b/>
                <w:sz w:val="17"/>
                <w:szCs w:val="17"/>
                <w:u w:val="single"/>
              </w:rPr>
              <w:t>Neinvestiční transfery spolkům</w:t>
            </w:r>
            <w:r w:rsidRPr="0051317E">
              <w:rPr>
                <w:rFonts w:asciiTheme="minorHAnsi" w:hAnsiTheme="minorHAnsi" w:cstheme="minorHAnsi"/>
                <w:b/>
                <w:sz w:val="17"/>
                <w:szCs w:val="17"/>
              </w:rPr>
              <w:t xml:space="preserve"> (Ostatní sociální péče a pomoc rodině a manželství)</w:t>
            </w:r>
          </w:p>
          <w:p w:rsidR="00B44960" w:rsidRPr="0051317E" w:rsidRDefault="00B44960" w:rsidP="00225B7E">
            <w:pPr>
              <w:jc w:val="both"/>
              <w:rPr>
                <w:rFonts w:asciiTheme="minorHAnsi" w:hAnsiTheme="minorHAnsi" w:cstheme="minorHAnsi"/>
                <w:sz w:val="17"/>
                <w:szCs w:val="17"/>
              </w:rPr>
            </w:pPr>
            <w:r w:rsidRPr="0051317E">
              <w:rPr>
                <w:rFonts w:asciiTheme="minorHAnsi" w:hAnsiTheme="minorHAnsi" w:cstheme="minorHAnsi"/>
                <w:spacing w:val="-4"/>
                <w:sz w:val="17"/>
                <w:szCs w:val="17"/>
              </w:rPr>
              <w:t>SOS dětské vesničky, z.</w:t>
            </w:r>
            <w:r w:rsidR="00225B7E" w:rsidRPr="0051317E">
              <w:rPr>
                <w:rFonts w:asciiTheme="minorHAnsi" w:hAnsiTheme="minorHAnsi" w:cstheme="minorHAnsi"/>
                <w:spacing w:val="-4"/>
                <w:sz w:val="17"/>
                <w:szCs w:val="17"/>
              </w:rPr>
              <w:t xml:space="preserve"> </w:t>
            </w:r>
            <w:r w:rsidRPr="0051317E">
              <w:rPr>
                <w:rFonts w:asciiTheme="minorHAnsi" w:hAnsiTheme="minorHAnsi" w:cstheme="minorHAnsi"/>
                <w:spacing w:val="-4"/>
                <w:sz w:val="17"/>
                <w:szCs w:val="17"/>
              </w:rPr>
              <w:t>s. – vratka nevyčerpané dotace</w:t>
            </w:r>
            <w:r w:rsidRPr="0051317E">
              <w:rPr>
                <w:rFonts w:asciiTheme="minorHAnsi" w:hAnsiTheme="minorHAnsi" w:cstheme="minorHAnsi"/>
                <w:sz w:val="17"/>
                <w:szCs w:val="17"/>
              </w:rPr>
              <w:t xml:space="preserve"> poskytnuté z rozpoč</w:t>
            </w:r>
            <w:r w:rsidR="00225B7E" w:rsidRPr="0051317E">
              <w:rPr>
                <w:rFonts w:asciiTheme="minorHAnsi" w:hAnsiTheme="minorHAnsi" w:cstheme="minorHAnsi"/>
                <w:sz w:val="17"/>
                <w:szCs w:val="17"/>
              </w:rPr>
              <w:t>tu města v roce 2022; smlouva</w:t>
            </w:r>
            <w:r w:rsidR="00243915">
              <w:rPr>
                <w:rFonts w:asciiTheme="minorHAnsi" w:hAnsiTheme="minorHAnsi" w:cstheme="minorHAnsi"/>
                <w:sz w:val="17"/>
                <w:szCs w:val="17"/>
              </w:rPr>
              <w:t xml:space="preserve"> o </w:t>
            </w:r>
            <w:r w:rsidRPr="0051317E">
              <w:rPr>
                <w:rFonts w:asciiTheme="minorHAnsi" w:hAnsiTheme="minorHAnsi" w:cstheme="minorHAnsi"/>
                <w:sz w:val="17"/>
                <w:szCs w:val="17"/>
              </w:rPr>
              <w:t>poskytnutí</w:t>
            </w:r>
            <w:r w:rsidR="00225B7E" w:rsidRPr="0051317E">
              <w:rPr>
                <w:rFonts w:asciiTheme="minorHAnsi" w:hAnsiTheme="minorHAnsi" w:cstheme="minorHAnsi"/>
                <w:sz w:val="17"/>
                <w:szCs w:val="17"/>
              </w:rPr>
              <w:t xml:space="preserve"> dotace č. </w:t>
            </w:r>
            <w:r w:rsidRPr="0051317E">
              <w:rPr>
                <w:rFonts w:asciiTheme="minorHAnsi" w:hAnsiTheme="minorHAnsi" w:cstheme="minorHAnsi"/>
                <w:sz w:val="17"/>
                <w:szCs w:val="17"/>
              </w:rPr>
              <w:t>OSV/22/21/21.</w:t>
            </w:r>
          </w:p>
        </w:tc>
      </w:tr>
      <w:tr w:rsidR="00243915" w:rsidRPr="00B44960" w:rsidTr="00E101BC">
        <w:tc>
          <w:tcPr>
            <w:tcW w:w="781" w:type="dxa"/>
            <w:gridSpan w:val="5"/>
            <w:tcBorders>
              <w:top w:val="single" w:sz="4" w:space="0" w:color="auto"/>
              <w:left w:val="single" w:sz="4" w:space="0" w:color="auto"/>
              <w:bottom w:val="single" w:sz="4" w:space="0" w:color="auto"/>
              <w:right w:val="single" w:sz="4" w:space="0" w:color="auto"/>
            </w:tcBorders>
          </w:tcPr>
          <w:p w:rsidR="00B44960" w:rsidRPr="0051317E" w:rsidRDefault="00B44960" w:rsidP="00BA11CF">
            <w:pPr>
              <w:jc w:val="center"/>
              <w:rPr>
                <w:rFonts w:asciiTheme="minorHAnsi" w:hAnsiTheme="minorHAnsi" w:cstheme="minorHAnsi"/>
                <w:sz w:val="17"/>
                <w:szCs w:val="17"/>
              </w:rPr>
            </w:pPr>
            <w:r w:rsidRPr="0051317E">
              <w:rPr>
                <w:rFonts w:asciiTheme="minorHAnsi" w:hAnsiTheme="minorHAnsi" w:cstheme="minorHAnsi"/>
                <w:sz w:val="17"/>
                <w:szCs w:val="17"/>
              </w:rPr>
              <w:t>4359</w:t>
            </w:r>
          </w:p>
        </w:tc>
        <w:tc>
          <w:tcPr>
            <w:tcW w:w="567" w:type="dxa"/>
            <w:gridSpan w:val="4"/>
            <w:tcBorders>
              <w:top w:val="single" w:sz="4" w:space="0" w:color="auto"/>
              <w:left w:val="single" w:sz="4" w:space="0" w:color="auto"/>
              <w:bottom w:val="single" w:sz="4" w:space="0" w:color="auto"/>
              <w:right w:val="single" w:sz="4" w:space="0" w:color="auto"/>
            </w:tcBorders>
          </w:tcPr>
          <w:p w:rsidR="00B44960" w:rsidRPr="0051317E" w:rsidRDefault="00B44960" w:rsidP="00BA11CF">
            <w:pPr>
              <w:jc w:val="center"/>
              <w:rPr>
                <w:rFonts w:asciiTheme="minorHAnsi" w:hAnsiTheme="minorHAnsi" w:cstheme="minorHAnsi"/>
                <w:sz w:val="17"/>
                <w:szCs w:val="17"/>
              </w:rPr>
            </w:pPr>
            <w:r w:rsidRPr="0051317E">
              <w:rPr>
                <w:rFonts w:asciiTheme="minorHAnsi" w:hAnsiTheme="minorHAnsi" w:cstheme="minorHAnsi"/>
                <w:sz w:val="17"/>
                <w:szCs w:val="17"/>
              </w:rPr>
              <w:t>6359</w:t>
            </w:r>
          </w:p>
        </w:tc>
        <w:tc>
          <w:tcPr>
            <w:tcW w:w="1275" w:type="dxa"/>
            <w:gridSpan w:val="14"/>
            <w:tcBorders>
              <w:top w:val="single" w:sz="4" w:space="0" w:color="auto"/>
              <w:left w:val="single" w:sz="4" w:space="0" w:color="auto"/>
              <w:bottom w:val="single" w:sz="4" w:space="0" w:color="auto"/>
              <w:right w:val="single" w:sz="4" w:space="0" w:color="auto"/>
            </w:tcBorders>
          </w:tcPr>
          <w:p w:rsidR="00B44960" w:rsidRPr="0051317E" w:rsidRDefault="00B44960" w:rsidP="00BA11CF">
            <w:pPr>
              <w:jc w:val="center"/>
              <w:rPr>
                <w:rFonts w:asciiTheme="minorHAnsi" w:hAnsiTheme="minorHAnsi" w:cstheme="minorHAnsi"/>
                <w:sz w:val="17"/>
                <w:szCs w:val="17"/>
              </w:rPr>
            </w:pPr>
            <w:r w:rsidRPr="0051317E">
              <w:rPr>
                <w:rFonts w:asciiTheme="minorHAnsi" w:hAnsiTheme="minorHAnsi" w:cstheme="minorHAnsi"/>
                <w:sz w:val="17"/>
                <w:szCs w:val="17"/>
              </w:rPr>
              <w:t>0210000000000</w:t>
            </w:r>
          </w:p>
        </w:tc>
        <w:tc>
          <w:tcPr>
            <w:tcW w:w="710" w:type="dxa"/>
            <w:gridSpan w:val="9"/>
            <w:tcBorders>
              <w:top w:val="single" w:sz="4" w:space="0" w:color="auto"/>
              <w:left w:val="single" w:sz="4" w:space="0" w:color="auto"/>
              <w:bottom w:val="single" w:sz="4" w:space="0" w:color="auto"/>
              <w:right w:val="single" w:sz="4" w:space="0" w:color="auto"/>
            </w:tcBorders>
          </w:tcPr>
          <w:p w:rsidR="00B44960" w:rsidRPr="0051317E" w:rsidRDefault="00B44960" w:rsidP="00BA11CF">
            <w:pPr>
              <w:jc w:val="center"/>
              <w:rPr>
                <w:rFonts w:asciiTheme="minorHAnsi" w:hAnsiTheme="minorHAnsi" w:cstheme="minorHAnsi"/>
                <w:sz w:val="17"/>
                <w:szCs w:val="17"/>
              </w:rPr>
            </w:pPr>
            <w:r w:rsidRPr="0051317E">
              <w:rPr>
                <w:rFonts w:asciiTheme="minorHAnsi" w:hAnsiTheme="minorHAnsi" w:cstheme="minorHAnsi"/>
                <w:sz w:val="17"/>
                <w:szCs w:val="17"/>
              </w:rPr>
              <w:t>00001</w:t>
            </w:r>
          </w:p>
        </w:tc>
        <w:tc>
          <w:tcPr>
            <w:tcW w:w="707" w:type="dxa"/>
            <w:gridSpan w:val="5"/>
            <w:tcBorders>
              <w:top w:val="single" w:sz="4" w:space="0" w:color="auto"/>
              <w:left w:val="single" w:sz="4" w:space="0" w:color="auto"/>
              <w:bottom w:val="single" w:sz="4" w:space="0" w:color="auto"/>
              <w:right w:val="single" w:sz="4" w:space="0" w:color="auto"/>
            </w:tcBorders>
          </w:tcPr>
          <w:p w:rsidR="00B44960" w:rsidRPr="0051317E" w:rsidRDefault="00B44960" w:rsidP="00BA11CF">
            <w:pPr>
              <w:jc w:val="right"/>
              <w:rPr>
                <w:rFonts w:asciiTheme="minorHAnsi" w:hAnsiTheme="minorHAnsi" w:cstheme="minorHAnsi"/>
                <w:sz w:val="17"/>
                <w:szCs w:val="17"/>
              </w:rPr>
            </w:pPr>
            <w:r w:rsidRPr="0051317E">
              <w:rPr>
                <w:rFonts w:asciiTheme="minorHAnsi" w:hAnsiTheme="minorHAnsi" w:cstheme="minorHAnsi"/>
                <w:sz w:val="17"/>
                <w:szCs w:val="17"/>
              </w:rPr>
              <w:t>199,00</w:t>
            </w:r>
          </w:p>
        </w:tc>
        <w:tc>
          <w:tcPr>
            <w:tcW w:w="994" w:type="dxa"/>
            <w:gridSpan w:val="10"/>
            <w:tcBorders>
              <w:top w:val="single" w:sz="4" w:space="0" w:color="auto"/>
              <w:left w:val="single" w:sz="4" w:space="0" w:color="auto"/>
              <w:bottom w:val="single" w:sz="4" w:space="0" w:color="auto"/>
              <w:right w:val="single" w:sz="4" w:space="0" w:color="auto"/>
            </w:tcBorders>
          </w:tcPr>
          <w:p w:rsidR="00B44960" w:rsidRPr="0051317E" w:rsidRDefault="00B44960" w:rsidP="00BA11CF">
            <w:pPr>
              <w:jc w:val="right"/>
              <w:rPr>
                <w:rFonts w:asciiTheme="minorHAnsi" w:hAnsiTheme="minorHAnsi" w:cstheme="minorHAnsi"/>
                <w:sz w:val="17"/>
                <w:szCs w:val="17"/>
              </w:rPr>
            </w:pPr>
            <w:r w:rsidRPr="0051317E">
              <w:rPr>
                <w:rFonts w:asciiTheme="minorHAnsi" w:hAnsiTheme="minorHAnsi" w:cstheme="minorHAnsi"/>
                <w:sz w:val="17"/>
                <w:szCs w:val="17"/>
              </w:rPr>
              <w:t>0,00</w:t>
            </w:r>
          </w:p>
        </w:tc>
        <w:tc>
          <w:tcPr>
            <w:tcW w:w="4568" w:type="dxa"/>
            <w:gridSpan w:val="36"/>
            <w:tcBorders>
              <w:top w:val="single" w:sz="4" w:space="0" w:color="auto"/>
              <w:left w:val="single" w:sz="4" w:space="0" w:color="auto"/>
              <w:bottom w:val="single" w:sz="4" w:space="0" w:color="auto"/>
              <w:right w:val="single" w:sz="4" w:space="0" w:color="auto"/>
            </w:tcBorders>
          </w:tcPr>
          <w:p w:rsidR="00B44960" w:rsidRPr="0051317E" w:rsidRDefault="00B44960" w:rsidP="00BA11CF">
            <w:pPr>
              <w:rPr>
                <w:rFonts w:asciiTheme="minorHAnsi" w:hAnsiTheme="minorHAnsi" w:cstheme="minorHAnsi"/>
                <w:b/>
                <w:sz w:val="17"/>
                <w:szCs w:val="17"/>
              </w:rPr>
            </w:pPr>
            <w:r w:rsidRPr="0051317E">
              <w:rPr>
                <w:rFonts w:asciiTheme="minorHAnsi" w:hAnsiTheme="minorHAnsi" w:cstheme="minorHAnsi"/>
                <w:b/>
                <w:sz w:val="17"/>
                <w:szCs w:val="17"/>
                <w:u w:val="single"/>
              </w:rPr>
              <w:t>Investiční transfery příspěvkovým organizacím zřízeným jiným zřizovatelem</w:t>
            </w:r>
            <w:r w:rsidRPr="0051317E">
              <w:rPr>
                <w:rFonts w:asciiTheme="minorHAnsi" w:hAnsiTheme="minorHAnsi" w:cstheme="minorHAnsi"/>
                <w:b/>
                <w:sz w:val="17"/>
                <w:szCs w:val="17"/>
              </w:rPr>
              <w:t xml:space="preserve"> </w:t>
            </w:r>
          </w:p>
          <w:p w:rsidR="00B44960" w:rsidRPr="0051317E" w:rsidRDefault="00B44960" w:rsidP="00BA11CF">
            <w:pPr>
              <w:rPr>
                <w:rFonts w:asciiTheme="minorHAnsi" w:hAnsiTheme="minorHAnsi" w:cstheme="minorHAnsi"/>
                <w:b/>
                <w:sz w:val="17"/>
                <w:szCs w:val="17"/>
              </w:rPr>
            </w:pPr>
            <w:r w:rsidRPr="0051317E">
              <w:rPr>
                <w:rFonts w:asciiTheme="minorHAnsi" w:hAnsiTheme="minorHAnsi" w:cstheme="minorHAnsi"/>
                <w:b/>
                <w:sz w:val="17"/>
                <w:szCs w:val="17"/>
              </w:rPr>
              <w:t>(Ostatní služby a činnosti v oblasti sociální péče)</w:t>
            </w:r>
          </w:p>
          <w:p w:rsidR="00B44960" w:rsidRPr="0051317E" w:rsidRDefault="00B44960" w:rsidP="00BA11CF">
            <w:pPr>
              <w:jc w:val="both"/>
              <w:rPr>
                <w:rFonts w:asciiTheme="minorHAnsi" w:hAnsiTheme="minorHAnsi" w:cstheme="minorHAnsi"/>
                <w:b/>
                <w:sz w:val="17"/>
                <w:szCs w:val="17"/>
                <w:u w:val="single"/>
              </w:rPr>
            </w:pPr>
            <w:r w:rsidRPr="0051317E">
              <w:rPr>
                <w:rFonts w:asciiTheme="minorHAnsi" w:hAnsiTheme="minorHAnsi" w:cstheme="minorHAnsi"/>
                <w:b/>
                <w:sz w:val="17"/>
                <w:szCs w:val="17"/>
                <w:u w:val="single"/>
              </w:rPr>
              <w:t>Centrum sociálních služeb Prostějov, příspěvková organizace</w:t>
            </w:r>
            <w:r w:rsidRPr="0051317E">
              <w:rPr>
                <w:rFonts w:asciiTheme="minorHAnsi" w:hAnsiTheme="minorHAnsi" w:cstheme="minorHAnsi"/>
                <w:sz w:val="17"/>
                <w:szCs w:val="17"/>
              </w:rPr>
              <w:t xml:space="preserve"> – v roce 2022 poskytnut peněžitý dar na </w:t>
            </w:r>
            <w:r w:rsidRPr="0051317E">
              <w:rPr>
                <w:rFonts w:asciiTheme="minorHAnsi" w:hAnsiTheme="minorHAnsi" w:cstheme="minorHAnsi"/>
                <w:spacing w:val="-2"/>
                <w:sz w:val="17"/>
                <w:szCs w:val="17"/>
              </w:rPr>
              <w:t>pořízení Party stanů; obdarovaný prostředky z důvodu</w:t>
            </w:r>
            <w:r w:rsidRPr="0051317E">
              <w:rPr>
                <w:rFonts w:asciiTheme="minorHAnsi" w:hAnsiTheme="minorHAnsi" w:cstheme="minorHAnsi"/>
                <w:sz w:val="17"/>
                <w:szCs w:val="17"/>
              </w:rPr>
              <w:t xml:space="preserve"> </w:t>
            </w:r>
            <w:r w:rsidRPr="0051317E">
              <w:rPr>
                <w:rFonts w:asciiTheme="minorHAnsi" w:hAnsiTheme="minorHAnsi" w:cstheme="minorHAnsi"/>
                <w:spacing w:val="-2"/>
                <w:sz w:val="17"/>
                <w:szCs w:val="17"/>
              </w:rPr>
              <w:t>interních postupů stanovených zřizovatelem vrátil zpět</w:t>
            </w:r>
            <w:r w:rsidRPr="0051317E">
              <w:rPr>
                <w:rFonts w:asciiTheme="minorHAnsi" w:hAnsiTheme="minorHAnsi" w:cstheme="minorHAnsi"/>
                <w:spacing w:val="-4"/>
                <w:sz w:val="17"/>
                <w:szCs w:val="17"/>
              </w:rPr>
              <w:t xml:space="preserve"> na účet města a v roce 2023</w:t>
            </w:r>
            <w:r w:rsidR="00225B7E" w:rsidRPr="0051317E">
              <w:rPr>
                <w:rFonts w:asciiTheme="minorHAnsi" w:hAnsiTheme="minorHAnsi" w:cstheme="minorHAnsi"/>
                <w:sz w:val="17"/>
                <w:szCs w:val="17"/>
              </w:rPr>
              <w:t xml:space="preserve"> bude žádat o </w:t>
            </w:r>
            <w:r w:rsidRPr="0051317E">
              <w:rPr>
                <w:rFonts w:asciiTheme="minorHAnsi" w:hAnsiTheme="minorHAnsi" w:cstheme="minorHAnsi"/>
                <w:sz w:val="17"/>
                <w:szCs w:val="17"/>
              </w:rPr>
              <w:t>poskytnutí dotace na daný účel.</w:t>
            </w:r>
          </w:p>
        </w:tc>
      </w:tr>
      <w:tr w:rsidR="00243915" w:rsidRPr="00B44960" w:rsidTr="00E101BC">
        <w:tc>
          <w:tcPr>
            <w:tcW w:w="781" w:type="dxa"/>
            <w:gridSpan w:val="5"/>
            <w:tcBorders>
              <w:top w:val="single" w:sz="4" w:space="0" w:color="auto"/>
              <w:left w:val="single" w:sz="4" w:space="0" w:color="auto"/>
              <w:bottom w:val="single" w:sz="4" w:space="0" w:color="auto"/>
              <w:right w:val="single" w:sz="4" w:space="0" w:color="auto"/>
            </w:tcBorders>
          </w:tcPr>
          <w:p w:rsidR="00B44960" w:rsidRPr="0051317E" w:rsidRDefault="00B44960" w:rsidP="00BA11CF">
            <w:pPr>
              <w:jc w:val="center"/>
              <w:rPr>
                <w:rFonts w:asciiTheme="minorHAnsi" w:hAnsiTheme="minorHAnsi" w:cstheme="minorHAnsi"/>
                <w:sz w:val="17"/>
                <w:szCs w:val="17"/>
              </w:rPr>
            </w:pPr>
            <w:r w:rsidRPr="0051317E">
              <w:rPr>
                <w:rFonts w:asciiTheme="minorHAnsi" w:hAnsiTheme="minorHAnsi" w:cstheme="minorHAnsi"/>
                <w:sz w:val="17"/>
                <w:szCs w:val="17"/>
              </w:rPr>
              <w:t>3533</w:t>
            </w:r>
          </w:p>
        </w:tc>
        <w:tc>
          <w:tcPr>
            <w:tcW w:w="567" w:type="dxa"/>
            <w:gridSpan w:val="4"/>
            <w:tcBorders>
              <w:top w:val="single" w:sz="4" w:space="0" w:color="auto"/>
              <w:left w:val="single" w:sz="4" w:space="0" w:color="auto"/>
              <w:bottom w:val="single" w:sz="4" w:space="0" w:color="auto"/>
              <w:right w:val="single" w:sz="4" w:space="0" w:color="auto"/>
            </w:tcBorders>
          </w:tcPr>
          <w:p w:rsidR="00B44960" w:rsidRPr="0051317E" w:rsidRDefault="00B44960" w:rsidP="00BA11CF">
            <w:pPr>
              <w:jc w:val="center"/>
              <w:rPr>
                <w:rFonts w:asciiTheme="minorHAnsi" w:hAnsiTheme="minorHAnsi" w:cstheme="minorHAnsi"/>
                <w:sz w:val="17"/>
                <w:szCs w:val="17"/>
              </w:rPr>
            </w:pPr>
            <w:r w:rsidRPr="0051317E">
              <w:rPr>
                <w:rFonts w:asciiTheme="minorHAnsi" w:hAnsiTheme="minorHAnsi" w:cstheme="minorHAnsi"/>
                <w:sz w:val="17"/>
                <w:szCs w:val="17"/>
              </w:rPr>
              <w:t>5339</w:t>
            </w:r>
          </w:p>
        </w:tc>
        <w:tc>
          <w:tcPr>
            <w:tcW w:w="1275" w:type="dxa"/>
            <w:gridSpan w:val="14"/>
            <w:tcBorders>
              <w:top w:val="single" w:sz="4" w:space="0" w:color="auto"/>
              <w:left w:val="single" w:sz="4" w:space="0" w:color="auto"/>
              <w:bottom w:val="single" w:sz="4" w:space="0" w:color="auto"/>
              <w:right w:val="single" w:sz="4" w:space="0" w:color="auto"/>
            </w:tcBorders>
          </w:tcPr>
          <w:p w:rsidR="00B44960" w:rsidRPr="0051317E" w:rsidRDefault="00B44960" w:rsidP="00BA11CF">
            <w:pPr>
              <w:jc w:val="center"/>
              <w:rPr>
                <w:rFonts w:asciiTheme="minorHAnsi" w:hAnsiTheme="minorHAnsi" w:cstheme="minorHAnsi"/>
                <w:sz w:val="17"/>
                <w:szCs w:val="17"/>
              </w:rPr>
            </w:pPr>
            <w:r w:rsidRPr="0051317E">
              <w:rPr>
                <w:rFonts w:asciiTheme="minorHAnsi" w:hAnsiTheme="minorHAnsi" w:cstheme="minorHAnsi"/>
                <w:sz w:val="17"/>
                <w:szCs w:val="17"/>
              </w:rPr>
              <w:t>0210000210100</w:t>
            </w:r>
          </w:p>
        </w:tc>
        <w:tc>
          <w:tcPr>
            <w:tcW w:w="710" w:type="dxa"/>
            <w:gridSpan w:val="9"/>
            <w:tcBorders>
              <w:top w:val="single" w:sz="4" w:space="0" w:color="auto"/>
              <w:left w:val="single" w:sz="4" w:space="0" w:color="auto"/>
              <w:bottom w:val="single" w:sz="4" w:space="0" w:color="auto"/>
              <w:right w:val="single" w:sz="4" w:space="0" w:color="auto"/>
            </w:tcBorders>
          </w:tcPr>
          <w:p w:rsidR="00B44960" w:rsidRPr="0051317E" w:rsidRDefault="00B44960" w:rsidP="00BA11CF">
            <w:pPr>
              <w:jc w:val="center"/>
              <w:rPr>
                <w:rFonts w:asciiTheme="minorHAnsi" w:hAnsiTheme="minorHAnsi" w:cstheme="minorHAnsi"/>
                <w:sz w:val="17"/>
                <w:szCs w:val="17"/>
              </w:rPr>
            </w:pPr>
            <w:r w:rsidRPr="0051317E">
              <w:rPr>
                <w:rFonts w:asciiTheme="minorHAnsi" w:hAnsiTheme="minorHAnsi" w:cstheme="minorHAnsi"/>
                <w:sz w:val="17"/>
                <w:szCs w:val="17"/>
              </w:rPr>
              <w:t>00000</w:t>
            </w:r>
          </w:p>
        </w:tc>
        <w:tc>
          <w:tcPr>
            <w:tcW w:w="707" w:type="dxa"/>
            <w:gridSpan w:val="5"/>
            <w:tcBorders>
              <w:top w:val="single" w:sz="4" w:space="0" w:color="auto"/>
              <w:left w:val="single" w:sz="4" w:space="0" w:color="auto"/>
              <w:bottom w:val="single" w:sz="4" w:space="0" w:color="auto"/>
              <w:right w:val="single" w:sz="4" w:space="0" w:color="auto"/>
            </w:tcBorders>
          </w:tcPr>
          <w:p w:rsidR="00B44960" w:rsidRPr="0051317E" w:rsidRDefault="00B44960" w:rsidP="00BA11CF">
            <w:pPr>
              <w:jc w:val="right"/>
              <w:rPr>
                <w:rFonts w:asciiTheme="minorHAnsi" w:hAnsiTheme="minorHAnsi" w:cstheme="minorHAnsi"/>
                <w:sz w:val="17"/>
                <w:szCs w:val="17"/>
              </w:rPr>
            </w:pPr>
            <w:r w:rsidRPr="0051317E">
              <w:rPr>
                <w:rFonts w:asciiTheme="minorHAnsi" w:hAnsiTheme="minorHAnsi" w:cstheme="minorHAnsi"/>
                <w:sz w:val="17"/>
                <w:szCs w:val="17"/>
              </w:rPr>
              <w:t>49,00</w:t>
            </w:r>
          </w:p>
        </w:tc>
        <w:tc>
          <w:tcPr>
            <w:tcW w:w="994" w:type="dxa"/>
            <w:gridSpan w:val="10"/>
            <w:tcBorders>
              <w:top w:val="single" w:sz="4" w:space="0" w:color="auto"/>
              <w:left w:val="single" w:sz="4" w:space="0" w:color="auto"/>
              <w:bottom w:val="single" w:sz="4" w:space="0" w:color="auto"/>
              <w:right w:val="single" w:sz="4" w:space="0" w:color="auto"/>
            </w:tcBorders>
          </w:tcPr>
          <w:p w:rsidR="00B44960" w:rsidRPr="0051317E" w:rsidRDefault="00B44960" w:rsidP="00BA11CF">
            <w:pPr>
              <w:jc w:val="right"/>
              <w:rPr>
                <w:rFonts w:asciiTheme="minorHAnsi" w:hAnsiTheme="minorHAnsi" w:cstheme="minorHAnsi"/>
                <w:sz w:val="17"/>
                <w:szCs w:val="17"/>
              </w:rPr>
            </w:pPr>
            <w:r w:rsidRPr="0051317E">
              <w:rPr>
                <w:rFonts w:asciiTheme="minorHAnsi" w:hAnsiTheme="minorHAnsi" w:cstheme="minorHAnsi"/>
                <w:sz w:val="17"/>
                <w:szCs w:val="17"/>
              </w:rPr>
              <w:t>47,55</w:t>
            </w:r>
          </w:p>
        </w:tc>
        <w:tc>
          <w:tcPr>
            <w:tcW w:w="4568" w:type="dxa"/>
            <w:gridSpan w:val="36"/>
            <w:tcBorders>
              <w:top w:val="single" w:sz="4" w:space="0" w:color="auto"/>
              <w:left w:val="single" w:sz="4" w:space="0" w:color="auto"/>
              <w:bottom w:val="single" w:sz="4" w:space="0" w:color="auto"/>
              <w:right w:val="single" w:sz="4" w:space="0" w:color="auto"/>
            </w:tcBorders>
          </w:tcPr>
          <w:p w:rsidR="00B44960" w:rsidRPr="0051317E" w:rsidRDefault="00B44960" w:rsidP="00BA11CF">
            <w:pPr>
              <w:rPr>
                <w:rFonts w:asciiTheme="minorHAnsi" w:hAnsiTheme="minorHAnsi" w:cstheme="minorHAnsi"/>
                <w:b/>
                <w:sz w:val="17"/>
                <w:szCs w:val="17"/>
                <w:u w:val="single"/>
              </w:rPr>
            </w:pPr>
            <w:r w:rsidRPr="0051317E">
              <w:rPr>
                <w:rFonts w:asciiTheme="minorHAnsi" w:hAnsiTheme="minorHAnsi" w:cstheme="minorHAnsi"/>
                <w:b/>
                <w:sz w:val="17"/>
                <w:szCs w:val="17"/>
                <w:u w:val="single"/>
              </w:rPr>
              <w:t>Neinvestiční transfery cizím příspěvkovým organizacím</w:t>
            </w:r>
            <w:r w:rsidRPr="0051317E">
              <w:rPr>
                <w:rFonts w:asciiTheme="minorHAnsi" w:hAnsiTheme="minorHAnsi" w:cstheme="minorHAnsi"/>
                <w:b/>
                <w:sz w:val="17"/>
                <w:szCs w:val="17"/>
              </w:rPr>
              <w:t xml:space="preserve"> (Zdravotnická záchranná služba)</w:t>
            </w:r>
          </w:p>
          <w:p w:rsidR="00B44960" w:rsidRPr="0051317E" w:rsidRDefault="00B44960" w:rsidP="00BA11CF">
            <w:pPr>
              <w:jc w:val="both"/>
              <w:rPr>
                <w:rFonts w:asciiTheme="minorHAnsi" w:hAnsiTheme="minorHAnsi" w:cstheme="minorHAnsi"/>
                <w:sz w:val="17"/>
                <w:szCs w:val="17"/>
              </w:rPr>
            </w:pPr>
            <w:r w:rsidRPr="0051317E">
              <w:rPr>
                <w:rFonts w:asciiTheme="minorHAnsi" w:hAnsiTheme="minorHAnsi" w:cstheme="minorHAnsi"/>
                <w:sz w:val="17"/>
                <w:szCs w:val="17"/>
              </w:rPr>
              <w:t xml:space="preserve">Zdravotnická záchranná služba Olomouckého kraje, příspěvková organizace – vratka nevyčerpané části </w:t>
            </w:r>
            <w:r w:rsidRPr="0051317E">
              <w:rPr>
                <w:rFonts w:asciiTheme="minorHAnsi" w:hAnsiTheme="minorHAnsi" w:cstheme="minorHAnsi"/>
                <w:spacing w:val="-6"/>
                <w:sz w:val="17"/>
                <w:szCs w:val="17"/>
              </w:rPr>
              <w:t>dotace poskytnuté z rozpočtu města v roce 2022; smlouva</w:t>
            </w:r>
            <w:r w:rsidRPr="0051317E">
              <w:rPr>
                <w:rFonts w:asciiTheme="minorHAnsi" w:hAnsiTheme="minorHAnsi" w:cstheme="minorHAnsi"/>
                <w:sz w:val="17"/>
                <w:szCs w:val="17"/>
              </w:rPr>
              <w:t xml:space="preserve"> o poskytnutí dotace č. OSV/22/21/54.</w:t>
            </w:r>
          </w:p>
        </w:tc>
      </w:tr>
    </w:tbl>
    <w:p w:rsidR="00B44960" w:rsidRPr="00B44960" w:rsidRDefault="00B44960" w:rsidP="00B44960">
      <w:pPr>
        <w:rPr>
          <w:rFonts w:asciiTheme="minorHAnsi" w:hAnsiTheme="minorHAnsi" w:cstheme="minorHAnsi"/>
          <w:b/>
          <w:sz w:val="20"/>
          <w:szCs w:val="20"/>
        </w:rPr>
      </w:pPr>
    </w:p>
    <w:p w:rsidR="00B44960" w:rsidRPr="00B44960" w:rsidRDefault="00B44960" w:rsidP="00B44960">
      <w:pPr>
        <w:rPr>
          <w:rFonts w:asciiTheme="minorHAnsi" w:hAnsiTheme="minorHAnsi" w:cstheme="minorHAnsi"/>
          <w:b/>
          <w:sz w:val="20"/>
          <w:szCs w:val="20"/>
        </w:rPr>
      </w:pPr>
    </w:p>
    <w:p w:rsidR="00B44960" w:rsidRPr="00B44960" w:rsidRDefault="00B44960" w:rsidP="0051317E">
      <w:pPr>
        <w:ind w:right="-142"/>
        <w:rPr>
          <w:rFonts w:asciiTheme="minorHAnsi" w:hAnsiTheme="minorHAnsi" w:cstheme="minorHAnsi"/>
          <w:b/>
          <w:sz w:val="20"/>
          <w:szCs w:val="20"/>
        </w:rPr>
      </w:pPr>
      <w:r w:rsidRPr="00B44960">
        <w:rPr>
          <w:rFonts w:asciiTheme="minorHAnsi" w:hAnsiTheme="minorHAnsi" w:cstheme="minorHAnsi"/>
          <w:b/>
          <w:sz w:val="20"/>
          <w:szCs w:val="20"/>
        </w:rPr>
        <w:t>Prostějov: 14.02.2023</w:t>
      </w:r>
      <w:r w:rsidRPr="00B44960">
        <w:rPr>
          <w:rFonts w:asciiTheme="minorHAnsi" w:hAnsiTheme="minorHAnsi" w:cstheme="minorHAnsi"/>
          <w:b/>
          <w:sz w:val="20"/>
          <w:szCs w:val="20"/>
        </w:rPr>
        <w:tab/>
      </w:r>
      <w:r w:rsidRPr="00B44960">
        <w:rPr>
          <w:rFonts w:asciiTheme="minorHAnsi" w:hAnsiTheme="minorHAnsi" w:cstheme="minorHAnsi"/>
          <w:b/>
          <w:sz w:val="20"/>
          <w:szCs w:val="20"/>
        </w:rPr>
        <w:tab/>
      </w:r>
      <w:r w:rsidRPr="00B44960">
        <w:rPr>
          <w:rFonts w:asciiTheme="minorHAnsi" w:hAnsiTheme="minorHAnsi" w:cstheme="minorHAnsi"/>
          <w:b/>
          <w:sz w:val="20"/>
          <w:szCs w:val="20"/>
        </w:rPr>
        <w:tab/>
      </w:r>
      <w:r w:rsidRPr="00B44960">
        <w:rPr>
          <w:rFonts w:asciiTheme="minorHAnsi" w:hAnsiTheme="minorHAnsi" w:cstheme="minorHAnsi"/>
          <w:b/>
          <w:sz w:val="20"/>
          <w:szCs w:val="20"/>
        </w:rPr>
        <w:tab/>
      </w:r>
      <w:r w:rsidRPr="00B44960">
        <w:rPr>
          <w:rFonts w:asciiTheme="minorHAnsi" w:hAnsiTheme="minorHAnsi" w:cstheme="minorHAnsi"/>
          <w:b/>
          <w:sz w:val="20"/>
          <w:szCs w:val="20"/>
        </w:rPr>
        <w:tab/>
      </w:r>
      <w:r w:rsidRPr="00B44960">
        <w:rPr>
          <w:rFonts w:asciiTheme="minorHAnsi" w:hAnsiTheme="minorHAnsi" w:cstheme="minorHAnsi"/>
          <w:b/>
          <w:sz w:val="20"/>
          <w:szCs w:val="20"/>
        </w:rPr>
        <w:tab/>
      </w:r>
      <w:r w:rsidRPr="00B44960">
        <w:rPr>
          <w:rFonts w:asciiTheme="minorHAnsi" w:hAnsiTheme="minorHAnsi" w:cstheme="minorHAnsi"/>
          <w:b/>
          <w:sz w:val="20"/>
          <w:szCs w:val="20"/>
        </w:rPr>
        <w:tab/>
      </w:r>
      <w:r w:rsidRPr="00B44960">
        <w:rPr>
          <w:rFonts w:asciiTheme="minorHAnsi" w:hAnsiTheme="minorHAnsi" w:cstheme="minorHAnsi"/>
          <w:b/>
          <w:sz w:val="20"/>
          <w:szCs w:val="20"/>
        </w:rPr>
        <w:tab/>
      </w:r>
      <w:r w:rsidRPr="00B44960">
        <w:rPr>
          <w:rFonts w:asciiTheme="minorHAnsi" w:hAnsiTheme="minorHAnsi" w:cstheme="minorHAnsi"/>
          <w:b/>
          <w:sz w:val="20"/>
          <w:szCs w:val="20"/>
        </w:rPr>
        <w:tab/>
      </w:r>
      <w:r w:rsidRPr="00B44960">
        <w:rPr>
          <w:rFonts w:asciiTheme="minorHAnsi" w:hAnsiTheme="minorHAnsi" w:cstheme="minorHAnsi"/>
          <w:b/>
          <w:sz w:val="20"/>
          <w:szCs w:val="20"/>
        </w:rPr>
        <w:tab/>
      </w:r>
    </w:p>
    <w:p w:rsidR="00B44960" w:rsidRPr="00B44960" w:rsidRDefault="00B44960" w:rsidP="00B44960">
      <w:pPr>
        <w:tabs>
          <w:tab w:val="left" w:pos="1418"/>
        </w:tabs>
        <w:rPr>
          <w:rFonts w:asciiTheme="minorHAnsi" w:hAnsiTheme="minorHAnsi" w:cstheme="minorHAnsi"/>
          <w:b/>
          <w:sz w:val="20"/>
          <w:szCs w:val="20"/>
        </w:rPr>
      </w:pPr>
      <w:r w:rsidRPr="00B44960">
        <w:rPr>
          <w:rFonts w:asciiTheme="minorHAnsi" w:hAnsiTheme="minorHAnsi" w:cstheme="minorHAnsi"/>
          <w:b/>
          <w:sz w:val="20"/>
          <w:szCs w:val="20"/>
        </w:rPr>
        <w:t>Správce kapitoly:</w:t>
      </w:r>
      <w:r>
        <w:rPr>
          <w:rFonts w:asciiTheme="minorHAnsi" w:hAnsiTheme="minorHAnsi" w:cstheme="minorHAnsi"/>
          <w:b/>
          <w:sz w:val="20"/>
          <w:szCs w:val="20"/>
        </w:rPr>
        <w:t xml:space="preserve"> </w:t>
      </w:r>
      <w:r w:rsidR="00243915">
        <w:rPr>
          <w:rFonts w:asciiTheme="minorHAnsi" w:hAnsiTheme="minorHAnsi" w:cstheme="minorHAnsi"/>
          <w:b/>
          <w:sz w:val="20"/>
          <w:szCs w:val="20"/>
        </w:rPr>
        <w:t xml:space="preserve">Mgr. Bc. Marcela Vejmělková, </w:t>
      </w:r>
      <w:r w:rsidRPr="00B44960">
        <w:rPr>
          <w:rFonts w:asciiTheme="minorHAnsi" w:hAnsiTheme="minorHAnsi" w:cstheme="minorHAnsi"/>
          <w:b/>
          <w:sz w:val="20"/>
          <w:szCs w:val="20"/>
        </w:rPr>
        <w:t>vedoucí OSV MMPv</w:t>
      </w:r>
    </w:p>
    <w:tbl>
      <w:tblPr>
        <w:tblW w:w="12600" w:type="dxa"/>
        <w:tblInd w:w="-72" w:type="dxa"/>
        <w:tblLayout w:type="fixed"/>
        <w:tblCellMar>
          <w:left w:w="70" w:type="dxa"/>
          <w:right w:w="70" w:type="dxa"/>
        </w:tblCellMar>
        <w:tblLook w:val="0000" w:firstRow="0" w:lastRow="0" w:firstColumn="0" w:lastColumn="0" w:noHBand="0" w:noVBand="0"/>
      </w:tblPr>
      <w:tblGrid>
        <w:gridCol w:w="460"/>
        <w:gridCol w:w="392"/>
        <w:gridCol w:w="638"/>
        <w:gridCol w:w="160"/>
        <w:gridCol w:w="121"/>
        <w:gridCol w:w="69"/>
        <w:gridCol w:w="460"/>
        <w:gridCol w:w="110"/>
        <w:gridCol w:w="214"/>
        <w:gridCol w:w="136"/>
        <w:gridCol w:w="147"/>
        <w:gridCol w:w="181"/>
        <w:gridCol w:w="132"/>
        <w:gridCol w:w="170"/>
        <w:gridCol w:w="290"/>
        <w:gridCol w:w="170"/>
        <w:gridCol w:w="290"/>
        <w:gridCol w:w="170"/>
        <w:gridCol w:w="227"/>
        <w:gridCol w:w="110"/>
        <w:gridCol w:w="123"/>
        <w:gridCol w:w="290"/>
        <w:gridCol w:w="110"/>
        <w:gridCol w:w="60"/>
        <w:gridCol w:w="229"/>
        <w:gridCol w:w="70"/>
        <w:gridCol w:w="110"/>
        <w:gridCol w:w="51"/>
        <w:gridCol w:w="290"/>
        <w:gridCol w:w="46"/>
        <w:gridCol w:w="64"/>
        <w:gridCol w:w="60"/>
        <w:gridCol w:w="290"/>
        <w:gridCol w:w="110"/>
        <w:gridCol w:w="60"/>
        <w:gridCol w:w="290"/>
        <w:gridCol w:w="110"/>
        <w:gridCol w:w="60"/>
        <w:gridCol w:w="232"/>
        <w:gridCol w:w="58"/>
        <w:gridCol w:w="83"/>
        <w:gridCol w:w="27"/>
        <w:gridCol w:w="60"/>
        <w:gridCol w:w="290"/>
        <w:gridCol w:w="110"/>
        <w:gridCol w:w="60"/>
        <w:gridCol w:w="290"/>
        <w:gridCol w:w="110"/>
        <w:gridCol w:w="60"/>
        <w:gridCol w:w="290"/>
        <w:gridCol w:w="110"/>
        <w:gridCol w:w="60"/>
        <w:gridCol w:w="400"/>
        <w:gridCol w:w="460"/>
        <w:gridCol w:w="153"/>
        <w:gridCol w:w="170"/>
        <w:gridCol w:w="136"/>
        <w:gridCol w:w="160"/>
        <w:gridCol w:w="460"/>
        <w:gridCol w:w="1751"/>
      </w:tblGrid>
      <w:tr w:rsidR="000F4CB9" w:rsidTr="000F4CB9">
        <w:trPr>
          <w:gridAfter w:val="5"/>
          <w:wAfter w:w="2677" w:type="dxa"/>
        </w:trPr>
        <w:tc>
          <w:tcPr>
            <w:tcW w:w="9923" w:type="dxa"/>
            <w:gridSpan w:val="55"/>
          </w:tcPr>
          <w:p w:rsidR="000F4CB9" w:rsidRPr="000F4CB9" w:rsidRDefault="000F4CB9" w:rsidP="00BA11CF">
            <w:pPr>
              <w:rPr>
                <w:rFonts w:asciiTheme="minorHAnsi" w:hAnsiTheme="minorHAnsi" w:cstheme="minorHAnsi"/>
                <w:b/>
              </w:rPr>
            </w:pPr>
            <w:r w:rsidRPr="000F4CB9">
              <w:rPr>
                <w:rFonts w:asciiTheme="minorHAnsi" w:hAnsiTheme="minorHAnsi" w:cstheme="minorHAnsi"/>
                <w:b/>
              </w:rPr>
              <w:t>Kapitola 30 – Odbor obecní živnostenský úřad</w:t>
            </w:r>
          </w:p>
        </w:tc>
      </w:tr>
      <w:tr w:rsidR="000F4CB9" w:rsidRPr="00C50E8E" w:rsidTr="000F4CB9">
        <w:trPr>
          <w:gridAfter w:val="5"/>
          <w:wAfter w:w="2677" w:type="dxa"/>
        </w:trPr>
        <w:tc>
          <w:tcPr>
            <w:tcW w:w="460" w:type="dxa"/>
          </w:tcPr>
          <w:p w:rsidR="000F4CB9" w:rsidRPr="000F4CB9" w:rsidRDefault="000F4CB9" w:rsidP="00BA11CF">
            <w:pPr>
              <w:rPr>
                <w:rFonts w:asciiTheme="minorHAnsi" w:hAnsiTheme="minorHAnsi" w:cstheme="minorHAnsi"/>
                <w:b/>
                <w:sz w:val="20"/>
                <w:szCs w:val="20"/>
              </w:rPr>
            </w:pPr>
          </w:p>
        </w:tc>
        <w:tc>
          <w:tcPr>
            <w:tcW w:w="392" w:type="dxa"/>
          </w:tcPr>
          <w:p w:rsidR="000F4CB9" w:rsidRPr="000F4CB9" w:rsidRDefault="000F4CB9" w:rsidP="00BA11CF">
            <w:pPr>
              <w:rPr>
                <w:rFonts w:asciiTheme="minorHAnsi" w:hAnsiTheme="minorHAnsi" w:cstheme="minorHAnsi"/>
                <w:b/>
                <w:sz w:val="20"/>
                <w:szCs w:val="20"/>
              </w:rPr>
            </w:pPr>
          </w:p>
        </w:tc>
        <w:tc>
          <w:tcPr>
            <w:tcW w:w="638" w:type="dxa"/>
          </w:tcPr>
          <w:p w:rsidR="000F4CB9" w:rsidRPr="000F4CB9" w:rsidRDefault="000F4CB9" w:rsidP="00BA11CF">
            <w:pPr>
              <w:rPr>
                <w:rFonts w:asciiTheme="minorHAnsi" w:hAnsiTheme="minorHAnsi" w:cstheme="minorHAnsi"/>
                <w:b/>
                <w:sz w:val="20"/>
                <w:szCs w:val="20"/>
              </w:rPr>
            </w:pPr>
          </w:p>
        </w:tc>
        <w:tc>
          <w:tcPr>
            <w:tcW w:w="350" w:type="dxa"/>
            <w:gridSpan w:val="3"/>
          </w:tcPr>
          <w:p w:rsidR="000F4CB9" w:rsidRPr="000F4CB9" w:rsidRDefault="000F4CB9" w:rsidP="00BA11CF">
            <w:pPr>
              <w:rPr>
                <w:rFonts w:asciiTheme="minorHAnsi" w:hAnsiTheme="minorHAnsi" w:cstheme="minorHAnsi"/>
                <w:b/>
                <w:sz w:val="20"/>
                <w:szCs w:val="20"/>
              </w:rPr>
            </w:pPr>
          </w:p>
        </w:tc>
        <w:tc>
          <w:tcPr>
            <w:tcW w:w="460" w:type="dxa"/>
          </w:tcPr>
          <w:p w:rsidR="000F4CB9" w:rsidRPr="000F4CB9" w:rsidRDefault="000F4CB9" w:rsidP="00BA11CF">
            <w:pPr>
              <w:rPr>
                <w:rFonts w:asciiTheme="minorHAnsi" w:hAnsiTheme="minorHAnsi" w:cstheme="minorHAnsi"/>
                <w:b/>
                <w:sz w:val="20"/>
                <w:szCs w:val="20"/>
              </w:rPr>
            </w:pPr>
          </w:p>
        </w:tc>
        <w:tc>
          <w:tcPr>
            <w:tcW w:w="460" w:type="dxa"/>
            <w:gridSpan w:val="3"/>
          </w:tcPr>
          <w:p w:rsidR="000F4CB9" w:rsidRPr="000F4CB9" w:rsidRDefault="000F4CB9" w:rsidP="00BA11CF">
            <w:pPr>
              <w:rPr>
                <w:rFonts w:asciiTheme="minorHAnsi" w:hAnsiTheme="minorHAnsi" w:cstheme="minorHAnsi"/>
                <w:b/>
                <w:sz w:val="20"/>
                <w:szCs w:val="20"/>
              </w:rPr>
            </w:pPr>
          </w:p>
        </w:tc>
        <w:tc>
          <w:tcPr>
            <w:tcW w:w="460" w:type="dxa"/>
            <w:gridSpan w:val="3"/>
          </w:tcPr>
          <w:p w:rsidR="000F4CB9" w:rsidRPr="000F4CB9" w:rsidRDefault="000F4CB9" w:rsidP="00BA11CF">
            <w:pPr>
              <w:rPr>
                <w:rFonts w:asciiTheme="minorHAnsi" w:hAnsiTheme="minorHAnsi" w:cstheme="minorHAnsi"/>
                <w:b/>
                <w:sz w:val="20"/>
                <w:szCs w:val="20"/>
              </w:rPr>
            </w:pPr>
          </w:p>
        </w:tc>
        <w:tc>
          <w:tcPr>
            <w:tcW w:w="460" w:type="dxa"/>
            <w:gridSpan w:val="2"/>
          </w:tcPr>
          <w:p w:rsidR="000F4CB9" w:rsidRPr="000F4CB9" w:rsidRDefault="000F4CB9" w:rsidP="00BA11CF">
            <w:pPr>
              <w:rPr>
                <w:rFonts w:asciiTheme="minorHAnsi" w:hAnsiTheme="minorHAnsi" w:cstheme="minorHAnsi"/>
                <w:b/>
                <w:sz w:val="20"/>
                <w:szCs w:val="20"/>
              </w:rPr>
            </w:pPr>
          </w:p>
        </w:tc>
        <w:tc>
          <w:tcPr>
            <w:tcW w:w="460" w:type="dxa"/>
            <w:gridSpan w:val="2"/>
          </w:tcPr>
          <w:p w:rsidR="000F4CB9" w:rsidRPr="000F4CB9" w:rsidRDefault="000F4CB9" w:rsidP="00BA11CF">
            <w:pPr>
              <w:rPr>
                <w:rFonts w:asciiTheme="minorHAnsi" w:hAnsiTheme="minorHAnsi" w:cstheme="minorHAnsi"/>
                <w:b/>
                <w:sz w:val="20"/>
                <w:szCs w:val="20"/>
              </w:rPr>
            </w:pPr>
          </w:p>
        </w:tc>
        <w:tc>
          <w:tcPr>
            <w:tcW w:w="397" w:type="dxa"/>
            <w:gridSpan w:val="2"/>
          </w:tcPr>
          <w:p w:rsidR="000F4CB9" w:rsidRPr="000F4CB9" w:rsidRDefault="000F4CB9" w:rsidP="00BA11CF">
            <w:pPr>
              <w:rPr>
                <w:rFonts w:asciiTheme="minorHAnsi" w:hAnsiTheme="minorHAnsi" w:cstheme="minorHAnsi"/>
                <w:b/>
                <w:sz w:val="20"/>
                <w:szCs w:val="20"/>
              </w:rPr>
            </w:pPr>
          </w:p>
        </w:tc>
        <w:tc>
          <w:tcPr>
            <w:tcW w:w="523" w:type="dxa"/>
            <w:gridSpan w:val="3"/>
          </w:tcPr>
          <w:p w:rsidR="000F4CB9" w:rsidRPr="000F4CB9" w:rsidRDefault="000F4CB9" w:rsidP="00BA11CF">
            <w:pPr>
              <w:rPr>
                <w:rFonts w:asciiTheme="minorHAnsi" w:hAnsiTheme="minorHAnsi" w:cstheme="minorHAnsi"/>
                <w:b/>
                <w:sz w:val="20"/>
                <w:szCs w:val="20"/>
              </w:rPr>
            </w:pPr>
          </w:p>
        </w:tc>
        <w:tc>
          <w:tcPr>
            <w:tcW w:w="469" w:type="dxa"/>
            <w:gridSpan w:val="4"/>
          </w:tcPr>
          <w:p w:rsidR="000F4CB9" w:rsidRPr="000F4CB9" w:rsidRDefault="000F4CB9" w:rsidP="00BA11CF">
            <w:pPr>
              <w:rPr>
                <w:rFonts w:asciiTheme="minorHAnsi" w:hAnsiTheme="minorHAnsi" w:cstheme="minorHAnsi"/>
                <w:b/>
                <w:sz w:val="20"/>
                <w:szCs w:val="20"/>
              </w:rPr>
            </w:pPr>
          </w:p>
        </w:tc>
        <w:tc>
          <w:tcPr>
            <w:tcW w:w="451" w:type="dxa"/>
            <w:gridSpan w:val="3"/>
          </w:tcPr>
          <w:p w:rsidR="000F4CB9" w:rsidRPr="000F4CB9" w:rsidRDefault="000F4CB9" w:rsidP="00BA11CF">
            <w:pPr>
              <w:rPr>
                <w:rFonts w:asciiTheme="minorHAnsi" w:hAnsiTheme="minorHAnsi" w:cstheme="minorHAnsi"/>
                <w:b/>
                <w:sz w:val="20"/>
                <w:szCs w:val="20"/>
              </w:rPr>
            </w:pPr>
          </w:p>
        </w:tc>
        <w:tc>
          <w:tcPr>
            <w:tcW w:w="460" w:type="dxa"/>
            <w:gridSpan w:val="4"/>
          </w:tcPr>
          <w:p w:rsidR="000F4CB9" w:rsidRPr="000F4CB9" w:rsidRDefault="000F4CB9" w:rsidP="00BA11CF">
            <w:pPr>
              <w:rPr>
                <w:rFonts w:asciiTheme="minorHAnsi" w:hAnsiTheme="minorHAnsi" w:cstheme="minorHAnsi"/>
                <w:b/>
                <w:sz w:val="20"/>
                <w:szCs w:val="20"/>
              </w:rPr>
            </w:pPr>
          </w:p>
        </w:tc>
        <w:tc>
          <w:tcPr>
            <w:tcW w:w="460" w:type="dxa"/>
            <w:gridSpan w:val="3"/>
          </w:tcPr>
          <w:p w:rsidR="000F4CB9" w:rsidRPr="000F4CB9" w:rsidRDefault="000F4CB9" w:rsidP="00BA11CF">
            <w:pPr>
              <w:rPr>
                <w:rFonts w:asciiTheme="minorHAnsi" w:hAnsiTheme="minorHAnsi" w:cstheme="minorHAnsi"/>
                <w:b/>
                <w:sz w:val="20"/>
                <w:szCs w:val="20"/>
              </w:rPr>
            </w:pPr>
          </w:p>
        </w:tc>
        <w:tc>
          <w:tcPr>
            <w:tcW w:w="460" w:type="dxa"/>
            <w:gridSpan w:val="4"/>
          </w:tcPr>
          <w:p w:rsidR="000F4CB9" w:rsidRPr="000F4CB9" w:rsidRDefault="000F4CB9" w:rsidP="00BA11CF">
            <w:pPr>
              <w:rPr>
                <w:rFonts w:asciiTheme="minorHAnsi" w:hAnsiTheme="minorHAnsi" w:cstheme="minorHAnsi"/>
                <w:b/>
                <w:sz w:val="20"/>
                <w:szCs w:val="20"/>
              </w:rPr>
            </w:pPr>
          </w:p>
        </w:tc>
        <w:tc>
          <w:tcPr>
            <w:tcW w:w="460" w:type="dxa"/>
            <w:gridSpan w:val="4"/>
          </w:tcPr>
          <w:p w:rsidR="000F4CB9" w:rsidRPr="000F4CB9" w:rsidRDefault="000F4CB9" w:rsidP="00BA11CF">
            <w:pPr>
              <w:rPr>
                <w:rFonts w:asciiTheme="minorHAnsi" w:hAnsiTheme="minorHAnsi" w:cstheme="minorHAnsi"/>
                <w:b/>
                <w:sz w:val="20"/>
                <w:szCs w:val="20"/>
              </w:rPr>
            </w:pPr>
          </w:p>
        </w:tc>
        <w:tc>
          <w:tcPr>
            <w:tcW w:w="460" w:type="dxa"/>
            <w:gridSpan w:val="3"/>
          </w:tcPr>
          <w:p w:rsidR="000F4CB9" w:rsidRPr="000F4CB9" w:rsidRDefault="000F4CB9" w:rsidP="00BA11CF">
            <w:pPr>
              <w:rPr>
                <w:rFonts w:asciiTheme="minorHAnsi" w:hAnsiTheme="minorHAnsi" w:cstheme="minorHAnsi"/>
                <w:b/>
                <w:sz w:val="20"/>
                <w:szCs w:val="20"/>
              </w:rPr>
            </w:pPr>
          </w:p>
        </w:tc>
        <w:tc>
          <w:tcPr>
            <w:tcW w:w="460" w:type="dxa"/>
            <w:gridSpan w:val="3"/>
          </w:tcPr>
          <w:p w:rsidR="000F4CB9" w:rsidRPr="000F4CB9" w:rsidRDefault="000F4CB9" w:rsidP="00BA11CF">
            <w:pPr>
              <w:rPr>
                <w:rFonts w:asciiTheme="minorHAnsi" w:hAnsiTheme="minorHAnsi" w:cstheme="minorHAnsi"/>
                <w:b/>
                <w:sz w:val="20"/>
                <w:szCs w:val="20"/>
              </w:rPr>
            </w:pPr>
          </w:p>
        </w:tc>
        <w:tc>
          <w:tcPr>
            <w:tcW w:w="1183" w:type="dxa"/>
            <w:gridSpan w:val="5"/>
          </w:tcPr>
          <w:p w:rsidR="000F4CB9" w:rsidRPr="000F4CB9" w:rsidRDefault="000F4CB9" w:rsidP="00BA11CF">
            <w:pPr>
              <w:rPr>
                <w:rFonts w:asciiTheme="minorHAnsi" w:hAnsiTheme="minorHAnsi" w:cstheme="minorHAnsi"/>
                <w:b/>
                <w:sz w:val="20"/>
                <w:szCs w:val="20"/>
              </w:rPr>
            </w:pPr>
          </w:p>
        </w:tc>
      </w:tr>
      <w:tr w:rsidR="000F4CB9" w:rsidRPr="00C50E8E" w:rsidTr="000F4CB9">
        <w:trPr>
          <w:gridAfter w:val="5"/>
          <w:wAfter w:w="2677" w:type="dxa"/>
        </w:trPr>
        <w:tc>
          <w:tcPr>
            <w:tcW w:w="9923" w:type="dxa"/>
            <w:gridSpan w:val="55"/>
            <w:shd w:val="clear" w:color="auto" w:fill="F79646"/>
          </w:tcPr>
          <w:p w:rsidR="000F4CB9" w:rsidRPr="000F4CB9" w:rsidRDefault="000F4CB9" w:rsidP="00BA11CF">
            <w:pPr>
              <w:rPr>
                <w:rFonts w:asciiTheme="minorHAnsi" w:hAnsiTheme="minorHAnsi" w:cstheme="minorHAnsi"/>
                <w:b/>
                <w:sz w:val="20"/>
                <w:szCs w:val="20"/>
                <w:u w:val="single"/>
              </w:rPr>
            </w:pPr>
            <w:r w:rsidRPr="000F4CB9">
              <w:rPr>
                <w:rFonts w:asciiTheme="minorHAnsi" w:hAnsiTheme="minorHAnsi" w:cstheme="minorHAnsi"/>
                <w:b/>
                <w:sz w:val="20"/>
                <w:szCs w:val="20"/>
                <w:u w:val="single"/>
              </w:rPr>
              <w:t>Rozbor plnění příjmů rozpočtu kapitoly</w:t>
            </w:r>
          </w:p>
        </w:tc>
      </w:tr>
      <w:tr w:rsidR="000F4CB9" w:rsidRPr="00C50E8E" w:rsidTr="000F4CB9">
        <w:trPr>
          <w:gridAfter w:val="5"/>
          <w:wAfter w:w="2677" w:type="dxa"/>
        </w:trPr>
        <w:tc>
          <w:tcPr>
            <w:tcW w:w="460" w:type="dxa"/>
            <w:tcBorders>
              <w:bottom w:val="single" w:sz="4" w:space="0" w:color="auto"/>
            </w:tcBorders>
          </w:tcPr>
          <w:p w:rsidR="000F4CB9" w:rsidRPr="000F4CB9" w:rsidRDefault="000F4CB9" w:rsidP="00BA11CF">
            <w:pPr>
              <w:rPr>
                <w:rFonts w:asciiTheme="minorHAnsi" w:hAnsiTheme="minorHAnsi" w:cstheme="minorHAnsi"/>
                <w:b/>
                <w:sz w:val="20"/>
                <w:szCs w:val="20"/>
              </w:rPr>
            </w:pPr>
          </w:p>
        </w:tc>
        <w:tc>
          <w:tcPr>
            <w:tcW w:w="392" w:type="dxa"/>
            <w:tcBorders>
              <w:bottom w:val="single" w:sz="4" w:space="0" w:color="auto"/>
            </w:tcBorders>
          </w:tcPr>
          <w:p w:rsidR="000F4CB9" w:rsidRPr="000F4CB9" w:rsidRDefault="000F4CB9" w:rsidP="00BA11CF">
            <w:pPr>
              <w:rPr>
                <w:rFonts w:asciiTheme="minorHAnsi" w:hAnsiTheme="minorHAnsi" w:cstheme="minorHAnsi"/>
                <w:b/>
                <w:sz w:val="20"/>
                <w:szCs w:val="20"/>
              </w:rPr>
            </w:pPr>
          </w:p>
        </w:tc>
        <w:tc>
          <w:tcPr>
            <w:tcW w:w="638" w:type="dxa"/>
            <w:tcBorders>
              <w:bottom w:val="single" w:sz="4" w:space="0" w:color="auto"/>
            </w:tcBorders>
          </w:tcPr>
          <w:p w:rsidR="000F4CB9" w:rsidRPr="000F4CB9" w:rsidRDefault="000F4CB9" w:rsidP="00BA11CF">
            <w:pPr>
              <w:rPr>
                <w:rFonts w:asciiTheme="minorHAnsi" w:hAnsiTheme="minorHAnsi" w:cstheme="minorHAnsi"/>
                <w:b/>
                <w:sz w:val="20"/>
                <w:szCs w:val="20"/>
              </w:rPr>
            </w:pPr>
          </w:p>
        </w:tc>
        <w:tc>
          <w:tcPr>
            <w:tcW w:w="281" w:type="dxa"/>
            <w:gridSpan w:val="2"/>
            <w:tcBorders>
              <w:bottom w:val="single" w:sz="4" w:space="0" w:color="auto"/>
            </w:tcBorders>
          </w:tcPr>
          <w:p w:rsidR="000F4CB9" w:rsidRPr="000F4CB9" w:rsidRDefault="000F4CB9" w:rsidP="00BA11CF">
            <w:pPr>
              <w:rPr>
                <w:rFonts w:asciiTheme="minorHAnsi" w:hAnsiTheme="minorHAnsi" w:cstheme="minorHAnsi"/>
                <w:b/>
                <w:sz w:val="20"/>
                <w:szCs w:val="20"/>
              </w:rPr>
            </w:pPr>
          </w:p>
        </w:tc>
        <w:tc>
          <w:tcPr>
            <w:tcW w:w="529" w:type="dxa"/>
            <w:gridSpan w:val="2"/>
            <w:tcBorders>
              <w:bottom w:val="single" w:sz="4" w:space="0" w:color="auto"/>
            </w:tcBorders>
          </w:tcPr>
          <w:p w:rsidR="000F4CB9" w:rsidRPr="000F4CB9" w:rsidRDefault="000F4CB9" w:rsidP="00BA11CF">
            <w:pPr>
              <w:rPr>
                <w:rFonts w:asciiTheme="minorHAnsi" w:hAnsiTheme="minorHAnsi" w:cstheme="minorHAnsi"/>
                <w:b/>
                <w:sz w:val="20"/>
                <w:szCs w:val="20"/>
              </w:rPr>
            </w:pPr>
          </w:p>
        </w:tc>
        <w:tc>
          <w:tcPr>
            <w:tcW w:w="460" w:type="dxa"/>
            <w:gridSpan w:val="3"/>
            <w:tcBorders>
              <w:bottom w:val="single" w:sz="4" w:space="0" w:color="auto"/>
            </w:tcBorders>
          </w:tcPr>
          <w:p w:rsidR="000F4CB9" w:rsidRPr="000F4CB9" w:rsidRDefault="000F4CB9" w:rsidP="00BA11CF">
            <w:pPr>
              <w:rPr>
                <w:rFonts w:asciiTheme="minorHAnsi" w:hAnsiTheme="minorHAnsi" w:cstheme="minorHAnsi"/>
                <w:b/>
                <w:sz w:val="20"/>
                <w:szCs w:val="20"/>
              </w:rPr>
            </w:pPr>
          </w:p>
        </w:tc>
        <w:tc>
          <w:tcPr>
            <w:tcW w:w="460" w:type="dxa"/>
            <w:gridSpan w:val="3"/>
            <w:tcBorders>
              <w:bottom w:val="single" w:sz="4" w:space="0" w:color="auto"/>
            </w:tcBorders>
          </w:tcPr>
          <w:p w:rsidR="000F4CB9" w:rsidRPr="000F4CB9" w:rsidRDefault="000F4CB9" w:rsidP="00BA11CF">
            <w:pPr>
              <w:rPr>
                <w:rFonts w:asciiTheme="minorHAnsi" w:hAnsiTheme="minorHAnsi" w:cstheme="minorHAnsi"/>
                <w:b/>
                <w:sz w:val="20"/>
                <w:szCs w:val="20"/>
              </w:rPr>
            </w:pPr>
          </w:p>
        </w:tc>
        <w:tc>
          <w:tcPr>
            <w:tcW w:w="460" w:type="dxa"/>
            <w:gridSpan w:val="2"/>
            <w:tcBorders>
              <w:bottom w:val="single" w:sz="4" w:space="0" w:color="auto"/>
            </w:tcBorders>
          </w:tcPr>
          <w:p w:rsidR="000F4CB9" w:rsidRPr="000F4CB9" w:rsidRDefault="000F4CB9" w:rsidP="00BA11CF">
            <w:pPr>
              <w:rPr>
                <w:rFonts w:asciiTheme="minorHAnsi" w:hAnsiTheme="minorHAnsi" w:cstheme="minorHAnsi"/>
                <w:b/>
                <w:sz w:val="20"/>
                <w:szCs w:val="20"/>
              </w:rPr>
            </w:pPr>
          </w:p>
        </w:tc>
        <w:tc>
          <w:tcPr>
            <w:tcW w:w="460" w:type="dxa"/>
            <w:gridSpan w:val="2"/>
            <w:tcBorders>
              <w:bottom w:val="single" w:sz="4" w:space="0" w:color="auto"/>
            </w:tcBorders>
          </w:tcPr>
          <w:p w:rsidR="000F4CB9" w:rsidRPr="000F4CB9" w:rsidRDefault="000F4CB9" w:rsidP="00BA11CF">
            <w:pPr>
              <w:rPr>
                <w:rFonts w:asciiTheme="minorHAnsi" w:hAnsiTheme="minorHAnsi" w:cstheme="minorHAnsi"/>
                <w:b/>
                <w:sz w:val="20"/>
                <w:szCs w:val="20"/>
              </w:rPr>
            </w:pPr>
          </w:p>
        </w:tc>
        <w:tc>
          <w:tcPr>
            <w:tcW w:w="397" w:type="dxa"/>
            <w:gridSpan w:val="2"/>
            <w:tcBorders>
              <w:bottom w:val="single" w:sz="4" w:space="0" w:color="auto"/>
            </w:tcBorders>
          </w:tcPr>
          <w:p w:rsidR="000F4CB9" w:rsidRPr="000F4CB9" w:rsidRDefault="000F4CB9" w:rsidP="00BA11CF">
            <w:pPr>
              <w:rPr>
                <w:rFonts w:asciiTheme="minorHAnsi" w:hAnsiTheme="minorHAnsi" w:cstheme="minorHAnsi"/>
                <w:b/>
                <w:sz w:val="20"/>
                <w:szCs w:val="20"/>
              </w:rPr>
            </w:pPr>
          </w:p>
        </w:tc>
        <w:tc>
          <w:tcPr>
            <w:tcW w:w="523" w:type="dxa"/>
            <w:gridSpan w:val="3"/>
            <w:tcBorders>
              <w:bottom w:val="single" w:sz="4" w:space="0" w:color="auto"/>
            </w:tcBorders>
          </w:tcPr>
          <w:p w:rsidR="000F4CB9" w:rsidRPr="000F4CB9" w:rsidRDefault="000F4CB9" w:rsidP="00BA11CF">
            <w:pPr>
              <w:rPr>
                <w:rFonts w:asciiTheme="minorHAnsi" w:hAnsiTheme="minorHAnsi" w:cstheme="minorHAnsi"/>
                <w:b/>
                <w:sz w:val="20"/>
                <w:szCs w:val="20"/>
              </w:rPr>
            </w:pPr>
          </w:p>
        </w:tc>
        <w:tc>
          <w:tcPr>
            <w:tcW w:w="469" w:type="dxa"/>
            <w:gridSpan w:val="4"/>
            <w:tcBorders>
              <w:bottom w:val="single" w:sz="4" w:space="0" w:color="auto"/>
            </w:tcBorders>
          </w:tcPr>
          <w:p w:rsidR="000F4CB9" w:rsidRPr="000F4CB9" w:rsidRDefault="000F4CB9" w:rsidP="00BA11CF">
            <w:pPr>
              <w:rPr>
                <w:rFonts w:asciiTheme="minorHAnsi" w:hAnsiTheme="minorHAnsi" w:cstheme="minorHAnsi"/>
                <w:b/>
                <w:sz w:val="20"/>
                <w:szCs w:val="20"/>
              </w:rPr>
            </w:pPr>
          </w:p>
        </w:tc>
        <w:tc>
          <w:tcPr>
            <w:tcW w:w="451" w:type="dxa"/>
            <w:gridSpan w:val="3"/>
            <w:tcBorders>
              <w:bottom w:val="single" w:sz="4" w:space="0" w:color="auto"/>
            </w:tcBorders>
          </w:tcPr>
          <w:p w:rsidR="000F4CB9" w:rsidRPr="000F4CB9" w:rsidRDefault="000F4CB9" w:rsidP="00BA11CF">
            <w:pPr>
              <w:rPr>
                <w:rFonts w:asciiTheme="minorHAnsi" w:hAnsiTheme="minorHAnsi" w:cstheme="minorHAnsi"/>
                <w:b/>
                <w:sz w:val="20"/>
                <w:szCs w:val="20"/>
              </w:rPr>
            </w:pPr>
          </w:p>
        </w:tc>
        <w:tc>
          <w:tcPr>
            <w:tcW w:w="460" w:type="dxa"/>
            <w:gridSpan w:val="4"/>
            <w:tcBorders>
              <w:bottom w:val="single" w:sz="4" w:space="0" w:color="auto"/>
            </w:tcBorders>
          </w:tcPr>
          <w:p w:rsidR="000F4CB9" w:rsidRPr="000F4CB9" w:rsidRDefault="000F4CB9" w:rsidP="00BA11CF">
            <w:pPr>
              <w:rPr>
                <w:rFonts w:asciiTheme="minorHAnsi" w:hAnsiTheme="minorHAnsi" w:cstheme="minorHAnsi"/>
                <w:b/>
                <w:sz w:val="20"/>
                <w:szCs w:val="20"/>
              </w:rPr>
            </w:pPr>
          </w:p>
        </w:tc>
        <w:tc>
          <w:tcPr>
            <w:tcW w:w="460" w:type="dxa"/>
            <w:gridSpan w:val="3"/>
            <w:tcBorders>
              <w:bottom w:val="single" w:sz="4" w:space="0" w:color="auto"/>
            </w:tcBorders>
          </w:tcPr>
          <w:p w:rsidR="000F4CB9" w:rsidRPr="000F4CB9" w:rsidRDefault="000F4CB9" w:rsidP="00BA11CF">
            <w:pPr>
              <w:rPr>
                <w:rFonts w:asciiTheme="minorHAnsi" w:hAnsiTheme="minorHAnsi" w:cstheme="minorHAnsi"/>
                <w:b/>
                <w:sz w:val="20"/>
                <w:szCs w:val="20"/>
              </w:rPr>
            </w:pPr>
          </w:p>
        </w:tc>
        <w:tc>
          <w:tcPr>
            <w:tcW w:w="460" w:type="dxa"/>
            <w:gridSpan w:val="4"/>
            <w:tcBorders>
              <w:bottom w:val="single" w:sz="4" w:space="0" w:color="auto"/>
            </w:tcBorders>
          </w:tcPr>
          <w:p w:rsidR="000F4CB9" w:rsidRPr="000F4CB9" w:rsidRDefault="000F4CB9" w:rsidP="00BA11CF">
            <w:pPr>
              <w:rPr>
                <w:rFonts w:asciiTheme="minorHAnsi" w:hAnsiTheme="minorHAnsi" w:cstheme="minorHAnsi"/>
                <w:b/>
                <w:sz w:val="20"/>
                <w:szCs w:val="20"/>
              </w:rPr>
            </w:pPr>
          </w:p>
        </w:tc>
        <w:tc>
          <w:tcPr>
            <w:tcW w:w="460" w:type="dxa"/>
            <w:gridSpan w:val="4"/>
            <w:tcBorders>
              <w:bottom w:val="single" w:sz="4" w:space="0" w:color="auto"/>
            </w:tcBorders>
          </w:tcPr>
          <w:p w:rsidR="000F4CB9" w:rsidRPr="000F4CB9" w:rsidRDefault="000F4CB9" w:rsidP="00BA11CF">
            <w:pPr>
              <w:rPr>
                <w:rFonts w:asciiTheme="minorHAnsi" w:hAnsiTheme="minorHAnsi" w:cstheme="minorHAnsi"/>
                <w:b/>
                <w:sz w:val="20"/>
                <w:szCs w:val="20"/>
              </w:rPr>
            </w:pPr>
          </w:p>
        </w:tc>
        <w:tc>
          <w:tcPr>
            <w:tcW w:w="460" w:type="dxa"/>
            <w:gridSpan w:val="3"/>
            <w:tcBorders>
              <w:bottom w:val="single" w:sz="4" w:space="0" w:color="auto"/>
            </w:tcBorders>
          </w:tcPr>
          <w:p w:rsidR="000F4CB9" w:rsidRPr="000F4CB9" w:rsidRDefault="000F4CB9" w:rsidP="00BA11CF">
            <w:pPr>
              <w:rPr>
                <w:rFonts w:asciiTheme="minorHAnsi" w:hAnsiTheme="minorHAnsi" w:cstheme="minorHAnsi"/>
                <w:b/>
                <w:sz w:val="20"/>
                <w:szCs w:val="20"/>
              </w:rPr>
            </w:pPr>
          </w:p>
        </w:tc>
        <w:tc>
          <w:tcPr>
            <w:tcW w:w="460" w:type="dxa"/>
            <w:gridSpan w:val="3"/>
            <w:tcBorders>
              <w:bottom w:val="single" w:sz="4" w:space="0" w:color="auto"/>
            </w:tcBorders>
          </w:tcPr>
          <w:p w:rsidR="000F4CB9" w:rsidRPr="000F4CB9" w:rsidRDefault="000F4CB9" w:rsidP="00BA11CF">
            <w:pPr>
              <w:rPr>
                <w:rFonts w:asciiTheme="minorHAnsi" w:hAnsiTheme="minorHAnsi" w:cstheme="minorHAnsi"/>
                <w:b/>
                <w:sz w:val="20"/>
                <w:szCs w:val="20"/>
              </w:rPr>
            </w:pPr>
          </w:p>
        </w:tc>
        <w:tc>
          <w:tcPr>
            <w:tcW w:w="1183" w:type="dxa"/>
            <w:gridSpan w:val="5"/>
            <w:tcBorders>
              <w:bottom w:val="single" w:sz="4" w:space="0" w:color="auto"/>
            </w:tcBorders>
          </w:tcPr>
          <w:p w:rsidR="000F4CB9" w:rsidRPr="000F4CB9" w:rsidRDefault="000F4CB9" w:rsidP="00BA11CF">
            <w:pPr>
              <w:rPr>
                <w:rFonts w:asciiTheme="minorHAnsi" w:hAnsiTheme="minorHAnsi" w:cstheme="minorHAnsi"/>
                <w:b/>
                <w:sz w:val="20"/>
                <w:szCs w:val="20"/>
              </w:rPr>
            </w:pPr>
          </w:p>
        </w:tc>
      </w:tr>
      <w:tr w:rsidR="000F4CB9" w:rsidRPr="00AC0210" w:rsidTr="000F4CB9">
        <w:trPr>
          <w:gridAfter w:val="5"/>
          <w:wAfter w:w="2677" w:type="dxa"/>
        </w:trPr>
        <w:tc>
          <w:tcPr>
            <w:tcW w:w="2624" w:type="dxa"/>
            <w:gridSpan w:val="9"/>
            <w:tcBorders>
              <w:top w:val="single" w:sz="4" w:space="0" w:color="auto"/>
              <w:left w:val="single" w:sz="4" w:space="0" w:color="auto"/>
              <w:bottom w:val="single" w:sz="4" w:space="0" w:color="auto"/>
              <w:right w:val="single" w:sz="4" w:space="0" w:color="auto"/>
            </w:tcBorders>
            <w:shd w:val="clear" w:color="auto" w:fill="FFFF00"/>
          </w:tcPr>
          <w:p w:rsidR="000F4CB9" w:rsidRPr="000F4CB9" w:rsidRDefault="000F4CB9" w:rsidP="00BA11CF">
            <w:pPr>
              <w:jc w:val="center"/>
              <w:rPr>
                <w:rFonts w:asciiTheme="minorHAnsi" w:hAnsiTheme="minorHAnsi" w:cstheme="minorHAnsi"/>
                <w:b/>
                <w:sz w:val="18"/>
                <w:szCs w:val="18"/>
              </w:rPr>
            </w:pPr>
            <w:r w:rsidRPr="000F4CB9">
              <w:rPr>
                <w:rFonts w:asciiTheme="minorHAnsi" w:hAnsiTheme="minorHAnsi" w:cstheme="minorHAnsi"/>
                <w:b/>
                <w:sz w:val="18"/>
                <w:szCs w:val="18"/>
              </w:rPr>
              <w:t>Rozpočet upravený v tis. Kč</w:t>
            </w:r>
          </w:p>
        </w:tc>
        <w:tc>
          <w:tcPr>
            <w:tcW w:w="2835" w:type="dxa"/>
            <w:gridSpan w:val="16"/>
            <w:tcBorders>
              <w:top w:val="single" w:sz="4" w:space="0" w:color="auto"/>
              <w:left w:val="single" w:sz="4" w:space="0" w:color="auto"/>
              <w:bottom w:val="single" w:sz="4" w:space="0" w:color="auto"/>
              <w:right w:val="single" w:sz="4" w:space="0" w:color="auto"/>
            </w:tcBorders>
            <w:shd w:val="clear" w:color="auto" w:fill="FFFF00"/>
          </w:tcPr>
          <w:p w:rsidR="000F4CB9" w:rsidRPr="000F4CB9" w:rsidRDefault="000F4CB9" w:rsidP="00BA11CF">
            <w:pPr>
              <w:jc w:val="center"/>
              <w:rPr>
                <w:rFonts w:asciiTheme="minorHAnsi" w:hAnsiTheme="minorHAnsi" w:cstheme="minorHAnsi"/>
                <w:b/>
                <w:sz w:val="18"/>
                <w:szCs w:val="18"/>
              </w:rPr>
            </w:pPr>
            <w:r w:rsidRPr="000F4CB9">
              <w:rPr>
                <w:rFonts w:asciiTheme="minorHAnsi" w:hAnsiTheme="minorHAnsi" w:cstheme="minorHAnsi"/>
                <w:b/>
                <w:sz w:val="18"/>
                <w:szCs w:val="18"/>
              </w:rPr>
              <w:t>Skutečnost v tis. Kč</w:t>
            </w:r>
          </w:p>
        </w:tc>
        <w:tc>
          <w:tcPr>
            <w:tcW w:w="1843" w:type="dxa"/>
            <w:gridSpan w:val="14"/>
            <w:tcBorders>
              <w:top w:val="single" w:sz="4" w:space="0" w:color="auto"/>
              <w:left w:val="single" w:sz="4" w:space="0" w:color="auto"/>
              <w:bottom w:val="single" w:sz="4" w:space="0" w:color="auto"/>
              <w:right w:val="single" w:sz="4" w:space="0" w:color="auto"/>
            </w:tcBorders>
            <w:shd w:val="clear" w:color="auto" w:fill="FFFF00"/>
          </w:tcPr>
          <w:p w:rsidR="000F4CB9" w:rsidRPr="000F4CB9" w:rsidRDefault="000F4CB9" w:rsidP="00BA11CF">
            <w:pPr>
              <w:jc w:val="center"/>
              <w:rPr>
                <w:rFonts w:asciiTheme="minorHAnsi" w:hAnsiTheme="minorHAnsi" w:cstheme="minorHAnsi"/>
                <w:b/>
                <w:sz w:val="18"/>
                <w:szCs w:val="18"/>
              </w:rPr>
            </w:pPr>
            <w:r w:rsidRPr="000F4CB9">
              <w:rPr>
                <w:rFonts w:asciiTheme="minorHAnsi" w:hAnsiTheme="minorHAnsi" w:cstheme="minorHAnsi"/>
                <w:b/>
                <w:sz w:val="18"/>
                <w:szCs w:val="18"/>
              </w:rPr>
              <w:t>SK/RU v %</w:t>
            </w:r>
          </w:p>
        </w:tc>
        <w:tc>
          <w:tcPr>
            <w:tcW w:w="2621" w:type="dxa"/>
            <w:gridSpan w:val="16"/>
            <w:tcBorders>
              <w:top w:val="single" w:sz="4" w:space="0" w:color="auto"/>
              <w:left w:val="single" w:sz="4" w:space="0" w:color="auto"/>
              <w:bottom w:val="single" w:sz="4" w:space="0" w:color="auto"/>
              <w:right w:val="single" w:sz="4" w:space="0" w:color="auto"/>
            </w:tcBorders>
            <w:shd w:val="clear" w:color="auto" w:fill="FFFF00"/>
          </w:tcPr>
          <w:p w:rsidR="000F4CB9" w:rsidRPr="000F4CB9" w:rsidRDefault="000F4CB9" w:rsidP="00BA11CF">
            <w:pPr>
              <w:jc w:val="center"/>
              <w:rPr>
                <w:rFonts w:asciiTheme="minorHAnsi" w:hAnsiTheme="minorHAnsi" w:cstheme="minorHAnsi"/>
                <w:b/>
                <w:sz w:val="18"/>
                <w:szCs w:val="18"/>
              </w:rPr>
            </w:pPr>
            <w:r w:rsidRPr="000F4CB9">
              <w:rPr>
                <w:rFonts w:asciiTheme="minorHAnsi" w:hAnsiTheme="minorHAnsi" w:cstheme="minorHAnsi"/>
                <w:b/>
                <w:sz w:val="18"/>
                <w:szCs w:val="18"/>
              </w:rPr>
              <w:t>Komentář</w:t>
            </w:r>
          </w:p>
        </w:tc>
      </w:tr>
      <w:tr w:rsidR="000F4CB9" w:rsidRPr="00C50E8E" w:rsidTr="000F4CB9">
        <w:trPr>
          <w:gridAfter w:val="5"/>
          <w:wAfter w:w="2677" w:type="dxa"/>
        </w:trPr>
        <w:tc>
          <w:tcPr>
            <w:tcW w:w="2624" w:type="dxa"/>
            <w:gridSpan w:val="9"/>
            <w:tcBorders>
              <w:top w:val="single" w:sz="4" w:space="0" w:color="auto"/>
              <w:left w:val="single" w:sz="4" w:space="0" w:color="auto"/>
              <w:bottom w:val="single" w:sz="4" w:space="0" w:color="auto"/>
              <w:right w:val="single" w:sz="4" w:space="0" w:color="auto"/>
            </w:tcBorders>
          </w:tcPr>
          <w:p w:rsidR="000F4CB9" w:rsidRPr="000F4CB9" w:rsidRDefault="000F4CB9" w:rsidP="00BA11CF">
            <w:pPr>
              <w:jc w:val="right"/>
              <w:rPr>
                <w:rFonts w:asciiTheme="minorHAnsi" w:hAnsiTheme="minorHAnsi" w:cstheme="minorHAnsi"/>
                <w:b/>
                <w:sz w:val="18"/>
                <w:szCs w:val="18"/>
              </w:rPr>
            </w:pPr>
            <w:r w:rsidRPr="000F4CB9">
              <w:rPr>
                <w:rFonts w:asciiTheme="minorHAnsi" w:hAnsiTheme="minorHAnsi" w:cstheme="minorHAnsi"/>
                <w:b/>
                <w:sz w:val="18"/>
                <w:szCs w:val="18"/>
              </w:rPr>
              <w:t>820</w:t>
            </w:r>
          </w:p>
        </w:tc>
        <w:tc>
          <w:tcPr>
            <w:tcW w:w="2835" w:type="dxa"/>
            <w:gridSpan w:val="16"/>
            <w:tcBorders>
              <w:top w:val="single" w:sz="4" w:space="0" w:color="auto"/>
              <w:left w:val="single" w:sz="4" w:space="0" w:color="auto"/>
              <w:bottom w:val="single" w:sz="4" w:space="0" w:color="auto"/>
              <w:right w:val="single" w:sz="4" w:space="0" w:color="auto"/>
            </w:tcBorders>
          </w:tcPr>
          <w:p w:rsidR="000F4CB9" w:rsidRPr="000F4CB9" w:rsidRDefault="000F4CB9" w:rsidP="00BA11CF">
            <w:pPr>
              <w:jc w:val="right"/>
              <w:rPr>
                <w:rFonts w:asciiTheme="minorHAnsi" w:hAnsiTheme="minorHAnsi" w:cstheme="minorHAnsi"/>
                <w:b/>
                <w:sz w:val="18"/>
                <w:szCs w:val="18"/>
              </w:rPr>
            </w:pPr>
            <w:r w:rsidRPr="000F4CB9">
              <w:rPr>
                <w:rFonts w:asciiTheme="minorHAnsi" w:hAnsiTheme="minorHAnsi" w:cstheme="minorHAnsi"/>
                <w:b/>
                <w:sz w:val="18"/>
                <w:szCs w:val="18"/>
              </w:rPr>
              <w:t>945</w:t>
            </w:r>
          </w:p>
        </w:tc>
        <w:tc>
          <w:tcPr>
            <w:tcW w:w="1843" w:type="dxa"/>
            <w:gridSpan w:val="14"/>
            <w:tcBorders>
              <w:top w:val="single" w:sz="4" w:space="0" w:color="auto"/>
              <w:left w:val="single" w:sz="4" w:space="0" w:color="auto"/>
              <w:bottom w:val="single" w:sz="4" w:space="0" w:color="auto"/>
              <w:right w:val="single" w:sz="4" w:space="0" w:color="auto"/>
            </w:tcBorders>
          </w:tcPr>
          <w:p w:rsidR="000F4CB9" w:rsidRPr="000F4CB9" w:rsidRDefault="000F4CB9" w:rsidP="000F4CB9">
            <w:pPr>
              <w:jc w:val="center"/>
              <w:rPr>
                <w:rFonts w:asciiTheme="minorHAnsi" w:hAnsiTheme="minorHAnsi" w:cstheme="minorHAnsi"/>
                <w:b/>
                <w:sz w:val="18"/>
                <w:szCs w:val="18"/>
              </w:rPr>
            </w:pPr>
            <w:r w:rsidRPr="000F4CB9">
              <w:rPr>
                <w:rFonts w:asciiTheme="minorHAnsi" w:hAnsiTheme="minorHAnsi" w:cstheme="minorHAnsi"/>
                <w:b/>
                <w:sz w:val="18"/>
                <w:szCs w:val="18"/>
              </w:rPr>
              <w:t>115,19</w:t>
            </w:r>
          </w:p>
        </w:tc>
        <w:tc>
          <w:tcPr>
            <w:tcW w:w="2621" w:type="dxa"/>
            <w:gridSpan w:val="16"/>
            <w:tcBorders>
              <w:top w:val="single" w:sz="4" w:space="0" w:color="auto"/>
              <w:left w:val="single" w:sz="4" w:space="0" w:color="auto"/>
              <w:bottom w:val="single" w:sz="4" w:space="0" w:color="auto"/>
              <w:right w:val="single" w:sz="4" w:space="0" w:color="auto"/>
            </w:tcBorders>
          </w:tcPr>
          <w:p w:rsidR="000F4CB9" w:rsidRPr="000F4CB9" w:rsidRDefault="000F4CB9" w:rsidP="00BA11CF">
            <w:pPr>
              <w:rPr>
                <w:rFonts w:asciiTheme="minorHAnsi" w:hAnsiTheme="minorHAnsi" w:cstheme="minorHAnsi"/>
                <w:b/>
                <w:sz w:val="18"/>
                <w:szCs w:val="18"/>
              </w:rPr>
            </w:pPr>
            <w:r w:rsidRPr="000F4CB9">
              <w:rPr>
                <w:rFonts w:asciiTheme="minorHAnsi" w:hAnsiTheme="minorHAnsi" w:cstheme="minorHAnsi"/>
                <w:b/>
                <w:sz w:val="18"/>
                <w:szCs w:val="18"/>
              </w:rPr>
              <w:t>Příjmy před konsolidací</w:t>
            </w:r>
          </w:p>
        </w:tc>
      </w:tr>
      <w:tr w:rsidR="000F4CB9" w:rsidRPr="00C50E8E" w:rsidTr="000F4CB9">
        <w:trPr>
          <w:gridAfter w:val="5"/>
          <w:wAfter w:w="2677" w:type="dxa"/>
        </w:trPr>
        <w:tc>
          <w:tcPr>
            <w:tcW w:w="2624" w:type="dxa"/>
            <w:gridSpan w:val="9"/>
            <w:tcBorders>
              <w:top w:val="single" w:sz="4" w:space="0" w:color="auto"/>
              <w:left w:val="single" w:sz="4" w:space="0" w:color="auto"/>
              <w:bottom w:val="single" w:sz="4" w:space="0" w:color="auto"/>
              <w:right w:val="single" w:sz="4" w:space="0" w:color="auto"/>
            </w:tcBorders>
          </w:tcPr>
          <w:p w:rsidR="000F4CB9" w:rsidRPr="000F4CB9" w:rsidRDefault="000F4CB9" w:rsidP="00BA11CF">
            <w:pPr>
              <w:jc w:val="right"/>
              <w:rPr>
                <w:rFonts w:asciiTheme="minorHAnsi" w:hAnsiTheme="minorHAnsi" w:cstheme="minorHAnsi"/>
                <w:b/>
                <w:sz w:val="18"/>
                <w:szCs w:val="18"/>
              </w:rPr>
            </w:pPr>
            <w:r w:rsidRPr="000F4CB9">
              <w:rPr>
                <w:rFonts w:asciiTheme="minorHAnsi" w:hAnsiTheme="minorHAnsi" w:cstheme="minorHAnsi"/>
                <w:b/>
                <w:sz w:val="18"/>
                <w:szCs w:val="18"/>
              </w:rPr>
              <w:t>820</w:t>
            </w:r>
          </w:p>
        </w:tc>
        <w:tc>
          <w:tcPr>
            <w:tcW w:w="2835" w:type="dxa"/>
            <w:gridSpan w:val="16"/>
            <w:tcBorders>
              <w:top w:val="single" w:sz="4" w:space="0" w:color="auto"/>
              <w:left w:val="single" w:sz="4" w:space="0" w:color="auto"/>
              <w:bottom w:val="single" w:sz="4" w:space="0" w:color="auto"/>
              <w:right w:val="single" w:sz="4" w:space="0" w:color="auto"/>
            </w:tcBorders>
          </w:tcPr>
          <w:p w:rsidR="000F4CB9" w:rsidRPr="000F4CB9" w:rsidRDefault="000F4CB9" w:rsidP="00BA11CF">
            <w:pPr>
              <w:jc w:val="right"/>
              <w:rPr>
                <w:rFonts w:asciiTheme="minorHAnsi" w:hAnsiTheme="minorHAnsi" w:cstheme="minorHAnsi"/>
                <w:b/>
                <w:sz w:val="18"/>
                <w:szCs w:val="18"/>
              </w:rPr>
            </w:pPr>
            <w:r w:rsidRPr="000F4CB9">
              <w:rPr>
                <w:rFonts w:asciiTheme="minorHAnsi" w:hAnsiTheme="minorHAnsi" w:cstheme="minorHAnsi"/>
                <w:b/>
                <w:sz w:val="18"/>
                <w:szCs w:val="18"/>
              </w:rPr>
              <w:t>945</w:t>
            </w:r>
          </w:p>
        </w:tc>
        <w:tc>
          <w:tcPr>
            <w:tcW w:w="1843" w:type="dxa"/>
            <w:gridSpan w:val="14"/>
            <w:tcBorders>
              <w:top w:val="single" w:sz="4" w:space="0" w:color="auto"/>
              <w:left w:val="single" w:sz="4" w:space="0" w:color="auto"/>
              <w:bottom w:val="single" w:sz="4" w:space="0" w:color="auto"/>
              <w:right w:val="single" w:sz="4" w:space="0" w:color="auto"/>
            </w:tcBorders>
          </w:tcPr>
          <w:p w:rsidR="000F4CB9" w:rsidRPr="000F4CB9" w:rsidRDefault="000F4CB9" w:rsidP="000F4CB9">
            <w:pPr>
              <w:jc w:val="center"/>
              <w:rPr>
                <w:rFonts w:asciiTheme="minorHAnsi" w:hAnsiTheme="minorHAnsi" w:cstheme="minorHAnsi"/>
                <w:b/>
                <w:sz w:val="18"/>
                <w:szCs w:val="18"/>
              </w:rPr>
            </w:pPr>
            <w:r w:rsidRPr="000F4CB9">
              <w:rPr>
                <w:rFonts w:asciiTheme="minorHAnsi" w:hAnsiTheme="minorHAnsi" w:cstheme="minorHAnsi"/>
                <w:b/>
                <w:sz w:val="18"/>
                <w:szCs w:val="18"/>
              </w:rPr>
              <w:t>115,19</w:t>
            </w:r>
          </w:p>
        </w:tc>
        <w:tc>
          <w:tcPr>
            <w:tcW w:w="2621" w:type="dxa"/>
            <w:gridSpan w:val="16"/>
            <w:tcBorders>
              <w:top w:val="single" w:sz="4" w:space="0" w:color="auto"/>
              <w:left w:val="single" w:sz="4" w:space="0" w:color="auto"/>
              <w:bottom w:val="single" w:sz="4" w:space="0" w:color="auto"/>
              <w:right w:val="single" w:sz="4" w:space="0" w:color="auto"/>
            </w:tcBorders>
          </w:tcPr>
          <w:p w:rsidR="000F4CB9" w:rsidRPr="000F4CB9" w:rsidRDefault="000F4CB9" w:rsidP="00BA11CF">
            <w:pPr>
              <w:rPr>
                <w:rFonts w:asciiTheme="minorHAnsi" w:hAnsiTheme="minorHAnsi" w:cstheme="minorHAnsi"/>
                <w:b/>
                <w:sz w:val="18"/>
                <w:szCs w:val="18"/>
              </w:rPr>
            </w:pPr>
            <w:r w:rsidRPr="000F4CB9">
              <w:rPr>
                <w:rFonts w:asciiTheme="minorHAnsi" w:hAnsiTheme="minorHAnsi" w:cstheme="minorHAnsi"/>
                <w:b/>
                <w:sz w:val="18"/>
                <w:szCs w:val="18"/>
              </w:rPr>
              <w:t>Příjmy po konsolidaci</w:t>
            </w:r>
          </w:p>
        </w:tc>
      </w:tr>
      <w:tr w:rsidR="000F4CB9" w:rsidRPr="00C50E8E" w:rsidTr="000F4CB9">
        <w:trPr>
          <w:gridAfter w:val="5"/>
          <w:wAfter w:w="2677" w:type="dxa"/>
        </w:trPr>
        <w:tc>
          <w:tcPr>
            <w:tcW w:w="460" w:type="dxa"/>
            <w:tcBorders>
              <w:top w:val="single" w:sz="4" w:space="0" w:color="auto"/>
            </w:tcBorders>
          </w:tcPr>
          <w:p w:rsidR="000F4CB9" w:rsidRPr="000F4CB9" w:rsidRDefault="000F4CB9" w:rsidP="00BA11CF">
            <w:pPr>
              <w:rPr>
                <w:rFonts w:asciiTheme="minorHAnsi" w:hAnsiTheme="minorHAnsi" w:cstheme="minorHAnsi"/>
                <w:b/>
                <w:sz w:val="20"/>
                <w:szCs w:val="20"/>
              </w:rPr>
            </w:pPr>
          </w:p>
        </w:tc>
        <w:tc>
          <w:tcPr>
            <w:tcW w:w="392" w:type="dxa"/>
            <w:tcBorders>
              <w:top w:val="single" w:sz="4" w:space="0" w:color="auto"/>
            </w:tcBorders>
          </w:tcPr>
          <w:p w:rsidR="000F4CB9" w:rsidRPr="000F4CB9" w:rsidRDefault="000F4CB9" w:rsidP="00BA11CF">
            <w:pPr>
              <w:rPr>
                <w:rFonts w:asciiTheme="minorHAnsi" w:hAnsiTheme="minorHAnsi" w:cstheme="minorHAnsi"/>
                <w:b/>
                <w:sz w:val="20"/>
                <w:szCs w:val="20"/>
              </w:rPr>
            </w:pPr>
          </w:p>
        </w:tc>
        <w:tc>
          <w:tcPr>
            <w:tcW w:w="638" w:type="dxa"/>
            <w:tcBorders>
              <w:top w:val="single" w:sz="4" w:space="0" w:color="auto"/>
            </w:tcBorders>
          </w:tcPr>
          <w:p w:rsidR="000F4CB9" w:rsidRPr="000F4CB9" w:rsidRDefault="000F4CB9" w:rsidP="00BA11CF">
            <w:pPr>
              <w:rPr>
                <w:rFonts w:asciiTheme="minorHAnsi" w:hAnsiTheme="minorHAnsi" w:cstheme="minorHAnsi"/>
                <w:b/>
                <w:sz w:val="20"/>
                <w:szCs w:val="20"/>
              </w:rPr>
            </w:pPr>
          </w:p>
        </w:tc>
        <w:tc>
          <w:tcPr>
            <w:tcW w:w="281" w:type="dxa"/>
            <w:gridSpan w:val="2"/>
            <w:tcBorders>
              <w:top w:val="single" w:sz="4" w:space="0" w:color="auto"/>
            </w:tcBorders>
          </w:tcPr>
          <w:p w:rsidR="000F4CB9" w:rsidRPr="000F4CB9" w:rsidRDefault="000F4CB9" w:rsidP="00BA11CF">
            <w:pPr>
              <w:rPr>
                <w:rFonts w:asciiTheme="minorHAnsi" w:hAnsiTheme="minorHAnsi" w:cstheme="minorHAnsi"/>
                <w:b/>
                <w:sz w:val="20"/>
                <w:szCs w:val="20"/>
              </w:rPr>
            </w:pPr>
          </w:p>
        </w:tc>
        <w:tc>
          <w:tcPr>
            <w:tcW w:w="529" w:type="dxa"/>
            <w:gridSpan w:val="2"/>
            <w:tcBorders>
              <w:top w:val="single" w:sz="4" w:space="0" w:color="auto"/>
            </w:tcBorders>
          </w:tcPr>
          <w:p w:rsidR="000F4CB9" w:rsidRPr="000F4CB9" w:rsidRDefault="000F4CB9" w:rsidP="00BA11CF">
            <w:pPr>
              <w:rPr>
                <w:rFonts w:asciiTheme="minorHAnsi" w:hAnsiTheme="minorHAnsi" w:cstheme="minorHAnsi"/>
                <w:b/>
                <w:sz w:val="20"/>
                <w:szCs w:val="20"/>
              </w:rPr>
            </w:pPr>
          </w:p>
        </w:tc>
        <w:tc>
          <w:tcPr>
            <w:tcW w:w="460" w:type="dxa"/>
            <w:gridSpan w:val="3"/>
            <w:tcBorders>
              <w:top w:val="single" w:sz="4" w:space="0" w:color="auto"/>
            </w:tcBorders>
          </w:tcPr>
          <w:p w:rsidR="000F4CB9" w:rsidRPr="000F4CB9" w:rsidRDefault="000F4CB9" w:rsidP="00BA11CF">
            <w:pPr>
              <w:rPr>
                <w:rFonts w:asciiTheme="minorHAnsi" w:hAnsiTheme="minorHAnsi" w:cstheme="minorHAnsi"/>
                <w:b/>
                <w:sz w:val="20"/>
                <w:szCs w:val="20"/>
              </w:rPr>
            </w:pPr>
          </w:p>
        </w:tc>
        <w:tc>
          <w:tcPr>
            <w:tcW w:w="460" w:type="dxa"/>
            <w:gridSpan w:val="3"/>
            <w:tcBorders>
              <w:top w:val="single" w:sz="4" w:space="0" w:color="auto"/>
            </w:tcBorders>
          </w:tcPr>
          <w:p w:rsidR="000F4CB9" w:rsidRPr="000F4CB9" w:rsidRDefault="000F4CB9" w:rsidP="00BA11CF">
            <w:pPr>
              <w:rPr>
                <w:rFonts w:asciiTheme="minorHAnsi" w:hAnsiTheme="minorHAnsi" w:cstheme="minorHAnsi"/>
                <w:b/>
                <w:sz w:val="20"/>
                <w:szCs w:val="20"/>
              </w:rPr>
            </w:pPr>
          </w:p>
        </w:tc>
        <w:tc>
          <w:tcPr>
            <w:tcW w:w="460" w:type="dxa"/>
            <w:gridSpan w:val="2"/>
            <w:tcBorders>
              <w:top w:val="single" w:sz="4" w:space="0" w:color="auto"/>
            </w:tcBorders>
          </w:tcPr>
          <w:p w:rsidR="000F4CB9" w:rsidRPr="000F4CB9" w:rsidRDefault="000F4CB9" w:rsidP="00BA11CF">
            <w:pPr>
              <w:rPr>
                <w:rFonts w:asciiTheme="minorHAnsi" w:hAnsiTheme="minorHAnsi" w:cstheme="minorHAnsi"/>
                <w:b/>
                <w:sz w:val="20"/>
                <w:szCs w:val="20"/>
              </w:rPr>
            </w:pPr>
          </w:p>
        </w:tc>
        <w:tc>
          <w:tcPr>
            <w:tcW w:w="460" w:type="dxa"/>
            <w:gridSpan w:val="2"/>
            <w:tcBorders>
              <w:top w:val="single" w:sz="4" w:space="0" w:color="auto"/>
            </w:tcBorders>
          </w:tcPr>
          <w:p w:rsidR="000F4CB9" w:rsidRPr="000F4CB9" w:rsidRDefault="000F4CB9" w:rsidP="00BA11CF">
            <w:pPr>
              <w:rPr>
                <w:rFonts w:asciiTheme="minorHAnsi" w:hAnsiTheme="minorHAnsi" w:cstheme="minorHAnsi"/>
                <w:b/>
                <w:sz w:val="20"/>
                <w:szCs w:val="20"/>
              </w:rPr>
            </w:pPr>
          </w:p>
        </w:tc>
        <w:tc>
          <w:tcPr>
            <w:tcW w:w="397" w:type="dxa"/>
            <w:gridSpan w:val="2"/>
            <w:tcBorders>
              <w:top w:val="single" w:sz="4" w:space="0" w:color="auto"/>
            </w:tcBorders>
          </w:tcPr>
          <w:p w:rsidR="000F4CB9" w:rsidRPr="000F4CB9" w:rsidRDefault="000F4CB9" w:rsidP="00BA11CF">
            <w:pPr>
              <w:rPr>
                <w:rFonts w:asciiTheme="minorHAnsi" w:hAnsiTheme="minorHAnsi" w:cstheme="minorHAnsi"/>
                <w:b/>
                <w:sz w:val="20"/>
                <w:szCs w:val="20"/>
              </w:rPr>
            </w:pPr>
          </w:p>
        </w:tc>
        <w:tc>
          <w:tcPr>
            <w:tcW w:w="523" w:type="dxa"/>
            <w:gridSpan w:val="3"/>
            <w:tcBorders>
              <w:top w:val="single" w:sz="4" w:space="0" w:color="auto"/>
            </w:tcBorders>
          </w:tcPr>
          <w:p w:rsidR="000F4CB9" w:rsidRPr="000F4CB9" w:rsidRDefault="000F4CB9" w:rsidP="00BA11CF">
            <w:pPr>
              <w:rPr>
                <w:rFonts w:asciiTheme="minorHAnsi" w:hAnsiTheme="minorHAnsi" w:cstheme="minorHAnsi"/>
                <w:b/>
                <w:sz w:val="20"/>
                <w:szCs w:val="20"/>
              </w:rPr>
            </w:pPr>
          </w:p>
        </w:tc>
        <w:tc>
          <w:tcPr>
            <w:tcW w:w="469" w:type="dxa"/>
            <w:gridSpan w:val="4"/>
            <w:tcBorders>
              <w:top w:val="single" w:sz="4" w:space="0" w:color="auto"/>
            </w:tcBorders>
          </w:tcPr>
          <w:p w:rsidR="000F4CB9" w:rsidRPr="000F4CB9" w:rsidRDefault="000F4CB9" w:rsidP="00BA11CF">
            <w:pPr>
              <w:rPr>
                <w:rFonts w:asciiTheme="minorHAnsi" w:hAnsiTheme="minorHAnsi" w:cstheme="minorHAnsi"/>
                <w:b/>
                <w:sz w:val="20"/>
                <w:szCs w:val="20"/>
              </w:rPr>
            </w:pPr>
          </w:p>
        </w:tc>
        <w:tc>
          <w:tcPr>
            <w:tcW w:w="451" w:type="dxa"/>
            <w:gridSpan w:val="3"/>
            <w:tcBorders>
              <w:top w:val="single" w:sz="4" w:space="0" w:color="auto"/>
            </w:tcBorders>
          </w:tcPr>
          <w:p w:rsidR="000F4CB9" w:rsidRPr="000F4CB9" w:rsidRDefault="000F4CB9" w:rsidP="00BA11CF">
            <w:pPr>
              <w:rPr>
                <w:rFonts w:asciiTheme="minorHAnsi" w:hAnsiTheme="minorHAnsi" w:cstheme="minorHAnsi"/>
                <w:b/>
                <w:sz w:val="20"/>
                <w:szCs w:val="20"/>
              </w:rPr>
            </w:pPr>
          </w:p>
        </w:tc>
        <w:tc>
          <w:tcPr>
            <w:tcW w:w="460" w:type="dxa"/>
            <w:gridSpan w:val="4"/>
            <w:tcBorders>
              <w:top w:val="single" w:sz="4" w:space="0" w:color="auto"/>
            </w:tcBorders>
          </w:tcPr>
          <w:p w:rsidR="000F4CB9" w:rsidRPr="000F4CB9" w:rsidRDefault="000F4CB9" w:rsidP="00BA11CF">
            <w:pPr>
              <w:rPr>
                <w:rFonts w:asciiTheme="minorHAnsi" w:hAnsiTheme="minorHAnsi" w:cstheme="minorHAnsi"/>
                <w:b/>
                <w:sz w:val="20"/>
                <w:szCs w:val="20"/>
              </w:rPr>
            </w:pPr>
          </w:p>
        </w:tc>
        <w:tc>
          <w:tcPr>
            <w:tcW w:w="460" w:type="dxa"/>
            <w:gridSpan w:val="3"/>
            <w:tcBorders>
              <w:top w:val="single" w:sz="4" w:space="0" w:color="auto"/>
            </w:tcBorders>
          </w:tcPr>
          <w:p w:rsidR="000F4CB9" w:rsidRPr="000F4CB9" w:rsidRDefault="000F4CB9" w:rsidP="00BA11CF">
            <w:pPr>
              <w:rPr>
                <w:rFonts w:asciiTheme="minorHAnsi" w:hAnsiTheme="minorHAnsi" w:cstheme="minorHAnsi"/>
                <w:b/>
                <w:sz w:val="20"/>
                <w:szCs w:val="20"/>
              </w:rPr>
            </w:pPr>
          </w:p>
        </w:tc>
        <w:tc>
          <w:tcPr>
            <w:tcW w:w="460" w:type="dxa"/>
            <w:gridSpan w:val="4"/>
            <w:tcBorders>
              <w:top w:val="single" w:sz="4" w:space="0" w:color="auto"/>
            </w:tcBorders>
          </w:tcPr>
          <w:p w:rsidR="000F4CB9" w:rsidRPr="000F4CB9" w:rsidRDefault="000F4CB9" w:rsidP="00BA11CF">
            <w:pPr>
              <w:rPr>
                <w:rFonts w:asciiTheme="minorHAnsi" w:hAnsiTheme="minorHAnsi" w:cstheme="minorHAnsi"/>
                <w:b/>
                <w:sz w:val="20"/>
                <w:szCs w:val="20"/>
              </w:rPr>
            </w:pPr>
          </w:p>
        </w:tc>
        <w:tc>
          <w:tcPr>
            <w:tcW w:w="460" w:type="dxa"/>
            <w:gridSpan w:val="4"/>
            <w:tcBorders>
              <w:top w:val="single" w:sz="4" w:space="0" w:color="auto"/>
            </w:tcBorders>
          </w:tcPr>
          <w:p w:rsidR="000F4CB9" w:rsidRPr="000F4CB9" w:rsidRDefault="000F4CB9" w:rsidP="00BA11CF">
            <w:pPr>
              <w:rPr>
                <w:rFonts w:asciiTheme="minorHAnsi" w:hAnsiTheme="minorHAnsi" w:cstheme="minorHAnsi"/>
                <w:b/>
                <w:sz w:val="20"/>
                <w:szCs w:val="20"/>
              </w:rPr>
            </w:pPr>
          </w:p>
        </w:tc>
        <w:tc>
          <w:tcPr>
            <w:tcW w:w="460" w:type="dxa"/>
            <w:gridSpan w:val="3"/>
            <w:tcBorders>
              <w:top w:val="single" w:sz="4" w:space="0" w:color="auto"/>
            </w:tcBorders>
          </w:tcPr>
          <w:p w:rsidR="000F4CB9" w:rsidRPr="000F4CB9" w:rsidRDefault="000F4CB9" w:rsidP="00BA11CF">
            <w:pPr>
              <w:rPr>
                <w:rFonts w:asciiTheme="minorHAnsi" w:hAnsiTheme="minorHAnsi" w:cstheme="minorHAnsi"/>
                <w:b/>
                <w:sz w:val="20"/>
                <w:szCs w:val="20"/>
              </w:rPr>
            </w:pPr>
          </w:p>
        </w:tc>
        <w:tc>
          <w:tcPr>
            <w:tcW w:w="460" w:type="dxa"/>
            <w:gridSpan w:val="3"/>
            <w:tcBorders>
              <w:top w:val="single" w:sz="4" w:space="0" w:color="auto"/>
            </w:tcBorders>
          </w:tcPr>
          <w:p w:rsidR="000F4CB9" w:rsidRPr="000F4CB9" w:rsidRDefault="000F4CB9" w:rsidP="00BA11CF">
            <w:pPr>
              <w:rPr>
                <w:rFonts w:asciiTheme="minorHAnsi" w:hAnsiTheme="minorHAnsi" w:cstheme="minorHAnsi"/>
                <w:b/>
                <w:sz w:val="20"/>
                <w:szCs w:val="20"/>
              </w:rPr>
            </w:pPr>
          </w:p>
        </w:tc>
        <w:tc>
          <w:tcPr>
            <w:tcW w:w="1183" w:type="dxa"/>
            <w:gridSpan w:val="5"/>
            <w:tcBorders>
              <w:top w:val="single" w:sz="4" w:space="0" w:color="auto"/>
            </w:tcBorders>
          </w:tcPr>
          <w:p w:rsidR="000F4CB9" w:rsidRPr="000F4CB9" w:rsidRDefault="000F4CB9" w:rsidP="00BA11CF">
            <w:pPr>
              <w:rPr>
                <w:rFonts w:asciiTheme="minorHAnsi" w:hAnsiTheme="minorHAnsi" w:cstheme="minorHAnsi"/>
                <w:b/>
                <w:sz w:val="20"/>
                <w:szCs w:val="20"/>
              </w:rPr>
            </w:pPr>
          </w:p>
        </w:tc>
      </w:tr>
      <w:tr w:rsidR="000F4CB9" w:rsidRPr="00C50E8E" w:rsidTr="000F4CB9">
        <w:trPr>
          <w:gridAfter w:val="5"/>
          <w:wAfter w:w="2677" w:type="dxa"/>
        </w:trPr>
        <w:tc>
          <w:tcPr>
            <w:tcW w:w="9923" w:type="dxa"/>
            <w:gridSpan w:val="55"/>
          </w:tcPr>
          <w:p w:rsidR="000F4CB9" w:rsidRPr="000F4CB9" w:rsidRDefault="000F4CB9" w:rsidP="00BA11CF">
            <w:pPr>
              <w:rPr>
                <w:rFonts w:asciiTheme="minorHAnsi" w:hAnsiTheme="minorHAnsi" w:cstheme="minorHAnsi"/>
                <w:b/>
                <w:sz w:val="20"/>
                <w:szCs w:val="20"/>
              </w:rPr>
            </w:pPr>
            <w:r w:rsidRPr="000F4CB9">
              <w:rPr>
                <w:rFonts w:asciiTheme="minorHAnsi" w:hAnsiTheme="minorHAnsi" w:cstheme="minorHAnsi"/>
                <w:b/>
                <w:sz w:val="20"/>
                <w:szCs w:val="20"/>
              </w:rPr>
              <w:t>Stručný komentář k celkovému vývoji plnění příjmů kapitoly ve sledovaném období</w:t>
            </w:r>
          </w:p>
        </w:tc>
      </w:tr>
      <w:tr w:rsidR="000F4CB9" w:rsidRPr="00C50E8E" w:rsidTr="000F4CB9">
        <w:trPr>
          <w:gridAfter w:val="5"/>
          <w:wAfter w:w="2677" w:type="dxa"/>
        </w:trPr>
        <w:tc>
          <w:tcPr>
            <w:tcW w:w="460" w:type="dxa"/>
          </w:tcPr>
          <w:p w:rsidR="000F4CB9" w:rsidRPr="000F4CB9" w:rsidRDefault="000F4CB9" w:rsidP="00BA11CF">
            <w:pPr>
              <w:rPr>
                <w:rFonts w:asciiTheme="minorHAnsi" w:hAnsiTheme="minorHAnsi" w:cstheme="minorHAnsi"/>
                <w:b/>
                <w:sz w:val="20"/>
                <w:szCs w:val="20"/>
              </w:rPr>
            </w:pPr>
          </w:p>
        </w:tc>
        <w:tc>
          <w:tcPr>
            <w:tcW w:w="392" w:type="dxa"/>
          </w:tcPr>
          <w:p w:rsidR="000F4CB9" w:rsidRPr="000F4CB9" w:rsidRDefault="000F4CB9" w:rsidP="00BA11CF">
            <w:pPr>
              <w:rPr>
                <w:rFonts w:asciiTheme="minorHAnsi" w:hAnsiTheme="minorHAnsi" w:cstheme="minorHAnsi"/>
                <w:b/>
                <w:sz w:val="20"/>
                <w:szCs w:val="20"/>
              </w:rPr>
            </w:pPr>
          </w:p>
        </w:tc>
        <w:tc>
          <w:tcPr>
            <w:tcW w:w="638" w:type="dxa"/>
          </w:tcPr>
          <w:p w:rsidR="000F4CB9" w:rsidRPr="000F4CB9" w:rsidRDefault="000F4CB9" w:rsidP="00BA11CF">
            <w:pPr>
              <w:rPr>
                <w:rFonts w:asciiTheme="minorHAnsi" w:hAnsiTheme="minorHAnsi" w:cstheme="minorHAnsi"/>
                <w:b/>
                <w:sz w:val="20"/>
                <w:szCs w:val="20"/>
              </w:rPr>
            </w:pPr>
          </w:p>
        </w:tc>
        <w:tc>
          <w:tcPr>
            <w:tcW w:w="350" w:type="dxa"/>
            <w:gridSpan w:val="3"/>
          </w:tcPr>
          <w:p w:rsidR="000F4CB9" w:rsidRPr="000F4CB9" w:rsidRDefault="000F4CB9" w:rsidP="00BA11CF">
            <w:pPr>
              <w:rPr>
                <w:rFonts w:asciiTheme="minorHAnsi" w:hAnsiTheme="minorHAnsi" w:cstheme="minorHAnsi"/>
                <w:b/>
                <w:sz w:val="20"/>
                <w:szCs w:val="20"/>
              </w:rPr>
            </w:pPr>
          </w:p>
        </w:tc>
        <w:tc>
          <w:tcPr>
            <w:tcW w:w="460" w:type="dxa"/>
          </w:tcPr>
          <w:p w:rsidR="000F4CB9" w:rsidRPr="000F4CB9" w:rsidRDefault="000F4CB9" w:rsidP="00BA11CF">
            <w:pPr>
              <w:rPr>
                <w:rFonts w:asciiTheme="minorHAnsi" w:hAnsiTheme="minorHAnsi" w:cstheme="minorHAnsi"/>
                <w:b/>
                <w:sz w:val="20"/>
                <w:szCs w:val="20"/>
              </w:rPr>
            </w:pPr>
          </w:p>
        </w:tc>
        <w:tc>
          <w:tcPr>
            <w:tcW w:w="460" w:type="dxa"/>
            <w:gridSpan w:val="3"/>
          </w:tcPr>
          <w:p w:rsidR="000F4CB9" w:rsidRPr="000F4CB9" w:rsidRDefault="000F4CB9" w:rsidP="00BA11CF">
            <w:pPr>
              <w:rPr>
                <w:rFonts w:asciiTheme="minorHAnsi" w:hAnsiTheme="minorHAnsi" w:cstheme="minorHAnsi"/>
                <w:b/>
                <w:sz w:val="20"/>
                <w:szCs w:val="20"/>
              </w:rPr>
            </w:pPr>
          </w:p>
        </w:tc>
        <w:tc>
          <w:tcPr>
            <w:tcW w:w="460" w:type="dxa"/>
            <w:gridSpan w:val="3"/>
          </w:tcPr>
          <w:p w:rsidR="000F4CB9" w:rsidRPr="000F4CB9" w:rsidRDefault="000F4CB9" w:rsidP="00BA11CF">
            <w:pPr>
              <w:rPr>
                <w:rFonts w:asciiTheme="minorHAnsi" w:hAnsiTheme="minorHAnsi" w:cstheme="minorHAnsi"/>
                <w:b/>
                <w:sz w:val="20"/>
                <w:szCs w:val="20"/>
              </w:rPr>
            </w:pPr>
          </w:p>
        </w:tc>
        <w:tc>
          <w:tcPr>
            <w:tcW w:w="460" w:type="dxa"/>
            <w:gridSpan w:val="2"/>
          </w:tcPr>
          <w:p w:rsidR="000F4CB9" w:rsidRPr="000F4CB9" w:rsidRDefault="000F4CB9" w:rsidP="00BA11CF">
            <w:pPr>
              <w:rPr>
                <w:rFonts w:asciiTheme="minorHAnsi" w:hAnsiTheme="minorHAnsi" w:cstheme="minorHAnsi"/>
                <w:b/>
                <w:sz w:val="20"/>
                <w:szCs w:val="20"/>
              </w:rPr>
            </w:pPr>
          </w:p>
        </w:tc>
        <w:tc>
          <w:tcPr>
            <w:tcW w:w="460" w:type="dxa"/>
            <w:gridSpan w:val="2"/>
          </w:tcPr>
          <w:p w:rsidR="000F4CB9" w:rsidRPr="000F4CB9" w:rsidRDefault="000F4CB9" w:rsidP="00BA11CF">
            <w:pPr>
              <w:rPr>
                <w:rFonts w:asciiTheme="minorHAnsi" w:hAnsiTheme="minorHAnsi" w:cstheme="minorHAnsi"/>
                <w:b/>
                <w:sz w:val="20"/>
                <w:szCs w:val="20"/>
              </w:rPr>
            </w:pPr>
          </w:p>
        </w:tc>
        <w:tc>
          <w:tcPr>
            <w:tcW w:w="397" w:type="dxa"/>
            <w:gridSpan w:val="2"/>
          </w:tcPr>
          <w:p w:rsidR="000F4CB9" w:rsidRPr="000F4CB9" w:rsidRDefault="000F4CB9" w:rsidP="00BA11CF">
            <w:pPr>
              <w:rPr>
                <w:rFonts w:asciiTheme="minorHAnsi" w:hAnsiTheme="minorHAnsi" w:cstheme="minorHAnsi"/>
                <w:b/>
                <w:sz w:val="20"/>
                <w:szCs w:val="20"/>
              </w:rPr>
            </w:pPr>
          </w:p>
        </w:tc>
        <w:tc>
          <w:tcPr>
            <w:tcW w:w="523" w:type="dxa"/>
            <w:gridSpan w:val="3"/>
          </w:tcPr>
          <w:p w:rsidR="000F4CB9" w:rsidRPr="000F4CB9" w:rsidRDefault="000F4CB9" w:rsidP="00BA11CF">
            <w:pPr>
              <w:rPr>
                <w:rFonts w:asciiTheme="minorHAnsi" w:hAnsiTheme="minorHAnsi" w:cstheme="minorHAnsi"/>
                <w:b/>
                <w:sz w:val="20"/>
                <w:szCs w:val="20"/>
              </w:rPr>
            </w:pPr>
          </w:p>
        </w:tc>
        <w:tc>
          <w:tcPr>
            <w:tcW w:w="469" w:type="dxa"/>
            <w:gridSpan w:val="4"/>
          </w:tcPr>
          <w:p w:rsidR="000F4CB9" w:rsidRPr="000F4CB9" w:rsidRDefault="000F4CB9" w:rsidP="00BA11CF">
            <w:pPr>
              <w:rPr>
                <w:rFonts w:asciiTheme="minorHAnsi" w:hAnsiTheme="minorHAnsi" w:cstheme="minorHAnsi"/>
                <w:b/>
                <w:sz w:val="20"/>
                <w:szCs w:val="20"/>
              </w:rPr>
            </w:pPr>
          </w:p>
        </w:tc>
        <w:tc>
          <w:tcPr>
            <w:tcW w:w="451" w:type="dxa"/>
            <w:gridSpan w:val="3"/>
          </w:tcPr>
          <w:p w:rsidR="000F4CB9" w:rsidRPr="000F4CB9" w:rsidRDefault="000F4CB9" w:rsidP="00BA11CF">
            <w:pPr>
              <w:rPr>
                <w:rFonts w:asciiTheme="minorHAnsi" w:hAnsiTheme="minorHAnsi" w:cstheme="minorHAnsi"/>
                <w:b/>
                <w:sz w:val="20"/>
                <w:szCs w:val="20"/>
              </w:rPr>
            </w:pPr>
          </w:p>
        </w:tc>
        <w:tc>
          <w:tcPr>
            <w:tcW w:w="460" w:type="dxa"/>
            <w:gridSpan w:val="4"/>
          </w:tcPr>
          <w:p w:rsidR="000F4CB9" w:rsidRPr="000F4CB9" w:rsidRDefault="000F4CB9" w:rsidP="00BA11CF">
            <w:pPr>
              <w:rPr>
                <w:rFonts w:asciiTheme="minorHAnsi" w:hAnsiTheme="minorHAnsi" w:cstheme="minorHAnsi"/>
                <w:b/>
                <w:sz w:val="20"/>
                <w:szCs w:val="20"/>
              </w:rPr>
            </w:pPr>
          </w:p>
        </w:tc>
        <w:tc>
          <w:tcPr>
            <w:tcW w:w="460" w:type="dxa"/>
            <w:gridSpan w:val="3"/>
          </w:tcPr>
          <w:p w:rsidR="000F4CB9" w:rsidRPr="000F4CB9" w:rsidRDefault="000F4CB9" w:rsidP="00BA11CF">
            <w:pPr>
              <w:rPr>
                <w:rFonts w:asciiTheme="minorHAnsi" w:hAnsiTheme="minorHAnsi" w:cstheme="minorHAnsi"/>
                <w:b/>
                <w:sz w:val="20"/>
                <w:szCs w:val="20"/>
              </w:rPr>
            </w:pPr>
          </w:p>
        </w:tc>
        <w:tc>
          <w:tcPr>
            <w:tcW w:w="460" w:type="dxa"/>
            <w:gridSpan w:val="4"/>
          </w:tcPr>
          <w:p w:rsidR="000F4CB9" w:rsidRPr="000F4CB9" w:rsidRDefault="000F4CB9" w:rsidP="00BA11CF">
            <w:pPr>
              <w:rPr>
                <w:rFonts w:asciiTheme="minorHAnsi" w:hAnsiTheme="minorHAnsi" w:cstheme="minorHAnsi"/>
                <w:b/>
                <w:sz w:val="20"/>
                <w:szCs w:val="20"/>
              </w:rPr>
            </w:pPr>
          </w:p>
        </w:tc>
        <w:tc>
          <w:tcPr>
            <w:tcW w:w="460" w:type="dxa"/>
            <w:gridSpan w:val="4"/>
          </w:tcPr>
          <w:p w:rsidR="000F4CB9" w:rsidRPr="000F4CB9" w:rsidRDefault="000F4CB9" w:rsidP="00BA11CF">
            <w:pPr>
              <w:rPr>
                <w:rFonts w:asciiTheme="minorHAnsi" w:hAnsiTheme="minorHAnsi" w:cstheme="minorHAnsi"/>
                <w:b/>
                <w:sz w:val="20"/>
                <w:szCs w:val="20"/>
              </w:rPr>
            </w:pPr>
          </w:p>
        </w:tc>
        <w:tc>
          <w:tcPr>
            <w:tcW w:w="460" w:type="dxa"/>
            <w:gridSpan w:val="3"/>
          </w:tcPr>
          <w:p w:rsidR="000F4CB9" w:rsidRPr="000F4CB9" w:rsidRDefault="000F4CB9" w:rsidP="00BA11CF">
            <w:pPr>
              <w:rPr>
                <w:rFonts w:asciiTheme="minorHAnsi" w:hAnsiTheme="minorHAnsi" w:cstheme="minorHAnsi"/>
                <w:b/>
                <w:sz w:val="20"/>
                <w:szCs w:val="20"/>
              </w:rPr>
            </w:pPr>
          </w:p>
        </w:tc>
        <w:tc>
          <w:tcPr>
            <w:tcW w:w="460" w:type="dxa"/>
            <w:gridSpan w:val="3"/>
          </w:tcPr>
          <w:p w:rsidR="000F4CB9" w:rsidRPr="000F4CB9" w:rsidRDefault="000F4CB9" w:rsidP="00BA11CF">
            <w:pPr>
              <w:rPr>
                <w:rFonts w:asciiTheme="minorHAnsi" w:hAnsiTheme="minorHAnsi" w:cstheme="minorHAnsi"/>
                <w:b/>
                <w:sz w:val="20"/>
                <w:szCs w:val="20"/>
              </w:rPr>
            </w:pPr>
          </w:p>
        </w:tc>
        <w:tc>
          <w:tcPr>
            <w:tcW w:w="1183" w:type="dxa"/>
            <w:gridSpan w:val="5"/>
          </w:tcPr>
          <w:p w:rsidR="000F4CB9" w:rsidRPr="000F4CB9" w:rsidRDefault="000F4CB9" w:rsidP="00BA11CF">
            <w:pPr>
              <w:rPr>
                <w:rFonts w:asciiTheme="minorHAnsi" w:hAnsiTheme="minorHAnsi" w:cstheme="minorHAnsi"/>
                <w:b/>
                <w:sz w:val="20"/>
                <w:szCs w:val="20"/>
              </w:rPr>
            </w:pPr>
          </w:p>
        </w:tc>
      </w:tr>
      <w:tr w:rsidR="000F4CB9" w:rsidRPr="00C50E8E" w:rsidTr="000F4CB9">
        <w:trPr>
          <w:gridAfter w:val="5"/>
          <w:wAfter w:w="2677" w:type="dxa"/>
        </w:trPr>
        <w:tc>
          <w:tcPr>
            <w:tcW w:w="9923" w:type="dxa"/>
            <w:gridSpan w:val="55"/>
            <w:tcBorders>
              <w:top w:val="single" w:sz="6" w:space="0" w:color="auto"/>
              <w:left w:val="single" w:sz="6" w:space="0" w:color="auto"/>
              <w:bottom w:val="single" w:sz="6" w:space="0" w:color="auto"/>
              <w:right w:val="single" w:sz="6" w:space="0" w:color="auto"/>
            </w:tcBorders>
          </w:tcPr>
          <w:p w:rsidR="000F4CB9" w:rsidRPr="000F4CB9" w:rsidRDefault="000F4CB9" w:rsidP="00BA11CF">
            <w:pPr>
              <w:jc w:val="both"/>
              <w:rPr>
                <w:rFonts w:asciiTheme="minorHAnsi" w:hAnsiTheme="minorHAnsi" w:cstheme="minorHAnsi"/>
                <w:sz w:val="20"/>
                <w:szCs w:val="20"/>
              </w:rPr>
            </w:pPr>
            <w:r w:rsidRPr="000F4CB9">
              <w:rPr>
                <w:rFonts w:asciiTheme="minorHAnsi" w:hAnsiTheme="minorHAnsi" w:cstheme="minorHAnsi"/>
                <w:i/>
                <w:sz w:val="20"/>
                <w:szCs w:val="20"/>
              </w:rPr>
              <w:t>Rozpočtované příjmy kapitoly 30 se podařilo naplnit.</w:t>
            </w:r>
          </w:p>
        </w:tc>
      </w:tr>
      <w:tr w:rsidR="000F4CB9" w:rsidRPr="00C50E8E" w:rsidTr="000F4CB9">
        <w:trPr>
          <w:gridAfter w:val="5"/>
          <w:wAfter w:w="2677" w:type="dxa"/>
        </w:trPr>
        <w:tc>
          <w:tcPr>
            <w:tcW w:w="460" w:type="dxa"/>
          </w:tcPr>
          <w:p w:rsidR="000F4CB9" w:rsidRPr="000F4CB9" w:rsidRDefault="000F4CB9" w:rsidP="00BA11CF">
            <w:pPr>
              <w:rPr>
                <w:rFonts w:asciiTheme="minorHAnsi" w:hAnsiTheme="minorHAnsi" w:cstheme="minorHAnsi"/>
                <w:b/>
                <w:sz w:val="20"/>
                <w:szCs w:val="20"/>
              </w:rPr>
            </w:pPr>
          </w:p>
        </w:tc>
        <w:tc>
          <w:tcPr>
            <w:tcW w:w="392" w:type="dxa"/>
          </w:tcPr>
          <w:p w:rsidR="000F4CB9" w:rsidRPr="000F4CB9" w:rsidRDefault="000F4CB9" w:rsidP="00BA11CF">
            <w:pPr>
              <w:rPr>
                <w:rFonts w:asciiTheme="minorHAnsi" w:hAnsiTheme="minorHAnsi" w:cstheme="minorHAnsi"/>
                <w:b/>
                <w:sz w:val="20"/>
                <w:szCs w:val="20"/>
              </w:rPr>
            </w:pPr>
          </w:p>
        </w:tc>
        <w:tc>
          <w:tcPr>
            <w:tcW w:w="638" w:type="dxa"/>
          </w:tcPr>
          <w:p w:rsidR="000F4CB9" w:rsidRPr="000F4CB9" w:rsidRDefault="000F4CB9" w:rsidP="00BA11CF">
            <w:pPr>
              <w:rPr>
                <w:rFonts w:asciiTheme="minorHAnsi" w:hAnsiTheme="minorHAnsi" w:cstheme="minorHAnsi"/>
                <w:b/>
                <w:sz w:val="20"/>
                <w:szCs w:val="20"/>
              </w:rPr>
            </w:pPr>
          </w:p>
        </w:tc>
        <w:tc>
          <w:tcPr>
            <w:tcW w:w="350" w:type="dxa"/>
            <w:gridSpan w:val="3"/>
          </w:tcPr>
          <w:p w:rsidR="000F4CB9" w:rsidRPr="000F4CB9" w:rsidRDefault="000F4CB9" w:rsidP="00BA11CF">
            <w:pPr>
              <w:rPr>
                <w:rFonts w:asciiTheme="minorHAnsi" w:hAnsiTheme="minorHAnsi" w:cstheme="minorHAnsi"/>
                <w:b/>
                <w:sz w:val="20"/>
                <w:szCs w:val="20"/>
              </w:rPr>
            </w:pPr>
          </w:p>
        </w:tc>
        <w:tc>
          <w:tcPr>
            <w:tcW w:w="460" w:type="dxa"/>
          </w:tcPr>
          <w:p w:rsidR="000F4CB9" w:rsidRPr="000F4CB9" w:rsidRDefault="000F4CB9" w:rsidP="00BA11CF">
            <w:pPr>
              <w:rPr>
                <w:rFonts w:asciiTheme="minorHAnsi" w:hAnsiTheme="minorHAnsi" w:cstheme="minorHAnsi"/>
                <w:b/>
                <w:sz w:val="20"/>
                <w:szCs w:val="20"/>
              </w:rPr>
            </w:pPr>
          </w:p>
        </w:tc>
        <w:tc>
          <w:tcPr>
            <w:tcW w:w="460" w:type="dxa"/>
            <w:gridSpan w:val="3"/>
          </w:tcPr>
          <w:p w:rsidR="000F4CB9" w:rsidRPr="000F4CB9" w:rsidRDefault="000F4CB9" w:rsidP="00BA11CF">
            <w:pPr>
              <w:rPr>
                <w:rFonts w:asciiTheme="minorHAnsi" w:hAnsiTheme="minorHAnsi" w:cstheme="minorHAnsi"/>
                <w:b/>
                <w:sz w:val="20"/>
                <w:szCs w:val="20"/>
              </w:rPr>
            </w:pPr>
          </w:p>
        </w:tc>
        <w:tc>
          <w:tcPr>
            <w:tcW w:w="460" w:type="dxa"/>
            <w:gridSpan w:val="3"/>
          </w:tcPr>
          <w:p w:rsidR="000F4CB9" w:rsidRPr="000F4CB9" w:rsidRDefault="000F4CB9" w:rsidP="00BA11CF">
            <w:pPr>
              <w:rPr>
                <w:rFonts w:asciiTheme="minorHAnsi" w:hAnsiTheme="minorHAnsi" w:cstheme="minorHAnsi"/>
                <w:b/>
                <w:sz w:val="20"/>
                <w:szCs w:val="20"/>
              </w:rPr>
            </w:pPr>
          </w:p>
        </w:tc>
        <w:tc>
          <w:tcPr>
            <w:tcW w:w="460" w:type="dxa"/>
            <w:gridSpan w:val="2"/>
          </w:tcPr>
          <w:p w:rsidR="000F4CB9" w:rsidRPr="000F4CB9" w:rsidRDefault="000F4CB9" w:rsidP="00BA11CF">
            <w:pPr>
              <w:rPr>
                <w:rFonts w:asciiTheme="minorHAnsi" w:hAnsiTheme="minorHAnsi" w:cstheme="minorHAnsi"/>
                <w:b/>
                <w:sz w:val="20"/>
                <w:szCs w:val="20"/>
              </w:rPr>
            </w:pPr>
          </w:p>
        </w:tc>
        <w:tc>
          <w:tcPr>
            <w:tcW w:w="460" w:type="dxa"/>
            <w:gridSpan w:val="2"/>
          </w:tcPr>
          <w:p w:rsidR="000F4CB9" w:rsidRPr="000F4CB9" w:rsidRDefault="000F4CB9" w:rsidP="00BA11CF">
            <w:pPr>
              <w:rPr>
                <w:rFonts w:asciiTheme="minorHAnsi" w:hAnsiTheme="minorHAnsi" w:cstheme="minorHAnsi"/>
                <w:b/>
                <w:sz w:val="20"/>
                <w:szCs w:val="20"/>
              </w:rPr>
            </w:pPr>
          </w:p>
        </w:tc>
        <w:tc>
          <w:tcPr>
            <w:tcW w:w="397" w:type="dxa"/>
            <w:gridSpan w:val="2"/>
          </w:tcPr>
          <w:p w:rsidR="000F4CB9" w:rsidRPr="000F4CB9" w:rsidRDefault="000F4CB9" w:rsidP="00BA11CF">
            <w:pPr>
              <w:rPr>
                <w:rFonts w:asciiTheme="minorHAnsi" w:hAnsiTheme="minorHAnsi" w:cstheme="minorHAnsi"/>
                <w:b/>
                <w:sz w:val="20"/>
                <w:szCs w:val="20"/>
              </w:rPr>
            </w:pPr>
          </w:p>
        </w:tc>
        <w:tc>
          <w:tcPr>
            <w:tcW w:w="523" w:type="dxa"/>
            <w:gridSpan w:val="3"/>
          </w:tcPr>
          <w:p w:rsidR="000F4CB9" w:rsidRPr="000F4CB9" w:rsidRDefault="000F4CB9" w:rsidP="00BA11CF">
            <w:pPr>
              <w:rPr>
                <w:rFonts w:asciiTheme="minorHAnsi" w:hAnsiTheme="minorHAnsi" w:cstheme="minorHAnsi"/>
                <w:b/>
                <w:sz w:val="20"/>
                <w:szCs w:val="20"/>
              </w:rPr>
            </w:pPr>
          </w:p>
        </w:tc>
        <w:tc>
          <w:tcPr>
            <w:tcW w:w="469" w:type="dxa"/>
            <w:gridSpan w:val="4"/>
          </w:tcPr>
          <w:p w:rsidR="000F4CB9" w:rsidRPr="000F4CB9" w:rsidRDefault="000F4CB9" w:rsidP="00BA11CF">
            <w:pPr>
              <w:rPr>
                <w:rFonts w:asciiTheme="minorHAnsi" w:hAnsiTheme="minorHAnsi" w:cstheme="minorHAnsi"/>
                <w:b/>
                <w:sz w:val="20"/>
                <w:szCs w:val="20"/>
              </w:rPr>
            </w:pPr>
          </w:p>
        </w:tc>
        <w:tc>
          <w:tcPr>
            <w:tcW w:w="451" w:type="dxa"/>
            <w:gridSpan w:val="3"/>
          </w:tcPr>
          <w:p w:rsidR="000F4CB9" w:rsidRPr="000F4CB9" w:rsidRDefault="000F4CB9" w:rsidP="00BA11CF">
            <w:pPr>
              <w:rPr>
                <w:rFonts w:asciiTheme="minorHAnsi" w:hAnsiTheme="minorHAnsi" w:cstheme="minorHAnsi"/>
                <w:b/>
                <w:sz w:val="20"/>
                <w:szCs w:val="20"/>
              </w:rPr>
            </w:pPr>
          </w:p>
        </w:tc>
        <w:tc>
          <w:tcPr>
            <w:tcW w:w="460" w:type="dxa"/>
            <w:gridSpan w:val="4"/>
          </w:tcPr>
          <w:p w:rsidR="000F4CB9" w:rsidRPr="000F4CB9" w:rsidRDefault="000F4CB9" w:rsidP="00BA11CF">
            <w:pPr>
              <w:rPr>
                <w:rFonts w:asciiTheme="minorHAnsi" w:hAnsiTheme="minorHAnsi" w:cstheme="minorHAnsi"/>
                <w:b/>
                <w:sz w:val="20"/>
                <w:szCs w:val="20"/>
              </w:rPr>
            </w:pPr>
          </w:p>
        </w:tc>
        <w:tc>
          <w:tcPr>
            <w:tcW w:w="460" w:type="dxa"/>
            <w:gridSpan w:val="3"/>
          </w:tcPr>
          <w:p w:rsidR="000F4CB9" w:rsidRPr="000F4CB9" w:rsidRDefault="000F4CB9" w:rsidP="00BA11CF">
            <w:pPr>
              <w:rPr>
                <w:rFonts w:asciiTheme="minorHAnsi" w:hAnsiTheme="minorHAnsi" w:cstheme="minorHAnsi"/>
                <w:b/>
                <w:sz w:val="20"/>
                <w:szCs w:val="20"/>
              </w:rPr>
            </w:pPr>
          </w:p>
        </w:tc>
        <w:tc>
          <w:tcPr>
            <w:tcW w:w="460" w:type="dxa"/>
            <w:gridSpan w:val="4"/>
          </w:tcPr>
          <w:p w:rsidR="000F4CB9" w:rsidRPr="000F4CB9" w:rsidRDefault="000F4CB9" w:rsidP="00BA11CF">
            <w:pPr>
              <w:rPr>
                <w:rFonts w:asciiTheme="minorHAnsi" w:hAnsiTheme="minorHAnsi" w:cstheme="minorHAnsi"/>
                <w:b/>
                <w:sz w:val="20"/>
                <w:szCs w:val="20"/>
              </w:rPr>
            </w:pPr>
          </w:p>
        </w:tc>
        <w:tc>
          <w:tcPr>
            <w:tcW w:w="460" w:type="dxa"/>
            <w:gridSpan w:val="4"/>
          </w:tcPr>
          <w:p w:rsidR="000F4CB9" w:rsidRPr="000F4CB9" w:rsidRDefault="000F4CB9" w:rsidP="00BA11CF">
            <w:pPr>
              <w:rPr>
                <w:rFonts w:asciiTheme="minorHAnsi" w:hAnsiTheme="minorHAnsi" w:cstheme="minorHAnsi"/>
                <w:b/>
                <w:sz w:val="20"/>
                <w:szCs w:val="20"/>
              </w:rPr>
            </w:pPr>
          </w:p>
        </w:tc>
        <w:tc>
          <w:tcPr>
            <w:tcW w:w="460" w:type="dxa"/>
            <w:gridSpan w:val="3"/>
          </w:tcPr>
          <w:p w:rsidR="000F4CB9" w:rsidRPr="000F4CB9" w:rsidRDefault="000F4CB9" w:rsidP="00BA11CF">
            <w:pPr>
              <w:rPr>
                <w:rFonts w:asciiTheme="minorHAnsi" w:hAnsiTheme="minorHAnsi" w:cstheme="minorHAnsi"/>
                <w:b/>
                <w:sz w:val="20"/>
                <w:szCs w:val="20"/>
              </w:rPr>
            </w:pPr>
          </w:p>
        </w:tc>
        <w:tc>
          <w:tcPr>
            <w:tcW w:w="460" w:type="dxa"/>
            <w:gridSpan w:val="3"/>
          </w:tcPr>
          <w:p w:rsidR="000F4CB9" w:rsidRPr="000F4CB9" w:rsidRDefault="000F4CB9" w:rsidP="00BA11CF">
            <w:pPr>
              <w:rPr>
                <w:rFonts w:asciiTheme="minorHAnsi" w:hAnsiTheme="minorHAnsi" w:cstheme="minorHAnsi"/>
                <w:b/>
                <w:sz w:val="20"/>
                <w:szCs w:val="20"/>
              </w:rPr>
            </w:pPr>
          </w:p>
        </w:tc>
        <w:tc>
          <w:tcPr>
            <w:tcW w:w="1183" w:type="dxa"/>
            <w:gridSpan w:val="5"/>
          </w:tcPr>
          <w:p w:rsidR="000F4CB9" w:rsidRPr="000F4CB9" w:rsidRDefault="000F4CB9" w:rsidP="00BA11CF">
            <w:pPr>
              <w:rPr>
                <w:rFonts w:asciiTheme="minorHAnsi" w:hAnsiTheme="minorHAnsi" w:cstheme="minorHAnsi"/>
                <w:b/>
                <w:sz w:val="20"/>
                <w:szCs w:val="20"/>
              </w:rPr>
            </w:pPr>
          </w:p>
        </w:tc>
      </w:tr>
      <w:tr w:rsidR="000F4CB9" w:rsidRPr="00C50E8E" w:rsidTr="000F4CB9">
        <w:trPr>
          <w:gridAfter w:val="5"/>
          <w:wAfter w:w="2677" w:type="dxa"/>
        </w:trPr>
        <w:tc>
          <w:tcPr>
            <w:tcW w:w="9923" w:type="dxa"/>
            <w:gridSpan w:val="55"/>
          </w:tcPr>
          <w:p w:rsidR="000F4CB9" w:rsidRPr="000F4CB9" w:rsidRDefault="000F4CB9" w:rsidP="00BA11CF">
            <w:pPr>
              <w:rPr>
                <w:rFonts w:asciiTheme="minorHAnsi" w:hAnsiTheme="minorHAnsi" w:cstheme="minorHAnsi"/>
                <w:b/>
                <w:sz w:val="20"/>
                <w:szCs w:val="20"/>
              </w:rPr>
            </w:pPr>
            <w:r w:rsidRPr="000F4CB9">
              <w:rPr>
                <w:rFonts w:asciiTheme="minorHAnsi" w:hAnsiTheme="minorHAnsi" w:cstheme="minorHAnsi"/>
                <w:b/>
                <w:sz w:val="20"/>
                <w:szCs w:val="20"/>
              </w:rPr>
              <w:t>Komentář k položkám (akcím), které vykázaly abnormalitu v řádném plnění příjmů rozpočtu kapitoly ve sledovaném období</w:t>
            </w:r>
          </w:p>
        </w:tc>
      </w:tr>
      <w:tr w:rsidR="000F4CB9" w:rsidRPr="00C50E8E" w:rsidTr="000F4CB9">
        <w:tc>
          <w:tcPr>
            <w:tcW w:w="460" w:type="dxa"/>
          </w:tcPr>
          <w:p w:rsidR="000F4CB9" w:rsidRPr="000F4CB9" w:rsidRDefault="000F4CB9" w:rsidP="00BA11CF">
            <w:pPr>
              <w:rPr>
                <w:rFonts w:asciiTheme="minorHAnsi" w:hAnsiTheme="minorHAnsi" w:cstheme="minorHAnsi"/>
                <w:b/>
                <w:sz w:val="20"/>
                <w:szCs w:val="20"/>
              </w:rPr>
            </w:pPr>
          </w:p>
        </w:tc>
        <w:tc>
          <w:tcPr>
            <w:tcW w:w="392" w:type="dxa"/>
          </w:tcPr>
          <w:p w:rsidR="000F4CB9" w:rsidRPr="000F4CB9" w:rsidRDefault="000F4CB9" w:rsidP="00BA11CF">
            <w:pPr>
              <w:rPr>
                <w:rFonts w:asciiTheme="minorHAnsi" w:hAnsiTheme="minorHAnsi" w:cstheme="minorHAnsi"/>
                <w:b/>
                <w:sz w:val="20"/>
                <w:szCs w:val="20"/>
              </w:rPr>
            </w:pPr>
          </w:p>
        </w:tc>
        <w:tc>
          <w:tcPr>
            <w:tcW w:w="638" w:type="dxa"/>
          </w:tcPr>
          <w:p w:rsidR="000F4CB9" w:rsidRPr="000F4CB9" w:rsidRDefault="000F4CB9" w:rsidP="00BA11CF">
            <w:pPr>
              <w:rPr>
                <w:rFonts w:asciiTheme="minorHAnsi" w:hAnsiTheme="minorHAnsi" w:cstheme="minorHAnsi"/>
                <w:b/>
                <w:sz w:val="20"/>
                <w:szCs w:val="20"/>
              </w:rPr>
            </w:pPr>
          </w:p>
        </w:tc>
        <w:tc>
          <w:tcPr>
            <w:tcW w:w="160" w:type="dxa"/>
          </w:tcPr>
          <w:p w:rsidR="000F4CB9" w:rsidRPr="000F4CB9" w:rsidRDefault="000F4CB9" w:rsidP="00BA11CF">
            <w:pPr>
              <w:rPr>
                <w:rFonts w:asciiTheme="minorHAnsi" w:hAnsiTheme="minorHAnsi" w:cstheme="minorHAnsi"/>
                <w:b/>
                <w:sz w:val="20"/>
                <w:szCs w:val="20"/>
              </w:rPr>
            </w:pPr>
          </w:p>
        </w:tc>
        <w:tc>
          <w:tcPr>
            <w:tcW w:w="2997" w:type="dxa"/>
            <w:gridSpan w:val="16"/>
          </w:tcPr>
          <w:p w:rsidR="000F4CB9" w:rsidRPr="000F4CB9" w:rsidRDefault="000F4CB9" w:rsidP="00BA11CF">
            <w:pPr>
              <w:rPr>
                <w:rFonts w:asciiTheme="minorHAnsi" w:hAnsiTheme="minorHAnsi" w:cstheme="minorHAnsi"/>
                <w:b/>
                <w:sz w:val="20"/>
                <w:szCs w:val="20"/>
              </w:rPr>
            </w:pPr>
          </w:p>
        </w:tc>
        <w:tc>
          <w:tcPr>
            <w:tcW w:w="523" w:type="dxa"/>
            <w:gridSpan w:val="3"/>
          </w:tcPr>
          <w:p w:rsidR="000F4CB9" w:rsidRPr="000F4CB9" w:rsidRDefault="000F4CB9" w:rsidP="00BA11CF">
            <w:pPr>
              <w:rPr>
                <w:rFonts w:asciiTheme="minorHAnsi" w:hAnsiTheme="minorHAnsi" w:cstheme="minorHAnsi"/>
                <w:b/>
                <w:sz w:val="20"/>
                <w:szCs w:val="20"/>
              </w:rPr>
            </w:pPr>
          </w:p>
        </w:tc>
        <w:tc>
          <w:tcPr>
            <w:tcW w:w="469" w:type="dxa"/>
            <w:gridSpan w:val="4"/>
          </w:tcPr>
          <w:p w:rsidR="000F4CB9" w:rsidRPr="000F4CB9" w:rsidRDefault="000F4CB9" w:rsidP="00BA11CF">
            <w:pPr>
              <w:rPr>
                <w:rFonts w:asciiTheme="minorHAnsi" w:hAnsiTheme="minorHAnsi" w:cstheme="minorHAnsi"/>
                <w:b/>
                <w:sz w:val="20"/>
                <w:szCs w:val="20"/>
              </w:rPr>
            </w:pPr>
          </w:p>
        </w:tc>
        <w:tc>
          <w:tcPr>
            <w:tcW w:w="451" w:type="dxa"/>
            <w:gridSpan w:val="4"/>
          </w:tcPr>
          <w:p w:rsidR="000F4CB9" w:rsidRPr="000F4CB9" w:rsidRDefault="000F4CB9" w:rsidP="00BA11CF">
            <w:pPr>
              <w:rPr>
                <w:rFonts w:asciiTheme="minorHAnsi" w:hAnsiTheme="minorHAnsi" w:cstheme="minorHAnsi"/>
                <w:b/>
                <w:sz w:val="20"/>
                <w:szCs w:val="20"/>
              </w:rPr>
            </w:pPr>
          </w:p>
        </w:tc>
        <w:tc>
          <w:tcPr>
            <w:tcW w:w="460" w:type="dxa"/>
            <w:gridSpan w:val="3"/>
          </w:tcPr>
          <w:p w:rsidR="000F4CB9" w:rsidRPr="000F4CB9" w:rsidRDefault="000F4CB9" w:rsidP="00BA11CF">
            <w:pPr>
              <w:rPr>
                <w:rFonts w:asciiTheme="minorHAnsi" w:hAnsiTheme="minorHAnsi" w:cstheme="minorHAnsi"/>
                <w:b/>
                <w:sz w:val="20"/>
                <w:szCs w:val="20"/>
              </w:rPr>
            </w:pPr>
          </w:p>
        </w:tc>
        <w:tc>
          <w:tcPr>
            <w:tcW w:w="460" w:type="dxa"/>
            <w:gridSpan w:val="3"/>
          </w:tcPr>
          <w:p w:rsidR="000F4CB9" w:rsidRPr="000F4CB9" w:rsidRDefault="000F4CB9" w:rsidP="00BA11CF">
            <w:pPr>
              <w:rPr>
                <w:rFonts w:asciiTheme="minorHAnsi" w:hAnsiTheme="minorHAnsi" w:cstheme="minorHAnsi"/>
                <w:b/>
                <w:sz w:val="20"/>
                <w:szCs w:val="20"/>
              </w:rPr>
            </w:pPr>
          </w:p>
        </w:tc>
        <w:tc>
          <w:tcPr>
            <w:tcW w:w="460" w:type="dxa"/>
            <w:gridSpan w:val="5"/>
          </w:tcPr>
          <w:p w:rsidR="000F4CB9" w:rsidRPr="000F4CB9" w:rsidRDefault="000F4CB9" w:rsidP="00BA11CF">
            <w:pPr>
              <w:rPr>
                <w:rFonts w:asciiTheme="minorHAnsi" w:hAnsiTheme="minorHAnsi" w:cstheme="minorHAnsi"/>
                <w:b/>
                <w:sz w:val="20"/>
                <w:szCs w:val="20"/>
              </w:rPr>
            </w:pPr>
          </w:p>
        </w:tc>
        <w:tc>
          <w:tcPr>
            <w:tcW w:w="460" w:type="dxa"/>
            <w:gridSpan w:val="3"/>
          </w:tcPr>
          <w:p w:rsidR="000F4CB9" w:rsidRPr="000F4CB9" w:rsidRDefault="000F4CB9" w:rsidP="00BA11CF">
            <w:pPr>
              <w:rPr>
                <w:rFonts w:asciiTheme="minorHAnsi" w:hAnsiTheme="minorHAnsi" w:cstheme="minorHAnsi"/>
                <w:b/>
                <w:sz w:val="20"/>
                <w:szCs w:val="20"/>
              </w:rPr>
            </w:pPr>
          </w:p>
        </w:tc>
        <w:tc>
          <w:tcPr>
            <w:tcW w:w="460" w:type="dxa"/>
            <w:gridSpan w:val="3"/>
          </w:tcPr>
          <w:p w:rsidR="000F4CB9" w:rsidRPr="000F4CB9" w:rsidRDefault="000F4CB9" w:rsidP="00BA11CF">
            <w:pPr>
              <w:rPr>
                <w:rFonts w:asciiTheme="minorHAnsi" w:hAnsiTheme="minorHAnsi" w:cstheme="minorHAnsi"/>
                <w:b/>
                <w:sz w:val="20"/>
                <w:szCs w:val="20"/>
              </w:rPr>
            </w:pPr>
          </w:p>
        </w:tc>
        <w:tc>
          <w:tcPr>
            <w:tcW w:w="460" w:type="dxa"/>
            <w:gridSpan w:val="3"/>
          </w:tcPr>
          <w:p w:rsidR="000F4CB9" w:rsidRPr="000F4CB9" w:rsidRDefault="000F4CB9" w:rsidP="00BA11CF">
            <w:pPr>
              <w:rPr>
                <w:rFonts w:asciiTheme="minorHAnsi" w:hAnsiTheme="minorHAnsi" w:cstheme="minorHAnsi"/>
                <w:b/>
                <w:sz w:val="20"/>
                <w:szCs w:val="20"/>
              </w:rPr>
            </w:pPr>
          </w:p>
        </w:tc>
        <w:tc>
          <w:tcPr>
            <w:tcW w:w="460" w:type="dxa"/>
            <w:gridSpan w:val="2"/>
          </w:tcPr>
          <w:p w:rsidR="000F4CB9" w:rsidRPr="000F4CB9" w:rsidRDefault="000F4CB9" w:rsidP="00BA11CF">
            <w:pPr>
              <w:rPr>
                <w:rFonts w:asciiTheme="minorHAnsi" w:hAnsiTheme="minorHAnsi" w:cstheme="minorHAnsi"/>
                <w:b/>
                <w:sz w:val="20"/>
                <w:szCs w:val="20"/>
              </w:rPr>
            </w:pPr>
          </w:p>
        </w:tc>
        <w:tc>
          <w:tcPr>
            <w:tcW w:w="460" w:type="dxa"/>
          </w:tcPr>
          <w:p w:rsidR="000F4CB9" w:rsidRPr="000F4CB9" w:rsidRDefault="000F4CB9" w:rsidP="00BA11CF">
            <w:pPr>
              <w:rPr>
                <w:rFonts w:asciiTheme="minorHAnsi" w:hAnsiTheme="minorHAnsi" w:cstheme="minorHAnsi"/>
                <w:b/>
                <w:sz w:val="20"/>
                <w:szCs w:val="20"/>
              </w:rPr>
            </w:pPr>
          </w:p>
        </w:tc>
        <w:tc>
          <w:tcPr>
            <w:tcW w:w="459" w:type="dxa"/>
            <w:gridSpan w:val="3"/>
          </w:tcPr>
          <w:p w:rsidR="000F4CB9" w:rsidRPr="000F4CB9" w:rsidRDefault="000F4CB9" w:rsidP="00BA11CF">
            <w:pPr>
              <w:rPr>
                <w:rFonts w:asciiTheme="minorHAnsi" w:hAnsiTheme="minorHAnsi" w:cstheme="minorHAnsi"/>
                <w:b/>
                <w:sz w:val="20"/>
                <w:szCs w:val="20"/>
              </w:rPr>
            </w:pPr>
          </w:p>
        </w:tc>
        <w:tc>
          <w:tcPr>
            <w:tcW w:w="160" w:type="dxa"/>
          </w:tcPr>
          <w:p w:rsidR="000F4CB9" w:rsidRPr="00C50E8E" w:rsidRDefault="000F4CB9" w:rsidP="00BA11CF">
            <w:pPr>
              <w:rPr>
                <w:b/>
              </w:rPr>
            </w:pPr>
          </w:p>
        </w:tc>
        <w:tc>
          <w:tcPr>
            <w:tcW w:w="460" w:type="dxa"/>
          </w:tcPr>
          <w:p w:rsidR="000F4CB9" w:rsidRPr="00C50E8E" w:rsidRDefault="000F4CB9" w:rsidP="00BA11CF">
            <w:pPr>
              <w:rPr>
                <w:b/>
              </w:rPr>
            </w:pPr>
          </w:p>
        </w:tc>
        <w:tc>
          <w:tcPr>
            <w:tcW w:w="1751" w:type="dxa"/>
          </w:tcPr>
          <w:p w:rsidR="000F4CB9" w:rsidRPr="00C50E8E" w:rsidRDefault="000F4CB9" w:rsidP="00BA11CF">
            <w:pPr>
              <w:rPr>
                <w:b/>
              </w:rPr>
            </w:pPr>
          </w:p>
        </w:tc>
      </w:tr>
      <w:tr w:rsidR="000F4CB9" w:rsidRPr="00AC0210" w:rsidTr="000F4CB9">
        <w:trPr>
          <w:gridAfter w:val="5"/>
          <w:wAfter w:w="2677" w:type="dxa"/>
        </w:trPr>
        <w:tc>
          <w:tcPr>
            <w:tcW w:w="852"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0F4CB9" w:rsidRPr="000F4CB9" w:rsidRDefault="000F4CB9" w:rsidP="00BA11CF">
            <w:pPr>
              <w:jc w:val="center"/>
              <w:rPr>
                <w:rFonts w:asciiTheme="minorHAnsi" w:hAnsiTheme="minorHAnsi" w:cstheme="minorHAnsi"/>
                <w:b/>
                <w:sz w:val="18"/>
                <w:szCs w:val="18"/>
              </w:rPr>
            </w:pPr>
            <w:r w:rsidRPr="000F4CB9">
              <w:rPr>
                <w:rFonts w:asciiTheme="minorHAnsi" w:hAnsiTheme="minorHAnsi" w:cstheme="minorHAnsi"/>
                <w:b/>
                <w:sz w:val="18"/>
                <w:szCs w:val="18"/>
              </w:rPr>
              <w:t>Oddíl, paragraf</w:t>
            </w:r>
          </w:p>
        </w:tc>
        <w:tc>
          <w:tcPr>
            <w:tcW w:w="638" w:type="dxa"/>
            <w:tcBorders>
              <w:top w:val="single" w:sz="4" w:space="0" w:color="auto"/>
              <w:left w:val="single" w:sz="4" w:space="0" w:color="auto"/>
              <w:bottom w:val="single" w:sz="4" w:space="0" w:color="auto"/>
              <w:right w:val="single" w:sz="4" w:space="0" w:color="auto"/>
            </w:tcBorders>
            <w:shd w:val="clear" w:color="auto" w:fill="FFFF00"/>
            <w:vAlign w:val="center"/>
          </w:tcPr>
          <w:p w:rsidR="000F4CB9" w:rsidRPr="000F4CB9" w:rsidRDefault="000F4CB9" w:rsidP="00BA11CF">
            <w:pPr>
              <w:jc w:val="center"/>
              <w:rPr>
                <w:rFonts w:asciiTheme="minorHAnsi" w:hAnsiTheme="minorHAnsi" w:cstheme="minorHAnsi"/>
                <w:b/>
                <w:sz w:val="18"/>
                <w:szCs w:val="18"/>
              </w:rPr>
            </w:pPr>
            <w:r>
              <w:rPr>
                <w:rFonts w:asciiTheme="minorHAnsi" w:hAnsiTheme="minorHAnsi" w:cstheme="minorHAnsi"/>
                <w:b/>
                <w:sz w:val="18"/>
                <w:szCs w:val="18"/>
              </w:rPr>
              <w:t>Pol.</w:t>
            </w:r>
          </w:p>
        </w:tc>
        <w:tc>
          <w:tcPr>
            <w:tcW w:w="1417" w:type="dxa"/>
            <w:gridSpan w:val="8"/>
            <w:tcBorders>
              <w:top w:val="single" w:sz="4" w:space="0" w:color="auto"/>
              <w:left w:val="single" w:sz="4" w:space="0" w:color="auto"/>
              <w:bottom w:val="single" w:sz="4" w:space="0" w:color="auto"/>
              <w:right w:val="single" w:sz="4" w:space="0" w:color="auto"/>
            </w:tcBorders>
            <w:shd w:val="clear" w:color="auto" w:fill="FFFF00"/>
            <w:vAlign w:val="center"/>
          </w:tcPr>
          <w:p w:rsidR="000F4CB9" w:rsidRPr="000F4CB9" w:rsidRDefault="000F4CB9" w:rsidP="00BA11CF">
            <w:pPr>
              <w:jc w:val="center"/>
              <w:rPr>
                <w:rFonts w:asciiTheme="minorHAnsi" w:hAnsiTheme="minorHAnsi" w:cstheme="minorHAnsi"/>
                <w:b/>
                <w:sz w:val="18"/>
                <w:szCs w:val="18"/>
              </w:rPr>
            </w:pPr>
            <w:r w:rsidRPr="000F4CB9">
              <w:rPr>
                <w:rFonts w:asciiTheme="minorHAnsi" w:hAnsiTheme="minorHAnsi" w:cstheme="minorHAnsi"/>
                <w:b/>
                <w:sz w:val="18"/>
                <w:szCs w:val="18"/>
              </w:rPr>
              <w:t>Organizace</w:t>
            </w:r>
          </w:p>
        </w:tc>
        <w:tc>
          <w:tcPr>
            <w:tcW w:w="773"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0F4CB9" w:rsidRPr="000F4CB9" w:rsidRDefault="000F4CB9" w:rsidP="00BA11CF">
            <w:pPr>
              <w:jc w:val="center"/>
              <w:rPr>
                <w:rFonts w:asciiTheme="minorHAnsi" w:hAnsiTheme="minorHAnsi" w:cstheme="minorHAnsi"/>
                <w:b/>
                <w:sz w:val="18"/>
                <w:szCs w:val="18"/>
              </w:rPr>
            </w:pPr>
            <w:r w:rsidRPr="000F4CB9">
              <w:rPr>
                <w:rFonts w:asciiTheme="minorHAnsi" w:hAnsiTheme="minorHAnsi" w:cstheme="minorHAnsi"/>
                <w:b/>
                <w:sz w:val="18"/>
                <w:szCs w:val="18"/>
              </w:rPr>
              <w:t>Účelový zdroj</w:t>
            </w:r>
          </w:p>
        </w:tc>
        <w:tc>
          <w:tcPr>
            <w:tcW w:w="857"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0F4CB9" w:rsidRPr="000F4CB9" w:rsidRDefault="000F4CB9" w:rsidP="00BA11CF">
            <w:pPr>
              <w:jc w:val="center"/>
              <w:rPr>
                <w:rFonts w:asciiTheme="minorHAnsi" w:hAnsiTheme="minorHAnsi" w:cstheme="minorHAnsi"/>
                <w:b/>
                <w:sz w:val="18"/>
                <w:szCs w:val="18"/>
              </w:rPr>
            </w:pPr>
            <w:r>
              <w:rPr>
                <w:rFonts w:asciiTheme="minorHAnsi" w:hAnsiTheme="minorHAnsi" w:cstheme="minorHAnsi"/>
                <w:b/>
                <w:sz w:val="18"/>
                <w:szCs w:val="18"/>
              </w:rPr>
              <w:t>UR</w:t>
            </w:r>
            <w:r w:rsidRPr="000F4CB9">
              <w:rPr>
                <w:rFonts w:asciiTheme="minorHAnsi" w:hAnsiTheme="minorHAnsi" w:cstheme="minorHAnsi"/>
                <w:b/>
                <w:sz w:val="18"/>
                <w:szCs w:val="18"/>
              </w:rPr>
              <w:t xml:space="preserve"> v tis. Kč</w:t>
            </w:r>
          </w:p>
        </w:tc>
        <w:tc>
          <w:tcPr>
            <w:tcW w:w="992" w:type="dxa"/>
            <w:gridSpan w:val="7"/>
            <w:tcBorders>
              <w:top w:val="single" w:sz="4" w:space="0" w:color="auto"/>
              <w:left w:val="single" w:sz="4" w:space="0" w:color="auto"/>
              <w:bottom w:val="single" w:sz="4" w:space="0" w:color="auto"/>
              <w:right w:val="single" w:sz="4" w:space="0" w:color="auto"/>
            </w:tcBorders>
            <w:shd w:val="clear" w:color="auto" w:fill="FFFF00"/>
            <w:vAlign w:val="center"/>
          </w:tcPr>
          <w:p w:rsidR="000F4CB9" w:rsidRPr="000F4CB9" w:rsidRDefault="000F4CB9" w:rsidP="00BA11CF">
            <w:pPr>
              <w:jc w:val="center"/>
              <w:rPr>
                <w:rFonts w:asciiTheme="minorHAnsi" w:hAnsiTheme="minorHAnsi" w:cstheme="minorHAnsi"/>
                <w:b/>
                <w:sz w:val="18"/>
                <w:szCs w:val="18"/>
              </w:rPr>
            </w:pPr>
            <w:r w:rsidRPr="000F4CB9">
              <w:rPr>
                <w:rFonts w:asciiTheme="minorHAnsi" w:hAnsiTheme="minorHAnsi" w:cstheme="minorHAnsi"/>
                <w:b/>
                <w:sz w:val="18"/>
                <w:szCs w:val="18"/>
              </w:rPr>
              <w:t>Skutečnost v tis. Kč</w:t>
            </w:r>
          </w:p>
        </w:tc>
        <w:tc>
          <w:tcPr>
            <w:tcW w:w="4394" w:type="dxa"/>
            <w:gridSpan w:val="29"/>
            <w:tcBorders>
              <w:top w:val="single" w:sz="4" w:space="0" w:color="auto"/>
              <w:left w:val="single" w:sz="4" w:space="0" w:color="auto"/>
              <w:bottom w:val="single" w:sz="4" w:space="0" w:color="auto"/>
              <w:right w:val="single" w:sz="4" w:space="0" w:color="auto"/>
            </w:tcBorders>
            <w:shd w:val="clear" w:color="auto" w:fill="FFFF00"/>
            <w:vAlign w:val="center"/>
          </w:tcPr>
          <w:p w:rsidR="000F4CB9" w:rsidRPr="000F4CB9" w:rsidRDefault="000F4CB9" w:rsidP="00BA11CF">
            <w:pPr>
              <w:jc w:val="center"/>
              <w:rPr>
                <w:rFonts w:asciiTheme="minorHAnsi" w:hAnsiTheme="minorHAnsi" w:cstheme="minorHAnsi"/>
                <w:b/>
                <w:sz w:val="18"/>
                <w:szCs w:val="18"/>
              </w:rPr>
            </w:pPr>
            <w:r w:rsidRPr="000F4CB9">
              <w:rPr>
                <w:rFonts w:asciiTheme="minorHAnsi" w:hAnsiTheme="minorHAnsi" w:cstheme="minorHAnsi"/>
                <w:b/>
                <w:sz w:val="18"/>
                <w:szCs w:val="18"/>
              </w:rPr>
              <w:t>Komentář</w:t>
            </w:r>
          </w:p>
        </w:tc>
      </w:tr>
      <w:tr w:rsidR="000F4CB9" w:rsidRPr="00C50E8E" w:rsidTr="000F4CB9">
        <w:trPr>
          <w:gridAfter w:val="5"/>
          <w:wAfter w:w="2677" w:type="dxa"/>
        </w:trPr>
        <w:tc>
          <w:tcPr>
            <w:tcW w:w="852" w:type="dxa"/>
            <w:gridSpan w:val="2"/>
            <w:tcBorders>
              <w:top w:val="single" w:sz="4" w:space="0" w:color="auto"/>
              <w:left w:val="single" w:sz="4" w:space="0" w:color="auto"/>
              <w:bottom w:val="single" w:sz="4" w:space="0" w:color="auto"/>
              <w:right w:val="single" w:sz="4" w:space="0" w:color="auto"/>
            </w:tcBorders>
          </w:tcPr>
          <w:p w:rsidR="000F4CB9" w:rsidRPr="000F4CB9" w:rsidRDefault="000F4CB9" w:rsidP="00BA11CF">
            <w:pPr>
              <w:jc w:val="center"/>
              <w:rPr>
                <w:rFonts w:asciiTheme="minorHAnsi" w:hAnsiTheme="minorHAnsi" w:cstheme="minorHAnsi"/>
                <w:sz w:val="18"/>
                <w:szCs w:val="18"/>
              </w:rPr>
            </w:pPr>
            <w:r w:rsidRPr="000F4CB9">
              <w:rPr>
                <w:rFonts w:asciiTheme="minorHAnsi" w:hAnsiTheme="minorHAnsi" w:cstheme="minorHAnsi"/>
                <w:sz w:val="18"/>
                <w:szCs w:val="18"/>
              </w:rPr>
              <w:t>6171</w:t>
            </w:r>
          </w:p>
        </w:tc>
        <w:tc>
          <w:tcPr>
            <w:tcW w:w="638" w:type="dxa"/>
            <w:tcBorders>
              <w:top w:val="single" w:sz="4" w:space="0" w:color="auto"/>
              <w:left w:val="single" w:sz="4" w:space="0" w:color="auto"/>
              <w:bottom w:val="single" w:sz="4" w:space="0" w:color="auto"/>
              <w:right w:val="single" w:sz="4" w:space="0" w:color="auto"/>
            </w:tcBorders>
          </w:tcPr>
          <w:p w:rsidR="000F4CB9" w:rsidRPr="000F4CB9" w:rsidRDefault="000F4CB9" w:rsidP="00BA11CF">
            <w:pPr>
              <w:jc w:val="center"/>
              <w:rPr>
                <w:rFonts w:asciiTheme="minorHAnsi" w:hAnsiTheme="minorHAnsi" w:cstheme="minorHAnsi"/>
                <w:sz w:val="18"/>
                <w:szCs w:val="18"/>
              </w:rPr>
            </w:pPr>
            <w:r w:rsidRPr="000F4CB9">
              <w:rPr>
                <w:rFonts w:asciiTheme="minorHAnsi" w:hAnsiTheme="minorHAnsi" w:cstheme="minorHAnsi"/>
                <w:sz w:val="18"/>
                <w:szCs w:val="18"/>
              </w:rPr>
              <w:t>2111</w:t>
            </w:r>
          </w:p>
        </w:tc>
        <w:tc>
          <w:tcPr>
            <w:tcW w:w="1417" w:type="dxa"/>
            <w:gridSpan w:val="8"/>
            <w:tcBorders>
              <w:top w:val="single" w:sz="4" w:space="0" w:color="auto"/>
              <w:left w:val="single" w:sz="4" w:space="0" w:color="auto"/>
              <w:bottom w:val="single" w:sz="4" w:space="0" w:color="auto"/>
              <w:right w:val="single" w:sz="4" w:space="0" w:color="auto"/>
            </w:tcBorders>
          </w:tcPr>
          <w:p w:rsidR="000F4CB9" w:rsidRPr="000F4CB9" w:rsidRDefault="000F4CB9" w:rsidP="00BA11CF">
            <w:pPr>
              <w:rPr>
                <w:rFonts w:asciiTheme="minorHAnsi" w:hAnsiTheme="minorHAnsi" w:cstheme="minorHAnsi"/>
                <w:sz w:val="18"/>
                <w:szCs w:val="18"/>
              </w:rPr>
            </w:pPr>
            <w:r w:rsidRPr="000F4CB9">
              <w:rPr>
                <w:rFonts w:asciiTheme="minorHAnsi" w:hAnsiTheme="minorHAnsi" w:cstheme="minorHAnsi"/>
                <w:sz w:val="18"/>
                <w:szCs w:val="18"/>
              </w:rPr>
              <w:t>0300000000000</w:t>
            </w:r>
          </w:p>
        </w:tc>
        <w:tc>
          <w:tcPr>
            <w:tcW w:w="773" w:type="dxa"/>
            <w:gridSpan w:val="4"/>
            <w:tcBorders>
              <w:top w:val="single" w:sz="4" w:space="0" w:color="auto"/>
              <w:left w:val="single" w:sz="4" w:space="0" w:color="auto"/>
              <w:bottom w:val="single" w:sz="4" w:space="0" w:color="auto"/>
              <w:right w:val="single" w:sz="4" w:space="0" w:color="auto"/>
            </w:tcBorders>
          </w:tcPr>
          <w:p w:rsidR="000F4CB9" w:rsidRPr="000F4CB9" w:rsidRDefault="000F4CB9" w:rsidP="00BA11CF">
            <w:pPr>
              <w:jc w:val="center"/>
              <w:rPr>
                <w:rFonts w:asciiTheme="minorHAnsi" w:hAnsiTheme="minorHAnsi" w:cstheme="minorHAnsi"/>
                <w:sz w:val="18"/>
                <w:szCs w:val="18"/>
              </w:rPr>
            </w:pPr>
            <w:r w:rsidRPr="000F4CB9">
              <w:rPr>
                <w:rFonts w:asciiTheme="minorHAnsi" w:hAnsiTheme="minorHAnsi" w:cstheme="minorHAnsi"/>
                <w:sz w:val="18"/>
                <w:szCs w:val="18"/>
              </w:rPr>
              <w:t>00000</w:t>
            </w:r>
          </w:p>
        </w:tc>
        <w:tc>
          <w:tcPr>
            <w:tcW w:w="857" w:type="dxa"/>
            <w:gridSpan w:val="4"/>
            <w:tcBorders>
              <w:top w:val="single" w:sz="4" w:space="0" w:color="auto"/>
              <w:left w:val="single" w:sz="4" w:space="0" w:color="auto"/>
              <w:bottom w:val="single" w:sz="4" w:space="0" w:color="auto"/>
              <w:right w:val="single" w:sz="4" w:space="0" w:color="auto"/>
            </w:tcBorders>
          </w:tcPr>
          <w:p w:rsidR="000F4CB9" w:rsidRPr="000F4CB9" w:rsidRDefault="000F4CB9" w:rsidP="00BA11CF">
            <w:pPr>
              <w:jc w:val="right"/>
              <w:rPr>
                <w:rFonts w:asciiTheme="minorHAnsi" w:hAnsiTheme="minorHAnsi" w:cstheme="minorHAnsi"/>
                <w:sz w:val="18"/>
                <w:szCs w:val="18"/>
              </w:rPr>
            </w:pPr>
            <w:r w:rsidRPr="000F4CB9">
              <w:rPr>
                <w:rFonts w:asciiTheme="minorHAnsi" w:hAnsiTheme="minorHAnsi" w:cstheme="minorHAnsi"/>
                <w:sz w:val="18"/>
                <w:szCs w:val="18"/>
              </w:rPr>
              <w:t>20</w:t>
            </w:r>
          </w:p>
        </w:tc>
        <w:tc>
          <w:tcPr>
            <w:tcW w:w="992" w:type="dxa"/>
            <w:gridSpan w:val="7"/>
            <w:tcBorders>
              <w:top w:val="single" w:sz="4" w:space="0" w:color="auto"/>
              <w:left w:val="single" w:sz="4" w:space="0" w:color="auto"/>
              <w:bottom w:val="single" w:sz="4" w:space="0" w:color="auto"/>
              <w:right w:val="single" w:sz="4" w:space="0" w:color="auto"/>
            </w:tcBorders>
          </w:tcPr>
          <w:p w:rsidR="000F4CB9" w:rsidRPr="000F4CB9" w:rsidRDefault="000F4CB9" w:rsidP="00BA11CF">
            <w:pPr>
              <w:jc w:val="right"/>
              <w:rPr>
                <w:rFonts w:asciiTheme="minorHAnsi" w:hAnsiTheme="minorHAnsi" w:cstheme="minorHAnsi"/>
                <w:sz w:val="18"/>
                <w:szCs w:val="18"/>
              </w:rPr>
            </w:pPr>
            <w:r w:rsidRPr="000F4CB9">
              <w:rPr>
                <w:rFonts w:asciiTheme="minorHAnsi" w:hAnsiTheme="minorHAnsi" w:cstheme="minorHAnsi"/>
                <w:sz w:val="18"/>
                <w:szCs w:val="18"/>
              </w:rPr>
              <w:t>36,9</w:t>
            </w:r>
          </w:p>
        </w:tc>
        <w:tc>
          <w:tcPr>
            <w:tcW w:w="4394" w:type="dxa"/>
            <w:gridSpan w:val="29"/>
            <w:tcBorders>
              <w:top w:val="single" w:sz="4" w:space="0" w:color="auto"/>
              <w:left w:val="single" w:sz="4" w:space="0" w:color="auto"/>
              <w:bottom w:val="single" w:sz="4" w:space="0" w:color="auto"/>
              <w:right w:val="single" w:sz="4" w:space="0" w:color="auto"/>
            </w:tcBorders>
          </w:tcPr>
          <w:p w:rsidR="000F4CB9" w:rsidRPr="000F4CB9" w:rsidRDefault="000F4CB9" w:rsidP="00BA11CF">
            <w:pPr>
              <w:jc w:val="both"/>
              <w:rPr>
                <w:rFonts w:asciiTheme="minorHAnsi" w:hAnsiTheme="minorHAnsi" w:cstheme="minorHAnsi"/>
                <w:b/>
                <w:sz w:val="18"/>
                <w:szCs w:val="18"/>
                <w:u w:val="single"/>
              </w:rPr>
            </w:pPr>
            <w:r w:rsidRPr="000F4CB9">
              <w:rPr>
                <w:rFonts w:asciiTheme="minorHAnsi" w:hAnsiTheme="minorHAnsi" w:cstheme="minorHAnsi"/>
                <w:b/>
                <w:sz w:val="18"/>
                <w:szCs w:val="18"/>
                <w:u w:val="single"/>
              </w:rPr>
              <w:t>Příjmy z poskytování služeb a výrobků</w:t>
            </w:r>
          </w:p>
          <w:p w:rsidR="000F4CB9" w:rsidRPr="000F4CB9" w:rsidRDefault="000F4CB9" w:rsidP="00BA11CF">
            <w:pPr>
              <w:rPr>
                <w:rFonts w:asciiTheme="minorHAnsi" w:hAnsiTheme="minorHAnsi" w:cstheme="minorHAnsi"/>
                <w:sz w:val="18"/>
                <w:szCs w:val="18"/>
              </w:rPr>
            </w:pPr>
            <w:r w:rsidRPr="000F4CB9">
              <w:rPr>
                <w:rFonts w:asciiTheme="minorHAnsi" w:hAnsiTheme="minorHAnsi" w:cstheme="minorHAnsi"/>
                <w:sz w:val="18"/>
                <w:szCs w:val="18"/>
              </w:rPr>
              <w:t>Jedná se o rozpočtované náklady řízení, které je OŽÚ povinen ukládat ve správním řízení vyvolaném porušením právní povinnosti účastníka řízení – nelze predikovat počet takových správních řízení</w:t>
            </w:r>
          </w:p>
        </w:tc>
      </w:tr>
      <w:tr w:rsidR="000F4CB9" w:rsidRPr="00C50E8E" w:rsidTr="000F4CB9">
        <w:trPr>
          <w:gridAfter w:val="5"/>
          <w:wAfter w:w="2677" w:type="dxa"/>
        </w:trPr>
        <w:tc>
          <w:tcPr>
            <w:tcW w:w="852" w:type="dxa"/>
            <w:gridSpan w:val="2"/>
            <w:tcBorders>
              <w:top w:val="single" w:sz="4" w:space="0" w:color="auto"/>
              <w:left w:val="single" w:sz="4" w:space="0" w:color="auto"/>
              <w:bottom w:val="single" w:sz="4" w:space="0" w:color="auto"/>
              <w:right w:val="single" w:sz="4" w:space="0" w:color="auto"/>
            </w:tcBorders>
          </w:tcPr>
          <w:p w:rsidR="000F4CB9" w:rsidRPr="000F4CB9" w:rsidRDefault="000F4CB9" w:rsidP="00BA11CF">
            <w:pPr>
              <w:jc w:val="center"/>
              <w:rPr>
                <w:rFonts w:asciiTheme="minorHAnsi" w:hAnsiTheme="minorHAnsi" w:cstheme="minorHAnsi"/>
                <w:sz w:val="18"/>
                <w:szCs w:val="18"/>
              </w:rPr>
            </w:pPr>
            <w:r w:rsidRPr="000F4CB9">
              <w:rPr>
                <w:rFonts w:asciiTheme="minorHAnsi" w:hAnsiTheme="minorHAnsi" w:cstheme="minorHAnsi"/>
                <w:sz w:val="18"/>
                <w:szCs w:val="18"/>
              </w:rPr>
              <w:t>6171</w:t>
            </w:r>
          </w:p>
        </w:tc>
        <w:tc>
          <w:tcPr>
            <w:tcW w:w="638" w:type="dxa"/>
            <w:tcBorders>
              <w:top w:val="single" w:sz="4" w:space="0" w:color="auto"/>
              <w:left w:val="single" w:sz="4" w:space="0" w:color="auto"/>
              <w:bottom w:val="single" w:sz="4" w:space="0" w:color="auto"/>
              <w:right w:val="single" w:sz="4" w:space="0" w:color="auto"/>
            </w:tcBorders>
          </w:tcPr>
          <w:p w:rsidR="000F4CB9" w:rsidRPr="000F4CB9" w:rsidRDefault="000F4CB9" w:rsidP="00BA11CF">
            <w:pPr>
              <w:jc w:val="center"/>
              <w:rPr>
                <w:rFonts w:asciiTheme="minorHAnsi" w:hAnsiTheme="minorHAnsi" w:cstheme="minorHAnsi"/>
                <w:sz w:val="18"/>
                <w:szCs w:val="18"/>
              </w:rPr>
            </w:pPr>
            <w:r w:rsidRPr="000F4CB9">
              <w:rPr>
                <w:rFonts w:asciiTheme="minorHAnsi" w:hAnsiTheme="minorHAnsi" w:cstheme="minorHAnsi"/>
                <w:sz w:val="18"/>
                <w:szCs w:val="18"/>
              </w:rPr>
              <w:t>2212</w:t>
            </w:r>
          </w:p>
        </w:tc>
        <w:tc>
          <w:tcPr>
            <w:tcW w:w="1417" w:type="dxa"/>
            <w:gridSpan w:val="8"/>
            <w:tcBorders>
              <w:top w:val="single" w:sz="4" w:space="0" w:color="auto"/>
              <w:left w:val="single" w:sz="4" w:space="0" w:color="auto"/>
              <w:bottom w:val="single" w:sz="4" w:space="0" w:color="auto"/>
              <w:right w:val="single" w:sz="4" w:space="0" w:color="auto"/>
            </w:tcBorders>
          </w:tcPr>
          <w:p w:rsidR="000F4CB9" w:rsidRPr="000F4CB9" w:rsidRDefault="000F4CB9" w:rsidP="00BA11CF">
            <w:pPr>
              <w:rPr>
                <w:rFonts w:asciiTheme="minorHAnsi" w:hAnsiTheme="minorHAnsi" w:cstheme="minorHAnsi"/>
                <w:sz w:val="18"/>
                <w:szCs w:val="18"/>
              </w:rPr>
            </w:pPr>
            <w:r w:rsidRPr="000F4CB9">
              <w:rPr>
                <w:rFonts w:asciiTheme="minorHAnsi" w:hAnsiTheme="minorHAnsi" w:cstheme="minorHAnsi"/>
                <w:sz w:val="18"/>
                <w:szCs w:val="18"/>
              </w:rPr>
              <w:t>0300000000000</w:t>
            </w:r>
          </w:p>
        </w:tc>
        <w:tc>
          <w:tcPr>
            <w:tcW w:w="773" w:type="dxa"/>
            <w:gridSpan w:val="4"/>
            <w:tcBorders>
              <w:top w:val="single" w:sz="4" w:space="0" w:color="auto"/>
              <w:left w:val="single" w:sz="4" w:space="0" w:color="auto"/>
              <w:bottom w:val="single" w:sz="4" w:space="0" w:color="auto"/>
              <w:right w:val="single" w:sz="4" w:space="0" w:color="auto"/>
            </w:tcBorders>
          </w:tcPr>
          <w:p w:rsidR="000F4CB9" w:rsidRPr="000F4CB9" w:rsidRDefault="000F4CB9" w:rsidP="00BA11CF">
            <w:pPr>
              <w:jc w:val="center"/>
              <w:rPr>
                <w:rFonts w:asciiTheme="minorHAnsi" w:hAnsiTheme="minorHAnsi" w:cstheme="minorHAnsi"/>
                <w:sz w:val="18"/>
                <w:szCs w:val="18"/>
              </w:rPr>
            </w:pPr>
            <w:r w:rsidRPr="000F4CB9">
              <w:rPr>
                <w:rFonts w:asciiTheme="minorHAnsi" w:hAnsiTheme="minorHAnsi" w:cstheme="minorHAnsi"/>
                <w:sz w:val="18"/>
                <w:szCs w:val="18"/>
              </w:rPr>
              <w:t>00000</w:t>
            </w:r>
          </w:p>
        </w:tc>
        <w:tc>
          <w:tcPr>
            <w:tcW w:w="857" w:type="dxa"/>
            <w:gridSpan w:val="4"/>
            <w:tcBorders>
              <w:top w:val="single" w:sz="4" w:space="0" w:color="auto"/>
              <w:left w:val="single" w:sz="4" w:space="0" w:color="auto"/>
              <w:bottom w:val="single" w:sz="4" w:space="0" w:color="auto"/>
              <w:right w:val="single" w:sz="4" w:space="0" w:color="auto"/>
            </w:tcBorders>
          </w:tcPr>
          <w:p w:rsidR="000F4CB9" w:rsidRPr="000F4CB9" w:rsidRDefault="000F4CB9" w:rsidP="00BA11CF">
            <w:pPr>
              <w:jc w:val="right"/>
              <w:rPr>
                <w:rFonts w:asciiTheme="minorHAnsi" w:hAnsiTheme="minorHAnsi" w:cstheme="minorHAnsi"/>
                <w:sz w:val="18"/>
                <w:szCs w:val="18"/>
              </w:rPr>
            </w:pPr>
            <w:r w:rsidRPr="000F4CB9">
              <w:rPr>
                <w:rFonts w:asciiTheme="minorHAnsi" w:hAnsiTheme="minorHAnsi" w:cstheme="minorHAnsi"/>
                <w:sz w:val="18"/>
                <w:szCs w:val="18"/>
              </w:rPr>
              <w:t>100</w:t>
            </w:r>
          </w:p>
        </w:tc>
        <w:tc>
          <w:tcPr>
            <w:tcW w:w="992" w:type="dxa"/>
            <w:gridSpan w:val="7"/>
            <w:tcBorders>
              <w:top w:val="single" w:sz="4" w:space="0" w:color="auto"/>
              <w:left w:val="single" w:sz="4" w:space="0" w:color="auto"/>
              <w:bottom w:val="single" w:sz="4" w:space="0" w:color="auto"/>
              <w:right w:val="single" w:sz="4" w:space="0" w:color="auto"/>
            </w:tcBorders>
          </w:tcPr>
          <w:p w:rsidR="000F4CB9" w:rsidRPr="000F4CB9" w:rsidRDefault="000F4CB9" w:rsidP="00BA11CF">
            <w:pPr>
              <w:jc w:val="right"/>
              <w:rPr>
                <w:rFonts w:asciiTheme="minorHAnsi" w:hAnsiTheme="minorHAnsi" w:cstheme="minorHAnsi"/>
                <w:sz w:val="18"/>
                <w:szCs w:val="18"/>
              </w:rPr>
            </w:pPr>
            <w:r w:rsidRPr="000F4CB9">
              <w:rPr>
                <w:rFonts w:asciiTheme="minorHAnsi" w:hAnsiTheme="minorHAnsi" w:cstheme="minorHAnsi"/>
                <w:sz w:val="18"/>
                <w:szCs w:val="18"/>
              </w:rPr>
              <w:t>152,1</w:t>
            </w:r>
          </w:p>
        </w:tc>
        <w:tc>
          <w:tcPr>
            <w:tcW w:w="4394" w:type="dxa"/>
            <w:gridSpan w:val="29"/>
            <w:tcBorders>
              <w:top w:val="single" w:sz="4" w:space="0" w:color="auto"/>
              <w:left w:val="single" w:sz="4" w:space="0" w:color="auto"/>
              <w:bottom w:val="single" w:sz="4" w:space="0" w:color="auto"/>
              <w:right w:val="single" w:sz="4" w:space="0" w:color="auto"/>
            </w:tcBorders>
          </w:tcPr>
          <w:p w:rsidR="000F4CB9" w:rsidRPr="000F4CB9" w:rsidRDefault="000F4CB9" w:rsidP="00BA11CF">
            <w:pPr>
              <w:jc w:val="both"/>
              <w:rPr>
                <w:rFonts w:asciiTheme="minorHAnsi" w:hAnsiTheme="minorHAnsi" w:cstheme="minorHAnsi"/>
                <w:b/>
                <w:sz w:val="18"/>
                <w:szCs w:val="18"/>
                <w:u w:val="single"/>
              </w:rPr>
            </w:pPr>
            <w:r w:rsidRPr="000F4CB9">
              <w:rPr>
                <w:rFonts w:asciiTheme="minorHAnsi" w:hAnsiTheme="minorHAnsi" w:cstheme="minorHAnsi"/>
                <w:b/>
                <w:sz w:val="18"/>
                <w:szCs w:val="18"/>
                <w:u w:val="single"/>
              </w:rPr>
              <w:t>Příjem sankčních plateb přijatých od jiných osob</w:t>
            </w:r>
          </w:p>
          <w:p w:rsidR="000F4CB9" w:rsidRPr="000F4CB9" w:rsidRDefault="000F4CB9" w:rsidP="00BA11CF">
            <w:pPr>
              <w:jc w:val="both"/>
              <w:rPr>
                <w:rFonts w:asciiTheme="minorHAnsi" w:hAnsiTheme="minorHAnsi" w:cstheme="minorHAnsi"/>
                <w:sz w:val="18"/>
                <w:szCs w:val="18"/>
              </w:rPr>
            </w:pPr>
            <w:r w:rsidRPr="000F4CB9">
              <w:rPr>
                <w:rFonts w:asciiTheme="minorHAnsi" w:hAnsiTheme="minorHAnsi" w:cstheme="minorHAnsi"/>
                <w:sz w:val="18"/>
                <w:szCs w:val="18"/>
              </w:rPr>
              <w:t>Jde o rozpočtované příjmy,</w:t>
            </w:r>
            <w:r>
              <w:rPr>
                <w:rFonts w:asciiTheme="minorHAnsi" w:hAnsiTheme="minorHAnsi" w:cstheme="minorHAnsi"/>
                <w:sz w:val="18"/>
                <w:szCs w:val="18"/>
              </w:rPr>
              <w:t xml:space="preserve"> které OŽÚ uloží jako pokuty za </w:t>
            </w:r>
            <w:r w:rsidRPr="000F4CB9">
              <w:rPr>
                <w:rFonts w:asciiTheme="minorHAnsi" w:hAnsiTheme="minorHAnsi" w:cstheme="minorHAnsi"/>
                <w:sz w:val="18"/>
                <w:szCs w:val="18"/>
              </w:rPr>
              <w:t>přestupky v rámci zákonem svěřené věcné působnosti. Výše pokut se pak odvíjí dle zákonem stanovených kritérií a nelze s větší přesností celkovou výši v rozpočtu stanovit.</w:t>
            </w:r>
          </w:p>
        </w:tc>
      </w:tr>
      <w:tr w:rsidR="000F4CB9" w:rsidRPr="00C50E8E" w:rsidTr="000F4CB9">
        <w:trPr>
          <w:gridAfter w:val="4"/>
          <w:wAfter w:w="2507" w:type="dxa"/>
        </w:trPr>
        <w:tc>
          <w:tcPr>
            <w:tcW w:w="460" w:type="dxa"/>
          </w:tcPr>
          <w:p w:rsidR="000F4CB9" w:rsidRPr="000F4CB9" w:rsidRDefault="000F4CB9" w:rsidP="00BA11CF">
            <w:pPr>
              <w:rPr>
                <w:rFonts w:asciiTheme="minorHAnsi" w:hAnsiTheme="minorHAnsi" w:cstheme="minorHAnsi"/>
                <w:b/>
                <w:sz w:val="20"/>
                <w:szCs w:val="20"/>
              </w:rPr>
            </w:pPr>
          </w:p>
        </w:tc>
        <w:tc>
          <w:tcPr>
            <w:tcW w:w="392" w:type="dxa"/>
          </w:tcPr>
          <w:p w:rsidR="000F4CB9" w:rsidRPr="000F4CB9" w:rsidRDefault="000F4CB9" w:rsidP="00BA11CF">
            <w:pPr>
              <w:rPr>
                <w:rFonts w:asciiTheme="minorHAnsi" w:hAnsiTheme="minorHAnsi" w:cstheme="minorHAnsi"/>
                <w:b/>
                <w:sz w:val="20"/>
                <w:szCs w:val="20"/>
              </w:rPr>
            </w:pPr>
          </w:p>
        </w:tc>
        <w:tc>
          <w:tcPr>
            <w:tcW w:w="638" w:type="dxa"/>
          </w:tcPr>
          <w:p w:rsidR="000F4CB9" w:rsidRPr="000F4CB9" w:rsidRDefault="000F4CB9" w:rsidP="00BA11CF">
            <w:pPr>
              <w:rPr>
                <w:rFonts w:asciiTheme="minorHAnsi" w:hAnsiTheme="minorHAnsi" w:cstheme="minorHAnsi"/>
                <w:b/>
                <w:sz w:val="20"/>
                <w:szCs w:val="20"/>
              </w:rPr>
            </w:pPr>
          </w:p>
        </w:tc>
        <w:tc>
          <w:tcPr>
            <w:tcW w:w="160" w:type="dxa"/>
          </w:tcPr>
          <w:p w:rsidR="000F4CB9" w:rsidRPr="000F4CB9" w:rsidRDefault="000F4CB9" w:rsidP="00BA11CF">
            <w:pPr>
              <w:rPr>
                <w:rFonts w:asciiTheme="minorHAnsi" w:hAnsiTheme="minorHAnsi" w:cstheme="minorHAnsi"/>
                <w:b/>
                <w:sz w:val="20"/>
                <w:szCs w:val="20"/>
              </w:rPr>
            </w:pPr>
          </w:p>
        </w:tc>
        <w:tc>
          <w:tcPr>
            <w:tcW w:w="760" w:type="dxa"/>
            <w:gridSpan w:val="4"/>
          </w:tcPr>
          <w:p w:rsidR="000F4CB9" w:rsidRPr="000F4CB9" w:rsidRDefault="000F4CB9" w:rsidP="00BA11CF">
            <w:pPr>
              <w:rPr>
                <w:rFonts w:asciiTheme="minorHAnsi" w:hAnsiTheme="minorHAnsi" w:cstheme="minorHAnsi"/>
                <w:b/>
                <w:sz w:val="20"/>
                <w:szCs w:val="20"/>
              </w:rPr>
            </w:pPr>
          </w:p>
        </w:tc>
        <w:tc>
          <w:tcPr>
            <w:tcW w:w="678" w:type="dxa"/>
            <w:gridSpan w:val="4"/>
          </w:tcPr>
          <w:p w:rsidR="000F4CB9" w:rsidRPr="000F4CB9" w:rsidRDefault="000F4CB9" w:rsidP="00BA11CF">
            <w:pPr>
              <w:rPr>
                <w:rFonts w:asciiTheme="minorHAnsi" w:hAnsiTheme="minorHAnsi" w:cstheme="minorHAnsi"/>
                <w:b/>
                <w:sz w:val="20"/>
                <w:szCs w:val="20"/>
              </w:rPr>
            </w:pPr>
          </w:p>
        </w:tc>
        <w:tc>
          <w:tcPr>
            <w:tcW w:w="302" w:type="dxa"/>
            <w:gridSpan w:val="2"/>
          </w:tcPr>
          <w:p w:rsidR="000F4CB9" w:rsidRPr="000F4CB9" w:rsidRDefault="000F4CB9" w:rsidP="00BA11CF">
            <w:pPr>
              <w:rPr>
                <w:rFonts w:asciiTheme="minorHAnsi" w:hAnsiTheme="minorHAnsi" w:cstheme="minorHAnsi"/>
                <w:b/>
                <w:sz w:val="20"/>
                <w:szCs w:val="20"/>
              </w:rPr>
            </w:pPr>
          </w:p>
        </w:tc>
        <w:tc>
          <w:tcPr>
            <w:tcW w:w="460" w:type="dxa"/>
            <w:gridSpan w:val="2"/>
          </w:tcPr>
          <w:p w:rsidR="000F4CB9" w:rsidRPr="000F4CB9" w:rsidRDefault="000F4CB9" w:rsidP="00BA11CF">
            <w:pPr>
              <w:rPr>
                <w:rFonts w:asciiTheme="minorHAnsi" w:hAnsiTheme="minorHAnsi" w:cstheme="minorHAnsi"/>
                <w:b/>
                <w:sz w:val="20"/>
                <w:szCs w:val="20"/>
              </w:rPr>
            </w:pPr>
          </w:p>
        </w:tc>
        <w:tc>
          <w:tcPr>
            <w:tcW w:w="460" w:type="dxa"/>
            <w:gridSpan w:val="2"/>
          </w:tcPr>
          <w:p w:rsidR="000F4CB9" w:rsidRPr="000F4CB9" w:rsidRDefault="000F4CB9" w:rsidP="00BA11CF">
            <w:pPr>
              <w:rPr>
                <w:rFonts w:asciiTheme="minorHAnsi" w:hAnsiTheme="minorHAnsi" w:cstheme="minorHAnsi"/>
                <w:b/>
                <w:sz w:val="20"/>
                <w:szCs w:val="20"/>
              </w:rPr>
            </w:pPr>
          </w:p>
        </w:tc>
        <w:tc>
          <w:tcPr>
            <w:tcW w:w="460" w:type="dxa"/>
            <w:gridSpan w:val="3"/>
          </w:tcPr>
          <w:p w:rsidR="000F4CB9" w:rsidRPr="000F4CB9" w:rsidRDefault="000F4CB9" w:rsidP="00BA11CF">
            <w:pPr>
              <w:rPr>
                <w:rFonts w:asciiTheme="minorHAnsi" w:hAnsiTheme="minorHAnsi" w:cstheme="minorHAnsi"/>
                <w:b/>
                <w:sz w:val="20"/>
                <w:szCs w:val="20"/>
              </w:rPr>
            </w:pPr>
          </w:p>
        </w:tc>
        <w:tc>
          <w:tcPr>
            <w:tcW w:w="460" w:type="dxa"/>
            <w:gridSpan w:val="3"/>
          </w:tcPr>
          <w:p w:rsidR="000F4CB9" w:rsidRPr="000F4CB9" w:rsidRDefault="000F4CB9" w:rsidP="00BA11CF">
            <w:pPr>
              <w:rPr>
                <w:rFonts w:asciiTheme="minorHAnsi" w:hAnsiTheme="minorHAnsi" w:cstheme="minorHAnsi"/>
                <w:b/>
                <w:sz w:val="20"/>
                <w:szCs w:val="20"/>
              </w:rPr>
            </w:pPr>
          </w:p>
        </w:tc>
        <w:tc>
          <w:tcPr>
            <w:tcW w:w="460" w:type="dxa"/>
            <w:gridSpan w:val="4"/>
          </w:tcPr>
          <w:p w:rsidR="000F4CB9" w:rsidRPr="000F4CB9" w:rsidRDefault="000F4CB9" w:rsidP="00BA11CF">
            <w:pPr>
              <w:rPr>
                <w:rFonts w:asciiTheme="minorHAnsi" w:hAnsiTheme="minorHAnsi" w:cstheme="minorHAnsi"/>
                <w:b/>
                <w:sz w:val="20"/>
                <w:szCs w:val="20"/>
              </w:rPr>
            </w:pPr>
          </w:p>
        </w:tc>
        <w:tc>
          <w:tcPr>
            <w:tcW w:w="460" w:type="dxa"/>
            <w:gridSpan w:val="4"/>
          </w:tcPr>
          <w:p w:rsidR="000F4CB9" w:rsidRPr="000F4CB9" w:rsidRDefault="000F4CB9" w:rsidP="00BA11CF">
            <w:pPr>
              <w:rPr>
                <w:rFonts w:asciiTheme="minorHAnsi" w:hAnsiTheme="minorHAnsi" w:cstheme="minorHAnsi"/>
                <w:b/>
                <w:sz w:val="20"/>
                <w:szCs w:val="20"/>
              </w:rPr>
            </w:pPr>
          </w:p>
        </w:tc>
        <w:tc>
          <w:tcPr>
            <w:tcW w:w="460" w:type="dxa"/>
            <w:gridSpan w:val="3"/>
          </w:tcPr>
          <w:p w:rsidR="000F4CB9" w:rsidRPr="000F4CB9" w:rsidRDefault="000F4CB9" w:rsidP="00BA11CF">
            <w:pPr>
              <w:rPr>
                <w:rFonts w:asciiTheme="minorHAnsi" w:hAnsiTheme="minorHAnsi" w:cstheme="minorHAnsi"/>
                <w:b/>
                <w:sz w:val="20"/>
                <w:szCs w:val="20"/>
              </w:rPr>
            </w:pPr>
          </w:p>
        </w:tc>
        <w:tc>
          <w:tcPr>
            <w:tcW w:w="460" w:type="dxa"/>
            <w:gridSpan w:val="3"/>
          </w:tcPr>
          <w:p w:rsidR="000F4CB9" w:rsidRPr="000F4CB9" w:rsidRDefault="000F4CB9" w:rsidP="00BA11CF">
            <w:pPr>
              <w:rPr>
                <w:rFonts w:asciiTheme="minorHAnsi" w:hAnsiTheme="minorHAnsi" w:cstheme="minorHAnsi"/>
                <w:b/>
                <w:sz w:val="20"/>
                <w:szCs w:val="20"/>
              </w:rPr>
            </w:pPr>
          </w:p>
        </w:tc>
        <w:tc>
          <w:tcPr>
            <w:tcW w:w="460" w:type="dxa"/>
            <w:gridSpan w:val="5"/>
          </w:tcPr>
          <w:p w:rsidR="000F4CB9" w:rsidRPr="000F4CB9" w:rsidRDefault="000F4CB9" w:rsidP="00BA11CF">
            <w:pPr>
              <w:rPr>
                <w:rFonts w:asciiTheme="minorHAnsi" w:hAnsiTheme="minorHAnsi" w:cstheme="minorHAnsi"/>
                <w:b/>
                <w:sz w:val="20"/>
                <w:szCs w:val="20"/>
              </w:rPr>
            </w:pPr>
          </w:p>
        </w:tc>
        <w:tc>
          <w:tcPr>
            <w:tcW w:w="460" w:type="dxa"/>
            <w:gridSpan w:val="3"/>
          </w:tcPr>
          <w:p w:rsidR="000F4CB9" w:rsidRPr="000F4CB9" w:rsidRDefault="000F4CB9" w:rsidP="00BA11CF">
            <w:pPr>
              <w:rPr>
                <w:rFonts w:asciiTheme="minorHAnsi" w:hAnsiTheme="minorHAnsi" w:cstheme="minorHAnsi"/>
                <w:b/>
                <w:sz w:val="20"/>
                <w:szCs w:val="20"/>
              </w:rPr>
            </w:pPr>
          </w:p>
        </w:tc>
        <w:tc>
          <w:tcPr>
            <w:tcW w:w="460" w:type="dxa"/>
            <w:gridSpan w:val="3"/>
          </w:tcPr>
          <w:p w:rsidR="000F4CB9" w:rsidRPr="000F4CB9" w:rsidRDefault="000F4CB9" w:rsidP="00BA11CF">
            <w:pPr>
              <w:rPr>
                <w:rFonts w:asciiTheme="minorHAnsi" w:hAnsiTheme="minorHAnsi" w:cstheme="minorHAnsi"/>
                <w:b/>
                <w:sz w:val="20"/>
                <w:szCs w:val="20"/>
              </w:rPr>
            </w:pPr>
          </w:p>
        </w:tc>
        <w:tc>
          <w:tcPr>
            <w:tcW w:w="460" w:type="dxa"/>
            <w:gridSpan w:val="3"/>
          </w:tcPr>
          <w:p w:rsidR="000F4CB9" w:rsidRPr="000F4CB9" w:rsidRDefault="000F4CB9" w:rsidP="00BA11CF">
            <w:pPr>
              <w:rPr>
                <w:rFonts w:asciiTheme="minorHAnsi" w:hAnsiTheme="minorHAnsi" w:cstheme="minorHAnsi"/>
                <w:b/>
                <w:sz w:val="20"/>
                <w:szCs w:val="20"/>
              </w:rPr>
            </w:pPr>
          </w:p>
        </w:tc>
        <w:tc>
          <w:tcPr>
            <w:tcW w:w="1183" w:type="dxa"/>
            <w:gridSpan w:val="4"/>
          </w:tcPr>
          <w:p w:rsidR="000F4CB9" w:rsidRPr="000F4CB9" w:rsidRDefault="000F4CB9" w:rsidP="00BA11CF">
            <w:pPr>
              <w:rPr>
                <w:rFonts w:asciiTheme="minorHAnsi" w:hAnsiTheme="minorHAnsi" w:cstheme="minorHAnsi"/>
                <w:b/>
                <w:sz w:val="20"/>
                <w:szCs w:val="20"/>
              </w:rPr>
            </w:pPr>
          </w:p>
        </w:tc>
      </w:tr>
      <w:tr w:rsidR="000F4CB9" w:rsidRPr="00C50E8E" w:rsidTr="000F4CB9">
        <w:trPr>
          <w:gridAfter w:val="5"/>
          <w:wAfter w:w="2677" w:type="dxa"/>
        </w:trPr>
        <w:tc>
          <w:tcPr>
            <w:tcW w:w="9923" w:type="dxa"/>
            <w:gridSpan w:val="55"/>
            <w:shd w:val="clear" w:color="auto" w:fill="F79646"/>
          </w:tcPr>
          <w:p w:rsidR="000F4CB9" w:rsidRPr="000F4CB9" w:rsidRDefault="000F4CB9" w:rsidP="00BA11CF">
            <w:pPr>
              <w:rPr>
                <w:rFonts w:asciiTheme="minorHAnsi" w:hAnsiTheme="minorHAnsi" w:cstheme="minorHAnsi"/>
                <w:b/>
                <w:sz w:val="20"/>
                <w:szCs w:val="20"/>
                <w:u w:val="single"/>
              </w:rPr>
            </w:pPr>
            <w:r w:rsidRPr="000F4CB9">
              <w:rPr>
                <w:rFonts w:asciiTheme="minorHAnsi" w:hAnsiTheme="minorHAnsi" w:cstheme="minorHAnsi"/>
                <w:b/>
                <w:sz w:val="20"/>
                <w:szCs w:val="20"/>
                <w:u w:val="single"/>
              </w:rPr>
              <w:t>Rozbor čerpání výdajů rozpočtu kapitoly</w:t>
            </w:r>
          </w:p>
        </w:tc>
      </w:tr>
      <w:tr w:rsidR="000F4CB9" w:rsidRPr="00C50E8E" w:rsidTr="000F4CB9">
        <w:trPr>
          <w:gridAfter w:val="5"/>
          <w:wAfter w:w="2677" w:type="dxa"/>
        </w:trPr>
        <w:tc>
          <w:tcPr>
            <w:tcW w:w="460" w:type="dxa"/>
            <w:tcBorders>
              <w:bottom w:val="single" w:sz="4" w:space="0" w:color="auto"/>
            </w:tcBorders>
          </w:tcPr>
          <w:p w:rsidR="000F4CB9" w:rsidRPr="000F4CB9" w:rsidRDefault="000F4CB9" w:rsidP="00BA11CF">
            <w:pPr>
              <w:rPr>
                <w:rFonts w:asciiTheme="minorHAnsi" w:hAnsiTheme="minorHAnsi" w:cstheme="minorHAnsi"/>
                <w:b/>
                <w:sz w:val="20"/>
                <w:szCs w:val="20"/>
              </w:rPr>
            </w:pPr>
          </w:p>
        </w:tc>
        <w:tc>
          <w:tcPr>
            <w:tcW w:w="392" w:type="dxa"/>
            <w:tcBorders>
              <w:bottom w:val="single" w:sz="4" w:space="0" w:color="auto"/>
            </w:tcBorders>
          </w:tcPr>
          <w:p w:rsidR="000F4CB9" w:rsidRPr="000F4CB9" w:rsidRDefault="000F4CB9" w:rsidP="00BA11CF">
            <w:pPr>
              <w:rPr>
                <w:rFonts w:asciiTheme="minorHAnsi" w:hAnsiTheme="minorHAnsi" w:cstheme="minorHAnsi"/>
                <w:b/>
                <w:sz w:val="20"/>
                <w:szCs w:val="20"/>
              </w:rPr>
            </w:pPr>
          </w:p>
        </w:tc>
        <w:tc>
          <w:tcPr>
            <w:tcW w:w="638" w:type="dxa"/>
            <w:tcBorders>
              <w:bottom w:val="single" w:sz="4" w:space="0" w:color="auto"/>
            </w:tcBorders>
          </w:tcPr>
          <w:p w:rsidR="000F4CB9" w:rsidRPr="000F4CB9" w:rsidRDefault="000F4CB9" w:rsidP="00BA11CF">
            <w:pPr>
              <w:rPr>
                <w:rFonts w:asciiTheme="minorHAnsi" w:hAnsiTheme="minorHAnsi" w:cstheme="minorHAnsi"/>
                <w:b/>
                <w:sz w:val="20"/>
                <w:szCs w:val="20"/>
              </w:rPr>
            </w:pPr>
          </w:p>
        </w:tc>
        <w:tc>
          <w:tcPr>
            <w:tcW w:w="281" w:type="dxa"/>
            <w:gridSpan w:val="2"/>
            <w:tcBorders>
              <w:bottom w:val="single" w:sz="4" w:space="0" w:color="auto"/>
            </w:tcBorders>
          </w:tcPr>
          <w:p w:rsidR="000F4CB9" w:rsidRPr="000F4CB9" w:rsidRDefault="000F4CB9" w:rsidP="00BA11CF">
            <w:pPr>
              <w:rPr>
                <w:rFonts w:asciiTheme="minorHAnsi" w:hAnsiTheme="minorHAnsi" w:cstheme="minorHAnsi"/>
                <w:b/>
                <w:sz w:val="20"/>
                <w:szCs w:val="20"/>
              </w:rPr>
            </w:pPr>
          </w:p>
        </w:tc>
        <w:tc>
          <w:tcPr>
            <w:tcW w:w="529" w:type="dxa"/>
            <w:gridSpan w:val="2"/>
            <w:tcBorders>
              <w:bottom w:val="single" w:sz="4" w:space="0" w:color="auto"/>
            </w:tcBorders>
          </w:tcPr>
          <w:p w:rsidR="000F4CB9" w:rsidRPr="000F4CB9" w:rsidRDefault="000F4CB9" w:rsidP="00BA11CF">
            <w:pPr>
              <w:rPr>
                <w:rFonts w:asciiTheme="minorHAnsi" w:hAnsiTheme="minorHAnsi" w:cstheme="minorHAnsi"/>
                <w:b/>
                <w:sz w:val="20"/>
                <w:szCs w:val="20"/>
              </w:rPr>
            </w:pPr>
          </w:p>
        </w:tc>
        <w:tc>
          <w:tcPr>
            <w:tcW w:w="460" w:type="dxa"/>
            <w:gridSpan w:val="3"/>
            <w:tcBorders>
              <w:bottom w:val="single" w:sz="4" w:space="0" w:color="auto"/>
            </w:tcBorders>
          </w:tcPr>
          <w:p w:rsidR="000F4CB9" w:rsidRPr="000F4CB9" w:rsidRDefault="000F4CB9" w:rsidP="00BA11CF">
            <w:pPr>
              <w:rPr>
                <w:rFonts w:asciiTheme="minorHAnsi" w:hAnsiTheme="minorHAnsi" w:cstheme="minorHAnsi"/>
                <w:b/>
                <w:sz w:val="20"/>
                <w:szCs w:val="20"/>
              </w:rPr>
            </w:pPr>
          </w:p>
        </w:tc>
        <w:tc>
          <w:tcPr>
            <w:tcW w:w="460" w:type="dxa"/>
            <w:gridSpan w:val="3"/>
            <w:tcBorders>
              <w:bottom w:val="single" w:sz="4" w:space="0" w:color="auto"/>
            </w:tcBorders>
          </w:tcPr>
          <w:p w:rsidR="000F4CB9" w:rsidRPr="000F4CB9" w:rsidRDefault="000F4CB9" w:rsidP="00BA11CF">
            <w:pPr>
              <w:rPr>
                <w:rFonts w:asciiTheme="minorHAnsi" w:hAnsiTheme="minorHAnsi" w:cstheme="minorHAnsi"/>
                <w:b/>
                <w:sz w:val="20"/>
                <w:szCs w:val="20"/>
              </w:rPr>
            </w:pPr>
          </w:p>
        </w:tc>
        <w:tc>
          <w:tcPr>
            <w:tcW w:w="460" w:type="dxa"/>
            <w:gridSpan w:val="2"/>
            <w:tcBorders>
              <w:bottom w:val="single" w:sz="4" w:space="0" w:color="auto"/>
            </w:tcBorders>
          </w:tcPr>
          <w:p w:rsidR="000F4CB9" w:rsidRPr="000F4CB9" w:rsidRDefault="000F4CB9" w:rsidP="00BA11CF">
            <w:pPr>
              <w:rPr>
                <w:rFonts w:asciiTheme="minorHAnsi" w:hAnsiTheme="minorHAnsi" w:cstheme="minorHAnsi"/>
                <w:b/>
                <w:sz w:val="20"/>
                <w:szCs w:val="20"/>
              </w:rPr>
            </w:pPr>
          </w:p>
        </w:tc>
        <w:tc>
          <w:tcPr>
            <w:tcW w:w="460" w:type="dxa"/>
            <w:gridSpan w:val="2"/>
            <w:tcBorders>
              <w:bottom w:val="single" w:sz="4" w:space="0" w:color="auto"/>
            </w:tcBorders>
          </w:tcPr>
          <w:p w:rsidR="000F4CB9" w:rsidRPr="000F4CB9" w:rsidRDefault="000F4CB9" w:rsidP="00BA11CF">
            <w:pPr>
              <w:rPr>
                <w:rFonts w:asciiTheme="minorHAnsi" w:hAnsiTheme="minorHAnsi" w:cstheme="minorHAnsi"/>
                <w:b/>
                <w:sz w:val="20"/>
                <w:szCs w:val="20"/>
              </w:rPr>
            </w:pPr>
          </w:p>
        </w:tc>
        <w:tc>
          <w:tcPr>
            <w:tcW w:w="397" w:type="dxa"/>
            <w:gridSpan w:val="2"/>
            <w:tcBorders>
              <w:bottom w:val="single" w:sz="4" w:space="0" w:color="auto"/>
            </w:tcBorders>
          </w:tcPr>
          <w:p w:rsidR="000F4CB9" w:rsidRPr="000F4CB9" w:rsidRDefault="000F4CB9" w:rsidP="00BA11CF">
            <w:pPr>
              <w:rPr>
                <w:rFonts w:asciiTheme="minorHAnsi" w:hAnsiTheme="minorHAnsi" w:cstheme="minorHAnsi"/>
                <w:b/>
                <w:sz w:val="20"/>
                <w:szCs w:val="20"/>
              </w:rPr>
            </w:pPr>
          </w:p>
        </w:tc>
        <w:tc>
          <w:tcPr>
            <w:tcW w:w="523" w:type="dxa"/>
            <w:gridSpan w:val="3"/>
            <w:tcBorders>
              <w:bottom w:val="single" w:sz="4" w:space="0" w:color="auto"/>
            </w:tcBorders>
          </w:tcPr>
          <w:p w:rsidR="000F4CB9" w:rsidRPr="000F4CB9" w:rsidRDefault="000F4CB9" w:rsidP="00BA11CF">
            <w:pPr>
              <w:rPr>
                <w:rFonts w:asciiTheme="minorHAnsi" w:hAnsiTheme="minorHAnsi" w:cstheme="minorHAnsi"/>
                <w:b/>
                <w:sz w:val="20"/>
                <w:szCs w:val="20"/>
              </w:rPr>
            </w:pPr>
          </w:p>
        </w:tc>
        <w:tc>
          <w:tcPr>
            <w:tcW w:w="469" w:type="dxa"/>
            <w:gridSpan w:val="4"/>
            <w:tcBorders>
              <w:bottom w:val="single" w:sz="4" w:space="0" w:color="auto"/>
            </w:tcBorders>
          </w:tcPr>
          <w:p w:rsidR="000F4CB9" w:rsidRPr="000F4CB9" w:rsidRDefault="000F4CB9" w:rsidP="00BA11CF">
            <w:pPr>
              <w:rPr>
                <w:rFonts w:asciiTheme="minorHAnsi" w:hAnsiTheme="minorHAnsi" w:cstheme="minorHAnsi"/>
                <w:b/>
                <w:sz w:val="20"/>
                <w:szCs w:val="20"/>
              </w:rPr>
            </w:pPr>
          </w:p>
        </w:tc>
        <w:tc>
          <w:tcPr>
            <w:tcW w:w="451" w:type="dxa"/>
            <w:gridSpan w:val="3"/>
            <w:tcBorders>
              <w:bottom w:val="single" w:sz="4" w:space="0" w:color="auto"/>
            </w:tcBorders>
          </w:tcPr>
          <w:p w:rsidR="000F4CB9" w:rsidRPr="000F4CB9" w:rsidRDefault="000F4CB9" w:rsidP="00BA11CF">
            <w:pPr>
              <w:rPr>
                <w:rFonts w:asciiTheme="minorHAnsi" w:hAnsiTheme="minorHAnsi" w:cstheme="minorHAnsi"/>
                <w:b/>
                <w:sz w:val="20"/>
                <w:szCs w:val="20"/>
              </w:rPr>
            </w:pPr>
          </w:p>
        </w:tc>
        <w:tc>
          <w:tcPr>
            <w:tcW w:w="460" w:type="dxa"/>
            <w:gridSpan w:val="4"/>
            <w:tcBorders>
              <w:bottom w:val="single" w:sz="4" w:space="0" w:color="auto"/>
            </w:tcBorders>
          </w:tcPr>
          <w:p w:rsidR="000F4CB9" w:rsidRPr="000F4CB9" w:rsidRDefault="000F4CB9" w:rsidP="00BA11CF">
            <w:pPr>
              <w:rPr>
                <w:rFonts w:asciiTheme="minorHAnsi" w:hAnsiTheme="minorHAnsi" w:cstheme="minorHAnsi"/>
                <w:b/>
                <w:sz w:val="20"/>
                <w:szCs w:val="20"/>
              </w:rPr>
            </w:pPr>
          </w:p>
        </w:tc>
        <w:tc>
          <w:tcPr>
            <w:tcW w:w="460" w:type="dxa"/>
            <w:gridSpan w:val="3"/>
            <w:tcBorders>
              <w:bottom w:val="single" w:sz="4" w:space="0" w:color="auto"/>
            </w:tcBorders>
          </w:tcPr>
          <w:p w:rsidR="000F4CB9" w:rsidRPr="000F4CB9" w:rsidRDefault="000F4CB9" w:rsidP="00BA11CF">
            <w:pPr>
              <w:rPr>
                <w:rFonts w:asciiTheme="minorHAnsi" w:hAnsiTheme="minorHAnsi" w:cstheme="minorHAnsi"/>
                <w:b/>
                <w:sz w:val="20"/>
                <w:szCs w:val="20"/>
              </w:rPr>
            </w:pPr>
          </w:p>
        </w:tc>
        <w:tc>
          <w:tcPr>
            <w:tcW w:w="460" w:type="dxa"/>
            <w:gridSpan w:val="4"/>
            <w:tcBorders>
              <w:bottom w:val="single" w:sz="4" w:space="0" w:color="auto"/>
            </w:tcBorders>
          </w:tcPr>
          <w:p w:rsidR="000F4CB9" w:rsidRPr="000F4CB9" w:rsidRDefault="000F4CB9" w:rsidP="00BA11CF">
            <w:pPr>
              <w:rPr>
                <w:rFonts w:asciiTheme="minorHAnsi" w:hAnsiTheme="minorHAnsi" w:cstheme="minorHAnsi"/>
                <w:b/>
                <w:sz w:val="20"/>
                <w:szCs w:val="20"/>
              </w:rPr>
            </w:pPr>
          </w:p>
        </w:tc>
        <w:tc>
          <w:tcPr>
            <w:tcW w:w="460" w:type="dxa"/>
            <w:gridSpan w:val="4"/>
            <w:tcBorders>
              <w:bottom w:val="single" w:sz="4" w:space="0" w:color="auto"/>
            </w:tcBorders>
          </w:tcPr>
          <w:p w:rsidR="000F4CB9" w:rsidRPr="000F4CB9" w:rsidRDefault="000F4CB9" w:rsidP="00BA11CF">
            <w:pPr>
              <w:rPr>
                <w:rFonts w:asciiTheme="minorHAnsi" w:hAnsiTheme="minorHAnsi" w:cstheme="minorHAnsi"/>
                <w:b/>
                <w:sz w:val="20"/>
                <w:szCs w:val="20"/>
              </w:rPr>
            </w:pPr>
          </w:p>
        </w:tc>
        <w:tc>
          <w:tcPr>
            <w:tcW w:w="460" w:type="dxa"/>
            <w:gridSpan w:val="3"/>
            <w:tcBorders>
              <w:bottom w:val="single" w:sz="4" w:space="0" w:color="auto"/>
            </w:tcBorders>
          </w:tcPr>
          <w:p w:rsidR="000F4CB9" w:rsidRPr="000F4CB9" w:rsidRDefault="000F4CB9" w:rsidP="00BA11CF">
            <w:pPr>
              <w:rPr>
                <w:rFonts w:asciiTheme="minorHAnsi" w:hAnsiTheme="minorHAnsi" w:cstheme="minorHAnsi"/>
                <w:b/>
                <w:sz w:val="20"/>
                <w:szCs w:val="20"/>
              </w:rPr>
            </w:pPr>
          </w:p>
        </w:tc>
        <w:tc>
          <w:tcPr>
            <w:tcW w:w="460" w:type="dxa"/>
            <w:gridSpan w:val="3"/>
            <w:tcBorders>
              <w:bottom w:val="single" w:sz="4" w:space="0" w:color="auto"/>
            </w:tcBorders>
          </w:tcPr>
          <w:p w:rsidR="000F4CB9" w:rsidRPr="000F4CB9" w:rsidRDefault="000F4CB9" w:rsidP="00BA11CF">
            <w:pPr>
              <w:rPr>
                <w:rFonts w:asciiTheme="minorHAnsi" w:hAnsiTheme="minorHAnsi" w:cstheme="minorHAnsi"/>
                <w:b/>
                <w:sz w:val="20"/>
                <w:szCs w:val="20"/>
              </w:rPr>
            </w:pPr>
          </w:p>
        </w:tc>
        <w:tc>
          <w:tcPr>
            <w:tcW w:w="1183" w:type="dxa"/>
            <w:gridSpan w:val="5"/>
            <w:tcBorders>
              <w:bottom w:val="single" w:sz="4" w:space="0" w:color="auto"/>
            </w:tcBorders>
          </w:tcPr>
          <w:p w:rsidR="000F4CB9" w:rsidRPr="000F4CB9" w:rsidRDefault="000F4CB9" w:rsidP="00BA11CF">
            <w:pPr>
              <w:rPr>
                <w:rFonts w:asciiTheme="minorHAnsi" w:hAnsiTheme="minorHAnsi" w:cstheme="minorHAnsi"/>
                <w:b/>
                <w:sz w:val="20"/>
                <w:szCs w:val="20"/>
              </w:rPr>
            </w:pPr>
          </w:p>
        </w:tc>
      </w:tr>
      <w:tr w:rsidR="000F4CB9" w:rsidRPr="00AC0210" w:rsidTr="000F4CB9">
        <w:trPr>
          <w:gridAfter w:val="5"/>
          <w:wAfter w:w="2677" w:type="dxa"/>
        </w:trPr>
        <w:tc>
          <w:tcPr>
            <w:tcW w:w="2907" w:type="dxa"/>
            <w:gridSpan w:val="11"/>
            <w:tcBorders>
              <w:top w:val="single" w:sz="4" w:space="0" w:color="auto"/>
              <w:left w:val="single" w:sz="4" w:space="0" w:color="auto"/>
              <w:bottom w:val="single" w:sz="4" w:space="0" w:color="auto"/>
              <w:right w:val="single" w:sz="4" w:space="0" w:color="auto"/>
            </w:tcBorders>
            <w:shd w:val="clear" w:color="auto" w:fill="FFFF00"/>
          </w:tcPr>
          <w:p w:rsidR="000F4CB9" w:rsidRPr="000F4CB9" w:rsidRDefault="000F4CB9" w:rsidP="00BA11CF">
            <w:pPr>
              <w:jc w:val="center"/>
              <w:rPr>
                <w:rFonts w:asciiTheme="minorHAnsi" w:hAnsiTheme="minorHAnsi" w:cstheme="minorHAnsi"/>
                <w:b/>
                <w:sz w:val="18"/>
                <w:szCs w:val="18"/>
              </w:rPr>
            </w:pPr>
            <w:r w:rsidRPr="000F4CB9">
              <w:rPr>
                <w:rFonts w:asciiTheme="minorHAnsi" w:hAnsiTheme="minorHAnsi" w:cstheme="minorHAnsi"/>
                <w:b/>
                <w:sz w:val="18"/>
                <w:szCs w:val="18"/>
              </w:rPr>
              <w:t>Rozpočet upravený v tis. Kč</w:t>
            </w:r>
          </w:p>
        </w:tc>
        <w:tc>
          <w:tcPr>
            <w:tcW w:w="3119" w:type="dxa"/>
            <w:gridSpan w:val="19"/>
            <w:tcBorders>
              <w:top w:val="single" w:sz="4" w:space="0" w:color="auto"/>
              <w:left w:val="single" w:sz="4" w:space="0" w:color="auto"/>
              <w:bottom w:val="single" w:sz="4" w:space="0" w:color="auto"/>
              <w:right w:val="single" w:sz="4" w:space="0" w:color="auto"/>
            </w:tcBorders>
            <w:shd w:val="clear" w:color="auto" w:fill="FFFF00"/>
          </w:tcPr>
          <w:p w:rsidR="000F4CB9" w:rsidRPr="000F4CB9" w:rsidRDefault="000F4CB9" w:rsidP="00BA11CF">
            <w:pPr>
              <w:jc w:val="center"/>
              <w:rPr>
                <w:rFonts w:asciiTheme="minorHAnsi" w:hAnsiTheme="minorHAnsi" w:cstheme="minorHAnsi"/>
                <w:b/>
                <w:sz w:val="18"/>
                <w:szCs w:val="18"/>
              </w:rPr>
            </w:pPr>
            <w:r w:rsidRPr="000F4CB9">
              <w:rPr>
                <w:rFonts w:asciiTheme="minorHAnsi" w:hAnsiTheme="minorHAnsi" w:cstheme="minorHAnsi"/>
                <w:b/>
                <w:sz w:val="18"/>
                <w:szCs w:val="18"/>
              </w:rPr>
              <w:t>Skutečnost v tis. Kč</w:t>
            </w:r>
          </w:p>
        </w:tc>
        <w:tc>
          <w:tcPr>
            <w:tcW w:w="1417" w:type="dxa"/>
            <w:gridSpan w:val="11"/>
            <w:tcBorders>
              <w:top w:val="single" w:sz="4" w:space="0" w:color="auto"/>
              <w:left w:val="single" w:sz="4" w:space="0" w:color="auto"/>
              <w:bottom w:val="single" w:sz="4" w:space="0" w:color="auto"/>
              <w:right w:val="single" w:sz="4" w:space="0" w:color="auto"/>
            </w:tcBorders>
            <w:shd w:val="clear" w:color="auto" w:fill="FFFF00"/>
          </w:tcPr>
          <w:p w:rsidR="000F4CB9" w:rsidRPr="000F4CB9" w:rsidRDefault="000F4CB9" w:rsidP="00BA11CF">
            <w:pPr>
              <w:jc w:val="center"/>
              <w:rPr>
                <w:rFonts w:asciiTheme="minorHAnsi" w:hAnsiTheme="minorHAnsi" w:cstheme="minorHAnsi"/>
                <w:b/>
                <w:sz w:val="18"/>
                <w:szCs w:val="18"/>
              </w:rPr>
            </w:pPr>
            <w:r w:rsidRPr="000F4CB9">
              <w:rPr>
                <w:rFonts w:asciiTheme="minorHAnsi" w:hAnsiTheme="minorHAnsi" w:cstheme="minorHAnsi"/>
                <w:b/>
                <w:sz w:val="18"/>
                <w:szCs w:val="18"/>
              </w:rPr>
              <w:t>SK/RU v %</w:t>
            </w:r>
          </w:p>
        </w:tc>
        <w:tc>
          <w:tcPr>
            <w:tcW w:w="2480" w:type="dxa"/>
            <w:gridSpan w:val="14"/>
            <w:tcBorders>
              <w:top w:val="single" w:sz="4" w:space="0" w:color="auto"/>
              <w:left w:val="single" w:sz="4" w:space="0" w:color="auto"/>
              <w:bottom w:val="single" w:sz="4" w:space="0" w:color="auto"/>
              <w:right w:val="single" w:sz="4" w:space="0" w:color="auto"/>
            </w:tcBorders>
            <w:shd w:val="clear" w:color="auto" w:fill="FFFF00"/>
          </w:tcPr>
          <w:p w:rsidR="000F4CB9" w:rsidRPr="000F4CB9" w:rsidRDefault="000F4CB9" w:rsidP="00BA11CF">
            <w:pPr>
              <w:jc w:val="center"/>
              <w:rPr>
                <w:rFonts w:asciiTheme="minorHAnsi" w:hAnsiTheme="minorHAnsi" w:cstheme="minorHAnsi"/>
                <w:b/>
                <w:sz w:val="18"/>
                <w:szCs w:val="18"/>
              </w:rPr>
            </w:pPr>
            <w:r w:rsidRPr="000F4CB9">
              <w:rPr>
                <w:rFonts w:asciiTheme="minorHAnsi" w:hAnsiTheme="minorHAnsi" w:cstheme="minorHAnsi"/>
                <w:b/>
                <w:sz w:val="18"/>
                <w:szCs w:val="18"/>
              </w:rPr>
              <w:t>Komentář</w:t>
            </w:r>
          </w:p>
        </w:tc>
      </w:tr>
      <w:tr w:rsidR="000F4CB9" w:rsidRPr="00C50E8E" w:rsidTr="000F4CB9">
        <w:trPr>
          <w:gridAfter w:val="5"/>
          <w:wAfter w:w="2677" w:type="dxa"/>
        </w:trPr>
        <w:tc>
          <w:tcPr>
            <w:tcW w:w="2907" w:type="dxa"/>
            <w:gridSpan w:val="11"/>
            <w:tcBorders>
              <w:top w:val="single" w:sz="4" w:space="0" w:color="auto"/>
              <w:left w:val="single" w:sz="4" w:space="0" w:color="auto"/>
              <w:bottom w:val="single" w:sz="4" w:space="0" w:color="auto"/>
              <w:right w:val="single" w:sz="4" w:space="0" w:color="auto"/>
            </w:tcBorders>
          </w:tcPr>
          <w:p w:rsidR="000F4CB9" w:rsidRPr="000F4CB9" w:rsidRDefault="000F4CB9" w:rsidP="00BA11CF">
            <w:pPr>
              <w:jc w:val="right"/>
              <w:rPr>
                <w:rFonts w:asciiTheme="minorHAnsi" w:hAnsiTheme="minorHAnsi" w:cstheme="minorHAnsi"/>
                <w:b/>
                <w:sz w:val="18"/>
                <w:szCs w:val="18"/>
              </w:rPr>
            </w:pPr>
          </w:p>
        </w:tc>
        <w:tc>
          <w:tcPr>
            <w:tcW w:w="3119" w:type="dxa"/>
            <w:gridSpan w:val="19"/>
            <w:tcBorders>
              <w:top w:val="single" w:sz="4" w:space="0" w:color="auto"/>
              <w:left w:val="single" w:sz="4" w:space="0" w:color="auto"/>
              <w:bottom w:val="single" w:sz="4" w:space="0" w:color="auto"/>
              <w:right w:val="single" w:sz="4" w:space="0" w:color="auto"/>
            </w:tcBorders>
          </w:tcPr>
          <w:p w:rsidR="000F4CB9" w:rsidRPr="000F4CB9" w:rsidRDefault="000F4CB9" w:rsidP="00BA11CF">
            <w:pPr>
              <w:jc w:val="right"/>
              <w:rPr>
                <w:rFonts w:asciiTheme="minorHAnsi" w:hAnsiTheme="minorHAnsi" w:cstheme="minorHAnsi"/>
                <w:b/>
                <w:sz w:val="18"/>
                <w:szCs w:val="18"/>
              </w:rPr>
            </w:pPr>
          </w:p>
        </w:tc>
        <w:tc>
          <w:tcPr>
            <w:tcW w:w="1417" w:type="dxa"/>
            <w:gridSpan w:val="11"/>
            <w:tcBorders>
              <w:top w:val="single" w:sz="4" w:space="0" w:color="auto"/>
              <w:left w:val="single" w:sz="4" w:space="0" w:color="auto"/>
              <w:bottom w:val="single" w:sz="4" w:space="0" w:color="auto"/>
              <w:right w:val="single" w:sz="4" w:space="0" w:color="auto"/>
            </w:tcBorders>
          </w:tcPr>
          <w:p w:rsidR="000F4CB9" w:rsidRPr="000F4CB9" w:rsidRDefault="000F4CB9" w:rsidP="00BA11CF">
            <w:pPr>
              <w:jc w:val="right"/>
              <w:rPr>
                <w:rFonts w:asciiTheme="minorHAnsi" w:hAnsiTheme="minorHAnsi" w:cstheme="minorHAnsi"/>
                <w:b/>
                <w:sz w:val="18"/>
                <w:szCs w:val="18"/>
              </w:rPr>
            </w:pPr>
          </w:p>
        </w:tc>
        <w:tc>
          <w:tcPr>
            <w:tcW w:w="2480" w:type="dxa"/>
            <w:gridSpan w:val="14"/>
            <w:tcBorders>
              <w:top w:val="single" w:sz="4" w:space="0" w:color="auto"/>
              <w:left w:val="single" w:sz="4" w:space="0" w:color="auto"/>
              <w:bottom w:val="single" w:sz="4" w:space="0" w:color="auto"/>
              <w:right w:val="single" w:sz="4" w:space="0" w:color="auto"/>
            </w:tcBorders>
          </w:tcPr>
          <w:p w:rsidR="000F4CB9" w:rsidRPr="000F4CB9" w:rsidRDefault="000F4CB9" w:rsidP="00BA11CF">
            <w:pPr>
              <w:rPr>
                <w:rFonts w:asciiTheme="minorHAnsi" w:hAnsiTheme="minorHAnsi" w:cstheme="minorHAnsi"/>
                <w:b/>
                <w:sz w:val="18"/>
                <w:szCs w:val="18"/>
              </w:rPr>
            </w:pPr>
            <w:r w:rsidRPr="000F4CB9">
              <w:rPr>
                <w:rFonts w:asciiTheme="minorHAnsi" w:hAnsiTheme="minorHAnsi" w:cstheme="minorHAnsi"/>
                <w:b/>
                <w:sz w:val="18"/>
                <w:szCs w:val="18"/>
              </w:rPr>
              <w:t>Výdaje před konsolidací</w:t>
            </w:r>
          </w:p>
        </w:tc>
      </w:tr>
      <w:tr w:rsidR="000F4CB9" w:rsidRPr="00C50E8E" w:rsidTr="000F4CB9">
        <w:trPr>
          <w:gridAfter w:val="5"/>
          <w:wAfter w:w="2677" w:type="dxa"/>
        </w:trPr>
        <w:tc>
          <w:tcPr>
            <w:tcW w:w="2907" w:type="dxa"/>
            <w:gridSpan w:val="11"/>
            <w:tcBorders>
              <w:top w:val="single" w:sz="4" w:space="0" w:color="auto"/>
              <w:left w:val="single" w:sz="4" w:space="0" w:color="auto"/>
              <w:bottom w:val="single" w:sz="4" w:space="0" w:color="auto"/>
              <w:right w:val="single" w:sz="4" w:space="0" w:color="auto"/>
            </w:tcBorders>
          </w:tcPr>
          <w:p w:rsidR="000F4CB9" w:rsidRPr="000F4CB9" w:rsidRDefault="000F4CB9" w:rsidP="00BA11CF">
            <w:pPr>
              <w:jc w:val="right"/>
              <w:rPr>
                <w:rFonts w:asciiTheme="minorHAnsi" w:hAnsiTheme="minorHAnsi" w:cstheme="minorHAnsi"/>
                <w:b/>
                <w:sz w:val="18"/>
                <w:szCs w:val="18"/>
              </w:rPr>
            </w:pPr>
          </w:p>
        </w:tc>
        <w:tc>
          <w:tcPr>
            <w:tcW w:w="3119" w:type="dxa"/>
            <w:gridSpan w:val="19"/>
            <w:tcBorders>
              <w:top w:val="single" w:sz="4" w:space="0" w:color="auto"/>
              <w:left w:val="single" w:sz="4" w:space="0" w:color="auto"/>
              <w:bottom w:val="single" w:sz="4" w:space="0" w:color="auto"/>
              <w:right w:val="single" w:sz="4" w:space="0" w:color="auto"/>
            </w:tcBorders>
          </w:tcPr>
          <w:p w:rsidR="000F4CB9" w:rsidRPr="000F4CB9" w:rsidRDefault="000F4CB9" w:rsidP="00BA11CF">
            <w:pPr>
              <w:jc w:val="right"/>
              <w:rPr>
                <w:rFonts w:asciiTheme="minorHAnsi" w:hAnsiTheme="minorHAnsi" w:cstheme="minorHAnsi"/>
                <w:b/>
                <w:sz w:val="18"/>
                <w:szCs w:val="18"/>
              </w:rPr>
            </w:pPr>
          </w:p>
        </w:tc>
        <w:tc>
          <w:tcPr>
            <w:tcW w:w="1417" w:type="dxa"/>
            <w:gridSpan w:val="11"/>
            <w:tcBorders>
              <w:top w:val="single" w:sz="4" w:space="0" w:color="auto"/>
              <w:left w:val="single" w:sz="4" w:space="0" w:color="auto"/>
              <w:bottom w:val="single" w:sz="4" w:space="0" w:color="auto"/>
              <w:right w:val="single" w:sz="4" w:space="0" w:color="auto"/>
            </w:tcBorders>
          </w:tcPr>
          <w:p w:rsidR="000F4CB9" w:rsidRPr="000F4CB9" w:rsidRDefault="000F4CB9" w:rsidP="00BA11CF">
            <w:pPr>
              <w:jc w:val="right"/>
              <w:rPr>
                <w:rFonts w:asciiTheme="minorHAnsi" w:hAnsiTheme="minorHAnsi" w:cstheme="minorHAnsi"/>
                <w:b/>
                <w:sz w:val="18"/>
                <w:szCs w:val="18"/>
              </w:rPr>
            </w:pPr>
          </w:p>
        </w:tc>
        <w:tc>
          <w:tcPr>
            <w:tcW w:w="2480" w:type="dxa"/>
            <w:gridSpan w:val="14"/>
            <w:tcBorders>
              <w:top w:val="single" w:sz="4" w:space="0" w:color="auto"/>
              <w:left w:val="single" w:sz="4" w:space="0" w:color="auto"/>
              <w:bottom w:val="single" w:sz="4" w:space="0" w:color="auto"/>
              <w:right w:val="single" w:sz="4" w:space="0" w:color="auto"/>
            </w:tcBorders>
          </w:tcPr>
          <w:p w:rsidR="000F4CB9" w:rsidRPr="000F4CB9" w:rsidRDefault="000F4CB9" w:rsidP="00BA11CF">
            <w:pPr>
              <w:rPr>
                <w:rFonts w:asciiTheme="minorHAnsi" w:hAnsiTheme="minorHAnsi" w:cstheme="minorHAnsi"/>
                <w:b/>
                <w:sz w:val="18"/>
                <w:szCs w:val="18"/>
              </w:rPr>
            </w:pPr>
            <w:r w:rsidRPr="000F4CB9">
              <w:rPr>
                <w:rFonts w:asciiTheme="minorHAnsi" w:hAnsiTheme="minorHAnsi" w:cstheme="minorHAnsi"/>
                <w:b/>
                <w:sz w:val="18"/>
                <w:szCs w:val="18"/>
              </w:rPr>
              <w:t>Výdaje po konsolidaci</w:t>
            </w:r>
          </w:p>
        </w:tc>
      </w:tr>
      <w:tr w:rsidR="000F4CB9" w:rsidRPr="00C50E8E" w:rsidTr="000F4CB9">
        <w:trPr>
          <w:gridAfter w:val="5"/>
          <w:wAfter w:w="2677" w:type="dxa"/>
        </w:trPr>
        <w:tc>
          <w:tcPr>
            <w:tcW w:w="460" w:type="dxa"/>
            <w:tcBorders>
              <w:top w:val="single" w:sz="4" w:space="0" w:color="auto"/>
            </w:tcBorders>
          </w:tcPr>
          <w:p w:rsidR="000F4CB9" w:rsidRPr="000F4CB9" w:rsidRDefault="000F4CB9" w:rsidP="00BA11CF">
            <w:pPr>
              <w:rPr>
                <w:rFonts w:asciiTheme="minorHAnsi" w:hAnsiTheme="minorHAnsi" w:cstheme="minorHAnsi"/>
                <w:b/>
                <w:sz w:val="20"/>
                <w:szCs w:val="20"/>
              </w:rPr>
            </w:pPr>
          </w:p>
        </w:tc>
        <w:tc>
          <w:tcPr>
            <w:tcW w:w="392" w:type="dxa"/>
            <w:tcBorders>
              <w:top w:val="single" w:sz="4" w:space="0" w:color="auto"/>
            </w:tcBorders>
          </w:tcPr>
          <w:p w:rsidR="000F4CB9" w:rsidRPr="000F4CB9" w:rsidRDefault="000F4CB9" w:rsidP="00BA11CF">
            <w:pPr>
              <w:rPr>
                <w:rFonts w:asciiTheme="minorHAnsi" w:hAnsiTheme="minorHAnsi" w:cstheme="minorHAnsi"/>
                <w:b/>
                <w:sz w:val="20"/>
                <w:szCs w:val="20"/>
              </w:rPr>
            </w:pPr>
          </w:p>
        </w:tc>
        <w:tc>
          <w:tcPr>
            <w:tcW w:w="638" w:type="dxa"/>
            <w:tcBorders>
              <w:top w:val="single" w:sz="4" w:space="0" w:color="auto"/>
            </w:tcBorders>
          </w:tcPr>
          <w:p w:rsidR="000F4CB9" w:rsidRPr="000F4CB9" w:rsidRDefault="000F4CB9" w:rsidP="00BA11CF">
            <w:pPr>
              <w:rPr>
                <w:rFonts w:asciiTheme="minorHAnsi" w:hAnsiTheme="minorHAnsi" w:cstheme="minorHAnsi"/>
                <w:b/>
                <w:sz w:val="20"/>
                <w:szCs w:val="20"/>
              </w:rPr>
            </w:pPr>
          </w:p>
        </w:tc>
        <w:tc>
          <w:tcPr>
            <w:tcW w:w="281" w:type="dxa"/>
            <w:gridSpan w:val="2"/>
            <w:tcBorders>
              <w:top w:val="single" w:sz="4" w:space="0" w:color="auto"/>
            </w:tcBorders>
          </w:tcPr>
          <w:p w:rsidR="000F4CB9" w:rsidRPr="000F4CB9" w:rsidRDefault="000F4CB9" w:rsidP="00BA11CF">
            <w:pPr>
              <w:rPr>
                <w:rFonts w:asciiTheme="minorHAnsi" w:hAnsiTheme="minorHAnsi" w:cstheme="minorHAnsi"/>
                <w:b/>
                <w:sz w:val="20"/>
                <w:szCs w:val="20"/>
              </w:rPr>
            </w:pPr>
          </w:p>
        </w:tc>
        <w:tc>
          <w:tcPr>
            <w:tcW w:w="529" w:type="dxa"/>
            <w:gridSpan w:val="2"/>
            <w:tcBorders>
              <w:top w:val="single" w:sz="4" w:space="0" w:color="auto"/>
            </w:tcBorders>
          </w:tcPr>
          <w:p w:rsidR="000F4CB9" w:rsidRPr="000F4CB9" w:rsidRDefault="000F4CB9" w:rsidP="00BA11CF">
            <w:pPr>
              <w:rPr>
                <w:rFonts w:asciiTheme="minorHAnsi" w:hAnsiTheme="minorHAnsi" w:cstheme="minorHAnsi"/>
                <w:b/>
                <w:sz w:val="20"/>
                <w:szCs w:val="20"/>
              </w:rPr>
            </w:pPr>
          </w:p>
        </w:tc>
        <w:tc>
          <w:tcPr>
            <w:tcW w:w="460" w:type="dxa"/>
            <w:gridSpan w:val="3"/>
            <w:tcBorders>
              <w:top w:val="single" w:sz="4" w:space="0" w:color="auto"/>
            </w:tcBorders>
          </w:tcPr>
          <w:p w:rsidR="000F4CB9" w:rsidRPr="000F4CB9" w:rsidRDefault="000F4CB9" w:rsidP="00BA11CF">
            <w:pPr>
              <w:rPr>
                <w:rFonts w:asciiTheme="minorHAnsi" w:hAnsiTheme="minorHAnsi" w:cstheme="minorHAnsi"/>
                <w:b/>
                <w:sz w:val="20"/>
                <w:szCs w:val="20"/>
              </w:rPr>
            </w:pPr>
          </w:p>
        </w:tc>
        <w:tc>
          <w:tcPr>
            <w:tcW w:w="460" w:type="dxa"/>
            <w:gridSpan w:val="3"/>
            <w:tcBorders>
              <w:top w:val="single" w:sz="4" w:space="0" w:color="auto"/>
            </w:tcBorders>
          </w:tcPr>
          <w:p w:rsidR="000F4CB9" w:rsidRPr="000F4CB9" w:rsidRDefault="000F4CB9" w:rsidP="00BA11CF">
            <w:pPr>
              <w:rPr>
                <w:rFonts w:asciiTheme="minorHAnsi" w:hAnsiTheme="minorHAnsi" w:cstheme="minorHAnsi"/>
                <w:b/>
                <w:sz w:val="20"/>
                <w:szCs w:val="20"/>
              </w:rPr>
            </w:pPr>
          </w:p>
        </w:tc>
        <w:tc>
          <w:tcPr>
            <w:tcW w:w="460" w:type="dxa"/>
            <w:gridSpan w:val="2"/>
            <w:tcBorders>
              <w:top w:val="single" w:sz="4" w:space="0" w:color="auto"/>
            </w:tcBorders>
          </w:tcPr>
          <w:p w:rsidR="000F4CB9" w:rsidRPr="000F4CB9" w:rsidRDefault="000F4CB9" w:rsidP="00BA11CF">
            <w:pPr>
              <w:rPr>
                <w:rFonts w:asciiTheme="minorHAnsi" w:hAnsiTheme="minorHAnsi" w:cstheme="minorHAnsi"/>
                <w:b/>
                <w:sz w:val="20"/>
                <w:szCs w:val="20"/>
              </w:rPr>
            </w:pPr>
          </w:p>
        </w:tc>
        <w:tc>
          <w:tcPr>
            <w:tcW w:w="460" w:type="dxa"/>
            <w:gridSpan w:val="2"/>
            <w:tcBorders>
              <w:top w:val="single" w:sz="4" w:space="0" w:color="auto"/>
            </w:tcBorders>
          </w:tcPr>
          <w:p w:rsidR="000F4CB9" w:rsidRPr="000F4CB9" w:rsidRDefault="000F4CB9" w:rsidP="00BA11CF">
            <w:pPr>
              <w:rPr>
                <w:rFonts w:asciiTheme="minorHAnsi" w:hAnsiTheme="minorHAnsi" w:cstheme="minorHAnsi"/>
                <w:b/>
                <w:sz w:val="20"/>
                <w:szCs w:val="20"/>
              </w:rPr>
            </w:pPr>
          </w:p>
        </w:tc>
        <w:tc>
          <w:tcPr>
            <w:tcW w:w="397" w:type="dxa"/>
            <w:gridSpan w:val="2"/>
            <w:tcBorders>
              <w:top w:val="single" w:sz="4" w:space="0" w:color="auto"/>
            </w:tcBorders>
          </w:tcPr>
          <w:p w:rsidR="000F4CB9" w:rsidRPr="000F4CB9" w:rsidRDefault="000F4CB9" w:rsidP="00BA11CF">
            <w:pPr>
              <w:rPr>
                <w:rFonts w:asciiTheme="minorHAnsi" w:hAnsiTheme="minorHAnsi" w:cstheme="minorHAnsi"/>
                <w:b/>
                <w:sz w:val="20"/>
                <w:szCs w:val="20"/>
              </w:rPr>
            </w:pPr>
          </w:p>
        </w:tc>
        <w:tc>
          <w:tcPr>
            <w:tcW w:w="523" w:type="dxa"/>
            <w:gridSpan w:val="3"/>
            <w:tcBorders>
              <w:top w:val="single" w:sz="4" w:space="0" w:color="auto"/>
            </w:tcBorders>
          </w:tcPr>
          <w:p w:rsidR="000F4CB9" w:rsidRPr="000F4CB9" w:rsidRDefault="000F4CB9" w:rsidP="00BA11CF">
            <w:pPr>
              <w:rPr>
                <w:rFonts w:asciiTheme="minorHAnsi" w:hAnsiTheme="minorHAnsi" w:cstheme="minorHAnsi"/>
                <w:b/>
                <w:sz w:val="20"/>
                <w:szCs w:val="20"/>
              </w:rPr>
            </w:pPr>
          </w:p>
        </w:tc>
        <w:tc>
          <w:tcPr>
            <w:tcW w:w="469" w:type="dxa"/>
            <w:gridSpan w:val="4"/>
            <w:tcBorders>
              <w:top w:val="single" w:sz="4" w:space="0" w:color="auto"/>
            </w:tcBorders>
          </w:tcPr>
          <w:p w:rsidR="000F4CB9" w:rsidRPr="000F4CB9" w:rsidRDefault="000F4CB9" w:rsidP="00BA11CF">
            <w:pPr>
              <w:rPr>
                <w:rFonts w:asciiTheme="minorHAnsi" w:hAnsiTheme="minorHAnsi" w:cstheme="minorHAnsi"/>
                <w:b/>
                <w:sz w:val="20"/>
                <w:szCs w:val="20"/>
              </w:rPr>
            </w:pPr>
          </w:p>
        </w:tc>
        <w:tc>
          <w:tcPr>
            <w:tcW w:w="451" w:type="dxa"/>
            <w:gridSpan w:val="3"/>
            <w:tcBorders>
              <w:top w:val="single" w:sz="4" w:space="0" w:color="auto"/>
            </w:tcBorders>
          </w:tcPr>
          <w:p w:rsidR="000F4CB9" w:rsidRPr="000F4CB9" w:rsidRDefault="000F4CB9" w:rsidP="00BA11CF">
            <w:pPr>
              <w:rPr>
                <w:rFonts w:asciiTheme="minorHAnsi" w:hAnsiTheme="minorHAnsi" w:cstheme="minorHAnsi"/>
                <w:b/>
                <w:sz w:val="20"/>
                <w:szCs w:val="20"/>
              </w:rPr>
            </w:pPr>
          </w:p>
        </w:tc>
        <w:tc>
          <w:tcPr>
            <w:tcW w:w="460" w:type="dxa"/>
            <w:gridSpan w:val="4"/>
            <w:tcBorders>
              <w:top w:val="single" w:sz="4" w:space="0" w:color="auto"/>
            </w:tcBorders>
          </w:tcPr>
          <w:p w:rsidR="000F4CB9" w:rsidRPr="000F4CB9" w:rsidRDefault="000F4CB9" w:rsidP="00BA11CF">
            <w:pPr>
              <w:rPr>
                <w:rFonts w:asciiTheme="minorHAnsi" w:hAnsiTheme="minorHAnsi" w:cstheme="minorHAnsi"/>
                <w:b/>
                <w:sz w:val="20"/>
                <w:szCs w:val="20"/>
              </w:rPr>
            </w:pPr>
          </w:p>
        </w:tc>
        <w:tc>
          <w:tcPr>
            <w:tcW w:w="460" w:type="dxa"/>
            <w:gridSpan w:val="3"/>
            <w:tcBorders>
              <w:top w:val="single" w:sz="4" w:space="0" w:color="auto"/>
            </w:tcBorders>
          </w:tcPr>
          <w:p w:rsidR="000F4CB9" w:rsidRPr="000F4CB9" w:rsidRDefault="000F4CB9" w:rsidP="00BA11CF">
            <w:pPr>
              <w:rPr>
                <w:rFonts w:asciiTheme="minorHAnsi" w:hAnsiTheme="minorHAnsi" w:cstheme="minorHAnsi"/>
                <w:b/>
                <w:sz w:val="20"/>
                <w:szCs w:val="20"/>
              </w:rPr>
            </w:pPr>
          </w:p>
        </w:tc>
        <w:tc>
          <w:tcPr>
            <w:tcW w:w="460" w:type="dxa"/>
            <w:gridSpan w:val="4"/>
            <w:tcBorders>
              <w:top w:val="single" w:sz="4" w:space="0" w:color="auto"/>
            </w:tcBorders>
          </w:tcPr>
          <w:p w:rsidR="000F4CB9" w:rsidRPr="000F4CB9" w:rsidRDefault="000F4CB9" w:rsidP="00BA11CF">
            <w:pPr>
              <w:rPr>
                <w:rFonts w:asciiTheme="minorHAnsi" w:hAnsiTheme="minorHAnsi" w:cstheme="minorHAnsi"/>
                <w:b/>
                <w:sz w:val="20"/>
                <w:szCs w:val="20"/>
              </w:rPr>
            </w:pPr>
          </w:p>
        </w:tc>
        <w:tc>
          <w:tcPr>
            <w:tcW w:w="460" w:type="dxa"/>
            <w:gridSpan w:val="4"/>
            <w:tcBorders>
              <w:top w:val="single" w:sz="4" w:space="0" w:color="auto"/>
            </w:tcBorders>
          </w:tcPr>
          <w:p w:rsidR="000F4CB9" w:rsidRPr="000F4CB9" w:rsidRDefault="000F4CB9" w:rsidP="00BA11CF">
            <w:pPr>
              <w:rPr>
                <w:rFonts w:asciiTheme="minorHAnsi" w:hAnsiTheme="minorHAnsi" w:cstheme="minorHAnsi"/>
                <w:b/>
                <w:sz w:val="20"/>
                <w:szCs w:val="20"/>
              </w:rPr>
            </w:pPr>
          </w:p>
        </w:tc>
        <w:tc>
          <w:tcPr>
            <w:tcW w:w="460" w:type="dxa"/>
            <w:gridSpan w:val="3"/>
            <w:tcBorders>
              <w:top w:val="single" w:sz="4" w:space="0" w:color="auto"/>
            </w:tcBorders>
          </w:tcPr>
          <w:p w:rsidR="000F4CB9" w:rsidRPr="000F4CB9" w:rsidRDefault="000F4CB9" w:rsidP="00BA11CF">
            <w:pPr>
              <w:rPr>
                <w:rFonts w:asciiTheme="minorHAnsi" w:hAnsiTheme="minorHAnsi" w:cstheme="minorHAnsi"/>
                <w:b/>
                <w:sz w:val="20"/>
                <w:szCs w:val="20"/>
              </w:rPr>
            </w:pPr>
          </w:p>
        </w:tc>
        <w:tc>
          <w:tcPr>
            <w:tcW w:w="460" w:type="dxa"/>
            <w:gridSpan w:val="3"/>
            <w:tcBorders>
              <w:top w:val="single" w:sz="4" w:space="0" w:color="auto"/>
            </w:tcBorders>
          </w:tcPr>
          <w:p w:rsidR="000F4CB9" w:rsidRPr="000F4CB9" w:rsidRDefault="000F4CB9" w:rsidP="00BA11CF">
            <w:pPr>
              <w:rPr>
                <w:rFonts w:asciiTheme="minorHAnsi" w:hAnsiTheme="minorHAnsi" w:cstheme="minorHAnsi"/>
                <w:b/>
                <w:sz w:val="20"/>
                <w:szCs w:val="20"/>
              </w:rPr>
            </w:pPr>
          </w:p>
        </w:tc>
        <w:tc>
          <w:tcPr>
            <w:tcW w:w="1183" w:type="dxa"/>
            <w:gridSpan w:val="5"/>
            <w:tcBorders>
              <w:top w:val="single" w:sz="4" w:space="0" w:color="auto"/>
            </w:tcBorders>
          </w:tcPr>
          <w:p w:rsidR="000F4CB9" w:rsidRPr="000F4CB9" w:rsidRDefault="000F4CB9" w:rsidP="00BA11CF">
            <w:pPr>
              <w:rPr>
                <w:rFonts w:asciiTheme="minorHAnsi" w:hAnsiTheme="minorHAnsi" w:cstheme="minorHAnsi"/>
                <w:b/>
                <w:sz w:val="20"/>
                <w:szCs w:val="20"/>
              </w:rPr>
            </w:pPr>
          </w:p>
        </w:tc>
      </w:tr>
      <w:tr w:rsidR="000F4CB9" w:rsidRPr="00C50E8E" w:rsidTr="000F4CB9">
        <w:trPr>
          <w:gridAfter w:val="5"/>
          <w:wAfter w:w="2677" w:type="dxa"/>
        </w:trPr>
        <w:tc>
          <w:tcPr>
            <w:tcW w:w="9923" w:type="dxa"/>
            <w:gridSpan w:val="55"/>
          </w:tcPr>
          <w:p w:rsidR="000F4CB9" w:rsidRPr="000F4CB9" w:rsidRDefault="000F4CB9" w:rsidP="00BA11CF">
            <w:pPr>
              <w:rPr>
                <w:rFonts w:asciiTheme="minorHAnsi" w:hAnsiTheme="minorHAnsi" w:cstheme="minorHAnsi"/>
                <w:b/>
                <w:sz w:val="20"/>
                <w:szCs w:val="20"/>
              </w:rPr>
            </w:pPr>
            <w:r w:rsidRPr="000F4CB9">
              <w:rPr>
                <w:rFonts w:asciiTheme="minorHAnsi" w:hAnsiTheme="minorHAnsi" w:cstheme="minorHAnsi"/>
                <w:b/>
                <w:sz w:val="20"/>
                <w:szCs w:val="20"/>
              </w:rPr>
              <w:t>Kapitola 30 nemá rozpočtované výdaje.</w:t>
            </w:r>
          </w:p>
        </w:tc>
      </w:tr>
      <w:tr w:rsidR="000F4CB9" w:rsidRPr="00C50E8E" w:rsidTr="000F4CB9">
        <w:trPr>
          <w:gridAfter w:val="5"/>
          <w:wAfter w:w="2677" w:type="dxa"/>
        </w:trPr>
        <w:tc>
          <w:tcPr>
            <w:tcW w:w="460" w:type="dxa"/>
          </w:tcPr>
          <w:p w:rsidR="000F4CB9" w:rsidRPr="000F4CB9" w:rsidRDefault="000F4CB9" w:rsidP="00BA11CF">
            <w:pPr>
              <w:rPr>
                <w:rFonts w:asciiTheme="minorHAnsi" w:hAnsiTheme="minorHAnsi" w:cstheme="minorHAnsi"/>
                <w:b/>
                <w:sz w:val="20"/>
                <w:szCs w:val="20"/>
              </w:rPr>
            </w:pPr>
          </w:p>
        </w:tc>
        <w:tc>
          <w:tcPr>
            <w:tcW w:w="392" w:type="dxa"/>
          </w:tcPr>
          <w:p w:rsidR="000F4CB9" w:rsidRPr="000F4CB9" w:rsidRDefault="000F4CB9" w:rsidP="00BA11CF">
            <w:pPr>
              <w:rPr>
                <w:rFonts w:asciiTheme="minorHAnsi" w:hAnsiTheme="minorHAnsi" w:cstheme="minorHAnsi"/>
                <w:b/>
                <w:sz w:val="20"/>
                <w:szCs w:val="20"/>
              </w:rPr>
            </w:pPr>
          </w:p>
        </w:tc>
        <w:tc>
          <w:tcPr>
            <w:tcW w:w="638" w:type="dxa"/>
          </w:tcPr>
          <w:p w:rsidR="000F4CB9" w:rsidRPr="000F4CB9" w:rsidRDefault="000F4CB9" w:rsidP="00BA11CF">
            <w:pPr>
              <w:rPr>
                <w:rFonts w:asciiTheme="minorHAnsi" w:hAnsiTheme="minorHAnsi" w:cstheme="minorHAnsi"/>
                <w:b/>
                <w:sz w:val="20"/>
                <w:szCs w:val="20"/>
              </w:rPr>
            </w:pPr>
          </w:p>
        </w:tc>
        <w:tc>
          <w:tcPr>
            <w:tcW w:w="350" w:type="dxa"/>
            <w:gridSpan w:val="3"/>
          </w:tcPr>
          <w:p w:rsidR="000F4CB9" w:rsidRPr="000F4CB9" w:rsidRDefault="000F4CB9" w:rsidP="00BA11CF">
            <w:pPr>
              <w:rPr>
                <w:rFonts w:asciiTheme="minorHAnsi" w:hAnsiTheme="minorHAnsi" w:cstheme="minorHAnsi"/>
                <w:b/>
                <w:sz w:val="20"/>
                <w:szCs w:val="20"/>
              </w:rPr>
            </w:pPr>
          </w:p>
        </w:tc>
        <w:tc>
          <w:tcPr>
            <w:tcW w:w="460" w:type="dxa"/>
          </w:tcPr>
          <w:p w:rsidR="000F4CB9" w:rsidRPr="000F4CB9" w:rsidRDefault="000F4CB9" w:rsidP="00BA11CF">
            <w:pPr>
              <w:rPr>
                <w:rFonts w:asciiTheme="minorHAnsi" w:hAnsiTheme="minorHAnsi" w:cstheme="minorHAnsi"/>
                <w:b/>
                <w:sz w:val="20"/>
                <w:szCs w:val="20"/>
              </w:rPr>
            </w:pPr>
          </w:p>
        </w:tc>
        <w:tc>
          <w:tcPr>
            <w:tcW w:w="460" w:type="dxa"/>
            <w:gridSpan w:val="3"/>
          </w:tcPr>
          <w:p w:rsidR="000F4CB9" w:rsidRPr="000F4CB9" w:rsidRDefault="000F4CB9" w:rsidP="00BA11CF">
            <w:pPr>
              <w:rPr>
                <w:rFonts w:asciiTheme="minorHAnsi" w:hAnsiTheme="minorHAnsi" w:cstheme="minorHAnsi"/>
                <w:b/>
                <w:sz w:val="20"/>
                <w:szCs w:val="20"/>
              </w:rPr>
            </w:pPr>
          </w:p>
        </w:tc>
        <w:tc>
          <w:tcPr>
            <w:tcW w:w="460" w:type="dxa"/>
            <w:gridSpan w:val="3"/>
          </w:tcPr>
          <w:p w:rsidR="000F4CB9" w:rsidRPr="000F4CB9" w:rsidRDefault="000F4CB9" w:rsidP="00BA11CF">
            <w:pPr>
              <w:rPr>
                <w:rFonts w:asciiTheme="minorHAnsi" w:hAnsiTheme="minorHAnsi" w:cstheme="minorHAnsi"/>
                <w:b/>
                <w:sz w:val="20"/>
                <w:szCs w:val="20"/>
              </w:rPr>
            </w:pPr>
          </w:p>
        </w:tc>
        <w:tc>
          <w:tcPr>
            <w:tcW w:w="460" w:type="dxa"/>
            <w:gridSpan w:val="2"/>
          </w:tcPr>
          <w:p w:rsidR="000F4CB9" w:rsidRPr="000F4CB9" w:rsidRDefault="000F4CB9" w:rsidP="00BA11CF">
            <w:pPr>
              <w:rPr>
                <w:rFonts w:asciiTheme="minorHAnsi" w:hAnsiTheme="minorHAnsi" w:cstheme="minorHAnsi"/>
                <w:b/>
                <w:sz w:val="20"/>
                <w:szCs w:val="20"/>
              </w:rPr>
            </w:pPr>
          </w:p>
        </w:tc>
        <w:tc>
          <w:tcPr>
            <w:tcW w:w="460" w:type="dxa"/>
            <w:gridSpan w:val="2"/>
          </w:tcPr>
          <w:p w:rsidR="000F4CB9" w:rsidRPr="000F4CB9" w:rsidRDefault="000F4CB9" w:rsidP="00BA11CF">
            <w:pPr>
              <w:rPr>
                <w:rFonts w:asciiTheme="minorHAnsi" w:hAnsiTheme="minorHAnsi" w:cstheme="minorHAnsi"/>
                <w:b/>
                <w:sz w:val="20"/>
                <w:szCs w:val="20"/>
              </w:rPr>
            </w:pPr>
          </w:p>
        </w:tc>
        <w:tc>
          <w:tcPr>
            <w:tcW w:w="397" w:type="dxa"/>
            <w:gridSpan w:val="2"/>
          </w:tcPr>
          <w:p w:rsidR="000F4CB9" w:rsidRPr="000F4CB9" w:rsidRDefault="000F4CB9" w:rsidP="00BA11CF">
            <w:pPr>
              <w:rPr>
                <w:rFonts w:asciiTheme="minorHAnsi" w:hAnsiTheme="minorHAnsi" w:cstheme="minorHAnsi"/>
                <w:b/>
                <w:sz w:val="20"/>
                <w:szCs w:val="20"/>
              </w:rPr>
            </w:pPr>
          </w:p>
        </w:tc>
        <w:tc>
          <w:tcPr>
            <w:tcW w:w="523" w:type="dxa"/>
            <w:gridSpan w:val="3"/>
          </w:tcPr>
          <w:p w:rsidR="000F4CB9" w:rsidRPr="000F4CB9" w:rsidRDefault="000F4CB9" w:rsidP="00BA11CF">
            <w:pPr>
              <w:rPr>
                <w:rFonts w:asciiTheme="minorHAnsi" w:hAnsiTheme="minorHAnsi" w:cstheme="minorHAnsi"/>
                <w:b/>
                <w:sz w:val="20"/>
                <w:szCs w:val="20"/>
              </w:rPr>
            </w:pPr>
          </w:p>
        </w:tc>
        <w:tc>
          <w:tcPr>
            <w:tcW w:w="469" w:type="dxa"/>
            <w:gridSpan w:val="4"/>
          </w:tcPr>
          <w:p w:rsidR="000F4CB9" w:rsidRPr="000F4CB9" w:rsidRDefault="000F4CB9" w:rsidP="00BA11CF">
            <w:pPr>
              <w:rPr>
                <w:rFonts w:asciiTheme="minorHAnsi" w:hAnsiTheme="minorHAnsi" w:cstheme="minorHAnsi"/>
                <w:b/>
                <w:sz w:val="20"/>
                <w:szCs w:val="20"/>
              </w:rPr>
            </w:pPr>
          </w:p>
        </w:tc>
        <w:tc>
          <w:tcPr>
            <w:tcW w:w="451" w:type="dxa"/>
            <w:gridSpan w:val="3"/>
          </w:tcPr>
          <w:p w:rsidR="000F4CB9" w:rsidRPr="000F4CB9" w:rsidRDefault="000F4CB9" w:rsidP="00BA11CF">
            <w:pPr>
              <w:rPr>
                <w:rFonts w:asciiTheme="minorHAnsi" w:hAnsiTheme="minorHAnsi" w:cstheme="minorHAnsi"/>
                <w:b/>
                <w:sz w:val="20"/>
                <w:szCs w:val="20"/>
              </w:rPr>
            </w:pPr>
          </w:p>
        </w:tc>
        <w:tc>
          <w:tcPr>
            <w:tcW w:w="460" w:type="dxa"/>
            <w:gridSpan w:val="4"/>
          </w:tcPr>
          <w:p w:rsidR="000F4CB9" w:rsidRPr="000F4CB9" w:rsidRDefault="000F4CB9" w:rsidP="00BA11CF">
            <w:pPr>
              <w:rPr>
                <w:rFonts w:asciiTheme="minorHAnsi" w:hAnsiTheme="minorHAnsi" w:cstheme="minorHAnsi"/>
                <w:b/>
                <w:sz w:val="20"/>
                <w:szCs w:val="20"/>
              </w:rPr>
            </w:pPr>
          </w:p>
        </w:tc>
        <w:tc>
          <w:tcPr>
            <w:tcW w:w="460" w:type="dxa"/>
            <w:gridSpan w:val="3"/>
          </w:tcPr>
          <w:p w:rsidR="000F4CB9" w:rsidRPr="000F4CB9" w:rsidRDefault="000F4CB9" w:rsidP="00BA11CF">
            <w:pPr>
              <w:rPr>
                <w:rFonts w:asciiTheme="minorHAnsi" w:hAnsiTheme="minorHAnsi" w:cstheme="minorHAnsi"/>
                <w:b/>
                <w:sz w:val="20"/>
                <w:szCs w:val="20"/>
              </w:rPr>
            </w:pPr>
          </w:p>
        </w:tc>
        <w:tc>
          <w:tcPr>
            <w:tcW w:w="460" w:type="dxa"/>
            <w:gridSpan w:val="4"/>
          </w:tcPr>
          <w:p w:rsidR="000F4CB9" w:rsidRPr="000F4CB9" w:rsidRDefault="000F4CB9" w:rsidP="00BA11CF">
            <w:pPr>
              <w:rPr>
                <w:rFonts w:asciiTheme="minorHAnsi" w:hAnsiTheme="minorHAnsi" w:cstheme="minorHAnsi"/>
                <w:b/>
                <w:sz w:val="20"/>
                <w:szCs w:val="20"/>
              </w:rPr>
            </w:pPr>
          </w:p>
        </w:tc>
        <w:tc>
          <w:tcPr>
            <w:tcW w:w="460" w:type="dxa"/>
            <w:gridSpan w:val="4"/>
          </w:tcPr>
          <w:p w:rsidR="000F4CB9" w:rsidRPr="000F4CB9" w:rsidRDefault="000F4CB9" w:rsidP="00BA11CF">
            <w:pPr>
              <w:rPr>
                <w:rFonts w:asciiTheme="minorHAnsi" w:hAnsiTheme="minorHAnsi" w:cstheme="minorHAnsi"/>
                <w:b/>
                <w:sz w:val="20"/>
                <w:szCs w:val="20"/>
              </w:rPr>
            </w:pPr>
          </w:p>
        </w:tc>
        <w:tc>
          <w:tcPr>
            <w:tcW w:w="460" w:type="dxa"/>
            <w:gridSpan w:val="3"/>
          </w:tcPr>
          <w:p w:rsidR="000F4CB9" w:rsidRPr="000F4CB9" w:rsidRDefault="000F4CB9" w:rsidP="00BA11CF">
            <w:pPr>
              <w:rPr>
                <w:rFonts w:asciiTheme="minorHAnsi" w:hAnsiTheme="minorHAnsi" w:cstheme="minorHAnsi"/>
                <w:b/>
                <w:sz w:val="20"/>
                <w:szCs w:val="20"/>
              </w:rPr>
            </w:pPr>
          </w:p>
        </w:tc>
        <w:tc>
          <w:tcPr>
            <w:tcW w:w="460" w:type="dxa"/>
            <w:gridSpan w:val="3"/>
          </w:tcPr>
          <w:p w:rsidR="000F4CB9" w:rsidRPr="000F4CB9" w:rsidRDefault="000F4CB9" w:rsidP="00BA11CF">
            <w:pPr>
              <w:rPr>
                <w:rFonts w:asciiTheme="minorHAnsi" w:hAnsiTheme="minorHAnsi" w:cstheme="minorHAnsi"/>
                <w:b/>
                <w:sz w:val="20"/>
                <w:szCs w:val="20"/>
              </w:rPr>
            </w:pPr>
          </w:p>
        </w:tc>
        <w:tc>
          <w:tcPr>
            <w:tcW w:w="1183" w:type="dxa"/>
            <w:gridSpan w:val="5"/>
          </w:tcPr>
          <w:p w:rsidR="000F4CB9" w:rsidRPr="000F4CB9" w:rsidRDefault="000F4CB9" w:rsidP="00BA11CF">
            <w:pPr>
              <w:rPr>
                <w:rFonts w:asciiTheme="minorHAnsi" w:hAnsiTheme="minorHAnsi" w:cstheme="minorHAnsi"/>
                <w:b/>
                <w:sz w:val="20"/>
                <w:szCs w:val="20"/>
              </w:rPr>
            </w:pPr>
          </w:p>
        </w:tc>
      </w:tr>
      <w:tr w:rsidR="000F4CB9" w:rsidRPr="00C50E8E" w:rsidTr="000F4CB9">
        <w:trPr>
          <w:gridAfter w:val="5"/>
          <w:wAfter w:w="2677" w:type="dxa"/>
        </w:trPr>
        <w:tc>
          <w:tcPr>
            <w:tcW w:w="460" w:type="dxa"/>
          </w:tcPr>
          <w:p w:rsidR="000F4CB9" w:rsidRPr="000F4CB9" w:rsidRDefault="000F4CB9" w:rsidP="00BA11CF">
            <w:pPr>
              <w:rPr>
                <w:rFonts w:asciiTheme="minorHAnsi" w:hAnsiTheme="minorHAnsi" w:cstheme="minorHAnsi"/>
                <w:b/>
                <w:sz w:val="20"/>
                <w:szCs w:val="20"/>
              </w:rPr>
            </w:pPr>
          </w:p>
        </w:tc>
        <w:tc>
          <w:tcPr>
            <w:tcW w:w="392" w:type="dxa"/>
          </w:tcPr>
          <w:p w:rsidR="000F4CB9" w:rsidRPr="000F4CB9" w:rsidRDefault="000F4CB9" w:rsidP="00BA11CF">
            <w:pPr>
              <w:rPr>
                <w:rFonts w:asciiTheme="minorHAnsi" w:hAnsiTheme="minorHAnsi" w:cstheme="minorHAnsi"/>
                <w:b/>
                <w:sz w:val="20"/>
                <w:szCs w:val="20"/>
              </w:rPr>
            </w:pPr>
          </w:p>
        </w:tc>
        <w:tc>
          <w:tcPr>
            <w:tcW w:w="638" w:type="dxa"/>
          </w:tcPr>
          <w:p w:rsidR="000F4CB9" w:rsidRPr="000F4CB9" w:rsidRDefault="000F4CB9" w:rsidP="00BA11CF">
            <w:pPr>
              <w:rPr>
                <w:rFonts w:asciiTheme="minorHAnsi" w:hAnsiTheme="minorHAnsi" w:cstheme="minorHAnsi"/>
                <w:b/>
                <w:sz w:val="20"/>
                <w:szCs w:val="20"/>
              </w:rPr>
            </w:pPr>
          </w:p>
        </w:tc>
        <w:tc>
          <w:tcPr>
            <w:tcW w:w="350" w:type="dxa"/>
            <w:gridSpan w:val="3"/>
          </w:tcPr>
          <w:p w:rsidR="000F4CB9" w:rsidRPr="000F4CB9" w:rsidRDefault="000F4CB9" w:rsidP="00BA11CF">
            <w:pPr>
              <w:rPr>
                <w:rFonts w:asciiTheme="minorHAnsi" w:hAnsiTheme="minorHAnsi" w:cstheme="minorHAnsi"/>
                <w:b/>
                <w:sz w:val="20"/>
                <w:szCs w:val="20"/>
              </w:rPr>
            </w:pPr>
          </w:p>
        </w:tc>
        <w:tc>
          <w:tcPr>
            <w:tcW w:w="460" w:type="dxa"/>
          </w:tcPr>
          <w:p w:rsidR="000F4CB9" w:rsidRPr="000F4CB9" w:rsidRDefault="000F4CB9" w:rsidP="00BA11CF">
            <w:pPr>
              <w:rPr>
                <w:rFonts w:asciiTheme="minorHAnsi" w:hAnsiTheme="minorHAnsi" w:cstheme="minorHAnsi"/>
                <w:b/>
                <w:sz w:val="20"/>
                <w:szCs w:val="20"/>
              </w:rPr>
            </w:pPr>
          </w:p>
        </w:tc>
        <w:tc>
          <w:tcPr>
            <w:tcW w:w="460" w:type="dxa"/>
            <w:gridSpan w:val="3"/>
          </w:tcPr>
          <w:p w:rsidR="000F4CB9" w:rsidRPr="000F4CB9" w:rsidRDefault="000F4CB9" w:rsidP="00BA11CF">
            <w:pPr>
              <w:rPr>
                <w:rFonts w:asciiTheme="minorHAnsi" w:hAnsiTheme="minorHAnsi" w:cstheme="minorHAnsi"/>
                <w:b/>
                <w:sz w:val="20"/>
                <w:szCs w:val="20"/>
              </w:rPr>
            </w:pPr>
          </w:p>
        </w:tc>
        <w:tc>
          <w:tcPr>
            <w:tcW w:w="460" w:type="dxa"/>
            <w:gridSpan w:val="3"/>
          </w:tcPr>
          <w:p w:rsidR="000F4CB9" w:rsidRPr="000F4CB9" w:rsidRDefault="000F4CB9" w:rsidP="00BA11CF">
            <w:pPr>
              <w:rPr>
                <w:rFonts w:asciiTheme="minorHAnsi" w:hAnsiTheme="minorHAnsi" w:cstheme="minorHAnsi"/>
                <w:b/>
                <w:sz w:val="20"/>
                <w:szCs w:val="20"/>
              </w:rPr>
            </w:pPr>
          </w:p>
        </w:tc>
        <w:tc>
          <w:tcPr>
            <w:tcW w:w="460" w:type="dxa"/>
            <w:gridSpan w:val="2"/>
          </w:tcPr>
          <w:p w:rsidR="000F4CB9" w:rsidRPr="000F4CB9" w:rsidRDefault="000F4CB9" w:rsidP="00BA11CF">
            <w:pPr>
              <w:rPr>
                <w:rFonts w:asciiTheme="minorHAnsi" w:hAnsiTheme="minorHAnsi" w:cstheme="minorHAnsi"/>
                <w:b/>
                <w:sz w:val="20"/>
                <w:szCs w:val="20"/>
              </w:rPr>
            </w:pPr>
          </w:p>
        </w:tc>
        <w:tc>
          <w:tcPr>
            <w:tcW w:w="460" w:type="dxa"/>
            <w:gridSpan w:val="2"/>
          </w:tcPr>
          <w:p w:rsidR="000F4CB9" w:rsidRPr="000F4CB9" w:rsidRDefault="000F4CB9" w:rsidP="00BA11CF">
            <w:pPr>
              <w:rPr>
                <w:rFonts w:asciiTheme="minorHAnsi" w:hAnsiTheme="minorHAnsi" w:cstheme="minorHAnsi"/>
                <w:b/>
                <w:sz w:val="20"/>
                <w:szCs w:val="20"/>
              </w:rPr>
            </w:pPr>
          </w:p>
        </w:tc>
        <w:tc>
          <w:tcPr>
            <w:tcW w:w="397" w:type="dxa"/>
            <w:gridSpan w:val="2"/>
          </w:tcPr>
          <w:p w:rsidR="000F4CB9" w:rsidRPr="000F4CB9" w:rsidRDefault="000F4CB9" w:rsidP="00BA11CF">
            <w:pPr>
              <w:rPr>
                <w:rFonts w:asciiTheme="minorHAnsi" w:hAnsiTheme="minorHAnsi" w:cstheme="minorHAnsi"/>
                <w:b/>
                <w:sz w:val="20"/>
                <w:szCs w:val="20"/>
              </w:rPr>
            </w:pPr>
          </w:p>
        </w:tc>
        <w:tc>
          <w:tcPr>
            <w:tcW w:w="523" w:type="dxa"/>
            <w:gridSpan w:val="3"/>
          </w:tcPr>
          <w:p w:rsidR="000F4CB9" w:rsidRPr="000F4CB9" w:rsidRDefault="000F4CB9" w:rsidP="00BA11CF">
            <w:pPr>
              <w:rPr>
                <w:rFonts w:asciiTheme="minorHAnsi" w:hAnsiTheme="minorHAnsi" w:cstheme="minorHAnsi"/>
                <w:b/>
                <w:sz w:val="20"/>
                <w:szCs w:val="20"/>
              </w:rPr>
            </w:pPr>
          </w:p>
        </w:tc>
        <w:tc>
          <w:tcPr>
            <w:tcW w:w="469" w:type="dxa"/>
            <w:gridSpan w:val="4"/>
          </w:tcPr>
          <w:p w:rsidR="000F4CB9" w:rsidRPr="000F4CB9" w:rsidRDefault="000F4CB9" w:rsidP="00BA11CF">
            <w:pPr>
              <w:rPr>
                <w:rFonts w:asciiTheme="minorHAnsi" w:hAnsiTheme="minorHAnsi" w:cstheme="minorHAnsi"/>
                <w:b/>
                <w:sz w:val="20"/>
                <w:szCs w:val="20"/>
              </w:rPr>
            </w:pPr>
          </w:p>
        </w:tc>
        <w:tc>
          <w:tcPr>
            <w:tcW w:w="451" w:type="dxa"/>
            <w:gridSpan w:val="3"/>
          </w:tcPr>
          <w:p w:rsidR="000F4CB9" w:rsidRPr="000F4CB9" w:rsidRDefault="000F4CB9" w:rsidP="00BA11CF">
            <w:pPr>
              <w:rPr>
                <w:rFonts w:asciiTheme="minorHAnsi" w:hAnsiTheme="minorHAnsi" w:cstheme="minorHAnsi"/>
                <w:b/>
                <w:sz w:val="20"/>
                <w:szCs w:val="20"/>
              </w:rPr>
            </w:pPr>
          </w:p>
        </w:tc>
        <w:tc>
          <w:tcPr>
            <w:tcW w:w="460" w:type="dxa"/>
            <w:gridSpan w:val="4"/>
          </w:tcPr>
          <w:p w:rsidR="000F4CB9" w:rsidRPr="000F4CB9" w:rsidRDefault="000F4CB9" w:rsidP="00BA11CF">
            <w:pPr>
              <w:rPr>
                <w:rFonts w:asciiTheme="minorHAnsi" w:hAnsiTheme="minorHAnsi" w:cstheme="minorHAnsi"/>
                <w:b/>
                <w:sz w:val="20"/>
                <w:szCs w:val="20"/>
              </w:rPr>
            </w:pPr>
          </w:p>
        </w:tc>
        <w:tc>
          <w:tcPr>
            <w:tcW w:w="460" w:type="dxa"/>
            <w:gridSpan w:val="3"/>
          </w:tcPr>
          <w:p w:rsidR="000F4CB9" w:rsidRPr="000F4CB9" w:rsidRDefault="000F4CB9" w:rsidP="00BA11CF">
            <w:pPr>
              <w:rPr>
                <w:rFonts w:asciiTheme="minorHAnsi" w:hAnsiTheme="minorHAnsi" w:cstheme="minorHAnsi"/>
                <w:b/>
                <w:sz w:val="20"/>
                <w:szCs w:val="20"/>
              </w:rPr>
            </w:pPr>
          </w:p>
        </w:tc>
        <w:tc>
          <w:tcPr>
            <w:tcW w:w="460" w:type="dxa"/>
            <w:gridSpan w:val="4"/>
          </w:tcPr>
          <w:p w:rsidR="000F4CB9" w:rsidRPr="000F4CB9" w:rsidRDefault="000F4CB9" w:rsidP="00BA11CF">
            <w:pPr>
              <w:rPr>
                <w:rFonts w:asciiTheme="minorHAnsi" w:hAnsiTheme="minorHAnsi" w:cstheme="minorHAnsi"/>
                <w:b/>
                <w:sz w:val="20"/>
                <w:szCs w:val="20"/>
              </w:rPr>
            </w:pPr>
          </w:p>
        </w:tc>
        <w:tc>
          <w:tcPr>
            <w:tcW w:w="460" w:type="dxa"/>
            <w:gridSpan w:val="4"/>
          </w:tcPr>
          <w:p w:rsidR="000F4CB9" w:rsidRPr="000F4CB9" w:rsidRDefault="000F4CB9" w:rsidP="00BA11CF">
            <w:pPr>
              <w:rPr>
                <w:rFonts w:asciiTheme="minorHAnsi" w:hAnsiTheme="minorHAnsi" w:cstheme="minorHAnsi"/>
                <w:b/>
                <w:sz w:val="20"/>
                <w:szCs w:val="20"/>
              </w:rPr>
            </w:pPr>
          </w:p>
        </w:tc>
        <w:tc>
          <w:tcPr>
            <w:tcW w:w="460" w:type="dxa"/>
            <w:gridSpan w:val="3"/>
          </w:tcPr>
          <w:p w:rsidR="000F4CB9" w:rsidRPr="000F4CB9" w:rsidRDefault="000F4CB9" w:rsidP="00BA11CF">
            <w:pPr>
              <w:rPr>
                <w:rFonts w:asciiTheme="minorHAnsi" w:hAnsiTheme="minorHAnsi" w:cstheme="minorHAnsi"/>
                <w:b/>
                <w:sz w:val="20"/>
                <w:szCs w:val="20"/>
              </w:rPr>
            </w:pPr>
          </w:p>
        </w:tc>
        <w:tc>
          <w:tcPr>
            <w:tcW w:w="460" w:type="dxa"/>
            <w:gridSpan w:val="3"/>
          </w:tcPr>
          <w:p w:rsidR="000F4CB9" w:rsidRPr="000F4CB9" w:rsidRDefault="000F4CB9" w:rsidP="00BA11CF">
            <w:pPr>
              <w:rPr>
                <w:rFonts w:asciiTheme="minorHAnsi" w:hAnsiTheme="minorHAnsi" w:cstheme="minorHAnsi"/>
                <w:b/>
                <w:sz w:val="20"/>
                <w:szCs w:val="20"/>
              </w:rPr>
            </w:pPr>
          </w:p>
        </w:tc>
        <w:tc>
          <w:tcPr>
            <w:tcW w:w="1183" w:type="dxa"/>
            <w:gridSpan w:val="5"/>
          </w:tcPr>
          <w:p w:rsidR="000F4CB9" w:rsidRPr="000F4CB9" w:rsidRDefault="000F4CB9" w:rsidP="00BA11CF">
            <w:pPr>
              <w:rPr>
                <w:rFonts w:asciiTheme="minorHAnsi" w:hAnsiTheme="minorHAnsi" w:cstheme="minorHAnsi"/>
                <w:b/>
                <w:sz w:val="20"/>
                <w:szCs w:val="20"/>
              </w:rPr>
            </w:pPr>
          </w:p>
        </w:tc>
      </w:tr>
    </w:tbl>
    <w:p w:rsidR="000F4CB9" w:rsidRPr="000F4CB9" w:rsidRDefault="000F4CB9" w:rsidP="000F4CB9">
      <w:pPr>
        <w:rPr>
          <w:rFonts w:asciiTheme="minorHAnsi" w:hAnsiTheme="minorHAnsi" w:cstheme="minorHAnsi"/>
          <w:b/>
          <w:sz w:val="20"/>
          <w:szCs w:val="20"/>
        </w:rPr>
      </w:pPr>
      <w:r w:rsidRPr="000F4CB9">
        <w:rPr>
          <w:rFonts w:asciiTheme="minorHAnsi" w:hAnsiTheme="minorHAnsi" w:cstheme="minorHAnsi"/>
          <w:b/>
          <w:sz w:val="20"/>
          <w:szCs w:val="20"/>
        </w:rPr>
        <w:t>Přehled schválených rozpočtových opatření k 31. 12. 2022:  OŽÚ nepředkládal v rámci kapitoly 30 v r. 2022 žádné rozpočtové opatření.</w:t>
      </w:r>
    </w:p>
    <w:p w:rsidR="000F4CB9" w:rsidRPr="000F4CB9" w:rsidRDefault="000F4CB9" w:rsidP="000F4CB9">
      <w:pPr>
        <w:rPr>
          <w:rFonts w:asciiTheme="minorHAnsi" w:hAnsiTheme="minorHAnsi" w:cstheme="minorHAnsi"/>
          <w:b/>
          <w:sz w:val="20"/>
          <w:szCs w:val="20"/>
        </w:rPr>
      </w:pPr>
    </w:p>
    <w:p w:rsidR="000F4CB9" w:rsidRPr="000F4CB9" w:rsidRDefault="000F4CB9" w:rsidP="000F4CB9">
      <w:pPr>
        <w:rPr>
          <w:b/>
          <w:sz w:val="20"/>
          <w:szCs w:val="20"/>
        </w:rPr>
      </w:pPr>
    </w:p>
    <w:p w:rsidR="000F4CB9" w:rsidRPr="000F4CB9" w:rsidRDefault="000F4CB9" w:rsidP="000F4CB9">
      <w:pPr>
        <w:rPr>
          <w:b/>
          <w:sz w:val="20"/>
          <w:szCs w:val="20"/>
        </w:rPr>
      </w:pPr>
    </w:p>
    <w:p w:rsidR="000F4CB9" w:rsidRPr="000F4CB9" w:rsidRDefault="000F4CB9" w:rsidP="000F4CB9">
      <w:pPr>
        <w:rPr>
          <w:b/>
          <w:sz w:val="20"/>
          <w:szCs w:val="20"/>
        </w:rPr>
      </w:pPr>
      <w:r w:rsidRPr="000F4CB9">
        <w:rPr>
          <w:b/>
          <w:sz w:val="20"/>
          <w:szCs w:val="20"/>
        </w:rPr>
        <w:t>V Prostějově:</w:t>
      </w:r>
      <w:r w:rsidRPr="000F4CB9">
        <w:rPr>
          <w:b/>
          <w:sz w:val="20"/>
          <w:szCs w:val="20"/>
        </w:rPr>
        <w:tab/>
      </w:r>
      <w:r w:rsidRPr="000F4CB9">
        <w:rPr>
          <w:b/>
          <w:sz w:val="20"/>
          <w:szCs w:val="20"/>
        </w:rPr>
        <w:tab/>
      </w:r>
      <w:r w:rsidRPr="000F4CB9">
        <w:rPr>
          <w:b/>
          <w:sz w:val="20"/>
          <w:szCs w:val="20"/>
        </w:rPr>
        <w:tab/>
      </w:r>
      <w:r w:rsidRPr="000F4CB9">
        <w:rPr>
          <w:b/>
          <w:sz w:val="20"/>
          <w:szCs w:val="20"/>
        </w:rPr>
        <w:tab/>
      </w:r>
      <w:r w:rsidRPr="000F4CB9">
        <w:rPr>
          <w:b/>
          <w:sz w:val="20"/>
          <w:szCs w:val="20"/>
        </w:rPr>
        <w:tab/>
      </w:r>
      <w:r w:rsidRPr="000F4CB9">
        <w:rPr>
          <w:b/>
          <w:sz w:val="20"/>
          <w:szCs w:val="20"/>
        </w:rPr>
        <w:tab/>
      </w:r>
      <w:r w:rsidRPr="000F4CB9">
        <w:rPr>
          <w:b/>
          <w:sz w:val="20"/>
          <w:szCs w:val="20"/>
        </w:rPr>
        <w:tab/>
      </w:r>
      <w:r w:rsidRPr="000F4CB9">
        <w:rPr>
          <w:b/>
          <w:sz w:val="20"/>
          <w:szCs w:val="20"/>
        </w:rPr>
        <w:tab/>
      </w:r>
      <w:r w:rsidRPr="000F4CB9">
        <w:rPr>
          <w:b/>
          <w:sz w:val="20"/>
          <w:szCs w:val="20"/>
        </w:rPr>
        <w:tab/>
      </w:r>
      <w:r w:rsidRPr="000F4CB9">
        <w:rPr>
          <w:b/>
          <w:sz w:val="20"/>
          <w:szCs w:val="20"/>
        </w:rPr>
        <w:tab/>
      </w:r>
      <w:r w:rsidRPr="000F4CB9">
        <w:rPr>
          <w:b/>
          <w:sz w:val="20"/>
          <w:szCs w:val="20"/>
        </w:rPr>
        <w:tab/>
      </w:r>
    </w:p>
    <w:p w:rsidR="000F4CB9" w:rsidRPr="000F4CB9" w:rsidRDefault="000F4CB9" w:rsidP="000F4CB9">
      <w:pPr>
        <w:rPr>
          <w:b/>
          <w:sz w:val="20"/>
          <w:szCs w:val="20"/>
        </w:rPr>
      </w:pPr>
      <w:r w:rsidRPr="000F4CB9">
        <w:rPr>
          <w:b/>
          <w:sz w:val="20"/>
          <w:szCs w:val="20"/>
        </w:rPr>
        <w:t>Správce kapitoly: Ing. Bc. Antonie Orálková, MBA, vedoucí odboru OŽÚ</w:t>
      </w:r>
    </w:p>
    <w:p w:rsidR="006A7FA7" w:rsidRDefault="006A7FA7">
      <w:pPr>
        <w:rPr>
          <w:rFonts w:asciiTheme="minorHAnsi" w:hAnsiTheme="minorHAnsi" w:cstheme="minorHAnsi"/>
          <w:b/>
          <w:sz w:val="20"/>
          <w:szCs w:val="20"/>
        </w:rPr>
      </w:pPr>
      <w:r w:rsidRPr="00F6124A">
        <w:rPr>
          <w:rFonts w:asciiTheme="minorHAnsi" w:hAnsiTheme="minorHAnsi" w:cstheme="minorHAnsi"/>
          <w:b/>
          <w:sz w:val="20"/>
          <w:szCs w:val="20"/>
        </w:rPr>
        <w:br w:type="page"/>
      </w:r>
    </w:p>
    <w:tbl>
      <w:tblPr>
        <w:tblW w:w="11872" w:type="dxa"/>
        <w:tblLayout w:type="fixed"/>
        <w:tblCellMar>
          <w:left w:w="70" w:type="dxa"/>
          <w:right w:w="70" w:type="dxa"/>
        </w:tblCellMar>
        <w:tblLook w:val="0000" w:firstRow="0" w:lastRow="0" w:firstColumn="0" w:lastColumn="0" w:noHBand="0" w:noVBand="0"/>
      </w:tblPr>
      <w:tblGrid>
        <w:gridCol w:w="459"/>
        <w:gridCol w:w="318"/>
        <w:gridCol w:w="140"/>
        <w:gridCol w:w="460"/>
        <w:gridCol w:w="160"/>
        <w:gridCol w:w="90"/>
        <w:gridCol w:w="210"/>
        <w:gridCol w:w="460"/>
        <w:gridCol w:w="322"/>
        <w:gridCol w:w="138"/>
        <w:gridCol w:w="22"/>
        <w:gridCol w:w="265"/>
        <w:gridCol w:w="75"/>
        <w:gridCol w:w="98"/>
        <w:gridCol w:w="22"/>
        <w:gridCol w:w="438"/>
        <w:gridCol w:w="22"/>
        <w:gridCol w:w="196"/>
        <w:gridCol w:w="216"/>
        <w:gridCol w:w="26"/>
        <w:gridCol w:w="460"/>
        <w:gridCol w:w="290"/>
        <w:gridCol w:w="170"/>
        <w:gridCol w:w="160"/>
        <w:gridCol w:w="152"/>
        <w:gridCol w:w="148"/>
        <w:gridCol w:w="12"/>
        <w:gridCol w:w="448"/>
        <w:gridCol w:w="12"/>
        <w:gridCol w:w="448"/>
        <w:gridCol w:w="12"/>
        <w:gridCol w:w="139"/>
        <w:gridCol w:w="75"/>
        <w:gridCol w:w="234"/>
        <w:gridCol w:w="460"/>
        <w:gridCol w:w="460"/>
        <w:gridCol w:w="163"/>
        <w:gridCol w:w="160"/>
        <w:gridCol w:w="137"/>
        <w:gridCol w:w="323"/>
        <w:gridCol w:w="137"/>
        <w:gridCol w:w="323"/>
        <w:gridCol w:w="460"/>
        <w:gridCol w:w="189"/>
        <w:gridCol w:w="129"/>
        <w:gridCol w:w="460"/>
        <w:gridCol w:w="460"/>
        <w:gridCol w:w="1114"/>
      </w:tblGrid>
      <w:tr w:rsidR="007A2121" w:rsidRPr="007A2121" w:rsidTr="004305D0">
        <w:trPr>
          <w:gridAfter w:val="4"/>
          <w:wAfter w:w="2163" w:type="dxa"/>
        </w:trPr>
        <w:tc>
          <w:tcPr>
            <w:tcW w:w="9709" w:type="dxa"/>
            <w:gridSpan w:val="44"/>
          </w:tcPr>
          <w:p w:rsidR="00B608DD" w:rsidRPr="007A2121" w:rsidRDefault="00DA0D34" w:rsidP="00CA6C24">
            <w:pPr>
              <w:pStyle w:val="Nadpis4"/>
              <w:rPr>
                <w:sz w:val="28"/>
                <w:szCs w:val="28"/>
              </w:rPr>
            </w:pPr>
            <w:r w:rsidRPr="007A2121">
              <w:br w:type="page"/>
            </w:r>
            <w:r w:rsidR="00B608DD" w:rsidRPr="007A2121">
              <w:rPr>
                <w:sz w:val="28"/>
                <w:szCs w:val="28"/>
              </w:rPr>
              <w:t>Kapitola 40 – Životní prostředí</w:t>
            </w:r>
            <w:r w:rsidR="001562C0" w:rsidRPr="007A2121">
              <w:rPr>
                <w:sz w:val="28"/>
                <w:szCs w:val="28"/>
              </w:rPr>
              <w:t xml:space="preserve"> </w:t>
            </w:r>
          </w:p>
        </w:tc>
      </w:tr>
      <w:tr w:rsidR="007A2121" w:rsidRPr="007A2121" w:rsidTr="004F50F4">
        <w:trPr>
          <w:gridAfter w:val="4"/>
          <w:wAfter w:w="2163" w:type="dxa"/>
        </w:trPr>
        <w:tc>
          <w:tcPr>
            <w:tcW w:w="459" w:type="dxa"/>
          </w:tcPr>
          <w:p w:rsidR="00B608DD" w:rsidRPr="007A2121" w:rsidRDefault="00B608DD" w:rsidP="00B608DD">
            <w:pPr>
              <w:rPr>
                <w:b/>
                <w:sz w:val="20"/>
                <w:szCs w:val="20"/>
              </w:rPr>
            </w:pPr>
          </w:p>
        </w:tc>
        <w:tc>
          <w:tcPr>
            <w:tcW w:w="458" w:type="dxa"/>
            <w:gridSpan w:val="2"/>
          </w:tcPr>
          <w:p w:rsidR="00B608DD" w:rsidRPr="007A2121" w:rsidRDefault="00B608DD" w:rsidP="00B608DD">
            <w:pPr>
              <w:rPr>
                <w:b/>
                <w:sz w:val="20"/>
                <w:szCs w:val="20"/>
              </w:rPr>
            </w:pPr>
          </w:p>
        </w:tc>
        <w:tc>
          <w:tcPr>
            <w:tcW w:w="460" w:type="dxa"/>
          </w:tcPr>
          <w:p w:rsidR="00B608DD" w:rsidRPr="007A2121" w:rsidRDefault="00B608DD" w:rsidP="00B608DD">
            <w:pPr>
              <w:rPr>
                <w:b/>
                <w:sz w:val="20"/>
                <w:szCs w:val="20"/>
              </w:rPr>
            </w:pPr>
          </w:p>
        </w:tc>
        <w:tc>
          <w:tcPr>
            <w:tcW w:w="460" w:type="dxa"/>
            <w:gridSpan w:val="3"/>
          </w:tcPr>
          <w:p w:rsidR="00B608DD" w:rsidRPr="007A2121" w:rsidRDefault="00B608DD" w:rsidP="00B608DD">
            <w:pPr>
              <w:rPr>
                <w:b/>
                <w:sz w:val="20"/>
                <w:szCs w:val="20"/>
              </w:rPr>
            </w:pPr>
          </w:p>
        </w:tc>
        <w:tc>
          <w:tcPr>
            <w:tcW w:w="460" w:type="dxa"/>
          </w:tcPr>
          <w:p w:rsidR="00B608DD" w:rsidRPr="007A2121" w:rsidRDefault="00B608DD" w:rsidP="00B608DD">
            <w:pPr>
              <w:rPr>
                <w:b/>
                <w:sz w:val="20"/>
                <w:szCs w:val="20"/>
              </w:rPr>
            </w:pPr>
          </w:p>
        </w:tc>
        <w:tc>
          <w:tcPr>
            <w:tcW w:w="460" w:type="dxa"/>
            <w:gridSpan w:val="2"/>
          </w:tcPr>
          <w:p w:rsidR="00B608DD" w:rsidRPr="007A2121" w:rsidRDefault="00B608DD" w:rsidP="00B608DD">
            <w:pPr>
              <w:rPr>
                <w:b/>
                <w:sz w:val="20"/>
                <w:szCs w:val="20"/>
              </w:rPr>
            </w:pPr>
          </w:p>
        </w:tc>
        <w:tc>
          <w:tcPr>
            <w:tcW w:w="460" w:type="dxa"/>
            <w:gridSpan w:val="4"/>
          </w:tcPr>
          <w:p w:rsidR="00B608DD" w:rsidRPr="007A2121" w:rsidRDefault="00B608DD" w:rsidP="00B608DD">
            <w:pPr>
              <w:rPr>
                <w:b/>
                <w:sz w:val="20"/>
                <w:szCs w:val="20"/>
              </w:rPr>
            </w:pPr>
          </w:p>
        </w:tc>
        <w:tc>
          <w:tcPr>
            <w:tcW w:w="460" w:type="dxa"/>
            <w:gridSpan w:val="2"/>
          </w:tcPr>
          <w:p w:rsidR="00B608DD" w:rsidRPr="007A2121" w:rsidRDefault="00B608DD" w:rsidP="00B608DD">
            <w:pPr>
              <w:rPr>
                <w:b/>
                <w:sz w:val="20"/>
                <w:szCs w:val="20"/>
              </w:rPr>
            </w:pPr>
          </w:p>
        </w:tc>
        <w:tc>
          <w:tcPr>
            <w:tcW w:w="460" w:type="dxa"/>
            <w:gridSpan w:val="4"/>
          </w:tcPr>
          <w:p w:rsidR="00B608DD" w:rsidRPr="007A2121" w:rsidRDefault="00B608DD" w:rsidP="00B608DD">
            <w:pPr>
              <w:rPr>
                <w:b/>
                <w:sz w:val="20"/>
                <w:szCs w:val="20"/>
              </w:rPr>
            </w:pPr>
          </w:p>
        </w:tc>
        <w:tc>
          <w:tcPr>
            <w:tcW w:w="460" w:type="dxa"/>
          </w:tcPr>
          <w:p w:rsidR="00B608DD" w:rsidRPr="007A2121" w:rsidRDefault="00B608DD" w:rsidP="00B608DD">
            <w:pPr>
              <w:rPr>
                <w:b/>
                <w:sz w:val="20"/>
                <w:szCs w:val="20"/>
              </w:rPr>
            </w:pPr>
          </w:p>
        </w:tc>
        <w:tc>
          <w:tcPr>
            <w:tcW w:w="460" w:type="dxa"/>
            <w:gridSpan w:val="2"/>
          </w:tcPr>
          <w:p w:rsidR="00B608DD" w:rsidRPr="007A2121" w:rsidRDefault="00B608DD" w:rsidP="00B608DD">
            <w:pPr>
              <w:rPr>
                <w:b/>
                <w:sz w:val="20"/>
                <w:szCs w:val="20"/>
              </w:rPr>
            </w:pPr>
          </w:p>
        </w:tc>
        <w:tc>
          <w:tcPr>
            <w:tcW w:w="460" w:type="dxa"/>
            <w:gridSpan w:val="3"/>
          </w:tcPr>
          <w:p w:rsidR="00B608DD" w:rsidRPr="007A2121" w:rsidRDefault="00B608DD" w:rsidP="00B608DD">
            <w:pPr>
              <w:rPr>
                <w:b/>
                <w:sz w:val="20"/>
                <w:szCs w:val="20"/>
              </w:rPr>
            </w:pPr>
          </w:p>
        </w:tc>
        <w:tc>
          <w:tcPr>
            <w:tcW w:w="460" w:type="dxa"/>
            <w:gridSpan w:val="2"/>
          </w:tcPr>
          <w:p w:rsidR="00B608DD" w:rsidRPr="007A2121" w:rsidRDefault="00B608DD" w:rsidP="00B608DD">
            <w:pPr>
              <w:rPr>
                <w:b/>
                <w:sz w:val="20"/>
                <w:szCs w:val="20"/>
              </w:rPr>
            </w:pPr>
          </w:p>
        </w:tc>
        <w:tc>
          <w:tcPr>
            <w:tcW w:w="460" w:type="dxa"/>
            <w:gridSpan w:val="2"/>
          </w:tcPr>
          <w:p w:rsidR="00B608DD" w:rsidRPr="007A2121" w:rsidRDefault="00B608DD" w:rsidP="00B608DD">
            <w:pPr>
              <w:rPr>
                <w:b/>
                <w:sz w:val="20"/>
                <w:szCs w:val="20"/>
              </w:rPr>
            </w:pPr>
          </w:p>
        </w:tc>
        <w:tc>
          <w:tcPr>
            <w:tcW w:w="460" w:type="dxa"/>
            <w:gridSpan w:val="4"/>
          </w:tcPr>
          <w:p w:rsidR="00B608DD" w:rsidRPr="007A2121" w:rsidRDefault="00B608DD" w:rsidP="00B608DD">
            <w:pPr>
              <w:rPr>
                <w:b/>
                <w:sz w:val="20"/>
                <w:szCs w:val="20"/>
              </w:rPr>
            </w:pPr>
          </w:p>
        </w:tc>
        <w:tc>
          <w:tcPr>
            <w:tcW w:w="460" w:type="dxa"/>
          </w:tcPr>
          <w:p w:rsidR="00B608DD" w:rsidRPr="007A2121" w:rsidRDefault="00B608DD" w:rsidP="00B608DD">
            <w:pPr>
              <w:rPr>
                <w:b/>
                <w:sz w:val="20"/>
                <w:szCs w:val="20"/>
              </w:rPr>
            </w:pPr>
          </w:p>
        </w:tc>
        <w:tc>
          <w:tcPr>
            <w:tcW w:w="460" w:type="dxa"/>
          </w:tcPr>
          <w:p w:rsidR="00B608DD" w:rsidRPr="007A2121" w:rsidRDefault="00B608DD" w:rsidP="00B608DD">
            <w:pPr>
              <w:rPr>
                <w:b/>
                <w:sz w:val="20"/>
                <w:szCs w:val="20"/>
              </w:rPr>
            </w:pPr>
          </w:p>
        </w:tc>
        <w:tc>
          <w:tcPr>
            <w:tcW w:w="460" w:type="dxa"/>
            <w:gridSpan w:val="3"/>
          </w:tcPr>
          <w:p w:rsidR="00B608DD" w:rsidRPr="007A2121" w:rsidRDefault="00B608DD" w:rsidP="00B608DD">
            <w:pPr>
              <w:rPr>
                <w:b/>
                <w:sz w:val="20"/>
                <w:szCs w:val="20"/>
              </w:rPr>
            </w:pPr>
          </w:p>
        </w:tc>
        <w:tc>
          <w:tcPr>
            <w:tcW w:w="460" w:type="dxa"/>
            <w:gridSpan w:val="2"/>
          </w:tcPr>
          <w:p w:rsidR="00B608DD" w:rsidRPr="007A2121" w:rsidRDefault="00B608DD" w:rsidP="00B608DD">
            <w:pPr>
              <w:rPr>
                <w:b/>
                <w:sz w:val="20"/>
                <w:szCs w:val="20"/>
              </w:rPr>
            </w:pPr>
          </w:p>
        </w:tc>
        <w:tc>
          <w:tcPr>
            <w:tcW w:w="972" w:type="dxa"/>
            <w:gridSpan w:val="3"/>
          </w:tcPr>
          <w:p w:rsidR="00B608DD" w:rsidRPr="007A2121" w:rsidRDefault="00B608DD" w:rsidP="00B608DD">
            <w:pPr>
              <w:rPr>
                <w:b/>
                <w:sz w:val="20"/>
                <w:szCs w:val="20"/>
              </w:rPr>
            </w:pPr>
          </w:p>
        </w:tc>
      </w:tr>
      <w:tr w:rsidR="007A2121" w:rsidRPr="007A2121" w:rsidTr="004305D0">
        <w:trPr>
          <w:gridAfter w:val="4"/>
          <w:wAfter w:w="2163" w:type="dxa"/>
        </w:trPr>
        <w:tc>
          <w:tcPr>
            <w:tcW w:w="9709" w:type="dxa"/>
            <w:gridSpan w:val="44"/>
            <w:shd w:val="clear" w:color="auto" w:fill="F79646"/>
          </w:tcPr>
          <w:p w:rsidR="00B608DD" w:rsidRPr="007A2121" w:rsidRDefault="00B608DD" w:rsidP="00B608DD">
            <w:pPr>
              <w:rPr>
                <w:rFonts w:ascii="Calibri" w:hAnsi="Calibri" w:cs="Calibri"/>
                <w:b/>
                <w:sz w:val="20"/>
                <w:szCs w:val="20"/>
                <w:u w:val="single"/>
              </w:rPr>
            </w:pPr>
            <w:r w:rsidRPr="007A2121">
              <w:rPr>
                <w:rFonts w:ascii="Calibri" w:hAnsi="Calibri" w:cs="Calibri"/>
                <w:b/>
                <w:sz w:val="20"/>
                <w:szCs w:val="20"/>
                <w:u w:val="single"/>
              </w:rPr>
              <w:t>Rozbor plnění příjmů rozpočtu kapitoly</w:t>
            </w:r>
          </w:p>
        </w:tc>
      </w:tr>
      <w:tr w:rsidR="007A2121" w:rsidRPr="007A2121" w:rsidTr="004F50F4">
        <w:tc>
          <w:tcPr>
            <w:tcW w:w="459" w:type="dxa"/>
          </w:tcPr>
          <w:p w:rsidR="00B608DD" w:rsidRPr="007A2121" w:rsidRDefault="00B608DD" w:rsidP="00B608DD">
            <w:pPr>
              <w:rPr>
                <w:b/>
                <w:sz w:val="20"/>
                <w:szCs w:val="20"/>
              </w:rPr>
            </w:pPr>
          </w:p>
        </w:tc>
        <w:tc>
          <w:tcPr>
            <w:tcW w:w="458" w:type="dxa"/>
            <w:gridSpan w:val="2"/>
          </w:tcPr>
          <w:p w:rsidR="00B608DD" w:rsidRPr="007A2121" w:rsidRDefault="00B608DD" w:rsidP="00B608DD">
            <w:pPr>
              <w:rPr>
                <w:b/>
                <w:sz w:val="20"/>
                <w:szCs w:val="20"/>
              </w:rPr>
            </w:pPr>
          </w:p>
        </w:tc>
        <w:tc>
          <w:tcPr>
            <w:tcW w:w="460" w:type="dxa"/>
          </w:tcPr>
          <w:p w:rsidR="00B608DD" w:rsidRPr="007A2121" w:rsidRDefault="00B608DD" w:rsidP="00B608DD">
            <w:pPr>
              <w:rPr>
                <w:b/>
                <w:sz w:val="20"/>
                <w:szCs w:val="20"/>
              </w:rPr>
            </w:pPr>
          </w:p>
        </w:tc>
        <w:tc>
          <w:tcPr>
            <w:tcW w:w="1242" w:type="dxa"/>
            <w:gridSpan w:val="5"/>
          </w:tcPr>
          <w:p w:rsidR="00B608DD" w:rsidRPr="007A2121" w:rsidRDefault="00B608DD" w:rsidP="00B608DD">
            <w:pPr>
              <w:rPr>
                <w:b/>
                <w:sz w:val="20"/>
                <w:szCs w:val="20"/>
              </w:rPr>
            </w:pPr>
          </w:p>
        </w:tc>
        <w:tc>
          <w:tcPr>
            <w:tcW w:w="160" w:type="dxa"/>
            <w:gridSpan w:val="2"/>
          </w:tcPr>
          <w:p w:rsidR="00B608DD" w:rsidRPr="007A2121" w:rsidRDefault="00B608DD" w:rsidP="00B608DD">
            <w:pPr>
              <w:rPr>
                <w:b/>
                <w:sz w:val="20"/>
                <w:szCs w:val="20"/>
              </w:rPr>
            </w:pPr>
          </w:p>
        </w:tc>
        <w:tc>
          <w:tcPr>
            <w:tcW w:w="460" w:type="dxa"/>
            <w:gridSpan w:val="4"/>
          </w:tcPr>
          <w:p w:rsidR="00B608DD" w:rsidRPr="007A2121" w:rsidRDefault="00B608DD" w:rsidP="00B608DD">
            <w:pPr>
              <w:rPr>
                <w:b/>
                <w:sz w:val="20"/>
                <w:szCs w:val="20"/>
              </w:rPr>
            </w:pPr>
          </w:p>
        </w:tc>
        <w:tc>
          <w:tcPr>
            <w:tcW w:w="460" w:type="dxa"/>
            <w:gridSpan w:val="2"/>
          </w:tcPr>
          <w:p w:rsidR="00B608DD" w:rsidRPr="007A2121" w:rsidRDefault="00B608DD" w:rsidP="00B608DD">
            <w:pPr>
              <w:rPr>
                <w:b/>
                <w:sz w:val="20"/>
                <w:szCs w:val="20"/>
              </w:rPr>
            </w:pPr>
          </w:p>
        </w:tc>
        <w:tc>
          <w:tcPr>
            <w:tcW w:w="1670" w:type="dxa"/>
            <w:gridSpan w:val="8"/>
          </w:tcPr>
          <w:p w:rsidR="00B608DD" w:rsidRPr="007A2121" w:rsidRDefault="00B608DD" w:rsidP="00B608DD">
            <w:pPr>
              <w:rPr>
                <w:b/>
                <w:sz w:val="20"/>
                <w:szCs w:val="20"/>
              </w:rPr>
            </w:pPr>
          </w:p>
        </w:tc>
        <w:tc>
          <w:tcPr>
            <w:tcW w:w="160" w:type="dxa"/>
            <w:gridSpan w:val="2"/>
          </w:tcPr>
          <w:p w:rsidR="00B608DD" w:rsidRPr="007A2121" w:rsidRDefault="00B608DD" w:rsidP="00B608DD">
            <w:pPr>
              <w:rPr>
                <w:b/>
                <w:sz w:val="20"/>
                <w:szCs w:val="20"/>
              </w:rPr>
            </w:pPr>
          </w:p>
        </w:tc>
        <w:tc>
          <w:tcPr>
            <w:tcW w:w="460" w:type="dxa"/>
            <w:gridSpan w:val="2"/>
          </w:tcPr>
          <w:p w:rsidR="00B608DD" w:rsidRPr="007A2121" w:rsidRDefault="00B608DD" w:rsidP="00B608DD">
            <w:pPr>
              <w:rPr>
                <w:b/>
                <w:sz w:val="20"/>
                <w:szCs w:val="20"/>
              </w:rPr>
            </w:pPr>
          </w:p>
        </w:tc>
        <w:tc>
          <w:tcPr>
            <w:tcW w:w="460" w:type="dxa"/>
            <w:gridSpan w:val="2"/>
          </w:tcPr>
          <w:p w:rsidR="00B608DD" w:rsidRPr="007A2121" w:rsidRDefault="00B608DD" w:rsidP="00B608DD">
            <w:pPr>
              <w:rPr>
                <w:b/>
                <w:sz w:val="20"/>
                <w:szCs w:val="20"/>
              </w:rPr>
            </w:pPr>
          </w:p>
        </w:tc>
        <w:tc>
          <w:tcPr>
            <w:tcW w:w="1531" w:type="dxa"/>
            <w:gridSpan w:val="6"/>
          </w:tcPr>
          <w:p w:rsidR="00B608DD" w:rsidRPr="007A2121" w:rsidRDefault="00B608DD" w:rsidP="00B608DD">
            <w:pPr>
              <w:rPr>
                <w:b/>
                <w:sz w:val="20"/>
                <w:szCs w:val="20"/>
              </w:rPr>
            </w:pPr>
          </w:p>
        </w:tc>
        <w:tc>
          <w:tcPr>
            <w:tcW w:w="160" w:type="dxa"/>
          </w:tcPr>
          <w:p w:rsidR="00B608DD" w:rsidRPr="007A2121" w:rsidRDefault="00B608DD" w:rsidP="00B608DD">
            <w:pPr>
              <w:rPr>
                <w:b/>
                <w:sz w:val="20"/>
                <w:szCs w:val="20"/>
              </w:rPr>
            </w:pPr>
          </w:p>
        </w:tc>
        <w:tc>
          <w:tcPr>
            <w:tcW w:w="460" w:type="dxa"/>
            <w:gridSpan w:val="2"/>
          </w:tcPr>
          <w:p w:rsidR="00B608DD" w:rsidRPr="007A2121" w:rsidRDefault="00B608DD" w:rsidP="00B608DD">
            <w:pPr>
              <w:rPr>
                <w:b/>
                <w:sz w:val="20"/>
                <w:szCs w:val="20"/>
              </w:rPr>
            </w:pPr>
          </w:p>
        </w:tc>
        <w:tc>
          <w:tcPr>
            <w:tcW w:w="460" w:type="dxa"/>
            <w:gridSpan w:val="2"/>
          </w:tcPr>
          <w:p w:rsidR="00B608DD" w:rsidRPr="007A2121" w:rsidRDefault="00B608DD" w:rsidP="00B608DD">
            <w:pPr>
              <w:rPr>
                <w:b/>
                <w:sz w:val="20"/>
                <w:szCs w:val="20"/>
              </w:rPr>
            </w:pPr>
          </w:p>
        </w:tc>
        <w:tc>
          <w:tcPr>
            <w:tcW w:w="460" w:type="dxa"/>
          </w:tcPr>
          <w:p w:rsidR="00B608DD" w:rsidRPr="007A2121" w:rsidRDefault="00B608DD" w:rsidP="00B608DD">
            <w:pPr>
              <w:rPr>
                <w:b/>
                <w:sz w:val="20"/>
                <w:szCs w:val="20"/>
              </w:rPr>
            </w:pPr>
          </w:p>
        </w:tc>
        <w:tc>
          <w:tcPr>
            <w:tcW w:w="318" w:type="dxa"/>
            <w:gridSpan w:val="2"/>
          </w:tcPr>
          <w:p w:rsidR="00B608DD" w:rsidRPr="007A2121" w:rsidRDefault="00B608DD" w:rsidP="00B608DD">
            <w:pPr>
              <w:rPr>
                <w:b/>
                <w:sz w:val="20"/>
                <w:szCs w:val="20"/>
              </w:rPr>
            </w:pPr>
          </w:p>
        </w:tc>
        <w:tc>
          <w:tcPr>
            <w:tcW w:w="460" w:type="dxa"/>
          </w:tcPr>
          <w:p w:rsidR="00B608DD" w:rsidRPr="007A2121" w:rsidRDefault="00B608DD" w:rsidP="00B608DD">
            <w:pPr>
              <w:rPr>
                <w:b/>
                <w:sz w:val="20"/>
                <w:szCs w:val="20"/>
              </w:rPr>
            </w:pPr>
          </w:p>
        </w:tc>
        <w:tc>
          <w:tcPr>
            <w:tcW w:w="460" w:type="dxa"/>
          </w:tcPr>
          <w:p w:rsidR="00B608DD" w:rsidRPr="007A2121" w:rsidRDefault="00B608DD" w:rsidP="00B608DD">
            <w:pPr>
              <w:rPr>
                <w:b/>
                <w:sz w:val="20"/>
                <w:szCs w:val="20"/>
              </w:rPr>
            </w:pPr>
          </w:p>
        </w:tc>
        <w:tc>
          <w:tcPr>
            <w:tcW w:w="1114" w:type="dxa"/>
          </w:tcPr>
          <w:p w:rsidR="00B608DD" w:rsidRPr="007A2121" w:rsidRDefault="00B608DD" w:rsidP="00B608DD">
            <w:pPr>
              <w:rPr>
                <w:b/>
                <w:sz w:val="20"/>
                <w:szCs w:val="20"/>
              </w:rPr>
            </w:pPr>
          </w:p>
        </w:tc>
      </w:tr>
      <w:tr w:rsidR="007A2121" w:rsidRPr="007A2121" w:rsidTr="004F50F4">
        <w:trPr>
          <w:gridAfter w:val="4"/>
          <w:wAfter w:w="2163" w:type="dxa"/>
        </w:trPr>
        <w:tc>
          <w:tcPr>
            <w:tcW w:w="2619" w:type="dxa"/>
            <w:gridSpan w:val="9"/>
            <w:tcBorders>
              <w:top w:val="single" w:sz="4" w:space="0" w:color="auto"/>
              <w:left w:val="single" w:sz="4" w:space="0" w:color="auto"/>
              <w:bottom w:val="single" w:sz="4" w:space="0" w:color="auto"/>
              <w:right w:val="single" w:sz="4" w:space="0" w:color="auto"/>
            </w:tcBorders>
            <w:shd w:val="clear" w:color="auto" w:fill="FFFF00"/>
          </w:tcPr>
          <w:p w:rsidR="00B608DD" w:rsidRPr="007A2121" w:rsidRDefault="00B608DD" w:rsidP="00B608DD">
            <w:pPr>
              <w:jc w:val="center"/>
              <w:rPr>
                <w:rFonts w:ascii="Calibri" w:hAnsi="Calibri" w:cs="Calibri"/>
                <w:b/>
                <w:sz w:val="18"/>
                <w:szCs w:val="18"/>
              </w:rPr>
            </w:pPr>
            <w:r w:rsidRPr="007A2121">
              <w:rPr>
                <w:rFonts w:ascii="Calibri" w:hAnsi="Calibri" w:cs="Calibri"/>
                <w:b/>
                <w:sz w:val="18"/>
                <w:szCs w:val="18"/>
              </w:rPr>
              <w:t>Rozpočet upravený v tis. Kč</w:t>
            </w:r>
          </w:p>
        </w:tc>
        <w:tc>
          <w:tcPr>
            <w:tcW w:w="2268" w:type="dxa"/>
            <w:gridSpan w:val="13"/>
            <w:tcBorders>
              <w:top w:val="single" w:sz="4" w:space="0" w:color="auto"/>
              <w:left w:val="single" w:sz="4" w:space="0" w:color="auto"/>
              <w:bottom w:val="single" w:sz="4" w:space="0" w:color="auto"/>
              <w:right w:val="single" w:sz="4" w:space="0" w:color="auto"/>
            </w:tcBorders>
            <w:shd w:val="clear" w:color="auto" w:fill="FFFF00"/>
          </w:tcPr>
          <w:p w:rsidR="00B608DD" w:rsidRPr="007A2121" w:rsidRDefault="00B608DD" w:rsidP="00B608DD">
            <w:pPr>
              <w:jc w:val="center"/>
              <w:rPr>
                <w:rFonts w:ascii="Calibri" w:hAnsi="Calibri" w:cs="Calibri"/>
                <w:b/>
                <w:sz w:val="18"/>
                <w:szCs w:val="18"/>
              </w:rPr>
            </w:pPr>
            <w:r w:rsidRPr="007A2121">
              <w:rPr>
                <w:rFonts w:ascii="Calibri" w:hAnsi="Calibri" w:cs="Calibri"/>
                <w:b/>
                <w:sz w:val="18"/>
                <w:szCs w:val="18"/>
              </w:rPr>
              <w:t>Skutečnost v tis. Kč</w:t>
            </w:r>
          </w:p>
        </w:tc>
        <w:tc>
          <w:tcPr>
            <w:tcW w:w="1701" w:type="dxa"/>
            <w:gridSpan w:val="10"/>
            <w:tcBorders>
              <w:top w:val="single" w:sz="4" w:space="0" w:color="auto"/>
              <w:left w:val="single" w:sz="4" w:space="0" w:color="auto"/>
              <w:bottom w:val="single" w:sz="4" w:space="0" w:color="auto"/>
              <w:right w:val="single" w:sz="4" w:space="0" w:color="auto"/>
            </w:tcBorders>
            <w:shd w:val="clear" w:color="auto" w:fill="FFFF00"/>
          </w:tcPr>
          <w:p w:rsidR="00B608DD" w:rsidRPr="007A2121" w:rsidRDefault="00B608DD" w:rsidP="00B608DD">
            <w:pPr>
              <w:jc w:val="center"/>
              <w:rPr>
                <w:rFonts w:ascii="Calibri" w:hAnsi="Calibri" w:cs="Calibri"/>
                <w:b/>
                <w:sz w:val="18"/>
                <w:szCs w:val="18"/>
              </w:rPr>
            </w:pPr>
            <w:r w:rsidRPr="007A2121">
              <w:rPr>
                <w:rFonts w:ascii="Calibri" w:hAnsi="Calibri" w:cs="Calibri"/>
                <w:b/>
                <w:sz w:val="18"/>
                <w:szCs w:val="18"/>
              </w:rPr>
              <w:t>SK/RU v %</w:t>
            </w:r>
          </w:p>
        </w:tc>
        <w:tc>
          <w:tcPr>
            <w:tcW w:w="3121" w:type="dxa"/>
            <w:gridSpan w:val="12"/>
            <w:tcBorders>
              <w:top w:val="single" w:sz="4" w:space="0" w:color="auto"/>
              <w:left w:val="single" w:sz="4" w:space="0" w:color="auto"/>
              <w:bottom w:val="single" w:sz="4" w:space="0" w:color="auto"/>
              <w:right w:val="single" w:sz="4" w:space="0" w:color="auto"/>
            </w:tcBorders>
            <w:shd w:val="clear" w:color="auto" w:fill="FFFF00"/>
          </w:tcPr>
          <w:p w:rsidR="00B608DD" w:rsidRPr="007A2121" w:rsidRDefault="00B608DD" w:rsidP="00B608DD">
            <w:pPr>
              <w:jc w:val="center"/>
              <w:rPr>
                <w:rFonts w:ascii="Calibri" w:hAnsi="Calibri" w:cs="Calibri"/>
                <w:b/>
                <w:sz w:val="18"/>
                <w:szCs w:val="18"/>
              </w:rPr>
            </w:pPr>
            <w:r w:rsidRPr="007A2121">
              <w:rPr>
                <w:rFonts w:ascii="Calibri" w:hAnsi="Calibri" w:cs="Calibri"/>
                <w:b/>
                <w:sz w:val="18"/>
                <w:szCs w:val="18"/>
              </w:rPr>
              <w:t>Komentář</w:t>
            </w:r>
          </w:p>
        </w:tc>
      </w:tr>
      <w:tr w:rsidR="007A2121" w:rsidRPr="007A2121" w:rsidTr="004F50F4">
        <w:trPr>
          <w:gridAfter w:val="4"/>
          <w:wAfter w:w="2163" w:type="dxa"/>
        </w:trPr>
        <w:tc>
          <w:tcPr>
            <w:tcW w:w="2619" w:type="dxa"/>
            <w:gridSpan w:val="9"/>
            <w:tcBorders>
              <w:top w:val="single" w:sz="4" w:space="0" w:color="auto"/>
              <w:left w:val="single" w:sz="4" w:space="0" w:color="auto"/>
              <w:bottom w:val="single" w:sz="4" w:space="0" w:color="auto"/>
              <w:right w:val="single" w:sz="4" w:space="0" w:color="auto"/>
            </w:tcBorders>
            <w:vAlign w:val="center"/>
          </w:tcPr>
          <w:p w:rsidR="007A2121" w:rsidRPr="007A2121" w:rsidRDefault="001E4928" w:rsidP="007A2121">
            <w:pPr>
              <w:jc w:val="right"/>
              <w:rPr>
                <w:rFonts w:ascii="Calibri" w:hAnsi="Calibri" w:cs="Calibri"/>
                <w:b/>
                <w:sz w:val="18"/>
                <w:szCs w:val="18"/>
              </w:rPr>
            </w:pPr>
            <w:r>
              <w:rPr>
                <w:rFonts w:ascii="Calibri" w:hAnsi="Calibri" w:cs="Calibri"/>
                <w:b/>
                <w:sz w:val="18"/>
                <w:szCs w:val="18"/>
              </w:rPr>
              <w:t>2 568,60</w:t>
            </w:r>
          </w:p>
        </w:tc>
        <w:tc>
          <w:tcPr>
            <w:tcW w:w="2268" w:type="dxa"/>
            <w:gridSpan w:val="13"/>
            <w:tcBorders>
              <w:top w:val="single" w:sz="4" w:space="0" w:color="auto"/>
              <w:left w:val="single" w:sz="4" w:space="0" w:color="auto"/>
              <w:bottom w:val="single" w:sz="4" w:space="0" w:color="auto"/>
              <w:right w:val="single" w:sz="4" w:space="0" w:color="auto"/>
            </w:tcBorders>
            <w:vAlign w:val="center"/>
          </w:tcPr>
          <w:p w:rsidR="007A2121" w:rsidRPr="007A2121" w:rsidRDefault="001E4928" w:rsidP="00D9398C">
            <w:pPr>
              <w:jc w:val="right"/>
              <w:rPr>
                <w:rFonts w:ascii="Calibri" w:hAnsi="Calibri" w:cs="Calibri"/>
                <w:b/>
                <w:sz w:val="18"/>
                <w:szCs w:val="18"/>
              </w:rPr>
            </w:pPr>
            <w:r>
              <w:rPr>
                <w:rFonts w:ascii="Calibri" w:hAnsi="Calibri" w:cs="Calibri"/>
                <w:b/>
                <w:sz w:val="18"/>
                <w:szCs w:val="18"/>
              </w:rPr>
              <w:t>2 166,78</w:t>
            </w:r>
          </w:p>
        </w:tc>
        <w:tc>
          <w:tcPr>
            <w:tcW w:w="1701" w:type="dxa"/>
            <w:gridSpan w:val="10"/>
            <w:tcBorders>
              <w:top w:val="single" w:sz="4" w:space="0" w:color="auto"/>
              <w:left w:val="single" w:sz="4" w:space="0" w:color="auto"/>
              <w:bottom w:val="single" w:sz="4" w:space="0" w:color="auto"/>
              <w:right w:val="single" w:sz="4" w:space="0" w:color="auto"/>
            </w:tcBorders>
            <w:vAlign w:val="center"/>
          </w:tcPr>
          <w:p w:rsidR="007A2121" w:rsidRPr="007A2121" w:rsidRDefault="001E4928" w:rsidP="0031470B">
            <w:pPr>
              <w:jc w:val="center"/>
              <w:rPr>
                <w:rFonts w:ascii="Calibri" w:hAnsi="Calibri" w:cs="Calibri"/>
                <w:b/>
                <w:sz w:val="18"/>
                <w:szCs w:val="18"/>
              </w:rPr>
            </w:pPr>
            <w:r>
              <w:rPr>
                <w:rFonts w:ascii="Calibri" w:hAnsi="Calibri" w:cs="Calibri"/>
                <w:b/>
                <w:sz w:val="18"/>
                <w:szCs w:val="18"/>
              </w:rPr>
              <w:t>84,36</w:t>
            </w:r>
          </w:p>
        </w:tc>
        <w:tc>
          <w:tcPr>
            <w:tcW w:w="3121" w:type="dxa"/>
            <w:gridSpan w:val="12"/>
            <w:tcBorders>
              <w:top w:val="single" w:sz="4" w:space="0" w:color="auto"/>
              <w:left w:val="single" w:sz="4" w:space="0" w:color="auto"/>
              <w:bottom w:val="single" w:sz="4" w:space="0" w:color="auto"/>
              <w:right w:val="single" w:sz="4" w:space="0" w:color="auto"/>
            </w:tcBorders>
          </w:tcPr>
          <w:p w:rsidR="007A2121" w:rsidRPr="007A2121" w:rsidRDefault="007A2121" w:rsidP="007A2121">
            <w:pPr>
              <w:rPr>
                <w:rFonts w:ascii="Calibri" w:hAnsi="Calibri" w:cs="Calibri"/>
                <w:b/>
                <w:sz w:val="18"/>
                <w:szCs w:val="18"/>
              </w:rPr>
            </w:pPr>
            <w:r w:rsidRPr="007A2121">
              <w:rPr>
                <w:rFonts w:ascii="Calibri" w:hAnsi="Calibri" w:cs="Calibri"/>
                <w:b/>
                <w:sz w:val="18"/>
                <w:szCs w:val="18"/>
              </w:rPr>
              <w:t>Příjmy před konsolidací</w:t>
            </w:r>
          </w:p>
        </w:tc>
      </w:tr>
      <w:tr w:rsidR="009C4E73" w:rsidRPr="007A2121" w:rsidTr="004F50F4">
        <w:trPr>
          <w:gridAfter w:val="4"/>
          <w:wAfter w:w="2163" w:type="dxa"/>
        </w:trPr>
        <w:tc>
          <w:tcPr>
            <w:tcW w:w="2619" w:type="dxa"/>
            <w:gridSpan w:val="9"/>
            <w:tcBorders>
              <w:top w:val="single" w:sz="4" w:space="0" w:color="auto"/>
              <w:left w:val="single" w:sz="4" w:space="0" w:color="auto"/>
              <w:bottom w:val="single" w:sz="4" w:space="0" w:color="auto"/>
              <w:right w:val="single" w:sz="4" w:space="0" w:color="auto"/>
            </w:tcBorders>
            <w:vAlign w:val="center"/>
          </w:tcPr>
          <w:p w:rsidR="009C4E73" w:rsidRPr="007A2121" w:rsidRDefault="001E4928" w:rsidP="009C4E73">
            <w:pPr>
              <w:jc w:val="right"/>
              <w:rPr>
                <w:rFonts w:ascii="Calibri" w:hAnsi="Calibri" w:cs="Calibri"/>
                <w:b/>
                <w:sz w:val="18"/>
                <w:szCs w:val="18"/>
              </w:rPr>
            </w:pPr>
            <w:r>
              <w:rPr>
                <w:rFonts w:ascii="Calibri" w:hAnsi="Calibri" w:cs="Calibri"/>
                <w:b/>
                <w:sz w:val="18"/>
                <w:szCs w:val="18"/>
              </w:rPr>
              <w:t>2 568,60</w:t>
            </w:r>
          </w:p>
        </w:tc>
        <w:tc>
          <w:tcPr>
            <w:tcW w:w="2268" w:type="dxa"/>
            <w:gridSpan w:val="13"/>
            <w:tcBorders>
              <w:top w:val="single" w:sz="4" w:space="0" w:color="auto"/>
              <w:left w:val="single" w:sz="4" w:space="0" w:color="auto"/>
              <w:bottom w:val="single" w:sz="4" w:space="0" w:color="auto"/>
              <w:right w:val="single" w:sz="4" w:space="0" w:color="auto"/>
            </w:tcBorders>
            <w:vAlign w:val="center"/>
          </w:tcPr>
          <w:p w:rsidR="009C4E73" w:rsidRPr="007A2121" w:rsidRDefault="001E4928" w:rsidP="009C4E73">
            <w:pPr>
              <w:jc w:val="right"/>
              <w:rPr>
                <w:rFonts w:ascii="Calibri" w:hAnsi="Calibri" w:cs="Calibri"/>
                <w:b/>
                <w:sz w:val="18"/>
                <w:szCs w:val="18"/>
              </w:rPr>
            </w:pPr>
            <w:r>
              <w:rPr>
                <w:rFonts w:ascii="Calibri" w:hAnsi="Calibri" w:cs="Calibri"/>
                <w:b/>
                <w:sz w:val="18"/>
                <w:szCs w:val="18"/>
              </w:rPr>
              <w:t>2 166,78</w:t>
            </w:r>
          </w:p>
        </w:tc>
        <w:tc>
          <w:tcPr>
            <w:tcW w:w="1701" w:type="dxa"/>
            <w:gridSpan w:val="10"/>
            <w:tcBorders>
              <w:top w:val="single" w:sz="4" w:space="0" w:color="auto"/>
              <w:left w:val="single" w:sz="4" w:space="0" w:color="auto"/>
              <w:bottom w:val="single" w:sz="4" w:space="0" w:color="auto"/>
              <w:right w:val="single" w:sz="4" w:space="0" w:color="auto"/>
            </w:tcBorders>
            <w:vAlign w:val="center"/>
          </w:tcPr>
          <w:p w:rsidR="009C4E73" w:rsidRPr="007A2121" w:rsidRDefault="001E4928" w:rsidP="0031470B">
            <w:pPr>
              <w:jc w:val="center"/>
              <w:rPr>
                <w:rFonts w:ascii="Calibri" w:hAnsi="Calibri" w:cs="Calibri"/>
                <w:b/>
                <w:sz w:val="18"/>
                <w:szCs w:val="18"/>
              </w:rPr>
            </w:pPr>
            <w:r>
              <w:rPr>
                <w:rFonts w:ascii="Calibri" w:hAnsi="Calibri" w:cs="Calibri"/>
                <w:b/>
                <w:sz w:val="18"/>
                <w:szCs w:val="18"/>
              </w:rPr>
              <w:t>84,36</w:t>
            </w:r>
          </w:p>
        </w:tc>
        <w:tc>
          <w:tcPr>
            <w:tcW w:w="3121" w:type="dxa"/>
            <w:gridSpan w:val="12"/>
            <w:tcBorders>
              <w:top w:val="single" w:sz="4" w:space="0" w:color="auto"/>
              <w:left w:val="single" w:sz="4" w:space="0" w:color="auto"/>
              <w:bottom w:val="single" w:sz="4" w:space="0" w:color="auto"/>
              <w:right w:val="single" w:sz="4" w:space="0" w:color="auto"/>
            </w:tcBorders>
          </w:tcPr>
          <w:p w:rsidR="009C4E73" w:rsidRPr="007A2121" w:rsidRDefault="009C4E73" w:rsidP="009C4E73">
            <w:pPr>
              <w:rPr>
                <w:rFonts w:ascii="Calibri" w:hAnsi="Calibri" w:cs="Calibri"/>
                <w:b/>
                <w:sz w:val="18"/>
                <w:szCs w:val="18"/>
              </w:rPr>
            </w:pPr>
            <w:r w:rsidRPr="007A2121">
              <w:rPr>
                <w:rFonts w:ascii="Calibri" w:hAnsi="Calibri" w:cs="Calibri"/>
                <w:b/>
                <w:sz w:val="18"/>
                <w:szCs w:val="18"/>
              </w:rPr>
              <w:t>Příjmy po konsolidaci</w:t>
            </w:r>
          </w:p>
        </w:tc>
      </w:tr>
      <w:tr w:rsidR="007A2121" w:rsidRPr="007A2121" w:rsidTr="004F50F4">
        <w:tc>
          <w:tcPr>
            <w:tcW w:w="459" w:type="dxa"/>
          </w:tcPr>
          <w:p w:rsidR="00BA0C21" w:rsidRPr="007A2121" w:rsidRDefault="00BA0C21" w:rsidP="00BA0C21">
            <w:pPr>
              <w:rPr>
                <w:rFonts w:ascii="Calibri" w:hAnsi="Calibri" w:cs="Calibri"/>
                <w:b/>
                <w:sz w:val="18"/>
                <w:szCs w:val="18"/>
              </w:rPr>
            </w:pPr>
          </w:p>
        </w:tc>
        <w:tc>
          <w:tcPr>
            <w:tcW w:w="458" w:type="dxa"/>
            <w:gridSpan w:val="2"/>
          </w:tcPr>
          <w:p w:rsidR="00BA0C21" w:rsidRPr="007A2121" w:rsidRDefault="00BA0C21" w:rsidP="00BA0C21">
            <w:pPr>
              <w:rPr>
                <w:rFonts w:ascii="Calibri" w:hAnsi="Calibri" w:cs="Calibri"/>
                <w:b/>
                <w:sz w:val="18"/>
                <w:szCs w:val="18"/>
              </w:rPr>
            </w:pPr>
          </w:p>
        </w:tc>
        <w:tc>
          <w:tcPr>
            <w:tcW w:w="460" w:type="dxa"/>
          </w:tcPr>
          <w:p w:rsidR="00BA0C21" w:rsidRPr="007A2121" w:rsidRDefault="00BA0C21" w:rsidP="00BA0C21">
            <w:pPr>
              <w:rPr>
                <w:rFonts w:ascii="Calibri" w:hAnsi="Calibri" w:cs="Calibri"/>
                <w:b/>
                <w:sz w:val="18"/>
                <w:szCs w:val="18"/>
              </w:rPr>
            </w:pPr>
          </w:p>
        </w:tc>
        <w:tc>
          <w:tcPr>
            <w:tcW w:w="1242" w:type="dxa"/>
            <w:gridSpan w:val="5"/>
          </w:tcPr>
          <w:p w:rsidR="00BA0C21" w:rsidRPr="007A2121" w:rsidRDefault="00BA0C21" w:rsidP="00BA0C21">
            <w:pPr>
              <w:rPr>
                <w:rFonts w:ascii="Calibri" w:hAnsi="Calibri" w:cs="Calibri"/>
                <w:b/>
                <w:sz w:val="18"/>
                <w:szCs w:val="18"/>
              </w:rPr>
            </w:pPr>
          </w:p>
        </w:tc>
        <w:tc>
          <w:tcPr>
            <w:tcW w:w="160" w:type="dxa"/>
            <w:gridSpan w:val="2"/>
          </w:tcPr>
          <w:p w:rsidR="00BA0C21" w:rsidRPr="007A2121" w:rsidRDefault="00BA0C21" w:rsidP="00BA0C21">
            <w:pPr>
              <w:rPr>
                <w:rFonts w:ascii="Calibri" w:hAnsi="Calibri" w:cs="Calibri"/>
                <w:b/>
                <w:sz w:val="18"/>
                <w:szCs w:val="18"/>
              </w:rPr>
            </w:pPr>
          </w:p>
        </w:tc>
        <w:tc>
          <w:tcPr>
            <w:tcW w:w="460" w:type="dxa"/>
            <w:gridSpan w:val="4"/>
          </w:tcPr>
          <w:p w:rsidR="00BA0C21" w:rsidRPr="007A2121" w:rsidRDefault="00BA0C21" w:rsidP="00BA0C21">
            <w:pPr>
              <w:rPr>
                <w:rFonts w:ascii="Calibri" w:hAnsi="Calibri" w:cs="Calibri"/>
                <w:b/>
                <w:sz w:val="18"/>
                <w:szCs w:val="18"/>
              </w:rPr>
            </w:pPr>
          </w:p>
        </w:tc>
        <w:tc>
          <w:tcPr>
            <w:tcW w:w="460" w:type="dxa"/>
            <w:gridSpan w:val="2"/>
          </w:tcPr>
          <w:p w:rsidR="00BA0C21" w:rsidRPr="007A2121" w:rsidRDefault="00BA0C21" w:rsidP="00BA0C21">
            <w:pPr>
              <w:rPr>
                <w:rFonts w:ascii="Calibri" w:hAnsi="Calibri" w:cs="Calibri"/>
                <w:b/>
                <w:sz w:val="18"/>
                <w:szCs w:val="18"/>
              </w:rPr>
            </w:pPr>
          </w:p>
        </w:tc>
        <w:tc>
          <w:tcPr>
            <w:tcW w:w="1670" w:type="dxa"/>
            <w:gridSpan w:val="8"/>
          </w:tcPr>
          <w:p w:rsidR="00BA0C21" w:rsidRPr="007A2121" w:rsidRDefault="00BA0C21" w:rsidP="00BA0C21">
            <w:pPr>
              <w:rPr>
                <w:rFonts w:ascii="Calibri" w:hAnsi="Calibri" w:cs="Calibri"/>
                <w:b/>
                <w:sz w:val="18"/>
                <w:szCs w:val="18"/>
              </w:rPr>
            </w:pPr>
          </w:p>
        </w:tc>
        <w:tc>
          <w:tcPr>
            <w:tcW w:w="160" w:type="dxa"/>
            <w:gridSpan w:val="2"/>
          </w:tcPr>
          <w:p w:rsidR="00BA0C21" w:rsidRPr="007A2121" w:rsidRDefault="00BA0C21" w:rsidP="00BA0C21">
            <w:pPr>
              <w:rPr>
                <w:rFonts w:ascii="Calibri" w:hAnsi="Calibri" w:cs="Calibri"/>
                <w:b/>
                <w:sz w:val="18"/>
                <w:szCs w:val="18"/>
              </w:rPr>
            </w:pPr>
          </w:p>
        </w:tc>
        <w:tc>
          <w:tcPr>
            <w:tcW w:w="460" w:type="dxa"/>
            <w:gridSpan w:val="2"/>
          </w:tcPr>
          <w:p w:rsidR="00BA0C21" w:rsidRPr="007A2121" w:rsidRDefault="00BA0C21" w:rsidP="00BA0C21">
            <w:pPr>
              <w:rPr>
                <w:rFonts w:ascii="Calibri" w:hAnsi="Calibri" w:cs="Calibri"/>
                <w:b/>
                <w:sz w:val="18"/>
                <w:szCs w:val="18"/>
              </w:rPr>
            </w:pPr>
          </w:p>
        </w:tc>
        <w:tc>
          <w:tcPr>
            <w:tcW w:w="460" w:type="dxa"/>
            <w:gridSpan w:val="2"/>
          </w:tcPr>
          <w:p w:rsidR="00BA0C21" w:rsidRPr="007A2121" w:rsidRDefault="00BA0C21" w:rsidP="00BA0C21">
            <w:pPr>
              <w:rPr>
                <w:rFonts w:ascii="Calibri" w:hAnsi="Calibri" w:cs="Calibri"/>
                <w:b/>
                <w:sz w:val="18"/>
                <w:szCs w:val="18"/>
              </w:rPr>
            </w:pPr>
          </w:p>
        </w:tc>
        <w:tc>
          <w:tcPr>
            <w:tcW w:w="1531" w:type="dxa"/>
            <w:gridSpan w:val="6"/>
          </w:tcPr>
          <w:p w:rsidR="00BA0C21" w:rsidRPr="007A2121" w:rsidRDefault="00BA0C21" w:rsidP="00BA0C21">
            <w:pPr>
              <w:rPr>
                <w:rFonts w:ascii="Calibri" w:hAnsi="Calibri" w:cs="Calibri"/>
                <w:b/>
                <w:sz w:val="18"/>
                <w:szCs w:val="18"/>
              </w:rPr>
            </w:pPr>
          </w:p>
        </w:tc>
        <w:tc>
          <w:tcPr>
            <w:tcW w:w="160" w:type="dxa"/>
          </w:tcPr>
          <w:p w:rsidR="00BA0C21" w:rsidRPr="007A2121" w:rsidRDefault="00BA0C21" w:rsidP="00BA0C21">
            <w:pPr>
              <w:rPr>
                <w:rFonts w:ascii="Calibri" w:hAnsi="Calibri" w:cs="Calibri"/>
                <w:b/>
                <w:sz w:val="18"/>
                <w:szCs w:val="18"/>
              </w:rPr>
            </w:pPr>
          </w:p>
        </w:tc>
        <w:tc>
          <w:tcPr>
            <w:tcW w:w="460" w:type="dxa"/>
            <w:gridSpan w:val="2"/>
          </w:tcPr>
          <w:p w:rsidR="00BA0C21" w:rsidRPr="007A2121" w:rsidRDefault="00BA0C21" w:rsidP="00BA0C21">
            <w:pPr>
              <w:rPr>
                <w:rFonts w:ascii="Calibri" w:hAnsi="Calibri" w:cs="Calibri"/>
                <w:b/>
                <w:sz w:val="18"/>
                <w:szCs w:val="18"/>
              </w:rPr>
            </w:pPr>
          </w:p>
        </w:tc>
        <w:tc>
          <w:tcPr>
            <w:tcW w:w="460" w:type="dxa"/>
            <w:gridSpan w:val="2"/>
          </w:tcPr>
          <w:p w:rsidR="00BA0C21" w:rsidRPr="007A2121" w:rsidRDefault="00BA0C21" w:rsidP="00BA0C21">
            <w:pPr>
              <w:rPr>
                <w:rFonts w:ascii="Calibri" w:hAnsi="Calibri" w:cs="Calibri"/>
                <w:b/>
                <w:sz w:val="18"/>
                <w:szCs w:val="18"/>
              </w:rPr>
            </w:pPr>
          </w:p>
        </w:tc>
        <w:tc>
          <w:tcPr>
            <w:tcW w:w="460" w:type="dxa"/>
          </w:tcPr>
          <w:p w:rsidR="00BA0C21" w:rsidRPr="007A2121" w:rsidRDefault="00BA0C21" w:rsidP="00BA0C21">
            <w:pPr>
              <w:rPr>
                <w:rFonts w:ascii="Calibri" w:hAnsi="Calibri" w:cs="Calibri"/>
                <w:b/>
                <w:sz w:val="18"/>
                <w:szCs w:val="18"/>
              </w:rPr>
            </w:pPr>
          </w:p>
        </w:tc>
        <w:tc>
          <w:tcPr>
            <w:tcW w:w="318" w:type="dxa"/>
            <w:gridSpan w:val="2"/>
          </w:tcPr>
          <w:p w:rsidR="00BA0C21" w:rsidRPr="007A2121" w:rsidRDefault="00BA0C21" w:rsidP="00BA0C21">
            <w:pPr>
              <w:rPr>
                <w:rFonts w:ascii="Calibri" w:hAnsi="Calibri" w:cs="Calibri"/>
                <w:b/>
                <w:sz w:val="18"/>
                <w:szCs w:val="18"/>
              </w:rPr>
            </w:pPr>
          </w:p>
        </w:tc>
        <w:tc>
          <w:tcPr>
            <w:tcW w:w="460" w:type="dxa"/>
          </w:tcPr>
          <w:p w:rsidR="00BA0C21" w:rsidRPr="007A2121" w:rsidRDefault="00BA0C21" w:rsidP="00BA0C21">
            <w:pPr>
              <w:rPr>
                <w:rFonts w:ascii="Calibri" w:hAnsi="Calibri" w:cs="Calibri"/>
                <w:b/>
                <w:sz w:val="18"/>
                <w:szCs w:val="18"/>
              </w:rPr>
            </w:pPr>
          </w:p>
        </w:tc>
        <w:tc>
          <w:tcPr>
            <w:tcW w:w="460" w:type="dxa"/>
          </w:tcPr>
          <w:p w:rsidR="00BA0C21" w:rsidRPr="007A2121" w:rsidRDefault="00BA0C21" w:rsidP="00BA0C21">
            <w:pPr>
              <w:rPr>
                <w:rFonts w:ascii="Calibri" w:hAnsi="Calibri" w:cs="Calibri"/>
                <w:b/>
                <w:sz w:val="18"/>
                <w:szCs w:val="18"/>
              </w:rPr>
            </w:pPr>
          </w:p>
        </w:tc>
        <w:tc>
          <w:tcPr>
            <w:tcW w:w="1114" w:type="dxa"/>
          </w:tcPr>
          <w:p w:rsidR="00BA0C21" w:rsidRPr="007A2121" w:rsidRDefault="00BA0C21" w:rsidP="00BA0C21">
            <w:pPr>
              <w:rPr>
                <w:rFonts w:ascii="Calibri" w:hAnsi="Calibri" w:cs="Calibri"/>
                <w:b/>
                <w:sz w:val="18"/>
                <w:szCs w:val="18"/>
              </w:rPr>
            </w:pPr>
          </w:p>
        </w:tc>
      </w:tr>
      <w:tr w:rsidR="007A2121" w:rsidRPr="007A2121" w:rsidTr="004305D0">
        <w:trPr>
          <w:gridAfter w:val="4"/>
          <w:wAfter w:w="2163" w:type="dxa"/>
        </w:trPr>
        <w:tc>
          <w:tcPr>
            <w:tcW w:w="9709" w:type="dxa"/>
            <w:gridSpan w:val="44"/>
          </w:tcPr>
          <w:p w:rsidR="00BA0C21" w:rsidRPr="007A2121" w:rsidRDefault="00BA0C21" w:rsidP="00BA0C21">
            <w:pPr>
              <w:rPr>
                <w:rFonts w:ascii="Calibri" w:hAnsi="Calibri" w:cs="Calibri"/>
                <w:b/>
                <w:sz w:val="20"/>
                <w:szCs w:val="20"/>
              </w:rPr>
            </w:pPr>
            <w:r w:rsidRPr="007A2121">
              <w:rPr>
                <w:rFonts w:ascii="Calibri" w:hAnsi="Calibri" w:cs="Calibri"/>
                <w:b/>
                <w:sz w:val="20"/>
                <w:szCs w:val="20"/>
              </w:rPr>
              <w:t xml:space="preserve">Stručný komentář k celkovému vývoji plnění příjmů kapitoly ve sledovaném období </w:t>
            </w:r>
          </w:p>
        </w:tc>
      </w:tr>
      <w:tr w:rsidR="007A2121" w:rsidRPr="007A2121" w:rsidTr="004F50F4">
        <w:trPr>
          <w:gridAfter w:val="4"/>
          <w:wAfter w:w="2163" w:type="dxa"/>
        </w:trPr>
        <w:tc>
          <w:tcPr>
            <w:tcW w:w="459" w:type="dxa"/>
          </w:tcPr>
          <w:p w:rsidR="00BA0C21" w:rsidRPr="007A2121" w:rsidRDefault="00BA0C21" w:rsidP="00BA0C21">
            <w:pPr>
              <w:rPr>
                <w:rFonts w:ascii="Calibri" w:hAnsi="Calibri" w:cs="Calibri"/>
                <w:b/>
                <w:sz w:val="18"/>
                <w:szCs w:val="18"/>
              </w:rPr>
            </w:pPr>
          </w:p>
        </w:tc>
        <w:tc>
          <w:tcPr>
            <w:tcW w:w="458" w:type="dxa"/>
            <w:gridSpan w:val="2"/>
          </w:tcPr>
          <w:p w:rsidR="00BA0C21" w:rsidRPr="007A2121" w:rsidRDefault="00BA0C21" w:rsidP="00BA0C21">
            <w:pPr>
              <w:rPr>
                <w:rFonts w:ascii="Calibri" w:hAnsi="Calibri" w:cs="Calibri"/>
                <w:b/>
                <w:sz w:val="18"/>
                <w:szCs w:val="18"/>
              </w:rPr>
            </w:pPr>
          </w:p>
        </w:tc>
        <w:tc>
          <w:tcPr>
            <w:tcW w:w="460" w:type="dxa"/>
          </w:tcPr>
          <w:p w:rsidR="00BA0C21" w:rsidRPr="007A2121" w:rsidRDefault="00BA0C21" w:rsidP="00BA0C21">
            <w:pPr>
              <w:rPr>
                <w:rFonts w:ascii="Calibri" w:hAnsi="Calibri" w:cs="Calibri"/>
                <w:b/>
                <w:sz w:val="18"/>
                <w:szCs w:val="18"/>
              </w:rPr>
            </w:pPr>
          </w:p>
        </w:tc>
        <w:tc>
          <w:tcPr>
            <w:tcW w:w="460" w:type="dxa"/>
            <w:gridSpan w:val="3"/>
          </w:tcPr>
          <w:p w:rsidR="00BA0C21" w:rsidRPr="007A2121" w:rsidRDefault="00BA0C21" w:rsidP="00BA0C21">
            <w:pPr>
              <w:rPr>
                <w:rFonts w:ascii="Calibri" w:hAnsi="Calibri" w:cs="Calibri"/>
                <w:b/>
                <w:sz w:val="18"/>
                <w:szCs w:val="18"/>
              </w:rPr>
            </w:pPr>
          </w:p>
        </w:tc>
        <w:tc>
          <w:tcPr>
            <w:tcW w:w="460" w:type="dxa"/>
          </w:tcPr>
          <w:p w:rsidR="00BA0C21" w:rsidRPr="007A2121" w:rsidRDefault="00BA0C21" w:rsidP="00BA0C21">
            <w:pPr>
              <w:rPr>
                <w:rFonts w:ascii="Calibri" w:hAnsi="Calibri" w:cs="Calibri"/>
                <w:b/>
                <w:sz w:val="18"/>
                <w:szCs w:val="18"/>
              </w:rPr>
            </w:pPr>
          </w:p>
        </w:tc>
        <w:tc>
          <w:tcPr>
            <w:tcW w:w="460" w:type="dxa"/>
            <w:gridSpan w:val="2"/>
          </w:tcPr>
          <w:p w:rsidR="00BA0C21" w:rsidRPr="007A2121" w:rsidRDefault="00BA0C21" w:rsidP="00BA0C21">
            <w:pPr>
              <w:rPr>
                <w:rFonts w:ascii="Calibri" w:hAnsi="Calibri" w:cs="Calibri"/>
                <w:b/>
                <w:sz w:val="20"/>
                <w:szCs w:val="20"/>
              </w:rPr>
            </w:pPr>
          </w:p>
        </w:tc>
        <w:tc>
          <w:tcPr>
            <w:tcW w:w="460" w:type="dxa"/>
            <w:gridSpan w:val="4"/>
          </w:tcPr>
          <w:p w:rsidR="00BA0C21" w:rsidRPr="007A2121" w:rsidRDefault="00BA0C21" w:rsidP="00BA0C21">
            <w:pPr>
              <w:rPr>
                <w:rFonts w:ascii="Calibri" w:hAnsi="Calibri" w:cs="Calibri"/>
                <w:b/>
                <w:sz w:val="20"/>
                <w:szCs w:val="20"/>
              </w:rPr>
            </w:pPr>
          </w:p>
        </w:tc>
        <w:tc>
          <w:tcPr>
            <w:tcW w:w="460" w:type="dxa"/>
            <w:gridSpan w:val="2"/>
          </w:tcPr>
          <w:p w:rsidR="00BA0C21" w:rsidRPr="007A2121" w:rsidRDefault="00BA0C21" w:rsidP="00BA0C21">
            <w:pPr>
              <w:rPr>
                <w:rFonts w:ascii="Calibri" w:hAnsi="Calibri" w:cs="Calibri"/>
                <w:b/>
                <w:sz w:val="18"/>
                <w:szCs w:val="18"/>
              </w:rPr>
            </w:pPr>
          </w:p>
        </w:tc>
        <w:tc>
          <w:tcPr>
            <w:tcW w:w="460" w:type="dxa"/>
            <w:gridSpan w:val="4"/>
          </w:tcPr>
          <w:p w:rsidR="00BA0C21" w:rsidRPr="007A2121" w:rsidRDefault="00BA0C21" w:rsidP="00BA0C21">
            <w:pPr>
              <w:rPr>
                <w:rFonts w:ascii="Calibri" w:hAnsi="Calibri" w:cs="Calibri"/>
                <w:b/>
                <w:sz w:val="18"/>
                <w:szCs w:val="18"/>
              </w:rPr>
            </w:pPr>
          </w:p>
        </w:tc>
        <w:tc>
          <w:tcPr>
            <w:tcW w:w="460" w:type="dxa"/>
          </w:tcPr>
          <w:p w:rsidR="00BA0C21" w:rsidRPr="007A2121" w:rsidRDefault="00BA0C21" w:rsidP="00BA0C21">
            <w:pPr>
              <w:rPr>
                <w:rFonts w:ascii="Calibri" w:hAnsi="Calibri" w:cs="Calibri"/>
                <w:b/>
                <w:sz w:val="18"/>
                <w:szCs w:val="18"/>
              </w:rPr>
            </w:pPr>
          </w:p>
        </w:tc>
        <w:tc>
          <w:tcPr>
            <w:tcW w:w="460" w:type="dxa"/>
            <w:gridSpan w:val="2"/>
          </w:tcPr>
          <w:p w:rsidR="00BA0C21" w:rsidRPr="007A2121" w:rsidRDefault="00BA0C21" w:rsidP="00BA0C21">
            <w:pPr>
              <w:rPr>
                <w:rFonts w:ascii="Calibri" w:hAnsi="Calibri" w:cs="Calibri"/>
                <w:b/>
                <w:sz w:val="18"/>
                <w:szCs w:val="18"/>
              </w:rPr>
            </w:pPr>
          </w:p>
        </w:tc>
        <w:tc>
          <w:tcPr>
            <w:tcW w:w="460" w:type="dxa"/>
            <w:gridSpan w:val="3"/>
          </w:tcPr>
          <w:p w:rsidR="00BA0C21" w:rsidRPr="007A2121" w:rsidRDefault="00BA0C21" w:rsidP="00BA0C21">
            <w:pPr>
              <w:rPr>
                <w:rFonts w:ascii="Calibri" w:hAnsi="Calibri" w:cs="Calibri"/>
                <w:b/>
                <w:sz w:val="18"/>
                <w:szCs w:val="18"/>
              </w:rPr>
            </w:pPr>
          </w:p>
        </w:tc>
        <w:tc>
          <w:tcPr>
            <w:tcW w:w="460" w:type="dxa"/>
            <w:gridSpan w:val="2"/>
          </w:tcPr>
          <w:p w:rsidR="00BA0C21" w:rsidRPr="007A2121" w:rsidRDefault="00BA0C21" w:rsidP="00BA0C21">
            <w:pPr>
              <w:rPr>
                <w:rFonts w:ascii="Calibri" w:hAnsi="Calibri" w:cs="Calibri"/>
                <w:b/>
                <w:sz w:val="18"/>
                <w:szCs w:val="18"/>
              </w:rPr>
            </w:pPr>
          </w:p>
        </w:tc>
        <w:tc>
          <w:tcPr>
            <w:tcW w:w="460" w:type="dxa"/>
            <w:gridSpan w:val="2"/>
          </w:tcPr>
          <w:p w:rsidR="00BA0C21" w:rsidRPr="007A2121" w:rsidRDefault="00BA0C21" w:rsidP="00BA0C21">
            <w:pPr>
              <w:rPr>
                <w:rFonts w:ascii="Calibri" w:hAnsi="Calibri" w:cs="Calibri"/>
                <w:b/>
                <w:sz w:val="18"/>
                <w:szCs w:val="18"/>
              </w:rPr>
            </w:pPr>
          </w:p>
        </w:tc>
        <w:tc>
          <w:tcPr>
            <w:tcW w:w="460" w:type="dxa"/>
            <w:gridSpan w:val="4"/>
          </w:tcPr>
          <w:p w:rsidR="00BA0C21" w:rsidRPr="007A2121" w:rsidRDefault="00BA0C21" w:rsidP="00BA0C21">
            <w:pPr>
              <w:rPr>
                <w:rFonts w:ascii="Calibri" w:hAnsi="Calibri" w:cs="Calibri"/>
                <w:b/>
                <w:sz w:val="18"/>
                <w:szCs w:val="18"/>
              </w:rPr>
            </w:pPr>
          </w:p>
        </w:tc>
        <w:tc>
          <w:tcPr>
            <w:tcW w:w="460" w:type="dxa"/>
          </w:tcPr>
          <w:p w:rsidR="00BA0C21" w:rsidRPr="007A2121" w:rsidRDefault="00BA0C21" w:rsidP="00BA0C21">
            <w:pPr>
              <w:rPr>
                <w:rFonts w:ascii="Calibri" w:hAnsi="Calibri" w:cs="Calibri"/>
                <w:b/>
                <w:sz w:val="18"/>
                <w:szCs w:val="18"/>
              </w:rPr>
            </w:pPr>
          </w:p>
        </w:tc>
        <w:tc>
          <w:tcPr>
            <w:tcW w:w="460" w:type="dxa"/>
          </w:tcPr>
          <w:p w:rsidR="00BA0C21" w:rsidRPr="007A2121" w:rsidRDefault="00BA0C21" w:rsidP="00BA0C21">
            <w:pPr>
              <w:rPr>
                <w:rFonts w:ascii="Calibri" w:hAnsi="Calibri" w:cs="Calibri"/>
                <w:b/>
                <w:sz w:val="18"/>
                <w:szCs w:val="18"/>
              </w:rPr>
            </w:pPr>
          </w:p>
        </w:tc>
        <w:tc>
          <w:tcPr>
            <w:tcW w:w="460" w:type="dxa"/>
            <w:gridSpan w:val="3"/>
          </w:tcPr>
          <w:p w:rsidR="00BA0C21" w:rsidRPr="007A2121" w:rsidRDefault="00BA0C21" w:rsidP="00BA0C21">
            <w:pPr>
              <w:rPr>
                <w:rFonts w:ascii="Calibri" w:hAnsi="Calibri" w:cs="Calibri"/>
                <w:b/>
                <w:sz w:val="18"/>
                <w:szCs w:val="18"/>
              </w:rPr>
            </w:pPr>
          </w:p>
        </w:tc>
        <w:tc>
          <w:tcPr>
            <w:tcW w:w="460" w:type="dxa"/>
            <w:gridSpan w:val="2"/>
          </w:tcPr>
          <w:p w:rsidR="00BA0C21" w:rsidRPr="007A2121" w:rsidRDefault="00BA0C21" w:rsidP="00BA0C21">
            <w:pPr>
              <w:rPr>
                <w:rFonts w:ascii="Calibri" w:hAnsi="Calibri" w:cs="Calibri"/>
                <w:b/>
                <w:sz w:val="18"/>
                <w:szCs w:val="18"/>
              </w:rPr>
            </w:pPr>
          </w:p>
        </w:tc>
        <w:tc>
          <w:tcPr>
            <w:tcW w:w="972" w:type="dxa"/>
            <w:gridSpan w:val="3"/>
          </w:tcPr>
          <w:p w:rsidR="00BA0C21" w:rsidRPr="007A2121" w:rsidRDefault="00BA0C21" w:rsidP="00BA0C21">
            <w:pPr>
              <w:rPr>
                <w:rFonts w:ascii="Calibri" w:hAnsi="Calibri" w:cs="Calibri"/>
                <w:b/>
                <w:sz w:val="18"/>
                <w:szCs w:val="18"/>
              </w:rPr>
            </w:pPr>
          </w:p>
        </w:tc>
      </w:tr>
      <w:tr w:rsidR="007A2121" w:rsidRPr="007A2121" w:rsidTr="004305D0">
        <w:trPr>
          <w:gridAfter w:val="4"/>
          <w:wAfter w:w="2163" w:type="dxa"/>
        </w:trPr>
        <w:tc>
          <w:tcPr>
            <w:tcW w:w="9709" w:type="dxa"/>
            <w:gridSpan w:val="44"/>
            <w:tcBorders>
              <w:top w:val="single" w:sz="6" w:space="0" w:color="auto"/>
              <w:left w:val="single" w:sz="6" w:space="0" w:color="auto"/>
              <w:bottom w:val="single" w:sz="6" w:space="0" w:color="auto"/>
              <w:right w:val="single" w:sz="6" w:space="0" w:color="auto"/>
            </w:tcBorders>
          </w:tcPr>
          <w:p w:rsidR="00BA0C21" w:rsidRPr="009C4E73" w:rsidRDefault="009C4E73" w:rsidP="00BA0C21">
            <w:pPr>
              <w:jc w:val="both"/>
              <w:rPr>
                <w:rFonts w:ascii="Calibri" w:hAnsi="Calibri" w:cs="Calibri"/>
                <w:sz w:val="20"/>
                <w:szCs w:val="20"/>
              </w:rPr>
            </w:pPr>
            <w:r w:rsidRPr="009C4E73">
              <w:rPr>
                <w:rFonts w:asciiTheme="minorHAnsi" w:hAnsiTheme="minorHAnsi" w:cstheme="minorHAnsi"/>
                <w:sz w:val="20"/>
                <w:szCs w:val="20"/>
              </w:rPr>
              <w:t>Žádná z položek nevykazuje abnormalitu v plnění příjmů.</w:t>
            </w:r>
          </w:p>
        </w:tc>
      </w:tr>
      <w:tr w:rsidR="007A2121" w:rsidRPr="007A2121" w:rsidTr="004F50F4">
        <w:trPr>
          <w:gridAfter w:val="4"/>
          <w:wAfter w:w="2163" w:type="dxa"/>
        </w:trPr>
        <w:tc>
          <w:tcPr>
            <w:tcW w:w="459" w:type="dxa"/>
          </w:tcPr>
          <w:p w:rsidR="00BA0C21" w:rsidRPr="007A2121" w:rsidRDefault="00BA0C21" w:rsidP="00BA0C21">
            <w:pPr>
              <w:rPr>
                <w:rFonts w:ascii="Calibri" w:hAnsi="Calibri" w:cs="Calibri"/>
                <w:b/>
                <w:sz w:val="18"/>
                <w:szCs w:val="18"/>
              </w:rPr>
            </w:pPr>
          </w:p>
        </w:tc>
        <w:tc>
          <w:tcPr>
            <w:tcW w:w="458" w:type="dxa"/>
            <w:gridSpan w:val="2"/>
          </w:tcPr>
          <w:p w:rsidR="00BA0C21" w:rsidRPr="007A2121" w:rsidRDefault="00BA0C21" w:rsidP="00BA0C21">
            <w:pPr>
              <w:rPr>
                <w:rFonts w:ascii="Calibri" w:hAnsi="Calibri" w:cs="Calibri"/>
                <w:b/>
                <w:sz w:val="18"/>
                <w:szCs w:val="18"/>
              </w:rPr>
            </w:pPr>
          </w:p>
        </w:tc>
        <w:tc>
          <w:tcPr>
            <w:tcW w:w="460" w:type="dxa"/>
          </w:tcPr>
          <w:p w:rsidR="00BA0C21" w:rsidRPr="007A2121" w:rsidRDefault="00BA0C21" w:rsidP="00BA0C21">
            <w:pPr>
              <w:rPr>
                <w:rFonts w:ascii="Calibri" w:hAnsi="Calibri" w:cs="Calibri"/>
                <w:b/>
                <w:sz w:val="18"/>
                <w:szCs w:val="18"/>
              </w:rPr>
            </w:pPr>
          </w:p>
        </w:tc>
        <w:tc>
          <w:tcPr>
            <w:tcW w:w="460" w:type="dxa"/>
            <w:gridSpan w:val="3"/>
          </w:tcPr>
          <w:p w:rsidR="00BA0C21" w:rsidRPr="007A2121" w:rsidRDefault="00BA0C21" w:rsidP="00BA0C21">
            <w:pPr>
              <w:rPr>
                <w:rFonts w:ascii="Calibri" w:hAnsi="Calibri" w:cs="Calibri"/>
                <w:b/>
                <w:sz w:val="18"/>
                <w:szCs w:val="18"/>
              </w:rPr>
            </w:pPr>
          </w:p>
        </w:tc>
        <w:tc>
          <w:tcPr>
            <w:tcW w:w="460" w:type="dxa"/>
          </w:tcPr>
          <w:p w:rsidR="00BA0C21" w:rsidRPr="007A2121" w:rsidRDefault="00BA0C21" w:rsidP="00BA0C21">
            <w:pPr>
              <w:rPr>
                <w:rFonts w:ascii="Calibri" w:hAnsi="Calibri" w:cs="Calibri"/>
                <w:b/>
                <w:sz w:val="18"/>
                <w:szCs w:val="18"/>
              </w:rPr>
            </w:pPr>
          </w:p>
        </w:tc>
        <w:tc>
          <w:tcPr>
            <w:tcW w:w="460" w:type="dxa"/>
            <w:gridSpan w:val="2"/>
          </w:tcPr>
          <w:p w:rsidR="00BA0C21" w:rsidRPr="007A2121" w:rsidRDefault="00BA0C21" w:rsidP="00BA0C21">
            <w:pPr>
              <w:rPr>
                <w:rFonts w:ascii="Calibri" w:hAnsi="Calibri" w:cs="Calibri"/>
                <w:b/>
                <w:sz w:val="18"/>
                <w:szCs w:val="18"/>
              </w:rPr>
            </w:pPr>
          </w:p>
        </w:tc>
        <w:tc>
          <w:tcPr>
            <w:tcW w:w="460" w:type="dxa"/>
            <w:gridSpan w:val="4"/>
          </w:tcPr>
          <w:p w:rsidR="00BA0C21" w:rsidRPr="007A2121" w:rsidRDefault="00BA0C21" w:rsidP="00BA0C21">
            <w:pPr>
              <w:rPr>
                <w:rFonts w:ascii="Calibri" w:hAnsi="Calibri" w:cs="Calibri"/>
                <w:b/>
                <w:sz w:val="18"/>
                <w:szCs w:val="18"/>
              </w:rPr>
            </w:pPr>
          </w:p>
        </w:tc>
        <w:tc>
          <w:tcPr>
            <w:tcW w:w="460" w:type="dxa"/>
            <w:gridSpan w:val="2"/>
          </w:tcPr>
          <w:p w:rsidR="00BA0C21" w:rsidRPr="007A2121" w:rsidRDefault="00BA0C21" w:rsidP="00BA0C21">
            <w:pPr>
              <w:rPr>
                <w:rFonts w:ascii="Calibri" w:hAnsi="Calibri" w:cs="Calibri"/>
                <w:b/>
                <w:sz w:val="18"/>
                <w:szCs w:val="18"/>
              </w:rPr>
            </w:pPr>
          </w:p>
        </w:tc>
        <w:tc>
          <w:tcPr>
            <w:tcW w:w="460" w:type="dxa"/>
            <w:gridSpan w:val="4"/>
          </w:tcPr>
          <w:p w:rsidR="00BA0C21" w:rsidRPr="007A2121" w:rsidRDefault="00BA0C21" w:rsidP="00BA0C21">
            <w:pPr>
              <w:rPr>
                <w:rFonts w:ascii="Calibri" w:hAnsi="Calibri" w:cs="Calibri"/>
                <w:b/>
                <w:sz w:val="18"/>
                <w:szCs w:val="18"/>
              </w:rPr>
            </w:pPr>
          </w:p>
        </w:tc>
        <w:tc>
          <w:tcPr>
            <w:tcW w:w="460" w:type="dxa"/>
          </w:tcPr>
          <w:p w:rsidR="00BA0C21" w:rsidRPr="007A2121" w:rsidRDefault="00BA0C21" w:rsidP="00BA0C21">
            <w:pPr>
              <w:rPr>
                <w:rFonts w:ascii="Calibri" w:hAnsi="Calibri" w:cs="Calibri"/>
                <w:b/>
                <w:sz w:val="18"/>
                <w:szCs w:val="18"/>
              </w:rPr>
            </w:pPr>
          </w:p>
        </w:tc>
        <w:tc>
          <w:tcPr>
            <w:tcW w:w="460" w:type="dxa"/>
            <w:gridSpan w:val="2"/>
          </w:tcPr>
          <w:p w:rsidR="00BA0C21" w:rsidRPr="007A2121" w:rsidRDefault="00BA0C21" w:rsidP="00BA0C21">
            <w:pPr>
              <w:rPr>
                <w:rFonts w:ascii="Calibri" w:hAnsi="Calibri" w:cs="Calibri"/>
                <w:b/>
                <w:sz w:val="18"/>
                <w:szCs w:val="18"/>
              </w:rPr>
            </w:pPr>
          </w:p>
        </w:tc>
        <w:tc>
          <w:tcPr>
            <w:tcW w:w="460" w:type="dxa"/>
            <w:gridSpan w:val="3"/>
          </w:tcPr>
          <w:p w:rsidR="00BA0C21" w:rsidRPr="007A2121" w:rsidRDefault="00BA0C21" w:rsidP="00BA0C21">
            <w:pPr>
              <w:rPr>
                <w:rFonts w:ascii="Calibri" w:hAnsi="Calibri" w:cs="Calibri"/>
                <w:b/>
                <w:sz w:val="18"/>
                <w:szCs w:val="18"/>
              </w:rPr>
            </w:pPr>
          </w:p>
        </w:tc>
        <w:tc>
          <w:tcPr>
            <w:tcW w:w="460" w:type="dxa"/>
            <w:gridSpan w:val="2"/>
          </w:tcPr>
          <w:p w:rsidR="00BA0C21" w:rsidRPr="007A2121" w:rsidRDefault="00BA0C21" w:rsidP="00BA0C21">
            <w:pPr>
              <w:rPr>
                <w:rFonts w:ascii="Calibri" w:hAnsi="Calibri" w:cs="Calibri"/>
                <w:b/>
                <w:sz w:val="18"/>
                <w:szCs w:val="18"/>
              </w:rPr>
            </w:pPr>
          </w:p>
        </w:tc>
        <w:tc>
          <w:tcPr>
            <w:tcW w:w="460" w:type="dxa"/>
            <w:gridSpan w:val="2"/>
          </w:tcPr>
          <w:p w:rsidR="00BA0C21" w:rsidRPr="007A2121" w:rsidRDefault="00BA0C21" w:rsidP="00BA0C21">
            <w:pPr>
              <w:rPr>
                <w:rFonts w:ascii="Calibri" w:hAnsi="Calibri" w:cs="Calibri"/>
                <w:b/>
                <w:sz w:val="18"/>
                <w:szCs w:val="18"/>
              </w:rPr>
            </w:pPr>
          </w:p>
        </w:tc>
        <w:tc>
          <w:tcPr>
            <w:tcW w:w="460" w:type="dxa"/>
            <w:gridSpan w:val="4"/>
          </w:tcPr>
          <w:p w:rsidR="00BA0C21" w:rsidRPr="007A2121" w:rsidRDefault="00BA0C21" w:rsidP="00BA0C21">
            <w:pPr>
              <w:rPr>
                <w:rFonts w:ascii="Calibri" w:hAnsi="Calibri" w:cs="Calibri"/>
                <w:b/>
                <w:sz w:val="18"/>
                <w:szCs w:val="18"/>
              </w:rPr>
            </w:pPr>
          </w:p>
        </w:tc>
        <w:tc>
          <w:tcPr>
            <w:tcW w:w="460" w:type="dxa"/>
          </w:tcPr>
          <w:p w:rsidR="00BA0C21" w:rsidRPr="007A2121" w:rsidRDefault="00BA0C21" w:rsidP="00BA0C21">
            <w:pPr>
              <w:rPr>
                <w:rFonts w:ascii="Calibri" w:hAnsi="Calibri" w:cs="Calibri"/>
                <w:b/>
                <w:sz w:val="18"/>
                <w:szCs w:val="18"/>
              </w:rPr>
            </w:pPr>
          </w:p>
        </w:tc>
        <w:tc>
          <w:tcPr>
            <w:tcW w:w="460" w:type="dxa"/>
          </w:tcPr>
          <w:p w:rsidR="00BA0C21" w:rsidRPr="007A2121" w:rsidRDefault="00BA0C21" w:rsidP="00BA0C21">
            <w:pPr>
              <w:rPr>
                <w:rFonts w:ascii="Calibri" w:hAnsi="Calibri" w:cs="Calibri"/>
                <w:b/>
                <w:sz w:val="18"/>
                <w:szCs w:val="18"/>
              </w:rPr>
            </w:pPr>
          </w:p>
        </w:tc>
        <w:tc>
          <w:tcPr>
            <w:tcW w:w="460" w:type="dxa"/>
            <w:gridSpan w:val="3"/>
          </w:tcPr>
          <w:p w:rsidR="00BA0C21" w:rsidRPr="007A2121" w:rsidRDefault="00BA0C21" w:rsidP="00BA0C21">
            <w:pPr>
              <w:rPr>
                <w:rFonts w:ascii="Calibri" w:hAnsi="Calibri" w:cs="Calibri"/>
                <w:b/>
                <w:sz w:val="18"/>
                <w:szCs w:val="18"/>
              </w:rPr>
            </w:pPr>
          </w:p>
        </w:tc>
        <w:tc>
          <w:tcPr>
            <w:tcW w:w="460" w:type="dxa"/>
            <w:gridSpan w:val="2"/>
          </w:tcPr>
          <w:p w:rsidR="00BA0C21" w:rsidRPr="007A2121" w:rsidRDefault="00BA0C21" w:rsidP="00BA0C21">
            <w:pPr>
              <w:rPr>
                <w:rFonts w:ascii="Calibri" w:hAnsi="Calibri" w:cs="Calibri"/>
                <w:b/>
                <w:sz w:val="18"/>
                <w:szCs w:val="18"/>
              </w:rPr>
            </w:pPr>
          </w:p>
        </w:tc>
        <w:tc>
          <w:tcPr>
            <w:tcW w:w="972" w:type="dxa"/>
            <w:gridSpan w:val="3"/>
          </w:tcPr>
          <w:p w:rsidR="00BA0C21" w:rsidRPr="007A2121" w:rsidRDefault="00BA0C21" w:rsidP="00BA0C21">
            <w:pPr>
              <w:rPr>
                <w:rFonts w:ascii="Calibri" w:hAnsi="Calibri" w:cs="Calibri"/>
                <w:b/>
                <w:sz w:val="18"/>
                <w:szCs w:val="18"/>
              </w:rPr>
            </w:pPr>
          </w:p>
        </w:tc>
      </w:tr>
      <w:tr w:rsidR="007A2121" w:rsidRPr="007A2121" w:rsidTr="004305D0">
        <w:trPr>
          <w:gridAfter w:val="4"/>
          <w:wAfter w:w="2163" w:type="dxa"/>
        </w:trPr>
        <w:tc>
          <w:tcPr>
            <w:tcW w:w="9709" w:type="dxa"/>
            <w:gridSpan w:val="44"/>
          </w:tcPr>
          <w:p w:rsidR="00BA0C21" w:rsidRPr="00BA11CF" w:rsidRDefault="00BA0C21" w:rsidP="001E4928">
            <w:pPr>
              <w:jc w:val="both"/>
              <w:rPr>
                <w:rFonts w:ascii="Calibri" w:hAnsi="Calibri" w:cs="Calibri"/>
                <w:b/>
                <w:sz w:val="20"/>
                <w:szCs w:val="20"/>
              </w:rPr>
            </w:pPr>
            <w:r w:rsidRPr="00BA11CF">
              <w:rPr>
                <w:rFonts w:ascii="Calibri" w:hAnsi="Calibri" w:cs="Calibri"/>
                <w:b/>
                <w:sz w:val="20"/>
                <w:szCs w:val="20"/>
              </w:rPr>
              <w:t>Komentář k položkám (akcím), které vykázaly abnormalitu v řádném pln</w:t>
            </w:r>
            <w:r w:rsidR="001E4928" w:rsidRPr="00BA11CF">
              <w:rPr>
                <w:rFonts w:ascii="Calibri" w:hAnsi="Calibri" w:cs="Calibri"/>
                <w:b/>
                <w:sz w:val="20"/>
                <w:szCs w:val="20"/>
              </w:rPr>
              <w:t>ění příjmů rozpočtu kapitoly ve </w:t>
            </w:r>
            <w:r w:rsidRPr="00BA11CF">
              <w:rPr>
                <w:rFonts w:ascii="Calibri" w:hAnsi="Calibri" w:cs="Calibri"/>
                <w:b/>
                <w:sz w:val="20"/>
                <w:szCs w:val="20"/>
              </w:rPr>
              <w:t>sledovaném období</w:t>
            </w:r>
          </w:p>
        </w:tc>
      </w:tr>
      <w:tr w:rsidR="007A2121" w:rsidRPr="007A2121" w:rsidTr="004F50F4">
        <w:trPr>
          <w:gridAfter w:val="4"/>
          <w:wAfter w:w="2163" w:type="dxa"/>
        </w:trPr>
        <w:tc>
          <w:tcPr>
            <w:tcW w:w="459" w:type="dxa"/>
            <w:tcBorders>
              <w:bottom w:val="single" w:sz="4" w:space="0" w:color="auto"/>
            </w:tcBorders>
          </w:tcPr>
          <w:p w:rsidR="00BA0C21" w:rsidRPr="007A2121" w:rsidRDefault="00BA0C21" w:rsidP="00BA0C21">
            <w:pPr>
              <w:rPr>
                <w:rFonts w:ascii="Calibri" w:hAnsi="Calibri" w:cs="Calibri"/>
                <w:b/>
                <w:sz w:val="18"/>
                <w:szCs w:val="18"/>
              </w:rPr>
            </w:pPr>
          </w:p>
        </w:tc>
        <w:tc>
          <w:tcPr>
            <w:tcW w:w="318" w:type="dxa"/>
            <w:tcBorders>
              <w:bottom w:val="single" w:sz="4" w:space="0" w:color="auto"/>
            </w:tcBorders>
          </w:tcPr>
          <w:p w:rsidR="00BA0C21" w:rsidRPr="007A2121" w:rsidRDefault="00BA0C21" w:rsidP="00BA0C21">
            <w:pPr>
              <w:rPr>
                <w:rFonts w:ascii="Calibri" w:hAnsi="Calibri" w:cs="Calibri"/>
                <w:b/>
                <w:sz w:val="18"/>
                <w:szCs w:val="18"/>
              </w:rPr>
            </w:pPr>
          </w:p>
        </w:tc>
        <w:tc>
          <w:tcPr>
            <w:tcW w:w="600" w:type="dxa"/>
            <w:gridSpan w:val="2"/>
            <w:tcBorders>
              <w:bottom w:val="single" w:sz="4" w:space="0" w:color="auto"/>
            </w:tcBorders>
          </w:tcPr>
          <w:p w:rsidR="00BA0C21" w:rsidRPr="007A2121" w:rsidRDefault="00BA0C21" w:rsidP="00BA0C21">
            <w:pPr>
              <w:rPr>
                <w:rFonts w:ascii="Calibri" w:hAnsi="Calibri" w:cs="Calibri"/>
                <w:b/>
                <w:sz w:val="18"/>
                <w:szCs w:val="18"/>
              </w:rPr>
            </w:pPr>
          </w:p>
        </w:tc>
        <w:tc>
          <w:tcPr>
            <w:tcW w:w="160" w:type="dxa"/>
            <w:tcBorders>
              <w:bottom w:val="single" w:sz="4" w:space="0" w:color="auto"/>
            </w:tcBorders>
          </w:tcPr>
          <w:p w:rsidR="00BA0C21" w:rsidRPr="007A2121" w:rsidRDefault="00BA0C21" w:rsidP="00BA0C21">
            <w:pPr>
              <w:rPr>
                <w:rFonts w:ascii="Calibri" w:hAnsi="Calibri" w:cs="Calibri"/>
                <w:b/>
                <w:sz w:val="18"/>
                <w:szCs w:val="18"/>
              </w:rPr>
            </w:pPr>
          </w:p>
        </w:tc>
        <w:tc>
          <w:tcPr>
            <w:tcW w:w="760" w:type="dxa"/>
            <w:gridSpan w:val="3"/>
            <w:tcBorders>
              <w:bottom w:val="single" w:sz="4" w:space="0" w:color="auto"/>
            </w:tcBorders>
          </w:tcPr>
          <w:p w:rsidR="00BA0C21" w:rsidRPr="007A2121" w:rsidRDefault="00BA0C21" w:rsidP="00BA0C21">
            <w:pPr>
              <w:rPr>
                <w:rFonts w:ascii="Calibri" w:hAnsi="Calibri" w:cs="Calibri"/>
                <w:b/>
                <w:sz w:val="18"/>
                <w:szCs w:val="18"/>
              </w:rPr>
            </w:pPr>
          </w:p>
        </w:tc>
        <w:tc>
          <w:tcPr>
            <w:tcW w:w="747" w:type="dxa"/>
            <w:gridSpan w:val="4"/>
            <w:tcBorders>
              <w:bottom w:val="single" w:sz="4" w:space="0" w:color="auto"/>
            </w:tcBorders>
          </w:tcPr>
          <w:p w:rsidR="00BA0C21" w:rsidRPr="007A2121" w:rsidRDefault="00BA0C21" w:rsidP="00BA0C21">
            <w:pPr>
              <w:rPr>
                <w:rFonts w:ascii="Calibri" w:hAnsi="Calibri" w:cs="Calibri"/>
                <w:b/>
                <w:sz w:val="20"/>
                <w:szCs w:val="20"/>
              </w:rPr>
            </w:pPr>
          </w:p>
        </w:tc>
        <w:tc>
          <w:tcPr>
            <w:tcW w:w="173" w:type="dxa"/>
            <w:gridSpan w:val="2"/>
            <w:tcBorders>
              <w:bottom w:val="single" w:sz="4" w:space="0" w:color="auto"/>
            </w:tcBorders>
          </w:tcPr>
          <w:p w:rsidR="00BA0C21" w:rsidRPr="007A2121" w:rsidRDefault="00BA0C21" w:rsidP="00BA0C21">
            <w:pPr>
              <w:rPr>
                <w:rFonts w:ascii="Calibri" w:hAnsi="Calibri" w:cs="Calibri"/>
                <w:b/>
                <w:sz w:val="20"/>
                <w:szCs w:val="20"/>
              </w:rPr>
            </w:pPr>
          </w:p>
        </w:tc>
        <w:tc>
          <w:tcPr>
            <w:tcW w:w="678" w:type="dxa"/>
            <w:gridSpan w:val="4"/>
            <w:tcBorders>
              <w:bottom w:val="single" w:sz="4" w:space="0" w:color="auto"/>
            </w:tcBorders>
          </w:tcPr>
          <w:p w:rsidR="00BA0C21" w:rsidRPr="007A2121" w:rsidRDefault="00BA0C21" w:rsidP="00BA0C21">
            <w:pPr>
              <w:rPr>
                <w:rFonts w:ascii="Calibri" w:hAnsi="Calibri" w:cs="Calibri"/>
                <w:b/>
                <w:sz w:val="20"/>
                <w:szCs w:val="20"/>
              </w:rPr>
            </w:pPr>
          </w:p>
        </w:tc>
        <w:tc>
          <w:tcPr>
            <w:tcW w:w="242" w:type="dxa"/>
            <w:gridSpan w:val="2"/>
            <w:tcBorders>
              <w:bottom w:val="single" w:sz="4" w:space="0" w:color="auto"/>
            </w:tcBorders>
          </w:tcPr>
          <w:p w:rsidR="00BA0C21" w:rsidRPr="007A2121" w:rsidRDefault="00BA0C21" w:rsidP="00BA0C21">
            <w:pPr>
              <w:rPr>
                <w:rFonts w:ascii="Calibri" w:hAnsi="Calibri" w:cs="Calibri"/>
                <w:b/>
                <w:sz w:val="20"/>
                <w:szCs w:val="20"/>
              </w:rPr>
            </w:pPr>
          </w:p>
        </w:tc>
        <w:tc>
          <w:tcPr>
            <w:tcW w:w="750" w:type="dxa"/>
            <w:gridSpan w:val="2"/>
            <w:tcBorders>
              <w:bottom w:val="single" w:sz="4" w:space="0" w:color="auto"/>
            </w:tcBorders>
          </w:tcPr>
          <w:p w:rsidR="00BA0C21" w:rsidRPr="007A2121" w:rsidRDefault="00BA0C21" w:rsidP="00BA0C21">
            <w:pPr>
              <w:rPr>
                <w:rFonts w:ascii="Calibri" w:hAnsi="Calibri" w:cs="Calibri"/>
                <w:b/>
                <w:sz w:val="20"/>
                <w:szCs w:val="20"/>
              </w:rPr>
            </w:pPr>
          </w:p>
        </w:tc>
        <w:tc>
          <w:tcPr>
            <w:tcW w:w="170" w:type="dxa"/>
            <w:tcBorders>
              <w:bottom w:val="single" w:sz="4" w:space="0" w:color="auto"/>
            </w:tcBorders>
          </w:tcPr>
          <w:p w:rsidR="00BA0C21" w:rsidRPr="007A2121" w:rsidRDefault="00BA0C21" w:rsidP="00BA0C21">
            <w:pPr>
              <w:rPr>
                <w:rFonts w:ascii="Calibri" w:hAnsi="Calibri" w:cs="Calibri"/>
                <w:b/>
                <w:sz w:val="20"/>
                <w:szCs w:val="20"/>
              </w:rPr>
            </w:pPr>
          </w:p>
        </w:tc>
        <w:tc>
          <w:tcPr>
            <w:tcW w:w="160" w:type="dxa"/>
            <w:tcBorders>
              <w:bottom w:val="single" w:sz="4" w:space="0" w:color="auto"/>
            </w:tcBorders>
          </w:tcPr>
          <w:p w:rsidR="00BA0C21" w:rsidRPr="007A2121" w:rsidRDefault="00BA0C21" w:rsidP="00BA0C21">
            <w:pPr>
              <w:rPr>
                <w:rFonts w:ascii="Calibri" w:hAnsi="Calibri" w:cs="Calibri"/>
                <w:b/>
                <w:sz w:val="20"/>
                <w:szCs w:val="20"/>
              </w:rPr>
            </w:pPr>
          </w:p>
        </w:tc>
        <w:tc>
          <w:tcPr>
            <w:tcW w:w="760" w:type="dxa"/>
            <w:gridSpan w:val="4"/>
            <w:tcBorders>
              <w:bottom w:val="single" w:sz="4" w:space="0" w:color="auto"/>
            </w:tcBorders>
          </w:tcPr>
          <w:p w:rsidR="00BA0C21" w:rsidRPr="007A2121" w:rsidRDefault="00BA0C21" w:rsidP="00BA0C21">
            <w:pPr>
              <w:rPr>
                <w:rFonts w:ascii="Calibri" w:hAnsi="Calibri" w:cs="Calibri"/>
                <w:b/>
                <w:sz w:val="20"/>
                <w:szCs w:val="20"/>
              </w:rPr>
            </w:pPr>
          </w:p>
        </w:tc>
        <w:tc>
          <w:tcPr>
            <w:tcW w:w="460" w:type="dxa"/>
            <w:gridSpan w:val="2"/>
            <w:tcBorders>
              <w:bottom w:val="single" w:sz="4" w:space="0" w:color="auto"/>
            </w:tcBorders>
          </w:tcPr>
          <w:p w:rsidR="00BA0C21" w:rsidRPr="007A2121" w:rsidRDefault="00BA0C21" w:rsidP="00BA0C21">
            <w:pPr>
              <w:rPr>
                <w:rFonts w:ascii="Calibri" w:hAnsi="Calibri" w:cs="Calibri"/>
                <w:b/>
                <w:sz w:val="20"/>
                <w:szCs w:val="20"/>
              </w:rPr>
            </w:pPr>
          </w:p>
        </w:tc>
        <w:tc>
          <w:tcPr>
            <w:tcW w:w="460" w:type="dxa"/>
            <w:gridSpan w:val="4"/>
            <w:tcBorders>
              <w:bottom w:val="single" w:sz="4" w:space="0" w:color="auto"/>
            </w:tcBorders>
          </w:tcPr>
          <w:p w:rsidR="00BA0C21" w:rsidRPr="007A2121" w:rsidRDefault="00BA0C21" w:rsidP="00BA0C21">
            <w:pPr>
              <w:rPr>
                <w:rFonts w:ascii="Calibri" w:hAnsi="Calibri" w:cs="Calibri"/>
                <w:b/>
                <w:sz w:val="20"/>
                <w:szCs w:val="20"/>
              </w:rPr>
            </w:pPr>
          </w:p>
        </w:tc>
        <w:tc>
          <w:tcPr>
            <w:tcW w:w="460" w:type="dxa"/>
            <w:tcBorders>
              <w:bottom w:val="single" w:sz="4" w:space="0" w:color="auto"/>
            </w:tcBorders>
          </w:tcPr>
          <w:p w:rsidR="00BA0C21" w:rsidRPr="007A2121" w:rsidRDefault="00BA0C21" w:rsidP="00BA0C21">
            <w:pPr>
              <w:rPr>
                <w:rFonts w:ascii="Calibri" w:hAnsi="Calibri" w:cs="Calibri"/>
                <w:b/>
                <w:sz w:val="20"/>
                <w:szCs w:val="20"/>
              </w:rPr>
            </w:pPr>
          </w:p>
        </w:tc>
        <w:tc>
          <w:tcPr>
            <w:tcW w:w="460" w:type="dxa"/>
            <w:tcBorders>
              <w:bottom w:val="single" w:sz="4" w:space="0" w:color="auto"/>
            </w:tcBorders>
          </w:tcPr>
          <w:p w:rsidR="00BA0C21" w:rsidRPr="007A2121" w:rsidRDefault="00BA0C21" w:rsidP="00BA0C21">
            <w:pPr>
              <w:rPr>
                <w:rFonts w:ascii="Calibri" w:hAnsi="Calibri" w:cs="Calibri"/>
                <w:b/>
                <w:sz w:val="20"/>
                <w:szCs w:val="20"/>
              </w:rPr>
            </w:pPr>
          </w:p>
        </w:tc>
        <w:tc>
          <w:tcPr>
            <w:tcW w:w="460" w:type="dxa"/>
            <w:gridSpan w:val="3"/>
            <w:tcBorders>
              <w:bottom w:val="single" w:sz="4" w:space="0" w:color="auto"/>
            </w:tcBorders>
          </w:tcPr>
          <w:p w:rsidR="00BA0C21" w:rsidRPr="007A2121" w:rsidRDefault="00BA0C21" w:rsidP="00BA0C21">
            <w:pPr>
              <w:rPr>
                <w:rFonts w:ascii="Calibri" w:hAnsi="Calibri" w:cs="Calibri"/>
                <w:b/>
                <w:sz w:val="20"/>
                <w:szCs w:val="20"/>
              </w:rPr>
            </w:pPr>
          </w:p>
        </w:tc>
        <w:tc>
          <w:tcPr>
            <w:tcW w:w="460" w:type="dxa"/>
            <w:gridSpan w:val="2"/>
            <w:tcBorders>
              <w:bottom w:val="single" w:sz="4" w:space="0" w:color="auto"/>
            </w:tcBorders>
          </w:tcPr>
          <w:p w:rsidR="00BA0C21" w:rsidRPr="007A2121" w:rsidRDefault="00BA0C21" w:rsidP="00BA0C21">
            <w:pPr>
              <w:rPr>
                <w:rFonts w:ascii="Calibri" w:hAnsi="Calibri" w:cs="Calibri"/>
                <w:b/>
                <w:sz w:val="20"/>
                <w:szCs w:val="20"/>
              </w:rPr>
            </w:pPr>
          </w:p>
        </w:tc>
        <w:tc>
          <w:tcPr>
            <w:tcW w:w="972" w:type="dxa"/>
            <w:gridSpan w:val="3"/>
            <w:tcBorders>
              <w:bottom w:val="single" w:sz="4" w:space="0" w:color="auto"/>
            </w:tcBorders>
          </w:tcPr>
          <w:p w:rsidR="00BA0C21" w:rsidRPr="007A2121" w:rsidRDefault="00BA0C21" w:rsidP="00BA0C21">
            <w:pPr>
              <w:rPr>
                <w:rFonts w:ascii="Calibri" w:hAnsi="Calibri" w:cs="Calibri"/>
                <w:b/>
                <w:sz w:val="20"/>
                <w:szCs w:val="20"/>
              </w:rPr>
            </w:pPr>
          </w:p>
        </w:tc>
      </w:tr>
      <w:tr w:rsidR="007A2121" w:rsidRPr="007A2121" w:rsidTr="004F50F4">
        <w:trPr>
          <w:gridAfter w:val="4"/>
          <w:wAfter w:w="2163" w:type="dxa"/>
        </w:trPr>
        <w:tc>
          <w:tcPr>
            <w:tcW w:w="777"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BA0C21" w:rsidRPr="007A2121" w:rsidRDefault="00BA0C21" w:rsidP="00BA0C21">
            <w:pPr>
              <w:jc w:val="center"/>
              <w:rPr>
                <w:rFonts w:ascii="Calibri" w:hAnsi="Calibri" w:cs="Calibri"/>
                <w:b/>
                <w:sz w:val="18"/>
                <w:szCs w:val="18"/>
              </w:rPr>
            </w:pPr>
            <w:r w:rsidRPr="007A2121">
              <w:rPr>
                <w:rFonts w:ascii="Calibri" w:hAnsi="Calibri" w:cs="Calibri"/>
                <w:b/>
                <w:sz w:val="18"/>
                <w:szCs w:val="18"/>
              </w:rPr>
              <w:t>Oddíl, paragraf</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BA0C21" w:rsidRPr="007A2121" w:rsidRDefault="00BA0C21" w:rsidP="00BA0C21">
            <w:pPr>
              <w:jc w:val="center"/>
              <w:rPr>
                <w:rFonts w:ascii="Calibri" w:hAnsi="Calibri" w:cs="Calibri"/>
                <w:b/>
                <w:sz w:val="18"/>
                <w:szCs w:val="18"/>
              </w:rPr>
            </w:pPr>
            <w:r w:rsidRPr="007A2121">
              <w:rPr>
                <w:rFonts w:ascii="Calibri" w:hAnsi="Calibri" w:cs="Calibri"/>
                <w:b/>
                <w:sz w:val="18"/>
                <w:szCs w:val="18"/>
              </w:rPr>
              <w:t>Položka</w:t>
            </w:r>
          </w:p>
        </w:tc>
        <w:tc>
          <w:tcPr>
            <w:tcW w:w="1492" w:type="dxa"/>
            <w:gridSpan w:val="7"/>
            <w:tcBorders>
              <w:top w:val="single" w:sz="4" w:space="0" w:color="auto"/>
              <w:left w:val="single" w:sz="4" w:space="0" w:color="auto"/>
              <w:bottom w:val="single" w:sz="4" w:space="0" w:color="auto"/>
              <w:right w:val="single" w:sz="4" w:space="0" w:color="auto"/>
            </w:tcBorders>
            <w:shd w:val="clear" w:color="auto" w:fill="FFFF00"/>
            <w:vAlign w:val="center"/>
          </w:tcPr>
          <w:p w:rsidR="00BA0C21" w:rsidRPr="007A2121" w:rsidRDefault="00BA0C21" w:rsidP="00BA0C21">
            <w:pPr>
              <w:jc w:val="center"/>
              <w:rPr>
                <w:rFonts w:ascii="Calibri" w:hAnsi="Calibri" w:cs="Calibri"/>
                <w:b/>
                <w:sz w:val="18"/>
                <w:szCs w:val="18"/>
              </w:rPr>
            </w:pPr>
            <w:r w:rsidRPr="007A2121">
              <w:rPr>
                <w:rFonts w:ascii="Calibri" w:hAnsi="Calibri" w:cs="Calibri"/>
                <w:b/>
                <w:sz w:val="18"/>
                <w:szCs w:val="18"/>
              </w:rPr>
              <w:t>Organizace</w:t>
            </w:r>
          </w:p>
        </w:tc>
        <w:tc>
          <w:tcPr>
            <w:tcW w:w="992"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BA0C21" w:rsidRPr="007A2121" w:rsidRDefault="00BA0C21" w:rsidP="00BA0C21">
            <w:pPr>
              <w:jc w:val="center"/>
              <w:rPr>
                <w:rFonts w:ascii="Calibri" w:hAnsi="Calibri" w:cs="Calibri"/>
                <w:b/>
                <w:sz w:val="18"/>
                <w:szCs w:val="18"/>
              </w:rPr>
            </w:pPr>
            <w:r w:rsidRPr="007A2121">
              <w:rPr>
                <w:rFonts w:ascii="Calibri" w:hAnsi="Calibri" w:cs="Calibri"/>
                <w:b/>
                <w:sz w:val="18"/>
                <w:szCs w:val="18"/>
              </w:rPr>
              <w:t>Účelový zdroj</w:t>
            </w:r>
          </w:p>
        </w:tc>
        <w:tc>
          <w:tcPr>
            <w:tcW w:w="1418" w:type="dxa"/>
            <w:gridSpan w:val="8"/>
            <w:tcBorders>
              <w:top w:val="single" w:sz="4" w:space="0" w:color="auto"/>
              <w:left w:val="single" w:sz="4" w:space="0" w:color="auto"/>
              <w:bottom w:val="single" w:sz="4" w:space="0" w:color="auto"/>
              <w:right w:val="single" w:sz="4" w:space="0" w:color="auto"/>
            </w:tcBorders>
            <w:shd w:val="clear" w:color="auto" w:fill="FFFF00"/>
            <w:vAlign w:val="center"/>
          </w:tcPr>
          <w:p w:rsidR="00BA0C21" w:rsidRPr="007A2121" w:rsidRDefault="00BA0C21" w:rsidP="00BA0C21">
            <w:pPr>
              <w:jc w:val="center"/>
              <w:rPr>
                <w:rFonts w:ascii="Calibri" w:hAnsi="Calibri" w:cs="Calibri"/>
                <w:b/>
                <w:sz w:val="18"/>
                <w:szCs w:val="18"/>
              </w:rPr>
            </w:pPr>
            <w:r w:rsidRPr="007A2121">
              <w:rPr>
                <w:rFonts w:ascii="Calibri" w:hAnsi="Calibri" w:cs="Calibri"/>
                <w:b/>
                <w:sz w:val="18"/>
                <w:szCs w:val="18"/>
              </w:rPr>
              <w:t>Upravený rozpočet v tis. Kč</w:t>
            </w:r>
          </w:p>
        </w:tc>
        <w:tc>
          <w:tcPr>
            <w:tcW w:w="1134"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BA0C21" w:rsidRPr="007A2121" w:rsidRDefault="00BA0C21" w:rsidP="00BA0C21">
            <w:pPr>
              <w:jc w:val="center"/>
              <w:rPr>
                <w:rFonts w:ascii="Calibri" w:hAnsi="Calibri" w:cs="Calibri"/>
                <w:b/>
                <w:sz w:val="18"/>
                <w:szCs w:val="18"/>
              </w:rPr>
            </w:pPr>
            <w:r w:rsidRPr="007A2121">
              <w:rPr>
                <w:rFonts w:ascii="Calibri" w:hAnsi="Calibri" w:cs="Calibri"/>
                <w:b/>
                <w:sz w:val="18"/>
                <w:szCs w:val="18"/>
              </w:rPr>
              <w:t>Skutečnost v tis. Kč</w:t>
            </w:r>
          </w:p>
        </w:tc>
        <w:tc>
          <w:tcPr>
            <w:tcW w:w="3046" w:type="dxa"/>
            <w:gridSpan w:val="11"/>
            <w:tcBorders>
              <w:top w:val="single" w:sz="4" w:space="0" w:color="auto"/>
              <w:left w:val="single" w:sz="4" w:space="0" w:color="auto"/>
              <w:bottom w:val="single" w:sz="4" w:space="0" w:color="auto"/>
              <w:right w:val="single" w:sz="4" w:space="0" w:color="auto"/>
            </w:tcBorders>
            <w:shd w:val="clear" w:color="auto" w:fill="FFFF00"/>
            <w:vAlign w:val="center"/>
          </w:tcPr>
          <w:p w:rsidR="00BA0C21" w:rsidRPr="007A2121" w:rsidRDefault="00BA0C21" w:rsidP="00BA0C21">
            <w:pPr>
              <w:jc w:val="center"/>
              <w:rPr>
                <w:rFonts w:ascii="Calibri" w:hAnsi="Calibri" w:cs="Calibri"/>
                <w:b/>
                <w:sz w:val="18"/>
                <w:szCs w:val="18"/>
              </w:rPr>
            </w:pPr>
            <w:r w:rsidRPr="007A2121">
              <w:rPr>
                <w:rFonts w:ascii="Calibri" w:hAnsi="Calibri" w:cs="Calibri"/>
                <w:b/>
                <w:sz w:val="18"/>
                <w:szCs w:val="18"/>
              </w:rPr>
              <w:t>Komentář</w:t>
            </w:r>
          </w:p>
        </w:tc>
      </w:tr>
      <w:tr w:rsidR="00FB39EC" w:rsidRPr="007A2121" w:rsidTr="004F50F4">
        <w:trPr>
          <w:gridAfter w:val="4"/>
          <w:wAfter w:w="2163" w:type="dxa"/>
        </w:trPr>
        <w:tc>
          <w:tcPr>
            <w:tcW w:w="777" w:type="dxa"/>
            <w:gridSpan w:val="2"/>
            <w:tcBorders>
              <w:top w:val="single" w:sz="4" w:space="0" w:color="auto"/>
              <w:left w:val="single" w:sz="4" w:space="0" w:color="auto"/>
              <w:bottom w:val="single" w:sz="4" w:space="0" w:color="auto"/>
              <w:right w:val="single" w:sz="4" w:space="0" w:color="auto"/>
            </w:tcBorders>
          </w:tcPr>
          <w:p w:rsidR="00FB39EC" w:rsidRPr="00091F65" w:rsidRDefault="00FB39EC" w:rsidP="00FB39EC">
            <w:pPr>
              <w:jc w:val="center"/>
              <w:rPr>
                <w:rFonts w:asciiTheme="minorHAnsi" w:hAnsiTheme="minorHAnsi" w:cstheme="minorHAnsi"/>
                <w:sz w:val="18"/>
              </w:rPr>
            </w:pPr>
            <w:r>
              <w:rPr>
                <w:rFonts w:asciiTheme="minorHAnsi" w:hAnsiTheme="minorHAnsi" w:cstheme="minorHAnsi"/>
                <w:sz w:val="18"/>
              </w:rPr>
              <w:t>0000</w:t>
            </w:r>
          </w:p>
        </w:tc>
        <w:tc>
          <w:tcPr>
            <w:tcW w:w="850" w:type="dxa"/>
            <w:gridSpan w:val="4"/>
            <w:tcBorders>
              <w:top w:val="single" w:sz="4" w:space="0" w:color="auto"/>
              <w:left w:val="single" w:sz="4" w:space="0" w:color="auto"/>
              <w:bottom w:val="single" w:sz="4" w:space="0" w:color="auto"/>
              <w:right w:val="single" w:sz="4" w:space="0" w:color="auto"/>
            </w:tcBorders>
          </w:tcPr>
          <w:p w:rsidR="00FB39EC" w:rsidRPr="00091F65" w:rsidRDefault="00FB39EC" w:rsidP="00FB39EC">
            <w:pPr>
              <w:jc w:val="center"/>
              <w:rPr>
                <w:rFonts w:asciiTheme="minorHAnsi" w:hAnsiTheme="minorHAnsi" w:cstheme="minorHAnsi"/>
                <w:sz w:val="18"/>
              </w:rPr>
            </w:pPr>
            <w:r>
              <w:rPr>
                <w:rFonts w:asciiTheme="minorHAnsi" w:hAnsiTheme="minorHAnsi" w:cstheme="minorHAnsi"/>
                <w:sz w:val="18"/>
              </w:rPr>
              <w:t>1334</w:t>
            </w:r>
          </w:p>
        </w:tc>
        <w:tc>
          <w:tcPr>
            <w:tcW w:w="1492" w:type="dxa"/>
            <w:gridSpan w:val="7"/>
            <w:tcBorders>
              <w:top w:val="single" w:sz="4" w:space="0" w:color="auto"/>
              <w:left w:val="single" w:sz="4" w:space="0" w:color="auto"/>
              <w:bottom w:val="single" w:sz="4" w:space="0" w:color="auto"/>
              <w:right w:val="single" w:sz="4" w:space="0" w:color="auto"/>
            </w:tcBorders>
          </w:tcPr>
          <w:p w:rsidR="00FB39EC" w:rsidRPr="00091F65" w:rsidRDefault="00FB39EC" w:rsidP="00FB39EC">
            <w:pPr>
              <w:jc w:val="center"/>
              <w:rPr>
                <w:rFonts w:asciiTheme="minorHAnsi" w:hAnsiTheme="minorHAnsi" w:cstheme="minorHAnsi"/>
                <w:sz w:val="18"/>
              </w:rPr>
            </w:pPr>
            <w:r>
              <w:rPr>
                <w:rFonts w:asciiTheme="minorHAnsi" w:hAnsiTheme="minorHAnsi" w:cstheme="minorHAnsi"/>
                <w:sz w:val="18"/>
              </w:rPr>
              <w:t>0400000000000</w:t>
            </w:r>
          </w:p>
        </w:tc>
        <w:tc>
          <w:tcPr>
            <w:tcW w:w="992" w:type="dxa"/>
            <w:gridSpan w:val="6"/>
            <w:tcBorders>
              <w:top w:val="single" w:sz="4" w:space="0" w:color="auto"/>
              <w:left w:val="single" w:sz="4" w:space="0" w:color="auto"/>
              <w:bottom w:val="single" w:sz="4" w:space="0" w:color="auto"/>
              <w:right w:val="single" w:sz="4" w:space="0" w:color="auto"/>
            </w:tcBorders>
          </w:tcPr>
          <w:p w:rsidR="00FB39EC" w:rsidRPr="00091F65" w:rsidRDefault="00FB39EC" w:rsidP="00FB39EC">
            <w:pPr>
              <w:jc w:val="center"/>
              <w:rPr>
                <w:rFonts w:asciiTheme="minorHAnsi" w:hAnsiTheme="minorHAnsi" w:cstheme="minorHAnsi"/>
                <w:sz w:val="18"/>
              </w:rPr>
            </w:pPr>
          </w:p>
        </w:tc>
        <w:tc>
          <w:tcPr>
            <w:tcW w:w="1418" w:type="dxa"/>
            <w:gridSpan w:val="8"/>
            <w:tcBorders>
              <w:top w:val="single" w:sz="4" w:space="0" w:color="auto"/>
              <w:left w:val="single" w:sz="4" w:space="0" w:color="auto"/>
              <w:bottom w:val="single" w:sz="4" w:space="0" w:color="auto"/>
              <w:right w:val="single" w:sz="4" w:space="0" w:color="auto"/>
            </w:tcBorders>
          </w:tcPr>
          <w:p w:rsidR="00FB39EC" w:rsidRPr="00091F65" w:rsidRDefault="00BA11CF" w:rsidP="00FB39EC">
            <w:pPr>
              <w:jc w:val="right"/>
              <w:rPr>
                <w:rFonts w:asciiTheme="minorHAnsi" w:hAnsiTheme="minorHAnsi" w:cstheme="minorHAnsi"/>
                <w:sz w:val="18"/>
              </w:rPr>
            </w:pPr>
            <w:r>
              <w:rPr>
                <w:rFonts w:asciiTheme="minorHAnsi" w:hAnsiTheme="minorHAnsi" w:cstheme="minorHAnsi"/>
                <w:sz w:val="18"/>
              </w:rPr>
              <w:t>2 0</w:t>
            </w:r>
            <w:r w:rsidR="00FB39EC">
              <w:rPr>
                <w:rFonts w:asciiTheme="minorHAnsi" w:hAnsiTheme="minorHAnsi" w:cstheme="minorHAnsi"/>
                <w:sz w:val="18"/>
              </w:rPr>
              <w:t>00,00</w:t>
            </w:r>
          </w:p>
        </w:tc>
        <w:tc>
          <w:tcPr>
            <w:tcW w:w="1134" w:type="dxa"/>
            <w:gridSpan w:val="6"/>
            <w:tcBorders>
              <w:top w:val="single" w:sz="4" w:space="0" w:color="auto"/>
              <w:left w:val="single" w:sz="4" w:space="0" w:color="auto"/>
              <w:bottom w:val="single" w:sz="4" w:space="0" w:color="auto"/>
              <w:right w:val="single" w:sz="4" w:space="0" w:color="auto"/>
            </w:tcBorders>
          </w:tcPr>
          <w:p w:rsidR="00FB39EC" w:rsidRPr="00091F65" w:rsidRDefault="00BA11CF" w:rsidP="00FB39EC">
            <w:pPr>
              <w:jc w:val="right"/>
              <w:rPr>
                <w:rFonts w:asciiTheme="minorHAnsi" w:hAnsiTheme="minorHAnsi" w:cstheme="minorHAnsi"/>
                <w:sz w:val="18"/>
              </w:rPr>
            </w:pPr>
            <w:r>
              <w:rPr>
                <w:rFonts w:asciiTheme="minorHAnsi" w:hAnsiTheme="minorHAnsi" w:cstheme="minorHAnsi"/>
                <w:sz w:val="18"/>
              </w:rPr>
              <w:t>1 571,33</w:t>
            </w:r>
          </w:p>
        </w:tc>
        <w:tc>
          <w:tcPr>
            <w:tcW w:w="3046" w:type="dxa"/>
            <w:gridSpan w:val="11"/>
            <w:tcBorders>
              <w:top w:val="single" w:sz="4" w:space="0" w:color="auto"/>
              <w:left w:val="single" w:sz="4" w:space="0" w:color="auto"/>
              <w:bottom w:val="single" w:sz="4" w:space="0" w:color="auto"/>
              <w:right w:val="single" w:sz="4" w:space="0" w:color="auto"/>
            </w:tcBorders>
            <w:vAlign w:val="center"/>
          </w:tcPr>
          <w:p w:rsidR="00FB39EC" w:rsidRPr="00091F65" w:rsidRDefault="00FB39EC" w:rsidP="00FB39EC">
            <w:pPr>
              <w:jc w:val="both"/>
              <w:rPr>
                <w:rFonts w:asciiTheme="minorHAnsi" w:hAnsiTheme="minorHAnsi" w:cstheme="minorHAnsi"/>
                <w:b/>
                <w:sz w:val="18"/>
                <w:u w:val="single"/>
              </w:rPr>
            </w:pPr>
            <w:r>
              <w:rPr>
                <w:rFonts w:asciiTheme="minorHAnsi" w:hAnsiTheme="minorHAnsi" w:cstheme="minorHAnsi"/>
                <w:b/>
                <w:sz w:val="18"/>
                <w:u w:val="single"/>
              </w:rPr>
              <w:t>Odvody ze ZPF</w:t>
            </w:r>
          </w:p>
          <w:p w:rsidR="00FB39EC" w:rsidRPr="00091F65" w:rsidRDefault="00BA11CF" w:rsidP="00BA11CF">
            <w:pPr>
              <w:jc w:val="both"/>
              <w:rPr>
                <w:rFonts w:asciiTheme="minorHAnsi" w:hAnsiTheme="minorHAnsi" w:cstheme="minorHAnsi"/>
                <w:sz w:val="18"/>
              </w:rPr>
            </w:pPr>
            <w:r>
              <w:rPr>
                <w:rFonts w:asciiTheme="minorHAnsi" w:hAnsiTheme="minorHAnsi" w:cstheme="minorHAnsi"/>
                <w:sz w:val="18"/>
              </w:rPr>
              <w:t>Výši odvodů nelze přesněji odhadnout.</w:t>
            </w:r>
          </w:p>
        </w:tc>
      </w:tr>
      <w:tr w:rsidR="007A2121" w:rsidRPr="007A2121" w:rsidTr="004F50F4">
        <w:trPr>
          <w:gridAfter w:val="4"/>
          <w:wAfter w:w="2163" w:type="dxa"/>
        </w:trPr>
        <w:tc>
          <w:tcPr>
            <w:tcW w:w="459" w:type="dxa"/>
            <w:tcBorders>
              <w:top w:val="single" w:sz="4" w:space="0" w:color="auto"/>
            </w:tcBorders>
          </w:tcPr>
          <w:p w:rsidR="00BA0C21" w:rsidRPr="007A2121" w:rsidRDefault="00BA0C21" w:rsidP="00BA0C21">
            <w:pPr>
              <w:rPr>
                <w:rFonts w:ascii="Calibri" w:hAnsi="Calibri" w:cs="Calibri"/>
                <w:b/>
                <w:sz w:val="18"/>
                <w:szCs w:val="18"/>
              </w:rPr>
            </w:pPr>
          </w:p>
        </w:tc>
        <w:tc>
          <w:tcPr>
            <w:tcW w:w="318" w:type="dxa"/>
            <w:tcBorders>
              <w:top w:val="single" w:sz="4" w:space="0" w:color="auto"/>
            </w:tcBorders>
          </w:tcPr>
          <w:p w:rsidR="00BA0C21" w:rsidRPr="007A2121" w:rsidRDefault="00BA0C21" w:rsidP="00BA0C21">
            <w:pPr>
              <w:rPr>
                <w:rFonts w:ascii="Calibri" w:hAnsi="Calibri" w:cs="Calibri"/>
                <w:b/>
                <w:sz w:val="18"/>
                <w:szCs w:val="18"/>
              </w:rPr>
            </w:pPr>
          </w:p>
        </w:tc>
        <w:tc>
          <w:tcPr>
            <w:tcW w:w="600" w:type="dxa"/>
            <w:gridSpan w:val="2"/>
            <w:tcBorders>
              <w:top w:val="single" w:sz="4" w:space="0" w:color="auto"/>
            </w:tcBorders>
          </w:tcPr>
          <w:p w:rsidR="00BA0C21" w:rsidRPr="007A2121" w:rsidRDefault="00BA0C21" w:rsidP="00BA0C21">
            <w:pPr>
              <w:rPr>
                <w:rFonts w:ascii="Calibri" w:hAnsi="Calibri" w:cs="Calibri"/>
                <w:b/>
                <w:sz w:val="18"/>
                <w:szCs w:val="18"/>
              </w:rPr>
            </w:pPr>
          </w:p>
        </w:tc>
        <w:tc>
          <w:tcPr>
            <w:tcW w:w="160" w:type="dxa"/>
            <w:tcBorders>
              <w:top w:val="single" w:sz="4" w:space="0" w:color="auto"/>
            </w:tcBorders>
          </w:tcPr>
          <w:p w:rsidR="00BA0C21" w:rsidRPr="007A2121" w:rsidRDefault="00BA0C21" w:rsidP="00BA0C21">
            <w:pPr>
              <w:rPr>
                <w:rFonts w:ascii="Calibri" w:hAnsi="Calibri" w:cs="Calibri"/>
                <w:b/>
                <w:sz w:val="18"/>
                <w:szCs w:val="18"/>
              </w:rPr>
            </w:pPr>
          </w:p>
        </w:tc>
        <w:tc>
          <w:tcPr>
            <w:tcW w:w="760" w:type="dxa"/>
            <w:gridSpan w:val="3"/>
            <w:tcBorders>
              <w:top w:val="single" w:sz="4" w:space="0" w:color="auto"/>
            </w:tcBorders>
          </w:tcPr>
          <w:p w:rsidR="00BA0C21" w:rsidRPr="007A2121" w:rsidRDefault="00BA0C21" w:rsidP="00BA0C21">
            <w:pPr>
              <w:rPr>
                <w:rFonts w:ascii="Calibri" w:hAnsi="Calibri" w:cs="Calibri"/>
                <w:b/>
                <w:sz w:val="18"/>
                <w:szCs w:val="18"/>
              </w:rPr>
            </w:pPr>
          </w:p>
        </w:tc>
        <w:tc>
          <w:tcPr>
            <w:tcW w:w="747" w:type="dxa"/>
            <w:gridSpan w:val="4"/>
            <w:tcBorders>
              <w:top w:val="single" w:sz="4" w:space="0" w:color="auto"/>
            </w:tcBorders>
          </w:tcPr>
          <w:p w:rsidR="00BA0C21" w:rsidRPr="007A2121" w:rsidRDefault="00BA0C21" w:rsidP="00BA0C21">
            <w:pPr>
              <w:rPr>
                <w:rFonts w:ascii="Calibri" w:hAnsi="Calibri" w:cs="Calibri"/>
                <w:b/>
                <w:sz w:val="18"/>
                <w:szCs w:val="18"/>
              </w:rPr>
            </w:pPr>
          </w:p>
        </w:tc>
        <w:tc>
          <w:tcPr>
            <w:tcW w:w="173" w:type="dxa"/>
            <w:gridSpan w:val="2"/>
            <w:tcBorders>
              <w:top w:val="single" w:sz="4" w:space="0" w:color="auto"/>
            </w:tcBorders>
          </w:tcPr>
          <w:p w:rsidR="00BA0C21" w:rsidRPr="007A2121" w:rsidRDefault="00BA0C21" w:rsidP="00BA0C21">
            <w:pPr>
              <w:rPr>
                <w:rFonts w:ascii="Calibri" w:hAnsi="Calibri" w:cs="Calibri"/>
                <w:b/>
                <w:sz w:val="18"/>
                <w:szCs w:val="18"/>
              </w:rPr>
            </w:pPr>
          </w:p>
        </w:tc>
        <w:tc>
          <w:tcPr>
            <w:tcW w:w="678" w:type="dxa"/>
            <w:gridSpan w:val="4"/>
            <w:tcBorders>
              <w:top w:val="single" w:sz="4" w:space="0" w:color="auto"/>
            </w:tcBorders>
          </w:tcPr>
          <w:p w:rsidR="00BA0C21" w:rsidRPr="007A2121" w:rsidRDefault="00BA0C21" w:rsidP="00BA0C21">
            <w:pPr>
              <w:rPr>
                <w:rFonts w:ascii="Calibri" w:hAnsi="Calibri" w:cs="Calibri"/>
                <w:b/>
                <w:sz w:val="18"/>
                <w:szCs w:val="18"/>
              </w:rPr>
            </w:pPr>
          </w:p>
        </w:tc>
        <w:tc>
          <w:tcPr>
            <w:tcW w:w="242" w:type="dxa"/>
            <w:gridSpan w:val="2"/>
            <w:tcBorders>
              <w:top w:val="single" w:sz="4" w:space="0" w:color="auto"/>
            </w:tcBorders>
          </w:tcPr>
          <w:p w:rsidR="00BA0C21" w:rsidRPr="007A2121" w:rsidRDefault="00BA0C21" w:rsidP="00BA0C21">
            <w:pPr>
              <w:rPr>
                <w:rFonts w:ascii="Calibri" w:hAnsi="Calibri" w:cs="Calibri"/>
                <w:b/>
                <w:sz w:val="18"/>
                <w:szCs w:val="18"/>
              </w:rPr>
            </w:pPr>
          </w:p>
        </w:tc>
        <w:tc>
          <w:tcPr>
            <w:tcW w:w="750" w:type="dxa"/>
            <w:gridSpan w:val="2"/>
            <w:tcBorders>
              <w:top w:val="single" w:sz="4" w:space="0" w:color="auto"/>
            </w:tcBorders>
          </w:tcPr>
          <w:p w:rsidR="00BA0C21" w:rsidRPr="007A2121" w:rsidRDefault="00BA0C21" w:rsidP="00BA0C21">
            <w:pPr>
              <w:rPr>
                <w:rFonts w:ascii="Calibri" w:hAnsi="Calibri" w:cs="Calibri"/>
                <w:b/>
                <w:sz w:val="18"/>
                <w:szCs w:val="18"/>
              </w:rPr>
            </w:pPr>
          </w:p>
        </w:tc>
        <w:tc>
          <w:tcPr>
            <w:tcW w:w="170" w:type="dxa"/>
            <w:tcBorders>
              <w:top w:val="single" w:sz="4" w:space="0" w:color="auto"/>
            </w:tcBorders>
          </w:tcPr>
          <w:p w:rsidR="00BA0C21" w:rsidRPr="007A2121" w:rsidRDefault="00BA0C21" w:rsidP="00BA0C21">
            <w:pPr>
              <w:rPr>
                <w:rFonts w:ascii="Calibri" w:hAnsi="Calibri" w:cs="Calibri"/>
                <w:b/>
                <w:sz w:val="18"/>
                <w:szCs w:val="18"/>
              </w:rPr>
            </w:pPr>
          </w:p>
        </w:tc>
        <w:tc>
          <w:tcPr>
            <w:tcW w:w="160" w:type="dxa"/>
            <w:tcBorders>
              <w:top w:val="single" w:sz="4" w:space="0" w:color="auto"/>
            </w:tcBorders>
          </w:tcPr>
          <w:p w:rsidR="00BA0C21" w:rsidRPr="007A2121" w:rsidRDefault="00BA0C21" w:rsidP="00BA0C21">
            <w:pPr>
              <w:rPr>
                <w:rFonts w:ascii="Calibri" w:hAnsi="Calibri" w:cs="Calibri"/>
                <w:b/>
                <w:sz w:val="18"/>
                <w:szCs w:val="18"/>
              </w:rPr>
            </w:pPr>
          </w:p>
        </w:tc>
        <w:tc>
          <w:tcPr>
            <w:tcW w:w="760" w:type="dxa"/>
            <w:gridSpan w:val="4"/>
            <w:tcBorders>
              <w:top w:val="single" w:sz="4" w:space="0" w:color="auto"/>
            </w:tcBorders>
          </w:tcPr>
          <w:p w:rsidR="00BA0C21" w:rsidRPr="007A2121" w:rsidRDefault="00BA0C21" w:rsidP="00BA0C21">
            <w:pPr>
              <w:rPr>
                <w:rFonts w:ascii="Calibri" w:hAnsi="Calibri" w:cs="Calibri"/>
                <w:b/>
                <w:sz w:val="18"/>
                <w:szCs w:val="18"/>
              </w:rPr>
            </w:pPr>
          </w:p>
        </w:tc>
        <w:tc>
          <w:tcPr>
            <w:tcW w:w="460" w:type="dxa"/>
            <w:gridSpan w:val="2"/>
            <w:tcBorders>
              <w:top w:val="single" w:sz="4" w:space="0" w:color="auto"/>
            </w:tcBorders>
          </w:tcPr>
          <w:p w:rsidR="00BA0C21" w:rsidRPr="007A2121" w:rsidRDefault="00BA0C21" w:rsidP="00BA0C21">
            <w:pPr>
              <w:rPr>
                <w:rFonts w:ascii="Calibri" w:hAnsi="Calibri" w:cs="Calibri"/>
                <w:b/>
                <w:sz w:val="18"/>
                <w:szCs w:val="18"/>
              </w:rPr>
            </w:pPr>
          </w:p>
        </w:tc>
        <w:tc>
          <w:tcPr>
            <w:tcW w:w="460" w:type="dxa"/>
            <w:gridSpan w:val="4"/>
            <w:tcBorders>
              <w:top w:val="single" w:sz="4" w:space="0" w:color="auto"/>
            </w:tcBorders>
          </w:tcPr>
          <w:p w:rsidR="00BA0C21" w:rsidRPr="007A2121" w:rsidRDefault="00BA0C21" w:rsidP="00BA0C21">
            <w:pPr>
              <w:rPr>
                <w:rFonts w:ascii="Calibri" w:hAnsi="Calibri" w:cs="Calibri"/>
                <w:b/>
                <w:sz w:val="18"/>
                <w:szCs w:val="18"/>
              </w:rPr>
            </w:pPr>
          </w:p>
        </w:tc>
        <w:tc>
          <w:tcPr>
            <w:tcW w:w="460" w:type="dxa"/>
            <w:tcBorders>
              <w:top w:val="single" w:sz="4" w:space="0" w:color="auto"/>
            </w:tcBorders>
          </w:tcPr>
          <w:p w:rsidR="00BA0C21" w:rsidRPr="007A2121" w:rsidRDefault="00BA0C21" w:rsidP="00BA0C21">
            <w:pPr>
              <w:rPr>
                <w:rFonts w:ascii="Calibri" w:hAnsi="Calibri" w:cs="Calibri"/>
                <w:b/>
                <w:sz w:val="18"/>
                <w:szCs w:val="18"/>
              </w:rPr>
            </w:pPr>
          </w:p>
        </w:tc>
        <w:tc>
          <w:tcPr>
            <w:tcW w:w="460" w:type="dxa"/>
            <w:tcBorders>
              <w:top w:val="single" w:sz="4" w:space="0" w:color="auto"/>
            </w:tcBorders>
          </w:tcPr>
          <w:p w:rsidR="00BA0C21" w:rsidRPr="007A2121" w:rsidRDefault="00BA0C21" w:rsidP="00BA0C21">
            <w:pPr>
              <w:rPr>
                <w:rFonts w:ascii="Calibri" w:hAnsi="Calibri" w:cs="Calibri"/>
                <w:b/>
                <w:sz w:val="18"/>
                <w:szCs w:val="18"/>
              </w:rPr>
            </w:pPr>
          </w:p>
        </w:tc>
        <w:tc>
          <w:tcPr>
            <w:tcW w:w="460" w:type="dxa"/>
            <w:gridSpan w:val="3"/>
            <w:tcBorders>
              <w:top w:val="single" w:sz="4" w:space="0" w:color="auto"/>
            </w:tcBorders>
          </w:tcPr>
          <w:p w:rsidR="00BA0C21" w:rsidRPr="007A2121" w:rsidRDefault="00BA0C21" w:rsidP="00BA0C21">
            <w:pPr>
              <w:rPr>
                <w:rFonts w:ascii="Calibri" w:hAnsi="Calibri" w:cs="Calibri"/>
                <w:b/>
                <w:sz w:val="18"/>
                <w:szCs w:val="18"/>
              </w:rPr>
            </w:pPr>
          </w:p>
        </w:tc>
        <w:tc>
          <w:tcPr>
            <w:tcW w:w="460" w:type="dxa"/>
            <w:gridSpan w:val="2"/>
            <w:tcBorders>
              <w:top w:val="single" w:sz="4" w:space="0" w:color="auto"/>
            </w:tcBorders>
          </w:tcPr>
          <w:p w:rsidR="00BA0C21" w:rsidRPr="007A2121" w:rsidRDefault="00BA0C21" w:rsidP="00BA0C21">
            <w:pPr>
              <w:rPr>
                <w:rFonts w:ascii="Calibri" w:hAnsi="Calibri" w:cs="Calibri"/>
                <w:b/>
                <w:sz w:val="18"/>
                <w:szCs w:val="18"/>
              </w:rPr>
            </w:pPr>
          </w:p>
        </w:tc>
        <w:tc>
          <w:tcPr>
            <w:tcW w:w="972" w:type="dxa"/>
            <w:gridSpan w:val="3"/>
            <w:tcBorders>
              <w:top w:val="single" w:sz="4" w:space="0" w:color="auto"/>
            </w:tcBorders>
          </w:tcPr>
          <w:p w:rsidR="00BA0C21" w:rsidRPr="007A2121" w:rsidRDefault="00BA0C21" w:rsidP="00BA0C21">
            <w:pPr>
              <w:rPr>
                <w:rFonts w:ascii="Calibri" w:hAnsi="Calibri" w:cs="Calibri"/>
                <w:b/>
                <w:sz w:val="18"/>
                <w:szCs w:val="18"/>
              </w:rPr>
            </w:pPr>
          </w:p>
        </w:tc>
      </w:tr>
      <w:tr w:rsidR="007A2121" w:rsidRPr="007A2121" w:rsidTr="004305D0">
        <w:trPr>
          <w:gridAfter w:val="4"/>
          <w:wAfter w:w="2163" w:type="dxa"/>
        </w:trPr>
        <w:tc>
          <w:tcPr>
            <w:tcW w:w="9709" w:type="dxa"/>
            <w:gridSpan w:val="44"/>
            <w:shd w:val="clear" w:color="auto" w:fill="F79646"/>
          </w:tcPr>
          <w:p w:rsidR="00BA0C21" w:rsidRPr="007A2121" w:rsidRDefault="00BA0C21" w:rsidP="00BA0C21">
            <w:pPr>
              <w:rPr>
                <w:rFonts w:ascii="Calibri" w:hAnsi="Calibri" w:cs="Calibri"/>
                <w:b/>
                <w:sz w:val="20"/>
                <w:szCs w:val="20"/>
                <w:u w:val="single"/>
              </w:rPr>
            </w:pPr>
            <w:r w:rsidRPr="007A2121">
              <w:rPr>
                <w:rFonts w:ascii="Calibri" w:hAnsi="Calibri" w:cs="Calibri"/>
                <w:b/>
                <w:sz w:val="20"/>
                <w:szCs w:val="20"/>
                <w:u w:val="single"/>
              </w:rPr>
              <w:t>Rozbor čerpání výdajů rozpočtu kapitoly</w:t>
            </w:r>
          </w:p>
        </w:tc>
      </w:tr>
      <w:tr w:rsidR="007A2121" w:rsidRPr="007A2121" w:rsidTr="004F50F4">
        <w:tc>
          <w:tcPr>
            <w:tcW w:w="459" w:type="dxa"/>
          </w:tcPr>
          <w:p w:rsidR="00BA0C21" w:rsidRPr="007A2121" w:rsidRDefault="00BA0C21" w:rsidP="00BA0C21">
            <w:pPr>
              <w:rPr>
                <w:rFonts w:ascii="Calibri" w:hAnsi="Calibri" w:cs="Calibri"/>
                <w:b/>
                <w:sz w:val="18"/>
                <w:szCs w:val="18"/>
              </w:rPr>
            </w:pPr>
          </w:p>
        </w:tc>
        <w:tc>
          <w:tcPr>
            <w:tcW w:w="458" w:type="dxa"/>
            <w:gridSpan w:val="2"/>
          </w:tcPr>
          <w:p w:rsidR="00BA0C21" w:rsidRPr="007A2121" w:rsidRDefault="00BA0C21" w:rsidP="00BA0C21">
            <w:pPr>
              <w:rPr>
                <w:rFonts w:ascii="Calibri" w:hAnsi="Calibri" w:cs="Calibri"/>
                <w:b/>
                <w:sz w:val="18"/>
                <w:szCs w:val="18"/>
              </w:rPr>
            </w:pPr>
          </w:p>
        </w:tc>
        <w:tc>
          <w:tcPr>
            <w:tcW w:w="460" w:type="dxa"/>
          </w:tcPr>
          <w:p w:rsidR="00BA0C21" w:rsidRPr="007A2121" w:rsidRDefault="00BA0C21" w:rsidP="00BA0C21">
            <w:pPr>
              <w:rPr>
                <w:rFonts w:ascii="Calibri" w:hAnsi="Calibri" w:cs="Calibri"/>
                <w:b/>
                <w:sz w:val="18"/>
                <w:szCs w:val="18"/>
              </w:rPr>
            </w:pPr>
          </w:p>
        </w:tc>
        <w:tc>
          <w:tcPr>
            <w:tcW w:w="1242" w:type="dxa"/>
            <w:gridSpan w:val="5"/>
          </w:tcPr>
          <w:p w:rsidR="00BA0C21" w:rsidRPr="007A2121" w:rsidRDefault="00BA0C21" w:rsidP="00BA0C21">
            <w:pPr>
              <w:rPr>
                <w:rFonts w:ascii="Calibri" w:hAnsi="Calibri" w:cs="Calibri"/>
                <w:b/>
                <w:sz w:val="18"/>
                <w:szCs w:val="18"/>
              </w:rPr>
            </w:pPr>
          </w:p>
        </w:tc>
        <w:tc>
          <w:tcPr>
            <w:tcW w:w="160" w:type="dxa"/>
            <w:gridSpan w:val="2"/>
          </w:tcPr>
          <w:p w:rsidR="00BA0C21" w:rsidRPr="007A2121" w:rsidRDefault="00BA0C21" w:rsidP="00BA0C21">
            <w:pPr>
              <w:rPr>
                <w:rFonts w:ascii="Calibri" w:hAnsi="Calibri" w:cs="Calibri"/>
                <w:b/>
                <w:sz w:val="18"/>
                <w:szCs w:val="18"/>
              </w:rPr>
            </w:pPr>
          </w:p>
        </w:tc>
        <w:tc>
          <w:tcPr>
            <w:tcW w:w="460" w:type="dxa"/>
            <w:gridSpan w:val="4"/>
          </w:tcPr>
          <w:p w:rsidR="00BA0C21" w:rsidRPr="007A2121" w:rsidRDefault="00BA0C21" w:rsidP="00BA0C21">
            <w:pPr>
              <w:rPr>
                <w:rFonts w:ascii="Calibri" w:hAnsi="Calibri" w:cs="Calibri"/>
                <w:b/>
                <w:sz w:val="18"/>
                <w:szCs w:val="18"/>
              </w:rPr>
            </w:pPr>
          </w:p>
        </w:tc>
        <w:tc>
          <w:tcPr>
            <w:tcW w:w="460" w:type="dxa"/>
            <w:gridSpan w:val="2"/>
          </w:tcPr>
          <w:p w:rsidR="00BA0C21" w:rsidRPr="007A2121" w:rsidRDefault="00BA0C21" w:rsidP="00BA0C21">
            <w:pPr>
              <w:rPr>
                <w:rFonts w:ascii="Calibri" w:hAnsi="Calibri" w:cs="Calibri"/>
                <w:b/>
                <w:sz w:val="18"/>
                <w:szCs w:val="18"/>
              </w:rPr>
            </w:pPr>
          </w:p>
        </w:tc>
        <w:tc>
          <w:tcPr>
            <w:tcW w:w="1670" w:type="dxa"/>
            <w:gridSpan w:val="8"/>
          </w:tcPr>
          <w:p w:rsidR="00BA0C21" w:rsidRPr="007A2121" w:rsidRDefault="00BA0C21" w:rsidP="00BA0C21">
            <w:pPr>
              <w:rPr>
                <w:rFonts w:ascii="Calibri" w:hAnsi="Calibri" w:cs="Calibri"/>
                <w:b/>
                <w:sz w:val="18"/>
                <w:szCs w:val="18"/>
              </w:rPr>
            </w:pPr>
          </w:p>
        </w:tc>
        <w:tc>
          <w:tcPr>
            <w:tcW w:w="160" w:type="dxa"/>
            <w:gridSpan w:val="2"/>
          </w:tcPr>
          <w:p w:rsidR="00BA0C21" w:rsidRPr="007A2121" w:rsidRDefault="00BA0C21" w:rsidP="00BA0C21">
            <w:pPr>
              <w:rPr>
                <w:rFonts w:ascii="Calibri" w:hAnsi="Calibri" w:cs="Calibri"/>
                <w:b/>
                <w:sz w:val="18"/>
                <w:szCs w:val="18"/>
              </w:rPr>
            </w:pPr>
          </w:p>
        </w:tc>
        <w:tc>
          <w:tcPr>
            <w:tcW w:w="460" w:type="dxa"/>
            <w:gridSpan w:val="2"/>
          </w:tcPr>
          <w:p w:rsidR="00BA0C21" w:rsidRPr="007A2121" w:rsidRDefault="00BA0C21" w:rsidP="00BA0C21">
            <w:pPr>
              <w:rPr>
                <w:rFonts w:ascii="Calibri" w:hAnsi="Calibri" w:cs="Calibri"/>
                <w:b/>
                <w:sz w:val="18"/>
                <w:szCs w:val="18"/>
              </w:rPr>
            </w:pPr>
          </w:p>
        </w:tc>
        <w:tc>
          <w:tcPr>
            <w:tcW w:w="460" w:type="dxa"/>
            <w:gridSpan w:val="2"/>
          </w:tcPr>
          <w:p w:rsidR="00BA0C21" w:rsidRPr="007A2121" w:rsidRDefault="00BA0C21" w:rsidP="00BA0C21">
            <w:pPr>
              <w:rPr>
                <w:rFonts w:ascii="Calibri" w:hAnsi="Calibri" w:cs="Calibri"/>
                <w:b/>
                <w:sz w:val="18"/>
                <w:szCs w:val="18"/>
              </w:rPr>
            </w:pPr>
          </w:p>
        </w:tc>
        <w:tc>
          <w:tcPr>
            <w:tcW w:w="1531" w:type="dxa"/>
            <w:gridSpan w:val="6"/>
          </w:tcPr>
          <w:p w:rsidR="00BA0C21" w:rsidRPr="007A2121" w:rsidRDefault="00BA0C21" w:rsidP="00BA0C21">
            <w:pPr>
              <w:rPr>
                <w:rFonts w:ascii="Calibri" w:hAnsi="Calibri" w:cs="Calibri"/>
                <w:b/>
                <w:sz w:val="18"/>
                <w:szCs w:val="18"/>
              </w:rPr>
            </w:pPr>
          </w:p>
        </w:tc>
        <w:tc>
          <w:tcPr>
            <w:tcW w:w="160" w:type="dxa"/>
          </w:tcPr>
          <w:p w:rsidR="00BA0C21" w:rsidRPr="007A2121" w:rsidRDefault="00BA0C21" w:rsidP="00BA0C21">
            <w:pPr>
              <w:rPr>
                <w:rFonts w:ascii="Calibri" w:hAnsi="Calibri" w:cs="Calibri"/>
                <w:b/>
                <w:sz w:val="18"/>
                <w:szCs w:val="18"/>
              </w:rPr>
            </w:pPr>
          </w:p>
        </w:tc>
        <w:tc>
          <w:tcPr>
            <w:tcW w:w="460" w:type="dxa"/>
            <w:gridSpan w:val="2"/>
          </w:tcPr>
          <w:p w:rsidR="00BA0C21" w:rsidRPr="007A2121" w:rsidRDefault="00BA0C21" w:rsidP="00BA0C21">
            <w:pPr>
              <w:rPr>
                <w:rFonts w:ascii="Calibri" w:hAnsi="Calibri" w:cs="Calibri"/>
                <w:b/>
                <w:sz w:val="18"/>
                <w:szCs w:val="18"/>
              </w:rPr>
            </w:pPr>
          </w:p>
        </w:tc>
        <w:tc>
          <w:tcPr>
            <w:tcW w:w="460" w:type="dxa"/>
            <w:gridSpan w:val="2"/>
          </w:tcPr>
          <w:p w:rsidR="00BA0C21" w:rsidRPr="007A2121" w:rsidRDefault="00BA0C21" w:rsidP="00BA0C21">
            <w:pPr>
              <w:rPr>
                <w:rFonts w:ascii="Calibri" w:hAnsi="Calibri" w:cs="Calibri"/>
                <w:b/>
                <w:sz w:val="18"/>
                <w:szCs w:val="18"/>
              </w:rPr>
            </w:pPr>
          </w:p>
        </w:tc>
        <w:tc>
          <w:tcPr>
            <w:tcW w:w="460" w:type="dxa"/>
          </w:tcPr>
          <w:p w:rsidR="00BA0C21" w:rsidRPr="007A2121" w:rsidRDefault="00BA0C21" w:rsidP="00BA0C21">
            <w:pPr>
              <w:rPr>
                <w:rFonts w:ascii="Calibri" w:hAnsi="Calibri" w:cs="Calibri"/>
                <w:b/>
                <w:sz w:val="18"/>
                <w:szCs w:val="18"/>
              </w:rPr>
            </w:pPr>
          </w:p>
        </w:tc>
        <w:tc>
          <w:tcPr>
            <w:tcW w:w="318" w:type="dxa"/>
            <w:gridSpan w:val="2"/>
          </w:tcPr>
          <w:p w:rsidR="00BA0C21" w:rsidRPr="007A2121" w:rsidRDefault="00BA0C21" w:rsidP="00BA0C21">
            <w:pPr>
              <w:rPr>
                <w:rFonts w:ascii="Calibri" w:hAnsi="Calibri" w:cs="Calibri"/>
                <w:b/>
                <w:sz w:val="18"/>
                <w:szCs w:val="18"/>
              </w:rPr>
            </w:pPr>
          </w:p>
        </w:tc>
        <w:tc>
          <w:tcPr>
            <w:tcW w:w="460" w:type="dxa"/>
          </w:tcPr>
          <w:p w:rsidR="00BA0C21" w:rsidRPr="007A2121" w:rsidRDefault="00BA0C21" w:rsidP="00BA0C21">
            <w:pPr>
              <w:rPr>
                <w:rFonts w:ascii="Calibri" w:hAnsi="Calibri" w:cs="Calibri"/>
                <w:b/>
                <w:sz w:val="18"/>
                <w:szCs w:val="18"/>
              </w:rPr>
            </w:pPr>
          </w:p>
        </w:tc>
        <w:tc>
          <w:tcPr>
            <w:tcW w:w="460" w:type="dxa"/>
          </w:tcPr>
          <w:p w:rsidR="00BA0C21" w:rsidRPr="007A2121" w:rsidRDefault="00BA0C21" w:rsidP="00BA0C21">
            <w:pPr>
              <w:rPr>
                <w:rFonts w:ascii="Calibri" w:hAnsi="Calibri" w:cs="Calibri"/>
                <w:b/>
                <w:sz w:val="18"/>
                <w:szCs w:val="18"/>
              </w:rPr>
            </w:pPr>
          </w:p>
        </w:tc>
        <w:tc>
          <w:tcPr>
            <w:tcW w:w="1114" w:type="dxa"/>
          </w:tcPr>
          <w:p w:rsidR="00BA0C21" w:rsidRPr="007A2121" w:rsidRDefault="00BA0C21" w:rsidP="00BA0C21">
            <w:pPr>
              <w:rPr>
                <w:rFonts w:ascii="Calibri" w:hAnsi="Calibri" w:cs="Calibri"/>
                <w:b/>
                <w:sz w:val="18"/>
                <w:szCs w:val="18"/>
              </w:rPr>
            </w:pPr>
          </w:p>
        </w:tc>
      </w:tr>
      <w:tr w:rsidR="007A2121" w:rsidRPr="007A2121" w:rsidTr="004F50F4">
        <w:trPr>
          <w:gridAfter w:val="4"/>
          <w:wAfter w:w="2163" w:type="dxa"/>
        </w:trPr>
        <w:tc>
          <w:tcPr>
            <w:tcW w:w="2619" w:type="dxa"/>
            <w:gridSpan w:val="9"/>
            <w:tcBorders>
              <w:top w:val="single" w:sz="4" w:space="0" w:color="auto"/>
              <w:left w:val="single" w:sz="4" w:space="0" w:color="auto"/>
              <w:bottom w:val="single" w:sz="4" w:space="0" w:color="auto"/>
              <w:right w:val="single" w:sz="4" w:space="0" w:color="auto"/>
            </w:tcBorders>
            <w:shd w:val="clear" w:color="auto" w:fill="FFFF00"/>
          </w:tcPr>
          <w:p w:rsidR="00BA0C21" w:rsidRPr="007A2121" w:rsidRDefault="00BA0C21" w:rsidP="00BA0C21">
            <w:pPr>
              <w:jc w:val="center"/>
              <w:rPr>
                <w:rFonts w:ascii="Calibri" w:hAnsi="Calibri" w:cs="Calibri"/>
                <w:b/>
                <w:sz w:val="18"/>
                <w:szCs w:val="18"/>
              </w:rPr>
            </w:pPr>
            <w:r w:rsidRPr="007A2121">
              <w:rPr>
                <w:rFonts w:ascii="Calibri" w:hAnsi="Calibri" w:cs="Calibri"/>
                <w:b/>
                <w:sz w:val="18"/>
                <w:szCs w:val="18"/>
              </w:rPr>
              <w:t>Rozpočet upravený v tis. Kč</w:t>
            </w:r>
          </w:p>
        </w:tc>
        <w:tc>
          <w:tcPr>
            <w:tcW w:w="2268" w:type="dxa"/>
            <w:gridSpan w:val="13"/>
            <w:tcBorders>
              <w:top w:val="single" w:sz="4" w:space="0" w:color="auto"/>
              <w:left w:val="single" w:sz="4" w:space="0" w:color="auto"/>
              <w:bottom w:val="single" w:sz="4" w:space="0" w:color="auto"/>
              <w:right w:val="single" w:sz="4" w:space="0" w:color="auto"/>
            </w:tcBorders>
            <w:shd w:val="clear" w:color="auto" w:fill="FFFF00"/>
          </w:tcPr>
          <w:p w:rsidR="00BA0C21" w:rsidRPr="007A2121" w:rsidRDefault="00BA0C21" w:rsidP="00BA0C21">
            <w:pPr>
              <w:jc w:val="center"/>
              <w:rPr>
                <w:rFonts w:ascii="Calibri" w:hAnsi="Calibri" w:cs="Calibri"/>
                <w:b/>
                <w:sz w:val="18"/>
                <w:szCs w:val="18"/>
              </w:rPr>
            </w:pPr>
            <w:r w:rsidRPr="007A2121">
              <w:rPr>
                <w:rFonts w:ascii="Calibri" w:hAnsi="Calibri" w:cs="Calibri"/>
                <w:b/>
                <w:sz w:val="18"/>
                <w:szCs w:val="18"/>
              </w:rPr>
              <w:t>Skutečnost v tis. Kč</w:t>
            </w:r>
          </w:p>
        </w:tc>
        <w:tc>
          <w:tcPr>
            <w:tcW w:w="1701" w:type="dxa"/>
            <w:gridSpan w:val="10"/>
            <w:tcBorders>
              <w:top w:val="single" w:sz="4" w:space="0" w:color="auto"/>
              <w:left w:val="single" w:sz="4" w:space="0" w:color="auto"/>
              <w:bottom w:val="single" w:sz="4" w:space="0" w:color="auto"/>
              <w:right w:val="single" w:sz="4" w:space="0" w:color="auto"/>
            </w:tcBorders>
            <w:shd w:val="clear" w:color="auto" w:fill="FFFF00"/>
          </w:tcPr>
          <w:p w:rsidR="00BA0C21" w:rsidRPr="007A2121" w:rsidRDefault="00BA0C21" w:rsidP="00BA0C21">
            <w:pPr>
              <w:jc w:val="center"/>
              <w:rPr>
                <w:rFonts w:ascii="Calibri" w:hAnsi="Calibri" w:cs="Calibri"/>
                <w:b/>
                <w:sz w:val="18"/>
                <w:szCs w:val="18"/>
              </w:rPr>
            </w:pPr>
            <w:r w:rsidRPr="007A2121">
              <w:rPr>
                <w:rFonts w:ascii="Calibri" w:hAnsi="Calibri" w:cs="Calibri"/>
                <w:b/>
                <w:sz w:val="18"/>
                <w:szCs w:val="18"/>
              </w:rPr>
              <w:t>SK/RU v %</w:t>
            </w:r>
          </w:p>
        </w:tc>
        <w:tc>
          <w:tcPr>
            <w:tcW w:w="3121" w:type="dxa"/>
            <w:gridSpan w:val="12"/>
            <w:tcBorders>
              <w:top w:val="single" w:sz="4" w:space="0" w:color="auto"/>
              <w:left w:val="single" w:sz="4" w:space="0" w:color="auto"/>
              <w:bottom w:val="single" w:sz="4" w:space="0" w:color="auto"/>
              <w:right w:val="single" w:sz="4" w:space="0" w:color="auto"/>
            </w:tcBorders>
            <w:shd w:val="clear" w:color="auto" w:fill="FFFF00"/>
          </w:tcPr>
          <w:p w:rsidR="00BA0C21" w:rsidRPr="007A2121" w:rsidRDefault="00BA0C21" w:rsidP="00BA0C21">
            <w:pPr>
              <w:jc w:val="center"/>
              <w:rPr>
                <w:rFonts w:ascii="Calibri" w:hAnsi="Calibri" w:cs="Calibri"/>
                <w:b/>
                <w:sz w:val="18"/>
                <w:szCs w:val="18"/>
              </w:rPr>
            </w:pPr>
            <w:r w:rsidRPr="007A2121">
              <w:rPr>
                <w:rFonts w:ascii="Calibri" w:hAnsi="Calibri" w:cs="Calibri"/>
                <w:b/>
                <w:sz w:val="18"/>
                <w:szCs w:val="18"/>
              </w:rPr>
              <w:t>Komentář</w:t>
            </w:r>
          </w:p>
        </w:tc>
      </w:tr>
      <w:tr w:rsidR="007A2121" w:rsidRPr="007A2121" w:rsidTr="004F50F4">
        <w:trPr>
          <w:gridAfter w:val="4"/>
          <w:wAfter w:w="2163" w:type="dxa"/>
        </w:trPr>
        <w:tc>
          <w:tcPr>
            <w:tcW w:w="2619" w:type="dxa"/>
            <w:gridSpan w:val="9"/>
            <w:tcBorders>
              <w:top w:val="single" w:sz="4" w:space="0" w:color="auto"/>
              <w:left w:val="single" w:sz="4" w:space="0" w:color="auto"/>
              <w:bottom w:val="single" w:sz="4" w:space="0" w:color="auto"/>
              <w:right w:val="single" w:sz="4" w:space="0" w:color="auto"/>
            </w:tcBorders>
          </w:tcPr>
          <w:p w:rsidR="004C3024" w:rsidRPr="007A2121" w:rsidRDefault="00BA11CF" w:rsidP="004C3024">
            <w:pPr>
              <w:jc w:val="right"/>
              <w:rPr>
                <w:rFonts w:ascii="Calibri" w:hAnsi="Calibri" w:cs="Calibri"/>
                <w:b/>
                <w:sz w:val="18"/>
                <w:szCs w:val="18"/>
              </w:rPr>
            </w:pPr>
            <w:r>
              <w:rPr>
                <w:rFonts w:ascii="Calibri" w:hAnsi="Calibri" w:cs="Calibri"/>
                <w:b/>
                <w:sz w:val="18"/>
                <w:szCs w:val="18"/>
              </w:rPr>
              <w:t>3 666,85</w:t>
            </w:r>
          </w:p>
        </w:tc>
        <w:tc>
          <w:tcPr>
            <w:tcW w:w="2268" w:type="dxa"/>
            <w:gridSpan w:val="13"/>
            <w:tcBorders>
              <w:top w:val="single" w:sz="4" w:space="0" w:color="auto"/>
              <w:left w:val="single" w:sz="4" w:space="0" w:color="auto"/>
              <w:bottom w:val="single" w:sz="4" w:space="0" w:color="auto"/>
              <w:right w:val="single" w:sz="4" w:space="0" w:color="auto"/>
            </w:tcBorders>
          </w:tcPr>
          <w:p w:rsidR="004C3024" w:rsidRPr="007A2121" w:rsidRDefault="00BA11CF" w:rsidP="004C3024">
            <w:pPr>
              <w:jc w:val="right"/>
              <w:rPr>
                <w:rFonts w:ascii="Calibri" w:hAnsi="Calibri" w:cs="Calibri"/>
                <w:b/>
                <w:sz w:val="18"/>
                <w:szCs w:val="18"/>
              </w:rPr>
            </w:pPr>
            <w:r>
              <w:rPr>
                <w:rFonts w:ascii="Calibri" w:hAnsi="Calibri" w:cs="Calibri"/>
                <w:b/>
                <w:sz w:val="18"/>
                <w:szCs w:val="18"/>
              </w:rPr>
              <w:t>3 558,52</w:t>
            </w:r>
          </w:p>
        </w:tc>
        <w:tc>
          <w:tcPr>
            <w:tcW w:w="1701" w:type="dxa"/>
            <w:gridSpan w:val="10"/>
            <w:tcBorders>
              <w:top w:val="single" w:sz="4" w:space="0" w:color="auto"/>
              <w:left w:val="single" w:sz="4" w:space="0" w:color="auto"/>
              <w:bottom w:val="single" w:sz="4" w:space="0" w:color="auto"/>
              <w:right w:val="single" w:sz="4" w:space="0" w:color="auto"/>
            </w:tcBorders>
          </w:tcPr>
          <w:p w:rsidR="00BA11CF" w:rsidRPr="007A2121" w:rsidRDefault="00BA11CF" w:rsidP="0031470B">
            <w:pPr>
              <w:jc w:val="center"/>
              <w:rPr>
                <w:rFonts w:ascii="Calibri" w:hAnsi="Calibri" w:cs="Calibri"/>
                <w:b/>
                <w:sz w:val="18"/>
                <w:szCs w:val="18"/>
              </w:rPr>
            </w:pPr>
            <w:r>
              <w:rPr>
                <w:rFonts w:ascii="Calibri" w:hAnsi="Calibri" w:cs="Calibri"/>
                <w:b/>
                <w:sz w:val="18"/>
                <w:szCs w:val="18"/>
              </w:rPr>
              <w:t>97,05</w:t>
            </w:r>
          </w:p>
        </w:tc>
        <w:tc>
          <w:tcPr>
            <w:tcW w:w="3121" w:type="dxa"/>
            <w:gridSpan w:val="12"/>
            <w:tcBorders>
              <w:top w:val="single" w:sz="4" w:space="0" w:color="auto"/>
              <w:left w:val="single" w:sz="4" w:space="0" w:color="auto"/>
              <w:bottom w:val="single" w:sz="4" w:space="0" w:color="auto"/>
              <w:right w:val="single" w:sz="4" w:space="0" w:color="auto"/>
            </w:tcBorders>
          </w:tcPr>
          <w:p w:rsidR="004C3024" w:rsidRPr="007A2121" w:rsidRDefault="00D9398C" w:rsidP="004C3024">
            <w:pPr>
              <w:rPr>
                <w:rFonts w:ascii="Calibri" w:hAnsi="Calibri" w:cs="Calibri"/>
                <w:b/>
                <w:sz w:val="18"/>
                <w:szCs w:val="18"/>
              </w:rPr>
            </w:pPr>
            <w:r>
              <w:rPr>
                <w:rFonts w:ascii="Calibri" w:hAnsi="Calibri" w:cs="Calibri"/>
                <w:b/>
                <w:sz w:val="18"/>
                <w:szCs w:val="18"/>
              </w:rPr>
              <w:t>Výdaje před konsolidací</w:t>
            </w:r>
          </w:p>
        </w:tc>
      </w:tr>
      <w:tr w:rsidR="00BA11CF" w:rsidRPr="007A2121" w:rsidTr="004F50F4">
        <w:trPr>
          <w:gridAfter w:val="4"/>
          <w:wAfter w:w="2163" w:type="dxa"/>
        </w:trPr>
        <w:tc>
          <w:tcPr>
            <w:tcW w:w="2619" w:type="dxa"/>
            <w:gridSpan w:val="9"/>
            <w:tcBorders>
              <w:top w:val="single" w:sz="4" w:space="0" w:color="auto"/>
              <w:left w:val="single" w:sz="4" w:space="0" w:color="auto"/>
              <w:bottom w:val="single" w:sz="4" w:space="0" w:color="auto"/>
              <w:right w:val="single" w:sz="4" w:space="0" w:color="auto"/>
            </w:tcBorders>
          </w:tcPr>
          <w:p w:rsidR="00BA11CF" w:rsidRPr="007A2121" w:rsidRDefault="00BA11CF" w:rsidP="00BA11CF">
            <w:pPr>
              <w:jc w:val="right"/>
              <w:rPr>
                <w:rFonts w:ascii="Calibri" w:hAnsi="Calibri" w:cs="Calibri"/>
                <w:b/>
                <w:sz w:val="18"/>
                <w:szCs w:val="18"/>
              </w:rPr>
            </w:pPr>
            <w:r>
              <w:rPr>
                <w:rFonts w:ascii="Calibri" w:hAnsi="Calibri" w:cs="Calibri"/>
                <w:b/>
                <w:sz w:val="18"/>
                <w:szCs w:val="18"/>
              </w:rPr>
              <w:t>3 666,85</w:t>
            </w:r>
          </w:p>
        </w:tc>
        <w:tc>
          <w:tcPr>
            <w:tcW w:w="2268" w:type="dxa"/>
            <w:gridSpan w:val="13"/>
            <w:tcBorders>
              <w:top w:val="single" w:sz="4" w:space="0" w:color="auto"/>
              <w:left w:val="single" w:sz="4" w:space="0" w:color="auto"/>
              <w:bottom w:val="single" w:sz="4" w:space="0" w:color="auto"/>
              <w:right w:val="single" w:sz="4" w:space="0" w:color="auto"/>
            </w:tcBorders>
          </w:tcPr>
          <w:p w:rsidR="00BA11CF" w:rsidRPr="007A2121" w:rsidRDefault="00BA11CF" w:rsidP="00BA11CF">
            <w:pPr>
              <w:jc w:val="right"/>
              <w:rPr>
                <w:rFonts w:ascii="Calibri" w:hAnsi="Calibri" w:cs="Calibri"/>
                <w:b/>
                <w:sz w:val="18"/>
                <w:szCs w:val="18"/>
              </w:rPr>
            </w:pPr>
            <w:r>
              <w:rPr>
                <w:rFonts w:ascii="Calibri" w:hAnsi="Calibri" w:cs="Calibri"/>
                <w:b/>
                <w:sz w:val="18"/>
                <w:szCs w:val="18"/>
              </w:rPr>
              <w:t>3 558,52</w:t>
            </w:r>
          </w:p>
        </w:tc>
        <w:tc>
          <w:tcPr>
            <w:tcW w:w="1701" w:type="dxa"/>
            <w:gridSpan w:val="10"/>
            <w:tcBorders>
              <w:top w:val="single" w:sz="4" w:space="0" w:color="auto"/>
              <w:left w:val="single" w:sz="4" w:space="0" w:color="auto"/>
              <w:bottom w:val="single" w:sz="4" w:space="0" w:color="auto"/>
              <w:right w:val="single" w:sz="4" w:space="0" w:color="auto"/>
            </w:tcBorders>
          </w:tcPr>
          <w:p w:rsidR="00BA11CF" w:rsidRPr="007A2121" w:rsidRDefault="00BA11CF" w:rsidP="0031470B">
            <w:pPr>
              <w:jc w:val="center"/>
              <w:rPr>
                <w:rFonts w:ascii="Calibri" w:hAnsi="Calibri" w:cs="Calibri"/>
                <w:b/>
                <w:sz w:val="18"/>
                <w:szCs w:val="18"/>
              </w:rPr>
            </w:pPr>
            <w:r>
              <w:rPr>
                <w:rFonts w:ascii="Calibri" w:hAnsi="Calibri" w:cs="Calibri"/>
                <w:b/>
                <w:sz w:val="18"/>
                <w:szCs w:val="18"/>
              </w:rPr>
              <w:t>97,05</w:t>
            </w:r>
          </w:p>
        </w:tc>
        <w:tc>
          <w:tcPr>
            <w:tcW w:w="3121" w:type="dxa"/>
            <w:gridSpan w:val="12"/>
            <w:tcBorders>
              <w:top w:val="single" w:sz="4" w:space="0" w:color="auto"/>
              <w:left w:val="single" w:sz="4" w:space="0" w:color="auto"/>
              <w:bottom w:val="single" w:sz="4" w:space="0" w:color="auto"/>
              <w:right w:val="single" w:sz="4" w:space="0" w:color="auto"/>
            </w:tcBorders>
          </w:tcPr>
          <w:p w:rsidR="00BA11CF" w:rsidRPr="007A2121" w:rsidRDefault="00BA11CF" w:rsidP="00BA11CF">
            <w:pPr>
              <w:rPr>
                <w:rFonts w:ascii="Calibri" w:hAnsi="Calibri" w:cs="Calibri"/>
                <w:b/>
                <w:sz w:val="18"/>
                <w:szCs w:val="18"/>
              </w:rPr>
            </w:pPr>
            <w:r>
              <w:rPr>
                <w:rFonts w:ascii="Calibri" w:hAnsi="Calibri" w:cs="Calibri"/>
                <w:b/>
                <w:sz w:val="18"/>
                <w:szCs w:val="18"/>
              </w:rPr>
              <w:t>Výdaje po konsolidaci</w:t>
            </w:r>
          </w:p>
        </w:tc>
      </w:tr>
      <w:tr w:rsidR="007A2121" w:rsidRPr="007A2121" w:rsidTr="004F50F4">
        <w:tc>
          <w:tcPr>
            <w:tcW w:w="459" w:type="dxa"/>
          </w:tcPr>
          <w:p w:rsidR="004C3024" w:rsidRPr="007A2121" w:rsidRDefault="004C3024" w:rsidP="004C3024">
            <w:pPr>
              <w:rPr>
                <w:rFonts w:ascii="Calibri" w:hAnsi="Calibri" w:cs="Calibri"/>
                <w:b/>
                <w:sz w:val="18"/>
                <w:szCs w:val="18"/>
              </w:rPr>
            </w:pPr>
          </w:p>
        </w:tc>
        <w:tc>
          <w:tcPr>
            <w:tcW w:w="458" w:type="dxa"/>
            <w:gridSpan w:val="2"/>
          </w:tcPr>
          <w:p w:rsidR="004C3024" w:rsidRPr="007A2121" w:rsidRDefault="004C3024" w:rsidP="004C3024">
            <w:pPr>
              <w:rPr>
                <w:rFonts w:ascii="Calibri" w:hAnsi="Calibri" w:cs="Calibri"/>
                <w:b/>
                <w:sz w:val="18"/>
                <w:szCs w:val="18"/>
              </w:rPr>
            </w:pPr>
          </w:p>
        </w:tc>
        <w:tc>
          <w:tcPr>
            <w:tcW w:w="460" w:type="dxa"/>
          </w:tcPr>
          <w:p w:rsidR="004C3024" w:rsidRPr="007A2121" w:rsidRDefault="004C3024" w:rsidP="004C3024">
            <w:pPr>
              <w:rPr>
                <w:rFonts w:ascii="Calibri" w:hAnsi="Calibri" w:cs="Calibri"/>
                <w:b/>
                <w:sz w:val="18"/>
                <w:szCs w:val="18"/>
              </w:rPr>
            </w:pPr>
          </w:p>
        </w:tc>
        <w:tc>
          <w:tcPr>
            <w:tcW w:w="1242" w:type="dxa"/>
            <w:gridSpan w:val="5"/>
          </w:tcPr>
          <w:p w:rsidR="004C3024" w:rsidRPr="007A2121" w:rsidRDefault="004C3024" w:rsidP="004C3024">
            <w:pPr>
              <w:rPr>
                <w:rFonts w:ascii="Calibri" w:hAnsi="Calibri" w:cs="Calibri"/>
                <w:b/>
                <w:sz w:val="18"/>
                <w:szCs w:val="18"/>
              </w:rPr>
            </w:pPr>
          </w:p>
        </w:tc>
        <w:tc>
          <w:tcPr>
            <w:tcW w:w="160" w:type="dxa"/>
            <w:gridSpan w:val="2"/>
          </w:tcPr>
          <w:p w:rsidR="004C3024" w:rsidRPr="007A2121" w:rsidRDefault="004C3024" w:rsidP="004C3024">
            <w:pPr>
              <w:rPr>
                <w:rFonts w:ascii="Calibri" w:hAnsi="Calibri" w:cs="Calibri"/>
                <w:b/>
                <w:sz w:val="18"/>
                <w:szCs w:val="18"/>
              </w:rPr>
            </w:pPr>
          </w:p>
        </w:tc>
        <w:tc>
          <w:tcPr>
            <w:tcW w:w="460" w:type="dxa"/>
            <w:gridSpan w:val="4"/>
          </w:tcPr>
          <w:p w:rsidR="004C3024" w:rsidRPr="007A2121" w:rsidRDefault="004C3024" w:rsidP="004C3024">
            <w:pPr>
              <w:rPr>
                <w:rFonts w:ascii="Calibri" w:hAnsi="Calibri" w:cs="Calibri"/>
                <w:b/>
                <w:sz w:val="18"/>
                <w:szCs w:val="18"/>
              </w:rPr>
            </w:pPr>
          </w:p>
        </w:tc>
        <w:tc>
          <w:tcPr>
            <w:tcW w:w="460" w:type="dxa"/>
            <w:gridSpan w:val="2"/>
          </w:tcPr>
          <w:p w:rsidR="004C3024" w:rsidRPr="007A2121" w:rsidRDefault="004C3024" w:rsidP="004C3024">
            <w:pPr>
              <w:rPr>
                <w:rFonts w:ascii="Calibri" w:hAnsi="Calibri" w:cs="Calibri"/>
                <w:b/>
                <w:sz w:val="18"/>
                <w:szCs w:val="18"/>
              </w:rPr>
            </w:pPr>
          </w:p>
        </w:tc>
        <w:tc>
          <w:tcPr>
            <w:tcW w:w="1670" w:type="dxa"/>
            <w:gridSpan w:val="8"/>
          </w:tcPr>
          <w:p w:rsidR="004C3024" w:rsidRPr="007A2121" w:rsidRDefault="004C3024" w:rsidP="004C3024">
            <w:pPr>
              <w:rPr>
                <w:rFonts w:ascii="Calibri" w:hAnsi="Calibri" w:cs="Calibri"/>
                <w:b/>
                <w:sz w:val="18"/>
                <w:szCs w:val="18"/>
              </w:rPr>
            </w:pPr>
          </w:p>
        </w:tc>
        <w:tc>
          <w:tcPr>
            <w:tcW w:w="160" w:type="dxa"/>
            <w:gridSpan w:val="2"/>
          </w:tcPr>
          <w:p w:rsidR="004C3024" w:rsidRPr="007A2121" w:rsidRDefault="004C3024" w:rsidP="004C3024">
            <w:pPr>
              <w:rPr>
                <w:rFonts w:ascii="Calibri" w:hAnsi="Calibri" w:cs="Calibri"/>
                <w:b/>
                <w:sz w:val="18"/>
                <w:szCs w:val="18"/>
              </w:rPr>
            </w:pPr>
          </w:p>
        </w:tc>
        <w:tc>
          <w:tcPr>
            <w:tcW w:w="460" w:type="dxa"/>
            <w:gridSpan w:val="2"/>
          </w:tcPr>
          <w:p w:rsidR="004C3024" w:rsidRPr="007A2121" w:rsidRDefault="004C3024" w:rsidP="004C3024">
            <w:pPr>
              <w:rPr>
                <w:rFonts w:ascii="Calibri" w:hAnsi="Calibri" w:cs="Calibri"/>
                <w:b/>
                <w:sz w:val="18"/>
                <w:szCs w:val="18"/>
              </w:rPr>
            </w:pPr>
          </w:p>
        </w:tc>
        <w:tc>
          <w:tcPr>
            <w:tcW w:w="460" w:type="dxa"/>
            <w:gridSpan w:val="2"/>
          </w:tcPr>
          <w:p w:rsidR="004C3024" w:rsidRPr="007A2121" w:rsidRDefault="004C3024" w:rsidP="004C3024">
            <w:pPr>
              <w:rPr>
                <w:rFonts w:ascii="Calibri" w:hAnsi="Calibri" w:cs="Calibri"/>
                <w:b/>
                <w:sz w:val="18"/>
                <w:szCs w:val="18"/>
              </w:rPr>
            </w:pPr>
          </w:p>
        </w:tc>
        <w:tc>
          <w:tcPr>
            <w:tcW w:w="1531" w:type="dxa"/>
            <w:gridSpan w:val="6"/>
          </w:tcPr>
          <w:p w:rsidR="004C3024" w:rsidRPr="007A2121" w:rsidRDefault="004C3024" w:rsidP="004C3024">
            <w:pPr>
              <w:rPr>
                <w:rFonts w:ascii="Calibri" w:hAnsi="Calibri" w:cs="Calibri"/>
                <w:b/>
                <w:sz w:val="18"/>
                <w:szCs w:val="18"/>
              </w:rPr>
            </w:pPr>
          </w:p>
        </w:tc>
        <w:tc>
          <w:tcPr>
            <w:tcW w:w="160" w:type="dxa"/>
          </w:tcPr>
          <w:p w:rsidR="004C3024" w:rsidRPr="007A2121" w:rsidRDefault="004C3024" w:rsidP="004C3024">
            <w:pPr>
              <w:rPr>
                <w:rFonts w:ascii="Calibri" w:hAnsi="Calibri" w:cs="Calibri"/>
                <w:b/>
                <w:sz w:val="18"/>
                <w:szCs w:val="18"/>
              </w:rPr>
            </w:pPr>
          </w:p>
        </w:tc>
        <w:tc>
          <w:tcPr>
            <w:tcW w:w="460" w:type="dxa"/>
            <w:gridSpan w:val="2"/>
          </w:tcPr>
          <w:p w:rsidR="004C3024" w:rsidRPr="007A2121" w:rsidRDefault="004C3024" w:rsidP="004C3024">
            <w:pPr>
              <w:rPr>
                <w:rFonts w:ascii="Calibri" w:hAnsi="Calibri" w:cs="Calibri"/>
                <w:b/>
                <w:sz w:val="18"/>
                <w:szCs w:val="18"/>
              </w:rPr>
            </w:pPr>
          </w:p>
        </w:tc>
        <w:tc>
          <w:tcPr>
            <w:tcW w:w="460" w:type="dxa"/>
            <w:gridSpan w:val="2"/>
          </w:tcPr>
          <w:p w:rsidR="004C3024" w:rsidRPr="007A2121" w:rsidRDefault="004C3024" w:rsidP="004C3024">
            <w:pPr>
              <w:rPr>
                <w:rFonts w:ascii="Calibri" w:hAnsi="Calibri" w:cs="Calibri"/>
                <w:b/>
                <w:sz w:val="18"/>
                <w:szCs w:val="18"/>
              </w:rPr>
            </w:pPr>
          </w:p>
        </w:tc>
        <w:tc>
          <w:tcPr>
            <w:tcW w:w="460" w:type="dxa"/>
          </w:tcPr>
          <w:p w:rsidR="004C3024" w:rsidRPr="007A2121" w:rsidRDefault="004C3024" w:rsidP="004C3024">
            <w:pPr>
              <w:rPr>
                <w:rFonts w:ascii="Calibri" w:hAnsi="Calibri" w:cs="Calibri"/>
                <w:b/>
                <w:sz w:val="18"/>
                <w:szCs w:val="18"/>
              </w:rPr>
            </w:pPr>
          </w:p>
        </w:tc>
        <w:tc>
          <w:tcPr>
            <w:tcW w:w="318" w:type="dxa"/>
            <w:gridSpan w:val="2"/>
          </w:tcPr>
          <w:p w:rsidR="004C3024" w:rsidRPr="007A2121" w:rsidRDefault="004C3024" w:rsidP="004C3024">
            <w:pPr>
              <w:rPr>
                <w:rFonts w:ascii="Calibri" w:hAnsi="Calibri" w:cs="Calibri"/>
                <w:b/>
                <w:sz w:val="18"/>
                <w:szCs w:val="18"/>
              </w:rPr>
            </w:pPr>
          </w:p>
        </w:tc>
        <w:tc>
          <w:tcPr>
            <w:tcW w:w="460" w:type="dxa"/>
          </w:tcPr>
          <w:p w:rsidR="004C3024" w:rsidRPr="007A2121" w:rsidRDefault="004C3024" w:rsidP="004C3024">
            <w:pPr>
              <w:rPr>
                <w:rFonts w:ascii="Calibri" w:hAnsi="Calibri" w:cs="Calibri"/>
                <w:b/>
                <w:sz w:val="18"/>
                <w:szCs w:val="18"/>
              </w:rPr>
            </w:pPr>
          </w:p>
        </w:tc>
        <w:tc>
          <w:tcPr>
            <w:tcW w:w="460" w:type="dxa"/>
          </w:tcPr>
          <w:p w:rsidR="004C3024" w:rsidRPr="007A2121" w:rsidRDefault="004C3024" w:rsidP="004C3024">
            <w:pPr>
              <w:rPr>
                <w:rFonts w:ascii="Calibri" w:hAnsi="Calibri" w:cs="Calibri"/>
                <w:b/>
                <w:sz w:val="18"/>
                <w:szCs w:val="18"/>
              </w:rPr>
            </w:pPr>
          </w:p>
        </w:tc>
        <w:tc>
          <w:tcPr>
            <w:tcW w:w="1114" w:type="dxa"/>
          </w:tcPr>
          <w:p w:rsidR="004C3024" w:rsidRPr="007A2121" w:rsidRDefault="004C3024" w:rsidP="004C3024">
            <w:pPr>
              <w:rPr>
                <w:rFonts w:ascii="Calibri" w:hAnsi="Calibri" w:cs="Calibri"/>
                <w:b/>
                <w:sz w:val="18"/>
                <w:szCs w:val="18"/>
              </w:rPr>
            </w:pPr>
          </w:p>
        </w:tc>
      </w:tr>
      <w:tr w:rsidR="007A2121" w:rsidRPr="007A2121" w:rsidTr="004305D0">
        <w:trPr>
          <w:gridAfter w:val="4"/>
          <w:wAfter w:w="2163" w:type="dxa"/>
        </w:trPr>
        <w:tc>
          <w:tcPr>
            <w:tcW w:w="9709" w:type="dxa"/>
            <w:gridSpan w:val="44"/>
          </w:tcPr>
          <w:p w:rsidR="004C3024" w:rsidRPr="007A2121" w:rsidRDefault="004C3024" w:rsidP="004C3024">
            <w:pPr>
              <w:rPr>
                <w:rFonts w:ascii="Calibri" w:hAnsi="Calibri" w:cs="Calibri"/>
                <w:b/>
                <w:sz w:val="20"/>
                <w:szCs w:val="20"/>
              </w:rPr>
            </w:pPr>
            <w:r w:rsidRPr="007A2121">
              <w:rPr>
                <w:rFonts w:ascii="Calibri" w:hAnsi="Calibri" w:cs="Calibri"/>
                <w:b/>
                <w:sz w:val="20"/>
                <w:szCs w:val="20"/>
              </w:rPr>
              <w:t>Stručný komentář k celkovému vývoji čerpání výdajů kapitoly ve sledovaném období</w:t>
            </w:r>
          </w:p>
        </w:tc>
      </w:tr>
      <w:tr w:rsidR="007A2121" w:rsidRPr="007A2121" w:rsidTr="004F50F4">
        <w:trPr>
          <w:gridAfter w:val="4"/>
          <w:wAfter w:w="2163" w:type="dxa"/>
        </w:trPr>
        <w:tc>
          <w:tcPr>
            <w:tcW w:w="459" w:type="dxa"/>
          </w:tcPr>
          <w:p w:rsidR="004C3024" w:rsidRPr="007A2121" w:rsidRDefault="004C3024" w:rsidP="004C3024">
            <w:pPr>
              <w:rPr>
                <w:rFonts w:ascii="Calibri" w:hAnsi="Calibri" w:cs="Calibri"/>
                <w:b/>
                <w:sz w:val="20"/>
                <w:szCs w:val="20"/>
              </w:rPr>
            </w:pPr>
          </w:p>
        </w:tc>
        <w:tc>
          <w:tcPr>
            <w:tcW w:w="458" w:type="dxa"/>
            <w:gridSpan w:val="2"/>
          </w:tcPr>
          <w:p w:rsidR="004C3024" w:rsidRPr="007A2121" w:rsidRDefault="004C3024" w:rsidP="004C3024">
            <w:pPr>
              <w:rPr>
                <w:rFonts w:ascii="Calibri" w:hAnsi="Calibri" w:cs="Calibri"/>
                <w:b/>
                <w:sz w:val="20"/>
                <w:szCs w:val="20"/>
              </w:rPr>
            </w:pPr>
          </w:p>
        </w:tc>
        <w:tc>
          <w:tcPr>
            <w:tcW w:w="460" w:type="dxa"/>
          </w:tcPr>
          <w:p w:rsidR="004C3024" w:rsidRPr="007A2121" w:rsidRDefault="004C3024" w:rsidP="004C3024">
            <w:pPr>
              <w:rPr>
                <w:rFonts w:ascii="Calibri" w:hAnsi="Calibri" w:cs="Calibri"/>
                <w:b/>
                <w:sz w:val="20"/>
                <w:szCs w:val="20"/>
              </w:rPr>
            </w:pPr>
          </w:p>
        </w:tc>
        <w:tc>
          <w:tcPr>
            <w:tcW w:w="460" w:type="dxa"/>
            <w:gridSpan w:val="3"/>
          </w:tcPr>
          <w:p w:rsidR="004C3024" w:rsidRPr="007A2121" w:rsidRDefault="004C3024" w:rsidP="004C3024">
            <w:pPr>
              <w:rPr>
                <w:rFonts w:ascii="Calibri" w:hAnsi="Calibri" w:cs="Calibri"/>
                <w:b/>
                <w:sz w:val="20"/>
                <w:szCs w:val="20"/>
              </w:rPr>
            </w:pPr>
          </w:p>
        </w:tc>
        <w:tc>
          <w:tcPr>
            <w:tcW w:w="460" w:type="dxa"/>
          </w:tcPr>
          <w:p w:rsidR="004C3024" w:rsidRPr="007A2121" w:rsidRDefault="004C3024" w:rsidP="004C3024">
            <w:pPr>
              <w:rPr>
                <w:rFonts w:ascii="Calibri" w:hAnsi="Calibri" w:cs="Calibri"/>
                <w:b/>
                <w:sz w:val="20"/>
                <w:szCs w:val="20"/>
              </w:rPr>
            </w:pPr>
          </w:p>
        </w:tc>
        <w:tc>
          <w:tcPr>
            <w:tcW w:w="460" w:type="dxa"/>
            <w:gridSpan w:val="2"/>
          </w:tcPr>
          <w:p w:rsidR="004C3024" w:rsidRPr="007A2121" w:rsidRDefault="004C3024" w:rsidP="004C3024">
            <w:pPr>
              <w:rPr>
                <w:rFonts w:ascii="Calibri" w:hAnsi="Calibri" w:cs="Calibri"/>
                <w:b/>
                <w:sz w:val="20"/>
                <w:szCs w:val="20"/>
              </w:rPr>
            </w:pPr>
          </w:p>
        </w:tc>
        <w:tc>
          <w:tcPr>
            <w:tcW w:w="460" w:type="dxa"/>
            <w:gridSpan w:val="4"/>
          </w:tcPr>
          <w:p w:rsidR="004C3024" w:rsidRPr="007A2121" w:rsidRDefault="004C3024" w:rsidP="004C3024">
            <w:pPr>
              <w:rPr>
                <w:rFonts w:ascii="Calibri" w:hAnsi="Calibri" w:cs="Calibri"/>
                <w:b/>
                <w:sz w:val="20"/>
                <w:szCs w:val="20"/>
              </w:rPr>
            </w:pPr>
          </w:p>
        </w:tc>
        <w:tc>
          <w:tcPr>
            <w:tcW w:w="460" w:type="dxa"/>
            <w:gridSpan w:val="2"/>
          </w:tcPr>
          <w:p w:rsidR="004C3024" w:rsidRPr="007A2121" w:rsidRDefault="004C3024" w:rsidP="004C3024">
            <w:pPr>
              <w:rPr>
                <w:rFonts w:ascii="Calibri" w:hAnsi="Calibri" w:cs="Calibri"/>
                <w:b/>
                <w:sz w:val="20"/>
                <w:szCs w:val="20"/>
              </w:rPr>
            </w:pPr>
          </w:p>
        </w:tc>
        <w:tc>
          <w:tcPr>
            <w:tcW w:w="460" w:type="dxa"/>
            <w:gridSpan w:val="4"/>
          </w:tcPr>
          <w:p w:rsidR="004C3024" w:rsidRPr="007A2121" w:rsidRDefault="004C3024" w:rsidP="004C3024">
            <w:pPr>
              <w:rPr>
                <w:rFonts w:ascii="Calibri" w:hAnsi="Calibri" w:cs="Calibri"/>
                <w:b/>
                <w:sz w:val="20"/>
                <w:szCs w:val="20"/>
              </w:rPr>
            </w:pPr>
          </w:p>
        </w:tc>
        <w:tc>
          <w:tcPr>
            <w:tcW w:w="460" w:type="dxa"/>
          </w:tcPr>
          <w:p w:rsidR="004C3024" w:rsidRPr="007A2121" w:rsidRDefault="004C3024" w:rsidP="004C3024">
            <w:pPr>
              <w:rPr>
                <w:rFonts w:ascii="Calibri" w:hAnsi="Calibri" w:cs="Calibri"/>
                <w:b/>
                <w:sz w:val="20"/>
                <w:szCs w:val="20"/>
              </w:rPr>
            </w:pPr>
          </w:p>
        </w:tc>
        <w:tc>
          <w:tcPr>
            <w:tcW w:w="460" w:type="dxa"/>
            <w:gridSpan w:val="2"/>
          </w:tcPr>
          <w:p w:rsidR="004C3024" w:rsidRPr="007A2121" w:rsidRDefault="004C3024" w:rsidP="004C3024">
            <w:pPr>
              <w:rPr>
                <w:rFonts w:ascii="Calibri" w:hAnsi="Calibri" w:cs="Calibri"/>
                <w:b/>
                <w:sz w:val="20"/>
                <w:szCs w:val="20"/>
              </w:rPr>
            </w:pPr>
          </w:p>
        </w:tc>
        <w:tc>
          <w:tcPr>
            <w:tcW w:w="460" w:type="dxa"/>
            <w:gridSpan w:val="3"/>
          </w:tcPr>
          <w:p w:rsidR="004C3024" w:rsidRPr="007A2121" w:rsidRDefault="004C3024" w:rsidP="004C3024">
            <w:pPr>
              <w:rPr>
                <w:rFonts w:ascii="Calibri" w:hAnsi="Calibri" w:cs="Calibri"/>
                <w:b/>
                <w:sz w:val="20"/>
                <w:szCs w:val="20"/>
              </w:rPr>
            </w:pPr>
          </w:p>
        </w:tc>
        <w:tc>
          <w:tcPr>
            <w:tcW w:w="460" w:type="dxa"/>
            <w:gridSpan w:val="2"/>
          </w:tcPr>
          <w:p w:rsidR="004C3024" w:rsidRPr="007A2121" w:rsidRDefault="004C3024" w:rsidP="004C3024">
            <w:pPr>
              <w:rPr>
                <w:rFonts w:ascii="Calibri" w:hAnsi="Calibri" w:cs="Calibri"/>
                <w:b/>
                <w:sz w:val="20"/>
                <w:szCs w:val="20"/>
              </w:rPr>
            </w:pPr>
          </w:p>
        </w:tc>
        <w:tc>
          <w:tcPr>
            <w:tcW w:w="460" w:type="dxa"/>
            <w:gridSpan w:val="2"/>
          </w:tcPr>
          <w:p w:rsidR="004C3024" w:rsidRPr="007A2121" w:rsidRDefault="004C3024" w:rsidP="004C3024">
            <w:pPr>
              <w:rPr>
                <w:rFonts w:ascii="Calibri" w:hAnsi="Calibri" w:cs="Calibri"/>
                <w:b/>
                <w:sz w:val="20"/>
                <w:szCs w:val="20"/>
              </w:rPr>
            </w:pPr>
          </w:p>
        </w:tc>
        <w:tc>
          <w:tcPr>
            <w:tcW w:w="460" w:type="dxa"/>
            <w:gridSpan w:val="4"/>
          </w:tcPr>
          <w:p w:rsidR="004C3024" w:rsidRPr="007A2121" w:rsidRDefault="004C3024" w:rsidP="004C3024">
            <w:pPr>
              <w:rPr>
                <w:rFonts w:ascii="Calibri" w:hAnsi="Calibri" w:cs="Calibri"/>
                <w:b/>
                <w:sz w:val="20"/>
                <w:szCs w:val="20"/>
              </w:rPr>
            </w:pPr>
          </w:p>
        </w:tc>
        <w:tc>
          <w:tcPr>
            <w:tcW w:w="460" w:type="dxa"/>
          </w:tcPr>
          <w:p w:rsidR="004C3024" w:rsidRPr="007A2121" w:rsidRDefault="004C3024" w:rsidP="004C3024">
            <w:pPr>
              <w:rPr>
                <w:rFonts w:ascii="Calibri" w:hAnsi="Calibri" w:cs="Calibri"/>
                <w:b/>
                <w:sz w:val="20"/>
                <w:szCs w:val="20"/>
              </w:rPr>
            </w:pPr>
          </w:p>
        </w:tc>
        <w:tc>
          <w:tcPr>
            <w:tcW w:w="460" w:type="dxa"/>
          </w:tcPr>
          <w:p w:rsidR="004C3024" w:rsidRPr="007A2121" w:rsidRDefault="004C3024" w:rsidP="004C3024">
            <w:pPr>
              <w:rPr>
                <w:rFonts w:ascii="Calibri" w:hAnsi="Calibri" w:cs="Calibri"/>
                <w:b/>
                <w:sz w:val="20"/>
                <w:szCs w:val="20"/>
              </w:rPr>
            </w:pPr>
          </w:p>
        </w:tc>
        <w:tc>
          <w:tcPr>
            <w:tcW w:w="460" w:type="dxa"/>
            <w:gridSpan w:val="3"/>
          </w:tcPr>
          <w:p w:rsidR="004C3024" w:rsidRPr="007A2121" w:rsidRDefault="004C3024" w:rsidP="004C3024">
            <w:pPr>
              <w:rPr>
                <w:rFonts w:ascii="Calibri" w:hAnsi="Calibri" w:cs="Calibri"/>
                <w:b/>
                <w:sz w:val="20"/>
                <w:szCs w:val="20"/>
              </w:rPr>
            </w:pPr>
          </w:p>
        </w:tc>
        <w:tc>
          <w:tcPr>
            <w:tcW w:w="460" w:type="dxa"/>
            <w:gridSpan w:val="2"/>
          </w:tcPr>
          <w:p w:rsidR="004C3024" w:rsidRPr="007A2121" w:rsidRDefault="004C3024" w:rsidP="004C3024">
            <w:pPr>
              <w:rPr>
                <w:rFonts w:ascii="Calibri" w:hAnsi="Calibri" w:cs="Calibri"/>
                <w:b/>
                <w:sz w:val="20"/>
                <w:szCs w:val="20"/>
              </w:rPr>
            </w:pPr>
          </w:p>
        </w:tc>
        <w:tc>
          <w:tcPr>
            <w:tcW w:w="972" w:type="dxa"/>
            <w:gridSpan w:val="3"/>
          </w:tcPr>
          <w:p w:rsidR="004C3024" w:rsidRPr="007A2121" w:rsidRDefault="004C3024" w:rsidP="004C3024">
            <w:pPr>
              <w:rPr>
                <w:rFonts w:ascii="Calibri" w:hAnsi="Calibri" w:cs="Calibri"/>
                <w:b/>
                <w:sz w:val="20"/>
                <w:szCs w:val="20"/>
              </w:rPr>
            </w:pPr>
          </w:p>
        </w:tc>
      </w:tr>
      <w:tr w:rsidR="007A2121" w:rsidRPr="007A2121" w:rsidTr="004305D0">
        <w:trPr>
          <w:gridAfter w:val="4"/>
          <w:wAfter w:w="2163" w:type="dxa"/>
        </w:trPr>
        <w:tc>
          <w:tcPr>
            <w:tcW w:w="9709" w:type="dxa"/>
            <w:gridSpan w:val="44"/>
            <w:tcBorders>
              <w:top w:val="single" w:sz="6" w:space="0" w:color="auto"/>
              <w:left w:val="single" w:sz="6" w:space="0" w:color="auto"/>
              <w:bottom w:val="single" w:sz="6" w:space="0" w:color="auto"/>
              <w:right w:val="single" w:sz="6" w:space="0" w:color="auto"/>
            </w:tcBorders>
          </w:tcPr>
          <w:p w:rsidR="004C3024" w:rsidRPr="00FB39EC" w:rsidRDefault="00BA11CF" w:rsidP="00BA11CF">
            <w:pPr>
              <w:jc w:val="both"/>
              <w:rPr>
                <w:rFonts w:ascii="Calibri" w:hAnsi="Calibri" w:cs="Calibri"/>
                <w:sz w:val="20"/>
                <w:szCs w:val="20"/>
              </w:rPr>
            </w:pPr>
            <w:r>
              <w:rPr>
                <w:rFonts w:asciiTheme="minorHAnsi" w:hAnsiTheme="minorHAnsi" w:cstheme="minorHAnsi"/>
                <w:sz w:val="20"/>
                <w:szCs w:val="20"/>
              </w:rPr>
              <w:t>Žádná z položek</w:t>
            </w:r>
            <w:r w:rsidR="00FB39EC" w:rsidRPr="00FB39EC">
              <w:rPr>
                <w:rFonts w:asciiTheme="minorHAnsi" w:hAnsiTheme="minorHAnsi" w:cstheme="minorHAnsi"/>
                <w:sz w:val="20"/>
                <w:szCs w:val="20"/>
              </w:rPr>
              <w:t xml:space="preserve"> nevykazuje abnormalitu.</w:t>
            </w:r>
          </w:p>
        </w:tc>
      </w:tr>
      <w:tr w:rsidR="007A2121" w:rsidRPr="007A2121" w:rsidTr="004F50F4">
        <w:trPr>
          <w:gridAfter w:val="4"/>
          <w:wAfter w:w="2163" w:type="dxa"/>
        </w:trPr>
        <w:tc>
          <w:tcPr>
            <w:tcW w:w="459" w:type="dxa"/>
          </w:tcPr>
          <w:p w:rsidR="00BA11CF" w:rsidRPr="007A2121" w:rsidRDefault="00BA11CF" w:rsidP="004C3024">
            <w:pPr>
              <w:rPr>
                <w:rFonts w:ascii="Calibri" w:hAnsi="Calibri" w:cs="Calibri"/>
                <w:b/>
                <w:sz w:val="18"/>
                <w:szCs w:val="18"/>
              </w:rPr>
            </w:pPr>
          </w:p>
        </w:tc>
        <w:tc>
          <w:tcPr>
            <w:tcW w:w="458" w:type="dxa"/>
            <w:gridSpan w:val="2"/>
          </w:tcPr>
          <w:p w:rsidR="004C3024" w:rsidRPr="007A2121" w:rsidRDefault="004C3024" w:rsidP="004C3024">
            <w:pPr>
              <w:rPr>
                <w:rFonts w:ascii="Calibri" w:hAnsi="Calibri" w:cs="Calibri"/>
                <w:b/>
                <w:sz w:val="18"/>
                <w:szCs w:val="18"/>
              </w:rPr>
            </w:pPr>
          </w:p>
        </w:tc>
        <w:tc>
          <w:tcPr>
            <w:tcW w:w="460" w:type="dxa"/>
          </w:tcPr>
          <w:p w:rsidR="004C3024" w:rsidRPr="007A2121" w:rsidRDefault="004C3024" w:rsidP="004C3024">
            <w:pPr>
              <w:rPr>
                <w:rFonts w:ascii="Calibri" w:hAnsi="Calibri" w:cs="Calibri"/>
                <w:b/>
                <w:sz w:val="18"/>
                <w:szCs w:val="18"/>
              </w:rPr>
            </w:pPr>
          </w:p>
        </w:tc>
        <w:tc>
          <w:tcPr>
            <w:tcW w:w="460" w:type="dxa"/>
            <w:gridSpan w:val="3"/>
          </w:tcPr>
          <w:p w:rsidR="004C3024" w:rsidRPr="007A2121" w:rsidRDefault="004C3024" w:rsidP="004C3024">
            <w:pPr>
              <w:rPr>
                <w:rFonts w:ascii="Calibri" w:hAnsi="Calibri" w:cs="Calibri"/>
                <w:b/>
                <w:sz w:val="18"/>
                <w:szCs w:val="18"/>
              </w:rPr>
            </w:pPr>
          </w:p>
        </w:tc>
        <w:tc>
          <w:tcPr>
            <w:tcW w:w="460" w:type="dxa"/>
          </w:tcPr>
          <w:p w:rsidR="004C3024" w:rsidRPr="007A2121" w:rsidRDefault="004C3024" w:rsidP="004C3024">
            <w:pPr>
              <w:rPr>
                <w:rFonts w:ascii="Calibri" w:hAnsi="Calibri" w:cs="Calibri"/>
                <w:b/>
                <w:sz w:val="18"/>
                <w:szCs w:val="18"/>
              </w:rPr>
            </w:pPr>
          </w:p>
        </w:tc>
        <w:tc>
          <w:tcPr>
            <w:tcW w:w="460" w:type="dxa"/>
            <w:gridSpan w:val="2"/>
          </w:tcPr>
          <w:p w:rsidR="004C3024" w:rsidRPr="007A2121" w:rsidRDefault="004C3024" w:rsidP="004C3024">
            <w:pPr>
              <w:rPr>
                <w:rFonts w:ascii="Calibri" w:hAnsi="Calibri" w:cs="Calibri"/>
                <w:b/>
                <w:sz w:val="18"/>
                <w:szCs w:val="18"/>
              </w:rPr>
            </w:pPr>
          </w:p>
        </w:tc>
        <w:tc>
          <w:tcPr>
            <w:tcW w:w="460" w:type="dxa"/>
            <w:gridSpan w:val="4"/>
          </w:tcPr>
          <w:p w:rsidR="004C3024" w:rsidRPr="007A2121" w:rsidRDefault="004C3024" w:rsidP="004C3024">
            <w:pPr>
              <w:rPr>
                <w:rFonts w:ascii="Calibri" w:hAnsi="Calibri" w:cs="Calibri"/>
                <w:b/>
                <w:sz w:val="18"/>
                <w:szCs w:val="18"/>
              </w:rPr>
            </w:pPr>
          </w:p>
        </w:tc>
        <w:tc>
          <w:tcPr>
            <w:tcW w:w="460" w:type="dxa"/>
            <w:gridSpan w:val="2"/>
          </w:tcPr>
          <w:p w:rsidR="004C3024" w:rsidRPr="007A2121" w:rsidRDefault="004C3024" w:rsidP="004C3024">
            <w:pPr>
              <w:rPr>
                <w:rFonts w:ascii="Calibri" w:hAnsi="Calibri" w:cs="Calibri"/>
                <w:b/>
                <w:sz w:val="18"/>
                <w:szCs w:val="18"/>
              </w:rPr>
            </w:pPr>
          </w:p>
        </w:tc>
        <w:tc>
          <w:tcPr>
            <w:tcW w:w="460" w:type="dxa"/>
            <w:gridSpan w:val="4"/>
          </w:tcPr>
          <w:p w:rsidR="004C3024" w:rsidRPr="007A2121" w:rsidRDefault="004C3024" w:rsidP="004C3024">
            <w:pPr>
              <w:rPr>
                <w:rFonts w:ascii="Calibri" w:hAnsi="Calibri" w:cs="Calibri"/>
                <w:b/>
                <w:sz w:val="18"/>
                <w:szCs w:val="18"/>
              </w:rPr>
            </w:pPr>
          </w:p>
        </w:tc>
        <w:tc>
          <w:tcPr>
            <w:tcW w:w="460" w:type="dxa"/>
          </w:tcPr>
          <w:p w:rsidR="004C3024" w:rsidRPr="007A2121" w:rsidRDefault="004C3024" w:rsidP="004C3024">
            <w:pPr>
              <w:rPr>
                <w:rFonts w:ascii="Calibri" w:hAnsi="Calibri" w:cs="Calibri"/>
                <w:b/>
                <w:sz w:val="18"/>
                <w:szCs w:val="18"/>
              </w:rPr>
            </w:pPr>
          </w:p>
        </w:tc>
        <w:tc>
          <w:tcPr>
            <w:tcW w:w="460" w:type="dxa"/>
            <w:gridSpan w:val="2"/>
          </w:tcPr>
          <w:p w:rsidR="004C3024" w:rsidRPr="007A2121" w:rsidRDefault="004C3024" w:rsidP="004C3024">
            <w:pPr>
              <w:rPr>
                <w:rFonts w:ascii="Calibri" w:hAnsi="Calibri" w:cs="Calibri"/>
                <w:b/>
                <w:sz w:val="18"/>
                <w:szCs w:val="18"/>
              </w:rPr>
            </w:pPr>
          </w:p>
        </w:tc>
        <w:tc>
          <w:tcPr>
            <w:tcW w:w="460" w:type="dxa"/>
            <w:gridSpan w:val="3"/>
          </w:tcPr>
          <w:p w:rsidR="004C3024" w:rsidRPr="007A2121" w:rsidRDefault="004C3024" w:rsidP="004C3024">
            <w:pPr>
              <w:rPr>
                <w:rFonts w:ascii="Calibri" w:hAnsi="Calibri" w:cs="Calibri"/>
                <w:b/>
                <w:sz w:val="18"/>
                <w:szCs w:val="18"/>
              </w:rPr>
            </w:pPr>
          </w:p>
        </w:tc>
        <w:tc>
          <w:tcPr>
            <w:tcW w:w="460" w:type="dxa"/>
            <w:gridSpan w:val="2"/>
          </w:tcPr>
          <w:p w:rsidR="004C3024" w:rsidRPr="007A2121" w:rsidRDefault="004C3024" w:rsidP="004C3024">
            <w:pPr>
              <w:rPr>
                <w:rFonts w:ascii="Calibri" w:hAnsi="Calibri" w:cs="Calibri"/>
                <w:b/>
                <w:sz w:val="18"/>
                <w:szCs w:val="18"/>
              </w:rPr>
            </w:pPr>
          </w:p>
        </w:tc>
        <w:tc>
          <w:tcPr>
            <w:tcW w:w="460" w:type="dxa"/>
            <w:gridSpan w:val="2"/>
          </w:tcPr>
          <w:p w:rsidR="004C3024" w:rsidRPr="007A2121" w:rsidRDefault="004C3024" w:rsidP="004C3024">
            <w:pPr>
              <w:rPr>
                <w:rFonts w:ascii="Calibri" w:hAnsi="Calibri" w:cs="Calibri"/>
                <w:b/>
                <w:sz w:val="18"/>
                <w:szCs w:val="18"/>
              </w:rPr>
            </w:pPr>
          </w:p>
        </w:tc>
        <w:tc>
          <w:tcPr>
            <w:tcW w:w="460" w:type="dxa"/>
            <w:gridSpan w:val="4"/>
          </w:tcPr>
          <w:p w:rsidR="004C3024" w:rsidRPr="007A2121" w:rsidRDefault="004C3024" w:rsidP="004C3024">
            <w:pPr>
              <w:rPr>
                <w:rFonts w:ascii="Calibri" w:hAnsi="Calibri" w:cs="Calibri"/>
                <w:b/>
                <w:sz w:val="18"/>
                <w:szCs w:val="18"/>
              </w:rPr>
            </w:pPr>
          </w:p>
        </w:tc>
        <w:tc>
          <w:tcPr>
            <w:tcW w:w="460" w:type="dxa"/>
          </w:tcPr>
          <w:p w:rsidR="004C3024" w:rsidRPr="007A2121" w:rsidRDefault="004C3024" w:rsidP="004C3024">
            <w:pPr>
              <w:rPr>
                <w:rFonts w:ascii="Calibri" w:hAnsi="Calibri" w:cs="Calibri"/>
                <w:b/>
                <w:sz w:val="18"/>
                <w:szCs w:val="18"/>
              </w:rPr>
            </w:pPr>
          </w:p>
        </w:tc>
        <w:tc>
          <w:tcPr>
            <w:tcW w:w="460" w:type="dxa"/>
          </w:tcPr>
          <w:p w:rsidR="004C3024" w:rsidRPr="007A2121" w:rsidRDefault="004C3024" w:rsidP="004C3024">
            <w:pPr>
              <w:rPr>
                <w:rFonts w:ascii="Calibri" w:hAnsi="Calibri" w:cs="Calibri"/>
                <w:b/>
                <w:sz w:val="18"/>
                <w:szCs w:val="18"/>
              </w:rPr>
            </w:pPr>
          </w:p>
        </w:tc>
        <w:tc>
          <w:tcPr>
            <w:tcW w:w="460" w:type="dxa"/>
            <w:gridSpan w:val="3"/>
          </w:tcPr>
          <w:p w:rsidR="004C3024" w:rsidRPr="007A2121" w:rsidRDefault="004C3024" w:rsidP="004C3024">
            <w:pPr>
              <w:rPr>
                <w:rFonts w:ascii="Calibri" w:hAnsi="Calibri" w:cs="Calibri"/>
                <w:b/>
                <w:sz w:val="18"/>
                <w:szCs w:val="18"/>
              </w:rPr>
            </w:pPr>
          </w:p>
        </w:tc>
        <w:tc>
          <w:tcPr>
            <w:tcW w:w="460" w:type="dxa"/>
            <w:gridSpan w:val="2"/>
          </w:tcPr>
          <w:p w:rsidR="004C3024" w:rsidRPr="007A2121" w:rsidRDefault="004C3024" w:rsidP="004C3024">
            <w:pPr>
              <w:rPr>
                <w:rFonts w:ascii="Calibri" w:hAnsi="Calibri" w:cs="Calibri"/>
                <w:b/>
                <w:sz w:val="18"/>
                <w:szCs w:val="18"/>
              </w:rPr>
            </w:pPr>
          </w:p>
        </w:tc>
        <w:tc>
          <w:tcPr>
            <w:tcW w:w="972" w:type="dxa"/>
            <w:gridSpan w:val="3"/>
          </w:tcPr>
          <w:p w:rsidR="004C3024" w:rsidRPr="007A2121" w:rsidRDefault="004C3024" w:rsidP="004C3024">
            <w:pPr>
              <w:rPr>
                <w:rFonts w:ascii="Calibri" w:hAnsi="Calibri" w:cs="Calibri"/>
                <w:b/>
                <w:sz w:val="18"/>
                <w:szCs w:val="18"/>
              </w:rPr>
            </w:pPr>
          </w:p>
        </w:tc>
      </w:tr>
      <w:tr w:rsidR="00BA11CF" w:rsidRPr="007A2121" w:rsidTr="004F50F4">
        <w:trPr>
          <w:gridAfter w:val="4"/>
          <w:wAfter w:w="2163" w:type="dxa"/>
        </w:trPr>
        <w:tc>
          <w:tcPr>
            <w:tcW w:w="777"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BA11CF" w:rsidRPr="007A2121" w:rsidRDefault="00BA11CF" w:rsidP="00BA11CF">
            <w:pPr>
              <w:jc w:val="center"/>
              <w:rPr>
                <w:rFonts w:ascii="Calibri" w:hAnsi="Calibri" w:cs="Calibri"/>
                <w:b/>
                <w:sz w:val="18"/>
                <w:szCs w:val="18"/>
              </w:rPr>
            </w:pPr>
            <w:r w:rsidRPr="007A2121">
              <w:rPr>
                <w:rFonts w:ascii="Calibri" w:hAnsi="Calibri" w:cs="Calibri"/>
                <w:b/>
                <w:sz w:val="18"/>
                <w:szCs w:val="18"/>
              </w:rPr>
              <w:t>Oddíl, paragraf</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BA11CF" w:rsidRPr="007A2121" w:rsidRDefault="00BA11CF" w:rsidP="00BA11CF">
            <w:pPr>
              <w:jc w:val="center"/>
              <w:rPr>
                <w:rFonts w:ascii="Calibri" w:hAnsi="Calibri" w:cs="Calibri"/>
                <w:b/>
                <w:sz w:val="18"/>
                <w:szCs w:val="18"/>
              </w:rPr>
            </w:pPr>
            <w:r w:rsidRPr="007A2121">
              <w:rPr>
                <w:rFonts w:ascii="Calibri" w:hAnsi="Calibri" w:cs="Calibri"/>
                <w:b/>
                <w:sz w:val="18"/>
                <w:szCs w:val="18"/>
              </w:rPr>
              <w:t>Položka</w:t>
            </w:r>
          </w:p>
        </w:tc>
        <w:tc>
          <w:tcPr>
            <w:tcW w:w="1417"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BA11CF" w:rsidRPr="007A2121" w:rsidRDefault="00BA11CF" w:rsidP="00BA11CF">
            <w:pPr>
              <w:jc w:val="center"/>
              <w:rPr>
                <w:rFonts w:ascii="Calibri" w:hAnsi="Calibri" w:cs="Calibri"/>
                <w:b/>
                <w:sz w:val="18"/>
                <w:szCs w:val="18"/>
              </w:rPr>
            </w:pPr>
            <w:r w:rsidRPr="007A2121">
              <w:rPr>
                <w:rFonts w:ascii="Calibri" w:hAnsi="Calibri" w:cs="Calibri"/>
                <w:b/>
                <w:sz w:val="18"/>
                <w:szCs w:val="18"/>
              </w:rPr>
              <w:t>Organizace</w:t>
            </w:r>
          </w:p>
        </w:tc>
        <w:tc>
          <w:tcPr>
            <w:tcW w:w="1067" w:type="dxa"/>
            <w:gridSpan w:val="7"/>
            <w:tcBorders>
              <w:top w:val="single" w:sz="4" w:space="0" w:color="auto"/>
              <w:left w:val="single" w:sz="4" w:space="0" w:color="auto"/>
              <w:bottom w:val="single" w:sz="4" w:space="0" w:color="auto"/>
              <w:right w:val="single" w:sz="4" w:space="0" w:color="auto"/>
            </w:tcBorders>
            <w:shd w:val="clear" w:color="auto" w:fill="FFFF00"/>
            <w:vAlign w:val="center"/>
          </w:tcPr>
          <w:p w:rsidR="00BA11CF" w:rsidRPr="007A2121" w:rsidRDefault="00BA11CF" w:rsidP="00BA11CF">
            <w:pPr>
              <w:jc w:val="center"/>
              <w:rPr>
                <w:rFonts w:ascii="Calibri" w:hAnsi="Calibri" w:cs="Calibri"/>
                <w:b/>
                <w:sz w:val="18"/>
                <w:szCs w:val="18"/>
              </w:rPr>
            </w:pPr>
            <w:r w:rsidRPr="007A2121">
              <w:rPr>
                <w:rFonts w:ascii="Calibri" w:hAnsi="Calibri" w:cs="Calibri"/>
                <w:b/>
                <w:sz w:val="18"/>
                <w:szCs w:val="18"/>
              </w:rPr>
              <w:t>Účelový zdroj</w:t>
            </w:r>
          </w:p>
        </w:tc>
        <w:tc>
          <w:tcPr>
            <w:tcW w:w="1418" w:type="dxa"/>
            <w:gridSpan w:val="8"/>
            <w:tcBorders>
              <w:top w:val="single" w:sz="4" w:space="0" w:color="auto"/>
              <w:left w:val="single" w:sz="4" w:space="0" w:color="auto"/>
              <w:bottom w:val="single" w:sz="4" w:space="0" w:color="auto"/>
              <w:right w:val="single" w:sz="4" w:space="0" w:color="auto"/>
            </w:tcBorders>
            <w:shd w:val="clear" w:color="auto" w:fill="FFFF00"/>
            <w:vAlign w:val="center"/>
          </w:tcPr>
          <w:p w:rsidR="00BA11CF" w:rsidRPr="007A2121" w:rsidRDefault="00BA11CF" w:rsidP="00BA11CF">
            <w:pPr>
              <w:jc w:val="center"/>
              <w:rPr>
                <w:rFonts w:ascii="Calibri" w:hAnsi="Calibri" w:cs="Calibri"/>
                <w:b/>
                <w:sz w:val="18"/>
                <w:szCs w:val="18"/>
              </w:rPr>
            </w:pPr>
            <w:r w:rsidRPr="007A2121">
              <w:rPr>
                <w:rFonts w:ascii="Calibri" w:hAnsi="Calibri" w:cs="Calibri"/>
                <w:b/>
                <w:sz w:val="18"/>
                <w:szCs w:val="18"/>
              </w:rPr>
              <w:t>Upravený rozpočet v tis. Kč</w:t>
            </w:r>
          </w:p>
        </w:tc>
        <w:tc>
          <w:tcPr>
            <w:tcW w:w="1134"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BA11CF" w:rsidRPr="007A2121" w:rsidRDefault="00BA11CF" w:rsidP="00BA11CF">
            <w:pPr>
              <w:jc w:val="center"/>
              <w:rPr>
                <w:rFonts w:ascii="Calibri" w:hAnsi="Calibri" w:cs="Calibri"/>
                <w:b/>
                <w:sz w:val="18"/>
                <w:szCs w:val="18"/>
              </w:rPr>
            </w:pPr>
            <w:r w:rsidRPr="007A2121">
              <w:rPr>
                <w:rFonts w:ascii="Calibri" w:hAnsi="Calibri" w:cs="Calibri"/>
                <w:b/>
                <w:sz w:val="18"/>
                <w:szCs w:val="18"/>
              </w:rPr>
              <w:t>Skutečnost v tis. Kč</w:t>
            </w:r>
          </w:p>
        </w:tc>
        <w:tc>
          <w:tcPr>
            <w:tcW w:w="3046" w:type="dxa"/>
            <w:gridSpan w:val="11"/>
            <w:tcBorders>
              <w:top w:val="single" w:sz="4" w:space="0" w:color="auto"/>
              <w:left w:val="single" w:sz="4" w:space="0" w:color="auto"/>
              <w:bottom w:val="single" w:sz="4" w:space="0" w:color="auto"/>
              <w:right w:val="single" w:sz="4" w:space="0" w:color="auto"/>
            </w:tcBorders>
            <w:shd w:val="clear" w:color="auto" w:fill="FFFF00"/>
            <w:vAlign w:val="center"/>
          </w:tcPr>
          <w:p w:rsidR="00BA11CF" w:rsidRPr="007A2121" w:rsidRDefault="00BA11CF" w:rsidP="00BA11CF">
            <w:pPr>
              <w:jc w:val="center"/>
              <w:rPr>
                <w:rFonts w:ascii="Calibri" w:hAnsi="Calibri" w:cs="Calibri"/>
                <w:b/>
                <w:sz w:val="18"/>
                <w:szCs w:val="18"/>
              </w:rPr>
            </w:pPr>
            <w:r w:rsidRPr="007A2121">
              <w:rPr>
                <w:rFonts w:ascii="Calibri" w:hAnsi="Calibri" w:cs="Calibri"/>
                <w:b/>
                <w:sz w:val="18"/>
                <w:szCs w:val="18"/>
              </w:rPr>
              <w:t>Komentář</w:t>
            </w:r>
          </w:p>
        </w:tc>
      </w:tr>
      <w:tr w:rsidR="00BA11CF" w:rsidRPr="00091F65" w:rsidTr="004F50F4">
        <w:trPr>
          <w:gridAfter w:val="4"/>
          <w:wAfter w:w="2163" w:type="dxa"/>
        </w:trPr>
        <w:tc>
          <w:tcPr>
            <w:tcW w:w="777" w:type="dxa"/>
            <w:gridSpan w:val="2"/>
            <w:tcBorders>
              <w:top w:val="single" w:sz="4" w:space="0" w:color="auto"/>
              <w:left w:val="single" w:sz="4" w:space="0" w:color="auto"/>
              <w:bottom w:val="single" w:sz="4" w:space="0" w:color="auto"/>
              <w:right w:val="single" w:sz="4" w:space="0" w:color="auto"/>
            </w:tcBorders>
          </w:tcPr>
          <w:p w:rsidR="00BA11CF" w:rsidRPr="00091F65" w:rsidRDefault="00BA11CF" w:rsidP="00BA11CF">
            <w:pPr>
              <w:jc w:val="center"/>
              <w:rPr>
                <w:rFonts w:asciiTheme="minorHAnsi" w:hAnsiTheme="minorHAnsi" w:cstheme="minorHAnsi"/>
                <w:sz w:val="18"/>
              </w:rPr>
            </w:pPr>
            <w:r>
              <w:rPr>
                <w:rFonts w:asciiTheme="minorHAnsi" w:hAnsiTheme="minorHAnsi" w:cstheme="minorHAnsi"/>
                <w:sz w:val="18"/>
              </w:rPr>
              <w:t>3745</w:t>
            </w:r>
          </w:p>
        </w:tc>
        <w:tc>
          <w:tcPr>
            <w:tcW w:w="850" w:type="dxa"/>
            <w:gridSpan w:val="4"/>
            <w:tcBorders>
              <w:top w:val="single" w:sz="4" w:space="0" w:color="auto"/>
              <w:left w:val="single" w:sz="4" w:space="0" w:color="auto"/>
              <w:bottom w:val="single" w:sz="4" w:space="0" w:color="auto"/>
              <w:right w:val="single" w:sz="4" w:space="0" w:color="auto"/>
            </w:tcBorders>
          </w:tcPr>
          <w:p w:rsidR="00BA11CF" w:rsidRPr="00091F65" w:rsidRDefault="00BA11CF" w:rsidP="00BA11CF">
            <w:pPr>
              <w:jc w:val="center"/>
              <w:rPr>
                <w:rFonts w:asciiTheme="minorHAnsi" w:hAnsiTheme="minorHAnsi" w:cstheme="minorHAnsi"/>
                <w:sz w:val="18"/>
              </w:rPr>
            </w:pPr>
            <w:r>
              <w:rPr>
                <w:rFonts w:asciiTheme="minorHAnsi" w:hAnsiTheme="minorHAnsi" w:cstheme="minorHAnsi"/>
                <w:sz w:val="18"/>
              </w:rPr>
              <w:t>5169</w:t>
            </w:r>
          </w:p>
        </w:tc>
        <w:tc>
          <w:tcPr>
            <w:tcW w:w="1417" w:type="dxa"/>
            <w:gridSpan w:val="6"/>
            <w:tcBorders>
              <w:top w:val="single" w:sz="4" w:space="0" w:color="auto"/>
              <w:left w:val="single" w:sz="4" w:space="0" w:color="auto"/>
              <w:bottom w:val="single" w:sz="4" w:space="0" w:color="auto"/>
              <w:right w:val="single" w:sz="4" w:space="0" w:color="auto"/>
            </w:tcBorders>
          </w:tcPr>
          <w:p w:rsidR="00BA11CF" w:rsidRPr="00091F65" w:rsidRDefault="00BA11CF" w:rsidP="00BA11CF">
            <w:pPr>
              <w:jc w:val="center"/>
              <w:rPr>
                <w:rFonts w:asciiTheme="minorHAnsi" w:hAnsiTheme="minorHAnsi" w:cstheme="minorHAnsi"/>
                <w:sz w:val="18"/>
              </w:rPr>
            </w:pPr>
            <w:r>
              <w:rPr>
                <w:rFonts w:asciiTheme="minorHAnsi" w:hAnsiTheme="minorHAnsi" w:cstheme="minorHAnsi"/>
                <w:sz w:val="18"/>
              </w:rPr>
              <w:t>0400000000000</w:t>
            </w:r>
          </w:p>
        </w:tc>
        <w:tc>
          <w:tcPr>
            <w:tcW w:w="1067" w:type="dxa"/>
            <w:gridSpan w:val="7"/>
            <w:tcBorders>
              <w:top w:val="single" w:sz="4" w:space="0" w:color="auto"/>
              <w:left w:val="single" w:sz="4" w:space="0" w:color="auto"/>
              <w:bottom w:val="single" w:sz="4" w:space="0" w:color="auto"/>
              <w:right w:val="single" w:sz="4" w:space="0" w:color="auto"/>
            </w:tcBorders>
          </w:tcPr>
          <w:p w:rsidR="00BA11CF" w:rsidRPr="00091F65" w:rsidRDefault="00BA11CF" w:rsidP="00BA11CF">
            <w:pPr>
              <w:jc w:val="center"/>
              <w:rPr>
                <w:rFonts w:asciiTheme="minorHAnsi" w:hAnsiTheme="minorHAnsi" w:cstheme="minorHAnsi"/>
                <w:sz w:val="18"/>
              </w:rPr>
            </w:pPr>
          </w:p>
        </w:tc>
        <w:tc>
          <w:tcPr>
            <w:tcW w:w="1418" w:type="dxa"/>
            <w:gridSpan w:val="8"/>
            <w:tcBorders>
              <w:top w:val="single" w:sz="4" w:space="0" w:color="auto"/>
              <w:left w:val="single" w:sz="4" w:space="0" w:color="auto"/>
              <w:bottom w:val="single" w:sz="4" w:space="0" w:color="auto"/>
              <w:right w:val="single" w:sz="4" w:space="0" w:color="auto"/>
            </w:tcBorders>
          </w:tcPr>
          <w:p w:rsidR="00BA11CF" w:rsidRPr="00091F65" w:rsidRDefault="00BA11CF" w:rsidP="00BA11CF">
            <w:pPr>
              <w:jc w:val="right"/>
              <w:rPr>
                <w:rFonts w:asciiTheme="minorHAnsi" w:hAnsiTheme="minorHAnsi" w:cstheme="minorHAnsi"/>
                <w:sz w:val="18"/>
              </w:rPr>
            </w:pPr>
            <w:r>
              <w:rPr>
                <w:rFonts w:asciiTheme="minorHAnsi" w:hAnsiTheme="minorHAnsi" w:cstheme="minorHAnsi"/>
                <w:sz w:val="18"/>
              </w:rPr>
              <w:t>20,00</w:t>
            </w:r>
          </w:p>
        </w:tc>
        <w:tc>
          <w:tcPr>
            <w:tcW w:w="1134" w:type="dxa"/>
            <w:gridSpan w:val="6"/>
            <w:tcBorders>
              <w:top w:val="single" w:sz="4" w:space="0" w:color="auto"/>
              <w:left w:val="single" w:sz="4" w:space="0" w:color="auto"/>
              <w:bottom w:val="single" w:sz="4" w:space="0" w:color="auto"/>
              <w:right w:val="single" w:sz="4" w:space="0" w:color="auto"/>
            </w:tcBorders>
          </w:tcPr>
          <w:p w:rsidR="00BA11CF" w:rsidRPr="00091F65" w:rsidRDefault="00BA11CF" w:rsidP="00BA11CF">
            <w:pPr>
              <w:jc w:val="right"/>
              <w:rPr>
                <w:rFonts w:asciiTheme="minorHAnsi" w:hAnsiTheme="minorHAnsi" w:cstheme="minorHAnsi"/>
                <w:sz w:val="18"/>
              </w:rPr>
            </w:pPr>
            <w:r>
              <w:rPr>
                <w:rFonts w:asciiTheme="minorHAnsi" w:hAnsiTheme="minorHAnsi" w:cstheme="minorHAnsi"/>
                <w:sz w:val="18"/>
              </w:rPr>
              <w:t>0,00</w:t>
            </w:r>
          </w:p>
        </w:tc>
        <w:tc>
          <w:tcPr>
            <w:tcW w:w="3046" w:type="dxa"/>
            <w:gridSpan w:val="11"/>
            <w:tcBorders>
              <w:top w:val="single" w:sz="4" w:space="0" w:color="auto"/>
              <w:left w:val="single" w:sz="4" w:space="0" w:color="auto"/>
              <w:bottom w:val="single" w:sz="4" w:space="0" w:color="auto"/>
              <w:right w:val="single" w:sz="4" w:space="0" w:color="auto"/>
            </w:tcBorders>
            <w:vAlign w:val="center"/>
          </w:tcPr>
          <w:tbl>
            <w:tblPr>
              <w:tblW w:w="2968" w:type="dxa"/>
              <w:tblBorders>
                <w:top w:val="nil"/>
                <w:left w:val="nil"/>
                <w:bottom w:val="nil"/>
                <w:right w:val="nil"/>
              </w:tblBorders>
              <w:tblLayout w:type="fixed"/>
              <w:tblLook w:val="0000" w:firstRow="0" w:lastRow="0" w:firstColumn="0" w:lastColumn="0" w:noHBand="0" w:noVBand="0"/>
            </w:tblPr>
            <w:tblGrid>
              <w:gridCol w:w="2968"/>
            </w:tblGrid>
            <w:tr w:rsidR="004F50F4" w:rsidRPr="004F50F4" w:rsidTr="004F50F4">
              <w:trPr>
                <w:trHeight w:val="447"/>
              </w:trPr>
              <w:tc>
                <w:tcPr>
                  <w:tcW w:w="2968" w:type="dxa"/>
                </w:tcPr>
                <w:p w:rsidR="004F50F4" w:rsidRPr="004F50F4" w:rsidRDefault="004F50F4" w:rsidP="004F50F4">
                  <w:pPr>
                    <w:autoSpaceDE w:val="0"/>
                    <w:autoSpaceDN w:val="0"/>
                    <w:adjustRightInd w:val="0"/>
                    <w:rPr>
                      <w:rFonts w:asciiTheme="minorHAnsi" w:hAnsiTheme="minorHAnsi" w:cstheme="minorHAnsi"/>
                      <w:b/>
                      <w:sz w:val="18"/>
                      <w:u w:val="single"/>
                    </w:rPr>
                  </w:pPr>
                  <w:r w:rsidRPr="004F50F4">
                    <w:rPr>
                      <w:rFonts w:asciiTheme="minorHAnsi" w:hAnsiTheme="minorHAnsi" w:cstheme="minorHAnsi"/>
                      <w:b/>
                      <w:sz w:val="18"/>
                      <w:u w:val="single"/>
                    </w:rPr>
                    <w:t xml:space="preserve">Péče o vzhled obcí a veřejnou zeleň </w:t>
                  </w:r>
                </w:p>
                <w:p w:rsidR="004F50F4" w:rsidRPr="004F50F4" w:rsidRDefault="004F50F4" w:rsidP="004F50F4">
                  <w:pPr>
                    <w:autoSpaceDE w:val="0"/>
                    <w:autoSpaceDN w:val="0"/>
                    <w:adjustRightInd w:val="0"/>
                    <w:rPr>
                      <w:rFonts w:asciiTheme="minorHAnsi" w:hAnsiTheme="minorHAnsi" w:cstheme="minorHAnsi"/>
                      <w:b/>
                      <w:sz w:val="18"/>
                      <w:u w:val="single"/>
                    </w:rPr>
                  </w:pPr>
                  <w:r w:rsidRPr="004F50F4">
                    <w:rPr>
                      <w:rFonts w:asciiTheme="minorHAnsi" w:hAnsiTheme="minorHAnsi" w:cstheme="minorHAnsi"/>
                      <w:sz w:val="18"/>
                    </w:rPr>
                    <w:t>Položka je čerpána na základě aktuálních požadavků. V roce 2022 nebyly žádné požadavky.</w:t>
                  </w:r>
                  <w:r w:rsidRPr="004F50F4">
                    <w:rPr>
                      <w:rFonts w:asciiTheme="minorHAnsi" w:hAnsiTheme="minorHAnsi" w:cstheme="minorHAnsi"/>
                      <w:b/>
                      <w:sz w:val="18"/>
                      <w:u w:val="single"/>
                    </w:rPr>
                    <w:t xml:space="preserve"> </w:t>
                  </w:r>
                </w:p>
              </w:tc>
            </w:tr>
          </w:tbl>
          <w:p w:rsidR="00BA11CF" w:rsidRPr="00091F65" w:rsidRDefault="00BA11CF" w:rsidP="00BA11CF">
            <w:pPr>
              <w:jc w:val="both"/>
              <w:rPr>
                <w:rFonts w:asciiTheme="minorHAnsi" w:hAnsiTheme="minorHAnsi" w:cstheme="minorHAnsi"/>
                <w:sz w:val="18"/>
              </w:rPr>
            </w:pPr>
          </w:p>
        </w:tc>
      </w:tr>
    </w:tbl>
    <w:p w:rsidR="00BA11CF" w:rsidRDefault="00BA11CF" w:rsidP="00FB39EC">
      <w:pPr>
        <w:rPr>
          <w:rFonts w:asciiTheme="minorHAnsi" w:hAnsiTheme="minorHAnsi" w:cstheme="minorHAnsi"/>
          <w:b/>
          <w:sz w:val="18"/>
        </w:rPr>
      </w:pPr>
    </w:p>
    <w:p w:rsidR="00FB39EC" w:rsidRDefault="00FB39EC" w:rsidP="00FB39EC">
      <w:pPr>
        <w:rPr>
          <w:rFonts w:asciiTheme="minorHAnsi" w:hAnsiTheme="minorHAnsi" w:cstheme="minorHAnsi"/>
          <w:b/>
          <w:sz w:val="18"/>
        </w:rPr>
      </w:pPr>
      <w:r>
        <w:rPr>
          <w:rFonts w:asciiTheme="minorHAnsi" w:hAnsiTheme="minorHAnsi" w:cstheme="minorHAnsi"/>
          <w:b/>
          <w:sz w:val="18"/>
        </w:rPr>
        <w:t>Přehled schválených rozpočtových opatření k 31.</w:t>
      </w:r>
      <w:r w:rsidR="00BA11CF">
        <w:rPr>
          <w:rFonts w:asciiTheme="minorHAnsi" w:hAnsiTheme="minorHAnsi" w:cstheme="minorHAnsi"/>
          <w:b/>
          <w:sz w:val="18"/>
        </w:rPr>
        <w:t xml:space="preserve"> </w:t>
      </w:r>
      <w:r>
        <w:rPr>
          <w:rFonts w:asciiTheme="minorHAnsi" w:hAnsiTheme="minorHAnsi" w:cstheme="minorHAnsi"/>
          <w:b/>
          <w:sz w:val="18"/>
        </w:rPr>
        <w:t>12.</w:t>
      </w:r>
      <w:r w:rsidR="00BA11CF">
        <w:rPr>
          <w:rFonts w:asciiTheme="minorHAnsi" w:hAnsiTheme="minorHAnsi" w:cstheme="minorHAnsi"/>
          <w:b/>
          <w:sz w:val="18"/>
        </w:rPr>
        <w:t xml:space="preserve"> </w:t>
      </w:r>
      <w:r>
        <w:rPr>
          <w:rFonts w:asciiTheme="minorHAnsi" w:hAnsiTheme="minorHAnsi" w:cstheme="minorHAnsi"/>
          <w:b/>
          <w:sz w:val="18"/>
        </w:rPr>
        <w:t>202</w:t>
      </w:r>
      <w:r w:rsidR="00BA11CF">
        <w:rPr>
          <w:rFonts w:asciiTheme="minorHAnsi" w:hAnsiTheme="minorHAnsi" w:cstheme="minorHAnsi"/>
          <w:b/>
          <w:sz w:val="18"/>
        </w:rPr>
        <w:t>2</w:t>
      </w:r>
    </w:p>
    <w:p w:rsidR="00FB39EC" w:rsidRDefault="00FB39EC" w:rsidP="00FB39EC">
      <w:pPr>
        <w:rPr>
          <w:rFonts w:asciiTheme="minorHAnsi" w:hAnsiTheme="minorHAnsi" w:cstheme="minorHAnsi"/>
          <w:b/>
          <w:sz w:val="18"/>
        </w:rPr>
      </w:pPr>
    </w:p>
    <w:p w:rsidR="00896AF6" w:rsidRPr="00896AF6" w:rsidRDefault="00896AF6" w:rsidP="00896AF6">
      <w:pPr>
        <w:autoSpaceDE w:val="0"/>
        <w:autoSpaceDN w:val="0"/>
        <w:adjustRightInd w:val="0"/>
        <w:rPr>
          <w:rFonts w:ascii="Calibri" w:hAnsi="Calibri" w:cs="Calibr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1"/>
        <w:gridCol w:w="1134"/>
        <w:gridCol w:w="1417"/>
        <w:gridCol w:w="3686"/>
        <w:gridCol w:w="1577"/>
      </w:tblGrid>
      <w:tr w:rsidR="00896AF6" w:rsidRPr="00896AF6" w:rsidTr="00896AF6">
        <w:trPr>
          <w:trHeight w:val="205"/>
        </w:trPr>
        <w:tc>
          <w:tcPr>
            <w:tcW w:w="1521" w:type="dxa"/>
          </w:tcPr>
          <w:p w:rsidR="00896AF6" w:rsidRPr="00896AF6" w:rsidRDefault="00896AF6" w:rsidP="00896AF6">
            <w:pPr>
              <w:autoSpaceDE w:val="0"/>
              <w:autoSpaceDN w:val="0"/>
              <w:adjustRightInd w:val="0"/>
              <w:rPr>
                <w:rFonts w:ascii="Calibri" w:hAnsi="Calibri" w:cs="Calibri"/>
                <w:color w:val="000000"/>
                <w:sz w:val="18"/>
                <w:szCs w:val="18"/>
              </w:rPr>
            </w:pPr>
            <w:r w:rsidRPr="00896AF6">
              <w:rPr>
                <w:rFonts w:ascii="Calibri" w:hAnsi="Calibri" w:cs="Calibri"/>
                <w:color w:val="000000"/>
              </w:rPr>
              <w:t xml:space="preserve"> </w:t>
            </w:r>
            <w:r w:rsidRPr="00896AF6">
              <w:rPr>
                <w:rFonts w:ascii="Calibri" w:hAnsi="Calibri" w:cs="Calibri"/>
                <w:b/>
                <w:bCs/>
                <w:color w:val="000000"/>
                <w:sz w:val="18"/>
                <w:szCs w:val="18"/>
              </w:rPr>
              <w:t xml:space="preserve">Usn.č. </w:t>
            </w:r>
          </w:p>
        </w:tc>
        <w:tc>
          <w:tcPr>
            <w:tcW w:w="1134" w:type="dxa"/>
          </w:tcPr>
          <w:p w:rsidR="00896AF6" w:rsidRPr="00896AF6" w:rsidRDefault="00896AF6" w:rsidP="00896AF6">
            <w:pPr>
              <w:autoSpaceDE w:val="0"/>
              <w:autoSpaceDN w:val="0"/>
              <w:adjustRightInd w:val="0"/>
              <w:rPr>
                <w:rFonts w:ascii="Calibri" w:hAnsi="Calibri" w:cs="Calibri"/>
                <w:color w:val="000000"/>
                <w:sz w:val="18"/>
                <w:szCs w:val="18"/>
              </w:rPr>
            </w:pPr>
            <w:r w:rsidRPr="00896AF6">
              <w:rPr>
                <w:rFonts w:ascii="Calibri" w:hAnsi="Calibri" w:cs="Calibri"/>
                <w:b/>
                <w:bCs/>
                <w:color w:val="000000"/>
                <w:sz w:val="18"/>
                <w:szCs w:val="18"/>
              </w:rPr>
              <w:t xml:space="preserve">Datum </w:t>
            </w:r>
          </w:p>
        </w:tc>
        <w:tc>
          <w:tcPr>
            <w:tcW w:w="1417" w:type="dxa"/>
          </w:tcPr>
          <w:p w:rsidR="00896AF6" w:rsidRPr="00896AF6" w:rsidRDefault="00896AF6" w:rsidP="00896AF6">
            <w:pPr>
              <w:autoSpaceDE w:val="0"/>
              <w:autoSpaceDN w:val="0"/>
              <w:adjustRightInd w:val="0"/>
              <w:rPr>
                <w:rFonts w:ascii="Calibri" w:hAnsi="Calibri" w:cs="Calibri"/>
                <w:color w:val="000000"/>
                <w:sz w:val="18"/>
                <w:szCs w:val="18"/>
              </w:rPr>
            </w:pPr>
            <w:r w:rsidRPr="00896AF6">
              <w:rPr>
                <w:rFonts w:ascii="Calibri" w:hAnsi="Calibri" w:cs="Calibri"/>
                <w:b/>
                <w:bCs/>
                <w:color w:val="000000"/>
                <w:sz w:val="18"/>
                <w:szCs w:val="18"/>
              </w:rPr>
              <w:t xml:space="preserve">Částka v tis. Kč </w:t>
            </w:r>
          </w:p>
        </w:tc>
        <w:tc>
          <w:tcPr>
            <w:tcW w:w="3686" w:type="dxa"/>
          </w:tcPr>
          <w:p w:rsidR="00896AF6" w:rsidRPr="00896AF6" w:rsidRDefault="00896AF6" w:rsidP="00896AF6">
            <w:pPr>
              <w:autoSpaceDE w:val="0"/>
              <w:autoSpaceDN w:val="0"/>
              <w:adjustRightInd w:val="0"/>
              <w:rPr>
                <w:rFonts w:ascii="Calibri" w:hAnsi="Calibri" w:cs="Calibri"/>
                <w:color w:val="000000"/>
                <w:sz w:val="18"/>
                <w:szCs w:val="18"/>
              </w:rPr>
            </w:pPr>
            <w:r w:rsidRPr="00896AF6">
              <w:rPr>
                <w:rFonts w:ascii="Calibri" w:hAnsi="Calibri" w:cs="Calibri"/>
                <w:b/>
                <w:bCs/>
                <w:color w:val="000000"/>
                <w:sz w:val="18"/>
                <w:szCs w:val="18"/>
              </w:rPr>
              <w:t xml:space="preserve">Rozpočtové opatření </w:t>
            </w:r>
          </w:p>
        </w:tc>
        <w:tc>
          <w:tcPr>
            <w:tcW w:w="1577" w:type="dxa"/>
          </w:tcPr>
          <w:p w:rsidR="00896AF6" w:rsidRPr="00896AF6" w:rsidRDefault="00896AF6" w:rsidP="00896AF6">
            <w:pPr>
              <w:autoSpaceDE w:val="0"/>
              <w:autoSpaceDN w:val="0"/>
              <w:adjustRightInd w:val="0"/>
              <w:rPr>
                <w:rFonts w:ascii="Calibri" w:hAnsi="Calibri" w:cs="Calibri"/>
                <w:color w:val="000000"/>
                <w:sz w:val="18"/>
                <w:szCs w:val="18"/>
              </w:rPr>
            </w:pPr>
            <w:r w:rsidRPr="00896AF6">
              <w:rPr>
                <w:rFonts w:ascii="Calibri" w:hAnsi="Calibri" w:cs="Calibri"/>
                <w:b/>
                <w:bCs/>
                <w:color w:val="000000"/>
                <w:sz w:val="18"/>
                <w:szCs w:val="18"/>
              </w:rPr>
              <w:t xml:space="preserve">Stupeň realizace </w:t>
            </w:r>
          </w:p>
        </w:tc>
      </w:tr>
      <w:tr w:rsidR="00896AF6" w:rsidRPr="00896AF6" w:rsidTr="00896AF6">
        <w:trPr>
          <w:trHeight w:val="90"/>
        </w:trPr>
        <w:tc>
          <w:tcPr>
            <w:tcW w:w="1521" w:type="dxa"/>
          </w:tcPr>
          <w:p w:rsidR="00896AF6" w:rsidRPr="00896AF6" w:rsidRDefault="00896AF6" w:rsidP="00896AF6">
            <w:pPr>
              <w:autoSpaceDE w:val="0"/>
              <w:autoSpaceDN w:val="0"/>
              <w:adjustRightInd w:val="0"/>
              <w:jc w:val="center"/>
              <w:rPr>
                <w:rFonts w:ascii="Calibri" w:hAnsi="Calibri" w:cs="Calibri"/>
                <w:color w:val="000000"/>
                <w:sz w:val="18"/>
                <w:szCs w:val="18"/>
              </w:rPr>
            </w:pPr>
            <w:r w:rsidRPr="00896AF6">
              <w:rPr>
                <w:rFonts w:ascii="Calibri" w:hAnsi="Calibri" w:cs="Calibri"/>
                <w:color w:val="000000"/>
                <w:sz w:val="18"/>
                <w:szCs w:val="18"/>
              </w:rPr>
              <w:t>RM/2022/113/39</w:t>
            </w:r>
          </w:p>
        </w:tc>
        <w:tc>
          <w:tcPr>
            <w:tcW w:w="1134" w:type="dxa"/>
          </w:tcPr>
          <w:p w:rsidR="00896AF6" w:rsidRPr="00896AF6" w:rsidRDefault="00896AF6" w:rsidP="00896AF6">
            <w:pPr>
              <w:autoSpaceDE w:val="0"/>
              <w:autoSpaceDN w:val="0"/>
              <w:adjustRightInd w:val="0"/>
              <w:jc w:val="right"/>
              <w:rPr>
                <w:rFonts w:ascii="Calibri" w:hAnsi="Calibri" w:cs="Calibri"/>
                <w:color w:val="000000"/>
                <w:sz w:val="18"/>
                <w:szCs w:val="18"/>
              </w:rPr>
            </w:pPr>
            <w:r>
              <w:rPr>
                <w:rFonts w:ascii="Calibri" w:hAnsi="Calibri" w:cs="Calibri"/>
                <w:color w:val="000000"/>
                <w:sz w:val="18"/>
                <w:szCs w:val="18"/>
              </w:rPr>
              <w:t xml:space="preserve">19. 4. </w:t>
            </w:r>
            <w:r w:rsidRPr="00896AF6">
              <w:rPr>
                <w:rFonts w:ascii="Calibri" w:hAnsi="Calibri" w:cs="Calibri"/>
                <w:color w:val="000000"/>
                <w:sz w:val="18"/>
                <w:szCs w:val="18"/>
              </w:rPr>
              <w:t xml:space="preserve">2022 </w:t>
            </w:r>
          </w:p>
        </w:tc>
        <w:tc>
          <w:tcPr>
            <w:tcW w:w="1417" w:type="dxa"/>
          </w:tcPr>
          <w:p w:rsidR="00896AF6" w:rsidRPr="00896AF6" w:rsidRDefault="00896AF6" w:rsidP="00896AF6">
            <w:pPr>
              <w:autoSpaceDE w:val="0"/>
              <w:autoSpaceDN w:val="0"/>
              <w:adjustRightInd w:val="0"/>
              <w:jc w:val="right"/>
              <w:rPr>
                <w:rFonts w:ascii="Calibri" w:hAnsi="Calibri" w:cs="Calibri"/>
                <w:color w:val="000000"/>
                <w:sz w:val="18"/>
                <w:szCs w:val="18"/>
              </w:rPr>
            </w:pPr>
            <w:r w:rsidRPr="00896AF6">
              <w:rPr>
                <w:rFonts w:ascii="Calibri" w:hAnsi="Calibri" w:cs="Calibri"/>
                <w:color w:val="000000"/>
                <w:sz w:val="18"/>
                <w:szCs w:val="18"/>
              </w:rPr>
              <w:t xml:space="preserve">250,00 </w:t>
            </w:r>
          </w:p>
        </w:tc>
        <w:tc>
          <w:tcPr>
            <w:tcW w:w="3686" w:type="dxa"/>
          </w:tcPr>
          <w:p w:rsidR="00896AF6" w:rsidRPr="00896AF6" w:rsidRDefault="00896AF6" w:rsidP="00896AF6">
            <w:pPr>
              <w:autoSpaceDE w:val="0"/>
              <w:autoSpaceDN w:val="0"/>
              <w:adjustRightInd w:val="0"/>
              <w:rPr>
                <w:rFonts w:ascii="Calibri" w:hAnsi="Calibri" w:cs="Calibri"/>
                <w:color w:val="000000"/>
                <w:sz w:val="18"/>
                <w:szCs w:val="18"/>
              </w:rPr>
            </w:pPr>
            <w:r w:rsidRPr="00896AF6">
              <w:rPr>
                <w:rFonts w:ascii="Calibri" w:hAnsi="Calibri" w:cs="Calibri"/>
                <w:color w:val="000000"/>
                <w:sz w:val="18"/>
                <w:szCs w:val="18"/>
              </w:rPr>
              <w:t xml:space="preserve">Pěstební plán BK Hloučela </w:t>
            </w:r>
          </w:p>
        </w:tc>
        <w:tc>
          <w:tcPr>
            <w:tcW w:w="1577" w:type="dxa"/>
          </w:tcPr>
          <w:p w:rsidR="00896AF6" w:rsidRPr="00896AF6" w:rsidRDefault="00896AF6" w:rsidP="00896AF6">
            <w:pPr>
              <w:autoSpaceDE w:val="0"/>
              <w:autoSpaceDN w:val="0"/>
              <w:adjustRightInd w:val="0"/>
              <w:jc w:val="center"/>
              <w:rPr>
                <w:rFonts w:ascii="Calibri" w:hAnsi="Calibri" w:cs="Calibri"/>
                <w:color w:val="000000"/>
                <w:sz w:val="18"/>
                <w:szCs w:val="18"/>
              </w:rPr>
            </w:pPr>
            <w:r w:rsidRPr="00896AF6">
              <w:rPr>
                <w:rFonts w:ascii="Calibri" w:hAnsi="Calibri" w:cs="Calibri"/>
                <w:color w:val="000000"/>
                <w:sz w:val="18"/>
                <w:szCs w:val="18"/>
              </w:rPr>
              <w:t>Realizováno</w:t>
            </w:r>
          </w:p>
        </w:tc>
      </w:tr>
      <w:tr w:rsidR="00896AF6" w:rsidRPr="00896AF6" w:rsidTr="00896AF6">
        <w:trPr>
          <w:trHeight w:val="90"/>
        </w:trPr>
        <w:tc>
          <w:tcPr>
            <w:tcW w:w="1521" w:type="dxa"/>
          </w:tcPr>
          <w:p w:rsidR="00896AF6" w:rsidRPr="00896AF6" w:rsidRDefault="00896AF6" w:rsidP="00896AF6">
            <w:pPr>
              <w:autoSpaceDE w:val="0"/>
              <w:autoSpaceDN w:val="0"/>
              <w:adjustRightInd w:val="0"/>
              <w:jc w:val="center"/>
              <w:rPr>
                <w:rFonts w:ascii="Calibri" w:hAnsi="Calibri" w:cs="Calibri"/>
                <w:color w:val="000000"/>
                <w:sz w:val="18"/>
                <w:szCs w:val="18"/>
              </w:rPr>
            </w:pPr>
            <w:r w:rsidRPr="00896AF6">
              <w:rPr>
                <w:rFonts w:ascii="Calibri" w:hAnsi="Calibri" w:cs="Calibri"/>
                <w:color w:val="000000"/>
                <w:sz w:val="18"/>
                <w:szCs w:val="18"/>
              </w:rPr>
              <w:t>RM/2022/115/32</w:t>
            </w:r>
          </w:p>
        </w:tc>
        <w:tc>
          <w:tcPr>
            <w:tcW w:w="1134" w:type="dxa"/>
          </w:tcPr>
          <w:p w:rsidR="00896AF6" w:rsidRPr="00896AF6" w:rsidRDefault="00896AF6" w:rsidP="00896AF6">
            <w:pPr>
              <w:autoSpaceDE w:val="0"/>
              <w:autoSpaceDN w:val="0"/>
              <w:adjustRightInd w:val="0"/>
              <w:jc w:val="right"/>
              <w:rPr>
                <w:rFonts w:ascii="Calibri" w:hAnsi="Calibri" w:cs="Calibri"/>
                <w:color w:val="000000"/>
                <w:sz w:val="18"/>
                <w:szCs w:val="18"/>
              </w:rPr>
            </w:pPr>
            <w:r w:rsidRPr="00896AF6">
              <w:rPr>
                <w:rFonts w:ascii="Calibri" w:hAnsi="Calibri" w:cs="Calibri"/>
                <w:color w:val="000000"/>
                <w:sz w:val="18"/>
                <w:szCs w:val="18"/>
              </w:rPr>
              <w:t>17.</w:t>
            </w:r>
            <w:r>
              <w:rPr>
                <w:rFonts w:ascii="Calibri" w:hAnsi="Calibri" w:cs="Calibri"/>
                <w:color w:val="000000"/>
                <w:sz w:val="18"/>
                <w:szCs w:val="18"/>
              </w:rPr>
              <w:t xml:space="preserve"> </w:t>
            </w:r>
            <w:r w:rsidRPr="00896AF6">
              <w:rPr>
                <w:rFonts w:ascii="Calibri" w:hAnsi="Calibri" w:cs="Calibri"/>
                <w:color w:val="000000"/>
                <w:sz w:val="18"/>
                <w:szCs w:val="18"/>
              </w:rPr>
              <w:t>5.</w:t>
            </w:r>
            <w:r>
              <w:rPr>
                <w:rFonts w:ascii="Calibri" w:hAnsi="Calibri" w:cs="Calibri"/>
                <w:color w:val="000000"/>
                <w:sz w:val="18"/>
                <w:szCs w:val="18"/>
              </w:rPr>
              <w:t xml:space="preserve"> </w:t>
            </w:r>
            <w:r w:rsidRPr="00896AF6">
              <w:rPr>
                <w:rFonts w:ascii="Calibri" w:hAnsi="Calibri" w:cs="Calibri"/>
                <w:color w:val="000000"/>
                <w:sz w:val="18"/>
                <w:szCs w:val="18"/>
              </w:rPr>
              <w:t xml:space="preserve">2022 </w:t>
            </w:r>
          </w:p>
        </w:tc>
        <w:tc>
          <w:tcPr>
            <w:tcW w:w="1417" w:type="dxa"/>
          </w:tcPr>
          <w:p w:rsidR="00896AF6" w:rsidRPr="00896AF6" w:rsidRDefault="00896AF6" w:rsidP="00896AF6">
            <w:pPr>
              <w:autoSpaceDE w:val="0"/>
              <w:autoSpaceDN w:val="0"/>
              <w:adjustRightInd w:val="0"/>
              <w:jc w:val="right"/>
              <w:rPr>
                <w:rFonts w:ascii="Calibri" w:hAnsi="Calibri" w:cs="Calibri"/>
                <w:color w:val="000000"/>
                <w:sz w:val="18"/>
                <w:szCs w:val="18"/>
              </w:rPr>
            </w:pPr>
            <w:r w:rsidRPr="00896AF6">
              <w:rPr>
                <w:rFonts w:ascii="Calibri" w:hAnsi="Calibri" w:cs="Calibri"/>
                <w:color w:val="000000"/>
                <w:sz w:val="18"/>
                <w:szCs w:val="18"/>
              </w:rPr>
              <w:t xml:space="preserve">18,00 </w:t>
            </w:r>
          </w:p>
        </w:tc>
        <w:tc>
          <w:tcPr>
            <w:tcW w:w="3686" w:type="dxa"/>
          </w:tcPr>
          <w:p w:rsidR="00896AF6" w:rsidRPr="00896AF6" w:rsidRDefault="00896AF6" w:rsidP="00896AF6">
            <w:pPr>
              <w:autoSpaceDE w:val="0"/>
              <w:autoSpaceDN w:val="0"/>
              <w:adjustRightInd w:val="0"/>
              <w:rPr>
                <w:rFonts w:ascii="Calibri" w:hAnsi="Calibri" w:cs="Calibri"/>
                <w:color w:val="000000"/>
                <w:sz w:val="18"/>
                <w:szCs w:val="18"/>
              </w:rPr>
            </w:pPr>
            <w:r w:rsidRPr="00896AF6">
              <w:rPr>
                <w:rFonts w:ascii="Calibri" w:hAnsi="Calibri" w:cs="Calibri"/>
                <w:color w:val="000000"/>
                <w:sz w:val="18"/>
                <w:szCs w:val="18"/>
              </w:rPr>
              <w:t xml:space="preserve">Dotace KŽP jednorázová akce </w:t>
            </w:r>
          </w:p>
        </w:tc>
        <w:tc>
          <w:tcPr>
            <w:tcW w:w="1577" w:type="dxa"/>
          </w:tcPr>
          <w:p w:rsidR="00896AF6" w:rsidRPr="00896AF6" w:rsidRDefault="00896AF6" w:rsidP="00896AF6">
            <w:pPr>
              <w:autoSpaceDE w:val="0"/>
              <w:autoSpaceDN w:val="0"/>
              <w:adjustRightInd w:val="0"/>
              <w:jc w:val="center"/>
              <w:rPr>
                <w:rFonts w:ascii="Calibri" w:hAnsi="Calibri" w:cs="Calibri"/>
                <w:color w:val="000000"/>
                <w:sz w:val="18"/>
                <w:szCs w:val="18"/>
              </w:rPr>
            </w:pPr>
            <w:r w:rsidRPr="00896AF6">
              <w:rPr>
                <w:rFonts w:ascii="Calibri" w:hAnsi="Calibri" w:cs="Calibri"/>
                <w:color w:val="000000"/>
                <w:sz w:val="18"/>
                <w:szCs w:val="18"/>
              </w:rPr>
              <w:t>Realizováno</w:t>
            </w:r>
          </w:p>
        </w:tc>
      </w:tr>
      <w:tr w:rsidR="00896AF6" w:rsidRPr="00896AF6" w:rsidTr="00896AF6">
        <w:trPr>
          <w:trHeight w:val="90"/>
        </w:trPr>
        <w:tc>
          <w:tcPr>
            <w:tcW w:w="1521" w:type="dxa"/>
          </w:tcPr>
          <w:p w:rsidR="00896AF6" w:rsidRPr="00896AF6" w:rsidRDefault="00896AF6" w:rsidP="00896AF6">
            <w:pPr>
              <w:autoSpaceDE w:val="0"/>
              <w:autoSpaceDN w:val="0"/>
              <w:adjustRightInd w:val="0"/>
              <w:jc w:val="center"/>
              <w:rPr>
                <w:rFonts w:ascii="Calibri" w:hAnsi="Calibri" w:cs="Calibri"/>
                <w:color w:val="000000"/>
                <w:sz w:val="18"/>
                <w:szCs w:val="18"/>
              </w:rPr>
            </w:pPr>
            <w:r w:rsidRPr="00896AF6">
              <w:rPr>
                <w:rFonts w:ascii="Calibri" w:hAnsi="Calibri" w:cs="Calibri"/>
                <w:color w:val="000000"/>
                <w:sz w:val="18"/>
                <w:szCs w:val="18"/>
              </w:rPr>
              <w:t>RM/2022/115/33</w:t>
            </w:r>
          </w:p>
        </w:tc>
        <w:tc>
          <w:tcPr>
            <w:tcW w:w="1134" w:type="dxa"/>
          </w:tcPr>
          <w:p w:rsidR="00896AF6" w:rsidRPr="00896AF6" w:rsidRDefault="00896AF6" w:rsidP="00896AF6">
            <w:pPr>
              <w:autoSpaceDE w:val="0"/>
              <w:autoSpaceDN w:val="0"/>
              <w:adjustRightInd w:val="0"/>
              <w:jc w:val="right"/>
              <w:rPr>
                <w:rFonts w:ascii="Calibri" w:hAnsi="Calibri" w:cs="Calibri"/>
                <w:color w:val="000000"/>
                <w:sz w:val="18"/>
                <w:szCs w:val="18"/>
              </w:rPr>
            </w:pPr>
            <w:r w:rsidRPr="00896AF6">
              <w:rPr>
                <w:rFonts w:ascii="Calibri" w:hAnsi="Calibri" w:cs="Calibri"/>
                <w:color w:val="000000"/>
                <w:sz w:val="18"/>
                <w:szCs w:val="18"/>
              </w:rPr>
              <w:t>17.</w:t>
            </w:r>
            <w:r>
              <w:rPr>
                <w:rFonts w:ascii="Calibri" w:hAnsi="Calibri" w:cs="Calibri"/>
                <w:color w:val="000000"/>
                <w:sz w:val="18"/>
                <w:szCs w:val="18"/>
              </w:rPr>
              <w:t xml:space="preserve"> </w:t>
            </w:r>
            <w:r w:rsidRPr="00896AF6">
              <w:rPr>
                <w:rFonts w:ascii="Calibri" w:hAnsi="Calibri" w:cs="Calibri"/>
                <w:color w:val="000000"/>
                <w:sz w:val="18"/>
                <w:szCs w:val="18"/>
              </w:rPr>
              <w:t>5.</w:t>
            </w:r>
            <w:r>
              <w:rPr>
                <w:rFonts w:ascii="Calibri" w:hAnsi="Calibri" w:cs="Calibri"/>
                <w:color w:val="000000"/>
                <w:sz w:val="18"/>
                <w:szCs w:val="18"/>
              </w:rPr>
              <w:t xml:space="preserve"> </w:t>
            </w:r>
            <w:r w:rsidRPr="00896AF6">
              <w:rPr>
                <w:rFonts w:ascii="Calibri" w:hAnsi="Calibri" w:cs="Calibri"/>
                <w:color w:val="000000"/>
                <w:sz w:val="18"/>
                <w:szCs w:val="18"/>
              </w:rPr>
              <w:t xml:space="preserve">2022 </w:t>
            </w:r>
          </w:p>
        </w:tc>
        <w:tc>
          <w:tcPr>
            <w:tcW w:w="1417" w:type="dxa"/>
          </w:tcPr>
          <w:p w:rsidR="00896AF6" w:rsidRPr="00896AF6" w:rsidRDefault="00896AF6" w:rsidP="00896AF6">
            <w:pPr>
              <w:autoSpaceDE w:val="0"/>
              <w:autoSpaceDN w:val="0"/>
              <w:adjustRightInd w:val="0"/>
              <w:jc w:val="right"/>
              <w:rPr>
                <w:rFonts w:ascii="Calibri" w:hAnsi="Calibri" w:cs="Calibri"/>
                <w:color w:val="000000"/>
                <w:sz w:val="18"/>
                <w:szCs w:val="18"/>
              </w:rPr>
            </w:pPr>
            <w:r w:rsidRPr="00896AF6">
              <w:rPr>
                <w:rFonts w:ascii="Calibri" w:hAnsi="Calibri" w:cs="Calibri"/>
                <w:color w:val="000000"/>
                <w:sz w:val="18"/>
                <w:szCs w:val="18"/>
              </w:rPr>
              <w:t xml:space="preserve">125,992 </w:t>
            </w:r>
          </w:p>
        </w:tc>
        <w:tc>
          <w:tcPr>
            <w:tcW w:w="3686" w:type="dxa"/>
          </w:tcPr>
          <w:p w:rsidR="00896AF6" w:rsidRPr="00896AF6" w:rsidRDefault="00896AF6" w:rsidP="00896AF6">
            <w:pPr>
              <w:autoSpaceDE w:val="0"/>
              <w:autoSpaceDN w:val="0"/>
              <w:adjustRightInd w:val="0"/>
              <w:rPr>
                <w:rFonts w:ascii="Calibri" w:hAnsi="Calibri" w:cs="Calibri"/>
                <w:color w:val="000000"/>
                <w:sz w:val="18"/>
                <w:szCs w:val="18"/>
              </w:rPr>
            </w:pPr>
            <w:r w:rsidRPr="00896AF6">
              <w:rPr>
                <w:rFonts w:ascii="Calibri" w:hAnsi="Calibri" w:cs="Calibri"/>
                <w:color w:val="000000"/>
                <w:sz w:val="18"/>
                <w:szCs w:val="18"/>
              </w:rPr>
              <w:t xml:space="preserve">Dotace KŽP na činnost </w:t>
            </w:r>
          </w:p>
        </w:tc>
        <w:tc>
          <w:tcPr>
            <w:tcW w:w="1577" w:type="dxa"/>
          </w:tcPr>
          <w:p w:rsidR="00896AF6" w:rsidRPr="00896AF6" w:rsidRDefault="00896AF6" w:rsidP="00896AF6">
            <w:pPr>
              <w:autoSpaceDE w:val="0"/>
              <w:autoSpaceDN w:val="0"/>
              <w:adjustRightInd w:val="0"/>
              <w:jc w:val="center"/>
              <w:rPr>
                <w:rFonts w:ascii="Calibri" w:hAnsi="Calibri" w:cs="Calibri"/>
                <w:color w:val="000000"/>
                <w:sz w:val="18"/>
                <w:szCs w:val="18"/>
              </w:rPr>
            </w:pPr>
            <w:r w:rsidRPr="00896AF6">
              <w:rPr>
                <w:rFonts w:ascii="Calibri" w:hAnsi="Calibri" w:cs="Calibri"/>
                <w:color w:val="000000"/>
                <w:sz w:val="18"/>
                <w:szCs w:val="18"/>
              </w:rPr>
              <w:t>Realizováno</w:t>
            </w:r>
          </w:p>
        </w:tc>
      </w:tr>
      <w:tr w:rsidR="00896AF6" w:rsidRPr="00896AF6" w:rsidTr="00896AF6">
        <w:trPr>
          <w:trHeight w:val="90"/>
        </w:trPr>
        <w:tc>
          <w:tcPr>
            <w:tcW w:w="1521" w:type="dxa"/>
          </w:tcPr>
          <w:p w:rsidR="00896AF6" w:rsidRPr="00896AF6" w:rsidRDefault="00896AF6" w:rsidP="00896AF6">
            <w:pPr>
              <w:autoSpaceDE w:val="0"/>
              <w:autoSpaceDN w:val="0"/>
              <w:adjustRightInd w:val="0"/>
              <w:jc w:val="center"/>
              <w:rPr>
                <w:rFonts w:ascii="Calibri" w:hAnsi="Calibri" w:cs="Calibri"/>
                <w:color w:val="000000"/>
                <w:sz w:val="18"/>
                <w:szCs w:val="18"/>
              </w:rPr>
            </w:pPr>
            <w:r w:rsidRPr="00896AF6">
              <w:rPr>
                <w:rFonts w:ascii="Calibri" w:hAnsi="Calibri" w:cs="Calibri"/>
                <w:color w:val="000000"/>
                <w:sz w:val="18"/>
                <w:szCs w:val="18"/>
              </w:rPr>
              <w:t>ZM/2022/32/40</w:t>
            </w:r>
          </w:p>
        </w:tc>
        <w:tc>
          <w:tcPr>
            <w:tcW w:w="1134" w:type="dxa"/>
          </w:tcPr>
          <w:p w:rsidR="00896AF6" w:rsidRPr="00896AF6" w:rsidRDefault="00896AF6" w:rsidP="00896AF6">
            <w:pPr>
              <w:autoSpaceDE w:val="0"/>
              <w:autoSpaceDN w:val="0"/>
              <w:adjustRightInd w:val="0"/>
              <w:jc w:val="right"/>
              <w:rPr>
                <w:rFonts w:ascii="Calibri" w:hAnsi="Calibri" w:cs="Calibri"/>
                <w:color w:val="000000"/>
                <w:sz w:val="18"/>
                <w:szCs w:val="18"/>
              </w:rPr>
            </w:pPr>
            <w:r w:rsidRPr="00896AF6">
              <w:rPr>
                <w:rFonts w:ascii="Calibri" w:hAnsi="Calibri" w:cs="Calibri"/>
                <w:color w:val="000000"/>
                <w:sz w:val="18"/>
                <w:szCs w:val="18"/>
              </w:rPr>
              <w:t>14.</w:t>
            </w:r>
            <w:r>
              <w:rPr>
                <w:rFonts w:ascii="Calibri" w:hAnsi="Calibri" w:cs="Calibri"/>
                <w:color w:val="000000"/>
                <w:sz w:val="18"/>
                <w:szCs w:val="18"/>
              </w:rPr>
              <w:t xml:space="preserve"> </w:t>
            </w:r>
            <w:r w:rsidRPr="00896AF6">
              <w:rPr>
                <w:rFonts w:ascii="Calibri" w:hAnsi="Calibri" w:cs="Calibri"/>
                <w:color w:val="000000"/>
                <w:sz w:val="18"/>
                <w:szCs w:val="18"/>
              </w:rPr>
              <w:t>6.</w:t>
            </w:r>
            <w:r>
              <w:rPr>
                <w:rFonts w:ascii="Calibri" w:hAnsi="Calibri" w:cs="Calibri"/>
                <w:color w:val="000000"/>
                <w:sz w:val="18"/>
                <w:szCs w:val="18"/>
              </w:rPr>
              <w:t xml:space="preserve"> </w:t>
            </w:r>
            <w:r w:rsidRPr="00896AF6">
              <w:rPr>
                <w:rFonts w:ascii="Calibri" w:hAnsi="Calibri" w:cs="Calibri"/>
                <w:color w:val="000000"/>
                <w:sz w:val="18"/>
                <w:szCs w:val="18"/>
              </w:rPr>
              <w:t xml:space="preserve">2022 </w:t>
            </w:r>
          </w:p>
        </w:tc>
        <w:tc>
          <w:tcPr>
            <w:tcW w:w="1417" w:type="dxa"/>
          </w:tcPr>
          <w:p w:rsidR="00896AF6" w:rsidRPr="00896AF6" w:rsidRDefault="00896AF6" w:rsidP="00896AF6">
            <w:pPr>
              <w:autoSpaceDE w:val="0"/>
              <w:autoSpaceDN w:val="0"/>
              <w:adjustRightInd w:val="0"/>
              <w:jc w:val="right"/>
              <w:rPr>
                <w:rFonts w:ascii="Calibri" w:hAnsi="Calibri" w:cs="Calibri"/>
                <w:color w:val="000000"/>
                <w:sz w:val="18"/>
                <w:szCs w:val="18"/>
              </w:rPr>
            </w:pPr>
            <w:r w:rsidRPr="00896AF6">
              <w:rPr>
                <w:rFonts w:ascii="Calibri" w:hAnsi="Calibri" w:cs="Calibri"/>
                <w:color w:val="000000"/>
                <w:sz w:val="18"/>
                <w:szCs w:val="18"/>
              </w:rPr>
              <w:t xml:space="preserve">85,00 </w:t>
            </w:r>
          </w:p>
        </w:tc>
        <w:tc>
          <w:tcPr>
            <w:tcW w:w="3686" w:type="dxa"/>
          </w:tcPr>
          <w:p w:rsidR="00896AF6" w:rsidRPr="00896AF6" w:rsidRDefault="00896AF6" w:rsidP="00896AF6">
            <w:pPr>
              <w:autoSpaceDE w:val="0"/>
              <w:autoSpaceDN w:val="0"/>
              <w:adjustRightInd w:val="0"/>
              <w:rPr>
                <w:rFonts w:ascii="Calibri" w:hAnsi="Calibri" w:cs="Calibri"/>
                <w:color w:val="000000"/>
                <w:sz w:val="18"/>
                <w:szCs w:val="18"/>
              </w:rPr>
            </w:pPr>
            <w:r w:rsidRPr="00896AF6">
              <w:rPr>
                <w:rFonts w:ascii="Calibri" w:hAnsi="Calibri" w:cs="Calibri"/>
                <w:color w:val="000000"/>
                <w:sz w:val="18"/>
                <w:szCs w:val="18"/>
              </w:rPr>
              <w:t xml:space="preserve">Dotace KŽP na činnost </w:t>
            </w:r>
          </w:p>
        </w:tc>
        <w:tc>
          <w:tcPr>
            <w:tcW w:w="1577" w:type="dxa"/>
          </w:tcPr>
          <w:p w:rsidR="00896AF6" w:rsidRPr="00896AF6" w:rsidRDefault="00896AF6" w:rsidP="00896AF6">
            <w:pPr>
              <w:autoSpaceDE w:val="0"/>
              <w:autoSpaceDN w:val="0"/>
              <w:adjustRightInd w:val="0"/>
              <w:jc w:val="center"/>
              <w:rPr>
                <w:rFonts w:ascii="Calibri" w:hAnsi="Calibri" w:cs="Calibri"/>
                <w:color w:val="000000"/>
                <w:sz w:val="18"/>
                <w:szCs w:val="18"/>
              </w:rPr>
            </w:pPr>
            <w:r w:rsidRPr="00896AF6">
              <w:rPr>
                <w:rFonts w:ascii="Calibri" w:hAnsi="Calibri" w:cs="Calibri"/>
                <w:color w:val="000000"/>
                <w:sz w:val="18"/>
                <w:szCs w:val="18"/>
              </w:rPr>
              <w:t>Realizováno</w:t>
            </w:r>
          </w:p>
        </w:tc>
      </w:tr>
      <w:tr w:rsidR="00896AF6" w:rsidRPr="00896AF6" w:rsidTr="00896AF6">
        <w:trPr>
          <w:trHeight w:val="90"/>
        </w:trPr>
        <w:tc>
          <w:tcPr>
            <w:tcW w:w="1521" w:type="dxa"/>
          </w:tcPr>
          <w:p w:rsidR="00896AF6" w:rsidRPr="00896AF6" w:rsidRDefault="00896AF6" w:rsidP="00896AF6">
            <w:pPr>
              <w:autoSpaceDE w:val="0"/>
              <w:autoSpaceDN w:val="0"/>
              <w:adjustRightInd w:val="0"/>
              <w:jc w:val="center"/>
              <w:rPr>
                <w:rFonts w:ascii="Calibri" w:hAnsi="Calibri" w:cs="Calibri"/>
                <w:color w:val="000000"/>
                <w:sz w:val="18"/>
                <w:szCs w:val="18"/>
              </w:rPr>
            </w:pPr>
            <w:r w:rsidRPr="00896AF6">
              <w:rPr>
                <w:rFonts w:ascii="Calibri" w:hAnsi="Calibri" w:cs="Calibri"/>
                <w:color w:val="000000"/>
                <w:sz w:val="18"/>
                <w:szCs w:val="18"/>
              </w:rPr>
              <w:t>RM/2022/119/35</w:t>
            </w:r>
          </w:p>
        </w:tc>
        <w:tc>
          <w:tcPr>
            <w:tcW w:w="1134" w:type="dxa"/>
          </w:tcPr>
          <w:p w:rsidR="00896AF6" w:rsidRPr="00896AF6" w:rsidRDefault="00896AF6" w:rsidP="00896AF6">
            <w:pPr>
              <w:autoSpaceDE w:val="0"/>
              <w:autoSpaceDN w:val="0"/>
              <w:adjustRightInd w:val="0"/>
              <w:jc w:val="right"/>
              <w:rPr>
                <w:rFonts w:ascii="Calibri" w:hAnsi="Calibri" w:cs="Calibri"/>
                <w:color w:val="000000"/>
                <w:sz w:val="18"/>
                <w:szCs w:val="18"/>
              </w:rPr>
            </w:pPr>
            <w:r w:rsidRPr="00896AF6">
              <w:rPr>
                <w:rFonts w:ascii="Calibri" w:hAnsi="Calibri" w:cs="Calibri"/>
                <w:color w:val="000000"/>
                <w:sz w:val="18"/>
                <w:szCs w:val="18"/>
              </w:rPr>
              <w:t>28.</w:t>
            </w:r>
            <w:r>
              <w:rPr>
                <w:rFonts w:ascii="Calibri" w:hAnsi="Calibri" w:cs="Calibri"/>
                <w:color w:val="000000"/>
                <w:sz w:val="18"/>
                <w:szCs w:val="18"/>
              </w:rPr>
              <w:t xml:space="preserve"> </w:t>
            </w:r>
            <w:r w:rsidRPr="00896AF6">
              <w:rPr>
                <w:rFonts w:ascii="Calibri" w:hAnsi="Calibri" w:cs="Calibri"/>
                <w:color w:val="000000"/>
                <w:sz w:val="18"/>
                <w:szCs w:val="18"/>
              </w:rPr>
              <w:t>6.</w:t>
            </w:r>
            <w:r>
              <w:rPr>
                <w:rFonts w:ascii="Calibri" w:hAnsi="Calibri" w:cs="Calibri"/>
                <w:color w:val="000000"/>
                <w:sz w:val="18"/>
                <w:szCs w:val="18"/>
              </w:rPr>
              <w:t xml:space="preserve"> </w:t>
            </w:r>
            <w:r w:rsidRPr="00896AF6">
              <w:rPr>
                <w:rFonts w:ascii="Calibri" w:hAnsi="Calibri" w:cs="Calibri"/>
                <w:color w:val="000000"/>
                <w:sz w:val="18"/>
                <w:szCs w:val="18"/>
              </w:rPr>
              <w:t xml:space="preserve">2022 </w:t>
            </w:r>
          </w:p>
        </w:tc>
        <w:tc>
          <w:tcPr>
            <w:tcW w:w="1417" w:type="dxa"/>
          </w:tcPr>
          <w:p w:rsidR="00896AF6" w:rsidRPr="00896AF6" w:rsidRDefault="00896AF6" w:rsidP="00896AF6">
            <w:pPr>
              <w:autoSpaceDE w:val="0"/>
              <w:autoSpaceDN w:val="0"/>
              <w:adjustRightInd w:val="0"/>
              <w:jc w:val="right"/>
              <w:rPr>
                <w:rFonts w:ascii="Calibri" w:hAnsi="Calibri" w:cs="Calibri"/>
                <w:color w:val="000000"/>
                <w:sz w:val="18"/>
                <w:szCs w:val="18"/>
              </w:rPr>
            </w:pPr>
            <w:r w:rsidRPr="00896AF6">
              <w:rPr>
                <w:rFonts w:ascii="Calibri" w:hAnsi="Calibri" w:cs="Calibri"/>
                <w:color w:val="000000"/>
                <w:sz w:val="18"/>
                <w:szCs w:val="18"/>
              </w:rPr>
              <w:t xml:space="preserve">150,00 </w:t>
            </w:r>
          </w:p>
        </w:tc>
        <w:tc>
          <w:tcPr>
            <w:tcW w:w="3686" w:type="dxa"/>
          </w:tcPr>
          <w:p w:rsidR="00896AF6" w:rsidRPr="00896AF6" w:rsidRDefault="00896AF6" w:rsidP="00896AF6">
            <w:pPr>
              <w:autoSpaceDE w:val="0"/>
              <w:autoSpaceDN w:val="0"/>
              <w:adjustRightInd w:val="0"/>
              <w:rPr>
                <w:rFonts w:ascii="Calibri" w:hAnsi="Calibri" w:cs="Calibri"/>
                <w:color w:val="000000"/>
                <w:sz w:val="18"/>
                <w:szCs w:val="18"/>
              </w:rPr>
            </w:pPr>
            <w:r w:rsidRPr="00896AF6">
              <w:rPr>
                <w:rFonts w:ascii="Calibri" w:hAnsi="Calibri" w:cs="Calibri"/>
                <w:color w:val="000000"/>
                <w:sz w:val="18"/>
                <w:szCs w:val="18"/>
              </w:rPr>
              <w:t xml:space="preserve">Dary občanům- kastrace koček </w:t>
            </w:r>
          </w:p>
        </w:tc>
        <w:tc>
          <w:tcPr>
            <w:tcW w:w="1577" w:type="dxa"/>
          </w:tcPr>
          <w:p w:rsidR="00896AF6" w:rsidRPr="00896AF6" w:rsidRDefault="00896AF6" w:rsidP="00896AF6">
            <w:pPr>
              <w:autoSpaceDE w:val="0"/>
              <w:autoSpaceDN w:val="0"/>
              <w:adjustRightInd w:val="0"/>
              <w:jc w:val="center"/>
              <w:rPr>
                <w:rFonts w:ascii="Calibri" w:hAnsi="Calibri" w:cs="Calibri"/>
                <w:color w:val="000000"/>
                <w:sz w:val="18"/>
                <w:szCs w:val="18"/>
              </w:rPr>
            </w:pPr>
            <w:r w:rsidRPr="00896AF6">
              <w:rPr>
                <w:rFonts w:ascii="Calibri" w:hAnsi="Calibri" w:cs="Calibri"/>
                <w:color w:val="000000"/>
                <w:sz w:val="18"/>
                <w:szCs w:val="18"/>
              </w:rPr>
              <w:t>Realizováno</w:t>
            </w:r>
          </w:p>
        </w:tc>
      </w:tr>
      <w:tr w:rsidR="00896AF6" w:rsidRPr="00896AF6" w:rsidTr="00896AF6">
        <w:trPr>
          <w:trHeight w:val="90"/>
        </w:trPr>
        <w:tc>
          <w:tcPr>
            <w:tcW w:w="1521" w:type="dxa"/>
          </w:tcPr>
          <w:p w:rsidR="00896AF6" w:rsidRPr="00896AF6" w:rsidRDefault="00896AF6" w:rsidP="00896AF6">
            <w:pPr>
              <w:autoSpaceDE w:val="0"/>
              <w:autoSpaceDN w:val="0"/>
              <w:adjustRightInd w:val="0"/>
              <w:jc w:val="center"/>
              <w:rPr>
                <w:rFonts w:ascii="Calibri" w:hAnsi="Calibri" w:cs="Calibri"/>
                <w:color w:val="000000"/>
                <w:sz w:val="18"/>
                <w:szCs w:val="18"/>
              </w:rPr>
            </w:pPr>
            <w:r w:rsidRPr="00896AF6">
              <w:rPr>
                <w:rFonts w:ascii="Calibri" w:hAnsi="Calibri" w:cs="Calibri"/>
                <w:color w:val="000000"/>
                <w:sz w:val="18"/>
                <w:szCs w:val="18"/>
              </w:rPr>
              <w:t>RM/2022/123/19</w:t>
            </w:r>
          </w:p>
        </w:tc>
        <w:tc>
          <w:tcPr>
            <w:tcW w:w="1134" w:type="dxa"/>
          </w:tcPr>
          <w:p w:rsidR="00896AF6" w:rsidRPr="00896AF6" w:rsidRDefault="00896AF6" w:rsidP="00896AF6">
            <w:pPr>
              <w:autoSpaceDE w:val="0"/>
              <w:autoSpaceDN w:val="0"/>
              <w:adjustRightInd w:val="0"/>
              <w:jc w:val="right"/>
              <w:rPr>
                <w:rFonts w:ascii="Calibri" w:hAnsi="Calibri" w:cs="Calibri"/>
                <w:color w:val="000000"/>
                <w:sz w:val="18"/>
                <w:szCs w:val="18"/>
              </w:rPr>
            </w:pPr>
            <w:r w:rsidRPr="00896AF6">
              <w:rPr>
                <w:rFonts w:ascii="Calibri" w:hAnsi="Calibri" w:cs="Calibri"/>
                <w:color w:val="000000"/>
                <w:sz w:val="18"/>
                <w:szCs w:val="18"/>
              </w:rPr>
              <w:t>7.</w:t>
            </w:r>
            <w:r>
              <w:rPr>
                <w:rFonts w:ascii="Calibri" w:hAnsi="Calibri" w:cs="Calibri"/>
                <w:color w:val="000000"/>
                <w:sz w:val="18"/>
                <w:szCs w:val="18"/>
              </w:rPr>
              <w:t xml:space="preserve"> </w:t>
            </w:r>
            <w:r w:rsidRPr="00896AF6">
              <w:rPr>
                <w:rFonts w:ascii="Calibri" w:hAnsi="Calibri" w:cs="Calibri"/>
                <w:color w:val="000000"/>
                <w:sz w:val="18"/>
                <w:szCs w:val="18"/>
              </w:rPr>
              <w:t>10.</w:t>
            </w:r>
            <w:r>
              <w:rPr>
                <w:rFonts w:ascii="Calibri" w:hAnsi="Calibri" w:cs="Calibri"/>
                <w:color w:val="000000"/>
                <w:sz w:val="18"/>
                <w:szCs w:val="18"/>
              </w:rPr>
              <w:t xml:space="preserve"> </w:t>
            </w:r>
            <w:r w:rsidRPr="00896AF6">
              <w:rPr>
                <w:rFonts w:ascii="Calibri" w:hAnsi="Calibri" w:cs="Calibri"/>
                <w:color w:val="000000"/>
                <w:sz w:val="18"/>
                <w:szCs w:val="18"/>
              </w:rPr>
              <w:t xml:space="preserve">2022 </w:t>
            </w:r>
          </w:p>
        </w:tc>
        <w:tc>
          <w:tcPr>
            <w:tcW w:w="1417" w:type="dxa"/>
          </w:tcPr>
          <w:p w:rsidR="00896AF6" w:rsidRPr="00896AF6" w:rsidRDefault="00896AF6" w:rsidP="00896AF6">
            <w:pPr>
              <w:autoSpaceDE w:val="0"/>
              <w:autoSpaceDN w:val="0"/>
              <w:adjustRightInd w:val="0"/>
              <w:jc w:val="right"/>
              <w:rPr>
                <w:rFonts w:ascii="Calibri" w:hAnsi="Calibri" w:cs="Calibri"/>
                <w:color w:val="000000"/>
                <w:sz w:val="18"/>
                <w:szCs w:val="18"/>
              </w:rPr>
            </w:pPr>
            <w:r w:rsidRPr="00896AF6">
              <w:rPr>
                <w:rFonts w:ascii="Calibri" w:hAnsi="Calibri" w:cs="Calibri"/>
                <w:color w:val="000000"/>
                <w:sz w:val="18"/>
                <w:szCs w:val="18"/>
              </w:rPr>
              <w:t xml:space="preserve">10,00 </w:t>
            </w:r>
          </w:p>
        </w:tc>
        <w:tc>
          <w:tcPr>
            <w:tcW w:w="3686" w:type="dxa"/>
          </w:tcPr>
          <w:p w:rsidR="00896AF6" w:rsidRPr="00896AF6" w:rsidRDefault="00896AF6" w:rsidP="00896AF6">
            <w:pPr>
              <w:autoSpaceDE w:val="0"/>
              <w:autoSpaceDN w:val="0"/>
              <w:adjustRightInd w:val="0"/>
              <w:rPr>
                <w:rFonts w:ascii="Calibri" w:hAnsi="Calibri" w:cs="Calibri"/>
                <w:color w:val="000000"/>
                <w:sz w:val="18"/>
                <w:szCs w:val="18"/>
              </w:rPr>
            </w:pPr>
            <w:r w:rsidRPr="00896AF6">
              <w:rPr>
                <w:rFonts w:ascii="Calibri" w:hAnsi="Calibri" w:cs="Calibri"/>
                <w:color w:val="000000"/>
                <w:sz w:val="18"/>
                <w:szCs w:val="18"/>
              </w:rPr>
              <w:t xml:space="preserve">Dotace KŽP – jednorázová akce </w:t>
            </w:r>
          </w:p>
        </w:tc>
        <w:tc>
          <w:tcPr>
            <w:tcW w:w="1577" w:type="dxa"/>
          </w:tcPr>
          <w:p w:rsidR="00896AF6" w:rsidRPr="00896AF6" w:rsidRDefault="00896AF6" w:rsidP="00896AF6">
            <w:pPr>
              <w:autoSpaceDE w:val="0"/>
              <w:autoSpaceDN w:val="0"/>
              <w:adjustRightInd w:val="0"/>
              <w:jc w:val="center"/>
              <w:rPr>
                <w:rFonts w:ascii="Calibri" w:hAnsi="Calibri" w:cs="Calibri"/>
                <w:color w:val="000000"/>
                <w:sz w:val="18"/>
                <w:szCs w:val="18"/>
              </w:rPr>
            </w:pPr>
            <w:r w:rsidRPr="00896AF6">
              <w:rPr>
                <w:rFonts w:ascii="Calibri" w:hAnsi="Calibri" w:cs="Calibri"/>
                <w:color w:val="000000"/>
                <w:sz w:val="18"/>
                <w:szCs w:val="18"/>
              </w:rPr>
              <w:t>Realizováno</w:t>
            </w:r>
          </w:p>
        </w:tc>
      </w:tr>
      <w:tr w:rsidR="00896AF6" w:rsidRPr="00896AF6" w:rsidTr="00896AF6">
        <w:trPr>
          <w:trHeight w:val="90"/>
        </w:trPr>
        <w:tc>
          <w:tcPr>
            <w:tcW w:w="1521" w:type="dxa"/>
          </w:tcPr>
          <w:p w:rsidR="00896AF6" w:rsidRPr="00896AF6" w:rsidRDefault="00896AF6" w:rsidP="00896AF6">
            <w:pPr>
              <w:autoSpaceDE w:val="0"/>
              <w:autoSpaceDN w:val="0"/>
              <w:adjustRightInd w:val="0"/>
              <w:jc w:val="center"/>
              <w:rPr>
                <w:rFonts w:ascii="Calibri" w:hAnsi="Calibri" w:cs="Calibri"/>
                <w:color w:val="000000"/>
                <w:sz w:val="18"/>
                <w:szCs w:val="18"/>
              </w:rPr>
            </w:pPr>
            <w:r w:rsidRPr="00896AF6">
              <w:rPr>
                <w:rFonts w:ascii="Calibri" w:hAnsi="Calibri" w:cs="Calibri"/>
                <w:color w:val="000000"/>
                <w:sz w:val="18"/>
                <w:szCs w:val="18"/>
              </w:rPr>
              <w:t>RM/2022/126/21</w:t>
            </w:r>
          </w:p>
        </w:tc>
        <w:tc>
          <w:tcPr>
            <w:tcW w:w="1134" w:type="dxa"/>
          </w:tcPr>
          <w:p w:rsidR="00896AF6" w:rsidRPr="00896AF6" w:rsidRDefault="00896AF6" w:rsidP="00896AF6">
            <w:pPr>
              <w:autoSpaceDE w:val="0"/>
              <w:autoSpaceDN w:val="0"/>
              <w:adjustRightInd w:val="0"/>
              <w:jc w:val="right"/>
              <w:rPr>
                <w:rFonts w:ascii="Calibri" w:hAnsi="Calibri" w:cs="Calibri"/>
                <w:color w:val="000000"/>
                <w:sz w:val="18"/>
                <w:szCs w:val="18"/>
              </w:rPr>
            </w:pPr>
            <w:r w:rsidRPr="00896AF6">
              <w:rPr>
                <w:rFonts w:ascii="Calibri" w:hAnsi="Calibri" w:cs="Calibri"/>
                <w:color w:val="000000"/>
                <w:sz w:val="18"/>
                <w:szCs w:val="18"/>
              </w:rPr>
              <w:t>7.</w:t>
            </w:r>
            <w:r>
              <w:rPr>
                <w:rFonts w:ascii="Calibri" w:hAnsi="Calibri" w:cs="Calibri"/>
                <w:color w:val="000000"/>
                <w:sz w:val="18"/>
                <w:szCs w:val="18"/>
              </w:rPr>
              <w:t xml:space="preserve"> </w:t>
            </w:r>
            <w:r w:rsidRPr="00896AF6">
              <w:rPr>
                <w:rFonts w:ascii="Calibri" w:hAnsi="Calibri" w:cs="Calibri"/>
                <w:color w:val="000000"/>
                <w:sz w:val="18"/>
                <w:szCs w:val="18"/>
              </w:rPr>
              <w:t>10.</w:t>
            </w:r>
            <w:r>
              <w:rPr>
                <w:rFonts w:ascii="Calibri" w:hAnsi="Calibri" w:cs="Calibri"/>
                <w:color w:val="000000"/>
                <w:sz w:val="18"/>
                <w:szCs w:val="18"/>
              </w:rPr>
              <w:t xml:space="preserve"> </w:t>
            </w:r>
            <w:r w:rsidRPr="00896AF6">
              <w:rPr>
                <w:rFonts w:ascii="Calibri" w:hAnsi="Calibri" w:cs="Calibri"/>
                <w:color w:val="000000"/>
                <w:sz w:val="18"/>
                <w:szCs w:val="18"/>
              </w:rPr>
              <w:t xml:space="preserve">2022 </w:t>
            </w:r>
          </w:p>
        </w:tc>
        <w:tc>
          <w:tcPr>
            <w:tcW w:w="1417" w:type="dxa"/>
          </w:tcPr>
          <w:p w:rsidR="00896AF6" w:rsidRPr="00896AF6" w:rsidRDefault="00896AF6" w:rsidP="00896AF6">
            <w:pPr>
              <w:autoSpaceDE w:val="0"/>
              <w:autoSpaceDN w:val="0"/>
              <w:adjustRightInd w:val="0"/>
              <w:jc w:val="right"/>
              <w:rPr>
                <w:rFonts w:ascii="Calibri" w:hAnsi="Calibri" w:cs="Calibri"/>
                <w:color w:val="000000"/>
                <w:sz w:val="18"/>
                <w:szCs w:val="18"/>
              </w:rPr>
            </w:pPr>
            <w:r w:rsidRPr="00896AF6">
              <w:rPr>
                <w:rFonts w:ascii="Calibri" w:hAnsi="Calibri" w:cs="Calibri"/>
                <w:color w:val="000000"/>
                <w:sz w:val="18"/>
                <w:szCs w:val="18"/>
              </w:rPr>
              <w:t xml:space="preserve">1 000,00 </w:t>
            </w:r>
          </w:p>
        </w:tc>
        <w:tc>
          <w:tcPr>
            <w:tcW w:w="3686" w:type="dxa"/>
          </w:tcPr>
          <w:p w:rsidR="00896AF6" w:rsidRPr="00896AF6" w:rsidRDefault="00896AF6" w:rsidP="00896AF6">
            <w:pPr>
              <w:autoSpaceDE w:val="0"/>
              <w:autoSpaceDN w:val="0"/>
              <w:adjustRightInd w:val="0"/>
              <w:rPr>
                <w:rFonts w:ascii="Calibri" w:hAnsi="Calibri" w:cs="Calibri"/>
                <w:color w:val="000000"/>
                <w:sz w:val="18"/>
                <w:szCs w:val="18"/>
              </w:rPr>
            </w:pPr>
            <w:r w:rsidRPr="00896AF6">
              <w:rPr>
                <w:rFonts w:ascii="Calibri" w:hAnsi="Calibri" w:cs="Calibri"/>
                <w:color w:val="000000"/>
                <w:sz w:val="18"/>
                <w:szCs w:val="18"/>
              </w:rPr>
              <w:t xml:space="preserve">Dotace FRR - sanační zásah Olšany u Prostějova </w:t>
            </w:r>
          </w:p>
        </w:tc>
        <w:tc>
          <w:tcPr>
            <w:tcW w:w="1577" w:type="dxa"/>
          </w:tcPr>
          <w:p w:rsidR="00896AF6" w:rsidRPr="00896AF6" w:rsidRDefault="00896AF6" w:rsidP="00896AF6">
            <w:pPr>
              <w:autoSpaceDE w:val="0"/>
              <w:autoSpaceDN w:val="0"/>
              <w:adjustRightInd w:val="0"/>
              <w:jc w:val="center"/>
              <w:rPr>
                <w:rFonts w:ascii="Calibri" w:hAnsi="Calibri" w:cs="Calibri"/>
                <w:color w:val="000000"/>
                <w:sz w:val="18"/>
                <w:szCs w:val="18"/>
              </w:rPr>
            </w:pPr>
            <w:r w:rsidRPr="00896AF6">
              <w:rPr>
                <w:rFonts w:ascii="Calibri" w:hAnsi="Calibri" w:cs="Calibri"/>
                <w:color w:val="000000"/>
                <w:sz w:val="18"/>
                <w:szCs w:val="18"/>
              </w:rPr>
              <w:t>Realizováno</w:t>
            </w:r>
          </w:p>
        </w:tc>
      </w:tr>
    </w:tbl>
    <w:p w:rsidR="00FB39EC" w:rsidRDefault="00FB39EC" w:rsidP="00FB39EC">
      <w:pPr>
        <w:rPr>
          <w:rFonts w:asciiTheme="minorHAnsi" w:hAnsiTheme="minorHAnsi" w:cstheme="minorHAnsi"/>
          <w:b/>
          <w:sz w:val="18"/>
        </w:rPr>
      </w:pPr>
    </w:p>
    <w:p w:rsidR="00E97115" w:rsidRPr="007A2121" w:rsidRDefault="00E97115"/>
    <w:p w:rsidR="0085773A" w:rsidRPr="00EE7AC9" w:rsidRDefault="0085773A" w:rsidP="0085773A">
      <w:pPr>
        <w:rPr>
          <w:rFonts w:asciiTheme="minorHAnsi" w:hAnsiTheme="minorHAnsi" w:cstheme="minorHAnsi"/>
          <w:b/>
          <w:sz w:val="20"/>
          <w:szCs w:val="20"/>
        </w:rPr>
      </w:pPr>
      <w:r w:rsidRPr="00EE7AC9">
        <w:rPr>
          <w:rFonts w:asciiTheme="minorHAnsi" w:hAnsiTheme="minorHAnsi" w:cstheme="minorHAnsi"/>
          <w:b/>
          <w:sz w:val="20"/>
          <w:szCs w:val="20"/>
        </w:rPr>
        <w:t xml:space="preserve">Prostějově: </w:t>
      </w:r>
      <w:r w:rsidR="00896AF6">
        <w:rPr>
          <w:rFonts w:asciiTheme="minorHAnsi" w:hAnsiTheme="minorHAnsi" w:cstheme="minorHAnsi"/>
          <w:b/>
          <w:sz w:val="20"/>
          <w:szCs w:val="20"/>
        </w:rPr>
        <w:t xml:space="preserve">7. </w:t>
      </w:r>
      <w:r w:rsidR="00FB39EC">
        <w:rPr>
          <w:rFonts w:asciiTheme="minorHAnsi" w:hAnsiTheme="minorHAnsi" w:cstheme="minorHAnsi"/>
          <w:b/>
          <w:sz w:val="20"/>
          <w:szCs w:val="20"/>
        </w:rPr>
        <w:t>2.</w:t>
      </w:r>
      <w:r w:rsidR="00896AF6">
        <w:rPr>
          <w:rFonts w:asciiTheme="minorHAnsi" w:hAnsiTheme="minorHAnsi" w:cstheme="minorHAnsi"/>
          <w:b/>
          <w:sz w:val="20"/>
          <w:szCs w:val="20"/>
        </w:rPr>
        <w:t xml:space="preserve"> </w:t>
      </w:r>
      <w:r w:rsidR="00FB39EC">
        <w:rPr>
          <w:rFonts w:asciiTheme="minorHAnsi" w:hAnsiTheme="minorHAnsi" w:cstheme="minorHAnsi"/>
          <w:b/>
          <w:sz w:val="20"/>
          <w:szCs w:val="20"/>
        </w:rPr>
        <w:t>2022</w:t>
      </w:r>
      <w:r w:rsidRPr="00EE7AC9">
        <w:rPr>
          <w:rFonts w:asciiTheme="minorHAnsi" w:hAnsiTheme="minorHAnsi" w:cstheme="minorHAnsi"/>
          <w:b/>
          <w:sz w:val="20"/>
          <w:szCs w:val="20"/>
        </w:rPr>
        <w:t xml:space="preserve"> </w:t>
      </w:r>
    </w:p>
    <w:p w:rsidR="0085773A" w:rsidRPr="00EE7AC9" w:rsidRDefault="0085773A" w:rsidP="0085773A">
      <w:pPr>
        <w:rPr>
          <w:rFonts w:asciiTheme="minorHAnsi" w:hAnsiTheme="minorHAnsi" w:cstheme="minorHAnsi"/>
          <w:b/>
          <w:sz w:val="20"/>
          <w:szCs w:val="20"/>
        </w:rPr>
      </w:pPr>
    </w:p>
    <w:p w:rsidR="00392D17" w:rsidRDefault="0085773A">
      <w:r w:rsidRPr="00EE7AC9">
        <w:rPr>
          <w:rFonts w:asciiTheme="minorHAnsi" w:hAnsiTheme="minorHAnsi" w:cstheme="minorHAnsi"/>
          <w:b/>
          <w:sz w:val="20"/>
          <w:szCs w:val="20"/>
        </w:rPr>
        <w:t>Správce kapitoly: Ing. Martina Cetkovská, vedoucí odboru životního prostředí</w:t>
      </w:r>
      <w:r w:rsidR="00392D17">
        <w:br w:type="page"/>
      </w:r>
    </w:p>
    <w:p w:rsidR="0031470B" w:rsidRPr="0031470B" w:rsidRDefault="0031470B" w:rsidP="0031470B">
      <w:pPr>
        <w:rPr>
          <w:rFonts w:asciiTheme="minorHAnsi" w:hAnsiTheme="minorHAnsi" w:cstheme="minorHAnsi"/>
          <w:b/>
        </w:rPr>
      </w:pPr>
      <w:r w:rsidRPr="0031470B">
        <w:rPr>
          <w:rFonts w:asciiTheme="minorHAnsi" w:hAnsiTheme="minorHAnsi" w:cstheme="minorHAnsi"/>
          <w:b/>
        </w:rPr>
        <w:t>Kapitola 41 – Doprava</w:t>
      </w:r>
    </w:p>
    <w:p w:rsidR="0031470B" w:rsidRPr="0031470B" w:rsidRDefault="0031470B" w:rsidP="0031470B">
      <w:pPr>
        <w:rPr>
          <w:rFonts w:asciiTheme="minorHAnsi" w:hAnsiTheme="minorHAnsi" w:cstheme="minorHAnsi"/>
          <w:b/>
          <w:sz w:val="20"/>
          <w:szCs w:val="20"/>
        </w:rPr>
      </w:pPr>
    </w:p>
    <w:p w:rsidR="0031470B" w:rsidRPr="0031470B" w:rsidRDefault="0031470B" w:rsidP="0031470B">
      <w:pPr>
        <w:rPr>
          <w:rFonts w:asciiTheme="minorHAnsi" w:hAnsiTheme="minorHAnsi" w:cstheme="minorHAnsi"/>
          <w:b/>
          <w:sz w:val="20"/>
          <w:szCs w:val="20"/>
          <w:u w:val="single"/>
        </w:rPr>
      </w:pPr>
      <w:r w:rsidRPr="0031470B">
        <w:rPr>
          <w:rFonts w:asciiTheme="minorHAnsi" w:hAnsiTheme="minorHAnsi" w:cstheme="minorHAnsi"/>
          <w:b/>
          <w:sz w:val="20"/>
          <w:szCs w:val="20"/>
          <w:u w:val="single"/>
        </w:rPr>
        <w:t>Rozbor plnění příjmů rozpočtu kapitoly</w:t>
      </w:r>
    </w:p>
    <w:p w:rsidR="0031470B" w:rsidRPr="0031470B" w:rsidRDefault="0031470B" w:rsidP="0031470B">
      <w:pPr>
        <w:rPr>
          <w:rFonts w:asciiTheme="minorHAnsi" w:hAnsiTheme="minorHAnsi" w:cstheme="minorHAnsi"/>
          <w:b/>
          <w:sz w:val="20"/>
          <w:szCs w:val="20"/>
        </w:rPr>
      </w:pPr>
    </w:p>
    <w:tbl>
      <w:tblPr>
        <w:tblStyle w:val="Mkatabulky"/>
        <w:tblW w:w="9776" w:type="dxa"/>
        <w:tblLook w:val="04A0" w:firstRow="1" w:lastRow="0" w:firstColumn="1" w:lastColumn="0" w:noHBand="0" w:noVBand="1"/>
      </w:tblPr>
      <w:tblGrid>
        <w:gridCol w:w="3397"/>
        <w:gridCol w:w="2835"/>
        <w:gridCol w:w="1276"/>
        <w:gridCol w:w="2268"/>
      </w:tblGrid>
      <w:tr w:rsidR="0031470B" w:rsidRPr="0031470B" w:rsidTr="0031470B">
        <w:trPr>
          <w:trHeight w:val="284"/>
        </w:trPr>
        <w:tc>
          <w:tcPr>
            <w:tcW w:w="3397" w:type="dxa"/>
            <w:shd w:val="clear" w:color="auto" w:fill="FFC000"/>
            <w:vAlign w:val="center"/>
          </w:tcPr>
          <w:p w:rsidR="0031470B" w:rsidRPr="0031470B" w:rsidRDefault="0031470B" w:rsidP="00F461FB">
            <w:pPr>
              <w:jc w:val="center"/>
              <w:rPr>
                <w:rFonts w:asciiTheme="minorHAnsi" w:hAnsiTheme="minorHAnsi" w:cstheme="minorHAnsi"/>
                <w:b/>
                <w:sz w:val="20"/>
                <w:szCs w:val="20"/>
              </w:rPr>
            </w:pPr>
            <w:r w:rsidRPr="0031470B">
              <w:rPr>
                <w:rFonts w:asciiTheme="minorHAnsi" w:hAnsiTheme="minorHAnsi" w:cstheme="minorHAnsi"/>
                <w:b/>
                <w:sz w:val="20"/>
                <w:szCs w:val="20"/>
              </w:rPr>
              <w:t>Rozpočet upravený v tis. Kč</w:t>
            </w:r>
          </w:p>
        </w:tc>
        <w:tc>
          <w:tcPr>
            <w:tcW w:w="2835" w:type="dxa"/>
            <w:shd w:val="clear" w:color="auto" w:fill="FFC000"/>
            <w:vAlign w:val="center"/>
          </w:tcPr>
          <w:p w:rsidR="0031470B" w:rsidRPr="0031470B" w:rsidRDefault="0031470B" w:rsidP="00F461FB">
            <w:pPr>
              <w:jc w:val="center"/>
              <w:rPr>
                <w:rFonts w:asciiTheme="minorHAnsi" w:hAnsiTheme="minorHAnsi" w:cstheme="minorHAnsi"/>
                <w:b/>
                <w:sz w:val="20"/>
                <w:szCs w:val="20"/>
              </w:rPr>
            </w:pPr>
            <w:r w:rsidRPr="0031470B">
              <w:rPr>
                <w:rFonts w:asciiTheme="minorHAnsi" w:hAnsiTheme="minorHAnsi" w:cstheme="minorHAnsi"/>
                <w:b/>
                <w:sz w:val="20"/>
                <w:szCs w:val="20"/>
              </w:rPr>
              <w:t>Skutečnost v tis. Kč</w:t>
            </w:r>
          </w:p>
        </w:tc>
        <w:tc>
          <w:tcPr>
            <w:tcW w:w="1276" w:type="dxa"/>
            <w:shd w:val="clear" w:color="auto" w:fill="FFC000"/>
            <w:vAlign w:val="center"/>
          </w:tcPr>
          <w:p w:rsidR="0031470B" w:rsidRPr="0031470B" w:rsidRDefault="0031470B" w:rsidP="00F461FB">
            <w:pPr>
              <w:jc w:val="center"/>
              <w:rPr>
                <w:rFonts w:asciiTheme="minorHAnsi" w:hAnsiTheme="minorHAnsi" w:cstheme="minorHAnsi"/>
                <w:b/>
                <w:sz w:val="20"/>
                <w:szCs w:val="20"/>
              </w:rPr>
            </w:pPr>
            <w:r w:rsidRPr="0031470B">
              <w:rPr>
                <w:rFonts w:asciiTheme="minorHAnsi" w:hAnsiTheme="minorHAnsi" w:cstheme="minorHAnsi"/>
                <w:b/>
                <w:sz w:val="20"/>
                <w:szCs w:val="20"/>
              </w:rPr>
              <w:t>SK/RU v %</w:t>
            </w:r>
          </w:p>
        </w:tc>
        <w:tc>
          <w:tcPr>
            <w:tcW w:w="2268" w:type="dxa"/>
            <w:shd w:val="clear" w:color="auto" w:fill="FFC000"/>
            <w:vAlign w:val="center"/>
          </w:tcPr>
          <w:p w:rsidR="0031470B" w:rsidRPr="0031470B" w:rsidRDefault="0031470B" w:rsidP="00F461FB">
            <w:pPr>
              <w:jc w:val="center"/>
              <w:rPr>
                <w:rFonts w:asciiTheme="minorHAnsi" w:hAnsiTheme="minorHAnsi" w:cstheme="minorHAnsi"/>
                <w:b/>
                <w:sz w:val="20"/>
                <w:szCs w:val="20"/>
              </w:rPr>
            </w:pPr>
            <w:r w:rsidRPr="0031470B">
              <w:rPr>
                <w:rFonts w:asciiTheme="minorHAnsi" w:hAnsiTheme="minorHAnsi" w:cstheme="minorHAnsi"/>
                <w:b/>
                <w:sz w:val="20"/>
                <w:szCs w:val="20"/>
              </w:rPr>
              <w:t>Komentář</w:t>
            </w:r>
          </w:p>
        </w:tc>
      </w:tr>
      <w:tr w:rsidR="0031470B" w:rsidRPr="0031470B" w:rsidTr="0031470B">
        <w:trPr>
          <w:trHeight w:val="284"/>
        </w:trPr>
        <w:tc>
          <w:tcPr>
            <w:tcW w:w="3397" w:type="dxa"/>
            <w:vAlign w:val="center"/>
          </w:tcPr>
          <w:p w:rsidR="0031470B" w:rsidRPr="0031470B" w:rsidRDefault="0031470B" w:rsidP="00F461FB">
            <w:pPr>
              <w:jc w:val="right"/>
              <w:rPr>
                <w:rFonts w:asciiTheme="minorHAnsi" w:hAnsiTheme="minorHAnsi" w:cstheme="minorHAnsi"/>
                <w:sz w:val="20"/>
                <w:szCs w:val="20"/>
              </w:rPr>
            </w:pPr>
            <w:r w:rsidRPr="0031470B">
              <w:rPr>
                <w:rFonts w:asciiTheme="minorHAnsi" w:hAnsiTheme="minorHAnsi" w:cstheme="minorHAnsi"/>
                <w:sz w:val="20"/>
                <w:szCs w:val="20"/>
              </w:rPr>
              <w:t>18 500,00</w:t>
            </w:r>
          </w:p>
        </w:tc>
        <w:tc>
          <w:tcPr>
            <w:tcW w:w="2835" w:type="dxa"/>
            <w:vAlign w:val="center"/>
          </w:tcPr>
          <w:p w:rsidR="0031470B" w:rsidRPr="0031470B" w:rsidRDefault="0031470B" w:rsidP="00F461FB">
            <w:pPr>
              <w:jc w:val="right"/>
              <w:rPr>
                <w:rFonts w:asciiTheme="minorHAnsi" w:hAnsiTheme="minorHAnsi" w:cstheme="minorHAnsi"/>
                <w:sz w:val="20"/>
                <w:szCs w:val="20"/>
              </w:rPr>
            </w:pPr>
            <w:r w:rsidRPr="0031470B">
              <w:rPr>
                <w:rFonts w:asciiTheme="minorHAnsi" w:hAnsiTheme="minorHAnsi" w:cstheme="minorHAnsi"/>
                <w:sz w:val="20"/>
                <w:szCs w:val="20"/>
              </w:rPr>
              <w:t>17 885,67</w:t>
            </w:r>
          </w:p>
        </w:tc>
        <w:tc>
          <w:tcPr>
            <w:tcW w:w="1276" w:type="dxa"/>
            <w:vAlign w:val="center"/>
          </w:tcPr>
          <w:p w:rsidR="0031470B" w:rsidRPr="0031470B" w:rsidRDefault="0031470B" w:rsidP="0031470B">
            <w:pPr>
              <w:jc w:val="center"/>
              <w:rPr>
                <w:rFonts w:asciiTheme="minorHAnsi" w:hAnsiTheme="minorHAnsi" w:cstheme="minorHAnsi"/>
                <w:sz w:val="20"/>
                <w:szCs w:val="20"/>
              </w:rPr>
            </w:pPr>
            <w:r w:rsidRPr="0031470B">
              <w:rPr>
                <w:rFonts w:asciiTheme="minorHAnsi" w:hAnsiTheme="minorHAnsi" w:cstheme="minorHAnsi"/>
                <w:sz w:val="20"/>
                <w:szCs w:val="20"/>
              </w:rPr>
              <w:t>96,68</w:t>
            </w:r>
          </w:p>
        </w:tc>
        <w:tc>
          <w:tcPr>
            <w:tcW w:w="2268" w:type="dxa"/>
            <w:vAlign w:val="center"/>
          </w:tcPr>
          <w:p w:rsidR="0031470B" w:rsidRPr="0031470B" w:rsidRDefault="0031470B" w:rsidP="00F461FB">
            <w:pPr>
              <w:rPr>
                <w:rFonts w:asciiTheme="minorHAnsi" w:hAnsiTheme="minorHAnsi" w:cstheme="minorHAnsi"/>
                <w:sz w:val="20"/>
                <w:szCs w:val="20"/>
              </w:rPr>
            </w:pPr>
            <w:r w:rsidRPr="0031470B">
              <w:rPr>
                <w:rFonts w:asciiTheme="minorHAnsi" w:hAnsiTheme="minorHAnsi" w:cstheme="minorHAnsi"/>
                <w:sz w:val="20"/>
                <w:szCs w:val="20"/>
              </w:rPr>
              <w:t>Příjmy před konsolidací</w:t>
            </w:r>
          </w:p>
        </w:tc>
      </w:tr>
      <w:tr w:rsidR="0031470B" w:rsidRPr="0031470B" w:rsidTr="0031470B">
        <w:trPr>
          <w:trHeight w:val="284"/>
        </w:trPr>
        <w:tc>
          <w:tcPr>
            <w:tcW w:w="3397" w:type="dxa"/>
            <w:vAlign w:val="center"/>
          </w:tcPr>
          <w:p w:rsidR="0031470B" w:rsidRPr="0031470B" w:rsidRDefault="0031470B" w:rsidP="00F461FB">
            <w:pPr>
              <w:jc w:val="right"/>
              <w:rPr>
                <w:rFonts w:asciiTheme="minorHAnsi" w:hAnsiTheme="minorHAnsi" w:cstheme="minorHAnsi"/>
                <w:sz w:val="20"/>
                <w:szCs w:val="20"/>
              </w:rPr>
            </w:pPr>
            <w:r w:rsidRPr="0031470B">
              <w:rPr>
                <w:rFonts w:asciiTheme="minorHAnsi" w:hAnsiTheme="minorHAnsi" w:cstheme="minorHAnsi"/>
                <w:sz w:val="20"/>
                <w:szCs w:val="20"/>
              </w:rPr>
              <w:t>18 500,00</w:t>
            </w:r>
          </w:p>
        </w:tc>
        <w:tc>
          <w:tcPr>
            <w:tcW w:w="2835" w:type="dxa"/>
            <w:vAlign w:val="center"/>
          </w:tcPr>
          <w:p w:rsidR="0031470B" w:rsidRPr="0031470B" w:rsidRDefault="0031470B" w:rsidP="00F461FB">
            <w:pPr>
              <w:jc w:val="right"/>
              <w:rPr>
                <w:rFonts w:asciiTheme="minorHAnsi" w:hAnsiTheme="minorHAnsi" w:cstheme="minorHAnsi"/>
                <w:sz w:val="20"/>
                <w:szCs w:val="20"/>
              </w:rPr>
            </w:pPr>
            <w:r w:rsidRPr="0031470B">
              <w:rPr>
                <w:rFonts w:asciiTheme="minorHAnsi" w:hAnsiTheme="minorHAnsi" w:cstheme="minorHAnsi"/>
                <w:sz w:val="20"/>
                <w:szCs w:val="20"/>
              </w:rPr>
              <w:t>17 885,67</w:t>
            </w:r>
          </w:p>
        </w:tc>
        <w:tc>
          <w:tcPr>
            <w:tcW w:w="1276" w:type="dxa"/>
            <w:vAlign w:val="center"/>
          </w:tcPr>
          <w:p w:rsidR="0031470B" w:rsidRPr="0031470B" w:rsidRDefault="0031470B" w:rsidP="0031470B">
            <w:pPr>
              <w:jc w:val="center"/>
              <w:rPr>
                <w:rFonts w:asciiTheme="minorHAnsi" w:hAnsiTheme="minorHAnsi" w:cstheme="minorHAnsi"/>
                <w:sz w:val="20"/>
                <w:szCs w:val="20"/>
              </w:rPr>
            </w:pPr>
            <w:r w:rsidRPr="0031470B">
              <w:rPr>
                <w:rFonts w:asciiTheme="minorHAnsi" w:hAnsiTheme="minorHAnsi" w:cstheme="minorHAnsi"/>
                <w:sz w:val="20"/>
                <w:szCs w:val="20"/>
              </w:rPr>
              <w:t>96,68</w:t>
            </w:r>
          </w:p>
        </w:tc>
        <w:tc>
          <w:tcPr>
            <w:tcW w:w="2268" w:type="dxa"/>
            <w:vAlign w:val="center"/>
          </w:tcPr>
          <w:p w:rsidR="0031470B" w:rsidRPr="0031470B" w:rsidRDefault="0031470B" w:rsidP="00F461FB">
            <w:pPr>
              <w:rPr>
                <w:rFonts w:asciiTheme="minorHAnsi" w:hAnsiTheme="minorHAnsi" w:cstheme="minorHAnsi"/>
                <w:sz w:val="20"/>
                <w:szCs w:val="20"/>
              </w:rPr>
            </w:pPr>
            <w:r w:rsidRPr="0031470B">
              <w:rPr>
                <w:rFonts w:asciiTheme="minorHAnsi" w:hAnsiTheme="minorHAnsi" w:cstheme="minorHAnsi"/>
                <w:sz w:val="20"/>
                <w:szCs w:val="20"/>
              </w:rPr>
              <w:t>Příjmy po konsolidaci</w:t>
            </w:r>
          </w:p>
        </w:tc>
      </w:tr>
    </w:tbl>
    <w:p w:rsidR="0031470B" w:rsidRPr="0031470B" w:rsidRDefault="0031470B" w:rsidP="0031470B">
      <w:pPr>
        <w:rPr>
          <w:rFonts w:asciiTheme="minorHAnsi" w:hAnsiTheme="minorHAnsi" w:cstheme="minorHAnsi"/>
          <w:b/>
          <w:sz w:val="20"/>
          <w:szCs w:val="20"/>
        </w:rPr>
      </w:pPr>
    </w:p>
    <w:p w:rsidR="0031470B" w:rsidRPr="0031470B" w:rsidRDefault="0031470B" w:rsidP="0031470B">
      <w:pPr>
        <w:rPr>
          <w:rFonts w:asciiTheme="minorHAnsi" w:hAnsiTheme="minorHAnsi" w:cstheme="minorHAnsi"/>
          <w:b/>
          <w:sz w:val="20"/>
          <w:szCs w:val="20"/>
        </w:rPr>
      </w:pPr>
      <w:r w:rsidRPr="0031470B">
        <w:rPr>
          <w:rFonts w:asciiTheme="minorHAnsi" w:hAnsiTheme="minorHAnsi" w:cstheme="minorHAnsi"/>
          <w:b/>
          <w:sz w:val="20"/>
          <w:szCs w:val="20"/>
        </w:rPr>
        <w:t>Stručný komentář k celkovému vývoji plnění příjmů kapitoly ve sledovaném období</w:t>
      </w:r>
    </w:p>
    <w:tbl>
      <w:tblPr>
        <w:tblStyle w:val="Mkatabulky"/>
        <w:tblW w:w="9776" w:type="dxa"/>
        <w:tblLook w:val="04A0" w:firstRow="1" w:lastRow="0" w:firstColumn="1" w:lastColumn="0" w:noHBand="0" w:noVBand="1"/>
      </w:tblPr>
      <w:tblGrid>
        <w:gridCol w:w="9776"/>
      </w:tblGrid>
      <w:tr w:rsidR="0031470B" w:rsidRPr="0031470B" w:rsidTr="00F461FB">
        <w:trPr>
          <w:trHeight w:val="245"/>
        </w:trPr>
        <w:tc>
          <w:tcPr>
            <w:tcW w:w="9776" w:type="dxa"/>
          </w:tcPr>
          <w:p w:rsidR="0031470B" w:rsidRPr="0031470B" w:rsidRDefault="0031470B" w:rsidP="00F461FB">
            <w:pPr>
              <w:jc w:val="both"/>
              <w:rPr>
                <w:rFonts w:asciiTheme="minorHAnsi" w:hAnsiTheme="minorHAnsi" w:cstheme="minorHAnsi"/>
                <w:sz w:val="20"/>
                <w:szCs w:val="20"/>
              </w:rPr>
            </w:pPr>
            <w:r w:rsidRPr="0031470B">
              <w:rPr>
                <w:rFonts w:asciiTheme="minorHAnsi" w:hAnsiTheme="minorHAnsi" w:cstheme="minorHAnsi"/>
                <w:sz w:val="20"/>
                <w:szCs w:val="20"/>
              </w:rPr>
              <w:t xml:space="preserve">Plnění příjmů kapitoly bylo v roce 2022 bez abnormalit.   </w:t>
            </w:r>
          </w:p>
        </w:tc>
      </w:tr>
    </w:tbl>
    <w:p w:rsidR="0031470B" w:rsidRPr="0031470B" w:rsidRDefault="0031470B" w:rsidP="0031470B">
      <w:pPr>
        <w:rPr>
          <w:rFonts w:asciiTheme="minorHAnsi" w:hAnsiTheme="minorHAnsi" w:cstheme="minorHAnsi"/>
          <w:b/>
          <w:sz w:val="20"/>
          <w:szCs w:val="20"/>
        </w:rPr>
      </w:pPr>
    </w:p>
    <w:p w:rsidR="0031470B" w:rsidRPr="0031470B" w:rsidRDefault="0031470B" w:rsidP="0031470B">
      <w:pPr>
        <w:jc w:val="both"/>
        <w:rPr>
          <w:rFonts w:asciiTheme="minorHAnsi" w:hAnsiTheme="minorHAnsi" w:cstheme="minorHAnsi"/>
          <w:b/>
          <w:sz w:val="20"/>
          <w:szCs w:val="20"/>
        </w:rPr>
      </w:pPr>
      <w:r w:rsidRPr="0031470B">
        <w:rPr>
          <w:rFonts w:asciiTheme="minorHAnsi" w:hAnsiTheme="minorHAnsi" w:cstheme="minorHAnsi"/>
          <w:b/>
          <w:sz w:val="20"/>
          <w:szCs w:val="20"/>
        </w:rPr>
        <w:t>Komentář k položkám (akcím), které vykázaly abnormalitu v řádném pln</w:t>
      </w:r>
      <w:r>
        <w:rPr>
          <w:rFonts w:asciiTheme="minorHAnsi" w:hAnsiTheme="minorHAnsi" w:cstheme="minorHAnsi"/>
          <w:b/>
          <w:sz w:val="20"/>
          <w:szCs w:val="20"/>
        </w:rPr>
        <w:t>ění příjmů rozpočtu kapitoly ve </w:t>
      </w:r>
      <w:r w:rsidRPr="0031470B">
        <w:rPr>
          <w:rFonts w:asciiTheme="minorHAnsi" w:hAnsiTheme="minorHAnsi" w:cstheme="minorHAnsi"/>
          <w:b/>
          <w:sz w:val="20"/>
          <w:szCs w:val="20"/>
        </w:rPr>
        <w:t xml:space="preserve">sledovaném období </w:t>
      </w:r>
    </w:p>
    <w:tbl>
      <w:tblPr>
        <w:tblStyle w:val="Mkatabulky"/>
        <w:tblW w:w="9778" w:type="dxa"/>
        <w:tblLayout w:type="fixed"/>
        <w:tblLook w:val="04A0" w:firstRow="1" w:lastRow="0" w:firstColumn="1" w:lastColumn="0" w:noHBand="0" w:noVBand="1"/>
      </w:tblPr>
      <w:tblGrid>
        <w:gridCol w:w="959"/>
        <w:gridCol w:w="850"/>
        <w:gridCol w:w="1163"/>
        <w:gridCol w:w="851"/>
        <w:gridCol w:w="1134"/>
        <w:gridCol w:w="1134"/>
        <w:gridCol w:w="3687"/>
      </w:tblGrid>
      <w:tr w:rsidR="00B75FE5" w:rsidRPr="0031470B" w:rsidTr="00B75FE5">
        <w:trPr>
          <w:trHeight w:val="284"/>
        </w:trPr>
        <w:tc>
          <w:tcPr>
            <w:tcW w:w="959" w:type="dxa"/>
            <w:shd w:val="clear" w:color="auto" w:fill="FFFF00"/>
            <w:vAlign w:val="center"/>
          </w:tcPr>
          <w:p w:rsidR="0031470B" w:rsidRPr="0031470B" w:rsidRDefault="0031470B" w:rsidP="00F461FB">
            <w:pPr>
              <w:jc w:val="center"/>
              <w:rPr>
                <w:rFonts w:asciiTheme="minorHAnsi" w:hAnsiTheme="minorHAnsi" w:cstheme="minorHAnsi"/>
                <w:b/>
                <w:sz w:val="18"/>
                <w:szCs w:val="18"/>
              </w:rPr>
            </w:pPr>
            <w:r w:rsidRPr="0031470B">
              <w:rPr>
                <w:rFonts w:asciiTheme="minorHAnsi" w:hAnsiTheme="minorHAnsi" w:cstheme="minorHAnsi"/>
                <w:b/>
                <w:sz w:val="18"/>
                <w:szCs w:val="18"/>
              </w:rPr>
              <w:t>Oddíl, paragraf</w:t>
            </w:r>
          </w:p>
        </w:tc>
        <w:tc>
          <w:tcPr>
            <w:tcW w:w="850" w:type="dxa"/>
            <w:shd w:val="clear" w:color="auto" w:fill="FFFF00"/>
            <w:vAlign w:val="center"/>
          </w:tcPr>
          <w:p w:rsidR="0031470B" w:rsidRPr="0031470B" w:rsidRDefault="0031470B" w:rsidP="00F461FB">
            <w:pPr>
              <w:jc w:val="center"/>
              <w:rPr>
                <w:rFonts w:asciiTheme="minorHAnsi" w:hAnsiTheme="minorHAnsi" w:cstheme="minorHAnsi"/>
                <w:b/>
                <w:sz w:val="18"/>
                <w:szCs w:val="18"/>
              </w:rPr>
            </w:pPr>
            <w:r w:rsidRPr="0031470B">
              <w:rPr>
                <w:rFonts w:asciiTheme="minorHAnsi" w:hAnsiTheme="minorHAnsi" w:cstheme="minorHAnsi"/>
                <w:b/>
                <w:sz w:val="18"/>
                <w:szCs w:val="18"/>
              </w:rPr>
              <w:t>Položka</w:t>
            </w:r>
          </w:p>
        </w:tc>
        <w:tc>
          <w:tcPr>
            <w:tcW w:w="1163" w:type="dxa"/>
            <w:shd w:val="clear" w:color="auto" w:fill="FFFF00"/>
            <w:vAlign w:val="center"/>
          </w:tcPr>
          <w:p w:rsidR="0031470B" w:rsidRPr="0031470B" w:rsidRDefault="0031470B" w:rsidP="00F461FB">
            <w:pPr>
              <w:jc w:val="center"/>
              <w:rPr>
                <w:rFonts w:asciiTheme="minorHAnsi" w:hAnsiTheme="minorHAnsi" w:cstheme="minorHAnsi"/>
                <w:b/>
                <w:sz w:val="18"/>
                <w:szCs w:val="18"/>
              </w:rPr>
            </w:pPr>
            <w:r w:rsidRPr="0031470B">
              <w:rPr>
                <w:rFonts w:asciiTheme="minorHAnsi" w:hAnsiTheme="minorHAnsi" w:cstheme="minorHAnsi"/>
                <w:b/>
                <w:sz w:val="18"/>
                <w:szCs w:val="18"/>
              </w:rPr>
              <w:t>Organizace</w:t>
            </w:r>
          </w:p>
        </w:tc>
        <w:tc>
          <w:tcPr>
            <w:tcW w:w="851" w:type="dxa"/>
            <w:shd w:val="clear" w:color="auto" w:fill="FFFF00"/>
            <w:vAlign w:val="center"/>
          </w:tcPr>
          <w:p w:rsidR="0031470B" w:rsidRPr="0031470B" w:rsidRDefault="0031470B" w:rsidP="00F461FB">
            <w:pPr>
              <w:jc w:val="center"/>
              <w:rPr>
                <w:rFonts w:asciiTheme="minorHAnsi" w:hAnsiTheme="minorHAnsi" w:cstheme="minorHAnsi"/>
                <w:b/>
                <w:sz w:val="18"/>
                <w:szCs w:val="18"/>
              </w:rPr>
            </w:pPr>
            <w:r w:rsidRPr="0031470B">
              <w:rPr>
                <w:rFonts w:asciiTheme="minorHAnsi" w:hAnsiTheme="minorHAnsi" w:cstheme="minorHAnsi"/>
                <w:b/>
                <w:sz w:val="18"/>
                <w:szCs w:val="18"/>
              </w:rPr>
              <w:t>Účelový zdroj</w:t>
            </w:r>
          </w:p>
        </w:tc>
        <w:tc>
          <w:tcPr>
            <w:tcW w:w="1134" w:type="dxa"/>
            <w:shd w:val="clear" w:color="auto" w:fill="FFFF00"/>
            <w:vAlign w:val="center"/>
          </w:tcPr>
          <w:p w:rsidR="0031470B" w:rsidRPr="0031470B" w:rsidRDefault="00B75FE5" w:rsidP="00F461FB">
            <w:pPr>
              <w:jc w:val="center"/>
              <w:rPr>
                <w:rFonts w:asciiTheme="minorHAnsi" w:hAnsiTheme="minorHAnsi" w:cstheme="minorHAnsi"/>
                <w:b/>
                <w:sz w:val="18"/>
                <w:szCs w:val="18"/>
              </w:rPr>
            </w:pPr>
            <w:r>
              <w:rPr>
                <w:rFonts w:asciiTheme="minorHAnsi" w:hAnsiTheme="minorHAnsi" w:cstheme="minorHAnsi"/>
                <w:b/>
                <w:sz w:val="18"/>
                <w:szCs w:val="18"/>
              </w:rPr>
              <w:t>UR</w:t>
            </w:r>
            <w:r w:rsidR="0031470B" w:rsidRPr="0031470B">
              <w:rPr>
                <w:rFonts w:asciiTheme="minorHAnsi" w:hAnsiTheme="minorHAnsi" w:cstheme="minorHAnsi"/>
                <w:b/>
                <w:sz w:val="18"/>
                <w:szCs w:val="18"/>
              </w:rPr>
              <w:t xml:space="preserve"> v tis. Kč</w:t>
            </w:r>
          </w:p>
        </w:tc>
        <w:tc>
          <w:tcPr>
            <w:tcW w:w="1134" w:type="dxa"/>
            <w:shd w:val="clear" w:color="auto" w:fill="FFFF00"/>
            <w:vAlign w:val="center"/>
          </w:tcPr>
          <w:p w:rsidR="0031470B" w:rsidRPr="0031470B" w:rsidRDefault="0031470B" w:rsidP="00F461FB">
            <w:pPr>
              <w:jc w:val="center"/>
              <w:rPr>
                <w:rFonts w:asciiTheme="minorHAnsi" w:hAnsiTheme="minorHAnsi" w:cstheme="minorHAnsi"/>
                <w:b/>
                <w:sz w:val="18"/>
                <w:szCs w:val="18"/>
              </w:rPr>
            </w:pPr>
            <w:r w:rsidRPr="0031470B">
              <w:rPr>
                <w:rFonts w:asciiTheme="minorHAnsi" w:hAnsiTheme="minorHAnsi" w:cstheme="minorHAnsi"/>
                <w:b/>
                <w:sz w:val="18"/>
                <w:szCs w:val="18"/>
              </w:rPr>
              <w:t>Skutečnost v tis. Kč</w:t>
            </w:r>
          </w:p>
        </w:tc>
        <w:tc>
          <w:tcPr>
            <w:tcW w:w="3687" w:type="dxa"/>
            <w:shd w:val="clear" w:color="auto" w:fill="FFFF00"/>
            <w:vAlign w:val="center"/>
          </w:tcPr>
          <w:p w:rsidR="0031470B" w:rsidRPr="0031470B" w:rsidRDefault="0031470B" w:rsidP="00F461FB">
            <w:pPr>
              <w:jc w:val="center"/>
              <w:rPr>
                <w:rFonts w:asciiTheme="minorHAnsi" w:hAnsiTheme="minorHAnsi" w:cstheme="minorHAnsi"/>
                <w:b/>
                <w:sz w:val="18"/>
                <w:szCs w:val="18"/>
              </w:rPr>
            </w:pPr>
            <w:r w:rsidRPr="0031470B">
              <w:rPr>
                <w:rFonts w:asciiTheme="minorHAnsi" w:hAnsiTheme="minorHAnsi" w:cstheme="minorHAnsi"/>
                <w:b/>
                <w:sz w:val="18"/>
                <w:szCs w:val="18"/>
              </w:rPr>
              <w:t>Komentář</w:t>
            </w:r>
          </w:p>
        </w:tc>
      </w:tr>
      <w:tr w:rsidR="0031470B" w:rsidRPr="0031470B" w:rsidTr="00B75FE5">
        <w:trPr>
          <w:trHeight w:val="284"/>
        </w:trPr>
        <w:tc>
          <w:tcPr>
            <w:tcW w:w="959" w:type="dxa"/>
            <w:vAlign w:val="center"/>
          </w:tcPr>
          <w:p w:rsidR="0031470B" w:rsidRPr="0031470B" w:rsidRDefault="0031470B" w:rsidP="00F461FB">
            <w:pPr>
              <w:jc w:val="center"/>
              <w:rPr>
                <w:rFonts w:asciiTheme="minorHAnsi" w:hAnsiTheme="minorHAnsi" w:cstheme="minorHAnsi"/>
                <w:sz w:val="18"/>
                <w:szCs w:val="18"/>
              </w:rPr>
            </w:pPr>
            <w:r w:rsidRPr="0031470B">
              <w:rPr>
                <w:rFonts w:asciiTheme="minorHAnsi" w:hAnsiTheme="minorHAnsi" w:cstheme="minorHAnsi"/>
                <w:sz w:val="18"/>
                <w:szCs w:val="18"/>
              </w:rPr>
              <w:t>0000</w:t>
            </w:r>
          </w:p>
        </w:tc>
        <w:tc>
          <w:tcPr>
            <w:tcW w:w="850" w:type="dxa"/>
            <w:vAlign w:val="center"/>
          </w:tcPr>
          <w:p w:rsidR="0031470B" w:rsidRPr="0031470B" w:rsidRDefault="0031470B" w:rsidP="00F461FB">
            <w:pPr>
              <w:jc w:val="center"/>
              <w:rPr>
                <w:rFonts w:asciiTheme="minorHAnsi" w:hAnsiTheme="minorHAnsi" w:cstheme="minorHAnsi"/>
                <w:sz w:val="18"/>
                <w:szCs w:val="18"/>
              </w:rPr>
            </w:pPr>
            <w:r w:rsidRPr="0031470B">
              <w:rPr>
                <w:rFonts w:asciiTheme="minorHAnsi" w:hAnsiTheme="minorHAnsi" w:cstheme="minorHAnsi"/>
                <w:sz w:val="18"/>
                <w:szCs w:val="18"/>
              </w:rPr>
              <w:t>1359</w:t>
            </w:r>
          </w:p>
        </w:tc>
        <w:tc>
          <w:tcPr>
            <w:tcW w:w="1163" w:type="dxa"/>
            <w:vAlign w:val="center"/>
          </w:tcPr>
          <w:p w:rsidR="0031470B" w:rsidRPr="0031470B" w:rsidRDefault="0031470B" w:rsidP="00F461FB">
            <w:pPr>
              <w:jc w:val="center"/>
              <w:rPr>
                <w:rFonts w:asciiTheme="minorHAnsi" w:hAnsiTheme="minorHAnsi" w:cstheme="minorHAnsi"/>
                <w:sz w:val="18"/>
                <w:szCs w:val="18"/>
              </w:rPr>
            </w:pPr>
            <w:r w:rsidRPr="0031470B">
              <w:rPr>
                <w:rFonts w:asciiTheme="minorHAnsi" w:hAnsiTheme="minorHAnsi" w:cstheme="minorHAnsi"/>
                <w:sz w:val="18"/>
                <w:szCs w:val="18"/>
              </w:rPr>
              <w:t>04100</w:t>
            </w:r>
          </w:p>
        </w:tc>
        <w:tc>
          <w:tcPr>
            <w:tcW w:w="851" w:type="dxa"/>
            <w:vAlign w:val="center"/>
          </w:tcPr>
          <w:p w:rsidR="0031470B" w:rsidRPr="0031470B" w:rsidRDefault="0031470B" w:rsidP="00F461FB">
            <w:pPr>
              <w:jc w:val="center"/>
              <w:rPr>
                <w:rFonts w:asciiTheme="minorHAnsi" w:hAnsiTheme="minorHAnsi" w:cstheme="minorHAnsi"/>
                <w:sz w:val="18"/>
                <w:szCs w:val="18"/>
              </w:rPr>
            </w:pPr>
            <w:r w:rsidRPr="0031470B">
              <w:rPr>
                <w:rFonts w:asciiTheme="minorHAnsi" w:hAnsiTheme="minorHAnsi" w:cstheme="minorHAnsi"/>
                <w:sz w:val="18"/>
                <w:szCs w:val="18"/>
              </w:rPr>
              <w:t>0000</w:t>
            </w:r>
          </w:p>
        </w:tc>
        <w:tc>
          <w:tcPr>
            <w:tcW w:w="1134" w:type="dxa"/>
            <w:vAlign w:val="center"/>
          </w:tcPr>
          <w:p w:rsidR="0031470B" w:rsidRPr="0031470B" w:rsidRDefault="0031470B" w:rsidP="00F461FB">
            <w:pPr>
              <w:jc w:val="right"/>
              <w:rPr>
                <w:rFonts w:asciiTheme="minorHAnsi" w:hAnsiTheme="minorHAnsi" w:cstheme="minorHAnsi"/>
                <w:sz w:val="18"/>
                <w:szCs w:val="18"/>
              </w:rPr>
            </w:pPr>
            <w:r w:rsidRPr="0031470B">
              <w:rPr>
                <w:rFonts w:asciiTheme="minorHAnsi" w:hAnsiTheme="minorHAnsi" w:cstheme="minorHAnsi"/>
                <w:sz w:val="18"/>
                <w:szCs w:val="18"/>
              </w:rPr>
              <w:t>0000</w:t>
            </w:r>
          </w:p>
        </w:tc>
        <w:tc>
          <w:tcPr>
            <w:tcW w:w="1134" w:type="dxa"/>
            <w:vAlign w:val="center"/>
          </w:tcPr>
          <w:p w:rsidR="0031470B" w:rsidRPr="0031470B" w:rsidRDefault="0031470B" w:rsidP="00F461FB">
            <w:pPr>
              <w:jc w:val="right"/>
              <w:rPr>
                <w:rFonts w:asciiTheme="minorHAnsi" w:hAnsiTheme="minorHAnsi" w:cstheme="minorHAnsi"/>
                <w:sz w:val="18"/>
                <w:szCs w:val="18"/>
              </w:rPr>
            </w:pPr>
            <w:r w:rsidRPr="0031470B">
              <w:rPr>
                <w:rFonts w:asciiTheme="minorHAnsi" w:hAnsiTheme="minorHAnsi" w:cstheme="minorHAnsi"/>
                <w:sz w:val="18"/>
                <w:szCs w:val="18"/>
              </w:rPr>
              <w:t>48,00</w:t>
            </w:r>
          </w:p>
        </w:tc>
        <w:tc>
          <w:tcPr>
            <w:tcW w:w="3687" w:type="dxa"/>
            <w:vAlign w:val="center"/>
          </w:tcPr>
          <w:p w:rsidR="0031470B" w:rsidRPr="0031470B" w:rsidRDefault="0031470B" w:rsidP="00F461FB">
            <w:pPr>
              <w:jc w:val="both"/>
              <w:rPr>
                <w:rFonts w:asciiTheme="minorHAnsi" w:hAnsiTheme="minorHAnsi" w:cstheme="minorHAnsi"/>
                <w:sz w:val="18"/>
                <w:szCs w:val="18"/>
              </w:rPr>
            </w:pPr>
            <w:r w:rsidRPr="0031470B">
              <w:rPr>
                <w:rFonts w:asciiTheme="minorHAnsi" w:hAnsiTheme="minorHAnsi" w:cstheme="minorHAnsi"/>
                <w:sz w:val="18"/>
                <w:szCs w:val="18"/>
              </w:rPr>
              <w:t>Příjmy z ekologických poplatků – odváděno Fondu životního prostředí. Kapitolou pouze „protéká“. Odvod proveden v  I. pololetí 2023</w:t>
            </w:r>
          </w:p>
        </w:tc>
      </w:tr>
      <w:tr w:rsidR="0031470B" w:rsidRPr="0031470B" w:rsidTr="00B75FE5">
        <w:trPr>
          <w:trHeight w:val="284"/>
        </w:trPr>
        <w:tc>
          <w:tcPr>
            <w:tcW w:w="959" w:type="dxa"/>
            <w:vAlign w:val="center"/>
          </w:tcPr>
          <w:p w:rsidR="0031470B" w:rsidRPr="0031470B" w:rsidRDefault="0031470B" w:rsidP="00F461FB">
            <w:pPr>
              <w:jc w:val="center"/>
              <w:rPr>
                <w:rFonts w:asciiTheme="minorHAnsi" w:hAnsiTheme="minorHAnsi" w:cstheme="minorHAnsi"/>
                <w:sz w:val="18"/>
                <w:szCs w:val="18"/>
              </w:rPr>
            </w:pPr>
            <w:r w:rsidRPr="0031470B">
              <w:rPr>
                <w:rFonts w:asciiTheme="minorHAnsi" w:hAnsiTheme="minorHAnsi" w:cstheme="minorHAnsi"/>
                <w:sz w:val="18"/>
                <w:szCs w:val="18"/>
              </w:rPr>
              <w:t>6409</w:t>
            </w:r>
          </w:p>
        </w:tc>
        <w:tc>
          <w:tcPr>
            <w:tcW w:w="850" w:type="dxa"/>
            <w:vAlign w:val="center"/>
          </w:tcPr>
          <w:p w:rsidR="0031470B" w:rsidRPr="0031470B" w:rsidRDefault="0031470B" w:rsidP="00F461FB">
            <w:pPr>
              <w:jc w:val="center"/>
              <w:rPr>
                <w:rFonts w:asciiTheme="minorHAnsi" w:hAnsiTheme="minorHAnsi" w:cstheme="minorHAnsi"/>
                <w:sz w:val="18"/>
                <w:szCs w:val="18"/>
              </w:rPr>
            </w:pPr>
            <w:r w:rsidRPr="0031470B">
              <w:rPr>
                <w:rFonts w:asciiTheme="minorHAnsi" w:hAnsiTheme="minorHAnsi" w:cstheme="minorHAnsi"/>
                <w:sz w:val="18"/>
                <w:szCs w:val="18"/>
              </w:rPr>
              <w:t>2329</w:t>
            </w:r>
          </w:p>
        </w:tc>
        <w:tc>
          <w:tcPr>
            <w:tcW w:w="1163" w:type="dxa"/>
            <w:vAlign w:val="center"/>
          </w:tcPr>
          <w:p w:rsidR="0031470B" w:rsidRPr="0031470B" w:rsidRDefault="0031470B" w:rsidP="00F461FB">
            <w:pPr>
              <w:jc w:val="center"/>
              <w:rPr>
                <w:rFonts w:asciiTheme="minorHAnsi" w:hAnsiTheme="minorHAnsi" w:cstheme="minorHAnsi"/>
                <w:sz w:val="18"/>
                <w:szCs w:val="18"/>
              </w:rPr>
            </w:pPr>
            <w:r w:rsidRPr="0031470B">
              <w:rPr>
                <w:rFonts w:asciiTheme="minorHAnsi" w:hAnsiTheme="minorHAnsi" w:cstheme="minorHAnsi"/>
                <w:sz w:val="18"/>
                <w:szCs w:val="18"/>
              </w:rPr>
              <w:t>04100</w:t>
            </w:r>
          </w:p>
        </w:tc>
        <w:tc>
          <w:tcPr>
            <w:tcW w:w="851" w:type="dxa"/>
            <w:vAlign w:val="center"/>
          </w:tcPr>
          <w:p w:rsidR="0031470B" w:rsidRPr="0031470B" w:rsidRDefault="0031470B" w:rsidP="00F461FB">
            <w:pPr>
              <w:jc w:val="center"/>
              <w:rPr>
                <w:rFonts w:asciiTheme="minorHAnsi" w:hAnsiTheme="minorHAnsi" w:cstheme="minorHAnsi"/>
                <w:sz w:val="18"/>
                <w:szCs w:val="18"/>
              </w:rPr>
            </w:pPr>
            <w:r w:rsidRPr="0031470B">
              <w:rPr>
                <w:rFonts w:asciiTheme="minorHAnsi" w:hAnsiTheme="minorHAnsi" w:cstheme="minorHAnsi"/>
                <w:sz w:val="18"/>
                <w:szCs w:val="18"/>
              </w:rPr>
              <w:t>0000</w:t>
            </w:r>
          </w:p>
        </w:tc>
        <w:tc>
          <w:tcPr>
            <w:tcW w:w="1134" w:type="dxa"/>
            <w:vAlign w:val="center"/>
          </w:tcPr>
          <w:p w:rsidR="0031470B" w:rsidRPr="0031470B" w:rsidRDefault="0031470B" w:rsidP="00F461FB">
            <w:pPr>
              <w:jc w:val="right"/>
              <w:rPr>
                <w:rFonts w:asciiTheme="minorHAnsi" w:hAnsiTheme="minorHAnsi" w:cstheme="minorHAnsi"/>
                <w:sz w:val="18"/>
                <w:szCs w:val="18"/>
              </w:rPr>
            </w:pPr>
            <w:r w:rsidRPr="0031470B">
              <w:rPr>
                <w:rFonts w:asciiTheme="minorHAnsi" w:hAnsiTheme="minorHAnsi" w:cstheme="minorHAnsi"/>
                <w:sz w:val="18"/>
                <w:szCs w:val="18"/>
              </w:rPr>
              <w:t>0000</w:t>
            </w:r>
          </w:p>
        </w:tc>
        <w:tc>
          <w:tcPr>
            <w:tcW w:w="1134" w:type="dxa"/>
            <w:vAlign w:val="center"/>
          </w:tcPr>
          <w:p w:rsidR="0031470B" w:rsidRPr="0031470B" w:rsidRDefault="0031470B" w:rsidP="00F461FB">
            <w:pPr>
              <w:jc w:val="right"/>
              <w:rPr>
                <w:rFonts w:asciiTheme="minorHAnsi" w:hAnsiTheme="minorHAnsi" w:cstheme="minorHAnsi"/>
                <w:sz w:val="18"/>
                <w:szCs w:val="18"/>
              </w:rPr>
            </w:pPr>
            <w:r w:rsidRPr="0031470B">
              <w:rPr>
                <w:rFonts w:asciiTheme="minorHAnsi" w:hAnsiTheme="minorHAnsi" w:cstheme="minorHAnsi"/>
                <w:sz w:val="18"/>
                <w:szCs w:val="18"/>
              </w:rPr>
              <w:t>-41 497,00</w:t>
            </w:r>
          </w:p>
        </w:tc>
        <w:tc>
          <w:tcPr>
            <w:tcW w:w="3687" w:type="dxa"/>
            <w:vAlign w:val="center"/>
          </w:tcPr>
          <w:p w:rsidR="0031470B" w:rsidRPr="0031470B" w:rsidRDefault="0031470B" w:rsidP="00F461FB">
            <w:pPr>
              <w:jc w:val="both"/>
              <w:rPr>
                <w:rFonts w:asciiTheme="minorHAnsi" w:hAnsiTheme="minorHAnsi" w:cstheme="minorHAnsi"/>
                <w:sz w:val="18"/>
                <w:szCs w:val="18"/>
              </w:rPr>
            </w:pPr>
            <w:r w:rsidRPr="0031470B">
              <w:rPr>
                <w:rFonts w:asciiTheme="minorHAnsi" w:hAnsiTheme="minorHAnsi" w:cstheme="minorHAnsi"/>
                <w:sz w:val="18"/>
                <w:szCs w:val="18"/>
              </w:rPr>
              <w:t>Zůstatek pokladny odboru dopravy k 31.</w:t>
            </w:r>
            <w:r w:rsidR="00B75FE5">
              <w:rPr>
                <w:rFonts w:asciiTheme="minorHAnsi" w:hAnsiTheme="minorHAnsi" w:cstheme="minorHAnsi"/>
                <w:sz w:val="18"/>
                <w:szCs w:val="18"/>
              </w:rPr>
              <w:t> </w:t>
            </w:r>
            <w:r w:rsidRPr="0031470B">
              <w:rPr>
                <w:rFonts w:asciiTheme="minorHAnsi" w:hAnsiTheme="minorHAnsi" w:cstheme="minorHAnsi"/>
                <w:sz w:val="18"/>
                <w:szCs w:val="18"/>
              </w:rPr>
              <w:t>12.</w:t>
            </w:r>
            <w:r w:rsidR="00B75FE5">
              <w:rPr>
                <w:rFonts w:asciiTheme="minorHAnsi" w:hAnsiTheme="minorHAnsi" w:cstheme="minorHAnsi"/>
                <w:sz w:val="18"/>
                <w:szCs w:val="18"/>
              </w:rPr>
              <w:t> </w:t>
            </w:r>
            <w:r w:rsidRPr="0031470B">
              <w:rPr>
                <w:rFonts w:asciiTheme="minorHAnsi" w:hAnsiTheme="minorHAnsi" w:cstheme="minorHAnsi"/>
                <w:sz w:val="18"/>
                <w:szCs w:val="18"/>
              </w:rPr>
              <w:t>2022. Odvod na bankovní účet proveden v lednu 2023 – automatická pokladna.</w:t>
            </w:r>
          </w:p>
        </w:tc>
      </w:tr>
    </w:tbl>
    <w:p w:rsidR="0031470B" w:rsidRPr="0031470B" w:rsidRDefault="0031470B" w:rsidP="0031470B">
      <w:pPr>
        <w:rPr>
          <w:rFonts w:asciiTheme="minorHAnsi" w:hAnsiTheme="minorHAnsi" w:cstheme="minorHAnsi"/>
          <w:b/>
          <w:sz w:val="20"/>
          <w:szCs w:val="20"/>
        </w:rPr>
      </w:pPr>
    </w:p>
    <w:p w:rsidR="0031470B" w:rsidRPr="0031470B" w:rsidRDefault="0031470B" w:rsidP="0031470B">
      <w:pPr>
        <w:rPr>
          <w:rFonts w:asciiTheme="minorHAnsi" w:hAnsiTheme="minorHAnsi" w:cstheme="minorHAnsi"/>
          <w:b/>
          <w:sz w:val="20"/>
          <w:szCs w:val="20"/>
        </w:rPr>
      </w:pPr>
    </w:p>
    <w:p w:rsidR="0031470B" w:rsidRPr="0031470B" w:rsidRDefault="0031470B" w:rsidP="0031470B">
      <w:pPr>
        <w:rPr>
          <w:rFonts w:asciiTheme="minorHAnsi" w:hAnsiTheme="minorHAnsi" w:cstheme="minorHAnsi"/>
          <w:b/>
          <w:sz w:val="20"/>
          <w:szCs w:val="20"/>
          <w:u w:val="single"/>
        </w:rPr>
      </w:pPr>
      <w:r w:rsidRPr="0031470B">
        <w:rPr>
          <w:rFonts w:asciiTheme="minorHAnsi" w:hAnsiTheme="minorHAnsi" w:cstheme="minorHAnsi"/>
          <w:b/>
          <w:sz w:val="20"/>
          <w:szCs w:val="20"/>
          <w:u w:val="single"/>
        </w:rPr>
        <w:t>Rozbor plnění výdajů rozpočtu kapitoly</w:t>
      </w:r>
    </w:p>
    <w:p w:rsidR="0031470B" w:rsidRPr="0031470B" w:rsidRDefault="0031470B" w:rsidP="0031470B">
      <w:pPr>
        <w:rPr>
          <w:rFonts w:asciiTheme="minorHAnsi" w:hAnsiTheme="minorHAnsi" w:cstheme="minorHAnsi"/>
          <w:b/>
          <w:sz w:val="20"/>
          <w:szCs w:val="20"/>
        </w:rPr>
      </w:pPr>
    </w:p>
    <w:tbl>
      <w:tblPr>
        <w:tblStyle w:val="Mkatabulky"/>
        <w:tblW w:w="9776" w:type="dxa"/>
        <w:tblLook w:val="04A0" w:firstRow="1" w:lastRow="0" w:firstColumn="1" w:lastColumn="0" w:noHBand="0" w:noVBand="1"/>
      </w:tblPr>
      <w:tblGrid>
        <w:gridCol w:w="3397"/>
        <w:gridCol w:w="2835"/>
        <w:gridCol w:w="1276"/>
        <w:gridCol w:w="2268"/>
      </w:tblGrid>
      <w:tr w:rsidR="0031470B" w:rsidRPr="0031470B" w:rsidTr="00B75FE5">
        <w:trPr>
          <w:trHeight w:val="284"/>
        </w:trPr>
        <w:tc>
          <w:tcPr>
            <w:tcW w:w="3397" w:type="dxa"/>
            <w:shd w:val="clear" w:color="auto" w:fill="FFC000"/>
            <w:vAlign w:val="center"/>
          </w:tcPr>
          <w:p w:rsidR="0031470B" w:rsidRPr="0031470B" w:rsidRDefault="0031470B" w:rsidP="00F461FB">
            <w:pPr>
              <w:jc w:val="center"/>
              <w:rPr>
                <w:rFonts w:asciiTheme="minorHAnsi" w:hAnsiTheme="minorHAnsi" w:cstheme="minorHAnsi"/>
                <w:b/>
                <w:sz w:val="20"/>
                <w:szCs w:val="20"/>
              </w:rPr>
            </w:pPr>
            <w:r w:rsidRPr="0031470B">
              <w:rPr>
                <w:rFonts w:asciiTheme="minorHAnsi" w:hAnsiTheme="minorHAnsi" w:cstheme="minorHAnsi"/>
                <w:b/>
                <w:sz w:val="20"/>
                <w:szCs w:val="20"/>
              </w:rPr>
              <w:t>Rozpočet upravený v tis. Kč</w:t>
            </w:r>
          </w:p>
        </w:tc>
        <w:tc>
          <w:tcPr>
            <w:tcW w:w="2835" w:type="dxa"/>
            <w:shd w:val="clear" w:color="auto" w:fill="FFC000"/>
            <w:vAlign w:val="center"/>
          </w:tcPr>
          <w:p w:rsidR="0031470B" w:rsidRPr="0031470B" w:rsidRDefault="0031470B" w:rsidP="00F461FB">
            <w:pPr>
              <w:jc w:val="center"/>
              <w:rPr>
                <w:rFonts w:asciiTheme="minorHAnsi" w:hAnsiTheme="minorHAnsi" w:cstheme="minorHAnsi"/>
                <w:b/>
                <w:sz w:val="20"/>
                <w:szCs w:val="20"/>
              </w:rPr>
            </w:pPr>
            <w:r w:rsidRPr="0031470B">
              <w:rPr>
                <w:rFonts w:asciiTheme="minorHAnsi" w:hAnsiTheme="minorHAnsi" w:cstheme="minorHAnsi"/>
                <w:b/>
                <w:sz w:val="20"/>
                <w:szCs w:val="20"/>
              </w:rPr>
              <w:t>Skutečnost v tis. Kč</w:t>
            </w:r>
          </w:p>
        </w:tc>
        <w:tc>
          <w:tcPr>
            <w:tcW w:w="1276" w:type="dxa"/>
            <w:shd w:val="clear" w:color="auto" w:fill="FFC000"/>
            <w:vAlign w:val="center"/>
          </w:tcPr>
          <w:p w:rsidR="0031470B" w:rsidRPr="0031470B" w:rsidRDefault="0031470B" w:rsidP="00F461FB">
            <w:pPr>
              <w:jc w:val="center"/>
              <w:rPr>
                <w:rFonts w:asciiTheme="minorHAnsi" w:hAnsiTheme="minorHAnsi" w:cstheme="minorHAnsi"/>
                <w:b/>
                <w:sz w:val="20"/>
                <w:szCs w:val="20"/>
              </w:rPr>
            </w:pPr>
            <w:r w:rsidRPr="0031470B">
              <w:rPr>
                <w:rFonts w:asciiTheme="minorHAnsi" w:hAnsiTheme="minorHAnsi" w:cstheme="minorHAnsi"/>
                <w:b/>
                <w:sz w:val="20"/>
                <w:szCs w:val="20"/>
              </w:rPr>
              <w:t>SK/RU v %</w:t>
            </w:r>
          </w:p>
        </w:tc>
        <w:tc>
          <w:tcPr>
            <w:tcW w:w="2268" w:type="dxa"/>
            <w:shd w:val="clear" w:color="auto" w:fill="FFC000"/>
            <w:vAlign w:val="center"/>
          </w:tcPr>
          <w:p w:rsidR="0031470B" w:rsidRPr="0031470B" w:rsidRDefault="0031470B" w:rsidP="00F461FB">
            <w:pPr>
              <w:jc w:val="center"/>
              <w:rPr>
                <w:rFonts w:asciiTheme="minorHAnsi" w:hAnsiTheme="minorHAnsi" w:cstheme="minorHAnsi"/>
                <w:b/>
                <w:sz w:val="20"/>
                <w:szCs w:val="20"/>
              </w:rPr>
            </w:pPr>
            <w:r w:rsidRPr="0031470B">
              <w:rPr>
                <w:rFonts w:asciiTheme="minorHAnsi" w:hAnsiTheme="minorHAnsi" w:cstheme="minorHAnsi"/>
                <w:b/>
                <w:sz w:val="20"/>
                <w:szCs w:val="20"/>
              </w:rPr>
              <w:t>Komentář</w:t>
            </w:r>
          </w:p>
        </w:tc>
      </w:tr>
      <w:tr w:rsidR="0031470B" w:rsidRPr="0031470B" w:rsidTr="00B75FE5">
        <w:trPr>
          <w:trHeight w:val="284"/>
        </w:trPr>
        <w:tc>
          <w:tcPr>
            <w:tcW w:w="3397" w:type="dxa"/>
            <w:vAlign w:val="center"/>
          </w:tcPr>
          <w:p w:rsidR="0031470B" w:rsidRPr="0031470B" w:rsidRDefault="0031470B" w:rsidP="00F461FB">
            <w:pPr>
              <w:jc w:val="right"/>
              <w:rPr>
                <w:rFonts w:asciiTheme="minorHAnsi" w:hAnsiTheme="minorHAnsi" w:cstheme="minorHAnsi"/>
                <w:sz w:val="20"/>
                <w:szCs w:val="20"/>
              </w:rPr>
            </w:pPr>
            <w:r w:rsidRPr="0031470B">
              <w:rPr>
                <w:rFonts w:asciiTheme="minorHAnsi" w:hAnsiTheme="minorHAnsi" w:cstheme="minorHAnsi"/>
                <w:sz w:val="20"/>
                <w:szCs w:val="20"/>
              </w:rPr>
              <w:t>43 853,97</w:t>
            </w:r>
          </w:p>
        </w:tc>
        <w:tc>
          <w:tcPr>
            <w:tcW w:w="2835" w:type="dxa"/>
            <w:vAlign w:val="center"/>
          </w:tcPr>
          <w:p w:rsidR="0031470B" w:rsidRPr="0031470B" w:rsidRDefault="0031470B" w:rsidP="00F461FB">
            <w:pPr>
              <w:jc w:val="right"/>
              <w:rPr>
                <w:rFonts w:asciiTheme="minorHAnsi" w:hAnsiTheme="minorHAnsi" w:cstheme="minorHAnsi"/>
                <w:sz w:val="20"/>
                <w:szCs w:val="20"/>
              </w:rPr>
            </w:pPr>
            <w:r w:rsidRPr="0031470B">
              <w:rPr>
                <w:rFonts w:asciiTheme="minorHAnsi" w:hAnsiTheme="minorHAnsi" w:cstheme="minorHAnsi"/>
                <w:sz w:val="20"/>
                <w:szCs w:val="20"/>
              </w:rPr>
              <w:t>43 871,22</w:t>
            </w:r>
          </w:p>
        </w:tc>
        <w:tc>
          <w:tcPr>
            <w:tcW w:w="1276" w:type="dxa"/>
            <w:vAlign w:val="center"/>
          </w:tcPr>
          <w:p w:rsidR="0031470B" w:rsidRPr="0031470B" w:rsidRDefault="0031470B" w:rsidP="00B75FE5">
            <w:pPr>
              <w:jc w:val="center"/>
              <w:rPr>
                <w:rFonts w:asciiTheme="minorHAnsi" w:hAnsiTheme="minorHAnsi" w:cstheme="minorHAnsi"/>
                <w:sz w:val="20"/>
                <w:szCs w:val="20"/>
              </w:rPr>
            </w:pPr>
            <w:r w:rsidRPr="0031470B">
              <w:rPr>
                <w:rFonts w:asciiTheme="minorHAnsi" w:hAnsiTheme="minorHAnsi" w:cstheme="minorHAnsi"/>
                <w:sz w:val="20"/>
                <w:szCs w:val="20"/>
              </w:rPr>
              <w:t>100,04</w:t>
            </w:r>
          </w:p>
        </w:tc>
        <w:tc>
          <w:tcPr>
            <w:tcW w:w="2268" w:type="dxa"/>
            <w:vAlign w:val="center"/>
          </w:tcPr>
          <w:p w:rsidR="0031470B" w:rsidRPr="0031470B" w:rsidRDefault="0031470B" w:rsidP="00F461FB">
            <w:pPr>
              <w:rPr>
                <w:rFonts w:asciiTheme="minorHAnsi" w:hAnsiTheme="minorHAnsi" w:cstheme="minorHAnsi"/>
                <w:sz w:val="20"/>
                <w:szCs w:val="20"/>
              </w:rPr>
            </w:pPr>
            <w:r w:rsidRPr="0031470B">
              <w:rPr>
                <w:rFonts w:asciiTheme="minorHAnsi" w:hAnsiTheme="minorHAnsi" w:cstheme="minorHAnsi"/>
                <w:sz w:val="20"/>
                <w:szCs w:val="20"/>
              </w:rPr>
              <w:t>Výdaje před konsolidací</w:t>
            </w:r>
          </w:p>
        </w:tc>
      </w:tr>
      <w:tr w:rsidR="0031470B" w:rsidRPr="0031470B" w:rsidTr="00B75FE5">
        <w:trPr>
          <w:trHeight w:val="284"/>
        </w:trPr>
        <w:tc>
          <w:tcPr>
            <w:tcW w:w="3397" w:type="dxa"/>
            <w:vAlign w:val="center"/>
          </w:tcPr>
          <w:p w:rsidR="0031470B" w:rsidRPr="0031470B" w:rsidRDefault="0031470B" w:rsidP="00F461FB">
            <w:pPr>
              <w:jc w:val="right"/>
              <w:rPr>
                <w:rFonts w:asciiTheme="minorHAnsi" w:hAnsiTheme="minorHAnsi" w:cstheme="minorHAnsi"/>
                <w:sz w:val="20"/>
                <w:szCs w:val="20"/>
              </w:rPr>
            </w:pPr>
            <w:r w:rsidRPr="0031470B">
              <w:rPr>
                <w:rFonts w:asciiTheme="minorHAnsi" w:hAnsiTheme="minorHAnsi" w:cstheme="minorHAnsi"/>
                <w:sz w:val="20"/>
                <w:szCs w:val="20"/>
              </w:rPr>
              <w:t>43 853,97</w:t>
            </w:r>
          </w:p>
        </w:tc>
        <w:tc>
          <w:tcPr>
            <w:tcW w:w="2835" w:type="dxa"/>
            <w:vAlign w:val="center"/>
          </w:tcPr>
          <w:p w:rsidR="0031470B" w:rsidRPr="0031470B" w:rsidRDefault="0031470B" w:rsidP="00F461FB">
            <w:pPr>
              <w:jc w:val="right"/>
              <w:rPr>
                <w:rFonts w:asciiTheme="minorHAnsi" w:hAnsiTheme="minorHAnsi" w:cstheme="minorHAnsi"/>
                <w:sz w:val="20"/>
                <w:szCs w:val="20"/>
              </w:rPr>
            </w:pPr>
            <w:r w:rsidRPr="0031470B">
              <w:rPr>
                <w:rFonts w:asciiTheme="minorHAnsi" w:hAnsiTheme="minorHAnsi" w:cstheme="minorHAnsi"/>
                <w:sz w:val="20"/>
                <w:szCs w:val="20"/>
              </w:rPr>
              <w:t>43 871,22</w:t>
            </w:r>
          </w:p>
        </w:tc>
        <w:tc>
          <w:tcPr>
            <w:tcW w:w="1276" w:type="dxa"/>
            <w:vAlign w:val="center"/>
          </w:tcPr>
          <w:p w:rsidR="0031470B" w:rsidRPr="0031470B" w:rsidRDefault="0031470B" w:rsidP="00B75FE5">
            <w:pPr>
              <w:jc w:val="center"/>
              <w:rPr>
                <w:rFonts w:asciiTheme="minorHAnsi" w:hAnsiTheme="minorHAnsi" w:cstheme="minorHAnsi"/>
                <w:sz w:val="20"/>
                <w:szCs w:val="20"/>
              </w:rPr>
            </w:pPr>
            <w:r w:rsidRPr="0031470B">
              <w:rPr>
                <w:rFonts w:asciiTheme="minorHAnsi" w:hAnsiTheme="minorHAnsi" w:cstheme="minorHAnsi"/>
                <w:sz w:val="20"/>
                <w:szCs w:val="20"/>
              </w:rPr>
              <w:t>100,04</w:t>
            </w:r>
          </w:p>
        </w:tc>
        <w:tc>
          <w:tcPr>
            <w:tcW w:w="2268" w:type="dxa"/>
            <w:vAlign w:val="center"/>
          </w:tcPr>
          <w:p w:rsidR="0031470B" w:rsidRPr="0031470B" w:rsidRDefault="0031470B" w:rsidP="00F461FB">
            <w:pPr>
              <w:rPr>
                <w:rFonts w:asciiTheme="minorHAnsi" w:hAnsiTheme="minorHAnsi" w:cstheme="minorHAnsi"/>
                <w:sz w:val="20"/>
                <w:szCs w:val="20"/>
              </w:rPr>
            </w:pPr>
            <w:r w:rsidRPr="0031470B">
              <w:rPr>
                <w:rFonts w:asciiTheme="minorHAnsi" w:hAnsiTheme="minorHAnsi" w:cstheme="minorHAnsi"/>
                <w:sz w:val="20"/>
                <w:szCs w:val="20"/>
              </w:rPr>
              <w:t>Výdaje po konsolidaci</w:t>
            </w:r>
          </w:p>
        </w:tc>
      </w:tr>
    </w:tbl>
    <w:p w:rsidR="0031470B" w:rsidRPr="0031470B" w:rsidRDefault="0031470B" w:rsidP="0031470B">
      <w:pPr>
        <w:rPr>
          <w:rFonts w:asciiTheme="minorHAnsi" w:hAnsiTheme="minorHAnsi" w:cstheme="minorHAnsi"/>
          <w:b/>
          <w:sz w:val="20"/>
          <w:szCs w:val="20"/>
        </w:rPr>
      </w:pPr>
    </w:p>
    <w:p w:rsidR="0031470B" w:rsidRPr="0031470B" w:rsidRDefault="0031470B" w:rsidP="0031470B">
      <w:pPr>
        <w:rPr>
          <w:rFonts w:asciiTheme="minorHAnsi" w:hAnsiTheme="minorHAnsi" w:cstheme="minorHAnsi"/>
          <w:b/>
          <w:sz w:val="20"/>
          <w:szCs w:val="20"/>
        </w:rPr>
      </w:pPr>
      <w:r w:rsidRPr="0031470B">
        <w:rPr>
          <w:rFonts w:asciiTheme="minorHAnsi" w:hAnsiTheme="minorHAnsi" w:cstheme="minorHAnsi"/>
          <w:b/>
          <w:sz w:val="20"/>
          <w:szCs w:val="20"/>
        </w:rPr>
        <w:t>Stručný komentář k celkovému vývoji čerpání výdajů kapitoly ve sledovaném období</w:t>
      </w:r>
    </w:p>
    <w:tbl>
      <w:tblPr>
        <w:tblStyle w:val="Mkatabulky"/>
        <w:tblW w:w="9776" w:type="dxa"/>
        <w:tblLook w:val="04A0" w:firstRow="1" w:lastRow="0" w:firstColumn="1" w:lastColumn="0" w:noHBand="0" w:noVBand="1"/>
      </w:tblPr>
      <w:tblGrid>
        <w:gridCol w:w="9776"/>
      </w:tblGrid>
      <w:tr w:rsidR="0031470B" w:rsidRPr="0031470B" w:rsidTr="00F461FB">
        <w:trPr>
          <w:trHeight w:val="295"/>
        </w:trPr>
        <w:tc>
          <w:tcPr>
            <w:tcW w:w="9776" w:type="dxa"/>
          </w:tcPr>
          <w:p w:rsidR="0031470B" w:rsidRPr="0031470B" w:rsidRDefault="0031470B" w:rsidP="00F461FB">
            <w:pPr>
              <w:jc w:val="both"/>
              <w:rPr>
                <w:rFonts w:asciiTheme="minorHAnsi" w:hAnsiTheme="minorHAnsi" w:cstheme="minorHAnsi"/>
                <w:sz w:val="20"/>
                <w:szCs w:val="20"/>
              </w:rPr>
            </w:pPr>
            <w:r w:rsidRPr="0031470B">
              <w:rPr>
                <w:rFonts w:asciiTheme="minorHAnsi" w:hAnsiTheme="minorHAnsi" w:cstheme="minorHAnsi"/>
                <w:sz w:val="20"/>
                <w:szCs w:val="20"/>
              </w:rPr>
              <w:t xml:space="preserve">Čerpání rozpočtu kapitoly 41 bylo v roce 2022 bez abnormalit. </w:t>
            </w:r>
          </w:p>
        </w:tc>
      </w:tr>
    </w:tbl>
    <w:p w:rsidR="0031470B" w:rsidRPr="0031470B" w:rsidRDefault="0031470B" w:rsidP="0031470B">
      <w:pPr>
        <w:rPr>
          <w:rFonts w:asciiTheme="minorHAnsi" w:hAnsiTheme="minorHAnsi" w:cstheme="minorHAnsi"/>
          <w:b/>
          <w:sz w:val="20"/>
          <w:szCs w:val="20"/>
        </w:rPr>
      </w:pPr>
    </w:p>
    <w:p w:rsidR="0031470B" w:rsidRPr="0031470B" w:rsidRDefault="0031470B" w:rsidP="00B75FE5">
      <w:pPr>
        <w:jc w:val="both"/>
        <w:rPr>
          <w:rFonts w:asciiTheme="minorHAnsi" w:hAnsiTheme="minorHAnsi" w:cstheme="minorHAnsi"/>
          <w:sz w:val="20"/>
          <w:szCs w:val="20"/>
        </w:rPr>
      </w:pPr>
      <w:r w:rsidRPr="0031470B">
        <w:rPr>
          <w:rFonts w:asciiTheme="minorHAnsi" w:hAnsiTheme="minorHAnsi" w:cstheme="minorHAnsi"/>
          <w:b/>
          <w:sz w:val="20"/>
          <w:szCs w:val="20"/>
        </w:rPr>
        <w:t xml:space="preserve">Komentář k položkám (akcím), které vykázaly abnormalitu v řádném plnění příjmů rozpočtu </w:t>
      </w:r>
      <w:r w:rsidR="00B75FE5">
        <w:rPr>
          <w:rFonts w:asciiTheme="minorHAnsi" w:hAnsiTheme="minorHAnsi" w:cstheme="minorHAnsi"/>
          <w:b/>
          <w:sz w:val="20"/>
          <w:szCs w:val="20"/>
        </w:rPr>
        <w:t>kapitoly ve </w:t>
      </w:r>
      <w:r w:rsidRPr="0031470B">
        <w:rPr>
          <w:rFonts w:asciiTheme="minorHAnsi" w:hAnsiTheme="minorHAnsi" w:cstheme="minorHAnsi"/>
          <w:b/>
          <w:sz w:val="20"/>
          <w:szCs w:val="20"/>
        </w:rPr>
        <w:t xml:space="preserve">sledovaném období </w:t>
      </w:r>
    </w:p>
    <w:p w:rsidR="0031470B" w:rsidRPr="0031470B" w:rsidRDefault="0031470B" w:rsidP="0031470B">
      <w:pPr>
        <w:rPr>
          <w:rFonts w:asciiTheme="minorHAnsi" w:hAnsiTheme="minorHAnsi" w:cstheme="minorHAnsi"/>
          <w:sz w:val="20"/>
          <w:szCs w:val="20"/>
        </w:rPr>
      </w:pPr>
    </w:p>
    <w:p w:rsidR="0031470B" w:rsidRPr="0031470B" w:rsidRDefault="0031470B" w:rsidP="0031470B">
      <w:pPr>
        <w:rPr>
          <w:rFonts w:asciiTheme="minorHAnsi" w:hAnsiTheme="minorHAnsi" w:cstheme="minorHAnsi"/>
          <w:b/>
          <w:sz w:val="20"/>
          <w:szCs w:val="20"/>
        </w:rPr>
      </w:pPr>
      <w:r w:rsidRPr="0031470B">
        <w:rPr>
          <w:rFonts w:asciiTheme="minorHAnsi" w:hAnsiTheme="minorHAnsi" w:cstheme="minorHAnsi"/>
          <w:sz w:val="20"/>
          <w:szCs w:val="20"/>
        </w:rPr>
        <w:t>V roce 2022 nebyly abnormality výdajů rozpočtu kapitoly.</w:t>
      </w:r>
    </w:p>
    <w:p w:rsidR="0031470B" w:rsidRPr="0031470B" w:rsidRDefault="0031470B" w:rsidP="0031470B">
      <w:pPr>
        <w:rPr>
          <w:rFonts w:asciiTheme="minorHAnsi" w:hAnsiTheme="minorHAnsi" w:cstheme="minorHAnsi"/>
          <w:b/>
          <w:sz w:val="20"/>
          <w:szCs w:val="20"/>
        </w:rPr>
      </w:pPr>
    </w:p>
    <w:p w:rsidR="0031470B" w:rsidRPr="0031470B" w:rsidRDefault="0031470B" w:rsidP="0031470B">
      <w:pPr>
        <w:rPr>
          <w:rFonts w:asciiTheme="minorHAnsi" w:hAnsiTheme="minorHAnsi" w:cstheme="minorHAnsi"/>
          <w:b/>
          <w:sz w:val="20"/>
          <w:szCs w:val="20"/>
        </w:rPr>
      </w:pPr>
      <w:r w:rsidRPr="0031470B">
        <w:rPr>
          <w:rFonts w:asciiTheme="minorHAnsi" w:hAnsiTheme="minorHAnsi" w:cstheme="minorHAnsi"/>
          <w:b/>
          <w:sz w:val="20"/>
          <w:szCs w:val="20"/>
        </w:rPr>
        <w:t>Přehled schválených rozpočtových opatření k 31. 12. 2022:</w:t>
      </w:r>
    </w:p>
    <w:tbl>
      <w:tblPr>
        <w:tblStyle w:val="Mkatabulky"/>
        <w:tblW w:w="9628" w:type="dxa"/>
        <w:tblLayout w:type="fixed"/>
        <w:tblLook w:val="04A0" w:firstRow="1" w:lastRow="0" w:firstColumn="1" w:lastColumn="0" w:noHBand="0" w:noVBand="1"/>
      </w:tblPr>
      <w:tblGrid>
        <w:gridCol w:w="846"/>
        <w:gridCol w:w="1134"/>
        <w:gridCol w:w="850"/>
        <w:gridCol w:w="5245"/>
        <w:gridCol w:w="1553"/>
      </w:tblGrid>
      <w:tr w:rsidR="0031470B" w:rsidRPr="00B75FE5" w:rsidTr="00B75FE5">
        <w:tc>
          <w:tcPr>
            <w:tcW w:w="846" w:type="dxa"/>
            <w:shd w:val="clear" w:color="auto" w:fill="DBDBDB" w:themeFill="accent3" w:themeFillTint="66"/>
            <w:vAlign w:val="center"/>
          </w:tcPr>
          <w:p w:rsidR="0031470B" w:rsidRPr="00B75FE5" w:rsidRDefault="0031470B" w:rsidP="00F461FB">
            <w:pPr>
              <w:jc w:val="center"/>
              <w:rPr>
                <w:rFonts w:asciiTheme="minorHAnsi" w:hAnsiTheme="minorHAnsi" w:cstheme="minorHAnsi"/>
                <w:b/>
                <w:sz w:val="18"/>
                <w:szCs w:val="18"/>
              </w:rPr>
            </w:pPr>
            <w:r w:rsidRPr="00B75FE5">
              <w:rPr>
                <w:rFonts w:asciiTheme="minorHAnsi" w:hAnsiTheme="minorHAnsi" w:cstheme="minorHAnsi"/>
                <w:b/>
                <w:sz w:val="18"/>
                <w:szCs w:val="18"/>
              </w:rPr>
              <w:t>Usn.</w:t>
            </w:r>
            <w:r w:rsidR="00B75FE5">
              <w:rPr>
                <w:rFonts w:asciiTheme="minorHAnsi" w:hAnsiTheme="minorHAnsi" w:cstheme="minorHAnsi"/>
                <w:b/>
                <w:sz w:val="18"/>
                <w:szCs w:val="18"/>
              </w:rPr>
              <w:t xml:space="preserve"> </w:t>
            </w:r>
            <w:r w:rsidRPr="00B75FE5">
              <w:rPr>
                <w:rFonts w:asciiTheme="minorHAnsi" w:hAnsiTheme="minorHAnsi" w:cstheme="minorHAnsi"/>
                <w:b/>
                <w:sz w:val="18"/>
                <w:szCs w:val="18"/>
              </w:rPr>
              <w:t>č.</w:t>
            </w:r>
          </w:p>
        </w:tc>
        <w:tc>
          <w:tcPr>
            <w:tcW w:w="1134" w:type="dxa"/>
            <w:shd w:val="clear" w:color="auto" w:fill="DBDBDB" w:themeFill="accent3" w:themeFillTint="66"/>
            <w:vAlign w:val="center"/>
          </w:tcPr>
          <w:p w:rsidR="0031470B" w:rsidRPr="00B75FE5" w:rsidRDefault="0031470B" w:rsidP="00F461FB">
            <w:pPr>
              <w:jc w:val="center"/>
              <w:rPr>
                <w:rFonts w:asciiTheme="minorHAnsi" w:hAnsiTheme="minorHAnsi" w:cstheme="minorHAnsi"/>
                <w:b/>
                <w:sz w:val="18"/>
                <w:szCs w:val="18"/>
              </w:rPr>
            </w:pPr>
            <w:r w:rsidRPr="00B75FE5">
              <w:rPr>
                <w:rFonts w:asciiTheme="minorHAnsi" w:hAnsiTheme="minorHAnsi" w:cstheme="minorHAnsi"/>
                <w:b/>
                <w:sz w:val="18"/>
                <w:szCs w:val="18"/>
              </w:rPr>
              <w:t>Datum</w:t>
            </w:r>
          </w:p>
        </w:tc>
        <w:tc>
          <w:tcPr>
            <w:tcW w:w="850" w:type="dxa"/>
            <w:shd w:val="clear" w:color="auto" w:fill="DBDBDB" w:themeFill="accent3" w:themeFillTint="66"/>
            <w:vAlign w:val="center"/>
          </w:tcPr>
          <w:p w:rsidR="0031470B" w:rsidRPr="00B75FE5" w:rsidRDefault="0031470B" w:rsidP="00F461FB">
            <w:pPr>
              <w:jc w:val="center"/>
              <w:rPr>
                <w:rFonts w:asciiTheme="minorHAnsi" w:hAnsiTheme="minorHAnsi" w:cstheme="minorHAnsi"/>
                <w:b/>
                <w:sz w:val="18"/>
                <w:szCs w:val="18"/>
              </w:rPr>
            </w:pPr>
            <w:r w:rsidRPr="00B75FE5">
              <w:rPr>
                <w:rFonts w:asciiTheme="minorHAnsi" w:hAnsiTheme="minorHAnsi" w:cstheme="minorHAnsi"/>
                <w:b/>
                <w:sz w:val="18"/>
                <w:szCs w:val="18"/>
              </w:rPr>
              <w:t>Částka v tis. Kč</w:t>
            </w:r>
          </w:p>
        </w:tc>
        <w:tc>
          <w:tcPr>
            <w:tcW w:w="5245" w:type="dxa"/>
            <w:shd w:val="clear" w:color="auto" w:fill="DBDBDB" w:themeFill="accent3" w:themeFillTint="66"/>
            <w:vAlign w:val="center"/>
          </w:tcPr>
          <w:p w:rsidR="0031470B" w:rsidRPr="00B75FE5" w:rsidRDefault="0031470B" w:rsidP="00F461FB">
            <w:pPr>
              <w:jc w:val="center"/>
              <w:rPr>
                <w:rFonts w:asciiTheme="minorHAnsi" w:hAnsiTheme="minorHAnsi" w:cstheme="minorHAnsi"/>
                <w:b/>
                <w:sz w:val="18"/>
                <w:szCs w:val="18"/>
              </w:rPr>
            </w:pPr>
            <w:r w:rsidRPr="00B75FE5">
              <w:rPr>
                <w:rFonts w:asciiTheme="minorHAnsi" w:hAnsiTheme="minorHAnsi" w:cstheme="minorHAnsi"/>
                <w:b/>
                <w:sz w:val="18"/>
                <w:szCs w:val="18"/>
              </w:rPr>
              <w:t>Rozpočtové opatření</w:t>
            </w:r>
          </w:p>
        </w:tc>
        <w:tc>
          <w:tcPr>
            <w:tcW w:w="1553" w:type="dxa"/>
            <w:shd w:val="clear" w:color="auto" w:fill="DBDBDB" w:themeFill="accent3" w:themeFillTint="66"/>
            <w:vAlign w:val="center"/>
          </w:tcPr>
          <w:p w:rsidR="0031470B" w:rsidRPr="00B75FE5" w:rsidRDefault="0031470B" w:rsidP="00F461FB">
            <w:pPr>
              <w:jc w:val="center"/>
              <w:rPr>
                <w:rFonts w:asciiTheme="minorHAnsi" w:hAnsiTheme="minorHAnsi" w:cstheme="minorHAnsi"/>
                <w:b/>
                <w:sz w:val="18"/>
                <w:szCs w:val="18"/>
              </w:rPr>
            </w:pPr>
            <w:r w:rsidRPr="00B75FE5">
              <w:rPr>
                <w:rFonts w:asciiTheme="minorHAnsi" w:hAnsiTheme="minorHAnsi" w:cstheme="minorHAnsi"/>
                <w:b/>
                <w:sz w:val="18"/>
                <w:szCs w:val="18"/>
              </w:rPr>
              <w:t>Stupeň realizace</w:t>
            </w:r>
          </w:p>
        </w:tc>
      </w:tr>
      <w:tr w:rsidR="0031470B" w:rsidRPr="00B75FE5" w:rsidTr="00B75FE5">
        <w:tc>
          <w:tcPr>
            <w:tcW w:w="846" w:type="dxa"/>
            <w:vAlign w:val="center"/>
          </w:tcPr>
          <w:p w:rsidR="0031470B" w:rsidRPr="00B75FE5" w:rsidRDefault="0031470B" w:rsidP="00F461FB">
            <w:pPr>
              <w:jc w:val="center"/>
              <w:rPr>
                <w:rFonts w:asciiTheme="minorHAnsi" w:hAnsiTheme="minorHAnsi" w:cstheme="minorHAnsi"/>
                <w:sz w:val="18"/>
                <w:szCs w:val="18"/>
              </w:rPr>
            </w:pPr>
            <w:r w:rsidRPr="00B75FE5">
              <w:rPr>
                <w:rFonts w:asciiTheme="minorHAnsi" w:hAnsiTheme="minorHAnsi" w:cstheme="minorHAnsi"/>
                <w:sz w:val="18"/>
                <w:szCs w:val="18"/>
              </w:rPr>
              <w:t>111/58</w:t>
            </w:r>
          </w:p>
        </w:tc>
        <w:tc>
          <w:tcPr>
            <w:tcW w:w="1134" w:type="dxa"/>
            <w:vAlign w:val="center"/>
          </w:tcPr>
          <w:p w:rsidR="0031470B" w:rsidRPr="00B75FE5" w:rsidRDefault="0031470B" w:rsidP="00F461FB">
            <w:pPr>
              <w:jc w:val="center"/>
              <w:rPr>
                <w:rFonts w:asciiTheme="minorHAnsi" w:hAnsiTheme="minorHAnsi" w:cstheme="minorHAnsi"/>
                <w:sz w:val="18"/>
                <w:szCs w:val="18"/>
              </w:rPr>
            </w:pPr>
            <w:r w:rsidRPr="00B75FE5">
              <w:rPr>
                <w:rFonts w:asciiTheme="minorHAnsi" w:hAnsiTheme="minorHAnsi" w:cstheme="minorHAnsi"/>
                <w:sz w:val="18"/>
                <w:szCs w:val="18"/>
              </w:rPr>
              <w:t>22.</w:t>
            </w:r>
            <w:r w:rsidR="00B75FE5">
              <w:rPr>
                <w:rFonts w:asciiTheme="minorHAnsi" w:hAnsiTheme="minorHAnsi" w:cstheme="minorHAnsi"/>
                <w:sz w:val="18"/>
                <w:szCs w:val="18"/>
              </w:rPr>
              <w:t xml:space="preserve"> </w:t>
            </w:r>
            <w:r w:rsidRPr="00B75FE5">
              <w:rPr>
                <w:rFonts w:asciiTheme="minorHAnsi" w:hAnsiTheme="minorHAnsi" w:cstheme="minorHAnsi"/>
                <w:sz w:val="18"/>
                <w:szCs w:val="18"/>
              </w:rPr>
              <w:t>3.</w:t>
            </w:r>
            <w:r w:rsidR="00B75FE5">
              <w:rPr>
                <w:rFonts w:asciiTheme="minorHAnsi" w:hAnsiTheme="minorHAnsi" w:cstheme="minorHAnsi"/>
                <w:sz w:val="18"/>
                <w:szCs w:val="18"/>
              </w:rPr>
              <w:t xml:space="preserve"> </w:t>
            </w:r>
            <w:r w:rsidRPr="00B75FE5">
              <w:rPr>
                <w:rFonts w:asciiTheme="minorHAnsi" w:hAnsiTheme="minorHAnsi" w:cstheme="minorHAnsi"/>
                <w:sz w:val="18"/>
                <w:szCs w:val="18"/>
              </w:rPr>
              <w:t>2022</w:t>
            </w:r>
          </w:p>
        </w:tc>
        <w:tc>
          <w:tcPr>
            <w:tcW w:w="850" w:type="dxa"/>
            <w:vAlign w:val="center"/>
          </w:tcPr>
          <w:p w:rsidR="0031470B" w:rsidRPr="00B75FE5" w:rsidRDefault="0031470B" w:rsidP="00F461FB">
            <w:pPr>
              <w:jc w:val="center"/>
              <w:rPr>
                <w:rFonts w:asciiTheme="minorHAnsi" w:hAnsiTheme="minorHAnsi" w:cstheme="minorHAnsi"/>
                <w:sz w:val="18"/>
                <w:szCs w:val="18"/>
              </w:rPr>
            </w:pPr>
            <w:r w:rsidRPr="00B75FE5">
              <w:rPr>
                <w:rFonts w:asciiTheme="minorHAnsi" w:hAnsiTheme="minorHAnsi" w:cstheme="minorHAnsi"/>
                <w:sz w:val="18"/>
                <w:szCs w:val="18"/>
              </w:rPr>
              <w:t>173,14</w:t>
            </w:r>
          </w:p>
        </w:tc>
        <w:tc>
          <w:tcPr>
            <w:tcW w:w="5245" w:type="dxa"/>
            <w:vAlign w:val="center"/>
          </w:tcPr>
          <w:p w:rsidR="0031470B" w:rsidRPr="00B75FE5" w:rsidRDefault="0031470B" w:rsidP="00F461FB">
            <w:pPr>
              <w:jc w:val="both"/>
              <w:rPr>
                <w:rFonts w:asciiTheme="minorHAnsi" w:hAnsiTheme="minorHAnsi" w:cstheme="minorHAnsi"/>
                <w:sz w:val="18"/>
                <w:szCs w:val="18"/>
              </w:rPr>
            </w:pPr>
            <w:r w:rsidRPr="00B75FE5">
              <w:rPr>
                <w:rFonts w:asciiTheme="minorHAnsi" w:hAnsiTheme="minorHAnsi" w:cstheme="minorHAnsi"/>
                <w:bCs/>
                <w:sz w:val="18"/>
                <w:szCs w:val="18"/>
              </w:rPr>
              <w:t xml:space="preserve">Na základě Smlouvy o závazku veřejné služby </w:t>
            </w:r>
            <w:r w:rsidR="00B75FE5">
              <w:rPr>
                <w:rFonts w:asciiTheme="minorHAnsi" w:hAnsiTheme="minorHAnsi" w:cstheme="minorHAnsi"/>
                <w:bCs/>
                <w:sz w:val="18"/>
                <w:szCs w:val="18"/>
              </w:rPr>
              <w:t>a Smlouvě o </w:t>
            </w:r>
            <w:r w:rsidRPr="00B75FE5">
              <w:rPr>
                <w:rFonts w:asciiTheme="minorHAnsi" w:hAnsiTheme="minorHAnsi" w:cstheme="minorHAnsi"/>
                <w:bCs/>
                <w:sz w:val="18"/>
                <w:szCs w:val="18"/>
              </w:rPr>
              <w:t xml:space="preserve">kompenzaci z plnění závazku veřejné služby uzavřené dle zákona </w:t>
            </w:r>
            <w:r w:rsidR="00B75FE5">
              <w:rPr>
                <w:rFonts w:asciiTheme="minorHAnsi" w:hAnsiTheme="minorHAnsi" w:cstheme="minorHAnsi"/>
                <w:bCs/>
                <w:sz w:val="18"/>
                <w:szCs w:val="18"/>
              </w:rPr>
              <w:t xml:space="preserve"> č. </w:t>
            </w:r>
            <w:r w:rsidRPr="00B75FE5">
              <w:rPr>
                <w:rFonts w:asciiTheme="minorHAnsi" w:hAnsiTheme="minorHAnsi" w:cstheme="minorHAnsi"/>
                <w:bCs/>
                <w:sz w:val="18"/>
                <w:szCs w:val="18"/>
              </w:rPr>
              <w:t>194/2010 Sb., o veřejných službách  v přepravě cestujících.</w:t>
            </w:r>
            <w:r w:rsidRPr="00B75FE5">
              <w:rPr>
                <w:rFonts w:asciiTheme="minorHAnsi" w:hAnsiTheme="minorHAnsi" w:cstheme="minorHAnsi"/>
                <w:sz w:val="18"/>
                <w:szCs w:val="18"/>
              </w:rPr>
              <w:t xml:space="preserve"> Změna licence linky č. 61 si vyžádala navýšení počtu</w:t>
            </w:r>
            <w:r w:rsidR="00B75FE5">
              <w:rPr>
                <w:rFonts w:asciiTheme="minorHAnsi" w:hAnsiTheme="minorHAnsi" w:cstheme="minorHAnsi"/>
                <w:sz w:val="18"/>
                <w:szCs w:val="18"/>
              </w:rPr>
              <w:t xml:space="preserve"> kilometrů o 3 520 a </w:t>
            </w:r>
            <w:r w:rsidRPr="00B75FE5">
              <w:rPr>
                <w:rFonts w:asciiTheme="minorHAnsi" w:hAnsiTheme="minorHAnsi" w:cstheme="minorHAnsi"/>
                <w:sz w:val="18"/>
                <w:szCs w:val="18"/>
              </w:rPr>
              <w:t>nárůst kompenzace  o 173 149,- Kč včetně DPH.</w:t>
            </w:r>
          </w:p>
        </w:tc>
        <w:tc>
          <w:tcPr>
            <w:tcW w:w="1553" w:type="dxa"/>
            <w:vAlign w:val="center"/>
          </w:tcPr>
          <w:p w:rsidR="0031470B" w:rsidRPr="00B75FE5" w:rsidRDefault="0031470B" w:rsidP="00F461FB">
            <w:pPr>
              <w:rPr>
                <w:rFonts w:asciiTheme="minorHAnsi" w:hAnsiTheme="minorHAnsi" w:cstheme="minorHAnsi"/>
                <w:sz w:val="18"/>
                <w:szCs w:val="18"/>
              </w:rPr>
            </w:pPr>
            <w:r w:rsidRPr="00B75FE5">
              <w:rPr>
                <w:rFonts w:asciiTheme="minorHAnsi" w:hAnsiTheme="minorHAnsi" w:cstheme="minorHAnsi"/>
                <w:sz w:val="18"/>
                <w:szCs w:val="18"/>
              </w:rPr>
              <w:t>Březen 2022</w:t>
            </w:r>
          </w:p>
        </w:tc>
      </w:tr>
      <w:tr w:rsidR="0031470B" w:rsidRPr="00B75FE5" w:rsidTr="00B75FE5">
        <w:tc>
          <w:tcPr>
            <w:tcW w:w="846" w:type="dxa"/>
            <w:vAlign w:val="center"/>
          </w:tcPr>
          <w:p w:rsidR="0031470B" w:rsidRPr="00B75FE5" w:rsidRDefault="0031470B" w:rsidP="00F461FB">
            <w:pPr>
              <w:jc w:val="center"/>
              <w:rPr>
                <w:rFonts w:asciiTheme="minorHAnsi" w:hAnsiTheme="minorHAnsi" w:cstheme="minorHAnsi"/>
                <w:sz w:val="18"/>
                <w:szCs w:val="18"/>
              </w:rPr>
            </w:pPr>
            <w:r w:rsidRPr="00B75FE5">
              <w:rPr>
                <w:rFonts w:asciiTheme="minorHAnsi" w:hAnsiTheme="minorHAnsi" w:cstheme="minorHAnsi"/>
                <w:sz w:val="18"/>
                <w:szCs w:val="18"/>
              </w:rPr>
              <w:t>114/23</w:t>
            </w:r>
          </w:p>
        </w:tc>
        <w:tc>
          <w:tcPr>
            <w:tcW w:w="1134" w:type="dxa"/>
            <w:vAlign w:val="center"/>
          </w:tcPr>
          <w:p w:rsidR="0031470B" w:rsidRPr="00B75FE5" w:rsidRDefault="0031470B" w:rsidP="00F461FB">
            <w:pPr>
              <w:jc w:val="center"/>
              <w:rPr>
                <w:rFonts w:asciiTheme="minorHAnsi" w:hAnsiTheme="minorHAnsi" w:cstheme="minorHAnsi"/>
                <w:sz w:val="18"/>
                <w:szCs w:val="18"/>
              </w:rPr>
            </w:pPr>
            <w:r w:rsidRPr="00B75FE5">
              <w:rPr>
                <w:rFonts w:asciiTheme="minorHAnsi" w:hAnsiTheme="minorHAnsi" w:cstheme="minorHAnsi"/>
                <w:sz w:val="18"/>
                <w:szCs w:val="18"/>
              </w:rPr>
              <w:t>3.</w:t>
            </w:r>
            <w:r w:rsidR="00B75FE5">
              <w:rPr>
                <w:rFonts w:asciiTheme="minorHAnsi" w:hAnsiTheme="minorHAnsi" w:cstheme="minorHAnsi"/>
                <w:sz w:val="18"/>
                <w:szCs w:val="18"/>
              </w:rPr>
              <w:t xml:space="preserve"> </w:t>
            </w:r>
            <w:r w:rsidRPr="00B75FE5">
              <w:rPr>
                <w:rFonts w:asciiTheme="minorHAnsi" w:hAnsiTheme="minorHAnsi" w:cstheme="minorHAnsi"/>
                <w:sz w:val="18"/>
                <w:szCs w:val="18"/>
              </w:rPr>
              <w:t>5.</w:t>
            </w:r>
            <w:r w:rsidR="00B75FE5">
              <w:rPr>
                <w:rFonts w:asciiTheme="minorHAnsi" w:hAnsiTheme="minorHAnsi" w:cstheme="minorHAnsi"/>
                <w:sz w:val="18"/>
                <w:szCs w:val="18"/>
              </w:rPr>
              <w:t xml:space="preserve"> </w:t>
            </w:r>
            <w:r w:rsidRPr="00B75FE5">
              <w:rPr>
                <w:rFonts w:asciiTheme="minorHAnsi" w:hAnsiTheme="minorHAnsi" w:cstheme="minorHAnsi"/>
                <w:sz w:val="18"/>
                <w:szCs w:val="18"/>
              </w:rPr>
              <w:t>2022</w:t>
            </w:r>
          </w:p>
        </w:tc>
        <w:tc>
          <w:tcPr>
            <w:tcW w:w="850" w:type="dxa"/>
            <w:vAlign w:val="center"/>
          </w:tcPr>
          <w:p w:rsidR="0031470B" w:rsidRPr="00B75FE5" w:rsidRDefault="0031470B" w:rsidP="00F461FB">
            <w:pPr>
              <w:jc w:val="center"/>
              <w:rPr>
                <w:rFonts w:asciiTheme="minorHAnsi" w:hAnsiTheme="minorHAnsi" w:cstheme="minorHAnsi"/>
                <w:sz w:val="18"/>
                <w:szCs w:val="18"/>
              </w:rPr>
            </w:pPr>
            <w:r w:rsidRPr="00B75FE5">
              <w:rPr>
                <w:rFonts w:asciiTheme="minorHAnsi" w:hAnsiTheme="minorHAnsi" w:cstheme="minorHAnsi"/>
                <w:sz w:val="18"/>
                <w:szCs w:val="18"/>
              </w:rPr>
              <w:t>296,45</w:t>
            </w:r>
          </w:p>
        </w:tc>
        <w:tc>
          <w:tcPr>
            <w:tcW w:w="5245" w:type="dxa"/>
            <w:vAlign w:val="center"/>
          </w:tcPr>
          <w:p w:rsidR="0031470B" w:rsidRPr="00B75FE5" w:rsidRDefault="0031470B" w:rsidP="00F461FB">
            <w:pPr>
              <w:jc w:val="both"/>
              <w:rPr>
                <w:rFonts w:asciiTheme="minorHAnsi" w:hAnsiTheme="minorHAnsi" w:cstheme="minorHAnsi"/>
                <w:sz w:val="18"/>
                <w:szCs w:val="18"/>
              </w:rPr>
            </w:pPr>
            <w:r w:rsidRPr="00B75FE5">
              <w:rPr>
                <w:rFonts w:asciiTheme="minorHAnsi" w:hAnsiTheme="minorHAnsi" w:cstheme="minorHAnsi"/>
                <w:sz w:val="18"/>
                <w:szCs w:val="18"/>
              </w:rPr>
              <w:t>Rozpočtové opatření na „Projekt zefektivnění MHD Prostějov“.</w:t>
            </w:r>
          </w:p>
        </w:tc>
        <w:tc>
          <w:tcPr>
            <w:tcW w:w="1553" w:type="dxa"/>
            <w:vAlign w:val="center"/>
          </w:tcPr>
          <w:p w:rsidR="0031470B" w:rsidRPr="00B75FE5" w:rsidRDefault="0031470B" w:rsidP="00F461FB">
            <w:pPr>
              <w:rPr>
                <w:rFonts w:asciiTheme="minorHAnsi" w:hAnsiTheme="minorHAnsi" w:cstheme="minorHAnsi"/>
                <w:sz w:val="18"/>
                <w:szCs w:val="18"/>
              </w:rPr>
            </w:pPr>
            <w:r w:rsidRPr="00B75FE5">
              <w:rPr>
                <w:rFonts w:asciiTheme="minorHAnsi" w:hAnsiTheme="minorHAnsi" w:cstheme="minorHAnsi"/>
                <w:sz w:val="18"/>
                <w:szCs w:val="18"/>
              </w:rPr>
              <w:t>květen 2022</w:t>
            </w:r>
          </w:p>
        </w:tc>
      </w:tr>
      <w:tr w:rsidR="0031470B" w:rsidRPr="00B75FE5" w:rsidTr="00B75FE5">
        <w:tc>
          <w:tcPr>
            <w:tcW w:w="846" w:type="dxa"/>
            <w:vAlign w:val="center"/>
          </w:tcPr>
          <w:p w:rsidR="0031470B" w:rsidRPr="00B75FE5" w:rsidRDefault="0031470B" w:rsidP="00F461FB">
            <w:pPr>
              <w:jc w:val="center"/>
              <w:rPr>
                <w:rFonts w:asciiTheme="minorHAnsi" w:hAnsiTheme="minorHAnsi" w:cstheme="minorHAnsi"/>
                <w:sz w:val="18"/>
                <w:szCs w:val="18"/>
              </w:rPr>
            </w:pPr>
            <w:r w:rsidRPr="00B75FE5">
              <w:rPr>
                <w:rFonts w:asciiTheme="minorHAnsi" w:hAnsiTheme="minorHAnsi" w:cstheme="minorHAnsi"/>
                <w:sz w:val="18"/>
                <w:szCs w:val="18"/>
              </w:rPr>
              <w:t>02/28</w:t>
            </w:r>
          </w:p>
        </w:tc>
        <w:tc>
          <w:tcPr>
            <w:tcW w:w="1134" w:type="dxa"/>
            <w:vAlign w:val="center"/>
          </w:tcPr>
          <w:p w:rsidR="0031470B" w:rsidRPr="00B75FE5" w:rsidRDefault="0031470B" w:rsidP="00F461FB">
            <w:pPr>
              <w:jc w:val="center"/>
              <w:rPr>
                <w:rFonts w:asciiTheme="minorHAnsi" w:hAnsiTheme="minorHAnsi" w:cstheme="minorHAnsi"/>
                <w:sz w:val="18"/>
                <w:szCs w:val="18"/>
              </w:rPr>
            </w:pPr>
            <w:r w:rsidRPr="00B75FE5">
              <w:rPr>
                <w:rFonts w:asciiTheme="minorHAnsi" w:hAnsiTheme="minorHAnsi" w:cstheme="minorHAnsi"/>
                <w:sz w:val="18"/>
                <w:szCs w:val="18"/>
              </w:rPr>
              <w:t>4.</w:t>
            </w:r>
            <w:r w:rsidR="00B75FE5">
              <w:rPr>
                <w:rFonts w:asciiTheme="minorHAnsi" w:hAnsiTheme="minorHAnsi" w:cstheme="minorHAnsi"/>
                <w:sz w:val="18"/>
                <w:szCs w:val="18"/>
              </w:rPr>
              <w:t xml:space="preserve"> </w:t>
            </w:r>
            <w:r w:rsidRPr="00B75FE5">
              <w:rPr>
                <w:rFonts w:asciiTheme="minorHAnsi" w:hAnsiTheme="minorHAnsi" w:cstheme="minorHAnsi"/>
                <w:sz w:val="18"/>
                <w:szCs w:val="18"/>
              </w:rPr>
              <w:t>11.</w:t>
            </w:r>
            <w:r w:rsidR="00B75FE5">
              <w:rPr>
                <w:rFonts w:asciiTheme="minorHAnsi" w:hAnsiTheme="minorHAnsi" w:cstheme="minorHAnsi"/>
                <w:sz w:val="18"/>
                <w:szCs w:val="18"/>
              </w:rPr>
              <w:t xml:space="preserve"> </w:t>
            </w:r>
            <w:r w:rsidRPr="00B75FE5">
              <w:rPr>
                <w:rFonts w:asciiTheme="minorHAnsi" w:hAnsiTheme="minorHAnsi" w:cstheme="minorHAnsi"/>
                <w:sz w:val="18"/>
                <w:szCs w:val="18"/>
              </w:rPr>
              <w:t>2022</w:t>
            </w:r>
          </w:p>
        </w:tc>
        <w:tc>
          <w:tcPr>
            <w:tcW w:w="850" w:type="dxa"/>
            <w:vAlign w:val="center"/>
          </w:tcPr>
          <w:p w:rsidR="0031470B" w:rsidRPr="00B75FE5" w:rsidRDefault="0031470B" w:rsidP="00F461FB">
            <w:pPr>
              <w:jc w:val="center"/>
              <w:rPr>
                <w:rFonts w:asciiTheme="minorHAnsi" w:hAnsiTheme="minorHAnsi" w:cstheme="minorHAnsi"/>
                <w:sz w:val="18"/>
                <w:szCs w:val="18"/>
              </w:rPr>
            </w:pPr>
            <w:r w:rsidRPr="00B75FE5">
              <w:rPr>
                <w:rFonts w:asciiTheme="minorHAnsi" w:hAnsiTheme="minorHAnsi" w:cstheme="minorHAnsi"/>
                <w:sz w:val="18"/>
                <w:szCs w:val="18"/>
              </w:rPr>
              <w:t>234,00</w:t>
            </w:r>
          </w:p>
        </w:tc>
        <w:tc>
          <w:tcPr>
            <w:tcW w:w="5245" w:type="dxa"/>
            <w:vAlign w:val="center"/>
          </w:tcPr>
          <w:p w:rsidR="0031470B" w:rsidRPr="00B75FE5" w:rsidRDefault="00B75FE5" w:rsidP="00F461FB">
            <w:pPr>
              <w:jc w:val="both"/>
              <w:rPr>
                <w:rFonts w:asciiTheme="minorHAnsi" w:hAnsiTheme="minorHAnsi" w:cstheme="minorHAnsi"/>
                <w:sz w:val="18"/>
                <w:szCs w:val="18"/>
              </w:rPr>
            </w:pPr>
            <w:r>
              <w:rPr>
                <w:rFonts w:asciiTheme="minorHAnsi" w:hAnsiTheme="minorHAnsi" w:cstheme="minorHAnsi"/>
                <w:sz w:val="18"/>
                <w:szCs w:val="18"/>
              </w:rPr>
              <w:t>N</w:t>
            </w:r>
            <w:r w:rsidR="0031470B" w:rsidRPr="00B75FE5">
              <w:rPr>
                <w:rFonts w:asciiTheme="minorHAnsi" w:hAnsiTheme="minorHAnsi" w:cstheme="minorHAnsi"/>
                <w:sz w:val="18"/>
                <w:szCs w:val="18"/>
              </w:rPr>
              <w:t>a zabezpečení úhrady roční výše finančního příspěvku), kterým město přispívá příjemci (KIDSOK) na zajišťování dopravní obslužnosti Olomouckého kraje – navýšení v důsledku inflace.</w:t>
            </w:r>
          </w:p>
        </w:tc>
        <w:tc>
          <w:tcPr>
            <w:tcW w:w="1553" w:type="dxa"/>
            <w:vAlign w:val="center"/>
          </w:tcPr>
          <w:p w:rsidR="0031470B" w:rsidRPr="00B75FE5" w:rsidRDefault="0031470B" w:rsidP="00F461FB">
            <w:pPr>
              <w:rPr>
                <w:rFonts w:asciiTheme="minorHAnsi" w:hAnsiTheme="minorHAnsi" w:cstheme="minorHAnsi"/>
                <w:sz w:val="18"/>
                <w:szCs w:val="18"/>
              </w:rPr>
            </w:pPr>
            <w:r w:rsidRPr="00B75FE5">
              <w:rPr>
                <w:rFonts w:asciiTheme="minorHAnsi" w:hAnsiTheme="minorHAnsi" w:cstheme="minorHAnsi"/>
                <w:sz w:val="18"/>
                <w:szCs w:val="18"/>
              </w:rPr>
              <w:t>Listopad 2022</w:t>
            </w:r>
          </w:p>
        </w:tc>
      </w:tr>
    </w:tbl>
    <w:p w:rsidR="0031470B" w:rsidRPr="0031470B" w:rsidRDefault="0031470B" w:rsidP="0031470B">
      <w:pPr>
        <w:rPr>
          <w:rFonts w:asciiTheme="minorHAnsi" w:hAnsiTheme="minorHAnsi" w:cstheme="minorHAnsi"/>
          <w:b/>
          <w:sz w:val="20"/>
          <w:szCs w:val="20"/>
        </w:rPr>
      </w:pPr>
    </w:p>
    <w:p w:rsidR="0031470B" w:rsidRPr="0031470B" w:rsidRDefault="0031470B" w:rsidP="0031470B">
      <w:pPr>
        <w:rPr>
          <w:rFonts w:asciiTheme="minorHAnsi" w:hAnsiTheme="minorHAnsi" w:cstheme="minorHAnsi"/>
          <w:b/>
          <w:sz w:val="20"/>
          <w:szCs w:val="20"/>
        </w:rPr>
      </w:pPr>
      <w:r w:rsidRPr="0031470B">
        <w:rPr>
          <w:rFonts w:asciiTheme="minorHAnsi" w:hAnsiTheme="minorHAnsi" w:cstheme="minorHAnsi"/>
          <w:b/>
          <w:sz w:val="20"/>
          <w:szCs w:val="20"/>
        </w:rPr>
        <w:t>V Prostějově dne 10.</w:t>
      </w:r>
      <w:r w:rsidR="00B75FE5">
        <w:rPr>
          <w:rFonts w:asciiTheme="minorHAnsi" w:hAnsiTheme="minorHAnsi" w:cstheme="minorHAnsi"/>
          <w:b/>
          <w:sz w:val="20"/>
          <w:szCs w:val="20"/>
        </w:rPr>
        <w:t xml:space="preserve"> </w:t>
      </w:r>
      <w:r w:rsidRPr="0031470B">
        <w:rPr>
          <w:rFonts w:asciiTheme="minorHAnsi" w:hAnsiTheme="minorHAnsi" w:cstheme="minorHAnsi"/>
          <w:b/>
          <w:sz w:val="20"/>
          <w:szCs w:val="20"/>
        </w:rPr>
        <w:t>2.</w:t>
      </w:r>
      <w:r w:rsidR="00B75FE5">
        <w:rPr>
          <w:rFonts w:asciiTheme="minorHAnsi" w:hAnsiTheme="minorHAnsi" w:cstheme="minorHAnsi"/>
          <w:b/>
          <w:sz w:val="20"/>
          <w:szCs w:val="20"/>
        </w:rPr>
        <w:t xml:space="preserve"> </w:t>
      </w:r>
      <w:r w:rsidRPr="0031470B">
        <w:rPr>
          <w:rFonts w:asciiTheme="minorHAnsi" w:hAnsiTheme="minorHAnsi" w:cstheme="minorHAnsi"/>
          <w:b/>
          <w:sz w:val="20"/>
          <w:szCs w:val="20"/>
        </w:rPr>
        <w:t>2023</w:t>
      </w:r>
    </w:p>
    <w:p w:rsidR="0031470B" w:rsidRPr="0031470B" w:rsidRDefault="0031470B" w:rsidP="0031470B">
      <w:pPr>
        <w:rPr>
          <w:rFonts w:asciiTheme="minorHAnsi" w:hAnsiTheme="minorHAnsi" w:cstheme="minorHAnsi"/>
          <w:b/>
          <w:sz w:val="20"/>
          <w:szCs w:val="20"/>
        </w:rPr>
      </w:pPr>
      <w:r w:rsidRPr="0031470B">
        <w:rPr>
          <w:rFonts w:asciiTheme="minorHAnsi" w:hAnsiTheme="minorHAnsi" w:cstheme="minorHAnsi"/>
          <w:b/>
          <w:sz w:val="20"/>
          <w:szCs w:val="20"/>
        </w:rPr>
        <w:tab/>
      </w:r>
      <w:r w:rsidRPr="0031470B">
        <w:rPr>
          <w:rFonts w:asciiTheme="minorHAnsi" w:hAnsiTheme="minorHAnsi" w:cstheme="minorHAnsi"/>
          <w:b/>
          <w:sz w:val="20"/>
          <w:szCs w:val="20"/>
        </w:rPr>
        <w:tab/>
      </w:r>
      <w:r w:rsidRPr="0031470B">
        <w:rPr>
          <w:rFonts w:asciiTheme="minorHAnsi" w:hAnsiTheme="minorHAnsi" w:cstheme="minorHAnsi"/>
          <w:b/>
          <w:sz w:val="20"/>
          <w:szCs w:val="20"/>
        </w:rPr>
        <w:tab/>
      </w:r>
      <w:r w:rsidRPr="0031470B">
        <w:rPr>
          <w:rFonts w:asciiTheme="minorHAnsi" w:hAnsiTheme="minorHAnsi" w:cstheme="minorHAnsi"/>
          <w:b/>
          <w:sz w:val="20"/>
          <w:szCs w:val="20"/>
        </w:rPr>
        <w:tab/>
      </w:r>
      <w:r w:rsidRPr="0031470B">
        <w:rPr>
          <w:rFonts w:asciiTheme="minorHAnsi" w:hAnsiTheme="minorHAnsi" w:cstheme="minorHAnsi"/>
          <w:b/>
          <w:sz w:val="20"/>
          <w:szCs w:val="20"/>
        </w:rPr>
        <w:tab/>
      </w:r>
      <w:r w:rsidRPr="0031470B">
        <w:rPr>
          <w:rFonts w:asciiTheme="minorHAnsi" w:hAnsiTheme="minorHAnsi" w:cstheme="minorHAnsi"/>
          <w:b/>
          <w:sz w:val="20"/>
          <w:szCs w:val="20"/>
        </w:rPr>
        <w:tab/>
      </w:r>
    </w:p>
    <w:p w:rsidR="0031470B" w:rsidRPr="0031470B" w:rsidRDefault="0031470B" w:rsidP="0031470B">
      <w:pPr>
        <w:rPr>
          <w:rFonts w:asciiTheme="minorHAnsi" w:hAnsiTheme="minorHAnsi" w:cstheme="minorHAnsi"/>
          <w:b/>
          <w:sz w:val="20"/>
          <w:szCs w:val="20"/>
        </w:rPr>
      </w:pPr>
      <w:r w:rsidRPr="0031470B">
        <w:rPr>
          <w:rFonts w:asciiTheme="minorHAnsi" w:hAnsiTheme="minorHAnsi" w:cstheme="minorHAnsi"/>
          <w:b/>
          <w:sz w:val="20"/>
          <w:szCs w:val="20"/>
        </w:rPr>
        <w:t xml:space="preserve">Správce kapitoly: Mgr. Jan Vejmělek v.r., vedoucí OD MM Prostějov </w:t>
      </w:r>
    </w:p>
    <w:p w:rsidR="00A32E74" w:rsidRPr="0031470B" w:rsidRDefault="00A32E74" w:rsidP="004305D0">
      <w:pPr>
        <w:tabs>
          <w:tab w:val="right" w:leader="dot" w:pos="8931"/>
        </w:tabs>
        <w:rPr>
          <w:rFonts w:asciiTheme="minorHAnsi" w:hAnsiTheme="minorHAnsi" w:cstheme="minorHAnsi"/>
          <w:b/>
          <w:color w:val="A6A6A6" w:themeColor="background1" w:themeShade="A6"/>
          <w:sz w:val="20"/>
          <w:szCs w:val="20"/>
        </w:rPr>
      </w:pPr>
    </w:p>
    <w:p w:rsidR="00376246" w:rsidRPr="000870DD" w:rsidRDefault="00376246" w:rsidP="002732E1">
      <w:pPr>
        <w:jc w:val="both"/>
        <w:rPr>
          <w:rFonts w:asciiTheme="minorHAnsi" w:hAnsiTheme="minorHAnsi" w:cstheme="minorHAnsi"/>
          <w:b/>
          <w:sz w:val="18"/>
          <w:szCs w:val="18"/>
        </w:rPr>
      </w:pPr>
    </w:p>
    <w:p w:rsidR="00F461FB" w:rsidRDefault="00F461FB">
      <w:pPr>
        <w:rPr>
          <w:rFonts w:asciiTheme="minorHAnsi" w:hAnsiTheme="minorHAnsi" w:cstheme="minorHAnsi"/>
          <w:color w:val="A6A6A6" w:themeColor="background1" w:themeShade="A6"/>
          <w:sz w:val="20"/>
          <w:szCs w:val="20"/>
        </w:rPr>
      </w:pPr>
    </w:p>
    <w:p w:rsidR="00F461FB" w:rsidRDefault="00F461FB">
      <w:pPr>
        <w:rPr>
          <w:rFonts w:asciiTheme="minorHAnsi" w:hAnsiTheme="minorHAnsi" w:cstheme="minorHAnsi"/>
          <w:color w:val="A6A6A6" w:themeColor="background1" w:themeShade="A6"/>
          <w:sz w:val="20"/>
          <w:szCs w:val="20"/>
        </w:rPr>
      </w:pPr>
    </w:p>
    <w:p w:rsidR="00F461FB" w:rsidRPr="00F461FB" w:rsidRDefault="00F461FB" w:rsidP="00F461FB">
      <w:pPr>
        <w:rPr>
          <w:rFonts w:asciiTheme="minorHAnsi" w:hAnsiTheme="minorHAnsi" w:cstheme="minorHAnsi"/>
          <w:b/>
        </w:rPr>
      </w:pPr>
      <w:r w:rsidRPr="00F461FB">
        <w:rPr>
          <w:rFonts w:asciiTheme="minorHAnsi" w:hAnsiTheme="minorHAnsi" w:cstheme="minorHAnsi"/>
          <w:b/>
        </w:rPr>
        <w:t>Kapitola 60 – rozvoj a investice</w:t>
      </w:r>
    </w:p>
    <w:p w:rsidR="00F461FB" w:rsidRPr="00F461FB" w:rsidRDefault="00F461FB" w:rsidP="00F461FB">
      <w:pPr>
        <w:rPr>
          <w:rFonts w:asciiTheme="minorHAnsi" w:hAnsiTheme="minorHAnsi" w:cstheme="minorHAnsi"/>
          <w:b/>
          <w:sz w:val="18"/>
        </w:rPr>
      </w:pPr>
    </w:p>
    <w:p w:rsidR="00F461FB" w:rsidRPr="00F461FB" w:rsidRDefault="00F461FB" w:rsidP="00F461FB">
      <w:pPr>
        <w:rPr>
          <w:rFonts w:asciiTheme="minorHAnsi" w:hAnsiTheme="minorHAnsi" w:cstheme="minorHAnsi"/>
          <w:b/>
          <w:u w:val="single"/>
        </w:rPr>
      </w:pPr>
      <w:r w:rsidRPr="00F461FB">
        <w:rPr>
          <w:rFonts w:asciiTheme="minorHAnsi" w:hAnsiTheme="minorHAnsi" w:cstheme="minorHAnsi"/>
          <w:b/>
          <w:u w:val="single"/>
        </w:rPr>
        <w:t>Rozbor plnění příjmů rozpočtu kapitoly</w:t>
      </w:r>
    </w:p>
    <w:p w:rsidR="00F461FB" w:rsidRPr="00F461FB" w:rsidRDefault="00F461FB" w:rsidP="00F461FB">
      <w:pPr>
        <w:rPr>
          <w:rFonts w:asciiTheme="minorHAnsi" w:hAnsiTheme="minorHAnsi" w:cstheme="minorHAnsi"/>
          <w:b/>
          <w:sz w:val="18"/>
        </w:rPr>
      </w:pPr>
    </w:p>
    <w:tbl>
      <w:tblPr>
        <w:tblStyle w:val="Mkatabulky"/>
        <w:tblW w:w="9776" w:type="dxa"/>
        <w:tblLook w:val="04A0" w:firstRow="1" w:lastRow="0" w:firstColumn="1" w:lastColumn="0" w:noHBand="0" w:noVBand="1"/>
      </w:tblPr>
      <w:tblGrid>
        <w:gridCol w:w="2407"/>
        <w:gridCol w:w="2409"/>
        <w:gridCol w:w="1162"/>
        <w:gridCol w:w="3798"/>
      </w:tblGrid>
      <w:tr w:rsidR="00F461FB" w:rsidRPr="00F461FB" w:rsidTr="00F461FB">
        <w:trPr>
          <w:trHeight w:val="284"/>
        </w:trPr>
        <w:tc>
          <w:tcPr>
            <w:tcW w:w="2407" w:type="dxa"/>
            <w:shd w:val="clear" w:color="auto" w:fill="FFC000"/>
            <w:vAlign w:val="center"/>
          </w:tcPr>
          <w:p w:rsidR="00F461FB" w:rsidRPr="00F461FB" w:rsidRDefault="00F461FB" w:rsidP="00F461FB">
            <w:pPr>
              <w:jc w:val="center"/>
              <w:rPr>
                <w:rFonts w:asciiTheme="minorHAnsi" w:hAnsiTheme="minorHAnsi" w:cstheme="minorHAnsi"/>
                <w:b/>
                <w:sz w:val="18"/>
              </w:rPr>
            </w:pPr>
            <w:r w:rsidRPr="00F461FB">
              <w:rPr>
                <w:rFonts w:asciiTheme="minorHAnsi" w:hAnsiTheme="minorHAnsi" w:cstheme="minorHAnsi"/>
                <w:b/>
                <w:sz w:val="18"/>
              </w:rPr>
              <w:t>Rozpočet upravený v tis. Kč</w:t>
            </w:r>
          </w:p>
        </w:tc>
        <w:tc>
          <w:tcPr>
            <w:tcW w:w="2409" w:type="dxa"/>
            <w:shd w:val="clear" w:color="auto" w:fill="FFC000"/>
            <w:vAlign w:val="center"/>
          </w:tcPr>
          <w:p w:rsidR="00F461FB" w:rsidRPr="00F461FB" w:rsidRDefault="00F461FB" w:rsidP="00F461FB">
            <w:pPr>
              <w:jc w:val="center"/>
              <w:rPr>
                <w:rFonts w:asciiTheme="minorHAnsi" w:hAnsiTheme="minorHAnsi" w:cstheme="minorHAnsi"/>
                <w:b/>
                <w:sz w:val="18"/>
              </w:rPr>
            </w:pPr>
            <w:r w:rsidRPr="00F461FB">
              <w:rPr>
                <w:rFonts w:asciiTheme="minorHAnsi" w:hAnsiTheme="minorHAnsi" w:cstheme="minorHAnsi"/>
                <w:b/>
                <w:sz w:val="18"/>
              </w:rPr>
              <w:t>Skutečnost v tis. Kč</w:t>
            </w:r>
          </w:p>
        </w:tc>
        <w:tc>
          <w:tcPr>
            <w:tcW w:w="1162" w:type="dxa"/>
            <w:shd w:val="clear" w:color="auto" w:fill="FFC000"/>
            <w:vAlign w:val="center"/>
          </w:tcPr>
          <w:p w:rsidR="00F461FB" w:rsidRPr="00F461FB" w:rsidRDefault="00F461FB" w:rsidP="00F461FB">
            <w:pPr>
              <w:jc w:val="center"/>
              <w:rPr>
                <w:rFonts w:asciiTheme="minorHAnsi" w:hAnsiTheme="minorHAnsi" w:cstheme="minorHAnsi"/>
                <w:b/>
                <w:sz w:val="18"/>
              </w:rPr>
            </w:pPr>
            <w:r w:rsidRPr="00F461FB">
              <w:rPr>
                <w:rFonts w:asciiTheme="minorHAnsi" w:hAnsiTheme="minorHAnsi" w:cstheme="minorHAnsi"/>
                <w:b/>
                <w:sz w:val="18"/>
              </w:rPr>
              <w:t>SK/RU v %</w:t>
            </w:r>
          </w:p>
        </w:tc>
        <w:tc>
          <w:tcPr>
            <w:tcW w:w="3798" w:type="dxa"/>
            <w:shd w:val="clear" w:color="auto" w:fill="FFC000"/>
            <w:vAlign w:val="center"/>
          </w:tcPr>
          <w:p w:rsidR="00F461FB" w:rsidRPr="00F461FB" w:rsidRDefault="00F461FB" w:rsidP="00F461FB">
            <w:pPr>
              <w:jc w:val="center"/>
              <w:rPr>
                <w:rFonts w:asciiTheme="minorHAnsi" w:hAnsiTheme="minorHAnsi" w:cstheme="minorHAnsi"/>
                <w:b/>
                <w:sz w:val="18"/>
              </w:rPr>
            </w:pPr>
            <w:r w:rsidRPr="00F461FB">
              <w:rPr>
                <w:rFonts w:asciiTheme="minorHAnsi" w:hAnsiTheme="minorHAnsi" w:cstheme="minorHAnsi"/>
                <w:b/>
                <w:sz w:val="18"/>
              </w:rPr>
              <w:t>Komentář</w:t>
            </w:r>
          </w:p>
        </w:tc>
      </w:tr>
      <w:tr w:rsidR="00F461FB" w:rsidRPr="00F461FB" w:rsidTr="00F461FB">
        <w:tc>
          <w:tcPr>
            <w:tcW w:w="2407" w:type="dxa"/>
          </w:tcPr>
          <w:p w:rsidR="00F461FB" w:rsidRPr="00F461FB" w:rsidRDefault="00F461FB" w:rsidP="00F461FB">
            <w:pPr>
              <w:jc w:val="right"/>
              <w:rPr>
                <w:rFonts w:asciiTheme="minorHAnsi" w:hAnsiTheme="minorHAnsi" w:cstheme="minorHAnsi"/>
                <w:b/>
                <w:sz w:val="18"/>
                <w:szCs w:val="18"/>
              </w:rPr>
            </w:pPr>
            <w:r w:rsidRPr="00F461FB">
              <w:rPr>
                <w:rFonts w:asciiTheme="minorHAnsi" w:hAnsiTheme="minorHAnsi" w:cstheme="minorHAnsi"/>
                <w:b/>
                <w:sz w:val="18"/>
                <w:szCs w:val="18"/>
              </w:rPr>
              <w:t>1</w:t>
            </w:r>
            <w:r>
              <w:rPr>
                <w:rFonts w:asciiTheme="minorHAnsi" w:hAnsiTheme="minorHAnsi" w:cstheme="minorHAnsi"/>
                <w:b/>
                <w:sz w:val="18"/>
                <w:szCs w:val="18"/>
              </w:rPr>
              <w:t xml:space="preserve">6 </w:t>
            </w:r>
            <w:r w:rsidRPr="00F461FB">
              <w:rPr>
                <w:rFonts w:asciiTheme="minorHAnsi" w:hAnsiTheme="minorHAnsi" w:cstheme="minorHAnsi"/>
                <w:b/>
                <w:sz w:val="18"/>
                <w:szCs w:val="18"/>
              </w:rPr>
              <w:t>082,05</w:t>
            </w:r>
          </w:p>
        </w:tc>
        <w:tc>
          <w:tcPr>
            <w:tcW w:w="2409" w:type="dxa"/>
          </w:tcPr>
          <w:p w:rsidR="00F461FB" w:rsidRPr="00F461FB" w:rsidRDefault="00F461FB" w:rsidP="00F461FB">
            <w:pPr>
              <w:jc w:val="right"/>
              <w:rPr>
                <w:rFonts w:asciiTheme="minorHAnsi" w:hAnsiTheme="minorHAnsi" w:cstheme="minorHAnsi"/>
                <w:b/>
                <w:sz w:val="18"/>
                <w:szCs w:val="18"/>
              </w:rPr>
            </w:pPr>
            <w:r>
              <w:rPr>
                <w:rFonts w:asciiTheme="minorHAnsi" w:hAnsiTheme="minorHAnsi" w:cstheme="minorHAnsi"/>
                <w:b/>
                <w:sz w:val="18"/>
                <w:szCs w:val="18"/>
              </w:rPr>
              <w:t xml:space="preserve">2 </w:t>
            </w:r>
            <w:r w:rsidRPr="00F461FB">
              <w:rPr>
                <w:rFonts w:asciiTheme="minorHAnsi" w:hAnsiTheme="minorHAnsi" w:cstheme="minorHAnsi"/>
                <w:b/>
                <w:sz w:val="18"/>
                <w:szCs w:val="18"/>
              </w:rPr>
              <w:t>482,05</w:t>
            </w:r>
          </w:p>
        </w:tc>
        <w:tc>
          <w:tcPr>
            <w:tcW w:w="1162" w:type="dxa"/>
          </w:tcPr>
          <w:p w:rsidR="00F461FB" w:rsidRPr="00F461FB" w:rsidRDefault="00F461FB" w:rsidP="00F461FB">
            <w:pPr>
              <w:jc w:val="center"/>
              <w:rPr>
                <w:rFonts w:asciiTheme="minorHAnsi" w:hAnsiTheme="minorHAnsi" w:cstheme="minorHAnsi"/>
                <w:b/>
                <w:sz w:val="18"/>
                <w:szCs w:val="18"/>
              </w:rPr>
            </w:pPr>
            <w:r w:rsidRPr="00F461FB">
              <w:rPr>
                <w:rFonts w:asciiTheme="minorHAnsi" w:hAnsiTheme="minorHAnsi" w:cstheme="minorHAnsi"/>
                <w:b/>
                <w:sz w:val="18"/>
                <w:szCs w:val="18"/>
              </w:rPr>
              <w:t>15,43</w:t>
            </w:r>
          </w:p>
        </w:tc>
        <w:tc>
          <w:tcPr>
            <w:tcW w:w="3798" w:type="dxa"/>
          </w:tcPr>
          <w:p w:rsidR="00F461FB" w:rsidRPr="00F461FB" w:rsidRDefault="00F461FB" w:rsidP="00F461FB">
            <w:pPr>
              <w:rPr>
                <w:rFonts w:asciiTheme="minorHAnsi" w:hAnsiTheme="minorHAnsi" w:cstheme="minorHAnsi"/>
                <w:b/>
                <w:sz w:val="18"/>
                <w:szCs w:val="18"/>
              </w:rPr>
            </w:pPr>
            <w:r w:rsidRPr="00F461FB">
              <w:rPr>
                <w:rFonts w:asciiTheme="minorHAnsi" w:hAnsiTheme="minorHAnsi" w:cstheme="minorHAnsi"/>
                <w:b/>
                <w:sz w:val="18"/>
                <w:szCs w:val="18"/>
              </w:rPr>
              <w:t xml:space="preserve">Příjmy </w:t>
            </w:r>
          </w:p>
        </w:tc>
      </w:tr>
    </w:tbl>
    <w:p w:rsidR="00F461FB" w:rsidRDefault="00F461FB" w:rsidP="00F461FB">
      <w:pPr>
        <w:rPr>
          <w:rFonts w:asciiTheme="minorHAnsi" w:hAnsiTheme="minorHAnsi" w:cstheme="minorHAnsi"/>
          <w:b/>
          <w:sz w:val="18"/>
        </w:rPr>
      </w:pPr>
    </w:p>
    <w:p w:rsidR="00F461FB" w:rsidRPr="00F461FB" w:rsidRDefault="00F461FB" w:rsidP="00F461FB">
      <w:pPr>
        <w:rPr>
          <w:rFonts w:asciiTheme="minorHAnsi" w:hAnsiTheme="minorHAnsi" w:cstheme="minorHAnsi"/>
          <w:b/>
          <w:sz w:val="18"/>
        </w:rPr>
      </w:pPr>
      <w:r w:rsidRPr="00F461FB">
        <w:rPr>
          <w:rFonts w:asciiTheme="minorHAnsi" w:hAnsiTheme="minorHAnsi" w:cstheme="minorHAnsi"/>
          <w:b/>
          <w:sz w:val="18"/>
        </w:rPr>
        <w:t>Stručný komentář k celkovému vývoji plnění příjmů kapitoly ve sledovaném období</w:t>
      </w:r>
    </w:p>
    <w:tbl>
      <w:tblPr>
        <w:tblStyle w:val="Mkatabulky"/>
        <w:tblW w:w="9776" w:type="dxa"/>
        <w:tblLook w:val="04A0" w:firstRow="1" w:lastRow="0" w:firstColumn="1" w:lastColumn="0" w:noHBand="0" w:noVBand="1"/>
      </w:tblPr>
      <w:tblGrid>
        <w:gridCol w:w="9776"/>
      </w:tblGrid>
      <w:tr w:rsidR="00F461FB" w:rsidRPr="00F461FB" w:rsidTr="00F461FB">
        <w:tc>
          <w:tcPr>
            <w:tcW w:w="9776" w:type="dxa"/>
          </w:tcPr>
          <w:p w:rsidR="00F461FB" w:rsidRPr="00F461FB" w:rsidRDefault="00F461FB" w:rsidP="00F461FB">
            <w:pPr>
              <w:jc w:val="both"/>
              <w:rPr>
                <w:rFonts w:asciiTheme="minorHAnsi" w:hAnsiTheme="minorHAnsi" w:cstheme="minorHAnsi"/>
                <w:sz w:val="18"/>
                <w:szCs w:val="18"/>
              </w:rPr>
            </w:pPr>
            <w:r w:rsidRPr="00F461FB">
              <w:rPr>
                <w:rFonts w:asciiTheme="minorHAnsi" w:hAnsiTheme="minorHAnsi" w:cstheme="minorHAnsi"/>
                <w:sz w:val="18"/>
                <w:szCs w:val="18"/>
              </w:rPr>
              <w:t>Celková finanční částka na kapitole 60 v oblasti plnění příjmů se odvíjí pouze od přijatých dotací.</w:t>
            </w:r>
          </w:p>
        </w:tc>
      </w:tr>
    </w:tbl>
    <w:p w:rsidR="00F461FB" w:rsidRPr="00F461FB" w:rsidRDefault="00F461FB" w:rsidP="00F461FB">
      <w:pPr>
        <w:rPr>
          <w:rFonts w:asciiTheme="minorHAnsi" w:hAnsiTheme="minorHAnsi" w:cstheme="minorHAnsi"/>
          <w:b/>
          <w:sz w:val="18"/>
        </w:rPr>
      </w:pPr>
    </w:p>
    <w:p w:rsidR="00F461FB" w:rsidRPr="00F461FB" w:rsidRDefault="00F461FB" w:rsidP="00F461FB">
      <w:pPr>
        <w:rPr>
          <w:rFonts w:asciiTheme="minorHAnsi" w:hAnsiTheme="minorHAnsi" w:cstheme="minorHAnsi"/>
          <w:sz w:val="18"/>
        </w:rPr>
      </w:pPr>
      <w:r w:rsidRPr="00F461FB">
        <w:rPr>
          <w:rFonts w:asciiTheme="minorHAnsi" w:hAnsiTheme="minorHAnsi" w:cstheme="minorHAnsi"/>
          <w:b/>
          <w:sz w:val="18"/>
        </w:rPr>
        <w:t xml:space="preserve">Komentář k položkám (akcím), které vykázaly abnormalitu v řádném plnění příjmů rozpočtu kapitoly ve sledovaném období </w:t>
      </w:r>
    </w:p>
    <w:tbl>
      <w:tblPr>
        <w:tblStyle w:val="Mkatabulky"/>
        <w:tblW w:w="9778" w:type="dxa"/>
        <w:tblLayout w:type="fixed"/>
        <w:tblLook w:val="04A0" w:firstRow="1" w:lastRow="0" w:firstColumn="1" w:lastColumn="0" w:noHBand="0" w:noVBand="1"/>
      </w:tblPr>
      <w:tblGrid>
        <w:gridCol w:w="959"/>
        <w:gridCol w:w="850"/>
        <w:gridCol w:w="1418"/>
        <w:gridCol w:w="850"/>
        <w:gridCol w:w="1134"/>
        <w:gridCol w:w="1134"/>
        <w:gridCol w:w="3433"/>
      </w:tblGrid>
      <w:tr w:rsidR="00F461FB" w:rsidRPr="00F461FB" w:rsidTr="00F461FB">
        <w:trPr>
          <w:trHeight w:val="284"/>
        </w:trPr>
        <w:tc>
          <w:tcPr>
            <w:tcW w:w="959" w:type="dxa"/>
            <w:shd w:val="clear" w:color="auto" w:fill="FFFF00"/>
            <w:vAlign w:val="center"/>
          </w:tcPr>
          <w:p w:rsidR="00F461FB" w:rsidRPr="00F461FB" w:rsidRDefault="00F461FB" w:rsidP="00F461FB">
            <w:pPr>
              <w:jc w:val="center"/>
              <w:rPr>
                <w:rFonts w:asciiTheme="minorHAnsi" w:hAnsiTheme="minorHAnsi" w:cstheme="minorHAnsi"/>
                <w:b/>
                <w:sz w:val="18"/>
              </w:rPr>
            </w:pPr>
            <w:r w:rsidRPr="00F461FB">
              <w:rPr>
                <w:rFonts w:asciiTheme="minorHAnsi" w:hAnsiTheme="minorHAnsi" w:cstheme="minorHAnsi"/>
                <w:b/>
                <w:sz w:val="18"/>
              </w:rPr>
              <w:t>Oddíl, paragraf</w:t>
            </w:r>
          </w:p>
        </w:tc>
        <w:tc>
          <w:tcPr>
            <w:tcW w:w="850" w:type="dxa"/>
            <w:shd w:val="clear" w:color="auto" w:fill="FFFF00"/>
            <w:vAlign w:val="center"/>
          </w:tcPr>
          <w:p w:rsidR="00F461FB" w:rsidRPr="00F461FB" w:rsidRDefault="00F461FB" w:rsidP="00F461FB">
            <w:pPr>
              <w:jc w:val="center"/>
              <w:rPr>
                <w:rFonts w:asciiTheme="minorHAnsi" w:hAnsiTheme="minorHAnsi" w:cstheme="minorHAnsi"/>
                <w:b/>
                <w:sz w:val="18"/>
              </w:rPr>
            </w:pPr>
            <w:r w:rsidRPr="00F461FB">
              <w:rPr>
                <w:rFonts w:asciiTheme="minorHAnsi" w:hAnsiTheme="minorHAnsi" w:cstheme="minorHAnsi"/>
                <w:b/>
                <w:sz w:val="18"/>
              </w:rPr>
              <w:t>Položka</w:t>
            </w:r>
          </w:p>
        </w:tc>
        <w:tc>
          <w:tcPr>
            <w:tcW w:w="1418" w:type="dxa"/>
            <w:shd w:val="clear" w:color="auto" w:fill="FFFF00"/>
            <w:vAlign w:val="center"/>
          </w:tcPr>
          <w:p w:rsidR="00F461FB" w:rsidRPr="00F461FB" w:rsidRDefault="00F461FB" w:rsidP="00F461FB">
            <w:pPr>
              <w:jc w:val="center"/>
              <w:rPr>
                <w:rFonts w:asciiTheme="minorHAnsi" w:hAnsiTheme="minorHAnsi" w:cstheme="minorHAnsi"/>
                <w:b/>
                <w:sz w:val="18"/>
              </w:rPr>
            </w:pPr>
            <w:r w:rsidRPr="00F461FB">
              <w:rPr>
                <w:rFonts w:asciiTheme="minorHAnsi" w:hAnsiTheme="minorHAnsi" w:cstheme="minorHAnsi"/>
                <w:b/>
                <w:sz w:val="18"/>
              </w:rPr>
              <w:t>Organizace</w:t>
            </w:r>
          </w:p>
        </w:tc>
        <w:tc>
          <w:tcPr>
            <w:tcW w:w="850" w:type="dxa"/>
            <w:shd w:val="clear" w:color="auto" w:fill="FFFF00"/>
            <w:vAlign w:val="center"/>
          </w:tcPr>
          <w:p w:rsidR="00F461FB" w:rsidRPr="00F461FB" w:rsidRDefault="00F461FB" w:rsidP="00F461FB">
            <w:pPr>
              <w:jc w:val="center"/>
              <w:rPr>
                <w:rFonts w:asciiTheme="minorHAnsi" w:hAnsiTheme="minorHAnsi" w:cstheme="minorHAnsi"/>
                <w:b/>
                <w:sz w:val="18"/>
              </w:rPr>
            </w:pPr>
            <w:r w:rsidRPr="00F461FB">
              <w:rPr>
                <w:rFonts w:asciiTheme="minorHAnsi" w:hAnsiTheme="minorHAnsi" w:cstheme="minorHAnsi"/>
                <w:b/>
                <w:sz w:val="18"/>
              </w:rPr>
              <w:t>Účelový zdroj</w:t>
            </w:r>
          </w:p>
        </w:tc>
        <w:tc>
          <w:tcPr>
            <w:tcW w:w="1134" w:type="dxa"/>
            <w:shd w:val="clear" w:color="auto" w:fill="FFFF00"/>
            <w:vAlign w:val="center"/>
          </w:tcPr>
          <w:p w:rsidR="00F461FB" w:rsidRPr="00F461FB" w:rsidRDefault="00F461FB" w:rsidP="00F461FB">
            <w:pPr>
              <w:jc w:val="center"/>
              <w:rPr>
                <w:rFonts w:asciiTheme="minorHAnsi" w:hAnsiTheme="minorHAnsi" w:cstheme="minorHAnsi"/>
                <w:b/>
                <w:sz w:val="18"/>
              </w:rPr>
            </w:pPr>
            <w:r w:rsidRPr="00F461FB">
              <w:rPr>
                <w:rFonts w:asciiTheme="minorHAnsi" w:hAnsiTheme="minorHAnsi" w:cstheme="minorHAnsi"/>
                <w:b/>
                <w:sz w:val="18"/>
              </w:rPr>
              <w:t>Upravený rozpočet v tis. Kč</w:t>
            </w:r>
          </w:p>
        </w:tc>
        <w:tc>
          <w:tcPr>
            <w:tcW w:w="1134" w:type="dxa"/>
            <w:shd w:val="clear" w:color="auto" w:fill="FFFF00"/>
            <w:vAlign w:val="center"/>
          </w:tcPr>
          <w:p w:rsidR="00F461FB" w:rsidRPr="00F461FB" w:rsidRDefault="00F461FB" w:rsidP="00F461FB">
            <w:pPr>
              <w:jc w:val="center"/>
              <w:rPr>
                <w:rFonts w:asciiTheme="minorHAnsi" w:hAnsiTheme="minorHAnsi" w:cstheme="minorHAnsi"/>
                <w:b/>
                <w:sz w:val="18"/>
              </w:rPr>
            </w:pPr>
            <w:r w:rsidRPr="00F461FB">
              <w:rPr>
                <w:rFonts w:asciiTheme="minorHAnsi" w:hAnsiTheme="minorHAnsi" w:cstheme="minorHAnsi"/>
                <w:b/>
                <w:sz w:val="18"/>
              </w:rPr>
              <w:t>Skutečnost v tis. Kč</w:t>
            </w:r>
          </w:p>
        </w:tc>
        <w:tc>
          <w:tcPr>
            <w:tcW w:w="3433" w:type="dxa"/>
            <w:shd w:val="clear" w:color="auto" w:fill="FFFF00"/>
            <w:vAlign w:val="center"/>
          </w:tcPr>
          <w:p w:rsidR="00F461FB" w:rsidRPr="00F461FB" w:rsidRDefault="00F461FB" w:rsidP="00F461FB">
            <w:pPr>
              <w:jc w:val="center"/>
              <w:rPr>
                <w:rFonts w:asciiTheme="minorHAnsi" w:hAnsiTheme="minorHAnsi" w:cstheme="minorHAnsi"/>
                <w:b/>
                <w:sz w:val="18"/>
              </w:rPr>
            </w:pPr>
            <w:r w:rsidRPr="00F461FB">
              <w:rPr>
                <w:rFonts w:asciiTheme="minorHAnsi" w:hAnsiTheme="minorHAnsi" w:cstheme="minorHAnsi"/>
                <w:b/>
                <w:sz w:val="18"/>
              </w:rPr>
              <w:t>Komentář</w:t>
            </w:r>
          </w:p>
        </w:tc>
      </w:tr>
      <w:tr w:rsidR="00F461FB" w:rsidRPr="00F461FB" w:rsidTr="00F461FB">
        <w:tc>
          <w:tcPr>
            <w:tcW w:w="959" w:type="dxa"/>
            <w:vAlign w:val="center"/>
          </w:tcPr>
          <w:p w:rsidR="00F461FB" w:rsidRPr="00F461FB" w:rsidRDefault="00F461FB" w:rsidP="00F461FB">
            <w:pPr>
              <w:jc w:val="center"/>
              <w:rPr>
                <w:rFonts w:asciiTheme="minorHAnsi" w:hAnsiTheme="minorHAnsi" w:cstheme="minorHAnsi"/>
                <w:sz w:val="18"/>
                <w:szCs w:val="18"/>
              </w:rPr>
            </w:pPr>
            <w:r w:rsidRPr="00F461FB">
              <w:rPr>
                <w:rFonts w:asciiTheme="minorHAnsi" w:hAnsiTheme="minorHAnsi" w:cstheme="minorHAnsi"/>
                <w:sz w:val="18"/>
                <w:szCs w:val="18"/>
              </w:rPr>
              <w:t>2212</w:t>
            </w:r>
          </w:p>
        </w:tc>
        <w:tc>
          <w:tcPr>
            <w:tcW w:w="850" w:type="dxa"/>
            <w:vAlign w:val="center"/>
          </w:tcPr>
          <w:p w:rsidR="00F461FB" w:rsidRPr="00F461FB" w:rsidRDefault="00F461FB" w:rsidP="00F461FB">
            <w:pPr>
              <w:jc w:val="center"/>
              <w:rPr>
                <w:rFonts w:asciiTheme="minorHAnsi" w:hAnsiTheme="minorHAnsi" w:cstheme="minorHAnsi"/>
                <w:sz w:val="18"/>
                <w:szCs w:val="18"/>
              </w:rPr>
            </w:pPr>
            <w:r w:rsidRPr="00F461FB">
              <w:rPr>
                <w:rFonts w:asciiTheme="minorHAnsi" w:hAnsiTheme="minorHAnsi" w:cstheme="minorHAnsi"/>
                <w:sz w:val="18"/>
                <w:szCs w:val="18"/>
              </w:rPr>
              <w:t>2324</w:t>
            </w:r>
          </w:p>
        </w:tc>
        <w:tc>
          <w:tcPr>
            <w:tcW w:w="1418" w:type="dxa"/>
            <w:vAlign w:val="center"/>
          </w:tcPr>
          <w:p w:rsidR="00F461FB" w:rsidRPr="00F461FB" w:rsidRDefault="00F461FB" w:rsidP="00F461FB">
            <w:pPr>
              <w:jc w:val="center"/>
              <w:rPr>
                <w:rFonts w:asciiTheme="minorHAnsi" w:hAnsiTheme="minorHAnsi" w:cstheme="minorHAnsi"/>
                <w:sz w:val="18"/>
                <w:szCs w:val="18"/>
              </w:rPr>
            </w:pPr>
            <w:r w:rsidRPr="00F461FB">
              <w:rPr>
                <w:rFonts w:asciiTheme="minorHAnsi" w:hAnsiTheme="minorHAnsi" w:cstheme="minorHAnsi"/>
                <w:sz w:val="18"/>
                <w:szCs w:val="18"/>
              </w:rPr>
              <w:t>0600102000000</w:t>
            </w:r>
          </w:p>
        </w:tc>
        <w:tc>
          <w:tcPr>
            <w:tcW w:w="850" w:type="dxa"/>
            <w:vAlign w:val="center"/>
          </w:tcPr>
          <w:p w:rsidR="00F461FB" w:rsidRPr="00F461FB" w:rsidRDefault="00F461FB" w:rsidP="00F461FB">
            <w:pPr>
              <w:jc w:val="center"/>
              <w:rPr>
                <w:rFonts w:asciiTheme="minorHAnsi" w:hAnsiTheme="minorHAnsi" w:cstheme="minorHAnsi"/>
                <w:sz w:val="18"/>
                <w:szCs w:val="18"/>
              </w:rPr>
            </w:pPr>
          </w:p>
        </w:tc>
        <w:tc>
          <w:tcPr>
            <w:tcW w:w="1134" w:type="dxa"/>
            <w:vAlign w:val="center"/>
          </w:tcPr>
          <w:p w:rsidR="00F461FB" w:rsidRPr="00F461FB" w:rsidRDefault="00F461FB" w:rsidP="00F461FB">
            <w:pPr>
              <w:jc w:val="right"/>
              <w:rPr>
                <w:rFonts w:asciiTheme="minorHAnsi" w:hAnsiTheme="minorHAnsi" w:cstheme="minorHAnsi"/>
                <w:sz w:val="18"/>
                <w:szCs w:val="18"/>
              </w:rPr>
            </w:pPr>
            <w:r w:rsidRPr="00F461FB">
              <w:rPr>
                <w:rFonts w:asciiTheme="minorHAnsi" w:hAnsiTheme="minorHAnsi" w:cstheme="minorHAnsi"/>
                <w:sz w:val="18"/>
                <w:szCs w:val="18"/>
              </w:rPr>
              <w:t>0,00</w:t>
            </w:r>
          </w:p>
        </w:tc>
        <w:tc>
          <w:tcPr>
            <w:tcW w:w="1134" w:type="dxa"/>
            <w:vAlign w:val="center"/>
          </w:tcPr>
          <w:p w:rsidR="00F461FB" w:rsidRPr="00F461FB" w:rsidRDefault="00F461FB" w:rsidP="00F461FB">
            <w:pPr>
              <w:jc w:val="right"/>
              <w:rPr>
                <w:rFonts w:asciiTheme="minorHAnsi" w:hAnsiTheme="minorHAnsi" w:cstheme="minorHAnsi"/>
                <w:sz w:val="18"/>
                <w:szCs w:val="18"/>
              </w:rPr>
            </w:pPr>
            <w:r w:rsidRPr="00F461FB">
              <w:rPr>
                <w:rFonts w:asciiTheme="minorHAnsi" w:hAnsiTheme="minorHAnsi" w:cstheme="minorHAnsi"/>
                <w:sz w:val="18"/>
                <w:szCs w:val="18"/>
              </w:rPr>
              <w:t>192,24</w:t>
            </w:r>
          </w:p>
        </w:tc>
        <w:tc>
          <w:tcPr>
            <w:tcW w:w="3433" w:type="dxa"/>
            <w:vAlign w:val="center"/>
          </w:tcPr>
          <w:p w:rsidR="00F461FB" w:rsidRPr="00F461FB" w:rsidRDefault="00F461FB" w:rsidP="00F461FB">
            <w:pPr>
              <w:rPr>
                <w:rFonts w:asciiTheme="minorHAnsi" w:hAnsiTheme="minorHAnsi" w:cstheme="minorHAnsi"/>
                <w:b/>
                <w:sz w:val="18"/>
                <w:szCs w:val="18"/>
              </w:rPr>
            </w:pPr>
            <w:r w:rsidRPr="00F461FB">
              <w:rPr>
                <w:rFonts w:asciiTheme="minorHAnsi" w:hAnsiTheme="minorHAnsi" w:cstheme="minorHAnsi"/>
                <w:b/>
                <w:sz w:val="18"/>
                <w:szCs w:val="18"/>
              </w:rPr>
              <w:t>Rekonstrukce nám. Spojenců</w:t>
            </w:r>
          </w:p>
          <w:p w:rsidR="00F461FB" w:rsidRPr="00F461FB" w:rsidRDefault="00F461FB" w:rsidP="00F461FB">
            <w:pPr>
              <w:rPr>
                <w:rFonts w:asciiTheme="minorHAnsi" w:hAnsiTheme="minorHAnsi" w:cstheme="minorHAnsi"/>
                <w:sz w:val="18"/>
                <w:szCs w:val="18"/>
              </w:rPr>
            </w:pPr>
            <w:r w:rsidRPr="00F461FB">
              <w:rPr>
                <w:rFonts w:asciiTheme="minorHAnsi" w:hAnsiTheme="minorHAnsi" w:cstheme="minorHAnsi"/>
                <w:sz w:val="18"/>
                <w:szCs w:val="18"/>
              </w:rPr>
              <w:t>Přeplatek přeložky EG.D (po vyúčtování)</w:t>
            </w:r>
          </w:p>
        </w:tc>
      </w:tr>
      <w:tr w:rsidR="00F461FB" w:rsidRPr="00F461FB" w:rsidTr="00F461FB">
        <w:tc>
          <w:tcPr>
            <w:tcW w:w="959" w:type="dxa"/>
            <w:vAlign w:val="center"/>
          </w:tcPr>
          <w:p w:rsidR="00F461FB" w:rsidRPr="00F461FB" w:rsidRDefault="00F461FB" w:rsidP="00F461FB">
            <w:pPr>
              <w:jc w:val="center"/>
              <w:rPr>
                <w:rFonts w:asciiTheme="minorHAnsi" w:hAnsiTheme="minorHAnsi" w:cstheme="minorHAnsi"/>
                <w:sz w:val="18"/>
                <w:szCs w:val="18"/>
              </w:rPr>
            </w:pPr>
            <w:r w:rsidRPr="00F461FB">
              <w:rPr>
                <w:rFonts w:asciiTheme="minorHAnsi" w:hAnsiTheme="minorHAnsi" w:cstheme="minorHAnsi"/>
                <w:sz w:val="18"/>
                <w:szCs w:val="18"/>
              </w:rPr>
              <w:t>2219</w:t>
            </w:r>
          </w:p>
        </w:tc>
        <w:tc>
          <w:tcPr>
            <w:tcW w:w="850" w:type="dxa"/>
            <w:vAlign w:val="center"/>
          </w:tcPr>
          <w:p w:rsidR="00F461FB" w:rsidRPr="00F461FB" w:rsidRDefault="00F461FB" w:rsidP="00F461FB">
            <w:pPr>
              <w:jc w:val="center"/>
              <w:rPr>
                <w:rFonts w:asciiTheme="minorHAnsi" w:hAnsiTheme="minorHAnsi" w:cstheme="minorHAnsi"/>
                <w:sz w:val="18"/>
                <w:szCs w:val="18"/>
              </w:rPr>
            </w:pPr>
            <w:r w:rsidRPr="00F461FB">
              <w:rPr>
                <w:rFonts w:asciiTheme="minorHAnsi" w:hAnsiTheme="minorHAnsi" w:cstheme="minorHAnsi"/>
                <w:sz w:val="18"/>
                <w:szCs w:val="18"/>
              </w:rPr>
              <w:t>2324</w:t>
            </w:r>
          </w:p>
        </w:tc>
        <w:tc>
          <w:tcPr>
            <w:tcW w:w="1418" w:type="dxa"/>
            <w:vAlign w:val="center"/>
          </w:tcPr>
          <w:p w:rsidR="00F461FB" w:rsidRPr="00F461FB" w:rsidRDefault="00F461FB" w:rsidP="00F461FB">
            <w:pPr>
              <w:jc w:val="center"/>
              <w:rPr>
                <w:rFonts w:asciiTheme="minorHAnsi" w:hAnsiTheme="minorHAnsi" w:cstheme="minorHAnsi"/>
                <w:sz w:val="18"/>
                <w:szCs w:val="18"/>
              </w:rPr>
            </w:pPr>
            <w:r w:rsidRPr="00F461FB">
              <w:rPr>
                <w:rFonts w:asciiTheme="minorHAnsi" w:hAnsiTheme="minorHAnsi" w:cstheme="minorHAnsi"/>
                <w:sz w:val="18"/>
                <w:szCs w:val="18"/>
              </w:rPr>
              <w:t>0600400000000</w:t>
            </w:r>
          </w:p>
        </w:tc>
        <w:tc>
          <w:tcPr>
            <w:tcW w:w="850" w:type="dxa"/>
            <w:vAlign w:val="center"/>
          </w:tcPr>
          <w:p w:rsidR="00F461FB" w:rsidRPr="00F461FB" w:rsidRDefault="00F461FB" w:rsidP="00F461FB">
            <w:pPr>
              <w:jc w:val="center"/>
              <w:rPr>
                <w:rFonts w:asciiTheme="minorHAnsi" w:hAnsiTheme="minorHAnsi" w:cstheme="minorHAnsi"/>
                <w:sz w:val="18"/>
                <w:szCs w:val="18"/>
              </w:rPr>
            </w:pPr>
          </w:p>
        </w:tc>
        <w:tc>
          <w:tcPr>
            <w:tcW w:w="1134" w:type="dxa"/>
            <w:vAlign w:val="center"/>
          </w:tcPr>
          <w:p w:rsidR="00F461FB" w:rsidRPr="00F461FB" w:rsidRDefault="00F461FB" w:rsidP="00F461FB">
            <w:pPr>
              <w:jc w:val="right"/>
              <w:rPr>
                <w:rFonts w:asciiTheme="minorHAnsi" w:hAnsiTheme="minorHAnsi" w:cstheme="minorHAnsi"/>
                <w:sz w:val="18"/>
                <w:szCs w:val="18"/>
              </w:rPr>
            </w:pPr>
            <w:r w:rsidRPr="00F461FB">
              <w:rPr>
                <w:rFonts w:asciiTheme="minorHAnsi" w:hAnsiTheme="minorHAnsi" w:cstheme="minorHAnsi"/>
                <w:sz w:val="18"/>
                <w:szCs w:val="18"/>
              </w:rPr>
              <w:t>0,00</w:t>
            </w:r>
          </w:p>
        </w:tc>
        <w:tc>
          <w:tcPr>
            <w:tcW w:w="1134" w:type="dxa"/>
            <w:vAlign w:val="center"/>
          </w:tcPr>
          <w:p w:rsidR="00F461FB" w:rsidRPr="00F461FB" w:rsidRDefault="00F461FB" w:rsidP="00F461FB">
            <w:pPr>
              <w:jc w:val="right"/>
              <w:rPr>
                <w:rFonts w:asciiTheme="minorHAnsi" w:hAnsiTheme="minorHAnsi" w:cstheme="minorHAnsi"/>
                <w:sz w:val="18"/>
                <w:szCs w:val="18"/>
              </w:rPr>
            </w:pPr>
            <w:r w:rsidRPr="00F461FB">
              <w:rPr>
                <w:rFonts w:asciiTheme="minorHAnsi" w:hAnsiTheme="minorHAnsi" w:cstheme="minorHAnsi"/>
                <w:sz w:val="18"/>
                <w:szCs w:val="18"/>
              </w:rPr>
              <w:t>128,15</w:t>
            </w:r>
          </w:p>
        </w:tc>
        <w:tc>
          <w:tcPr>
            <w:tcW w:w="3433" w:type="dxa"/>
            <w:vAlign w:val="center"/>
          </w:tcPr>
          <w:p w:rsidR="00F461FB" w:rsidRPr="00F461FB" w:rsidRDefault="00F461FB" w:rsidP="00F461FB">
            <w:pPr>
              <w:rPr>
                <w:rFonts w:asciiTheme="minorHAnsi" w:hAnsiTheme="minorHAnsi" w:cstheme="minorHAnsi"/>
                <w:b/>
                <w:sz w:val="18"/>
                <w:szCs w:val="18"/>
              </w:rPr>
            </w:pPr>
            <w:r w:rsidRPr="00F461FB">
              <w:rPr>
                <w:rFonts w:asciiTheme="minorHAnsi" w:hAnsiTheme="minorHAnsi" w:cstheme="minorHAnsi"/>
                <w:b/>
                <w:sz w:val="18"/>
                <w:szCs w:val="18"/>
              </w:rPr>
              <w:t xml:space="preserve">CS Martinákova. Pod Kosířem </w:t>
            </w:r>
          </w:p>
          <w:p w:rsidR="00F461FB" w:rsidRPr="00F461FB" w:rsidRDefault="00F461FB" w:rsidP="00F461FB">
            <w:pPr>
              <w:rPr>
                <w:rFonts w:asciiTheme="minorHAnsi" w:hAnsiTheme="minorHAnsi" w:cstheme="minorHAnsi"/>
                <w:sz w:val="18"/>
                <w:szCs w:val="18"/>
              </w:rPr>
            </w:pPr>
            <w:r w:rsidRPr="00F461FB">
              <w:rPr>
                <w:rFonts w:asciiTheme="minorHAnsi" w:hAnsiTheme="minorHAnsi" w:cstheme="minorHAnsi"/>
                <w:sz w:val="18"/>
                <w:szCs w:val="18"/>
              </w:rPr>
              <w:t>Přeplatek přeložky EG.D (po vyúčtování)</w:t>
            </w:r>
          </w:p>
        </w:tc>
      </w:tr>
      <w:tr w:rsidR="00F461FB" w:rsidRPr="00F461FB" w:rsidTr="00F461FB">
        <w:tc>
          <w:tcPr>
            <w:tcW w:w="959" w:type="dxa"/>
            <w:vAlign w:val="center"/>
          </w:tcPr>
          <w:p w:rsidR="00F461FB" w:rsidRPr="00F461FB" w:rsidRDefault="00F461FB" w:rsidP="00F461FB">
            <w:pPr>
              <w:jc w:val="center"/>
              <w:rPr>
                <w:rFonts w:asciiTheme="minorHAnsi" w:hAnsiTheme="minorHAnsi" w:cstheme="minorHAnsi"/>
                <w:sz w:val="18"/>
                <w:szCs w:val="18"/>
              </w:rPr>
            </w:pPr>
            <w:r w:rsidRPr="00F461FB">
              <w:rPr>
                <w:rFonts w:asciiTheme="minorHAnsi" w:hAnsiTheme="minorHAnsi" w:cstheme="minorHAnsi"/>
                <w:sz w:val="18"/>
                <w:szCs w:val="18"/>
              </w:rPr>
              <w:t>2219</w:t>
            </w:r>
          </w:p>
        </w:tc>
        <w:tc>
          <w:tcPr>
            <w:tcW w:w="850" w:type="dxa"/>
            <w:vAlign w:val="center"/>
          </w:tcPr>
          <w:p w:rsidR="00F461FB" w:rsidRPr="00F461FB" w:rsidRDefault="00F461FB" w:rsidP="00F461FB">
            <w:pPr>
              <w:jc w:val="center"/>
              <w:rPr>
                <w:rFonts w:asciiTheme="minorHAnsi" w:hAnsiTheme="minorHAnsi" w:cstheme="minorHAnsi"/>
                <w:sz w:val="18"/>
                <w:szCs w:val="18"/>
              </w:rPr>
            </w:pPr>
            <w:r w:rsidRPr="00F461FB">
              <w:rPr>
                <w:rFonts w:asciiTheme="minorHAnsi" w:hAnsiTheme="minorHAnsi" w:cstheme="minorHAnsi"/>
                <w:sz w:val="18"/>
                <w:szCs w:val="18"/>
              </w:rPr>
              <w:t>2324</w:t>
            </w:r>
          </w:p>
        </w:tc>
        <w:tc>
          <w:tcPr>
            <w:tcW w:w="1418" w:type="dxa"/>
            <w:vAlign w:val="center"/>
          </w:tcPr>
          <w:p w:rsidR="00F461FB" w:rsidRPr="00F461FB" w:rsidRDefault="00F461FB" w:rsidP="00F461FB">
            <w:pPr>
              <w:jc w:val="center"/>
              <w:rPr>
                <w:rFonts w:asciiTheme="minorHAnsi" w:hAnsiTheme="minorHAnsi" w:cstheme="minorHAnsi"/>
                <w:sz w:val="18"/>
                <w:szCs w:val="18"/>
              </w:rPr>
            </w:pPr>
            <w:r w:rsidRPr="00F461FB">
              <w:rPr>
                <w:rFonts w:asciiTheme="minorHAnsi" w:hAnsiTheme="minorHAnsi" w:cstheme="minorHAnsi"/>
                <w:sz w:val="18"/>
                <w:szCs w:val="18"/>
              </w:rPr>
              <w:t>0600538000000</w:t>
            </w:r>
          </w:p>
        </w:tc>
        <w:tc>
          <w:tcPr>
            <w:tcW w:w="850" w:type="dxa"/>
            <w:vAlign w:val="center"/>
          </w:tcPr>
          <w:p w:rsidR="00F461FB" w:rsidRPr="00F461FB" w:rsidRDefault="00F461FB" w:rsidP="00F461FB">
            <w:pPr>
              <w:jc w:val="center"/>
              <w:rPr>
                <w:rFonts w:asciiTheme="minorHAnsi" w:hAnsiTheme="minorHAnsi" w:cstheme="minorHAnsi"/>
                <w:sz w:val="18"/>
                <w:szCs w:val="18"/>
              </w:rPr>
            </w:pPr>
          </w:p>
        </w:tc>
        <w:tc>
          <w:tcPr>
            <w:tcW w:w="1134" w:type="dxa"/>
            <w:vAlign w:val="center"/>
          </w:tcPr>
          <w:p w:rsidR="00F461FB" w:rsidRPr="00F461FB" w:rsidRDefault="00F461FB" w:rsidP="00F461FB">
            <w:pPr>
              <w:jc w:val="right"/>
              <w:rPr>
                <w:rFonts w:asciiTheme="minorHAnsi" w:hAnsiTheme="minorHAnsi" w:cstheme="minorHAnsi"/>
                <w:sz w:val="18"/>
                <w:szCs w:val="18"/>
              </w:rPr>
            </w:pPr>
            <w:r w:rsidRPr="00F461FB">
              <w:rPr>
                <w:rFonts w:asciiTheme="minorHAnsi" w:hAnsiTheme="minorHAnsi" w:cstheme="minorHAnsi"/>
                <w:sz w:val="18"/>
                <w:szCs w:val="18"/>
              </w:rPr>
              <w:t>0,00</w:t>
            </w:r>
          </w:p>
        </w:tc>
        <w:tc>
          <w:tcPr>
            <w:tcW w:w="1134" w:type="dxa"/>
            <w:vAlign w:val="center"/>
          </w:tcPr>
          <w:p w:rsidR="00F461FB" w:rsidRPr="00F461FB" w:rsidRDefault="00F461FB" w:rsidP="00F461FB">
            <w:pPr>
              <w:jc w:val="right"/>
              <w:rPr>
                <w:rFonts w:asciiTheme="minorHAnsi" w:hAnsiTheme="minorHAnsi" w:cstheme="minorHAnsi"/>
                <w:sz w:val="18"/>
                <w:szCs w:val="18"/>
              </w:rPr>
            </w:pPr>
            <w:r w:rsidRPr="00F461FB">
              <w:rPr>
                <w:rFonts w:asciiTheme="minorHAnsi" w:hAnsiTheme="minorHAnsi" w:cstheme="minorHAnsi"/>
                <w:sz w:val="18"/>
                <w:szCs w:val="18"/>
              </w:rPr>
              <w:t>44,27</w:t>
            </w:r>
          </w:p>
        </w:tc>
        <w:tc>
          <w:tcPr>
            <w:tcW w:w="3433" w:type="dxa"/>
            <w:vAlign w:val="center"/>
          </w:tcPr>
          <w:p w:rsidR="00F461FB" w:rsidRPr="00F461FB" w:rsidRDefault="00F461FB" w:rsidP="00F461FB">
            <w:pPr>
              <w:rPr>
                <w:rFonts w:asciiTheme="minorHAnsi" w:hAnsiTheme="minorHAnsi" w:cstheme="minorHAnsi"/>
                <w:b/>
                <w:sz w:val="18"/>
                <w:szCs w:val="18"/>
              </w:rPr>
            </w:pPr>
            <w:r w:rsidRPr="00F461FB">
              <w:rPr>
                <w:rFonts w:asciiTheme="minorHAnsi" w:hAnsiTheme="minorHAnsi" w:cstheme="minorHAnsi"/>
                <w:b/>
                <w:sz w:val="18"/>
                <w:szCs w:val="18"/>
              </w:rPr>
              <w:t>Rekonstrukce ulice Vrahovická</w:t>
            </w:r>
          </w:p>
          <w:p w:rsidR="00F461FB" w:rsidRPr="00F461FB" w:rsidRDefault="00F461FB" w:rsidP="00F461FB">
            <w:pPr>
              <w:rPr>
                <w:rFonts w:asciiTheme="minorHAnsi" w:hAnsiTheme="minorHAnsi" w:cstheme="minorHAnsi"/>
                <w:sz w:val="18"/>
                <w:szCs w:val="18"/>
              </w:rPr>
            </w:pPr>
            <w:r w:rsidRPr="00F461FB">
              <w:rPr>
                <w:rFonts w:asciiTheme="minorHAnsi" w:hAnsiTheme="minorHAnsi" w:cstheme="minorHAnsi"/>
                <w:sz w:val="18"/>
                <w:szCs w:val="18"/>
              </w:rPr>
              <w:t>Přeplatek přeložky EG.D (po vyúčtování)</w:t>
            </w:r>
          </w:p>
        </w:tc>
      </w:tr>
      <w:tr w:rsidR="00F461FB" w:rsidRPr="00F461FB" w:rsidTr="00F461FB">
        <w:trPr>
          <w:trHeight w:val="284"/>
        </w:trPr>
        <w:tc>
          <w:tcPr>
            <w:tcW w:w="959" w:type="dxa"/>
            <w:vAlign w:val="center"/>
          </w:tcPr>
          <w:p w:rsidR="00F461FB" w:rsidRPr="00F461FB" w:rsidRDefault="00F461FB" w:rsidP="00F461FB">
            <w:pPr>
              <w:jc w:val="center"/>
              <w:rPr>
                <w:rFonts w:asciiTheme="minorHAnsi" w:hAnsiTheme="minorHAnsi" w:cstheme="minorHAnsi"/>
                <w:sz w:val="18"/>
              </w:rPr>
            </w:pPr>
          </w:p>
        </w:tc>
        <w:tc>
          <w:tcPr>
            <w:tcW w:w="850" w:type="dxa"/>
            <w:vAlign w:val="center"/>
          </w:tcPr>
          <w:p w:rsidR="00F461FB" w:rsidRPr="00F461FB" w:rsidRDefault="00F461FB" w:rsidP="00F461FB">
            <w:pPr>
              <w:jc w:val="center"/>
              <w:rPr>
                <w:rFonts w:asciiTheme="minorHAnsi" w:hAnsiTheme="minorHAnsi" w:cstheme="minorHAnsi"/>
                <w:sz w:val="18"/>
              </w:rPr>
            </w:pPr>
            <w:r w:rsidRPr="00F461FB">
              <w:rPr>
                <w:rFonts w:asciiTheme="minorHAnsi" w:hAnsiTheme="minorHAnsi" w:cstheme="minorHAnsi"/>
                <w:sz w:val="18"/>
              </w:rPr>
              <w:t>4216</w:t>
            </w:r>
          </w:p>
        </w:tc>
        <w:tc>
          <w:tcPr>
            <w:tcW w:w="1418" w:type="dxa"/>
            <w:vAlign w:val="center"/>
          </w:tcPr>
          <w:p w:rsidR="00F461FB" w:rsidRPr="00F461FB" w:rsidRDefault="00F461FB" w:rsidP="00F461FB">
            <w:pPr>
              <w:jc w:val="center"/>
              <w:rPr>
                <w:rFonts w:asciiTheme="minorHAnsi" w:hAnsiTheme="minorHAnsi" w:cstheme="minorHAnsi"/>
                <w:sz w:val="18"/>
              </w:rPr>
            </w:pPr>
            <w:r w:rsidRPr="00F461FB">
              <w:rPr>
                <w:rFonts w:asciiTheme="minorHAnsi" w:hAnsiTheme="minorHAnsi" w:cstheme="minorHAnsi"/>
                <w:sz w:val="18"/>
              </w:rPr>
              <w:t>0600637000000</w:t>
            </w:r>
          </w:p>
        </w:tc>
        <w:tc>
          <w:tcPr>
            <w:tcW w:w="850" w:type="dxa"/>
            <w:vAlign w:val="center"/>
          </w:tcPr>
          <w:p w:rsidR="00F461FB" w:rsidRPr="00F461FB" w:rsidRDefault="00F461FB" w:rsidP="00F461FB">
            <w:pPr>
              <w:rPr>
                <w:rFonts w:asciiTheme="minorHAnsi" w:hAnsiTheme="minorHAnsi" w:cstheme="minorHAnsi"/>
                <w:sz w:val="18"/>
              </w:rPr>
            </w:pPr>
          </w:p>
        </w:tc>
        <w:tc>
          <w:tcPr>
            <w:tcW w:w="1134" w:type="dxa"/>
            <w:vAlign w:val="center"/>
          </w:tcPr>
          <w:p w:rsidR="00F461FB" w:rsidRPr="00F461FB" w:rsidRDefault="006051D7" w:rsidP="00F461FB">
            <w:pPr>
              <w:jc w:val="right"/>
              <w:rPr>
                <w:rFonts w:asciiTheme="minorHAnsi" w:hAnsiTheme="minorHAnsi" w:cstheme="minorHAnsi"/>
                <w:sz w:val="18"/>
              </w:rPr>
            </w:pPr>
            <w:r>
              <w:rPr>
                <w:rFonts w:asciiTheme="minorHAnsi" w:hAnsiTheme="minorHAnsi" w:cstheme="minorHAnsi"/>
                <w:sz w:val="18"/>
              </w:rPr>
              <w:t xml:space="preserve">9 </w:t>
            </w:r>
            <w:r w:rsidR="00F461FB" w:rsidRPr="00F461FB">
              <w:rPr>
                <w:rFonts w:asciiTheme="minorHAnsi" w:hAnsiTheme="minorHAnsi" w:cstheme="minorHAnsi"/>
                <w:sz w:val="18"/>
              </w:rPr>
              <w:t>467,49</w:t>
            </w:r>
          </w:p>
        </w:tc>
        <w:tc>
          <w:tcPr>
            <w:tcW w:w="1134" w:type="dxa"/>
            <w:vAlign w:val="center"/>
          </w:tcPr>
          <w:p w:rsidR="00F461FB" w:rsidRPr="00F461FB" w:rsidRDefault="00F461FB" w:rsidP="00F461FB">
            <w:pPr>
              <w:jc w:val="right"/>
              <w:rPr>
                <w:rFonts w:asciiTheme="minorHAnsi" w:hAnsiTheme="minorHAnsi" w:cstheme="minorHAnsi"/>
                <w:sz w:val="18"/>
              </w:rPr>
            </w:pPr>
            <w:r w:rsidRPr="00F461FB">
              <w:rPr>
                <w:rFonts w:asciiTheme="minorHAnsi" w:hAnsiTheme="minorHAnsi" w:cstheme="minorHAnsi"/>
                <w:sz w:val="18"/>
              </w:rPr>
              <w:t>0,00</w:t>
            </w:r>
          </w:p>
        </w:tc>
        <w:tc>
          <w:tcPr>
            <w:tcW w:w="3433" w:type="dxa"/>
            <w:vAlign w:val="center"/>
          </w:tcPr>
          <w:p w:rsidR="00F461FB" w:rsidRPr="00F461FB" w:rsidRDefault="00F461FB" w:rsidP="00F461FB">
            <w:pPr>
              <w:jc w:val="both"/>
              <w:rPr>
                <w:rFonts w:asciiTheme="minorHAnsi" w:hAnsiTheme="minorHAnsi" w:cstheme="minorHAnsi"/>
                <w:b/>
                <w:sz w:val="18"/>
              </w:rPr>
            </w:pPr>
            <w:r w:rsidRPr="00F461FB">
              <w:rPr>
                <w:rFonts w:asciiTheme="minorHAnsi" w:hAnsiTheme="minorHAnsi" w:cstheme="minorHAnsi"/>
                <w:b/>
                <w:sz w:val="18"/>
              </w:rPr>
              <w:t xml:space="preserve">EÚO BD Norská 4224/3 </w:t>
            </w:r>
          </w:p>
          <w:p w:rsidR="00F461FB" w:rsidRPr="00F461FB" w:rsidRDefault="00F461FB" w:rsidP="00F461FB">
            <w:pPr>
              <w:jc w:val="both"/>
              <w:rPr>
                <w:rFonts w:asciiTheme="minorHAnsi" w:hAnsiTheme="minorHAnsi" w:cstheme="minorHAnsi"/>
                <w:b/>
                <w:sz w:val="18"/>
              </w:rPr>
            </w:pPr>
            <w:r w:rsidRPr="00F461FB">
              <w:rPr>
                <w:rFonts w:asciiTheme="minorHAnsi" w:hAnsiTheme="minorHAnsi" w:cstheme="minorHAnsi"/>
                <w:sz w:val="18"/>
              </w:rPr>
              <w:t>–    přijetí dotace z MMR (platba ex-post)</w:t>
            </w:r>
          </w:p>
        </w:tc>
      </w:tr>
      <w:tr w:rsidR="00F461FB" w:rsidRPr="00F461FB" w:rsidTr="00F461FB">
        <w:trPr>
          <w:trHeight w:val="284"/>
        </w:trPr>
        <w:tc>
          <w:tcPr>
            <w:tcW w:w="959" w:type="dxa"/>
            <w:vAlign w:val="center"/>
          </w:tcPr>
          <w:p w:rsidR="00F461FB" w:rsidRPr="00F461FB" w:rsidRDefault="00F461FB" w:rsidP="00F461FB">
            <w:pPr>
              <w:jc w:val="center"/>
              <w:rPr>
                <w:rFonts w:asciiTheme="minorHAnsi" w:hAnsiTheme="minorHAnsi" w:cstheme="minorHAnsi"/>
                <w:sz w:val="18"/>
              </w:rPr>
            </w:pPr>
          </w:p>
        </w:tc>
        <w:tc>
          <w:tcPr>
            <w:tcW w:w="850" w:type="dxa"/>
            <w:vAlign w:val="center"/>
          </w:tcPr>
          <w:p w:rsidR="00F461FB" w:rsidRPr="00F461FB" w:rsidRDefault="00F461FB" w:rsidP="00F461FB">
            <w:pPr>
              <w:jc w:val="center"/>
              <w:rPr>
                <w:rFonts w:asciiTheme="minorHAnsi" w:hAnsiTheme="minorHAnsi" w:cstheme="minorHAnsi"/>
                <w:sz w:val="18"/>
              </w:rPr>
            </w:pPr>
            <w:r w:rsidRPr="00F461FB">
              <w:rPr>
                <w:rFonts w:asciiTheme="minorHAnsi" w:hAnsiTheme="minorHAnsi" w:cstheme="minorHAnsi"/>
                <w:sz w:val="18"/>
              </w:rPr>
              <w:t>4216</w:t>
            </w:r>
          </w:p>
        </w:tc>
        <w:tc>
          <w:tcPr>
            <w:tcW w:w="1418" w:type="dxa"/>
            <w:vAlign w:val="center"/>
          </w:tcPr>
          <w:p w:rsidR="00F461FB" w:rsidRPr="00F461FB" w:rsidRDefault="00F461FB" w:rsidP="00F461FB">
            <w:pPr>
              <w:jc w:val="center"/>
              <w:rPr>
                <w:rFonts w:asciiTheme="minorHAnsi" w:hAnsiTheme="minorHAnsi" w:cstheme="minorHAnsi"/>
                <w:sz w:val="18"/>
              </w:rPr>
            </w:pPr>
            <w:r w:rsidRPr="00F461FB">
              <w:rPr>
                <w:rFonts w:asciiTheme="minorHAnsi" w:hAnsiTheme="minorHAnsi" w:cstheme="minorHAnsi"/>
                <w:sz w:val="18"/>
              </w:rPr>
              <w:t>0600740000000</w:t>
            </w:r>
          </w:p>
        </w:tc>
        <w:tc>
          <w:tcPr>
            <w:tcW w:w="850" w:type="dxa"/>
            <w:vAlign w:val="center"/>
          </w:tcPr>
          <w:p w:rsidR="00F461FB" w:rsidRPr="00F461FB" w:rsidRDefault="00F461FB" w:rsidP="00F461FB">
            <w:pPr>
              <w:rPr>
                <w:rFonts w:asciiTheme="minorHAnsi" w:hAnsiTheme="minorHAnsi" w:cstheme="minorHAnsi"/>
                <w:sz w:val="18"/>
              </w:rPr>
            </w:pPr>
          </w:p>
        </w:tc>
        <w:tc>
          <w:tcPr>
            <w:tcW w:w="1134" w:type="dxa"/>
            <w:vAlign w:val="center"/>
          </w:tcPr>
          <w:p w:rsidR="00F461FB" w:rsidRPr="00F461FB" w:rsidRDefault="006051D7" w:rsidP="00F461FB">
            <w:pPr>
              <w:jc w:val="right"/>
              <w:rPr>
                <w:rFonts w:asciiTheme="minorHAnsi" w:hAnsiTheme="minorHAnsi" w:cstheme="minorHAnsi"/>
                <w:sz w:val="18"/>
              </w:rPr>
            </w:pPr>
            <w:r>
              <w:rPr>
                <w:rFonts w:asciiTheme="minorHAnsi" w:hAnsiTheme="minorHAnsi" w:cstheme="minorHAnsi"/>
                <w:sz w:val="18"/>
              </w:rPr>
              <w:t xml:space="preserve">4 </w:t>
            </w:r>
            <w:r w:rsidR="00F461FB" w:rsidRPr="00F461FB">
              <w:rPr>
                <w:rFonts w:asciiTheme="minorHAnsi" w:hAnsiTheme="minorHAnsi" w:cstheme="minorHAnsi"/>
                <w:sz w:val="18"/>
              </w:rPr>
              <w:t>497,11</w:t>
            </w:r>
          </w:p>
        </w:tc>
        <w:tc>
          <w:tcPr>
            <w:tcW w:w="1134" w:type="dxa"/>
            <w:vAlign w:val="center"/>
          </w:tcPr>
          <w:p w:rsidR="00F461FB" w:rsidRPr="00F461FB" w:rsidRDefault="00F461FB" w:rsidP="00F461FB">
            <w:pPr>
              <w:jc w:val="right"/>
              <w:rPr>
                <w:rFonts w:asciiTheme="minorHAnsi" w:hAnsiTheme="minorHAnsi" w:cstheme="minorHAnsi"/>
                <w:sz w:val="18"/>
              </w:rPr>
            </w:pPr>
            <w:r w:rsidRPr="00F461FB">
              <w:rPr>
                <w:rFonts w:asciiTheme="minorHAnsi" w:hAnsiTheme="minorHAnsi" w:cstheme="minorHAnsi"/>
                <w:sz w:val="18"/>
              </w:rPr>
              <w:t>0,00</w:t>
            </w:r>
          </w:p>
        </w:tc>
        <w:tc>
          <w:tcPr>
            <w:tcW w:w="3433" w:type="dxa"/>
            <w:vAlign w:val="center"/>
          </w:tcPr>
          <w:p w:rsidR="00F461FB" w:rsidRPr="00F461FB" w:rsidRDefault="00F461FB" w:rsidP="00F461FB">
            <w:pPr>
              <w:jc w:val="both"/>
              <w:rPr>
                <w:rFonts w:asciiTheme="minorHAnsi" w:hAnsiTheme="minorHAnsi" w:cstheme="minorHAnsi"/>
                <w:b/>
                <w:sz w:val="18"/>
              </w:rPr>
            </w:pPr>
            <w:r w:rsidRPr="00F461FB">
              <w:rPr>
                <w:rFonts w:asciiTheme="minorHAnsi" w:hAnsiTheme="minorHAnsi" w:cstheme="minorHAnsi"/>
                <w:b/>
                <w:sz w:val="18"/>
              </w:rPr>
              <w:t xml:space="preserve">EÚO BD Finská 4190/9 </w:t>
            </w:r>
          </w:p>
          <w:p w:rsidR="00F461FB" w:rsidRPr="00F461FB" w:rsidRDefault="00F461FB" w:rsidP="00F461FB">
            <w:pPr>
              <w:jc w:val="both"/>
              <w:rPr>
                <w:rFonts w:asciiTheme="minorHAnsi" w:hAnsiTheme="minorHAnsi" w:cstheme="minorHAnsi"/>
                <w:b/>
                <w:sz w:val="18"/>
              </w:rPr>
            </w:pPr>
            <w:r w:rsidRPr="00F461FB">
              <w:rPr>
                <w:rFonts w:asciiTheme="minorHAnsi" w:hAnsiTheme="minorHAnsi" w:cstheme="minorHAnsi"/>
                <w:sz w:val="18"/>
              </w:rPr>
              <w:t>– rozhodnutí o přijetí dotace z MMR (čerpání 2023)</w:t>
            </w:r>
          </w:p>
        </w:tc>
      </w:tr>
    </w:tbl>
    <w:p w:rsidR="00F461FB" w:rsidRPr="00F461FB" w:rsidRDefault="00F461FB" w:rsidP="00F461FB">
      <w:pPr>
        <w:rPr>
          <w:rFonts w:asciiTheme="minorHAnsi" w:hAnsiTheme="minorHAnsi" w:cstheme="minorHAnsi"/>
          <w:b/>
          <w:sz w:val="18"/>
        </w:rPr>
      </w:pPr>
    </w:p>
    <w:p w:rsidR="00F461FB" w:rsidRPr="00F461FB" w:rsidRDefault="00F461FB" w:rsidP="00F461FB">
      <w:pPr>
        <w:rPr>
          <w:rFonts w:asciiTheme="minorHAnsi" w:hAnsiTheme="minorHAnsi" w:cstheme="minorHAnsi"/>
          <w:b/>
          <w:u w:val="single"/>
        </w:rPr>
      </w:pPr>
      <w:r w:rsidRPr="00F461FB">
        <w:rPr>
          <w:rFonts w:asciiTheme="minorHAnsi" w:hAnsiTheme="minorHAnsi" w:cstheme="minorHAnsi"/>
          <w:b/>
          <w:u w:val="single"/>
        </w:rPr>
        <w:t>Rozbor plnění výdajů rozpočtu kapitoly</w:t>
      </w:r>
    </w:p>
    <w:p w:rsidR="00F461FB" w:rsidRPr="00F461FB" w:rsidRDefault="00F461FB" w:rsidP="00F461FB">
      <w:pPr>
        <w:rPr>
          <w:rFonts w:asciiTheme="minorHAnsi" w:hAnsiTheme="minorHAnsi" w:cstheme="minorHAnsi"/>
          <w:b/>
          <w:sz w:val="18"/>
        </w:rPr>
      </w:pPr>
    </w:p>
    <w:tbl>
      <w:tblPr>
        <w:tblStyle w:val="Mkatabulky"/>
        <w:tblW w:w="9776" w:type="dxa"/>
        <w:tblLook w:val="04A0" w:firstRow="1" w:lastRow="0" w:firstColumn="1" w:lastColumn="0" w:noHBand="0" w:noVBand="1"/>
      </w:tblPr>
      <w:tblGrid>
        <w:gridCol w:w="2407"/>
        <w:gridCol w:w="2409"/>
        <w:gridCol w:w="1162"/>
        <w:gridCol w:w="3798"/>
      </w:tblGrid>
      <w:tr w:rsidR="00F461FB" w:rsidRPr="00F461FB" w:rsidTr="00F461FB">
        <w:trPr>
          <w:trHeight w:val="284"/>
        </w:trPr>
        <w:tc>
          <w:tcPr>
            <w:tcW w:w="2407" w:type="dxa"/>
            <w:shd w:val="clear" w:color="auto" w:fill="FFC000"/>
            <w:vAlign w:val="center"/>
          </w:tcPr>
          <w:p w:rsidR="00F461FB" w:rsidRPr="00F461FB" w:rsidRDefault="00F461FB" w:rsidP="00F461FB">
            <w:pPr>
              <w:jc w:val="center"/>
              <w:rPr>
                <w:rFonts w:asciiTheme="minorHAnsi" w:hAnsiTheme="minorHAnsi" w:cstheme="minorHAnsi"/>
                <w:b/>
                <w:sz w:val="18"/>
              </w:rPr>
            </w:pPr>
            <w:r w:rsidRPr="00F461FB">
              <w:rPr>
                <w:rFonts w:asciiTheme="minorHAnsi" w:hAnsiTheme="minorHAnsi" w:cstheme="minorHAnsi"/>
                <w:b/>
                <w:sz w:val="18"/>
              </w:rPr>
              <w:t>Rozpočet upravený v tis. Kč</w:t>
            </w:r>
          </w:p>
        </w:tc>
        <w:tc>
          <w:tcPr>
            <w:tcW w:w="2409" w:type="dxa"/>
            <w:shd w:val="clear" w:color="auto" w:fill="FFC000"/>
            <w:vAlign w:val="center"/>
          </w:tcPr>
          <w:p w:rsidR="00F461FB" w:rsidRPr="00F461FB" w:rsidRDefault="00F461FB" w:rsidP="00F461FB">
            <w:pPr>
              <w:jc w:val="center"/>
              <w:rPr>
                <w:rFonts w:asciiTheme="minorHAnsi" w:hAnsiTheme="minorHAnsi" w:cstheme="minorHAnsi"/>
                <w:b/>
                <w:sz w:val="18"/>
              </w:rPr>
            </w:pPr>
            <w:r w:rsidRPr="00F461FB">
              <w:rPr>
                <w:rFonts w:asciiTheme="minorHAnsi" w:hAnsiTheme="minorHAnsi" w:cstheme="minorHAnsi"/>
                <w:b/>
                <w:sz w:val="18"/>
              </w:rPr>
              <w:t>Skutečnost v tis. Kč</w:t>
            </w:r>
          </w:p>
        </w:tc>
        <w:tc>
          <w:tcPr>
            <w:tcW w:w="1162" w:type="dxa"/>
            <w:shd w:val="clear" w:color="auto" w:fill="FFC000"/>
            <w:vAlign w:val="center"/>
          </w:tcPr>
          <w:p w:rsidR="00F461FB" w:rsidRPr="00F461FB" w:rsidRDefault="00F461FB" w:rsidP="00F461FB">
            <w:pPr>
              <w:jc w:val="center"/>
              <w:rPr>
                <w:rFonts w:asciiTheme="minorHAnsi" w:hAnsiTheme="minorHAnsi" w:cstheme="minorHAnsi"/>
                <w:b/>
                <w:sz w:val="18"/>
              </w:rPr>
            </w:pPr>
            <w:r w:rsidRPr="00F461FB">
              <w:rPr>
                <w:rFonts w:asciiTheme="minorHAnsi" w:hAnsiTheme="minorHAnsi" w:cstheme="minorHAnsi"/>
                <w:b/>
                <w:sz w:val="18"/>
              </w:rPr>
              <w:t>SK/RU v %</w:t>
            </w:r>
          </w:p>
        </w:tc>
        <w:tc>
          <w:tcPr>
            <w:tcW w:w="3798" w:type="dxa"/>
            <w:shd w:val="clear" w:color="auto" w:fill="FFC000"/>
            <w:vAlign w:val="center"/>
          </w:tcPr>
          <w:p w:rsidR="00F461FB" w:rsidRPr="00F461FB" w:rsidRDefault="00F461FB" w:rsidP="00F461FB">
            <w:pPr>
              <w:jc w:val="center"/>
              <w:rPr>
                <w:rFonts w:asciiTheme="minorHAnsi" w:hAnsiTheme="minorHAnsi" w:cstheme="minorHAnsi"/>
                <w:b/>
                <w:sz w:val="18"/>
              </w:rPr>
            </w:pPr>
            <w:r w:rsidRPr="00F461FB">
              <w:rPr>
                <w:rFonts w:asciiTheme="minorHAnsi" w:hAnsiTheme="minorHAnsi" w:cstheme="minorHAnsi"/>
                <w:b/>
                <w:sz w:val="18"/>
              </w:rPr>
              <w:t>Komentář</w:t>
            </w:r>
          </w:p>
        </w:tc>
      </w:tr>
      <w:tr w:rsidR="00F461FB" w:rsidRPr="00F461FB" w:rsidTr="00F461FB">
        <w:tc>
          <w:tcPr>
            <w:tcW w:w="2407" w:type="dxa"/>
          </w:tcPr>
          <w:p w:rsidR="00F461FB" w:rsidRPr="00F461FB" w:rsidRDefault="006051D7" w:rsidP="00F461FB">
            <w:pPr>
              <w:jc w:val="right"/>
              <w:rPr>
                <w:rFonts w:asciiTheme="minorHAnsi" w:hAnsiTheme="minorHAnsi" w:cstheme="minorHAnsi"/>
                <w:b/>
                <w:sz w:val="18"/>
                <w:szCs w:val="18"/>
              </w:rPr>
            </w:pPr>
            <w:r>
              <w:rPr>
                <w:rFonts w:asciiTheme="minorHAnsi" w:hAnsiTheme="minorHAnsi" w:cstheme="minorHAnsi"/>
                <w:b/>
                <w:sz w:val="18"/>
                <w:szCs w:val="18"/>
              </w:rPr>
              <w:t xml:space="preserve">278 </w:t>
            </w:r>
            <w:r w:rsidR="00F461FB" w:rsidRPr="00F461FB">
              <w:rPr>
                <w:rFonts w:asciiTheme="minorHAnsi" w:hAnsiTheme="minorHAnsi" w:cstheme="minorHAnsi"/>
                <w:b/>
                <w:sz w:val="18"/>
                <w:szCs w:val="18"/>
              </w:rPr>
              <w:t>941,14</w:t>
            </w:r>
          </w:p>
        </w:tc>
        <w:tc>
          <w:tcPr>
            <w:tcW w:w="2409" w:type="dxa"/>
          </w:tcPr>
          <w:p w:rsidR="00F461FB" w:rsidRPr="00F461FB" w:rsidRDefault="006051D7" w:rsidP="00F461FB">
            <w:pPr>
              <w:jc w:val="right"/>
              <w:rPr>
                <w:rFonts w:asciiTheme="minorHAnsi" w:hAnsiTheme="minorHAnsi" w:cstheme="minorHAnsi"/>
                <w:b/>
                <w:sz w:val="18"/>
                <w:szCs w:val="18"/>
              </w:rPr>
            </w:pPr>
            <w:r>
              <w:rPr>
                <w:rFonts w:asciiTheme="minorHAnsi" w:hAnsiTheme="minorHAnsi" w:cstheme="minorHAnsi"/>
                <w:b/>
                <w:sz w:val="18"/>
                <w:szCs w:val="18"/>
              </w:rPr>
              <w:t xml:space="preserve">255 </w:t>
            </w:r>
            <w:r w:rsidR="00F461FB" w:rsidRPr="00F461FB">
              <w:rPr>
                <w:rFonts w:asciiTheme="minorHAnsi" w:hAnsiTheme="minorHAnsi" w:cstheme="minorHAnsi"/>
                <w:b/>
                <w:sz w:val="18"/>
                <w:szCs w:val="18"/>
              </w:rPr>
              <w:t>251,36</w:t>
            </w:r>
          </w:p>
        </w:tc>
        <w:tc>
          <w:tcPr>
            <w:tcW w:w="1162" w:type="dxa"/>
          </w:tcPr>
          <w:p w:rsidR="00F461FB" w:rsidRPr="00F461FB" w:rsidRDefault="00F461FB" w:rsidP="00F461FB">
            <w:pPr>
              <w:jc w:val="right"/>
              <w:rPr>
                <w:rFonts w:asciiTheme="minorHAnsi" w:hAnsiTheme="minorHAnsi" w:cstheme="minorHAnsi"/>
                <w:b/>
                <w:sz w:val="18"/>
                <w:szCs w:val="18"/>
              </w:rPr>
            </w:pPr>
            <w:r w:rsidRPr="00F461FB">
              <w:rPr>
                <w:rFonts w:asciiTheme="minorHAnsi" w:hAnsiTheme="minorHAnsi" w:cstheme="minorHAnsi"/>
                <w:b/>
                <w:sz w:val="18"/>
                <w:szCs w:val="18"/>
              </w:rPr>
              <w:t>91,51</w:t>
            </w:r>
          </w:p>
        </w:tc>
        <w:tc>
          <w:tcPr>
            <w:tcW w:w="3798" w:type="dxa"/>
          </w:tcPr>
          <w:p w:rsidR="00F461FB" w:rsidRPr="00F461FB" w:rsidRDefault="00F461FB" w:rsidP="00F461FB">
            <w:pPr>
              <w:rPr>
                <w:rFonts w:asciiTheme="minorHAnsi" w:hAnsiTheme="minorHAnsi" w:cstheme="minorHAnsi"/>
                <w:b/>
                <w:sz w:val="18"/>
                <w:szCs w:val="18"/>
              </w:rPr>
            </w:pPr>
            <w:r w:rsidRPr="00F461FB">
              <w:rPr>
                <w:rFonts w:asciiTheme="minorHAnsi" w:hAnsiTheme="minorHAnsi" w:cstheme="minorHAnsi"/>
                <w:b/>
                <w:sz w:val="18"/>
                <w:szCs w:val="18"/>
              </w:rPr>
              <w:t>Výdaje</w:t>
            </w:r>
          </w:p>
        </w:tc>
      </w:tr>
    </w:tbl>
    <w:p w:rsidR="00F461FB" w:rsidRPr="00F461FB" w:rsidRDefault="00F461FB" w:rsidP="00F461FB">
      <w:pPr>
        <w:rPr>
          <w:rFonts w:asciiTheme="minorHAnsi" w:hAnsiTheme="minorHAnsi" w:cstheme="minorHAnsi"/>
          <w:b/>
          <w:sz w:val="18"/>
        </w:rPr>
      </w:pPr>
    </w:p>
    <w:p w:rsidR="00F461FB" w:rsidRPr="00F461FB" w:rsidRDefault="00F461FB" w:rsidP="00F461FB">
      <w:pPr>
        <w:rPr>
          <w:rFonts w:asciiTheme="minorHAnsi" w:hAnsiTheme="minorHAnsi" w:cstheme="minorHAnsi"/>
          <w:b/>
          <w:sz w:val="18"/>
        </w:rPr>
      </w:pPr>
      <w:r w:rsidRPr="00F461FB">
        <w:rPr>
          <w:rFonts w:asciiTheme="minorHAnsi" w:hAnsiTheme="minorHAnsi" w:cstheme="minorHAnsi"/>
          <w:b/>
          <w:sz w:val="18"/>
        </w:rPr>
        <w:t>Stručný komentář k celkovému vývoji čerpání výdajů kapitoly ve sledovaném období</w:t>
      </w:r>
    </w:p>
    <w:tbl>
      <w:tblPr>
        <w:tblStyle w:val="Mkatabulky"/>
        <w:tblW w:w="9776" w:type="dxa"/>
        <w:tblLook w:val="04A0" w:firstRow="1" w:lastRow="0" w:firstColumn="1" w:lastColumn="0" w:noHBand="0" w:noVBand="1"/>
      </w:tblPr>
      <w:tblGrid>
        <w:gridCol w:w="9776"/>
      </w:tblGrid>
      <w:tr w:rsidR="00F461FB" w:rsidRPr="00F461FB" w:rsidTr="00F461FB">
        <w:tc>
          <w:tcPr>
            <w:tcW w:w="9776" w:type="dxa"/>
          </w:tcPr>
          <w:p w:rsidR="00F461FB" w:rsidRPr="00F461FB" w:rsidRDefault="00F461FB" w:rsidP="00F461FB">
            <w:pPr>
              <w:jc w:val="both"/>
              <w:rPr>
                <w:rFonts w:asciiTheme="minorHAnsi" w:hAnsiTheme="minorHAnsi" w:cstheme="minorHAnsi"/>
                <w:sz w:val="18"/>
                <w:szCs w:val="18"/>
              </w:rPr>
            </w:pPr>
            <w:r w:rsidRPr="00F461FB">
              <w:rPr>
                <w:rFonts w:asciiTheme="minorHAnsi" w:hAnsiTheme="minorHAnsi" w:cstheme="minorHAnsi"/>
                <w:sz w:val="18"/>
                <w:szCs w:val="18"/>
              </w:rPr>
              <w:t>Při vyjádření k čerpání rozpočtu kapitoly 60 v roce 2022 uvádíme, že výdaje na stavební investice a opravy byly téměř uskutečněny</w:t>
            </w:r>
          </w:p>
          <w:p w:rsidR="00F461FB" w:rsidRPr="00F461FB" w:rsidRDefault="00F461FB" w:rsidP="00F461FB">
            <w:pPr>
              <w:jc w:val="both"/>
              <w:rPr>
                <w:rFonts w:asciiTheme="minorHAnsi" w:hAnsiTheme="minorHAnsi" w:cstheme="minorHAnsi"/>
                <w:sz w:val="18"/>
                <w:szCs w:val="18"/>
              </w:rPr>
            </w:pPr>
            <w:r w:rsidRPr="00F461FB">
              <w:rPr>
                <w:rFonts w:asciiTheme="minorHAnsi" w:hAnsiTheme="minorHAnsi" w:cstheme="minorHAnsi"/>
                <w:sz w:val="18"/>
                <w:szCs w:val="18"/>
              </w:rPr>
              <w:t xml:space="preserve">(v souladu se schváleným rozpočtem pro daný kalendářní rok, včetně rozpočtových opatření). </w:t>
            </w:r>
          </w:p>
          <w:p w:rsidR="00F461FB" w:rsidRPr="00F461FB" w:rsidRDefault="00F461FB" w:rsidP="00F461FB">
            <w:pPr>
              <w:jc w:val="both"/>
              <w:rPr>
                <w:rFonts w:asciiTheme="minorHAnsi" w:hAnsiTheme="minorHAnsi" w:cstheme="minorHAnsi"/>
                <w:sz w:val="18"/>
                <w:szCs w:val="18"/>
              </w:rPr>
            </w:pPr>
            <w:r w:rsidRPr="00F461FB">
              <w:rPr>
                <w:rFonts w:asciiTheme="minorHAnsi" w:hAnsiTheme="minorHAnsi" w:cstheme="minorHAnsi"/>
                <w:sz w:val="18"/>
                <w:szCs w:val="18"/>
              </w:rPr>
              <w:t>Z důvodu vyšších nabídkových cen ve výběrových řízeních a zařazení nových investičních akcí dle požadavků vedení města, bylo potřebné doplnit finanční prostředky formou ROZOP schválených radou a zastupitelstvem města. Tak bylo možné akce realizovat</w:t>
            </w:r>
            <w:r>
              <w:rPr>
                <w:rFonts w:asciiTheme="minorHAnsi" w:hAnsiTheme="minorHAnsi" w:cstheme="minorHAnsi"/>
                <w:sz w:val="18"/>
                <w:szCs w:val="18"/>
              </w:rPr>
              <w:t xml:space="preserve"> a </w:t>
            </w:r>
            <w:r w:rsidRPr="00F461FB">
              <w:rPr>
                <w:rFonts w:asciiTheme="minorHAnsi" w:hAnsiTheme="minorHAnsi" w:cstheme="minorHAnsi"/>
                <w:sz w:val="18"/>
                <w:szCs w:val="18"/>
              </w:rPr>
              <w:t xml:space="preserve">definitivně ukončit a předat tyto stavby do užívání. </w:t>
            </w:r>
          </w:p>
          <w:p w:rsidR="00F461FB" w:rsidRPr="00F461FB" w:rsidRDefault="00F461FB" w:rsidP="00F461FB">
            <w:pPr>
              <w:jc w:val="both"/>
              <w:rPr>
                <w:rFonts w:asciiTheme="minorHAnsi" w:hAnsiTheme="minorHAnsi" w:cstheme="minorHAnsi"/>
                <w:sz w:val="18"/>
                <w:szCs w:val="18"/>
              </w:rPr>
            </w:pPr>
            <w:r w:rsidRPr="00F461FB">
              <w:rPr>
                <w:rFonts w:asciiTheme="minorHAnsi" w:hAnsiTheme="minorHAnsi" w:cstheme="minorHAnsi"/>
                <w:sz w:val="18"/>
                <w:szCs w:val="18"/>
              </w:rPr>
              <w:t>Předpoklad realizovaných akcí a finanční plnění v kalendářním roce 2022 byl tak naplněn.</w:t>
            </w:r>
          </w:p>
        </w:tc>
      </w:tr>
    </w:tbl>
    <w:p w:rsidR="00F461FB" w:rsidRPr="00F461FB" w:rsidRDefault="00F461FB" w:rsidP="00F461FB">
      <w:pPr>
        <w:rPr>
          <w:rFonts w:asciiTheme="minorHAnsi" w:hAnsiTheme="minorHAnsi" w:cstheme="minorHAnsi"/>
          <w:b/>
          <w:sz w:val="18"/>
        </w:rPr>
      </w:pPr>
    </w:p>
    <w:p w:rsidR="00F461FB" w:rsidRPr="00F461FB" w:rsidRDefault="00F461FB" w:rsidP="00F461FB">
      <w:pPr>
        <w:rPr>
          <w:rFonts w:asciiTheme="minorHAnsi" w:hAnsiTheme="minorHAnsi" w:cstheme="minorHAnsi"/>
          <w:sz w:val="18"/>
        </w:rPr>
      </w:pPr>
      <w:r w:rsidRPr="00F461FB">
        <w:rPr>
          <w:rFonts w:asciiTheme="minorHAnsi" w:hAnsiTheme="minorHAnsi" w:cstheme="minorHAnsi"/>
          <w:b/>
          <w:sz w:val="18"/>
        </w:rPr>
        <w:t xml:space="preserve">Komentář k položkám (akcím), které vykázaly abnormalitu v řádném plnění výdajů rozpočtu kapitoly ve sledovaném období </w:t>
      </w:r>
    </w:p>
    <w:tbl>
      <w:tblPr>
        <w:tblStyle w:val="Mkatabulky"/>
        <w:tblW w:w="10065" w:type="dxa"/>
        <w:tblInd w:w="-147" w:type="dxa"/>
        <w:tblLayout w:type="fixed"/>
        <w:tblLook w:val="04A0" w:firstRow="1" w:lastRow="0" w:firstColumn="1" w:lastColumn="0" w:noHBand="0" w:noVBand="1"/>
      </w:tblPr>
      <w:tblGrid>
        <w:gridCol w:w="964"/>
        <w:gridCol w:w="855"/>
        <w:gridCol w:w="1442"/>
        <w:gridCol w:w="850"/>
        <w:gridCol w:w="1137"/>
        <w:gridCol w:w="1415"/>
        <w:gridCol w:w="3402"/>
      </w:tblGrid>
      <w:tr w:rsidR="00F461FB" w:rsidRPr="00F461FB" w:rsidTr="00F461FB">
        <w:trPr>
          <w:trHeight w:val="284"/>
        </w:trPr>
        <w:tc>
          <w:tcPr>
            <w:tcW w:w="964" w:type="dxa"/>
            <w:shd w:val="clear" w:color="auto" w:fill="FFFF00"/>
            <w:vAlign w:val="center"/>
          </w:tcPr>
          <w:p w:rsidR="00F461FB" w:rsidRPr="00F461FB" w:rsidRDefault="00F461FB" w:rsidP="00F461FB">
            <w:pPr>
              <w:jc w:val="center"/>
              <w:rPr>
                <w:rFonts w:asciiTheme="minorHAnsi" w:hAnsiTheme="minorHAnsi" w:cstheme="minorHAnsi"/>
                <w:b/>
                <w:sz w:val="18"/>
              </w:rPr>
            </w:pPr>
            <w:r w:rsidRPr="00F461FB">
              <w:rPr>
                <w:rFonts w:asciiTheme="minorHAnsi" w:hAnsiTheme="minorHAnsi" w:cstheme="minorHAnsi"/>
                <w:b/>
                <w:sz w:val="18"/>
              </w:rPr>
              <w:t>Oddíl, paragraf</w:t>
            </w:r>
          </w:p>
        </w:tc>
        <w:tc>
          <w:tcPr>
            <w:tcW w:w="855" w:type="dxa"/>
            <w:shd w:val="clear" w:color="auto" w:fill="FFFF00"/>
            <w:vAlign w:val="center"/>
          </w:tcPr>
          <w:p w:rsidR="00F461FB" w:rsidRPr="00F461FB" w:rsidRDefault="00F461FB" w:rsidP="00F461FB">
            <w:pPr>
              <w:jc w:val="center"/>
              <w:rPr>
                <w:rFonts w:asciiTheme="minorHAnsi" w:hAnsiTheme="minorHAnsi" w:cstheme="minorHAnsi"/>
                <w:b/>
                <w:sz w:val="18"/>
              </w:rPr>
            </w:pPr>
            <w:r w:rsidRPr="00F461FB">
              <w:rPr>
                <w:rFonts w:asciiTheme="minorHAnsi" w:hAnsiTheme="minorHAnsi" w:cstheme="minorHAnsi"/>
                <w:b/>
                <w:sz w:val="18"/>
              </w:rPr>
              <w:t>Položka</w:t>
            </w:r>
          </w:p>
        </w:tc>
        <w:tc>
          <w:tcPr>
            <w:tcW w:w="1442" w:type="dxa"/>
            <w:shd w:val="clear" w:color="auto" w:fill="FFFF00"/>
            <w:vAlign w:val="center"/>
          </w:tcPr>
          <w:p w:rsidR="00F461FB" w:rsidRPr="00F461FB" w:rsidRDefault="00F461FB" w:rsidP="00F461FB">
            <w:pPr>
              <w:jc w:val="center"/>
              <w:rPr>
                <w:rFonts w:asciiTheme="minorHAnsi" w:hAnsiTheme="minorHAnsi" w:cstheme="minorHAnsi"/>
                <w:b/>
                <w:sz w:val="18"/>
              </w:rPr>
            </w:pPr>
            <w:r w:rsidRPr="00F461FB">
              <w:rPr>
                <w:rFonts w:asciiTheme="minorHAnsi" w:hAnsiTheme="minorHAnsi" w:cstheme="minorHAnsi"/>
                <w:b/>
                <w:sz w:val="18"/>
              </w:rPr>
              <w:t>Organizace</w:t>
            </w:r>
          </w:p>
        </w:tc>
        <w:tc>
          <w:tcPr>
            <w:tcW w:w="850" w:type="dxa"/>
            <w:shd w:val="clear" w:color="auto" w:fill="FFFF00"/>
            <w:vAlign w:val="center"/>
          </w:tcPr>
          <w:p w:rsidR="00F461FB" w:rsidRPr="00F461FB" w:rsidRDefault="00F461FB" w:rsidP="00F461FB">
            <w:pPr>
              <w:jc w:val="center"/>
              <w:rPr>
                <w:rFonts w:asciiTheme="minorHAnsi" w:hAnsiTheme="minorHAnsi" w:cstheme="minorHAnsi"/>
                <w:b/>
                <w:sz w:val="18"/>
              </w:rPr>
            </w:pPr>
            <w:r w:rsidRPr="00F461FB">
              <w:rPr>
                <w:rFonts w:asciiTheme="minorHAnsi" w:hAnsiTheme="minorHAnsi" w:cstheme="minorHAnsi"/>
                <w:b/>
                <w:sz w:val="18"/>
              </w:rPr>
              <w:t>Účelový zdroj</w:t>
            </w:r>
          </w:p>
        </w:tc>
        <w:tc>
          <w:tcPr>
            <w:tcW w:w="1137" w:type="dxa"/>
            <w:shd w:val="clear" w:color="auto" w:fill="FFFF00"/>
            <w:vAlign w:val="center"/>
          </w:tcPr>
          <w:p w:rsidR="00F461FB" w:rsidRPr="00F461FB" w:rsidRDefault="00F461FB" w:rsidP="00F461FB">
            <w:pPr>
              <w:jc w:val="center"/>
              <w:rPr>
                <w:rFonts w:asciiTheme="minorHAnsi" w:hAnsiTheme="minorHAnsi" w:cstheme="minorHAnsi"/>
                <w:b/>
                <w:sz w:val="18"/>
              </w:rPr>
            </w:pPr>
            <w:r w:rsidRPr="00F461FB">
              <w:rPr>
                <w:rFonts w:asciiTheme="minorHAnsi" w:hAnsiTheme="minorHAnsi" w:cstheme="minorHAnsi"/>
                <w:b/>
                <w:sz w:val="18"/>
              </w:rPr>
              <w:t>Upravený rozpočet v tis. Kč</w:t>
            </w:r>
          </w:p>
        </w:tc>
        <w:tc>
          <w:tcPr>
            <w:tcW w:w="1415" w:type="dxa"/>
            <w:shd w:val="clear" w:color="auto" w:fill="FFFF00"/>
            <w:vAlign w:val="center"/>
          </w:tcPr>
          <w:p w:rsidR="00F461FB" w:rsidRPr="00F461FB" w:rsidRDefault="00F461FB" w:rsidP="00F461FB">
            <w:pPr>
              <w:jc w:val="center"/>
              <w:rPr>
                <w:rFonts w:asciiTheme="minorHAnsi" w:hAnsiTheme="minorHAnsi" w:cstheme="minorHAnsi"/>
                <w:b/>
                <w:sz w:val="18"/>
              </w:rPr>
            </w:pPr>
            <w:r w:rsidRPr="00F461FB">
              <w:rPr>
                <w:rFonts w:asciiTheme="minorHAnsi" w:hAnsiTheme="minorHAnsi" w:cstheme="minorHAnsi"/>
                <w:b/>
                <w:sz w:val="18"/>
              </w:rPr>
              <w:t>Skutečnost v tis. Kč</w:t>
            </w:r>
          </w:p>
        </w:tc>
        <w:tc>
          <w:tcPr>
            <w:tcW w:w="3402" w:type="dxa"/>
            <w:shd w:val="clear" w:color="auto" w:fill="FFFF00"/>
            <w:vAlign w:val="center"/>
          </w:tcPr>
          <w:p w:rsidR="00F461FB" w:rsidRPr="00F461FB" w:rsidRDefault="00F461FB" w:rsidP="00F461FB">
            <w:pPr>
              <w:jc w:val="center"/>
              <w:rPr>
                <w:rFonts w:asciiTheme="minorHAnsi" w:hAnsiTheme="minorHAnsi" w:cstheme="minorHAnsi"/>
                <w:b/>
                <w:sz w:val="18"/>
              </w:rPr>
            </w:pPr>
            <w:r w:rsidRPr="00F461FB">
              <w:rPr>
                <w:rFonts w:asciiTheme="minorHAnsi" w:hAnsiTheme="minorHAnsi" w:cstheme="minorHAnsi"/>
                <w:b/>
                <w:sz w:val="18"/>
              </w:rPr>
              <w:t>Komentář</w:t>
            </w:r>
          </w:p>
        </w:tc>
      </w:tr>
      <w:tr w:rsidR="00F461FB" w:rsidRPr="00F461FB" w:rsidTr="00F461FB">
        <w:trPr>
          <w:trHeight w:val="144"/>
        </w:trPr>
        <w:tc>
          <w:tcPr>
            <w:tcW w:w="964" w:type="dxa"/>
            <w:vAlign w:val="center"/>
          </w:tcPr>
          <w:p w:rsidR="00F461FB" w:rsidRPr="00F461FB" w:rsidRDefault="00F461FB" w:rsidP="00F461FB">
            <w:pPr>
              <w:jc w:val="center"/>
              <w:rPr>
                <w:rFonts w:asciiTheme="minorHAnsi" w:hAnsiTheme="minorHAnsi" w:cstheme="minorHAnsi"/>
                <w:color w:val="000000" w:themeColor="text1"/>
                <w:sz w:val="18"/>
                <w:szCs w:val="18"/>
              </w:rPr>
            </w:pPr>
            <w:r w:rsidRPr="00F461FB">
              <w:rPr>
                <w:rFonts w:asciiTheme="minorHAnsi" w:hAnsiTheme="minorHAnsi" w:cstheme="minorHAnsi"/>
                <w:color w:val="000000" w:themeColor="text1"/>
                <w:sz w:val="18"/>
                <w:szCs w:val="18"/>
              </w:rPr>
              <w:t>3322</w:t>
            </w:r>
          </w:p>
        </w:tc>
        <w:tc>
          <w:tcPr>
            <w:tcW w:w="855" w:type="dxa"/>
            <w:vAlign w:val="center"/>
          </w:tcPr>
          <w:p w:rsidR="00F461FB" w:rsidRPr="00F461FB" w:rsidRDefault="00F461FB" w:rsidP="00F461FB">
            <w:pPr>
              <w:jc w:val="center"/>
              <w:rPr>
                <w:rFonts w:asciiTheme="minorHAnsi" w:hAnsiTheme="minorHAnsi" w:cstheme="minorHAnsi"/>
                <w:color w:val="000000" w:themeColor="text1"/>
                <w:sz w:val="18"/>
                <w:szCs w:val="18"/>
              </w:rPr>
            </w:pPr>
            <w:r w:rsidRPr="00F461FB">
              <w:rPr>
                <w:rFonts w:asciiTheme="minorHAnsi" w:hAnsiTheme="minorHAnsi" w:cstheme="minorHAnsi"/>
                <w:color w:val="000000" w:themeColor="text1"/>
                <w:sz w:val="18"/>
                <w:szCs w:val="18"/>
              </w:rPr>
              <w:t>5169</w:t>
            </w:r>
          </w:p>
        </w:tc>
        <w:tc>
          <w:tcPr>
            <w:tcW w:w="1442" w:type="dxa"/>
            <w:vAlign w:val="center"/>
          </w:tcPr>
          <w:p w:rsidR="00F461FB" w:rsidRPr="00F461FB" w:rsidRDefault="00F461FB" w:rsidP="00F461FB">
            <w:pPr>
              <w:jc w:val="center"/>
              <w:rPr>
                <w:rFonts w:asciiTheme="minorHAnsi" w:hAnsiTheme="minorHAnsi" w:cstheme="minorHAnsi"/>
                <w:color w:val="000000" w:themeColor="text1"/>
                <w:sz w:val="18"/>
                <w:szCs w:val="18"/>
              </w:rPr>
            </w:pPr>
            <w:r w:rsidRPr="00F461FB">
              <w:rPr>
                <w:rFonts w:asciiTheme="minorHAnsi" w:hAnsiTheme="minorHAnsi" w:cstheme="minorHAnsi"/>
                <w:color w:val="000000" w:themeColor="text1"/>
                <w:sz w:val="18"/>
                <w:szCs w:val="18"/>
              </w:rPr>
              <w:t>0600000000000</w:t>
            </w:r>
          </w:p>
        </w:tc>
        <w:tc>
          <w:tcPr>
            <w:tcW w:w="850" w:type="dxa"/>
            <w:vAlign w:val="center"/>
          </w:tcPr>
          <w:p w:rsidR="00F461FB" w:rsidRPr="00F461FB" w:rsidRDefault="00F461FB" w:rsidP="00F461FB">
            <w:pPr>
              <w:jc w:val="center"/>
              <w:rPr>
                <w:rFonts w:asciiTheme="minorHAnsi" w:hAnsiTheme="minorHAnsi" w:cstheme="minorHAnsi"/>
                <w:color w:val="000000" w:themeColor="text1"/>
                <w:sz w:val="18"/>
                <w:szCs w:val="18"/>
              </w:rPr>
            </w:pPr>
          </w:p>
        </w:tc>
        <w:tc>
          <w:tcPr>
            <w:tcW w:w="1137" w:type="dxa"/>
            <w:vAlign w:val="center"/>
          </w:tcPr>
          <w:p w:rsidR="00F461FB" w:rsidRPr="00F461FB" w:rsidRDefault="00F461FB" w:rsidP="00F461FB">
            <w:pPr>
              <w:jc w:val="right"/>
              <w:rPr>
                <w:rFonts w:asciiTheme="minorHAnsi" w:hAnsiTheme="minorHAnsi" w:cstheme="minorHAnsi"/>
                <w:color w:val="000000" w:themeColor="text1"/>
                <w:sz w:val="18"/>
                <w:szCs w:val="18"/>
              </w:rPr>
            </w:pPr>
            <w:r w:rsidRPr="00F461FB">
              <w:rPr>
                <w:rFonts w:asciiTheme="minorHAnsi" w:hAnsiTheme="minorHAnsi" w:cstheme="minorHAnsi"/>
                <w:color w:val="000000" w:themeColor="text1"/>
                <w:sz w:val="18"/>
                <w:szCs w:val="18"/>
              </w:rPr>
              <w:t>150,00</w:t>
            </w:r>
          </w:p>
        </w:tc>
        <w:tc>
          <w:tcPr>
            <w:tcW w:w="1415" w:type="dxa"/>
            <w:vAlign w:val="center"/>
          </w:tcPr>
          <w:p w:rsidR="00F461FB" w:rsidRPr="00F461FB" w:rsidRDefault="00F461FB" w:rsidP="00F461FB">
            <w:pPr>
              <w:jc w:val="right"/>
              <w:rPr>
                <w:rFonts w:asciiTheme="minorHAnsi" w:hAnsiTheme="minorHAnsi" w:cstheme="minorHAnsi"/>
                <w:color w:val="000000" w:themeColor="text1"/>
                <w:sz w:val="18"/>
                <w:szCs w:val="18"/>
              </w:rPr>
            </w:pPr>
            <w:r w:rsidRPr="00F461FB">
              <w:rPr>
                <w:rFonts w:asciiTheme="minorHAnsi" w:hAnsiTheme="minorHAnsi" w:cstheme="minorHAnsi"/>
                <w:color w:val="000000" w:themeColor="text1"/>
                <w:sz w:val="18"/>
                <w:szCs w:val="18"/>
              </w:rPr>
              <w:t>0,00</w:t>
            </w:r>
          </w:p>
        </w:tc>
        <w:tc>
          <w:tcPr>
            <w:tcW w:w="3402" w:type="dxa"/>
            <w:vAlign w:val="center"/>
          </w:tcPr>
          <w:p w:rsidR="00F461FB" w:rsidRPr="00F461FB" w:rsidRDefault="00F461FB" w:rsidP="00F461FB">
            <w:pPr>
              <w:rPr>
                <w:rFonts w:asciiTheme="minorHAnsi" w:hAnsiTheme="minorHAnsi" w:cstheme="minorHAnsi"/>
                <w:b/>
                <w:sz w:val="18"/>
                <w:szCs w:val="18"/>
              </w:rPr>
            </w:pPr>
            <w:r w:rsidRPr="00F461FB">
              <w:rPr>
                <w:rFonts w:asciiTheme="minorHAnsi" w:hAnsiTheme="minorHAnsi" w:cstheme="minorHAnsi"/>
                <w:b/>
                <w:sz w:val="18"/>
                <w:szCs w:val="18"/>
              </w:rPr>
              <w:t>Památkově chráněné objekty – PD</w:t>
            </w:r>
          </w:p>
          <w:p w:rsidR="00F461FB" w:rsidRPr="00F461FB" w:rsidRDefault="00F461FB" w:rsidP="00F461FB">
            <w:pPr>
              <w:rPr>
                <w:rFonts w:asciiTheme="minorHAnsi" w:hAnsiTheme="minorHAnsi" w:cstheme="minorHAnsi"/>
                <w:color w:val="FF0000"/>
                <w:sz w:val="18"/>
                <w:szCs w:val="18"/>
              </w:rPr>
            </w:pPr>
            <w:r w:rsidRPr="00F461FB">
              <w:rPr>
                <w:rFonts w:asciiTheme="minorHAnsi" w:hAnsiTheme="minorHAnsi" w:cstheme="minorHAnsi"/>
                <w:sz w:val="18"/>
                <w:szCs w:val="18"/>
              </w:rPr>
              <w:t>V roc</w:t>
            </w:r>
            <w:r w:rsidR="006051D7">
              <w:rPr>
                <w:rFonts w:asciiTheme="minorHAnsi" w:hAnsiTheme="minorHAnsi" w:cstheme="minorHAnsi"/>
                <w:sz w:val="18"/>
                <w:szCs w:val="18"/>
              </w:rPr>
              <w:t>e 2022 nebyl žádný požadavek na </w:t>
            </w:r>
            <w:r w:rsidRPr="00F461FB">
              <w:rPr>
                <w:rFonts w:asciiTheme="minorHAnsi" w:hAnsiTheme="minorHAnsi" w:cstheme="minorHAnsi"/>
                <w:sz w:val="18"/>
                <w:szCs w:val="18"/>
              </w:rPr>
              <w:t>restaurátorský záměr památkově chráněného objektu.</w:t>
            </w:r>
          </w:p>
        </w:tc>
      </w:tr>
      <w:tr w:rsidR="00F461FB" w:rsidRPr="00F461FB" w:rsidTr="00F461FB">
        <w:trPr>
          <w:trHeight w:val="144"/>
        </w:trPr>
        <w:tc>
          <w:tcPr>
            <w:tcW w:w="964" w:type="dxa"/>
            <w:vAlign w:val="center"/>
          </w:tcPr>
          <w:p w:rsidR="00F461FB" w:rsidRPr="00F461FB" w:rsidRDefault="00F461FB" w:rsidP="00F461FB">
            <w:pPr>
              <w:jc w:val="center"/>
              <w:rPr>
                <w:rFonts w:asciiTheme="minorHAnsi" w:hAnsiTheme="minorHAnsi" w:cstheme="minorHAnsi"/>
                <w:color w:val="000000" w:themeColor="text1"/>
                <w:sz w:val="18"/>
                <w:szCs w:val="18"/>
              </w:rPr>
            </w:pPr>
            <w:r w:rsidRPr="00F461FB">
              <w:rPr>
                <w:rFonts w:asciiTheme="minorHAnsi" w:hAnsiTheme="minorHAnsi" w:cstheme="minorHAnsi"/>
                <w:color w:val="000000" w:themeColor="text1"/>
                <w:sz w:val="18"/>
                <w:szCs w:val="18"/>
              </w:rPr>
              <w:t>3639</w:t>
            </w:r>
          </w:p>
        </w:tc>
        <w:tc>
          <w:tcPr>
            <w:tcW w:w="855" w:type="dxa"/>
            <w:vAlign w:val="center"/>
          </w:tcPr>
          <w:p w:rsidR="00F461FB" w:rsidRPr="00F461FB" w:rsidRDefault="00F461FB" w:rsidP="00F461FB">
            <w:pPr>
              <w:jc w:val="center"/>
              <w:rPr>
                <w:rFonts w:asciiTheme="minorHAnsi" w:hAnsiTheme="minorHAnsi" w:cstheme="minorHAnsi"/>
                <w:color w:val="000000" w:themeColor="text1"/>
                <w:sz w:val="18"/>
                <w:szCs w:val="18"/>
              </w:rPr>
            </w:pPr>
            <w:r w:rsidRPr="00F461FB">
              <w:rPr>
                <w:rFonts w:asciiTheme="minorHAnsi" w:hAnsiTheme="minorHAnsi" w:cstheme="minorHAnsi"/>
                <w:color w:val="000000" w:themeColor="text1"/>
                <w:sz w:val="18"/>
                <w:szCs w:val="18"/>
              </w:rPr>
              <w:t>5169</w:t>
            </w:r>
          </w:p>
        </w:tc>
        <w:tc>
          <w:tcPr>
            <w:tcW w:w="1442" w:type="dxa"/>
            <w:vAlign w:val="center"/>
          </w:tcPr>
          <w:p w:rsidR="00F461FB" w:rsidRPr="00F461FB" w:rsidRDefault="00F461FB" w:rsidP="00F461FB">
            <w:pPr>
              <w:jc w:val="center"/>
              <w:rPr>
                <w:rFonts w:asciiTheme="minorHAnsi" w:hAnsiTheme="minorHAnsi" w:cstheme="minorHAnsi"/>
                <w:color w:val="000000" w:themeColor="text1"/>
                <w:sz w:val="18"/>
                <w:szCs w:val="18"/>
              </w:rPr>
            </w:pPr>
            <w:r w:rsidRPr="00F461FB">
              <w:rPr>
                <w:rFonts w:asciiTheme="minorHAnsi" w:hAnsiTheme="minorHAnsi" w:cstheme="minorHAnsi"/>
                <w:color w:val="000000" w:themeColor="text1"/>
                <w:sz w:val="18"/>
                <w:szCs w:val="18"/>
              </w:rPr>
              <w:t>0600000000000</w:t>
            </w:r>
          </w:p>
        </w:tc>
        <w:tc>
          <w:tcPr>
            <w:tcW w:w="850" w:type="dxa"/>
            <w:vAlign w:val="center"/>
          </w:tcPr>
          <w:p w:rsidR="00F461FB" w:rsidRPr="00F461FB" w:rsidRDefault="00F461FB" w:rsidP="00F461FB">
            <w:pPr>
              <w:jc w:val="center"/>
              <w:rPr>
                <w:rFonts w:asciiTheme="minorHAnsi" w:hAnsiTheme="minorHAnsi" w:cstheme="minorHAnsi"/>
                <w:color w:val="000000" w:themeColor="text1"/>
                <w:sz w:val="18"/>
                <w:szCs w:val="18"/>
              </w:rPr>
            </w:pPr>
          </w:p>
        </w:tc>
        <w:tc>
          <w:tcPr>
            <w:tcW w:w="1137" w:type="dxa"/>
            <w:vAlign w:val="center"/>
          </w:tcPr>
          <w:p w:rsidR="00F461FB" w:rsidRPr="00F461FB" w:rsidRDefault="00F461FB" w:rsidP="00F461FB">
            <w:pPr>
              <w:jc w:val="right"/>
              <w:rPr>
                <w:rFonts w:asciiTheme="minorHAnsi" w:hAnsiTheme="minorHAnsi" w:cstheme="minorHAnsi"/>
                <w:color w:val="000000" w:themeColor="text1"/>
                <w:sz w:val="18"/>
                <w:szCs w:val="18"/>
              </w:rPr>
            </w:pPr>
            <w:r w:rsidRPr="00F461FB">
              <w:rPr>
                <w:rFonts w:asciiTheme="minorHAnsi" w:hAnsiTheme="minorHAnsi" w:cstheme="minorHAnsi"/>
                <w:color w:val="000000" w:themeColor="text1"/>
                <w:sz w:val="18"/>
                <w:szCs w:val="18"/>
              </w:rPr>
              <w:t>150,00</w:t>
            </w:r>
          </w:p>
        </w:tc>
        <w:tc>
          <w:tcPr>
            <w:tcW w:w="1415" w:type="dxa"/>
            <w:vAlign w:val="center"/>
          </w:tcPr>
          <w:p w:rsidR="00F461FB" w:rsidRPr="00F461FB" w:rsidRDefault="00F461FB" w:rsidP="00F461FB">
            <w:pPr>
              <w:jc w:val="right"/>
              <w:rPr>
                <w:rFonts w:asciiTheme="minorHAnsi" w:hAnsiTheme="minorHAnsi" w:cstheme="minorHAnsi"/>
                <w:color w:val="000000" w:themeColor="text1"/>
                <w:sz w:val="18"/>
                <w:szCs w:val="18"/>
              </w:rPr>
            </w:pPr>
            <w:r w:rsidRPr="00F461FB">
              <w:rPr>
                <w:rFonts w:asciiTheme="minorHAnsi" w:hAnsiTheme="minorHAnsi" w:cstheme="minorHAnsi"/>
                <w:color w:val="000000" w:themeColor="text1"/>
                <w:sz w:val="18"/>
                <w:szCs w:val="18"/>
              </w:rPr>
              <w:t>0,00</w:t>
            </w:r>
          </w:p>
        </w:tc>
        <w:tc>
          <w:tcPr>
            <w:tcW w:w="3402" w:type="dxa"/>
            <w:vAlign w:val="center"/>
          </w:tcPr>
          <w:p w:rsidR="00F461FB" w:rsidRPr="00F461FB" w:rsidRDefault="00F461FB" w:rsidP="00F461FB">
            <w:pPr>
              <w:rPr>
                <w:rFonts w:asciiTheme="minorHAnsi" w:hAnsiTheme="minorHAnsi" w:cstheme="minorHAnsi"/>
                <w:b/>
                <w:sz w:val="18"/>
                <w:szCs w:val="18"/>
              </w:rPr>
            </w:pPr>
            <w:r w:rsidRPr="00F461FB">
              <w:rPr>
                <w:rFonts w:asciiTheme="minorHAnsi" w:hAnsiTheme="minorHAnsi" w:cstheme="minorHAnsi"/>
                <w:b/>
                <w:sz w:val="18"/>
                <w:szCs w:val="18"/>
              </w:rPr>
              <w:t>Pořízení znaleckých posudků pro  ÚHOS</w:t>
            </w:r>
          </w:p>
          <w:p w:rsidR="00F461FB" w:rsidRPr="00F461FB" w:rsidRDefault="00F461FB" w:rsidP="00F461FB">
            <w:pPr>
              <w:rPr>
                <w:rFonts w:asciiTheme="minorHAnsi" w:hAnsiTheme="minorHAnsi" w:cstheme="minorHAnsi"/>
                <w:color w:val="FF0000"/>
                <w:sz w:val="18"/>
                <w:szCs w:val="18"/>
              </w:rPr>
            </w:pPr>
            <w:r w:rsidRPr="00F461FB">
              <w:rPr>
                <w:rFonts w:asciiTheme="minorHAnsi" w:hAnsiTheme="minorHAnsi" w:cstheme="minorHAnsi"/>
                <w:sz w:val="18"/>
                <w:szCs w:val="18"/>
              </w:rPr>
              <w:t xml:space="preserve">Posudky jsou objednány, termín odevzdání se posunul na 1. čtvrtletí 2023 z důvodu vytíženosti znalce v rámci soudních posudků. </w:t>
            </w:r>
          </w:p>
        </w:tc>
      </w:tr>
      <w:tr w:rsidR="00F461FB" w:rsidRPr="00F461FB" w:rsidTr="00F461FB">
        <w:trPr>
          <w:trHeight w:val="144"/>
        </w:trPr>
        <w:tc>
          <w:tcPr>
            <w:tcW w:w="964" w:type="dxa"/>
            <w:vAlign w:val="center"/>
          </w:tcPr>
          <w:p w:rsidR="00F461FB" w:rsidRPr="00F461FB" w:rsidRDefault="00F461FB" w:rsidP="00F461FB">
            <w:pPr>
              <w:jc w:val="center"/>
              <w:rPr>
                <w:rFonts w:asciiTheme="minorHAnsi" w:hAnsiTheme="minorHAnsi" w:cstheme="minorHAnsi"/>
                <w:color w:val="000000" w:themeColor="text1"/>
                <w:sz w:val="18"/>
                <w:szCs w:val="18"/>
              </w:rPr>
            </w:pPr>
            <w:r w:rsidRPr="00F461FB">
              <w:rPr>
                <w:rFonts w:asciiTheme="minorHAnsi" w:hAnsiTheme="minorHAnsi" w:cstheme="minorHAnsi"/>
                <w:color w:val="000000" w:themeColor="text1"/>
                <w:sz w:val="18"/>
                <w:szCs w:val="18"/>
              </w:rPr>
              <w:t>3122</w:t>
            </w:r>
          </w:p>
        </w:tc>
        <w:tc>
          <w:tcPr>
            <w:tcW w:w="855" w:type="dxa"/>
            <w:vAlign w:val="center"/>
          </w:tcPr>
          <w:p w:rsidR="00F461FB" w:rsidRPr="00F461FB" w:rsidRDefault="00F461FB" w:rsidP="00F461FB">
            <w:pPr>
              <w:jc w:val="center"/>
              <w:rPr>
                <w:rFonts w:asciiTheme="minorHAnsi" w:hAnsiTheme="minorHAnsi" w:cstheme="minorHAnsi"/>
                <w:color w:val="000000" w:themeColor="text1"/>
                <w:sz w:val="18"/>
                <w:szCs w:val="18"/>
              </w:rPr>
            </w:pPr>
            <w:r w:rsidRPr="00F461FB">
              <w:rPr>
                <w:rFonts w:asciiTheme="minorHAnsi" w:hAnsiTheme="minorHAnsi" w:cstheme="minorHAnsi"/>
                <w:color w:val="000000" w:themeColor="text1"/>
                <w:sz w:val="18"/>
                <w:szCs w:val="18"/>
              </w:rPr>
              <w:t>5169</w:t>
            </w:r>
          </w:p>
        </w:tc>
        <w:tc>
          <w:tcPr>
            <w:tcW w:w="1442" w:type="dxa"/>
            <w:vAlign w:val="center"/>
          </w:tcPr>
          <w:p w:rsidR="00F461FB" w:rsidRPr="00F461FB" w:rsidRDefault="00F461FB" w:rsidP="00F461FB">
            <w:pPr>
              <w:jc w:val="center"/>
              <w:rPr>
                <w:rFonts w:asciiTheme="minorHAnsi" w:hAnsiTheme="minorHAnsi" w:cstheme="minorHAnsi"/>
                <w:color w:val="000000" w:themeColor="text1"/>
                <w:sz w:val="18"/>
                <w:szCs w:val="18"/>
              </w:rPr>
            </w:pPr>
            <w:r w:rsidRPr="00F461FB">
              <w:rPr>
                <w:rFonts w:asciiTheme="minorHAnsi" w:hAnsiTheme="minorHAnsi" w:cstheme="minorHAnsi"/>
                <w:color w:val="000000" w:themeColor="text1"/>
                <w:sz w:val="18"/>
                <w:szCs w:val="18"/>
              </w:rPr>
              <w:t>0600000508030</w:t>
            </w:r>
          </w:p>
        </w:tc>
        <w:tc>
          <w:tcPr>
            <w:tcW w:w="850" w:type="dxa"/>
            <w:vAlign w:val="center"/>
          </w:tcPr>
          <w:p w:rsidR="00F461FB" w:rsidRPr="00F461FB" w:rsidRDefault="00F461FB" w:rsidP="00F461FB">
            <w:pPr>
              <w:jc w:val="center"/>
              <w:rPr>
                <w:rFonts w:asciiTheme="minorHAnsi" w:hAnsiTheme="minorHAnsi" w:cstheme="minorHAnsi"/>
                <w:color w:val="000000" w:themeColor="text1"/>
                <w:sz w:val="18"/>
                <w:szCs w:val="18"/>
              </w:rPr>
            </w:pPr>
            <w:r w:rsidRPr="00F461FB">
              <w:rPr>
                <w:rFonts w:asciiTheme="minorHAnsi" w:hAnsiTheme="minorHAnsi" w:cstheme="minorHAnsi"/>
                <w:color w:val="000000" w:themeColor="text1"/>
                <w:sz w:val="18"/>
                <w:szCs w:val="18"/>
              </w:rPr>
              <w:t>5</w:t>
            </w:r>
          </w:p>
        </w:tc>
        <w:tc>
          <w:tcPr>
            <w:tcW w:w="1137" w:type="dxa"/>
            <w:vAlign w:val="center"/>
          </w:tcPr>
          <w:p w:rsidR="00F461FB" w:rsidRPr="00F461FB" w:rsidRDefault="00F461FB" w:rsidP="00F461FB">
            <w:pPr>
              <w:jc w:val="right"/>
              <w:rPr>
                <w:rFonts w:asciiTheme="minorHAnsi" w:hAnsiTheme="minorHAnsi" w:cstheme="minorHAnsi"/>
                <w:color w:val="000000" w:themeColor="text1"/>
                <w:sz w:val="18"/>
                <w:szCs w:val="18"/>
              </w:rPr>
            </w:pPr>
            <w:r w:rsidRPr="00F461FB">
              <w:rPr>
                <w:rFonts w:asciiTheme="minorHAnsi" w:hAnsiTheme="minorHAnsi" w:cstheme="minorHAnsi"/>
                <w:color w:val="000000" w:themeColor="text1"/>
                <w:sz w:val="18"/>
                <w:szCs w:val="18"/>
              </w:rPr>
              <w:t>70,00</w:t>
            </w:r>
          </w:p>
        </w:tc>
        <w:tc>
          <w:tcPr>
            <w:tcW w:w="1415" w:type="dxa"/>
            <w:vAlign w:val="center"/>
          </w:tcPr>
          <w:p w:rsidR="00F461FB" w:rsidRPr="00F461FB" w:rsidRDefault="00F461FB" w:rsidP="00F461FB">
            <w:pPr>
              <w:jc w:val="right"/>
              <w:rPr>
                <w:rFonts w:asciiTheme="minorHAnsi" w:hAnsiTheme="minorHAnsi" w:cstheme="minorHAnsi"/>
                <w:color w:val="000000" w:themeColor="text1"/>
                <w:sz w:val="18"/>
                <w:szCs w:val="18"/>
              </w:rPr>
            </w:pPr>
            <w:r w:rsidRPr="00F461FB">
              <w:rPr>
                <w:rFonts w:asciiTheme="minorHAnsi" w:hAnsiTheme="minorHAnsi" w:cstheme="minorHAnsi"/>
                <w:color w:val="000000" w:themeColor="text1"/>
                <w:sz w:val="18"/>
                <w:szCs w:val="18"/>
              </w:rPr>
              <w:t>35,00</w:t>
            </w:r>
          </w:p>
        </w:tc>
        <w:tc>
          <w:tcPr>
            <w:tcW w:w="3402" w:type="dxa"/>
            <w:vAlign w:val="center"/>
          </w:tcPr>
          <w:p w:rsidR="00F461FB" w:rsidRPr="00F461FB" w:rsidRDefault="00F461FB" w:rsidP="00F461FB">
            <w:pPr>
              <w:rPr>
                <w:rFonts w:asciiTheme="minorHAnsi" w:hAnsiTheme="minorHAnsi" w:cstheme="minorHAnsi"/>
                <w:b/>
                <w:sz w:val="18"/>
                <w:szCs w:val="18"/>
              </w:rPr>
            </w:pPr>
            <w:r w:rsidRPr="00F461FB">
              <w:rPr>
                <w:rFonts w:asciiTheme="minorHAnsi" w:hAnsiTheme="minorHAnsi" w:cstheme="minorHAnsi"/>
                <w:b/>
                <w:sz w:val="18"/>
                <w:szCs w:val="18"/>
              </w:rPr>
              <w:t>CMG - posouzení střech nad tělocvičnou - PD rekonstrukce střechy</w:t>
            </w:r>
          </w:p>
          <w:p w:rsidR="00F461FB" w:rsidRPr="00F461FB" w:rsidRDefault="00F461FB" w:rsidP="00F461FB">
            <w:pPr>
              <w:rPr>
                <w:rFonts w:asciiTheme="minorHAnsi" w:hAnsiTheme="minorHAnsi" w:cstheme="minorHAnsi"/>
                <w:color w:val="FF0000"/>
                <w:sz w:val="18"/>
                <w:szCs w:val="18"/>
              </w:rPr>
            </w:pPr>
            <w:r w:rsidRPr="00F461FB">
              <w:rPr>
                <w:rFonts w:asciiTheme="minorHAnsi" w:hAnsiTheme="minorHAnsi" w:cstheme="minorHAnsi"/>
                <w:sz w:val="18"/>
                <w:szCs w:val="18"/>
              </w:rPr>
              <w:t>Došlo k úspoře finančních prostředků v rámci výběrového řízení.</w:t>
            </w:r>
          </w:p>
        </w:tc>
      </w:tr>
      <w:tr w:rsidR="00F461FB" w:rsidRPr="00F461FB" w:rsidTr="00F461FB">
        <w:trPr>
          <w:trHeight w:val="144"/>
        </w:trPr>
        <w:tc>
          <w:tcPr>
            <w:tcW w:w="964" w:type="dxa"/>
            <w:vAlign w:val="center"/>
          </w:tcPr>
          <w:p w:rsidR="00F461FB" w:rsidRPr="00F461FB" w:rsidRDefault="00F461FB" w:rsidP="00F461FB">
            <w:pPr>
              <w:jc w:val="center"/>
              <w:rPr>
                <w:rFonts w:asciiTheme="minorHAnsi" w:hAnsiTheme="minorHAnsi" w:cstheme="minorHAnsi"/>
                <w:color w:val="000000" w:themeColor="text1"/>
                <w:sz w:val="18"/>
                <w:szCs w:val="18"/>
              </w:rPr>
            </w:pPr>
            <w:r w:rsidRPr="00F461FB">
              <w:rPr>
                <w:rFonts w:asciiTheme="minorHAnsi" w:hAnsiTheme="minorHAnsi" w:cstheme="minorHAnsi"/>
                <w:color w:val="000000" w:themeColor="text1"/>
                <w:sz w:val="18"/>
                <w:szCs w:val="18"/>
              </w:rPr>
              <w:t>2219</w:t>
            </w:r>
          </w:p>
          <w:p w:rsidR="00F461FB" w:rsidRPr="00F461FB" w:rsidRDefault="00F461FB" w:rsidP="00F461FB">
            <w:pPr>
              <w:jc w:val="center"/>
              <w:rPr>
                <w:rFonts w:asciiTheme="minorHAnsi" w:hAnsiTheme="minorHAnsi" w:cstheme="minorHAnsi"/>
                <w:color w:val="000000" w:themeColor="text1"/>
                <w:sz w:val="18"/>
                <w:szCs w:val="18"/>
              </w:rPr>
            </w:pPr>
          </w:p>
        </w:tc>
        <w:tc>
          <w:tcPr>
            <w:tcW w:w="855" w:type="dxa"/>
            <w:vAlign w:val="center"/>
          </w:tcPr>
          <w:p w:rsidR="00F461FB" w:rsidRPr="00F461FB" w:rsidRDefault="00F461FB" w:rsidP="00F461FB">
            <w:pPr>
              <w:jc w:val="center"/>
              <w:rPr>
                <w:rFonts w:asciiTheme="minorHAnsi" w:hAnsiTheme="minorHAnsi" w:cstheme="minorHAnsi"/>
                <w:color w:val="000000" w:themeColor="text1"/>
                <w:sz w:val="18"/>
                <w:szCs w:val="18"/>
              </w:rPr>
            </w:pPr>
            <w:r w:rsidRPr="00F461FB">
              <w:rPr>
                <w:rFonts w:asciiTheme="minorHAnsi" w:hAnsiTheme="minorHAnsi" w:cstheme="minorHAnsi"/>
                <w:color w:val="000000" w:themeColor="text1"/>
                <w:sz w:val="18"/>
                <w:szCs w:val="18"/>
              </w:rPr>
              <w:t>5169</w:t>
            </w:r>
          </w:p>
        </w:tc>
        <w:tc>
          <w:tcPr>
            <w:tcW w:w="1442" w:type="dxa"/>
            <w:vAlign w:val="center"/>
          </w:tcPr>
          <w:p w:rsidR="00F461FB" w:rsidRPr="00F461FB" w:rsidRDefault="00F461FB" w:rsidP="00F461FB">
            <w:pPr>
              <w:jc w:val="center"/>
              <w:rPr>
                <w:rFonts w:asciiTheme="minorHAnsi" w:hAnsiTheme="minorHAnsi" w:cstheme="minorHAnsi"/>
                <w:color w:val="000000" w:themeColor="text1"/>
                <w:sz w:val="18"/>
                <w:szCs w:val="18"/>
              </w:rPr>
            </w:pPr>
            <w:r w:rsidRPr="00F461FB">
              <w:rPr>
                <w:rFonts w:asciiTheme="minorHAnsi" w:hAnsiTheme="minorHAnsi" w:cstheme="minorHAnsi"/>
                <w:color w:val="000000" w:themeColor="text1"/>
                <w:sz w:val="18"/>
                <w:szCs w:val="18"/>
              </w:rPr>
              <w:t>0600500000000</w:t>
            </w:r>
          </w:p>
        </w:tc>
        <w:tc>
          <w:tcPr>
            <w:tcW w:w="850" w:type="dxa"/>
            <w:vAlign w:val="center"/>
          </w:tcPr>
          <w:p w:rsidR="00F461FB" w:rsidRPr="00F461FB" w:rsidRDefault="00F461FB" w:rsidP="00F461FB">
            <w:pPr>
              <w:jc w:val="center"/>
              <w:rPr>
                <w:rFonts w:asciiTheme="minorHAnsi" w:hAnsiTheme="minorHAnsi" w:cstheme="minorHAnsi"/>
                <w:color w:val="000000" w:themeColor="text1"/>
                <w:sz w:val="18"/>
                <w:szCs w:val="18"/>
              </w:rPr>
            </w:pPr>
          </w:p>
        </w:tc>
        <w:tc>
          <w:tcPr>
            <w:tcW w:w="1137" w:type="dxa"/>
            <w:vAlign w:val="center"/>
          </w:tcPr>
          <w:p w:rsidR="00F461FB" w:rsidRPr="00F461FB" w:rsidRDefault="00F461FB" w:rsidP="00F461FB">
            <w:pPr>
              <w:jc w:val="right"/>
              <w:rPr>
                <w:rFonts w:asciiTheme="minorHAnsi" w:hAnsiTheme="minorHAnsi" w:cstheme="minorHAnsi"/>
                <w:color w:val="000000" w:themeColor="text1"/>
                <w:sz w:val="18"/>
                <w:szCs w:val="18"/>
              </w:rPr>
            </w:pPr>
            <w:r w:rsidRPr="00F461FB">
              <w:rPr>
                <w:rFonts w:asciiTheme="minorHAnsi" w:hAnsiTheme="minorHAnsi" w:cstheme="minorHAnsi"/>
                <w:color w:val="000000" w:themeColor="text1"/>
                <w:sz w:val="18"/>
                <w:szCs w:val="18"/>
              </w:rPr>
              <w:t>300,00</w:t>
            </w:r>
          </w:p>
        </w:tc>
        <w:tc>
          <w:tcPr>
            <w:tcW w:w="1415" w:type="dxa"/>
            <w:vAlign w:val="center"/>
          </w:tcPr>
          <w:p w:rsidR="00F461FB" w:rsidRPr="00F461FB" w:rsidRDefault="00F461FB" w:rsidP="00F461FB">
            <w:pPr>
              <w:jc w:val="right"/>
              <w:rPr>
                <w:rFonts w:asciiTheme="minorHAnsi" w:hAnsiTheme="minorHAnsi" w:cstheme="minorHAnsi"/>
                <w:color w:val="000000" w:themeColor="text1"/>
                <w:sz w:val="18"/>
                <w:szCs w:val="18"/>
              </w:rPr>
            </w:pPr>
            <w:r w:rsidRPr="00F461FB">
              <w:rPr>
                <w:rFonts w:asciiTheme="minorHAnsi" w:hAnsiTheme="minorHAnsi" w:cstheme="minorHAnsi"/>
                <w:color w:val="000000" w:themeColor="text1"/>
                <w:sz w:val="18"/>
                <w:szCs w:val="18"/>
              </w:rPr>
              <w:t>69,33</w:t>
            </w:r>
          </w:p>
        </w:tc>
        <w:tc>
          <w:tcPr>
            <w:tcW w:w="3402" w:type="dxa"/>
            <w:vAlign w:val="center"/>
          </w:tcPr>
          <w:p w:rsidR="00F461FB" w:rsidRPr="00F461FB" w:rsidRDefault="00F461FB" w:rsidP="00F461FB">
            <w:pPr>
              <w:rPr>
                <w:rFonts w:asciiTheme="minorHAnsi" w:hAnsiTheme="minorHAnsi" w:cstheme="minorHAnsi"/>
                <w:b/>
                <w:sz w:val="18"/>
                <w:szCs w:val="18"/>
              </w:rPr>
            </w:pPr>
            <w:r w:rsidRPr="00F461FB">
              <w:rPr>
                <w:rFonts w:asciiTheme="minorHAnsi" w:hAnsiTheme="minorHAnsi" w:cstheme="minorHAnsi"/>
                <w:b/>
                <w:sz w:val="18"/>
                <w:szCs w:val="18"/>
              </w:rPr>
              <w:t>Regenerace panelového sídl. B. Šmerala - zeleň údržba</w:t>
            </w:r>
          </w:p>
          <w:p w:rsidR="00F461FB" w:rsidRPr="00F461FB" w:rsidRDefault="00F461FB" w:rsidP="00F461FB">
            <w:pPr>
              <w:rPr>
                <w:rFonts w:asciiTheme="minorHAnsi" w:hAnsiTheme="minorHAnsi" w:cstheme="minorHAnsi"/>
                <w:color w:val="FF0000"/>
                <w:sz w:val="18"/>
                <w:szCs w:val="18"/>
              </w:rPr>
            </w:pPr>
            <w:r w:rsidRPr="00F461FB">
              <w:rPr>
                <w:rFonts w:asciiTheme="minorHAnsi" w:hAnsiTheme="minorHAnsi" w:cstheme="minorHAnsi"/>
                <w:sz w:val="18"/>
                <w:szCs w:val="18"/>
              </w:rPr>
              <w:t>Následná péče proběhla pouze na části stavby,</w:t>
            </w:r>
            <w:r w:rsidR="006051D7">
              <w:rPr>
                <w:rFonts w:asciiTheme="minorHAnsi" w:hAnsiTheme="minorHAnsi" w:cstheme="minorHAnsi"/>
                <w:sz w:val="18"/>
                <w:szCs w:val="18"/>
              </w:rPr>
              <w:t xml:space="preserve"> zbylá část byla reklamována, a </w:t>
            </w:r>
            <w:r w:rsidRPr="00F461FB">
              <w:rPr>
                <w:rFonts w:asciiTheme="minorHAnsi" w:hAnsiTheme="minorHAnsi" w:cstheme="minorHAnsi"/>
                <w:sz w:val="18"/>
                <w:szCs w:val="18"/>
              </w:rPr>
              <w:t>proto nebyla údržba fakturována.</w:t>
            </w:r>
          </w:p>
        </w:tc>
      </w:tr>
      <w:tr w:rsidR="00F461FB" w:rsidRPr="00F461FB" w:rsidTr="00F461FB">
        <w:trPr>
          <w:trHeight w:val="144"/>
        </w:trPr>
        <w:tc>
          <w:tcPr>
            <w:tcW w:w="964" w:type="dxa"/>
            <w:vAlign w:val="center"/>
          </w:tcPr>
          <w:p w:rsidR="00F461FB" w:rsidRPr="00F461FB" w:rsidRDefault="00F461FB" w:rsidP="00F461FB">
            <w:pPr>
              <w:jc w:val="center"/>
              <w:rPr>
                <w:rFonts w:asciiTheme="minorHAnsi" w:hAnsiTheme="minorHAnsi" w:cstheme="minorHAnsi"/>
                <w:color w:val="000000" w:themeColor="text1"/>
                <w:sz w:val="18"/>
                <w:szCs w:val="18"/>
              </w:rPr>
            </w:pPr>
            <w:r w:rsidRPr="00F461FB">
              <w:rPr>
                <w:rFonts w:asciiTheme="minorHAnsi" w:hAnsiTheme="minorHAnsi" w:cstheme="minorHAnsi"/>
                <w:color w:val="000000" w:themeColor="text1"/>
                <w:sz w:val="18"/>
                <w:szCs w:val="18"/>
              </w:rPr>
              <w:t>3745</w:t>
            </w:r>
          </w:p>
        </w:tc>
        <w:tc>
          <w:tcPr>
            <w:tcW w:w="855" w:type="dxa"/>
            <w:vAlign w:val="center"/>
          </w:tcPr>
          <w:p w:rsidR="00F461FB" w:rsidRPr="00F461FB" w:rsidRDefault="00F461FB" w:rsidP="00F461FB">
            <w:pPr>
              <w:jc w:val="center"/>
              <w:rPr>
                <w:rFonts w:asciiTheme="minorHAnsi" w:hAnsiTheme="minorHAnsi" w:cstheme="minorHAnsi"/>
                <w:color w:val="000000" w:themeColor="text1"/>
                <w:sz w:val="18"/>
                <w:szCs w:val="18"/>
              </w:rPr>
            </w:pPr>
            <w:r w:rsidRPr="00F461FB">
              <w:rPr>
                <w:rFonts w:asciiTheme="minorHAnsi" w:hAnsiTheme="minorHAnsi" w:cstheme="minorHAnsi"/>
                <w:color w:val="000000" w:themeColor="text1"/>
                <w:sz w:val="18"/>
                <w:szCs w:val="18"/>
              </w:rPr>
              <w:t>5169</w:t>
            </w:r>
          </w:p>
        </w:tc>
        <w:tc>
          <w:tcPr>
            <w:tcW w:w="1442" w:type="dxa"/>
            <w:vAlign w:val="center"/>
          </w:tcPr>
          <w:p w:rsidR="00F461FB" w:rsidRPr="00F461FB" w:rsidRDefault="00F461FB" w:rsidP="00F461FB">
            <w:pPr>
              <w:jc w:val="center"/>
              <w:rPr>
                <w:rFonts w:asciiTheme="minorHAnsi" w:hAnsiTheme="minorHAnsi" w:cstheme="minorHAnsi"/>
                <w:color w:val="000000" w:themeColor="text1"/>
                <w:sz w:val="18"/>
                <w:szCs w:val="18"/>
              </w:rPr>
            </w:pPr>
            <w:r w:rsidRPr="00F461FB">
              <w:rPr>
                <w:rFonts w:asciiTheme="minorHAnsi" w:hAnsiTheme="minorHAnsi" w:cstheme="minorHAnsi"/>
                <w:color w:val="000000" w:themeColor="text1"/>
                <w:sz w:val="18"/>
                <w:szCs w:val="18"/>
              </w:rPr>
              <w:t>0600555000000</w:t>
            </w:r>
          </w:p>
        </w:tc>
        <w:tc>
          <w:tcPr>
            <w:tcW w:w="850" w:type="dxa"/>
            <w:vAlign w:val="center"/>
          </w:tcPr>
          <w:p w:rsidR="00F461FB" w:rsidRPr="00F461FB" w:rsidRDefault="00F461FB" w:rsidP="00F461FB">
            <w:pPr>
              <w:jc w:val="center"/>
              <w:rPr>
                <w:rFonts w:asciiTheme="minorHAnsi" w:hAnsiTheme="minorHAnsi" w:cstheme="minorHAnsi"/>
                <w:color w:val="000000" w:themeColor="text1"/>
                <w:sz w:val="18"/>
                <w:szCs w:val="18"/>
              </w:rPr>
            </w:pPr>
          </w:p>
        </w:tc>
        <w:tc>
          <w:tcPr>
            <w:tcW w:w="1137" w:type="dxa"/>
            <w:vAlign w:val="center"/>
          </w:tcPr>
          <w:p w:rsidR="00F461FB" w:rsidRPr="00F461FB" w:rsidRDefault="00F461FB" w:rsidP="00F461FB">
            <w:pPr>
              <w:jc w:val="right"/>
              <w:rPr>
                <w:rFonts w:asciiTheme="minorHAnsi" w:hAnsiTheme="minorHAnsi" w:cstheme="minorHAnsi"/>
                <w:color w:val="000000" w:themeColor="text1"/>
                <w:sz w:val="18"/>
                <w:szCs w:val="18"/>
              </w:rPr>
            </w:pPr>
            <w:r w:rsidRPr="00F461FB">
              <w:rPr>
                <w:rFonts w:asciiTheme="minorHAnsi" w:hAnsiTheme="minorHAnsi" w:cstheme="minorHAnsi"/>
                <w:color w:val="000000" w:themeColor="text1"/>
                <w:sz w:val="18"/>
                <w:szCs w:val="18"/>
              </w:rPr>
              <w:t>200,00</w:t>
            </w:r>
          </w:p>
        </w:tc>
        <w:tc>
          <w:tcPr>
            <w:tcW w:w="1415" w:type="dxa"/>
            <w:vAlign w:val="center"/>
          </w:tcPr>
          <w:p w:rsidR="00F461FB" w:rsidRPr="00F461FB" w:rsidRDefault="00F461FB" w:rsidP="00F461FB">
            <w:pPr>
              <w:jc w:val="right"/>
              <w:rPr>
                <w:rFonts w:asciiTheme="minorHAnsi" w:hAnsiTheme="minorHAnsi" w:cstheme="minorHAnsi"/>
                <w:color w:val="000000" w:themeColor="text1"/>
                <w:sz w:val="18"/>
                <w:szCs w:val="18"/>
              </w:rPr>
            </w:pPr>
            <w:r w:rsidRPr="00F461FB">
              <w:rPr>
                <w:rFonts w:asciiTheme="minorHAnsi" w:hAnsiTheme="minorHAnsi" w:cstheme="minorHAnsi"/>
                <w:color w:val="000000" w:themeColor="text1"/>
                <w:sz w:val="18"/>
                <w:szCs w:val="18"/>
              </w:rPr>
              <w:t>106,19</w:t>
            </w:r>
          </w:p>
        </w:tc>
        <w:tc>
          <w:tcPr>
            <w:tcW w:w="3402" w:type="dxa"/>
            <w:vAlign w:val="center"/>
          </w:tcPr>
          <w:p w:rsidR="00F461FB" w:rsidRPr="00F461FB" w:rsidRDefault="00F461FB" w:rsidP="00F461FB">
            <w:pPr>
              <w:rPr>
                <w:rFonts w:asciiTheme="minorHAnsi" w:hAnsiTheme="minorHAnsi" w:cstheme="minorHAnsi"/>
                <w:b/>
                <w:sz w:val="18"/>
                <w:szCs w:val="18"/>
              </w:rPr>
            </w:pPr>
            <w:r w:rsidRPr="00F461FB">
              <w:rPr>
                <w:rFonts w:asciiTheme="minorHAnsi" w:hAnsiTheme="minorHAnsi" w:cstheme="minorHAnsi"/>
                <w:b/>
                <w:sz w:val="18"/>
                <w:szCs w:val="18"/>
              </w:rPr>
              <w:t>Nový park – jih – zeleň údržba</w:t>
            </w:r>
          </w:p>
          <w:p w:rsidR="00F461FB" w:rsidRPr="00F461FB" w:rsidRDefault="00F461FB" w:rsidP="00F461FB">
            <w:pPr>
              <w:rPr>
                <w:rFonts w:asciiTheme="minorHAnsi" w:hAnsiTheme="minorHAnsi" w:cstheme="minorHAnsi"/>
                <w:color w:val="FF0000"/>
                <w:sz w:val="18"/>
                <w:szCs w:val="18"/>
              </w:rPr>
            </w:pPr>
            <w:r w:rsidRPr="00F461FB">
              <w:rPr>
                <w:rFonts w:asciiTheme="minorHAnsi" w:hAnsiTheme="minorHAnsi" w:cstheme="minorHAnsi"/>
                <w:sz w:val="18"/>
                <w:szCs w:val="18"/>
              </w:rPr>
              <w:t>Následná péče proběhla pouze na části stavby,</w:t>
            </w:r>
            <w:r w:rsidR="006051D7">
              <w:rPr>
                <w:rFonts w:asciiTheme="minorHAnsi" w:hAnsiTheme="minorHAnsi" w:cstheme="minorHAnsi"/>
                <w:sz w:val="18"/>
                <w:szCs w:val="18"/>
              </w:rPr>
              <w:t xml:space="preserve"> zbylá část byla reklamována, a </w:t>
            </w:r>
            <w:r w:rsidRPr="00F461FB">
              <w:rPr>
                <w:rFonts w:asciiTheme="minorHAnsi" w:hAnsiTheme="minorHAnsi" w:cstheme="minorHAnsi"/>
                <w:sz w:val="18"/>
                <w:szCs w:val="18"/>
              </w:rPr>
              <w:t>proto nebyla údržba fakturována.</w:t>
            </w:r>
          </w:p>
        </w:tc>
      </w:tr>
      <w:tr w:rsidR="00F461FB" w:rsidRPr="00F461FB" w:rsidTr="00F461FB">
        <w:trPr>
          <w:trHeight w:val="144"/>
        </w:trPr>
        <w:tc>
          <w:tcPr>
            <w:tcW w:w="964" w:type="dxa"/>
            <w:vAlign w:val="center"/>
          </w:tcPr>
          <w:p w:rsidR="00F461FB" w:rsidRPr="00F461FB" w:rsidRDefault="00F461FB" w:rsidP="00F461FB">
            <w:pPr>
              <w:jc w:val="center"/>
              <w:rPr>
                <w:rFonts w:asciiTheme="minorHAnsi" w:hAnsiTheme="minorHAnsi" w:cstheme="minorHAnsi"/>
                <w:color w:val="000000" w:themeColor="text1"/>
                <w:sz w:val="18"/>
                <w:szCs w:val="18"/>
              </w:rPr>
            </w:pPr>
            <w:r w:rsidRPr="00F461FB">
              <w:rPr>
                <w:rFonts w:asciiTheme="minorHAnsi" w:hAnsiTheme="minorHAnsi" w:cstheme="minorHAnsi"/>
                <w:color w:val="000000" w:themeColor="text1"/>
                <w:sz w:val="18"/>
                <w:szCs w:val="18"/>
              </w:rPr>
              <w:t>6171</w:t>
            </w:r>
          </w:p>
        </w:tc>
        <w:tc>
          <w:tcPr>
            <w:tcW w:w="855" w:type="dxa"/>
            <w:vAlign w:val="center"/>
          </w:tcPr>
          <w:p w:rsidR="00F461FB" w:rsidRPr="00F461FB" w:rsidRDefault="00F461FB" w:rsidP="00F461FB">
            <w:pPr>
              <w:jc w:val="center"/>
              <w:rPr>
                <w:rFonts w:asciiTheme="minorHAnsi" w:hAnsiTheme="minorHAnsi" w:cstheme="minorHAnsi"/>
                <w:color w:val="000000" w:themeColor="text1"/>
                <w:sz w:val="18"/>
                <w:szCs w:val="18"/>
              </w:rPr>
            </w:pPr>
            <w:r w:rsidRPr="00F461FB">
              <w:rPr>
                <w:rFonts w:asciiTheme="minorHAnsi" w:hAnsiTheme="minorHAnsi" w:cstheme="minorHAnsi"/>
                <w:color w:val="000000" w:themeColor="text1"/>
                <w:sz w:val="18"/>
                <w:szCs w:val="18"/>
              </w:rPr>
              <w:t>6121</w:t>
            </w:r>
          </w:p>
        </w:tc>
        <w:tc>
          <w:tcPr>
            <w:tcW w:w="1442" w:type="dxa"/>
            <w:vAlign w:val="center"/>
          </w:tcPr>
          <w:p w:rsidR="00F461FB" w:rsidRPr="00F461FB" w:rsidRDefault="00F461FB" w:rsidP="00F461FB">
            <w:pPr>
              <w:jc w:val="center"/>
              <w:rPr>
                <w:rFonts w:asciiTheme="minorHAnsi" w:hAnsiTheme="minorHAnsi" w:cstheme="minorHAnsi"/>
                <w:color w:val="000000" w:themeColor="text1"/>
                <w:sz w:val="18"/>
                <w:szCs w:val="18"/>
              </w:rPr>
            </w:pPr>
            <w:r w:rsidRPr="00F461FB">
              <w:rPr>
                <w:rFonts w:asciiTheme="minorHAnsi" w:hAnsiTheme="minorHAnsi" w:cstheme="minorHAnsi"/>
                <w:color w:val="000000" w:themeColor="text1"/>
                <w:sz w:val="18"/>
                <w:szCs w:val="18"/>
              </w:rPr>
              <w:t>0600602000000</w:t>
            </w:r>
          </w:p>
        </w:tc>
        <w:tc>
          <w:tcPr>
            <w:tcW w:w="850" w:type="dxa"/>
            <w:vAlign w:val="center"/>
          </w:tcPr>
          <w:p w:rsidR="00F461FB" w:rsidRPr="00F461FB" w:rsidRDefault="00F461FB" w:rsidP="00F461FB">
            <w:pPr>
              <w:jc w:val="center"/>
              <w:rPr>
                <w:rFonts w:asciiTheme="minorHAnsi" w:hAnsiTheme="minorHAnsi" w:cstheme="minorHAnsi"/>
                <w:color w:val="000000" w:themeColor="text1"/>
                <w:sz w:val="18"/>
                <w:szCs w:val="18"/>
              </w:rPr>
            </w:pPr>
          </w:p>
        </w:tc>
        <w:tc>
          <w:tcPr>
            <w:tcW w:w="1137" w:type="dxa"/>
            <w:vAlign w:val="center"/>
          </w:tcPr>
          <w:p w:rsidR="00F461FB" w:rsidRPr="00F461FB" w:rsidRDefault="00F461FB" w:rsidP="00F461FB">
            <w:pPr>
              <w:jc w:val="right"/>
              <w:rPr>
                <w:rFonts w:asciiTheme="minorHAnsi" w:hAnsiTheme="minorHAnsi" w:cstheme="minorHAnsi"/>
                <w:color w:val="000000" w:themeColor="text1"/>
                <w:sz w:val="18"/>
                <w:szCs w:val="18"/>
              </w:rPr>
            </w:pPr>
            <w:r w:rsidRPr="00F461FB">
              <w:rPr>
                <w:rFonts w:asciiTheme="minorHAnsi" w:hAnsiTheme="minorHAnsi" w:cstheme="minorHAnsi"/>
                <w:color w:val="000000" w:themeColor="text1"/>
                <w:sz w:val="18"/>
                <w:szCs w:val="18"/>
              </w:rPr>
              <w:t>372,68</w:t>
            </w:r>
          </w:p>
        </w:tc>
        <w:tc>
          <w:tcPr>
            <w:tcW w:w="1415" w:type="dxa"/>
            <w:vAlign w:val="center"/>
          </w:tcPr>
          <w:p w:rsidR="00F461FB" w:rsidRPr="00F461FB" w:rsidRDefault="00F461FB" w:rsidP="00F461FB">
            <w:pPr>
              <w:jc w:val="right"/>
              <w:rPr>
                <w:rFonts w:asciiTheme="minorHAnsi" w:hAnsiTheme="minorHAnsi" w:cstheme="minorHAnsi"/>
                <w:color w:val="000000" w:themeColor="text1"/>
                <w:sz w:val="18"/>
                <w:szCs w:val="18"/>
              </w:rPr>
            </w:pPr>
            <w:r w:rsidRPr="00F461FB">
              <w:rPr>
                <w:rFonts w:asciiTheme="minorHAnsi" w:hAnsiTheme="minorHAnsi" w:cstheme="minorHAnsi"/>
                <w:color w:val="000000" w:themeColor="text1"/>
                <w:sz w:val="18"/>
                <w:szCs w:val="18"/>
              </w:rPr>
              <w:t>163,35</w:t>
            </w:r>
          </w:p>
        </w:tc>
        <w:tc>
          <w:tcPr>
            <w:tcW w:w="3402" w:type="dxa"/>
            <w:vAlign w:val="center"/>
          </w:tcPr>
          <w:p w:rsidR="00F461FB" w:rsidRPr="00F461FB" w:rsidRDefault="00F461FB" w:rsidP="00F461FB">
            <w:pPr>
              <w:rPr>
                <w:rFonts w:asciiTheme="minorHAnsi" w:hAnsiTheme="minorHAnsi" w:cstheme="minorHAnsi"/>
                <w:b/>
                <w:sz w:val="18"/>
                <w:szCs w:val="18"/>
              </w:rPr>
            </w:pPr>
            <w:r w:rsidRPr="00F461FB">
              <w:rPr>
                <w:rFonts w:asciiTheme="minorHAnsi" w:hAnsiTheme="minorHAnsi" w:cstheme="minorHAnsi"/>
                <w:b/>
                <w:sz w:val="18"/>
                <w:szCs w:val="18"/>
              </w:rPr>
              <w:t>Rekonstrukce střechy Havlíčkova 2-4</w:t>
            </w:r>
          </w:p>
          <w:p w:rsidR="00F461FB" w:rsidRPr="00F461FB" w:rsidRDefault="00F461FB" w:rsidP="00F461FB">
            <w:pPr>
              <w:rPr>
                <w:rFonts w:asciiTheme="minorHAnsi" w:hAnsiTheme="minorHAnsi" w:cstheme="minorHAnsi"/>
                <w:color w:val="FF0000"/>
                <w:sz w:val="18"/>
                <w:szCs w:val="18"/>
              </w:rPr>
            </w:pPr>
            <w:r w:rsidRPr="00F461FB">
              <w:rPr>
                <w:rFonts w:asciiTheme="minorHAnsi" w:hAnsiTheme="minorHAnsi" w:cstheme="minorHAnsi"/>
                <w:sz w:val="18"/>
                <w:szCs w:val="18"/>
              </w:rPr>
              <w:t>Došlo pouze k částečnému plnění. Projektová dokumentace má být dle SoD odevzdána do konce II čtvrtletí.</w:t>
            </w:r>
          </w:p>
        </w:tc>
      </w:tr>
      <w:tr w:rsidR="00F461FB" w:rsidRPr="00F461FB" w:rsidTr="00F461FB">
        <w:trPr>
          <w:trHeight w:val="144"/>
        </w:trPr>
        <w:tc>
          <w:tcPr>
            <w:tcW w:w="964" w:type="dxa"/>
            <w:vAlign w:val="center"/>
          </w:tcPr>
          <w:p w:rsidR="00F461FB" w:rsidRPr="00F461FB" w:rsidRDefault="00F461FB" w:rsidP="00F461FB">
            <w:pPr>
              <w:jc w:val="center"/>
              <w:rPr>
                <w:rFonts w:asciiTheme="minorHAnsi" w:hAnsiTheme="minorHAnsi" w:cstheme="minorHAnsi"/>
                <w:color w:val="000000" w:themeColor="text1"/>
                <w:sz w:val="18"/>
                <w:szCs w:val="18"/>
              </w:rPr>
            </w:pPr>
            <w:r w:rsidRPr="00F461FB">
              <w:rPr>
                <w:rFonts w:asciiTheme="minorHAnsi" w:hAnsiTheme="minorHAnsi" w:cstheme="minorHAnsi"/>
                <w:color w:val="000000" w:themeColor="text1"/>
                <w:sz w:val="18"/>
                <w:szCs w:val="18"/>
              </w:rPr>
              <w:t>3113</w:t>
            </w:r>
          </w:p>
        </w:tc>
        <w:tc>
          <w:tcPr>
            <w:tcW w:w="855" w:type="dxa"/>
            <w:vAlign w:val="center"/>
          </w:tcPr>
          <w:p w:rsidR="00F461FB" w:rsidRPr="00F461FB" w:rsidRDefault="00F461FB" w:rsidP="00F461FB">
            <w:pPr>
              <w:jc w:val="center"/>
              <w:rPr>
                <w:rFonts w:asciiTheme="minorHAnsi" w:hAnsiTheme="minorHAnsi" w:cstheme="minorHAnsi"/>
                <w:color w:val="000000" w:themeColor="text1"/>
                <w:sz w:val="18"/>
                <w:szCs w:val="18"/>
              </w:rPr>
            </w:pPr>
            <w:r w:rsidRPr="00F461FB">
              <w:rPr>
                <w:rFonts w:asciiTheme="minorHAnsi" w:hAnsiTheme="minorHAnsi" w:cstheme="minorHAnsi"/>
                <w:color w:val="000000" w:themeColor="text1"/>
                <w:sz w:val="18"/>
                <w:szCs w:val="18"/>
              </w:rPr>
              <w:t>6121</w:t>
            </w:r>
          </w:p>
        </w:tc>
        <w:tc>
          <w:tcPr>
            <w:tcW w:w="1442" w:type="dxa"/>
            <w:vAlign w:val="center"/>
          </w:tcPr>
          <w:p w:rsidR="00F461FB" w:rsidRPr="00F461FB" w:rsidRDefault="00F461FB" w:rsidP="00F461FB">
            <w:pPr>
              <w:jc w:val="center"/>
              <w:rPr>
                <w:rFonts w:asciiTheme="minorHAnsi" w:hAnsiTheme="minorHAnsi" w:cstheme="minorHAnsi"/>
                <w:color w:val="000000" w:themeColor="text1"/>
                <w:sz w:val="18"/>
                <w:szCs w:val="18"/>
              </w:rPr>
            </w:pPr>
            <w:r w:rsidRPr="00F461FB">
              <w:rPr>
                <w:rFonts w:asciiTheme="minorHAnsi" w:hAnsiTheme="minorHAnsi" w:cstheme="minorHAnsi"/>
                <w:color w:val="000000" w:themeColor="text1"/>
                <w:sz w:val="18"/>
                <w:szCs w:val="18"/>
              </w:rPr>
              <w:t>0600688000000</w:t>
            </w:r>
          </w:p>
        </w:tc>
        <w:tc>
          <w:tcPr>
            <w:tcW w:w="850" w:type="dxa"/>
            <w:vAlign w:val="center"/>
          </w:tcPr>
          <w:p w:rsidR="00F461FB" w:rsidRPr="00F461FB" w:rsidRDefault="00F461FB" w:rsidP="00F461FB">
            <w:pPr>
              <w:jc w:val="center"/>
              <w:rPr>
                <w:rFonts w:asciiTheme="minorHAnsi" w:hAnsiTheme="minorHAnsi" w:cstheme="minorHAnsi"/>
                <w:color w:val="000000" w:themeColor="text1"/>
                <w:sz w:val="18"/>
                <w:szCs w:val="18"/>
              </w:rPr>
            </w:pPr>
          </w:p>
        </w:tc>
        <w:tc>
          <w:tcPr>
            <w:tcW w:w="1137" w:type="dxa"/>
            <w:vAlign w:val="center"/>
          </w:tcPr>
          <w:p w:rsidR="00F461FB" w:rsidRPr="00F461FB" w:rsidRDefault="00F461FB" w:rsidP="00F461FB">
            <w:pPr>
              <w:jc w:val="right"/>
              <w:rPr>
                <w:rFonts w:asciiTheme="minorHAnsi" w:hAnsiTheme="minorHAnsi" w:cstheme="minorHAnsi"/>
                <w:color w:val="000000" w:themeColor="text1"/>
                <w:sz w:val="18"/>
                <w:szCs w:val="18"/>
              </w:rPr>
            </w:pPr>
            <w:r w:rsidRPr="00F461FB">
              <w:rPr>
                <w:rFonts w:asciiTheme="minorHAnsi" w:hAnsiTheme="minorHAnsi" w:cstheme="minorHAnsi"/>
                <w:color w:val="000000" w:themeColor="text1"/>
                <w:sz w:val="18"/>
                <w:szCs w:val="18"/>
              </w:rPr>
              <w:t>500,00</w:t>
            </w:r>
          </w:p>
        </w:tc>
        <w:tc>
          <w:tcPr>
            <w:tcW w:w="1415" w:type="dxa"/>
            <w:vAlign w:val="center"/>
          </w:tcPr>
          <w:p w:rsidR="00F461FB" w:rsidRPr="00F461FB" w:rsidRDefault="00F461FB" w:rsidP="00F461FB">
            <w:pPr>
              <w:jc w:val="right"/>
              <w:rPr>
                <w:rFonts w:asciiTheme="minorHAnsi" w:hAnsiTheme="minorHAnsi" w:cstheme="minorHAnsi"/>
                <w:color w:val="000000" w:themeColor="text1"/>
                <w:sz w:val="18"/>
                <w:szCs w:val="18"/>
              </w:rPr>
            </w:pPr>
            <w:r w:rsidRPr="00F461FB">
              <w:rPr>
                <w:rFonts w:asciiTheme="minorHAnsi" w:hAnsiTheme="minorHAnsi" w:cstheme="minorHAnsi"/>
                <w:color w:val="000000" w:themeColor="text1"/>
                <w:sz w:val="18"/>
                <w:szCs w:val="18"/>
              </w:rPr>
              <w:t>229,90</w:t>
            </w:r>
          </w:p>
        </w:tc>
        <w:tc>
          <w:tcPr>
            <w:tcW w:w="3402" w:type="dxa"/>
            <w:vAlign w:val="center"/>
          </w:tcPr>
          <w:p w:rsidR="00F461FB" w:rsidRPr="00F461FB" w:rsidRDefault="00F461FB" w:rsidP="00F461FB">
            <w:pPr>
              <w:rPr>
                <w:rFonts w:asciiTheme="minorHAnsi" w:hAnsiTheme="minorHAnsi" w:cstheme="minorHAnsi"/>
                <w:b/>
                <w:sz w:val="18"/>
                <w:szCs w:val="18"/>
              </w:rPr>
            </w:pPr>
            <w:r w:rsidRPr="00F461FB">
              <w:rPr>
                <w:rFonts w:asciiTheme="minorHAnsi" w:hAnsiTheme="minorHAnsi" w:cstheme="minorHAnsi"/>
                <w:b/>
                <w:sz w:val="18"/>
                <w:szCs w:val="18"/>
              </w:rPr>
              <w:t>ZŠ J. Železného - Běžecký tunel</w:t>
            </w:r>
          </w:p>
          <w:p w:rsidR="00F461FB" w:rsidRPr="00F461FB" w:rsidRDefault="00F461FB" w:rsidP="00F461FB">
            <w:pPr>
              <w:rPr>
                <w:rFonts w:asciiTheme="minorHAnsi" w:hAnsiTheme="minorHAnsi" w:cstheme="minorHAnsi"/>
                <w:color w:val="FF0000"/>
                <w:sz w:val="18"/>
                <w:szCs w:val="18"/>
              </w:rPr>
            </w:pPr>
            <w:r w:rsidRPr="00F461FB">
              <w:rPr>
                <w:rFonts w:asciiTheme="minorHAnsi" w:hAnsiTheme="minorHAnsi" w:cstheme="minorHAnsi"/>
                <w:sz w:val="18"/>
                <w:szCs w:val="18"/>
              </w:rPr>
              <w:t>PD zpracována. Výběrové řízení ukončeno. Je podepsaná smlouva o dílo a podána žádost o dotaci. Čeká se na vyhodnocení podané žádosti.</w:t>
            </w:r>
          </w:p>
        </w:tc>
      </w:tr>
      <w:tr w:rsidR="00F461FB" w:rsidRPr="00F461FB" w:rsidTr="00F461FB">
        <w:trPr>
          <w:trHeight w:val="440"/>
        </w:trPr>
        <w:tc>
          <w:tcPr>
            <w:tcW w:w="964" w:type="dxa"/>
            <w:vAlign w:val="center"/>
          </w:tcPr>
          <w:p w:rsidR="00F461FB" w:rsidRPr="00F461FB" w:rsidRDefault="00F461FB" w:rsidP="00F461FB">
            <w:pPr>
              <w:jc w:val="center"/>
              <w:rPr>
                <w:rFonts w:asciiTheme="minorHAnsi" w:hAnsiTheme="minorHAnsi" w:cstheme="minorHAnsi"/>
                <w:sz w:val="18"/>
                <w:szCs w:val="18"/>
              </w:rPr>
            </w:pPr>
            <w:r w:rsidRPr="00F461FB">
              <w:rPr>
                <w:rFonts w:asciiTheme="minorHAnsi" w:hAnsiTheme="minorHAnsi" w:cstheme="minorHAnsi"/>
                <w:sz w:val="18"/>
                <w:szCs w:val="18"/>
              </w:rPr>
              <w:t>3745</w:t>
            </w:r>
          </w:p>
        </w:tc>
        <w:tc>
          <w:tcPr>
            <w:tcW w:w="855" w:type="dxa"/>
            <w:vAlign w:val="center"/>
          </w:tcPr>
          <w:p w:rsidR="00F461FB" w:rsidRPr="00F461FB" w:rsidRDefault="00F461FB" w:rsidP="00F461FB">
            <w:pPr>
              <w:jc w:val="center"/>
              <w:rPr>
                <w:rFonts w:asciiTheme="minorHAnsi" w:hAnsiTheme="minorHAnsi" w:cstheme="minorHAnsi"/>
                <w:sz w:val="18"/>
                <w:szCs w:val="18"/>
              </w:rPr>
            </w:pPr>
            <w:r w:rsidRPr="00F461FB">
              <w:rPr>
                <w:rFonts w:asciiTheme="minorHAnsi" w:hAnsiTheme="minorHAnsi" w:cstheme="minorHAnsi"/>
                <w:sz w:val="18"/>
                <w:szCs w:val="18"/>
              </w:rPr>
              <w:t>5169</w:t>
            </w:r>
          </w:p>
        </w:tc>
        <w:tc>
          <w:tcPr>
            <w:tcW w:w="1442" w:type="dxa"/>
            <w:vAlign w:val="center"/>
          </w:tcPr>
          <w:p w:rsidR="00F461FB" w:rsidRPr="00F461FB" w:rsidRDefault="00F461FB" w:rsidP="00F461FB">
            <w:pPr>
              <w:rPr>
                <w:rFonts w:asciiTheme="minorHAnsi" w:hAnsiTheme="minorHAnsi" w:cstheme="minorHAnsi"/>
                <w:sz w:val="18"/>
                <w:szCs w:val="18"/>
              </w:rPr>
            </w:pPr>
            <w:r w:rsidRPr="00F461FB">
              <w:rPr>
                <w:rFonts w:asciiTheme="minorHAnsi" w:hAnsiTheme="minorHAnsi" w:cstheme="minorHAnsi"/>
                <w:sz w:val="18"/>
                <w:szCs w:val="18"/>
              </w:rPr>
              <w:t>0600729000000</w:t>
            </w:r>
          </w:p>
        </w:tc>
        <w:tc>
          <w:tcPr>
            <w:tcW w:w="850" w:type="dxa"/>
            <w:vAlign w:val="center"/>
          </w:tcPr>
          <w:p w:rsidR="00F461FB" w:rsidRPr="00F461FB" w:rsidRDefault="00F461FB" w:rsidP="00F461FB">
            <w:pPr>
              <w:jc w:val="center"/>
              <w:rPr>
                <w:rFonts w:asciiTheme="minorHAnsi" w:hAnsiTheme="minorHAnsi" w:cstheme="minorHAnsi"/>
                <w:color w:val="000000" w:themeColor="text1"/>
                <w:sz w:val="18"/>
                <w:szCs w:val="18"/>
              </w:rPr>
            </w:pPr>
          </w:p>
        </w:tc>
        <w:tc>
          <w:tcPr>
            <w:tcW w:w="1137" w:type="dxa"/>
            <w:vAlign w:val="center"/>
          </w:tcPr>
          <w:p w:rsidR="00F461FB" w:rsidRPr="00F461FB" w:rsidRDefault="00F461FB" w:rsidP="00F461FB">
            <w:pPr>
              <w:jc w:val="right"/>
              <w:rPr>
                <w:rFonts w:asciiTheme="minorHAnsi" w:hAnsiTheme="minorHAnsi" w:cstheme="minorHAnsi"/>
                <w:color w:val="000000" w:themeColor="text1"/>
                <w:sz w:val="18"/>
                <w:szCs w:val="18"/>
              </w:rPr>
            </w:pPr>
            <w:r w:rsidRPr="00F461FB">
              <w:rPr>
                <w:rFonts w:asciiTheme="minorHAnsi" w:hAnsiTheme="minorHAnsi" w:cstheme="minorHAnsi"/>
                <w:color w:val="000000" w:themeColor="text1"/>
                <w:sz w:val="18"/>
                <w:szCs w:val="18"/>
              </w:rPr>
              <w:t>300,00</w:t>
            </w:r>
          </w:p>
        </w:tc>
        <w:tc>
          <w:tcPr>
            <w:tcW w:w="1415" w:type="dxa"/>
            <w:vAlign w:val="center"/>
          </w:tcPr>
          <w:p w:rsidR="00F461FB" w:rsidRPr="00F461FB" w:rsidRDefault="00F461FB" w:rsidP="00F461FB">
            <w:pPr>
              <w:jc w:val="right"/>
              <w:rPr>
                <w:rFonts w:asciiTheme="minorHAnsi" w:hAnsiTheme="minorHAnsi" w:cstheme="minorHAnsi"/>
                <w:color w:val="000000" w:themeColor="text1"/>
                <w:sz w:val="18"/>
                <w:szCs w:val="18"/>
              </w:rPr>
            </w:pPr>
            <w:r w:rsidRPr="00F461FB">
              <w:rPr>
                <w:rFonts w:asciiTheme="minorHAnsi" w:hAnsiTheme="minorHAnsi" w:cstheme="minorHAnsi"/>
                <w:color w:val="000000" w:themeColor="text1"/>
                <w:sz w:val="18"/>
                <w:szCs w:val="18"/>
              </w:rPr>
              <w:t>72,60</w:t>
            </w:r>
          </w:p>
        </w:tc>
        <w:tc>
          <w:tcPr>
            <w:tcW w:w="3402" w:type="dxa"/>
            <w:vAlign w:val="center"/>
          </w:tcPr>
          <w:p w:rsidR="00F461FB" w:rsidRPr="00F461FB" w:rsidRDefault="00F461FB" w:rsidP="00F461FB">
            <w:pPr>
              <w:rPr>
                <w:rFonts w:asciiTheme="minorHAnsi" w:hAnsiTheme="minorHAnsi" w:cstheme="minorHAnsi"/>
                <w:b/>
                <w:sz w:val="18"/>
                <w:szCs w:val="18"/>
              </w:rPr>
            </w:pPr>
            <w:r w:rsidRPr="00F461FB">
              <w:rPr>
                <w:rFonts w:asciiTheme="minorHAnsi" w:hAnsiTheme="minorHAnsi" w:cstheme="minorHAnsi"/>
                <w:b/>
                <w:sz w:val="18"/>
                <w:szCs w:val="18"/>
              </w:rPr>
              <w:t>1. etapa Jižního prstence – PD</w:t>
            </w:r>
          </w:p>
          <w:p w:rsidR="00F461FB" w:rsidRPr="00F461FB" w:rsidRDefault="00F461FB" w:rsidP="00F461FB">
            <w:pPr>
              <w:rPr>
                <w:rFonts w:asciiTheme="minorHAnsi" w:hAnsiTheme="minorHAnsi" w:cstheme="minorHAnsi"/>
                <w:color w:val="FF0000"/>
                <w:sz w:val="18"/>
                <w:szCs w:val="18"/>
              </w:rPr>
            </w:pPr>
            <w:r w:rsidRPr="00F461FB">
              <w:rPr>
                <w:rFonts w:asciiTheme="minorHAnsi" w:hAnsiTheme="minorHAnsi" w:cstheme="minorHAnsi"/>
                <w:sz w:val="18"/>
                <w:szCs w:val="18"/>
              </w:rPr>
              <w:t>Zpracována studie, probíhá výkup pozemků.</w:t>
            </w:r>
          </w:p>
        </w:tc>
      </w:tr>
      <w:tr w:rsidR="00F461FB" w:rsidRPr="00F461FB" w:rsidTr="00F461FB">
        <w:trPr>
          <w:trHeight w:val="661"/>
        </w:trPr>
        <w:tc>
          <w:tcPr>
            <w:tcW w:w="964" w:type="dxa"/>
            <w:vAlign w:val="center"/>
          </w:tcPr>
          <w:p w:rsidR="00F461FB" w:rsidRPr="00F461FB" w:rsidRDefault="00F461FB" w:rsidP="00F461FB">
            <w:pPr>
              <w:jc w:val="center"/>
              <w:rPr>
                <w:rFonts w:asciiTheme="minorHAnsi" w:hAnsiTheme="minorHAnsi" w:cstheme="minorHAnsi"/>
                <w:sz w:val="18"/>
                <w:szCs w:val="18"/>
              </w:rPr>
            </w:pPr>
            <w:r w:rsidRPr="00F461FB">
              <w:rPr>
                <w:rFonts w:asciiTheme="minorHAnsi" w:hAnsiTheme="minorHAnsi" w:cstheme="minorHAnsi"/>
                <w:sz w:val="18"/>
                <w:szCs w:val="18"/>
              </w:rPr>
              <w:t>3313</w:t>
            </w:r>
          </w:p>
        </w:tc>
        <w:tc>
          <w:tcPr>
            <w:tcW w:w="855" w:type="dxa"/>
            <w:vAlign w:val="center"/>
          </w:tcPr>
          <w:p w:rsidR="00F461FB" w:rsidRPr="00F461FB" w:rsidRDefault="00F461FB" w:rsidP="00F461FB">
            <w:pPr>
              <w:jc w:val="center"/>
              <w:rPr>
                <w:rFonts w:asciiTheme="minorHAnsi" w:hAnsiTheme="minorHAnsi" w:cstheme="minorHAnsi"/>
                <w:sz w:val="18"/>
                <w:szCs w:val="18"/>
              </w:rPr>
            </w:pPr>
            <w:r w:rsidRPr="00F461FB">
              <w:rPr>
                <w:rFonts w:asciiTheme="minorHAnsi" w:hAnsiTheme="minorHAnsi" w:cstheme="minorHAnsi"/>
                <w:sz w:val="18"/>
                <w:szCs w:val="18"/>
              </w:rPr>
              <w:t>5171</w:t>
            </w:r>
          </w:p>
        </w:tc>
        <w:tc>
          <w:tcPr>
            <w:tcW w:w="1442" w:type="dxa"/>
            <w:vAlign w:val="center"/>
          </w:tcPr>
          <w:p w:rsidR="00F461FB" w:rsidRPr="00F461FB" w:rsidRDefault="00F461FB" w:rsidP="00F461FB">
            <w:pPr>
              <w:rPr>
                <w:rFonts w:asciiTheme="minorHAnsi" w:hAnsiTheme="minorHAnsi" w:cstheme="minorHAnsi"/>
                <w:sz w:val="18"/>
                <w:szCs w:val="18"/>
              </w:rPr>
            </w:pPr>
            <w:r w:rsidRPr="00F461FB">
              <w:rPr>
                <w:rFonts w:asciiTheme="minorHAnsi" w:hAnsiTheme="minorHAnsi" w:cstheme="minorHAnsi"/>
                <w:sz w:val="18"/>
                <w:szCs w:val="18"/>
              </w:rPr>
              <w:t>0600734000000</w:t>
            </w:r>
          </w:p>
        </w:tc>
        <w:tc>
          <w:tcPr>
            <w:tcW w:w="850" w:type="dxa"/>
            <w:vAlign w:val="center"/>
          </w:tcPr>
          <w:p w:rsidR="00F461FB" w:rsidRPr="00F461FB" w:rsidRDefault="00F461FB" w:rsidP="00F461FB">
            <w:pPr>
              <w:jc w:val="center"/>
              <w:rPr>
                <w:rFonts w:asciiTheme="minorHAnsi" w:hAnsiTheme="minorHAnsi" w:cstheme="minorHAnsi"/>
                <w:color w:val="000000" w:themeColor="text1"/>
                <w:sz w:val="18"/>
                <w:szCs w:val="18"/>
              </w:rPr>
            </w:pPr>
          </w:p>
        </w:tc>
        <w:tc>
          <w:tcPr>
            <w:tcW w:w="1137" w:type="dxa"/>
            <w:vAlign w:val="center"/>
          </w:tcPr>
          <w:p w:rsidR="00F461FB" w:rsidRPr="00F461FB" w:rsidRDefault="00F461FB" w:rsidP="00F461FB">
            <w:pPr>
              <w:jc w:val="right"/>
              <w:rPr>
                <w:rFonts w:asciiTheme="minorHAnsi" w:hAnsiTheme="minorHAnsi" w:cstheme="minorHAnsi"/>
                <w:color w:val="000000" w:themeColor="text1"/>
                <w:sz w:val="18"/>
                <w:szCs w:val="18"/>
              </w:rPr>
            </w:pPr>
            <w:r w:rsidRPr="00F461FB">
              <w:rPr>
                <w:rFonts w:asciiTheme="minorHAnsi" w:hAnsiTheme="minorHAnsi" w:cstheme="minorHAnsi"/>
                <w:color w:val="000000" w:themeColor="text1"/>
                <w:sz w:val="18"/>
                <w:szCs w:val="18"/>
              </w:rPr>
              <w:t>500,00</w:t>
            </w:r>
          </w:p>
        </w:tc>
        <w:tc>
          <w:tcPr>
            <w:tcW w:w="1415" w:type="dxa"/>
            <w:vAlign w:val="center"/>
          </w:tcPr>
          <w:p w:rsidR="00F461FB" w:rsidRPr="00F461FB" w:rsidRDefault="00F461FB" w:rsidP="00F461FB">
            <w:pPr>
              <w:jc w:val="right"/>
              <w:rPr>
                <w:rFonts w:asciiTheme="minorHAnsi" w:hAnsiTheme="minorHAnsi" w:cstheme="minorHAnsi"/>
                <w:color w:val="000000" w:themeColor="text1"/>
                <w:sz w:val="18"/>
                <w:szCs w:val="18"/>
              </w:rPr>
            </w:pPr>
            <w:r w:rsidRPr="00F461FB">
              <w:rPr>
                <w:rFonts w:asciiTheme="minorHAnsi" w:hAnsiTheme="minorHAnsi" w:cstheme="minorHAnsi"/>
                <w:color w:val="000000" w:themeColor="text1"/>
                <w:sz w:val="18"/>
                <w:szCs w:val="18"/>
              </w:rPr>
              <w:t>252,53</w:t>
            </w:r>
          </w:p>
        </w:tc>
        <w:tc>
          <w:tcPr>
            <w:tcW w:w="3402" w:type="dxa"/>
            <w:vAlign w:val="center"/>
          </w:tcPr>
          <w:p w:rsidR="00F461FB" w:rsidRPr="00F461FB" w:rsidRDefault="00F461FB" w:rsidP="00F461FB">
            <w:pPr>
              <w:rPr>
                <w:rFonts w:asciiTheme="minorHAnsi" w:hAnsiTheme="minorHAnsi" w:cstheme="minorHAnsi"/>
                <w:b/>
                <w:sz w:val="18"/>
                <w:szCs w:val="18"/>
              </w:rPr>
            </w:pPr>
            <w:r w:rsidRPr="00F461FB">
              <w:rPr>
                <w:rFonts w:asciiTheme="minorHAnsi" w:hAnsiTheme="minorHAnsi" w:cstheme="minorHAnsi"/>
                <w:b/>
                <w:sz w:val="18"/>
                <w:szCs w:val="18"/>
              </w:rPr>
              <w:t>Kino Metro 70 - oprava schodiště a betonových pilířů vč. PD</w:t>
            </w:r>
          </w:p>
          <w:p w:rsidR="00F461FB" w:rsidRPr="00F461FB" w:rsidRDefault="00F461FB" w:rsidP="00F461FB">
            <w:pPr>
              <w:rPr>
                <w:rFonts w:asciiTheme="minorHAnsi" w:hAnsiTheme="minorHAnsi" w:cstheme="minorHAnsi"/>
                <w:color w:val="FF0000"/>
                <w:sz w:val="18"/>
                <w:szCs w:val="18"/>
              </w:rPr>
            </w:pPr>
            <w:r w:rsidRPr="00F461FB">
              <w:rPr>
                <w:rFonts w:asciiTheme="minorHAnsi" w:hAnsiTheme="minorHAnsi" w:cstheme="minorHAnsi"/>
                <w:sz w:val="18"/>
                <w:szCs w:val="18"/>
              </w:rPr>
              <w:t>Došlo k úspoře finančních prostředků.</w:t>
            </w:r>
          </w:p>
        </w:tc>
      </w:tr>
      <w:tr w:rsidR="00F461FB" w:rsidRPr="00F461FB" w:rsidTr="00F461FB">
        <w:trPr>
          <w:trHeight w:val="661"/>
        </w:trPr>
        <w:tc>
          <w:tcPr>
            <w:tcW w:w="964" w:type="dxa"/>
            <w:vAlign w:val="center"/>
          </w:tcPr>
          <w:p w:rsidR="00F461FB" w:rsidRPr="00F461FB" w:rsidRDefault="00F461FB" w:rsidP="00F461FB">
            <w:pPr>
              <w:jc w:val="center"/>
              <w:rPr>
                <w:rFonts w:asciiTheme="minorHAnsi" w:hAnsiTheme="minorHAnsi" w:cstheme="minorHAnsi"/>
                <w:sz w:val="18"/>
                <w:szCs w:val="18"/>
              </w:rPr>
            </w:pPr>
            <w:r w:rsidRPr="00F461FB">
              <w:rPr>
                <w:rFonts w:asciiTheme="minorHAnsi" w:hAnsiTheme="minorHAnsi" w:cstheme="minorHAnsi"/>
                <w:sz w:val="18"/>
                <w:szCs w:val="18"/>
              </w:rPr>
              <w:t>6171</w:t>
            </w:r>
          </w:p>
        </w:tc>
        <w:tc>
          <w:tcPr>
            <w:tcW w:w="855" w:type="dxa"/>
            <w:vAlign w:val="center"/>
          </w:tcPr>
          <w:p w:rsidR="00F461FB" w:rsidRPr="00F461FB" w:rsidRDefault="00F461FB" w:rsidP="00F461FB">
            <w:pPr>
              <w:jc w:val="center"/>
              <w:rPr>
                <w:rFonts w:asciiTheme="minorHAnsi" w:hAnsiTheme="minorHAnsi" w:cstheme="minorHAnsi"/>
                <w:sz w:val="18"/>
                <w:szCs w:val="18"/>
              </w:rPr>
            </w:pPr>
            <w:r w:rsidRPr="00F461FB">
              <w:rPr>
                <w:rFonts w:asciiTheme="minorHAnsi" w:hAnsiTheme="minorHAnsi" w:cstheme="minorHAnsi"/>
                <w:sz w:val="18"/>
                <w:szCs w:val="18"/>
              </w:rPr>
              <w:t>6121</w:t>
            </w:r>
          </w:p>
        </w:tc>
        <w:tc>
          <w:tcPr>
            <w:tcW w:w="1442" w:type="dxa"/>
            <w:vAlign w:val="center"/>
          </w:tcPr>
          <w:p w:rsidR="00F461FB" w:rsidRPr="00F461FB" w:rsidRDefault="00F461FB" w:rsidP="00F461FB">
            <w:pPr>
              <w:rPr>
                <w:rFonts w:asciiTheme="minorHAnsi" w:hAnsiTheme="minorHAnsi" w:cstheme="minorHAnsi"/>
                <w:sz w:val="18"/>
                <w:szCs w:val="18"/>
              </w:rPr>
            </w:pPr>
            <w:r w:rsidRPr="00F461FB">
              <w:rPr>
                <w:rFonts w:asciiTheme="minorHAnsi" w:hAnsiTheme="minorHAnsi" w:cstheme="minorHAnsi"/>
                <w:sz w:val="18"/>
                <w:szCs w:val="18"/>
              </w:rPr>
              <w:t>0600739000000</w:t>
            </w:r>
          </w:p>
        </w:tc>
        <w:tc>
          <w:tcPr>
            <w:tcW w:w="850" w:type="dxa"/>
            <w:vAlign w:val="center"/>
          </w:tcPr>
          <w:p w:rsidR="00F461FB" w:rsidRPr="00F461FB" w:rsidRDefault="00F461FB" w:rsidP="00F461FB">
            <w:pPr>
              <w:jc w:val="center"/>
              <w:rPr>
                <w:rFonts w:asciiTheme="minorHAnsi" w:hAnsiTheme="minorHAnsi" w:cstheme="minorHAnsi"/>
                <w:color w:val="000000" w:themeColor="text1"/>
                <w:sz w:val="18"/>
                <w:szCs w:val="18"/>
              </w:rPr>
            </w:pPr>
          </w:p>
        </w:tc>
        <w:tc>
          <w:tcPr>
            <w:tcW w:w="1137" w:type="dxa"/>
            <w:vAlign w:val="center"/>
          </w:tcPr>
          <w:p w:rsidR="00F461FB" w:rsidRPr="00F461FB" w:rsidRDefault="00F461FB" w:rsidP="00F461FB">
            <w:pPr>
              <w:jc w:val="right"/>
              <w:rPr>
                <w:rFonts w:asciiTheme="minorHAnsi" w:hAnsiTheme="minorHAnsi" w:cstheme="minorHAnsi"/>
                <w:color w:val="000000" w:themeColor="text1"/>
                <w:sz w:val="18"/>
                <w:szCs w:val="18"/>
              </w:rPr>
            </w:pPr>
            <w:r w:rsidRPr="00F461FB">
              <w:rPr>
                <w:rFonts w:asciiTheme="minorHAnsi" w:hAnsiTheme="minorHAnsi" w:cstheme="minorHAnsi"/>
                <w:color w:val="000000" w:themeColor="text1"/>
                <w:sz w:val="18"/>
                <w:szCs w:val="18"/>
              </w:rPr>
              <w:t>200,00</w:t>
            </w:r>
          </w:p>
        </w:tc>
        <w:tc>
          <w:tcPr>
            <w:tcW w:w="1415" w:type="dxa"/>
            <w:vAlign w:val="center"/>
          </w:tcPr>
          <w:p w:rsidR="00F461FB" w:rsidRPr="00F461FB" w:rsidRDefault="00F461FB" w:rsidP="00F461FB">
            <w:pPr>
              <w:jc w:val="right"/>
              <w:rPr>
                <w:rFonts w:asciiTheme="minorHAnsi" w:hAnsiTheme="minorHAnsi" w:cstheme="minorHAnsi"/>
                <w:color w:val="000000" w:themeColor="text1"/>
                <w:sz w:val="18"/>
                <w:szCs w:val="18"/>
              </w:rPr>
            </w:pPr>
            <w:r w:rsidRPr="00F461FB">
              <w:rPr>
                <w:rFonts w:asciiTheme="minorHAnsi" w:hAnsiTheme="minorHAnsi" w:cstheme="minorHAnsi"/>
                <w:color w:val="000000" w:themeColor="text1"/>
                <w:sz w:val="18"/>
                <w:szCs w:val="18"/>
              </w:rPr>
              <w:t>100,79</w:t>
            </w:r>
          </w:p>
        </w:tc>
        <w:tc>
          <w:tcPr>
            <w:tcW w:w="3402" w:type="dxa"/>
            <w:vAlign w:val="center"/>
          </w:tcPr>
          <w:p w:rsidR="00F461FB" w:rsidRPr="00F461FB" w:rsidRDefault="00F461FB" w:rsidP="00F461FB">
            <w:pPr>
              <w:rPr>
                <w:rFonts w:asciiTheme="minorHAnsi" w:hAnsiTheme="minorHAnsi" w:cstheme="minorHAnsi"/>
                <w:b/>
                <w:sz w:val="18"/>
                <w:szCs w:val="18"/>
              </w:rPr>
            </w:pPr>
            <w:r w:rsidRPr="00F461FB">
              <w:rPr>
                <w:rFonts w:asciiTheme="minorHAnsi" w:hAnsiTheme="minorHAnsi" w:cstheme="minorHAnsi"/>
                <w:b/>
                <w:sz w:val="18"/>
                <w:szCs w:val="18"/>
              </w:rPr>
              <w:t>Stavební úpravy WC v budově Křížkovského, Demelova</w:t>
            </w:r>
          </w:p>
          <w:p w:rsidR="00F461FB" w:rsidRPr="00F461FB" w:rsidRDefault="00F461FB" w:rsidP="00F461FB">
            <w:pPr>
              <w:rPr>
                <w:rFonts w:asciiTheme="minorHAnsi" w:hAnsiTheme="minorHAnsi" w:cstheme="minorHAnsi"/>
                <w:color w:val="FF0000"/>
                <w:sz w:val="18"/>
                <w:szCs w:val="18"/>
              </w:rPr>
            </w:pPr>
            <w:r w:rsidRPr="00F461FB">
              <w:rPr>
                <w:rFonts w:asciiTheme="minorHAnsi" w:hAnsiTheme="minorHAnsi" w:cstheme="minorHAnsi"/>
                <w:sz w:val="18"/>
                <w:szCs w:val="18"/>
              </w:rPr>
              <w:t>Projektová dokumentace je zpracována. Realizace se předpokládá v roce 2023.</w:t>
            </w:r>
          </w:p>
        </w:tc>
      </w:tr>
      <w:tr w:rsidR="00F461FB" w:rsidRPr="00F461FB" w:rsidTr="00F461FB">
        <w:trPr>
          <w:trHeight w:val="440"/>
        </w:trPr>
        <w:tc>
          <w:tcPr>
            <w:tcW w:w="964" w:type="dxa"/>
            <w:vAlign w:val="center"/>
          </w:tcPr>
          <w:p w:rsidR="00F461FB" w:rsidRPr="00F461FB" w:rsidRDefault="00F461FB" w:rsidP="00F461FB">
            <w:pPr>
              <w:jc w:val="center"/>
              <w:rPr>
                <w:rFonts w:asciiTheme="minorHAnsi" w:hAnsiTheme="minorHAnsi" w:cstheme="minorHAnsi"/>
                <w:sz w:val="18"/>
                <w:szCs w:val="18"/>
              </w:rPr>
            </w:pPr>
            <w:r w:rsidRPr="00F461FB">
              <w:rPr>
                <w:rFonts w:asciiTheme="minorHAnsi" w:hAnsiTheme="minorHAnsi" w:cstheme="minorHAnsi"/>
                <w:sz w:val="18"/>
                <w:szCs w:val="18"/>
              </w:rPr>
              <w:t>3612</w:t>
            </w:r>
          </w:p>
        </w:tc>
        <w:tc>
          <w:tcPr>
            <w:tcW w:w="855" w:type="dxa"/>
            <w:vAlign w:val="center"/>
          </w:tcPr>
          <w:p w:rsidR="00F461FB" w:rsidRPr="00F461FB" w:rsidRDefault="00F461FB" w:rsidP="00F461FB">
            <w:pPr>
              <w:jc w:val="center"/>
              <w:rPr>
                <w:rFonts w:asciiTheme="minorHAnsi" w:hAnsiTheme="minorHAnsi" w:cstheme="minorHAnsi"/>
                <w:sz w:val="18"/>
                <w:szCs w:val="18"/>
              </w:rPr>
            </w:pPr>
            <w:r w:rsidRPr="00F461FB">
              <w:rPr>
                <w:rFonts w:asciiTheme="minorHAnsi" w:hAnsiTheme="minorHAnsi" w:cstheme="minorHAnsi"/>
                <w:sz w:val="18"/>
                <w:szCs w:val="18"/>
              </w:rPr>
              <w:t>6121</w:t>
            </w:r>
          </w:p>
        </w:tc>
        <w:tc>
          <w:tcPr>
            <w:tcW w:w="1442" w:type="dxa"/>
            <w:vAlign w:val="center"/>
          </w:tcPr>
          <w:p w:rsidR="00F461FB" w:rsidRPr="00F461FB" w:rsidRDefault="00F461FB" w:rsidP="00F461FB">
            <w:pPr>
              <w:rPr>
                <w:rFonts w:asciiTheme="minorHAnsi" w:hAnsiTheme="minorHAnsi" w:cstheme="minorHAnsi"/>
                <w:sz w:val="18"/>
                <w:szCs w:val="18"/>
              </w:rPr>
            </w:pPr>
            <w:r w:rsidRPr="00F461FB">
              <w:rPr>
                <w:rFonts w:asciiTheme="minorHAnsi" w:hAnsiTheme="minorHAnsi" w:cstheme="minorHAnsi"/>
                <w:sz w:val="18"/>
                <w:szCs w:val="18"/>
              </w:rPr>
              <w:t>0600740000000</w:t>
            </w:r>
          </w:p>
        </w:tc>
        <w:tc>
          <w:tcPr>
            <w:tcW w:w="850" w:type="dxa"/>
            <w:vAlign w:val="center"/>
          </w:tcPr>
          <w:p w:rsidR="00F461FB" w:rsidRPr="00F461FB" w:rsidRDefault="00F461FB" w:rsidP="00F461FB">
            <w:pPr>
              <w:jc w:val="center"/>
              <w:rPr>
                <w:rFonts w:asciiTheme="minorHAnsi" w:hAnsiTheme="minorHAnsi" w:cstheme="minorHAnsi"/>
                <w:color w:val="000000" w:themeColor="text1"/>
                <w:sz w:val="18"/>
                <w:szCs w:val="18"/>
              </w:rPr>
            </w:pPr>
          </w:p>
        </w:tc>
        <w:tc>
          <w:tcPr>
            <w:tcW w:w="1137" w:type="dxa"/>
            <w:vAlign w:val="center"/>
          </w:tcPr>
          <w:p w:rsidR="00F461FB" w:rsidRPr="00F461FB" w:rsidRDefault="006051D7" w:rsidP="00F461FB">
            <w:pPr>
              <w:jc w:val="righ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22 </w:t>
            </w:r>
            <w:r w:rsidR="00F461FB" w:rsidRPr="00F461FB">
              <w:rPr>
                <w:rFonts w:asciiTheme="minorHAnsi" w:hAnsiTheme="minorHAnsi" w:cstheme="minorHAnsi"/>
                <w:color w:val="000000" w:themeColor="text1"/>
                <w:sz w:val="18"/>
                <w:szCs w:val="18"/>
              </w:rPr>
              <w:t>500,00</w:t>
            </w:r>
          </w:p>
        </w:tc>
        <w:tc>
          <w:tcPr>
            <w:tcW w:w="1415" w:type="dxa"/>
            <w:vAlign w:val="center"/>
          </w:tcPr>
          <w:p w:rsidR="00F461FB" w:rsidRPr="00F461FB" w:rsidRDefault="006051D7" w:rsidP="00F461FB">
            <w:pPr>
              <w:jc w:val="righ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12 </w:t>
            </w:r>
            <w:r w:rsidR="00F461FB" w:rsidRPr="00F461FB">
              <w:rPr>
                <w:rFonts w:asciiTheme="minorHAnsi" w:hAnsiTheme="minorHAnsi" w:cstheme="minorHAnsi"/>
                <w:color w:val="000000" w:themeColor="text1"/>
                <w:sz w:val="18"/>
                <w:szCs w:val="18"/>
              </w:rPr>
              <w:t>744.17</w:t>
            </w:r>
          </w:p>
        </w:tc>
        <w:tc>
          <w:tcPr>
            <w:tcW w:w="3402" w:type="dxa"/>
            <w:vAlign w:val="center"/>
          </w:tcPr>
          <w:p w:rsidR="00F461FB" w:rsidRPr="00F461FB" w:rsidRDefault="00F461FB" w:rsidP="00F461FB">
            <w:pPr>
              <w:rPr>
                <w:rFonts w:asciiTheme="minorHAnsi" w:hAnsiTheme="minorHAnsi" w:cstheme="minorHAnsi"/>
                <w:b/>
                <w:sz w:val="18"/>
                <w:szCs w:val="18"/>
              </w:rPr>
            </w:pPr>
            <w:r w:rsidRPr="00F461FB">
              <w:rPr>
                <w:rFonts w:asciiTheme="minorHAnsi" w:hAnsiTheme="minorHAnsi" w:cstheme="minorHAnsi"/>
                <w:b/>
                <w:sz w:val="18"/>
                <w:szCs w:val="18"/>
              </w:rPr>
              <w:t>EÚO BD Finska 9</w:t>
            </w:r>
          </w:p>
          <w:p w:rsidR="00F461FB" w:rsidRPr="00F461FB" w:rsidRDefault="00F461FB" w:rsidP="00F461FB">
            <w:pPr>
              <w:rPr>
                <w:rFonts w:asciiTheme="minorHAnsi" w:hAnsiTheme="minorHAnsi" w:cstheme="minorHAnsi"/>
                <w:color w:val="FF0000"/>
                <w:sz w:val="18"/>
                <w:szCs w:val="18"/>
              </w:rPr>
            </w:pPr>
            <w:r w:rsidRPr="00F461FB">
              <w:rPr>
                <w:rFonts w:asciiTheme="minorHAnsi" w:hAnsiTheme="minorHAnsi" w:cstheme="minorHAnsi"/>
                <w:sz w:val="18"/>
                <w:szCs w:val="18"/>
              </w:rPr>
              <w:t>Probíhá realizace stavby, dokončení v první polovině roku 2023.</w:t>
            </w:r>
          </w:p>
        </w:tc>
      </w:tr>
      <w:tr w:rsidR="00F461FB" w:rsidRPr="00F461FB" w:rsidTr="00F461FB">
        <w:trPr>
          <w:trHeight w:val="220"/>
        </w:trPr>
        <w:tc>
          <w:tcPr>
            <w:tcW w:w="964" w:type="dxa"/>
            <w:vAlign w:val="center"/>
          </w:tcPr>
          <w:p w:rsidR="00F461FB" w:rsidRPr="00F461FB" w:rsidRDefault="00F461FB" w:rsidP="00F461FB">
            <w:pPr>
              <w:jc w:val="center"/>
              <w:rPr>
                <w:rFonts w:asciiTheme="minorHAnsi" w:hAnsiTheme="minorHAnsi" w:cstheme="minorHAnsi"/>
                <w:sz w:val="18"/>
                <w:szCs w:val="18"/>
              </w:rPr>
            </w:pPr>
            <w:r w:rsidRPr="00F461FB">
              <w:rPr>
                <w:rFonts w:asciiTheme="minorHAnsi" w:hAnsiTheme="minorHAnsi" w:cstheme="minorHAnsi"/>
                <w:sz w:val="18"/>
                <w:szCs w:val="18"/>
              </w:rPr>
              <w:t>2219</w:t>
            </w:r>
          </w:p>
        </w:tc>
        <w:tc>
          <w:tcPr>
            <w:tcW w:w="855" w:type="dxa"/>
            <w:vAlign w:val="center"/>
          </w:tcPr>
          <w:p w:rsidR="00F461FB" w:rsidRPr="00F461FB" w:rsidRDefault="00F461FB" w:rsidP="00F461FB">
            <w:pPr>
              <w:jc w:val="center"/>
              <w:rPr>
                <w:rFonts w:asciiTheme="minorHAnsi" w:hAnsiTheme="minorHAnsi" w:cstheme="minorHAnsi"/>
                <w:sz w:val="18"/>
                <w:szCs w:val="18"/>
              </w:rPr>
            </w:pPr>
            <w:r w:rsidRPr="00F461FB">
              <w:rPr>
                <w:rFonts w:asciiTheme="minorHAnsi" w:hAnsiTheme="minorHAnsi" w:cstheme="minorHAnsi"/>
                <w:sz w:val="18"/>
                <w:szCs w:val="18"/>
              </w:rPr>
              <w:t>6121</w:t>
            </w:r>
          </w:p>
        </w:tc>
        <w:tc>
          <w:tcPr>
            <w:tcW w:w="1442" w:type="dxa"/>
            <w:vAlign w:val="center"/>
          </w:tcPr>
          <w:p w:rsidR="00F461FB" w:rsidRPr="00F461FB" w:rsidRDefault="00F461FB" w:rsidP="00F461FB">
            <w:pPr>
              <w:rPr>
                <w:rFonts w:asciiTheme="minorHAnsi" w:hAnsiTheme="minorHAnsi" w:cstheme="minorHAnsi"/>
                <w:sz w:val="18"/>
                <w:szCs w:val="18"/>
              </w:rPr>
            </w:pPr>
            <w:r w:rsidRPr="00F461FB">
              <w:rPr>
                <w:rFonts w:asciiTheme="minorHAnsi" w:hAnsiTheme="minorHAnsi" w:cstheme="minorHAnsi"/>
                <w:sz w:val="18"/>
                <w:szCs w:val="18"/>
              </w:rPr>
              <w:t>0600756000000</w:t>
            </w:r>
          </w:p>
        </w:tc>
        <w:tc>
          <w:tcPr>
            <w:tcW w:w="850" w:type="dxa"/>
            <w:vAlign w:val="center"/>
          </w:tcPr>
          <w:p w:rsidR="00F461FB" w:rsidRPr="00F461FB" w:rsidRDefault="00F461FB" w:rsidP="00F461FB">
            <w:pPr>
              <w:jc w:val="center"/>
              <w:rPr>
                <w:rFonts w:asciiTheme="minorHAnsi" w:hAnsiTheme="minorHAnsi" w:cstheme="minorHAnsi"/>
                <w:color w:val="000000" w:themeColor="text1"/>
                <w:sz w:val="18"/>
                <w:szCs w:val="18"/>
              </w:rPr>
            </w:pPr>
          </w:p>
        </w:tc>
        <w:tc>
          <w:tcPr>
            <w:tcW w:w="1137" w:type="dxa"/>
            <w:vAlign w:val="center"/>
          </w:tcPr>
          <w:p w:rsidR="00F461FB" w:rsidRPr="00F461FB" w:rsidRDefault="006051D7" w:rsidP="00F461FB">
            <w:pPr>
              <w:jc w:val="righ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1 </w:t>
            </w:r>
            <w:r w:rsidR="00F461FB" w:rsidRPr="00F461FB">
              <w:rPr>
                <w:rFonts w:asciiTheme="minorHAnsi" w:hAnsiTheme="minorHAnsi" w:cstheme="minorHAnsi"/>
                <w:color w:val="000000" w:themeColor="text1"/>
                <w:sz w:val="18"/>
                <w:szCs w:val="18"/>
              </w:rPr>
              <w:t>000,00</w:t>
            </w:r>
          </w:p>
        </w:tc>
        <w:tc>
          <w:tcPr>
            <w:tcW w:w="1415" w:type="dxa"/>
            <w:vAlign w:val="center"/>
          </w:tcPr>
          <w:p w:rsidR="00F461FB" w:rsidRPr="00F461FB" w:rsidRDefault="00F461FB" w:rsidP="00F461FB">
            <w:pPr>
              <w:jc w:val="right"/>
              <w:rPr>
                <w:rFonts w:asciiTheme="minorHAnsi" w:hAnsiTheme="minorHAnsi" w:cstheme="minorHAnsi"/>
                <w:color w:val="000000" w:themeColor="text1"/>
                <w:sz w:val="18"/>
                <w:szCs w:val="18"/>
              </w:rPr>
            </w:pPr>
            <w:r w:rsidRPr="00F461FB">
              <w:rPr>
                <w:rFonts w:asciiTheme="minorHAnsi" w:hAnsiTheme="minorHAnsi" w:cstheme="minorHAnsi"/>
                <w:color w:val="000000" w:themeColor="text1"/>
                <w:sz w:val="18"/>
                <w:szCs w:val="18"/>
              </w:rPr>
              <w:t>459,80</w:t>
            </w:r>
          </w:p>
        </w:tc>
        <w:tc>
          <w:tcPr>
            <w:tcW w:w="3402" w:type="dxa"/>
            <w:vAlign w:val="center"/>
          </w:tcPr>
          <w:p w:rsidR="00F461FB" w:rsidRPr="00F461FB" w:rsidRDefault="00F461FB" w:rsidP="00F461FB">
            <w:pPr>
              <w:rPr>
                <w:rFonts w:asciiTheme="minorHAnsi" w:hAnsiTheme="minorHAnsi" w:cstheme="minorHAnsi"/>
                <w:b/>
                <w:sz w:val="18"/>
                <w:szCs w:val="18"/>
              </w:rPr>
            </w:pPr>
            <w:r w:rsidRPr="00F461FB">
              <w:rPr>
                <w:rFonts w:asciiTheme="minorHAnsi" w:hAnsiTheme="minorHAnsi" w:cstheme="minorHAnsi"/>
                <w:b/>
                <w:sz w:val="18"/>
                <w:szCs w:val="18"/>
              </w:rPr>
              <w:t>Podzemní parkoviště Pernštýnské nám. PD</w:t>
            </w:r>
          </w:p>
          <w:p w:rsidR="00F461FB" w:rsidRPr="00F461FB" w:rsidRDefault="00F461FB" w:rsidP="00F461FB">
            <w:pPr>
              <w:rPr>
                <w:rFonts w:asciiTheme="minorHAnsi" w:hAnsiTheme="minorHAnsi" w:cstheme="minorHAnsi"/>
                <w:color w:val="FF0000"/>
                <w:sz w:val="18"/>
                <w:szCs w:val="18"/>
              </w:rPr>
            </w:pPr>
            <w:r w:rsidRPr="00F461FB">
              <w:rPr>
                <w:rFonts w:asciiTheme="minorHAnsi" w:hAnsiTheme="minorHAnsi" w:cstheme="minorHAnsi"/>
                <w:sz w:val="18"/>
                <w:szCs w:val="18"/>
              </w:rPr>
              <w:t>Studie zpracována, došlo k úspoře finančních prostředků.</w:t>
            </w:r>
          </w:p>
        </w:tc>
      </w:tr>
      <w:tr w:rsidR="00F461FB" w:rsidRPr="00F461FB" w:rsidTr="00F461FB">
        <w:trPr>
          <w:trHeight w:val="220"/>
        </w:trPr>
        <w:tc>
          <w:tcPr>
            <w:tcW w:w="964" w:type="dxa"/>
            <w:vAlign w:val="center"/>
          </w:tcPr>
          <w:p w:rsidR="00F461FB" w:rsidRPr="00F461FB" w:rsidRDefault="00F461FB" w:rsidP="00F461FB">
            <w:pPr>
              <w:jc w:val="center"/>
              <w:rPr>
                <w:rFonts w:asciiTheme="minorHAnsi" w:hAnsiTheme="minorHAnsi" w:cstheme="minorHAnsi"/>
                <w:sz w:val="18"/>
                <w:szCs w:val="18"/>
              </w:rPr>
            </w:pPr>
            <w:r w:rsidRPr="00F461FB">
              <w:rPr>
                <w:rFonts w:asciiTheme="minorHAnsi" w:hAnsiTheme="minorHAnsi" w:cstheme="minorHAnsi"/>
                <w:sz w:val="18"/>
                <w:szCs w:val="18"/>
              </w:rPr>
              <w:t>3113</w:t>
            </w:r>
          </w:p>
        </w:tc>
        <w:tc>
          <w:tcPr>
            <w:tcW w:w="855" w:type="dxa"/>
            <w:vAlign w:val="center"/>
          </w:tcPr>
          <w:p w:rsidR="00F461FB" w:rsidRPr="00F461FB" w:rsidRDefault="00F461FB" w:rsidP="00F461FB">
            <w:pPr>
              <w:jc w:val="center"/>
              <w:rPr>
                <w:rFonts w:asciiTheme="minorHAnsi" w:hAnsiTheme="minorHAnsi" w:cstheme="minorHAnsi"/>
                <w:sz w:val="18"/>
                <w:szCs w:val="18"/>
              </w:rPr>
            </w:pPr>
            <w:r w:rsidRPr="00F461FB">
              <w:rPr>
                <w:rFonts w:asciiTheme="minorHAnsi" w:hAnsiTheme="minorHAnsi" w:cstheme="minorHAnsi"/>
                <w:sz w:val="18"/>
                <w:szCs w:val="18"/>
              </w:rPr>
              <w:t>6121</w:t>
            </w:r>
          </w:p>
        </w:tc>
        <w:tc>
          <w:tcPr>
            <w:tcW w:w="1442" w:type="dxa"/>
            <w:vAlign w:val="center"/>
          </w:tcPr>
          <w:p w:rsidR="00F461FB" w:rsidRPr="00F461FB" w:rsidRDefault="00F461FB" w:rsidP="00F461FB">
            <w:pPr>
              <w:rPr>
                <w:rFonts w:asciiTheme="minorHAnsi" w:hAnsiTheme="minorHAnsi" w:cstheme="minorHAnsi"/>
                <w:sz w:val="18"/>
                <w:szCs w:val="18"/>
              </w:rPr>
            </w:pPr>
            <w:r w:rsidRPr="00F461FB">
              <w:rPr>
                <w:rFonts w:asciiTheme="minorHAnsi" w:hAnsiTheme="minorHAnsi" w:cstheme="minorHAnsi"/>
                <w:sz w:val="18"/>
                <w:szCs w:val="18"/>
              </w:rPr>
              <w:t>0600774000000</w:t>
            </w:r>
          </w:p>
        </w:tc>
        <w:tc>
          <w:tcPr>
            <w:tcW w:w="850" w:type="dxa"/>
            <w:vAlign w:val="center"/>
          </w:tcPr>
          <w:p w:rsidR="00F461FB" w:rsidRPr="00F461FB" w:rsidRDefault="00F461FB" w:rsidP="00F461FB">
            <w:pPr>
              <w:jc w:val="center"/>
              <w:rPr>
                <w:rFonts w:asciiTheme="minorHAnsi" w:hAnsiTheme="minorHAnsi" w:cstheme="minorHAnsi"/>
                <w:color w:val="000000" w:themeColor="text1"/>
                <w:sz w:val="18"/>
                <w:szCs w:val="18"/>
              </w:rPr>
            </w:pPr>
          </w:p>
        </w:tc>
        <w:tc>
          <w:tcPr>
            <w:tcW w:w="1137" w:type="dxa"/>
            <w:vAlign w:val="center"/>
          </w:tcPr>
          <w:p w:rsidR="00F461FB" w:rsidRPr="00F461FB" w:rsidRDefault="006051D7" w:rsidP="00F461FB">
            <w:pPr>
              <w:jc w:val="right"/>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450,</w:t>
            </w:r>
            <w:r w:rsidR="00F461FB" w:rsidRPr="00F461FB">
              <w:rPr>
                <w:rFonts w:asciiTheme="minorHAnsi" w:hAnsiTheme="minorHAnsi" w:cstheme="minorHAnsi"/>
                <w:color w:val="000000" w:themeColor="text1"/>
                <w:sz w:val="18"/>
                <w:szCs w:val="18"/>
              </w:rPr>
              <w:t>00</w:t>
            </w:r>
          </w:p>
        </w:tc>
        <w:tc>
          <w:tcPr>
            <w:tcW w:w="1415" w:type="dxa"/>
            <w:vAlign w:val="center"/>
          </w:tcPr>
          <w:p w:rsidR="00F461FB" w:rsidRPr="00F461FB" w:rsidRDefault="006051D7" w:rsidP="00F461FB">
            <w:pPr>
              <w:jc w:val="right"/>
              <w:rPr>
                <w:rFonts w:asciiTheme="minorHAnsi" w:hAnsiTheme="minorHAnsi" w:cstheme="minorHAnsi"/>
                <w:sz w:val="18"/>
                <w:szCs w:val="18"/>
              </w:rPr>
            </w:pPr>
            <w:r>
              <w:rPr>
                <w:rFonts w:asciiTheme="minorHAnsi" w:hAnsiTheme="minorHAnsi" w:cstheme="minorHAnsi"/>
                <w:sz w:val="18"/>
                <w:szCs w:val="18"/>
              </w:rPr>
              <w:t>307,</w:t>
            </w:r>
            <w:r w:rsidR="00F461FB" w:rsidRPr="00F461FB">
              <w:rPr>
                <w:rFonts w:asciiTheme="minorHAnsi" w:hAnsiTheme="minorHAnsi" w:cstheme="minorHAnsi"/>
                <w:sz w:val="18"/>
                <w:szCs w:val="18"/>
              </w:rPr>
              <w:t>80</w:t>
            </w:r>
          </w:p>
        </w:tc>
        <w:tc>
          <w:tcPr>
            <w:tcW w:w="3402" w:type="dxa"/>
            <w:vAlign w:val="center"/>
          </w:tcPr>
          <w:p w:rsidR="00F461FB" w:rsidRPr="00F461FB" w:rsidRDefault="00F461FB" w:rsidP="00F461FB">
            <w:pPr>
              <w:rPr>
                <w:rFonts w:asciiTheme="minorHAnsi" w:hAnsiTheme="minorHAnsi" w:cstheme="minorHAnsi"/>
                <w:b/>
                <w:sz w:val="18"/>
                <w:szCs w:val="18"/>
              </w:rPr>
            </w:pPr>
            <w:r w:rsidRPr="00F461FB">
              <w:rPr>
                <w:rFonts w:asciiTheme="minorHAnsi" w:hAnsiTheme="minorHAnsi" w:cstheme="minorHAnsi"/>
                <w:b/>
                <w:sz w:val="18"/>
                <w:szCs w:val="18"/>
              </w:rPr>
              <w:t>FVE na objektech RG a ZŠ Wichterleho, ZŠ Dr. Horáka, ZŠ Železného, ZŠ Melantrichova - PD</w:t>
            </w:r>
          </w:p>
          <w:p w:rsidR="00F461FB" w:rsidRPr="00F461FB" w:rsidRDefault="00F461FB" w:rsidP="00F461FB">
            <w:pPr>
              <w:rPr>
                <w:rFonts w:asciiTheme="minorHAnsi" w:hAnsiTheme="minorHAnsi" w:cstheme="minorHAnsi"/>
                <w:b/>
                <w:sz w:val="18"/>
                <w:szCs w:val="18"/>
              </w:rPr>
            </w:pPr>
            <w:r w:rsidRPr="00F461FB">
              <w:rPr>
                <w:rFonts w:asciiTheme="minorHAnsi" w:hAnsiTheme="minorHAnsi" w:cstheme="minorHAnsi"/>
                <w:sz w:val="18"/>
                <w:szCs w:val="18"/>
              </w:rPr>
              <w:t>PD zpracována. Došlo k úspoře finančních prostředků.</w:t>
            </w:r>
            <w:r w:rsidRPr="00F461FB">
              <w:rPr>
                <w:rFonts w:asciiTheme="minorHAnsi" w:hAnsiTheme="minorHAnsi" w:cstheme="minorHAnsi"/>
                <w:b/>
                <w:sz w:val="18"/>
                <w:szCs w:val="18"/>
              </w:rPr>
              <w:t xml:space="preserve"> </w:t>
            </w:r>
          </w:p>
        </w:tc>
      </w:tr>
    </w:tbl>
    <w:p w:rsidR="00F461FB" w:rsidRPr="00F461FB" w:rsidRDefault="00F461FB" w:rsidP="00F461FB">
      <w:pPr>
        <w:rPr>
          <w:rFonts w:asciiTheme="minorHAnsi" w:hAnsiTheme="minorHAnsi" w:cstheme="minorHAnsi"/>
          <w:b/>
          <w:sz w:val="18"/>
          <w:szCs w:val="18"/>
        </w:rPr>
      </w:pPr>
    </w:p>
    <w:p w:rsidR="00F461FB" w:rsidRPr="00F461FB" w:rsidRDefault="00F461FB" w:rsidP="00F461FB">
      <w:pPr>
        <w:rPr>
          <w:rFonts w:asciiTheme="minorHAnsi" w:hAnsiTheme="minorHAnsi" w:cstheme="minorHAnsi"/>
          <w:b/>
          <w:sz w:val="18"/>
          <w:szCs w:val="18"/>
        </w:rPr>
      </w:pPr>
    </w:p>
    <w:p w:rsidR="00F461FB" w:rsidRPr="00F461FB" w:rsidRDefault="00F461FB" w:rsidP="00F461FB">
      <w:pPr>
        <w:rPr>
          <w:rFonts w:asciiTheme="minorHAnsi" w:hAnsiTheme="minorHAnsi" w:cstheme="minorHAnsi"/>
          <w:b/>
          <w:sz w:val="18"/>
          <w:szCs w:val="18"/>
        </w:rPr>
      </w:pPr>
      <w:r w:rsidRPr="00F461FB">
        <w:rPr>
          <w:rFonts w:asciiTheme="minorHAnsi" w:hAnsiTheme="minorHAnsi" w:cstheme="minorHAnsi"/>
          <w:b/>
          <w:sz w:val="18"/>
          <w:szCs w:val="18"/>
        </w:rPr>
        <w:t>Přehled schválených rozpočtových opatření k 31.</w:t>
      </w:r>
      <w:r w:rsidR="006051D7">
        <w:rPr>
          <w:rFonts w:asciiTheme="minorHAnsi" w:hAnsiTheme="minorHAnsi" w:cstheme="minorHAnsi"/>
          <w:b/>
          <w:sz w:val="18"/>
          <w:szCs w:val="18"/>
        </w:rPr>
        <w:t xml:space="preserve"> </w:t>
      </w:r>
      <w:r w:rsidRPr="00F461FB">
        <w:rPr>
          <w:rFonts w:asciiTheme="minorHAnsi" w:hAnsiTheme="minorHAnsi" w:cstheme="minorHAnsi"/>
          <w:b/>
          <w:sz w:val="18"/>
          <w:szCs w:val="18"/>
        </w:rPr>
        <w:t>12.</w:t>
      </w:r>
      <w:r w:rsidR="006051D7">
        <w:rPr>
          <w:rFonts w:asciiTheme="minorHAnsi" w:hAnsiTheme="minorHAnsi" w:cstheme="minorHAnsi"/>
          <w:b/>
          <w:sz w:val="18"/>
          <w:szCs w:val="18"/>
        </w:rPr>
        <w:t xml:space="preserve"> </w:t>
      </w:r>
      <w:r w:rsidRPr="00F461FB">
        <w:rPr>
          <w:rFonts w:asciiTheme="minorHAnsi" w:hAnsiTheme="minorHAnsi" w:cstheme="minorHAnsi"/>
          <w:b/>
          <w:sz w:val="18"/>
          <w:szCs w:val="18"/>
        </w:rPr>
        <w:t>2022:</w:t>
      </w:r>
    </w:p>
    <w:p w:rsidR="00F461FB" w:rsidRPr="00F461FB" w:rsidRDefault="00F461FB" w:rsidP="00F461FB">
      <w:pPr>
        <w:rPr>
          <w:rFonts w:asciiTheme="minorHAnsi" w:hAnsiTheme="minorHAnsi" w:cstheme="minorHAnsi"/>
          <w:b/>
          <w:sz w:val="18"/>
          <w:szCs w:val="18"/>
        </w:rPr>
      </w:pPr>
    </w:p>
    <w:p w:rsidR="00F461FB" w:rsidRPr="00F461FB" w:rsidRDefault="00F461FB" w:rsidP="00F461FB">
      <w:pPr>
        <w:jc w:val="both"/>
        <w:rPr>
          <w:rFonts w:asciiTheme="minorHAnsi" w:hAnsiTheme="minorHAnsi" w:cstheme="minorHAnsi"/>
          <w:i/>
          <w:sz w:val="18"/>
          <w:szCs w:val="18"/>
        </w:rPr>
      </w:pPr>
      <w:r w:rsidRPr="00F461FB">
        <w:rPr>
          <w:rFonts w:asciiTheme="minorHAnsi" w:hAnsiTheme="minorHAnsi" w:cstheme="minorHAnsi"/>
          <w:i/>
          <w:sz w:val="18"/>
          <w:szCs w:val="18"/>
        </w:rPr>
        <w:t xml:space="preserve">Rozpočtová opatření, která byla schvalována v průběhu celého roku 2022 na schůzích Rady města Prostějova a zasedáních Zastupitelstva města Prostějova, byla potřebná ke krytí uzavíraných smluv o dílo vzešlých z výběrového řízení (v roce 2022 došlo k nárůstu cen) a dále na pořízení nových projektů a akcí schválených v orgánech města. </w:t>
      </w:r>
    </w:p>
    <w:p w:rsidR="00F461FB" w:rsidRPr="00F461FB" w:rsidRDefault="00F461FB" w:rsidP="00F461FB">
      <w:pPr>
        <w:jc w:val="both"/>
        <w:rPr>
          <w:rFonts w:asciiTheme="minorHAnsi" w:hAnsiTheme="minorHAnsi" w:cstheme="minorHAnsi"/>
          <w:i/>
          <w:sz w:val="18"/>
          <w:szCs w:val="18"/>
        </w:rPr>
      </w:pPr>
      <w:r w:rsidRPr="00F461FB">
        <w:rPr>
          <w:rFonts w:asciiTheme="minorHAnsi" w:hAnsiTheme="minorHAnsi" w:cstheme="minorHAnsi"/>
          <w:i/>
          <w:sz w:val="18"/>
          <w:szCs w:val="18"/>
        </w:rPr>
        <w:t>U akcí, které byly orgány města pozastaveny, anebo v průběhu výběrových řízení nebyl vybrán zhotovitel stavby, byly tyto finanční prostředky v závěru roku vráceny formou ROZOP zpět do Fondu rezerv a rozvoje.</w:t>
      </w:r>
    </w:p>
    <w:p w:rsidR="00F461FB" w:rsidRPr="00F461FB" w:rsidRDefault="00F461FB" w:rsidP="00F461FB">
      <w:pPr>
        <w:rPr>
          <w:rFonts w:asciiTheme="minorHAnsi" w:hAnsiTheme="minorHAnsi" w:cstheme="minorHAnsi"/>
          <w:i/>
          <w:sz w:val="18"/>
          <w:szCs w:val="18"/>
        </w:rPr>
      </w:pPr>
      <w:r w:rsidRPr="00F461FB">
        <w:rPr>
          <w:rFonts w:asciiTheme="minorHAnsi" w:hAnsiTheme="minorHAnsi" w:cstheme="minorHAnsi"/>
          <w:i/>
          <w:sz w:val="18"/>
          <w:szCs w:val="18"/>
        </w:rPr>
        <w:t>Finanční plnění rozpočtových opatření bylo tak provedeno.</w:t>
      </w:r>
    </w:p>
    <w:p w:rsidR="00F461FB" w:rsidRPr="00F461FB" w:rsidRDefault="00F461FB" w:rsidP="00F461FB">
      <w:pPr>
        <w:rPr>
          <w:rFonts w:asciiTheme="minorHAnsi" w:hAnsiTheme="minorHAnsi" w:cstheme="minorHAnsi"/>
          <w:i/>
          <w:sz w:val="18"/>
          <w:szCs w:val="18"/>
        </w:rPr>
      </w:pPr>
    </w:p>
    <w:p w:rsidR="00F461FB" w:rsidRPr="00F461FB" w:rsidRDefault="00F461FB" w:rsidP="00F461FB">
      <w:pPr>
        <w:rPr>
          <w:rFonts w:asciiTheme="minorHAnsi" w:hAnsiTheme="minorHAnsi" w:cstheme="minorHAnsi"/>
          <w:i/>
          <w:sz w:val="18"/>
          <w:szCs w:val="18"/>
        </w:rPr>
      </w:pPr>
    </w:p>
    <w:p w:rsidR="00F461FB" w:rsidRPr="00F461FB" w:rsidRDefault="00F461FB" w:rsidP="00F461FB">
      <w:pPr>
        <w:rPr>
          <w:rFonts w:asciiTheme="minorHAnsi" w:hAnsiTheme="minorHAnsi" w:cstheme="minorHAnsi"/>
          <w:i/>
          <w:sz w:val="18"/>
          <w:szCs w:val="18"/>
        </w:rPr>
      </w:pPr>
    </w:p>
    <w:p w:rsidR="00F461FB" w:rsidRPr="00F461FB" w:rsidRDefault="00F461FB" w:rsidP="00F461FB">
      <w:pPr>
        <w:rPr>
          <w:rFonts w:asciiTheme="minorHAnsi" w:hAnsiTheme="minorHAnsi" w:cstheme="minorHAnsi"/>
          <w:i/>
          <w:sz w:val="18"/>
          <w:szCs w:val="18"/>
        </w:rPr>
      </w:pPr>
    </w:p>
    <w:p w:rsidR="00F461FB" w:rsidRPr="00F461FB" w:rsidRDefault="00F461FB" w:rsidP="00F461FB">
      <w:pPr>
        <w:rPr>
          <w:rFonts w:asciiTheme="minorHAnsi" w:hAnsiTheme="minorHAnsi" w:cstheme="minorHAnsi"/>
          <w:b/>
          <w:sz w:val="18"/>
        </w:rPr>
      </w:pPr>
      <w:r w:rsidRPr="00F461FB">
        <w:rPr>
          <w:rFonts w:asciiTheme="minorHAnsi" w:hAnsiTheme="minorHAnsi" w:cstheme="minorHAnsi"/>
          <w:b/>
          <w:sz w:val="18"/>
          <w:szCs w:val="18"/>
        </w:rPr>
        <w:t>V </w:t>
      </w:r>
      <w:r w:rsidR="006051D7">
        <w:rPr>
          <w:rFonts w:asciiTheme="minorHAnsi" w:hAnsiTheme="minorHAnsi" w:cstheme="minorHAnsi"/>
          <w:b/>
          <w:sz w:val="18"/>
          <w:szCs w:val="18"/>
        </w:rPr>
        <w:t xml:space="preserve">Prostějově: 2. </w:t>
      </w:r>
      <w:r w:rsidRPr="00F461FB">
        <w:rPr>
          <w:rFonts w:asciiTheme="minorHAnsi" w:hAnsiTheme="minorHAnsi" w:cstheme="minorHAnsi"/>
          <w:b/>
          <w:sz w:val="18"/>
          <w:szCs w:val="18"/>
        </w:rPr>
        <w:t>2.</w:t>
      </w:r>
      <w:r w:rsidR="006051D7">
        <w:rPr>
          <w:rFonts w:asciiTheme="minorHAnsi" w:hAnsiTheme="minorHAnsi" w:cstheme="minorHAnsi"/>
          <w:b/>
          <w:sz w:val="18"/>
          <w:szCs w:val="18"/>
        </w:rPr>
        <w:t xml:space="preserve"> </w:t>
      </w:r>
      <w:r w:rsidRPr="00F461FB">
        <w:rPr>
          <w:rFonts w:asciiTheme="minorHAnsi" w:hAnsiTheme="minorHAnsi" w:cstheme="minorHAnsi"/>
          <w:b/>
          <w:sz w:val="18"/>
          <w:szCs w:val="18"/>
        </w:rPr>
        <w:t>2023</w:t>
      </w:r>
      <w:r w:rsidRPr="00F461FB">
        <w:rPr>
          <w:rFonts w:asciiTheme="minorHAnsi" w:hAnsiTheme="minorHAnsi" w:cstheme="minorHAnsi"/>
          <w:b/>
          <w:sz w:val="18"/>
          <w:szCs w:val="18"/>
        </w:rPr>
        <w:tab/>
      </w:r>
      <w:r w:rsidRPr="00F461FB">
        <w:rPr>
          <w:rFonts w:asciiTheme="minorHAnsi" w:hAnsiTheme="minorHAnsi" w:cstheme="minorHAnsi"/>
          <w:b/>
          <w:sz w:val="18"/>
          <w:szCs w:val="18"/>
        </w:rPr>
        <w:tab/>
      </w:r>
      <w:r w:rsidRPr="00F461FB">
        <w:rPr>
          <w:rFonts w:asciiTheme="minorHAnsi" w:hAnsiTheme="minorHAnsi" w:cstheme="minorHAnsi"/>
          <w:b/>
          <w:sz w:val="18"/>
        </w:rPr>
        <w:tab/>
      </w:r>
      <w:r w:rsidRPr="00F461FB">
        <w:rPr>
          <w:rFonts w:asciiTheme="minorHAnsi" w:hAnsiTheme="minorHAnsi" w:cstheme="minorHAnsi"/>
          <w:b/>
          <w:sz w:val="18"/>
        </w:rPr>
        <w:tab/>
      </w:r>
      <w:r w:rsidRPr="00F461FB">
        <w:rPr>
          <w:rFonts w:asciiTheme="minorHAnsi" w:hAnsiTheme="minorHAnsi" w:cstheme="minorHAnsi"/>
          <w:b/>
          <w:sz w:val="18"/>
        </w:rPr>
        <w:tab/>
        <w:t>Správce kapitoly:   Ing. Petr Brückner</w:t>
      </w:r>
    </w:p>
    <w:p w:rsidR="00F461FB" w:rsidRPr="00F461FB" w:rsidRDefault="00F461FB" w:rsidP="00F461FB">
      <w:pPr>
        <w:ind w:left="5672" w:firstLine="709"/>
        <w:rPr>
          <w:rFonts w:asciiTheme="minorHAnsi" w:hAnsiTheme="minorHAnsi" w:cstheme="minorHAnsi"/>
          <w:b/>
          <w:sz w:val="18"/>
        </w:rPr>
      </w:pPr>
      <w:r w:rsidRPr="00F461FB">
        <w:rPr>
          <w:rFonts w:asciiTheme="minorHAnsi" w:hAnsiTheme="minorHAnsi" w:cstheme="minorHAnsi"/>
          <w:b/>
          <w:sz w:val="18"/>
        </w:rPr>
        <w:t xml:space="preserve"> vedoucí Odboru rozvoje a investic</w:t>
      </w:r>
      <w:r w:rsidRPr="00F461FB">
        <w:rPr>
          <w:rFonts w:asciiTheme="minorHAnsi" w:hAnsiTheme="minorHAnsi" w:cstheme="minorHAnsi"/>
          <w:b/>
          <w:sz w:val="18"/>
        </w:rPr>
        <w:tab/>
      </w:r>
    </w:p>
    <w:p w:rsidR="00F461FB" w:rsidRDefault="00F461FB">
      <w:pPr>
        <w:rPr>
          <w:rFonts w:asciiTheme="minorHAnsi" w:hAnsiTheme="minorHAnsi" w:cstheme="minorHAnsi"/>
          <w:color w:val="A6A6A6" w:themeColor="background1" w:themeShade="A6"/>
          <w:sz w:val="20"/>
          <w:szCs w:val="20"/>
        </w:rPr>
      </w:pPr>
    </w:p>
    <w:p w:rsidR="00F461FB" w:rsidRDefault="00F461FB">
      <w:pPr>
        <w:rPr>
          <w:rFonts w:asciiTheme="minorHAnsi" w:hAnsiTheme="minorHAnsi" w:cstheme="minorHAnsi"/>
          <w:color w:val="A6A6A6" w:themeColor="background1" w:themeShade="A6"/>
          <w:sz w:val="20"/>
          <w:szCs w:val="20"/>
        </w:rPr>
      </w:pPr>
    </w:p>
    <w:p w:rsidR="000870DD" w:rsidRDefault="000870DD">
      <w:pPr>
        <w:rPr>
          <w:rFonts w:asciiTheme="minorHAnsi" w:hAnsiTheme="minorHAnsi" w:cstheme="minorHAnsi"/>
          <w:color w:val="A6A6A6" w:themeColor="background1" w:themeShade="A6"/>
          <w:sz w:val="20"/>
          <w:szCs w:val="20"/>
        </w:rPr>
      </w:pPr>
      <w:r>
        <w:rPr>
          <w:rFonts w:asciiTheme="minorHAnsi" w:hAnsiTheme="minorHAnsi" w:cstheme="minorHAnsi"/>
          <w:color w:val="A6A6A6" w:themeColor="background1" w:themeShade="A6"/>
          <w:sz w:val="20"/>
          <w:szCs w:val="20"/>
        </w:rPr>
        <w:br w:type="page"/>
      </w:r>
    </w:p>
    <w:tbl>
      <w:tblPr>
        <w:tblW w:w="10724" w:type="dxa"/>
        <w:tblLayout w:type="fixed"/>
        <w:tblCellMar>
          <w:left w:w="70" w:type="dxa"/>
          <w:right w:w="70" w:type="dxa"/>
        </w:tblCellMar>
        <w:tblLook w:val="0000" w:firstRow="0" w:lastRow="0" w:firstColumn="0" w:lastColumn="0" w:noHBand="0" w:noVBand="0"/>
      </w:tblPr>
      <w:tblGrid>
        <w:gridCol w:w="457"/>
        <w:gridCol w:w="454"/>
        <w:gridCol w:w="457"/>
        <w:gridCol w:w="457"/>
        <w:gridCol w:w="365"/>
        <w:gridCol w:w="93"/>
        <w:gridCol w:w="67"/>
        <w:gridCol w:w="392"/>
        <w:gridCol w:w="67"/>
        <w:gridCol w:w="404"/>
        <w:gridCol w:w="63"/>
        <w:gridCol w:w="398"/>
        <w:gridCol w:w="60"/>
        <w:gridCol w:w="305"/>
        <w:gridCol w:w="993"/>
        <w:gridCol w:w="160"/>
        <w:gridCol w:w="399"/>
        <w:gridCol w:w="59"/>
        <w:gridCol w:w="459"/>
        <w:gridCol w:w="79"/>
        <w:gridCol w:w="380"/>
        <w:gridCol w:w="464"/>
        <w:gridCol w:w="458"/>
        <w:gridCol w:w="458"/>
        <w:gridCol w:w="458"/>
        <w:gridCol w:w="458"/>
        <w:gridCol w:w="458"/>
        <w:gridCol w:w="317"/>
        <w:gridCol w:w="589"/>
        <w:gridCol w:w="496"/>
      </w:tblGrid>
      <w:tr w:rsidR="006E55BA" w:rsidRPr="006E55BA" w:rsidTr="00A028B5">
        <w:trPr>
          <w:gridAfter w:val="2"/>
          <w:wAfter w:w="1085" w:type="dxa"/>
        </w:trPr>
        <w:tc>
          <w:tcPr>
            <w:tcW w:w="9639" w:type="dxa"/>
            <w:gridSpan w:val="28"/>
            <w:tcBorders>
              <w:top w:val="nil"/>
              <w:left w:val="nil"/>
              <w:bottom w:val="nil"/>
              <w:right w:val="nil"/>
            </w:tcBorders>
            <w:shd w:val="clear" w:color="auto" w:fill="auto"/>
          </w:tcPr>
          <w:p w:rsidR="00B608DD" w:rsidRPr="00670C21" w:rsidRDefault="00044350" w:rsidP="002234C1">
            <w:pPr>
              <w:rPr>
                <w:rFonts w:ascii="Calibri" w:hAnsi="Calibri" w:cs="Calibri"/>
                <w:b/>
                <w:bCs/>
                <w:sz w:val="28"/>
                <w:szCs w:val="28"/>
              </w:rPr>
            </w:pPr>
            <w:r w:rsidRPr="00670C21">
              <w:rPr>
                <w:rFonts w:ascii="Calibri" w:hAnsi="Calibri" w:cs="Calibri"/>
                <w:b/>
                <w:bCs/>
                <w:sz w:val="28"/>
                <w:szCs w:val="28"/>
              </w:rPr>
              <w:t>Kapitola 61 – S</w:t>
            </w:r>
            <w:r w:rsidR="00B608DD" w:rsidRPr="00670C21">
              <w:rPr>
                <w:rFonts w:ascii="Calibri" w:hAnsi="Calibri" w:cs="Calibri"/>
                <w:b/>
                <w:bCs/>
                <w:sz w:val="28"/>
                <w:szCs w:val="28"/>
              </w:rPr>
              <w:t>tavební úřad</w:t>
            </w:r>
          </w:p>
        </w:tc>
      </w:tr>
      <w:tr w:rsidR="006E55BA" w:rsidRPr="006E55BA" w:rsidTr="00A028B5">
        <w:trPr>
          <w:gridAfter w:val="1"/>
          <w:wAfter w:w="496" w:type="dxa"/>
        </w:trPr>
        <w:tc>
          <w:tcPr>
            <w:tcW w:w="457" w:type="dxa"/>
            <w:tcBorders>
              <w:top w:val="nil"/>
              <w:left w:val="nil"/>
              <w:bottom w:val="nil"/>
              <w:right w:val="nil"/>
            </w:tcBorders>
          </w:tcPr>
          <w:p w:rsidR="00B608DD" w:rsidRPr="006E55BA" w:rsidRDefault="00B608DD" w:rsidP="00B608DD">
            <w:pPr>
              <w:rPr>
                <w:b/>
                <w:bCs/>
                <w:color w:val="A6A6A6" w:themeColor="background1" w:themeShade="A6"/>
                <w:sz w:val="20"/>
                <w:szCs w:val="20"/>
              </w:rPr>
            </w:pPr>
          </w:p>
        </w:tc>
        <w:tc>
          <w:tcPr>
            <w:tcW w:w="454" w:type="dxa"/>
            <w:tcBorders>
              <w:top w:val="nil"/>
              <w:left w:val="nil"/>
              <w:bottom w:val="nil"/>
              <w:right w:val="nil"/>
            </w:tcBorders>
          </w:tcPr>
          <w:p w:rsidR="00B608DD" w:rsidRPr="006E55BA" w:rsidRDefault="00B608DD" w:rsidP="00B608DD">
            <w:pPr>
              <w:rPr>
                <w:b/>
                <w:bCs/>
                <w:color w:val="A6A6A6" w:themeColor="background1" w:themeShade="A6"/>
                <w:sz w:val="20"/>
                <w:szCs w:val="20"/>
              </w:rPr>
            </w:pPr>
          </w:p>
        </w:tc>
        <w:tc>
          <w:tcPr>
            <w:tcW w:w="457" w:type="dxa"/>
            <w:tcBorders>
              <w:top w:val="nil"/>
              <w:left w:val="nil"/>
              <w:bottom w:val="nil"/>
              <w:right w:val="nil"/>
            </w:tcBorders>
          </w:tcPr>
          <w:p w:rsidR="00B608DD" w:rsidRPr="006E55BA" w:rsidRDefault="00B608DD" w:rsidP="00B608DD">
            <w:pPr>
              <w:rPr>
                <w:b/>
                <w:bCs/>
                <w:color w:val="A6A6A6" w:themeColor="background1" w:themeShade="A6"/>
                <w:sz w:val="20"/>
                <w:szCs w:val="20"/>
              </w:rPr>
            </w:pPr>
          </w:p>
        </w:tc>
        <w:tc>
          <w:tcPr>
            <w:tcW w:w="457" w:type="dxa"/>
            <w:tcBorders>
              <w:top w:val="nil"/>
              <w:left w:val="nil"/>
              <w:bottom w:val="nil"/>
              <w:right w:val="nil"/>
            </w:tcBorders>
          </w:tcPr>
          <w:p w:rsidR="00B608DD" w:rsidRPr="006E55BA" w:rsidRDefault="00B608DD" w:rsidP="00B608DD">
            <w:pPr>
              <w:rPr>
                <w:b/>
                <w:bCs/>
                <w:color w:val="A6A6A6" w:themeColor="background1" w:themeShade="A6"/>
                <w:sz w:val="20"/>
                <w:szCs w:val="20"/>
              </w:rPr>
            </w:pPr>
          </w:p>
        </w:tc>
        <w:tc>
          <w:tcPr>
            <w:tcW w:w="458" w:type="dxa"/>
            <w:gridSpan w:val="2"/>
            <w:tcBorders>
              <w:top w:val="nil"/>
              <w:left w:val="nil"/>
              <w:bottom w:val="nil"/>
              <w:right w:val="nil"/>
            </w:tcBorders>
          </w:tcPr>
          <w:p w:rsidR="00B608DD" w:rsidRPr="006E55BA" w:rsidRDefault="00B608DD" w:rsidP="00B608DD">
            <w:pPr>
              <w:rPr>
                <w:b/>
                <w:bCs/>
                <w:color w:val="A6A6A6" w:themeColor="background1" w:themeShade="A6"/>
                <w:sz w:val="20"/>
                <w:szCs w:val="20"/>
              </w:rPr>
            </w:pPr>
          </w:p>
        </w:tc>
        <w:tc>
          <w:tcPr>
            <w:tcW w:w="459" w:type="dxa"/>
            <w:gridSpan w:val="2"/>
            <w:tcBorders>
              <w:top w:val="nil"/>
              <w:left w:val="nil"/>
              <w:bottom w:val="nil"/>
              <w:right w:val="nil"/>
            </w:tcBorders>
          </w:tcPr>
          <w:p w:rsidR="00B608DD" w:rsidRPr="006E55BA" w:rsidRDefault="00B608DD" w:rsidP="00B608DD">
            <w:pPr>
              <w:rPr>
                <w:b/>
                <w:bCs/>
                <w:color w:val="A6A6A6" w:themeColor="background1" w:themeShade="A6"/>
                <w:sz w:val="20"/>
                <w:szCs w:val="20"/>
              </w:rPr>
            </w:pPr>
          </w:p>
        </w:tc>
        <w:tc>
          <w:tcPr>
            <w:tcW w:w="471" w:type="dxa"/>
            <w:gridSpan w:val="2"/>
            <w:tcBorders>
              <w:top w:val="nil"/>
              <w:left w:val="nil"/>
              <w:bottom w:val="nil"/>
              <w:right w:val="nil"/>
            </w:tcBorders>
          </w:tcPr>
          <w:p w:rsidR="00B608DD" w:rsidRPr="006E55BA" w:rsidRDefault="00B608DD" w:rsidP="00B608DD">
            <w:pPr>
              <w:rPr>
                <w:b/>
                <w:bCs/>
                <w:color w:val="A6A6A6" w:themeColor="background1" w:themeShade="A6"/>
                <w:sz w:val="20"/>
                <w:szCs w:val="20"/>
              </w:rPr>
            </w:pPr>
          </w:p>
        </w:tc>
        <w:tc>
          <w:tcPr>
            <w:tcW w:w="461" w:type="dxa"/>
            <w:gridSpan w:val="2"/>
            <w:tcBorders>
              <w:top w:val="nil"/>
              <w:left w:val="nil"/>
              <w:bottom w:val="nil"/>
              <w:right w:val="nil"/>
            </w:tcBorders>
          </w:tcPr>
          <w:p w:rsidR="00B608DD" w:rsidRPr="006E55BA" w:rsidRDefault="00B608DD" w:rsidP="00B608DD">
            <w:pPr>
              <w:rPr>
                <w:b/>
                <w:bCs/>
                <w:color w:val="A6A6A6" w:themeColor="background1" w:themeShade="A6"/>
                <w:sz w:val="20"/>
                <w:szCs w:val="20"/>
              </w:rPr>
            </w:pPr>
          </w:p>
        </w:tc>
        <w:tc>
          <w:tcPr>
            <w:tcW w:w="1358" w:type="dxa"/>
            <w:gridSpan w:val="3"/>
            <w:tcBorders>
              <w:top w:val="nil"/>
              <w:left w:val="nil"/>
              <w:bottom w:val="nil"/>
              <w:right w:val="nil"/>
            </w:tcBorders>
          </w:tcPr>
          <w:p w:rsidR="00B608DD" w:rsidRPr="00670C21" w:rsidRDefault="00B608DD" w:rsidP="00B608DD">
            <w:pPr>
              <w:rPr>
                <w:b/>
                <w:bCs/>
                <w:sz w:val="20"/>
                <w:szCs w:val="20"/>
              </w:rPr>
            </w:pPr>
          </w:p>
        </w:tc>
        <w:tc>
          <w:tcPr>
            <w:tcW w:w="160" w:type="dxa"/>
            <w:tcBorders>
              <w:top w:val="nil"/>
              <w:left w:val="nil"/>
              <w:bottom w:val="nil"/>
              <w:right w:val="nil"/>
            </w:tcBorders>
          </w:tcPr>
          <w:p w:rsidR="00B608DD" w:rsidRPr="00670C21" w:rsidRDefault="00B608DD" w:rsidP="00B608DD">
            <w:pPr>
              <w:rPr>
                <w:b/>
                <w:bCs/>
                <w:sz w:val="20"/>
                <w:szCs w:val="20"/>
              </w:rPr>
            </w:pPr>
          </w:p>
        </w:tc>
        <w:tc>
          <w:tcPr>
            <w:tcW w:w="458" w:type="dxa"/>
            <w:gridSpan w:val="2"/>
            <w:tcBorders>
              <w:top w:val="nil"/>
              <w:left w:val="nil"/>
              <w:bottom w:val="nil"/>
              <w:right w:val="nil"/>
            </w:tcBorders>
          </w:tcPr>
          <w:p w:rsidR="00B608DD" w:rsidRPr="00670C21" w:rsidRDefault="00B608DD" w:rsidP="00B608DD">
            <w:pPr>
              <w:rPr>
                <w:b/>
                <w:bCs/>
                <w:sz w:val="20"/>
                <w:szCs w:val="20"/>
              </w:rPr>
            </w:pPr>
          </w:p>
        </w:tc>
        <w:tc>
          <w:tcPr>
            <w:tcW w:w="459" w:type="dxa"/>
            <w:tcBorders>
              <w:top w:val="nil"/>
              <w:left w:val="nil"/>
              <w:bottom w:val="nil"/>
              <w:right w:val="nil"/>
            </w:tcBorders>
          </w:tcPr>
          <w:p w:rsidR="00B608DD" w:rsidRPr="00670C21" w:rsidRDefault="00B608DD" w:rsidP="00B608DD">
            <w:pPr>
              <w:rPr>
                <w:b/>
                <w:bCs/>
                <w:sz w:val="20"/>
                <w:szCs w:val="20"/>
              </w:rPr>
            </w:pPr>
          </w:p>
        </w:tc>
        <w:tc>
          <w:tcPr>
            <w:tcW w:w="459" w:type="dxa"/>
            <w:gridSpan w:val="2"/>
            <w:tcBorders>
              <w:top w:val="nil"/>
              <w:left w:val="nil"/>
              <w:bottom w:val="nil"/>
              <w:right w:val="nil"/>
            </w:tcBorders>
          </w:tcPr>
          <w:p w:rsidR="00B608DD" w:rsidRPr="00670C21" w:rsidRDefault="00B608DD" w:rsidP="00B608DD">
            <w:pPr>
              <w:rPr>
                <w:b/>
                <w:bCs/>
                <w:sz w:val="20"/>
                <w:szCs w:val="20"/>
              </w:rPr>
            </w:pPr>
          </w:p>
        </w:tc>
        <w:tc>
          <w:tcPr>
            <w:tcW w:w="464" w:type="dxa"/>
            <w:tcBorders>
              <w:top w:val="nil"/>
              <w:left w:val="nil"/>
              <w:bottom w:val="nil"/>
              <w:right w:val="nil"/>
            </w:tcBorders>
          </w:tcPr>
          <w:p w:rsidR="00B608DD" w:rsidRPr="00670C21" w:rsidRDefault="00B608DD" w:rsidP="00B608DD">
            <w:pPr>
              <w:rPr>
                <w:b/>
                <w:bCs/>
                <w:sz w:val="20"/>
                <w:szCs w:val="20"/>
              </w:rPr>
            </w:pPr>
          </w:p>
        </w:tc>
        <w:tc>
          <w:tcPr>
            <w:tcW w:w="458" w:type="dxa"/>
            <w:tcBorders>
              <w:top w:val="nil"/>
              <w:left w:val="nil"/>
              <w:bottom w:val="nil"/>
              <w:right w:val="nil"/>
            </w:tcBorders>
          </w:tcPr>
          <w:p w:rsidR="00B608DD" w:rsidRPr="00670C21" w:rsidRDefault="00B608DD" w:rsidP="00B608DD">
            <w:pPr>
              <w:rPr>
                <w:b/>
                <w:bCs/>
                <w:sz w:val="20"/>
                <w:szCs w:val="20"/>
              </w:rPr>
            </w:pPr>
          </w:p>
        </w:tc>
        <w:tc>
          <w:tcPr>
            <w:tcW w:w="458" w:type="dxa"/>
            <w:tcBorders>
              <w:top w:val="nil"/>
              <w:left w:val="nil"/>
              <w:bottom w:val="nil"/>
              <w:right w:val="nil"/>
            </w:tcBorders>
          </w:tcPr>
          <w:p w:rsidR="00B608DD" w:rsidRPr="00670C21" w:rsidRDefault="00B608DD" w:rsidP="00B608DD">
            <w:pPr>
              <w:rPr>
                <w:b/>
                <w:bCs/>
                <w:sz w:val="20"/>
                <w:szCs w:val="20"/>
              </w:rPr>
            </w:pPr>
          </w:p>
        </w:tc>
        <w:tc>
          <w:tcPr>
            <w:tcW w:w="458" w:type="dxa"/>
            <w:tcBorders>
              <w:top w:val="nil"/>
              <w:left w:val="nil"/>
              <w:bottom w:val="nil"/>
              <w:right w:val="nil"/>
            </w:tcBorders>
          </w:tcPr>
          <w:p w:rsidR="00B608DD" w:rsidRPr="00670C21" w:rsidRDefault="00B608DD" w:rsidP="00B608DD">
            <w:pPr>
              <w:rPr>
                <w:b/>
                <w:bCs/>
                <w:sz w:val="20"/>
                <w:szCs w:val="20"/>
              </w:rPr>
            </w:pPr>
          </w:p>
        </w:tc>
        <w:tc>
          <w:tcPr>
            <w:tcW w:w="458" w:type="dxa"/>
            <w:tcBorders>
              <w:top w:val="nil"/>
              <w:left w:val="nil"/>
              <w:bottom w:val="nil"/>
              <w:right w:val="nil"/>
            </w:tcBorders>
          </w:tcPr>
          <w:p w:rsidR="00B608DD" w:rsidRPr="006E55BA" w:rsidRDefault="00B608DD" w:rsidP="00B608DD">
            <w:pPr>
              <w:rPr>
                <w:b/>
                <w:bCs/>
                <w:color w:val="A6A6A6" w:themeColor="background1" w:themeShade="A6"/>
                <w:sz w:val="20"/>
                <w:szCs w:val="20"/>
              </w:rPr>
            </w:pPr>
          </w:p>
        </w:tc>
        <w:tc>
          <w:tcPr>
            <w:tcW w:w="458" w:type="dxa"/>
            <w:tcBorders>
              <w:top w:val="nil"/>
              <w:left w:val="nil"/>
              <w:bottom w:val="nil"/>
              <w:right w:val="nil"/>
            </w:tcBorders>
          </w:tcPr>
          <w:p w:rsidR="00B608DD" w:rsidRPr="006E55BA" w:rsidRDefault="00B608DD" w:rsidP="00B608DD">
            <w:pPr>
              <w:rPr>
                <w:b/>
                <w:bCs/>
                <w:color w:val="A6A6A6" w:themeColor="background1" w:themeShade="A6"/>
                <w:sz w:val="20"/>
                <w:szCs w:val="20"/>
              </w:rPr>
            </w:pPr>
          </w:p>
        </w:tc>
        <w:tc>
          <w:tcPr>
            <w:tcW w:w="906" w:type="dxa"/>
            <w:gridSpan w:val="2"/>
            <w:tcBorders>
              <w:top w:val="nil"/>
              <w:left w:val="nil"/>
              <w:bottom w:val="nil"/>
              <w:right w:val="nil"/>
            </w:tcBorders>
          </w:tcPr>
          <w:p w:rsidR="00B608DD" w:rsidRPr="006E55BA" w:rsidRDefault="00B608DD" w:rsidP="00B608DD">
            <w:pPr>
              <w:rPr>
                <w:b/>
                <w:bCs/>
                <w:color w:val="A6A6A6" w:themeColor="background1" w:themeShade="A6"/>
                <w:sz w:val="20"/>
                <w:szCs w:val="20"/>
              </w:rPr>
            </w:pPr>
          </w:p>
        </w:tc>
      </w:tr>
      <w:tr w:rsidR="006E55BA" w:rsidRPr="006E55BA" w:rsidTr="00A028B5">
        <w:trPr>
          <w:gridAfter w:val="2"/>
          <w:wAfter w:w="1085" w:type="dxa"/>
        </w:trPr>
        <w:tc>
          <w:tcPr>
            <w:tcW w:w="9639" w:type="dxa"/>
            <w:gridSpan w:val="28"/>
            <w:tcBorders>
              <w:top w:val="nil"/>
              <w:left w:val="nil"/>
              <w:bottom w:val="nil"/>
              <w:right w:val="nil"/>
            </w:tcBorders>
            <w:shd w:val="clear" w:color="auto" w:fill="F79646"/>
          </w:tcPr>
          <w:p w:rsidR="00B608DD" w:rsidRPr="00670C21" w:rsidRDefault="00B608DD" w:rsidP="00B608DD">
            <w:pPr>
              <w:rPr>
                <w:rFonts w:ascii="Calibri" w:hAnsi="Calibri" w:cs="Calibri"/>
                <w:b/>
                <w:bCs/>
                <w:sz w:val="20"/>
                <w:szCs w:val="20"/>
                <w:u w:val="single"/>
              </w:rPr>
            </w:pPr>
            <w:r w:rsidRPr="00670C21">
              <w:rPr>
                <w:rFonts w:ascii="Calibri" w:hAnsi="Calibri" w:cs="Calibri"/>
                <w:b/>
                <w:bCs/>
                <w:sz w:val="20"/>
                <w:szCs w:val="20"/>
                <w:u w:val="single"/>
              </w:rPr>
              <w:t>Rozbor plnění příjmů rozpočtu kapitoly</w:t>
            </w:r>
          </w:p>
        </w:tc>
      </w:tr>
      <w:tr w:rsidR="006E55BA" w:rsidRPr="006E55BA" w:rsidTr="00A028B5">
        <w:tc>
          <w:tcPr>
            <w:tcW w:w="457" w:type="dxa"/>
            <w:tcBorders>
              <w:top w:val="nil"/>
              <w:left w:val="nil"/>
              <w:bottom w:val="nil"/>
              <w:right w:val="nil"/>
            </w:tcBorders>
          </w:tcPr>
          <w:p w:rsidR="00B608DD" w:rsidRPr="006E55BA" w:rsidRDefault="00B608DD" w:rsidP="00B608DD">
            <w:pPr>
              <w:rPr>
                <w:b/>
                <w:bCs/>
                <w:color w:val="A6A6A6" w:themeColor="background1" w:themeShade="A6"/>
                <w:sz w:val="20"/>
                <w:szCs w:val="20"/>
              </w:rPr>
            </w:pPr>
          </w:p>
        </w:tc>
        <w:tc>
          <w:tcPr>
            <w:tcW w:w="454" w:type="dxa"/>
            <w:tcBorders>
              <w:top w:val="nil"/>
              <w:left w:val="nil"/>
              <w:bottom w:val="nil"/>
              <w:right w:val="nil"/>
            </w:tcBorders>
          </w:tcPr>
          <w:p w:rsidR="00B608DD" w:rsidRPr="006E55BA" w:rsidRDefault="00B608DD" w:rsidP="00B608DD">
            <w:pPr>
              <w:rPr>
                <w:b/>
                <w:bCs/>
                <w:color w:val="A6A6A6" w:themeColor="background1" w:themeShade="A6"/>
                <w:sz w:val="20"/>
                <w:szCs w:val="20"/>
              </w:rPr>
            </w:pPr>
          </w:p>
        </w:tc>
        <w:tc>
          <w:tcPr>
            <w:tcW w:w="457" w:type="dxa"/>
            <w:tcBorders>
              <w:top w:val="nil"/>
              <w:left w:val="nil"/>
              <w:bottom w:val="nil"/>
              <w:right w:val="nil"/>
            </w:tcBorders>
          </w:tcPr>
          <w:p w:rsidR="00B608DD" w:rsidRPr="006E55BA" w:rsidRDefault="00B608DD" w:rsidP="00B608DD">
            <w:pPr>
              <w:rPr>
                <w:rFonts w:ascii="Calibri" w:hAnsi="Calibri" w:cs="Calibri"/>
                <w:b/>
                <w:bCs/>
                <w:color w:val="A6A6A6" w:themeColor="background1" w:themeShade="A6"/>
                <w:sz w:val="20"/>
                <w:szCs w:val="20"/>
              </w:rPr>
            </w:pPr>
          </w:p>
        </w:tc>
        <w:tc>
          <w:tcPr>
            <w:tcW w:w="822" w:type="dxa"/>
            <w:gridSpan w:val="2"/>
            <w:tcBorders>
              <w:top w:val="nil"/>
              <w:left w:val="nil"/>
              <w:bottom w:val="nil"/>
              <w:right w:val="nil"/>
            </w:tcBorders>
          </w:tcPr>
          <w:p w:rsidR="00B608DD" w:rsidRPr="006E55BA" w:rsidRDefault="00B608DD" w:rsidP="00B608DD">
            <w:pPr>
              <w:rPr>
                <w:rFonts w:ascii="Calibri" w:hAnsi="Calibri" w:cs="Calibri"/>
                <w:b/>
                <w:bCs/>
                <w:color w:val="A6A6A6" w:themeColor="background1" w:themeShade="A6"/>
                <w:sz w:val="20"/>
                <w:szCs w:val="20"/>
              </w:rPr>
            </w:pPr>
          </w:p>
        </w:tc>
        <w:tc>
          <w:tcPr>
            <w:tcW w:w="160" w:type="dxa"/>
            <w:gridSpan w:val="2"/>
            <w:tcBorders>
              <w:top w:val="nil"/>
              <w:left w:val="nil"/>
              <w:bottom w:val="nil"/>
              <w:right w:val="nil"/>
            </w:tcBorders>
          </w:tcPr>
          <w:p w:rsidR="00B608DD" w:rsidRPr="006E55BA" w:rsidRDefault="00B608DD" w:rsidP="00B608DD">
            <w:pPr>
              <w:rPr>
                <w:rFonts w:ascii="Calibri" w:hAnsi="Calibri" w:cs="Calibri"/>
                <w:b/>
                <w:bCs/>
                <w:color w:val="A6A6A6" w:themeColor="background1" w:themeShade="A6"/>
                <w:sz w:val="20"/>
                <w:szCs w:val="20"/>
              </w:rPr>
            </w:pPr>
          </w:p>
        </w:tc>
        <w:tc>
          <w:tcPr>
            <w:tcW w:w="459" w:type="dxa"/>
            <w:gridSpan w:val="2"/>
            <w:tcBorders>
              <w:top w:val="nil"/>
              <w:left w:val="nil"/>
              <w:bottom w:val="nil"/>
              <w:right w:val="nil"/>
            </w:tcBorders>
          </w:tcPr>
          <w:p w:rsidR="00B608DD" w:rsidRPr="006E55BA" w:rsidRDefault="00B608DD" w:rsidP="00B608DD">
            <w:pPr>
              <w:rPr>
                <w:rFonts w:ascii="Calibri" w:hAnsi="Calibri" w:cs="Calibri"/>
                <w:b/>
                <w:bCs/>
                <w:color w:val="A6A6A6" w:themeColor="background1" w:themeShade="A6"/>
                <w:sz w:val="20"/>
                <w:szCs w:val="20"/>
              </w:rPr>
            </w:pPr>
          </w:p>
        </w:tc>
        <w:tc>
          <w:tcPr>
            <w:tcW w:w="467" w:type="dxa"/>
            <w:gridSpan w:val="2"/>
            <w:tcBorders>
              <w:top w:val="nil"/>
              <w:left w:val="nil"/>
              <w:bottom w:val="nil"/>
              <w:right w:val="nil"/>
            </w:tcBorders>
          </w:tcPr>
          <w:p w:rsidR="00B608DD" w:rsidRPr="006E55BA" w:rsidRDefault="00B608DD" w:rsidP="00B608DD">
            <w:pPr>
              <w:rPr>
                <w:rFonts w:ascii="Calibri" w:hAnsi="Calibri" w:cs="Calibri"/>
                <w:b/>
                <w:bCs/>
                <w:color w:val="A6A6A6" w:themeColor="background1" w:themeShade="A6"/>
                <w:sz w:val="20"/>
                <w:szCs w:val="20"/>
              </w:rPr>
            </w:pPr>
          </w:p>
        </w:tc>
        <w:tc>
          <w:tcPr>
            <w:tcW w:w="458" w:type="dxa"/>
            <w:gridSpan w:val="2"/>
            <w:tcBorders>
              <w:top w:val="nil"/>
              <w:left w:val="nil"/>
              <w:bottom w:val="nil"/>
              <w:right w:val="nil"/>
            </w:tcBorders>
          </w:tcPr>
          <w:p w:rsidR="00B608DD" w:rsidRPr="00670C21" w:rsidRDefault="00B608DD" w:rsidP="00B608DD">
            <w:pPr>
              <w:rPr>
                <w:rFonts w:ascii="Calibri" w:hAnsi="Calibri" w:cs="Calibri"/>
                <w:b/>
                <w:bCs/>
                <w:sz w:val="20"/>
                <w:szCs w:val="20"/>
              </w:rPr>
            </w:pPr>
          </w:p>
        </w:tc>
        <w:tc>
          <w:tcPr>
            <w:tcW w:w="1298" w:type="dxa"/>
            <w:gridSpan w:val="2"/>
            <w:tcBorders>
              <w:top w:val="nil"/>
              <w:left w:val="nil"/>
              <w:bottom w:val="nil"/>
              <w:right w:val="nil"/>
            </w:tcBorders>
          </w:tcPr>
          <w:p w:rsidR="00B608DD" w:rsidRPr="00670C21" w:rsidRDefault="00B608DD" w:rsidP="00B608DD">
            <w:pPr>
              <w:rPr>
                <w:rFonts w:ascii="Calibri" w:hAnsi="Calibri" w:cs="Calibri"/>
                <w:b/>
                <w:bCs/>
                <w:sz w:val="20"/>
                <w:szCs w:val="20"/>
              </w:rPr>
            </w:pPr>
          </w:p>
        </w:tc>
        <w:tc>
          <w:tcPr>
            <w:tcW w:w="160" w:type="dxa"/>
            <w:tcBorders>
              <w:top w:val="nil"/>
              <w:left w:val="nil"/>
              <w:bottom w:val="nil"/>
              <w:right w:val="nil"/>
            </w:tcBorders>
          </w:tcPr>
          <w:p w:rsidR="00B608DD" w:rsidRPr="00670C21" w:rsidRDefault="00B608DD" w:rsidP="00B608DD">
            <w:pPr>
              <w:rPr>
                <w:rFonts w:ascii="Calibri" w:hAnsi="Calibri" w:cs="Calibri"/>
                <w:b/>
                <w:bCs/>
                <w:sz w:val="20"/>
                <w:szCs w:val="20"/>
              </w:rPr>
            </w:pPr>
          </w:p>
        </w:tc>
        <w:tc>
          <w:tcPr>
            <w:tcW w:w="458" w:type="dxa"/>
            <w:gridSpan w:val="2"/>
            <w:tcBorders>
              <w:top w:val="nil"/>
              <w:left w:val="nil"/>
              <w:bottom w:val="nil"/>
              <w:right w:val="nil"/>
            </w:tcBorders>
          </w:tcPr>
          <w:p w:rsidR="00B608DD" w:rsidRPr="00670C21" w:rsidRDefault="00B608DD" w:rsidP="00B608DD">
            <w:pPr>
              <w:rPr>
                <w:rFonts w:ascii="Calibri" w:hAnsi="Calibri" w:cs="Calibri"/>
                <w:b/>
                <w:bCs/>
                <w:sz w:val="20"/>
                <w:szCs w:val="20"/>
              </w:rPr>
            </w:pPr>
          </w:p>
        </w:tc>
        <w:tc>
          <w:tcPr>
            <w:tcW w:w="538" w:type="dxa"/>
            <w:gridSpan w:val="2"/>
            <w:tcBorders>
              <w:top w:val="nil"/>
              <w:left w:val="nil"/>
              <w:bottom w:val="nil"/>
              <w:right w:val="nil"/>
            </w:tcBorders>
          </w:tcPr>
          <w:p w:rsidR="00B608DD" w:rsidRPr="00670C21" w:rsidRDefault="00B608DD" w:rsidP="00B608DD">
            <w:pPr>
              <w:rPr>
                <w:rFonts w:ascii="Calibri" w:hAnsi="Calibri" w:cs="Calibri"/>
                <w:b/>
                <w:bCs/>
                <w:sz w:val="20"/>
                <w:szCs w:val="20"/>
              </w:rPr>
            </w:pPr>
          </w:p>
        </w:tc>
        <w:tc>
          <w:tcPr>
            <w:tcW w:w="380" w:type="dxa"/>
            <w:tcBorders>
              <w:top w:val="nil"/>
              <w:left w:val="nil"/>
              <w:bottom w:val="nil"/>
              <w:right w:val="nil"/>
            </w:tcBorders>
          </w:tcPr>
          <w:p w:rsidR="00B608DD" w:rsidRPr="00670C21" w:rsidRDefault="00B608DD" w:rsidP="00B608DD">
            <w:pPr>
              <w:rPr>
                <w:rFonts w:ascii="Calibri" w:hAnsi="Calibri" w:cs="Calibri"/>
                <w:b/>
                <w:bCs/>
                <w:sz w:val="20"/>
                <w:szCs w:val="20"/>
              </w:rPr>
            </w:pPr>
          </w:p>
        </w:tc>
        <w:tc>
          <w:tcPr>
            <w:tcW w:w="464" w:type="dxa"/>
            <w:tcBorders>
              <w:top w:val="nil"/>
              <w:left w:val="nil"/>
              <w:bottom w:val="nil"/>
              <w:right w:val="nil"/>
            </w:tcBorders>
          </w:tcPr>
          <w:p w:rsidR="00B608DD" w:rsidRPr="00670C21" w:rsidRDefault="00B608DD" w:rsidP="00B608DD">
            <w:pPr>
              <w:rPr>
                <w:rFonts w:ascii="Calibri" w:hAnsi="Calibri" w:cs="Calibri"/>
                <w:b/>
                <w:bCs/>
                <w:sz w:val="20"/>
                <w:szCs w:val="20"/>
              </w:rPr>
            </w:pPr>
          </w:p>
        </w:tc>
        <w:tc>
          <w:tcPr>
            <w:tcW w:w="458" w:type="dxa"/>
            <w:tcBorders>
              <w:top w:val="nil"/>
              <w:left w:val="nil"/>
              <w:bottom w:val="nil"/>
              <w:right w:val="nil"/>
            </w:tcBorders>
          </w:tcPr>
          <w:p w:rsidR="00B608DD" w:rsidRPr="00670C21" w:rsidRDefault="00B608DD" w:rsidP="00B608DD">
            <w:pPr>
              <w:rPr>
                <w:rFonts w:ascii="Calibri" w:hAnsi="Calibri" w:cs="Calibri"/>
                <w:b/>
                <w:bCs/>
                <w:sz w:val="20"/>
                <w:szCs w:val="20"/>
              </w:rPr>
            </w:pPr>
          </w:p>
        </w:tc>
        <w:tc>
          <w:tcPr>
            <w:tcW w:w="458" w:type="dxa"/>
            <w:tcBorders>
              <w:top w:val="nil"/>
              <w:left w:val="nil"/>
              <w:bottom w:val="nil"/>
              <w:right w:val="nil"/>
            </w:tcBorders>
          </w:tcPr>
          <w:p w:rsidR="00B608DD" w:rsidRPr="00670C21" w:rsidRDefault="00B608DD" w:rsidP="00B608DD">
            <w:pPr>
              <w:rPr>
                <w:rFonts w:ascii="Calibri" w:hAnsi="Calibri" w:cs="Calibri"/>
                <w:b/>
                <w:bCs/>
                <w:sz w:val="20"/>
                <w:szCs w:val="20"/>
              </w:rPr>
            </w:pPr>
          </w:p>
        </w:tc>
        <w:tc>
          <w:tcPr>
            <w:tcW w:w="458" w:type="dxa"/>
            <w:tcBorders>
              <w:top w:val="nil"/>
              <w:left w:val="nil"/>
              <w:bottom w:val="nil"/>
              <w:right w:val="nil"/>
            </w:tcBorders>
          </w:tcPr>
          <w:p w:rsidR="00B608DD" w:rsidRPr="00670C21" w:rsidRDefault="00B608DD" w:rsidP="00B608DD">
            <w:pPr>
              <w:rPr>
                <w:rFonts w:ascii="Calibri" w:hAnsi="Calibri" w:cs="Calibri"/>
                <w:b/>
                <w:bCs/>
                <w:sz w:val="20"/>
                <w:szCs w:val="20"/>
              </w:rPr>
            </w:pPr>
          </w:p>
        </w:tc>
        <w:tc>
          <w:tcPr>
            <w:tcW w:w="458" w:type="dxa"/>
            <w:tcBorders>
              <w:top w:val="nil"/>
              <w:left w:val="nil"/>
              <w:bottom w:val="nil"/>
              <w:right w:val="nil"/>
            </w:tcBorders>
          </w:tcPr>
          <w:p w:rsidR="00B608DD" w:rsidRPr="006E55BA" w:rsidRDefault="00B608DD" w:rsidP="00B608DD">
            <w:pPr>
              <w:rPr>
                <w:rFonts w:ascii="Calibri" w:hAnsi="Calibri" w:cs="Calibri"/>
                <w:b/>
                <w:bCs/>
                <w:color w:val="A6A6A6" w:themeColor="background1" w:themeShade="A6"/>
                <w:sz w:val="20"/>
                <w:szCs w:val="20"/>
              </w:rPr>
            </w:pPr>
          </w:p>
        </w:tc>
        <w:tc>
          <w:tcPr>
            <w:tcW w:w="458" w:type="dxa"/>
            <w:tcBorders>
              <w:top w:val="nil"/>
              <w:left w:val="nil"/>
              <w:bottom w:val="nil"/>
              <w:right w:val="nil"/>
            </w:tcBorders>
          </w:tcPr>
          <w:p w:rsidR="00B608DD" w:rsidRPr="006E55BA" w:rsidRDefault="00B608DD" w:rsidP="00B608DD">
            <w:pPr>
              <w:rPr>
                <w:rFonts w:ascii="Calibri" w:hAnsi="Calibri" w:cs="Calibri"/>
                <w:b/>
                <w:bCs/>
                <w:color w:val="A6A6A6" w:themeColor="background1" w:themeShade="A6"/>
                <w:sz w:val="20"/>
                <w:szCs w:val="20"/>
              </w:rPr>
            </w:pPr>
          </w:p>
        </w:tc>
        <w:tc>
          <w:tcPr>
            <w:tcW w:w="1402" w:type="dxa"/>
            <w:gridSpan w:val="3"/>
            <w:tcBorders>
              <w:top w:val="nil"/>
              <w:left w:val="nil"/>
              <w:bottom w:val="nil"/>
              <w:right w:val="nil"/>
            </w:tcBorders>
          </w:tcPr>
          <w:p w:rsidR="00B608DD" w:rsidRPr="006E55BA" w:rsidRDefault="00B608DD" w:rsidP="00B608DD">
            <w:pPr>
              <w:rPr>
                <w:rFonts w:ascii="Calibri" w:hAnsi="Calibri" w:cs="Calibri"/>
                <w:b/>
                <w:bCs/>
                <w:color w:val="A6A6A6" w:themeColor="background1" w:themeShade="A6"/>
                <w:sz w:val="20"/>
                <w:szCs w:val="20"/>
              </w:rPr>
            </w:pPr>
          </w:p>
        </w:tc>
      </w:tr>
      <w:tr w:rsidR="006E55BA" w:rsidRPr="006E55BA" w:rsidTr="00A028B5">
        <w:trPr>
          <w:gridAfter w:val="2"/>
          <w:wAfter w:w="1085" w:type="dxa"/>
          <w:trHeight w:val="150"/>
        </w:trPr>
        <w:tc>
          <w:tcPr>
            <w:tcW w:w="2190" w:type="dxa"/>
            <w:gridSpan w:val="5"/>
            <w:tcBorders>
              <w:top w:val="single" w:sz="4" w:space="0" w:color="auto"/>
              <w:left w:val="single" w:sz="4" w:space="0" w:color="auto"/>
              <w:bottom w:val="single" w:sz="4" w:space="0" w:color="auto"/>
              <w:right w:val="single" w:sz="4" w:space="0" w:color="auto"/>
            </w:tcBorders>
            <w:shd w:val="clear" w:color="auto" w:fill="FFFF00"/>
          </w:tcPr>
          <w:p w:rsidR="00B608DD" w:rsidRPr="00670C21" w:rsidRDefault="00B608DD" w:rsidP="00B608DD">
            <w:pPr>
              <w:jc w:val="center"/>
              <w:rPr>
                <w:rFonts w:ascii="Calibri" w:hAnsi="Calibri" w:cs="Calibri"/>
                <w:b/>
                <w:bCs/>
                <w:sz w:val="18"/>
                <w:szCs w:val="18"/>
              </w:rPr>
            </w:pPr>
            <w:r w:rsidRPr="00670C21">
              <w:rPr>
                <w:rFonts w:ascii="Calibri" w:hAnsi="Calibri" w:cs="Calibri"/>
                <w:b/>
                <w:bCs/>
                <w:sz w:val="18"/>
                <w:szCs w:val="18"/>
              </w:rPr>
              <w:t>Rozpočet upravený v tis. Kč</w:t>
            </w:r>
          </w:p>
        </w:tc>
        <w:tc>
          <w:tcPr>
            <w:tcW w:w="1849" w:type="dxa"/>
            <w:gridSpan w:val="9"/>
            <w:tcBorders>
              <w:top w:val="single" w:sz="4" w:space="0" w:color="auto"/>
              <w:left w:val="single" w:sz="4" w:space="0" w:color="auto"/>
              <w:bottom w:val="single" w:sz="4" w:space="0" w:color="auto"/>
              <w:right w:val="single" w:sz="4" w:space="0" w:color="auto"/>
            </w:tcBorders>
            <w:shd w:val="clear" w:color="auto" w:fill="FFFF00"/>
          </w:tcPr>
          <w:p w:rsidR="00B608DD" w:rsidRPr="00670C21" w:rsidRDefault="00B608DD" w:rsidP="00B608DD">
            <w:pPr>
              <w:jc w:val="center"/>
              <w:rPr>
                <w:rFonts w:ascii="Calibri" w:hAnsi="Calibri" w:cs="Calibri"/>
                <w:b/>
                <w:bCs/>
                <w:sz w:val="18"/>
                <w:szCs w:val="18"/>
              </w:rPr>
            </w:pPr>
            <w:r w:rsidRPr="00670C21">
              <w:rPr>
                <w:rFonts w:ascii="Calibri" w:hAnsi="Calibri" w:cs="Calibri"/>
                <w:b/>
                <w:bCs/>
                <w:sz w:val="18"/>
                <w:szCs w:val="18"/>
              </w:rPr>
              <w:t>Skutečnost v tis. Kč</w:t>
            </w:r>
          </w:p>
        </w:tc>
        <w:tc>
          <w:tcPr>
            <w:tcW w:w="1552" w:type="dxa"/>
            <w:gridSpan w:val="3"/>
            <w:tcBorders>
              <w:top w:val="single" w:sz="4" w:space="0" w:color="auto"/>
              <w:left w:val="single" w:sz="4" w:space="0" w:color="auto"/>
              <w:bottom w:val="single" w:sz="4" w:space="0" w:color="auto"/>
              <w:right w:val="single" w:sz="4" w:space="0" w:color="auto"/>
            </w:tcBorders>
            <w:shd w:val="clear" w:color="auto" w:fill="FFFF00"/>
          </w:tcPr>
          <w:p w:rsidR="00B608DD" w:rsidRPr="00670C21" w:rsidRDefault="00B608DD" w:rsidP="00B608DD">
            <w:pPr>
              <w:jc w:val="center"/>
              <w:rPr>
                <w:rFonts w:ascii="Calibri" w:hAnsi="Calibri" w:cs="Calibri"/>
                <w:b/>
                <w:bCs/>
                <w:sz w:val="18"/>
                <w:szCs w:val="18"/>
              </w:rPr>
            </w:pPr>
            <w:r w:rsidRPr="00670C21">
              <w:rPr>
                <w:rFonts w:ascii="Calibri" w:hAnsi="Calibri" w:cs="Calibri"/>
                <w:b/>
                <w:bCs/>
                <w:sz w:val="18"/>
                <w:szCs w:val="18"/>
              </w:rPr>
              <w:t>SK/RU v %</w:t>
            </w:r>
          </w:p>
        </w:tc>
        <w:tc>
          <w:tcPr>
            <w:tcW w:w="4048" w:type="dxa"/>
            <w:gridSpan w:val="11"/>
            <w:tcBorders>
              <w:top w:val="single" w:sz="4" w:space="0" w:color="auto"/>
              <w:left w:val="single" w:sz="4" w:space="0" w:color="auto"/>
              <w:bottom w:val="single" w:sz="4" w:space="0" w:color="auto"/>
              <w:right w:val="single" w:sz="4" w:space="0" w:color="auto"/>
            </w:tcBorders>
            <w:shd w:val="clear" w:color="auto" w:fill="FFFF00"/>
          </w:tcPr>
          <w:p w:rsidR="00B608DD" w:rsidRPr="00670C21" w:rsidRDefault="00B608DD" w:rsidP="00B608DD">
            <w:pPr>
              <w:jc w:val="center"/>
              <w:rPr>
                <w:rFonts w:ascii="Calibri" w:hAnsi="Calibri" w:cs="Calibri"/>
                <w:b/>
                <w:bCs/>
                <w:sz w:val="18"/>
                <w:szCs w:val="18"/>
              </w:rPr>
            </w:pPr>
            <w:r w:rsidRPr="00670C21">
              <w:rPr>
                <w:rFonts w:ascii="Calibri" w:hAnsi="Calibri" w:cs="Calibri"/>
                <w:b/>
                <w:bCs/>
                <w:sz w:val="18"/>
                <w:szCs w:val="18"/>
              </w:rPr>
              <w:t>Komentář</w:t>
            </w:r>
          </w:p>
        </w:tc>
      </w:tr>
      <w:tr w:rsidR="00670C21" w:rsidRPr="006E55BA" w:rsidTr="00A028B5">
        <w:trPr>
          <w:gridAfter w:val="2"/>
          <w:wAfter w:w="1085" w:type="dxa"/>
        </w:trPr>
        <w:tc>
          <w:tcPr>
            <w:tcW w:w="2190" w:type="dxa"/>
            <w:gridSpan w:val="5"/>
            <w:tcBorders>
              <w:top w:val="single" w:sz="6" w:space="0" w:color="auto"/>
              <w:left w:val="single" w:sz="6" w:space="0" w:color="auto"/>
              <w:bottom w:val="single" w:sz="6" w:space="0" w:color="auto"/>
              <w:right w:val="single" w:sz="6" w:space="0" w:color="auto"/>
            </w:tcBorders>
          </w:tcPr>
          <w:p w:rsidR="00670C21" w:rsidRPr="00670C21" w:rsidRDefault="0021286E" w:rsidP="003951EB">
            <w:pPr>
              <w:jc w:val="right"/>
              <w:rPr>
                <w:rFonts w:ascii="Calibri" w:hAnsi="Calibri" w:cs="Calibri"/>
                <w:b/>
                <w:bCs/>
                <w:sz w:val="18"/>
                <w:szCs w:val="18"/>
              </w:rPr>
            </w:pPr>
            <w:r>
              <w:rPr>
                <w:rFonts w:ascii="Calibri" w:hAnsi="Calibri" w:cs="Calibri"/>
                <w:b/>
                <w:bCs/>
                <w:sz w:val="18"/>
                <w:szCs w:val="18"/>
              </w:rPr>
              <w:t>2 100</w:t>
            </w:r>
            <w:r w:rsidR="003951EB">
              <w:rPr>
                <w:rFonts w:ascii="Calibri" w:hAnsi="Calibri" w:cs="Calibri"/>
                <w:b/>
                <w:bCs/>
                <w:sz w:val="18"/>
                <w:szCs w:val="18"/>
              </w:rPr>
              <w:t>,00</w:t>
            </w:r>
          </w:p>
        </w:tc>
        <w:tc>
          <w:tcPr>
            <w:tcW w:w="1849" w:type="dxa"/>
            <w:gridSpan w:val="9"/>
            <w:tcBorders>
              <w:top w:val="single" w:sz="6" w:space="0" w:color="auto"/>
              <w:left w:val="single" w:sz="6" w:space="0" w:color="auto"/>
              <w:bottom w:val="single" w:sz="6" w:space="0" w:color="auto"/>
              <w:right w:val="single" w:sz="6" w:space="0" w:color="auto"/>
            </w:tcBorders>
          </w:tcPr>
          <w:p w:rsidR="00670C21" w:rsidRPr="00670C21" w:rsidRDefault="0021286E" w:rsidP="003951EB">
            <w:pPr>
              <w:jc w:val="right"/>
              <w:rPr>
                <w:rFonts w:ascii="Calibri" w:hAnsi="Calibri" w:cs="Calibri"/>
                <w:b/>
                <w:bCs/>
                <w:sz w:val="18"/>
                <w:szCs w:val="18"/>
              </w:rPr>
            </w:pPr>
            <w:r>
              <w:rPr>
                <w:rFonts w:ascii="Calibri" w:hAnsi="Calibri" w:cs="Calibri"/>
                <w:b/>
                <w:bCs/>
                <w:sz w:val="18"/>
                <w:szCs w:val="18"/>
              </w:rPr>
              <w:t>2 712,86</w:t>
            </w:r>
          </w:p>
        </w:tc>
        <w:tc>
          <w:tcPr>
            <w:tcW w:w="1552" w:type="dxa"/>
            <w:gridSpan w:val="3"/>
            <w:tcBorders>
              <w:top w:val="single" w:sz="6" w:space="0" w:color="auto"/>
              <w:left w:val="single" w:sz="6" w:space="0" w:color="auto"/>
              <w:bottom w:val="single" w:sz="6" w:space="0" w:color="auto"/>
              <w:right w:val="single" w:sz="6" w:space="0" w:color="auto"/>
            </w:tcBorders>
          </w:tcPr>
          <w:p w:rsidR="00670C21" w:rsidRPr="00670C21" w:rsidRDefault="0021286E" w:rsidP="0021286E">
            <w:pPr>
              <w:jc w:val="center"/>
              <w:rPr>
                <w:rFonts w:ascii="Calibri" w:hAnsi="Calibri" w:cs="Calibri"/>
                <w:b/>
                <w:bCs/>
                <w:sz w:val="18"/>
                <w:szCs w:val="18"/>
              </w:rPr>
            </w:pPr>
            <w:r>
              <w:rPr>
                <w:rFonts w:ascii="Calibri" w:hAnsi="Calibri" w:cs="Calibri"/>
                <w:b/>
                <w:bCs/>
                <w:sz w:val="18"/>
                <w:szCs w:val="18"/>
              </w:rPr>
              <w:t>129,18</w:t>
            </w:r>
          </w:p>
        </w:tc>
        <w:tc>
          <w:tcPr>
            <w:tcW w:w="4048" w:type="dxa"/>
            <w:gridSpan w:val="11"/>
            <w:tcBorders>
              <w:top w:val="single" w:sz="4" w:space="0" w:color="auto"/>
              <w:left w:val="single" w:sz="4" w:space="0" w:color="auto"/>
              <w:bottom w:val="single" w:sz="4" w:space="0" w:color="auto"/>
              <w:right w:val="single" w:sz="4" w:space="0" w:color="auto"/>
            </w:tcBorders>
          </w:tcPr>
          <w:p w:rsidR="00670C21" w:rsidRPr="00670C21" w:rsidRDefault="00670C21" w:rsidP="00670C21">
            <w:pPr>
              <w:rPr>
                <w:rFonts w:ascii="Calibri" w:hAnsi="Calibri" w:cs="Calibri"/>
                <w:b/>
                <w:bCs/>
                <w:sz w:val="18"/>
                <w:szCs w:val="18"/>
              </w:rPr>
            </w:pPr>
            <w:r w:rsidRPr="00670C21">
              <w:rPr>
                <w:rFonts w:ascii="Calibri" w:hAnsi="Calibri" w:cs="Calibri"/>
                <w:b/>
                <w:bCs/>
                <w:sz w:val="18"/>
                <w:szCs w:val="18"/>
              </w:rPr>
              <w:t>Příjmy před konsolidací</w:t>
            </w:r>
          </w:p>
        </w:tc>
      </w:tr>
      <w:tr w:rsidR="003951EB" w:rsidRPr="006E55BA" w:rsidTr="00A028B5">
        <w:trPr>
          <w:gridAfter w:val="2"/>
          <w:wAfter w:w="1085" w:type="dxa"/>
        </w:trPr>
        <w:tc>
          <w:tcPr>
            <w:tcW w:w="2190" w:type="dxa"/>
            <w:gridSpan w:val="5"/>
            <w:tcBorders>
              <w:top w:val="single" w:sz="6" w:space="0" w:color="auto"/>
              <w:left w:val="single" w:sz="6" w:space="0" w:color="auto"/>
              <w:bottom w:val="single" w:sz="6" w:space="0" w:color="auto"/>
              <w:right w:val="single" w:sz="6" w:space="0" w:color="auto"/>
            </w:tcBorders>
          </w:tcPr>
          <w:p w:rsidR="003951EB" w:rsidRPr="00670C21" w:rsidRDefault="0021286E" w:rsidP="003951EB">
            <w:pPr>
              <w:jc w:val="right"/>
              <w:rPr>
                <w:rFonts w:ascii="Calibri" w:hAnsi="Calibri" w:cs="Calibri"/>
                <w:b/>
                <w:bCs/>
                <w:sz w:val="18"/>
                <w:szCs w:val="18"/>
              </w:rPr>
            </w:pPr>
            <w:r>
              <w:rPr>
                <w:rFonts w:ascii="Calibri" w:hAnsi="Calibri" w:cs="Calibri"/>
                <w:b/>
                <w:bCs/>
                <w:sz w:val="18"/>
                <w:szCs w:val="18"/>
              </w:rPr>
              <w:t>2 100</w:t>
            </w:r>
            <w:r w:rsidR="003951EB">
              <w:rPr>
                <w:rFonts w:ascii="Calibri" w:hAnsi="Calibri" w:cs="Calibri"/>
                <w:b/>
                <w:bCs/>
                <w:sz w:val="18"/>
                <w:szCs w:val="18"/>
              </w:rPr>
              <w:t>,00</w:t>
            </w:r>
          </w:p>
        </w:tc>
        <w:tc>
          <w:tcPr>
            <w:tcW w:w="1849" w:type="dxa"/>
            <w:gridSpan w:val="9"/>
            <w:tcBorders>
              <w:top w:val="single" w:sz="6" w:space="0" w:color="auto"/>
              <w:left w:val="single" w:sz="6" w:space="0" w:color="auto"/>
              <w:bottom w:val="single" w:sz="6" w:space="0" w:color="auto"/>
              <w:right w:val="single" w:sz="6" w:space="0" w:color="auto"/>
            </w:tcBorders>
          </w:tcPr>
          <w:p w:rsidR="003951EB" w:rsidRPr="00670C21" w:rsidRDefault="0021286E" w:rsidP="003951EB">
            <w:pPr>
              <w:jc w:val="right"/>
              <w:rPr>
                <w:rFonts w:ascii="Calibri" w:hAnsi="Calibri" w:cs="Calibri"/>
                <w:b/>
                <w:bCs/>
                <w:sz w:val="18"/>
                <w:szCs w:val="18"/>
              </w:rPr>
            </w:pPr>
            <w:r>
              <w:rPr>
                <w:rFonts w:ascii="Calibri" w:hAnsi="Calibri" w:cs="Calibri"/>
                <w:b/>
                <w:bCs/>
                <w:sz w:val="18"/>
                <w:szCs w:val="18"/>
              </w:rPr>
              <w:t>2 712,86</w:t>
            </w:r>
          </w:p>
        </w:tc>
        <w:tc>
          <w:tcPr>
            <w:tcW w:w="1552" w:type="dxa"/>
            <w:gridSpan w:val="3"/>
            <w:tcBorders>
              <w:top w:val="single" w:sz="6" w:space="0" w:color="auto"/>
              <w:left w:val="single" w:sz="6" w:space="0" w:color="auto"/>
              <w:bottom w:val="single" w:sz="6" w:space="0" w:color="auto"/>
              <w:right w:val="single" w:sz="6" w:space="0" w:color="auto"/>
            </w:tcBorders>
          </w:tcPr>
          <w:p w:rsidR="003951EB" w:rsidRPr="00670C21" w:rsidRDefault="0021286E" w:rsidP="0021286E">
            <w:pPr>
              <w:jc w:val="center"/>
              <w:rPr>
                <w:rFonts w:ascii="Calibri" w:hAnsi="Calibri" w:cs="Calibri"/>
                <w:b/>
                <w:bCs/>
                <w:sz w:val="18"/>
                <w:szCs w:val="18"/>
              </w:rPr>
            </w:pPr>
            <w:r>
              <w:rPr>
                <w:rFonts w:ascii="Calibri" w:hAnsi="Calibri" w:cs="Calibri"/>
                <w:b/>
                <w:bCs/>
                <w:sz w:val="18"/>
                <w:szCs w:val="18"/>
              </w:rPr>
              <w:t>129,18</w:t>
            </w:r>
          </w:p>
        </w:tc>
        <w:tc>
          <w:tcPr>
            <w:tcW w:w="4048" w:type="dxa"/>
            <w:gridSpan w:val="11"/>
            <w:tcBorders>
              <w:top w:val="single" w:sz="4" w:space="0" w:color="auto"/>
              <w:left w:val="single" w:sz="4" w:space="0" w:color="auto"/>
              <w:bottom w:val="single" w:sz="4" w:space="0" w:color="auto"/>
              <w:right w:val="single" w:sz="4" w:space="0" w:color="auto"/>
            </w:tcBorders>
          </w:tcPr>
          <w:p w:rsidR="003951EB" w:rsidRPr="00670C21" w:rsidRDefault="003951EB" w:rsidP="003951EB">
            <w:pPr>
              <w:rPr>
                <w:rFonts w:ascii="Calibri" w:hAnsi="Calibri" w:cs="Calibri"/>
                <w:b/>
                <w:bCs/>
                <w:sz w:val="18"/>
                <w:szCs w:val="18"/>
              </w:rPr>
            </w:pPr>
            <w:r w:rsidRPr="00670C21">
              <w:rPr>
                <w:rFonts w:ascii="Calibri" w:hAnsi="Calibri" w:cs="Calibri"/>
                <w:b/>
                <w:bCs/>
                <w:sz w:val="18"/>
                <w:szCs w:val="18"/>
              </w:rPr>
              <w:t>Příjmy po konsolidaci</w:t>
            </w:r>
          </w:p>
        </w:tc>
      </w:tr>
      <w:tr w:rsidR="006E55BA" w:rsidRPr="006E55BA" w:rsidTr="00A028B5">
        <w:tc>
          <w:tcPr>
            <w:tcW w:w="457" w:type="dxa"/>
            <w:tcBorders>
              <w:top w:val="nil"/>
              <w:left w:val="nil"/>
              <w:bottom w:val="nil"/>
              <w:right w:val="nil"/>
            </w:tcBorders>
          </w:tcPr>
          <w:p w:rsidR="00B608DD" w:rsidRPr="006E55BA" w:rsidRDefault="00B608DD" w:rsidP="00B608DD">
            <w:pPr>
              <w:rPr>
                <w:b/>
                <w:bCs/>
                <w:color w:val="A6A6A6" w:themeColor="background1" w:themeShade="A6"/>
                <w:sz w:val="20"/>
                <w:szCs w:val="20"/>
              </w:rPr>
            </w:pPr>
          </w:p>
        </w:tc>
        <w:tc>
          <w:tcPr>
            <w:tcW w:w="454" w:type="dxa"/>
            <w:tcBorders>
              <w:top w:val="nil"/>
              <w:left w:val="nil"/>
              <w:bottom w:val="nil"/>
              <w:right w:val="nil"/>
            </w:tcBorders>
          </w:tcPr>
          <w:p w:rsidR="00B608DD" w:rsidRPr="006E55BA" w:rsidRDefault="00B608DD" w:rsidP="00B608DD">
            <w:pPr>
              <w:rPr>
                <w:b/>
                <w:bCs/>
                <w:color w:val="A6A6A6" w:themeColor="background1" w:themeShade="A6"/>
                <w:sz w:val="20"/>
                <w:szCs w:val="20"/>
              </w:rPr>
            </w:pPr>
          </w:p>
        </w:tc>
        <w:tc>
          <w:tcPr>
            <w:tcW w:w="457" w:type="dxa"/>
            <w:tcBorders>
              <w:top w:val="nil"/>
              <w:left w:val="nil"/>
              <w:bottom w:val="nil"/>
              <w:right w:val="nil"/>
            </w:tcBorders>
          </w:tcPr>
          <w:p w:rsidR="00B608DD" w:rsidRPr="006E55BA" w:rsidRDefault="00B608DD" w:rsidP="00B608DD">
            <w:pPr>
              <w:rPr>
                <w:rFonts w:ascii="Calibri" w:hAnsi="Calibri" w:cs="Calibri"/>
                <w:b/>
                <w:bCs/>
                <w:color w:val="A6A6A6" w:themeColor="background1" w:themeShade="A6"/>
                <w:sz w:val="20"/>
                <w:szCs w:val="20"/>
              </w:rPr>
            </w:pPr>
          </w:p>
        </w:tc>
        <w:tc>
          <w:tcPr>
            <w:tcW w:w="822" w:type="dxa"/>
            <w:gridSpan w:val="2"/>
            <w:tcBorders>
              <w:top w:val="nil"/>
              <w:left w:val="nil"/>
              <w:bottom w:val="nil"/>
              <w:right w:val="nil"/>
            </w:tcBorders>
          </w:tcPr>
          <w:p w:rsidR="00B608DD" w:rsidRPr="006E55BA" w:rsidRDefault="00B608DD" w:rsidP="00B608DD">
            <w:pPr>
              <w:rPr>
                <w:rFonts w:ascii="Calibri" w:hAnsi="Calibri" w:cs="Calibri"/>
                <w:b/>
                <w:bCs/>
                <w:color w:val="A6A6A6" w:themeColor="background1" w:themeShade="A6"/>
                <w:sz w:val="20"/>
                <w:szCs w:val="20"/>
              </w:rPr>
            </w:pPr>
          </w:p>
        </w:tc>
        <w:tc>
          <w:tcPr>
            <w:tcW w:w="160" w:type="dxa"/>
            <w:gridSpan w:val="2"/>
            <w:tcBorders>
              <w:top w:val="nil"/>
              <w:left w:val="nil"/>
              <w:bottom w:val="nil"/>
              <w:right w:val="nil"/>
            </w:tcBorders>
          </w:tcPr>
          <w:p w:rsidR="00B608DD" w:rsidRPr="006E55BA" w:rsidRDefault="00B608DD" w:rsidP="00B608DD">
            <w:pPr>
              <w:rPr>
                <w:rFonts w:ascii="Calibri" w:hAnsi="Calibri" w:cs="Calibri"/>
                <w:b/>
                <w:bCs/>
                <w:color w:val="A6A6A6" w:themeColor="background1" w:themeShade="A6"/>
                <w:sz w:val="20"/>
                <w:szCs w:val="20"/>
              </w:rPr>
            </w:pPr>
          </w:p>
        </w:tc>
        <w:tc>
          <w:tcPr>
            <w:tcW w:w="459" w:type="dxa"/>
            <w:gridSpan w:val="2"/>
            <w:tcBorders>
              <w:top w:val="nil"/>
              <w:left w:val="nil"/>
              <w:bottom w:val="nil"/>
              <w:right w:val="nil"/>
            </w:tcBorders>
          </w:tcPr>
          <w:p w:rsidR="00B608DD" w:rsidRPr="006E55BA" w:rsidRDefault="00B608DD" w:rsidP="00B608DD">
            <w:pPr>
              <w:rPr>
                <w:rFonts w:ascii="Calibri" w:hAnsi="Calibri" w:cs="Calibri"/>
                <w:b/>
                <w:bCs/>
                <w:color w:val="A6A6A6" w:themeColor="background1" w:themeShade="A6"/>
                <w:sz w:val="20"/>
                <w:szCs w:val="20"/>
              </w:rPr>
            </w:pPr>
          </w:p>
        </w:tc>
        <w:tc>
          <w:tcPr>
            <w:tcW w:w="467" w:type="dxa"/>
            <w:gridSpan w:val="2"/>
            <w:tcBorders>
              <w:top w:val="nil"/>
              <w:left w:val="nil"/>
              <w:bottom w:val="nil"/>
              <w:right w:val="nil"/>
            </w:tcBorders>
          </w:tcPr>
          <w:p w:rsidR="00B608DD" w:rsidRPr="006E55BA" w:rsidRDefault="00B608DD" w:rsidP="00B608DD">
            <w:pPr>
              <w:rPr>
                <w:rFonts w:ascii="Calibri" w:hAnsi="Calibri" w:cs="Calibri"/>
                <w:b/>
                <w:bCs/>
                <w:color w:val="A6A6A6" w:themeColor="background1" w:themeShade="A6"/>
                <w:sz w:val="20"/>
                <w:szCs w:val="20"/>
              </w:rPr>
            </w:pPr>
          </w:p>
        </w:tc>
        <w:tc>
          <w:tcPr>
            <w:tcW w:w="458" w:type="dxa"/>
            <w:gridSpan w:val="2"/>
            <w:tcBorders>
              <w:top w:val="nil"/>
              <w:left w:val="nil"/>
              <w:bottom w:val="nil"/>
              <w:right w:val="nil"/>
            </w:tcBorders>
          </w:tcPr>
          <w:p w:rsidR="00B608DD" w:rsidRPr="00670C21" w:rsidRDefault="00B608DD" w:rsidP="00B608DD">
            <w:pPr>
              <w:rPr>
                <w:rFonts w:ascii="Calibri" w:hAnsi="Calibri" w:cs="Calibri"/>
                <w:b/>
                <w:bCs/>
                <w:sz w:val="20"/>
                <w:szCs w:val="20"/>
              </w:rPr>
            </w:pPr>
          </w:p>
        </w:tc>
        <w:tc>
          <w:tcPr>
            <w:tcW w:w="1298" w:type="dxa"/>
            <w:gridSpan w:val="2"/>
            <w:tcBorders>
              <w:top w:val="nil"/>
              <w:left w:val="nil"/>
              <w:bottom w:val="nil"/>
              <w:right w:val="nil"/>
            </w:tcBorders>
          </w:tcPr>
          <w:p w:rsidR="00B608DD" w:rsidRPr="00670C21" w:rsidRDefault="00B608DD" w:rsidP="00B608DD">
            <w:pPr>
              <w:rPr>
                <w:rFonts w:ascii="Calibri" w:hAnsi="Calibri" w:cs="Calibri"/>
                <w:b/>
                <w:bCs/>
                <w:sz w:val="20"/>
                <w:szCs w:val="20"/>
              </w:rPr>
            </w:pPr>
          </w:p>
        </w:tc>
        <w:tc>
          <w:tcPr>
            <w:tcW w:w="160" w:type="dxa"/>
            <w:tcBorders>
              <w:top w:val="nil"/>
              <w:left w:val="nil"/>
              <w:bottom w:val="nil"/>
              <w:right w:val="nil"/>
            </w:tcBorders>
          </w:tcPr>
          <w:p w:rsidR="00B608DD" w:rsidRPr="00670C21" w:rsidRDefault="00B608DD" w:rsidP="00B608DD">
            <w:pPr>
              <w:rPr>
                <w:rFonts w:ascii="Calibri" w:hAnsi="Calibri" w:cs="Calibri"/>
                <w:b/>
                <w:bCs/>
                <w:sz w:val="20"/>
                <w:szCs w:val="20"/>
              </w:rPr>
            </w:pPr>
          </w:p>
        </w:tc>
        <w:tc>
          <w:tcPr>
            <w:tcW w:w="458" w:type="dxa"/>
            <w:gridSpan w:val="2"/>
            <w:tcBorders>
              <w:top w:val="nil"/>
              <w:left w:val="nil"/>
              <w:bottom w:val="nil"/>
              <w:right w:val="nil"/>
            </w:tcBorders>
          </w:tcPr>
          <w:p w:rsidR="00B608DD" w:rsidRPr="00670C21" w:rsidRDefault="00B608DD" w:rsidP="00B608DD">
            <w:pPr>
              <w:rPr>
                <w:rFonts w:ascii="Calibri" w:hAnsi="Calibri" w:cs="Calibri"/>
                <w:b/>
                <w:bCs/>
                <w:sz w:val="20"/>
                <w:szCs w:val="20"/>
              </w:rPr>
            </w:pPr>
          </w:p>
        </w:tc>
        <w:tc>
          <w:tcPr>
            <w:tcW w:w="538" w:type="dxa"/>
            <w:gridSpan w:val="2"/>
            <w:tcBorders>
              <w:top w:val="nil"/>
              <w:left w:val="nil"/>
              <w:bottom w:val="nil"/>
              <w:right w:val="nil"/>
            </w:tcBorders>
          </w:tcPr>
          <w:p w:rsidR="00B608DD" w:rsidRPr="00670C21" w:rsidRDefault="00B608DD" w:rsidP="00B608DD">
            <w:pPr>
              <w:rPr>
                <w:rFonts w:ascii="Calibri" w:hAnsi="Calibri" w:cs="Calibri"/>
                <w:b/>
                <w:bCs/>
                <w:sz w:val="20"/>
                <w:szCs w:val="20"/>
              </w:rPr>
            </w:pPr>
          </w:p>
        </w:tc>
        <w:tc>
          <w:tcPr>
            <w:tcW w:w="380" w:type="dxa"/>
            <w:tcBorders>
              <w:top w:val="nil"/>
              <w:left w:val="nil"/>
              <w:bottom w:val="nil"/>
              <w:right w:val="nil"/>
            </w:tcBorders>
          </w:tcPr>
          <w:p w:rsidR="00B608DD" w:rsidRPr="00670C21" w:rsidRDefault="00B608DD" w:rsidP="00B608DD">
            <w:pPr>
              <w:rPr>
                <w:rFonts w:ascii="Calibri" w:hAnsi="Calibri" w:cs="Calibri"/>
                <w:b/>
                <w:bCs/>
                <w:sz w:val="20"/>
                <w:szCs w:val="20"/>
              </w:rPr>
            </w:pPr>
          </w:p>
        </w:tc>
        <w:tc>
          <w:tcPr>
            <w:tcW w:w="464" w:type="dxa"/>
            <w:tcBorders>
              <w:top w:val="nil"/>
              <w:left w:val="nil"/>
              <w:bottom w:val="nil"/>
              <w:right w:val="nil"/>
            </w:tcBorders>
          </w:tcPr>
          <w:p w:rsidR="00B608DD" w:rsidRPr="00670C21" w:rsidRDefault="00B608DD" w:rsidP="00B608DD">
            <w:pPr>
              <w:rPr>
                <w:rFonts w:ascii="Calibri" w:hAnsi="Calibri" w:cs="Calibri"/>
                <w:b/>
                <w:bCs/>
                <w:sz w:val="20"/>
                <w:szCs w:val="20"/>
              </w:rPr>
            </w:pPr>
          </w:p>
        </w:tc>
        <w:tc>
          <w:tcPr>
            <w:tcW w:w="458" w:type="dxa"/>
            <w:tcBorders>
              <w:top w:val="nil"/>
              <w:left w:val="nil"/>
              <w:bottom w:val="nil"/>
              <w:right w:val="nil"/>
            </w:tcBorders>
          </w:tcPr>
          <w:p w:rsidR="00B608DD" w:rsidRPr="00670C21" w:rsidRDefault="00B608DD" w:rsidP="00B608DD">
            <w:pPr>
              <w:rPr>
                <w:rFonts w:ascii="Calibri" w:hAnsi="Calibri" w:cs="Calibri"/>
                <w:b/>
                <w:bCs/>
                <w:sz w:val="20"/>
                <w:szCs w:val="20"/>
              </w:rPr>
            </w:pPr>
          </w:p>
        </w:tc>
        <w:tc>
          <w:tcPr>
            <w:tcW w:w="458" w:type="dxa"/>
            <w:tcBorders>
              <w:top w:val="nil"/>
              <w:left w:val="nil"/>
              <w:bottom w:val="nil"/>
              <w:right w:val="nil"/>
            </w:tcBorders>
          </w:tcPr>
          <w:p w:rsidR="00B608DD" w:rsidRPr="00670C21" w:rsidRDefault="00B608DD" w:rsidP="00B608DD">
            <w:pPr>
              <w:rPr>
                <w:rFonts w:ascii="Calibri" w:hAnsi="Calibri" w:cs="Calibri"/>
                <w:b/>
                <w:bCs/>
                <w:sz w:val="20"/>
                <w:szCs w:val="20"/>
              </w:rPr>
            </w:pPr>
          </w:p>
        </w:tc>
        <w:tc>
          <w:tcPr>
            <w:tcW w:w="458" w:type="dxa"/>
            <w:tcBorders>
              <w:top w:val="nil"/>
              <w:left w:val="nil"/>
              <w:bottom w:val="nil"/>
              <w:right w:val="nil"/>
            </w:tcBorders>
          </w:tcPr>
          <w:p w:rsidR="00B608DD" w:rsidRPr="00670C21" w:rsidRDefault="00B608DD" w:rsidP="00B608DD">
            <w:pPr>
              <w:rPr>
                <w:rFonts w:ascii="Calibri" w:hAnsi="Calibri" w:cs="Calibri"/>
                <w:b/>
                <w:bCs/>
                <w:sz w:val="20"/>
                <w:szCs w:val="20"/>
              </w:rPr>
            </w:pPr>
          </w:p>
        </w:tc>
        <w:tc>
          <w:tcPr>
            <w:tcW w:w="458" w:type="dxa"/>
            <w:tcBorders>
              <w:top w:val="nil"/>
              <w:left w:val="nil"/>
              <w:bottom w:val="nil"/>
              <w:right w:val="nil"/>
            </w:tcBorders>
          </w:tcPr>
          <w:p w:rsidR="00B608DD" w:rsidRPr="006E55BA" w:rsidRDefault="00B608DD" w:rsidP="00B608DD">
            <w:pPr>
              <w:rPr>
                <w:rFonts w:ascii="Calibri" w:hAnsi="Calibri" w:cs="Calibri"/>
                <w:b/>
                <w:bCs/>
                <w:color w:val="A6A6A6" w:themeColor="background1" w:themeShade="A6"/>
                <w:sz w:val="20"/>
                <w:szCs w:val="20"/>
              </w:rPr>
            </w:pPr>
          </w:p>
        </w:tc>
        <w:tc>
          <w:tcPr>
            <w:tcW w:w="458" w:type="dxa"/>
            <w:tcBorders>
              <w:top w:val="nil"/>
              <w:left w:val="nil"/>
              <w:bottom w:val="nil"/>
              <w:right w:val="nil"/>
            </w:tcBorders>
          </w:tcPr>
          <w:p w:rsidR="00B608DD" w:rsidRPr="006E55BA" w:rsidRDefault="00B608DD" w:rsidP="00B608DD">
            <w:pPr>
              <w:rPr>
                <w:rFonts w:ascii="Calibri" w:hAnsi="Calibri" w:cs="Calibri"/>
                <w:b/>
                <w:bCs/>
                <w:color w:val="A6A6A6" w:themeColor="background1" w:themeShade="A6"/>
                <w:sz w:val="20"/>
                <w:szCs w:val="20"/>
              </w:rPr>
            </w:pPr>
          </w:p>
        </w:tc>
        <w:tc>
          <w:tcPr>
            <w:tcW w:w="1402" w:type="dxa"/>
            <w:gridSpan w:val="3"/>
            <w:tcBorders>
              <w:top w:val="nil"/>
              <w:left w:val="nil"/>
              <w:bottom w:val="nil"/>
              <w:right w:val="nil"/>
            </w:tcBorders>
          </w:tcPr>
          <w:p w:rsidR="00B608DD" w:rsidRPr="006E55BA" w:rsidRDefault="00B608DD" w:rsidP="00B608DD">
            <w:pPr>
              <w:rPr>
                <w:rFonts w:ascii="Calibri" w:hAnsi="Calibri" w:cs="Calibri"/>
                <w:b/>
                <w:bCs/>
                <w:color w:val="A6A6A6" w:themeColor="background1" w:themeShade="A6"/>
                <w:sz w:val="20"/>
                <w:szCs w:val="20"/>
              </w:rPr>
            </w:pPr>
          </w:p>
        </w:tc>
      </w:tr>
      <w:tr w:rsidR="006E55BA" w:rsidRPr="006E55BA" w:rsidTr="00A028B5">
        <w:trPr>
          <w:gridAfter w:val="2"/>
          <w:wAfter w:w="1085" w:type="dxa"/>
        </w:trPr>
        <w:tc>
          <w:tcPr>
            <w:tcW w:w="9639" w:type="dxa"/>
            <w:gridSpan w:val="28"/>
            <w:tcBorders>
              <w:top w:val="nil"/>
              <w:left w:val="nil"/>
              <w:bottom w:val="nil"/>
              <w:right w:val="nil"/>
            </w:tcBorders>
            <w:shd w:val="pct5" w:color="000000" w:fill="FFFFFF"/>
          </w:tcPr>
          <w:p w:rsidR="00B608DD" w:rsidRPr="00C57940" w:rsidRDefault="00B608DD" w:rsidP="00B608DD">
            <w:pPr>
              <w:rPr>
                <w:rFonts w:ascii="Calibri" w:hAnsi="Calibri" w:cs="Calibri"/>
                <w:b/>
                <w:bCs/>
                <w:sz w:val="20"/>
                <w:szCs w:val="20"/>
              </w:rPr>
            </w:pPr>
            <w:r w:rsidRPr="00C57940">
              <w:rPr>
                <w:rFonts w:ascii="Calibri" w:hAnsi="Calibri" w:cs="Calibri"/>
                <w:b/>
                <w:bCs/>
                <w:sz w:val="20"/>
                <w:szCs w:val="20"/>
              </w:rPr>
              <w:t>Stručný komentář k celkovému vývoji plnění příjmů kapitoly ve sledovaném období</w:t>
            </w:r>
          </w:p>
        </w:tc>
      </w:tr>
      <w:tr w:rsidR="006E55BA" w:rsidRPr="006E55BA" w:rsidTr="00A028B5">
        <w:trPr>
          <w:gridAfter w:val="2"/>
          <w:wAfter w:w="1085" w:type="dxa"/>
        </w:trPr>
        <w:tc>
          <w:tcPr>
            <w:tcW w:w="9639" w:type="dxa"/>
            <w:gridSpan w:val="28"/>
            <w:tcBorders>
              <w:top w:val="single" w:sz="6" w:space="0" w:color="auto"/>
              <w:left w:val="single" w:sz="6" w:space="0" w:color="auto"/>
              <w:bottom w:val="single" w:sz="4" w:space="0" w:color="auto"/>
              <w:right w:val="single" w:sz="6" w:space="0" w:color="auto"/>
            </w:tcBorders>
            <w:shd w:val="clear" w:color="auto" w:fill="auto"/>
          </w:tcPr>
          <w:p w:rsidR="00B608DD" w:rsidRPr="00C57940" w:rsidRDefault="003951EB" w:rsidP="0021286E">
            <w:pPr>
              <w:jc w:val="both"/>
              <w:rPr>
                <w:rFonts w:ascii="Calibri" w:hAnsi="Calibri" w:cs="Calibri"/>
                <w:bCs/>
                <w:sz w:val="20"/>
                <w:szCs w:val="20"/>
              </w:rPr>
            </w:pPr>
            <w:r>
              <w:rPr>
                <w:rFonts w:ascii="Calibri" w:hAnsi="Calibri" w:cs="Calibri"/>
                <w:bCs/>
                <w:sz w:val="20"/>
                <w:szCs w:val="20"/>
              </w:rPr>
              <w:t>Příjmy kapitoly byly v roce 202</w:t>
            </w:r>
            <w:r w:rsidR="0021286E">
              <w:rPr>
                <w:rFonts w:ascii="Calibri" w:hAnsi="Calibri" w:cs="Calibri"/>
                <w:bCs/>
                <w:sz w:val="20"/>
                <w:szCs w:val="20"/>
              </w:rPr>
              <w:t>2</w:t>
            </w:r>
            <w:r>
              <w:rPr>
                <w:rFonts w:ascii="Calibri" w:hAnsi="Calibri" w:cs="Calibri"/>
                <w:bCs/>
                <w:sz w:val="20"/>
                <w:szCs w:val="20"/>
              </w:rPr>
              <w:t xml:space="preserve"> tvořeny správními poplatky (plnění na </w:t>
            </w:r>
            <w:r w:rsidR="0021286E">
              <w:rPr>
                <w:rFonts w:ascii="Calibri" w:hAnsi="Calibri" w:cs="Calibri"/>
                <w:bCs/>
                <w:sz w:val="20"/>
                <w:szCs w:val="20"/>
              </w:rPr>
              <w:t>110,84</w:t>
            </w:r>
            <w:r>
              <w:rPr>
                <w:rFonts w:ascii="Calibri" w:hAnsi="Calibri" w:cs="Calibri"/>
                <w:bCs/>
                <w:sz w:val="20"/>
                <w:szCs w:val="20"/>
              </w:rPr>
              <w:t xml:space="preserve"> %) </w:t>
            </w:r>
            <w:r w:rsidR="0021286E">
              <w:rPr>
                <w:rFonts w:ascii="Calibri" w:hAnsi="Calibri" w:cs="Calibri"/>
                <w:bCs/>
                <w:sz w:val="20"/>
                <w:szCs w:val="20"/>
              </w:rPr>
              <w:t>a sankčními platbami (plnění na 496</w:t>
            </w:r>
            <w:r>
              <w:rPr>
                <w:rFonts w:ascii="Calibri" w:hAnsi="Calibri" w:cs="Calibri"/>
                <w:bCs/>
                <w:sz w:val="20"/>
                <w:szCs w:val="20"/>
              </w:rPr>
              <w:t> %).</w:t>
            </w:r>
          </w:p>
        </w:tc>
      </w:tr>
      <w:tr w:rsidR="006E55BA" w:rsidRPr="006E55BA" w:rsidTr="009073E0">
        <w:trPr>
          <w:gridAfter w:val="2"/>
          <w:wAfter w:w="1085" w:type="dxa"/>
          <w:trHeight w:val="3897"/>
        </w:trPr>
        <w:tc>
          <w:tcPr>
            <w:tcW w:w="9639" w:type="dxa"/>
            <w:gridSpan w:val="28"/>
            <w:tcBorders>
              <w:top w:val="single" w:sz="4" w:space="0" w:color="auto"/>
            </w:tcBorders>
          </w:tcPr>
          <w:p w:rsidR="00B608DD" w:rsidRPr="006E55BA" w:rsidRDefault="00B608DD" w:rsidP="00B608DD">
            <w:pPr>
              <w:jc w:val="both"/>
              <w:rPr>
                <w:rFonts w:ascii="Calibri" w:hAnsi="Calibri" w:cs="Calibri"/>
                <w:b/>
                <w:bCs/>
                <w:color w:val="A6A6A6" w:themeColor="background1" w:themeShade="A6"/>
                <w:sz w:val="20"/>
                <w:szCs w:val="20"/>
              </w:rPr>
            </w:pPr>
          </w:p>
          <w:tbl>
            <w:tblPr>
              <w:tblW w:w="9569" w:type="dxa"/>
              <w:tblLayout w:type="fixed"/>
              <w:tblCellMar>
                <w:left w:w="70" w:type="dxa"/>
                <w:right w:w="70" w:type="dxa"/>
              </w:tblCellMar>
              <w:tblLook w:val="0000" w:firstRow="0" w:lastRow="0" w:firstColumn="0" w:lastColumn="0" w:noHBand="0" w:noVBand="0"/>
            </w:tblPr>
            <w:tblGrid>
              <w:gridCol w:w="779"/>
              <w:gridCol w:w="781"/>
              <w:gridCol w:w="1417"/>
              <w:gridCol w:w="851"/>
              <w:gridCol w:w="992"/>
              <w:gridCol w:w="992"/>
              <w:gridCol w:w="3757"/>
            </w:tblGrid>
            <w:tr w:rsidR="006E55BA" w:rsidRPr="006E55BA" w:rsidTr="00A028B5">
              <w:tc>
                <w:tcPr>
                  <w:tcW w:w="9569" w:type="dxa"/>
                  <w:gridSpan w:val="7"/>
                  <w:tcBorders>
                    <w:bottom w:val="single" w:sz="4" w:space="0" w:color="auto"/>
                  </w:tcBorders>
                  <w:shd w:val="clear" w:color="auto" w:fill="F2F2F2"/>
                </w:tcPr>
                <w:p w:rsidR="00B608DD" w:rsidRPr="006E55BA" w:rsidRDefault="00B608DD" w:rsidP="0021286E">
                  <w:pPr>
                    <w:jc w:val="both"/>
                    <w:rPr>
                      <w:rFonts w:ascii="Calibri" w:hAnsi="Calibri" w:cs="Calibri"/>
                      <w:b/>
                      <w:color w:val="A6A6A6" w:themeColor="background1" w:themeShade="A6"/>
                      <w:sz w:val="20"/>
                      <w:szCs w:val="20"/>
                    </w:rPr>
                  </w:pPr>
                  <w:r w:rsidRPr="00C57940">
                    <w:rPr>
                      <w:rFonts w:ascii="Calibri" w:hAnsi="Calibri" w:cs="Calibri"/>
                      <w:b/>
                      <w:sz w:val="20"/>
                      <w:szCs w:val="20"/>
                    </w:rPr>
                    <w:t>Komentář k položkám (akcím), které vykázaly abnormalitu v řádném pln</w:t>
                  </w:r>
                  <w:r w:rsidR="0021286E">
                    <w:rPr>
                      <w:rFonts w:ascii="Calibri" w:hAnsi="Calibri" w:cs="Calibri"/>
                      <w:b/>
                      <w:sz w:val="20"/>
                      <w:szCs w:val="20"/>
                    </w:rPr>
                    <w:t>ění příjmů rozpočtu kapitoly ve </w:t>
                  </w:r>
                  <w:r w:rsidRPr="00C57940">
                    <w:rPr>
                      <w:rFonts w:ascii="Calibri" w:hAnsi="Calibri" w:cs="Calibri"/>
                      <w:b/>
                      <w:sz w:val="20"/>
                      <w:szCs w:val="20"/>
                    </w:rPr>
                    <w:t>sledovaném období</w:t>
                  </w:r>
                </w:p>
              </w:tc>
            </w:tr>
            <w:tr w:rsidR="006E55BA" w:rsidRPr="006E55BA" w:rsidTr="00A028B5">
              <w:tc>
                <w:tcPr>
                  <w:tcW w:w="779" w:type="dxa"/>
                  <w:tcBorders>
                    <w:top w:val="single" w:sz="4" w:space="0" w:color="auto"/>
                    <w:left w:val="single" w:sz="4" w:space="0" w:color="auto"/>
                    <w:bottom w:val="single" w:sz="4" w:space="0" w:color="auto"/>
                    <w:right w:val="single" w:sz="4" w:space="0" w:color="auto"/>
                  </w:tcBorders>
                  <w:shd w:val="clear" w:color="auto" w:fill="FFFF00"/>
                  <w:vAlign w:val="center"/>
                </w:tcPr>
                <w:p w:rsidR="00B608DD" w:rsidRPr="00C57940" w:rsidRDefault="00B608DD" w:rsidP="00B608DD">
                  <w:pPr>
                    <w:jc w:val="center"/>
                    <w:rPr>
                      <w:rFonts w:ascii="Calibri" w:hAnsi="Calibri" w:cs="Calibri"/>
                      <w:b/>
                      <w:sz w:val="18"/>
                      <w:szCs w:val="18"/>
                    </w:rPr>
                  </w:pPr>
                  <w:r w:rsidRPr="00C57940">
                    <w:rPr>
                      <w:rFonts w:ascii="Calibri" w:hAnsi="Calibri" w:cs="Calibri"/>
                      <w:b/>
                      <w:sz w:val="18"/>
                      <w:szCs w:val="18"/>
                    </w:rPr>
                    <w:t>Oddíl, paragraf</w:t>
                  </w:r>
                </w:p>
              </w:tc>
              <w:tc>
                <w:tcPr>
                  <w:tcW w:w="781" w:type="dxa"/>
                  <w:tcBorders>
                    <w:top w:val="single" w:sz="4" w:space="0" w:color="auto"/>
                    <w:left w:val="single" w:sz="4" w:space="0" w:color="auto"/>
                    <w:bottom w:val="single" w:sz="4" w:space="0" w:color="auto"/>
                    <w:right w:val="single" w:sz="4" w:space="0" w:color="auto"/>
                  </w:tcBorders>
                  <w:shd w:val="clear" w:color="auto" w:fill="FFFF00"/>
                  <w:vAlign w:val="center"/>
                </w:tcPr>
                <w:p w:rsidR="00B608DD" w:rsidRPr="00C57940" w:rsidRDefault="00B608DD" w:rsidP="00B608DD">
                  <w:pPr>
                    <w:jc w:val="center"/>
                    <w:rPr>
                      <w:rFonts w:ascii="Calibri" w:hAnsi="Calibri" w:cs="Calibri"/>
                      <w:b/>
                      <w:sz w:val="18"/>
                      <w:szCs w:val="18"/>
                    </w:rPr>
                  </w:pPr>
                  <w:r w:rsidRPr="00C57940">
                    <w:rPr>
                      <w:rFonts w:ascii="Calibri" w:hAnsi="Calibri" w:cs="Calibri"/>
                      <w:b/>
                      <w:sz w:val="18"/>
                      <w:szCs w:val="18"/>
                    </w:rPr>
                    <w:t>Položka</w:t>
                  </w: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rsidR="00B608DD" w:rsidRPr="00C57940" w:rsidRDefault="00B608DD" w:rsidP="00B608DD">
                  <w:pPr>
                    <w:jc w:val="center"/>
                    <w:rPr>
                      <w:rFonts w:ascii="Calibri" w:hAnsi="Calibri" w:cs="Calibri"/>
                      <w:b/>
                      <w:sz w:val="18"/>
                      <w:szCs w:val="18"/>
                    </w:rPr>
                  </w:pPr>
                  <w:r w:rsidRPr="00C57940">
                    <w:rPr>
                      <w:rFonts w:ascii="Calibri" w:hAnsi="Calibri" w:cs="Calibri"/>
                      <w:b/>
                      <w:sz w:val="18"/>
                      <w:szCs w:val="18"/>
                    </w:rPr>
                    <w:t>Organizace</w:t>
                  </w:r>
                </w:p>
              </w:tc>
              <w:tc>
                <w:tcPr>
                  <w:tcW w:w="851" w:type="dxa"/>
                  <w:tcBorders>
                    <w:top w:val="single" w:sz="4" w:space="0" w:color="auto"/>
                    <w:left w:val="single" w:sz="4" w:space="0" w:color="auto"/>
                    <w:bottom w:val="single" w:sz="4" w:space="0" w:color="auto"/>
                    <w:right w:val="single" w:sz="4" w:space="0" w:color="auto"/>
                  </w:tcBorders>
                  <w:shd w:val="clear" w:color="auto" w:fill="FFFF00"/>
                  <w:vAlign w:val="center"/>
                </w:tcPr>
                <w:p w:rsidR="00B608DD" w:rsidRPr="00C57940" w:rsidRDefault="00B608DD" w:rsidP="00B608DD">
                  <w:pPr>
                    <w:jc w:val="center"/>
                    <w:rPr>
                      <w:rFonts w:ascii="Calibri" w:hAnsi="Calibri" w:cs="Calibri"/>
                      <w:b/>
                      <w:sz w:val="18"/>
                      <w:szCs w:val="18"/>
                    </w:rPr>
                  </w:pPr>
                  <w:r w:rsidRPr="00C57940">
                    <w:rPr>
                      <w:rFonts w:ascii="Calibri" w:hAnsi="Calibri" w:cs="Calibri"/>
                      <w:b/>
                      <w:sz w:val="18"/>
                      <w:szCs w:val="18"/>
                    </w:rPr>
                    <w:t>Účelový zdroj</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rsidR="00B608DD" w:rsidRPr="00C57940" w:rsidRDefault="00B608DD" w:rsidP="00B608DD">
                  <w:pPr>
                    <w:jc w:val="center"/>
                    <w:rPr>
                      <w:rFonts w:ascii="Calibri" w:hAnsi="Calibri" w:cs="Calibri"/>
                      <w:b/>
                      <w:sz w:val="18"/>
                      <w:szCs w:val="18"/>
                    </w:rPr>
                  </w:pPr>
                  <w:r w:rsidRPr="00C57940">
                    <w:rPr>
                      <w:rFonts w:ascii="Calibri" w:hAnsi="Calibri" w:cs="Calibri"/>
                      <w:b/>
                      <w:sz w:val="18"/>
                      <w:szCs w:val="18"/>
                    </w:rPr>
                    <w:t>Upravený rozpočet v tis. Kč</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rsidR="00B608DD" w:rsidRPr="00C57940" w:rsidRDefault="00B608DD" w:rsidP="00B608DD">
                  <w:pPr>
                    <w:jc w:val="center"/>
                    <w:rPr>
                      <w:rFonts w:ascii="Calibri" w:hAnsi="Calibri" w:cs="Calibri"/>
                      <w:b/>
                      <w:sz w:val="18"/>
                      <w:szCs w:val="18"/>
                    </w:rPr>
                  </w:pPr>
                  <w:r w:rsidRPr="00C57940">
                    <w:rPr>
                      <w:rFonts w:ascii="Calibri" w:hAnsi="Calibri" w:cs="Calibri"/>
                      <w:b/>
                      <w:sz w:val="18"/>
                      <w:szCs w:val="18"/>
                    </w:rPr>
                    <w:t>Skutečnost v tis. Kč</w:t>
                  </w:r>
                </w:p>
              </w:tc>
              <w:tc>
                <w:tcPr>
                  <w:tcW w:w="3757" w:type="dxa"/>
                  <w:tcBorders>
                    <w:top w:val="single" w:sz="4" w:space="0" w:color="auto"/>
                    <w:left w:val="single" w:sz="4" w:space="0" w:color="auto"/>
                    <w:bottom w:val="single" w:sz="4" w:space="0" w:color="auto"/>
                    <w:right w:val="single" w:sz="4" w:space="0" w:color="auto"/>
                  </w:tcBorders>
                  <w:shd w:val="clear" w:color="auto" w:fill="FFFF00"/>
                  <w:vAlign w:val="center"/>
                </w:tcPr>
                <w:p w:rsidR="00B608DD" w:rsidRPr="00C57940" w:rsidRDefault="00B608DD" w:rsidP="00B608DD">
                  <w:pPr>
                    <w:jc w:val="center"/>
                    <w:rPr>
                      <w:rFonts w:ascii="Calibri" w:hAnsi="Calibri" w:cs="Calibri"/>
                      <w:b/>
                      <w:sz w:val="18"/>
                      <w:szCs w:val="18"/>
                    </w:rPr>
                  </w:pPr>
                  <w:r w:rsidRPr="00C57940">
                    <w:rPr>
                      <w:rFonts w:ascii="Calibri" w:hAnsi="Calibri" w:cs="Calibri"/>
                      <w:b/>
                      <w:sz w:val="18"/>
                      <w:szCs w:val="18"/>
                    </w:rPr>
                    <w:t>Komentář</w:t>
                  </w:r>
                </w:p>
              </w:tc>
            </w:tr>
            <w:tr w:rsidR="00FF4769" w:rsidRPr="006E55BA" w:rsidTr="00A028B5">
              <w:tc>
                <w:tcPr>
                  <w:tcW w:w="779" w:type="dxa"/>
                  <w:tcBorders>
                    <w:top w:val="single" w:sz="4" w:space="0" w:color="auto"/>
                    <w:left w:val="single" w:sz="4" w:space="0" w:color="auto"/>
                    <w:bottom w:val="single" w:sz="4" w:space="0" w:color="auto"/>
                    <w:right w:val="single" w:sz="4" w:space="0" w:color="auto"/>
                  </w:tcBorders>
                </w:tcPr>
                <w:p w:rsidR="00FF4769" w:rsidRDefault="00FF4769" w:rsidP="00FF4769">
                  <w:pPr>
                    <w:jc w:val="center"/>
                    <w:rPr>
                      <w:rFonts w:ascii="Calibri" w:hAnsi="Calibri" w:cs="Calibri"/>
                      <w:color w:val="A6A6A6" w:themeColor="background1" w:themeShade="A6"/>
                      <w:sz w:val="18"/>
                      <w:szCs w:val="18"/>
                    </w:rPr>
                  </w:pPr>
                </w:p>
              </w:tc>
              <w:tc>
                <w:tcPr>
                  <w:tcW w:w="781" w:type="dxa"/>
                  <w:tcBorders>
                    <w:top w:val="single" w:sz="4" w:space="0" w:color="auto"/>
                    <w:left w:val="single" w:sz="4" w:space="0" w:color="auto"/>
                    <w:bottom w:val="single" w:sz="4" w:space="0" w:color="auto"/>
                    <w:right w:val="single" w:sz="4" w:space="0" w:color="auto"/>
                  </w:tcBorders>
                </w:tcPr>
                <w:p w:rsidR="00FF4769" w:rsidRDefault="00FF4769" w:rsidP="00FF4769">
                  <w:pPr>
                    <w:jc w:val="center"/>
                    <w:rPr>
                      <w:rFonts w:ascii="Calibri" w:hAnsi="Calibri" w:cs="Calibri"/>
                      <w:sz w:val="18"/>
                      <w:szCs w:val="18"/>
                    </w:rPr>
                  </w:pPr>
                  <w:r>
                    <w:rPr>
                      <w:rFonts w:ascii="Calibri" w:hAnsi="Calibri" w:cs="Calibri"/>
                      <w:sz w:val="18"/>
                      <w:szCs w:val="18"/>
                    </w:rPr>
                    <w:t>1361</w:t>
                  </w:r>
                </w:p>
              </w:tc>
              <w:tc>
                <w:tcPr>
                  <w:tcW w:w="1417" w:type="dxa"/>
                  <w:tcBorders>
                    <w:top w:val="single" w:sz="4" w:space="0" w:color="auto"/>
                    <w:left w:val="single" w:sz="4" w:space="0" w:color="auto"/>
                    <w:bottom w:val="single" w:sz="4" w:space="0" w:color="auto"/>
                    <w:right w:val="single" w:sz="4" w:space="0" w:color="auto"/>
                  </w:tcBorders>
                </w:tcPr>
                <w:p w:rsidR="00FF4769" w:rsidRDefault="00FF4769" w:rsidP="00FF4769">
                  <w:pPr>
                    <w:jc w:val="center"/>
                    <w:rPr>
                      <w:rFonts w:ascii="Calibri" w:hAnsi="Calibri" w:cs="Calibri"/>
                      <w:sz w:val="18"/>
                      <w:szCs w:val="18"/>
                    </w:rPr>
                  </w:pPr>
                  <w:r>
                    <w:rPr>
                      <w:rFonts w:ascii="Calibri" w:hAnsi="Calibri" w:cs="Calibri"/>
                      <w:sz w:val="18"/>
                      <w:szCs w:val="18"/>
                    </w:rPr>
                    <w:t>0610000000000</w:t>
                  </w:r>
                </w:p>
              </w:tc>
              <w:tc>
                <w:tcPr>
                  <w:tcW w:w="851" w:type="dxa"/>
                  <w:tcBorders>
                    <w:top w:val="single" w:sz="4" w:space="0" w:color="auto"/>
                    <w:left w:val="single" w:sz="4" w:space="0" w:color="auto"/>
                    <w:bottom w:val="single" w:sz="4" w:space="0" w:color="auto"/>
                    <w:right w:val="single" w:sz="4" w:space="0" w:color="auto"/>
                  </w:tcBorders>
                </w:tcPr>
                <w:p w:rsidR="00FF4769" w:rsidRDefault="00FF4769" w:rsidP="00FF4769">
                  <w:pPr>
                    <w:jc w:val="center"/>
                    <w:rPr>
                      <w:rFonts w:ascii="Calibri" w:hAnsi="Calibri" w:cs="Calibri"/>
                      <w:sz w:val="18"/>
                      <w:szCs w:val="18"/>
                    </w:rPr>
                  </w:pPr>
                </w:p>
              </w:tc>
              <w:tc>
                <w:tcPr>
                  <w:tcW w:w="992" w:type="dxa"/>
                  <w:tcBorders>
                    <w:top w:val="single" w:sz="4" w:space="0" w:color="auto"/>
                    <w:left w:val="single" w:sz="4" w:space="0" w:color="auto"/>
                    <w:bottom w:val="single" w:sz="4" w:space="0" w:color="auto"/>
                    <w:right w:val="single" w:sz="4" w:space="0" w:color="auto"/>
                  </w:tcBorders>
                </w:tcPr>
                <w:p w:rsidR="00FF4769" w:rsidRDefault="00FF4769" w:rsidP="00FF4769">
                  <w:pPr>
                    <w:jc w:val="right"/>
                    <w:rPr>
                      <w:rFonts w:ascii="Calibri" w:hAnsi="Calibri" w:cs="Calibri"/>
                      <w:sz w:val="18"/>
                      <w:szCs w:val="18"/>
                    </w:rPr>
                  </w:pPr>
                  <w:r>
                    <w:rPr>
                      <w:rFonts w:ascii="Calibri" w:hAnsi="Calibri" w:cs="Calibri"/>
                      <w:sz w:val="18"/>
                      <w:szCs w:val="18"/>
                    </w:rPr>
                    <w:t>2 000,00</w:t>
                  </w:r>
                </w:p>
              </w:tc>
              <w:tc>
                <w:tcPr>
                  <w:tcW w:w="992" w:type="dxa"/>
                  <w:tcBorders>
                    <w:top w:val="single" w:sz="4" w:space="0" w:color="auto"/>
                    <w:left w:val="single" w:sz="4" w:space="0" w:color="auto"/>
                    <w:bottom w:val="single" w:sz="4" w:space="0" w:color="auto"/>
                    <w:right w:val="single" w:sz="4" w:space="0" w:color="auto"/>
                  </w:tcBorders>
                </w:tcPr>
                <w:p w:rsidR="00FF4769" w:rsidRDefault="0021286E" w:rsidP="00FF4769">
                  <w:pPr>
                    <w:jc w:val="right"/>
                    <w:rPr>
                      <w:rFonts w:ascii="Calibri" w:hAnsi="Calibri" w:cs="Calibri"/>
                      <w:sz w:val="18"/>
                      <w:szCs w:val="18"/>
                    </w:rPr>
                  </w:pPr>
                  <w:r>
                    <w:rPr>
                      <w:rFonts w:ascii="Calibri" w:hAnsi="Calibri" w:cs="Calibri"/>
                      <w:sz w:val="18"/>
                      <w:szCs w:val="18"/>
                    </w:rPr>
                    <w:t>2 216,86</w:t>
                  </w:r>
                </w:p>
              </w:tc>
              <w:tc>
                <w:tcPr>
                  <w:tcW w:w="3757" w:type="dxa"/>
                  <w:tcBorders>
                    <w:top w:val="single" w:sz="4" w:space="0" w:color="auto"/>
                    <w:left w:val="single" w:sz="4" w:space="0" w:color="auto"/>
                    <w:bottom w:val="single" w:sz="4" w:space="0" w:color="auto"/>
                    <w:right w:val="single" w:sz="4" w:space="0" w:color="auto"/>
                  </w:tcBorders>
                </w:tcPr>
                <w:p w:rsidR="00FF4769" w:rsidRDefault="00FF4769" w:rsidP="00FF4769">
                  <w:pPr>
                    <w:jc w:val="both"/>
                    <w:rPr>
                      <w:rFonts w:ascii="Calibri" w:hAnsi="Calibri" w:cs="Calibri"/>
                      <w:b/>
                      <w:sz w:val="18"/>
                      <w:szCs w:val="18"/>
                      <w:u w:val="single"/>
                    </w:rPr>
                  </w:pPr>
                  <w:r>
                    <w:rPr>
                      <w:rFonts w:ascii="Calibri" w:hAnsi="Calibri" w:cs="Calibri"/>
                      <w:b/>
                      <w:sz w:val="18"/>
                      <w:szCs w:val="18"/>
                      <w:u w:val="single"/>
                    </w:rPr>
                    <w:t>Správní poplatky</w:t>
                  </w:r>
                </w:p>
                <w:p w:rsidR="00FF4769" w:rsidRDefault="00FF4769" w:rsidP="0021286E">
                  <w:pPr>
                    <w:jc w:val="both"/>
                    <w:rPr>
                      <w:rFonts w:ascii="Calibri" w:hAnsi="Calibri" w:cs="Calibri"/>
                      <w:sz w:val="18"/>
                      <w:szCs w:val="18"/>
                    </w:rPr>
                  </w:pPr>
                  <w:r>
                    <w:rPr>
                      <w:rFonts w:ascii="Calibri" w:hAnsi="Calibri" w:cs="Calibri"/>
                      <w:sz w:val="18"/>
                      <w:szCs w:val="18"/>
                    </w:rPr>
                    <w:t>Správní poplatky byly v rozpočtu kapitoly pro rok 202</w:t>
                  </w:r>
                  <w:r w:rsidR="0021286E">
                    <w:rPr>
                      <w:rFonts w:ascii="Calibri" w:hAnsi="Calibri" w:cs="Calibri"/>
                      <w:sz w:val="18"/>
                      <w:szCs w:val="18"/>
                    </w:rPr>
                    <w:t>2</w:t>
                  </w:r>
                  <w:r>
                    <w:rPr>
                      <w:rFonts w:ascii="Calibri" w:hAnsi="Calibri" w:cs="Calibri"/>
                      <w:sz w:val="18"/>
                      <w:szCs w:val="18"/>
                    </w:rPr>
                    <w:t xml:space="preserve"> stanoveny na základě skutečnosti roku 202</w:t>
                  </w:r>
                  <w:r w:rsidR="0021286E">
                    <w:rPr>
                      <w:rFonts w:ascii="Calibri" w:hAnsi="Calibri" w:cs="Calibri"/>
                      <w:sz w:val="18"/>
                      <w:szCs w:val="18"/>
                    </w:rPr>
                    <w:t>1</w:t>
                  </w:r>
                  <w:r>
                    <w:rPr>
                      <w:rFonts w:ascii="Calibri" w:hAnsi="Calibri" w:cs="Calibri"/>
                      <w:sz w:val="18"/>
                      <w:szCs w:val="18"/>
                    </w:rPr>
                    <w:t>.</w:t>
                  </w:r>
                </w:p>
              </w:tc>
            </w:tr>
            <w:tr w:rsidR="00FF4769" w:rsidRPr="006E55BA" w:rsidTr="00A028B5">
              <w:tc>
                <w:tcPr>
                  <w:tcW w:w="779" w:type="dxa"/>
                  <w:tcBorders>
                    <w:top w:val="single" w:sz="4" w:space="0" w:color="auto"/>
                    <w:left w:val="single" w:sz="4" w:space="0" w:color="auto"/>
                    <w:bottom w:val="single" w:sz="4" w:space="0" w:color="auto"/>
                    <w:right w:val="single" w:sz="4" w:space="0" w:color="auto"/>
                  </w:tcBorders>
                </w:tcPr>
                <w:p w:rsidR="00FF4769" w:rsidRDefault="00FF4769" w:rsidP="00FF4769">
                  <w:pPr>
                    <w:jc w:val="center"/>
                    <w:rPr>
                      <w:rFonts w:ascii="Calibri" w:hAnsi="Calibri" w:cs="Calibri"/>
                      <w:sz w:val="18"/>
                      <w:szCs w:val="18"/>
                    </w:rPr>
                  </w:pPr>
                  <w:r>
                    <w:rPr>
                      <w:rFonts w:ascii="Calibri" w:hAnsi="Calibri" w:cs="Calibri"/>
                      <w:sz w:val="18"/>
                      <w:szCs w:val="18"/>
                    </w:rPr>
                    <w:t>6171</w:t>
                  </w:r>
                </w:p>
              </w:tc>
              <w:tc>
                <w:tcPr>
                  <w:tcW w:w="781" w:type="dxa"/>
                  <w:tcBorders>
                    <w:top w:val="single" w:sz="4" w:space="0" w:color="auto"/>
                    <w:left w:val="single" w:sz="4" w:space="0" w:color="auto"/>
                    <w:bottom w:val="single" w:sz="4" w:space="0" w:color="auto"/>
                    <w:right w:val="single" w:sz="4" w:space="0" w:color="auto"/>
                  </w:tcBorders>
                </w:tcPr>
                <w:p w:rsidR="00FF4769" w:rsidRDefault="00FF4769" w:rsidP="00FF4769">
                  <w:pPr>
                    <w:jc w:val="center"/>
                    <w:rPr>
                      <w:rFonts w:ascii="Calibri" w:hAnsi="Calibri" w:cs="Calibri"/>
                      <w:sz w:val="18"/>
                      <w:szCs w:val="18"/>
                    </w:rPr>
                  </w:pPr>
                  <w:r>
                    <w:rPr>
                      <w:rFonts w:ascii="Calibri" w:hAnsi="Calibri" w:cs="Calibri"/>
                      <w:sz w:val="18"/>
                      <w:szCs w:val="18"/>
                    </w:rPr>
                    <w:t>2212</w:t>
                  </w:r>
                </w:p>
              </w:tc>
              <w:tc>
                <w:tcPr>
                  <w:tcW w:w="1417" w:type="dxa"/>
                  <w:tcBorders>
                    <w:top w:val="single" w:sz="4" w:space="0" w:color="auto"/>
                    <w:left w:val="single" w:sz="4" w:space="0" w:color="auto"/>
                    <w:bottom w:val="single" w:sz="4" w:space="0" w:color="auto"/>
                    <w:right w:val="single" w:sz="4" w:space="0" w:color="auto"/>
                  </w:tcBorders>
                </w:tcPr>
                <w:p w:rsidR="00FF4769" w:rsidRDefault="00FF4769" w:rsidP="00FF4769">
                  <w:pPr>
                    <w:jc w:val="center"/>
                    <w:rPr>
                      <w:rFonts w:ascii="Calibri" w:hAnsi="Calibri" w:cs="Calibri"/>
                      <w:sz w:val="18"/>
                      <w:szCs w:val="18"/>
                    </w:rPr>
                  </w:pPr>
                  <w:r>
                    <w:rPr>
                      <w:rFonts w:ascii="Calibri" w:hAnsi="Calibri" w:cs="Calibri"/>
                      <w:sz w:val="18"/>
                      <w:szCs w:val="18"/>
                    </w:rPr>
                    <w:t>0610000000000</w:t>
                  </w:r>
                </w:p>
              </w:tc>
              <w:tc>
                <w:tcPr>
                  <w:tcW w:w="851" w:type="dxa"/>
                  <w:tcBorders>
                    <w:top w:val="single" w:sz="4" w:space="0" w:color="auto"/>
                    <w:left w:val="single" w:sz="4" w:space="0" w:color="auto"/>
                    <w:bottom w:val="single" w:sz="4" w:space="0" w:color="auto"/>
                    <w:right w:val="single" w:sz="4" w:space="0" w:color="auto"/>
                  </w:tcBorders>
                </w:tcPr>
                <w:p w:rsidR="00FF4769" w:rsidRDefault="00FF4769" w:rsidP="00FF4769">
                  <w:pPr>
                    <w:jc w:val="center"/>
                    <w:rPr>
                      <w:rFonts w:ascii="Calibri" w:hAnsi="Calibri" w:cs="Calibri"/>
                      <w:sz w:val="18"/>
                      <w:szCs w:val="18"/>
                    </w:rPr>
                  </w:pPr>
                </w:p>
              </w:tc>
              <w:tc>
                <w:tcPr>
                  <w:tcW w:w="992" w:type="dxa"/>
                  <w:tcBorders>
                    <w:top w:val="single" w:sz="4" w:space="0" w:color="auto"/>
                    <w:left w:val="single" w:sz="4" w:space="0" w:color="auto"/>
                    <w:bottom w:val="single" w:sz="4" w:space="0" w:color="auto"/>
                    <w:right w:val="single" w:sz="4" w:space="0" w:color="auto"/>
                  </w:tcBorders>
                </w:tcPr>
                <w:p w:rsidR="00FF4769" w:rsidRDefault="0021286E" w:rsidP="00FF4769">
                  <w:pPr>
                    <w:jc w:val="right"/>
                    <w:rPr>
                      <w:rFonts w:ascii="Calibri" w:hAnsi="Calibri" w:cs="Calibri"/>
                      <w:sz w:val="18"/>
                      <w:szCs w:val="18"/>
                    </w:rPr>
                  </w:pPr>
                  <w:r>
                    <w:rPr>
                      <w:rFonts w:ascii="Calibri" w:hAnsi="Calibri" w:cs="Calibri"/>
                      <w:sz w:val="18"/>
                      <w:szCs w:val="18"/>
                    </w:rPr>
                    <w:t>100</w:t>
                  </w:r>
                  <w:r w:rsidR="00FF4769">
                    <w:rPr>
                      <w:rFonts w:ascii="Calibri" w:hAnsi="Calibri" w:cs="Calibri"/>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FF4769" w:rsidRDefault="0021286E" w:rsidP="00FF4769">
                  <w:pPr>
                    <w:jc w:val="right"/>
                    <w:rPr>
                      <w:rFonts w:ascii="Calibri" w:hAnsi="Calibri" w:cs="Calibri"/>
                      <w:sz w:val="18"/>
                      <w:szCs w:val="18"/>
                    </w:rPr>
                  </w:pPr>
                  <w:r>
                    <w:rPr>
                      <w:rFonts w:ascii="Calibri" w:hAnsi="Calibri" w:cs="Calibri"/>
                      <w:sz w:val="18"/>
                      <w:szCs w:val="18"/>
                    </w:rPr>
                    <w:t>496,00</w:t>
                  </w:r>
                </w:p>
              </w:tc>
              <w:tc>
                <w:tcPr>
                  <w:tcW w:w="3757" w:type="dxa"/>
                  <w:tcBorders>
                    <w:top w:val="single" w:sz="4" w:space="0" w:color="auto"/>
                    <w:left w:val="single" w:sz="4" w:space="0" w:color="auto"/>
                    <w:bottom w:val="single" w:sz="4" w:space="0" w:color="auto"/>
                    <w:right w:val="single" w:sz="4" w:space="0" w:color="auto"/>
                  </w:tcBorders>
                </w:tcPr>
                <w:p w:rsidR="00FF4769" w:rsidRDefault="00FF4769" w:rsidP="00FF4769">
                  <w:pPr>
                    <w:pStyle w:val="Zkladntext"/>
                    <w:jc w:val="both"/>
                    <w:rPr>
                      <w:rFonts w:ascii="Calibri" w:hAnsi="Calibri" w:cs="Calibri"/>
                      <w:szCs w:val="18"/>
                    </w:rPr>
                  </w:pPr>
                  <w:r>
                    <w:rPr>
                      <w:rFonts w:ascii="Calibri" w:hAnsi="Calibri" w:cs="Calibri"/>
                      <w:szCs w:val="18"/>
                    </w:rPr>
                    <w:t>Sankční platby přijaté od jiných subjektů</w:t>
                  </w:r>
                </w:p>
                <w:p w:rsidR="00FF4769" w:rsidRDefault="00FF4769" w:rsidP="0021286E">
                  <w:pPr>
                    <w:pStyle w:val="Zkladntext"/>
                    <w:jc w:val="both"/>
                    <w:rPr>
                      <w:rFonts w:ascii="Calibri" w:hAnsi="Calibri" w:cs="Calibri"/>
                      <w:b w:val="0"/>
                      <w:szCs w:val="18"/>
                      <w:u w:val="none"/>
                    </w:rPr>
                  </w:pPr>
                  <w:r>
                    <w:rPr>
                      <w:rFonts w:ascii="Calibri" w:hAnsi="Calibri" w:cs="Calibri"/>
                      <w:b w:val="0"/>
                      <w:szCs w:val="18"/>
                      <w:u w:val="none"/>
                    </w:rPr>
                    <w:t>Sankční platby byly v rozpočtu kapitoly pro rok 202</w:t>
                  </w:r>
                  <w:r w:rsidR="0021286E">
                    <w:rPr>
                      <w:rFonts w:ascii="Calibri" w:hAnsi="Calibri" w:cs="Calibri"/>
                      <w:b w:val="0"/>
                      <w:szCs w:val="18"/>
                      <w:u w:val="none"/>
                    </w:rPr>
                    <w:t>2</w:t>
                  </w:r>
                  <w:r>
                    <w:rPr>
                      <w:rFonts w:ascii="Calibri" w:hAnsi="Calibri" w:cs="Calibri"/>
                      <w:b w:val="0"/>
                      <w:szCs w:val="18"/>
                      <w:u w:val="none"/>
                    </w:rPr>
                    <w:t xml:space="preserve"> stanoveny na základě rozpočtu a skutečnosti roku 202</w:t>
                  </w:r>
                  <w:r w:rsidR="0021286E">
                    <w:rPr>
                      <w:rFonts w:ascii="Calibri" w:hAnsi="Calibri" w:cs="Calibri"/>
                      <w:b w:val="0"/>
                      <w:szCs w:val="18"/>
                      <w:u w:val="none"/>
                    </w:rPr>
                    <w:t>1</w:t>
                  </w:r>
                  <w:r>
                    <w:rPr>
                      <w:rFonts w:ascii="Calibri" w:hAnsi="Calibri" w:cs="Calibri"/>
                      <w:b w:val="0"/>
                      <w:szCs w:val="18"/>
                      <w:u w:val="none"/>
                    </w:rPr>
                    <w:t>. Sankční platby (pokuty) nelze předem přesněji odhadnout.</w:t>
                  </w:r>
                </w:p>
              </w:tc>
            </w:tr>
          </w:tbl>
          <w:p w:rsidR="00B608DD" w:rsidRPr="006E55BA" w:rsidRDefault="00B608DD" w:rsidP="00B608DD">
            <w:pPr>
              <w:jc w:val="both"/>
              <w:rPr>
                <w:rFonts w:ascii="Calibri" w:hAnsi="Calibri" w:cs="Calibri"/>
                <w:b/>
                <w:bCs/>
                <w:color w:val="A6A6A6" w:themeColor="background1" w:themeShade="A6"/>
                <w:sz w:val="20"/>
                <w:szCs w:val="20"/>
              </w:rPr>
            </w:pPr>
          </w:p>
        </w:tc>
      </w:tr>
      <w:tr w:rsidR="006E55BA" w:rsidRPr="006E55BA" w:rsidTr="00A028B5">
        <w:trPr>
          <w:gridAfter w:val="2"/>
          <w:wAfter w:w="1085" w:type="dxa"/>
        </w:trPr>
        <w:tc>
          <w:tcPr>
            <w:tcW w:w="9639" w:type="dxa"/>
            <w:gridSpan w:val="28"/>
            <w:tcBorders>
              <w:top w:val="nil"/>
              <w:left w:val="nil"/>
              <w:bottom w:val="nil"/>
              <w:right w:val="nil"/>
            </w:tcBorders>
            <w:shd w:val="clear" w:color="auto" w:fill="F79646"/>
          </w:tcPr>
          <w:p w:rsidR="00B608DD" w:rsidRPr="009073E0" w:rsidRDefault="00B608DD" w:rsidP="00B608DD">
            <w:pPr>
              <w:rPr>
                <w:rFonts w:ascii="Calibri" w:hAnsi="Calibri" w:cs="Calibri"/>
                <w:b/>
                <w:bCs/>
                <w:sz w:val="20"/>
                <w:szCs w:val="20"/>
                <w:u w:val="single"/>
              </w:rPr>
            </w:pPr>
            <w:r w:rsidRPr="009073E0">
              <w:rPr>
                <w:rFonts w:ascii="Calibri" w:hAnsi="Calibri" w:cs="Calibri"/>
                <w:b/>
                <w:bCs/>
                <w:sz w:val="20"/>
                <w:szCs w:val="20"/>
                <w:u w:val="single"/>
              </w:rPr>
              <w:t>Rozbor čerpání výdajů rozpočtu kapitoly</w:t>
            </w:r>
          </w:p>
        </w:tc>
      </w:tr>
      <w:tr w:rsidR="006E55BA" w:rsidRPr="006E55BA" w:rsidTr="00A028B5">
        <w:trPr>
          <w:trHeight w:val="293"/>
        </w:trPr>
        <w:tc>
          <w:tcPr>
            <w:tcW w:w="457" w:type="dxa"/>
            <w:tcBorders>
              <w:top w:val="nil"/>
              <w:left w:val="nil"/>
              <w:bottom w:val="nil"/>
              <w:right w:val="nil"/>
            </w:tcBorders>
          </w:tcPr>
          <w:p w:rsidR="00B608DD" w:rsidRPr="006E55BA" w:rsidRDefault="00B608DD" w:rsidP="00B608DD">
            <w:pPr>
              <w:rPr>
                <w:b/>
                <w:bCs/>
                <w:color w:val="A6A6A6" w:themeColor="background1" w:themeShade="A6"/>
                <w:sz w:val="20"/>
                <w:szCs w:val="20"/>
              </w:rPr>
            </w:pPr>
          </w:p>
        </w:tc>
        <w:tc>
          <w:tcPr>
            <w:tcW w:w="454" w:type="dxa"/>
            <w:tcBorders>
              <w:top w:val="nil"/>
              <w:left w:val="nil"/>
              <w:bottom w:val="nil"/>
              <w:right w:val="nil"/>
            </w:tcBorders>
          </w:tcPr>
          <w:p w:rsidR="00B608DD" w:rsidRPr="006E55BA" w:rsidRDefault="00B608DD" w:rsidP="00B608DD">
            <w:pPr>
              <w:rPr>
                <w:b/>
                <w:bCs/>
                <w:color w:val="A6A6A6" w:themeColor="background1" w:themeShade="A6"/>
                <w:sz w:val="20"/>
                <w:szCs w:val="20"/>
              </w:rPr>
            </w:pPr>
          </w:p>
        </w:tc>
        <w:tc>
          <w:tcPr>
            <w:tcW w:w="457" w:type="dxa"/>
            <w:tcBorders>
              <w:top w:val="nil"/>
              <w:left w:val="nil"/>
              <w:bottom w:val="nil"/>
              <w:right w:val="nil"/>
            </w:tcBorders>
          </w:tcPr>
          <w:p w:rsidR="00B608DD" w:rsidRPr="006E55BA" w:rsidRDefault="00B608DD" w:rsidP="00B608DD">
            <w:pPr>
              <w:rPr>
                <w:rFonts w:ascii="Calibri" w:hAnsi="Calibri" w:cs="Calibri"/>
                <w:b/>
                <w:bCs/>
                <w:color w:val="A6A6A6" w:themeColor="background1" w:themeShade="A6"/>
                <w:sz w:val="20"/>
                <w:szCs w:val="20"/>
              </w:rPr>
            </w:pPr>
          </w:p>
        </w:tc>
        <w:tc>
          <w:tcPr>
            <w:tcW w:w="822" w:type="dxa"/>
            <w:gridSpan w:val="2"/>
            <w:tcBorders>
              <w:top w:val="nil"/>
              <w:left w:val="nil"/>
              <w:bottom w:val="nil"/>
              <w:right w:val="nil"/>
            </w:tcBorders>
          </w:tcPr>
          <w:p w:rsidR="00B608DD" w:rsidRPr="009073E0" w:rsidRDefault="00B608DD" w:rsidP="00B608DD">
            <w:pPr>
              <w:rPr>
                <w:rFonts w:ascii="Calibri" w:hAnsi="Calibri" w:cs="Calibri"/>
                <w:b/>
                <w:bCs/>
                <w:sz w:val="20"/>
                <w:szCs w:val="20"/>
              </w:rPr>
            </w:pPr>
          </w:p>
        </w:tc>
        <w:tc>
          <w:tcPr>
            <w:tcW w:w="160" w:type="dxa"/>
            <w:gridSpan w:val="2"/>
            <w:tcBorders>
              <w:top w:val="nil"/>
              <w:left w:val="nil"/>
              <w:bottom w:val="nil"/>
              <w:right w:val="nil"/>
            </w:tcBorders>
          </w:tcPr>
          <w:p w:rsidR="00B608DD" w:rsidRPr="009073E0" w:rsidRDefault="00B608DD" w:rsidP="00B608DD">
            <w:pPr>
              <w:rPr>
                <w:rFonts w:ascii="Calibri" w:hAnsi="Calibri" w:cs="Calibri"/>
                <w:b/>
                <w:bCs/>
                <w:sz w:val="20"/>
                <w:szCs w:val="20"/>
              </w:rPr>
            </w:pPr>
          </w:p>
        </w:tc>
        <w:tc>
          <w:tcPr>
            <w:tcW w:w="459" w:type="dxa"/>
            <w:gridSpan w:val="2"/>
            <w:tcBorders>
              <w:top w:val="nil"/>
              <w:left w:val="nil"/>
              <w:bottom w:val="nil"/>
              <w:right w:val="nil"/>
            </w:tcBorders>
          </w:tcPr>
          <w:p w:rsidR="00B608DD" w:rsidRPr="009073E0" w:rsidRDefault="00B608DD" w:rsidP="00B608DD">
            <w:pPr>
              <w:rPr>
                <w:rFonts w:ascii="Calibri" w:hAnsi="Calibri" w:cs="Calibri"/>
                <w:b/>
                <w:bCs/>
                <w:sz w:val="20"/>
                <w:szCs w:val="20"/>
              </w:rPr>
            </w:pPr>
          </w:p>
        </w:tc>
        <w:tc>
          <w:tcPr>
            <w:tcW w:w="467" w:type="dxa"/>
            <w:gridSpan w:val="2"/>
            <w:tcBorders>
              <w:top w:val="nil"/>
              <w:left w:val="nil"/>
              <w:bottom w:val="nil"/>
              <w:right w:val="nil"/>
            </w:tcBorders>
          </w:tcPr>
          <w:p w:rsidR="00B608DD" w:rsidRPr="009073E0" w:rsidRDefault="00B608DD" w:rsidP="00B608DD">
            <w:pPr>
              <w:rPr>
                <w:rFonts w:ascii="Calibri" w:hAnsi="Calibri" w:cs="Calibri"/>
                <w:b/>
                <w:bCs/>
                <w:sz w:val="20"/>
                <w:szCs w:val="20"/>
              </w:rPr>
            </w:pPr>
          </w:p>
        </w:tc>
        <w:tc>
          <w:tcPr>
            <w:tcW w:w="458" w:type="dxa"/>
            <w:gridSpan w:val="2"/>
            <w:tcBorders>
              <w:top w:val="nil"/>
              <w:left w:val="nil"/>
              <w:bottom w:val="nil"/>
              <w:right w:val="nil"/>
            </w:tcBorders>
          </w:tcPr>
          <w:p w:rsidR="00B608DD" w:rsidRPr="009073E0" w:rsidRDefault="00B608DD" w:rsidP="00B608DD">
            <w:pPr>
              <w:rPr>
                <w:rFonts w:ascii="Calibri" w:hAnsi="Calibri" w:cs="Calibri"/>
                <w:b/>
                <w:bCs/>
                <w:sz w:val="20"/>
                <w:szCs w:val="20"/>
              </w:rPr>
            </w:pPr>
          </w:p>
        </w:tc>
        <w:tc>
          <w:tcPr>
            <w:tcW w:w="1298" w:type="dxa"/>
            <w:gridSpan w:val="2"/>
            <w:tcBorders>
              <w:top w:val="nil"/>
              <w:left w:val="nil"/>
              <w:bottom w:val="nil"/>
              <w:right w:val="nil"/>
            </w:tcBorders>
          </w:tcPr>
          <w:p w:rsidR="00B608DD" w:rsidRPr="009073E0" w:rsidRDefault="00B608DD" w:rsidP="00B608DD">
            <w:pPr>
              <w:rPr>
                <w:rFonts w:ascii="Calibri" w:hAnsi="Calibri" w:cs="Calibri"/>
                <w:b/>
                <w:bCs/>
                <w:sz w:val="20"/>
                <w:szCs w:val="20"/>
              </w:rPr>
            </w:pPr>
          </w:p>
        </w:tc>
        <w:tc>
          <w:tcPr>
            <w:tcW w:w="160" w:type="dxa"/>
            <w:tcBorders>
              <w:top w:val="nil"/>
              <w:left w:val="nil"/>
              <w:bottom w:val="nil"/>
              <w:right w:val="nil"/>
            </w:tcBorders>
          </w:tcPr>
          <w:p w:rsidR="00B608DD" w:rsidRPr="009073E0" w:rsidRDefault="00B608DD" w:rsidP="00B608DD">
            <w:pPr>
              <w:rPr>
                <w:rFonts w:ascii="Calibri" w:hAnsi="Calibri" w:cs="Calibri"/>
                <w:b/>
                <w:bCs/>
                <w:sz w:val="20"/>
                <w:szCs w:val="20"/>
              </w:rPr>
            </w:pPr>
          </w:p>
        </w:tc>
        <w:tc>
          <w:tcPr>
            <w:tcW w:w="458" w:type="dxa"/>
            <w:gridSpan w:val="2"/>
            <w:tcBorders>
              <w:top w:val="nil"/>
              <w:left w:val="nil"/>
              <w:bottom w:val="nil"/>
              <w:right w:val="nil"/>
            </w:tcBorders>
          </w:tcPr>
          <w:p w:rsidR="00B608DD" w:rsidRPr="009073E0" w:rsidRDefault="00B608DD" w:rsidP="00B608DD">
            <w:pPr>
              <w:rPr>
                <w:rFonts w:ascii="Calibri" w:hAnsi="Calibri" w:cs="Calibri"/>
                <w:b/>
                <w:bCs/>
                <w:sz w:val="20"/>
                <w:szCs w:val="20"/>
              </w:rPr>
            </w:pPr>
          </w:p>
        </w:tc>
        <w:tc>
          <w:tcPr>
            <w:tcW w:w="538" w:type="dxa"/>
            <w:gridSpan w:val="2"/>
            <w:tcBorders>
              <w:top w:val="nil"/>
              <w:left w:val="nil"/>
              <w:bottom w:val="nil"/>
              <w:right w:val="nil"/>
            </w:tcBorders>
          </w:tcPr>
          <w:p w:rsidR="00B608DD" w:rsidRPr="009073E0" w:rsidRDefault="00B608DD" w:rsidP="00B608DD">
            <w:pPr>
              <w:rPr>
                <w:rFonts w:ascii="Calibri" w:hAnsi="Calibri" w:cs="Calibri"/>
                <w:b/>
                <w:bCs/>
                <w:sz w:val="20"/>
                <w:szCs w:val="20"/>
              </w:rPr>
            </w:pPr>
          </w:p>
        </w:tc>
        <w:tc>
          <w:tcPr>
            <w:tcW w:w="380" w:type="dxa"/>
            <w:tcBorders>
              <w:top w:val="nil"/>
              <w:left w:val="nil"/>
              <w:bottom w:val="nil"/>
              <w:right w:val="nil"/>
            </w:tcBorders>
          </w:tcPr>
          <w:p w:rsidR="00B608DD" w:rsidRPr="009073E0" w:rsidRDefault="00B608DD" w:rsidP="00B608DD">
            <w:pPr>
              <w:rPr>
                <w:rFonts w:ascii="Calibri" w:hAnsi="Calibri" w:cs="Calibri"/>
                <w:b/>
                <w:bCs/>
                <w:sz w:val="20"/>
                <w:szCs w:val="20"/>
              </w:rPr>
            </w:pPr>
          </w:p>
        </w:tc>
        <w:tc>
          <w:tcPr>
            <w:tcW w:w="464" w:type="dxa"/>
            <w:tcBorders>
              <w:top w:val="nil"/>
              <w:left w:val="nil"/>
              <w:bottom w:val="nil"/>
              <w:right w:val="nil"/>
            </w:tcBorders>
          </w:tcPr>
          <w:p w:rsidR="00B608DD" w:rsidRPr="009073E0" w:rsidRDefault="00B608DD" w:rsidP="00B608DD">
            <w:pPr>
              <w:rPr>
                <w:rFonts w:ascii="Calibri" w:hAnsi="Calibri" w:cs="Calibri"/>
                <w:b/>
                <w:bCs/>
                <w:sz w:val="20"/>
                <w:szCs w:val="20"/>
              </w:rPr>
            </w:pPr>
          </w:p>
        </w:tc>
        <w:tc>
          <w:tcPr>
            <w:tcW w:w="458" w:type="dxa"/>
            <w:tcBorders>
              <w:top w:val="nil"/>
              <w:left w:val="nil"/>
              <w:bottom w:val="nil"/>
              <w:right w:val="nil"/>
            </w:tcBorders>
          </w:tcPr>
          <w:p w:rsidR="00B608DD" w:rsidRPr="009073E0" w:rsidRDefault="00B608DD" w:rsidP="00B608DD">
            <w:pPr>
              <w:rPr>
                <w:rFonts w:ascii="Calibri" w:hAnsi="Calibri" w:cs="Calibri"/>
                <w:b/>
                <w:bCs/>
                <w:sz w:val="20"/>
                <w:szCs w:val="20"/>
              </w:rPr>
            </w:pPr>
          </w:p>
        </w:tc>
        <w:tc>
          <w:tcPr>
            <w:tcW w:w="458" w:type="dxa"/>
            <w:tcBorders>
              <w:top w:val="nil"/>
              <w:left w:val="nil"/>
              <w:bottom w:val="nil"/>
              <w:right w:val="nil"/>
            </w:tcBorders>
          </w:tcPr>
          <w:p w:rsidR="00B608DD" w:rsidRPr="009073E0" w:rsidRDefault="00B608DD" w:rsidP="00B608DD">
            <w:pPr>
              <w:rPr>
                <w:rFonts w:ascii="Calibri" w:hAnsi="Calibri" w:cs="Calibri"/>
                <w:b/>
                <w:bCs/>
                <w:sz w:val="20"/>
                <w:szCs w:val="20"/>
              </w:rPr>
            </w:pPr>
          </w:p>
        </w:tc>
        <w:tc>
          <w:tcPr>
            <w:tcW w:w="458" w:type="dxa"/>
            <w:tcBorders>
              <w:top w:val="nil"/>
              <w:left w:val="nil"/>
              <w:bottom w:val="nil"/>
              <w:right w:val="nil"/>
            </w:tcBorders>
          </w:tcPr>
          <w:p w:rsidR="00B608DD" w:rsidRPr="009073E0" w:rsidRDefault="00B608DD" w:rsidP="00B608DD">
            <w:pPr>
              <w:rPr>
                <w:rFonts w:ascii="Calibri" w:hAnsi="Calibri" w:cs="Calibri"/>
                <w:b/>
                <w:bCs/>
                <w:sz w:val="20"/>
                <w:szCs w:val="20"/>
              </w:rPr>
            </w:pPr>
          </w:p>
        </w:tc>
        <w:tc>
          <w:tcPr>
            <w:tcW w:w="458" w:type="dxa"/>
            <w:tcBorders>
              <w:top w:val="nil"/>
              <w:left w:val="nil"/>
              <w:bottom w:val="nil"/>
              <w:right w:val="nil"/>
            </w:tcBorders>
          </w:tcPr>
          <w:p w:rsidR="00B608DD" w:rsidRPr="009073E0" w:rsidRDefault="00B608DD" w:rsidP="00B608DD">
            <w:pPr>
              <w:rPr>
                <w:rFonts w:ascii="Calibri" w:hAnsi="Calibri" w:cs="Calibri"/>
                <w:b/>
                <w:bCs/>
                <w:sz w:val="20"/>
                <w:szCs w:val="20"/>
              </w:rPr>
            </w:pPr>
          </w:p>
        </w:tc>
        <w:tc>
          <w:tcPr>
            <w:tcW w:w="458" w:type="dxa"/>
            <w:tcBorders>
              <w:top w:val="nil"/>
              <w:left w:val="nil"/>
              <w:bottom w:val="nil"/>
              <w:right w:val="nil"/>
            </w:tcBorders>
          </w:tcPr>
          <w:p w:rsidR="00B608DD" w:rsidRPr="009073E0" w:rsidRDefault="00B608DD" w:rsidP="00B608DD">
            <w:pPr>
              <w:rPr>
                <w:rFonts w:ascii="Calibri" w:hAnsi="Calibri" w:cs="Calibri"/>
                <w:b/>
                <w:bCs/>
                <w:sz w:val="20"/>
                <w:szCs w:val="20"/>
              </w:rPr>
            </w:pPr>
          </w:p>
        </w:tc>
        <w:tc>
          <w:tcPr>
            <w:tcW w:w="1402" w:type="dxa"/>
            <w:gridSpan w:val="3"/>
            <w:tcBorders>
              <w:top w:val="nil"/>
              <w:left w:val="nil"/>
              <w:bottom w:val="nil"/>
              <w:right w:val="nil"/>
            </w:tcBorders>
          </w:tcPr>
          <w:p w:rsidR="00B608DD" w:rsidRPr="009073E0" w:rsidRDefault="00B608DD" w:rsidP="00B608DD">
            <w:pPr>
              <w:rPr>
                <w:rFonts w:ascii="Calibri" w:hAnsi="Calibri" w:cs="Calibri"/>
                <w:b/>
                <w:bCs/>
                <w:sz w:val="20"/>
                <w:szCs w:val="20"/>
              </w:rPr>
            </w:pPr>
          </w:p>
        </w:tc>
      </w:tr>
      <w:tr w:rsidR="006E55BA" w:rsidRPr="006E55BA" w:rsidTr="00A028B5">
        <w:trPr>
          <w:gridAfter w:val="2"/>
          <w:wAfter w:w="1085" w:type="dxa"/>
        </w:trPr>
        <w:tc>
          <w:tcPr>
            <w:tcW w:w="2190" w:type="dxa"/>
            <w:gridSpan w:val="5"/>
            <w:tcBorders>
              <w:top w:val="single" w:sz="4" w:space="0" w:color="auto"/>
              <w:left w:val="single" w:sz="4" w:space="0" w:color="auto"/>
              <w:bottom w:val="single" w:sz="4" w:space="0" w:color="auto"/>
              <w:right w:val="single" w:sz="4" w:space="0" w:color="auto"/>
            </w:tcBorders>
            <w:shd w:val="clear" w:color="auto" w:fill="FFFF00"/>
          </w:tcPr>
          <w:p w:rsidR="00B608DD" w:rsidRPr="009073E0" w:rsidRDefault="00B608DD" w:rsidP="00B608DD">
            <w:pPr>
              <w:jc w:val="center"/>
              <w:rPr>
                <w:rFonts w:ascii="Calibri" w:hAnsi="Calibri" w:cs="Calibri"/>
                <w:b/>
                <w:bCs/>
                <w:sz w:val="18"/>
                <w:szCs w:val="18"/>
              </w:rPr>
            </w:pPr>
            <w:r w:rsidRPr="009073E0">
              <w:rPr>
                <w:rFonts w:ascii="Calibri" w:hAnsi="Calibri" w:cs="Calibri"/>
                <w:b/>
                <w:bCs/>
                <w:sz w:val="18"/>
                <w:szCs w:val="18"/>
              </w:rPr>
              <w:t>Rozpočet upravený v tis. Kč</w:t>
            </w:r>
          </w:p>
        </w:tc>
        <w:tc>
          <w:tcPr>
            <w:tcW w:w="1849" w:type="dxa"/>
            <w:gridSpan w:val="9"/>
            <w:tcBorders>
              <w:top w:val="single" w:sz="4" w:space="0" w:color="auto"/>
              <w:left w:val="single" w:sz="4" w:space="0" w:color="auto"/>
              <w:bottom w:val="single" w:sz="4" w:space="0" w:color="auto"/>
              <w:right w:val="single" w:sz="4" w:space="0" w:color="auto"/>
            </w:tcBorders>
            <w:shd w:val="clear" w:color="auto" w:fill="FFFF00"/>
          </w:tcPr>
          <w:p w:rsidR="00B608DD" w:rsidRPr="009073E0" w:rsidRDefault="00B608DD" w:rsidP="00B608DD">
            <w:pPr>
              <w:jc w:val="center"/>
              <w:rPr>
                <w:rFonts w:ascii="Calibri" w:hAnsi="Calibri" w:cs="Calibri"/>
                <w:b/>
                <w:bCs/>
                <w:sz w:val="18"/>
                <w:szCs w:val="18"/>
              </w:rPr>
            </w:pPr>
            <w:r w:rsidRPr="009073E0">
              <w:rPr>
                <w:rFonts w:ascii="Calibri" w:hAnsi="Calibri" w:cs="Calibri"/>
                <w:b/>
                <w:bCs/>
                <w:sz w:val="18"/>
                <w:szCs w:val="18"/>
              </w:rPr>
              <w:t>Skutečnost v tis. Kč</w:t>
            </w:r>
          </w:p>
        </w:tc>
        <w:tc>
          <w:tcPr>
            <w:tcW w:w="1552" w:type="dxa"/>
            <w:gridSpan w:val="3"/>
            <w:tcBorders>
              <w:top w:val="single" w:sz="4" w:space="0" w:color="auto"/>
              <w:left w:val="single" w:sz="4" w:space="0" w:color="auto"/>
              <w:bottom w:val="single" w:sz="4" w:space="0" w:color="auto"/>
              <w:right w:val="single" w:sz="4" w:space="0" w:color="auto"/>
            </w:tcBorders>
            <w:shd w:val="clear" w:color="auto" w:fill="FFFF00"/>
          </w:tcPr>
          <w:p w:rsidR="00B608DD" w:rsidRPr="009073E0" w:rsidRDefault="00B608DD" w:rsidP="00B608DD">
            <w:pPr>
              <w:jc w:val="center"/>
              <w:rPr>
                <w:rFonts w:ascii="Calibri" w:hAnsi="Calibri" w:cs="Calibri"/>
                <w:b/>
                <w:bCs/>
                <w:sz w:val="18"/>
                <w:szCs w:val="18"/>
              </w:rPr>
            </w:pPr>
            <w:r w:rsidRPr="009073E0">
              <w:rPr>
                <w:rFonts w:ascii="Calibri" w:hAnsi="Calibri" w:cs="Calibri"/>
                <w:b/>
                <w:bCs/>
                <w:sz w:val="18"/>
                <w:szCs w:val="18"/>
              </w:rPr>
              <w:t>SK/RU v %</w:t>
            </w:r>
          </w:p>
        </w:tc>
        <w:tc>
          <w:tcPr>
            <w:tcW w:w="4048" w:type="dxa"/>
            <w:gridSpan w:val="11"/>
            <w:tcBorders>
              <w:top w:val="single" w:sz="4" w:space="0" w:color="auto"/>
              <w:left w:val="single" w:sz="4" w:space="0" w:color="auto"/>
              <w:bottom w:val="single" w:sz="4" w:space="0" w:color="auto"/>
              <w:right w:val="single" w:sz="4" w:space="0" w:color="auto"/>
            </w:tcBorders>
            <w:shd w:val="clear" w:color="auto" w:fill="FFFF00"/>
          </w:tcPr>
          <w:p w:rsidR="00B608DD" w:rsidRPr="009073E0" w:rsidRDefault="00B608DD" w:rsidP="00B608DD">
            <w:pPr>
              <w:jc w:val="center"/>
              <w:rPr>
                <w:rFonts w:ascii="Calibri" w:hAnsi="Calibri" w:cs="Calibri"/>
                <w:b/>
                <w:bCs/>
                <w:sz w:val="18"/>
                <w:szCs w:val="18"/>
              </w:rPr>
            </w:pPr>
            <w:r w:rsidRPr="009073E0">
              <w:rPr>
                <w:rFonts w:ascii="Calibri" w:hAnsi="Calibri" w:cs="Calibri"/>
                <w:b/>
                <w:bCs/>
                <w:sz w:val="18"/>
                <w:szCs w:val="18"/>
              </w:rPr>
              <w:t>Komentář</w:t>
            </w:r>
          </w:p>
        </w:tc>
      </w:tr>
      <w:tr w:rsidR="00FF4769" w:rsidRPr="006E55BA" w:rsidTr="00A028B5">
        <w:trPr>
          <w:gridAfter w:val="2"/>
          <w:wAfter w:w="1085" w:type="dxa"/>
        </w:trPr>
        <w:tc>
          <w:tcPr>
            <w:tcW w:w="2190" w:type="dxa"/>
            <w:gridSpan w:val="5"/>
            <w:tcBorders>
              <w:top w:val="single" w:sz="6" w:space="0" w:color="auto"/>
              <w:left w:val="single" w:sz="6" w:space="0" w:color="auto"/>
              <w:bottom w:val="single" w:sz="6" w:space="0" w:color="auto"/>
              <w:right w:val="single" w:sz="6" w:space="0" w:color="auto"/>
            </w:tcBorders>
          </w:tcPr>
          <w:p w:rsidR="00FF4769" w:rsidRDefault="0021286E" w:rsidP="00FF4769">
            <w:pPr>
              <w:jc w:val="right"/>
              <w:rPr>
                <w:rFonts w:ascii="Calibri" w:hAnsi="Calibri" w:cs="Calibri"/>
                <w:b/>
                <w:bCs/>
                <w:sz w:val="18"/>
                <w:szCs w:val="18"/>
              </w:rPr>
            </w:pPr>
            <w:r>
              <w:rPr>
                <w:rFonts w:ascii="Calibri" w:hAnsi="Calibri" w:cs="Calibri"/>
                <w:b/>
                <w:bCs/>
                <w:sz w:val="18"/>
                <w:szCs w:val="18"/>
              </w:rPr>
              <w:t>324,90</w:t>
            </w:r>
          </w:p>
        </w:tc>
        <w:tc>
          <w:tcPr>
            <w:tcW w:w="1849" w:type="dxa"/>
            <w:gridSpan w:val="9"/>
            <w:tcBorders>
              <w:top w:val="single" w:sz="6" w:space="0" w:color="auto"/>
              <w:left w:val="single" w:sz="6" w:space="0" w:color="auto"/>
              <w:bottom w:val="single" w:sz="6" w:space="0" w:color="auto"/>
              <w:right w:val="single" w:sz="6" w:space="0" w:color="auto"/>
            </w:tcBorders>
          </w:tcPr>
          <w:p w:rsidR="00FF4769" w:rsidRDefault="0021286E" w:rsidP="00FF4769">
            <w:pPr>
              <w:jc w:val="right"/>
              <w:rPr>
                <w:rFonts w:ascii="Calibri" w:hAnsi="Calibri" w:cs="Calibri"/>
                <w:b/>
                <w:bCs/>
                <w:sz w:val="18"/>
                <w:szCs w:val="18"/>
              </w:rPr>
            </w:pPr>
            <w:r>
              <w:rPr>
                <w:rFonts w:ascii="Calibri" w:hAnsi="Calibri" w:cs="Calibri"/>
                <w:b/>
                <w:bCs/>
                <w:sz w:val="18"/>
                <w:szCs w:val="18"/>
              </w:rPr>
              <w:t>21,97</w:t>
            </w:r>
          </w:p>
        </w:tc>
        <w:tc>
          <w:tcPr>
            <w:tcW w:w="1552" w:type="dxa"/>
            <w:gridSpan w:val="3"/>
            <w:tcBorders>
              <w:top w:val="single" w:sz="6" w:space="0" w:color="auto"/>
              <w:left w:val="single" w:sz="6" w:space="0" w:color="auto"/>
              <w:bottom w:val="single" w:sz="6" w:space="0" w:color="auto"/>
              <w:right w:val="single" w:sz="6" w:space="0" w:color="auto"/>
            </w:tcBorders>
          </w:tcPr>
          <w:p w:rsidR="00FF4769" w:rsidRDefault="0021286E" w:rsidP="0021286E">
            <w:pPr>
              <w:jc w:val="center"/>
              <w:rPr>
                <w:rFonts w:ascii="Calibri" w:hAnsi="Calibri" w:cs="Calibri"/>
                <w:b/>
                <w:bCs/>
                <w:sz w:val="18"/>
                <w:szCs w:val="18"/>
              </w:rPr>
            </w:pPr>
            <w:r>
              <w:rPr>
                <w:rFonts w:ascii="Calibri" w:hAnsi="Calibri" w:cs="Calibri"/>
                <w:b/>
                <w:bCs/>
                <w:sz w:val="18"/>
                <w:szCs w:val="18"/>
              </w:rPr>
              <w:t>6,76</w:t>
            </w:r>
          </w:p>
        </w:tc>
        <w:tc>
          <w:tcPr>
            <w:tcW w:w="4048" w:type="dxa"/>
            <w:gridSpan w:val="11"/>
            <w:tcBorders>
              <w:top w:val="single" w:sz="4" w:space="0" w:color="auto"/>
              <w:left w:val="single" w:sz="4" w:space="0" w:color="auto"/>
              <w:bottom w:val="single" w:sz="4" w:space="0" w:color="auto"/>
              <w:right w:val="single" w:sz="4" w:space="0" w:color="auto"/>
            </w:tcBorders>
          </w:tcPr>
          <w:p w:rsidR="00FF4769" w:rsidRPr="009073E0" w:rsidRDefault="00FF4769" w:rsidP="00FF4769">
            <w:pPr>
              <w:rPr>
                <w:rFonts w:ascii="Calibri" w:hAnsi="Calibri" w:cs="Calibri"/>
                <w:b/>
                <w:bCs/>
                <w:sz w:val="18"/>
                <w:szCs w:val="18"/>
              </w:rPr>
            </w:pPr>
            <w:r w:rsidRPr="009073E0">
              <w:rPr>
                <w:rFonts w:ascii="Calibri" w:hAnsi="Calibri" w:cs="Calibri"/>
                <w:b/>
                <w:bCs/>
                <w:sz w:val="18"/>
                <w:szCs w:val="18"/>
              </w:rPr>
              <w:t>Výdaje před konsolidací</w:t>
            </w:r>
          </w:p>
        </w:tc>
      </w:tr>
      <w:tr w:rsidR="00FF4769" w:rsidRPr="006E55BA" w:rsidTr="00A028B5">
        <w:trPr>
          <w:gridAfter w:val="2"/>
          <w:wAfter w:w="1085" w:type="dxa"/>
        </w:trPr>
        <w:tc>
          <w:tcPr>
            <w:tcW w:w="2190" w:type="dxa"/>
            <w:gridSpan w:val="5"/>
            <w:tcBorders>
              <w:top w:val="single" w:sz="6" w:space="0" w:color="auto"/>
              <w:left w:val="single" w:sz="6" w:space="0" w:color="auto"/>
              <w:bottom w:val="single" w:sz="6" w:space="0" w:color="auto"/>
              <w:right w:val="single" w:sz="6" w:space="0" w:color="auto"/>
            </w:tcBorders>
          </w:tcPr>
          <w:p w:rsidR="00FF4769" w:rsidRDefault="0021286E" w:rsidP="00FF4769">
            <w:pPr>
              <w:jc w:val="right"/>
              <w:rPr>
                <w:rFonts w:ascii="Calibri" w:hAnsi="Calibri" w:cs="Calibri"/>
                <w:b/>
                <w:bCs/>
                <w:sz w:val="18"/>
                <w:szCs w:val="18"/>
              </w:rPr>
            </w:pPr>
            <w:r>
              <w:rPr>
                <w:rFonts w:ascii="Calibri" w:hAnsi="Calibri" w:cs="Calibri"/>
                <w:b/>
                <w:bCs/>
                <w:sz w:val="18"/>
                <w:szCs w:val="18"/>
              </w:rPr>
              <w:t>324,90</w:t>
            </w:r>
          </w:p>
        </w:tc>
        <w:tc>
          <w:tcPr>
            <w:tcW w:w="1849" w:type="dxa"/>
            <w:gridSpan w:val="9"/>
            <w:tcBorders>
              <w:top w:val="single" w:sz="6" w:space="0" w:color="auto"/>
              <w:left w:val="single" w:sz="6" w:space="0" w:color="auto"/>
              <w:bottom w:val="single" w:sz="6" w:space="0" w:color="auto"/>
              <w:right w:val="single" w:sz="6" w:space="0" w:color="auto"/>
            </w:tcBorders>
          </w:tcPr>
          <w:p w:rsidR="00FF4769" w:rsidRDefault="0021286E" w:rsidP="00FF4769">
            <w:pPr>
              <w:jc w:val="right"/>
              <w:rPr>
                <w:rFonts w:ascii="Calibri" w:hAnsi="Calibri" w:cs="Calibri"/>
                <w:b/>
                <w:bCs/>
                <w:sz w:val="18"/>
                <w:szCs w:val="18"/>
              </w:rPr>
            </w:pPr>
            <w:r>
              <w:rPr>
                <w:rFonts w:ascii="Calibri" w:hAnsi="Calibri" w:cs="Calibri"/>
                <w:b/>
                <w:bCs/>
                <w:sz w:val="18"/>
                <w:szCs w:val="18"/>
              </w:rPr>
              <w:t>21,97</w:t>
            </w:r>
          </w:p>
        </w:tc>
        <w:tc>
          <w:tcPr>
            <w:tcW w:w="1552" w:type="dxa"/>
            <w:gridSpan w:val="3"/>
            <w:tcBorders>
              <w:top w:val="single" w:sz="6" w:space="0" w:color="auto"/>
              <w:left w:val="single" w:sz="6" w:space="0" w:color="auto"/>
              <w:bottom w:val="single" w:sz="6" w:space="0" w:color="auto"/>
              <w:right w:val="single" w:sz="6" w:space="0" w:color="auto"/>
            </w:tcBorders>
          </w:tcPr>
          <w:p w:rsidR="0021286E" w:rsidRDefault="0021286E" w:rsidP="0021286E">
            <w:pPr>
              <w:jc w:val="center"/>
              <w:rPr>
                <w:rFonts w:ascii="Calibri" w:hAnsi="Calibri" w:cs="Calibri"/>
                <w:b/>
                <w:bCs/>
                <w:sz w:val="18"/>
                <w:szCs w:val="18"/>
              </w:rPr>
            </w:pPr>
            <w:r>
              <w:rPr>
                <w:rFonts w:ascii="Calibri" w:hAnsi="Calibri" w:cs="Calibri"/>
                <w:b/>
                <w:bCs/>
                <w:sz w:val="18"/>
                <w:szCs w:val="18"/>
              </w:rPr>
              <w:t>6,76</w:t>
            </w:r>
          </w:p>
        </w:tc>
        <w:tc>
          <w:tcPr>
            <w:tcW w:w="4048" w:type="dxa"/>
            <w:gridSpan w:val="11"/>
            <w:tcBorders>
              <w:top w:val="single" w:sz="4" w:space="0" w:color="auto"/>
              <w:left w:val="single" w:sz="4" w:space="0" w:color="auto"/>
              <w:bottom w:val="single" w:sz="4" w:space="0" w:color="auto"/>
              <w:right w:val="single" w:sz="4" w:space="0" w:color="auto"/>
            </w:tcBorders>
          </w:tcPr>
          <w:p w:rsidR="00FF4769" w:rsidRPr="009073E0" w:rsidRDefault="00FF4769" w:rsidP="00FF4769">
            <w:pPr>
              <w:rPr>
                <w:rFonts w:ascii="Calibri" w:hAnsi="Calibri" w:cs="Calibri"/>
                <w:b/>
                <w:bCs/>
                <w:sz w:val="18"/>
                <w:szCs w:val="18"/>
              </w:rPr>
            </w:pPr>
            <w:r w:rsidRPr="009073E0">
              <w:rPr>
                <w:rFonts w:ascii="Calibri" w:hAnsi="Calibri" w:cs="Calibri"/>
                <w:b/>
                <w:bCs/>
                <w:sz w:val="18"/>
                <w:szCs w:val="18"/>
              </w:rPr>
              <w:t>Výdaje po konsolidaci</w:t>
            </w:r>
          </w:p>
        </w:tc>
      </w:tr>
      <w:tr w:rsidR="006E55BA" w:rsidRPr="006E55BA" w:rsidTr="00A028B5">
        <w:tc>
          <w:tcPr>
            <w:tcW w:w="457" w:type="dxa"/>
            <w:tcBorders>
              <w:top w:val="nil"/>
              <w:left w:val="nil"/>
              <w:bottom w:val="nil"/>
              <w:right w:val="nil"/>
            </w:tcBorders>
          </w:tcPr>
          <w:p w:rsidR="00B608DD" w:rsidRPr="006E55BA" w:rsidRDefault="00B608DD" w:rsidP="00B608DD">
            <w:pPr>
              <w:rPr>
                <w:b/>
                <w:bCs/>
                <w:color w:val="A6A6A6" w:themeColor="background1" w:themeShade="A6"/>
                <w:sz w:val="20"/>
                <w:szCs w:val="20"/>
              </w:rPr>
            </w:pPr>
          </w:p>
        </w:tc>
        <w:tc>
          <w:tcPr>
            <w:tcW w:w="454" w:type="dxa"/>
            <w:tcBorders>
              <w:top w:val="nil"/>
              <w:left w:val="nil"/>
              <w:bottom w:val="nil"/>
              <w:right w:val="nil"/>
            </w:tcBorders>
          </w:tcPr>
          <w:p w:rsidR="00B608DD" w:rsidRPr="006E55BA" w:rsidRDefault="00B608DD" w:rsidP="00B608DD">
            <w:pPr>
              <w:rPr>
                <w:b/>
                <w:bCs/>
                <w:color w:val="A6A6A6" w:themeColor="background1" w:themeShade="A6"/>
                <w:sz w:val="20"/>
                <w:szCs w:val="20"/>
              </w:rPr>
            </w:pPr>
          </w:p>
        </w:tc>
        <w:tc>
          <w:tcPr>
            <w:tcW w:w="457" w:type="dxa"/>
            <w:tcBorders>
              <w:top w:val="nil"/>
              <w:left w:val="nil"/>
              <w:bottom w:val="nil"/>
              <w:right w:val="nil"/>
            </w:tcBorders>
          </w:tcPr>
          <w:p w:rsidR="00B608DD" w:rsidRPr="006E55BA" w:rsidRDefault="00B608DD" w:rsidP="00B608DD">
            <w:pPr>
              <w:rPr>
                <w:rFonts w:ascii="Calibri" w:hAnsi="Calibri" w:cs="Calibri"/>
                <w:b/>
                <w:bCs/>
                <w:color w:val="A6A6A6" w:themeColor="background1" w:themeShade="A6"/>
                <w:sz w:val="20"/>
                <w:szCs w:val="20"/>
              </w:rPr>
            </w:pPr>
          </w:p>
        </w:tc>
        <w:tc>
          <w:tcPr>
            <w:tcW w:w="822" w:type="dxa"/>
            <w:gridSpan w:val="2"/>
            <w:tcBorders>
              <w:top w:val="nil"/>
              <w:left w:val="nil"/>
              <w:bottom w:val="nil"/>
              <w:right w:val="nil"/>
            </w:tcBorders>
          </w:tcPr>
          <w:p w:rsidR="00B608DD" w:rsidRPr="006E55BA" w:rsidRDefault="00B608DD" w:rsidP="00B608DD">
            <w:pPr>
              <w:rPr>
                <w:rFonts w:ascii="Calibri" w:hAnsi="Calibri" w:cs="Calibri"/>
                <w:b/>
                <w:bCs/>
                <w:color w:val="A6A6A6" w:themeColor="background1" w:themeShade="A6"/>
                <w:sz w:val="20"/>
                <w:szCs w:val="20"/>
              </w:rPr>
            </w:pPr>
          </w:p>
        </w:tc>
        <w:tc>
          <w:tcPr>
            <w:tcW w:w="160" w:type="dxa"/>
            <w:gridSpan w:val="2"/>
            <w:tcBorders>
              <w:top w:val="nil"/>
              <w:left w:val="nil"/>
              <w:bottom w:val="nil"/>
              <w:right w:val="nil"/>
            </w:tcBorders>
          </w:tcPr>
          <w:p w:rsidR="00B608DD" w:rsidRPr="006E55BA" w:rsidRDefault="00B608DD" w:rsidP="00B608DD">
            <w:pPr>
              <w:rPr>
                <w:rFonts w:ascii="Calibri" w:hAnsi="Calibri" w:cs="Calibri"/>
                <w:b/>
                <w:bCs/>
                <w:color w:val="A6A6A6" w:themeColor="background1" w:themeShade="A6"/>
                <w:sz w:val="20"/>
                <w:szCs w:val="20"/>
              </w:rPr>
            </w:pPr>
          </w:p>
        </w:tc>
        <w:tc>
          <w:tcPr>
            <w:tcW w:w="459" w:type="dxa"/>
            <w:gridSpan w:val="2"/>
            <w:tcBorders>
              <w:top w:val="nil"/>
              <w:left w:val="nil"/>
              <w:bottom w:val="nil"/>
              <w:right w:val="nil"/>
            </w:tcBorders>
          </w:tcPr>
          <w:p w:rsidR="00B608DD" w:rsidRPr="006E55BA" w:rsidRDefault="00B608DD" w:rsidP="00B608DD">
            <w:pPr>
              <w:rPr>
                <w:rFonts w:ascii="Calibri" w:hAnsi="Calibri" w:cs="Calibri"/>
                <w:b/>
                <w:bCs/>
                <w:color w:val="A6A6A6" w:themeColor="background1" w:themeShade="A6"/>
                <w:sz w:val="20"/>
                <w:szCs w:val="20"/>
              </w:rPr>
            </w:pPr>
          </w:p>
        </w:tc>
        <w:tc>
          <w:tcPr>
            <w:tcW w:w="467" w:type="dxa"/>
            <w:gridSpan w:val="2"/>
            <w:tcBorders>
              <w:top w:val="nil"/>
              <w:left w:val="nil"/>
              <w:bottom w:val="nil"/>
              <w:right w:val="nil"/>
            </w:tcBorders>
          </w:tcPr>
          <w:p w:rsidR="00B608DD" w:rsidRPr="006E55BA" w:rsidRDefault="00B608DD" w:rsidP="00B608DD">
            <w:pPr>
              <w:rPr>
                <w:rFonts w:ascii="Calibri" w:hAnsi="Calibri" w:cs="Calibri"/>
                <w:b/>
                <w:bCs/>
                <w:color w:val="A6A6A6" w:themeColor="background1" w:themeShade="A6"/>
                <w:sz w:val="20"/>
                <w:szCs w:val="20"/>
              </w:rPr>
            </w:pPr>
          </w:p>
        </w:tc>
        <w:tc>
          <w:tcPr>
            <w:tcW w:w="458" w:type="dxa"/>
            <w:gridSpan w:val="2"/>
            <w:tcBorders>
              <w:top w:val="nil"/>
              <w:left w:val="nil"/>
              <w:bottom w:val="nil"/>
              <w:right w:val="nil"/>
            </w:tcBorders>
          </w:tcPr>
          <w:p w:rsidR="00B608DD" w:rsidRPr="006E55BA" w:rsidRDefault="00B608DD" w:rsidP="00B608DD">
            <w:pPr>
              <w:rPr>
                <w:rFonts w:ascii="Calibri" w:hAnsi="Calibri" w:cs="Calibri"/>
                <w:b/>
                <w:bCs/>
                <w:color w:val="A6A6A6" w:themeColor="background1" w:themeShade="A6"/>
                <w:sz w:val="20"/>
                <w:szCs w:val="20"/>
              </w:rPr>
            </w:pPr>
          </w:p>
        </w:tc>
        <w:tc>
          <w:tcPr>
            <w:tcW w:w="1298" w:type="dxa"/>
            <w:gridSpan w:val="2"/>
            <w:tcBorders>
              <w:top w:val="nil"/>
              <w:left w:val="nil"/>
              <w:bottom w:val="nil"/>
              <w:right w:val="nil"/>
            </w:tcBorders>
          </w:tcPr>
          <w:p w:rsidR="00B608DD" w:rsidRPr="006E55BA" w:rsidRDefault="00B608DD" w:rsidP="00B608DD">
            <w:pPr>
              <w:rPr>
                <w:rFonts w:ascii="Calibri" w:hAnsi="Calibri" w:cs="Calibri"/>
                <w:b/>
                <w:bCs/>
                <w:color w:val="A6A6A6" w:themeColor="background1" w:themeShade="A6"/>
                <w:sz w:val="20"/>
                <w:szCs w:val="20"/>
              </w:rPr>
            </w:pPr>
          </w:p>
        </w:tc>
        <w:tc>
          <w:tcPr>
            <w:tcW w:w="160" w:type="dxa"/>
            <w:tcBorders>
              <w:top w:val="nil"/>
              <w:left w:val="nil"/>
              <w:bottom w:val="nil"/>
              <w:right w:val="nil"/>
            </w:tcBorders>
          </w:tcPr>
          <w:p w:rsidR="00B608DD" w:rsidRPr="006E55BA" w:rsidRDefault="00B608DD" w:rsidP="00B608DD">
            <w:pPr>
              <w:rPr>
                <w:rFonts w:ascii="Calibri" w:hAnsi="Calibri" w:cs="Calibri"/>
                <w:b/>
                <w:bCs/>
                <w:color w:val="A6A6A6" w:themeColor="background1" w:themeShade="A6"/>
                <w:sz w:val="20"/>
                <w:szCs w:val="20"/>
              </w:rPr>
            </w:pPr>
          </w:p>
        </w:tc>
        <w:tc>
          <w:tcPr>
            <w:tcW w:w="458" w:type="dxa"/>
            <w:gridSpan w:val="2"/>
            <w:tcBorders>
              <w:top w:val="nil"/>
              <w:left w:val="nil"/>
              <w:bottom w:val="nil"/>
              <w:right w:val="nil"/>
            </w:tcBorders>
          </w:tcPr>
          <w:p w:rsidR="00B608DD" w:rsidRPr="006E55BA" w:rsidRDefault="00B608DD" w:rsidP="00B608DD">
            <w:pPr>
              <w:rPr>
                <w:rFonts w:ascii="Calibri" w:hAnsi="Calibri" w:cs="Calibri"/>
                <w:b/>
                <w:bCs/>
                <w:color w:val="A6A6A6" w:themeColor="background1" w:themeShade="A6"/>
                <w:sz w:val="20"/>
                <w:szCs w:val="20"/>
              </w:rPr>
            </w:pPr>
          </w:p>
        </w:tc>
        <w:tc>
          <w:tcPr>
            <w:tcW w:w="538" w:type="dxa"/>
            <w:gridSpan w:val="2"/>
            <w:tcBorders>
              <w:top w:val="nil"/>
              <w:left w:val="nil"/>
              <w:bottom w:val="nil"/>
              <w:right w:val="nil"/>
            </w:tcBorders>
          </w:tcPr>
          <w:p w:rsidR="00B608DD" w:rsidRPr="006E55BA" w:rsidRDefault="00B608DD" w:rsidP="00B608DD">
            <w:pPr>
              <w:rPr>
                <w:rFonts w:ascii="Calibri" w:hAnsi="Calibri" w:cs="Calibri"/>
                <w:b/>
                <w:bCs/>
                <w:color w:val="A6A6A6" w:themeColor="background1" w:themeShade="A6"/>
                <w:sz w:val="20"/>
                <w:szCs w:val="20"/>
              </w:rPr>
            </w:pPr>
          </w:p>
        </w:tc>
        <w:tc>
          <w:tcPr>
            <w:tcW w:w="380" w:type="dxa"/>
            <w:tcBorders>
              <w:top w:val="nil"/>
              <w:left w:val="nil"/>
              <w:bottom w:val="nil"/>
              <w:right w:val="nil"/>
            </w:tcBorders>
          </w:tcPr>
          <w:p w:rsidR="00B608DD" w:rsidRPr="006E55BA" w:rsidRDefault="00B608DD" w:rsidP="00B608DD">
            <w:pPr>
              <w:rPr>
                <w:rFonts w:ascii="Calibri" w:hAnsi="Calibri" w:cs="Calibri"/>
                <w:b/>
                <w:bCs/>
                <w:color w:val="A6A6A6" w:themeColor="background1" w:themeShade="A6"/>
                <w:sz w:val="20"/>
                <w:szCs w:val="20"/>
              </w:rPr>
            </w:pPr>
          </w:p>
        </w:tc>
        <w:tc>
          <w:tcPr>
            <w:tcW w:w="464" w:type="dxa"/>
            <w:tcBorders>
              <w:top w:val="nil"/>
              <w:left w:val="nil"/>
              <w:bottom w:val="nil"/>
              <w:right w:val="nil"/>
            </w:tcBorders>
          </w:tcPr>
          <w:p w:rsidR="00B608DD" w:rsidRPr="006E55BA" w:rsidRDefault="00B608DD" w:rsidP="00B608DD">
            <w:pPr>
              <w:rPr>
                <w:rFonts w:ascii="Calibri" w:hAnsi="Calibri" w:cs="Calibri"/>
                <w:b/>
                <w:bCs/>
                <w:color w:val="A6A6A6" w:themeColor="background1" w:themeShade="A6"/>
                <w:sz w:val="20"/>
                <w:szCs w:val="20"/>
              </w:rPr>
            </w:pPr>
          </w:p>
        </w:tc>
        <w:tc>
          <w:tcPr>
            <w:tcW w:w="458" w:type="dxa"/>
            <w:tcBorders>
              <w:top w:val="nil"/>
              <w:left w:val="nil"/>
              <w:bottom w:val="nil"/>
              <w:right w:val="nil"/>
            </w:tcBorders>
          </w:tcPr>
          <w:p w:rsidR="00B608DD" w:rsidRPr="006E55BA" w:rsidRDefault="00B608DD" w:rsidP="00B608DD">
            <w:pPr>
              <w:rPr>
                <w:rFonts w:ascii="Calibri" w:hAnsi="Calibri" w:cs="Calibri"/>
                <w:b/>
                <w:bCs/>
                <w:color w:val="A6A6A6" w:themeColor="background1" w:themeShade="A6"/>
                <w:sz w:val="20"/>
                <w:szCs w:val="20"/>
              </w:rPr>
            </w:pPr>
          </w:p>
          <w:p w:rsidR="00A028B5" w:rsidRPr="006E55BA" w:rsidRDefault="00A028B5" w:rsidP="00B608DD">
            <w:pPr>
              <w:rPr>
                <w:rFonts w:ascii="Calibri" w:hAnsi="Calibri" w:cs="Calibri"/>
                <w:b/>
                <w:bCs/>
                <w:color w:val="A6A6A6" w:themeColor="background1" w:themeShade="A6"/>
                <w:sz w:val="20"/>
                <w:szCs w:val="20"/>
              </w:rPr>
            </w:pPr>
          </w:p>
        </w:tc>
        <w:tc>
          <w:tcPr>
            <w:tcW w:w="458" w:type="dxa"/>
            <w:tcBorders>
              <w:top w:val="nil"/>
              <w:left w:val="nil"/>
              <w:bottom w:val="nil"/>
              <w:right w:val="nil"/>
            </w:tcBorders>
          </w:tcPr>
          <w:p w:rsidR="00B608DD" w:rsidRPr="006E55BA" w:rsidRDefault="00B608DD" w:rsidP="00B608DD">
            <w:pPr>
              <w:rPr>
                <w:rFonts w:ascii="Calibri" w:hAnsi="Calibri" w:cs="Calibri"/>
                <w:b/>
                <w:bCs/>
                <w:color w:val="A6A6A6" w:themeColor="background1" w:themeShade="A6"/>
                <w:sz w:val="20"/>
                <w:szCs w:val="20"/>
              </w:rPr>
            </w:pPr>
          </w:p>
        </w:tc>
        <w:tc>
          <w:tcPr>
            <w:tcW w:w="458" w:type="dxa"/>
            <w:tcBorders>
              <w:top w:val="nil"/>
              <w:left w:val="nil"/>
              <w:bottom w:val="nil"/>
              <w:right w:val="nil"/>
            </w:tcBorders>
          </w:tcPr>
          <w:p w:rsidR="00B608DD" w:rsidRPr="006E55BA" w:rsidRDefault="00B608DD" w:rsidP="00B608DD">
            <w:pPr>
              <w:rPr>
                <w:rFonts w:ascii="Calibri" w:hAnsi="Calibri" w:cs="Calibri"/>
                <w:b/>
                <w:bCs/>
                <w:color w:val="A6A6A6" w:themeColor="background1" w:themeShade="A6"/>
                <w:sz w:val="20"/>
                <w:szCs w:val="20"/>
              </w:rPr>
            </w:pPr>
          </w:p>
        </w:tc>
        <w:tc>
          <w:tcPr>
            <w:tcW w:w="458" w:type="dxa"/>
            <w:tcBorders>
              <w:top w:val="nil"/>
              <w:left w:val="nil"/>
              <w:bottom w:val="nil"/>
              <w:right w:val="nil"/>
            </w:tcBorders>
          </w:tcPr>
          <w:p w:rsidR="00B608DD" w:rsidRPr="006E55BA" w:rsidRDefault="00B608DD" w:rsidP="00B608DD">
            <w:pPr>
              <w:rPr>
                <w:rFonts w:ascii="Calibri" w:hAnsi="Calibri" w:cs="Calibri"/>
                <w:b/>
                <w:bCs/>
                <w:color w:val="A6A6A6" w:themeColor="background1" w:themeShade="A6"/>
                <w:sz w:val="20"/>
                <w:szCs w:val="20"/>
              </w:rPr>
            </w:pPr>
          </w:p>
        </w:tc>
        <w:tc>
          <w:tcPr>
            <w:tcW w:w="458" w:type="dxa"/>
            <w:tcBorders>
              <w:top w:val="nil"/>
              <w:left w:val="nil"/>
              <w:bottom w:val="nil"/>
              <w:right w:val="nil"/>
            </w:tcBorders>
          </w:tcPr>
          <w:p w:rsidR="00B608DD" w:rsidRPr="006E55BA" w:rsidRDefault="00B608DD" w:rsidP="00B608DD">
            <w:pPr>
              <w:rPr>
                <w:rFonts w:ascii="Calibri" w:hAnsi="Calibri" w:cs="Calibri"/>
                <w:b/>
                <w:bCs/>
                <w:color w:val="A6A6A6" w:themeColor="background1" w:themeShade="A6"/>
                <w:sz w:val="20"/>
                <w:szCs w:val="20"/>
              </w:rPr>
            </w:pPr>
          </w:p>
        </w:tc>
        <w:tc>
          <w:tcPr>
            <w:tcW w:w="1402" w:type="dxa"/>
            <w:gridSpan w:val="3"/>
            <w:tcBorders>
              <w:top w:val="nil"/>
              <w:left w:val="nil"/>
              <w:bottom w:val="nil"/>
              <w:right w:val="nil"/>
            </w:tcBorders>
          </w:tcPr>
          <w:p w:rsidR="00B608DD" w:rsidRPr="006E55BA" w:rsidRDefault="00B608DD" w:rsidP="00B608DD">
            <w:pPr>
              <w:rPr>
                <w:rFonts w:ascii="Calibri" w:hAnsi="Calibri" w:cs="Calibri"/>
                <w:b/>
                <w:bCs/>
                <w:color w:val="A6A6A6" w:themeColor="background1" w:themeShade="A6"/>
                <w:sz w:val="20"/>
                <w:szCs w:val="20"/>
              </w:rPr>
            </w:pPr>
          </w:p>
        </w:tc>
      </w:tr>
      <w:tr w:rsidR="006E55BA" w:rsidRPr="007564ED" w:rsidTr="00A028B5">
        <w:trPr>
          <w:gridAfter w:val="2"/>
          <w:wAfter w:w="1085" w:type="dxa"/>
        </w:trPr>
        <w:tc>
          <w:tcPr>
            <w:tcW w:w="9639" w:type="dxa"/>
            <w:gridSpan w:val="28"/>
            <w:tcBorders>
              <w:top w:val="nil"/>
              <w:left w:val="nil"/>
              <w:bottom w:val="nil"/>
              <w:right w:val="nil"/>
            </w:tcBorders>
            <w:shd w:val="pct5" w:color="000000" w:fill="FFFFFF"/>
          </w:tcPr>
          <w:p w:rsidR="00B608DD" w:rsidRPr="007564ED" w:rsidRDefault="00B608DD" w:rsidP="00B608DD">
            <w:pPr>
              <w:rPr>
                <w:rFonts w:ascii="Calibri" w:hAnsi="Calibri" w:cs="Calibri"/>
                <w:b/>
                <w:bCs/>
                <w:sz w:val="20"/>
                <w:szCs w:val="20"/>
              </w:rPr>
            </w:pPr>
            <w:r w:rsidRPr="007564ED">
              <w:rPr>
                <w:rFonts w:ascii="Calibri" w:hAnsi="Calibri" w:cs="Calibri"/>
                <w:b/>
                <w:bCs/>
                <w:sz w:val="20"/>
                <w:szCs w:val="20"/>
              </w:rPr>
              <w:t>Stručný komentář k celkovému vývoji čerpání výdajů kapitoly ve sledovaném období</w:t>
            </w:r>
          </w:p>
        </w:tc>
      </w:tr>
      <w:tr w:rsidR="006E55BA" w:rsidRPr="007564ED" w:rsidTr="00A028B5">
        <w:trPr>
          <w:gridAfter w:val="2"/>
          <w:wAfter w:w="1085" w:type="dxa"/>
        </w:trPr>
        <w:tc>
          <w:tcPr>
            <w:tcW w:w="9639" w:type="dxa"/>
            <w:gridSpan w:val="28"/>
            <w:tcBorders>
              <w:top w:val="single" w:sz="6" w:space="0" w:color="auto"/>
              <w:left w:val="single" w:sz="6" w:space="0" w:color="auto"/>
              <w:bottom w:val="single" w:sz="4" w:space="0" w:color="auto"/>
              <w:right w:val="single" w:sz="6" w:space="0" w:color="auto"/>
            </w:tcBorders>
          </w:tcPr>
          <w:p w:rsidR="00B608DD" w:rsidRPr="007564ED" w:rsidRDefault="00FF4769" w:rsidP="0021286E">
            <w:pPr>
              <w:jc w:val="both"/>
              <w:rPr>
                <w:rFonts w:ascii="Calibri" w:hAnsi="Calibri" w:cs="Calibri"/>
                <w:sz w:val="20"/>
                <w:szCs w:val="20"/>
              </w:rPr>
            </w:pPr>
            <w:r w:rsidRPr="00BC5791">
              <w:rPr>
                <w:rFonts w:ascii="Calibri" w:hAnsi="Calibri" w:cs="Calibri"/>
                <w:bCs/>
                <w:sz w:val="20"/>
                <w:szCs w:val="20"/>
              </w:rPr>
              <w:t>V roce 202</w:t>
            </w:r>
            <w:r w:rsidR="0021286E">
              <w:rPr>
                <w:rFonts w:ascii="Calibri" w:hAnsi="Calibri" w:cs="Calibri"/>
                <w:bCs/>
                <w:sz w:val="20"/>
                <w:szCs w:val="20"/>
              </w:rPr>
              <w:t>2</w:t>
            </w:r>
            <w:r w:rsidRPr="00BC5791">
              <w:rPr>
                <w:rFonts w:ascii="Calibri" w:hAnsi="Calibri" w:cs="Calibri"/>
                <w:bCs/>
                <w:sz w:val="20"/>
                <w:szCs w:val="20"/>
              </w:rPr>
              <w:t xml:space="preserve"> bylo čerpáno </w:t>
            </w:r>
            <w:r w:rsidR="0021286E">
              <w:rPr>
                <w:rFonts w:ascii="Calibri" w:hAnsi="Calibri" w:cs="Calibri"/>
                <w:bCs/>
                <w:sz w:val="20"/>
                <w:szCs w:val="20"/>
              </w:rPr>
              <w:t>21 965</w:t>
            </w:r>
            <w:r w:rsidRPr="00BC5791">
              <w:rPr>
                <w:rFonts w:ascii="Calibri" w:hAnsi="Calibri" w:cs="Calibri"/>
                <w:bCs/>
                <w:sz w:val="20"/>
                <w:szCs w:val="20"/>
              </w:rPr>
              <w:t xml:space="preserve"> Kč za znalecké posudky pro potřeby stavebního úřadu. Ostatní plánované prostředky kapitoly 61 nebylo nutné čerpat a úspora je součástí výsledku hospodaření roku 202</w:t>
            </w:r>
            <w:r w:rsidR="0021286E">
              <w:rPr>
                <w:rFonts w:ascii="Calibri" w:hAnsi="Calibri" w:cs="Calibri"/>
                <w:bCs/>
                <w:sz w:val="20"/>
                <w:szCs w:val="20"/>
              </w:rPr>
              <w:t>2</w:t>
            </w:r>
            <w:r w:rsidRPr="00BC5791">
              <w:rPr>
                <w:rFonts w:ascii="Calibri" w:hAnsi="Calibri" w:cs="Calibri"/>
                <w:bCs/>
                <w:sz w:val="20"/>
                <w:szCs w:val="20"/>
              </w:rPr>
              <w:t>.</w:t>
            </w:r>
          </w:p>
        </w:tc>
      </w:tr>
      <w:tr w:rsidR="006E55BA" w:rsidRPr="007564ED" w:rsidTr="00A028B5">
        <w:trPr>
          <w:gridAfter w:val="2"/>
          <w:wAfter w:w="1085" w:type="dxa"/>
        </w:trPr>
        <w:tc>
          <w:tcPr>
            <w:tcW w:w="9639" w:type="dxa"/>
            <w:gridSpan w:val="28"/>
            <w:tcBorders>
              <w:top w:val="single" w:sz="4" w:space="0" w:color="auto"/>
            </w:tcBorders>
          </w:tcPr>
          <w:p w:rsidR="001C1887" w:rsidRPr="007564ED" w:rsidRDefault="001C1887" w:rsidP="00B608DD">
            <w:pPr>
              <w:jc w:val="both"/>
              <w:rPr>
                <w:rFonts w:ascii="Calibri" w:hAnsi="Calibri" w:cs="Calibri"/>
                <w:sz w:val="20"/>
                <w:szCs w:val="20"/>
              </w:rPr>
            </w:pPr>
          </w:p>
        </w:tc>
      </w:tr>
    </w:tbl>
    <w:p w:rsidR="00FF4769" w:rsidRDefault="00FF4769" w:rsidP="00FF4769">
      <w:pPr>
        <w:rPr>
          <w:rFonts w:asciiTheme="minorHAnsi" w:hAnsiTheme="minorHAnsi" w:cstheme="minorHAnsi"/>
          <w:b/>
          <w:sz w:val="20"/>
          <w:szCs w:val="20"/>
        </w:rPr>
      </w:pPr>
      <w:r w:rsidRPr="00CA7DE3">
        <w:rPr>
          <w:rFonts w:asciiTheme="minorHAnsi" w:hAnsiTheme="minorHAnsi" w:cstheme="minorHAnsi"/>
          <w:b/>
          <w:sz w:val="20"/>
          <w:szCs w:val="20"/>
        </w:rPr>
        <w:t>Přehled schválených ro</w:t>
      </w:r>
      <w:r>
        <w:rPr>
          <w:rFonts w:asciiTheme="minorHAnsi" w:hAnsiTheme="minorHAnsi" w:cstheme="minorHAnsi"/>
          <w:b/>
          <w:sz w:val="20"/>
          <w:szCs w:val="20"/>
        </w:rPr>
        <w:t>zpočtových opatření k 31.</w:t>
      </w:r>
      <w:r w:rsidR="0021286E">
        <w:rPr>
          <w:rFonts w:asciiTheme="minorHAnsi" w:hAnsiTheme="minorHAnsi" w:cstheme="minorHAnsi"/>
          <w:b/>
          <w:sz w:val="20"/>
          <w:szCs w:val="20"/>
        </w:rPr>
        <w:t xml:space="preserve"> </w:t>
      </w:r>
      <w:r>
        <w:rPr>
          <w:rFonts w:asciiTheme="minorHAnsi" w:hAnsiTheme="minorHAnsi" w:cstheme="minorHAnsi"/>
          <w:b/>
          <w:sz w:val="20"/>
          <w:szCs w:val="20"/>
        </w:rPr>
        <w:t>12.</w:t>
      </w:r>
      <w:r w:rsidR="0021286E">
        <w:rPr>
          <w:rFonts w:asciiTheme="minorHAnsi" w:hAnsiTheme="minorHAnsi" w:cstheme="minorHAnsi"/>
          <w:b/>
          <w:sz w:val="20"/>
          <w:szCs w:val="20"/>
        </w:rPr>
        <w:t xml:space="preserve"> </w:t>
      </w:r>
      <w:r>
        <w:rPr>
          <w:rFonts w:asciiTheme="minorHAnsi" w:hAnsiTheme="minorHAnsi" w:cstheme="minorHAnsi"/>
          <w:b/>
          <w:sz w:val="20"/>
          <w:szCs w:val="20"/>
        </w:rPr>
        <w:t>202</w:t>
      </w:r>
      <w:r w:rsidR="0021286E">
        <w:rPr>
          <w:rFonts w:asciiTheme="minorHAnsi" w:hAnsiTheme="minorHAnsi" w:cstheme="minorHAnsi"/>
          <w:b/>
          <w:sz w:val="20"/>
          <w:szCs w:val="20"/>
        </w:rPr>
        <w:t>2</w:t>
      </w:r>
      <w:r w:rsidRPr="00CA7DE3">
        <w:rPr>
          <w:rFonts w:asciiTheme="minorHAnsi" w:hAnsiTheme="minorHAnsi" w:cstheme="minorHAnsi"/>
          <w:b/>
          <w:sz w:val="20"/>
          <w:szCs w:val="20"/>
        </w:rPr>
        <w:t>:</w:t>
      </w:r>
    </w:p>
    <w:p w:rsidR="00FF4769" w:rsidRPr="00CA7DE3" w:rsidRDefault="0021286E" w:rsidP="00FF4769">
      <w:pPr>
        <w:rPr>
          <w:rFonts w:asciiTheme="minorHAnsi" w:hAnsiTheme="minorHAnsi" w:cstheme="minorHAnsi"/>
          <w:b/>
          <w:sz w:val="20"/>
          <w:szCs w:val="20"/>
        </w:rPr>
      </w:pPr>
      <w:r>
        <w:rPr>
          <w:rFonts w:asciiTheme="minorHAnsi" w:hAnsiTheme="minorHAnsi" w:cstheme="minorHAnsi"/>
          <w:b/>
          <w:sz w:val="20"/>
          <w:szCs w:val="20"/>
        </w:rPr>
        <w:t>Na kapitole</w:t>
      </w:r>
      <w:r w:rsidR="00FF4769">
        <w:rPr>
          <w:rFonts w:asciiTheme="minorHAnsi" w:hAnsiTheme="minorHAnsi" w:cstheme="minorHAnsi"/>
          <w:b/>
          <w:sz w:val="20"/>
          <w:szCs w:val="20"/>
        </w:rPr>
        <w:t xml:space="preserve"> 61 nebyl</w:t>
      </w:r>
      <w:r>
        <w:rPr>
          <w:rFonts w:asciiTheme="minorHAnsi" w:hAnsiTheme="minorHAnsi" w:cstheme="minorHAnsi"/>
          <w:b/>
          <w:sz w:val="20"/>
          <w:szCs w:val="20"/>
        </w:rPr>
        <w:t>a</w:t>
      </w:r>
      <w:r w:rsidR="00FF4769">
        <w:rPr>
          <w:rFonts w:asciiTheme="minorHAnsi" w:hAnsiTheme="minorHAnsi" w:cstheme="minorHAnsi"/>
          <w:b/>
          <w:sz w:val="20"/>
          <w:szCs w:val="20"/>
        </w:rPr>
        <w:t xml:space="preserve"> realizován</w:t>
      </w:r>
      <w:r>
        <w:rPr>
          <w:rFonts w:asciiTheme="minorHAnsi" w:hAnsiTheme="minorHAnsi" w:cstheme="minorHAnsi"/>
          <w:b/>
          <w:sz w:val="20"/>
          <w:szCs w:val="20"/>
        </w:rPr>
        <w:t>a</w:t>
      </w:r>
      <w:r w:rsidR="00FF4769">
        <w:rPr>
          <w:rFonts w:asciiTheme="minorHAnsi" w:hAnsiTheme="minorHAnsi" w:cstheme="minorHAnsi"/>
          <w:b/>
          <w:sz w:val="20"/>
          <w:szCs w:val="20"/>
        </w:rPr>
        <w:t xml:space="preserve"> rozpočtová opatření.</w:t>
      </w:r>
    </w:p>
    <w:p w:rsidR="00FF4769" w:rsidRDefault="00FF4769" w:rsidP="00FF4769">
      <w:pPr>
        <w:rPr>
          <w:color w:val="A6A6A6" w:themeColor="background1" w:themeShade="A6"/>
        </w:rPr>
      </w:pPr>
    </w:p>
    <w:p w:rsidR="00FF4769" w:rsidRPr="00F97ED3" w:rsidRDefault="00FF4769" w:rsidP="00FF4769">
      <w:pPr>
        <w:rPr>
          <w:rFonts w:asciiTheme="minorHAnsi" w:hAnsiTheme="minorHAnsi" w:cstheme="minorHAnsi"/>
          <w:b/>
          <w:sz w:val="20"/>
          <w:szCs w:val="20"/>
        </w:rPr>
      </w:pPr>
      <w:r w:rsidRPr="00F97ED3">
        <w:rPr>
          <w:rFonts w:asciiTheme="minorHAnsi" w:hAnsiTheme="minorHAnsi" w:cstheme="minorHAnsi"/>
          <w:b/>
          <w:sz w:val="20"/>
          <w:szCs w:val="20"/>
        </w:rPr>
        <w:t>Datum: 15. 2. 202</w:t>
      </w:r>
      <w:r w:rsidR="0021286E">
        <w:rPr>
          <w:rFonts w:asciiTheme="minorHAnsi" w:hAnsiTheme="minorHAnsi" w:cstheme="minorHAnsi"/>
          <w:b/>
          <w:sz w:val="20"/>
          <w:szCs w:val="20"/>
        </w:rPr>
        <w:t>3</w:t>
      </w:r>
    </w:p>
    <w:p w:rsidR="00FF4769" w:rsidRPr="00F97ED3" w:rsidRDefault="00FF4769" w:rsidP="00FF4769">
      <w:pPr>
        <w:rPr>
          <w:rFonts w:asciiTheme="minorHAnsi" w:hAnsiTheme="minorHAnsi" w:cstheme="minorHAnsi"/>
          <w:b/>
          <w:sz w:val="20"/>
          <w:szCs w:val="20"/>
        </w:rPr>
      </w:pPr>
    </w:p>
    <w:p w:rsidR="00FF4769" w:rsidRDefault="00FF4769" w:rsidP="00FF4769">
      <w:r w:rsidRPr="00F97ED3">
        <w:rPr>
          <w:rFonts w:asciiTheme="minorHAnsi" w:hAnsiTheme="minorHAnsi" w:cstheme="minorHAnsi"/>
          <w:b/>
          <w:sz w:val="20"/>
          <w:szCs w:val="20"/>
        </w:rPr>
        <w:t>Správce kapitoly:  Ing. Jan Košťál</w:t>
      </w:r>
    </w:p>
    <w:p w:rsidR="00647144" w:rsidRDefault="00647144">
      <w:pPr>
        <w:rPr>
          <w:color w:val="A6A6A6" w:themeColor="background1" w:themeShade="A6"/>
        </w:rPr>
      </w:pPr>
      <w:r>
        <w:rPr>
          <w:color w:val="A6A6A6" w:themeColor="background1" w:themeShade="A6"/>
        </w:rPr>
        <w:br w:type="page"/>
      </w:r>
    </w:p>
    <w:tbl>
      <w:tblPr>
        <w:tblW w:w="10356" w:type="dxa"/>
        <w:tblLayout w:type="fixed"/>
        <w:tblCellMar>
          <w:left w:w="70" w:type="dxa"/>
          <w:right w:w="70" w:type="dxa"/>
        </w:tblCellMar>
        <w:tblLook w:val="0000" w:firstRow="0" w:lastRow="0" w:firstColumn="0" w:lastColumn="0" w:noHBand="0" w:noVBand="0"/>
      </w:tblPr>
      <w:tblGrid>
        <w:gridCol w:w="448"/>
        <w:gridCol w:w="456"/>
        <w:gridCol w:w="7"/>
        <w:gridCol w:w="8"/>
        <w:gridCol w:w="447"/>
        <w:gridCol w:w="160"/>
        <w:gridCol w:w="317"/>
        <w:gridCol w:w="431"/>
        <w:gridCol w:w="119"/>
        <w:gridCol w:w="160"/>
        <w:gridCol w:w="179"/>
        <w:gridCol w:w="280"/>
        <w:gridCol w:w="191"/>
        <w:gridCol w:w="58"/>
        <w:gridCol w:w="221"/>
        <w:gridCol w:w="181"/>
        <w:gridCol w:w="278"/>
        <w:gridCol w:w="305"/>
        <w:gridCol w:w="278"/>
        <w:gridCol w:w="521"/>
        <w:gridCol w:w="54"/>
        <w:gridCol w:w="62"/>
        <w:gridCol w:w="100"/>
        <w:gridCol w:w="60"/>
        <w:gridCol w:w="170"/>
        <w:gridCol w:w="15"/>
        <w:gridCol w:w="213"/>
        <w:gridCol w:w="245"/>
        <w:gridCol w:w="213"/>
        <w:gridCol w:w="32"/>
        <w:gridCol w:w="24"/>
        <w:gridCol w:w="136"/>
        <w:gridCol w:w="54"/>
        <w:gridCol w:w="213"/>
        <w:gridCol w:w="250"/>
        <w:gridCol w:w="213"/>
        <w:gridCol w:w="246"/>
        <w:gridCol w:w="131"/>
        <w:gridCol w:w="82"/>
        <w:gridCol w:w="78"/>
        <w:gridCol w:w="167"/>
        <w:gridCol w:w="213"/>
        <w:gridCol w:w="78"/>
        <w:gridCol w:w="167"/>
        <w:gridCol w:w="213"/>
        <w:gridCol w:w="78"/>
        <w:gridCol w:w="167"/>
        <w:gridCol w:w="213"/>
        <w:gridCol w:w="78"/>
        <w:gridCol w:w="167"/>
        <w:gridCol w:w="213"/>
        <w:gridCol w:w="78"/>
        <w:gridCol w:w="167"/>
        <w:gridCol w:w="83"/>
        <w:gridCol w:w="370"/>
        <w:gridCol w:w="96"/>
        <w:gridCol w:w="117"/>
        <w:gridCol w:w="55"/>
      </w:tblGrid>
      <w:tr w:rsidR="00677B37" w:rsidRPr="009A23B8" w:rsidTr="00F77BF1">
        <w:trPr>
          <w:gridAfter w:val="5"/>
          <w:wAfter w:w="721" w:type="dxa"/>
        </w:trPr>
        <w:tc>
          <w:tcPr>
            <w:tcW w:w="9635" w:type="dxa"/>
            <w:gridSpan w:val="53"/>
          </w:tcPr>
          <w:p w:rsidR="00B608DD" w:rsidRPr="009D7E1B" w:rsidRDefault="00B608DD" w:rsidP="00CA6C24">
            <w:pPr>
              <w:pStyle w:val="Nadpis4"/>
              <w:rPr>
                <w:sz w:val="28"/>
                <w:szCs w:val="28"/>
              </w:rPr>
            </w:pPr>
            <w:r w:rsidRPr="009D7E1B">
              <w:rPr>
                <w:sz w:val="28"/>
                <w:szCs w:val="28"/>
              </w:rPr>
              <w:t>Kapitola 62 – Územní plánování a památková péče</w:t>
            </w:r>
          </w:p>
        </w:tc>
      </w:tr>
      <w:tr w:rsidR="00677B37" w:rsidRPr="009A23B8" w:rsidTr="00F77BF1">
        <w:trPr>
          <w:gridAfter w:val="3"/>
          <w:wAfter w:w="268" w:type="dxa"/>
          <w:trHeight w:val="286"/>
        </w:trPr>
        <w:tc>
          <w:tcPr>
            <w:tcW w:w="448" w:type="dxa"/>
          </w:tcPr>
          <w:p w:rsidR="00B608DD" w:rsidRPr="009A23B8" w:rsidRDefault="00B608DD" w:rsidP="00B608DD">
            <w:pPr>
              <w:rPr>
                <w:rFonts w:ascii="Calibri" w:hAnsi="Calibri" w:cs="Calibri"/>
                <w:b/>
                <w:color w:val="FF0000"/>
                <w:sz w:val="20"/>
                <w:szCs w:val="20"/>
              </w:rPr>
            </w:pPr>
          </w:p>
        </w:tc>
        <w:tc>
          <w:tcPr>
            <w:tcW w:w="456" w:type="dxa"/>
          </w:tcPr>
          <w:p w:rsidR="00B608DD" w:rsidRPr="009A23B8" w:rsidRDefault="00B608DD" w:rsidP="00B608DD">
            <w:pPr>
              <w:rPr>
                <w:rFonts w:ascii="Calibri" w:hAnsi="Calibri" w:cs="Calibri"/>
                <w:b/>
                <w:color w:val="FF0000"/>
                <w:sz w:val="20"/>
                <w:szCs w:val="20"/>
              </w:rPr>
            </w:pPr>
          </w:p>
        </w:tc>
        <w:tc>
          <w:tcPr>
            <w:tcW w:w="462" w:type="dxa"/>
            <w:gridSpan w:val="3"/>
          </w:tcPr>
          <w:p w:rsidR="00B608DD" w:rsidRPr="009A23B8" w:rsidRDefault="00B608DD" w:rsidP="00B608DD">
            <w:pPr>
              <w:rPr>
                <w:rFonts w:ascii="Calibri" w:hAnsi="Calibri" w:cs="Calibri"/>
                <w:b/>
                <w:color w:val="FF0000"/>
                <w:sz w:val="20"/>
                <w:szCs w:val="20"/>
              </w:rPr>
            </w:pPr>
          </w:p>
        </w:tc>
        <w:tc>
          <w:tcPr>
            <w:tcW w:w="477" w:type="dxa"/>
            <w:gridSpan w:val="2"/>
          </w:tcPr>
          <w:p w:rsidR="00B608DD" w:rsidRPr="009A23B8" w:rsidRDefault="00B608DD" w:rsidP="00B608DD">
            <w:pPr>
              <w:rPr>
                <w:rFonts w:ascii="Calibri" w:hAnsi="Calibri" w:cs="Calibri"/>
                <w:b/>
                <w:color w:val="FF0000"/>
                <w:sz w:val="20"/>
                <w:szCs w:val="20"/>
              </w:rPr>
            </w:pPr>
          </w:p>
        </w:tc>
        <w:tc>
          <w:tcPr>
            <w:tcW w:w="431" w:type="dxa"/>
          </w:tcPr>
          <w:p w:rsidR="00B608DD" w:rsidRPr="009A23B8" w:rsidRDefault="00B608DD" w:rsidP="00B608DD">
            <w:pPr>
              <w:rPr>
                <w:rFonts w:ascii="Calibri" w:hAnsi="Calibri" w:cs="Calibri"/>
                <w:b/>
                <w:color w:val="FF0000"/>
                <w:sz w:val="20"/>
                <w:szCs w:val="20"/>
              </w:rPr>
            </w:pPr>
          </w:p>
        </w:tc>
        <w:tc>
          <w:tcPr>
            <w:tcW w:w="458" w:type="dxa"/>
            <w:gridSpan w:val="3"/>
          </w:tcPr>
          <w:p w:rsidR="00B608DD" w:rsidRPr="009A23B8" w:rsidRDefault="00B608DD" w:rsidP="00B608DD">
            <w:pPr>
              <w:rPr>
                <w:rFonts w:ascii="Calibri" w:hAnsi="Calibri" w:cs="Calibri"/>
                <w:b/>
                <w:color w:val="FF0000"/>
                <w:sz w:val="20"/>
                <w:szCs w:val="20"/>
              </w:rPr>
            </w:pPr>
          </w:p>
        </w:tc>
        <w:tc>
          <w:tcPr>
            <w:tcW w:w="471" w:type="dxa"/>
            <w:gridSpan w:val="2"/>
          </w:tcPr>
          <w:p w:rsidR="00B608DD" w:rsidRPr="009A23B8" w:rsidRDefault="00B608DD" w:rsidP="00B608DD">
            <w:pPr>
              <w:rPr>
                <w:rFonts w:ascii="Calibri" w:hAnsi="Calibri" w:cs="Calibri"/>
                <w:b/>
                <w:color w:val="FF0000"/>
                <w:sz w:val="20"/>
                <w:szCs w:val="20"/>
              </w:rPr>
            </w:pPr>
          </w:p>
        </w:tc>
        <w:tc>
          <w:tcPr>
            <w:tcW w:w="460" w:type="dxa"/>
            <w:gridSpan w:val="3"/>
          </w:tcPr>
          <w:p w:rsidR="00B608DD" w:rsidRPr="009A23B8" w:rsidRDefault="00B608DD" w:rsidP="00B608DD">
            <w:pPr>
              <w:rPr>
                <w:rFonts w:ascii="Calibri" w:hAnsi="Calibri" w:cs="Calibri"/>
                <w:b/>
                <w:color w:val="FF0000"/>
                <w:sz w:val="20"/>
                <w:szCs w:val="20"/>
              </w:rPr>
            </w:pPr>
          </w:p>
        </w:tc>
        <w:tc>
          <w:tcPr>
            <w:tcW w:w="583" w:type="dxa"/>
            <w:gridSpan w:val="2"/>
          </w:tcPr>
          <w:p w:rsidR="00B608DD" w:rsidRPr="009A23B8" w:rsidRDefault="00B608DD" w:rsidP="00B608DD">
            <w:pPr>
              <w:rPr>
                <w:rFonts w:ascii="Calibri" w:hAnsi="Calibri" w:cs="Calibri"/>
                <w:b/>
                <w:color w:val="FF0000"/>
                <w:sz w:val="20"/>
                <w:szCs w:val="20"/>
              </w:rPr>
            </w:pPr>
          </w:p>
        </w:tc>
        <w:tc>
          <w:tcPr>
            <w:tcW w:w="799" w:type="dxa"/>
            <w:gridSpan w:val="2"/>
          </w:tcPr>
          <w:p w:rsidR="00B608DD" w:rsidRPr="009A23B8" w:rsidRDefault="00B608DD" w:rsidP="00B608DD">
            <w:pPr>
              <w:rPr>
                <w:rFonts w:ascii="Calibri" w:hAnsi="Calibri" w:cs="Calibri"/>
                <w:b/>
                <w:color w:val="FF0000"/>
                <w:sz w:val="20"/>
                <w:szCs w:val="20"/>
              </w:rPr>
            </w:pPr>
          </w:p>
        </w:tc>
        <w:tc>
          <w:tcPr>
            <w:tcW w:w="461" w:type="dxa"/>
            <w:gridSpan w:val="6"/>
          </w:tcPr>
          <w:p w:rsidR="00B608DD" w:rsidRPr="009D7E1B" w:rsidRDefault="00B608DD" w:rsidP="00B608DD">
            <w:pPr>
              <w:rPr>
                <w:rFonts w:ascii="Calibri" w:hAnsi="Calibri" w:cs="Calibri"/>
                <w:b/>
                <w:sz w:val="20"/>
                <w:szCs w:val="20"/>
              </w:rPr>
            </w:pPr>
          </w:p>
        </w:tc>
        <w:tc>
          <w:tcPr>
            <w:tcW w:w="458" w:type="dxa"/>
            <w:gridSpan w:val="2"/>
          </w:tcPr>
          <w:p w:rsidR="00B608DD" w:rsidRPr="009D7E1B" w:rsidRDefault="00B608DD" w:rsidP="00B608DD">
            <w:pPr>
              <w:rPr>
                <w:rFonts w:ascii="Calibri" w:hAnsi="Calibri" w:cs="Calibri"/>
                <w:b/>
                <w:sz w:val="20"/>
                <w:szCs w:val="20"/>
              </w:rPr>
            </w:pPr>
          </w:p>
        </w:tc>
        <w:tc>
          <w:tcPr>
            <w:tcW w:w="459" w:type="dxa"/>
            <w:gridSpan w:val="5"/>
          </w:tcPr>
          <w:p w:rsidR="00B608DD" w:rsidRPr="009D7E1B" w:rsidRDefault="00B608DD" w:rsidP="00B608DD">
            <w:pPr>
              <w:rPr>
                <w:rFonts w:ascii="Calibri" w:hAnsi="Calibri" w:cs="Calibri"/>
                <w:b/>
                <w:sz w:val="20"/>
                <w:szCs w:val="20"/>
              </w:rPr>
            </w:pPr>
          </w:p>
        </w:tc>
        <w:tc>
          <w:tcPr>
            <w:tcW w:w="463" w:type="dxa"/>
            <w:gridSpan w:val="2"/>
          </w:tcPr>
          <w:p w:rsidR="00B608DD" w:rsidRPr="009D7E1B" w:rsidRDefault="00B608DD" w:rsidP="00B608DD">
            <w:pPr>
              <w:rPr>
                <w:rFonts w:ascii="Calibri" w:hAnsi="Calibri" w:cs="Calibri"/>
                <w:b/>
                <w:sz w:val="20"/>
                <w:szCs w:val="20"/>
              </w:rPr>
            </w:pPr>
          </w:p>
        </w:tc>
        <w:tc>
          <w:tcPr>
            <w:tcW w:w="459" w:type="dxa"/>
            <w:gridSpan w:val="2"/>
          </w:tcPr>
          <w:p w:rsidR="00B608DD" w:rsidRPr="009D7E1B" w:rsidRDefault="00B608DD" w:rsidP="00B608DD">
            <w:pPr>
              <w:rPr>
                <w:rFonts w:ascii="Calibri" w:hAnsi="Calibri" w:cs="Calibri"/>
                <w:b/>
                <w:sz w:val="20"/>
                <w:szCs w:val="20"/>
              </w:rPr>
            </w:pPr>
          </w:p>
        </w:tc>
        <w:tc>
          <w:tcPr>
            <w:tcW w:w="458" w:type="dxa"/>
            <w:gridSpan w:val="4"/>
          </w:tcPr>
          <w:p w:rsidR="00B608DD" w:rsidRPr="009D7E1B" w:rsidRDefault="00B608DD" w:rsidP="00B608DD">
            <w:pPr>
              <w:rPr>
                <w:rFonts w:ascii="Calibri" w:hAnsi="Calibri" w:cs="Calibri"/>
                <w:b/>
                <w:sz w:val="20"/>
                <w:szCs w:val="20"/>
              </w:rPr>
            </w:pPr>
          </w:p>
        </w:tc>
        <w:tc>
          <w:tcPr>
            <w:tcW w:w="458" w:type="dxa"/>
            <w:gridSpan w:val="3"/>
          </w:tcPr>
          <w:p w:rsidR="00B608DD" w:rsidRPr="009D7E1B" w:rsidRDefault="00B608DD" w:rsidP="00B608DD">
            <w:pPr>
              <w:rPr>
                <w:rFonts w:ascii="Calibri" w:hAnsi="Calibri" w:cs="Calibri"/>
                <w:b/>
                <w:sz w:val="20"/>
                <w:szCs w:val="20"/>
              </w:rPr>
            </w:pPr>
          </w:p>
        </w:tc>
        <w:tc>
          <w:tcPr>
            <w:tcW w:w="458" w:type="dxa"/>
            <w:gridSpan w:val="3"/>
          </w:tcPr>
          <w:p w:rsidR="00B608DD" w:rsidRPr="009D7E1B" w:rsidRDefault="00B608DD" w:rsidP="00B608DD">
            <w:pPr>
              <w:rPr>
                <w:rFonts w:ascii="Calibri" w:hAnsi="Calibri" w:cs="Calibri"/>
                <w:b/>
                <w:sz w:val="20"/>
                <w:szCs w:val="20"/>
              </w:rPr>
            </w:pPr>
          </w:p>
        </w:tc>
        <w:tc>
          <w:tcPr>
            <w:tcW w:w="458" w:type="dxa"/>
            <w:gridSpan w:val="3"/>
          </w:tcPr>
          <w:p w:rsidR="00B608DD" w:rsidRPr="009D7E1B" w:rsidRDefault="00B608DD" w:rsidP="00B608DD">
            <w:pPr>
              <w:rPr>
                <w:rFonts w:ascii="Calibri" w:hAnsi="Calibri" w:cs="Calibri"/>
                <w:b/>
                <w:sz w:val="20"/>
                <w:szCs w:val="20"/>
              </w:rPr>
            </w:pPr>
          </w:p>
        </w:tc>
        <w:tc>
          <w:tcPr>
            <w:tcW w:w="911" w:type="dxa"/>
            <w:gridSpan w:val="5"/>
          </w:tcPr>
          <w:p w:rsidR="00B608DD" w:rsidRPr="009D7E1B" w:rsidRDefault="00B608DD" w:rsidP="00B608DD">
            <w:pPr>
              <w:rPr>
                <w:rFonts w:ascii="Calibri" w:hAnsi="Calibri" w:cs="Calibri"/>
                <w:b/>
                <w:sz w:val="20"/>
                <w:szCs w:val="20"/>
              </w:rPr>
            </w:pPr>
          </w:p>
        </w:tc>
      </w:tr>
      <w:tr w:rsidR="00677B37" w:rsidRPr="009A23B8" w:rsidTr="00F77BF1">
        <w:trPr>
          <w:gridAfter w:val="5"/>
          <w:wAfter w:w="721" w:type="dxa"/>
        </w:trPr>
        <w:tc>
          <w:tcPr>
            <w:tcW w:w="9635" w:type="dxa"/>
            <w:gridSpan w:val="53"/>
            <w:shd w:val="clear" w:color="auto" w:fill="F79646"/>
          </w:tcPr>
          <w:p w:rsidR="00B608DD" w:rsidRPr="009D7E1B" w:rsidRDefault="00B608DD" w:rsidP="00B608DD">
            <w:pPr>
              <w:ind w:right="139"/>
              <w:rPr>
                <w:rFonts w:ascii="Calibri" w:hAnsi="Calibri" w:cs="Calibri"/>
                <w:b/>
                <w:sz w:val="20"/>
                <w:szCs w:val="20"/>
                <w:u w:val="single"/>
              </w:rPr>
            </w:pPr>
            <w:r w:rsidRPr="009D7E1B">
              <w:rPr>
                <w:rFonts w:ascii="Calibri" w:hAnsi="Calibri" w:cs="Calibri"/>
                <w:b/>
                <w:sz w:val="20"/>
                <w:szCs w:val="20"/>
                <w:u w:val="single"/>
              </w:rPr>
              <w:t>Rozbor plnění příjmů rozpočtu kapitoly</w:t>
            </w:r>
          </w:p>
        </w:tc>
      </w:tr>
      <w:tr w:rsidR="006E55BA" w:rsidRPr="009A23B8" w:rsidTr="00F77BF1">
        <w:tc>
          <w:tcPr>
            <w:tcW w:w="448" w:type="dxa"/>
          </w:tcPr>
          <w:p w:rsidR="00B608DD" w:rsidRPr="009A23B8" w:rsidRDefault="00B608DD" w:rsidP="00B608DD">
            <w:pPr>
              <w:ind w:right="139"/>
              <w:rPr>
                <w:rFonts w:ascii="Calibri" w:hAnsi="Calibri" w:cs="Calibri"/>
                <w:b/>
                <w:color w:val="FF0000"/>
                <w:sz w:val="20"/>
                <w:szCs w:val="20"/>
              </w:rPr>
            </w:pPr>
          </w:p>
        </w:tc>
        <w:tc>
          <w:tcPr>
            <w:tcW w:w="456" w:type="dxa"/>
          </w:tcPr>
          <w:p w:rsidR="00B608DD" w:rsidRPr="009A23B8" w:rsidRDefault="00B608DD" w:rsidP="00B608DD">
            <w:pPr>
              <w:ind w:right="139"/>
              <w:rPr>
                <w:rFonts w:ascii="Calibri" w:hAnsi="Calibri" w:cs="Calibri"/>
                <w:b/>
                <w:color w:val="FF0000"/>
                <w:sz w:val="20"/>
                <w:szCs w:val="20"/>
              </w:rPr>
            </w:pPr>
          </w:p>
        </w:tc>
        <w:tc>
          <w:tcPr>
            <w:tcW w:w="462" w:type="dxa"/>
            <w:gridSpan w:val="3"/>
          </w:tcPr>
          <w:p w:rsidR="00B608DD" w:rsidRPr="009A23B8" w:rsidRDefault="00B608DD" w:rsidP="00B608DD">
            <w:pPr>
              <w:ind w:right="139"/>
              <w:rPr>
                <w:rFonts w:ascii="Calibri" w:hAnsi="Calibri" w:cs="Calibri"/>
                <w:b/>
                <w:color w:val="FF0000"/>
                <w:sz w:val="20"/>
                <w:szCs w:val="20"/>
              </w:rPr>
            </w:pPr>
          </w:p>
        </w:tc>
        <w:tc>
          <w:tcPr>
            <w:tcW w:w="1027" w:type="dxa"/>
            <w:gridSpan w:val="4"/>
          </w:tcPr>
          <w:p w:rsidR="00B608DD" w:rsidRPr="009A23B8" w:rsidRDefault="00B608DD" w:rsidP="00B608DD">
            <w:pPr>
              <w:ind w:right="139"/>
              <w:rPr>
                <w:rFonts w:ascii="Calibri" w:hAnsi="Calibri" w:cs="Calibri"/>
                <w:b/>
                <w:color w:val="FF0000"/>
                <w:sz w:val="20"/>
                <w:szCs w:val="20"/>
              </w:rPr>
            </w:pPr>
          </w:p>
        </w:tc>
        <w:tc>
          <w:tcPr>
            <w:tcW w:w="160" w:type="dxa"/>
          </w:tcPr>
          <w:p w:rsidR="00B608DD" w:rsidRPr="009A23B8" w:rsidRDefault="00B608DD" w:rsidP="00B608DD">
            <w:pPr>
              <w:ind w:right="139"/>
              <w:rPr>
                <w:rFonts w:ascii="Calibri" w:hAnsi="Calibri" w:cs="Calibri"/>
                <w:b/>
                <w:color w:val="FF0000"/>
                <w:sz w:val="20"/>
                <w:szCs w:val="20"/>
              </w:rPr>
            </w:pPr>
          </w:p>
        </w:tc>
        <w:tc>
          <w:tcPr>
            <w:tcW w:w="459" w:type="dxa"/>
            <w:gridSpan w:val="2"/>
          </w:tcPr>
          <w:p w:rsidR="00B608DD" w:rsidRPr="009A23B8" w:rsidRDefault="00B608DD" w:rsidP="00B608DD">
            <w:pPr>
              <w:ind w:right="139"/>
              <w:rPr>
                <w:rFonts w:ascii="Calibri" w:hAnsi="Calibri" w:cs="Calibri"/>
                <w:b/>
                <w:color w:val="FF0000"/>
                <w:sz w:val="20"/>
                <w:szCs w:val="20"/>
              </w:rPr>
            </w:pPr>
          </w:p>
        </w:tc>
        <w:tc>
          <w:tcPr>
            <w:tcW w:w="470" w:type="dxa"/>
            <w:gridSpan w:val="3"/>
          </w:tcPr>
          <w:p w:rsidR="00B608DD" w:rsidRPr="009A23B8" w:rsidRDefault="00B608DD" w:rsidP="00B608DD">
            <w:pPr>
              <w:ind w:right="139"/>
              <w:rPr>
                <w:rFonts w:ascii="Calibri" w:hAnsi="Calibri" w:cs="Calibri"/>
                <w:b/>
                <w:color w:val="FF0000"/>
                <w:sz w:val="20"/>
                <w:szCs w:val="20"/>
              </w:rPr>
            </w:pPr>
          </w:p>
        </w:tc>
        <w:tc>
          <w:tcPr>
            <w:tcW w:w="459" w:type="dxa"/>
            <w:gridSpan w:val="2"/>
          </w:tcPr>
          <w:p w:rsidR="00B608DD" w:rsidRPr="009A23B8" w:rsidRDefault="00B608DD" w:rsidP="00B608DD">
            <w:pPr>
              <w:ind w:right="139"/>
              <w:rPr>
                <w:rFonts w:ascii="Calibri" w:hAnsi="Calibri" w:cs="Calibri"/>
                <w:b/>
                <w:color w:val="FF0000"/>
                <w:sz w:val="20"/>
                <w:szCs w:val="20"/>
              </w:rPr>
            </w:pPr>
          </w:p>
        </w:tc>
        <w:tc>
          <w:tcPr>
            <w:tcW w:w="583" w:type="dxa"/>
            <w:gridSpan w:val="2"/>
          </w:tcPr>
          <w:p w:rsidR="00B608DD" w:rsidRPr="009A23B8" w:rsidRDefault="00B608DD" w:rsidP="00B608DD">
            <w:pPr>
              <w:ind w:right="139"/>
              <w:rPr>
                <w:rFonts w:ascii="Calibri" w:hAnsi="Calibri" w:cs="Calibri"/>
                <w:b/>
                <w:color w:val="FF0000"/>
                <w:sz w:val="20"/>
                <w:szCs w:val="20"/>
              </w:rPr>
            </w:pPr>
          </w:p>
        </w:tc>
        <w:tc>
          <w:tcPr>
            <w:tcW w:w="737" w:type="dxa"/>
            <w:gridSpan w:val="4"/>
          </w:tcPr>
          <w:p w:rsidR="00B608DD" w:rsidRPr="009A23B8" w:rsidRDefault="00B608DD" w:rsidP="00B608DD">
            <w:pPr>
              <w:ind w:right="139"/>
              <w:rPr>
                <w:rFonts w:ascii="Calibri" w:hAnsi="Calibri" w:cs="Calibri"/>
                <w:b/>
                <w:color w:val="FF0000"/>
                <w:sz w:val="20"/>
                <w:szCs w:val="20"/>
              </w:rPr>
            </w:pPr>
          </w:p>
        </w:tc>
        <w:tc>
          <w:tcPr>
            <w:tcW w:w="458" w:type="dxa"/>
            <w:gridSpan w:val="4"/>
          </w:tcPr>
          <w:p w:rsidR="00B608DD" w:rsidRPr="009D7E1B" w:rsidRDefault="00B608DD" w:rsidP="00B608DD">
            <w:pPr>
              <w:ind w:right="139"/>
              <w:rPr>
                <w:rFonts w:ascii="Calibri" w:hAnsi="Calibri" w:cs="Calibri"/>
                <w:b/>
                <w:sz w:val="20"/>
                <w:szCs w:val="20"/>
              </w:rPr>
            </w:pPr>
          </w:p>
        </w:tc>
        <w:tc>
          <w:tcPr>
            <w:tcW w:w="458" w:type="dxa"/>
            <w:gridSpan w:val="2"/>
          </w:tcPr>
          <w:p w:rsidR="00B608DD" w:rsidRPr="009D7E1B" w:rsidRDefault="00B608DD" w:rsidP="00B608DD">
            <w:pPr>
              <w:ind w:right="139"/>
              <w:rPr>
                <w:rFonts w:ascii="Calibri" w:hAnsi="Calibri" w:cs="Calibri"/>
                <w:b/>
                <w:sz w:val="20"/>
                <w:szCs w:val="20"/>
              </w:rPr>
            </w:pPr>
          </w:p>
        </w:tc>
        <w:tc>
          <w:tcPr>
            <w:tcW w:w="459" w:type="dxa"/>
            <w:gridSpan w:val="5"/>
          </w:tcPr>
          <w:p w:rsidR="00B608DD" w:rsidRPr="009D7E1B" w:rsidRDefault="00B608DD" w:rsidP="00B608DD">
            <w:pPr>
              <w:ind w:right="139"/>
              <w:rPr>
                <w:rFonts w:ascii="Calibri" w:hAnsi="Calibri" w:cs="Calibri"/>
                <w:b/>
                <w:sz w:val="20"/>
                <w:szCs w:val="20"/>
              </w:rPr>
            </w:pPr>
          </w:p>
        </w:tc>
        <w:tc>
          <w:tcPr>
            <w:tcW w:w="463" w:type="dxa"/>
            <w:gridSpan w:val="2"/>
          </w:tcPr>
          <w:p w:rsidR="00B608DD" w:rsidRPr="009D7E1B" w:rsidRDefault="00B608DD" w:rsidP="00B608DD">
            <w:pPr>
              <w:ind w:right="139"/>
              <w:rPr>
                <w:rFonts w:ascii="Calibri" w:hAnsi="Calibri" w:cs="Calibri"/>
                <w:b/>
                <w:sz w:val="20"/>
                <w:szCs w:val="20"/>
              </w:rPr>
            </w:pPr>
          </w:p>
        </w:tc>
        <w:tc>
          <w:tcPr>
            <w:tcW w:w="459" w:type="dxa"/>
            <w:gridSpan w:val="3"/>
          </w:tcPr>
          <w:p w:rsidR="00B608DD" w:rsidRPr="009D7E1B" w:rsidRDefault="00B608DD" w:rsidP="00B608DD">
            <w:pPr>
              <w:ind w:right="139"/>
              <w:rPr>
                <w:rFonts w:ascii="Calibri" w:hAnsi="Calibri" w:cs="Calibri"/>
                <w:b/>
                <w:sz w:val="20"/>
                <w:szCs w:val="20"/>
              </w:rPr>
            </w:pPr>
          </w:p>
        </w:tc>
        <w:tc>
          <w:tcPr>
            <w:tcW w:w="458" w:type="dxa"/>
            <w:gridSpan w:val="3"/>
          </w:tcPr>
          <w:p w:rsidR="00B608DD" w:rsidRPr="009D7E1B" w:rsidRDefault="00B608DD" w:rsidP="00B608DD">
            <w:pPr>
              <w:ind w:right="139"/>
              <w:rPr>
                <w:rFonts w:ascii="Calibri" w:hAnsi="Calibri" w:cs="Calibri"/>
                <w:b/>
                <w:sz w:val="20"/>
                <w:szCs w:val="20"/>
              </w:rPr>
            </w:pPr>
          </w:p>
        </w:tc>
        <w:tc>
          <w:tcPr>
            <w:tcW w:w="458" w:type="dxa"/>
            <w:gridSpan w:val="3"/>
          </w:tcPr>
          <w:p w:rsidR="00B608DD" w:rsidRPr="009D7E1B" w:rsidRDefault="00B608DD" w:rsidP="00B608DD">
            <w:pPr>
              <w:ind w:right="139"/>
              <w:rPr>
                <w:rFonts w:ascii="Calibri" w:hAnsi="Calibri" w:cs="Calibri"/>
                <w:b/>
                <w:sz w:val="20"/>
                <w:szCs w:val="20"/>
              </w:rPr>
            </w:pPr>
          </w:p>
        </w:tc>
        <w:tc>
          <w:tcPr>
            <w:tcW w:w="458" w:type="dxa"/>
            <w:gridSpan w:val="3"/>
          </w:tcPr>
          <w:p w:rsidR="00B608DD" w:rsidRPr="009D7E1B" w:rsidRDefault="00B608DD" w:rsidP="00B608DD">
            <w:pPr>
              <w:ind w:right="139"/>
              <w:rPr>
                <w:rFonts w:ascii="Calibri" w:hAnsi="Calibri" w:cs="Calibri"/>
                <w:b/>
                <w:sz w:val="20"/>
                <w:szCs w:val="20"/>
              </w:rPr>
            </w:pPr>
          </w:p>
        </w:tc>
        <w:tc>
          <w:tcPr>
            <w:tcW w:w="458" w:type="dxa"/>
            <w:gridSpan w:val="3"/>
          </w:tcPr>
          <w:p w:rsidR="00B608DD" w:rsidRPr="009D7E1B" w:rsidRDefault="00B608DD" w:rsidP="00B608DD">
            <w:pPr>
              <w:ind w:right="139"/>
              <w:rPr>
                <w:rFonts w:ascii="Calibri" w:hAnsi="Calibri" w:cs="Calibri"/>
                <w:b/>
                <w:sz w:val="20"/>
                <w:szCs w:val="20"/>
              </w:rPr>
            </w:pPr>
          </w:p>
        </w:tc>
        <w:tc>
          <w:tcPr>
            <w:tcW w:w="966" w:type="dxa"/>
            <w:gridSpan w:val="7"/>
          </w:tcPr>
          <w:p w:rsidR="00B608DD" w:rsidRPr="009D7E1B" w:rsidRDefault="00B608DD" w:rsidP="00B608DD">
            <w:pPr>
              <w:ind w:right="139"/>
              <w:rPr>
                <w:rFonts w:ascii="Calibri" w:hAnsi="Calibri" w:cs="Calibri"/>
                <w:b/>
                <w:sz w:val="20"/>
                <w:szCs w:val="20"/>
              </w:rPr>
            </w:pPr>
          </w:p>
        </w:tc>
      </w:tr>
      <w:tr w:rsidR="00677B37" w:rsidRPr="009A23B8" w:rsidTr="00F77BF1">
        <w:trPr>
          <w:gridAfter w:val="5"/>
          <w:wAfter w:w="721" w:type="dxa"/>
        </w:trPr>
        <w:tc>
          <w:tcPr>
            <w:tcW w:w="2393" w:type="dxa"/>
            <w:gridSpan w:val="9"/>
            <w:tcBorders>
              <w:top w:val="single" w:sz="4" w:space="0" w:color="auto"/>
              <w:left w:val="single" w:sz="4" w:space="0" w:color="auto"/>
              <w:bottom w:val="single" w:sz="4" w:space="0" w:color="auto"/>
              <w:right w:val="single" w:sz="4" w:space="0" w:color="auto"/>
            </w:tcBorders>
            <w:shd w:val="clear" w:color="auto" w:fill="FFFF00"/>
            <w:vAlign w:val="center"/>
          </w:tcPr>
          <w:p w:rsidR="00B608DD" w:rsidRPr="009D7E1B" w:rsidRDefault="00B608DD" w:rsidP="00B608DD">
            <w:pPr>
              <w:ind w:right="139"/>
              <w:jc w:val="center"/>
              <w:rPr>
                <w:rFonts w:ascii="Calibri" w:hAnsi="Calibri" w:cs="Calibri"/>
                <w:b/>
                <w:sz w:val="18"/>
                <w:szCs w:val="18"/>
              </w:rPr>
            </w:pPr>
            <w:r w:rsidRPr="009D7E1B">
              <w:rPr>
                <w:rFonts w:ascii="Calibri" w:hAnsi="Calibri" w:cs="Calibri"/>
                <w:b/>
                <w:sz w:val="18"/>
                <w:szCs w:val="18"/>
              </w:rPr>
              <w:t>Rozpočet upravený v tis. Kč</w:t>
            </w:r>
          </w:p>
        </w:tc>
        <w:tc>
          <w:tcPr>
            <w:tcW w:w="1853" w:type="dxa"/>
            <w:gridSpan w:val="9"/>
            <w:tcBorders>
              <w:top w:val="single" w:sz="4" w:space="0" w:color="auto"/>
              <w:left w:val="single" w:sz="4" w:space="0" w:color="auto"/>
              <w:bottom w:val="single" w:sz="4" w:space="0" w:color="auto"/>
              <w:right w:val="single" w:sz="4" w:space="0" w:color="auto"/>
            </w:tcBorders>
            <w:shd w:val="clear" w:color="auto" w:fill="FFFF00"/>
            <w:vAlign w:val="center"/>
          </w:tcPr>
          <w:p w:rsidR="00B608DD" w:rsidRPr="009D7E1B" w:rsidRDefault="00B608DD" w:rsidP="00B608DD">
            <w:pPr>
              <w:ind w:right="139"/>
              <w:jc w:val="center"/>
              <w:rPr>
                <w:rFonts w:ascii="Calibri" w:hAnsi="Calibri" w:cs="Calibri"/>
                <w:b/>
                <w:sz w:val="18"/>
                <w:szCs w:val="18"/>
              </w:rPr>
            </w:pPr>
            <w:r w:rsidRPr="009D7E1B">
              <w:rPr>
                <w:rFonts w:ascii="Calibri" w:hAnsi="Calibri" w:cs="Calibri"/>
                <w:b/>
                <w:sz w:val="18"/>
                <w:szCs w:val="18"/>
              </w:rPr>
              <w:t>Skutečnost v tis. Kč</w:t>
            </w:r>
          </w:p>
        </w:tc>
        <w:tc>
          <w:tcPr>
            <w:tcW w:w="1245" w:type="dxa"/>
            <w:gridSpan w:val="7"/>
            <w:tcBorders>
              <w:top w:val="single" w:sz="4" w:space="0" w:color="auto"/>
              <w:left w:val="single" w:sz="4" w:space="0" w:color="auto"/>
              <w:bottom w:val="single" w:sz="4" w:space="0" w:color="auto"/>
              <w:right w:val="single" w:sz="4" w:space="0" w:color="auto"/>
            </w:tcBorders>
            <w:shd w:val="clear" w:color="auto" w:fill="FFFF00"/>
            <w:vAlign w:val="center"/>
          </w:tcPr>
          <w:p w:rsidR="00B608DD" w:rsidRPr="009D7E1B" w:rsidRDefault="00B608DD" w:rsidP="00B608DD">
            <w:pPr>
              <w:ind w:right="139"/>
              <w:jc w:val="center"/>
              <w:rPr>
                <w:rFonts w:ascii="Calibri" w:hAnsi="Calibri" w:cs="Calibri"/>
                <w:b/>
                <w:sz w:val="18"/>
                <w:szCs w:val="18"/>
              </w:rPr>
            </w:pPr>
            <w:r w:rsidRPr="009D7E1B">
              <w:rPr>
                <w:rFonts w:ascii="Calibri" w:hAnsi="Calibri" w:cs="Calibri"/>
                <w:b/>
                <w:sz w:val="18"/>
                <w:szCs w:val="18"/>
              </w:rPr>
              <w:t>SK/RU v %</w:t>
            </w:r>
          </w:p>
        </w:tc>
        <w:tc>
          <w:tcPr>
            <w:tcW w:w="4144" w:type="dxa"/>
            <w:gridSpan w:val="28"/>
            <w:tcBorders>
              <w:top w:val="single" w:sz="4" w:space="0" w:color="auto"/>
              <w:left w:val="single" w:sz="4" w:space="0" w:color="auto"/>
              <w:bottom w:val="single" w:sz="4" w:space="0" w:color="auto"/>
              <w:right w:val="single" w:sz="4" w:space="0" w:color="auto"/>
            </w:tcBorders>
            <w:shd w:val="clear" w:color="auto" w:fill="FFFF00"/>
            <w:vAlign w:val="center"/>
          </w:tcPr>
          <w:p w:rsidR="00B608DD" w:rsidRPr="009D7E1B" w:rsidRDefault="00B608DD" w:rsidP="00B608DD">
            <w:pPr>
              <w:ind w:right="139"/>
              <w:jc w:val="center"/>
              <w:rPr>
                <w:rFonts w:ascii="Calibri" w:hAnsi="Calibri" w:cs="Calibri"/>
                <w:b/>
                <w:sz w:val="18"/>
                <w:szCs w:val="18"/>
              </w:rPr>
            </w:pPr>
            <w:r w:rsidRPr="009D7E1B">
              <w:rPr>
                <w:rFonts w:ascii="Calibri" w:hAnsi="Calibri" w:cs="Calibri"/>
                <w:b/>
                <w:sz w:val="18"/>
                <w:szCs w:val="18"/>
              </w:rPr>
              <w:t>Komentář</w:t>
            </w:r>
          </w:p>
        </w:tc>
      </w:tr>
      <w:tr w:rsidR="00677B37" w:rsidRPr="009A23B8" w:rsidTr="00F77BF1">
        <w:trPr>
          <w:gridAfter w:val="5"/>
          <w:wAfter w:w="721" w:type="dxa"/>
        </w:trPr>
        <w:tc>
          <w:tcPr>
            <w:tcW w:w="2393" w:type="dxa"/>
            <w:gridSpan w:val="9"/>
            <w:tcBorders>
              <w:top w:val="single" w:sz="4" w:space="0" w:color="auto"/>
              <w:left w:val="single" w:sz="4" w:space="0" w:color="auto"/>
              <w:bottom w:val="single" w:sz="4" w:space="0" w:color="auto"/>
              <w:right w:val="single" w:sz="4" w:space="0" w:color="auto"/>
            </w:tcBorders>
          </w:tcPr>
          <w:p w:rsidR="00FB2359" w:rsidRPr="009D7E1B" w:rsidRDefault="00AB1872" w:rsidP="00FB2359">
            <w:pPr>
              <w:jc w:val="right"/>
              <w:rPr>
                <w:rFonts w:ascii="Calibri" w:hAnsi="Calibri" w:cs="Calibri"/>
                <w:b/>
                <w:sz w:val="18"/>
                <w:szCs w:val="18"/>
              </w:rPr>
            </w:pPr>
            <w:r>
              <w:rPr>
                <w:rFonts w:ascii="Calibri" w:hAnsi="Calibri" w:cs="Calibri"/>
                <w:b/>
                <w:sz w:val="18"/>
                <w:szCs w:val="18"/>
              </w:rPr>
              <w:t>620</w:t>
            </w:r>
            <w:r w:rsidR="009D7E1B" w:rsidRPr="009D7E1B">
              <w:rPr>
                <w:rFonts w:ascii="Calibri" w:hAnsi="Calibri" w:cs="Calibri"/>
                <w:b/>
                <w:sz w:val="18"/>
                <w:szCs w:val="18"/>
              </w:rPr>
              <w:t>,00</w:t>
            </w:r>
          </w:p>
        </w:tc>
        <w:tc>
          <w:tcPr>
            <w:tcW w:w="1853" w:type="dxa"/>
            <w:gridSpan w:val="9"/>
            <w:tcBorders>
              <w:top w:val="single" w:sz="4" w:space="0" w:color="auto"/>
              <w:left w:val="single" w:sz="4" w:space="0" w:color="auto"/>
              <w:bottom w:val="single" w:sz="4" w:space="0" w:color="auto"/>
              <w:right w:val="single" w:sz="4" w:space="0" w:color="auto"/>
            </w:tcBorders>
          </w:tcPr>
          <w:p w:rsidR="00FB2359" w:rsidRPr="009D7E1B" w:rsidRDefault="00AB1872" w:rsidP="00FB2359">
            <w:pPr>
              <w:jc w:val="right"/>
              <w:rPr>
                <w:rFonts w:ascii="Calibri" w:hAnsi="Calibri" w:cs="Calibri"/>
                <w:b/>
                <w:sz w:val="18"/>
                <w:szCs w:val="18"/>
              </w:rPr>
            </w:pPr>
            <w:r>
              <w:rPr>
                <w:rFonts w:ascii="Calibri" w:hAnsi="Calibri" w:cs="Calibri"/>
                <w:b/>
                <w:sz w:val="18"/>
                <w:szCs w:val="18"/>
              </w:rPr>
              <w:t>719,00</w:t>
            </w:r>
          </w:p>
        </w:tc>
        <w:tc>
          <w:tcPr>
            <w:tcW w:w="1245" w:type="dxa"/>
            <w:gridSpan w:val="7"/>
            <w:tcBorders>
              <w:top w:val="single" w:sz="4" w:space="0" w:color="auto"/>
              <w:left w:val="single" w:sz="4" w:space="0" w:color="auto"/>
              <w:bottom w:val="single" w:sz="4" w:space="0" w:color="auto"/>
              <w:right w:val="single" w:sz="4" w:space="0" w:color="auto"/>
            </w:tcBorders>
          </w:tcPr>
          <w:p w:rsidR="00FB2359" w:rsidRPr="009D7E1B" w:rsidRDefault="00AB1872" w:rsidP="00F77BF1">
            <w:pPr>
              <w:jc w:val="center"/>
              <w:rPr>
                <w:rFonts w:ascii="Calibri" w:hAnsi="Calibri" w:cs="Calibri"/>
                <w:b/>
                <w:sz w:val="18"/>
                <w:szCs w:val="18"/>
              </w:rPr>
            </w:pPr>
            <w:r>
              <w:rPr>
                <w:rFonts w:ascii="Calibri" w:hAnsi="Calibri" w:cs="Calibri"/>
                <w:b/>
                <w:sz w:val="18"/>
                <w:szCs w:val="18"/>
              </w:rPr>
              <w:t>115,97</w:t>
            </w:r>
          </w:p>
        </w:tc>
        <w:tc>
          <w:tcPr>
            <w:tcW w:w="4144" w:type="dxa"/>
            <w:gridSpan w:val="28"/>
            <w:tcBorders>
              <w:top w:val="single" w:sz="4" w:space="0" w:color="auto"/>
              <w:left w:val="single" w:sz="4" w:space="0" w:color="auto"/>
              <w:bottom w:val="single" w:sz="4" w:space="0" w:color="auto"/>
              <w:right w:val="single" w:sz="4" w:space="0" w:color="auto"/>
            </w:tcBorders>
          </w:tcPr>
          <w:p w:rsidR="00FB2359" w:rsidRPr="009D7E1B" w:rsidRDefault="00FD5999" w:rsidP="00FB2359">
            <w:pPr>
              <w:ind w:right="139"/>
              <w:rPr>
                <w:rFonts w:ascii="Calibri" w:hAnsi="Calibri" w:cs="Calibri"/>
                <w:b/>
                <w:sz w:val="18"/>
                <w:szCs w:val="18"/>
              </w:rPr>
            </w:pPr>
            <w:r w:rsidRPr="009D7E1B">
              <w:rPr>
                <w:rFonts w:ascii="Calibri" w:hAnsi="Calibri" w:cs="Calibri"/>
                <w:b/>
                <w:sz w:val="18"/>
                <w:szCs w:val="18"/>
              </w:rPr>
              <w:t>Příjmy před konsolidací</w:t>
            </w:r>
          </w:p>
        </w:tc>
      </w:tr>
      <w:tr w:rsidR="009D7E1B" w:rsidRPr="009A23B8" w:rsidTr="00F77BF1">
        <w:trPr>
          <w:gridAfter w:val="5"/>
          <w:wAfter w:w="721" w:type="dxa"/>
        </w:trPr>
        <w:tc>
          <w:tcPr>
            <w:tcW w:w="2393" w:type="dxa"/>
            <w:gridSpan w:val="9"/>
            <w:tcBorders>
              <w:top w:val="single" w:sz="4" w:space="0" w:color="auto"/>
              <w:left w:val="single" w:sz="4" w:space="0" w:color="auto"/>
              <w:bottom w:val="single" w:sz="4" w:space="0" w:color="auto"/>
              <w:right w:val="single" w:sz="4" w:space="0" w:color="auto"/>
            </w:tcBorders>
          </w:tcPr>
          <w:p w:rsidR="009D7E1B" w:rsidRPr="009D7E1B" w:rsidRDefault="00AB1872" w:rsidP="009D7E1B">
            <w:pPr>
              <w:jc w:val="right"/>
              <w:rPr>
                <w:rFonts w:ascii="Calibri" w:hAnsi="Calibri" w:cs="Calibri"/>
                <w:b/>
                <w:sz w:val="18"/>
                <w:szCs w:val="18"/>
              </w:rPr>
            </w:pPr>
            <w:r>
              <w:rPr>
                <w:rFonts w:ascii="Calibri" w:hAnsi="Calibri" w:cs="Calibri"/>
                <w:b/>
                <w:sz w:val="18"/>
                <w:szCs w:val="18"/>
              </w:rPr>
              <w:t>620</w:t>
            </w:r>
            <w:r w:rsidR="009D7E1B" w:rsidRPr="009D7E1B">
              <w:rPr>
                <w:rFonts w:ascii="Calibri" w:hAnsi="Calibri" w:cs="Calibri"/>
                <w:b/>
                <w:sz w:val="18"/>
                <w:szCs w:val="18"/>
              </w:rPr>
              <w:t>,00</w:t>
            </w:r>
          </w:p>
        </w:tc>
        <w:tc>
          <w:tcPr>
            <w:tcW w:w="1853" w:type="dxa"/>
            <w:gridSpan w:val="9"/>
            <w:tcBorders>
              <w:top w:val="single" w:sz="4" w:space="0" w:color="auto"/>
              <w:left w:val="single" w:sz="4" w:space="0" w:color="auto"/>
              <w:bottom w:val="single" w:sz="4" w:space="0" w:color="auto"/>
              <w:right w:val="single" w:sz="4" w:space="0" w:color="auto"/>
            </w:tcBorders>
          </w:tcPr>
          <w:p w:rsidR="009D7E1B" w:rsidRPr="009D7E1B" w:rsidRDefault="00AB1872" w:rsidP="009D7E1B">
            <w:pPr>
              <w:jc w:val="right"/>
              <w:rPr>
                <w:rFonts w:ascii="Calibri" w:hAnsi="Calibri" w:cs="Calibri"/>
                <w:b/>
                <w:sz w:val="18"/>
                <w:szCs w:val="18"/>
              </w:rPr>
            </w:pPr>
            <w:r>
              <w:rPr>
                <w:rFonts w:ascii="Calibri" w:hAnsi="Calibri" w:cs="Calibri"/>
                <w:b/>
                <w:sz w:val="18"/>
                <w:szCs w:val="18"/>
              </w:rPr>
              <w:t>719,00</w:t>
            </w:r>
          </w:p>
        </w:tc>
        <w:tc>
          <w:tcPr>
            <w:tcW w:w="1245" w:type="dxa"/>
            <w:gridSpan w:val="7"/>
            <w:tcBorders>
              <w:top w:val="single" w:sz="4" w:space="0" w:color="auto"/>
              <w:left w:val="single" w:sz="4" w:space="0" w:color="auto"/>
              <w:bottom w:val="single" w:sz="4" w:space="0" w:color="auto"/>
              <w:right w:val="single" w:sz="4" w:space="0" w:color="auto"/>
            </w:tcBorders>
          </w:tcPr>
          <w:p w:rsidR="009D7E1B" w:rsidRPr="009D7E1B" w:rsidRDefault="00AB1872" w:rsidP="00F77BF1">
            <w:pPr>
              <w:jc w:val="center"/>
              <w:rPr>
                <w:rFonts w:ascii="Calibri" w:hAnsi="Calibri" w:cs="Calibri"/>
                <w:b/>
                <w:sz w:val="18"/>
                <w:szCs w:val="18"/>
              </w:rPr>
            </w:pPr>
            <w:r>
              <w:rPr>
                <w:rFonts w:ascii="Calibri" w:hAnsi="Calibri" w:cs="Calibri"/>
                <w:b/>
                <w:sz w:val="18"/>
                <w:szCs w:val="18"/>
              </w:rPr>
              <w:t>115,97</w:t>
            </w:r>
          </w:p>
        </w:tc>
        <w:tc>
          <w:tcPr>
            <w:tcW w:w="4144" w:type="dxa"/>
            <w:gridSpan w:val="28"/>
            <w:tcBorders>
              <w:top w:val="single" w:sz="4" w:space="0" w:color="auto"/>
              <w:left w:val="single" w:sz="4" w:space="0" w:color="auto"/>
              <w:bottom w:val="single" w:sz="4" w:space="0" w:color="auto"/>
              <w:right w:val="single" w:sz="4" w:space="0" w:color="auto"/>
            </w:tcBorders>
          </w:tcPr>
          <w:p w:rsidR="009D7E1B" w:rsidRPr="009D7E1B" w:rsidRDefault="009D7E1B" w:rsidP="009D7E1B">
            <w:pPr>
              <w:ind w:right="139"/>
              <w:rPr>
                <w:rFonts w:ascii="Calibri" w:hAnsi="Calibri" w:cs="Calibri"/>
                <w:b/>
                <w:sz w:val="18"/>
                <w:szCs w:val="18"/>
              </w:rPr>
            </w:pPr>
            <w:r w:rsidRPr="009D7E1B">
              <w:rPr>
                <w:rFonts w:ascii="Calibri" w:hAnsi="Calibri" w:cs="Calibri"/>
                <w:b/>
                <w:sz w:val="18"/>
                <w:szCs w:val="18"/>
              </w:rPr>
              <w:t>Příjmy po konsolidaci</w:t>
            </w:r>
          </w:p>
        </w:tc>
      </w:tr>
      <w:tr w:rsidR="006E55BA" w:rsidRPr="009A23B8" w:rsidTr="00F77BF1">
        <w:tc>
          <w:tcPr>
            <w:tcW w:w="448" w:type="dxa"/>
          </w:tcPr>
          <w:p w:rsidR="00B608DD" w:rsidRPr="009A23B8" w:rsidRDefault="00B608DD" w:rsidP="00B608DD">
            <w:pPr>
              <w:ind w:right="139"/>
              <w:rPr>
                <w:rFonts w:ascii="Calibri" w:hAnsi="Calibri" w:cs="Calibri"/>
                <w:b/>
                <w:color w:val="FF0000"/>
                <w:sz w:val="20"/>
                <w:szCs w:val="20"/>
              </w:rPr>
            </w:pPr>
          </w:p>
        </w:tc>
        <w:tc>
          <w:tcPr>
            <w:tcW w:w="456" w:type="dxa"/>
          </w:tcPr>
          <w:p w:rsidR="00B608DD" w:rsidRPr="009A23B8" w:rsidRDefault="00B608DD" w:rsidP="00B608DD">
            <w:pPr>
              <w:ind w:right="139"/>
              <w:rPr>
                <w:rFonts w:ascii="Calibri" w:hAnsi="Calibri" w:cs="Calibri"/>
                <w:b/>
                <w:color w:val="FF0000"/>
                <w:sz w:val="20"/>
                <w:szCs w:val="20"/>
              </w:rPr>
            </w:pPr>
          </w:p>
        </w:tc>
        <w:tc>
          <w:tcPr>
            <w:tcW w:w="462" w:type="dxa"/>
            <w:gridSpan w:val="3"/>
          </w:tcPr>
          <w:p w:rsidR="00B608DD" w:rsidRPr="009A23B8" w:rsidRDefault="00B608DD" w:rsidP="00B608DD">
            <w:pPr>
              <w:ind w:right="139"/>
              <w:rPr>
                <w:rFonts w:ascii="Calibri" w:hAnsi="Calibri" w:cs="Calibri"/>
                <w:b/>
                <w:color w:val="FF0000"/>
                <w:sz w:val="20"/>
                <w:szCs w:val="20"/>
              </w:rPr>
            </w:pPr>
          </w:p>
        </w:tc>
        <w:tc>
          <w:tcPr>
            <w:tcW w:w="1027" w:type="dxa"/>
            <w:gridSpan w:val="4"/>
          </w:tcPr>
          <w:p w:rsidR="00B608DD" w:rsidRPr="009A23B8" w:rsidRDefault="00B608DD" w:rsidP="00B608DD">
            <w:pPr>
              <w:ind w:right="139"/>
              <w:rPr>
                <w:rFonts w:ascii="Calibri" w:hAnsi="Calibri" w:cs="Calibri"/>
                <w:b/>
                <w:color w:val="FF0000"/>
                <w:sz w:val="20"/>
                <w:szCs w:val="20"/>
              </w:rPr>
            </w:pPr>
          </w:p>
        </w:tc>
        <w:tc>
          <w:tcPr>
            <w:tcW w:w="160" w:type="dxa"/>
          </w:tcPr>
          <w:p w:rsidR="00B608DD" w:rsidRPr="009A23B8" w:rsidRDefault="00B608DD" w:rsidP="00B608DD">
            <w:pPr>
              <w:ind w:right="139"/>
              <w:rPr>
                <w:rFonts w:ascii="Calibri" w:hAnsi="Calibri" w:cs="Calibri"/>
                <w:b/>
                <w:color w:val="FF0000"/>
                <w:sz w:val="20"/>
                <w:szCs w:val="20"/>
              </w:rPr>
            </w:pPr>
          </w:p>
        </w:tc>
        <w:tc>
          <w:tcPr>
            <w:tcW w:w="459" w:type="dxa"/>
            <w:gridSpan w:val="2"/>
          </w:tcPr>
          <w:p w:rsidR="00B608DD" w:rsidRPr="009A23B8" w:rsidRDefault="00B608DD" w:rsidP="00B608DD">
            <w:pPr>
              <w:ind w:right="139"/>
              <w:rPr>
                <w:rFonts w:ascii="Calibri" w:hAnsi="Calibri" w:cs="Calibri"/>
                <w:b/>
                <w:color w:val="FF0000"/>
                <w:sz w:val="20"/>
                <w:szCs w:val="20"/>
              </w:rPr>
            </w:pPr>
          </w:p>
        </w:tc>
        <w:tc>
          <w:tcPr>
            <w:tcW w:w="470" w:type="dxa"/>
            <w:gridSpan w:val="3"/>
          </w:tcPr>
          <w:p w:rsidR="00B608DD" w:rsidRPr="009A23B8" w:rsidRDefault="00B608DD" w:rsidP="00B608DD">
            <w:pPr>
              <w:ind w:right="139"/>
              <w:rPr>
                <w:rFonts w:ascii="Calibri" w:hAnsi="Calibri" w:cs="Calibri"/>
                <w:b/>
                <w:color w:val="FF0000"/>
                <w:sz w:val="20"/>
                <w:szCs w:val="20"/>
              </w:rPr>
            </w:pPr>
          </w:p>
        </w:tc>
        <w:tc>
          <w:tcPr>
            <w:tcW w:w="459" w:type="dxa"/>
            <w:gridSpan w:val="2"/>
          </w:tcPr>
          <w:p w:rsidR="00B608DD" w:rsidRPr="009A23B8" w:rsidRDefault="00B608DD" w:rsidP="00B608DD">
            <w:pPr>
              <w:ind w:right="139"/>
              <w:rPr>
                <w:rFonts w:ascii="Calibri" w:hAnsi="Calibri" w:cs="Calibri"/>
                <w:b/>
                <w:color w:val="FF0000"/>
                <w:sz w:val="20"/>
                <w:szCs w:val="20"/>
              </w:rPr>
            </w:pPr>
          </w:p>
        </w:tc>
        <w:tc>
          <w:tcPr>
            <w:tcW w:w="583" w:type="dxa"/>
            <w:gridSpan w:val="2"/>
          </w:tcPr>
          <w:p w:rsidR="00B608DD" w:rsidRPr="009A23B8" w:rsidRDefault="00B608DD" w:rsidP="00B608DD">
            <w:pPr>
              <w:ind w:right="139"/>
              <w:rPr>
                <w:rFonts w:ascii="Calibri" w:hAnsi="Calibri" w:cs="Calibri"/>
                <w:b/>
                <w:color w:val="FF0000"/>
                <w:sz w:val="20"/>
                <w:szCs w:val="20"/>
              </w:rPr>
            </w:pPr>
          </w:p>
        </w:tc>
        <w:tc>
          <w:tcPr>
            <w:tcW w:w="737" w:type="dxa"/>
            <w:gridSpan w:val="4"/>
          </w:tcPr>
          <w:p w:rsidR="00B608DD" w:rsidRPr="009A23B8" w:rsidRDefault="00B608DD" w:rsidP="00B608DD">
            <w:pPr>
              <w:ind w:right="139"/>
              <w:rPr>
                <w:rFonts w:ascii="Calibri" w:hAnsi="Calibri" w:cs="Calibri"/>
                <w:b/>
                <w:color w:val="FF0000"/>
                <w:sz w:val="20"/>
                <w:szCs w:val="20"/>
              </w:rPr>
            </w:pPr>
          </w:p>
        </w:tc>
        <w:tc>
          <w:tcPr>
            <w:tcW w:w="458" w:type="dxa"/>
            <w:gridSpan w:val="4"/>
          </w:tcPr>
          <w:p w:rsidR="00B608DD" w:rsidRPr="009A23B8" w:rsidRDefault="00B608DD" w:rsidP="00B608DD">
            <w:pPr>
              <w:ind w:right="139"/>
              <w:rPr>
                <w:rFonts w:ascii="Calibri" w:hAnsi="Calibri" w:cs="Calibri"/>
                <w:b/>
                <w:color w:val="FF0000"/>
                <w:sz w:val="20"/>
                <w:szCs w:val="20"/>
              </w:rPr>
            </w:pPr>
          </w:p>
        </w:tc>
        <w:tc>
          <w:tcPr>
            <w:tcW w:w="458" w:type="dxa"/>
            <w:gridSpan w:val="2"/>
          </w:tcPr>
          <w:p w:rsidR="00B608DD" w:rsidRPr="009A23B8" w:rsidRDefault="00B608DD" w:rsidP="00B608DD">
            <w:pPr>
              <w:ind w:right="139"/>
              <w:rPr>
                <w:rFonts w:ascii="Calibri" w:hAnsi="Calibri" w:cs="Calibri"/>
                <w:b/>
                <w:color w:val="FF0000"/>
                <w:sz w:val="20"/>
                <w:szCs w:val="20"/>
              </w:rPr>
            </w:pPr>
          </w:p>
        </w:tc>
        <w:tc>
          <w:tcPr>
            <w:tcW w:w="459" w:type="dxa"/>
            <w:gridSpan w:val="5"/>
          </w:tcPr>
          <w:p w:rsidR="00B608DD" w:rsidRPr="009A23B8" w:rsidRDefault="00B608DD" w:rsidP="00B608DD">
            <w:pPr>
              <w:ind w:right="139"/>
              <w:rPr>
                <w:rFonts w:ascii="Calibri" w:hAnsi="Calibri" w:cs="Calibri"/>
                <w:b/>
                <w:color w:val="FF0000"/>
                <w:sz w:val="20"/>
                <w:szCs w:val="20"/>
              </w:rPr>
            </w:pPr>
          </w:p>
        </w:tc>
        <w:tc>
          <w:tcPr>
            <w:tcW w:w="463" w:type="dxa"/>
            <w:gridSpan w:val="2"/>
          </w:tcPr>
          <w:p w:rsidR="00B608DD" w:rsidRPr="009A23B8" w:rsidRDefault="00B608DD" w:rsidP="00B608DD">
            <w:pPr>
              <w:ind w:right="139"/>
              <w:rPr>
                <w:rFonts w:ascii="Calibri" w:hAnsi="Calibri" w:cs="Calibri"/>
                <w:b/>
                <w:color w:val="FF0000"/>
                <w:sz w:val="20"/>
                <w:szCs w:val="20"/>
              </w:rPr>
            </w:pPr>
          </w:p>
        </w:tc>
        <w:tc>
          <w:tcPr>
            <w:tcW w:w="459" w:type="dxa"/>
            <w:gridSpan w:val="3"/>
          </w:tcPr>
          <w:p w:rsidR="00B608DD" w:rsidRPr="009A23B8" w:rsidRDefault="00B608DD" w:rsidP="00B608DD">
            <w:pPr>
              <w:ind w:right="139"/>
              <w:rPr>
                <w:rFonts w:ascii="Calibri" w:hAnsi="Calibri" w:cs="Calibri"/>
                <w:b/>
                <w:color w:val="FF0000"/>
                <w:sz w:val="20"/>
                <w:szCs w:val="20"/>
              </w:rPr>
            </w:pPr>
          </w:p>
        </w:tc>
        <w:tc>
          <w:tcPr>
            <w:tcW w:w="458" w:type="dxa"/>
            <w:gridSpan w:val="3"/>
          </w:tcPr>
          <w:p w:rsidR="00B608DD" w:rsidRPr="009A23B8" w:rsidRDefault="00B608DD" w:rsidP="00B608DD">
            <w:pPr>
              <w:ind w:right="139"/>
              <w:rPr>
                <w:rFonts w:ascii="Calibri" w:hAnsi="Calibri" w:cs="Calibri"/>
                <w:b/>
                <w:color w:val="FF0000"/>
                <w:sz w:val="20"/>
                <w:szCs w:val="20"/>
              </w:rPr>
            </w:pPr>
          </w:p>
        </w:tc>
        <w:tc>
          <w:tcPr>
            <w:tcW w:w="458" w:type="dxa"/>
            <w:gridSpan w:val="3"/>
          </w:tcPr>
          <w:p w:rsidR="00B608DD" w:rsidRPr="009A23B8" w:rsidRDefault="00B608DD" w:rsidP="00B608DD">
            <w:pPr>
              <w:ind w:right="139"/>
              <w:rPr>
                <w:rFonts w:ascii="Calibri" w:hAnsi="Calibri" w:cs="Calibri"/>
                <w:b/>
                <w:color w:val="FF0000"/>
                <w:sz w:val="20"/>
                <w:szCs w:val="20"/>
              </w:rPr>
            </w:pPr>
          </w:p>
        </w:tc>
        <w:tc>
          <w:tcPr>
            <w:tcW w:w="458" w:type="dxa"/>
            <w:gridSpan w:val="3"/>
          </w:tcPr>
          <w:p w:rsidR="00B608DD" w:rsidRPr="009A23B8" w:rsidRDefault="00B608DD" w:rsidP="00B608DD">
            <w:pPr>
              <w:ind w:right="139"/>
              <w:rPr>
                <w:rFonts w:ascii="Calibri" w:hAnsi="Calibri" w:cs="Calibri"/>
                <w:b/>
                <w:color w:val="FF0000"/>
                <w:sz w:val="20"/>
                <w:szCs w:val="20"/>
              </w:rPr>
            </w:pPr>
          </w:p>
        </w:tc>
        <w:tc>
          <w:tcPr>
            <w:tcW w:w="458" w:type="dxa"/>
            <w:gridSpan w:val="3"/>
          </w:tcPr>
          <w:p w:rsidR="00B608DD" w:rsidRPr="009A23B8" w:rsidRDefault="00B608DD" w:rsidP="00B608DD">
            <w:pPr>
              <w:ind w:right="139"/>
              <w:rPr>
                <w:rFonts w:ascii="Calibri" w:hAnsi="Calibri" w:cs="Calibri"/>
                <w:b/>
                <w:color w:val="FF0000"/>
                <w:sz w:val="20"/>
                <w:szCs w:val="20"/>
              </w:rPr>
            </w:pPr>
          </w:p>
        </w:tc>
        <w:tc>
          <w:tcPr>
            <w:tcW w:w="966" w:type="dxa"/>
            <w:gridSpan w:val="7"/>
          </w:tcPr>
          <w:p w:rsidR="00B608DD" w:rsidRPr="009A23B8" w:rsidRDefault="00B608DD" w:rsidP="00B608DD">
            <w:pPr>
              <w:ind w:right="139"/>
              <w:rPr>
                <w:rFonts w:ascii="Calibri" w:hAnsi="Calibri" w:cs="Calibri"/>
                <w:b/>
                <w:color w:val="FF0000"/>
                <w:sz w:val="20"/>
                <w:szCs w:val="20"/>
              </w:rPr>
            </w:pPr>
          </w:p>
        </w:tc>
      </w:tr>
      <w:tr w:rsidR="006E55BA" w:rsidRPr="009A23B8" w:rsidTr="00F77BF1">
        <w:trPr>
          <w:gridAfter w:val="5"/>
          <w:wAfter w:w="721" w:type="dxa"/>
        </w:trPr>
        <w:tc>
          <w:tcPr>
            <w:tcW w:w="9635" w:type="dxa"/>
            <w:gridSpan w:val="53"/>
            <w:shd w:val="clear" w:color="auto" w:fill="EEECE1"/>
          </w:tcPr>
          <w:p w:rsidR="00B608DD" w:rsidRPr="009D7E1B" w:rsidRDefault="00B608DD" w:rsidP="00B608DD">
            <w:pPr>
              <w:ind w:right="139"/>
              <w:rPr>
                <w:rFonts w:ascii="Calibri" w:hAnsi="Calibri" w:cs="Calibri"/>
                <w:b/>
                <w:sz w:val="20"/>
                <w:szCs w:val="20"/>
              </w:rPr>
            </w:pPr>
            <w:r w:rsidRPr="009D7E1B">
              <w:rPr>
                <w:rFonts w:ascii="Calibri" w:hAnsi="Calibri" w:cs="Calibri"/>
                <w:b/>
                <w:sz w:val="20"/>
                <w:szCs w:val="20"/>
              </w:rPr>
              <w:t>Stručný komentář k celkovému vývoji plnění příjmů kapitoly ve sledovaném období</w:t>
            </w:r>
          </w:p>
        </w:tc>
      </w:tr>
      <w:tr w:rsidR="009D7E1B" w:rsidRPr="009A23B8" w:rsidTr="00F77BF1">
        <w:trPr>
          <w:gridAfter w:val="5"/>
          <w:wAfter w:w="721" w:type="dxa"/>
        </w:trPr>
        <w:tc>
          <w:tcPr>
            <w:tcW w:w="9635" w:type="dxa"/>
            <w:gridSpan w:val="53"/>
            <w:tcBorders>
              <w:top w:val="single" w:sz="6" w:space="0" w:color="auto"/>
              <w:left w:val="single" w:sz="6" w:space="0" w:color="auto"/>
              <w:bottom w:val="single" w:sz="6" w:space="0" w:color="auto"/>
              <w:right w:val="single" w:sz="6" w:space="0" w:color="auto"/>
            </w:tcBorders>
          </w:tcPr>
          <w:p w:rsidR="009D7E1B" w:rsidRPr="009D7E1B" w:rsidRDefault="009D7E1B" w:rsidP="009D7E1B">
            <w:pPr>
              <w:jc w:val="both"/>
              <w:rPr>
                <w:rFonts w:asciiTheme="minorHAnsi" w:hAnsiTheme="minorHAnsi" w:cstheme="minorHAnsi"/>
                <w:sz w:val="20"/>
                <w:szCs w:val="20"/>
              </w:rPr>
            </w:pPr>
            <w:r w:rsidRPr="009D7E1B">
              <w:rPr>
                <w:rFonts w:asciiTheme="minorHAnsi" w:hAnsiTheme="minorHAnsi" w:cstheme="minorHAnsi"/>
                <w:sz w:val="20"/>
                <w:szCs w:val="20"/>
              </w:rPr>
              <w:t xml:space="preserve">Pokuty oddělení památkové péče a Účelové dotace na Program regenerace. </w:t>
            </w:r>
          </w:p>
        </w:tc>
      </w:tr>
      <w:tr w:rsidR="009D7E1B" w:rsidRPr="009A23B8" w:rsidTr="00F77BF1">
        <w:trPr>
          <w:gridAfter w:val="3"/>
          <w:wAfter w:w="268" w:type="dxa"/>
        </w:trPr>
        <w:tc>
          <w:tcPr>
            <w:tcW w:w="448" w:type="dxa"/>
          </w:tcPr>
          <w:p w:rsidR="009D7E1B" w:rsidRPr="009A23B8" w:rsidRDefault="009D7E1B" w:rsidP="009D7E1B">
            <w:pPr>
              <w:ind w:right="139"/>
              <w:rPr>
                <w:rFonts w:ascii="Calibri" w:hAnsi="Calibri" w:cs="Calibri"/>
                <w:b/>
                <w:color w:val="FF0000"/>
                <w:sz w:val="20"/>
                <w:szCs w:val="20"/>
              </w:rPr>
            </w:pPr>
          </w:p>
        </w:tc>
        <w:tc>
          <w:tcPr>
            <w:tcW w:w="456" w:type="dxa"/>
          </w:tcPr>
          <w:p w:rsidR="009D7E1B" w:rsidRPr="009D7E1B" w:rsidRDefault="009D7E1B" w:rsidP="009D7E1B">
            <w:pPr>
              <w:ind w:right="139"/>
              <w:rPr>
                <w:rFonts w:ascii="Calibri" w:hAnsi="Calibri" w:cs="Calibri"/>
                <w:b/>
                <w:sz w:val="20"/>
                <w:szCs w:val="20"/>
              </w:rPr>
            </w:pPr>
          </w:p>
        </w:tc>
        <w:tc>
          <w:tcPr>
            <w:tcW w:w="462" w:type="dxa"/>
            <w:gridSpan w:val="3"/>
          </w:tcPr>
          <w:p w:rsidR="009D7E1B" w:rsidRPr="009D7E1B" w:rsidRDefault="009D7E1B" w:rsidP="009D7E1B">
            <w:pPr>
              <w:ind w:right="139"/>
              <w:rPr>
                <w:rFonts w:ascii="Calibri" w:hAnsi="Calibri" w:cs="Calibri"/>
                <w:b/>
                <w:sz w:val="20"/>
                <w:szCs w:val="20"/>
              </w:rPr>
            </w:pPr>
          </w:p>
        </w:tc>
        <w:tc>
          <w:tcPr>
            <w:tcW w:w="477" w:type="dxa"/>
            <w:gridSpan w:val="2"/>
          </w:tcPr>
          <w:p w:rsidR="009D7E1B" w:rsidRPr="009D7E1B" w:rsidRDefault="009D7E1B" w:rsidP="009D7E1B">
            <w:pPr>
              <w:ind w:right="139"/>
              <w:rPr>
                <w:rFonts w:ascii="Calibri" w:hAnsi="Calibri" w:cs="Calibri"/>
                <w:b/>
                <w:sz w:val="20"/>
                <w:szCs w:val="20"/>
              </w:rPr>
            </w:pPr>
          </w:p>
        </w:tc>
        <w:tc>
          <w:tcPr>
            <w:tcW w:w="431" w:type="dxa"/>
          </w:tcPr>
          <w:p w:rsidR="009D7E1B" w:rsidRPr="009D7E1B" w:rsidRDefault="009D7E1B" w:rsidP="009D7E1B">
            <w:pPr>
              <w:ind w:right="139"/>
              <w:rPr>
                <w:rFonts w:ascii="Calibri" w:hAnsi="Calibri" w:cs="Calibri"/>
                <w:b/>
                <w:sz w:val="20"/>
                <w:szCs w:val="20"/>
              </w:rPr>
            </w:pPr>
          </w:p>
        </w:tc>
        <w:tc>
          <w:tcPr>
            <w:tcW w:w="458" w:type="dxa"/>
            <w:gridSpan w:val="3"/>
          </w:tcPr>
          <w:p w:rsidR="009D7E1B" w:rsidRPr="009D7E1B" w:rsidRDefault="009D7E1B" w:rsidP="009D7E1B">
            <w:pPr>
              <w:ind w:right="139"/>
              <w:rPr>
                <w:rFonts w:ascii="Calibri" w:hAnsi="Calibri" w:cs="Calibri"/>
                <w:b/>
                <w:sz w:val="20"/>
                <w:szCs w:val="20"/>
              </w:rPr>
            </w:pPr>
          </w:p>
        </w:tc>
        <w:tc>
          <w:tcPr>
            <w:tcW w:w="471" w:type="dxa"/>
            <w:gridSpan w:val="2"/>
          </w:tcPr>
          <w:p w:rsidR="009D7E1B" w:rsidRPr="009D7E1B" w:rsidRDefault="009D7E1B" w:rsidP="009D7E1B">
            <w:pPr>
              <w:ind w:right="139"/>
              <w:rPr>
                <w:rFonts w:ascii="Calibri" w:hAnsi="Calibri" w:cs="Calibri"/>
                <w:b/>
                <w:sz w:val="20"/>
                <w:szCs w:val="20"/>
              </w:rPr>
            </w:pPr>
          </w:p>
        </w:tc>
        <w:tc>
          <w:tcPr>
            <w:tcW w:w="460" w:type="dxa"/>
            <w:gridSpan w:val="3"/>
          </w:tcPr>
          <w:p w:rsidR="009D7E1B" w:rsidRPr="009A23B8" w:rsidRDefault="009D7E1B" w:rsidP="009D7E1B">
            <w:pPr>
              <w:ind w:right="139"/>
              <w:rPr>
                <w:rFonts w:ascii="Calibri" w:hAnsi="Calibri" w:cs="Calibri"/>
                <w:b/>
                <w:color w:val="FF0000"/>
                <w:sz w:val="20"/>
                <w:szCs w:val="20"/>
              </w:rPr>
            </w:pPr>
          </w:p>
        </w:tc>
        <w:tc>
          <w:tcPr>
            <w:tcW w:w="583" w:type="dxa"/>
            <w:gridSpan w:val="2"/>
          </w:tcPr>
          <w:p w:rsidR="009D7E1B" w:rsidRPr="009A23B8" w:rsidRDefault="009D7E1B" w:rsidP="009D7E1B">
            <w:pPr>
              <w:ind w:right="139"/>
              <w:rPr>
                <w:rFonts w:ascii="Calibri" w:hAnsi="Calibri" w:cs="Calibri"/>
                <w:b/>
                <w:color w:val="FF0000"/>
                <w:sz w:val="20"/>
                <w:szCs w:val="20"/>
              </w:rPr>
            </w:pPr>
          </w:p>
        </w:tc>
        <w:tc>
          <w:tcPr>
            <w:tcW w:w="799" w:type="dxa"/>
            <w:gridSpan w:val="2"/>
          </w:tcPr>
          <w:p w:rsidR="009D7E1B" w:rsidRPr="009A23B8" w:rsidRDefault="009D7E1B" w:rsidP="009D7E1B">
            <w:pPr>
              <w:ind w:right="139"/>
              <w:rPr>
                <w:rFonts w:ascii="Calibri" w:hAnsi="Calibri" w:cs="Calibri"/>
                <w:b/>
                <w:color w:val="FF0000"/>
                <w:sz w:val="20"/>
                <w:szCs w:val="20"/>
              </w:rPr>
            </w:pPr>
          </w:p>
        </w:tc>
        <w:tc>
          <w:tcPr>
            <w:tcW w:w="461" w:type="dxa"/>
            <w:gridSpan w:val="6"/>
          </w:tcPr>
          <w:p w:rsidR="009D7E1B" w:rsidRPr="009A23B8" w:rsidRDefault="009D7E1B" w:rsidP="009D7E1B">
            <w:pPr>
              <w:ind w:right="139"/>
              <w:rPr>
                <w:rFonts w:ascii="Calibri" w:hAnsi="Calibri" w:cs="Calibri"/>
                <w:b/>
                <w:color w:val="FF0000"/>
                <w:sz w:val="20"/>
                <w:szCs w:val="20"/>
              </w:rPr>
            </w:pPr>
          </w:p>
        </w:tc>
        <w:tc>
          <w:tcPr>
            <w:tcW w:w="458" w:type="dxa"/>
            <w:gridSpan w:val="2"/>
          </w:tcPr>
          <w:p w:rsidR="009D7E1B" w:rsidRPr="009A23B8" w:rsidRDefault="009D7E1B" w:rsidP="009D7E1B">
            <w:pPr>
              <w:ind w:right="139"/>
              <w:rPr>
                <w:rFonts w:ascii="Calibri" w:hAnsi="Calibri" w:cs="Calibri"/>
                <w:b/>
                <w:color w:val="FF0000"/>
                <w:sz w:val="20"/>
                <w:szCs w:val="20"/>
              </w:rPr>
            </w:pPr>
          </w:p>
        </w:tc>
        <w:tc>
          <w:tcPr>
            <w:tcW w:w="459" w:type="dxa"/>
            <w:gridSpan w:val="5"/>
          </w:tcPr>
          <w:p w:rsidR="009D7E1B" w:rsidRPr="009A23B8" w:rsidRDefault="009D7E1B" w:rsidP="009D7E1B">
            <w:pPr>
              <w:ind w:right="139"/>
              <w:rPr>
                <w:rFonts w:ascii="Calibri" w:hAnsi="Calibri" w:cs="Calibri"/>
                <w:b/>
                <w:color w:val="FF0000"/>
                <w:sz w:val="20"/>
                <w:szCs w:val="20"/>
              </w:rPr>
            </w:pPr>
          </w:p>
        </w:tc>
        <w:tc>
          <w:tcPr>
            <w:tcW w:w="463" w:type="dxa"/>
            <w:gridSpan w:val="2"/>
          </w:tcPr>
          <w:p w:rsidR="009D7E1B" w:rsidRPr="009A23B8" w:rsidRDefault="009D7E1B" w:rsidP="009D7E1B">
            <w:pPr>
              <w:ind w:right="139"/>
              <w:rPr>
                <w:rFonts w:ascii="Calibri" w:hAnsi="Calibri" w:cs="Calibri"/>
                <w:b/>
                <w:color w:val="FF0000"/>
                <w:sz w:val="20"/>
                <w:szCs w:val="20"/>
              </w:rPr>
            </w:pPr>
          </w:p>
        </w:tc>
        <w:tc>
          <w:tcPr>
            <w:tcW w:w="459" w:type="dxa"/>
            <w:gridSpan w:val="2"/>
          </w:tcPr>
          <w:p w:rsidR="009D7E1B" w:rsidRPr="009A23B8" w:rsidRDefault="009D7E1B" w:rsidP="009D7E1B">
            <w:pPr>
              <w:ind w:right="139"/>
              <w:rPr>
                <w:rFonts w:ascii="Calibri" w:hAnsi="Calibri" w:cs="Calibri"/>
                <w:b/>
                <w:color w:val="FF0000"/>
                <w:sz w:val="20"/>
                <w:szCs w:val="20"/>
              </w:rPr>
            </w:pPr>
          </w:p>
        </w:tc>
        <w:tc>
          <w:tcPr>
            <w:tcW w:w="458" w:type="dxa"/>
            <w:gridSpan w:val="4"/>
          </w:tcPr>
          <w:p w:rsidR="009D7E1B" w:rsidRPr="009A23B8" w:rsidRDefault="009D7E1B" w:rsidP="009D7E1B">
            <w:pPr>
              <w:ind w:right="139"/>
              <w:rPr>
                <w:rFonts w:ascii="Calibri" w:hAnsi="Calibri" w:cs="Calibri"/>
                <w:b/>
                <w:color w:val="FF0000"/>
                <w:sz w:val="20"/>
                <w:szCs w:val="20"/>
              </w:rPr>
            </w:pPr>
          </w:p>
        </w:tc>
        <w:tc>
          <w:tcPr>
            <w:tcW w:w="458" w:type="dxa"/>
            <w:gridSpan w:val="3"/>
          </w:tcPr>
          <w:p w:rsidR="009D7E1B" w:rsidRPr="009A23B8" w:rsidRDefault="009D7E1B" w:rsidP="009D7E1B">
            <w:pPr>
              <w:ind w:right="139"/>
              <w:rPr>
                <w:rFonts w:ascii="Calibri" w:hAnsi="Calibri" w:cs="Calibri"/>
                <w:b/>
                <w:color w:val="FF0000"/>
                <w:sz w:val="20"/>
                <w:szCs w:val="20"/>
              </w:rPr>
            </w:pPr>
          </w:p>
        </w:tc>
        <w:tc>
          <w:tcPr>
            <w:tcW w:w="458" w:type="dxa"/>
            <w:gridSpan w:val="3"/>
          </w:tcPr>
          <w:p w:rsidR="009D7E1B" w:rsidRPr="009A23B8" w:rsidRDefault="009D7E1B" w:rsidP="009D7E1B">
            <w:pPr>
              <w:ind w:right="139"/>
              <w:rPr>
                <w:rFonts w:ascii="Calibri" w:hAnsi="Calibri" w:cs="Calibri"/>
                <w:b/>
                <w:color w:val="FF0000"/>
                <w:sz w:val="20"/>
                <w:szCs w:val="20"/>
              </w:rPr>
            </w:pPr>
          </w:p>
        </w:tc>
        <w:tc>
          <w:tcPr>
            <w:tcW w:w="458" w:type="dxa"/>
            <w:gridSpan w:val="3"/>
          </w:tcPr>
          <w:p w:rsidR="009D7E1B" w:rsidRPr="009A23B8" w:rsidRDefault="009D7E1B" w:rsidP="009D7E1B">
            <w:pPr>
              <w:ind w:right="139"/>
              <w:rPr>
                <w:rFonts w:ascii="Calibri" w:hAnsi="Calibri" w:cs="Calibri"/>
                <w:b/>
                <w:color w:val="FF0000"/>
                <w:sz w:val="20"/>
                <w:szCs w:val="20"/>
              </w:rPr>
            </w:pPr>
          </w:p>
        </w:tc>
        <w:tc>
          <w:tcPr>
            <w:tcW w:w="911" w:type="dxa"/>
            <w:gridSpan w:val="5"/>
          </w:tcPr>
          <w:p w:rsidR="009D7E1B" w:rsidRPr="009A23B8" w:rsidRDefault="009D7E1B" w:rsidP="009D7E1B">
            <w:pPr>
              <w:ind w:right="139"/>
              <w:rPr>
                <w:rFonts w:ascii="Calibri" w:hAnsi="Calibri" w:cs="Calibri"/>
                <w:b/>
                <w:color w:val="FF0000"/>
                <w:sz w:val="20"/>
                <w:szCs w:val="20"/>
              </w:rPr>
            </w:pPr>
          </w:p>
        </w:tc>
      </w:tr>
      <w:tr w:rsidR="009D7E1B" w:rsidRPr="009A23B8" w:rsidTr="00F77BF1">
        <w:trPr>
          <w:gridAfter w:val="5"/>
          <w:wAfter w:w="721" w:type="dxa"/>
        </w:trPr>
        <w:tc>
          <w:tcPr>
            <w:tcW w:w="9635" w:type="dxa"/>
            <w:gridSpan w:val="53"/>
            <w:shd w:val="clear" w:color="auto" w:fill="EEECE1"/>
          </w:tcPr>
          <w:p w:rsidR="009D7E1B" w:rsidRPr="00F77BF1" w:rsidRDefault="009D7E1B" w:rsidP="00AB1872">
            <w:pPr>
              <w:ind w:right="139"/>
              <w:jc w:val="both"/>
              <w:rPr>
                <w:rFonts w:ascii="Calibri" w:hAnsi="Calibri" w:cs="Calibri"/>
                <w:b/>
                <w:sz w:val="18"/>
                <w:szCs w:val="18"/>
              </w:rPr>
            </w:pPr>
            <w:r w:rsidRPr="00F77BF1">
              <w:rPr>
                <w:rFonts w:ascii="Calibri" w:hAnsi="Calibri" w:cs="Calibri"/>
                <w:b/>
                <w:sz w:val="18"/>
                <w:szCs w:val="18"/>
              </w:rPr>
              <w:t>Komentář k položkám (akcím), které vykázaly abnormalitu v řádném pln</w:t>
            </w:r>
            <w:r w:rsidR="00AB1872" w:rsidRPr="00F77BF1">
              <w:rPr>
                <w:rFonts w:ascii="Calibri" w:hAnsi="Calibri" w:cs="Calibri"/>
                <w:b/>
                <w:sz w:val="18"/>
                <w:szCs w:val="18"/>
              </w:rPr>
              <w:t>ění příjmů rozpočtu kapitoly ve </w:t>
            </w:r>
            <w:r w:rsidRPr="00F77BF1">
              <w:rPr>
                <w:rFonts w:ascii="Calibri" w:hAnsi="Calibri" w:cs="Calibri"/>
                <w:b/>
                <w:sz w:val="18"/>
                <w:szCs w:val="18"/>
              </w:rPr>
              <w:t>sledovaném období</w:t>
            </w:r>
          </w:p>
        </w:tc>
      </w:tr>
      <w:tr w:rsidR="009D7E1B" w:rsidRPr="009A23B8" w:rsidTr="00F77BF1">
        <w:trPr>
          <w:gridAfter w:val="5"/>
          <w:wAfter w:w="721" w:type="dxa"/>
        </w:trPr>
        <w:tc>
          <w:tcPr>
            <w:tcW w:w="911"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9D7E1B" w:rsidRPr="009D7E1B" w:rsidRDefault="009D7E1B" w:rsidP="009D7E1B">
            <w:pPr>
              <w:ind w:right="139"/>
              <w:jc w:val="center"/>
              <w:rPr>
                <w:rFonts w:ascii="Calibri" w:hAnsi="Calibri" w:cs="Calibri"/>
                <w:b/>
                <w:sz w:val="18"/>
                <w:szCs w:val="18"/>
              </w:rPr>
            </w:pPr>
            <w:r w:rsidRPr="009D7E1B">
              <w:rPr>
                <w:rFonts w:ascii="Calibri" w:hAnsi="Calibri" w:cs="Calibri"/>
                <w:b/>
                <w:sz w:val="18"/>
                <w:szCs w:val="18"/>
              </w:rPr>
              <w:t>Oddíl, paragraf</w:t>
            </w:r>
          </w:p>
        </w:tc>
        <w:tc>
          <w:tcPr>
            <w:tcW w:w="932"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9D7E1B" w:rsidRPr="009D7E1B" w:rsidRDefault="009D7E1B" w:rsidP="009D7E1B">
            <w:pPr>
              <w:ind w:right="139"/>
              <w:jc w:val="center"/>
              <w:rPr>
                <w:rFonts w:ascii="Calibri" w:hAnsi="Calibri" w:cs="Calibri"/>
                <w:b/>
                <w:sz w:val="18"/>
                <w:szCs w:val="18"/>
              </w:rPr>
            </w:pPr>
            <w:r w:rsidRPr="009D7E1B">
              <w:rPr>
                <w:rFonts w:ascii="Calibri" w:hAnsi="Calibri" w:cs="Calibri"/>
                <w:b/>
                <w:sz w:val="18"/>
                <w:szCs w:val="18"/>
              </w:rPr>
              <w:t>Položka</w:t>
            </w:r>
          </w:p>
        </w:tc>
        <w:tc>
          <w:tcPr>
            <w:tcW w:w="1418" w:type="dxa"/>
            <w:gridSpan w:val="7"/>
            <w:tcBorders>
              <w:top w:val="single" w:sz="4" w:space="0" w:color="auto"/>
              <w:left w:val="single" w:sz="4" w:space="0" w:color="auto"/>
              <w:bottom w:val="single" w:sz="4" w:space="0" w:color="auto"/>
              <w:right w:val="single" w:sz="4" w:space="0" w:color="auto"/>
            </w:tcBorders>
            <w:shd w:val="clear" w:color="auto" w:fill="FFFF00"/>
            <w:vAlign w:val="center"/>
          </w:tcPr>
          <w:p w:rsidR="009D7E1B" w:rsidRPr="009D7E1B" w:rsidRDefault="009D7E1B" w:rsidP="009D7E1B">
            <w:pPr>
              <w:ind w:right="139"/>
              <w:jc w:val="center"/>
              <w:rPr>
                <w:rFonts w:ascii="Calibri" w:hAnsi="Calibri" w:cs="Calibri"/>
                <w:b/>
                <w:sz w:val="18"/>
                <w:szCs w:val="18"/>
              </w:rPr>
            </w:pPr>
            <w:r w:rsidRPr="009D7E1B">
              <w:rPr>
                <w:rFonts w:ascii="Calibri" w:hAnsi="Calibri" w:cs="Calibri"/>
                <w:b/>
                <w:sz w:val="18"/>
                <w:szCs w:val="18"/>
              </w:rPr>
              <w:t>Organizace</w:t>
            </w:r>
          </w:p>
        </w:tc>
        <w:tc>
          <w:tcPr>
            <w:tcW w:w="985"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9D7E1B" w:rsidRPr="009D7E1B" w:rsidRDefault="009D7E1B" w:rsidP="009D7E1B">
            <w:pPr>
              <w:ind w:right="139"/>
              <w:jc w:val="center"/>
              <w:rPr>
                <w:rFonts w:ascii="Calibri" w:hAnsi="Calibri" w:cs="Calibri"/>
                <w:b/>
                <w:sz w:val="18"/>
                <w:szCs w:val="18"/>
              </w:rPr>
            </w:pPr>
            <w:r w:rsidRPr="009D7E1B">
              <w:rPr>
                <w:rFonts w:ascii="Calibri" w:hAnsi="Calibri" w:cs="Calibri"/>
                <w:b/>
                <w:sz w:val="18"/>
                <w:szCs w:val="18"/>
              </w:rPr>
              <w:t>Účelový zdroj</w:t>
            </w:r>
          </w:p>
        </w:tc>
        <w:tc>
          <w:tcPr>
            <w:tcW w:w="853"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9D7E1B" w:rsidRPr="009D7E1B" w:rsidRDefault="00F77BF1" w:rsidP="009D7E1B">
            <w:pPr>
              <w:ind w:right="139"/>
              <w:jc w:val="center"/>
              <w:rPr>
                <w:rFonts w:ascii="Calibri" w:hAnsi="Calibri" w:cs="Calibri"/>
                <w:b/>
                <w:sz w:val="18"/>
                <w:szCs w:val="18"/>
              </w:rPr>
            </w:pPr>
            <w:r>
              <w:rPr>
                <w:rFonts w:ascii="Calibri" w:hAnsi="Calibri" w:cs="Calibri"/>
                <w:b/>
                <w:sz w:val="18"/>
                <w:szCs w:val="18"/>
              </w:rPr>
              <w:t>UR</w:t>
            </w:r>
            <w:r w:rsidR="009D7E1B" w:rsidRPr="009D7E1B">
              <w:rPr>
                <w:rFonts w:ascii="Calibri" w:hAnsi="Calibri" w:cs="Calibri"/>
                <w:b/>
                <w:sz w:val="18"/>
                <w:szCs w:val="18"/>
              </w:rPr>
              <w:t xml:space="preserve"> v tis. Kč</w:t>
            </w:r>
          </w:p>
        </w:tc>
        <w:tc>
          <w:tcPr>
            <w:tcW w:w="1134" w:type="dxa"/>
            <w:gridSpan w:val="10"/>
            <w:tcBorders>
              <w:top w:val="single" w:sz="4" w:space="0" w:color="auto"/>
              <w:left w:val="single" w:sz="4" w:space="0" w:color="auto"/>
              <w:bottom w:val="single" w:sz="4" w:space="0" w:color="auto"/>
              <w:right w:val="single" w:sz="4" w:space="0" w:color="auto"/>
            </w:tcBorders>
            <w:shd w:val="clear" w:color="auto" w:fill="FFFF00"/>
            <w:vAlign w:val="center"/>
          </w:tcPr>
          <w:p w:rsidR="009D7E1B" w:rsidRPr="009D7E1B" w:rsidRDefault="009D7E1B" w:rsidP="009D7E1B">
            <w:pPr>
              <w:ind w:right="139"/>
              <w:jc w:val="center"/>
              <w:rPr>
                <w:rFonts w:ascii="Calibri" w:hAnsi="Calibri" w:cs="Calibri"/>
                <w:b/>
                <w:sz w:val="18"/>
                <w:szCs w:val="18"/>
              </w:rPr>
            </w:pPr>
            <w:r w:rsidRPr="009D7E1B">
              <w:rPr>
                <w:rFonts w:ascii="Calibri" w:hAnsi="Calibri" w:cs="Calibri"/>
                <w:b/>
                <w:sz w:val="18"/>
                <w:szCs w:val="18"/>
              </w:rPr>
              <w:t>Skutečnost v tis. Kč</w:t>
            </w:r>
          </w:p>
        </w:tc>
        <w:tc>
          <w:tcPr>
            <w:tcW w:w="3402" w:type="dxa"/>
            <w:gridSpan w:val="22"/>
            <w:tcBorders>
              <w:top w:val="single" w:sz="4" w:space="0" w:color="auto"/>
              <w:left w:val="single" w:sz="4" w:space="0" w:color="auto"/>
              <w:bottom w:val="single" w:sz="4" w:space="0" w:color="auto"/>
              <w:right w:val="single" w:sz="4" w:space="0" w:color="auto"/>
            </w:tcBorders>
            <w:shd w:val="clear" w:color="auto" w:fill="FFFF00"/>
            <w:vAlign w:val="center"/>
          </w:tcPr>
          <w:p w:rsidR="009D7E1B" w:rsidRPr="009D7E1B" w:rsidRDefault="009D7E1B" w:rsidP="009D7E1B">
            <w:pPr>
              <w:ind w:right="139"/>
              <w:jc w:val="center"/>
              <w:rPr>
                <w:rFonts w:ascii="Calibri" w:hAnsi="Calibri" w:cs="Calibri"/>
                <w:b/>
                <w:sz w:val="18"/>
                <w:szCs w:val="18"/>
              </w:rPr>
            </w:pPr>
            <w:r w:rsidRPr="009D7E1B">
              <w:rPr>
                <w:rFonts w:ascii="Calibri" w:hAnsi="Calibri" w:cs="Calibri"/>
                <w:b/>
                <w:sz w:val="18"/>
                <w:szCs w:val="18"/>
              </w:rPr>
              <w:t>Komentář</w:t>
            </w:r>
          </w:p>
        </w:tc>
      </w:tr>
      <w:tr w:rsidR="009D7E1B" w:rsidRPr="009A23B8" w:rsidTr="00F77BF1">
        <w:trPr>
          <w:gridAfter w:val="5"/>
          <w:wAfter w:w="721" w:type="dxa"/>
        </w:trPr>
        <w:tc>
          <w:tcPr>
            <w:tcW w:w="911" w:type="dxa"/>
            <w:gridSpan w:val="3"/>
            <w:tcBorders>
              <w:top w:val="single" w:sz="4" w:space="0" w:color="auto"/>
              <w:left w:val="single" w:sz="4" w:space="0" w:color="auto"/>
              <w:bottom w:val="single" w:sz="4" w:space="0" w:color="auto"/>
              <w:right w:val="single" w:sz="4" w:space="0" w:color="auto"/>
            </w:tcBorders>
            <w:vAlign w:val="center"/>
          </w:tcPr>
          <w:p w:rsidR="009D7E1B" w:rsidRPr="009D7E1B" w:rsidRDefault="00AB1872" w:rsidP="009D7E1B">
            <w:pPr>
              <w:jc w:val="center"/>
              <w:rPr>
                <w:rFonts w:asciiTheme="minorHAnsi" w:hAnsiTheme="minorHAnsi" w:cstheme="minorHAnsi"/>
                <w:sz w:val="18"/>
              </w:rPr>
            </w:pPr>
            <w:r>
              <w:rPr>
                <w:rFonts w:asciiTheme="minorHAnsi" w:hAnsiTheme="minorHAnsi" w:cstheme="minorHAnsi"/>
                <w:sz w:val="18"/>
              </w:rPr>
              <w:t>3636</w:t>
            </w:r>
          </w:p>
        </w:tc>
        <w:tc>
          <w:tcPr>
            <w:tcW w:w="932" w:type="dxa"/>
            <w:gridSpan w:val="4"/>
            <w:tcBorders>
              <w:top w:val="single" w:sz="4" w:space="0" w:color="auto"/>
              <w:left w:val="single" w:sz="4" w:space="0" w:color="auto"/>
              <w:bottom w:val="single" w:sz="4" w:space="0" w:color="auto"/>
              <w:right w:val="single" w:sz="4" w:space="0" w:color="auto"/>
            </w:tcBorders>
            <w:vAlign w:val="center"/>
          </w:tcPr>
          <w:p w:rsidR="009D7E1B" w:rsidRPr="009D7E1B" w:rsidRDefault="009D7E1B" w:rsidP="009D7E1B">
            <w:pPr>
              <w:jc w:val="center"/>
              <w:rPr>
                <w:rFonts w:asciiTheme="minorHAnsi" w:hAnsiTheme="minorHAnsi" w:cstheme="minorHAnsi"/>
                <w:sz w:val="18"/>
              </w:rPr>
            </w:pPr>
            <w:r w:rsidRPr="009D7E1B">
              <w:rPr>
                <w:rFonts w:asciiTheme="minorHAnsi" w:hAnsiTheme="minorHAnsi" w:cstheme="minorHAnsi"/>
                <w:sz w:val="18"/>
              </w:rPr>
              <w:t>2324</w:t>
            </w:r>
          </w:p>
        </w:tc>
        <w:tc>
          <w:tcPr>
            <w:tcW w:w="1418" w:type="dxa"/>
            <w:gridSpan w:val="7"/>
            <w:tcBorders>
              <w:top w:val="single" w:sz="4" w:space="0" w:color="auto"/>
              <w:left w:val="single" w:sz="4" w:space="0" w:color="auto"/>
              <w:bottom w:val="single" w:sz="4" w:space="0" w:color="auto"/>
              <w:right w:val="single" w:sz="4" w:space="0" w:color="auto"/>
            </w:tcBorders>
            <w:vAlign w:val="center"/>
          </w:tcPr>
          <w:p w:rsidR="009D7E1B" w:rsidRPr="009D7E1B" w:rsidRDefault="009D7E1B" w:rsidP="009D7E1B">
            <w:pPr>
              <w:jc w:val="center"/>
              <w:rPr>
                <w:rFonts w:asciiTheme="minorHAnsi" w:hAnsiTheme="minorHAnsi" w:cstheme="minorHAnsi"/>
                <w:sz w:val="18"/>
              </w:rPr>
            </w:pPr>
            <w:r w:rsidRPr="009D7E1B">
              <w:rPr>
                <w:rFonts w:asciiTheme="minorHAnsi" w:hAnsiTheme="minorHAnsi" w:cstheme="minorHAnsi"/>
                <w:sz w:val="18"/>
              </w:rPr>
              <w:t>0620000000000</w:t>
            </w:r>
          </w:p>
        </w:tc>
        <w:tc>
          <w:tcPr>
            <w:tcW w:w="985" w:type="dxa"/>
            <w:gridSpan w:val="4"/>
            <w:tcBorders>
              <w:top w:val="single" w:sz="4" w:space="0" w:color="auto"/>
              <w:left w:val="single" w:sz="4" w:space="0" w:color="auto"/>
              <w:bottom w:val="single" w:sz="4" w:space="0" w:color="auto"/>
              <w:right w:val="single" w:sz="4" w:space="0" w:color="auto"/>
            </w:tcBorders>
            <w:vAlign w:val="center"/>
          </w:tcPr>
          <w:p w:rsidR="009D7E1B" w:rsidRPr="009D7E1B" w:rsidRDefault="009D7E1B" w:rsidP="009D7E1B">
            <w:pPr>
              <w:jc w:val="center"/>
              <w:rPr>
                <w:rFonts w:asciiTheme="minorHAnsi" w:hAnsiTheme="minorHAnsi" w:cstheme="minorHAnsi"/>
                <w:sz w:val="18"/>
              </w:rPr>
            </w:pPr>
          </w:p>
        </w:tc>
        <w:tc>
          <w:tcPr>
            <w:tcW w:w="853" w:type="dxa"/>
            <w:gridSpan w:val="3"/>
            <w:tcBorders>
              <w:top w:val="single" w:sz="4" w:space="0" w:color="auto"/>
              <w:left w:val="single" w:sz="4" w:space="0" w:color="auto"/>
              <w:bottom w:val="single" w:sz="4" w:space="0" w:color="auto"/>
              <w:right w:val="single" w:sz="4" w:space="0" w:color="auto"/>
            </w:tcBorders>
            <w:vAlign w:val="center"/>
          </w:tcPr>
          <w:p w:rsidR="009D7E1B" w:rsidRPr="009D7E1B" w:rsidRDefault="00AB1872" w:rsidP="009D7E1B">
            <w:pPr>
              <w:jc w:val="right"/>
              <w:rPr>
                <w:rFonts w:asciiTheme="minorHAnsi" w:hAnsiTheme="minorHAnsi" w:cstheme="minorHAnsi"/>
                <w:sz w:val="18"/>
              </w:rPr>
            </w:pPr>
            <w:r>
              <w:rPr>
                <w:rFonts w:asciiTheme="minorHAnsi" w:hAnsiTheme="minorHAnsi" w:cstheme="minorHAnsi"/>
                <w:sz w:val="18"/>
              </w:rPr>
              <w:t>50</w:t>
            </w:r>
            <w:r w:rsidR="009D7E1B" w:rsidRPr="009D7E1B">
              <w:rPr>
                <w:rFonts w:asciiTheme="minorHAnsi" w:hAnsiTheme="minorHAnsi" w:cstheme="minorHAnsi"/>
                <w:sz w:val="18"/>
              </w:rPr>
              <w:t>,00</w:t>
            </w:r>
          </w:p>
        </w:tc>
        <w:tc>
          <w:tcPr>
            <w:tcW w:w="1134" w:type="dxa"/>
            <w:gridSpan w:val="10"/>
            <w:tcBorders>
              <w:top w:val="single" w:sz="4" w:space="0" w:color="auto"/>
              <w:left w:val="single" w:sz="4" w:space="0" w:color="auto"/>
              <w:bottom w:val="single" w:sz="4" w:space="0" w:color="auto"/>
              <w:right w:val="single" w:sz="4" w:space="0" w:color="auto"/>
            </w:tcBorders>
            <w:vAlign w:val="center"/>
          </w:tcPr>
          <w:p w:rsidR="009D7E1B" w:rsidRPr="009D7E1B" w:rsidRDefault="00AB1872" w:rsidP="009D7E1B">
            <w:pPr>
              <w:jc w:val="right"/>
              <w:rPr>
                <w:rFonts w:asciiTheme="minorHAnsi" w:hAnsiTheme="minorHAnsi" w:cstheme="minorHAnsi"/>
                <w:sz w:val="18"/>
              </w:rPr>
            </w:pPr>
            <w:r>
              <w:rPr>
                <w:rFonts w:asciiTheme="minorHAnsi" w:hAnsiTheme="minorHAnsi" w:cstheme="minorHAnsi"/>
                <w:sz w:val="18"/>
              </w:rPr>
              <w:t>149,00</w:t>
            </w:r>
          </w:p>
        </w:tc>
        <w:tc>
          <w:tcPr>
            <w:tcW w:w="3402" w:type="dxa"/>
            <w:gridSpan w:val="22"/>
            <w:tcBorders>
              <w:top w:val="single" w:sz="4" w:space="0" w:color="auto"/>
              <w:left w:val="single" w:sz="4" w:space="0" w:color="auto"/>
              <w:bottom w:val="single" w:sz="4" w:space="0" w:color="auto"/>
              <w:right w:val="single" w:sz="4" w:space="0" w:color="auto"/>
            </w:tcBorders>
            <w:vAlign w:val="center"/>
          </w:tcPr>
          <w:p w:rsidR="009D7E1B" w:rsidRPr="009D7E1B" w:rsidRDefault="00AB1872" w:rsidP="009D7E1B">
            <w:pPr>
              <w:rPr>
                <w:rFonts w:asciiTheme="minorHAnsi" w:hAnsiTheme="minorHAnsi" w:cstheme="minorHAnsi"/>
                <w:b/>
                <w:sz w:val="18"/>
                <w:u w:val="single"/>
              </w:rPr>
            </w:pPr>
            <w:r>
              <w:rPr>
                <w:rFonts w:asciiTheme="minorHAnsi" w:hAnsiTheme="minorHAnsi" w:cstheme="minorHAnsi"/>
                <w:b/>
                <w:sz w:val="18"/>
                <w:u w:val="single"/>
              </w:rPr>
              <w:t>Přijaté</w:t>
            </w:r>
            <w:r w:rsidR="009D7E1B" w:rsidRPr="009D7E1B">
              <w:rPr>
                <w:rFonts w:asciiTheme="minorHAnsi" w:hAnsiTheme="minorHAnsi" w:cstheme="minorHAnsi"/>
                <w:b/>
                <w:sz w:val="18"/>
                <w:u w:val="single"/>
              </w:rPr>
              <w:t xml:space="preserve"> ne</w:t>
            </w:r>
            <w:r>
              <w:rPr>
                <w:rFonts w:asciiTheme="minorHAnsi" w:hAnsiTheme="minorHAnsi" w:cstheme="minorHAnsi"/>
                <w:b/>
                <w:sz w:val="18"/>
                <w:u w:val="single"/>
              </w:rPr>
              <w:t>investiční příspěvky a </w:t>
            </w:r>
            <w:r w:rsidR="009D7E1B" w:rsidRPr="009D7E1B">
              <w:rPr>
                <w:rFonts w:asciiTheme="minorHAnsi" w:hAnsiTheme="minorHAnsi" w:cstheme="minorHAnsi"/>
                <w:b/>
                <w:sz w:val="18"/>
                <w:u w:val="single"/>
              </w:rPr>
              <w:t>náhrady</w:t>
            </w:r>
          </w:p>
          <w:p w:rsidR="009D7E1B" w:rsidRPr="009D7E1B" w:rsidRDefault="009D7E1B" w:rsidP="009D7E1B">
            <w:pPr>
              <w:jc w:val="both"/>
              <w:rPr>
                <w:rFonts w:asciiTheme="minorHAnsi" w:hAnsiTheme="minorHAnsi" w:cstheme="minorHAnsi"/>
                <w:sz w:val="18"/>
              </w:rPr>
            </w:pPr>
            <w:r>
              <w:rPr>
                <w:rFonts w:asciiTheme="minorHAnsi" w:hAnsiTheme="minorHAnsi" w:cstheme="minorHAnsi"/>
                <w:sz w:val="18"/>
              </w:rPr>
              <w:t>Pokuty oddělení památkové péče.</w:t>
            </w:r>
          </w:p>
        </w:tc>
      </w:tr>
      <w:tr w:rsidR="009D7E1B" w:rsidRPr="009A23B8" w:rsidTr="00F77BF1">
        <w:tc>
          <w:tcPr>
            <w:tcW w:w="448" w:type="dxa"/>
          </w:tcPr>
          <w:p w:rsidR="009D7E1B" w:rsidRPr="009A23B8" w:rsidRDefault="009D7E1B" w:rsidP="009D7E1B">
            <w:pPr>
              <w:ind w:right="139"/>
              <w:rPr>
                <w:rFonts w:ascii="Calibri" w:hAnsi="Calibri" w:cs="Calibri"/>
                <w:b/>
                <w:color w:val="FF0000"/>
                <w:sz w:val="20"/>
                <w:szCs w:val="20"/>
              </w:rPr>
            </w:pPr>
          </w:p>
        </w:tc>
        <w:tc>
          <w:tcPr>
            <w:tcW w:w="463" w:type="dxa"/>
            <w:gridSpan w:val="2"/>
          </w:tcPr>
          <w:p w:rsidR="009D7E1B" w:rsidRPr="009A23B8" w:rsidRDefault="009D7E1B" w:rsidP="009D7E1B">
            <w:pPr>
              <w:ind w:right="139"/>
              <w:rPr>
                <w:rFonts w:ascii="Calibri" w:hAnsi="Calibri" w:cs="Calibri"/>
                <w:b/>
                <w:color w:val="FF0000"/>
                <w:sz w:val="20"/>
                <w:szCs w:val="20"/>
              </w:rPr>
            </w:pPr>
          </w:p>
        </w:tc>
        <w:tc>
          <w:tcPr>
            <w:tcW w:w="455" w:type="dxa"/>
            <w:gridSpan w:val="2"/>
          </w:tcPr>
          <w:p w:rsidR="009D7E1B" w:rsidRPr="009A23B8" w:rsidRDefault="009D7E1B" w:rsidP="009D7E1B">
            <w:pPr>
              <w:ind w:right="139"/>
              <w:rPr>
                <w:rFonts w:ascii="Calibri" w:hAnsi="Calibri" w:cs="Calibri"/>
                <w:b/>
                <w:color w:val="FF0000"/>
                <w:sz w:val="20"/>
                <w:szCs w:val="20"/>
              </w:rPr>
            </w:pPr>
          </w:p>
        </w:tc>
        <w:tc>
          <w:tcPr>
            <w:tcW w:w="160" w:type="dxa"/>
          </w:tcPr>
          <w:p w:rsidR="009D7E1B" w:rsidRPr="009A23B8" w:rsidRDefault="009D7E1B" w:rsidP="009D7E1B">
            <w:pPr>
              <w:ind w:right="139"/>
              <w:rPr>
                <w:rFonts w:ascii="Calibri" w:hAnsi="Calibri" w:cs="Calibri"/>
                <w:b/>
                <w:color w:val="FF0000"/>
                <w:sz w:val="20"/>
                <w:szCs w:val="20"/>
              </w:rPr>
            </w:pPr>
          </w:p>
        </w:tc>
        <w:tc>
          <w:tcPr>
            <w:tcW w:w="748" w:type="dxa"/>
            <w:gridSpan w:val="2"/>
          </w:tcPr>
          <w:p w:rsidR="009D7E1B" w:rsidRPr="009A23B8" w:rsidRDefault="009D7E1B" w:rsidP="009D7E1B">
            <w:pPr>
              <w:ind w:right="139"/>
              <w:rPr>
                <w:rFonts w:ascii="Calibri" w:hAnsi="Calibri" w:cs="Calibri"/>
                <w:b/>
                <w:color w:val="FF0000"/>
                <w:sz w:val="20"/>
                <w:szCs w:val="20"/>
              </w:rPr>
            </w:pPr>
          </w:p>
        </w:tc>
        <w:tc>
          <w:tcPr>
            <w:tcW w:w="987" w:type="dxa"/>
            <w:gridSpan w:val="6"/>
          </w:tcPr>
          <w:p w:rsidR="009D7E1B" w:rsidRPr="009A23B8" w:rsidRDefault="009D7E1B" w:rsidP="009D7E1B">
            <w:pPr>
              <w:ind w:right="139"/>
              <w:rPr>
                <w:rFonts w:ascii="Calibri" w:hAnsi="Calibri" w:cs="Calibri"/>
                <w:b/>
                <w:color w:val="FF0000"/>
                <w:sz w:val="20"/>
                <w:szCs w:val="20"/>
              </w:rPr>
            </w:pPr>
          </w:p>
        </w:tc>
        <w:tc>
          <w:tcPr>
            <w:tcW w:w="221" w:type="dxa"/>
          </w:tcPr>
          <w:p w:rsidR="009D7E1B" w:rsidRPr="009A23B8" w:rsidRDefault="009D7E1B" w:rsidP="009D7E1B">
            <w:pPr>
              <w:ind w:right="139"/>
              <w:rPr>
                <w:rFonts w:ascii="Calibri" w:hAnsi="Calibri" w:cs="Calibri"/>
                <w:b/>
                <w:color w:val="FF0000"/>
                <w:sz w:val="20"/>
                <w:szCs w:val="20"/>
              </w:rPr>
            </w:pPr>
          </w:p>
        </w:tc>
        <w:tc>
          <w:tcPr>
            <w:tcW w:w="1679" w:type="dxa"/>
            <w:gridSpan w:val="7"/>
          </w:tcPr>
          <w:p w:rsidR="009D7E1B" w:rsidRPr="009A23B8" w:rsidRDefault="009D7E1B" w:rsidP="009D7E1B">
            <w:pPr>
              <w:ind w:right="139"/>
              <w:rPr>
                <w:rFonts w:ascii="Calibri" w:hAnsi="Calibri" w:cs="Calibri"/>
                <w:b/>
                <w:color w:val="FF0000"/>
                <w:sz w:val="20"/>
                <w:szCs w:val="20"/>
              </w:rPr>
            </w:pPr>
          </w:p>
        </w:tc>
        <w:tc>
          <w:tcPr>
            <w:tcW w:w="160" w:type="dxa"/>
            <w:gridSpan w:val="2"/>
          </w:tcPr>
          <w:p w:rsidR="009D7E1B" w:rsidRPr="009A23B8" w:rsidRDefault="009D7E1B" w:rsidP="009D7E1B">
            <w:pPr>
              <w:ind w:right="139"/>
              <w:rPr>
                <w:rFonts w:ascii="Calibri" w:hAnsi="Calibri" w:cs="Calibri"/>
                <w:b/>
                <w:color w:val="FF0000"/>
                <w:sz w:val="20"/>
                <w:szCs w:val="20"/>
              </w:rPr>
            </w:pPr>
          </w:p>
        </w:tc>
        <w:tc>
          <w:tcPr>
            <w:tcW w:w="888" w:type="dxa"/>
            <w:gridSpan w:val="6"/>
          </w:tcPr>
          <w:p w:rsidR="009D7E1B" w:rsidRPr="009A23B8" w:rsidRDefault="009D7E1B" w:rsidP="009D7E1B">
            <w:pPr>
              <w:ind w:right="139"/>
              <w:rPr>
                <w:rFonts w:ascii="Calibri" w:hAnsi="Calibri" w:cs="Calibri"/>
                <w:b/>
                <w:color w:val="FF0000"/>
                <w:sz w:val="20"/>
                <w:szCs w:val="20"/>
              </w:rPr>
            </w:pPr>
          </w:p>
        </w:tc>
        <w:tc>
          <w:tcPr>
            <w:tcW w:w="160" w:type="dxa"/>
            <w:gridSpan w:val="2"/>
          </w:tcPr>
          <w:p w:rsidR="009D7E1B" w:rsidRPr="009A23B8" w:rsidRDefault="009D7E1B" w:rsidP="009D7E1B">
            <w:pPr>
              <w:ind w:right="139"/>
              <w:rPr>
                <w:rFonts w:ascii="Calibri" w:hAnsi="Calibri" w:cs="Calibri"/>
                <w:b/>
                <w:color w:val="FF0000"/>
                <w:sz w:val="20"/>
                <w:szCs w:val="20"/>
              </w:rPr>
            </w:pPr>
          </w:p>
        </w:tc>
        <w:tc>
          <w:tcPr>
            <w:tcW w:w="1107" w:type="dxa"/>
            <w:gridSpan w:val="6"/>
          </w:tcPr>
          <w:p w:rsidR="009D7E1B" w:rsidRPr="009A23B8" w:rsidRDefault="009D7E1B" w:rsidP="009D7E1B">
            <w:pPr>
              <w:ind w:right="139"/>
              <w:rPr>
                <w:rFonts w:ascii="Calibri" w:hAnsi="Calibri" w:cs="Calibri"/>
                <w:b/>
                <w:color w:val="FF0000"/>
                <w:sz w:val="20"/>
                <w:szCs w:val="20"/>
              </w:rPr>
            </w:pPr>
          </w:p>
        </w:tc>
        <w:tc>
          <w:tcPr>
            <w:tcW w:w="160" w:type="dxa"/>
            <w:gridSpan w:val="2"/>
          </w:tcPr>
          <w:p w:rsidR="009D7E1B" w:rsidRPr="009A23B8" w:rsidRDefault="009D7E1B" w:rsidP="009D7E1B">
            <w:pPr>
              <w:ind w:right="139"/>
              <w:rPr>
                <w:rFonts w:ascii="Calibri" w:hAnsi="Calibri" w:cs="Calibri"/>
                <w:b/>
                <w:color w:val="FF0000"/>
                <w:sz w:val="20"/>
                <w:szCs w:val="20"/>
              </w:rPr>
            </w:pPr>
          </w:p>
        </w:tc>
        <w:tc>
          <w:tcPr>
            <w:tcW w:w="458" w:type="dxa"/>
            <w:gridSpan w:val="3"/>
          </w:tcPr>
          <w:p w:rsidR="009D7E1B" w:rsidRPr="009A23B8" w:rsidRDefault="009D7E1B" w:rsidP="009D7E1B">
            <w:pPr>
              <w:ind w:right="139"/>
              <w:rPr>
                <w:rFonts w:ascii="Calibri" w:hAnsi="Calibri" w:cs="Calibri"/>
                <w:b/>
                <w:color w:val="FF0000"/>
                <w:sz w:val="20"/>
                <w:szCs w:val="20"/>
              </w:rPr>
            </w:pPr>
          </w:p>
        </w:tc>
        <w:tc>
          <w:tcPr>
            <w:tcW w:w="458" w:type="dxa"/>
            <w:gridSpan w:val="3"/>
          </w:tcPr>
          <w:p w:rsidR="009D7E1B" w:rsidRPr="009A23B8" w:rsidRDefault="009D7E1B" w:rsidP="009D7E1B">
            <w:pPr>
              <w:ind w:right="139"/>
              <w:rPr>
                <w:rFonts w:ascii="Calibri" w:hAnsi="Calibri" w:cs="Calibri"/>
                <w:b/>
                <w:color w:val="FF0000"/>
                <w:sz w:val="20"/>
                <w:szCs w:val="20"/>
              </w:rPr>
            </w:pPr>
          </w:p>
        </w:tc>
        <w:tc>
          <w:tcPr>
            <w:tcW w:w="458" w:type="dxa"/>
            <w:gridSpan w:val="3"/>
          </w:tcPr>
          <w:p w:rsidR="009D7E1B" w:rsidRPr="009A23B8" w:rsidRDefault="009D7E1B" w:rsidP="009D7E1B">
            <w:pPr>
              <w:ind w:right="139"/>
              <w:rPr>
                <w:rFonts w:ascii="Calibri" w:hAnsi="Calibri" w:cs="Calibri"/>
                <w:b/>
                <w:color w:val="FF0000"/>
                <w:sz w:val="20"/>
                <w:szCs w:val="20"/>
              </w:rPr>
            </w:pPr>
          </w:p>
        </w:tc>
        <w:tc>
          <w:tcPr>
            <w:tcW w:w="458" w:type="dxa"/>
            <w:gridSpan w:val="3"/>
          </w:tcPr>
          <w:p w:rsidR="009D7E1B" w:rsidRPr="009A23B8" w:rsidRDefault="009D7E1B" w:rsidP="009D7E1B">
            <w:pPr>
              <w:ind w:right="139"/>
              <w:rPr>
                <w:rFonts w:ascii="Calibri" w:hAnsi="Calibri" w:cs="Calibri"/>
                <w:b/>
                <w:color w:val="FF0000"/>
                <w:sz w:val="20"/>
                <w:szCs w:val="20"/>
              </w:rPr>
            </w:pPr>
          </w:p>
        </w:tc>
        <w:tc>
          <w:tcPr>
            <w:tcW w:w="250" w:type="dxa"/>
            <w:gridSpan w:val="2"/>
          </w:tcPr>
          <w:p w:rsidR="009D7E1B" w:rsidRPr="009A23B8" w:rsidRDefault="009D7E1B" w:rsidP="009D7E1B">
            <w:pPr>
              <w:ind w:right="139"/>
              <w:rPr>
                <w:rFonts w:ascii="Calibri" w:hAnsi="Calibri" w:cs="Calibri"/>
                <w:b/>
                <w:color w:val="FF0000"/>
                <w:sz w:val="20"/>
                <w:szCs w:val="20"/>
              </w:rPr>
            </w:pPr>
          </w:p>
        </w:tc>
        <w:tc>
          <w:tcPr>
            <w:tcW w:w="466" w:type="dxa"/>
            <w:gridSpan w:val="2"/>
          </w:tcPr>
          <w:p w:rsidR="009D7E1B" w:rsidRPr="009A23B8" w:rsidRDefault="009D7E1B" w:rsidP="009D7E1B">
            <w:pPr>
              <w:ind w:right="139"/>
              <w:rPr>
                <w:rFonts w:ascii="Calibri" w:hAnsi="Calibri" w:cs="Calibri"/>
                <w:b/>
                <w:color w:val="FF0000"/>
                <w:sz w:val="20"/>
                <w:szCs w:val="20"/>
              </w:rPr>
            </w:pPr>
          </w:p>
        </w:tc>
        <w:tc>
          <w:tcPr>
            <w:tcW w:w="172" w:type="dxa"/>
            <w:gridSpan w:val="2"/>
          </w:tcPr>
          <w:p w:rsidR="009D7E1B" w:rsidRPr="009A23B8" w:rsidRDefault="009D7E1B" w:rsidP="009D7E1B">
            <w:pPr>
              <w:ind w:right="139"/>
              <w:rPr>
                <w:rFonts w:ascii="Calibri" w:hAnsi="Calibri" w:cs="Calibri"/>
                <w:b/>
                <w:color w:val="FF0000"/>
                <w:sz w:val="20"/>
                <w:szCs w:val="20"/>
              </w:rPr>
            </w:pPr>
          </w:p>
        </w:tc>
      </w:tr>
      <w:tr w:rsidR="009D7E1B" w:rsidRPr="009A23B8" w:rsidTr="00F77BF1">
        <w:trPr>
          <w:gridAfter w:val="5"/>
          <w:wAfter w:w="721" w:type="dxa"/>
        </w:trPr>
        <w:tc>
          <w:tcPr>
            <w:tcW w:w="9635" w:type="dxa"/>
            <w:gridSpan w:val="53"/>
            <w:shd w:val="clear" w:color="auto" w:fill="F79646"/>
          </w:tcPr>
          <w:p w:rsidR="009D7E1B" w:rsidRPr="009D7E1B" w:rsidRDefault="009D7E1B" w:rsidP="009D7E1B">
            <w:pPr>
              <w:ind w:right="139"/>
              <w:rPr>
                <w:rFonts w:ascii="Calibri" w:hAnsi="Calibri" w:cs="Calibri"/>
                <w:b/>
                <w:sz w:val="20"/>
                <w:szCs w:val="20"/>
                <w:u w:val="single"/>
              </w:rPr>
            </w:pPr>
            <w:r w:rsidRPr="009D7E1B">
              <w:rPr>
                <w:rFonts w:ascii="Calibri" w:hAnsi="Calibri" w:cs="Calibri"/>
                <w:b/>
                <w:sz w:val="20"/>
                <w:szCs w:val="20"/>
                <w:u w:val="single"/>
              </w:rPr>
              <w:t>Rozbor čerpání výdajů rozpočtu kapitoly</w:t>
            </w:r>
          </w:p>
        </w:tc>
      </w:tr>
      <w:tr w:rsidR="009D7E1B" w:rsidRPr="009A23B8" w:rsidTr="00F77BF1">
        <w:trPr>
          <w:gridAfter w:val="1"/>
          <w:wAfter w:w="55" w:type="dxa"/>
        </w:trPr>
        <w:tc>
          <w:tcPr>
            <w:tcW w:w="448" w:type="dxa"/>
          </w:tcPr>
          <w:p w:rsidR="009D7E1B" w:rsidRPr="009A23B8" w:rsidRDefault="009D7E1B" w:rsidP="009D7E1B">
            <w:pPr>
              <w:ind w:right="139"/>
              <w:rPr>
                <w:rFonts w:ascii="Calibri" w:hAnsi="Calibri" w:cs="Calibri"/>
                <w:b/>
                <w:color w:val="FF0000"/>
                <w:sz w:val="20"/>
                <w:szCs w:val="20"/>
              </w:rPr>
            </w:pPr>
          </w:p>
        </w:tc>
        <w:tc>
          <w:tcPr>
            <w:tcW w:w="456" w:type="dxa"/>
          </w:tcPr>
          <w:p w:rsidR="009D7E1B" w:rsidRPr="009A23B8" w:rsidRDefault="009D7E1B" w:rsidP="009D7E1B">
            <w:pPr>
              <w:ind w:right="139"/>
              <w:rPr>
                <w:rFonts w:ascii="Calibri" w:hAnsi="Calibri" w:cs="Calibri"/>
                <w:b/>
                <w:color w:val="FF0000"/>
                <w:sz w:val="20"/>
                <w:szCs w:val="20"/>
              </w:rPr>
            </w:pPr>
          </w:p>
        </w:tc>
        <w:tc>
          <w:tcPr>
            <w:tcW w:w="462" w:type="dxa"/>
            <w:gridSpan w:val="3"/>
          </w:tcPr>
          <w:p w:rsidR="009D7E1B" w:rsidRPr="009A23B8" w:rsidRDefault="009D7E1B" w:rsidP="009D7E1B">
            <w:pPr>
              <w:ind w:right="139"/>
              <w:rPr>
                <w:rFonts w:ascii="Calibri" w:hAnsi="Calibri" w:cs="Calibri"/>
                <w:b/>
                <w:color w:val="FF0000"/>
                <w:sz w:val="20"/>
                <w:szCs w:val="20"/>
              </w:rPr>
            </w:pPr>
          </w:p>
        </w:tc>
        <w:tc>
          <w:tcPr>
            <w:tcW w:w="1027" w:type="dxa"/>
            <w:gridSpan w:val="4"/>
          </w:tcPr>
          <w:p w:rsidR="009D7E1B" w:rsidRPr="009A23B8" w:rsidRDefault="009D7E1B" w:rsidP="009D7E1B">
            <w:pPr>
              <w:ind w:right="139"/>
              <w:rPr>
                <w:rFonts w:ascii="Calibri" w:hAnsi="Calibri" w:cs="Calibri"/>
                <w:b/>
                <w:color w:val="FF0000"/>
                <w:sz w:val="20"/>
                <w:szCs w:val="20"/>
              </w:rPr>
            </w:pPr>
          </w:p>
        </w:tc>
        <w:tc>
          <w:tcPr>
            <w:tcW w:w="160" w:type="dxa"/>
          </w:tcPr>
          <w:p w:rsidR="009D7E1B" w:rsidRPr="009A23B8" w:rsidRDefault="009D7E1B" w:rsidP="009D7E1B">
            <w:pPr>
              <w:ind w:right="139"/>
              <w:rPr>
                <w:rFonts w:ascii="Calibri" w:hAnsi="Calibri" w:cs="Calibri"/>
                <w:b/>
                <w:color w:val="FF0000"/>
                <w:sz w:val="20"/>
                <w:szCs w:val="20"/>
              </w:rPr>
            </w:pPr>
          </w:p>
        </w:tc>
        <w:tc>
          <w:tcPr>
            <w:tcW w:w="459" w:type="dxa"/>
            <w:gridSpan w:val="2"/>
          </w:tcPr>
          <w:p w:rsidR="009D7E1B" w:rsidRPr="009A23B8" w:rsidRDefault="009D7E1B" w:rsidP="009D7E1B">
            <w:pPr>
              <w:ind w:right="139"/>
              <w:rPr>
                <w:rFonts w:ascii="Calibri" w:hAnsi="Calibri" w:cs="Calibri"/>
                <w:b/>
                <w:color w:val="FF0000"/>
                <w:sz w:val="20"/>
                <w:szCs w:val="20"/>
              </w:rPr>
            </w:pPr>
          </w:p>
        </w:tc>
        <w:tc>
          <w:tcPr>
            <w:tcW w:w="470" w:type="dxa"/>
            <w:gridSpan w:val="3"/>
          </w:tcPr>
          <w:p w:rsidR="009D7E1B" w:rsidRPr="009A23B8" w:rsidRDefault="009D7E1B" w:rsidP="009D7E1B">
            <w:pPr>
              <w:ind w:right="139"/>
              <w:rPr>
                <w:rFonts w:ascii="Calibri" w:hAnsi="Calibri" w:cs="Calibri"/>
                <w:b/>
                <w:color w:val="FF0000"/>
                <w:sz w:val="20"/>
                <w:szCs w:val="20"/>
              </w:rPr>
            </w:pPr>
          </w:p>
        </w:tc>
        <w:tc>
          <w:tcPr>
            <w:tcW w:w="459" w:type="dxa"/>
            <w:gridSpan w:val="2"/>
          </w:tcPr>
          <w:p w:rsidR="009D7E1B" w:rsidRPr="009A23B8" w:rsidRDefault="009D7E1B" w:rsidP="009D7E1B">
            <w:pPr>
              <w:ind w:right="139"/>
              <w:rPr>
                <w:rFonts w:ascii="Calibri" w:hAnsi="Calibri" w:cs="Calibri"/>
                <w:b/>
                <w:color w:val="FF0000"/>
                <w:sz w:val="20"/>
                <w:szCs w:val="20"/>
              </w:rPr>
            </w:pPr>
          </w:p>
        </w:tc>
        <w:tc>
          <w:tcPr>
            <w:tcW w:w="583" w:type="dxa"/>
            <w:gridSpan w:val="2"/>
          </w:tcPr>
          <w:p w:rsidR="009D7E1B" w:rsidRPr="009A23B8" w:rsidRDefault="009D7E1B" w:rsidP="009D7E1B">
            <w:pPr>
              <w:ind w:right="139"/>
              <w:rPr>
                <w:rFonts w:ascii="Calibri" w:hAnsi="Calibri" w:cs="Calibri"/>
                <w:b/>
                <w:color w:val="FF0000"/>
                <w:sz w:val="20"/>
                <w:szCs w:val="20"/>
              </w:rPr>
            </w:pPr>
          </w:p>
        </w:tc>
        <w:tc>
          <w:tcPr>
            <w:tcW w:w="737" w:type="dxa"/>
            <w:gridSpan w:val="4"/>
          </w:tcPr>
          <w:p w:rsidR="009D7E1B" w:rsidRPr="009A23B8" w:rsidRDefault="009D7E1B" w:rsidP="009D7E1B">
            <w:pPr>
              <w:ind w:right="139"/>
              <w:rPr>
                <w:rFonts w:ascii="Calibri" w:hAnsi="Calibri" w:cs="Calibri"/>
                <w:b/>
                <w:color w:val="FF0000"/>
                <w:sz w:val="20"/>
                <w:szCs w:val="20"/>
              </w:rPr>
            </w:pPr>
          </w:p>
        </w:tc>
        <w:tc>
          <w:tcPr>
            <w:tcW w:w="458" w:type="dxa"/>
            <w:gridSpan w:val="4"/>
          </w:tcPr>
          <w:p w:rsidR="009D7E1B" w:rsidRPr="009A23B8" w:rsidRDefault="009D7E1B" w:rsidP="009D7E1B">
            <w:pPr>
              <w:ind w:right="139"/>
              <w:rPr>
                <w:rFonts w:ascii="Calibri" w:hAnsi="Calibri" w:cs="Calibri"/>
                <w:b/>
                <w:color w:val="FF0000"/>
                <w:sz w:val="20"/>
                <w:szCs w:val="20"/>
              </w:rPr>
            </w:pPr>
          </w:p>
        </w:tc>
        <w:tc>
          <w:tcPr>
            <w:tcW w:w="458" w:type="dxa"/>
            <w:gridSpan w:val="2"/>
          </w:tcPr>
          <w:p w:rsidR="009D7E1B" w:rsidRPr="009D7E1B" w:rsidRDefault="009D7E1B" w:rsidP="009D7E1B">
            <w:pPr>
              <w:ind w:right="139"/>
              <w:rPr>
                <w:rFonts w:ascii="Calibri" w:hAnsi="Calibri" w:cs="Calibri"/>
                <w:b/>
                <w:sz w:val="20"/>
                <w:szCs w:val="20"/>
              </w:rPr>
            </w:pPr>
          </w:p>
        </w:tc>
        <w:tc>
          <w:tcPr>
            <w:tcW w:w="459" w:type="dxa"/>
            <w:gridSpan w:val="5"/>
          </w:tcPr>
          <w:p w:rsidR="009D7E1B" w:rsidRPr="009D7E1B" w:rsidRDefault="009D7E1B" w:rsidP="009D7E1B">
            <w:pPr>
              <w:ind w:right="139"/>
              <w:rPr>
                <w:rFonts w:ascii="Calibri" w:hAnsi="Calibri" w:cs="Calibri"/>
                <w:b/>
                <w:sz w:val="20"/>
                <w:szCs w:val="20"/>
              </w:rPr>
            </w:pPr>
          </w:p>
        </w:tc>
        <w:tc>
          <w:tcPr>
            <w:tcW w:w="463" w:type="dxa"/>
            <w:gridSpan w:val="2"/>
          </w:tcPr>
          <w:p w:rsidR="009D7E1B" w:rsidRPr="009D7E1B" w:rsidRDefault="009D7E1B" w:rsidP="009D7E1B">
            <w:pPr>
              <w:ind w:right="139"/>
              <w:rPr>
                <w:rFonts w:ascii="Calibri" w:hAnsi="Calibri" w:cs="Calibri"/>
                <w:b/>
                <w:sz w:val="20"/>
                <w:szCs w:val="20"/>
              </w:rPr>
            </w:pPr>
          </w:p>
        </w:tc>
        <w:tc>
          <w:tcPr>
            <w:tcW w:w="459" w:type="dxa"/>
            <w:gridSpan w:val="3"/>
          </w:tcPr>
          <w:p w:rsidR="009D7E1B" w:rsidRPr="009D7E1B" w:rsidRDefault="009D7E1B" w:rsidP="009D7E1B">
            <w:pPr>
              <w:ind w:right="139"/>
              <w:rPr>
                <w:rFonts w:ascii="Calibri" w:hAnsi="Calibri" w:cs="Calibri"/>
                <w:b/>
                <w:sz w:val="20"/>
                <w:szCs w:val="20"/>
              </w:rPr>
            </w:pPr>
          </w:p>
        </w:tc>
        <w:tc>
          <w:tcPr>
            <w:tcW w:w="458" w:type="dxa"/>
            <w:gridSpan w:val="3"/>
          </w:tcPr>
          <w:p w:rsidR="009D7E1B" w:rsidRPr="009D7E1B" w:rsidRDefault="009D7E1B" w:rsidP="009D7E1B">
            <w:pPr>
              <w:ind w:right="139"/>
              <w:rPr>
                <w:rFonts w:ascii="Calibri" w:hAnsi="Calibri" w:cs="Calibri"/>
                <w:b/>
                <w:sz w:val="20"/>
                <w:szCs w:val="20"/>
              </w:rPr>
            </w:pPr>
          </w:p>
        </w:tc>
        <w:tc>
          <w:tcPr>
            <w:tcW w:w="458" w:type="dxa"/>
            <w:gridSpan w:val="3"/>
          </w:tcPr>
          <w:p w:rsidR="009D7E1B" w:rsidRPr="009D7E1B" w:rsidRDefault="009D7E1B" w:rsidP="009D7E1B">
            <w:pPr>
              <w:ind w:right="139"/>
              <w:rPr>
                <w:rFonts w:ascii="Calibri" w:hAnsi="Calibri" w:cs="Calibri"/>
                <w:b/>
                <w:sz w:val="20"/>
                <w:szCs w:val="20"/>
              </w:rPr>
            </w:pPr>
          </w:p>
        </w:tc>
        <w:tc>
          <w:tcPr>
            <w:tcW w:w="458" w:type="dxa"/>
            <w:gridSpan w:val="3"/>
          </w:tcPr>
          <w:p w:rsidR="009D7E1B" w:rsidRPr="009A23B8" w:rsidRDefault="009D7E1B" w:rsidP="009D7E1B">
            <w:pPr>
              <w:ind w:right="139"/>
              <w:rPr>
                <w:rFonts w:ascii="Calibri" w:hAnsi="Calibri" w:cs="Calibri"/>
                <w:b/>
                <w:color w:val="FF0000"/>
                <w:sz w:val="20"/>
                <w:szCs w:val="20"/>
              </w:rPr>
            </w:pPr>
          </w:p>
        </w:tc>
        <w:tc>
          <w:tcPr>
            <w:tcW w:w="458" w:type="dxa"/>
            <w:gridSpan w:val="3"/>
          </w:tcPr>
          <w:p w:rsidR="009D7E1B" w:rsidRPr="009A23B8" w:rsidRDefault="009D7E1B" w:rsidP="009D7E1B">
            <w:pPr>
              <w:ind w:right="139"/>
              <w:rPr>
                <w:rFonts w:ascii="Calibri" w:hAnsi="Calibri" w:cs="Calibri"/>
                <w:b/>
                <w:color w:val="FF0000"/>
                <w:sz w:val="20"/>
                <w:szCs w:val="20"/>
              </w:rPr>
            </w:pPr>
          </w:p>
        </w:tc>
        <w:tc>
          <w:tcPr>
            <w:tcW w:w="911" w:type="dxa"/>
            <w:gridSpan w:val="6"/>
          </w:tcPr>
          <w:p w:rsidR="009D7E1B" w:rsidRPr="009A23B8" w:rsidRDefault="009D7E1B" w:rsidP="009D7E1B">
            <w:pPr>
              <w:ind w:right="139"/>
              <w:rPr>
                <w:rFonts w:ascii="Calibri" w:hAnsi="Calibri" w:cs="Calibri"/>
                <w:b/>
                <w:color w:val="FF0000"/>
                <w:sz w:val="20"/>
                <w:szCs w:val="20"/>
              </w:rPr>
            </w:pPr>
          </w:p>
        </w:tc>
      </w:tr>
      <w:tr w:rsidR="009D7E1B" w:rsidRPr="009A23B8" w:rsidTr="00F77BF1">
        <w:trPr>
          <w:gridAfter w:val="5"/>
          <w:wAfter w:w="721" w:type="dxa"/>
        </w:trPr>
        <w:tc>
          <w:tcPr>
            <w:tcW w:w="2393" w:type="dxa"/>
            <w:gridSpan w:val="9"/>
            <w:tcBorders>
              <w:top w:val="single" w:sz="4" w:space="0" w:color="auto"/>
              <w:left w:val="single" w:sz="4" w:space="0" w:color="auto"/>
              <w:bottom w:val="single" w:sz="4" w:space="0" w:color="auto"/>
              <w:right w:val="single" w:sz="4" w:space="0" w:color="auto"/>
            </w:tcBorders>
            <w:shd w:val="clear" w:color="auto" w:fill="FFFF00"/>
            <w:vAlign w:val="center"/>
          </w:tcPr>
          <w:p w:rsidR="009D7E1B" w:rsidRPr="009D7E1B" w:rsidRDefault="009D7E1B" w:rsidP="009D7E1B">
            <w:pPr>
              <w:ind w:right="139"/>
              <w:jc w:val="center"/>
              <w:rPr>
                <w:rFonts w:ascii="Calibri" w:hAnsi="Calibri" w:cs="Calibri"/>
                <w:b/>
                <w:sz w:val="18"/>
                <w:szCs w:val="18"/>
              </w:rPr>
            </w:pPr>
            <w:r w:rsidRPr="009D7E1B">
              <w:rPr>
                <w:rFonts w:ascii="Calibri" w:hAnsi="Calibri" w:cs="Calibri"/>
                <w:b/>
                <w:sz w:val="18"/>
                <w:szCs w:val="18"/>
              </w:rPr>
              <w:t>Rozpočet upravený v tis. Kč</w:t>
            </w:r>
          </w:p>
        </w:tc>
        <w:tc>
          <w:tcPr>
            <w:tcW w:w="1853" w:type="dxa"/>
            <w:gridSpan w:val="9"/>
            <w:tcBorders>
              <w:top w:val="single" w:sz="4" w:space="0" w:color="auto"/>
              <w:left w:val="single" w:sz="4" w:space="0" w:color="auto"/>
              <w:bottom w:val="single" w:sz="4" w:space="0" w:color="auto"/>
              <w:right w:val="single" w:sz="4" w:space="0" w:color="auto"/>
            </w:tcBorders>
            <w:shd w:val="clear" w:color="auto" w:fill="FFFF00"/>
            <w:vAlign w:val="center"/>
          </w:tcPr>
          <w:p w:rsidR="009D7E1B" w:rsidRPr="009D7E1B" w:rsidRDefault="009D7E1B" w:rsidP="009D7E1B">
            <w:pPr>
              <w:ind w:right="139"/>
              <w:jc w:val="center"/>
              <w:rPr>
                <w:rFonts w:ascii="Calibri" w:hAnsi="Calibri" w:cs="Calibri"/>
                <w:b/>
                <w:sz w:val="18"/>
                <w:szCs w:val="18"/>
              </w:rPr>
            </w:pPr>
            <w:r w:rsidRPr="009D7E1B">
              <w:rPr>
                <w:rFonts w:ascii="Calibri" w:hAnsi="Calibri" w:cs="Calibri"/>
                <w:b/>
                <w:sz w:val="18"/>
                <w:szCs w:val="18"/>
              </w:rPr>
              <w:t>Skutečnost v tis. Kč</w:t>
            </w:r>
          </w:p>
        </w:tc>
        <w:tc>
          <w:tcPr>
            <w:tcW w:w="1260" w:type="dxa"/>
            <w:gridSpan w:val="8"/>
            <w:tcBorders>
              <w:top w:val="single" w:sz="4" w:space="0" w:color="auto"/>
              <w:left w:val="single" w:sz="4" w:space="0" w:color="auto"/>
              <w:bottom w:val="single" w:sz="4" w:space="0" w:color="auto"/>
              <w:right w:val="single" w:sz="4" w:space="0" w:color="auto"/>
            </w:tcBorders>
            <w:shd w:val="clear" w:color="auto" w:fill="FFFF00"/>
            <w:vAlign w:val="center"/>
          </w:tcPr>
          <w:p w:rsidR="009D7E1B" w:rsidRPr="009D7E1B" w:rsidRDefault="009D7E1B" w:rsidP="009D7E1B">
            <w:pPr>
              <w:ind w:right="139"/>
              <w:jc w:val="center"/>
              <w:rPr>
                <w:rFonts w:ascii="Calibri" w:hAnsi="Calibri" w:cs="Calibri"/>
                <w:b/>
                <w:sz w:val="18"/>
                <w:szCs w:val="18"/>
              </w:rPr>
            </w:pPr>
            <w:r w:rsidRPr="009D7E1B">
              <w:rPr>
                <w:rFonts w:ascii="Calibri" w:hAnsi="Calibri" w:cs="Calibri"/>
                <w:b/>
                <w:sz w:val="18"/>
                <w:szCs w:val="18"/>
              </w:rPr>
              <w:t>SK/RU v %</w:t>
            </w:r>
          </w:p>
        </w:tc>
        <w:tc>
          <w:tcPr>
            <w:tcW w:w="4129" w:type="dxa"/>
            <w:gridSpan w:val="27"/>
            <w:tcBorders>
              <w:top w:val="single" w:sz="4" w:space="0" w:color="auto"/>
              <w:left w:val="single" w:sz="4" w:space="0" w:color="auto"/>
              <w:bottom w:val="single" w:sz="4" w:space="0" w:color="auto"/>
              <w:right w:val="single" w:sz="4" w:space="0" w:color="auto"/>
            </w:tcBorders>
            <w:shd w:val="clear" w:color="auto" w:fill="FFFF00"/>
            <w:vAlign w:val="center"/>
          </w:tcPr>
          <w:p w:rsidR="009D7E1B" w:rsidRPr="009D7E1B" w:rsidRDefault="009D7E1B" w:rsidP="009D7E1B">
            <w:pPr>
              <w:ind w:right="139"/>
              <w:jc w:val="center"/>
              <w:rPr>
                <w:rFonts w:ascii="Calibri" w:hAnsi="Calibri" w:cs="Calibri"/>
                <w:b/>
                <w:sz w:val="18"/>
                <w:szCs w:val="18"/>
              </w:rPr>
            </w:pPr>
            <w:r w:rsidRPr="009D7E1B">
              <w:rPr>
                <w:rFonts w:ascii="Calibri" w:hAnsi="Calibri" w:cs="Calibri"/>
                <w:b/>
                <w:sz w:val="18"/>
                <w:szCs w:val="18"/>
              </w:rPr>
              <w:t>Komentář</w:t>
            </w:r>
          </w:p>
        </w:tc>
      </w:tr>
      <w:tr w:rsidR="009D7E1B" w:rsidRPr="009A23B8" w:rsidTr="00F77BF1">
        <w:trPr>
          <w:gridAfter w:val="5"/>
          <w:wAfter w:w="721" w:type="dxa"/>
        </w:trPr>
        <w:tc>
          <w:tcPr>
            <w:tcW w:w="2393" w:type="dxa"/>
            <w:gridSpan w:val="9"/>
            <w:tcBorders>
              <w:top w:val="single" w:sz="4" w:space="0" w:color="auto"/>
              <w:left w:val="single" w:sz="4" w:space="0" w:color="auto"/>
              <w:bottom w:val="single" w:sz="4" w:space="0" w:color="auto"/>
              <w:right w:val="single" w:sz="4" w:space="0" w:color="auto"/>
            </w:tcBorders>
          </w:tcPr>
          <w:p w:rsidR="009D7E1B" w:rsidRPr="009D7E1B" w:rsidRDefault="00AB1872" w:rsidP="009D7E1B">
            <w:pPr>
              <w:jc w:val="right"/>
              <w:rPr>
                <w:rFonts w:ascii="Calibri" w:hAnsi="Calibri" w:cs="Calibri"/>
                <w:b/>
                <w:sz w:val="18"/>
                <w:szCs w:val="18"/>
              </w:rPr>
            </w:pPr>
            <w:r>
              <w:rPr>
                <w:rFonts w:ascii="Calibri" w:hAnsi="Calibri" w:cs="Calibri"/>
                <w:b/>
                <w:sz w:val="18"/>
                <w:szCs w:val="18"/>
              </w:rPr>
              <w:t>5 254,74</w:t>
            </w:r>
          </w:p>
        </w:tc>
        <w:tc>
          <w:tcPr>
            <w:tcW w:w="1853" w:type="dxa"/>
            <w:gridSpan w:val="9"/>
            <w:tcBorders>
              <w:top w:val="single" w:sz="4" w:space="0" w:color="auto"/>
              <w:left w:val="single" w:sz="4" w:space="0" w:color="auto"/>
              <w:bottom w:val="single" w:sz="4" w:space="0" w:color="auto"/>
              <w:right w:val="single" w:sz="4" w:space="0" w:color="auto"/>
            </w:tcBorders>
          </w:tcPr>
          <w:p w:rsidR="009D7E1B" w:rsidRPr="009D7E1B" w:rsidRDefault="00AB1872" w:rsidP="009D7E1B">
            <w:pPr>
              <w:jc w:val="right"/>
              <w:rPr>
                <w:rFonts w:ascii="Calibri" w:hAnsi="Calibri" w:cs="Calibri"/>
                <w:b/>
                <w:sz w:val="18"/>
                <w:szCs w:val="18"/>
              </w:rPr>
            </w:pPr>
            <w:r>
              <w:rPr>
                <w:rFonts w:ascii="Calibri" w:hAnsi="Calibri" w:cs="Calibri"/>
                <w:b/>
                <w:sz w:val="18"/>
                <w:szCs w:val="18"/>
              </w:rPr>
              <w:t>2 727,61</w:t>
            </w:r>
          </w:p>
        </w:tc>
        <w:tc>
          <w:tcPr>
            <w:tcW w:w="1260" w:type="dxa"/>
            <w:gridSpan w:val="8"/>
            <w:tcBorders>
              <w:top w:val="single" w:sz="4" w:space="0" w:color="auto"/>
              <w:left w:val="single" w:sz="4" w:space="0" w:color="auto"/>
              <w:bottom w:val="single" w:sz="4" w:space="0" w:color="auto"/>
              <w:right w:val="single" w:sz="4" w:space="0" w:color="auto"/>
            </w:tcBorders>
          </w:tcPr>
          <w:p w:rsidR="009D7E1B" w:rsidRPr="009D7E1B" w:rsidRDefault="00AB1872" w:rsidP="00F77BF1">
            <w:pPr>
              <w:jc w:val="center"/>
              <w:rPr>
                <w:rFonts w:ascii="Calibri" w:hAnsi="Calibri" w:cs="Calibri"/>
                <w:b/>
                <w:sz w:val="18"/>
                <w:szCs w:val="18"/>
              </w:rPr>
            </w:pPr>
            <w:r>
              <w:rPr>
                <w:rFonts w:ascii="Calibri" w:hAnsi="Calibri" w:cs="Calibri"/>
                <w:b/>
                <w:sz w:val="18"/>
                <w:szCs w:val="18"/>
              </w:rPr>
              <w:t>51,91</w:t>
            </w:r>
          </w:p>
        </w:tc>
        <w:tc>
          <w:tcPr>
            <w:tcW w:w="4129" w:type="dxa"/>
            <w:gridSpan w:val="27"/>
            <w:tcBorders>
              <w:top w:val="single" w:sz="4" w:space="0" w:color="auto"/>
              <w:left w:val="single" w:sz="4" w:space="0" w:color="auto"/>
              <w:bottom w:val="single" w:sz="4" w:space="0" w:color="auto"/>
              <w:right w:val="single" w:sz="4" w:space="0" w:color="auto"/>
            </w:tcBorders>
          </w:tcPr>
          <w:p w:rsidR="009D7E1B" w:rsidRPr="009D7E1B" w:rsidRDefault="009D7E1B" w:rsidP="009D7E1B">
            <w:pPr>
              <w:ind w:right="139"/>
              <w:rPr>
                <w:rFonts w:ascii="Calibri" w:hAnsi="Calibri" w:cs="Calibri"/>
                <w:b/>
                <w:sz w:val="18"/>
                <w:szCs w:val="18"/>
              </w:rPr>
            </w:pPr>
            <w:r w:rsidRPr="009D7E1B">
              <w:rPr>
                <w:rFonts w:ascii="Calibri" w:hAnsi="Calibri" w:cs="Calibri"/>
                <w:b/>
                <w:sz w:val="18"/>
                <w:szCs w:val="18"/>
              </w:rPr>
              <w:t>Výdaje před konsolidací</w:t>
            </w:r>
          </w:p>
        </w:tc>
      </w:tr>
      <w:tr w:rsidR="00AB1872" w:rsidRPr="009A23B8" w:rsidTr="00F77BF1">
        <w:trPr>
          <w:gridAfter w:val="5"/>
          <w:wAfter w:w="721" w:type="dxa"/>
        </w:trPr>
        <w:tc>
          <w:tcPr>
            <w:tcW w:w="2393" w:type="dxa"/>
            <w:gridSpan w:val="9"/>
            <w:tcBorders>
              <w:top w:val="single" w:sz="4" w:space="0" w:color="auto"/>
              <w:left w:val="single" w:sz="4" w:space="0" w:color="auto"/>
              <w:bottom w:val="single" w:sz="4" w:space="0" w:color="auto"/>
              <w:right w:val="single" w:sz="4" w:space="0" w:color="auto"/>
            </w:tcBorders>
          </w:tcPr>
          <w:p w:rsidR="00AB1872" w:rsidRPr="009D7E1B" w:rsidRDefault="00AB1872" w:rsidP="00AB1872">
            <w:pPr>
              <w:jc w:val="right"/>
              <w:rPr>
                <w:rFonts w:ascii="Calibri" w:hAnsi="Calibri" w:cs="Calibri"/>
                <w:b/>
                <w:sz w:val="18"/>
                <w:szCs w:val="18"/>
              </w:rPr>
            </w:pPr>
            <w:r>
              <w:rPr>
                <w:rFonts w:ascii="Calibri" w:hAnsi="Calibri" w:cs="Calibri"/>
                <w:b/>
                <w:sz w:val="18"/>
                <w:szCs w:val="18"/>
              </w:rPr>
              <w:t>5 254,74</w:t>
            </w:r>
          </w:p>
        </w:tc>
        <w:tc>
          <w:tcPr>
            <w:tcW w:w="1853" w:type="dxa"/>
            <w:gridSpan w:val="9"/>
            <w:tcBorders>
              <w:top w:val="single" w:sz="4" w:space="0" w:color="auto"/>
              <w:left w:val="single" w:sz="4" w:space="0" w:color="auto"/>
              <w:bottom w:val="single" w:sz="4" w:space="0" w:color="auto"/>
              <w:right w:val="single" w:sz="4" w:space="0" w:color="auto"/>
            </w:tcBorders>
          </w:tcPr>
          <w:p w:rsidR="00AB1872" w:rsidRPr="009D7E1B" w:rsidRDefault="00AB1872" w:rsidP="00AB1872">
            <w:pPr>
              <w:jc w:val="right"/>
              <w:rPr>
                <w:rFonts w:ascii="Calibri" w:hAnsi="Calibri" w:cs="Calibri"/>
                <w:b/>
                <w:sz w:val="18"/>
                <w:szCs w:val="18"/>
              </w:rPr>
            </w:pPr>
            <w:r>
              <w:rPr>
                <w:rFonts w:ascii="Calibri" w:hAnsi="Calibri" w:cs="Calibri"/>
                <w:b/>
                <w:sz w:val="18"/>
                <w:szCs w:val="18"/>
              </w:rPr>
              <w:t>2 727,61</w:t>
            </w:r>
          </w:p>
        </w:tc>
        <w:tc>
          <w:tcPr>
            <w:tcW w:w="1260" w:type="dxa"/>
            <w:gridSpan w:val="8"/>
            <w:tcBorders>
              <w:top w:val="single" w:sz="4" w:space="0" w:color="auto"/>
              <w:left w:val="single" w:sz="4" w:space="0" w:color="auto"/>
              <w:bottom w:val="single" w:sz="4" w:space="0" w:color="auto"/>
              <w:right w:val="single" w:sz="4" w:space="0" w:color="auto"/>
            </w:tcBorders>
          </w:tcPr>
          <w:p w:rsidR="00AB1872" w:rsidRPr="009D7E1B" w:rsidRDefault="00AB1872" w:rsidP="00F77BF1">
            <w:pPr>
              <w:jc w:val="center"/>
              <w:rPr>
                <w:rFonts w:ascii="Calibri" w:hAnsi="Calibri" w:cs="Calibri"/>
                <w:b/>
                <w:sz w:val="18"/>
                <w:szCs w:val="18"/>
              </w:rPr>
            </w:pPr>
            <w:r>
              <w:rPr>
                <w:rFonts w:ascii="Calibri" w:hAnsi="Calibri" w:cs="Calibri"/>
                <w:b/>
                <w:sz w:val="18"/>
                <w:szCs w:val="18"/>
              </w:rPr>
              <w:t>51,91</w:t>
            </w:r>
          </w:p>
        </w:tc>
        <w:tc>
          <w:tcPr>
            <w:tcW w:w="4129" w:type="dxa"/>
            <w:gridSpan w:val="27"/>
            <w:tcBorders>
              <w:top w:val="single" w:sz="4" w:space="0" w:color="auto"/>
              <w:left w:val="single" w:sz="4" w:space="0" w:color="auto"/>
              <w:bottom w:val="single" w:sz="4" w:space="0" w:color="auto"/>
              <w:right w:val="single" w:sz="4" w:space="0" w:color="auto"/>
            </w:tcBorders>
          </w:tcPr>
          <w:p w:rsidR="00AB1872" w:rsidRPr="009D7E1B" w:rsidRDefault="00AB1872" w:rsidP="00AB1872">
            <w:pPr>
              <w:ind w:right="139"/>
              <w:rPr>
                <w:rFonts w:ascii="Calibri" w:hAnsi="Calibri" w:cs="Calibri"/>
                <w:b/>
                <w:sz w:val="18"/>
                <w:szCs w:val="18"/>
              </w:rPr>
            </w:pPr>
            <w:r w:rsidRPr="009D7E1B">
              <w:rPr>
                <w:rFonts w:ascii="Calibri" w:hAnsi="Calibri" w:cs="Calibri"/>
                <w:b/>
                <w:sz w:val="18"/>
                <w:szCs w:val="18"/>
              </w:rPr>
              <w:t>Výdaje po konsolidaci</w:t>
            </w:r>
          </w:p>
        </w:tc>
      </w:tr>
      <w:tr w:rsidR="009D7E1B" w:rsidRPr="009A23B8" w:rsidTr="00F77BF1">
        <w:trPr>
          <w:gridAfter w:val="1"/>
          <w:wAfter w:w="55" w:type="dxa"/>
        </w:trPr>
        <w:tc>
          <w:tcPr>
            <w:tcW w:w="448" w:type="dxa"/>
          </w:tcPr>
          <w:p w:rsidR="009D7E1B" w:rsidRPr="009A23B8" w:rsidRDefault="009D7E1B" w:rsidP="009D7E1B">
            <w:pPr>
              <w:ind w:right="139"/>
              <w:rPr>
                <w:rFonts w:ascii="Calibri" w:hAnsi="Calibri" w:cs="Calibri"/>
                <w:b/>
                <w:color w:val="FF0000"/>
                <w:sz w:val="20"/>
                <w:szCs w:val="20"/>
              </w:rPr>
            </w:pPr>
          </w:p>
        </w:tc>
        <w:tc>
          <w:tcPr>
            <w:tcW w:w="456" w:type="dxa"/>
          </w:tcPr>
          <w:p w:rsidR="009D7E1B" w:rsidRPr="009A23B8" w:rsidRDefault="009D7E1B" w:rsidP="009D7E1B">
            <w:pPr>
              <w:ind w:right="139"/>
              <w:rPr>
                <w:rFonts w:ascii="Calibri" w:hAnsi="Calibri" w:cs="Calibri"/>
                <w:b/>
                <w:color w:val="FF0000"/>
                <w:sz w:val="20"/>
                <w:szCs w:val="20"/>
              </w:rPr>
            </w:pPr>
          </w:p>
        </w:tc>
        <w:tc>
          <w:tcPr>
            <w:tcW w:w="462" w:type="dxa"/>
            <w:gridSpan w:val="3"/>
          </w:tcPr>
          <w:p w:rsidR="009D7E1B" w:rsidRPr="009A23B8" w:rsidRDefault="009D7E1B" w:rsidP="009D7E1B">
            <w:pPr>
              <w:ind w:right="139"/>
              <w:rPr>
                <w:rFonts w:ascii="Calibri" w:hAnsi="Calibri" w:cs="Calibri"/>
                <w:b/>
                <w:color w:val="FF0000"/>
                <w:sz w:val="20"/>
                <w:szCs w:val="20"/>
              </w:rPr>
            </w:pPr>
          </w:p>
        </w:tc>
        <w:tc>
          <w:tcPr>
            <w:tcW w:w="1027" w:type="dxa"/>
            <w:gridSpan w:val="4"/>
          </w:tcPr>
          <w:p w:rsidR="009D7E1B" w:rsidRPr="009A23B8" w:rsidRDefault="009D7E1B" w:rsidP="009D7E1B">
            <w:pPr>
              <w:ind w:right="139"/>
              <w:rPr>
                <w:rFonts w:ascii="Calibri" w:hAnsi="Calibri" w:cs="Calibri"/>
                <w:b/>
                <w:color w:val="FF0000"/>
                <w:sz w:val="20"/>
                <w:szCs w:val="20"/>
              </w:rPr>
            </w:pPr>
          </w:p>
        </w:tc>
        <w:tc>
          <w:tcPr>
            <w:tcW w:w="160" w:type="dxa"/>
          </w:tcPr>
          <w:p w:rsidR="009D7E1B" w:rsidRPr="009A23B8" w:rsidRDefault="009D7E1B" w:rsidP="009D7E1B">
            <w:pPr>
              <w:ind w:right="139"/>
              <w:rPr>
                <w:rFonts w:ascii="Calibri" w:hAnsi="Calibri" w:cs="Calibri"/>
                <w:b/>
                <w:color w:val="FF0000"/>
                <w:sz w:val="20"/>
                <w:szCs w:val="20"/>
              </w:rPr>
            </w:pPr>
          </w:p>
        </w:tc>
        <w:tc>
          <w:tcPr>
            <w:tcW w:w="459" w:type="dxa"/>
            <w:gridSpan w:val="2"/>
          </w:tcPr>
          <w:p w:rsidR="009D7E1B" w:rsidRPr="009A23B8" w:rsidRDefault="009D7E1B" w:rsidP="009D7E1B">
            <w:pPr>
              <w:ind w:right="139"/>
              <w:rPr>
                <w:rFonts w:ascii="Calibri" w:hAnsi="Calibri" w:cs="Calibri"/>
                <w:b/>
                <w:color w:val="FF0000"/>
                <w:sz w:val="20"/>
                <w:szCs w:val="20"/>
              </w:rPr>
            </w:pPr>
          </w:p>
        </w:tc>
        <w:tc>
          <w:tcPr>
            <w:tcW w:w="470" w:type="dxa"/>
            <w:gridSpan w:val="3"/>
          </w:tcPr>
          <w:p w:rsidR="009D7E1B" w:rsidRPr="009A23B8" w:rsidRDefault="009D7E1B" w:rsidP="009D7E1B">
            <w:pPr>
              <w:ind w:right="139"/>
              <w:rPr>
                <w:rFonts w:ascii="Calibri" w:hAnsi="Calibri" w:cs="Calibri"/>
                <w:b/>
                <w:color w:val="FF0000"/>
                <w:sz w:val="20"/>
                <w:szCs w:val="20"/>
              </w:rPr>
            </w:pPr>
          </w:p>
        </w:tc>
        <w:tc>
          <w:tcPr>
            <w:tcW w:w="459" w:type="dxa"/>
            <w:gridSpan w:val="2"/>
          </w:tcPr>
          <w:p w:rsidR="009D7E1B" w:rsidRPr="009A23B8" w:rsidRDefault="009D7E1B" w:rsidP="009D7E1B">
            <w:pPr>
              <w:ind w:right="139"/>
              <w:rPr>
                <w:rFonts w:ascii="Calibri" w:hAnsi="Calibri" w:cs="Calibri"/>
                <w:b/>
                <w:color w:val="FF0000"/>
                <w:sz w:val="20"/>
                <w:szCs w:val="20"/>
              </w:rPr>
            </w:pPr>
          </w:p>
        </w:tc>
        <w:tc>
          <w:tcPr>
            <w:tcW w:w="583" w:type="dxa"/>
            <w:gridSpan w:val="2"/>
          </w:tcPr>
          <w:p w:rsidR="009D7E1B" w:rsidRPr="009A23B8" w:rsidRDefault="009D7E1B" w:rsidP="009D7E1B">
            <w:pPr>
              <w:ind w:right="139"/>
              <w:rPr>
                <w:rFonts w:ascii="Calibri" w:hAnsi="Calibri" w:cs="Calibri"/>
                <w:b/>
                <w:color w:val="FF0000"/>
                <w:sz w:val="20"/>
                <w:szCs w:val="20"/>
              </w:rPr>
            </w:pPr>
          </w:p>
        </w:tc>
        <w:tc>
          <w:tcPr>
            <w:tcW w:w="737" w:type="dxa"/>
            <w:gridSpan w:val="4"/>
          </w:tcPr>
          <w:p w:rsidR="009D7E1B" w:rsidRPr="009A23B8" w:rsidRDefault="009D7E1B" w:rsidP="009D7E1B">
            <w:pPr>
              <w:ind w:right="139"/>
              <w:rPr>
                <w:rFonts w:ascii="Calibri" w:hAnsi="Calibri" w:cs="Calibri"/>
                <w:b/>
                <w:color w:val="FF0000"/>
                <w:sz w:val="20"/>
                <w:szCs w:val="20"/>
              </w:rPr>
            </w:pPr>
          </w:p>
        </w:tc>
        <w:tc>
          <w:tcPr>
            <w:tcW w:w="458" w:type="dxa"/>
            <w:gridSpan w:val="4"/>
          </w:tcPr>
          <w:p w:rsidR="009D7E1B" w:rsidRPr="009A23B8" w:rsidRDefault="009D7E1B" w:rsidP="009D7E1B">
            <w:pPr>
              <w:ind w:right="139"/>
              <w:rPr>
                <w:rFonts w:ascii="Calibri" w:hAnsi="Calibri" w:cs="Calibri"/>
                <w:b/>
                <w:color w:val="FF0000"/>
                <w:sz w:val="20"/>
                <w:szCs w:val="20"/>
              </w:rPr>
            </w:pPr>
          </w:p>
        </w:tc>
        <w:tc>
          <w:tcPr>
            <w:tcW w:w="458" w:type="dxa"/>
            <w:gridSpan w:val="2"/>
          </w:tcPr>
          <w:p w:rsidR="009D7E1B" w:rsidRPr="009D7E1B" w:rsidRDefault="009D7E1B" w:rsidP="009D7E1B">
            <w:pPr>
              <w:ind w:right="139"/>
              <w:rPr>
                <w:rFonts w:ascii="Calibri" w:hAnsi="Calibri" w:cs="Calibri"/>
                <w:b/>
                <w:sz w:val="20"/>
                <w:szCs w:val="20"/>
              </w:rPr>
            </w:pPr>
          </w:p>
        </w:tc>
        <w:tc>
          <w:tcPr>
            <w:tcW w:w="459" w:type="dxa"/>
            <w:gridSpan w:val="5"/>
          </w:tcPr>
          <w:p w:rsidR="009D7E1B" w:rsidRPr="009D7E1B" w:rsidRDefault="009D7E1B" w:rsidP="009D7E1B">
            <w:pPr>
              <w:ind w:right="139"/>
              <w:rPr>
                <w:rFonts w:ascii="Calibri" w:hAnsi="Calibri" w:cs="Calibri"/>
                <w:b/>
                <w:sz w:val="20"/>
                <w:szCs w:val="20"/>
              </w:rPr>
            </w:pPr>
          </w:p>
        </w:tc>
        <w:tc>
          <w:tcPr>
            <w:tcW w:w="463" w:type="dxa"/>
            <w:gridSpan w:val="2"/>
          </w:tcPr>
          <w:p w:rsidR="009D7E1B" w:rsidRPr="009D7E1B" w:rsidRDefault="009D7E1B" w:rsidP="009D7E1B">
            <w:pPr>
              <w:ind w:right="139"/>
              <w:rPr>
                <w:rFonts w:ascii="Calibri" w:hAnsi="Calibri" w:cs="Calibri"/>
                <w:b/>
                <w:sz w:val="20"/>
                <w:szCs w:val="20"/>
              </w:rPr>
            </w:pPr>
          </w:p>
        </w:tc>
        <w:tc>
          <w:tcPr>
            <w:tcW w:w="459" w:type="dxa"/>
            <w:gridSpan w:val="3"/>
          </w:tcPr>
          <w:p w:rsidR="009D7E1B" w:rsidRPr="009D7E1B" w:rsidRDefault="009D7E1B" w:rsidP="009D7E1B">
            <w:pPr>
              <w:ind w:right="139"/>
              <w:rPr>
                <w:rFonts w:ascii="Calibri" w:hAnsi="Calibri" w:cs="Calibri"/>
                <w:b/>
                <w:sz w:val="20"/>
                <w:szCs w:val="20"/>
              </w:rPr>
            </w:pPr>
          </w:p>
        </w:tc>
        <w:tc>
          <w:tcPr>
            <w:tcW w:w="458" w:type="dxa"/>
            <w:gridSpan w:val="3"/>
          </w:tcPr>
          <w:p w:rsidR="009D7E1B" w:rsidRPr="009D7E1B" w:rsidRDefault="009D7E1B" w:rsidP="009D7E1B">
            <w:pPr>
              <w:ind w:right="139"/>
              <w:rPr>
                <w:rFonts w:ascii="Calibri" w:hAnsi="Calibri" w:cs="Calibri"/>
                <w:b/>
                <w:sz w:val="20"/>
                <w:szCs w:val="20"/>
              </w:rPr>
            </w:pPr>
          </w:p>
        </w:tc>
        <w:tc>
          <w:tcPr>
            <w:tcW w:w="458" w:type="dxa"/>
            <w:gridSpan w:val="3"/>
          </w:tcPr>
          <w:p w:rsidR="009D7E1B" w:rsidRPr="009D7E1B" w:rsidRDefault="009D7E1B" w:rsidP="009D7E1B">
            <w:pPr>
              <w:ind w:right="139"/>
              <w:rPr>
                <w:rFonts w:ascii="Calibri" w:hAnsi="Calibri" w:cs="Calibri"/>
                <w:b/>
                <w:sz w:val="20"/>
                <w:szCs w:val="20"/>
              </w:rPr>
            </w:pPr>
          </w:p>
        </w:tc>
        <w:tc>
          <w:tcPr>
            <w:tcW w:w="458" w:type="dxa"/>
            <w:gridSpan w:val="3"/>
          </w:tcPr>
          <w:p w:rsidR="009D7E1B" w:rsidRPr="009A23B8" w:rsidRDefault="009D7E1B" w:rsidP="009D7E1B">
            <w:pPr>
              <w:ind w:right="139"/>
              <w:rPr>
                <w:rFonts w:ascii="Calibri" w:hAnsi="Calibri" w:cs="Calibri"/>
                <w:b/>
                <w:color w:val="FF0000"/>
                <w:sz w:val="20"/>
                <w:szCs w:val="20"/>
              </w:rPr>
            </w:pPr>
          </w:p>
        </w:tc>
        <w:tc>
          <w:tcPr>
            <w:tcW w:w="458" w:type="dxa"/>
            <w:gridSpan w:val="3"/>
          </w:tcPr>
          <w:p w:rsidR="009D7E1B" w:rsidRPr="009A23B8" w:rsidRDefault="009D7E1B" w:rsidP="009D7E1B">
            <w:pPr>
              <w:ind w:right="139"/>
              <w:rPr>
                <w:rFonts w:ascii="Calibri" w:hAnsi="Calibri" w:cs="Calibri"/>
                <w:b/>
                <w:color w:val="FF0000"/>
                <w:sz w:val="20"/>
                <w:szCs w:val="20"/>
              </w:rPr>
            </w:pPr>
          </w:p>
        </w:tc>
        <w:tc>
          <w:tcPr>
            <w:tcW w:w="911" w:type="dxa"/>
            <w:gridSpan w:val="6"/>
          </w:tcPr>
          <w:p w:rsidR="009D7E1B" w:rsidRPr="009A23B8" w:rsidRDefault="009D7E1B" w:rsidP="009D7E1B">
            <w:pPr>
              <w:ind w:right="139"/>
              <w:rPr>
                <w:rFonts w:ascii="Calibri" w:hAnsi="Calibri" w:cs="Calibri"/>
                <w:b/>
                <w:color w:val="FF0000"/>
                <w:sz w:val="20"/>
                <w:szCs w:val="20"/>
              </w:rPr>
            </w:pPr>
          </w:p>
        </w:tc>
      </w:tr>
      <w:tr w:rsidR="009D7E1B" w:rsidRPr="009A23B8" w:rsidTr="00F77BF1">
        <w:trPr>
          <w:gridAfter w:val="5"/>
          <w:wAfter w:w="721" w:type="dxa"/>
        </w:trPr>
        <w:tc>
          <w:tcPr>
            <w:tcW w:w="9635" w:type="dxa"/>
            <w:gridSpan w:val="53"/>
            <w:shd w:val="clear" w:color="auto" w:fill="EEECE1"/>
          </w:tcPr>
          <w:p w:rsidR="009D7E1B" w:rsidRPr="009D7E1B" w:rsidRDefault="009D7E1B" w:rsidP="009D7E1B">
            <w:pPr>
              <w:ind w:right="139"/>
              <w:rPr>
                <w:rFonts w:ascii="Calibri" w:hAnsi="Calibri" w:cs="Calibri"/>
                <w:b/>
                <w:sz w:val="20"/>
                <w:szCs w:val="20"/>
              </w:rPr>
            </w:pPr>
            <w:r w:rsidRPr="009D7E1B">
              <w:rPr>
                <w:rFonts w:ascii="Calibri" w:hAnsi="Calibri" w:cs="Calibri"/>
                <w:b/>
                <w:sz w:val="20"/>
                <w:szCs w:val="20"/>
              </w:rPr>
              <w:t>Stručný komentář k celkovému vývoji čerpání výdajů kapitoly ve sledovaném období</w:t>
            </w:r>
          </w:p>
        </w:tc>
      </w:tr>
      <w:tr w:rsidR="009D7E1B" w:rsidRPr="009A23B8" w:rsidTr="00F77BF1">
        <w:trPr>
          <w:gridAfter w:val="5"/>
          <w:wAfter w:w="721" w:type="dxa"/>
        </w:trPr>
        <w:tc>
          <w:tcPr>
            <w:tcW w:w="9635" w:type="dxa"/>
            <w:gridSpan w:val="53"/>
            <w:tcBorders>
              <w:top w:val="single" w:sz="6" w:space="0" w:color="auto"/>
              <w:left w:val="single" w:sz="6" w:space="0" w:color="auto"/>
              <w:bottom w:val="single" w:sz="6" w:space="0" w:color="auto"/>
              <w:right w:val="single" w:sz="6" w:space="0" w:color="auto"/>
            </w:tcBorders>
          </w:tcPr>
          <w:p w:rsidR="009D7E1B" w:rsidRPr="009D7E1B" w:rsidRDefault="009D7E1B" w:rsidP="009D7E1B">
            <w:pPr>
              <w:ind w:right="139"/>
              <w:jc w:val="both"/>
              <w:rPr>
                <w:rFonts w:ascii="Calibri" w:hAnsi="Calibri" w:cs="Calibri"/>
                <w:sz w:val="20"/>
                <w:szCs w:val="20"/>
              </w:rPr>
            </w:pPr>
            <w:r w:rsidRPr="009D7E1B">
              <w:rPr>
                <w:rFonts w:ascii="Calibri" w:hAnsi="Calibri" w:cs="Calibri"/>
                <w:sz w:val="20"/>
                <w:szCs w:val="20"/>
              </w:rPr>
              <w:t>Podrobnější komentáře k jednotlivým akcím jsou v tabulce níže.</w:t>
            </w:r>
          </w:p>
        </w:tc>
      </w:tr>
      <w:tr w:rsidR="009D7E1B" w:rsidRPr="009A23B8" w:rsidTr="00F77BF1">
        <w:trPr>
          <w:gridAfter w:val="5"/>
          <w:wAfter w:w="721" w:type="dxa"/>
        </w:trPr>
        <w:tc>
          <w:tcPr>
            <w:tcW w:w="9635" w:type="dxa"/>
            <w:gridSpan w:val="53"/>
            <w:shd w:val="clear" w:color="auto" w:fill="auto"/>
          </w:tcPr>
          <w:p w:rsidR="009D7E1B" w:rsidRPr="009A23B8" w:rsidRDefault="009D7E1B" w:rsidP="009D7E1B">
            <w:pPr>
              <w:ind w:right="139"/>
              <w:rPr>
                <w:rFonts w:ascii="Calibri" w:hAnsi="Calibri" w:cs="Calibri"/>
                <w:b/>
                <w:color w:val="FF0000"/>
                <w:sz w:val="20"/>
                <w:szCs w:val="20"/>
              </w:rPr>
            </w:pPr>
          </w:p>
        </w:tc>
      </w:tr>
      <w:tr w:rsidR="009D7E1B" w:rsidRPr="009A23B8" w:rsidTr="00F77BF1">
        <w:trPr>
          <w:gridAfter w:val="5"/>
          <w:wAfter w:w="721" w:type="dxa"/>
        </w:trPr>
        <w:tc>
          <w:tcPr>
            <w:tcW w:w="9635" w:type="dxa"/>
            <w:gridSpan w:val="53"/>
            <w:shd w:val="clear" w:color="auto" w:fill="EEECE1"/>
          </w:tcPr>
          <w:p w:rsidR="009D7E1B" w:rsidRPr="00F77BF1" w:rsidRDefault="009D7E1B" w:rsidP="00AB1872">
            <w:pPr>
              <w:ind w:right="139"/>
              <w:jc w:val="both"/>
              <w:rPr>
                <w:rFonts w:ascii="Calibri" w:hAnsi="Calibri" w:cs="Calibri"/>
                <w:b/>
                <w:sz w:val="18"/>
                <w:szCs w:val="18"/>
              </w:rPr>
            </w:pPr>
            <w:r w:rsidRPr="00F77BF1">
              <w:rPr>
                <w:rFonts w:ascii="Calibri" w:hAnsi="Calibri" w:cs="Calibri"/>
                <w:b/>
                <w:sz w:val="18"/>
                <w:szCs w:val="18"/>
              </w:rPr>
              <w:t>Komentář k položkám (akcím), které vykázaly abnormalitu v řádném čerp</w:t>
            </w:r>
            <w:r w:rsidR="00AB1872" w:rsidRPr="00F77BF1">
              <w:rPr>
                <w:rFonts w:ascii="Calibri" w:hAnsi="Calibri" w:cs="Calibri"/>
                <w:b/>
                <w:sz w:val="18"/>
                <w:szCs w:val="18"/>
              </w:rPr>
              <w:t>ání výdajů rozpočtu kapitoly ve </w:t>
            </w:r>
            <w:r w:rsidRPr="00F77BF1">
              <w:rPr>
                <w:rFonts w:ascii="Calibri" w:hAnsi="Calibri" w:cs="Calibri"/>
                <w:b/>
                <w:sz w:val="18"/>
                <w:szCs w:val="18"/>
              </w:rPr>
              <w:t>sledovaném období</w:t>
            </w:r>
          </w:p>
        </w:tc>
      </w:tr>
      <w:tr w:rsidR="009D7E1B" w:rsidRPr="009A23B8" w:rsidTr="00F77BF1">
        <w:trPr>
          <w:gridAfter w:val="5"/>
          <w:wAfter w:w="721" w:type="dxa"/>
        </w:trPr>
        <w:tc>
          <w:tcPr>
            <w:tcW w:w="919"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9D7E1B" w:rsidRPr="00392BFC" w:rsidRDefault="009D7E1B" w:rsidP="009D7E1B">
            <w:pPr>
              <w:ind w:right="139"/>
              <w:jc w:val="center"/>
              <w:rPr>
                <w:rFonts w:ascii="Calibri" w:hAnsi="Calibri" w:cs="Calibri"/>
                <w:b/>
                <w:sz w:val="18"/>
                <w:szCs w:val="18"/>
              </w:rPr>
            </w:pPr>
            <w:r w:rsidRPr="00392BFC">
              <w:rPr>
                <w:rFonts w:ascii="Calibri" w:hAnsi="Calibri" w:cs="Calibri"/>
                <w:b/>
                <w:sz w:val="18"/>
                <w:szCs w:val="18"/>
              </w:rPr>
              <w:t>Oddíl, paragraf</w:t>
            </w:r>
          </w:p>
        </w:tc>
        <w:tc>
          <w:tcPr>
            <w:tcW w:w="92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9D7E1B" w:rsidRPr="00392BFC" w:rsidRDefault="009D7E1B" w:rsidP="009D7E1B">
            <w:pPr>
              <w:ind w:right="139"/>
              <w:jc w:val="center"/>
              <w:rPr>
                <w:rFonts w:ascii="Calibri" w:hAnsi="Calibri" w:cs="Calibri"/>
                <w:b/>
                <w:sz w:val="18"/>
                <w:szCs w:val="18"/>
              </w:rPr>
            </w:pPr>
            <w:r w:rsidRPr="00392BFC">
              <w:rPr>
                <w:rFonts w:ascii="Calibri" w:hAnsi="Calibri" w:cs="Calibri"/>
                <w:b/>
                <w:sz w:val="18"/>
                <w:szCs w:val="18"/>
              </w:rPr>
              <w:t>Položka</w:t>
            </w:r>
          </w:p>
        </w:tc>
        <w:tc>
          <w:tcPr>
            <w:tcW w:w="1418" w:type="dxa"/>
            <w:gridSpan w:val="7"/>
            <w:tcBorders>
              <w:top w:val="single" w:sz="4" w:space="0" w:color="auto"/>
              <w:left w:val="single" w:sz="4" w:space="0" w:color="auto"/>
              <w:bottom w:val="single" w:sz="4" w:space="0" w:color="auto"/>
              <w:right w:val="single" w:sz="4" w:space="0" w:color="auto"/>
            </w:tcBorders>
            <w:shd w:val="clear" w:color="auto" w:fill="FFFF00"/>
            <w:vAlign w:val="center"/>
          </w:tcPr>
          <w:p w:rsidR="009D7E1B" w:rsidRPr="00392BFC" w:rsidRDefault="009D7E1B" w:rsidP="009D7E1B">
            <w:pPr>
              <w:ind w:right="139"/>
              <w:jc w:val="center"/>
              <w:rPr>
                <w:rFonts w:ascii="Calibri" w:hAnsi="Calibri" w:cs="Calibri"/>
                <w:b/>
                <w:sz w:val="18"/>
                <w:szCs w:val="18"/>
              </w:rPr>
            </w:pPr>
            <w:r w:rsidRPr="00392BFC">
              <w:rPr>
                <w:rFonts w:ascii="Calibri" w:hAnsi="Calibri" w:cs="Calibri"/>
                <w:b/>
                <w:sz w:val="18"/>
                <w:szCs w:val="18"/>
              </w:rPr>
              <w:t>Organizace</w:t>
            </w:r>
          </w:p>
        </w:tc>
        <w:tc>
          <w:tcPr>
            <w:tcW w:w="985"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9D7E1B" w:rsidRPr="00392BFC" w:rsidRDefault="009D7E1B" w:rsidP="009D7E1B">
            <w:pPr>
              <w:ind w:right="139"/>
              <w:jc w:val="center"/>
              <w:rPr>
                <w:rFonts w:ascii="Calibri" w:hAnsi="Calibri" w:cs="Calibri"/>
                <w:b/>
                <w:sz w:val="18"/>
                <w:szCs w:val="18"/>
              </w:rPr>
            </w:pPr>
            <w:r w:rsidRPr="00392BFC">
              <w:rPr>
                <w:rFonts w:ascii="Calibri" w:hAnsi="Calibri" w:cs="Calibri"/>
                <w:b/>
                <w:sz w:val="18"/>
                <w:szCs w:val="18"/>
              </w:rPr>
              <w:t>Účelový zdroj</w:t>
            </w:r>
          </w:p>
        </w:tc>
        <w:tc>
          <w:tcPr>
            <w:tcW w:w="853"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9D7E1B" w:rsidRPr="00392BFC" w:rsidRDefault="00F77BF1" w:rsidP="009D7E1B">
            <w:pPr>
              <w:ind w:right="139"/>
              <w:jc w:val="center"/>
              <w:rPr>
                <w:rFonts w:ascii="Calibri" w:hAnsi="Calibri" w:cs="Calibri"/>
                <w:b/>
                <w:sz w:val="18"/>
                <w:szCs w:val="18"/>
              </w:rPr>
            </w:pPr>
            <w:r>
              <w:rPr>
                <w:rFonts w:ascii="Calibri" w:hAnsi="Calibri" w:cs="Calibri"/>
                <w:b/>
                <w:sz w:val="18"/>
                <w:szCs w:val="18"/>
              </w:rPr>
              <w:t>UR</w:t>
            </w:r>
            <w:r w:rsidR="009D7E1B" w:rsidRPr="00392BFC">
              <w:rPr>
                <w:rFonts w:ascii="Calibri" w:hAnsi="Calibri" w:cs="Calibri"/>
                <w:b/>
                <w:sz w:val="18"/>
                <w:szCs w:val="18"/>
              </w:rPr>
              <w:t xml:space="preserve"> v tis. Kč</w:t>
            </w:r>
          </w:p>
        </w:tc>
        <w:tc>
          <w:tcPr>
            <w:tcW w:w="1134" w:type="dxa"/>
            <w:gridSpan w:val="10"/>
            <w:tcBorders>
              <w:top w:val="single" w:sz="4" w:space="0" w:color="auto"/>
              <w:left w:val="single" w:sz="4" w:space="0" w:color="auto"/>
              <w:bottom w:val="single" w:sz="4" w:space="0" w:color="auto"/>
              <w:right w:val="single" w:sz="4" w:space="0" w:color="auto"/>
            </w:tcBorders>
            <w:shd w:val="clear" w:color="auto" w:fill="FFFF00"/>
            <w:vAlign w:val="center"/>
          </w:tcPr>
          <w:p w:rsidR="009D7E1B" w:rsidRPr="00392BFC" w:rsidRDefault="009D7E1B" w:rsidP="009D7E1B">
            <w:pPr>
              <w:ind w:right="139"/>
              <w:jc w:val="center"/>
              <w:rPr>
                <w:rFonts w:ascii="Calibri" w:hAnsi="Calibri" w:cs="Calibri"/>
                <w:b/>
                <w:sz w:val="18"/>
                <w:szCs w:val="18"/>
              </w:rPr>
            </w:pPr>
            <w:r w:rsidRPr="00392BFC">
              <w:rPr>
                <w:rFonts w:ascii="Calibri" w:hAnsi="Calibri" w:cs="Calibri"/>
                <w:b/>
                <w:sz w:val="18"/>
                <w:szCs w:val="18"/>
              </w:rPr>
              <w:t>Skutečnost v tis. Kč</w:t>
            </w:r>
          </w:p>
        </w:tc>
        <w:tc>
          <w:tcPr>
            <w:tcW w:w="3402" w:type="dxa"/>
            <w:gridSpan w:val="22"/>
            <w:tcBorders>
              <w:top w:val="single" w:sz="4" w:space="0" w:color="auto"/>
              <w:left w:val="single" w:sz="4" w:space="0" w:color="auto"/>
              <w:bottom w:val="single" w:sz="4" w:space="0" w:color="auto"/>
              <w:right w:val="single" w:sz="4" w:space="0" w:color="auto"/>
            </w:tcBorders>
            <w:shd w:val="clear" w:color="auto" w:fill="FFFF00"/>
            <w:vAlign w:val="center"/>
          </w:tcPr>
          <w:p w:rsidR="009D7E1B" w:rsidRPr="00392BFC" w:rsidRDefault="009D7E1B" w:rsidP="009D7E1B">
            <w:pPr>
              <w:ind w:right="139"/>
              <w:jc w:val="center"/>
              <w:rPr>
                <w:rFonts w:ascii="Calibri" w:hAnsi="Calibri" w:cs="Calibri"/>
                <w:b/>
                <w:sz w:val="18"/>
                <w:szCs w:val="18"/>
              </w:rPr>
            </w:pPr>
            <w:r w:rsidRPr="00392BFC">
              <w:rPr>
                <w:rFonts w:ascii="Calibri" w:hAnsi="Calibri" w:cs="Calibri"/>
                <w:b/>
                <w:sz w:val="18"/>
                <w:szCs w:val="18"/>
              </w:rPr>
              <w:t>Komentář</w:t>
            </w:r>
          </w:p>
        </w:tc>
      </w:tr>
      <w:tr w:rsidR="009D7E1B" w:rsidRPr="009A23B8" w:rsidTr="00F77BF1">
        <w:trPr>
          <w:gridAfter w:val="5"/>
          <w:wAfter w:w="721" w:type="dxa"/>
        </w:trPr>
        <w:tc>
          <w:tcPr>
            <w:tcW w:w="919" w:type="dxa"/>
            <w:gridSpan w:val="4"/>
            <w:tcBorders>
              <w:top w:val="single" w:sz="4" w:space="0" w:color="auto"/>
              <w:left w:val="single" w:sz="4" w:space="0" w:color="auto"/>
              <w:bottom w:val="single" w:sz="4" w:space="0" w:color="auto"/>
              <w:right w:val="single" w:sz="4" w:space="0" w:color="auto"/>
            </w:tcBorders>
            <w:shd w:val="clear" w:color="auto" w:fill="auto"/>
          </w:tcPr>
          <w:p w:rsidR="009D7E1B" w:rsidRPr="00F57A60" w:rsidRDefault="009D7E1B" w:rsidP="009D7E1B">
            <w:pPr>
              <w:jc w:val="center"/>
              <w:rPr>
                <w:rFonts w:asciiTheme="minorHAnsi" w:hAnsiTheme="minorHAnsi" w:cstheme="minorHAnsi"/>
                <w:sz w:val="18"/>
              </w:rPr>
            </w:pPr>
            <w:r w:rsidRPr="00F57A60">
              <w:rPr>
                <w:rFonts w:asciiTheme="minorHAnsi" w:hAnsiTheme="minorHAnsi" w:cstheme="minorHAnsi"/>
                <w:sz w:val="18"/>
              </w:rPr>
              <w:t>3322</w:t>
            </w: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9D7E1B" w:rsidRPr="00F57A60" w:rsidRDefault="009D7E1B" w:rsidP="009D7E1B">
            <w:pPr>
              <w:jc w:val="center"/>
              <w:rPr>
                <w:rFonts w:asciiTheme="minorHAnsi" w:hAnsiTheme="minorHAnsi" w:cstheme="minorHAnsi"/>
                <w:sz w:val="18"/>
              </w:rPr>
            </w:pPr>
            <w:r w:rsidRPr="00F57A60">
              <w:rPr>
                <w:rFonts w:asciiTheme="minorHAnsi" w:hAnsiTheme="minorHAnsi" w:cstheme="minorHAnsi"/>
                <w:sz w:val="18"/>
              </w:rPr>
              <w:t>5179</w:t>
            </w:r>
          </w:p>
        </w:tc>
        <w:tc>
          <w:tcPr>
            <w:tcW w:w="1418" w:type="dxa"/>
            <w:gridSpan w:val="7"/>
            <w:tcBorders>
              <w:top w:val="single" w:sz="4" w:space="0" w:color="auto"/>
              <w:left w:val="single" w:sz="4" w:space="0" w:color="auto"/>
              <w:bottom w:val="single" w:sz="4" w:space="0" w:color="auto"/>
              <w:right w:val="single" w:sz="4" w:space="0" w:color="auto"/>
            </w:tcBorders>
            <w:shd w:val="clear" w:color="auto" w:fill="auto"/>
          </w:tcPr>
          <w:p w:rsidR="009D7E1B" w:rsidRPr="00F57A60" w:rsidRDefault="009D7E1B" w:rsidP="009D7E1B">
            <w:pPr>
              <w:jc w:val="center"/>
              <w:rPr>
                <w:rFonts w:asciiTheme="minorHAnsi" w:hAnsiTheme="minorHAnsi" w:cstheme="minorHAnsi"/>
                <w:sz w:val="18"/>
              </w:rPr>
            </w:pPr>
            <w:r w:rsidRPr="00F57A60">
              <w:rPr>
                <w:rFonts w:asciiTheme="minorHAnsi" w:hAnsiTheme="minorHAnsi" w:cstheme="minorHAnsi"/>
                <w:sz w:val="18"/>
              </w:rPr>
              <w:t>0620000000000</w:t>
            </w:r>
          </w:p>
        </w:tc>
        <w:tc>
          <w:tcPr>
            <w:tcW w:w="985" w:type="dxa"/>
            <w:gridSpan w:val="4"/>
            <w:tcBorders>
              <w:top w:val="single" w:sz="4" w:space="0" w:color="auto"/>
              <w:left w:val="single" w:sz="4" w:space="0" w:color="auto"/>
              <w:bottom w:val="single" w:sz="4" w:space="0" w:color="auto"/>
              <w:right w:val="single" w:sz="4" w:space="0" w:color="auto"/>
            </w:tcBorders>
            <w:shd w:val="clear" w:color="auto" w:fill="auto"/>
          </w:tcPr>
          <w:p w:rsidR="009D7E1B" w:rsidRPr="00F57A60" w:rsidRDefault="009D7E1B" w:rsidP="009D7E1B">
            <w:pPr>
              <w:jc w:val="center"/>
              <w:rPr>
                <w:rFonts w:asciiTheme="minorHAnsi" w:hAnsiTheme="minorHAnsi" w:cstheme="minorHAnsi"/>
                <w:sz w:val="18"/>
              </w:rPr>
            </w:pP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tcPr>
          <w:p w:rsidR="009D7E1B" w:rsidRPr="00F57A60" w:rsidRDefault="00A84281" w:rsidP="009D7E1B">
            <w:pPr>
              <w:jc w:val="right"/>
              <w:rPr>
                <w:rFonts w:asciiTheme="minorHAnsi" w:hAnsiTheme="minorHAnsi" w:cstheme="minorHAnsi"/>
                <w:sz w:val="18"/>
              </w:rPr>
            </w:pPr>
            <w:r>
              <w:rPr>
                <w:rFonts w:asciiTheme="minorHAnsi" w:hAnsiTheme="minorHAnsi" w:cstheme="minorHAnsi"/>
                <w:sz w:val="18"/>
              </w:rPr>
              <w:t>200,00</w:t>
            </w:r>
          </w:p>
        </w:tc>
        <w:tc>
          <w:tcPr>
            <w:tcW w:w="1134" w:type="dxa"/>
            <w:gridSpan w:val="10"/>
            <w:tcBorders>
              <w:top w:val="single" w:sz="4" w:space="0" w:color="auto"/>
              <w:left w:val="single" w:sz="4" w:space="0" w:color="auto"/>
              <w:bottom w:val="single" w:sz="4" w:space="0" w:color="auto"/>
              <w:right w:val="single" w:sz="4" w:space="0" w:color="auto"/>
            </w:tcBorders>
            <w:shd w:val="clear" w:color="auto" w:fill="auto"/>
          </w:tcPr>
          <w:p w:rsidR="009D7E1B" w:rsidRPr="00F57A60" w:rsidRDefault="009D7E1B" w:rsidP="009D7E1B">
            <w:pPr>
              <w:jc w:val="right"/>
              <w:rPr>
                <w:rFonts w:asciiTheme="minorHAnsi" w:hAnsiTheme="minorHAnsi" w:cstheme="minorHAnsi"/>
                <w:sz w:val="18"/>
              </w:rPr>
            </w:pPr>
            <w:r w:rsidRPr="00F57A60">
              <w:rPr>
                <w:rFonts w:asciiTheme="minorHAnsi" w:hAnsiTheme="minorHAnsi" w:cstheme="minorHAnsi"/>
                <w:sz w:val="18"/>
              </w:rPr>
              <w:t>0,00</w:t>
            </w:r>
          </w:p>
        </w:tc>
        <w:tc>
          <w:tcPr>
            <w:tcW w:w="3402"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rsidR="009D7E1B" w:rsidRPr="00F57A60" w:rsidRDefault="00A84281" w:rsidP="009D7E1B">
            <w:pPr>
              <w:rPr>
                <w:rFonts w:asciiTheme="minorHAnsi" w:hAnsiTheme="minorHAnsi"/>
                <w:sz w:val="18"/>
                <w:szCs w:val="18"/>
              </w:rPr>
            </w:pPr>
            <w:r w:rsidRPr="00A84281">
              <w:rPr>
                <w:rFonts w:asciiTheme="minorHAnsi" w:hAnsiTheme="minorHAnsi" w:cstheme="minorHAnsi"/>
                <w:sz w:val="18"/>
              </w:rPr>
              <w:t>Stavebně historické průzkumy, konzultace Památkové péče, v loňském roce nebylo čerpáno</w:t>
            </w:r>
          </w:p>
        </w:tc>
      </w:tr>
      <w:tr w:rsidR="009D7E1B" w:rsidRPr="009A23B8" w:rsidTr="00F77BF1">
        <w:trPr>
          <w:gridAfter w:val="5"/>
          <w:wAfter w:w="721" w:type="dxa"/>
        </w:trPr>
        <w:tc>
          <w:tcPr>
            <w:tcW w:w="919" w:type="dxa"/>
            <w:gridSpan w:val="4"/>
            <w:tcBorders>
              <w:top w:val="single" w:sz="4" w:space="0" w:color="auto"/>
              <w:left w:val="single" w:sz="4" w:space="0" w:color="auto"/>
              <w:bottom w:val="single" w:sz="4" w:space="0" w:color="auto"/>
              <w:right w:val="single" w:sz="4" w:space="0" w:color="auto"/>
            </w:tcBorders>
            <w:shd w:val="clear" w:color="auto" w:fill="auto"/>
          </w:tcPr>
          <w:p w:rsidR="009D7E1B" w:rsidRPr="006B7A6B" w:rsidRDefault="00A84281" w:rsidP="009D7E1B">
            <w:pPr>
              <w:jc w:val="center"/>
              <w:rPr>
                <w:rFonts w:asciiTheme="minorHAnsi" w:hAnsiTheme="minorHAnsi" w:cstheme="minorHAnsi"/>
                <w:sz w:val="18"/>
              </w:rPr>
            </w:pPr>
            <w:r>
              <w:rPr>
                <w:rFonts w:asciiTheme="minorHAnsi" w:hAnsiTheme="minorHAnsi" w:cstheme="minorHAnsi"/>
                <w:sz w:val="18"/>
              </w:rPr>
              <w:t>3635</w:t>
            </w: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9D7E1B" w:rsidRPr="006B7A6B" w:rsidRDefault="00A84281" w:rsidP="009D7E1B">
            <w:pPr>
              <w:jc w:val="center"/>
              <w:rPr>
                <w:rFonts w:asciiTheme="minorHAnsi" w:hAnsiTheme="minorHAnsi" w:cstheme="minorHAnsi"/>
                <w:sz w:val="18"/>
              </w:rPr>
            </w:pPr>
            <w:r>
              <w:rPr>
                <w:rFonts w:asciiTheme="minorHAnsi" w:hAnsiTheme="minorHAnsi" w:cstheme="minorHAnsi"/>
                <w:sz w:val="18"/>
              </w:rPr>
              <w:t>5169</w:t>
            </w:r>
          </w:p>
        </w:tc>
        <w:tc>
          <w:tcPr>
            <w:tcW w:w="1418" w:type="dxa"/>
            <w:gridSpan w:val="7"/>
            <w:tcBorders>
              <w:top w:val="single" w:sz="4" w:space="0" w:color="auto"/>
              <w:left w:val="single" w:sz="4" w:space="0" w:color="auto"/>
              <w:bottom w:val="single" w:sz="4" w:space="0" w:color="auto"/>
              <w:right w:val="single" w:sz="4" w:space="0" w:color="auto"/>
            </w:tcBorders>
            <w:shd w:val="clear" w:color="auto" w:fill="auto"/>
          </w:tcPr>
          <w:p w:rsidR="009D7E1B" w:rsidRPr="006B7A6B" w:rsidRDefault="009D7E1B" w:rsidP="009D7E1B">
            <w:pPr>
              <w:jc w:val="center"/>
              <w:rPr>
                <w:rFonts w:asciiTheme="minorHAnsi" w:hAnsiTheme="minorHAnsi" w:cstheme="minorHAnsi"/>
                <w:sz w:val="18"/>
              </w:rPr>
            </w:pPr>
            <w:r w:rsidRPr="006B7A6B">
              <w:rPr>
                <w:rFonts w:asciiTheme="minorHAnsi" w:hAnsiTheme="minorHAnsi" w:cstheme="minorHAnsi"/>
                <w:sz w:val="18"/>
              </w:rPr>
              <w:t>0620000000000</w:t>
            </w:r>
          </w:p>
        </w:tc>
        <w:tc>
          <w:tcPr>
            <w:tcW w:w="985" w:type="dxa"/>
            <w:gridSpan w:val="4"/>
            <w:tcBorders>
              <w:top w:val="single" w:sz="4" w:space="0" w:color="auto"/>
              <w:left w:val="single" w:sz="4" w:space="0" w:color="auto"/>
              <w:bottom w:val="single" w:sz="4" w:space="0" w:color="auto"/>
              <w:right w:val="single" w:sz="4" w:space="0" w:color="auto"/>
            </w:tcBorders>
            <w:shd w:val="clear" w:color="auto" w:fill="auto"/>
          </w:tcPr>
          <w:p w:rsidR="009D7E1B" w:rsidRPr="006B7A6B" w:rsidRDefault="009D7E1B" w:rsidP="009D7E1B">
            <w:pPr>
              <w:jc w:val="center"/>
              <w:rPr>
                <w:rFonts w:asciiTheme="minorHAnsi" w:hAnsiTheme="minorHAnsi" w:cstheme="minorHAnsi"/>
                <w:sz w:val="18"/>
              </w:rPr>
            </w:pP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tcPr>
          <w:p w:rsidR="009D7E1B" w:rsidRPr="006B7A6B" w:rsidRDefault="00A84281" w:rsidP="009D7E1B">
            <w:pPr>
              <w:jc w:val="right"/>
              <w:rPr>
                <w:rFonts w:asciiTheme="minorHAnsi" w:hAnsiTheme="minorHAnsi" w:cstheme="minorHAnsi"/>
                <w:sz w:val="18"/>
              </w:rPr>
            </w:pPr>
            <w:r>
              <w:rPr>
                <w:rFonts w:asciiTheme="minorHAnsi" w:hAnsiTheme="minorHAnsi" w:cstheme="minorHAnsi"/>
                <w:sz w:val="18"/>
              </w:rPr>
              <w:t>42,50</w:t>
            </w:r>
          </w:p>
        </w:tc>
        <w:tc>
          <w:tcPr>
            <w:tcW w:w="1134" w:type="dxa"/>
            <w:gridSpan w:val="10"/>
            <w:tcBorders>
              <w:top w:val="single" w:sz="4" w:space="0" w:color="auto"/>
              <w:left w:val="single" w:sz="4" w:space="0" w:color="auto"/>
              <w:bottom w:val="single" w:sz="4" w:space="0" w:color="auto"/>
              <w:right w:val="single" w:sz="4" w:space="0" w:color="auto"/>
            </w:tcBorders>
            <w:shd w:val="clear" w:color="auto" w:fill="auto"/>
          </w:tcPr>
          <w:p w:rsidR="009D7E1B" w:rsidRPr="006B7A6B" w:rsidRDefault="00A84281" w:rsidP="009D7E1B">
            <w:pPr>
              <w:jc w:val="right"/>
              <w:rPr>
                <w:rFonts w:asciiTheme="minorHAnsi" w:hAnsiTheme="minorHAnsi" w:cstheme="minorHAnsi"/>
                <w:sz w:val="18"/>
              </w:rPr>
            </w:pPr>
            <w:r>
              <w:rPr>
                <w:rFonts w:asciiTheme="minorHAnsi" w:hAnsiTheme="minorHAnsi" w:cstheme="minorHAnsi"/>
                <w:sz w:val="18"/>
              </w:rPr>
              <w:t>13,68</w:t>
            </w:r>
          </w:p>
        </w:tc>
        <w:tc>
          <w:tcPr>
            <w:tcW w:w="3402" w:type="dxa"/>
            <w:gridSpan w:val="22"/>
            <w:tcBorders>
              <w:top w:val="single" w:sz="4" w:space="0" w:color="auto"/>
              <w:left w:val="single" w:sz="4" w:space="0" w:color="auto"/>
              <w:bottom w:val="single" w:sz="4" w:space="0" w:color="auto"/>
              <w:right w:val="single" w:sz="4" w:space="0" w:color="auto"/>
            </w:tcBorders>
            <w:shd w:val="clear" w:color="auto" w:fill="auto"/>
          </w:tcPr>
          <w:p w:rsidR="00A84281" w:rsidRPr="00A84281" w:rsidRDefault="00A84281" w:rsidP="00A84281">
            <w:pPr>
              <w:rPr>
                <w:rFonts w:asciiTheme="minorHAnsi" w:hAnsiTheme="minorHAnsi" w:cstheme="minorHAnsi"/>
                <w:sz w:val="18"/>
              </w:rPr>
            </w:pPr>
            <w:r w:rsidRPr="00A84281">
              <w:rPr>
                <w:rFonts w:asciiTheme="minorHAnsi" w:hAnsiTheme="minorHAnsi" w:cstheme="minorHAnsi"/>
                <w:sz w:val="18"/>
              </w:rPr>
              <w:t>Statistické posouzení objektu Pod Žudrem – 9,68 Kč, Konzultace oprav objektu – Muzeum PV – 4,00 Kč,</w:t>
            </w:r>
          </w:p>
          <w:p w:rsidR="009D7E1B" w:rsidRPr="006B7A6B" w:rsidRDefault="00A84281" w:rsidP="00A84281">
            <w:pPr>
              <w:rPr>
                <w:rFonts w:asciiTheme="minorHAnsi" w:hAnsiTheme="minorHAnsi" w:cstheme="minorHAnsi"/>
                <w:sz w:val="18"/>
              </w:rPr>
            </w:pPr>
            <w:r w:rsidRPr="00A84281">
              <w:rPr>
                <w:rFonts w:asciiTheme="minorHAnsi" w:hAnsiTheme="minorHAnsi" w:cstheme="minorHAnsi"/>
                <w:sz w:val="18"/>
              </w:rPr>
              <w:t>28,82 Kč nebylo v roce 2022 čerpáno</w:t>
            </w:r>
          </w:p>
        </w:tc>
      </w:tr>
      <w:tr w:rsidR="009D7E1B" w:rsidRPr="009A23B8" w:rsidTr="00F77BF1">
        <w:trPr>
          <w:gridAfter w:val="5"/>
          <w:wAfter w:w="721" w:type="dxa"/>
        </w:trPr>
        <w:tc>
          <w:tcPr>
            <w:tcW w:w="919" w:type="dxa"/>
            <w:gridSpan w:val="4"/>
            <w:tcBorders>
              <w:top w:val="single" w:sz="4" w:space="0" w:color="auto"/>
              <w:left w:val="single" w:sz="4" w:space="0" w:color="auto"/>
              <w:bottom w:val="single" w:sz="4" w:space="0" w:color="auto"/>
              <w:right w:val="single" w:sz="4" w:space="0" w:color="auto"/>
            </w:tcBorders>
            <w:shd w:val="clear" w:color="auto" w:fill="auto"/>
          </w:tcPr>
          <w:p w:rsidR="009D7E1B" w:rsidRPr="006B7A6B" w:rsidRDefault="00A84281" w:rsidP="009D7E1B">
            <w:pPr>
              <w:jc w:val="center"/>
              <w:rPr>
                <w:rFonts w:asciiTheme="minorHAnsi" w:hAnsiTheme="minorHAnsi" w:cstheme="minorHAnsi"/>
                <w:sz w:val="18"/>
              </w:rPr>
            </w:pPr>
            <w:r>
              <w:rPr>
                <w:rFonts w:asciiTheme="minorHAnsi" w:hAnsiTheme="minorHAnsi" w:cstheme="minorHAnsi"/>
                <w:sz w:val="18"/>
              </w:rPr>
              <w:t>3635</w:t>
            </w: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9D7E1B" w:rsidRPr="006B7A6B" w:rsidRDefault="00A84281" w:rsidP="009D7E1B">
            <w:pPr>
              <w:jc w:val="center"/>
              <w:rPr>
                <w:rFonts w:asciiTheme="minorHAnsi" w:hAnsiTheme="minorHAnsi" w:cstheme="minorHAnsi"/>
                <w:sz w:val="18"/>
              </w:rPr>
            </w:pPr>
            <w:r>
              <w:rPr>
                <w:rFonts w:asciiTheme="minorHAnsi" w:hAnsiTheme="minorHAnsi" w:cstheme="minorHAnsi"/>
                <w:sz w:val="18"/>
              </w:rPr>
              <w:t>5179</w:t>
            </w:r>
          </w:p>
        </w:tc>
        <w:tc>
          <w:tcPr>
            <w:tcW w:w="1418" w:type="dxa"/>
            <w:gridSpan w:val="7"/>
            <w:tcBorders>
              <w:top w:val="single" w:sz="4" w:space="0" w:color="auto"/>
              <w:left w:val="single" w:sz="4" w:space="0" w:color="auto"/>
              <w:bottom w:val="single" w:sz="4" w:space="0" w:color="auto"/>
              <w:right w:val="single" w:sz="4" w:space="0" w:color="auto"/>
            </w:tcBorders>
            <w:shd w:val="clear" w:color="auto" w:fill="auto"/>
          </w:tcPr>
          <w:p w:rsidR="009D7E1B" w:rsidRPr="006B7A6B" w:rsidRDefault="009D7E1B" w:rsidP="009D7E1B">
            <w:pPr>
              <w:jc w:val="center"/>
              <w:rPr>
                <w:rFonts w:asciiTheme="minorHAnsi" w:hAnsiTheme="minorHAnsi" w:cstheme="minorHAnsi"/>
                <w:sz w:val="18"/>
              </w:rPr>
            </w:pPr>
            <w:r w:rsidRPr="006B7A6B">
              <w:rPr>
                <w:rFonts w:asciiTheme="minorHAnsi" w:hAnsiTheme="minorHAnsi" w:cstheme="minorHAnsi"/>
                <w:sz w:val="18"/>
              </w:rPr>
              <w:t>0620000000000</w:t>
            </w:r>
          </w:p>
        </w:tc>
        <w:tc>
          <w:tcPr>
            <w:tcW w:w="985" w:type="dxa"/>
            <w:gridSpan w:val="4"/>
            <w:tcBorders>
              <w:top w:val="single" w:sz="4" w:space="0" w:color="auto"/>
              <w:left w:val="single" w:sz="4" w:space="0" w:color="auto"/>
              <w:bottom w:val="single" w:sz="4" w:space="0" w:color="auto"/>
              <w:right w:val="single" w:sz="4" w:space="0" w:color="auto"/>
            </w:tcBorders>
            <w:shd w:val="clear" w:color="auto" w:fill="auto"/>
          </w:tcPr>
          <w:p w:rsidR="009D7E1B" w:rsidRPr="006B7A6B" w:rsidRDefault="009D7E1B" w:rsidP="009D7E1B">
            <w:pPr>
              <w:jc w:val="center"/>
              <w:rPr>
                <w:rFonts w:asciiTheme="minorHAnsi" w:hAnsiTheme="minorHAnsi" w:cstheme="minorHAnsi"/>
                <w:sz w:val="18"/>
              </w:rPr>
            </w:pP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tcPr>
          <w:p w:rsidR="009D7E1B" w:rsidRPr="006B7A6B" w:rsidRDefault="00A84281" w:rsidP="009D7E1B">
            <w:pPr>
              <w:jc w:val="right"/>
              <w:rPr>
                <w:rFonts w:asciiTheme="minorHAnsi" w:hAnsiTheme="minorHAnsi" w:cstheme="minorHAnsi"/>
                <w:sz w:val="18"/>
              </w:rPr>
            </w:pPr>
            <w:r>
              <w:rPr>
                <w:rFonts w:asciiTheme="minorHAnsi" w:hAnsiTheme="minorHAnsi" w:cstheme="minorHAnsi"/>
                <w:sz w:val="18"/>
              </w:rPr>
              <w:t>32,74</w:t>
            </w:r>
          </w:p>
        </w:tc>
        <w:tc>
          <w:tcPr>
            <w:tcW w:w="1134" w:type="dxa"/>
            <w:gridSpan w:val="10"/>
            <w:tcBorders>
              <w:top w:val="single" w:sz="4" w:space="0" w:color="auto"/>
              <w:left w:val="single" w:sz="4" w:space="0" w:color="auto"/>
              <w:bottom w:val="single" w:sz="4" w:space="0" w:color="auto"/>
              <w:right w:val="single" w:sz="4" w:space="0" w:color="auto"/>
            </w:tcBorders>
            <w:shd w:val="clear" w:color="auto" w:fill="auto"/>
          </w:tcPr>
          <w:p w:rsidR="009D7E1B" w:rsidRPr="006B7A6B" w:rsidRDefault="00A84281" w:rsidP="009D7E1B">
            <w:pPr>
              <w:jc w:val="right"/>
              <w:rPr>
                <w:rFonts w:asciiTheme="minorHAnsi" w:hAnsiTheme="minorHAnsi" w:cstheme="minorHAnsi"/>
                <w:sz w:val="18"/>
              </w:rPr>
            </w:pPr>
            <w:r>
              <w:rPr>
                <w:rFonts w:asciiTheme="minorHAnsi" w:hAnsiTheme="minorHAnsi" w:cstheme="minorHAnsi"/>
                <w:sz w:val="18"/>
              </w:rPr>
              <w:t>0</w:t>
            </w:r>
            <w:r w:rsidR="006B7A6B" w:rsidRPr="006B7A6B">
              <w:rPr>
                <w:rFonts w:asciiTheme="minorHAnsi" w:hAnsiTheme="minorHAnsi" w:cstheme="minorHAnsi"/>
                <w:sz w:val="18"/>
              </w:rPr>
              <w:t>,00</w:t>
            </w:r>
          </w:p>
        </w:tc>
        <w:tc>
          <w:tcPr>
            <w:tcW w:w="3402" w:type="dxa"/>
            <w:gridSpan w:val="22"/>
            <w:tcBorders>
              <w:top w:val="single" w:sz="4" w:space="0" w:color="auto"/>
              <w:left w:val="single" w:sz="4" w:space="0" w:color="auto"/>
              <w:bottom w:val="single" w:sz="4" w:space="0" w:color="auto"/>
              <w:right w:val="single" w:sz="4" w:space="0" w:color="auto"/>
            </w:tcBorders>
            <w:shd w:val="clear" w:color="auto" w:fill="auto"/>
          </w:tcPr>
          <w:p w:rsidR="009D7E1B" w:rsidRPr="006B7A6B" w:rsidRDefault="00A84281" w:rsidP="009D7E1B">
            <w:pPr>
              <w:rPr>
                <w:rFonts w:asciiTheme="minorHAnsi" w:hAnsiTheme="minorHAnsi" w:cstheme="minorHAnsi"/>
                <w:b/>
                <w:sz w:val="18"/>
                <w:u w:val="single"/>
              </w:rPr>
            </w:pPr>
            <w:r w:rsidRPr="00A84281">
              <w:rPr>
                <w:rFonts w:asciiTheme="minorHAnsi" w:hAnsiTheme="minorHAnsi" w:cstheme="minorHAnsi"/>
                <w:sz w:val="18"/>
              </w:rPr>
              <w:t>Ostatní nákupy - v loňském roce nebylo čerpáno</w:t>
            </w:r>
          </w:p>
        </w:tc>
      </w:tr>
      <w:tr w:rsidR="009D7E1B" w:rsidRPr="009A23B8" w:rsidTr="00F77BF1">
        <w:trPr>
          <w:gridAfter w:val="5"/>
          <w:wAfter w:w="721" w:type="dxa"/>
        </w:trPr>
        <w:tc>
          <w:tcPr>
            <w:tcW w:w="919" w:type="dxa"/>
            <w:gridSpan w:val="4"/>
            <w:tcBorders>
              <w:top w:val="single" w:sz="4" w:space="0" w:color="auto"/>
              <w:left w:val="single" w:sz="4" w:space="0" w:color="auto"/>
              <w:bottom w:val="single" w:sz="4" w:space="0" w:color="auto"/>
              <w:right w:val="single" w:sz="4" w:space="0" w:color="auto"/>
            </w:tcBorders>
            <w:shd w:val="clear" w:color="auto" w:fill="auto"/>
          </w:tcPr>
          <w:p w:rsidR="009D7E1B" w:rsidRPr="006B7A6B" w:rsidRDefault="009506CC" w:rsidP="009D7E1B">
            <w:pPr>
              <w:jc w:val="center"/>
              <w:rPr>
                <w:rFonts w:asciiTheme="minorHAnsi" w:hAnsiTheme="minorHAnsi" w:cstheme="minorHAnsi"/>
                <w:sz w:val="18"/>
              </w:rPr>
            </w:pPr>
            <w:r>
              <w:rPr>
                <w:rFonts w:asciiTheme="minorHAnsi" w:hAnsiTheme="minorHAnsi" w:cstheme="minorHAnsi"/>
                <w:sz w:val="18"/>
              </w:rPr>
              <w:t>3635</w:t>
            </w: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9D7E1B" w:rsidRPr="006B7A6B" w:rsidRDefault="009506CC" w:rsidP="009D7E1B">
            <w:pPr>
              <w:jc w:val="center"/>
              <w:rPr>
                <w:rFonts w:asciiTheme="minorHAnsi" w:hAnsiTheme="minorHAnsi" w:cstheme="minorHAnsi"/>
                <w:sz w:val="18"/>
              </w:rPr>
            </w:pPr>
            <w:r>
              <w:rPr>
                <w:rFonts w:asciiTheme="minorHAnsi" w:hAnsiTheme="minorHAnsi" w:cstheme="minorHAnsi"/>
                <w:sz w:val="18"/>
              </w:rPr>
              <w:t>6119</w:t>
            </w:r>
          </w:p>
        </w:tc>
        <w:tc>
          <w:tcPr>
            <w:tcW w:w="1418" w:type="dxa"/>
            <w:gridSpan w:val="7"/>
            <w:tcBorders>
              <w:top w:val="single" w:sz="4" w:space="0" w:color="auto"/>
              <w:left w:val="single" w:sz="4" w:space="0" w:color="auto"/>
              <w:bottom w:val="single" w:sz="4" w:space="0" w:color="auto"/>
              <w:right w:val="single" w:sz="4" w:space="0" w:color="auto"/>
            </w:tcBorders>
            <w:shd w:val="clear" w:color="auto" w:fill="auto"/>
          </w:tcPr>
          <w:p w:rsidR="009D7E1B" w:rsidRPr="006B7A6B" w:rsidRDefault="009D7E1B" w:rsidP="009506CC">
            <w:pPr>
              <w:jc w:val="center"/>
              <w:rPr>
                <w:rFonts w:asciiTheme="minorHAnsi" w:hAnsiTheme="minorHAnsi" w:cstheme="minorHAnsi"/>
                <w:sz w:val="18"/>
              </w:rPr>
            </w:pPr>
            <w:r w:rsidRPr="006B7A6B">
              <w:rPr>
                <w:rFonts w:asciiTheme="minorHAnsi" w:hAnsiTheme="minorHAnsi" w:cstheme="minorHAnsi"/>
                <w:sz w:val="18"/>
              </w:rPr>
              <w:t>06200</w:t>
            </w:r>
            <w:r w:rsidR="009506CC">
              <w:rPr>
                <w:rFonts w:asciiTheme="minorHAnsi" w:hAnsiTheme="minorHAnsi" w:cstheme="minorHAnsi"/>
                <w:sz w:val="18"/>
              </w:rPr>
              <w:t>31</w:t>
            </w:r>
            <w:r w:rsidRPr="006B7A6B">
              <w:rPr>
                <w:rFonts w:asciiTheme="minorHAnsi" w:hAnsiTheme="minorHAnsi" w:cstheme="minorHAnsi"/>
                <w:sz w:val="18"/>
              </w:rPr>
              <w:t>000000</w:t>
            </w:r>
          </w:p>
        </w:tc>
        <w:tc>
          <w:tcPr>
            <w:tcW w:w="985" w:type="dxa"/>
            <w:gridSpan w:val="4"/>
            <w:tcBorders>
              <w:top w:val="single" w:sz="4" w:space="0" w:color="auto"/>
              <w:left w:val="single" w:sz="4" w:space="0" w:color="auto"/>
              <w:bottom w:val="single" w:sz="4" w:space="0" w:color="auto"/>
              <w:right w:val="single" w:sz="4" w:space="0" w:color="auto"/>
            </w:tcBorders>
            <w:shd w:val="clear" w:color="auto" w:fill="auto"/>
          </w:tcPr>
          <w:p w:rsidR="009D7E1B" w:rsidRPr="006B7A6B" w:rsidRDefault="009D7E1B" w:rsidP="009D7E1B">
            <w:pPr>
              <w:jc w:val="center"/>
              <w:rPr>
                <w:rFonts w:asciiTheme="minorHAnsi" w:hAnsiTheme="minorHAnsi" w:cstheme="minorHAnsi"/>
                <w:sz w:val="18"/>
              </w:rPr>
            </w:pP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tcPr>
          <w:p w:rsidR="009D7E1B" w:rsidRPr="006B7A6B" w:rsidRDefault="009506CC" w:rsidP="009D7E1B">
            <w:pPr>
              <w:jc w:val="right"/>
              <w:rPr>
                <w:rFonts w:asciiTheme="minorHAnsi" w:hAnsiTheme="minorHAnsi" w:cstheme="minorHAnsi"/>
                <w:sz w:val="18"/>
              </w:rPr>
            </w:pPr>
            <w:r>
              <w:rPr>
                <w:rFonts w:asciiTheme="minorHAnsi" w:hAnsiTheme="minorHAnsi" w:cstheme="minorHAnsi"/>
                <w:sz w:val="18"/>
              </w:rPr>
              <w:t>309,76</w:t>
            </w:r>
          </w:p>
        </w:tc>
        <w:tc>
          <w:tcPr>
            <w:tcW w:w="1134" w:type="dxa"/>
            <w:gridSpan w:val="10"/>
            <w:tcBorders>
              <w:top w:val="single" w:sz="4" w:space="0" w:color="auto"/>
              <w:left w:val="single" w:sz="4" w:space="0" w:color="auto"/>
              <w:bottom w:val="single" w:sz="4" w:space="0" w:color="auto"/>
              <w:right w:val="single" w:sz="4" w:space="0" w:color="auto"/>
            </w:tcBorders>
            <w:shd w:val="clear" w:color="auto" w:fill="auto"/>
          </w:tcPr>
          <w:p w:rsidR="009D7E1B" w:rsidRPr="006B7A6B" w:rsidRDefault="009506CC" w:rsidP="006B7A6B">
            <w:pPr>
              <w:jc w:val="right"/>
              <w:rPr>
                <w:rFonts w:asciiTheme="minorHAnsi" w:hAnsiTheme="minorHAnsi" w:cstheme="minorHAnsi"/>
                <w:sz w:val="18"/>
              </w:rPr>
            </w:pPr>
            <w:r>
              <w:rPr>
                <w:rFonts w:asciiTheme="minorHAnsi" w:hAnsiTheme="minorHAnsi" w:cstheme="minorHAnsi"/>
                <w:sz w:val="18"/>
              </w:rPr>
              <w:t>164,56</w:t>
            </w:r>
          </w:p>
        </w:tc>
        <w:tc>
          <w:tcPr>
            <w:tcW w:w="3402" w:type="dxa"/>
            <w:gridSpan w:val="22"/>
            <w:tcBorders>
              <w:top w:val="single" w:sz="4" w:space="0" w:color="auto"/>
              <w:left w:val="single" w:sz="4" w:space="0" w:color="auto"/>
              <w:bottom w:val="single" w:sz="4" w:space="0" w:color="auto"/>
              <w:right w:val="single" w:sz="4" w:space="0" w:color="auto"/>
            </w:tcBorders>
            <w:shd w:val="clear" w:color="auto" w:fill="auto"/>
          </w:tcPr>
          <w:p w:rsidR="009D7E1B" w:rsidRPr="006B7A6B" w:rsidRDefault="00A84281" w:rsidP="006B7A6B">
            <w:pPr>
              <w:rPr>
                <w:rFonts w:asciiTheme="minorHAnsi" w:hAnsiTheme="minorHAnsi" w:cstheme="minorHAnsi"/>
                <w:sz w:val="18"/>
              </w:rPr>
            </w:pPr>
            <w:r w:rsidRPr="00A84281">
              <w:rPr>
                <w:rFonts w:asciiTheme="minorHAnsi" w:hAnsiTheme="minorHAnsi" w:cstheme="minorHAnsi"/>
                <w:sz w:val="18"/>
              </w:rPr>
              <w:t>V. změna Územního plánu Prostějov, realizováno, bude dorealizováno v roce 2023 (smlouva upravena dodatkem)</w:t>
            </w:r>
          </w:p>
        </w:tc>
      </w:tr>
      <w:tr w:rsidR="006B7A6B" w:rsidRPr="009A23B8" w:rsidTr="00F77BF1">
        <w:trPr>
          <w:gridAfter w:val="5"/>
          <w:wAfter w:w="721" w:type="dxa"/>
        </w:trPr>
        <w:tc>
          <w:tcPr>
            <w:tcW w:w="919" w:type="dxa"/>
            <w:gridSpan w:val="4"/>
            <w:tcBorders>
              <w:top w:val="single" w:sz="4" w:space="0" w:color="auto"/>
              <w:left w:val="single" w:sz="4" w:space="0" w:color="auto"/>
              <w:bottom w:val="single" w:sz="4" w:space="0" w:color="auto"/>
              <w:right w:val="single" w:sz="4" w:space="0" w:color="auto"/>
            </w:tcBorders>
            <w:shd w:val="clear" w:color="auto" w:fill="auto"/>
          </w:tcPr>
          <w:p w:rsidR="006B7A6B" w:rsidRPr="006B7A6B" w:rsidRDefault="006B7A6B" w:rsidP="006B7A6B">
            <w:pPr>
              <w:jc w:val="center"/>
              <w:rPr>
                <w:rFonts w:asciiTheme="minorHAnsi" w:hAnsiTheme="minorHAnsi" w:cstheme="minorHAnsi"/>
                <w:sz w:val="18"/>
              </w:rPr>
            </w:pPr>
            <w:r w:rsidRPr="006B7A6B">
              <w:rPr>
                <w:rFonts w:asciiTheme="minorHAnsi" w:hAnsiTheme="minorHAnsi" w:cstheme="minorHAnsi"/>
                <w:sz w:val="18"/>
              </w:rPr>
              <w:t>3635</w:t>
            </w: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6B7A6B" w:rsidRPr="006B7A6B" w:rsidRDefault="009506CC" w:rsidP="006B7A6B">
            <w:pPr>
              <w:jc w:val="center"/>
              <w:rPr>
                <w:rFonts w:asciiTheme="minorHAnsi" w:hAnsiTheme="minorHAnsi" w:cstheme="minorHAnsi"/>
                <w:sz w:val="18"/>
              </w:rPr>
            </w:pPr>
            <w:r>
              <w:rPr>
                <w:rFonts w:asciiTheme="minorHAnsi" w:hAnsiTheme="minorHAnsi" w:cstheme="minorHAnsi"/>
                <w:sz w:val="18"/>
              </w:rPr>
              <w:t>6119</w:t>
            </w:r>
          </w:p>
        </w:tc>
        <w:tc>
          <w:tcPr>
            <w:tcW w:w="1418" w:type="dxa"/>
            <w:gridSpan w:val="7"/>
            <w:tcBorders>
              <w:top w:val="single" w:sz="4" w:space="0" w:color="auto"/>
              <w:left w:val="single" w:sz="4" w:space="0" w:color="auto"/>
              <w:bottom w:val="single" w:sz="4" w:space="0" w:color="auto"/>
              <w:right w:val="single" w:sz="4" w:space="0" w:color="auto"/>
            </w:tcBorders>
            <w:shd w:val="clear" w:color="auto" w:fill="auto"/>
          </w:tcPr>
          <w:p w:rsidR="006B7A6B" w:rsidRPr="006B7A6B" w:rsidRDefault="006B7A6B" w:rsidP="009506CC">
            <w:pPr>
              <w:jc w:val="center"/>
              <w:rPr>
                <w:rFonts w:asciiTheme="minorHAnsi" w:hAnsiTheme="minorHAnsi" w:cstheme="minorHAnsi"/>
                <w:sz w:val="18"/>
              </w:rPr>
            </w:pPr>
            <w:r w:rsidRPr="006B7A6B">
              <w:rPr>
                <w:rFonts w:asciiTheme="minorHAnsi" w:hAnsiTheme="minorHAnsi" w:cstheme="minorHAnsi"/>
                <w:sz w:val="18"/>
              </w:rPr>
              <w:t>06200</w:t>
            </w:r>
            <w:r w:rsidR="009506CC">
              <w:rPr>
                <w:rFonts w:asciiTheme="minorHAnsi" w:hAnsiTheme="minorHAnsi" w:cstheme="minorHAnsi"/>
                <w:sz w:val="18"/>
              </w:rPr>
              <w:t>33</w:t>
            </w:r>
            <w:r w:rsidRPr="006B7A6B">
              <w:rPr>
                <w:rFonts w:asciiTheme="minorHAnsi" w:hAnsiTheme="minorHAnsi" w:cstheme="minorHAnsi"/>
                <w:sz w:val="18"/>
              </w:rPr>
              <w:t>000000</w:t>
            </w:r>
          </w:p>
        </w:tc>
        <w:tc>
          <w:tcPr>
            <w:tcW w:w="985" w:type="dxa"/>
            <w:gridSpan w:val="4"/>
            <w:tcBorders>
              <w:top w:val="single" w:sz="4" w:space="0" w:color="auto"/>
              <w:left w:val="single" w:sz="4" w:space="0" w:color="auto"/>
              <w:bottom w:val="single" w:sz="4" w:space="0" w:color="auto"/>
              <w:right w:val="single" w:sz="4" w:space="0" w:color="auto"/>
            </w:tcBorders>
            <w:shd w:val="clear" w:color="auto" w:fill="auto"/>
          </w:tcPr>
          <w:p w:rsidR="006B7A6B" w:rsidRPr="006B7A6B" w:rsidRDefault="006B7A6B" w:rsidP="006B7A6B">
            <w:pPr>
              <w:jc w:val="center"/>
              <w:rPr>
                <w:rFonts w:asciiTheme="minorHAnsi" w:hAnsiTheme="minorHAnsi" w:cstheme="minorHAnsi"/>
                <w:sz w:val="18"/>
              </w:rPr>
            </w:pP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tcPr>
          <w:p w:rsidR="006B7A6B" w:rsidRPr="006B7A6B" w:rsidRDefault="009506CC" w:rsidP="006B7A6B">
            <w:pPr>
              <w:jc w:val="right"/>
              <w:rPr>
                <w:rFonts w:asciiTheme="minorHAnsi" w:hAnsiTheme="minorHAnsi" w:cstheme="minorHAnsi"/>
                <w:sz w:val="18"/>
              </w:rPr>
            </w:pPr>
            <w:r>
              <w:rPr>
                <w:rFonts w:asciiTheme="minorHAnsi" w:hAnsiTheme="minorHAnsi" w:cstheme="minorHAnsi"/>
                <w:sz w:val="18"/>
              </w:rPr>
              <w:t>500,00</w:t>
            </w:r>
          </w:p>
        </w:tc>
        <w:tc>
          <w:tcPr>
            <w:tcW w:w="1134" w:type="dxa"/>
            <w:gridSpan w:val="10"/>
            <w:tcBorders>
              <w:top w:val="single" w:sz="4" w:space="0" w:color="auto"/>
              <w:left w:val="single" w:sz="4" w:space="0" w:color="auto"/>
              <w:bottom w:val="single" w:sz="4" w:space="0" w:color="auto"/>
              <w:right w:val="single" w:sz="4" w:space="0" w:color="auto"/>
            </w:tcBorders>
            <w:shd w:val="clear" w:color="auto" w:fill="auto"/>
          </w:tcPr>
          <w:p w:rsidR="006B7A6B" w:rsidRPr="006B7A6B" w:rsidRDefault="009506CC" w:rsidP="006B7A6B">
            <w:pPr>
              <w:jc w:val="right"/>
              <w:rPr>
                <w:rFonts w:asciiTheme="minorHAnsi" w:hAnsiTheme="minorHAnsi" w:cstheme="minorHAnsi"/>
                <w:sz w:val="18"/>
              </w:rPr>
            </w:pPr>
            <w:r>
              <w:rPr>
                <w:rFonts w:asciiTheme="minorHAnsi" w:hAnsiTheme="minorHAnsi" w:cstheme="minorHAnsi"/>
                <w:sz w:val="18"/>
              </w:rPr>
              <w:t>0</w:t>
            </w:r>
            <w:r w:rsidR="006B7A6B" w:rsidRPr="006B7A6B">
              <w:rPr>
                <w:rFonts w:asciiTheme="minorHAnsi" w:hAnsiTheme="minorHAnsi" w:cstheme="minorHAnsi"/>
                <w:sz w:val="18"/>
              </w:rPr>
              <w:t>,</w:t>
            </w:r>
            <w:r>
              <w:rPr>
                <w:rFonts w:asciiTheme="minorHAnsi" w:hAnsiTheme="minorHAnsi" w:cstheme="minorHAnsi"/>
                <w:sz w:val="18"/>
              </w:rPr>
              <w:t>0</w:t>
            </w:r>
            <w:r w:rsidR="006B7A6B" w:rsidRPr="006B7A6B">
              <w:rPr>
                <w:rFonts w:asciiTheme="minorHAnsi" w:hAnsiTheme="minorHAnsi" w:cstheme="minorHAnsi"/>
                <w:sz w:val="18"/>
              </w:rPr>
              <w:t>0</w:t>
            </w:r>
          </w:p>
        </w:tc>
        <w:tc>
          <w:tcPr>
            <w:tcW w:w="3402" w:type="dxa"/>
            <w:gridSpan w:val="22"/>
            <w:tcBorders>
              <w:top w:val="single" w:sz="4" w:space="0" w:color="auto"/>
              <w:left w:val="single" w:sz="4" w:space="0" w:color="auto"/>
              <w:bottom w:val="single" w:sz="4" w:space="0" w:color="auto"/>
              <w:right w:val="single" w:sz="4" w:space="0" w:color="auto"/>
            </w:tcBorders>
            <w:shd w:val="clear" w:color="auto" w:fill="auto"/>
          </w:tcPr>
          <w:p w:rsidR="006B7A6B" w:rsidRPr="006B7A6B" w:rsidRDefault="009506CC" w:rsidP="006B7A6B">
            <w:pPr>
              <w:rPr>
                <w:rFonts w:asciiTheme="minorHAnsi" w:hAnsiTheme="minorHAnsi" w:cstheme="minorHAnsi"/>
                <w:sz w:val="18"/>
              </w:rPr>
            </w:pPr>
            <w:r w:rsidRPr="009506CC">
              <w:rPr>
                <w:rFonts w:asciiTheme="minorHAnsi" w:hAnsiTheme="minorHAnsi" w:cstheme="minorHAnsi"/>
                <w:sz w:val="18"/>
              </w:rPr>
              <w:t>Soutěž K</w:t>
            </w:r>
            <w:r w:rsidR="00F77BF1">
              <w:rPr>
                <w:rFonts w:asciiTheme="minorHAnsi" w:hAnsiTheme="minorHAnsi" w:cstheme="minorHAnsi"/>
                <w:sz w:val="18"/>
              </w:rPr>
              <w:t>asárna – bude realizováno v r.</w:t>
            </w:r>
            <w:r w:rsidRPr="009506CC">
              <w:rPr>
                <w:rFonts w:asciiTheme="minorHAnsi" w:hAnsiTheme="minorHAnsi" w:cstheme="minorHAnsi"/>
                <w:sz w:val="18"/>
              </w:rPr>
              <w:t xml:space="preserve"> 2023</w:t>
            </w:r>
          </w:p>
        </w:tc>
      </w:tr>
      <w:tr w:rsidR="006B7A6B" w:rsidRPr="009A23B8" w:rsidTr="00F77BF1">
        <w:trPr>
          <w:gridAfter w:val="5"/>
          <w:wAfter w:w="721" w:type="dxa"/>
        </w:trPr>
        <w:tc>
          <w:tcPr>
            <w:tcW w:w="919" w:type="dxa"/>
            <w:gridSpan w:val="4"/>
            <w:tcBorders>
              <w:top w:val="single" w:sz="4" w:space="0" w:color="auto"/>
              <w:left w:val="single" w:sz="4" w:space="0" w:color="auto"/>
              <w:bottom w:val="single" w:sz="4" w:space="0" w:color="auto"/>
              <w:right w:val="single" w:sz="4" w:space="0" w:color="auto"/>
            </w:tcBorders>
            <w:shd w:val="clear" w:color="auto" w:fill="auto"/>
          </w:tcPr>
          <w:p w:rsidR="006B7A6B" w:rsidRPr="006B7A6B" w:rsidRDefault="006B7A6B" w:rsidP="006B7A6B">
            <w:pPr>
              <w:jc w:val="center"/>
              <w:rPr>
                <w:rFonts w:asciiTheme="minorHAnsi" w:hAnsiTheme="minorHAnsi" w:cstheme="minorHAnsi"/>
                <w:sz w:val="18"/>
              </w:rPr>
            </w:pPr>
            <w:r w:rsidRPr="006B7A6B">
              <w:rPr>
                <w:rFonts w:asciiTheme="minorHAnsi" w:hAnsiTheme="minorHAnsi" w:cstheme="minorHAnsi"/>
                <w:sz w:val="18"/>
              </w:rPr>
              <w:t>3635</w:t>
            </w: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6B7A6B" w:rsidRPr="006B7A6B" w:rsidRDefault="009506CC" w:rsidP="006B7A6B">
            <w:pPr>
              <w:jc w:val="center"/>
              <w:rPr>
                <w:rFonts w:asciiTheme="minorHAnsi" w:hAnsiTheme="minorHAnsi" w:cstheme="minorHAnsi"/>
                <w:sz w:val="18"/>
              </w:rPr>
            </w:pPr>
            <w:r>
              <w:rPr>
                <w:rFonts w:asciiTheme="minorHAnsi" w:hAnsiTheme="minorHAnsi" w:cstheme="minorHAnsi"/>
                <w:sz w:val="18"/>
              </w:rPr>
              <w:t>6119</w:t>
            </w:r>
          </w:p>
        </w:tc>
        <w:tc>
          <w:tcPr>
            <w:tcW w:w="1418" w:type="dxa"/>
            <w:gridSpan w:val="7"/>
            <w:tcBorders>
              <w:top w:val="single" w:sz="4" w:space="0" w:color="auto"/>
              <w:left w:val="single" w:sz="4" w:space="0" w:color="auto"/>
              <w:bottom w:val="single" w:sz="4" w:space="0" w:color="auto"/>
              <w:right w:val="single" w:sz="4" w:space="0" w:color="auto"/>
            </w:tcBorders>
            <w:shd w:val="clear" w:color="auto" w:fill="auto"/>
          </w:tcPr>
          <w:p w:rsidR="006B7A6B" w:rsidRPr="006B7A6B" w:rsidRDefault="006B7A6B" w:rsidP="009506CC">
            <w:pPr>
              <w:jc w:val="center"/>
              <w:rPr>
                <w:rFonts w:asciiTheme="minorHAnsi" w:hAnsiTheme="minorHAnsi" w:cstheme="minorHAnsi"/>
                <w:sz w:val="18"/>
              </w:rPr>
            </w:pPr>
            <w:r w:rsidRPr="006B7A6B">
              <w:rPr>
                <w:rFonts w:asciiTheme="minorHAnsi" w:hAnsiTheme="minorHAnsi" w:cstheme="minorHAnsi"/>
                <w:sz w:val="18"/>
              </w:rPr>
              <w:t>06200</w:t>
            </w:r>
            <w:r w:rsidR="009506CC">
              <w:rPr>
                <w:rFonts w:asciiTheme="minorHAnsi" w:hAnsiTheme="minorHAnsi" w:cstheme="minorHAnsi"/>
                <w:sz w:val="18"/>
              </w:rPr>
              <w:t>35</w:t>
            </w:r>
            <w:r w:rsidRPr="006B7A6B">
              <w:rPr>
                <w:rFonts w:asciiTheme="minorHAnsi" w:hAnsiTheme="minorHAnsi" w:cstheme="minorHAnsi"/>
                <w:sz w:val="18"/>
              </w:rPr>
              <w:t>000000</w:t>
            </w:r>
          </w:p>
        </w:tc>
        <w:tc>
          <w:tcPr>
            <w:tcW w:w="985" w:type="dxa"/>
            <w:gridSpan w:val="4"/>
            <w:tcBorders>
              <w:top w:val="single" w:sz="4" w:space="0" w:color="auto"/>
              <w:left w:val="single" w:sz="4" w:space="0" w:color="auto"/>
              <w:bottom w:val="single" w:sz="4" w:space="0" w:color="auto"/>
              <w:right w:val="single" w:sz="4" w:space="0" w:color="auto"/>
            </w:tcBorders>
            <w:shd w:val="clear" w:color="auto" w:fill="auto"/>
          </w:tcPr>
          <w:p w:rsidR="006B7A6B" w:rsidRPr="006B7A6B" w:rsidRDefault="006B7A6B" w:rsidP="006B7A6B">
            <w:pPr>
              <w:jc w:val="center"/>
              <w:rPr>
                <w:rFonts w:asciiTheme="minorHAnsi" w:hAnsiTheme="minorHAnsi" w:cstheme="minorHAnsi"/>
                <w:sz w:val="18"/>
              </w:rPr>
            </w:pP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tcPr>
          <w:p w:rsidR="006B7A6B" w:rsidRPr="006B7A6B" w:rsidRDefault="009506CC" w:rsidP="006B7A6B">
            <w:pPr>
              <w:jc w:val="right"/>
              <w:rPr>
                <w:rFonts w:asciiTheme="minorHAnsi" w:hAnsiTheme="minorHAnsi" w:cstheme="minorHAnsi"/>
                <w:sz w:val="18"/>
              </w:rPr>
            </w:pPr>
            <w:r>
              <w:rPr>
                <w:rFonts w:asciiTheme="minorHAnsi" w:hAnsiTheme="minorHAnsi" w:cstheme="minorHAnsi"/>
                <w:sz w:val="18"/>
              </w:rPr>
              <w:t>180,00</w:t>
            </w:r>
          </w:p>
        </w:tc>
        <w:tc>
          <w:tcPr>
            <w:tcW w:w="1134" w:type="dxa"/>
            <w:gridSpan w:val="10"/>
            <w:tcBorders>
              <w:top w:val="single" w:sz="4" w:space="0" w:color="auto"/>
              <w:left w:val="single" w:sz="4" w:space="0" w:color="auto"/>
              <w:bottom w:val="single" w:sz="4" w:space="0" w:color="auto"/>
              <w:right w:val="single" w:sz="4" w:space="0" w:color="auto"/>
            </w:tcBorders>
            <w:shd w:val="clear" w:color="auto" w:fill="auto"/>
          </w:tcPr>
          <w:p w:rsidR="006B7A6B" w:rsidRPr="006B7A6B" w:rsidRDefault="009506CC" w:rsidP="006B7A6B">
            <w:pPr>
              <w:jc w:val="right"/>
              <w:rPr>
                <w:rFonts w:asciiTheme="minorHAnsi" w:hAnsiTheme="minorHAnsi" w:cstheme="minorHAnsi"/>
                <w:sz w:val="18"/>
              </w:rPr>
            </w:pPr>
            <w:r>
              <w:rPr>
                <w:rFonts w:asciiTheme="minorHAnsi" w:hAnsiTheme="minorHAnsi" w:cstheme="minorHAnsi"/>
                <w:sz w:val="18"/>
              </w:rPr>
              <w:t>0,0</w:t>
            </w:r>
            <w:r w:rsidR="006B7A6B" w:rsidRPr="006B7A6B">
              <w:rPr>
                <w:rFonts w:asciiTheme="minorHAnsi" w:hAnsiTheme="minorHAnsi" w:cstheme="minorHAnsi"/>
                <w:sz w:val="18"/>
              </w:rPr>
              <w:t>0</w:t>
            </w:r>
          </w:p>
        </w:tc>
        <w:tc>
          <w:tcPr>
            <w:tcW w:w="3402" w:type="dxa"/>
            <w:gridSpan w:val="22"/>
            <w:tcBorders>
              <w:top w:val="single" w:sz="4" w:space="0" w:color="auto"/>
              <w:left w:val="single" w:sz="4" w:space="0" w:color="auto"/>
              <w:bottom w:val="single" w:sz="4" w:space="0" w:color="auto"/>
              <w:right w:val="single" w:sz="4" w:space="0" w:color="auto"/>
            </w:tcBorders>
            <w:shd w:val="clear" w:color="auto" w:fill="auto"/>
          </w:tcPr>
          <w:p w:rsidR="006B7A6B" w:rsidRPr="006B7A6B" w:rsidRDefault="009506CC" w:rsidP="006B7A6B">
            <w:pPr>
              <w:rPr>
                <w:rFonts w:asciiTheme="minorHAnsi" w:hAnsiTheme="minorHAnsi" w:cstheme="minorHAnsi"/>
                <w:sz w:val="18"/>
              </w:rPr>
            </w:pPr>
            <w:r w:rsidRPr="009506CC">
              <w:rPr>
                <w:rFonts w:asciiTheme="minorHAnsi" w:hAnsiTheme="minorHAnsi" w:cstheme="minorHAnsi"/>
                <w:sz w:val="18"/>
              </w:rPr>
              <w:t>Územní studie Z14 Werichova – Brněnská – bude realizováno v roce 2023</w:t>
            </w:r>
          </w:p>
        </w:tc>
      </w:tr>
      <w:tr w:rsidR="006B7A6B" w:rsidRPr="009A23B8" w:rsidTr="00F77BF1">
        <w:trPr>
          <w:gridAfter w:val="5"/>
          <w:wAfter w:w="721" w:type="dxa"/>
        </w:trPr>
        <w:tc>
          <w:tcPr>
            <w:tcW w:w="919" w:type="dxa"/>
            <w:gridSpan w:val="4"/>
            <w:tcBorders>
              <w:top w:val="single" w:sz="4" w:space="0" w:color="auto"/>
              <w:left w:val="single" w:sz="4" w:space="0" w:color="auto"/>
              <w:bottom w:val="single" w:sz="4" w:space="0" w:color="auto"/>
              <w:right w:val="single" w:sz="4" w:space="0" w:color="auto"/>
            </w:tcBorders>
            <w:shd w:val="clear" w:color="auto" w:fill="auto"/>
          </w:tcPr>
          <w:p w:rsidR="006B7A6B" w:rsidRPr="006B7A6B" w:rsidRDefault="006B7A6B" w:rsidP="006B7A6B">
            <w:pPr>
              <w:jc w:val="center"/>
              <w:rPr>
                <w:rFonts w:asciiTheme="minorHAnsi" w:hAnsiTheme="minorHAnsi" w:cstheme="minorHAnsi"/>
                <w:sz w:val="18"/>
              </w:rPr>
            </w:pPr>
            <w:r w:rsidRPr="006B7A6B">
              <w:rPr>
                <w:rFonts w:asciiTheme="minorHAnsi" w:hAnsiTheme="minorHAnsi" w:cstheme="minorHAnsi"/>
                <w:sz w:val="18"/>
              </w:rPr>
              <w:t>3635</w:t>
            </w: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6B7A6B" w:rsidRPr="006B7A6B" w:rsidRDefault="006B7A6B" w:rsidP="006B7A6B">
            <w:pPr>
              <w:jc w:val="center"/>
              <w:rPr>
                <w:rFonts w:asciiTheme="minorHAnsi" w:hAnsiTheme="minorHAnsi" w:cstheme="minorHAnsi"/>
                <w:sz w:val="18"/>
              </w:rPr>
            </w:pPr>
            <w:r w:rsidRPr="006B7A6B">
              <w:rPr>
                <w:rFonts w:asciiTheme="minorHAnsi" w:hAnsiTheme="minorHAnsi" w:cstheme="minorHAnsi"/>
                <w:sz w:val="18"/>
              </w:rPr>
              <w:t>6119</w:t>
            </w:r>
          </w:p>
        </w:tc>
        <w:tc>
          <w:tcPr>
            <w:tcW w:w="1418" w:type="dxa"/>
            <w:gridSpan w:val="7"/>
            <w:tcBorders>
              <w:top w:val="single" w:sz="4" w:space="0" w:color="auto"/>
              <w:left w:val="single" w:sz="4" w:space="0" w:color="auto"/>
              <w:bottom w:val="single" w:sz="4" w:space="0" w:color="auto"/>
              <w:right w:val="single" w:sz="4" w:space="0" w:color="auto"/>
            </w:tcBorders>
            <w:shd w:val="clear" w:color="auto" w:fill="auto"/>
          </w:tcPr>
          <w:p w:rsidR="006B7A6B" w:rsidRPr="006B7A6B" w:rsidRDefault="006B7A6B" w:rsidP="009506CC">
            <w:pPr>
              <w:jc w:val="center"/>
              <w:rPr>
                <w:rFonts w:asciiTheme="minorHAnsi" w:hAnsiTheme="minorHAnsi" w:cstheme="minorHAnsi"/>
                <w:sz w:val="18"/>
              </w:rPr>
            </w:pPr>
            <w:r w:rsidRPr="006B7A6B">
              <w:rPr>
                <w:rFonts w:asciiTheme="minorHAnsi" w:hAnsiTheme="minorHAnsi" w:cstheme="minorHAnsi"/>
                <w:sz w:val="18"/>
              </w:rPr>
              <w:t>062003</w:t>
            </w:r>
            <w:r w:rsidR="009506CC">
              <w:rPr>
                <w:rFonts w:asciiTheme="minorHAnsi" w:hAnsiTheme="minorHAnsi" w:cstheme="minorHAnsi"/>
                <w:sz w:val="18"/>
              </w:rPr>
              <w:t>6</w:t>
            </w:r>
            <w:r w:rsidRPr="006B7A6B">
              <w:rPr>
                <w:rFonts w:asciiTheme="minorHAnsi" w:hAnsiTheme="minorHAnsi" w:cstheme="minorHAnsi"/>
                <w:sz w:val="18"/>
              </w:rPr>
              <w:t>000000</w:t>
            </w:r>
          </w:p>
        </w:tc>
        <w:tc>
          <w:tcPr>
            <w:tcW w:w="985" w:type="dxa"/>
            <w:gridSpan w:val="4"/>
            <w:tcBorders>
              <w:top w:val="single" w:sz="4" w:space="0" w:color="auto"/>
              <w:left w:val="single" w:sz="4" w:space="0" w:color="auto"/>
              <w:bottom w:val="single" w:sz="4" w:space="0" w:color="auto"/>
              <w:right w:val="single" w:sz="4" w:space="0" w:color="auto"/>
            </w:tcBorders>
            <w:shd w:val="clear" w:color="auto" w:fill="auto"/>
          </w:tcPr>
          <w:p w:rsidR="006B7A6B" w:rsidRPr="006B7A6B" w:rsidRDefault="006B7A6B" w:rsidP="006B7A6B">
            <w:pPr>
              <w:jc w:val="center"/>
              <w:rPr>
                <w:rFonts w:asciiTheme="minorHAnsi" w:hAnsiTheme="minorHAnsi" w:cstheme="minorHAnsi"/>
                <w:sz w:val="18"/>
              </w:rPr>
            </w:pP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tcPr>
          <w:p w:rsidR="006B7A6B" w:rsidRPr="006B7A6B" w:rsidRDefault="009506CC" w:rsidP="006B7A6B">
            <w:pPr>
              <w:jc w:val="right"/>
              <w:rPr>
                <w:rFonts w:asciiTheme="minorHAnsi" w:hAnsiTheme="minorHAnsi" w:cstheme="minorHAnsi"/>
                <w:sz w:val="18"/>
              </w:rPr>
            </w:pPr>
            <w:r>
              <w:rPr>
                <w:rFonts w:asciiTheme="minorHAnsi" w:hAnsiTheme="minorHAnsi" w:cstheme="minorHAnsi"/>
                <w:sz w:val="18"/>
              </w:rPr>
              <w:t>1 327,37</w:t>
            </w:r>
          </w:p>
        </w:tc>
        <w:tc>
          <w:tcPr>
            <w:tcW w:w="1134" w:type="dxa"/>
            <w:gridSpan w:val="10"/>
            <w:tcBorders>
              <w:top w:val="single" w:sz="4" w:space="0" w:color="auto"/>
              <w:left w:val="single" w:sz="4" w:space="0" w:color="auto"/>
              <w:bottom w:val="single" w:sz="4" w:space="0" w:color="auto"/>
              <w:right w:val="single" w:sz="4" w:space="0" w:color="auto"/>
            </w:tcBorders>
            <w:shd w:val="clear" w:color="auto" w:fill="auto"/>
          </w:tcPr>
          <w:p w:rsidR="006B7A6B" w:rsidRPr="006B7A6B" w:rsidRDefault="009506CC" w:rsidP="006B7A6B">
            <w:pPr>
              <w:jc w:val="right"/>
              <w:rPr>
                <w:rFonts w:asciiTheme="minorHAnsi" w:hAnsiTheme="minorHAnsi" w:cstheme="minorHAnsi"/>
                <w:sz w:val="18"/>
              </w:rPr>
            </w:pPr>
            <w:r>
              <w:rPr>
                <w:rFonts w:asciiTheme="minorHAnsi" w:hAnsiTheme="minorHAnsi" w:cstheme="minorHAnsi"/>
                <w:sz w:val="18"/>
              </w:rPr>
              <w:t>0,00</w:t>
            </w:r>
          </w:p>
        </w:tc>
        <w:tc>
          <w:tcPr>
            <w:tcW w:w="3402" w:type="dxa"/>
            <w:gridSpan w:val="22"/>
            <w:tcBorders>
              <w:top w:val="single" w:sz="4" w:space="0" w:color="auto"/>
              <w:left w:val="single" w:sz="4" w:space="0" w:color="auto"/>
              <w:bottom w:val="single" w:sz="4" w:space="0" w:color="auto"/>
              <w:right w:val="single" w:sz="4" w:space="0" w:color="auto"/>
            </w:tcBorders>
            <w:shd w:val="clear" w:color="auto" w:fill="auto"/>
          </w:tcPr>
          <w:p w:rsidR="006B7A6B" w:rsidRPr="006B7A6B" w:rsidRDefault="009506CC" w:rsidP="006B7A6B">
            <w:pPr>
              <w:rPr>
                <w:rFonts w:asciiTheme="minorHAnsi" w:hAnsiTheme="minorHAnsi" w:cstheme="minorHAnsi"/>
                <w:sz w:val="18"/>
              </w:rPr>
            </w:pPr>
            <w:r w:rsidRPr="009506CC">
              <w:rPr>
                <w:rFonts w:asciiTheme="minorHAnsi" w:hAnsiTheme="minorHAnsi" w:cstheme="minorHAnsi"/>
                <w:sz w:val="18"/>
              </w:rPr>
              <w:t>Územní studie veřejných prostranství – bude realizováno v roce 2023</w:t>
            </w:r>
          </w:p>
        </w:tc>
      </w:tr>
    </w:tbl>
    <w:p w:rsidR="00535B34" w:rsidRPr="009A23B8" w:rsidRDefault="00535B34" w:rsidP="00B608DD">
      <w:pPr>
        <w:rPr>
          <w:rFonts w:ascii="Calibri" w:hAnsi="Calibri" w:cs="Calibri"/>
          <w:color w:val="FF0000"/>
          <w:sz w:val="18"/>
          <w:szCs w:val="18"/>
        </w:rPr>
      </w:pPr>
    </w:p>
    <w:p w:rsidR="00376246" w:rsidRPr="00392BFC" w:rsidRDefault="00376246" w:rsidP="00376246">
      <w:pPr>
        <w:jc w:val="both"/>
        <w:rPr>
          <w:rFonts w:asciiTheme="minorHAnsi" w:hAnsiTheme="minorHAnsi" w:cstheme="minorHAnsi"/>
          <w:b/>
          <w:sz w:val="18"/>
          <w:szCs w:val="18"/>
        </w:rPr>
      </w:pPr>
      <w:r w:rsidRPr="00392BFC">
        <w:rPr>
          <w:rFonts w:asciiTheme="minorHAnsi" w:hAnsiTheme="minorHAnsi" w:cstheme="minorHAnsi"/>
          <w:b/>
          <w:sz w:val="18"/>
          <w:szCs w:val="18"/>
        </w:rPr>
        <w:t>Přehled r</w:t>
      </w:r>
      <w:r w:rsidR="00EB1438" w:rsidRPr="00392BFC">
        <w:rPr>
          <w:rFonts w:asciiTheme="minorHAnsi" w:hAnsiTheme="minorHAnsi" w:cstheme="minorHAnsi"/>
          <w:b/>
          <w:sz w:val="18"/>
          <w:szCs w:val="18"/>
        </w:rPr>
        <w:t>o</w:t>
      </w:r>
      <w:r w:rsidR="00392BFC" w:rsidRPr="00392BFC">
        <w:rPr>
          <w:rFonts w:asciiTheme="minorHAnsi" w:hAnsiTheme="minorHAnsi" w:cstheme="minorHAnsi"/>
          <w:b/>
          <w:sz w:val="18"/>
          <w:szCs w:val="18"/>
        </w:rPr>
        <w:t>zpočtových opatření k 31.</w:t>
      </w:r>
      <w:r w:rsidR="00F77BF1">
        <w:rPr>
          <w:rFonts w:asciiTheme="minorHAnsi" w:hAnsiTheme="minorHAnsi" w:cstheme="minorHAnsi"/>
          <w:b/>
          <w:sz w:val="18"/>
          <w:szCs w:val="18"/>
        </w:rPr>
        <w:t xml:space="preserve"> </w:t>
      </w:r>
      <w:r w:rsidR="00392BFC" w:rsidRPr="00392BFC">
        <w:rPr>
          <w:rFonts w:asciiTheme="minorHAnsi" w:hAnsiTheme="minorHAnsi" w:cstheme="minorHAnsi"/>
          <w:b/>
          <w:sz w:val="18"/>
          <w:szCs w:val="18"/>
        </w:rPr>
        <w:t>12.</w:t>
      </w:r>
      <w:r w:rsidR="00F77BF1">
        <w:rPr>
          <w:rFonts w:asciiTheme="minorHAnsi" w:hAnsiTheme="minorHAnsi" w:cstheme="minorHAnsi"/>
          <w:b/>
          <w:sz w:val="18"/>
          <w:szCs w:val="18"/>
        </w:rPr>
        <w:t xml:space="preserve"> </w:t>
      </w:r>
      <w:r w:rsidR="00392BFC" w:rsidRPr="00392BFC">
        <w:rPr>
          <w:rFonts w:asciiTheme="minorHAnsi" w:hAnsiTheme="minorHAnsi" w:cstheme="minorHAnsi"/>
          <w:b/>
          <w:sz w:val="18"/>
          <w:szCs w:val="18"/>
        </w:rPr>
        <w:t>202</w:t>
      </w:r>
      <w:r w:rsidR="00F77BF1">
        <w:rPr>
          <w:rFonts w:asciiTheme="minorHAnsi" w:hAnsiTheme="minorHAnsi" w:cstheme="minorHAnsi"/>
          <w:b/>
          <w:sz w:val="18"/>
          <w:szCs w:val="18"/>
        </w:rPr>
        <w:t>2</w:t>
      </w:r>
    </w:p>
    <w:tbl>
      <w:tblPr>
        <w:tblStyle w:val="Mkatabulky"/>
        <w:tblW w:w="9634" w:type="dxa"/>
        <w:jc w:val="center"/>
        <w:tblLayout w:type="fixed"/>
        <w:tblLook w:val="04A0" w:firstRow="1" w:lastRow="0" w:firstColumn="1" w:lastColumn="0" w:noHBand="0" w:noVBand="1"/>
      </w:tblPr>
      <w:tblGrid>
        <w:gridCol w:w="1555"/>
        <w:gridCol w:w="1134"/>
        <w:gridCol w:w="1417"/>
        <w:gridCol w:w="3544"/>
        <w:gridCol w:w="1984"/>
      </w:tblGrid>
      <w:tr w:rsidR="00392BFC" w:rsidRPr="00392BFC" w:rsidTr="00A84281">
        <w:trPr>
          <w:jc w:val="center"/>
        </w:trPr>
        <w:tc>
          <w:tcPr>
            <w:tcW w:w="1555" w:type="dxa"/>
            <w:shd w:val="clear" w:color="auto" w:fill="DBDBDB" w:themeFill="accent3" w:themeFillTint="66"/>
            <w:vAlign w:val="center"/>
            <w:hideMark/>
          </w:tcPr>
          <w:p w:rsidR="00376246" w:rsidRPr="00392BFC" w:rsidRDefault="00376246" w:rsidP="00A84281">
            <w:pPr>
              <w:keepNext/>
              <w:keepLines/>
              <w:jc w:val="center"/>
              <w:rPr>
                <w:rFonts w:asciiTheme="minorHAnsi" w:hAnsiTheme="minorHAnsi" w:cstheme="minorHAnsi"/>
                <w:b/>
                <w:sz w:val="18"/>
              </w:rPr>
            </w:pPr>
            <w:r w:rsidRPr="00392BFC">
              <w:rPr>
                <w:rFonts w:asciiTheme="minorHAnsi" w:hAnsiTheme="minorHAnsi" w:cstheme="minorHAnsi"/>
                <w:b/>
                <w:sz w:val="18"/>
              </w:rPr>
              <w:t>Usn</w:t>
            </w:r>
            <w:r w:rsidR="00A84281">
              <w:rPr>
                <w:rFonts w:asciiTheme="minorHAnsi" w:hAnsiTheme="minorHAnsi" w:cstheme="minorHAnsi"/>
                <w:b/>
                <w:sz w:val="18"/>
              </w:rPr>
              <w:t xml:space="preserve"> </w:t>
            </w:r>
            <w:r w:rsidRPr="00392BFC">
              <w:rPr>
                <w:rFonts w:asciiTheme="minorHAnsi" w:hAnsiTheme="minorHAnsi" w:cstheme="minorHAnsi"/>
                <w:b/>
                <w:sz w:val="18"/>
              </w:rPr>
              <w:t>č.</w:t>
            </w:r>
          </w:p>
        </w:tc>
        <w:tc>
          <w:tcPr>
            <w:tcW w:w="1134" w:type="dxa"/>
            <w:shd w:val="clear" w:color="auto" w:fill="DBDBDB" w:themeFill="accent3" w:themeFillTint="66"/>
            <w:vAlign w:val="center"/>
            <w:hideMark/>
          </w:tcPr>
          <w:p w:rsidR="00376246" w:rsidRPr="00392BFC" w:rsidRDefault="00376246" w:rsidP="00207343">
            <w:pPr>
              <w:keepNext/>
              <w:keepLines/>
              <w:jc w:val="center"/>
              <w:rPr>
                <w:rFonts w:asciiTheme="minorHAnsi" w:hAnsiTheme="minorHAnsi" w:cstheme="minorHAnsi"/>
                <w:b/>
                <w:sz w:val="18"/>
              </w:rPr>
            </w:pPr>
            <w:r w:rsidRPr="00392BFC">
              <w:rPr>
                <w:rFonts w:asciiTheme="minorHAnsi" w:hAnsiTheme="minorHAnsi" w:cstheme="minorHAnsi"/>
                <w:b/>
                <w:sz w:val="18"/>
              </w:rPr>
              <w:t>Datum</w:t>
            </w:r>
          </w:p>
        </w:tc>
        <w:tc>
          <w:tcPr>
            <w:tcW w:w="1417" w:type="dxa"/>
            <w:shd w:val="clear" w:color="auto" w:fill="DBDBDB" w:themeFill="accent3" w:themeFillTint="66"/>
            <w:vAlign w:val="center"/>
            <w:hideMark/>
          </w:tcPr>
          <w:p w:rsidR="00376246" w:rsidRPr="00392BFC" w:rsidRDefault="00376246" w:rsidP="00207343">
            <w:pPr>
              <w:keepNext/>
              <w:keepLines/>
              <w:jc w:val="center"/>
              <w:rPr>
                <w:rFonts w:asciiTheme="minorHAnsi" w:hAnsiTheme="minorHAnsi" w:cstheme="minorHAnsi"/>
                <w:b/>
                <w:sz w:val="18"/>
              </w:rPr>
            </w:pPr>
            <w:r w:rsidRPr="00392BFC">
              <w:rPr>
                <w:rFonts w:asciiTheme="minorHAnsi" w:hAnsiTheme="minorHAnsi" w:cstheme="minorHAnsi"/>
                <w:b/>
                <w:sz w:val="18"/>
              </w:rPr>
              <w:t>Částka v tis. Kč</w:t>
            </w:r>
          </w:p>
        </w:tc>
        <w:tc>
          <w:tcPr>
            <w:tcW w:w="3544" w:type="dxa"/>
            <w:shd w:val="clear" w:color="auto" w:fill="DBDBDB" w:themeFill="accent3" w:themeFillTint="66"/>
            <w:vAlign w:val="center"/>
            <w:hideMark/>
          </w:tcPr>
          <w:p w:rsidR="00376246" w:rsidRPr="00392BFC" w:rsidRDefault="00376246" w:rsidP="00207343">
            <w:pPr>
              <w:keepNext/>
              <w:keepLines/>
              <w:jc w:val="center"/>
              <w:rPr>
                <w:rFonts w:asciiTheme="minorHAnsi" w:hAnsiTheme="minorHAnsi" w:cstheme="minorHAnsi"/>
                <w:b/>
                <w:sz w:val="18"/>
              </w:rPr>
            </w:pPr>
            <w:r w:rsidRPr="00392BFC">
              <w:rPr>
                <w:rFonts w:asciiTheme="minorHAnsi" w:hAnsiTheme="minorHAnsi" w:cstheme="minorHAnsi"/>
                <w:b/>
                <w:sz w:val="18"/>
              </w:rPr>
              <w:t>Rozpočtové opatření</w:t>
            </w:r>
          </w:p>
        </w:tc>
        <w:tc>
          <w:tcPr>
            <w:tcW w:w="1984" w:type="dxa"/>
            <w:shd w:val="clear" w:color="auto" w:fill="DBDBDB" w:themeFill="accent3" w:themeFillTint="66"/>
            <w:vAlign w:val="center"/>
            <w:hideMark/>
          </w:tcPr>
          <w:p w:rsidR="00376246" w:rsidRPr="00392BFC" w:rsidRDefault="00376246" w:rsidP="00207343">
            <w:pPr>
              <w:keepNext/>
              <w:keepLines/>
              <w:jc w:val="center"/>
              <w:rPr>
                <w:rFonts w:asciiTheme="minorHAnsi" w:hAnsiTheme="minorHAnsi" w:cstheme="minorHAnsi"/>
                <w:b/>
                <w:sz w:val="18"/>
              </w:rPr>
            </w:pPr>
            <w:r w:rsidRPr="00392BFC">
              <w:rPr>
                <w:rFonts w:asciiTheme="minorHAnsi" w:hAnsiTheme="minorHAnsi" w:cstheme="minorHAnsi"/>
                <w:b/>
                <w:sz w:val="18"/>
              </w:rPr>
              <w:t>Stupeň realizace</w:t>
            </w:r>
          </w:p>
        </w:tc>
      </w:tr>
      <w:tr w:rsidR="00AB1872" w:rsidRPr="00392BFC" w:rsidTr="00A84281">
        <w:trPr>
          <w:trHeight w:val="161"/>
          <w:jc w:val="center"/>
        </w:trPr>
        <w:tc>
          <w:tcPr>
            <w:tcW w:w="1555" w:type="dxa"/>
            <w:shd w:val="clear" w:color="auto" w:fill="auto"/>
          </w:tcPr>
          <w:p w:rsidR="00AB1872" w:rsidRPr="00A84281" w:rsidRDefault="00AB1872" w:rsidP="00AB1872">
            <w:pPr>
              <w:jc w:val="center"/>
              <w:rPr>
                <w:rFonts w:asciiTheme="minorHAnsi" w:hAnsiTheme="minorHAnsi" w:cstheme="minorHAnsi"/>
                <w:b/>
                <w:sz w:val="18"/>
                <w:szCs w:val="18"/>
              </w:rPr>
            </w:pPr>
            <w:r w:rsidRPr="00A84281">
              <w:rPr>
                <w:rFonts w:asciiTheme="minorHAnsi" w:hAnsiTheme="minorHAnsi" w:cstheme="minorHAnsi"/>
                <w:sz w:val="18"/>
                <w:szCs w:val="18"/>
              </w:rPr>
              <w:t>ZM/2022/29/15</w:t>
            </w:r>
          </w:p>
        </w:tc>
        <w:tc>
          <w:tcPr>
            <w:tcW w:w="1134" w:type="dxa"/>
          </w:tcPr>
          <w:p w:rsidR="00AB1872" w:rsidRPr="00A84281" w:rsidRDefault="00AB1872" w:rsidP="00AB1872">
            <w:pPr>
              <w:jc w:val="center"/>
              <w:rPr>
                <w:rFonts w:asciiTheme="minorHAnsi" w:hAnsiTheme="minorHAnsi" w:cstheme="minorHAnsi"/>
                <w:sz w:val="18"/>
                <w:szCs w:val="18"/>
              </w:rPr>
            </w:pPr>
            <w:r w:rsidRPr="00A84281">
              <w:rPr>
                <w:rFonts w:asciiTheme="minorHAnsi" w:hAnsiTheme="minorHAnsi" w:cstheme="minorHAnsi"/>
                <w:sz w:val="18"/>
                <w:szCs w:val="18"/>
              </w:rPr>
              <w:t>22. 2. 2022</w:t>
            </w:r>
          </w:p>
        </w:tc>
        <w:tc>
          <w:tcPr>
            <w:tcW w:w="1417" w:type="dxa"/>
          </w:tcPr>
          <w:p w:rsidR="00AB1872" w:rsidRPr="00A84281" w:rsidRDefault="00AB1872" w:rsidP="00AB1872">
            <w:pPr>
              <w:jc w:val="right"/>
              <w:rPr>
                <w:rFonts w:asciiTheme="minorHAnsi" w:hAnsiTheme="minorHAnsi" w:cstheme="minorHAnsi"/>
                <w:sz w:val="18"/>
                <w:szCs w:val="18"/>
              </w:rPr>
            </w:pPr>
            <w:r w:rsidRPr="00A84281">
              <w:rPr>
                <w:rFonts w:asciiTheme="minorHAnsi" w:hAnsiTheme="minorHAnsi" w:cstheme="minorHAnsi"/>
                <w:sz w:val="18"/>
                <w:szCs w:val="18"/>
              </w:rPr>
              <w:t>92,37</w:t>
            </w:r>
          </w:p>
        </w:tc>
        <w:tc>
          <w:tcPr>
            <w:tcW w:w="3544" w:type="dxa"/>
            <w:shd w:val="clear" w:color="auto" w:fill="auto"/>
          </w:tcPr>
          <w:p w:rsidR="00AB1872" w:rsidRPr="00A84281" w:rsidRDefault="00AB1872" w:rsidP="00AB1872">
            <w:pPr>
              <w:rPr>
                <w:rFonts w:asciiTheme="minorHAnsi" w:hAnsiTheme="minorHAnsi" w:cstheme="minorHAnsi"/>
                <w:sz w:val="18"/>
                <w:szCs w:val="18"/>
              </w:rPr>
            </w:pPr>
            <w:r w:rsidRPr="00A84281">
              <w:rPr>
                <w:rFonts w:asciiTheme="minorHAnsi" w:hAnsiTheme="minorHAnsi" w:cstheme="minorHAnsi"/>
                <w:bCs/>
                <w:sz w:val="18"/>
                <w:szCs w:val="18"/>
              </w:rPr>
              <w:t xml:space="preserve">Stavebně historický průzkum </w:t>
            </w:r>
          </w:p>
        </w:tc>
        <w:tc>
          <w:tcPr>
            <w:tcW w:w="1984" w:type="dxa"/>
            <w:shd w:val="clear" w:color="auto" w:fill="auto"/>
          </w:tcPr>
          <w:p w:rsidR="00AB1872" w:rsidRPr="00A84281" w:rsidRDefault="00AB1872" w:rsidP="00A84281">
            <w:pPr>
              <w:rPr>
                <w:rFonts w:asciiTheme="minorHAnsi" w:hAnsiTheme="minorHAnsi" w:cstheme="minorHAnsi"/>
                <w:sz w:val="18"/>
                <w:szCs w:val="18"/>
              </w:rPr>
            </w:pPr>
            <w:r w:rsidRPr="00A84281">
              <w:rPr>
                <w:rFonts w:asciiTheme="minorHAnsi" w:hAnsiTheme="minorHAnsi" w:cstheme="minorHAnsi"/>
                <w:sz w:val="18"/>
                <w:szCs w:val="18"/>
              </w:rPr>
              <w:t>Realizováno</w:t>
            </w:r>
          </w:p>
        </w:tc>
      </w:tr>
      <w:tr w:rsidR="00AB1872" w:rsidRPr="00392BFC" w:rsidTr="00A84281">
        <w:trPr>
          <w:trHeight w:val="340"/>
          <w:jc w:val="center"/>
        </w:trPr>
        <w:tc>
          <w:tcPr>
            <w:tcW w:w="1555" w:type="dxa"/>
            <w:shd w:val="clear" w:color="auto" w:fill="auto"/>
          </w:tcPr>
          <w:p w:rsidR="00AB1872" w:rsidRPr="00A84281" w:rsidRDefault="00AB1872" w:rsidP="00AB1872">
            <w:pPr>
              <w:jc w:val="center"/>
              <w:rPr>
                <w:rFonts w:asciiTheme="minorHAnsi" w:hAnsiTheme="minorHAnsi" w:cstheme="minorHAnsi"/>
                <w:sz w:val="18"/>
                <w:szCs w:val="18"/>
              </w:rPr>
            </w:pPr>
            <w:r w:rsidRPr="00A84281">
              <w:rPr>
                <w:rFonts w:asciiTheme="minorHAnsi" w:hAnsiTheme="minorHAnsi" w:cstheme="minorHAnsi"/>
                <w:sz w:val="18"/>
                <w:szCs w:val="18"/>
              </w:rPr>
              <w:t>ZM/2022/30/05</w:t>
            </w:r>
          </w:p>
        </w:tc>
        <w:tc>
          <w:tcPr>
            <w:tcW w:w="1134" w:type="dxa"/>
          </w:tcPr>
          <w:p w:rsidR="00AB1872" w:rsidRPr="00A84281" w:rsidRDefault="00AB1872" w:rsidP="00AB1872">
            <w:pPr>
              <w:jc w:val="center"/>
              <w:rPr>
                <w:rFonts w:asciiTheme="minorHAnsi" w:hAnsiTheme="minorHAnsi" w:cstheme="minorHAnsi"/>
                <w:sz w:val="18"/>
                <w:szCs w:val="18"/>
              </w:rPr>
            </w:pPr>
            <w:r w:rsidRPr="00A84281">
              <w:rPr>
                <w:rFonts w:asciiTheme="minorHAnsi" w:hAnsiTheme="minorHAnsi" w:cstheme="minorHAnsi"/>
                <w:sz w:val="18"/>
                <w:szCs w:val="18"/>
              </w:rPr>
              <w:t>5. 4. 2022</w:t>
            </w:r>
          </w:p>
        </w:tc>
        <w:tc>
          <w:tcPr>
            <w:tcW w:w="1417" w:type="dxa"/>
          </w:tcPr>
          <w:p w:rsidR="00AB1872" w:rsidRPr="00A84281" w:rsidRDefault="00AB1872" w:rsidP="00AB1872">
            <w:pPr>
              <w:jc w:val="right"/>
              <w:rPr>
                <w:rFonts w:asciiTheme="minorHAnsi" w:hAnsiTheme="minorHAnsi" w:cstheme="minorHAnsi"/>
                <w:sz w:val="18"/>
                <w:szCs w:val="18"/>
              </w:rPr>
            </w:pPr>
            <w:r w:rsidRPr="00A84281">
              <w:rPr>
                <w:rFonts w:asciiTheme="minorHAnsi" w:hAnsiTheme="minorHAnsi" w:cstheme="minorHAnsi"/>
                <w:sz w:val="18"/>
                <w:szCs w:val="18"/>
              </w:rPr>
              <w:t>2 000,00</w:t>
            </w:r>
          </w:p>
        </w:tc>
        <w:tc>
          <w:tcPr>
            <w:tcW w:w="3544" w:type="dxa"/>
            <w:shd w:val="clear" w:color="auto" w:fill="auto"/>
          </w:tcPr>
          <w:p w:rsidR="00AB1872" w:rsidRPr="00A84281" w:rsidRDefault="00AB1872" w:rsidP="00AB1872">
            <w:pPr>
              <w:rPr>
                <w:rFonts w:asciiTheme="minorHAnsi" w:hAnsiTheme="minorHAnsi" w:cstheme="minorHAnsi"/>
                <w:sz w:val="18"/>
                <w:szCs w:val="18"/>
              </w:rPr>
            </w:pPr>
            <w:r w:rsidRPr="00A84281">
              <w:rPr>
                <w:rFonts w:asciiTheme="minorHAnsi" w:hAnsiTheme="minorHAnsi" w:cstheme="minorHAnsi"/>
                <w:sz w:val="18"/>
                <w:szCs w:val="18"/>
              </w:rPr>
              <w:t>Dotační programy Péče o historické dědictví města Prostějova a Regenerace městských památkových rezervací a zón pro rok 2022</w:t>
            </w:r>
          </w:p>
        </w:tc>
        <w:tc>
          <w:tcPr>
            <w:tcW w:w="1984" w:type="dxa"/>
            <w:shd w:val="clear" w:color="auto" w:fill="auto"/>
          </w:tcPr>
          <w:p w:rsidR="00AB1872" w:rsidRPr="00A84281" w:rsidRDefault="00A84281" w:rsidP="00A84281">
            <w:pPr>
              <w:rPr>
                <w:rFonts w:asciiTheme="minorHAnsi" w:hAnsiTheme="minorHAnsi" w:cstheme="minorHAnsi"/>
                <w:sz w:val="18"/>
                <w:szCs w:val="18"/>
              </w:rPr>
            </w:pPr>
            <w:r>
              <w:rPr>
                <w:rFonts w:asciiTheme="minorHAnsi" w:hAnsiTheme="minorHAnsi" w:cstheme="minorHAnsi"/>
                <w:sz w:val="18"/>
                <w:szCs w:val="18"/>
              </w:rPr>
              <w:t>Realizováno. Vratka 113 tis. z důvodu nedodržení podmínek.</w:t>
            </w:r>
          </w:p>
        </w:tc>
      </w:tr>
      <w:tr w:rsidR="00AB1872" w:rsidRPr="00392BFC" w:rsidTr="00A84281">
        <w:trPr>
          <w:trHeight w:val="118"/>
          <w:jc w:val="center"/>
        </w:trPr>
        <w:tc>
          <w:tcPr>
            <w:tcW w:w="1555" w:type="dxa"/>
            <w:shd w:val="clear" w:color="auto" w:fill="auto"/>
          </w:tcPr>
          <w:p w:rsidR="00AB1872" w:rsidRPr="00A84281" w:rsidRDefault="00AB1872" w:rsidP="00AB1872">
            <w:pPr>
              <w:jc w:val="center"/>
              <w:rPr>
                <w:rFonts w:asciiTheme="minorHAnsi" w:hAnsiTheme="minorHAnsi" w:cstheme="minorHAnsi"/>
                <w:sz w:val="18"/>
                <w:szCs w:val="18"/>
              </w:rPr>
            </w:pPr>
            <w:r w:rsidRPr="00A84281">
              <w:rPr>
                <w:rFonts w:asciiTheme="minorHAnsi" w:hAnsiTheme="minorHAnsi" w:cstheme="minorHAnsi"/>
                <w:sz w:val="18"/>
                <w:szCs w:val="18"/>
              </w:rPr>
              <w:t>RM/2022/121/29</w:t>
            </w:r>
          </w:p>
        </w:tc>
        <w:tc>
          <w:tcPr>
            <w:tcW w:w="1134" w:type="dxa"/>
          </w:tcPr>
          <w:p w:rsidR="00AB1872" w:rsidRPr="00A84281" w:rsidRDefault="00AB1872" w:rsidP="00AB1872">
            <w:pPr>
              <w:jc w:val="center"/>
              <w:rPr>
                <w:rFonts w:asciiTheme="minorHAnsi" w:hAnsiTheme="minorHAnsi" w:cstheme="minorHAnsi"/>
                <w:sz w:val="18"/>
                <w:szCs w:val="18"/>
              </w:rPr>
            </w:pPr>
            <w:r w:rsidRPr="00A84281">
              <w:rPr>
                <w:rFonts w:asciiTheme="minorHAnsi" w:hAnsiTheme="minorHAnsi" w:cstheme="minorHAnsi"/>
                <w:sz w:val="18"/>
                <w:szCs w:val="18"/>
              </w:rPr>
              <w:t>2. 8. 2022</w:t>
            </w:r>
          </w:p>
        </w:tc>
        <w:tc>
          <w:tcPr>
            <w:tcW w:w="1417" w:type="dxa"/>
          </w:tcPr>
          <w:p w:rsidR="00AB1872" w:rsidRPr="00A84281" w:rsidRDefault="00AB1872" w:rsidP="00AB1872">
            <w:pPr>
              <w:jc w:val="right"/>
              <w:rPr>
                <w:rFonts w:asciiTheme="minorHAnsi" w:hAnsiTheme="minorHAnsi" w:cstheme="minorHAnsi"/>
                <w:sz w:val="18"/>
                <w:szCs w:val="18"/>
              </w:rPr>
            </w:pPr>
            <w:r w:rsidRPr="00A84281">
              <w:rPr>
                <w:rFonts w:asciiTheme="minorHAnsi" w:hAnsiTheme="minorHAnsi" w:cstheme="minorHAnsi"/>
                <w:sz w:val="18"/>
                <w:szCs w:val="18"/>
              </w:rPr>
              <w:t>1 327,37</w:t>
            </w:r>
          </w:p>
        </w:tc>
        <w:tc>
          <w:tcPr>
            <w:tcW w:w="3544" w:type="dxa"/>
            <w:shd w:val="clear" w:color="auto" w:fill="auto"/>
          </w:tcPr>
          <w:p w:rsidR="00AB1872" w:rsidRPr="00A84281" w:rsidRDefault="00AB1872" w:rsidP="00AB1872">
            <w:pPr>
              <w:rPr>
                <w:rFonts w:asciiTheme="minorHAnsi" w:hAnsiTheme="minorHAnsi" w:cstheme="minorHAnsi"/>
                <w:sz w:val="18"/>
                <w:szCs w:val="18"/>
              </w:rPr>
            </w:pPr>
            <w:r w:rsidRPr="00A84281">
              <w:rPr>
                <w:rFonts w:asciiTheme="minorHAnsi" w:hAnsiTheme="minorHAnsi" w:cstheme="minorHAnsi"/>
                <w:sz w:val="18"/>
                <w:szCs w:val="18"/>
              </w:rPr>
              <w:t>Územní studie veřejných prostranství</w:t>
            </w:r>
          </w:p>
        </w:tc>
        <w:tc>
          <w:tcPr>
            <w:tcW w:w="1984" w:type="dxa"/>
            <w:shd w:val="clear" w:color="auto" w:fill="auto"/>
          </w:tcPr>
          <w:p w:rsidR="00AB1872" w:rsidRPr="00A84281" w:rsidRDefault="00AB1872" w:rsidP="00A84281">
            <w:pPr>
              <w:rPr>
                <w:rFonts w:asciiTheme="minorHAnsi" w:hAnsiTheme="minorHAnsi" w:cstheme="minorHAnsi"/>
                <w:sz w:val="18"/>
                <w:szCs w:val="18"/>
              </w:rPr>
            </w:pPr>
            <w:r w:rsidRPr="00A84281">
              <w:rPr>
                <w:rFonts w:asciiTheme="minorHAnsi" w:hAnsiTheme="minorHAnsi" w:cstheme="minorHAnsi"/>
                <w:sz w:val="18"/>
                <w:szCs w:val="18"/>
              </w:rPr>
              <w:t>Nerealizováno</w:t>
            </w:r>
          </w:p>
        </w:tc>
      </w:tr>
      <w:tr w:rsidR="00AB1872" w:rsidRPr="00392BFC" w:rsidTr="00A84281">
        <w:trPr>
          <w:trHeight w:val="122"/>
          <w:jc w:val="center"/>
        </w:trPr>
        <w:tc>
          <w:tcPr>
            <w:tcW w:w="1555" w:type="dxa"/>
            <w:shd w:val="clear" w:color="auto" w:fill="auto"/>
          </w:tcPr>
          <w:p w:rsidR="00AB1872" w:rsidRPr="00A84281" w:rsidRDefault="00AB1872" w:rsidP="00AB1872">
            <w:pPr>
              <w:jc w:val="center"/>
              <w:rPr>
                <w:rFonts w:asciiTheme="minorHAnsi" w:hAnsiTheme="minorHAnsi" w:cstheme="minorHAnsi"/>
                <w:sz w:val="18"/>
                <w:szCs w:val="18"/>
              </w:rPr>
            </w:pPr>
            <w:r w:rsidRPr="00A84281">
              <w:rPr>
                <w:rFonts w:asciiTheme="minorHAnsi" w:hAnsiTheme="minorHAnsi" w:cstheme="minorHAnsi"/>
                <w:sz w:val="18"/>
                <w:szCs w:val="18"/>
              </w:rPr>
              <w:t>RM/2022/121/32</w:t>
            </w:r>
          </w:p>
        </w:tc>
        <w:tc>
          <w:tcPr>
            <w:tcW w:w="1134" w:type="dxa"/>
          </w:tcPr>
          <w:p w:rsidR="00AB1872" w:rsidRPr="00A84281" w:rsidRDefault="00AB1872" w:rsidP="00AB1872">
            <w:pPr>
              <w:jc w:val="center"/>
              <w:rPr>
                <w:rFonts w:asciiTheme="minorHAnsi" w:hAnsiTheme="minorHAnsi" w:cstheme="minorHAnsi"/>
                <w:sz w:val="18"/>
                <w:szCs w:val="18"/>
              </w:rPr>
            </w:pPr>
            <w:r w:rsidRPr="00A84281">
              <w:rPr>
                <w:rFonts w:asciiTheme="minorHAnsi" w:hAnsiTheme="minorHAnsi" w:cstheme="minorHAnsi"/>
                <w:sz w:val="18"/>
                <w:szCs w:val="18"/>
              </w:rPr>
              <w:t>2. 8. 2022</w:t>
            </w:r>
          </w:p>
        </w:tc>
        <w:tc>
          <w:tcPr>
            <w:tcW w:w="1417" w:type="dxa"/>
          </w:tcPr>
          <w:p w:rsidR="00AB1872" w:rsidRPr="00A84281" w:rsidRDefault="00AB1872" w:rsidP="00AB1872">
            <w:pPr>
              <w:jc w:val="right"/>
              <w:rPr>
                <w:rFonts w:asciiTheme="minorHAnsi" w:hAnsiTheme="minorHAnsi" w:cstheme="minorHAnsi"/>
                <w:sz w:val="18"/>
                <w:szCs w:val="18"/>
              </w:rPr>
            </w:pPr>
            <w:r w:rsidRPr="00A84281">
              <w:rPr>
                <w:rFonts w:asciiTheme="minorHAnsi" w:hAnsiTheme="minorHAnsi" w:cstheme="minorHAnsi"/>
                <w:sz w:val="18"/>
                <w:szCs w:val="18"/>
              </w:rPr>
              <w:t>9,76</w:t>
            </w:r>
          </w:p>
        </w:tc>
        <w:tc>
          <w:tcPr>
            <w:tcW w:w="3544" w:type="dxa"/>
            <w:shd w:val="clear" w:color="auto" w:fill="auto"/>
          </w:tcPr>
          <w:p w:rsidR="00AB1872" w:rsidRPr="00A84281" w:rsidRDefault="00AB1872" w:rsidP="00AB1872">
            <w:pPr>
              <w:rPr>
                <w:rFonts w:asciiTheme="minorHAnsi" w:hAnsiTheme="minorHAnsi" w:cstheme="minorHAnsi"/>
                <w:sz w:val="18"/>
                <w:szCs w:val="18"/>
              </w:rPr>
            </w:pPr>
            <w:r w:rsidRPr="00A84281">
              <w:rPr>
                <w:rFonts w:asciiTheme="minorHAnsi" w:hAnsiTheme="minorHAnsi" w:cstheme="minorHAnsi"/>
                <w:sz w:val="18"/>
                <w:szCs w:val="18"/>
              </w:rPr>
              <w:t>V. změna Územního plánu Prostějov</w:t>
            </w:r>
          </w:p>
        </w:tc>
        <w:tc>
          <w:tcPr>
            <w:tcW w:w="1984" w:type="dxa"/>
            <w:shd w:val="clear" w:color="auto" w:fill="auto"/>
          </w:tcPr>
          <w:p w:rsidR="00AB1872" w:rsidRPr="00A84281" w:rsidRDefault="00A84281" w:rsidP="00A84281">
            <w:pPr>
              <w:rPr>
                <w:rFonts w:asciiTheme="minorHAnsi" w:hAnsiTheme="minorHAnsi" w:cstheme="minorHAnsi"/>
                <w:sz w:val="18"/>
                <w:szCs w:val="18"/>
              </w:rPr>
            </w:pPr>
            <w:r w:rsidRPr="00A84281">
              <w:rPr>
                <w:rFonts w:asciiTheme="minorHAnsi" w:hAnsiTheme="minorHAnsi" w:cstheme="minorHAnsi"/>
                <w:sz w:val="18"/>
                <w:szCs w:val="18"/>
              </w:rPr>
              <w:t>Realizováno</w:t>
            </w:r>
          </w:p>
        </w:tc>
      </w:tr>
    </w:tbl>
    <w:p w:rsidR="00535B34" w:rsidRPr="009A23B8" w:rsidRDefault="00535B34" w:rsidP="00B608DD">
      <w:pPr>
        <w:rPr>
          <w:rFonts w:ascii="Calibri" w:hAnsi="Calibri" w:cs="Calibri"/>
          <w:color w:val="FF0000"/>
          <w:sz w:val="18"/>
          <w:szCs w:val="18"/>
        </w:rPr>
      </w:pPr>
    </w:p>
    <w:p w:rsidR="00C87A62" w:rsidRPr="00392BFC" w:rsidRDefault="00392BFC" w:rsidP="00C87A62">
      <w:pPr>
        <w:rPr>
          <w:rFonts w:asciiTheme="minorHAnsi" w:hAnsiTheme="minorHAnsi" w:cstheme="minorHAnsi"/>
          <w:b/>
          <w:sz w:val="20"/>
          <w:szCs w:val="20"/>
        </w:rPr>
      </w:pPr>
      <w:r w:rsidRPr="00392BFC">
        <w:rPr>
          <w:rFonts w:asciiTheme="minorHAnsi" w:hAnsiTheme="minorHAnsi" w:cstheme="minorHAnsi"/>
          <w:b/>
          <w:sz w:val="20"/>
          <w:szCs w:val="20"/>
        </w:rPr>
        <w:t>V Prostějově:</w:t>
      </w:r>
      <w:r w:rsidRPr="00392BFC">
        <w:rPr>
          <w:rFonts w:asciiTheme="minorHAnsi" w:hAnsiTheme="minorHAnsi" w:cstheme="minorHAnsi"/>
          <w:b/>
          <w:sz w:val="20"/>
          <w:szCs w:val="20"/>
        </w:rPr>
        <w:tab/>
        <w:t>1</w:t>
      </w:r>
      <w:r w:rsidR="00A84281">
        <w:rPr>
          <w:rFonts w:asciiTheme="minorHAnsi" w:hAnsiTheme="minorHAnsi" w:cstheme="minorHAnsi"/>
          <w:b/>
          <w:sz w:val="20"/>
          <w:szCs w:val="20"/>
        </w:rPr>
        <w:t>7</w:t>
      </w:r>
      <w:r w:rsidRPr="00392BFC">
        <w:rPr>
          <w:rFonts w:asciiTheme="minorHAnsi" w:hAnsiTheme="minorHAnsi" w:cstheme="minorHAnsi"/>
          <w:b/>
          <w:sz w:val="20"/>
          <w:szCs w:val="20"/>
        </w:rPr>
        <w:t xml:space="preserve">. </w:t>
      </w:r>
      <w:r w:rsidR="00A84281">
        <w:rPr>
          <w:rFonts w:asciiTheme="minorHAnsi" w:hAnsiTheme="minorHAnsi" w:cstheme="minorHAnsi"/>
          <w:b/>
          <w:sz w:val="20"/>
          <w:szCs w:val="20"/>
        </w:rPr>
        <w:t>1. 2023</w:t>
      </w:r>
      <w:r w:rsidR="00C87A62" w:rsidRPr="00392BFC">
        <w:rPr>
          <w:rFonts w:asciiTheme="minorHAnsi" w:hAnsiTheme="minorHAnsi" w:cstheme="minorHAnsi"/>
          <w:b/>
          <w:sz w:val="20"/>
          <w:szCs w:val="20"/>
        </w:rPr>
        <w:tab/>
      </w:r>
    </w:p>
    <w:p w:rsidR="00C87A62" w:rsidRPr="00392BFC" w:rsidRDefault="00C87A62" w:rsidP="00C87A62">
      <w:pPr>
        <w:rPr>
          <w:rFonts w:asciiTheme="minorHAnsi" w:hAnsiTheme="minorHAnsi" w:cstheme="minorHAnsi"/>
          <w:b/>
          <w:sz w:val="18"/>
          <w:szCs w:val="18"/>
        </w:rPr>
      </w:pPr>
      <w:r w:rsidRPr="00392BFC">
        <w:rPr>
          <w:rFonts w:asciiTheme="minorHAnsi" w:hAnsiTheme="minorHAnsi" w:cstheme="minorHAnsi"/>
          <w:b/>
          <w:sz w:val="20"/>
          <w:szCs w:val="20"/>
        </w:rPr>
        <w:t>Správce kapitoly: Ing. arch. Jan Mlčoch</w:t>
      </w:r>
    </w:p>
    <w:p w:rsidR="00595AE9" w:rsidRPr="009A23B8" w:rsidRDefault="00595AE9">
      <w:pPr>
        <w:rPr>
          <w:rFonts w:asciiTheme="minorHAnsi" w:hAnsiTheme="minorHAnsi" w:cstheme="minorHAnsi"/>
          <w:color w:val="FF0000"/>
          <w:sz w:val="20"/>
          <w:szCs w:val="20"/>
        </w:rPr>
      </w:pPr>
      <w:r w:rsidRPr="009A23B8">
        <w:rPr>
          <w:rFonts w:asciiTheme="minorHAnsi" w:hAnsiTheme="minorHAnsi" w:cstheme="minorHAnsi"/>
          <w:color w:val="FF0000"/>
          <w:sz w:val="20"/>
          <w:szCs w:val="20"/>
        </w:rPr>
        <w:br w:type="page"/>
      </w:r>
    </w:p>
    <w:tbl>
      <w:tblPr>
        <w:tblW w:w="9639" w:type="dxa"/>
        <w:tblLayout w:type="fixed"/>
        <w:tblCellMar>
          <w:left w:w="70" w:type="dxa"/>
          <w:right w:w="70" w:type="dxa"/>
        </w:tblCellMar>
        <w:tblLook w:val="04A0" w:firstRow="1" w:lastRow="0" w:firstColumn="1" w:lastColumn="0" w:noHBand="0" w:noVBand="1"/>
      </w:tblPr>
      <w:tblGrid>
        <w:gridCol w:w="460"/>
        <w:gridCol w:w="319"/>
        <w:gridCol w:w="141"/>
        <w:gridCol w:w="460"/>
        <w:gridCol w:w="250"/>
        <w:gridCol w:w="141"/>
        <w:gridCol w:w="69"/>
        <w:gridCol w:w="460"/>
        <w:gridCol w:w="460"/>
        <w:gridCol w:w="287"/>
        <w:gridCol w:w="72"/>
        <w:gridCol w:w="101"/>
        <w:gridCol w:w="41"/>
        <w:gridCol w:w="637"/>
        <w:gridCol w:w="242"/>
        <w:gridCol w:w="460"/>
        <w:gridCol w:w="290"/>
        <w:gridCol w:w="170"/>
        <w:gridCol w:w="752"/>
        <w:gridCol w:w="70"/>
        <w:gridCol w:w="72"/>
        <w:gridCol w:w="26"/>
        <w:gridCol w:w="116"/>
        <w:gridCol w:w="344"/>
        <w:gridCol w:w="460"/>
        <w:gridCol w:w="460"/>
        <w:gridCol w:w="11"/>
        <w:gridCol w:w="142"/>
        <w:gridCol w:w="307"/>
        <w:gridCol w:w="460"/>
        <w:gridCol w:w="460"/>
        <w:gridCol w:w="899"/>
      </w:tblGrid>
      <w:tr w:rsidR="00C817EC" w:rsidTr="00D61B3C">
        <w:trPr>
          <w:divId w:val="2053571053"/>
        </w:trPr>
        <w:tc>
          <w:tcPr>
            <w:tcW w:w="9639" w:type="dxa"/>
            <w:gridSpan w:val="32"/>
            <w:hideMark/>
          </w:tcPr>
          <w:p w:rsidR="00C817EC" w:rsidRDefault="00C817EC" w:rsidP="00C817EC">
            <w:pPr>
              <w:pStyle w:val="Nadpis4"/>
              <w:rPr>
                <w:sz w:val="28"/>
                <w:szCs w:val="28"/>
              </w:rPr>
            </w:pPr>
            <w:r>
              <w:rPr>
                <w:sz w:val="28"/>
                <w:szCs w:val="28"/>
              </w:rPr>
              <w:t xml:space="preserve">Kapitola 70 – Finanční  </w:t>
            </w:r>
          </w:p>
        </w:tc>
      </w:tr>
      <w:tr w:rsidR="00C817EC" w:rsidTr="00D61B3C">
        <w:trPr>
          <w:divId w:val="2053571053"/>
        </w:trPr>
        <w:tc>
          <w:tcPr>
            <w:tcW w:w="460" w:type="dxa"/>
          </w:tcPr>
          <w:p w:rsidR="00C817EC" w:rsidRDefault="00C817EC" w:rsidP="00C817EC">
            <w:pPr>
              <w:rPr>
                <w:rFonts w:ascii="Calibri" w:hAnsi="Calibri"/>
                <w:b/>
                <w:sz w:val="20"/>
                <w:szCs w:val="20"/>
              </w:rPr>
            </w:pPr>
          </w:p>
        </w:tc>
        <w:tc>
          <w:tcPr>
            <w:tcW w:w="460" w:type="dxa"/>
            <w:gridSpan w:val="2"/>
          </w:tcPr>
          <w:p w:rsidR="00C817EC" w:rsidRDefault="00C817EC" w:rsidP="00C817EC">
            <w:pPr>
              <w:rPr>
                <w:rFonts w:ascii="Calibri" w:hAnsi="Calibri"/>
                <w:b/>
                <w:sz w:val="20"/>
                <w:szCs w:val="20"/>
              </w:rPr>
            </w:pPr>
          </w:p>
        </w:tc>
        <w:tc>
          <w:tcPr>
            <w:tcW w:w="460" w:type="dxa"/>
          </w:tcPr>
          <w:p w:rsidR="00C817EC" w:rsidRDefault="00C817EC" w:rsidP="00C817EC">
            <w:pPr>
              <w:rPr>
                <w:rFonts w:ascii="Calibri" w:hAnsi="Calibri"/>
                <w:b/>
                <w:sz w:val="20"/>
                <w:szCs w:val="20"/>
              </w:rPr>
            </w:pPr>
          </w:p>
        </w:tc>
        <w:tc>
          <w:tcPr>
            <w:tcW w:w="460" w:type="dxa"/>
            <w:gridSpan w:val="3"/>
          </w:tcPr>
          <w:p w:rsidR="00C817EC" w:rsidRDefault="00C817EC" w:rsidP="00C817EC">
            <w:pPr>
              <w:rPr>
                <w:rFonts w:ascii="Calibri" w:hAnsi="Calibri"/>
                <w:b/>
                <w:sz w:val="20"/>
                <w:szCs w:val="20"/>
              </w:rPr>
            </w:pPr>
          </w:p>
        </w:tc>
        <w:tc>
          <w:tcPr>
            <w:tcW w:w="460" w:type="dxa"/>
          </w:tcPr>
          <w:p w:rsidR="00C817EC" w:rsidRDefault="00C817EC" w:rsidP="00C817EC">
            <w:pPr>
              <w:rPr>
                <w:rFonts w:ascii="Calibri" w:hAnsi="Calibri"/>
                <w:b/>
                <w:sz w:val="20"/>
                <w:szCs w:val="20"/>
              </w:rPr>
            </w:pPr>
          </w:p>
        </w:tc>
        <w:tc>
          <w:tcPr>
            <w:tcW w:w="460" w:type="dxa"/>
          </w:tcPr>
          <w:p w:rsidR="00C817EC" w:rsidRDefault="00C817EC" w:rsidP="00C817EC">
            <w:pPr>
              <w:rPr>
                <w:rFonts w:ascii="Calibri" w:hAnsi="Calibri"/>
                <w:b/>
                <w:sz w:val="20"/>
                <w:szCs w:val="20"/>
              </w:rPr>
            </w:pPr>
          </w:p>
        </w:tc>
        <w:tc>
          <w:tcPr>
            <w:tcW w:w="460" w:type="dxa"/>
            <w:gridSpan w:val="3"/>
          </w:tcPr>
          <w:p w:rsidR="00C817EC" w:rsidRDefault="00C817EC" w:rsidP="00C817EC">
            <w:pPr>
              <w:rPr>
                <w:rFonts w:ascii="Calibri" w:hAnsi="Calibri"/>
                <w:b/>
                <w:sz w:val="20"/>
                <w:szCs w:val="20"/>
              </w:rPr>
            </w:pPr>
          </w:p>
        </w:tc>
        <w:tc>
          <w:tcPr>
            <w:tcW w:w="678" w:type="dxa"/>
            <w:gridSpan w:val="2"/>
          </w:tcPr>
          <w:p w:rsidR="00C817EC" w:rsidRDefault="00C817EC" w:rsidP="00C817EC">
            <w:pPr>
              <w:rPr>
                <w:rFonts w:ascii="Calibri" w:hAnsi="Calibri"/>
                <w:b/>
                <w:sz w:val="20"/>
                <w:szCs w:val="20"/>
              </w:rPr>
            </w:pPr>
          </w:p>
        </w:tc>
        <w:tc>
          <w:tcPr>
            <w:tcW w:w="242" w:type="dxa"/>
          </w:tcPr>
          <w:p w:rsidR="00C817EC" w:rsidRDefault="00C817EC" w:rsidP="00C817EC">
            <w:pPr>
              <w:rPr>
                <w:rFonts w:ascii="Calibri" w:hAnsi="Calibri"/>
                <w:b/>
                <w:sz w:val="20"/>
                <w:szCs w:val="20"/>
              </w:rPr>
            </w:pPr>
          </w:p>
        </w:tc>
        <w:tc>
          <w:tcPr>
            <w:tcW w:w="460" w:type="dxa"/>
          </w:tcPr>
          <w:p w:rsidR="00C817EC" w:rsidRDefault="00C817EC" w:rsidP="00C817EC">
            <w:pPr>
              <w:rPr>
                <w:rFonts w:ascii="Calibri" w:hAnsi="Calibri"/>
                <w:b/>
                <w:sz w:val="20"/>
                <w:szCs w:val="20"/>
              </w:rPr>
            </w:pPr>
          </w:p>
        </w:tc>
        <w:tc>
          <w:tcPr>
            <w:tcW w:w="460" w:type="dxa"/>
            <w:gridSpan w:val="2"/>
          </w:tcPr>
          <w:p w:rsidR="00C817EC" w:rsidRDefault="00C817EC" w:rsidP="00C817EC">
            <w:pPr>
              <w:rPr>
                <w:rFonts w:ascii="Calibri" w:hAnsi="Calibri"/>
                <w:b/>
                <w:sz w:val="20"/>
                <w:szCs w:val="20"/>
              </w:rPr>
            </w:pPr>
          </w:p>
        </w:tc>
        <w:tc>
          <w:tcPr>
            <w:tcW w:w="752" w:type="dxa"/>
          </w:tcPr>
          <w:p w:rsidR="00C817EC" w:rsidRDefault="00C817EC" w:rsidP="00C817EC">
            <w:pPr>
              <w:rPr>
                <w:rFonts w:ascii="Calibri" w:hAnsi="Calibri"/>
                <w:b/>
                <w:sz w:val="20"/>
                <w:szCs w:val="20"/>
              </w:rPr>
            </w:pPr>
          </w:p>
        </w:tc>
        <w:tc>
          <w:tcPr>
            <w:tcW w:w="168" w:type="dxa"/>
            <w:gridSpan w:val="3"/>
          </w:tcPr>
          <w:p w:rsidR="00C817EC" w:rsidRDefault="00C817EC" w:rsidP="00C817EC">
            <w:pPr>
              <w:rPr>
                <w:rFonts w:ascii="Calibri" w:hAnsi="Calibri"/>
                <w:b/>
                <w:sz w:val="20"/>
                <w:szCs w:val="20"/>
              </w:rPr>
            </w:pPr>
          </w:p>
        </w:tc>
        <w:tc>
          <w:tcPr>
            <w:tcW w:w="460" w:type="dxa"/>
            <w:gridSpan w:val="2"/>
          </w:tcPr>
          <w:p w:rsidR="00C817EC" w:rsidRDefault="00C817EC" w:rsidP="00C817EC">
            <w:pPr>
              <w:rPr>
                <w:rFonts w:ascii="Calibri" w:hAnsi="Calibri"/>
                <w:b/>
                <w:sz w:val="20"/>
                <w:szCs w:val="20"/>
              </w:rPr>
            </w:pPr>
          </w:p>
        </w:tc>
        <w:tc>
          <w:tcPr>
            <w:tcW w:w="460" w:type="dxa"/>
          </w:tcPr>
          <w:p w:rsidR="00C817EC" w:rsidRDefault="00C817EC" w:rsidP="00C817EC">
            <w:pPr>
              <w:rPr>
                <w:rFonts w:ascii="Calibri" w:hAnsi="Calibri"/>
                <w:b/>
                <w:sz w:val="20"/>
                <w:szCs w:val="20"/>
              </w:rPr>
            </w:pPr>
          </w:p>
        </w:tc>
        <w:tc>
          <w:tcPr>
            <w:tcW w:w="460" w:type="dxa"/>
          </w:tcPr>
          <w:p w:rsidR="00C817EC" w:rsidRDefault="00C817EC" w:rsidP="00C817EC">
            <w:pPr>
              <w:rPr>
                <w:rFonts w:ascii="Calibri" w:hAnsi="Calibri"/>
                <w:b/>
                <w:sz w:val="20"/>
                <w:szCs w:val="20"/>
              </w:rPr>
            </w:pPr>
          </w:p>
        </w:tc>
        <w:tc>
          <w:tcPr>
            <w:tcW w:w="460" w:type="dxa"/>
            <w:gridSpan w:val="3"/>
          </w:tcPr>
          <w:p w:rsidR="00C817EC" w:rsidRDefault="00C817EC" w:rsidP="00C817EC">
            <w:pPr>
              <w:rPr>
                <w:rFonts w:ascii="Calibri" w:hAnsi="Calibri"/>
                <w:b/>
                <w:sz w:val="20"/>
                <w:szCs w:val="20"/>
              </w:rPr>
            </w:pPr>
          </w:p>
        </w:tc>
        <w:tc>
          <w:tcPr>
            <w:tcW w:w="460" w:type="dxa"/>
          </w:tcPr>
          <w:p w:rsidR="00C817EC" w:rsidRDefault="00C817EC" w:rsidP="00C817EC">
            <w:pPr>
              <w:rPr>
                <w:rFonts w:ascii="Calibri" w:hAnsi="Calibri"/>
                <w:b/>
                <w:sz w:val="20"/>
                <w:szCs w:val="20"/>
              </w:rPr>
            </w:pPr>
          </w:p>
        </w:tc>
        <w:tc>
          <w:tcPr>
            <w:tcW w:w="460" w:type="dxa"/>
          </w:tcPr>
          <w:p w:rsidR="00C817EC" w:rsidRDefault="00C817EC" w:rsidP="00C817EC">
            <w:pPr>
              <w:rPr>
                <w:rFonts w:ascii="Calibri" w:hAnsi="Calibri"/>
                <w:b/>
                <w:sz w:val="20"/>
                <w:szCs w:val="20"/>
              </w:rPr>
            </w:pPr>
          </w:p>
        </w:tc>
        <w:tc>
          <w:tcPr>
            <w:tcW w:w="899" w:type="dxa"/>
          </w:tcPr>
          <w:p w:rsidR="00C817EC" w:rsidRDefault="00C817EC" w:rsidP="00C817EC">
            <w:pPr>
              <w:rPr>
                <w:rFonts w:ascii="Calibri" w:hAnsi="Calibri"/>
                <w:b/>
                <w:sz w:val="20"/>
                <w:szCs w:val="20"/>
              </w:rPr>
            </w:pPr>
          </w:p>
        </w:tc>
      </w:tr>
      <w:tr w:rsidR="00C817EC" w:rsidTr="00D61B3C">
        <w:trPr>
          <w:divId w:val="2053571053"/>
        </w:trPr>
        <w:tc>
          <w:tcPr>
            <w:tcW w:w="9639" w:type="dxa"/>
            <w:gridSpan w:val="32"/>
            <w:shd w:val="clear" w:color="auto" w:fill="F79646"/>
            <w:hideMark/>
          </w:tcPr>
          <w:p w:rsidR="00C817EC" w:rsidRDefault="00C817EC" w:rsidP="00C817EC">
            <w:pPr>
              <w:rPr>
                <w:rFonts w:ascii="Calibri" w:hAnsi="Calibri"/>
                <w:b/>
                <w:sz w:val="20"/>
                <w:szCs w:val="20"/>
                <w:u w:val="single"/>
              </w:rPr>
            </w:pPr>
            <w:r>
              <w:rPr>
                <w:rFonts w:ascii="Calibri" w:hAnsi="Calibri"/>
                <w:b/>
                <w:sz w:val="20"/>
                <w:szCs w:val="20"/>
                <w:u w:val="single"/>
              </w:rPr>
              <w:t>Rozbor plnění příjmů rozpočtu kapitoly</w:t>
            </w:r>
          </w:p>
        </w:tc>
      </w:tr>
      <w:tr w:rsidR="00C817EC" w:rsidTr="00D61B3C">
        <w:trPr>
          <w:divId w:val="2053571053"/>
        </w:trPr>
        <w:tc>
          <w:tcPr>
            <w:tcW w:w="460" w:type="dxa"/>
            <w:tcBorders>
              <w:top w:val="nil"/>
              <w:left w:val="nil"/>
              <w:bottom w:val="single" w:sz="4" w:space="0" w:color="auto"/>
              <w:right w:val="nil"/>
            </w:tcBorders>
          </w:tcPr>
          <w:p w:rsidR="00C817EC" w:rsidRDefault="00C817EC" w:rsidP="00C817EC">
            <w:pPr>
              <w:rPr>
                <w:rFonts w:ascii="Calibri" w:hAnsi="Calibri"/>
                <w:b/>
                <w:sz w:val="20"/>
                <w:szCs w:val="20"/>
              </w:rPr>
            </w:pPr>
          </w:p>
        </w:tc>
        <w:tc>
          <w:tcPr>
            <w:tcW w:w="460" w:type="dxa"/>
            <w:gridSpan w:val="2"/>
            <w:tcBorders>
              <w:top w:val="nil"/>
              <w:left w:val="nil"/>
              <w:bottom w:val="single" w:sz="4" w:space="0" w:color="auto"/>
              <w:right w:val="nil"/>
            </w:tcBorders>
          </w:tcPr>
          <w:p w:rsidR="00C817EC" w:rsidRDefault="00C817EC" w:rsidP="00C817EC">
            <w:pPr>
              <w:rPr>
                <w:rFonts w:ascii="Calibri" w:hAnsi="Calibri"/>
                <w:b/>
                <w:sz w:val="20"/>
                <w:szCs w:val="20"/>
              </w:rPr>
            </w:pPr>
          </w:p>
        </w:tc>
        <w:tc>
          <w:tcPr>
            <w:tcW w:w="460" w:type="dxa"/>
            <w:tcBorders>
              <w:top w:val="nil"/>
              <w:left w:val="nil"/>
              <w:bottom w:val="single" w:sz="4" w:space="0" w:color="auto"/>
              <w:right w:val="nil"/>
            </w:tcBorders>
          </w:tcPr>
          <w:p w:rsidR="00C817EC" w:rsidRDefault="00C817EC" w:rsidP="00C817EC">
            <w:pPr>
              <w:rPr>
                <w:rFonts w:ascii="Calibri" w:hAnsi="Calibri"/>
                <w:b/>
                <w:sz w:val="20"/>
                <w:szCs w:val="20"/>
              </w:rPr>
            </w:pPr>
          </w:p>
        </w:tc>
        <w:tc>
          <w:tcPr>
            <w:tcW w:w="391" w:type="dxa"/>
            <w:gridSpan w:val="2"/>
            <w:tcBorders>
              <w:top w:val="nil"/>
              <w:left w:val="nil"/>
              <w:bottom w:val="single" w:sz="4" w:space="0" w:color="auto"/>
              <w:right w:val="nil"/>
            </w:tcBorders>
          </w:tcPr>
          <w:p w:rsidR="00C817EC" w:rsidRDefault="00C817EC" w:rsidP="00C817EC">
            <w:pPr>
              <w:rPr>
                <w:rFonts w:ascii="Calibri" w:hAnsi="Calibri"/>
                <w:b/>
                <w:sz w:val="20"/>
                <w:szCs w:val="20"/>
              </w:rPr>
            </w:pPr>
          </w:p>
        </w:tc>
        <w:tc>
          <w:tcPr>
            <w:tcW w:w="529" w:type="dxa"/>
            <w:gridSpan w:val="2"/>
            <w:tcBorders>
              <w:top w:val="nil"/>
              <w:left w:val="nil"/>
              <w:bottom w:val="single" w:sz="4" w:space="0" w:color="auto"/>
              <w:right w:val="nil"/>
            </w:tcBorders>
          </w:tcPr>
          <w:p w:rsidR="00C817EC" w:rsidRDefault="00C817EC" w:rsidP="00C817EC">
            <w:pPr>
              <w:rPr>
                <w:rFonts w:ascii="Calibri" w:hAnsi="Calibri"/>
                <w:b/>
                <w:sz w:val="20"/>
                <w:szCs w:val="20"/>
              </w:rPr>
            </w:pPr>
          </w:p>
        </w:tc>
        <w:tc>
          <w:tcPr>
            <w:tcW w:w="460" w:type="dxa"/>
            <w:tcBorders>
              <w:top w:val="nil"/>
              <w:left w:val="nil"/>
              <w:bottom w:val="single" w:sz="4" w:space="0" w:color="auto"/>
              <w:right w:val="nil"/>
            </w:tcBorders>
          </w:tcPr>
          <w:p w:rsidR="00C817EC" w:rsidRDefault="00C817EC" w:rsidP="00C817EC">
            <w:pPr>
              <w:rPr>
                <w:rFonts w:ascii="Calibri" w:hAnsi="Calibri"/>
                <w:b/>
                <w:sz w:val="20"/>
                <w:szCs w:val="20"/>
              </w:rPr>
            </w:pPr>
          </w:p>
        </w:tc>
        <w:tc>
          <w:tcPr>
            <w:tcW w:w="460" w:type="dxa"/>
            <w:gridSpan w:val="3"/>
            <w:tcBorders>
              <w:top w:val="nil"/>
              <w:left w:val="nil"/>
              <w:bottom w:val="single" w:sz="4" w:space="0" w:color="auto"/>
              <w:right w:val="nil"/>
            </w:tcBorders>
          </w:tcPr>
          <w:p w:rsidR="00C817EC" w:rsidRDefault="00C817EC" w:rsidP="00C817EC">
            <w:pPr>
              <w:rPr>
                <w:rFonts w:ascii="Calibri" w:hAnsi="Calibri"/>
                <w:b/>
                <w:sz w:val="20"/>
                <w:szCs w:val="20"/>
              </w:rPr>
            </w:pPr>
          </w:p>
        </w:tc>
        <w:tc>
          <w:tcPr>
            <w:tcW w:w="678" w:type="dxa"/>
            <w:gridSpan w:val="2"/>
            <w:tcBorders>
              <w:top w:val="nil"/>
              <w:left w:val="nil"/>
              <w:bottom w:val="single" w:sz="4" w:space="0" w:color="auto"/>
              <w:right w:val="nil"/>
            </w:tcBorders>
          </w:tcPr>
          <w:p w:rsidR="00C817EC" w:rsidRDefault="00C817EC" w:rsidP="00C817EC">
            <w:pPr>
              <w:rPr>
                <w:rFonts w:ascii="Calibri" w:hAnsi="Calibri"/>
                <w:b/>
                <w:sz w:val="20"/>
                <w:szCs w:val="20"/>
              </w:rPr>
            </w:pPr>
          </w:p>
        </w:tc>
        <w:tc>
          <w:tcPr>
            <w:tcW w:w="242" w:type="dxa"/>
            <w:tcBorders>
              <w:top w:val="nil"/>
              <w:left w:val="nil"/>
              <w:bottom w:val="single" w:sz="4" w:space="0" w:color="auto"/>
              <w:right w:val="nil"/>
            </w:tcBorders>
          </w:tcPr>
          <w:p w:rsidR="00C817EC" w:rsidRDefault="00C817EC" w:rsidP="00C817EC">
            <w:pPr>
              <w:rPr>
                <w:rFonts w:ascii="Calibri" w:hAnsi="Calibri"/>
                <w:b/>
                <w:sz w:val="20"/>
                <w:szCs w:val="20"/>
              </w:rPr>
            </w:pPr>
          </w:p>
        </w:tc>
        <w:tc>
          <w:tcPr>
            <w:tcW w:w="460" w:type="dxa"/>
            <w:tcBorders>
              <w:top w:val="nil"/>
              <w:left w:val="nil"/>
              <w:bottom w:val="single" w:sz="4" w:space="0" w:color="auto"/>
              <w:right w:val="nil"/>
            </w:tcBorders>
          </w:tcPr>
          <w:p w:rsidR="00C817EC" w:rsidRDefault="00C817EC" w:rsidP="00C817EC">
            <w:pPr>
              <w:rPr>
                <w:rFonts w:ascii="Calibri" w:hAnsi="Calibri"/>
                <w:b/>
                <w:sz w:val="20"/>
                <w:szCs w:val="20"/>
              </w:rPr>
            </w:pPr>
          </w:p>
        </w:tc>
        <w:tc>
          <w:tcPr>
            <w:tcW w:w="460" w:type="dxa"/>
            <w:gridSpan w:val="2"/>
            <w:tcBorders>
              <w:top w:val="nil"/>
              <w:left w:val="nil"/>
              <w:bottom w:val="single" w:sz="4" w:space="0" w:color="auto"/>
              <w:right w:val="nil"/>
            </w:tcBorders>
          </w:tcPr>
          <w:p w:rsidR="00C817EC" w:rsidRDefault="00C817EC" w:rsidP="00C817EC">
            <w:pPr>
              <w:rPr>
                <w:rFonts w:ascii="Calibri" w:hAnsi="Calibri"/>
                <w:b/>
                <w:sz w:val="20"/>
                <w:szCs w:val="20"/>
              </w:rPr>
            </w:pPr>
          </w:p>
        </w:tc>
        <w:tc>
          <w:tcPr>
            <w:tcW w:w="752" w:type="dxa"/>
            <w:tcBorders>
              <w:top w:val="nil"/>
              <w:left w:val="nil"/>
              <w:bottom w:val="single" w:sz="4" w:space="0" w:color="auto"/>
              <w:right w:val="nil"/>
            </w:tcBorders>
          </w:tcPr>
          <w:p w:rsidR="00C817EC" w:rsidRDefault="00C817EC" w:rsidP="00C817EC">
            <w:pPr>
              <w:rPr>
                <w:rFonts w:ascii="Calibri" w:hAnsi="Calibri"/>
                <w:b/>
                <w:sz w:val="20"/>
                <w:szCs w:val="20"/>
              </w:rPr>
            </w:pPr>
          </w:p>
        </w:tc>
        <w:tc>
          <w:tcPr>
            <w:tcW w:w="168" w:type="dxa"/>
            <w:gridSpan w:val="3"/>
            <w:tcBorders>
              <w:top w:val="nil"/>
              <w:left w:val="nil"/>
              <w:bottom w:val="single" w:sz="4" w:space="0" w:color="auto"/>
              <w:right w:val="nil"/>
            </w:tcBorders>
          </w:tcPr>
          <w:p w:rsidR="00C817EC" w:rsidRDefault="00C817EC" w:rsidP="00C817EC">
            <w:pPr>
              <w:rPr>
                <w:rFonts w:ascii="Calibri" w:hAnsi="Calibri"/>
                <w:b/>
                <w:sz w:val="20"/>
                <w:szCs w:val="20"/>
              </w:rPr>
            </w:pPr>
          </w:p>
        </w:tc>
        <w:tc>
          <w:tcPr>
            <w:tcW w:w="460" w:type="dxa"/>
            <w:gridSpan w:val="2"/>
            <w:tcBorders>
              <w:top w:val="nil"/>
              <w:left w:val="nil"/>
              <w:bottom w:val="single" w:sz="4" w:space="0" w:color="auto"/>
              <w:right w:val="nil"/>
            </w:tcBorders>
          </w:tcPr>
          <w:p w:rsidR="00C817EC" w:rsidRDefault="00C817EC" w:rsidP="00C817EC">
            <w:pPr>
              <w:rPr>
                <w:rFonts w:ascii="Calibri" w:hAnsi="Calibri"/>
                <w:b/>
                <w:sz w:val="20"/>
                <w:szCs w:val="20"/>
              </w:rPr>
            </w:pPr>
          </w:p>
        </w:tc>
        <w:tc>
          <w:tcPr>
            <w:tcW w:w="460" w:type="dxa"/>
            <w:tcBorders>
              <w:top w:val="nil"/>
              <w:left w:val="nil"/>
              <w:bottom w:val="single" w:sz="4" w:space="0" w:color="auto"/>
              <w:right w:val="nil"/>
            </w:tcBorders>
          </w:tcPr>
          <w:p w:rsidR="00C817EC" w:rsidRDefault="00C817EC" w:rsidP="00C817EC">
            <w:pPr>
              <w:rPr>
                <w:rFonts w:ascii="Calibri" w:hAnsi="Calibri"/>
                <w:b/>
                <w:sz w:val="20"/>
                <w:szCs w:val="20"/>
              </w:rPr>
            </w:pPr>
          </w:p>
        </w:tc>
        <w:tc>
          <w:tcPr>
            <w:tcW w:w="460" w:type="dxa"/>
            <w:tcBorders>
              <w:top w:val="nil"/>
              <w:left w:val="nil"/>
              <w:bottom w:val="single" w:sz="4" w:space="0" w:color="auto"/>
              <w:right w:val="nil"/>
            </w:tcBorders>
          </w:tcPr>
          <w:p w:rsidR="00C817EC" w:rsidRDefault="00C817EC" w:rsidP="00C817EC">
            <w:pPr>
              <w:rPr>
                <w:rFonts w:ascii="Calibri" w:hAnsi="Calibri"/>
                <w:b/>
                <w:sz w:val="20"/>
                <w:szCs w:val="20"/>
              </w:rPr>
            </w:pPr>
          </w:p>
        </w:tc>
        <w:tc>
          <w:tcPr>
            <w:tcW w:w="460" w:type="dxa"/>
            <w:gridSpan w:val="3"/>
            <w:tcBorders>
              <w:top w:val="nil"/>
              <w:left w:val="nil"/>
              <w:bottom w:val="single" w:sz="4" w:space="0" w:color="auto"/>
              <w:right w:val="nil"/>
            </w:tcBorders>
          </w:tcPr>
          <w:p w:rsidR="00C817EC" w:rsidRDefault="00C817EC" w:rsidP="00C817EC">
            <w:pPr>
              <w:rPr>
                <w:rFonts w:ascii="Calibri" w:hAnsi="Calibri"/>
                <w:b/>
                <w:sz w:val="20"/>
                <w:szCs w:val="20"/>
              </w:rPr>
            </w:pPr>
          </w:p>
        </w:tc>
        <w:tc>
          <w:tcPr>
            <w:tcW w:w="460" w:type="dxa"/>
            <w:tcBorders>
              <w:top w:val="nil"/>
              <w:left w:val="nil"/>
              <w:bottom w:val="single" w:sz="4" w:space="0" w:color="auto"/>
              <w:right w:val="nil"/>
            </w:tcBorders>
          </w:tcPr>
          <w:p w:rsidR="00C817EC" w:rsidRDefault="00C817EC" w:rsidP="00C817EC">
            <w:pPr>
              <w:rPr>
                <w:rFonts w:ascii="Calibri" w:hAnsi="Calibri"/>
                <w:b/>
                <w:sz w:val="20"/>
                <w:szCs w:val="20"/>
              </w:rPr>
            </w:pPr>
          </w:p>
        </w:tc>
        <w:tc>
          <w:tcPr>
            <w:tcW w:w="460" w:type="dxa"/>
            <w:tcBorders>
              <w:top w:val="nil"/>
              <w:left w:val="nil"/>
              <w:bottom w:val="single" w:sz="4" w:space="0" w:color="auto"/>
              <w:right w:val="nil"/>
            </w:tcBorders>
          </w:tcPr>
          <w:p w:rsidR="00C817EC" w:rsidRDefault="00C817EC" w:rsidP="00C817EC">
            <w:pPr>
              <w:rPr>
                <w:rFonts w:ascii="Calibri" w:hAnsi="Calibri"/>
                <w:b/>
                <w:sz w:val="20"/>
                <w:szCs w:val="20"/>
              </w:rPr>
            </w:pPr>
          </w:p>
        </w:tc>
        <w:tc>
          <w:tcPr>
            <w:tcW w:w="899" w:type="dxa"/>
            <w:tcBorders>
              <w:top w:val="nil"/>
              <w:left w:val="nil"/>
              <w:bottom w:val="single" w:sz="4" w:space="0" w:color="auto"/>
              <w:right w:val="nil"/>
            </w:tcBorders>
          </w:tcPr>
          <w:p w:rsidR="00C817EC" w:rsidRDefault="00C817EC" w:rsidP="00C817EC">
            <w:pPr>
              <w:rPr>
                <w:rFonts w:ascii="Calibri" w:hAnsi="Calibri"/>
                <w:b/>
                <w:sz w:val="20"/>
                <w:szCs w:val="20"/>
              </w:rPr>
            </w:pPr>
          </w:p>
        </w:tc>
      </w:tr>
      <w:tr w:rsidR="00C817EC" w:rsidTr="00D61B3C">
        <w:trPr>
          <w:divId w:val="2053571053"/>
        </w:trPr>
        <w:tc>
          <w:tcPr>
            <w:tcW w:w="3261" w:type="dxa"/>
            <w:gridSpan w:val="13"/>
            <w:tcBorders>
              <w:top w:val="single" w:sz="4" w:space="0" w:color="auto"/>
              <w:left w:val="single" w:sz="4" w:space="0" w:color="auto"/>
              <w:bottom w:val="single" w:sz="4" w:space="0" w:color="auto"/>
              <w:right w:val="single" w:sz="4" w:space="0" w:color="auto"/>
            </w:tcBorders>
            <w:shd w:val="clear" w:color="auto" w:fill="FFFF00"/>
            <w:vAlign w:val="center"/>
            <w:hideMark/>
          </w:tcPr>
          <w:p w:rsidR="00C817EC" w:rsidRDefault="00C817EC" w:rsidP="00C817EC">
            <w:pPr>
              <w:jc w:val="center"/>
              <w:rPr>
                <w:rFonts w:ascii="Calibri" w:hAnsi="Calibri"/>
                <w:b/>
                <w:sz w:val="18"/>
                <w:szCs w:val="18"/>
              </w:rPr>
            </w:pPr>
            <w:r>
              <w:rPr>
                <w:rFonts w:ascii="Calibri" w:hAnsi="Calibri"/>
                <w:b/>
                <w:sz w:val="18"/>
                <w:szCs w:val="18"/>
              </w:rPr>
              <w:t>Rozpočet upravený v tis. Kč</w:t>
            </w:r>
          </w:p>
        </w:tc>
        <w:tc>
          <w:tcPr>
            <w:tcW w:w="2835" w:type="dxa"/>
            <w:gridSpan w:val="10"/>
            <w:tcBorders>
              <w:top w:val="single" w:sz="4" w:space="0" w:color="auto"/>
              <w:left w:val="single" w:sz="4" w:space="0" w:color="auto"/>
              <w:bottom w:val="single" w:sz="4" w:space="0" w:color="auto"/>
              <w:right w:val="single" w:sz="4" w:space="0" w:color="auto"/>
            </w:tcBorders>
            <w:shd w:val="clear" w:color="auto" w:fill="FFFF00"/>
            <w:vAlign w:val="center"/>
          </w:tcPr>
          <w:p w:rsidR="00C817EC" w:rsidRDefault="00C817EC" w:rsidP="00C817EC">
            <w:pPr>
              <w:jc w:val="center"/>
              <w:rPr>
                <w:rFonts w:ascii="Calibri" w:hAnsi="Calibri"/>
                <w:b/>
                <w:sz w:val="18"/>
                <w:szCs w:val="18"/>
              </w:rPr>
            </w:pPr>
            <w:r>
              <w:rPr>
                <w:rFonts w:ascii="Calibri" w:hAnsi="Calibri"/>
                <w:b/>
                <w:sz w:val="18"/>
                <w:szCs w:val="18"/>
              </w:rPr>
              <w:t>Skutečnost v tis. Kč</w:t>
            </w:r>
          </w:p>
        </w:tc>
        <w:tc>
          <w:tcPr>
            <w:tcW w:w="1417" w:type="dxa"/>
            <w:gridSpan w:val="5"/>
            <w:tcBorders>
              <w:top w:val="single" w:sz="4" w:space="0" w:color="auto"/>
              <w:left w:val="single" w:sz="4" w:space="0" w:color="auto"/>
              <w:bottom w:val="single" w:sz="4" w:space="0" w:color="auto"/>
              <w:right w:val="single" w:sz="4" w:space="0" w:color="auto"/>
            </w:tcBorders>
            <w:shd w:val="clear" w:color="auto" w:fill="FFFF00"/>
            <w:vAlign w:val="center"/>
          </w:tcPr>
          <w:p w:rsidR="00C817EC" w:rsidRDefault="00C817EC" w:rsidP="00C817EC">
            <w:pPr>
              <w:jc w:val="center"/>
              <w:rPr>
                <w:rFonts w:ascii="Calibri" w:hAnsi="Calibri"/>
                <w:b/>
                <w:sz w:val="18"/>
                <w:szCs w:val="18"/>
              </w:rPr>
            </w:pPr>
            <w:r>
              <w:rPr>
                <w:rFonts w:ascii="Calibri" w:hAnsi="Calibri"/>
                <w:b/>
                <w:sz w:val="18"/>
                <w:szCs w:val="18"/>
              </w:rPr>
              <w:t>SK/RU v %</w:t>
            </w:r>
          </w:p>
        </w:tc>
        <w:tc>
          <w:tcPr>
            <w:tcW w:w="2126"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C817EC" w:rsidRDefault="00C817EC" w:rsidP="00C817EC">
            <w:pPr>
              <w:jc w:val="center"/>
              <w:rPr>
                <w:rFonts w:ascii="Calibri" w:hAnsi="Calibri"/>
                <w:b/>
                <w:sz w:val="18"/>
                <w:szCs w:val="18"/>
              </w:rPr>
            </w:pPr>
            <w:r>
              <w:rPr>
                <w:rFonts w:ascii="Calibri" w:hAnsi="Calibri"/>
                <w:b/>
                <w:sz w:val="18"/>
                <w:szCs w:val="18"/>
              </w:rPr>
              <w:t>Komentář</w:t>
            </w:r>
          </w:p>
        </w:tc>
      </w:tr>
      <w:tr w:rsidR="00C817EC" w:rsidTr="00D61B3C">
        <w:trPr>
          <w:divId w:val="2053571053"/>
        </w:trPr>
        <w:tc>
          <w:tcPr>
            <w:tcW w:w="3261" w:type="dxa"/>
            <w:gridSpan w:val="13"/>
            <w:tcBorders>
              <w:top w:val="single" w:sz="4" w:space="0" w:color="auto"/>
              <w:left w:val="single" w:sz="4" w:space="0" w:color="auto"/>
              <w:bottom w:val="single" w:sz="4" w:space="0" w:color="auto"/>
              <w:right w:val="single" w:sz="4" w:space="0" w:color="auto"/>
            </w:tcBorders>
            <w:hideMark/>
          </w:tcPr>
          <w:p w:rsidR="00C817EC" w:rsidRDefault="00F77BF1" w:rsidP="00C817EC">
            <w:pPr>
              <w:jc w:val="right"/>
              <w:rPr>
                <w:rFonts w:ascii="Calibri" w:hAnsi="Calibri"/>
                <w:b/>
                <w:sz w:val="18"/>
                <w:szCs w:val="18"/>
              </w:rPr>
            </w:pPr>
            <w:r>
              <w:rPr>
                <w:rFonts w:ascii="Calibri" w:hAnsi="Calibri"/>
                <w:b/>
                <w:sz w:val="18"/>
                <w:szCs w:val="18"/>
              </w:rPr>
              <w:t>830 464,41</w:t>
            </w:r>
          </w:p>
        </w:tc>
        <w:tc>
          <w:tcPr>
            <w:tcW w:w="2835" w:type="dxa"/>
            <w:gridSpan w:val="10"/>
            <w:tcBorders>
              <w:top w:val="single" w:sz="4" w:space="0" w:color="auto"/>
              <w:left w:val="single" w:sz="4" w:space="0" w:color="auto"/>
              <w:bottom w:val="single" w:sz="4" w:space="0" w:color="auto"/>
              <w:right w:val="single" w:sz="4" w:space="0" w:color="auto"/>
            </w:tcBorders>
            <w:hideMark/>
          </w:tcPr>
          <w:p w:rsidR="00C817EC" w:rsidRDefault="00F77BF1" w:rsidP="00C817EC">
            <w:pPr>
              <w:jc w:val="right"/>
              <w:rPr>
                <w:rFonts w:ascii="Calibri" w:hAnsi="Calibri"/>
                <w:b/>
                <w:sz w:val="18"/>
                <w:szCs w:val="18"/>
              </w:rPr>
            </w:pPr>
            <w:r>
              <w:rPr>
                <w:rFonts w:ascii="Calibri" w:hAnsi="Calibri"/>
                <w:b/>
                <w:sz w:val="18"/>
                <w:szCs w:val="18"/>
              </w:rPr>
              <w:t>2 600 157,05</w:t>
            </w:r>
          </w:p>
        </w:tc>
        <w:tc>
          <w:tcPr>
            <w:tcW w:w="1417" w:type="dxa"/>
            <w:gridSpan w:val="5"/>
            <w:tcBorders>
              <w:top w:val="single" w:sz="4" w:space="0" w:color="auto"/>
              <w:left w:val="single" w:sz="4" w:space="0" w:color="auto"/>
              <w:bottom w:val="single" w:sz="4" w:space="0" w:color="auto"/>
              <w:right w:val="single" w:sz="4" w:space="0" w:color="auto"/>
            </w:tcBorders>
            <w:hideMark/>
          </w:tcPr>
          <w:p w:rsidR="00C817EC" w:rsidRDefault="00542BF2" w:rsidP="00F77BF1">
            <w:pPr>
              <w:jc w:val="center"/>
              <w:rPr>
                <w:rFonts w:ascii="Calibri" w:hAnsi="Calibri"/>
                <w:b/>
                <w:sz w:val="18"/>
                <w:szCs w:val="18"/>
              </w:rPr>
            </w:pPr>
            <w:r>
              <w:rPr>
                <w:rFonts w:ascii="Calibri" w:hAnsi="Calibri"/>
                <w:b/>
                <w:sz w:val="18"/>
                <w:szCs w:val="18"/>
              </w:rPr>
              <w:t>*****</w:t>
            </w:r>
          </w:p>
        </w:tc>
        <w:tc>
          <w:tcPr>
            <w:tcW w:w="2126" w:type="dxa"/>
            <w:gridSpan w:val="4"/>
            <w:tcBorders>
              <w:top w:val="single" w:sz="4" w:space="0" w:color="auto"/>
              <w:left w:val="single" w:sz="4" w:space="0" w:color="auto"/>
              <w:bottom w:val="single" w:sz="4" w:space="0" w:color="auto"/>
              <w:right w:val="single" w:sz="4" w:space="0" w:color="auto"/>
            </w:tcBorders>
            <w:hideMark/>
          </w:tcPr>
          <w:p w:rsidR="00C817EC" w:rsidRDefault="00C817EC" w:rsidP="00C817EC">
            <w:pPr>
              <w:rPr>
                <w:rFonts w:ascii="Calibri" w:hAnsi="Calibri"/>
                <w:b/>
                <w:sz w:val="18"/>
                <w:szCs w:val="18"/>
              </w:rPr>
            </w:pPr>
            <w:r>
              <w:rPr>
                <w:rFonts w:ascii="Calibri" w:hAnsi="Calibri"/>
                <w:b/>
                <w:sz w:val="18"/>
                <w:szCs w:val="18"/>
              </w:rPr>
              <w:t>Příjmy před konsolidací</w:t>
            </w:r>
          </w:p>
        </w:tc>
      </w:tr>
      <w:tr w:rsidR="00C817EC" w:rsidTr="00D61B3C">
        <w:trPr>
          <w:divId w:val="2053571053"/>
        </w:trPr>
        <w:tc>
          <w:tcPr>
            <w:tcW w:w="3261" w:type="dxa"/>
            <w:gridSpan w:val="13"/>
            <w:tcBorders>
              <w:top w:val="single" w:sz="4" w:space="0" w:color="auto"/>
              <w:left w:val="single" w:sz="4" w:space="0" w:color="auto"/>
              <w:bottom w:val="single" w:sz="4" w:space="0" w:color="auto"/>
              <w:right w:val="single" w:sz="4" w:space="0" w:color="auto"/>
            </w:tcBorders>
            <w:hideMark/>
          </w:tcPr>
          <w:p w:rsidR="00C817EC" w:rsidRDefault="00F77BF1" w:rsidP="00C817EC">
            <w:pPr>
              <w:jc w:val="right"/>
              <w:rPr>
                <w:rFonts w:ascii="Calibri" w:hAnsi="Calibri"/>
                <w:b/>
                <w:sz w:val="18"/>
                <w:szCs w:val="18"/>
              </w:rPr>
            </w:pPr>
            <w:r>
              <w:rPr>
                <w:rFonts w:ascii="Calibri" w:hAnsi="Calibri"/>
                <w:b/>
                <w:sz w:val="18"/>
                <w:szCs w:val="18"/>
              </w:rPr>
              <w:t>830 464,41</w:t>
            </w:r>
          </w:p>
        </w:tc>
        <w:tc>
          <w:tcPr>
            <w:tcW w:w="2835" w:type="dxa"/>
            <w:gridSpan w:val="10"/>
            <w:tcBorders>
              <w:top w:val="single" w:sz="4" w:space="0" w:color="auto"/>
              <w:left w:val="single" w:sz="4" w:space="0" w:color="auto"/>
              <w:bottom w:val="single" w:sz="4" w:space="0" w:color="auto"/>
              <w:right w:val="single" w:sz="4" w:space="0" w:color="auto"/>
            </w:tcBorders>
            <w:hideMark/>
          </w:tcPr>
          <w:p w:rsidR="00C817EC" w:rsidRDefault="00AF3A2B" w:rsidP="00C817EC">
            <w:pPr>
              <w:jc w:val="right"/>
              <w:rPr>
                <w:rFonts w:ascii="Calibri" w:hAnsi="Calibri"/>
                <w:b/>
                <w:sz w:val="18"/>
                <w:szCs w:val="18"/>
              </w:rPr>
            </w:pPr>
            <w:r>
              <w:rPr>
                <w:rFonts w:ascii="Calibri" w:hAnsi="Calibri"/>
                <w:b/>
                <w:sz w:val="18"/>
                <w:szCs w:val="18"/>
              </w:rPr>
              <w:t>1 043 273,37</w:t>
            </w:r>
          </w:p>
        </w:tc>
        <w:tc>
          <w:tcPr>
            <w:tcW w:w="1417" w:type="dxa"/>
            <w:gridSpan w:val="5"/>
            <w:tcBorders>
              <w:top w:val="single" w:sz="4" w:space="0" w:color="auto"/>
              <w:left w:val="single" w:sz="4" w:space="0" w:color="auto"/>
              <w:bottom w:val="single" w:sz="4" w:space="0" w:color="auto"/>
              <w:right w:val="single" w:sz="4" w:space="0" w:color="auto"/>
            </w:tcBorders>
            <w:hideMark/>
          </w:tcPr>
          <w:p w:rsidR="00C817EC" w:rsidRDefault="00AF3A2B" w:rsidP="00F77BF1">
            <w:pPr>
              <w:jc w:val="center"/>
              <w:rPr>
                <w:rFonts w:ascii="Calibri" w:hAnsi="Calibri"/>
                <w:b/>
                <w:sz w:val="18"/>
                <w:szCs w:val="18"/>
              </w:rPr>
            </w:pPr>
            <w:r>
              <w:rPr>
                <w:rFonts w:ascii="Calibri" w:hAnsi="Calibri"/>
                <w:b/>
                <w:sz w:val="18"/>
                <w:szCs w:val="18"/>
              </w:rPr>
              <w:t>125,63</w:t>
            </w:r>
          </w:p>
        </w:tc>
        <w:tc>
          <w:tcPr>
            <w:tcW w:w="2126" w:type="dxa"/>
            <w:gridSpan w:val="4"/>
            <w:tcBorders>
              <w:top w:val="single" w:sz="4" w:space="0" w:color="auto"/>
              <w:left w:val="single" w:sz="4" w:space="0" w:color="auto"/>
              <w:bottom w:val="single" w:sz="4" w:space="0" w:color="auto"/>
              <w:right w:val="single" w:sz="4" w:space="0" w:color="auto"/>
            </w:tcBorders>
            <w:hideMark/>
          </w:tcPr>
          <w:p w:rsidR="00C817EC" w:rsidRDefault="00C817EC" w:rsidP="00C817EC">
            <w:pPr>
              <w:rPr>
                <w:rFonts w:ascii="Calibri" w:hAnsi="Calibri"/>
                <w:b/>
                <w:sz w:val="18"/>
                <w:szCs w:val="18"/>
              </w:rPr>
            </w:pPr>
            <w:r>
              <w:rPr>
                <w:rFonts w:ascii="Calibri" w:hAnsi="Calibri"/>
                <w:b/>
                <w:sz w:val="18"/>
                <w:szCs w:val="18"/>
              </w:rPr>
              <w:t>Příjmy po konsolidaci</w:t>
            </w:r>
          </w:p>
        </w:tc>
      </w:tr>
      <w:tr w:rsidR="00C817EC" w:rsidTr="00D61B3C">
        <w:trPr>
          <w:divId w:val="2053571053"/>
        </w:trPr>
        <w:tc>
          <w:tcPr>
            <w:tcW w:w="460" w:type="dxa"/>
            <w:tcBorders>
              <w:top w:val="single" w:sz="4" w:space="0" w:color="auto"/>
              <w:left w:val="nil"/>
              <w:bottom w:val="nil"/>
              <w:right w:val="nil"/>
            </w:tcBorders>
          </w:tcPr>
          <w:p w:rsidR="00C817EC" w:rsidRDefault="00C817EC" w:rsidP="00C817EC">
            <w:pPr>
              <w:rPr>
                <w:rFonts w:ascii="Calibri" w:hAnsi="Calibri"/>
                <w:b/>
                <w:sz w:val="20"/>
                <w:szCs w:val="20"/>
              </w:rPr>
            </w:pPr>
          </w:p>
        </w:tc>
        <w:tc>
          <w:tcPr>
            <w:tcW w:w="460" w:type="dxa"/>
            <w:gridSpan w:val="2"/>
            <w:tcBorders>
              <w:top w:val="single" w:sz="4" w:space="0" w:color="auto"/>
              <w:left w:val="nil"/>
              <w:bottom w:val="nil"/>
              <w:right w:val="nil"/>
            </w:tcBorders>
          </w:tcPr>
          <w:p w:rsidR="00C817EC" w:rsidRDefault="00C817EC" w:rsidP="00C817EC">
            <w:pPr>
              <w:rPr>
                <w:rFonts w:ascii="Calibri" w:hAnsi="Calibri"/>
                <w:b/>
                <w:sz w:val="20"/>
                <w:szCs w:val="20"/>
              </w:rPr>
            </w:pPr>
          </w:p>
        </w:tc>
        <w:tc>
          <w:tcPr>
            <w:tcW w:w="460" w:type="dxa"/>
            <w:tcBorders>
              <w:top w:val="single" w:sz="4" w:space="0" w:color="auto"/>
              <w:left w:val="nil"/>
              <w:bottom w:val="nil"/>
              <w:right w:val="nil"/>
            </w:tcBorders>
          </w:tcPr>
          <w:p w:rsidR="00C817EC" w:rsidRDefault="00C817EC" w:rsidP="00C817EC">
            <w:pPr>
              <w:rPr>
                <w:rFonts w:ascii="Calibri" w:hAnsi="Calibri"/>
                <w:b/>
                <w:sz w:val="20"/>
                <w:szCs w:val="20"/>
              </w:rPr>
            </w:pPr>
          </w:p>
        </w:tc>
        <w:tc>
          <w:tcPr>
            <w:tcW w:w="391" w:type="dxa"/>
            <w:gridSpan w:val="2"/>
            <w:tcBorders>
              <w:top w:val="single" w:sz="4" w:space="0" w:color="auto"/>
              <w:left w:val="nil"/>
              <w:bottom w:val="nil"/>
              <w:right w:val="nil"/>
            </w:tcBorders>
          </w:tcPr>
          <w:p w:rsidR="00C817EC" w:rsidRDefault="00C817EC" w:rsidP="00C817EC">
            <w:pPr>
              <w:rPr>
                <w:rFonts w:ascii="Calibri" w:hAnsi="Calibri"/>
                <w:b/>
                <w:sz w:val="20"/>
                <w:szCs w:val="20"/>
              </w:rPr>
            </w:pPr>
          </w:p>
        </w:tc>
        <w:tc>
          <w:tcPr>
            <w:tcW w:w="529" w:type="dxa"/>
            <w:gridSpan w:val="2"/>
            <w:tcBorders>
              <w:top w:val="single" w:sz="4" w:space="0" w:color="auto"/>
              <w:left w:val="nil"/>
              <w:bottom w:val="nil"/>
              <w:right w:val="nil"/>
            </w:tcBorders>
          </w:tcPr>
          <w:p w:rsidR="00C817EC" w:rsidRDefault="00C817EC" w:rsidP="00C817EC">
            <w:pPr>
              <w:rPr>
                <w:rFonts w:ascii="Calibri" w:hAnsi="Calibri"/>
                <w:b/>
                <w:sz w:val="20"/>
                <w:szCs w:val="20"/>
              </w:rPr>
            </w:pPr>
          </w:p>
        </w:tc>
        <w:tc>
          <w:tcPr>
            <w:tcW w:w="460" w:type="dxa"/>
            <w:tcBorders>
              <w:top w:val="single" w:sz="4" w:space="0" w:color="auto"/>
              <w:left w:val="nil"/>
              <w:bottom w:val="nil"/>
              <w:right w:val="nil"/>
            </w:tcBorders>
          </w:tcPr>
          <w:p w:rsidR="00C817EC" w:rsidRDefault="00C817EC" w:rsidP="00C817EC">
            <w:pPr>
              <w:rPr>
                <w:rFonts w:ascii="Calibri" w:hAnsi="Calibri"/>
                <w:b/>
                <w:sz w:val="20"/>
                <w:szCs w:val="20"/>
              </w:rPr>
            </w:pPr>
          </w:p>
        </w:tc>
        <w:tc>
          <w:tcPr>
            <w:tcW w:w="460" w:type="dxa"/>
            <w:gridSpan w:val="3"/>
            <w:tcBorders>
              <w:top w:val="single" w:sz="4" w:space="0" w:color="auto"/>
              <w:left w:val="nil"/>
              <w:bottom w:val="nil"/>
              <w:right w:val="nil"/>
            </w:tcBorders>
          </w:tcPr>
          <w:p w:rsidR="00C817EC" w:rsidRDefault="00C817EC" w:rsidP="00C817EC">
            <w:pPr>
              <w:rPr>
                <w:rFonts w:ascii="Calibri" w:hAnsi="Calibri"/>
                <w:b/>
                <w:sz w:val="20"/>
                <w:szCs w:val="20"/>
              </w:rPr>
            </w:pPr>
          </w:p>
        </w:tc>
        <w:tc>
          <w:tcPr>
            <w:tcW w:w="678" w:type="dxa"/>
            <w:gridSpan w:val="2"/>
            <w:tcBorders>
              <w:top w:val="single" w:sz="4" w:space="0" w:color="auto"/>
              <w:left w:val="nil"/>
              <w:bottom w:val="nil"/>
              <w:right w:val="nil"/>
            </w:tcBorders>
          </w:tcPr>
          <w:p w:rsidR="00C817EC" w:rsidRDefault="00C817EC" w:rsidP="00C817EC">
            <w:pPr>
              <w:rPr>
                <w:rFonts w:ascii="Calibri" w:hAnsi="Calibri"/>
                <w:b/>
                <w:sz w:val="20"/>
                <w:szCs w:val="20"/>
              </w:rPr>
            </w:pPr>
          </w:p>
        </w:tc>
        <w:tc>
          <w:tcPr>
            <w:tcW w:w="242" w:type="dxa"/>
            <w:tcBorders>
              <w:top w:val="single" w:sz="4" w:space="0" w:color="auto"/>
              <w:left w:val="nil"/>
              <w:bottom w:val="nil"/>
              <w:right w:val="nil"/>
            </w:tcBorders>
          </w:tcPr>
          <w:p w:rsidR="00C817EC" w:rsidRDefault="00C817EC" w:rsidP="00C817EC">
            <w:pPr>
              <w:rPr>
                <w:rFonts w:ascii="Calibri" w:hAnsi="Calibri"/>
                <w:b/>
                <w:sz w:val="20"/>
                <w:szCs w:val="20"/>
              </w:rPr>
            </w:pPr>
          </w:p>
        </w:tc>
        <w:tc>
          <w:tcPr>
            <w:tcW w:w="460" w:type="dxa"/>
            <w:tcBorders>
              <w:top w:val="single" w:sz="4" w:space="0" w:color="auto"/>
              <w:left w:val="nil"/>
              <w:bottom w:val="nil"/>
              <w:right w:val="nil"/>
            </w:tcBorders>
          </w:tcPr>
          <w:p w:rsidR="00C817EC" w:rsidRDefault="00C817EC" w:rsidP="00C817EC">
            <w:pPr>
              <w:rPr>
                <w:rFonts w:ascii="Calibri" w:hAnsi="Calibri"/>
                <w:b/>
                <w:sz w:val="20"/>
                <w:szCs w:val="20"/>
              </w:rPr>
            </w:pPr>
          </w:p>
        </w:tc>
        <w:tc>
          <w:tcPr>
            <w:tcW w:w="460" w:type="dxa"/>
            <w:gridSpan w:val="2"/>
            <w:tcBorders>
              <w:top w:val="single" w:sz="4" w:space="0" w:color="auto"/>
              <w:left w:val="nil"/>
              <w:bottom w:val="nil"/>
              <w:right w:val="nil"/>
            </w:tcBorders>
          </w:tcPr>
          <w:p w:rsidR="00C817EC" w:rsidRDefault="00C817EC" w:rsidP="00C817EC">
            <w:pPr>
              <w:rPr>
                <w:rFonts w:ascii="Calibri" w:hAnsi="Calibri"/>
                <w:b/>
                <w:sz w:val="20"/>
                <w:szCs w:val="20"/>
              </w:rPr>
            </w:pPr>
          </w:p>
        </w:tc>
        <w:tc>
          <w:tcPr>
            <w:tcW w:w="752" w:type="dxa"/>
            <w:tcBorders>
              <w:top w:val="single" w:sz="4" w:space="0" w:color="auto"/>
              <w:left w:val="nil"/>
              <w:bottom w:val="nil"/>
              <w:right w:val="nil"/>
            </w:tcBorders>
          </w:tcPr>
          <w:p w:rsidR="00C817EC" w:rsidRDefault="00C817EC" w:rsidP="00C817EC">
            <w:pPr>
              <w:rPr>
                <w:rFonts w:ascii="Calibri" w:hAnsi="Calibri"/>
                <w:b/>
                <w:sz w:val="20"/>
                <w:szCs w:val="20"/>
              </w:rPr>
            </w:pPr>
          </w:p>
        </w:tc>
        <w:tc>
          <w:tcPr>
            <w:tcW w:w="168" w:type="dxa"/>
            <w:gridSpan w:val="3"/>
            <w:tcBorders>
              <w:top w:val="single" w:sz="4" w:space="0" w:color="auto"/>
              <w:left w:val="nil"/>
              <w:bottom w:val="nil"/>
              <w:right w:val="nil"/>
            </w:tcBorders>
          </w:tcPr>
          <w:p w:rsidR="00C817EC" w:rsidRDefault="00C817EC" w:rsidP="00C817EC">
            <w:pPr>
              <w:rPr>
                <w:rFonts w:ascii="Calibri" w:hAnsi="Calibri"/>
                <w:b/>
                <w:sz w:val="20"/>
                <w:szCs w:val="20"/>
              </w:rPr>
            </w:pPr>
          </w:p>
        </w:tc>
        <w:tc>
          <w:tcPr>
            <w:tcW w:w="460" w:type="dxa"/>
            <w:gridSpan w:val="2"/>
            <w:tcBorders>
              <w:top w:val="single" w:sz="4" w:space="0" w:color="auto"/>
              <w:left w:val="nil"/>
              <w:bottom w:val="nil"/>
              <w:right w:val="nil"/>
            </w:tcBorders>
          </w:tcPr>
          <w:p w:rsidR="00C817EC" w:rsidRDefault="00C817EC" w:rsidP="00C817EC">
            <w:pPr>
              <w:rPr>
                <w:rFonts w:ascii="Calibri" w:hAnsi="Calibri"/>
                <w:b/>
                <w:sz w:val="20"/>
                <w:szCs w:val="20"/>
              </w:rPr>
            </w:pPr>
          </w:p>
        </w:tc>
        <w:tc>
          <w:tcPr>
            <w:tcW w:w="460" w:type="dxa"/>
            <w:tcBorders>
              <w:top w:val="single" w:sz="4" w:space="0" w:color="auto"/>
              <w:left w:val="nil"/>
              <w:bottom w:val="nil"/>
              <w:right w:val="nil"/>
            </w:tcBorders>
          </w:tcPr>
          <w:p w:rsidR="00C817EC" w:rsidRDefault="00C817EC" w:rsidP="00C817EC">
            <w:pPr>
              <w:rPr>
                <w:rFonts w:ascii="Calibri" w:hAnsi="Calibri"/>
                <w:b/>
                <w:sz w:val="20"/>
                <w:szCs w:val="20"/>
              </w:rPr>
            </w:pPr>
          </w:p>
        </w:tc>
        <w:tc>
          <w:tcPr>
            <w:tcW w:w="460" w:type="dxa"/>
            <w:tcBorders>
              <w:top w:val="single" w:sz="4" w:space="0" w:color="auto"/>
              <w:left w:val="nil"/>
              <w:bottom w:val="nil"/>
              <w:right w:val="nil"/>
            </w:tcBorders>
          </w:tcPr>
          <w:p w:rsidR="00C817EC" w:rsidRDefault="00C817EC" w:rsidP="00C817EC">
            <w:pPr>
              <w:rPr>
                <w:rFonts w:ascii="Calibri" w:hAnsi="Calibri"/>
                <w:b/>
                <w:sz w:val="20"/>
                <w:szCs w:val="20"/>
              </w:rPr>
            </w:pPr>
          </w:p>
        </w:tc>
        <w:tc>
          <w:tcPr>
            <w:tcW w:w="460" w:type="dxa"/>
            <w:gridSpan w:val="3"/>
            <w:tcBorders>
              <w:top w:val="single" w:sz="4" w:space="0" w:color="auto"/>
              <w:left w:val="nil"/>
              <w:bottom w:val="nil"/>
              <w:right w:val="nil"/>
            </w:tcBorders>
          </w:tcPr>
          <w:p w:rsidR="00C817EC" w:rsidRDefault="00C817EC" w:rsidP="00C817EC">
            <w:pPr>
              <w:rPr>
                <w:rFonts w:ascii="Calibri" w:hAnsi="Calibri"/>
                <w:b/>
                <w:sz w:val="20"/>
                <w:szCs w:val="20"/>
              </w:rPr>
            </w:pPr>
          </w:p>
        </w:tc>
        <w:tc>
          <w:tcPr>
            <w:tcW w:w="460" w:type="dxa"/>
            <w:tcBorders>
              <w:top w:val="single" w:sz="4" w:space="0" w:color="auto"/>
              <w:left w:val="nil"/>
              <w:bottom w:val="nil"/>
              <w:right w:val="nil"/>
            </w:tcBorders>
          </w:tcPr>
          <w:p w:rsidR="00C817EC" w:rsidRDefault="00C817EC" w:rsidP="00C817EC">
            <w:pPr>
              <w:rPr>
                <w:rFonts w:ascii="Calibri" w:hAnsi="Calibri"/>
                <w:b/>
                <w:sz w:val="20"/>
                <w:szCs w:val="20"/>
              </w:rPr>
            </w:pPr>
          </w:p>
        </w:tc>
        <w:tc>
          <w:tcPr>
            <w:tcW w:w="460" w:type="dxa"/>
            <w:tcBorders>
              <w:top w:val="single" w:sz="4" w:space="0" w:color="auto"/>
              <w:left w:val="nil"/>
              <w:bottom w:val="nil"/>
              <w:right w:val="nil"/>
            </w:tcBorders>
          </w:tcPr>
          <w:p w:rsidR="00C817EC" w:rsidRDefault="00C817EC" w:rsidP="00C817EC">
            <w:pPr>
              <w:rPr>
                <w:rFonts w:ascii="Calibri" w:hAnsi="Calibri"/>
                <w:b/>
                <w:sz w:val="20"/>
                <w:szCs w:val="20"/>
              </w:rPr>
            </w:pPr>
          </w:p>
        </w:tc>
        <w:tc>
          <w:tcPr>
            <w:tcW w:w="899" w:type="dxa"/>
            <w:tcBorders>
              <w:top w:val="single" w:sz="4" w:space="0" w:color="auto"/>
              <w:left w:val="nil"/>
              <w:bottom w:val="nil"/>
              <w:right w:val="nil"/>
            </w:tcBorders>
          </w:tcPr>
          <w:p w:rsidR="00C817EC" w:rsidRDefault="00C817EC" w:rsidP="00C817EC">
            <w:pPr>
              <w:rPr>
                <w:rFonts w:ascii="Calibri" w:hAnsi="Calibri"/>
                <w:b/>
                <w:sz w:val="20"/>
                <w:szCs w:val="20"/>
              </w:rPr>
            </w:pPr>
          </w:p>
        </w:tc>
      </w:tr>
      <w:tr w:rsidR="00C817EC" w:rsidTr="00D61B3C">
        <w:trPr>
          <w:divId w:val="2053571053"/>
        </w:trPr>
        <w:tc>
          <w:tcPr>
            <w:tcW w:w="9639" w:type="dxa"/>
            <w:gridSpan w:val="32"/>
            <w:hideMark/>
          </w:tcPr>
          <w:p w:rsidR="00C817EC" w:rsidRDefault="00C817EC" w:rsidP="00C817EC">
            <w:pPr>
              <w:rPr>
                <w:rFonts w:ascii="Calibri" w:hAnsi="Calibri"/>
                <w:b/>
                <w:sz w:val="20"/>
                <w:szCs w:val="20"/>
              </w:rPr>
            </w:pPr>
            <w:r>
              <w:rPr>
                <w:rFonts w:ascii="Calibri" w:hAnsi="Calibri"/>
                <w:b/>
                <w:sz w:val="20"/>
                <w:szCs w:val="20"/>
              </w:rPr>
              <w:t>Stručný komentář k celkovému vývoji plnění příjmů kapitoly ve sledovaném období</w:t>
            </w:r>
          </w:p>
        </w:tc>
      </w:tr>
      <w:tr w:rsidR="00C817EC" w:rsidTr="00D61B3C">
        <w:trPr>
          <w:divId w:val="2053571053"/>
        </w:trPr>
        <w:tc>
          <w:tcPr>
            <w:tcW w:w="9639" w:type="dxa"/>
            <w:gridSpan w:val="32"/>
            <w:tcBorders>
              <w:top w:val="single" w:sz="6" w:space="0" w:color="auto"/>
              <w:left w:val="single" w:sz="6" w:space="0" w:color="auto"/>
              <w:bottom w:val="single" w:sz="6" w:space="0" w:color="auto"/>
              <w:right w:val="single" w:sz="6" w:space="0" w:color="auto"/>
            </w:tcBorders>
            <w:hideMark/>
          </w:tcPr>
          <w:p w:rsidR="00C817EC" w:rsidRPr="00F11E4B" w:rsidRDefault="00C817EC" w:rsidP="00AC6219">
            <w:pPr>
              <w:jc w:val="both"/>
              <w:rPr>
                <w:rFonts w:ascii="Calibri" w:hAnsi="Calibri"/>
                <w:sz w:val="18"/>
                <w:szCs w:val="18"/>
              </w:rPr>
            </w:pPr>
            <w:r w:rsidRPr="00F11E4B">
              <w:rPr>
                <w:rFonts w:ascii="Calibri" w:hAnsi="Calibri"/>
                <w:sz w:val="18"/>
                <w:szCs w:val="18"/>
              </w:rPr>
              <w:t>Celkové příjmy kapitoly po konsolidaci svým finančním objemem plnění ovlivnily zejména daňové příjmy, konkrétně daň z přidané hodnoty (</w:t>
            </w:r>
            <w:r w:rsidR="00AF3A2B" w:rsidRPr="00F11E4B">
              <w:rPr>
                <w:rFonts w:ascii="Calibri" w:hAnsi="Calibri"/>
                <w:sz w:val="18"/>
                <w:szCs w:val="18"/>
              </w:rPr>
              <w:t>432,21</w:t>
            </w:r>
            <w:r w:rsidRPr="00F11E4B">
              <w:rPr>
                <w:rFonts w:ascii="Calibri" w:hAnsi="Calibri"/>
                <w:sz w:val="18"/>
                <w:szCs w:val="18"/>
              </w:rPr>
              <w:t xml:space="preserve"> mil. Kč), daně z příjmů fyzických osob (</w:t>
            </w:r>
            <w:r w:rsidR="00AF3A2B" w:rsidRPr="00F11E4B">
              <w:rPr>
                <w:rFonts w:ascii="Calibri" w:hAnsi="Calibri"/>
                <w:sz w:val="18"/>
                <w:szCs w:val="18"/>
              </w:rPr>
              <w:t>170,00</w:t>
            </w:r>
            <w:r w:rsidRPr="00F11E4B">
              <w:rPr>
                <w:rFonts w:ascii="Calibri" w:hAnsi="Calibri"/>
                <w:sz w:val="18"/>
                <w:szCs w:val="18"/>
              </w:rPr>
              <w:t xml:space="preserve">  mil. Kč), daně z příjmů právnických osob (</w:t>
            </w:r>
            <w:r w:rsidR="00AF3A2B" w:rsidRPr="00F11E4B">
              <w:rPr>
                <w:rFonts w:ascii="Calibri" w:hAnsi="Calibri"/>
                <w:sz w:val="18"/>
                <w:szCs w:val="18"/>
              </w:rPr>
              <w:t>213,61</w:t>
            </w:r>
            <w:r w:rsidRPr="00F11E4B">
              <w:rPr>
                <w:rFonts w:ascii="Calibri" w:hAnsi="Calibri"/>
                <w:sz w:val="18"/>
                <w:szCs w:val="18"/>
              </w:rPr>
              <w:t xml:space="preserve"> tis. Kč) a daně z hazardních her (</w:t>
            </w:r>
            <w:r w:rsidR="00AF3A2B" w:rsidRPr="00F11E4B">
              <w:rPr>
                <w:rFonts w:ascii="Calibri" w:hAnsi="Calibri"/>
                <w:sz w:val="18"/>
                <w:szCs w:val="18"/>
              </w:rPr>
              <w:t>77,40</w:t>
            </w:r>
            <w:r w:rsidRPr="00F11E4B">
              <w:rPr>
                <w:rFonts w:ascii="Calibri" w:hAnsi="Calibri"/>
                <w:sz w:val="18"/>
                <w:szCs w:val="18"/>
              </w:rPr>
              <w:t xml:space="preserve"> mil. Kč). Příspěvek na výkon státní správy pro rok 202</w:t>
            </w:r>
            <w:r w:rsidR="00AF3A2B" w:rsidRPr="00F11E4B">
              <w:rPr>
                <w:rFonts w:ascii="Calibri" w:hAnsi="Calibri"/>
                <w:sz w:val="18"/>
                <w:szCs w:val="18"/>
              </w:rPr>
              <w:t>2 byl obdržen ve </w:t>
            </w:r>
            <w:r w:rsidRPr="00F11E4B">
              <w:rPr>
                <w:rFonts w:ascii="Calibri" w:hAnsi="Calibri"/>
                <w:sz w:val="18"/>
                <w:szCs w:val="18"/>
              </w:rPr>
              <w:t>výši 69,</w:t>
            </w:r>
            <w:r w:rsidR="00AC6219" w:rsidRPr="00F11E4B">
              <w:rPr>
                <w:rFonts w:ascii="Calibri" w:hAnsi="Calibri"/>
                <w:sz w:val="18"/>
                <w:szCs w:val="18"/>
              </w:rPr>
              <w:t>08</w:t>
            </w:r>
            <w:r w:rsidRPr="00F11E4B">
              <w:rPr>
                <w:rFonts w:ascii="Calibri" w:hAnsi="Calibri"/>
                <w:sz w:val="18"/>
                <w:szCs w:val="18"/>
              </w:rPr>
              <w:t xml:space="preserve"> mil. Kč. Celkové příjmy kapitoly po </w:t>
            </w:r>
            <w:r w:rsidR="00AC6219" w:rsidRPr="00F11E4B">
              <w:rPr>
                <w:rFonts w:ascii="Calibri" w:hAnsi="Calibri"/>
                <w:sz w:val="18"/>
                <w:szCs w:val="18"/>
              </w:rPr>
              <w:t xml:space="preserve">konsolidaci jsou naplněny na 125,63 </w:t>
            </w:r>
            <w:r w:rsidRPr="00F11E4B">
              <w:rPr>
                <w:rFonts w:ascii="Calibri" w:hAnsi="Calibri"/>
                <w:sz w:val="18"/>
                <w:szCs w:val="18"/>
              </w:rPr>
              <w:t>%.</w:t>
            </w:r>
          </w:p>
        </w:tc>
      </w:tr>
      <w:tr w:rsidR="00C817EC" w:rsidTr="00D61B3C">
        <w:trPr>
          <w:divId w:val="2053571053"/>
        </w:trPr>
        <w:tc>
          <w:tcPr>
            <w:tcW w:w="460" w:type="dxa"/>
          </w:tcPr>
          <w:p w:rsidR="00C817EC" w:rsidRDefault="00C817EC" w:rsidP="00C817EC">
            <w:pPr>
              <w:rPr>
                <w:rFonts w:ascii="Calibri" w:hAnsi="Calibri"/>
                <w:b/>
                <w:sz w:val="20"/>
                <w:szCs w:val="20"/>
              </w:rPr>
            </w:pPr>
          </w:p>
        </w:tc>
        <w:tc>
          <w:tcPr>
            <w:tcW w:w="460" w:type="dxa"/>
            <w:gridSpan w:val="2"/>
          </w:tcPr>
          <w:p w:rsidR="00C817EC" w:rsidRDefault="00C817EC" w:rsidP="00C817EC">
            <w:pPr>
              <w:rPr>
                <w:rFonts w:ascii="Calibri" w:hAnsi="Calibri"/>
                <w:b/>
                <w:sz w:val="20"/>
                <w:szCs w:val="20"/>
              </w:rPr>
            </w:pPr>
          </w:p>
        </w:tc>
        <w:tc>
          <w:tcPr>
            <w:tcW w:w="460" w:type="dxa"/>
          </w:tcPr>
          <w:p w:rsidR="00C817EC" w:rsidRDefault="00C817EC" w:rsidP="00C817EC">
            <w:pPr>
              <w:rPr>
                <w:rFonts w:ascii="Calibri" w:hAnsi="Calibri"/>
                <w:b/>
                <w:sz w:val="20"/>
                <w:szCs w:val="20"/>
              </w:rPr>
            </w:pPr>
          </w:p>
        </w:tc>
        <w:tc>
          <w:tcPr>
            <w:tcW w:w="460" w:type="dxa"/>
            <w:gridSpan w:val="3"/>
          </w:tcPr>
          <w:p w:rsidR="00C817EC" w:rsidRDefault="00C817EC" w:rsidP="00C817EC">
            <w:pPr>
              <w:rPr>
                <w:rFonts w:ascii="Calibri" w:hAnsi="Calibri"/>
                <w:b/>
                <w:sz w:val="20"/>
                <w:szCs w:val="20"/>
              </w:rPr>
            </w:pPr>
          </w:p>
        </w:tc>
        <w:tc>
          <w:tcPr>
            <w:tcW w:w="460" w:type="dxa"/>
          </w:tcPr>
          <w:p w:rsidR="00C817EC" w:rsidRDefault="00C817EC" w:rsidP="00C817EC">
            <w:pPr>
              <w:rPr>
                <w:rFonts w:ascii="Calibri" w:hAnsi="Calibri"/>
                <w:b/>
                <w:sz w:val="20"/>
                <w:szCs w:val="20"/>
              </w:rPr>
            </w:pPr>
          </w:p>
        </w:tc>
        <w:tc>
          <w:tcPr>
            <w:tcW w:w="460" w:type="dxa"/>
          </w:tcPr>
          <w:p w:rsidR="00C817EC" w:rsidRDefault="00C817EC" w:rsidP="00C817EC">
            <w:pPr>
              <w:rPr>
                <w:rFonts w:ascii="Calibri" w:hAnsi="Calibri"/>
                <w:b/>
                <w:sz w:val="20"/>
                <w:szCs w:val="20"/>
              </w:rPr>
            </w:pPr>
          </w:p>
        </w:tc>
        <w:tc>
          <w:tcPr>
            <w:tcW w:w="460" w:type="dxa"/>
            <w:gridSpan w:val="3"/>
          </w:tcPr>
          <w:p w:rsidR="00C817EC" w:rsidRDefault="00C817EC" w:rsidP="00C817EC">
            <w:pPr>
              <w:rPr>
                <w:rFonts w:ascii="Calibri" w:hAnsi="Calibri"/>
                <w:b/>
                <w:sz w:val="20"/>
                <w:szCs w:val="20"/>
              </w:rPr>
            </w:pPr>
          </w:p>
        </w:tc>
        <w:tc>
          <w:tcPr>
            <w:tcW w:w="678" w:type="dxa"/>
            <w:gridSpan w:val="2"/>
          </w:tcPr>
          <w:p w:rsidR="00C817EC" w:rsidRDefault="00C817EC" w:rsidP="00C817EC">
            <w:pPr>
              <w:rPr>
                <w:rFonts w:ascii="Calibri" w:hAnsi="Calibri"/>
                <w:b/>
                <w:sz w:val="20"/>
                <w:szCs w:val="20"/>
              </w:rPr>
            </w:pPr>
          </w:p>
        </w:tc>
        <w:tc>
          <w:tcPr>
            <w:tcW w:w="242" w:type="dxa"/>
          </w:tcPr>
          <w:p w:rsidR="00C817EC" w:rsidRDefault="00C817EC" w:rsidP="00C817EC">
            <w:pPr>
              <w:rPr>
                <w:rFonts w:ascii="Calibri" w:hAnsi="Calibri"/>
                <w:b/>
                <w:sz w:val="20"/>
                <w:szCs w:val="20"/>
              </w:rPr>
            </w:pPr>
          </w:p>
        </w:tc>
        <w:tc>
          <w:tcPr>
            <w:tcW w:w="460" w:type="dxa"/>
          </w:tcPr>
          <w:p w:rsidR="00C817EC" w:rsidRDefault="00C817EC" w:rsidP="00C817EC">
            <w:pPr>
              <w:rPr>
                <w:rFonts w:ascii="Calibri" w:hAnsi="Calibri"/>
                <w:b/>
                <w:sz w:val="20"/>
                <w:szCs w:val="20"/>
              </w:rPr>
            </w:pPr>
          </w:p>
        </w:tc>
        <w:tc>
          <w:tcPr>
            <w:tcW w:w="460" w:type="dxa"/>
            <w:gridSpan w:val="2"/>
          </w:tcPr>
          <w:p w:rsidR="00C817EC" w:rsidRDefault="00C817EC" w:rsidP="00C817EC">
            <w:pPr>
              <w:rPr>
                <w:rFonts w:ascii="Calibri" w:hAnsi="Calibri"/>
                <w:b/>
                <w:sz w:val="20"/>
                <w:szCs w:val="20"/>
              </w:rPr>
            </w:pPr>
          </w:p>
        </w:tc>
        <w:tc>
          <w:tcPr>
            <w:tcW w:w="752" w:type="dxa"/>
          </w:tcPr>
          <w:p w:rsidR="00C817EC" w:rsidRDefault="00C817EC" w:rsidP="00C817EC">
            <w:pPr>
              <w:rPr>
                <w:rFonts w:ascii="Calibri" w:hAnsi="Calibri"/>
                <w:b/>
                <w:sz w:val="20"/>
                <w:szCs w:val="20"/>
              </w:rPr>
            </w:pPr>
          </w:p>
        </w:tc>
        <w:tc>
          <w:tcPr>
            <w:tcW w:w="168" w:type="dxa"/>
            <w:gridSpan w:val="3"/>
          </w:tcPr>
          <w:p w:rsidR="00C817EC" w:rsidRDefault="00C817EC" w:rsidP="00C817EC">
            <w:pPr>
              <w:rPr>
                <w:rFonts w:ascii="Calibri" w:hAnsi="Calibri"/>
                <w:b/>
                <w:sz w:val="20"/>
                <w:szCs w:val="20"/>
              </w:rPr>
            </w:pPr>
          </w:p>
        </w:tc>
        <w:tc>
          <w:tcPr>
            <w:tcW w:w="460" w:type="dxa"/>
            <w:gridSpan w:val="2"/>
          </w:tcPr>
          <w:p w:rsidR="00C817EC" w:rsidRDefault="00C817EC" w:rsidP="00C817EC">
            <w:pPr>
              <w:rPr>
                <w:rFonts w:ascii="Calibri" w:hAnsi="Calibri"/>
                <w:b/>
                <w:sz w:val="20"/>
                <w:szCs w:val="20"/>
              </w:rPr>
            </w:pPr>
          </w:p>
        </w:tc>
        <w:tc>
          <w:tcPr>
            <w:tcW w:w="460" w:type="dxa"/>
          </w:tcPr>
          <w:p w:rsidR="00C817EC" w:rsidRDefault="00C817EC" w:rsidP="00C817EC">
            <w:pPr>
              <w:rPr>
                <w:rFonts w:ascii="Calibri" w:hAnsi="Calibri"/>
                <w:b/>
                <w:sz w:val="20"/>
                <w:szCs w:val="20"/>
              </w:rPr>
            </w:pPr>
          </w:p>
        </w:tc>
        <w:tc>
          <w:tcPr>
            <w:tcW w:w="460" w:type="dxa"/>
          </w:tcPr>
          <w:p w:rsidR="00C817EC" w:rsidRDefault="00C817EC" w:rsidP="00C817EC">
            <w:pPr>
              <w:rPr>
                <w:rFonts w:ascii="Calibri" w:hAnsi="Calibri"/>
                <w:b/>
                <w:sz w:val="20"/>
                <w:szCs w:val="20"/>
              </w:rPr>
            </w:pPr>
          </w:p>
        </w:tc>
        <w:tc>
          <w:tcPr>
            <w:tcW w:w="460" w:type="dxa"/>
            <w:gridSpan w:val="3"/>
          </w:tcPr>
          <w:p w:rsidR="00C817EC" w:rsidRDefault="00C817EC" w:rsidP="00C817EC">
            <w:pPr>
              <w:rPr>
                <w:rFonts w:ascii="Calibri" w:hAnsi="Calibri"/>
                <w:b/>
                <w:sz w:val="20"/>
                <w:szCs w:val="20"/>
              </w:rPr>
            </w:pPr>
          </w:p>
        </w:tc>
        <w:tc>
          <w:tcPr>
            <w:tcW w:w="460" w:type="dxa"/>
          </w:tcPr>
          <w:p w:rsidR="00C817EC" w:rsidRDefault="00C817EC" w:rsidP="00C817EC">
            <w:pPr>
              <w:rPr>
                <w:rFonts w:ascii="Calibri" w:hAnsi="Calibri"/>
                <w:b/>
                <w:sz w:val="20"/>
                <w:szCs w:val="20"/>
              </w:rPr>
            </w:pPr>
          </w:p>
        </w:tc>
        <w:tc>
          <w:tcPr>
            <w:tcW w:w="460" w:type="dxa"/>
          </w:tcPr>
          <w:p w:rsidR="00C817EC" w:rsidRDefault="00C817EC" w:rsidP="00C817EC">
            <w:pPr>
              <w:rPr>
                <w:rFonts w:ascii="Calibri" w:hAnsi="Calibri"/>
                <w:b/>
                <w:sz w:val="20"/>
                <w:szCs w:val="20"/>
              </w:rPr>
            </w:pPr>
          </w:p>
        </w:tc>
        <w:tc>
          <w:tcPr>
            <w:tcW w:w="899" w:type="dxa"/>
          </w:tcPr>
          <w:p w:rsidR="00C817EC" w:rsidRDefault="00C817EC" w:rsidP="00C817EC">
            <w:pPr>
              <w:rPr>
                <w:rFonts w:ascii="Calibri" w:hAnsi="Calibri"/>
                <w:b/>
                <w:sz w:val="20"/>
                <w:szCs w:val="20"/>
              </w:rPr>
            </w:pPr>
          </w:p>
        </w:tc>
      </w:tr>
      <w:tr w:rsidR="00C817EC" w:rsidTr="00D61B3C">
        <w:trPr>
          <w:divId w:val="2053571053"/>
        </w:trPr>
        <w:tc>
          <w:tcPr>
            <w:tcW w:w="9639" w:type="dxa"/>
            <w:gridSpan w:val="32"/>
            <w:hideMark/>
          </w:tcPr>
          <w:p w:rsidR="00C817EC" w:rsidRPr="00F11E4B" w:rsidRDefault="00C817EC" w:rsidP="00AC6219">
            <w:pPr>
              <w:jc w:val="both"/>
              <w:rPr>
                <w:rFonts w:ascii="Calibri" w:hAnsi="Calibri"/>
                <w:b/>
                <w:sz w:val="18"/>
                <w:szCs w:val="18"/>
              </w:rPr>
            </w:pPr>
            <w:r w:rsidRPr="00F11E4B">
              <w:rPr>
                <w:rFonts w:ascii="Calibri" w:hAnsi="Calibri"/>
                <w:b/>
                <w:sz w:val="18"/>
                <w:szCs w:val="18"/>
              </w:rPr>
              <w:t>Komentář k položkám (akcím), které vykázaly abnormalitu v řádném pln</w:t>
            </w:r>
            <w:r w:rsidR="00AC6219" w:rsidRPr="00F11E4B">
              <w:rPr>
                <w:rFonts w:ascii="Calibri" w:hAnsi="Calibri"/>
                <w:b/>
                <w:sz w:val="18"/>
                <w:szCs w:val="18"/>
              </w:rPr>
              <w:t>ění příjmů rozpočtu kapitoly ve </w:t>
            </w:r>
            <w:r w:rsidRPr="00F11E4B">
              <w:rPr>
                <w:rFonts w:ascii="Calibri" w:hAnsi="Calibri"/>
                <w:b/>
                <w:sz w:val="18"/>
                <w:szCs w:val="18"/>
              </w:rPr>
              <w:t>sledovaném období</w:t>
            </w:r>
          </w:p>
        </w:tc>
      </w:tr>
      <w:tr w:rsidR="00C817EC" w:rsidTr="00D61B3C">
        <w:trPr>
          <w:divId w:val="2053571053"/>
        </w:trPr>
        <w:tc>
          <w:tcPr>
            <w:tcW w:w="779"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C817EC" w:rsidRDefault="00C817EC" w:rsidP="00C817EC">
            <w:pPr>
              <w:jc w:val="center"/>
              <w:rPr>
                <w:rFonts w:ascii="Calibri" w:hAnsi="Calibri" w:cs="Calibri"/>
                <w:b/>
                <w:sz w:val="18"/>
                <w:szCs w:val="18"/>
              </w:rPr>
            </w:pPr>
            <w:r>
              <w:rPr>
                <w:rFonts w:ascii="Calibri" w:hAnsi="Calibri" w:cs="Calibri"/>
                <w:b/>
                <w:sz w:val="18"/>
                <w:szCs w:val="18"/>
              </w:rPr>
              <w:t>Oddíl, paragraf</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C817EC" w:rsidRDefault="00C817EC" w:rsidP="00C817EC">
            <w:pPr>
              <w:jc w:val="center"/>
              <w:rPr>
                <w:rFonts w:ascii="Calibri" w:hAnsi="Calibri" w:cs="Calibri"/>
                <w:b/>
                <w:sz w:val="18"/>
                <w:szCs w:val="18"/>
              </w:rPr>
            </w:pPr>
            <w:r>
              <w:rPr>
                <w:rFonts w:ascii="Calibri" w:hAnsi="Calibri" w:cs="Calibri"/>
                <w:b/>
                <w:sz w:val="18"/>
                <w:szCs w:val="18"/>
              </w:rPr>
              <w:t>Položka</w:t>
            </w:r>
          </w:p>
        </w:tc>
        <w:tc>
          <w:tcPr>
            <w:tcW w:w="1417"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C817EC" w:rsidRDefault="00C817EC" w:rsidP="00C817EC">
            <w:pPr>
              <w:jc w:val="center"/>
              <w:rPr>
                <w:rFonts w:ascii="Calibri" w:hAnsi="Calibri" w:cs="Calibri"/>
                <w:b/>
                <w:sz w:val="18"/>
                <w:szCs w:val="18"/>
              </w:rPr>
            </w:pPr>
            <w:r>
              <w:rPr>
                <w:rFonts w:ascii="Calibri" w:hAnsi="Calibri" w:cs="Calibri"/>
                <w:b/>
                <w:sz w:val="18"/>
                <w:szCs w:val="18"/>
              </w:rPr>
              <w:t>Organizace</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C817EC" w:rsidRDefault="00C817EC" w:rsidP="00C817EC">
            <w:pPr>
              <w:jc w:val="center"/>
              <w:rPr>
                <w:rFonts w:ascii="Calibri" w:hAnsi="Calibri" w:cs="Calibri"/>
                <w:b/>
                <w:sz w:val="18"/>
                <w:szCs w:val="18"/>
              </w:rPr>
            </w:pPr>
            <w:r>
              <w:rPr>
                <w:rFonts w:ascii="Calibri" w:hAnsi="Calibri" w:cs="Calibri"/>
                <w:b/>
                <w:sz w:val="18"/>
                <w:szCs w:val="18"/>
              </w:rPr>
              <w:t>Účelový zdroj</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C817EC" w:rsidRDefault="00F56DB1" w:rsidP="00C817EC">
            <w:pPr>
              <w:jc w:val="center"/>
              <w:rPr>
                <w:rFonts w:ascii="Calibri" w:hAnsi="Calibri" w:cs="Calibri"/>
                <w:b/>
                <w:sz w:val="18"/>
                <w:szCs w:val="18"/>
              </w:rPr>
            </w:pPr>
            <w:r>
              <w:rPr>
                <w:rFonts w:ascii="Calibri" w:hAnsi="Calibri" w:cs="Calibri"/>
                <w:b/>
                <w:sz w:val="18"/>
                <w:szCs w:val="18"/>
              </w:rPr>
              <w:t>UR</w:t>
            </w:r>
            <w:r w:rsidR="00C817EC">
              <w:rPr>
                <w:rFonts w:ascii="Calibri" w:hAnsi="Calibri" w:cs="Calibri"/>
                <w:b/>
                <w:sz w:val="18"/>
                <w:szCs w:val="18"/>
              </w:rPr>
              <w:t xml:space="preserve"> v tis. Kč</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C817EC" w:rsidRDefault="00C817EC" w:rsidP="00C817EC">
            <w:pPr>
              <w:jc w:val="center"/>
              <w:rPr>
                <w:rFonts w:ascii="Calibri" w:hAnsi="Calibri" w:cs="Calibri"/>
                <w:b/>
                <w:sz w:val="18"/>
                <w:szCs w:val="18"/>
              </w:rPr>
            </w:pPr>
            <w:r>
              <w:rPr>
                <w:rFonts w:ascii="Calibri" w:hAnsi="Calibri" w:cs="Calibri"/>
                <w:b/>
                <w:sz w:val="18"/>
                <w:szCs w:val="18"/>
              </w:rPr>
              <w:t>Skutečnost v tis. Kč</w:t>
            </w:r>
          </w:p>
        </w:tc>
        <w:tc>
          <w:tcPr>
            <w:tcW w:w="3757" w:type="dxa"/>
            <w:gridSpan w:val="12"/>
            <w:tcBorders>
              <w:top w:val="single" w:sz="4" w:space="0" w:color="auto"/>
              <w:left w:val="single" w:sz="4" w:space="0" w:color="auto"/>
              <w:bottom w:val="single" w:sz="4" w:space="0" w:color="auto"/>
              <w:right w:val="single" w:sz="4" w:space="0" w:color="auto"/>
            </w:tcBorders>
            <w:shd w:val="clear" w:color="auto" w:fill="FFFF00"/>
            <w:vAlign w:val="center"/>
            <w:hideMark/>
          </w:tcPr>
          <w:p w:rsidR="00C817EC" w:rsidRDefault="00C817EC" w:rsidP="00C817EC">
            <w:pPr>
              <w:jc w:val="center"/>
              <w:rPr>
                <w:rFonts w:ascii="Calibri" w:hAnsi="Calibri" w:cs="Calibri"/>
                <w:b/>
                <w:sz w:val="18"/>
                <w:szCs w:val="18"/>
              </w:rPr>
            </w:pPr>
            <w:r>
              <w:rPr>
                <w:rFonts w:ascii="Calibri" w:hAnsi="Calibri" w:cs="Calibri"/>
                <w:b/>
                <w:sz w:val="18"/>
                <w:szCs w:val="18"/>
              </w:rPr>
              <w:t>Komentář</w:t>
            </w:r>
          </w:p>
        </w:tc>
      </w:tr>
      <w:tr w:rsidR="00C817EC" w:rsidTr="00D61B3C">
        <w:trPr>
          <w:divId w:val="2053571053"/>
        </w:trPr>
        <w:tc>
          <w:tcPr>
            <w:tcW w:w="779" w:type="dxa"/>
            <w:gridSpan w:val="2"/>
            <w:tcBorders>
              <w:top w:val="single" w:sz="4" w:space="0" w:color="auto"/>
              <w:left w:val="single" w:sz="4" w:space="0" w:color="auto"/>
              <w:bottom w:val="single" w:sz="4" w:space="0" w:color="auto"/>
              <w:right w:val="single" w:sz="4" w:space="0" w:color="auto"/>
            </w:tcBorders>
          </w:tcPr>
          <w:p w:rsidR="00C817EC" w:rsidRDefault="00C817EC" w:rsidP="00C817EC">
            <w:pPr>
              <w:jc w:val="center"/>
              <w:rPr>
                <w:rFonts w:ascii="Calibri" w:hAnsi="Calibri" w:cs="Calibri"/>
                <w:sz w:val="18"/>
                <w:szCs w:val="18"/>
              </w:rPr>
            </w:pPr>
          </w:p>
        </w:tc>
        <w:tc>
          <w:tcPr>
            <w:tcW w:w="851" w:type="dxa"/>
            <w:gridSpan w:val="3"/>
            <w:tcBorders>
              <w:top w:val="single" w:sz="4" w:space="0" w:color="auto"/>
              <w:left w:val="single" w:sz="4" w:space="0" w:color="auto"/>
              <w:bottom w:val="single" w:sz="4" w:space="0" w:color="auto"/>
              <w:right w:val="single" w:sz="4" w:space="0" w:color="auto"/>
            </w:tcBorders>
            <w:hideMark/>
          </w:tcPr>
          <w:p w:rsidR="00C817EC" w:rsidRDefault="00C817EC" w:rsidP="00C817EC">
            <w:pPr>
              <w:jc w:val="center"/>
              <w:rPr>
                <w:rFonts w:ascii="Calibri" w:hAnsi="Calibri" w:cs="Calibri"/>
                <w:sz w:val="18"/>
                <w:szCs w:val="18"/>
              </w:rPr>
            </w:pPr>
            <w:r>
              <w:rPr>
                <w:rFonts w:ascii="Calibri" w:hAnsi="Calibri" w:cs="Calibri"/>
                <w:sz w:val="18"/>
                <w:szCs w:val="18"/>
              </w:rPr>
              <w:t>1111</w:t>
            </w:r>
          </w:p>
          <w:p w:rsidR="00C817EC" w:rsidRDefault="00C817EC" w:rsidP="00C817EC">
            <w:pPr>
              <w:jc w:val="center"/>
              <w:rPr>
                <w:rFonts w:ascii="Calibri" w:hAnsi="Calibri" w:cs="Calibri"/>
                <w:sz w:val="18"/>
                <w:szCs w:val="18"/>
              </w:rPr>
            </w:pPr>
            <w:r>
              <w:rPr>
                <w:rFonts w:ascii="Calibri" w:hAnsi="Calibri" w:cs="Calibri"/>
                <w:sz w:val="18"/>
                <w:szCs w:val="18"/>
              </w:rPr>
              <w:t>1112</w:t>
            </w:r>
          </w:p>
          <w:p w:rsidR="00C817EC" w:rsidRDefault="00C817EC" w:rsidP="00C817EC">
            <w:pPr>
              <w:jc w:val="center"/>
              <w:rPr>
                <w:rFonts w:ascii="Calibri" w:hAnsi="Calibri" w:cs="Calibri"/>
                <w:sz w:val="18"/>
                <w:szCs w:val="18"/>
              </w:rPr>
            </w:pPr>
            <w:r>
              <w:rPr>
                <w:rFonts w:ascii="Calibri" w:hAnsi="Calibri" w:cs="Calibri"/>
                <w:sz w:val="18"/>
                <w:szCs w:val="18"/>
              </w:rPr>
              <w:t>1113</w:t>
            </w:r>
          </w:p>
          <w:p w:rsidR="00C817EC" w:rsidRDefault="00C817EC" w:rsidP="00C817EC">
            <w:pPr>
              <w:jc w:val="center"/>
              <w:rPr>
                <w:rFonts w:ascii="Calibri" w:hAnsi="Calibri" w:cs="Calibri"/>
                <w:sz w:val="18"/>
                <w:szCs w:val="18"/>
              </w:rPr>
            </w:pPr>
            <w:r>
              <w:rPr>
                <w:rFonts w:ascii="Calibri" w:hAnsi="Calibri" w:cs="Calibri"/>
                <w:sz w:val="18"/>
                <w:szCs w:val="18"/>
              </w:rPr>
              <w:t>1121</w:t>
            </w:r>
          </w:p>
          <w:p w:rsidR="00C817EC" w:rsidRDefault="00C817EC" w:rsidP="00C817EC">
            <w:pPr>
              <w:jc w:val="center"/>
              <w:rPr>
                <w:rFonts w:ascii="Calibri" w:hAnsi="Calibri" w:cs="Calibri"/>
                <w:sz w:val="18"/>
                <w:szCs w:val="18"/>
              </w:rPr>
            </w:pPr>
            <w:r>
              <w:rPr>
                <w:rFonts w:ascii="Calibri" w:hAnsi="Calibri" w:cs="Calibri"/>
                <w:sz w:val="18"/>
                <w:szCs w:val="18"/>
              </w:rPr>
              <w:t>1122</w:t>
            </w:r>
          </w:p>
          <w:p w:rsidR="00C817EC" w:rsidRDefault="00C817EC" w:rsidP="00C817EC">
            <w:pPr>
              <w:jc w:val="center"/>
              <w:rPr>
                <w:rFonts w:ascii="Calibri" w:hAnsi="Calibri" w:cs="Calibri"/>
                <w:sz w:val="18"/>
                <w:szCs w:val="18"/>
              </w:rPr>
            </w:pPr>
            <w:r>
              <w:rPr>
                <w:rFonts w:ascii="Calibri" w:hAnsi="Calibri" w:cs="Calibri"/>
                <w:sz w:val="18"/>
                <w:szCs w:val="18"/>
              </w:rPr>
              <w:t>1211</w:t>
            </w:r>
          </w:p>
          <w:p w:rsidR="00C817EC" w:rsidRDefault="00C817EC" w:rsidP="00C817EC">
            <w:pPr>
              <w:jc w:val="center"/>
              <w:rPr>
                <w:rFonts w:ascii="Calibri" w:hAnsi="Calibri" w:cs="Calibri"/>
                <w:sz w:val="18"/>
                <w:szCs w:val="18"/>
              </w:rPr>
            </w:pPr>
            <w:r>
              <w:rPr>
                <w:rFonts w:ascii="Calibri" w:hAnsi="Calibri" w:cs="Calibri"/>
                <w:sz w:val="18"/>
                <w:szCs w:val="18"/>
              </w:rPr>
              <w:t>1511</w:t>
            </w:r>
          </w:p>
        </w:tc>
        <w:tc>
          <w:tcPr>
            <w:tcW w:w="1417" w:type="dxa"/>
            <w:gridSpan w:val="5"/>
            <w:tcBorders>
              <w:top w:val="single" w:sz="4" w:space="0" w:color="auto"/>
              <w:left w:val="single" w:sz="4" w:space="0" w:color="auto"/>
              <w:bottom w:val="single" w:sz="4" w:space="0" w:color="auto"/>
              <w:right w:val="single" w:sz="4" w:space="0" w:color="auto"/>
            </w:tcBorders>
            <w:hideMark/>
          </w:tcPr>
          <w:p w:rsidR="00C817EC" w:rsidRDefault="00C817EC" w:rsidP="00C817EC">
            <w:pPr>
              <w:jc w:val="center"/>
              <w:rPr>
                <w:rFonts w:ascii="Calibri" w:hAnsi="Calibri" w:cs="Calibri"/>
                <w:sz w:val="18"/>
                <w:szCs w:val="18"/>
              </w:rPr>
            </w:pPr>
            <w:r>
              <w:rPr>
                <w:rFonts w:ascii="Calibri" w:hAnsi="Calibri" w:cs="Calibri"/>
                <w:sz w:val="18"/>
                <w:szCs w:val="18"/>
              </w:rPr>
              <w:t>0700000000000</w:t>
            </w:r>
          </w:p>
          <w:p w:rsidR="00C817EC" w:rsidRDefault="00C817EC" w:rsidP="00C817EC">
            <w:pPr>
              <w:jc w:val="center"/>
              <w:rPr>
                <w:rFonts w:ascii="Calibri" w:hAnsi="Calibri" w:cs="Calibri"/>
                <w:sz w:val="18"/>
                <w:szCs w:val="18"/>
              </w:rPr>
            </w:pPr>
            <w:r>
              <w:rPr>
                <w:rFonts w:ascii="Calibri" w:hAnsi="Calibri" w:cs="Calibri"/>
                <w:sz w:val="18"/>
                <w:szCs w:val="18"/>
              </w:rPr>
              <w:t>0700000707700</w:t>
            </w:r>
          </w:p>
          <w:p w:rsidR="00C817EC" w:rsidRDefault="00C817EC" w:rsidP="00C817EC">
            <w:pPr>
              <w:jc w:val="center"/>
              <w:rPr>
                <w:rFonts w:ascii="Calibri" w:hAnsi="Calibri" w:cs="Calibri"/>
                <w:sz w:val="18"/>
                <w:szCs w:val="18"/>
              </w:rPr>
            </w:pPr>
            <w:r>
              <w:rPr>
                <w:rFonts w:ascii="Calibri" w:hAnsi="Calibri" w:cs="Calibri"/>
                <w:sz w:val="18"/>
                <w:szCs w:val="18"/>
              </w:rPr>
              <w:t>0700000000000</w:t>
            </w:r>
          </w:p>
          <w:p w:rsidR="00C817EC" w:rsidRDefault="00C817EC" w:rsidP="00C817EC">
            <w:pPr>
              <w:jc w:val="center"/>
              <w:rPr>
                <w:rFonts w:ascii="Calibri" w:hAnsi="Calibri" w:cs="Calibri"/>
                <w:sz w:val="18"/>
                <w:szCs w:val="18"/>
              </w:rPr>
            </w:pPr>
            <w:r>
              <w:rPr>
                <w:rFonts w:ascii="Calibri" w:hAnsi="Calibri" w:cs="Calibri"/>
                <w:sz w:val="18"/>
                <w:szCs w:val="18"/>
              </w:rPr>
              <w:t>0700000000000</w:t>
            </w:r>
          </w:p>
          <w:p w:rsidR="00C817EC" w:rsidRDefault="00C817EC" w:rsidP="00C817EC">
            <w:pPr>
              <w:jc w:val="center"/>
              <w:rPr>
                <w:rFonts w:ascii="Calibri" w:hAnsi="Calibri" w:cs="Calibri"/>
                <w:sz w:val="18"/>
                <w:szCs w:val="18"/>
              </w:rPr>
            </w:pPr>
            <w:r>
              <w:rPr>
                <w:rFonts w:ascii="Calibri" w:hAnsi="Calibri" w:cs="Calibri"/>
                <w:sz w:val="18"/>
                <w:szCs w:val="18"/>
              </w:rPr>
              <w:t>0700000000000</w:t>
            </w:r>
          </w:p>
          <w:p w:rsidR="00C817EC" w:rsidRDefault="00C817EC" w:rsidP="00C817EC">
            <w:pPr>
              <w:jc w:val="center"/>
              <w:rPr>
                <w:rFonts w:ascii="Calibri" w:hAnsi="Calibri" w:cs="Calibri"/>
                <w:sz w:val="18"/>
                <w:szCs w:val="18"/>
              </w:rPr>
            </w:pPr>
            <w:r>
              <w:rPr>
                <w:rFonts w:ascii="Calibri" w:hAnsi="Calibri" w:cs="Calibri"/>
                <w:sz w:val="18"/>
                <w:szCs w:val="18"/>
              </w:rPr>
              <w:t>0700000000000</w:t>
            </w:r>
          </w:p>
          <w:p w:rsidR="00C817EC" w:rsidRDefault="00C817EC" w:rsidP="00C817EC">
            <w:pPr>
              <w:jc w:val="center"/>
              <w:rPr>
                <w:rFonts w:ascii="Calibri" w:hAnsi="Calibri" w:cs="Calibri"/>
                <w:sz w:val="18"/>
                <w:szCs w:val="18"/>
              </w:rPr>
            </w:pPr>
            <w:r>
              <w:rPr>
                <w:rFonts w:ascii="Calibri" w:hAnsi="Calibri" w:cs="Calibri"/>
                <w:sz w:val="18"/>
                <w:szCs w:val="18"/>
              </w:rPr>
              <w:t>0700000000000</w:t>
            </w:r>
          </w:p>
        </w:tc>
        <w:tc>
          <w:tcPr>
            <w:tcW w:w="851" w:type="dxa"/>
            <w:gridSpan w:val="4"/>
            <w:tcBorders>
              <w:top w:val="single" w:sz="4" w:space="0" w:color="auto"/>
              <w:left w:val="single" w:sz="4" w:space="0" w:color="auto"/>
              <w:bottom w:val="single" w:sz="4" w:space="0" w:color="auto"/>
              <w:right w:val="single" w:sz="4" w:space="0" w:color="auto"/>
            </w:tcBorders>
          </w:tcPr>
          <w:p w:rsidR="00C817EC" w:rsidRDefault="00C817EC" w:rsidP="00C817EC">
            <w:pPr>
              <w:jc w:val="center"/>
              <w:rPr>
                <w:rFonts w:ascii="Calibri" w:hAnsi="Calibri" w:cs="Calibri"/>
                <w:sz w:val="18"/>
                <w:szCs w:val="18"/>
              </w:rPr>
            </w:pPr>
          </w:p>
        </w:tc>
        <w:tc>
          <w:tcPr>
            <w:tcW w:w="992" w:type="dxa"/>
            <w:gridSpan w:val="3"/>
            <w:tcBorders>
              <w:top w:val="single" w:sz="4" w:space="0" w:color="auto"/>
              <w:left w:val="single" w:sz="4" w:space="0" w:color="auto"/>
              <w:bottom w:val="single" w:sz="4" w:space="0" w:color="auto"/>
              <w:right w:val="single" w:sz="4" w:space="0" w:color="auto"/>
            </w:tcBorders>
            <w:hideMark/>
          </w:tcPr>
          <w:p w:rsidR="00C817EC" w:rsidRDefault="00F56DB1" w:rsidP="00C817EC">
            <w:pPr>
              <w:jc w:val="right"/>
              <w:rPr>
                <w:rFonts w:ascii="Calibri" w:hAnsi="Calibri" w:cs="Calibri"/>
                <w:sz w:val="18"/>
                <w:szCs w:val="18"/>
              </w:rPr>
            </w:pPr>
            <w:r>
              <w:rPr>
                <w:rFonts w:ascii="Calibri" w:hAnsi="Calibri" w:cs="Calibri"/>
                <w:sz w:val="18"/>
                <w:szCs w:val="18"/>
              </w:rPr>
              <w:t>112 032,71</w:t>
            </w:r>
          </w:p>
          <w:p w:rsidR="00C817EC" w:rsidRDefault="00F56DB1" w:rsidP="00C817EC">
            <w:pPr>
              <w:jc w:val="right"/>
              <w:rPr>
                <w:rFonts w:ascii="Calibri" w:hAnsi="Calibri" w:cs="Calibri"/>
                <w:sz w:val="18"/>
                <w:szCs w:val="18"/>
              </w:rPr>
            </w:pPr>
            <w:r>
              <w:rPr>
                <w:rFonts w:ascii="Calibri" w:hAnsi="Calibri" w:cs="Calibri"/>
                <w:sz w:val="18"/>
                <w:szCs w:val="18"/>
              </w:rPr>
              <w:t>4 000</w:t>
            </w:r>
            <w:r w:rsidR="00C817EC">
              <w:rPr>
                <w:rFonts w:ascii="Calibri" w:hAnsi="Calibri" w:cs="Calibri"/>
                <w:sz w:val="18"/>
                <w:szCs w:val="18"/>
              </w:rPr>
              <w:t>,00</w:t>
            </w:r>
          </w:p>
          <w:p w:rsidR="00C817EC" w:rsidRDefault="00F56DB1" w:rsidP="00C817EC">
            <w:pPr>
              <w:jc w:val="right"/>
              <w:rPr>
                <w:rFonts w:ascii="Calibri" w:hAnsi="Calibri" w:cs="Calibri"/>
                <w:sz w:val="18"/>
                <w:szCs w:val="18"/>
              </w:rPr>
            </w:pPr>
            <w:r>
              <w:rPr>
                <w:rFonts w:ascii="Calibri" w:hAnsi="Calibri" w:cs="Calibri"/>
                <w:sz w:val="18"/>
                <w:szCs w:val="18"/>
              </w:rPr>
              <w:t>18</w:t>
            </w:r>
            <w:r w:rsidR="00C817EC">
              <w:rPr>
                <w:rFonts w:ascii="Calibri" w:hAnsi="Calibri" w:cs="Calibri"/>
                <w:sz w:val="18"/>
                <w:szCs w:val="18"/>
              </w:rPr>
              <w:t> 000,00</w:t>
            </w:r>
          </w:p>
          <w:p w:rsidR="00C817EC" w:rsidRDefault="00F56DB1" w:rsidP="00C817EC">
            <w:pPr>
              <w:jc w:val="right"/>
              <w:rPr>
                <w:rFonts w:ascii="Calibri" w:hAnsi="Calibri" w:cs="Calibri"/>
                <w:sz w:val="18"/>
                <w:szCs w:val="18"/>
              </w:rPr>
            </w:pPr>
            <w:r>
              <w:rPr>
                <w:rFonts w:ascii="Calibri" w:hAnsi="Calibri" w:cs="Calibri"/>
                <w:sz w:val="18"/>
                <w:szCs w:val="18"/>
              </w:rPr>
              <w:t>14</w:t>
            </w:r>
            <w:r w:rsidR="00C817EC">
              <w:rPr>
                <w:rFonts w:ascii="Calibri" w:hAnsi="Calibri" w:cs="Calibri"/>
                <w:sz w:val="18"/>
                <w:szCs w:val="18"/>
              </w:rPr>
              <w:t>0 000,00</w:t>
            </w:r>
          </w:p>
          <w:p w:rsidR="00C817EC" w:rsidRDefault="00C817EC" w:rsidP="00C817EC">
            <w:pPr>
              <w:jc w:val="right"/>
              <w:rPr>
                <w:rFonts w:ascii="Calibri" w:hAnsi="Calibri" w:cs="Calibri"/>
                <w:sz w:val="18"/>
                <w:szCs w:val="18"/>
              </w:rPr>
            </w:pPr>
            <w:r>
              <w:rPr>
                <w:rFonts w:ascii="Calibri" w:hAnsi="Calibri" w:cs="Calibri"/>
                <w:sz w:val="18"/>
                <w:szCs w:val="18"/>
              </w:rPr>
              <w:t>2</w:t>
            </w:r>
            <w:r w:rsidR="00F56DB1">
              <w:rPr>
                <w:rFonts w:ascii="Calibri" w:hAnsi="Calibri" w:cs="Calibri"/>
                <w:sz w:val="18"/>
                <w:szCs w:val="18"/>
              </w:rPr>
              <w:t>4</w:t>
            </w:r>
            <w:r>
              <w:rPr>
                <w:rFonts w:ascii="Calibri" w:hAnsi="Calibri" w:cs="Calibri"/>
                <w:sz w:val="18"/>
                <w:szCs w:val="18"/>
              </w:rPr>
              <w:t> </w:t>
            </w:r>
            <w:r w:rsidR="00F56DB1">
              <w:rPr>
                <w:rFonts w:ascii="Calibri" w:hAnsi="Calibri" w:cs="Calibri"/>
                <w:sz w:val="18"/>
                <w:szCs w:val="18"/>
              </w:rPr>
              <w:t>0</w:t>
            </w:r>
            <w:r>
              <w:rPr>
                <w:rFonts w:ascii="Calibri" w:hAnsi="Calibri" w:cs="Calibri"/>
                <w:sz w:val="18"/>
                <w:szCs w:val="18"/>
              </w:rPr>
              <w:t>00,00</w:t>
            </w:r>
          </w:p>
          <w:p w:rsidR="00C817EC" w:rsidRDefault="00F56DB1" w:rsidP="00C817EC">
            <w:pPr>
              <w:jc w:val="right"/>
              <w:rPr>
                <w:rFonts w:ascii="Calibri" w:hAnsi="Calibri" w:cs="Calibri"/>
                <w:sz w:val="18"/>
                <w:szCs w:val="18"/>
              </w:rPr>
            </w:pPr>
            <w:r>
              <w:rPr>
                <w:rFonts w:ascii="Calibri" w:hAnsi="Calibri" w:cs="Calibri"/>
                <w:sz w:val="18"/>
                <w:szCs w:val="18"/>
              </w:rPr>
              <w:t>360</w:t>
            </w:r>
            <w:r w:rsidR="00C817EC">
              <w:rPr>
                <w:rFonts w:ascii="Calibri" w:hAnsi="Calibri" w:cs="Calibri"/>
                <w:sz w:val="18"/>
                <w:szCs w:val="18"/>
              </w:rPr>
              <w:t> 000,00</w:t>
            </w:r>
          </w:p>
          <w:p w:rsidR="00C817EC" w:rsidRDefault="00C817EC" w:rsidP="00C817EC">
            <w:pPr>
              <w:jc w:val="right"/>
              <w:rPr>
                <w:rFonts w:ascii="Calibri" w:hAnsi="Calibri" w:cs="Calibri"/>
                <w:sz w:val="18"/>
                <w:szCs w:val="18"/>
              </w:rPr>
            </w:pPr>
            <w:r>
              <w:rPr>
                <w:rFonts w:ascii="Calibri" w:hAnsi="Calibri" w:cs="Calibri"/>
                <w:sz w:val="18"/>
                <w:szCs w:val="18"/>
              </w:rPr>
              <w:t>28 000,00</w:t>
            </w:r>
          </w:p>
        </w:tc>
        <w:tc>
          <w:tcPr>
            <w:tcW w:w="992" w:type="dxa"/>
            <w:gridSpan w:val="3"/>
            <w:tcBorders>
              <w:top w:val="single" w:sz="4" w:space="0" w:color="auto"/>
              <w:left w:val="single" w:sz="4" w:space="0" w:color="auto"/>
              <w:bottom w:val="single" w:sz="4" w:space="0" w:color="auto"/>
              <w:right w:val="single" w:sz="4" w:space="0" w:color="auto"/>
            </w:tcBorders>
            <w:hideMark/>
          </w:tcPr>
          <w:p w:rsidR="00C817EC" w:rsidRDefault="00F56DB1" w:rsidP="00C817EC">
            <w:pPr>
              <w:jc w:val="right"/>
              <w:rPr>
                <w:rFonts w:ascii="Calibri" w:hAnsi="Calibri" w:cs="Calibri"/>
                <w:sz w:val="18"/>
                <w:szCs w:val="18"/>
              </w:rPr>
            </w:pPr>
            <w:r>
              <w:rPr>
                <w:rFonts w:ascii="Calibri" w:hAnsi="Calibri" w:cs="Calibri"/>
                <w:sz w:val="18"/>
                <w:szCs w:val="18"/>
              </w:rPr>
              <w:t>133 515,17</w:t>
            </w:r>
          </w:p>
          <w:p w:rsidR="00C817EC" w:rsidRDefault="00F56DB1" w:rsidP="00C817EC">
            <w:pPr>
              <w:jc w:val="right"/>
              <w:rPr>
                <w:rFonts w:ascii="Calibri" w:hAnsi="Calibri" w:cs="Calibri"/>
                <w:sz w:val="18"/>
                <w:szCs w:val="18"/>
              </w:rPr>
            </w:pPr>
            <w:r>
              <w:rPr>
                <w:rFonts w:ascii="Calibri" w:hAnsi="Calibri" w:cs="Calibri"/>
                <w:sz w:val="18"/>
                <w:szCs w:val="18"/>
              </w:rPr>
              <w:t>11 320,68</w:t>
            </w:r>
          </w:p>
          <w:p w:rsidR="00C817EC" w:rsidRDefault="00F56DB1" w:rsidP="00C817EC">
            <w:pPr>
              <w:jc w:val="right"/>
              <w:rPr>
                <w:rFonts w:ascii="Calibri" w:hAnsi="Calibri" w:cs="Calibri"/>
                <w:sz w:val="18"/>
                <w:szCs w:val="18"/>
              </w:rPr>
            </w:pPr>
            <w:r>
              <w:rPr>
                <w:rFonts w:ascii="Calibri" w:hAnsi="Calibri" w:cs="Calibri"/>
                <w:sz w:val="18"/>
                <w:szCs w:val="18"/>
              </w:rPr>
              <w:t>25 164,79</w:t>
            </w:r>
          </w:p>
          <w:p w:rsidR="00C817EC" w:rsidRDefault="00F56DB1" w:rsidP="00C817EC">
            <w:pPr>
              <w:jc w:val="right"/>
              <w:rPr>
                <w:rFonts w:ascii="Calibri" w:hAnsi="Calibri" w:cs="Calibri"/>
                <w:sz w:val="18"/>
                <w:szCs w:val="18"/>
              </w:rPr>
            </w:pPr>
            <w:r>
              <w:rPr>
                <w:rFonts w:ascii="Calibri" w:hAnsi="Calibri" w:cs="Calibri"/>
                <w:sz w:val="18"/>
                <w:szCs w:val="18"/>
              </w:rPr>
              <w:t>190 288,86</w:t>
            </w:r>
          </w:p>
          <w:p w:rsidR="00C817EC" w:rsidRDefault="00F56DB1" w:rsidP="00C817EC">
            <w:pPr>
              <w:jc w:val="right"/>
              <w:rPr>
                <w:rFonts w:ascii="Calibri" w:hAnsi="Calibri" w:cs="Calibri"/>
                <w:sz w:val="18"/>
                <w:szCs w:val="18"/>
              </w:rPr>
            </w:pPr>
            <w:r>
              <w:rPr>
                <w:rFonts w:ascii="Calibri" w:hAnsi="Calibri" w:cs="Calibri"/>
                <w:sz w:val="18"/>
                <w:szCs w:val="18"/>
              </w:rPr>
              <w:t>23 318,75</w:t>
            </w:r>
          </w:p>
          <w:p w:rsidR="00C817EC" w:rsidRDefault="00F56DB1" w:rsidP="00C817EC">
            <w:pPr>
              <w:jc w:val="right"/>
              <w:rPr>
                <w:rFonts w:ascii="Calibri" w:hAnsi="Calibri" w:cs="Calibri"/>
                <w:sz w:val="18"/>
                <w:szCs w:val="18"/>
              </w:rPr>
            </w:pPr>
            <w:r>
              <w:rPr>
                <w:rFonts w:ascii="Calibri" w:hAnsi="Calibri" w:cs="Calibri"/>
                <w:sz w:val="18"/>
                <w:szCs w:val="18"/>
              </w:rPr>
              <w:t>432 213,75</w:t>
            </w:r>
          </w:p>
          <w:p w:rsidR="00C817EC" w:rsidRDefault="00F56DB1" w:rsidP="00C817EC">
            <w:pPr>
              <w:jc w:val="right"/>
              <w:rPr>
                <w:rFonts w:ascii="Calibri" w:hAnsi="Calibri" w:cs="Calibri"/>
                <w:sz w:val="18"/>
                <w:szCs w:val="18"/>
              </w:rPr>
            </w:pPr>
            <w:r>
              <w:rPr>
                <w:rFonts w:ascii="Calibri" w:hAnsi="Calibri" w:cs="Calibri"/>
                <w:sz w:val="18"/>
                <w:szCs w:val="18"/>
              </w:rPr>
              <w:t>31 485,18</w:t>
            </w:r>
          </w:p>
        </w:tc>
        <w:tc>
          <w:tcPr>
            <w:tcW w:w="3757" w:type="dxa"/>
            <w:gridSpan w:val="12"/>
            <w:tcBorders>
              <w:top w:val="single" w:sz="4" w:space="0" w:color="auto"/>
              <w:left w:val="single" w:sz="4" w:space="0" w:color="auto"/>
              <w:bottom w:val="single" w:sz="4" w:space="0" w:color="auto"/>
              <w:right w:val="single" w:sz="4" w:space="0" w:color="auto"/>
            </w:tcBorders>
            <w:hideMark/>
          </w:tcPr>
          <w:p w:rsidR="00C817EC" w:rsidRDefault="00C817EC" w:rsidP="00C817EC">
            <w:pPr>
              <w:jc w:val="both"/>
              <w:rPr>
                <w:rFonts w:ascii="Calibri" w:hAnsi="Calibri" w:cs="Calibri"/>
                <w:b/>
                <w:sz w:val="18"/>
                <w:szCs w:val="18"/>
                <w:u w:val="single"/>
              </w:rPr>
            </w:pPr>
            <w:r>
              <w:rPr>
                <w:rFonts w:ascii="Calibri" w:hAnsi="Calibri" w:cs="Calibri"/>
                <w:b/>
                <w:sz w:val="18"/>
                <w:szCs w:val="18"/>
                <w:u w:val="single"/>
              </w:rPr>
              <w:t>Sdílené daně; DPPO placená obcí; daň z nemovitostí</w:t>
            </w:r>
          </w:p>
          <w:p w:rsidR="00C817EC" w:rsidRDefault="00C817EC" w:rsidP="00F56DB1">
            <w:pPr>
              <w:jc w:val="both"/>
              <w:rPr>
                <w:rFonts w:ascii="Calibri" w:hAnsi="Calibri" w:cs="Calibri"/>
                <w:sz w:val="18"/>
                <w:szCs w:val="18"/>
              </w:rPr>
            </w:pPr>
            <w:r>
              <w:rPr>
                <w:rFonts w:ascii="Calibri" w:hAnsi="Calibri" w:cs="Calibri"/>
                <w:sz w:val="18"/>
                <w:szCs w:val="18"/>
              </w:rPr>
              <w:t>Daňová výtěžnost je rozebrána  v samostatné části závěrečného účtu</w:t>
            </w:r>
            <w:r w:rsidR="00F56DB1">
              <w:rPr>
                <w:rFonts w:ascii="Calibri" w:hAnsi="Calibri" w:cs="Calibri"/>
                <w:sz w:val="18"/>
                <w:szCs w:val="18"/>
              </w:rPr>
              <w:t>.</w:t>
            </w:r>
          </w:p>
        </w:tc>
      </w:tr>
      <w:tr w:rsidR="00C817EC" w:rsidTr="00D61B3C">
        <w:trPr>
          <w:divId w:val="2053571053"/>
        </w:trPr>
        <w:tc>
          <w:tcPr>
            <w:tcW w:w="779" w:type="dxa"/>
            <w:gridSpan w:val="2"/>
            <w:tcBorders>
              <w:top w:val="single" w:sz="4" w:space="0" w:color="auto"/>
              <w:left w:val="single" w:sz="4" w:space="0" w:color="auto"/>
              <w:bottom w:val="single" w:sz="4" w:space="0" w:color="auto"/>
              <w:right w:val="single" w:sz="4" w:space="0" w:color="auto"/>
            </w:tcBorders>
          </w:tcPr>
          <w:p w:rsidR="00C817EC" w:rsidRDefault="00C817EC" w:rsidP="00C817EC">
            <w:pPr>
              <w:jc w:val="center"/>
              <w:rPr>
                <w:rFonts w:ascii="Calibri" w:hAnsi="Calibri" w:cs="Calibri"/>
                <w:sz w:val="18"/>
                <w:szCs w:val="18"/>
              </w:rPr>
            </w:pPr>
          </w:p>
        </w:tc>
        <w:tc>
          <w:tcPr>
            <w:tcW w:w="851" w:type="dxa"/>
            <w:gridSpan w:val="3"/>
            <w:tcBorders>
              <w:top w:val="single" w:sz="4" w:space="0" w:color="auto"/>
              <w:left w:val="single" w:sz="4" w:space="0" w:color="auto"/>
              <w:bottom w:val="single" w:sz="4" w:space="0" w:color="auto"/>
              <w:right w:val="single" w:sz="4" w:space="0" w:color="auto"/>
            </w:tcBorders>
          </w:tcPr>
          <w:p w:rsidR="00C817EC" w:rsidRDefault="00C817EC" w:rsidP="00F56DB1">
            <w:pPr>
              <w:jc w:val="center"/>
              <w:rPr>
                <w:rFonts w:ascii="Calibri" w:hAnsi="Calibri" w:cs="Calibri"/>
                <w:sz w:val="18"/>
                <w:szCs w:val="18"/>
              </w:rPr>
            </w:pPr>
            <w:r>
              <w:rPr>
                <w:rFonts w:ascii="Calibri" w:hAnsi="Calibri" w:cs="Calibri"/>
                <w:sz w:val="18"/>
                <w:szCs w:val="18"/>
              </w:rPr>
              <w:t xml:space="preserve">1381 </w:t>
            </w:r>
          </w:p>
          <w:p w:rsidR="00C817EC" w:rsidRDefault="00F56DB1" w:rsidP="00C817EC">
            <w:pPr>
              <w:jc w:val="center"/>
              <w:rPr>
                <w:rFonts w:ascii="Calibri" w:hAnsi="Calibri" w:cs="Calibri"/>
                <w:sz w:val="18"/>
                <w:szCs w:val="18"/>
              </w:rPr>
            </w:pPr>
            <w:r>
              <w:rPr>
                <w:rFonts w:ascii="Calibri" w:hAnsi="Calibri" w:cs="Calibri"/>
                <w:sz w:val="18"/>
                <w:szCs w:val="18"/>
              </w:rPr>
              <w:t>1385</w:t>
            </w:r>
          </w:p>
          <w:p w:rsidR="00C817EC" w:rsidRDefault="00C817EC" w:rsidP="00C817EC">
            <w:pPr>
              <w:jc w:val="center"/>
              <w:rPr>
                <w:rFonts w:ascii="Calibri" w:hAnsi="Calibri" w:cs="Calibri"/>
                <w:sz w:val="18"/>
                <w:szCs w:val="18"/>
              </w:rPr>
            </w:pPr>
          </w:p>
          <w:p w:rsidR="00C817EC" w:rsidRDefault="00C817EC" w:rsidP="00C817EC">
            <w:pPr>
              <w:jc w:val="center"/>
              <w:rPr>
                <w:rFonts w:ascii="Calibri" w:hAnsi="Calibri" w:cs="Calibri"/>
                <w:sz w:val="18"/>
                <w:szCs w:val="18"/>
              </w:rPr>
            </w:pPr>
          </w:p>
          <w:p w:rsidR="00C817EC" w:rsidRDefault="00C817EC" w:rsidP="00C817EC">
            <w:pPr>
              <w:jc w:val="center"/>
              <w:rPr>
                <w:rFonts w:ascii="Calibri" w:hAnsi="Calibri" w:cs="Calibri"/>
                <w:sz w:val="18"/>
                <w:szCs w:val="18"/>
              </w:rPr>
            </w:pPr>
          </w:p>
          <w:p w:rsidR="00C817EC" w:rsidRDefault="00C817EC" w:rsidP="00C817EC">
            <w:pPr>
              <w:jc w:val="center"/>
              <w:rPr>
                <w:rFonts w:ascii="Calibri" w:hAnsi="Calibri" w:cs="Calibri"/>
                <w:sz w:val="18"/>
                <w:szCs w:val="18"/>
              </w:rPr>
            </w:pPr>
          </w:p>
          <w:p w:rsidR="00C817EC" w:rsidRDefault="00C817EC" w:rsidP="00C817EC">
            <w:pPr>
              <w:jc w:val="center"/>
              <w:rPr>
                <w:rFonts w:ascii="Calibri" w:hAnsi="Calibri" w:cs="Calibri"/>
                <w:sz w:val="18"/>
                <w:szCs w:val="18"/>
              </w:rPr>
            </w:pPr>
            <w:r>
              <w:rPr>
                <w:rFonts w:ascii="Calibri" w:hAnsi="Calibri" w:cs="Calibri"/>
                <w:sz w:val="18"/>
                <w:szCs w:val="18"/>
              </w:rPr>
              <w:t>1361</w:t>
            </w:r>
          </w:p>
          <w:p w:rsidR="00C817EC" w:rsidRDefault="00C817EC" w:rsidP="00C817EC">
            <w:pPr>
              <w:jc w:val="center"/>
              <w:rPr>
                <w:rFonts w:ascii="Calibri" w:hAnsi="Calibri" w:cs="Calibri"/>
                <w:sz w:val="18"/>
                <w:szCs w:val="18"/>
              </w:rPr>
            </w:pPr>
          </w:p>
          <w:p w:rsidR="00C817EC" w:rsidRDefault="00C817EC" w:rsidP="00C817EC">
            <w:pPr>
              <w:jc w:val="center"/>
              <w:rPr>
                <w:rFonts w:ascii="Calibri" w:hAnsi="Calibri" w:cs="Calibri"/>
                <w:sz w:val="18"/>
                <w:szCs w:val="18"/>
              </w:rPr>
            </w:pPr>
          </w:p>
        </w:tc>
        <w:tc>
          <w:tcPr>
            <w:tcW w:w="1417" w:type="dxa"/>
            <w:gridSpan w:val="5"/>
            <w:tcBorders>
              <w:top w:val="single" w:sz="4" w:space="0" w:color="auto"/>
              <w:left w:val="single" w:sz="4" w:space="0" w:color="auto"/>
              <w:bottom w:val="single" w:sz="4" w:space="0" w:color="auto"/>
              <w:right w:val="single" w:sz="4" w:space="0" w:color="auto"/>
            </w:tcBorders>
          </w:tcPr>
          <w:p w:rsidR="00C817EC" w:rsidRDefault="00C817EC" w:rsidP="00C817EC">
            <w:pPr>
              <w:jc w:val="center"/>
              <w:rPr>
                <w:rFonts w:ascii="Calibri" w:hAnsi="Calibri" w:cs="Calibri"/>
                <w:sz w:val="18"/>
                <w:szCs w:val="18"/>
              </w:rPr>
            </w:pPr>
            <w:r>
              <w:rPr>
                <w:rFonts w:ascii="Calibri" w:hAnsi="Calibri" w:cs="Calibri"/>
                <w:sz w:val="18"/>
                <w:szCs w:val="18"/>
              </w:rPr>
              <w:t>0700000000000</w:t>
            </w:r>
          </w:p>
          <w:p w:rsidR="00F56DB1" w:rsidRDefault="00F56DB1" w:rsidP="00F56DB1">
            <w:pPr>
              <w:jc w:val="center"/>
              <w:rPr>
                <w:rFonts w:ascii="Calibri" w:hAnsi="Calibri" w:cs="Calibri"/>
                <w:sz w:val="18"/>
                <w:szCs w:val="18"/>
              </w:rPr>
            </w:pPr>
            <w:r>
              <w:rPr>
                <w:rFonts w:ascii="Calibri" w:hAnsi="Calibri" w:cs="Calibri"/>
                <w:sz w:val="18"/>
                <w:szCs w:val="18"/>
              </w:rPr>
              <w:t>0700000000000</w:t>
            </w:r>
          </w:p>
          <w:p w:rsidR="00C817EC" w:rsidRDefault="00C817EC" w:rsidP="00C817EC">
            <w:pPr>
              <w:jc w:val="center"/>
              <w:rPr>
                <w:rFonts w:ascii="Calibri" w:hAnsi="Calibri" w:cs="Calibri"/>
                <w:sz w:val="18"/>
                <w:szCs w:val="18"/>
              </w:rPr>
            </w:pPr>
          </w:p>
          <w:p w:rsidR="00C817EC" w:rsidRDefault="00C817EC" w:rsidP="00C817EC">
            <w:pPr>
              <w:jc w:val="center"/>
              <w:rPr>
                <w:rFonts w:ascii="Calibri" w:hAnsi="Calibri" w:cs="Calibri"/>
                <w:sz w:val="18"/>
                <w:szCs w:val="18"/>
              </w:rPr>
            </w:pPr>
          </w:p>
          <w:p w:rsidR="00C817EC" w:rsidRDefault="00C817EC" w:rsidP="00C817EC">
            <w:pPr>
              <w:rPr>
                <w:rFonts w:ascii="Calibri" w:hAnsi="Calibri" w:cs="Calibri"/>
                <w:sz w:val="18"/>
                <w:szCs w:val="18"/>
              </w:rPr>
            </w:pPr>
          </w:p>
          <w:p w:rsidR="00C817EC" w:rsidRDefault="00C817EC" w:rsidP="00C817EC">
            <w:pPr>
              <w:rPr>
                <w:rFonts w:ascii="Calibri" w:hAnsi="Calibri" w:cs="Calibri"/>
                <w:sz w:val="18"/>
                <w:szCs w:val="18"/>
              </w:rPr>
            </w:pPr>
          </w:p>
          <w:p w:rsidR="00C817EC" w:rsidRDefault="00C817EC" w:rsidP="00C817EC">
            <w:pPr>
              <w:rPr>
                <w:rFonts w:ascii="Calibri" w:hAnsi="Calibri" w:cs="Calibri"/>
                <w:sz w:val="18"/>
                <w:szCs w:val="18"/>
              </w:rPr>
            </w:pPr>
            <w:r>
              <w:rPr>
                <w:rFonts w:ascii="Calibri" w:hAnsi="Calibri" w:cs="Calibri"/>
                <w:sz w:val="18"/>
                <w:szCs w:val="18"/>
              </w:rPr>
              <w:t>0700000701600</w:t>
            </w:r>
          </w:p>
          <w:p w:rsidR="00C817EC" w:rsidRDefault="00C817EC" w:rsidP="00C817EC">
            <w:pPr>
              <w:jc w:val="center"/>
              <w:rPr>
                <w:rFonts w:ascii="Calibri" w:hAnsi="Calibri" w:cs="Calibri"/>
                <w:sz w:val="18"/>
                <w:szCs w:val="18"/>
              </w:rPr>
            </w:pPr>
          </w:p>
        </w:tc>
        <w:tc>
          <w:tcPr>
            <w:tcW w:w="851" w:type="dxa"/>
            <w:gridSpan w:val="4"/>
            <w:tcBorders>
              <w:top w:val="single" w:sz="4" w:space="0" w:color="auto"/>
              <w:left w:val="single" w:sz="4" w:space="0" w:color="auto"/>
              <w:bottom w:val="single" w:sz="4" w:space="0" w:color="auto"/>
              <w:right w:val="single" w:sz="4" w:space="0" w:color="auto"/>
            </w:tcBorders>
          </w:tcPr>
          <w:p w:rsidR="00C817EC" w:rsidRDefault="00C817EC" w:rsidP="00C817EC">
            <w:pPr>
              <w:jc w:val="center"/>
              <w:rPr>
                <w:rFonts w:ascii="Calibri" w:hAnsi="Calibri" w:cs="Calibri"/>
                <w:sz w:val="18"/>
                <w:szCs w:val="18"/>
              </w:rPr>
            </w:pPr>
          </w:p>
        </w:tc>
        <w:tc>
          <w:tcPr>
            <w:tcW w:w="992" w:type="dxa"/>
            <w:gridSpan w:val="3"/>
            <w:tcBorders>
              <w:top w:val="single" w:sz="4" w:space="0" w:color="auto"/>
              <w:left w:val="single" w:sz="4" w:space="0" w:color="auto"/>
              <w:bottom w:val="single" w:sz="4" w:space="0" w:color="auto"/>
              <w:right w:val="single" w:sz="4" w:space="0" w:color="auto"/>
            </w:tcBorders>
          </w:tcPr>
          <w:p w:rsidR="00C817EC" w:rsidRDefault="00F56DB1" w:rsidP="00C817EC">
            <w:pPr>
              <w:jc w:val="right"/>
              <w:rPr>
                <w:rFonts w:ascii="Calibri" w:hAnsi="Calibri" w:cs="Calibri"/>
                <w:sz w:val="18"/>
                <w:szCs w:val="18"/>
              </w:rPr>
            </w:pPr>
            <w:r>
              <w:rPr>
                <w:rFonts w:ascii="Calibri" w:hAnsi="Calibri" w:cs="Calibri"/>
                <w:sz w:val="18"/>
                <w:szCs w:val="18"/>
              </w:rPr>
              <w:t>3 2</w:t>
            </w:r>
            <w:r w:rsidR="00C817EC">
              <w:rPr>
                <w:rFonts w:ascii="Calibri" w:hAnsi="Calibri" w:cs="Calibri"/>
                <w:sz w:val="18"/>
                <w:szCs w:val="18"/>
              </w:rPr>
              <w:t>00,00</w:t>
            </w:r>
          </w:p>
          <w:p w:rsidR="00C817EC" w:rsidRDefault="00F56DB1" w:rsidP="00C817EC">
            <w:pPr>
              <w:jc w:val="right"/>
              <w:rPr>
                <w:rFonts w:ascii="Calibri" w:hAnsi="Calibri" w:cs="Calibri"/>
                <w:sz w:val="18"/>
                <w:szCs w:val="18"/>
              </w:rPr>
            </w:pPr>
            <w:r>
              <w:rPr>
                <w:rFonts w:ascii="Calibri" w:hAnsi="Calibri" w:cs="Calibri"/>
                <w:sz w:val="18"/>
                <w:szCs w:val="18"/>
              </w:rPr>
              <w:t>37 000,00</w:t>
            </w:r>
          </w:p>
          <w:p w:rsidR="00C817EC" w:rsidRDefault="00C817EC" w:rsidP="00C817EC">
            <w:pPr>
              <w:jc w:val="right"/>
              <w:rPr>
                <w:rFonts w:ascii="Calibri" w:hAnsi="Calibri" w:cs="Calibri"/>
                <w:sz w:val="18"/>
                <w:szCs w:val="18"/>
              </w:rPr>
            </w:pPr>
          </w:p>
          <w:p w:rsidR="00C817EC" w:rsidRDefault="00C817EC" w:rsidP="00C817EC">
            <w:pPr>
              <w:jc w:val="right"/>
              <w:rPr>
                <w:rFonts w:ascii="Calibri" w:hAnsi="Calibri" w:cs="Calibri"/>
                <w:sz w:val="18"/>
                <w:szCs w:val="18"/>
              </w:rPr>
            </w:pPr>
          </w:p>
          <w:p w:rsidR="00C817EC" w:rsidRDefault="00C817EC" w:rsidP="00C817EC">
            <w:pPr>
              <w:jc w:val="right"/>
              <w:rPr>
                <w:rFonts w:ascii="Calibri" w:hAnsi="Calibri" w:cs="Calibri"/>
                <w:sz w:val="18"/>
                <w:szCs w:val="18"/>
              </w:rPr>
            </w:pPr>
          </w:p>
          <w:p w:rsidR="00C817EC" w:rsidRDefault="00C817EC" w:rsidP="00C817EC">
            <w:pPr>
              <w:jc w:val="right"/>
              <w:rPr>
                <w:rFonts w:ascii="Calibri" w:hAnsi="Calibri" w:cs="Calibri"/>
                <w:sz w:val="18"/>
                <w:szCs w:val="18"/>
              </w:rPr>
            </w:pPr>
          </w:p>
          <w:p w:rsidR="00C817EC" w:rsidRDefault="00C817EC" w:rsidP="00C817EC">
            <w:pPr>
              <w:jc w:val="right"/>
              <w:rPr>
                <w:rFonts w:ascii="Calibri" w:hAnsi="Calibri" w:cs="Calibri"/>
                <w:sz w:val="18"/>
                <w:szCs w:val="18"/>
              </w:rPr>
            </w:pPr>
            <w:r>
              <w:rPr>
                <w:rFonts w:ascii="Calibri" w:hAnsi="Calibri" w:cs="Calibri"/>
                <w:sz w:val="18"/>
                <w:szCs w:val="18"/>
              </w:rPr>
              <w:t>40,00</w:t>
            </w:r>
          </w:p>
        </w:tc>
        <w:tc>
          <w:tcPr>
            <w:tcW w:w="992" w:type="dxa"/>
            <w:gridSpan w:val="3"/>
            <w:tcBorders>
              <w:top w:val="single" w:sz="4" w:space="0" w:color="auto"/>
              <w:left w:val="single" w:sz="4" w:space="0" w:color="auto"/>
              <w:bottom w:val="single" w:sz="4" w:space="0" w:color="auto"/>
              <w:right w:val="single" w:sz="4" w:space="0" w:color="auto"/>
            </w:tcBorders>
          </w:tcPr>
          <w:p w:rsidR="00C817EC" w:rsidRDefault="00F56DB1" w:rsidP="00C817EC">
            <w:pPr>
              <w:jc w:val="right"/>
              <w:rPr>
                <w:rFonts w:ascii="Calibri" w:hAnsi="Calibri" w:cs="Calibri"/>
                <w:sz w:val="18"/>
                <w:szCs w:val="18"/>
              </w:rPr>
            </w:pPr>
            <w:r>
              <w:rPr>
                <w:rFonts w:ascii="Calibri" w:hAnsi="Calibri" w:cs="Calibri"/>
                <w:sz w:val="18"/>
                <w:szCs w:val="18"/>
              </w:rPr>
              <w:t>6 115,11</w:t>
            </w:r>
          </w:p>
          <w:p w:rsidR="00C817EC" w:rsidRDefault="00F56DB1" w:rsidP="00C817EC">
            <w:pPr>
              <w:jc w:val="right"/>
              <w:rPr>
                <w:rFonts w:ascii="Calibri" w:hAnsi="Calibri" w:cs="Calibri"/>
                <w:sz w:val="18"/>
                <w:szCs w:val="18"/>
              </w:rPr>
            </w:pPr>
            <w:r>
              <w:rPr>
                <w:rFonts w:ascii="Calibri" w:hAnsi="Calibri" w:cs="Calibri"/>
                <w:sz w:val="18"/>
                <w:szCs w:val="18"/>
              </w:rPr>
              <w:t>77 393,04</w:t>
            </w:r>
          </w:p>
          <w:p w:rsidR="00C817EC" w:rsidRDefault="00C817EC" w:rsidP="00C817EC">
            <w:pPr>
              <w:jc w:val="right"/>
              <w:rPr>
                <w:rFonts w:ascii="Calibri" w:hAnsi="Calibri" w:cs="Calibri"/>
                <w:sz w:val="18"/>
                <w:szCs w:val="18"/>
              </w:rPr>
            </w:pPr>
          </w:p>
          <w:p w:rsidR="00C817EC" w:rsidRDefault="00C817EC" w:rsidP="00C817EC">
            <w:pPr>
              <w:jc w:val="right"/>
              <w:rPr>
                <w:rFonts w:ascii="Calibri" w:hAnsi="Calibri" w:cs="Calibri"/>
                <w:sz w:val="18"/>
                <w:szCs w:val="18"/>
              </w:rPr>
            </w:pPr>
          </w:p>
          <w:p w:rsidR="00C817EC" w:rsidRDefault="00C817EC" w:rsidP="00C817EC">
            <w:pPr>
              <w:jc w:val="right"/>
              <w:rPr>
                <w:rFonts w:ascii="Calibri" w:hAnsi="Calibri" w:cs="Calibri"/>
                <w:sz w:val="18"/>
                <w:szCs w:val="18"/>
              </w:rPr>
            </w:pPr>
          </w:p>
          <w:p w:rsidR="00C817EC" w:rsidRDefault="00C817EC" w:rsidP="00C817EC">
            <w:pPr>
              <w:jc w:val="right"/>
              <w:rPr>
                <w:rFonts w:ascii="Calibri" w:hAnsi="Calibri" w:cs="Calibri"/>
                <w:sz w:val="18"/>
                <w:szCs w:val="18"/>
              </w:rPr>
            </w:pPr>
          </w:p>
          <w:p w:rsidR="00C817EC" w:rsidRDefault="00F56DB1" w:rsidP="00C817EC">
            <w:pPr>
              <w:jc w:val="right"/>
              <w:rPr>
                <w:rFonts w:ascii="Calibri" w:hAnsi="Calibri" w:cs="Calibri"/>
                <w:sz w:val="18"/>
                <w:szCs w:val="18"/>
              </w:rPr>
            </w:pPr>
            <w:r>
              <w:rPr>
                <w:rFonts w:ascii="Calibri" w:hAnsi="Calibri" w:cs="Calibri"/>
                <w:sz w:val="18"/>
                <w:szCs w:val="18"/>
              </w:rPr>
              <w:t>53</w:t>
            </w:r>
            <w:r w:rsidR="00C817EC">
              <w:rPr>
                <w:rFonts w:ascii="Calibri" w:hAnsi="Calibri" w:cs="Calibri"/>
                <w:sz w:val="18"/>
                <w:szCs w:val="18"/>
              </w:rPr>
              <w:t>,00</w:t>
            </w:r>
          </w:p>
        </w:tc>
        <w:tc>
          <w:tcPr>
            <w:tcW w:w="3757" w:type="dxa"/>
            <w:gridSpan w:val="12"/>
            <w:tcBorders>
              <w:top w:val="single" w:sz="4" w:space="0" w:color="auto"/>
              <w:left w:val="single" w:sz="4" w:space="0" w:color="auto"/>
              <w:bottom w:val="single" w:sz="4" w:space="0" w:color="auto"/>
              <w:right w:val="single" w:sz="4" w:space="0" w:color="auto"/>
            </w:tcBorders>
            <w:hideMark/>
          </w:tcPr>
          <w:p w:rsidR="00C817EC" w:rsidRDefault="00C817EC" w:rsidP="00C817EC">
            <w:pPr>
              <w:jc w:val="both"/>
              <w:rPr>
                <w:rFonts w:ascii="Calibri" w:hAnsi="Calibri" w:cs="Calibri"/>
                <w:b/>
                <w:sz w:val="18"/>
                <w:szCs w:val="18"/>
                <w:u w:val="single"/>
              </w:rPr>
            </w:pPr>
            <w:r>
              <w:rPr>
                <w:rFonts w:ascii="Calibri" w:hAnsi="Calibri" w:cs="Calibri"/>
                <w:b/>
                <w:sz w:val="18"/>
                <w:szCs w:val="18"/>
                <w:u w:val="single"/>
              </w:rPr>
              <w:t>Daně, poplatky a jiná obdobná peněžní plnění v oblasti hazardních her</w:t>
            </w:r>
          </w:p>
          <w:p w:rsidR="00902D5F" w:rsidRDefault="00C817EC" w:rsidP="00902D5F">
            <w:pPr>
              <w:jc w:val="both"/>
              <w:rPr>
                <w:rFonts w:ascii="Calibri" w:hAnsi="Calibri" w:cs="Calibri"/>
                <w:sz w:val="18"/>
                <w:szCs w:val="18"/>
              </w:rPr>
            </w:pPr>
            <w:r>
              <w:rPr>
                <w:rFonts w:ascii="Calibri" w:hAnsi="Calibri" w:cs="Calibri"/>
                <w:sz w:val="18"/>
                <w:szCs w:val="18"/>
              </w:rPr>
              <w:t xml:space="preserve">Při sestavování rozpočtu nelze přesně stanovit dopad zákona č. 187/2019 Sb., o dani z hazardních </w:t>
            </w:r>
            <w:r w:rsidR="00F56DB1">
              <w:rPr>
                <w:rFonts w:ascii="Calibri" w:hAnsi="Calibri" w:cs="Calibri"/>
                <w:sz w:val="18"/>
                <w:szCs w:val="18"/>
              </w:rPr>
              <w:t>her v daném rozpočtovém roce na </w:t>
            </w:r>
            <w:r>
              <w:rPr>
                <w:rFonts w:ascii="Calibri" w:hAnsi="Calibri" w:cs="Calibri"/>
                <w:sz w:val="18"/>
                <w:szCs w:val="18"/>
              </w:rPr>
              <w:t xml:space="preserve">příjmy města. </w:t>
            </w:r>
          </w:p>
          <w:p w:rsidR="00C817EC" w:rsidRDefault="00F56DB1" w:rsidP="00902D5F">
            <w:pPr>
              <w:jc w:val="both"/>
              <w:rPr>
                <w:rFonts w:ascii="Calibri" w:hAnsi="Calibri" w:cs="Calibri"/>
                <w:sz w:val="18"/>
                <w:szCs w:val="18"/>
              </w:rPr>
            </w:pPr>
            <w:r>
              <w:rPr>
                <w:rFonts w:ascii="Calibri" w:hAnsi="Calibri" w:cs="Calibri"/>
                <w:b/>
                <w:sz w:val="18"/>
                <w:szCs w:val="18"/>
                <w:u w:val="single"/>
              </w:rPr>
              <w:t>Příjem ze správních poplatků - h</w:t>
            </w:r>
            <w:r w:rsidR="00C817EC">
              <w:rPr>
                <w:rFonts w:ascii="Calibri" w:hAnsi="Calibri" w:cs="Calibri"/>
                <w:b/>
                <w:sz w:val="18"/>
                <w:szCs w:val="18"/>
                <w:u w:val="single"/>
              </w:rPr>
              <w:t>rací přístroje</w:t>
            </w:r>
            <w:r w:rsidR="00C817EC">
              <w:rPr>
                <w:rFonts w:ascii="Calibri" w:hAnsi="Calibri" w:cs="Calibri"/>
                <w:sz w:val="18"/>
                <w:szCs w:val="18"/>
              </w:rPr>
              <w:t xml:space="preserve"> – Při sestavování rozpočtu nelze přesně stanovit počet podanýc</w:t>
            </w:r>
            <w:r w:rsidR="00902D5F">
              <w:rPr>
                <w:rFonts w:ascii="Calibri" w:hAnsi="Calibri" w:cs="Calibri"/>
                <w:sz w:val="18"/>
                <w:szCs w:val="18"/>
              </w:rPr>
              <w:t>h žádostí. Položka je plněna na 132,50</w:t>
            </w:r>
            <w:r w:rsidR="00C817EC">
              <w:rPr>
                <w:rFonts w:ascii="Calibri" w:hAnsi="Calibri" w:cs="Calibri"/>
                <w:sz w:val="18"/>
                <w:szCs w:val="18"/>
              </w:rPr>
              <w:t xml:space="preserve"> %. </w:t>
            </w:r>
          </w:p>
        </w:tc>
      </w:tr>
      <w:tr w:rsidR="00C817EC" w:rsidTr="00D61B3C">
        <w:trPr>
          <w:divId w:val="2053571053"/>
        </w:trPr>
        <w:tc>
          <w:tcPr>
            <w:tcW w:w="779" w:type="dxa"/>
            <w:gridSpan w:val="2"/>
            <w:tcBorders>
              <w:top w:val="single" w:sz="4" w:space="0" w:color="auto"/>
              <w:left w:val="single" w:sz="4" w:space="0" w:color="auto"/>
              <w:bottom w:val="single" w:sz="4" w:space="0" w:color="auto"/>
              <w:right w:val="single" w:sz="4" w:space="0" w:color="auto"/>
            </w:tcBorders>
          </w:tcPr>
          <w:p w:rsidR="00C817EC" w:rsidRDefault="00C817EC" w:rsidP="00C817EC">
            <w:pPr>
              <w:jc w:val="center"/>
              <w:rPr>
                <w:rFonts w:ascii="Calibri" w:hAnsi="Calibri" w:cs="Calibri"/>
                <w:sz w:val="18"/>
                <w:szCs w:val="18"/>
              </w:rPr>
            </w:pPr>
          </w:p>
        </w:tc>
        <w:tc>
          <w:tcPr>
            <w:tcW w:w="851" w:type="dxa"/>
            <w:gridSpan w:val="3"/>
            <w:tcBorders>
              <w:top w:val="single" w:sz="4" w:space="0" w:color="auto"/>
              <w:left w:val="single" w:sz="4" w:space="0" w:color="auto"/>
              <w:bottom w:val="single" w:sz="4" w:space="0" w:color="auto"/>
              <w:right w:val="single" w:sz="4" w:space="0" w:color="auto"/>
            </w:tcBorders>
            <w:hideMark/>
          </w:tcPr>
          <w:p w:rsidR="00C817EC" w:rsidRDefault="00C817EC" w:rsidP="00C817EC">
            <w:pPr>
              <w:jc w:val="center"/>
              <w:rPr>
                <w:rFonts w:ascii="Calibri" w:hAnsi="Calibri" w:cs="Calibri"/>
                <w:sz w:val="18"/>
                <w:szCs w:val="18"/>
              </w:rPr>
            </w:pPr>
            <w:r>
              <w:rPr>
                <w:rFonts w:ascii="Calibri" w:hAnsi="Calibri" w:cs="Calibri"/>
                <w:sz w:val="18"/>
                <w:szCs w:val="18"/>
              </w:rPr>
              <w:t>1341</w:t>
            </w:r>
          </w:p>
        </w:tc>
        <w:tc>
          <w:tcPr>
            <w:tcW w:w="1417" w:type="dxa"/>
            <w:gridSpan w:val="5"/>
            <w:tcBorders>
              <w:top w:val="single" w:sz="4" w:space="0" w:color="auto"/>
              <w:left w:val="single" w:sz="4" w:space="0" w:color="auto"/>
              <w:bottom w:val="single" w:sz="4" w:space="0" w:color="auto"/>
              <w:right w:val="single" w:sz="4" w:space="0" w:color="auto"/>
            </w:tcBorders>
            <w:hideMark/>
          </w:tcPr>
          <w:p w:rsidR="00C817EC" w:rsidRDefault="00C817EC" w:rsidP="00C817EC">
            <w:pPr>
              <w:jc w:val="center"/>
              <w:rPr>
                <w:rFonts w:ascii="Calibri" w:hAnsi="Calibri" w:cs="Calibri"/>
                <w:sz w:val="18"/>
                <w:szCs w:val="18"/>
              </w:rPr>
            </w:pPr>
            <w:r>
              <w:rPr>
                <w:rFonts w:ascii="Calibri" w:hAnsi="Calibri" w:cs="Calibri"/>
                <w:sz w:val="18"/>
                <w:szCs w:val="18"/>
              </w:rPr>
              <w:t>0700000000000</w:t>
            </w:r>
          </w:p>
        </w:tc>
        <w:tc>
          <w:tcPr>
            <w:tcW w:w="851" w:type="dxa"/>
            <w:gridSpan w:val="4"/>
            <w:tcBorders>
              <w:top w:val="single" w:sz="4" w:space="0" w:color="auto"/>
              <w:left w:val="single" w:sz="4" w:space="0" w:color="auto"/>
              <w:bottom w:val="single" w:sz="4" w:space="0" w:color="auto"/>
              <w:right w:val="single" w:sz="4" w:space="0" w:color="auto"/>
            </w:tcBorders>
          </w:tcPr>
          <w:p w:rsidR="00C817EC" w:rsidRDefault="00C817EC" w:rsidP="00C817EC">
            <w:pPr>
              <w:jc w:val="center"/>
              <w:rPr>
                <w:rFonts w:ascii="Calibri" w:hAnsi="Calibri" w:cs="Calibri"/>
                <w:sz w:val="18"/>
                <w:szCs w:val="18"/>
              </w:rPr>
            </w:pPr>
          </w:p>
        </w:tc>
        <w:tc>
          <w:tcPr>
            <w:tcW w:w="992" w:type="dxa"/>
            <w:gridSpan w:val="3"/>
            <w:tcBorders>
              <w:top w:val="single" w:sz="4" w:space="0" w:color="auto"/>
              <w:left w:val="single" w:sz="4" w:space="0" w:color="auto"/>
              <w:bottom w:val="single" w:sz="4" w:space="0" w:color="auto"/>
              <w:right w:val="single" w:sz="4" w:space="0" w:color="auto"/>
            </w:tcBorders>
            <w:hideMark/>
          </w:tcPr>
          <w:p w:rsidR="00C817EC" w:rsidRDefault="00C817EC" w:rsidP="00C817EC">
            <w:pPr>
              <w:jc w:val="right"/>
              <w:rPr>
                <w:rFonts w:ascii="Calibri" w:hAnsi="Calibri" w:cs="Calibri"/>
                <w:sz w:val="18"/>
                <w:szCs w:val="18"/>
              </w:rPr>
            </w:pPr>
            <w:r>
              <w:rPr>
                <w:rFonts w:ascii="Calibri" w:hAnsi="Calibri" w:cs="Calibri"/>
                <w:sz w:val="18"/>
                <w:szCs w:val="18"/>
              </w:rPr>
              <w:t>1 270,00</w:t>
            </w:r>
          </w:p>
        </w:tc>
        <w:tc>
          <w:tcPr>
            <w:tcW w:w="992" w:type="dxa"/>
            <w:gridSpan w:val="3"/>
            <w:tcBorders>
              <w:top w:val="single" w:sz="4" w:space="0" w:color="auto"/>
              <w:left w:val="single" w:sz="4" w:space="0" w:color="auto"/>
              <w:bottom w:val="single" w:sz="4" w:space="0" w:color="auto"/>
              <w:right w:val="single" w:sz="4" w:space="0" w:color="auto"/>
            </w:tcBorders>
            <w:hideMark/>
          </w:tcPr>
          <w:p w:rsidR="00C817EC" w:rsidRDefault="00C817EC" w:rsidP="00902D5F">
            <w:pPr>
              <w:jc w:val="right"/>
              <w:rPr>
                <w:rFonts w:ascii="Calibri" w:hAnsi="Calibri" w:cs="Calibri"/>
                <w:sz w:val="18"/>
                <w:szCs w:val="18"/>
              </w:rPr>
            </w:pPr>
            <w:r>
              <w:rPr>
                <w:rFonts w:ascii="Calibri" w:hAnsi="Calibri" w:cs="Calibri"/>
                <w:sz w:val="18"/>
                <w:szCs w:val="18"/>
              </w:rPr>
              <w:t>1 4</w:t>
            </w:r>
            <w:r w:rsidR="00902D5F">
              <w:rPr>
                <w:rFonts w:ascii="Calibri" w:hAnsi="Calibri" w:cs="Calibri"/>
                <w:sz w:val="18"/>
                <w:szCs w:val="18"/>
              </w:rPr>
              <w:t>36</w:t>
            </w:r>
            <w:r>
              <w:rPr>
                <w:rFonts w:ascii="Calibri" w:hAnsi="Calibri" w:cs="Calibri"/>
                <w:sz w:val="18"/>
                <w:szCs w:val="18"/>
              </w:rPr>
              <w:t>,</w:t>
            </w:r>
            <w:r w:rsidR="00902D5F">
              <w:rPr>
                <w:rFonts w:ascii="Calibri" w:hAnsi="Calibri" w:cs="Calibri"/>
                <w:sz w:val="18"/>
                <w:szCs w:val="18"/>
              </w:rPr>
              <w:t>04</w:t>
            </w:r>
          </w:p>
        </w:tc>
        <w:tc>
          <w:tcPr>
            <w:tcW w:w="3757" w:type="dxa"/>
            <w:gridSpan w:val="12"/>
            <w:tcBorders>
              <w:top w:val="single" w:sz="4" w:space="0" w:color="auto"/>
              <w:left w:val="single" w:sz="4" w:space="0" w:color="auto"/>
              <w:bottom w:val="single" w:sz="4" w:space="0" w:color="auto"/>
              <w:right w:val="single" w:sz="4" w:space="0" w:color="auto"/>
            </w:tcBorders>
          </w:tcPr>
          <w:p w:rsidR="00C817EC" w:rsidRDefault="00C817EC" w:rsidP="00D61B3C">
            <w:pPr>
              <w:jc w:val="both"/>
              <w:rPr>
                <w:rFonts w:ascii="Calibri" w:hAnsi="Calibri" w:cs="Calibri"/>
                <w:b/>
                <w:sz w:val="18"/>
                <w:szCs w:val="18"/>
                <w:u w:val="single"/>
              </w:rPr>
            </w:pPr>
            <w:r>
              <w:rPr>
                <w:rFonts w:ascii="Calibri" w:hAnsi="Calibri" w:cs="Calibri"/>
                <w:b/>
                <w:sz w:val="18"/>
                <w:szCs w:val="18"/>
                <w:u w:val="single"/>
              </w:rPr>
              <w:t>Poplatek ze psů</w:t>
            </w:r>
            <w:r w:rsidR="00D61B3C">
              <w:rPr>
                <w:rFonts w:ascii="Calibri" w:hAnsi="Calibri" w:cs="Calibri"/>
                <w:b/>
                <w:sz w:val="18"/>
                <w:szCs w:val="18"/>
                <w:u w:val="single"/>
              </w:rPr>
              <w:t xml:space="preserve"> </w:t>
            </w:r>
            <w:r w:rsidR="00D61B3C" w:rsidRPr="00D61B3C">
              <w:rPr>
                <w:rFonts w:ascii="Calibri" w:hAnsi="Calibri" w:cs="Calibri"/>
                <w:sz w:val="18"/>
                <w:szCs w:val="18"/>
              </w:rPr>
              <w:t>- v</w:t>
            </w:r>
            <w:r w:rsidRPr="00D61B3C">
              <w:rPr>
                <w:rFonts w:ascii="Calibri" w:hAnsi="Calibri" w:cs="Calibri"/>
                <w:sz w:val="18"/>
                <w:szCs w:val="18"/>
              </w:rPr>
              <w:t>ýše</w:t>
            </w:r>
            <w:r>
              <w:rPr>
                <w:rFonts w:ascii="Calibri" w:hAnsi="Calibri" w:cs="Calibri"/>
                <w:sz w:val="18"/>
                <w:szCs w:val="18"/>
              </w:rPr>
              <w:t xml:space="preserve"> příjmů je </w:t>
            </w:r>
            <w:r w:rsidR="00902D5F">
              <w:rPr>
                <w:rFonts w:ascii="Calibri" w:hAnsi="Calibri" w:cs="Calibri"/>
                <w:sz w:val="18"/>
                <w:szCs w:val="18"/>
              </w:rPr>
              <w:t>ovlivněna počtem přihlášených a </w:t>
            </w:r>
            <w:r>
              <w:rPr>
                <w:rFonts w:ascii="Calibri" w:hAnsi="Calibri" w:cs="Calibri"/>
                <w:sz w:val="18"/>
                <w:szCs w:val="18"/>
              </w:rPr>
              <w:t xml:space="preserve">počtem odhlášených psů. </w:t>
            </w:r>
          </w:p>
        </w:tc>
      </w:tr>
      <w:tr w:rsidR="00C817EC" w:rsidTr="00D61B3C">
        <w:trPr>
          <w:divId w:val="2053571053"/>
        </w:trPr>
        <w:tc>
          <w:tcPr>
            <w:tcW w:w="779" w:type="dxa"/>
            <w:gridSpan w:val="2"/>
            <w:tcBorders>
              <w:top w:val="single" w:sz="4" w:space="0" w:color="auto"/>
              <w:left w:val="single" w:sz="4" w:space="0" w:color="auto"/>
              <w:bottom w:val="single" w:sz="4" w:space="0" w:color="auto"/>
              <w:right w:val="single" w:sz="4" w:space="0" w:color="auto"/>
            </w:tcBorders>
          </w:tcPr>
          <w:p w:rsidR="00C817EC" w:rsidRDefault="00C817EC" w:rsidP="00C817EC">
            <w:pPr>
              <w:jc w:val="center"/>
              <w:rPr>
                <w:rFonts w:ascii="Calibri" w:hAnsi="Calibri" w:cs="Calibri"/>
                <w:sz w:val="18"/>
                <w:szCs w:val="18"/>
              </w:rPr>
            </w:pPr>
          </w:p>
        </w:tc>
        <w:tc>
          <w:tcPr>
            <w:tcW w:w="851" w:type="dxa"/>
            <w:gridSpan w:val="3"/>
            <w:tcBorders>
              <w:top w:val="single" w:sz="4" w:space="0" w:color="auto"/>
              <w:left w:val="single" w:sz="4" w:space="0" w:color="auto"/>
              <w:bottom w:val="single" w:sz="4" w:space="0" w:color="auto"/>
              <w:right w:val="single" w:sz="4" w:space="0" w:color="auto"/>
            </w:tcBorders>
            <w:hideMark/>
          </w:tcPr>
          <w:p w:rsidR="00C817EC" w:rsidRDefault="00C817EC" w:rsidP="00C817EC">
            <w:pPr>
              <w:jc w:val="center"/>
              <w:rPr>
                <w:rFonts w:ascii="Calibri" w:hAnsi="Calibri" w:cs="Calibri"/>
                <w:sz w:val="18"/>
                <w:szCs w:val="18"/>
              </w:rPr>
            </w:pPr>
            <w:r>
              <w:rPr>
                <w:rFonts w:ascii="Calibri" w:hAnsi="Calibri" w:cs="Calibri"/>
                <w:sz w:val="18"/>
                <w:szCs w:val="18"/>
              </w:rPr>
              <w:t>1343</w:t>
            </w:r>
          </w:p>
        </w:tc>
        <w:tc>
          <w:tcPr>
            <w:tcW w:w="1417" w:type="dxa"/>
            <w:gridSpan w:val="5"/>
            <w:tcBorders>
              <w:top w:val="single" w:sz="4" w:space="0" w:color="auto"/>
              <w:left w:val="single" w:sz="4" w:space="0" w:color="auto"/>
              <w:bottom w:val="single" w:sz="4" w:space="0" w:color="auto"/>
              <w:right w:val="single" w:sz="4" w:space="0" w:color="auto"/>
            </w:tcBorders>
            <w:hideMark/>
          </w:tcPr>
          <w:p w:rsidR="00C817EC" w:rsidRDefault="00C817EC" w:rsidP="00C817EC">
            <w:pPr>
              <w:jc w:val="center"/>
              <w:rPr>
                <w:rFonts w:ascii="Calibri" w:hAnsi="Calibri" w:cs="Calibri"/>
                <w:sz w:val="18"/>
                <w:szCs w:val="18"/>
              </w:rPr>
            </w:pPr>
            <w:r>
              <w:rPr>
                <w:rFonts w:ascii="Calibri" w:hAnsi="Calibri" w:cs="Calibri"/>
                <w:sz w:val="18"/>
                <w:szCs w:val="18"/>
              </w:rPr>
              <w:t>0700000000000</w:t>
            </w:r>
          </w:p>
        </w:tc>
        <w:tc>
          <w:tcPr>
            <w:tcW w:w="851" w:type="dxa"/>
            <w:gridSpan w:val="4"/>
            <w:tcBorders>
              <w:top w:val="single" w:sz="4" w:space="0" w:color="auto"/>
              <w:left w:val="single" w:sz="4" w:space="0" w:color="auto"/>
              <w:bottom w:val="single" w:sz="4" w:space="0" w:color="auto"/>
              <w:right w:val="single" w:sz="4" w:space="0" w:color="auto"/>
            </w:tcBorders>
          </w:tcPr>
          <w:p w:rsidR="00C817EC" w:rsidRDefault="00C817EC" w:rsidP="00C817EC">
            <w:pPr>
              <w:jc w:val="center"/>
              <w:rPr>
                <w:rFonts w:ascii="Calibri" w:hAnsi="Calibri" w:cs="Calibri"/>
                <w:sz w:val="18"/>
                <w:szCs w:val="18"/>
              </w:rPr>
            </w:pPr>
          </w:p>
        </w:tc>
        <w:tc>
          <w:tcPr>
            <w:tcW w:w="992" w:type="dxa"/>
            <w:gridSpan w:val="3"/>
            <w:tcBorders>
              <w:top w:val="single" w:sz="4" w:space="0" w:color="auto"/>
              <w:left w:val="single" w:sz="4" w:space="0" w:color="auto"/>
              <w:bottom w:val="single" w:sz="4" w:space="0" w:color="auto"/>
              <w:right w:val="single" w:sz="4" w:space="0" w:color="auto"/>
            </w:tcBorders>
            <w:hideMark/>
          </w:tcPr>
          <w:p w:rsidR="00C817EC" w:rsidRDefault="00C817EC" w:rsidP="00902D5F">
            <w:pPr>
              <w:jc w:val="right"/>
              <w:rPr>
                <w:rFonts w:ascii="Calibri" w:hAnsi="Calibri" w:cs="Calibri"/>
                <w:sz w:val="18"/>
                <w:szCs w:val="18"/>
              </w:rPr>
            </w:pPr>
            <w:r>
              <w:rPr>
                <w:rFonts w:ascii="Calibri" w:hAnsi="Calibri" w:cs="Calibri"/>
                <w:sz w:val="18"/>
                <w:szCs w:val="18"/>
              </w:rPr>
              <w:t>1 </w:t>
            </w:r>
            <w:r w:rsidR="00902D5F">
              <w:rPr>
                <w:rFonts w:ascii="Calibri" w:hAnsi="Calibri" w:cs="Calibri"/>
                <w:sz w:val="18"/>
                <w:szCs w:val="18"/>
              </w:rPr>
              <w:t>60</w:t>
            </w:r>
            <w:r>
              <w:rPr>
                <w:rFonts w:ascii="Calibri" w:hAnsi="Calibri" w:cs="Calibri"/>
                <w:sz w:val="18"/>
                <w:szCs w:val="18"/>
              </w:rPr>
              <w:t>0,00</w:t>
            </w:r>
          </w:p>
        </w:tc>
        <w:tc>
          <w:tcPr>
            <w:tcW w:w="992" w:type="dxa"/>
            <w:gridSpan w:val="3"/>
            <w:tcBorders>
              <w:top w:val="single" w:sz="4" w:space="0" w:color="auto"/>
              <w:left w:val="single" w:sz="4" w:space="0" w:color="auto"/>
              <w:bottom w:val="single" w:sz="4" w:space="0" w:color="auto"/>
              <w:right w:val="single" w:sz="4" w:space="0" w:color="auto"/>
            </w:tcBorders>
            <w:hideMark/>
          </w:tcPr>
          <w:p w:rsidR="00C817EC" w:rsidRDefault="00902D5F" w:rsidP="00C817EC">
            <w:pPr>
              <w:jc w:val="right"/>
              <w:rPr>
                <w:rFonts w:ascii="Calibri" w:hAnsi="Calibri" w:cs="Calibri"/>
                <w:sz w:val="18"/>
                <w:szCs w:val="18"/>
              </w:rPr>
            </w:pPr>
            <w:r>
              <w:rPr>
                <w:rFonts w:ascii="Calibri" w:hAnsi="Calibri" w:cs="Calibri"/>
                <w:sz w:val="18"/>
                <w:szCs w:val="18"/>
              </w:rPr>
              <w:t>4 804,72</w:t>
            </w:r>
          </w:p>
        </w:tc>
        <w:tc>
          <w:tcPr>
            <w:tcW w:w="3757" w:type="dxa"/>
            <w:gridSpan w:val="12"/>
            <w:tcBorders>
              <w:top w:val="single" w:sz="4" w:space="0" w:color="auto"/>
              <w:left w:val="single" w:sz="4" w:space="0" w:color="auto"/>
              <w:bottom w:val="single" w:sz="4" w:space="0" w:color="auto"/>
              <w:right w:val="single" w:sz="4" w:space="0" w:color="auto"/>
            </w:tcBorders>
            <w:hideMark/>
          </w:tcPr>
          <w:p w:rsidR="00C817EC" w:rsidRDefault="00C817EC" w:rsidP="00C817EC">
            <w:pPr>
              <w:jc w:val="both"/>
              <w:rPr>
                <w:rFonts w:ascii="Calibri" w:hAnsi="Calibri" w:cs="Calibri"/>
                <w:b/>
                <w:sz w:val="18"/>
                <w:szCs w:val="18"/>
                <w:u w:val="single"/>
              </w:rPr>
            </w:pPr>
            <w:r>
              <w:rPr>
                <w:rFonts w:ascii="Calibri" w:hAnsi="Calibri" w:cs="Calibri"/>
                <w:b/>
                <w:sz w:val="18"/>
                <w:szCs w:val="18"/>
                <w:u w:val="single"/>
              </w:rPr>
              <w:t>Poplatek za užívání veřejného prostranství</w:t>
            </w:r>
          </w:p>
          <w:p w:rsidR="00C817EC" w:rsidRDefault="00C817EC" w:rsidP="00D61B3C">
            <w:pPr>
              <w:jc w:val="both"/>
              <w:rPr>
                <w:rFonts w:ascii="Calibri" w:hAnsi="Calibri" w:cs="Calibri"/>
                <w:b/>
                <w:sz w:val="18"/>
                <w:szCs w:val="18"/>
                <w:u w:val="single"/>
              </w:rPr>
            </w:pPr>
            <w:r>
              <w:rPr>
                <w:rFonts w:ascii="Calibri" w:hAnsi="Calibri" w:cs="Calibri"/>
                <w:sz w:val="18"/>
                <w:szCs w:val="18"/>
              </w:rPr>
              <w:t>Výši pří</w:t>
            </w:r>
            <w:r w:rsidR="00F11E4B">
              <w:rPr>
                <w:rFonts w:ascii="Calibri" w:hAnsi="Calibri" w:cs="Calibri"/>
                <w:sz w:val="18"/>
                <w:szCs w:val="18"/>
              </w:rPr>
              <w:t>jmů nelze při </w:t>
            </w:r>
            <w:r>
              <w:rPr>
                <w:rFonts w:ascii="Calibri" w:hAnsi="Calibri" w:cs="Calibri"/>
                <w:sz w:val="18"/>
                <w:szCs w:val="18"/>
              </w:rPr>
              <w:t xml:space="preserve">sestavování rozpočtu přesně stanovit. </w:t>
            </w:r>
            <w:r w:rsidR="00D61B3C">
              <w:rPr>
                <w:rFonts w:ascii="Calibri" w:hAnsi="Calibri" w:cs="Calibri"/>
                <w:sz w:val="18"/>
                <w:szCs w:val="18"/>
              </w:rPr>
              <w:t xml:space="preserve">Ovlivněno </w:t>
            </w:r>
            <w:r>
              <w:rPr>
                <w:rFonts w:ascii="Calibri" w:hAnsi="Calibri" w:cs="Calibri"/>
                <w:sz w:val="18"/>
                <w:szCs w:val="18"/>
              </w:rPr>
              <w:t xml:space="preserve">počtem ohlášení k tomuto místnímu poplatku. </w:t>
            </w:r>
          </w:p>
        </w:tc>
      </w:tr>
      <w:tr w:rsidR="00C817EC" w:rsidTr="00D61B3C">
        <w:trPr>
          <w:divId w:val="2053571053"/>
        </w:trPr>
        <w:tc>
          <w:tcPr>
            <w:tcW w:w="779" w:type="dxa"/>
            <w:gridSpan w:val="2"/>
            <w:tcBorders>
              <w:top w:val="single" w:sz="4" w:space="0" w:color="auto"/>
              <w:left w:val="single" w:sz="4" w:space="0" w:color="auto"/>
              <w:bottom w:val="single" w:sz="4" w:space="0" w:color="auto"/>
              <w:right w:val="single" w:sz="4" w:space="0" w:color="auto"/>
            </w:tcBorders>
          </w:tcPr>
          <w:p w:rsidR="00C817EC" w:rsidRDefault="00C817EC" w:rsidP="00C817EC">
            <w:pPr>
              <w:jc w:val="center"/>
              <w:rPr>
                <w:rFonts w:ascii="Calibri" w:hAnsi="Calibri" w:cs="Calibri"/>
                <w:sz w:val="18"/>
                <w:szCs w:val="18"/>
              </w:rPr>
            </w:pPr>
          </w:p>
        </w:tc>
        <w:tc>
          <w:tcPr>
            <w:tcW w:w="851" w:type="dxa"/>
            <w:gridSpan w:val="3"/>
            <w:tcBorders>
              <w:top w:val="single" w:sz="4" w:space="0" w:color="auto"/>
              <w:left w:val="single" w:sz="4" w:space="0" w:color="auto"/>
              <w:bottom w:val="single" w:sz="4" w:space="0" w:color="auto"/>
              <w:right w:val="single" w:sz="4" w:space="0" w:color="auto"/>
            </w:tcBorders>
            <w:hideMark/>
          </w:tcPr>
          <w:p w:rsidR="00C817EC" w:rsidRDefault="00C817EC" w:rsidP="00C817EC">
            <w:pPr>
              <w:jc w:val="center"/>
              <w:rPr>
                <w:rFonts w:ascii="Calibri" w:hAnsi="Calibri" w:cs="Calibri"/>
                <w:sz w:val="18"/>
                <w:szCs w:val="18"/>
              </w:rPr>
            </w:pPr>
            <w:r>
              <w:rPr>
                <w:rFonts w:ascii="Calibri" w:hAnsi="Calibri" w:cs="Calibri"/>
                <w:sz w:val="18"/>
                <w:szCs w:val="18"/>
              </w:rPr>
              <w:t>1361</w:t>
            </w:r>
          </w:p>
        </w:tc>
        <w:tc>
          <w:tcPr>
            <w:tcW w:w="1417" w:type="dxa"/>
            <w:gridSpan w:val="5"/>
            <w:tcBorders>
              <w:top w:val="single" w:sz="4" w:space="0" w:color="auto"/>
              <w:left w:val="single" w:sz="4" w:space="0" w:color="auto"/>
              <w:bottom w:val="single" w:sz="4" w:space="0" w:color="auto"/>
              <w:right w:val="single" w:sz="4" w:space="0" w:color="auto"/>
            </w:tcBorders>
            <w:hideMark/>
          </w:tcPr>
          <w:p w:rsidR="00C817EC" w:rsidRDefault="00C817EC" w:rsidP="00C817EC">
            <w:pPr>
              <w:jc w:val="center"/>
              <w:rPr>
                <w:rFonts w:ascii="Calibri" w:hAnsi="Calibri" w:cs="Calibri"/>
                <w:sz w:val="18"/>
                <w:szCs w:val="18"/>
              </w:rPr>
            </w:pPr>
            <w:r>
              <w:rPr>
                <w:rFonts w:ascii="Calibri" w:hAnsi="Calibri" w:cs="Calibri"/>
                <w:sz w:val="18"/>
                <w:szCs w:val="18"/>
              </w:rPr>
              <w:t>0700000000000</w:t>
            </w:r>
          </w:p>
        </w:tc>
        <w:tc>
          <w:tcPr>
            <w:tcW w:w="851" w:type="dxa"/>
            <w:gridSpan w:val="4"/>
            <w:tcBorders>
              <w:top w:val="single" w:sz="4" w:space="0" w:color="auto"/>
              <w:left w:val="single" w:sz="4" w:space="0" w:color="auto"/>
              <w:bottom w:val="single" w:sz="4" w:space="0" w:color="auto"/>
              <w:right w:val="single" w:sz="4" w:space="0" w:color="auto"/>
            </w:tcBorders>
          </w:tcPr>
          <w:p w:rsidR="00C817EC" w:rsidRDefault="00C817EC" w:rsidP="00C817EC">
            <w:pPr>
              <w:jc w:val="center"/>
              <w:rPr>
                <w:rFonts w:ascii="Calibri" w:hAnsi="Calibri" w:cs="Calibri"/>
                <w:sz w:val="18"/>
                <w:szCs w:val="18"/>
              </w:rPr>
            </w:pPr>
          </w:p>
        </w:tc>
        <w:tc>
          <w:tcPr>
            <w:tcW w:w="992" w:type="dxa"/>
            <w:gridSpan w:val="3"/>
            <w:tcBorders>
              <w:top w:val="single" w:sz="4" w:space="0" w:color="auto"/>
              <w:left w:val="single" w:sz="4" w:space="0" w:color="auto"/>
              <w:bottom w:val="single" w:sz="4" w:space="0" w:color="auto"/>
              <w:right w:val="single" w:sz="4" w:space="0" w:color="auto"/>
            </w:tcBorders>
            <w:hideMark/>
          </w:tcPr>
          <w:p w:rsidR="00C817EC" w:rsidRDefault="00C817EC" w:rsidP="00C817EC">
            <w:pPr>
              <w:jc w:val="right"/>
              <w:rPr>
                <w:rFonts w:ascii="Calibri" w:hAnsi="Calibri" w:cs="Calibri"/>
                <w:sz w:val="18"/>
                <w:szCs w:val="18"/>
              </w:rPr>
            </w:pPr>
            <w:r>
              <w:rPr>
                <w:rFonts w:ascii="Calibri" w:hAnsi="Calibri" w:cs="Calibri"/>
                <w:sz w:val="18"/>
                <w:szCs w:val="18"/>
              </w:rPr>
              <w:t>78,00</w:t>
            </w:r>
          </w:p>
        </w:tc>
        <w:tc>
          <w:tcPr>
            <w:tcW w:w="992" w:type="dxa"/>
            <w:gridSpan w:val="3"/>
            <w:tcBorders>
              <w:top w:val="single" w:sz="4" w:space="0" w:color="auto"/>
              <w:left w:val="single" w:sz="4" w:space="0" w:color="auto"/>
              <w:bottom w:val="single" w:sz="4" w:space="0" w:color="auto"/>
              <w:right w:val="single" w:sz="4" w:space="0" w:color="auto"/>
            </w:tcBorders>
            <w:hideMark/>
          </w:tcPr>
          <w:p w:rsidR="00C817EC" w:rsidRDefault="00902D5F" w:rsidP="00C817EC">
            <w:pPr>
              <w:jc w:val="right"/>
              <w:rPr>
                <w:rFonts w:ascii="Calibri" w:hAnsi="Calibri" w:cs="Calibri"/>
                <w:sz w:val="18"/>
                <w:szCs w:val="18"/>
              </w:rPr>
            </w:pPr>
            <w:r>
              <w:rPr>
                <w:rFonts w:ascii="Calibri" w:hAnsi="Calibri" w:cs="Calibri"/>
                <w:sz w:val="18"/>
                <w:szCs w:val="18"/>
              </w:rPr>
              <w:t>6,98</w:t>
            </w:r>
          </w:p>
        </w:tc>
        <w:tc>
          <w:tcPr>
            <w:tcW w:w="3757" w:type="dxa"/>
            <w:gridSpan w:val="12"/>
            <w:tcBorders>
              <w:top w:val="single" w:sz="4" w:space="0" w:color="auto"/>
              <w:left w:val="single" w:sz="4" w:space="0" w:color="auto"/>
              <w:bottom w:val="single" w:sz="4" w:space="0" w:color="auto"/>
              <w:right w:val="single" w:sz="4" w:space="0" w:color="auto"/>
            </w:tcBorders>
            <w:hideMark/>
          </w:tcPr>
          <w:p w:rsidR="00C817EC" w:rsidRDefault="00C817EC" w:rsidP="00C817EC">
            <w:pPr>
              <w:jc w:val="both"/>
              <w:rPr>
                <w:rFonts w:ascii="Calibri" w:hAnsi="Calibri" w:cs="Calibri"/>
                <w:b/>
                <w:sz w:val="18"/>
                <w:szCs w:val="18"/>
                <w:u w:val="single"/>
              </w:rPr>
            </w:pPr>
            <w:r>
              <w:rPr>
                <w:rFonts w:ascii="Calibri" w:hAnsi="Calibri" w:cs="Calibri"/>
                <w:b/>
                <w:sz w:val="18"/>
                <w:szCs w:val="18"/>
                <w:u w:val="single"/>
              </w:rPr>
              <w:t>Správní poplatky</w:t>
            </w:r>
          </w:p>
          <w:p w:rsidR="00C817EC" w:rsidRDefault="00C817EC" w:rsidP="00C817EC">
            <w:pPr>
              <w:jc w:val="both"/>
              <w:rPr>
                <w:rFonts w:ascii="Calibri" w:hAnsi="Calibri" w:cs="Calibri"/>
                <w:color w:val="A6A6A6" w:themeColor="background1" w:themeShade="A6"/>
                <w:sz w:val="18"/>
                <w:szCs w:val="18"/>
              </w:rPr>
            </w:pPr>
            <w:r>
              <w:rPr>
                <w:rFonts w:ascii="Calibri" w:hAnsi="Calibri" w:cs="Calibri"/>
                <w:sz w:val="18"/>
                <w:szCs w:val="18"/>
              </w:rPr>
              <w:t>Výše poplatků je ovlivněna počtem správních úkonů. Při sestavování rozpočtu nelze přesně určit počet těchto úkonů. Vychází se z určité časové řady let minulých.</w:t>
            </w:r>
          </w:p>
        </w:tc>
      </w:tr>
      <w:tr w:rsidR="00C817EC" w:rsidTr="00D61B3C">
        <w:trPr>
          <w:divId w:val="2053571053"/>
        </w:trPr>
        <w:tc>
          <w:tcPr>
            <w:tcW w:w="779" w:type="dxa"/>
            <w:gridSpan w:val="2"/>
            <w:tcBorders>
              <w:top w:val="single" w:sz="4" w:space="0" w:color="auto"/>
              <w:left w:val="single" w:sz="4" w:space="0" w:color="auto"/>
              <w:bottom w:val="single" w:sz="4" w:space="0" w:color="auto"/>
              <w:right w:val="single" w:sz="4" w:space="0" w:color="auto"/>
            </w:tcBorders>
            <w:hideMark/>
          </w:tcPr>
          <w:p w:rsidR="00C817EC" w:rsidRDefault="00C817EC" w:rsidP="00C817EC">
            <w:pPr>
              <w:jc w:val="center"/>
              <w:rPr>
                <w:rFonts w:ascii="Calibri" w:hAnsi="Calibri" w:cs="Calibri"/>
                <w:sz w:val="18"/>
                <w:szCs w:val="18"/>
              </w:rPr>
            </w:pPr>
            <w:r>
              <w:rPr>
                <w:rFonts w:ascii="Calibri" w:hAnsi="Calibri" w:cs="Calibri"/>
                <w:sz w:val="18"/>
                <w:szCs w:val="18"/>
              </w:rPr>
              <w:t>6171</w:t>
            </w:r>
          </w:p>
        </w:tc>
        <w:tc>
          <w:tcPr>
            <w:tcW w:w="851" w:type="dxa"/>
            <w:gridSpan w:val="3"/>
            <w:tcBorders>
              <w:top w:val="single" w:sz="4" w:space="0" w:color="auto"/>
              <w:left w:val="single" w:sz="4" w:space="0" w:color="auto"/>
              <w:bottom w:val="single" w:sz="4" w:space="0" w:color="auto"/>
              <w:right w:val="single" w:sz="4" w:space="0" w:color="auto"/>
            </w:tcBorders>
            <w:hideMark/>
          </w:tcPr>
          <w:p w:rsidR="00C817EC" w:rsidRDefault="00C817EC" w:rsidP="00C817EC">
            <w:pPr>
              <w:jc w:val="center"/>
              <w:rPr>
                <w:rFonts w:ascii="Calibri" w:hAnsi="Calibri" w:cs="Calibri"/>
                <w:sz w:val="18"/>
                <w:szCs w:val="18"/>
              </w:rPr>
            </w:pPr>
            <w:r>
              <w:rPr>
                <w:rFonts w:ascii="Calibri" w:hAnsi="Calibri" w:cs="Calibri"/>
                <w:sz w:val="18"/>
                <w:szCs w:val="18"/>
              </w:rPr>
              <w:t>2111</w:t>
            </w:r>
          </w:p>
        </w:tc>
        <w:tc>
          <w:tcPr>
            <w:tcW w:w="1417" w:type="dxa"/>
            <w:gridSpan w:val="5"/>
            <w:tcBorders>
              <w:top w:val="single" w:sz="4" w:space="0" w:color="auto"/>
              <w:left w:val="single" w:sz="4" w:space="0" w:color="auto"/>
              <w:bottom w:val="single" w:sz="4" w:space="0" w:color="auto"/>
              <w:right w:val="single" w:sz="4" w:space="0" w:color="auto"/>
            </w:tcBorders>
            <w:hideMark/>
          </w:tcPr>
          <w:p w:rsidR="00C817EC" w:rsidRDefault="00C817EC" w:rsidP="00C817EC">
            <w:pPr>
              <w:jc w:val="center"/>
              <w:rPr>
                <w:rFonts w:ascii="Calibri" w:hAnsi="Calibri" w:cs="Calibri"/>
                <w:sz w:val="18"/>
                <w:szCs w:val="18"/>
              </w:rPr>
            </w:pPr>
            <w:r>
              <w:rPr>
                <w:rFonts w:ascii="Calibri" w:hAnsi="Calibri" w:cs="Calibri"/>
                <w:sz w:val="18"/>
                <w:szCs w:val="18"/>
              </w:rPr>
              <w:t>0700000000000</w:t>
            </w:r>
          </w:p>
        </w:tc>
        <w:tc>
          <w:tcPr>
            <w:tcW w:w="851" w:type="dxa"/>
            <w:gridSpan w:val="4"/>
            <w:tcBorders>
              <w:top w:val="single" w:sz="4" w:space="0" w:color="auto"/>
              <w:left w:val="single" w:sz="4" w:space="0" w:color="auto"/>
              <w:bottom w:val="single" w:sz="4" w:space="0" w:color="auto"/>
              <w:right w:val="single" w:sz="4" w:space="0" w:color="auto"/>
            </w:tcBorders>
          </w:tcPr>
          <w:p w:rsidR="00C817EC" w:rsidRDefault="00C817EC" w:rsidP="00C817EC">
            <w:pPr>
              <w:jc w:val="center"/>
              <w:rPr>
                <w:rFonts w:ascii="Calibri" w:hAnsi="Calibri" w:cs="Calibri"/>
                <w:sz w:val="18"/>
                <w:szCs w:val="18"/>
              </w:rPr>
            </w:pPr>
          </w:p>
        </w:tc>
        <w:tc>
          <w:tcPr>
            <w:tcW w:w="992" w:type="dxa"/>
            <w:gridSpan w:val="3"/>
            <w:tcBorders>
              <w:top w:val="single" w:sz="4" w:space="0" w:color="auto"/>
              <w:left w:val="single" w:sz="4" w:space="0" w:color="auto"/>
              <w:bottom w:val="single" w:sz="4" w:space="0" w:color="auto"/>
              <w:right w:val="single" w:sz="4" w:space="0" w:color="auto"/>
            </w:tcBorders>
            <w:hideMark/>
          </w:tcPr>
          <w:p w:rsidR="00C817EC" w:rsidRDefault="00C817EC" w:rsidP="00C817EC">
            <w:pPr>
              <w:jc w:val="right"/>
              <w:rPr>
                <w:rFonts w:ascii="Calibri" w:hAnsi="Calibri" w:cs="Calibri"/>
                <w:sz w:val="18"/>
                <w:szCs w:val="18"/>
              </w:rPr>
            </w:pPr>
            <w:r>
              <w:rPr>
                <w:rFonts w:ascii="Calibri" w:hAnsi="Calibri" w:cs="Calibri"/>
                <w:sz w:val="18"/>
                <w:szCs w:val="18"/>
              </w:rPr>
              <w:t>50,00</w:t>
            </w:r>
          </w:p>
        </w:tc>
        <w:tc>
          <w:tcPr>
            <w:tcW w:w="992" w:type="dxa"/>
            <w:gridSpan w:val="3"/>
            <w:tcBorders>
              <w:top w:val="single" w:sz="4" w:space="0" w:color="auto"/>
              <w:left w:val="single" w:sz="4" w:space="0" w:color="auto"/>
              <w:bottom w:val="single" w:sz="4" w:space="0" w:color="auto"/>
              <w:right w:val="single" w:sz="4" w:space="0" w:color="auto"/>
            </w:tcBorders>
            <w:hideMark/>
          </w:tcPr>
          <w:p w:rsidR="00C817EC" w:rsidRDefault="00902D5F" w:rsidP="00C817EC">
            <w:pPr>
              <w:jc w:val="right"/>
              <w:rPr>
                <w:rFonts w:ascii="Calibri" w:hAnsi="Calibri" w:cs="Calibri"/>
                <w:sz w:val="18"/>
                <w:szCs w:val="18"/>
              </w:rPr>
            </w:pPr>
            <w:r>
              <w:rPr>
                <w:rFonts w:ascii="Calibri" w:hAnsi="Calibri" w:cs="Calibri"/>
                <w:sz w:val="18"/>
                <w:szCs w:val="18"/>
              </w:rPr>
              <w:t>192,24</w:t>
            </w:r>
          </w:p>
        </w:tc>
        <w:tc>
          <w:tcPr>
            <w:tcW w:w="3757" w:type="dxa"/>
            <w:gridSpan w:val="12"/>
            <w:tcBorders>
              <w:top w:val="single" w:sz="4" w:space="0" w:color="auto"/>
              <w:left w:val="single" w:sz="4" w:space="0" w:color="auto"/>
              <w:bottom w:val="single" w:sz="4" w:space="0" w:color="auto"/>
              <w:right w:val="single" w:sz="4" w:space="0" w:color="auto"/>
            </w:tcBorders>
            <w:hideMark/>
          </w:tcPr>
          <w:p w:rsidR="00C817EC" w:rsidRDefault="00C817EC" w:rsidP="00C817EC">
            <w:pPr>
              <w:jc w:val="both"/>
              <w:rPr>
                <w:rFonts w:ascii="Calibri" w:hAnsi="Calibri" w:cs="Calibri"/>
                <w:b/>
                <w:sz w:val="18"/>
                <w:szCs w:val="18"/>
                <w:u w:val="single"/>
              </w:rPr>
            </w:pPr>
            <w:r>
              <w:rPr>
                <w:rFonts w:ascii="Calibri" w:hAnsi="Calibri" w:cs="Calibri"/>
                <w:b/>
                <w:sz w:val="18"/>
                <w:szCs w:val="18"/>
                <w:u w:val="single"/>
              </w:rPr>
              <w:t>Příjmy z poskytování služeb a výrobků</w:t>
            </w:r>
          </w:p>
          <w:p w:rsidR="00C817EC" w:rsidRDefault="00902D5F" w:rsidP="00C817EC">
            <w:pPr>
              <w:rPr>
                <w:rFonts w:ascii="Calibri" w:hAnsi="Calibri" w:cs="Calibri"/>
                <w:color w:val="A6A6A6" w:themeColor="background1" w:themeShade="A6"/>
                <w:sz w:val="18"/>
                <w:szCs w:val="18"/>
              </w:rPr>
            </w:pPr>
            <w:r>
              <w:rPr>
                <w:rFonts w:ascii="Calibri" w:hAnsi="Calibri" w:cs="Calibri"/>
                <w:sz w:val="18"/>
                <w:szCs w:val="18"/>
              </w:rPr>
              <w:t>Hanácké slavnosti, vánoční trhy.</w:t>
            </w:r>
          </w:p>
        </w:tc>
      </w:tr>
      <w:tr w:rsidR="00C817EC" w:rsidTr="00D61B3C">
        <w:trPr>
          <w:divId w:val="2053571053"/>
        </w:trPr>
        <w:tc>
          <w:tcPr>
            <w:tcW w:w="779" w:type="dxa"/>
            <w:gridSpan w:val="2"/>
            <w:tcBorders>
              <w:top w:val="single" w:sz="4" w:space="0" w:color="auto"/>
              <w:left w:val="single" w:sz="4" w:space="0" w:color="auto"/>
              <w:bottom w:val="single" w:sz="4" w:space="0" w:color="auto"/>
              <w:right w:val="single" w:sz="4" w:space="0" w:color="auto"/>
            </w:tcBorders>
            <w:hideMark/>
          </w:tcPr>
          <w:p w:rsidR="00C817EC" w:rsidRDefault="00C817EC" w:rsidP="00C817EC">
            <w:pPr>
              <w:jc w:val="center"/>
              <w:rPr>
                <w:rFonts w:ascii="Calibri" w:hAnsi="Calibri" w:cs="Calibri"/>
                <w:sz w:val="18"/>
                <w:szCs w:val="18"/>
              </w:rPr>
            </w:pPr>
            <w:r>
              <w:rPr>
                <w:rFonts w:ascii="Calibri" w:hAnsi="Calibri" w:cs="Calibri"/>
                <w:sz w:val="18"/>
                <w:szCs w:val="18"/>
              </w:rPr>
              <w:t>6171</w:t>
            </w:r>
          </w:p>
        </w:tc>
        <w:tc>
          <w:tcPr>
            <w:tcW w:w="851" w:type="dxa"/>
            <w:gridSpan w:val="3"/>
            <w:tcBorders>
              <w:top w:val="single" w:sz="4" w:space="0" w:color="auto"/>
              <w:left w:val="single" w:sz="4" w:space="0" w:color="auto"/>
              <w:bottom w:val="single" w:sz="4" w:space="0" w:color="auto"/>
              <w:right w:val="single" w:sz="4" w:space="0" w:color="auto"/>
            </w:tcBorders>
            <w:hideMark/>
          </w:tcPr>
          <w:p w:rsidR="00C817EC" w:rsidRDefault="00C817EC" w:rsidP="00C817EC">
            <w:pPr>
              <w:jc w:val="center"/>
              <w:rPr>
                <w:rFonts w:ascii="Calibri" w:hAnsi="Calibri" w:cs="Calibri"/>
                <w:sz w:val="18"/>
                <w:szCs w:val="18"/>
              </w:rPr>
            </w:pPr>
            <w:r>
              <w:rPr>
                <w:rFonts w:ascii="Calibri" w:hAnsi="Calibri" w:cs="Calibri"/>
                <w:sz w:val="18"/>
                <w:szCs w:val="18"/>
              </w:rPr>
              <w:t>2322</w:t>
            </w:r>
          </w:p>
        </w:tc>
        <w:tc>
          <w:tcPr>
            <w:tcW w:w="1417" w:type="dxa"/>
            <w:gridSpan w:val="5"/>
            <w:tcBorders>
              <w:top w:val="single" w:sz="4" w:space="0" w:color="auto"/>
              <w:left w:val="single" w:sz="4" w:space="0" w:color="auto"/>
              <w:bottom w:val="single" w:sz="4" w:space="0" w:color="auto"/>
              <w:right w:val="single" w:sz="4" w:space="0" w:color="auto"/>
            </w:tcBorders>
            <w:hideMark/>
          </w:tcPr>
          <w:p w:rsidR="00C817EC" w:rsidRDefault="00C817EC" w:rsidP="00C817EC">
            <w:pPr>
              <w:jc w:val="center"/>
              <w:rPr>
                <w:rFonts w:ascii="Calibri" w:hAnsi="Calibri" w:cs="Calibri"/>
                <w:sz w:val="18"/>
                <w:szCs w:val="18"/>
              </w:rPr>
            </w:pPr>
            <w:r>
              <w:rPr>
                <w:rFonts w:ascii="Calibri" w:hAnsi="Calibri" w:cs="Calibri"/>
                <w:sz w:val="18"/>
                <w:szCs w:val="18"/>
              </w:rPr>
              <w:t>0700000000000</w:t>
            </w:r>
          </w:p>
        </w:tc>
        <w:tc>
          <w:tcPr>
            <w:tcW w:w="851" w:type="dxa"/>
            <w:gridSpan w:val="4"/>
            <w:tcBorders>
              <w:top w:val="single" w:sz="4" w:space="0" w:color="auto"/>
              <w:left w:val="single" w:sz="4" w:space="0" w:color="auto"/>
              <w:bottom w:val="single" w:sz="4" w:space="0" w:color="auto"/>
              <w:right w:val="single" w:sz="4" w:space="0" w:color="auto"/>
            </w:tcBorders>
          </w:tcPr>
          <w:p w:rsidR="00C817EC" w:rsidRDefault="00C817EC" w:rsidP="00C817EC">
            <w:pPr>
              <w:jc w:val="center"/>
              <w:rPr>
                <w:rFonts w:ascii="Calibri" w:hAnsi="Calibri" w:cs="Calibri"/>
                <w:sz w:val="18"/>
                <w:szCs w:val="18"/>
              </w:rPr>
            </w:pPr>
          </w:p>
        </w:tc>
        <w:tc>
          <w:tcPr>
            <w:tcW w:w="992" w:type="dxa"/>
            <w:gridSpan w:val="3"/>
            <w:tcBorders>
              <w:top w:val="single" w:sz="4" w:space="0" w:color="auto"/>
              <w:left w:val="single" w:sz="4" w:space="0" w:color="auto"/>
              <w:bottom w:val="single" w:sz="4" w:space="0" w:color="auto"/>
              <w:right w:val="single" w:sz="4" w:space="0" w:color="auto"/>
            </w:tcBorders>
            <w:hideMark/>
          </w:tcPr>
          <w:p w:rsidR="00C817EC" w:rsidRDefault="00902D5F" w:rsidP="00C817EC">
            <w:pPr>
              <w:jc w:val="right"/>
              <w:rPr>
                <w:rFonts w:ascii="Calibri" w:hAnsi="Calibri" w:cs="Calibri"/>
                <w:sz w:val="18"/>
                <w:szCs w:val="18"/>
              </w:rPr>
            </w:pPr>
            <w:r>
              <w:rPr>
                <w:rFonts w:ascii="Calibri" w:hAnsi="Calibri" w:cs="Calibri"/>
                <w:sz w:val="18"/>
                <w:szCs w:val="18"/>
              </w:rPr>
              <w:t>538,05</w:t>
            </w:r>
          </w:p>
        </w:tc>
        <w:tc>
          <w:tcPr>
            <w:tcW w:w="992" w:type="dxa"/>
            <w:gridSpan w:val="3"/>
            <w:tcBorders>
              <w:top w:val="single" w:sz="4" w:space="0" w:color="auto"/>
              <w:left w:val="single" w:sz="4" w:space="0" w:color="auto"/>
              <w:bottom w:val="single" w:sz="4" w:space="0" w:color="auto"/>
              <w:right w:val="single" w:sz="4" w:space="0" w:color="auto"/>
            </w:tcBorders>
            <w:hideMark/>
          </w:tcPr>
          <w:p w:rsidR="00C817EC" w:rsidRDefault="00902D5F" w:rsidP="00C817EC">
            <w:pPr>
              <w:jc w:val="right"/>
              <w:rPr>
                <w:rFonts w:ascii="Calibri" w:hAnsi="Calibri" w:cs="Calibri"/>
                <w:sz w:val="18"/>
                <w:szCs w:val="18"/>
              </w:rPr>
            </w:pPr>
            <w:r>
              <w:rPr>
                <w:rFonts w:ascii="Calibri" w:hAnsi="Calibri" w:cs="Calibri"/>
                <w:sz w:val="18"/>
                <w:szCs w:val="18"/>
              </w:rPr>
              <w:t>355,14</w:t>
            </w:r>
          </w:p>
        </w:tc>
        <w:tc>
          <w:tcPr>
            <w:tcW w:w="3757" w:type="dxa"/>
            <w:gridSpan w:val="12"/>
            <w:tcBorders>
              <w:top w:val="single" w:sz="4" w:space="0" w:color="auto"/>
              <w:left w:val="single" w:sz="4" w:space="0" w:color="auto"/>
              <w:bottom w:val="single" w:sz="4" w:space="0" w:color="auto"/>
              <w:right w:val="single" w:sz="4" w:space="0" w:color="auto"/>
            </w:tcBorders>
            <w:hideMark/>
          </w:tcPr>
          <w:p w:rsidR="00C817EC" w:rsidRDefault="00C817EC" w:rsidP="00C817EC">
            <w:pPr>
              <w:jc w:val="both"/>
              <w:rPr>
                <w:rFonts w:ascii="Calibri" w:hAnsi="Calibri" w:cs="Calibri"/>
                <w:b/>
                <w:sz w:val="18"/>
                <w:szCs w:val="18"/>
                <w:u w:val="single"/>
              </w:rPr>
            </w:pPr>
            <w:r>
              <w:rPr>
                <w:rFonts w:ascii="Calibri" w:hAnsi="Calibri" w:cs="Calibri"/>
                <w:b/>
                <w:sz w:val="18"/>
                <w:szCs w:val="18"/>
                <w:u w:val="single"/>
              </w:rPr>
              <w:t>Přijaté pojistné náhrady</w:t>
            </w:r>
          </w:p>
          <w:p w:rsidR="00C817EC" w:rsidRPr="00F11E4B" w:rsidRDefault="00C817EC" w:rsidP="00C817EC">
            <w:pPr>
              <w:jc w:val="both"/>
              <w:rPr>
                <w:rFonts w:ascii="Calibri" w:hAnsi="Calibri" w:cs="Calibri"/>
                <w:sz w:val="18"/>
                <w:szCs w:val="18"/>
              </w:rPr>
            </w:pPr>
            <w:r>
              <w:rPr>
                <w:rFonts w:ascii="Calibri" w:hAnsi="Calibri" w:cs="Calibri"/>
                <w:sz w:val="18"/>
                <w:szCs w:val="18"/>
              </w:rPr>
              <w:t xml:space="preserve">Příjmy jsou závislé na počtu uznaných likvidovaných pojistných událostí. </w:t>
            </w:r>
          </w:p>
        </w:tc>
      </w:tr>
      <w:tr w:rsidR="00C817EC" w:rsidTr="00D61B3C">
        <w:trPr>
          <w:divId w:val="2053571053"/>
        </w:trPr>
        <w:tc>
          <w:tcPr>
            <w:tcW w:w="779" w:type="dxa"/>
            <w:gridSpan w:val="2"/>
            <w:tcBorders>
              <w:top w:val="single" w:sz="4" w:space="0" w:color="auto"/>
              <w:left w:val="single" w:sz="4" w:space="0" w:color="auto"/>
              <w:bottom w:val="single" w:sz="4" w:space="0" w:color="auto"/>
              <w:right w:val="single" w:sz="4" w:space="0" w:color="auto"/>
            </w:tcBorders>
            <w:hideMark/>
          </w:tcPr>
          <w:p w:rsidR="00C817EC" w:rsidRDefault="00C817EC" w:rsidP="00C817EC">
            <w:pPr>
              <w:jc w:val="center"/>
              <w:rPr>
                <w:rFonts w:ascii="Calibri" w:hAnsi="Calibri" w:cs="Calibri"/>
                <w:sz w:val="18"/>
                <w:szCs w:val="18"/>
              </w:rPr>
            </w:pPr>
            <w:r>
              <w:rPr>
                <w:rFonts w:ascii="Calibri" w:hAnsi="Calibri" w:cs="Calibri"/>
                <w:sz w:val="18"/>
                <w:szCs w:val="18"/>
              </w:rPr>
              <w:t>6171</w:t>
            </w:r>
          </w:p>
        </w:tc>
        <w:tc>
          <w:tcPr>
            <w:tcW w:w="851" w:type="dxa"/>
            <w:gridSpan w:val="3"/>
            <w:tcBorders>
              <w:top w:val="single" w:sz="4" w:space="0" w:color="auto"/>
              <w:left w:val="single" w:sz="4" w:space="0" w:color="auto"/>
              <w:bottom w:val="single" w:sz="4" w:space="0" w:color="auto"/>
              <w:right w:val="single" w:sz="4" w:space="0" w:color="auto"/>
            </w:tcBorders>
            <w:hideMark/>
          </w:tcPr>
          <w:p w:rsidR="00C817EC" w:rsidRDefault="00C817EC" w:rsidP="00C817EC">
            <w:pPr>
              <w:jc w:val="center"/>
              <w:rPr>
                <w:rFonts w:ascii="Calibri" w:hAnsi="Calibri" w:cs="Calibri"/>
                <w:sz w:val="18"/>
                <w:szCs w:val="18"/>
              </w:rPr>
            </w:pPr>
            <w:r>
              <w:rPr>
                <w:rFonts w:ascii="Calibri" w:hAnsi="Calibri" w:cs="Calibri"/>
                <w:sz w:val="18"/>
                <w:szCs w:val="18"/>
              </w:rPr>
              <w:t>2324</w:t>
            </w:r>
          </w:p>
        </w:tc>
        <w:tc>
          <w:tcPr>
            <w:tcW w:w="1417" w:type="dxa"/>
            <w:gridSpan w:val="5"/>
            <w:tcBorders>
              <w:top w:val="single" w:sz="4" w:space="0" w:color="auto"/>
              <w:left w:val="single" w:sz="4" w:space="0" w:color="auto"/>
              <w:bottom w:val="single" w:sz="4" w:space="0" w:color="auto"/>
              <w:right w:val="single" w:sz="4" w:space="0" w:color="auto"/>
            </w:tcBorders>
            <w:hideMark/>
          </w:tcPr>
          <w:p w:rsidR="00C817EC" w:rsidRDefault="00C817EC" w:rsidP="00C817EC">
            <w:pPr>
              <w:jc w:val="center"/>
              <w:rPr>
                <w:rFonts w:ascii="Calibri" w:hAnsi="Calibri" w:cs="Calibri"/>
                <w:sz w:val="18"/>
                <w:szCs w:val="18"/>
              </w:rPr>
            </w:pPr>
            <w:r>
              <w:rPr>
                <w:rFonts w:ascii="Calibri" w:hAnsi="Calibri" w:cs="Calibri"/>
                <w:sz w:val="18"/>
                <w:szCs w:val="18"/>
              </w:rPr>
              <w:t>0700000000000</w:t>
            </w:r>
          </w:p>
        </w:tc>
        <w:tc>
          <w:tcPr>
            <w:tcW w:w="851" w:type="dxa"/>
            <w:gridSpan w:val="4"/>
            <w:tcBorders>
              <w:top w:val="single" w:sz="4" w:space="0" w:color="auto"/>
              <w:left w:val="single" w:sz="4" w:space="0" w:color="auto"/>
              <w:bottom w:val="single" w:sz="4" w:space="0" w:color="auto"/>
              <w:right w:val="single" w:sz="4" w:space="0" w:color="auto"/>
            </w:tcBorders>
          </w:tcPr>
          <w:p w:rsidR="00C817EC" w:rsidRDefault="00C817EC" w:rsidP="00C817EC">
            <w:pPr>
              <w:jc w:val="center"/>
              <w:rPr>
                <w:rFonts w:ascii="Calibri" w:hAnsi="Calibri" w:cs="Calibri"/>
                <w:sz w:val="18"/>
                <w:szCs w:val="18"/>
              </w:rPr>
            </w:pPr>
          </w:p>
        </w:tc>
        <w:tc>
          <w:tcPr>
            <w:tcW w:w="992" w:type="dxa"/>
            <w:gridSpan w:val="3"/>
            <w:tcBorders>
              <w:top w:val="single" w:sz="4" w:space="0" w:color="auto"/>
              <w:left w:val="single" w:sz="4" w:space="0" w:color="auto"/>
              <w:bottom w:val="single" w:sz="4" w:space="0" w:color="auto"/>
              <w:right w:val="single" w:sz="4" w:space="0" w:color="auto"/>
            </w:tcBorders>
            <w:hideMark/>
          </w:tcPr>
          <w:p w:rsidR="00C817EC" w:rsidRDefault="00C817EC" w:rsidP="00C817EC">
            <w:pPr>
              <w:jc w:val="right"/>
              <w:rPr>
                <w:rFonts w:ascii="Calibri" w:hAnsi="Calibri" w:cs="Calibri"/>
                <w:sz w:val="18"/>
                <w:szCs w:val="18"/>
              </w:rPr>
            </w:pPr>
            <w:r>
              <w:rPr>
                <w:rFonts w:ascii="Calibri" w:hAnsi="Calibri" w:cs="Calibri"/>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hideMark/>
          </w:tcPr>
          <w:p w:rsidR="00C817EC" w:rsidRDefault="00F11E4B" w:rsidP="00C817EC">
            <w:pPr>
              <w:jc w:val="right"/>
              <w:rPr>
                <w:rFonts w:ascii="Calibri" w:hAnsi="Calibri" w:cs="Calibri"/>
                <w:sz w:val="18"/>
                <w:szCs w:val="18"/>
              </w:rPr>
            </w:pPr>
            <w:r>
              <w:rPr>
                <w:rFonts w:ascii="Calibri" w:hAnsi="Calibri" w:cs="Calibri"/>
                <w:sz w:val="18"/>
                <w:szCs w:val="18"/>
              </w:rPr>
              <w:t>236,69</w:t>
            </w:r>
          </w:p>
        </w:tc>
        <w:tc>
          <w:tcPr>
            <w:tcW w:w="3757" w:type="dxa"/>
            <w:gridSpan w:val="12"/>
            <w:tcBorders>
              <w:top w:val="single" w:sz="4" w:space="0" w:color="auto"/>
              <w:left w:val="single" w:sz="4" w:space="0" w:color="auto"/>
              <w:bottom w:val="single" w:sz="4" w:space="0" w:color="auto"/>
              <w:right w:val="single" w:sz="4" w:space="0" w:color="auto"/>
            </w:tcBorders>
            <w:hideMark/>
          </w:tcPr>
          <w:p w:rsidR="00C817EC" w:rsidRDefault="00C817EC" w:rsidP="00C817EC">
            <w:pPr>
              <w:jc w:val="both"/>
              <w:rPr>
                <w:rFonts w:ascii="Calibri" w:hAnsi="Calibri" w:cs="Calibri"/>
                <w:b/>
                <w:sz w:val="18"/>
                <w:szCs w:val="18"/>
                <w:u w:val="single"/>
              </w:rPr>
            </w:pPr>
            <w:r>
              <w:rPr>
                <w:rFonts w:ascii="Calibri" w:hAnsi="Calibri" w:cs="Calibri"/>
                <w:b/>
                <w:sz w:val="18"/>
                <w:szCs w:val="18"/>
                <w:u w:val="single"/>
              </w:rPr>
              <w:t>Přijaté nekapitálové příspěvky a náhrady</w:t>
            </w:r>
          </w:p>
          <w:p w:rsidR="00C817EC" w:rsidRDefault="00C817EC" w:rsidP="00C817EC">
            <w:pPr>
              <w:jc w:val="both"/>
              <w:rPr>
                <w:rFonts w:ascii="Calibri" w:hAnsi="Calibri" w:cs="Calibri"/>
                <w:color w:val="A6A6A6" w:themeColor="background1" w:themeShade="A6"/>
                <w:sz w:val="18"/>
                <w:szCs w:val="18"/>
              </w:rPr>
            </w:pPr>
            <w:r>
              <w:rPr>
                <w:rFonts w:ascii="Calibri" w:hAnsi="Calibri" w:cs="Calibri"/>
                <w:sz w:val="18"/>
                <w:szCs w:val="18"/>
              </w:rPr>
              <w:t>Náhrady škod; n</w:t>
            </w:r>
            <w:r w:rsidR="00F11E4B">
              <w:rPr>
                <w:rFonts w:ascii="Calibri" w:hAnsi="Calibri" w:cs="Calibri"/>
                <w:sz w:val="18"/>
                <w:szCs w:val="18"/>
              </w:rPr>
              <w:t>áhrady za pohřebné; dědictví po </w:t>
            </w:r>
            <w:r>
              <w:rPr>
                <w:rFonts w:ascii="Calibri" w:hAnsi="Calibri" w:cs="Calibri"/>
                <w:sz w:val="18"/>
                <w:szCs w:val="18"/>
              </w:rPr>
              <w:t xml:space="preserve">zemřelých, bonifikace od Hasičské vzájemné pojišťovny.  Při sestavování rozpočtu nelze přesně určit počet těchto úkonů. </w:t>
            </w:r>
          </w:p>
        </w:tc>
      </w:tr>
      <w:tr w:rsidR="00C817EC" w:rsidTr="00D61B3C">
        <w:trPr>
          <w:divId w:val="2053571053"/>
        </w:trPr>
        <w:tc>
          <w:tcPr>
            <w:tcW w:w="779" w:type="dxa"/>
            <w:gridSpan w:val="2"/>
            <w:tcBorders>
              <w:top w:val="single" w:sz="4" w:space="0" w:color="auto"/>
              <w:left w:val="single" w:sz="4" w:space="0" w:color="auto"/>
              <w:bottom w:val="single" w:sz="4" w:space="0" w:color="auto"/>
              <w:right w:val="single" w:sz="4" w:space="0" w:color="auto"/>
            </w:tcBorders>
            <w:hideMark/>
          </w:tcPr>
          <w:p w:rsidR="00C817EC" w:rsidRDefault="00C817EC" w:rsidP="00C817EC">
            <w:pPr>
              <w:jc w:val="center"/>
              <w:rPr>
                <w:rFonts w:ascii="Calibri" w:hAnsi="Calibri" w:cs="Calibri"/>
                <w:sz w:val="18"/>
                <w:szCs w:val="18"/>
              </w:rPr>
            </w:pPr>
            <w:r>
              <w:rPr>
                <w:rFonts w:ascii="Calibri" w:hAnsi="Calibri" w:cs="Calibri"/>
                <w:sz w:val="18"/>
                <w:szCs w:val="18"/>
              </w:rPr>
              <w:t>6310</w:t>
            </w:r>
          </w:p>
        </w:tc>
        <w:tc>
          <w:tcPr>
            <w:tcW w:w="851" w:type="dxa"/>
            <w:gridSpan w:val="3"/>
            <w:tcBorders>
              <w:top w:val="single" w:sz="4" w:space="0" w:color="auto"/>
              <w:left w:val="single" w:sz="4" w:space="0" w:color="auto"/>
              <w:bottom w:val="single" w:sz="4" w:space="0" w:color="auto"/>
              <w:right w:val="single" w:sz="4" w:space="0" w:color="auto"/>
            </w:tcBorders>
            <w:hideMark/>
          </w:tcPr>
          <w:p w:rsidR="00C817EC" w:rsidRDefault="00C817EC" w:rsidP="00C817EC">
            <w:pPr>
              <w:jc w:val="center"/>
              <w:rPr>
                <w:rFonts w:ascii="Calibri" w:hAnsi="Calibri" w:cs="Calibri"/>
                <w:sz w:val="18"/>
                <w:szCs w:val="18"/>
              </w:rPr>
            </w:pPr>
            <w:r>
              <w:rPr>
                <w:rFonts w:ascii="Calibri" w:hAnsi="Calibri" w:cs="Calibri"/>
                <w:sz w:val="18"/>
                <w:szCs w:val="18"/>
              </w:rPr>
              <w:t>2141</w:t>
            </w:r>
          </w:p>
        </w:tc>
        <w:tc>
          <w:tcPr>
            <w:tcW w:w="1417" w:type="dxa"/>
            <w:gridSpan w:val="5"/>
            <w:tcBorders>
              <w:top w:val="single" w:sz="4" w:space="0" w:color="auto"/>
              <w:left w:val="single" w:sz="4" w:space="0" w:color="auto"/>
              <w:bottom w:val="single" w:sz="4" w:space="0" w:color="auto"/>
              <w:right w:val="single" w:sz="4" w:space="0" w:color="auto"/>
            </w:tcBorders>
            <w:hideMark/>
          </w:tcPr>
          <w:p w:rsidR="00C817EC" w:rsidRDefault="00C817EC" w:rsidP="00C817EC">
            <w:pPr>
              <w:jc w:val="center"/>
              <w:rPr>
                <w:rFonts w:ascii="Calibri" w:hAnsi="Calibri" w:cs="Calibri"/>
                <w:sz w:val="18"/>
                <w:szCs w:val="18"/>
              </w:rPr>
            </w:pPr>
            <w:r>
              <w:rPr>
                <w:rFonts w:ascii="Calibri" w:hAnsi="Calibri" w:cs="Calibri"/>
                <w:sz w:val="18"/>
                <w:szCs w:val="18"/>
              </w:rPr>
              <w:t>0700000000000</w:t>
            </w:r>
          </w:p>
        </w:tc>
        <w:tc>
          <w:tcPr>
            <w:tcW w:w="851" w:type="dxa"/>
            <w:gridSpan w:val="4"/>
            <w:tcBorders>
              <w:top w:val="single" w:sz="4" w:space="0" w:color="auto"/>
              <w:left w:val="single" w:sz="4" w:space="0" w:color="auto"/>
              <w:bottom w:val="single" w:sz="4" w:space="0" w:color="auto"/>
              <w:right w:val="single" w:sz="4" w:space="0" w:color="auto"/>
            </w:tcBorders>
          </w:tcPr>
          <w:p w:rsidR="00C817EC" w:rsidRDefault="00C817EC" w:rsidP="00C817EC">
            <w:pPr>
              <w:jc w:val="center"/>
              <w:rPr>
                <w:rFonts w:ascii="Calibri" w:hAnsi="Calibri" w:cs="Calibri"/>
                <w:sz w:val="18"/>
                <w:szCs w:val="18"/>
              </w:rPr>
            </w:pPr>
          </w:p>
        </w:tc>
        <w:tc>
          <w:tcPr>
            <w:tcW w:w="992" w:type="dxa"/>
            <w:gridSpan w:val="3"/>
            <w:tcBorders>
              <w:top w:val="single" w:sz="4" w:space="0" w:color="auto"/>
              <w:left w:val="single" w:sz="4" w:space="0" w:color="auto"/>
              <w:bottom w:val="single" w:sz="4" w:space="0" w:color="auto"/>
              <w:right w:val="single" w:sz="4" w:space="0" w:color="auto"/>
            </w:tcBorders>
            <w:hideMark/>
          </w:tcPr>
          <w:p w:rsidR="00C817EC" w:rsidRDefault="00F11E4B" w:rsidP="00C817EC">
            <w:pPr>
              <w:jc w:val="right"/>
              <w:rPr>
                <w:rFonts w:ascii="Calibri" w:hAnsi="Calibri" w:cs="Calibri"/>
                <w:sz w:val="18"/>
                <w:szCs w:val="18"/>
              </w:rPr>
            </w:pPr>
            <w:r>
              <w:rPr>
                <w:rFonts w:ascii="Calibri" w:hAnsi="Calibri" w:cs="Calibri"/>
                <w:sz w:val="18"/>
                <w:szCs w:val="18"/>
              </w:rPr>
              <w:t>5</w:t>
            </w:r>
            <w:r w:rsidR="00C817EC">
              <w:rPr>
                <w:rFonts w:ascii="Calibri" w:hAnsi="Calibri" w:cs="Calibri"/>
                <w:sz w:val="18"/>
                <w:szCs w:val="18"/>
              </w:rPr>
              <w:t>00,00</w:t>
            </w:r>
          </w:p>
        </w:tc>
        <w:tc>
          <w:tcPr>
            <w:tcW w:w="992" w:type="dxa"/>
            <w:gridSpan w:val="3"/>
            <w:tcBorders>
              <w:top w:val="single" w:sz="4" w:space="0" w:color="auto"/>
              <w:left w:val="single" w:sz="4" w:space="0" w:color="auto"/>
              <w:bottom w:val="single" w:sz="4" w:space="0" w:color="auto"/>
              <w:right w:val="single" w:sz="4" w:space="0" w:color="auto"/>
            </w:tcBorders>
            <w:hideMark/>
          </w:tcPr>
          <w:p w:rsidR="00C817EC" w:rsidRDefault="00F11E4B" w:rsidP="00C817EC">
            <w:pPr>
              <w:jc w:val="right"/>
              <w:rPr>
                <w:rFonts w:ascii="Calibri" w:hAnsi="Calibri" w:cs="Calibri"/>
                <w:sz w:val="18"/>
                <w:szCs w:val="18"/>
              </w:rPr>
            </w:pPr>
            <w:r>
              <w:rPr>
                <w:rFonts w:ascii="Calibri" w:hAnsi="Calibri" w:cs="Calibri"/>
                <w:sz w:val="18"/>
                <w:szCs w:val="18"/>
              </w:rPr>
              <w:t>7 015,15</w:t>
            </w:r>
          </w:p>
        </w:tc>
        <w:tc>
          <w:tcPr>
            <w:tcW w:w="3757" w:type="dxa"/>
            <w:gridSpan w:val="12"/>
            <w:tcBorders>
              <w:top w:val="single" w:sz="4" w:space="0" w:color="auto"/>
              <w:left w:val="single" w:sz="4" w:space="0" w:color="auto"/>
              <w:bottom w:val="single" w:sz="4" w:space="0" w:color="auto"/>
              <w:right w:val="single" w:sz="4" w:space="0" w:color="auto"/>
            </w:tcBorders>
            <w:hideMark/>
          </w:tcPr>
          <w:p w:rsidR="00C817EC" w:rsidRPr="00F11E4B" w:rsidRDefault="00F11E4B" w:rsidP="00C817EC">
            <w:pPr>
              <w:jc w:val="both"/>
              <w:rPr>
                <w:rFonts w:ascii="Calibri" w:hAnsi="Calibri" w:cs="Calibri"/>
                <w:b/>
                <w:sz w:val="18"/>
                <w:szCs w:val="18"/>
                <w:u w:val="single"/>
              </w:rPr>
            </w:pPr>
            <w:r>
              <w:rPr>
                <w:rFonts w:ascii="Calibri" w:hAnsi="Calibri" w:cs="Calibri"/>
                <w:b/>
                <w:sz w:val="18"/>
                <w:szCs w:val="18"/>
                <w:u w:val="single"/>
              </w:rPr>
              <w:t xml:space="preserve">Příjmy z úroků </w:t>
            </w:r>
          </w:p>
        </w:tc>
      </w:tr>
      <w:tr w:rsidR="00C817EC" w:rsidTr="00D61B3C">
        <w:trPr>
          <w:divId w:val="2053571053"/>
        </w:trPr>
        <w:tc>
          <w:tcPr>
            <w:tcW w:w="779" w:type="dxa"/>
            <w:gridSpan w:val="2"/>
            <w:tcBorders>
              <w:top w:val="single" w:sz="4" w:space="0" w:color="auto"/>
              <w:left w:val="single" w:sz="4" w:space="0" w:color="auto"/>
              <w:bottom w:val="single" w:sz="4" w:space="0" w:color="auto"/>
              <w:right w:val="single" w:sz="4" w:space="0" w:color="auto"/>
            </w:tcBorders>
            <w:hideMark/>
          </w:tcPr>
          <w:p w:rsidR="00C817EC" w:rsidRDefault="00C817EC" w:rsidP="00C817EC">
            <w:pPr>
              <w:jc w:val="center"/>
              <w:rPr>
                <w:rFonts w:ascii="Calibri" w:hAnsi="Calibri" w:cs="Calibri"/>
                <w:sz w:val="18"/>
                <w:szCs w:val="18"/>
              </w:rPr>
            </w:pPr>
            <w:r>
              <w:rPr>
                <w:rFonts w:ascii="Calibri" w:hAnsi="Calibri" w:cs="Calibri"/>
                <w:sz w:val="18"/>
                <w:szCs w:val="18"/>
              </w:rPr>
              <w:t>6330</w:t>
            </w:r>
          </w:p>
        </w:tc>
        <w:tc>
          <w:tcPr>
            <w:tcW w:w="851" w:type="dxa"/>
            <w:gridSpan w:val="3"/>
            <w:tcBorders>
              <w:top w:val="single" w:sz="4" w:space="0" w:color="auto"/>
              <w:left w:val="single" w:sz="4" w:space="0" w:color="auto"/>
              <w:bottom w:val="single" w:sz="4" w:space="0" w:color="auto"/>
              <w:right w:val="single" w:sz="4" w:space="0" w:color="auto"/>
            </w:tcBorders>
            <w:hideMark/>
          </w:tcPr>
          <w:p w:rsidR="00C817EC" w:rsidRDefault="00C817EC" w:rsidP="00C817EC">
            <w:pPr>
              <w:jc w:val="center"/>
              <w:rPr>
                <w:rFonts w:ascii="Calibri" w:hAnsi="Calibri" w:cs="Calibri"/>
                <w:sz w:val="18"/>
                <w:szCs w:val="18"/>
              </w:rPr>
            </w:pPr>
            <w:r>
              <w:rPr>
                <w:rFonts w:ascii="Calibri" w:hAnsi="Calibri" w:cs="Calibri"/>
                <w:sz w:val="18"/>
                <w:szCs w:val="18"/>
              </w:rPr>
              <w:t>4134</w:t>
            </w:r>
          </w:p>
        </w:tc>
        <w:tc>
          <w:tcPr>
            <w:tcW w:w="1417" w:type="dxa"/>
            <w:gridSpan w:val="5"/>
            <w:tcBorders>
              <w:top w:val="single" w:sz="4" w:space="0" w:color="auto"/>
              <w:left w:val="single" w:sz="4" w:space="0" w:color="auto"/>
              <w:bottom w:val="single" w:sz="4" w:space="0" w:color="auto"/>
              <w:right w:val="single" w:sz="4" w:space="0" w:color="auto"/>
            </w:tcBorders>
            <w:hideMark/>
          </w:tcPr>
          <w:p w:rsidR="00C817EC" w:rsidRDefault="00C817EC" w:rsidP="00C817EC">
            <w:pPr>
              <w:jc w:val="center"/>
              <w:rPr>
                <w:rFonts w:ascii="Calibri" w:hAnsi="Calibri" w:cs="Calibri"/>
                <w:sz w:val="18"/>
                <w:szCs w:val="18"/>
              </w:rPr>
            </w:pPr>
            <w:r>
              <w:rPr>
                <w:rFonts w:ascii="Calibri" w:hAnsi="Calibri" w:cs="Calibri"/>
                <w:sz w:val="18"/>
                <w:szCs w:val="18"/>
              </w:rPr>
              <w:t>0700000000000</w:t>
            </w:r>
          </w:p>
        </w:tc>
        <w:tc>
          <w:tcPr>
            <w:tcW w:w="851" w:type="dxa"/>
            <w:gridSpan w:val="4"/>
            <w:tcBorders>
              <w:top w:val="single" w:sz="4" w:space="0" w:color="auto"/>
              <w:left w:val="single" w:sz="4" w:space="0" w:color="auto"/>
              <w:bottom w:val="single" w:sz="4" w:space="0" w:color="auto"/>
              <w:right w:val="single" w:sz="4" w:space="0" w:color="auto"/>
            </w:tcBorders>
          </w:tcPr>
          <w:p w:rsidR="00C817EC" w:rsidRDefault="00C817EC" w:rsidP="00C817EC">
            <w:pPr>
              <w:jc w:val="center"/>
              <w:rPr>
                <w:rFonts w:ascii="Calibri" w:hAnsi="Calibri" w:cs="Calibri"/>
                <w:sz w:val="18"/>
                <w:szCs w:val="18"/>
              </w:rPr>
            </w:pPr>
          </w:p>
        </w:tc>
        <w:tc>
          <w:tcPr>
            <w:tcW w:w="992" w:type="dxa"/>
            <w:gridSpan w:val="3"/>
            <w:tcBorders>
              <w:top w:val="single" w:sz="4" w:space="0" w:color="auto"/>
              <w:left w:val="single" w:sz="4" w:space="0" w:color="auto"/>
              <w:bottom w:val="single" w:sz="4" w:space="0" w:color="auto"/>
              <w:right w:val="single" w:sz="4" w:space="0" w:color="auto"/>
            </w:tcBorders>
            <w:hideMark/>
          </w:tcPr>
          <w:p w:rsidR="00C817EC" w:rsidRDefault="00C817EC" w:rsidP="00C817EC">
            <w:pPr>
              <w:jc w:val="right"/>
              <w:rPr>
                <w:rFonts w:ascii="Calibri" w:hAnsi="Calibri" w:cs="Calibri"/>
                <w:sz w:val="18"/>
                <w:szCs w:val="18"/>
              </w:rPr>
            </w:pPr>
            <w:r>
              <w:rPr>
                <w:rFonts w:ascii="Calibri" w:hAnsi="Calibri" w:cs="Calibri"/>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hideMark/>
          </w:tcPr>
          <w:p w:rsidR="00C817EC" w:rsidRDefault="00F11E4B" w:rsidP="00C817EC">
            <w:pPr>
              <w:ind w:left="-282" w:right="-68" w:hanging="142"/>
              <w:jc w:val="right"/>
              <w:rPr>
                <w:rFonts w:ascii="Calibri" w:hAnsi="Calibri" w:cs="Calibri"/>
                <w:sz w:val="18"/>
                <w:szCs w:val="18"/>
              </w:rPr>
            </w:pPr>
            <w:r>
              <w:rPr>
                <w:rFonts w:ascii="Calibri" w:hAnsi="Calibri" w:cs="Calibri"/>
                <w:sz w:val="18"/>
                <w:szCs w:val="18"/>
              </w:rPr>
              <w:t>1 556 883,67</w:t>
            </w:r>
          </w:p>
        </w:tc>
        <w:tc>
          <w:tcPr>
            <w:tcW w:w="3757" w:type="dxa"/>
            <w:gridSpan w:val="12"/>
            <w:tcBorders>
              <w:top w:val="single" w:sz="4" w:space="0" w:color="auto"/>
              <w:left w:val="single" w:sz="4" w:space="0" w:color="auto"/>
              <w:bottom w:val="single" w:sz="4" w:space="0" w:color="auto"/>
              <w:right w:val="single" w:sz="4" w:space="0" w:color="auto"/>
            </w:tcBorders>
            <w:hideMark/>
          </w:tcPr>
          <w:p w:rsidR="00C817EC" w:rsidRDefault="00C817EC" w:rsidP="00C817EC">
            <w:pPr>
              <w:rPr>
                <w:rFonts w:ascii="Calibri" w:hAnsi="Calibri" w:cs="Calibri"/>
                <w:b/>
                <w:sz w:val="18"/>
                <w:szCs w:val="18"/>
                <w:u w:val="single"/>
              </w:rPr>
            </w:pPr>
            <w:r>
              <w:rPr>
                <w:rFonts w:ascii="Calibri" w:hAnsi="Calibri" w:cs="Calibri"/>
                <w:b/>
                <w:sz w:val="18"/>
                <w:szCs w:val="18"/>
                <w:u w:val="single"/>
              </w:rPr>
              <w:t>Převody z rozpočtových účtů</w:t>
            </w:r>
          </w:p>
          <w:p w:rsidR="00C817EC" w:rsidRDefault="00C817EC" w:rsidP="00C817EC">
            <w:pPr>
              <w:jc w:val="both"/>
              <w:rPr>
                <w:rFonts w:ascii="Calibri" w:hAnsi="Calibri" w:cs="Calibri"/>
                <w:color w:val="A6A6A6" w:themeColor="background1" w:themeShade="A6"/>
                <w:sz w:val="18"/>
                <w:szCs w:val="18"/>
              </w:rPr>
            </w:pPr>
            <w:r>
              <w:rPr>
                <w:rFonts w:ascii="Calibri" w:hAnsi="Calibri" w:cs="Calibri"/>
                <w:sz w:val="18"/>
                <w:szCs w:val="18"/>
              </w:rPr>
              <w:t xml:space="preserve">Konsolidační položka; vnitropřevody finančních prostředků mezi účty a fondy. Na základě platné rozpočtové skladby nemusí být tyto příjmy rozpočtovány a </w:t>
            </w:r>
            <w:r w:rsidR="00F11E4B">
              <w:rPr>
                <w:rFonts w:ascii="Calibri" w:hAnsi="Calibri" w:cs="Calibri"/>
                <w:sz w:val="18"/>
                <w:szCs w:val="18"/>
              </w:rPr>
              <w:t>svým objemem mají úzký vztah na </w:t>
            </w:r>
            <w:r>
              <w:rPr>
                <w:rFonts w:ascii="Calibri" w:hAnsi="Calibri" w:cs="Calibri"/>
                <w:sz w:val="18"/>
                <w:szCs w:val="18"/>
              </w:rPr>
              <w:t>výdaje v konsolidaci.</w:t>
            </w:r>
          </w:p>
        </w:tc>
      </w:tr>
      <w:tr w:rsidR="00F11E4B" w:rsidTr="00D61B3C">
        <w:trPr>
          <w:divId w:val="2053571053"/>
        </w:trPr>
        <w:tc>
          <w:tcPr>
            <w:tcW w:w="9639" w:type="dxa"/>
            <w:gridSpan w:val="32"/>
            <w:shd w:val="clear" w:color="auto" w:fill="F79646"/>
            <w:hideMark/>
          </w:tcPr>
          <w:p w:rsidR="00F11E4B" w:rsidRDefault="00F11E4B" w:rsidP="00F11E4B">
            <w:pPr>
              <w:rPr>
                <w:rFonts w:ascii="Calibri" w:hAnsi="Calibri"/>
                <w:b/>
                <w:color w:val="A6A6A6" w:themeColor="background1" w:themeShade="A6"/>
                <w:sz w:val="20"/>
                <w:szCs w:val="20"/>
                <w:u w:val="single"/>
              </w:rPr>
            </w:pPr>
            <w:r>
              <w:rPr>
                <w:rFonts w:ascii="Calibri" w:hAnsi="Calibri"/>
                <w:b/>
                <w:sz w:val="20"/>
                <w:szCs w:val="20"/>
                <w:u w:val="single"/>
              </w:rPr>
              <w:t>Rozbor čerpání výdajů rozpočtu kapitoly</w:t>
            </w:r>
          </w:p>
        </w:tc>
      </w:tr>
      <w:tr w:rsidR="00F11E4B" w:rsidTr="00D61B3C">
        <w:trPr>
          <w:divId w:val="2053571053"/>
        </w:trPr>
        <w:tc>
          <w:tcPr>
            <w:tcW w:w="460" w:type="dxa"/>
            <w:tcBorders>
              <w:top w:val="nil"/>
              <w:left w:val="nil"/>
              <w:bottom w:val="single" w:sz="4" w:space="0" w:color="auto"/>
              <w:right w:val="nil"/>
            </w:tcBorders>
          </w:tcPr>
          <w:p w:rsidR="00F11E4B" w:rsidRDefault="00F11E4B" w:rsidP="00F11E4B">
            <w:pPr>
              <w:rPr>
                <w:rFonts w:ascii="Calibri" w:hAnsi="Calibri"/>
                <w:b/>
                <w:sz w:val="20"/>
                <w:szCs w:val="20"/>
              </w:rPr>
            </w:pPr>
          </w:p>
        </w:tc>
        <w:tc>
          <w:tcPr>
            <w:tcW w:w="460" w:type="dxa"/>
            <w:gridSpan w:val="2"/>
            <w:tcBorders>
              <w:top w:val="nil"/>
              <w:left w:val="nil"/>
              <w:bottom w:val="single" w:sz="4" w:space="0" w:color="auto"/>
              <w:right w:val="nil"/>
            </w:tcBorders>
          </w:tcPr>
          <w:p w:rsidR="00F11E4B" w:rsidRDefault="00F11E4B" w:rsidP="00F11E4B">
            <w:pPr>
              <w:rPr>
                <w:rFonts w:ascii="Calibri" w:hAnsi="Calibri"/>
                <w:b/>
                <w:sz w:val="20"/>
                <w:szCs w:val="20"/>
              </w:rPr>
            </w:pPr>
          </w:p>
        </w:tc>
        <w:tc>
          <w:tcPr>
            <w:tcW w:w="460" w:type="dxa"/>
            <w:tcBorders>
              <w:top w:val="nil"/>
              <w:left w:val="nil"/>
              <w:bottom w:val="single" w:sz="4" w:space="0" w:color="auto"/>
              <w:right w:val="nil"/>
            </w:tcBorders>
          </w:tcPr>
          <w:p w:rsidR="00F11E4B" w:rsidRDefault="00F11E4B" w:rsidP="00F11E4B">
            <w:pPr>
              <w:rPr>
                <w:rFonts w:ascii="Calibri" w:hAnsi="Calibri"/>
                <w:b/>
                <w:sz w:val="20"/>
                <w:szCs w:val="20"/>
              </w:rPr>
            </w:pPr>
          </w:p>
        </w:tc>
        <w:tc>
          <w:tcPr>
            <w:tcW w:w="391" w:type="dxa"/>
            <w:gridSpan w:val="2"/>
            <w:tcBorders>
              <w:top w:val="nil"/>
              <w:left w:val="nil"/>
              <w:bottom w:val="single" w:sz="4" w:space="0" w:color="auto"/>
              <w:right w:val="nil"/>
            </w:tcBorders>
          </w:tcPr>
          <w:p w:rsidR="00F11E4B" w:rsidRDefault="00F11E4B" w:rsidP="00F11E4B">
            <w:pPr>
              <w:rPr>
                <w:rFonts w:ascii="Calibri" w:hAnsi="Calibri"/>
                <w:b/>
                <w:sz w:val="20"/>
                <w:szCs w:val="20"/>
              </w:rPr>
            </w:pPr>
          </w:p>
        </w:tc>
        <w:tc>
          <w:tcPr>
            <w:tcW w:w="529" w:type="dxa"/>
            <w:gridSpan w:val="2"/>
            <w:tcBorders>
              <w:top w:val="nil"/>
              <w:left w:val="nil"/>
              <w:bottom w:val="single" w:sz="4" w:space="0" w:color="auto"/>
              <w:right w:val="nil"/>
            </w:tcBorders>
          </w:tcPr>
          <w:p w:rsidR="00F11E4B" w:rsidRDefault="00F11E4B" w:rsidP="00F11E4B">
            <w:pPr>
              <w:rPr>
                <w:rFonts w:ascii="Calibri" w:hAnsi="Calibri"/>
                <w:b/>
                <w:sz w:val="20"/>
                <w:szCs w:val="20"/>
              </w:rPr>
            </w:pPr>
          </w:p>
        </w:tc>
        <w:tc>
          <w:tcPr>
            <w:tcW w:w="460" w:type="dxa"/>
            <w:tcBorders>
              <w:top w:val="nil"/>
              <w:left w:val="nil"/>
              <w:bottom w:val="single" w:sz="4" w:space="0" w:color="auto"/>
              <w:right w:val="nil"/>
            </w:tcBorders>
          </w:tcPr>
          <w:p w:rsidR="00F11E4B" w:rsidRDefault="00F11E4B" w:rsidP="00F11E4B">
            <w:pPr>
              <w:rPr>
                <w:rFonts w:ascii="Calibri" w:hAnsi="Calibri"/>
                <w:b/>
                <w:sz w:val="20"/>
                <w:szCs w:val="20"/>
              </w:rPr>
            </w:pPr>
          </w:p>
        </w:tc>
        <w:tc>
          <w:tcPr>
            <w:tcW w:w="460" w:type="dxa"/>
            <w:gridSpan w:val="3"/>
            <w:tcBorders>
              <w:top w:val="nil"/>
              <w:left w:val="nil"/>
              <w:bottom w:val="single" w:sz="4" w:space="0" w:color="auto"/>
              <w:right w:val="nil"/>
            </w:tcBorders>
          </w:tcPr>
          <w:p w:rsidR="00F11E4B" w:rsidRDefault="00F11E4B" w:rsidP="00F11E4B">
            <w:pPr>
              <w:rPr>
                <w:rFonts w:ascii="Calibri" w:hAnsi="Calibri"/>
                <w:b/>
                <w:sz w:val="20"/>
                <w:szCs w:val="20"/>
              </w:rPr>
            </w:pPr>
          </w:p>
        </w:tc>
        <w:tc>
          <w:tcPr>
            <w:tcW w:w="678" w:type="dxa"/>
            <w:gridSpan w:val="2"/>
            <w:tcBorders>
              <w:top w:val="nil"/>
              <w:left w:val="nil"/>
              <w:bottom w:val="single" w:sz="4" w:space="0" w:color="auto"/>
              <w:right w:val="nil"/>
            </w:tcBorders>
          </w:tcPr>
          <w:p w:rsidR="00F11E4B" w:rsidRDefault="00F11E4B" w:rsidP="00F11E4B">
            <w:pPr>
              <w:rPr>
                <w:rFonts w:ascii="Calibri" w:hAnsi="Calibri"/>
                <w:b/>
                <w:sz w:val="20"/>
                <w:szCs w:val="20"/>
              </w:rPr>
            </w:pPr>
          </w:p>
        </w:tc>
        <w:tc>
          <w:tcPr>
            <w:tcW w:w="242" w:type="dxa"/>
            <w:tcBorders>
              <w:top w:val="nil"/>
              <w:left w:val="nil"/>
              <w:bottom w:val="single" w:sz="4" w:space="0" w:color="auto"/>
              <w:right w:val="nil"/>
            </w:tcBorders>
          </w:tcPr>
          <w:p w:rsidR="00F11E4B" w:rsidRDefault="00F11E4B" w:rsidP="00F11E4B">
            <w:pPr>
              <w:rPr>
                <w:rFonts w:ascii="Calibri" w:hAnsi="Calibri"/>
                <w:b/>
                <w:sz w:val="20"/>
                <w:szCs w:val="20"/>
              </w:rPr>
            </w:pPr>
          </w:p>
        </w:tc>
        <w:tc>
          <w:tcPr>
            <w:tcW w:w="460" w:type="dxa"/>
            <w:tcBorders>
              <w:top w:val="nil"/>
              <w:left w:val="nil"/>
              <w:bottom w:val="single" w:sz="4" w:space="0" w:color="auto"/>
              <w:right w:val="nil"/>
            </w:tcBorders>
          </w:tcPr>
          <w:p w:rsidR="00F11E4B" w:rsidRDefault="00F11E4B" w:rsidP="00F11E4B">
            <w:pPr>
              <w:rPr>
                <w:rFonts w:ascii="Calibri" w:hAnsi="Calibri"/>
                <w:b/>
                <w:sz w:val="20"/>
                <w:szCs w:val="20"/>
              </w:rPr>
            </w:pPr>
          </w:p>
        </w:tc>
        <w:tc>
          <w:tcPr>
            <w:tcW w:w="460" w:type="dxa"/>
            <w:gridSpan w:val="2"/>
            <w:tcBorders>
              <w:top w:val="nil"/>
              <w:left w:val="nil"/>
              <w:bottom w:val="single" w:sz="4" w:space="0" w:color="auto"/>
              <w:right w:val="nil"/>
            </w:tcBorders>
          </w:tcPr>
          <w:p w:rsidR="00F11E4B" w:rsidRDefault="00F11E4B" w:rsidP="00F11E4B">
            <w:pPr>
              <w:rPr>
                <w:rFonts w:ascii="Calibri" w:hAnsi="Calibri"/>
                <w:b/>
                <w:sz w:val="20"/>
                <w:szCs w:val="20"/>
              </w:rPr>
            </w:pPr>
          </w:p>
        </w:tc>
        <w:tc>
          <w:tcPr>
            <w:tcW w:w="752" w:type="dxa"/>
            <w:tcBorders>
              <w:top w:val="nil"/>
              <w:left w:val="nil"/>
              <w:bottom w:val="single" w:sz="4" w:space="0" w:color="auto"/>
              <w:right w:val="nil"/>
            </w:tcBorders>
          </w:tcPr>
          <w:p w:rsidR="00F11E4B" w:rsidRDefault="00F11E4B" w:rsidP="00F11E4B">
            <w:pPr>
              <w:rPr>
                <w:rFonts w:ascii="Calibri" w:hAnsi="Calibri"/>
                <w:b/>
                <w:sz w:val="20"/>
                <w:szCs w:val="20"/>
              </w:rPr>
            </w:pPr>
          </w:p>
        </w:tc>
        <w:tc>
          <w:tcPr>
            <w:tcW w:w="168" w:type="dxa"/>
            <w:gridSpan w:val="3"/>
            <w:tcBorders>
              <w:top w:val="nil"/>
              <w:left w:val="nil"/>
              <w:bottom w:val="single" w:sz="4" w:space="0" w:color="auto"/>
              <w:right w:val="nil"/>
            </w:tcBorders>
          </w:tcPr>
          <w:p w:rsidR="00F11E4B" w:rsidRDefault="00F11E4B" w:rsidP="00F11E4B">
            <w:pPr>
              <w:rPr>
                <w:rFonts w:ascii="Calibri" w:hAnsi="Calibri"/>
                <w:b/>
                <w:color w:val="A6A6A6" w:themeColor="background1" w:themeShade="A6"/>
                <w:sz w:val="20"/>
                <w:szCs w:val="20"/>
              </w:rPr>
            </w:pPr>
          </w:p>
        </w:tc>
        <w:tc>
          <w:tcPr>
            <w:tcW w:w="460" w:type="dxa"/>
            <w:gridSpan w:val="2"/>
            <w:tcBorders>
              <w:top w:val="nil"/>
              <w:left w:val="nil"/>
              <w:bottom w:val="single" w:sz="4" w:space="0" w:color="auto"/>
              <w:right w:val="nil"/>
            </w:tcBorders>
          </w:tcPr>
          <w:p w:rsidR="00F11E4B" w:rsidRDefault="00F11E4B" w:rsidP="00F11E4B">
            <w:pPr>
              <w:rPr>
                <w:rFonts w:ascii="Calibri" w:hAnsi="Calibri"/>
                <w:b/>
                <w:color w:val="A6A6A6" w:themeColor="background1" w:themeShade="A6"/>
                <w:sz w:val="20"/>
                <w:szCs w:val="20"/>
              </w:rPr>
            </w:pPr>
          </w:p>
        </w:tc>
        <w:tc>
          <w:tcPr>
            <w:tcW w:w="460" w:type="dxa"/>
            <w:tcBorders>
              <w:top w:val="nil"/>
              <w:left w:val="nil"/>
              <w:bottom w:val="single" w:sz="4" w:space="0" w:color="auto"/>
              <w:right w:val="nil"/>
            </w:tcBorders>
          </w:tcPr>
          <w:p w:rsidR="00F11E4B" w:rsidRDefault="00F11E4B" w:rsidP="00F11E4B">
            <w:pPr>
              <w:rPr>
                <w:rFonts w:ascii="Calibri" w:hAnsi="Calibri"/>
                <w:b/>
                <w:color w:val="A6A6A6" w:themeColor="background1" w:themeShade="A6"/>
                <w:sz w:val="20"/>
                <w:szCs w:val="20"/>
              </w:rPr>
            </w:pPr>
          </w:p>
        </w:tc>
        <w:tc>
          <w:tcPr>
            <w:tcW w:w="460" w:type="dxa"/>
            <w:tcBorders>
              <w:top w:val="nil"/>
              <w:left w:val="nil"/>
              <w:bottom w:val="single" w:sz="4" w:space="0" w:color="auto"/>
              <w:right w:val="nil"/>
            </w:tcBorders>
          </w:tcPr>
          <w:p w:rsidR="00F11E4B" w:rsidRDefault="00F11E4B" w:rsidP="00F11E4B">
            <w:pPr>
              <w:rPr>
                <w:rFonts w:ascii="Calibri" w:hAnsi="Calibri"/>
                <w:b/>
                <w:color w:val="A6A6A6" w:themeColor="background1" w:themeShade="A6"/>
                <w:sz w:val="20"/>
                <w:szCs w:val="20"/>
              </w:rPr>
            </w:pPr>
          </w:p>
        </w:tc>
        <w:tc>
          <w:tcPr>
            <w:tcW w:w="460" w:type="dxa"/>
            <w:gridSpan w:val="3"/>
            <w:tcBorders>
              <w:top w:val="nil"/>
              <w:left w:val="nil"/>
              <w:bottom w:val="single" w:sz="4" w:space="0" w:color="auto"/>
              <w:right w:val="nil"/>
            </w:tcBorders>
          </w:tcPr>
          <w:p w:rsidR="00F11E4B" w:rsidRDefault="00F11E4B" w:rsidP="00F11E4B">
            <w:pPr>
              <w:rPr>
                <w:rFonts w:ascii="Calibri" w:hAnsi="Calibri"/>
                <w:b/>
                <w:color w:val="A6A6A6" w:themeColor="background1" w:themeShade="A6"/>
                <w:sz w:val="20"/>
                <w:szCs w:val="20"/>
              </w:rPr>
            </w:pPr>
          </w:p>
        </w:tc>
        <w:tc>
          <w:tcPr>
            <w:tcW w:w="460" w:type="dxa"/>
            <w:tcBorders>
              <w:top w:val="nil"/>
              <w:left w:val="nil"/>
              <w:bottom w:val="single" w:sz="4" w:space="0" w:color="auto"/>
              <w:right w:val="nil"/>
            </w:tcBorders>
          </w:tcPr>
          <w:p w:rsidR="00F11E4B" w:rsidRDefault="00F11E4B" w:rsidP="00F11E4B">
            <w:pPr>
              <w:rPr>
                <w:rFonts w:ascii="Calibri" w:hAnsi="Calibri"/>
                <w:b/>
                <w:color w:val="A6A6A6" w:themeColor="background1" w:themeShade="A6"/>
                <w:sz w:val="20"/>
                <w:szCs w:val="20"/>
              </w:rPr>
            </w:pPr>
          </w:p>
        </w:tc>
        <w:tc>
          <w:tcPr>
            <w:tcW w:w="460" w:type="dxa"/>
            <w:tcBorders>
              <w:top w:val="nil"/>
              <w:left w:val="nil"/>
              <w:bottom w:val="single" w:sz="4" w:space="0" w:color="auto"/>
              <w:right w:val="nil"/>
            </w:tcBorders>
          </w:tcPr>
          <w:p w:rsidR="00F11E4B" w:rsidRDefault="00F11E4B" w:rsidP="00F11E4B">
            <w:pPr>
              <w:rPr>
                <w:rFonts w:ascii="Calibri" w:hAnsi="Calibri"/>
                <w:b/>
                <w:color w:val="A6A6A6" w:themeColor="background1" w:themeShade="A6"/>
                <w:sz w:val="20"/>
                <w:szCs w:val="20"/>
              </w:rPr>
            </w:pPr>
          </w:p>
        </w:tc>
        <w:tc>
          <w:tcPr>
            <w:tcW w:w="899" w:type="dxa"/>
            <w:tcBorders>
              <w:top w:val="nil"/>
              <w:left w:val="nil"/>
              <w:bottom w:val="single" w:sz="4" w:space="0" w:color="auto"/>
              <w:right w:val="nil"/>
            </w:tcBorders>
          </w:tcPr>
          <w:p w:rsidR="00F11E4B" w:rsidRDefault="00F11E4B" w:rsidP="00F11E4B">
            <w:pPr>
              <w:rPr>
                <w:rFonts w:ascii="Calibri" w:hAnsi="Calibri"/>
                <w:b/>
                <w:color w:val="A6A6A6" w:themeColor="background1" w:themeShade="A6"/>
                <w:sz w:val="20"/>
                <w:szCs w:val="20"/>
              </w:rPr>
            </w:pPr>
          </w:p>
        </w:tc>
      </w:tr>
      <w:tr w:rsidR="00F11E4B" w:rsidTr="00D61B3C">
        <w:trPr>
          <w:divId w:val="2053571053"/>
        </w:trPr>
        <w:tc>
          <w:tcPr>
            <w:tcW w:w="3119" w:type="dxa"/>
            <w:gridSpan w:val="11"/>
            <w:tcBorders>
              <w:top w:val="single" w:sz="4" w:space="0" w:color="auto"/>
              <w:left w:val="single" w:sz="4" w:space="0" w:color="auto"/>
              <w:bottom w:val="single" w:sz="4" w:space="0" w:color="auto"/>
              <w:right w:val="single" w:sz="4" w:space="0" w:color="auto"/>
            </w:tcBorders>
            <w:shd w:val="clear" w:color="auto" w:fill="FFFF00"/>
            <w:vAlign w:val="center"/>
            <w:hideMark/>
          </w:tcPr>
          <w:p w:rsidR="00F11E4B" w:rsidRDefault="00F11E4B" w:rsidP="00F11E4B">
            <w:pPr>
              <w:jc w:val="center"/>
              <w:rPr>
                <w:rFonts w:ascii="Calibri" w:hAnsi="Calibri"/>
                <w:b/>
                <w:sz w:val="18"/>
                <w:szCs w:val="18"/>
              </w:rPr>
            </w:pPr>
            <w:r>
              <w:rPr>
                <w:rFonts w:ascii="Calibri" w:hAnsi="Calibri"/>
                <w:b/>
                <w:sz w:val="18"/>
                <w:szCs w:val="18"/>
              </w:rPr>
              <w:t>Rozpočet upravený v tis. Kč</w:t>
            </w:r>
          </w:p>
        </w:tc>
        <w:tc>
          <w:tcPr>
            <w:tcW w:w="2835" w:type="dxa"/>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F11E4B" w:rsidRDefault="00F11E4B" w:rsidP="00F11E4B">
            <w:pPr>
              <w:jc w:val="center"/>
              <w:rPr>
                <w:rFonts w:ascii="Calibri" w:hAnsi="Calibri"/>
                <w:b/>
                <w:sz w:val="18"/>
                <w:szCs w:val="18"/>
              </w:rPr>
            </w:pPr>
            <w:r>
              <w:rPr>
                <w:rFonts w:ascii="Calibri" w:hAnsi="Calibri"/>
                <w:b/>
                <w:sz w:val="18"/>
                <w:szCs w:val="18"/>
              </w:rPr>
              <w:t>Skutečnost v tis. Kč</w:t>
            </w:r>
          </w:p>
        </w:tc>
        <w:tc>
          <w:tcPr>
            <w:tcW w:w="1417" w:type="dxa"/>
            <w:gridSpan w:val="6"/>
            <w:tcBorders>
              <w:top w:val="single" w:sz="4" w:space="0" w:color="auto"/>
              <w:left w:val="single" w:sz="4" w:space="0" w:color="auto"/>
              <w:bottom w:val="single" w:sz="4" w:space="0" w:color="auto"/>
              <w:right w:val="single" w:sz="4" w:space="0" w:color="auto"/>
            </w:tcBorders>
            <w:shd w:val="clear" w:color="auto" w:fill="FFFF00"/>
            <w:vAlign w:val="center"/>
            <w:hideMark/>
          </w:tcPr>
          <w:p w:rsidR="00F11E4B" w:rsidRDefault="00F11E4B" w:rsidP="00F11E4B">
            <w:pPr>
              <w:jc w:val="center"/>
              <w:rPr>
                <w:rFonts w:ascii="Calibri" w:hAnsi="Calibri"/>
                <w:b/>
                <w:sz w:val="18"/>
                <w:szCs w:val="18"/>
              </w:rPr>
            </w:pPr>
            <w:r>
              <w:rPr>
                <w:rFonts w:ascii="Calibri" w:hAnsi="Calibri"/>
                <w:b/>
                <w:sz w:val="18"/>
                <w:szCs w:val="18"/>
              </w:rPr>
              <w:t>SK/RU v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F11E4B" w:rsidRDefault="00F11E4B" w:rsidP="00F11E4B">
            <w:pPr>
              <w:jc w:val="center"/>
              <w:rPr>
                <w:rFonts w:ascii="Calibri" w:hAnsi="Calibri"/>
                <w:b/>
                <w:sz w:val="18"/>
                <w:szCs w:val="18"/>
              </w:rPr>
            </w:pPr>
            <w:r>
              <w:rPr>
                <w:rFonts w:ascii="Calibri" w:hAnsi="Calibri"/>
                <w:b/>
                <w:sz w:val="18"/>
                <w:szCs w:val="18"/>
              </w:rPr>
              <w:t>Komentář</w:t>
            </w:r>
          </w:p>
        </w:tc>
      </w:tr>
      <w:tr w:rsidR="00F11E4B" w:rsidTr="00D61B3C">
        <w:trPr>
          <w:divId w:val="2053571053"/>
        </w:trPr>
        <w:tc>
          <w:tcPr>
            <w:tcW w:w="3119" w:type="dxa"/>
            <w:gridSpan w:val="11"/>
            <w:tcBorders>
              <w:top w:val="single" w:sz="4" w:space="0" w:color="auto"/>
              <w:left w:val="single" w:sz="4" w:space="0" w:color="auto"/>
              <w:bottom w:val="single" w:sz="4" w:space="0" w:color="auto"/>
              <w:right w:val="single" w:sz="4" w:space="0" w:color="auto"/>
            </w:tcBorders>
            <w:hideMark/>
          </w:tcPr>
          <w:p w:rsidR="00F11E4B" w:rsidRDefault="00F11E4B" w:rsidP="00F11E4B">
            <w:pPr>
              <w:jc w:val="right"/>
              <w:rPr>
                <w:rFonts w:ascii="Calibri" w:hAnsi="Calibri"/>
                <w:b/>
                <w:sz w:val="18"/>
                <w:szCs w:val="18"/>
              </w:rPr>
            </w:pPr>
            <w:r>
              <w:rPr>
                <w:rFonts w:ascii="Calibri" w:hAnsi="Calibri"/>
                <w:b/>
                <w:sz w:val="18"/>
                <w:szCs w:val="18"/>
              </w:rPr>
              <w:t>50 581,07</w:t>
            </w:r>
          </w:p>
        </w:tc>
        <w:tc>
          <w:tcPr>
            <w:tcW w:w="2835" w:type="dxa"/>
            <w:gridSpan w:val="10"/>
            <w:tcBorders>
              <w:top w:val="single" w:sz="4" w:space="0" w:color="auto"/>
              <w:left w:val="single" w:sz="4" w:space="0" w:color="auto"/>
              <w:bottom w:val="single" w:sz="4" w:space="0" w:color="auto"/>
              <w:right w:val="single" w:sz="4" w:space="0" w:color="auto"/>
            </w:tcBorders>
            <w:hideMark/>
          </w:tcPr>
          <w:p w:rsidR="00F11E4B" w:rsidRDefault="00F11E4B" w:rsidP="00F11E4B">
            <w:pPr>
              <w:jc w:val="right"/>
              <w:rPr>
                <w:rFonts w:ascii="Calibri" w:hAnsi="Calibri"/>
                <w:b/>
                <w:sz w:val="18"/>
                <w:szCs w:val="18"/>
              </w:rPr>
            </w:pPr>
            <w:r>
              <w:rPr>
                <w:rFonts w:ascii="Calibri" w:hAnsi="Calibri"/>
                <w:b/>
                <w:sz w:val="18"/>
                <w:szCs w:val="18"/>
              </w:rPr>
              <w:t xml:space="preserve"> 1 599 346,24</w:t>
            </w:r>
          </w:p>
        </w:tc>
        <w:tc>
          <w:tcPr>
            <w:tcW w:w="1417" w:type="dxa"/>
            <w:gridSpan w:val="6"/>
            <w:tcBorders>
              <w:top w:val="single" w:sz="4" w:space="0" w:color="auto"/>
              <w:left w:val="single" w:sz="4" w:space="0" w:color="auto"/>
              <w:bottom w:val="single" w:sz="4" w:space="0" w:color="auto"/>
              <w:right w:val="single" w:sz="4" w:space="0" w:color="auto"/>
            </w:tcBorders>
            <w:hideMark/>
          </w:tcPr>
          <w:p w:rsidR="00F11E4B" w:rsidRDefault="00542BF2" w:rsidP="00542BF2">
            <w:pPr>
              <w:jc w:val="center"/>
              <w:rPr>
                <w:rFonts w:ascii="Calibri" w:hAnsi="Calibri"/>
                <w:b/>
                <w:sz w:val="18"/>
                <w:szCs w:val="18"/>
              </w:rPr>
            </w:pPr>
            <w:r>
              <w:rPr>
                <w:rFonts w:ascii="Calibri" w:hAnsi="Calibri"/>
                <w:b/>
                <w:sz w:val="18"/>
                <w:szCs w:val="18"/>
              </w:rPr>
              <w:t>*****</w:t>
            </w:r>
          </w:p>
        </w:tc>
        <w:tc>
          <w:tcPr>
            <w:tcW w:w="2268" w:type="dxa"/>
            <w:gridSpan w:val="5"/>
            <w:tcBorders>
              <w:top w:val="single" w:sz="4" w:space="0" w:color="auto"/>
              <w:left w:val="single" w:sz="4" w:space="0" w:color="auto"/>
              <w:bottom w:val="single" w:sz="4" w:space="0" w:color="auto"/>
              <w:right w:val="single" w:sz="4" w:space="0" w:color="auto"/>
            </w:tcBorders>
            <w:hideMark/>
          </w:tcPr>
          <w:p w:rsidR="00F11E4B" w:rsidRDefault="00F11E4B" w:rsidP="00F11E4B">
            <w:pPr>
              <w:rPr>
                <w:rFonts w:ascii="Calibri" w:hAnsi="Calibri"/>
                <w:b/>
                <w:sz w:val="18"/>
                <w:szCs w:val="18"/>
              </w:rPr>
            </w:pPr>
            <w:r>
              <w:rPr>
                <w:rFonts w:ascii="Calibri" w:hAnsi="Calibri"/>
                <w:b/>
                <w:sz w:val="18"/>
                <w:szCs w:val="18"/>
              </w:rPr>
              <w:t>Výdaje před konsolidací</w:t>
            </w:r>
          </w:p>
        </w:tc>
      </w:tr>
      <w:tr w:rsidR="00F11E4B" w:rsidTr="00D61B3C">
        <w:trPr>
          <w:divId w:val="2053571053"/>
        </w:trPr>
        <w:tc>
          <w:tcPr>
            <w:tcW w:w="3119" w:type="dxa"/>
            <w:gridSpan w:val="11"/>
            <w:tcBorders>
              <w:top w:val="single" w:sz="4" w:space="0" w:color="auto"/>
              <w:left w:val="single" w:sz="4" w:space="0" w:color="auto"/>
              <w:bottom w:val="single" w:sz="4" w:space="0" w:color="auto"/>
              <w:right w:val="single" w:sz="4" w:space="0" w:color="auto"/>
            </w:tcBorders>
            <w:hideMark/>
          </w:tcPr>
          <w:p w:rsidR="00F11E4B" w:rsidRDefault="00F11E4B" w:rsidP="00F11E4B">
            <w:pPr>
              <w:jc w:val="right"/>
              <w:rPr>
                <w:rFonts w:ascii="Calibri" w:hAnsi="Calibri"/>
                <w:b/>
                <w:sz w:val="18"/>
                <w:szCs w:val="18"/>
              </w:rPr>
            </w:pPr>
            <w:r>
              <w:rPr>
                <w:rFonts w:ascii="Calibri" w:hAnsi="Calibri"/>
                <w:b/>
                <w:sz w:val="18"/>
                <w:szCs w:val="18"/>
              </w:rPr>
              <w:t>50 581,07</w:t>
            </w:r>
          </w:p>
        </w:tc>
        <w:tc>
          <w:tcPr>
            <w:tcW w:w="2835" w:type="dxa"/>
            <w:gridSpan w:val="10"/>
            <w:tcBorders>
              <w:top w:val="single" w:sz="4" w:space="0" w:color="auto"/>
              <w:left w:val="single" w:sz="4" w:space="0" w:color="auto"/>
              <w:bottom w:val="single" w:sz="4" w:space="0" w:color="auto"/>
              <w:right w:val="single" w:sz="4" w:space="0" w:color="auto"/>
            </w:tcBorders>
            <w:hideMark/>
          </w:tcPr>
          <w:p w:rsidR="00F11E4B" w:rsidRDefault="00F11E4B" w:rsidP="00F11E4B">
            <w:pPr>
              <w:jc w:val="right"/>
              <w:rPr>
                <w:rFonts w:ascii="Calibri" w:hAnsi="Calibri"/>
                <w:b/>
                <w:sz w:val="18"/>
                <w:szCs w:val="18"/>
              </w:rPr>
            </w:pPr>
            <w:r>
              <w:rPr>
                <w:rFonts w:ascii="Calibri" w:hAnsi="Calibri"/>
                <w:b/>
                <w:sz w:val="18"/>
                <w:szCs w:val="18"/>
              </w:rPr>
              <w:t>35 461,05</w:t>
            </w:r>
          </w:p>
        </w:tc>
        <w:tc>
          <w:tcPr>
            <w:tcW w:w="1417" w:type="dxa"/>
            <w:gridSpan w:val="6"/>
            <w:tcBorders>
              <w:top w:val="single" w:sz="4" w:space="0" w:color="auto"/>
              <w:left w:val="single" w:sz="4" w:space="0" w:color="auto"/>
              <w:bottom w:val="single" w:sz="4" w:space="0" w:color="auto"/>
              <w:right w:val="single" w:sz="4" w:space="0" w:color="auto"/>
            </w:tcBorders>
            <w:hideMark/>
          </w:tcPr>
          <w:p w:rsidR="00F11E4B" w:rsidRDefault="00542BF2" w:rsidP="00542BF2">
            <w:pPr>
              <w:jc w:val="center"/>
              <w:rPr>
                <w:rFonts w:ascii="Calibri" w:hAnsi="Calibri"/>
                <w:b/>
                <w:sz w:val="18"/>
                <w:szCs w:val="18"/>
              </w:rPr>
            </w:pPr>
            <w:r>
              <w:rPr>
                <w:rFonts w:ascii="Calibri" w:hAnsi="Calibri"/>
                <w:b/>
                <w:sz w:val="18"/>
                <w:szCs w:val="18"/>
              </w:rPr>
              <w:t>70,11</w:t>
            </w:r>
          </w:p>
        </w:tc>
        <w:tc>
          <w:tcPr>
            <w:tcW w:w="2268" w:type="dxa"/>
            <w:gridSpan w:val="5"/>
            <w:tcBorders>
              <w:top w:val="single" w:sz="4" w:space="0" w:color="auto"/>
              <w:left w:val="single" w:sz="4" w:space="0" w:color="auto"/>
              <w:bottom w:val="single" w:sz="4" w:space="0" w:color="auto"/>
              <w:right w:val="single" w:sz="4" w:space="0" w:color="auto"/>
            </w:tcBorders>
            <w:hideMark/>
          </w:tcPr>
          <w:p w:rsidR="00F11E4B" w:rsidRDefault="00F11E4B" w:rsidP="00F11E4B">
            <w:pPr>
              <w:rPr>
                <w:rFonts w:ascii="Calibri" w:hAnsi="Calibri"/>
                <w:b/>
                <w:sz w:val="18"/>
                <w:szCs w:val="18"/>
              </w:rPr>
            </w:pPr>
            <w:r>
              <w:rPr>
                <w:rFonts w:ascii="Calibri" w:hAnsi="Calibri"/>
                <w:b/>
                <w:sz w:val="18"/>
                <w:szCs w:val="18"/>
              </w:rPr>
              <w:t>Výdaje po konsolidaci</w:t>
            </w:r>
          </w:p>
        </w:tc>
      </w:tr>
      <w:tr w:rsidR="00F11E4B" w:rsidTr="00D61B3C">
        <w:trPr>
          <w:divId w:val="2053571053"/>
        </w:trPr>
        <w:tc>
          <w:tcPr>
            <w:tcW w:w="460" w:type="dxa"/>
            <w:tcBorders>
              <w:top w:val="single" w:sz="4" w:space="0" w:color="auto"/>
              <w:left w:val="nil"/>
              <w:bottom w:val="nil"/>
              <w:right w:val="nil"/>
            </w:tcBorders>
          </w:tcPr>
          <w:p w:rsidR="00F11E4B" w:rsidRDefault="00F11E4B" w:rsidP="00F11E4B">
            <w:pPr>
              <w:rPr>
                <w:rFonts w:ascii="Calibri" w:hAnsi="Calibri"/>
                <w:b/>
                <w:sz w:val="20"/>
                <w:szCs w:val="20"/>
              </w:rPr>
            </w:pPr>
          </w:p>
        </w:tc>
        <w:tc>
          <w:tcPr>
            <w:tcW w:w="460" w:type="dxa"/>
            <w:gridSpan w:val="2"/>
            <w:tcBorders>
              <w:top w:val="single" w:sz="4" w:space="0" w:color="auto"/>
              <w:left w:val="nil"/>
              <w:bottom w:val="nil"/>
              <w:right w:val="nil"/>
            </w:tcBorders>
          </w:tcPr>
          <w:p w:rsidR="00F11E4B" w:rsidRDefault="00F11E4B" w:rsidP="00F11E4B">
            <w:pPr>
              <w:rPr>
                <w:rFonts w:ascii="Calibri" w:hAnsi="Calibri"/>
                <w:b/>
                <w:sz w:val="20"/>
                <w:szCs w:val="20"/>
              </w:rPr>
            </w:pPr>
          </w:p>
        </w:tc>
        <w:tc>
          <w:tcPr>
            <w:tcW w:w="460" w:type="dxa"/>
            <w:tcBorders>
              <w:top w:val="single" w:sz="4" w:space="0" w:color="auto"/>
              <w:left w:val="nil"/>
              <w:bottom w:val="nil"/>
              <w:right w:val="nil"/>
            </w:tcBorders>
          </w:tcPr>
          <w:p w:rsidR="00F11E4B" w:rsidRDefault="00F11E4B" w:rsidP="00F11E4B">
            <w:pPr>
              <w:rPr>
                <w:rFonts w:ascii="Calibri" w:hAnsi="Calibri"/>
                <w:b/>
                <w:sz w:val="20"/>
                <w:szCs w:val="20"/>
              </w:rPr>
            </w:pPr>
          </w:p>
        </w:tc>
        <w:tc>
          <w:tcPr>
            <w:tcW w:w="391" w:type="dxa"/>
            <w:gridSpan w:val="2"/>
            <w:tcBorders>
              <w:top w:val="single" w:sz="4" w:space="0" w:color="auto"/>
              <w:left w:val="nil"/>
              <w:bottom w:val="nil"/>
              <w:right w:val="nil"/>
            </w:tcBorders>
          </w:tcPr>
          <w:p w:rsidR="00F11E4B" w:rsidRDefault="00F11E4B" w:rsidP="00F11E4B">
            <w:pPr>
              <w:rPr>
                <w:rFonts w:ascii="Calibri" w:hAnsi="Calibri"/>
                <w:b/>
                <w:sz w:val="20"/>
                <w:szCs w:val="20"/>
              </w:rPr>
            </w:pPr>
          </w:p>
        </w:tc>
        <w:tc>
          <w:tcPr>
            <w:tcW w:w="529" w:type="dxa"/>
            <w:gridSpan w:val="2"/>
            <w:tcBorders>
              <w:top w:val="single" w:sz="4" w:space="0" w:color="auto"/>
              <w:left w:val="nil"/>
              <w:bottom w:val="nil"/>
              <w:right w:val="nil"/>
            </w:tcBorders>
          </w:tcPr>
          <w:p w:rsidR="00F11E4B" w:rsidRDefault="00F11E4B" w:rsidP="00F11E4B">
            <w:pPr>
              <w:rPr>
                <w:rFonts w:ascii="Calibri" w:hAnsi="Calibri"/>
                <w:b/>
                <w:sz w:val="20"/>
                <w:szCs w:val="20"/>
              </w:rPr>
            </w:pPr>
          </w:p>
        </w:tc>
        <w:tc>
          <w:tcPr>
            <w:tcW w:w="460" w:type="dxa"/>
            <w:tcBorders>
              <w:top w:val="single" w:sz="4" w:space="0" w:color="auto"/>
              <w:left w:val="nil"/>
              <w:bottom w:val="nil"/>
              <w:right w:val="nil"/>
            </w:tcBorders>
          </w:tcPr>
          <w:p w:rsidR="00F11E4B" w:rsidRDefault="00F11E4B" w:rsidP="00F11E4B">
            <w:pPr>
              <w:rPr>
                <w:rFonts w:ascii="Calibri" w:hAnsi="Calibri"/>
                <w:b/>
                <w:sz w:val="20"/>
                <w:szCs w:val="20"/>
              </w:rPr>
            </w:pPr>
          </w:p>
        </w:tc>
        <w:tc>
          <w:tcPr>
            <w:tcW w:w="460" w:type="dxa"/>
            <w:gridSpan w:val="3"/>
            <w:tcBorders>
              <w:top w:val="single" w:sz="4" w:space="0" w:color="auto"/>
              <w:left w:val="nil"/>
              <w:bottom w:val="nil"/>
              <w:right w:val="nil"/>
            </w:tcBorders>
          </w:tcPr>
          <w:p w:rsidR="00F11E4B" w:rsidRDefault="00F11E4B" w:rsidP="00F11E4B">
            <w:pPr>
              <w:rPr>
                <w:rFonts w:ascii="Calibri" w:hAnsi="Calibri"/>
                <w:b/>
                <w:sz w:val="20"/>
                <w:szCs w:val="20"/>
              </w:rPr>
            </w:pPr>
          </w:p>
        </w:tc>
        <w:tc>
          <w:tcPr>
            <w:tcW w:w="678" w:type="dxa"/>
            <w:gridSpan w:val="2"/>
            <w:tcBorders>
              <w:top w:val="single" w:sz="4" w:space="0" w:color="auto"/>
              <w:left w:val="nil"/>
              <w:bottom w:val="nil"/>
              <w:right w:val="nil"/>
            </w:tcBorders>
          </w:tcPr>
          <w:p w:rsidR="00F11E4B" w:rsidRDefault="00F11E4B" w:rsidP="00F11E4B">
            <w:pPr>
              <w:rPr>
                <w:rFonts w:ascii="Calibri" w:hAnsi="Calibri"/>
                <w:b/>
                <w:sz w:val="20"/>
                <w:szCs w:val="20"/>
              </w:rPr>
            </w:pPr>
          </w:p>
        </w:tc>
        <w:tc>
          <w:tcPr>
            <w:tcW w:w="242" w:type="dxa"/>
            <w:tcBorders>
              <w:top w:val="single" w:sz="4" w:space="0" w:color="auto"/>
              <w:left w:val="nil"/>
              <w:bottom w:val="nil"/>
              <w:right w:val="nil"/>
            </w:tcBorders>
          </w:tcPr>
          <w:p w:rsidR="00F11E4B" w:rsidRDefault="00F11E4B" w:rsidP="00F11E4B">
            <w:pPr>
              <w:rPr>
                <w:rFonts w:ascii="Calibri" w:hAnsi="Calibri"/>
                <w:b/>
                <w:sz w:val="20"/>
                <w:szCs w:val="20"/>
              </w:rPr>
            </w:pPr>
          </w:p>
        </w:tc>
        <w:tc>
          <w:tcPr>
            <w:tcW w:w="460" w:type="dxa"/>
            <w:tcBorders>
              <w:top w:val="single" w:sz="4" w:space="0" w:color="auto"/>
              <w:left w:val="nil"/>
              <w:bottom w:val="nil"/>
              <w:right w:val="nil"/>
            </w:tcBorders>
          </w:tcPr>
          <w:p w:rsidR="00F11E4B" w:rsidRDefault="00F11E4B" w:rsidP="00F11E4B">
            <w:pPr>
              <w:rPr>
                <w:rFonts w:ascii="Calibri" w:hAnsi="Calibri"/>
                <w:b/>
                <w:sz w:val="20"/>
                <w:szCs w:val="20"/>
              </w:rPr>
            </w:pPr>
          </w:p>
        </w:tc>
        <w:tc>
          <w:tcPr>
            <w:tcW w:w="460" w:type="dxa"/>
            <w:gridSpan w:val="2"/>
            <w:tcBorders>
              <w:top w:val="single" w:sz="4" w:space="0" w:color="auto"/>
              <w:left w:val="nil"/>
              <w:bottom w:val="nil"/>
              <w:right w:val="nil"/>
            </w:tcBorders>
          </w:tcPr>
          <w:p w:rsidR="00F11E4B" w:rsidRDefault="00F11E4B" w:rsidP="00F11E4B">
            <w:pPr>
              <w:rPr>
                <w:rFonts w:ascii="Calibri" w:hAnsi="Calibri"/>
                <w:b/>
                <w:sz w:val="20"/>
                <w:szCs w:val="20"/>
              </w:rPr>
            </w:pPr>
          </w:p>
        </w:tc>
        <w:tc>
          <w:tcPr>
            <w:tcW w:w="752" w:type="dxa"/>
            <w:tcBorders>
              <w:top w:val="single" w:sz="4" w:space="0" w:color="auto"/>
              <w:left w:val="nil"/>
              <w:bottom w:val="nil"/>
              <w:right w:val="nil"/>
            </w:tcBorders>
          </w:tcPr>
          <w:p w:rsidR="00F11E4B" w:rsidRDefault="00F11E4B" w:rsidP="00F11E4B">
            <w:pPr>
              <w:rPr>
                <w:rFonts w:ascii="Calibri" w:hAnsi="Calibri"/>
                <w:b/>
                <w:sz w:val="20"/>
                <w:szCs w:val="20"/>
              </w:rPr>
            </w:pPr>
          </w:p>
        </w:tc>
        <w:tc>
          <w:tcPr>
            <w:tcW w:w="168" w:type="dxa"/>
            <w:gridSpan w:val="3"/>
            <w:tcBorders>
              <w:top w:val="single" w:sz="4" w:space="0" w:color="auto"/>
              <w:left w:val="nil"/>
              <w:bottom w:val="nil"/>
              <w:right w:val="nil"/>
            </w:tcBorders>
          </w:tcPr>
          <w:p w:rsidR="00F11E4B" w:rsidRDefault="00F11E4B" w:rsidP="00F11E4B">
            <w:pPr>
              <w:rPr>
                <w:rFonts w:ascii="Calibri" w:hAnsi="Calibri"/>
                <w:b/>
                <w:color w:val="A6A6A6" w:themeColor="background1" w:themeShade="A6"/>
                <w:sz w:val="20"/>
                <w:szCs w:val="20"/>
              </w:rPr>
            </w:pPr>
          </w:p>
        </w:tc>
        <w:tc>
          <w:tcPr>
            <w:tcW w:w="460" w:type="dxa"/>
            <w:gridSpan w:val="2"/>
            <w:tcBorders>
              <w:top w:val="single" w:sz="4" w:space="0" w:color="auto"/>
              <w:left w:val="nil"/>
              <w:bottom w:val="nil"/>
              <w:right w:val="nil"/>
            </w:tcBorders>
          </w:tcPr>
          <w:p w:rsidR="00F11E4B" w:rsidRDefault="00F11E4B" w:rsidP="00F11E4B">
            <w:pPr>
              <w:rPr>
                <w:rFonts w:ascii="Calibri" w:hAnsi="Calibri"/>
                <w:b/>
                <w:color w:val="A6A6A6" w:themeColor="background1" w:themeShade="A6"/>
                <w:sz w:val="20"/>
                <w:szCs w:val="20"/>
              </w:rPr>
            </w:pPr>
          </w:p>
        </w:tc>
        <w:tc>
          <w:tcPr>
            <w:tcW w:w="460" w:type="dxa"/>
            <w:tcBorders>
              <w:top w:val="single" w:sz="4" w:space="0" w:color="auto"/>
              <w:left w:val="nil"/>
              <w:bottom w:val="nil"/>
              <w:right w:val="nil"/>
            </w:tcBorders>
          </w:tcPr>
          <w:p w:rsidR="00F11E4B" w:rsidRDefault="00F11E4B" w:rsidP="00F11E4B">
            <w:pPr>
              <w:rPr>
                <w:rFonts w:ascii="Calibri" w:hAnsi="Calibri"/>
                <w:b/>
                <w:color w:val="A6A6A6" w:themeColor="background1" w:themeShade="A6"/>
                <w:sz w:val="20"/>
                <w:szCs w:val="20"/>
              </w:rPr>
            </w:pPr>
          </w:p>
        </w:tc>
        <w:tc>
          <w:tcPr>
            <w:tcW w:w="460" w:type="dxa"/>
            <w:tcBorders>
              <w:top w:val="single" w:sz="4" w:space="0" w:color="auto"/>
              <w:left w:val="nil"/>
              <w:bottom w:val="nil"/>
              <w:right w:val="nil"/>
            </w:tcBorders>
          </w:tcPr>
          <w:p w:rsidR="00F11E4B" w:rsidRDefault="00F11E4B" w:rsidP="00F11E4B">
            <w:pPr>
              <w:rPr>
                <w:rFonts w:ascii="Calibri" w:hAnsi="Calibri"/>
                <w:b/>
                <w:color w:val="A6A6A6" w:themeColor="background1" w:themeShade="A6"/>
                <w:sz w:val="20"/>
                <w:szCs w:val="20"/>
              </w:rPr>
            </w:pPr>
          </w:p>
        </w:tc>
        <w:tc>
          <w:tcPr>
            <w:tcW w:w="460" w:type="dxa"/>
            <w:gridSpan w:val="3"/>
            <w:tcBorders>
              <w:top w:val="single" w:sz="4" w:space="0" w:color="auto"/>
              <w:left w:val="nil"/>
              <w:bottom w:val="nil"/>
              <w:right w:val="nil"/>
            </w:tcBorders>
          </w:tcPr>
          <w:p w:rsidR="00F11E4B" w:rsidRDefault="00F11E4B" w:rsidP="00F11E4B">
            <w:pPr>
              <w:rPr>
                <w:rFonts w:ascii="Calibri" w:hAnsi="Calibri"/>
                <w:b/>
                <w:color w:val="A6A6A6" w:themeColor="background1" w:themeShade="A6"/>
                <w:sz w:val="20"/>
                <w:szCs w:val="20"/>
              </w:rPr>
            </w:pPr>
          </w:p>
        </w:tc>
        <w:tc>
          <w:tcPr>
            <w:tcW w:w="460" w:type="dxa"/>
            <w:tcBorders>
              <w:top w:val="single" w:sz="4" w:space="0" w:color="auto"/>
              <w:left w:val="nil"/>
              <w:bottom w:val="nil"/>
              <w:right w:val="nil"/>
            </w:tcBorders>
          </w:tcPr>
          <w:p w:rsidR="00F11E4B" w:rsidRDefault="00F11E4B" w:rsidP="00F11E4B">
            <w:pPr>
              <w:rPr>
                <w:rFonts w:ascii="Calibri" w:hAnsi="Calibri"/>
                <w:b/>
                <w:color w:val="A6A6A6" w:themeColor="background1" w:themeShade="A6"/>
                <w:sz w:val="20"/>
                <w:szCs w:val="20"/>
              </w:rPr>
            </w:pPr>
          </w:p>
        </w:tc>
        <w:tc>
          <w:tcPr>
            <w:tcW w:w="460" w:type="dxa"/>
            <w:tcBorders>
              <w:top w:val="single" w:sz="4" w:space="0" w:color="auto"/>
              <w:left w:val="nil"/>
              <w:bottom w:val="nil"/>
              <w:right w:val="nil"/>
            </w:tcBorders>
          </w:tcPr>
          <w:p w:rsidR="00F11E4B" w:rsidRDefault="00F11E4B" w:rsidP="00F11E4B">
            <w:pPr>
              <w:rPr>
                <w:rFonts w:ascii="Calibri" w:hAnsi="Calibri"/>
                <w:b/>
                <w:color w:val="A6A6A6" w:themeColor="background1" w:themeShade="A6"/>
                <w:sz w:val="20"/>
                <w:szCs w:val="20"/>
              </w:rPr>
            </w:pPr>
          </w:p>
        </w:tc>
        <w:tc>
          <w:tcPr>
            <w:tcW w:w="899" w:type="dxa"/>
            <w:tcBorders>
              <w:top w:val="single" w:sz="4" w:space="0" w:color="auto"/>
              <w:left w:val="nil"/>
              <w:bottom w:val="nil"/>
              <w:right w:val="nil"/>
            </w:tcBorders>
          </w:tcPr>
          <w:p w:rsidR="00F11E4B" w:rsidRDefault="00F11E4B" w:rsidP="00F11E4B">
            <w:pPr>
              <w:rPr>
                <w:rFonts w:ascii="Calibri" w:hAnsi="Calibri"/>
                <w:b/>
                <w:color w:val="A6A6A6" w:themeColor="background1" w:themeShade="A6"/>
                <w:sz w:val="20"/>
                <w:szCs w:val="20"/>
              </w:rPr>
            </w:pPr>
          </w:p>
        </w:tc>
      </w:tr>
      <w:tr w:rsidR="00F11E4B" w:rsidTr="00D61B3C">
        <w:trPr>
          <w:divId w:val="2053571053"/>
        </w:trPr>
        <w:tc>
          <w:tcPr>
            <w:tcW w:w="9639" w:type="dxa"/>
            <w:gridSpan w:val="32"/>
            <w:hideMark/>
          </w:tcPr>
          <w:p w:rsidR="00F11E4B" w:rsidRDefault="00F11E4B" w:rsidP="00F11E4B">
            <w:pPr>
              <w:rPr>
                <w:rFonts w:ascii="Calibri" w:hAnsi="Calibri"/>
                <w:b/>
                <w:sz w:val="20"/>
                <w:szCs w:val="20"/>
              </w:rPr>
            </w:pPr>
            <w:r>
              <w:rPr>
                <w:rFonts w:ascii="Calibri" w:hAnsi="Calibri"/>
                <w:b/>
                <w:sz w:val="20"/>
                <w:szCs w:val="20"/>
              </w:rPr>
              <w:t>Stručný komentář k celkovému vývoji čerpání výdajů kapitoly ve sledovaném období</w:t>
            </w:r>
          </w:p>
        </w:tc>
      </w:tr>
      <w:tr w:rsidR="00F11E4B" w:rsidTr="00D61B3C">
        <w:trPr>
          <w:divId w:val="2053571053"/>
        </w:trPr>
        <w:tc>
          <w:tcPr>
            <w:tcW w:w="9639" w:type="dxa"/>
            <w:gridSpan w:val="32"/>
            <w:tcBorders>
              <w:top w:val="single" w:sz="6" w:space="0" w:color="auto"/>
              <w:left w:val="single" w:sz="6" w:space="0" w:color="auto"/>
              <w:bottom w:val="single" w:sz="6" w:space="0" w:color="auto"/>
              <w:right w:val="single" w:sz="6" w:space="0" w:color="auto"/>
            </w:tcBorders>
            <w:hideMark/>
          </w:tcPr>
          <w:p w:rsidR="00F11E4B" w:rsidRPr="00D61B3C" w:rsidRDefault="00F11E4B" w:rsidP="00F11E4B">
            <w:pPr>
              <w:jc w:val="both"/>
              <w:rPr>
                <w:rFonts w:ascii="Calibri" w:hAnsi="Calibri"/>
                <w:sz w:val="18"/>
                <w:szCs w:val="18"/>
              </w:rPr>
            </w:pPr>
            <w:r w:rsidRPr="00D61B3C">
              <w:rPr>
                <w:rFonts w:ascii="Calibri" w:hAnsi="Calibri"/>
                <w:sz w:val="18"/>
                <w:szCs w:val="18"/>
              </w:rPr>
              <w:t>Celkové výdaje kapitoly po konsolidaci svým finančním objemem čerpání ovlivnila zejména položka 5362 – Platby daní a poplatků státnímu rozpočtu. Bližší komentář je uveden v následující tabulce.</w:t>
            </w:r>
          </w:p>
        </w:tc>
      </w:tr>
      <w:tr w:rsidR="00F11E4B" w:rsidTr="00D61B3C">
        <w:trPr>
          <w:divId w:val="2053571053"/>
        </w:trPr>
        <w:tc>
          <w:tcPr>
            <w:tcW w:w="460" w:type="dxa"/>
          </w:tcPr>
          <w:p w:rsidR="00F11E4B" w:rsidRDefault="00F11E4B" w:rsidP="00F11E4B">
            <w:pPr>
              <w:rPr>
                <w:rFonts w:ascii="Calibri" w:hAnsi="Calibri"/>
                <w:b/>
                <w:sz w:val="20"/>
                <w:szCs w:val="20"/>
              </w:rPr>
            </w:pPr>
          </w:p>
        </w:tc>
        <w:tc>
          <w:tcPr>
            <w:tcW w:w="460" w:type="dxa"/>
            <w:gridSpan w:val="2"/>
          </w:tcPr>
          <w:p w:rsidR="00F11E4B" w:rsidRDefault="00F11E4B" w:rsidP="00F11E4B">
            <w:pPr>
              <w:rPr>
                <w:rFonts w:ascii="Calibri" w:hAnsi="Calibri"/>
                <w:b/>
                <w:sz w:val="20"/>
                <w:szCs w:val="20"/>
              </w:rPr>
            </w:pPr>
          </w:p>
        </w:tc>
        <w:tc>
          <w:tcPr>
            <w:tcW w:w="460" w:type="dxa"/>
          </w:tcPr>
          <w:p w:rsidR="00F11E4B" w:rsidRDefault="00F11E4B" w:rsidP="00F11E4B">
            <w:pPr>
              <w:rPr>
                <w:rFonts w:ascii="Calibri" w:hAnsi="Calibri"/>
                <w:b/>
                <w:sz w:val="20"/>
                <w:szCs w:val="20"/>
              </w:rPr>
            </w:pPr>
          </w:p>
        </w:tc>
        <w:tc>
          <w:tcPr>
            <w:tcW w:w="460" w:type="dxa"/>
            <w:gridSpan w:val="3"/>
          </w:tcPr>
          <w:p w:rsidR="00F11E4B" w:rsidRDefault="00F11E4B" w:rsidP="00F11E4B">
            <w:pPr>
              <w:rPr>
                <w:rFonts w:ascii="Calibri" w:hAnsi="Calibri"/>
                <w:b/>
                <w:sz w:val="20"/>
                <w:szCs w:val="20"/>
              </w:rPr>
            </w:pPr>
          </w:p>
        </w:tc>
        <w:tc>
          <w:tcPr>
            <w:tcW w:w="460" w:type="dxa"/>
          </w:tcPr>
          <w:p w:rsidR="00F11E4B" w:rsidRDefault="00F11E4B" w:rsidP="00F11E4B">
            <w:pPr>
              <w:rPr>
                <w:rFonts w:ascii="Calibri" w:hAnsi="Calibri"/>
                <w:b/>
                <w:sz w:val="20"/>
                <w:szCs w:val="20"/>
              </w:rPr>
            </w:pPr>
          </w:p>
        </w:tc>
        <w:tc>
          <w:tcPr>
            <w:tcW w:w="460" w:type="dxa"/>
          </w:tcPr>
          <w:p w:rsidR="00F11E4B" w:rsidRDefault="00F11E4B" w:rsidP="00F11E4B">
            <w:pPr>
              <w:rPr>
                <w:rFonts w:ascii="Calibri" w:hAnsi="Calibri"/>
                <w:b/>
                <w:sz w:val="20"/>
                <w:szCs w:val="20"/>
              </w:rPr>
            </w:pPr>
          </w:p>
        </w:tc>
        <w:tc>
          <w:tcPr>
            <w:tcW w:w="460" w:type="dxa"/>
            <w:gridSpan w:val="3"/>
          </w:tcPr>
          <w:p w:rsidR="00F11E4B" w:rsidRDefault="00F11E4B" w:rsidP="00F11E4B">
            <w:pPr>
              <w:rPr>
                <w:rFonts w:ascii="Calibri" w:hAnsi="Calibri"/>
                <w:b/>
                <w:sz w:val="20"/>
                <w:szCs w:val="20"/>
              </w:rPr>
            </w:pPr>
          </w:p>
        </w:tc>
        <w:tc>
          <w:tcPr>
            <w:tcW w:w="678" w:type="dxa"/>
            <w:gridSpan w:val="2"/>
          </w:tcPr>
          <w:p w:rsidR="00F11E4B" w:rsidRDefault="00F11E4B" w:rsidP="00F11E4B">
            <w:pPr>
              <w:rPr>
                <w:rFonts w:ascii="Calibri" w:hAnsi="Calibri"/>
                <w:b/>
                <w:sz w:val="20"/>
                <w:szCs w:val="20"/>
              </w:rPr>
            </w:pPr>
          </w:p>
        </w:tc>
        <w:tc>
          <w:tcPr>
            <w:tcW w:w="242" w:type="dxa"/>
          </w:tcPr>
          <w:p w:rsidR="00F11E4B" w:rsidRDefault="00F11E4B" w:rsidP="00F11E4B">
            <w:pPr>
              <w:rPr>
                <w:rFonts w:ascii="Calibri" w:hAnsi="Calibri"/>
                <w:b/>
                <w:sz w:val="20"/>
                <w:szCs w:val="20"/>
              </w:rPr>
            </w:pPr>
          </w:p>
        </w:tc>
        <w:tc>
          <w:tcPr>
            <w:tcW w:w="460" w:type="dxa"/>
          </w:tcPr>
          <w:p w:rsidR="00F11E4B" w:rsidRDefault="00F11E4B" w:rsidP="00F11E4B">
            <w:pPr>
              <w:rPr>
                <w:rFonts w:ascii="Calibri" w:hAnsi="Calibri"/>
                <w:b/>
                <w:sz w:val="20"/>
                <w:szCs w:val="20"/>
              </w:rPr>
            </w:pPr>
          </w:p>
        </w:tc>
        <w:tc>
          <w:tcPr>
            <w:tcW w:w="460" w:type="dxa"/>
            <w:gridSpan w:val="2"/>
          </w:tcPr>
          <w:p w:rsidR="00F11E4B" w:rsidRDefault="00F11E4B" w:rsidP="00F11E4B">
            <w:pPr>
              <w:rPr>
                <w:rFonts w:ascii="Calibri" w:hAnsi="Calibri"/>
                <w:b/>
                <w:sz w:val="20"/>
                <w:szCs w:val="20"/>
              </w:rPr>
            </w:pPr>
          </w:p>
        </w:tc>
        <w:tc>
          <w:tcPr>
            <w:tcW w:w="752" w:type="dxa"/>
          </w:tcPr>
          <w:p w:rsidR="00F11E4B" w:rsidRDefault="00F11E4B" w:rsidP="00F11E4B">
            <w:pPr>
              <w:rPr>
                <w:rFonts w:ascii="Calibri" w:hAnsi="Calibri"/>
                <w:b/>
                <w:sz w:val="20"/>
                <w:szCs w:val="20"/>
              </w:rPr>
            </w:pPr>
          </w:p>
        </w:tc>
        <w:tc>
          <w:tcPr>
            <w:tcW w:w="168" w:type="dxa"/>
            <w:gridSpan w:val="3"/>
          </w:tcPr>
          <w:p w:rsidR="00F11E4B" w:rsidRDefault="00F11E4B" w:rsidP="00F11E4B">
            <w:pPr>
              <w:rPr>
                <w:rFonts w:ascii="Calibri" w:hAnsi="Calibri"/>
                <w:b/>
                <w:color w:val="A6A6A6" w:themeColor="background1" w:themeShade="A6"/>
                <w:sz w:val="20"/>
                <w:szCs w:val="20"/>
              </w:rPr>
            </w:pPr>
          </w:p>
        </w:tc>
        <w:tc>
          <w:tcPr>
            <w:tcW w:w="460" w:type="dxa"/>
            <w:gridSpan w:val="2"/>
          </w:tcPr>
          <w:p w:rsidR="00F11E4B" w:rsidRDefault="00F11E4B" w:rsidP="00F11E4B">
            <w:pPr>
              <w:rPr>
                <w:rFonts w:ascii="Calibri" w:hAnsi="Calibri"/>
                <w:b/>
                <w:color w:val="A6A6A6" w:themeColor="background1" w:themeShade="A6"/>
                <w:sz w:val="20"/>
                <w:szCs w:val="20"/>
              </w:rPr>
            </w:pPr>
          </w:p>
        </w:tc>
        <w:tc>
          <w:tcPr>
            <w:tcW w:w="460" w:type="dxa"/>
          </w:tcPr>
          <w:p w:rsidR="00F11E4B" w:rsidRDefault="00F11E4B" w:rsidP="00F11E4B">
            <w:pPr>
              <w:rPr>
                <w:rFonts w:ascii="Calibri" w:hAnsi="Calibri"/>
                <w:b/>
                <w:color w:val="A6A6A6" w:themeColor="background1" w:themeShade="A6"/>
                <w:sz w:val="20"/>
                <w:szCs w:val="20"/>
              </w:rPr>
            </w:pPr>
          </w:p>
        </w:tc>
        <w:tc>
          <w:tcPr>
            <w:tcW w:w="460" w:type="dxa"/>
          </w:tcPr>
          <w:p w:rsidR="00F11E4B" w:rsidRDefault="00F11E4B" w:rsidP="00F11E4B">
            <w:pPr>
              <w:rPr>
                <w:rFonts w:ascii="Calibri" w:hAnsi="Calibri"/>
                <w:b/>
                <w:color w:val="A6A6A6" w:themeColor="background1" w:themeShade="A6"/>
                <w:sz w:val="20"/>
                <w:szCs w:val="20"/>
              </w:rPr>
            </w:pPr>
          </w:p>
        </w:tc>
        <w:tc>
          <w:tcPr>
            <w:tcW w:w="460" w:type="dxa"/>
            <w:gridSpan w:val="3"/>
          </w:tcPr>
          <w:p w:rsidR="00F11E4B" w:rsidRDefault="00F11E4B" w:rsidP="00F11E4B">
            <w:pPr>
              <w:rPr>
                <w:rFonts w:ascii="Calibri" w:hAnsi="Calibri"/>
                <w:b/>
                <w:color w:val="A6A6A6" w:themeColor="background1" w:themeShade="A6"/>
                <w:sz w:val="20"/>
                <w:szCs w:val="20"/>
              </w:rPr>
            </w:pPr>
          </w:p>
        </w:tc>
        <w:tc>
          <w:tcPr>
            <w:tcW w:w="460" w:type="dxa"/>
          </w:tcPr>
          <w:p w:rsidR="00F11E4B" w:rsidRDefault="00F11E4B" w:rsidP="00F11E4B">
            <w:pPr>
              <w:rPr>
                <w:rFonts w:ascii="Calibri" w:hAnsi="Calibri"/>
                <w:b/>
                <w:color w:val="A6A6A6" w:themeColor="background1" w:themeShade="A6"/>
                <w:sz w:val="20"/>
                <w:szCs w:val="20"/>
              </w:rPr>
            </w:pPr>
          </w:p>
        </w:tc>
        <w:tc>
          <w:tcPr>
            <w:tcW w:w="460" w:type="dxa"/>
          </w:tcPr>
          <w:p w:rsidR="00F11E4B" w:rsidRDefault="00F11E4B" w:rsidP="00F11E4B">
            <w:pPr>
              <w:rPr>
                <w:rFonts w:ascii="Calibri" w:hAnsi="Calibri"/>
                <w:b/>
                <w:color w:val="A6A6A6" w:themeColor="background1" w:themeShade="A6"/>
                <w:sz w:val="20"/>
                <w:szCs w:val="20"/>
              </w:rPr>
            </w:pPr>
          </w:p>
        </w:tc>
        <w:tc>
          <w:tcPr>
            <w:tcW w:w="899" w:type="dxa"/>
          </w:tcPr>
          <w:p w:rsidR="00F11E4B" w:rsidRDefault="00F11E4B" w:rsidP="00F11E4B">
            <w:pPr>
              <w:rPr>
                <w:rFonts w:ascii="Calibri" w:hAnsi="Calibri"/>
                <w:b/>
                <w:color w:val="A6A6A6" w:themeColor="background1" w:themeShade="A6"/>
                <w:sz w:val="20"/>
                <w:szCs w:val="20"/>
              </w:rPr>
            </w:pPr>
          </w:p>
        </w:tc>
      </w:tr>
      <w:tr w:rsidR="00F11E4B" w:rsidTr="00D61B3C">
        <w:trPr>
          <w:divId w:val="2053571053"/>
        </w:trPr>
        <w:tc>
          <w:tcPr>
            <w:tcW w:w="9639" w:type="dxa"/>
            <w:gridSpan w:val="32"/>
            <w:hideMark/>
          </w:tcPr>
          <w:p w:rsidR="00F11E4B" w:rsidRPr="00542BF2" w:rsidRDefault="00F11E4B" w:rsidP="00F11E4B">
            <w:pPr>
              <w:rPr>
                <w:rFonts w:ascii="Calibri" w:hAnsi="Calibri"/>
                <w:b/>
                <w:sz w:val="18"/>
                <w:szCs w:val="18"/>
              </w:rPr>
            </w:pPr>
            <w:r w:rsidRPr="00542BF2">
              <w:rPr>
                <w:rFonts w:ascii="Calibri" w:hAnsi="Calibri"/>
                <w:b/>
                <w:sz w:val="18"/>
                <w:szCs w:val="18"/>
              </w:rPr>
              <w:t>Komentář k položkám (akcím), které vykázaly abnormalitu v řádném čerpání výdajů rozpočtu kapitoly ve sledovaném období</w:t>
            </w:r>
          </w:p>
        </w:tc>
      </w:tr>
      <w:tr w:rsidR="00F11E4B" w:rsidTr="00D61B3C">
        <w:trPr>
          <w:divId w:val="2053571053"/>
        </w:trPr>
        <w:tc>
          <w:tcPr>
            <w:tcW w:w="779"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F11E4B" w:rsidRDefault="00F11E4B" w:rsidP="00F11E4B">
            <w:pPr>
              <w:jc w:val="center"/>
              <w:rPr>
                <w:rFonts w:ascii="Calibri" w:hAnsi="Calibri" w:cs="Calibri"/>
                <w:b/>
                <w:sz w:val="18"/>
                <w:szCs w:val="18"/>
              </w:rPr>
            </w:pPr>
            <w:r>
              <w:rPr>
                <w:rFonts w:ascii="Calibri" w:hAnsi="Calibri" w:cs="Calibri"/>
                <w:b/>
                <w:sz w:val="18"/>
                <w:szCs w:val="18"/>
              </w:rPr>
              <w:t>Oddíl, paragraf</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F11E4B" w:rsidRDefault="00F11E4B" w:rsidP="00F11E4B">
            <w:pPr>
              <w:jc w:val="center"/>
              <w:rPr>
                <w:rFonts w:ascii="Calibri" w:hAnsi="Calibri" w:cs="Calibri"/>
                <w:b/>
                <w:sz w:val="18"/>
                <w:szCs w:val="18"/>
              </w:rPr>
            </w:pPr>
            <w:r>
              <w:rPr>
                <w:rFonts w:ascii="Calibri" w:hAnsi="Calibri" w:cs="Calibri"/>
                <w:b/>
                <w:sz w:val="18"/>
                <w:szCs w:val="18"/>
              </w:rPr>
              <w:t>Položka</w:t>
            </w:r>
          </w:p>
        </w:tc>
        <w:tc>
          <w:tcPr>
            <w:tcW w:w="1417" w:type="dxa"/>
            <w:gridSpan w:val="5"/>
            <w:tcBorders>
              <w:top w:val="single" w:sz="4" w:space="0" w:color="auto"/>
              <w:left w:val="single" w:sz="4" w:space="0" w:color="auto"/>
              <w:bottom w:val="single" w:sz="4" w:space="0" w:color="auto"/>
              <w:right w:val="single" w:sz="4" w:space="0" w:color="auto"/>
            </w:tcBorders>
            <w:shd w:val="clear" w:color="auto" w:fill="FFFF00"/>
            <w:vAlign w:val="center"/>
            <w:hideMark/>
          </w:tcPr>
          <w:p w:rsidR="00F11E4B" w:rsidRDefault="00F11E4B" w:rsidP="00F11E4B">
            <w:pPr>
              <w:jc w:val="center"/>
              <w:rPr>
                <w:rFonts w:ascii="Calibri" w:hAnsi="Calibri" w:cs="Calibri"/>
                <w:b/>
                <w:sz w:val="18"/>
                <w:szCs w:val="18"/>
              </w:rPr>
            </w:pPr>
            <w:r>
              <w:rPr>
                <w:rFonts w:ascii="Calibri" w:hAnsi="Calibri" w:cs="Calibri"/>
                <w:b/>
                <w:sz w:val="18"/>
                <w:szCs w:val="18"/>
              </w:rPr>
              <w:t>Organizace</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00"/>
            <w:vAlign w:val="center"/>
            <w:hideMark/>
          </w:tcPr>
          <w:p w:rsidR="00F11E4B" w:rsidRDefault="00F11E4B" w:rsidP="00F11E4B">
            <w:pPr>
              <w:jc w:val="center"/>
              <w:rPr>
                <w:rFonts w:ascii="Calibri" w:hAnsi="Calibri" w:cs="Calibri"/>
                <w:b/>
                <w:sz w:val="18"/>
                <w:szCs w:val="18"/>
              </w:rPr>
            </w:pPr>
            <w:r>
              <w:rPr>
                <w:rFonts w:ascii="Calibri" w:hAnsi="Calibri" w:cs="Calibri"/>
                <w:b/>
                <w:sz w:val="18"/>
                <w:szCs w:val="18"/>
              </w:rPr>
              <w:t>Účelový zdroj</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F11E4B" w:rsidRDefault="00F11E4B" w:rsidP="00F11E4B">
            <w:pPr>
              <w:jc w:val="center"/>
              <w:rPr>
                <w:rFonts w:ascii="Calibri" w:hAnsi="Calibri" w:cs="Calibri"/>
                <w:b/>
                <w:sz w:val="18"/>
                <w:szCs w:val="18"/>
              </w:rPr>
            </w:pPr>
            <w:r>
              <w:rPr>
                <w:rFonts w:ascii="Calibri" w:hAnsi="Calibri" w:cs="Calibri"/>
                <w:b/>
                <w:sz w:val="18"/>
                <w:szCs w:val="18"/>
              </w:rPr>
              <w:t>Upravený rozpočet v tis. Kč</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F11E4B" w:rsidRDefault="00F11E4B" w:rsidP="00F11E4B">
            <w:pPr>
              <w:jc w:val="center"/>
              <w:rPr>
                <w:rFonts w:ascii="Calibri" w:hAnsi="Calibri" w:cs="Calibri"/>
                <w:b/>
                <w:sz w:val="18"/>
                <w:szCs w:val="18"/>
              </w:rPr>
            </w:pPr>
            <w:r>
              <w:rPr>
                <w:rFonts w:ascii="Calibri" w:hAnsi="Calibri" w:cs="Calibri"/>
                <w:b/>
                <w:sz w:val="18"/>
                <w:szCs w:val="18"/>
              </w:rPr>
              <w:t>Skutečnost v tis. Kč</w:t>
            </w:r>
          </w:p>
        </w:tc>
        <w:tc>
          <w:tcPr>
            <w:tcW w:w="3757" w:type="dxa"/>
            <w:gridSpan w:val="12"/>
            <w:tcBorders>
              <w:top w:val="single" w:sz="4" w:space="0" w:color="auto"/>
              <w:left w:val="single" w:sz="4" w:space="0" w:color="auto"/>
              <w:bottom w:val="single" w:sz="4" w:space="0" w:color="auto"/>
              <w:right w:val="single" w:sz="4" w:space="0" w:color="auto"/>
            </w:tcBorders>
            <w:shd w:val="clear" w:color="auto" w:fill="FFFF00"/>
            <w:vAlign w:val="center"/>
            <w:hideMark/>
          </w:tcPr>
          <w:p w:rsidR="00F11E4B" w:rsidRDefault="00F11E4B" w:rsidP="00F11E4B">
            <w:pPr>
              <w:jc w:val="center"/>
              <w:rPr>
                <w:rFonts w:ascii="Calibri" w:hAnsi="Calibri" w:cs="Calibri"/>
                <w:b/>
                <w:color w:val="A6A6A6" w:themeColor="background1" w:themeShade="A6"/>
                <w:sz w:val="18"/>
                <w:szCs w:val="18"/>
              </w:rPr>
            </w:pPr>
            <w:r>
              <w:rPr>
                <w:rFonts w:ascii="Calibri" w:hAnsi="Calibri" w:cs="Calibri"/>
                <w:b/>
                <w:sz w:val="18"/>
                <w:szCs w:val="18"/>
              </w:rPr>
              <w:t>Komentář</w:t>
            </w:r>
          </w:p>
        </w:tc>
      </w:tr>
      <w:tr w:rsidR="00F11E4B" w:rsidTr="00D61B3C">
        <w:trPr>
          <w:divId w:val="2053571053"/>
        </w:trPr>
        <w:tc>
          <w:tcPr>
            <w:tcW w:w="779" w:type="dxa"/>
            <w:gridSpan w:val="2"/>
            <w:tcBorders>
              <w:top w:val="single" w:sz="4" w:space="0" w:color="auto"/>
              <w:left w:val="single" w:sz="4" w:space="0" w:color="auto"/>
              <w:bottom w:val="single" w:sz="4" w:space="0" w:color="auto"/>
              <w:right w:val="single" w:sz="4" w:space="0" w:color="auto"/>
            </w:tcBorders>
            <w:hideMark/>
          </w:tcPr>
          <w:p w:rsidR="00F11E4B" w:rsidRPr="00542BF2" w:rsidRDefault="00F11E4B" w:rsidP="00F11E4B">
            <w:pPr>
              <w:jc w:val="center"/>
              <w:rPr>
                <w:rFonts w:ascii="Calibri" w:hAnsi="Calibri" w:cs="Calibri"/>
                <w:sz w:val="18"/>
                <w:szCs w:val="18"/>
              </w:rPr>
            </w:pPr>
            <w:r w:rsidRPr="00542BF2">
              <w:rPr>
                <w:rFonts w:ascii="Calibri" w:hAnsi="Calibri" w:cs="Calibri"/>
                <w:sz w:val="18"/>
                <w:szCs w:val="18"/>
              </w:rPr>
              <w:t>6171</w:t>
            </w:r>
          </w:p>
        </w:tc>
        <w:tc>
          <w:tcPr>
            <w:tcW w:w="851" w:type="dxa"/>
            <w:gridSpan w:val="3"/>
            <w:tcBorders>
              <w:top w:val="single" w:sz="4" w:space="0" w:color="auto"/>
              <w:left w:val="single" w:sz="4" w:space="0" w:color="auto"/>
              <w:bottom w:val="single" w:sz="4" w:space="0" w:color="auto"/>
              <w:right w:val="single" w:sz="4" w:space="0" w:color="auto"/>
            </w:tcBorders>
            <w:hideMark/>
          </w:tcPr>
          <w:p w:rsidR="00F11E4B" w:rsidRPr="00542BF2" w:rsidRDefault="00F11E4B" w:rsidP="00F11E4B">
            <w:pPr>
              <w:jc w:val="center"/>
              <w:rPr>
                <w:rFonts w:ascii="Calibri" w:hAnsi="Calibri" w:cs="Calibri"/>
                <w:sz w:val="18"/>
                <w:szCs w:val="18"/>
              </w:rPr>
            </w:pPr>
            <w:r w:rsidRPr="00542BF2">
              <w:rPr>
                <w:rFonts w:ascii="Calibri" w:hAnsi="Calibri" w:cs="Calibri"/>
                <w:sz w:val="18"/>
                <w:szCs w:val="18"/>
              </w:rPr>
              <w:t>5137</w:t>
            </w:r>
          </w:p>
        </w:tc>
        <w:tc>
          <w:tcPr>
            <w:tcW w:w="1417" w:type="dxa"/>
            <w:gridSpan w:val="5"/>
            <w:tcBorders>
              <w:top w:val="single" w:sz="4" w:space="0" w:color="auto"/>
              <w:left w:val="single" w:sz="4" w:space="0" w:color="auto"/>
              <w:bottom w:val="single" w:sz="4" w:space="0" w:color="auto"/>
              <w:right w:val="single" w:sz="4" w:space="0" w:color="auto"/>
            </w:tcBorders>
            <w:hideMark/>
          </w:tcPr>
          <w:p w:rsidR="00F11E4B" w:rsidRPr="00542BF2" w:rsidRDefault="00F11E4B" w:rsidP="00F11E4B">
            <w:pPr>
              <w:jc w:val="center"/>
              <w:rPr>
                <w:rFonts w:ascii="Calibri" w:hAnsi="Calibri" w:cs="Calibri"/>
                <w:sz w:val="18"/>
                <w:szCs w:val="18"/>
              </w:rPr>
            </w:pPr>
            <w:r w:rsidRPr="00542BF2">
              <w:rPr>
                <w:rFonts w:ascii="Calibri" w:hAnsi="Calibri" w:cs="Calibri"/>
                <w:sz w:val="18"/>
                <w:szCs w:val="18"/>
              </w:rPr>
              <w:t>0700000000000</w:t>
            </w:r>
          </w:p>
        </w:tc>
        <w:tc>
          <w:tcPr>
            <w:tcW w:w="851" w:type="dxa"/>
            <w:gridSpan w:val="4"/>
            <w:tcBorders>
              <w:top w:val="single" w:sz="4" w:space="0" w:color="auto"/>
              <w:left w:val="single" w:sz="4" w:space="0" w:color="auto"/>
              <w:bottom w:val="single" w:sz="4" w:space="0" w:color="auto"/>
              <w:right w:val="single" w:sz="4" w:space="0" w:color="auto"/>
            </w:tcBorders>
          </w:tcPr>
          <w:p w:rsidR="00F11E4B" w:rsidRPr="00542BF2" w:rsidRDefault="00F11E4B" w:rsidP="00F11E4B">
            <w:pPr>
              <w:jc w:val="center"/>
              <w:rPr>
                <w:rFonts w:ascii="Calibri" w:hAnsi="Calibri" w:cs="Calibri"/>
                <w:sz w:val="18"/>
                <w:szCs w:val="18"/>
              </w:rPr>
            </w:pPr>
          </w:p>
        </w:tc>
        <w:tc>
          <w:tcPr>
            <w:tcW w:w="992" w:type="dxa"/>
            <w:gridSpan w:val="3"/>
            <w:tcBorders>
              <w:top w:val="single" w:sz="4" w:space="0" w:color="auto"/>
              <w:left w:val="single" w:sz="4" w:space="0" w:color="auto"/>
              <w:bottom w:val="single" w:sz="4" w:space="0" w:color="auto"/>
              <w:right w:val="single" w:sz="4" w:space="0" w:color="auto"/>
            </w:tcBorders>
            <w:hideMark/>
          </w:tcPr>
          <w:p w:rsidR="00F11E4B" w:rsidRPr="00542BF2" w:rsidRDefault="00F11E4B" w:rsidP="00F11E4B">
            <w:pPr>
              <w:jc w:val="right"/>
              <w:rPr>
                <w:rFonts w:ascii="Calibri" w:hAnsi="Calibri" w:cs="Calibri"/>
                <w:sz w:val="18"/>
                <w:szCs w:val="18"/>
              </w:rPr>
            </w:pPr>
            <w:r w:rsidRPr="00542BF2">
              <w:rPr>
                <w:rFonts w:ascii="Calibri" w:hAnsi="Calibri" w:cs="Calibri"/>
                <w:sz w:val="18"/>
                <w:szCs w:val="18"/>
              </w:rPr>
              <w:t>45,00</w:t>
            </w:r>
          </w:p>
        </w:tc>
        <w:tc>
          <w:tcPr>
            <w:tcW w:w="992" w:type="dxa"/>
            <w:gridSpan w:val="3"/>
            <w:tcBorders>
              <w:top w:val="single" w:sz="4" w:space="0" w:color="auto"/>
              <w:left w:val="single" w:sz="4" w:space="0" w:color="auto"/>
              <w:bottom w:val="single" w:sz="4" w:space="0" w:color="auto"/>
              <w:right w:val="single" w:sz="4" w:space="0" w:color="auto"/>
            </w:tcBorders>
            <w:hideMark/>
          </w:tcPr>
          <w:p w:rsidR="00F11E4B" w:rsidRPr="00542BF2" w:rsidRDefault="00542BF2" w:rsidP="00F11E4B">
            <w:pPr>
              <w:jc w:val="right"/>
              <w:rPr>
                <w:rFonts w:ascii="Calibri" w:hAnsi="Calibri" w:cs="Calibri"/>
                <w:sz w:val="18"/>
                <w:szCs w:val="18"/>
              </w:rPr>
            </w:pPr>
            <w:r w:rsidRPr="00542BF2">
              <w:rPr>
                <w:rFonts w:ascii="Calibri" w:hAnsi="Calibri" w:cs="Calibri"/>
                <w:sz w:val="18"/>
                <w:szCs w:val="18"/>
              </w:rPr>
              <w:t>8,71</w:t>
            </w:r>
          </w:p>
        </w:tc>
        <w:tc>
          <w:tcPr>
            <w:tcW w:w="3757" w:type="dxa"/>
            <w:gridSpan w:val="12"/>
            <w:tcBorders>
              <w:top w:val="single" w:sz="4" w:space="0" w:color="auto"/>
              <w:left w:val="single" w:sz="4" w:space="0" w:color="auto"/>
              <w:bottom w:val="single" w:sz="4" w:space="0" w:color="auto"/>
              <w:right w:val="single" w:sz="4" w:space="0" w:color="auto"/>
            </w:tcBorders>
            <w:hideMark/>
          </w:tcPr>
          <w:p w:rsidR="00F11E4B" w:rsidRPr="00542BF2" w:rsidRDefault="00F11E4B" w:rsidP="00F11E4B">
            <w:pPr>
              <w:rPr>
                <w:rFonts w:ascii="Calibri" w:hAnsi="Calibri" w:cs="Calibri"/>
                <w:b/>
                <w:sz w:val="18"/>
                <w:szCs w:val="18"/>
                <w:u w:val="single"/>
              </w:rPr>
            </w:pPr>
            <w:r w:rsidRPr="00542BF2">
              <w:rPr>
                <w:rFonts w:ascii="Calibri" w:hAnsi="Calibri" w:cs="Calibri"/>
                <w:b/>
                <w:sz w:val="18"/>
                <w:szCs w:val="18"/>
                <w:u w:val="single"/>
              </w:rPr>
              <w:t>DDHM</w:t>
            </w:r>
          </w:p>
          <w:p w:rsidR="00F11E4B" w:rsidRPr="00542BF2" w:rsidRDefault="00F11E4B" w:rsidP="00F11E4B">
            <w:pPr>
              <w:rPr>
                <w:rFonts w:ascii="Calibri" w:hAnsi="Calibri" w:cs="Calibri"/>
                <w:b/>
                <w:sz w:val="18"/>
                <w:szCs w:val="18"/>
                <w:u w:val="single"/>
              </w:rPr>
            </w:pPr>
            <w:r w:rsidRPr="00542BF2">
              <w:rPr>
                <w:rFonts w:ascii="Calibri" w:hAnsi="Calibri" w:cs="Calibri"/>
                <w:sz w:val="18"/>
                <w:szCs w:val="18"/>
              </w:rPr>
              <w:t>Nákup drobného hmotného dlouhodobého majetku pro potřeby kapitoly. Položku nelze při sestavování rozpočtu přesně stanovit.</w:t>
            </w:r>
          </w:p>
        </w:tc>
      </w:tr>
      <w:tr w:rsidR="00F11E4B" w:rsidTr="00D61B3C">
        <w:trPr>
          <w:divId w:val="2053571053"/>
          <w:trHeight w:val="591"/>
        </w:trPr>
        <w:tc>
          <w:tcPr>
            <w:tcW w:w="779" w:type="dxa"/>
            <w:gridSpan w:val="2"/>
            <w:tcBorders>
              <w:top w:val="single" w:sz="4" w:space="0" w:color="auto"/>
              <w:left w:val="single" w:sz="4" w:space="0" w:color="auto"/>
              <w:bottom w:val="single" w:sz="4" w:space="0" w:color="auto"/>
              <w:right w:val="single" w:sz="4" w:space="0" w:color="auto"/>
            </w:tcBorders>
            <w:hideMark/>
          </w:tcPr>
          <w:p w:rsidR="00F11E4B" w:rsidRPr="00542BF2" w:rsidRDefault="00F11E4B" w:rsidP="00F11E4B">
            <w:pPr>
              <w:jc w:val="center"/>
              <w:rPr>
                <w:rFonts w:ascii="Calibri" w:hAnsi="Calibri" w:cs="Calibri"/>
                <w:sz w:val="18"/>
                <w:szCs w:val="18"/>
              </w:rPr>
            </w:pPr>
            <w:r w:rsidRPr="00542BF2">
              <w:rPr>
                <w:rFonts w:ascii="Calibri" w:hAnsi="Calibri" w:cs="Calibri"/>
                <w:sz w:val="18"/>
                <w:szCs w:val="18"/>
              </w:rPr>
              <w:t>6171</w:t>
            </w:r>
          </w:p>
        </w:tc>
        <w:tc>
          <w:tcPr>
            <w:tcW w:w="851" w:type="dxa"/>
            <w:gridSpan w:val="3"/>
            <w:tcBorders>
              <w:top w:val="single" w:sz="4" w:space="0" w:color="auto"/>
              <w:left w:val="single" w:sz="4" w:space="0" w:color="auto"/>
              <w:bottom w:val="single" w:sz="4" w:space="0" w:color="auto"/>
              <w:right w:val="single" w:sz="4" w:space="0" w:color="auto"/>
            </w:tcBorders>
            <w:hideMark/>
          </w:tcPr>
          <w:p w:rsidR="00F11E4B" w:rsidRPr="00542BF2" w:rsidRDefault="00F11E4B" w:rsidP="00F11E4B">
            <w:pPr>
              <w:jc w:val="center"/>
              <w:rPr>
                <w:rFonts w:ascii="Calibri" w:hAnsi="Calibri" w:cs="Calibri"/>
                <w:sz w:val="18"/>
                <w:szCs w:val="18"/>
              </w:rPr>
            </w:pPr>
            <w:r w:rsidRPr="00542BF2">
              <w:rPr>
                <w:rFonts w:ascii="Calibri" w:hAnsi="Calibri" w:cs="Calibri"/>
                <w:sz w:val="18"/>
                <w:szCs w:val="18"/>
              </w:rPr>
              <w:t>5139</w:t>
            </w:r>
          </w:p>
        </w:tc>
        <w:tc>
          <w:tcPr>
            <w:tcW w:w="1417" w:type="dxa"/>
            <w:gridSpan w:val="5"/>
            <w:tcBorders>
              <w:top w:val="single" w:sz="4" w:space="0" w:color="auto"/>
              <w:left w:val="single" w:sz="4" w:space="0" w:color="auto"/>
              <w:bottom w:val="single" w:sz="4" w:space="0" w:color="auto"/>
              <w:right w:val="single" w:sz="4" w:space="0" w:color="auto"/>
            </w:tcBorders>
            <w:hideMark/>
          </w:tcPr>
          <w:p w:rsidR="00F11E4B" w:rsidRPr="00542BF2" w:rsidRDefault="00F11E4B" w:rsidP="00F11E4B">
            <w:pPr>
              <w:jc w:val="center"/>
              <w:rPr>
                <w:rFonts w:ascii="Calibri" w:hAnsi="Calibri" w:cs="Calibri"/>
                <w:sz w:val="18"/>
                <w:szCs w:val="18"/>
              </w:rPr>
            </w:pPr>
            <w:r w:rsidRPr="00542BF2">
              <w:rPr>
                <w:rFonts w:ascii="Calibri" w:hAnsi="Calibri" w:cs="Calibri"/>
                <w:sz w:val="18"/>
                <w:szCs w:val="18"/>
              </w:rPr>
              <w:t>0700000000000</w:t>
            </w:r>
          </w:p>
        </w:tc>
        <w:tc>
          <w:tcPr>
            <w:tcW w:w="851" w:type="dxa"/>
            <w:gridSpan w:val="4"/>
            <w:tcBorders>
              <w:top w:val="single" w:sz="4" w:space="0" w:color="auto"/>
              <w:left w:val="single" w:sz="4" w:space="0" w:color="auto"/>
              <w:bottom w:val="single" w:sz="4" w:space="0" w:color="auto"/>
              <w:right w:val="single" w:sz="4" w:space="0" w:color="auto"/>
            </w:tcBorders>
          </w:tcPr>
          <w:p w:rsidR="00F11E4B" w:rsidRPr="00542BF2" w:rsidRDefault="00F11E4B" w:rsidP="00F11E4B">
            <w:pPr>
              <w:jc w:val="center"/>
              <w:rPr>
                <w:rFonts w:ascii="Calibri" w:hAnsi="Calibri" w:cs="Calibri"/>
                <w:sz w:val="18"/>
                <w:szCs w:val="18"/>
              </w:rPr>
            </w:pPr>
          </w:p>
        </w:tc>
        <w:tc>
          <w:tcPr>
            <w:tcW w:w="992" w:type="dxa"/>
            <w:gridSpan w:val="3"/>
            <w:tcBorders>
              <w:top w:val="single" w:sz="4" w:space="0" w:color="auto"/>
              <w:left w:val="single" w:sz="4" w:space="0" w:color="auto"/>
              <w:bottom w:val="single" w:sz="4" w:space="0" w:color="auto"/>
              <w:right w:val="single" w:sz="4" w:space="0" w:color="auto"/>
            </w:tcBorders>
            <w:hideMark/>
          </w:tcPr>
          <w:p w:rsidR="00F11E4B" w:rsidRPr="00542BF2" w:rsidRDefault="00F11E4B" w:rsidP="00F11E4B">
            <w:pPr>
              <w:jc w:val="right"/>
              <w:rPr>
                <w:rFonts w:ascii="Calibri" w:hAnsi="Calibri" w:cs="Calibri"/>
                <w:sz w:val="18"/>
                <w:szCs w:val="18"/>
              </w:rPr>
            </w:pPr>
            <w:r w:rsidRPr="00542BF2">
              <w:rPr>
                <w:rFonts w:ascii="Calibri" w:hAnsi="Calibri" w:cs="Calibri"/>
                <w:sz w:val="18"/>
                <w:szCs w:val="18"/>
              </w:rPr>
              <w:t>20,00</w:t>
            </w:r>
          </w:p>
        </w:tc>
        <w:tc>
          <w:tcPr>
            <w:tcW w:w="992" w:type="dxa"/>
            <w:gridSpan w:val="3"/>
            <w:tcBorders>
              <w:top w:val="single" w:sz="4" w:space="0" w:color="auto"/>
              <w:left w:val="single" w:sz="4" w:space="0" w:color="auto"/>
              <w:bottom w:val="single" w:sz="4" w:space="0" w:color="auto"/>
              <w:right w:val="single" w:sz="4" w:space="0" w:color="auto"/>
            </w:tcBorders>
            <w:hideMark/>
          </w:tcPr>
          <w:p w:rsidR="00F11E4B" w:rsidRPr="00542BF2" w:rsidRDefault="00542BF2" w:rsidP="00F11E4B">
            <w:pPr>
              <w:jc w:val="right"/>
              <w:rPr>
                <w:rFonts w:ascii="Calibri" w:hAnsi="Calibri" w:cs="Calibri"/>
                <w:sz w:val="18"/>
                <w:szCs w:val="18"/>
              </w:rPr>
            </w:pPr>
            <w:r w:rsidRPr="00542BF2">
              <w:rPr>
                <w:rFonts w:ascii="Calibri" w:hAnsi="Calibri" w:cs="Calibri"/>
                <w:sz w:val="18"/>
                <w:szCs w:val="18"/>
              </w:rPr>
              <w:t>6,38</w:t>
            </w:r>
          </w:p>
        </w:tc>
        <w:tc>
          <w:tcPr>
            <w:tcW w:w="3757" w:type="dxa"/>
            <w:gridSpan w:val="12"/>
            <w:tcBorders>
              <w:top w:val="single" w:sz="4" w:space="0" w:color="auto"/>
              <w:left w:val="single" w:sz="4" w:space="0" w:color="auto"/>
              <w:bottom w:val="single" w:sz="4" w:space="0" w:color="auto"/>
              <w:right w:val="single" w:sz="4" w:space="0" w:color="auto"/>
            </w:tcBorders>
            <w:hideMark/>
          </w:tcPr>
          <w:p w:rsidR="00F11E4B" w:rsidRPr="00542BF2" w:rsidRDefault="00F11E4B" w:rsidP="00F11E4B">
            <w:pPr>
              <w:rPr>
                <w:rFonts w:ascii="Calibri" w:hAnsi="Calibri" w:cs="Calibri"/>
                <w:b/>
                <w:sz w:val="18"/>
                <w:szCs w:val="18"/>
                <w:u w:val="single"/>
              </w:rPr>
            </w:pPr>
            <w:r w:rsidRPr="00542BF2">
              <w:rPr>
                <w:rFonts w:ascii="Calibri" w:hAnsi="Calibri" w:cs="Calibri"/>
                <w:b/>
                <w:sz w:val="18"/>
                <w:szCs w:val="18"/>
                <w:u w:val="single"/>
              </w:rPr>
              <w:t>Nákup materiálu j. n.</w:t>
            </w:r>
          </w:p>
          <w:p w:rsidR="00F11E4B" w:rsidRPr="00542BF2" w:rsidRDefault="00F11E4B" w:rsidP="00F11E4B">
            <w:pPr>
              <w:rPr>
                <w:rFonts w:ascii="Calibri" w:hAnsi="Calibri" w:cs="Calibri"/>
                <w:sz w:val="18"/>
                <w:szCs w:val="18"/>
              </w:rPr>
            </w:pPr>
            <w:r w:rsidRPr="00542BF2">
              <w:rPr>
                <w:rFonts w:ascii="Calibri" w:hAnsi="Calibri" w:cs="Calibri"/>
                <w:sz w:val="18"/>
                <w:szCs w:val="18"/>
              </w:rPr>
              <w:t>Nákup materiálu pro potřeby kapitoly. Položku nelze při sestavování rozpočtu přesně stanovit.</w:t>
            </w:r>
          </w:p>
        </w:tc>
      </w:tr>
      <w:tr w:rsidR="00F11E4B" w:rsidTr="00D61B3C">
        <w:trPr>
          <w:divId w:val="2053571053"/>
        </w:trPr>
        <w:tc>
          <w:tcPr>
            <w:tcW w:w="779" w:type="dxa"/>
            <w:gridSpan w:val="2"/>
            <w:tcBorders>
              <w:top w:val="single" w:sz="4" w:space="0" w:color="auto"/>
              <w:left w:val="single" w:sz="4" w:space="0" w:color="auto"/>
              <w:bottom w:val="single" w:sz="4" w:space="0" w:color="auto"/>
              <w:right w:val="single" w:sz="4" w:space="0" w:color="auto"/>
            </w:tcBorders>
            <w:hideMark/>
          </w:tcPr>
          <w:p w:rsidR="00F11E4B" w:rsidRPr="00E802ED" w:rsidRDefault="00F11E4B" w:rsidP="00F11E4B">
            <w:pPr>
              <w:jc w:val="center"/>
              <w:rPr>
                <w:rFonts w:ascii="Calibri" w:hAnsi="Calibri" w:cs="Calibri"/>
                <w:sz w:val="18"/>
                <w:szCs w:val="18"/>
              </w:rPr>
            </w:pPr>
            <w:r w:rsidRPr="00E802ED">
              <w:rPr>
                <w:rFonts w:ascii="Calibri" w:hAnsi="Calibri" w:cs="Calibri"/>
                <w:sz w:val="18"/>
                <w:szCs w:val="18"/>
              </w:rPr>
              <w:t>6171</w:t>
            </w:r>
          </w:p>
        </w:tc>
        <w:tc>
          <w:tcPr>
            <w:tcW w:w="851" w:type="dxa"/>
            <w:gridSpan w:val="3"/>
            <w:tcBorders>
              <w:top w:val="single" w:sz="4" w:space="0" w:color="auto"/>
              <w:left w:val="single" w:sz="4" w:space="0" w:color="auto"/>
              <w:bottom w:val="single" w:sz="4" w:space="0" w:color="auto"/>
              <w:right w:val="single" w:sz="4" w:space="0" w:color="auto"/>
            </w:tcBorders>
            <w:hideMark/>
          </w:tcPr>
          <w:p w:rsidR="00F11E4B" w:rsidRPr="00E802ED" w:rsidRDefault="00F11E4B" w:rsidP="00F11E4B">
            <w:pPr>
              <w:jc w:val="center"/>
              <w:rPr>
                <w:rFonts w:ascii="Calibri" w:hAnsi="Calibri" w:cs="Calibri"/>
                <w:sz w:val="18"/>
                <w:szCs w:val="18"/>
              </w:rPr>
            </w:pPr>
            <w:r w:rsidRPr="00E802ED">
              <w:rPr>
                <w:rFonts w:ascii="Calibri" w:hAnsi="Calibri" w:cs="Calibri"/>
                <w:sz w:val="18"/>
                <w:szCs w:val="18"/>
              </w:rPr>
              <w:t>5162</w:t>
            </w:r>
          </w:p>
        </w:tc>
        <w:tc>
          <w:tcPr>
            <w:tcW w:w="1417" w:type="dxa"/>
            <w:gridSpan w:val="5"/>
            <w:tcBorders>
              <w:top w:val="single" w:sz="4" w:space="0" w:color="auto"/>
              <w:left w:val="single" w:sz="4" w:space="0" w:color="auto"/>
              <w:bottom w:val="single" w:sz="4" w:space="0" w:color="auto"/>
              <w:right w:val="single" w:sz="4" w:space="0" w:color="auto"/>
            </w:tcBorders>
            <w:hideMark/>
          </w:tcPr>
          <w:p w:rsidR="00F11E4B" w:rsidRPr="00E802ED" w:rsidRDefault="00F11E4B" w:rsidP="00F11E4B">
            <w:pPr>
              <w:jc w:val="center"/>
              <w:rPr>
                <w:rFonts w:ascii="Calibri" w:hAnsi="Calibri" w:cs="Calibri"/>
                <w:sz w:val="18"/>
                <w:szCs w:val="18"/>
              </w:rPr>
            </w:pPr>
            <w:r w:rsidRPr="00E802ED">
              <w:rPr>
                <w:rFonts w:ascii="Calibri" w:hAnsi="Calibri" w:cs="Calibri"/>
                <w:sz w:val="18"/>
                <w:szCs w:val="18"/>
              </w:rPr>
              <w:t>0700000000000</w:t>
            </w:r>
          </w:p>
        </w:tc>
        <w:tc>
          <w:tcPr>
            <w:tcW w:w="851" w:type="dxa"/>
            <w:gridSpan w:val="4"/>
            <w:tcBorders>
              <w:top w:val="single" w:sz="4" w:space="0" w:color="auto"/>
              <w:left w:val="single" w:sz="4" w:space="0" w:color="auto"/>
              <w:bottom w:val="single" w:sz="4" w:space="0" w:color="auto"/>
              <w:right w:val="single" w:sz="4" w:space="0" w:color="auto"/>
            </w:tcBorders>
          </w:tcPr>
          <w:p w:rsidR="00F11E4B" w:rsidRPr="00E802ED" w:rsidRDefault="00F11E4B" w:rsidP="00F11E4B">
            <w:pPr>
              <w:jc w:val="center"/>
              <w:rPr>
                <w:rFonts w:ascii="Calibri" w:hAnsi="Calibri" w:cs="Calibri"/>
                <w:sz w:val="18"/>
                <w:szCs w:val="18"/>
              </w:rPr>
            </w:pPr>
          </w:p>
        </w:tc>
        <w:tc>
          <w:tcPr>
            <w:tcW w:w="992" w:type="dxa"/>
            <w:gridSpan w:val="3"/>
            <w:tcBorders>
              <w:top w:val="single" w:sz="4" w:space="0" w:color="auto"/>
              <w:left w:val="single" w:sz="4" w:space="0" w:color="auto"/>
              <w:bottom w:val="single" w:sz="4" w:space="0" w:color="auto"/>
              <w:right w:val="single" w:sz="4" w:space="0" w:color="auto"/>
            </w:tcBorders>
            <w:hideMark/>
          </w:tcPr>
          <w:p w:rsidR="00F11E4B" w:rsidRPr="00E802ED" w:rsidRDefault="00542BF2" w:rsidP="00F11E4B">
            <w:pPr>
              <w:jc w:val="right"/>
              <w:rPr>
                <w:rFonts w:ascii="Calibri" w:hAnsi="Calibri" w:cs="Calibri"/>
                <w:sz w:val="18"/>
                <w:szCs w:val="18"/>
              </w:rPr>
            </w:pPr>
            <w:r w:rsidRPr="00E802ED">
              <w:rPr>
                <w:rFonts w:ascii="Calibri" w:hAnsi="Calibri" w:cs="Calibri"/>
                <w:sz w:val="18"/>
                <w:szCs w:val="18"/>
              </w:rPr>
              <w:t>30,00</w:t>
            </w:r>
          </w:p>
        </w:tc>
        <w:tc>
          <w:tcPr>
            <w:tcW w:w="992" w:type="dxa"/>
            <w:gridSpan w:val="3"/>
            <w:tcBorders>
              <w:top w:val="single" w:sz="4" w:space="0" w:color="auto"/>
              <w:left w:val="single" w:sz="4" w:space="0" w:color="auto"/>
              <w:bottom w:val="single" w:sz="4" w:space="0" w:color="auto"/>
              <w:right w:val="single" w:sz="4" w:space="0" w:color="auto"/>
            </w:tcBorders>
            <w:hideMark/>
          </w:tcPr>
          <w:p w:rsidR="00F11E4B" w:rsidRPr="00E802ED" w:rsidRDefault="00542BF2" w:rsidP="00F11E4B">
            <w:pPr>
              <w:jc w:val="right"/>
              <w:rPr>
                <w:rFonts w:ascii="Calibri" w:hAnsi="Calibri" w:cs="Calibri"/>
                <w:sz w:val="18"/>
                <w:szCs w:val="18"/>
              </w:rPr>
            </w:pPr>
            <w:r w:rsidRPr="00E802ED">
              <w:rPr>
                <w:rFonts w:ascii="Calibri" w:hAnsi="Calibri" w:cs="Calibri"/>
                <w:sz w:val="18"/>
                <w:szCs w:val="18"/>
              </w:rPr>
              <w:t>4,45</w:t>
            </w:r>
          </w:p>
        </w:tc>
        <w:tc>
          <w:tcPr>
            <w:tcW w:w="3757" w:type="dxa"/>
            <w:gridSpan w:val="12"/>
            <w:tcBorders>
              <w:top w:val="single" w:sz="4" w:space="0" w:color="auto"/>
              <w:left w:val="single" w:sz="4" w:space="0" w:color="auto"/>
              <w:bottom w:val="single" w:sz="4" w:space="0" w:color="auto"/>
              <w:right w:val="single" w:sz="4" w:space="0" w:color="auto"/>
            </w:tcBorders>
            <w:hideMark/>
          </w:tcPr>
          <w:p w:rsidR="00F11E4B" w:rsidRPr="00E802ED" w:rsidRDefault="00F11E4B" w:rsidP="00F11E4B">
            <w:pPr>
              <w:rPr>
                <w:rFonts w:ascii="Calibri" w:hAnsi="Calibri" w:cs="Calibri"/>
                <w:b/>
                <w:sz w:val="18"/>
                <w:szCs w:val="18"/>
                <w:u w:val="single"/>
              </w:rPr>
            </w:pPr>
            <w:r w:rsidRPr="00E802ED">
              <w:rPr>
                <w:rFonts w:ascii="Calibri" w:hAnsi="Calibri" w:cs="Calibri"/>
                <w:b/>
                <w:sz w:val="18"/>
                <w:szCs w:val="18"/>
                <w:u w:val="single"/>
              </w:rPr>
              <w:t>Služby telekomunikací a radiokomunikací</w:t>
            </w:r>
          </w:p>
          <w:p w:rsidR="00F11E4B" w:rsidRPr="00E802ED" w:rsidRDefault="00F11E4B" w:rsidP="00F11E4B">
            <w:pPr>
              <w:rPr>
                <w:rFonts w:ascii="Calibri" w:hAnsi="Calibri" w:cs="Calibri"/>
                <w:sz w:val="18"/>
                <w:szCs w:val="18"/>
              </w:rPr>
            </w:pPr>
            <w:r w:rsidRPr="00E802ED">
              <w:rPr>
                <w:rFonts w:ascii="Calibri" w:hAnsi="Calibri" w:cs="Calibri"/>
                <w:sz w:val="18"/>
                <w:szCs w:val="18"/>
              </w:rPr>
              <w:t>Český úřad zeměměřičský a katastrální – vyúčtování dálkového přístupu.</w:t>
            </w:r>
          </w:p>
        </w:tc>
      </w:tr>
      <w:tr w:rsidR="00E802ED" w:rsidTr="00D61B3C">
        <w:trPr>
          <w:divId w:val="2053571053"/>
        </w:trPr>
        <w:tc>
          <w:tcPr>
            <w:tcW w:w="779" w:type="dxa"/>
            <w:gridSpan w:val="2"/>
            <w:tcBorders>
              <w:top w:val="single" w:sz="4" w:space="0" w:color="auto"/>
              <w:left w:val="single" w:sz="4" w:space="0" w:color="auto"/>
              <w:bottom w:val="single" w:sz="4" w:space="0" w:color="auto"/>
              <w:right w:val="single" w:sz="4" w:space="0" w:color="auto"/>
            </w:tcBorders>
          </w:tcPr>
          <w:p w:rsidR="00E802ED" w:rsidRPr="00E802ED" w:rsidRDefault="00E802ED" w:rsidP="00F11E4B">
            <w:pPr>
              <w:jc w:val="center"/>
              <w:rPr>
                <w:rFonts w:ascii="Calibri" w:hAnsi="Calibri" w:cs="Calibri"/>
                <w:sz w:val="18"/>
                <w:szCs w:val="18"/>
              </w:rPr>
            </w:pPr>
            <w:r>
              <w:rPr>
                <w:rFonts w:ascii="Calibri" w:hAnsi="Calibri" w:cs="Calibri"/>
                <w:sz w:val="18"/>
                <w:szCs w:val="18"/>
              </w:rPr>
              <w:t>6310</w:t>
            </w:r>
          </w:p>
        </w:tc>
        <w:tc>
          <w:tcPr>
            <w:tcW w:w="851" w:type="dxa"/>
            <w:gridSpan w:val="3"/>
            <w:tcBorders>
              <w:top w:val="single" w:sz="4" w:space="0" w:color="auto"/>
              <w:left w:val="single" w:sz="4" w:space="0" w:color="auto"/>
              <w:bottom w:val="single" w:sz="4" w:space="0" w:color="auto"/>
              <w:right w:val="single" w:sz="4" w:space="0" w:color="auto"/>
            </w:tcBorders>
          </w:tcPr>
          <w:p w:rsidR="00E802ED" w:rsidRPr="00E802ED" w:rsidRDefault="00E802ED" w:rsidP="00F11E4B">
            <w:pPr>
              <w:jc w:val="center"/>
              <w:rPr>
                <w:rFonts w:ascii="Calibri" w:hAnsi="Calibri" w:cs="Calibri"/>
                <w:sz w:val="18"/>
                <w:szCs w:val="18"/>
              </w:rPr>
            </w:pPr>
            <w:r>
              <w:rPr>
                <w:rFonts w:ascii="Calibri" w:hAnsi="Calibri" w:cs="Calibri"/>
                <w:sz w:val="18"/>
                <w:szCs w:val="18"/>
              </w:rPr>
              <w:t>5163</w:t>
            </w:r>
          </w:p>
        </w:tc>
        <w:tc>
          <w:tcPr>
            <w:tcW w:w="1417" w:type="dxa"/>
            <w:gridSpan w:val="5"/>
            <w:tcBorders>
              <w:top w:val="single" w:sz="4" w:space="0" w:color="auto"/>
              <w:left w:val="single" w:sz="4" w:space="0" w:color="auto"/>
              <w:bottom w:val="single" w:sz="4" w:space="0" w:color="auto"/>
              <w:right w:val="single" w:sz="4" w:space="0" w:color="auto"/>
            </w:tcBorders>
          </w:tcPr>
          <w:p w:rsidR="00E802ED" w:rsidRPr="00E802ED" w:rsidRDefault="00E802ED" w:rsidP="00F11E4B">
            <w:pPr>
              <w:jc w:val="center"/>
              <w:rPr>
                <w:rFonts w:ascii="Calibri" w:hAnsi="Calibri" w:cs="Calibri"/>
                <w:sz w:val="18"/>
                <w:szCs w:val="18"/>
              </w:rPr>
            </w:pPr>
            <w:r w:rsidRPr="00E802ED">
              <w:rPr>
                <w:rFonts w:ascii="Calibri" w:hAnsi="Calibri" w:cs="Calibri"/>
                <w:sz w:val="18"/>
                <w:szCs w:val="18"/>
              </w:rPr>
              <w:t>0700000000000</w:t>
            </w:r>
          </w:p>
        </w:tc>
        <w:tc>
          <w:tcPr>
            <w:tcW w:w="851" w:type="dxa"/>
            <w:gridSpan w:val="4"/>
            <w:tcBorders>
              <w:top w:val="single" w:sz="4" w:space="0" w:color="auto"/>
              <w:left w:val="single" w:sz="4" w:space="0" w:color="auto"/>
              <w:bottom w:val="single" w:sz="4" w:space="0" w:color="auto"/>
              <w:right w:val="single" w:sz="4" w:space="0" w:color="auto"/>
            </w:tcBorders>
          </w:tcPr>
          <w:p w:rsidR="00E802ED" w:rsidRPr="00E802ED" w:rsidRDefault="00E802ED" w:rsidP="00F11E4B">
            <w:pPr>
              <w:jc w:val="center"/>
              <w:rPr>
                <w:rFonts w:ascii="Calibri" w:hAnsi="Calibri" w:cs="Calibri"/>
                <w:sz w:val="18"/>
                <w:szCs w:val="18"/>
              </w:rPr>
            </w:pPr>
          </w:p>
        </w:tc>
        <w:tc>
          <w:tcPr>
            <w:tcW w:w="992" w:type="dxa"/>
            <w:gridSpan w:val="3"/>
            <w:tcBorders>
              <w:top w:val="single" w:sz="4" w:space="0" w:color="auto"/>
              <w:left w:val="single" w:sz="4" w:space="0" w:color="auto"/>
              <w:bottom w:val="single" w:sz="4" w:space="0" w:color="auto"/>
              <w:right w:val="single" w:sz="4" w:space="0" w:color="auto"/>
            </w:tcBorders>
          </w:tcPr>
          <w:p w:rsidR="00E802ED" w:rsidRPr="00E802ED" w:rsidRDefault="00E802ED" w:rsidP="00F11E4B">
            <w:pPr>
              <w:jc w:val="right"/>
              <w:rPr>
                <w:rFonts w:ascii="Calibri" w:hAnsi="Calibri" w:cs="Calibri"/>
                <w:sz w:val="18"/>
                <w:szCs w:val="18"/>
              </w:rPr>
            </w:pPr>
            <w:r>
              <w:rPr>
                <w:rFonts w:ascii="Calibri" w:hAnsi="Calibri" w:cs="Calibri"/>
                <w:sz w:val="18"/>
                <w:szCs w:val="18"/>
              </w:rPr>
              <w:t>400,00</w:t>
            </w:r>
          </w:p>
        </w:tc>
        <w:tc>
          <w:tcPr>
            <w:tcW w:w="992" w:type="dxa"/>
            <w:gridSpan w:val="3"/>
            <w:tcBorders>
              <w:top w:val="single" w:sz="4" w:space="0" w:color="auto"/>
              <w:left w:val="single" w:sz="4" w:space="0" w:color="auto"/>
              <w:bottom w:val="single" w:sz="4" w:space="0" w:color="auto"/>
              <w:right w:val="single" w:sz="4" w:space="0" w:color="auto"/>
            </w:tcBorders>
          </w:tcPr>
          <w:p w:rsidR="00E802ED" w:rsidRPr="00E802ED" w:rsidRDefault="00E802ED" w:rsidP="00F11E4B">
            <w:pPr>
              <w:jc w:val="right"/>
              <w:rPr>
                <w:rFonts w:ascii="Calibri" w:hAnsi="Calibri" w:cs="Calibri"/>
                <w:sz w:val="18"/>
                <w:szCs w:val="18"/>
              </w:rPr>
            </w:pPr>
            <w:r>
              <w:rPr>
                <w:rFonts w:ascii="Calibri" w:hAnsi="Calibri" w:cs="Calibri"/>
                <w:sz w:val="18"/>
                <w:szCs w:val="18"/>
              </w:rPr>
              <w:t>201,14</w:t>
            </w:r>
          </w:p>
        </w:tc>
        <w:tc>
          <w:tcPr>
            <w:tcW w:w="3757" w:type="dxa"/>
            <w:gridSpan w:val="12"/>
            <w:tcBorders>
              <w:top w:val="single" w:sz="4" w:space="0" w:color="auto"/>
              <w:left w:val="single" w:sz="4" w:space="0" w:color="auto"/>
              <w:bottom w:val="single" w:sz="4" w:space="0" w:color="auto"/>
              <w:right w:val="single" w:sz="4" w:space="0" w:color="auto"/>
            </w:tcBorders>
          </w:tcPr>
          <w:p w:rsidR="00E802ED" w:rsidRPr="00E802ED" w:rsidRDefault="00E802ED" w:rsidP="00D61B3C">
            <w:pPr>
              <w:rPr>
                <w:rFonts w:ascii="Calibri" w:hAnsi="Calibri" w:cs="Calibri"/>
                <w:b/>
                <w:sz w:val="18"/>
                <w:szCs w:val="18"/>
                <w:u w:val="single"/>
              </w:rPr>
            </w:pPr>
            <w:r>
              <w:rPr>
                <w:rFonts w:ascii="Calibri" w:hAnsi="Calibri" w:cs="Calibri"/>
                <w:b/>
                <w:sz w:val="18"/>
                <w:szCs w:val="18"/>
                <w:u w:val="single"/>
              </w:rPr>
              <w:t>Služby peněžních ústavů</w:t>
            </w:r>
            <w:r w:rsidR="00D61B3C" w:rsidRPr="00D61B3C">
              <w:rPr>
                <w:rFonts w:ascii="Calibri" w:hAnsi="Calibri" w:cs="Calibri"/>
                <w:sz w:val="18"/>
                <w:szCs w:val="18"/>
              </w:rPr>
              <w:t xml:space="preserve"> -</w:t>
            </w:r>
            <w:r w:rsidR="00D61B3C" w:rsidRPr="00D61B3C">
              <w:rPr>
                <w:rFonts w:ascii="Calibri" w:hAnsi="Calibri" w:cs="Calibri"/>
                <w:b/>
                <w:sz w:val="18"/>
                <w:szCs w:val="18"/>
              </w:rPr>
              <w:t xml:space="preserve"> </w:t>
            </w:r>
            <w:r w:rsidR="00D61B3C" w:rsidRPr="00D61B3C">
              <w:rPr>
                <w:rFonts w:ascii="Calibri" w:hAnsi="Calibri" w:cs="Calibri"/>
                <w:sz w:val="18"/>
                <w:szCs w:val="18"/>
              </w:rPr>
              <w:t>čerpáno</w:t>
            </w:r>
            <w:r w:rsidRPr="00E802ED">
              <w:rPr>
                <w:rFonts w:ascii="Calibri" w:hAnsi="Calibri" w:cs="Calibri"/>
                <w:sz w:val="18"/>
                <w:szCs w:val="18"/>
              </w:rPr>
              <w:t xml:space="preserve"> na 50,29 %</w:t>
            </w:r>
            <w:r>
              <w:rPr>
                <w:rFonts w:ascii="Calibri" w:hAnsi="Calibri" w:cs="Calibri"/>
                <w:sz w:val="18"/>
                <w:szCs w:val="18"/>
              </w:rPr>
              <w:t>.</w:t>
            </w:r>
          </w:p>
        </w:tc>
      </w:tr>
      <w:tr w:rsidR="00E802ED" w:rsidTr="00D61B3C">
        <w:trPr>
          <w:divId w:val="2053571053"/>
        </w:trPr>
        <w:tc>
          <w:tcPr>
            <w:tcW w:w="779" w:type="dxa"/>
            <w:gridSpan w:val="2"/>
            <w:tcBorders>
              <w:top w:val="single" w:sz="4" w:space="0" w:color="auto"/>
              <w:left w:val="single" w:sz="4" w:space="0" w:color="auto"/>
              <w:bottom w:val="single" w:sz="4" w:space="0" w:color="auto"/>
              <w:right w:val="single" w:sz="4" w:space="0" w:color="auto"/>
            </w:tcBorders>
          </w:tcPr>
          <w:p w:rsidR="00E802ED" w:rsidRPr="00E802ED" w:rsidRDefault="00E802ED" w:rsidP="00F11E4B">
            <w:pPr>
              <w:jc w:val="center"/>
              <w:rPr>
                <w:rFonts w:ascii="Calibri" w:hAnsi="Calibri" w:cs="Calibri"/>
                <w:sz w:val="18"/>
                <w:szCs w:val="18"/>
              </w:rPr>
            </w:pPr>
            <w:r>
              <w:rPr>
                <w:rFonts w:ascii="Calibri" w:hAnsi="Calibri" w:cs="Calibri"/>
                <w:sz w:val="18"/>
                <w:szCs w:val="18"/>
              </w:rPr>
              <w:t>6320</w:t>
            </w:r>
          </w:p>
        </w:tc>
        <w:tc>
          <w:tcPr>
            <w:tcW w:w="851" w:type="dxa"/>
            <w:gridSpan w:val="3"/>
            <w:tcBorders>
              <w:top w:val="single" w:sz="4" w:space="0" w:color="auto"/>
              <w:left w:val="single" w:sz="4" w:space="0" w:color="auto"/>
              <w:bottom w:val="single" w:sz="4" w:space="0" w:color="auto"/>
              <w:right w:val="single" w:sz="4" w:space="0" w:color="auto"/>
            </w:tcBorders>
          </w:tcPr>
          <w:p w:rsidR="00E802ED" w:rsidRPr="00E802ED" w:rsidRDefault="00E802ED" w:rsidP="00F11E4B">
            <w:pPr>
              <w:jc w:val="center"/>
              <w:rPr>
                <w:rFonts w:ascii="Calibri" w:hAnsi="Calibri" w:cs="Calibri"/>
                <w:sz w:val="18"/>
                <w:szCs w:val="18"/>
              </w:rPr>
            </w:pPr>
            <w:r>
              <w:rPr>
                <w:rFonts w:ascii="Calibri" w:hAnsi="Calibri" w:cs="Calibri"/>
                <w:sz w:val="18"/>
                <w:szCs w:val="18"/>
              </w:rPr>
              <w:t>5163</w:t>
            </w:r>
          </w:p>
        </w:tc>
        <w:tc>
          <w:tcPr>
            <w:tcW w:w="1417" w:type="dxa"/>
            <w:gridSpan w:val="5"/>
            <w:tcBorders>
              <w:top w:val="single" w:sz="4" w:space="0" w:color="auto"/>
              <w:left w:val="single" w:sz="4" w:space="0" w:color="auto"/>
              <w:bottom w:val="single" w:sz="4" w:space="0" w:color="auto"/>
              <w:right w:val="single" w:sz="4" w:space="0" w:color="auto"/>
            </w:tcBorders>
          </w:tcPr>
          <w:p w:rsidR="00E802ED" w:rsidRPr="00E802ED" w:rsidRDefault="00E802ED" w:rsidP="00F11E4B">
            <w:pPr>
              <w:jc w:val="center"/>
              <w:rPr>
                <w:rFonts w:ascii="Calibri" w:hAnsi="Calibri" w:cs="Calibri"/>
                <w:sz w:val="18"/>
                <w:szCs w:val="18"/>
              </w:rPr>
            </w:pPr>
            <w:r w:rsidRPr="00E802ED">
              <w:rPr>
                <w:rFonts w:ascii="Calibri" w:hAnsi="Calibri" w:cs="Calibri"/>
                <w:sz w:val="18"/>
                <w:szCs w:val="18"/>
              </w:rPr>
              <w:t>0700000000000</w:t>
            </w:r>
          </w:p>
        </w:tc>
        <w:tc>
          <w:tcPr>
            <w:tcW w:w="851" w:type="dxa"/>
            <w:gridSpan w:val="4"/>
            <w:tcBorders>
              <w:top w:val="single" w:sz="4" w:space="0" w:color="auto"/>
              <w:left w:val="single" w:sz="4" w:space="0" w:color="auto"/>
              <w:bottom w:val="single" w:sz="4" w:space="0" w:color="auto"/>
              <w:right w:val="single" w:sz="4" w:space="0" w:color="auto"/>
            </w:tcBorders>
          </w:tcPr>
          <w:p w:rsidR="00E802ED" w:rsidRPr="00E802ED" w:rsidRDefault="00E802ED" w:rsidP="00F11E4B">
            <w:pPr>
              <w:jc w:val="center"/>
              <w:rPr>
                <w:rFonts w:ascii="Calibri" w:hAnsi="Calibri" w:cs="Calibri"/>
                <w:sz w:val="18"/>
                <w:szCs w:val="18"/>
              </w:rPr>
            </w:pPr>
          </w:p>
        </w:tc>
        <w:tc>
          <w:tcPr>
            <w:tcW w:w="992" w:type="dxa"/>
            <w:gridSpan w:val="3"/>
            <w:tcBorders>
              <w:top w:val="single" w:sz="4" w:space="0" w:color="auto"/>
              <w:left w:val="single" w:sz="4" w:space="0" w:color="auto"/>
              <w:bottom w:val="single" w:sz="4" w:space="0" w:color="auto"/>
              <w:right w:val="single" w:sz="4" w:space="0" w:color="auto"/>
            </w:tcBorders>
          </w:tcPr>
          <w:p w:rsidR="00E802ED" w:rsidRPr="00E802ED" w:rsidRDefault="00E802ED" w:rsidP="00F11E4B">
            <w:pPr>
              <w:jc w:val="right"/>
              <w:rPr>
                <w:rFonts w:ascii="Calibri" w:hAnsi="Calibri" w:cs="Calibri"/>
                <w:sz w:val="18"/>
                <w:szCs w:val="18"/>
              </w:rPr>
            </w:pPr>
            <w:r>
              <w:rPr>
                <w:rFonts w:ascii="Calibri" w:hAnsi="Calibri" w:cs="Calibri"/>
                <w:sz w:val="18"/>
                <w:szCs w:val="18"/>
              </w:rPr>
              <w:t>4 303,43</w:t>
            </w:r>
          </w:p>
        </w:tc>
        <w:tc>
          <w:tcPr>
            <w:tcW w:w="992" w:type="dxa"/>
            <w:gridSpan w:val="3"/>
            <w:tcBorders>
              <w:top w:val="single" w:sz="4" w:space="0" w:color="auto"/>
              <w:left w:val="single" w:sz="4" w:space="0" w:color="auto"/>
              <w:bottom w:val="single" w:sz="4" w:space="0" w:color="auto"/>
              <w:right w:val="single" w:sz="4" w:space="0" w:color="auto"/>
            </w:tcBorders>
          </w:tcPr>
          <w:p w:rsidR="00E802ED" w:rsidRPr="00E802ED" w:rsidRDefault="00E802ED" w:rsidP="00F11E4B">
            <w:pPr>
              <w:jc w:val="right"/>
              <w:rPr>
                <w:rFonts w:ascii="Calibri" w:hAnsi="Calibri" w:cs="Calibri"/>
                <w:sz w:val="18"/>
                <w:szCs w:val="18"/>
              </w:rPr>
            </w:pPr>
            <w:r>
              <w:rPr>
                <w:rFonts w:ascii="Calibri" w:hAnsi="Calibri" w:cs="Calibri"/>
                <w:sz w:val="18"/>
                <w:szCs w:val="18"/>
              </w:rPr>
              <w:t>2 928,89</w:t>
            </w:r>
          </w:p>
        </w:tc>
        <w:tc>
          <w:tcPr>
            <w:tcW w:w="3757" w:type="dxa"/>
            <w:gridSpan w:val="12"/>
            <w:tcBorders>
              <w:top w:val="single" w:sz="4" w:space="0" w:color="auto"/>
              <w:left w:val="single" w:sz="4" w:space="0" w:color="auto"/>
              <w:bottom w:val="single" w:sz="4" w:space="0" w:color="auto"/>
              <w:right w:val="single" w:sz="4" w:space="0" w:color="auto"/>
            </w:tcBorders>
          </w:tcPr>
          <w:p w:rsidR="00E802ED" w:rsidRPr="00E802ED" w:rsidRDefault="00E802ED" w:rsidP="00D61B3C">
            <w:pPr>
              <w:rPr>
                <w:rFonts w:ascii="Calibri" w:hAnsi="Calibri" w:cs="Calibri"/>
                <w:b/>
                <w:sz w:val="18"/>
                <w:szCs w:val="18"/>
                <w:u w:val="single"/>
              </w:rPr>
            </w:pPr>
            <w:r>
              <w:rPr>
                <w:rFonts w:ascii="Calibri" w:hAnsi="Calibri" w:cs="Calibri"/>
                <w:b/>
                <w:sz w:val="18"/>
                <w:szCs w:val="18"/>
                <w:u w:val="single"/>
              </w:rPr>
              <w:t>Služby peněžních ústavů</w:t>
            </w:r>
            <w:r w:rsidR="00D61B3C">
              <w:rPr>
                <w:rFonts w:ascii="Calibri" w:hAnsi="Calibri" w:cs="Calibri"/>
                <w:sz w:val="18"/>
                <w:szCs w:val="18"/>
              </w:rPr>
              <w:t xml:space="preserve"> – čerpáno </w:t>
            </w:r>
            <w:r w:rsidRPr="00E802ED">
              <w:rPr>
                <w:rFonts w:ascii="Calibri" w:hAnsi="Calibri" w:cs="Calibri"/>
                <w:sz w:val="18"/>
                <w:szCs w:val="18"/>
              </w:rPr>
              <w:t xml:space="preserve">na </w:t>
            </w:r>
            <w:r>
              <w:rPr>
                <w:rFonts w:ascii="Calibri" w:hAnsi="Calibri" w:cs="Calibri"/>
                <w:sz w:val="18"/>
                <w:szCs w:val="18"/>
              </w:rPr>
              <w:t>68,06</w:t>
            </w:r>
            <w:r w:rsidRPr="00E802ED">
              <w:rPr>
                <w:rFonts w:ascii="Calibri" w:hAnsi="Calibri" w:cs="Calibri"/>
                <w:sz w:val="18"/>
                <w:szCs w:val="18"/>
              </w:rPr>
              <w:t xml:space="preserve"> %</w:t>
            </w:r>
            <w:r>
              <w:rPr>
                <w:rFonts w:ascii="Calibri" w:hAnsi="Calibri" w:cs="Calibri"/>
                <w:sz w:val="18"/>
                <w:szCs w:val="18"/>
              </w:rPr>
              <w:t>.</w:t>
            </w:r>
          </w:p>
        </w:tc>
      </w:tr>
      <w:tr w:rsidR="00F11E4B" w:rsidTr="00D61B3C">
        <w:trPr>
          <w:divId w:val="2053571053"/>
        </w:trPr>
        <w:tc>
          <w:tcPr>
            <w:tcW w:w="779" w:type="dxa"/>
            <w:gridSpan w:val="2"/>
            <w:tcBorders>
              <w:top w:val="single" w:sz="4" w:space="0" w:color="auto"/>
              <w:left w:val="single" w:sz="4" w:space="0" w:color="auto"/>
              <w:bottom w:val="single" w:sz="4" w:space="0" w:color="auto"/>
              <w:right w:val="single" w:sz="4" w:space="0" w:color="auto"/>
            </w:tcBorders>
            <w:hideMark/>
          </w:tcPr>
          <w:p w:rsidR="00F11E4B" w:rsidRPr="00E802ED" w:rsidRDefault="00F11E4B" w:rsidP="00F11E4B">
            <w:pPr>
              <w:jc w:val="center"/>
              <w:rPr>
                <w:rFonts w:ascii="Calibri" w:hAnsi="Calibri" w:cs="Calibri"/>
                <w:sz w:val="18"/>
                <w:szCs w:val="18"/>
              </w:rPr>
            </w:pPr>
            <w:r w:rsidRPr="00E802ED">
              <w:rPr>
                <w:rFonts w:ascii="Calibri" w:hAnsi="Calibri" w:cs="Calibri"/>
                <w:sz w:val="18"/>
                <w:szCs w:val="18"/>
              </w:rPr>
              <w:t>6171</w:t>
            </w:r>
          </w:p>
        </w:tc>
        <w:tc>
          <w:tcPr>
            <w:tcW w:w="851" w:type="dxa"/>
            <w:gridSpan w:val="3"/>
            <w:tcBorders>
              <w:top w:val="single" w:sz="4" w:space="0" w:color="auto"/>
              <w:left w:val="single" w:sz="4" w:space="0" w:color="auto"/>
              <w:bottom w:val="single" w:sz="4" w:space="0" w:color="auto"/>
              <w:right w:val="single" w:sz="4" w:space="0" w:color="auto"/>
            </w:tcBorders>
            <w:hideMark/>
          </w:tcPr>
          <w:p w:rsidR="00F11E4B" w:rsidRPr="00E802ED" w:rsidRDefault="00F11E4B" w:rsidP="00F11E4B">
            <w:pPr>
              <w:jc w:val="center"/>
              <w:rPr>
                <w:rFonts w:ascii="Calibri" w:hAnsi="Calibri" w:cs="Calibri"/>
                <w:sz w:val="18"/>
                <w:szCs w:val="18"/>
              </w:rPr>
            </w:pPr>
            <w:r w:rsidRPr="00E802ED">
              <w:rPr>
                <w:rFonts w:ascii="Calibri" w:hAnsi="Calibri" w:cs="Calibri"/>
                <w:sz w:val="18"/>
                <w:szCs w:val="18"/>
              </w:rPr>
              <w:t>5166</w:t>
            </w:r>
          </w:p>
        </w:tc>
        <w:tc>
          <w:tcPr>
            <w:tcW w:w="1417" w:type="dxa"/>
            <w:gridSpan w:val="5"/>
            <w:tcBorders>
              <w:top w:val="single" w:sz="4" w:space="0" w:color="auto"/>
              <w:left w:val="single" w:sz="4" w:space="0" w:color="auto"/>
              <w:bottom w:val="single" w:sz="4" w:space="0" w:color="auto"/>
              <w:right w:val="single" w:sz="4" w:space="0" w:color="auto"/>
            </w:tcBorders>
            <w:hideMark/>
          </w:tcPr>
          <w:p w:rsidR="00F11E4B" w:rsidRPr="00E802ED" w:rsidRDefault="00F11E4B" w:rsidP="00F11E4B">
            <w:pPr>
              <w:jc w:val="center"/>
              <w:rPr>
                <w:rFonts w:ascii="Calibri" w:hAnsi="Calibri" w:cs="Calibri"/>
                <w:sz w:val="18"/>
                <w:szCs w:val="18"/>
              </w:rPr>
            </w:pPr>
            <w:r w:rsidRPr="00E802ED">
              <w:rPr>
                <w:rFonts w:ascii="Calibri" w:hAnsi="Calibri" w:cs="Calibri"/>
                <w:sz w:val="18"/>
                <w:szCs w:val="18"/>
              </w:rPr>
              <w:t>0700000000000</w:t>
            </w:r>
          </w:p>
        </w:tc>
        <w:tc>
          <w:tcPr>
            <w:tcW w:w="851" w:type="dxa"/>
            <w:gridSpan w:val="4"/>
            <w:tcBorders>
              <w:top w:val="single" w:sz="4" w:space="0" w:color="auto"/>
              <w:left w:val="single" w:sz="4" w:space="0" w:color="auto"/>
              <w:bottom w:val="single" w:sz="4" w:space="0" w:color="auto"/>
              <w:right w:val="single" w:sz="4" w:space="0" w:color="auto"/>
            </w:tcBorders>
          </w:tcPr>
          <w:p w:rsidR="00F11E4B" w:rsidRPr="00E802ED" w:rsidRDefault="00F11E4B" w:rsidP="00F11E4B">
            <w:pPr>
              <w:jc w:val="center"/>
              <w:rPr>
                <w:rFonts w:ascii="Calibri" w:hAnsi="Calibri" w:cs="Calibri"/>
                <w:sz w:val="18"/>
                <w:szCs w:val="18"/>
              </w:rPr>
            </w:pPr>
          </w:p>
        </w:tc>
        <w:tc>
          <w:tcPr>
            <w:tcW w:w="992" w:type="dxa"/>
            <w:gridSpan w:val="3"/>
            <w:tcBorders>
              <w:top w:val="single" w:sz="4" w:space="0" w:color="auto"/>
              <w:left w:val="single" w:sz="4" w:space="0" w:color="auto"/>
              <w:bottom w:val="single" w:sz="4" w:space="0" w:color="auto"/>
              <w:right w:val="single" w:sz="4" w:space="0" w:color="auto"/>
            </w:tcBorders>
            <w:hideMark/>
          </w:tcPr>
          <w:p w:rsidR="00F11E4B" w:rsidRPr="00E802ED" w:rsidRDefault="00E802ED" w:rsidP="00F11E4B">
            <w:pPr>
              <w:jc w:val="right"/>
              <w:rPr>
                <w:rFonts w:ascii="Calibri" w:hAnsi="Calibri" w:cs="Calibri"/>
                <w:sz w:val="18"/>
                <w:szCs w:val="18"/>
              </w:rPr>
            </w:pPr>
            <w:r w:rsidRPr="00E802ED">
              <w:rPr>
                <w:rFonts w:ascii="Calibri" w:hAnsi="Calibri" w:cs="Calibri"/>
                <w:sz w:val="18"/>
                <w:szCs w:val="18"/>
              </w:rPr>
              <w:t>1 000,00</w:t>
            </w:r>
          </w:p>
        </w:tc>
        <w:tc>
          <w:tcPr>
            <w:tcW w:w="992" w:type="dxa"/>
            <w:gridSpan w:val="3"/>
            <w:tcBorders>
              <w:top w:val="single" w:sz="4" w:space="0" w:color="auto"/>
              <w:left w:val="single" w:sz="4" w:space="0" w:color="auto"/>
              <w:bottom w:val="single" w:sz="4" w:space="0" w:color="auto"/>
              <w:right w:val="single" w:sz="4" w:space="0" w:color="auto"/>
            </w:tcBorders>
            <w:hideMark/>
          </w:tcPr>
          <w:p w:rsidR="00F11E4B" w:rsidRPr="00E802ED" w:rsidRDefault="00E802ED" w:rsidP="00F11E4B">
            <w:pPr>
              <w:jc w:val="right"/>
              <w:rPr>
                <w:rFonts w:ascii="Calibri" w:hAnsi="Calibri" w:cs="Calibri"/>
                <w:sz w:val="18"/>
                <w:szCs w:val="18"/>
              </w:rPr>
            </w:pPr>
            <w:r w:rsidRPr="00E802ED">
              <w:rPr>
                <w:rFonts w:ascii="Calibri" w:hAnsi="Calibri" w:cs="Calibri"/>
                <w:sz w:val="18"/>
                <w:szCs w:val="18"/>
              </w:rPr>
              <w:t>572,43</w:t>
            </w:r>
          </w:p>
        </w:tc>
        <w:tc>
          <w:tcPr>
            <w:tcW w:w="3757" w:type="dxa"/>
            <w:gridSpan w:val="12"/>
            <w:tcBorders>
              <w:top w:val="single" w:sz="4" w:space="0" w:color="auto"/>
              <w:left w:val="single" w:sz="4" w:space="0" w:color="auto"/>
              <w:bottom w:val="single" w:sz="4" w:space="0" w:color="auto"/>
              <w:right w:val="single" w:sz="4" w:space="0" w:color="auto"/>
            </w:tcBorders>
            <w:hideMark/>
          </w:tcPr>
          <w:p w:rsidR="00F11E4B" w:rsidRPr="00E802ED" w:rsidRDefault="00F11E4B" w:rsidP="00F11E4B">
            <w:pPr>
              <w:rPr>
                <w:rFonts w:ascii="Calibri" w:hAnsi="Calibri" w:cs="Calibri"/>
                <w:b/>
                <w:sz w:val="18"/>
                <w:szCs w:val="18"/>
                <w:u w:val="single"/>
              </w:rPr>
            </w:pPr>
            <w:r w:rsidRPr="00E802ED">
              <w:rPr>
                <w:rFonts w:ascii="Calibri" w:hAnsi="Calibri" w:cs="Calibri"/>
                <w:b/>
                <w:sz w:val="18"/>
                <w:szCs w:val="18"/>
                <w:u w:val="single"/>
              </w:rPr>
              <w:t>Konzultační, poradenské a právní služby</w:t>
            </w:r>
          </w:p>
          <w:p w:rsidR="00F11E4B" w:rsidRPr="00E802ED" w:rsidRDefault="00F11E4B" w:rsidP="00F11E4B">
            <w:pPr>
              <w:rPr>
                <w:rFonts w:ascii="Calibri" w:hAnsi="Calibri" w:cs="Calibri"/>
                <w:b/>
                <w:sz w:val="18"/>
                <w:szCs w:val="18"/>
                <w:u w:val="single"/>
              </w:rPr>
            </w:pPr>
            <w:r w:rsidRPr="00E802ED">
              <w:rPr>
                <w:rFonts w:ascii="Calibri" w:hAnsi="Calibri" w:cs="Calibri"/>
                <w:sz w:val="18"/>
                <w:szCs w:val="18"/>
              </w:rPr>
              <w:t>Z této položky je hrazeno zejména daňové poradenství a auditorské služby.</w:t>
            </w:r>
          </w:p>
        </w:tc>
      </w:tr>
      <w:tr w:rsidR="00F11E4B" w:rsidTr="00D61B3C">
        <w:trPr>
          <w:divId w:val="2053571053"/>
        </w:trPr>
        <w:tc>
          <w:tcPr>
            <w:tcW w:w="779" w:type="dxa"/>
            <w:gridSpan w:val="2"/>
            <w:tcBorders>
              <w:top w:val="single" w:sz="4" w:space="0" w:color="auto"/>
              <w:left w:val="single" w:sz="4" w:space="0" w:color="auto"/>
              <w:bottom w:val="single" w:sz="4" w:space="0" w:color="auto"/>
              <w:right w:val="single" w:sz="4" w:space="0" w:color="auto"/>
            </w:tcBorders>
            <w:hideMark/>
          </w:tcPr>
          <w:p w:rsidR="00F11E4B" w:rsidRPr="005A4459" w:rsidRDefault="00F11E4B" w:rsidP="00F11E4B">
            <w:pPr>
              <w:jc w:val="center"/>
              <w:rPr>
                <w:rFonts w:ascii="Calibri" w:hAnsi="Calibri" w:cs="Calibri"/>
                <w:sz w:val="18"/>
                <w:szCs w:val="18"/>
              </w:rPr>
            </w:pPr>
            <w:r w:rsidRPr="005A4459">
              <w:rPr>
                <w:rFonts w:ascii="Calibri" w:hAnsi="Calibri" w:cs="Calibri"/>
                <w:sz w:val="18"/>
                <w:szCs w:val="18"/>
              </w:rPr>
              <w:t>6171</w:t>
            </w:r>
          </w:p>
        </w:tc>
        <w:tc>
          <w:tcPr>
            <w:tcW w:w="851" w:type="dxa"/>
            <w:gridSpan w:val="3"/>
            <w:tcBorders>
              <w:top w:val="single" w:sz="4" w:space="0" w:color="auto"/>
              <w:left w:val="single" w:sz="4" w:space="0" w:color="auto"/>
              <w:bottom w:val="single" w:sz="4" w:space="0" w:color="auto"/>
              <w:right w:val="single" w:sz="4" w:space="0" w:color="auto"/>
            </w:tcBorders>
            <w:hideMark/>
          </w:tcPr>
          <w:p w:rsidR="00F11E4B" w:rsidRPr="005A4459" w:rsidRDefault="00F11E4B" w:rsidP="00F11E4B">
            <w:pPr>
              <w:jc w:val="center"/>
              <w:rPr>
                <w:rFonts w:ascii="Calibri" w:hAnsi="Calibri" w:cs="Calibri"/>
                <w:sz w:val="18"/>
                <w:szCs w:val="18"/>
              </w:rPr>
            </w:pPr>
            <w:r w:rsidRPr="005A4459">
              <w:rPr>
                <w:rFonts w:ascii="Calibri" w:hAnsi="Calibri" w:cs="Calibri"/>
                <w:sz w:val="18"/>
                <w:szCs w:val="18"/>
              </w:rPr>
              <w:t>5167</w:t>
            </w:r>
          </w:p>
        </w:tc>
        <w:tc>
          <w:tcPr>
            <w:tcW w:w="1417" w:type="dxa"/>
            <w:gridSpan w:val="5"/>
            <w:tcBorders>
              <w:top w:val="single" w:sz="4" w:space="0" w:color="auto"/>
              <w:left w:val="single" w:sz="4" w:space="0" w:color="auto"/>
              <w:bottom w:val="single" w:sz="4" w:space="0" w:color="auto"/>
              <w:right w:val="single" w:sz="4" w:space="0" w:color="auto"/>
            </w:tcBorders>
            <w:hideMark/>
          </w:tcPr>
          <w:p w:rsidR="00F11E4B" w:rsidRPr="005A4459" w:rsidRDefault="00F11E4B" w:rsidP="00F11E4B">
            <w:pPr>
              <w:jc w:val="center"/>
              <w:rPr>
                <w:rFonts w:ascii="Calibri" w:hAnsi="Calibri" w:cs="Calibri"/>
                <w:sz w:val="18"/>
                <w:szCs w:val="18"/>
              </w:rPr>
            </w:pPr>
            <w:r w:rsidRPr="005A4459">
              <w:rPr>
                <w:rFonts w:ascii="Calibri" w:hAnsi="Calibri" w:cs="Calibri"/>
                <w:sz w:val="18"/>
                <w:szCs w:val="18"/>
              </w:rPr>
              <w:t>0700000000000</w:t>
            </w:r>
          </w:p>
        </w:tc>
        <w:tc>
          <w:tcPr>
            <w:tcW w:w="851" w:type="dxa"/>
            <w:gridSpan w:val="4"/>
            <w:tcBorders>
              <w:top w:val="single" w:sz="4" w:space="0" w:color="auto"/>
              <w:left w:val="single" w:sz="4" w:space="0" w:color="auto"/>
              <w:bottom w:val="single" w:sz="4" w:space="0" w:color="auto"/>
              <w:right w:val="single" w:sz="4" w:space="0" w:color="auto"/>
            </w:tcBorders>
          </w:tcPr>
          <w:p w:rsidR="00F11E4B" w:rsidRPr="005A4459" w:rsidRDefault="00F11E4B" w:rsidP="00F11E4B">
            <w:pPr>
              <w:jc w:val="center"/>
              <w:rPr>
                <w:rFonts w:ascii="Calibri" w:hAnsi="Calibri" w:cs="Calibri"/>
                <w:sz w:val="18"/>
                <w:szCs w:val="18"/>
              </w:rPr>
            </w:pPr>
          </w:p>
        </w:tc>
        <w:tc>
          <w:tcPr>
            <w:tcW w:w="992" w:type="dxa"/>
            <w:gridSpan w:val="3"/>
            <w:tcBorders>
              <w:top w:val="single" w:sz="4" w:space="0" w:color="auto"/>
              <w:left w:val="single" w:sz="4" w:space="0" w:color="auto"/>
              <w:bottom w:val="single" w:sz="4" w:space="0" w:color="auto"/>
              <w:right w:val="single" w:sz="4" w:space="0" w:color="auto"/>
            </w:tcBorders>
            <w:hideMark/>
          </w:tcPr>
          <w:p w:rsidR="00F11E4B" w:rsidRPr="005A4459" w:rsidRDefault="00F11E4B" w:rsidP="00F11E4B">
            <w:pPr>
              <w:jc w:val="right"/>
              <w:rPr>
                <w:rFonts w:ascii="Calibri" w:hAnsi="Calibri" w:cs="Calibri"/>
                <w:sz w:val="18"/>
                <w:szCs w:val="18"/>
              </w:rPr>
            </w:pPr>
            <w:r w:rsidRPr="005A4459">
              <w:rPr>
                <w:rFonts w:ascii="Calibri" w:hAnsi="Calibri" w:cs="Calibri"/>
                <w:sz w:val="18"/>
                <w:szCs w:val="18"/>
              </w:rPr>
              <w:t>20,00</w:t>
            </w:r>
          </w:p>
        </w:tc>
        <w:tc>
          <w:tcPr>
            <w:tcW w:w="992" w:type="dxa"/>
            <w:gridSpan w:val="3"/>
            <w:tcBorders>
              <w:top w:val="single" w:sz="4" w:space="0" w:color="auto"/>
              <w:left w:val="single" w:sz="4" w:space="0" w:color="auto"/>
              <w:bottom w:val="single" w:sz="4" w:space="0" w:color="auto"/>
              <w:right w:val="single" w:sz="4" w:space="0" w:color="auto"/>
            </w:tcBorders>
            <w:hideMark/>
          </w:tcPr>
          <w:p w:rsidR="00F11E4B" w:rsidRPr="005A4459" w:rsidRDefault="00514A8A" w:rsidP="00F11E4B">
            <w:pPr>
              <w:jc w:val="right"/>
              <w:rPr>
                <w:rFonts w:ascii="Calibri" w:hAnsi="Calibri" w:cs="Calibri"/>
                <w:sz w:val="18"/>
                <w:szCs w:val="18"/>
              </w:rPr>
            </w:pPr>
            <w:r w:rsidRPr="005A4459">
              <w:rPr>
                <w:rFonts w:ascii="Calibri" w:hAnsi="Calibri" w:cs="Calibri"/>
                <w:sz w:val="18"/>
                <w:szCs w:val="18"/>
              </w:rPr>
              <w:t>12,10</w:t>
            </w:r>
          </w:p>
        </w:tc>
        <w:tc>
          <w:tcPr>
            <w:tcW w:w="3757" w:type="dxa"/>
            <w:gridSpan w:val="12"/>
            <w:tcBorders>
              <w:top w:val="single" w:sz="4" w:space="0" w:color="auto"/>
              <w:left w:val="single" w:sz="4" w:space="0" w:color="auto"/>
              <w:bottom w:val="single" w:sz="4" w:space="0" w:color="auto"/>
              <w:right w:val="single" w:sz="4" w:space="0" w:color="auto"/>
            </w:tcBorders>
            <w:hideMark/>
          </w:tcPr>
          <w:p w:rsidR="00F11E4B" w:rsidRPr="005A4459" w:rsidRDefault="00F11E4B" w:rsidP="00F11E4B">
            <w:pPr>
              <w:rPr>
                <w:rFonts w:ascii="Calibri" w:hAnsi="Calibri" w:cs="Calibri"/>
                <w:b/>
                <w:sz w:val="18"/>
                <w:szCs w:val="18"/>
                <w:u w:val="single"/>
              </w:rPr>
            </w:pPr>
            <w:r w:rsidRPr="005A4459">
              <w:rPr>
                <w:rFonts w:ascii="Calibri" w:hAnsi="Calibri" w:cs="Calibri"/>
                <w:b/>
                <w:sz w:val="18"/>
                <w:szCs w:val="18"/>
                <w:u w:val="single"/>
              </w:rPr>
              <w:t>Služby školení a vzdělávání</w:t>
            </w:r>
          </w:p>
          <w:p w:rsidR="00F11E4B" w:rsidRPr="005A4459" w:rsidRDefault="00514A8A" w:rsidP="00F11E4B">
            <w:pPr>
              <w:rPr>
                <w:rFonts w:ascii="Calibri" w:hAnsi="Calibri" w:cs="Calibri"/>
                <w:sz w:val="18"/>
                <w:szCs w:val="18"/>
              </w:rPr>
            </w:pPr>
            <w:r w:rsidRPr="005A4459">
              <w:rPr>
                <w:rFonts w:ascii="Calibri" w:hAnsi="Calibri" w:cs="Calibri"/>
                <w:sz w:val="18"/>
                <w:szCs w:val="18"/>
              </w:rPr>
              <w:t>S</w:t>
            </w:r>
            <w:r w:rsidR="005A4459" w:rsidRPr="005A4459">
              <w:rPr>
                <w:rFonts w:ascii="Calibri" w:hAnsi="Calibri" w:cs="Calibri"/>
                <w:sz w:val="18"/>
                <w:szCs w:val="18"/>
              </w:rPr>
              <w:t xml:space="preserve">eminář </w:t>
            </w:r>
            <w:r w:rsidRPr="005A4459">
              <w:rPr>
                <w:rFonts w:ascii="Calibri" w:hAnsi="Calibri" w:cs="Calibri"/>
                <w:sz w:val="18"/>
                <w:szCs w:val="18"/>
              </w:rPr>
              <w:t>"Účetní závěrka k 31.</w:t>
            </w:r>
            <w:r w:rsidR="005A4459" w:rsidRPr="005A4459">
              <w:rPr>
                <w:rFonts w:ascii="Calibri" w:hAnsi="Calibri" w:cs="Calibri"/>
                <w:sz w:val="18"/>
                <w:szCs w:val="18"/>
              </w:rPr>
              <w:t xml:space="preserve"> </w:t>
            </w:r>
            <w:r w:rsidRPr="005A4459">
              <w:rPr>
                <w:rFonts w:ascii="Calibri" w:hAnsi="Calibri" w:cs="Calibri"/>
                <w:sz w:val="18"/>
                <w:szCs w:val="18"/>
              </w:rPr>
              <w:t>12. 2022 a připravované změny v účetnictví VÚJ"</w:t>
            </w:r>
          </w:p>
        </w:tc>
      </w:tr>
      <w:tr w:rsidR="00F11E4B" w:rsidTr="00D61B3C">
        <w:trPr>
          <w:divId w:val="2053571053"/>
        </w:trPr>
        <w:tc>
          <w:tcPr>
            <w:tcW w:w="779" w:type="dxa"/>
            <w:gridSpan w:val="2"/>
            <w:tcBorders>
              <w:top w:val="single" w:sz="4" w:space="0" w:color="auto"/>
              <w:left w:val="single" w:sz="4" w:space="0" w:color="auto"/>
              <w:bottom w:val="single" w:sz="4" w:space="0" w:color="auto"/>
              <w:right w:val="single" w:sz="4" w:space="0" w:color="auto"/>
            </w:tcBorders>
            <w:hideMark/>
          </w:tcPr>
          <w:p w:rsidR="00F11E4B" w:rsidRPr="00514A8A" w:rsidRDefault="00F11E4B" w:rsidP="00F11E4B">
            <w:pPr>
              <w:jc w:val="center"/>
              <w:rPr>
                <w:rFonts w:ascii="Calibri" w:hAnsi="Calibri" w:cs="Calibri"/>
                <w:sz w:val="18"/>
                <w:szCs w:val="18"/>
              </w:rPr>
            </w:pPr>
            <w:r w:rsidRPr="00514A8A">
              <w:rPr>
                <w:rFonts w:ascii="Calibri" w:hAnsi="Calibri" w:cs="Calibri"/>
                <w:sz w:val="18"/>
                <w:szCs w:val="18"/>
              </w:rPr>
              <w:t>6171</w:t>
            </w:r>
          </w:p>
        </w:tc>
        <w:tc>
          <w:tcPr>
            <w:tcW w:w="851" w:type="dxa"/>
            <w:gridSpan w:val="3"/>
            <w:tcBorders>
              <w:top w:val="single" w:sz="4" w:space="0" w:color="auto"/>
              <w:left w:val="single" w:sz="4" w:space="0" w:color="auto"/>
              <w:bottom w:val="single" w:sz="4" w:space="0" w:color="auto"/>
              <w:right w:val="single" w:sz="4" w:space="0" w:color="auto"/>
            </w:tcBorders>
            <w:hideMark/>
          </w:tcPr>
          <w:p w:rsidR="00F11E4B" w:rsidRPr="00514A8A" w:rsidRDefault="00F11E4B" w:rsidP="00F11E4B">
            <w:pPr>
              <w:jc w:val="center"/>
              <w:rPr>
                <w:rFonts w:ascii="Calibri" w:hAnsi="Calibri" w:cs="Calibri"/>
                <w:sz w:val="18"/>
                <w:szCs w:val="18"/>
              </w:rPr>
            </w:pPr>
            <w:r w:rsidRPr="00514A8A">
              <w:rPr>
                <w:rFonts w:ascii="Calibri" w:hAnsi="Calibri" w:cs="Calibri"/>
                <w:sz w:val="18"/>
                <w:szCs w:val="18"/>
              </w:rPr>
              <w:t>5169</w:t>
            </w:r>
          </w:p>
        </w:tc>
        <w:tc>
          <w:tcPr>
            <w:tcW w:w="1417" w:type="dxa"/>
            <w:gridSpan w:val="5"/>
            <w:tcBorders>
              <w:top w:val="single" w:sz="4" w:space="0" w:color="auto"/>
              <w:left w:val="single" w:sz="4" w:space="0" w:color="auto"/>
              <w:bottom w:val="single" w:sz="4" w:space="0" w:color="auto"/>
              <w:right w:val="single" w:sz="4" w:space="0" w:color="auto"/>
            </w:tcBorders>
            <w:hideMark/>
          </w:tcPr>
          <w:p w:rsidR="00F11E4B" w:rsidRPr="00514A8A" w:rsidRDefault="00F11E4B" w:rsidP="00F11E4B">
            <w:pPr>
              <w:jc w:val="center"/>
              <w:rPr>
                <w:rFonts w:ascii="Calibri" w:hAnsi="Calibri" w:cs="Calibri"/>
                <w:sz w:val="18"/>
                <w:szCs w:val="18"/>
              </w:rPr>
            </w:pPr>
            <w:r w:rsidRPr="00514A8A">
              <w:rPr>
                <w:rFonts w:ascii="Calibri" w:hAnsi="Calibri" w:cs="Calibri"/>
                <w:sz w:val="18"/>
                <w:szCs w:val="18"/>
              </w:rPr>
              <w:t>0700000000000</w:t>
            </w:r>
          </w:p>
        </w:tc>
        <w:tc>
          <w:tcPr>
            <w:tcW w:w="851" w:type="dxa"/>
            <w:gridSpan w:val="4"/>
            <w:tcBorders>
              <w:top w:val="single" w:sz="4" w:space="0" w:color="auto"/>
              <w:left w:val="single" w:sz="4" w:space="0" w:color="auto"/>
              <w:bottom w:val="single" w:sz="4" w:space="0" w:color="auto"/>
              <w:right w:val="single" w:sz="4" w:space="0" w:color="auto"/>
            </w:tcBorders>
          </w:tcPr>
          <w:p w:rsidR="00F11E4B" w:rsidRPr="00514A8A" w:rsidRDefault="00F11E4B" w:rsidP="00F11E4B">
            <w:pPr>
              <w:jc w:val="center"/>
              <w:rPr>
                <w:rFonts w:ascii="Calibri" w:hAnsi="Calibri" w:cs="Calibri"/>
                <w:sz w:val="18"/>
                <w:szCs w:val="18"/>
              </w:rPr>
            </w:pPr>
          </w:p>
        </w:tc>
        <w:tc>
          <w:tcPr>
            <w:tcW w:w="992" w:type="dxa"/>
            <w:gridSpan w:val="3"/>
            <w:tcBorders>
              <w:top w:val="single" w:sz="4" w:space="0" w:color="auto"/>
              <w:left w:val="single" w:sz="4" w:space="0" w:color="auto"/>
              <w:bottom w:val="single" w:sz="4" w:space="0" w:color="auto"/>
              <w:right w:val="single" w:sz="4" w:space="0" w:color="auto"/>
            </w:tcBorders>
            <w:hideMark/>
          </w:tcPr>
          <w:p w:rsidR="00F11E4B" w:rsidRPr="00514A8A" w:rsidRDefault="00F11E4B" w:rsidP="00F11E4B">
            <w:pPr>
              <w:jc w:val="right"/>
              <w:rPr>
                <w:rFonts w:ascii="Calibri" w:hAnsi="Calibri" w:cs="Calibri"/>
                <w:sz w:val="18"/>
                <w:szCs w:val="18"/>
              </w:rPr>
            </w:pPr>
            <w:r w:rsidRPr="00514A8A">
              <w:rPr>
                <w:rFonts w:ascii="Calibri" w:hAnsi="Calibri" w:cs="Calibri"/>
                <w:sz w:val="18"/>
                <w:szCs w:val="18"/>
              </w:rPr>
              <w:t>80,00</w:t>
            </w:r>
          </w:p>
        </w:tc>
        <w:tc>
          <w:tcPr>
            <w:tcW w:w="992" w:type="dxa"/>
            <w:gridSpan w:val="3"/>
            <w:tcBorders>
              <w:top w:val="single" w:sz="4" w:space="0" w:color="auto"/>
              <w:left w:val="single" w:sz="4" w:space="0" w:color="auto"/>
              <w:bottom w:val="single" w:sz="4" w:space="0" w:color="auto"/>
              <w:right w:val="single" w:sz="4" w:space="0" w:color="auto"/>
            </w:tcBorders>
            <w:hideMark/>
          </w:tcPr>
          <w:p w:rsidR="00F11E4B" w:rsidRPr="00514A8A" w:rsidRDefault="00514A8A" w:rsidP="00F11E4B">
            <w:pPr>
              <w:jc w:val="right"/>
              <w:rPr>
                <w:rFonts w:ascii="Calibri" w:hAnsi="Calibri" w:cs="Calibri"/>
                <w:sz w:val="18"/>
                <w:szCs w:val="18"/>
              </w:rPr>
            </w:pPr>
            <w:r w:rsidRPr="00514A8A">
              <w:rPr>
                <w:rFonts w:ascii="Calibri" w:hAnsi="Calibri" w:cs="Calibri"/>
                <w:sz w:val="18"/>
                <w:szCs w:val="18"/>
              </w:rPr>
              <w:t>8,28</w:t>
            </w:r>
          </w:p>
        </w:tc>
        <w:tc>
          <w:tcPr>
            <w:tcW w:w="3757" w:type="dxa"/>
            <w:gridSpan w:val="12"/>
            <w:tcBorders>
              <w:top w:val="single" w:sz="4" w:space="0" w:color="auto"/>
              <w:left w:val="single" w:sz="4" w:space="0" w:color="auto"/>
              <w:bottom w:val="single" w:sz="4" w:space="0" w:color="auto"/>
              <w:right w:val="single" w:sz="4" w:space="0" w:color="auto"/>
            </w:tcBorders>
            <w:hideMark/>
          </w:tcPr>
          <w:p w:rsidR="00F11E4B" w:rsidRPr="00514A8A" w:rsidRDefault="00F11E4B" w:rsidP="00F11E4B">
            <w:pPr>
              <w:rPr>
                <w:rFonts w:ascii="Calibri" w:hAnsi="Calibri" w:cs="Calibri"/>
                <w:b/>
                <w:sz w:val="18"/>
                <w:szCs w:val="18"/>
                <w:u w:val="single"/>
              </w:rPr>
            </w:pPr>
            <w:r w:rsidRPr="00514A8A">
              <w:rPr>
                <w:rFonts w:ascii="Calibri" w:hAnsi="Calibri" w:cs="Calibri"/>
                <w:b/>
                <w:sz w:val="18"/>
                <w:szCs w:val="18"/>
                <w:u w:val="single"/>
              </w:rPr>
              <w:t>Nákup ostatních služeb</w:t>
            </w:r>
          </w:p>
          <w:p w:rsidR="00F11E4B" w:rsidRPr="00514A8A" w:rsidRDefault="00F11E4B" w:rsidP="00514A8A">
            <w:pPr>
              <w:rPr>
                <w:rFonts w:ascii="Calibri" w:hAnsi="Calibri" w:cs="Calibri"/>
                <w:sz w:val="18"/>
                <w:szCs w:val="18"/>
              </w:rPr>
            </w:pPr>
            <w:r w:rsidRPr="00514A8A">
              <w:rPr>
                <w:rFonts w:ascii="Calibri" w:hAnsi="Calibri" w:cs="Calibri"/>
                <w:sz w:val="18"/>
                <w:szCs w:val="18"/>
              </w:rPr>
              <w:t>Objednávka predikce daňových příjmů obce/města na rok 202</w:t>
            </w:r>
            <w:r w:rsidR="00514A8A" w:rsidRPr="00514A8A">
              <w:rPr>
                <w:rFonts w:ascii="Calibri" w:hAnsi="Calibri" w:cs="Calibri"/>
                <w:sz w:val="18"/>
                <w:szCs w:val="18"/>
              </w:rPr>
              <w:t>3</w:t>
            </w:r>
            <w:r w:rsidRPr="00514A8A">
              <w:rPr>
                <w:rFonts w:ascii="Calibri" w:hAnsi="Calibri" w:cs="Calibri"/>
                <w:sz w:val="18"/>
                <w:szCs w:val="18"/>
              </w:rPr>
              <w:t xml:space="preserve"> (3 751 Kč), </w:t>
            </w:r>
            <w:r w:rsidR="00514A8A" w:rsidRPr="00514A8A">
              <w:rPr>
                <w:rFonts w:ascii="Calibri" w:hAnsi="Calibri" w:cs="Calibri"/>
                <w:sz w:val="18"/>
                <w:szCs w:val="18"/>
              </w:rPr>
              <w:t>úhrada nákladů řízení (3 327,50 Kč), objednávka analýzy „Stability bank“ (1 197,90 Kč).</w:t>
            </w:r>
          </w:p>
        </w:tc>
      </w:tr>
      <w:tr w:rsidR="00F11E4B" w:rsidTr="00D61B3C">
        <w:trPr>
          <w:divId w:val="2053571053"/>
        </w:trPr>
        <w:tc>
          <w:tcPr>
            <w:tcW w:w="779" w:type="dxa"/>
            <w:gridSpan w:val="2"/>
            <w:tcBorders>
              <w:top w:val="single" w:sz="4" w:space="0" w:color="auto"/>
              <w:left w:val="single" w:sz="4" w:space="0" w:color="auto"/>
              <w:bottom w:val="single" w:sz="4" w:space="0" w:color="auto"/>
              <w:right w:val="single" w:sz="4" w:space="0" w:color="auto"/>
            </w:tcBorders>
            <w:hideMark/>
          </w:tcPr>
          <w:p w:rsidR="00F11E4B" w:rsidRPr="00E802ED" w:rsidRDefault="00F11E4B" w:rsidP="00F11E4B">
            <w:pPr>
              <w:jc w:val="center"/>
              <w:rPr>
                <w:rFonts w:ascii="Calibri" w:hAnsi="Calibri" w:cs="Calibri"/>
                <w:sz w:val="18"/>
                <w:szCs w:val="18"/>
              </w:rPr>
            </w:pPr>
            <w:r w:rsidRPr="00E802ED">
              <w:rPr>
                <w:rFonts w:ascii="Calibri" w:hAnsi="Calibri" w:cs="Calibri"/>
                <w:sz w:val="18"/>
                <w:szCs w:val="18"/>
              </w:rPr>
              <w:t>6171</w:t>
            </w:r>
          </w:p>
        </w:tc>
        <w:tc>
          <w:tcPr>
            <w:tcW w:w="851" w:type="dxa"/>
            <w:gridSpan w:val="3"/>
            <w:tcBorders>
              <w:top w:val="single" w:sz="4" w:space="0" w:color="auto"/>
              <w:left w:val="single" w:sz="4" w:space="0" w:color="auto"/>
              <w:bottom w:val="single" w:sz="4" w:space="0" w:color="auto"/>
              <w:right w:val="single" w:sz="4" w:space="0" w:color="auto"/>
            </w:tcBorders>
            <w:hideMark/>
          </w:tcPr>
          <w:p w:rsidR="00F11E4B" w:rsidRPr="00E802ED" w:rsidRDefault="00F11E4B" w:rsidP="00F11E4B">
            <w:pPr>
              <w:jc w:val="center"/>
              <w:rPr>
                <w:rFonts w:ascii="Calibri" w:hAnsi="Calibri" w:cs="Calibri"/>
                <w:sz w:val="18"/>
                <w:szCs w:val="18"/>
              </w:rPr>
            </w:pPr>
            <w:r w:rsidRPr="00E802ED">
              <w:rPr>
                <w:rFonts w:ascii="Calibri" w:hAnsi="Calibri" w:cs="Calibri"/>
                <w:sz w:val="18"/>
                <w:szCs w:val="18"/>
              </w:rPr>
              <w:t>5195</w:t>
            </w:r>
          </w:p>
        </w:tc>
        <w:tc>
          <w:tcPr>
            <w:tcW w:w="1417" w:type="dxa"/>
            <w:gridSpan w:val="5"/>
            <w:tcBorders>
              <w:top w:val="single" w:sz="4" w:space="0" w:color="auto"/>
              <w:left w:val="single" w:sz="4" w:space="0" w:color="auto"/>
              <w:bottom w:val="single" w:sz="4" w:space="0" w:color="auto"/>
              <w:right w:val="single" w:sz="4" w:space="0" w:color="auto"/>
            </w:tcBorders>
            <w:hideMark/>
          </w:tcPr>
          <w:p w:rsidR="00F11E4B" w:rsidRPr="00E802ED" w:rsidRDefault="00F11E4B" w:rsidP="00F11E4B">
            <w:pPr>
              <w:jc w:val="center"/>
              <w:rPr>
                <w:rFonts w:ascii="Calibri" w:hAnsi="Calibri" w:cs="Calibri"/>
                <w:sz w:val="18"/>
                <w:szCs w:val="18"/>
              </w:rPr>
            </w:pPr>
            <w:r w:rsidRPr="00E802ED">
              <w:rPr>
                <w:rFonts w:ascii="Calibri" w:hAnsi="Calibri" w:cs="Calibri"/>
                <w:sz w:val="18"/>
                <w:szCs w:val="18"/>
              </w:rPr>
              <w:t>0700000000000</w:t>
            </w:r>
          </w:p>
        </w:tc>
        <w:tc>
          <w:tcPr>
            <w:tcW w:w="851" w:type="dxa"/>
            <w:gridSpan w:val="4"/>
            <w:tcBorders>
              <w:top w:val="single" w:sz="4" w:space="0" w:color="auto"/>
              <w:left w:val="single" w:sz="4" w:space="0" w:color="auto"/>
              <w:bottom w:val="single" w:sz="4" w:space="0" w:color="auto"/>
              <w:right w:val="single" w:sz="4" w:space="0" w:color="auto"/>
            </w:tcBorders>
          </w:tcPr>
          <w:p w:rsidR="00F11E4B" w:rsidRPr="00E802ED" w:rsidRDefault="00F11E4B" w:rsidP="00F11E4B">
            <w:pPr>
              <w:jc w:val="center"/>
              <w:rPr>
                <w:rFonts w:ascii="Calibri" w:hAnsi="Calibri" w:cs="Calibri"/>
                <w:sz w:val="18"/>
                <w:szCs w:val="18"/>
              </w:rPr>
            </w:pPr>
          </w:p>
        </w:tc>
        <w:tc>
          <w:tcPr>
            <w:tcW w:w="992" w:type="dxa"/>
            <w:gridSpan w:val="3"/>
            <w:tcBorders>
              <w:top w:val="single" w:sz="4" w:space="0" w:color="auto"/>
              <w:left w:val="single" w:sz="4" w:space="0" w:color="auto"/>
              <w:bottom w:val="single" w:sz="4" w:space="0" w:color="auto"/>
              <w:right w:val="single" w:sz="4" w:space="0" w:color="auto"/>
            </w:tcBorders>
            <w:hideMark/>
          </w:tcPr>
          <w:p w:rsidR="00F11E4B" w:rsidRPr="00E802ED" w:rsidRDefault="00F11E4B" w:rsidP="00F11E4B">
            <w:pPr>
              <w:jc w:val="right"/>
              <w:rPr>
                <w:rFonts w:ascii="Calibri" w:hAnsi="Calibri" w:cs="Calibri"/>
                <w:sz w:val="18"/>
                <w:szCs w:val="18"/>
              </w:rPr>
            </w:pPr>
            <w:r w:rsidRPr="00E802ED">
              <w:rPr>
                <w:rFonts w:ascii="Calibri" w:hAnsi="Calibri" w:cs="Calibri"/>
                <w:sz w:val="18"/>
                <w:szCs w:val="18"/>
              </w:rPr>
              <w:t>100,00</w:t>
            </w:r>
          </w:p>
        </w:tc>
        <w:tc>
          <w:tcPr>
            <w:tcW w:w="992" w:type="dxa"/>
            <w:gridSpan w:val="3"/>
            <w:tcBorders>
              <w:top w:val="single" w:sz="4" w:space="0" w:color="auto"/>
              <w:left w:val="single" w:sz="4" w:space="0" w:color="auto"/>
              <w:bottom w:val="single" w:sz="4" w:space="0" w:color="auto"/>
              <w:right w:val="single" w:sz="4" w:space="0" w:color="auto"/>
            </w:tcBorders>
            <w:hideMark/>
          </w:tcPr>
          <w:p w:rsidR="00F11E4B" w:rsidRPr="00E802ED" w:rsidRDefault="00F11E4B" w:rsidP="00F11E4B">
            <w:pPr>
              <w:jc w:val="right"/>
              <w:rPr>
                <w:rFonts w:ascii="Calibri" w:hAnsi="Calibri" w:cs="Calibri"/>
                <w:sz w:val="18"/>
                <w:szCs w:val="18"/>
              </w:rPr>
            </w:pPr>
            <w:r w:rsidRPr="00E802ED">
              <w:rPr>
                <w:rFonts w:ascii="Calibri" w:hAnsi="Calibri" w:cs="Calibri"/>
                <w:sz w:val="18"/>
                <w:szCs w:val="18"/>
              </w:rPr>
              <w:t>0</w:t>
            </w:r>
          </w:p>
        </w:tc>
        <w:tc>
          <w:tcPr>
            <w:tcW w:w="3757" w:type="dxa"/>
            <w:gridSpan w:val="12"/>
            <w:tcBorders>
              <w:top w:val="single" w:sz="4" w:space="0" w:color="auto"/>
              <w:left w:val="single" w:sz="4" w:space="0" w:color="auto"/>
              <w:bottom w:val="single" w:sz="4" w:space="0" w:color="auto"/>
              <w:right w:val="single" w:sz="4" w:space="0" w:color="auto"/>
            </w:tcBorders>
            <w:hideMark/>
          </w:tcPr>
          <w:p w:rsidR="00F11E4B" w:rsidRPr="00E802ED" w:rsidRDefault="00F11E4B" w:rsidP="00F11E4B">
            <w:pPr>
              <w:rPr>
                <w:rFonts w:ascii="Calibri" w:hAnsi="Calibri" w:cs="Calibri"/>
                <w:b/>
                <w:sz w:val="18"/>
                <w:szCs w:val="18"/>
                <w:u w:val="single"/>
              </w:rPr>
            </w:pPr>
            <w:r w:rsidRPr="00E802ED">
              <w:rPr>
                <w:rFonts w:ascii="Calibri" w:hAnsi="Calibri" w:cs="Calibri"/>
                <w:b/>
                <w:sz w:val="18"/>
                <w:szCs w:val="18"/>
                <w:u w:val="single"/>
              </w:rPr>
              <w:t>Odvody za neplnění povinnosti zaměstnávat zdravotně postižené</w:t>
            </w:r>
          </w:p>
          <w:p w:rsidR="00F11E4B" w:rsidRPr="00E802ED" w:rsidRDefault="00E802ED" w:rsidP="00F11E4B">
            <w:pPr>
              <w:rPr>
                <w:rFonts w:ascii="Calibri" w:hAnsi="Calibri" w:cs="Calibri"/>
                <w:sz w:val="18"/>
                <w:szCs w:val="18"/>
              </w:rPr>
            </w:pPr>
            <w:r>
              <w:rPr>
                <w:rFonts w:ascii="Calibri" w:hAnsi="Calibri" w:cs="Calibri"/>
                <w:sz w:val="18"/>
                <w:szCs w:val="18"/>
              </w:rPr>
              <w:t>V roce 2022</w:t>
            </w:r>
            <w:r w:rsidR="00F11E4B" w:rsidRPr="00E802ED">
              <w:rPr>
                <w:rFonts w:ascii="Calibri" w:hAnsi="Calibri" w:cs="Calibri"/>
                <w:sz w:val="18"/>
                <w:szCs w:val="18"/>
              </w:rPr>
              <w:t xml:space="preserve"> se odvod neuskutečnil.</w:t>
            </w:r>
          </w:p>
        </w:tc>
      </w:tr>
      <w:tr w:rsidR="00F11E4B" w:rsidTr="00D61B3C">
        <w:trPr>
          <w:divId w:val="2053571053"/>
        </w:trPr>
        <w:tc>
          <w:tcPr>
            <w:tcW w:w="779" w:type="dxa"/>
            <w:gridSpan w:val="2"/>
            <w:tcBorders>
              <w:top w:val="single" w:sz="4" w:space="0" w:color="auto"/>
              <w:left w:val="single" w:sz="4" w:space="0" w:color="auto"/>
              <w:bottom w:val="single" w:sz="4" w:space="0" w:color="auto"/>
              <w:right w:val="single" w:sz="4" w:space="0" w:color="auto"/>
            </w:tcBorders>
            <w:hideMark/>
          </w:tcPr>
          <w:p w:rsidR="00F11E4B" w:rsidRPr="00514A8A" w:rsidRDefault="00F11E4B" w:rsidP="00F11E4B">
            <w:pPr>
              <w:jc w:val="center"/>
              <w:rPr>
                <w:rFonts w:ascii="Calibri" w:hAnsi="Calibri" w:cs="Calibri"/>
                <w:sz w:val="18"/>
                <w:szCs w:val="18"/>
              </w:rPr>
            </w:pPr>
            <w:r w:rsidRPr="00514A8A">
              <w:rPr>
                <w:rFonts w:ascii="Calibri" w:hAnsi="Calibri" w:cs="Calibri"/>
                <w:sz w:val="18"/>
                <w:szCs w:val="18"/>
              </w:rPr>
              <w:t>6330</w:t>
            </w:r>
          </w:p>
        </w:tc>
        <w:tc>
          <w:tcPr>
            <w:tcW w:w="851" w:type="dxa"/>
            <w:gridSpan w:val="3"/>
            <w:tcBorders>
              <w:top w:val="single" w:sz="4" w:space="0" w:color="auto"/>
              <w:left w:val="single" w:sz="4" w:space="0" w:color="auto"/>
              <w:bottom w:val="single" w:sz="4" w:space="0" w:color="auto"/>
              <w:right w:val="single" w:sz="4" w:space="0" w:color="auto"/>
            </w:tcBorders>
            <w:hideMark/>
          </w:tcPr>
          <w:p w:rsidR="00F11E4B" w:rsidRPr="00514A8A" w:rsidRDefault="00F11E4B" w:rsidP="00F11E4B">
            <w:pPr>
              <w:jc w:val="center"/>
              <w:rPr>
                <w:rFonts w:ascii="Calibri" w:hAnsi="Calibri" w:cs="Calibri"/>
                <w:sz w:val="18"/>
                <w:szCs w:val="18"/>
              </w:rPr>
            </w:pPr>
            <w:r w:rsidRPr="00514A8A">
              <w:rPr>
                <w:rFonts w:ascii="Calibri" w:hAnsi="Calibri" w:cs="Calibri"/>
                <w:sz w:val="18"/>
                <w:szCs w:val="18"/>
              </w:rPr>
              <w:t>5342</w:t>
            </w:r>
          </w:p>
          <w:p w:rsidR="00F11E4B" w:rsidRPr="00514A8A" w:rsidRDefault="00F11E4B" w:rsidP="00F11E4B">
            <w:pPr>
              <w:jc w:val="center"/>
              <w:rPr>
                <w:rFonts w:ascii="Calibri" w:hAnsi="Calibri" w:cs="Calibri"/>
                <w:sz w:val="18"/>
                <w:szCs w:val="18"/>
              </w:rPr>
            </w:pPr>
            <w:r w:rsidRPr="00514A8A">
              <w:rPr>
                <w:rFonts w:ascii="Calibri" w:hAnsi="Calibri" w:cs="Calibri"/>
                <w:sz w:val="18"/>
                <w:szCs w:val="18"/>
              </w:rPr>
              <w:t>5345</w:t>
            </w:r>
          </w:p>
        </w:tc>
        <w:tc>
          <w:tcPr>
            <w:tcW w:w="1417" w:type="dxa"/>
            <w:gridSpan w:val="5"/>
            <w:tcBorders>
              <w:top w:val="single" w:sz="4" w:space="0" w:color="auto"/>
              <w:left w:val="single" w:sz="4" w:space="0" w:color="auto"/>
              <w:bottom w:val="single" w:sz="4" w:space="0" w:color="auto"/>
              <w:right w:val="single" w:sz="4" w:space="0" w:color="auto"/>
            </w:tcBorders>
            <w:hideMark/>
          </w:tcPr>
          <w:p w:rsidR="00F11E4B" w:rsidRPr="00514A8A" w:rsidRDefault="00F11E4B" w:rsidP="00F11E4B">
            <w:pPr>
              <w:jc w:val="center"/>
              <w:rPr>
                <w:rFonts w:ascii="Calibri" w:hAnsi="Calibri" w:cs="Calibri"/>
                <w:sz w:val="18"/>
                <w:szCs w:val="18"/>
              </w:rPr>
            </w:pPr>
            <w:r w:rsidRPr="00514A8A">
              <w:rPr>
                <w:rFonts w:ascii="Calibri" w:hAnsi="Calibri" w:cs="Calibri"/>
                <w:sz w:val="18"/>
                <w:szCs w:val="18"/>
              </w:rPr>
              <w:t>0700000000000</w:t>
            </w:r>
          </w:p>
        </w:tc>
        <w:tc>
          <w:tcPr>
            <w:tcW w:w="851" w:type="dxa"/>
            <w:gridSpan w:val="4"/>
            <w:tcBorders>
              <w:top w:val="single" w:sz="4" w:space="0" w:color="auto"/>
              <w:left w:val="single" w:sz="4" w:space="0" w:color="auto"/>
              <w:bottom w:val="single" w:sz="4" w:space="0" w:color="auto"/>
              <w:right w:val="single" w:sz="4" w:space="0" w:color="auto"/>
            </w:tcBorders>
          </w:tcPr>
          <w:p w:rsidR="00F11E4B" w:rsidRPr="00514A8A" w:rsidRDefault="00F11E4B" w:rsidP="00F11E4B">
            <w:pPr>
              <w:jc w:val="center"/>
              <w:rPr>
                <w:rFonts w:ascii="Calibri" w:hAnsi="Calibri" w:cs="Calibri"/>
                <w:sz w:val="18"/>
                <w:szCs w:val="18"/>
              </w:rPr>
            </w:pPr>
          </w:p>
        </w:tc>
        <w:tc>
          <w:tcPr>
            <w:tcW w:w="992" w:type="dxa"/>
            <w:gridSpan w:val="3"/>
            <w:tcBorders>
              <w:top w:val="single" w:sz="4" w:space="0" w:color="auto"/>
              <w:left w:val="single" w:sz="4" w:space="0" w:color="auto"/>
              <w:bottom w:val="single" w:sz="4" w:space="0" w:color="auto"/>
              <w:right w:val="single" w:sz="4" w:space="0" w:color="auto"/>
            </w:tcBorders>
            <w:hideMark/>
          </w:tcPr>
          <w:p w:rsidR="00F11E4B" w:rsidRPr="00514A8A" w:rsidRDefault="00F11E4B" w:rsidP="00F11E4B">
            <w:pPr>
              <w:jc w:val="right"/>
              <w:rPr>
                <w:rFonts w:ascii="Calibri" w:hAnsi="Calibri" w:cs="Calibri"/>
                <w:sz w:val="18"/>
                <w:szCs w:val="18"/>
              </w:rPr>
            </w:pPr>
            <w:r w:rsidRPr="00514A8A">
              <w:rPr>
                <w:rFonts w:ascii="Calibri" w:hAnsi="Calibri" w:cs="Calibri"/>
                <w:sz w:val="18"/>
                <w:szCs w:val="18"/>
              </w:rPr>
              <w:t>0</w:t>
            </w:r>
          </w:p>
          <w:p w:rsidR="00F11E4B" w:rsidRPr="00514A8A" w:rsidRDefault="00F11E4B" w:rsidP="00F11E4B">
            <w:pPr>
              <w:jc w:val="right"/>
              <w:rPr>
                <w:rFonts w:ascii="Calibri" w:hAnsi="Calibri" w:cs="Calibri"/>
                <w:sz w:val="18"/>
                <w:szCs w:val="18"/>
              </w:rPr>
            </w:pPr>
            <w:r w:rsidRPr="00514A8A">
              <w:rPr>
                <w:rFonts w:ascii="Calibri" w:hAnsi="Calibri" w:cs="Calibri"/>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hideMark/>
          </w:tcPr>
          <w:p w:rsidR="00F11E4B" w:rsidRPr="00514A8A" w:rsidRDefault="00514A8A" w:rsidP="00F11E4B">
            <w:pPr>
              <w:jc w:val="right"/>
              <w:rPr>
                <w:rFonts w:ascii="Calibri" w:hAnsi="Calibri" w:cs="Calibri"/>
                <w:sz w:val="18"/>
                <w:szCs w:val="18"/>
              </w:rPr>
            </w:pPr>
            <w:r w:rsidRPr="00514A8A">
              <w:rPr>
                <w:rFonts w:ascii="Calibri" w:hAnsi="Calibri" w:cs="Calibri"/>
                <w:sz w:val="18"/>
                <w:szCs w:val="18"/>
              </w:rPr>
              <w:t>7 001,52</w:t>
            </w:r>
          </w:p>
          <w:p w:rsidR="00F11E4B" w:rsidRPr="00514A8A" w:rsidRDefault="00514A8A" w:rsidP="00F11E4B">
            <w:pPr>
              <w:ind w:right="-68" w:hanging="66"/>
              <w:jc w:val="right"/>
              <w:rPr>
                <w:rFonts w:ascii="Calibri" w:hAnsi="Calibri" w:cs="Calibri"/>
                <w:sz w:val="18"/>
                <w:szCs w:val="18"/>
              </w:rPr>
            </w:pPr>
            <w:r w:rsidRPr="00514A8A">
              <w:rPr>
                <w:rFonts w:ascii="Calibri" w:hAnsi="Calibri" w:cs="Calibri"/>
                <w:sz w:val="18"/>
                <w:szCs w:val="18"/>
              </w:rPr>
              <w:t>1 556 883,67</w:t>
            </w:r>
          </w:p>
        </w:tc>
        <w:tc>
          <w:tcPr>
            <w:tcW w:w="3757" w:type="dxa"/>
            <w:gridSpan w:val="12"/>
            <w:tcBorders>
              <w:top w:val="single" w:sz="4" w:space="0" w:color="auto"/>
              <w:left w:val="single" w:sz="4" w:space="0" w:color="auto"/>
              <w:bottom w:val="single" w:sz="4" w:space="0" w:color="auto"/>
              <w:right w:val="single" w:sz="4" w:space="0" w:color="auto"/>
            </w:tcBorders>
            <w:hideMark/>
          </w:tcPr>
          <w:p w:rsidR="00F11E4B" w:rsidRPr="00514A8A" w:rsidRDefault="00F11E4B" w:rsidP="00F11E4B">
            <w:pPr>
              <w:rPr>
                <w:rFonts w:ascii="Calibri" w:hAnsi="Calibri" w:cs="Calibri"/>
                <w:b/>
                <w:sz w:val="18"/>
                <w:szCs w:val="18"/>
                <w:u w:val="single"/>
              </w:rPr>
            </w:pPr>
            <w:r w:rsidRPr="00514A8A">
              <w:rPr>
                <w:rFonts w:ascii="Calibri" w:hAnsi="Calibri" w:cs="Calibri"/>
                <w:b/>
                <w:sz w:val="18"/>
                <w:szCs w:val="18"/>
                <w:u w:val="single"/>
              </w:rPr>
              <w:t>Převody FKSP a sociálnímu fondu obcí a krajů; Převody vlastním rozpočtovým účtům</w:t>
            </w:r>
          </w:p>
          <w:p w:rsidR="00F11E4B" w:rsidRPr="00514A8A" w:rsidRDefault="00F11E4B" w:rsidP="00F11E4B">
            <w:pPr>
              <w:rPr>
                <w:rFonts w:ascii="Calibri" w:hAnsi="Calibri" w:cs="Calibri"/>
                <w:sz w:val="18"/>
                <w:szCs w:val="18"/>
              </w:rPr>
            </w:pPr>
            <w:r w:rsidRPr="00514A8A">
              <w:rPr>
                <w:rFonts w:ascii="Calibri" w:hAnsi="Calibri" w:cs="Calibri"/>
                <w:sz w:val="18"/>
                <w:szCs w:val="18"/>
              </w:rPr>
              <w:t>Konsolidační položky vnitropřevodů finančních prostředků mezi účty a fondy města. Na základě platné rozpočtové skladby nemusí být tyto výdaje rozpočtovány a svým objemem mají úzký vztah na příjmy v konsolidaci (stejný objem v rámci celkového rozpočtu města).</w:t>
            </w:r>
          </w:p>
        </w:tc>
      </w:tr>
      <w:tr w:rsidR="00F11E4B" w:rsidTr="00D61B3C">
        <w:trPr>
          <w:divId w:val="2053571053"/>
        </w:trPr>
        <w:tc>
          <w:tcPr>
            <w:tcW w:w="779" w:type="dxa"/>
            <w:gridSpan w:val="2"/>
            <w:tcBorders>
              <w:top w:val="single" w:sz="4" w:space="0" w:color="auto"/>
              <w:left w:val="single" w:sz="4" w:space="0" w:color="auto"/>
              <w:bottom w:val="single" w:sz="4" w:space="0" w:color="auto"/>
              <w:right w:val="single" w:sz="4" w:space="0" w:color="auto"/>
            </w:tcBorders>
            <w:hideMark/>
          </w:tcPr>
          <w:p w:rsidR="00F11E4B" w:rsidRPr="00514A8A" w:rsidRDefault="00F11E4B" w:rsidP="00F11E4B">
            <w:pPr>
              <w:jc w:val="center"/>
              <w:rPr>
                <w:rFonts w:ascii="Calibri" w:hAnsi="Calibri" w:cs="Calibri"/>
                <w:sz w:val="18"/>
                <w:szCs w:val="18"/>
              </w:rPr>
            </w:pPr>
            <w:r w:rsidRPr="00514A8A">
              <w:rPr>
                <w:rFonts w:ascii="Calibri" w:hAnsi="Calibri" w:cs="Calibri"/>
                <w:sz w:val="18"/>
                <w:szCs w:val="18"/>
              </w:rPr>
              <w:t>6399</w:t>
            </w:r>
          </w:p>
        </w:tc>
        <w:tc>
          <w:tcPr>
            <w:tcW w:w="851" w:type="dxa"/>
            <w:gridSpan w:val="3"/>
            <w:tcBorders>
              <w:top w:val="single" w:sz="4" w:space="0" w:color="auto"/>
              <w:left w:val="single" w:sz="4" w:space="0" w:color="auto"/>
              <w:bottom w:val="single" w:sz="4" w:space="0" w:color="auto"/>
              <w:right w:val="single" w:sz="4" w:space="0" w:color="auto"/>
            </w:tcBorders>
            <w:hideMark/>
          </w:tcPr>
          <w:p w:rsidR="00F11E4B" w:rsidRPr="00514A8A" w:rsidRDefault="00F11E4B" w:rsidP="00F11E4B">
            <w:pPr>
              <w:jc w:val="center"/>
              <w:rPr>
                <w:rFonts w:ascii="Calibri" w:hAnsi="Calibri" w:cs="Calibri"/>
                <w:sz w:val="18"/>
                <w:szCs w:val="18"/>
              </w:rPr>
            </w:pPr>
            <w:r w:rsidRPr="00514A8A">
              <w:rPr>
                <w:rFonts w:ascii="Calibri" w:hAnsi="Calibri" w:cs="Calibri"/>
                <w:sz w:val="18"/>
                <w:szCs w:val="18"/>
              </w:rPr>
              <w:t>5499</w:t>
            </w:r>
          </w:p>
        </w:tc>
        <w:tc>
          <w:tcPr>
            <w:tcW w:w="1417" w:type="dxa"/>
            <w:gridSpan w:val="5"/>
            <w:tcBorders>
              <w:top w:val="single" w:sz="4" w:space="0" w:color="auto"/>
              <w:left w:val="single" w:sz="4" w:space="0" w:color="auto"/>
              <w:bottom w:val="single" w:sz="4" w:space="0" w:color="auto"/>
              <w:right w:val="single" w:sz="4" w:space="0" w:color="auto"/>
            </w:tcBorders>
            <w:hideMark/>
          </w:tcPr>
          <w:p w:rsidR="00F11E4B" w:rsidRPr="00514A8A" w:rsidRDefault="00F11E4B" w:rsidP="00F11E4B">
            <w:pPr>
              <w:jc w:val="center"/>
              <w:rPr>
                <w:rFonts w:ascii="Calibri" w:hAnsi="Calibri" w:cs="Calibri"/>
                <w:sz w:val="18"/>
                <w:szCs w:val="18"/>
              </w:rPr>
            </w:pPr>
            <w:r w:rsidRPr="00514A8A">
              <w:rPr>
                <w:rFonts w:ascii="Calibri" w:hAnsi="Calibri" w:cs="Calibri"/>
                <w:sz w:val="18"/>
                <w:szCs w:val="18"/>
              </w:rPr>
              <w:t>0700000000000</w:t>
            </w:r>
          </w:p>
        </w:tc>
        <w:tc>
          <w:tcPr>
            <w:tcW w:w="851" w:type="dxa"/>
            <w:gridSpan w:val="4"/>
            <w:tcBorders>
              <w:top w:val="single" w:sz="4" w:space="0" w:color="auto"/>
              <w:left w:val="single" w:sz="4" w:space="0" w:color="auto"/>
              <w:bottom w:val="single" w:sz="4" w:space="0" w:color="auto"/>
              <w:right w:val="single" w:sz="4" w:space="0" w:color="auto"/>
            </w:tcBorders>
          </w:tcPr>
          <w:p w:rsidR="00F11E4B" w:rsidRPr="00514A8A" w:rsidRDefault="00F11E4B" w:rsidP="00F11E4B">
            <w:pPr>
              <w:jc w:val="center"/>
              <w:rPr>
                <w:rFonts w:ascii="Calibri" w:hAnsi="Calibri" w:cs="Calibri"/>
                <w:sz w:val="18"/>
                <w:szCs w:val="18"/>
              </w:rPr>
            </w:pPr>
          </w:p>
        </w:tc>
        <w:tc>
          <w:tcPr>
            <w:tcW w:w="992" w:type="dxa"/>
            <w:gridSpan w:val="3"/>
            <w:tcBorders>
              <w:top w:val="single" w:sz="4" w:space="0" w:color="auto"/>
              <w:left w:val="single" w:sz="4" w:space="0" w:color="auto"/>
              <w:bottom w:val="single" w:sz="4" w:space="0" w:color="auto"/>
              <w:right w:val="single" w:sz="4" w:space="0" w:color="auto"/>
            </w:tcBorders>
            <w:hideMark/>
          </w:tcPr>
          <w:p w:rsidR="00F11E4B" w:rsidRPr="00514A8A" w:rsidRDefault="00F11E4B" w:rsidP="00F11E4B">
            <w:pPr>
              <w:jc w:val="right"/>
              <w:rPr>
                <w:rFonts w:ascii="Calibri" w:hAnsi="Calibri" w:cs="Calibri"/>
                <w:sz w:val="18"/>
                <w:szCs w:val="18"/>
              </w:rPr>
            </w:pPr>
            <w:r w:rsidRPr="00514A8A">
              <w:rPr>
                <w:rFonts w:ascii="Calibri" w:hAnsi="Calibri" w:cs="Calibri"/>
                <w:sz w:val="18"/>
                <w:szCs w:val="18"/>
              </w:rPr>
              <w:t>25,00</w:t>
            </w:r>
          </w:p>
        </w:tc>
        <w:tc>
          <w:tcPr>
            <w:tcW w:w="992" w:type="dxa"/>
            <w:gridSpan w:val="3"/>
            <w:tcBorders>
              <w:top w:val="single" w:sz="4" w:space="0" w:color="auto"/>
              <w:left w:val="single" w:sz="4" w:space="0" w:color="auto"/>
              <w:bottom w:val="single" w:sz="4" w:space="0" w:color="auto"/>
              <w:right w:val="single" w:sz="4" w:space="0" w:color="auto"/>
            </w:tcBorders>
            <w:hideMark/>
          </w:tcPr>
          <w:p w:rsidR="00F11E4B" w:rsidRPr="00514A8A" w:rsidRDefault="00514A8A" w:rsidP="00F11E4B">
            <w:pPr>
              <w:jc w:val="right"/>
              <w:rPr>
                <w:rFonts w:ascii="Calibri" w:hAnsi="Calibri" w:cs="Calibri"/>
                <w:sz w:val="18"/>
                <w:szCs w:val="18"/>
              </w:rPr>
            </w:pPr>
            <w:r w:rsidRPr="00514A8A">
              <w:rPr>
                <w:rFonts w:ascii="Calibri" w:hAnsi="Calibri" w:cs="Calibri"/>
                <w:sz w:val="18"/>
                <w:szCs w:val="18"/>
              </w:rPr>
              <w:t>0</w:t>
            </w:r>
            <w:r w:rsidR="00F11E4B" w:rsidRPr="00514A8A">
              <w:rPr>
                <w:rFonts w:ascii="Calibri" w:hAnsi="Calibri" w:cs="Calibri"/>
                <w:sz w:val="18"/>
                <w:szCs w:val="18"/>
              </w:rPr>
              <w:t>,00</w:t>
            </w:r>
          </w:p>
        </w:tc>
        <w:tc>
          <w:tcPr>
            <w:tcW w:w="3757" w:type="dxa"/>
            <w:gridSpan w:val="12"/>
            <w:tcBorders>
              <w:top w:val="single" w:sz="4" w:space="0" w:color="auto"/>
              <w:left w:val="single" w:sz="4" w:space="0" w:color="auto"/>
              <w:bottom w:val="single" w:sz="4" w:space="0" w:color="auto"/>
              <w:right w:val="single" w:sz="4" w:space="0" w:color="auto"/>
            </w:tcBorders>
            <w:hideMark/>
          </w:tcPr>
          <w:p w:rsidR="00F11E4B" w:rsidRPr="00514A8A" w:rsidRDefault="00F11E4B" w:rsidP="00F11E4B">
            <w:pPr>
              <w:rPr>
                <w:rFonts w:ascii="Calibri" w:hAnsi="Calibri" w:cs="Calibri"/>
                <w:b/>
                <w:sz w:val="18"/>
                <w:szCs w:val="18"/>
                <w:u w:val="single"/>
              </w:rPr>
            </w:pPr>
            <w:r w:rsidRPr="00514A8A">
              <w:rPr>
                <w:rFonts w:ascii="Calibri" w:hAnsi="Calibri" w:cs="Calibri"/>
                <w:b/>
                <w:sz w:val="18"/>
                <w:szCs w:val="18"/>
                <w:u w:val="single"/>
              </w:rPr>
              <w:t>Ostatní neinvestiční transfery obyvatelstvu</w:t>
            </w:r>
          </w:p>
          <w:p w:rsidR="00F11E4B" w:rsidRPr="00514A8A" w:rsidRDefault="00F11E4B" w:rsidP="00F11E4B">
            <w:pPr>
              <w:rPr>
                <w:rFonts w:ascii="Calibri" w:hAnsi="Calibri" w:cs="Calibri"/>
                <w:sz w:val="18"/>
                <w:szCs w:val="18"/>
              </w:rPr>
            </w:pPr>
            <w:r w:rsidRPr="00514A8A">
              <w:rPr>
                <w:rFonts w:ascii="Calibri" w:hAnsi="Calibri" w:cs="Calibri"/>
                <w:sz w:val="18"/>
                <w:szCs w:val="18"/>
              </w:rPr>
              <w:t>Spoluúčasti z pojistných událostí</w:t>
            </w:r>
            <w:r w:rsidR="00514A8A" w:rsidRPr="00514A8A">
              <w:rPr>
                <w:rFonts w:ascii="Calibri" w:hAnsi="Calibri" w:cs="Calibri"/>
                <w:sz w:val="18"/>
                <w:szCs w:val="18"/>
              </w:rPr>
              <w:t>, nebylo čerpáno.</w:t>
            </w:r>
          </w:p>
        </w:tc>
      </w:tr>
      <w:tr w:rsidR="00F11E4B" w:rsidTr="00D61B3C">
        <w:trPr>
          <w:divId w:val="2053571053"/>
        </w:trPr>
        <w:tc>
          <w:tcPr>
            <w:tcW w:w="779" w:type="dxa"/>
            <w:gridSpan w:val="2"/>
            <w:tcBorders>
              <w:top w:val="single" w:sz="4" w:space="0" w:color="auto"/>
              <w:left w:val="single" w:sz="4" w:space="0" w:color="auto"/>
              <w:bottom w:val="single" w:sz="4" w:space="0" w:color="auto"/>
              <w:right w:val="single" w:sz="4" w:space="0" w:color="auto"/>
            </w:tcBorders>
            <w:hideMark/>
          </w:tcPr>
          <w:p w:rsidR="00F11E4B" w:rsidRPr="00E802ED" w:rsidRDefault="00F11E4B" w:rsidP="00F11E4B">
            <w:pPr>
              <w:jc w:val="center"/>
              <w:rPr>
                <w:rFonts w:ascii="Calibri" w:hAnsi="Calibri" w:cs="Calibri"/>
                <w:sz w:val="18"/>
                <w:szCs w:val="18"/>
              </w:rPr>
            </w:pPr>
            <w:r w:rsidRPr="00E802ED">
              <w:rPr>
                <w:rFonts w:ascii="Calibri" w:hAnsi="Calibri" w:cs="Calibri"/>
                <w:sz w:val="18"/>
                <w:szCs w:val="18"/>
              </w:rPr>
              <w:t>6409</w:t>
            </w:r>
          </w:p>
        </w:tc>
        <w:tc>
          <w:tcPr>
            <w:tcW w:w="851" w:type="dxa"/>
            <w:gridSpan w:val="3"/>
            <w:tcBorders>
              <w:top w:val="single" w:sz="4" w:space="0" w:color="auto"/>
              <w:left w:val="single" w:sz="4" w:space="0" w:color="auto"/>
              <w:bottom w:val="single" w:sz="4" w:space="0" w:color="auto"/>
              <w:right w:val="single" w:sz="4" w:space="0" w:color="auto"/>
            </w:tcBorders>
            <w:hideMark/>
          </w:tcPr>
          <w:p w:rsidR="00F11E4B" w:rsidRPr="00E802ED" w:rsidRDefault="00F11E4B" w:rsidP="00F11E4B">
            <w:pPr>
              <w:jc w:val="center"/>
              <w:rPr>
                <w:rFonts w:ascii="Calibri" w:hAnsi="Calibri" w:cs="Calibri"/>
                <w:sz w:val="18"/>
                <w:szCs w:val="18"/>
              </w:rPr>
            </w:pPr>
            <w:r w:rsidRPr="00E802ED">
              <w:rPr>
                <w:rFonts w:ascii="Calibri" w:hAnsi="Calibri" w:cs="Calibri"/>
                <w:sz w:val="18"/>
                <w:szCs w:val="18"/>
              </w:rPr>
              <w:t>5363</w:t>
            </w:r>
          </w:p>
        </w:tc>
        <w:tc>
          <w:tcPr>
            <w:tcW w:w="1417" w:type="dxa"/>
            <w:gridSpan w:val="5"/>
            <w:tcBorders>
              <w:top w:val="single" w:sz="4" w:space="0" w:color="auto"/>
              <w:left w:val="single" w:sz="4" w:space="0" w:color="auto"/>
              <w:bottom w:val="single" w:sz="4" w:space="0" w:color="auto"/>
              <w:right w:val="single" w:sz="4" w:space="0" w:color="auto"/>
            </w:tcBorders>
            <w:hideMark/>
          </w:tcPr>
          <w:p w:rsidR="00F11E4B" w:rsidRPr="00E802ED" w:rsidRDefault="00F11E4B" w:rsidP="00F11E4B">
            <w:pPr>
              <w:jc w:val="center"/>
              <w:rPr>
                <w:rFonts w:ascii="Calibri" w:hAnsi="Calibri" w:cs="Calibri"/>
                <w:sz w:val="18"/>
                <w:szCs w:val="18"/>
              </w:rPr>
            </w:pPr>
            <w:r w:rsidRPr="00E802ED">
              <w:rPr>
                <w:rFonts w:ascii="Calibri" w:hAnsi="Calibri" w:cs="Calibri"/>
                <w:sz w:val="18"/>
                <w:szCs w:val="18"/>
              </w:rPr>
              <w:t>0700000000000</w:t>
            </w:r>
          </w:p>
        </w:tc>
        <w:tc>
          <w:tcPr>
            <w:tcW w:w="851" w:type="dxa"/>
            <w:gridSpan w:val="4"/>
            <w:tcBorders>
              <w:top w:val="single" w:sz="4" w:space="0" w:color="auto"/>
              <w:left w:val="single" w:sz="4" w:space="0" w:color="auto"/>
              <w:bottom w:val="single" w:sz="4" w:space="0" w:color="auto"/>
              <w:right w:val="single" w:sz="4" w:space="0" w:color="auto"/>
            </w:tcBorders>
          </w:tcPr>
          <w:p w:rsidR="00F11E4B" w:rsidRPr="00E802ED" w:rsidRDefault="00F11E4B" w:rsidP="00F11E4B">
            <w:pPr>
              <w:jc w:val="center"/>
              <w:rPr>
                <w:rFonts w:ascii="Calibri" w:hAnsi="Calibri" w:cs="Calibri"/>
                <w:sz w:val="18"/>
                <w:szCs w:val="18"/>
              </w:rPr>
            </w:pPr>
          </w:p>
        </w:tc>
        <w:tc>
          <w:tcPr>
            <w:tcW w:w="992" w:type="dxa"/>
            <w:gridSpan w:val="3"/>
            <w:tcBorders>
              <w:top w:val="single" w:sz="4" w:space="0" w:color="auto"/>
              <w:left w:val="single" w:sz="4" w:space="0" w:color="auto"/>
              <w:bottom w:val="single" w:sz="4" w:space="0" w:color="auto"/>
              <w:right w:val="single" w:sz="4" w:space="0" w:color="auto"/>
            </w:tcBorders>
            <w:hideMark/>
          </w:tcPr>
          <w:p w:rsidR="00F11E4B" w:rsidRPr="00E802ED" w:rsidRDefault="00F11E4B" w:rsidP="00F11E4B">
            <w:pPr>
              <w:jc w:val="right"/>
              <w:rPr>
                <w:rFonts w:ascii="Calibri" w:hAnsi="Calibri" w:cs="Calibri"/>
                <w:sz w:val="18"/>
                <w:szCs w:val="18"/>
              </w:rPr>
            </w:pPr>
            <w:r w:rsidRPr="00E802ED">
              <w:rPr>
                <w:rFonts w:ascii="Calibri" w:hAnsi="Calibri" w:cs="Calibri"/>
                <w:sz w:val="18"/>
                <w:szCs w:val="18"/>
              </w:rPr>
              <w:t>200,00</w:t>
            </w:r>
          </w:p>
        </w:tc>
        <w:tc>
          <w:tcPr>
            <w:tcW w:w="992" w:type="dxa"/>
            <w:gridSpan w:val="3"/>
            <w:tcBorders>
              <w:top w:val="single" w:sz="4" w:space="0" w:color="auto"/>
              <w:left w:val="single" w:sz="4" w:space="0" w:color="auto"/>
              <w:bottom w:val="single" w:sz="4" w:space="0" w:color="auto"/>
              <w:right w:val="single" w:sz="4" w:space="0" w:color="auto"/>
            </w:tcBorders>
            <w:hideMark/>
          </w:tcPr>
          <w:p w:rsidR="00F11E4B" w:rsidRPr="00E802ED" w:rsidRDefault="00E802ED" w:rsidP="00F11E4B">
            <w:pPr>
              <w:jc w:val="right"/>
              <w:rPr>
                <w:rFonts w:ascii="Calibri" w:hAnsi="Calibri" w:cs="Calibri"/>
                <w:sz w:val="18"/>
                <w:szCs w:val="18"/>
              </w:rPr>
            </w:pPr>
            <w:r w:rsidRPr="00E802ED">
              <w:rPr>
                <w:rFonts w:ascii="Calibri" w:hAnsi="Calibri" w:cs="Calibri"/>
                <w:sz w:val="18"/>
                <w:szCs w:val="18"/>
              </w:rPr>
              <w:t>37,08</w:t>
            </w:r>
          </w:p>
        </w:tc>
        <w:tc>
          <w:tcPr>
            <w:tcW w:w="3757" w:type="dxa"/>
            <w:gridSpan w:val="12"/>
            <w:tcBorders>
              <w:top w:val="single" w:sz="4" w:space="0" w:color="auto"/>
              <w:left w:val="single" w:sz="4" w:space="0" w:color="auto"/>
              <w:bottom w:val="single" w:sz="4" w:space="0" w:color="auto"/>
              <w:right w:val="single" w:sz="4" w:space="0" w:color="auto"/>
            </w:tcBorders>
            <w:hideMark/>
          </w:tcPr>
          <w:p w:rsidR="00F11E4B" w:rsidRPr="00E802ED" w:rsidRDefault="00F11E4B" w:rsidP="00F11E4B">
            <w:pPr>
              <w:rPr>
                <w:rFonts w:ascii="Calibri" w:hAnsi="Calibri" w:cs="Calibri"/>
                <w:b/>
                <w:sz w:val="18"/>
                <w:szCs w:val="18"/>
                <w:u w:val="single"/>
              </w:rPr>
            </w:pPr>
            <w:r w:rsidRPr="00E802ED">
              <w:rPr>
                <w:rFonts w:ascii="Calibri" w:hAnsi="Calibri" w:cs="Calibri"/>
                <w:b/>
                <w:sz w:val="18"/>
                <w:szCs w:val="18"/>
                <w:u w:val="single"/>
              </w:rPr>
              <w:t>Úhrady sankcí jiným rozpočtům</w:t>
            </w:r>
          </w:p>
          <w:p w:rsidR="00F11E4B" w:rsidRPr="00E802ED" w:rsidRDefault="00E802ED" w:rsidP="00F11E4B">
            <w:pPr>
              <w:rPr>
                <w:rFonts w:ascii="Calibri" w:hAnsi="Calibri" w:cs="Calibri"/>
                <w:sz w:val="18"/>
                <w:szCs w:val="18"/>
              </w:rPr>
            </w:pPr>
            <w:r>
              <w:rPr>
                <w:rFonts w:ascii="Calibri" w:hAnsi="Calibri" w:cs="Calibri"/>
                <w:sz w:val="18"/>
                <w:szCs w:val="18"/>
              </w:rPr>
              <w:t>Uplatnění regresních nároků – náhrada škody, náklady soudního řízení.</w:t>
            </w:r>
          </w:p>
        </w:tc>
      </w:tr>
      <w:tr w:rsidR="00F11E4B" w:rsidTr="00D61B3C">
        <w:trPr>
          <w:divId w:val="2053571053"/>
        </w:trPr>
        <w:tc>
          <w:tcPr>
            <w:tcW w:w="779" w:type="dxa"/>
            <w:gridSpan w:val="2"/>
            <w:tcBorders>
              <w:top w:val="single" w:sz="4" w:space="0" w:color="auto"/>
              <w:left w:val="single" w:sz="4" w:space="0" w:color="auto"/>
              <w:bottom w:val="single" w:sz="4" w:space="0" w:color="auto"/>
              <w:right w:val="single" w:sz="4" w:space="0" w:color="auto"/>
            </w:tcBorders>
            <w:hideMark/>
          </w:tcPr>
          <w:p w:rsidR="00F11E4B" w:rsidRPr="00514A8A" w:rsidRDefault="00F11E4B" w:rsidP="00F11E4B">
            <w:pPr>
              <w:jc w:val="center"/>
              <w:rPr>
                <w:rFonts w:ascii="Calibri" w:hAnsi="Calibri" w:cs="Calibri"/>
                <w:sz w:val="18"/>
                <w:szCs w:val="18"/>
              </w:rPr>
            </w:pPr>
            <w:r w:rsidRPr="00514A8A">
              <w:rPr>
                <w:rFonts w:ascii="Calibri" w:hAnsi="Calibri" w:cs="Calibri"/>
                <w:sz w:val="18"/>
                <w:szCs w:val="18"/>
              </w:rPr>
              <w:t>6399</w:t>
            </w:r>
          </w:p>
        </w:tc>
        <w:tc>
          <w:tcPr>
            <w:tcW w:w="851" w:type="dxa"/>
            <w:gridSpan w:val="3"/>
            <w:tcBorders>
              <w:top w:val="single" w:sz="4" w:space="0" w:color="auto"/>
              <w:left w:val="single" w:sz="4" w:space="0" w:color="auto"/>
              <w:bottom w:val="single" w:sz="4" w:space="0" w:color="auto"/>
              <w:right w:val="single" w:sz="4" w:space="0" w:color="auto"/>
            </w:tcBorders>
            <w:hideMark/>
          </w:tcPr>
          <w:p w:rsidR="00F11E4B" w:rsidRPr="00514A8A" w:rsidRDefault="00F11E4B" w:rsidP="00F11E4B">
            <w:pPr>
              <w:jc w:val="center"/>
              <w:rPr>
                <w:rFonts w:ascii="Calibri" w:hAnsi="Calibri" w:cs="Calibri"/>
                <w:sz w:val="18"/>
                <w:szCs w:val="18"/>
              </w:rPr>
            </w:pPr>
            <w:r w:rsidRPr="00514A8A">
              <w:rPr>
                <w:rFonts w:ascii="Calibri" w:hAnsi="Calibri" w:cs="Calibri"/>
                <w:sz w:val="18"/>
                <w:szCs w:val="18"/>
              </w:rPr>
              <w:t>5362</w:t>
            </w:r>
          </w:p>
        </w:tc>
        <w:tc>
          <w:tcPr>
            <w:tcW w:w="1417" w:type="dxa"/>
            <w:gridSpan w:val="5"/>
            <w:tcBorders>
              <w:top w:val="single" w:sz="4" w:space="0" w:color="auto"/>
              <w:left w:val="single" w:sz="4" w:space="0" w:color="auto"/>
              <w:bottom w:val="single" w:sz="4" w:space="0" w:color="auto"/>
              <w:right w:val="single" w:sz="4" w:space="0" w:color="auto"/>
            </w:tcBorders>
            <w:hideMark/>
          </w:tcPr>
          <w:p w:rsidR="00F11E4B" w:rsidRPr="00514A8A" w:rsidRDefault="00F11E4B" w:rsidP="00F11E4B">
            <w:pPr>
              <w:jc w:val="center"/>
              <w:rPr>
                <w:rFonts w:ascii="Calibri" w:hAnsi="Calibri" w:cs="Calibri"/>
                <w:sz w:val="18"/>
                <w:szCs w:val="18"/>
              </w:rPr>
            </w:pPr>
            <w:r w:rsidRPr="00514A8A">
              <w:rPr>
                <w:rFonts w:ascii="Calibri" w:hAnsi="Calibri" w:cs="Calibri"/>
                <w:sz w:val="18"/>
                <w:szCs w:val="18"/>
              </w:rPr>
              <w:t>0700000708300</w:t>
            </w:r>
          </w:p>
        </w:tc>
        <w:tc>
          <w:tcPr>
            <w:tcW w:w="851" w:type="dxa"/>
            <w:gridSpan w:val="4"/>
            <w:tcBorders>
              <w:top w:val="single" w:sz="4" w:space="0" w:color="auto"/>
              <w:left w:val="single" w:sz="4" w:space="0" w:color="auto"/>
              <w:bottom w:val="single" w:sz="4" w:space="0" w:color="auto"/>
              <w:right w:val="single" w:sz="4" w:space="0" w:color="auto"/>
            </w:tcBorders>
          </w:tcPr>
          <w:p w:rsidR="00F11E4B" w:rsidRPr="00514A8A" w:rsidRDefault="00F11E4B" w:rsidP="00F11E4B">
            <w:pPr>
              <w:jc w:val="center"/>
              <w:rPr>
                <w:rFonts w:ascii="Calibri" w:hAnsi="Calibri" w:cs="Calibri"/>
                <w:sz w:val="18"/>
                <w:szCs w:val="18"/>
              </w:rPr>
            </w:pPr>
          </w:p>
        </w:tc>
        <w:tc>
          <w:tcPr>
            <w:tcW w:w="992" w:type="dxa"/>
            <w:gridSpan w:val="3"/>
            <w:tcBorders>
              <w:top w:val="single" w:sz="4" w:space="0" w:color="auto"/>
              <w:left w:val="single" w:sz="4" w:space="0" w:color="auto"/>
              <w:bottom w:val="single" w:sz="4" w:space="0" w:color="auto"/>
              <w:right w:val="single" w:sz="4" w:space="0" w:color="auto"/>
            </w:tcBorders>
            <w:hideMark/>
          </w:tcPr>
          <w:p w:rsidR="00F11E4B" w:rsidRPr="00514A8A" w:rsidRDefault="000C3BED" w:rsidP="00F11E4B">
            <w:pPr>
              <w:jc w:val="right"/>
              <w:rPr>
                <w:rFonts w:ascii="Calibri" w:hAnsi="Calibri" w:cs="Calibri"/>
                <w:sz w:val="18"/>
                <w:szCs w:val="18"/>
              </w:rPr>
            </w:pPr>
            <w:r w:rsidRPr="00514A8A">
              <w:rPr>
                <w:rFonts w:ascii="Calibri" w:hAnsi="Calibri" w:cs="Calibri"/>
                <w:sz w:val="18"/>
                <w:szCs w:val="18"/>
              </w:rPr>
              <w:t>12 0</w:t>
            </w:r>
            <w:r w:rsidR="00F11E4B" w:rsidRPr="00514A8A">
              <w:rPr>
                <w:rFonts w:ascii="Calibri" w:hAnsi="Calibri" w:cs="Calibri"/>
                <w:sz w:val="18"/>
                <w:szCs w:val="18"/>
              </w:rPr>
              <w:t>00,00</w:t>
            </w:r>
          </w:p>
        </w:tc>
        <w:tc>
          <w:tcPr>
            <w:tcW w:w="992" w:type="dxa"/>
            <w:gridSpan w:val="3"/>
            <w:tcBorders>
              <w:top w:val="single" w:sz="4" w:space="0" w:color="auto"/>
              <w:left w:val="single" w:sz="4" w:space="0" w:color="auto"/>
              <w:bottom w:val="single" w:sz="4" w:space="0" w:color="auto"/>
              <w:right w:val="single" w:sz="4" w:space="0" w:color="auto"/>
            </w:tcBorders>
            <w:hideMark/>
          </w:tcPr>
          <w:p w:rsidR="00F11E4B" w:rsidRPr="00514A8A" w:rsidRDefault="000C3BED" w:rsidP="00F11E4B">
            <w:pPr>
              <w:jc w:val="right"/>
              <w:rPr>
                <w:rFonts w:ascii="Calibri" w:hAnsi="Calibri" w:cs="Calibri"/>
                <w:sz w:val="18"/>
                <w:szCs w:val="18"/>
              </w:rPr>
            </w:pPr>
            <w:r w:rsidRPr="00514A8A">
              <w:rPr>
                <w:rFonts w:ascii="Calibri" w:hAnsi="Calibri" w:cs="Calibri"/>
                <w:sz w:val="18"/>
                <w:szCs w:val="18"/>
              </w:rPr>
              <w:t>7 239,64</w:t>
            </w:r>
          </w:p>
        </w:tc>
        <w:tc>
          <w:tcPr>
            <w:tcW w:w="3757" w:type="dxa"/>
            <w:gridSpan w:val="12"/>
            <w:tcBorders>
              <w:top w:val="single" w:sz="4" w:space="0" w:color="auto"/>
              <w:left w:val="single" w:sz="4" w:space="0" w:color="auto"/>
              <w:bottom w:val="single" w:sz="4" w:space="0" w:color="auto"/>
              <w:right w:val="single" w:sz="4" w:space="0" w:color="auto"/>
            </w:tcBorders>
            <w:hideMark/>
          </w:tcPr>
          <w:p w:rsidR="00F11E4B" w:rsidRPr="00514A8A" w:rsidRDefault="00F11E4B" w:rsidP="00F11E4B">
            <w:pPr>
              <w:rPr>
                <w:rFonts w:ascii="Calibri" w:hAnsi="Calibri" w:cs="Calibri"/>
                <w:b/>
                <w:sz w:val="18"/>
                <w:szCs w:val="18"/>
                <w:u w:val="single"/>
              </w:rPr>
            </w:pPr>
            <w:r w:rsidRPr="00514A8A">
              <w:rPr>
                <w:rFonts w:ascii="Calibri" w:hAnsi="Calibri" w:cs="Calibri"/>
                <w:b/>
                <w:sz w:val="18"/>
                <w:szCs w:val="18"/>
                <w:u w:val="single"/>
              </w:rPr>
              <w:t>Platby daní a poplatků SR - DPH</w:t>
            </w:r>
          </w:p>
          <w:p w:rsidR="00F11E4B" w:rsidRPr="00514A8A" w:rsidRDefault="000C3BED" w:rsidP="00F11E4B">
            <w:pPr>
              <w:rPr>
                <w:rFonts w:asciiTheme="minorHAnsi" w:hAnsiTheme="minorHAnsi" w:cstheme="minorHAnsi"/>
                <w:b/>
                <w:sz w:val="18"/>
                <w:szCs w:val="18"/>
                <w:highlight w:val="yellow"/>
                <w:u w:val="single"/>
              </w:rPr>
            </w:pPr>
            <w:r w:rsidRPr="00514A8A">
              <w:rPr>
                <w:rFonts w:ascii="Calibri" w:hAnsi="Calibri" w:cs="Calibri"/>
                <w:sz w:val="18"/>
                <w:szCs w:val="18"/>
              </w:rPr>
              <w:t xml:space="preserve">Položka čerpána dle potřeby, při sestavování rozpočtu </w:t>
            </w:r>
            <w:r w:rsidR="00514A8A" w:rsidRPr="00514A8A">
              <w:rPr>
                <w:rFonts w:ascii="Calibri" w:hAnsi="Calibri" w:cs="Calibri"/>
                <w:sz w:val="18"/>
                <w:szCs w:val="18"/>
              </w:rPr>
              <w:t>nelze přesně odhadnout.</w:t>
            </w:r>
          </w:p>
        </w:tc>
      </w:tr>
    </w:tbl>
    <w:p w:rsidR="00C817EC" w:rsidRDefault="00C817EC" w:rsidP="00C817EC">
      <w:pPr>
        <w:pStyle w:val="Default"/>
        <w:rPr>
          <w:rFonts w:asciiTheme="minorHAnsi" w:hAnsiTheme="minorHAnsi" w:cstheme="minorHAnsi"/>
          <w:color w:val="FF0000"/>
          <w:sz w:val="22"/>
          <w:szCs w:val="22"/>
        </w:rPr>
      </w:pPr>
    </w:p>
    <w:p w:rsidR="00D61B3C" w:rsidRPr="00F6124A" w:rsidRDefault="00D61B3C" w:rsidP="00D61B3C">
      <w:pPr>
        <w:rPr>
          <w:rFonts w:asciiTheme="minorHAnsi" w:hAnsiTheme="minorHAnsi" w:cstheme="minorHAnsi"/>
          <w:b/>
          <w:sz w:val="20"/>
          <w:szCs w:val="20"/>
        </w:rPr>
      </w:pPr>
      <w:r w:rsidRPr="00F6124A">
        <w:rPr>
          <w:rFonts w:asciiTheme="minorHAnsi" w:hAnsiTheme="minorHAnsi" w:cstheme="minorHAnsi"/>
          <w:b/>
          <w:sz w:val="20"/>
          <w:szCs w:val="20"/>
        </w:rPr>
        <w:t>Rozpočtová opatření byla v souladu s upraveným rozpočtem realizována.</w:t>
      </w:r>
    </w:p>
    <w:p w:rsidR="00D61B3C" w:rsidRDefault="00D61B3C" w:rsidP="00C817EC">
      <w:pPr>
        <w:rPr>
          <w:rFonts w:asciiTheme="minorHAnsi" w:hAnsiTheme="minorHAnsi" w:cstheme="minorHAnsi"/>
          <w:b/>
          <w:sz w:val="20"/>
          <w:szCs w:val="20"/>
        </w:rPr>
      </w:pPr>
    </w:p>
    <w:p w:rsidR="00C817EC" w:rsidRDefault="00C817EC" w:rsidP="00C817EC">
      <w:pPr>
        <w:rPr>
          <w:rFonts w:asciiTheme="minorHAnsi" w:hAnsiTheme="minorHAnsi" w:cstheme="minorHAnsi"/>
          <w:b/>
          <w:sz w:val="20"/>
          <w:szCs w:val="20"/>
        </w:rPr>
      </w:pPr>
      <w:r>
        <w:rPr>
          <w:rFonts w:asciiTheme="minorHAnsi" w:hAnsiTheme="minorHAnsi" w:cstheme="minorHAnsi"/>
          <w:b/>
          <w:sz w:val="20"/>
          <w:szCs w:val="20"/>
        </w:rPr>
        <w:t xml:space="preserve">V Prostějově: </w:t>
      </w:r>
      <w:r w:rsidR="00816CAE">
        <w:rPr>
          <w:rFonts w:asciiTheme="minorHAnsi" w:hAnsiTheme="minorHAnsi" w:cstheme="minorHAnsi"/>
          <w:b/>
          <w:sz w:val="20"/>
          <w:szCs w:val="20"/>
        </w:rPr>
        <w:t xml:space="preserve">15. </w:t>
      </w:r>
      <w:r>
        <w:rPr>
          <w:rFonts w:asciiTheme="minorHAnsi" w:hAnsiTheme="minorHAnsi" w:cstheme="minorHAnsi"/>
          <w:b/>
          <w:sz w:val="20"/>
          <w:szCs w:val="20"/>
        </w:rPr>
        <w:t>2.</w:t>
      </w:r>
      <w:r w:rsidR="00816CAE">
        <w:rPr>
          <w:rFonts w:asciiTheme="minorHAnsi" w:hAnsiTheme="minorHAnsi" w:cstheme="minorHAnsi"/>
          <w:b/>
          <w:sz w:val="20"/>
          <w:szCs w:val="20"/>
        </w:rPr>
        <w:t xml:space="preserve"> </w:t>
      </w:r>
      <w:r>
        <w:rPr>
          <w:rFonts w:asciiTheme="minorHAnsi" w:hAnsiTheme="minorHAnsi" w:cstheme="minorHAnsi"/>
          <w:b/>
          <w:sz w:val="20"/>
          <w:szCs w:val="20"/>
        </w:rPr>
        <w:t>202</w:t>
      </w:r>
      <w:r w:rsidR="00816CAE">
        <w:rPr>
          <w:rFonts w:asciiTheme="minorHAnsi" w:hAnsiTheme="minorHAnsi" w:cstheme="minorHAnsi"/>
          <w:b/>
          <w:sz w:val="20"/>
          <w:szCs w:val="20"/>
        </w:rPr>
        <w:t>3</w:t>
      </w:r>
      <w:r>
        <w:rPr>
          <w:rFonts w:asciiTheme="minorHAnsi" w:hAnsiTheme="minorHAnsi" w:cstheme="minorHAnsi"/>
          <w:b/>
          <w:sz w:val="20"/>
          <w:szCs w:val="20"/>
        </w:rPr>
        <w:tab/>
      </w:r>
    </w:p>
    <w:p w:rsidR="00C817EC" w:rsidRDefault="00C817EC" w:rsidP="00C817EC">
      <w:pPr>
        <w:rPr>
          <w:rFonts w:asciiTheme="minorHAnsi" w:hAnsiTheme="minorHAnsi" w:cstheme="minorHAnsi"/>
          <w:b/>
          <w:sz w:val="20"/>
          <w:szCs w:val="20"/>
        </w:rPr>
      </w:pPr>
      <w:r>
        <w:rPr>
          <w:rFonts w:asciiTheme="minorHAnsi" w:hAnsiTheme="minorHAnsi" w:cstheme="minorHAnsi"/>
          <w:b/>
          <w:sz w:val="20"/>
          <w:szCs w:val="20"/>
        </w:rPr>
        <w:t>Správce kapitoly:   Ing. Radim Carda</w:t>
      </w:r>
      <w:r w:rsidR="00D61B3C">
        <w:rPr>
          <w:rFonts w:asciiTheme="minorHAnsi" w:hAnsiTheme="minorHAnsi" w:cstheme="minorHAnsi"/>
          <w:b/>
          <w:sz w:val="20"/>
          <w:szCs w:val="20"/>
        </w:rPr>
        <w:t xml:space="preserve">, </w:t>
      </w:r>
      <w:r>
        <w:rPr>
          <w:rFonts w:asciiTheme="minorHAnsi" w:hAnsiTheme="minorHAnsi" w:cstheme="minorHAnsi"/>
          <w:b/>
          <w:sz w:val="20"/>
          <w:szCs w:val="20"/>
        </w:rPr>
        <w:t>vedoucí Finančního odboru</w:t>
      </w:r>
    </w:p>
    <w:tbl>
      <w:tblPr>
        <w:tblW w:w="20035" w:type="dxa"/>
        <w:tblInd w:w="-72" w:type="dxa"/>
        <w:tblLayout w:type="fixed"/>
        <w:tblCellMar>
          <w:left w:w="70" w:type="dxa"/>
          <w:right w:w="70" w:type="dxa"/>
        </w:tblCellMar>
        <w:tblLook w:val="0000" w:firstRow="0" w:lastRow="0" w:firstColumn="0" w:lastColumn="0" w:noHBand="0" w:noVBand="0"/>
      </w:tblPr>
      <w:tblGrid>
        <w:gridCol w:w="19"/>
        <w:gridCol w:w="143"/>
        <w:gridCol w:w="21"/>
        <w:gridCol w:w="198"/>
        <w:gridCol w:w="3"/>
        <w:gridCol w:w="343"/>
        <w:gridCol w:w="3"/>
        <w:gridCol w:w="97"/>
        <w:gridCol w:w="96"/>
        <w:gridCol w:w="158"/>
        <w:gridCol w:w="1"/>
        <w:gridCol w:w="1"/>
        <w:gridCol w:w="170"/>
        <w:gridCol w:w="13"/>
        <w:gridCol w:w="221"/>
        <w:gridCol w:w="3"/>
        <w:gridCol w:w="98"/>
        <w:gridCol w:w="11"/>
        <w:gridCol w:w="156"/>
        <w:gridCol w:w="4"/>
        <w:gridCol w:w="92"/>
        <w:gridCol w:w="75"/>
        <w:gridCol w:w="105"/>
        <w:gridCol w:w="77"/>
        <w:gridCol w:w="371"/>
        <w:gridCol w:w="136"/>
        <w:gridCol w:w="237"/>
        <w:gridCol w:w="55"/>
        <w:gridCol w:w="228"/>
        <w:gridCol w:w="53"/>
        <w:gridCol w:w="35"/>
        <w:gridCol w:w="107"/>
        <w:gridCol w:w="3"/>
        <w:gridCol w:w="50"/>
        <w:gridCol w:w="12"/>
        <w:gridCol w:w="95"/>
        <w:gridCol w:w="3"/>
        <w:gridCol w:w="8"/>
        <w:gridCol w:w="138"/>
        <w:gridCol w:w="11"/>
        <w:gridCol w:w="108"/>
        <w:gridCol w:w="53"/>
        <w:gridCol w:w="58"/>
        <w:gridCol w:w="48"/>
        <w:gridCol w:w="54"/>
        <w:gridCol w:w="106"/>
        <w:gridCol w:w="62"/>
        <w:gridCol w:w="20"/>
        <w:gridCol w:w="22"/>
        <w:gridCol w:w="37"/>
        <w:gridCol w:w="19"/>
        <w:gridCol w:w="272"/>
        <w:gridCol w:w="99"/>
        <w:gridCol w:w="102"/>
        <w:gridCol w:w="72"/>
        <w:gridCol w:w="228"/>
        <w:gridCol w:w="164"/>
        <w:gridCol w:w="1"/>
        <w:gridCol w:w="159"/>
        <w:gridCol w:w="120"/>
        <w:gridCol w:w="147"/>
        <w:gridCol w:w="269"/>
        <w:gridCol w:w="125"/>
        <w:gridCol w:w="135"/>
        <w:gridCol w:w="26"/>
        <w:gridCol w:w="150"/>
        <w:gridCol w:w="84"/>
        <w:gridCol w:w="110"/>
        <w:gridCol w:w="132"/>
        <w:gridCol w:w="18"/>
        <w:gridCol w:w="44"/>
        <w:gridCol w:w="216"/>
        <w:gridCol w:w="4"/>
        <w:gridCol w:w="223"/>
        <w:gridCol w:w="33"/>
        <w:gridCol w:w="4"/>
        <w:gridCol w:w="21"/>
        <w:gridCol w:w="92"/>
        <w:gridCol w:w="152"/>
        <w:gridCol w:w="1"/>
        <w:gridCol w:w="7"/>
        <w:gridCol w:w="55"/>
        <w:gridCol w:w="136"/>
        <w:gridCol w:w="58"/>
        <w:gridCol w:w="11"/>
        <w:gridCol w:w="432"/>
        <w:gridCol w:w="58"/>
        <w:gridCol w:w="1484"/>
        <w:gridCol w:w="23"/>
        <w:gridCol w:w="3"/>
        <w:gridCol w:w="4"/>
        <w:gridCol w:w="8"/>
        <w:gridCol w:w="222"/>
        <w:gridCol w:w="177"/>
        <w:gridCol w:w="83"/>
        <w:gridCol w:w="54"/>
        <w:gridCol w:w="133"/>
        <w:gridCol w:w="27"/>
        <w:gridCol w:w="46"/>
        <w:gridCol w:w="21"/>
        <w:gridCol w:w="66"/>
        <w:gridCol w:w="27"/>
        <w:gridCol w:w="67"/>
        <w:gridCol w:w="93"/>
        <w:gridCol w:w="73"/>
        <w:gridCol w:w="94"/>
        <w:gridCol w:w="66"/>
        <w:gridCol w:w="67"/>
        <w:gridCol w:w="27"/>
        <w:gridCol w:w="110"/>
        <w:gridCol w:w="23"/>
        <w:gridCol w:w="33"/>
        <w:gridCol w:w="94"/>
        <w:gridCol w:w="10"/>
        <w:gridCol w:w="123"/>
        <w:gridCol w:w="38"/>
        <w:gridCol w:w="89"/>
        <w:gridCol w:w="75"/>
        <w:gridCol w:w="58"/>
        <w:gridCol w:w="38"/>
        <w:gridCol w:w="89"/>
        <w:gridCol w:w="64"/>
        <w:gridCol w:w="7"/>
        <w:gridCol w:w="89"/>
        <w:gridCol w:w="64"/>
        <w:gridCol w:w="99"/>
        <w:gridCol w:w="8"/>
        <w:gridCol w:w="53"/>
        <w:gridCol w:w="99"/>
        <w:gridCol w:w="26"/>
        <w:gridCol w:w="35"/>
        <w:gridCol w:w="155"/>
        <w:gridCol w:w="160"/>
        <w:gridCol w:w="125"/>
        <w:gridCol w:w="62"/>
        <w:gridCol w:w="73"/>
        <w:gridCol w:w="87"/>
        <w:gridCol w:w="73"/>
        <w:gridCol w:w="51"/>
        <w:gridCol w:w="157"/>
        <w:gridCol w:w="52"/>
        <w:gridCol w:w="160"/>
        <w:gridCol w:w="9"/>
        <w:gridCol w:w="288"/>
        <w:gridCol w:w="213"/>
        <w:gridCol w:w="810"/>
        <w:gridCol w:w="160"/>
        <w:gridCol w:w="112"/>
        <w:gridCol w:w="48"/>
        <w:gridCol w:w="260"/>
        <w:gridCol w:w="160"/>
        <w:gridCol w:w="160"/>
        <w:gridCol w:w="260"/>
        <w:gridCol w:w="160"/>
        <w:gridCol w:w="1690"/>
        <w:gridCol w:w="742"/>
        <w:gridCol w:w="160"/>
        <w:gridCol w:w="160"/>
        <w:gridCol w:w="260"/>
        <w:gridCol w:w="160"/>
        <w:gridCol w:w="260"/>
        <w:gridCol w:w="260"/>
        <w:gridCol w:w="162"/>
      </w:tblGrid>
      <w:tr w:rsidR="004809F3" w:rsidRPr="004809F3" w:rsidTr="00C07D18">
        <w:trPr>
          <w:gridAfter w:val="73"/>
          <w:wAfter w:w="10328" w:type="dxa"/>
        </w:trPr>
        <w:tc>
          <w:tcPr>
            <w:tcW w:w="9707" w:type="dxa"/>
            <w:gridSpan w:val="90"/>
          </w:tcPr>
          <w:p w:rsidR="004809F3" w:rsidRPr="004809F3" w:rsidRDefault="004809F3" w:rsidP="00845B07">
            <w:pPr>
              <w:rPr>
                <w:rFonts w:asciiTheme="minorHAnsi" w:hAnsiTheme="minorHAnsi" w:cstheme="minorHAnsi"/>
                <w:b/>
                <w:sz w:val="20"/>
                <w:szCs w:val="20"/>
              </w:rPr>
            </w:pPr>
            <w:r w:rsidRPr="004809F3">
              <w:rPr>
                <w:rFonts w:asciiTheme="minorHAnsi" w:hAnsiTheme="minorHAnsi" w:cstheme="minorHAnsi"/>
                <w:b/>
                <w:sz w:val="20"/>
                <w:szCs w:val="20"/>
              </w:rPr>
              <w:t>Kapitola 71 – Sociální fond</w:t>
            </w:r>
          </w:p>
        </w:tc>
      </w:tr>
      <w:tr w:rsidR="00C07D18" w:rsidRPr="004809F3" w:rsidTr="00C07D18">
        <w:tc>
          <w:tcPr>
            <w:tcW w:w="162" w:type="dxa"/>
            <w:gridSpan w:val="2"/>
          </w:tcPr>
          <w:p w:rsidR="004809F3" w:rsidRPr="004809F3" w:rsidRDefault="004809F3" w:rsidP="00845B07">
            <w:pPr>
              <w:rPr>
                <w:rFonts w:asciiTheme="minorHAnsi" w:hAnsiTheme="minorHAnsi" w:cstheme="minorHAnsi"/>
                <w:b/>
                <w:sz w:val="20"/>
                <w:szCs w:val="20"/>
              </w:rPr>
            </w:pPr>
          </w:p>
        </w:tc>
        <w:tc>
          <w:tcPr>
            <w:tcW w:w="665" w:type="dxa"/>
            <w:gridSpan w:val="6"/>
          </w:tcPr>
          <w:p w:rsidR="004809F3" w:rsidRPr="004809F3" w:rsidRDefault="004809F3" w:rsidP="00845B07">
            <w:pPr>
              <w:rPr>
                <w:rFonts w:asciiTheme="minorHAnsi" w:hAnsiTheme="minorHAnsi" w:cstheme="minorHAnsi"/>
                <w:b/>
                <w:sz w:val="20"/>
                <w:szCs w:val="20"/>
              </w:rPr>
            </w:pPr>
          </w:p>
        </w:tc>
        <w:tc>
          <w:tcPr>
            <w:tcW w:w="254" w:type="dxa"/>
            <w:gridSpan w:val="2"/>
          </w:tcPr>
          <w:p w:rsidR="004809F3" w:rsidRPr="004809F3" w:rsidRDefault="004809F3" w:rsidP="00845B07">
            <w:pPr>
              <w:rPr>
                <w:rFonts w:asciiTheme="minorHAnsi" w:hAnsiTheme="minorHAnsi" w:cstheme="minorHAnsi"/>
                <w:b/>
                <w:sz w:val="20"/>
                <w:szCs w:val="20"/>
              </w:rPr>
            </w:pPr>
          </w:p>
        </w:tc>
        <w:tc>
          <w:tcPr>
            <w:tcW w:w="172" w:type="dxa"/>
            <w:gridSpan w:val="3"/>
          </w:tcPr>
          <w:p w:rsidR="004809F3" w:rsidRPr="004809F3" w:rsidRDefault="004809F3" w:rsidP="00845B07">
            <w:pPr>
              <w:rPr>
                <w:rFonts w:asciiTheme="minorHAnsi" w:hAnsiTheme="minorHAnsi" w:cstheme="minorHAnsi"/>
                <w:b/>
                <w:sz w:val="20"/>
                <w:szCs w:val="20"/>
              </w:rPr>
            </w:pPr>
          </w:p>
        </w:tc>
        <w:tc>
          <w:tcPr>
            <w:tcW w:w="2928" w:type="dxa"/>
            <w:gridSpan w:val="36"/>
          </w:tcPr>
          <w:p w:rsidR="004809F3" w:rsidRPr="004809F3" w:rsidRDefault="004809F3" w:rsidP="00845B07">
            <w:pPr>
              <w:rPr>
                <w:rFonts w:asciiTheme="minorHAnsi" w:hAnsiTheme="minorHAnsi" w:cstheme="minorHAnsi"/>
                <w:b/>
                <w:sz w:val="20"/>
                <w:szCs w:val="20"/>
              </w:rPr>
            </w:pPr>
          </w:p>
        </w:tc>
        <w:tc>
          <w:tcPr>
            <w:tcW w:w="993" w:type="dxa"/>
            <w:gridSpan w:val="8"/>
          </w:tcPr>
          <w:p w:rsidR="004809F3" w:rsidRPr="004809F3" w:rsidRDefault="004809F3" w:rsidP="00845B07">
            <w:pPr>
              <w:rPr>
                <w:rFonts w:asciiTheme="minorHAnsi" w:hAnsiTheme="minorHAnsi" w:cstheme="minorHAnsi"/>
                <w:b/>
                <w:sz w:val="20"/>
                <w:szCs w:val="20"/>
              </w:rPr>
            </w:pPr>
          </w:p>
        </w:tc>
        <w:tc>
          <w:tcPr>
            <w:tcW w:w="160" w:type="dxa"/>
            <w:gridSpan w:val="2"/>
          </w:tcPr>
          <w:p w:rsidR="004809F3" w:rsidRPr="004809F3" w:rsidRDefault="004809F3" w:rsidP="00845B07">
            <w:pPr>
              <w:rPr>
                <w:rFonts w:asciiTheme="minorHAnsi" w:hAnsiTheme="minorHAnsi" w:cstheme="minorHAnsi"/>
                <w:b/>
                <w:sz w:val="20"/>
                <w:szCs w:val="20"/>
              </w:rPr>
            </w:pPr>
          </w:p>
        </w:tc>
        <w:tc>
          <w:tcPr>
            <w:tcW w:w="5701" w:type="dxa"/>
            <w:gridSpan w:val="49"/>
          </w:tcPr>
          <w:p w:rsidR="004809F3" w:rsidRPr="004809F3" w:rsidRDefault="004809F3" w:rsidP="00845B07">
            <w:pPr>
              <w:rPr>
                <w:rFonts w:asciiTheme="minorHAnsi" w:hAnsiTheme="minorHAnsi" w:cstheme="minorHAnsi"/>
                <w:b/>
                <w:sz w:val="20"/>
                <w:szCs w:val="20"/>
              </w:rPr>
            </w:pPr>
          </w:p>
        </w:tc>
        <w:tc>
          <w:tcPr>
            <w:tcW w:w="160" w:type="dxa"/>
            <w:gridSpan w:val="3"/>
          </w:tcPr>
          <w:p w:rsidR="004809F3" w:rsidRPr="004809F3" w:rsidRDefault="004809F3" w:rsidP="00845B07">
            <w:pPr>
              <w:rPr>
                <w:rFonts w:asciiTheme="minorHAnsi" w:hAnsiTheme="minorHAnsi" w:cstheme="minorHAnsi"/>
                <w:b/>
                <w:sz w:val="20"/>
                <w:szCs w:val="20"/>
              </w:rPr>
            </w:pPr>
          </w:p>
        </w:tc>
        <w:tc>
          <w:tcPr>
            <w:tcW w:w="260" w:type="dxa"/>
            <w:gridSpan w:val="4"/>
          </w:tcPr>
          <w:p w:rsidR="004809F3" w:rsidRPr="004809F3" w:rsidRDefault="004809F3" w:rsidP="00845B07">
            <w:pPr>
              <w:rPr>
                <w:rFonts w:asciiTheme="minorHAnsi" w:hAnsiTheme="minorHAnsi" w:cstheme="minorHAnsi"/>
                <w:b/>
                <w:sz w:val="20"/>
                <w:szCs w:val="20"/>
              </w:rPr>
            </w:pPr>
          </w:p>
        </w:tc>
        <w:tc>
          <w:tcPr>
            <w:tcW w:w="260" w:type="dxa"/>
            <w:gridSpan w:val="4"/>
          </w:tcPr>
          <w:p w:rsidR="004809F3" w:rsidRPr="004809F3" w:rsidRDefault="004809F3" w:rsidP="00845B07">
            <w:pPr>
              <w:rPr>
                <w:rFonts w:asciiTheme="minorHAnsi" w:hAnsiTheme="minorHAnsi" w:cstheme="minorHAnsi"/>
                <w:b/>
                <w:sz w:val="20"/>
                <w:szCs w:val="20"/>
              </w:rPr>
            </w:pPr>
          </w:p>
        </w:tc>
        <w:tc>
          <w:tcPr>
            <w:tcW w:w="1457" w:type="dxa"/>
            <w:gridSpan w:val="20"/>
          </w:tcPr>
          <w:p w:rsidR="004809F3" w:rsidRPr="004809F3" w:rsidRDefault="004809F3" w:rsidP="00845B07">
            <w:pPr>
              <w:rPr>
                <w:rFonts w:asciiTheme="minorHAnsi" w:hAnsiTheme="minorHAnsi" w:cstheme="minorHAnsi"/>
                <w:b/>
                <w:sz w:val="20"/>
                <w:szCs w:val="20"/>
              </w:rPr>
            </w:pPr>
          </w:p>
        </w:tc>
        <w:tc>
          <w:tcPr>
            <w:tcW w:w="5441" w:type="dxa"/>
            <w:gridSpan w:val="17"/>
          </w:tcPr>
          <w:p w:rsidR="004809F3" w:rsidRPr="004809F3" w:rsidRDefault="004809F3" w:rsidP="00845B07">
            <w:pPr>
              <w:rPr>
                <w:rFonts w:asciiTheme="minorHAnsi" w:hAnsiTheme="minorHAnsi" w:cstheme="minorHAnsi"/>
                <w:b/>
                <w:sz w:val="20"/>
                <w:szCs w:val="20"/>
              </w:rPr>
            </w:pPr>
          </w:p>
        </w:tc>
        <w:tc>
          <w:tcPr>
            <w:tcW w:w="160" w:type="dxa"/>
          </w:tcPr>
          <w:p w:rsidR="004809F3" w:rsidRPr="004809F3" w:rsidRDefault="004809F3" w:rsidP="00845B07">
            <w:pPr>
              <w:rPr>
                <w:rFonts w:asciiTheme="minorHAnsi" w:hAnsiTheme="minorHAnsi" w:cstheme="minorHAnsi"/>
                <w:b/>
                <w:sz w:val="20"/>
                <w:szCs w:val="20"/>
              </w:rPr>
            </w:pPr>
          </w:p>
        </w:tc>
        <w:tc>
          <w:tcPr>
            <w:tcW w:w="160" w:type="dxa"/>
          </w:tcPr>
          <w:p w:rsidR="004809F3" w:rsidRPr="004809F3" w:rsidRDefault="004809F3" w:rsidP="00845B07">
            <w:pPr>
              <w:rPr>
                <w:rFonts w:asciiTheme="minorHAnsi" w:hAnsiTheme="minorHAnsi" w:cstheme="minorHAnsi"/>
                <w:b/>
                <w:sz w:val="20"/>
                <w:szCs w:val="20"/>
              </w:rPr>
            </w:pPr>
          </w:p>
        </w:tc>
        <w:tc>
          <w:tcPr>
            <w:tcW w:w="260" w:type="dxa"/>
          </w:tcPr>
          <w:p w:rsidR="004809F3" w:rsidRPr="004809F3" w:rsidRDefault="004809F3" w:rsidP="00845B07">
            <w:pPr>
              <w:rPr>
                <w:rFonts w:asciiTheme="minorHAnsi" w:hAnsiTheme="minorHAnsi" w:cstheme="minorHAnsi"/>
                <w:b/>
                <w:sz w:val="20"/>
                <w:szCs w:val="20"/>
              </w:rPr>
            </w:pPr>
          </w:p>
        </w:tc>
        <w:tc>
          <w:tcPr>
            <w:tcW w:w="160" w:type="dxa"/>
          </w:tcPr>
          <w:p w:rsidR="004809F3" w:rsidRPr="004809F3" w:rsidRDefault="004809F3" w:rsidP="00845B07">
            <w:pPr>
              <w:rPr>
                <w:rFonts w:asciiTheme="minorHAnsi" w:hAnsiTheme="minorHAnsi" w:cstheme="minorHAnsi"/>
                <w:b/>
                <w:sz w:val="20"/>
                <w:szCs w:val="20"/>
              </w:rPr>
            </w:pPr>
          </w:p>
        </w:tc>
        <w:tc>
          <w:tcPr>
            <w:tcW w:w="260" w:type="dxa"/>
          </w:tcPr>
          <w:p w:rsidR="004809F3" w:rsidRPr="004809F3" w:rsidRDefault="004809F3" w:rsidP="00845B07">
            <w:pPr>
              <w:rPr>
                <w:rFonts w:asciiTheme="minorHAnsi" w:hAnsiTheme="minorHAnsi" w:cstheme="minorHAnsi"/>
                <w:b/>
                <w:sz w:val="20"/>
                <w:szCs w:val="20"/>
              </w:rPr>
            </w:pPr>
          </w:p>
        </w:tc>
        <w:tc>
          <w:tcPr>
            <w:tcW w:w="260" w:type="dxa"/>
          </w:tcPr>
          <w:p w:rsidR="004809F3" w:rsidRPr="004809F3" w:rsidRDefault="004809F3" w:rsidP="00845B07">
            <w:pPr>
              <w:rPr>
                <w:rFonts w:asciiTheme="minorHAnsi" w:hAnsiTheme="minorHAnsi" w:cstheme="minorHAnsi"/>
                <w:b/>
                <w:sz w:val="20"/>
                <w:szCs w:val="20"/>
              </w:rPr>
            </w:pPr>
          </w:p>
        </w:tc>
        <w:tc>
          <w:tcPr>
            <w:tcW w:w="162" w:type="dxa"/>
          </w:tcPr>
          <w:p w:rsidR="004809F3" w:rsidRPr="004809F3" w:rsidRDefault="004809F3" w:rsidP="00845B07">
            <w:pPr>
              <w:rPr>
                <w:rFonts w:asciiTheme="minorHAnsi" w:hAnsiTheme="minorHAnsi" w:cstheme="minorHAnsi"/>
                <w:b/>
                <w:sz w:val="20"/>
                <w:szCs w:val="20"/>
              </w:rPr>
            </w:pPr>
          </w:p>
        </w:tc>
      </w:tr>
      <w:tr w:rsidR="004809F3" w:rsidRPr="004809F3" w:rsidTr="00C07D18">
        <w:trPr>
          <w:gridAfter w:val="73"/>
          <w:wAfter w:w="10328" w:type="dxa"/>
        </w:trPr>
        <w:tc>
          <w:tcPr>
            <w:tcW w:w="9707" w:type="dxa"/>
            <w:gridSpan w:val="90"/>
            <w:shd w:val="clear" w:color="auto" w:fill="F79646"/>
          </w:tcPr>
          <w:p w:rsidR="004809F3" w:rsidRPr="004809F3" w:rsidRDefault="004809F3" w:rsidP="00845B07">
            <w:pPr>
              <w:rPr>
                <w:rFonts w:asciiTheme="minorHAnsi" w:hAnsiTheme="minorHAnsi" w:cstheme="minorHAnsi"/>
                <w:b/>
                <w:sz w:val="20"/>
                <w:szCs w:val="20"/>
                <w:u w:val="single"/>
              </w:rPr>
            </w:pPr>
            <w:r w:rsidRPr="004809F3">
              <w:rPr>
                <w:rFonts w:asciiTheme="minorHAnsi" w:hAnsiTheme="minorHAnsi" w:cstheme="minorHAnsi"/>
                <w:b/>
                <w:sz w:val="20"/>
                <w:szCs w:val="20"/>
                <w:u w:val="single"/>
              </w:rPr>
              <w:t>Rozbor plnění příjmů rozpočtu kapitoly</w:t>
            </w:r>
          </w:p>
        </w:tc>
      </w:tr>
      <w:tr w:rsidR="00C07D18" w:rsidRPr="004809F3" w:rsidTr="00C07D18">
        <w:trPr>
          <w:gridAfter w:val="15"/>
          <w:wAfter w:w="4902" w:type="dxa"/>
        </w:trPr>
        <w:tc>
          <w:tcPr>
            <w:tcW w:w="162" w:type="dxa"/>
            <w:gridSpan w:val="2"/>
          </w:tcPr>
          <w:p w:rsidR="004809F3" w:rsidRPr="004809F3" w:rsidRDefault="004809F3" w:rsidP="00845B07">
            <w:pPr>
              <w:rPr>
                <w:rFonts w:asciiTheme="minorHAnsi" w:hAnsiTheme="minorHAnsi" w:cstheme="minorHAnsi"/>
                <w:b/>
                <w:sz w:val="20"/>
                <w:szCs w:val="20"/>
              </w:rPr>
            </w:pPr>
          </w:p>
        </w:tc>
        <w:tc>
          <w:tcPr>
            <w:tcW w:w="665" w:type="dxa"/>
            <w:gridSpan w:val="6"/>
          </w:tcPr>
          <w:p w:rsidR="004809F3" w:rsidRPr="004809F3" w:rsidRDefault="004809F3" w:rsidP="00845B07">
            <w:pPr>
              <w:rPr>
                <w:rFonts w:asciiTheme="minorHAnsi" w:hAnsiTheme="minorHAnsi" w:cstheme="minorHAnsi"/>
                <w:b/>
                <w:sz w:val="20"/>
                <w:szCs w:val="20"/>
              </w:rPr>
            </w:pPr>
          </w:p>
        </w:tc>
        <w:tc>
          <w:tcPr>
            <w:tcW w:w="254" w:type="dxa"/>
            <w:gridSpan w:val="2"/>
          </w:tcPr>
          <w:p w:rsidR="004809F3" w:rsidRPr="004809F3" w:rsidRDefault="004809F3" w:rsidP="00845B07">
            <w:pPr>
              <w:rPr>
                <w:rFonts w:asciiTheme="minorHAnsi" w:hAnsiTheme="minorHAnsi" w:cstheme="minorHAnsi"/>
                <w:b/>
                <w:sz w:val="20"/>
                <w:szCs w:val="20"/>
              </w:rPr>
            </w:pPr>
          </w:p>
        </w:tc>
        <w:tc>
          <w:tcPr>
            <w:tcW w:w="518" w:type="dxa"/>
            <w:gridSpan w:val="8"/>
          </w:tcPr>
          <w:p w:rsidR="004809F3" w:rsidRPr="004809F3" w:rsidRDefault="004809F3" w:rsidP="00845B07">
            <w:pPr>
              <w:rPr>
                <w:rFonts w:asciiTheme="minorHAnsi" w:hAnsiTheme="minorHAnsi" w:cstheme="minorHAnsi"/>
                <w:b/>
                <w:sz w:val="20"/>
                <w:szCs w:val="20"/>
              </w:rPr>
            </w:pPr>
          </w:p>
        </w:tc>
        <w:tc>
          <w:tcPr>
            <w:tcW w:w="160" w:type="dxa"/>
            <w:gridSpan w:val="2"/>
          </w:tcPr>
          <w:p w:rsidR="004809F3" w:rsidRPr="004809F3" w:rsidRDefault="004809F3" w:rsidP="00845B07">
            <w:pPr>
              <w:rPr>
                <w:rFonts w:asciiTheme="minorHAnsi" w:hAnsiTheme="minorHAnsi" w:cstheme="minorHAnsi"/>
                <w:b/>
                <w:sz w:val="20"/>
                <w:szCs w:val="20"/>
              </w:rPr>
            </w:pPr>
          </w:p>
        </w:tc>
        <w:tc>
          <w:tcPr>
            <w:tcW w:w="167" w:type="dxa"/>
            <w:gridSpan w:val="2"/>
          </w:tcPr>
          <w:p w:rsidR="004809F3" w:rsidRPr="004809F3" w:rsidRDefault="004809F3" w:rsidP="00845B07">
            <w:pPr>
              <w:rPr>
                <w:rFonts w:asciiTheme="minorHAnsi" w:hAnsiTheme="minorHAnsi" w:cstheme="minorHAnsi"/>
                <w:b/>
                <w:sz w:val="20"/>
                <w:szCs w:val="20"/>
              </w:rPr>
            </w:pPr>
          </w:p>
        </w:tc>
        <w:tc>
          <w:tcPr>
            <w:tcW w:w="182" w:type="dxa"/>
            <w:gridSpan w:val="2"/>
          </w:tcPr>
          <w:p w:rsidR="004809F3" w:rsidRPr="004809F3" w:rsidRDefault="004809F3" w:rsidP="00845B07">
            <w:pPr>
              <w:rPr>
                <w:rFonts w:asciiTheme="minorHAnsi" w:hAnsiTheme="minorHAnsi" w:cstheme="minorHAnsi"/>
                <w:b/>
                <w:sz w:val="20"/>
                <w:szCs w:val="20"/>
              </w:rPr>
            </w:pPr>
          </w:p>
        </w:tc>
        <w:tc>
          <w:tcPr>
            <w:tcW w:w="1027" w:type="dxa"/>
            <w:gridSpan w:val="5"/>
          </w:tcPr>
          <w:p w:rsidR="004809F3" w:rsidRPr="004809F3" w:rsidRDefault="004809F3" w:rsidP="00845B07">
            <w:pPr>
              <w:rPr>
                <w:rFonts w:asciiTheme="minorHAnsi" w:hAnsiTheme="minorHAnsi" w:cstheme="minorHAnsi"/>
                <w:b/>
                <w:sz w:val="20"/>
                <w:szCs w:val="20"/>
              </w:rPr>
            </w:pPr>
          </w:p>
        </w:tc>
        <w:tc>
          <w:tcPr>
            <w:tcW w:w="260" w:type="dxa"/>
            <w:gridSpan w:val="6"/>
          </w:tcPr>
          <w:p w:rsidR="004809F3" w:rsidRPr="004809F3" w:rsidRDefault="004809F3" w:rsidP="00845B07">
            <w:pPr>
              <w:rPr>
                <w:rFonts w:asciiTheme="minorHAnsi" w:hAnsiTheme="minorHAnsi" w:cstheme="minorHAnsi"/>
                <w:b/>
                <w:sz w:val="20"/>
                <w:szCs w:val="20"/>
              </w:rPr>
            </w:pPr>
          </w:p>
        </w:tc>
        <w:tc>
          <w:tcPr>
            <w:tcW w:w="416" w:type="dxa"/>
            <w:gridSpan w:val="7"/>
          </w:tcPr>
          <w:p w:rsidR="004809F3" w:rsidRPr="004809F3" w:rsidRDefault="004809F3" w:rsidP="00845B07">
            <w:pPr>
              <w:rPr>
                <w:rFonts w:asciiTheme="minorHAnsi" w:hAnsiTheme="minorHAnsi" w:cstheme="minorHAnsi"/>
                <w:b/>
                <w:sz w:val="20"/>
                <w:szCs w:val="20"/>
              </w:rPr>
            </w:pPr>
          </w:p>
        </w:tc>
        <w:tc>
          <w:tcPr>
            <w:tcW w:w="160" w:type="dxa"/>
            <w:gridSpan w:val="3"/>
          </w:tcPr>
          <w:p w:rsidR="004809F3" w:rsidRPr="004809F3" w:rsidRDefault="004809F3" w:rsidP="00845B07">
            <w:pPr>
              <w:rPr>
                <w:rFonts w:asciiTheme="minorHAnsi" w:hAnsiTheme="minorHAnsi" w:cstheme="minorHAnsi"/>
                <w:b/>
                <w:sz w:val="20"/>
                <w:szCs w:val="20"/>
              </w:rPr>
            </w:pPr>
          </w:p>
        </w:tc>
        <w:tc>
          <w:tcPr>
            <w:tcW w:w="6511" w:type="dxa"/>
            <w:gridSpan w:val="55"/>
          </w:tcPr>
          <w:p w:rsidR="004809F3" w:rsidRPr="004809F3" w:rsidRDefault="004809F3" w:rsidP="00845B07">
            <w:pPr>
              <w:rPr>
                <w:rFonts w:asciiTheme="minorHAnsi" w:hAnsiTheme="minorHAnsi" w:cstheme="minorHAnsi"/>
                <w:b/>
                <w:sz w:val="20"/>
                <w:szCs w:val="20"/>
              </w:rPr>
            </w:pPr>
          </w:p>
        </w:tc>
        <w:tc>
          <w:tcPr>
            <w:tcW w:w="160" w:type="dxa"/>
            <w:gridSpan w:val="3"/>
          </w:tcPr>
          <w:p w:rsidR="004809F3" w:rsidRPr="004809F3" w:rsidRDefault="004809F3" w:rsidP="00845B07">
            <w:pPr>
              <w:rPr>
                <w:rFonts w:asciiTheme="minorHAnsi" w:hAnsiTheme="minorHAnsi" w:cstheme="minorHAnsi"/>
                <w:b/>
                <w:sz w:val="20"/>
                <w:szCs w:val="20"/>
              </w:rPr>
            </w:pPr>
          </w:p>
        </w:tc>
        <w:tc>
          <w:tcPr>
            <w:tcW w:w="260" w:type="dxa"/>
            <w:gridSpan w:val="3"/>
          </w:tcPr>
          <w:p w:rsidR="004809F3" w:rsidRPr="004809F3" w:rsidRDefault="004809F3" w:rsidP="00845B07">
            <w:pPr>
              <w:rPr>
                <w:rFonts w:asciiTheme="minorHAnsi" w:hAnsiTheme="minorHAnsi" w:cstheme="minorHAnsi"/>
                <w:b/>
                <w:sz w:val="20"/>
                <w:szCs w:val="20"/>
              </w:rPr>
            </w:pPr>
          </w:p>
        </w:tc>
        <w:tc>
          <w:tcPr>
            <w:tcW w:w="160" w:type="dxa"/>
            <w:gridSpan w:val="3"/>
          </w:tcPr>
          <w:p w:rsidR="004809F3" w:rsidRPr="004809F3" w:rsidRDefault="004809F3" w:rsidP="00845B07">
            <w:pPr>
              <w:rPr>
                <w:rFonts w:asciiTheme="minorHAnsi" w:hAnsiTheme="minorHAnsi" w:cstheme="minorHAnsi"/>
                <w:b/>
                <w:sz w:val="20"/>
                <w:szCs w:val="20"/>
              </w:rPr>
            </w:pPr>
          </w:p>
        </w:tc>
        <w:tc>
          <w:tcPr>
            <w:tcW w:w="260" w:type="dxa"/>
            <w:gridSpan w:val="4"/>
          </w:tcPr>
          <w:p w:rsidR="004809F3" w:rsidRPr="004809F3" w:rsidRDefault="004809F3" w:rsidP="00845B07">
            <w:pPr>
              <w:rPr>
                <w:rFonts w:asciiTheme="minorHAnsi" w:hAnsiTheme="minorHAnsi" w:cstheme="minorHAnsi"/>
                <w:b/>
                <w:sz w:val="20"/>
                <w:szCs w:val="20"/>
              </w:rPr>
            </w:pPr>
          </w:p>
        </w:tc>
        <w:tc>
          <w:tcPr>
            <w:tcW w:w="260" w:type="dxa"/>
            <w:gridSpan w:val="4"/>
          </w:tcPr>
          <w:p w:rsidR="004809F3" w:rsidRPr="004809F3" w:rsidRDefault="004809F3" w:rsidP="00845B07">
            <w:pPr>
              <w:rPr>
                <w:rFonts w:asciiTheme="minorHAnsi" w:hAnsiTheme="minorHAnsi" w:cstheme="minorHAnsi"/>
                <w:b/>
                <w:sz w:val="20"/>
                <w:szCs w:val="20"/>
              </w:rPr>
            </w:pPr>
          </w:p>
        </w:tc>
        <w:tc>
          <w:tcPr>
            <w:tcW w:w="260" w:type="dxa"/>
            <w:gridSpan w:val="4"/>
          </w:tcPr>
          <w:p w:rsidR="004809F3" w:rsidRPr="004809F3" w:rsidRDefault="004809F3" w:rsidP="00845B07">
            <w:pPr>
              <w:rPr>
                <w:rFonts w:asciiTheme="minorHAnsi" w:hAnsiTheme="minorHAnsi" w:cstheme="minorHAnsi"/>
                <w:b/>
                <w:sz w:val="20"/>
                <w:szCs w:val="20"/>
              </w:rPr>
            </w:pPr>
          </w:p>
        </w:tc>
        <w:tc>
          <w:tcPr>
            <w:tcW w:w="160" w:type="dxa"/>
            <w:gridSpan w:val="3"/>
          </w:tcPr>
          <w:p w:rsidR="004809F3" w:rsidRPr="004809F3" w:rsidRDefault="004809F3" w:rsidP="00845B07">
            <w:pPr>
              <w:rPr>
                <w:rFonts w:asciiTheme="minorHAnsi" w:hAnsiTheme="minorHAnsi" w:cstheme="minorHAnsi"/>
                <w:b/>
                <w:sz w:val="20"/>
                <w:szCs w:val="20"/>
              </w:rPr>
            </w:pPr>
          </w:p>
        </w:tc>
        <w:tc>
          <w:tcPr>
            <w:tcW w:w="3131" w:type="dxa"/>
            <w:gridSpan w:val="24"/>
          </w:tcPr>
          <w:p w:rsidR="004809F3" w:rsidRPr="004809F3" w:rsidRDefault="004809F3" w:rsidP="00845B07">
            <w:pPr>
              <w:rPr>
                <w:rFonts w:asciiTheme="minorHAnsi" w:hAnsiTheme="minorHAnsi" w:cstheme="minorHAnsi"/>
                <w:b/>
                <w:sz w:val="20"/>
                <w:szCs w:val="20"/>
              </w:rPr>
            </w:pPr>
          </w:p>
        </w:tc>
      </w:tr>
      <w:tr w:rsidR="00C07D18" w:rsidRPr="004809F3" w:rsidTr="00C07D18">
        <w:trPr>
          <w:gridAfter w:val="73"/>
          <w:wAfter w:w="10328" w:type="dxa"/>
        </w:trPr>
        <w:tc>
          <w:tcPr>
            <w:tcW w:w="3188" w:type="dxa"/>
            <w:gridSpan w:val="30"/>
            <w:tcBorders>
              <w:top w:val="single" w:sz="4" w:space="0" w:color="auto"/>
              <w:left w:val="single" w:sz="4" w:space="0" w:color="auto"/>
              <w:bottom w:val="single" w:sz="4" w:space="0" w:color="auto"/>
              <w:right w:val="single" w:sz="4" w:space="0" w:color="auto"/>
            </w:tcBorders>
            <w:shd w:val="clear" w:color="auto" w:fill="FFFF00"/>
          </w:tcPr>
          <w:p w:rsidR="004809F3" w:rsidRPr="004809F3" w:rsidRDefault="004809F3" w:rsidP="00845B07">
            <w:pPr>
              <w:jc w:val="center"/>
              <w:rPr>
                <w:rFonts w:asciiTheme="minorHAnsi" w:hAnsiTheme="minorHAnsi" w:cstheme="minorHAnsi"/>
                <w:b/>
                <w:sz w:val="20"/>
                <w:szCs w:val="20"/>
              </w:rPr>
            </w:pPr>
            <w:r w:rsidRPr="004809F3">
              <w:rPr>
                <w:rFonts w:asciiTheme="minorHAnsi" w:hAnsiTheme="minorHAnsi" w:cstheme="minorHAnsi"/>
                <w:b/>
                <w:sz w:val="20"/>
                <w:szCs w:val="20"/>
              </w:rPr>
              <w:t>Rozpočet upravený v tis. Kč</w:t>
            </w:r>
          </w:p>
        </w:tc>
        <w:tc>
          <w:tcPr>
            <w:tcW w:w="3118" w:type="dxa"/>
            <w:gridSpan w:val="36"/>
            <w:tcBorders>
              <w:top w:val="single" w:sz="4" w:space="0" w:color="auto"/>
              <w:left w:val="single" w:sz="4" w:space="0" w:color="auto"/>
              <w:bottom w:val="single" w:sz="4" w:space="0" w:color="auto"/>
              <w:right w:val="single" w:sz="4" w:space="0" w:color="auto"/>
            </w:tcBorders>
            <w:shd w:val="clear" w:color="auto" w:fill="FFFF00"/>
          </w:tcPr>
          <w:p w:rsidR="004809F3" w:rsidRPr="004809F3" w:rsidRDefault="004809F3" w:rsidP="00845B07">
            <w:pPr>
              <w:jc w:val="center"/>
              <w:rPr>
                <w:rFonts w:asciiTheme="minorHAnsi" w:hAnsiTheme="minorHAnsi" w:cstheme="minorHAnsi"/>
                <w:b/>
                <w:sz w:val="20"/>
                <w:szCs w:val="20"/>
              </w:rPr>
            </w:pPr>
            <w:r w:rsidRPr="004809F3">
              <w:rPr>
                <w:rFonts w:asciiTheme="minorHAnsi" w:hAnsiTheme="minorHAnsi" w:cstheme="minorHAnsi"/>
                <w:b/>
                <w:sz w:val="20"/>
                <w:szCs w:val="20"/>
              </w:rPr>
              <w:t>Skutečnost v tis. Kč</w:t>
            </w:r>
          </w:p>
        </w:tc>
        <w:tc>
          <w:tcPr>
            <w:tcW w:w="1134" w:type="dxa"/>
            <w:gridSpan w:val="14"/>
            <w:tcBorders>
              <w:top w:val="single" w:sz="4" w:space="0" w:color="auto"/>
              <w:left w:val="single" w:sz="4" w:space="0" w:color="auto"/>
              <w:bottom w:val="single" w:sz="4" w:space="0" w:color="auto"/>
              <w:right w:val="single" w:sz="4" w:space="0" w:color="auto"/>
            </w:tcBorders>
            <w:shd w:val="clear" w:color="auto" w:fill="FFFF00"/>
          </w:tcPr>
          <w:p w:rsidR="004809F3" w:rsidRPr="004809F3" w:rsidRDefault="004809F3" w:rsidP="00845B07">
            <w:pPr>
              <w:jc w:val="center"/>
              <w:rPr>
                <w:rFonts w:asciiTheme="minorHAnsi" w:hAnsiTheme="minorHAnsi" w:cstheme="minorHAnsi"/>
                <w:b/>
                <w:sz w:val="20"/>
                <w:szCs w:val="20"/>
              </w:rPr>
            </w:pPr>
            <w:r w:rsidRPr="004809F3">
              <w:rPr>
                <w:rFonts w:asciiTheme="minorHAnsi" w:hAnsiTheme="minorHAnsi" w:cstheme="minorHAnsi"/>
                <w:b/>
                <w:sz w:val="20"/>
                <w:szCs w:val="20"/>
              </w:rPr>
              <w:t>SK/RU v %</w:t>
            </w:r>
          </w:p>
        </w:tc>
        <w:tc>
          <w:tcPr>
            <w:tcW w:w="2267" w:type="dxa"/>
            <w:gridSpan w:val="10"/>
            <w:tcBorders>
              <w:top w:val="single" w:sz="4" w:space="0" w:color="auto"/>
              <w:left w:val="single" w:sz="4" w:space="0" w:color="auto"/>
              <w:bottom w:val="single" w:sz="4" w:space="0" w:color="auto"/>
              <w:right w:val="single" w:sz="4" w:space="0" w:color="auto"/>
            </w:tcBorders>
            <w:shd w:val="clear" w:color="auto" w:fill="FFFF00"/>
          </w:tcPr>
          <w:p w:rsidR="004809F3" w:rsidRPr="004809F3" w:rsidRDefault="004809F3" w:rsidP="00845B07">
            <w:pPr>
              <w:jc w:val="center"/>
              <w:rPr>
                <w:rFonts w:asciiTheme="minorHAnsi" w:hAnsiTheme="minorHAnsi" w:cstheme="minorHAnsi"/>
                <w:b/>
                <w:sz w:val="20"/>
                <w:szCs w:val="20"/>
              </w:rPr>
            </w:pPr>
            <w:r w:rsidRPr="004809F3">
              <w:rPr>
                <w:rFonts w:asciiTheme="minorHAnsi" w:hAnsiTheme="minorHAnsi" w:cstheme="minorHAnsi"/>
                <w:b/>
                <w:sz w:val="20"/>
                <w:szCs w:val="20"/>
              </w:rPr>
              <w:t>Komentář</w:t>
            </w:r>
          </w:p>
        </w:tc>
      </w:tr>
      <w:tr w:rsidR="00C07D18" w:rsidRPr="004809F3" w:rsidTr="00C07D18">
        <w:trPr>
          <w:gridAfter w:val="73"/>
          <w:wAfter w:w="10328" w:type="dxa"/>
        </w:trPr>
        <w:tc>
          <w:tcPr>
            <w:tcW w:w="3188" w:type="dxa"/>
            <w:gridSpan w:val="30"/>
            <w:tcBorders>
              <w:top w:val="single" w:sz="4" w:space="0" w:color="auto"/>
              <w:left w:val="single" w:sz="4" w:space="0" w:color="auto"/>
              <w:bottom w:val="single" w:sz="4" w:space="0" w:color="auto"/>
              <w:right w:val="single" w:sz="4" w:space="0" w:color="auto"/>
            </w:tcBorders>
          </w:tcPr>
          <w:p w:rsidR="004809F3" w:rsidRPr="004809F3" w:rsidRDefault="004809F3" w:rsidP="00845B07">
            <w:pPr>
              <w:jc w:val="right"/>
              <w:rPr>
                <w:rFonts w:asciiTheme="minorHAnsi" w:hAnsiTheme="minorHAnsi" w:cstheme="minorHAnsi"/>
                <w:b/>
                <w:sz w:val="20"/>
                <w:szCs w:val="20"/>
              </w:rPr>
            </w:pPr>
            <w:r w:rsidRPr="004809F3">
              <w:rPr>
                <w:rFonts w:asciiTheme="minorHAnsi" w:hAnsiTheme="minorHAnsi" w:cstheme="minorHAnsi"/>
                <w:b/>
                <w:sz w:val="20"/>
                <w:szCs w:val="20"/>
              </w:rPr>
              <w:t>200,00</w:t>
            </w:r>
          </w:p>
        </w:tc>
        <w:tc>
          <w:tcPr>
            <w:tcW w:w="3118" w:type="dxa"/>
            <w:gridSpan w:val="36"/>
            <w:tcBorders>
              <w:top w:val="single" w:sz="4" w:space="0" w:color="auto"/>
              <w:left w:val="single" w:sz="4" w:space="0" w:color="auto"/>
              <w:bottom w:val="single" w:sz="4" w:space="0" w:color="auto"/>
              <w:right w:val="single" w:sz="4" w:space="0" w:color="auto"/>
            </w:tcBorders>
          </w:tcPr>
          <w:p w:rsidR="004809F3" w:rsidRPr="004809F3" w:rsidRDefault="004809F3" w:rsidP="00845B07">
            <w:pPr>
              <w:jc w:val="right"/>
              <w:rPr>
                <w:rFonts w:asciiTheme="minorHAnsi" w:hAnsiTheme="minorHAnsi" w:cstheme="minorHAnsi"/>
                <w:b/>
                <w:sz w:val="20"/>
                <w:szCs w:val="20"/>
              </w:rPr>
            </w:pPr>
            <w:r>
              <w:rPr>
                <w:rFonts w:asciiTheme="minorHAnsi" w:hAnsiTheme="minorHAnsi" w:cstheme="minorHAnsi"/>
                <w:b/>
                <w:sz w:val="20"/>
                <w:szCs w:val="20"/>
              </w:rPr>
              <w:t xml:space="preserve">7 </w:t>
            </w:r>
            <w:r w:rsidRPr="004809F3">
              <w:rPr>
                <w:rFonts w:asciiTheme="minorHAnsi" w:hAnsiTheme="minorHAnsi" w:cstheme="minorHAnsi"/>
                <w:b/>
                <w:sz w:val="20"/>
                <w:szCs w:val="20"/>
              </w:rPr>
              <w:t>241,77</w:t>
            </w:r>
          </w:p>
        </w:tc>
        <w:tc>
          <w:tcPr>
            <w:tcW w:w="1134" w:type="dxa"/>
            <w:gridSpan w:val="14"/>
            <w:tcBorders>
              <w:top w:val="single" w:sz="4" w:space="0" w:color="auto"/>
              <w:left w:val="single" w:sz="4" w:space="0" w:color="auto"/>
              <w:bottom w:val="single" w:sz="4" w:space="0" w:color="auto"/>
              <w:right w:val="single" w:sz="4" w:space="0" w:color="auto"/>
            </w:tcBorders>
          </w:tcPr>
          <w:p w:rsidR="004809F3" w:rsidRPr="004809F3" w:rsidRDefault="004809F3" w:rsidP="004809F3">
            <w:pPr>
              <w:jc w:val="center"/>
              <w:rPr>
                <w:rFonts w:asciiTheme="minorHAnsi" w:hAnsiTheme="minorHAnsi" w:cstheme="minorHAnsi"/>
                <w:b/>
                <w:sz w:val="20"/>
                <w:szCs w:val="20"/>
              </w:rPr>
            </w:pPr>
            <w:r>
              <w:rPr>
                <w:rFonts w:asciiTheme="minorHAnsi" w:hAnsiTheme="minorHAnsi" w:cstheme="minorHAnsi"/>
                <w:b/>
                <w:sz w:val="20"/>
                <w:szCs w:val="20"/>
              </w:rPr>
              <w:t xml:space="preserve">3 </w:t>
            </w:r>
            <w:r w:rsidRPr="004809F3">
              <w:rPr>
                <w:rFonts w:asciiTheme="minorHAnsi" w:hAnsiTheme="minorHAnsi" w:cstheme="minorHAnsi"/>
                <w:b/>
                <w:sz w:val="20"/>
                <w:szCs w:val="20"/>
              </w:rPr>
              <w:t>620,88</w:t>
            </w:r>
          </w:p>
        </w:tc>
        <w:tc>
          <w:tcPr>
            <w:tcW w:w="2267" w:type="dxa"/>
            <w:gridSpan w:val="10"/>
            <w:tcBorders>
              <w:top w:val="single" w:sz="4" w:space="0" w:color="auto"/>
              <w:left w:val="single" w:sz="4" w:space="0" w:color="auto"/>
              <w:bottom w:val="single" w:sz="4" w:space="0" w:color="auto"/>
              <w:right w:val="single" w:sz="4" w:space="0" w:color="auto"/>
            </w:tcBorders>
          </w:tcPr>
          <w:p w:rsidR="004809F3" w:rsidRPr="004809F3" w:rsidRDefault="004809F3" w:rsidP="00845B07">
            <w:pPr>
              <w:rPr>
                <w:rFonts w:asciiTheme="minorHAnsi" w:hAnsiTheme="minorHAnsi" w:cstheme="minorHAnsi"/>
                <w:b/>
                <w:sz w:val="20"/>
                <w:szCs w:val="20"/>
              </w:rPr>
            </w:pPr>
            <w:r w:rsidRPr="004809F3">
              <w:rPr>
                <w:rFonts w:asciiTheme="minorHAnsi" w:hAnsiTheme="minorHAnsi" w:cstheme="minorHAnsi"/>
                <w:b/>
                <w:sz w:val="20"/>
                <w:szCs w:val="20"/>
              </w:rPr>
              <w:t>Příjmy před konsolidací</w:t>
            </w:r>
          </w:p>
        </w:tc>
      </w:tr>
      <w:tr w:rsidR="00C07D18" w:rsidRPr="004809F3" w:rsidTr="00C07D18">
        <w:trPr>
          <w:gridAfter w:val="73"/>
          <w:wAfter w:w="10328" w:type="dxa"/>
        </w:trPr>
        <w:tc>
          <w:tcPr>
            <w:tcW w:w="3188" w:type="dxa"/>
            <w:gridSpan w:val="30"/>
            <w:tcBorders>
              <w:top w:val="single" w:sz="4" w:space="0" w:color="auto"/>
              <w:left w:val="single" w:sz="4" w:space="0" w:color="auto"/>
              <w:bottom w:val="single" w:sz="4" w:space="0" w:color="auto"/>
              <w:right w:val="single" w:sz="4" w:space="0" w:color="auto"/>
            </w:tcBorders>
          </w:tcPr>
          <w:p w:rsidR="004809F3" w:rsidRPr="004809F3" w:rsidRDefault="004809F3" w:rsidP="00845B07">
            <w:pPr>
              <w:jc w:val="right"/>
              <w:rPr>
                <w:rFonts w:asciiTheme="minorHAnsi" w:hAnsiTheme="minorHAnsi" w:cstheme="minorHAnsi"/>
                <w:b/>
                <w:sz w:val="20"/>
                <w:szCs w:val="20"/>
              </w:rPr>
            </w:pPr>
            <w:r w:rsidRPr="004809F3">
              <w:rPr>
                <w:rFonts w:asciiTheme="minorHAnsi" w:hAnsiTheme="minorHAnsi" w:cstheme="minorHAnsi"/>
                <w:b/>
                <w:sz w:val="20"/>
                <w:szCs w:val="20"/>
              </w:rPr>
              <w:t>200,00</w:t>
            </w:r>
          </w:p>
        </w:tc>
        <w:tc>
          <w:tcPr>
            <w:tcW w:w="3118" w:type="dxa"/>
            <w:gridSpan w:val="36"/>
            <w:tcBorders>
              <w:top w:val="single" w:sz="4" w:space="0" w:color="auto"/>
              <w:left w:val="single" w:sz="4" w:space="0" w:color="auto"/>
              <w:bottom w:val="single" w:sz="4" w:space="0" w:color="auto"/>
              <w:right w:val="single" w:sz="4" w:space="0" w:color="auto"/>
            </w:tcBorders>
          </w:tcPr>
          <w:p w:rsidR="004809F3" w:rsidRPr="004809F3" w:rsidRDefault="004809F3" w:rsidP="00845B07">
            <w:pPr>
              <w:jc w:val="right"/>
              <w:rPr>
                <w:rFonts w:asciiTheme="minorHAnsi" w:hAnsiTheme="minorHAnsi" w:cstheme="minorHAnsi"/>
                <w:b/>
                <w:sz w:val="20"/>
                <w:szCs w:val="20"/>
              </w:rPr>
            </w:pPr>
            <w:r w:rsidRPr="004809F3">
              <w:rPr>
                <w:rFonts w:asciiTheme="minorHAnsi" w:hAnsiTheme="minorHAnsi" w:cstheme="minorHAnsi"/>
                <w:b/>
                <w:sz w:val="20"/>
                <w:szCs w:val="20"/>
              </w:rPr>
              <w:t>240,25</w:t>
            </w:r>
          </w:p>
        </w:tc>
        <w:tc>
          <w:tcPr>
            <w:tcW w:w="1134" w:type="dxa"/>
            <w:gridSpan w:val="14"/>
            <w:tcBorders>
              <w:top w:val="single" w:sz="4" w:space="0" w:color="auto"/>
              <w:left w:val="single" w:sz="4" w:space="0" w:color="auto"/>
              <w:bottom w:val="single" w:sz="4" w:space="0" w:color="auto"/>
              <w:right w:val="single" w:sz="4" w:space="0" w:color="auto"/>
            </w:tcBorders>
          </w:tcPr>
          <w:p w:rsidR="004809F3" w:rsidRPr="004809F3" w:rsidRDefault="004809F3" w:rsidP="004809F3">
            <w:pPr>
              <w:jc w:val="center"/>
              <w:rPr>
                <w:rFonts w:asciiTheme="minorHAnsi" w:hAnsiTheme="minorHAnsi" w:cstheme="minorHAnsi"/>
                <w:b/>
                <w:sz w:val="20"/>
                <w:szCs w:val="20"/>
              </w:rPr>
            </w:pPr>
            <w:r w:rsidRPr="004809F3">
              <w:rPr>
                <w:rFonts w:asciiTheme="minorHAnsi" w:hAnsiTheme="minorHAnsi" w:cstheme="minorHAnsi"/>
                <w:b/>
                <w:sz w:val="20"/>
                <w:szCs w:val="20"/>
              </w:rPr>
              <w:t>120,12</w:t>
            </w:r>
          </w:p>
        </w:tc>
        <w:tc>
          <w:tcPr>
            <w:tcW w:w="2267" w:type="dxa"/>
            <w:gridSpan w:val="10"/>
            <w:tcBorders>
              <w:top w:val="single" w:sz="4" w:space="0" w:color="auto"/>
              <w:left w:val="single" w:sz="4" w:space="0" w:color="auto"/>
              <w:bottom w:val="single" w:sz="4" w:space="0" w:color="auto"/>
              <w:right w:val="single" w:sz="4" w:space="0" w:color="auto"/>
            </w:tcBorders>
          </w:tcPr>
          <w:p w:rsidR="004809F3" w:rsidRPr="004809F3" w:rsidRDefault="004809F3" w:rsidP="00845B07">
            <w:pPr>
              <w:rPr>
                <w:rFonts w:asciiTheme="minorHAnsi" w:hAnsiTheme="minorHAnsi" w:cstheme="minorHAnsi"/>
                <w:b/>
                <w:sz w:val="20"/>
                <w:szCs w:val="20"/>
              </w:rPr>
            </w:pPr>
            <w:r w:rsidRPr="004809F3">
              <w:rPr>
                <w:rFonts w:asciiTheme="minorHAnsi" w:hAnsiTheme="minorHAnsi" w:cstheme="minorHAnsi"/>
                <w:b/>
                <w:sz w:val="20"/>
                <w:szCs w:val="20"/>
              </w:rPr>
              <w:t>Příjmy po konsolidaci</w:t>
            </w:r>
          </w:p>
        </w:tc>
      </w:tr>
      <w:tr w:rsidR="00C07D18" w:rsidRPr="004809F3" w:rsidTr="00C07D18">
        <w:trPr>
          <w:gridAfter w:val="15"/>
          <w:wAfter w:w="4902" w:type="dxa"/>
        </w:trPr>
        <w:tc>
          <w:tcPr>
            <w:tcW w:w="162" w:type="dxa"/>
            <w:gridSpan w:val="2"/>
          </w:tcPr>
          <w:p w:rsidR="004809F3" w:rsidRPr="004809F3" w:rsidRDefault="004809F3" w:rsidP="00845B07">
            <w:pPr>
              <w:rPr>
                <w:rFonts w:asciiTheme="minorHAnsi" w:hAnsiTheme="minorHAnsi" w:cstheme="minorHAnsi"/>
                <w:b/>
                <w:sz w:val="20"/>
                <w:szCs w:val="20"/>
              </w:rPr>
            </w:pPr>
          </w:p>
        </w:tc>
        <w:tc>
          <w:tcPr>
            <w:tcW w:w="665" w:type="dxa"/>
            <w:gridSpan w:val="6"/>
          </w:tcPr>
          <w:p w:rsidR="004809F3" w:rsidRPr="004809F3" w:rsidRDefault="004809F3" w:rsidP="00845B07">
            <w:pPr>
              <w:rPr>
                <w:rFonts w:asciiTheme="minorHAnsi" w:hAnsiTheme="minorHAnsi" w:cstheme="minorHAnsi"/>
                <w:b/>
                <w:sz w:val="20"/>
                <w:szCs w:val="20"/>
              </w:rPr>
            </w:pPr>
          </w:p>
        </w:tc>
        <w:tc>
          <w:tcPr>
            <w:tcW w:w="254" w:type="dxa"/>
            <w:gridSpan w:val="2"/>
          </w:tcPr>
          <w:p w:rsidR="004809F3" w:rsidRPr="004809F3" w:rsidRDefault="004809F3" w:rsidP="00845B07">
            <w:pPr>
              <w:rPr>
                <w:rFonts w:asciiTheme="minorHAnsi" w:hAnsiTheme="minorHAnsi" w:cstheme="minorHAnsi"/>
                <w:b/>
                <w:sz w:val="20"/>
                <w:szCs w:val="20"/>
              </w:rPr>
            </w:pPr>
          </w:p>
        </w:tc>
        <w:tc>
          <w:tcPr>
            <w:tcW w:w="518" w:type="dxa"/>
            <w:gridSpan w:val="8"/>
          </w:tcPr>
          <w:p w:rsidR="004809F3" w:rsidRPr="004809F3" w:rsidRDefault="004809F3" w:rsidP="00845B07">
            <w:pPr>
              <w:rPr>
                <w:rFonts w:asciiTheme="minorHAnsi" w:hAnsiTheme="minorHAnsi" w:cstheme="minorHAnsi"/>
                <w:b/>
                <w:sz w:val="20"/>
                <w:szCs w:val="20"/>
              </w:rPr>
            </w:pPr>
          </w:p>
        </w:tc>
        <w:tc>
          <w:tcPr>
            <w:tcW w:w="160" w:type="dxa"/>
            <w:gridSpan w:val="2"/>
          </w:tcPr>
          <w:p w:rsidR="004809F3" w:rsidRPr="004809F3" w:rsidRDefault="004809F3" w:rsidP="00845B07">
            <w:pPr>
              <w:rPr>
                <w:rFonts w:asciiTheme="minorHAnsi" w:hAnsiTheme="minorHAnsi" w:cstheme="minorHAnsi"/>
                <w:b/>
                <w:sz w:val="20"/>
                <w:szCs w:val="20"/>
              </w:rPr>
            </w:pPr>
          </w:p>
        </w:tc>
        <w:tc>
          <w:tcPr>
            <w:tcW w:w="167" w:type="dxa"/>
            <w:gridSpan w:val="2"/>
          </w:tcPr>
          <w:p w:rsidR="004809F3" w:rsidRPr="004809F3" w:rsidRDefault="004809F3" w:rsidP="00845B07">
            <w:pPr>
              <w:rPr>
                <w:rFonts w:asciiTheme="minorHAnsi" w:hAnsiTheme="minorHAnsi" w:cstheme="minorHAnsi"/>
                <w:b/>
                <w:sz w:val="20"/>
                <w:szCs w:val="20"/>
              </w:rPr>
            </w:pPr>
          </w:p>
        </w:tc>
        <w:tc>
          <w:tcPr>
            <w:tcW w:w="182" w:type="dxa"/>
            <w:gridSpan w:val="2"/>
          </w:tcPr>
          <w:p w:rsidR="004809F3" w:rsidRPr="004809F3" w:rsidRDefault="004809F3" w:rsidP="00845B07">
            <w:pPr>
              <w:rPr>
                <w:rFonts w:asciiTheme="minorHAnsi" w:hAnsiTheme="minorHAnsi" w:cstheme="minorHAnsi"/>
                <w:b/>
                <w:sz w:val="20"/>
                <w:szCs w:val="20"/>
              </w:rPr>
            </w:pPr>
          </w:p>
        </w:tc>
        <w:tc>
          <w:tcPr>
            <w:tcW w:w="1027" w:type="dxa"/>
            <w:gridSpan w:val="5"/>
          </w:tcPr>
          <w:p w:rsidR="004809F3" w:rsidRPr="004809F3" w:rsidRDefault="004809F3" w:rsidP="00845B07">
            <w:pPr>
              <w:rPr>
                <w:rFonts w:asciiTheme="minorHAnsi" w:hAnsiTheme="minorHAnsi" w:cstheme="minorHAnsi"/>
                <w:b/>
                <w:sz w:val="20"/>
                <w:szCs w:val="20"/>
              </w:rPr>
            </w:pPr>
          </w:p>
        </w:tc>
        <w:tc>
          <w:tcPr>
            <w:tcW w:w="260" w:type="dxa"/>
            <w:gridSpan w:val="6"/>
          </w:tcPr>
          <w:p w:rsidR="004809F3" w:rsidRPr="004809F3" w:rsidRDefault="004809F3" w:rsidP="00845B07">
            <w:pPr>
              <w:rPr>
                <w:rFonts w:asciiTheme="minorHAnsi" w:hAnsiTheme="minorHAnsi" w:cstheme="minorHAnsi"/>
                <w:b/>
                <w:sz w:val="20"/>
                <w:szCs w:val="20"/>
              </w:rPr>
            </w:pPr>
          </w:p>
        </w:tc>
        <w:tc>
          <w:tcPr>
            <w:tcW w:w="416" w:type="dxa"/>
            <w:gridSpan w:val="7"/>
          </w:tcPr>
          <w:p w:rsidR="004809F3" w:rsidRPr="004809F3" w:rsidRDefault="004809F3" w:rsidP="00845B07">
            <w:pPr>
              <w:rPr>
                <w:rFonts w:asciiTheme="minorHAnsi" w:hAnsiTheme="minorHAnsi" w:cstheme="minorHAnsi"/>
                <w:b/>
                <w:sz w:val="20"/>
                <w:szCs w:val="20"/>
              </w:rPr>
            </w:pPr>
          </w:p>
        </w:tc>
        <w:tc>
          <w:tcPr>
            <w:tcW w:w="160" w:type="dxa"/>
            <w:gridSpan w:val="3"/>
          </w:tcPr>
          <w:p w:rsidR="004809F3" w:rsidRPr="004809F3" w:rsidRDefault="004809F3" w:rsidP="00845B07">
            <w:pPr>
              <w:rPr>
                <w:rFonts w:asciiTheme="minorHAnsi" w:hAnsiTheme="minorHAnsi" w:cstheme="minorHAnsi"/>
                <w:b/>
                <w:sz w:val="20"/>
                <w:szCs w:val="20"/>
              </w:rPr>
            </w:pPr>
          </w:p>
        </w:tc>
        <w:tc>
          <w:tcPr>
            <w:tcW w:w="6511" w:type="dxa"/>
            <w:gridSpan w:val="55"/>
          </w:tcPr>
          <w:p w:rsidR="004809F3" w:rsidRPr="004809F3" w:rsidRDefault="004809F3" w:rsidP="00845B07">
            <w:pPr>
              <w:rPr>
                <w:rFonts w:asciiTheme="minorHAnsi" w:hAnsiTheme="minorHAnsi" w:cstheme="minorHAnsi"/>
                <w:b/>
                <w:sz w:val="20"/>
                <w:szCs w:val="20"/>
              </w:rPr>
            </w:pPr>
          </w:p>
        </w:tc>
        <w:tc>
          <w:tcPr>
            <w:tcW w:w="160" w:type="dxa"/>
            <w:gridSpan w:val="3"/>
          </w:tcPr>
          <w:p w:rsidR="004809F3" w:rsidRPr="004809F3" w:rsidRDefault="004809F3" w:rsidP="00845B07">
            <w:pPr>
              <w:rPr>
                <w:rFonts w:asciiTheme="minorHAnsi" w:hAnsiTheme="minorHAnsi" w:cstheme="minorHAnsi"/>
                <w:b/>
                <w:sz w:val="20"/>
                <w:szCs w:val="20"/>
              </w:rPr>
            </w:pPr>
          </w:p>
        </w:tc>
        <w:tc>
          <w:tcPr>
            <w:tcW w:w="260" w:type="dxa"/>
            <w:gridSpan w:val="3"/>
          </w:tcPr>
          <w:p w:rsidR="004809F3" w:rsidRPr="004809F3" w:rsidRDefault="004809F3" w:rsidP="00845B07">
            <w:pPr>
              <w:rPr>
                <w:rFonts w:asciiTheme="minorHAnsi" w:hAnsiTheme="minorHAnsi" w:cstheme="minorHAnsi"/>
                <w:b/>
                <w:sz w:val="20"/>
                <w:szCs w:val="20"/>
              </w:rPr>
            </w:pPr>
          </w:p>
        </w:tc>
        <w:tc>
          <w:tcPr>
            <w:tcW w:w="160" w:type="dxa"/>
            <w:gridSpan w:val="3"/>
          </w:tcPr>
          <w:p w:rsidR="004809F3" w:rsidRPr="004809F3" w:rsidRDefault="004809F3" w:rsidP="00845B07">
            <w:pPr>
              <w:rPr>
                <w:rFonts w:asciiTheme="minorHAnsi" w:hAnsiTheme="minorHAnsi" w:cstheme="minorHAnsi"/>
                <w:b/>
                <w:sz w:val="20"/>
                <w:szCs w:val="20"/>
              </w:rPr>
            </w:pPr>
          </w:p>
        </w:tc>
        <w:tc>
          <w:tcPr>
            <w:tcW w:w="260" w:type="dxa"/>
            <w:gridSpan w:val="4"/>
          </w:tcPr>
          <w:p w:rsidR="004809F3" w:rsidRPr="004809F3" w:rsidRDefault="004809F3" w:rsidP="00845B07">
            <w:pPr>
              <w:rPr>
                <w:rFonts w:asciiTheme="minorHAnsi" w:hAnsiTheme="minorHAnsi" w:cstheme="minorHAnsi"/>
                <w:b/>
                <w:sz w:val="20"/>
                <w:szCs w:val="20"/>
              </w:rPr>
            </w:pPr>
          </w:p>
        </w:tc>
        <w:tc>
          <w:tcPr>
            <w:tcW w:w="260" w:type="dxa"/>
            <w:gridSpan w:val="4"/>
          </w:tcPr>
          <w:p w:rsidR="004809F3" w:rsidRPr="004809F3" w:rsidRDefault="004809F3" w:rsidP="00845B07">
            <w:pPr>
              <w:rPr>
                <w:rFonts w:asciiTheme="minorHAnsi" w:hAnsiTheme="minorHAnsi" w:cstheme="minorHAnsi"/>
                <w:b/>
                <w:sz w:val="20"/>
                <w:szCs w:val="20"/>
              </w:rPr>
            </w:pPr>
          </w:p>
        </w:tc>
        <w:tc>
          <w:tcPr>
            <w:tcW w:w="260" w:type="dxa"/>
            <w:gridSpan w:val="4"/>
          </w:tcPr>
          <w:p w:rsidR="004809F3" w:rsidRPr="004809F3" w:rsidRDefault="004809F3" w:rsidP="00845B07">
            <w:pPr>
              <w:rPr>
                <w:rFonts w:asciiTheme="minorHAnsi" w:hAnsiTheme="minorHAnsi" w:cstheme="minorHAnsi"/>
                <w:b/>
                <w:sz w:val="20"/>
                <w:szCs w:val="20"/>
              </w:rPr>
            </w:pPr>
          </w:p>
        </w:tc>
        <w:tc>
          <w:tcPr>
            <w:tcW w:w="160" w:type="dxa"/>
            <w:gridSpan w:val="3"/>
          </w:tcPr>
          <w:p w:rsidR="004809F3" w:rsidRPr="004809F3" w:rsidRDefault="004809F3" w:rsidP="00845B07">
            <w:pPr>
              <w:rPr>
                <w:rFonts w:asciiTheme="minorHAnsi" w:hAnsiTheme="minorHAnsi" w:cstheme="minorHAnsi"/>
                <w:b/>
                <w:sz w:val="20"/>
                <w:szCs w:val="20"/>
              </w:rPr>
            </w:pPr>
          </w:p>
        </w:tc>
        <w:tc>
          <w:tcPr>
            <w:tcW w:w="3131" w:type="dxa"/>
            <w:gridSpan w:val="24"/>
          </w:tcPr>
          <w:p w:rsidR="004809F3" w:rsidRPr="004809F3" w:rsidRDefault="004809F3" w:rsidP="00845B07">
            <w:pPr>
              <w:rPr>
                <w:rFonts w:asciiTheme="minorHAnsi" w:hAnsiTheme="minorHAnsi" w:cstheme="minorHAnsi"/>
                <w:b/>
                <w:sz w:val="20"/>
                <w:szCs w:val="20"/>
              </w:rPr>
            </w:pPr>
          </w:p>
        </w:tc>
      </w:tr>
      <w:tr w:rsidR="004809F3" w:rsidRPr="004809F3" w:rsidTr="00C07D18">
        <w:trPr>
          <w:gridAfter w:val="73"/>
          <w:wAfter w:w="10328" w:type="dxa"/>
        </w:trPr>
        <w:tc>
          <w:tcPr>
            <w:tcW w:w="9707" w:type="dxa"/>
            <w:gridSpan w:val="90"/>
          </w:tcPr>
          <w:p w:rsidR="004809F3" w:rsidRPr="004809F3" w:rsidRDefault="004809F3" w:rsidP="00845B07">
            <w:pPr>
              <w:rPr>
                <w:rFonts w:asciiTheme="minorHAnsi" w:hAnsiTheme="minorHAnsi" w:cstheme="minorHAnsi"/>
                <w:b/>
                <w:sz w:val="20"/>
                <w:szCs w:val="20"/>
              </w:rPr>
            </w:pPr>
            <w:r w:rsidRPr="004809F3">
              <w:rPr>
                <w:rFonts w:asciiTheme="minorHAnsi" w:hAnsiTheme="minorHAnsi" w:cstheme="minorHAnsi"/>
                <w:b/>
                <w:sz w:val="20"/>
                <w:szCs w:val="20"/>
              </w:rPr>
              <w:t>Stručný komentář k celkovému vývoji plnění příjmů kapitoly ve sledovaném období</w:t>
            </w:r>
          </w:p>
        </w:tc>
      </w:tr>
      <w:tr w:rsidR="00C07D18" w:rsidRPr="004809F3" w:rsidTr="00C07D18">
        <w:tc>
          <w:tcPr>
            <w:tcW w:w="162" w:type="dxa"/>
            <w:gridSpan w:val="2"/>
          </w:tcPr>
          <w:p w:rsidR="004809F3" w:rsidRPr="004809F3" w:rsidRDefault="004809F3" w:rsidP="00845B07">
            <w:pPr>
              <w:rPr>
                <w:rFonts w:asciiTheme="minorHAnsi" w:hAnsiTheme="minorHAnsi" w:cstheme="minorHAnsi"/>
                <w:b/>
                <w:sz w:val="20"/>
                <w:szCs w:val="20"/>
              </w:rPr>
            </w:pPr>
          </w:p>
        </w:tc>
        <w:tc>
          <w:tcPr>
            <w:tcW w:w="665" w:type="dxa"/>
            <w:gridSpan w:val="6"/>
          </w:tcPr>
          <w:p w:rsidR="004809F3" w:rsidRPr="004809F3" w:rsidRDefault="004809F3" w:rsidP="00845B07">
            <w:pPr>
              <w:rPr>
                <w:rFonts w:asciiTheme="minorHAnsi" w:hAnsiTheme="minorHAnsi" w:cstheme="minorHAnsi"/>
                <w:b/>
                <w:sz w:val="20"/>
                <w:szCs w:val="20"/>
              </w:rPr>
            </w:pPr>
          </w:p>
        </w:tc>
        <w:tc>
          <w:tcPr>
            <w:tcW w:w="254" w:type="dxa"/>
            <w:gridSpan w:val="2"/>
          </w:tcPr>
          <w:p w:rsidR="004809F3" w:rsidRPr="004809F3" w:rsidRDefault="004809F3" w:rsidP="00845B07">
            <w:pPr>
              <w:rPr>
                <w:rFonts w:asciiTheme="minorHAnsi" w:hAnsiTheme="minorHAnsi" w:cstheme="minorHAnsi"/>
                <w:b/>
                <w:sz w:val="20"/>
                <w:szCs w:val="20"/>
              </w:rPr>
            </w:pPr>
          </w:p>
        </w:tc>
        <w:tc>
          <w:tcPr>
            <w:tcW w:w="172" w:type="dxa"/>
            <w:gridSpan w:val="3"/>
          </w:tcPr>
          <w:p w:rsidR="004809F3" w:rsidRPr="004809F3" w:rsidRDefault="004809F3" w:rsidP="00845B07">
            <w:pPr>
              <w:rPr>
                <w:rFonts w:asciiTheme="minorHAnsi" w:hAnsiTheme="minorHAnsi" w:cstheme="minorHAnsi"/>
                <w:b/>
                <w:sz w:val="20"/>
                <w:szCs w:val="20"/>
              </w:rPr>
            </w:pPr>
          </w:p>
        </w:tc>
        <w:tc>
          <w:tcPr>
            <w:tcW w:w="2928" w:type="dxa"/>
            <w:gridSpan w:val="36"/>
          </w:tcPr>
          <w:p w:rsidR="004809F3" w:rsidRPr="004809F3" w:rsidRDefault="004809F3" w:rsidP="00845B07">
            <w:pPr>
              <w:rPr>
                <w:rFonts w:asciiTheme="minorHAnsi" w:hAnsiTheme="minorHAnsi" w:cstheme="minorHAnsi"/>
                <w:b/>
                <w:sz w:val="20"/>
                <w:szCs w:val="20"/>
              </w:rPr>
            </w:pPr>
          </w:p>
        </w:tc>
        <w:tc>
          <w:tcPr>
            <w:tcW w:w="993" w:type="dxa"/>
            <w:gridSpan w:val="8"/>
          </w:tcPr>
          <w:p w:rsidR="004809F3" w:rsidRPr="004809F3" w:rsidRDefault="004809F3" w:rsidP="00845B07">
            <w:pPr>
              <w:rPr>
                <w:rFonts w:asciiTheme="minorHAnsi" w:hAnsiTheme="minorHAnsi" w:cstheme="minorHAnsi"/>
                <w:b/>
                <w:sz w:val="20"/>
                <w:szCs w:val="20"/>
              </w:rPr>
            </w:pPr>
          </w:p>
        </w:tc>
        <w:tc>
          <w:tcPr>
            <w:tcW w:w="160" w:type="dxa"/>
            <w:gridSpan w:val="2"/>
          </w:tcPr>
          <w:p w:rsidR="004809F3" w:rsidRPr="004809F3" w:rsidRDefault="004809F3" w:rsidP="00845B07">
            <w:pPr>
              <w:rPr>
                <w:rFonts w:asciiTheme="minorHAnsi" w:hAnsiTheme="minorHAnsi" w:cstheme="minorHAnsi"/>
                <w:b/>
                <w:sz w:val="20"/>
                <w:szCs w:val="20"/>
              </w:rPr>
            </w:pPr>
          </w:p>
        </w:tc>
        <w:tc>
          <w:tcPr>
            <w:tcW w:w="5701" w:type="dxa"/>
            <w:gridSpan w:val="49"/>
          </w:tcPr>
          <w:p w:rsidR="004809F3" w:rsidRPr="004809F3" w:rsidRDefault="004809F3" w:rsidP="00845B07">
            <w:pPr>
              <w:rPr>
                <w:rFonts w:asciiTheme="minorHAnsi" w:hAnsiTheme="minorHAnsi" w:cstheme="minorHAnsi"/>
                <w:b/>
                <w:sz w:val="20"/>
                <w:szCs w:val="20"/>
              </w:rPr>
            </w:pPr>
          </w:p>
        </w:tc>
        <w:tc>
          <w:tcPr>
            <w:tcW w:w="160" w:type="dxa"/>
            <w:gridSpan w:val="3"/>
          </w:tcPr>
          <w:p w:rsidR="004809F3" w:rsidRPr="004809F3" w:rsidRDefault="004809F3" w:rsidP="00845B07">
            <w:pPr>
              <w:rPr>
                <w:rFonts w:asciiTheme="minorHAnsi" w:hAnsiTheme="minorHAnsi" w:cstheme="minorHAnsi"/>
                <w:b/>
                <w:sz w:val="20"/>
                <w:szCs w:val="20"/>
              </w:rPr>
            </w:pPr>
          </w:p>
        </w:tc>
        <w:tc>
          <w:tcPr>
            <w:tcW w:w="260" w:type="dxa"/>
            <w:gridSpan w:val="4"/>
          </w:tcPr>
          <w:p w:rsidR="004809F3" w:rsidRPr="004809F3" w:rsidRDefault="004809F3" w:rsidP="00845B07">
            <w:pPr>
              <w:rPr>
                <w:rFonts w:asciiTheme="minorHAnsi" w:hAnsiTheme="minorHAnsi" w:cstheme="minorHAnsi"/>
                <w:b/>
                <w:sz w:val="20"/>
                <w:szCs w:val="20"/>
              </w:rPr>
            </w:pPr>
          </w:p>
        </w:tc>
        <w:tc>
          <w:tcPr>
            <w:tcW w:w="260" w:type="dxa"/>
            <w:gridSpan w:val="4"/>
          </w:tcPr>
          <w:p w:rsidR="004809F3" w:rsidRPr="004809F3" w:rsidRDefault="004809F3" w:rsidP="00845B07">
            <w:pPr>
              <w:rPr>
                <w:rFonts w:asciiTheme="minorHAnsi" w:hAnsiTheme="minorHAnsi" w:cstheme="minorHAnsi"/>
                <w:b/>
                <w:sz w:val="20"/>
                <w:szCs w:val="20"/>
              </w:rPr>
            </w:pPr>
          </w:p>
        </w:tc>
        <w:tc>
          <w:tcPr>
            <w:tcW w:w="1457" w:type="dxa"/>
            <w:gridSpan w:val="20"/>
          </w:tcPr>
          <w:p w:rsidR="004809F3" w:rsidRPr="004809F3" w:rsidRDefault="004809F3" w:rsidP="00845B07">
            <w:pPr>
              <w:rPr>
                <w:rFonts w:asciiTheme="minorHAnsi" w:hAnsiTheme="minorHAnsi" w:cstheme="minorHAnsi"/>
                <w:b/>
                <w:sz w:val="20"/>
                <w:szCs w:val="20"/>
              </w:rPr>
            </w:pPr>
          </w:p>
        </w:tc>
        <w:tc>
          <w:tcPr>
            <w:tcW w:w="5441" w:type="dxa"/>
            <w:gridSpan w:val="17"/>
          </w:tcPr>
          <w:p w:rsidR="004809F3" w:rsidRPr="004809F3" w:rsidRDefault="004809F3" w:rsidP="00845B07">
            <w:pPr>
              <w:rPr>
                <w:rFonts w:asciiTheme="minorHAnsi" w:hAnsiTheme="minorHAnsi" w:cstheme="minorHAnsi"/>
                <w:b/>
                <w:sz w:val="20"/>
                <w:szCs w:val="20"/>
              </w:rPr>
            </w:pPr>
          </w:p>
        </w:tc>
        <w:tc>
          <w:tcPr>
            <w:tcW w:w="160" w:type="dxa"/>
          </w:tcPr>
          <w:p w:rsidR="004809F3" w:rsidRPr="004809F3" w:rsidRDefault="004809F3" w:rsidP="00845B07">
            <w:pPr>
              <w:rPr>
                <w:rFonts w:asciiTheme="minorHAnsi" w:hAnsiTheme="minorHAnsi" w:cstheme="minorHAnsi"/>
                <w:b/>
                <w:sz w:val="20"/>
                <w:szCs w:val="20"/>
              </w:rPr>
            </w:pPr>
          </w:p>
        </w:tc>
        <w:tc>
          <w:tcPr>
            <w:tcW w:w="160" w:type="dxa"/>
          </w:tcPr>
          <w:p w:rsidR="004809F3" w:rsidRPr="004809F3" w:rsidRDefault="004809F3" w:rsidP="00845B07">
            <w:pPr>
              <w:rPr>
                <w:rFonts w:asciiTheme="minorHAnsi" w:hAnsiTheme="minorHAnsi" w:cstheme="minorHAnsi"/>
                <w:b/>
                <w:sz w:val="20"/>
                <w:szCs w:val="20"/>
              </w:rPr>
            </w:pPr>
          </w:p>
        </w:tc>
        <w:tc>
          <w:tcPr>
            <w:tcW w:w="260" w:type="dxa"/>
          </w:tcPr>
          <w:p w:rsidR="004809F3" w:rsidRPr="004809F3" w:rsidRDefault="004809F3" w:rsidP="00845B07">
            <w:pPr>
              <w:rPr>
                <w:rFonts w:asciiTheme="minorHAnsi" w:hAnsiTheme="minorHAnsi" w:cstheme="minorHAnsi"/>
                <w:b/>
                <w:sz w:val="20"/>
                <w:szCs w:val="20"/>
              </w:rPr>
            </w:pPr>
          </w:p>
        </w:tc>
        <w:tc>
          <w:tcPr>
            <w:tcW w:w="160" w:type="dxa"/>
          </w:tcPr>
          <w:p w:rsidR="004809F3" w:rsidRPr="004809F3" w:rsidRDefault="004809F3" w:rsidP="00845B07">
            <w:pPr>
              <w:rPr>
                <w:rFonts w:asciiTheme="minorHAnsi" w:hAnsiTheme="minorHAnsi" w:cstheme="minorHAnsi"/>
                <w:b/>
                <w:sz w:val="20"/>
                <w:szCs w:val="20"/>
              </w:rPr>
            </w:pPr>
          </w:p>
        </w:tc>
        <w:tc>
          <w:tcPr>
            <w:tcW w:w="260" w:type="dxa"/>
          </w:tcPr>
          <w:p w:rsidR="004809F3" w:rsidRPr="004809F3" w:rsidRDefault="004809F3" w:rsidP="00845B07">
            <w:pPr>
              <w:rPr>
                <w:rFonts w:asciiTheme="minorHAnsi" w:hAnsiTheme="minorHAnsi" w:cstheme="minorHAnsi"/>
                <w:b/>
                <w:sz w:val="20"/>
                <w:szCs w:val="20"/>
              </w:rPr>
            </w:pPr>
          </w:p>
        </w:tc>
        <w:tc>
          <w:tcPr>
            <w:tcW w:w="260" w:type="dxa"/>
          </w:tcPr>
          <w:p w:rsidR="004809F3" w:rsidRPr="004809F3" w:rsidRDefault="004809F3" w:rsidP="00845B07">
            <w:pPr>
              <w:rPr>
                <w:rFonts w:asciiTheme="minorHAnsi" w:hAnsiTheme="minorHAnsi" w:cstheme="minorHAnsi"/>
                <w:b/>
                <w:sz w:val="20"/>
                <w:szCs w:val="20"/>
              </w:rPr>
            </w:pPr>
          </w:p>
        </w:tc>
        <w:tc>
          <w:tcPr>
            <w:tcW w:w="162" w:type="dxa"/>
          </w:tcPr>
          <w:p w:rsidR="004809F3" w:rsidRPr="004809F3" w:rsidRDefault="004809F3" w:rsidP="00845B07">
            <w:pPr>
              <w:rPr>
                <w:rFonts w:asciiTheme="minorHAnsi" w:hAnsiTheme="minorHAnsi" w:cstheme="minorHAnsi"/>
                <w:b/>
                <w:sz w:val="20"/>
                <w:szCs w:val="20"/>
              </w:rPr>
            </w:pPr>
          </w:p>
        </w:tc>
      </w:tr>
      <w:tr w:rsidR="004809F3" w:rsidRPr="004809F3" w:rsidTr="00C07D18">
        <w:trPr>
          <w:gridAfter w:val="73"/>
          <w:wAfter w:w="10328" w:type="dxa"/>
        </w:trPr>
        <w:tc>
          <w:tcPr>
            <w:tcW w:w="9707" w:type="dxa"/>
            <w:gridSpan w:val="90"/>
            <w:tcBorders>
              <w:top w:val="single" w:sz="6" w:space="0" w:color="auto"/>
              <w:left w:val="single" w:sz="6" w:space="0" w:color="auto"/>
              <w:bottom w:val="single" w:sz="6" w:space="0" w:color="auto"/>
              <w:right w:val="single" w:sz="6" w:space="0" w:color="auto"/>
            </w:tcBorders>
          </w:tcPr>
          <w:p w:rsidR="004809F3" w:rsidRPr="004809F3" w:rsidRDefault="004809F3" w:rsidP="00845B07">
            <w:pPr>
              <w:tabs>
                <w:tab w:val="left" w:pos="7005"/>
              </w:tabs>
              <w:jc w:val="both"/>
              <w:rPr>
                <w:rFonts w:asciiTheme="minorHAnsi" w:hAnsiTheme="minorHAnsi" w:cstheme="minorHAnsi"/>
                <w:sz w:val="20"/>
                <w:szCs w:val="20"/>
              </w:rPr>
            </w:pPr>
            <w:r w:rsidRPr="004809F3">
              <w:rPr>
                <w:rFonts w:asciiTheme="minorHAnsi" w:hAnsiTheme="minorHAnsi" w:cstheme="minorHAnsi"/>
                <w:sz w:val="20"/>
                <w:szCs w:val="20"/>
              </w:rPr>
              <w:t>Příjmová stránka rozpočtu sociálního fondu byla ve sledovaném období roku 2022 plněna ve výši cca 120 %.</w:t>
            </w:r>
          </w:p>
        </w:tc>
      </w:tr>
      <w:tr w:rsidR="00C07D18" w:rsidRPr="004809F3" w:rsidTr="00C07D18">
        <w:tc>
          <w:tcPr>
            <w:tcW w:w="162" w:type="dxa"/>
            <w:gridSpan w:val="2"/>
          </w:tcPr>
          <w:p w:rsidR="004809F3" w:rsidRPr="004809F3" w:rsidRDefault="004809F3" w:rsidP="00845B07">
            <w:pPr>
              <w:rPr>
                <w:rFonts w:asciiTheme="minorHAnsi" w:hAnsiTheme="minorHAnsi" w:cstheme="minorHAnsi"/>
                <w:b/>
                <w:sz w:val="20"/>
                <w:szCs w:val="20"/>
              </w:rPr>
            </w:pPr>
          </w:p>
        </w:tc>
        <w:tc>
          <w:tcPr>
            <w:tcW w:w="665" w:type="dxa"/>
            <w:gridSpan w:val="6"/>
          </w:tcPr>
          <w:p w:rsidR="004809F3" w:rsidRPr="004809F3" w:rsidRDefault="004809F3" w:rsidP="00845B07">
            <w:pPr>
              <w:rPr>
                <w:rFonts w:asciiTheme="minorHAnsi" w:hAnsiTheme="minorHAnsi" w:cstheme="minorHAnsi"/>
                <w:b/>
                <w:sz w:val="20"/>
                <w:szCs w:val="20"/>
              </w:rPr>
            </w:pPr>
          </w:p>
        </w:tc>
        <w:tc>
          <w:tcPr>
            <w:tcW w:w="254" w:type="dxa"/>
            <w:gridSpan w:val="2"/>
          </w:tcPr>
          <w:p w:rsidR="004809F3" w:rsidRPr="004809F3" w:rsidRDefault="004809F3" w:rsidP="00845B07">
            <w:pPr>
              <w:rPr>
                <w:rFonts w:asciiTheme="minorHAnsi" w:hAnsiTheme="minorHAnsi" w:cstheme="minorHAnsi"/>
                <w:b/>
                <w:sz w:val="20"/>
                <w:szCs w:val="20"/>
              </w:rPr>
            </w:pPr>
          </w:p>
        </w:tc>
        <w:tc>
          <w:tcPr>
            <w:tcW w:w="172" w:type="dxa"/>
            <w:gridSpan w:val="3"/>
          </w:tcPr>
          <w:p w:rsidR="004809F3" w:rsidRPr="004809F3" w:rsidRDefault="004809F3" w:rsidP="00845B07">
            <w:pPr>
              <w:rPr>
                <w:rFonts w:asciiTheme="minorHAnsi" w:hAnsiTheme="minorHAnsi" w:cstheme="minorHAnsi"/>
                <w:b/>
                <w:sz w:val="20"/>
                <w:szCs w:val="20"/>
              </w:rPr>
            </w:pPr>
          </w:p>
        </w:tc>
        <w:tc>
          <w:tcPr>
            <w:tcW w:w="2928" w:type="dxa"/>
            <w:gridSpan w:val="36"/>
          </w:tcPr>
          <w:p w:rsidR="004809F3" w:rsidRPr="004809F3" w:rsidRDefault="004809F3" w:rsidP="00845B07">
            <w:pPr>
              <w:rPr>
                <w:rFonts w:asciiTheme="minorHAnsi" w:hAnsiTheme="minorHAnsi" w:cstheme="minorHAnsi"/>
                <w:b/>
                <w:sz w:val="20"/>
                <w:szCs w:val="20"/>
              </w:rPr>
            </w:pPr>
          </w:p>
        </w:tc>
        <w:tc>
          <w:tcPr>
            <w:tcW w:w="993" w:type="dxa"/>
            <w:gridSpan w:val="8"/>
          </w:tcPr>
          <w:p w:rsidR="004809F3" w:rsidRPr="004809F3" w:rsidRDefault="004809F3" w:rsidP="00845B07">
            <w:pPr>
              <w:rPr>
                <w:rFonts w:asciiTheme="minorHAnsi" w:hAnsiTheme="minorHAnsi" w:cstheme="minorHAnsi"/>
                <w:b/>
                <w:sz w:val="20"/>
                <w:szCs w:val="20"/>
              </w:rPr>
            </w:pPr>
          </w:p>
        </w:tc>
        <w:tc>
          <w:tcPr>
            <w:tcW w:w="160" w:type="dxa"/>
            <w:gridSpan w:val="2"/>
          </w:tcPr>
          <w:p w:rsidR="004809F3" w:rsidRPr="004809F3" w:rsidRDefault="004809F3" w:rsidP="00845B07">
            <w:pPr>
              <w:rPr>
                <w:rFonts w:asciiTheme="minorHAnsi" w:hAnsiTheme="minorHAnsi" w:cstheme="minorHAnsi"/>
                <w:b/>
                <w:sz w:val="20"/>
                <w:szCs w:val="20"/>
              </w:rPr>
            </w:pPr>
          </w:p>
        </w:tc>
        <w:tc>
          <w:tcPr>
            <w:tcW w:w="5701" w:type="dxa"/>
            <w:gridSpan w:val="49"/>
          </w:tcPr>
          <w:p w:rsidR="004809F3" w:rsidRPr="004809F3" w:rsidRDefault="004809F3" w:rsidP="00845B07">
            <w:pPr>
              <w:rPr>
                <w:rFonts w:asciiTheme="minorHAnsi" w:hAnsiTheme="minorHAnsi" w:cstheme="minorHAnsi"/>
                <w:b/>
                <w:sz w:val="20"/>
                <w:szCs w:val="20"/>
              </w:rPr>
            </w:pPr>
          </w:p>
        </w:tc>
        <w:tc>
          <w:tcPr>
            <w:tcW w:w="160" w:type="dxa"/>
            <w:gridSpan w:val="3"/>
          </w:tcPr>
          <w:p w:rsidR="004809F3" w:rsidRPr="004809F3" w:rsidRDefault="004809F3" w:rsidP="00845B07">
            <w:pPr>
              <w:rPr>
                <w:rFonts w:asciiTheme="minorHAnsi" w:hAnsiTheme="minorHAnsi" w:cstheme="minorHAnsi"/>
                <w:b/>
                <w:sz w:val="20"/>
                <w:szCs w:val="20"/>
              </w:rPr>
            </w:pPr>
          </w:p>
        </w:tc>
        <w:tc>
          <w:tcPr>
            <w:tcW w:w="260" w:type="dxa"/>
            <w:gridSpan w:val="4"/>
          </w:tcPr>
          <w:p w:rsidR="004809F3" w:rsidRPr="004809F3" w:rsidRDefault="004809F3" w:rsidP="00845B07">
            <w:pPr>
              <w:rPr>
                <w:rFonts w:asciiTheme="minorHAnsi" w:hAnsiTheme="minorHAnsi" w:cstheme="minorHAnsi"/>
                <w:b/>
                <w:sz w:val="20"/>
                <w:szCs w:val="20"/>
              </w:rPr>
            </w:pPr>
          </w:p>
        </w:tc>
        <w:tc>
          <w:tcPr>
            <w:tcW w:w="260" w:type="dxa"/>
            <w:gridSpan w:val="4"/>
          </w:tcPr>
          <w:p w:rsidR="004809F3" w:rsidRPr="004809F3" w:rsidRDefault="004809F3" w:rsidP="00845B07">
            <w:pPr>
              <w:rPr>
                <w:rFonts w:asciiTheme="minorHAnsi" w:hAnsiTheme="minorHAnsi" w:cstheme="minorHAnsi"/>
                <w:b/>
                <w:sz w:val="20"/>
                <w:szCs w:val="20"/>
              </w:rPr>
            </w:pPr>
          </w:p>
        </w:tc>
        <w:tc>
          <w:tcPr>
            <w:tcW w:w="1457" w:type="dxa"/>
            <w:gridSpan w:val="20"/>
          </w:tcPr>
          <w:p w:rsidR="004809F3" w:rsidRPr="004809F3" w:rsidRDefault="004809F3" w:rsidP="00845B07">
            <w:pPr>
              <w:rPr>
                <w:rFonts w:asciiTheme="minorHAnsi" w:hAnsiTheme="minorHAnsi" w:cstheme="minorHAnsi"/>
                <w:b/>
                <w:sz w:val="20"/>
                <w:szCs w:val="20"/>
              </w:rPr>
            </w:pPr>
          </w:p>
        </w:tc>
        <w:tc>
          <w:tcPr>
            <w:tcW w:w="5441" w:type="dxa"/>
            <w:gridSpan w:val="17"/>
          </w:tcPr>
          <w:p w:rsidR="004809F3" w:rsidRPr="004809F3" w:rsidRDefault="004809F3" w:rsidP="00845B07">
            <w:pPr>
              <w:rPr>
                <w:rFonts w:asciiTheme="minorHAnsi" w:hAnsiTheme="minorHAnsi" w:cstheme="minorHAnsi"/>
                <w:b/>
                <w:sz w:val="20"/>
                <w:szCs w:val="20"/>
              </w:rPr>
            </w:pPr>
          </w:p>
        </w:tc>
        <w:tc>
          <w:tcPr>
            <w:tcW w:w="160" w:type="dxa"/>
          </w:tcPr>
          <w:p w:rsidR="004809F3" w:rsidRPr="004809F3" w:rsidRDefault="004809F3" w:rsidP="00845B07">
            <w:pPr>
              <w:rPr>
                <w:rFonts w:asciiTheme="minorHAnsi" w:hAnsiTheme="minorHAnsi" w:cstheme="minorHAnsi"/>
                <w:b/>
                <w:sz w:val="20"/>
                <w:szCs w:val="20"/>
              </w:rPr>
            </w:pPr>
          </w:p>
        </w:tc>
        <w:tc>
          <w:tcPr>
            <w:tcW w:w="160" w:type="dxa"/>
          </w:tcPr>
          <w:p w:rsidR="004809F3" w:rsidRPr="004809F3" w:rsidRDefault="004809F3" w:rsidP="00845B07">
            <w:pPr>
              <w:rPr>
                <w:rFonts w:asciiTheme="minorHAnsi" w:hAnsiTheme="minorHAnsi" w:cstheme="minorHAnsi"/>
                <w:b/>
                <w:sz w:val="20"/>
                <w:szCs w:val="20"/>
              </w:rPr>
            </w:pPr>
          </w:p>
        </w:tc>
        <w:tc>
          <w:tcPr>
            <w:tcW w:w="260" w:type="dxa"/>
          </w:tcPr>
          <w:p w:rsidR="004809F3" w:rsidRPr="004809F3" w:rsidRDefault="004809F3" w:rsidP="00845B07">
            <w:pPr>
              <w:rPr>
                <w:rFonts w:asciiTheme="minorHAnsi" w:hAnsiTheme="minorHAnsi" w:cstheme="minorHAnsi"/>
                <w:b/>
                <w:sz w:val="20"/>
                <w:szCs w:val="20"/>
              </w:rPr>
            </w:pPr>
          </w:p>
        </w:tc>
        <w:tc>
          <w:tcPr>
            <w:tcW w:w="160" w:type="dxa"/>
          </w:tcPr>
          <w:p w:rsidR="004809F3" w:rsidRPr="004809F3" w:rsidRDefault="004809F3" w:rsidP="00845B07">
            <w:pPr>
              <w:rPr>
                <w:rFonts w:asciiTheme="minorHAnsi" w:hAnsiTheme="minorHAnsi" w:cstheme="minorHAnsi"/>
                <w:b/>
                <w:sz w:val="20"/>
                <w:szCs w:val="20"/>
              </w:rPr>
            </w:pPr>
          </w:p>
        </w:tc>
        <w:tc>
          <w:tcPr>
            <w:tcW w:w="260" w:type="dxa"/>
          </w:tcPr>
          <w:p w:rsidR="004809F3" w:rsidRPr="004809F3" w:rsidRDefault="004809F3" w:rsidP="00845B07">
            <w:pPr>
              <w:rPr>
                <w:rFonts w:asciiTheme="minorHAnsi" w:hAnsiTheme="minorHAnsi" w:cstheme="minorHAnsi"/>
                <w:b/>
                <w:sz w:val="20"/>
                <w:szCs w:val="20"/>
              </w:rPr>
            </w:pPr>
          </w:p>
        </w:tc>
        <w:tc>
          <w:tcPr>
            <w:tcW w:w="260" w:type="dxa"/>
          </w:tcPr>
          <w:p w:rsidR="004809F3" w:rsidRPr="004809F3" w:rsidRDefault="004809F3" w:rsidP="00845B07">
            <w:pPr>
              <w:rPr>
                <w:rFonts w:asciiTheme="minorHAnsi" w:hAnsiTheme="minorHAnsi" w:cstheme="minorHAnsi"/>
                <w:b/>
                <w:sz w:val="20"/>
                <w:szCs w:val="20"/>
              </w:rPr>
            </w:pPr>
          </w:p>
        </w:tc>
        <w:tc>
          <w:tcPr>
            <w:tcW w:w="162" w:type="dxa"/>
          </w:tcPr>
          <w:p w:rsidR="004809F3" w:rsidRPr="004809F3" w:rsidRDefault="004809F3" w:rsidP="00845B07">
            <w:pPr>
              <w:rPr>
                <w:rFonts w:asciiTheme="minorHAnsi" w:hAnsiTheme="minorHAnsi" w:cstheme="minorHAnsi"/>
                <w:b/>
                <w:sz w:val="20"/>
                <w:szCs w:val="20"/>
              </w:rPr>
            </w:pPr>
          </w:p>
        </w:tc>
      </w:tr>
      <w:tr w:rsidR="004809F3" w:rsidRPr="004809F3" w:rsidTr="00C07D18">
        <w:trPr>
          <w:gridAfter w:val="73"/>
          <w:wAfter w:w="10328" w:type="dxa"/>
        </w:trPr>
        <w:tc>
          <w:tcPr>
            <w:tcW w:w="9707" w:type="dxa"/>
            <w:gridSpan w:val="90"/>
          </w:tcPr>
          <w:p w:rsidR="004809F3" w:rsidRPr="004809F3" w:rsidRDefault="004809F3" w:rsidP="004B1D56">
            <w:pPr>
              <w:jc w:val="both"/>
              <w:rPr>
                <w:rFonts w:asciiTheme="minorHAnsi" w:hAnsiTheme="minorHAnsi" w:cstheme="minorHAnsi"/>
                <w:b/>
                <w:sz w:val="20"/>
                <w:szCs w:val="20"/>
              </w:rPr>
            </w:pPr>
            <w:r w:rsidRPr="004809F3">
              <w:rPr>
                <w:rFonts w:asciiTheme="minorHAnsi" w:hAnsiTheme="minorHAnsi" w:cstheme="minorHAnsi"/>
                <w:b/>
                <w:sz w:val="20"/>
                <w:szCs w:val="20"/>
              </w:rPr>
              <w:t>Komentář k položkám (akcím), které vykázaly abnormalitu v řádném pln</w:t>
            </w:r>
            <w:r w:rsidR="004B1D56">
              <w:rPr>
                <w:rFonts w:asciiTheme="minorHAnsi" w:hAnsiTheme="minorHAnsi" w:cstheme="minorHAnsi"/>
                <w:b/>
                <w:sz w:val="20"/>
                <w:szCs w:val="20"/>
              </w:rPr>
              <w:t>ění příjmů rozpočtu kapitoly ve </w:t>
            </w:r>
            <w:r w:rsidRPr="004809F3">
              <w:rPr>
                <w:rFonts w:asciiTheme="minorHAnsi" w:hAnsiTheme="minorHAnsi" w:cstheme="minorHAnsi"/>
                <w:b/>
                <w:sz w:val="20"/>
                <w:szCs w:val="20"/>
              </w:rPr>
              <w:t>sledovaném období</w:t>
            </w:r>
          </w:p>
        </w:tc>
      </w:tr>
      <w:tr w:rsidR="00C07D18" w:rsidRPr="004809F3" w:rsidTr="00C07D18">
        <w:trPr>
          <w:gridAfter w:val="21"/>
          <w:wAfter w:w="6494" w:type="dxa"/>
        </w:trPr>
        <w:tc>
          <w:tcPr>
            <w:tcW w:w="162" w:type="dxa"/>
            <w:gridSpan w:val="2"/>
          </w:tcPr>
          <w:p w:rsidR="004809F3" w:rsidRPr="004809F3" w:rsidRDefault="004809F3" w:rsidP="00845B07">
            <w:pPr>
              <w:rPr>
                <w:rFonts w:asciiTheme="minorHAnsi" w:hAnsiTheme="minorHAnsi" w:cstheme="minorHAnsi"/>
                <w:b/>
                <w:sz w:val="20"/>
                <w:szCs w:val="20"/>
              </w:rPr>
            </w:pPr>
          </w:p>
        </w:tc>
        <w:tc>
          <w:tcPr>
            <w:tcW w:w="665" w:type="dxa"/>
            <w:gridSpan w:val="6"/>
          </w:tcPr>
          <w:p w:rsidR="004809F3" w:rsidRPr="004809F3" w:rsidRDefault="004809F3" w:rsidP="00845B07">
            <w:pPr>
              <w:rPr>
                <w:rFonts w:asciiTheme="minorHAnsi" w:hAnsiTheme="minorHAnsi" w:cstheme="minorHAnsi"/>
                <w:b/>
                <w:sz w:val="20"/>
                <w:szCs w:val="20"/>
              </w:rPr>
            </w:pPr>
          </w:p>
        </w:tc>
        <w:tc>
          <w:tcPr>
            <w:tcW w:w="254" w:type="dxa"/>
            <w:gridSpan w:val="2"/>
          </w:tcPr>
          <w:p w:rsidR="004809F3" w:rsidRPr="004809F3" w:rsidRDefault="004809F3" w:rsidP="00845B07">
            <w:pPr>
              <w:rPr>
                <w:rFonts w:asciiTheme="minorHAnsi" w:hAnsiTheme="minorHAnsi" w:cstheme="minorHAnsi"/>
                <w:b/>
                <w:sz w:val="20"/>
                <w:szCs w:val="20"/>
              </w:rPr>
            </w:pPr>
          </w:p>
        </w:tc>
        <w:tc>
          <w:tcPr>
            <w:tcW w:w="2836" w:type="dxa"/>
            <w:gridSpan w:val="34"/>
          </w:tcPr>
          <w:p w:rsidR="004809F3" w:rsidRPr="004809F3" w:rsidRDefault="004809F3" w:rsidP="00845B07">
            <w:pPr>
              <w:rPr>
                <w:rFonts w:asciiTheme="minorHAnsi" w:hAnsiTheme="minorHAnsi" w:cstheme="minorHAnsi"/>
                <w:b/>
                <w:sz w:val="20"/>
                <w:szCs w:val="20"/>
              </w:rPr>
            </w:pPr>
          </w:p>
        </w:tc>
        <w:tc>
          <w:tcPr>
            <w:tcW w:w="301" w:type="dxa"/>
            <w:gridSpan w:val="6"/>
          </w:tcPr>
          <w:p w:rsidR="004809F3" w:rsidRPr="004809F3" w:rsidRDefault="004809F3" w:rsidP="00845B07">
            <w:pPr>
              <w:rPr>
                <w:rFonts w:asciiTheme="minorHAnsi" w:hAnsiTheme="minorHAnsi" w:cstheme="minorHAnsi"/>
                <w:b/>
                <w:sz w:val="20"/>
                <w:szCs w:val="20"/>
              </w:rPr>
            </w:pPr>
          </w:p>
        </w:tc>
        <w:tc>
          <w:tcPr>
            <w:tcW w:w="564" w:type="dxa"/>
            <w:gridSpan w:val="5"/>
          </w:tcPr>
          <w:p w:rsidR="004809F3" w:rsidRPr="004809F3" w:rsidRDefault="004809F3" w:rsidP="00845B07">
            <w:pPr>
              <w:rPr>
                <w:rFonts w:asciiTheme="minorHAnsi" w:hAnsiTheme="minorHAnsi" w:cstheme="minorHAnsi"/>
                <w:b/>
                <w:sz w:val="20"/>
                <w:szCs w:val="20"/>
              </w:rPr>
            </w:pPr>
          </w:p>
        </w:tc>
        <w:tc>
          <w:tcPr>
            <w:tcW w:w="672" w:type="dxa"/>
            <w:gridSpan w:val="5"/>
          </w:tcPr>
          <w:p w:rsidR="004809F3" w:rsidRPr="004809F3" w:rsidRDefault="004809F3" w:rsidP="00845B07">
            <w:pPr>
              <w:rPr>
                <w:rFonts w:asciiTheme="minorHAnsi" w:hAnsiTheme="minorHAnsi" w:cstheme="minorHAnsi"/>
                <w:b/>
                <w:sz w:val="20"/>
                <w:szCs w:val="20"/>
              </w:rPr>
            </w:pPr>
          </w:p>
        </w:tc>
        <w:tc>
          <w:tcPr>
            <w:tcW w:w="416" w:type="dxa"/>
            <w:gridSpan w:val="2"/>
          </w:tcPr>
          <w:p w:rsidR="004809F3" w:rsidRPr="004809F3" w:rsidRDefault="004809F3" w:rsidP="00845B07">
            <w:pPr>
              <w:rPr>
                <w:rFonts w:asciiTheme="minorHAnsi" w:hAnsiTheme="minorHAnsi" w:cstheme="minorHAnsi"/>
                <w:b/>
                <w:sz w:val="20"/>
                <w:szCs w:val="20"/>
              </w:rPr>
            </w:pPr>
          </w:p>
        </w:tc>
        <w:tc>
          <w:tcPr>
            <w:tcW w:w="260" w:type="dxa"/>
            <w:gridSpan w:val="2"/>
          </w:tcPr>
          <w:p w:rsidR="004809F3" w:rsidRPr="004809F3" w:rsidRDefault="004809F3" w:rsidP="00845B07">
            <w:pPr>
              <w:rPr>
                <w:rFonts w:asciiTheme="minorHAnsi" w:hAnsiTheme="minorHAnsi" w:cstheme="minorHAnsi"/>
                <w:b/>
                <w:sz w:val="20"/>
                <w:szCs w:val="20"/>
              </w:rPr>
            </w:pPr>
          </w:p>
        </w:tc>
        <w:tc>
          <w:tcPr>
            <w:tcW w:w="260" w:type="dxa"/>
            <w:gridSpan w:val="3"/>
          </w:tcPr>
          <w:p w:rsidR="004809F3" w:rsidRPr="004809F3" w:rsidRDefault="004809F3" w:rsidP="00845B07">
            <w:pPr>
              <w:rPr>
                <w:rFonts w:asciiTheme="minorHAnsi" w:hAnsiTheme="minorHAnsi" w:cstheme="minorHAnsi"/>
                <w:b/>
                <w:sz w:val="20"/>
                <w:szCs w:val="20"/>
              </w:rPr>
            </w:pPr>
          </w:p>
        </w:tc>
        <w:tc>
          <w:tcPr>
            <w:tcW w:w="260" w:type="dxa"/>
            <w:gridSpan w:val="3"/>
          </w:tcPr>
          <w:p w:rsidR="004809F3" w:rsidRPr="004809F3" w:rsidRDefault="004809F3" w:rsidP="00845B07">
            <w:pPr>
              <w:rPr>
                <w:rFonts w:asciiTheme="minorHAnsi" w:hAnsiTheme="minorHAnsi" w:cstheme="minorHAnsi"/>
                <w:b/>
                <w:sz w:val="20"/>
                <w:szCs w:val="20"/>
              </w:rPr>
            </w:pPr>
          </w:p>
        </w:tc>
        <w:tc>
          <w:tcPr>
            <w:tcW w:w="260" w:type="dxa"/>
            <w:gridSpan w:val="2"/>
          </w:tcPr>
          <w:p w:rsidR="004809F3" w:rsidRPr="004809F3" w:rsidRDefault="004809F3" w:rsidP="00845B07">
            <w:pPr>
              <w:rPr>
                <w:rFonts w:asciiTheme="minorHAnsi" w:hAnsiTheme="minorHAnsi" w:cstheme="minorHAnsi"/>
                <w:b/>
                <w:sz w:val="20"/>
                <w:szCs w:val="20"/>
              </w:rPr>
            </w:pPr>
          </w:p>
        </w:tc>
        <w:tc>
          <w:tcPr>
            <w:tcW w:w="260" w:type="dxa"/>
            <w:gridSpan w:val="3"/>
          </w:tcPr>
          <w:p w:rsidR="004809F3" w:rsidRPr="004809F3" w:rsidRDefault="004809F3" w:rsidP="00845B07">
            <w:pPr>
              <w:rPr>
                <w:rFonts w:asciiTheme="minorHAnsi" w:hAnsiTheme="minorHAnsi" w:cstheme="minorHAnsi"/>
                <w:b/>
                <w:sz w:val="20"/>
                <w:szCs w:val="20"/>
              </w:rPr>
            </w:pPr>
          </w:p>
        </w:tc>
        <w:tc>
          <w:tcPr>
            <w:tcW w:w="5181" w:type="dxa"/>
            <w:gridSpan w:val="55"/>
          </w:tcPr>
          <w:p w:rsidR="004809F3" w:rsidRPr="004809F3" w:rsidRDefault="004809F3" w:rsidP="00845B07">
            <w:pPr>
              <w:rPr>
                <w:rFonts w:asciiTheme="minorHAnsi" w:hAnsiTheme="minorHAnsi" w:cstheme="minorHAnsi"/>
                <w:b/>
                <w:sz w:val="20"/>
                <w:szCs w:val="20"/>
              </w:rPr>
            </w:pPr>
          </w:p>
        </w:tc>
        <w:tc>
          <w:tcPr>
            <w:tcW w:w="190" w:type="dxa"/>
            <w:gridSpan w:val="2"/>
          </w:tcPr>
          <w:p w:rsidR="004809F3" w:rsidRPr="004809F3" w:rsidRDefault="004809F3" w:rsidP="00845B07">
            <w:pPr>
              <w:rPr>
                <w:rFonts w:asciiTheme="minorHAnsi" w:hAnsiTheme="minorHAnsi" w:cstheme="minorHAnsi"/>
                <w:b/>
                <w:sz w:val="20"/>
                <w:szCs w:val="20"/>
              </w:rPr>
            </w:pPr>
          </w:p>
        </w:tc>
        <w:tc>
          <w:tcPr>
            <w:tcW w:w="160" w:type="dxa"/>
          </w:tcPr>
          <w:p w:rsidR="004809F3" w:rsidRPr="004809F3" w:rsidRDefault="004809F3" w:rsidP="00845B07">
            <w:pPr>
              <w:rPr>
                <w:rFonts w:asciiTheme="minorHAnsi" w:hAnsiTheme="minorHAnsi" w:cstheme="minorHAnsi"/>
                <w:b/>
                <w:sz w:val="20"/>
                <w:szCs w:val="20"/>
              </w:rPr>
            </w:pPr>
          </w:p>
        </w:tc>
        <w:tc>
          <w:tcPr>
            <w:tcW w:w="260" w:type="dxa"/>
            <w:gridSpan w:val="3"/>
          </w:tcPr>
          <w:p w:rsidR="004809F3" w:rsidRPr="004809F3" w:rsidRDefault="004809F3" w:rsidP="00845B07">
            <w:pPr>
              <w:rPr>
                <w:rFonts w:asciiTheme="minorHAnsi" w:hAnsiTheme="minorHAnsi" w:cstheme="minorHAnsi"/>
                <w:b/>
                <w:sz w:val="20"/>
                <w:szCs w:val="20"/>
              </w:rPr>
            </w:pPr>
          </w:p>
        </w:tc>
        <w:tc>
          <w:tcPr>
            <w:tcW w:w="160" w:type="dxa"/>
            <w:gridSpan w:val="2"/>
          </w:tcPr>
          <w:p w:rsidR="004809F3" w:rsidRPr="004809F3" w:rsidRDefault="004809F3" w:rsidP="00845B07">
            <w:pPr>
              <w:rPr>
                <w:rFonts w:asciiTheme="minorHAnsi" w:hAnsiTheme="minorHAnsi" w:cstheme="minorHAnsi"/>
                <w:b/>
                <w:sz w:val="20"/>
                <w:szCs w:val="20"/>
              </w:rPr>
            </w:pPr>
          </w:p>
        </w:tc>
        <w:tc>
          <w:tcPr>
            <w:tcW w:w="260" w:type="dxa"/>
            <w:gridSpan w:val="3"/>
          </w:tcPr>
          <w:p w:rsidR="004809F3" w:rsidRPr="004809F3" w:rsidRDefault="004809F3" w:rsidP="00845B07">
            <w:pPr>
              <w:rPr>
                <w:rFonts w:asciiTheme="minorHAnsi" w:hAnsiTheme="minorHAnsi" w:cstheme="minorHAnsi"/>
                <w:b/>
                <w:sz w:val="20"/>
                <w:szCs w:val="20"/>
              </w:rPr>
            </w:pPr>
          </w:p>
        </w:tc>
        <w:tc>
          <w:tcPr>
            <w:tcW w:w="160" w:type="dxa"/>
          </w:tcPr>
          <w:p w:rsidR="004809F3" w:rsidRPr="004809F3" w:rsidRDefault="004809F3" w:rsidP="00845B07">
            <w:pPr>
              <w:rPr>
                <w:rFonts w:asciiTheme="minorHAnsi" w:hAnsiTheme="minorHAnsi" w:cstheme="minorHAnsi"/>
                <w:b/>
                <w:sz w:val="20"/>
                <w:szCs w:val="20"/>
              </w:rPr>
            </w:pPr>
          </w:p>
        </w:tc>
      </w:tr>
      <w:tr w:rsidR="00C07D18" w:rsidRPr="004809F3" w:rsidTr="00C07D18">
        <w:trPr>
          <w:gridAfter w:val="73"/>
          <w:wAfter w:w="10328" w:type="dxa"/>
        </w:trPr>
        <w:tc>
          <w:tcPr>
            <w:tcW w:w="827" w:type="dxa"/>
            <w:gridSpan w:val="8"/>
            <w:tcBorders>
              <w:top w:val="single" w:sz="4" w:space="0" w:color="auto"/>
              <w:left w:val="single" w:sz="4" w:space="0" w:color="auto"/>
              <w:bottom w:val="single" w:sz="4" w:space="0" w:color="auto"/>
              <w:right w:val="single" w:sz="4" w:space="0" w:color="auto"/>
            </w:tcBorders>
            <w:shd w:val="clear" w:color="auto" w:fill="FFFF00"/>
            <w:vAlign w:val="center"/>
          </w:tcPr>
          <w:p w:rsidR="004809F3" w:rsidRPr="004809F3" w:rsidRDefault="004809F3" w:rsidP="00845B07">
            <w:pPr>
              <w:jc w:val="center"/>
              <w:rPr>
                <w:rFonts w:asciiTheme="minorHAnsi" w:hAnsiTheme="minorHAnsi" w:cstheme="minorHAnsi"/>
                <w:b/>
                <w:sz w:val="18"/>
                <w:szCs w:val="18"/>
              </w:rPr>
            </w:pPr>
            <w:r w:rsidRPr="004809F3">
              <w:rPr>
                <w:rFonts w:asciiTheme="minorHAnsi" w:hAnsiTheme="minorHAnsi" w:cstheme="minorHAnsi"/>
                <w:b/>
                <w:sz w:val="18"/>
                <w:szCs w:val="18"/>
              </w:rPr>
              <w:t>Oddíl, paragraf</w:t>
            </w:r>
          </w:p>
        </w:tc>
        <w:tc>
          <w:tcPr>
            <w:tcW w:w="660" w:type="dxa"/>
            <w:gridSpan w:val="7"/>
            <w:tcBorders>
              <w:top w:val="single" w:sz="4" w:space="0" w:color="auto"/>
              <w:left w:val="single" w:sz="4" w:space="0" w:color="auto"/>
              <w:bottom w:val="single" w:sz="4" w:space="0" w:color="auto"/>
              <w:right w:val="single" w:sz="4" w:space="0" w:color="auto"/>
            </w:tcBorders>
            <w:shd w:val="clear" w:color="auto" w:fill="FFFF00"/>
            <w:vAlign w:val="center"/>
          </w:tcPr>
          <w:p w:rsidR="004809F3" w:rsidRPr="004809F3" w:rsidRDefault="004809F3" w:rsidP="00845B07">
            <w:pPr>
              <w:jc w:val="center"/>
              <w:rPr>
                <w:rFonts w:asciiTheme="minorHAnsi" w:hAnsiTheme="minorHAnsi" w:cstheme="minorHAnsi"/>
                <w:b/>
                <w:sz w:val="18"/>
                <w:szCs w:val="18"/>
              </w:rPr>
            </w:pPr>
            <w:r w:rsidRPr="004809F3">
              <w:rPr>
                <w:rFonts w:asciiTheme="minorHAnsi" w:hAnsiTheme="minorHAnsi" w:cstheme="minorHAnsi"/>
                <w:b/>
                <w:sz w:val="18"/>
                <w:szCs w:val="18"/>
              </w:rPr>
              <w:t>Pol.</w:t>
            </w:r>
          </w:p>
        </w:tc>
        <w:tc>
          <w:tcPr>
            <w:tcW w:w="992" w:type="dxa"/>
            <w:gridSpan w:val="10"/>
            <w:tcBorders>
              <w:top w:val="single" w:sz="4" w:space="0" w:color="auto"/>
              <w:left w:val="single" w:sz="4" w:space="0" w:color="auto"/>
              <w:bottom w:val="single" w:sz="4" w:space="0" w:color="auto"/>
              <w:right w:val="single" w:sz="4" w:space="0" w:color="auto"/>
            </w:tcBorders>
            <w:shd w:val="clear" w:color="auto" w:fill="FFFF00"/>
            <w:vAlign w:val="center"/>
          </w:tcPr>
          <w:p w:rsidR="004809F3" w:rsidRPr="004809F3" w:rsidRDefault="004809F3" w:rsidP="00845B07">
            <w:pPr>
              <w:jc w:val="center"/>
              <w:rPr>
                <w:rFonts w:asciiTheme="minorHAnsi" w:hAnsiTheme="minorHAnsi" w:cstheme="minorHAnsi"/>
                <w:b/>
                <w:sz w:val="18"/>
                <w:szCs w:val="18"/>
              </w:rPr>
            </w:pPr>
            <w:r w:rsidRPr="004809F3">
              <w:rPr>
                <w:rFonts w:asciiTheme="minorHAnsi" w:hAnsiTheme="minorHAnsi" w:cstheme="minorHAnsi"/>
                <w:b/>
                <w:sz w:val="18"/>
                <w:szCs w:val="18"/>
              </w:rPr>
              <w:t>Organizace</w:t>
            </w:r>
          </w:p>
        </w:tc>
        <w:tc>
          <w:tcPr>
            <w:tcW w:w="851" w:type="dxa"/>
            <w:gridSpan w:val="7"/>
            <w:tcBorders>
              <w:top w:val="single" w:sz="4" w:space="0" w:color="auto"/>
              <w:left w:val="single" w:sz="4" w:space="0" w:color="auto"/>
              <w:bottom w:val="single" w:sz="4" w:space="0" w:color="auto"/>
              <w:right w:val="single" w:sz="4" w:space="0" w:color="auto"/>
            </w:tcBorders>
            <w:shd w:val="clear" w:color="auto" w:fill="FFFF00"/>
            <w:vAlign w:val="center"/>
          </w:tcPr>
          <w:p w:rsidR="004809F3" w:rsidRPr="004809F3" w:rsidRDefault="004809F3" w:rsidP="00845B07">
            <w:pPr>
              <w:jc w:val="center"/>
              <w:rPr>
                <w:rFonts w:asciiTheme="minorHAnsi" w:hAnsiTheme="minorHAnsi" w:cstheme="minorHAnsi"/>
                <w:b/>
                <w:sz w:val="18"/>
                <w:szCs w:val="18"/>
              </w:rPr>
            </w:pPr>
            <w:r w:rsidRPr="004809F3">
              <w:rPr>
                <w:rFonts w:asciiTheme="minorHAnsi" w:hAnsiTheme="minorHAnsi" w:cstheme="minorHAnsi"/>
                <w:b/>
                <w:sz w:val="18"/>
                <w:szCs w:val="18"/>
              </w:rPr>
              <w:t>Účelový zdroj</w:t>
            </w:r>
          </w:p>
        </w:tc>
        <w:tc>
          <w:tcPr>
            <w:tcW w:w="851" w:type="dxa"/>
            <w:gridSpan w:val="17"/>
            <w:tcBorders>
              <w:top w:val="single" w:sz="4" w:space="0" w:color="auto"/>
              <w:left w:val="single" w:sz="4" w:space="0" w:color="auto"/>
              <w:bottom w:val="single" w:sz="4" w:space="0" w:color="auto"/>
              <w:right w:val="single" w:sz="4" w:space="0" w:color="auto"/>
            </w:tcBorders>
            <w:shd w:val="clear" w:color="auto" w:fill="FFFF00"/>
            <w:vAlign w:val="center"/>
          </w:tcPr>
          <w:p w:rsidR="004809F3" w:rsidRPr="004809F3" w:rsidRDefault="004809F3" w:rsidP="004809F3">
            <w:pPr>
              <w:jc w:val="center"/>
              <w:rPr>
                <w:rFonts w:asciiTheme="minorHAnsi" w:hAnsiTheme="minorHAnsi" w:cstheme="minorHAnsi"/>
                <w:b/>
                <w:sz w:val="18"/>
                <w:szCs w:val="18"/>
              </w:rPr>
            </w:pPr>
            <w:r w:rsidRPr="004809F3">
              <w:rPr>
                <w:rFonts w:asciiTheme="minorHAnsi" w:hAnsiTheme="minorHAnsi" w:cstheme="minorHAnsi"/>
                <w:b/>
                <w:sz w:val="18"/>
                <w:szCs w:val="18"/>
              </w:rPr>
              <w:t>UR v tis. Kč</w:t>
            </w:r>
          </w:p>
        </w:tc>
        <w:tc>
          <w:tcPr>
            <w:tcW w:w="993" w:type="dxa"/>
            <w:gridSpan w:val="8"/>
            <w:tcBorders>
              <w:top w:val="single" w:sz="4" w:space="0" w:color="auto"/>
              <w:left w:val="single" w:sz="4" w:space="0" w:color="auto"/>
              <w:bottom w:val="single" w:sz="4" w:space="0" w:color="auto"/>
              <w:right w:val="single" w:sz="4" w:space="0" w:color="auto"/>
            </w:tcBorders>
            <w:shd w:val="clear" w:color="auto" w:fill="FFFF00"/>
            <w:vAlign w:val="center"/>
          </w:tcPr>
          <w:p w:rsidR="004809F3" w:rsidRPr="004809F3" w:rsidRDefault="004809F3" w:rsidP="00845B07">
            <w:pPr>
              <w:jc w:val="center"/>
              <w:rPr>
                <w:rFonts w:asciiTheme="minorHAnsi" w:hAnsiTheme="minorHAnsi" w:cstheme="minorHAnsi"/>
                <w:b/>
                <w:sz w:val="18"/>
                <w:szCs w:val="18"/>
              </w:rPr>
            </w:pPr>
            <w:r w:rsidRPr="004809F3">
              <w:rPr>
                <w:rFonts w:asciiTheme="minorHAnsi" w:hAnsiTheme="minorHAnsi" w:cstheme="minorHAnsi"/>
                <w:b/>
                <w:sz w:val="18"/>
                <w:szCs w:val="18"/>
              </w:rPr>
              <w:t>Skutečnost v tis. Kč</w:t>
            </w:r>
          </w:p>
        </w:tc>
        <w:tc>
          <w:tcPr>
            <w:tcW w:w="4533" w:type="dxa"/>
            <w:gridSpan w:val="33"/>
            <w:tcBorders>
              <w:top w:val="single" w:sz="4" w:space="0" w:color="auto"/>
              <w:left w:val="single" w:sz="4" w:space="0" w:color="auto"/>
              <w:bottom w:val="single" w:sz="4" w:space="0" w:color="auto"/>
              <w:right w:val="single" w:sz="4" w:space="0" w:color="auto"/>
            </w:tcBorders>
            <w:shd w:val="clear" w:color="auto" w:fill="FFFF00"/>
            <w:vAlign w:val="center"/>
          </w:tcPr>
          <w:p w:rsidR="004809F3" w:rsidRPr="004809F3" w:rsidRDefault="004809F3" w:rsidP="00845B07">
            <w:pPr>
              <w:jc w:val="center"/>
              <w:rPr>
                <w:rFonts w:asciiTheme="minorHAnsi" w:hAnsiTheme="minorHAnsi" w:cstheme="minorHAnsi"/>
                <w:b/>
                <w:sz w:val="18"/>
                <w:szCs w:val="18"/>
              </w:rPr>
            </w:pPr>
            <w:r w:rsidRPr="004809F3">
              <w:rPr>
                <w:rFonts w:asciiTheme="minorHAnsi" w:hAnsiTheme="minorHAnsi" w:cstheme="minorHAnsi"/>
                <w:b/>
                <w:sz w:val="18"/>
                <w:szCs w:val="18"/>
              </w:rPr>
              <w:t>Komentář</w:t>
            </w:r>
          </w:p>
        </w:tc>
      </w:tr>
      <w:tr w:rsidR="00C07D18" w:rsidRPr="004809F3" w:rsidTr="00C07D18">
        <w:trPr>
          <w:gridAfter w:val="73"/>
          <w:wAfter w:w="10328" w:type="dxa"/>
        </w:trPr>
        <w:tc>
          <w:tcPr>
            <w:tcW w:w="827" w:type="dxa"/>
            <w:gridSpan w:val="8"/>
            <w:tcBorders>
              <w:top w:val="single" w:sz="4" w:space="0" w:color="auto"/>
              <w:left w:val="single" w:sz="4" w:space="0" w:color="auto"/>
              <w:bottom w:val="single" w:sz="4" w:space="0" w:color="auto"/>
              <w:right w:val="single" w:sz="4" w:space="0" w:color="auto"/>
            </w:tcBorders>
            <w:vAlign w:val="center"/>
          </w:tcPr>
          <w:p w:rsidR="004809F3" w:rsidRPr="004809F3" w:rsidRDefault="004809F3" w:rsidP="00845B07">
            <w:pPr>
              <w:jc w:val="center"/>
              <w:rPr>
                <w:rFonts w:asciiTheme="minorHAnsi" w:hAnsiTheme="minorHAnsi" w:cstheme="minorHAnsi"/>
                <w:sz w:val="18"/>
                <w:szCs w:val="18"/>
              </w:rPr>
            </w:pPr>
            <w:r w:rsidRPr="004809F3">
              <w:rPr>
                <w:rFonts w:asciiTheme="minorHAnsi" w:hAnsiTheme="minorHAnsi" w:cstheme="minorHAnsi"/>
                <w:sz w:val="18"/>
                <w:szCs w:val="18"/>
              </w:rPr>
              <w:t>xxxx</w:t>
            </w:r>
          </w:p>
        </w:tc>
        <w:tc>
          <w:tcPr>
            <w:tcW w:w="660" w:type="dxa"/>
            <w:gridSpan w:val="7"/>
            <w:tcBorders>
              <w:top w:val="single" w:sz="4" w:space="0" w:color="auto"/>
              <w:left w:val="single" w:sz="4" w:space="0" w:color="auto"/>
              <w:bottom w:val="single" w:sz="4" w:space="0" w:color="auto"/>
              <w:right w:val="single" w:sz="4" w:space="0" w:color="auto"/>
            </w:tcBorders>
            <w:vAlign w:val="center"/>
          </w:tcPr>
          <w:p w:rsidR="004809F3" w:rsidRPr="004809F3" w:rsidRDefault="004809F3" w:rsidP="00845B07">
            <w:pPr>
              <w:jc w:val="center"/>
              <w:rPr>
                <w:rFonts w:asciiTheme="minorHAnsi" w:hAnsiTheme="minorHAnsi" w:cstheme="minorHAnsi"/>
                <w:sz w:val="18"/>
                <w:szCs w:val="18"/>
              </w:rPr>
            </w:pPr>
            <w:r w:rsidRPr="004809F3">
              <w:rPr>
                <w:rFonts w:asciiTheme="minorHAnsi" w:hAnsiTheme="minorHAnsi" w:cstheme="minorHAnsi"/>
                <w:sz w:val="18"/>
                <w:szCs w:val="18"/>
              </w:rPr>
              <w:t>xxxx</w:t>
            </w:r>
          </w:p>
        </w:tc>
        <w:tc>
          <w:tcPr>
            <w:tcW w:w="992" w:type="dxa"/>
            <w:gridSpan w:val="10"/>
            <w:tcBorders>
              <w:top w:val="single" w:sz="4" w:space="0" w:color="auto"/>
              <w:left w:val="single" w:sz="4" w:space="0" w:color="auto"/>
              <w:bottom w:val="single" w:sz="4" w:space="0" w:color="auto"/>
              <w:right w:val="single" w:sz="4" w:space="0" w:color="auto"/>
            </w:tcBorders>
            <w:vAlign w:val="center"/>
          </w:tcPr>
          <w:p w:rsidR="004809F3" w:rsidRPr="004809F3" w:rsidRDefault="004809F3" w:rsidP="00845B07">
            <w:pPr>
              <w:jc w:val="center"/>
              <w:rPr>
                <w:rFonts w:asciiTheme="minorHAnsi" w:hAnsiTheme="minorHAnsi" w:cstheme="minorHAnsi"/>
                <w:sz w:val="18"/>
                <w:szCs w:val="18"/>
              </w:rPr>
            </w:pPr>
            <w:r w:rsidRPr="004809F3">
              <w:rPr>
                <w:rFonts w:asciiTheme="minorHAnsi" w:hAnsiTheme="minorHAnsi" w:cstheme="minorHAnsi"/>
                <w:sz w:val="18"/>
                <w:szCs w:val="18"/>
              </w:rPr>
              <w:t>xxxxxx</w:t>
            </w:r>
          </w:p>
        </w:tc>
        <w:tc>
          <w:tcPr>
            <w:tcW w:w="851" w:type="dxa"/>
            <w:gridSpan w:val="7"/>
            <w:tcBorders>
              <w:top w:val="single" w:sz="4" w:space="0" w:color="auto"/>
              <w:left w:val="single" w:sz="4" w:space="0" w:color="auto"/>
              <w:bottom w:val="single" w:sz="4" w:space="0" w:color="auto"/>
              <w:right w:val="single" w:sz="4" w:space="0" w:color="auto"/>
            </w:tcBorders>
            <w:vAlign w:val="center"/>
          </w:tcPr>
          <w:p w:rsidR="004809F3" w:rsidRPr="004809F3" w:rsidRDefault="004809F3" w:rsidP="00845B07">
            <w:pPr>
              <w:jc w:val="center"/>
              <w:rPr>
                <w:rFonts w:asciiTheme="minorHAnsi" w:hAnsiTheme="minorHAnsi" w:cstheme="minorHAnsi"/>
                <w:sz w:val="18"/>
                <w:szCs w:val="18"/>
              </w:rPr>
            </w:pPr>
            <w:r w:rsidRPr="004809F3">
              <w:rPr>
                <w:rFonts w:asciiTheme="minorHAnsi" w:hAnsiTheme="minorHAnsi" w:cstheme="minorHAnsi"/>
                <w:sz w:val="18"/>
                <w:szCs w:val="18"/>
              </w:rPr>
              <w:t>xxxxx</w:t>
            </w:r>
          </w:p>
        </w:tc>
        <w:tc>
          <w:tcPr>
            <w:tcW w:w="851" w:type="dxa"/>
            <w:gridSpan w:val="17"/>
            <w:tcBorders>
              <w:top w:val="single" w:sz="4" w:space="0" w:color="auto"/>
              <w:left w:val="single" w:sz="4" w:space="0" w:color="auto"/>
              <w:bottom w:val="single" w:sz="4" w:space="0" w:color="auto"/>
              <w:right w:val="single" w:sz="4" w:space="0" w:color="auto"/>
            </w:tcBorders>
            <w:vAlign w:val="center"/>
          </w:tcPr>
          <w:p w:rsidR="004809F3" w:rsidRPr="004809F3" w:rsidRDefault="004809F3" w:rsidP="00845B07">
            <w:pPr>
              <w:jc w:val="right"/>
              <w:rPr>
                <w:rFonts w:asciiTheme="minorHAnsi" w:hAnsiTheme="minorHAnsi" w:cstheme="minorHAnsi"/>
                <w:sz w:val="18"/>
                <w:szCs w:val="18"/>
              </w:rPr>
            </w:pPr>
            <w:r w:rsidRPr="004809F3">
              <w:rPr>
                <w:rFonts w:asciiTheme="minorHAnsi" w:hAnsiTheme="minorHAnsi" w:cstheme="minorHAnsi"/>
                <w:sz w:val="18"/>
                <w:szCs w:val="18"/>
              </w:rPr>
              <w:t>x.xxx,xx</w:t>
            </w:r>
          </w:p>
        </w:tc>
        <w:tc>
          <w:tcPr>
            <w:tcW w:w="993" w:type="dxa"/>
            <w:gridSpan w:val="8"/>
            <w:tcBorders>
              <w:top w:val="single" w:sz="4" w:space="0" w:color="auto"/>
              <w:left w:val="single" w:sz="4" w:space="0" w:color="auto"/>
              <w:bottom w:val="single" w:sz="4" w:space="0" w:color="auto"/>
              <w:right w:val="single" w:sz="4" w:space="0" w:color="auto"/>
            </w:tcBorders>
            <w:vAlign w:val="center"/>
          </w:tcPr>
          <w:p w:rsidR="004809F3" w:rsidRPr="004809F3" w:rsidRDefault="004809F3" w:rsidP="00845B07">
            <w:pPr>
              <w:jc w:val="right"/>
              <w:rPr>
                <w:rFonts w:asciiTheme="minorHAnsi" w:hAnsiTheme="minorHAnsi" w:cstheme="minorHAnsi"/>
                <w:sz w:val="18"/>
                <w:szCs w:val="18"/>
              </w:rPr>
            </w:pPr>
            <w:r w:rsidRPr="004809F3">
              <w:rPr>
                <w:rFonts w:asciiTheme="minorHAnsi" w:hAnsiTheme="minorHAnsi" w:cstheme="minorHAnsi"/>
                <w:sz w:val="18"/>
                <w:szCs w:val="18"/>
              </w:rPr>
              <w:t>x.xxx,xx</w:t>
            </w:r>
          </w:p>
        </w:tc>
        <w:tc>
          <w:tcPr>
            <w:tcW w:w="4533" w:type="dxa"/>
            <w:gridSpan w:val="33"/>
            <w:tcBorders>
              <w:top w:val="single" w:sz="4" w:space="0" w:color="auto"/>
              <w:left w:val="single" w:sz="4" w:space="0" w:color="auto"/>
              <w:bottom w:val="single" w:sz="4" w:space="0" w:color="auto"/>
              <w:right w:val="single" w:sz="4" w:space="0" w:color="auto"/>
            </w:tcBorders>
            <w:vAlign w:val="center"/>
          </w:tcPr>
          <w:p w:rsidR="004809F3" w:rsidRPr="004809F3" w:rsidRDefault="004809F3" w:rsidP="00845B07">
            <w:pPr>
              <w:pStyle w:val="Zkladntext"/>
              <w:rPr>
                <w:rFonts w:asciiTheme="minorHAnsi" w:hAnsiTheme="minorHAnsi" w:cstheme="minorHAnsi"/>
                <w:szCs w:val="18"/>
              </w:rPr>
            </w:pPr>
            <w:r w:rsidRPr="004809F3">
              <w:rPr>
                <w:rFonts w:asciiTheme="minorHAnsi" w:hAnsiTheme="minorHAnsi" w:cstheme="minorHAnsi"/>
                <w:szCs w:val="18"/>
              </w:rPr>
              <w:t>Uvést název položky dle rozpočtové skladby, popř. investiční akce!</w:t>
            </w:r>
          </w:p>
          <w:p w:rsidR="004809F3" w:rsidRPr="004809F3" w:rsidRDefault="004809F3" w:rsidP="00845B07">
            <w:pPr>
              <w:rPr>
                <w:rFonts w:asciiTheme="minorHAnsi" w:hAnsiTheme="minorHAnsi" w:cstheme="minorHAnsi"/>
                <w:sz w:val="18"/>
                <w:szCs w:val="18"/>
              </w:rPr>
            </w:pPr>
            <w:r w:rsidRPr="004809F3">
              <w:rPr>
                <w:rFonts w:asciiTheme="minorHAnsi" w:hAnsiTheme="minorHAnsi" w:cstheme="minorHAnsi"/>
                <w:sz w:val="18"/>
                <w:szCs w:val="18"/>
              </w:rPr>
              <w:t>Uvést vlastní komentář.</w:t>
            </w:r>
          </w:p>
        </w:tc>
      </w:tr>
      <w:tr w:rsidR="00C07D18" w:rsidRPr="004809F3" w:rsidTr="00C07D18">
        <w:trPr>
          <w:gridAfter w:val="9"/>
          <w:wAfter w:w="3854" w:type="dxa"/>
        </w:trPr>
        <w:tc>
          <w:tcPr>
            <w:tcW w:w="827" w:type="dxa"/>
            <w:gridSpan w:val="8"/>
          </w:tcPr>
          <w:p w:rsidR="004809F3" w:rsidRPr="004809F3" w:rsidRDefault="004809F3" w:rsidP="00845B07">
            <w:pPr>
              <w:rPr>
                <w:rFonts w:asciiTheme="minorHAnsi" w:hAnsiTheme="minorHAnsi" w:cstheme="minorHAnsi"/>
                <w:b/>
                <w:sz w:val="20"/>
                <w:szCs w:val="20"/>
              </w:rPr>
            </w:pPr>
          </w:p>
        </w:tc>
        <w:tc>
          <w:tcPr>
            <w:tcW w:w="255" w:type="dxa"/>
            <w:gridSpan w:val="3"/>
          </w:tcPr>
          <w:p w:rsidR="004809F3" w:rsidRPr="004809F3" w:rsidRDefault="004809F3" w:rsidP="00845B07">
            <w:pPr>
              <w:rPr>
                <w:rFonts w:asciiTheme="minorHAnsi" w:hAnsiTheme="minorHAnsi" w:cstheme="minorHAnsi"/>
                <w:b/>
                <w:sz w:val="20"/>
                <w:szCs w:val="20"/>
              </w:rPr>
            </w:pPr>
          </w:p>
        </w:tc>
        <w:tc>
          <w:tcPr>
            <w:tcW w:w="506" w:type="dxa"/>
            <w:gridSpan w:val="6"/>
          </w:tcPr>
          <w:p w:rsidR="004809F3" w:rsidRPr="004809F3" w:rsidRDefault="004809F3" w:rsidP="00845B07">
            <w:pPr>
              <w:rPr>
                <w:rFonts w:asciiTheme="minorHAnsi" w:hAnsiTheme="minorHAnsi" w:cstheme="minorHAnsi"/>
                <w:b/>
                <w:sz w:val="20"/>
                <w:szCs w:val="20"/>
              </w:rPr>
            </w:pPr>
          </w:p>
        </w:tc>
        <w:tc>
          <w:tcPr>
            <w:tcW w:w="167" w:type="dxa"/>
            <w:gridSpan w:val="2"/>
          </w:tcPr>
          <w:p w:rsidR="004809F3" w:rsidRPr="004809F3" w:rsidRDefault="004809F3" w:rsidP="00845B07">
            <w:pPr>
              <w:rPr>
                <w:rFonts w:asciiTheme="minorHAnsi" w:hAnsiTheme="minorHAnsi" w:cstheme="minorHAnsi"/>
                <w:b/>
                <w:sz w:val="20"/>
                <w:szCs w:val="20"/>
              </w:rPr>
            </w:pPr>
          </w:p>
        </w:tc>
        <w:tc>
          <w:tcPr>
            <w:tcW w:w="5532" w:type="dxa"/>
            <w:gridSpan w:val="59"/>
          </w:tcPr>
          <w:p w:rsidR="004809F3" w:rsidRPr="004809F3" w:rsidRDefault="004809F3" w:rsidP="00845B07">
            <w:pPr>
              <w:rPr>
                <w:rFonts w:asciiTheme="minorHAnsi" w:hAnsiTheme="minorHAnsi" w:cstheme="minorHAnsi"/>
                <w:b/>
                <w:sz w:val="20"/>
                <w:szCs w:val="20"/>
              </w:rPr>
            </w:pPr>
          </w:p>
        </w:tc>
        <w:tc>
          <w:tcPr>
            <w:tcW w:w="160" w:type="dxa"/>
            <w:gridSpan w:val="3"/>
          </w:tcPr>
          <w:p w:rsidR="004809F3" w:rsidRPr="004809F3" w:rsidRDefault="004809F3" w:rsidP="00845B07">
            <w:pPr>
              <w:rPr>
                <w:rFonts w:asciiTheme="minorHAnsi" w:hAnsiTheme="minorHAnsi" w:cstheme="minorHAnsi"/>
                <w:b/>
                <w:sz w:val="20"/>
                <w:szCs w:val="20"/>
              </w:rPr>
            </w:pPr>
          </w:p>
        </w:tc>
        <w:tc>
          <w:tcPr>
            <w:tcW w:w="260" w:type="dxa"/>
            <w:gridSpan w:val="4"/>
          </w:tcPr>
          <w:p w:rsidR="004809F3" w:rsidRPr="004809F3" w:rsidRDefault="004809F3" w:rsidP="00845B07">
            <w:pPr>
              <w:rPr>
                <w:rFonts w:asciiTheme="minorHAnsi" w:hAnsiTheme="minorHAnsi" w:cstheme="minorHAnsi"/>
                <w:b/>
                <w:sz w:val="20"/>
                <w:szCs w:val="20"/>
              </w:rPr>
            </w:pPr>
          </w:p>
        </w:tc>
        <w:tc>
          <w:tcPr>
            <w:tcW w:w="1974" w:type="dxa"/>
            <w:gridSpan w:val="3"/>
          </w:tcPr>
          <w:p w:rsidR="004809F3" w:rsidRPr="004809F3" w:rsidRDefault="004809F3" w:rsidP="00845B07">
            <w:pPr>
              <w:rPr>
                <w:rFonts w:asciiTheme="minorHAnsi" w:hAnsiTheme="minorHAnsi" w:cstheme="minorHAnsi"/>
                <w:b/>
                <w:sz w:val="20"/>
                <w:szCs w:val="20"/>
              </w:rPr>
            </w:pPr>
          </w:p>
        </w:tc>
        <w:tc>
          <w:tcPr>
            <w:tcW w:w="260" w:type="dxa"/>
            <w:gridSpan w:val="5"/>
          </w:tcPr>
          <w:p w:rsidR="004809F3" w:rsidRPr="004809F3" w:rsidRDefault="004809F3" w:rsidP="00845B07">
            <w:pPr>
              <w:rPr>
                <w:rFonts w:asciiTheme="minorHAnsi" w:hAnsiTheme="minorHAnsi" w:cstheme="minorHAnsi"/>
                <w:b/>
                <w:sz w:val="20"/>
                <w:szCs w:val="20"/>
              </w:rPr>
            </w:pPr>
          </w:p>
        </w:tc>
        <w:tc>
          <w:tcPr>
            <w:tcW w:w="260" w:type="dxa"/>
            <w:gridSpan w:val="2"/>
          </w:tcPr>
          <w:p w:rsidR="004809F3" w:rsidRPr="004809F3" w:rsidRDefault="004809F3" w:rsidP="00845B07">
            <w:pPr>
              <w:rPr>
                <w:rFonts w:asciiTheme="minorHAnsi" w:hAnsiTheme="minorHAnsi" w:cstheme="minorHAnsi"/>
                <w:b/>
                <w:sz w:val="20"/>
                <w:szCs w:val="20"/>
              </w:rPr>
            </w:pPr>
          </w:p>
        </w:tc>
        <w:tc>
          <w:tcPr>
            <w:tcW w:w="260" w:type="dxa"/>
            <w:gridSpan w:val="4"/>
          </w:tcPr>
          <w:p w:rsidR="004809F3" w:rsidRPr="004809F3" w:rsidRDefault="004809F3" w:rsidP="00845B07">
            <w:pPr>
              <w:rPr>
                <w:rFonts w:asciiTheme="minorHAnsi" w:hAnsiTheme="minorHAnsi" w:cstheme="minorHAnsi"/>
                <w:b/>
                <w:sz w:val="20"/>
                <w:szCs w:val="20"/>
              </w:rPr>
            </w:pPr>
          </w:p>
        </w:tc>
        <w:tc>
          <w:tcPr>
            <w:tcW w:w="1196" w:type="dxa"/>
            <w:gridSpan w:val="19"/>
          </w:tcPr>
          <w:p w:rsidR="004809F3" w:rsidRPr="004809F3" w:rsidRDefault="004809F3" w:rsidP="00845B07">
            <w:pPr>
              <w:rPr>
                <w:rFonts w:asciiTheme="minorHAnsi" w:hAnsiTheme="minorHAnsi" w:cstheme="minorHAnsi"/>
                <w:b/>
                <w:sz w:val="20"/>
                <w:szCs w:val="20"/>
              </w:rPr>
            </w:pPr>
          </w:p>
        </w:tc>
        <w:tc>
          <w:tcPr>
            <w:tcW w:w="3204" w:type="dxa"/>
            <w:gridSpan w:val="28"/>
          </w:tcPr>
          <w:p w:rsidR="004809F3" w:rsidRPr="004809F3" w:rsidRDefault="004809F3" w:rsidP="00845B07">
            <w:pPr>
              <w:rPr>
                <w:rFonts w:asciiTheme="minorHAnsi" w:hAnsiTheme="minorHAnsi" w:cstheme="minorHAnsi"/>
                <w:b/>
                <w:sz w:val="20"/>
                <w:szCs w:val="20"/>
              </w:rPr>
            </w:pPr>
          </w:p>
        </w:tc>
        <w:tc>
          <w:tcPr>
            <w:tcW w:w="160" w:type="dxa"/>
          </w:tcPr>
          <w:p w:rsidR="004809F3" w:rsidRPr="004809F3" w:rsidRDefault="004809F3" w:rsidP="00845B07">
            <w:pPr>
              <w:rPr>
                <w:rFonts w:asciiTheme="minorHAnsi" w:hAnsiTheme="minorHAnsi" w:cstheme="minorHAnsi"/>
                <w:b/>
                <w:sz w:val="20"/>
                <w:szCs w:val="20"/>
              </w:rPr>
            </w:pPr>
          </w:p>
        </w:tc>
        <w:tc>
          <w:tcPr>
            <w:tcW w:w="160" w:type="dxa"/>
            <w:gridSpan w:val="2"/>
          </w:tcPr>
          <w:p w:rsidR="004809F3" w:rsidRPr="004809F3" w:rsidRDefault="004809F3" w:rsidP="00845B07">
            <w:pPr>
              <w:rPr>
                <w:rFonts w:asciiTheme="minorHAnsi" w:hAnsiTheme="minorHAnsi" w:cstheme="minorHAnsi"/>
                <w:b/>
                <w:sz w:val="20"/>
                <w:szCs w:val="20"/>
              </w:rPr>
            </w:pPr>
          </w:p>
        </w:tc>
        <w:tc>
          <w:tcPr>
            <w:tcW w:w="260" w:type="dxa"/>
          </w:tcPr>
          <w:p w:rsidR="004809F3" w:rsidRPr="004809F3" w:rsidRDefault="004809F3" w:rsidP="00845B07">
            <w:pPr>
              <w:rPr>
                <w:rFonts w:asciiTheme="minorHAnsi" w:hAnsiTheme="minorHAnsi" w:cstheme="minorHAnsi"/>
                <w:b/>
                <w:sz w:val="20"/>
                <w:szCs w:val="20"/>
              </w:rPr>
            </w:pPr>
          </w:p>
        </w:tc>
        <w:tc>
          <w:tcPr>
            <w:tcW w:w="160" w:type="dxa"/>
          </w:tcPr>
          <w:p w:rsidR="004809F3" w:rsidRPr="004809F3" w:rsidRDefault="004809F3" w:rsidP="00845B07">
            <w:pPr>
              <w:rPr>
                <w:rFonts w:asciiTheme="minorHAnsi" w:hAnsiTheme="minorHAnsi" w:cstheme="minorHAnsi"/>
                <w:b/>
                <w:sz w:val="20"/>
                <w:szCs w:val="20"/>
              </w:rPr>
            </w:pPr>
          </w:p>
        </w:tc>
        <w:tc>
          <w:tcPr>
            <w:tcW w:w="160" w:type="dxa"/>
          </w:tcPr>
          <w:p w:rsidR="004809F3" w:rsidRPr="004809F3" w:rsidRDefault="004809F3" w:rsidP="00845B07">
            <w:pPr>
              <w:rPr>
                <w:rFonts w:asciiTheme="minorHAnsi" w:hAnsiTheme="minorHAnsi" w:cstheme="minorHAnsi"/>
                <w:b/>
                <w:sz w:val="20"/>
                <w:szCs w:val="20"/>
              </w:rPr>
            </w:pPr>
          </w:p>
        </w:tc>
        <w:tc>
          <w:tcPr>
            <w:tcW w:w="260" w:type="dxa"/>
          </w:tcPr>
          <w:p w:rsidR="004809F3" w:rsidRPr="004809F3" w:rsidRDefault="004809F3" w:rsidP="00845B07">
            <w:pPr>
              <w:rPr>
                <w:rFonts w:asciiTheme="minorHAnsi" w:hAnsiTheme="minorHAnsi" w:cstheme="minorHAnsi"/>
                <w:b/>
                <w:sz w:val="20"/>
                <w:szCs w:val="20"/>
              </w:rPr>
            </w:pPr>
          </w:p>
        </w:tc>
        <w:tc>
          <w:tcPr>
            <w:tcW w:w="160" w:type="dxa"/>
          </w:tcPr>
          <w:p w:rsidR="004809F3" w:rsidRPr="004809F3" w:rsidRDefault="004809F3" w:rsidP="00845B07">
            <w:pPr>
              <w:rPr>
                <w:rFonts w:asciiTheme="minorHAnsi" w:hAnsiTheme="minorHAnsi" w:cstheme="minorHAnsi"/>
                <w:b/>
                <w:sz w:val="20"/>
                <w:szCs w:val="20"/>
              </w:rPr>
            </w:pPr>
          </w:p>
        </w:tc>
      </w:tr>
      <w:tr w:rsidR="004809F3" w:rsidRPr="004809F3" w:rsidTr="00C07D18">
        <w:trPr>
          <w:gridAfter w:val="74"/>
          <w:wAfter w:w="10331" w:type="dxa"/>
        </w:trPr>
        <w:tc>
          <w:tcPr>
            <w:tcW w:w="9704" w:type="dxa"/>
            <w:gridSpan w:val="89"/>
            <w:shd w:val="clear" w:color="auto" w:fill="F79646"/>
          </w:tcPr>
          <w:p w:rsidR="004809F3" w:rsidRPr="004809F3" w:rsidRDefault="004809F3" w:rsidP="00845B07">
            <w:pPr>
              <w:rPr>
                <w:rFonts w:asciiTheme="minorHAnsi" w:hAnsiTheme="minorHAnsi" w:cstheme="minorHAnsi"/>
                <w:b/>
                <w:sz w:val="20"/>
                <w:szCs w:val="20"/>
                <w:u w:val="single"/>
              </w:rPr>
            </w:pPr>
            <w:r w:rsidRPr="004809F3">
              <w:rPr>
                <w:rFonts w:asciiTheme="minorHAnsi" w:hAnsiTheme="minorHAnsi" w:cstheme="minorHAnsi"/>
                <w:b/>
                <w:sz w:val="20"/>
                <w:szCs w:val="20"/>
                <w:u w:val="single"/>
              </w:rPr>
              <w:t>Rozbor čerpání výdajů rozpočtu kapitoly</w:t>
            </w:r>
          </w:p>
        </w:tc>
      </w:tr>
      <w:tr w:rsidR="00C07D18" w:rsidRPr="004809F3" w:rsidTr="00C07D18">
        <w:tc>
          <w:tcPr>
            <w:tcW w:w="827" w:type="dxa"/>
            <w:gridSpan w:val="8"/>
          </w:tcPr>
          <w:p w:rsidR="004809F3" w:rsidRPr="004809F3" w:rsidRDefault="004809F3" w:rsidP="00845B07">
            <w:pPr>
              <w:rPr>
                <w:rFonts w:asciiTheme="minorHAnsi" w:hAnsiTheme="minorHAnsi" w:cstheme="minorHAnsi"/>
                <w:b/>
                <w:sz w:val="20"/>
                <w:szCs w:val="20"/>
              </w:rPr>
            </w:pPr>
          </w:p>
        </w:tc>
        <w:tc>
          <w:tcPr>
            <w:tcW w:w="255" w:type="dxa"/>
            <w:gridSpan w:val="3"/>
          </w:tcPr>
          <w:p w:rsidR="004809F3" w:rsidRPr="004809F3" w:rsidRDefault="004809F3" w:rsidP="00845B07">
            <w:pPr>
              <w:rPr>
                <w:rFonts w:asciiTheme="minorHAnsi" w:hAnsiTheme="minorHAnsi" w:cstheme="minorHAnsi"/>
                <w:b/>
                <w:sz w:val="20"/>
                <w:szCs w:val="20"/>
              </w:rPr>
            </w:pPr>
          </w:p>
        </w:tc>
        <w:tc>
          <w:tcPr>
            <w:tcW w:w="506" w:type="dxa"/>
            <w:gridSpan w:val="6"/>
          </w:tcPr>
          <w:p w:rsidR="004809F3" w:rsidRPr="004809F3" w:rsidRDefault="004809F3" w:rsidP="00845B07">
            <w:pPr>
              <w:rPr>
                <w:rFonts w:asciiTheme="minorHAnsi" w:hAnsiTheme="minorHAnsi" w:cstheme="minorHAnsi"/>
                <w:b/>
                <w:sz w:val="20"/>
                <w:szCs w:val="20"/>
              </w:rPr>
            </w:pPr>
          </w:p>
        </w:tc>
        <w:tc>
          <w:tcPr>
            <w:tcW w:w="1635" w:type="dxa"/>
            <w:gridSpan w:val="14"/>
          </w:tcPr>
          <w:p w:rsidR="004809F3" w:rsidRPr="004809F3" w:rsidRDefault="004809F3" w:rsidP="00845B07">
            <w:pPr>
              <w:rPr>
                <w:rFonts w:asciiTheme="minorHAnsi" w:hAnsiTheme="minorHAnsi" w:cstheme="minorHAnsi"/>
                <w:b/>
                <w:sz w:val="20"/>
                <w:szCs w:val="20"/>
              </w:rPr>
            </w:pPr>
          </w:p>
        </w:tc>
        <w:tc>
          <w:tcPr>
            <w:tcW w:w="160" w:type="dxa"/>
            <w:gridSpan w:val="3"/>
          </w:tcPr>
          <w:p w:rsidR="004809F3" w:rsidRPr="004809F3" w:rsidRDefault="004809F3" w:rsidP="00845B07">
            <w:pPr>
              <w:rPr>
                <w:rFonts w:asciiTheme="minorHAnsi" w:hAnsiTheme="minorHAnsi" w:cstheme="minorHAnsi"/>
                <w:b/>
                <w:sz w:val="20"/>
                <w:szCs w:val="20"/>
              </w:rPr>
            </w:pPr>
          </w:p>
        </w:tc>
        <w:tc>
          <w:tcPr>
            <w:tcW w:w="256" w:type="dxa"/>
            <w:gridSpan w:val="5"/>
          </w:tcPr>
          <w:p w:rsidR="004809F3" w:rsidRPr="004809F3" w:rsidRDefault="004809F3" w:rsidP="00845B07">
            <w:pPr>
              <w:rPr>
                <w:rFonts w:asciiTheme="minorHAnsi" w:hAnsiTheme="minorHAnsi" w:cstheme="minorHAnsi"/>
                <w:b/>
                <w:sz w:val="20"/>
                <w:szCs w:val="20"/>
              </w:rPr>
            </w:pPr>
          </w:p>
        </w:tc>
        <w:tc>
          <w:tcPr>
            <w:tcW w:w="520" w:type="dxa"/>
            <w:gridSpan w:val="9"/>
          </w:tcPr>
          <w:p w:rsidR="004809F3" w:rsidRPr="004809F3" w:rsidRDefault="004809F3" w:rsidP="00845B07">
            <w:pPr>
              <w:rPr>
                <w:rFonts w:asciiTheme="minorHAnsi" w:hAnsiTheme="minorHAnsi" w:cstheme="minorHAnsi"/>
                <w:b/>
                <w:sz w:val="20"/>
                <w:szCs w:val="20"/>
              </w:rPr>
            </w:pPr>
          </w:p>
        </w:tc>
        <w:tc>
          <w:tcPr>
            <w:tcW w:w="2755" w:type="dxa"/>
            <w:gridSpan w:val="25"/>
          </w:tcPr>
          <w:p w:rsidR="004809F3" w:rsidRPr="004809F3" w:rsidRDefault="004809F3" w:rsidP="00845B07">
            <w:pPr>
              <w:rPr>
                <w:rFonts w:asciiTheme="minorHAnsi" w:hAnsiTheme="minorHAnsi" w:cstheme="minorHAnsi"/>
                <w:b/>
                <w:sz w:val="20"/>
                <w:szCs w:val="20"/>
              </w:rPr>
            </w:pPr>
          </w:p>
        </w:tc>
        <w:tc>
          <w:tcPr>
            <w:tcW w:w="260" w:type="dxa"/>
            <w:gridSpan w:val="3"/>
          </w:tcPr>
          <w:p w:rsidR="004809F3" w:rsidRPr="004809F3" w:rsidRDefault="004809F3" w:rsidP="00845B07">
            <w:pPr>
              <w:rPr>
                <w:rFonts w:asciiTheme="minorHAnsi" w:hAnsiTheme="minorHAnsi" w:cstheme="minorHAnsi"/>
                <w:b/>
                <w:sz w:val="20"/>
                <w:szCs w:val="20"/>
              </w:rPr>
            </w:pPr>
          </w:p>
        </w:tc>
        <w:tc>
          <w:tcPr>
            <w:tcW w:w="2944" w:type="dxa"/>
            <w:gridSpan w:val="18"/>
          </w:tcPr>
          <w:p w:rsidR="004809F3" w:rsidRPr="004809F3" w:rsidRDefault="004809F3" w:rsidP="00845B07">
            <w:pPr>
              <w:rPr>
                <w:rFonts w:asciiTheme="minorHAnsi" w:hAnsiTheme="minorHAnsi" w:cstheme="minorHAnsi"/>
                <w:b/>
                <w:sz w:val="20"/>
                <w:szCs w:val="20"/>
              </w:rPr>
            </w:pPr>
          </w:p>
        </w:tc>
        <w:tc>
          <w:tcPr>
            <w:tcW w:w="270" w:type="dxa"/>
            <w:gridSpan w:val="3"/>
          </w:tcPr>
          <w:p w:rsidR="004809F3" w:rsidRPr="004809F3" w:rsidRDefault="004809F3" w:rsidP="00845B07">
            <w:pPr>
              <w:rPr>
                <w:rFonts w:asciiTheme="minorHAnsi" w:hAnsiTheme="minorHAnsi" w:cstheme="minorHAnsi"/>
                <w:b/>
                <w:sz w:val="20"/>
                <w:szCs w:val="20"/>
              </w:rPr>
            </w:pPr>
          </w:p>
        </w:tc>
        <w:tc>
          <w:tcPr>
            <w:tcW w:w="160" w:type="dxa"/>
            <w:gridSpan w:val="4"/>
          </w:tcPr>
          <w:p w:rsidR="004809F3" w:rsidRPr="004809F3" w:rsidRDefault="004809F3" w:rsidP="00845B07">
            <w:pPr>
              <w:rPr>
                <w:rFonts w:asciiTheme="minorHAnsi" w:hAnsiTheme="minorHAnsi" w:cstheme="minorHAnsi"/>
                <w:b/>
                <w:sz w:val="20"/>
                <w:szCs w:val="20"/>
              </w:rPr>
            </w:pPr>
          </w:p>
        </w:tc>
        <w:tc>
          <w:tcPr>
            <w:tcW w:w="260" w:type="dxa"/>
            <w:gridSpan w:val="4"/>
          </w:tcPr>
          <w:p w:rsidR="004809F3" w:rsidRPr="004809F3" w:rsidRDefault="004809F3" w:rsidP="00845B07">
            <w:pPr>
              <w:rPr>
                <w:rFonts w:asciiTheme="minorHAnsi" w:hAnsiTheme="minorHAnsi" w:cstheme="minorHAnsi"/>
                <w:b/>
                <w:sz w:val="20"/>
                <w:szCs w:val="20"/>
              </w:rPr>
            </w:pPr>
          </w:p>
        </w:tc>
        <w:tc>
          <w:tcPr>
            <w:tcW w:w="160" w:type="dxa"/>
            <w:gridSpan w:val="2"/>
          </w:tcPr>
          <w:p w:rsidR="004809F3" w:rsidRPr="004809F3" w:rsidRDefault="004809F3" w:rsidP="00845B07">
            <w:pPr>
              <w:rPr>
                <w:rFonts w:asciiTheme="minorHAnsi" w:hAnsiTheme="minorHAnsi" w:cstheme="minorHAnsi"/>
                <w:b/>
                <w:sz w:val="20"/>
                <w:szCs w:val="20"/>
              </w:rPr>
            </w:pPr>
          </w:p>
        </w:tc>
        <w:tc>
          <w:tcPr>
            <w:tcW w:w="260" w:type="dxa"/>
            <w:gridSpan w:val="5"/>
          </w:tcPr>
          <w:p w:rsidR="004809F3" w:rsidRPr="004809F3" w:rsidRDefault="004809F3" w:rsidP="00845B07">
            <w:pPr>
              <w:rPr>
                <w:rFonts w:asciiTheme="minorHAnsi" w:hAnsiTheme="minorHAnsi" w:cstheme="minorHAnsi"/>
                <w:b/>
                <w:sz w:val="20"/>
                <w:szCs w:val="20"/>
              </w:rPr>
            </w:pPr>
          </w:p>
        </w:tc>
        <w:tc>
          <w:tcPr>
            <w:tcW w:w="265" w:type="dxa"/>
            <w:gridSpan w:val="4"/>
          </w:tcPr>
          <w:p w:rsidR="004809F3" w:rsidRPr="004809F3" w:rsidRDefault="004809F3" w:rsidP="00845B07">
            <w:pPr>
              <w:rPr>
                <w:rFonts w:asciiTheme="minorHAnsi" w:hAnsiTheme="minorHAnsi" w:cstheme="minorHAnsi"/>
                <w:b/>
                <w:sz w:val="20"/>
                <w:szCs w:val="20"/>
              </w:rPr>
            </w:pPr>
          </w:p>
        </w:tc>
        <w:tc>
          <w:tcPr>
            <w:tcW w:w="260" w:type="dxa"/>
            <w:gridSpan w:val="4"/>
          </w:tcPr>
          <w:p w:rsidR="004809F3" w:rsidRPr="004809F3" w:rsidRDefault="004809F3" w:rsidP="00845B07">
            <w:pPr>
              <w:rPr>
                <w:rFonts w:asciiTheme="minorHAnsi" w:hAnsiTheme="minorHAnsi" w:cstheme="minorHAnsi"/>
                <w:b/>
                <w:sz w:val="20"/>
                <w:szCs w:val="20"/>
              </w:rPr>
            </w:pPr>
          </w:p>
        </w:tc>
        <w:tc>
          <w:tcPr>
            <w:tcW w:w="160" w:type="dxa"/>
            <w:gridSpan w:val="3"/>
          </w:tcPr>
          <w:p w:rsidR="004809F3" w:rsidRPr="004809F3" w:rsidRDefault="004809F3" w:rsidP="00845B07">
            <w:pPr>
              <w:rPr>
                <w:rFonts w:asciiTheme="minorHAnsi" w:hAnsiTheme="minorHAnsi" w:cstheme="minorHAnsi"/>
                <w:b/>
                <w:sz w:val="20"/>
                <w:szCs w:val="20"/>
              </w:rPr>
            </w:pPr>
          </w:p>
        </w:tc>
        <w:tc>
          <w:tcPr>
            <w:tcW w:w="260" w:type="dxa"/>
            <w:gridSpan w:val="4"/>
          </w:tcPr>
          <w:p w:rsidR="004809F3" w:rsidRPr="004809F3" w:rsidRDefault="004809F3" w:rsidP="00845B07">
            <w:pPr>
              <w:rPr>
                <w:rFonts w:asciiTheme="minorHAnsi" w:hAnsiTheme="minorHAnsi" w:cstheme="minorHAnsi"/>
                <w:b/>
                <w:sz w:val="20"/>
                <w:szCs w:val="20"/>
              </w:rPr>
            </w:pPr>
          </w:p>
        </w:tc>
        <w:tc>
          <w:tcPr>
            <w:tcW w:w="7862" w:type="dxa"/>
            <w:gridSpan w:val="36"/>
          </w:tcPr>
          <w:p w:rsidR="004809F3" w:rsidRPr="004809F3" w:rsidRDefault="004809F3" w:rsidP="00845B07">
            <w:pPr>
              <w:rPr>
                <w:rFonts w:asciiTheme="minorHAnsi" w:hAnsiTheme="minorHAnsi" w:cstheme="minorHAnsi"/>
                <w:b/>
                <w:sz w:val="20"/>
                <w:szCs w:val="20"/>
              </w:rPr>
            </w:pPr>
          </w:p>
        </w:tc>
      </w:tr>
      <w:tr w:rsidR="00C07D18" w:rsidRPr="004809F3" w:rsidTr="00C07D18">
        <w:trPr>
          <w:gridAfter w:val="72"/>
          <w:wAfter w:w="10324" w:type="dxa"/>
        </w:trPr>
        <w:tc>
          <w:tcPr>
            <w:tcW w:w="3188" w:type="dxa"/>
            <w:gridSpan w:val="30"/>
            <w:tcBorders>
              <w:top w:val="single" w:sz="4" w:space="0" w:color="auto"/>
              <w:left w:val="single" w:sz="4" w:space="0" w:color="auto"/>
              <w:bottom w:val="single" w:sz="4" w:space="0" w:color="auto"/>
              <w:right w:val="single" w:sz="4" w:space="0" w:color="auto"/>
            </w:tcBorders>
            <w:shd w:val="clear" w:color="auto" w:fill="FFFF00"/>
          </w:tcPr>
          <w:p w:rsidR="004809F3" w:rsidRPr="004809F3" w:rsidRDefault="004809F3" w:rsidP="00845B07">
            <w:pPr>
              <w:jc w:val="center"/>
              <w:rPr>
                <w:rFonts w:asciiTheme="minorHAnsi" w:hAnsiTheme="minorHAnsi" w:cstheme="minorHAnsi"/>
                <w:b/>
                <w:sz w:val="20"/>
                <w:szCs w:val="20"/>
              </w:rPr>
            </w:pPr>
            <w:r w:rsidRPr="004809F3">
              <w:rPr>
                <w:rFonts w:asciiTheme="minorHAnsi" w:hAnsiTheme="minorHAnsi" w:cstheme="minorHAnsi"/>
                <w:b/>
                <w:sz w:val="20"/>
                <w:szCs w:val="20"/>
              </w:rPr>
              <w:t>Rozpočet upravený v tis. Kč</w:t>
            </w:r>
          </w:p>
        </w:tc>
        <w:tc>
          <w:tcPr>
            <w:tcW w:w="2968" w:type="dxa"/>
            <w:gridSpan w:val="35"/>
            <w:tcBorders>
              <w:top w:val="single" w:sz="4" w:space="0" w:color="auto"/>
              <w:left w:val="single" w:sz="4" w:space="0" w:color="auto"/>
              <w:bottom w:val="single" w:sz="4" w:space="0" w:color="auto"/>
              <w:right w:val="single" w:sz="4" w:space="0" w:color="auto"/>
            </w:tcBorders>
            <w:shd w:val="clear" w:color="auto" w:fill="FFFF00"/>
          </w:tcPr>
          <w:p w:rsidR="004809F3" w:rsidRPr="004809F3" w:rsidRDefault="004809F3" w:rsidP="00845B07">
            <w:pPr>
              <w:jc w:val="center"/>
              <w:rPr>
                <w:rFonts w:asciiTheme="minorHAnsi" w:hAnsiTheme="minorHAnsi" w:cstheme="minorHAnsi"/>
                <w:b/>
                <w:sz w:val="20"/>
                <w:szCs w:val="20"/>
              </w:rPr>
            </w:pPr>
            <w:r w:rsidRPr="004809F3">
              <w:rPr>
                <w:rFonts w:asciiTheme="minorHAnsi" w:hAnsiTheme="minorHAnsi" w:cstheme="minorHAnsi"/>
                <w:b/>
                <w:sz w:val="20"/>
                <w:szCs w:val="20"/>
              </w:rPr>
              <w:t>Skutečnost v tis. Kč</w:t>
            </w:r>
          </w:p>
        </w:tc>
        <w:tc>
          <w:tcPr>
            <w:tcW w:w="1283" w:type="dxa"/>
            <w:gridSpan w:val="14"/>
            <w:tcBorders>
              <w:top w:val="single" w:sz="4" w:space="0" w:color="auto"/>
              <w:left w:val="single" w:sz="4" w:space="0" w:color="auto"/>
              <w:bottom w:val="single" w:sz="4" w:space="0" w:color="auto"/>
              <w:right w:val="single" w:sz="4" w:space="0" w:color="auto"/>
            </w:tcBorders>
            <w:shd w:val="clear" w:color="auto" w:fill="FFFF00"/>
          </w:tcPr>
          <w:p w:rsidR="004809F3" w:rsidRPr="004809F3" w:rsidRDefault="004809F3" w:rsidP="00845B07">
            <w:pPr>
              <w:jc w:val="center"/>
              <w:rPr>
                <w:rFonts w:asciiTheme="minorHAnsi" w:hAnsiTheme="minorHAnsi" w:cstheme="minorHAnsi"/>
                <w:b/>
                <w:sz w:val="20"/>
                <w:szCs w:val="20"/>
              </w:rPr>
            </w:pPr>
            <w:r w:rsidRPr="004809F3">
              <w:rPr>
                <w:rFonts w:asciiTheme="minorHAnsi" w:hAnsiTheme="minorHAnsi" w:cstheme="minorHAnsi"/>
                <w:b/>
                <w:sz w:val="20"/>
                <w:szCs w:val="20"/>
              </w:rPr>
              <w:t>SK/RU v %</w:t>
            </w:r>
          </w:p>
        </w:tc>
        <w:tc>
          <w:tcPr>
            <w:tcW w:w="2272" w:type="dxa"/>
            <w:gridSpan w:val="12"/>
            <w:tcBorders>
              <w:top w:val="single" w:sz="4" w:space="0" w:color="auto"/>
              <w:left w:val="single" w:sz="4" w:space="0" w:color="auto"/>
              <w:bottom w:val="single" w:sz="4" w:space="0" w:color="auto"/>
              <w:right w:val="single" w:sz="4" w:space="0" w:color="auto"/>
            </w:tcBorders>
            <w:shd w:val="clear" w:color="auto" w:fill="FFFF00"/>
          </w:tcPr>
          <w:p w:rsidR="004809F3" w:rsidRPr="004809F3" w:rsidRDefault="004809F3" w:rsidP="00845B07">
            <w:pPr>
              <w:jc w:val="center"/>
              <w:rPr>
                <w:rFonts w:asciiTheme="minorHAnsi" w:hAnsiTheme="minorHAnsi" w:cstheme="minorHAnsi"/>
                <w:b/>
                <w:sz w:val="20"/>
                <w:szCs w:val="20"/>
              </w:rPr>
            </w:pPr>
            <w:r w:rsidRPr="004809F3">
              <w:rPr>
                <w:rFonts w:asciiTheme="minorHAnsi" w:hAnsiTheme="minorHAnsi" w:cstheme="minorHAnsi"/>
                <w:b/>
                <w:sz w:val="20"/>
                <w:szCs w:val="20"/>
              </w:rPr>
              <w:t>Komentář</w:t>
            </w:r>
          </w:p>
        </w:tc>
      </w:tr>
      <w:tr w:rsidR="00C07D18" w:rsidRPr="004809F3" w:rsidTr="00C07D18">
        <w:trPr>
          <w:gridAfter w:val="72"/>
          <w:wAfter w:w="10324" w:type="dxa"/>
        </w:trPr>
        <w:tc>
          <w:tcPr>
            <w:tcW w:w="3188" w:type="dxa"/>
            <w:gridSpan w:val="30"/>
            <w:tcBorders>
              <w:top w:val="single" w:sz="4" w:space="0" w:color="auto"/>
              <w:left w:val="single" w:sz="4" w:space="0" w:color="auto"/>
              <w:bottom w:val="single" w:sz="4" w:space="0" w:color="auto"/>
              <w:right w:val="single" w:sz="4" w:space="0" w:color="auto"/>
            </w:tcBorders>
          </w:tcPr>
          <w:p w:rsidR="004809F3" w:rsidRPr="004809F3" w:rsidRDefault="004809F3" w:rsidP="00845B07">
            <w:pPr>
              <w:jc w:val="right"/>
              <w:rPr>
                <w:rFonts w:asciiTheme="minorHAnsi" w:hAnsiTheme="minorHAnsi" w:cstheme="minorHAnsi"/>
                <w:b/>
                <w:sz w:val="20"/>
                <w:szCs w:val="20"/>
              </w:rPr>
            </w:pPr>
            <w:r>
              <w:rPr>
                <w:rFonts w:asciiTheme="minorHAnsi" w:hAnsiTheme="minorHAnsi" w:cstheme="minorHAnsi"/>
                <w:b/>
                <w:sz w:val="20"/>
                <w:szCs w:val="20"/>
              </w:rPr>
              <w:t xml:space="preserve">8 </w:t>
            </w:r>
            <w:r w:rsidRPr="004809F3">
              <w:rPr>
                <w:rFonts w:asciiTheme="minorHAnsi" w:hAnsiTheme="minorHAnsi" w:cstheme="minorHAnsi"/>
                <w:b/>
                <w:sz w:val="20"/>
                <w:szCs w:val="20"/>
              </w:rPr>
              <w:t>301,52</w:t>
            </w:r>
          </w:p>
        </w:tc>
        <w:tc>
          <w:tcPr>
            <w:tcW w:w="2968" w:type="dxa"/>
            <w:gridSpan w:val="35"/>
            <w:tcBorders>
              <w:top w:val="single" w:sz="4" w:space="0" w:color="auto"/>
              <w:left w:val="single" w:sz="4" w:space="0" w:color="auto"/>
              <w:bottom w:val="single" w:sz="4" w:space="0" w:color="auto"/>
              <w:right w:val="single" w:sz="4" w:space="0" w:color="auto"/>
            </w:tcBorders>
          </w:tcPr>
          <w:p w:rsidR="004809F3" w:rsidRPr="004809F3" w:rsidRDefault="004809F3" w:rsidP="00845B07">
            <w:pPr>
              <w:jc w:val="right"/>
              <w:rPr>
                <w:rFonts w:asciiTheme="minorHAnsi" w:hAnsiTheme="minorHAnsi" w:cstheme="minorHAnsi"/>
                <w:b/>
                <w:sz w:val="20"/>
                <w:szCs w:val="20"/>
              </w:rPr>
            </w:pPr>
            <w:r>
              <w:rPr>
                <w:rFonts w:asciiTheme="minorHAnsi" w:hAnsiTheme="minorHAnsi" w:cstheme="minorHAnsi"/>
                <w:b/>
                <w:sz w:val="20"/>
                <w:szCs w:val="20"/>
              </w:rPr>
              <w:t xml:space="preserve">7 </w:t>
            </w:r>
            <w:r w:rsidRPr="004809F3">
              <w:rPr>
                <w:rFonts w:asciiTheme="minorHAnsi" w:hAnsiTheme="minorHAnsi" w:cstheme="minorHAnsi"/>
                <w:b/>
                <w:sz w:val="20"/>
                <w:szCs w:val="20"/>
              </w:rPr>
              <w:t>387,68</w:t>
            </w:r>
          </w:p>
        </w:tc>
        <w:tc>
          <w:tcPr>
            <w:tcW w:w="1283" w:type="dxa"/>
            <w:gridSpan w:val="14"/>
            <w:tcBorders>
              <w:top w:val="single" w:sz="4" w:space="0" w:color="auto"/>
              <w:left w:val="single" w:sz="4" w:space="0" w:color="auto"/>
              <w:bottom w:val="single" w:sz="4" w:space="0" w:color="auto"/>
              <w:right w:val="single" w:sz="4" w:space="0" w:color="auto"/>
            </w:tcBorders>
          </w:tcPr>
          <w:p w:rsidR="004809F3" w:rsidRPr="004809F3" w:rsidRDefault="004809F3" w:rsidP="004809F3">
            <w:pPr>
              <w:jc w:val="center"/>
              <w:rPr>
                <w:rFonts w:asciiTheme="minorHAnsi" w:hAnsiTheme="minorHAnsi" w:cstheme="minorHAnsi"/>
                <w:b/>
                <w:sz w:val="20"/>
                <w:szCs w:val="20"/>
              </w:rPr>
            </w:pPr>
            <w:r w:rsidRPr="004809F3">
              <w:rPr>
                <w:rFonts w:asciiTheme="minorHAnsi" w:hAnsiTheme="minorHAnsi" w:cstheme="minorHAnsi"/>
                <w:b/>
                <w:sz w:val="20"/>
                <w:szCs w:val="20"/>
              </w:rPr>
              <w:t>88,99</w:t>
            </w:r>
          </w:p>
        </w:tc>
        <w:tc>
          <w:tcPr>
            <w:tcW w:w="2272" w:type="dxa"/>
            <w:gridSpan w:val="12"/>
            <w:tcBorders>
              <w:top w:val="single" w:sz="4" w:space="0" w:color="auto"/>
              <w:left w:val="single" w:sz="4" w:space="0" w:color="auto"/>
              <w:bottom w:val="single" w:sz="4" w:space="0" w:color="auto"/>
              <w:right w:val="single" w:sz="4" w:space="0" w:color="auto"/>
            </w:tcBorders>
          </w:tcPr>
          <w:p w:rsidR="004809F3" w:rsidRPr="004809F3" w:rsidRDefault="004809F3" w:rsidP="00845B07">
            <w:pPr>
              <w:rPr>
                <w:rFonts w:asciiTheme="minorHAnsi" w:hAnsiTheme="minorHAnsi" w:cstheme="minorHAnsi"/>
                <w:b/>
                <w:sz w:val="20"/>
                <w:szCs w:val="20"/>
              </w:rPr>
            </w:pPr>
            <w:r w:rsidRPr="004809F3">
              <w:rPr>
                <w:rFonts w:asciiTheme="minorHAnsi" w:hAnsiTheme="minorHAnsi" w:cstheme="minorHAnsi"/>
                <w:b/>
                <w:sz w:val="20"/>
                <w:szCs w:val="20"/>
              </w:rPr>
              <w:t>Výdaje před konsolidací</w:t>
            </w:r>
          </w:p>
        </w:tc>
      </w:tr>
      <w:tr w:rsidR="00C07D18" w:rsidRPr="004809F3" w:rsidTr="00C07D18">
        <w:trPr>
          <w:gridAfter w:val="72"/>
          <w:wAfter w:w="10324" w:type="dxa"/>
        </w:trPr>
        <w:tc>
          <w:tcPr>
            <w:tcW w:w="3188" w:type="dxa"/>
            <w:gridSpan w:val="30"/>
            <w:tcBorders>
              <w:top w:val="single" w:sz="4" w:space="0" w:color="auto"/>
              <w:left w:val="single" w:sz="4" w:space="0" w:color="auto"/>
              <w:bottom w:val="single" w:sz="4" w:space="0" w:color="auto"/>
              <w:right w:val="single" w:sz="4" w:space="0" w:color="auto"/>
            </w:tcBorders>
          </w:tcPr>
          <w:p w:rsidR="004809F3" w:rsidRPr="004809F3" w:rsidRDefault="004809F3" w:rsidP="00845B07">
            <w:pPr>
              <w:jc w:val="right"/>
              <w:rPr>
                <w:rFonts w:asciiTheme="minorHAnsi" w:hAnsiTheme="minorHAnsi" w:cstheme="minorHAnsi"/>
                <w:b/>
                <w:sz w:val="20"/>
                <w:szCs w:val="20"/>
              </w:rPr>
            </w:pPr>
            <w:r>
              <w:rPr>
                <w:rFonts w:asciiTheme="minorHAnsi" w:hAnsiTheme="minorHAnsi" w:cstheme="minorHAnsi"/>
                <w:b/>
                <w:sz w:val="20"/>
                <w:szCs w:val="20"/>
              </w:rPr>
              <w:t xml:space="preserve">8 </w:t>
            </w:r>
            <w:r w:rsidRPr="004809F3">
              <w:rPr>
                <w:rFonts w:asciiTheme="minorHAnsi" w:hAnsiTheme="minorHAnsi" w:cstheme="minorHAnsi"/>
                <w:b/>
                <w:sz w:val="20"/>
                <w:szCs w:val="20"/>
              </w:rPr>
              <w:t>301,52</w:t>
            </w:r>
          </w:p>
        </w:tc>
        <w:tc>
          <w:tcPr>
            <w:tcW w:w="2968" w:type="dxa"/>
            <w:gridSpan w:val="35"/>
            <w:tcBorders>
              <w:top w:val="single" w:sz="4" w:space="0" w:color="auto"/>
              <w:left w:val="single" w:sz="4" w:space="0" w:color="auto"/>
              <w:bottom w:val="single" w:sz="4" w:space="0" w:color="auto"/>
              <w:right w:val="single" w:sz="4" w:space="0" w:color="auto"/>
            </w:tcBorders>
          </w:tcPr>
          <w:p w:rsidR="004809F3" w:rsidRPr="004809F3" w:rsidRDefault="004809F3" w:rsidP="00845B07">
            <w:pPr>
              <w:jc w:val="right"/>
              <w:rPr>
                <w:rFonts w:asciiTheme="minorHAnsi" w:hAnsiTheme="minorHAnsi" w:cstheme="minorHAnsi"/>
                <w:b/>
                <w:sz w:val="20"/>
                <w:szCs w:val="20"/>
              </w:rPr>
            </w:pPr>
            <w:r>
              <w:rPr>
                <w:rFonts w:asciiTheme="minorHAnsi" w:hAnsiTheme="minorHAnsi" w:cstheme="minorHAnsi"/>
                <w:b/>
                <w:sz w:val="20"/>
                <w:szCs w:val="20"/>
              </w:rPr>
              <w:t xml:space="preserve">7 </w:t>
            </w:r>
            <w:r w:rsidRPr="004809F3">
              <w:rPr>
                <w:rFonts w:asciiTheme="minorHAnsi" w:hAnsiTheme="minorHAnsi" w:cstheme="minorHAnsi"/>
                <w:b/>
                <w:sz w:val="20"/>
                <w:szCs w:val="20"/>
              </w:rPr>
              <w:t>387,68</w:t>
            </w:r>
          </w:p>
        </w:tc>
        <w:tc>
          <w:tcPr>
            <w:tcW w:w="1283" w:type="dxa"/>
            <w:gridSpan w:val="14"/>
            <w:tcBorders>
              <w:top w:val="single" w:sz="4" w:space="0" w:color="auto"/>
              <w:left w:val="single" w:sz="4" w:space="0" w:color="auto"/>
              <w:bottom w:val="single" w:sz="4" w:space="0" w:color="auto"/>
              <w:right w:val="single" w:sz="4" w:space="0" w:color="auto"/>
            </w:tcBorders>
          </w:tcPr>
          <w:p w:rsidR="004809F3" w:rsidRPr="004809F3" w:rsidRDefault="004809F3" w:rsidP="004809F3">
            <w:pPr>
              <w:jc w:val="center"/>
              <w:rPr>
                <w:rFonts w:asciiTheme="minorHAnsi" w:hAnsiTheme="minorHAnsi" w:cstheme="minorHAnsi"/>
                <w:b/>
                <w:sz w:val="20"/>
                <w:szCs w:val="20"/>
              </w:rPr>
            </w:pPr>
            <w:r w:rsidRPr="004809F3">
              <w:rPr>
                <w:rFonts w:asciiTheme="minorHAnsi" w:hAnsiTheme="minorHAnsi" w:cstheme="minorHAnsi"/>
                <w:b/>
                <w:sz w:val="20"/>
                <w:szCs w:val="20"/>
              </w:rPr>
              <w:t>88,99</w:t>
            </w:r>
          </w:p>
        </w:tc>
        <w:tc>
          <w:tcPr>
            <w:tcW w:w="2272" w:type="dxa"/>
            <w:gridSpan w:val="12"/>
            <w:tcBorders>
              <w:top w:val="single" w:sz="4" w:space="0" w:color="auto"/>
              <w:left w:val="single" w:sz="4" w:space="0" w:color="auto"/>
              <w:bottom w:val="single" w:sz="4" w:space="0" w:color="auto"/>
              <w:right w:val="single" w:sz="4" w:space="0" w:color="auto"/>
            </w:tcBorders>
          </w:tcPr>
          <w:p w:rsidR="004809F3" w:rsidRPr="004809F3" w:rsidRDefault="004809F3" w:rsidP="00845B07">
            <w:pPr>
              <w:rPr>
                <w:rFonts w:asciiTheme="minorHAnsi" w:hAnsiTheme="minorHAnsi" w:cstheme="minorHAnsi"/>
                <w:b/>
                <w:sz w:val="20"/>
                <w:szCs w:val="20"/>
              </w:rPr>
            </w:pPr>
            <w:r w:rsidRPr="004809F3">
              <w:rPr>
                <w:rFonts w:asciiTheme="minorHAnsi" w:hAnsiTheme="minorHAnsi" w:cstheme="minorHAnsi"/>
                <w:b/>
                <w:sz w:val="20"/>
                <w:szCs w:val="20"/>
              </w:rPr>
              <w:t>Výdaje po konsolidaci</w:t>
            </w:r>
          </w:p>
        </w:tc>
      </w:tr>
      <w:tr w:rsidR="00C07D18" w:rsidRPr="004809F3" w:rsidTr="00C07D18">
        <w:trPr>
          <w:gridAfter w:val="19"/>
          <w:wAfter w:w="6197" w:type="dxa"/>
        </w:trPr>
        <w:tc>
          <w:tcPr>
            <w:tcW w:w="381" w:type="dxa"/>
            <w:gridSpan w:val="4"/>
          </w:tcPr>
          <w:p w:rsidR="004809F3" w:rsidRPr="004809F3" w:rsidRDefault="004809F3" w:rsidP="00845B07">
            <w:pPr>
              <w:rPr>
                <w:rFonts w:asciiTheme="minorHAnsi" w:hAnsiTheme="minorHAnsi" w:cstheme="minorHAnsi"/>
                <w:b/>
                <w:sz w:val="20"/>
                <w:szCs w:val="20"/>
              </w:rPr>
            </w:pPr>
          </w:p>
        </w:tc>
        <w:tc>
          <w:tcPr>
            <w:tcW w:w="346" w:type="dxa"/>
            <w:gridSpan w:val="2"/>
          </w:tcPr>
          <w:p w:rsidR="004809F3" w:rsidRPr="004809F3" w:rsidRDefault="004809F3" w:rsidP="00845B07">
            <w:pPr>
              <w:rPr>
                <w:rFonts w:asciiTheme="minorHAnsi" w:hAnsiTheme="minorHAnsi" w:cstheme="minorHAnsi"/>
                <w:b/>
                <w:sz w:val="20"/>
                <w:szCs w:val="20"/>
              </w:rPr>
            </w:pPr>
          </w:p>
        </w:tc>
        <w:tc>
          <w:tcPr>
            <w:tcW w:w="2603" w:type="dxa"/>
            <w:gridSpan w:val="26"/>
          </w:tcPr>
          <w:p w:rsidR="004809F3" w:rsidRPr="004809F3" w:rsidRDefault="004809F3" w:rsidP="00845B07">
            <w:pPr>
              <w:rPr>
                <w:rFonts w:asciiTheme="minorHAnsi" w:hAnsiTheme="minorHAnsi" w:cstheme="minorHAnsi"/>
                <w:b/>
                <w:sz w:val="20"/>
                <w:szCs w:val="20"/>
              </w:rPr>
            </w:pPr>
          </w:p>
        </w:tc>
        <w:tc>
          <w:tcPr>
            <w:tcW w:w="160" w:type="dxa"/>
            <w:gridSpan w:val="4"/>
          </w:tcPr>
          <w:p w:rsidR="004809F3" w:rsidRPr="004809F3" w:rsidRDefault="004809F3" w:rsidP="00845B07">
            <w:pPr>
              <w:rPr>
                <w:rFonts w:asciiTheme="minorHAnsi" w:hAnsiTheme="minorHAnsi" w:cstheme="minorHAnsi"/>
                <w:b/>
                <w:sz w:val="20"/>
                <w:szCs w:val="20"/>
              </w:rPr>
            </w:pPr>
          </w:p>
        </w:tc>
        <w:tc>
          <w:tcPr>
            <w:tcW w:w="160" w:type="dxa"/>
            <w:gridSpan w:val="4"/>
          </w:tcPr>
          <w:p w:rsidR="004809F3" w:rsidRPr="004809F3" w:rsidRDefault="004809F3" w:rsidP="00845B07">
            <w:pPr>
              <w:rPr>
                <w:rFonts w:asciiTheme="minorHAnsi" w:hAnsiTheme="minorHAnsi" w:cstheme="minorHAnsi"/>
                <w:b/>
                <w:sz w:val="20"/>
                <w:szCs w:val="20"/>
              </w:rPr>
            </w:pPr>
          </w:p>
        </w:tc>
        <w:tc>
          <w:tcPr>
            <w:tcW w:w="489" w:type="dxa"/>
            <w:gridSpan w:val="7"/>
          </w:tcPr>
          <w:p w:rsidR="004809F3" w:rsidRPr="004809F3" w:rsidRDefault="004809F3" w:rsidP="00845B07">
            <w:pPr>
              <w:rPr>
                <w:rFonts w:asciiTheme="minorHAnsi" w:hAnsiTheme="minorHAnsi" w:cstheme="minorHAnsi"/>
                <w:b/>
                <w:sz w:val="20"/>
                <w:szCs w:val="20"/>
              </w:rPr>
            </w:pPr>
          </w:p>
        </w:tc>
        <w:tc>
          <w:tcPr>
            <w:tcW w:w="1036" w:type="dxa"/>
            <w:gridSpan w:val="11"/>
          </w:tcPr>
          <w:p w:rsidR="004809F3" w:rsidRPr="004809F3" w:rsidRDefault="004809F3" w:rsidP="00845B07">
            <w:pPr>
              <w:rPr>
                <w:rFonts w:asciiTheme="minorHAnsi" w:hAnsiTheme="minorHAnsi" w:cstheme="minorHAnsi"/>
                <w:b/>
                <w:sz w:val="20"/>
                <w:szCs w:val="20"/>
              </w:rPr>
            </w:pPr>
          </w:p>
        </w:tc>
        <w:tc>
          <w:tcPr>
            <w:tcW w:w="1457" w:type="dxa"/>
            <w:gridSpan w:val="11"/>
          </w:tcPr>
          <w:p w:rsidR="004809F3" w:rsidRPr="004809F3" w:rsidRDefault="004809F3" w:rsidP="00845B07">
            <w:pPr>
              <w:rPr>
                <w:rFonts w:asciiTheme="minorHAnsi" w:hAnsiTheme="minorHAnsi" w:cstheme="minorHAnsi"/>
                <w:b/>
                <w:sz w:val="20"/>
                <w:szCs w:val="20"/>
              </w:rPr>
            </w:pPr>
          </w:p>
        </w:tc>
        <w:tc>
          <w:tcPr>
            <w:tcW w:w="505" w:type="dxa"/>
            <w:gridSpan w:val="5"/>
          </w:tcPr>
          <w:p w:rsidR="004809F3" w:rsidRPr="004809F3" w:rsidRDefault="004809F3" w:rsidP="00845B07">
            <w:pPr>
              <w:rPr>
                <w:rFonts w:asciiTheme="minorHAnsi" w:hAnsiTheme="minorHAnsi" w:cstheme="minorHAnsi"/>
                <w:b/>
                <w:sz w:val="20"/>
                <w:szCs w:val="20"/>
              </w:rPr>
            </w:pPr>
          </w:p>
        </w:tc>
        <w:tc>
          <w:tcPr>
            <w:tcW w:w="501" w:type="dxa"/>
            <w:gridSpan w:val="9"/>
          </w:tcPr>
          <w:p w:rsidR="004809F3" w:rsidRPr="004809F3" w:rsidRDefault="004809F3" w:rsidP="00845B07">
            <w:pPr>
              <w:rPr>
                <w:rFonts w:asciiTheme="minorHAnsi" w:hAnsiTheme="minorHAnsi" w:cstheme="minorHAnsi"/>
                <w:b/>
                <w:sz w:val="20"/>
                <w:szCs w:val="20"/>
              </w:rPr>
            </w:pPr>
          </w:p>
        </w:tc>
        <w:tc>
          <w:tcPr>
            <w:tcW w:w="501" w:type="dxa"/>
            <w:gridSpan w:val="3"/>
          </w:tcPr>
          <w:p w:rsidR="004809F3" w:rsidRPr="004809F3" w:rsidRDefault="004809F3" w:rsidP="00845B07">
            <w:pPr>
              <w:rPr>
                <w:rFonts w:asciiTheme="minorHAnsi" w:hAnsiTheme="minorHAnsi" w:cstheme="minorHAnsi"/>
                <w:b/>
                <w:sz w:val="20"/>
                <w:szCs w:val="20"/>
              </w:rPr>
            </w:pPr>
          </w:p>
        </w:tc>
        <w:tc>
          <w:tcPr>
            <w:tcW w:w="3033" w:type="dxa"/>
            <w:gridSpan w:val="24"/>
          </w:tcPr>
          <w:p w:rsidR="004809F3" w:rsidRPr="004809F3" w:rsidRDefault="004809F3" w:rsidP="00845B07">
            <w:pPr>
              <w:rPr>
                <w:rFonts w:asciiTheme="minorHAnsi" w:hAnsiTheme="minorHAnsi" w:cstheme="minorHAnsi"/>
                <w:b/>
                <w:sz w:val="20"/>
                <w:szCs w:val="20"/>
              </w:rPr>
            </w:pPr>
          </w:p>
        </w:tc>
        <w:tc>
          <w:tcPr>
            <w:tcW w:w="160" w:type="dxa"/>
            <w:gridSpan w:val="4"/>
          </w:tcPr>
          <w:p w:rsidR="004809F3" w:rsidRPr="004809F3" w:rsidRDefault="004809F3" w:rsidP="00845B07">
            <w:pPr>
              <w:rPr>
                <w:rFonts w:asciiTheme="minorHAnsi" w:hAnsiTheme="minorHAnsi" w:cstheme="minorHAnsi"/>
                <w:b/>
                <w:sz w:val="20"/>
                <w:szCs w:val="20"/>
              </w:rPr>
            </w:pPr>
          </w:p>
        </w:tc>
        <w:tc>
          <w:tcPr>
            <w:tcW w:w="161" w:type="dxa"/>
            <w:gridSpan w:val="2"/>
          </w:tcPr>
          <w:p w:rsidR="004809F3" w:rsidRPr="004809F3" w:rsidRDefault="004809F3" w:rsidP="00845B07">
            <w:pPr>
              <w:rPr>
                <w:rFonts w:asciiTheme="minorHAnsi" w:hAnsiTheme="minorHAnsi" w:cstheme="minorHAnsi"/>
                <w:b/>
                <w:sz w:val="20"/>
                <w:szCs w:val="20"/>
              </w:rPr>
            </w:pPr>
          </w:p>
        </w:tc>
        <w:tc>
          <w:tcPr>
            <w:tcW w:w="164" w:type="dxa"/>
            <w:gridSpan w:val="2"/>
          </w:tcPr>
          <w:p w:rsidR="004809F3" w:rsidRPr="004809F3" w:rsidRDefault="004809F3" w:rsidP="00845B07">
            <w:pPr>
              <w:rPr>
                <w:rFonts w:asciiTheme="minorHAnsi" w:hAnsiTheme="minorHAnsi" w:cstheme="minorHAnsi"/>
                <w:b/>
                <w:sz w:val="20"/>
                <w:szCs w:val="20"/>
              </w:rPr>
            </w:pPr>
          </w:p>
        </w:tc>
        <w:tc>
          <w:tcPr>
            <w:tcW w:w="508" w:type="dxa"/>
            <w:gridSpan w:val="8"/>
          </w:tcPr>
          <w:p w:rsidR="004809F3" w:rsidRPr="004809F3" w:rsidRDefault="004809F3" w:rsidP="00845B07">
            <w:pPr>
              <w:rPr>
                <w:rFonts w:asciiTheme="minorHAnsi" w:hAnsiTheme="minorHAnsi" w:cstheme="minorHAnsi"/>
                <w:b/>
                <w:sz w:val="20"/>
                <w:szCs w:val="20"/>
              </w:rPr>
            </w:pPr>
          </w:p>
        </w:tc>
        <w:tc>
          <w:tcPr>
            <w:tcW w:w="160" w:type="dxa"/>
            <w:gridSpan w:val="3"/>
          </w:tcPr>
          <w:p w:rsidR="004809F3" w:rsidRPr="004809F3" w:rsidRDefault="004809F3" w:rsidP="00845B07">
            <w:pPr>
              <w:rPr>
                <w:rFonts w:asciiTheme="minorHAnsi" w:hAnsiTheme="minorHAnsi" w:cstheme="minorHAnsi"/>
                <w:b/>
                <w:sz w:val="20"/>
                <w:szCs w:val="20"/>
              </w:rPr>
            </w:pPr>
          </w:p>
        </w:tc>
        <w:tc>
          <w:tcPr>
            <w:tcW w:w="501" w:type="dxa"/>
            <w:gridSpan w:val="5"/>
          </w:tcPr>
          <w:p w:rsidR="004809F3" w:rsidRPr="004809F3" w:rsidRDefault="004809F3" w:rsidP="00845B07">
            <w:pPr>
              <w:rPr>
                <w:rFonts w:asciiTheme="minorHAnsi" w:hAnsiTheme="minorHAnsi" w:cstheme="minorHAnsi"/>
                <w:b/>
                <w:sz w:val="20"/>
                <w:szCs w:val="20"/>
              </w:rPr>
            </w:pPr>
          </w:p>
        </w:tc>
        <w:tc>
          <w:tcPr>
            <w:tcW w:w="503" w:type="dxa"/>
            <w:gridSpan w:val="6"/>
          </w:tcPr>
          <w:p w:rsidR="004809F3" w:rsidRPr="004809F3" w:rsidRDefault="004809F3" w:rsidP="00845B07">
            <w:pPr>
              <w:rPr>
                <w:rFonts w:asciiTheme="minorHAnsi" w:hAnsiTheme="minorHAnsi" w:cstheme="minorHAnsi"/>
                <w:b/>
                <w:sz w:val="20"/>
                <w:szCs w:val="20"/>
              </w:rPr>
            </w:pPr>
          </w:p>
        </w:tc>
        <w:tc>
          <w:tcPr>
            <w:tcW w:w="509" w:type="dxa"/>
            <w:gridSpan w:val="4"/>
          </w:tcPr>
          <w:p w:rsidR="004809F3" w:rsidRPr="004809F3" w:rsidRDefault="004809F3" w:rsidP="00845B07">
            <w:pPr>
              <w:rPr>
                <w:rFonts w:asciiTheme="minorHAnsi" w:hAnsiTheme="minorHAnsi" w:cstheme="minorHAnsi"/>
                <w:b/>
                <w:sz w:val="20"/>
                <w:szCs w:val="20"/>
              </w:rPr>
            </w:pPr>
          </w:p>
        </w:tc>
      </w:tr>
      <w:tr w:rsidR="004809F3" w:rsidRPr="004809F3" w:rsidTr="00C07D18">
        <w:trPr>
          <w:gridAfter w:val="72"/>
          <w:wAfter w:w="10324" w:type="dxa"/>
        </w:trPr>
        <w:tc>
          <w:tcPr>
            <w:tcW w:w="9711" w:type="dxa"/>
            <w:gridSpan w:val="91"/>
          </w:tcPr>
          <w:p w:rsidR="004809F3" w:rsidRPr="004809F3" w:rsidRDefault="004809F3" w:rsidP="00845B07">
            <w:pPr>
              <w:rPr>
                <w:rFonts w:asciiTheme="minorHAnsi" w:hAnsiTheme="minorHAnsi" w:cstheme="minorHAnsi"/>
                <w:b/>
                <w:sz w:val="20"/>
                <w:szCs w:val="20"/>
              </w:rPr>
            </w:pPr>
            <w:r w:rsidRPr="004809F3">
              <w:rPr>
                <w:rFonts w:asciiTheme="minorHAnsi" w:hAnsiTheme="minorHAnsi" w:cstheme="minorHAnsi"/>
                <w:b/>
                <w:sz w:val="20"/>
                <w:szCs w:val="20"/>
              </w:rPr>
              <w:t>Stručný komentář k celkovému vývoji čerpání výdajů kapitoly ve sledovaném období</w:t>
            </w:r>
          </w:p>
        </w:tc>
      </w:tr>
      <w:tr w:rsidR="00C07D18" w:rsidRPr="004809F3" w:rsidTr="00C07D18">
        <w:trPr>
          <w:gridAfter w:val="8"/>
          <w:wAfter w:w="2164" w:type="dxa"/>
        </w:trPr>
        <w:tc>
          <w:tcPr>
            <w:tcW w:w="384" w:type="dxa"/>
            <w:gridSpan w:val="5"/>
          </w:tcPr>
          <w:p w:rsidR="004809F3" w:rsidRPr="004809F3" w:rsidRDefault="004809F3" w:rsidP="00845B07">
            <w:pPr>
              <w:rPr>
                <w:rFonts w:asciiTheme="minorHAnsi" w:hAnsiTheme="minorHAnsi" w:cstheme="minorHAnsi"/>
                <w:b/>
                <w:sz w:val="20"/>
                <w:szCs w:val="20"/>
              </w:rPr>
            </w:pPr>
          </w:p>
        </w:tc>
        <w:tc>
          <w:tcPr>
            <w:tcW w:w="346" w:type="dxa"/>
            <w:gridSpan w:val="2"/>
          </w:tcPr>
          <w:p w:rsidR="004809F3" w:rsidRPr="004809F3" w:rsidRDefault="004809F3" w:rsidP="00845B07">
            <w:pPr>
              <w:rPr>
                <w:rFonts w:asciiTheme="minorHAnsi" w:hAnsiTheme="minorHAnsi" w:cstheme="minorHAnsi"/>
                <w:b/>
                <w:sz w:val="20"/>
                <w:szCs w:val="20"/>
              </w:rPr>
            </w:pPr>
          </w:p>
        </w:tc>
        <w:tc>
          <w:tcPr>
            <w:tcW w:w="2603" w:type="dxa"/>
            <w:gridSpan w:val="26"/>
          </w:tcPr>
          <w:p w:rsidR="004809F3" w:rsidRPr="004809F3" w:rsidRDefault="004809F3" w:rsidP="00845B07">
            <w:pPr>
              <w:rPr>
                <w:rFonts w:asciiTheme="minorHAnsi" w:hAnsiTheme="minorHAnsi" w:cstheme="minorHAnsi"/>
                <w:b/>
                <w:sz w:val="20"/>
                <w:szCs w:val="20"/>
              </w:rPr>
            </w:pPr>
          </w:p>
        </w:tc>
        <w:tc>
          <w:tcPr>
            <w:tcW w:w="160" w:type="dxa"/>
            <w:gridSpan w:val="4"/>
          </w:tcPr>
          <w:p w:rsidR="004809F3" w:rsidRPr="004809F3" w:rsidRDefault="004809F3" w:rsidP="00845B07">
            <w:pPr>
              <w:rPr>
                <w:rFonts w:asciiTheme="minorHAnsi" w:hAnsiTheme="minorHAnsi" w:cstheme="minorHAnsi"/>
                <w:b/>
                <w:sz w:val="20"/>
                <w:szCs w:val="20"/>
              </w:rPr>
            </w:pPr>
          </w:p>
        </w:tc>
        <w:tc>
          <w:tcPr>
            <w:tcW w:w="584" w:type="dxa"/>
            <w:gridSpan w:val="9"/>
          </w:tcPr>
          <w:p w:rsidR="004809F3" w:rsidRPr="004809F3" w:rsidRDefault="004809F3" w:rsidP="00845B07">
            <w:pPr>
              <w:rPr>
                <w:rFonts w:asciiTheme="minorHAnsi" w:hAnsiTheme="minorHAnsi" w:cstheme="minorHAnsi"/>
                <w:b/>
                <w:sz w:val="20"/>
                <w:szCs w:val="20"/>
              </w:rPr>
            </w:pPr>
          </w:p>
        </w:tc>
        <w:tc>
          <w:tcPr>
            <w:tcW w:w="160" w:type="dxa"/>
            <w:gridSpan w:val="5"/>
          </w:tcPr>
          <w:p w:rsidR="004809F3" w:rsidRPr="004809F3" w:rsidRDefault="004809F3" w:rsidP="00845B07">
            <w:pPr>
              <w:rPr>
                <w:rFonts w:asciiTheme="minorHAnsi" w:hAnsiTheme="minorHAnsi" w:cstheme="minorHAnsi"/>
                <w:b/>
                <w:sz w:val="20"/>
                <w:szCs w:val="20"/>
              </w:rPr>
            </w:pPr>
          </w:p>
        </w:tc>
        <w:tc>
          <w:tcPr>
            <w:tcW w:w="473" w:type="dxa"/>
            <w:gridSpan w:val="3"/>
          </w:tcPr>
          <w:p w:rsidR="004809F3" w:rsidRPr="004809F3" w:rsidRDefault="004809F3" w:rsidP="00845B07">
            <w:pPr>
              <w:rPr>
                <w:rFonts w:asciiTheme="minorHAnsi" w:hAnsiTheme="minorHAnsi" w:cstheme="minorHAnsi"/>
                <w:b/>
                <w:sz w:val="20"/>
                <w:szCs w:val="20"/>
              </w:rPr>
            </w:pPr>
          </w:p>
        </w:tc>
        <w:tc>
          <w:tcPr>
            <w:tcW w:w="1984" w:type="dxa"/>
            <w:gridSpan w:val="17"/>
          </w:tcPr>
          <w:p w:rsidR="004809F3" w:rsidRPr="004809F3" w:rsidRDefault="004809F3" w:rsidP="00845B07">
            <w:pPr>
              <w:rPr>
                <w:rFonts w:asciiTheme="minorHAnsi" w:hAnsiTheme="minorHAnsi" w:cstheme="minorHAnsi"/>
                <w:b/>
                <w:sz w:val="20"/>
                <w:szCs w:val="20"/>
              </w:rPr>
            </w:pPr>
          </w:p>
        </w:tc>
        <w:tc>
          <w:tcPr>
            <w:tcW w:w="501" w:type="dxa"/>
            <w:gridSpan w:val="6"/>
          </w:tcPr>
          <w:p w:rsidR="004809F3" w:rsidRPr="004809F3" w:rsidRDefault="004809F3" w:rsidP="00845B07">
            <w:pPr>
              <w:rPr>
                <w:rFonts w:asciiTheme="minorHAnsi" w:hAnsiTheme="minorHAnsi" w:cstheme="minorHAnsi"/>
                <w:b/>
                <w:sz w:val="20"/>
                <w:szCs w:val="20"/>
              </w:rPr>
            </w:pPr>
          </w:p>
        </w:tc>
        <w:tc>
          <w:tcPr>
            <w:tcW w:w="501" w:type="dxa"/>
            <w:gridSpan w:val="7"/>
          </w:tcPr>
          <w:p w:rsidR="004809F3" w:rsidRPr="004809F3" w:rsidRDefault="004809F3" w:rsidP="00845B07">
            <w:pPr>
              <w:rPr>
                <w:rFonts w:asciiTheme="minorHAnsi" w:hAnsiTheme="minorHAnsi" w:cstheme="minorHAnsi"/>
                <w:b/>
                <w:sz w:val="20"/>
                <w:szCs w:val="20"/>
              </w:rPr>
            </w:pPr>
          </w:p>
        </w:tc>
        <w:tc>
          <w:tcPr>
            <w:tcW w:w="501" w:type="dxa"/>
            <w:gridSpan w:val="3"/>
          </w:tcPr>
          <w:p w:rsidR="004809F3" w:rsidRPr="004809F3" w:rsidRDefault="004809F3" w:rsidP="00845B07">
            <w:pPr>
              <w:rPr>
                <w:rFonts w:asciiTheme="minorHAnsi" w:hAnsiTheme="minorHAnsi" w:cstheme="minorHAnsi"/>
                <w:b/>
                <w:sz w:val="20"/>
                <w:szCs w:val="20"/>
              </w:rPr>
            </w:pPr>
          </w:p>
        </w:tc>
        <w:tc>
          <w:tcPr>
            <w:tcW w:w="3709" w:type="dxa"/>
            <w:gridSpan w:val="35"/>
          </w:tcPr>
          <w:p w:rsidR="004809F3" w:rsidRPr="004809F3" w:rsidRDefault="004809F3" w:rsidP="00845B07">
            <w:pPr>
              <w:rPr>
                <w:rFonts w:asciiTheme="minorHAnsi" w:hAnsiTheme="minorHAnsi" w:cstheme="minorHAnsi"/>
                <w:b/>
                <w:sz w:val="20"/>
                <w:szCs w:val="20"/>
              </w:rPr>
            </w:pPr>
          </w:p>
        </w:tc>
        <w:tc>
          <w:tcPr>
            <w:tcW w:w="160" w:type="dxa"/>
            <w:gridSpan w:val="3"/>
          </w:tcPr>
          <w:p w:rsidR="004809F3" w:rsidRPr="004809F3" w:rsidRDefault="004809F3" w:rsidP="00845B07">
            <w:pPr>
              <w:rPr>
                <w:rFonts w:asciiTheme="minorHAnsi" w:hAnsiTheme="minorHAnsi" w:cstheme="minorHAnsi"/>
                <w:b/>
                <w:sz w:val="20"/>
                <w:szCs w:val="20"/>
              </w:rPr>
            </w:pPr>
          </w:p>
        </w:tc>
        <w:tc>
          <w:tcPr>
            <w:tcW w:w="160" w:type="dxa"/>
            <w:gridSpan w:val="3"/>
          </w:tcPr>
          <w:p w:rsidR="004809F3" w:rsidRPr="004809F3" w:rsidRDefault="004809F3" w:rsidP="00845B07">
            <w:pPr>
              <w:rPr>
                <w:rFonts w:asciiTheme="minorHAnsi" w:hAnsiTheme="minorHAnsi" w:cstheme="minorHAnsi"/>
                <w:b/>
                <w:sz w:val="20"/>
                <w:szCs w:val="20"/>
              </w:rPr>
            </w:pPr>
          </w:p>
        </w:tc>
        <w:tc>
          <w:tcPr>
            <w:tcW w:w="160" w:type="dxa"/>
            <w:gridSpan w:val="3"/>
          </w:tcPr>
          <w:p w:rsidR="004809F3" w:rsidRPr="004809F3" w:rsidRDefault="004809F3" w:rsidP="00845B07">
            <w:pPr>
              <w:rPr>
                <w:rFonts w:asciiTheme="minorHAnsi" w:hAnsiTheme="minorHAnsi" w:cstheme="minorHAnsi"/>
                <w:b/>
                <w:sz w:val="20"/>
                <w:szCs w:val="20"/>
              </w:rPr>
            </w:pPr>
          </w:p>
        </w:tc>
        <w:tc>
          <w:tcPr>
            <w:tcW w:w="502" w:type="dxa"/>
            <w:gridSpan w:val="4"/>
          </w:tcPr>
          <w:p w:rsidR="004809F3" w:rsidRPr="004809F3" w:rsidRDefault="004809F3" w:rsidP="00845B07">
            <w:pPr>
              <w:rPr>
                <w:rFonts w:asciiTheme="minorHAnsi" w:hAnsiTheme="minorHAnsi" w:cstheme="minorHAnsi"/>
                <w:b/>
                <w:sz w:val="20"/>
                <w:szCs w:val="20"/>
              </w:rPr>
            </w:pPr>
          </w:p>
        </w:tc>
        <w:tc>
          <w:tcPr>
            <w:tcW w:w="160" w:type="dxa"/>
            <w:gridSpan w:val="2"/>
          </w:tcPr>
          <w:p w:rsidR="004809F3" w:rsidRPr="004809F3" w:rsidRDefault="004809F3" w:rsidP="00845B07">
            <w:pPr>
              <w:rPr>
                <w:rFonts w:asciiTheme="minorHAnsi" w:hAnsiTheme="minorHAnsi" w:cstheme="minorHAnsi"/>
                <w:b/>
                <w:sz w:val="20"/>
                <w:szCs w:val="20"/>
              </w:rPr>
            </w:pPr>
          </w:p>
        </w:tc>
        <w:tc>
          <w:tcPr>
            <w:tcW w:w="502" w:type="dxa"/>
            <w:gridSpan w:val="6"/>
          </w:tcPr>
          <w:p w:rsidR="004809F3" w:rsidRPr="004809F3" w:rsidRDefault="004809F3" w:rsidP="00845B07">
            <w:pPr>
              <w:rPr>
                <w:rFonts w:asciiTheme="minorHAnsi" w:hAnsiTheme="minorHAnsi" w:cstheme="minorHAnsi"/>
                <w:b/>
                <w:sz w:val="20"/>
                <w:szCs w:val="20"/>
              </w:rPr>
            </w:pPr>
          </w:p>
        </w:tc>
        <w:tc>
          <w:tcPr>
            <w:tcW w:w="501" w:type="dxa"/>
            <w:gridSpan w:val="2"/>
          </w:tcPr>
          <w:p w:rsidR="004809F3" w:rsidRPr="004809F3" w:rsidRDefault="004809F3" w:rsidP="00845B07">
            <w:pPr>
              <w:rPr>
                <w:rFonts w:asciiTheme="minorHAnsi" w:hAnsiTheme="minorHAnsi" w:cstheme="minorHAnsi"/>
                <w:b/>
                <w:sz w:val="20"/>
                <w:szCs w:val="20"/>
              </w:rPr>
            </w:pPr>
          </w:p>
        </w:tc>
        <w:tc>
          <w:tcPr>
            <w:tcW w:w="3820" w:type="dxa"/>
            <w:gridSpan w:val="10"/>
          </w:tcPr>
          <w:p w:rsidR="004809F3" w:rsidRPr="004809F3" w:rsidRDefault="004809F3" w:rsidP="00845B07">
            <w:pPr>
              <w:rPr>
                <w:rFonts w:asciiTheme="minorHAnsi" w:hAnsiTheme="minorHAnsi" w:cstheme="minorHAnsi"/>
                <w:b/>
                <w:sz w:val="20"/>
                <w:szCs w:val="20"/>
              </w:rPr>
            </w:pPr>
          </w:p>
        </w:tc>
      </w:tr>
      <w:tr w:rsidR="004809F3" w:rsidRPr="004809F3" w:rsidTr="00C07D18">
        <w:trPr>
          <w:gridAfter w:val="71"/>
          <w:wAfter w:w="10316" w:type="dxa"/>
        </w:trPr>
        <w:tc>
          <w:tcPr>
            <w:tcW w:w="9719" w:type="dxa"/>
            <w:gridSpan w:val="92"/>
            <w:tcBorders>
              <w:top w:val="single" w:sz="6" w:space="0" w:color="auto"/>
              <w:left w:val="single" w:sz="6" w:space="0" w:color="auto"/>
              <w:bottom w:val="single" w:sz="6" w:space="0" w:color="auto"/>
              <w:right w:val="single" w:sz="6" w:space="0" w:color="auto"/>
            </w:tcBorders>
          </w:tcPr>
          <w:p w:rsidR="004809F3" w:rsidRPr="004809F3" w:rsidRDefault="004809F3" w:rsidP="00845B07">
            <w:pPr>
              <w:jc w:val="both"/>
              <w:rPr>
                <w:rFonts w:asciiTheme="minorHAnsi" w:hAnsiTheme="minorHAnsi" w:cstheme="minorHAnsi"/>
                <w:sz w:val="20"/>
                <w:szCs w:val="20"/>
              </w:rPr>
            </w:pPr>
            <w:r w:rsidRPr="004809F3">
              <w:rPr>
                <w:rFonts w:asciiTheme="minorHAnsi" w:hAnsiTheme="minorHAnsi" w:cstheme="minorHAnsi"/>
                <w:sz w:val="20"/>
                <w:szCs w:val="20"/>
              </w:rPr>
              <w:t>Ve výdajové části rozpočtu sociálního fondu byly finanční prostředky čerpány ve sledovaném období roku 2022 v souladu se schváleným rozpočtem na cca 89 %.</w:t>
            </w:r>
          </w:p>
        </w:tc>
      </w:tr>
      <w:tr w:rsidR="00C07D18" w:rsidRPr="004809F3" w:rsidTr="00C07D18">
        <w:trPr>
          <w:gridAfter w:val="8"/>
          <w:wAfter w:w="2164" w:type="dxa"/>
        </w:trPr>
        <w:tc>
          <w:tcPr>
            <w:tcW w:w="384" w:type="dxa"/>
            <w:gridSpan w:val="5"/>
          </w:tcPr>
          <w:p w:rsidR="004809F3" w:rsidRPr="004809F3" w:rsidRDefault="004809F3" w:rsidP="00845B07">
            <w:pPr>
              <w:rPr>
                <w:rFonts w:asciiTheme="minorHAnsi" w:hAnsiTheme="minorHAnsi" w:cstheme="minorHAnsi"/>
                <w:b/>
                <w:sz w:val="20"/>
                <w:szCs w:val="20"/>
              </w:rPr>
            </w:pPr>
          </w:p>
        </w:tc>
        <w:tc>
          <w:tcPr>
            <w:tcW w:w="346" w:type="dxa"/>
            <w:gridSpan w:val="2"/>
          </w:tcPr>
          <w:p w:rsidR="004809F3" w:rsidRPr="004809F3" w:rsidRDefault="004809F3" w:rsidP="00845B07">
            <w:pPr>
              <w:rPr>
                <w:rFonts w:asciiTheme="minorHAnsi" w:hAnsiTheme="minorHAnsi" w:cstheme="minorHAnsi"/>
                <w:b/>
                <w:sz w:val="20"/>
                <w:szCs w:val="20"/>
              </w:rPr>
            </w:pPr>
          </w:p>
        </w:tc>
        <w:tc>
          <w:tcPr>
            <w:tcW w:w="2603" w:type="dxa"/>
            <w:gridSpan w:val="26"/>
          </w:tcPr>
          <w:p w:rsidR="004809F3" w:rsidRPr="004809F3" w:rsidRDefault="004809F3" w:rsidP="00845B07">
            <w:pPr>
              <w:rPr>
                <w:rFonts w:asciiTheme="minorHAnsi" w:hAnsiTheme="minorHAnsi" w:cstheme="minorHAnsi"/>
                <w:b/>
                <w:sz w:val="20"/>
                <w:szCs w:val="20"/>
              </w:rPr>
            </w:pPr>
          </w:p>
        </w:tc>
        <w:tc>
          <w:tcPr>
            <w:tcW w:w="160" w:type="dxa"/>
            <w:gridSpan w:val="4"/>
          </w:tcPr>
          <w:p w:rsidR="004809F3" w:rsidRPr="004809F3" w:rsidRDefault="004809F3" w:rsidP="00845B07">
            <w:pPr>
              <w:rPr>
                <w:rFonts w:asciiTheme="minorHAnsi" w:hAnsiTheme="minorHAnsi" w:cstheme="minorHAnsi"/>
                <w:b/>
                <w:sz w:val="20"/>
                <w:szCs w:val="20"/>
              </w:rPr>
            </w:pPr>
          </w:p>
        </w:tc>
        <w:tc>
          <w:tcPr>
            <w:tcW w:w="584" w:type="dxa"/>
            <w:gridSpan w:val="9"/>
          </w:tcPr>
          <w:p w:rsidR="004809F3" w:rsidRPr="004809F3" w:rsidRDefault="004809F3" w:rsidP="00845B07">
            <w:pPr>
              <w:rPr>
                <w:rFonts w:asciiTheme="minorHAnsi" w:hAnsiTheme="minorHAnsi" w:cstheme="minorHAnsi"/>
                <w:b/>
                <w:sz w:val="20"/>
                <w:szCs w:val="20"/>
              </w:rPr>
            </w:pPr>
          </w:p>
        </w:tc>
        <w:tc>
          <w:tcPr>
            <w:tcW w:w="160" w:type="dxa"/>
            <w:gridSpan w:val="5"/>
          </w:tcPr>
          <w:p w:rsidR="004809F3" w:rsidRPr="004809F3" w:rsidRDefault="004809F3" w:rsidP="00845B07">
            <w:pPr>
              <w:rPr>
                <w:rFonts w:asciiTheme="minorHAnsi" w:hAnsiTheme="minorHAnsi" w:cstheme="minorHAnsi"/>
                <w:b/>
                <w:sz w:val="20"/>
                <w:szCs w:val="20"/>
              </w:rPr>
            </w:pPr>
          </w:p>
        </w:tc>
        <w:tc>
          <w:tcPr>
            <w:tcW w:w="473" w:type="dxa"/>
            <w:gridSpan w:val="3"/>
          </w:tcPr>
          <w:p w:rsidR="004809F3" w:rsidRPr="004809F3" w:rsidRDefault="004809F3" w:rsidP="00845B07">
            <w:pPr>
              <w:rPr>
                <w:rFonts w:asciiTheme="minorHAnsi" w:hAnsiTheme="minorHAnsi" w:cstheme="minorHAnsi"/>
                <w:b/>
                <w:sz w:val="20"/>
                <w:szCs w:val="20"/>
              </w:rPr>
            </w:pPr>
          </w:p>
        </w:tc>
        <w:tc>
          <w:tcPr>
            <w:tcW w:w="1984" w:type="dxa"/>
            <w:gridSpan w:val="17"/>
          </w:tcPr>
          <w:p w:rsidR="004809F3" w:rsidRPr="004809F3" w:rsidRDefault="004809F3" w:rsidP="00845B07">
            <w:pPr>
              <w:rPr>
                <w:rFonts w:asciiTheme="minorHAnsi" w:hAnsiTheme="minorHAnsi" w:cstheme="minorHAnsi"/>
                <w:b/>
                <w:sz w:val="20"/>
                <w:szCs w:val="20"/>
              </w:rPr>
            </w:pPr>
          </w:p>
        </w:tc>
        <w:tc>
          <w:tcPr>
            <w:tcW w:w="501" w:type="dxa"/>
            <w:gridSpan w:val="6"/>
          </w:tcPr>
          <w:p w:rsidR="004809F3" w:rsidRPr="004809F3" w:rsidRDefault="004809F3" w:rsidP="00845B07">
            <w:pPr>
              <w:rPr>
                <w:rFonts w:asciiTheme="minorHAnsi" w:hAnsiTheme="minorHAnsi" w:cstheme="minorHAnsi"/>
                <w:b/>
                <w:sz w:val="20"/>
                <w:szCs w:val="20"/>
              </w:rPr>
            </w:pPr>
          </w:p>
        </w:tc>
        <w:tc>
          <w:tcPr>
            <w:tcW w:w="501" w:type="dxa"/>
            <w:gridSpan w:val="7"/>
          </w:tcPr>
          <w:p w:rsidR="004809F3" w:rsidRPr="004809F3" w:rsidRDefault="004809F3" w:rsidP="00845B07">
            <w:pPr>
              <w:rPr>
                <w:rFonts w:asciiTheme="minorHAnsi" w:hAnsiTheme="minorHAnsi" w:cstheme="minorHAnsi"/>
                <w:b/>
                <w:sz w:val="20"/>
                <w:szCs w:val="20"/>
              </w:rPr>
            </w:pPr>
          </w:p>
        </w:tc>
        <w:tc>
          <w:tcPr>
            <w:tcW w:w="501" w:type="dxa"/>
            <w:gridSpan w:val="3"/>
          </w:tcPr>
          <w:p w:rsidR="004809F3" w:rsidRPr="004809F3" w:rsidRDefault="004809F3" w:rsidP="00845B07">
            <w:pPr>
              <w:rPr>
                <w:rFonts w:asciiTheme="minorHAnsi" w:hAnsiTheme="minorHAnsi" w:cstheme="minorHAnsi"/>
                <w:b/>
                <w:sz w:val="20"/>
                <w:szCs w:val="20"/>
              </w:rPr>
            </w:pPr>
          </w:p>
        </w:tc>
        <w:tc>
          <w:tcPr>
            <w:tcW w:w="3709" w:type="dxa"/>
            <w:gridSpan w:val="35"/>
          </w:tcPr>
          <w:p w:rsidR="004809F3" w:rsidRPr="004809F3" w:rsidRDefault="004809F3" w:rsidP="00845B07">
            <w:pPr>
              <w:rPr>
                <w:rFonts w:asciiTheme="minorHAnsi" w:hAnsiTheme="minorHAnsi" w:cstheme="minorHAnsi"/>
                <w:b/>
                <w:sz w:val="20"/>
                <w:szCs w:val="20"/>
              </w:rPr>
            </w:pPr>
          </w:p>
        </w:tc>
        <w:tc>
          <w:tcPr>
            <w:tcW w:w="160" w:type="dxa"/>
            <w:gridSpan w:val="3"/>
          </w:tcPr>
          <w:p w:rsidR="004809F3" w:rsidRPr="004809F3" w:rsidRDefault="004809F3" w:rsidP="00845B07">
            <w:pPr>
              <w:rPr>
                <w:rFonts w:asciiTheme="minorHAnsi" w:hAnsiTheme="minorHAnsi" w:cstheme="minorHAnsi"/>
                <w:b/>
                <w:sz w:val="20"/>
                <w:szCs w:val="20"/>
              </w:rPr>
            </w:pPr>
          </w:p>
        </w:tc>
        <w:tc>
          <w:tcPr>
            <w:tcW w:w="160" w:type="dxa"/>
            <w:gridSpan w:val="3"/>
          </w:tcPr>
          <w:p w:rsidR="004809F3" w:rsidRPr="004809F3" w:rsidRDefault="004809F3" w:rsidP="00845B07">
            <w:pPr>
              <w:rPr>
                <w:rFonts w:asciiTheme="minorHAnsi" w:hAnsiTheme="minorHAnsi" w:cstheme="minorHAnsi"/>
                <w:b/>
                <w:sz w:val="20"/>
                <w:szCs w:val="20"/>
              </w:rPr>
            </w:pPr>
          </w:p>
        </w:tc>
        <w:tc>
          <w:tcPr>
            <w:tcW w:w="160" w:type="dxa"/>
            <w:gridSpan w:val="3"/>
          </w:tcPr>
          <w:p w:rsidR="004809F3" w:rsidRPr="004809F3" w:rsidRDefault="004809F3" w:rsidP="00845B07">
            <w:pPr>
              <w:rPr>
                <w:rFonts w:asciiTheme="minorHAnsi" w:hAnsiTheme="minorHAnsi" w:cstheme="minorHAnsi"/>
                <w:b/>
                <w:sz w:val="20"/>
                <w:szCs w:val="20"/>
              </w:rPr>
            </w:pPr>
          </w:p>
        </w:tc>
        <w:tc>
          <w:tcPr>
            <w:tcW w:w="502" w:type="dxa"/>
            <w:gridSpan w:val="4"/>
          </w:tcPr>
          <w:p w:rsidR="004809F3" w:rsidRPr="004809F3" w:rsidRDefault="004809F3" w:rsidP="00845B07">
            <w:pPr>
              <w:rPr>
                <w:rFonts w:asciiTheme="minorHAnsi" w:hAnsiTheme="minorHAnsi" w:cstheme="minorHAnsi"/>
                <w:b/>
                <w:sz w:val="20"/>
                <w:szCs w:val="20"/>
              </w:rPr>
            </w:pPr>
          </w:p>
        </w:tc>
        <w:tc>
          <w:tcPr>
            <w:tcW w:w="160" w:type="dxa"/>
            <w:gridSpan w:val="2"/>
          </w:tcPr>
          <w:p w:rsidR="004809F3" w:rsidRPr="004809F3" w:rsidRDefault="004809F3" w:rsidP="00845B07">
            <w:pPr>
              <w:rPr>
                <w:rFonts w:asciiTheme="minorHAnsi" w:hAnsiTheme="minorHAnsi" w:cstheme="minorHAnsi"/>
                <w:b/>
                <w:sz w:val="20"/>
                <w:szCs w:val="20"/>
              </w:rPr>
            </w:pPr>
          </w:p>
        </w:tc>
        <w:tc>
          <w:tcPr>
            <w:tcW w:w="502" w:type="dxa"/>
            <w:gridSpan w:val="6"/>
          </w:tcPr>
          <w:p w:rsidR="004809F3" w:rsidRPr="004809F3" w:rsidRDefault="004809F3" w:rsidP="00845B07">
            <w:pPr>
              <w:rPr>
                <w:rFonts w:asciiTheme="minorHAnsi" w:hAnsiTheme="minorHAnsi" w:cstheme="minorHAnsi"/>
                <w:b/>
                <w:sz w:val="20"/>
                <w:szCs w:val="20"/>
              </w:rPr>
            </w:pPr>
          </w:p>
        </w:tc>
        <w:tc>
          <w:tcPr>
            <w:tcW w:w="501" w:type="dxa"/>
            <w:gridSpan w:val="2"/>
          </w:tcPr>
          <w:p w:rsidR="004809F3" w:rsidRPr="004809F3" w:rsidRDefault="004809F3" w:rsidP="00845B07">
            <w:pPr>
              <w:rPr>
                <w:rFonts w:asciiTheme="minorHAnsi" w:hAnsiTheme="minorHAnsi" w:cstheme="minorHAnsi"/>
                <w:b/>
                <w:sz w:val="20"/>
                <w:szCs w:val="20"/>
              </w:rPr>
            </w:pPr>
          </w:p>
        </w:tc>
        <w:tc>
          <w:tcPr>
            <w:tcW w:w="3820" w:type="dxa"/>
            <w:gridSpan w:val="10"/>
          </w:tcPr>
          <w:p w:rsidR="004809F3" w:rsidRPr="004809F3" w:rsidRDefault="004809F3" w:rsidP="00845B07">
            <w:pPr>
              <w:rPr>
                <w:rFonts w:asciiTheme="minorHAnsi" w:hAnsiTheme="minorHAnsi" w:cstheme="minorHAnsi"/>
                <w:b/>
                <w:sz w:val="20"/>
                <w:szCs w:val="20"/>
              </w:rPr>
            </w:pPr>
          </w:p>
        </w:tc>
      </w:tr>
      <w:tr w:rsidR="004809F3" w:rsidRPr="004809F3" w:rsidTr="00C07D18">
        <w:trPr>
          <w:gridAfter w:val="71"/>
          <w:wAfter w:w="10316" w:type="dxa"/>
        </w:trPr>
        <w:tc>
          <w:tcPr>
            <w:tcW w:w="9719" w:type="dxa"/>
            <w:gridSpan w:val="92"/>
          </w:tcPr>
          <w:p w:rsidR="004809F3" w:rsidRPr="004809F3" w:rsidRDefault="004809F3" w:rsidP="004B1D56">
            <w:pPr>
              <w:jc w:val="both"/>
              <w:rPr>
                <w:rFonts w:asciiTheme="minorHAnsi" w:hAnsiTheme="minorHAnsi" w:cstheme="minorHAnsi"/>
                <w:b/>
                <w:sz w:val="20"/>
                <w:szCs w:val="20"/>
              </w:rPr>
            </w:pPr>
            <w:r w:rsidRPr="004809F3">
              <w:rPr>
                <w:rFonts w:asciiTheme="minorHAnsi" w:hAnsiTheme="minorHAnsi" w:cstheme="minorHAnsi"/>
                <w:b/>
                <w:sz w:val="20"/>
                <w:szCs w:val="20"/>
              </w:rPr>
              <w:t>Komentář k položkám (akcím), které vykázaly abnormalitu v řádném čerp</w:t>
            </w:r>
            <w:r w:rsidR="004B1D56">
              <w:rPr>
                <w:rFonts w:asciiTheme="minorHAnsi" w:hAnsiTheme="minorHAnsi" w:cstheme="minorHAnsi"/>
                <w:b/>
                <w:sz w:val="20"/>
                <w:szCs w:val="20"/>
              </w:rPr>
              <w:t>ání výdajů rozpočtu kapitoly ve </w:t>
            </w:r>
            <w:r w:rsidRPr="004809F3">
              <w:rPr>
                <w:rFonts w:asciiTheme="minorHAnsi" w:hAnsiTheme="minorHAnsi" w:cstheme="minorHAnsi"/>
                <w:b/>
                <w:sz w:val="20"/>
                <w:szCs w:val="20"/>
              </w:rPr>
              <w:t>sledovaném období</w:t>
            </w:r>
          </w:p>
        </w:tc>
      </w:tr>
      <w:tr w:rsidR="00C07D18" w:rsidRPr="004809F3" w:rsidTr="00C07D18">
        <w:tc>
          <w:tcPr>
            <w:tcW w:w="183" w:type="dxa"/>
            <w:gridSpan w:val="3"/>
          </w:tcPr>
          <w:p w:rsidR="004809F3" w:rsidRPr="004809F3" w:rsidRDefault="004809F3" w:rsidP="00845B07">
            <w:pPr>
              <w:rPr>
                <w:rFonts w:asciiTheme="minorHAnsi" w:hAnsiTheme="minorHAnsi" w:cstheme="minorHAnsi"/>
                <w:b/>
                <w:sz w:val="20"/>
                <w:szCs w:val="20"/>
              </w:rPr>
            </w:pPr>
          </w:p>
        </w:tc>
        <w:tc>
          <w:tcPr>
            <w:tcW w:w="644" w:type="dxa"/>
            <w:gridSpan w:val="5"/>
          </w:tcPr>
          <w:p w:rsidR="004809F3" w:rsidRPr="004809F3" w:rsidRDefault="004809F3" w:rsidP="00845B07">
            <w:pPr>
              <w:rPr>
                <w:rFonts w:asciiTheme="minorHAnsi" w:hAnsiTheme="minorHAnsi" w:cstheme="minorHAnsi"/>
                <w:b/>
                <w:sz w:val="20"/>
                <w:szCs w:val="20"/>
              </w:rPr>
            </w:pPr>
          </w:p>
        </w:tc>
        <w:tc>
          <w:tcPr>
            <w:tcW w:w="256" w:type="dxa"/>
            <w:gridSpan w:val="4"/>
          </w:tcPr>
          <w:p w:rsidR="004809F3" w:rsidRPr="004809F3" w:rsidRDefault="004809F3" w:rsidP="00845B07">
            <w:pPr>
              <w:rPr>
                <w:rFonts w:asciiTheme="minorHAnsi" w:hAnsiTheme="minorHAnsi" w:cstheme="minorHAnsi"/>
                <w:b/>
                <w:sz w:val="20"/>
                <w:szCs w:val="20"/>
              </w:rPr>
            </w:pPr>
          </w:p>
        </w:tc>
        <w:tc>
          <w:tcPr>
            <w:tcW w:w="183" w:type="dxa"/>
            <w:gridSpan w:val="2"/>
          </w:tcPr>
          <w:p w:rsidR="004809F3" w:rsidRPr="004809F3" w:rsidRDefault="004809F3" w:rsidP="00845B07">
            <w:pPr>
              <w:rPr>
                <w:rFonts w:asciiTheme="minorHAnsi" w:hAnsiTheme="minorHAnsi" w:cstheme="minorHAnsi"/>
                <w:b/>
                <w:sz w:val="20"/>
                <w:szCs w:val="20"/>
              </w:rPr>
            </w:pPr>
          </w:p>
        </w:tc>
        <w:tc>
          <w:tcPr>
            <w:tcW w:w="585" w:type="dxa"/>
            <w:gridSpan w:val="7"/>
          </w:tcPr>
          <w:p w:rsidR="004809F3" w:rsidRPr="004809F3" w:rsidRDefault="004809F3" w:rsidP="00845B07">
            <w:pPr>
              <w:rPr>
                <w:rFonts w:asciiTheme="minorHAnsi" w:hAnsiTheme="minorHAnsi" w:cstheme="minorHAnsi"/>
                <w:b/>
                <w:sz w:val="20"/>
                <w:szCs w:val="20"/>
              </w:rPr>
            </w:pPr>
          </w:p>
        </w:tc>
        <w:tc>
          <w:tcPr>
            <w:tcW w:w="180" w:type="dxa"/>
            <w:gridSpan w:val="2"/>
          </w:tcPr>
          <w:p w:rsidR="004809F3" w:rsidRPr="004809F3" w:rsidRDefault="004809F3" w:rsidP="00845B07">
            <w:pPr>
              <w:rPr>
                <w:rFonts w:asciiTheme="minorHAnsi" w:hAnsiTheme="minorHAnsi" w:cstheme="minorHAnsi"/>
                <w:b/>
                <w:sz w:val="20"/>
                <w:szCs w:val="20"/>
              </w:rPr>
            </w:pPr>
          </w:p>
        </w:tc>
        <w:tc>
          <w:tcPr>
            <w:tcW w:w="584" w:type="dxa"/>
            <w:gridSpan w:val="3"/>
          </w:tcPr>
          <w:p w:rsidR="004809F3" w:rsidRPr="004809F3" w:rsidRDefault="004809F3" w:rsidP="00845B07">
            <w:pPr>
              <w:rPr>
                <w:rFonts w:asciiTheme="minorHAnsi" w:hAnsiTheme="minorHAnsi" w:cstheme="minorHAnsi"/>
                <w:b/>
                <w:sz w:val="20"/>
                <w:szCs w:val="20"/>
              </w:rPr>
            </w:pPr>
          </w:p>
        </w:tc>
        <w:tc>
          <w:tcPr>
            <w:tcW w:w="237" w:type="dxa"/>
          </w:tcPr>
          <w:p w:rsidR="004809F3" w:rsidRPr="004809F3" w:rsidRDefault="004809F3" w:rsidP="00845B07">
            <w:pPr>
              <w:rPr>
                <w:rFonts w:asciiTheme="minorHAnsi" w:hAnsiTheme="minorHAnsi" w:cstheme="minorHAnsi"/>
                <w:b/>
                <w:sz w:val="20"/>
                <w:szCs w:val="20"/>
              </w:rPr>
            </w:pPr>
          </w:p>
        </w:tc>
        <w:tc>
          <w:tcPr>
            <w:tcW w:w="649" w:type="dxa"/>
            <w:gridSpan w:val="11"/>
          </w:tcPr>
          <w:p w:rsidR="004809F3" w:rsidRPr="004809F3" w:rsidRDefault="004809F3" w:rsidP="00845B07">
            <w:pPr>
              <w:rPr>
                <w:rFonts w:asciiTheme="minorHAnsi" w:hAnsiTheme="minorHAnsi" w:cstheme="minorHAnsi"/>
                <w:b/>
                <w:sz w:val="20"/>
                <w:szCs w:val="20"/>
              </w:rPr>
            </w:pPr>
          </w:p>
        </w:tc>
        <w:tc>
          <w:tcPr>
            <w:tcW w:w="368" w:type="dxa"/>
            <w:gridSpan w:val="5"/>
          </w:tcPr>
          <w:p w:rsidR="004809F3" w:rsidRPr="004809F3" w:rsidRDefault="004809F3" w:rsidP="00845B07">
            <w:pPr>
              <w:rPr>
                <w:rFonts w:asciiTheme="minorHAnsi" w:hAnsiTheme="minorHAnsi" w:cstheme="minorHAnsi"/>
                <w:b/>
                <w:sz w:val="20"/>
                <w:szCs w:val="20"/>
              </w:rPr>
            </w:pPr>
          </w:p>
        </w:tc>
        <w:tc>
          <w:tcPr>
            <w:tcW w:w="640" w:type="dxa"/>
            <w:gridSpan w:val="9"/>
          </w:tcPr>
          <w:p w:rsidR="004809F3" w:rsidRPr="004809F3" w:rsidRDefault="004809F3" w:rsidP="00845B07">
            <w:pPr>
              <w:rPr>
                <w:rFonts w:asciiTheme="minorHAnsi" w:hAnsiTheme="minorHAnsi" w:cstheme="minorHAnsi"/>
                <w:b/>
                <w:sz w:val="20"/>
                <w:szCs w:val="20"/>
              </w:rPr>
            </w:pPr>
          </w:p>
        </w:tc>
        <w:tc>
          <w:tcPr>
            <w:tcW w:w="501" w:type="dxa"/>
            <w:gridSpan w:val="4"/>
          </w:tcPr>
          <w:p w:rsidR="004809F3" w:rsidRPr="004809F3" w:rsidRDefault="004809F3" w:rsidP="00845B07">
            <w:pPr>
              <w:rPr>
                <w:rFonts w:asciiTheme="minorHAnsi" w:hAnsiTheme="minorHAnsi" w:cstheme="minorHAnsi"/>
                <w:b/>
                <w:sz w:val="20"/>
                <w:szCs w:val="20"/>
              </w:rPr>
            </w:pPr>
          </w:p>
        </w:tc>
        <w:tc>
          <w:tcPr>
            <w:tcW w:w="985" w:type="dxa"/>
            <w:gridSpan w:val="7"/>
          </w:tcPr>
          <w:p w:rsidR="004809F3" w:rsidRPr="004809F3" w:rsidRDefault="004809F3" w:rsidP="00845B07">
            <w:pPr>
              <w:rPr>
                <w:rFonts w:asciiTheme="minorHAnsi" w:hAnsiTheme="minorHAnsi" w:cstheme="minorHAnsi"/>
                <w:b/>
                <w:sz w:val="20"/>
                <w:szCs w:val="20"/>
              </w:rPr>
            </w:pPr>
          </w:p>
        </w:tc>
        <w:tc>
          <w:tcPr>
            <w:tcW w:w="505" w:type="dxa"/>
            <w:gridSpan w:val="5"/>
          </w:tcPr>
          <w:p w:rsidR="004809F3" w:rsidRPr="004809F3" w:rsidRDefault="004809F3" w:rsidP="00845B07">
            <w:pPr>
              <w:rPr>
                <w:rFonts w:asciiTheme="minorHAnsi" w:hAnsiTheme="minorHAnsi" w:cstheme="minorHAnsi"/>
                <w:b/>
                <w:sz w:val="20"/>
                <w:szCs w:val="20"/>
              </w:rPr>
            </w:pPr>
          </w:p>
        </w:tc>
        <w:tc>
          <w:tcPr>
            <w:tcW w:w="1002" w:type="dxa"/>
            <w:gridSpan w:val="14"/>
          </w:tcPr>
          <w:p w:rsidR="004809F3" w:rsidRPr="004809F3" w:rsidRDefault="004809F3" w:rsidP="00845B07">
            <w:pPr>
              <w:rPr>
                <w:rFonts w:asciiTheme="minorHAnsi" w:hAnsiTheme="minorHAnsi" w:cstheme="minorHAnsi"/>
                <w:b/>
                <w:sz w:val="20"/>
                <w:szCs w:val="20"/>
              </w:rPr>
            </w:pPr>
          </w:p>
        </w:tc>
        <w:tc>
          <w:tcPr>
            <w:tcW w:w="2753" w:type="dxa"/>
            <w:gridSpan w:val="14"/>
          </w:tcPr>
          <w:p w:rsidR="004809F3" w:rsidRPr="004809F3" w:rsidRDefault="004809F3" w:rsidP="00845B07">
            <w:pPr>
              <w:rPr>
                <w:rFonts w:asciiTheme="minorHAnsi" w:hAnsiTheme="minorHAnsi" w:cstheme="minorHAnsi"/>
                <w:b/>
                <w:sz w:val="20"/>
                <w:szCs w:val="20"/>
              </w:rPr>
            </w:pPr>
          </w:p>
        </w:tc>
        <w:tc>
          <w:tcPr>
            <w:tcW w:w="160" w:type="dxa"/>
            <w:gridSpan w:val="2"/>
          </w:tcPr>
          <w:p w:rsidR="004809F3" w:rsidRPr="004809F3" w:rsidRDefault="004809F3" w:rsidP="00845B07">
            <w:pPr>
              <w:rPr>
                <w:rFonts w:asciiTheme="minorHAnsi" w:hAnsiTheme="minorHAnsi" w:cstheme="minorHAnsi"/>
                <w:b/>
                <w:sz w:val="20"/>
                <w:szCs w:val="20"/>
              </w:rPr>
            </w:pPr>
          </w:p>
        </w:tc>
        <w:tc>
          <w:tcPr>
            <w:tcW w:w="160" w:type="dxa"/>
            <w:gridSpan w:val="4"/>
          </w:tcPr>
          <w:p w:rsidR="004809F3" w:rsidRPr="004809F3" w:rsidRDefault="004809F3" w:rsidP="00845B07">
            <w:pPr>
              <w:rPr>
                <w:rFonts w:asciiTheme="minorHAnsi" w:hAnsiTheme="minorHAnsi" w:cstheme="minorHAnsi"/>
                <w:b/>
                <w:sz w:val="20"/>
                <w:szCs w:val="20"/>
              </w:rPr>
            </w:pPr>
          </w:p>
        </w:tc>
        <w:tc>
          <w:tcPr>
            <w:tcW w:w="160" w:type="dxa"/>
            <w:gridSpan w:val="2"/>
          </w:tcPr>
          <w:p w:rsidR="004809F3" w:rsidRPr="004809F3" w:rsidRDefault="004809F3" w:rsidP="00845B07">
            <w:pPr>
              <w:rPr>
                <w:rFonts w:asciiTheme="minorHAnsi" w:hAnsiTheme="minorHAnsi" w:cstheme="minorHAnsi"/>
                <w:b/>
                <w:sz w:val="20"/>
                <w:szCs w:val="20"/>
              </w:rPr>
            </w:pPr>
          </w:p>
        </w:tc>
        <w:tc>
          <w:tcPr>
            <w:tcW w:w="9300" w:type="dxa"/>
            <w:gridSpan w:val="59"/>
          </w:tcPr>
          <w:p w:rsidR="004809F3" w:rsidRPr="004809F3" w:rsidRDefault="004809F3" w:rsidP="00845B07">
            <w:pPr>
              <w:rPr>
                <w:rFonts w:asciiTheme="minorHAnsi" w:hAnsiTheme="minorHAnsi" w:cstheme="minorHAnsi"/>
                <w:b/>
                <w:sz w:val="20"/>
                <w:szCs w:val="20"/>
              </w:rPr>
            </w:pPr>
          </w:p>
        </w:tc>
      </w:tr>
      <w:tr w:rsidR="00C07D18" w:rsidRPr="004809F3" w:rsidTr="00EC24F7">
        <w:trPr>
          <w:gridBefore w:val="1"/>
          <w:gridAfter w:val="71"/>
          <w:wBefore w:w="19" w:type="dxa"/>
          <w:wAfter w:w="10316" w:type="dxa"/>
        </w:trPr>
        <w:tc>
          <w:tcPr>
            <w:tcW w:w="904" w:type="dxa"/>
            <w:gridSpan w:val="8"/>
            <w:tcBorders>
              <w:top w:val="single" w:sz="4" w:space="0" w:color="auto"/>
              <w:left w:val="single" w:sz="4" w:space="0" w:color="auto"/>
              <w:bottom w:val="single" w:sz="4" w:space="0" w:color="auto"/>
              <w:right w:val="single" w:sz="4" w:space="0" w:color="auto"/>
            </w:tcBorders>
            <w:shd w:val="clear" w:color="auto" w:fill="FFFF00"/>
          </w:tcPr>
          <w:p w:rsidR="004809F3" w:rsidRPr="00C07D18" w:rsidRDefault="004809F3" w:rsidP="00845B07">
            <w:pPr>
              <w:jc w:val="center"/>
              <w:rPr>
                <w:rFonts w:asciiTheme="minorHAnsi" w:hAnsiTheme="minorHAnsi" w:cstheme="minorHAnsi"/>
                <w:b/>
                <w:sz w:val="18"/>
                <w:szCs w:val="18"/>
              </w:rPr>
            </w:pPr>
            <w:r w:rsidRPr="00C07D18">
              <w:rPr>
                <w:rFonts w:asciiTheme="minorHAnsi" w:hAnsiTheme="minorHAnsi" w:cstheme="minorHAnsi"/>
                <w:b/>
                <w:sz w:val="18"/>
                <w:szCs w:val="18"/>
              </w:rPr>
              <w:t>Oddíl, paragraf</w:t>
            </w:r>
          </w:p>
        </w:tc>
        <w:tc>
          <w:tcPr>
            <w:tcW w:w="567" w:type="dxa"/>
            <w:gridSpan w:val="7"/>
            <w:tcBorders>
              <w:top w:val="single" w:sz="4" w:space="0" w:color="auto"/>
              <w:left w:val="single" w:sz="4" w:space="0" w:color="auto"/>
              <w:bottom w:val="single" w:sz="4" w:space="0" w:color="auto"/>
              <w:right w:val="single" w:sz="4" w:space="0" w:color="auto"/>
            </w:tcBorders>
            <w:shd w:val="clear" w:color="auto" w:fill="FFFF00"/>
          </w:tcPr>
          <w:p w:rsidR="004809F3" w:rsidRPr="00C07D18" w:rsidRDefault="004809F3" w:rsidP="00845B07">
            <w:pPr>
              <w:jc w:val="center"/>
              <w:rPr>
                <w:rFonts w:asciiTheme="minorHAnsi" w:hAnsiTheme="minorHAnsi" w:cstheme="minorHAnsi"/>
                <w:b/>
                <w:sz w:val="18"/>
                <w:szCs w:val="18"/>
              </w:rPr>
            </w:pPr>
            <w:r w:rsidRPr="00C07D18">
              <w:rPr>
                <w:rFonts w:asciiTheme="minorHAnsi" w:hAnsiTheme="minorHAnsi" w:cstheme="minorHAnsi"/>
                <w:b/>
                <w:sz w:val="18"/>
                <w:szCs w:val="18"/>
              </w:rPr>
              <w:t>Pol.</w:t>
            </w:r>
          </w:p>
        </w:tc>
        <w:tc>
          <w:tcPr>
            <w:tcW w:w="1417" w:type="dxa"/>
            <w:gridSpan w:val="12"/>
            <w:tcBorders>
              <w:top w:val="single" w:sz="4" w:space="0" w:color="auto"/>
              <w:left w:val="single" w:sz="4" w:space="0" w:color="auto"/>
              <w:bottom w:val="single" w:sz="4" w:space="0" w:color="auto"/>
              <w:right w:val="single" w:sz="4" w:space="0" w:color="auto"/>
            </w:tcBorders>
            <w:shd w:val="clear" w:color="auto" w:fill="FFFF00"/>
          </w:tcPr>
          <w:p w:rsidR="004809F3" w:rsidRPr="00C07D18" w:rsidRDefault="004809F3" w:rsidP="00845B07">
            <w:pPr>
              <w:jc w:val="center"/>
              <w:rPr>
                <w:rFonts w:asciiTheme="minorHAnsi" w:hAnsiTheme="minorHAnsi" w:cstheme="minorHAnsi"/>
                <w:b/>
                <w:sz w:val="18"/>
                <w:szCs w:val="18"/>
              </w:rPr>
            </w:pPr>
            <w:r w:rsidRPr="00C07D18">
              <w:rPr>
                <w:rFonts w:asciiTheme="minorHAnsi" w:hAnsiTheme="minorHAnsi" w:cstheme="minorHAnsi"/>
                <w:b/>
                <w:sz w:val="18"/>
                <w:szCs w:val="18"/>
              </w:rPr>
              <w:t>Organizace</w:t>
            </w:r>
          </w:p>
        </w:tc>
        <w:tc>
          <w:tcPr>
            <w:tcW w:w="851" w:type="dxa"/>
            <w:gridSpan w:val="13"/>
            <w:tcBorders>
              <w:top w:val="single" w:sz="4" w:space="0" w:color="auto"/>
              <w:left w:val="single" w:sz="4" w:space="0" w:color="auto"/>
              <w:bottom w:val="single" w:sz="4" w:space="0" w:color="auto"/>
              <w:right w:val="single" w:sz="4" w:space="0" w:color="auto"/>
            </w:tcBorders>
            <w:shd w:val="clear" w:color="auto" w:fill="FFFF00"/>
          </w:tcPr>
          <w:p w:rsidR="004809F3" w:rsidRPr="00C07D18" w:rsidRDefault="004809F3" w:rsidP="00845B07">
            <w:pPr>
              <w:jc w:val="center"/>
              <w:rPr>
                <w:rFonts w:asciiTheme="minorHAnsi" w:hAnsiTheme="minorHAnsi" w:cstheme="minorHAnsi"/>
                <w:b/>
                <w:sz w:val="18"/>
                <w:szCs w:val="18"/>
              </w:rPr>
            </w:pPr>
            <w:r w:rsidRPr="00C07D18">
              <w:rPr>
                <w:rFonts w:asciiTheme="minorHAnsi" w:hAnsiTheme="minorHAnsi" w:cstheme="minorHAnsi"/>
                <w:b/>
                <w:sz w:val="18"/>
                <w:szCs w:val="18"/>
              </w:rPr>
              <w:t>Účelový zdroj</w:t>
            </w:r>
          </w:p>
        </w:tc>
        <w:tc>
          <w:tcPr>
            <w:tcW w:w="850" w:type="dxa"/>
            <w:gridSpan w:val="12"/>
            <w:tcBorders>
              <w:top w:val="single" w:sz="4" w:space="0" w:color="auto"/>
              <w:left w:val="single" w:sz="4" w:space="0" w:color="auto"/>
              <w:bottom w:val="single" w:sz="4" w:space="0" w:color="auto"/>
              <w:right w:val="single" w:sz="4" w:space="0" w:color="auto"/>
            </w:tcBorders>
            <w:shd w:val="clear" w:color="auto" w:fill="FFFF00"/>
          </w:tcPr>
          <w:p w:rsidR="004809F3" w:rsidRPr="00C07D18" w:rsidRDefault="004809F3" w:rsidP="004809F3">
            <w:pPr>
              <w:jc w:val="center"/>
              <w:rPr>
                <w:rFonts w:asciiTheme="minorHAnsi" w:hAnsiTheme="minorHAnsi" w:cstheme="minorHAnsi"/>
                <w:b/>
                <w:sz w:val="18"/>
                <w:szCs w:val="18"/>
              </w:rPr>
            </w:pPr>
            <w:r w:rsidRPr="00C07D18">
              <w:rPr>
                <w:rFonts w:asciiTheme="minorHAnsi" w:hAnsiTheme="minorHAnsi" w:cstheme="minorHAnsi"/>
                <w:b/>
                <w:sz w:val="18"/>
                <w:szCs w:val="18"/>
              </w:rPr>
              <w:t>UR</w:t>
            </w:r>
            <w:r w:rsidR="00C07D18" w:rsidRPr="00C07D18">
              <w:rPr>
                <w:rFonts w:asciiTheme="minorHAnsi" w:hAnsiTheme="minorHAnsi" w:cstheme="minorHAnsi"/>
                <w:b/>
                <w:sz w:val="18"/>
                <w:szCs w:val="18"/>
              </w:rPr>
              <w:t xml:space="preserve"> </w:t>
            </w:r>
            <w:r w:rsidRPr="00C07D18">
              <w:rPr>
                <w:rFonts w:asciiTheme="minorHAnsi" w:hAnsiTheme="minorHAnsi" w:cstheme="minorHAnsi"/>
                <w:b/>
                <w:sz w:val="18"/>
                <w:szCs w:val="18"/>
              </w:rPr>
              <w:t>v tis. Kč</w:t>
            </w:r>
          </w:p>
        </w:tc>
        <w:tc>
          <w:tcPr>
            <w:tcW w:w="993" w:type="dxa"/>
            <w:gridSpan w:val="8"/>
            <w:tcBorders>
              <w:top w:val="single" w:sz="4" w:space="0" w:color="auto"/>
              <w:left w:val="single" w:sz="4" w:space="0" w:color="auto"/>
              <w:bottom w:val="single" w:sz="4" w:space="0" w:color="auto"/>
              <w:right w:val="single" w:sz="4" w:space="0" w:color="auto"/>
            </w:tcBorders>
            <w:shd w:val="clear" w:color="auto" w:fill="FFFF00"/>
          </w:tcPr>
          <w:p w:rsidR="004809F3" w:rsidRPr="00C07D18" w:rsidRDefault="004809F3" w:rsidP="00845B07">
            <w:pPr>
              <w:jc w:val="center"/>
              <w:rPr>
                <w:rFonts w:asciiTheme="minorHAnsi" w:hAnsiTheme="minorHAnsi" w:cstheme="minorHAnsi"/>
                <w:b/>
                <w:sz w:val="18"/>
                <w:szCs w:val="18"/>
              </w:rPr>
            </w:pPr>
            <w:r w:rsidRPr="00C07D18">
              <w:rPr>
                <w:rFonts w:asciiTheme="minorHAnsi" w:hAnsiTheme="minorHAnsi" w:cstheme="minorHAnsi"/>
                <w:b/>
                <w:sz w:val="18"/>
                <w:szCs w:val="18"/>
              </w:rPr>
              <w:t>Skutečnost v tis. Kč</w:t>
            </w:r>
          </w:p>
        </w:tc>
        <w:tc>
          <w:tcPr>
            <w:tcW w:w="4118" w:type="dxa"/>
            <w:gridSpan w:val="31"/>
            <w:tcBorders>
              <w:top w:val="single" w:sz="4" w:space="0" w:color="auto"/>
              <w:left w:val="single" w:sz="4" w:space="0" w:color="auto"/>
              <w:bottom w:val="single" w:sz="4" w:space="0" w:color="auto"/>
              <w:right w:val="single" w:sz="4" w:space="0" w:color="auto"/>
            </w:tcBorders>
            <w:shd w:val="clear" w:color="auto" w:fill="FFFF00"/>
          </w:tcPr>
          <w:p w:rsidR="004809F3" w:rsidRPr="00C07D18" w:rsidRDefault="004809F3" w:rsidP="00C07D18">
            <w:pPr>
              <w:ind w:left="-70"/>
              <w:jc w:val="center"/>
              <w:rPr>
                <w:rFonts w:asciiTheme="minorHAnsi" w:hAnsiTheme="minorHAnsi" w:cstheme="minorHAnsi"/>
                <w:b/>
                <w:sz w:val="18"/>
                <w:szCs w:val="18"/>
              </w:rPr>
            </w:pPr>
            <w:r w:rsidRPr="00C07D18">
              <w:rPr>
                <w:rFonts w:asciiTheme="minorHAnsi" w:hAnsiTheme="minorHAnsi" w:cstheme="minorHAnsi"/>
                <w:b/>
                <w:sz w:val="18"/>
                <w:szCs w:val="18"/>
              </w:rPr>
              <w:t>Komentář</w:t>
            </w:r>
          </w:p>
        </w:tc>
      </w:tr>
      <w:tr w:rsidR="00C07D18" w:rsidRPr="004809F3" w:rsidTr="00EC24F7">
        <w:trPr>
          <w:gridBefore w:val="1"/>
          <w:gridAfter w:val="72"/>
          <w:wBefore w:w="19" w:type="dxa"/>
          <w:wAfter w:w="10324" w:type="dxa"/>
        </w:trPr>
        <w:tc>
          <w:tcPr>
            <w:tcW w:w="904" w:type="dxa"/>
            <w:gridSpan w:val="8"/>
            <w:tcBorders>
              <w:top w:val="single" w:sz="4" w:space="0" w:color="auto"/>
              <w:left w:val="single" w:sz="4" w:space="0" w:color="auto"/>
              <w:bottom w:val="single" w:sz="4" w:space="0" w:color="auto"/>
              <w:right w:val="single" w:sz="4" w:space="0" w:color="auto"/>
            </w:tcBorders>
          </w:tcPr>
          <w:p w:rsidR="004809F3" w:rsidRPr="00C07D18" w:rsidRDefault="004809F3" w:rsidP="00845B07">
            <w:pPr>
              <w:jc w:val="center"/>
              <w:rPr>
                <w:rFonts w:asciiTheme="minorHAnsi" w:hAnsiTheme="minorHAnsi" w:cstheme="minorHAnsi"/>
                <w:sz w:val="18"/>
                <w:szCs w:val="18"/>
              </w:rPr>
            </w:pPr>
            <w:r w:rsidRPr="00C07D18">
              <w:rPr>
                <w:rFonts w:asciiTheme="minorHAnsi" w:hAnsiTheme="minorHAnsi" w:cstheme="minorHAnsi"/>
                <w:sz w:val="18"/>
                <w:szCs w:val="18"/>
              </w:rPr>
              <w:t>6171</w:t>
            </w:r>
          </w:p>
          <w:p w:rsidR="004809F3" w:rsidRPr="00C07D18" w:rsidRDefault="004809F3" w:rsidP="00845B07">
            <w:pPr>
              <w:jc w:val="center"/>
              <w:rPr>
                <w:rFonts w:asciiTheme="minorHAnsi" w:hAnsiTheme="minorHAnsi" w:cstheme="minorHAnsi"/>
                <w:sz w:val="18"/>
                <w:szCs w:val="18"/>
              </w:rPr>
            </w:pPr>
          </w:p>
          <w:p w:rsidR="004809F3" w:rsidRPr="00C07D18" w:rsidRDefault="004809F3" w:rsidP="004B1D56">
            <w:pPr>
              <w:jc w:val="center"/>
              <w:rPr>
                <w:rFonts w:asciiTheme="minorHAnsi" w:hAnsiTheme="minorHAnsi" w:cstheme="minorHAnsi"/>
                <w:sz w:val="18"/>
                <w:szCs w:val="18"/>
              </w:rPr>
            </w:pPr>
            <w:r w:rsidRPr="00C07D18">
              <w:rPr>
                <w:rFonts w:asciiTheme="minorHAnsi" w:hAnsiTheme="minorHAnsi" w:cstheme="minorHAnsi"/>
                <w:sz w:val="18"/>
                <w:szCs w:val="18"/>
              </w:rPr>
              <w:t>6171</w:t>
            </w:r>
          </w:p>
        </w:tc>
        <w:tc>
          <w:tcPr>
            <w:tcW w:w="567" w:type="dxa"/>
            <w:gridSpan w:val="7"/>
            <w:tcBorders>
              <w:top w:val="single" w:sz="4" w:space="0" w:color="auto"/>
              <w:left w:val="single" w:sz="4" w:space="0" w:color="auto"/>
              <w:bottom w:val="single" w:sz="4" w:space="0" w:color="auto"/>
              <w:right w:val="single" w:sz="4" w:space="0" w:color="auto"/>
            </w:tcBorders>
          </w:tcPr>
          <w:p w:rsidR="004809F3" w:rsidRPr="00C07D18" w:rsidRDefault="004809F3" w:rsidP="00845B07">
            <w:pPr>
              <w:jc w:val="center"/>
              <w:rPr>
                <w:rFonts w:asciiTheme="minorHAnsi" w:hAnsiTheme="minorHAnsi" w:cstheme="minorHAnsi"/>
                <w:sz w:val="18"/>
                <w:szCs w:val="18"/>
              </w:rPr>
            </w:pPr>
            <w:r w:rsidRPr="00C07D18">
              <w:rPr>
                <w:rFonts w:asciiTheme="minorHAnsi" w:hAnsiTheme="minorHAnsi" w:cstheme="minorHAnsi"/>
                <w:sz w:val="18"/>
                <w:szCs w:val="18"/>
              </w:rPr>
              <w:t>5499</w:t>
            </w:r>
          </w:p>
          <w:p w:rsidR="004809F3" w:rsidRPr="00C07D18" w:rsidRDefault="004809F3" w:rsidP="00845B07">
            <w:pPr>
              <w:jc w:val="center"/>
              <w:rPr>
                <w:rFonts w:asciiTheme="minorHAnsi" w:hAnsiTheme="minorHAnsi" w:cstheme="minorHAnsi"/>
                <w:sz w:val="18"/>
                <w:szCs w:val="18"/>
              </w:rPr>
            </w:pPr>
          </w:p>
          <w:p w:rsidR="004809F3" w:rsidRPr="00C07D18" w:rsidRDefault="004809F3" w:rsidP="00845B07">
            <w:pPr>
              <w:jc w:val="center"/>
              <w:rPr>
                <w:rFonts w:asciiTheme="minorHAnsi" w:hAnsiTheme="minorHAnsi" w:cstheme="minorHAnsi"/>
                <w:sz w:val="18"/>
                <w:szCs w:val="18"/>
              </w:rPr>
            </w:pPr>
            <w:r w:rsidRPr="00C07D18">
              <w:rPr>
                <w:rFonts w:asciiTheme="minorHAnsi" w:hAnsiTheme="minorHAnsi" w:cstheme="minorHAnsi"/>
                <w:sz w:val="18"/>
                <w:szCs w:val="18"/>
              </w:rPr>
              <w:t>5499</w:t>
            </w:r>
          </w:p>
        </w:tc>
        <w:tc>
          <w:tcPr>
            <w:tcW w:w="1417" w:type="dxa"/>
            <w:gridSpan w:val="12"/>
            <w:tcBorders>
              <w:top w:val="single" w:sz="4" w:space="0" w:color="auto"/>
              <w:left w:val="single" w:sz="4" w:space="0" w:color="auto"/>
              <w:bottom w:val="single" w:sz="4" w:space="0" w:color="auto"/>
              <w:right w:val="single" w:sz="4" w:space="0" w:color="auto"/>
            </w:tcBorders>
          </w:tcPr>
          <w:p w:rsidR="004809F3" w:rsidRPr="00C07D18" w:rsidRDefault="004809F3" w:rsidP="00845B07">
            <w:pPr>
              <w:jc w:val="center"/>
              <w:rPr>
                <w:rFonts w:asciiTheme="minorHAnsi" w:hAnsiTheme="minorHAnsi" w:cstheme="minorHAnsi"/>
                <w:sz w:val="18"/>
                <w:szCs w:val="18"/>
              </w:rPr>
            </w:pPr>
            <w:r w:rsidRPr="00C07D18">
              <w:rPr>
                <w:rFonts w:asciiTheme="minorHAnsi" w:hAnsiTheme="minorHAnsi" w:cstheme="minorHAnsi"/>
                <w:sz w:val="18"/>
                <w:szCs w:val="18"/>
              </w:rPr>
              <w:t>0710000710040</w:t>
            </w:r>
          </w:p>
          <w:p w:rsidR="004809F3" w:rsidRPr="00C07D18" w:rsidRDefault="004809F3" w:rsidP="00845B07">
            <w:pPr>
              <w:jc w:val="center"/>
              <w:rPr>
                <w:rFonts w:asciiTheme="minorHAnsi" w:hAnsiTheme="minorHAnsi" w:cstheme="minorHAnsi"/>
                <w:sz w:val="18"/>
                <w:szCs w:val="18"/>
              </w:rPr>
            </w:pPr>
          </w:p>
          <w:p w:rsidR="004809F3" w:rsidRPr="00C07D18" w:rsidRDefault="004809F3" w:rsidP="00845B07">
            <w:pPr>
              <w:jc w:val="center"/>
              <w:rPr>
                <w:rFonts w:asciiTheme="minorHAnsi" w:hAnsiTheme="minorHAnsi" w:cstheme="minorHAnsi"/>
                <w:sz w:val="18"/>
                <w:szCs w:val="18"/>
              </w:rPr>
            </w:pPr>
            <w:r w:rsidRPr="00C07D18">
              <w:rPr>
                <w:rFonts w:asciiTheme="minorHAnsi" w:hAnsiTheme="minorHAnsi" w:cstheme="minorHAnsi"/>
                <w:sz w:val="18"/>
                <w:szCs w:val="18"/>
              </w:rPr>
              <w:t>0710000710080</w:t>
            </w:r>
          </w:p>
        </w:tc>
        <w:tc>
          <w:tcPr>
            <w:tcW w:w="851" w:type="dxa"/>
            <w:gridSpan w:val="13"/>
            <w:tcBorders>
              <w:top w:val="single" w:sz="4" w:space="0" w:color="auto"/>
              <w:left w:val="single" w:sz="4" w:space="0" w:color="auto"/>
              <w:bottom w:val="single" w:sz="4" w:space="0" w:color="auto"/>
              <w:right w:val="single" w:sz="4" w:space="0" w:color="auto"/>
            </w:tcBorders>
          </w:tcPr>
          <w:p w:rsidR="004809F3" w:rsidRPr="00C07D18" w:rsidRDefault="004809F3" w:rsidP="00845B07">
            <w:pPr>
              <w:jc w:val="center"/>
              <w:rPr>
                <w:rFonts w:asciiTheme="minorHAnsi" w:hAnsiTheme="minorHAnsi" w:cstheme="minorHAnsi"/>
                <w:sz w:val="18"/>
                <w:szCs w:val="18"/>
              </w:rPr>
            </w:pPr>
          </w:p>
        </w:tc>
        <w:tc>
          <w:tcPr>
            <w:tcW w:w="850" w:type="dxa"/>
            <w:gridSpan w:val="12"/>
            <w:tcBorders>
              <w:top w:val="single" w:sz="4" w:space="0" w:color="auto"/>
              <w:left w:val="single" w:sz="4" w:space="0" w:color="auto"/>
              <w:bottom w:val="single" w:sz="4" w:space="0" w:color="auto"/>
              <w:right w:val="single" w:sz="4" w:space="0" w:color="auto"/>
            </w:tcBorders>
          </w:tcPr>
          <w:p w:rsidR="004809F3" w:rsidRPr="00C07D18" w:rsidRDefault="004809F3" w:rsidP="00845B07">
            <w:pPr>
              <w:jc w:val="right"/>
              <w:rPr>
                <w:rFonts w:asciiTheme="minorHAnsi" w:hAnsiTheme="minorHAnsi" w:cstheme="minorHAnsi"/>
                <w:sz w:val="18"/>
                <w:szCs w:val="18"/>
              </w:rPr>
            </w:pPr>
            <w:r w:rsidRPr="00C07D18">
              <w:rPr>
                <w:rFonts w:asciiTheme="minorHAnsi" w:hAnsiTheme="minorHAnsi" w:cstheme="minorHAnsi"/>
                <w:sz w:val="18"/>
                <w:szCs w:val="18"/>
              </w:rPr>
              <w:t>20,00</w:t>
            </w:r>
          </w:p>
          <w:p w:rsidR="004809F3" w:rsidRPr="00C07D18" w:rsidRDefault="004809F3" w:rsidP="00845B07">
            <w:pPr>
              <w:jc w:val="right"/>
              <w:rPr>
                <w:rFonts w:asciiTheme="minorHAnsi" w:hAnsiTheme="minorHAnsi" w:cstheme="minorHAnsi"/>
                <w:sz w:val="18"/>
                <w:szCs w:val="18"/>
              </w:rPr>
            </w:pPr>
          </w:p>
          <w:p w:rsidR="004809F3" w:rsidRPr="00C07D18" w:rsidRDefault="004B1D56" w:rsidP="00845B07">
            <w:pPr>
              <w:jc w:val="right"/>
              <w:rPr>
                <w:rFonts w:asciiTheme="minorHAnsi" w:hAnsiTheme="minorHAnsi" w:cstheme="minorHAnsi"/>
                <w:sz w:val="18"/>
                <w:szCs w:val="18"/>
              </w:rPr>
            </w:pPr>
            <w:r>
              <w:rPr>
                <w:rFonts w:asciiTheme="minorHAnsi" w:hAnsiTheme="minorHAnsi" w:cstheme="minorHAnsi"/>
                <w:sz w:val="18"/>
                <w:szCs w:val="18"/>
              </w:rPr>
              <w:t xml:space="preserve">1 </w:t>
            </w:r>
            <w:r w:rsidR="004809F3" w:rsidRPr="00C07D18">
              <w:rPr>
                <w:rFonts w:asciiTheme="minorHAnsi" w:hAnsiTheme="minorHAnsi" w:cstheme="minorHAnsi"/>
                <w:sz w:val="18"/>
                <w:szCs w:val="18"/>
              </w:rPr>
              <w:t>600,00</w:t>
            </w:r>
          </w:p>
        </w:tc>
        <w:tc>
          <w:tcPr>
            <w:tcW w:w="993" w:type="dxa"/>
            <w:gridSpan w:val="8"/>
            <w:tcBorders>
              <w:top w:val="single" w:sz="4" w:space="0" w:color="auto"/>
              <w:left w:val="single" w:sz="4" w:space="0" w:color="auto"/>
              <w:bottom w:val="single" w:sz="4" w:space="0" w:color="auto"/>
              <w:right w:val="single" w:sz="4" w:space="0" w:color="auto"/>
            </w:tcBorders>
          </w:tcPr>
          <w:p w:rsidR="004809F3" w:rsidRPr="00C07D18" w:rsidRDefault="004809F3" w:rsidP="00845B07">
            <w:pPr>
              <w:jc w:val="right"/>
              <w:rPr>
                <w:rFonts w:asciiTheme="minorHAnsi" w:hAnsiTheme="minorHAnsi" w:cstheme="minorHAnsi"/>
                <w:sz w:val="18"/>
                <w:szCs w:val="18"/>
              </w:rPr>
            </w:pPr>
            <w:r w:rsidRPr="00C07D18">
              <w:rPr>
                <w:rFonts w:asciiTheme="minorHAnsi" w:hAnsiTheme="minorHAnsi" w:cstheme="minorHAnsi"/>
                <w:sz w:val="18"/>
                <w:szCs w:val="18"/>
              </w:rPr>
              <w:t>0,00</w:t>
            </w:r>
          </w:p>
          <w:p w:rsidR="004809F3" w:rsidRPr="00C07D18" w:rsidRDefault="004809F3" w:rsidP="00845B07">
            <w:pPr>
              <w:jc w:val="right"/>
              <w:rPr>
                <w:rFonts w:asciiTheme="minorHAnsi" w:hAnsiTheme="minorHAnsi" w:cstheme="minorHAnsi"/>
                <w:sz w:val="18"/>
                <w:szCs w:val="18"/>
              </w:rPr>
            </w:pPr>
          </w:p>
          <w:p w:rsidR="004809F3" w:rsidRPr="00C07D18" w:rsidRDefault="004B1D56" w:rsidP="00845B07">
            <w:pPr>
              <w:jc w:val="right"/>
              <w:rPr>
                <w:rFonts w:asciiTheme="minorHAnsi" w:hAnsiTheme="minorHAnsi" w:cstheme="minorHAnsi"/>
                <w:sz w:val="18"/>
                <w:szCs w:val="18"/>
              </w:rPr>
            </w:pPr>
            <w:r>
              <w:rPr>
                <w:rFonts w:asciiTheme="minorHAnsi" w:hAnsiTheme="minorHAnsi" w:cstheme="minorHAnsi"/>
                <w:sz w:val="18"/>
                <w:szCs w:val="18"/>
              </w:rPr>
              <w:t xml:space="preserve">1 </w:t>
            </w:r>
            <w:r w:rsidR="004809F3" w:rsidRPr="00C07D18">
              <w:rPr>
                <w:rFonts w:asciiTheme="minorHAnsi" w:hAnsiTheme="minorHAnsi" w:cstheme="minorHAnsi"/>
                <w:sz w:val="18"/>
                <w:szCs w:val="18"/>
              </w:rPr>
              <w:t>188,00</w:t>
            </w:r>
          </w:p>
        </w:tc>
        <w:tc>
          <w:tcPr>
            <w:tcW w:w="4110" w:type="dxa"/>
            <w:gridSpan w:val="30"/>
            <w:tcBorders>
              <w:top w:val="single" w:sz="4" w:space="0" w:color="auto"/>
              <w:left w:val="single" w:sz="4" w:space="0" w:color="auto"/>
              <w:bottom w:val="single" w:sz="4" w:space="0" w:color="auto"/>
              <w:right w:val="single" w:sz="4" w:space="0" w:color="auto"/>
            </w:tcBorders>
          </w:tcPr>
          <w:p w:rsidR="004809F3" w:rsidRPr="00C07D18" w:rsidRDefault="004809F3" w:rsidP="00845B07">
            <w:pPr>
              <w:rPr>
                <w:rFonts w:asciiTheme="minorHAnsi" w:hAnsiTheme="minorHAnsi" w:cstheme="minorHAnsi"/>
                <w:b/>
                <w:sz w:val="18"/>
                <w:szCs w:val="18"/>
                <w:u w:val="single"/>
              </w:rPr>
            </w:pPr>
            <w:r w:rsidRPr="00C07D18">
              <w:rPr>
                <w:rFonts w:asciiTheme="minorHAnsi" w:hAnsiTheme="minorHAnsi" w:cstheme="minorHAnsi"/>
                <w:b/>
                <w:sz w:val="18"/>
                <w:szCs w:val="18"/>
                <w:u w:val="single"/>
              </w:rPr>
              <w:t>Sociální výpomoci</w:t>
            </w:r>
          </w:p>
          <w:p w:rsidR="004809F3" w:rsidRPr="00C07D18" w:rsidRDefault="004809F3" w:rsidP="00845B07">
            <w:pPr>
              <w:rPr>
                <w:rFonts w:asciiTheme="minorHAnsi" w:hAnsiTheme="minorHAnsi" w:cstheme="minorHAnsi"/>
                <w:sz w:val="18"/>
                <w:szCs w:val="18"/>
              </w:rPr>
            </w:pPr>
            <w:r w:rsidRPr="00C07D18">
              <w:rPr>
                <w:rFonts w:asciiTheme="minorHAnsi" w:hAnsiTheme="minorHAnsi" w:cstheme="minorHAnsi"/>
                <w:sz w:val="18"/>
                <w:szCs w:val="18"/>
              </w:rPr>
              <w:t>Zakotveno v Kolektivní smlouvě pro možnost využití.</w:t>
            </w:r>
          </w:p>
          <w:p w:rsidR="004809F3" w:rsidRPr="00C07D18" w:rsidRDefault="004809F3" w:rsidP="00845B07">
            <w:pPr>
              <w:rPr>
                <w:rFonts w:asciiTheme="minorHAnsi" w:hAnsiTheme="minorHAnsi" w:cstheme="minorHAnsi"/>
                <w:b/>
                <w:sz w:val="18"/>
                <w:szCs w:val="18"/>
                <w:u w:val="single"/>
              </w:rPr>
            </w:pPr>
            <w:r w:rsidRPr="00C07D18">
              <w:rPr>
                <w:rFonts w:asciiTheme="minorHAnsi" w:hAnsiTheme="minorHAnsi" w:cstheme="minorHAnsi"/>
                <w:b/>
                <w:sz w:val="18"/>
                <w:szCs w:val="18"/>
                <w:u w:val="single"/>
              </w:rPr>
              <w:t>Penzijní připojištění</w:t>
            </w:r>
          </w:p>
          <w:p w:rsidR="004809F3" w:rsidRPr="00C07D18" w:rsidRDefault="004809F3" w:rsidP="00845B07">
            <w:pPr>
              <w:rPr>
                <w:rFonts w:asciiTheme="minorHAnsi" w:hAnsiTheme="minorHAnsi" w:cstheme="minorHAnsi"/>
                <w:sz w:val="18"/>
                <w:szCs w:val="18"/>
              </w:rPr>
            </w:pPr>
            <w:r w:rsidRPr="00C07D18">
              <w:rPr>
                <w:rFonts w:asciiTheme="minorHAnsi" w:hAnsiTheme="minorHAnsi" w:cstheme="minorHAnsi"/>
                <w:sz w:val="18"/>
                <w:szCs w:val="18"/>
              </w:rPr>
              <w:t>Nebylo třeba vyššího čerpání této položky.</w:t>
            </w:r>
          </w:p>
        </w:tc>
      </w:tr>
    </w:tbl>
    <w:p w:rsidR="004809F3" w:rsidRPr="004809F3" w:rsidRDefault="004809F3" w:rsidP="004809F3">
      <w:pPr>
        <w:rPr>
          <w:rFonts w:asciiTheme="minorHAnsi" w:hAnsiTheme="minorHAnsi" w:cstheme="minorHAnsi"/>
          <w:b/>
          <w:sz w:val="20"/>
          <w:szCs w:val="20"/>
        </w:rPr>
      </w:pPr>
    </w:p>
    <w:p w:rsidR="004809F3" w:rsidRPr="004809F3" w:rsidRDefault="004809F3" w:rsidP="004809F3">
      <w:pPr>
        <w:rPr>
          <w:rFonts w:asciiTheme="minorHAnsi" w:hAnsiTheme="minorHAnsi" w:cstheme="minorHAnsi"/>
          <w:b/>
          <w:sz w:val="20"/>
          <w:szCs w:val="20"/>
        </w:rPr>
      </w:pPr>
      <w:r w:rsidRPr="004809F3">
        <w:rPr>
          <w:rFonts w:asciiTheme="minorHAnsi" w:hAnsiTheme="minorHAnsi" w:cstheme="minorHAnsi"/>
          <w:b/>
          <w:sz w:val="20"/>
          <w:szCs w:val="20"/>
        </w:rPr>
        <w:t>Na kapitole 71</w:t>
      </w:r>
      <w:r w:rsidR="004B1D56">
        <w:rPr>
          <w:rFonts w:asciiTheme="minorHAnsi" w:hAnsiTheme="minorHAnsi" w:cstheme="minorHAnsi"/>
          <w:b/>
          <w:sz w:val="20"/>
          <w:szCs w:val="20"/>
        </w:rPr>
        <w:t xml:space="preserve"> </w:t>
      </w:r>
      <w:r w:rsidRPr="004809F3">
        <w:rPr>
          <w:rFonts w:asciiTheme="minorHAnsi" w:hAnsiTheme="minorHAnsi" w:cstheme="minorHAnsi"/>
          <w:b/>
          <w:sz w:val="20"/>
          <w:szCs w:val="20"/>
        </w:rPr>
        <w:t>-</w:t>
      </w:r>
      <w:r w:rsidR="004B1D56">
        <w:rPr>
          <w:rFonts w:asciiTheme="minorHAnsi" w:hAnsiTheme="minorHAnsi" w:cstheme="minorHAnsi"/>
          <w:b/>
          <w:sz w:val="20"/>
          <w:szCs w:val="20"/>
        </w:rPr>
        <w:t xml:space="preserve"> </w:t>
      </w:r>
      <w:r w:rsidRPr="004809F3">
        <w:rPr>
          <w:rFonts w:asciiTheme="minorHAnsi" w:hAnsiTheme="minorHAnsi" w:cstheme="minorHAnsi"/>
          <w:b/>
          <w:sz w:val="20"/>
          <w:szCs w:val="20"/>
        </w:rPr>
        <w:t>Sociální fond nebyla ke dni 31.</w:t>
      </w:r>
      <w:r w:rsidR="004B1D56">
        <w:rPr>
          <w:rFonts w:asciiTheme="minorHAnsi" w:hAnsiTheme="minorHAnsi" w:cstheme="minorHAnsi"/>
          <w:b/>
          <w:sz w:val="20"/>
          <w:szCs w:val="20"/>
        </w:rPr>
        <w:t xml:space="preserve"> </w:t>
      </w:r>
      <w:r w:rsidRPr="004809F3">
        <w:rPr>
          <w:rFonts w:asciiTheme="minorHAnsi" w:hAnsiTheme="minorHAnsi" w:cstheme="minorHAnsi"/>
          <w:b/>
          <w:sz w:val="20"/>
          <w:szCs w:val="20"/>
        </w:rPr>
        <w:t>12.</w:t>
      </w:r>
      <w:r w:rsidR="004B1D56">
        <w:rPr>
          <w:rFonts w:asciiTheme="minorHAnsi" w:hAnsiTheme="minorHAnsi" w:cstheme="minorHAnsi"/>
          <w:b/>
          <w:sz w:val="20"/>
          <w:szCs w:val="20"/>
        </w:rPr>
        <w:t xml:space="preserve"> </w:t>
      </w:r>
      <w:r w:rsidRPr="004809F3">
        <w:rPr>
          <w:rFonts w:asciiTheme="minorHAnsi" w:hAnsiTheme="minorHAnsi" w:cstheme="minorHAnsi"/>
          <w:b/>
          <w:sz w:val="20"/>
          <w:szCs w:val="20"/>
        </w:rPr>
        <w:t>2022 realizována žádná rozpočtová opatření.</w:t>
      </w:r>
    </w:p>
    <w:p w:rsidR="004809F3" w:rsidRPr="004809F3" w:rsidRDefault="004809F3" w:rsidP="004809F3">
      <w:pPr>
        <w:rPr>
          <w:rFonts w:asciiTheme="minorHAnsi" w:hAnsiTheme="minorHAnsi" w:cstheme="minorHAnsi"/>
          <w:b/>
          <w:sz w:val="20"/>
          <w:szCs w:val="20"/>
        </w:rPr>
      </w:pPr>
    </w:p>
    <w:p w:rsidR="004809F3" w:rsidRPr="004809F3" w:rsidRDefault="004809F3" w:rsidP="004809F3">
      <w:pPr>
        <w:rPr>
          <w:rFonts w:asciiTheme="minorHAnsi" w:hAnsiTheme="minorHAnsi" w:cstheme="minorHAnsi"/>
          <w:b/>
          <w:sz w:val="20"/>
          <w:szCs w:val="20"/>
        </w:rPr>
      </w:pPr>
    </w:p>
    <w:p w:rsidR="004809F3" w:rsidRPr="004809F3" w:rsidRDefault="004809F3" w:rsidP="004809F3">
      <w:pPr>
        <w:rPr>
          <w:rFonts w:asciiTheme="minorHAnsi" w:hAnsiTheme="minorHAnsi" w:cstheme="minorHAnsi"/>
          <w:b/>
          <w:sz w:val="20"/>
          <w:szCs w:val="20"/>
        </w:rPr>
      </w:pPr>
    </w:p>
    <w:p w:rsidR="004809F3" w:rsidRPr="004809F3" w:rsidRDefault="004809F3" w:rsidP="004809F3">
      <w:pPr>
        <w:rPr>
          <w:rFonts w:asciiTheme="minorHAnsi" w:hAnsiTheme="minorHAnsi" w:cstheme="minorHAnsi"/>
          <w:b/>
          <w:sz w:val="20"/>
          <w:szCs w:val="20"/>
        </w:rPr>
      </w:pPr>
    </w:p>
    <w:p w:rsidR="004809F3" w:rsidRPr="004809F3" w:rsidRDefault="004B1D56" w:rsidP="004809F3">
      <w:pPr>
        <w:rPr>
          <w:rFonts w:asciiTheme="minorHAnsi" w:hAnsiTheme="minorHAnsi" w:cstheme="minorHAnsi"/>
          <w:b/>
          <w:sz w:val="20"/>
          <w:szCs w:val="20"/>
        </w:rPr>
      </w:pPr>
      <w:r>
        <w:rPr>
          <w:rFonts w:asciiTheme="minorHAnsi" w:hAnsiTheme="minorHAnsi" w:cstheme="minorHAnsi"/>
          <w:b/>
          <w:sz w:val="20"/>
          <w:szCs w:val="20"/>
        </w:rPr>
        <w:t xml:space="preserve">V Prostějově 8. </w:t>
      </w:r>
      <w:r w:rsidR="004809F3" w:rsidRPr="004809F3">
        <w:rPr>
          <w:rFonts w:asciiTheme="minorHAnsi" w:hAnsiTheme="minorHAnsi" w:cstheme="minorHAnsi"/>
          <w:b/>
          <w:sz w:val="20"/>
          <w:szCs w:val="20"/>
        </w:rPr>
        <w:t>2.</w:t>
      </w:r>
      <w:r>
        <w:rPr>
          <w:rFonts w:asciiTheme="minorHAnsi" w:hAnsiTheme="minorHAnsi" w:cstheme="minorHAnsi"/>
          <w:b/>
          <w:sz w:val="20"/>
          <w:szCs w:val="20"/>
        </w:rPr>
        <w:t xml:space="preserve"> </w:t>
      </w:r>
      <w:r w:rsidR="004809F3" w:rsidRPr="004809F3">
        <w:rPr>
          <w:rFonts w:asciiTheme="minorHAnsi" w:hAnsiTheme="minorHAnsi" w:cstheme="minorHAnsi"/>
          <w:b/>
          <w:sz w:val="20"/>
          <w:szCs w:val="20"/>
        </w:rPr>
        <w:t>2023</w:t>
      </w:r>
      <w:r w:rsidR="004809F3" w:rsidRPr="004809F3">
        <w:rPr>
          <w:rFonts w:asciiTheme="minorHAnsi" w:hAnsiTheme="minorHAnsi" w:cstheme="minorHAnsi"/>
          <w:b/>
          <w:sz w:val="20"/>
          <w:szCs w:val="20"/>
        </w:rPr>
        <w:tab/>
      </w:r>
      <w:r w:rsidR="004809F3" w:rsidRPr="004809F3">
        <w:rPr>
          <w:rFonts w:asciiTheme="minorHAnsi" w:hAnsiTheme="minorHAnsi" w:cstheme="minorHAnsi"/>
          <w:b/>
          <w:sz w:val="20"/>
          <w:szCs w:val="20"/>
        </w:rPr>
        <w:tab/>
      </w:r>
      <w:r w:rsidR="004809F3" w:rsidRPr="004809F3">
        <w:rPr>
          <w:rFonts w:asciiTheme="minorHAnsi" w:hAnsiTheme="minorHAnsi" w:cstheme="minorHAnsi"/>
          <w:b/>
          <w:sz w:val="20"/>
          <w:szCs w:val="20"/>
        </w:rPr>
        <w:tab/>
      </w:r>
      <w:r w:rsidR="004809F3" w:rsidRPr="004809F3">
        <w:rPr>
          <w:rFonts w:asciiTheme="minorHAnsi" w:hAnsiTheme="minorHAnsi" w:cstheme="minorHAnsi"/>
          <w:b/>
          <w:sz w:val="20"/>
          <w:szCs w:val="20"/>
        </w:rPr>
        <w:tab/>
      </w:r>
      <w:r w:rsidR="004809F3" w:rsidRPr="004809F3">
        <w:rPr>
          <w:rFonts w:asciiTheme="minorHAnsi" w:hAnsiTheme="minorHAnsi" w:cstheme="minorHAnsi"/>
          <w:b/>
          <w:sz w:val="20"/>
          <w:szCs w:val="20"/>
        </w:rPr>
        <w:tab/>
        <w:t>Správce kapitoly:…………………………………………..</w:t>
      </w:r>
    </w:p>
    <w:p w:rsidR="004809F3" w:rsidRPr="004809F3" w:rsidRDefault="004809F3" w:rsidP="004809F3">
      <w:pPr>
        <w:rPr>
          <w:rFonts w:asciiTheme="minorHAnsi" w:hAnsiTheme="minorHAnsi" w:cstheme="minorHAnsi"/>
          <w:b/>
          <w:sz w:val="20"/>
          <w:szCs w:val="20"/>
        </w:rPr>
      </w:pPr>
      <w:r w:rsidRPr="004809F3">
        <w:rPr>
          <w:rFonts w:asciiTheme="minorHAnsi" w:hAnsiTheme="minorHAnsi" w:cstheme="minorHAnsi"/>
          <w:b/>
          <w:sz w:val="20"/>
          <w:szCs w:val="20"/>
        </w:rPr>
        <w:tab/>
      </w:r>
      <w:r w:rsidRPr="004809F3">
        <w:rPr>
          <w:rFonts w:asciiTheme="minorHAnsi" w:hAnsiTheme="minorHAnsi" w:cstheme="minorHAnsi"/>
          <w:b/>
          <w:sz w:val="20"/>
          <w:szCs w:val="20"/>
        </w:rPr>
        <w:tab/>
      </w:r>
      <w:r w:rsidRPr="004809F3">
        <w:rPr>
          <w:rFonts w:asciiTheme="minorHAnsi" w:hAnsiTheme="minorHAnsi" w:cstheme="minorHAnsi"/>
          <w:b/>
          <w:sz w:val="20"/>
          <w:szCs w:val="20"/>
        </w:rPr>
        <w:tab/>
      </w:r>
      <w:r w:rsidRPr="004809F3">
        <w:rPr>
          <w:rFonts w:asciiTheme="minorHAnsi" w:hAnsiTheme="minorHAnsi" w:cstheme="minorHAnsi"/>
          <w:b/>
          <w:sz w:val="20"/>
          <w:szCs w:val="20"/>
        </w:rPr>
        <w:tab/>
      </w:r>
      <w:r w:rsidRPr="004809F3">
        <w:rPr>
          <w:rFonts w:asciiTheme="minorHAnsi" w:hAnsiTheme="minorHAnsi" w:cstheme="minorHAnsi"/>
          <w:b/>
          <w:sz w:val="20"/>
          <w:szCs w:val="20"/>
        </w:rPr>
        <w:tab/>
      </w:r>
      <w:r w:rsidRPr="004809F3">
        <w:rPr>
          <w:rFonts w:asciiTheme="minorHAnsi" w:hAnsiTheme="minorHAnsi" w:cstheme="minorHAnsi"/>
          <w:b/>
          <w:sz w:val="20"/>
          <w:szCs w:val="20"/>
        </w:rPr>
        <w:tab/>
      </w:r>
      <w:r w:rsidRPr="004809F3">
        <w:rPr>
          <w:rFonts w:asciiTheme="minorHAnsi" w:hAnsiTheme="minorHAnsi" w:cstheme="minorHAnsi"/>
          <w:b/>
          <w:sz w:val="20"/>
          <w:szCs w:val="20"/>
        </w:rPr>
        <w:tab/>
      </w:r>
      <w:r w:rsidRPr="004809F3">
        <w:rPr>
          <w:rFonts w:asciiTheme="minorHAnsi" w:hAnsiTheme="minorHAnsi" w:cstheme="minorHAnsi"/>
          <w:b/>
          <w:sz w:val="20"/>
          <w:szCs w:val="20"/>
        </w:rPr>
        <w:tab/>
        <w:t xml:space="preserve">              Mgr. Lenka Tisoňová</w:t>
      </w:r>
    </w:p>
    <w:p w:rsidR="004809F3" w:rsidRPr="004809F3" w:rsidRDefault="004809F3" w:rsidP="004809F3">
      <w:pPr>
        <w:rPr>
          <w:rFonts w:asciiTheme="minorHAnsi" w:hAnsiTheme="minorHAnsi" w:cstheme="minorHAnsi"/>
          <w:b/>
          <w:sz w:val="20"/>
          <w:szCs w:val="20"/>
        </w:rPr>
      </w:pPr>
      <w:r w:rsidRPr="004809F3">
        <w:rPr>
          <w:rFonts w:asciiTheme="minorHAnsi" w:hAnsiTheme="minorHAnsi" w:cstheme="minorHAnsi"/>
          <w:b/>
          <w:sz w:val="20"/>
          <w:szCs w:val="20"/>
        </w:rPr>
        <w:tab/>
      </w:r>
      <w:r w:rsidRPr="004809F3">
        <w:rPr>
          <w:rFonts w:asciiTheme="minorHAnsi" w:hAnsiTheme="minorHAnsi" w:cstheme="minorHAnsi"/>
          <w:b/>
          <w:sz w:val="20"/>
          <w:szCs w:val="20"/>
        </w:rPr>
        <w:tab/>
      </w:r>
      <w:r w:rsidRPr="004809F3">
        <w:rPr>
          <w:rFonts w:asciiTheme="minorHAnsi" w:hAnsiTheme="minorHAnsi" w:cstheme="minorHAnsi"/>
          <w:b/>
          <w:sz w:val="20"/>
          <w:szCs w:val="20"/>
        </w:rPr>
        <w:tab/>
      </w:r>
      <w:r w:rsidRPr="004809F3">
        <w:rPr>
          <w:rFonts w:asciiTheme="minorHAnsi" w:hAnsiTheme="minorHAnsi" w:cstheme="minorHAnsi"/>
          <w:b/>
          <w:sz w:val="20"/>
          <w:szCs w:val="20"/>
        </w:rPr>
        <w:tab/>
      </w:r>
      <w:r w:rsidRPr="004809F3">
        <w:rPr>
          <w:rFonts w:asciiTheme="minorHAnsi" w:hAnsiTheme="minorHAnsi" w:cstheme="minorHAnsi"/>
          <w:b/>
          <w:sz w:val="20"/>
          <w:szCs w:val="20"/>
        </w:rPr>
        <w:tab/>
      </w:r>
      <w:r w:rsidRPr="004809F3">
        <w:rPr>
          <w:rFonts w:asciiTheme="minorHAnsi" w:hAnsiTheme="minorHAnsi" w:cstheme="minorHAnsi"/>
          <w:b/>
          <w:sz w:val="20"/>
          <w:szCs w:val="20"/>
        </w:rPr>
        <w:tab/>
      </w:r>
      <w:r w:rsidRPr="004809F3">
        <w:rPr>
          <w:rFonts w:asciiTheme="minorHAnsi" w:hAnsiTheme="minorHAnsi" w:cstheme="minorHAnsi"/>
          <w:b/>
          <w:sz w:val="20"/>
          <w:szCs w:val="20"/>
        </w:rPr>
        <w:tab/>
      </w:r>
      <w:r w:rsidRPr="004809F3">
        <w:rPr>
          <w:rFonts w:asciiTheme="minorHAnsi" w:hAnsiTheme="minorHAnsi" w:cstheme="minorHAnsi"/>
          <w:b/>
          <w:sz w:val="20"/>
          <w:szCs w:val="20"/>
        </w:rPr>
        <w:tab/>
        <w:t xml:space="preserve">              vedoucí Odboru vnitřní správy</w:t>
      </w:r>
    </w:p>
    <w:p w:rsidR="00C817EC" w:rsidRDefault="00C817EC" w:rsidP="00C817EC">
      <w:pPr>
        <w:rPr>
          <w:b/>
          <w:color w:val="FF0000"/>
          <w:sz w:val="20"/>
          <w:szCs w:val="20"/>
        </w:rPr>
      </w:pPr>
      <w:r>
        <w:rPr>
          <w:b/>
          <w:color w:val="FF0000"/>
          <w:sz w:val="20"/>
          <w:szCs w:val="20"/>
        </w:rPr>
        <w:br w:type="page"/>
      </w:r>
    </w:p>
    <w:tbl>
      <w:tblPr>
        <w:tblW w:w="9984" w:type="dxa"/>
        <w:tblInd w:w="-72" w:type="dxa"/>
        <w:tblLayout w:type="fixed"/>
        <w:tblCellMar>
          <w:left w:w="70" w:type="dxa"/>
          <w:right w:w="70" w:type="dxa"/>
        </w:tblCellMar>
        <w:tblLook w:val="0000" w:firstRow="0" w:lastRow="0" w:firstColumn="0" w:lastColumn="0" w:noHBand="0" w:noVBand="0"/>
      </w:tblPr>
      <w:tblGrid>
        <w:gridCol w:w="459"/>
        <w:gridCol w:w="391"/>
        <w:gridCol w:w="527"/>
        <w:gridCol w:w="113"/>
        <w:gridCol w:w="67"/>
        <w:gridCol w:w="211"/>
        <w:gridCol w:w="69"/>
        <w:gridCol w:w="460"/>
        <w:gridCol w:w="460"/>
        <w:gridCol w:w="150"/>
        <w:gridCol w:w="139"/>
        <w:gridCol w:w="171"/>
        <w:gridCol w:w="60"/>
        <w:gridCol w:w="339"/>
        <w:gridCol w:w="61"/>
        <w:gridCol w:w="60"/>
        <w:gridCol w:w="400"/>
        <w:gridCol w:w="60"/>
        <w:gridCol w:w="337"/>
        <w:gridCol w:w="123"/>
        <w:gridCol w:w="400"/>
        <w:gridCol w:w="60"/>
        <w:gridCol w:w="460"/>
        <w:gridCol w:w="24"/>
        <w:gridCol w:w="280"/>
        <w:gridCol w:w="160"/>
        <w:gridCol w:w="410"/>
        <w:gridCol w:w="50"/>
        <w:gridCol w:w="460"/>
        <w:gridCol w:w="460"/>
        <w:gridCol w:w="306"/>
        <w:gridCol w:w="154"/>
        <w:gridCol w:w="460"/>
        <w:gridCol w:w="460"/>
        <w:gridCol w:w="1119"/>
        <w:gridCol w:w="64"/>
      </w:tblGrid>
      <w:tr w:rsidR="00845B07" w:rsidRPr="00845B07" w:rsidTr="00F112A1">
        <w:trPr>
          <w:gridAfter w:val="1"/>
          <w:wAfter w:w="64" w:type="dxa"/>
        </w:trPr>
        <w:tc>
          <w:tcPr>
            <w:tcW w:w="9920" w:type="dxa"/>
            <w:gridSpan w:val="35"/>
          </w:tcPr>
          <w:p w:rsidR="00845B07" w:rsidRPr="00845B07" w:rsidRDefault="00845B07" w:rsidP="00845B07">
            <w:pPr>
              <w:rPr>
                <w:rFonts w:asciiTheme="minorHAnsi" w:hAnsiTheme="minorHAnsi" w:cstheme="minorHAnsi"/>
                <w:b/>
              </w:rPr>
            </w:pPr>
            <w:r w:rsidRPr="00845B07">
              <w:rPr>
                <w:rFonts w:asciiTheme="minorHAnsi" w:hAnsiTheme="minorHAnsi" w:cstheme="minorHAnsi"/>
                <w:b/>
              </w:rPr>
              <w:t>Kapitola 50 – Správa a nakládání s majetkem města</w:t>
            </w:r>
          </w:p>
        </w:tc>
      </w:tr>
      <w:tr w:rsidR="00845B07" w:rsidRPr="00845B07" w:rsidTr="00F112A1">
        <w:tc>
          <w:tcPr>
            <w:tcW w:w="459" w:type="dxa"/>
          </w:tcPr>
          <w:p w:rsidR="00845B07" w:rsidRPr="00845B07" w:rsidRDefault="00845B07" w:rsidP="00845B07">
            <w:pPr>
              <w:rPr>
                <w:rFonts w:asciiTheme="minorHAnsi" w:hAnsiTheme="minorHAnsi" w:cstheme="minorHAnsi"/>
                <w:b/>
                <w:sz w:val="20"/>
                <w:szCs w:val="20"/>
              </w:rPr>
            </w:pPr>
          </w:p>
        </w:tc>
        <w:tc>
          <w:tcPr>
            <w:tcW w:w="391" w:type="dxa"/>
          </w:tcPr>
          <w:p w:rsidR="00845B07" w:rsidRPr="00845B07" w:rsidRDefault="00845B07" w:rsidP="00845B07">
            <w:pPr>
              <w:rPr>
                <w:rFonts w:asciiTheme="minorHAnsi" w:hAnsiTheme="minorHAnsi" w:cstheme="minorHAnsi"/>
                <w:b/>
                <w:sz w:val="20"/>
                <w:szCs w:val="20"/>
              </w:rPr>
            </w:pPr>
          </w:p>
        </w:tc>
        <w:tc>
          <w:tcPr>
            <w:tcW w:w="527" w:type="dxa"/>
          </w:tcPr>
          <w:p w:rsidR="00845B07" w:rsidRPr="00845B07" w:rsidRDefault="00845B07" w:rsidP="00845B07">
            <w:pPr>
              <w:rPr>
                <w:rFonts w:asciiTheme="minorHAnsi" w:hAnsiTheme="minorHAnsi" w:cstheme="minorHAnsi"/>
                <w:b/>
                <w:sz w:val="20"/>
                <w:szCs w:val="20"/>
              </w:rPr>
            </w:pPr>
          </w:p>
        </w:tc>
        <w:tc>
          <w:tcPr>
            <w:tcW w:w="460" w:type="dxa"/>
            <w:gridSpan w:val="4"/>
          </w:tcPr>
          <w:p w:rsidR="00845B07" w:rsidRPr="00845B07" w:rsidRDefault="00845B07" w:rsidP="00845B07">
            <w:pPr>
              <w:rPr>
                <w:rFonts w:asciiTheme="minorHAnsi" w:hAnsiTheme="minorHAnsi" w:cstheme="minorHAnsi"/>
                <w:b/>
                <w:sz w:val="20"/>
                <w:szCs w:val="20"/>
              </w:rPr>
            </w:pPr>
          </w:p>
        </w:tc>
        <w:tc>
          <w:tcPr>
            <w:tcW w:w="460" w:type="dxa"/>
          </w:tcPr>
          <w:p w:rsidR="00845B07" w:rsidRPr="00845B07" w:rsidRDefault="00845B07" w:rsidP="00845B07">
            <w:pPr>
              <w:rPr>
                <w:rFonts w:asciiTheme="minorHAnsi" w:hAnsiTheme="minorHAnsi" w:cstheme="minorHAnsi"/>
                <w:b/>
                <w:sz w:val="20"/>
                <w:szCs w:val="20"/>
              </w:rPr>
            </w:pPr>
          </w:p>
        </w:tc>
        <w:tc>
          <w:tcPr>
            <w:tcW w:w="460" w:type="dxa"/>
          </w:tcPr>
          <w:p w:rsidR="00845B07" w:rsidRPr="00845B07" w:rsidRDefault="00845B07" w:rsidP="00845B07">
            <w:pPr>
              <w:rPr>
                <w:rFonts w:asciiTheme="minorHAnsi" w:hAnsiTheme="minorHAnsi" w:cstheme="minorHAnsi"/>
                <w:b/>
                <w:sz w:val="20"/>
                <w:szCs w:val="20"/>
              </w:rPr>
            </w:pPr>
          </w:p>
        </w:tc>
        <w:tc>
          <w:tcPr>
            <w:tcW w:w="460" w:type="dxa"/>
            <w:gridSpan w:val="3"/>
          </w:tcPr>
          <w:p w:rsidR="00845B07" w:rsidRPr="00845B07" w:rsidRDefault="00845B07" w:rsidP="00845B07">
            <w:pPr>
              <w:rPr>
                <w:rFonts w:asciiTheme="minorHAnsi" w:hAnsiTheme="minorHAnsi" w:cstheme="minorHAnsi"/>
                <w:b/>
                <w:sz w:val="20"/>
                <w:szCs w:val="20"/>
              </w:rPr>
            </w:pPr>
          </w:p>
        </w:tc>
        <w:tc>
          <w:tcPr>
            <w:tcW w:w="460" w:type="dxa"/>
            <w:gridSpan w:val="3"/>
          </w:tcPr>
          <w:p w:rsidR="00845B07" w:rsidRPr="00845B07" w:rsidRDefault="00845B07" w:rsidP="00845B07">
            <w:pPr>
              <w:rPr>
                <w:rFonts w:asciiTheme="minorHAnsi" w:hAnsiTheme="minorHAnsi" w:cstheme="minorHAnsi"/>
                <w:b/>
                <w:sz w:val="20"/>
                <w:szCs w:val="20"/>
              </w:rPr>
            </w:pPr>
          </w:p>
        </w:tc>
        <w:tc>
          <w:tcPr>
            <w:tcW w:w="460" w:type="dxa"/>
            <w:gridSpan w:val="2"/>
          </w:tcPr>
          <w:p w:rsidR="00845B07" w:rsidRPr="00845B07" w:rsidRDefault="00845B07" w:rsidP="00845B07">
            <w:pPr>
              <w:rPr>
                <w:rFonts w:asciiTheme="minorHAnsi" w:hAnsiTheme="minorHAnsi" w:cstheme="minorHAnsi"/>
                <w:b/>
                <w:sz w:val="20"/>
                <w:szCs w:val="20"/>
              </w:rPr>
            </w:pPr>
          </w:p>
        </w:tc>
        <w:tc>
          <w:tcPr>
            <w:tcW w:w="397" w:type="dxa"/>
            <w:gridSpan w:val="2"/>
          </w:tcPr>
          <w:p w:rsidR="00845B07" w:rsidRPr="00845B07" w:rsidRDefault="00845B07" w:rsidP="00845B07">
            <w:pPr>
              <w:rPr>
                <w:rFonts w:asciiTheme="minorHAnsi" w:hAnsiTheme="minorHAnsi" w:cstheme="minorHAnsi"/>
                <w:b/>
                <w:sz w:val="20"/>
                <w:szCs w:val="20"/>
              </w:rPr>
            </w:pPr>
          </w:p>
        </w:tc>
        <w:tc>
          <w:tcPr>
            <w:tcW w:w="523" w:type="dxa"/>
            <w:gridSpan w:val="2"/>
          </w:tcPr>
          <w:p w:rsidR="00845B07" w:rsidRPr="00845B07" w:rsidRDefault="00845B07" w:rsidP="00845B07">
            <w:pPr>
              <w:rPr>
                <w:rFonts w:asciiTheme="minorHAnsi" w:hAnsiTheme="minorHAnsi" w:cstheme="minorHAnsi"/>
                <w:b/>
                <w:sz w:val="20"/>
                <w:szCs w:val="20"/>
              </w:rPr>
            </w:pPr>
          </w:p>
        </w:tc>
        <w:tc>
          <w:tcPr>
            <w:tcW w:w="824" w:type="dxa"/>
            <w:gridSpan w:val="4"/>
          </w:tcPr>
          <w:p w:rsidR="00845B07" w:rsidRPr="00845B07" w:rsidRDefault="00845B07" w:rsidP="00845B07">
            <w:pPr>
              <w:rPr>
                <w:rFonts w:asciiTheme="minorHAnsi" w:hAnsiTheme="minorHAnsi" w:cstheme="minorHAnsi"/>
                <w:b/>
                <w:sz w:val="20"/>
                <w:szCs w:val="20"/>
              </w:rPr>
            </w:pPr>
          </w:p>
        </w:tc>
        <w:tc>
          <w:tcPr>
            <w:tcW w:w="160" w:type="dxa"/>
          </w:tcPr>
          <w:p w:rsidR="00845B07" w:rsidRPr="00845B07" w:rsidRDefault="00845B07" w:rsidP="00845B07">
            <w:pPr>
              <w:rPr>
                <w:rFonts w:asciiTheme="minorHAnsi" w:hAnsiTheme="minorHAnsi" w:cstheme="minorHAnsi"/>
                <w:b/>
                <w:sz w:val="20"/>
                <w:szCs w:val="20"/>
              </w:rPr>
            </w:pPr>
          </w:p>
        </w:tc>
        <w:tc>
          <w:tcPr>
            <w:tcW w:w="460" w:type="dxa"/>
            <w:gridSpan w:val="2"/>
          </w:tcPr>
          <w:p w:rsidR="00845B07" w:rsidRPr="00845B07" w:rsidRDefault="00845B07" w:rsidP="00845B07">
            <w:pPr>
              <w:rPr>
                <w:rFonts w:asciiTheme="minorHAnsi" w:hAnsiTheme="minorHAnsi" w:cstheme="minorHAnsi"/>
                <w:b/>
                <w:sz w:val="20"/>
                <w:szCs w:val="20"/>
              </w:rPr>
            </w:pPr>
          </w:p>
        </w:tc>
        <w:tc>
          <w:tcPr>
            <w:tcW w:w="460" w:type="dxa"/>
          </w:tcPr>
          <w:p w:rsidR="00845B07" w:rsidRPr="00845B07" w:rsidRDefault="00845B07" w:rsidP="00845B07">
            <w:pPr>
              <w:rPr>
                <w:rFonts w:asciiTheme="minorHAnsi" w:hAnsiTheme="minorHAnsi" w:cstheme="minorHAnsi"/>
                <w:b/>
                <w:sz w:val="20"/>
                <w:szCs w:val="20"/>
              </w:rPr>
            </w:pPr>
          </w:p>
        </w:tc>
        <w:tc>
          <w:tcPr>
            <w:tcW w:w="460" w:type="dxa"/>
          </w:tcPr>
          <w:p w:rsidR="00845B07" w:rsidRPr="00845B07" w:rsidRDefault="00845B07" w:rsidP="00845B07">
            <w:pPr>
              <w:rPr>
                <w:rFonts w:asciiTheme="minorHAnsi" w:hAnsiTheme="minorHAnsi" w:cstheme="minorHAnsi"/>
                <w:b/>
                <w:sz w:val="20"/>
                <w:szCs w:val="20"/>
              </w:rPr>
            </w:pPr>
          </w:p>
        </w:tc>
        <w:tc>
          <w:tcPr>
            <w:tcW w:w="460" w:type="dxa"/>
            <w:gridSpan w:val="2"/>
          </w:tcPr>
          <w:p w:rsidR="00845B07" w:rsidRPr="00845B07" w:rsidRDefault="00845B07" w:rsidP="00845B07">
            <w:pPr>
              <w:rPr>
                <w:rFonts w:asciiTheme="minorHAnsi" w:hAnsiTheme="minorHAnsi" w:cstheme="minorHAnsi"/>
                <w:b/>
                <w:sz w:val="20"/>
                <w:szCs w:val="20"/>
              </w:rPr>
            </w:pPr>
          </w:p>
        </w:tc>
        <w:tc>
          <w:tcPr>
            <w:tcW w:w="460" w:type="dxa"/>
          </w:tcPr>
          <w:p w:rsidR="00845B07" w:rsidRPr="00845B07" w:rsidRDefault="00845B07" w:rsidP="00845B07">
            <w:pPr>
              <w:rPr>
                <w:rFonts w:asciiTheme="minorHAnsi" w:hAnsiTheme="minorHAnsi" w:cstheme="minorHAnsi"/>
                <w:b/>
                <w:sz w:val="20"/>
                <w:szCs w:val="20"/>
              </w:rPr>
            </w:pPr>
          </w:p>
        </w:tc>
        <w:tc>
          <w:tcPr>
            <w:tcW w:w="460" w:type="dxa"/>
          </w:tcPr>
          <w:p w:rsidR="00845B07" w:rsidRPr="00845B07" w:rsidRDefault="00845B07" w:rsidP="00845B07">
            <w:pPr>
              <w:rPr>
                <w:rFonts w:asciiTheme="minorHAnsi" w:hAnsiTheme="minorHAnsi" w:cstheme="minorHAnsi"/>
                <w:b/>
                <w:sz w:val="20"/>
                <w:szCs w:val="20"/>
              </w:rPr>
            </w:pPr>
          </w:p>
        </w:tc>
        <w:tc>
          <w:tcPr>
            <w:tcW w:w="1183" w:type="dxa"/>
            <w:gridSpan w:val="2"/>
          </w:tcPr>
          <w:p w:rsidR="00845B07" w:rsidRPr="00845B07" w:rsidRDefault="00845B07" w:rsidP="00845B07">
            <w:pPr>
              <w:rPr>
                <w:rFonts w:asciiTheme="minorHAnsi" w:hAnsiTheme="minorHAnsi" w:cstheme="minorHAnsi"/>
                <w:b/>
                <w:sz w:val="20"/>
                <w:szCs w:val="20"/>
              </w:rPr>
            </w:pPr>
          </w:p>
        </w:tc>
      </w:tr>
      <w:tr w:rsidR="00845B07" w:rsidRPr="00845B07" w:rsidTr="00F112A1">
        <w:trPr>
          <w:gridAfter w:val="1"/>
          <w:wAfter w:w="64" w:type="dxa"/>
        </w:trPr>
        <w:tc>
          <w:tcPr>
            <w:tcW w:w="9920" w:type="dxa"/>
            <w:gridSpan w:val="35"/>
            <w:shd w:val="clear" w:color="auto" w:fill="F79646"/>
          </w:tcPr>
          <w:p w:rsidR="00845B07" w:rsidRPr="00845B07" w:rsidRDefault="00845B07" w:rsidP="00845B07">
            <w:pPr>
              <w:rPr>
                <w:rFonts w:asciiTheme="minorHAnsi" w:hAnsiTheme="minorHAnsi" w:cstheme="minorHAnsi"/>
                <w:b/>
                <w:sz w:val="20"/>
                <w:szCs w:val="20"/>
                <w:u w:val="single"/>
              </w:rPr>
            </w:pPr>
            <w:r w:rsidRPr="00845B07">
              <w:rPr>
                <w:rFonts w:asciiTheme="minorHAnsi" w:hAnsiTheme="minorHAnsi" w:cstheme="minorHAnsi"/>
                <w:b/>
                <w:sz w:val="20"/>
                <w:szCs w:val="20"/>
                <w:u w:val="single"/>
              </w:rPr>
              <w:t>Rozbor plnění příjmů rozpočtu kapitoly</w:t>
            </w:r>
          </w:p>
        </w:tc>
      </w:tr>
      <w:tr w:rsidR="00845B07" w:rsidRPr="00845B07" w:rsidTr="00F112A1">
        <w:tc>
          <w:tcPr>
            <w:tcW w:w="459" w:type="dxa"/>
          </w:tcPr>
          <w:p w:rsidR="00845B07" w:rsidRPr="00845B07" w:rsidRDefault="00845B07" w:rsidP="00845B07">
            <w:pPr>
              <w:rPr>
                <w:rFonts w:asciiTheme="minorHAnsi" w:hAnsiTheme="minorHAnsi" w:cstheme="minorHAnsi"/>
                <w:b/>
                <w:sz w:val="20"/>
                <w:szCs w:val="20"/>
              </w:rPr>
            </w:pPr>
          </w:p>
        </w:tc>
        <w:tc>
          <w:tcPr>
            <w:tcW w:w="391" w:type="dxa"/>
          </w:tcPr>
          <w:p w:rsidR="00845B07" w:rsidRPr="00845B07" w:rsidRDefault="00845B07" w:rsidP="00845B07">
            <w:pPr>
              <w:rPr>
                <w:rFonts w:asciiTheme="minorHAnsi" w:hAnsiTheme="minorHAnsi" w:cstheme="minorHAnsi"/>
                <w:b/>
                <w:sz w:val="20"/>
                <w:szCs w:val="20"/>
              </w:rPr>
            </w:pPr>
          </w:p>
        </w:tc>
        <w:tc>
          <w:tcPr>
            <w:tcW w:w="527" w:type="dxa"/>
          </w:tcPr>
          <w:p w:rsidR="00845B07" w:rsidRPr="00845B07" w:rsidRDefault="00845B07" w:rsidP="00845B07">
            <w:pPr>
              <w:rPr>
                <w:rFonts w:asciiTheme="minorHAnsi" w:hAnsiTheme="minorHAnsi" w:cstheme="minorHAnsi"/>
                <w:b/>
                <w:sz w:val="20"/>
                <w:szCs w:val="20"/>
              </w:rPr>
            </w:pPr>
          </w:p>
        </w:tc>
        <w:tc>
          <w:tcPr>
            <w:tcW w:w="391" w:type="dxa"/>
            <w:gridSpan w:val="3"/>
          </w:tcPr>
          <w:p w:rsidR="00845B07" w:rsidRPr="00845B07" w:rsidRDefault="00845B07" w:rsidP="00845B07">
            <w:pPr>
              <w:rPr>
                <w:rFonts w:asciiTheme="minorHAnsi" w:hAnsiTheme="minorHAnsi" w:cstheme="minorHAnsi"/>
                <w:b/>
                <w:sz w:val="20"/>
                <w:szCs w:val="20"/>
              </w:rPr>
            </w:pPr>
          </w:p>
        </w:tc>
        <w:tc>
          <w:tcPr>
            <w:tcW w:w="529" w:type="dxa"/>
            <w:gridSpan w:val="2"/>
          </w:tcPr>
          <w:p w:rsidR="00845B07" w:rsidRPr="00845B07" w:rsidRDefault="00845B07" w:rsidP="00845B07">
            <w:pPr>
              <w:rPr>
                <w:rFonts w:asciiTheme="minorHAnsi" w:hAnsiTheme="minorHAnsi" w:cstheme="minorHAnsi"/>
                <w:b/>
                <w:sz w:val="20"/>
                <w:szCs w:val="20"/>
              </w:rPr>
            </w:pPr>
          </w:p>
        </w:tc>
        <w:tc>
          <w:tcPr>
            <w:tcW w:w="460" w:type="dxa"/>
          </w:tcPr>
          <w:p w:rsidR="00845B07" w:rsidRPr="00845B07" w:rsidRDefault="00845B07" w:rsidP="00845B07">
            <w:pPr>
              <w:rPr>
                <w:rFonts w:asciiTheme="minorHAnsi" w:hAnsiTheme="minorHAnsi" w:cstheme="minorHAnsi"/>
                <w:b/>
                <w:sz w:val="20"/>
                <w:szCs w:val="20"/>
              </w:rPr>
            </w:pPr>
          </w:p>
        </w:tc>
        <w:tc>
          <w:tcPr>
            <w:tcW w:w="460" w:type="dxa"/>
            <w:gridSpan w:val="3"/>
          </w:tcPr>
          <w:p w:rsidR="00845B07" w:rsidRPr="00845B07" w:rsidRDefault="00845B07" w:rsidP="00845B07">
            <w:pPr>
              <w:rPr>
                <w:rFonts w:asciiTheme="minorHAnsi" w:hAnsiTheme="minorHAnsi" w:cstheme="minorHAnsi"/>
                <w:b/>
                <w:sz w:val="20"/>
                <w:szCs w:val="20"/>
              </w:rPr>
            </w:pPr>
          </w:p>
        </w:tc>
        <w:tc>
          <w:tcPr>
            <w:tcW w:w="460" w:type="dxa"/>
            <w:gridSpan w:val="3"/>
          </w:tcPr>
          <w:p w:rsidR="00845B07" w:rsidRPr="00845B07" w:rsidRDefault="00845B07" w:rsidP="00845B07">
            <w:pPr>
              <w:rPr>
                <w:rFonts w:asciiTheme="minorHAnsi" w:hAnsiTheme="minorHAnsi" w:cstheme="minorHAnsi"/>
                <w:b/>
                <w:sz w:val="20"/>
                <w:szCs w:val="20"/>
              </w:rPr>
            </w:pPr>
          </w:p>
        </w:tc>
        <w:tc>
          <w:tcPr>
            <w:tcW w:w="460" w:type="dxa"/>
            <w:gridSpan w:val="2"/>
          </w:tcPr>
          <w:p w:rsidR="00845B07" w:rsidRPr="00845B07" w:rsidRDefault="00845B07" w:rsidP="00845B07">
            <w:pPr>
              <w:rPr>
                <w:rFonts w:asciiTheme="minorHAnsi" w:hAnsiTheme="minorHAnsi" w:cstheme="minorHAnsi"/>
                <w:b/>
                <w:sz w:val="20"/>
                <w:szCs w:val="20"/>
              </w:rPr>
            </w:pPr>
          </w:p>
        </w:tc>
        <w:tc>
          <w:tcPr>
            <w:tcW w:w="397" w:type="dxa"/>
            <w:gridSpan w:val="2"/>
          </w:tcPr>
          <w:p w:rsidR="00845B07" w:rsidRPr="00845B07" w:rsidRDefault="00845B07" w:rsidP="00845B07">
            <w:pPr>
              <w:rPr>
                <w:rFonts w:asciiTheme="minorHAnsi" w:hAnsiTheme="minorHAnsi" w:cstheme="minorHAnsi"/>
                <w:b/>
                <w:sz w:val="20"/>
                <w:szCs w:val="20"/>
              </w:rPr>
            </w:pPr>
          </w:p>
        </w:tc>
        <w:tc>
          <w:tcPr>
            <w:tcW w:w="523" w:type="dxa"/>
            <w:gridSpan w:val="2"/>
          </w:tcPr>
          <w:p w:rsidR="00845B07" w:rsidRPr="00845B07" w:rsidRDefault="00845B07" w:rsidP="00845B07">
            <w:pPr>
              <w:rPr>
                <w:rFonts w:asciiTheme="minorHAnsi" w:hAnsiTheme="minorHAnsi" w:cstheme="minorHAnsi"/>
                <w:b/>
                <w:sz w:val="20"/>
                <w:szCs w:val="20"/>
              </w:rPr>
            </w:pPr>
          </w:p>
        </w:tc>
        <w:tc>
          <w:tcPr>
            <w:tcW w:w="824" w:type="dxa"/>
            <w:gridSpan w:val="4"/>
          </w:tcPr>
          <w:p w:rsidR="00845B07" w:rsidRPr="00845B07" w:rsidRDefault="00845B07" w:rsidP="00845B07">
            <w:pPr>
              <w:rPr>
                <w:rFonts w:asciiTheme="minorHAnsi" w:hAnsiTheme="minorHAnsi" w:cstheme="minorHAnsi"/>
                <w:b/>
                <w:sz w:val="20"/>
                <w:szCs w:val="20"/>
              </w:rPr>
            </w:pPr>
          </w:p>
        </w:tc>
        <w:tc>
          <w:tcPr>
            <w:tcW w:w="160" w:type="dxa"/>
          </w:tcPr>
          <w:p w:rsidR="00845B07" w:rsidRPr="00845B07" w:rsidRDefault="00845B07" w:rsidP="00845B07">
            <w:pPr>
              <w:rPr>
                <w:rFonts w:asciiTheme="minorHAnsi" w:hAnsiTheme="minorHAnsi" w:cstheme="minorHAnsi"/>
                <w:b/>
                <w:sz w:val="20"/>
                <w:szCs w:val="20"/>
              </w:rPr>
            </w:pPr>
          </w:p>
        </w:tc>
        <w:tc>
          <w:tcPr>
            <w:tcW w:w="460" w:type="dxa"/>
            <w:gridSpan w:val="2"/>
          </w:tcPr>
          <w:p w:rsidR="00845B07" w:rsidRPr="00845B07" w:rsidRDefault="00845B07" w:rsidP="00845B07">
            <w:pPr>
              <w:rPr>
                <w:rFonts w:asciiTheme="minorHAnsi" w:hAnsiTheme="minorHAnsi" w:cstheme="minorHAnsi"/>
                <w:b/>
                <w:sz w:val="20"/>
                <w:szCs w:val="20"/>
              </w:rPr>
            </w:pPr>
          </w:p>
        </w:tc>
        <w:tc>
          <w:tcPr>
            <w:tcW w:w="460" w:type="dxa"/>
          </w:tcPr>
          <w:p w:rsidR="00845B07" w:rsidRPr="00845B07" w:rsidRDefault="00845B07" w:rsidP="00845B07">
            <w:pPr>
              <w:rPr>
                <w:rFonts w:asciiTheme="minorHAnsi" w:hAnsiTheme="minorHAnsi" w:cstheme="minorHAnsi"/>
                <w:b/>
                <w:sz w:val="20"/>
                <w:szCs w:val="20"/>
              </w:rPr>
            </w:pPr>
          </w:p>
        </w:tc>
        <w:tc>
          <w:tcPr>
            <w:tcW w:w="460" w:type="dxa"/>
          </w:tcPr>
          <w:p w:rsidR="00845B07" w:rsidRPr="00845B07" w:rsidRDefault="00845B07" w:rsidP="00845B07">
            <w:pPr>
              <w:rPr>
                <w:rFonts w:asciiTheme="minorHAnsi" w:hAnsiTheme="minorHAnsi" w:cstheme="minorHAnsi"/>
                <w:b/>
                <w:sz w:val="20"/>
                <w:szCs w:val="20"/>
              </w:rPr>
            </w:pPr>
          </w:p>
        </w:tc>
        <w:tc>
          <w:tcPr>
            <w:tcW w:w="460" w:type="dxa"/>
            <w:gridSpan w:val="2"/>
          </w:tcPr>
          <w:p w:rsidR="00845B07" w:rsidRPr="00845B07" w:rsidRDefault="00845B07" w:rsidP="00845B07">
            <w:pPr>
              <w:rPr>
                <w:rFonts w:asciiTheme="minorHAnsi" w:hAnsiTheme="minorHAnsi" w:cstheme="minorHAnsi"/>
                <w:b/>
                <w:sz w:val="20"/>
                <w:szCs w:val="20"/>
              </w:rPr>
            </w:pPr>
          </w:p>
        </w:tc>
        <w:tc>
          <w:tcPr>
            <w:tcW w:w="460" w:type="dxa"/>
          </w:tcPr>
          <w:p w:rsidR="00845B07" w:rsidRPr="00845B07" w:rsidRDefault="00845B07" w:rsidP="00845B07">
            <w:pPr>
              <w:rPr>
                <w:rFonts w:asciiTheme="minorHAnsi" w:hAnsiTheme="minorHAnsi" w:cstheme="minorHAnsi"/>
                <w:b/>
                <w:sz w:val="20"/>
                <w:szCs w:val="20"/>
              </w:rPr>
            </w:pPr>
          </w:p>
        </w:tc>
        <w:tc>
          <w:tcPr>
            <w:tcW w:w="460" w:type="dxa"/>
          </w:tcPr>
          <w:p w:rsidR="00845B07" w:rsidRPr="00845B07" w:rsidRDefault="00845B07" w:rsidP="00845B07">
            <w:pPr>
              <w:rPr>
                <w:rFonts w:asciiTheme="minorHAnsi" w:hAnsiTheme="minorHAnsi" w:cstheme="minorHAnsi"/>
                <w:b/>
                <w:sz w:val="20"/>
                <w:szCs w:val="20"/>
              </w:rPr>
            </w:pPr>
          </w:p>
        </w:tc>
        <w:tc>
          <w:tcPr>
            <w:tcW w:w="1183" w:type="dxa"/>
            <w:gridSpan w:val="2"/>
          </w:tcPr>
          <w:p w:rsidR="00845B07" w:rsidRPr="00845B07" w:rsidRDefault="00845B07" w:rsidP="00845B07">
            <w:pPr>
              <w:rPr>
                <w:rFonts w:asciiTheme="minorHAnsi" w:hAnsiTheme="minorHAnsi" w:cstheme="minorHAnsi"/>
                <w:b/>
                <w:sz w:val="20"/>
                <w:szCs w:val="20"/>
              </w:rPr>
            </w:pPr>
          </w:p>
        </w:tc>
      </w:tr>
      <w:tr w:rsidR="00845B07" w:rsidRPr="00845B07" w:rsidTr="00F112A1">
        <w:trPr>
          <w:gridAfter w:val="1"/>
          <w:wAfter w:w="64" w:type="dxa"/>
        </w:trPr>
        <w:tc>
          <w:tcPr>
            <w:tcW w:w="3616" w:type="dxa"/>
            <w:gridSpan w:val="14"/>
            <w:tcBorders>
              <w:top w:val="single" w:sz="4" w:space="0" w:color="auto"/>
              <w:left w:val="single" w:sz="4" w:space="0" w:color="auto"/>
              <w:bottom w:val="single" w:sz="4" w:space="0" w:color="auto"/>
              <w:right w:val="single" w:sz="4" w:space="0" w:color="auto"/>
            </w:tcBorders>
            <w:shd w:val="clear" w:color="auto" w:fill="FFFF00"/>
          </w:tcPr>
          <w:p w:rsidR="00845B07" w:rsidRPr="008D5999" w:rsidRDefault="00845B07" w:rsidP="00845B07">
            <w:pPr>
              <w:jc w:val="center"/>
              <w:rPr>
                <w:rFonts w:asciiTheme="minorHAnsi" w:hAnsiTheme="minorHAnsi" w:cstheme="minorHAnsi"/>
                <w:b/>
                <w:sz w:val="18"/>
                <w:szCs w:val="18"/>
              </w:rPr>
            </w:pPr>
            <w:r w:rsidRPr="008D5999">
              <w:rPr>
                <w:rFonts w:asciiTheme="minorHAnsi" w:hAnsiTheme="minorHAnsi" w:cstheme="minorHAnsi"/>
                <w:b/>
                <w:sz w:val="18"/>
                <w:szCs w:val="18"/>
              </w:rPr>
              <w:t>Rozpočet upravený v tis. Kč</w:t>
            </w:r>
          </w:p>
        </w:tc>
        <w:tc>
          <w:tcPr>
            <w:tcW w:w="2835" w:type="dxa"/>
            <w:gridSpan w:val="13"/>
            <w:tcBorders>
              <w:top w:val="single" w:sz="4" w:space="0" w:color="auto"/>
              <w:left w:val="single" w:sz="4" w:space="0" w:color="auto"/>
              <w:bottom w:val="single" w:sz="4" w:space="0" w:color="auto"/>
              <w:right w:val="single" w:sz="4" w:space="0" w:color="auto"/>
            </w:tcBorders>
            <w:shd w:val="clear" w:color="auto" w:fill="FFFF00"/>
          </w:tcPr>
          <w:p w:rsidR="00845B07" w:rsidRPr="008D5999" w:rsidRDefault="00845B07" w:rsidP="00845B07">
            <w:pPr>
              <w:jc w:val="center"/>
              <w:rPr>
                <w:rFonts w:asciiTheme="minorHAnsi" w:hAnsiTheme="minorHAnsi" w:cstheme="minorHAnsi"/>
                <w:b/>
                <w:sz w:val="18"/>
                <w:szCs w:val="18"/>
              </w:rPr>
            </w:pPr>
            <w:r w:rsidRPr="008D5999">
              <w:rPr>
                <w:rFonts w:asciiTheme="minorHAnsi" w:hAnsiTheme="minorHAnsi" w:cstheme="minorHAnsi"/>
                <w:b/>
                <w:sz w:val="18"/>
                <w:szCs w:val="18"/>
              </w:rPr>
              <w:t>Skutečnost v tis. Kč</w:t>
            </w:r>
          </w:p>
        </w:tc>
        <w:tc>
          <w:tcPr>
            <w:tcW w:w="1276" w:type="dxa"/>
            <w:gridSpan w:val="4"/>
            <w:tcBorders>
              <w:top w:val="single" w:sz="4" w:space="0" w:color="auto"/>
              <w:left w:val="single" w:sz="4" w:space="0" w:color="auto"/>
              <w:bottom w:val="single" w:sz="4" w:space="0" w:color="auto"/>
              <w:right w:val="single" w:sz="4" w:space="0" w:color="auto"/>
            </w:tcBorders>
            <w:shd w:val="clear" w:color="auto" w:fill="FFFF00"/>
          </w:tcPr>
          <w:p w:rsidR="00845B07" w:rsidRPr="008D5999" w:rsidRDefault="00845B07" w:rsidP="00845B07">
            <w:pPr>
              <w:jc w:val="center"/>
              <w:rPr>
                <w:rFonts w:asciiTheme="minorHAnsi" w:hAnsiTheme="minorHAnsi" w:cstheme="minorHAnsi"/>
                <w:b/>
                <w:sz w:val="18"/>
                <w:szCs w:val="18"/>
              </w:rPr>
            </w:pPr>
            <w:r w:rsidRPr="008D5999">
              <w:rPr>
                <w:rFonts w:asciiTheme="minorHAnsi" w:hAnsiTheme="minorHAnsi" w:cstheme="minorHAnsi"/>
                <w:b/>
                <w:sz w:val="18"/>
                <w:szCs w:val="18"/>
              </w:rPr>
              <w:t>SK/RU v %</w:t>
            </w:r>
          </w:p>
        </w:tc>
        <w:tc>
          <w:tcPr>
            <w:tcW w:w="2193" w:type="dxa"/>
            <w:gridSpan w:val="4"/>
            <w:tcBorders>
              <w:top w:val="single" w:sz="4" w:space="0" w:color="auto"/>
              <w:left w:val="single" w:sz="4" w:space="0" w:color="auto"/>
              <w:bottom w:val="single" w:sz="4" w:space="0" w:color="auto"/>
              <w:right w:val="single" w:sz="4" w:space="0" w:color="auto"/>
            </w:tcBorders>
            <w:shd w:val="clear" w:color="auto" w:fill="FFFF00"/>
          </w:tcPr>
          <w:p w:rsidR="00845B07" w:rsidRPr="008D5999" w:rsidRDefault="00845B07" w:rsidP="00845B07">
            <w:pPr>
              <w:jc w:val="center"/>
              <w:rPr>
                <w:rFonts w:asciiTheme="minorHAnsi" w:hAnsiTheme="minorHAnsi" w:cstheme="minorHAnsi"/>
                <w:b/>
                <w:sz w:val="18"/>
                <w:szCs w:val="18"/>
              </w:rPr>
            </w:pPr>
            <w:r w:rsidRPr="008D5999">
              <w:rPr>
                <w:rFonts w:asciiTheme="minorHAnsi" w:hAnsiTheme="minorHAnsi" w:cstheme="minorHAnsi"/>
                <w:b/>
                <w:sz w:val="18"/>
                <w:szCs w:val="18"/>
              </w:rPr>
              <w:t>Komentář</w:t>
            </w:r>
          </w:p>
        </w:tc>
      </w:tr>
      <w:tr w:rsidR="00845B07" w:rsidRPr="00845B07" w:rsidTr="00F112A1">
        <w:trPr>
          <w:gridAfter w:val="1"/>
          <w:wAfter w:w="64" w:type="dxa"/>
        </w:trPr>
        <w:tc>
          <w:tcPr>
            <w:tcW w:w="3616" w:type="dxa"/>
            <w:gridSpan w:val="14"/>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right"/>
              <w:rPr>
                <w:rFonts w:asciiTheme="minorHAnsi" w:hAnsiTheme="minorHAnsi" w:cstheme="minorHAnsi"/>
                <w:b/>
                <w:sz w:val="18"/>
                <w:szCs w:val="18"/>
              </w:rPr>
            </w:pPr>
            <w:r w:rsidRPr="008D5999">
              <w:rPr>
                <w:rFonts w:asciiTheme="minorHAnsi" w:hAnsiTheme="minorHAnsi" w:cstheme="minorHAnsi"/>
                <w:b/>
                <w:sz w:val="18"/>
                <w:szCs w:val="18"/>
              </w:rPr>
              <w:t>24 878,89</w:t>
            </w:r>
          </w:p>
        </w:tc>
        <w:tc>
          <w:tcPr>
            <w:tcW w:w="2835" w:type="dxa"/>
            <w:gridSpan w:val="13"/>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right"/>
              <w:rPr>
                <w:rFonts w:asciiTheme="minorHAnsi" w:hAnsiTheme="minorHAnsi" w:cstheme="minorHAnsi"/>
                <w:b/>
                <w:sz w:val="18"/>
                <w:szCs w:val="18"/>
              </w:rPr>
            </w:pPr>
            <w:r w:rsidRPr="008D5999">
              <w:rPr>
                <w:rFonts w:asciiTheme="minorHAnsi" w:hAnsiTheme="minorHAnsi" w:cstheme="minorHAnsi"/>
                <w:b/>
                <w:sz w:val="18"/>
                <w:szCs w:val="18"/>
              </w:rPr>
              <w:t>27 546,90</w:t>
            </w:r>
          </w:p>
        </w:tc>
        <w:tc>
          <w:tcPr>
            <w:tcW w:w="1276" w:type="dxa"/>
            <w:gridSpan w:val="4"/>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b/>
                <w:sz w:val="18"/>
                <w:szCs w:val="18"/>
              </w:rPr>
            </w:pPr>
            <w:r w:rsidRPr="008D5999">
              <w:rPr>
                <w:rFonts w:asciiTheme="minorHAnsi" w:hAnsiTheme="minorHAnsi" w:cstheme="minorHAnsi"/>
                <w:b/>
                <w:sz w:val="18"/>
                <w:szCs w:val="18"/>
              </w:rPr>
              <w:t>110,72</w:t>
            </w:r>
          </w:p>
        </w:tc>
        <w:tc>
          <w:tcPr>
            <w:tcW w:w="2193" w:type="dxa"/>
            <w:gridSpan w:val="4"/>
            <w:tcBorders>
              <w:top w:val="single" w:sz="4" w:space="0" w:color="auto"/>
              <w:left w:val="single" w:sz="4" w:space="0" w:color="auto"/>
              <w:bottom w:val="single" w:sz="4" w:space="0" w:color="auto"/>
              <w:right w:val="single" w:sz="4" w:space="0" w:color="auto"/>
            </w:tcBorders>
          </w:tcPr>
          <w:p w:rsidR="00845B07" w:rsidRPr="008D5999" w:rsidRDefault="00845B07" w:rsidP="00845B07">
            <w:pPr>
              <w:rPr>
                <w:rFonts w:asciiTheme="minorHAnsi" w:hAnsiTheme="minorHAnsi" w:cstheme="minorHAnsi"/>
                <w:b/>
                <w:sz w:val="18"/>
                <w:szCs w:val="18"/>
              </w:rPr>
            </w:pPr>
            <w:r w:rsidRPr="008D5999">
              <w:rPr>
                <w:rFonts w:asciiTheme="minorHAnsi" w:hAnsiTheme="minorHAnsi" w:cstheme="minorHAnsi"/>
                <w:b/>
                <w:sz w:val="18"/>
                <w:szCs w:val="18"/>
              </w:rPr>
              <w:t>Příjmy před konsolidací</w:t>
            </w:r>
          </w:p>
        </w:tc>
      </w:tr>
      <w:tr w:rsidR="00845B07" w:rsidRPr="00845B07" w:rsidTr="00F112A1">
        <w:trPr>
          <w:gridAfter w:val="1"/>
          <w:wAfter w:w="64" w:type="dxa"/>
        </w:trPr>
        <w:tc>
          <w:tcPr>
            <w:tcW w:w="3616" w:type="dxa"/>
            <w:gridSpan w:val="14"/>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right"/>
              <w:rPr>
                <w:rFonts w:asciiTheme="minorHAnsi" w:hAnsiTheme="minorHAnsi" w:cstheme="minorHAnsi"/>
                <w:b/>
                <w:sz w:val="18"/>
                <w:szCs w:val="18"/>
              </w:rPr>
            </w:pPr>
            <w:r w:rsidRPr="008D5999">
              <w:rPr>
                <w:rFonts w:asciiTheme="minorHAnsi" w:hAnsiTheme="minorHAnsi" w:cstheme="minorHAnsi"/>
                <w:b/>
                <w:sz w:val="18"/>
                <w:szCs w:val="18"/>
              </w:rPr>
              <w:t>24 878,89</w:t>
            </w:r>
          </w:p>
        </w:tc>
        <w:tc>
          <w:tcPr>
            <w:tcW w:w="2835" w:type="dxa"/>
            <w:gridSpan w:val="13"/>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right"/>
              <w:rPr>
                <w:rFonts w:asciiTheme="minorHAnsi" w:hAnsiTheme="minorHAnsi" w:cstheme="minorHAnsi"/>
                <w:b/>
                <w:sz w:val="18"/>
                <w:szCs w:val="18"/>
              </w:rPr>
            </w:pPr>
            <w:r w:rsidRPr="008D5999">
              <w:rPr>
                <w:rFonts w:asciiTheme="minorHAnsi" w:hAnsiTheme="minorHAnsi" w:cstheme="minorHAnsi"/>
                <w:b/>
                <w:sz w:val="18"/>
                <w:szCs w:val="18"/>
              </w:rPr>
              <w:t>27 546,90</w:t>
            </w:r>
          </w:p>
        </w:tc>
        <w:tc>
          <w:tcPr>
            <w:tcW w:w="1276" w:type="dxa"/>
            <w:gridSpan w:val="4"/>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b/>
                <w:sz w:val="18"/>
                <w:szCs w:val="18"/>
              </w:rPr>
            </w:pPr>
            <w:r w:rsidRPr="008D5999">
              <w:rPr>
                <w:rFonts w:asciiTheme="minorHAnsi" w:hAnsiTheme="minorHAnsi" w:cstheme="minorHAnsi"/>
                <w:b/>
                <w:sz w:val="18"/>
                <w:szCs w:val="18"/>
              </w:rPr>
              <w:t>110,72</w:t>
            </w:r>
          </w:p>
        </w:tc>
        <w:tc>
          <w:tcPr>
            <w:tcW w:w="2193" w:type="dxa"/>
            <w:gridSpan w:val="4"/>
            <w:tcBorders>
              <w:top w:val="single" w:sz="4" w:space="0" w:color="auto"/>
              <w:left w:val="single" w:sz="4" w:space="0" w:color="auto"/>
              <w:bottom w:val="single" w:sz="4" w:space="0" w:color="auto"/>
              <w:right w:val="single" w:sz="4" w:space="0" w:color="auto"/>
            </w:tcBorders>
          </w:tcPr>
          <w:p w:rsidR="00845B07" w:rsidRPr="008D5999" w:rsidRDefault="00845B07" w:rsidP="00845B07">
            <w:pPr>
              <w:rPr>
                <w:rFonts w:asciiTheme="minorHAnsi" w:hAnsiTheme="minorHAnsi" w:cstheme="minorHAnsi"/>
                <w:b/>
                <w:sz w:val="18"/>
                <w:szCs w:val="18"/>
              </w:rPr>
            </w:pPr>
            <w:r w:rsidRPr="008D5999">
              <w:rPr>
                <w:rFonts w:asciiTheme="minorHAnsi" w:hAnsiTheme="minorHAnsi" w:cstheme="minorHAnsi"/>
                <w:b/>
                <w:sz w:val="18"/>
                <w:szCs w:val="18"/>
              </w:rPr>
              <w:t>Příjmy po konsolidaci</w:t>
            </w:r>
          </w:p>
        </w:tc>
      </w:tr>
      <w:tr w:rsidR="00845B07" w:rsidRPr="00845B07" w:rsidTr="00F112A1">
        <w:tc>
          <w:tcPr>
            <w:tcW w:w="459" w:type="dxa"/>
          </w:tcPr>
          <w:p w:rsidR="00845B07" w:rsidRPr="00845B07" w:rsidRDefault="00845B07" w:rsidP="00845B07">
            <w:pPr>
              <w:rPr>
                <w:rFonts w:asciiTheme="minorHAnsi" w:hAnsiTheme="minorHAnsi" w:cstheme="minorHAnsi"/>
                <w:b/>
                <w:sz w:val="20"/>
                <w:szCs w:val="20"/>
              </w:rPr>
            </w:pPr>
          </w:p>
        </w:tc>
        <w:tc>
          <w:tcPr>
            <w:tcW w:w="391" w:type="dxa"/>
          </w:tcPr>
          <w:p w:rsidR="00845B07" w:rsidRPr="00845B07" w:rsidRDefault="00845B07" w:rsidP="00845B07">
            <w:pPr>
              <w:rPr>
                <w:rFonts w:asciiTheme="minorHAnsi" w:hAnsiTheme="minorHAnsi" w:cstheme="minorHAnsi"/>
                <w:b/>
                <w:sz w:val="20"/>
                <w:szCs w:val="20"/>
              </w:rPr>
            </w:pPr>
          </w:p>
        </w:tc>
        <w:tc>
          <w:tcPr>
            <w:tcW w:w="527" w:type="dxa"/>
          </w:tcPr>
          <w:p w:rsidR="00845B07" w:rsidRPr="00845B07" w:rsidRDefault="00845B07" w:rsidP="00845B07">
            <w:pPr>
              <w:rPr>
                <w:rFonts w:asciiTheme="minorHAnsi" w:hAnsiTheme="minorHAnsi" w:cstheme="minorHAnsi"/>
                <w:b/>
                <w:sz w:val="20"/>
                <w:szCs w:val="20"/>
              </w:rPr>
            </w:pPr>
          </w:p>
        </w:tc>
        <w:tc>
          <w:tcPr>
            <w:tcW w:w="391" w:type="dxa"/>
            <w:gridSpan w:val="3"/>
          </w:tcPr>
          <w:p w:rsidR="00845B07" w:rsidRPr="00845B07" w:rsidRDefault="00845B07" w:rsidP="00845B07">
            <w:pPr>
              <w:rPr>
                <w:rFonts w:asciiTheme="minorHAnsi" w:hAnsiTheme="minorHAnsi" w:cstheme="minorHAnsi"/>
                <w:b/>
                <w:sz w:val="20"/>
                <w:szCs w:val="20"/>
              </w:rPr>
            </w:pPr>
          </w:p>
        </w:tc>
        <w:tc>
          <w:tcPr>
            <w:tcW w:w="529" w:type="dxa"/>
            <w:gridSpan w:val="2"/>
          </w:tcPr>
          <w:p w:rsidR="00845B07" w:rsidRPr="00845B07" w:rsidRDefault="00845B07" w:rsidP="00845B07">
            <w:pPr>
              <w:rPr>
                <w:rFonts w:asciiTheme="minorHAnsi" w:hAnsiTheme="minorHAnsi" w:cstheme="minorHAnsi"/>
                <w:b/>
                <w:sz w:val="20"/>
                <w:szCs w:val="20"/>
              </w:rPr>
            </w:pPr>
          </w:p>
        </w:tc>
        <w:tc>
          <w:tcPr>
            <w:tcW w:w="460" w:type="dxa"/>
          </w:tcPr>
          <w:p w:rsidR="00845B07" w:rsidRPr="00845B07" w:rsidRDefault="00845B07" w:rsidP="00845B07">
            <w:pPr>
              <w:rPr>
                <w:rFonts w:asciiTheme="minorHAnsi" w:hAnsiTheme="minorHAnsi" w:cstheme="minorHAnsi"/>
                <w:b/>
                <w:sz w:val="20"/>
                <w:szCs w:val="20"/>
              </w:rPr>
            </w:pPr>
          </w:p>
        </w:tc>
        <w:tc>
          <w:tcPr>
            <w:tcW w:w="460" w:type="dxa"/>
            <w:gridSpan w:val="3"/>
          </w:tcPr>
          <w:p w:rsidR="00845B07" w:rsidRPr="00845B07" w:rsidRDefault="00845B07" w:rsidP="00845B07">
            <w:pPr>
              <w:rPr>
                <w:rFonts w:asciiTheme="minorHAnsi" w:hAnsiTheme="minorHAnsi" w:cstheme="minorHAnsi"/>
                <w:b/>
                <w:sz w:val="20"/>
                <w:szCs w:val="20"/>
              </w:rPr>
            </w:pPr>
          </w:p>
        </w:tc>
        <w:tc>
          <w:tcPr>
            <w:tcW w:w="460" w:type="dxa"/>
            <w:gridSpan w:val="3"/>
          </w:tcPr>
          <w:p w:rsidR="00845B07" w:rsidRPr="00845B07" w:rsidRDefault="00845B07" w:rsidP="00845B07">
            <w:pPr>
              <w:rPr>
                <w:rFonts w:asciiTheme="minorHAnsi" w:hAnsiTheme="minorHAnsi" w:cstheme="minorHAnsi"/>
                <w:b/>
                <w:sz w:val="20"/>
                <w:szCs w:val="20"/>
              </w:rPr>
            </w:pPr>
          </w:p>
        </w:tc>
        <w:tc>
          <w:tcPr>
            <w:tcW w:w="460" w:type="dxa"/>
            <w:gridSpan w:val="2"/>
          </w:tcPr>
          <w:p w:rsidR="00845B07" w:rsidRPr="00845B07" w:rsidRDefault="00845B07" w:rsidP="00845B07">
            <w:pPr>
              <w:rPr>
                <w:rFonts w:asciiTheme="minorHAnsi" w:hAnsiTheme="minorHAnsi" w:cstheme="minorHAnsi"/>
                <w:b/>
                <w:sz w:val="20"/>
                <w:szCs w:val="20"/>
              </w:rPr>
            </w:pPr>
          </w:p>
        </w:tc>
        <w:tc>
          <w:tcPr>
            <w:tcW w:w="397" w:type="dxa"/>
            <w:gridSpan w:val="2"/>
          </w:tcPr>
          <w:p w:rsidR="00845B07" w:rsidRPr="00845B07" w:rsidRDefault="00845B07" w:rsidP="00845B07">
            <w:pPr>
              <w:rPr>
                <w:rFonts w:asciiTheme="minorHAnsi" w:hAnsiTheme="minorHAnsi" w:cstheme="minorHAnsi"/>
                <w:b/>
                <w:sz w:val="20"/>
                <w:szCs w:val="20"/>
              </w:rPr>
            </w:pPr>
          </w:p>
        </w:tc>
        <w:tc>
          <w:tcPr>
            <w:tcW w:w="523" w:type="dxa"/>
            <w:gridSpan w:val="2"/>
          </w:tcPr>
          <w:p w:rsidR="00845B07" w:rsidRPr="00845B07" w:rsidRDefault="00845B07" w:rsidP="00845B07">
            <w:pPr>
              <w:rPr>
                <w:rFonts w:asciiTheme="minorHAnsi" w:hAnsiTheme="minorHAnsi" w:cstheme="minorHAnsi"/>
                <w:b/>
                <w:sz w:val="20"/>
                <w:szCs w:val="20"/>
              </w:rPr>
            </w:pPr>
          </w:p>
        </w:tc>
        <w:tc>
          <w:tcPr>
            <w:tcW w:w="824" w:type="dxa"/>
            <w:gridSpan w:val="4"/>
          </w:tcPr>
          <w:p w:rsidR="00845B07" w:rsidRPr="00845B07" w:rsidRDefault="00845B07" w:rsidP="00845B07">
            <w:pPr>
              <w:rPr>
                <w:rFonts w:asciiTheme="minorHAnsi" w:hAnsiTheme="minorHAnsi" w:cstheme="minorHAnsi"/>
                <w:b/>
                <w:sz w:val="20"/>
                <w:szCs w:val="20"/>
              </w:rPr>
            </w:pPr>
          </w:p>
        </w:tc>
        <w:tc>
          <w:tcPr>
            <w:tcW w:w="160" w:type="dxa"/>
          </w:tcPr>
          <w:p w:rsidR="00845B07" w:rsidRPr="00845B07" w:rsidRDefault="00845B07" w:rsidP="00845B07">
            <w:pPr>
              <w:rPr>
                <w:rFonts w:asciiTheme="minorHAnsi" w:hAnsiTheme="minorHAnsi" w:cstheme="minorHAnsi"/>
                <w:b/>
                <w:sz w:val="20"/>
                <w:szCs w:val="20"/>
              </w:rPr>
            </w:pPr>
          </w:p>
        </w:tc>
        <w:tc>
          <w:tcPr>
            <w:tcW w:w="460" w:type="dxa"/>
            <w:gridSpan w:val="2"/>
          </w:tcPr>
          <w:p w:rsidR="00845B07" w:rsidRPr="00845B07" w:rsidRDefault="00845B07" w:rsidP="00845B07">
            <w:pPr>
              <w:rPr>
                <w:rFonts w:asciiTheme="minorHAnsi" w:hAnsiTheme="minorHAnsi" w:cstheme="minorHAnsi"/>
                <w:b/>
                <w:sz w:val="20"/>
                <w:szCs w:val="20"/>
              </w:rPr>
            </w:pPr>
          </w:p>
        </w:tc>
        <w:tc>
          <w:tcPr>
            <w:tcW w:w="460" w:type="dxa"/>
          </w:tcPr>
          <w:p w:rsidR="00845B07" w:rsidRPr="00845B07" w:rsidRDefault="00845B07" w:rsidP="00845B07">
            <w:pPr>
              <w:rPr>
                <w:rFonts w:asciiTheme="minorHAnsi" w:hAnsiTheme="minorHAnsi" w:cstheme="minorHAnsi"/>
                <w:b/>
                <w:sz w:val="20"/>
                <w:szCs w:val="20"/>
              </w:rPr>
            </w:pPr>
          </w:p>
        </w:tc>
        <w:tc>
          <w:tcPr>
            <w:tcW w:w="460" w:type="dxa"/>
          </w:tcPr>
          <w:p w:rsidR="00845B07" w:rsidRPr="00845B07" w:rsidRDefault="00845B07" w:rsidP="00845B07">
            <w:pPr>
              <w:rPr>
                <w:rFonts w:asciiTheme="minorHAnsi" w:hAnsiTheme="minorHAnsi" w:cstheme="minorHAnsi"/>
                <w:b/>
                <w:sz w:val="20"/>
                <w:szCs w:val="20"/>
              </w:rPr>
            </w:pPr>
          </w:p>
        </w:tc>
        <w:tc>
          <w:tcPr>
            <w:tcW w:w="460" w:type="dxa"/>
            <w:gridSpan w:val="2"/>
          </w:tcPr>
          <w:p w:rsidR="00845B07" w:rsidRPr="00845B07" w:rsidRDefault="00845B07" w:rsidP="00845B07">
            <w:pPr>
              <w:rPr>
                <w:rFonts w:asciiTheme="minorHAnsi" w:hAnsiTheme="minorHAnsi" w:cstheme="minorHAnsi"/>
                <w:b/>
                <w:sz w:val="20"/>
                <w:szCs w:val="20"/>
              </w:rPr>
            </w:pPr>
          </w:p>
        </w:tc>
        <w:tc>
          <w:tcPr>
            <w:tcW w:w="460" w:type="dxa"/>
          </w:tcPr>
          <w:p w:rsidR="00845B07" w:rsidRPr="00845B07" w:rsidRDefault="00845B07" w:rsidP="00845B07">
            <w:pPr>
              <w:rPr>
                <w:rFonts w:asciiTheme="minorHAnsi" w:hAnsiTheme="minorHAnsi" w:cstheme="minorHAnsi"/>
                <w:b/>
                <w:sz w:val="20"/>
                <w:szCs w:val="20"/>
              </w:rPr>
            </w:pPr>
          </w:p>
        </w:tc>
        <w:tc>
          <w:tcPr>
            <w:tcW w:w="460" w:type="dxa"/>
          </w:tcPr>
          <w:p w:rsidR="00845B07" w:rsidRPr="00845B07" w:rsidRDefault="00845B07" w:rsidP="00845B07">
            <w:pPr>
              <w:rPr>
                <w:rFonts w:asciiTheme="minorHAnsi" w:hAnsiTheme="minorHAnsi" w:cstheme="minorHAnsi"/>
                <w:b/>
                <w:sz w:val="20"/>
                <w:szCs w:val="20"/>
              </w:rPr>
            </w:pPr>
          </w:p>
        </w:tc>
        <w:tc>
          <w:tcPr>
            <w:tcW w:w="1183" w:type="dxa"/>
            <w:gridSpan w:val="2"/>
          </w:tcPr>
          <w:p w:rsidR="00845B07" w:rsidRPr="00845B07" w:rsidRDefault="00845B07" w:rsidP="00845B07">
            <w:pPr>
              <w:rPr>
                <w:rFonts w:asciiTheme="minorHAnsi" w:hAnsiTheme="minorHAnsi" w:cstheme="minorHAnsi"/>
                <w:b/>
                <w:sz w:val="20"/>
                <w:szCs w:val="20"/>
              </w:rPr>
            </w:pPr>
          </w:p>
        </w:tc>
      </w:tr>
      <w:tr w:rsidR="00845B07" w:rsidRPr="00845B07" w:rsidTr="00F112A1">
        <w:trPr>
          <w:gridAfter w:val="1"/>
          <w:wAfter w:w="64" w:type="dxa"/>
        </w:trPr>
        <w:tc>
          <w:tcPr>
            <w:tcW w:w="9920" w:type="dxa"/>
            <w:gridSpan w:val="35"/>
          </w:tcPr>
          <w:p w:rsidR="00845B07" w:rsidRPr="00845B07" w:rsidRDefault="00845B07" w:rsidP="00845B07">
            <w:pPr>
              <w:rPr>
                <w:rFonts w:asciiTheme="minorHAnsi" w:hAnsiTheme="minorHAnsi" w:cstheme="minorHAnsi"/>
                <w:b/>
                <w:sz w:val="20"/>
                <w:szCs w:val="20"/>
              </w:rPr>
            </w:pPr>
            <w:r w:rsidRPr="00845B07">
              <w:rPr>
                <w:rFonts w:asciiTheme="minorHAnsi" w:hAnsiTheme="minorHAnsi" w:cstheme="minorHAnsi"/>
                <w:b/>
                <w:sz w:val="20"/>
                <w:szCs w:val="20"/>
              </w:rPr>
              <w:t>Stručný komentář k celkovému vývoji plnění příjmů kapitoly ve sledovaném období</w:t>
            </w:r>
          </w:p>
        </w:tc>
      </w:tr>
      <w:tr w:rsidR="00845B07" w:rsidRPr="00845B07" w:rsidTr="00F112A1">
        <w:trPr>
          <w:gridAfter w:val="1"/>
          <w:wAfter w:w="64" w:type="dxa"/>
        </w:trPr>
        <w:tc>
          <w:tcPr>
            <w:tcW w:w="9920" w:type="dxa"/>
            <w:gridSpan w:val="35"/>
            <w:tcBorders>
              <w:top w:val="single" w:sz="6" w:space="0" w:color="auto"/>
              <w:left w:val="single" w:sz="6" w:space="0" w:color="auto"/>
              <w:bottom w:val="single" w:sz="6" w:space="0" w:color="auto"/>
              <w:right w:val="single" w:sz="6" w:space="0" w:color="auto"/>
            </w:tcBorders>
          </w:tcPr>
          <w:p w:rsidR="00845B07" w:rsidRPr="00845B07" w:rsidRDefault="00845B07" w:rsidP="00845B07">
            <w:pPr>
              <w:jc w:val="both"/>
              <w:rPr>
                <w:rFonts w:asciiTheme="minorHAnsi" w:hAnsiTheme="minorHAnsi" w:cstheme="minorHAnsi"/>
                <w:sz w:val="20"/>
                <w:szCs w:val="20"/>
              </w:rPr>
            </w:pPr>
            <w:r w:rsidRPr="00845B07">
              <w:rPr>
                <w:rFonts w:asciiTheme="minorHAnsi" w:hAnsiTheme="minorHAnsi" w:cstheme="minorHAnsi"/>
                <w:sz w:val="20"/>
                <w:szCs w:val="20"/>
              </w:rPr>
              <w:t>Příjmová část kapitoly představuje vůči upravenému rozpočtu plnění na 110,72 %. Plánované příjmy většiny položek byly splněny, v některých případech i mírně překročeny. Vyšší plnění ovlivnila zejména skutečnost, že společnost LMP, s.</w:t>
            </w:r>
            <w:r>
              <w:rPr>
                <w:rFonts w:asciiTheme="minorHAnsi" w:hAnsiTheme="minorHAnsi" w:cstheme="minorHAnsi"/>
                <w:sz w:val="20"/>
                <w:szCs w:val="20"/>
              </w:rPr>
              <w:t xml:space="preserve"> </w:t>
            </w:r>
            <w:r w:rsidRPr="00845B07">
              <w:rPr>
                <w:rFonts w:asciiTheme="minorHAnsi" w:hAnsiTheme="minorHAnsi" w:cstheme="minorHAnsi"/>
                <w:sz w:val="20"/>
                <w:szCs w:val="20"/>
              </w:rPr>
              <w:t>r.</w:t>
            </w:r>
            <w:r>
              <w:rPr>
                <w:rFonts w:asciiTheme="minorHAnsi" w:hAnsiTheme="minorHAnsi" w:cstheme="minorHAnsi"/>
                <w:sz w:val="20"/>
                <w:szCs w:val="20"/>
              </w:rPr>
              <w:t xml:space="preserve"> </w:t>
            </w:r>
            <w:r w:rsidRPr="00845B07">
              <w:rPr>
                <w:rFonts w:asciiTheme="minorHAnsi" w:hAnsiTheme="minorHAnsi" w:cstheme="minorHAnsi"/>
                <w:sz w:val="20"/>
                <w:szCs w:val="20"/>
              </w:rPr>
              <w:t>o., v závěru roku uhradila variabilní složku n</w:t>
            </w:r>
            <w:r>
              <w:rPr>
                <w:rFonts w:asciiTheme="minorHAnsi" w:hAnsiTheme="minorHAnsi" w:cstheme="minorHAnsi"/>
                <w:sz w:val="20"/>
                <w:szCs w:val="20"/>
              </w:rPr>
              <w:t xml:space="preserve">ájemného pro rok 2022 ve výši 2 </w:t>
            </w:r>
            <w:r w:rsidRPr="00845B07">
              <w:rPr>
                <w:rFonts w:asciiTheme="minorHAnsi" w:hAnsiTheme="minorHAnsi" w:cstheme="minorHAnsi"/>
                <w:sz w:val="20"/>
                <w:szCs w:val="20"/>
              </w:rPr>
              <w:t xml:space="preserve">178 tis. Kč vč. DPH. Příjmy kapitoly byly během roku vyhodnocovány a průběžně upravovány podle skutečnosti. </w:t>
            </w:r>
          </w:p>
        </w:tc>
      </w:tr>
      <w:tr w:rsidR="00845B07" w:rsidRPr="00845B07" w:rsidTr="00F112A1">
        <w:tc>
          <w:tcPr>
            <w:tcW w:w="459" w:type="dxa"/>
          </w:tcPr>
          <w:p w:rsidR="00845B07" w:rsidRPr="00845B07" w:rsidRDefault="00845B07" w:rsidP="00845B07">
            <w:pPr>
              <w:rPr>
                <w:rFonts w:asciiTheme="minorHAnsi" w:hAnsiTheme="minorHAnsi" w:cstheme="minorHAnsi"/>
                <w:b/>
                <w:sz w:val="20"/>
                <w:szCs w:val="20"/>
              </w:rPr>
            </w:pPr>
          </w:p>
        </w:tc>
        <w:tc>
          <w:tcPr>
            <w:tcW w:w="391" w:type="dxa"/>
          </w:tcPr>
          <w:p w:rsidR="00845B07" w:rsidRPr="00845B07" w:rsidRDefault="00845B07" w:rsidP="00845B07">
            <w:pPr>
              <w:rPr>
                <w:rFonts w:asciiTheme="minorHAnsi" w:hAnsiTheme="minorHAnsi" w:cstheme="minorHAnsi"/>
                <w:b/>
                <w:sz w:val="20"/>
                <w:szCs w:val="20"/>
              </w:rPr>
            </w:pPr>
          </w:p>
        </w:tc>
        <w:tc>
          <w:tcPr>
            <w:tcW w:w="527" w:type="dxa"/>
          </w:tcPr>
          <w:p w:rsidR="00845B07" w:rsidRPr="00845B07" w:rsidRDefault="00845B07" w:rsidP="00845B07">
            <w:pPr>
              <w:rPr>
                <w:rFonts w:asciiTheme="minorHAnsi" w:hAnsiTheme="minorHAnsi" w:cstheme="minorHAnsi"/>
                <w:b/>
                <w:sz w:val="20"/>
                <w:szCs w:val="20"/>
              </w:rPr>
            </w:pPr>
          </w:p>
        </w:tc>
        <w:tc>
          <w:tcPr>
            <w:tcW w:w="460" w:type="dxa"/>
            <w:gridSpan w:val="4"/>
          </w:tcPr>
          <w:p w:rsidR="00845B07" w:rsidRPr="00845B07" w:rsidRDefault="00845B07" w:rsidP="00845B07">
            <w:pPr>
              <w:rPr>
                <w:rFonts w:asciiTheme="minorHAnsi" w:hAnsiTheme="minorHAnsi" w:cstheme="minorHAnsi"/>
                <w:b/>
                <w:sz w:val="20"/>
                <w:szCs w:val="20"/>
              </w:rPr>
            </w:pPr>
          </w:p>
        </w:tc>
        <w:tc>
          <w:tcPr>
            <w:tcW w:w="460" w:type="dxa"/>
          </w:tcPr>
          <w:p w:rsidR="00845B07" w:rsidRPr="00845B07" w:rsidRDefault="00845B07" w:rsidP="00845B07">
            <w:pPr>
              <w:rPr>
                <w:rFonts w:asciiTheme="minorHAnsi" w:hAnsiTheme="minorHAnsi" w:cstheme="minorHAnsi"/>
                <w:b/>
                <w:sz w:val="20"/>
                <w:szCs w:val="20"/>
              </w:rPr>
            </w:pPr>
          </w:p>
        </w:tc>
        <w:tc>
          <w:tcPr>
            <w:tcW w:w="460" w:type="dxa"/>
          </w:tcPr>
          <w:p w:rsidR="00845B07" w:rsidRPr="00845B07" w:rsidRDefault="00845B07" w:rsidP="00845B07">
            <w:pPr>
              <w:rPr>
                <w:rFonts w:asciiTheme="minorHAnsi" w:hAnsiTheme="minorHAnsi" w:cstheme="minorHAnsi"/>
                <w:b/>
                <w:sz w:val="20"/>
                <w:szCs w:val="20"/>
              </w:rPr>
            </w:pPr>
          </w:p>
        </w:tc>
        <w:tc>
          <w:tcPr>
            <w:tcW w:w="460" w:type="dxa"/>
            <w:gridSpan w:val="3"/>
          </w:tcPr>
          <w:p w:rsidR="00845B07" w:rsidRPr="00845B07" w:rsidRDefault="00845B07" w:rsidP="00845B07">
            <w:pPr>
              <w:rPr>
                <w:rFonts w:asciiTheme="minorHAnsi" w:hAnsiTheme="minorHAnsi" w:cstheme="minorHAnsi"/>
                <w:b/>
                <w:sz w:val="20"/>
                <w:szCs w:val="20"/>
              </w:rPr>
            </w:pPr>
          </w:p>
        </w:tc>
        <w:tc>
          <w:tcPr>
            <w:tcW w:w="460" w:type="dxa"/>
            <w:gridSpan w:val="3"/>
          </w:tcPr>
          <w:p w:rsidR="00845B07" w:rsidRPr="00845B07" w:rsidRDefault="00845B07" w:rsidP="00845B07">
            <w:pPr>
              <w:rPr>
                <w:rFonts w:asciiTheme="minorHAnsi" w:hAnsiTheme="minorHAnsi" w:cstheme="minorHAnsi"/>
                <w:b/>
                <w:sz w:val="20"/>
                <w:szCs w:val="20"/>
              </w:rPr>
            </w:pPr>
          </w:p>
        </w:tc>
        <w:tc>
          <w:tcPr>
            <w:tcW w:w="460" w:type="dxa"/>
            <w:gridSpan w:val="2"/>
          </w:tcPr>
          <w:p w:rsidR="00845B07" w:rsidRPr="00845B07" w:rsidRDefault="00845B07" w:rsidP="00845B07">
            <w:pPr>
              <w:rPr>
                <w:rFonts w:asciiTheme="minorHAnsi" w:hAnsiTheme="minorHAnsi" w:cstheme="minorHAnsi"/>
                <w:b/>
                <w:sz w:val="20"/>
                <w:szCs w:val="20"/>
              </w:rPr>
            </w:pPr>
          </w:p>
        </w:tc>
        <w:tc>
          <w:tcPr>
            <w:tcW w:w="397" w:type="dxa"/>
            <w:gridSpan w:val="2"/>
          </w:tcPr>
          <w:p w:rsidR="00845B07" w:rsidRPr="00845B07" w:rsidRDefault="00845B07" w:rsidP="00845B07">
            <w:pPr>
              <w:rPr>
                <w:rFonts w:asciiTheme="minorHAnsi" w:hAnsiTheme="minorHAnsi" w:cstheme="minorHAnsi"/>
                <w:b/>
                <w:sz w:val="20"/>
                <w:szCs w:val="20"/>
              </w:rPr>
            </w:pPr>
          </w:p>
        </w:tc>
        <w:tc>
          <w:tcPr>
            <w:tcW w:w="523" w:type="dxa"/>
            <w:gridSpan w:val="2"/>
          </w:tcPr>
          <w:p w:rsidR="00845B07" w:rsidRPr="00845B07" w:rsidRDefault="00845B07" w:rsidP="00845B07">
            <w:pPr>
              <w:rPr>
                <w:rFonts w:asciiTheme="minorHAnsi" w:hAnsiTheme="minorHAnsi" w:cstheme="minorHAnsi"/>
                <w:b/>
                <w:sz w:val="20"/>
                <w:szCs w:val="20"/>
              </w:rPr>
            </w:pPr>
          </w:p>
        </w:tc>
        <w:tc>
          <w:tcPr>
            <w:tcW w:w="824" w:type="dxa"/>
            <w:gridSpan w:val="4"/>
          </w:tcPr>
          <w:p w:rsidR="00845B07" w:rsidRPr="00845B07" w:rsidRDefault="00845B07" w:rsidP="00845B07">
            <w:pPr>
              <w:rPr>
                <w:rFonts w:asciiTheme="minorHAnsi" w:hAnsiTheme="minorHAnsi" w:cstheme="minorHAnsi"/>
                <w:b/>
                <w:sz w:val="20"/>
                <w:szCs w:val="20"/>
              </w:rPr>
            </w:pPr>
          </w:p>
        </w:tc>
        <w:tc>
          <w:tcPr>
            <w:tcW w:w="160" w:type="dxa"/>
          </w:tcPr>
          <w:p w:rsidR="00845B07" w:rsidRPr="00845B07" w:rsidRDefault="00845B07" w:rsidP="00845B07">
            <w:pPr>
              <w:rPr>
                <w:rFonts w:asciiTheme="minorHAnsi" w:hAnsiTheme="minorHAnsi" w:cstheme="minorHAnsi"/>
                <w:b/>
                <w:sz w:val="20"/>
                <w:szCs w:val="20"/>
              </w:rPr>
            </w:pPr>
          </w:p>
        </w:tc>
        <w:tc>
          <w:tcPr>
            <w:tcW w:w="460" w:type="dxa"/>
            <w:gridSpan w:val="2"/>
          </w:tcPr>
          <w:p w:rsidR="00845B07" w:rsidRPr="00845B07" w:rsidRDefault="00845B07" w:rsidP="00845B07">
            <w:pPr>
              <w:rPr>
                <w:rFonts w:asciiTheme="minorHAnsi" w:hAnsiTheme="minorHAnsi" w:cstheme="minorHAnsi"/>
                <w:b/>
                <w:sz w:val="20"/>
                <w:szCs w:val="20"/>
              </w:rPr>
            </w:pPr>
          </w:p>
        </w:tc>
        <w:tc>
          <w:tcPr>
            <w:tcW w:w="460" w:type="dxa"/>
          </w:tcPr>
          <w:p w:rsidR="00845B07" w:rsidRPr="00845B07" w:rsidRDefault="00845B07" w:rsidP="00845B07">
            <w:pPr>
              <w:rPr>
                <w:rFonts w:asciiTheme="minorHAnsi" w:hAnsiTheme="minorHAnsi" w:cstheme="minorHAnsi"/>
                <w:b/>
                <w:sz w:val="20"/>
                <w:szCs w:val="20"/>
              </w:rPr>
            </w:pPr>
          </w:p>
        </w:tc>
        <w:tc>
          <w:tcPr>
            <w:tcW w:w="460" w:type="dxa"/>
          </w:tcPr>
          <w:p w:rsidR="00845B07" w:rsidRPr="00845B07" w:rsidRDefault="00845B07" w:rsidP="00845B07">
            <w:pPr>
              <w:rPr>
                <w:rFonts w:asciiTheme="minorHAnsi" w:hAnsiTheme="minorHAnsi" w:cstheme="minorHAnsi"/>
                <w:b/>
                <w:sz w:val="20"/>
                <w:szCs w:val="20"/>
              </w:rPr>
            </w:pPr>
          </w:p>
        </w:tc>
        <w:tc>
          <w:tcPr>
            <w:tcW w:w="460" w:type="dxa"/>
            <w:gridSpan w:val="2"/>
          </w:tcPr>
          <w:p w:rsidR="00845B07" w:rsidRPr="00845B07" w:rsidRDefault="00845B07" w:rsidP="00845B07">
            <w:pPr>
              <w:rPr>
                <w:rFonts w:asciiTheme="minorHAnsi" w:hAnsiTheme="minorHAnsi" w:cstheme="minorHAnsi"/>
                <w:b/>
                <w:sz w:val="20"/>
                <w:szCs w:val="20"/>
              </w:rPr>
            </w:pPr>
          </w:p>
        </w:tc>
        <w:tc>
          <w:tcPr>
            <w:tcW w:w="460" w:type="dxa"/>
          </w:tcPr>
          <w:p w:rsidR="00845B07" w:rsidRPr="00845B07" w:rsidRDefault="00845B07" w:rsidP="00845B07">
            <w:pPr>
              <w:rPr>
                <w:rFonts w:asciiTheme="minorHAnsi" w:hAnsiTheme="minorHAnsi" w:cstheme="minorHAnsi"/>
                <w:b/>
                <w:sz w:val="20"/>
                <w:szCs w:val="20"/>
              </w:rPr>
            </w:pPr>
          </w:p>
        </w:tc>
        <w:tc>
          <w:tcPr>
            <w:tcW w:w="460" w:type="dxa"/>
          </w:tcPr>
          <w:p w:rsidR="00845B07" w:rsidRPr="00845B07" w:rsidRDefault="00845B07" w:rsidP="00845B07">
            <w:pPr>
              <w:rPr>
                <w:rFonts w:asciiTheme="minorHAnsi" w:hAnsiTheme="minorHAnsi" w:cstheme="minorHAnsi"/>
                <w:b/>
                <w:sz w:val="20"/>
                <w:szCs w:val="20"/>
              </w:rPr>
            </w:pPr>
          </w:p>
        </w:tc>
        <w:tc>
          <w:tcPr>
            <w:tcW w:w="1183" w:type="dxa"/>
            <w:gridSpan w:val="2"/>
          </w:tcPr>
          <w:p w:rsidR="00845B07" w:rsidRPr="00845B07" w:rsidRDefault="00845B07" w:rsidP="00845B07">
            <w:pPr>
              <w:rPr>
                <w:rFonts w:asciiTheme="minorHAnsi" w:hAnsiTheme="minorHAnsi" w:cstheme="minorHAnsi"/>
                <w:b/>
                <w:sz w:val="20"/>
                <w:szCs w:val="20"/>
              </w:rPr>
            </w:pPr>
          </w:p>
        </w:tc>
      </w:tr>
      <w:tr w:rsidR="00845B07" w:rsidRPr="00845B07" w:rsidTr="00F112A1">
        <w:trPr>
          <w:gridAfter w:val="1"/>
          <w:wAfter w:w="64" w:type="dxa"/>
        </w:trPr>
        <w:tc>
          <w:tcPr>
            <w:tcW w:w="9920" w:type="dxa"/>
            <w:gridSpan w:val="35"/>
            <w:tcBorders>
              <w:bottom w:val="single" w:sz="4" w:space="0" w:color="auto"/>
            </w:tcBorders>
          </w:tcPr>
          <w:p w:rsidR="00845B07" w:rsidRPr="00845B07" w:rsidRDefault="00845B07" w:rsidP="00845B07">
            <w:pPr>
              <w:rPr>
                <w:rFonts w:asciiTheme="minorHAnsi" w:hAnsiTheme="minorHAnsi" w:cstheme="minorHAnsi"/>
                <w:b/>
                <w:sz w:val="18"/>
                <w:szCs w:val="18"/>
              </w:rPr>
            </w:pPr>
            <w:r w:rsidRPr="00845B07">
              <w:rPr>
                <w:rFonts w:asciiTheme="minorHAnsi" w:hAnsiTheme="minorHAnsi" w:cstheme="minorHAnsi"/>
                <w:b/>
                <w:sz w:val="18"/>
                <w:szCs w:val="18"/>
              </w:rPr>
              <w:t>Komentář k položkám (akcím), které vykázaly abnormalitu v řádném plnění příjmů rozpočtu kapitoly ve sledovaném období</w:t>
            </w:r>
          </w:p>
        </w:tc>
      </w:tr>
      <w:tr w:rsidR="00845B07" w:rsidRPr="00845B07" w:rsidTr="00F112A1">
        <w:trPr>
          <w:gridAfter w:val="1"/>
          <w:wAfter w:w="64" w:type="dxa"/>
        </w:trPr>
        <w:tc>
          <w:tcPr>
            <w:tcW w:w="850"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845B07" w:rsidRPr="00845B07" w:rsidRDefault="00845B07" w:rsidP="00845B07">
            <w:pPr>
              <w:jc w:val="center"/>
              <w:rPr>
                <w:rFonts w:asciiTheme="minorHAnsi" w:hAnsiTheme="minorHAnsi" w:cstheme="minorHAnsi"/>
                <w:b/>
                <w:sz w:val="18"/>
                <w:szCs w:val="18"/>
              </w:rPr>
            </w:pPr>
            <w:r w:rsidRPr="00845B07">
              <w:rPr>
                <w:rFonts w:asciiTheme="minorHAnsi" w:hAnsiTheme="minorHAnsi" w:cstheme="minorHAnsi"/>
                <w:b/>
                <w:sz w:val="18"/>
                <w:szCs w:val="18"/>
              </w:rPr>
              <w:t>Oddíl, paragraf</w:t>
            </w:r>
          </w:p>
        </w:tc>
        <w:tc>
          <w:tcPr>
            <w:tcW w:w="640"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845B07" w:rsidRPr="00845B07" w:rsidRDefault="00845B07" w:rsidP="00845B07">
            <w:pPr>
              <w:jc w:val="center"/>
              <w:rPr>
                <w:rFonts w:asciiTheme="minorHAnsi" w:hAnsiTheme="minorHAnsi" w:cstheme="minorHAnsi"/>
                <w:b/>
                <w:sz w:val="18"/>
                <w:szCs w:val="18"/>
              </w:rPr>
            </w:pPr>
            <w:r w:rsidRPr="00845B07">
              <w:rPr>
                <w:rFonts w:asciiTheme="minorHAnsi" w:hAnsiTheme="minorHAnsi" w:cstheme="minorHAnsi"/>
                <w:b/>
                <w:sz w:val="18"/>
                <w:szCs w:val="18"/>
              </w:rPr>
              <w:t>Pol.</w:t>
            </w:r>
          </w:p>
        </w:tc>
        <w:tc>
          <w:tcPr>
            <w:tcW w:w="1417"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845B07" w:rsidRPr="00845B07" w:rsidRDefault="00845B07" w:rsidP="00845B07">
            <w:pPr>
              <w:jc w:val="center"/>
              <w:rPr>
                <w:rFonts w:asciiTheme="minorHAnsi" w:hAnsiTheme="minorHAnsi" w:cstheme="minorHAnsi"/>
                <w:b/>
                <w:sz w:val="18"/>
                <w:szCs w:val="18"/>
              </w:rPr>
            </w:pPr>
            <w:r w:rsidRPr="00845B07">
              <w:rPr>
                <w:rFonts w:asciiTheme="minorHAnsi" w:hAnsiTheme="minorHAnsi" w:cstheme="minorHAnsi"/>
                <w:b/>
                <w:sz w:val="18"/>
                <w:szCs w:val="18"/>
              </w:rPr>
              <w:t>Organizace</w:t>
            </w:r>
          </w:p>
        </w:tc>
        <w:tc>
          <w:tcPr>
            <w:tcW w:w="770" w:type="dxa"/>
            <w:gridSpan w:val="5"/>
            <w:tcBorders>
              <w:top w:val="single" w:sz="4" w:space="0" w:color="auto"/>
              <w:left w:val="single" w:sz="4" w:space="0" w:color="auto"/>
              <w:bottom w:val="single" w:sz="4" w:space="0" w:color="auto"/>
              <w:right w:val="single" w:sz="4" w:space="0" w:color="auto"/>
            </w:tcBorders>
            <w:shd w:val="clear" w:color="auto" w:fill="FFFF00"/>
            <w:vAlign w:val="center"/>
          </w:tcPr>
          <w:p w:rsidR="00845B07" w:rsidRPr="00845B07" w:rsidRDefault="00845B07" w:rsidP="00845B07">
            <w:pPr>
              <w:jc w:val="center"/>
              <w:rPr>
                <w:rFonts w:asciiTheme="minorHAnsi" w:hAnsiTheme="minorHAnsi" w:cstheme="minorHAnsi"/>
                <w:b/>
                <w:sz w:val="18"/>
                <w:szCs w:val="18"/>
              </w:rPr>
            </w:pPr>
            <w:r w:rsidRPr="00845B07">
              <w:rPr>
                <w:rFonts w:asciiTheme="minorHAnsi" w:hAnsiTheme="minorHAnsi" w:cstheme="minorHAnsi"/>
                <w:b/>
                <w:sz w:val="18"/>
                <w:szCs w:val="18"/>
              </w:rPr>
              <w:t>Účelový zdroj</w:t>
            </w:r>
          </w:p>
        </w:tc>
        <w:tc>
          <w:tcPr>
            <w:tcW w:w="857"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845B07" w:rsidRPr="00845B07" w:rsidRDefault="00845B07" w:rsidP="00845B07">
            <w:pPr>
              <w:jc w:val="center"/>
              <w:rPr>
                <w:rFonts w:asciiTheme="minorHAnsi" w:hAnsiTheme="minorHAnsi" w:cstheme="minorHAnsi"/>
                <w:b/>
                <w:sz w:val="18"/>
                <w:szCs w:val="18"/>
              </w:rPr>
            </w:pPr>
            <w:r w:rsidRPr="00845B07">
              <w:rPr>
                <w:rFonts w:asciiTheme="minorHAnsi" w:hAnsiTheme="minorHAnsi" w:cstheme="minorHAnsi"/>
                <w:b/>
                <w:sz w:val="18"/>
                <w:szCs w:val="18"/>
              </w:rPr>
              <w:t>UR v tis. Kč</w:t>
            </w:r>
          </w:p>
        </w:tc>
        <w:tc>
          <w:tcPr>
            <w:tcW w:w="1067" w:type="dxa"/>
            <w:gridSpan w:val="5"/>
            <w:tcBorders>
              <w:top w:val="single" w:sz="4" w:space="0" w:color="auto"/>
              <w:left w:val="single" w:sz="4" w:space="0" w:color="auto"/>
              <w:bottom w:val="single" w:sz="4" w:space="0" w:color="auto"/>
              <w:right w:val="single" w:sz="4" w:space="0" w:color="auto"/>
            </w:tcBorders>
            <w:shd w:val="clear" w:color="auto" w:fill="FFFF00"/>
            <w:vAlign w:val="center"/>
          </w:tcPr>
          <w:p w:rsidR="00845B07" w:rsidRPr="00845B07" w:rsidRDefault="00845B07" w:rsidP="00845B07">
            <w:pPr>
              <w:jc w:val="center"/>
              <w:rPr>
                <w:rFonts w:asciiTheme="minorHAnsi" w:hAnsiTheme="minorHAnsi" w:cstheme="minorHAnsi"/>
                <w:b/>
                <w:sz w:val="18"/>
                <w:szCs w:val="18"/>
              </w:rPr>
            </w:pPr>
            <w:r w:rsidRPr="00845B07">
              <w:rPr>
                <w:rFonts w:asciiTheme="minorHAnsi" w:hAnsiTheme="minorHAnsi" w:cstheme="minorHAnsi"/>
                <w:b/>
                <w:sz w:val="18"/>
                <w:szCs w:val="18"/>
              </w:rPr>
              <w:t>Skutečnost v tis. Kč</w:t>
            </w:r>
          </w:p>
        </w:tc>
        <w:tc>
          <w:tcPr>
            <w:tcW w:w="4319" w:type="dxa"/>
            <w:gridSpan w:val="11"/>
            <w:tcBorders>
              <w:top w:val="single" w:sz="4" w:space="0" w:color="auto"/>
              <w:left w:val="single" w:sz="4" w:space="0" w:color="auto"/>
              <w:bottom w:val="single" w:sz="4" w:space="0" w:color="auto"/>
              <w:right w:val="single" w:sz="4" w:space="0" w:color="auto"/>
            </w:tcBorders>
            <w:shd w:val="clear" w:color="auto" w:fill="FFFF00"/>
            <w:vAlign w:val="center"/>
          </w:tcPr>
          <w:p w:rsidR="00845B07" w:rsidRPr="00845B07" w:rsidRDefault="00845B07" w:rsidP="00845B07">
            <w:pPr>
              <w:jc w:val="center"/>
              <w:rPr>
                <w:rFonts w:asciiTheme="minorHAnsi" w:hAnsiTheme="minorHAnsi" w:cstheme="minorHAnsi"/>
                <w:b/>
                <w:sz w:val="18"/>
                <w:szCs w:val="18"/>
              </w:rPr>
            </w:pPr>
            <w:r w:rsidRPr="00845B07">
              <w:rPr>
                <w:rFonts w:asciiTheme="minorHAnsi" w:hAnsiTheme="minorHAnsi" w:cstheme="minorHAnsi"/>
                <w:b/>
                <w:sz w:val="18"/>
                <w:szCs w:val="18"/>
              </w:rPr>
              <w:t>Komentář</w:t>
            </w:r>
          </w:p>
        </w:tc>
      </w:tr>
      <w:tr w:rsidR="00845B07" w:rsidRPr="00845B07" w:rsidTr="00F112A1">
        <w:trPr>
          <w:gridAfter w:val="1"/>
          <w:wAfter w:w="64" w:type="dxa"/>
        </w:trPr>
        <w:tc>
          <w:tcPr>
            <w:tcW w:w="850" w:type="dxa"/>
            <w:gridSpan w:val="2"/>
            <w:tcBorders>
              <w:top w:val="single" w:sz="4" w:space="0" w:color="auto"/>
              <w:left w:val="single" w:sz="4" w:space="0" w:color="auto"/>
              <w:bottom w:val="single" w:sz="4" w:space="0" w:color="auto"/>
              <w:right w:val="single" w:sz="4" w:space="0" w:color="auto"/>
            </w:tcBorders>
          </w:tcPr>
          <w:p w:rsidR="00845B07" w:rsidRPr="00845B07" w:rsidRDefault="00845B07" w:rsidP="00845B07">
            <w:pPr>
              <w:jc w:val="center"/>
              <w:rPr>
                <w:rFonts w:asciiTheme="minorHAnsi" w:hAnsiTheme="minorHAnsi" w:cstheme="minorHAnsi"/>
                <w:sz w:val="18"/>
                <w:szCs w:val="18"/>
              </w:rPr>
            </w:pPr>
            <w:r w:rsidRPr="00845B07">
              <w:rPr>
                <w:rFonts w:asciiTheme="minorHAnsi" w:hAnsiTheme="minorHAnsi" w:cstheme="minorHAnsi"/>
                <w:sz w:val="18"/>
                <w:szCs w:val="18"/>
              </w:rPr>
              <w:t>001031</w:t>
            </w:r>
          </w:p>
        </w:tc>
        <w:tc>
          <w:tcPr>
            <w:tcW w:w="640" w:type="dxa"/>
            <w:gridSpan w:val="2"/>
            <w:tcBorders>
              <w:top w:val="single" w:sz="4" w:space="0" w:color="auto"/>
              <w:left w:val="single" w:sz="4" w:space="0" w:color="auto"/>
              <w:bottom w:val="single" w:sz="4" w:space="0" w:color="auto"/>
              <w:right w:val="single" w:sz="4" w:space="0" w:color="auto"/>
            </w:tcBorders>
          </w:tcPr>
          <w:p w:rsidR="00845B07" w:rsidRPr="00845B07" w:rsidRDefault="00845B07" w:rsidP="00845B07">
            <w:pPr>
              <w:jc w:val="center"/>
              <w:rPr>
                <w:rFonts w:asciiTheme="minorHAnsi" w:hAnsiTheme="minorHAnsi" w:cstheme="minorHAnsi"/>
                <w:sz w:val="18"/>
                <w:szCs w:val="18"/>
              </w:rPr>
            </w:pPr>
            <w:r w:rsidRPr="00845B07">
              <w:rPr>
                <w:rFonts w:asciiTheme="minorHAnsi" w:hAnsiTheme="minorHAnsi" w:cstheme="minorHAnsi"/>
                <w:sz w:val="18"/>
                <w:szCs w:val="18"/>
              </w:rPr>
              <w:t>2139</w:t>
            </w:r>
          </w:p>
        </w:tc>
        <w:tc>
          <w:tcPr>
            <w:tcW w:w="1417" w:type="dxa"/>
            <w:gridSpan w:val="6"/>
            <w:tcBorders>
              <w:top w:val="single" w:sz="4" w:space="0" w:color="auto"/>
              <w:left w:val="single" w:sz="4" w:space="0" w:color="auto"/>
              <w:bottom w:val="single" w:sz="4" w:space="0" w:color="auto"/>
              <w:right w:val="single" w:sz="4" w:space="0" w:color="auto"/>
            </w:tcBorders>
          </w:tcPr>
          <w:p w:rsidR="00845B07" w:rsidRPr="00845B07" w:rsidRDefault="00845B07" w:rsidP="00845B07">
            <w:pPr>
              <w:jc w:val="center"/>
              <w:rPr>
                <w:rFonts w:asciiTheme="minorHAnsi" w:hAnsiTheme="minorHAnsi" w:cstheme="minorHAnsi"/>
                <w:sz w:val="18"/>
                <w:szCs w:val="18"/>
              </w:rPr>
            </w:pPr>
            <w:r w:rsidRPr="00845B07">
              <w:rPr>
                <w:rFonts w:asciiTheme="minorHAnsi" w:hAnsiTheme="minorHAnsi" w:cstheme="minorHAnsi"/>
                <w:sz w:val="18"/>
                <w:szCs w:val="18"/>
              </w:rPr>
              <w:t>0500000500000</w:t>
            </w:r>
          </w:p>
        </w:tc>
        <w:tc>
          <w:tcPr>
            <w:tcW w:w="770" w:type="dxa"/>
            <w:gridSpan w:val="5"/>
            <w:tcBorders>
              <w:top w:val="single" w:sz="4" w:space="0" w:color="auto"/>
              <w:left w:val="single" w:sz="4" w:space="0" w:color="auto"/>
              <w:bottom w:val="single" w:sz="4" w:space="0" w:color="auto"/>
              <w:right w:val="single" w:sz="4" w:space="0" w:color="auto"/>
            </w:tcBorders>
          </w:tcPr>
          <w:p w:rsidR="00845B07" w:rsidRPr="00845B07" w:rsidRDefault="00845B07" w:rsidP="00845B07">
            <w:pPr>
              <w:jc w:val="center"/>
              <w:rPr>
                <w:rFonts w:asciiTheme="minorHAnsi" w:hAnsiTheme="minorHAnsi" w:cstheme="minorHAnsi"/>
                <w:sz w:val="18"/>
                <w:szCs w:val="18"/>
              </w:rPr>
            </w:pPr>
          </w:p>
        </w:tc>
        <w:tc>
          <w:tcPr>
            <w:tcW w:w="857" w:type="dxa"/>
            <w:gridSpan w:val="4"/>
            <w:tcBorders>
              <w:top w:val="single" w:sz="4" w:space="0" w:color="auto"/>
              <w:left w:val="single" w:sz="4" w:space="0" w:color="auto"/>
              <w:bottom w:val="single" w:sz="4" w:space="0" w:color="auto"/>
              <w:right w:val="single" w:sz="4" w:space="0" w:color="auto"/>
            </w:tcBorders>
          </w:tcPr>
          <w:p w:rsidR="00845B07" w:rsidRPr="00845B07" w:rsidRDefault="00845B07" w:rsidP="00845B07">
            <w:pPr>
              <w:jc w:val="right"/>
              <w:rPr>
                <w:rFonts w:asciiTheme="minorHAnsi" w:hAnsiTheme="minorHAnsi" w:cstheme="minorHAnsi"/>
                <w:sz w:val="18"/>
                <w:szCs w:val="18"/>
              </w:rPr>
            </w:pPr>
            <w:r w:rsidRPr="00845B07">
              <w:rPr>
                <w:rFonts w:asciiTheme="minorHAnsi" w:hAnsiTheme="minorHAnsi" w:cstheme="minorHAnsi"/>
                <w:sz w:val="18"/>
                <w:szCs w:val="18"/>
              </w:rPr>
              <w:t>2 420,00</w:t>
            </w:r>
          </w:p>
        </w:tc>
        <w:tc>
          <w:tcPr>
            <w:tcW w:w="1067" w:type="dxa"/>
            <w:gridSpan w:val="5"/>
            <w:tcBorders>
              <w:top w:val="single" w:sz="4" w:space="0" w:color="auto"/>
              <w:left w:val="single" w:sz="4" w:space="0" w:color="auto"/>
              <w:bottom w:val="single" w:sz="4" w:space="0" w:color="auto"/>
              <w:right w:val="single" w:sz="4" w:space="0" w:color="auto"/>
            </w:tcBorders>
          </w:tcPr>
          <w:p w:rsidR="00845B07" w:rsidRPr="00845B07" w:rsidRDefault="00845B07" w:rsidP="00845B07">
            <w:pPr>
              <w:jc w:val="right"/>
              <w:rPr>
                <w:rFonts w:asciiTheme="minorHAnsi" w:hAnsiTheme="minorHAnsi" w:cstheme="minorHAnsi"/>
                <w:sz w:val="18"/>
                <w:szCs w:val="18"/>
              </w:rPr>
            </w:pPr>
            <w:r w:rsidRPr="00845B07">
              <w:rPr>
                <w:rFonts w:asciiTheme="minorHAnsi" w:hAnsiTheme="minorHAnsi" w:cstheme="minorHAnsi"/>
                <w:sz w:val="18"/>
                <w:szCs w:val="18"/>
              </w:rPr>
              <w:t>4 598,00</w:t>
            </w:r>
          </w:p>
        </w:tc>
        <w:tc>
          <w:tcPr>
            <w:tcW w:w="4319" w:type="dxa"/>
            <w:gridSpan w:val="11"/>
            <w:tcBorders>
              <w:top w:val="single" w:sz="4" w:space="0" w:color="auto"/>
              <w:left w:val="single" w:sz="4" w:space="0" w:color="auto"/>
              <w:bottom w:val="single" w:sz="4" w:space="0" w:color="auto"/>
              <w:right w:val="single" w:sz="4" w:space="0" w:color="auto"/>
            </w:tcBorders>
          </w:tcPr>
          <w:p w:rsidR="00845B07" w:rsidRPr="00845B07" w:rsidRDefault="00845B07" w:rsidP="00845B07">
            <w:pPr>
              <w:rPr>
                <w:rFonts w:asciiTheme="minorHAnsi" w:hAnsiTheme="minorHAnsi" w:cstheme="minorHAnsi"/>
                <w:b/>
                <w:sz w:val="18"/>
                <w:szCs w:val="18"/>
                <w:u w:val="single"/>
              </w:rPr>
            </w:pPr>
            <w:r w:rsidRPr="00845B07">
              <w:rPr>
                <w:rFonts w:asciiTheme="minorHAnsi" w:hAnsiTheme="minorHAnsi" w:cstheme="minorHAnsi"/>
                <w:b/>
                <w:sz w:val="18"/>
                <w:szCs w:val="18"/>
                <w:u w:val="single"/>
              </w:rPr>
              <w:t>Ostatní příjmy z pronájmu nebo pachtu majetku:</w:t>
            </w:r>
          </w:p>
          <w:p w:rsidR="00845B07" w:rsidRPr="00845B07" w:rsidRDefault="00845B07" w:rsidP="00845B07">
            <w:pPr>
              <w:rPr>
                <w:rFonts w:asciiTheme="minorHAnsi" w:hAnsiTheme="minorHAnsi" w:cstheme="minorHAnsi"/>
                <w:sz w:val="18"/>
                <w:szCs w:val="18"/>
              </w:rPr>
            </w:pPr>
            <w:r w:rsidRPr="00845B07">
              <w:rPr>
                <w:rFonts w:asciiTheme="minorHAnsi" w:hAnsiTheme="minorHAnsi" w:cstheme="minorHAnsi"/>
                <w:sz w:val="18"/>
                <w:szCs w:val="18"/>
              </w:rPr>
              <w:t>LMP, s.</w:t>
            </w:r>
            <w:r>
              <w:rPr>
                <w:rFonts w:asciiTheme="minorHAnsi" w:hAnsiTheme="minorHAnsi" w:cstheme="minorHAnsi"/>
                <w:sz w:val="18"/>
                <w:szCs w:val="18"/>
              </w:rPr>
              <w:t xml:space="preserve"> </w:t>
            </w:r>
            <w:r w:rsidRPr="00845B07">
              <w:rPr>
                <w:rFonts w:asciiTheme="minorHAnsi" w:hAnsiTheme="minorHAnsi" w:cstheme="minorHAnsi"/>
                <w:sz w:val="18"/>
                <w:szCs w:val="18"/>
              </w:rPr>
              <w:t>r.</w:t>
            </w:r>
            <w:r>
              <w:rPr>
                <w:rFonts w:asciiTheme="minorHAnsi" w:hAnsiTheme="minorHAnsi" w:cstheme="minorHAnsi"/>
                <w:sz w:val="18"/>
                <w:szCs w:val="18"/>
              </w:rPr>
              <w:t xml:space="preserve"> o. – RMP na své schůzi dne </w:t>
            </w:r>
            <w:r w:rsidRPr="00845B07">
              <w:rPr>
                <w:rFonts w:asciiTheme="minorHAnsi" w:hAnsiTheme="minorHAnsi" w:cstheme="minorHAnsi"/>
                <w:sz w:val="18"/>
                <w:szCs w:val="18"/>
              </w:rPr>
              <w:t>6.</w:t>
            </w:r>
            <w:r>
              <w:rPr>
                <w:rFonts w:asciiTheme="minorHAnsi" w:hAnsiTheme="minorHAnsi" w:cstheme="minorHAnsi"/>
                <w:sz w:val="18"/>
                <w:szCs w:val="18"/>
              </w:rPr>
              <w:t xml:space="preserve"> </w:t>
            </w:r>
            <w:r w:rsidRPr="00845B07">
              <w:rPr>
                <w:rFonts w:asciiTheme="minorHAnsi" w:hAnsiTheme="minorHAnsi" w:cstheme="minorHAnsi"/>
                <w:sz w:val="18"/>
                <w:szCs w:val="18"/>
              </w:rPr>
              <w:t>12.</w:t>
            </w:r>
            <w:r>
              <w:rPr>
                <w:rFonts w:asciiTheme="minorHAnsi" w:hAnsiTheme="minorHAnsi" w:cstheme="minorHAnsi"/>
                <w:sz w:val="18"/>
                <w:szCs w:val="18"/>
              </w:rPr>
              <w:t xml:space="preserve"> </w:t>
            </w:r>
            <w:r w:rsidRPr="00845B07">
              <w:rPr>
                <w:rFonts w:asciiTheme="minorHAnsi" w:hAnsiTheme="minorHAnsi" w:cstheme="minorHAnsi"/>
                <w:sz w:val="18"/>
                <w:szCs w:val="18"/>
              </w:rPr>
              <w:t>2022 usnesením č. RM/2022/05/49 schválila variabilní složku n</w:t>
            </w:r>
            <w:r>
              <w:rPr>
                <w:rFonts w:asciiTheme="minorHAnsi" w:hAnsiTheme="minorHAnsi" w:cstheme="minorHAnsi"/>
                <w:sz w:val="18"/>
                <w:szCs w:val="18"/>
              </w:rPr>
              <w:t xml:space="preserve">ájemného pro rok 2022 ve výši 1 </w:t>
            </w:r>
            <w:r w:rsidRPr="00845B07">
              <w:rPr>
                <w:rFonts w:asciiTheme="minorHAnsi" w:hAnsiTheme="minorHAnsi" w:cstheme="minorHAnsi"/>
                <w:sz w:val="18"/>
                <w:szCs w:val="18"/>
              </w:rPr>
              <w:t>800 tis. Kč bez DPH.</w:t>
            </w:r>
          </w:p>
        </w:tc>
      </w:tr>
      <w:tr w:rsidR="00845B07" w:rsidRPr="00845B07" w:rsidTr="00F112A1">
        <w:trPr>
          <w:gridAfter w:val="1"/>
          <w:wAfter w:w="64" w:type="dxa"/>
        </w:trPr>
        <w:tc>
          <w:tcPr>
            <w:tcW w:w="850" w:type="dxa"/>
            <w:gridSpan w:val="2"/>
            <w:tcBorders>
              <w:top w:val="single" w:sz="4" w:space="0" w:color="auto"/>
              <w:left w:val="single" w:sz="4" w:space="0" w:color="auto"/>
              <w:bottom w:val="single" w:sz="4" w:space="0" w:color="auto"/>
              <w:right w:val="single" w:sz="4" w:space="0" w:color="auto"/>
            </w:tcBorders>
          </w:tcPr>
          <w:p w:rsidR="00845B07" w:rsidRPr="00845B07" w:rsidRDefault="00845B07" w:rsidP="00845B07">
            <w:pPr>
              <w:jc w:val="center"/>
              <w:rPr>
                <w:rFonts w:asciiTheme="minorHAnsi" w:hAnsiTheme="minorHAnsi" w:cstheme="minorHAnsi"/>
                <w:sz w:val="18"/>
                <w:szCs w:val="18"/>
              </w:rPr>
            </w:pPr>
            <w:r w:rsidRPr="00845B07">
              <w:rPr>
                <w:rFonts w:asciiTheme="minorHAnsi" w:hAnsiTheme="minorHAnsi" w:cstheme="minorHAnsi"/>
                <w:sz w:val="18"/>
                <w:szCs w:val="18"/>
              </w:rPr>
              <w:t>003412</w:t>
            </w:r>
          </w:p>
        </w:tc>
        <w:tc>
          <w:tcPr>
            <w:tcW w:w="640" w:type="dxa"/>
            <w:gridSpan w:val="2"/>
            <w:tcBorders>
              <w:top w:val="single" w:sz="4" w:space="0" w:color="auto"/>
              <w:left w:val="single" w:sz="4" w:space="0" w:color="auto"/>
              <w:bottom w:val="single" w:sz="4" w:space="0" w:color="auto"/>
              <w:right w:val="single" w:sz="4" w:space="0" w:color="auto"/>
            </w:tcBorders>
          </w:tcPr>
          <w:p w:rsidR="00845B07" w:rsidRPr="00845B07" w:rsidRDefault="00845B07" w:rsidP="00845B07">
            <w:pPr>
              <w:jc w:val="center"/>
              <w:rPr>
                <w:rFonts w:asciiTheme="minorHAnsi" w:hAnsiTheme="minorHAnsi" w:cstheme="minorHAnsi"/>
                <w:sz w:val="18"/>
                <w:szCs w:val="18"/>
              </w:rPr>
            </w:pPr>
            <w:r w:rsidRPr="00845B07">
              <w:rPr>
                <w:rFonts w:asciiTheme="minorHAnsi" w:hAnsiTheme="minorHAnsi" w:cstheme="minorHAnsi"/>
                <w:sz w:val="18"/>
                <w:szCs w:val="18"/>
              </w:rPr>
              <w:t>2132</w:t>
            </w:r>
          </w:p>
        </w:tc>
        <w:tc>
          <w:tcPr>
            <w:tcW w:w="1417" w:type="dxa"/>
            <w:gridSpan w:val="6"/>
            <w:tcBorders>
              <w:top w:val="single" w:sz="4" w:space="0" w:color="auto"/>
              <w:left w:val="single" w:sz="4" w:space="0" w:color="auto"/>
              <w:bottom w:val="single" w:sz="4" w:space="0" w:color="auto"/>
              <w:right w:val="single" w:sz="4" w:space="0" w:color="auto"/>
            </w:tcBorders>
          </w:tcPr>
          <w:p w:rsidR="00845B07" w:rsidRPr="00845B07" w:rsidRDefault="00845B07" w:rsidP="00845B07">
            <w:pPr>
              <w:jc w:val="center"/>
              <w:rPr>
                <w:rFonts w:asciiTheme="minorHAnsi" w:hAnsiTheme="minorHAnsi" w:cstheme="minorHAnsi"/>
                <w:sz w:val="18"/>
                <w:szCs w:val="18"/>
              </w:rPr>
            </w:pPr>
            <w:r w:rsidRPr="00845B07">
              <w:rPr>
                <w:rFonts w:asciiTheme="minorHAnsi" w:hAnsiTheme="minorHAnsi" w:cstheme="minorHAnsi"/>
                <w:sz w:val="18"/>
                <w:szCs w:val="18"/>
              </w:rPr>
              <w:t>0500119000000</w:t>
            </w:r>
          </w:p>
        </w:tc>
        <w:tc>
          <w:tcPr>
            <w:tcW w:w="770" w:type="dxa"/>
            <w:gridSpan w:val="5"/>
            <w:tcBorders>
              <w:top w:val="single" w:sz="4" w:space="0" w:color="auto"/>
              <w:left w:val="single" w:sz="4" w:space="0" w:color="auto"/>
              <w:bottom w:val="single" w:sz="4" w:space="0" w:color="auto"/>
              <w:right w:val="single" w:sz="4" w:space="0" w:color="auto"/>
            </w:tcBorders>
          </w:tcPr>
          <w:p w:rsidR="00845B07" w:rsidRPr="00845B07" w:rsidRDefault="00845B07" w:rsidP="00845B07">
            <w:pPr>
              <w:jc w:val="center"/>
              <w:rPr>
                <w:rFonts w:asciiTheme="minorHAnsi" w:hAnsiTheme="minorHAnsi" w:cstheme="minorHAnsi"/>
                <w:sz w:val="18"/>
                <w:szCs w:val="18"/>
              </w:rPr>
            </w:pPr>
          </w:p>
        </w:tc>
        <w:tc>
          <w:tcPr>
            <w:tcW w:w="857" w:type="dxa"/>
            <w:gridSpan w:val="4"/>
            <w:tcBorders>
              <w:top w:val="single" w:sz="4" w:space="0" w:color="auto"/>
              <w:left w:val="single" w:sz="4" w:space="0" w:color="auto"/>
              <w:bottom w:val="single" w:sz="4" w:space="0" w:color="auto"/>
              <w:right w:val="single" w:sz="4" w:space="0" w:color="auto"/>
            </w:tcBorders>
          </w:tcPr>
          <w:p w:rsidR="00845B07" w:rsidRPr="00845B07" w:rsidRDefault="00845B07" w:rsidP="00845B07">
            <w:pPr>
              <w:jc w:val="right"/>
              <w:rPr>
                <w:rFonts w:asciiTheme="minorHAnsi" w:hAnsiTheme="minorHAnsi" w:cstheme="minorHAnsi"/>
                <w:sz w:val="18"/>
                <w:szCs w:val="18"/>
              </w:rPr>
            </w:pPr>
            <w:r w:rsidRPr="00845B07">
              <w:rPr>
                <w:rFonts w:asciiTheme="minorHAnsi" w:hAnsiTheme="minorHAnsi" w:cstheme="minorHAnsi"/>
                <w:sz w:val="18"/>
                <w:szCs w:val="18"/>
              </w:rPr>
              <w:t>600,00</w:t>
            </w:r>
          </w:p>
        </w:tc>
        <w:tc>
          <w:tcPr>
            <w:tcW w:w="1067" w:type="dxa"/>
            <w:gridSpan w:val="5"/>
            <w:tcBorders>
              <w:top w:val="single" w:sz="4" w:space="0" w:color="auto"/>
              <w:left w:val="single" w:sz="4" w:space="0" w:color="auto"/>
              <w:bottom w:val="single" w:sz="4" w:space="0" w:color="auto"/>
              <w:right w:val="single" w:sz="4" w:space="0" w:color="auto"/>
            </w:tcBorders>
          </w:tcPr>
          <w:p w:rsidR="00845B07" w:rsidRPr="00845B07" w:rsidRDefault="00845B07" w:rsidP="00845B07">
            <w:pPr>
              <w:jc w:val="right"/>
              <w:rPr>
                <w:rFonts w:asciiTheme="minorHAnsi" w:hAnsiTheme="minorHAnsi" w:cstheme="minorHAnsi"/>
                <w:sz w:val="18"/>
                <w:szCs w:val="18"/>
              </w:rPr>
            </w:pPr>
            <w:r w:rsidRPr="00845B07">
              <w:rPr>
                <w:rFonts w:asciiTheme="minorHAnsi" w:hAnsiTheme="minorHAnsi" w:cstheme="minorHAnsi"/>
                <w:sz w:val="18"/>
                <w:szCs w:val="18"/>
              </w:rPr>
              <w:t>393,96</w:t>
            </w:r>
          </w:p>
        </w:tc>
        <w:tc>
          <w:tcPr>
            <w:tcW w:w="4319" w:type="dxa"/>
            <w:gridSpan w:val="11"/>
            <w:tcBorders>
              <w:top w:val="single" w:sz="4" w:space="0" w:color="auto"/>
              <w:left w:val="single" w:sz="4" w:space="0" w:color="auto"/>
              <w:bottom w:val="single" w:sz="4" w:space="0" w:color="auto"/>
              <w:right w:val="single" w:sz="4" w:space="0" w:color="auto"/>
            </w:tcBorders>
          </w:tcPr>
          <w:p w:rsidR="00845B07" w:rsidRPr="00845B07" w:rsidRDefault="00845B07" w:rsidP="00845B07">
            <w:pPr>
              <w:rPr>
                <w:rFonts w:asciiTheme="minorHAnsi" w:hAnsiTheme="minorHAnsi" w:cstheme="minorHAnsi"/>
                <w:b/>
                <w:sz w:val="18"/>
                <w:szCs w:val="18"/>
                <w:u w:val="single"/>
              </w:rPr>
            </w:pPr>
            <w:r w:rsidRPr="00845B07">
              <w:rPr>
                <w:rFonts w:asciiTheme="minorHAnsi" w:hAnsiTheme="minorHAnsi" w:cstheme="minorHAnsi"/>
                <w:b/>
                <w:sz w:val="18"/>
                <w:szCs w:val="18"/>
                <w:u w:val="single"/>
              </w:rPr>
              <w:t>Příjmy z pronájmu nebo pachtu ost.</w:t>
            </w:r>
            <w:r>
              <w:rPr>
                <w:rFonts w:asciiTheme="minorHAnsi" w:hAnsiTheme="minorHAnsi" w:cstheme="minorHAnsi"/>
                <w:b/>
                <w:sz w:val="18"/>
                <w:szCs w:val="18"/>
                <w:u w:val="single"/>
              </w:rPr>
              <w:t xml:space="preserve"> </w:t>
            </w:r>
            <w:r w:rsidRPr="00845B07">
              <w:rPr>
                <w:rFonts w:asciiTheme="minorHAnsi" w:hAnsiTheme="minorHAnsi" w:cstheme="minorHAnsi"/>
                <w:b/>
                <w:sz w:val="18"/>
                <w:szCs w:val="18"/>
                <w:u w:val="single"/>
              </w:rPr>
              <w:t>nemov.</w:t>
            </w:r>
            <w:r>
              <w:rPr>
                <w:rFonts w:asciiTheme="minorHAnsi" w:hAnsiTheme="minorHAnsi" w:cstheme="minorHAnsi"/>
                <w:b/>
                <w:sz w:val="18"/>
                <w:szCs w:val="18"/>
                <w:u w:val="single"/>
              </w:rPr>
              <w:t xml:space="preserve"> </w:t>
            </w:r>
            <w:r w:rsidRPr="00845B07">
              <w:rPr>
                <w:rFonts w:asciiTheme="minorHAnsi" w:hAnsiTheme="minorHAnsi" w:cstheme="minorHAnsi"/>
                <w:b/>
                <w:sz w:val="18"/>
                <w:szCs w:val="18"/>
                <w:u w:val="single"/>
              </w:rPr>
              <w:t>věcí:</w:t>
            </w:r>
          </w:p>
          <w:p w:rsidR="00845B07" w:rsidRPr="00845B07" w:rsidRDefault="00845B07" w:rsidP="00845B07">
            <w:pPr>
              <w:rPr>
                <w:rFonts w:asciiTheme="minorHAnsi" w:hAnsiTheme="minorHAnsi" w:cstheme="minorHAnsi"/>
                <w:sz w:val="18"/>
                <w:szCs w:val="18"/>
              </w:rPr>
            </w:pPr>
            <w:r w:rsidRPr="00845B07">
              <w:rPr>
                <w:rFonts w:asciiTheme="minorHAnsi" w:hAnsiTheme="minorHAnsi" w:cstheme="minorHAnsi"/>
                <w:sz w:val="18"/>
                <w:szCs w:val="18"/>
              </w:rPr>
              <w:t>Pronájem – Sport.</w:t>
            </w:r>
            <w:r>
              <w:rPr>
                <w:rFonts w:asciiTheme="minorHAnsi" w:hAnsiTheme="minorHAnsi" w:cstheme="minorHAnsi"/>
                <w:sz w:val="18"/>
                <w:szCs w:val="18"/>
              </w:rPr>
              <w:t xml:space="preserve"> </w:t>
            </w:r>
            <w:r w:rsidRPr="00845B07">
              <w:rPr>
                <w:rFonts w:asciiTheme="minorHAnsi" w:hAnsiTheme="minorHAnsi" w:cstheme="minorHAnsi"/>
                <w:sz w:val="18"/>
                <w:szCs w:val="18"/>
              </w:rPr>
              <w:t xml:space="preserve">areál, Za Místním nádražím – úhrady za pronájem dle skutečného využití. </w:t>
            </w:r>
          </w:p>
        </w:tc>
      </w:tr>
      <w:tr w:rsidR="00845B07" w:rsidRPr="00845B07" w:rsidTr="00F112A1">
        <w:trPr>
          <w:gridAfter w:val="1"/>
          <w:wAfter w:w="64" w:type="dxa"/>
        </w:trPr>
        <w:tc>
          <w:tcPr>
            <w:tcW w:w="850" w:type="dxa"/>
            <w:gridSpan w:val="2"/>
            <w:tcBorders>
              <w:top w:val="single" w:sz="4" w:space="0" w:color="auto"/>
              <w:left w:val="single" w:sz="4" w:space="0" w:color="auto"/>
              <w:bottom w:val="single" w:sz="4" w:space="0" w:color="auto"/>
              <w:right w:val="single" w:sz="4" w:space="0" w:color="auto"/>
            </w:tcBorders>
          </w:tcPr>
          <w:p w:rsidR="00845B07" w:rsidRPr="00845B07" w:rsidRDefault="00845B07" w:rsidP="00845B07">
            <w:pPr>
              <w:jc w:val="center"/>
              <w:rPr>
                <w:rFonts w:asciiTheme="minorHAnsi" w:hAnsiTheme="minorHAnsi" w:cstheme="minorHAnsi"/>
                <w:sz w:val="18"/>
                <w:szCs w:val="18"/>
              </w:rPr>
            </w:pPr>
            <w:r w:rsidRPr="00845B07">
              <w:rPr>
                <w:rFonts w:asciiTheme="minorHAnsi" w:hAnsiTheme="minorHAnsi" w:cstheme="minorHAnsi"/>
                <w:sz w:val="18"/>
                <w:szCs w:val="18"/>
              </w:rPr>
              <w:t>003612</w:t>
            </w:r>
          </w:p>
        </w:tc>
        <w:tc>
          <w:tcPr>
            <w:tcW w:w="640" w:type="dxa"/>
            <w:gridSpan w:val="2"/>
            <w:tcBorders>
              <w:top w:val="single" w:sz="4" w:space="0" w:color="auto"/>
              <w:left w:val="single" w:sz="4" w:space="0" w:color="auto"/>
              <w:bottom w:val="single" w:sz="4" w:space="0" w:color="auto"/>
              <w:right w:val="single" w:sz="4" w:space="0" w:color="auto"/>
            </w:tcBorders>
          </w:tcPr>
          <w:p w:rsidR="00845B07" w:rsidRPr="00845B07" w:rsidRDefault="00845B07" w:rsidP="00845B07">
            <w:pPr>
              <w:jc w:val="center"/>
              <w:rPr>
                <w:rFonts w:asciiTheme="minorHAnsi" w:hAnsiTheme="minorHAnsi" w:cstheme="minorHAnsi"/>
                <w:sz w:val="18"/>
                <w:szCs w:val="18"/>
              </w:rPr>
            </w:pPr>
            <w:r w:rsidRPr="00845B07">
              <w:rPr>
                <w:rFonts w:asciiTheme="minorHAnsi" w:hAnsiTheme="minorHAnsi" w:cstheme="minorHAnsi"/>
                <w:sz w:val="18"/>
                <w:szCs w:val="18"/>
              </w:rPr>
              <w:t>2132</w:t>
            </w:r>
          </w:p>
        </w:tc>
        <w:tc>
          <w:tcPr>
            <w:tcW w:w="1417" w:type="dxa"/>
            <w:gridSpan w:val="6"/>
            <w:tcBorders>
              <w:top w:val="single" w:sz="4" w:space="0" w:color="auto"/>
              <w:left w:val="single" w:sz="4" w:space="0" w:color="auto"/>
              <w:bottom w:val="single" w:sz="4" w:space="0" w:color="auto"/>
              <w:right w:val="single" w:sz="4" w:space="0" w:color="auto"/>
            </w:tcBorders>
          </w:tcPr>
          <w:p w:rsidR="00845B07" w:rsidRPr="00845B07" w:rsidRDefault="00845B07" w:rsidP="00845B07">
            <w:pPr>
              <w:jc w:val="center"/>
              <w:rPr>
                <w:rFonts w:asciiTheme="minorHAnsi" w:hAnsiTheme="minorHAnsi" w:cstheme="minorHAnsi"/>
                <w:sz w:val="18"/>
                <w:szCs w:val="18"/>
              </w:rPr>
            </w:pPr>
            <w:r w:rsidRPr="00845B07">
              <w:rPr>
                <w:rFonts w:asciiTheme="minorHAnsi" w:hAnsiTheme="minorHAnsi" w:cstheme="minorHAnsi"/>
                <w:sz w:val="18"/>
                <w:szCs w:val="18"/>
              </w:rPr>
              <w:t>0500000505050</w:t>
            </w:r>
          </w:p>
        </w:tc>
        <w:tc>
          <w:tcPr>
            <w:tcW w:w="770" w:type="dxa"/>
            <w:gridSpan w:val="5"/>
            <w:tcBorders>
              <w:top w:val="single" w:sz="4" w:space="0" w:color="auto"/>
              <w:left w:val="single" w:sz="4" w:space="0" w:color="auto"/>
              <w:bottom w:val="single" w:sz="4" w:space="0" w:color="auto"/>
              <w:right w:val="single" w:sz="4" w:space="0" w:color="auto"/>
            </w:tcBorders>
          </w:tcPr>
          <w:p w:rsidR="00845B07" w:rsidRPr="00845B07" w:rsidRDefault="00845B07" w:rsidP="00845B07">
            <w:pPr>
              <w:jc w:val="center"/>
              <w:rPr>
                <w:rFonts w:asciiTheme="minorHAnsi" w:hAnsiTheme="minorHAnsi" w:cstheme="minorHAnsi"/>
                <w:sz w:val="18"/>
                <w:szCs w:val="18"/>
              </w:rPr>
            </w:pPr>
          </w:p>
        </w:tc>
        <w:tc>
          <w:tcPr>
            <w:tcW w:w="857" w:type="dxa"/>
            <w:gridSpan w:val="4"/>
            <w:tcBorders>
              <w:top w:val="single" w:sz="4" w:space="0" w:color="auto"/>
              <w:left w:val="single" w:sz="4" w:space="0" w:color="auto"/>
              <w:bottom w:val="single" w:sz="4" w:space="0" w:color="auto"/>
              <w:right w:val="single" w:sz="4" w:space="0" w:color="auto"/>
            </w:tcBorders>
          </w:tcPr>
          <w:p w:rsidR="00845B07" w:rsidRPr="00845B07" w:rsidRDefault="00845B07" w:rsidP="00845B07">
            <w:pPr>
              <w:jc w:val="right"/>
              <w:rPr>
                <w:rFonts w:asciiTheme="minorHAnsi" w:hAnsiTheme="minorHAnsi" w:cstheme="minorHAnsi"/>
                <w:sz w:val="18"/>
                <w:szCs w:val="18"/>
              </w:rPr>
            </w:pPr>
            <w:r w:rsidRPr="00845B07">
              <w:rPr>
                <w:rFonts w:asciiTheme="minorHAnsi" w:hAnsiTheme="minorHAnsi" w:cstheme="minorHAnsi"/>
                <w:sz w:val="18"/>
                <w:szCs w:val="18"/>
              </w:rPr>
              <w:t>41,00</w:t>
            </w:r>
          </w:p>
        </w:tc>
        <w:tc>
          <w:tcPr>
            <w:tcW w:w="1067" w:type="dxa"/>
            <w:gridSpan w:val="5"/>
            <w:tcBorders>
              <w:top w:val="single" w:sz="4" w:space="0" w:color="auto"/>
              <w:left w:val="single" w:sz="4" w:space="0" w:color="auto"/>
              <w:bottom w:val="single" w:sz="4" w:space="0" w:color="auto"/>
              <w:right w:val="single" w:sz="4" w:space="0" w:color="auto"/>
            </w:tcBorders>
          </w:tcPr>
          <w:p w:rsidR="00845B07" w:rsidRPr="00845B07" w:rsidRDefault="00845B07" w:rsidP="00845B07">
            <w:pPr>
              <w:jc w:val="right"/>
              <w:rPr>
                <w:rFonts w:asciiTheme="minorHAnsi" w:hAnsiTheme="minorHAnsi" w:cstheme="minorHAnsi"/>
                <w:sz w:val="18"/>
                <w:szCs w:val="18"/>
              </w:rPr>
            </w:pPr>
            <w:r w:rsidRPr="00845B07">
              <w:rPr>
                <w:rFonts w:asciiTheme="minorHAnsi" w:hAnsiTheme="minorHAnsi" w:cstheme="minorHAnsi"/>
                <w:sz w:val="18"/>
                <w:szCs w:val="18"/>
              </w:rPr>
              <w:t>47,98</w:t>
            </w:r>
          </w:p>
        </w:tc>
        <w:tc>
          <w:tcPr>
            <w:tcW w:w="4319" w:type="dxa"/>
            <w:gridSpan w:val="11"/>
            <w:tcBorders>
              <w:top w:val="single" w:sz="4" w:space="0" w:color="auto"/>
              <w:left w:val="single" w:sz="4" w:space="0" w:color="auto"/>
              <w:bottom w:val="single" w:sz="4" w:space="0" w:color="auto"/>
              <w:right w:val="single" w:sz="4" w:space="0" w:color="auto"/>
            </w:tcBorders>
          </w:tcPr>
          <w:p w:rsidR="00845B07" w:rsidRPr="00845B07" w:rsidRDefault="00845B07" w:rsidP="00845B07">
            <w:pPr>
              <w:rPr>
                <w:rFonts w:asciiTheme="minorHAnsi" w:hAnsiTheme="minorHAnsi" w:cstheme="minorHAnsi"/>
                <w:b/>
                <w:sz w:val="18"/>
                <w:szCs w:val="18"/>
                <w:u w:val="single"/>
              </w:rPr>
            </w:pPr>
            <w:r w:rsidRPr="00845B07">
              <w:rPr>
                <w:rFonts w:asciiTheme="minorHAnsi" w:hAnsiTheme="minorHAnsi" w:cstheme="minorHAnsi"/>
                <w:b/>
                <w:sz w:val="18"/>
                <w:szCs w:val="18"/>
                <w:u w:val="single"/>
              </w:rPr>
              <w:t>Příjmy z pronájmu nebo pachtu ost.</w:t>
            </w:r>
            <w:r>
              <w:rPr>
                <w:rFonts w:asciiTheme="minorHAnsi" w:hAnsiTheme="minorHAnsi" w:cstheme="minorHAnsi"/>
                <w:b/>
                <w:sz w:val="18"/>
                <w:szCs w:val="18"/>
                <w:u w:val="single"/>
              </w:rPr>
              <w:t xml:space="preserve"> </w:t>
            </w:r>
            <w:r w:rsidRPr="00845B07">
              <w:rPr>
                <w:rFonts w:asciiTheme="minorHAnsi" w:hAnsiTheme="minorHAnsi" w:cstheme="minorHAnsi"/>
                <w:b/>
                <w:sz w:val="18"/>
                <w:szCs w:val="18"/>
                <w:u w:val="single"/>
              </w:rPr>
              <w:t>nemov.</w:t>
            </w:r>
            <w:r>
              <w:rPr>
                <w:rFonts w:asciiTheme="minorHAnsi" w:hAnsiTheme="minorHAnsi" w:cstheme="minorHAnsi"/>
                <w:b/>
                <w:sz w:val="18"/>
                <w:szCs w:val="18"/>
                <w:u w:val="single"/>
              </w:rPr>
              <w:t xml:space="preserve"> </w:t>
            </w:r>
            <w:r w:rsidRPr="00845B07">
              <w:rPr>
                <w:rFonts w:asciiTheme="minorHAnsi" w:hAnsiTheme="minorHAnsi" w:cstheme="minorHAnsi"/>
                <w:b/>
                <w:sz w:val="18"/>
                <w:szCs w:val="18"/>
                <w:u w:val="single"/>
              </w:rPr>
              <w:t>věcí:</w:t>
            </w:r>
          </w:p>
          <w:p w:rsidR="00845B07" w:rsidRPr="00845B07" w:rsidRDefault="00845B07" w:rsidP="00845B07">
            <w:pPr>
              <w:rPr>
                <w:rFonts w:asciiTheme="minorHAnsi" w:hAnsiTheme="minorHAnsi" w:cstheme="minorHAnsi"/>
                <w:sz w:val="18"/>
                <w:szCs w:val="18"/>
              </w:rPr>
            </w:pPr>
            <w:r w:rsidRPr="00845B07">
              <w:rPr>
                <w:rFonts w:asciiTheme="minorHAnsi" w:hAnsiTheme="minorHAnsi" w:cstheme="minorHAnsi"/>
                <w:sz w:val="18"/>
                <w:szCs w:val="18"/>
              </w:rPr>
              <w:t xml:space="preserve">Byt Husovo nám. 91 – do r. 2022 zahrnuta pozdní platba z roku 2021. </w:t>
            </w:r>
          </w:p>
        </w:tc>
      </w:tr>
      <w:tr w:rsidR="00845B07" w:rsidRPr="00845B07" w:rsidTr="00F112A1">
        <w:trPr>
          <w:gridAfter w:val="1"/>
          <w:wAfter w:w="64" w:type="dxa"/>
        </w:trPr>
        <w:tc>
          <w:tcPr>
            <w:tcW w:w="850" w:type="dxa"/>
            <w:gridSpan w:val="2"/>
            <w:tcBorders>
              <w:top w:val="single" w:sz="4" w:space="0" w:color="auto"/>
              <w:left w:val="single" w:sz="4" w:space="0" w:color="auto"/>
              <w:bottom w:val="single" w:sz="4" w:space="0" w:color="auto"/>
              <w:right w:val="single" w:sz="4" w:space="0" w:color="auto"/>
            </w:tcBorders>
          </w:tcPr>
          <w:p w:rsidR="00845B07" w:rsidRPr="00845B07" w:rsidRDefault="00845B07" w:rsidP="00845B07">
            <w:pPr>
              <w:jc w:val="center"/>
              <w:rPr>
                <w:rFonts w:asciiTheme="minorHAnsi" w:hAnsiTheme="minorHAnsi" w:cstheme="minorHAnsi"/>
                <w:sz w:val="18"/>
                <w:szCs w:val="18"/>
              </w:rPr>
            </w:pPr>
            <w:r w:rsidRPr="00845B07">
              <w:rPr>
                <w:rFonts w:asciiTheme="minorHAnsi" w:hAnsiTheme="minorHAnsi" w:cstheme="minorHAnsi"/>
                <w:sz w:val="18"/>
                <w:szCs w:val="18"/>
              </w:rPr>
              <w:t>003639</w:t>
            </w:r>
          </w:p>
        </w:tc>
        <w:tc>
          <w:tcPr>
            <w:tcW w:w="640" w:type="dxa"/>
            <w:gridSpan w:val="2"/>
            <w:tcBorders>
              <w:top w:val="single" w:sz="4" w:space="0" w:color="auto"/>
              <w:left w:val="single" w:sz="4" w:space="0" w:color="auto"/>
              <w:bottom w:val="single" w:sz="4" w:space="0" w:color="auto"/>
              <w:right w:val="single" w:sz="4" w:space="0" w:color="auto"/>
            </w:tcBorders>
          </w:tcPr>
          <w:p w:rsidR="00845B07" w:rsidRPr="00845B07" w:rsidRDefault="00845B07" w:rsidP="00845B07">
            <w:pPr>
              <w:jc w:val="center"/>
              <w:rPr>
                <w:rFonts w:asciiTheme="minorHAnsi" w:hAnsiTheme="minorHAnsi" w:cstheme="minorHAnsi"/>
                <w:sz w:val="18"/>
                <w:szCs w:val="18"/>
              </w:rPr>
            </w:pPr>
            <w:r w:rsidRPr="00845B07">
              <w:rPr>
                <w:rFonts w:asciiTheme="minorHAnsi" w:hAnsiTheme="minorHAnsi" w:cstheme="minorHAnsi"/>
                <w:sz w:val="18"/>
                <w:szCs w:val="18"/>
              </w:rPr>
              <w:t>2329</w:t>
            </w:r>
          </w:p>
        </w:tc>
        <w:tc>
          <w:tcPr>
            <w:tcW w:w="1417" w:type="dxa"/>
            <w:gridSpan w:val="6"/>
            <w:tcBorders>
              <w:top w:val="single" w:sz="4" w:space="0" w:color="auto"/>
              <w:left w:val="single" w:sz="4" w:space="0" w:color="auto"/>
              <w:bottom w:val="single" w:sz="4" w:space="0" w:color="auto"/>
              <w:right w:val="single" w:sz="4" w:space="0" w:color="auto"/>
            </w:tcBorders>
          </w:tcPr>
          <w:p w:rsidR="00845B07" w:rsidRPr="00845B07" w:rsidRDefault="00845B07" w:rsidP="00845B07">
            <w:pPr>
              <w:jc w:val="center"/>
              <w:rPr>
                <w:rFonts w:asciiTheme="minorHAnsi" w:hAnsiTheme="minorHAnsi" w:cstheme="minorHAnsi"/>
                <w:sz w:val="18"/>
                <w:szCs w:val="18"/>
              </w:rPr>
            </w:pPr>
            <w:r w:rsidRPr="00845B07">
              <w:rPr>
                <w:rFonts w:asciiTheme="minorHAnsi" w:hAnsiTheme="minorHAnsi" w:cstheme="minorHAnsi"/>
                <w:sz w:val="18"/>
                <w:szCs w:val="18"/>
              </w:rPr>
              <w:t>0500000000000</w:t>
            </w:r>
          </w:p>
        </w:tc>
        <w:tc>
          <w:tcPr>
            <w:tcW w:w="770" w:type="dxa"/>
            <w:gridSpan w:val="5"/>
            <w:tcBorders>
              <w:top w:val="single" w:sz="4" w:space="0" w:color="auto"/>
              <w:left w:val="single" w:sz="4" w:space="0" w:color="auto"/>
              <w:bottom w:val="single" w:sz="4" w:space="0" w:color="auto"/>
              <w:right w:val="single" w:sz="4" w:space="0" w:color="auto"/>
            </w:tcBorders>
          </w:tcPr>
          <w:p w:rsidR="00845B07" w:rsidRPr="00845B07" w:rsidRDefault="00845B07" w:rsidP="00845B07">
            <w:pPr>
              <w:jc w:val="center"/>
              <w:rPr>
                <w:rFonts w:asciiTheme="minorHAnsi" w:hAnsiTheme="minorHAnsi" w:cstheme="minorHAnsi"/>
                <w:sz w:val="18"/>
                <w:szCs w:val="18"/>
              </w:rPr>
            </w:pPr>
          </w:p>
        </w:tc>
        <w:tc>
          <w:tcPr>
            <w:tcW w:w="857" w:type="dxa"/>
            <w:gridSpan w:val="4"/>
            <w:tcBorders>
              <w:top w:val="single" w:sz="4" w:space="0" w:color="auto"/>
              <w:left w:val="single" w:sz="4" w:space="0" w:color="auto"/>
              <w:bottom w:val="single" w:sz="4" w:space="0" w:color="auto"/>
              <w:right w:val="single" w:sz="4" w:space="0" w:color="auto"/>
            </w:tcBorders>
          </w:tcPr>
          <w:p w:rsidR="00845B07" w:rsidRPr="00845B07" w:rsidRDefault="00845B07" w:rsidP="00845B07">
            <w:pPr>
              <w:jc w:val="right"/>
              <w:rPr>
                <w:rFonts w:asciiTheme="minorHAnsi" w:hAnsiTheme="minorHAnsi" w:cstheme="minorHAnsi"/>
                <w:sz w:val="18"/>
                <w:szCs w:val="18"/>
              </w:rPr>
            </w:pPr>
            <w:r w:rsidRPr="00845B07">
              <w:rPr>
                <w:rFonts w:asciiTheme="minorHAnsi" w:hAnsiTheme="minorHAnsi" w:cstheme="minorHAnsi"/>
                <w:sz w:val="18"/>
                <w:szCs w:val="18"/>
              </w:rPr>
              <w:t>89,86</w:t>
            </w:r>
          </w:p>
        </w:tc>
        <w:tc>
          <w:tcPr>
            <w:tcW w:w="1067" w:type="dxa"/>
            <w:gridSpan w:val="5"/>
            <w:tcBorders>
              <w:top w:val="single" w:sz="4" w:space="0" w:color="auto"/>
              <w:left w:val="single" w:sz="4" w:space="0" w:color="auto"/>
              <w:bottom w:val="single" w:sz="4" w:space="0" w:color="auto"/>
              <w:right w:val="single" w:sz="4" w:space="0" w:color="auto"/>
            </w:tcBorders>
          </w:tcPr>
          <w:p w:rsidR="00845B07" w:rsidRPr="00845B07" w:rsidRDefault="00845B07" w:rsidP="00845B07">
            <w:pPr>
              <w:jc w:val="right"/>
              <w:rPr>
                <w:rFonts w:asciiTheme="minorHAnsi" w:hAnsiTheme="minorHAnsi" w:cstheme="minorHAnsi"/>
                <w:sz w:val="18"/>
                <w:szCs w:val="18"/>
              </w:rPr>
            </w:pPr>
            <w:r w:rsidRPr="00845B07">
              <w:rPr>
                <w:rFonts w:asciiTheme="minorHAnsi" w:hAnsiTheme="minorHAnsi" w:cstheme="minorHAnsi"/>
                <w:sz w:val="18"/>
                <w:szCs w:val="18"/>
              </w:rPr>
              <w:t>105,97</w:t>
            </w:r>
          </w:p>
        </w:tc>
        <w:tc>
          <w:tcPr>
            <w:tcW w:w="4319" w:type="dxa"/>
            <w:gridSpan w:val="11"/>
            <w:tcBorders>
              <w:top w:val="single" w:sz="4" w:space="0" w:color="auto"/>
              <w:left w:val="single" w:sz="4" w:space="0" w:color="auto"/>
              <w:bottom w:val="single" w:sz="4" w:space="0" w:color="auto"/>
              <w:right w:val="single" w:sz="4" w:space="0" w:color="auto"/>
            </w:tcBorders>
          </w:tcPr>
          <w:p w:rsidR="00845B07" w:rsidRPr="00845B07" w:rsidRDefault="00845B07" w:rsidP="00845B07">
            <w:pPr>
              <w:rPr>
                <w:rFonts w:asciiTheme="minorHAnsi" w:hAnsiTheme="minorHAnsi" w:cstheme="minorHAnsi"/>
                <w:b/>
                <w:sz w:val="18"/>
                <w:szCs w:val="18"/>
                <w:u w:val="single"/>
              </w:rPr>
            </w:pPr>
            <w:r w:rsidRPr="00845B07">
              <w:rPr>
                <w:rFonts w:asciiTheme="minorHAnsi" w:hAnsiTheme="minorHAnsi" w:cstheme="minorHAnsi"/>
                <w:b/>
                <w:sz w:val="18"/>
                <w:szCs w:val="18"/>
                <w:u w:val="single"/>
              </w:rPr>
              <w:t>Ostatní nedaňové příjmy jinde nezařazené:</w:t>
            </w:r>
          </w:p>
          <w:p w:rsidR="00845B07" w:rsidRPr="00845B07" w:rsidRDefault="00845B07" w:rsidP="00845B07">
            <w:pPr>
              <w:rPr>
                <w:rFonts w:asciiTheme="minorHAnsi" w:hAnsiTheme="minorHAnsi" w:cstheme="minorHAnsi"/>
                <w:sz w:val="18"/>
                <w:szCs w:val="18"/>
              </w:rPr>
            </w:pPr>
            <w:r w:rsidRPr="00845B07">
              <w:rPr>
                <w:rFonts w:asciiTheme="minorHAnsi" w:hAnsiTheme="minorHAnsi" w:cstheme="minorHAnsi"/>
                <w:sz w:val="18"/>
                <w:szCs w:val="18"/>
              </w:rPr>
              <w:t>Úhrady za přefakturace nákladů za zpracování znal. posudků a geom.</w:t>
            </w:r>
            <w:r>
              <w:rPr>
                <w:rFonts w:asciiTheme="minorHAnsi" w:hAnsiTheme="minorHAnsi" w:cstheme="minorHAnsi"/>
                <w:sz w:val="18"/>
                <w:szCs w:val="18"/>
              </w:rPr>
              <w:t xml:space="preserve"> </w:t>
            </w:r>
            <w:r w:rsidRPr="00845B07">
              <w:rPr>
                <w:rFonts w:asciiTheme="minorHAnsi" w:hAnsiTheme="minorHAnsi" w:cstheme="minorHAnsi"/>
                <w:sz w:val="18"/>
                <w:szCs w:val="18"/>
              </w:rPr>
              <w:t>plánů při prodeji majetku města.</w:t>
            </w:r>
          </w:p>
        </w:tc>
      </w:tr>
      <w:tr w:rsidR="00845B07" w:rsidRPr="00845B07" w:rsidTr="00F112A1">
        <w:trPr>
          <w:gridAfter w:val="1"/>
          <w:wAfter w:w="64" w:type="dxa"/>
        </w:trPr>
        <w:tc>
          <w:tcPr>
            <w:tcW w:w="850" w:type="dxa"/>
            <w:gridSpan w:val="2"/>
            <w:tcBorders>
              <w:top w:val="single" w:sz="4" w:space="0" w:color="auto"/>
              <w:left w:val="single" w:sz="4" w:space="0" w:color="auto"/>
              <w:bottom w:val="single" w:sz="4" w:space="0" w:color="auto"/>
              <w:right w:val="single" w:sz="4" w:space="0" w:color="auto"/>
            </w:tcBorders>
          </w:tcPr>
          <w:p w:rsidR="00845B07" w:rsidRPr="00845B07" w:rsidRDefault="00845B07" w:rsidP="00845B07">
            <w:pPr>
              <w:jc w:val="center"/>
              <w:rPr>
                <w:rFonts w:asciiTheme="minorHAnsi" w:hAnsiTheme="minorHAnsi" w:cstheme="minorHAnsi"/>
                <w:sz w:val="18"/>
                <w:szCs w:val="18"/>
              </w:rPr>
            </w:pPr>
            <w:r w:rsidRPr="00845B07">
              <w:rPr>
                <w:rFonts w:asciiTheme="minorHAnsi" w:hAnsiTheme="minorHAnsi" w:cstheme="minorHAnsi"/>
                <w:sz w:val="18"/>
                <w:szCs w:val="18"/>
              </w:rPr>
              <w:t>003122</w:t>
            </w:r>
          </w:p>
        </w:tc>
        <w:tc>
          <w:tcPr>
            <w:tcW w:w="640" w:type="dxa"/>
            <w:gridSpan w:val="2"/>
            <w:tcBorders>
              <w:top w:val="single" w:sz="4" w:space="0" w:color="auto"/>
              <w:left w:val="single" w:sz="4" w:space="0" w:color="auto"/>
              <w:bottom w:val="single" w:sz="4" w:space="0" w:color="auto"/>
              <w:right w:val="single" w:sz="4" w:space="0" w:color="auto"/>
            </w:tcBorders>
          </w:tcPr>
          <w:p w:rsidR="00845B07" w:rsidRPr="00845B07" w:rsidRDefault="00845B07" w:rsidP="00845B07">
            <w:pPr>
              <w:jc w:val="center"/>
              <w:rPr>
                <w:rFonts w:asciiTheme="minorHAnsi" w:hAnsiTheme="minorHAnsi" w:cstheme="minorHAnsi"/>
                <w:sz w:val="18"/>
                <w:szCs w:val="18"/>
              </w:rPr>
            </w:pPr>
            <w:r w:rsidRPr="00845B07">
              <w:rPr>
                <w:rFonts w:asciiTheme="minorHAnsi" w:hAnsiTheme="minorHAnsi" w:cstheme="minorHAnsi"/>
                <w:sz w:val="18"/>
                <w:szCs w:val="18"/>
              </w:rPr>
              <w:t>2132</w:t>
            </w:r>
          </w:p>
        </w:tc>
        <w:tc>
          <w:tcPr>
            <w:tcW w:w="1417" w:type="dxa"/>
            <w:gridSpan w:val="6"/>
            <w:tcBorders>
              <w:top w:val="single" w:sz="4" w:space="0" w:color="auto"/>
              <w:left w:val="single" w:sz="4" w:space="0" w:color="auto"/>
              <w:bottom w:val="single" w:sz="4" w:space="0" w:color="auto"/>
              <w:right w:val="single" w:sz="4" w:space="0" w:color="auto"/>
            </w:tcBorders>
          </w:tcPr>
          <w:p w:rsidR="00845B07" w:rsidRPr="00845B07" w:rsidRDefault="00845B07" w:rsidP="00845B07">
            <w:pPr>
              <w:jc w:val="center"/>
              <w:rPr>
                <w:rFonts w:asciiTheme="minorHAnsi" w:hAnsiTheme="minorHAnsi" w:cstheme="minorHAnsi"/>
                <w:sz w:val="18"/>
                <w:szCs w:val="18"/>
              </w:rPr>
            </w:pPr>
            <w:r w:rsidRPr="00845B07">
              <w:rPr>
                <w:rFonts w:asciiTheme="minorHAnsi" w:hAnsiTheme="minorHAnsi" w:cstheme="minorHAnsi"/>
                <w:sz w:val="18"/>
                <w:szCs w:val="18"/>
              </w:rPr>
              <w:t>0500000508027</w:t>
            </w:r>
          </w:p>
        </w:tc>
        <w:tc>
          <w:tcPr>
            <w:tcW w:w="770" w:type="dxa"/>
            <w:gridSpan w:val="5"/>
            <w:tcBorders>
              <w:top w:val="single" w:sz="4" w:space="0" w:color="auto"/>
              <w:left w:val="single" w:sz="4" w:space="0" w:color="auto"/>
              <w:bottom w:val="single" w:sz="4" w:space="0" w:color="auto"/>
              <w:right w:val="single" w:sz="4" w:space="0" w:color="auto"/>
            </w:tcBorders>
          </w:tcPr>
          <w:p w:rsidR="00845B07" w:rsidRPr="00845B07" w:rsidRDefault="00845B07" w:rsidP="00845B07">
            <w:pPr>
              <w:jc w:val="center"/>
              <w:rPr>
                <w:rFonts w:asciiTheme="minorHAnsi" w:hAnsiTheme="minorHAnsi" w:cstheme="minorHAnsi"/>
                <w:sz w:val="18"/>
                <w:szCs w:val="18"/>
              </w:rPr>
            </w:pPr>
          </w:p>
        </w:tc>
        <w:tc>
          <w:tcPr>
            <w:tcW w:w="857" w:type="dxa"/>
            <w:gridSpan w:val="4"/>
            <w:tcBorders>
              <w:top w:val="single" w:sz="4" w:space="0" w:color="auto"/>
              <w:left w:val="single" w:sz="4" w:space="0" w:color="auto"/>
              <w:bottom w:val="single" w:sz="4" w:space="0" w:color="auto"/>
              <w:right w:val="single" w:sz="4" w:space="0" w:color="auto"/>
            </w:tcBorders>
          </w:tcPr>
          <w:p w:rsidR="00845B07" w:rsidRPr="00845B07" w:rsidRDefault="00845B07" w:rsidP="00845B07">
            <w:pPr>
              <w:jc w:val="right"/>
              <w:rPr>
                <w:rFonts w:asciiTheme="minorHAnsi" w:hAnsiTheme="minorHAnsi" w:cstheme="minorHAnsi"/>
                <w:sz w:val="18"/>
                <w:szCs w:val="18"/>
              </w:rPr>
            </w:pPr>
            <w:r w:rsidRPr="00845B07">
              <w:rPr>
                <w:rFonts w:asciiTheme="minorHAnsi" w:hAnsiTheme="minorHAnsi" w:cstheme="minorHAnsi"/>
                <w:sz w:val="18"/>
                <w:szCs w:val="18"/>
              </w:rPr>
              <w:t>216,51</w:t>
            </w:r>
          </w:p>
        </w:tc>
        <w:tc>
          <w:tcPr>
            <w:tcW w:w="1067" w:type="dxa"/>
            <w:gridSpan w:val="5"/>
            <w:tcBorders>
              <w:top w:val="single" w:sz="4" w:space="0" w:color="auto"/>
              <w:left w:val="single" w:sz="4" w:space="0" w:color="auto"/>
              <w:bottom w:val="single" w:sz="4" w:space="0" w:color="auto"/>
              <w:right w:val="single" w:sz="4" w:space="0" w:color="auto"/>
            </w:tcBorders>
          </w:tcPr>
          <w:p w:rsidR="00845B07" w:rsidRPr="00845B07" w:rsidRDefault="00845B07" w:rsidP="00845B07">
            <w:pPr>
              <w:jc w:val="right"/>
              <w:rPr>
                <w:rFonts w:asciiTheme="minorHAnsi" w:hAnsiTheme="minorHAnsi" w:cstheme="minorHAnsi"/>
                <w:sz w:val="18"/>
                <w:szCs w:val="18"/>
              </w:rPr>
            </w:pPr>
            <w:r w:rsidRPr="00845B07">
              <w:rPr>
                <w:rFonts w:asciiTheme="minorHAnsi" w:hAnsiTheme="minorHAnsi" w:cstheme="minorHAnsi"/>
                <w:sz w:val="18"/>
                <w:szCs w:val="18"/>
              </w:rPr>
              <w:t>270,50</w:t>
            </w:r>
          </w:p>
        </w:tc>
        <w:tc>
          <w:tcPr>
            <w:tcW w:w="4319" w:type="dxa"/>
            <w:gridSpan w:val="11"/>
            <w:tcBorders>
              <w:top w:val="single" w:sz="4" w:space="0" w:color="auto"/>
              <w:left w:val="single" w:sz="4" w:space="0" w:color="auto"/>
              <w:bottom w:val="single" w:sz="4" w:space="0" w:color="auto"/>
              <w:right w:val="single" w:sz="4" w:space="0" w:color="auto"/>
            </w:tcBorders>
          </w:tcPr>
          <w:p w:rsidR="00845B07" w:rsidRPr="00845B07" w:rsidRDefault="00845B07" w:rsidP="00845B07">
            <w:pPr>
              <w:rPr>
                <w:rFonts w:asciiTheme="minorHAnsi" w:hAnsiTheme="minorHAnsi" w:cstheme="minorHAnsi"/>
                <w:b/>
                <w:sz w:val="18"/>
                <w:szCs w:val="18"/>
                <w:u w:val="single"/>
              </w:rPr>
            </w:pPr>
            <w:r w:rsidRPr="00845B07">
              <w:rPr>
                <w:rFonts w:asciiTheme="minorHAnsi" w:hAnsiTheme="minorHAnsi" w:cstheme="minorHAnsi"/>
                <w:b/>
                <w:sz w:val="18"/>
                <w:szCs w:val="18"/>
                <w:u w:val="single"/>
              </w:rPr>
              <w:t>Příjmy z pronájmu ostat.</w:t>
            </w:r>
            <w:r>
              <w:rPr>
                <w:rFonts w:asciiTheme="minorHAnsi" w:hAnsiTheme="minorHAnsi" w:cstheme="minorHAnsi"/>
                <w:b/>
                <w:sz w:val="18"/>
                <w:szCs w:val="18"/>
                <w:u w:val="single"/>
              </w:rPr>
              <w:t xml:space="preserve"> </w:t>
            </w:r>
            <w:r w:rsidRPr="00845B07">
              <w:rPr>
                <w:rFonts w:asciiTheme="minorHAnsi" w:hAnsiTheme="minorHAnsi" w:cstheme="minorHAnsi"/>
                <w:b/>
                <w:sz w:val="18"/>
                <w:szCs w:val="18"/>
                <w:u w:val="single"/>
              </w:rPr>
              <w:t>nemovitostí:</w:t>
            </w:r>
          </w:p>
          <w:p w:rsidR="00845B07" w:rsidRPr="00845B07" w:rsidRDefault="00845B07" w:rsidP="00845B07">
            <w:pPr>
              <w:rPr>
                <w:rFonts w:asciiTheme="minorHAnsi" w:hAnsiTheme="minorHAnsi" w:cstheme="minorHAnsi"/>
                <w:sz w:val="18"/>
                <w:szCs w:val="18"/>
              </w:rPr>
            </w:pPr>
            <w:r w:rsidRPr="00845B07">
              <w:rPr>
                <w:rFonts w:asciiTheme="minorHAnsi" w:hAnsiTheme="minorHAnsi" w:cstheme="minorHAnsi"/>
                <w:sz w:val="18"/>
                <w:szCs w:val="18"/>
              </w:rPr>
              <w:t>Husovo nám. 91 – v r. 2022 uzavřena nová smlouva na užívání nebyt.</w:t>
            </w:r>
            <w:r>
              <w:rPr>
                <w:rFonts w:asciiTheme="minorHAnsi" w:hAnsiTheme="minorHAnsi" w:cstheme="minorHAnsi"/>
                <w:sz w:val="18"/>
                <w:szCs w:val="18"/>
              </w:rPr>
              <w:t xml:space="preserve"> </w:t>
            </w:r>
            <w:r w:rsidRPr="00845B07">
              <w:rPr>
                <w:rFonts w:asciiTheme="minorHAnsi" w:hAnsiTheme="minorHAnsi" w:cstheme="minorHAnsi"/>
                <w:sz w:val="18"/>
                <w:szCs w:val="18"/>
              </w:rPr>
              <w:t>prostor se společností ART ECON – Střední škola, s.</w:t>
            </w:r>
            <w:r>
              <w:rPr>
                <w:rFonts w:asciiTheme="minorHAnsi" w:hAnsiTheme="minorHAnsi" w:cstheme="minorHAnsi"/>
                <w:sz w:val="18"/>
                <w:szCs w:val="18"/>
              </w:rPr>
              <w:t xml:space="preserve"> </w:t>
            </w:r>
            <w:r w:rsidRPr="00845B07">
              <w:rPr>
                <w:rFonts w:asciiTheme="minorHAnsi" w:hAnsiTheme="minorHAnsi" w:cstheme="minorHAnsi"/>
                <w:sz w:val="18"/>
                <w:szCs w:val="18"/>
              </w:rPr>
              <w:t>r.</w:t>
            </w:r>
            <w:r>
              <w:rPr>
                <w:rFonts w:asciiTheme="minorHAnsi" w:hAnsiTheme="minorHAnsi" w:cstheme="minorHAnsi"/>
                <w:sz w:val="18"/>
                <w:szCs w:val="18"/>
              </w:rPr>
              <w:t xml:space="preserve"> </w:t>
            </w:r>
            <w:r w:rsidRPr="00845B07">
              <w:rPr>
                <w:rFonts w:asciiTheme="minorHAnsi" w:hAnsiTheme="minorHAnsi" w:cstheme="minorHAnsi"/>
                <w:sz w:val="18"/>
                <w:szCs w:val="18"/>
              </w:rPr>
              <w:t>o., a došlo k navýšení příjmů.</w:t>
            </w:r>
          </w:p>
        </w:tc>
      </w:tr>
      <w:tr w:rsidR="00845B07" w:rsidRPr="00845B07" w:rsidTr="00F112A1">
        <w:tc>
          <w:tcPr>
            <w:tcW w:w="459" w:type="dxa"/>
          </w:tcPr>
          <w:p w:rsidR="00845B07" w:rsidRPr="00845B07" w:rsidRDefault="00845B07" w:rsidP="00845B07">
            <w:pPr>
              <w:rPr>
                <w:rFonts w:asciiTheme="minorHAnsi" w:hAnsiTheme="minorHAnsi" w:cstheme="minorHAnsi"/>
                <w:b/>
                <w:sz w:val="20"/>
                <w:szCs w:val="20"/>
              </w:rPr>
            </w:pPr>
          </w:p>
        </w:tc>
        <w:tc>
          <w:tcPr>
            <w:tcW w:w="391" w:type="dxa"/>
          </w:tcPr>
          <w:p w:rsidR="00845B07" w:rsidRPr="00845B07" w:rsidRDefault="00845B07" w:rsidP="00845B07">
            <w:pPr>
              <w:rPr>
                <w:rFonts w:asciiTheme="minorHAnsi" w:hAnsiTheme="minorHAnsi" w:cstheme="minorHAnsi"/>
                <w:b/>
                <w:sz w:val="20"/>
                <w:szCs w:val="20"/>
              </w:rPr>
            </w:pPr>
          </w:p>
        </w:tc>
        <w:tc>
          <w:tcPr>
            <w:tcW w:w="527" w:type="dxa"/>
          </w:tcPr>
          <w:p w:rsidR="00845B07" w:rsidRPr="00845B07" w:rsidRDefault="00845B07" w:rsidP="00845B07">
            <w:pPr>
              <w:rPr>
                <w:rFonts w:asciiTheme="minorHAnsi" w:hAnsiTheme="minorHAnsi" w:cstheme="minorHAnsi"/>
                <w:b/>
                <w:sz w:val="20"/>
                <w:szCs w:val="20"/>
              </w:rPr>
            </w:pPr>
          </w:p>
        </w:tc>
        <w:tc>
          <w:tcPr>
            <w:tcW w:w="180" w:type="dxa"/>
            <w:gridSpan w:val="2"/>
          </w:tcPr>
          <w:p w:rsidR="00845B07" w:rsidRPr="00845B07" w:rsidRDefault="00845B07" w:rsidP="00845B07">
            <w:pPr>
              <w:rPr>
                <w:rFonts w:asciiTheme="minorHAnsi" w:hAnsiTheme="minorHAnsi" w:cstheme="minorHAnsi"/>
                <w:b/>
                <w:sz w:val="20"/>
                <w:szCs w:val="20"/>
              </w:rPr>
            </w:pPr>
          </w:p>
        </w:tc>
        <w:tc>
          <w:tcPr>
            <w:tcW w:w="740" w:type="dxa"/>
            <w:gridSpan w:val="3"/>
          </w:tcPr>
          <w:p w:rsidR="00845B07" w:rsidRPr="00845B07" w:rsidRDefault="00845B07" w:rsidP="00845B07">
            <w:pPr>
              <w:rPr>
                <w:rFonts w:asciiTheme="minorHAnsi" w:hAnsiTheme="minorHAnsi" w:cstheme="minorHAnsi"/>
                <w:b/>
                <w:sz w:val="20"/>
                <w:szCs w:val="20"/>
              </w:rPr>
            </w:pPr>
          </w:p>
        </w:tc>
        <w:tc>
          <w:tcPr>
            <w:tcW w:w="749" w:type="dxa"/>
            <w:gridSpan w:val="3"/>
          </w:tcPr>
          <w:p w:rsidR="00845B07" w:rsidRPr="00845B07" w:rsidRDefault="00845B07" w:rsidP="00845B07">
            <w:pPr>
              <w:rPr>
                <w:rFonts w:asciiTheme="minorHAnsi" w:hAnsiTheme="minorHAnsi" w:cstheme="minorHAnsi"/>
                <w:b/>
                <w:sz w:val="20"/>
                <w:szCs w:val="20"/>
              </w:rPr>
            </w:pPr>
          </w:p>
        </w:tc>
        <w:tc>
          <w:tcPr>
            <w:tcW w:w="231" w:type="dxa"/>
            <w:gridSpan w:val="2"/>
          </w:tcPr>
          <w:p w:rsidR="00845B07" w:rsidRPr="00845B07" w:rsidRDefault="00845B07" w:rsidP="00845B07">
            <w:pPr>
              <w:rPr>
                <w:rFonts w:asciiTheme="minorHAnsi" w:hAnsiTheme="minorHAnsi" w:cstheme="minorHAnsi"/>
                <w:b/>
                <w:sz w:val="20"/>
                <w:szCs w:val="20"/>
              </w:rPr>
            </w:pPr>
          </w:p>
        </w:tc>
        <w:tc>
          <w:tcPr>
            <w:tcW w:w="460" w:type="dxa"/>
            <w:gridSpan w:val="3"/>
          </w:tcPr>
          <w:p w:rsidR="00845B07" w:rsidRPr="00845B07" w:rsidRDefault="00845B07" w:rsidP="00845B07">
            <w:pPr>
              <w:rPr>
                <w:rFonts w:asciiTheme="minorHAnsi" w:hAnsiTheme="minorHAnsi" w:cstheme="minorHAnsi"/>
                <w:b/>
                <w:sz w:val="20"/>
                <w:szCs w:val="20"/>
              </w:rPr>
            </w:pPr>
          </w:p>
        </w:tc>
        <w:tc>
          <w:tcPr>
            <w:tcW w:w="460" w:type="dxa"/>
            <w:gridSpan w:val="2"/>
          </w:tcPr>
          <w:p w:rsidR="00845B07" w:rsidRPr="00845B07" w:rsidRDefault="00845B07" w:rsidP="00845B07">
            <w:pPr>
              <w:rPr>
                <w:rFonts w:asciiTheme="minorHAnsi" w:hAnsiTheme="minorHAnsi" w:cstheme="minorHAnsi"/>
                <w:b/>
                <w:sz w:val="20"/>
                <w:szCs w:val="20"/>
              </w:rPr>
            </w:pPr>
          </w:p>
        </w:tc>
        <w:tc>
          <w:tcPr>
            <w:tcW w:w="460" w:type="dxa"/>
            <w:gridSpan w:val="2"/>
          </w:tcPr>
          <w:p w:rsidR="00845B07" w:rsidRPr="00845B07" w:rsidRDefault="00845B07" w:rsidP="00845B07">
            <w:pPr>
              <w:rPr>
                <w:rFonts w:asciiTheme="minorHAnsi" w:hAnsiTheme="minorHAnsi" w:cstheme="minorHAnsi"/>
                <w:b/>
                <w:sz w:val="20"/>
                <w:szCs w:val="20"/>
              </w:rPr>
            </w:pPr>
          </w:p>
        </w:tc>
        <w:tc>
          <w:tcPr>
            <w:tcW w:w="460" w:type="dxa"/>
            <w:gridSpan w:val="2"/>
          </w:tcPr>
          <w:p w:rsidR="00845B07" w:rsidRPr="00845B07" w:rsidRDefault="00845B07" w:rsidP="00845B07">
            <w:pPr>
              <w:rPr>
                <w:rFonts w:asciiTheme="minorHAnsi" w:hAnsiTheme="minorHAnsi" w:cstheme="minorHAnsi"/>
                <w:b/>
                <w:sz w:val="20"/>
                <w:szCs w:val="20"/>
              </w:rPr>
            </w:pPr>
          </w:p>
        </w:tc>
        <w:tc>
          <w:tcPr>
            <w:tcW w:w="460" w:type="dxa"/>
          </w:tcPr>
          <w:p w:rsidR="00845B07" w:rsidRPr="00845B07" w:rsidRDefault="00845B07" w:rsidP="00845B07">
            <w:pPr>
              <w:rPr>
                <w:rFonts w:asciiTheme="minorHAnsi" w:hAnsiTheme="minorHAnsi" w:cstheme="minorHAnsi"/>
                <w:b/>
                <w:sz w:val="20"/>
                <w:szCs w:val="20"/>
              </w:rPr>
            </w:pPr>
          </w:p>
        </w:tc>
        <w:tc>
          <w:tcPr>
            <w:tcW w:w="464" w:type="dxa"/>
            <w:gridSpan w:val="3"/>
          </w:tcPr>
          <w:p w:rsidR="00845B07" w:rsidRPr="00845B07" w:rsidRDefault="00845B07" w:rsidP="00845B07">
            <w:pPr>
              <w:rPr>
                <w:rFonts w:asciiTheme="minorHAnsi" w:hAnsiTheme="minorHAnsi" w:cstheme="minorHAnsi"/>
                <w:b/>
                <w:sz w:val="20"/>
                <w:szCs w:val="20"/>
              </w:rPr>
            </w:pPr>
          </w:p>
        </w:tc>
        <w:tc>
          <w:tcPr>
            <w:tcW w:w="460" w:type="dxa"/>
            <w:gridSpan w:val="2"/>
          </w:tcPr>
          <w:p w:rsidR="00845B07" w:rsidRPr="00845B07" w:rsidRDefault="00845B07" w:rsidP="00845B07">
            <w:pPr>
              <w:rPr>
                <w:rFonts w:asciiTheme="minorHAnsi" w:hAnsiTheme="minorHAnsi" w:cstheme="minorHAnsi"/>
                <w:b/>
                <w:sz w:val="20"/>
                <w:szCs w:val="20"/>
              </w:rPr>
            </w:pPr>
          </w:p>
        </w:tc>
        <w:tc>
          <w:tcPr>
            <w:tcW w:w="460" w:type="dxa"/>
          </w:tcPr>
          <w:p w:rsidR="00845B07" w:rsidRPr="00845B07" w:rsidRDefault="00845B07" w:rsidP="00845B07">
            <w:pPr>
              <w:rPr>
                <w:rFonts w:asciiTheme="minorHAnsi" w:hAnsiTheme="minorHAnsi" w:cstheme="minorHAnsi"/>
                <w:b/>
                <w:sz w:val="20"/>
                <w:szCs w:val="20"/>
              </w:rPr>
            </w:pPr>
          </w:p>
        </w:tc>
        <w:tc>
          <w:tcPr>
            <w:tcW w:w="460" w:type="dxa"/>
          </w:tcPr>
          <w:p w:rsidR="00845B07" w:rsidRPr="00845B07" w:rsidRDefault="00845B07" w:rsidP="00845B07">
            <w:pPr>
              <w:rPr>
                <w:rFonts w:asciiTheme="minorHAnsi" w:hAnsiTheme="minorHAnsi" w:cstheme="minorHAnsi"/>
                <w:b/>
                <w:sz w:val="20"/>
                <w:szCs w:val="20"/>
              </w:rPr>
            </w:pPr>
          </w:p>
        </w:tc>
        <w:tc>
          <w:tcPr>
            <w:tcW w:w="460" w:type="dxa"/>
            <w:gridSpan w:val="2"/>
          </w:tcPr>
          <w:p w:rsidR="00845B07" w:rsidRPr="00845B07" w:rsidRDefault="00845B07" w:rsidP="00845B07">
            <w:pPr>
              <w:rPr>
                <w:rFonts w:asciiTheme="minorHAnsi" w:hAnsiTheme="minorHAnsi" w:cstheme="minorHAnsi"/>
                <w:b/>
                <w:sz w:val="20"/>
                <w:szCs w:val="20"/>
              </w:rPr>
            </w:pPr>
          </w:p>
        </w:tc>
        <w:tc>
          <w:tcPr>
            <w:tcW w:w="460" w:type="dxa"/>
          </w:tcPr>
          <w:p w:rsidR="00845B07" w:rsidRPr="00845B07" w:rsidRDefault="00845B07" w:rsidP="00845B07">
            <w:pPr>
              <w:rPr>
                <w:rFonts w:asciiTheme="minorHAnsi" w:hAnsiTheme="minorHAnsi" w:cstheme="minorHAnsi"/>
                <w:b/>
                <w:sz w:val="20"/>
                <w:szCs w:val="20"/>
              </w:rPr>
            </w:pPr>
          </w:p>
        </w:tc>
        <w:tc>
          <w:tcPr>
            <w:tcW w:w="460" w:type="dxa"/>
          </w:tcPr>
          <w:p w:rsidR="00845B07" w:rsidRPr="00845B07" w:rsidRDefault="00845B07" w:rsidP="00845B07">
            <w:pPr>
              <w:rPr>
                <w:rFonts w:asciiTheme="minorHAnsi" w:hAnsiTheme="minorHAnsi" w:cstheme="minorHAnsi"/>
                <w:b/>
                <w:sz w:val="20"/>
                <w:szCs w:val="20"/>
              </w:rPr>
            </w:pPr>
          </w:p>
        </w:tc>
        <w:tc>
          <w:tcPr>
            <w:tcW w:w="1183" w:type="dxa"/>
            <w:gridSpan w:val="2"/>
          </w:tcPr>
          <w:p w:rsidR="00845B07" w:rsidRPr="00845B07" w:rsidRDefault="00845B07" w:rsidP="00845B07">
            <w:pPr>
              <w:rPr>
                <w:rFonts w:asciiTheme="minorHAnsi" w:hAnsiTheme="minorHAnsi" w:cstheme="minorHAnsi"/>
                <w:b/>
                <w:sz w:val="20"/>
                <w:szCs w:val="20"/>
              </w:rPr>
            </w:pPr>
          </w:p>
        </w:tc>
      </w:tr>
      <w:tr w:rsidR="00845B07" w:rsidRPr="00845B07" w:rsidTr="00F112A1">
        <w:trPr>
          <w:gridAfter w:val="1"/>
          <w:wAfter w:w="64" w:type="dxa"/>
        </w:trPr>
        <w:tc>
          <w:tcPr>
            <w:tcW w:w="9920" w:type="dxa"/>
            <w:gridSpan w:val="35"/>
            <w:shd w:val="clear" w:color="auto" w:fill="F79646"/>
          </w:tcPr>
          <w:p w:rsidR="00845B07" w:rsidRPr="00845B07" w:rsidRDefault="00845B07" w:rsidP="00845B07">
            <w:pPr>
              <w:rPr>
                <w:rFonts w:asciiTheme="minorHAnsi" w:hAnsiTheme="minorHAnsi" w:cstheme="minorHAnsi"/>
                <w:b/>
                <w:sz w:val="20"/>
                <w:szCs w:val="20"/>
                <w:u w:val="single"/>
              </w:rPr>
            </w:pPr>
            <w:r w:rsidRPr="00845B07">
              <w:rPr>
                <w:rFonts w:asciiTheme="minorHAnsi" w:hAnsiTheme="minorHAnsi" w:cstheme="minorHAnsi"/>
                <w:b/>
                <w:sz w:val="20"/>
                <w:szCs w:val="20"/>
                <w:u w:val="single"/>
              </w:rPr>
              <w:t>Rozbor čerpání výdajů rozpočtu kapitoly</w:t>
            </w:r>
          </w:p>
        </w:tc>
      </w:tr>
      <w:tr w:rsidR="00845B07" w:rsidRPr="00845B07" w:rsidTr="00F112A1">
        <w:tc>
          <w:tcPr>
            <w:tcW w:w="459" w:type="dxa"/>
          </w:tcPr>
          <w:p w:rsidR="00845B07" w:rsidRPr="00845B07" w:rsidRDefault="00845B07" w:rsidP="00845B07">
            <w:pPr>
              <w:rPr>
                <w:rFonts w:asciiTheme="minorHAnsi" w:hAnsiTheme="minorHAnsi" w:cstheme="minorHAnsi"/>
                <w:b/>
                <w:sz w:val="20"/>
                <w:szCs w:val="20"/>
              </w:rPr>
            </w:pPr>
          </w:p>
        </w:tc>
        <w:tc>
          <w:tcPr>
            <w:tcW w:w="391" w:type="dxa"/>
          </w:tcPr>
          <w:p w:rsidR="00845B07" w:rsidRPr="00845B07" w:rsidRDefault="00845B07" w:rsidP="00845B07">
            <w:pPr>
              <w:rPr>
                <w:rFonts w:asciiTheme="minorHAnsi" w:hAnsiTheme="minorHAnsi" w:cstheme="minorHAnsi"/>
                <w:b/>
                <w:sz w:val="20"/>
                <w:szCs w:val="20"/>
              </w:rPr>
            </w:pPr>
          </w:p>
        </w:tc>
        <w:tc>
          <w:tcPr>
            <w:tcW w:w="527" w:type="dxa"/>
          </w:tcPr>
          <w:p w:rsidR="00845B07" w:rsidRPr="00845B07" w:rsidRDefault="00845B07" w:rsidP="00845B07">
            <w:pPr>
              <w:rPr>
                <w:rFonts w:asciiTheme="minorHAnsi" w:hAnsiTheme="minorHAnsi" w:cstheme="minorHAnsi"/>
                <w:b/>
                <w:sz w:val="20"/>
                <w:szCs w:val="20"/>
              </w:rPr>
            </w:pPr>
          </w:p>
        </w:tc>
        <w:tc>
          <w:tcPr>
            <w:tcW w:w="391" w:type="dxa"/>
            <w:gridSpan w:val="3"/>
          </w:tcPr>
          <w:p w:rsidR="00845B07" w:rsidRPr="00845B07" w:rsidRDefault="00845B07" w:rsidP="00845B07">
            <w:pPr>
              <w:rPr>
                <w:rFonts w:asciiTheme="minorHAnsi" w:hAnsiTheme="minorHAnsi" w:cstheme="minorHAnsi"/>
                <w:b/>
                <w:sz w:val="20"/>
                <w:szCs w:val="20"/>
              </w:rPr>
            </w:pPr>
          </w:p>
        </w:tc>
        <w:tc>
          <w:tcPr>
            <w:tcW w:w="529" w:type="dxa"/>
            <w:gridSpan w:val="2"/>
          </w:tcPr>
          <w:p w:rsidR="00845B07" w:rsidRPr="00845B07" w:rsidRDefault="00845B07" w:rsidP="00845B07">
            <w:pPr>
              <w:rPr>
                <w:rFonts w:asciiTheme="minorHAnsi" w:hAnsiTheme="minorHAnsi" w:cstheme="minorHAnsi"/>
                <w:b/>
                <w:sz w:val="20"/>
                <w:szCs w:val="20"/>
              </w:rPr>
            </w:pPr>
          </w:p>
        </w:tc>
        <w:tc>
          <w:tcPr>
            <w:tcW w:w="460" w:type="dxa"/>
          </w:tcPr>
          <w:p w:rsidR="00845B07" w:rsidRPr="00845B07" w:rsidRDefault="00845B07" w:rsidP="00845B07">
            <w:pPr>
              <w:rPr>
                <w:rFonts w:asciiTheme="minorHAnsi" w:hAnsiTheme="minorHAnsi" w:cstheme="minorHAnsi"/>
                <w:b/>
                <w:sz w:val="20"/>
                <w:szCs w:val="20"/>
              </w:rPr>
            </w:pPr>
          </w:p>
        </w:tc>
        <w:tc>
          <w:tcPr>
            <w:tcW w:w="460" w:type="dxa"/>
            <w:gridSpan w:val="3"/>
          </w:tcPr>
          <w:p w:rsidR="00845B07" w:rsidRPr="00845B07" w:rsidRDefault="00845B07" w:rsidP="00845B07">
            <w:pPr>
              <w:rPr>
                <w:rFonts w:asciiTheme="minorHAnsi" w:hAnsiTheme="minorHAnsi" w:cstheme="minorHAnsi"/>
                <w:b/>
                <w:sz w:val="20"/>
                <w:szCs w:val="20"/>
              </w:rPr>
            </w:pPr>
          </w:p>
        </w:tc>
        <w:tc>
          <w:tcPr>
            <w:tcW w:w="460" w:type="dxa"/>
            <w:gridSpan w:val="3"/>
          </w:tcPr>
          <w:p w:rsidR="00845B07" w:rsidRPr="00845B07" w:rsidRDefault="00845B07" w:rsidP="00845B07">
            <w:pPr>
              <w:rPr>
                <w:rFonts w:asciiTheme="minorHAnsi" w:hAnsiTheme="minorHAnsi" w:cstheme="minorHAnsi"/>
                <w:b/>
                <w:sz w:val="20"/>
                <w:szCs w:val="20"/>
              </w:rPr>
            </w:pPr>
          </w:p>
        </w:tc>
        <w:tc>
          <w:tcPr>
            <w:tcW w:w="460" w:type="dxa"/>
            <w:gridSpan w:val="2"/>
          </w:tcPr>
          <w:p w:rsidR="00845B07" w:rsidRPr="00845B07" w:rsidRDefault="00845B07" w:rsidP="00845B07">
            <w:pPr>
              <w:rPr>
                <w:rFonts w:asciiTheme="minorHAnsi" w:hAnsiTheme="minorHAnsi" w:cstheme="minorHAnsi"/>
                <w:b/>
                <w:sz w:val="20"/>
                <w:szCs w:val="20"/>
              </w:rPr>
            </w:pPr>
          </w:p>
        </w:tc>
        <w:tc>
          <w:tcPr>
            <w:tcW w:w="397" w:type="dxa"/>
            <w:gridSpan w:val="2"/>
          </w:tcPr>
          <w:p w:rsidR="00845B07" w:rsidRPr="00845B07" w:rsidRDefault="00845B07" w:rsidP="00845B07">
            <w:pPr>
              <w:rPr>
                <w:rFonts w:asciiTheme="minorHAnsi" w:hAnsiTheme="minorHAnsi" w:cstheme="minorHAnsi"/>
                <w:b/>
                <w:sz w:val="20"/>
                <w:szCs w:val="20"/>
              </w:rPr>
            </w:pPr>
          </w:p>
        </w:tc>
        <w:tc>
          <w:tcPr>
            <w:tcW w:w="523" w:type="dxa"/>
            <w:gridSpan w:val="2"/>
          </w:tcPr>
          <w:p w:rsidR="00845B07" w:rsidRPr="00845B07" w:rsidRDefault="00845B07" w:rsidP="00845B07">
            <w:pPr>
              <w:rPr>
                <w:rFonts w:asciiTheme="minorHAnsi" w:hAnsiTheme="minorHAnsi" w:cstheme="minorHAnsi"/>
                <w:b/>
                <w:sz w:val="20"/>
                <w:szCs w:val="20"/>
              </w:rPr>
            </w:pPr>
          </w:p>
        </w:tc>
        <w:tc>
          <w:tcPr>
            <w:tcW w:w="824" w:type="dxa"/>
            <w:gridSpan w:val="4"/>
          </w:tcPr>
          <w:p w:rsidR="00845B07" w:rsidRPr="00845B07" w:rsidRDefault="00845B07" w:rsidP="00845B07">
            <w:pPr>
              <w:rPr>
                <w:rFonts w:asciiTheme="minorHAnsi" w:hAnsiTheme="minorHAnsi" w:cstheme="minorHAnsi"/>
                <w:b/>
                <w:sz w:val="20"/>
                <w:szCs w:val="20"/>
              </w:rPr>
            </w:pPr>
          </w:p>
        </w:tc>
        <w:tc>
          <w:tcPr>
            <w:tcW w:w="160" w:type="dxa"/>
          </w:tcPr>
          <w:p w:rsidR="00845B07" w:rsidRPr="00845B07" w:rsidRDefault="00845B07" w:rsidP="00845B07">
            <w:pPr>
              <w:rPr>
                <w:rFonts w:asciiTheme="minorHAnsi" w:hAnsiTheme="minorHAnsi" w:cstheme="minorHAnsi"/>
                <w:b/>
                <w:sz w:val="20"/>
                <w:szCs w:val="20"/>
              </w:rPr>
            </w:pPr>
          </w:p>
        </w:tc>
        <w:tc>
          <w:tcPr>
            <w:tcW w:w="460" w:type="dxa"/>
            <w:gridSpan w:val="2"/>
          </w:tcPr>
          <w:p w:rsidR="00845B07" w:rsidRPr="00845B07" w:rsidRDefault="00845B07" w:rsidP="00845B07">
            <w:pPr>
              <w:rPr>
                <w:rFonts w:asciiTheme="minorHAnsi" w:hAnsiTheme="minorHAnsi" w:cstheme="minorHAnsi"/>
                <w:b/>
                <w:sz w:val="20"/>
                <w:szCs w:val="20"/>
              </w:rPr>
            </w:pPr>
          </w:p>
        </w:tc>
        <w:tc>
          <w:tcPr>
            <w:tcW w:w="460" w:type="dxa"/>
          </w:tcPr>
          <w:p w:rsidR="00845B07" w:rsidRPr="00845B07" w:rsidRDefault="00845B07" w:rsidP="00845B07">
            <w:pPr>
              <w:rPr>
                <w:rFonts w:asciiTheme="minorHAnsi" w:hAnsiTheme="minorHAnsi" w:cstheme="minorHAnsi"/>
                <w:b/>
                <w:sz w:val="20"/>
                <w:szCs w:val="20"/>
              </w:rPr>
            </w:pPr>
          </w:p>
        </w:tc>
        <w:tc>
          <w:tcPr>
            <w:tcW w:w="460" w:type="dxa"/>
          </w:tcPr>
          <w:p w:rsidR="00845B07" w:rsidRPr="00845B07" w:rsidRDefault="00845B07" w:rsidP="00845B07">
            <w:pPr>
              <w:rPr>
                <w:rFonts w:asciiTheme="minorHAnsi" w:hAnsiTheme="minorHAnsi" w:cstheme="minorHAnsi"/>
                <w:b/>
                <w:sz w:val="20"/>
                <w:szCs w:val="20"/>
              </w:rPr>
            </w:pPr>
          </w:p>
        </w:tc>
        <w:tc>
          <w:tcPr>
            <w:tcW w:w="460" w:type="dxa"/>
            <w:gridSpan w:val="2"/>
          </w:tcPr>
          <w:p w:rsidR="00845B07" w:rsidRPr="00845B07" w:rsidRDefault="00845B07" w:rsidP="00845B07">
            <w:pPr>
              <w:rPr>
                <w:rFonts w:asciiTheme="minorHAnsi" w:hAnsiTheme="minorHAnsi" w:cstheme="minorHAnsi"/>
                <w:b/>
                <w:sz w:val="20"/>
                <w:szCs w:val="20"/>
              </w:rPr>
            </w:pPr>
          </w:p>
        </w:tc>
        <w:tc>
          <w:tcPr>
            <w:tcW w:w="460" w:type="dxa"/>
          </w:tcPr>
          <w:p w:rsidR="00845B07" w:rsidRPr="00845B07" w:rsidRDefault="00845B07" w:rsidP="00845B07">
            <w:pPr>
              <w:rPr>
                <w:rFonts w:asciiTheme="minorHAnsi" w:hAnsiTheme="minorHAnsi" w:cstheme="minorHAnsi"/>
                <w:b/>
                <w:sz w:val="20"/>
                <w:szCs w:val="20"/>
              </w:rPr>
            </w:pPr>
          </w:p>
        </w:tc>
        <w:tc>
          <w:tcPr>
            <w:tcW w:w="460" w:type="dxa"/>
          </w:tcPr>
          <w:p w:rsidR="00845B07" w:rsidRPr="00845B07" w:rsidRDefault="00845B07" w:rsidP="00845B07">
            <w:pPr>
              <w:rPr>
                <w:rFonts w:asciiTheme="minorHAnsi" w:hAnsiTheme="minorHAnsi" w:cstheme="minorHAnsi"/>
                <w:b/>
                <w:sz w:val="20"/>
                <w:szCs w:val="20"/>
              </w:rPr>
            </w:pPr>
          </w:p>
        </w:tc>
        <w:tc>
          <w:tcPr>
            <w:tcW w:w="1183" w:type="dxa"/>
            <w:gridSpan w:val="2"/>
          </w:tcPr>
          <w:p w:rsidR="00845B07" w:rsidRPr="00845B07" w:rsidRDefault="00845B07" w:rsidP="00845B07">
            <w:pPr>
              <w:rPr>
                <w:rFonts w:asciiTheme="minorHAnsi" w:hAnsiTheme="minorHAnsi" w:cstheme="minorHAnsi"/>
                <w:b/>
                <w:sz w:val="20"/>
                <w:szCs w:val="20"/>
              </w:rPr>
            </w:pPr>
          </w:p>
        </w:tc>
      </w:tr>
      <w:tr w:rsidR="00845B07" w:rsidRPr="00845B07" w:rsidTr="00F112A1">
        <w:trPr>
          <w:gridAfter w:val="1"/>
          <w:wAfter w:w="64" w:type="dxa"/>
        </w:trPr>
        <w:tc>
          <w:tcPr>
            <w:tcW w:w="3616" w:type="dxa"/>
            <w:gridSpan w:val="14"/>
            <w:tcBorders>
              <w:top w:val="single" w:sz="4" w:space="0" w:color="auto"/>
              <w:left w:val="single" w:sz="4" w:space="0" w:color="auto"/>
              <w:bottom w:val="single" w:sz="4" w:space="0" w:color="auto"/>
              <w:right w:val="single" w:sz="4" w:space="0" w:color="auto"/>
            </w:tcBorders>
            <w:shd w:val="clear" w:color="auto" w:fill="FFFF00"/>
          </w:tcPr>
          <w:p w:rsidR="00845B07" w:rsidRPr="008D5999" w:rsidRDefault="00845B07" w:rsidP="00845B07">
            <w:pPr>
              <w:jc w:val="center"/>
              <w:rPr>
                <w:rFonts w:asciiTheme="minorHAnsi" w:hAnsiTheme="minorHAnsi" w:cstheme="minorHAnsi"/>
                <w:b/>
                <w:sz w:val="18"/>
                <w:szCs w:val="18"/>
              </w:rPr>
            </w:pPr>
            <w:r w:rsidRPr="008D5999">
              <w:rPr>
                <w:rFonts w:asciiTheme="minorHAnsi" w:hAnsiTheme="minorHAnsi" w:cstheme="minorHAnsi"/>
                <w:b/>
                <w:sz w:val="18"/>
                <w:szCs w:val="18"/>
              </w:rPr>
              <w:t>Rozpočet upravený v tis. Kč</w:t>
            </w:r>
          </w:p>
        </w:tc>
        <w:tc>
          <w:tcPr>
            <w:tcW w:w="2835" w:type="dxa"/>
            <w:gridSpan w:val="13"/>
            <w:tcBorders>
              <w:top w:val="single" w:sz="4" w:space="0" w:color="auto"/>
              <w:left w:val="single" w:sz="4" w:space="0" w:color="auto"/>
              <w:bottom w:val="single" w:sz="4" w:space="0" w:color="auto"/>
              <w:right w:val="single" w:sz="4" w:space="0" w:color="auto"/>
            </w:tcBorders>
            <w:shd w:val="clear" w:color="auto" w:fill="FFFF00"/>
          </w:tcPr>
          <w:p w:rsidR="00845B07" w:rsidRPr="008D5999" w:rsidRDefault="00845B07" w:rsidP="00845B07">
            <w:pPr>
              <w:jc w:val="center"/>
              <w:rPr>
                <w:rFonts w:asciiTheme="minorHAnsi" w:hAnsiTheme="minorHAnsi" w:cstheme="minorHAnsi"/>
                <w:b/>
                <w:sz w:val="18"/>
                <w:szCs w:val="18"/>
              </w:rPr>
            </w:pPr>
            <w:r w:rsidRPr="008D5999">
              <w:rPr>
                <w:rFonts w:asciiTheme="minorHAnsi" w:hAnsiTheme="minorHAnsi" w:cstheme="minorHAnsi"/>
                <w:b/>
                <w:sz w:val="18"/>
                <w:szCs w:val="18"/>
              </w:rPr>
              <w:t>Skutečnost v tis. Kč</w:t>
            </w:r>
          </w:p>
        </w:tc>
        <w:tc>
          <w:tcPr>
            <w:tcW w:w="1276" w:type="dxa"/>
            <w:gridSpan w:val="4"/>
            <w:tcBorders>
              <w:top w:val="single" w:sz="4" w:space="0" w:color="auto"/>
              <w:left w:val="single" w:sz="4" w:space="0" w:color="auto"/>
              <w:bottom w:val="single" w:sz="4" w:space="0" w:color="auto"/>
              <w:right w:val="single" w:sz="4" w:space="0" w:color="auto"/>
            </w:tcBorders>
            <w:shd w:val="clear" w:color="auto" w:fill="FFFF00"/>
          </w:tcPr>
          <w:p w:rsidR="00845B07" w:rsidRPr="008D5999" w:rsidRDefault="00845B07" w:rsidP="00845B07">
            <w:pPr>
              <w:jc w:val="center"/>
              <w:rPr>
                <w:rFonts w:asciiTheme="minorHAnsi" w:hAnsiTheme="minorHAnsi" w:cstheme="minorHAnsi"/>
                <w:b/>
                <w:sz w:val="18"/>
                <w:szCs w:val="18"/>
              </w:rPr>
            </w:pPr>
            <w:r w:rsidRPr="008D5999">
              <w:rPr>
                <w:rFonts w:asciiTheme="minorHAnsi" w:hAnsiTheme="minorHAnsi" w:cstheme="minorHAnsi"/>
                <w:b/>
                <w:sz w:val="18"/>
                <w:szCs w:val="18"/>
              </w:rPr>
              <w:t>SK/RU v %</w:t>
            </w:r>
          </w:p>
        </w:tc>
        <w:tc>
          <w:tcPr>
            <w:tcW w:w="2193" w:type="dxa"/>
            <w:gridSpan w:val="4"/>
            <w:tcBorders>
              <w:top w:val="single" w:sz="4" w:space="0" w:color="auto"/>
              <w:left w:val="single" w:sz="4" w:space="0" w:color="auto"/>
              <w:bottom w:val="single" w:sz="4" w:space="0" w:color="auto"/>
              <w:right w:val="single" w:sz="4" w:space="0" w:color="auto"/>
            </w:tcBorders>
            <w:shd w:val="clear" w:color="auto" w:fill="FFFF00"/>
          </w:tcPr>
          <w:p w:rsidR="00845B07" w:rsidRPr="008D5999" w:rsidRDefault="00845B07" w:rsidP="00845B07">
            <w:pPr>
              <w:jc w:val="center"/>
              <w:rPr>
                <w:rFonts w:asciiTheme="minorHAnsi" w:hAnsiTheme="minorHAnsi" w:cstheme="minorHAnsi"/>
                <w:b/>
                <w:sz w:val="18"/>
                <w:szCs w:val="18"/>
              </w:rPr>
            </w:pPr>
            <w:r w:rsidRPr="008D5999">
              <w:rPr>
                <w:rFonts w:asciiTheme="minorHAnsi" w:hAnsiTheme="minorHAnsi" w:cstheme="minorHAnsi"/>
                <w:b/>
                <w:sz w:val="18"/>
                <w:szCs w:val="18"/>
              </w:rPr>
              <w:t>Komentář</w:t>
            </w:r>
          </w:p>
        </w:tc>
      </w:tr>
      <w:tr w:rsidR="00845B07" w:rsidRPr="00845B07" w:rsidTr="00F112A1">
        <w:trPr>
          <w:gridAfter w:val="1"/>
          <w:wAfter w:w="64" w:type="dxa"/>
        </w:trPr>
        <w:tc>
          <w:tcPr>
            <w:tcW w:w="3616" w:type="dxa"/>
            <w:gridSpan w:val="14"/>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right"/>
              <w:rPr>
                <w:rFonts w:asciiTheme="minorHAnsi" w:hAnsiTheme="minorHAnsi" w:cstheme="minorHAnsi"/>
                <w:b/>
                <w:sz w:val="18"/>
                <w:szCs w:val="18"/>
              </w:rPr>
            </w:pPr>
            <w:r w:rsidRPr="008D5999">
              <w:rPr>
                <w:rFonts w:asciiTheme="minorHAnsi" w:hAnsiTheme="minorHAnsi" w:cstheme="minorHAnsi"/>
                <w:b/>
                <w:sz w:val="18"/>
                <w:szCs w:val="18"/>
              </w:rPr>
              <w:t>20 767,37</w:t>
            </w:r>
          </w:p>
        </w:tc>
        <w:tc>
          <w:tcPr>
            <w:tcW w:w="2835" w:type="dxa"/>
            <w:gridSpan w:val="13"/>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right"/>
              <w:rPr>
                <w:rFonts w:asciiTheme="minorHAnsi" w:hAnsiTheme="minorHAnsi" w:cstheme="minorHAnsi"/>
                <w:b/>
                <w:sz w:val="18"/>
                <w:szCs w:val="18"/>
              </w:rPr>
            </w:pPr>
            <w:r w:rsidRPr="008D5999">
              <w:rPr>
                <w:rFonts w:asciiTheme="minorHAnsi" w:hAnsiTheme="minorHAnsi" w:cstheme="minorHAnsi"/>
                <w:b/>
                <w:sz w:val="18"/>
                <w:szCs w:val="18"/>
              </w:rPr>
              <w:t>16 068,12</w:t>
            </w:r>
          </w:p>
        </w:tc>
        <w:tc>
          <w:tcPr>
            <w:tcW w:w="1276" w:type="dxa"/>
            <w:gridSpan w:val="4"/>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b/>
                <w:sz w:val="18"/>
                <w:szCs w:val="18"/>
              </w:rPr>
            </w:pPr>
            <w:r w:rsidRPr="008D5999">
              <w:rPr>
                <w:rFonts w:asciiTheme="minorHAnsi" w:hAnsiTheme="minorHAnsi" w:cstheme="minorHAnsi"/>
                <w:b/>
                <w:sz w:val="18"/>
                <w:szCs w:val="18"/>
              </w:rPr>
              <w:t>77,37</w:t>
            </w:r>
          </w:p>
        </w:tc>
        <w:tc>
          <w:tcPr>
            <w:tcW w:w="2193" w:type="dxa"/>
            <w:gridSpan w:val="4"/>
            <w:tcBorders>
              <w:top w:val="single" w:sz="4" w:space="0" w:color="auto"/>
              <w:left w:val="single" w:sz="4" w:space="0" w:color="auto"/>
              <w:bottom w:val="single" w:sz="4" w:space="0" w:color="auto"/>
              <w:right w:val="single" w:sz="4" w:space="0" w:color="auto"/>
            </w:tcBorders>
          </w:tcPr>
          <w:p w:rsidR="00845B07" w:rsidRPr="008D5999" w:rsidRDefault="00845B07" w:rsidP="00845B07">
            <w:pPr>
              <w:rPr>
                <w:rFonts w:asciiTheme="minorHAnsi" w:hAnsiTheme="minorHAnsi" w:cstheme="minorHAnsi"/>
                <w:b/>
                <w:sz w:val="18"/>
                <w:szCs w:val="18"/>
              </w:rPr>
            </w:pPr>
            <w:r w:rsidRPr="008D5999">
              <w:rPr>
                <w:rFonts w:asciiTheme="minorHAnsi" w:hAnsiTheme="minorHAnsi" w:cstheme="minorHAnsi"/>
                <w:b/>
                <w:sz w:val="18"/>
                <w:szCs w:val="18"/>
              </w:rPr>
              <w:t>Výdaje před konsolidací</w:t>
            </w:r>
          </w:p>
        </w:tc>
      </w:tr>
      <w:tr w:rsidR="00845B07" w:rsidRPr="00845B07" w:rsidTr="00F112A1">
        <w:trPr>
          <w:gridAfter w:val="1"/>
          <w:wAfter w:w="64" w:type="dxa"/>
        </w:trPr>
        <w:tc>
          <w:tcPr>
            <w:tcW w:w="3616" w:type="dxa"/>
            <w:gridSpan w:val="14"/>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right"/>
              <w:rPr>
                <w:rFonts w:asciiTheme="minorHAnsi" w:hAnsiTheme="minorHAnsi" w:cstheme="minorHAnsi"/>
                <w:b/>
                <w:sz w:val="18"/>
                <w:szCs w:val="18"/>
              </w:rPr>
            </w:pPr>
            <w:r w:rsidRPr="008D5999">
              <w:rPr>
                <w:rFonts w:asciiTheme="minorHAnsi" w:hAnsiTheme="minorHAnsi" w:cstheme="minorHAnsi"/>
                <w:b/>
                <w:sz w:val="18"/>
                <w:szCs w:val="18"/>
              </w:rPr>
              <w:t>20 767,37</w:t>
            </w:r>
          </w:p>
        </w:tc>
        <w:tc>
          <w:tcPr>
            <w:tcW w:w="2835" w:type="dxa"/>
            <w:gridSpan w:val="13"/>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right"/>
              <w:rPr>
                <w:rFonts w:asciiTheme="minorHAnsi" w:hAnsiTheme="minorHAnsi" w:cstheme="minorHAnsi"/>
                <w:b/>
                <w:sz w:val="18"/>
                <w:szCs w:val="18"/>
              </w:rPr>
            </w:pPr>
            <w:r w:rsidRPr="008D5999">
              <w:rPr>
                <w:rFonts w:asciiTheme="minorHAnsi" w:hAnsiTheme="minorHAnsi" w:cstheme="minorHAnsi"/>
                <w:b/>
                <w:sz w:val="18"/>
                <w:szCs w:val="18"/>
              </w:rPr>
              <w:t>16 068,12</w:t>
            </w:r>
          </w:p>
        </w:tc>
        <w:tc>
          <w:tcPr>
            <w:tcW w:w="1276" w:type="dxa"/>
            <w:gridSpan w:val="4"/>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b/>
                <w:sz w:val="18"/>
                <w:szCs w:val="18"/>
              </w:rPr>
            </w:pPr>
            <w:r w:rsidRPr="008D5999">
              <w:rPr>
                <w:rFonts w:asciiTheme="minorHAnsi" w:hAnsiTheme="minorHAnsi" w:cstheme="minorHAnsi"/>
                <w:b/>
                <w:sz w:val="18"/>
                <w:szCs w:val="18"/>
              </w:rPr>
              <w:t>77,37</w:t>
            </w:r>
          </w:p>
        </w:tc>
        <w:tc>
          <w:tcPr>
            <w:tcW w:w="2193" w:type="dxa"/>
            <w:gridSpan w:val="4"/>
            <w:tcBorders>
              <w:top w:val="single" w:sz="4" w:space="0" w:color="auto"/>
              <w:left w:val="single" w:sz="4" w:space="0" w:color="auto"/>
              <w:bottom w:val="single" w:sz="4" w:space="0" w:color="auto"/>
              <w:right w:val="single" w:sz="4" w:space="0" w:color="auto"/>
            </w:tcBorders>
          </w:tcPr>
          <w:p w:rsidR="00845B07" w:rsidRPr="008D5999" w:rsidRDefault="00845B07" w:rsidP="00845B07">
            <w:pPr>
              <w:rPr>
                <w:rFonts w:asciiTheme="minorHAnsi" w:hAnsiTheme="minorHAnsi" w:cstheme="minorHAnsi"/>
                <w:b/>
                <w:sz w:val="18"/>
                <w:szCs w:val="18"/>
              </w:rPr>
            </w:pPr>
            <w:r w:rsidRPr="008D5999">
              <w:rPr>
                <w:rFonts w:asciiTheme="minorHAnsi" w:hAnsiTheme="minorHAnsi" w:cstheme="minorHAnsi"/>
                <w:b/>
                <w:sz w:val="18"/>
                <w:szCs w:val="18"/>
              </w:rPr>
              <w:t>Výdaje po konsolidaci</w:t>
            </w:r>
          </w:p>
        </w:tc>
      </w:tr>
      <w:tr w:rsidR="00845B07" w:rsidRPr="00845B07" w:rsidTr="00F112A1">
        <w:tc>
          <w:tcPr>
            <w:tcW w:w="459" w:type="dxa"/>
          </w:tcPr>
          <w:p w:rsidR="00845B07" w:rsidRPr="00845B07" w:rsidRDefault="00845B07" w:rsidP="00845B07">
            <w:pPr>
              <w:rPr>
                <w:rFonts w:asciiTheme="minorHAnsi" w:hAnsiTheme="minorHAnsi" w:cstheme="minorHAnsi"/>
                <w:b/>
                <w:sz w:val="20"/>
                <w:szCs w:val="20"/>
              </w:rPr>
            </w:pPr>
          </w:p>
        </w:tc>
        <w:tc>
          <w:tcPr>
            <w:tcW w:w="391" w:type="dxa"/>
          </w:tcPr>
          <w:p w:rsidR="00845B07" w:rsidRPr="00845B07" w:rsidRDefault="00845B07" w:rsidP="00845B07">
            <w:pPr>
              <w:rPr>
                <w:rFonts w:asciiTheme="minorHAnsi" w:hAnsiTheme="minorHAnsi" w:cstheme="minorHAnsi"/>
                <w:b/>
                <w:sz w:val="20"/>
                <w:szCs w:val="20"/>
              </w:rPr>
            </w:pPr>
          </w:p>
        </w:tc>
        <w:tc>
          <w:tcPr>
            <w:tcW w:w="527" w:type="dxa"/>
          </w:tcPr>
          <w:p w:rsidR="00845B07" w:rsidRPr="00845B07" w:rsidRDefault="00845B07" w:rsidP="00845B07">
            <w:pPr>
              <w:rPr>
                <w:rFonts w:asciiTheme="minorHAnsi" w:hAnsiTheme="minorHAnsi" w:cstheme="minorHAnsi"/>
                <w:b/>
                <w:sz w:val="20"/>
                <w:szCs w:val="20"/>
              </w:rPr>
            </w:pPr>
          </w:p>
        </w:tc>
        <w:tc>
          <w:tcPr>
            <w:tcW w:w="391" w:type="dxa"/>
            <w:gridSpan w:val="3"/>
          </w:tcPr>
          <w:p w:rsidR="00845B07" w:rsidRPr="00845B07" w:rsidRDefault="00845B07" w:rsidP="00845B07">
            <w:pPr>
              <w:rPr>
                <w:rFonts w:asciiTheme="minorHAnsi" w:hAnsiTheme="minorHAnsi" w:cstheme="minorHAnsi"/>
                <w:b/>
                <w:sz w:val="20"/>
                <w:szCs w:val="20"/>
              </w:rPr>
            </w:pPr>
          </w:p>
        </w:tc>
        <w:tc>
          <w:tcPr>
            <w:tcW w:w="529" w:type="dxa"/>
            <w:gridSpan w:val="2"/>
          </w:tcPr>
          <w:p w:rsidR="00845B07" w:rsidRPr="00845B07" w:rsidRDefault="00845B07" w:rsidP="00845B07">
            <w:pPr>
              <w:rPr>
                <w:rFonts w:asciiTheme="minorHAnsi" w:hAnsiTheme="minorHAnsi" w:cstheme="minorHAnsi"/>
                <w:b/>
                <w:sz w:val="20"/>
                <w:szCs w:val="20"/>
              </w:rPr>
            </w:pPr>
          </w:p>
        </w:tc>
        <w:tc>
          <w:tcPr>
            <w:tcW w:w="460" w:type="dxa"/>
          </w:tcPr>
          <w:p w:rsidR="00845B07" w:rsidRPr="00845B07" w:rsidRDefault="00845B07" w:rsidP="00845B07">
            <w:pPr>
              <w:rPr>
                <w:rFonts w:asciiTheme="minorHAnsi" w:hAnsiTheme="minorHAnsi" w:cstheme="minorHAnsi"/>
                <w:b/>
                <w:sz w:val="20"/>
                <w:szCs w:val="20"/>
              </w:rPr>
            </w:pPr>
          </w:p>
        </w:tc>
        <w:tc>
          <w:tcPr>
            <w:tcW w:w="460" w:type="dxa"/>
            <w:gridSpan w:val="3"/>
          </w:tcPr>
          <w:p w:rsidR="00845B07" w:rsidRPr="00845B07" w:rsidRDefault="00845B07" w:rsidP="00845B07">
            <w:pPr>
              <w:rPr>
                <w:rFonts w:asciiTheme="minorHAnsi" w:hAnsiTheme="minorHAnsi" w:cstheme="minorHAnsi"/>
                <w:b/>
                <w:sz w:val="20"/>
                <w:szCs w:val="20"/>
              </w:rPr>
            </w:pPr>
          </w:p>
        </w:tc>
        <w:tc>
          <w:tcPr>
            <w:tcW w:w="460" w:type="dxa"/>
            <w:gridSpan w:val="3"/>
          </w:tcPr>
          <w:p w:rsidR="00845B07" w:rsidRPr="00845B07" w:rsidRDefault="00845B07" w:rsidP="00845B07">
            <w:pPr>
              <w:rPr>
                <w:rFonts w:asciiTheme="minorHAnsi" w:hAnsiTheme="minorHAnsi" w:cstheme="minorHAnsi"/>
                <w:b/>
                <w:sz w:val="20"/>
                <w:szCs w:val="20"/>
              </w:rPr>
            </w:pPr>
          </w:p>
        </w:tc>
        <w:tc>
          <w:tcPr>
            <w:tcW w:w="460" w:type="dxa"/>
            <w:gridSpan w:val="2"/>
          </w:tcPr>
          <w:p w:rsidR="00845B07" w:rsidRPr="00845B07" w:rsidRDefault="00845B07" w:rsidP="00845B07">
            <w:pPr>
              <w:rPr>
                <w:rFonts w:asciiTheme="minorHAnsi" w:hAnsiTheme="minorHAnsi" w:cstheme="minorHAnsi"/>
                <w:b/>
                <w:sz w:val="20"/>
                <w:szCs w:val="20"/>
              </w:rPr>
            </w:pPr>
          </w:p>
        </w:tc>
        <w:tc>
          <w:tcPr>
            <w:tcW w:w="397" w:type="dxa"/>
            <w:gridSpan w:val="2"/>
          </w:tcPr>
          <w:p w:rsidR="00845B07" w:rsidRPr="00845B07" w:rsidRDefault="00845B07" w:rsidP="00845B07">
            <w:pPr>
              <w:rPr>
                <w:rFonts w:asciiTheme="minorHAnsi" w:hAnsiTheme="minorHAnsi" w:cstheme="minorHAnsi"/>
                <w:b/>
                <w:sz w:val="20"/>
                <w:szCs w:val="20"/>
              </w:rPr>
            </w:pPr>
          </w:p>
        </w:tc>
        <w:tc>
          <w:tcPr>
            <w:tcW w:w="523" w:type="dxa"/>
            <w:gridSpan w:val="2"/>
          </w:tcPr>
          <w:p w:rsidR="00845B07" w:rsidRPr="00845B07" w:rsidRDefault="00845B07" w:rsidP="00845B07">
            <w:pPr>
              <w:rPr>
                <w:rFonts w:asciiTheme="minorHAnsi" w:hAnsiTheme="minorHAnsi" w:cstheme="minorHAnsi"/>
                <w:b/>
                <w:sz w:val="20"/>
                <w:szCs w:val="20"/>
              </w:rPr>
            </w:pPr>
          </w:p>
        </w:tc>
        <w:tc>
          <w:tcPr>
            <w:tcW w:w="824" w:type="dxa"/>
            <w:gridSpan w:val="4"/>
          </w:tcPr>
          <w:p w:rsidR="00845B07" w:rsidRPr="00845B07" w:rsidRDefault="00845B07" w:rsidP="00845B07">
            <w:pPr>
              <w:rPr>
                <w:rFonts w:asciiTheme="minorHAnsi" w:hAnsiTheme="minorHAnsi" w:cstheme="minorHAnsi"/>
                <w:b/>
                <w:sz w:val="20"/>
                <w:szCs w:val="20"/>
              </w:rPr>
            </w:pPr>
          </w:p>
        </w:tc>
        <w:tc>
          <w:tcPr>
            <w:tcW w:w="160" w:type="dxa"/>
          </w:tcPr>
          <w:p w:rsidR="00845B07" w:rsidRPr="00845B07" w:rsidRDefault="00845B07" w:rsidP="00845B07">
            <w:pPr>
              <w:rPr>
                <w:rFonts w:asciiTheme="minorHAnsi" w:hAnsiTheme="minorHAnsi" w:cstheme="minorHAnsi"/>
                <w:b/>
                <w:sz w:val="20"/>
                <w:szCs w:val="20"/>
              </w:rPr>
            </w:pPr>
          </w:p>
        </w:tc>
        <w:tc>
          <w:tcPr>
            <w:tcW w:w="460" w:type="dxa"/>
            <w:gridSpan w:val="2"/>
          </w:tcPr>
          <w:p w:rsidR="00845B07" w:rsidRPr="00845B07" w:rsidRDefault="00845B07" w:rsidP="00845B07">
            <w:pPr>
              <w:rPr>
                <w:rFonts w:asciiTheme="minorHAnsi" w:hAnsiTheme="minorHAnsi" w:cstheme="minorHAnsi"/>
                <w:b/>
                <w:sz w:val="20"/>
                <w:szCs w:val="20"/>
              </w:rPr>
            </w:pPr>
          </w:p>
        </w:tc>
        <w:tc>
          <w:tcPr>
            <w:tcW w:w="460" w:type="dxa"/>
          </w:tcPr>
          <w:p w:rsidR="00845B07" w:rsidRPr="00845B07" w:rsidRDefault="00845B07" w:rsidP="00845B07">
            <w:pPr>
              <w:rPr>
                <w:rFonts w:asciiTheme="minorHAnsi" w:hAnsiTheme="minorHAnsi" w:cstheme="minorHAnsi"/>
                <w:b/>
                <w:sz w:val="20"/>
                <w:szCs w:val="20"/>
              </w:rPr>
            </w:pPr>
          </w:p>
        </w:tc>
        <w:tc>
          <w:tcPr>
            <w:tcW w:w="460" w:type="dxa"/>
          </w:tcPr>
          <w:p w:rsidR="00845B07" w:rsidRPr="00845B07" w:rsidRDefault="00845B07" w:rsidP="00845B07">
            <w:pPr>
              <w:rPr>
                <w:rFonts w:asciiTheme="minorHAnsi" w:hAnsiTheme="minorHAnsi" w:cstheme="minorHAnsi"/>
                <w:b/>
                <w:sz w:val="20"/>
                <w:szCs w:val="20"/>
              </w:rPr>
            </w:pPr>
          </w:p>
        </w:tc>
        <w:tc>
          <w:tcPr>
            <w:tcW w:w="460" w:type="dxa"/>
            <w:gridSpan w:val="2"/>
          </w:tcPr>
          <w:p w:rsidR="00845B07" w:rsidRPr="00845B07" w:rsidRDefault="00845B07" w:rsidP="00845B07">
            <w:pPr>
              <w:rPr>
                <w:rFonts w:asciiTheme="minorHAnsi" w:hAnsiTheme="minorHAnsi" w:cstheme="minorHAnsi"/>
                <w:b/>
                <w:sz w:val="20"/>
                <w:szCs w:val="20"/>
              </w:rPr>
            </w:pPr>
          </w:p>
        </w:tc>
        <w:tc>
          <w:tcPr>
            <w:tcW w:w="460" w:type="dxa"/>
          </w:tcPr>
          <w:p w:rsidR="00845B07" w:rsidRPr="00845B07" w:rsidRDefault="00845B07" w:rsidP="00845B07">
            <w:pPr>
              <w:rPr>
                <w:rFonts w:asciiTheme="minorHAnsi" w:hAnsiTheme="minorHAnsi" w:cstheme="minorHAnsi"/>
                <w:b/>
                <w:sz w:val="20"/>
                <w:szCs w:val="20"/>
              </w:rPr>
            </w:pPr>
          </w:p>
        </w:tc>
        <w:tc>
          <w:tcPr>
            <w:tcW w:w="460" w:type="dxa"/>
          </w:tcPr>
          <w:p w:rsidR="00845B07" w:rsidRPr="00845B07" w:rsidRDefault="00845B07" w:rsidP="00845B07">
            <w:pPr>
              <w:rPr>
                <w:rFonts w:asciiTheme="minorHAnsi" w:hAnsiTheme="minorHAnsi" w:cstheme="minorHAnsi"/>
                <w:b/>
                <w:sz w:val="20"/>
                <w:szCs w:val="20"/>
              </w:rPr>
            </w:pPr>
          </w:p>
        </w:tc>
        <w:tc>
          <w:tcPr>
            <w:tcW w:w="1183" w:type="dxa"/>
            <w:gridSpan w:val="2"/>
          </w:tcPr>
          <w:p w:rsidR="00845B07" w:rsidRPr="00845B07" w:rsidRDefault="00845B07" w:rsidP="00845B07">
            <w:pPr>
              <w:rPr>
                <w:rFonts w:asciiTheme="minorHAnsi" w:hAnsiTheme="minorHAnsi" w:cstheme="minorHAnsi"/>
                <w:b/>
                <w:sz w:val="20"/>
                <w:szCs w:val="20"/>
              </w:rPr>
            </w:pPr>
          </w:p>
        </w:tc>
      </w:tr>
      <w:tr w:rsidR="00845B07" w:rsidRPr="00845B07" w:rsidTr="00F112A1">
        <w:trPr>
          <w:gridAfter w:val="1"/>
          <w:wAfter w:w="64" w:type="dxa"/>
        </w:trPr>
        <w:tc>
          <w:tcPr>
            <w:tcW w:w="9920" w:type="dxa"/>
            <w:gridSpan w:val="35"/>
          </w:tcPr>
          <w:p w:rsidR="00845B07" w:rsidRPr="00845B07" w:rsidRDefault="00845B07" w:rsidP="00845B07">
            <w:pPr>
              <w:rPr>
                <w:rFonts w:asciiTheme="minorHAnsi" w:hAnsiTheme="minorHAnsi" w:cstheme="minorHAnsi"/>
                <w:b/>
                <w:sz w:val="20"/>
                <w:szCs w:val="20"/>
              </w:rPr>
            </w:pPr>
            <w:r w:rsidRPr="00845B07">
              <w:rPr>
                <w:rFonts w:asciiTheme="minorHAnsi" w:hAnsiTheme="minorHAnsi" w:cstheme="minorHAnsi"/>
                <w:b/>
                <w:sz w:val="20"/>
                <w:szCs w:val="20"/>
              </w:rPr>
              <w:t>Stručný komentář k celkovému vývoji čerpání výdajů kapitoly ve sledovaném období</w:t>
            </w:r>
          </w:p>
        </w:tc>
      </w:tr>
      <w:tr w:rsidR="00845B07" w:rsidRPr="00845B07" w:rsidTr="00F112A1">
        <w:trPr>
          <w:gridAfter w:val="1"/>
          <w:wAfter w:w="64" w:type="dxa"/>
        </w:trPr>
        <w:tc>
          <w:tcPr>
            <w:tcW w:w="9920" w:type="dxa"/>
            <w:gridSpan w:val="35"/>
            <w:tcBorders>
              <w:top w:val="single" w:sz="6" w:space="0" w:color="auto"/>
              <w:left w:val="single" w:sz="6" w:space="0" w:color="auto"/>
              <w:bottom w:val="single" w:sz="6" w:space="0" w:color="auto"/>
              <w:right w:val="single" w:sz="6" w:space="0" w:color="auto"/>
            </w:tcBorders>
          </w:tcPr>
          <w:p w:rsidR="00845B07" w:rsidRPr="00845B07" w:rsidRDefault="00845B07" w:rsidP="00845B07">
            <w:pPr>
              <w:jc w:val="both"/>
              <w:rPr>
                <w:rFonts w:asciiTheme="minorHAnsi" w:hAnsiTheme="minorHAnsi" w:cstheme="minorHAnsi"/>
                <w:sz w:val="20"/>
                <w:szCs w:val="20"/>
              </w:rPr>
            </w:pPr>
            <w:r w:rsidRPr="00845B07">
              <w:rPr>
                <w:rFonts w:asciiTheme="minorHAnsi" w:hAnsiTheme="minorHAnsi" w:cstheme="minorHAnsi"/>
                <w:sz w:val="20"/>
                <w:szCs w:val="20"/>
              </w:rPr>
              <w:t>Čerpání výdajů kapitoly probíhalo na základě činností zajišťovaných Odborem správy a údržby majetku města. Ve většině případů vychází plnění dle skutečných spotřeb (energie, voda), dle potřeby provedení oprav či služby nebo nákup vybaveni apod. Nižší čerpání představuje nákup služeb a opravy a údržba, kde byla menší potřeba, než se</w:t>
            </w:r>
            <w:r w:rsidR="00F112A1">
              <w:rPr>
                <w:rFonts w:asciiTheme="minorHAnsi" w:hAnsiTheme="minorHAnsi" w:cstheme="minorHAnsi"/>
                <w:sz w:val="20"/>
                <w:szCs w:val="20"/>
              </w:rPr>
              <w:t xml:space="preserve"> předpokládalo při </w:t>
            </w:r>
            <w:r w:rsidRPr="00845B07">
              <w:rPr>
                <w:rFonts w:asciiTheme="minorHAnsi" w:hAnsiTheme="minorHAnsi" w:cstheme="minorHAnsi"/>
                <w:sz w:val="20"/>
                <w:szCs w:val="20"/>
              </w:rPr>
              <w:t>sestavování rozpočtu. Stejně tak plnění ovlivňuje nevyčerpání finančních prostředků na schválené investiční akce – výkupy pozemků (neuzavření kupních smluv do konce roku a tím pádem nemožnost výp</w:t>
            </w:r>
            <w:r w:rsidR="00F112A1">
              <w:rPr>
                <w:rFonts w:asciiTheme="minorHAnsi" w:hAnsiTheme="minorHAnsi" w:cstheme="minorHAnsi"/>
                <w:sz w:val="20"/>
                <w:szCs w:val="20"/>
              </w:rPr>
              <w:t>laty kupních cen) či úspory při </w:t>
            </w:r>
            <w:r w:rsidRPr="00845B07">
              <w:rPr>
                <w:rFonts w:asciiTheme="minorHAnsi" w:hAnsiTheme="minorHAnsi" w:cstheme="minorHAnsi"/>
                <w:sz w:val="20"/>
                <w:szCs w:val="20"/>
              </w:rPr>
              <w:t xml:space="preserve">pořízení majetku. Výdajová část kapitoly představuje plnění vůči upravenému rozpočtu na 77,37 %. </w:t>
            </w:r>
          </w:p>
        </w:tc>
      </w:tr>
      <w:tr w:rsidR="00845B07" w:rsidRPr="00845B07" w:rsidTr="00F112A1">
        <w:tc>
          <w:tcPr>
            <w:tcW w:w="459" w:type="dxa"/>
          </w:tcPr>
          <w:p w:rsidR="00845B07" w:rsidRPr="00845B07" w:rsidRDefault="00845B07" w:rsidP="00845B07">
            <w:pPr>
              <w:rPr>
                <w:rFonts w:asciiTheme="minorHAnsi" w:hAnsiTheme="minorHAnsi" w:cstheme="minorHAnsi"/>
                <w:b/>
                <w:sz w:val="20"/>
                <w:szCs w:val="20"/>
              </w:rPr>
            </w:pPr>
          </w:p>
        </w:tc>
        <w:tc>
          <w:tcPr>
            <w:tcW w:w="391" w:type="dxa"/>
          </w:tcPr>
          <w:p w:rsidR="00845B07" w:rsidRPr="00845B07" w:rsidRDefault="00845B07" w:rsidP="00845B07">
            <w:pPr>
              <w:rPr>
                <w:rFonts w:asciiTheme="minorHAnsi" w:hAnsiTheme="minorHAnsi" w:cstheme="minorHAnsi"/>
                <w:b/>
                <w:sz w:val="20"/>
                <w:szCs w:val="20"/>
              </w:rPr>
            </w:pPr>
          </w:p>
        </w:tc>
        <w:tc>
          <w:tcPr>
            <w:tcW w:w="527" w:type="dxa"/>
          </w:tcPr>
          <w:p w:rsidR="00845B07" w:rsidRPr="00845B07" w:rsidRDefault="00845B07" w:rsidP="00845B07">
            <w:pPr>
              <w:rPr>
                <w:rFonts w:asciiTheme="minorHAnsi" w:hAnsiTheme="minorHAnsi" w:cstheme="minorHAnsi"/>
                <w:b/>
                <w:sz w:val="20"/>
                <w:szCs w:val="20"/>
              </w:rPr>
            </w:pPr>
          </w:p>
        </w:tc>
        <w:tc>
          <w:tcPr>
            <w:tcW w:w="460" w:type="dxa"/>
            <w:gridSpan w:val="4"/>
          </w:tcPr>
          <w:p w:rsidR="00845B07" w:rsidRPr="00845B07" w:rsidRDefault="00845B07" w:rsidP="00845B07">
            <w:pPr>
              <w:rPr>
                <w:rFonts w:asciiTheme="minorHAnsi" w:hAnsiTheme="minorHAnsi" w:cstheme="minorHAnsi"/>
                <w:b/>
                <w:sz w:val="20"/>
                <w:szCs w:val="20"/>
              </w:rPr>
            </w:pPr>
          </w:p>
        </w:tc>
        <w:tc>
          <w:tcPr>
            <w:tcW w:w="460" w:type="dxa"/>
          </w:tcPr>
          <w:p w:rsidR="00845B07" w:rsidRPr="00845B07" w:rsidRDefault="00845B07" w:rsidP="00845B07">
            <w:pPr>
              <w:rPr>
                <w:rFonts w:asciiTheme="minorHAnsi" w:hAnsiTheme="minorHAnsi" w:cstheme="minorHAnsi"/>
                <w:b/>
                <w:sz w:val="20"/>
                <w:szCs w:val="20"/>
              </w:rPr>
            </w:pPr>
          </w:p>
        </w:tc>
        <w:tc>
          <w:tcPr>
            <w:tcW w:w="460" w:type="dxa"/>
          </w:tcPr>
          <w:p w:rsidR="00845B07" w:rsidRPr="00845B07" w:rsidRDefault="00845B07" w:rsidP="00845B07">
            <w:pPr>
              <w:rPr>
                <w:rFonts w:asciiTheme="minorHAnsi" w:hAnsiTheme="minorHAnsi" w:cstheme="minorHAnsi"/>
                <w:b/>
                <w:sz w:val="20"/>
                <w:szCs w:val="20"/>
              </w:rPr>
            </w:pPr>
          </w:p>
        </w:tc>
        <w:tc>
          <w:tcPr>
            <w:tcW w:w="460" w:type="dxa"/>
            <w:gridSpan w:val="3"/>
          </w:tcPr>
          <w:p w:rsidR="00845B07" w:rsidRPr="00845B07" w:rsidRDefault="00845B07" w:rsidP="00845B07">
            <w:pPr>
              <w:rPr>
                <w:rFonts w:asciiTheme="minorHAnsi" w:hAnsiTheme="minorHAnsi" w:cstheme="minorHAnsi"/>
                <w:b/>
                <w:sz w:val="20"/>
                <w:szCs w:val="20"/>
              </w:rPr>
            </w:pPr>
          </w:p>
        </w:tc>
        <w:tc>
          <w:tcPr>
            <w:tcW w:w="460" w:type="dxa"/>
            <w:gridSpan w:val="3"/>
          </w:tcPr>
          <w:p w:rsidR="00845B07" w:rsidRPr="00845B07" w:rsidRDefault="00845B07" w:rsidP="00845B07">
            <w:pPr>
              <w:rPr>
                <w:rFonts w:asciiTheme="minorHAnsi" w:hAnsiTheme="minorHAnsi" w:cstheme="minorHAnsi"/>
                <w:b/>
                <w:sz w:val="20"/>
                <w:szCs w:val="20"/>
              </w:rPr>
            </w:pPr>
          </w:p>
        </w:tc>
        <w:tc>
          <w:tcPr>
            <w:tcW w:w="460" w:type="dxa"/>
            <w:gridSpan w:val="2"/>
          </w:tcPr>
          <w:p w:rsidR="00845B07" w:rsidRPr="00845B07" w:rsidRDefault="00845B07" w:rsidP="00845B07">
            <w:pPr>
              <w:rPr>
                <w:rFonts w:asciiTheme="minorHAnsi" w:hAnsiTheme="minorHAnsi" w:cstheme="minorHAnsi"/>
                <w:b/>
                <w:sz w:val="20"/>
                <w:szCs w:val="20"/>
              </w:rPr>
            </w:pPr>
          </w:p>
        </w:tc>
        <w:tc>
          <w:tcPr>
            <w:tcW w:w="397" w:type="dxa"/>
            <w:gridSpan w:val="2"/>
          </w:tcPr>
          <w:p w:rsidR="00845B07" w:rsidRPr="00845B07" w:rsidRDefault="00845B07" w:rsidP="00845B07">
            <w:pPr>
              <w:rPr>
                <w:rFonts w:asciiTheme="minorHAnsi" w:hAnsiTheme="minorHAnsi" w:cstheme="minorHAnsi"/>
                <w:b/>
                <w:sz w:val="20"/>
                <w:szCs w:val="20"/>
              </w:rPr>
            </w:pPr>
          </w:p>
        </w:tc>
        <w:tc>
          <w:tcPr>
            <w:tcW w:w="523" w:type="dxa"/>
            <w:gridSpan w:val="2"/>
          </w:tcPr>
          <w:p w:rsidR="00845B07" w:rsidRPr="00845B07" w:rsidRDefault="00845B07" w:rsidP="00845B07">
            <w:pPr>
              <w:rPr>
                <w:rFonts w:asciiTheme="minorHAnsi" w:hAnsiTheme="minorHAnsi" w:cstheme="minorHAnsi"/>
                <w:b/>
                <w:sz w:val="20"/>
                <w:szCs w:val="20"/>
              </w:rPr>
            </w:pPr>
          </w:p>
        </w:tc>
        <w:tc>
          <w:tcPr>
            <w:tcW w:w="824" w:type="dxa"/>
            <w:gridSpan w:val="4"/>
          </w:tcPr>
          <w:p w:rsidR="00845B07" w:rsidRPr="00845B07" w:rsidRDefault="00845B07" w:rsidP="00845B07">
            <w:pPr>
              <w:rPr>
                <w:rFonts w:asciiTheme="minorHAnsi" w:hAnsiTheme="minorHAnsi" w:cstheme="minorHAnsi"/>
                <w:b/>
                <w:sz w:val="20"/>
                <w:szCs w:val="20"/>
              </w:rPr>
            </w:pPr>
          </w:p>
        </w:tc>
        <w:tc>
          <w:tcPr>
            <w:tcW w:w="160" w:type="dxa"/>
          </w:tcPr>
          <w:p w:rsidR="00845B07" w:rsidRPr="00845B07" w:rsidRDefault="00845B07" w:rsidP="00845B07">
            <w:pPr>
              <w:rPr>
                <w:rFonts w:asciiTheme="minorHAnsi" w:hAnsiTheme="minorHAnsi" w:cstheme="minorHAnsi"/>
                <w:b/>
                <w:sz w:val="20"/>
                <w:szCs w:val="20"/>
              </w:rPr>
            </w:pPr>
          </w:p>
        </w:tc>
        <w:tc>
          <w:tcPr>
            <w:tcW w:w="460" w:type="dxa"/>
            <w:gridSpan w:val="2"/>
          </w:tcPr>
          <w:p w:rsidR="00845B07" w:rsidRPr="00845B07" w:rsidRDefault="00845B07" w:rsidP="00845B07">
            <w:pPr>
              <w:rPr>
                <w:rFonts w:asciiTheme="minorHAnsi" w:hAnsiTheme="minorHAnsi" w:cstheme="minorHAnsi"/>
                <w:b/>
                <w:sz w:val="20"/>
                <w:szCs w:val="20"/>
              </w:rPr>
            </w:pPr>
          </w:p>
        </w:tc>
        <w:tc>
          <w:tcPr>
            <w:tcW w:w="460" w:type="dxa"/>
          </w:tcPr>
          <w:p w:rsidR="00845B07" w:rsidRPr="00845B07" w:rsidRDefault="00845B07" w:rsidP="00845B07">
            <w:pPr>
              <w:rPr>
                <w:rFonts w:asciiTheme="minorHAnsi" w:hAnsiTheme="minorHAnsi" w:cstheme="minorHAnsi"/>
                <w:b/>
                <w:sz w:val="20"/>
                <w:szCs w:val="20"/>
              </w:rPr>
            </w:pPr>
          </w:p>
        </w:tc>
        <w:tc>
          <w:tcPr>
            <w:tcW w:w="460" w:type="dxa"/>
          </w:tcPr>
          <w:p w:rsidR="00845B07" w:rsidRPr="00845B07" w:rsidRDefault="00845B07" w:rsidP="00845B07">
            <w:pPr>
              <w:rPr>
                <w:rFonts w:asciiTheme="minorHAnsi" w:hAnsiTheme="minorHAnsi" w:cstheme="minorHAnsi"/>
                <w:b/>
                <w:sz w:val="20"/>
                <w:szCs w:val="20"/>
              </w:rPr>
            </w:pPr>
          </w:p>
        </w:tc>
        <w:tc>
          <w:tcPr>
            <w:tcW w:w="460" w:type="dxa"/>
            <w:gridSpan w:val="2"/>
          </w:tcPr>
          <w:p w:rsidR="00845B07" w:rsidRPr="00845B07" w:rsidRDefault="00845B07" w:rsidP="00845B07">
            <w:pPr>
              <w:rPr>
                <w:rFonts w:asciiTheme="minorHAnsi" w:hAnsiTheme="minorHAnsi" w:cstheme="minorHAnsi"/>
                <w:b/>
                <w:sz w:val="20"/>
                <w:szCs w:val="20"/>
              </w:rPr>
            </w:pPr>
          </w:p>
        </w:tc>
        <w:tc>
          <w:tcPr>
            <w:tcW w:w="460" w:type="dxa"/>
          </w:tcPr>
          <w:p w:rsidR="00845B07" w:rsidRPr="00845B07" w:rsidRDefault="00845B07" w:rsidP="00845B07">
            <w:pPr>
              <w:rPr>
                <w:rFonts w:asciiTheme="minorHAnsi" w:hAnsiTheme="minorHAnsi" w:cstheme="minorHAnsi"/>
                <w:b/>
                <w:sz w:val="20"/>
                <w:szCs w:val="20"/>
              </w:rPr>
            </w:pPr>
          </w:p>
        </w:tc>
        <w:tc>
          <w:tcPr>
            <w:tcW w:w="460" w:type="dxa"/>
          </w:tcPr>
          <w:p w:rsidR="00845B07" w:rsidRPr="00845B07" w:rsidRDefault="00845B07" w:rsidP="00845B07">
            <w:pPr>
              <w:rPr>
                <w:rFonts w:asciiTheme="minorHAnsi" w:hAnsiTheme="minorHAnsi" w:cstheme="minorHAnsi"/>
                <w:b/>
                <w:sz w:val="20"/>
                <w:szCs w:val="20"/>
              </w:rPr>
            </w:pPr>
          </w:p>
        </w:tc>
        <w:tc>
          <w:tcPr>
            <w:tcW w:w="1183" w:type="dxa"/>
            <w:gridSpan w:val="2"/>
          </w:tcPr>
          <w:p w:rsidR="00845B07" w:rsidRPr="00845B07" w:rsidRDefault="00845B07" w:rsidP="00845B07">
            <w:pPr>
              <w:rPr>
                <w:rFonts w:asciiTheme="minorHAnsi" w:hAnsiTheme="minorHAnsi" w:cstheme="minorHAnsi"/>
                <w:b/>
                <w:sz w:val="20"/>
                <w:szCs w:val="20"/>
              </w:rPr>
            </w:pPr>
          </w:p>
        </w:tc>
      </w:tr>
      <w:tr w:rsidR="00845B07" w:rsidRPr="00845B07" w:rsidTr="00F112A1">
        <w:trPr>
          <w:gridAfter w:val="1"/>
          <w:wAfter w:w="64" w:type="dxa"/>
        </w:trPr>
        <w:tc>
          <w:tcPr>
            <w:tcW w:w="9920" w:type="dxa"/>
            <w:gridSpan w:val="35"/>
            <w:tcBorders>
              <w:bottom w:val="single" w:sz="4" w:space="0" w:color="auto"/>
            </w:tcBorders>
          </w:tcPr>
          <w:p w:rsidR="00845B07" w:rsidRPr="00F112A1" w:rsidRDefault="00845B07" w:rsidP="00845B07">
            <w:pPr>
              <w:rPr>
                <w:rFonts w:asciiTheme="minorHAnsi" w:hAnsiTheme="minorHAnsi" w:cstheme="minorHAnsi"/>
                <w:b/>
                <w:sz w:val="18"/>
                <w:szCs w:val="18"/>
              </w:rPr>
            </w:pPr>
            <w:r w:rsidRPr="00F112A1">
              <w:rPr>
                <w:rFonts w:asciiTheme="minorHAnsi" w:hAnsiTheme="minorHAnsi" w:cstheme="minorHAnsi"/>
                <w:b/>
                <w:sz w:val="18"/>
                <w:szCs w:val="18"/>
              </w:rPr>
              <w:t>Komentář k položkám (akcím), které vykázaly abnormalitu v řádném čerpání výdajů rozpočtu kapitoly ve sledovaném období</w:t>
            </w:r>
          </w:p>
        </w:tc>
      </w:tr>
      <w:tr w:rsidR="00845B07" w:rsidRPr="00F112A1" w:rsidTr="00F112A1">
        <w:trPr>
          <w:gridAfter w:val="1"/>
          <w:wAfter w:w="64" w:type="dxa"/>
        </w:trPr>
        <w:tc>
          <w:tcPr>
            <w:tcW w:w="850"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845B07" w:rsidRPr="00F112A1" w:rsidRDefault="00845B07" w:rsidP="00845B07">
            <w:pPr>
              <w:jc w:val="center"/>
              <w:rPr>
                <w:rFonts w:asciiTheme="minorHAnsi" w:hAnsiTheme="minorHAnsi" w:cstheme="minorHAnsi"/>
                <w:b/>
                <w:sz w:val="18"/>
                <w:szCs w:val="18"/>
              </w:rPr>
            </w:pPr>
            <w:r w:rsidRPr="00F112A1">
              <w:rPr>
                <w:rFonts w:asciiTheme="minorHAnsi" w:hAnsiTheme="minorHAnsi" w:cstheme="minorHAnsi"/>
                <w:b/>
                <w:sz w:val="18"/>
                <w:szCs w:val="18"/>
              </w:rPr>
              <w:t>Oddíl, paragraf</w:t>
            </w:r>
          </w:p>
        </w:tc>
        <w:tc>
          <w:tcPr>
            <w:tcW w:w="640"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845B07" w:rsidRPr="00F112A1" w:rsidRDefault="00F112A1" w:rsidP="00845B07">
            <w:pPr>
              <w:jc w:val="center"/>
              <w:rPr>
                <w:rFonts w:asciiTheme="minorHAnsi" w:hAnsiTheme="minorHAnsi" w:cstheme="minorHAnsi"/>
                <w:b/>
                <w:sz w:val="18"/>
                <w:szCs w:val="18"/>
              </w:rPr>
            </w:pPr>
            <w:r w:rsidRPr="00F112A1">
              <w:rPr>
                <w:rFonts w:asciiTheme="minorHAnsi" w:hAnsiTheme="minorHAnsi" w:cstheme="minorHAnsi"/>
                <w:b/>
                <w:sz w:val="18"/>
                <w:szCs w:val="18"/>
              </w:rPr>
              <w:t>Pol.</w:t>
            </w:r>
          </w:p>
        </w:tc>
        <w:tc>
          <w:tcPr>
            <w:tcW w:w="1417"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845B07" w:rsidRPr="00F112A1" w:rsidRDefault="00845B07" w:rsidP="00845B07">
            <w:pPr>
              <w:jc w:val="center"/>
              <w:rPr>
                <w:rFonts w:asciiTheme="minorHAnsi" w:hAnsiTheme="minorHAnsi" w:cstheme="minorHAnsi"/>
                <w:b/>
                <w:sz w:val="18"/>
                <w:szCs w:val="18"/>
              </w:rPr>
            </w:pPr>
            <w:r w:rsidRPr="00F112A1">
              <w:rPr>
                <w:rFonts w:asciiTheme="minorHAnsi" w:hAnsiTheme="minorHAnsi" w:cstheme="minorHAnsi"/>
                <w:b/>
                <w:sz w:val="18"/>
                <w:szCs w:val="18"/>
              </w:rPr>
              <w:t>Organizace</w:t>
            </w:r>
          </w:p>
        </w:tc>
        <w:tc>
          <w:tcPr>
            <w:tcW w:w="770" w:type="dxa"/>
            <w:gridSpan w:val="5"/>
            <w:tcBorders>
              <w:top w:val="single" w:sz="4" w:space="0" w:color="auto"/>
              <w:left w:val="single" w:sz="4" w:space="0" w:color="auto"/>
              <w:bottom w:val="single" w:sz="4" w:space="0" w:color="auto"/>
              <w:right w:val="single" w:sz="4" w:space="0" w:color="auto"/>
            </w:tcBorders>
            <w:shd w:val="clear" w:color="auto" w:fill="FFFF00"/>
            <w:vAlign w:val="center"/>
          </w:tcPr>
          <w:p w:rsidR="00845B07" w:rsidRPr="00F112A1" w:rsidRDefault="00845B07" w:rsidP="00845B07">
            <w:pPr>
              <w:jc w:val="center"/>
              <w:rPr>
                <w:rFonts w:asciiTheme="minorHAnsi" w:hAnsiTheme="minorHAnsi" w:cstheme="minorHAnsi"/>
                <w:b/>
                <w:sz w:val="18"/>
                <w:szCs w:val="18"/>
              </w:rPr>
            </w:pPr>
            <w:r w:rsidRPr="00F112A1">
              <w:rPr>
                <w:rFonts w:asciiTheme="minorHAnsi" w:hAnsiTheme="minorHAnsi" w:cstheme="minorHAnsi"/>
                <w:b/>
                <w:sz w:val="18"/>
                <w:szCs w:val="18"/>
              </w:rPr>
              <w:t>Účelový zdroj</w:t>
            </w:r>
          </w:p>
        </w:tc>
        <w:tc>
          <w:tcPr>
            <w:tcW w:w="857"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845B07" w:rsidRPr="00F112A1" w:rsidRDefault="00F112A1" w:rsidP="00845B07">
            <w:pPr>
              <w:jc w:val="center"/>
              <w:rPr>
                <w:rFonts w:asciiTheme="minorHAnsi" w:hAnsiTheme="minorHAnsi" w:cstheme="minorHAnsi"/>
                <w:b/>
                <w:sz w:val="18"/>
                <w:szCs w:val="18"/>
              </w:rPr>
            </w:pPr>
            <w:r w:rsidRPr="00F112A1">
              <w:rPr>
                <w:rFonts w:asciiTheme="minorHAnsi" w:hAnsiTheme="minorHAnsi" w:cstheme="minorHAnsi"/>
                <w:b/>
                <w:sz w:val="18"/>
                <w:szCs w:val="18"/>
              </w:rPr>
              <w:t>UR</w:t>
            </w:r>
            <w:r w:rsidR="00845B07" w:rsidRPr="00F112A1">
              <w:rPr>
                <w:rFonts w:asciiTheme="minorHAnsi" w:hAnsiTheme="minorHAnsi" w:cstheme="minorHAnsi"/>
                <w:b/>
                <w:sz w:val="18"/>
                <w:szCs w:val="18"/>
              </w:rPr>
              <w:t xml:space="preserve"> v tis. Kč</w:t>
            </w:r>
          </w:p>
        </w:tc>
        <w:tc>
          <w:tcPr>
            <w:tcW w:w="1067" w:type="dxa"/>
            <w:gridSpan w:val="5"/>
            <w:tcBorders>
              <w:top w:val="single" w:sz="4" w:space="0" w:color="auto"/>
              <w:left w:val="single" w:sz="4" w:space="0" w:color="auto"/>
              <w:bottom w:val="single" w:sz="4" w:space="0" w:color="auto"/>
              <w:right w:val="single" w:sz="4" w:space="0" w:color="auto"/>
            </w:tcBorders>
            <w:shd w:val="clear" w:color="auto" w:fill="FFFF00"/>
            <w:vAlign w:val="center"/>
          </w:tcPr>
          <w:p w:rsidR="00845B07" w:rsidRPr="00F112A1" w:rsidRDefault="00845B07" w:rsidP="00845B07">
            <w:pPr>
              <w:jc w:val="center"/>
              <w:rPr>
                <w:rFonts w:asciiTheme="minorHAnsi" w:hAnsiTheme="minorHAnsi" w:cstheme="minorHAnsi"/>
                <w:b/>
                <w:sz w:val="18"/>
                <w:szCs w:val="18"/>
              </w:rPr>
            </w:pPr>
            <w:r w:rsidRPr="00F112A1">
              <w:rPr>
                <w:rFonts w:asciiTheme="minorHAnsi" w:hAnsiTheme="minorHAnsi" w:cstheme="minorHAnsi"/>
                <w:b/>
                <w:sz w:val="18"/>
                <w:szCs w:val="18"/>
              </w:rPr>
              <w:t>Skutečnost v tis. Kč</w:t>
            </w:r>
          </w:p>
        </w:tc>
        <w:tc>
          <w:tcPr>
            <w:tcW w:w="4319" w:type="dxa"/>
            <w:gridSpan w:val="11"/>
            <w:tcBorders>
              <w:top w:val="single" w:sz="4" w:space="0" w:color="auto"/>
              <w:left w:val="single" w:sz="4" w:space="0" w:color="auto"/>
              <w:bottom w:val="single" w:sz="4" w:space="0" w:color="auto"/>
              <w:right w:val="single" w:sz="4" w:space="0" w:color="auto"/>
            </w:tcBorders>
            <w:shd w:val="clear" w:color="auto" w:fill="FFFF00"/>
            <w:vAlign w:val="center"/>
          </w:tcPr>
          <w:p w:rsidR="00845B07" w:rsidRPr="00F112A1" w:rsidRDefault="00845B07" w:rsidP="00845B07">
            <w:pPr>
              <w:jc w:val="center"/>
              <w:rPr>
                <w:rFonts w:asciiTheme="minorHAnsi" w:hAnsiTheme="minorHAnsi" w:cstheme="minorHAnsi"/>
                <w:b/>
                <w:sz w:val="18"/>
                <w:szCs w:val="18"/>
              </w:rPr>
            </w:pPr>
            <w:r w:rsidRPr="00F112A1">
              <w:rPr>
                <w:rFonts w:asciiTheme="minorHAnsi" w:hAnsiTheme="minorHAnsi" w:cstheme="minorHAnsi"/>
                <w:b/>
                <w:sz w:val="18"/>
                <w:szCs w:val="18"/>
              </w:rPr>
              <w:t>Komentář</w:t>
            </w:r>
          </w:p>
        </w:tc>
      </w:tr>
      <w:tr w:rsidR="00845B07" w:rsidRPr="00F112A1" w:rsidTr="00F112A1">
        <w:trPr>
          <w:gridAfter w:val="1"/>
          <w:wAfter w:w="64" w:type="dxa"/>
        </w:trPr>
        <w:tc>
          <w:tcPr>
            <w:tcW w:w="850" w:type="dxa"/>
            <w:gridSpan w:val="2"/>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003412</w:t>
            </w:r>
          </w:p>
        </w:tc>
        <w:tc>
          <w:tcPr>
            <w:tcW w:w="640" w:type="dxa"/>
            <w:gridSpan w:val="2"/>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5137</w:t>
            </w:r>
          </w:p>
        </w:tc>
        <w:tc>
          <w:tcPr>
            <w:tcW w:w="1417" w:type="dxa"/>
            <w:gridSpan w:val="6"/>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0500000000000</w:t>
            </w:r>
          </w:p>
        </w:tc>
        <w:tc>
          <w:tcPr>
            <w:tcW w:w="770" w:type="dxa"/>
            <w:gridSpan w:val="5"/>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p>
        </w:tc>
        <w:tc>
          <w:tcPr>
            <w:tcW w:w="857" w:type="dxa"/>
            <w:gridSpan w:val="4"/>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100,00</w:t>
            </w:r>
          </w:p>
        </w:tc>
        <w:tc>
          <w:tcPr>
            <w:tcW w:w="1067" w:type="dxa"/>
            <w:gridSpan w:val="5"/>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0,00</w:t>
            </w:r>
          </w:p>
        </w:tc>
        <w:tc>
          <w:tcPr>
            <w:tcW w:w="4319" w:type="dxa"/>
            <w:gridSpan w:val="11"/>
            <w:tcBorders>
              <w:top w:val="single" w:sz="4" w:space="0" w:color="auto"/>
              <w:left w:val="single" w:sz="4" w:space="0" w:color="auto"/>
              <w:bottom w:val="single" w:sz="4" w:space="0" w:color="auto"/>
              <w:right w:val="single" w:sz="4" w:space="0" w:color="auto"/>
            </w:tcBorders>
          </w:tcPr>
          <w:p w:rsidR="00845B07" w:rsidRPr="00F112A1" w:rsidRDefault="00845B07" w:rsidP="00845B07">
            <w:pPr>
              <w:rPr>
                <w:rFonts w:asciiTheme="minorHAnsi" w:hAnsiTheme="minorHAnsi" w:cstheme="minorHAnsi"/>
                <w:b/>
                <w:sz w:val="18"/>
                <w:szCs w:val="18"/>
                <w:u w:val="single"/>
              </w:rPr>
            </w:pPr>
            <w:r w:rsidRPr="00F112A1">
              <w:rPr>
                <w:rFonts w:asciiTheme="minorHAnsi" w:hAnsiTheme="minorHAnsi" w:cstheme="minorHAnsi"/>
                <w:b/>
                <w:sz w:val="18"/>
                <w:szCs w:val="18"/>
                <w:u w:val="single"/>
              </w:rPr>
              <w:t>Drobný hmotný dlouhodobý majetek:</w:t>
            </w:r>
          </w:p>
          <w:p w:rsidR="00845B07" w:rsidRPr="00F112A1" w:rsidRDefault="00845B07" w:rsidP="00845B07">
            <w:pPr>
              <w:rPr>
                <w:rFonts w:asciiTheme="minorHAnsi" w:hAnsiTheme="minorHAnsi" w:cstheme="minorHAnsi"/>
                <w:sz w:val="18"/>
                <w:szCs w:val="18"/>
              </w:rPr>
            </w:pPr>
            <w:r w:rsidRPr="00F112A1">
              <w:rPr>
                <w:rFonts w:asciiTheme="minorHAnsi" w:hAnsiTheme="minorHAnsi" w:cstheme="minorHAnsi"/>
                <w:sz w:val="18"/>
                <w:szCs w:val="18"/>
              </w:rPr>
              <w:t>Fin.</w:t>
            </w:r>
            <w:r w:rsidR="00F112A1">
              <w:rPr>
                <w:rFonts w:asciiTheme="minorHAnsi" w:hAnsiTheme="minorHAnsi" w:cstheme="minorHAnsi"/>
                <w:sz w:val="18"/>
                <w:szCs w:val="18"/>
              </w:rPr>
              <w:t xml:space="preserve"> </w:t>
            </w:r>
            <w:r w:rsidRPr="00F112A1">
              <w:rPr>
                <w:rFonts w:asciiTheme="minorHAnsi" w:hAnsiTheme="minorHAnsi" w:cstheme="minorHAnsi"/>
                <w:sz w:val="18"/>
                <w:szCs w:val="18"/>
              </w:rPr>
              <w:t>prostředky na nákup přenosných branek dle požadavku DSP, s.r.o. – nebylo realizováno.</w:t>
            </w:r>
          </w:p>
        </w:tc>
      </w:tr>
      <w:tr w:rsidR="00845B07" w:rsidRPr="00F112A1" w:rsidTr="00F112A1">
        <w:trPr>
          <w:gridAfter w:val="1"/>
          <w:wAfter w:w="64" w:type="dxa"/>
        </w:trPr>
        <w:tc>
          <w:tcPr>
            <w:tcW w:w="850" w:type="dxa"/>
            <w:gridSpan w:val="2"/>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003639</w:t>
            </w:r>
          </w:p>
        </w:tc>
        <w:tc>
          <w:tcPr>
            <w:tcW w:w="640" w:type="dxa"/>
            <w:gridSpan w:val="2"/>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5139</w:t>
            </w:r>
          </w:p>
        </w:tc>
        <w:tc>
          <w:tcPr>
            <w:tcW w:w="1417" w:type="dxa"/>
            <w:gridSpan w:val="6"/>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0500000000000</w:t>
            </w:r>
          </w:p>
        </w:tc>
        <w:tc>
          <w:tcPr>
            <w:tcW w:w="770" w:type="dxa"/>
            <w:gridSpan w:val="5"/>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p>
        </w:tc>
        <w:tc>
          <w:tcPr>
            <w:tcW w:w="857" w:type="dxa"/>
            <w:gridSpan w:val="4"/>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50,00</w:t>
            </w:r>
          </w:p>
        </w:tc>
        <w:tc>
          <w:tcPr>
            <w:tcW w:w="1067" w:type="dxa"/>
            <w:gridSpan w:val="5"/>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8,42</w:t>
            </w:r>
          </w:p>
        </w:tc>
        <w:tc>
          <w:tcPr>
            <w:tcW w:w="4319" w:type="dxa"/>
            <w:gridSpan w:val="11"/>
            <w:tcBorders>
              <w:top w:val="single" w:sz="4" w:space="0" w:color="auto"/>
              <w:left w:val="single" w:sz="4" w:space="0" w:color="auto"/>
              <w:bottom w:val="single" w:sz="4" w:space="0" w:color="auto"/>
              <w:right w:val="single" w:sz="4" w:space="0" w:color="auto"/>
            </w:tcBorders>
          </w:tcPr>
          <w:p w:rsidR="00845B07" w:rsidRPr="00F112A1" w:rsidRDefault="00845B07" w:rsidP="00845B07">
            <w:pPr>
              <w:rPr>
                <w:rFonts w:asciiTheme="minorHAnsi" w:hAnsiTheme="minorHAnsi" w:cstheme="minorHAnsi"/>
                <w:b/>
                <w:sz w:val="18"/>
                <w:szCs w:val="18"/>
                <w:u w:val="single"/>
              </w:rPr>
            </w:pPr>
            <w:r w:rsidRPr="00F112A1">
              <w:rPr>
                <w:rFonts w:asciiTheme="minorHAnsi" w:hAnsiTheme="minorHAnsi" w:cstheme="minorHAnsi"/>
                <w:b/>
                <w:sz w:val="18"/>
                <w:szCs w:val="18"/>
                <w:u w:val="single"/>
              </w:rPr>
              <w:t>Nákup materiálu jinde nezařazený:</w:t>
            </w:r>
          </w:p>
          <w:p w:rsidR="00845B07" w:rsidRPr="00F112A1" w:rsidRDefault="00845B07" w:rsidP="00845B07">
            <w:pPr>
              <w:rPr>
                <w:rFonts w:asciiTheme="minorHAnsi" w:hAnsiTheme="minorHAnsi" w:cstheme="minorHAnsi"/>
                <w:sz w:val="18"/>
                <w:szCs w:val="18"/>
              </w:rPr>
            </w:pPr>
            <w:r w:rsidRPr="00F112A1">
              <w:rPr>
                <w:rFonts w:asciiTheme="minorHAnsi" w:hAnsiTheme="minorHAnsi" w:cstheme="minorHAnsi"/>
                <w:sz w:val="18"/>
                <w:szCs w:val="18"/>
              </w:rPr>
              <w:t>Čerpání dle skutečné potřeby.</w:t>
            </w:r>
          </w:p>
        </w:tc>
      </w:tr>
      <w:tr w:rsidR="00845B07" w:rsidRPr="00F112A1" w:rsidTr="00F112A1">
        <w:trPr>
          <w:gridAfter w:val="1"/>
          <w:wAfter w:w="64" w:type="dxa"/>
        </w:trPr>
        <w:tc>
          <w:tcPr>
            <w:tcW w:w="850" w:type="dxa"/>
            <w:gridSpan w:val="2"/>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003639</w:t>
            </w:r>
          </w:p>
        </w:tc>
        <w:tc>
          <w:tcPr>
            <w:tcW w:w="640" w:type="dxa"/>
            <w:gridSpan w:val="2"/>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5169</w:t>
            </w:r>
          </w:p>
        </w:tc>
        <w:tc>
          <w:tcPr>
            <w:tcW w:w="1417" w:type="dxa"/>
            <w:gridSpan w:val="6"/>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050000000000</w:t>
            </w:r>
          </w:p>
        </w:tc>
        <w:tc>
          <w:tcPr>
            <w:tcW w:w="770" w:type="dxa"/>
            <w:gridSpan w:val="5"/>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p>
        </w:tc>
        <w:tc>
          <w:tcPr>
            <w:tcW w:w="857" w:type="dxa"/>
            <w:gridSpan w:val="4"/>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1 933,90</w:t>
            </w:r>
          </w:p>
        </w:tc>
        <w:tc>
          <w:tcPr>
            <w:tcW w:w="1067" w:type="dxa"/>
            <w:gridSpan w:val="5"/>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1 131,35</w:t>
            </w:r>
          </w:p>
        </w:tc>
        <w:tc>
          <w:tcPr>
            <w:tcW w:w="4319" w:type="dxa"/>
            <w:gridSpan w:val="11"/>
            <w:tcBorders>
              <w:top w:val="single" w:sz="4" w:space="0" w:color="auto"/>
              <w:left w:val="single" w:sz="4" w:space="0" w:color="auto"/>
              <w:bottom w:val="single" w:sz="4" w:space="0" w:color="auto"/>
              <w:right w:val="single" w:sz="4" w:space="0" w:color="auto"/>
            </w:tcBorders>
          </w:tcPr>
          <w:p w:rsidR="00845B07" w:rsidRPr="00F112A1" w:rsidRDefault="00845B07" w:rsidP="00845B07">
            <w:pPr>
              <w:rPr>
                <w:rFonts w:asciiTheme="minorHAnsi" w:hAnsiTheme="minorHAnsi" w:cstheme="minorHAnsi"/>
                <w:b/>
                <w:sz w:val="18"/>
                <w:szCs w:val="18"/>
                <w:u w:val="single"/>
              </w:rPr>
            </w:pPr>
            <w:r w:rsidRPr="00F112A1">
              <w:rPr>
                <w:rFonts w:asciiTheme="minorHAnsi" w:hAnsiTheme="minorHAnsi" w:cstheme="minorHAnsi"/>
                <w:b/>
                <w:sz w:val="18"/>
                <w:szCs w:val="18"/>
                <w:u w:val="single"/>
              </w:rPr>
              <w:t>Nákup ostatních služeb:</w:t>
            </w:r>
          </w:p>
          <w:p w:rsidR="00845B07" w:rsidRPr="00F112A1" w:rsidRDefault="00845B07" w:rsidP="00845B07">
            <w:pPr>
              <w:rPr>
                <w:rFonts w:asciiTheme="minorHAnsi" w:hAnsiTheme="minorHAnsi" w:cstheme="minorHAnsi"/>
                <w:sz w:val="18"/>
                <w:szCs w:val="18"/>
              </w:rPr>
            </w:pPr>
            <w:r w:rsidRPr="00F112A1">
              <w:rPr>
                <w:rFonts w:asciiTheme="minorHAnsi" w:hAnsiTheme="minorHAnsi" w:cstheme="minorHAnsi"/>
                <w:sz w:val="18"/>
                <w:szCs w:val="18"/>
              </w:rPr>
              <w:t>OSÚMM objednává služby během roku dle aktuální potřeby. Čerpání j</w:t>
            </w:r>
            <w:r w:rsidR="00F112A1">
              <w:rPr>
                <w:rFonts w:asciiTheme="minorHAnsi" w:hAnsiTheme="minorHAnsi" w:cstheme="minorHAnsi"/>
                <w:sz w:val="18"/>
                <w:szCs w:val="18"/>
              </w:rPr>
              <w:t>e dle skutečně objednaných a </w:t>
            </w:r>
            <w:r w:rsidRPr="00F112A1">
              <w:rPr>
                <w:rFonts w:asciiTheme="minorHAnsi" w:hAnsiTheme="minorHAnsi" w:cstheme="minorHAnsi"/>
                <w:sz w:val="18"/>
                <w:szCs w:val="18"/>
              </w:rPr>
              <w:t>provedených prací.</w:t>
            </w:r>
          </w:p>
        </w:tc>
      </w:tr>
      <w:tr w:rsidR="00845B07" w:rsidRPr="00F112A1" w:rsidTr="00F112A1">
        <w:trPr>
          <w:gridAfter w:val="1"/>
          <w:wAfter w:w="64" w:type="dxa"/>
        </w:trPr>
        <w:tc>
          <w:tcPr>
            <w:tcW w:w="850" w:type="dxa"/>
            <w:gridSpan w:val="2"/>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003639</w:t>
            </w:r>
          </w:p>
        </w:tc>
        <w:tc>
          <w:tcPr>
            <w:tcW w:w="640" w:type="dxa"/>
            <w:gridSpan w:val="2"/>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5171</w:t>
            </w:r>
          </w:p>
        </w:tc>
        <w:tc>
          <w:tcPr>
            <w:tcW w:w="1417" w:type="dxa"/>
            <w:gridSpan w:val="6"/>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0500000000000</w:t>
            </w:r>
          </w:p>
        </w:tc>
        <w:tc>
          <w:tcPr>
            <w:tcW w:w="770" w:type="dxa"/>
            <w:gridSpan w:val="5"/>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p>
        </w:tc>
        <w:tc>
          <w:tcPr>
            <w:tcW w:w="857" w:type="dxa"/>
            <w:gridSpan w:val="4"/>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1 000,00</w:t>
            </w:r>
          </w:p>
        </w:tc>
        <w:tc>
          <w:tcPr>
            <w:tcW w:w="1067" w:type="dxa"/>
            <w:gridSpan w:val="5"/>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639,11</w:t>
            </w:r>
          </w:p>
        </w:tc>
        <w:tc>
          <w:tcPr>
            <w:tcW w:w="4319" w:type="dxa"/>
            <w:gridSpan w:val="11"/>
            <w:tcBorders>
              <w:top w:val="single" w:sz="4" w:space="0" w:color="auto"/>
              <w:left w:val="single" w:sz="4" w:space="0" w:color="auto"/>
              <w:bottom w:val="single" w:sz="4" w:space="0" w:color="auto"/>
              <w:right w:val="single" w:sz="4" w:space="0" w:color="auto"/>
            </w:tcBorders>
          </w:tcPr>
          <w:p w:rsidR="00845B07" w:rsidRPr="00F112A1" w:rsidRDefault="00845B07" w:rsidP="00845B07">
            <w:pPr>
              <w:rPr>
                <w:rFonts w:asciiTheme="minorHAnsi" w:hAnsiTheme="minorHAnsi" w:cstheme="minorHAnsi"/>
                <w:b/>
                <w:sz w:val="18"/>
                <w:szCs w:val="18"/>
                <w:u w:val="single"/>
              </w:rPr>
            </w:pPr>
            <w:r w:rsidRPr="00F112A1">
              <w:rPr>
                <w:rFonts w:asciiTheme="minorHAnsi" w:hAnsiTheme="minorHAnsi" w:cstheme="minorHAnsi"/>
                <w:b/>
                <w:sz w:val="18"/>
                <w:szCs w:val="18"/>
                <w:u w:val="single"/>
              </w:rPr>
              <w:t>Opravy a udržování:</w:t>
            </w:r>
          </w:p>
          <w:p w:rsidR="00845B07" w:rsidRPr="00F112A1" w:rsidRDefault="00845B07" w:rsidP="00845B07">
            <w:pPr>
              <w:rPr>
                <w:rFonts w:asciiTheme="minorHAnsi" w:hAnsiTheme="minorHAnsi" w:cstheme="minorHAnsi"/>
                <w:sz w:val="18"/>
                <w:szCs w:val="18"/>
              </w:rPr>
            </w:pPr>
            <w:r w:rsidRPr="00F112A1">
              <w:rPr>
                <w:rFonts w:asciiTheme="minorHAnsi" w:hAnsiTheme="minorHAnsi" w:cstheme="minorHAnsi"/>
                <w:sz w:val="18"/>
                <w:szCs w:val="18"/>
              </w:rPr>
              <w:t>Čerpání dle aktuální potřeby oprav a údržby v oblasti působnosti odboru.</w:t>
            </w:r>
          </w:p>
        </w:tc>
      </w:tr>
      <w:tr w:rsidR="00845B07" w:rsidRPr="00F112A1" w:rsidTr="00F112A1">
        <w:trPr>
          <w:gridAfter w:val="1"/>
          <w:wAfter w:w="64" w:type="dxa"/>
        </w:trPr>
        <w:tc>
          <w:tcPr>
            <w:tcW w:w="850" w:type="dxa"/>
            <w:gridSpan w:val="2"/>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003639</w:t>
            </w:r>
          </w:p>
        </w:tc>
        <w:tc>
          <w:tcPr>
            <w:tcW w:w="640" w:type="dxa"/>
            <w:gridSpan w:val="2"/>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5361</w:t>
            </w:r>
          </w:p>
        </w:tc>
        <w:tc>
          <w:tcPr>
            <w:tcW w:w="1417" w:type="dxa"/>
            <w:gridSpan w:val="6"/>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0500000000000</w:t>
            </w:r>
          </w:p>
        </w:tc>
        <w:tc>
          <w:tcPr>
            <w:tcW w:w="770" w:type="dxa"/>
            <w:gridSpan w:val="5"/>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p>
        </w:tc>
        <w:tc>
          <w:tcPr>
            <w:tcW w:w="857" w:type="dxa"/>
            <w:gridSpan w:val="4"/>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30,00</w:t>
            </w:r>
          </w:p>
        </w:tc>
        <w:tc>
          <w:tcPr>
            <w:tcW w:w="1067" w:type="dxa"/>
            <w:gridSpan w:val="5"/>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22,06</w:t>
            </w:r>
          </w:p>
        </w:tc>
        <w:tc>
          <w:tcPr>
            <w:tcW w:w="4319" w:type="dxa"/>
            <w:gridSpan w:val="11"/>
            <w:tcBorders>
              <w:top w:val="single" w:sz="4" w:space="0" w:color="auto"/>
              <w:left w:val="single" w:sz="4" w:space="0" w:color="auto"/>
              <w:bottom w:val="single" w:sz="4" w:space="0" w:color="auto"/>
              <w:right w:val="single" w:sz="4" w:space="0" w:color="auto"/>
            </w:tcBorders>
          </w:tcPr>
          <w:p w:rsidR="00845B07" w:rsidRPr="00F112A1" w:rsidRDefault="00845B07" w:rsidP="00845B07">
            <w:pPr>
              <w:rPr>
                <w:rFonts w:asciiTheme="minorHAnsi" w:hAnsiTheme="minorHAnsi" w:cstheme="minorHAnsi"/>
                <w:b/>
                <w:sz w:val="18"/>
                <w:szCs w:val="18"/>
                <w:u w:val="single"/>
              </w:rPr>
            </w:pPr>
            <w:r w:rsidRPr="00F112A1">
              <w:rPr>
                <w:rFonts w:asciiTheme="minorHAnsi" w:hAnsiTheme="minorHAnsi" w:cstheme="minorHAnsi"/>
                <w:b/>
                <w:sz w:val="18"/>
                <w:szCs w:val="18"/>
                <w:u w:val="single"/>
              </w:rPr>
              <w:t>Nákup kolků:</w:t>
            </w:r>
          </w:p>
          <w:p w:rsidR="00845B07" w:rsidRPr="00F112A1" w:rsidRDefault="00845B07" w:rsidP="00845B07">
            <w:pPr>
              <w:rPr>
                <w:rFonts w:asciiTheme="minorHAnsi" w:hAnsiTheme="minorHAnsi" w:cstheme="minorHAnsi"/>
                <w:sz w:val="18"/>
                <w:szCs w:val="18"/>
              </w:rPr>
            </w:pPr>
            <w:r w:rsidRPr="00F112A1">
              <w:rPr>
                <w:rFonts w:asciiTheme="minorHAnsi" w:hAnsiTheme="minorHAnsi" w:cstheme="minorHAnsi"/>
                <w:sz w:val="18"/>
                <w:szCs w:val="18"/>
              </w:rPr>
              <w:t>Čerpání dle aktuální potřeby.</w:t>
            </w:r>
          </w:p>
        </w:tc>
      </w:tr>
      <w:tr w:rsidR="00845B07" w:rsidRPr="00F112A1" w:rsidTr="00F112A1">
        <w:trPr>
          <w:gridAfter w:val="1"/>
          <w:wAfter w:w="64" w:type="dxa"/>
        </w:trPr>
        <w:tc>
          <w:tcPr>
            <w:tcW w:w="850" w:type="dxa"/>
            <w:gridSpan w:val="2"/>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003639</w:t>
            </w:r>
          </w:p>
        </w:tc>
        <w:tc>
          <w:tcPr>
            <w:tcW w:w="640" w:type="dxa"/>
            <w:gridSpan w:val="2"/>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6121</w:t>
            </w:r>
          </w:p>
        </w:tc>
        <w:tc>
          <w:tcPr>
            <w:tcW w:w="1417" w:type="dxa"/>
            <w:gridSpan w:val="6"/>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0500000000000</w:t>
            </w:r>
          </w:p>
        </w:tc>
        <w:tc>
          <w:tcPr>
            <w:tcW w:w="770" w:type="dxa"/>
            <w:gridSpan w:val="5"/>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1</w:t>
            </w:r>
          </w:p>
        </w:tc>
        <w:tc>
          <w:tcPr>
            <w:tcW w:w="857" w:type="dxa"/>
            <w:gridSpan w:val="4"/>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88,09</w:t>
            </w:r>
          </w:p>
        </w:tc>
        <w:tc>
          <w:tcPr>
            <w:tcW w:w="1067" w:type="dxa"/>
            <w:gridSpan w:val="5"/>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72,8</w:t>
            </w:r>
          </w:p>
        </w:tc>
        <w:tc>
          <w:tcPr>
            <w:tcW w:w="4319" w:type="dxa"/>
            <w:gridSpan w:val="11"/>
            <w:tcBorders>
              <w:top w:val="single" w:sz="4" w:space="0" w:color="auto"/>
              <w:left w:val="single" w:sz="4" w:space="0" w:color="auto"/>
              <w:bottom w:val="single" w:sz="4" w:space="0" w:color="auto"/>
              <w:right w:val="single" w:sz="4" w:space="0" w:color="auto"/>
            </w:tcBorders>
          </w:tcPr>
          <w:p w:rsidR="00845B07" w:rsidRPr="00F112A1" w:rsidRDefault="00845B07" w:rsidP="00845B07">
            <w:pPr>
              <w:rPr>
                <w:rFonts w:asciiTheme="minorHAnsi" w:hAnsiTheme="minorHAnsi" w:cstheme="minorHAnsi"/>
                <w:b/>
                <w:sz w:val="18"/>
                <w:szCs w:val="18"/>
                <w:u w:val="single"/>
              </w:rPr>
            </w:pPr>
            <w:r w:rsidRPr="00F112A1">
              <w:rPr>
                <w:rFonts w:asciiTheme="minorHAnsi" w:hAnsiTheme="minorHAnsi" w:cstheme="minorHAnsi"/>
                <w:b/>
                <w:sz w:val="18"/>
                <w:szCs w:val="18"/>
                <w:u w:val="single"/>
              </w:rPr>
              <w:t>Stavby:</w:t>
            </w:r>
          </w:p>
          <w:p w:rsidR="00845B07" w:rsidRPr="00F112A1" w:rsidRDefault="00845B07" w:rsidP="00845B07">
            <w:pPr>
              <w:rPr>
                <w:rFonts w:asciiTheme="minorHAnsi" w:hAnsiTheme="minorHAnsi" w:cstheme="minorHAnsi"/>
                <w:sz w:val="18"/>
                <w:szCs w:val="18"/>
              </w:rPr>
            </w:pPr>
            <w:r w:rsidRPr="00F112A1">
              <w:rPr>
                <w:rFonts w:asciiTheme="minorHAnsi" w:hAnsiTheme="minorHAnsi" w:cstheme="minorHAnsi"/>
                <w:sz w:val="18"/>
                <w:szCs w:val="18"/>
              </w:rPr>
              <w:t>Informační deska k soše Jiřího Wolkra – oproti původní nabídce d</w:t>
            </w:r>
            <w:r w:rsidR="00F112A1">
              <w:rPr>
                <w:rFonts w:asciiTheme="minorHAnsi" w:hAnsiTheme="minorHAnsi" w:cstheme="minorHAnsi"/>
                <w:sz w:val="18"/>
                <w:szCs w:val="18"/>
              </w:rPr>
              <w:t>ošlo k úspoře finančních prostředků.</w:t>
            </w:r>
          </w:p>
        </w:tc>
      </w:tr>
      <w:tr w:rsidR="00845B07" w:rsidRPr="00F112A1" w:rsidTr="00F112A1">
        <w:trPr>
          <w:gridAfter w:val="1"/>
          <w:wAfter w:w="64" w:type="dxa"/>
        </w:trPr>
        <w:tc>
          <w:tcPr>
            <w:tcW w:w="850" w:type="dxa"/>
            <w:gridSpan w:val="2"/>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003793</w:t>
            </w:r>
          </w:p>
        </w:tc>
        <w:tc>
          <w:tcPr>
            <w:tcW w:w="640" w:type="dxa"/>
            <w:gridSpan w:val="2"/>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5169</w:t>
            </w:r>
          </w:p>
        </w:tc>
        <w:tc>
          <w:tcPr>
            <w:tcW w:w="1417" w:type="dxa"/>
            <w:gridSpan w:val="6"/>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0500000000000</w:t>
            </w:r>
          </w:p>
        </w:tc>
        <w:tc>
          <w:tcPr>
            <w:tcW w:w="770" w:type="dxa"/>
            <w:gridSpan w:val="5"/>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p>
        </w:tc>
        <w:tc>
          <w:tcPr>
            <w:tcW w:w="857" w:type="dxa"/>
            <w:gridSpan w:val="4"/>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2 000,00</w:t>
            </w:r>
          </w:p>
        </w:tc>
        <w:tc>
          <w:tcPr>
            <w:tcW w:w="1067" w:type="dxa"/>
            <w:gridSpan w:val="5"/>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1 595,51</w:t>
            </w:r>
          </w:p>
        </w:tc>
        <w:tc>
          <w:tcPr>
            <w:tcW w:w="4319" w:type="dxa"/>
            <w:gridSpan w:val="11"/>
            <w:tcBorders>
              <w:top w:val="single" w:sz="4" w:space="0" w:color="auto"/>
              <w:left w:val="single" w:sz="4" w:space="0" w:color="auto"/>
              <w:bottom w:val="single" w:sz="4" w:space="0" w:color="auto"/>
              <w:right w:val="single" w:sz="4" w:space="0" w:color="auto"/>
            </w:tcBorders>
          </w:tcPr>
          <w:p w:rsidR="00845B07" w:rsidRPr="00F112A1" w:rsidRDefault="00845B07" w:rsidP="00845B07">
            <w:pPr>
              <w:rPr>
                <w:rFonts w:asciiTheme="minorHAnsi" w:hAnsiTheme="minorHAnsi" w:cstheme="minorHAnsi"/>
                <w:b/>
                <w:sz w:val="18"/>
                <w:szCs w:val="18"/>
                <w:u w:val="single"/>
              </w:rPr>
            </w:pPr>
            <w:r w:rsidRPr="00F112A1">
              <w:rPr>
                <w:rFonts w:asciiTheme="minorHAnsi" w:hAnsiTheme="minorHAnsi" w:cstheme="minorHAnsi"/>
                <w:b/>
                <w:sz w:val="18"/>
                <w:szCs w:val="18"/>
                <w:u w:val="single"/>
              </w:rPr>
              <w:t>Nákup ostatních služeb:</w:t>
            </w:r>
          </w:p>
          <w:p w:rsidR="00845B07" w:rsidRPr="00F112A1" w:rsidRDefault="00845B07" w:rsidP="00845B07">
            <w:pPr>
              <w:rPr>
                <w:rFonts w:asciiTheme="minorHAnsi" w:hAnsiTheme="minorHAnsi" w:cstheme="minorHAnsi"/>
                <w:sz w:val="18"/>
                <w:szCs w:val="18"/>
              </w:rPr>
            </w:pPr>
            <w:r w:rsidRPr="00F112A1">
              <w:rPr>
                <w:rFonts w:asciiTheme="minorHAnsi" w:hAnsiTheme="minorHAnsi" w:cstheme="minorHAnsi"/>
                <w:sz w:val="18"/>
                <w:szCs w:val="18"/>
              </w:rPr>
              <w:t>Sdílení kol – úhrady na základě skutečně fakturovaných služeb dodavatelem.</w:t>
            </w:r>
          </w:p>
        </w:tc>
      </w:tr>
      <w:tr w:rsidR="00845B07" w:rsidRPr="00F112A1" w:rsidTr="00F112A1">
        <w:trPr>
          <w:gridAfter w:val="1"/>
          <w:wAfter w:w="64" w:type="dxa"/>
        </w:trPr>
        <w:tc>
          <w:tcPr>
            <w:tcW w:w="850" w:type="dxa"/>
            <w:gridSpan w:val="2"/>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006409</w:t>
            </w:r>
          </w:p>
        </w:tc>
        <w:tc>
          <w:tcPr>
            <w:tcW w:w="640" w:type="dxa"/>
            <w:gridSpan w:val="2"/>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5164</w:t>
            </w:r>
          </w:p>
        </w:tc>
        <w:tc>
          <w:tcPr>
            <w:tcW w:w="1417" w:type="dxa"/>
            <w:gridSpan w:val="6"/>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0500000000000</w:t>
            </w:r>
          </w:p>
        </w:tc>
        <w:tc>
          <w:tcPr>
            <w:tcW w:w="770" w:type="dxa"/>
            <w:gridSpan w:val="5"/>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p>
        </w:tc>
        <w:tc>
          <w:tcPr>
            <w:tcW w:w="857" w:type="dxa"/>
            <w:gridSpan w:val="4"/>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550,00</w:t>
            </w:r>
          </w:p>
        </w:tc>
        <w:tc>
          <w:tcPr>
            <w:tcW w:w="1067" w:type="dxa"/>
            <w:gridSpan w:val="5"/>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387,44</w:t>
            </w:r>
          </w:p>
        </w:tc>
        <w:tc>
          <w:tcPr>
            <w:tcW w:w="4319" w:type="dxa"/>
            <w:gridSpan w:val="11"/>
            <w:tcBorders>
              <w:top w:val="single" w:sz="4" w:space="0" w:color="auto"/>
              <w:left w:val="single" w:sz="4" w:space="0" w:color="auto"/>
              <w:bottom w:val="single" w:sz="4" w:space="0" w:color="auto"/>
              <w:right w:val="single" w:sz="4" w:space="0" w:color="auto"/>
            </w:tcBorders>
          </w:tcPr>
          <w:p w:rsidR="00845B07" w:rsidRPr="00F112A1" w:rsidRDefault="00845B07" w:rsidP="00845B07">
            <w:pPr>
              <w:rPr>
                <w:rFonts w:asciiTheme="minorHAnsi" w:hAnsiTheme="minorHAnsi" w:cstheme="minorHAnsi"/>
                <w:b/>
                <w:sz w:val="18"/>
                <w:szCs w:val="18"/>
                <w:u w:val="single"/>
              </w:rPr>
            </w:pPr>
            <w:r w:rsidRPr="00F112A1">
              <w:rPr>
                <w:rFonts w:asciiTheme="minorHAnsi" w:hAnsiTheme="minorHAnsi" w:cstheme="minorHAnsi"/>
                <w:b/>
                <w:sz w:val="18"/>
                <w:szCs w:val="18"/>
                <w:u w:val="single"/>
              </w:rPr>
              <w:t>Nájemné:</w:t>
            </w:r>
          </w:p>
          <w:p w:rsidR="00845B07" w:rsidRPr="00F112A1" w:rsidRDefault="00845B07" w:rsidP="00845B07">
            <w:pPr>
              <w:rPr>
                <w:rFonts w:asciiTheme="minorHAnsi" w:hAnsiTheme="minorHAnsi" w:cstheme="minorHAnsi"/>
                <w:sz w:val="18"/>
                <w:szCs w:val="18"/>
              </w:rPr>
            </w:pPr>
            <w:r w:rsidRPr="00F112A1">
              <w:rPr>
                <w:rFonts w:asciiTheme="minorHAnsi" w:hAnsiTheme="minorHAnsi" w:cstheme="minorHAnsi"/>
                <w:sz w:val="18"/>
                <w:szCs w:val="18"/>
              </w:rPr>
              <w:t>Úhrady nájemného za pozemky cizích vlastníků využívaných městem na základě uzavřených smluv.</w:t>
            </w:r>
          </w:p>
        </w:tc>
      </w:tr>
      <w:tr w:rsidR="00845B07" w:rsidRPr="00F112A1" w:rsidTr="00F112A1">
        <w:trPr>
          <w:gridAfter w:val="1"/>
          <w:wAfter w:w="64" w:type="dxa"/>
        </w:trPr>
        <w:tc>
          <w:tcPr>
            <w:tcW w:w="850" w:type="dxa"/>
            <w:gridSpan w:val="2"/>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006409</w:t>
            </w:r>
          </w:p>
        </w:tc>
        <w:tc>
          <w:tcPr>
            <w:tcW w:w="640" w:type="dxa"/>
            <w:gridSpan w:val="2"/>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6130</w:t>
            </w:r>
          </w:p>
        </w:tc>
        <w:tc>
          <w:tcPr>
            <w:tcW w:w="1417" w:type="dxa"/>
            <w:gridSpan w:val="6"/>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0500000000000</w:t>
            </w:r>
          </w:p>
        </w:tc>
        <w:tc>
          <w:tcPr>
            <w:tcW w:w="770" w:type="dxa"/>
            <w:gridSpan w:val="5"/>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p>
        </w:tc>
        <w:tc>
          <w:tcPr>
            <w:tcW w:w="857" w:type="dxa"/>
            <w:gridSpan w:val="4"/>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4 234,15</w:t>
            </w:r>
          </w:p>
        </w:tc>
        <w:tc>
          <w:tcPr>
            <w:tcW w:w="1067" w:type="dxa"/>
            <w:gridSpan w:val="5"/>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3 765,61</w:t>
            </w:r>
          </w:p>
        </w:tc>
        <w:tc>
          <w:tcPr>
            <w:tcW w:w="4319" w:type="dxa"/>
            <w:gridSpan w:val="11"/>
            <w:tcBorders>
              <w:top w:val="single" w:sz="4" w:space="0" w:color="auto"/>
              <w:left w:val="single" w:sz="4" w:space="0" w:color="auto"/>
              <w:bottom w:val="single" w:sz="4" w:space="0" w:color="auto"/>
              <w:right w:val="single" w:sz="4" w:space="0" w:color="auto"/>
            </w:tcBorders>
          </w:tcPr>
          <w:p w:rsidR="00845B07" w:rsidRPr="00F112A1" w:rsidRDefault="00845B07" w:rsidP="00845B07">
            <w:pPr>
              <w:rPr>
                <w:rFonts w:asciiTheme="minorHAnsi" w:hAnsiTheme="minorHAnsi" w:cstheme="minorHAnsi"/>
                <w:b/>
                <w:sz w:val="18"/>
                <w:szCs w:val="18"/>
                <w:u w:val="single"/>
              </w:rPr>
            </w:pPr>
            <w:r w:rsidRPr="00F112A1">
              <w:rPr>
                <w:rFonts w:asciiTheme="minorHAnsi" w:hAnsiTheme="minorHAnsi" w:cstheme="minorHAnsi"/>
                <w:b/>
                <w:sz w:val="18"/>
                <w:szCs w:val="18"/>
                <w:u w:val="single"/>
              </w:rPr>
              <w:t>Pozemky:</w:t>
            </w:r>
          </w:p>
          <w:p w:rsidR="00845B07" w:rsidRPr="00F112A1" w:rsidRDefault="00845B07" w:rsidP="00845B07">
            <w:pPr>
              <w:rPr>
                <w:rFonts w:asciiTheme="minorHAnsi" w:hAnsiTheme="minorHAnsi" w:cstheme="minorHAnsi"/>
                <w:sz w:val="18"/>
                <w:szCs w:val="18"/>
              </w:rPr>
            </w:pPr>
            <w:r w:rsidRPr="00F112A1">
              <w:rPr>
                <w:rFonts w:asciiTheme="minorHAnsi" w:hAnsiTheme="minorHAnsi" w:cstheme="minorHAnsi"/>
                <w:sz w:val="18"/>
                <w:szCs w:val="18"/>
              </w:rPr>
              <w:t>Výkupy pozemků – nev</w:t>
            </w:r>
            <w:r w:rsidR="00F112A1">
              <w:rPr>
                <w:rFonts w:asciiTheme="minorHAnsi" w:hAnsiTheme="minorHAnsi" w:cstheme="minorHAnsi"/>
                <w:sz w:val="18"/>
                <w:szCs w:val="18"/>
              </w:rPr>
              <w:t>yčerpány finanční prostředky na </w:t>
            </w:r>
            <w:r w:rsidRPr="00F112A1">
              <w:rPr>
                <w:rFonts w:asciiTheme="minorHAnsi" w:hAnsiTheme="minorHAnsi" w:cstheme="minorHAnsi"/>
                <w:sz w:val="18"/>
                <w:szCs w:val="18"/>
              </w:rPr>
              <w:t>schválené výkupy pozemků – do konce roku nebyly uzavřeny kupní smlouvy; bude dokončeno v roce 2023.</w:t>
            </w:r>
          </w:p>
        </w:tc>
      </w:tr>
      <w:tr w:rsidR="00845B07" w:rsidRPr="00F112A1" w:rsidTr="00F112A1">
        <w:trPr>
          <w:gridAfter w:val="1"/>
          <w:wAfter w:w="64" w:type="dxa"/>
        </w:trPr>
        <w:tc>
          <w:tcPr>
            <w:tcW w:w="850" w:type="dxa"/>
            <w:gridSpan w:val="2"/>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003639</w:t>
            </w:r>
          </w:p>
        </w:tc>
        <w:tc>
          <w:tcPr>
            <w:tcW w:w="640" w:type="dxa"/>
            <w:gridSpan w:val="2"/>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5169</w:t>
            </w:r>
          </w:p>
        </w:tc>
        <w:tc>
          <w:tcPr>
            <w:tcW w:w="1417" w:type="dxa"/>
            <w:gridSpan w:val="6"/>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0500000505054</w:t>
            </w:r>
          </w:p>
        </w:tc>
        <w:tc>
          <w:tcPr>
            <w:tcW w:w="770" w:type="dxa"/>
            <w:gridSpan w:val="5"/>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p>
        </w:tc>
        <w:tc>
          <w:tcPr>
            <w:tcW w:w="857" w:type="dxa"/>
            <w:gridSpan w:val="4"/>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1 000,00</w:t>
            </w:r>
          </w:p>
        </w:tc>
        <w:tc>
          <w:tcPr>
            <w:tcW w:w="1067" w:type="dxa"/>
            <w:gridSpan w:val="5"/>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0,00</w:t>
            </w:r>
          </w:p>
        </w:tc>
        <w:tc>
          <w:tcPr>
            <w:tcW w:w="4319" w:type="dxa"/>
            <w:gridSpan w:val="11"/>
            <w:tcBorders>
              <w:top w:val="single" w:sz="4" w:space="0" w:color="auto"/>
              <w:left w:val="single" w:sz="4" w:space="0" w:color="auto"/>
              <w:bottom w:val="single" w:sz="4" w:space="0" w:color="auto"/>
              <w:right w:val="single" w:sz="4" w:space="0" w:color="auto"/>
            </w:tcBorders>
          </w:tcPr>
          <w:p w:rsidR="00845B07" w:rsidRPr="00F112A1" w:rsidRDefault="00845B07" w:rsidP="00845B07">
            <w:pPr>
              <w:rPr>
                <w:rFonts w:asciiTheme="minorHAnsi" w:hAnsiTheme="minorHAnsi" w:cstheme="minorHAnsi"/>
                <w:b/>
                <w:sz w:val="18"/>
                <w:szCs w:val="18"/>
                <w:u w:val="single"/>
              </w:rPr>
            </w:pPr>
            <w:r w:rsidRPr="00F112A1">
              <w:rPr>
                <w:rFonts w:asciiTheme="minorHAnsi" w:hAnsiTheme="minorHAnsi" w:cstheme="minorHAnsi"/>
                <w:b/>
                <w:sz w:val="18"/>
                <w:szCs w:val="18"/>
                <w:u w:val="single"/>
              </w:rPr>
              <w:t>Ostatní nákupy jinde n</w:t>
            </w:r>
            <w:r w:rsidR="00F112A1">
              <w:rPr>
                <w:rFonts w:asciiTheme="minorHAnsi" w:hAnsiTheme="minorHAnsi" w:cstheme="minorHAnsi"/>
                <w:b/>
                <w:sz w:val="18"/>
                <w:szCs w:val="18"/>
                <w:u w:val="single"/>
              </w:rPr>
              <w:t>e</w:t>
            </w:r>
            <w:r w:rsidRPr="00F112A1">
              <w:rPr>
                <w:rFonts w:asciiTheme="minorHAnsi" w:hAnsiTheme="minorHAnsi" w:cstheme="minorHAnsi"/>
                <w:b/>
                <w:sz w:val="18"/>
                <w:szCs w:val="18"/>
                <w:u w:val="single"/>
              </w:rPr>
              <w:t>zařazené:</w:t>
            </w:r>
          </w:p>
          <w:p w:rsidR="00845B07" w:rsidRPr="00F112A1" w:rsidRDefault="00845B07" w:rsidP="00F112A1">
            <w:pPr>
              <w:rPr>
                <w:rFonts w:asciiTheme="minorHAnsi" w:hAnsiTheme="minorHAnsi" w:cstheme="minorHAnsi"/>
                <w:sz w:val="18"/>
                <w:szCs w:val="18"/>
              </w:rPr>
            </w:pPr>
            <w:r w:rsidRPr="00F112A1">
              <w:rPr>
                <w:rFonts w:asciiTheme="minorHAnsi" w:hAnsiTheme="minorHAnsi" w:cstheme="minorHAnsi"/>
                <w:sz w:val="18"/>
                <w:szCs w:val="18"/>
              </w:rPr>
              <w:t>Finanční prostředky schválené na úhradu nákladů spojen</w:t>
            </w:r>
            <w:r w:rsidR="00F112A1">
              <w:rPr>
                <w:rFonts w:asciiTheme="minorHAnsi" w:hAnsiTheme="minorHAnsi" w:cstheme="minorHAnsi"/>
                <w:sz w:val="18"/>
                <w:szCs w:val="18"/>
              </w:rPr>
              <w:t xml:space="preserve">ých s pořízením průkazů energetické </w:t>
            </w:r>
            <w:r w:rsidRPr="00F112A1">
              <w:rPr>
                <w:rFonts w:asciiTheme="minorHAnsi" w:hAnsiTheme="minorHAnsi" w:cstheme="minorHAnsi"/>
                <w:sz w:val="18"/>
                <w:szCs w:val="18"/>
              </w:rPr>
              <w:t xml:space="preserve">náročnosti. Během roku nevyvstala potřeba čerpání. </w:t>
            </w:r>
          </w:p>
        </w:tc>
      </w:tr>
      <w:tr w:rsidR="00845B07" w:rsidRPr="00F112A1" w:rsidTr="00F112A1">
        <w:trPr>
          <w:gridAfter w:val="1"/>
          <w:wAfter w:w="64" w:type="dxa"/>
        </w:trPr>
        <w:tc>
          <w:tcPr>
            <w:tcW w:w="850" w:type="dxa"/>
            <w:gridSpan w:val="2"/>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003412</w:t>
            </w:r>
          </w:p>
        </w:tc>
        <w:tc>
          <w:tcPr>
            <w:tcW w:w="640" w:type="dxa"/>
            <w:gridSpan w:val="2"/>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5151</w:t>
            </w:r>
          </w:p>
        </w:tc>
        <w:tc>
          <w:tcPr>
            <w:tcW w:w="1417" w:type="dxa"/>
            <w:gridSpan w:val="6"/>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0500119000000</w:t>
            </w:r>
          </w:p>
        </w:tc>
        <w:tc>
          <w:tcPr>
            <w:tcW w:w="770" w:type="dxa"/>
            <w:gridSpan w:val="5"/>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p>
        </w:tc>
        <w:tc>
          <w:tcPr>
            <w:tcW w:w="857" w:type="dxa"/>
            <w:gridSpan w:val="4"/>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180,00</w:t>
            </w:r>
          </w:p>
        </w:tc>
        <w:tc>
          <w:tcPr>
            <w:tcW w:w="1067" w:type="dxa"/>
            <w:gridSpan w:val="5"/>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140,73</w:t>
            </w:r>
          </w:p>
        </w:tc>
        <w:tc>
          <w:tcPr>
            <w:tcW w:w="4319" w:type="dxa"/>
            <w:gridSpan w:val="11"/>
            <w:tcBorders>
              <w:top w:val="single" w:sz="4" w:space="0" w:color="auto"/>
              <w:left w:val="single" w:sz="4" w:space="0" w:color="auto"/>
              <w:bottom w:val="single" w:sz="4" w:space="0" w:color="auto"/>
              <w:right w:val="single" w:sz="4" w:space="0" w:color="auto"/>
            </w:tcBorders>
          </w:tcPr>
          <w:p w:rsidR="00845B07" w:rsidRPr="00F112A1" w:rsidRDefault="00845B07" w:rsidP="00845B07">
            <w:pPr>
              <w:rPr>
                <w:rFonts w:asciiTheme="minorHAnsi" w:hAnsiTheme="minorHAnsi" w:cstheme="minorHAnsi"/>
                <w:b/>
                <w:sz w:val="18"/>
                <w:szCs w:val="18"/>
                <w:u w:val="single"/>
              </w:rPr>
            </w:pPr>
            <w:r w:rsidRPr="00F112A1">
              <w:rPr>
                <w:rFonts w:asciiTheme="minorHAnsi" w:hAnsiTheme="minorHAnsi" w:cstheme="minorHAnsi"/>
                <w:b/>
                <w:sz w:val="18"/>
                <w:szCs w:val="18"/>
                <w:u w:val="single"/>
              </w:rPr>
              <w:t xml:space="preserve">Studená voda: </w:t>
            </w:r>
          </w:p>
          <w:p w:rsidR="00845B07" w:rsidRPr="00F112A1" w:rsidRDefault="00F112A1" w:rsidP="00845B07">
            <w:pPr>
              <w:rPr>
                <w:rFonts w:asciiTheme="minorHAnsi" w:hAnsiTheme="minorHAnsi" w:cstheme="minorHAnsi"/>
                <w:sz w:val="18"/>
                <w:szCs w:val="18"/>
              </w:rPr>
            </w:pPr>
            <w:r>
              <w:rPr>
                <w:rFonts w:asciiTheme="minorHAnsi" w:hAnsiTheme="minorHAnsi" w:cstheme="minorHAnsi"/>
                <w:sz w:val="18"/>
                <w:szCs w:val="18"/>
              </w:rPr>
              <w:t xml:space="preserve">Sportovní </w:t>
            </w:r>
            <w:r w:rsidR="00845B07" w:rsidRPr="00F112A1">
              <w:rPr>
                <w:rFonts w:asciiTheme="minorHAnsi" w:hAnsiTheme="minorHAnsi" w:cstheme="minorHAnsi"/>
                <w:sz w:val="18"/>
                <w:szCs w:val="18"/>
              </w:rPr>
              <w:t xml:space="preserve">areál – </w:t>
            </w:r>
            <w:r>
              <w:rPr>
                <w:rFonts w:asciiTheme="minorHAnsi" w:hAnsiTheme="minorHAnsi" w:cstheme="minorHAnsi"/>
                <w:sz w:val="18"/>
                <w:szCs w:val="18"/>
              </w:rPr>
              <w:t>čerpání dle skutečné spotřeby a </w:t>
            </w:r>
            <w:r w:rsidR="00845B07" w:rsidRPr="00F112A1">
              <w:rPr>
                <w:rFonts w:asciiTheme="minorHAnsi" w:hAnsiTheme="minorHAnsi" w:cstheme="minorHAnsi"/>
                <w:sz w:val="18"/>
                <w:szCs w:val="18"/>
              </w:rPr>
              <w:t>fakturace dodavatelem.</w:t>
            </w:r>
          </w:p>
        </w:tc>
      </w:tr>
      <w:tr w:rsidR="00845B07" w:rsidRPr="00F112A1" w:rsidTr="00F112A1">
        <w:trPr>
          <w:gridAfter w:val="1"/>
          <w:wAfter w:w="64" w:type="dxa"/>
        </w:trPr>
        <w:tc>
          <w:tcPr>
            <w:tcW w:w="850" w:type="dxa"/>
            <w:gridSpan w:val="2"/>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003412</w:t>
            </w:r>
          </w:p>
        </w:tc>
        <w:tc>
          <w:tcPr>
            <w:tcW w:w="640" w:type="dxa"/>
            <w:gridSpan w:val="2"/>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5154</w:t>
            </w:r>
          </w:p>
        </w:tc>
        <w:tc>
          <w:tcPr>
            <w:tcW w:w="1417" w:type="dxa"/>
            <w:gridSpan w:val="6"/>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0500119000000</w:t>
            </w:r>
          </w:p>
        </w:tc>
        <w:tc>
          <w:tcPr>
            <w:tcW w:w="770" w:type="dxa"/>
            <w:gridSpan w:val="5"/>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p>
        </w:tc>
        <w:tc>
          <w:tcPr>
            <w:tcW w:w="857" w:type="dxa"/>
            <w:gridSpan w:val="4"/>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200,00</w:t>
            </w:r>
          </w:p>
        </w:tc>
        <w:tc>
          <w:tcPr>
            <w:tcW w:w="1067" w:type="dxa"/>
            <w:gridSpan w:val="5"/>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0,00</w:t>
            </w:r>
          </w:p>
        </w:tc>
        <w:tc>
          <w:tcPr>
            <w:tcW w:w="4319" w:type="dxa"/>
            <w:gridSpan w:val="11"/>
            <w:tcBorders>
              <w:top w:val="single" w:sz="4" w:space="0" w:color="auto"/>
              <w:left w:val="single" w:sz="4" w:space="0" w:color="auto"/>
              <w:bottom w:val="single" w:sz="4" w:space="0" w:color="auto"/>
              <w:right w:val="single" w:sz="4" w:space="0" w:color="auto"/>
            </w:tcBorders>
          </w:tcPr>
          <w:p w:rsidR="00845B07" w:rsidRPr="00F112A1" w:rsidRDefault="00F112A1" w:rsidP="00845B07">
            <w:pPr>
              <w:rPr>
                <w:rFonts w:asciiTheme="minorHAnsi" w:hAnsiTheme="minorHAnsi" w:cstheme="minorHAnsi"/>
                <w:b/>
                <w:sz w:val="18"/>
                <w:szCs w:val="18"/>
                <w:u w:val="single"/>
              </w:rPr>
            </w:pPr>
            <w:r>
              <w:rPr>
                <w:rFonts w:asciiTheme="minorHAnsi" w:hAnsiTheme="minorHAnsi" w:cstheme="minorHAnsi"/>
                <w:b/>
                <w:sz w:val="18"/>
                <w:szCs w:val="18"/>
                <w:u w:val="single"/>
              </w:rPr>
              <w:t xml:space="preserve">Elektrická </w:t>
            </w:r>
            <w:r w:rsidR="00845B07" w:rsidRPr="00F112A1">
              <w:rPr>
                <w:rFonts w:asciiTheme="minorHAnsi" w:hAnsiTheme="minorHAnsi" w:cstheme="minorHAnsi"/>
                <w:b/>
                <w:sz w:val="18"/>
                <w:szCs w:val="18"/>
                <w:u w:val="single"/>
              </w:rPr>
              <w:t>energie:</w:t>
            </w:r>
          </w:p>
          <w:p w:rsidR="00845B07" w:rsidRPr="00F112A1" w:rsidRDefault="00F112A1" w:rsidP="00845B07">
            <w:pPr>
              <w:rPr>
                <w:rFonts w:asciiTheme="minorHAnsi" w:hAnsiTheme="minorHAnsi" w:cstheme="minorHAnsi"/>
                <w:sz w:val="18"/>
                <w:szCs w:val="18"/>
              </w:rPr>
            </w:pPr>
            <w:r>
              <w:rPr>
                <w:rFonts w:asciiTheme="minorHAnsi" w:hAnsiTheme="minorHAnsi" w:cstheme="minorHAnsi"/>
                <w:sz w:val="18"/>
                <w:szCs w:val="18"/>
              </w:rPr>
              <w:t xml:space="preserve">Sport. areál – vyúčtování elektrické </w:t>
            </w:r>
            <w:r w:rsidR="00845B07" w:rsidRPr="00F112A1">
              <w:rPr>
                <w:rFonts w:asciiTheme="minorHAnsi" w:hAnsiTheme="minorHAnsi" w:cstheme="minorHAnsi"/>
                <w:sz w:val="18"/>
                <w:szCs w:val="18"/>
              </w:rPr>
              <w:t xml:space="preserve">energie je součástí souhrnné fakturace všech odběrných míst statutárního města a je vedeno na jiné položce. </w:t>
            </w:r>
          </w:p>
        </w:tc>
      </w:tr>
      <w:tr w:rsidR="00845B07" w:rsidRPr="00F112A1" w:rsidTr="00F112A1">
        <w:trPr>
          <w:gridAfter w:val="1"/>
          <w:wAfter w:w="64" w:type="dxa"/>
        </w:trPr>
        <w:tc>
          <w:tcPr>
            <w:tcW w:w="850" w:type="dxa"/>
            <w:gridSpan w:val="2"/>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006409</w:t>
            </w:r>
          </w:p>
        </w:tc>
        <w:tc>
          <w:tcPr>
            <w:tcW w:w="640" w:type="dxa"/>
            <w:gridSpan w:val="2"/>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6130</w:t>
            </w:r>
          </w:p>
        </w:tc>
        <w:tc>
          <w:tcPr>
            <w:tcW w:w="1417" w:type="dxa"/>
            <w:gridSpan w:val="6"/>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0500576000000</w:t>
            </w:r>
          </w:p>
        </w:tc>
        <w:tc>
          <w:tcPr>
            <w:tcW w:w="770" w:type="dxa"/>
            <w:gridSpan w:val="5"/>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p>
        </w:tc>
        <w:tc>
          <w:tcPr>
            <w:tcW w:w="857" w:type="dxa"/>
            <w:gridSpan w:val="4"/>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2 000,00</w:t>
            </w:r>
          </w:p>
        </w:tc>
        <w:tc>
          <w:tcPr>
            <w:tcW w:w="1067" w:type="dxa"/>
            <w:gridSpan w:val="5"/>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1 622,55</w:t>
            </w:r>
          </w:p>
        </w:tc>
        <w:tc>
          <w:tcPr>
            <w:tcW w:w="4319" w:type="dxa"/>
            <w:gridSpan w:val="11"/>
            <w:tcBorders>
              <w:top w:val="single" w:sz="4" w:space="0" w:color="auto"/>
              <w:left w:val="single" w:sz="4" w:space="0" w:color="auto"/>
              <w:bottom w:val="single" w:sz="4" w:space="0" w:color="auto"/>
              <w:right w:val="single" w:sz="4" w:space="0" w:color="auto"/>
            </w:tcBorders>
          </w:tcPr>
          <w:p w:rsidR="00845B07" w:rsidRPr="00F112A1" w:rsidRDefault="00845B07" w:rsidP="00845B07">
            <w:pPr>
              <w:rPr>
                <w:rFonts w:asciiTheme="minorHAnsi" w:hAnsiTheme="minorHAnsi" w:cstheme="minorHAnsi"/>
                <w:b/>
                <w:sz w:val="18"/>
                <w:szCs w:val="18"/>
                <w:u w:val="single"/>
              </w:rPr>
            </w:pPr>
            <w:r w:rsidRPr="00F112A1">
              <w:rPr>
                <w:rFonts w:asciiTheme="minorHAnsi" w:hAnsiTheme="minorHAnsi" w:cstheme="minorHAnsi"/>
                <w:b/>
                <w:sz w:val="18"/>
                <w:szCs w:val="18"/>
                <w:u w:val="single"/>
              </w:rPr>
              <w:t>Pozemky:</w:t>
            </w:r>
          </w:p>
          <w:p w:rsidR="00845B07" w:rsidRPr="00F112A1" w:rsidRDefault="00845B07" w:rsidP="00845B07">
            <w:pPr>
              <w:rPr>
                <w:rFonts w:asciiTheme="minorHAnsi" w:hAnsiTheme="minorHAnsi" w:cstheme="minorHAnsi"/>
                <w:sz w:val="18"/>
                <w:szCs w:val="18"/>
              </w:rPr>
            </w:pPr>
            <w:r w:rsidRPr="00F112A1">
              <w:rPr>
                <w:rFonts w:asciiTheme="minorHAnsi" w:hAnsiTheme="minorHAnsi" w:cstheme="minorHAnsi"/>
                <w:sz w:val="18"/>
                <w:szCs w:val="18"/>
              </w:rPr>
              <w:t xml:space="preserve">Výkupy pozemků po dokončení „Severního obchvatu“ – některé kupní smlouvy se nepodařilo do konce roku uzavřít, finanční prostředky byly zařazeny i do rozpočtu na rok 2023. </w:t>
            </w:r>
          </w:p>
        </w:tc>
      </w:tr>
      <w:tr w:rsidR="00845B07" w:rsidRPr="00F112A1" w:rsidTr="00F112A1">
        <w:trPr>
          <w:gridAfter w:val="1"/>
          <w:wAfter w:w="64" w:type="dxa"/>
        </w:trPr>
        <w:tc>
          <w:tcPr>
            <w:tcW w:w="850" w:type="dxa"/>
            <w:gridSpan w:val="2"/>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006409</w:t>
            </w:r>
          </w:p>
        </w:tc>
        <w:tc>
          <w:tcPr>
            <w:tcW w:w="640" w:type="dxa"/>
            <w:gridSpan w:val="2"/>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6130</w:t>
            </w:r>
          </w:p>
        </w:tc>
        <w:tc>
          <w:tcPr>
            <w:tcW w:w="1417" w:type="dxa"/>
            <w:gridSpan w:val="6"/>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0500577000000</w:t>
            </w:r>
          </w:p>
        </w:tc>
        <w:tc>
          <w:tcPr>
            <w:tcW w:w="770" w:type="dxa"/>
            <w:gridSpan w:val="5"/>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p>
        </w:tc>
        <w:tc>
          <w:tcPr>
            <w:tcW w:w="857" w:type="dxa"/>
            <w:gridSpan w:val="4"/>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320,00</w:t>
            </w:r>
          </w:p>
        </w:tc>
        <w:tc>
          <w:tcPr>
            <w:tcW w:w="1067" w:type="dxa"/>
            <w:gridSpan w:val="5"/>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0,00</w:t>
            </w:r>
          </w:p>
        </w:tc>
        <w:tc>
          <w:tcPr>
            <w:tcW w:w="4319" w:type="dxa"/>
            <w:gridSpan w:val="11"/>
            <w:tcBorders>
              <w:top w:val="single" w:sz="4" w:space="0" w:color="auto"/>
              <w:left w:val="single" w:sz="4" w:space="0" w:color="auto"/>
              <w:bottom w:val="single" w:sz="4" w:space="0" w:color="auto"/>
              <w:right w:val="single" w:sz="4" w:space="0" w:color="auto"/>
            </w:tcBorders>
          </w:tcPr>
          <w:p w:rsidR="00845B07" w:rsidRPr="00F112A1" w:rsidRDefault="00845B07" w:rsidP="00845B07">
            <w:pPr>
              <w:rPr>
                <w:rFonts w:asciiTheme="minorHAnsi" w:hAnsiTheme="minorHAnsi" w:cstheme="minorHAnsi"/>
                <w:b/>
                <w:sz w:val="18"/>
                <w:szCs w:val="18"/>
                <w:u w:val="single"/>
              </w:rPr>
            </w:pPr>
            <w:r w:rsidRPr="00F112A1">
              <w:rPr>
                <w:rFonts w:asciiTheme="minorHAnsi" w:hAnsiTheme="minorHAnsi" w:cstheme="minorHAnsi"/>
                <w:b/>
                <w:sz w:val="18"/>
                <w:szCs w:val="18"/>
                <w:u w:val="single"/>
              </w:rPr>
              <w:t>Pozemky:</w:t>
            </w:r>
          </w:p>
          <w:p w:rsidR="00845B07" w:rsidRPr="00F112A1" w:rsidRDefault="00845B07" w:rsidP="00845B07">
            <w:pPr>
              <w:rPr>
                <w:rFonts w:asciiTheme="minorHAnsi" w:hAnsiTheme="minorHAnsi" w:cstheme="minorHAnsi"/>
                <w:sz w:val="18"/>
                <w:szCs w:val="18"/>
              </w:rPr>
            </w:pPr>
            <w:r w:rsidRPr="00F112A1">
              <w:rPr>
                <w:rFonts w:asciiTheme="minorHAnsi" w:hAnsiTheme="minorHAnsi" w:cstheme="minorHAnsi"/>
                <w:sz w:val="18"/>
                <w:szCs w:val="18"/>
              </w:rPr>
              <w:t>Výkupy pozemků pro CS Říční – do konce roku nebyly uzavřeny kupní smlouvy, bude dokončeno v roce 2023.</w:t>
            </w:r>
          </w:p>
        </w:tc>
      </w:tr>
      <w:tr w:rsidR="00845B07" w:rsidRPr="00F112A1" w:rsidTr="00F112A1">
        <w:trPr>
          <w:gridAfter w:val="1"/>
          <w:wAfter w:w="64" w:type="dxa"/>
        </w:trPr>
        <w:tc>
          <w:tcPr>
            <w:tcW w:w="850" w:type="dxa"/>
            <w:gridSpan w:val="2"/>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003412</w:t>
            </w:r>
          </w:p>
        </w:tc>
        <w:tc>
          <w:tcPr>
            <w:tcW w:w="640" w:type="dxa"/>
            <w:gridSpan w:val="2"/>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6121</w:t>
            </w:r>
          </w:p>
        </w:tc>
        <w:tc>
          <w:tcPr>
            <w:tcW w:w="1417" w:type="dxa"/>
            <w:gridSpan w:val="6"/>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0500580000000</w:t>
            </w:r>
          </w:p>
        </w:tc>
        <w:tc>
          <w:tcPr>
            <w:tcW w:w="770" w:type="dxa"/>
            <w:gridSpan w:val="5"/>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p>
        </w:tc>
        <w:tc>
          <w:tcPr>
            <w:tcW w:w="857" w:type="dxa"/>
            <w:gridSpan w:val="4"/>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130,00</w:t>
            </w:r>
          </w:p>
        </w:tc>
        <w:tc>
          <w:tcPr>
            <w:tcW w:w="1067" w:type="dxa"/>
            <w:gridSpan w:val="5"/>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105,04</w:t>
            </w:r>
          </w:p>
        </w:tc>
        <w:tc>
          <w:tcPr>
            <w:tcW w:w="4319" w:type="dxa"/>
            <w:gridSpan w:val="11"/>
            <w:tcBorders>
              <w:top w:val="single" w:sz="4" w:space="0" w:color="auto"/>
              <w:left w:val="single" w:sz="4" w:space="0" w:color="auto"/>
              <w:bottom w:val="single" w:sz="4" w:space="0" w:color="auto"/>
              <w:right w:val="single" w:sz="4" w:space="0" w:color="auto"/>
            </w:tcBorders>
          </w:tcPr>
          <w:p w:rsidR="00845B07" w:rsidRPr="00F112A1" w:rsidRDefault="00845B07" w:rsidP="00845B07">
            <w:pPr>
              <w:rPr>
                <w:rFonts w:asciiTheme="minorHAnsi" w:hAnsiTheme="minorHAnsi" w:cstheme="minorHAnsi"/>
                <w:b/>
                <w:sz w:val="18"/>
                <w:szCs w:val="18"/>
                <w:u w:val="single"/>
              </w:rPr>
            </w:pPr>
            <w:r w:rsidRPr="00F112A1">
              <w:rPr>
                <w:rFonts w:asciiTheme="minorHAnsi" w:hAnsiTheme="minorHAnsi" w:cstheme="minorHAnsi"/>
                <w:b/>
                <w:sz w:val="18"/>
                <w:szCs w:val="18"/>
                <w:u w:val="single"/>
              </w:rPr>
              <w:t>Stavby:</w:t>
            </w:r>
          </w:p>
          <w:p w:rsidR="00845B07" w:rsidRPr="00F112A1" w:rsidRDefault="00845B07" w:rsidP="00845B07">
            <w:pPr>
              <w:rPr>
                <w:rFonts w:asciiTheme="minorHAnsi" w:hAnsiTheme="minorHAnsi" w:cstheme="minorHAnsi"/>
                <w:sz w:val="18"/>
                <w:szCs w:val="18"/>
              </w:rPr>
            </w:pPr>
            <w:r w:rsidRPr="00F112A1">
              <w:rPr>
                <w:rFonts w:asciiTheme="minorHAnsi" w:hAnsiTheme="minorHAnsi" w:cstheme="minorHAnsi"/>
                <w:sz w:val="18"/>
                <w:szCs w:val="18"/>
              </w:rPr>
              <w:t>Nové rozvody elektřiny do</w:t>
            </w:r>
            <w:r w:rsidR="00F112A1">
              <w:rPr>
                <w:rFonts w:asciiTheme="minorHAnsi" w:hAnsiTheme="minorHAnsi" w:cstheme="minorHAnsi"/>
                <w:sz w:val="18"/>
                <w:szCs w:val="18"/>
              </w:rPr>
              <w:t xml:space="preserve"> prostoru kójí – velodrom – při </w:t>
            </w:r>
            <w:r w:rsidRPr="00F112A1">
              <w:rPr>
                <w:rFonts w:asciiTheme="minorHAnsi" w:hAnsiTheme="minorHAnsi" w:cstheme="minorHAnsi"/>
                <w:sz w:val="18"/>
                <w:szCs w:val="18"/>
              </w:rPr>
              <w:t>realizaci došlo k úspoře finančních prostředků.</w:t>
            </w:r>
          </w:p>
        </w:tc>
      </w:tr>
      <w:tr w:rsidR="00845B07" w:rsidRPr="00F112A1" w:rsidTr="00F112A1">
        <w:trPr>
          <w:gridAfter w:val="1"/>
          <w:wAfter w:w="64" w:type="dxa"/>
        </w:trPr>
        <w:tc>
          <w:tcPr>
            <w:tcW w:w="850" w:type="dxa"/>
            <w:gridSpan w:val="2"/>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003412</w:t>
            </w:r>
          </w:p>
        </w:tc>
        <w:tc>
          <w:tcPr>
            <w:tcW w:w="640" w:type="dxa"/>
            <w:gridSpan w:val="2"/>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6122</w:t>
            </w:r>
          </w:p>
        </w:tc>
        <w:tc>
          <w:tcPr>
            <w:tcW w:w="1417" w:type="dxa"/>
            <w:gridSpan w:val="6"/>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0500587000000</w:t>
            </w:r>
          </w:p>
        </w:tc>
        <w:tc>
          <w:tcPr>
            <w:tcW w:w="770" w:type="dxa"/>
            <w:gridSpan w:val="5"/>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p>
        </w:tc>
        <w:tc>
          <w:tcPr>
            <w:tcW w:w="857" w:type="dxa"/>
            <w:gridSpan w:val="4"/>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150,00</w:t>
            </w:r>
          </w:p>
        </w:tc>
        <w:tc>
          <w:tcPr>
            <w:tcW w:w="1067" w:type="dxa"/>
            <w:gridSpan w:val="5"/>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112,85</w:t>
            </w:r>
          </w:p>
        </w:tc>
        <w:tc>
          <w:tcPr>
            <w:tcW w:w="4319" w:type="dxa"/>
            <w:gridSpan w:val="11"/>
            <w:tcBorders>
              <w:top w:val="single" w:sz="4" w:space="0" w:color="auto"/>
              <w:left w:val="single" w:sz="4" w:space="0" w:color="auto"/>
              <w:bottom w:val="single" w:sz="4" w:space="0" w:color="auto"/>
              <w:right w:val="single" w:sz="4" w:space="0" w:color="auto"/>
            </w:tcBorders>
          </w:tcPr>
          <w:p w:rsidR="00845B07" w:rsidRPr="00F112A1" w:rsidRDefault="00845B07" w:rsidP="00845B07">
            <w:pPr>
              <w:rPr>
                <w:rFonts w:asciiTheme="minorHAnsi" w:hAnsiTheme="minorHAnsi" w:cstheme="minorHAnsi"/>
                <w:b/>
                <w:sz w:val="18"/>
                <w:szCs w:val="18"/>
                <w:u w:val="single"/>
              </w:rPr>
            </w:pPr>
            <w:r w:rsidRPr="00F112A1">
              <w:rPr>
                <w:rFonts w:asciiTheme="minorHAnsi" w:hAnsiTheme="minorHAnsi" w:cstheme="minorHAnsi"/>
                <w:b/>
                <w:sz w:val="18"/>
                <w:szCs w:val="18"/>
                <w:u w:val="single"/>
              </w:rPr>
              <w:t>Stroje, přístroje, zařízení:</w:t>
            </w:r>
          </w:p>
          <w:p w:rsidR="00845B07" w:rsidRPr="00F112A1" w:rsidRDefault="00845B07" w:rsidP="00845B07">
            <w:pPr>
              <w:rPr>
                <w:rFonts w:asciiTheme="minorHAnsi" w:hAnsiTheme="minorHAnsi" w:cstheme="minorHAnsi"/>
                <w:sz w:val="18"/>
                <w:szCs w:val="18"/>
              </w:rPr>
            </w:pPr>
            <w:r w:rsidRPr="00F112A1">
              <w:rPr>
                <w:rFonts w:asciiTheme="minorHAnsi" w:hAnsiTheme="minorHAnsi" w:cstheme="minorHAnsi"/>
                <w:sz w:val="18"/>
                <w:szCs w:val="18"/>
              </w:rPr>
              <w:t>Uzávěry při přívalových deštích – koupaliště Vrahovice – při realizaci došlo k úspoře finančních prostředků.</w:t>
            </w:r>
          </w:p>
        </w:tc>
      </w:tr>
      <w:tr w:rsidR="00845B07" w:rsidRPr="00F112A1" w:rsidTr="00F112A1">
        <w:trPr>
          <w:gridAfter w:val="1"/>
          <w:wAfter w:w="64" w:type="dxa"/>
        </w:trPr>
        <w:tc>
          <w:tcPr>
            <w:tcW w:w="850" w:type="dxa"/>
            <w:gridSpan w:val="2"/>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003412</w:t>
            </w:r>
          </w:p>
        </w:tc>
        <w:tc>
          <w:tcPr>
            <w:tcW w:w="640" w:type="dxa"/>
            <w:gridSpan w:val="2"/>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6121</w:t>
            </w:r>
          </w:p>
        </w:tc>
        <w:tc>
          <w:tcPr>
            <w:tcW w:w="1417" w:type="dxa"/>
            <w:gridSpan w:val="6"/>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0500586000000</w:t>
            </w:r>
          </w:p>
        </w:tc>
        <w:tc>
          <w:tcPr>
            <w:tcW w:w="770" w:type="dxa"/>
            <w:gridSpan w:val="5"/>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center"/>
              <w:rPr>
                <w:rFonts w:asciiTheme="minorHAnsi" w:hAnsiTheme="minorHAnsi" w:cstheme="minorHAnsi"/>
                <w:sz w:val="18"/>
                <w:szCs w:val="18"/>
              </w:rPr>
            </w:pPr>
          </w:p>
        </w:tc>
        <w:tc>
          <w:tcPr>
            <w:tcW w:w="857" w:type="dxa"/>
            <w:gridSpan w:val="4"/>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100,00</w:t>
            </w:r>
          </w:p>
        </w:tc>
        <w:tc>
          <w:tcPr>
            <w:tcW w:w="1067" w:type="dxa"/>
            <w:gridSpan w:val="5"/>
            <w:tcBorders>
              <w:top w:val="single" w:sz="4" w:space="0" w:color="auto"/>
              <w:left w:val="single" w:sz="4" w:space="0" w:color="auto"/>
              <w:bottom w:val="single" w:sz="4" w:space="0" w:color="auto"/>
              <w:right w:val="single" w:sz="4" w:space="0" w:color="auto"/>
            </w:tcBorders>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79,41</w:t>
            </w:r>
          </w:p>
        </w:tc>
        <w:tc>
          <w:tcPr>
            <w:tcW w:w="4319" w:type="dxa"/>
            <w:gridSpan w:val="11"/>
            <w:tcBorders>
              <w:top w:val="single" w:sz="4" w:space="0" w:color="auto"/>
              <w:left w:val="single" w:sz="4" w:space="0" w:color="auto"/>
              <w:bottom w:val="single" w:sz="4" w:space="0" w:color="auto"/>
              <w:right w:val="single" w:sz="4" w:space="0" w:color="auto"/>
            </w:tcBorders>
          </w:tcPr>
          <w:p w:rsidR="00845B07" w:rsidRPr="00F112A1" w:rsidRDefault="00845B07" w:rsidP="00845B07">
            <w:pPr>
              <w:rPr>
                <w:rFonts w:asciiTheme="minorHAnsi" w:hAnsiTheme="minorHAnsi" w:cstheme="minorHAnsi"/>
                <w:b/>
                <w:sz w:val="18"/>
                <w:szCs w:val="18"/>
                <w:u w:val="single"/>
              </w:rPr>
            </w:pPr>
            <w:r w:rsidRPr="00F112A1">
              <w:rPr>
                <w:rFonts w:asciiTheme="minorHAnsi" w:hAnsiTheme="minorHAnsi" w:cstheme="minorHAnsi"/>
                <w:b/>
                <w:sz w:val="18"/>
                <w:szCs w:val="18"/>
                <w:u w:val="single"/>
              </w:rPr>
              <w:t>Stavby:</w:t>
            </w:r>
          </w:p>
          <w:p w:rsidR="00845B07" w:rsidRPr="00F112A1" w:rsidRDefault="00845B07" w:rsidP="00845B07">
            <w:pPr>
              <w:rPr>
                <w:rFonts w:asciiTheme="minorHAnsi" w:hAnsiTheme="minorHAnsi" w:cstheme="minorHAnsi"/>
                <w:sz w:val="18"/>
                <w:szCs w:val="18"/>
              </w:rPr>
            </w:pPr>
            <w:r w:rsidRPr="00F112A1">
              <w:rPr>
                <w:rFonts w:asciiTheme="minorHAnsi" w:hAnsiTheme="minorHAnsi" w:cstheme="minorHAnsi"/>
                <w:sz w:val="18"/>
                <w:szCs w:val="18"/>
              </w:rPr>
              <w:t>Vybudování nízkého oplocení – koupaliště Vrahovice – při realizaci došlo k úspoře finančních prostředků.</w:t>
            </w:r>
          </w:p>
        </w:tc>
      </w:tr>
    </w:tbl>
    <w:p w:rsidR="00845B07" w:rsidRPr="00845B07" w:rsidRDefault="00845B07" w:rsidP="00845B07">
      <w:pPr>
        <w:rPr>
          <w:rFonts w:asciiTheme="minorHAnsi" w:hAnsiTheme="minorHAnsi" w:cstheme="minorHAnsi"/>
          <w:b/>
          <w:sz w:val="20"/>
          <w:szCs w:val="20"/>
        </w:rPr>
      </w:pPr>
    </w:p>
    <w:p w:rsidR="00845B07" w:rsidRPr="00845B07" w:rsidRDefault="00845B07" w:rsidP="00845B07">
      <w:pPr>
        <w:rPr>
          <w:rFonts w:asciiTheme="minorHAnsi" w:hAnsiTheme="minorHAnsi" w:cstheme="minorHAnsi"/>
          <w:b/>
          <w:sz w:val="20"/>
          <w:szCs w:val="20"/>
        </w:rPr>
      </w:pPr>
      <w:r w:rsidRPr="00845B07">
        <w:rPr>
          <w:rFonts w:asciiTheme="minorHAnsi" w:hAnsiTheme="minorHAnsi" w:cstheme="minorHAnsi"/>
          <w:b/>
          <w:sz w:val="20"/>
          <w:szCs w:val="20"/>
        </w:rPr>
        <w:t>Přehled schválených rozpočtových opatření k 31. 12. 2022:</w:t>
      </w:r>
    </w:p>
    <w:tbl>
      <w:tblPr>
        <w:tblStyle w:val="Mkatabulky"/>
        <w:tblW w:w="9776" w:type="dxa"/>
        <w:tblLook w:val="04A0" w:firstRow="1" w:lastRow="0" w:firstColumn="1" w:lastColumn="0" w:noHBand="0" w:noVBand="1"/>
      </w:tblPr>
      <w:tblGrid>
        <w:gridCol w:w="1498"/>
        <w:gridCol w:w="1127"/>
        <w:gridCol w:w="849"/>
        <w:gridCol w:w="4577"/>
        <w:gridCol w:w="1725"/>
      </w:tblGrid>
      <w:tr w:rsidR="00845B07" w:rsidRPr="00F112A1" w:rsidTr="00F112A1">
        <w:tc>
          <w:tcPr>
            <w:tcW w:w="1498" w:type="dxa"/>
            <w:shd w:val="clear" w:color="auto" w:fill="DBDBDB" w:themeFill="accent3" w:themeFillTint="66"/>
            <w:vAlign w:val="center"/>
          </w:tcPr>
          <w:p w:rsidR="00845B07" w:rsidRPr="00F112A1" w:rsidRDefault="00845B07" w:rsidP="00845B07">
            <w:pPr>
              <w:jc w:val="center"/>
              <w:rPr>
                <w:rFonts w:asciiTheme="minorHAnsi" w:hAnsiTheme="minorHAnsi" w:cstheme="minorHAnsi"/>
                <w:b/>
                <w:sz w:val="18"/>
                <w:szCs w:val="18"/>
              </w:rPr>
            </w:pPr>
            <w:r w:rsidRPr="00F112A1">
              <w:rPr>
                <w:rFonts w:asciiTheme="minorHAnsi" w:hAnsiTheme="minorHAnsi" w:cstheme="minorHAnsi"/>
                <w:b/>
                <w:sz w:val="18"/>
                <w:szCs w:val="18"/>
              </w:rPr>
              <w:t>Usn.</w:t>
            </w:r>
            <w:r w:rsidR="00F112A1" w:rsidRPr="00F112A1">
              <w:rPr>
                <w:rFonts w:asciiTheme="minorHAnsi" w:hAnsiTheme="minorHAnsi" w:cstheme="minorHAnsi"/>
                <w:b/>
                <w:sz w:val="18"/>
                <w:szCs w:val="18"/>
              </w:rPr>
              <w:t xml:space="preserve"> </w:t>
            </w:r>
            <w:r w:rsidRPr="00F112A1">
              <w:rPr>
                <w:rFonts w:asciiTheme="minorHAnsi" w:hAnsiTheme="minorHAnsi" w:cstheme="minorHAnsi"/>
                <w:b/>
                <w:sz w:val="18"/>
                <w:szCs w:val="18"/>
              </w:rPr>
              <w:t>č.</w:t>
            </w:r>
          </w:p>
        </w:tc>
        <w:tc>
          <w:tcPr>
            <w:tcW w:w="1127" w:type="dxa"/>
            <w:shd w:val="clear" w:color="auto" w:fill="DBDBDB" w:themeFill="accent3" w:themeFillTint="66"/>
            <w:vAlign w:val="center"/>
          </w:tcPr>
          <w:p w:rsidR="00845B07" w:rsidRPr="00F112A1" w:rsidRDefault="00845B07" w:rsidP="00845B07">
            <w:pPr>
              <w:jc w:val="center"/>
              <w:rPr>
                <w:rFonts w:asciiTheme="minorHAnsi" w:hAnsiTheme="minorHAnsi" w:cstheme="minorHAnsi"/>
                <w:b/>
                <w:sz w:val="18"/>
                <w:szCs w:val="18"/>
              </w:rPr>
            </w:pPr>
            <w:r w:rsidRPr="00F112A1">
              <w:rPr>
                <w:rFonts w:asciiTheme="minorHAnsi" w:hAnsiTheme="minorHAnsi" w:cstheme="minorHAnsi"/>
                <w:b/>
                <w:sz w:val="18"/>
                <w:szCs w:val="18"/>
              </w:rPr>
              <w:t>Datum</w:t>
            </w:r>
          </w:p>
        </w:tc>
        <w:tc>
          <w:tcPr>
            <w:tcW w:w="849" w:type="dxa"/>
            <w:shd w:val="clear" w:color="auto" w:fill="DBDBDB" w:themeFill="accent3" w:themeFillTint="66"/>
            <w:vAlign w:val="center"/>
          </w:tcPr>
          <w:p w:rsidR="00845B07" w:rsidRPr="00F112A1" w:rsidRDefault="00845B07" w:rsidP="00845B07">
            <w:pPr>
              <w:jc w:val="center"/>
              <w:rPr>
                <w:rFonts w:asciiTheme="minorHAnsi" w:hAnsiTheme="minorHAnsi" w:cstheme="minorHAnsi"/>
                <w:b/>
                <w:sz w:val="18"/>
                <w:szCs w:val="18"/>
              </w:rPr>
            </w:pPr>
            <w:r w:rsidRPr="00F112A1">
              <w:rPr>
                <w:rFonts w:asciiTheme="minorHAnsi" w:hAnsiTheme="minorHAnsi" w:cstheme="minorHAnsi"/>
                <w:b/>
                <w:sz w:val="18"/>
                <w:szCs w:val="18"/>
              </w:rPr>
              <w:t>Částka v tis. Kč</w:t>
            </w:r>
          </w:p>
        </w:tc>
        <w:tc>
          <w:tcPr>
            <w:tcW w:w="4577" w:type="dxa"/>
            <w:shd w:val="clear" w:color="auto" w:fill="DBDBDB" w:themeFill="accent3" w:themeFillTint="66"/>
            <w:vAlign w:val="center"/>
          </w:tcPr>
          <w:p w:rsidR="00845B07" w:rsidRPr="00F112A1" w:rsidRDefault="00845B07" w:rsidP="00845B07">
            <w:pPr>
              <w:jc w:val="center"/>
              <w:rPr>
                <w:rFonts w:asciiTheme="minorHAnsi" w:hAnsiTheme="minorHAnsi" w:cstheme="minorHAnsi"/>
                <w:b/>
                <w:sz w:val="18"/>
                <w:szCs w:val="18"/>
              </w:rPr>
            </w:pPr>
            <w:r w:rsidRPr="00F112A1">
              <w:rPr>
                <w:rFonts w:asciiTheme="minorHAnsi" w:hAnsiTheme="minorHAnsi" w:cstheme="minorHAnsi"/>
                <w:b/>
                <w:sz w:val="18"/>
                <w:szCs w:val="18"/>
              </w:rPr>
              <w:t>Rozpočtové opatření</w:t>
            </w:r>
          </w:p>
        </w:tc>
        <w:tc>
          <w:tcPr>
            <w:tcW w:w="1725" w:type="dxa"/>
            <w:shd w:val="clear" w:color="auto" w:fill="DBDBDB" w:themeFill="accent3" w:themeFillTint="66"/>
            <w:vAlign w:val="center"/>
          </w:tcPr>
          <w:p w:rsidR="00845B07" w:rsidRPr="00F112A1" w:rsidRDefault="00845B07" w:rsidP="00845B07">
            <w:pPr>
              <w:jc w:val="center"/>
              <w:rPr>
                <w:rFonts w:asciiTheme="minorHAnsi" w:hAnsiTheme="minorHAnsi" w:cstheme="minorHAnsi"/>
                <w:b/>
                <w:sz w:val="18"/>
                <w:szCs w:val="18"/>
              </w:rPr>
            </w:pPr>
            <w:r w:rsidRPr="00F112A1">
              <w:rPr>
                <w:rFonts w:asciiTheme="minorHAnsi" w:hAnsiTheme="minorHAnsi" w:cstheme="minorHAnsi"/>
                <w:b/>
                <w:sz w:val="18"/>
                <w:szCs w:val="18"/>
              </w:rPr>
              <w:t>Stupeň realizace</w:t>
            </w:r>
          </w:p>
        </w:tc>
      </w:tr>
      <w:tr w:rsidR="00845B07" w:rsidRPr="00F112A1" w:rsidTr="00F112A1">
        <w:tc>
          <w:tcPr>
            <w:tcW w:w="1498" w:type="dxa"/>
            <w:vAlign w:val="center"/>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RM/2022/104/39</w:t>
            </w:r>
          </w:p>
        </w:tc>
        <w:tc>
          <w:tcPr>
            <w:tcW w:w="1127" w:type="dxa"/>
            <w:vAlign w:val="center"/>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25.01.</w:t>
            </w:r>
          </w:p>
        </w:tc>
        <w:tc>
          <w:tcPr>
            <w:tcW w:w="849" w:type="dxa"/>
            <w:vAlign w:val="center"/>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300,00</w:t>
            </w:r>
          </w:p>
        </w:tc>
        <w:tc>
          <w:tcPr>
            <w:tcW w:w="4577" w:type="dxa"/>
            <w:vAlign w:val="center"/>
          </w:tcPr>
          <w:p w:rsidR="00845B07" w:rsidRPr="00F112A1" w:rsidRDefault="00F112A1" w:rsidP="00845B07">
            <w:pPr>
              <w:rPr>
                <w:rFonts w:asciiTheme="minorHAnsi" w:hAnsiTheme="minorHAnsi" w:cstheme="minorHAnsi"/>
                <w:sz w:val="18"/>
                <w:szCs w:val="18"/>
              </w:rPr>
            </w:pPr>
            <w:r>
              <w:rPr>
                <w:rFonts w:asciiTheme="minorHAnsi" w:hAnsiTheme="minorHAnsi" w:cstheme="minorHAnsi"/>
                <w:sz w:val="18"/>
                <w:szCs w:val="18"/>
              </w:rPr>
              <w:t>P</w:t>
            </w:r>
            <w:r w:rsidR="00845B07" w:rsidRPr="00F112A1">
              <w:rPr>
                <w:rFonts w:asciiTheme="minorHAnsi" w:hAnsiTheme="minorHAnsi" w:cstheme="minorHAnsi"/>
                <w:sz w:val="18"/>
                <w:szCs w:val="18"/>
              </w:rPr>
              <w:t>lyn</w:t>
            </w:r>
          </w:p>
        </w:tc>
        <w:tc>
          <w:tcPr>
            <w:tcW w:w="1725" w:type="dxa"/>
            <w:vAlign w:val="center"/>
          </w:tcPr>
          <w:p w:rsidR="00845B07" w:rsidRPr="00F112A1" w:rsidRDefault="00845B07" w:rsidP="00845B07">
            <w:pPr>
              <w:rPr>
                <w:rFonts w:asciiTheme="minorHAnsi" w:hAnsiTheme="minorHAnsi" w:cstheme="minorHAnsi"/>
                <w:b/>
                <w:sz w:val="18"/>
                <w:szCs w:val="18"/>
              </w:rPr>
            </w:pPr>
            <w:r w:rsidRPr="00F112A1">
              <w:rPr>
                <w:rFonts w:asciiTheme="minorHAnsi" w:hAnsiTheme="minorHAnsi" w:cstheme="minorHAnsi"/>
                <w:b/>
                <w:sz w:val="18"/>
                <w:szCs w:val="18"/>
              </w:rPr>
              <w:t>ROZOP realizováno</w:t>
            </w:r>
          </w:p>
        </w:tc>
      </w:tr>
      <w:tr w:rsidR="00845B07" w:rsidRPr="00F112A1" w:rsidTr="00F112A1">
        <w:tc>
          <w:tcPr>
            <w:tcW w:w="1498" w:type="dxa"/>
            <w:vAlign w:val="center"/>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RM/2022/104/40</w:t>
            </w:r>
          </w:p>
        </w:tc>
        <w:tc>
          <w:tcPr>
            <w:tcW w:w="1127" w:type="dxa"/>
            <w:vAlign w:val="center"/>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25.01.</w:t>
            </w:r>
          </w:p>
        </w:tc>
        <w:tc>
          <w:tcPr>
            <w:tcW w:w="849" w:type="dxa"/>
            <w:vAlign w:val="center"/>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173,68</w:t>
            </w:r>
          </w:p>
        </w:tc>
        <w:tc>
          <w:tcPr>
            <w:tcW w:w="4577" w:type="dxa"/>
            <w:vAlign w:val="center"/>
          </w:tcPr>
          <w:p w:rsidR="00845B07" w:rsidRPr="00F112A1" w:rsidRDefault="00F112A1" w:rsidP="00845B07">
            <w:pPr>
              <w:rPr>
                <w:rFonts w:asciiTheme="minorHAnsi" w:hAnsiTheme="minorHAnsi" w:cstheme="minorHAnsi"/>
                <w:sz w:val="18"/>
                <w:szCs w:val="18"/>
              </w:rPr>
            </w:pPr>
            <w:r>
              <w:rPr>
                <w:rFonts w:asciiTheme="minorHAnsi" w:hAnsiTheme="minorHAnsi" w:cstheme="minorHAnsi"/>
                <w:sz w:val="18"/>
                <w:szCs w:val="18"/>
              </w:rPr>
              <w:t>P</w:t>
            </w:r>
            <w:r w:rsidR="00845B07" w:rsidRPr="00F112A1">
              <w:rPr>
                <w:rFonts w:asciiTheme="minorHAnsi" w:hAnsiTheme="minorHAnsi" w:cstheme="minorHAnsi"/>
                <w:sz w:val="18"/>
                <w:szCs w:val="18"/>
              </w:rPr>
              <w:t>ořízení DHDM – lavičky, informační tabule</w:t>
            </w:r>
          </w:p>
        </w:tc>
        <w:tc>
          <w:tcPr>
            <w:tcW w:w="1725" w:type="dxa"/>
            <w:vAlign w:val="center"/>
          </w:tcPr>
          <w:p w:rsidR="00845B07" w:rsidRPr="00F112A1" w:rsidRDefault="00845B07" w:rsidP="00845B07">
            <w:pPr>
              <w:rPr>
                <w:rFonts w:asciiTheme="minorHAnsi" w:hAnsiTheme="minorHAnsi" w:cstheme="minorHAnsi"/>
                <w:b/>
                <w:sz w:val="18"/>
                <w:szCs w:val="18"/>
              </w:rPr>
            </w:pPr>
            <w:r w:rsidRPr="00F112A1">
              <w:rPr>
                <w:rFonts w:asciiTheme="minorHAnsi" w:hAnsiTheme="minorHAnsi" w:cstheme="minorHAnsi"/>
                <w:b/>
                <w:sz w:val="18"/>
                <w:szCs w:val="18"/>
              </w:rPr>
              <w:t>ROZOP realizováno</w:t>
            </w:r>
          </w:p>
        </w:tc>
      </w:tr>
      <w:tr w:rsidR="00845B07" w:rsidRPr="00F112A1" w:rsidTr="00F112A1">
        <w:tc>
          <w:tcPr>
            <w:tcW w:w="1498" w:type="dxa"/>
            <w:vAlign w:val="center"/>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RM/2022/111/42</w:t>
            </w:r>
          </w:p>
        </w:tc>
        <w:tc>
          <w:tcPr>
            <w:tcW w:w="1127" w:type="dxa"/>
            <w:vAlign w:val="center"/>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22.03.</w:t>
            </w:r>
          </w:p>
        </w:tc>
        <w:tc>
          <w:tcPr>
            <w:tcW w:w="849" w:type="dxa"/>
            <w:vAlign w:val="center"/>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2,80</w:t>
            </w:r>
          </w:p>
        </w:tc>
        <w:tc>
          <w:tcPr>
            <w:tcW w:w="4577" w:type="dxa"/>
            <w:vAlign w:val="center"/>
          </w:tcPr>
          <w:p w:rsidR="00845B07" w:rsidRPr="00F112A1" w:rsidRDefault="00F112A1" w:rsidP="00845B07">
            <w:pPr>
              <w:rPr>
                <w:rFonts w:asciiTheme="minorHAnsi" w:hAnsiTheme="minorHAnsi" w:cstheme="minorHAnsi"/>
                <w:sz w:val="18"/>
                <w:szCs w:val="18"/>
              </w:rPr>
            </w:pPr>
            <w:r>
              <w:rPr>
                <w:rFonts w:asciiTheme="minorHAnsi" w:hAnsiTheme="minorHAnsi" w:cstheme="minorHAnsi"/>
                <w:sz w:val="18"/>
                <w:szCs w:val="18"/>
              </w:rPr>
              <w:t>V</w:t>
            </w:r>
            <w:r w:rsidR="00845B07" w:rsidRPr="00F112A1">
              <w:rPr>
                <w:rFonts w:asciiTheme="minorHAnsi" w:hAnsiTheme="minorHAnsi" w:cstheme="minorHAnsi"/>
                <w:sz w:val="18"/>
                <w:szCs w:val="18"/>
              </w:rPr>
              <w:t>ýkup pozemku a infrastruktury v k.</w:t>
            </w:r>
            <w:r>
              <w:rPr>
                <w:rFonts w:asciiTheme="minorHAnsi" w:hAnsiTheme="minorHAnsi" w:cstheme="minorHAnsi"/>
                <w:sz w:val="18"/>
                <w:szCs w:val="18"/>
              </w:rPr>
              <w:t xml:space="preserve"> </w:t>
            </w:r>
            <w:r w:rsidR="00845B07" w:rsidRPr="00F112A1">
              <w:rPr>
                <w:rFonts w:asciiTheme="minorHAnsi" w:hAnsiTheme="minorHAnsi" w:cstheme="minorHAnsi"/>
                <w:sz w:val="18"/>
                <w:szCs w:val="18"/>
              </w:rPr>
              <w:t>ú. Domamyslice</w:t>
            </w:r>
          </w:p>
        </w:tc>
        <w:tc>
          <w:tcPr>
            <w:tcW w:w="1725" w:type="dxa"/>
            <w:vAlign w:val="center"/>
          </w:tcPr>
          <w:p w:rsidR="00845B07" w:rsidRPr="00F112A1" w:rsidRDefault="00845B07" w:rsidP="00845B07">
            <w:pPr>
              <w:rPr>
                <w:rFonts w:asciiTheme="minorHAnsi" w:hAnsiTheme="minorHAnsi" w:cstheme="minorHAnsi"/>
                <w:b/>
                <w:sz w:val="18"/>
                <w:szCs w:val="18"/>
              </w:rPr>
            </w:pPr>
            <w:r w:rsidRPr="00F112A1">
              <w:rPr>
                <w:rFonts w:asciiTheme="minorHAnsi" w:hAnsiTheme="minorHAnsi" w:cstheme="minorHAnsi"/>
                <w:b/>
                <w:sz w:val="18"/>
                <w:szCs w:val="18"/>
              </w:rPr>
              <w:t>ROZOP realizováno</w:t>
            </w:r>
          </w:p>
        </w:tc>
      </w:tr>
      <w:tr w:rsidR="00845B07" w:rsidRPr="00F112A1" w:rsidTr="00F112A1">
        <w:tc>
          <w:tcPr>
            <w:tcW w:w="1498" w:type="dxa"/>
            <w:vAlign w:val="center"/>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RM/2022/113/03</w:t>
            </w:r>
          </w:p>
        </w:tc>
        <w:tc>
          <w:tcPr>
            <w:tcW w:w="1127" w:type="dxa"/>
            <w:vAlign w:val="center"/>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05.04.</w:t>
            </w:r>
          </w:p>
        </w:tc>
        <w:tc>
          <w:tcPr>
            <w:tcW w:w="849" w:type="dxa"/>
            <w:vAlign w:val="center"/>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21,80</w:t>
            </w:r>
          </w:p>
        </w:tc>
        <w:tc>
          <w:tcPr>
            <w:tcW w:w="4577" w:type="dxa"/>
            <w:vAlign w:val="center"/>
          </w:tcPr>
          <w:p w:rsidR="00845B07" w:rsidRPr="00F112A1" w:rsidRDefault="00F112A1" w:rsidP="00845B07">
            <w:pPr>
              <w:rPr>
                <w:rFonts w:asciiTheme="minorHAnsi" w:hAnsiTheme="minorHAnsi" w:cstheme="minorHAnsi"/>
                <w:sz w:val="18"/>
                <w:szCs w:val="18"/>
              </w:rPr>
            </w:pPr>
            <w:r>
              <w:rPr>
                <w:rFonts w:asciiTheme="minorHAnsi" w:hAnsiTheme="minorHAnsi" w:cstheme="minorHAnsi"/>
                <w:sz w:val="18"/>
                <w:szCs w:val="18"/>
              </w:rPr>
              <w:t>V</w:t>
            </w:r>
            <w:r w:rsidR="00845B07" w:rsidRPr="00F112A1">
              <w:rPr>
                <w:rFonts w:asciiTheme="minorHAnsi" w:hAnsiTheme="minorHAnsi" w:cstheme="minorHAnsi"/>
                <w:sz w:val="18"/>
                <w:szCs w:val="18"/>
              </w:rPr>
              <w:t>ýměna kotle na velodromu</w:t>
            </w:r>
          </w:p>
        </w:tc>
        <w:tc>
          <w:tcPr>
            <w:tcW w:w="1725" w:type="dxa"/>
            <w:vAlign w:val="center"/>
          </w:tcPr>
          <w:p w:rsidR="00845B07" w:rsidRPr="00F112A1" w:rsidRDefault="00845B07" w:rsidP="00845B07">
            <w:pPr>
              <w:rPr>
                <w:rFonts w:asciiTheme="minorHAnsi" w:hAnsiTheme="minorHAnsi" w:cstheme="minorHAnsi"/>
                <w:b/>
                <w:sz w:val="18"/>
                <w:szCs w:val="18"/>
              </w:rPr>
            </w:pPr>
            <w:r w:rsidRPr="00F112A1">
              <w:rPr>
                <w:rFonts w:asciiTheme="minorHAnsi" w:hAnsiTheme="minorHAnsi" w:cstheme="minorHAnsi"/>
                <w:b/>
                <w:sz w:val="18"/>
                <w:szCs w:val="18"/>
              </w:rPr>
              <w:t>ROZOP realizováno</w:t>
            </w:r>
          </w:p>
        </w:tc>
      </w:tr>
      <w:tr w:rsidR="00845B07" w:rsidRPr="00F112A1" w:rsidTr="00F112A1">
        <w:tc>
          <w:tcPr>
            <w:tcW w:w="1498" w:type="dxa"/>
            <w:vAlign w:val="center"/>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ZM/2022/30/20</w:t>
            </w:r>
          </w:p>
        </w:tc>
        <w:tc>
          <w:tcPr>
            <w:tcW w:w="1127" w:type="dxa"/>
            <w:vAlign w:val="center"/>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05.04.</w:t>
            </w:r>
          </w:p>
        </w:tc>
        <w:tc>
          <w:tcPr>
            <w:tcW w:w="849" w:type="dxa"/>
            <w:vAlign w:val="center"/>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2 024,75</w:t>
            </w:r>
          </w:p>
        </w:tc>
        <w:tc>
          <w:tcPr>
            <w:tcW w:w="4577" w:type="dxa"/>
            <w:vAlign w:val="center"/>
          </w:tcPr>
          <w:p w:rsidR="00845B07" w:rsidRPr="00F112A1" w:rsidRDefault="00F112A1" w:rsidP="00845B07">
            <w:pPr>
              <w:rPr>
                <w:rFonts w:asciiTheme="minorHAnsi" w:hAnsiTheme="minorHAnsi" w:cstheme="minorHAnsi"/>
                <w:sz w:val="18"/>
                <w:szCs w:val="18"/>
              </w:rPr>
            </w:pPr>
            <w:r>
              <w:rPr>
                <w:rFonts w:asciiTheme="minorHAnsi" w:hAnsiTheme="minorHAnsi" w:cstheme="minorHAnsi"/>
                <w:sz w:val="18"/>
                <w:szCs w:val="18"/>
              </w:rPr>
              <w:t>V</w:t>
            </w:r>
            <w:r w:rsidR="00845B07" w:rsidRPr="00F112A1">
              <w:rPr>
                <w:rFonts w:asciiTheme="minorHAnsi" w:hAnsiTheme="minorHAnsi" w:cstheme="minorHAnsi"/>
                <w:sz w:val="18"/>
                <w:szCs w:val="18"/>
              </w:rPr>
              <w:t>ýkup pozemků v k.</w:t>
            </w:r>
            <w:r>
              <w:rPr>
                <w:rFonts w:asciiTheme="minorHAnsi" w:hAnsiTheme="minorHAnsi" w:cstheme="minorHAnsi"/>
                <w:sz w:val="18"/>
                <w:szCs w:val="18"/>
              </w:rPr>
              <w:t xml:space="preserve"> </w:t>
            </w:r>
            <w:r w:rsidR="00845B07" w:rsidRPr="00F112A1">
              <w:rPr>
                <w:rFonts w:asciiTheme="minorHAnsi" w:hAnsiTheme="minorHAnsi" w:cstheme="minorHAnsi"/>
                <w:sz w:val="18"/>
                <w:szCs w:val="18"/>
              </w:rPr>
              <w:t>ú. Prostějov a k.</w:t>
            </w:r>
            <w:r>
              <w:rPr>
                <w:rFonts w:asciiTheme="minorHAnsi" w:hAnsiTheme="minorHAnsi" w:cstheme="minorHAnsi"/>
                <w:sz w:val="18"/>
                <w:szCs w:val="18"/>
              </w:rPr>
              <w:t xml:space="preserve"> </w:t>
            </w:r>
            <w:r w:rsidR="00845B07" w:rsidRPr="00F112A1">
              <w:rPr>
                <w:rFonts w:asciiTheme="minorHAnsi" w:hAnsiTheme="minorHAnsi" w:cstheme="minorHAnsi"/>
                <w:sz w:val="18"/>
                <w:szCs w:val="18"/>
              </w:rPr>
              <w:t>ú. Krasice</w:t>
            </w:r>
          </w:p>
        </w:tc>
        <w:tc>
          <w:tcPr>
            <w:tcW w:w="1725" w:type="dxa"/>
            <w:vAlign w:val="center"/>
          </w:tcPr>
          <w:p w:rsidR="00845B07" w:rsidRPr="00F112A1" w:rsidRDefault="00845B07" w:rsidP="00845B07">
            <w:pPr>
              <w:rPr>
                <w:rFonts w:asciiTheme="minorHAnsi" w:hAnsiTheme="minorHAnsi" w:cstheme="minorHAnsi"/>
                <w:b/>
                <w:sz w:val="18"/>
                <w:szCs w:val="18"/>
              </w:rPr>
            </w:pPr>
            <w:r w:rsidRPr="00F112A1">
              <w:rPr>
                <w:rFonts w:asciiTheme="minorHAnsi" w:hAnsiTheme="minorHAnsi" w:cstheme="minorHAnsi"/>
                <w:b/>
                <w:sz w:val="18"/>
                <w:szCs w:val="18"/>
              </w:rPr>
              <w:t>ROZOP realizováno</w:t>
            </w:r>
          </w:p>
        </w:tc>
      </w:tr>
      <w:tr w:rsidR="00845B07" w:rsidRPr="00F112A1" w:rsidTr="00F112A1">
        <w:tc>
          <w:tcPr>
            <w:tcW w:w="1498" w:type="dxa"/>
            <w:vAlign w:val="center"/>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ZM/2022/30/22</w:t>
            </w:r>
          </w:p>
        </w:tc>
        <w:tc>
          <w:tcPr>
            <w:tcW w:w="1127" w:type="dxa"/>
            <w:vAlign w:val="center"/>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05.04.</w:t>
            </w:r>
          </w:p>
        </w:tc>
        <w:tc>
          <w:tcPr>
            <w:tcW w:w="849" w:type="dxa"/>
            <w:vAlign w:val="center"/>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815,49</w:t>
            </w:r>
          </w:p>
        </w:tc>
        <w:tc>
          <w:tcPr>
            <w:tcW w:w="4577" w:type="dxa"/>
            <w:vAlign w:val="center"/>
          </w:tcPr>
          <w:p w:rsidR="00845B07" w:rsidRPr="00F112A1" w:rsidRDefault="00F112A1" w:rsidP="00845B07">
            <w:pPr>
              <w:rPr>
                <w:rFonts w:asciiTheme="minorHAnsi" w:hAnsiTheme="minorHAnsi" w:cstheme="minorHAnsi"/>
                <w:sz w:val="18"/>
                <w:szCs w:val="18"/>
              </w:rPr>
            </w:pPr>
            <w:r>
              <w:rPr>
                <w:rFonts w:asciiTheme="minorHAnsi" w:hAnsiTheme="minorHAnsi" w:cstheme="minorHAnsi"/>
                <w:sz w:val="18"/>
                <w:szCs w:val="18"/>
              </w:rPr>
              <w:t>S</w:t>
            </w:r>
            <w:r w:rsidR="00845B07" w:rsidRPr="00F112A1">
              <w:rPr>
                <w:rFonts w:asciiTheme="minorHAnsi" w:hAnsiTheme="minorHAnsi" w:cstheme="minorHAnsi"/>
                <w:sz w:val="18"/>
                <w:szCs w:val="18"/>
              </w:rPr>
              <w:t>měna pozemků v k.</w:t>
            </w:r>
            <w:r>
              <w:rPr>
                <w:rFonts w:asciiTheme="minorHAnsi" w:hAnsiTheme="minorHAnsi" w:cstheme="minorHAnsi"/>
                <w:sz w:val="18"/>
                <w:szCs w:val="18"/>
              </w:rPr>
              <w:t xml:space="preserve"> </w:t>
            </w:r>
            <w:r w:rsidR="00845B07" w:rsidRPr="00F112A1">
              <w:rPr>
                <w:rFonts w:asciiTheme="minorHAnsi" w:hAnsiTheme="minorHAnsi" w:cstheme="minorHAnsi"/>
                <w:sz w:val="18"/>
                <w:szCs w:val="18"/>
              </w:rPr>
              <w:t>ú. Prostějov a k.</w:t>
            </w:r>
            <w:r>
              <w:rPr>
                <w:rFonts w:asciiTheme="minorHAnsi" w:hAnsiTheme="minorHAnsi" w:cstheme="minorHAnsi"/>
                <w:sz w:val="18"/>
                <w:szCs w:val="18"/>
              </w:rPr>
              <w:t xml:space="preserve"> ú. Čechovice u </w:t>
            </w:r>
            <w:r w:rsidR="00845B07" w:rsidRPr="00F112A1">
              <w:rPr>
                <w:rFonts w:asciiTheme="minorHAnsi" w:hAnsiTheme="minorHAnsi" w:cstheme="minorHAnsi"/>
                <w:sz w:val="18"/>
                <w:szCs w:val="18"/>
              </w:rPr>
              <w:t>Prostějova</w:t>
            </w:r>
          </w:p>
        </w:tc>
        <w:tc>
          <w:tcPr>
            <w:tcW w:w="1725" w:type="dxa"/>
            <w:vAlign w:val="center"/>
          </w:tcPr>
          <w:p w:rsidR="00845B07" w:rsidRPr="00F112A1" w:rsidRDefault="00845B07" w:rsidP="00845B07">
            <w:pPr>
              <w:rPr>
                <w:rFonts w:asciiTheme="minorHAnsi" w:hAnsiTheme="minorHAnsi" w:cstheme="minorHAnsi"/>
                <w:b/>
                <w:sz w:val="18"/>
                <w:szCs w:val="18"/>
              </w:rPr>
            </w:pPr>
            <w:r w:rsidRPr="00F112A1">
              <w:rPr>
                <w:rFonts w:asciiTheme="minorHAnsi" w:hAnsiTheme="minorHAnsi" w:cstheme="minorHAnsi"/>
                <w:b/>
                <w:sz w:val="18"/>
                <w:szCs w:val="18"/>
              </w:rPr>
              <w:t>ROZOP realizováno</w:t>
            </w:r>
          </w:p>
        </w:tc>
      </w:tr>
      <w:tr w:rsidR="00845B07" w:rsidRPr="00F112A1" w:rsidTr="00F112A1">
        <w:tc>
          <w:tcPr>
            <w:tcW w:w="1498" w:type="dxa"/>
            <w:vAlign w:val="center"/>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RM/2022/113/56</w:t>
            </w:r>
          </w:p>
        </w:tc>
        <w:tc>
          <w:tcPr>
            <w:tcW w:w="1127" w:type="dxa"/>
            <w:vAlign w:val="center"/>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19.04.</w:t>
            </w:r>
          </w:p>
        </w:tc>
        <w:tc>
          <w:tcPr>
            <w:tcW w:w="849" w:type="dxa"/>
            <w:vAlign w:val="center"/>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150,00</w:t>
            </w:r>
          </w:p>
        </w:tc>
        <w:tc>
          <w:tcPr>
            <w:tcW w:w="4577" w:type="dxa"/>
            <w:vAlign w:val="center"/>
          </w:tcPr>
          <w:p w:rsidR="00845B07" w:rsidRPr="00F112A1" w:rsidRDefault="00F112A1" w:rsidP="00845B07">
            <w:pPr>
              <w:rPr>
                <w:rFonts w:asciiTheme="minorHAnsi" w:hAnsiTheme="minorHAnsi" w:cstheme="minorHAnsi"/>
                <w:sz w:val="18"/>
                <w:szCs w:val="18"/>
              </w:rPr>
            </w:pPr>
            <w:r>
              <w:rPr>
                <w:rFonts w:asciiTheme="minorHAnsi" w:hAnsiTheme="minorHAnsi" w:cstheme="minorHAnsi"/>
                <w:sz w:val="18"/>
                <w:szCs w:val="18"/>
              </w:rPr>
              <w:t>Ú</w:t>
            </w:r>
            <w:r w:rsidR="00845B07" w:rsidRPr="00F112A1">
              <w:rPr>
                <w:rFonts w:asciiTheme="minorHAnsi" w:hAnsiTheme="minorHAnsi" w:cstheme="minorHAnsi"/>
                <w:sz w:val="18"/>
                <w:szCs w:val="18"/>
              </w:rPr>
              <w:t>hrada energií (plyn) – Husovo nám. 91</w:t>
            </w:r>
          </w:p>
        </w:tc>
        <w:tc>
          <w:tcPr>
            <w:tcW w:w="1725" w:type="dxa"/>
            <w:vAlign w:val="center"/>
          </w:tcPr>
          <w:p w:rsidR="00845B07" w:rsidRPr="00F112A1" w:rsidRDefault="00845B07" w:rsidP="00845B07">
            <w:pPr>
              <w:rPr>
                <w:rFonts w:asciiTheme="minorHAnsi" w:hAnsiTheme="minorHAnsi" w:cstheme="minorHAnsi"/>
                <w:b/>
                <w:sz w:val="18"/>
                <w:szCs w:val="18"/>
              </w:rPr>
            </w:pPr>
            <w:r w:rsidRPr="00F112A1">
              <w:rPr>
                <w:rFonts w:asciiTheme="minorHAnsi" w:hAnsiTheme="minorHAnsi" w:cstheme="minorHAnsi"/>
                <w:b/>
                <w:sz w:val="18"/>
                <w:szCs w:val="18"/>
              </w:rPr>
              <w:t>ROZOP realizováno</w:t>
            </w:r>
          </w:p>
        </w:tc>
      </w:tr>
      <w:tr w:rsidR="00845B07" w:rsidRPr="00F112A1" w:rsidTr="00F112A1">
        <w:tc>
          <w:tcPr>
            <w:tcW w:w="1498" w:type="dxa"/>
            <w:vAlign w:val="center"/>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RM/2022/115/45</w:t>
            </w:r>
          </w:p>
        </w:tc>
        <w:tc>
          <w:tcPr>
            <w:tcW w:w="1127" w:type="dxa"/>
            <w:vAlign w:val="center"/>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17.05.</w:t>
            </w:r>
          </w:p>
        </w:tc>
        <w:tc>
          <w:tcPr>
            <w:tcW w:w="849" w:type="dxa"/>
            <w:vAlign w:val="center"/>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100,00</w:t>
            </w:r>
          </w:p>
        </w:tc>
        <w:tc>
          <w:tcPr>
            <w:tcW w:w="4577" w:type="dxa"/>
            <w:vAlign w:val="center"/>
          </w:tcPr>
          <w:p w:rsidR="00845B07" w:rsidRPr="00F112A1" w:rsidRDefault="00845B07" w:rsidP="00845B07">
            <w:pPr>
              <w:rPr>
                <w:rFonts w:asciiTheme="minorHAnsi" w:hAnsiTheme="minorHAnsi" w:cstheme="minorHAnsi"/>
                <w:sz w:val="18"/>
                <w:szCs w:val="18"/>
              </w:rPr>
            </w:pPr>
            <w:r w:rsidRPr="00F112A1">
              <w:rPr>
                <w:rFonts w:asciiTheme="minorHAnsi" w:hAnsiTheme="minorHAnsi" w:cstheme="minorHAnsi"/>
                <w:sz w:val="18"/>
                <w:szCs w:val="18"/>
              </w:rPr>
              <w:t xml:space="preserve">Nákup DHDM – lavičky, odpadkové koše (přednádražní prostor) </w:t>
            </w:r>
          </w:p>
        </w:tc>
        <w:tc>
          <w:tcPr>
            <w:tcW w:w="1725" w:type="dxa"/>
            <w:vAlign w:val="center"/>
          </w:tcPr>
          <w:p w:rsidR="00845B07" w:rsidRPr="00F112A1" w:rsidRDefault="00845B07" w:rsidP="00845B07">
            <w:pPr>
              <w:rPr>
                <w:rFonts w:asciiTheme="minorHAnsi" w:hAnsiTheme="minorHAnsi" w:cstheme="minorHAnsi"/>
                <w:b/>
                <w:sz w:val="18"/>
                <w:szCs w:val="18"/>
              </w:rPr>
            </w:pPr>
            <w:r w:rsidRPr="00F112A1">
              <w:rPr>
                <w:rFonts w:asciiTheme="minorHAnsi" w:hAnsiTheme="minorHAnsi" w:cstheme="minorHAnsi"/>
                <w:b/>
                <w:sz w:val="18"/>
                <w:szCs w:val="18"/>
              </w:rPr>
              <w:t>ROZOP realizováno</w:t>
            </w:r>
          </w:p>
        </w:tc>
      </w:tr>
      <w:tr w:rsidR="00845B07" w:rsidRPr="00F112A1" w:rsidTr="00F112A1">
        <w:tc>
          <w:tcPr>
            <w:tcW w:w="1498" w:type="dxa"/>
            <w:vAlign w:val="center"/>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RM/2022/116/58</w:t>
            </w:r>
          </w:p>
        </w:tc>
        <w:tc>
          <w:tcPr>
            <w:tcW w:w="1127" w:type="dxa"/>
            <w:vAlign w:val="center"/>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31.05.</w:t>
            </w:r>
          </w:p>
        </w:tc>
        <w:tc>
          <w:tcPr>
            <w:tcW w:w="849" w:type="dxa"/>
            <w:vAlign w:val="center"/>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60,50</w:t>
            </w:r>
          </w:p>
        </w:tc>
        <w:tc>
          <w:tcPr>
            <w:tcW w:w="4577" w:type="dxa"/>
            <w:vAlign w:val="center"/>
          </w:tcPr>
          <w:p w:rsidR="00845B07" w:rsidRPr="00F112A1" w:rsidRDefault="00F112A1" w:rsidP="00845B07">
            <w:pPr>
              <w:rPr>
                <w:rFonts w:asciiTheme="minorHAnsi" w:hAnsiTheme="minorHAnsi" w:cstheme="minorHAnsi"/>
                <w:sz w:val="18"/>
                <w:szCs w:val="18"/>
              </w:rPr>
            </w:pPr>
            <w:r>
              <w:rPr>
                <w:rFonts w:asciiTheme="minorHAnsi" w:hAnsiTheme="minorHAnsi" w:cstheme="minorHAnsi"/>
                <w:sz w:val="18"/>
                <w:szCs w:val="18"/>
              </w:rPr>
              <w:t>S</w:t>
            </w:r>
            <w:r w:rsidR="00845B07" w:rsidRPr="00F112A1">
              <w:rPr>
                <w:rFonts w:asciiTheme="minorHAnsi" w:hAnsiTheme="minorHAnsi" w:cstheme="minorHAnsi"/>
                <w:sz w:val="18"/>
                <w:szCs w:val="18"/>
              </w:rPr>
              <w:t>ady na separaci rostlinných olejů</w:t>
            </w:r>
          </w:p>
        </w:tc>
        <w:tc>
          <w:tcPr>
            <w:tcW w:w="1725" w:type="dxa"/>
            <w:vAlign w:val="center"/>
          </w:tcPr>
          <w:p w:rsidR="00845B07" w:rsidRPr="00F112A1" w:rsidRDefault="00845B07" w:rsidP="00845B07">
            <w:pPr>
              <w:rPr>
                <w:rFonts w:asciiTheme="minorHAnsi" w:hAnsiTheme="minorHAnsi" w:cstheme="minorHAnsi"/>
                <w:b/>
                <w:sz w:val="18"/>
                <w:szCs w:val="18"/>
              </w:rPr>
            </w:pPr>
            <w:r w:rsidRPr="00F112A1">
              <w:rPr>
                <w:rFonts w:asciiTheme="minorHAnsi" w:hAnsiTheme="minorHAnsi" w:cstheme="minorHAnsi"/>
                <w:b/>
                <w:sz w:val="18"/>
                <w:szCs w:val="18"/>
              </w:rPr>
              <w:t>ROZOP realizováno</w:t>
            </w:r>
          </w:p>
        </w:tc>
      </w:tr>
      <w:tr w:rsidR="00845B07" w:rsidRPr="00F112A1" w:rsidTr="00F112A1">
        <w:tc>
          <w:tcPr>
            <w:tcW w:w="1498" w:type="dxa"/>
            <w:vAlign w:val="center"/>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RM/2022/116/59</w:t>
            </w:r>
          </w:p>
        </w:tc>
        <w:tc>
          <w:tcPr>
            <w:tcW w:w="1127" w:type="dxa"/>
            <w:vAlign w:val="center"/>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31.05.</w:t>
            </w:r>
          </w:p>
        </w:tc>
        <w:tc>
          <w:tcPr>
            <w:tcW w:w="849" w:type="dxa"/>
            <w:vAlign w:val="center"/>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43,70</w:t>
            </w:r>
          </w:p>
        </w:tc>
        <w:tc>
          <w:tcPr>
            <w:tcW w:w="4577" w:type="dxa"/>
            <w:vAlign w:val="center"/>
          </w:tcPr>
          <w:p w:rsidR="00845B07" w:rsidRPr="00F112A1" w:rsidRDefault="00F112A1" w:rsidP="00845B07">
            <w:pPr>
              <w:rPr>
                <w:rFonts w:asciiTheme="minorHAnsi" w:hAnsiTheme="minorHAnsi" w:cstheme="minorHAnsi"/>
                <w:sz w:val="18"/>
                <w:szCs w:val="18"/>
              </w:rPr>
            </w:pPr>
            <w:r>
              <w:rPr>
                <w:rFonts w:asciiTheme="minorHAnsi" w:hAnsiTheme="minorHAnsi" w:cstheme="minorHAnsi"/>
                <w:sz w:val="18"/>
                <w:szCs w:val="18"/>
              </w:rPr>
              <w:t>P</w:t>
            </w:r>
            <w:r w:rsidR="00845B07" w:rsidRPr="00F112A1">
              <w:rPr>
                <w:rFonts w:asciiTheme="minorHAnsi" w:hAnsiTheme="minorHAnsi" w:cstheme="minorHAnsi"/>
                <w:sz w:val="18"/>
                <w:szCs w:val="18"/>
              </w:rPr>
              <w:t>ořízení D</w:t>
            </w:r>
            <w:r>
              <w:rPr>
                <w:rFonts w:asciiTheme="minorHAnsi" w:hAnsiTheme="minorHAnsi" w:cstheme="minorHAnsi"/>
                <w:sz w:val="18"/>
                <w:szCs w:val="18"/>
              </w:rPr>
              <w:t xml:space="preserve">HDM – kamerový systém pro sportovní </w:t>
            </w:r>
            <w:r w:rsidR="00845B07" w:rsidRPr="00F112A1">
              <w:rPr>
                <w:rFonts w:asciiTheme="minorHAnsi" w:hAnsiTheme="minorHAnsi" w:cstheme="minorHAnsi"/>
                <w:sz w:val="18"/>
                <w:szCs w:val="18"/>
              </w:rPr>
              <w:t>areál</w:t>
            </w:r>
          </w:p>
        </w:tc>
        <w:tc>
          <w:tcPr>
            <w:tcW w:w="1725" w:type="dxa"/>
            <w:vAlign w:val="center"/>
          </w:tcPr>
          <w:p w:rsidR="00845B07" w:rsidRPr="00F112A1" w:rsidRDefault="00845B07" w:rsidP="00845B07">
            <w:pPr>
              <w:rPr>
                <w:rFonts w:asciiTheme="minorHAnsi" w:hAnsiTheme="minorHAnsi" w:cstheme="minorHAnsi"/>
                <w:b/>
                <w:sz w:val="18"/>
                <w:szCs w:val="18"/>
              </w:rPr>
            </w:pPr>
            <w:r w:rsidRPr="00F112A1">
              <w:rPr>
                <w:rFonts w:asciiTheme="minorHAnsi" w:hAnsiTheme="minorHAnsi" w:cstheme="minorHAnsi"/>
                <w:b/>
                <w:sz w:val="18"/>
                <w:szCs w:val="18"/>
              </w:rPr>
              <w:t>ROZOP realizováno</w:t>
            </w:r>
          </w:p>
        </w:tc>
      </w:tr>
      <w:tr w:rsidR="00845B07" w:rsidRPr="00F112A1" w:rsidTr="00F112A1">
        <w:tc>
          <w:tcPr>
            <w:tcW w:w="1498" w:type="dxa"/>
            <w:vAlign w:val="center"/>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ZM/2022/32/52</w:t>
            </w:r>
          </w:p>
        </w:tc>
        <w:tc>
          <w:tcPr>
            <w:tcW w:w="1127" w:type="dxa"/>
            <w:vAlign w:val="center"/>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14.06.</w:t>
            </w:r>
          </w:p>
        </w:tc>
        <w:tc>
          <w:tcPr>
            <w:tcW w:w="849" w:type="dxa"/>
            <w:vAlign w:val="center"/>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713,90</w:t>
            </w:r>
          </w:p>
        </w:tc>
        <w:tc>
          <w:tcPr>
            <w:tcW w:w="4577" w:type="dxa"/>
            <w:vAlign w:val="center"/>
          </w:tcPr>
          <w:p w:rsidR="00845B07" w:rsidRPr="00F112A1" w:rsidRDefault="00F112A1" w:rsidP="00845B07">
            <w:pPr>
              <w:rPr>
                <w:rFonts w:asciiTheme="minorHAnsi" w:hAnsiTheme="minorHAnsi" w:cstheme="minorHAnsi"/>
                <w:sz w:val="18"/>
                <w:szCs w:val="18"/>
              </w:rPr>
            </w:pPr>
            <w:r>
              <w:rPr>
                <w:rFonts w:asciiTheme="minorHAnsi" w:hAnsiTheme="minorHAnsi" w:cstheme="minorHAnsi"/>
                <w:sz w:val="18"/>
                <w:szCs w:val="18"/>
              </w:rPr>
              <w:t>V</w:t>
            </w:r>
            <w:r w:rsidR="00845B07" w:rsidRPr="00F112A1">
              <w:rPr>
                <w:rFonts w:asciiTheme="minorHAnsi" w:hAnsiTheme="minorHAnsi" w:cstheme="minorHAnsi"/>
                <w:sz w:val="18"/>
                <w:szCs w:val="18"/>
              </w:rPr>
              <w:t>ýkup pozemků a stavby v k.</w:t>
            </w:r>
            <w:r>
              <w:rPr>
                <w:rFonts w:asciiTheme="minorHAnsi" w:hAnsiTheme="minorHAnsi" w:cstheme="minorHAnsi"/>
                <w:sz w:val="18"/>
                <w:szCs w:val="18"/>
              </w:rPr>
              <w:t xml:space="preserve"> </w:t>
            </w:r>
            <w:r w:rsidR="00845B07" w:rsidRPr="00F112A1">
              <w:rPr>
                <w:rFonts w:asciiTheme="minorHAnsi" w:hAnsiTheme="minorHAnsi" w:cstheme="minorHAnsi"/>
                <w:sz w:val="18"/>
                <w:szCs w:val="18"/>
              </w:rPr>
              <w:t>ú. Prostějov</w:t>
            </w:r>
          </w:p>
        </w:tc>
        <w:tc>
          <w:tcPr>
            <w:tcW w:w="1725" w:type="dxa"/>
            <w:vAlign w:val="center"/>
          </w:tcPr>
          <w:p w:rsidR="00845B07" w:rsidRPr="00F112A1" w:rsidRDefault="00845B07" w:rsidP="00845B07">
            <w:pPr>
              <w:rPr>
                <w:rFonts w:asciiTheme="minorHAnsi" w:hAnsiTheme="minorHAnsi" w:cstheme="minorHAnsi"/>
                <w:b/>
                <w:sz w:val="18"/>
                <w:szCs w:val="18"/>
              </w:rPr>
            </w:pPr>
            <w:r w:rsidRPr="00F112A1">
              <w:rPr>
                <w:rFonts w:asciiTheme="minorHAnsi" w:hAnsiTheme="minorHAnsi" w:cstheme="minorHAnsi"/>
                <w:b/>
                <w:sz w:val="18"/>
                <w:szCs w:val="18"/>
              </w:rPr>
              <w:t xml:space="preserve">ROZOP realizováno </w:t>
            </w:r>
          </w:p>
        </w:tc>
      </w:tr>
      <w:tr w:rsidR="00845B07" w:rsidRPr="00F112A1" w:rsidTr="00F112A1">
        <w:tc>
          <w:tcPr>
            <w:tcW w:w="1498" w:type="dxa"/>
            <w:vAlign w:val="center"/>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RM/2022/121/36</w:t>
            </w:r>
          </w:p>
        </w:tc>
        <w:tc>
          <w:tcPr>
            <w:tcW w:w="1127" w:type="dxa"/>
            <w:vAlign w:val="center"/>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02.08.</w:t>
            </w:r>
          </w:p>
        </w:tc>
        <w:tc>
          <w:tcPr>
            <w:tcW w:w="849" w:type="dxa"/>
            <w:vAlign w:val="center"/>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91,911</w:t>
            </w:r>
          </w:p>
        </w:tc>
        <w:tc>
          <w:tcPr>
            <w:tcW w:w="4577" w:type="dxa"/>
            <w:vAlign w:val="center"/>
          </w:tcPr>
          <w:p w:rsidR="00845B07" w:rsidRPr="00F112A1" w:rsidRDefault="00F112A1" w:rsidP="00845B07">
            <w:pPr>
              <w:rPr>
                <w:rFonts w:asciiTheme="minorHAnsi" w:hAnsiTheme="minorHAnsi" w:cstheme="minorHAnsi"/>
                <w:sz w:val="18"/>
                <w:szCs w:val="18"/>
              </w:rPr>
            </w:pPr>
            <w:r>
              <w:rPr>
                <w:rFonts w:asciiTheme="minorHAnsi" w:hAnsiTheme="minorHAnsi" w:cstheme="minorHAnsi"/>
                <w:sz w:val="18"/>
                <w:szCs w:val="18"/>
              </w:rPr>
              <w:t>Ozvučení pro sportovní areály – převod a navýšení finančních prostředků</w:t>
            </w:r>
          </w:p>
        </w:tc>
        <w:tc>
          <w:tcPr>
            <w:tcW w:w="1725" w:type="dxa"/>
            <w:vAlign w:val="center"/>
          </w:tcPr>
          <w:p w:rsidR="00845B07" w:rsidRPr="00F112A1" w:rsidRDefault="00845B07" w:rsidP="00845B07">
            <w:pPr>
              <w:rPr>
                <w:rFonts w:asciiTheme="minorHAnsi" w:hAnsiTheme="minorHAnsi" w:cstheme="minorHAnsi"/>
                <w:b/>
                <w:sz w:val="18"/>
                <w:szCs w:val="18"/>
              </w:rPr>
            </w:pPr>
            <w:r w:rsidRPr="00F112A1">
              <w:rPr>
                <w:rFonts w:asciiTheme="minorHAnsi" w:hAnsiTheme="minorHAnsi" w:cstheme="minorHAnsi"/>
                <w:b/>
                <w:sz w:val="18"/>
                <w:szCs w:val="18"/>
              </w:rPr>
              <w:t>ROZOP realizováno</w:t>
            </w:r>
          </w:p>
        </w:tc>
      </w:tr>
      <w:tr w:rsidR="00845B07" w:rsidRPr="00F112A1" w:rsidTr="00F112A1">
        <w:tc>
          <w:tcPr>
            <w:tcW w:w="1498" w:type="dxa"/>
            <w:vAlign w:val="center"/>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ZM/2022/33/31</w:t>
            </w:r>
          </w:p>
        </w:tc>
        <w:tc>
          <w:tcPr>
            <w:tcW w:w="1127" w:type="dxa"/>
            <w:vAlign w:val="center"/>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06.09.</w:t>
            </w:r>
          </w:p>
        </w:tc>
        <w:tc>
          <w:tcPr>
            <w:tcW w:w="849" w:type="dxa"/>
            <w:vAlign w:val="center"/>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220,00</w:t>
            </w:r>
          </w:p>
        </w:tc>
        <w:tc>
          <w:tcPr>
            <w:tcW w:w="4577" w:type="dxa"/>
            <w:vAlign w:val="center"/>
          </w:tcPr>
          <w:p w:rsidR="00845B07" w:rsidRPr="00F112A1" w:rsidRDefault="00F112A1" w:rsidP="00845B07">
            <w:pPr>
              <w:rPr>
                <w:rFonts w:asciiTheme="minorHAnsi" w:hAnsiTheme="minorHAnsi" w:cstheme="minorHAnsi"/>
                <w:sz w:val="18"/>
                <w:szCs w:val="18"/>
              </w:rPr>
            </w:pPr>
            <w:r>
              <w:rPr>
                <w:rFonts w:asciiTheme="minorHAnsi" w:hAnsiTheme="minorHAnsi" w:cstheme="minorHAnsi"/>
                <w:sz w:val="18"/>
                <w:szCs w:val="18"/>
              </w:rPr>
              <w:t>V</w:t>
            </w:r>
            <w:r w:rsidR="00845B07" w:rsidRPr="00F112A1">
              <w:rPr>
                <w:rFonts w:asciiTheme="minorHAnsi" w:hAnsiTheme="minorHAnsi" w:cstheme="minorHAnsi"/>
                <w:sz w:val="18"/>
                <w:szCs w:val="18"/>
              </w:rPr>
              <w:t>ýkup části pozemků v k.</w:t>
            </w:r>
            <w:r>
              <w:rPr>
                <w:rFonts w:asciiTheme="minorHAnsi" w:hAnsiTheme="minorHAnsi" w:cstheme="minorHAnsi"/>
                <w:sz w:val="18"/>
                <w:szCs w:val="18"/>
              </w:rPr>
              <w:t xml:space="preserve"> </w:t>
            </w:r>
            <w:r w:rsidR="00845B07" w:rsidRPr="00F112A1">
              <w:rPr>
                <w:rFonts w:asciiTheme="minorHAnsi" w:hAnsiTheme="minorHAnsi" w:cstheme="minorHAnsi"/>
                <w:sz w:val="18"/>
                <w:szCs w:val="18"/>
              </w:rPr>
              <w:t>ú. Prostějov (CS Říční)</w:t>
            </w:r>
          </w:p>
        </w:tc>
        <w:tc>
          <w:tcPr>
            <w:tcW w:w="1725" w:type="dxa"/>
            <w:vAlign w:val="center"/>
          </w:tcPr>
          <w:p w:rsidR="00845B07" w:rsidRPr="00F112A1" w:rsidRDefault="00845B07" w:rsidP="00845B07">
            <w:pPr>
              <w:rPr>
                <w:rFonts w:asciiTheme="minorHAnsi" w:hAnsiTheme="minorHAnsi" w:cstheme="minorHAnsi"/>
                <w:b/>
                <w:sz w:val="18"/>
                <w:szCs w:val="18"/>
              </w:rPr>
            </w:pPr>
            <w:r w:rsidRPr="00F112A1">
              <w:rPr>
                <w:rFonts w:asciiTheme="minorHAnsi" w:hAnsiTheme="minorHAnsi" w:cstheme="minorHAnsi"/>
                <w:b/>
                <w:sz w:val="18"/>
                <w:szCs w:val="18"/>
              </w:rPr>
              <w:t>ROZOP nerealizováno, nebyly uzavřeny kupní smlouvy</w:t>
            </w:r>
          </w:p>
        </w:tc>
      </w:tr>
      <w:tr w:rsidR="00845B07" w:rsidRPr="00F112A1" w:rsidTr="00F112A1">
        <w:tc>
          <w:tcPr>
            <w:tcW w:w="1498" w:type="dxa"/>
            <w:vAlign w:val="center"/>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ZM/2022/33/32</w:t>
            </w:r>
          </w:p>
        </w:tc>
        <w:tc>
          <w:tcPr>
            <w:tcW w:w="1127" w:type="dxa"/>
            <w:vAlign w:val="center"/>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06.09.</w:t>
            </w:r>
          </w:p>
        </w:tc>
        <w:tc>
          <w:tcPr>
            <w:tcW w:w="849" w:type="dxa"/>
            <w:vAlign w:val="center"/>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215,00</w:t>
            </w:r>
          </w:p>
        </w:tc>
        <w:tc>
          <w:tcPr>
            <w:tcW w:w="4577" w:type="dxa"/>
            <w:vAlign w:val="center"/>
          </w:tcPr>
          <w:p w:rsidR="00845B07" w:rsidRPr="00F112A1" w:rsidRDefault="00F112A1" w:rsidP="00845B07">
            <w:pPr>
              <w:rPr>
                <w:rFonts w:asciiTheme="minorHAnsi" w:hAnsiTheme="minorHAnsi" w:cstheme="minorHAnsi"/>
                <w:sz w:val="18"/>
                <w:szCs w:val="18"/>
              </w:rPr>
            </w:pPr>
            <w:r>
              <w:rPr>
                <w:rFonts w:asciiTheme="minorHAnsi" w:hAnsiTheme="minorHAnsi" w:cstheme="minorHAnsi"/>
                <w:sz w:val="18"/>
                <w:szCs w:val="18"/>
              </w:rPr>
              <w:t>V</w:t>
            </w:r>
            <w:r w:rsidR="00845B07" w:rsidRPr="00F112A1">
              <w:rPr>
                <w:rFonts w:asciiTheme="minorHAnsi" w:hAnsiTheme="minorHAnsi" w:cstheme="minorHAnsi"/>
                <w:sz w:val="18"/>
                <w:szCs w:val="18"/>
              </w:rPr>
              <w:t>ýkup části pozemku v k.</w:t>
            </w:r>
            <w:r>
              <w:rPr>
                <w:rFonts w:asciiTheme="minorHAnsi" w:hAnsiTheme="minorHAnsi" w:cstheme="minorHAnsi"/>
                <w:sz w:val="18"/>
                <w:szCs w:val="18"/>
              </w:rPr>
              <w:t xml:space="preserve"> </w:t>
            </w:r>
            <w:r w:rsidR="00845B07" w:rsidRPr="00F112A1">
              <w:rPr>
                <w:rFonts w:asciiTheme="minorHAnsi" w:hAnsiTheme="minorHAnsi" w:cstheme="minorHAnsi"/>
                <w:sz w:val="18"/>
                <w:szCs w:val="18"/>
              </w:rPr>
              <w:t>ú. Prostějov</w:t>
            </w:r>
          </w:p>
        </w:tc>
        <w:tc>
          <w:tcPr>
            <w:tcW w:w="1725" w:type="dxa"/>
            <w:vAlign w:val="center"/>
          </w:tcPr>
          <w:p w:rsidR="00845B07" w:rsidRPr="00F112A1" w:rsidRDefault="00845B07" w:rsidP="00845B07">
            <w:pPr>
              <w:rPr>
                <w:rFonts w:asciiTheme="minorHAnsi" w:hAnsiTheme="minorHAnsi" w:cstheme="minorHAnsi"/>
                <w:b/>
                <w:sz w:val="18"/>
                <w:szCs w:val="18"/>
              </w:rPr>
            </w:pPr>
            <w:r w:rsidRPr="00F112A1">
              <w:rPr>
                <w:rFonts w:asciiTheme="minorHAnsi" w:hAnsiTheme="minorHAnsi" w:cstheme="minorHAnsi"/>
                <w:b/>
                <w:sz w:val="18"/>
                <w:szCs w:val="18"/>
              </w:rPr>
              <w:t>ROZOP realizováno</w:t>
            </w:r>
          </w:p>
        </w:tc>
      </w:tr>
      <w:tr w:rsidR="00845B07" w:rsidRPr="00F112A1" w:rsidTr="00F112A1">
        <w:tc>
          <w:tcPr>
            <w:tcW w:w="1498" w:type="dxa"/>
            <w:vAlign w:val="center"/>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ZM/2022/33/33</w:t>
            </w:r>
          </w:p>
        </w:tc>
        <w:tc>
          <w:tcPr>
            <w:tcW w:w="1127" w:type="dxa"/>
            <w:vAlign w:val="center"/>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06.09.</w:t>
            </w:r>
          </w:p>
        </w:tc>
        <w:tc>
          <w:tcPr>
            <w:tcW w:w="849" w:type="dxa"/>
            <w:vAlign w:val="center"/>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914,30</w:t>
            </w:r>
          </w:p>
        </w:tc>
        <w:tc>
          <w:tcPr>
            <w:tcW w:w="4577" w:type="dxa"/>
            <w:vAlign w:val="center"/>
          </w:tcPr>
          <w:p w:rsidR="00845B07" w:rsidRPr="00F112A1" w:rsidRDefault="00F112A1" w:rsidP="00845B07">
            <w:pPr>
              <w:rPr>
                <w:rFonts w:asciiTheme="minorHAnsi" w:hAnsiTheme="minorHAnsi" w:cstheme="minorHAnsi"/>
                <w:sz w:val="18"/>
                <w:szCs w:val="18"/>
              </w:rPr>
            </w:pPr>
            <w:r>
              <w:rPr>
                <w:rFonts w:asciiTheme="minorHAnsi" w:hAnsiTheme="minorHAnsi" w:cstheme="minorHAnsi"/>
                <w:sz w:val="18"/>
                <w:szCs w:val="18"/>
              </w:rPr>
              <w:t>V</w:t>
            </w:r>
            <w:r w:rsidR="00845B07" w:rsidRPr="00F112A1">
              <w:rPr>
                <w:rFonts w:asciiTheme="minorHAnsi" w:hAnsiTheme="minorHAnsi" w:cstheme="minorHAnsi"/>
                <w:sz w:val="18"/>
                <w:szCs w:val="18"/>
              </w:rPr>
              <w:t>ýkup pozemku v k.</w:t>
            </w:r>
            <w:r>
              <w:rPr>
                <w:rFonts w:asciiTheme="minorHAnsi" w:hAnsiTheme="minorHAnsi" w:cstheme="minorHAnsi"/>
                <w:sz w:val="18"/>
                <w:szCs w:val="18"/>
              </w:rPr>
              <w:t xml:space="preserve"> </w:t>
            </w:r>
            <w:r w:rsidR="00845B07" w:rsidRPr="00F112A1">
              <w:rPr>
                <w:rFonts w:asciiTheme="minorHAnsi" w:hAnsiTheme="minorHAnsi" w:cstheme="minorHAnsi"/>
                <w:sz w:val="18"/>
                <w:szCs w:val="18"/>
              </w:rPr>
              <w:t>ú. Čechovice u Prostějova</w:t>
            </w:r>
          </w:p>
        </w:tc>
        <w:tc>
          <w:tcPr>
            <w:tcW w:w="1725" w:type="dxa"/>
            <w:vAlign w:val="center"/>
          </w:tcPr>
          <w:p w:rsidR="00845B07" w:rsidRPr="00F112A1" w:rsidRDefault="00845B07" w:rsidP="00845B07">
            <w:pPr>
              <w:rPr>
                <w:rFonts w:asciiTheme="minorHAnsi" w:hAnsiTheme="minorHAnsi" w:cstheme="minorHAnsi"/>
                <w:b/>
                <w:sz w:val="18"/>
                <w:szCs w:val="18"/>
              </w:rPr>
            </w:pPr>
            <w:r w:rsidRPr="00F112A1">
              <w:rPr>
                <w:rFonts w:asciiTheme="minorHAnsi" w:hAnsiTheme="minorHAnsi" w:cstheme="minorHAnsi"/>
                <w:b/>
                <w:sz w:val="18"/>
                <w:szCs w:val="18"/>
              </w:rPr>
              <w:t>ROZOP realizováno</w:t>
            </w:r>
          </w:p>
        </w:tc>
      </w:tr>
      <w:tr w:rsidR="00845B07" w:rsidRPr="00F112A1" w:rsidTr="00F112A1">
        <w:trPr>
          <w:trHeight w:val="542"/>
        </w:trPr>
        <w:tc>
          <w:tcPr>
            <w:tcW w:w="1498" w:type="dxa"/>
            <w:vAlign w:val="center"/>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ZM/2022/33/34</w:t>
            </w:r>
          </w:p>
        </w:tc>
        <w:tc>
          <w:tcPr>
            <w:tcW w:w="1127" w:type="dxa"/>
            <w:vAlign w:val="center"/>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06.09.</w:t>
            </w:r>
          </w:p>
        </w:tc>
        <w:tc>
          <w:tcPr>
            <w:tcW w:w="849" w:type="dxa"/>
            <w:vAlign w:val="center"/>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57,40</w:t>
            </w:r>
          </w:p>
        </w:tc>
        <w:tc>
          <w:tcPr>
            <w:tcW w:w="4577" w:type="dxa"/>
            <w:vAlign w:val="center"/>
          </w:tcPr>
          <w:p w:rsidR="00845B07" w:rsidRPr="00F112A1" w:rsidRDefault="00F112A1" w:rsidP="00845B07">
            <w:pPr>
              <w:rPr>
                <w:rFonts w:asciiTheme="minorHAnsi" w:hAnsiTheme="minorHAnsi" w:cstheme="minorHAnsi"/>
                <w:sz w:val="18"/>
                <w:szCs w:val="18"/>
              </w:rPr>
            </w:pPr>
            <w:r>
              <w:rPr>
                <w:rFonts w:asciiTheme="minorHAnsi" w:hAnsiTheme="minorHAnsi" w:cstheme="minorHAnsi"/>
                <w:sz w:val="18"/>
                <w:szCs w:val="18"/>
              </w:rPr>
              <w:t>V</w:t>
            </w:r>
            <w:r w:rsidR="00845B07" w:rsidRPr="00F112A1">
              <w:rPr>
                <w:rFonts w:asciiTheme="minorHAnsi" w:hAnsiTheme="minorHAnsi" w:cstheme="minorHAnsi"/>
                <w:sz w:val="18"/>
                <w:szCs w:val="18"/>
              </w:rPr>
              <w:t>ýkup pozemku a části pozemku v k.</w:t>
            </w:r>
            <w:r>
              <w:rPr>
                <w:rFonts w:asciiTheme="minorHAnsi" w:hAnsiTheme="minorHAnsi" w:cstheme="minorHAnsi"/>
                <w:sz w:val="18"/>
                <w:szCs w:val="18"/>
              </w:rPr>
              <w:t xml:space="preserve"> </w:t>
            </w:r>
            <w:r w:rsidR="00845B07" w:rsidRPr="00F112A1">
              <w:rPr>
                <w:rFonts w:asciiTheme="minorHAnsi" w:hAnsiTheme="minorHAnsi" w:cstheme="minorHAnsi"/>
                <w:sz w:val="18"/>
                <w:szCs w:val="18"/>
              </w:rPr>
              <w:t>ú. Prostějov</w:t>
            </w:r>
          </w:p>
        </w:tc>
        <w:tc>
          <w:tcPr>
            <w:tcW w:w="1725" w:type="dxa"/>
            <w:vAlign w:val="center"/>
          </w:tcPr>
          <w:p w:rsidR="00845B07" w:rsidRPr="00F112A1" w:rsidRDefault="00845B07" w:rsidP="00845B07">
            <w:pPr>
              <w:rPr>
                <w:rFonts w:asciiTheme="minorHAnsi" w:hAnsiTheme="minorHAnsi" w:cstheme="minorHAnsi"/>
                <w:b/>
                <w:sz w:val="18"/>
                <w:szCs w:val="18"/>
              </w:rPr>
            </w:pPr>
            <w:r w:rsidRPr="00F112A1">
              <w:rPr>
                <w:rFonts w:asciiTheme="minorHAnsi" w:hAnsiTheme="minorHAnsi" w:cstheme="minorHAnsi"/>
                <w:b/>
                <w:sz w:val="18"/>
                <w:szCs w:val="18"/>
              </w:rPr>
              <w:t>ROZOP realizováno zčásti, nebyla uzavřena 1 kupní smlouva</w:t>
            </w:r>
          </w:p>
        </w:tc>
      </w:tr>
      <w:tr w:rsidR="00845B07" w:rsidRPr="00F112A1" w:rsidTr="00F112A1">
        <w:tc>
          <w:tcPr>
            <w:tcW w:w="1498" w:type="dxa"/>
            <w:vAlign w:val="center"/>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RM/2022/125/39</w:t>
            </w:r>
          </w:p>
        </w:tc>
        <w:tc>
          <w:tcPr>
            <w:tcW w:w="1127" w:type="dxa"/>
            <w:vAlign w:val="center"/>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20.09.</w:t>
            </w:r>
          </w:p>
        </w:tc>
        <w:tc>
          <w:tcPr>
            <w:tcW w:w="849" w:type="dxa"/>
            <w:vAlign w:val="center"/>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88,08</w:t>
            </w:r>
          </w:p>
        </w:tc>
        <w:tc>
          <w:tcPr>
            <w:tcW w:w="4577" w:type="dxa"/>
            <w:vAlign w:val="center"/>
          </w:tcPr>
          <w:p w:rsidR="00845B07" w:rsidRPr="00F112A1" w:rsidRDefault="00845B07" w:rsidP="00845B07">
            <w:pPr>
              <w:rPr>
                <w:rFonts w:asciiTheme="minorHAnsi" w:hAnsiTheme="minorHAnsi" w:cstheme="minorHAnsi"/>
                <w:sz w:val="18"/>
                <w:szCs w:val="18"/>
              </w:rPr>
            </w:pPr>
            <w:r w:rsidRPr="00F112A1">
              <w:rPr>
                <w:rFonts w:asciiTheme="minorHAnsi" w:hAnsiTheme="minorHAnsi" w:cstheme="minorHAnsi"/>
                <w:sz w:val="18"/>
                <w:szCs w:val="18"/>
              </w:rPr>
              <w:t>Informační deska k soše Jiřího Wolkra</w:t>
            </w:r>
          </w:p>
        </w:tc>
        <w:tc>
          <w:tcPr>
            <w:tcW w:w="1725" w:type="dxa"/>
            <w:vAlign w:val="center"/>
          </w:tcPr>
          <w:p w:rsidR="00845B07" w:rsidRPr="00F112A1" w:rsidRDefault="00845B07" w:rsidP="00845B07">
            <w:pPr>
              <w:rPr>
                <w:rFonts w:asciiTheme="minorHAnsi" w:hAnsiTheme="minorHAnsi" w:cstheme="minorHAnsi"/>
                <w:b/>
                <w:sz w:val="18"/>
                <w:szCs w:val="18"/>
              </w:rPr>
            </w:pPr>
            <w:r w:rsidRPr="00F112A1">
              <w:rPr>
                <w:rFonts w:asciiTheme="minorHAnsi" w:hAnsiTheme="minorHAnsi" w:cstheme="minorHAnsi"/>
                <w:b/>
                <w:sz w:val="18"/>
                <w:szCs w:val="18"/>
              </w:rPr>
              <w:t>ROZOP realizováno</w:t>
            </w:r>
          </w:p>
        </w:tc>
      </w:tr>
      <w:tr w:rsidR="00845B07" w:rsidRPr="00F112A1" w:rsidTr="00F112A1">
        <w:tc>
          <w:tcPr>
            <w:tcW w:w="1498" w:type="dxa"/>
            <w:vAlign w:val="center"/>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RM/2022/02/33</w:t>
            </w:r>
          </w:p>
        </w:tc>
        <w:tc>
          <w:tcPr>
            <w:tcW w:w="1127" w:type="dxa"/>
            <w:vAlign w:val="center"/>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01.11.</w:t>
            </w:r>
          </w:p>
        </w:tc>
        <w:tc>
          <w:tcPr>
            <w:tcW w:w="849" w:type="dxa"/>
            <w:vAlign w:val="center"/>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0,10</w:t>
            </w:r>
          </w:p>
        </w:tc>
        <w:tc>
          <w:tcPr>
            <w:tcW w:w="4577" w:type="dxa"/>
            <w:vAlign w:val="center"/>
          </w:tcPr>
          <w:p w:rsidR="00845B07" w:rsidRPr="00F112A1" w:rsidRDefault="00F112A1" w:rsidP="00845B07">
            <w:pPr>
              <w:rPr>
                <w:rFonts w:asciiTheme="minorHAnsi" w:hAnsiTheme="minorHAnsi" w:cstheme="minorHAnsi"/>
                <w:sz w:val="18"/>
                <w:szCs w:val="18"/>
              </w:rPr>
            </w:pPr>
            <w:r>
              <w:rPr>
                <w:rFonts w:asciiTheme="minorHAnsi" w:hAnsiTheme="minorHAnsi" w:cstheme="minorHAnsi"/>
                <w:sz w:val="18"/>
                <w:szCs w:val="18"/>
              </w:rPr>
              <w:t>V</w:t>
            </w:r>
            <w:r w:rsidR="00845B07" w:rsidRPr="00F112A1">
              <w:rPr>
                <w:rFonts w:asciiTheme="minorHAnsi" w:hAnsiTheme="minorHAnsi" w:cstheme="minorHAnsi"/>
                <w:sz w:val="18"/>
                <w:szCs w:val="18"/>
              </w:rPr>
              <w:t>ýkup infrastruktury na pozemcích v k.</w:t>
            </w:r>
            <w:r>
              <w:rPr>
                <w:rFonts w:asciiTheme="minorHAnsi" w:hAnsiTheme="minorHAnsi" w:cstheme="minorHAnsi"/>
                <w:sz w:val="18"/>
                <w:szCs w:val="18"/>
              </w:rPr>
              <w:t xml:space="preserve"> ú. Čechovice u Prostějova</w:t>
            </w:r>
          </w:p>
        </w:tc>
        <w:tc>
          <w:tcPr>
            <w:tcW w:w="1725" w:type="dxa"/>
            <w:vAlign w:val="center"/>
          </w:tcPr>
          <w:p w:rsidR="00845B07" w:rsidRPr="00F112A1" w:rsidRDefault="00845B07" w:rsidP="00845B07">
            <w:pPr>
              <w:rPr>
                <w:rFonts w:asciiTheme="minorHAnsi" w:hAnsiTheme="minorHAnsi" w:cstheme="minorHAnsi"/>
                <w:b/>
                <w:sz w:val="18"/>
                <w:szCs w:val="18"/>
              </w:rPr>
            </w:pPr>
            <w:r w:rsidRPr="00F112A1">
              <w:rPr>
                <w:rFonts w:asciiTheme="minorHAnsi" w:hAnsiTheme="minorHAnsi" w:cstheme="minorHAnsi"/>
                <w:b/>
                <w:sz w:val="18"/>
                <w:szCs w:val="18"/>
              </w:rPr>
              <w:t>ROZOP realizováno</w:t>
            </w:r>
          </w:p>
        </w:tc>
      </w:tr>
      <w:tr w:rsidR="00845B07" w:rsidRPr="00F112A1" w:rsidTr="00F112A1">
        <w:tc>
          <w:tcPr>
            <w:tcW w:w="1498" w:type="dxa"/>
            <w:vAlign w:val="center"/>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ZM/2022/02/14</w:t>
            </w:r>
          </w:p>
        </w:tc>
        <w:tc>
          <w:tcPr>
            <w:tcW w:w="1127" w:type="dxa"/>
            <w:vAlign w:val="center"/>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22.11.</w:t>
            </w:r>
          </w:p>
        </w:tc>
        <w:tc>
          <w:tcPr>
            <w:tcW w:w="849" w:type="dxa"/>
            <w:vAlign w:val="center"/>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420,00</w:t>
            </w:r>
          </w:p>
        </w:tc>
        <w:tc>
          <w:tcPr>
            <w:tcW w:w="4577" w:type="dxa"/>
            <w:vAlign w:val="center"/>
          </w:tcPr>
          <w:p w:rsidR="00845B07" w:rsidRPr="00F112A1" w:rsidRDefault="00F112A1" w:rsidP="00845B07">
            <w:pPr>
              <w:rPr>
                <w:rFonts w:asciiTheme="minorHAnsi" w:hAnsiTheme="minorHAnsi" w:cstheme="minorHAnsi"/>
                <w:sz w:val="18"/>
                <w:szCs w:val="18"/>
              </w:rPr>
            </w:pPr>
            <w:r>
              <w:rPr>
                <w:rFonts w:asciiTheme="minorHAnsi" w:hAnsiTheme="minorHAnsi" w:cstheme="minorHAnsi"/>
                <w:sz w:val="18"/>
                <w:szCs w:val="18"/>
              </w:rPr>
              <w:t>V</w:t>
            </w:r>
            <w:r w:rsidR="00845B07" w:rsidRPr="00F112A1">
              <w:rPr>
                <w:rFonts w:asciiTheme="minorHAnsi" w:hAnsiTheme="minorHAnsi" w:cstheme="minorHAnsi"/>
                <w:sz w:val="18"/>
                <w:szCs w:val="18"/>
              </w:rPr>
              <w:t>ýkup části pozemku v k.</w:t>
            </w:r>
            <w:r>
              <w:rPr>
                <w:rFonts w:asciiTheme="minorHAnsi" w:hAnsiTheme="minorHAnsi" w:cstheme="minorHAnsi"/>
                <w:sz w:val="18"/>
                <w:szCs w:val="18"/>
              </w:rPr>
              <w:t xml:space="preserve"> </w:t>
            </w:r>
            <w:r w:rsidR="00845B07" w:rsidRPr="00F112A1">
              <w:rPr>
                <w:rFonts w:asciiTheme="minorHAnsi" w:hAnsiTheme="minorHAnsi" w:cstheme="minorHAnsi"/>
                <w:sz w:val="18"/>
                <w:szCs w:val="18"/>
              </w:rPr>
              <w:t>ú. Prostějov</w:t>
            </w:r>
          </w:p>
        </w:tc>
        <w:tc>
          <w:tcPr>
            <w:tcW w:w="1725" w:type="dxa"/>
            <w:vAlign w:val="center"/>
          </w:tcPr>
          <w:p w:rsidR="00845B07" w:rsidRPr="00F112A1" w:rsidRDefault="00845B07" w:rsidP="00845B07">
            <w:pPr>
              <w:rPr>
                <w:rFonts w:asciiTheme="minorHAnsi" w:hAnsiTheme="minorHAnsi" w:cstheme="minorHAnsi"/>
                <w:b/>
                <w:sz w:val="18"/>
                <w:szCs w:val="18"/>
              </w:rPr>
            </w:pPr>
            <w:r w:rsidRPr="00F112A1">
              <w:rPr>
                <w:rFonts w:asciiTheme="minorHAnsi" w:hAnsiTheme="minorHAnsi" w:cstheme="minorHAnsi"/>
                <w:b/>
                <w:sz w:val="18"/>
                <w:szCs w:val="18"/>
              </w:rPr>
              <w:t>ROZOP nerealizováno, nebyla uzavřena kupní smlouva</w:t>
            </w:r>
          </w:p>
        </w:tc>
      </w:tr>
      <w:tr w:rsidR="00845B07" w:rsidRPr="00F112A1" w:rsidTr="00F112A1">
        <w:tc>
          <w:tcPr>
            <w:tcW w:w="1498" w:type="dxa"/>
            <w:vAlign w:val="center"/>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RM/2022/04/25</w:t>
            </w:r>
          </w:p>
        </w:tc>
        <w:tc>
          <w:tcPr>
            <w:tcW w:w="1127" w:type="dxa"/>
            <w:vAlign w:val="center"/>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23.11.</w:t>
            </w:r>
          </w:p>
        </w:tc>
        <w:tc>
          <w:tcPr>
            <w:tcW w:w="849" w:type="dxa"/>
            <w:vAlign w:val="center"/>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4 939,54</w:t>
            </w:r>
          </w:p>
        </w:tc>
        <w:tc>
          <w:tcPr>
            <w:tcW w:w="4577" w:type="dxa"/>
            <w:vAlign w:val="center"/>
          </w:tcPr>
          <w:p w:rsidR="00845B07" w:rsidRPr="00F112A1" w:rsidRDefault="00F112A1" w:rsidP="00845B07">
            <w:pPr>
              <w:rPr>
                <w:rFonts w:asciiTheme="minorHAnsi" w:hAnsiTheme="minorHAnsi" w:cstheme="minorHAnsi"/>
                <w:sz w:val="18"/>
                <w:szCs w:val="18"/>
              </w:rPr>
            </w:pPr>
            <w:r>
              <w:rPr>
                <w:rFonts w:asciiTheme="minorHAnsi" w:hAnsiTheme="minorHAnsi" w:cstheme="minorHAnsi"/>
                <w:sz w:val="18"/>
                <w:szCs w:val="18"/>
              </w:rPr>
              <w:t>Ú</w:t>
            </w:r>
            <w:r w:rsidR="00845B07" w:rsidRPr="00F112A1">
              <w:rPr>
                <w:rFonts w:asciiTheme="minorHAnsi" w:hAnsiTheme="minorHAnsi" w:cstheme="minorHAnsi"/>
                <w:sz w:val="18"/>
                <w:szCs w:val="18"/>
              </w:rPr>
              <w:t>prava rozpočtu kapitoly 50</w:t>
            </w:r>
          </w:p>
        </w:tc>
        <w:tc>
          <w:tcPr>
            <w:tcW w:w="1725" w:type="dxa"/>
            <w:vAlign w:val="center"/>
          </w:tcPr>
          <w:p w:rsidR="00845B07" w:rsidRPr="00F112A1" w:rsidRDefault="00845B07" w:rsidP="00845B07">
            <w:pPr>
              <w:rPr>
                <w:rFonts w:asciiTheme="minorHAnsi" w:hAnsiTheme="minorHAnsi" w:cstheme="minorHAnsi"/>
                <w:b/>
                <w:sz w:val="18"/>
                <w:szCs w:val="18"/>
              </w:rPr>
            </w:pPr>
            <w:r w:rsidRPr="00F112A1">
              <w:rPr>
                <w:rFonts w:asciiTheme="minorHAnsi" w:hAnsiTheme="minorHAnsi" w:cstheme="minorHAnsi"/>
                <w:b/>
                <w:sz w:val="18"/>
                <w:szCs w:val="18"/>
              </w:rPr>
              <w:t>ROZOP realizováno</w:t>
            </w:r>
          </w:p>
        </w:tc>
      </w:tr>
      <w:tr w:rsidR="00845B07" w:rsidRPr="00F112A1" w:rsidTr="00F112A1">
        <w:tc>
          <w:tcPr>
            <w:tcW w:w="1498" w:type="dxa"/>
            <w:vAlign w:val="center"/>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RM/2022/05/59</w:t>
            </w:r>
          </w:p>
        </w:tc>
        <w:tc>
          <w:tcPr>
            <w:tcW w:w="1127" w:type="dxa"/>
            <w:vAlign w:val="center"/>
          </w:tcPr>
          <w:p w:rsidR="00845B07" w:rsidRPr="00F112A1" w:rsidRDefault="00845B07" w:rsidP="00845B07">
            <w:pPr>
              <w:jc w:val="center"/>
              <w:rPr>
                <w:rFonts w:asciiTheme="minorHAnsi" w:hAnsiTheme="minorHAnsi" w:cstheme="minorHAnsi"/>
                <w:sz w:val="18"/>
                <w:szCs w:val="18"/>
              </w:rPr>
            </w:pPr>
            <w:r w:rsidRPr="00F112A1">
              <w:rPr>
                <w:rFonts w:asciiTheme="minorHAnsi" w:hAnsiTheme="minorHAnsi" w:cstheme="minorHAnsi"/>
                <w:sz w:val="18"/>
                <w:szCs w:val="18"/>
              </w:rPr>
              <w:t>06.12.</w:t>
            </w:r>
          </w:p>
        </w:tc>
        <w:tc>
          <w:tcPr>
            <w:tcW w:w="849" w:type="dxa"/>
            <w:vAlign w:val="center"/>
          </w:tcPr>
          <w:p w:rsidR="00845B07" w:rsidRPr="00F112A1" w:rsidRDefault="00845B07" w:rsidP="00845B07">
            <w:pPr>
              <w:jc w:val="right"/>
              <w:rPr>
                <w:rFonts w:asciiTheme="minorHAnsi" w:hAnsiTheme="minorHAnsi" w:cstheme="minorHAnsi"/>
                <w:sz w:val="18"/>
                <w:szCs w:val="18"/>
              </w:rPr>
            </w:pPr>
            <w:r w:rsidRPr="00F112A1">
              <w:rPr>
                <w:rFonts w:asciiTheme="minorHAnsi" w:hAnsiTheme="minorHAnsi" w:cstheme="minorHAnsi"/>
                <w:sz w:val="18"/>
                <w:szCs w:val="18"/>
              </w:rPr>
              <w:t>4 669,95</w:t>
            </w:r>
          </w:p>
        </w:tc>
        <w:tc>
          <w:tcPr>
            <w:tcW w:w="4577" w:type="dxa"/>
            <w:vAlign w:val="center"/>
          </w:tcPr>
          <w:p w:rsidR="00845B07" w:rsidRPr="00F112A1" w:rsidRDefault="00F112A1" w:rsidP="00845B07">
            <w:pPr>
              <w:rPr>
                <w:rFonts w:asciiTheme="minorHAnsi" w:hAnsiTheme="minorHAnsi" w:cstheme="minorHAnsi"/>
                <w:sz w:val="18"/>
                <w:szCs w:val="18"/>
              </w:rPr>
            </w:pPr>
            <w:r>
              <w:rPr>
                <w:rFonts w:asciiTheme="minorHAnsi" w:hAnsiTheme="minorHAnsi" w:cstheme="minorHAnsi"/>
                <w:sz w:val="18"/>
                <w:szCs w:val="18"/>
              </w:rPr>
              <w:t>Ú</w:t>
            </w:r>
            <w:r w:rsidR="00845B07" w:rsidRPr="00F112A1">
              <w:rPr>
                <w:rFonts w:asciiTheme="minorHAnsi" w:hAnsiTheme="minorHAnsi" w:cstheme="minorHAnsi"/>
                <w:sz w:val="18"/>
                <w:szCs w:val="18"/>
              </w:rPr>
              <w:t>prava rozpočtu kapitoly 50</w:t>
            </w:r>
          </w:p>
        </w:tc>
        <w:tc>
          <w:tcPr>
            <w:tcW w:w="1725" w:type="dxa"/>
            <w:vAlign w:val="center"/>
          </w:tcPr>
          <w:p w:rsidR="00845B07" w:rsidRPr="00F112A1" w:rsidRDefault="00845B07" w:rsidP="00845B07">
            <w:pPr>
              <w:rPr>
                <w:rFonts w:asciiTheme="minorHAnsi" w:hAnsiTheme="minorHAnsi" w:cstheme="minorHAnsi"/>
                <w:b/>
                <w:sz w:val="18"/>
                <w:szCs w:val="18"/>
              </w:rPr>
            </w:pPr>
            <w:r w:rsidRPr="00F112A1">
              <w:rPr>
                <w:rFonts w:asciiTheme="minorHAnsi" w:hAnsiTheme="minorHAnsi" w:cstheme="minorHAnsi"/>
                <w:b/>
                <w:sz w:val="18"/>
                <w:szCs w:val="18"/>
              </w:rPr>
              <w:t>ROZOP realizováno</w:t>
            </w:r>
          </w:p>
        </w:tc>
      </w:tr>
    </w:tbl>
    <w:p w:rsidR="00845B07" w:rsidRPr="00845B07" w:rsidRDefault="00845B07" w:rsidP="00845B07">
      <w:pPr>
        <w:rPr>
          <w:rFonts w:asciiTheme="minorHAnsi" w:hAnsiTheme="minorHAnsi" w:cstheme="minorHAnsi"/>
          <w:b/>
          <w:sz w:val="20"/>
          <w:szCs w:val="20"/>
        </w:rPr>
      </w:pPr>
    </w:p>
    <w:p w:rsidR="00845B07" w:rsidRPr="00845B07" w:rsidRDefault="00845B07" w:rsidP="00845B07">
      <w:pPr>
        <w:rPr>
          <w:rFonts w:asciiTheme="minorHAnsi" w:hAnsiTheme="minorHAnsi" w:cstheme="minorHAnsi"/>
          <w:b/>
          <w:sz w:val="20"/>
          <w:szCs w:val="20"/>
        </w:rPr>
      </w:pPr>
      <w:r w:rsidRPr="00845B07">
        <w:rPr>
          <w:rFonts w:asciiTheme="minorHAnsi" w:hAnsiTheme="minorHAnsi" w:cstheme="minorHAnsi"/>
          <w:b/>
          <w:sz w:val="20"/>
          <w:szCs w:val="20"/>
        </w:rPr>
        <w:t>V Pro</w:t>
      </w:r>
      <w:r w:rsidR="00FD5B06">
        <w:rPr>
          <w:rFonts w:asciiTheme="minorHAnsi" w:hAnsiTheme="minorHAnsi" w:cstheme="minorHAnsi"/>
          <w:b/>
          <w:sz w:val="20"/>
          <w:szCs w:val="20"/>
        </w:rPr>
        <w:t>stějově:</w:t>
      </w:r>
      <w:r w:rsidR="00FD5B06">
        <w:rPr>
          <w:rFonts w:asciiTheme="minorHAnsi" w:hAnsiTheme="minorHAnsi" w:cstheme="minorHAnsi"/>
          <w:b/>
          <w:sz w:val="20"/>
          <w:szCs w:val="20"/>
        </w:rPr>
        <w:tab/>
        <w:t xml:space="preserve">14. </w:t>
      </w:r>
      <w:r w:rsidR="00F112A1">
        <w:rPr>
          <w:rFonts w:asciiTheme="minorHAnsi" w:hAnsiTheme="minorHAnsi" w:cstheme="minorHAnsi"/>
          <w:b/>
          <w:sz w:val="20"/>
          <w:szCs w:val="20"/>
        </w:rPr>
        <w:t>2. 2023</w:t>
      </w:r>
      <w:r w:rsidR="00F112A1">
        <w:rPr>
          <w:rFonts w:asciiTheme="minorHAnsi" w:hAnsiTheme="minorHAnsi" w:cstheme="minorHAnsi"/>
          <w:b/>
          <w:sz w:val="20"/>
          <w:szCs w:val="20"/>
        </w:rPr>
        <w:tab/>
      </w:r>
      <w:r w:rsidR="00F112A1">
        <w:rPr>
          <w:rFonts w:asciiTheme="minorHAnsi" w:hAnsiTheme="minorHAnsi" w:cstheme="minorHAnsi"/>
          <w:b/>
          <w:sz w:val="20"/>
          <w:szCs w:val="20"/>
        </w:rPr>
        <w:tab/>
      </w:r>
      <w:r w:rsidR="00F112A1">
        <w:rPr>
          <w:rFonts w:asciiTheme="minorHAnsi" w:hAnsiTheme="minorHAnsi" w:cstheme="minorHAnsi"/>
          <w:b/>
          <w:sz w:val="20"/>
          <w:szCs w:val="20"/>
        </w:rPr>
        <w:tab/>
      </w:r>
      <w:r w:rsidR="00F112A1">
        <w:rPr>
          <w:rFonts w:asciiTheme="minorHAnsi" w:hAnsiTheme="minorHAnsi" w:cstheme="minorHAnsi"/>
          <w:b/>
          <w:sz w:val="20"/>
          <w:szCs w:val="20"/>
        </w:rPr>
        <w:tab/>
      </w:r>
      <w:r w:rsidR="00F112A1">
        <w:rPr>
          <w:rFonts w:asciiTheme="minorHAnsi" w:hAnsiTheme="minorHAnsi" w:cstheme="minorHAnsi"/>
          <w:b/>
          <w:sz w:val="20"/>
          <w:szCs w:val="20"/>
        </w:rPr>
        <w:tab/>
      </w:r>
      <w:r w:rsidR="00F112A1">
        <w:rPr>
          <w:rFonts w:asciiTheme="minorHAnsi" w:hAnsiTheme="minorHAnsi" w:cstheme="minorHAnsi"/>
          <w:b/>
          <w:sz w:val="20"/>
          <w:szCs w:val="20"/>
        </w:rPr>
        <w:tab/>
      </w:r>
      <w:r w:rsidR="00F112A1">
        <w:rPr>
          <w:rFonts w:asciiTheme="minorHAnsi" w:hAnsiTheme="minorHAnsi" w:cstheme="minorHAnsi"/>
          <w:b/>
          <w:sz w:val="20"/>
          <w:szCs w:val="20"/>
        </w:rPr>
        <w:tab/>
      </w:r>
      <w:r w:rsidR="00F112A1">
        <w:rPr>
          <w:rFonts w:asciiTheme="minorHAnsi" w:hAnsiTheme="minorHAnsi" w:cstheme="minorHAnsi"/>
          <w:b/>
          <w:sz w:val="20"/>
          <w:szCs w:val="20"/>
        </w:rPr>
        <w:tab/>
      </w:r>
      <w:r w:rsidR="00F112A1">
        <w:rPr>
          <w:rFonts w:asciiTheme="minorHAnsi" w:hAnsiTheme="minorHAnsi" w:cstheme="minorHAnsi"/>
          <w:b/>
          <w:sz w:val="20"/>
          <w:szCs w:val="20"/>
        </w:rPr>
        <w:tab/>
      </w:r>
      <w:r w:rsidRPr="00845B07">
        <w:rPr>
          <w:rFonts w:asciiTheme="minorHAnsi" w:hAnsiTheme="minorHAnsi" w:cstheme="minorHAnsi"/>
          <w:b/>
          <w:sz w:val="20"/>
          <w:szCs w:val="20"/>
        </w:rPr>
        <w:tab/>
      </w:r>
      <w:r w:rsidRPr="00845B07">
        <w:rPr>
          <w:rFonts w:asciiTheme="minorHAnsi" w:hAnsiTheme="minorHAnsi" w:cstheme="minorHAnsi"/>
          <w:b/>
          <w:sz w:val="20"/>
          <w:szCs w:val="20"/>
        </w:rPr>
        <w:tab/>
      </w:r>
      <w:r w:rsidRPr="00845B07">
        <w:rPr>
          <w:rFonts w:asciiTheme="minorHAnsi" w:hAnsiTheme="minorHAnsi" w:cstheme="minorHAnsi"/>
          <w:b/>
          <w:sz w:val="20"/>
          <w:szCs w:val="20"/>
        </w:rPr>
        <w:tab/>
      </w:r>
      <w:r w:rsidRPr="00845B07">
        <w:rPr>
          <w:rFonts w:asciiTheme="minorHAnsi" w:hAnsiTheme="minorHAnsi" w:cstheme="minorHAnsi"/>
          <w:b/>
          <w:sz w:val="20"/>
          <w:szCs w:val="20"/>
        </w:rPr>
        <w:tab/>
      </w:r>
      <w:r w:rsidRPr="00845B07">
        <w:rPr>
          <w:rFonts w:asciiTheme="minorHAnsi" w:hAnsiTheme="minorHAnsi" w:cstheme="minorHAnsi"/>
          <w:b/>
          <w:sz w:val="20"/>
          <w:szCs w:val="20"/>
        </w:rPr>
        <w:tab/>
      </w:r>
      <w:r w:rsidRPr="00845B07">
        <w:rPr>
          <w:rFonts w:asciiTheme="minorHAnsi" w:hAnsiTheme="minorHAnsi" w:cstheme="minorHAnsi"/>
          <w:b/>
          <w:sz w:val="20"/>
          <w:szCs w:val="20"/>
        </w:rPr>
        <w:tab/>
      </w:r>
      <w:r w:rsidRPr="00845B07">
        <w:rPr>
          <w:rFonts w:asciiTheme="minorHAnsi" w:hAnsiTheme="minorHAnsi" w:cstheme="minorHAnsi"/>
          <w:b/>
          <w:sz w:val="20"/>
          <w:szCs w:val="20"/>
        </w:rPr>
        <w:tab/>
      </w:r>
      <w:r w:rsidRPr="00845B07">
        <w:rPr>
          <w:rFonts w:asciiTheme="minorHAnsi" w:hAnsiTheme="minorHAnsi" w:cstheme="minorHAnsi"/>
          <w:b/>
          <w:sz w:val="20"/>
          <w:szCs w:val="20"/>
        </w:rPr>
        <w:tab/>
      </w:r>
    </w:p>
    <w:p w:rsidR="00845B07" w:rsidRPr="00845B07" w:rsidRDefault="00845B07" w:rsidP="00845B07">
      <w:pPr>
        <w:rPr>
          <w:rFonts w:asciiTheme="minorHAnsi" w:hAnsiTheme="minorHAnsi" w:cstheme="minorHAnsi"/>
          <w:b/>
          <w:sz w:val="20"/>
          <w:szCs w:val="20"/>
        </w:rPr>
      </w:pPr>
      <w:r w:rsidRPr="00845B07">
        <w:rPr>
          <w:rFonts w:asciiTheme="minorHAnsi" w:hAnsiTheme="minorHAnsi" w:cstheme="minorHAnsi"/>
          <w:b/>
          <w:sz w:val="20"/>
          <w:szCs w:val="20"/>
        </w:rPr>
        <w:t>Správce kapitoly: Mgr. Alexandra Klímková</w:t>
      </w:r>
    </w:p>
    <w:p w:rsidR="00845B07" w:rsidRPr="00845B07" w:rsidRDefault="00845B07" w:rsidP="00845B07">
      <w:pPr>
        <w:rPr>
          <w:rFonts w:asciiTheme="minorHAnsi" w:hAnsiTheme="minorHAnsi" w:cstheme="minorHAnsi"/>
          <w:b/>
          <w:sz w:val="20"/>
          <w:szCs w:val="20"/>
        </w:rPr>
      </w:pPr>
      <w:r w:rsidRPr="00845B07">
        <w:rPr>
          <w:rFonts w:asciiTheme="minorHAnsi" w:hAnsiTheme="minorHAnsi" w:cstheme="minorHAnsi"/>
          <w:b/>
          <w:sz w:val="20"/>
          <w:szCs w:val="20"/>
        </w:rPr>
        <w:t xml:space="preserve">                               vedoucí Odboru SÚMM</w:t>
      </w:r>
    </w:p>
    <w:p w:rsidR="00845B07" w:rsidRPr="00845B07" w:rsidRDefault="00845B07" w:rsidP="00845B07">
      <w:pPr>
        <w:rPr>
          <w:rFonts w:asciiTheme="minorHAnsi" w:hAnsiTheme="minorHAnsi" w:cstheme="minorHAnsi"/>
          <w:b/>
          <w:sz w:val="20"/>
          <w:szCs w:val="20"/>
        </w:rPr>
      </w:pPr>
    </w:p>
    <w:p w:rsidR="00845B07" w:rsidRPr="00845B07" w:rsidRDefault="00845B07" w:rsidP="00845B07">
      <w:pPr>
        <w:rPr>
          <w:rFonts w:asciiTheme="minorHAnsi" w:hAnsiTheme="minorHAnsi" w:cstheme="minorHAnsi"/>
          <w:b/>
          <w:sz w:val="20"/>
          <w:szCs w:val="20"/>
        </w:rPr>
      </w:pPr>
    </w:p>
    <w:p w:rsidR="00845B07" w:rsidRPr="00845B07" w:rsidRDefault="00845B07" w:rsidP="00845B07">
      <w:pPr>
        <w:rPr>
          <w:rFonts w:asciiTheme="minorHAnsi" w:hAnsiTheme="minorHAnsi" w:cstheme="minorHAnsi"/>
          <w:b/>
          <w:sz w:val="20"/>
          <w:szCs w:val="20"/>
        </w:rPr>
      </w:pPr>
    </w:p>
    <w:p w:rsidR="00845B07" w:rsidRPr="00845B07" w:rsidRDefault="00845B07" w:rsidP="00845B07">
      <w:pPr>
        <w:rPr>
          <w:rFonts w:asciiTheme="minorHAnsi" w:hAnsiTheme="minorHAnsi" w:cstheme="minorHAnsi"/>
          <w:b/>
          <w:sz w:val="20"/>
          <w:szCs w:val="20"/>
        </w:rPr>
      </w:pPr>
    </w:p>
    <w:p w:rsidR="00845B07" w:rsidRPr="00845B07" w:rsidRDefault="00845B07" w:rsidP="00845B07">
      <w:pPr>
        <w:rPr>
          <w:rFonts w:asciiTheme="minorHAnsi" w:hAnsiTheme="minorHAnsi" w:cstheme="minorHAnsi"/>
          <w:b/>
          <w:sz w:val="20"/>
          <w:szCs w:val="20"/>
        </w:rPr>
      </w:pPr>
    </w:p>
    <w:p w:rsidR="00845B07" w:rsidRPr="00845B07" w:rsidRDefault="00845B07" w:rsidP="00845B07">
      <w:pPr>
        <w:rPr>
          <w:rFonts w:asciiTheme="minorHAnsi" w:hAnsiTheme="minorHAnsi" w:cstheme="minorHAnsi"/>
          <w:b/>
          <w:sz w:val="20"/>
          <w:szCs w:val="20"/>
        </w:rPr>
      </w:pPr>
    </w:p>
    <w:p w:rsidR="00845B07" w:rsidRPr="00845B07" w:rsidRDefault="00845B07" w:rsidP="00845B07">
      <w:pPr>
        <w:rPr>
          <w:rFonts w:asciiTheme="minorHAnsi" w:hAnsiTheme="minorHAnsi" w:cstheme="minorHAnsi"/>
          <w:b/>
          <w:sz w:val="20"/>
          <w:szCs w:val="20"/>
        </w:rPr>
      </w:pPr>
    </w:p>
    <w:p w:rsidR="00845B07" w:rsidRPr="00845B07" w:rsidRDefault="00845B07" w:rsidP="00845B07">
      <w:pPr>
        <w:rPr>
          <w:rFonts w:asciiTheme="minorHAnsi" w:hAnsiTheme="minorHAnsi" w:cstheme="minorHAnsi"/>
          <w:b/>
          <w:sz w:val="20"/>
          <w:szCs w:val="20"/>
        </w:rPr>
      </w:pPr>
    </w:p>
    <w:p w:rsidR="00845B07" w:rsidRPr="00845B07" w:rsidRDefault="00845B07" w:rsidP="00845B07">
      <w:pPr>
        <w:rPr>
          <w:rFonts w:asciiTheme="minorHAnsi" w:hAnsiTheme="minorHAnsi" w:cstheme="minorHAnsi"/>
          <w:b/>
          <w:sz w:val="20"/>
          <w:szCs w:val="20"/>
        </w:rPr>
      </w:pPr>
    </w:p>
    <w:p w:rsidR="00845B07" w:rsidRPr="00845B07" w:rsidRDefault="00845B07" w:rsidP="00845B07">
      <w:pPr>
        <w:rPr>
          <w:rFonts w:asciiTheme="minorHAnsi" w:hAnsiTheme="minorHAnsi" w:cstheme="minorHAnsi"/>
          <w:b/>
          <w:sz w:val="20"/>
          <w:szCs w:val="20"/>
        </w:rPr>
      </w:pPr>
    </w:p>
    <w:p w:rsidR="00845B07" w:rsidRPr="00845B07" w:rsidRDefault="00845B07" w:rsidP="00845B07">
      <w:pPr>
        <w:rPr>
          <w:rFonts w:asciiTheme="minorHAnsi" w:hAnsiTheme="minorHAnsi" w:cstheme="minorHAnsi"/>
          <w:b/>
          <w:sz w:val="20"/>
          <w:szCs w:val="20"/>
        </w:rPr>
      </w:pPr>
    </w:p>
    <w:p w:rsidR="00845B07" w:rsidRPr="00845B07" w:rsidRDefault="00845B07" w:rsidP="00845B07">
      <w:pPr>
        <w:rPr>
          <w:rFonts w:asciiTheme="minorHAnsi" w:hAnsiTheme="minorHAnsi" w:cstheme="minorHAnsi"/>
          <w:b/>
          <w:sz w:val="20"/>
          <w:szCs w:val="20"/>
        </w:rPr>
      </w:pPr>
    </w:p>
    <w:p w:rsidR="00845B07" w:rsidRPr="00845B07" w:rsidRDefault="00845B07" w:rsidP="00845B07">
      <w:pPr>
        <w:rPr>
          <w:rFonts w:asciiTheme="minorHAnsi" w:hAnsiTheme="minorHAnsi" w:cstheme="minorHAnsi"/>
          <w:b/>
          <w:sz w:val="20"/>
          <w:szCs w:val="20"/>
        </w:rPr>
      </w:pPr>
    </w:p>
    <w:p w:rsidR="00845B07" w:rsidRPr="00845B07" w:rsidRDefault="00845B07" w:rsidP="00845B07">
      <w:pPr>
        <w:rPr>
          <w:rFonts w:asciiTheme="minorHAnsi" w:hAnsiTheme="minorHAnsi" w:cstheme="minorHAnsi"/>
          <w:b/>
          <w:sz w:val="20"/>
          <w:szCs w:val="20"/>
        </w:rPr>
      </w:pPr>
    </w:p>
    <w:p w:rsidR="00845B07" w:rsidRDefault="00845B07" w:rsidP="00845B07">
      <w:pPr>
        <w:rPr>
          <w:rFonts w:asciiTheme="minorHAnsi" w:hAnsiTheme="minorHAnsi" w:cstheme="minorHAnsi"/>
          <w:b/>
          <w:sz w:val="20"/>
          <w:szCs w:val="20"/>
        </w:rPr>
      </w:pPr>
    </w:p>
    <w:p w:rsidR="00F112A1" w:rsidRDefault="00F112A1" w:rsidP="00845B07">
      <w:pPr>
        <w:rPr>
          <w:rFonts w:asciiTheme="minorHAnsi" w:hAnsiTheme="minorHAnsi" w:cstheme="minorHAnsi"/>
          <w:b/>
          <w:sz w:val="20"/>
          <w:szCs w:val="20"/>
        </w:rPr>
      </w:pPr>
    </w:p>
    <w:p w:rsidR="00F112A1" w:rsidRDefault="00F112A1" w:rsidP="00845B07">
      <w:pPr>
        <w:rPr>
          <w:rFonts w:asciiTheme="minorHAnsi" w:hAnsiTheme="minorHAnsi" w:cstheme="minorHAnsi"/>
          <w:b/>
          <w:sz w:val="20"/>
          <w:szCs w:val="20"/>
        </w:rPr>
      </w:pPr>
    </w:p>
    <w:p w:rsidR="00F112A1" w:rsidRDefault="00F112A1" w:rsidP="00845B07">
      <w:pPr>
        <w:rPr>
          <w:rFonts w:asciiTheme="minorHAnsi" w:hAnsiTheme="minorHAnsi" w:cstheme="minorHAnsi"/>
          <w:b/>
          <w:sz w:val="20"/>
          <w:szCs w:val="20"/>
        </w:rPr>
      </w:pPr>
    </w:p>
    <w:p w:rsidR="00F112A1" w:rsidRDefault="00F112A1" w:rsidP="00845B07">
      <w:pPr>
        <w:rPr>
          <w:rFonts w:asciiTheme="minorHAnsi" w:hAnsiTheme="minorHAnsi" w:cstheme="minorHAnsi"/>
          <w:b/>
          <w:sz w:val="20"/>
          <w:szCs w:val="20"/>
        </w:rPr>
      </w:pPr>
    </w:p>
    <w:p w:rsidR="00F112A1" w:rsidRDefault="00F112A1" w:rsidP="00845B07">
      <w:pPr>
        <w:rPr>
          <w:rFonts w:asciiTheme="minorHAnsi" w:hAnsiTheme="minorHAnsi" w:cstheme="minorHAnsi"/>
          <w:b/>
          <w:sz w:val="20"/>
          <w:szCs w:val="20"/>
        </w:rPr>
      </w:pPr>
    </w:p>
    <w:p w:rsidR="00F112A1" w:rsidRDefault="00F112A1" w:rsidP="00845B07">
      <w:pPr>
        <w:rPr>
          <w:rFonts w:asciiTheme="minorHAnsi" w:hAnsiTheme="minorHAnsi" w:cstheme="minorHAnsi"/>
          <w:b/>
          <w:sz w:val="20"/>
          <w:szCs w:val="20"/>
        </w:rPr>
      </w:pPr>
    </w:p>
    <w:p w:rsidR="00F112A1" w:rsidRDefault="00F112A1" w:rsidP="00845B07">
      <w:pPr>
        <w:rPr>
          <w:rFonts w:asciiTheme="minorHAnsi" w:hAnsiTheme="minorHAnsi" w:cstheme="minorHAnsi"/>
          <w:b/>
          <w:sz w:val="20"/>
          <w:szCs w:val="20"/>
        </w:rPr>
      </w:pPr>
    </w:p>
    <w:p w:rsidR="00F112A1" w:rsidRDefault="00F112A1" w:rsidP="00845B07">
      <w:pPr>
        <w:rPr>
          <w:rFonts w:asciiTheme="minorHAnsi" w:hAnsiTheme="minorHAnsi" w:cstheme="minorHAnsi"/>
          <w:b/>
          <w:sz w:val="20"/>
          <w:szCs w:val="20"/>
        </w:rPr>
      </w:pPr>
    </w:p>
    <w:p w:rsidR="00F112A1" w:rsidRDefault="00F112A1" w:rsidP="00845B07">
      <w:pPr>
        <w:rPr>
          <w:rFonts w:asciiTheme="minorHAnsi" w:hAnsiTheme="minorHAnsi" w:cstheme="minorHAnsi"/>
          <w:b/>
          <w:sz w:val="20"/>
          <w:szCs w:val="20"/>
        </w:rPr>
      </w:pPr>
    </w:p>
    <w:p w:rsidR="00F112A1" w:rsidRDefault="00F112A1" w:rsidP="00845B07">
      <w:pPr>
        <w:rPr>
          <w:rFonts w:asciiTheme="minorHAnsi" w:hAnsiTheme="minorHAnsi" w:cstheme="minorHAnsi"/>
          <w:b/>
          <w:sz w:val="20"/>
          <w:szCs w:val="20"/>
        </w:rPr>
      </w:pPr>
    </w:p>
    <w:p w:rsidR="00F112A1" w:rsidRDefault="00F112A1" w:rsidP="00845B07">
      <w:pPr>
        <w:rPr>
          <w:rFonts w:asciiTheme="minorHAnsi" w:hAnsiTheme="minorHAnsi" w:cstheme="minorHAnsi"/>
          <w:b/>
          <w:sz w:val="20"/>
          <w:szCs w:val="20"/>
        </w:rPr>
      </w:pPr>
    </w:p>
    <w:p w:rsidR="00F112A1" w:rsidRDefault="00F112A1" w:rsidP="00845B07">
      <w:pPr>
        <w:rPr>
          <w:rFonts w:asciiTheme="minorHAnsi" w:hAnsiTheme="minorHAnsi" w:cstheme="minorHAnsi"/>
          <w:b/>
          <w:sz w:val="20"/>
          <w:szCs w:val="20"/>
        </w:rPr>
      </w:pPr>
    </w:p>
    <w:p w:rsidR="00F112A1" w:rsidRDefault="00F112A1" w:rsidP="00845B07">
      <w:pPr>
        <w:rPr>
          <w:rFonts w:asciiTheme="minorHAnsi" w:hAnsiTheme="minorHAnsi" w:cstheme="minorHAnsi"/>
          <w:b/>
          <w:sz w:val="20"/>
          <w:szCs w:val="20"/>
        </w:rPr>
      </w:pPr>
    </w:p>
    <w:p w:rsidR="00F112A1" w:rsidRDefault="00F112A1" w:rsidP="00845B07">
      <w:pPr>
        <w:rPr>
          <w:rFonts w:asciiTheme="minorHAnsi" w:hAnsiTheme="minorHAnsi" w:cstheme="minorHAnsi"/>
          <w:b/>
          <w:sz w:val="20"/>
          <w:szCs w:val="20"/>
        </w:rPr>
      </w:pPr>
    </w:p>
    <w:p w:rsidR="00F112A1" w:rsidRPr="00845B07" w:rsidRDefault="00F112A1" w:rsidP="00845B07">
      <w:pPr>
        <w:rPr>
          <w:rFonts w:asciiTheme="minorHAnsi" w:hAnsiTheme="minorHAnsi" w:cstheme="minorHAnsi"/>
          <w:b/>
          <w:sz w:val="20"/>
          <w:szCs w:val="20"/>
        </w:rPr>
      </w:pPr>
    </w:p>
    <w:tbl>
      <w:tblPr>
        <w:tblW w:w="12490" w:type="dxa"/>
        <w:tblInd w:w="-72" w:type="dxa"/>
        <w:tblLayout w:type="fixed"/>
        <w:tblCellMar>
          <w:left w:w="70" w:type="dxa"/>
          <w:right w:w="70" w:type="dxa"/>
        </w:tblCellMar>
        <w:tblLook w:val="0000" w:firstRow="0" w:lastRow="0" w:firstColumn="0" w:lastColumn="0" w:noHBand="0" w:noVBand="0"/>
      </w:tblPr>
      <w:tblGrid>
        <w:gridCol w:w="459"/>
        <w:gridCol w:w="1"/>
        <w:gridCol w:w="390"/>
        <w:gridCol w:w="2"/>
        <w:gridCol w:w="526"/>
        <w:gridCol w:w="2"/>
        <w:gridCol w:w="108"/>
        <w:gridCol w:w="2"/>
        <w:gridCol w:w="68"/>
        <w:gridCol w:w="2"/>
        <w:gridCol w:w="211"/>
        <w:gridCol w:w="69"/>
        <w:gridCol w:w="460"/>
        <w:gridCol w:w="460"/>
        <w:gridCol w:w="145"/>
        <w:gridCol w:w="2"/>
        <w:gridCol w:w="142"/>
        <w:gridCol w:w="142"/>
        <w:gridCol w:w="29"/>
        <w:gridCol w:w="60"/>
        <w:gridCol w:w="194"/>
        <w:gridCol w:w="204"/>
        <w:gridCol w:w="2"/>
        <w:gridCol w:w="60"/>
        <w:gridCol w:w="400"/>
        <w:gridCol w:w="60"/>
        <w:gridCol w:w="265"/>
        <w:gridCol w:w="143"/>
        <w:gridCol w:w="52"/>
        <w:gridCol w:w="88"/>
        <w:gridCol w:w="2"/>
        <w:gridCol w:w="245"/>
        <w:gridCol w:w="65"/>
        <w:gridCol w:w="60"/>
        <w:gridCol w:w="337"/>
        <w:gridCol w:w="123"/>
        <w:gridCol w:w="21"/>
        <w:gridCol w:w="141"/>
        <w:gridCol w:w="175"/>
        <w:gridCol w:w="63"/>
        <w:gridCol w:w="46"/>
        <w:gridCol w:w="14"/>
        <w:gridCol w:w="337"/>
        <w:gridCol w:w="63"/>
        <w:gridCol w:w="11"/>
        <w:gridCol w:w="49"/>
        <w:gridCol w:w="274"/>
        <w:gridCol w:w="126"/>
        <w:gridCol w:w="60"/>
        <w:gridCol w:w="200"/>
        <w:gridCol w:w="137"/>
        <w:gridCol w:w="63"/>
        <w:gridCol w:w="60"/>
        <w:gridCol w:w="165"/>
        <w:gridCol w:w="40"/>
        <w:gridCol w:w="195"/>
        <w:gridCol w:w="60"/>
        <w:gridCol w:w="337"/>
        <w:gridCol w:w="63"/>
        <w:gridCol w:w="60"/>
        <w:gridCol w:w="337"/>
        <w:gridCol w:w="63"/>
        <w:gridCol w:w="60"/>
        <w:gridCol w:w="337"/>
        <w:gridCol w:w="63"/>
        <w:gridCol w:w="397"/>
        <w:gridCol w:w="63"/>
        <w:gridCol w:w="261"/>
        <w:gridCol w:w="2"/>
        <w:gridCol w:w="60"/>
        <w:gridCol w:w="73"/>
        <w:gridCol w:w="63"/>
        <w:gridCol w:w="97"/>
        <w:gridCol w:w="63"/>
        <w:gridCol w:w="397"/>
        <w:gridCol w:w="63"/>
        <w:gridCol w:w="1751"/>
      </w:tblGrid>
      <w:tr w:rsidR="00845B07" w:rsidRPr="00845B07" w:rsidTr="00845B07">
        <w:trPr>
          <w:gridAfter w:val="8"/>
          <w:wAfter w:w="2567" w:type="dxa"/>
        </w:trPr>
        <w:tc>
          <w:tcPr>
            <w:tcW w:w="9923" w:type="dxa"/>
            <w:gridSpan w:val="69"/>
          </w:tcPr>
          <w:p w:rsidR="00845B07" w:rsidRPr="00F112A1" w:rsidRDefault="00845B07" w:rsidP="00845B07">
            <w:pPr>
              <w:rPr>
                <w:rFonts w:asciiTheme="minorHAnsi" w:hAnsiTheme="minorHAnsi" w:cstheme="minorHAnsi"/>
                <w:b/>
              </w:rPr>
            </w:pPr>
            <w:r w:rsidRPr="00F112A1">
              <w:rPr>
                <w:rFonts w:asciiTheme="minorHAnsi" w:hAnsiTheme="minorHAnsi" w:cstheme="minorHAnsi"/>
                <w:b/>
              </w:rPr>
              <w:t>Kapitola 90 – Správa a údržba majetku města</w:t>
            </w:r>
          </w:p>
        </w:tc>
      </w:tr>
      <w:tr w:rsidR="00845B07" w:rsidRPr="00845B07" w:rsidTr="00845B07">
        <w:trPr>
          <w:gridAfter w:val="8"/>
          <w:wAfter w:w="2567" w:type="dxa"/>
        </w:trPr>
        <w:tc>
          <w:tcPr>
            <w:tcW w:w="460" w:type="dxa"/>
            <w:gridSpan w:val="2"/>
          </w:tcPr>
          <w:p w:rsidR="00845B07" w:rsidRPr="00845B07" w:rsidRDefault="00845B07" w:rsidP="00845B07">
            <w:pPr>
              <w:rPr>
                <w:rFonts w:asciiTheme="minorHAnsi" w:hAnsiTheme="minorHAnsi" w:cstheme="minorHAnsi"/>
                <w:b/>
                <w:sz w:val="20"/>
                <w:szCs w:val="20"/>
              </w:rPr>
            </w:pPr>
          </w:p>
        </w:tc>
        <w:tc>
          <w:tcPr>
            <w:tcW w:w="392" w:type="dxa"/>
            <w:gridSpan w:val="2"/>
          </w:tcPr>
          <w:p w:rsidR="00845B07" w:rsidRPr="00845B07" w:rsidRDefault="00845B07" w:rsidP="00845B07">
            <w:pPr>
              <w:rPr>
                <w:rFonts w:asciiTheme="minorHAnsi" w:hAnsiTheme="minorHAnsi" w:cstheme="minorHAnsi"/>
                <w:b/>
                <w:sz w:val="20"/>
                <w:szCs w:val="20"/>
              </w:rPr>
            </w:pPr>
          </w:p>
        </w:tc>
        <w:tc>
          <w:tcPr>
            <w:tcW w:w="528" w:type="dxa"/>
            <w:gridSpan w:val="2"/>
          </w:tcPr>
          <w:p w:rsidR="00845B07" w:rsidRPr="00845B07" w:rsidRDefault="00845B07" w:rsidP="00845B07">
            <w:pPr>
              <w:rPr>
                <w:rFonts w:asciiTheme="minorHAnsi" w:hAnsiTheme="minorHAnsi" w:cstheme="minorHAnsi"/>
                <w:b/>
                <w:sz w:val="20"/>
                <w:szCs w:val="20"/>
              </w:rPr>
            </w:pPr>
          </w:p>
        </w:tc>
        <w:tc>
          <w:tcPr>
            <w:tcW w:w="460" w:type="dxa"/>
            <w:gridSpan w:val="6"/>
          </w:tcPr>
          <w:p w:rsidR="00845B07" w:rsidRPr="00845B07" w:rsidRDefault="00845B07" w:rsidP="00845B07">
            <w:pPr>
              <w:rPr>
                <w:rFonts w:asciiTheme="minorHAnsi" w:hAnsiTheme="minorHAnsi" w:cstheme="minorHAnsi"/>
                <w:b/>
                <w:sz w:val="20"/>
                <w:szCs w:val="20"/>
              </w:rPr>
            </w:pPr>
          </w:p>
        </w:tc>
        <w:tc>
          <w:tcPr>
            <w:tcW w:w="460" w:type="dxa"/>
          </w:tcPr>
          <w:p w:rsidR="00845B07" w:rsidRPr="00845B07" w:rsidRDefault="00845B07" w:rsidP="00845B07">
            <w:pPr>
              <w:rPr>
                <w:rFonts w:asciiTheme="minorHAnsi" w:hAnsiTheme="minorHAnsi" w:cstheme="minorHAnsi"/>
                <w:b/>
                <w:sz w:val="20"/>
                <w:szCs w:val="20"/>
              </w:rPr>
            </w:pPr>
          </w:p>
        </w:tc>
        <w:tc>
          <w:tcPr>
            <w:tcW w:w="460" w:type="dxa"/>
          </w:tcPr>
          <w:p w:rsidR="00845B07" w:rsidRPr="00845B07" w:rsidRDefault="00845B07" w:rsidP="00845B07">
            <w:pPr>
              <w:rPr>
                <w:rFonts w:asciiTheme="minorHAnsi" w:hAnsiTheme="minorHAnsi" w:cstheme="minorHAnsi"/>
                <w:b/>
                <w:sz w:val="20"/>
                <w:szCs w:val="20"/>
              </w:rPr>
            </w:pPr>
          </w:p>
        </w:tc>
        <w:tc>
          <w:tcPr>
            <w:tcW w:w="460" w:type="dxa"/>
            <w:gridSpan w:val="5"/>
          </w:tcPr>
          <w:p w:rsidR="00845B07" w:rsidRPr="00845B07" w:rsidRDefault="00845B07" w:rsidP="00845B07">
            <w:pPr>
              <w:rPr>
                <w:rFonts w:asciiTheme="minorHAnsi" w:hAnsiTheme="minorHAnsi" w:cstheme="minorHAnsi"/>
                <w:b/>
                <w:sz w:val="20"/>
                <w:szCs w:val="20"/>
              </w:rPr>
            </w:pPr>
          </w:p>
        </w:tc>
        <w:tc>
          <w:tcPr>
            <w:tcW w:w="460" w:type="dxa"/>
            <w:gridSpan w:val="4"/>
          </w:tcPr>
          <w:p w:rsidR="00845B07" w:rsidRPr="00845B07" w:rsidRDefault="00845B07" w:rsidP="00845B07">
            <w:pPr>
              <w:rPr>
                <w:rFonts w:asciiTheme="minorHAnsi" w:hAnsiTheme="minorHAnsi" w:cstheme="minorHAnsi"/>
                <w:b/>
                <w:sz w:val="20"/>
                <w:szCs w:val="20"/>
              </w:rPr>
            </w:pPr>
          </w:p>
        </w:tc>
        <w:tc>
          <w:tcPr>
            <w:tcW w:w="460" w:type="dxa"/>
            <w:gridSpan w:val="2"/>
          </w:tcPr>
          <w:p w:rsidR="00845B07" w:rsidRPr="00845B07" w:rsidRDefault="00845B07" w:rsidP="00845B07">
            <w:pPr>
              <w:rPr>
                <w:rFonts w:asciiTheme="minorHAnsi" w:hAnsiTheme="minorHAnsi" w:cstheme="minorHAnsi"/>
                <w:b/>
                <w:sz w:val="20"/>
                <w:szCs w:val="20"/>
              </w:rPr>
            </w:pPr>
          </w:p>
        </w:tc>
        <w:tc>
          <w:tcPr>
            <w:tcW w:w="610" w:type="dxa"/>
            <w:gridSpan w:val="6"/>
          </w:tcPr>
          <w:p w:rsidR="00845B07" w:rsidRPr="00845B07" w:rsidRDefault="00845B07" w:rsidP="00845B07">
            <w:pPr>
              <w:rPr>
                <w:rFonts w:asciiTheme="minorHAnsi" w:hAnsiTheme="minorHAnsi" w:cstheme="minorHAnsi"/>
                <w:b/>
                <w:sz w:val="20"/>
                <w:szCs w:val="20"/>
              </w:rPr>
            </w:pPr>
          </w:p>
        </w:tc>
        <w:tc>
          <w:tcPr>
            <w:tcW w:w="310" w:type="dxa"/>
            <w:gridSpan w:val="2"/>
          </w:tcPr>
          <w:p w:rsidR="00845B07" w:rsidRPr="00845B07" w:rsidRDefault="00845B07" w:rsidP="00845B07">
            <w:pPr>
              <w:rPr>
                <w:rFonts w:asciiTheme="minorHAnsi" w:hAnsiTheme="minorHAnsi" w:cstheme="minorHAnsi"/>
                <w:b/>
                <w:sz w:val="20"/>
                <w:szCs w:val="20"/>
              </w:rPr>
            </w:pPr>
          </w:p>
        </w:tc>
        <w:tc>
          <w:tcPr>
            <w:tcW w:w="682" w:type="dxa"/>
            <w:gridSpan w:val="5"/>
          </w:tcPr>
          <w:p w:rsidR="00845B07" w:rsidRPr="00845B07" w:rsidRDefault="00845B07" w:rsidP="00845B07">
            <w:pPr>
              <w:rPr>
                <w:rFonts w:asciiTheme="minorHAnsi" w:hAnsiTheme="minorHAnsi" w:cstheme="minorHAnsi"/>
                <w:b/>
                <w:sz w:val="20"/>
                <w:szCs w:val="20"/>
              </w:rPr>
            </w:pPr>
          </w:p>
        </w:tc>
        <w:tc>
          <w:tcPr>
            <w:tcW w:w="238" w:type="dxa"/>
            <w:gridSpan w:val="2"/>
          </w:tcPr>
          <w:p w:rsidR="00845B07" w:rsidRPr="00845B07" w:rsidRDefault="00845B07" w:rsidP="00845B07">
            <w:pPr>
              <w:rPr>
                <w:rFonts w:asciiTheme="minorHAnsi" w:hAnsiTheme="minorHAnsi" w:cstheme="minorHAnsi"/>
                <w:b/>
                <w:sz w:val="20"/>
                <w:szCs w:val="20"/>
              </w:rPr>
            </w:pPr>
          </w:p>
        </w:tc>
        <w:tc>
          <w:tcPr>
            <w:tcW w:w="460" w:type="dxa"/>
            <w:gridSpan w:val="4"/>
          </w:tcPr>
          <w:p w:rsidR="00845B07" w:rsidRPr="00845B07" w:rsidRDefault="00845B07" w:rsidP="00845B07">
            <w:pPr>
              <w:rPr>
                <w:rFonts w:asciiTheme="minorHAnsi" w:hAnsiTheme="minorHAnsi" w:cstheme="minorHAnsi"/>
                <w:b/>
                <w:sz w:val="20"/>
                <w:szCs w:val="20"/>
              </w:rPr>
            </w:pPr>
          </w:p>
        </w:tc>
        <w:tc>
          <w:tcPr>
            <w:tcW w:w="460" w:type="dxa"/>
            <w:gridSpan w:val="4"/>
          </w:tcPr>
          <w:p w:rsidR="00845B07" w:rsidRPr="00845B07" w:rsidRDefault="00845B07" w:rsidP="00845B07">
            <w:pPr>
              <w:rPr>
                <w:rFonts w:asciiTheme="minorHAnsi" w:hAnsiTheme="minorHAnsi" w:cstheme="minorHAnsi"/>
                <w:b/>
                <w:sz w:val="20"/>
                <w:szCs w:val="20"/>
              </w:rPr>
            </w:pPr>
          </w:p>
        </w:tc>
        <w:tc>
          <w:tcPr>
            <w:tcW w:w="460" w:type="dxa"/>
            <w:gridSpan w:val="4"/>
          </w:tcPr>
          <w:p w:rsidR="00845B07" w:rsidRPr="00845B07" w:rsidRDefault="00845B07" w:rsidP="00845B07">
            <w:pPr>
              <w:rPr>
                <w:rFonts w:asciiTheme="minorHAnsi" w:hAnsiTheme="minorHAnsi" w:cstheme="minorHAnsi"/>
                <w:b/>
                <w:sz w:val="20"/>
                <w:szCs w:val="20"/>
              </w:rPr>
            </w:pPr>
          </w:p>
        </w:tc>
        <w:tc>
          <w:tcPr>
            <w:tcW w:w="460" w:type="dxa"/>
            <w:gridSpan w:val="4"/>
          </w:tcPr>
          <w:p w:rsidR="00845B07" w:rsidRPr="00845B07" w:rsidRDefault="00845B07" w:rsidP="00845B07">
            <w:pPr>
              <w:rPr>
                <w:rFonts w:asciiTheme="minorHAnsi" w:hAnsiTheme="minorHAnsi" w:cstheme="minorHAnsi"/>
                <w:b/>
                <w:sz w:val="20"/>
                <w:szCs w:val="20"/>
              </w:rPr>
            </w:pPr>
          </w:p>
        </w:tc>
        <w:tc>
          <w:tcPr>
            <w:tcW w:w="460" w:type="dxa"/>
            <w:gridSpan w:val="3"/>
          </w:tcPr>
          <w:p w:rsidR="00845B07" w:rsidRPr="00845B07" w:rsidRDefault="00845B07" w:rsidP="00845B07">
            <w:pPr>
              <w:rPr>
                <w:rFonts w:asciiTheme="minorHAnsi" w:hAnsiTheme="minorHAnsi" w:cstheme="minorHAnsi"/>
                <w:b/>
                <w:sz w:val="20"/>
                <w:szCs w:val="20"/>
              </w:rPr>
            </w:pPr>
          </w:p>
        </w:tc>
        <w:tc>
          <w:tcPr>
            <w:tcW w:w="460" w:type="dxa"/>
            <w:gridSpan w:val="3"/>
          </w:tcPr>
          <w:p w:rsidR="00845B07" w:rsidRPr="00845B07" w:rsidRDefault="00845B07" w:rsidP="00845B07">
            <w:pPr>
              <w:rPr>
                <w:rFonts w:asciiTheme="minorHAnsi" w:hAnsiTheme="minorHAnsi" w:cstheme="minorHAnsi"/>
                <w:b/>
                <w:sz w:val="20"/>
                <w:szCs w:val="20"/>
              </w:rPr>
            </w:pPr>
          </w:p>
        </w:tc>
        <w:tc>
          <w:tcPr>
            <w:tcW w:w="1183" w:type="dxa"/>
            <w:gridSpan w:val="7"/>
          </w:tcPr>
          <w:p w:rsidR="00845B07" w:rsidRPr="00845B07" w:rsidRDefault="00845B07" w:rsidP="00845B07">
            <w:pPr>
              <w:rPr>
                <w:rFonts w:asciiTheme="minorHAnsi" w:hAnsiTheme="minorHAnsi" w:cstheme="minorHAnsi"/>
                <w:b/>
                <w:sz w:val="20"/>
                <w:szCs w:val="20"/>
              </w:rPr>
            </w:pPr>
          </w:p>
        </w:tc>
      </w:tr>
      <w:tr w:rsidR="00845B07" w:rsidRPr="00845B07" w:rsidTr="00845B07">
        <w:trPr>
          <w:gridAfter w:val="8"/>
          <w:wAfter w:w="2567" w:type="dxa"/>
        </w:trPr>
        <w:tc>
          <w:tcPr>
            <w:tcW w:w="9923" w:type="dxa"/>
            <w:gridSpan w:val="69"/>
            <w:shd w:val="clear" w:color="auto" w:fill="F79646"/>
          </w:tcPr>
          <w:p w:rsidR="00845B07" w:rsidRPr="00845B07" w:rsidRDefault="00845B07" w:rsidP="00845B07">
            <w:pPr>
              <w:rPr>
                <w:rFonts w:asciiTheme="minorHAnsi" w:hAnsiTheme="minorHAnsi" w:cstheme="minorHAnsi"/>
                <w:b/>
                <w:sz w:val="20"/>
                <w:szCs w:val="20"/>
                <w:u w:val="single"/>
              </w:rPr>
            </w:pPr>
            <w:r w:rsidRPr="00845B07">
              <w:rPr>
                <w:rFonts w:asciiTheme="minorHAnsi" w:hAnsiTheme="minorHAnsi" w:cstheme="minorHAnsi"/>
                <w:b/>
                <w:sz w:val="20"/>
                <w:szCs w:val="20"/>
                <w:u w:val="single"/>
              </w:rPr>
              <w:t>Rozbor plnění příjmů rozpočtu kapitoly</w:t>
            </w:r>
          </w:p>
        </w:tc>
      </w:tr>
      <w:tr w:rsidR="00845B07" w:rsidRPr="00845B07" w:rsidTr="00F112A1">
        <w:trPr>
          <w:gridAfter w:val="8"/>
          <w:wAfter w:w="2567" w:type="dxa"/>
        </w:trPr>
        <w:tc>
          <w:tcPr>
            <w:tcW w:w="460" w:type="dxa"/>
            <w:gridSpan w:val="2"/>
            <w:tcBorders>
              <w:bottom w:val="single" w:sz="4" w:space="0" w:color="auto"/>
            </w:tcBorders>
          </w:tcPr>
          <w:p w:rsidR="00845B07" w:rsidRPr="00845B07" w:rsidRDefault="00845B07" w:rsidP="00845B07">
            <w:pPr>
              <w:rPr>
                <w:rFonts w:asciiTheme="minorHAnsi" w:hAnsiTheme="minorHAnsi" w:cstheme="minorHAnsi"/>
                <w:b/>
                <w:sz w:val="20"/>
                <w:szCs w:val="20"/>
              </w:rPr>
            </w:pPr>
          </w:p>
        </w:tc>
        <w:tc>
          <w:tcPr>
            <w:tcW w:w="392" w:type="dxa"/>
            <w:gridSpan w:val="2"/>
            <w:tcBorders>
              <w:bottom w:val="single" w:sz="4" w:space="0" w:color="auto"/>
            </w:tcBorders>
          </w:tcPr>
          <w:p w:rsidR="00845B07" w:rsidRPr="00845B07" w:rsidRDefault="00845B07" w:rsidP="00845B07">
            <w:pPr>
              <w:rPr>
                <w:rFonts w:asciiTheme="minorHAnsi" w:hAnsiTheme="minorHAnsi" w:cstheme="minorHAnsi"/>
                <w:b/>
                <w:sz w:val="20"/>
                <w:szCs w:val="20"/>
              </w:rPr>
            </w:pPr>
          </w:p>
        </w:tc>
        <w:tc>
          <w:tcPr>
            <w:tcW w:w="528" w:type="dxa"/>
            <w:gridSpan w:val="2"/>
            <w:tcBorders>
              <w:bottom w:val="single" w:sz="4" w:space="0" w:color="auto"/>
            </w:tcBorders>
          </w:tcPr>
          <w:p w:rsidR="00845B07" w:rsidRPr="00845B07" w:rsidRDefault="00845B07" w:rsidP="00845B07">
            <w:pPr>
              <w:rPr>
                <w:rFonts w:asciiTheme="minorHAnsi" w:hAnsiTheme="minorHAnsi" w:cstheme="minorHAnsi"/>
                <w:b/>
                <w:sz w:val="20"/>
                <w:szCs w:val="20"/>
              </w:rPr>
            </w:pPr>
          </w:p>
        </w:tc>
        <w:tc>
          <w:tcPr>
            <w:tcW w:w="391" w:type="dxa"/>
            <w:gridSpan w:val="5"/>
            <w:tcBorders>
              <w:bottom w:val="single" w:sz="4" w:space="0" w:color="auto"/>
            </w:tcBorders>
          </w:tcPr>
          <w:p w:rsidR="00845B07" w:rsidRPr="00845B07" w:rsidRDefault="00845B07" w:rsidP="00845B07">
            <w:pPr>
              <w:rPr>
                <w:rFonts w:asciiTheme="minorHAnsi" w:hAnsiTheme="minorHAnsi" w:cstheme="minorHAnsi"/>
                <w:b/>
                <w:sz w:val="20"/>
                <w:szCs w:val="20"/>
              </w:rPr>
            </w:pPr>
          </w:p>
        </w:tc>
        <w:tc>
          <w:tcPr>
            <w:tcW w:w="529" w:type="dxa"/>
            <w:gridSpan w:val="2"/>
            <w:tcBorders>
              <w:bottom w:val="single" w:sz="4" w:space="0" w:color="auto"/>
            </w:tcBorders>
          </w:tcPr>
          <w:p w:rsidR="00845B07" w:rsidRPr="00845B07" w:rsidRDefault="00845B07" w:rsidP="00845B07">
            <w:pPr>
              <w:rPr>
                <w:rFonts w:asciiTheme="minorHAnsi" w:hAnsiTheme="minorHAnsi" w:cstheme="minorHAnsi"/>
                <w:b/>
                <w:sz w:val="20"/>
                <w:szCs w:val="20"/>
              </w:rPr>
            </w:pPr>
          </w:p>
        </w:tc>
        <w:tc>
          <w:tcPr>
            <w:tcW w:w="460" w:type="dxa"/>
            <w:tcBorders>
              <w:bottom w:val="single" w:sz="4" w:space="0" w:color="auto"/>
            </w:tcBorders>
          </w:tcPr>
          <w:p w:rsidR="00845B07" w:rsidRPr="00845B07" w:rsidRDefault="00845B07" w:rsidP="00845B07">
            <w:pPr>
              <w:rPr>
                <w:rFonts w:asciiTheme="minorHAnsi" w:hAnsiTheme="minorHAnsi" w:cstheme="minorHAnsi"/>
                <w:b/>
                <w:sz w:val="20"/>
                <w:szCs w:val="20"/>
              </w:rPr>
            </w:pPr>
          </w:p>
        </w:tc>
        <w:tc>
          <w:tcPr>
            <w:tcW w:w="460" w:type="dxa"/>
            <w:gridSpan w:val="5"/>
            <w:tcBorders>
              <w:bottom w:val="single" w:sz="4" w:space="0" w:color="auto"/>
            </w:tcBorders>
          </w:tcPr>
          <w:p w:rsidR="00845B07" w:rsidRPr="00845B07" w:rsidRDefault="00845B07" w:rsidP="00845B07">
            <w:pPr>
              <w:rPr>
                <w:rFonts w:asciiTheme="minorHAnsi" w:hAnsiTheme="minorHAnsi" w:cstheme="minorHAnsi"/>
                <w:b/>
                <w:sz w:val="20"/>
                <w:szCs w:val="20"/>
              </w:rPr>
            </w:pPr>
          </w:p>
        </w:tc>
        <w:tc>
          <w:tcPr>
            <w:tcW w:w="460" w:type="dxa"/>
            <w:gridSpan w:val="4"/>
            <w:tcBorders>
              <w:bottom w:val="single" w:sz="4" w:space="0" w:color="auto"/>
            </w:tcBorders>
          </w:tcPr>
          <w:p w:rsidR="00845B07" w:rsidRPr="00845B07" w:rsidRDefault="00845B07" w:rsidP="00845B07">
            <w:pPr>
              <w:rPr>
                <w:rFonts w:asciiTheme="minorHAnsi" w:hAnsiTheme="minorHAnsi" w:cstheme="minorHAnsi"/>
                <w:b/>
                <w:sz w:val="20"/>
                <w:szCs w:val="20"/>
              </w:rPr>
            </w:pPr>
          </w:p>
        </w:tc>
        <w:tc>
          <w:tcPr>
            <w:tcW w:w="460" w:type="dxa"/>
            <w:gridSpan w:val="2"/>
            <w:tcBorders>
              <w:bottom w:val="single" w:sz="4" w:space="0" w:color="auto"/>
            </w:tcBorders>
          </w:tcPr>
          <w:p w:rsidR="00845B07" w:rsidRPr="00845B07" w:rsidRDefault="00845B07" w:rsidP="00845B07">
            <w:pPr>
              <w:rPr>
                <w:rFonts w:asciiTheme="minorHAnsi" w:hAnsiTheme="minorHAnsi" w:cstheme="minorHAnsi"/>
                <w:b/>
                <w:sz w:val="20"/>
                <w:szCs w:val="20"/>
              </w:rPr>
            </w:pPr>
          </w:p>
        </w:tc>
        <w:tc>
          <w:tcPr>
            <w:tcW w:w="610" w:type="dxa"/>
            <w:gridSpan w:val="6"/>
            <w:tcBorders>
              <w:bottom w:val="single" w:sz="4" w:space="0" w:color="auto"/>
            </w:tcBorders>
          </w:tcPr>
          <w:p w:rsidR="00845B07" w:rsidRPr="00845B07" w:rsidRDefault="00845B07" w:rsidP="00845B07">
            <w:pPr>
              <w:rPr>
                <w:rFonts w:asciiTheme="minorHAnsi" w:hAnsiTheme="minorHAnsi" w:cstheme="minorHAnsi"/>
                <w:b/>
                <w:sz w:val="20"/>
                <w:szCs w:val="20"/>
              </w:rPr>
            </w:pPr>
          </w:p>
        </w:tc>
        <w:tc>
          <w:tcPr>
            <w:tcW w:w="310" w:type="dxa"/>
            <w:gridSpan w:val="2"/>
            <w:tcBorders>
              <w:bottom w:val="single" w:sz="4" w:space="0" w:color="auto"/>
            </w:tcBorders>
          </w:tcPr>
          <w:p w:rsidR="00845B07" w:rsidRPr="00845B07" w:rsidRDefault="00845B07" w:rsidP="00845B07">
            <w:pPr>
              <w:rPr>
                <w:rFonts w:asciiTheme="minorHAnsi" w:hAnsiTheme="minorHAnsi" w:cstheme="minorHAnsi"/>
                <w:b/>
                <w:sz w:val="20"/>
                <w:szCs w:val="20"/>
              </w:rPr>
            </w:pPr>
          </w:p>
        </w:tc>
        <w:tc>
          <w:tcPr>
            <w:tcW w:w="682" w:type="dxa"/>
            <w:gridSpan w:val="5"/>
            <w:tcBorders>
              <w:bottom w:val="single" w:sz="4" w:space="0" w:color="auto"/>
            </w:tcBorders>
          </w:tcPr>
          <w:p w:rsidR="00845B07" w:rsidRPr="00845B07" w:rsidRDefault="00845B07" w:rsidP="00845B07">
            <w:pPr>
              <w:rPr>
                <w:rFonts w:asciiTheme="minorHAnsi" w:hAnsiTheme="minorHAnsi" w:cstheme="minorHAnsi"/>
                <w:b/>
                <w:sz w:val="20"/>
                <w:szCs w:val="20"/>
              </w:rPr>
            </w:pPr>
          </w:p>
        </w:tc>
        <w:tc>
          <w:tcPr>
            <w:tcW w:w="238" w:type="dxa"/>
            <w:gridSpan w:val="2"/>
            <w:tcBorders>
              <w:bottom w:val="single" w:sz="4" w:space="0" w:color="auto"/>
            </w:tcBorders>
          </w:tcPr>
          <w:p w:rsidR="00845B07" w:rsidRPr="00845B07" w:rsidRDefault="00845B07" w:rsidP="00845B07">
            <w:pPr>
              <w:rPr>
                <w:rFonts w:asciiTheme="minorHAnsi" w:hAnsiTheme="minorHAnsi" w:cstheme="minorHAnsi"/>
                <w:b/>
                <w:sz w:val="20"/>
                <w:szCs w:val="20"/>
              </w:rPr>
            </w:pPr>
          </w:p>
        </w:tc>
        <w:tc>
          <w:tcPr>
            <w:tcW w:w="460" w:type="dxa"/>
            <w:gridSpan w:val="4"/>
            <w:tcBorders>
              <w:bottom w:val="single" w:sz="4" w:space="0" w:color="auto"/>
            </w:tcBorders>
          </w:tcPr>
          <w:p w:rsidR="00845B07" w:rsidRPr="00845B07" w:rsidRDefault="00845B07" w:rsidP="00845B07">
            <w:pPr>
              <w:rPr>
                <w:rFonts w:asciiTheme="minorHAnsi" w:hAnsiTheme="minorHAnsi" w:cstheme="minorHAnsi"/>
                <w:b/>
                <w:sz w:val="20"/>
                <w:szCs w:val="20"/>
              </w:rPr>
            </w:pPr>
          </w:p>
        </w:tc>
        <w:tc>
          <w:tcPr>
            <w:tcW w:w="460" w:type="dxa"/>
            <w:gridSpan w:val="4"/>
            <w:tcBorders>
              <w:bottom w:val="single" w:sz="4" w:space="0" w:color="auto"/>
            </w:tcBorders>
          </w:tcPr>
          <w:p w:rsidR="00845B07" w:rsidRPr="00845B07" w:rsidRDefault="00845B07" w:rsidP="00845B07">
            <w:pPr>
              <w:rPr>
                <w:rFonts w:asciiTheme="minorHAnsi" w:hAnsiTheme="minorHAnsi" w:cstheme="minorHAnsi"/>
                <w:b/>
                <w:sz w:val="20"/>
                <w:szCs w:val="20"/>
              </w:rPr>
            </w:pPr>
          </w:p>
        </w:tc>
        <w:tc>
          <w:tcPr>
            <w:tcW w:w="460" w:type="dxa"/>
            <w:gridSpan w:val="4"/>
            <w:tcBorders>
              <w:bottom w:val="single" w:sz="4" w:space="0" w:color="auto"/>
            </w:tcBorders>
          </w:tcPr>
          <w:p w:rsidR="00845B07" w:rsidRPr="00845B07" w:rsidRDefault="00845B07" w:rsidP="00845B07">
            <w:pPr>
              <w:rPr>
                <w:rFonts w:asciiTheme="minorHAnsi" w:hAnsiTheme="minorHAnsi" w:cstheme="minorHAnsi"/>
                <w:b/>
                <w:sz w:val="20"/>
                <w:szCs w:val="20"/>
              </w:rPr>
            </w:pPr>
          </w:p>
        </w:tc>
        <w:tc>
          <w:tcPr>
            <w:tcW w:w="460" w:type="dxa"/>
            <w:gridSpan w:val="4"/>
            <w:tcBorders>
              <w:bottom w:val="single" w:sz="4" w:space="0" w:color="auto"/>
            </w:tcBorders>
          </w:tcPr>
          <w:p w:rsidR="00845B07" w:rsidRPr="00845B07" w:rsidRDefault="00845B07" w:rsidP="00845B07">
            <w:pPr>
              <w:rPr>
                <w:rFonts w:asciiTheme="minorHAnsi" w:hAnsiTheme="minorHAnsi" w:cstheme="minorHAnsi"/>
                <w:b/>
                <w:sz w:val="20"/>
                <w:szCs w:val="20"/>
              </w:rPr>
            </w:pPr>
          </w:p>
        </w:tc>
        <w:tc>
          <w:tcPr>
            <w:tcW w:w="460" w:type="dxa"/>
            <w:gridSpan w:val="3"/>
            <w:tcBorders>
              <w:bottom w:val="single" w:sz="4" w:space="0" w:color="auto"/>
            </w:tcBorders>
          </w:tcPr>
          <w:p w:rsidR="00845B07" w:rsidRPr="00845B07" w:rsidRDefault="00845B07" w:rsidP="00845B07">
            <w:pPr>
              <w:rPr>
                <w:rFonts w:asciiTheme="minorHAnsi" w:hAnsiTheme="minorHAnsi" w:cstheme="minorHAnsi"/>
                <w:b/>
                <w:sz w:val="20"/>
                <w:szCs w:val="20"/>
              </w:rPr>
            </w:pPr>
          </w:p>
        </w:tc>
        <w:tc>
          <w:tcPr>
            <w:tcW w:w="460" w:type="dxa"/>
            <w:gridSpan w:val="3"/>
            <w:tcBorders>
              <w:bottom w:val="single" w:sz="4" w:space="0" w:color="auto"/>
            </w:tcBorders>
          </w:tcPr>
          <w:p w:rsidR="00845B07" w:rsidRPr="00845B07" w:rsidRDefault="00845B07" w:rsidP="00845B07">
            <w:pPr>
              <w:rPr>
                <w:rFonts w:asciiTheme="minorHAnsi" w:hAnsiTheme="minorHAnsi" w:cstheme="minorHAnsi"/>
                <w:b/>
                <w:sz w:val="20"/>
                <w:szCs w:val="20"/>
              </w:rPr>
            </w:pPr>
          </w:p>
        </w:tc>
        <w:tc>
          <w:tcPr>
            <w:tcW w:w="1183" w:type="dxa"/>
            <w:gridSpan w:val="7"/>
            <w:tcBorders>
              <w:bottom w:val="single" w:sz="4" w:space="0" w:color="auto"/>
            </w:tcBorders>
          </w:tcPr>
          <w:p w:rsidR="00845B07" w:rsidRPr="00845B07" w:rsidRDefault="00845B07" w:rsidP="00845B07">
            <w:pPr>
              <w:rPr>
                <w:rFonts w:asciiTheme="minorHAnsi" w:hAnsiTheme="minorHAnsi" w:cstheme="minorHAnsi"/>
                <w:b/>
                <w:sz w:val="20"/>
                <w:szCs w:val="20"/>
              </w:rPr>
            </w:pPr>
          </w:p>
        </w:tc>
      </w:tr>
      <w:tr w:rsidR="00845B07" w:rsidRPr="00845B07" w:rsidTr="00F112A1">
        <w:trPr>
          <w:gridAfter w:val="8"/>
          <w:wAfter w:w="2567" w:type="dxa"/>
        </w:trPr>
        <w:tc>
          <w:tcPr>
            <w:tcW w:w="3474" w:type="dxa"/>
            <w:gridSpan w:val="21"/>
            <w:tcBorders>
              <w:top w:val="single" w:sz="4" w:space="0" w:color="auto"/>
              <w:left w:val="single" w:sz="4" w:space="0" w:color="auto"/>
              <w:bottom w:val="single" w:sz="4" w:space="0" w:color="auto"/>
              <w:right w:val="single" w:sz="4" w:space="0" w:color="auto"/>
            </w:tcBorders>
            <w:shd w:val="clear" w:color="auto" w:fill="FFFF00"/>
          </w:tcPr>
          <w:p w:rsidR="00845B07" w:rsidRPr="008D5999" w:rsidRDefault="00845B07" w:rsidP="00845B07">
            <w:pPr>
              <w:jc w:val="center"/>
              <w:rPr>
                <w:rFonts w:asciiTheme="minorHAnsi" w:hAnsiTheme="minorHAnsi" w:cstheme="minorHAnsi"/>
                <w:b/>
                <w:sz w:val="18"/>
                <w:szCs w:val="18"/>
              </w:rPr>
            </w:pPr>
            <w:r w:rsidRPr="008D5999">
              <w:rPr>
                <w:rFonts w:asciiTheme="minorHAnsi" w:hAnsiTheme="minorHAnsi" w:cstheme="minorHAnsi"/>
                <w:b/>
                <w:sz w:val="18"/>
                <w:szCs w:val="18"/>
              </w:rPr>
              <w:t>Rozpočet upravený v tis. Kč</w:t>
            </w:r>
          </w:p>
        </w:tc>
        <w:tc>
          <w:tcPr>
            <w:tcW w:w="2977" w:type="dxa"/>
            <w:gridSpan w:val="24"/>
            <w:tcBorders>
              <w:top w:val="single" w:sz="4" w:space="0" w:color="auto"/>
              <w:left w:val="single" w:sz="4" w:space="0" w:color="auto"/>
              <w:bottom w:val="single" w:sz="4" w:space="0" w:color="auto"/>
              <w:right w:val="single" w:sz="4" w:space="0" w:color="auto"/>
            </w:tcBorders>
            <w:shd w:val="clear" w:color="auto" w:fill="FFFF00"/>
          </w:tcPr>
          <w:p w:rsidR="00845B07" w:rsidRPr="008D5999" w:rsidRDefault="00845B07" w:rsidP="00845B07">
            <w:pPr>
              <w:jc w:val="center"/>
              <w:rPr>
                <w:rFonts w:asciiTheme="minorHAnsi" w:hAnsiTheme="minorHAnsi" w:cstheme="minorHAnsi"/>
                <w:b/>
                <w:sz w:val="18"/>
                <w:szCs w:val="18"/>
              </w:rPr>
            </w:pPr>
            <w:r w:rsidRPr="008D5999">
              <w:rPr>
                <w:rFonts w:asciiTheme="minorHAnsi" w:hAnsiTheme="minorHAnsi" w:cstheme="minorHAnsi"/>
                <w:b/>
                <w:sz w:val="18"/>
                <w:szCs w:val="18"/>
              </w:rPr>
              <w:t>Skutečnost v tis. Kč</w:t>
            </w:r>
          </w:p>
        </w:tc>
        <w:tc>
          <w:tcPr>
            <w:tcW w:w="1134" w:type="dxa"/>
            <w:gridSpan w:val="9"/>
            <w:tcBorders>
              <w:top w:val="single" w:sz="4" w:space="0" w:color="auto"/>
              <w:left w:val="single" w:sz="4" w:space="0" w:color="auto"/>
              <w:bottom w:val="single" w:sz="4" w:space="0" w:color="auto"/>
              <w:right w:val="single" w:sz="4" w:space="0" w:color="auto"/>
            </w:tcBorders>
            <w:shd w:val="clear" w:color="auto" w:fill="FFFF00"/>
          </w:tcPr>
          <w:p w:rsidR="00845B07" w:rsidRPr="008D5999" w:rsidRDefault="00845B07" w:rsidP="00845B07">
            <w:pPr>
              <w:jc w:val="center"/>
              <w:rPr>
                <w:rFonts w:asciiTheme="minorHAnsi" w:hAnsiTheme="minorHAnsi" w:cstheme="minorHAnsi"/>
                <w:b/>
                <w:sz w:val="18"/>
                <w:szCs w:val="18"/>
              </w:rPr>
            </w:pPr>
            <w:r w:rsidRPr="008D5999">
              <w:rPr>
                <w:rFonts w:asciiTheme="minorHAnsi" w:hAnsiTheme="minorHAnsi" w:cstheme="minorHAnsi"/>
                <w:b/>
                <w:sz w:val="18"/>
                <w:szCs w:val="18"/>
              </w:rPr>
              <w:t>SK/RU v %</w:t>
            </w:r>
          </w:p>
        </w:tc>
        <w:tc>
          <w:tcPr>
            <w:tcW w:w="2338" w:type="dxa"/>
            <w:gridSpan w:val="15"/>
            <w:tcBorders>
              <w:top w:val="single" w:sz="4" w:space="0" w:color="auto"/>
              <w:left w:val="single" w:sz="4" w:space="0" w:color="auto"/>
              <w:bottom w:val="single" w:sz="4" w:space="0" w:color="auto"/>
              <w:right w:val="single" w:sz="4" w:space="0" w:color="auto"/>
            </w:tcBorders>
            <w:shd w:val="clear" w:color="auto" w:fill="FFFF00"/>
          </w:tcPr>
          <w:p w:rsidR="00845B07" w:rsidRPr="008D5999" w:rsidRDefault="00845B07" w:rsidP="00845B07">
            <w:pPr>
              <w:jc w:val="center"/>
              <w:rPr>
                <w:rFonts w:asciiTheme="minorHAnsi" w:hAnsiTheme="minorHAnsi" w:cstheme="minorHAnsi"/>
                <w:b/>
                <w:sz w:val="18"/>
                <w:szCs w:val="18"/>
              </w:rPr>
            </w:pPr>
            <w:r w:rsidRPr="008D5999">
              <w:rPr>
                <w:rFonts w:asciiTheme="minorHAnsi" w:hAnsiTheme="minorHAnsi" w:cstheme="minorHAnsi"/>
                <w:b/>
                <w:sz w:val="18"/>
                <w:szCs w:val="18"/>
              </w:rPr>
              <w:t>Komentář</w:t>
            </w:r>
          </w:p>
        </w:tc>
      </w:tr>
      <w:tr w:rsidR="00845B07" w:rsidRPr="00845B07" w:rsidTr="00F112A1">
        <w:trPr>
          <w:gridAfter w:val="8"/>
          <w:wAfter w:w="2567" w:type="dxa"/>
        </w:trPr>
        <w:tc>
          <w:tcPr>
            <w:tcW w:w="3474" w:type="dxa"/>
            <w:gridSpan w:val="21"/>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right"/>
              <w:rPr>
                <w:rFonts w:asciiTheme="minorHAnsi" w:hAnsiTheme="minorHAnsi" w:cstheme="minorHAnsi"/>
                <w:b/>
                <w:sz w:val="18"/>
                <w:szCs w:val="18"/>
              </w:rPr>
            </w:pPr>
            <w:r w:rsidRPr="008D5999">
              <w:rPr>
                <w:rFonts w:asciiTheme="minorHAnsi" w:hAnsiTheme="minorHAnsi" w:cstheme="minorHAnsi"/>
                <w:b/>
                <w:sz w:val="18"/>
                <w:szCs w:val="18"/>
              </w:rPr>
              <w:t>85 627,18</w:t>
            </w:r>
          </w:p>
        </w:tc>
        <w:tc>
          <w:tcPr>
            <w:tcW w:w="2977" w:type="dxa"/>
            <w:gridSpan w:val="24"/>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right"/>
              <w:rPr>
                <w:rFonts w:asciiTheme="minorHAnsi" w:hAnsiTheme="minorHAnsi" w:cstheme="minorHAnsi"/>
                <w:b/>
                <w:sz w:val="18"/>
                <w:szCs w:val="18"/>
              </w:rPr>
            </w:pPr>
            <w:r w:rsidRPr="008D5999">
              <w:rPr>
                <w:rFonts w:asciiTheme="minorHAnsi" w:hAnsiTheme="minorHAnsi" w:cstheme="minorHAnsi"/>
                <w:b/>
                <w:sz w:val="18"/>
                <w:szCs w:val="18"/>
              </w:rPr>
              <w:t>88 514,60</w:t>
            </w:r>
          </w:p>
        </w:tc>
        <w:tc>
          <w:tcPr>
            <w:tcW w:w="1134" w:type="dxa"/>
            <w:gridSpan w:val="9"/>
            <w:tcBorders>
              <w:top w:val="single" w:sz="4" w:space="0" w:color="auto"/>
              <w:left w:val="single" w:sz="4" w:space="0" w:color="auto"/>
              <w:bottom w:val="single" w:sz="4" w:space="0" w:color="auto"/>
              <w:right w:val="single" w:sz="4" w:space="0" w:color="auto"/>
            </w:tcBorders>
          </w:tcPr>
          <w:p w:rsidR="00845B07" w:rsidRPr="008D5999" w:rsidRDefault="00845B07" w:rsidP="00F112A1">
            <w:pPr>
              <w:jc w:val="center"/>
              <w:rPr>
                <w:rFonts w:asciiTheme="minorHAnsi" w:hAnsiTheme="minorHAnsi" w:cstheme="minorHAnsi"/>
                <w:b/>
                <w:sz w:val="18"/>
                <w:szCs w:val="18"/>
              </w:rPr>
            </w:pPr>
            <w:r w:rsidRPr="008D5999">
              <w:rPr>
                <w:rFonts w:asciiTheme="minorHAnsi" w:hAnsiTheme="minorHAnsi" w:cstheme="minorHAnsi"/>
                <w:b/>
                <w:sz w:val="18"/>
                <w:szCs w:val="18"/>
              </w:rPr>
              <w:t>105,16</w:t>
            </w:r>
          </w:p>
        </w:tc>
        <w:tc>
          <w:tcPr>
            <w:tcW w:w="2338" w:type="dxa"/>
            <w:gridSpan w:val="15"/>
            <w:tcBorders>
              <w:top w:val="single" w:sz="4" w:space="0" w:color="auto"/>
              <w:left w:val="single" w:sz="4" w:space="0" w:color="auto"/>
              <w:bottom w:val="single" w:sz="4" w:space="0" w:color="auto"/>
              <w:right w:val="single" w:sz="4" w:space="0" w:color="auto"/>
            </w:tcBorders>
          </w:tcPr>
          <w:p w:rsidR="00845B07" w:rsidRPr="008D5999" w:rsidRDefault="00845B07" w:rsidP="00845B07">
            <w:pPr>
              <w:rPr>
                <w:rFonts w:asciiTheme="minorHAnsi" w:hAnsiTheme="minorHAnsi" w:cstheme="minorHAnsi"/>
                <w:b/>
                <w:sz w:val="18"/>
                <w:szCs w:val="18"/>
              </w:rPr>
            </w:pPr>
            <w:r w:rsidRPr="008D5999">
              <w:rPr>
                <w:rFonts w:asciiTheme="minorHAnsi" w:hAnsiTheme="minorHAnsi" w:cstheme="minorHAnsi"/>
                <w:b/>
                <w:sz w:val="18"/>
                <w:szCs w:val="18"/>
              </w:rPr>
              <w:t>Příjmy před konsolidací</w:t>
            </w:r>
          </w:p>
        </w:tc>
      </w:tr>
      <w:tr w:rsidR="00845B07" w:rsidRPr="00845B07" w:rsidTr="00F112A1">
        <w:trPr>
          <w:gridAfter w:val="8"/>
          <w:wAfter w:w="2567" w:type="dxa"/>
        </w:trPr>
        <w:tc>
          <w:tcPr>
            <w:tcW w:w="3474" w:type="dxa"/>
            <w:gridSpan w:val="21"/>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right"/>
              <w:rPr>
                <w:rFonts w:asciiTheme="minorHAnsi" w:hAnsiTheme="minorHAnsi" w:cstheme="minorHAnsi"/>
                <w:b/>
                <w:sz w:val="18"/>
                <w:szCs w:val="18"/>
              </w:rPr>
            </w:pPr>
            <w:r w:rsidRPr="008D5999">
              <w:rPr>
                <w:rFonts w:asciiTheme="minorHAnsi" w:hAnsiTheme="minorHAnsi" w:cstheme="minorHAnsi"/>
                <w:b/>
                <w:sz w:val="18"/>
                <w:szCs w:val="18"/>
              </w:rPr>
              <w:t>85 627,18</w:t>
            </w:r>
          </w:p>
        </w:tc>
        <w:tc>
          <w:tcPr>
            <w:tcW w:w="2977" w:type="dxa"/>
            <w:gridSpan w:val="24"/>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right"/>
              <w:rPr>
                <w:rFonts w:asciiTheme="minorHAnsi" w:hAnsiTheme="minorHAnsi" w:cstheme="minorHAnsi"/>
                <w:b/>
                <w:sz w:val="18"/>
                <w:szCs w:val="18"/>
              </w:rPr>
            </w:pPr>
            <w:r w:rsidRPr="008D5999">
              <w:rPr>
                <w:rFonts w:asciiTheme="minorHAnsi" w:hAnsiTheme="minorHAnsi" w:cstheme="minorHAnsi"/>
                <w:b/>
                <w:sz w:val="18"/>
                <w:szCs w:val="18"/>
              </w:rPr>
              <w:t>88 514,60</w:t>
            </w:r>
          </w:p>
        </w:tc>
        <w:tc>
          <w:tcPr>
            <w:tcW w:w="1134" w:type="dxa"/>
            <w:gridSpan w:val="9"/>
            <w:tcBorders>
              <w:top w:val="single" w:sz="4" w:space="0" w:color="auto"/>
              <w:left w:val="single" w:sz="4" w:space="0" w:color="auto"/>
              <w:bottom w:val="single" w:sz="4" w:space="0" w:color="auto"/>
              <w:right w:val="single" w:sz="4" w:space="0" w:color="auto"/>
            </w:tcBorders>
          </w:tcPr>
          <w:p w:rsidR="00845B07" w:rsidRPr="008D5999" w:rsidRDefault="00845B07" w:rsidP="00F112A1">
            <w:pPr>
              <w:jc w:val="center"/>
              <w:rPr>
                <w:rFonts w:asciiTheme="minorHAnsi" w:hAnsiTheme="minorHAnsi" w:cstheme="minorHAnsi"/>
                <w:b/>
                <w:sz w:val="18"/>
                <w:szCs w:val="18"/>
              </w:rPr>
            </w:pPr>
            <w:r w:rsidRPr="008D5999">
              <w:rPr>
                <w:rFonts w:asciiTheme="minorHAnsi" w:hAnsiTheme="minorHAnsi" w:cstheme="minorHAnsi"/>
                <w:b/>
                <w:sz w:val="18"/>
                <w:szCs w:val="18"/>
              </w:rPr>
              <w:t>105,16</w:t>
            </w:r>
          </w:p>
        </w:tc>
        <w:tc>
          <w:tcPr>
            <w:tcW w:w="2338" w:type="dxa"/>
            <w:gridSpan w:val="15"/>
            <w:tcBorders>
              <w:top w:val="single" w:sz="4" w:space="0" w:color="auto"/>
              <w:left w:val="single" w:sz="4" w:space="0" w:color="auto"/>
              <w:bottom w:val="single" w:sz="4" w:space="0" w:color="auto"/>
              <w:right w:val="single" w:sz="4" w:space="0" w:color="auto"/>
            </w:tcBorders>
          </w:tcPr>
          <w:p w:rsidR="00845B07" w:rsidRPr="008D5999" w:rsidRDefault="00845B07" w:rsidP="00845B07">
            <w:pPr>
              <w:rPr>
                <w:rFonts w:asciiTheme="minorHAnsi" w:hAnsiTheme="minorHAnsi" w:cstheme="minorHAnsi"/>
                <w:b/>
                <w:sz w:val="18"/>
                <w:szCs w:val="18"/>
              </w:rPr>
            </w:pPr>
            <w:r w:rsidRPr="008D5999">
              <w:rPr>
                <w:rFonts w:asciiTheme="minorHAnsi" w:hAnsiTheme="minorHAnsi" w:cstheme="minorHAnsi"/>
                <w:b/>
                <w:sz w:val="18"/>
                <w:szCs w:val="18"/>
              </w:rPr>
              <w:t>Příjmy po konsolidaci</w:t>
            </w:r>
          </w:p>
        </w:tc>
      </w:tr>
      <w:tr w:rsidR="00845B07" w:rsidRPr="00845B07" w:rsidTr="00F112A1">
        <w:trPr>
          <w:gridAfter w:val="8"/>
          <w:wAfter w:w="2567" w:type="dxa"/>
        </w:trPr>
        <w:tc>
          <w:tcPr>
            <w:tcW w:w="460" w:type="dxa"/>
            <w:gridSpan w:val="2"/>
            <w:tcBorders>
              <w:top w:val="single" w:sz="4" w:space="0" w:color="auto"/>
            </w:tcBorders>
          </w:tcPr>
          <w:p w:rsidR="00845B07" w:rsidRPr="00845B07" w:rsidRDefault="00845B07" w:rsidP="00845B07">
            <w:pPr>
              <w:rPr>
                <w:rFonts w:asciiTheme="minorHAnsi" w:hAnsiTheme="minorHAnsi" w:cstheme="minorHAnsi"/>
                <w:b/>
                <w:sz w:val="20"/>
                <w:szCs w:val="20"/>
              </w:rPr>
            </w:pPr>
          </w:p>
        </w:tc>
        <w:tc>
          <w:tcPr>
            <w:tcW w:w="392" w:type="dxa"/>
            <w:gridSpan w:val="2"/>
            <w:tcBorders>
              <w:top w:val="single" w:sz="4" w:space="0" w:color="auto"/>
            </w:tcBorders>
          </w:tcPr>
          <w:p w:rsidR="00845B07" w:rsidRPr="00845B07" w:rsidRDefault="00845B07" w:rsidP="00845B07">
            <w:pPr>
              <w:rPr>
                <w:rFonts w:asciiTheme="minorHAnsi" w:hAnsiTheme="minorHAnsi" w:cstheme="minorHAnsi"/>
                <w:b/>
                <w:sz w:val="20"/>
                <w:szCs w:val="20"/>
              </w:rPr>
            </w:pPr>
          </w:p>
        </w:tc>
        <w:tc>
          <w:tcPr>
            <w:tcW w:w="528" w:type="dxa"/>
            <w:gridSpan w:val="2"/>
            <w:tcBorders>
              <w:top w:val="single" w:sz="4" w:space="0" w:color="auto"/>
            </w:tcBorders>
          </w:tcPr>
          <w:p w:rsidR="00845B07" w:rsidRPr="00845B07" w:rsidRDefault="00845B07" w:rsidP="00845B07">
            <w:pPr>
              <w:rPr>
                <w:rFonts w:asciiTheme="minorHAnsi" w:hAnsiTheme="minorHAnsi" w:cstheme="minorHAnsi"/>
                <w:b/>
                <w:sz w:val="20"/>
                <w:szCs w:val="20"/>
              </w:rPr>
            </w:pPr>
          </w:p>
        </w:tc>
        <w:tc>
          <w:tcPr>
            <w:tcW w:w="391" w:type="dxa"/>
            <w:gridSpan w:val="5"/>
            <w:tcBorders>
              <w:top w:val="single" w:sz="4" w:space="0" w:color="auto"/>
            </w:tcBorders>
          </w:tcPr>
          <w:p w:rsidR="00845B07" w:rsidRPr="00845B07" w:rsidRDefault="00845B07" w:rsidP="00845B07">
            <w:pPr>
              <w:rPr>
                <w:rFonts w:asciiTheme="minorHAnsi" w:hAnsiTheme="minorHAnsi" w:cstheme="minorHAnsi"/>
                <w:b/>
                <w:sz w:val="20"/>
                <w:szCs w:val="20"/>
              </w:rPr>
            </w:pPr>
          </w:p>
        </w:tc>
        <w:tc>
          <w:tcPr>
            <w:tcW w:w="529" w:type="dxa"/>
            <w:gridSpan w:val="2"/>
            <w:tcBorders>
              <w:top w:val="single" w:sz="4" w:space="0" w:color="auto"/>
            </w:tcBorders>
          </w:tcPr>
          <w:p w:rsidR="00845B07" w:rsidRPr="00845B07" w:rsidRDefault="00845B07" w:rsidP="00845B07">
            <w:pPr>
              <w:rPr>
                <w:rFonts w:asciiTheme="minorHAnsi" w:hAnsiTheme="minorHAnsi" w:cstheme="minorHAnsi"/>
                <w:b/>
                <w:sz w:val="20"/>
                <w:szCs w:val="20"/>
              </w:rPr>
            </w:pPr>
          </w:p>
        </w:tc>
        <w:tc>
          <w:tcPr>
            <w:tcW w:w="460" w:type="dxa"/>
            <w:tcBorders>
              <w:top w:val="single" w:sz="4" w:space="0" w:color="auto"/>
            </w:tcBorders>
          </w:tcPr>
          <w:p w:rsidR="00845B07" w:rsidRPr="00845B07" w:rsidRDefault="00845B07" w:rsidP="00845B07">
            <w:pPr>
              <w:rPr>
                <w:rFonts w:asciiTheme="minorHAnsi" w:hAnsiTheme="minorHAnsi" w:cstheme="minorHAnsi"/>
                <w:b/>
                <w:sz w:val="20"/>
                <w:szCs w:val="20"/>
              </w:rPr>
            </w:pPr>
          </w:p>
        </w:tc>
        <w:tc>
          <w:tcPr>
            <w:tcW w:w="460" w:type="dxa"/>
            <w:gridSpan w:val="5"/>
            <w:tcBorders>
              <w:top w:val="single" w:sz="4" w:space="0" w:color="auto"/>
            </w:tcBorders>
          </w:tcPr>
          <w:p w:rsidR="00845B07" w:rsidRPr="00845B07" w:rsidRDefault="00845B07" w:rsidP="00845B07">
            <w:pPr>
              <w:rPr>
                <w:rFonts w:asciiTheme="minorHAnsi" w:hAnsiTheme="minorHAnsi" w:cstheme="minorHAnsi"/>
                <w:b/>
                <w:sz w:val="20"/>
                <w:szCs w:val="20"/>
              </w:rPr>
            </w:pPr>
          </w:p>
        </w:tc>
        <w:tc>
          <w:tcPr>
            <w:tcW w:w="460" w:type="dxa"/>
            <w:gridSpan w:val="4"/>
            <w:tcBorders>
              <w:top w:val="single" w:sz="4" w:space="0" w:color="auto"/>
            </w:tcBorders>
          </w:tcPr>
          <w:p w:rsidR="00845B07" w:rsidRPr="00845B07" w:rsidRDefault="00845B07" w:rsidP="00845B07">
            <w:pPr>
              <w:rPr>
                <w:rFonts w:asciiTheme="minorHAnsi" w:hAnsiTheme="minorHAnsi" w:cstheme="minorHAnsi"/>
                <w:b/>
                <w:sz w:val="20"/>
                <w:szCs w:val="20"/>
              </w:rPr>
            </w:pPr>
          </w:p>
        </w:tc>
        <w:tc>
          <w:tcPr>
            <w:tcW w:w="460" w:type="dxa"/>
            <w:gridSpan w:val="2"/>
            <w:tcBorders>
              <w:top w:val="single" w:sz="4" w:space="0" w:color="auto"/>
            </w:tcBorders>
          </w:tcPr>
          <w:p w:rsidR="00845B07" w:rsidRPr="00845B07" w:rsidRDefault="00845B07" w:rsidP="00845B07">
            <w:pPr>
              <w:rPr>
                <w:rFonts w:asciiTheme="minorHAnsi" w:hAnsiTheme="minorHAnsi" w:cstheme="minorHAnsi"/>
                <w:b/>
                <w:sz w:val="20"/>
                <w:szCs w:val="20"/>
              </w:rPr>
            </w:pPr>
          </w:p>
        </w:tc>
        <w:tc>
          <w:tcPr>
            <w:tcW w:w="610" w:type="dxa"/>
            <w:gridSpan w:val="6"/>
            <w:tcBorders>
              <w:top w:val="single" w:sz="4" w:space="0" w:color="auto"/>
            </w:tcBorders>
          </w:tcPr>
          <w:p w:rsidR="00845B07" w:rsidRPr="00845B07" w:rsidRDefault="00845B07" w:rsidP="00845B07">
            <w:pPr>
              <w:rPr>
                <w:rFonts w:asciiTheme="minorHAnsi" w:hAnsiTheme="minorHAnsi" w:cstheme="minorHAnsi"/>
                <w:b/>
                <w:sz w:val="20"/>
                <w:szCs w:val="20"/>
              </w:rPr>
            </w:pPr>
          </w:p>
        </w:tc>
        <w:tc>
          <w:tcPr>
            <w:tcW w:w="310" w:type="dxa"/>
            <w:gridSpan w:val="2"/>
            <w:tcBorders>
              <w:top w:val="single" w:sz="4" w:space="0" w:color="auto"/>
            </w:tcBorders>
          </w:tcPr>
          <w:p w:rsidR="00845B07" w:rsidRPr="00845B07" w:rsidRDefault="00845B07" w:rsidP="00845B07">
            <w:pPr>
              <w:rPr>
                <w:rFonts w:asciiTheme="minorHAnsi" w:hAnsiTheme="minorHAnsi" w:cstheme="minorHAnsi"/>
                <w:b/>
                <w:sz w:val="20"/>
                <w:szCs w:val="20"/>
              </w:rPr>
            </w:pPr>
          </w:p>
        </w:tc>
        <w:tc>
          <w:tcPr>
            <w:tcW w:w="682" w:type="dxa"/>
            <w:gridSpan w:val="5"/>
            <w:tcBorders>
              <w:top w:val="single" w:sz="4" w:space="0" w:color="auto"/>
            </w:tcBorders>
          </w:tcPr>
          <w:p w:rsidR="00845B07" w:rsidRPr="00845B07" w:rsidRDefault="00845B07" w:rsidP="00845B07">
            <w:pPr>
              <w:rPr>
                <w:rFonts w:asciiTheme="minorHAnsi" w:hAnsiTheme="minorHAnsi" w:cstheme="minorHAnsi"/>
                <w:b/>
                <w:sz w:val="20"/>
                <w:szCs w:val="20"/>
              </w:rPr>
            </w:pPr>
          </w:p>
        </w:tc>
        <w:tc>
          <w:tcPr>
            <w:tcW w:w="238" w:type="dxa"/>
            <w:gridSpan w:val="2"/>
            <w:tcBorders>
              <w:top w:val="single" w:sz="4" w:space="0" w:color="auto"/>
            </w:tcBorders>
          </w:tcPr>
          <w:p w:rsidR="00845B07" w:rsidRPr="00845B07" w:rsidRDefault="00845B07" w:rsidP="00845B07">
            <w:pPr>
              <w:rPr>
                <w:rFonts w:asciiTheme="minorHAnsi" w:hAnsiTheme="minorHAnsi" w:cstheme="minorHAnsi"/>
                <w:b/>
                <w:sz w:val="20"/>
                <w:szCs w:val="20"/>
              </w:rPr>
            </w:pPr>
          </w:p>
        </w:tc>
        <w:tc>
          <w:tcPr>
            <w:tcW w:w="460" w:type="dxa"/>
            <w:gridSpan w:val="4"/>
            <w:tcBorders>
              <w:top w:val="single" w:sz="4" w:space="0" w:color="auto"/>
            </w:tcBorders>
          </w:tcPr>
          <w:p w:rsidR="00845B07" w:rsidRPr="00845B07" w:rsidRDefault="00845B07" w:rsidP="00845B07">
            <w:pPr>
              <w:rPr>
                <w:rFonts w:asciiTheme="minorHAnsi" w:hAnsiTheme="minorHAnsi" w:cstheme="minorHAnsi"/>
                <w:b/>
                <w:sz w:val="20"/>
                <w:szCs w:val="20"/>
              </w:rPr>
            </w:pPr>
          </w:p>
        </w:tc>
        <w:tc>
          <w:tcPr>
            <w:tcW w:w="460" w:type="dxa"/>
            <w:gridSpan w:val="4"/>
            <w:tcBorders>
              <w:top w:val="single" w:sz="4" w:space="0" w:color="auto"/>
            </w:tcBorders>
          </w:tcPr>
          <w:p w:rsidR="00845B07" w:rsidRPr="00845B07" w:rsidRDefault="00845B07" w:rsidP="00845B07">
            <w:pPr>
              <w:rPr>
                <w:rFonts w:asciiTheme="minorHAnsi" w:hAnsiTheme="minorHAnsi" w:cstheme="minorHAnsi"/>
                <w:b/>
                <w:sz w:val="20"/>
                <w:szCs w:val="20"/>
              </w:rPr>
            </w:pPr>
          </w:p>
        </w:tc>
        <w:tc>
          <w:tcPr>
            <w:tcW w:w="460" w:type="dxa"/>
            <w:gridSpan w:val="4"/>
            <w:tcBorders>
              <w:top w:val="single" w:sz="4" w:space="0" w:color="auto"/>
            </w:tcBorders>
          </w:tcPr>
          <w:p w:rsidR="00845B07" w:rsidRPr="00845B07" w:rsidRDefault="00845B07" w:rsidP="00845B07">
            <w:pPr>
              <w:rPr>
                <w:rFonts w:asciiTheme="minorHAnsi" w:hAnsiTheme="minorHAnsi" w:cstheme="minorHAnsi"/>
                <w:b/>
                <w:sz w:val="20"/>
                <w:szCs w:val="20"/>
              </w:rPr>
            </w:pPr>
          </w:p>
        </w:tc>
        <w:tc>
          <w:tcPr>
            <w:tcW w:w="460" w:type="dxa"/>
            <w:gridSpan w:val="4"/>
            <w:tcBorders>
              <w:top w:val="single" w:sz="4" w:space="0" w:color="auto"/>
            </w:tcBorders>
          </w:tcPr>
          <w:p w:rsidR="00845B07" w:rsidRPr="00845B07" w:rsidRDefault="00845B07" w:rsidP="00845B07">
            <w:pPr>
              <w:rPr>
                <w:rFonts w:asciiTheme="minorHAnsi" w:hAnsiTheme="minorHAnsi" w:cstheme="minorHAnsi"/>
                <w:b/>
                <w:sz w:val="20"/>
                <w:szCs w:val="20"/>
              </w:rPr>
            </w:pPr>
          </w:p>
        </w:tc>
        <w:tc>
          <w:tcPr>
            <w:tcW w:w="460" w:type="dxa"/>
            <w:gridSpan w:val="3"/>
            <w:tcBorders>
              <w:top w:val="single" w:sz="4" w:space="0" w:color="auto"/>
            </w:tcBorders>
          </w:tcPr>
          <w:p w:rsidR="00845B07" w:rsidRPr="00845B07" w:rsidRDefault="00845B07" w:rsidP="00845B07">
            <w:pPr>
              <w:rPr>
                <w:rFonts w:asciiTheme="minorHAnsi" w:hAnsiTheme="minorHAnsi" w:cstheme="minorHAnsi"/>
                <w:b/>
                <w:sz w:val="20"/>
                <w:szCs w:val="20"/>
              </w:rPr>
            </w:pPr>
          </w:p>
        </w:tc>
        <w:tc>
          <w:tcPr>
            <w:tcW w:w="460" w:type="dxa"/>
            <w:gridSpan w:val="3"/>
            <w:tcBorders>
              <w:top w:val="single" w:sz="4" w:space="0" w:color="auto"/>
            </w:tcBorders>
          </w:tcPr>
          <w:p w:rsidR="00845B07" w:rsidRPr="00845B07" w:rsidRDefault="00845B07" w:rsidP="00845B07">
            <w:pPr>
              <w:rPr>
                <w:rFonts w:asciiTheme="minorHAnsi" w:hAnsiTheme="minorHAnsi" w:cstheme="minorHAnsi"/>
                <w:b/>
                <w:sz w:val="20"/>
                <w:szCs w:val="20"/>
              </w:rPr>
            </w:pPr>
          </w:p>
        </w:tc>
        <w:tc>
          <w:tcPr>
            <w:tcW w:w="1183" w:type="dxa"/>
            <w:gridSpan w:val="7"/>
            <w:tcBorders>
              <w:top w:val="single" w:sz="4" w:space="0" w:color="auto"/>
            </w:tcBorders>
          </w:tcPr>
          <w:p w:rsidR="00845B07" w:rsidRPr="00845B07" w:rsidRDefault="00845B07" w:rsidP="00845B07">
            <w:pPr>
              <w:rPr>
                <w:rFonts w:asciiTheme="minorHAnsi" w:hAnsiTheme="minorHAnsi" w:cstheme="minorHAnsi"/>
                <w:b/>
                <w:sz w:val="20"/>
                <w:szCs w:val="20"/>
              </w:rPr>
            </w:pPr>
          </w:p>
        </w:tc>
      </w:tr>
      <w:tr w:rsidR="00845B07" w:rsidRPr="00845B07" w:rsidTr="00845B07">
        <w:trPr>
          <w:gridAfter w:val="8"/>
          <w:wAfter w:w="2567" w:type="dxa"/>
        </w:trPr>
        <w:tc>
          <w:tcPr>
            <w:tcW w:w="9923" w:type="dxa"/>
            <w:gridSpan w:val="69"/>
          </w:tcPr>
          <w:p w:rsidR="00845B07" w:rsidRPr="00845B07" w:rsidRDefault="00845B07" w:rsidP="00845B07">
            <w:pPr>
              <w:rPr>
                <w:rFonts w:asciiTheme="minorHAnsi" w:hAnsiTheme="minorHAnsi" w:cstheme="minorHAnsi"/>
                <w:b/>
                <w:sz w:val="20"/>
                <w:szCs w:val="20"/>
              </w:rPr>
            </w:pPr>
            <w:r w:rsidRPr="00845B07">
              <w:rPr>
                <w:rFonts w:asciiTheme="minorHAnsi" w:hAnsiTheme="minorHAnsi" w:cstheme="minorHAnsi"/>
                <w:b/>
                <w:sz w:val="20"/>
                <w:szCs w:val="20"/>
              </w:rPr>
              <w:t>Stručný komentář k celkovému vývoji plnění příjmů kapitoly ve sledovaném období</w:t>
            </w:r>
          </w:p>
        </w:tc>
      </w:tr>
      <w:tr w:rsidR="00845B07" w:rsidRPr="00845B07" w:rsidTr="00845B07">
        <w:trPr>
          <w:gridAfter w:val="8"/>
          <w:wAfter w:w="2567" w:type="dxa"/>
        </w:trPr>
        <w:tc>
          <w:tcPr>
            <w:tcW w:w="460" w:type="dxa"/>
            <w:gridSpan w:val="2"/>
          </w:tcPr>
          <w:p w:rsidR="00845B07" w:rsidRPr="00845B07" w:rsidRDefault="00845B07" w:rsidP="00845B07">
            <w:pPr>
              <w:rPr>
                <w:rFonts w:asciiTheme="minorHAnsi" w:hAnsiTheme="minorHAnsi" w:cstheme="minorHAnsi"/>
                <w:b/>
                <w:sz w:val="20"/>
                <w:szCs w:val="20"/>
              </w:rPr>
            </w:pPr>
          </w:p>
        </w:tc>
        <w:tc>
          <w:tcPr>
            <w:tcW w:w="392" w:type="dxa"/>
            <w:gridSpan w:val="2"/>
          </w:tcPr>
          <w:p w:rsidR="00845B07" w:rsidRPr="00845B07" w:rsidRDefault="00845B07" w:rsidP="00845B07">
            <w:pPr>
              <w:rPr>
                <w:rFonts w:asciiTheme="minorHAnsi" w:hAnsiTheme="minorHAnsi" w:cstheme="minorHAnsi"/>
                <w:b/>
                <w:sz w:val="20"/>
                <w:szCs w:val="20"/>
              </w:rPr>
            </w:pPr>
          </w:p>
        </w:tc>
        <w:tc>
          <w:tcPr>
            <w:tcW w:w="528" w:type="dxa"/>
            <w:gridSpan w:val="2"/>
          </w:tcPr>
          <w:p w:rsidR="00845B07" w:rsidRPr="00845B07" w:rsidRDefault="00845B07" w:rsidP="00845B07">
            <w:pPr>
              <w:rPr>
                <w:rFonts w:asciiTheme="minorHAnsi" w:hAnsiTheme="minorHAnsi" w:cstheme="minorHAnsi"/>
                <w:b/>
                <w:sz w:val="20"/>
                <w:szCs w:val="20"/>
              </w:rPr>
            </w:pPr>
          </w:p>
        </w:tc>
        <w:tc>
          <w:tcPr>
            <w:tcW w:w="460" w:type="dxa"/>
            <w:gridSpan w:val="6"/>
          </w:tcPr>
          <w:p w:rsidR="00845B07" w:rsidRPr="00845B07" w:rsidRDefault="00845B07" w:rsidP="00845B07">
            <w:pPr>
              <w:rPr>
                <w:rFonts w:asciiTheme="minorHAnsi" w:hAnsiTheme="minorHAnsi" w:cstheme="minorHAnsi"/>
                <w:b/>
                <w:sz w:val="20"/>
                <w:szCs w:val="20"/>
              </w:rPr>
            </w:pPr>
          </w:p>
        </w:tc>
        <w:tc>
          <w:tcPr>
            <w:tcW w:w="460" w:type="dxa"/>
          </w:tcPr>
          <w:p w:rsidR="00845B07" w:rsidRPr="00845B07" w:rsidRDefault="00845B07" w:rsidP="00845B07">
            <w:pPr>
              <w:rPr>
                <w:rFonts w:asciiTheme="minorHAnsi" w:hAnsiTheme="minorHAnsi" w:cstheme="minorHAnsi"/>
                <w:b/>
                <w:sz w:val="20"/>
                <w:szCs w:val="20"/>
              </w:rPr>
            </w:pPr>
          </w:p>
        </w:tc>
        <w:tc>
          <w:tcPr>
            <w:tcW w:w="460" w:type="dxa"/>
          </w:tcPr>
          <w:p w:rsidR="00845B07" w:rsidRPr="00845B07" w:rsidRDefault="00845B07" w:rsidP="00845B07">
            <w:pPr>
              <w:rPr>
                <w:rFonts w:asciiTheme="minorHAnsi" w:hAnsiTheme="minorHAnsi" w:cstheme="minorHAnsi"/>
                <w:b/>
                <w:sz w:val="20"/>
                <w:szCs w:val="20"/>
              </w:rPr>
            </w:pPr>
          </w:p>
        </w:tc>
        <w:tc>
          <w:tcPr>
            <w:tcW w:w="460" w:type="dxa"/>
            <w:gridSpan w:val="5"/>
          </w:tcPr>
          <w:p w:rsidR="00845B07" w:rsidRPr="00845B07" w:rsidRDefault="00845B07" w:rsidP="00845B07">
            <w:pPr>
              <w:rPr>
                <w:rFonts w:asciiTheme="minorHAnsi" w:hAnsiTheme="minorHAnsi" w:cstheme="minorHAnsi"/>
                <w:b/>
                <w:sz w:val="20"/>
                <w:szCs w:val="20"/>
              </w:rPr>
            </w:pPr>
          </w:p>
        </w:tc>
        <w:tc>
          <w:tcPr>
            <w:tcW w:w="460" w:type="dxa"/>
            <w:gridSpan w:val="4"/>
          </w:tcPr>
          <w:p w:rsidR="00845B07" w:rsidRPr="00845B07" w:rsidRDefault="00845B07" w:rsidP="00845B07">
            <w:pPr>
              <w:rPr>
                <w:rFonts w:asciiTheme="minorHAnsi" w:hAnsiTheme="minorHAnsi" w:cstheme="minorHAnsi"/>
                <w:b/>
                <w:sz w:val="20"/>
                <w:szCs w:val="20"/>
              </w:rPr>
            </w:pPr>
          </w:p>
        </w:tc>
        <w:tc>
          <w:tcPr>
            <w:tcW w:w="460" w:type="dxa"/>
            <w:gridSpan w:val="2"/>
          </w:tcPr>
          <w:p w:rsidR="00845B07" w:rsidRPr="00845B07" w:rsidRDefault="00845B07" w:rsidP="00845B07">
            <w:pPr>
              <w:rPr>
                <w:rFonts w:asciiTheme="minorHAnsi" w:hAnsiTheme="minorHAnsi" w:cstheme="minorHAnsi"/>
                <w:b/>
                <w:sz w:val="20"/>
                <w:szCs w:val="20"/>
              </w:rPr>
            </w:pPr>
          </w:p>
        </w:tc>
        <w:tc>
          <w:tcPr>
            <w:tcW w:w="610" w:type="dxa"/>
            <w:gridSpan w:val="6"/>
          </w:tcPr>
          <w:p w:rsidR="00845B07" w:rsidRPr="00845B07" w:rsidRDefault="00845B07" w:rsidP="00845B07">
            <w:pPr>
              <w:rPr>
                <w:rFonts w:asciiTheme="minorHAnsi" w:hAnsiTheme="minorHAnsi" w:cstheme="minorHAnsi"/>
                <w:b/>
                <w:sz w:val="20"/>
                <w:szCs w:val="20"/>
              </w:rPr>
            </w:pPr>
          </w:p>
        </w:tc>
        <w:tc>
          <w:tcPr>
            <w:tcW w:w="310" w:type="dxa"/>
            <w:gridSpan w:val="2"/>
          </w:tcPr>
          <w:p w:rsidR="00845B07" w:rsidRPr="00845B07" w:rsidRDefault="00845B07" w:rsidP="00845B07">
            <w:pPr>
              <w:rPr>
                <w:rFonts w:asciiTheme="minorHAnsi" w:hAnsiTheme="minorHAnsi" w:cstheme="minorHAnsi"/>
                <w:b/>
                <w:sz w:val="20"/>
                <w:szCs w:val="20"/>
              </w:rPr>
            </w:pPr>
          </w:p>
        </w:tc>
        <w:tc>
          <w:tcPr>
            <w:tcW w:w="682" w:type="dxa"/>
            <w:gridSpan w:val="5"/>
          </w:tcPr>
          <w:p w:rsidR="00845B07" w:rsidRPr="00845B07" w:rsidRDefault="00845B07" w:rsidP="00845B07">
            <w:pPr>
              <w:rPr>
                <w:rFonts w:asciiTheme="minorHAnsi" w:hAnsiTheme="minorHAnsi" w:cstheme="minorHAnsi"/>
                <w:b/>
                <w:sz w:val="20"/>
                <w:szCs w:val="20"/>
              </w:rPr>
            </w:pPr>
          </w:p>
        </w:tc>
        <w:tc>
          <w:tcPr>
            <w:tcW w:w="238" w:type="dxa"/>
            <w:gridSpan w:val="2"/>
          </w:tcPr>
          <w:p w:rsidR="00845B07" w:rsidRPr="00845B07" w:rsidRDefault="00845B07" w:rsidP="00845B07">
            <w:pPr>
              <w:rPr>
                <w:rFonts w:asciiTheme="minorHAnsi" w:hAnsiTheme="minorHAnsi" w:cstheme="minorHAnsi"/>
                <w:b/>
                <w:sz w:val="20"/>
                <w:szCs w:val="20"/>
              </w:rPr>
            </w:pPr>
          </w:p>
        </w:tc>
        <w:tc>
          <w:tcPr>
            <w:tcW w:w="460" w:type="dxa"/>
            <w:gridSpan w:val="4"/>
          </w:tcPr>
          <w:p w:rsidR="00845B07" w:rsidRPr="00845B07" w:rsidRDefault="00845B07" w:rsidP="00845B07">
            <w:pPr>
              <w:rPr>
                <w:rFonts w:asciiTheme="minorHAnsi" w:hAnsiTheme="minorHAnsi" w:cstheme="minorHAnsi"/>
                <w:b/>
                <w:sz w:val="20"/>
                <w:szCs w:val="20"/>
              </w:rPr>
            </w:pPr>
          </w:p>
        </w:tc>
        <w:tc>
          <w:tcPr>
            <w:tcW w:w="460" w:type="dxa"/>
            <w:gridSpan w:val="4"/>
          </w:tcPr>
          <w:p w:rsidR="00845B07" w:rsidRPr="00845B07" w:rsidRDefault="00845B07" w:rsidP="00845B07">
            <w:pPr>
              <w:rPr>
                <w:rFonts w:asciiTheme="minorHAnsi" w:hAnsiTheme="minorHAnsi" w:cstheme="minorHAnsi"/>
                <w:b/>
                <w:sz w:val="20"/>
                <w:szCs w:val="20"/>
              </w:rPr>
            </w:pPr>
          </w:p>
        </w:tc>
        <w:tc>
          <w:tcPr>
            <w:tcW w:w="460" w:type="dxa"/>
            <w:gridSpan w:val="4"/>
          </w:tcPr>
          <w:p w:rsidR="00845B07" w:rsidRPr="00845B07" w:rsidRDefault="00845B07" w:rsidP="00845B07">
            <w:pPr>
              <w:rPr>
                <w:rFonts w:asciiTheme="minorHAnsi" w:hAnsiTheme="minorHAnsi" w:cstheme="minorHAnsi"/>
                <w:b/>
                <w:sz w:val="20"/>
                <w:szCs w:val="20"/>
              </w:rPr>
            </w:pPr>
          </w:p>
        </w:tc>
        <w:tc>
          <w:tcPr>
            <w:tcW w:w="460" w:type="dxa"/>
            <w:gridSpan w:val="4"/>
          </w:tcPr>
          <w:p w:rsidR="00845B07" w:rsidRPr="00845B07" w:rsidRDefault="00845B07" w:rsidP="00845B07">
            <w:pPr>
              <w:rPr>
                <w:rFonts w:asciiTheme="minorHAnsi" w:hAnsiTheme="minorHAnsi" w:cstheme="minorHAnsi"/>
                <w:b/>
                <w:sz w:val="20"/>
                <w:szCs w:val="20"/>
              </w:rPr>
            </w:pPr>
          </w:p>
        </w:tc>
        <w:tc>
          <w:tcPr>
            <w:tcW w:w="460" w:type="dxa"/>
            <w:gridSpan w:val="3"/>
          </w:tcPr>
          <w:p w:rsidR="00845B07" w:rsidRPr="00845B07" w:rsidRDefault="00845B07" w:rsidP="00845B07">
            <w:pPr>
              <w:rPr>
                <w:rFonts w:asciiTheme="minorHAnsi" w:hAnsiTheme="minorHAnsi" w:cstheme="minorHAnsi"/>
                <w:b/>
                <w:sz w:val="20"/>
                <w:szCs w:val="20"/>
              </w:rPr>
            </w:pPr>
          </w:p>
        </w:tc>
        <w:tc>
          <w:tcPr>
            <w:tcW w:w="460" w:type="dxa"/>
            <w:gridSpan w:val="3"/>
          </w:tcPr>
          <w:p w:rsidR="00845B07" w:rsidRPr="00845B07" w:rsidRDefault="00845B07" w:rsidP="00845B07">
            <w:pPr>
              <w:rPr>
                <w:rFonts w:asciiTheme="minorHAnsi" w:hAnsiTheme="minorHAnsi" w:cstheme="minorHAnsi"/>
                <w:b/>
                <w:sz w:val="20"/>
                <w:szCs w:val="20"/>
              </w:rPr>
            </w:pPr>
          </w:p>
        </w:tc>
        <w:tc>
          <w:tcPr>
            <w:tcW w:w="1183" w:type="dxa"/>
            <w:gridSpan w:val="7"/>
          </w:tcPr>
          <w:p w:rsidR="00845B07" w:rsidRPr="00845B07" w:rsidRDefault="00845B07" w:rsidP="00845B07">
            <w:pPr>
              <w:rPr>
                <w:rFonts w:asciiTheme="minorHAnsi" w:hAnsiTheme="minorHAnsi" w:cstheme="minorHAnsi"/>
                <w:b/>
                <w:sz w:val="20"/>
                <w:szCs w:val="20"/>
              </w:rPr>
            </w:pPr>
          </w:p>
        </w:tc>
      </w:tr>
      <w:tr w:rsidR="00845B07" w:rsidRPr="00845B07" w:rsidTr="00845B07">
        <w:trPr>
          <w:gridAfter w:val="8"/>
          <w:wAfter w:w="2567" w:type="dxa"/>
        </w:trPr>
        <w:tc>
          <w:tcPr>
            <w:tcW w:w="9923" w:type="dxa"/>
            <w:gridSpan w:val="69"/>
            <w:tcBorders>
              <w:top w:val="single" w:sz="6" w:space="0" w:color="auto"/>
              <w:left w:val="single" w:sz="6" w:space="0" w:color="auto"/>
              <w:bottom w:val="single" w:sz="6" w:space="0" w:color="auto"/>
              <w:right w:val="single" w:sz="6" w:space="0" w:color="auto"/>
            </w:tcBorders>
          </w:tcPr>
          <w:p w:rsidR="00845B07" w:rsidRPr="00845B07" w:rsidRDefault="00845B07" w:rsidP="00845B07">
            <w:pPr>
              <w:jc w:val="both"/>
              <w:rPr>
                <w:rFonts w:asciiTheme="minorHAnsi" w:hAnsiTheme="minorHAnsi" w:cstheme="minorHAnsi"/>
                <w:sz w:val="20"/>
                <w:szCs w:val="20"/>
              </w:rPr>
            </w:pPr>
            <w:r w:rsidRPr="00845B07">
              <w:rPr>
                <w:rFonts w:asciiTheme="minorHAnsi" w:hAnsiTheme="minorHAnsi" w:cstheme="minorHAnsi"/>
                <w:sz w:val="20"/>
                <w:szCs w:val="20"/>
              </w:rPr>
              <w:t xml:space="preserve">Splnění příjmové části kapitoly 90 – správa a údržba majetku města na 105,16 % dokládá, že většina položek byla naplněna na 100 a více procent. Nižší plnění představují ty položky, které ovlivňují úhrady nájemců za služby spojené s bydlením, kdy vyúčtování je prováděno na základě skutečné spotřeby a např. v případě dodávek tepla a teplé vody až po skončení topné sezony. </w:t>
            </w:r>
          </w:p>
        </w:tc>
      </w:tr>
      <w:tr w:rsidR="00845B07" w:rsidRPr="00845B07" w:rsidTr="00845B07">
        <w:trPr>
          <w:gridAfter w:val="8"/>
          <w:wAfter w:w="2567" w:type="dxa"/>
        </w:trPr>
        <w:tc>
          <w:tcPr>
            <w:tcW w:w="460" w:type="dxa"/>
            <w:gridSpan w:val="2"/>
          </w:tcPr>
          <w:p w:rsidR="00845B07" w:rsidRPr="00845B07" w:rsidRDefault="00845B07" w:rsidP="00845B07">
            <w:pPr>
              <w:rPr>
                <w:rFonts w:asciiTheme="minorHAnsi" w:hAnsiTheme="minorHAnsi" w:cstheme="minorHAnsi"/>
                <w:b/>
                <w:sz w:val="20"/>
                <w:szCs w:val="20"/>
              </w:rPr>
            </w:pPr>
          </w:p>
        </w:tc>
        <w:tc>
          <w:tcPr>
            <w:tcW w:w="392" w:type="dxa"/>
            <w:gridSpan w:val="2"/>
          </w:tcPr>
          <w:p w:rsidR="00845B07" w:rsidRPr="00845B07" w:rsidRDefault="00845B07" w:rsidP="00845B07">
            <w:pPr>
              <w:rPr>
                <w:rFonts w:asciiTheme="minorHAnsi" w:hAnsiTheme="minorHAnsi" w:cstheme="minorHAnsi"/>
                <w:b/>
                <w:sz w:val="20"/>
                <w:szCs w:val="20"/>
              </w:rPr>
            </w:pPr>
          </w:p>
        </w:tc>
        <w:tc>
          <w:tcPr>
            <w:tcW w:w="528" w:type="dxa"/>
            <w:gridSpan w:val="2"/>
          </w:tcPr>
          <w:p w:rsidR="00845B07" w:rsidRPr="00845B07" w:rsidRDefault="00845B07" w:rsidP="00845B07">
            <w:pPr>
              <w:rPr>
                <w:rFonts w:asciiTheme="minorHAnsi" w:hAnsiTheme="minorHAnsi" w:cstheme="minorHAnsi"/>
                <w:b/>
                <w:sz w:val="20"/>
                <w:szCs w:val="20"/>
              </w:rPr>
            </w:pPr>
          </w:p>
        </w:tc>
        <w:tc>
          <w:tcPr>
            <w:tcW w:w="460" w:type="dxa"/>
            <w:gridSpan w:val="6"/>
          </w:tcPr>
          <w:p w:rsidR="00845B07" w:rsidRPr="00845B07" w:rsidRDefault="00845B07" w:rsidP="00845B07">
            <w:pPr>
              <w:rPr>
                <w:rFonts w:asciiTheme="minorHAnsi" w:hAnsiTheme="minorHAnsi" w:cstheme="minorHAnsi"/>
                <w:b/>
                <w:sz w:val="20"/>
                <w:szCs w:val="20"/>
              </w:rPr>
            </w:pPr>
          </w:p>
        </w:tc>
        <w:tc>
          <w:tcPr>
            <w:tcW w:w="460" w:type="dxa"/>
          </w:tcPr>
          <w:p w:rsidR="00845B07" w:rsidRPr="00845B07" w:rsidRDefault="00845B07" w:rsidP="00845B07">
            <w:pPr>
              <w:rPr>
                <w:rFonts w:asciiTheme="minorHAnsi" w:hAnsiTheme="minorHAnsi" w:cstheme="minorHAnsi"/>
                <w:b/>
                <w:sz w:val="20"/>
                <w:szCs w:val="20"/>
              </w:rPr>
            </w:pPr>
          </w:p>
        </w:tc>
        <w:tc>
          <w:tcPr>
            <w:tcW w:w="460" w:type="dxa"/>
          </w:tcPr>
          <w:p w:rsidR="00845B07" w:rsidRPr="00845B07" w:rsidRDefault="00845B07" w:rsidP="00845B07">
            <w:pPr>
              <w:rPr>
                <w:rFonts w:asciiTheme="minorHAnsi" w:hAnsiTheme="minorHAnsi" w:cstheme="minorHAnsi"/>
                <w:b/>
                <w:sz w:val="20"/>
                <w:szCs w:val="20"/>
              </w:rPr>
            </w:pPr>
          </w:p>
        </w:tc>
        <w:tc>
          <w:tcPr>
            <w:tcW w:w="460" w:type="dxa"/>
            <w:gridSpan w:val="5"/>
          </w:tcPr>
          <w:p w:rsidR="00845B07" w:rsidRPr="00845B07" w:rsidRDefault="00845B07" w:rsidP="00845B07">
            <w:pPr>
              <w:rPr>
                <w:rFonts w:asciiTheme="minorHAnsi" w:hAnsiTheme="minorHAnsi" w:cstheme="minorHAnsi"/>
                <w:b/>
                <w:sz w:val="20"/>
                <w:szCs w:val="20"/>
              </w:rPr>
            </w:pPr>
          </w:p>
        </w:tc>
        <w:tc>
          <w:tcPr>
            <w:tcW w:w="460" w:type="dxa"/>
            <w:gridSpan w:val="4"/>
          </w:tcPr>
          <w:p w:rsidR="00845B07" w:rsidRPr="00845B07" w:rsidRDefault="00845B07" w:rsidP="00845B07">
            <w:pPr>
              <w:rPr>
                <w:rFonts w:asciiTheme="minorHAnsi" w:hAnsiTheme="minorHAnsi" w:cstheme="minorHAnsi"/>
                <w:b/>
                <w:sz w:val="20"/>
                <w:szCs w:val="20"/>
              </w:rPr>
            </w:pPr>
          </w:p>
        </w:tc>
        <w:tc>
          <w:tcPr>
            <w:tcW w:w="460" w:type="dxa"/>
            <w:gridSpan w:val="2"/>
          </w:tcPr>
          <w:p w:rsidR="00845B07" w:rsidRPr="00845B07" w:rsidRDefault="00845B07" w:rsidP="00845B07">
            <w:pPr>
              <w:rPr>
                <w:rFonts w:asciiTheme="minorHAnsi" w:hAnsiTheme="minorHAnsi" w:cstheme="minorHAnsi"/>
                <w:b/>
                <w:sz w:val="20"/>
                <w:szCs w:val="20"/>
              </w:rPr>
            </w:pPr>
          </w:p>
        </w:tc>
        <w:tc>
          <w:tcPr>
            <w:tcW w:w="610" w:type="dxa"/>
            <w:gridSpan w:val="6"/>
          </w:tcPr>
          <w:p w:rsidR="00845B07" w:rsidRPr="00845B07" w:rsidRDefault="00845B07" w:rsidP="00845B07">
            <w:pPr>
              <w:rPr>
                <w:rFonts w:asciiTheme="minorHAnsi" w:hAnsiTheme="minorHAnsi" w:cstheme="minorHAnsi"/>
                <w:b/>
                <w:sz w:val="20"/>
                <w:szCs w:val="20"/>
              </w:rPr>
            </w:pPr>
          </w:p>
        </w:tc>
        <w:tc>
          <w:tcPr>
            <w:tcW w:w="310" w:type="dxa"/>
            <w:gridSpan w:val="2"/>
          </w:tcPr>
          <w:p w:rsidR="00845B07" w:rsidRPr="00845B07" w:rsidRDefault="00845B07" w:rsidP="00845B07">
            <w:pPr>
              <w:rPr>
                <w:rFonts w:asciiTheme="minorHAnsi" w:hAnsiTheme="minorHAnsi" w:cstheme="minorHAnsi"/>
                <w:b/>
                <w:sz w:val="20"/>
                <w:szCs w:val="20"/>
              </w:rPr>
            </w:pPr>
          </w:p>
        </w:tc>
        <w:tc>
          <w:tcPr>
            <w:tcW w:w="682" w:type="dxa"/>
            <w:gridSpan w:val="5"/>
          </w:tcPr>
          <w:p w:rsidR="00845B07" w:rsidRPr="00845B07" w:rsidRDefault="00845B07" w:rsidP="00845B07">
            <w:pPr>
              <w:rPr>
                <w:rFonts w:asciiTheme="minorHAnsi" w:hAnsiTheme="minorHAnsi" w:cstheme="minorHAnsi"/>
                <w:b/>
                <w:sz w:val="20"/>
                <w:szCs w:val="20"/>
              </w:rPr>
            </w:pPr>
          </w:p>
        </w:tc>
        <w:tc>
          <w:tcPr>
            <w:tcW w:w="238" w:type="dxa"/>
            <w:gridSpan w:val="2"/>
          </w:tcPr>
          <w:p w:rsidR="00845B07" w:rsidRPr="00845B07" w:rsidRDefault="00845B07" w:rsidP="00845B07">
            <w:pPr>
              <w:rPr>
                <w:rFonts w:asciiTheme="minorHAnsi" w:hAnsiTheme="minorHAnsi" w:cstheme="minorHAnsi"/>
                <w:b/>
                <w:sz w:val="20"/>
                <w:szCs w:val="20"/>
              </w:rPr>
            </w:pPr>
          </w:p>
        </w:tc>
        <w:tc>
          <w:tcPr>
            <w:tcW w:w="460" w:type="dxa"/>
            <w:gridSpan w:val="4"/>
          </w:tcPr>
          <w:p w:rsidR="00845B07" w:rsidRPr="00845B07" w:rsidRDefault="00845B07" w:rsidP="00845B07">
            <w:pPr>
              <w:rPr>
                <w:rFonts w:asciiTheme="minorHAnsi" w:hAnsiTheme="minorHAnsi" w:cstheme="minorHAnsi"/>
                <w:b/>
                <w:sz w:val="20"/>
                <w:szCs w:val="20"/>
              </w:rPr>
            </w:pPr>
          </w:p>
        </w:tc>
        <w:tc>
          <w:tcPr>
            <w:tcW w:w="460" w:type="dxa"/>
            <w:gridSpan w:val="4"/>
          </w:tcPr>
          <w:p w:rsidR="00845B07" w:rsidRPr="00845B07" w:rsidRDefault="00845B07" w:rsidP="00845B07">
            <w:pPr>
              <w:rPr>
                <w:rFonts w:asciiTheme="minorHAnsi" w:hAnsiTheme="minorHAnsi" w:cstheme="minorHAnsi"/>
                <w:b/>
                <w:sz w:val="20"/>
                <w:szCs w:val="20"/>
              </w:rPr>
            </w:pPr>
          </w:p>
        </w:tc>
        <w:tc>
          <w:tcPr>
            <w:tcW w:w="460" w:type="dxa"/>
            <w:gridSpan w:val="4"/>
          </w:tcPr>
          <w:p w:rsidR="00845B07" w:rsidRPr="00845B07" w:rsidRDefault="00845B07" w:rsidP="00845B07">
            <w:pPr>
              <w:rPr>
                <w:rFonts w:asciiTheme="minorHAnsi" w:hAnsiTheme="minorHAnsi" w:cstheme="minorHAnsi"/>
                <w:b/>
                <w:sz w:val="20"/>
                <w:szCs w:val="20"/>
              </w:rPr>
            </w:pPr>
          </w:p>
        </w:tc>
        <w:tc>
          <w:tcPr>
            <w:tcW w:w="460" w:type="dxa"/>
            <w:gridSpan w:val="4"/>
          </w:tcPr>
          <w:p w:rsidR="00845B07" w:rsidRPr="00845B07" w:rsidRDefault="00845B07" w:rsidP="00845B07">
            <w:pPr>
              <w:rPr>
                <w:rFonts w:asciiTheme="minorHAnsi" w:hAnsiTheme="minorHAnsi" w:cstheme="minorHAnsi"/>
                <w:b/>
                <w:sz w:val="20"/>
                <w:szCs w:val="20"/>
              </w:rPr>
            </w:pPr>
          </w:p>
        </w:tc>
        <w:tc>
          <w:tcPr>
            <w:tcW w:w="460" w:type="dxa"/>
            <w:gridSpan w:val="3"/>
          </w:tcPr>
          <w:p w:rsidR="00845B07" w:rsidRPr="00845B07" w:rsidRDefault="00845B07" w:rsidP="00845B07">
            <w:pPr>
              <w:rPr>
                <w:rFonts w:asciiTheme="minorHAnsi" w:hAnsiTheme="minorHAnsi" w:cstheme="minorHAnsi"/>
                <w:b/>
                <w:sz w:val="20"/>
                <w:szCs w:val="20"/>
              </w:rPr>
            </w:pPr>
          </w:p>
        </w:tc>
        <w:tc>
          <w:tcPr>
            <w:tcW w:w="460" w:type="dxa"/>
            <w:gridSpan w:val="3"/>
          </w:tcPr>
          <w:p w:rsidR="00845B07" w:rsidRPr="00845B07" w:rsidRDefault="00845B07" w:rsidP="00845B07">
            <w:pPr>
              <w:rPr>
                <w:rFonts w:asciiTheme="minorHAnsi" w:hAnsiTheme="minorHAnsi" w:cstheme="minorHAnsi"/>
                <w:b/>
                <w:sz w:val="20"/>
                <w:szCs w:val="20"/>
              </w:rPr>
            </w:pPr>
          </w:p>
        </w:tc>
        <w:tc>
          <w:tcPr>
            <w:tcW w:w="1183" w:type="dxa"/>
            <w:gridSpan w:val="7"/>
          </w:tcPr>
          <w:p w:rsidR="00845B07" w:rsidRPr="00845B07" w:rsidRDefault="00845B07" w:rsidP="00845B07">
            <w:pPr>
              <w:rPr>
                <w:rFonts w:asciiTheme="minorHAnsi" w:hAnsiTheme="minorHAnsi" w:cstheme="minorHAnsi"/>
                <w:b/>
                <w:sz w:val="20"/>
                <w:szCs w:val="20"/>
              </w:rPr>
            </w:pPr>
          </w:p>
        </w:tc>
      </w:tr>
      <w:tr w:rsidR="00845B07" w:rsidRPr="00845B07" w:rsidTr="00845B07">
        <w:trPr>
          <w:gridAfter w:val="8"/>
          <w:wAfter w:w="2567" w:type="dxa"/>
        </w:trPr>
        <w:tc>
          <w:tcPr>
            <w:tcW w:w="9923" w:type="dxa"/>
            <w:gridSpan w:val="69"/>
          </w:tcPr>
          <w:p w:rsidR="00845B07" w:rsidRPr="00845B07" w:rsidRDefault="00845B07" w:rsidP="00845B07">
            <w:pPr>
              <w:rPr>
                <w:rFonts w:asciiTheme="minorHAnsi" w:hAnsiTheme="minorHAnsi" w:cstheme="minorHAnsi"/>
                <w:b/>
                <w:sz w:val="20"/>
                <w:szCs w:val="20"/>
              </w:rPr>
            </w:pPr>
          </w:p>
          <w:p w:rsidR="00845B07" w:rsidRPr="00845B07" w:rsidRDefault="00845B07" w:rsidP="00845B07">
            <w:pPr>
              <w:rPr>
                <w:rFonts w:asciiTheme="minorHAnsi" w:hAnsiTheme="minorHAnsi" w:cstheme="minorHAnsi"/>
                <w:b/>
                <w:sz w:val="20"/>
                <w:szCs w:val="20"/>
              </w:rPr>
            </w:pPr>
            <w:r w:rsidRPr="00845B07">
              <w:rPr>
                <w:rFonts w:asciiTheme="minorHAnsi" w:hAnsiTheme="minorHAnsi" w:cstheme="minorHAnsi"/>
                <w:b/>
                <w:sz w:val="20"/>
                <w:szCs w:val="20"/>
              </w:rPr>
              <w:t>Komentář k položkám (akcím), které vykázaly abnormalitu v řádném plnění příjmů rozpočtu kapitoly ve sledovaném období</w:t>
            </w:r>
          </w:p>
        </w:tc>
      </w:tr>
      <w:tr w:rsidR="00845B07" w:rsidRPr="00845B07" w:rsidTr="00845B07">
        <w:tc>
          <w:tcPr>
            <w:tcW w:w="460" w:type="dxa"/>
            <w:gridSpan w:val="2"/>
          </w:tcPr>
          <w:p w:rsidR="00845B07" w:rsidRPr="00845B07" w:rsidRDefault="00845B07" w:rsidP="00845B07">
            <w:pPr>
              <w:rPr>
                <w:rFonts w:asciiTheme="minorHAnsi" w:hAnsiTheme="minorHAnsi" w:cstheme="minorHAnsi"/>
                <w:b/>
                <w:sz w:val="20"/>
                <w:szCs w:val="20"/>
              </w:rPr>
            </w:pPr>
          </w:p>
        </w:tc>
        <w:tc>
          <w:tcPr>
            <w:tcW w:w="392" w:type="dxa"/>
            <w:gridSpan w:val="2"/>
          </w:tcPr>
          <w:p w:rsidR="00845B07" w:rsidRPr="00845B07" w:rsidRDefault="00845B07" w:rsidP="00845B07">
            <w:pPr>
              <w:rPr>
                <w:rFonts w:asciiTheme="minorHAnsi" w:hAnsiTheme="minorHAnsi" w:cstheme="minorHAnsi"/>
                <w:b/>
                <w:sz w:val="20"/>
                <w:szCs w:val="20"/>
              </w:rPr>
            </w:pPr>
          </w:p>
        </w:tc>
        <w:tc>
          <w:tcPr>
            <w:tcW w:w="528" w:type="dxa"/>
            <w:gridSpan w:val="2"/>
          </w:tcPr>
          <w:p w:rsidR="00845B07" w:rsidRPr="00845B07" w:rsidRDefault="00845B07" w:rsidP="00845B07">
            <w:pPr>
              <w:rPr>
                <w:rFonts w:asciiTheme="minorHAnsi" w:hAnsiTheme="minorHAnsi" w:cstheme="minorHAnsi"/>
                <w:b/>
                <w:sz w:val="20"/>
                <w:szCs w:val="20"/>
              </w:rPr>
            </w:pPr>
          </w:p>
        </w:tc>
        <w:tc>
          <w:tcPr>
            <w:tcW w:w="180" w:type="dxa"/>
            <w:gridSpan w:val="4"/>
          </w:tcPr>
          <w:p w:rsidR="00845B07" w:rsidRPr="00845B07" w:rsidRDefault="00845B07" w:rsidP="00845B07">
            <w:pPr>
              <w:rPr>
                <w:rFonts w:asciiTheme="minorHAnsi" w:hAnsiTheme="minorHAnsi" w:cstheme="minorHAnsi"/>
                <w:b/>
                <w:sz w:val="20"/>
                <w:szCs w:val="20"/>
              </w:rPr>
            </w:pPr>
          </w:p>
        </w:tc>
        <w:tc>
          <w:tcPr>
            <w:tcW w:w="3190" w:type="dxa"/>
            <w:gridSpan w:val="21"/>
          </w:tcPr>
          <w:p w:rsidR="00845B07" w:rsidRPr="00845B07" w:rsidRDefault="00845B07" w:rsidP="00845B07">
            <w:pPr>
              <w:rPr>
                <w:rFonts w:asciiTheme="minorHAnsi" w:hAnsiTheme="minorHAnsi" w:cstheme="minorHAnsi"/>
                <w:b/>
                <w:sz w:val="20"/>
                <w:szCs w:val="20"/>
              </w:rPr>
            </w:pPr>
          </w:p>
        </w:tc>
        <w:tc>
          <w:tcPr>
            <w:tcW w:w="310" w:type="dxa"/>
            <w:gridSpan w:val="2"/>
          </w:tcPr>
          <w:p w:rsidR="00845B07" w:rsidRPr="00845B07" w:rsidRDefault="00845B07" w:rsidP="00845B07">
            <w:pPr>
              <w:rPr>
                <w:rFonts w:asciiTheme="minorHAnsi" w:hAnsiTheme="minorHAnsi" w:cstheme="minorHAnsi"/>
                <w:b/>
                <w:sz w:val="20"/>
                <w:szCs w:val="20"/>
              </w:rPr>
            </w:pPr>
          </w:p>
        </w:tc>
        <w:tc>
          <w:tcPr>
            <w:tcW w:w="682" w:type="dxa"/>
            <w:gridSpan w:val="5"/>
          </w:tcPr>
          <w:p w:rsidR="00845B07" w:rsidRPr="00845B07" w:rsidRDefault="00845B07" w:rsidP="00845B07">
            <w:pPr>
              <w:rPr>
                <w:rFonts w:asciiTheme="minorHAnsi" w:hAnsiTheme="minorHAnsi" w:cstheme="minorHAnsi"/>
                <w:b/>
                <w:sz w:val="20"/>
                <w:szCs w:val="20"/>
              </w:rPr>
            </w:pPr>
          </w:p>
        </w:tc>
        <w:tc>
          <w:tcPr>
            <w:tcW w:w="238" w:type="dxa"/>
            <w:gridSpan w:val="2"/>
          </w:tcPr>
          <w:p w:rsidR="00845B07" w:rsidRPr="00845B07" w:rsidRDefault="00845B07" w:rsidP="00845B07">
            <w:pPr>
              <w:rPr>
                <w:rFonts w:asciiTheme="minorHAnsi" w:hAnsiTheme="minorHAnsi" w:cstheme="minorHAnsi"/>
                <w:b/>
                <w:sz w:val="20"/>
                <w:szCs w:val="20"/>
              </w:rPr>
            </w:pPr>
          </w:p>
        </w:tc>
        <w:tc>
          <w:tcPr>
            <w:tcW w:w="460" w:type="dxa"/>
            <w:gridSpan w:val="4"/>
          </w:tcPr>
          <w:p w:rsidR="00845B07" w:rsidRPr="00845B07" w:rsidRDefault="00845B07" w:rsidP="00845B07">
            <w:pPr>
              <w:rPr>
                <w:rFonts w:asciiTheme="minorHAnsi" w:hAnsiTheme="minorHAnsi" w:cstheme="minorHAnsi"/>
                <w:b/>
                <w:sz w:val="20"/>
                <w:szCs w:val="20"/>
              </w:rPr>
            </w:pPr>
          </w:p>
        </w:tc>
        <w:tc>
          <w:tcPr>
            <w:tcW w:w="460" w:type="dxa"/>
            <w:gridSpan w:val="4"/>
          </w:tcPr>
          <w:p w:rsidR="00845B07" w:rsidRPr="00845B07" w:rsidRDefault="00845B07" w:rsidP="00845B07">
            <w:pPr>
              <w:rPr>
                <w:rFonts w:asciiTheme="minorHAnsi" w:hAnsiTheme="minorHAnsi" w:cstheme="minorHAnsi"/>
                <w:b/>
                <w:sz w:val="20"/>
                <w:szCs w:val="20"/>
              </w:rPr>
            </w:pPr>
          </w:p>
        </w:tc>
        <w:tc>
          <w:tcPr>
            <w:tcW w:w="460" w:type="dxa"/>
            <w:gridSpan w:val="4"/>
          </w:tcPr>
          <w:p w:rsidR="00845B07" w:rsidRPr="00845B07" w:rsidRDefault="00845B07" w:rsidP="00845B07">
            <w:pPr>
              <w:rPr>
                <w:rFonts w:asciiTheme="minorHAnsi" w:hAnsiTheme="minorHAnsi" w:cstheme="minorHAnsi"/>
                <w:b/>
                <w:sz w:val="20"/>
                <w:szCs w:val="20"/>
              </w:rPr>
            </w:pPr>
          </w:p>
        </w:tc>
        <w:tc>
          <w:tcPr>
            <w:tcW w:w="460" w:type="dxa"/>
            <w:gridSpan w:val="4"/>
          </w:tcPr>
          <w:p w:rsidR="00845B07" w:rsidRPr="00845B07" w:rsidRDefault="00845B07" w:rsidP="00845B07">
            <w:pPr>
              <w:rPr>
                <w:rFonts w:asciiTheme="minorHAnsi" w:hAnsiTheme="minorHAnsi" w:cstheme="minorHAnsi"/>
                <w:b/>
                <w:sz w:val="20"/>
                <w:szCs w:val="20"/>
              </w:rPr>
            </w:pPr>
          </w:p>
        </w:tc>
        <w:tc>
          <w:tcPr>
            <w:tcW w:w="460" w:type="dxa"/>
            <w:gridSpan w:val="3"/>
          </w:tcPr>
          <w:p w:rsidR="00845B07" w:rsidRPr="00845B07" w:rsidRDefault="00845B07" w:rsidP="00845B07">
            <w:pPr>
              <w:rPr>
                <w:rFonts w:asciiTheme="minorHAnsi" w:hAnsiTheme="minorHAnsi" w:cstheme="minorHAnsi"/>
                <w:b/>
                <w:sz w:val="20"/>
                <w:szCs w:val="20"/>
              </w:rPr>
            </w:pPr>
          </w:p>
        </w:tc>
        <w:tc>
          <w:tcPr>
            <w:tcW w:w="460" w:type="dxa"/>
            <w:gridSpan w:val="3"/>
          </w:tcPr>
          <w:p w:rsidR="00845B07" w:rsidRPr="00845B07" w:rsidRDefault="00845B07" w:rsidP="00845B07">
            <w:pPr>
              <w:rPr>
                <w:rFonts w:asciiTheme="minorHAnsi" w:hAnsiTheme="minorHAnsi" w:cstheme="minorHAnsi"/>
                <w:b/>
                <w:sz w:val="20"/>
                <w:szCs w:val="20"/>
              </w:rPr>
            </w:pPr>
          </w:p>
        </w:tc>
        <w:tc>
          <w:tcPr>
            <w:tcW w:w="460" w:type="dxa"/>
            <w:gridSpan w:val="3"/>
          </w:tcPr>
          <w:p w:rsidR="00845B07" w:rsidRPr="00845B07" w:rsidRDefault="00845B07" w:rsidP="00845B07">
            <w:pPr>
              <w:rPr>
                <w:rFonts w:asciiTheme="minorHAnsi" w:hAnsiTheme="minorHAnsi" w:cstheme="minorHAnsi"/>
                <w:b/>
                <w:sz w:val="20"/>
                <w:szCs w:val="20"/>
              </w:rPr>
            </w:pPr>
          </w:p>
        </w:tc>
        <w:tc>
          <w:tcPr>
            <w:tcW w:w="460" w:type="dxa"/>
            <w:gridSpan w:val="2"/>
          </w:tcPr>
          <w:p w:rsidR="00845B07" w:rsidRPr="00845B07" w:rsidRDefault="00845B07" w:rsidP="00845B07">
            <w:pPr>
              <w:rPr>
                <w:rFonts w:asciiTheme="minorHAnsi" w:hAnsiTheme="minorHAnsi" w:cstheme="minorHAnsi"/>
                <w:b/>
                <w:sz w:val="20"/>
                <w:szCs w:val="20"/>
              </w:rPr>
            </w:pPr>
          </w:p>
        </w:tc>
        <w:tc>
          <w:tcPr>
            <w:tcW w:w="459" w:type="dxa"/>
            <w:gridSpan w:val="5"/>
          </w:tcPr>
          <w:p w:rsidR="00845B07" w:rsidRPr="00845B07" w:rsidRDefault="00845B07" w:rsidP="00845B07">
            <w:pPr>
              <w:rPr>
                <w:rFonts w:asciiTheme="minorHAnsi" w:hAnsiTheme="minorHAnsi" w:cstheme="minorHAnsi"/>
                <w:b/>
                <w:sz w:val="20"/>
                <w:szCs w:val="20"/>
              </w:rPr>
            </w:pPr>
          </w:p>
        </w:tc>
        <w:tc>
          <w:tcPr>
            <w:tcW w:w="160" w:type="dxa"/>
            <w:gridSpan w:val="2"/>
          </w:tcPr>
          <w:p w:rsidR="00845B07" w:rsidRPr="00845B07" w:rsidRDefault="00845B07" w:rsidP="00845B07">
            <w:pPr>
              <w:rPr>
                <w:rFonts w:asciiTheme="minorHAnsi" w:hAnsiTheme="minorHAnsi" w:cstheme="minorHAnsi"/>
                <w:b/>
                <w:sz w:val="20"/>
                <w:szCs w:val="20"/>
              </w:rPr>
            </w:pPr>
          </w:p>
        </w:tc>
        <w:tc>
          <w:tcPr>
            <w:tcW w:w="460" w:type="dxa"/>
            <w:gridSpan w:val="2"/>
          </w:tcPr>
          <w:p w:rsidR="00845B07" w:rsidRPr="00845B07" w:rsidRDefault="00845B07" w:rsidP="00845B07">
            <w:pPr>
              <w:rPr>
                <w:rFonts w:asciiTheme="minorHAnsi" w:hAnsiTheme="minorHAnsi" w:cstheme="minorHAnsi"/>
                <w:b/>
                <w:sz w:val="20"/>
                <w:szCs w:val="20"/>
              </w:rPr>
            </w:pPr>
          </w:p>
        </w:tc>
        <w:tc>
          <w:tcPr>
            <w:tcW w:w="1751" w:type="dxa"/>
          </w:tcPr>
          <w:p w:rsidR="00845B07" w:rsidRPr="00845B07" w:rsidRDefault="00845B07" w:rsidP="00845B07">
            <w:pPr>
              <w:rPr>
                <w:rFonts w:asciiTheme="minorHAnsi" w:hAnsiTheme="minorHAnsi" w:cstheme="minorHAnsi"/>
                <w:b/>
                <w:sz w:val="20"/>
                <w:szCs w:val="20"/>
              </w:rPr>
            </w:pPr>
          </w:p>
        </w:tc>
      </w:tr>
      <w:tr w:rsidR="00845B07" w:rsidRPr="00845B07" w:rsidTr="00FD5B06">
        <w:trPr>
          <w:gridAfter w:val="8"/>
          <w:wAfter w:w="2567" w:type="dxa"/>
        </w:trPr>
        <w:tc>
          <w:tcPr>
            <w:tcW w:w="852" w:type="dxa"/>
            <w:gridSpan w:val="4"/>
            <w:tcBorders>
              <w:top w:val="single" w:sz="4" w:space="0" w:color="auto"/>
              <w:left w:val="single" w:sz="4" w:space="0" w:color="auto"/>
              <w:bottom w:val="single" w:sz="4" w:space="0" w:color="auto"/>
              <w:right w:val="single" w:sz="4" w:space="0" w:color="auto"/>
            </w:tcBorders>
            <w:shd w:val="clear" w:color="auto" w:fill="FFFF00"/>
          </w:tcPr>
          <w:p w:rsidR="00845B07" w:rsidRPr="008D5999" w:rsidRDefault="00845B07" w:rsidP="00845B07">
            <w:pPr>
              <w:jc w:val="center"/>
              <w:rPr>
                <w:rFonts w:asciiTheme="minorHAnsi" w:hAnsiTheme="minorHAnsi" w:cstheme="minorHAnsi"/>
                <w:b/>
                <w:sz w:val="18"/>
                <w:szCs w:val="18"/>
              </w:rPr>
            </w:pPr>
            <w:r w:rsidRPr="008D5999">
              <w:rPr>
                <w:rFonts w:asciiTheme="minorHAnsi" w:hAnsiTheme="minorHAnsi" w:cstheme="minorHAnsi"/>
                <w:b/>
                <w:sz w:val="18"/>
                <w:szCs w:val="18"/>
              </w:rPr>
              <w:t>Oddíl, paragraf</w:t>
            </w:r>
          </w:p>
        </w:tc>
        <w:tc>
          <w:tcPr>
            <w:tcW w:w="638" w:type="dxa"/>
            <w:gridSpan w:val="4"/>
            <w:tcBorders>
              <w:top w:val="single" w:sz="4" w:space="0" w:color="auto"/>
              <w:left w:val="single" w:sz="4" w:space="0" w:color="auto"/>
              <w:bottom w:val="single" w:sz="4" w:space="0" w:color="auto"/>
              <w:right w:val="single" w:sz="4" w:space="0" w:color="auto"/>
            </w:tcBorders>
            <w:shd w:val="clear" w:color="auto" w:fill="FFFF00"/>
          </w:tcPr>
          <w:p w:rsidR="00845B07" w:rsidRPr="008D5999" w:rsidRDefault="008D5999" w:rsidP="00845B07">
            <w:pPr>
              <w:jc w:val="center"/>
              <w:rPr>
                <w:rFonts w:asciiTheme="minorHAnsi" w:hAnsiTheme="minorHAnsi" w:cstheme="minorHAnsi"/>
                <w:b/>
                <w:sz w:val="18"/>
                <w:szCs w:val="18"/>
              </w:rPr>
            </w:pPr>
            <w:r>
              <w:rPr>
                <w:rFonts w:asciiTheme="minorHAnsi" w:hAnsiTheme="minorHAnsi" w:cstheme="minorHAnsi"/>
                <w:b/>
                <w:sz w:val="18"/>
                <w:szCs w:val="18"/>
              </w:rPr>
              <w:t>Pol.</w:t>
            </w:r>
          </w:p>
        </w:tc>
        <w:tc>
          <w:tcPr>
            <w:tcW w:w="1417" w:type="dxa"/>
            <w:gridSpan w:val="8"/>
            <w:tcBorders>
              <w:top w:val="single" w:sz="4" w:space="0" w:color="auto"/>
              <w:left w:val="single" w:sz="4" w:space="0" w:color="auto"/>
              <w:bottom w:val="single" w:sz="4" w:space="0" w:color="auto"/>
              <w:right w:val="single" w:sz="4" w:space="0" w:color="auto"/>
            </w:tcBorders>
            <w:shd w:val="clear" w:color="auto" w:fill="FFFF00"/>
          </w:tcPr>
          <w:p w:rsidR="00845B07" w:rsidRPr="008D5999" w:rsidRDefault="00845B07" w:rsidP="00845B07">
            <w:pPr>
              <w:jc w:val="center"/>
              <w:rPr>
                <w:rFonts w:asciiTheme="minorHAnsi" w:hAnsiTheme="minorHAnsi" w:cstheme="minorHAnsi"/>
                <w:b/>
                <w:sz w:val="18"/>
                <w:szCs w:val="18"/>
              </w:rPr>
            </w:pPr>
            <w:r w:rsidRPr="008D5999">
              <w:rPr>
                <w:rFonts w:asciiTheme="minorHAnsi" w:hAnsiTheme="minorHAnsi" w:cstheme="minorHAnsi"/>
                <w:b/>
                <w:sz w:val="18"/>
                <w:szCs w:val="18"/>
              </w:rPr>
              <w:t>Organizace</w:t>
            </w:r>
          </w:p>
        </w:tc>
        <w:tc>
          <w:tcPr>
            <w:tcW w:w="773" w:type="dxa"/>
            <w:gridSpan w:val="7"/>
            <w:tcBorders>
              <w:top w:val="single" w:sz="4" w:space="0" w:color="auto"/>
              <w:left w:val="single" w:sz="4" w:space="0" w:color="auto"/>
              <w:bottom w:val="single" w:sz="4" w:space="0" w:color="auto"/>
              <w:right w:val="single" w:sz="4" w:space="0" w:color="auto"/>
            </w:tcBorders>
            <w:shd w:val="clear" w:color="auto" w:fill="FFFF00"/>
          </w:tcPr>
          <w:p w:rsidR="00845B07" w:rsidRPr="008D5999" w:rsidRDefault="00845B07" w:rsidP="00845B07">
            <w:pPr>
              <w:jc w:val="center"/>
              <w:rPr>
                <w:rFonts w:asciiTheme="minorHAnsi" w:hAnsiTheme="minorHAnsi" w:cstheme="minorHAnsi"/>
                <w:b/>
                <w:sz w:val="18"/>
                <w:szCs w:val="18"/>
              </w:rPr>
            </w:pPr>
            <w:r w:rsidRPr="008D5999">
              <w:rPr>
                <w:rFonts w:asciiTheme="minorHAnsi" w:hAnsiTheme="minorHAnsi" w:cstheme="minorHAnsi"/>
                <w:b/>
                <w:sz w:val="18"/>
                <w:szCs w:val="18"/>
              </w:rPr>
              <w:t>Účelový zdroj</w:t>
            </w:r>
          </w:p>
        </w:tc>
        <w:tc>
          <w:tcPr>
            <w:tcW w:w="928" w:type="dxa"/>
            <w:gridSpan w:val="5"/>
            <w:tcBorders>
              <w:top w:val="single" w:sz="4" w:space="0" w:color="auto"/>
              <w:left w:val="single" w:sz="4" w:space="0" w:color="auto"/>
              <w:bottom w:val="single" w:sz="4" w:space="0" w:color="auto"/>
              <w:right w:val="single" w:sz="4" w:space="0" w:color="auto"/>
            </w:tcBorders>
            <w:shd w:val="clear" w:color="auto" w:fill="FFFF00"/>
          </w:tcPr>
          <w:p w:rsidR="00845B07" w:rsidRPr="008D5999" w:rsidRDefault="008D5999" w:rsidP="00845B07">
            <w:pPr>
              <w:jc w:val="center"/>
              <w:rPr>
                <w:rFonts w:asciiTheme="minorHAnsi" w:hAnsiTheme="minorHAnsi" w:cstheme="minorHAnsi"/>
                <w:b/>
                <w:sz w:val="18"/>
                <w:szCs w:val="18"/>
              </w:rPr>
            </w:pPr>
            <w:r>
              <w:rPr>
                <w:rFonts w:asciiTheme="minorHAnsi" w:hAnsiTheme="minorHAnsi" w:cstheme="minorHAnsi"/>
                <w:b/>
                <w:sz w:val="18"/>
                <w:szCs w:val="18"/>
              </w:rPr>
              <w:t>UR</w:t>
            </w:r>
            <w:r w:rsidR="00845B07" w:rsidRPr="008D5999">
              <w:rPr>
                <w:rFonts w:asciiTheme="minorHAnsi" w:hAnsiTheme="minorHAnsi" w:cstheme="minorHAnsi"/>
                <w:b/>
                <w:sz w:val="18"/>
                <w:szCs w:val="18"/>
              </w:rPr>
              <w:t xml:space="preserve"> v tis. Kč</w:t>
            </w:r>
          </w:p>
        </w:tc>
        <w:tc>
          <w:tcPr>
            <w:tcW w:w="993" w:type="dxa"/>
            <w:gridSpan w:val="9"/>
            <w:tcBorders>
              <w:top w:val="single" w:sz="4" w:space="0" w:color="auto"/>
              <w:left w:val="single" w:sz="4" w:space="0" w:color="auto"/>
              <w:bottom w:val="single" w:sz="4" w:space="0" w:color="auto"/>
              <w:right w:val="single" w:sz="4" w:space="0" w:color="auto"/>
            </w:tcBorders>
            <w:shd w:val="clear" w:color="auto" w:fill="FFFF00"/>
          </w:tcPr>
          <w:p w:rsidR="00845B07" w:rsidRPr="008D5999" w:rsidRDefault="00845B07" w:rsidP="00845B07">
            <w:pPr>
              <w:jc w:val="center"/>
              <w:rPr>
                <w:rFonts w:asciiTheme="minorHAnsi" w:hAnsiTheme="minorHAnsi" w:cstheme="minorHAnsi"/>
                <w:b/>
                <w:sz w:val="18"/>
                <w:szCs w:val="18"/>
              </w:rPr>
            </w:pPr>
            <w:r w:rsidRPr="008D5999">
              <w:rPr>
                <w:rFonts w:asciiTheme="minorHAnsi" w:hAnsiTheme="minorHAnsi" w:cstheme="minorHAnsi"/>
                <w:b/>
                <w:sz w:val="18"/>
                <w:szCs w:val="18"/>
              </w:rPr>
              <w:t>Skutečnost v tis. Kč</w:t>
            </w:r>
          </w:p>
        </w:tc>
        <w:tc>
          <w:tcPr>
            <w:tcW w:w="4322" w:type="dxa"/>
            <w:gridSpan w:val="32"/>
            <w:tcBorders>
              <w:top w:val="single" w:sz="4" w:space="0" w:color="auto"/>
              <w:left w:val="single" w:sz="4" w:space="0" w:color="auto"/>
              <w:bottom w:val="single" w:sz="4" w:space="0" w:color="auto"/>
              <w:right w:val="single" w:sz="4" w:space="0" w:color="auto"/>
            </w:tcBorders>
            <w:shd w:val="clear" w:color="auto" w:fill="FFFF00"/>
          </w:tcPr>
          <w:p w:rsidR="00845B07" w:rsidRPr="008D5999" w:rsidRDefault="00845B07" w:rsidP="00845B07">
            <w:pPr>
              <w:jc w:val="center"/>
              <w:rPr>
                <w:rFonts w:asciiTheme="minorHAnsi" w:hAnsiTheme="minorHAnsi" w:cstheme="minorHAnsi"/>
                <w:b/>
                <w:sz w:val="18"/>
                <w:szCs w:val="18"/>
              </w:rPr>
            </w:pPr>
            <w:r w:rsidRPr="008D5999">
              <w:rPr>
                <w:rFonts w:asciiTheme="minorHAnsi" w:hAnsiTheme="minorHAnsi" w:cstheme="minorHAnsi"/>
                <w:b/>
                <w:sz w:val="18"/>
                <w:szCs w:val="18"/>
              </w:rPr>
              <w:t>Komentář</w:t>
            </w:r>
          </w:p>
        </w:tc>
      </w:tr>
      <w:tr w:rsidR="00845B07" w:rsidRPr="00845B07" w:rsidTr="00FD5B06">
        <w:trPr>
          <w:gridAfter w:val="8"/>
          <w:wAfter w:w="2567" w:type="dxa"/>
        </w:trPr>
        <w:tc>
          <w:tcPr>
            <w:tcW w:w="852" w:type="dxa"/>
            <w:gridSpan w:val="4"/>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002219</w:t>
            </w:r>
          </w:p>
        </w:tc>
        <w:tc>
          <w:tcPr>
            <w:tcW w:w="638" w:type="dxa"/>
            <w:gridSpan w:val="4"/>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2329</w:t>
            </w:r>
          </w:p>
        </w:tc>
        <w:tc>
          <w:tcPr>
            <w:tcW w:w="1417" w:type="dxa"/>
            <w:gridSpan w:val="8"/>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0900000000000</w:t>
            </w:r>
          </w:p>
        </w:tc>
        <w:tc>
          <w:tcPr>
            <w:tcW w:w="773" w:type="dxa"/>
            <w:gridSpan w:val="7"/>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sz w:val="18"/>
                <w:szCs w:val="18"/>
              </w:rPr>
            </w:pPr>
          </w:p>
        </w:tc>
        <w:tc>
          <w:tcPr>
            <w:tcW w:w="928" w:type="dxa"/>
            <w:gridSpan w:val="5"/>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right"/>
              <w:rPr>
                <w:rFonts w:asciiTheme="minorHAnsi" w:hAnsiTheme="minorHAnsi" w:cstheme="minorHAnsi"/>
                <w:sz w:val="18"/>
                <w:szCs w:val="18"/>
              </w:rPr>
            </w:pPr>
            <w:r w:rsidRPr="008D5999">
              <w:rPr>
                <w:rFonts w:asciiTheme="minorHAnsi" w:hAnsiTheme="minorHAnsi" w:cstheme="minorHAnsi"/>
                <w:sz w:val="18"/>
                <w:szCs w:val="18"/>
              </w:rPr>
              <w:t>10,00</w:t>
            </w:r>
          </w:p>
        </w:tc>
        <w:tc>
          <w:tcPr>
            <w:tcW w:w="993" w:type="dxa"/>
            <w:gridSpan w:val="9"/>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right"/>
              <w:rPr>
                <w:rFonts w:asciiTheme="minorHAnsi" w:hAnsiTheme="minorHAnsi" w:cstheme="minorHAnsi"/>
                <w:sz w:val="18"/>
                <w:szCs w:val="18"/>
              </w:rPr>
            </w:pPr>
            <w:r w:rsidRPr="008D5999">
              <w:rPr>
                <w:rFonts w:asciiTheme="minorHAnsi" w:hAnsiTheme="minorHAnsi" w:cstheme="minorHAnsi"/>
                <w:sz w:val="18"/>
                <w:szCs w:val="18"/>
              </w:rPr>
              <w:t>4,86</w:t>
            </w:r>
          </w:p>
        </w:tc>
        <w:tc>
          <w:tcPr>
            <w:tcW w:w="4322" w:type="dxa"/>
            <w:gridSpan w:val="32"/>
            <w:tcBorders>
              <w:top w:val="single" w:sz="4" w:space="0" w:color="auto"/>
              <w:left w:val="single" w:sz="4" w:space="0" w:color="auto"/>
              <w:bottom w:val="single" w:sz="4" w:space="0" w:color="auto"/>
              <w:right w:val="single" w:sz="4" w:space="0" w:color="auto"/>
            </w:tcBorders>
          </w:tcPr>
          <w:p w:rsidR="00845B07" w:rsidRPr="008D5999" w:rsidRDefault="00845B07" w:rsidP="00845B07">
            <w:pPr>
              <w:rPr>
                <w:rFonts w:asciiTheme="minorHAnsi" w:hAnsiTheme="minorHAnsi" w:cstheme="minorHAnsi"/>
                <w:b/>
                <w:sz w:val="18"/>
                <w:szCs w:val="18"/>
                <w:u w:val="single"/>
              </w:rPr>
            </w:pPr>
            <w:r w:rsidRPr="008D5999">
              <w:rPr>
                <w:rFonts w:asciiTheme="minorHAnsi" w:hAnsiTheme="minorHAnsi" w:cstheme="minorHAnsi"/>
                <w:b/>
                <w:sz w:val="18"/>
                <w:szCs w:val="18"/>
                <w:u w:val="single"/>
              </w:rPr>
              <w:t>Ostatní nedaňové příjmy jinde nezařazené:</w:t>
            </w:r>
          </w:p>
          <w:p w:rsidR="00845B07" w:rsidRPr="008D5999" w:rsidRDefault="00845B07" w:rsidP="00845B07">
            <w:pPr>
              <w:rPr>
                <w:rFonts w:asciiTheme="minorHAnsi" w:hAnsiTheme="minorHAnsi" w:cstheme="minorHAnsi"/>
                <w:sz w:val="18"/>
                <w:szCs w:val="18"/>
              </w:rPr>
            </w:pPr>
            <w:r w:rsidRPr="008D5999">
              <w:rPr>
                <w:rFonts w:asciiTheme="minorHAnsi" w:hAnsiTheme="minorHAnsi" w:cstheme="minorHAnsi"/>
                <w:sz w:val="18"/>
                <w:szCs w:val="18"/>
              </w:rPr>
              <w:t xml:space="preserve">Odtahy vozidel – úhrada za odstranění a odtah vozidla při jeho vydání. </w:t>
            </w:r>
          </w:p>
        </w:tc>
      </w:tr>
      <w:tr w:rsidR="00845B07" w:rsidRPr="00845B07" w:rsidTr="00FD5B06">
        <w:trPr>
          <w:gridAfter w:val="8"/>
          <w:wAfter w:w="2567" w:type="dxa"/>
        </w:trPr>
        <w:tc>
          <w:tcPr>
            <w:tcW w:w="852" w:type="dxa"/>
            <w:gridSpan w:val="4"/>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0036122</w:t>
            </w:r>
          </w:p>
        </w:tc>
        <w:tc>
          <w:tcPr>
            <w:tcW w:w="638" w:type="dxa"/>
            <w:gridSpan w:val="4"/>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2111</w:t>
            </w:r>
          </w:p>
        </w:tc>
        <w:tc>
          <w:tcPr>
            <w:tcW w:w="1417" w:type="dxa"/>
            <w:gridSpan w:val="8"/>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0900000910600</w:t>
            </w:r>
          </w:p>
        </w:tc>
        <w:tc>
          <w:tcPr>
            <w:tcW w:w="773" w:type="dxa"/>
            <w:gridSpan w:val="7"/>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sz w:val="18"/>
                <w:szCs w:val="18"/>
              </w:rPr>
            </w:pPr>
          </w:p>
        </w:tc>
        <w:tc>
          <w:tcPr>
            <w:tcW w:w="928" w:type="dxa"/>
            <w:gridSpan w:val="5"/>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right"/>
              <w:rPr>
                <w:rFonts w:asciiTheme="minorHAnsi" w:hAnsiTheme="minorHAnsi" w:cstheme="minorHAnsi"/>
                <w:sz w:val="18"/>
                <w:szCs w:val="18"/>
              </w:rPr>
            </w:pPr>
            <w:r w:rsidRPr="008D5999">
              <w:rPr>
                <w:rFonts w:asciiTheme="minorHAnsi" w:hAnsiTheme="minorHAnsi" w:cstheme="minorHAnsi"/>
                <w:sz w:val="18"/>
                <w:szCs w:val="18"/>
              </w:rPr>
              <w:t>13 800,00</w:t>
            </w:r>
          </w:p>
        </w:tc>
        <w:tc>
          <w:tcPr>
            <w:tcW w:w="993" w:type="dxa"/>
            <w:gridSpan w:val="9"/>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right"/>
              <w:rPr>
                <w:rFonts w:asciiTheme="minorHAnsi" w:hAnsiTheme="minorHAnsi" w:cstheme="minorHAnsi"/>
                <w:sz w:val="18"/>
                <w:szCs w:val="18"/>
              </w:rPr>
            </w:pPr>
            <w:r w:rsidRPr="008D5999">
              <w:rPr>
                <w:rFonts w:asciiTheme="minorHAnsi" w:hAnsiTheme="minorHAnsi" w:cstheme="minorHAnsi"/>
                <w:sz w:val="18"/>
                <w:szCs w:val="18"/>
              </w:rPr>
              <w:t>10 840,94</w:t>
            </w:r>
          </w:p>
        </w:tc>
        <w:tc>
          <w:tcPr>
            <w:tcW w:w="4322" w:type="dxa"/>
            <w:gridSpan w:val="32"/>
            <w:tcBorders>
              <w:top w:val="single" w:sz="4" w:space="0" w:color="auto"/>
              <w:left w:val="single" w:sz="4" w:space="0" w:color="auto"/>
              <w:bottom w:val="single" w:sz="4" w:space="0" w:color="auto"/>
              <w:right w:val="single" w:sz="4" w:space="0" w:color="auto"/>
            </w:tcBorders>
          </w:tcPr>
          <w:p w:rsidR="00845B07" w:rsidRPr="008D5999" w:rsidRDefault="00845B07" w:rsidP="00845B07">
            <w:pPr>
              <w:rPr>
                <w:rFonts w:asciiTheme="minorHAnsi" w:hAnsiTheme="minorHAnsi" w:cstheme="minorHAnsi"/>
                <w:b/>
                <w:sz w:val="18"/>
                <w:szCs w:val="18"/>
                <w:u w:val="single"/>
              </w:rPr>
            </w:pPr>
            <w:r w:rsidRPr="008D5999">
              <w:rPr>
                <w:rFonts w:asciiTheme="minorHAnsi" w:hAnsiTheme="minorHAnsi" w:cstheme="minorHAnsi"/>
                <w:b/>
                <w:sz w:val="18"/>
                <w:szCs w:val="18"/>
                <w:u w:val="single"/>
              </w:rPr>
              <w:t>Příjmy z poskytování služeb a výrobků:</w:t>
            </w:r>
          </w:p>
          <w:p w:rsidR="00845B07" w:rsidRPr="008D5999" w:rsidRDefault="00845B07" w:rsidP="00845B07">
            <w:pPr>
              <w:rPr>
                <w:rFonts w:asciiTheme="minorHAnsi" w:hAnsiTheme="minorHAnsi" w:cstheme="minorHAnsi"/>
                <w:sz w:val="18"/>
                <w:szCs w:val="18"/>
              </w:rPr>
            </w:pPr>
            <w:r w:rsidRPr="008D5999">
              <w:rPr>
                <w:rFonts w:asciiTheme="minorHAnsi" w:hAnsiTheme="minorHAnsi" w:cstheme="minorHAnsi"/>
                <w:sz w:val="18"/>
                <w:szCs w:val="18"/>
              </w:rPr>
              <w:t xml:space="preserve">Dle vyúčtování DSP, s.r.o. – dodávka tepla a TUV do bytů a nebyt. prostor - plnění ovlivňuje skutečnost, že v I. pololetí byly na základě vyúčtování vraceny přeplatky. </w:t>
            </w:r>
          </w:p>
        </w:tc>
      </w:tr>
      <w:tr w:rsidR="00845B07" w:rsidRPr="00845B07" w:rsidTr="00FD5B06">
        <w:trPr>
          <w:gridAfter w:val="8"/>
          <w:wAfter w:w="2567" w:type="dxa"/>
        </w:trPr>
        <w:tc>
          <w:tcPr>
            <w:tcW w:w="852" w:type="dxa"/>
            <w:gridSpan w:val="4"/>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003612</w:t>
            </w:r>
          </w:p>
        </w:tc>
        <w:tc>
          <w:tcPr>
            <w:tcW w:w="638" w:type="dxa"/>
            <w:gridSpan w:val="4"/>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2111</w:t>
            </w:r>
          </w:p>
        </w:tc>
        <w:tc>
          <w:tcPr>
            <w:tcW w:w="1417" w:type="dxa"/>
            <w:gridSpan w:val="8"/>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0900000915154</w:t>
            </w:r>
          </w:p>
        </w:tc>
        <w:tc>
          <w:tcPr>
            <w:tcW w:w="773" w:type="dxa"/>
            <w:gridSpan w:val="7"/>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sz w:val="18"/>
                <w:szCs w:val="18"/>
              </w:rPr>
            </w:pPr>
          </w:p>
        </w:tc>
        <w:tc>
          <w:tcPr>
            <w:tcW w:w="928" w:type="dxa"/>
            <w:gridSpan w:val="5"/>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right"/>
              <w:rPr>
                <w:rFonts w:asciiTheme="minorHAnsi" w:hAnsiTheme="minorHAnsi" w:cstheme="minorHAnsi"/>
                <w:sz w:val="18"/>
                <w:szCs w:val="18"/>
              </w:rPr>
            </w:pPr>
            <w:r w:rsidRPr="008D5999">
              <w:rPr>
                <w:rFonts w:asciiTheme="minorHAnsi" w:hAnsiTheme="minorHAnsi" w:cstheme="minorHAnsi"/>
                <w:sz w:val="18"/>
                <w:szCs w:val="18"/>
              </w:rPr>
              <w:t>2 000,00</w:t>
            </w:r>
          </w:p>
        </w:tc>
        <w:tc>
          <w:tcPr>
            <w:tcW w:w="993" w:type="dxa"/>
            <w:gridSpan w:val="9"/>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right"/>
              <w:rPr>
                <w:rFonts w:asciiTheme="minorHAnsi" w:hAnsiTheme="minorHAnsi" w:cstheme="minorHAnsi"/>
                <w:sz w:val="18"/>
                <w:szCs w:val="18"/>
              </w:rPr>
            </w:pPr>
            <w:r w:rsidRPr="008D5999">
              <w:rPr>
                <w:rFonts w:asciiTheme="minorHAnsi" w:hAnsiTheme="minorHAnsi" w:cstheme="minorHAnsi"/>
                <w:sz w:val="18"/>
                <w:szCs w:val="18"/>
              </w:rPr>
              <w:t>508,07</w:t>
            </w:r>
          </w:p>
        </w:tc>
        <w:tc>
          <w:tcPr>
            <w:tcW w:w="4322" w:type="dxa"/>
            <w:gridSpan w:val="32"/>
            <w:tcBorders>
              <w:top w:val="single" w:sz="4" w:space="0" w:color="auto"/>
              <w:left w:val="single" w:sz="4" w:space="0" w:color="auto"/>
              <w:bottom w:val="single" w:sz="4" w:space="0" w:color="auto"/>
              <w:right w:val="single" w:sz="4" w:space="0" w:color="auto"/>
            </w:tcBorders>
          </w:tcPr>
          <w:p w:rsidR="00845B07" w:rsidRPr="008D5999" w:rsidRDefault="00845B07" w:rsidP="00845B07">
            <w:pPr>
              <w:rPr>
                <w:rFonts w:asciiTheme="minorHAnsi" w:hAnsiTheme="minorHAnsi" w:cstheme="minorHAnsi"/>
                <w:b/>
                <w:sz w:val="18"/>
                <w:szCs w:val="18"/>
                <w:u w:val="single"/>
              </w:rPr>
            </w:pPr>
            <w:r w:rsidRPr="008D5999">
              <w:rPr>
                <w:rFonts w:asciiTheme="minorHAnsi" w:hAnsiTheme="minorHAnsi" w:cstheme="minorHAnsi"/>
                <w:b/>
                <w:sz w:val="18"/>
                <w:szCs w:val="18"/>
                <w:u w:val="single"/>
              </w:rPr>
              <w:t>Příjmy za poskytování služeb a výrobků:</w:t>
            </w:r>
          </w:p>
          <w:p w:rsidR="00845B07" w:rsidRPr="008D5999" w:rsidRDefault="00845B07" w:rsidP="00845B07">
            <w:pPr>
              <w:rPr>
                <w:rFonts w:asciiTheme="minorHAnsi" w:hAnsiTheme="minorHAnsi" w:cstheme="minorHAnsi"/>
                <w:sz w:val="18"/>
                <w:szCs w:val="18"/>
              </w:rPr>
            </w:pPr>
            <w:r w:rsidRPr="008D5999">
              <w:rPr>
                <w:rFonts w:asciiTheme="minorHAnsi" w:hAnsiTheme="minorHAnsi" w:cstheme="minorHAnsi"/>
                <w:sz w:val="18"/>
                <w:szCs w:val="18"/>
              </w:rPr>
              <w:t xml:space="preserve">Dle vyúčtování DSP, s.r.o. – úhrady nájemců za el. energii ve společných prostorách (byty i nebyt. prostory)  - hrazeno dle skutečnosti a vystavených faktur. Plnění ovlivňují vratky přeplatků. </w:t>
            </w:r>
          </w:p>
        </w:tc>
      </w:tr>
      <w:tr w:rsidR="00845B07" w:rsidRPr="00845B07" w:rsidTr="00FD5B06">
        <w:trPr>
          <w:gridAfter w:val="8"/>
          <w:wAfter w:w="2567" w:type="dxa"/>
        </w:trPr>
        <w:tc>
          <w:tcPr>
            <w:tcW w:w="852" w:type="dxa"/>
            <w:gridSpan w:val="4"/>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003612</w:t>
            </w:r>
          </w:p>
        </w:tc>
        <w:tc>
          <w:tcPr>
            <w:tcW w:w="638" w:type="dxa"/>
            <w:gridSpan w:val="4"/>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2111</w:t>
            </w:r>
          </w:p>
        </w:tc>
        <w:tc>
          <w:tcPr>
            <w:tcW w:w="1417" w:type="dxa"/>
            <w:gridSpan w:val="8"/>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0900000915169</w:t>
            </w:r>
          </w:p>
          <w:p w:rsidR="00845B07" w:rsidRPr="008D5999" w:rsidRDefault="00845B07" w:rsidP="00845B07">
            <w:pPr>
              <w:rPr>
                <w:rFonts w:asciiTheme="minorHAnsi" w:hAnsiTheme="minorHAnsi" w:cstheme="minorHAnsi"/>
                <w:sz w:val="18"/>
                <w:szCs w:val="18"/>
              </w:rPr>
            </w:pPr>
          </w:p>
          <w:p w:rsidR="00845B07" w:rsidRPr="008D5999" w:rsidRDefault="00845B07" w:rsidP="00845B07">
            <w:pPr>
              <w:tabs>
                <w:tab w:val="left" w:pos="1219"/>
              </w:tabs>
              <w:rPr>
                <w:rFonts w:asciiTheme="minorHAnsi" w:hAnsiTheme="minorHAnsi" w:cstheme="minorHAnsi"/>
                <w:sz w:val="18"/>
                <w:szCs w:val="18"/>
              </w:rPr>
            </w:pPr>
            <w:r w:rsidRPr="008D5999">
              <w:rPr>
                <w:rFonts w:asciiTheme="minorHAnsi" w:hAnsiTheme="minorHAnsi" w:cstheme="minorHAnsi"/>
                <w:sz w:val="18"/>
                <w:szCs w:val="18"/>
              </w:rPr>
              <w:tab/>
            </w:r>
          </w:p>
        </w:tc>
        <w:tc>
          <w:tcPr>
            <w:tcW w:w="773" w:type="dxa"/>
            <w:gridSpan w:val="7"/>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sz w:val="18"/>
                <w:szCs w:val="18"/>
              </w:rPr>
            </w:pPr>
          </w:p>
        </w:tc>
        <w:tc>
          <w:tcPr>
            <w:tcW w:w="928" w:type="dxa"/>
            <w:gridSpan w:val="5"/>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right"/>
              <w:rPr>
                <w:rFonts w:asciiTheme="minorHAnsi" w:hAnsiTheme="minorHAnsi" w:cstheme="minorHAnsi"/>
                <w:sz w:val="18"/>
                <w:szCs w:val="18"/>
              </w:rPr>
            </w:pPr>
            <w:r w:rsidRPr="008D5999">
              <w:rPr>
                <w:rFonts w:asciiTheme="minorHAnsi" w:hAnsiTheme="minorHAnsi" w:cstheme="minorHAnsi"/>
                <w:sz w:val="18"/>
                <w:szCs w:val="18"/>
              </w:rPr>
              <w:t>3 500,00</w:t>
            </w:r>
          </w:p>
        </w:tc>
        <w:tc>
          <w:tcPr>
            <w:tcW w:w="993" w:type="dxa"/>
            <w:gridSpan w:val="9"/>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right"/>
              <w:rPr>
                <w:rFonts w:asciiTheme="minorHAnsi" w:hAnsiTheme="minorHAnsi" w:cstheme="minorHAnsi"/>
                <w:sz w:val="18"/>
                <w:szCs w:val="18"/>
              </w:rPr>
            </w:pPr>
            <w:r w:rsidRPr="008D5999">
              <w:rPr>
                <w:rFonts w:asciiTheme="minorHAnsi" w:hAnsiTheme="minorHAnsi" w:cstheme="minorHAnsi"/>
                <w:sz w:val="18"/>
                <w:szCs w:val="18"/>
              </w:rPr>
              <w:t>2 258,78</w:t>
            </w:r>
          </w:p>
        </w:tc>
        <w:tc>
          <w:tcPr>
            <w:tcW w:w="4322" w:type="dxa"/>
            <w:gridSpan w:val="32"/>
            <w:tcBorders>
              <w:top w:val="single" w:sz="4" w:space="0" w:color="auto"/>
              <w:left w:val="single" w:sz="4" w:space="0" w:color="auto"/>
              <w:bottom w:val="single" w:sz="4" w:space="0" w:color="auto"/>
              <w:right w:val="single" w:sz="4" w:space="0" w:color="auto"/>
            </w:tcBorders>
          </w:tcPr>
          <w:p w:rsidR="00845B07" w:rsidRPr="008D5999" w:rsidRDefault="00845B07" w:rsidP="00845B07">
            <w:pPr>
              <w:rPr>
                <w:rFonts w:asciiTheme="minorHAnsi" w:hAnsiTheme="minorHAnsi" w:cstheme="minorHAnsi"/>
                <w:b/>
                <w:sz w:val="18"/>
                <w:szCs w:val="18"/>
                <w:u w:val="single"/>
              </w:rPr>
            </w:pPr>
            <w:r w:rsidRPr="008D5999">
              <w:rPr>
                <w:rFonts w:asciiTheme="minorHAnsi" w:hAnsiTheme="minorHAnsi" w:cstheme="minorHAnsi"/>
                <w:b/>
                <w:sz w:val="18"/>
                <w:szCs w:val="18"/>
                <w:u w:val="single"/>
              </w:rPr>
              <w:t>Příjmy za poskytování služeb a výrobků:</w:t>
            </w:r>
          </w:p>
          <w:p w:rsidR="00845B07" w:rsidRPr="008D5999" w:rsidRDefault="00845B07" w:rsidP="00845B07">
            <w:pPr>
              <w:rPr>
                <w:rFonts w:asciiTheme="minorHAnsi" w:hAnsiTheme="minorHAnsi" w:cstheme="minorHAnsi"/>
                <w:sz w:val="18"/>
                <w:szCs w:val="18"/>
              </w:rPr>
            </w:pPr>
            <w:r w:rsidRPr="008D5999">
              <w:rPr>
                <w:rFonts w:asciiTheme="minorHAnsi" w:hAnsiTheme="minorHAnsi" w:cstheme="minorHAnsi"/>
                <w:sz w:val="18"/>
                <w:szCs w:val="18"/>
              </w:rPr>
              <w:t>Dle vyúčtování DSP, s.r.o. – úhrady nájemců za služby (revize, komíny, úklid a</w:t>
            </w:r>
            <w:r w:rsidR="00FD5B06">
              <w:rPr>
                <w:rFonts w:asciiTheme="minorHAnsi" w:hAnsiTheme="minorHAnsi" w:cstheme="minorHAnsi"/>
                <w:sz w:val="18"/>
                <w:szCs w:val="18"/>
              </w:rPr>
              <w:t>j.) – hrazeno dle skutečnosti a </w:t>
            </w:r>
            <w:r w:rsidRPr="008D5999">
              <w:rPr>
                <w:rFonts w:asciiTheme="minorHAnsi" w:hAnsiTheme="minorHAnsi" w:cstheme="minorHAnsi"/>
                <w:sz w:val="18"/>
                <w:szCs w:val="18"/>
              </w:rPr>
              <w:t xml:space="preserve">vystavených faktur. </w:t>
            </w:r>
          </w:p>
        </w:tc>
      </w:tr>
      <w:tr w:rsidR="00845B07" w:rsidRPr="00845B07" w:rsidTr="00FD5B06">
        <w:trPr>
          <w:gridAfter w:val="8"/>
          <w:wAfter w:w="2567" w:type="dxa"/>
        </w:trPr>
        <w:tc>
          <w:tcPr>
            <w:tcW w:w="852" w:type="dxa"/>
            <w:gridSpan w:val="4"/>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003725</w:t>
            </w:r>
          </w:p>
        </w:tc>
        <w:tc>
          <w:tcPr>
            <w:tcW w:w="638" w:type="dxa"/>
            <w:gridSpan w:val="4"/>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2324</w:t>
            </w:r>
          </w:p>
        </w:tc>
        <w:tc>
          <w:tcPr>
            <w:tcW w:w="1417" w:type="dxa"/>
            <w:gridSpan w:val="8"/>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0900000000000</w:t>
            </w:r>
          </w:p>
        </w:tc>
        <w:tc>
          <w:tcPr>
            <w:tcW w:w="773" w:type="dxa"/>
            <w:gridSpan w:val="7"/>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sz w:val="18"/>
                <w:szCs w:val="18"/>
              </w:rPr>
            </w:pPr>
          </w:p>
        </w:tc>
        <w:tc>
          <w:tcPr>
            <w:tcW w:w="928" w:type="dxa"/>
            <w:gridSpan w:val="5"/>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right"/>
              <w:rPr>
                <w:rFonts w:asciiTheme="minorHAnsi" w:hAnsiTheme="minorHAnsi" w:cstheme="minorHAnsi"/>
                <w:sz w:val="18"/>
                <w:szCs w:val="18"/>
              </w:rPr>
            </w:pPr>
            <w:r w:rsidRPr="008D5999">
              <w:rPr>
                <w:rFonts w:asciiTheme="minorHAnsi" w:hAnsiTheme="minorHAnsi" w:cstheme="minorHAnsi"/>
                <w:sz w:val="18"/>
                <w:szCs w:val="18"/>
              </w:rPr>
              <w:t>6 916,53</w:t>
            </w:r>
          </w:p>
        </w:tc>
        <w:tc>
          <w:tcPr>
            <w:tcW w:w="993" w:type="dxa"/>
            <w:gridSpan w:val="9"/>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right"/>
              <w:rPr>
                <w:rFonts w:asciiTheme="minorHAnsi" w:hAnsiTheme="minorHAnsi" w:cstheme="minorHAnsi"/>
                <w:sz w:val="18"/>
                <w:szCs w:val="18"/>
              </w:rPr>
            </w:pPr>
            <w:r w:rsidRPr="008D5999">
              <w:rPr>
                <w:rFonts w:asciiTheme="minorHAnsi" w:hAnsiTheme="minorHAnsi" w:cstheme="minorHAnsi"/>
                <w:sz w:val="18"/>
                <w:szCs w:val="18"/>
              </w:rPr>
              <w:t>9 251,39</w:t>
            </w:r>
          </w:p>
        </w:tc>
        <w:tc>
          <w:tcPr>
            <w:tcW w:w="4322" w:type="dxa"/>
            <w:gridSpan w:val="32"/>
            <w:tcBorders>
              <w:top w:val="single" w:sz="4" w:space="0" w:color="auto"/>
              <w:left w:val="single" w:sz="4" w:space="0" w:color="auto"/>
              <w:bottom w:val="single" w:sz="4" w:space="0" w:color="auto"/>
              <w:right w:val="single" w:sz="4" w:space="0" w:color="auto"/>
            </w:tcBorders>
          </w:tcPr>
          <w:p w:rsidR="00845B07" w:rsidRPr="008D5999" w:rsidRDefault="00845B07" w:rsidP="00845B07">
            <w:pPr>
              <w:rPr>
                <w:rFonts w:asciiTheme="minorHAnsi" w:hAnsiTheme="minorHAnsi" w:cstheme="minorHAnsi"/>
                <w:b/>
                <w:sz w:val="18"/>
                <w:szCs w:val="18"/>
                <w:u w:val="single"/>
              </w:rPr>
            </w:pPr>
            <w:r w:rsidRPr="008D5999">
              <w:rPr>
                <w:rFonts w:asciiTheme="minorHAnsi" w:hAnsiTheme="minorHAnsi" w:cstheme="minorHAnsi"/>
                <w:b/>
                <w:sz w:val="18"/>
                <w:szCs w:val="18"/>
                <w:u w:val="single"/>
              </w:rPr>
              <w:t>Přijaté neinvestiční příspěvky a náhrady:</w:t>
            </w:r>
          </w:p>
          <w:p w:rsidR="00845B07" w:rsidRPr="008D5999" w:rsidRDefault="00845B07" w:rsidP="00845B07">
            <w:pPr>
              <w:rPr>
                <w:rFonts w:asciiTheme="minorHAnsi" w:hAnsiTheme="minorHAnsi" w:cstheme="minorHAnsi"/>
                <w:sz w:val="18"/>
                <w:szCs w:val="18"/>
              </w:rPr>
            </w:pPr>
            <w:r w:rsidRPr="008D5999">
              <w:rPr>
                <w:rFonts w:asciiTheme="minorHAnsi" w:hAnsiTheme="minorHAnsi" w:cstheme="minorHAnsi"/>
                <w:sz w:val="18"/>
                <w:szCs w:val="18"/>
              </w:rPr>
              <w:t>Příjmy za zpětný odběr – společnosti Asekol, Elektrowin, Ekolamp, EKO-KOM, REMA – fakturace na základě skutečnosti, jsou započítány i příjmy za IV./IV 2021, které byly uhrazeny až v roce 2022; navíc platba již  u všech odběratelů podléhá DPH.</w:t>
            </w:r>
          </w:p>
        </w:tc>
      </w:tr>
      <w:tr w:rsidR="00845B07" w:rsidRPr="00845B07" w:rsidTr="00845B07">
        <w:trPr>
          <w:gridAfter w:val="7"/>
          <w:wAfter w:w="2507" w:type="dxa"/>
        </w:trPr>
        <w:tc>
          <w:tcPr>
            <w:tcW w:w="460" w:type="dxa"/>
            <w:gridSpan w:val="2"/>
          </w:tcPr>
          <w:p w:rsidR="00845B07" w:rsidRPr="00845B07" w:rsidRDefault="00845B07" w:rsidP="00845B07">
            <w:pPr>
              <w:rPr>
                <w:rFonts w:asciiTheme="minorHAnsi" w:hAnsiTheme="minorHAnsi" w:cstheme="minorHAnsi"/>
                <w:b/>
                <w:sz w:val="20"/>
                <w:szCs w:val="20"/>
              </w:rPr>
            </w:pPr>
          </w:p>
          <w:p w:rsidR="00845B07" w:rsidRPr="00845B07" w:rsidRDefault="00845B07" w:rsidP="00845B07">
            <w:pPr>
              <w:rPr>
                <w:rFonts w:asciiTheme="minorHAnsi" w:hAnsiTheme="minorHAnsi" w:cstheme="minorHAnsi"/>
                <w:b/>
                <w:sz w:val="20"/>
                <w:szCs w:val="20"/>
              </w:rPr>
            </w:pPr>
          </w:p>
        </w:tc>
        <w:tc>
          <w:tcPr>
            <w:tcW w:w="392" w:type="dxa"/>
            <w:gridSpan w:val="2"/>
          </w:tcPr>
          <w:p w:rsidR="00845B07" w:rsidRPr="00845B07" w:rsidRDefault="00845B07" w:rsidP="00845B07">
            <w:pPr>
              <w:rPr>
                <w:rFonts w:asciiTheme="minorHAnsi" w:hAnsiTheme="minorHAnsi" w:cstheme="minorHAnsi"/>
                <w:b/>
                <w:sz w:val="20"/>
                <w:szCs w:val="20"/>
              </w:rPr>
            </w:pPr>
          </w:p>
        </w:tc>
        <w:tc>
          <w:tcPr>
            <w:tcW w:w="528" w:type="dxa"/>
            <w:gridSpan w:val="2"/>
          </w:tcPr>
          <w:p w:rsidR="00845B07" w:rsidRPr="00845B07" w:rsidRDefault="00845B07" w:rsidP="00845B07">
            <w:pPr>
              <w:rPr>
                <w:rFonts w:asciiTheme="minorHAnsi" w:hAnsiTheme="minorHAnsi" w:cstheme="minorHAnsi"/>
                <w:b/>
                <w:sz w:val="20"/>
                <w:szCs w:val="20"/>
              </w:rPr>
            </w:pPr>
          </w:p>
        </w:tc>
        <w:tc>
          <w:tcPr>
            <w:tcW w:w="180" w:type="dxa"/>
            <w:gridSpan w:val="4"/>
          </w:tcPr>
          <w:p w:rsidR="00845B07" w:rsidRPr="00845B07" w:rsidRDefault="00845B07" w:rsidP="00845B07">
            <w:pPr>
              <w:rPr>
                <w:rFonts w:asciiTheme="minorHAnsi" w:hAnsiTheme="minorHAnsi" w:cstheme="minorHAnsi"/>
                <w:b/>
                <w:sz w:val="20"/>
                <w:szCs w:val="20"/>
              </w:rPr>
            </w:pPr>
          </w:p>
        </w:tc>
        <w:tc>
          <w:tcPr>
            <w:tcW w:w="740" w:type="dxa"/>
            <w:gridSpan w:val="3"/>
          </w:tcPr>
          <w:p w:rsidR="00845B07" w:rsidRPr="00845B07" w:rsidRDefault="00845B07" w:rsidP="00845B07">
            <w:pPr>
              <w:rPr>
                <w:rFonts w:asciiTheme="minorHAnsi" w:hAnsiTheme="minorHAnsi" w:cstheme="minorHAnsi"/>
                <w:b/>
                <w:sz w:val="20"/>
                <w:szCs w:val="20"/>
              </w:rPr>
            </w:pPr>
          </w:p>
        </w:tc>
        <w:tc>
          <w:tcPr>
            <w:tcW w:w="749" w:type="dxa"/>
            <w:gridSpan w:val="4"/>
          </w:tcPr>
          <w:p w:rsidR="00845B07" w:rsidRPr="00845B07" w:rsidRDefault="00845B07" w:rsidP="00845B07">
            <w:pPr>
              <w:rPr>
                <w:rFonts w:asciiTheme="minorHAnsi" w:hAnsiTheme="minorHAnsi" w:cstheme="minorHAnsi"/>
                <w:b/>
                <w:sz w:val="20"/>
                <w:szCs w:val="20"/>
              </w:rPr>
            </w:pPr>
          </w:p>
        </w:tc>
        <w:tc>
          <w:tcPr>
            <w:tcW w:w="231" w:type="dxa"/>
            <w:gridSpan w:val="3"/>
          </w:tcPr>
          <w:p w:rsidR="00845B07" w:rsidRPr="00845B07" w:rsidRDefault="00845B07" w:rsidP="00845B07">
            <w:pPr>
              <w:rPr>
                <w:rFonts w:asciiTheme="minorHAnsi" w:hAnsiTheme="minorHAnsi" w:cstheme="minorHAnsi"/>
                <w:b/>
                <w:sz w:val="20"/>
                <w:szCs w:val="20"/>
              </w:rPr>
            </w:pPr>
          </w:p>
        </w:tc>
        <w:tc>
          <w:tcPr>
            <w:tcW w:w="460" w:type="dxa"/>
            <w:gridSpan w:val="4"/>
          </w:tcPr>
          <w:p w:rsidR="00845B07" w:rsidRPr="00845B07" w:rsidRDefault="00845B07" w:rsidP="00845B07">
            <w:pPr>
              <w:rPr>
                <w:rFonts w:asciiTheme="minorHAnsi" w:hAnsiTheme="minorHAnsi" w:cstheme="minorHAnsi"/>
                <w:b/>
                <w:sz w:val="20"/>
                <w:szCs w:val="20"/>
              </w:rPr>
            </w:pPr>
          </w:p>
        </w:tc>
        <w:tc>
          <w:tcPr>
            <w:tcW w:w="460" w:type="dxa"/>
            <w:gridSpan w:val="2"/>
          </w:tcPr>
          <w:p w:rsidR="00845B07" w:rsidRPr="00845B07" w:rsidRDefault="00845B07" w:rsidP="00845B07">
            <w:pPr>
              <w:rPr>
                <w:rFonts w:asciiTheme="minorHAnsi" w:hAnsiTheme="minorHAnsi" w:cstheme="minorHAnsi"/>
                <w:b/>
                <w:sz w:val="20"/>
                <w:szCs w:val="20"/>
              </w:rPr>
            </w:pPr>
          </w:p>
        </w:tc>
        <w:tc>
          <w:tcPr>
            <w:tcW w:w="460" w:type="dxa"/>
            <w:gridSpan w:val="3"/>
          </w:tcPr>
          <w:p w:rsidR="00845B07" w:rsidRPr="00845B07" w:rsidRDefault="00845B07" w:rsidP="00845B07">
            <w:pPr>
              <w:rPr>
                <w:rFonts w:asciiTheme="minorHAnsi" w:hAnsiTheme="minorHAnsi" w:cstheme="minorHAnsi"/>
                <w:b/>
                <w:sz w:val="20"/>
                <w:szCs w:val="20"/>
              </w:rPr>
            </w:pPr>
          </w:p>
        </w:tc>
        <w:tc>
          <w:tcPr>
            <w:tcW w:w="460" w:type="dxa"/>
            <w:gridSpan w:val="5"/>
          </w:tcPr>
          <w:p w:rsidR="00845B07" w:rsidRPr="00845B07" w:rsidRDefault="00845B07" w:rsidP="00845B07">
            <w:pPr>
              <w:rPr>
                <w:rFonts w:asciiTheme="minorHAnsi" w:hAnsiTheme="minorHAnsi" w:cstheme="minorHAnsi"/>
                <w:b/>
                <w:sz w:val="20"/>
                <w:szCs w:val="20"/>
              </w:rPr>
            </w:pPr>
          </w:p>
        </w:tc>
        <w:tc>
          <w:tcPr>
            <w:tcW w:w="460" w:type="dxa"/>
            <w:gridSpan w:val="2"/>
          </w:tcPr>
          <w:p w:rsidR="00845B07" w:rsidRPr="00845B07" w:rsidRDefault="00845B07" w:rsidP="00845B07">
            <w:pPr>
              <w:rPr>
                <w:rFonts w:asciiTheme="minorHAnsi" w:hAnsiTheme="minorHAnsi" w:cstheme="minorHAnsi"/>
                <w:b/>
                <w:sz w:val="20"/>
                <w:szCs w:val="20"/>
              </w:rPr>
            </w:pPr>
          </w:p>
        </w:tc>
        <w:tc>
          <w:tcPr>
            <w:tcW w:w="460" w:type="dxa"/>
            <w:gridSpan w:val="6"/>
          </w:tcPr>
          <w:p w:rsidR="00845B07" w:rsidRPr="00845B07" w:rsidRDefault="00845B07" w:rsidP="00845B07">
            <w:pPr>
              <w:rPr>
                <w:rFonts w:asciiTheme="minorHAnsi" w:hAnsiTheme="minorHAnsi" w:cstheme="minorHAnsi"/>
                <w:b/>
                <w:sz w:val="20"/>
                <w:szCs w:val="20"/>
              </w:rPr>
            </w:pPr>
          </w:p>
        </w:tc>
        <w:tc>
          <w:tcPr>
            <w:tcW w:w="460" w:type="dxa"/>
            <w:gridSpan w:val="4"/>
          </w:tcPr>
          <w:p w:rsidR="00845B07" w:rsidRPr="00845B07" w:rsidRDefault="00845B07" w:rsidP="00845B07">
            <w:pPr>
              <w:rPr>
                <w:rFonts w:asciiTheme="minorHAnsi" w:hAnsiTheme="minorHAnsi" w:cstheme="minorHAnsi"/>
                <w:b/>
                <w:sz w:val="20"/>
                <w:szCs w:val="20"/>
              </w:rPr>
            </w:pPr>
          </w:p>
        </w:tc>
        <w:tc>
          <w:tcPr>
            <w:tcW w:w="460" w:type="dxa"/>
            <w:gridSpan w:val="3"/>
          </w:tcPr>
          <w:p w:rsidR="00845B07" w:rsidRPr="00845B07" w:rsidRDefault="00845B07" w:rsidP="00845B07">
            <w:pPr>
              <w:rPr>
                <w:rFonts w:asciiTheme="minorHAnsi" w:hAnsiTheme="minorHAnsi" w:cstheme="minorHAnsi"/>
                <w:b/>
                <w:sz w:val="20"/>
                <w:szCs w:val="20"/>
              </w:rPr>
            </w:pPr>
          </w:p>
        </w:tc>
        <w:tc>
          <w:tcPr>
            <w:tcW w:w="460" w:type="dxa"/>
            <w:gridSpan w:val="4"/>
          </w:tcPr>
          <w:p w:rsidR="00845B07" w:rsidRPr="00845B07" w:rsidRDefault="00845B07" w:rsidP="00845B07">
            <w:pPr>
              <w:rPr>
                <w:rFonts w:asciiTheme="minorHAnsi" w:hAnsiTheme="minorHAnsi" w:cstheme="minorHAnsi"/>
                <w:b/>
                <w:sz w:val="20"/>
                <w:szCs w:val="20"/>
              </w:rPr>
            </w:pPr>
          </w:p>
        </w:tc>
        <w:tc>
          <w:tcPr>
            <w:tcW w:w="460" w:type="dxa"/>
            <w:gridSpan w:val="4"/>
          </w:tcPr>
          <w:p w:rsidR="00845B07" w:rsidRPr="00845B07" w:rsidRDefault="00845B07" w:rsidP="00845B07">
            <w:pPr>
              <w:rPr>
                <w:rFonts w:asciiTheme="minorHAnsi" w:hAnsiTheme="minorHAnsi" w:cstheme="minorHAnsi"/>
                <w:b/>
                <w:sz w:val="20"/>
                <w:szCs w:val="20"/>
              </w:rPr>
            </w:pPr>
          </w:p>
        </w:tc>
        <w:tc>
          <w:tcPr>
            <w:tcW w:w="460" w:type="dxa"/>
            <w:gridSpan w:val="3"/>
          </w:tcPr>
          <w:p w:rsidR="00845B07" w:rsidRPr="00845B07" w:rsidRDefault="00845B07" w:rsidP="00845B07">
            <w:pPr>
              <w:rPr>
                <w:rFonts w:asciiTheme="minorHAnsi" w:hAnsiTheme="minorHAnsi" w:cstheme="minorHAnsi"/>
                <w:b/>
                <w:sz w:val="20"/>
                <w:szCs w:val="20"/>
              </w:rPr>
            </w:pPr>
          </w:p>
        </w:tc>
        <w:tc>
          <w:tcPr>
            <w:tcW w:w="460" w:type="dxa"/>
            <w:gridSpan w:val="3"/>
          </w:tcPr>
          <w:p w:rsidR="00845B07" w:rsidRPr="00845B07" w:rsidRDefault="00845B07" w:rsidP="00845B07">
            <w:pPr>
              <w:rPr>
                <w:rFonts w:asciiTheme="minorHAnsi" w:hAnsiTheme="minorHAnsi" w:cstheme="minorHAnsi"/>
                <w:b/>
                <w:sz w:val="20"/>
                <w:szCs w:val="20"/>
              </w:rPr>
            </w:pPr>
          </w:p>
        </w:tc>
        <w:tc>
          <w:tcPr>
            <w:tcW w:w="1183" w:type="dxa"/>
            <w:gridSpan w:val="7"/>
          </w:tcPr>
          <w:p w:rsidR="00845B07" w:rsidRPr="00845B07" w:rsidRDefault="00845B07" w:rsidP="00845B07">
            <w:pPr>
              <w:rPr>
                <w:rFonts w:asciiTheme="minorHAnsi" w:hAnsiTheme="minorHAnsi" w:cstheme="minorHAnsi"/>
                <w:b/>
                <w:sz w:val="20"/>
                <w:szCs w:val="20"/>
              </w:rPr>
            </w:pPr>
          </w:p>
        </w:tc>
      </w:tr>
      <w:tr w:rsidR="00845B07" w:rsidRPr="00845B07" w:rsidTr="00845B07">
        <w:trPr>
          <w:gridAfter w:val="8"/>
          <w:wAfter w:w="2567" w:type="dxa"/>
        </w:trPr>
        <w:tc>
          <w:tcPr>
            <w:tcW w:w="9923" w:type="dxa"/>
            <w:gridSpan w:val="69"/>
            <w:shd w:val="clear" w:color="auto" w:fill="F79646"/>
          </w:tcPr>
          <w:p w:rsidR="00845B07" w:rsidRPr="00845B07" w:rsidRDefault="00845B07" w:rsidP="00845B07">
            <w:pPr>
              <w:rPr>
                <w:rFonts w:asciiTheme="minorHAnsi" w:hAnsiTheme="minorHAnsi" w:cstheme="minorHAnsi"/>
                <w:b/>
                <w:sz w:val="20"/>
                <w:szCs w:val="20"/>
                <w:u w:val="single"/>
              </w:rPr>
            </w:pPr>
            <w:r w:rsidRPr="00845B07">
              <w:rPr>
                <w:rFonts w:asciiTheme="minorHAnsi" w:hAnsiTheme="minorHAnsi" w:cstheme="minorHAnsi"/>
                <w:b/>
                <w:sz w:val="20"/>
                <w:szCs w:val="20"/>
                <w:u w:val="single"/>
              </w:rPr>
              <w:t>Rozbor čerpání výdajů rozpočtu kapitoly</w:t>
            </w:r>
          </w:p>
        </w:tc>
      </w:tr>
      <w:tr w:rsidR="00845B07" w:rsidRPr="00845B07" w:rsidTr="008D5999">
        <w:trPr>
          <w:gridAfter w:val="8"/>
          <w:wAfter w:w="2567" w:type="dxa"/>
        </w:trPr>
        <w:tc>
          <w:tcPr>
            <w:tcW w:w="460" w:type="dxa"/>
            <w:gridSpan w:val="2"/>
            <w:tcBorders>
              <w:bottom w:val="single" w:sz="4" w:space="0" w:color="auto"/>
            </w:tcBorders>
          </w:tcPr>
          <w:p w:rsidR="00845B07" w:rsidRPr="00845B07" w:rsidRDefault="00845B07" w:rsidP="00845B07">
            <w:pPr>
              <w:rPr>
                <w:rFonts w:asciiTheme="minorHAnsi" w:hAnsiTheme="minorHAnsi" w:cstheme="minorHAnsi"/>
                <w:b/>
                <w:sz w:val="20"/>
                <w:szCs w:val="20"/>
              </w:rPr>
            </w:pPr>
          </w:p>
        </w:tc>
        <w:tc>
          <w:tcPr>
            <w:tcW w:w="392" w:type="dxa"/>
            <w:gridSpan w:val="2"/>
            <w:tcBorders>
              <w:bottom w:val="single" w:sz="4" w:space="0" w:color="auto"/>
            </w:tcBorders>
          </w:tcPr>
          <w:p w:rsidR="00845B07" w:rsidRPr="00845B07" w:rsidRDefault="00845B07" w:rsidP="00845B07">
            <w:pPr>
              <w:rPr>
                <w:rFonts w:asciiTheme="minorHAnsi" w:hAnsiTheme="minorHAnsi" w:cstheme="minorHAnsi"/>
                <w:b/>
                <w:sz w:val="20"/>
                <w:szCs w:val="20"/>
              </w:rPr>
            </w:pPr>
          </w:p>
        </w:tc>
        <w:tc>
          <w:tcPr>
            <w:tcW w:w="528" w:type="dxa"/>
            <w:gridSpan w:val="2"/>
            <w:tcBorders>
              <w:bottom w:val="single" w:sz="4" w:space="0" w:color="auto"/>
            </w:tcBorders>
          </w:tcPr>
          <w:p w:rsidR="00845B07" w:rsidRPr="00845B07" w:rsidRDefault="00845B07" w:rsidP="00845B07">
            <w:pPr>
              <w:rPr>
                <w:rFonts w:asciiTheme="minorHAnsi" w:hAnsiTheme="minorHAnsi" w:cstheme="minorHAnsi"/>
                <w:b/>
                <w:sz w:val="20"/>
                <w:szCs w:val="20"/>
              </w:rPr>
            </w:pPr>
          </w:p>
        </w:tc>
        <w:tc>
          <w:tcPr>
            <w:tcW w:w="391" w:type="dxa"/>
            <w:gridSpan w:val="5"/>
            <w:tcBorders>
              <w:bottom w:val="single" w:sz="4" w:space="0" w:color="auto"/>
            </w:tcBorders>
          </w:tcPr>
          <w:p w:rsidR="00845B07" w:rsidRPr="00845B07" w:rsidRDefault="00845B07" w:rsidP="00845B07">
            <w:pPr>
              <w:rPr>
                <w:rFonts w:asciiTheme="minorHAnsi" w:hAnsiTheme="minorHAnsi" w:cstheme="minorHAnsi"/>
                <w:b/>
                <w:sz w:val="20"/>
                <w:szCs w:val="20"/>
              </w:rPr>
            </w:pPr>
          </w:p>
        </w:tc>
        <w:tc>
          <w:tcPr>
            <w:tcW w:w="529" w:type="dxa"/>
            <w:gridSpan w:val="2"/>
            <w:tcBorders>
              <w:bottom w:val="single" w:sz="4" w:space="0" w:color="auto"/>
            </w:tcBorders>
          </w:tcPr>
          <w:p w:rsidR="00845B07" w:rsidRPr="00845B07" w:rsidRDefault="00845B07" w:rsidP="00845B07">
            <w:pPr>
              <w:rPr>
                <w:rFonts w:asciiTheme="minorHAnsi" w:hAnsiTheme="minorHAnsi" w:cstheme="minorHAnsi"/>
                <w:b/>
                <w:sz w:val="20"/>
                <w:szCs w:val="20"/>
              </w:rPr>
            </w:pPr>
          </w:p>
        </w:tc>
        <w:tc>
          <w:tcPr>
            <w:tcW w:w="460" w:type="dxa"/>
            <w:tcBorders>
              <w:bottom w:val="single" w:sz="4" w:space="0" w:color="auto"/>
            </w:tcBorders>
          </w:tcPr>
          <w:p w:rsidR="00845B07" w:rsidRPr="00845B07" w:rsidRDefault="00845B07" w:rsidP="00845B07">
            <w:pPr>
              <w:rPr>
                <w:rFonts w:asciiTheme="minorHAnsi" w:hAnsiTheme="minorHAnsi" w:cstheme="minorHAnsi"/>
                <w:b/>
                <w:sz w:val="20"/>
                <w:szCs w:val="20"/>
              </w:rPr>
            </w:pPr>
          </w:p>
        </w:tc>
        <w:tc>
          <w:tcPr>
            <w:tcW w:w="460" w:type="dxa"/>
            <w:gridSpan w:val="5"/>
            <w:tcBorders>
              <w:bottom w:val="single" w:sz="4" w:space="0" w:color="auto"/>
            </w:tcBorders>
          </w:tcPr>
          <w:p w:rsidR="00845B07" w:rsidRPr="00845B07" w:rsidRDefault="00845B07" w:rsidP="00845B07">
            <w:pPr>
              <w:rPr>
                <w:rFonts w:asciiTheme="minorHAnsi" w:hAnsiTheme="minorHAnsi" w:cstheme="minorHAnsi"/>
                <w:b/>
                <w:sz w:val="20"/>
                <w:szCs w:val="20"/>
              </w:rPr>
            </w:pPr>
          </w:p>
        </w:tc>
        <w:tc>
          <w:tcPr>
            <w:tcW w:w="460" w:type="dxa"/>
            <w:gridSpan w:val="4"/>
            <w:tcBorders>
              <w:bottom w:val="single" w:sz="4" w:space="0" w:color="auto"/>
            </w:tcBorders>
          </w:tcPr>
          <w:p w:rsidR="00845B07" w:rsidRPr="00845B07" w:rsidRDefault="00845B07" w:rsidP="00845B07">
            <w:pPr>
              <w:rPr>
                <w:rFonts w:asciiTheme="minorHAnsi" w:hAnsiTheme="minorHAnsi" w:cstheme="minorHAnsi"/>
                <w:b/>
                <w:sz w:val="20"/>
                <w:szCs w:val="20"/>
              </w:rPr>
            </w:pPr>
          </w:p>
        </w:tc>
        <w:tc>
          <w:tcPr>
            <w:tcW w:w="460" w:type="dxa"/>
            <w:gridSpan w:val="2"/>
            <w:tcBorders>
              <w:bottom w:val="single" w:sz="4" w:space="0" w:color="auto"/>
            </w:tcBorders>
          </w:tcPr>
          <w:p w:rsidR="00845B07" w:rsidRPr="00845B07" w:rsidRDefault="00845B07" w:rsidP="00845B07">
            <w:pPr>
              <w:rPr>
                <w:rFonts w:asciiTheme="minorHAnsi" w:hAnsiTheme="minorHAnsi" w:cstheme="minorHAnsi"/>
                <w:b/>
                <w:sz w:val="20"/>
                <w:szCs w:val="20"/>
              </w:rPr>
            </w:pPr>
          </w:p>
        </w:tc>
        <w:tc>
          <w:tcPr>
            <w:tcW w:w="610" w:type="dxa"/>
            <w:gridSpan w:val="6"/>
            <w:tcBorders>
              <w:bottom w:val="single" w:sz="4" w:space="0" w:color="auto"/>
            </w:tcBorders>
          </w:tcPr>
          <w:p w:rsidR="00845B07" w:rsidRPr="00845B07" w:rsidRDefault="00845B07" w:rsidP="00845B07">
            <w:pPr>
              <w:rPr>
                <w:rFonts w:asciiTheme="minorHAnsi" w:hAnsiTheme="minorHAnsi" w:cstheme="minorHAnsi"/>
                <w:b/>
                <w:sz w:val="20"/>
                <w:szCs w:val="20"/>
              </w:rPr>
            </w:pPr>
          </w:p>
        </w:tc>
        <w:tc>
          <w:tcPr>
            <w:tcW w:w="310" w:type="dxa"/>
            <w:gridSpan w:val="2"/>
            <w:tcBorders>
              <w:bottom w:val="single" w:sz="4" w:space="0" w:color="auto"/>
            </w:tcBorders>
          </w:tcPr>
          <w:p w:rsidR="00845B07" w:rsidRPr="00845B07" w:rsidRDefault="00845B07" w:rsidP="00845B07">
            <w:pPr>
              <w:rPr>
                <w:rFonts w:asciiTheme="minorHAnsi" w:hAnsiTheme="minorHAnsi" w:cstheme="minorHAnsi"/>
                <w:b/>
                <w:sz w:val="20"/>
                <w:szCs w:val="20"/>
              </w:rPr>
            </w:pPr>
          </w:p>
        </w:tc>
        <w:tc>
          <w:tcPr>
            <w:tcW w:w="682" w:type="dxa"/>
            <w:gridSpan w:val="5"/>
            <w:tcBorders>
              <w:bottom w:val="single" w:sz="4" w:space="0" w:color="auto"/>
            </w:tcBorders>
          </w:tcPr>
          <w:p w:rsidR="00845B07" w:rsidRPr="00845B07" w:rsidRDefault="00845B07" w:rsidP="00845B07">
            <w:pPr>
              <w:rPr>
                <w:rFonts w:asciiTheme="minorHAnsi" w:hAnsiTheme="minorHAnsi" w:cstheme="minorHAnsi"/>
                <w:b/>
                <w:sz w:val="20"/>
                <w:szCs w:val="20"/>
              </w:rPr>
            </w:pPr>
          </w:p>
        </w:tc>
        <w:tc>
          <w:tcPr>
            <w:tcW w:w="238" w:type="dxa"/>
            <w:gridSpan w:val="2"/>
            <w:tcBorders>
              <w:bottom w:val="single" w:sz="4" w:space="0" w:color="auto"/>
            </w:tcBorders>
          </w:tcPr>
          <w:p w:rsidR="00845B07" w:rsidRPr="00845B07" w:rsidRDefault="00845B07" w:rsidP="00845B07">
            <w:pPr>
              <w:rPr>
                <w:rFonts w:asciiTheme="minorHAnsi" w:hAnsiTheme="minorHAnsi" w:cstheme="minorHAnsi"/>
                <w:b/>
                <w:sz w:val="20"/>
                <w:szCs w:val="20"/>
              </w:rPr>
            </w:pPr>
          </w:p>
        </w:tc>
        <w:tc>
          <w:tcPr>
            <w:tcW w:w="460" w:type="dxa"/>
            <w:gridSpan w:val="4"/>
            <w:tcBorders>
              <w:bottom w:val="single" w:sz="4" w:space="0" w:color="auto"/>
            </w:tcBorders>
          </w:tcPr>
          <w:p w:rsidR="00845B07" w:rsidRPr="00845B07" w:rsidRDefault="00845B07" w:rsidP="00845B07">
            <w:pPr>
              <w:rPr>
                <w:rFonts w:asciiTheme="minorHAnsi" w:hAnsiTheme="minorHAnsi" w:cstheme="minorHAnsi"/>
                <w:b/>
                <w:sz w:val="20"/>
                <w:szCs w:val="20"/>
              </w:rPr>
            </w:pPr>
          </w:p>
        </w:tc>
        <w:tc>
          <w:tcPr>
            <w:tcW w:w="460" w:type="dxa"/>
            <w:gridSpan w:val="4"/>
            <w:tcBorders>
              <w:bottom w:val="single" w:sz="4" w:space="0" w:color="auto"/>
            </w:tcBorders>
          </w:tcPr>
          <w:p w:rsidR="00845B07" w:rsidRPr="00845B07" w:rsidRDefault="00845B07" w:rsidP="00845B07">
            <w:pPr>
              <w:rPr>
                <w:rFonts w:asciiTheme="minorHAnsi" w:hAnsiTheme="minorHAnsi" w:cstheme="minorHAnsi"/>
                <w:b/>
                <w:sz w:val="20"/>
                <w:szCs w:val="20"/>
              </w:rPr>
            </w:pPr>
          </w:p>
        </w:tc>
        <w:tc>
          <w:tcPr>
            <w:tcW w:w="460" w:type="dxa"/>
            <w:gridSpan w:val="4"/>
            <w:tcBorders>
              <w:bottom w:val="single" w:sz="4" w:space="0" w:color="auto"/>
            </w:tcBorders>
          </w:tcPr>
          <w:p w:rsidR="00845B07" w:rsidRPr="00845B07" w:rsidRDefault="00845B07" w:rsidP="00845B07">
            <w:pPr>
              <w:rPr>
                <w:rFonts w:asciiTheme="minorHAnsi" w:hAnsiTheme="minorHAnsi" w:cstheme="minorHAnsi"/>
                <w:b/>
                <w:sz w:val="20"/>
                <w:szCs w:val="20"/>
              </w:rPr>
            </w:pPr>
          </w:p>
        </w:tc>
        <w:tc>
          <w:tcPr>
            <w:tcW w:w="460" w:type="dxa"/>
            <w:gridSpan w:val="4"/>
            <w:tcBorders>
              <w:bottom w:val="single" w:sz="4" w:space="0" w:color="auto"/>
            </w:tcBorders>
          </w:tcPr>
          <w:p w:rsidR="00845B07" w:rsidRPr="00845B07" w:rsidRDefault="00845B07" w:rsidP="00845B07">
            <w:pPr>
              <w:rPr>
                <w:rFonts w:asciiTheme="minorHAnsi" w:hAnsiTheme="minorHAnsi" w:cstheme="minorHAnsi"/>
                <w:b/>
                <w:sz w:val="20"/>
                <w:szCs w:val="20"/>
              </w:rPr>
            </w:pPr>
          </w:p>
        </w:tc>
        <w:tc>
          <w:tcPr>
            <w:tcW w:w="460" w:type="dxa"/>
            <w:gridSpan w:val="3"/>
            <w:tcBorders>
              <w:bottom w:val="single" w:sz="4" w:space="0" w:color="auto"/>
            </w:tcBorders>
          </w:tcPr>
          <w:p w:rsidR="00845B07" w:rsidRPr="00845B07" w:rsidRDefault="00845B07" w:rsidP="00845B07">
            <w:pPr>
              <w:rPr>
                <w:rFonts w:asciiTheme="minorHAnsi" w:hAnsiTheme="minorHAnsi" w:cstheme="minorHAnsi"/>
                <w:b/>
                <w:sz w:val="20"/>
                <w:szCs w:val="20"/>
              </w:rPr>
            </w:pPr>
          </w:p>
        </w:tc>
        <w:tc>
          <w:tcPr>
            <w:tcW w:w="460" w:type="dxa"/>
            <w:gridSpan w:val="3"/>
            <w:tcBorders>
              <w:bottom w:val="single" w:sz="4" w:space="0" w:color="auto"/>
            </w:tcBorders>
          </w:tcPr>
          <w:p w:rsidR="00845B07" w:rsidRPr="00845B07" w:rsidRDefault="00845B07" w:rsidP="00845B07">
            <w:pPr>
              <w:rPr>
                <w:rFonts w:asciiTheme="minorHAnsi" w:hAnsiTheme="minorHAnsi" w:cstheme="minorHAnsi"/>
                <w:b/>
                <w:sz w:val="20"/>
                <w:szCs w:val="20"/>
              </w:rPr>
            </w:pPr>
          </w:p>
        </w:tc>
        <w:tc>
          <w:tcPr>
            <w:tcW w:w="1183" w:type="dxa"/>
            <w:gridSpan w:val="7"/>
            <w:tcBorders>
              <w:bottom w:val="single" w:sz="4" w:space="0" w:color="auto"/>
            </w:tcBorders>
          </w:tcPr>
          <w:p w:rsidR="00845B07" w:rsidRPr="00845B07" w:rsidRDefault="00845B07" w:rsidP="00845B07">
            <w:pPr>
              <w:rPr>
                <w:rFonts w:asciiTheme="minorHAnsi" w:hAnsiTheme="minorHAnsi" w:cstheme="minorHAnsi"/>
                <w:b/>
                <w:sz w:val="20"/>
                <w:szCs w:val="20"/>
              </w:rPr>
            </w:pPr>
          </w:p>
        </w:tc>
      </w:tr>
      <w:tr w:rsidR="00845B07" w:rsidRPr="00845B07" w:rsidTr="00FD5B06">
        <w:trPr>
          <w:gridAfter w:val="8"/>
          <w:wAfter w:w="2567" w:type="dxa"/>
        </w:trPr>
        <w:tc>
          <w:tcPr>
            <w:tcW w:w="3191" w:type="dxa"/>
            <w:gridSpan w:val="18"/>
            <w:tcBorders>
              <w:top w:val="single" w:sz="4" w:space="0" w:color="auto"/>
              <w:left w:val="single" w:sz="4" w:space="0" w:color="auto"/>
              <w:bottom w:val="single" w:sz="4" w:space="0" w:color="auto"/>
              <w:right w:val="single" w:sz="4" w:space="0" w:color="auto"/>
            </w:tcBorders>
            <w:shd w:val="clear" w:color="auto" w:fill="FFFF00"/>
          </w:tcPr>
          <w:p w:rsidR="00845B07" w:rsidRPr="008D5999" w:rsidRDefault="00845B07" w:rsidP="00845B07">
            <w:pPr>
              <w:jc w:val="center"/>
              <w:rPr>
                <w:rFonts w:asciiTheme="minorHAnsi" w:hAnsiTheme="minorHAnsi" w:cstheme="minorHAnsi"/>
                <w:b/>
                <w:sz w:val="18"/>
                <w:szCs w:val="18"/>
              </w:rPr>
            </w:pPr>
            <w:r w:rsidRPr="008D5999">
              <w:rPr>
                <w:rFonts w:asciiTheme="minorHAnsi" w:hAnsiTheme="minorHAnsi" w:cstheme="minorHAnsi"/>
                <w:b/>
                <w:sz w:val="18"/>
                <w:szCs w:val="18"/>
              </w:rPr>
              <w:t>Rozpočet upravený v tis. Kč</w:t>
            </w:r>
          </w:p>
        </w:tc>
        <w:tc>
          <w:tcPr>
            <w:tcW w:w="2835" w:type="dxa"/>
            <w:gridSpan w:val="23"/>
            <w:tcBorders>
              <w:top w:val="single" w:sz="4" w:space="0" w:color="auto"/>
              <w:left w:val="single" w:sz="4" w:space="0" w:color="auto"/>
              <w:bottom w:val="single" w:sz="4" w:space="0" w:color="auto"/>
              <w:right w:val="single" w:sz="4" w:space="0" w:color="auto"/>
            </w:tcBorders>
            <w:shd w:val="clear" w:color="auto" w:fill="FFFF00"/>
          </w:tcPr>
          <w:p w:rsidR="00845B07" w:rsidRPr="008D5999" w:rsidRDefault="00845B07" w:rsidP="00845B07">
            <w:pPr>
              <w:jc w:val="center"/>
              <w:rPr>
                <w:rFonts w:asciiTheme="minorHAnsi" w:hAnsiTheme="minorHAnsi" w:cstheme="minorHAnsi"/>
                <w:b/>
                <w:sz w:val="18"/>
                <w:szCs w:val="18"/>
              </w:rPr>
            </w:pPr>
            <w:r w:rsidRPr="008D5999">
              <w:rPr>
                <w:rFonts w:asciiTheme="minorHAnsi" w:hAnsiTheme="minorHAnsi" w:cstheme="minorHAnsi"/>
                <w:b/>
                <w:sz w:val="18"/>
                <w:szCs w:val="18"/>
              </w:rPr>
              <w:t>Skutečnost v tis. Kč</w:t>
            </w:r>
          </w:p>
        </w:tc>
        <w:tc>
          <w:tcPr>
            <w:tcW w:w="1134" w:type="dxa"/>
            <w:gridSpan w:val="9"/>
            <w:tcBorders>
              <w:top w:val="single" w:sz="4" w:space="0" w:color="auto"/>
              <w:left w:val="single" w:sz="4" w:space="0" w:color="auto"/>
              <w:bottom w:val="single" w:sz="4" w:space="0" w:color="auto"/>
              <w:right w:val="single" w:sz="4" w:space="0" w:color="auto"/>
            </w:tcBorders>
            <w:shd w:val="clear" w:color="auto" w:fill="FFFF00"/>
          </w:tcPr>
          <w:p w:rsidR="00845B07" w:rsidRPr="008D5999" w:rsidRDefault="00845B07" w:rsidP="00845B07">
            <w:pPr>
              <w:jc w:val="center"/>
              <w:rPr>
                <w:rFonts w:asciiTheme="minorHAnsi" w:hAnsiTheme="minorHAnsi" w:cstheme="minorHAnsi"/>
                <w:b/>
                <w:sz w:val="18"/>
                <w:szCs w:val="18"/>
              </w:rPr>
            </w:pPr>
            <w:r w:rsidRPr="008D5999">
              <w:rPr>
                <w:rFonts w:asciiTheme="minorHAnsi" w:hAnsiTheme="minorHAnsi" w:cstheme="minorHAnsi"/>
                <w:b/>
                <w:sz w:val="18"/>
                <w:szCs w:val="18"/>
              </w:rPr>
              <w:t>SK/RU v %</w:t>
            </w:r>
          </w:p>
        </w:tc>
        <w:tc>
          <w:tcPr>
            <w:tcW w:w="2763" w:type="dxa"/>
            <w:gridSpan w:val="19"/>
            <w:tcBorders>
              <w:top w:val="single" w:sz="4" w:space="0" w:color="auto"/>
              <w:left w:val="single" w:sz="4" w:space="0" w:color="auto"/>
              <w:bottom w:val="single" w:sz="4" w:space="0" w:color="auto"/>
              <w:right w:val="single" w:sz="4" w:space="0" w:color="auto"/>
            </w:tcBorders>
            <w:shd w:val="clear" w:color="auto" w:fill="FFFF00"/>
          </w:tcPr>
          <w:p w:rsidR="00845B07" w:rsidRPr="008D5999" w:rsidRDefault="00845B07" w:rsidP="00845B07">
            <w:pPr>
              <w:jc w:val="center"/>
              <w:rPr>
                <w:rFonts w:asciiTheme="minorHAnsi" w:hAnsiTheme="minorHAnsi" w:cstheme="minorHAnsi"/>
                <w:b/>
                <w:sz w:val="18"/>
                <w:szCs w:val="18"/>
              </w:rPr>
            </w:pPr>
            <w:r w:rsidRPr="008D5999">
              <w:rPr>
                <w:rFonts w:asciiTheme="minorHAnsi" w:hAnsiTheme="minorHAnsi" w:cstheme="minorHAnsi"/>
                <w:b/>
                <w:sz w:val="18"/>
                <w:szCs w:val="18"/>
              </w:rPr>
              <w:t>Komentář</w:t>
            </w:r>
          </w:p>
        </w:tc>
      </w:tr>
      <w:tr w:rsidR="00845B07" w:rsidRPr="00845B07" w:rsidTr="00FD5B06">
        <w:trPr>
          <w:gridAfter w:val="8"/>
          <w:wAfter w:w="2567" w:type="dxa"/>
        </w:trPr>
        <w:tc>
          <w:tcPr>
            <w:tcW w:w="3191" w:type="dxa"/>
            <w:gridSpan w:val="18"/>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right"/>
              <w:rPr>
                <w:rFonts w:asciiTheme="minorHAnsi" w:hAnsiTheme="minorHAnsi" w:cstheme="minorHAnsi"/>
                <w:b/>
                <w:sz w:val="18"/>
                <w:szCs w:val="18"/>
              </w:rPr>
            </w:pPr>
            <w:r w:rsidRPr="008D5999">
              <w:rPr>
                <w:rFonts w:asciiTheme="minorHAnsi" w:hAnsiTheme="minorHAnsi" w:cstheme="minorHAnsi"/>
                <w:b/>
                <w:sz w:val="18"/>
                <w:szCs w:val="18"/>
              </w:rPr>
              <w:t>253 841,22</w:t>
            </w:r>
          </w:p>
        </w:tc>
        <w:tc>
          <w:tcPr>
            <w:tcW w:w="2835" w:type="dxa"/>
            <w:gridSpan w:val="23"/>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right"/>
              <w:rPr>
                <w:rFonts w:asciiTheme="minorHAnsi" w:hAnsiTheme="minorHAnsi" w:cstheme="minorHAnsi"/>
                <w:b/>
                <w:sz w:val="18"/>
                <w:szCs w:val="18"/>
              </w:rPr>
            </w:pPr>
            <w:r w:rsidRPr="008D5999">
              <w:rPr>
                <w:rFonts w:asciiTheme="minorHAnsi" w:hAnsiTheme="minorHAnsi" w:cstheme="minorHAnsi"/>
                <w:b/>
                <w:sz w:val="18"/>
                <w:szCs w:val="18"/>
              </w:rPr>
              <w:t>247 364,61</w:t>
            </w:r>
          </w:p>
        </w:tc>
        <w:tc>
          <w:tcPr>
            <w:tcW w:w="1134" w:type="dxa"/>
            <w:gridSpan w:val="9"/>
            <w:tcBorders>
              <w:top w:val="single" w:sz="4" w:space="0" w:color="auto"/>
              <w:left w:val="single" w:sz="4" w:space="0" w:color="auto"/>
              <w:bottom w:val="single" w:sz="4" w:space="0" w:color="auto"/>
              <w:right w:val="single" w:sz="4" w:space="0" w:color="auto"/>
            </w:tcBorders>
          </w:tcPr>
          <w:p w:rsidR="00845B07" w:rsidRPr="008D5999" w:rsidRDefault="00845B07" w:rsidP="00FD5B06">
            <w:pPr>
              <w:jc w:val="center"/>
              <w:rPr>
                <w:rFonts w:asciiTheme="minorHAnsi" w:hAnsiTheme="minorHAnsi" w:cstheme="minorHAnsi"/>
                <w:b/>
                <w:sz w:val="18"/>
                <w:szCs w:val="18"/>
              </w:rPr>
            </w:pPr>
            <w:r w:rsidRPr="008D5999">
              <w:rPr>
                <w:rFonts w:asciiTheme="minorHAnsi" w:hAnsiTheme="minorHAnsi" w:cstheme="minorHAnsi"/>
                <w:b/>
                <w:sz w:val="18"/>
                <w:szCs w:val="18"/>
              </w:rPr>
              <w:t>97,45</w:t>
            </w:r>
          </w:p>
        </w:tc>
        <w:tc>
          <w:tcPr>
            <w:tcW w:w="2763" w:type="dxa"/>
            <w:gridSpan w:val="19"/>
            <w:tcBorders>
              <w:top w:val="single" w:sz="4" w:space="0" w:color="auto"/>
              <w:left w:val="single" w:sz="4" w:space="0" w:color="auto"/>
              <w:bottom w:val="single" w:sz="4" w:space="0" w:color="auto"/>
              <w:right w:val="single" w:sz="4" w:space="0" w:color="auto"/>
            </w:tcBorders>
          </w:tcPr>
          <w:p w:rsidR="00845B07" w:rsidRPr="008D5999" w:rsidRDefault="00845B07" w:rsidP="00845B07">
            <w:pPr>
              <w:rPr>
                <w:rFonts w:asciiTheme="minorHAnsi" w:hAnsiTheme="minorHAnsi" w:cstheme="minorHAnsi"/>
                <w:b/>
                <w:sz w:val="18"/>
                <w:szCs w:val="18"/>
              </w:rPr>
            </w:pPr>
            <w:r w:rsidRPr="008D5999">
              <w:rPr>
                <w:rFonts w:asciiTheme="minorHAnsi" w:hAnsiTheme="minorHAnsi" w:cstheme="minorHAnsi"/>
                <w:b/>
                <w:sz w:val="18"/>
                <w:szCs w:val="18"/>
              </w:rPr>
              <w:t>Výdaje před konsolidací</w:t>
            </w:r>
          </w:p>
        </w:tc>
      </w:tr>
      <w:tr w:rsidR="00845B07" w:rsidRPr="00845B07" w:rsidTr="00FD5B06">
        <w:trPr>
          <w:gridAfter w:val="8"/>
          <w:wAfter w:w="2567" w:type="dxa"/>
        </w:trPr>
        <w:tc>
          <w:tcPr>
            <w:tcW w:w="3191" w:type="dxa"/>
            <w:gridSpan w:val="18"/>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right"/>
              <w:rPr>
                <w:rFonts w:asciiTheme="minorHAnsi" w:hAnsiTheme="minorHAnsi" w:cstheme="minorHAnsi"/>
                <w:b/>
                <w:sz w:val="18"/>
                <w:szCs w:val="18"/>
              </w:rPr>
            </w:pPr>
            <w:r w:rsidRPr="008D5999">
              <w:rPr>
                <w:rFonts w:asciiTheme="minorHAnsi" w:hAnsiTheme="minorHAnsi" w:cstheme="minorHAnsi"/>
                <w:b/>
                <w:sz w:val="18"/>
                <w:szCs w:val="18"/>
              </w:rPr>
              <w:t>253 841,22</w:t>
            </w:r>
          </w:p>
        </w:tc>
        <w:tc>
          <w:tcPr>
            <w:tcW w:w="2835" w:type="dxa"/>
            <w:gridSpan w:val="23"/>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right"/>
              <w:rPr>
                <w:rFonts w:asciiTheme="minorHAnsi" w:hAnsiTheme="minorHAnsi" w:cstheme="minorHAnsi"/>
                <w:b/>
                <w:sz w:val="18"/>
                <w:szCs w:val="18"/>
              </w:rPr>
            </w:pPr>
            <w:r w:rsidRPr="008D5999">
              <w:rPr>
                <w:rFonts w:asciiTheme="minorHAnsi" w:hAnsiTheme="minorHAnsi" w:cstheme="minorHAnsi"/>
                <w:b/>
                <w:sz w:val="18"/>
                <w:szCs w:val="18"/>
              </w:rPr>
              <w:t>247 364,61</w:t>
            </w:r>
          </w:p>
        </w:tc>
        <w:tc>
          <w:tcPr>
            <w:tcW w:w="1134" w:type="dxa"/>
            <w:gridSpan w:val="9"/>
            <w:tcBorders>
              <w:top w:val="single" w:sz="4" w:space="0" w:color="auto"/>
              <w:left w:val="single" w:sz="4" w:space="0" w:color="auto"/>
              <w:bottom w:val="single" w:sz="4" w:space="0" w:color="auto"/>
              <w:right w:val="single" w:sz="4" w:space="0" w:color="auto"/>
            </w:tcBorders>
          </w:tcPr>
          <w:p w:rsidR="00845B07" w:rsidRPr="008D5999" w:rsidRDefault="00845B07" w:rsidP="00FD5B06">
            <w:pPr>
              <w:jc w:val="center"/>
              <w:rPr>
                <w:rFonts w:asciiTheme="minorHAnsi" w:hAnsiTheme="minorHAnsi" w:cstheme="minorHAnsi"/>
                <w:b/>
                <w:sz w:val="18"/>
                <w:szCs w:val="18"/>
              </w:rPr>
            </w:pPr>
            <w:r w:rsidRPr="008D5999">
              <w:rPr>
                <w:rFonts w:asciiTheme="minorHAnsi" w:hAnsiTheme="minorHAnsi" w:cstheme="minorHAnsi"/>
                <w:b/>
                <w:sz w:val="18"/>
                <w:szCs w:val="18"/>
              </w:rPr>
              <w:t>97,45</w:t>
            </w:r>
          </w:p>
        </w:tc>
        <w:tc>
          <w:tcPr>
            <w:tcW w:w="2763" w:type="dxa"/>
            <w:gridSpan w:val="19"/>
            <w:tcBorders>
              <w:top w:val="single" w:sz="4" w:space="0" w:color="auto"/>
              <w:left w:val="single" w:sz="4" w:space="0" w:color="auto"/>
              <w:bottom w:val="single" w:sz="4" w:space="0" w:color="auto"/>
              <w:right w:val="single" w:sz="4" w:space="0" w:color="auto"/>
            </w:tcBorders>
          </w:tcPr>
          <w:p w:rsidR="00845B07" w:rsidRPr="008D5999" w:rsidRDefault="00845B07" w:rsidP="00845B07">
            <w:pPr>
              <w:rPr>
                <w:rFonts w:asciiTheme="minorHAnsi" w:hAnsiTheme="minorHAnsi" w:cstheme="minorHAnsi"/>
                <w:b/>
                <w:sz w:val="18"/>
                <w:szCs w:val="18"/>
              </w:rPr>
            </w:pPr>
            <w:r w:rsidRPr="008D5999">
              <w:rPr>
                <w:rFonts w:asciiTheme="minorHAnsi" w:hAnsiTheme="minorHAnsi" w:cstheme="minorHAnsi"/>
                <w:b/>
                <w:sz w:val="18"/>
                <w:szCs w:val="18"/>
              </w:rPr>
              <w:t>Výdaje po konsolidaci</w:t>
            </w:r>
          </w:p>
        </w:tc>
      </w:tr>
      <w:tr w:rsidR="00845B07" w:rsidRPr="00845B07" w:rsidTr="008D5999">
        <w:trPr>
          <w:gridAfter w:val="8"/>
          <w:wAfter w:w="2567" w:type="dxa"/>
        </w:trPr>
        <w:tc>
          <w:tcPr>
            <w:tcW w:w="460" w:type="dxa"/>
            <w:gridSpan w:val="2"/>
            <w:tcBorders>
              <w:top w:val="single" w:sz="4" w:space="0" w:color="auto"/>
            </w:tcBorders>
          </w:tcPr>
          <w:p w:rsidR="00845B07" w:rsidRPr="00845B07" w:rsidRDefault="00845B07" w:rsidP="00845B07">
            <w:pPr>
              <w:rPr>
                <w:rFonts w:asciiTheme="minorHAnsi" w:hAnsiTheme="minorHAnsi" w:cstheme="minorHAnsi"/>
                <w:b/>
                <w:sz w:val="20"/>
                <w:szCs w:val="20"/>
              </w:rPr>
            </w:pPr>
          </w:p>
        </w:tc>
        <w:tc>
          <w:tcPr>
            <w:tcW w:w="392" w:type="dxa"/>
            <w:gridSpan w:val="2"/>
            <w:tcBorders>
              <w:top w:val="single" w:sz="4" w:space="0" w:color="auto"/>
            </w:tcBorders>
          </w:tcPr>
          <w:p w:rsidR="00845B07" w:rsidRPr="00845B07" w:rsidRDefault="00845B07" w:rsidP="00845B07">
            <w:pPr>
              <w:rPr>
                <w:rFonts w:asciiTheme="minorHAnsi" w:hAnsiTheme="minorHAnsi" w:cstheme="minorHAnsi"/>
                <w:b/>
                <w:sz w:val="20"/>
                <w:szCs w:val="20"/>
              </w:rPr>
            </w:pPr>
          </w:p>
        </w:tc>
        <w:tc>
          <w:tcPr>
            <w:tcW w:w="528" w:type="dxa"/>
            <w:gridSpan w:val="2"/>
            <w:tcBorders>
              <w:top w:val="single" w:sz="4" w:space="0" w:color="auto"/>
            </w:tcBorders>
          </w:tcPr>
          <w:p w:rsidR="00845B07" w:rsidRPr="00845B07" w:rsidRDefault="00845B07" w:rsidP="00845B07">
            <w:pPr>
              <w:rPr>
                <w:rFonts w:asciiTheme="minorHAnsi" w:hAnsiTheme="minorHAnsi" w:cstheme="minorHAnsi"/>
                <w:b/>
                <w:sz w:val="20"/>
                <w:szCs w:val="20"/>
              </w:rPr>
            </w:pPr>
          </w:p>
        </w:tc>
        <w:tc>
          <w:tcPr>
            <w:tcW w:w="391" w:type="dxa"/>
            <w:gridSpan w:val="5"/>
            <w:tcBorders>
              <w:top w:val="single" w:sz="4" w:space="0" w:color="auto"/>
            </w:tcBorders>
          </w:tcPr>
          <w:p w:rsidR="00845B07" w:rsidRPr="00845B07" w:rsidRDefault="00845B07" w:rsidP="00845B07">
            <w:pPr>
              <w:rPr>
                <w:rFonts w:asciiTheme="minorHAnsi" w:hAnsiTheme="minorHAnsi" w:cstheme="minorHAnsi"/>
                <w:b/>
                <w:sz w:val="20"/>
                <w:szCs w:val="20"/>
              </w:rPr>
            </w:pPr>
          </w:p>
        </w:tc>
        <w:tc>
          <w:tcPr>
            <w:tcW w:w="529" w:type="dxa"/>
            <w:gridSpan w:val="2"/>
            <w:tcBorders>
              <w:top w:val="single" w:sz="4" w:space="0" w:color="auto"/>
            </w:tcBorders>
          </w:tcPr>
          <w:p w:rsidR="00845B07" w:rsidRPr="00845B07" w:rsidRDefault="00845B07" w:rsidP="00845B07">
            <w:pPr>
              <w:rPr>
                <w:rFonts w:asciiTheme="minorHAnsi" w:hAnsiTheme="minorHAnsi" w:cstheme="minorHAnsi"/>
                <w:b/>
                <w:sz w:val="20"/>
                <w:szCs w:val="20"/>
              </w:rPr>
            </w:pPr>
          </w:p>
        </w:tc>
        <w:tc>
          <w:tcPr>
            <w:tcW w:w="460" w:type="dxa"/>
            <w:tcBorders>
              <w:top w:val="single" w:sz="4" w:space="0" w:color="auto"/>
            </w:tcBorders>
          </w:tcPr>
          <w:p w:rsidR="00845B07" w:rsidRPr="00845B07" w:rsidRDefault="00845B07" w:rsidP="00845B07">
            <w:pPr>
              <w:rPr>
                <w:rFonts w:asciiTheme="minorHAnsi" w:hAnsiTheme="minorHAnsi" w:cstheme="minorHAnsi"/>
                <w:b/>
                <w:sz w:val="20"/>
                <w:szCs w:val="20"/>
              </w:rPr>
            </w:pPr>
          </w:p>
        </w:tc>
        <w:tc>
          <w:tcPr>
            <w:tcW w:w="460" w:type="dxa"/>
            <w:gridSpan w:val="5"/>
            <w:tcBorders>
              <w:top w:val="single" w:sz="4" w:space="0" w:color="auto"/>
            </w:tcBorders>
          </w:tcPr>
          <w:p w:rsidR="00845B07" w:rsidRPr="00845B07" w:rsidRDefault="00845B07" w:rsidP="00845B07">
            <w:pPr>
              <w:rPr>
                <w:rFonts w:asciiTheme="minorHAnsi" w:hAnsiTheme="minorHAnsi" w:cstheme="minorHAnsi"/>
                <w:b/>
                <w:sz w:val="20"/>
                <w:szCs w:val="20"/>
              </w:rPr>
            </w:pPr>
          </w:p>
        </w:tc>
        <w:tc>
          <w:tcPr>
            <w:tcW w:w="460" w:type="dxa"/>
            <w:gridSpan w:val="4"/>
            <w:tcBorders>
              <w:top w:val="single" w:sz="4" w:space="0" w:color="auto"/>
            </w:tcBorders>
          </w:tcPr>
          <w:p w:rsidR="00845B07" w:rsidRPr="00845B07" w:rsidRDefault="00845B07" w:rsidP="00845B07">
            <w:pPr>
              <w:rPr>
                <w:rFonts w:asciiTheme="minorHAnsi" w:hAnsiTheme="minorHAnsi" w:cstheme="minorHAnsi"/>
                <w:b/>
                <w:sz w:val="20"/>
                <w:szCs w:val="20"/>
              </w:rPr>
            </w:pPr>
          </w:p>
        </w:tc>
        <w:tc>
          <w:tcPr>
            <w:tcW w:w="460" w:type="dxa"/>
            <w:gridSpan w:val="2"/>
            <w:tcBorders>
              <w:top w:val="single" w:sz="4" w:space="0" w:color="auto"/>
            </w:tcBorders>
          </w:tcPr>
          <w:p w:rsidR="00845B07" w:rsidRPr="00845B07" w:rsidRDefault="00845B07" w:rsidP="00845B07">
            <w:pPr>
              <w:rPr>
                <w:rFonts w:asciiTheme="minorHAnsi" w:hAnsiTheme="minorHAnsi" w:cstheme="minorHAnsi"/>
                <w:b/>
                <w:sz w:val="20"/>
                <w:szCs w:val="20"/>
              </w:rPr>
            </w:pPr>
          </w:p>
        </w:tc>
        <w:tc>
          <w:tcPr>
            <w:tcW w:w="610" w:type="dxa"/>
            <w:gridSpan w:val="6"/>
            <w:tcBorders>
              <w:top w:val="single" w:sz="4" w:space="0" w:color="auto"/>
            </w:tcBorders>
          </w:tcPr>
          <w:p w:rsidR="00845B07" w:rsidRPr="00845B07" w:rsidRDefault="00845B07" w:rsidP="00845B07">
            <w:pPr>
              <w:rPr>
                <w:rFonts w:asciiTheme="minorHAnsi" w:hAnsiTheme="minorHAnsi" w:cstheme="minorHAnsi"/>
                <w:b/>
                <w:sz w:val="20"/>
                <w:szCs w:val="20"/>
              </w:rPr>
            </w:pPr>
          </w:p>
        </w:tc>
        <w:tc>
          <w:tcPr>
            <w:tcW w:w="310" w:type="dxa"/>
            <w:gridSpan w:val="2"/>
            <w:tcBorders>
              <w:top w:val="single" w:sz="4" w:space="0" w:color="auto"/>
            </w:tcBorders>
          </w:tcPr>
          <w:p w:rsidR="00845B07" w:rsidRPr="00845B07" w:rsidRDefault="00845B07" w:rsidP="00845B07">
            <w:pPr>
              <w:rPr>
                <w:rFonts w:asciiTheme="minorHAnsi" w:hAnsiTheme="minorHAnsi" w:cstheme="minorHAnsi"/>
                <w:b/>
                <w:sz w:val="20"/>
                <w:szCs w:val="20"/>
              </w:rPr>
            </w:pPr>
          </w:p>
        </w:tc>
        <w:tc>
          <w:tcPr>
            <w:tcW w:w="682" w:type="dxa"/>
            <w:gridSpan w:val="5"/>
            <w:tcBorders>
              <w:top w:val="single" w:sz="4" w:space="0" w:color="auto"/>
            </w:tcBorders>
          </w:tcPr>
          <w:p w:rsidR="00845B07" w:rsidRPr="00845B07" w:rsidRDefault="00845B07" w:rsidP="00845B07">
            <w:pPr>
              <w:rPr>
                <w:rFonts w:asciiTheme="minorHAnsi" w:hAnsiTheme="minorHAnsi" w:cstheme="minorHAnsi"/>
                <w:b/>
                <w:sz w:val="20"/>
                <w:szCs w:val="20"/>
              </w:rPr>
            </w:pPr>
          </w:p>
        </w:tc>
        <w:tc>
          <w:tcPr>
            <w:tcW w:w="238" w:type="dxa"/>
            <w:gridSpan w:val="2"/>
            <w:tcBorders>
              <w:top w:val="single" w:sz="4" w:space="0" w:color="auto"/>
            </w:tcBorders>
          </w:tcPr>
          <w:p w:rsidR="00845B07" w:rsidRPr="00845B07" w:rsidRDefault="00845B07" w:rsidP="00845B07">
            <w:pPr>
              <w:rPr>
                <w:rFonts w:asciiTheme="minorHAnsi" w:hAnsiTheme="minorHAnsi" w:cstheme="minorHAnsi"/>
                <w:b/>
                <w:sz w:val="20"/>
                <w:szCs w:val="20"/>
              </w:rPr>
            </w:pPr>
          </w:p>
        </w:tc>
        <w:tc>
          <w:tcPr>
            <w:tcW w:w="460" w:type="dxa"/>
            <w:gridSpan w:val="4"/>
            <w:tcBorders>
              <w:top w:val="single" w:sz="4" w:space="0" w:color="auto"/>
            </w:tcBorders>
          </w:tcPr>
          <w:p w:rsidR="00845B07" w:rsidRPr="00845B07" w:rsidRDefault="00845B07" w:rsidP="00845B07">
            <w:pPr>
              <w:rPr>
                <w:rFonts w:asciiTheme="minorHAnsi" w:hAnsiTheme="minorHAnsi" w:cstheme="minorHAnsi"/>
                <w:b/>
                <w:sz w:val="20"/>
                <w:szCs w:val="20"/>
              </w:rPr>
            </w:pPr>
          </w:p>
        </w:tc>
        <w:tc>
          <w:tcPr>
            <w:tcW w:w="460" w:type="dxa"/>
            <w:gridSpan w:val="4"/>
            <w:tcBorders>
              <w:top w:val="single" w:sz="4" w:space="0" w:color="auto"/>
            </w:tcBorders>
          </w:tcPr>
          <w:p w:rsidR="00845B07" w:rsidRPr="00845B07" w:rsidRDefault="00845B07" w:rsidP="00845B07">
            <w:pPr>
              <w:rPr>
                <w:rFonts w:asciiTheme="minorHAnsi" w:hAnsiTheme="minorHAnsi" w:cstheme="minorHAnsi"/>
                <w:b/>
                <w:sz w:val="20"/>
                <w:szCs w:val="20"/>
              </w:rPr>
            </w:pPr>
          </w:p>
        </w:tc>
        <w:tc>
          <w:tcPr>
            <w:tcW w:w="460" w:type="dxa"/>
            <w:gridSpan w:val="4"/>
            <w:tcBorders>
              <w:top w:val="single" w:sz="4" w:space="0" w:color="auto"/>
            </w:tcBorders>
          </w:tcPr>
          <w:p w:rsidR="00845B07" w:rsidRPr="00845B07" w:rsidRDefault="00845B07" w:rsidP="00845B07">
            <w:pPr>
              <w:rPr>
                <w:rFonts w:asciiTheme="minorHAnsi" w:hAnsiTheme="minorHAnsi" w:cstheme="minorHAnsi"/>
                <w:b/>
                <w:sz w:val="20"/>
                <w:szCs w:val="20"/>
              </w:rPr>
            </w:pPr>
          </w:p>
        </w:tc>
        <w:tc>
          <w:tcPr>
            <w:tcW w:w="460" w:type="dxa"/>
            <w:gridSpan w:val="4"/>
            <w:tcBorders>
              <w:top w:val="single" w:sz="4" w:space="0" w:color="auto"/>
            </w:tcBorders>
          </w:tcPr>
          <w:p w:rsidR="00845B07" w:rsidRPr="00845B07" w:rsidRDefault="00845B07" w:rsidP="00845B07">
            <w:pPr>
              <w:rPr>
                <w:rFonts w:asciiTheme="minorHAnsi" w:hAnsiTheme="minorHAnsi" w:cstheme="minorHAnsi"/>
                <w:b/>
                <w:sz w:val="20"/>
                <w:szCs w:val="20"/>
              </w:rPr>
            </w:pPr>
          </w:p>
        </w:tc>
        <w:tc>
          <w:tcPr>
            <w:tcW w:w="460" w:type="dxa"/>
            <w:gridSpan w:val="3"/>
            <w:tcBorders>
              <w:top w:val="single" w:sz="4" w:space="0" w:color="auto"/>
            </w:tcBorders>
          </w:tcPr>
          <w:p w:rsidR="00845B07" w:rsidRPr="00845B07" w:rsidRDefault="00845B07" w:rsidP="00845B07">
            <w:pPr>
              <w:rPr>
                <w:rFonts w:asciiTheme="minorHAnsi" w:hAnsiTheme="minorHAnsi" w:cstheme="minorHAnsi"/>
                <w:b/>
                <w:sz w:val="20"/>
                <w:szCs w:val="20"/>
              </w:rPr>
            </w:pPr>
          </w:p>
        </w:tc>
        <w:tc>
          <w:tcPr>
            <w:tcW w:w="460" w:type="dxa"/>
            <w:gridSpan w:val="3"/>
            <w:tcBorders>
              <w:top w:val="single" w:sz="4" w:space="0" w:color="auto"/>
            </w:tcBorders>
          </w:tcPr>
          <w:p w:rsidR="00845B07" w:rsidRPr="00845B07" w:rsidRDefault="00845B07" w:rsidP="00845B07">
            <w:pPr>
              <w:rPr>
                <w:rFonts w:asciiTheme="minorHAnsi" w:hAnsiTheme="minorHAnsi" w:cstheme="minorHAnsi"/>
                <w:b/>
                <w:sz w:val="20"/>
                <w:szCs w:val="20"/>
              </w:rPr>
            </w:pPr>
          </w:p>
        </w:tc>
        <w:tc>
          <w:tcPr>
            <w:tcW w:w="1183" w:type="dxa"/>
            <w:gridSpan w:val="7"/>
            <w:tcBorders>
              <w:top w:val="single" w:sz="4" w:space="0" w:color="auto"/>
            </w:tcBorders>
          </w:tcPr>
          <w:p w:rsidR="00845B07" w:rsidRPr="00845B07" w:rsidRDefault="00845B07" w:rsidP="00845B07">
            <w:pPr>
              <w:rPr>
                <w:rFonts w:asciiTheme="minorHAnsi" w:hAnsiTheme="minorHAnsi" w:cstheme="minorHAnsi"/>
                <w:b/>
                <w:sz w:val="20"/>
                <w:szCs w:val="20"/>
              </w:rPr>
            </w:pPr>
          </w:p>
        </w:tc>
      </w:tr>
      <w:tr w:rsidR="00845B07" w:rsidRPr="00845B07" w:rsidTr="00845B07">
        <w:trPr>
          <w:gridAfter w:val="8"/>
          <w:wAfter w:w="2567" w:type="dxa"/>
        </w:trPr>
        <w:tc>
          <w:tcPr>
            <w:tcW w:w="9923" w:type="dxa"/>
            <w:gridSpan w:val="69"/>
          </w:tcPr>
          <w:p w:rsidR="00845B07" w:rsidRPr="00845B07" w:rsidRDefault="00845B07" w:rsidP="00845B07">
            <w:pPr>
              <w:rPr>
                <w:rFonts w:asciiTheme="minorHAnsi" w:hAnsiTheme="minorHAnsi" w:cstheme="minorHAnsi"/>
                <w:b/>
                <w:sz w:val="20"/>
                <w:szCs w:val="20"/>
              </w:rPr>
            </w:pPr>
            <w:r w:rsidRPr="00845B07">
              <w:rPr>
                <w:rFonts w:asciiTheme="minorHAnsi" w:hAnsiTheme="minorHAnsi" w:cstheme="minorHAnsi"/>
                <w:b/>
                <w:sz w:val="20"/>
                <w:szCs w:val="20"/>
              </w:rPr>
              <w:t>Stručný komentář k celkovému vývoji čerpání výdajů kapitoly ve sledovaném období</w:t>
            </w:r>
          </w:p>
        </w:tc>
      </w:tr>
      <w:tr w:rsidR="00845B07" w:rsidRPr="00845B07" w:rsidTr="00845B07">
        <w:trPr>
          <w:gridAfter w:val="8"/>
          <w:wAfter w:w="2567" w:type="dxa"/>
        </w:trPr>
        <w:tc>
          <w:tcPr>
            <w:tcW w:w="460" w:type="dxa"/>
            <w:gridSpan w:val="2"/>
          </w:tcPr>
          <w:p w:rsidR="00845B07" w:rsidRPr="00845B07" w:rsidRDefault="00845B07" w:rsidP="00845B07">
            <w:pPr>
              <w:rPr>
                <w:rFonts w:asciiTheme="minorHAnsi" w:hAnsiTheme="minorHAnsi" w:cstheme="minorHAnsi"/>
                <w:b/>
                <w:sz w:val="20"/>
                <w:szCs w:val="20"/>
              </w:rPr>
            </w:pPr>
          </w:p>
        </w:tc>
        <w:tc>
          <w:tcPr>
            <w:tcW w:w="392" w:type="dxa"/>
            <w:gridSpan w:val="2"/>
          </w:tcPr>
          <w:p w:rsidR="00845B07" w:rsidRPr="00845B07" w:rsidRDefault="00845B07" w:rsidP="00845B07">
            <w:pPr>
              <w:rPr>
                <w:rFonts w:asciiTheme="minorHAnsi" w:hAnsiTheme="minorHAnsi" w:cstheme="minorHAnsi"/>
                <w:b/>
                <w:sz w:val="20"/>
                <w:szCs w:val="20"/>
              </w:rPr>
            </w:pPr>
          </w:p>
        </w:tc>
        <w:tc>
          <w:tcPr>
            <w:tcW w:w="528" w:type="dxa"/>
            <w:gridSpan w:val="2"/>
          </w:tcPr>
          <w:p w:rsidR="00845B07" w:rsidRPr="00845B07" w:rsidRDefault="00845B07" w:rsidP="00845B07">
            <w:pPr>
              <w:rPr>
                <w:rFonts w:asciiTheme="minorHAnsi" w:hAnsiTheme="minorHAnsi" w:cstheme="minorHAnsi"/>
                <w:b/>
                <w:sz w:val="20"/>
                <w:szCs w:val="20"/>
              </w:rPr>
            </w:pPr>
          </w:p>
        </w:tc>
        <w:tc>
          <w:tcPr>
            <w:tcW w:w="460" w:type="dxa"/>
            <w:gridSpan w:val="6"/>
          </w:tcPr>
          <w:p w:rsidR="00845B07" w:rsidRPr="00845B07" w:rsidRDefault="00845B07" w:rsidP="00845B07">
            <w:pPr>
              <w:rPr>
                <w:rFonts w:asciiTheme="minorHAnsi" w:hAnsiTheme="minorHAnsi" w:cstheme="minorHAnsi"/>
                <w:b/>
                <w:sz w:val="20"/>
                <w:szCs w:val="20"/>
              </w:rPr>
            </w:pPr>
          </w:p>
        </w:tc>
        <w:tc>
          <w:tcPr>
            <w:tcW w:w="460" w:type="dxa"/>
          </w:tcPr>
          <w:p w:rsidR="00845B07" w:rsidRPr="00845B07" w:rsidRDefault="00845B07" w:rsidP="00845B07">
            <w:pPr>
              <w:rPr>
                <w:rFonts w:asciiTheme="minorHAnsi" w:hAnsiTheme="minorHAnsi" w:cstheme="minorHAnsi"/>
                <w:b/>
                <w:sz w:val="20"/>
                <w:szCs w:val="20"/>
              </w:rPr>
            </w:pPr>
          </w:p>
        </w:tc>
        <w:tc>
          <w:tcPr>
            <w:tcW w:w="460" w:type="dxa"/>
          </w:tcPr>
          <w:p w:rsidR="00845B07" w:rsidRPr="00845B07" w:rsidRDefault="00845B07" w:rsidP="00845B07">
            <w:pPr>
              <w:rPr>
                <w:rFonts w:asciiTheme="minorHAnsi" w:hAnsiTheme="minorHAnsi" w:cstheme="minorHAnsi"/>
                <w:b/>
                <w:sz w:val="20"/>
                <w:szCs w:val="20"/>
              </w:rPr>
            </w:pPr>
          </w:p>
        </w:tc>
        <w:tc>
          <w:tcPr>
            <w:tcW w:w="460" w:type="dxa"/>
            <w:gridSpan w:val="5"/>
          </w:tcPr>
          <w:p w:rsidR="00845B07" w:rsidRPr="00845B07" w:rsidRDefault="00845B07" w:rsidP="00845B07">
            <w:pPr>
              <w:rPr>
                <w:rFonts w:asciiTheme="minorHAnsi" w:hAnsiTheme="minorHAnsi" w:cstheme="minorHAnsi"/>
                <w:b/>
                <w:sz w:val="20"/>
                <w:szCs w:val="20"/>
              </w:rPr>
            </w:pPr>
          </w:p>
        </w:tc>
        <w:tc>
          <w:tcPr>
            <w:tcW w:w="460" w:type="dxa"/>
            <w:gridSpan w:val="4"/>
          </w:tcPr>
          <w:p w:rsidR="00845B07" w:rsidRPr="00845B07" w:rsidRDefault="00845B07" w:rsidP="00845B07">
            <w:pPr>
              <w:rPr>
                <w:rFonts w:asciiTheme="minorHAnsi" w:hAnsiTheme="minorHAnsi" w:cstheme="minorHAnsi"/>
                <w:b/>
                <w:sz w:val="20"/>
                <w:szCs w:val="20"/>
              </w:rPr>
            </w:pPr>
          </w:p>
        </w:tc>
        <w:tc>
          <w:tcPr>
            <w:tcW w:w="460" w:type="dxa"/>
            <w:gridSpan w:val="2"/>
          </w:tcPr>
          <w:p w:rsidR="00845B07" w:rsidRPr="00845B07" w:rsidRDefault="00845B07" w:rsidP="00845B07">
            <w:pPr>
              <w:rPr>
                <w:rFonts w:asciiTheme="minorHAnsi" w:hAnsiTheme="minorHAnsi" w:cstheme="minorHAnsi"/>
                <w:b/>
                <w:sz w:val="20"/>
                <w:szCs w:val="20"/>
              </w:rPr>
            </w:pPr>
          </w:p>
        </w:tc>
        <w:tc>
          <w:tcPr>
            <w:tcW w:w="610" w:type="dxa"/>
            <w:gridSpan w:val="6"/>
          </w:tcPr>
          <w:p w:rsidR="00845B07" w:rsidRPr="00845B07" w:rsidRDefault="00845B07" w:rsidP="00845B07">
            <w:pPr>
              <w:rPr>
                <w:rFonts w:asciiTheme="minorHAnsi" w:hAnsiTheme="minorHAnsi" w:cstheme="minorHAnsi"/>
                <w:b/>
                <w:sz w:val="20"/>
                <w:szCs w:val="20"/>
              </w:rPr>
            </w:pPr>
          </w:p>
        </w:tc>
        <w:tc>
          <w:tcPr>
            <w:tcW w:w="310" w:type="dxa"/>
            <w:gridSpan w:val="2"/>
          </w:tcPr>
          <w:p w:rsidR="00845B07" w:rsidRPr="00845B07" w:rsidRDefault="00845B07" w:rsidP="00845B07">
            <w:pPr>
              <w:rPr>
                <w:rFonts w:asciiTheme="minorHAnsi" w:hAnsiTheme="minorHAnsi" w:cstheme="minorHAnsi"/>
                <w:b/>
                <w:sz w:val="20"/>
                <w:szCs w:val="20"/>
              </w:rPr>
            </w:pPr>
          </w:p>
        </w:tc>
        <w:tc>
          <w:tcPr>
            <w:tcW w:w="682" w:type="dxa"/>
            <w:gridSpan w:val="5"/>
          </w:tcPr>
          <w:p w:rsidR="00845B07" w:rsidRPr="00845B07" w:rsidRDefault="00845B07" w:rsidP="00845B07">
            <w:pPr>
              <w:rPr>
                <w:rFonts w:asciiTheme="minorHAnsi" w:hAnsiTheme="minorHAnsi" w:cstheme="minorHAnsi"/>
                <w:b/>
                <w:sz w:val="20"/>
                <w:szCs w:val="20"/>
              </w:rPr>
            </w:pPr>
          </w:p>
        </w:tc>
        <w:tc>
          <w:tcPr>
            <w:tcW w:w="238" w:type="dxa"/>
            <w:gridSpan w:val="2"/>
          </w:tcPr>
          <w:p w:rsidR="00845B07" w:rsidRPr="00845B07" w:rsidRDefault="00845B07" w:rsidP="00845B07">
            <w:pPr>
              <w:rPr>
                <w:rFonts w:asciiTheme="minorHAnsi" w:hAnsiTheme="minorHAnsi" w:cstheme="minorHAnsi"/>
                <w:b/>
                <w:sz w:val="20"/>
                <w:szCs w:val="20"/>
              </w:rPr>
            </w:pPr>
          </w:p>
        </w:tc>
        <w:tc>
          <w:tcPr>
            <w:tcW w:w="460" w:type="dxa"/>
            <w:gridSpan w:val="4"/>
          </w:tcPr>
          <w:p w:rsidR="00845B07" w:rsidRPr="00845B07" w:rsidRDefault="00845B07" w:rsidP="00845B07">
            <w:pPr>
              <w:rPr>
                <w:rFonts w:asciiTheme="minorHAnsi" w:hAnsiTheme="minorHAnsi" w:cstheme="minorHAnsi"/>
                <w:b/>
                <w:sz w:val="20"/>
                <w:szCs w:val="20"/>
              </w:rPr>
            </w:pPr>
          </w:p>
        </w:tc>
        <w:tc>
          <w:tcPr>
            <w:tcW w:w="460" w:type="dxa"/>
            <w:gridSpan w:val="4"/>
          </w:tcPr>
          <w:p w:rsidR="00845B07" w:rsidRPr="00845B07" w:rsidRDefault="00845B07" w:rsidP="00845B07">
            <w:pPr>
              <w:rPr>
                <w:rFonts w:asciiTheme="minorHAnsi" w:hAnsiTheme="minorHAnsi" w:cstheme="minorHAnsi"/>
                <w:b/>
                <w:sz w:val="20"/>
                <w:szCs w:val="20"/>
              </w:rPr>
            </w:pPr>
          </w:p>
        </w:tc>
        <w:tc>
          <w:tcPr>
            <w:tcW w:w="460" w:type="dxa"/>
            <w:gridSpan w:val="4"/>
          </w:tcPr>
          <w:p w:rsidR="00845B07" w:rsidRPr="00845B07" w:rsidRDefault="00845B07" w:rsidP="00845B07">
            <w:pPr>
              <w:rPr>
                <w:rFonts w:asciiTheme="minorHAnsi" w:hAnsiTheme="minorHAnsi" w:cstheme="minorHAnsi"/>
                <w:b/>
                <w:sz w:val="20"/>
                <w:szCs w:val="20"/>
              </w:rPr>
            </w:pPr>
          </w:p>
        </w:tc>
        <w:tc>
          <w:tcPr>
            <w:tcW w:w="460" w:type="dxa"/>
            <w:gridSpan w:val="4"/>
          </w:tcPr>
          <w:p w:rsidR="00845B07" w:rsidRPr="00845B07" w:rsidRDefault="00845B07" w:rsidP="00845B07">
            <w:pPr>
              <w:rPr>
                <w:rFonts w:asciiTheme="minorHAnsi" w:hAnsiTheme="minorHAnsi" w:cstheme="minorHAnsi"/>
                <w:b/>
                <w:sz w:val="20"/>
                <w:szCs w:val="20"/>
              </w:rPr>
            </w:pPr>
          </w:p>
        </w:tc>
        <w:tc>
          <w:tcPr>
            <w:tcW w:w="460" w:type="dxa"/>
            <w:gridSpan w:val="3"/>
          </w:tcPr>
          <w:p w:rsidR="00845B07" w:rsidRPr="00845B07" w:rsidRDefault="00845B07" w:rsidP="00845B07">
            <w:pPr>
              <w:rPr>
                <w:rFonts w:asciiTheme="minorHAnsi" w:hAnsiTheme="minorHAnsi" w:cstheme="minorHAnsi"/>
                <w:b/>
                <w:sz w:val="20"/>
                <w:szCs w:val="20"/>
              </w:rPr>
            </w:pPr>
          </w:p>
        </w:tc>
        <w:tc>
          <w:tcPr>
            <w:tcW w:w="460" w:type="dxa"/>
            <w:gridSpan w:val="3"/>
          </w:tcPr>
          <w:p w:rsidR="00845B07" w:rsidRPr="00845B07" w:rsidRDefault="00845B07" w:rsidP="00845B07">
            <w:pPr>
              <w:rPr>
                <w:rFonts w:asciiTheme="minorHAnsi" w:hAnsiTheme="minorHAnsi" w:cstheme="minorHAnsi"/>
                <w:b/>
                <w:sz w:val="20"/>
                <w:szCs w:val="20"/>
              </w:rPr>
            </w:pPr>
          </w:p>
        </w:tc>
        <w:tc>
          <w:tcPr>
            <w:tcW w:w="1183" w:type="dxa"/>
            <w:gridSpan w:val="7"/>
          </w:tcPr>
          <w:p w:rsidR="00845B07" w:rsidRPr="00845B07" w:rsidRDefault="00845B07" w:rsidP="00845B07">
            <w:pPr>
              <w:rPr>
                <w:rFonts w:asciiTheme="minorHAnsi" w:hAnsiTheme="minorHAnsi" w:cstheme="minorHAnsi"/>
                <w:b/>
                <w:sz w:val="20"/>
                <w:szCs w:val="20"/>
              </w:rPr>
            </w:pPr>
          </w:p>
        </w:tc>
      </w:tr>
      <w:tr w:rsidR="00845B07" w:rsidRPr="00845B07" w:rsidTr="00845B07">
        <w:trPr>
          <w:gridAfter w:val="8"/>
          <w:wAfter w:w="2567" w:type="dxa"/>
        </w:trPr>
        <w:tc>
          <w:tcPr>
            <w:tcW w:w="9923" w:type="dxa"/>
            <w:gridSpan w:val="69"/>
            <w:tcBorders>
              <w:top w:val="single" w:sz="6" w:space="0" w:color="auto"/>
              <w:left w:val="single" w:sz="6" w:space="0" w:color="auto"/>
              <w:bottom w:val="single" w:sz="6" w:space="0" w:color="auto"/>
              <w:right w:val="single" w:sz="6" w:space="0" w:color="auto"/>
            </w:tcBorders>
          </w:tcPr>
          <w:p w:rsidR="00845B07" w:rsidRPr="00845B07" w:rsidRDefault="00845B07" w:rsidP="00845B07">
            <w:pPr>
              <w:jc w:val="both"/>
              <w:rPr>
                <w:rFonts w:asciiTheme="minorHAnsi" w:hAnsiTheme="minorHAnsi" w:cstheme="minorHAnsi"/>
                <w:sz w:val="20"/>
                <w:szCs w:val="20"/>
              </w:rPr>
            </w:pPr>
            <w:r w:rsidRPr="00845B07">
              <w:rPr>
                <w:rFonts w:asciiTheme="minorHAnsi" w:hAnsiTheme="minorHAnsi" w:cstheme="minorHAnsi"/>
                <w:sz w:val="20"/>
                <w:szCs w:val="20"/>
              </w:rPr>
              <w:t>Kapitola 90 – správa a údržba majetku města vykázala plnění výdajové části k 31. 12. 2022 na 97,45 %. Čerpání položek bylo vcelku rovnoměrné a odpovídalo uzavřeným smlouvám se společností Domovní správa</w:t>
            </w:r>
            <w:r w:rsidR="00FD5B06">
              <w:rPr>
                <w:rFonts w:asciiTheme="minorHAnsi" w:hAnsiTheme="minorHAnsi" w:cstheme="minorHAnsi"/>
                <w:sz w:val="20"/>
                <w:szCs w:val="20"/>
              </w:rPr>
              <w:t xml:space="preserve"> Prostějov, s.r.o., na správu a </w:t>
            </w:r>
            <w:r w:rsidRPr="00845B07">
              <w:rPr>
                <w:rFonts w:asciiTheme="minorHAnsi" w:hAnsiTheme="minorHAnsi" w:cstheme="minorHAnsi"/>
                <w:sz w:val="20"/>
                <w:szCs w:val="20"/>
              </w:rPr>
              <w:t>údržbu bytů a nebytových prostor a výkon dalších práv a povinností, společností FCC, s.r.o., na správu a údržbu veřejných komunikací, veřejné zeleně a dětských hřišť, hřbitovů a čištění města, společností ELTODO, a.s., na správu a údržbu veřejného osvětlení a společností úklidová firma Prachovka s.r.o., na údržbu veřejných WC. Většina položek je splněna mezi 85 – 100 %, nižší čerpání pak vykazují ty položky, kde jsou finanční prostředky využívány dle aktuální potřeby (opravy, nákup materiálu apod.).</w:t>
            </w:r>
          </w:p>
        </w:tc>
      </w:tr>
      <w:tr w:rsidR="00845B07" w:rsidRPr="00845B07" w:rsidTr="00845B07">
        <w:trPr>
          <w:gridAfter w:val="8"/>
          <w:wAfter w:w="2567" w:type="dxa"/>
        </w:trPr>
        <w:tc>
          <w:tcPr>
            <w:tcW w:w="460" w:type="dxa"/>
            <w:gridSpan w:val="2"/>
          </w:tcPr>
          <w:p w:rsidR="00845B07" w:rsidRPr="00845B07" w:rsidRDefault="00845B07" w:rsidP="00845B07">
            <w:pPr>
              <w:rPr>
                <w:rFonts w:asciiTheme="minorHAnsi" w:hAnsiTheme="minorHAnsi" w:cstheme="minorHAnsi"/>
                <w:b/>
                <w:sz w:val="20"/>
                <w:szCs w:val="20"/>
              </w:rPr>
            </w:pPr>
          </w:p>
        </w:tc>
        <w:tc>
          <w:tcPr>
            <w:tcW w:w="392" w:type="dxa"/>
            <w:gridSpan w:val="2"/>
          </w:tcPr>
          <w:p w:rsidR="00845B07" w:rsidRPr="00845B07" w:rsidRDefault="00845B07" w:rsidP="00845B07">
            <w:pPr>
              <w:rPr>
                <w:rFonts w:asciiTheme="minorHAnsi" w:hAnsiTheme="minorHAnsi" w:cstheme="minorHAnsi"/>
                <w:b/>
                <w:sz w:val="20"/>
                <w:szCs w:val="20"/>
              </w:rPr>
            </w:pPr>
          </w:p>
        </w:tc>
        <w:tc>
          <w:tcPr>
            <w:tcW w:w="528" w:type="dxa"/>
            <w:gridSpan w:val="2"/>
          </w:tcPr>
          <w:p w:rsidR="00845B07" w:rsidRPr="00845B07" w:rsidRDefault="00845B07" w:rsidP="00845B07">
            <w:pPr>
              <w:rPr>
                <w:rFonts w:asciiTheme="minorHAnsi" w:hAnsiTheme="minorHAnsi" w:cstheme="minorHAnsi"/>
                <w:b/>
                <w:sz w:val="20"/>
                <w:szCs w:val="20"/>
              </w:rPr>
            </w:pPr>
          </w:p>
        </w:tc>
        <w:tc>
          <w:tcPr>
            <w:tcW w:w="460" w:type="dxa"/>
            <w:gridSpan w:val="6"/>
          </w:tcPr>
          <w:p w:rsidR="00845B07" w:rsidRPr="00845B07" w:rsidRDefault="00845B07" w:rsidP="00845B07">
            <w:pPr>
              <w:rPr>
                <w:rFonts w:asciiTheme="minorHAnsi" w:hAnsiTheme="minorHAnsi" w:cstheme="minorHAnsi"/>
                <w:b/>
                <w:sz w:val="20"/>
                <w:szCs w:val="20"/>
              </w:rPr>
            </w:pPr>
          </w:p>
        </w:tc>
        <w:tc>
          <w:tcPr>
            <w:tcW w:w="460" w:type="dxa"/>
          </w:tcPr>
          <w:p w:rsidR="00845B07" w:rsidRPr="00845B07" w:rsidRDefault="00845B07" w:rsidP="00845B07">
            <w:pPr>
              <w:rPr>
                <w:rFonts w:asciiTheme="minorHAnsi" w:hAnsiTheme="minorHAnsi" w:cstheme="minorHAnsi"/>
                <w:b/>
                <w:sz w:val="20"/>
                <w:szCs w:val="20"/>
              </w:rPr>
            </w:pPr>
          </w:p>
        </w:tc>
        <w:tc>
          <w:tcPr>
            <w:tcW w:w="460" w:type="dxa"/>
          </w:tcPr>
          <w:p w:rsidR="00845B07" w:rsidRPr="00845B07" w:rsidRDefault="00845B07" w:rsidP="00845B07">
            <w:pPr>
              <w:rPr>
                <w:rFonts w:asciiTheme="minorHAnsi" w:hAnsiTheme="minorHAnsi" w:cstheme="minorHAnsi"/>
                <w:b/>
                <w:sz w:val="20"/>
                <w:szCs w:val="20"/>
              </w:rPr>
            </w:pPr>
          </w:p>
        </w:tc>
        <w:tc>
          <w:tcPr>
            <w:tcW w:w="460" w:type="dxa"/>
            <w:gridSpan w:val="5"/>
          </w:tcPr>
          <w:p w:rsidR="00845B07" w:rsidRPr="00845B07" w:rsidRDefault="00845B07" w:rsidP="00845B07">
            <w:pPr>
              <w:rPr>
                <w:rFonts w:asciiTheme="minorHAnsi" w:hAnsiTheme="minorHAnsi" w:cstheme="minorHAnsi"/>
                <w:b/>
                <w:sz w:val="20"/>
                <w:szCs w:val="20"/>
              </w:rPr>
            </w:pPr>
          </w:p>
        </w:tc>
        <w:tc>
          <w:tcPr>
            <w:tcW w:w="460" w:type="dxa"/>
            <w:gridSpan w:val="4"/>
          </w:tcPr>
          <w:p w:rsidR="00845B07" w:rsidRPr="00845B07" w:rsidRDefault="00845B07" w:rsidP="00845B07">
            <w:pPr>
              <w:rPr>
                <w:rFonts w:asciiTheme="minorHAnsi" w:hAnsiTheme="minorHAnsi" w:cstheme="minorHAnsi"/>
                <w:b/>
                <w:sz w:val="20"/>
                <w:szCs w:val="20"/>
              </w:rPr>
            </w:pPr>
          </w:p>
        </w:tc>
        <w:tc>
          <w:tcPr>
            <w:tcW w:w="460" w:type="dxa"/>
            <w:gridSpan w:val="2"/>
          </w:tcPr>
          <w:p w:rsidR="00845B07" w:rsidRPr="00845B07" w:rsidRDefault="00845B07" w:rsidP="00845B07">
            <w:pPr>
              <w:rPr>
                <w:rFonts w:asciiTheme="minorHAnsi" w:hAnsiTheme="minorHAnsi" w:cstheme="minorHAnsi"/>
                <w:b/>
                <w:sz w:val="20"/>
                <w:szCs w:val="20"/>
              </w:rPr>
            </w:pPr>
          </w:p>
        </w:tc>
        <w:tc>
          <w:tcPr>
            <w:tcW w:w="610" w:type="dxa"/>
            <w:gridSpan w:val="6"/>
          </w:tcPr>
          <w:p w:rsidR="00845B07" w:rsidRPr="00845B07" w:rsidRDefault="00845B07" w:rsidP="00845B07">
            <w:pPr>
              <w:rPr>
                <w:rFonts w:asciiTheme="minorHAnsi" w:hAnsiTheme="minorHAnsi" w:cstheme="minorHAnsi"/>
                <w:b/>
                <w:sz w:val="20"/>
                <w:szCs w:val="20"/>
              </w:rPr>
            </w:pPr>
          </w:p>
        </w:tc>
        <w:tc>
          <w:tcPr>
            <w:tcW w:w="310" w:type="dxa"/>
            <w:gridSpan w:val="2"/>
          </w:tcPr>
          <w:p w:rsidR="00845B07" w:rsidRPr="00845B07" w:rsidRDefault="00845B07" w:rsidP="00845B07">
            <w:pPr>
              <w:rPr>
                <w:rFonts w:asciiTheme="minorHAnsi" w:hAnsiTheme="minorHAnsi" w:cstheme="minorHAnsi"/>
                <w:b/>
                <w:sz w:val="20"/>
                <w:szCs w:val="20"/>
              </w:rPr>
            </w:pPr>
          </w:p>
        </w:tc>
        <w:tc>
          <w:tcPr>
            <w:tcW w:w="682" w:type="dxa"/>
            <w:gridSpan w:val="5"/>
          </w:tcPr>
          <w:p w:rsidR="00845B07" w:rsidRPr="00845B07" w:rsidRDefault="00845B07" w:rsidP="00845B07">
            <w:pPr>
              <w:rPr>
                <w:rFonts w:asciiTheme="minorHAnsi" w:hAnsiTheme="minorHAnsi" w:cstheme="minorHAnsi"/>
                <w:b/>
                <w:sz w:val="20"/>
                <w:szCs w:val="20"/>
              </w:rPr>
            </w:pPr>
          </w:p>
        </w:tc>
        <w:tc>
          <w:tcPr>
            <w:tcW w:w="238" w:type="dxa"/>
            <w:gridSpan w:val="2"/>
          </w:tcPr>
          <w:p w:rsidR="00845B07" w:rsidRPr="00845B07" w:rsidRDefault="00845B07" w:rsidP="00845B07">
            <w:pPr>
              <w:rPr>
                <w:rFonts w:asciiTheme="minorHAnsi" w:hAnsiTheme="minorHAnsi" w:cstheme="minorHAnsi"/>
                <w:b/>
                <w:sz w:val="20"/>
                <w:szCs w:val="20"/>
              </w:rPr>
            </w:pPr>
          </w:p>
        </w:tc>
        <w:tc>
          <w:tcPr>
            <w:tcW w:w="460" w:type="dxa"/>
            <w:gridSpan w:val="4"/>
          </w:tcPr>
          <w:p w:rsidR="00845B07" w:rsidRPr="00845B07" w:rsidRDefault="00845B07" w:rsidP="00845B07">
            <w:pPr>
              <w:rPr>
                <w:rFonts w:asciiTheme="minorHAnsi" w:hAnsiTheme="minorHAnsi" w:cstheme="minorHAnsi"/>
                <w:b/>
                <w:sz w:val="20"/>
                <w:szCs w:val="20"/>
              </w:rPr>
            </w:pPr>
          </w:p>
        </w:tc>
        <w:tc>
          <w:tcPr>
            <w:tcW w:w="460" w:type="dxa"/>
            <w:gridSpan w:val="4"/>
          </w:tcPr>
          <w:p w:rsidR="00845B07" w:rsidRPr="00845B07" w:rsidRDefault="00845B07" w:rsidP="00845B07">
            <w:pPr>
              <w:rPr>
                <w:rFonts w:asciiTheme="minorHAnsi" w:hAnsiTheme="minorHAnsi" w:cstheme="minorHAnsi"/>
                <w:b/>
                <w:sz w:val="20"/>
                <w:szCs w:val="20"/>
              </w:rPr>
            </w:pPr>
          </w:p>
        </w:tc>
        <w:tc>
          <w:tcPr>
            <w:tcW w:w="460" w:type="dxa"/>
            <w:gridSpan w:val="4"/>
          </w:tcPr>
          <w:p w:rsidR="00845B07" w:rsidRPr="00845B07" w:rsidRDefault="00845B07" w:rsidP="00845B07">
            <w:pPr>
              <w:rPr>
                <w:rFonts w:asciiTheme="minorHAnsi" w:hAnsiTheme="minorHAnsi" w:cstheme="minorHAnsi"/>
                <w:b/>
                <w:sz w:val="20"/>
                <w:szCs w:val="20"/>
              </w:rPr>
            </w:pPr>
          </w:p>
        </w:tc>
        <w:tc>
          <w:tcPr>
            <w:tcW w:w="460" w:type="dxa"/>
            <w:gridSpan w:val="4"/>
          </w:tcPr>
          <w:p w:rsidR="00845B07" w:rsidRPr="00845B07" w:rsidRDefault="00845B07" w:rsidP="00845B07">
            <w:pPr>
              <w:rPr>
                <w:rFonts w:asciiTheme="minorHAnsi" w:hAnsiTheme="minorHAnsi" w:cstheme="minorHAnsi"/>
                <w:b/>
                <w:sz w:val="20"/>
                <w:szCs w:val="20"/>
              </w:rPr>
            </w:pPr>
          </w:p>
        </w:tc>
        <w:tc>
          <w:tcPr>
            <w:tcW w:w="460" w:type="dxa"/>
            <w:gridSpan w:val="3"/>
          </w:tcPr>
          <w:p w:rsidR="00845B07" w:rsidRPr="00845B07" w:rsidRDefault="00845B07" w:rsidP="00845B07">
            <w:pPr>
              <w:rPr>
                <w:rFonts w:asciiTheme="minorHAnsi" w:hAnsiTheme="minorHAnsi" w:cstheme="minorHAnsi"/>
                <w:b/>
                <w:sz w:val="20"/>
                <w:szCs w:val="20"/>
              </w:rPr>
            </w:pPr>
          </w:p>
        </w:tc>
        <w:tc>
          <w:tcPr>
            <w:tcW w:w="460" w:type="dxa"/>
            <w:gridSpan w:val="3"/>
          </w:tcPr>
          <w:p w:rsidR="00845B07" w:rsidRPr="00845B07" w:rsidRDefault="00845B07" w:rsidP="00845B07">
            <w:pPr>
              <w:rPr>
                <w:rFonts w:asciiTheme="minorHAnsi" w:hAnsiTheme="minorHAnsi" w:cstheme="minorHAnsi"/>
                <w:b/>
                <w:sz w:val="20"/>
                <w:szCs w:val="20"/>
              </w:rPr>
            </w:pPr>
          </w:p>
        </w:tc>
        <w:tc>
          <w:tcPr>
            <w:tcW w:w="1183" w:type="dxa"/>
            <w:gridSpan w:val="7"/>
          </w:tcPr>
          <w:p w:rsidR="00845B07" w:rsidRPr="00845B07" w:rsidRDefault="00845B07" w:rsidP="00845B07">
            <w:pPr>
              <w:rPr>
                <w:rFonts w:asciiTheme="minorHAnsi" w:hAnsiTheme="minorHAnsi" w:cstheme="minorHAnsi"/>
                <w:b/>
                <w:sz w:val="20"/>
                <w:szCs w:val="20"/>
              </w:rPr>
            </w:pPr>
          </w:p>
        </w:tc>
      </w:tr>
      <w:tr w:rsidR="00845B07" w:rsidRPr="00845B07" w:rsidTr="00845B07">
        <w:trPr>
          <w:gridAfter w:val="8"/>
          <w:wAfter w:w="2567" w:type="dxa"/>
        </w:trPr>
        <w:tc>
          <w:tcPr>
            <w:tcW w:w="9923" w:type="dxa"/>
            <w:gridSpan w:val="69"/>
          </w:tcPr>
          <w:p w:rsidR="00845B07" w:rsidRPr="00845B07" w:rsidRDefault="00845B07" w:rsidP="00845B07">
            <w:pPr>
              <w:rPr>
                <w:rFonts w:asciiTheme="minorHAnsi" w:hAnsiTheme="minorHAnsi" w:cstheme="minorHAnsi"/>
                <w:b/>
                <w:sz w:val="20"/>
                <w:szCs w:val="20"/>
              </w:rPr>
            </w:pPr>
            <w:r w:rsidRPr="00845B07">
              <w:rPr>
                <w:rFonts w:asciiTheme="minorHAnsi" w:hAnsiTheme="minorHAnsi" w:cstheme="minorHAnsi"/>
                <w:b/>
                <w:sz w:val="20"/>
                <w:szCs w:val="20"/>
              </w:rPr>
              <w:t>Komentář k položkám (akcím), které vykázaly abnormalitu v řádném čerpání výdajů rozpočtu kapitoly ve sledovaném období</w:t>
            </w:r>
          </w:p>
        </w:tc>
      </w:tr>
      <w:tr w:rsidR="00845B07" w:rsidRPr="00845B07" w:rsidTr="00FD5B06">
        <w:tc>
          <w:tcPr>
            <w:tcW w:w="460" w:type="dxa"/>
          </w:tcPr>
          <w:p w:rsidR="00845B07" w:rsidRPr="00845B07" w:rsidRDefault="00845B07" w:rsidP="00845B07">
            <w:pPr>
              <w:rPr>
                <w:rFonts w:asciiTheme="minorHAnsi" w:hAnsiTheme="minorHAnsi" w:cstheme="minorHAnsi"/>
                <w:b/>
                <w:sz w:val="20"/>
                <w:szCs w:val="20"/>
              </w:rPr>
            </w:pPr>
          </w:p>
        </w:tc>
        <w:tc>
          <w:tcPr>
            <w:tcW w:w="392" w:type="dxa"/>
            <w:gridSpan w:val="2"/>
          </w:tcPr>
          <w:p w:rsidR="00845B07" w:rsidRPr="00845B07" w:rsidRDefault="00845B07" w:rsidP="00845B07">
            <w:pPr>
              <w:rPr>
                <w:rFonts w:asciiTheme="minorHAnsi" w:hAnsiTheme="minorHAnsi" w:cstheme="minorHAnsi"/>
                <w:b/>
                <w:sz w:val="20"/>
                <w:szCs w:val="20"/>
              </w:rPr>
            </w:pPr>
          </w:p>
        </w:tc>
        <w:tc>
          <w:tcPr>
            <w:tcW w:w="528" w:type="dxa"/>
            <w:gridSpan w:val="2"/>
          </w:tcPr>
          <w:p w:rsidR="00845B07" w:rsidRPr="00845B07" w:rsidRDefault="00845B07" w:rsidP="00845B07">
            <w:pPr>
              <w:rPr>
                <w:rFonts w:asciiTheme="minorHAnsi" w:hAnsiTheme="minorHAnsi" w:cstheme="minorHAnsi"/>
                <w:b/>
                <w:sz w:val="20"/>
                <w:szCs w:val="20"/>
              </w:rPr>
            </w:pPr>
          </w:p>
        </w:tc>
        <w:tc>
          <w:tcPr>
            <w:tcW w:w="180" w:type="dxa"/>
            <w:gridSpan w:val="4"/>
          </w:tcPr>
          <w:p w:rsidR="00845B07" w:rsidRPr="00845B07" w:rsidRDefault="00845B07" w:rsidP="00845B07">
            <w:pPr>
              <w:rPr>
                <w:rFonts w:asciiTheme="minorHAnsi" w:hAnsiTheme="minorHAnsi" w:cstheme="minorHAnsi"/>
                <w:b/>
                <w:sz w:val="20"/>
                <w:szCs w:val="20"/>
              </w:rPr>
            </w:pPr>
          </w:p>
        </w:tc>
        <w:tc>
          <w:tcPr>
            <w:tcW w:w="3190" w:type="dxa"/>
            <w:gridSpan w:val="21"/>
          </w:tcPr>
          <w:p w:rsidR="00845B07" w:rsidRPr="00845B07" w:rsidRDefault="00845B07" w:rsidP="00845B07">
            <w:pPr>
              <w:rPr>
                <w:rFonts w:asciiTheme="minorHAnsi" w:hAnsiTheme="minorHAnsi" w:cstheme="minorHAnsi"/>
                <w:b/>
                <w:sz w:val="20"/>
                <w:szCs w:val="20"/>
              </w:rPr>
            </w:pPr>
          </w:p>
        </w:tc>
        <w:tc>
          <w:tcPr>
            <w:tcW w:w="247" w:type="dxa"/>
            <w:gridSpan w:val="2"/>
          </w:tcPr>
          <w:p w:rsidR="00845B07" w:rsidRPr="00845B07" w:rsidRDefault="00845B07" w:rsidP="00845B07">
            <w:pPr>
              <w:rPr>
                <w:rFonts w:asciiTheme="minorHAnsi" w:hAnsiTheme="minorHAnsi" w:cstheme="minorHAnsi"/>
                <w:b/>
                <w:sz w:val="20"/>
                <w:szCs w:val="20"/>
              </w:rPr>
            </w:pPr>
          </w:p>
        </w:tc>
        <w:tc>
          <w:tcPr>
            <w:tcW w:w="460" w:type="dxa"/>
            <w:gridSpan w:val="3"/>
          </w:tcPr>
          <w:p w:rsidR="00845B07" w:rsidRPr="00845B07" w:rsidRDefault="00845B07" w:rsidP="00845B07">
            <w:pPr>
              <w:rPr>
                <w:rFonts w:asciiTheme="minorHAnsi" w:hAnsiTheme="minorHAnsi" w:cstheme="minorHAnsi"/>
                <w:b/>
                <w:sz w:val="20"/>
                <w:szCs w:val="20"/>
              </w:rPr>
            </w:pPr>
          </w:p>
        </w:tc>
        <w:tc>
          <w:tcPr>
            <w:tcW w:w="460" w:type="dxa"/>
            <w:gridSpan w:val="4"/>
          </w:tcPr>
          <w:p w:rsidR="00845B07" w:rsidRPr="00845B07" w:rsidRDefault="00845B07" w:rsidP="00845B07">
            <w:pPr>
              <w:rPr>
                <w:rFonts w:asciiTheme="minorHAnsi" w:hAnsiTheme="minorHAnsi" w:cstheme="minorHAnsi"/>
                <w:b/>
                <w:sz w:val="20"/>
                <w:szCs w:val="20"/>
              </w:rPr>
            </w:pPr>
          </w:p>
        </w:tc>
        <w:tc>
          <w:tcPr>
            <w:tcW w:w="460" w:type="dxa"/>
            <w:gridSpan w:val="4"/>
          </w:tcPr>
          <w:p w:rsidR="00845B07" w:rsidRPr="00845B07" w:rsidRDefault="00845B07" w:rsidP="00845B07">
            <w:pPr>
              <w:rPr>
                <w:rFonts w:asciiTheme="minorHAnsi" w:hAnsiTheme="minorHAnsi" w:cstheme="minorHAnsi"/>
                <w:b/>
                <w:sz w:val="20"/>
                <w:szCs w:val="20"/>
              </w:rPr>
            </w:pPr>
          </w:p>
        </w:tc>
        <w:tc>
          <w:tcPr>
            <w:tcW w:w="397" w:type="dxa"/>
            <w:gridSpan w:val="4"/>
          </w:tcPr>
          <w:p w:rsidR="00845B07" w:rsidRPr="00845B07" w:rsidRDefault="00845B07" w:rsidP="00845B07">
            <w:pPr>
              <w:rPr>
                <w:rFonts w:asciiTheme="minorHAnsi" w:hAnsiTheme="minorHAnsi" w:cstheme="minorHAnsi"/>
                <w:b/>
                <w:sz w:val="20"/>
                <w:szCs w:val="20"/>
              </w:rPr>
            </w:pPr>
          </w:p>
        </w:tc>
        <w:tc>
          <w:tcPr>
            <w:tcW w:w="523" w:type="dxa"/>
            <w:gridSpan w:val="4"/>
          </w:tcPr>
          <w:p w:rsidR="00845B07" w:rsidRPr="00845B07" w:rsidRDefault="00845B07" w:rsidP="00845B07">
            <w:pPr>
              <w:rPr>
                <w:rFonts w:asciiTheme="minorHAnsi" w:hAnsiTheme="minorHAnsi" w:cstheme="minorHAnsi"/>
                <w:b/>
                <w:sz w:val="20"/>
                <w:szCs w:val="20"/>
              </w:rPr>
            </w:pPr>
          </w:p>
        </w:tc>
        <w:tc>
          <w:tcPr>
            <w:tcW w:w="328" w:type="dxa"/>
            <w:gridSpan w:val="4"/>
          </w:tcPr>
          <w:p w:rsidR="00845B07" w:rsidRPr="00845B07" w:rsidRDefault="00845B07" w:rsidP="00845B07">
            <w:pPr>
              <w:rPr>
                <w:rFonts w:asciiTheme="minorHAnsi" w:hAnsiTheme="minorHAnsi" w:cstheme="minorHAnsi"/>
                <w:b/>
                <w:sz w:val="20"/>
                <w:szCs w:val="20"/>
              </w:rPr>
            </w:pPr>
          </w:p>
        </w:tc>
        <w:tc>
          <w:tcPr>
            <w:tcW w:w="592" w:type="dxa"/>
            <w:gridSpan w:val="3"/>
          </w:tcPr>
          <w:p w:rsidR="00845B07" w:rsidRPr="00845B07" w:rsidRDefault="00845B07" w:rsidP="00845B07">
            <w:pPr>
              <w:rPr>
                <w:rFonts w:asciiTheme="minorHAnsi" w:hAnsiTheme="minorHAnsi" w:cstheme="minorHAnsi"/>
                <w:b/>
                <w:sz w:val="20"/>
                <w:szCs w:val="20"/>
              </w:rPr>
            </w:pPr>
          </w:p>
        </w:tc>
        <w:tc>
          <w:tcPr>
            <w:tcW w:w="460" w:type="dxa"/>
            <w:gridSpan w:val="3"/>
          </w:tcPr>
          <w:p w:rsidR="00845B07" w:rsidRPr="00845B07" w:rsidRDefault="00845B07" w:rsidP="00845B07">
            <w:pPr>
              <w:rPr>
                <w:rFonts w:asciiTheme="minorHAnsi" w:hAnsiTheme="minorHAnsi" w:cstheme="minorHAnsi"/>
                <w:b/>
                <w:sz w:val="20"/>
                <w:szCs w:val="20"/>
              </w:rPr>
            </w:pPr>
          </w:p>
        </w:tc>
        <w:tc>
          <w:tcPr>
            <w:tcW w:w="460" w:type="dxa"/>
            <w:gridSpan w:val="3"/>
          </w:tcPr>
          <w:p w:rsidR="00845B07" w:rsidRPr="00845B07" w:rsidRDefault="00845B07" w:rsidP="00845B07">
            <w:pPr>
              <w:rPr>
                <w:rFonts w:asciiTheme="minorHAnsi" w:hAnsiTheme="minorHAnsi" w:cstheme="minorHAnsi"/>
                <w:b/>
                <w:sz w:val="20"/>
                <w:szCs w:val="20"/>
              </w:rPr>
            </w:pPr>
          </w:p>
        </w:tc>
        <w:tc>
          <w:tcPr>
            <w:tcW w:w="460" w:type="dxa"/>
            <w:gridSpan w:val="2"/>
          </w:tcPr>
          <w:p w:rsidR="00845B07" w:rsidRPr="00845B07" w:rsidRDefault="00845B07" w:rsidP="00845B07">
            <w:pPr>
              <w:rPr>
                <w:rFonts w:asciiTheme="minorHAnsi" w:hAnsiTheme="minorHAnsi" w:cstheme="minorHAnsi"/>
                <w:b/>
                <w:sz w:val="20"/>
                <w:szCs w:val="20"/>
              </w:rPr>
            </w:pPr>
          </w:p>
        </w:tc>
        <w:tc>
          <w:tcPr>
            <w:tcW w:w="459" w:type="dxa"/>
            <w:gridSpan w:val="5"/>
          </w:tcPr>
          <w:p w:rsidR="00845B07" w:rsidRPr="00845B07" w:rsidRDefault="00845B07" w:rsidP="00845B07">
            <w:pPr>
              <w:rPr>
                <w:rFonts w:asciiTheme="minorHAnsi" w:hAnsiTheme="minorHAnsi" w:cstheme="minorHAnsi"/>
                <w:b/>
                <w:sz w:val="20"/>
                <w:szCs w:val="20"/>
              </w:rPr>
            </w:pPr>
          </w:p>
        </w:tc>
        <w:tc>
          <w:tcPr>
            <w:tcW w:w="160" w:type="dxa"/>
            <w:gridSpan w:val="2"/>
          </w:tcPr>
          <w:p w:rsidR="00845B07" w:rsidRPr="00845B07" w:rsidRDefault="00845B07" w:rsidP="00845B07">
            <w:pPr>
              <w:rPr>
                <w:rFonts w:asciiTheme="minorHAnsi" w:hAnsiTheme="minorHAnsi" w:cstheme="minorHAnsi"/>
                <w:b/>
                <w:sz w:val="20"/>
                <w:szCs w:val="20"/>
              </w:rPr>
            </w:pPr>
          </w:p>
        </w:tc>
        <w:tc>
          <w:tcPr>
            <w:tcW w:w="460" w:type="dxa"/>
            <w:gridSpan w:val="2"/>
          </w:tcPr>
          <w:p w:rsidR="00845B07" w:rsidRPr="00845B07" w:rsidRDefault="00845B07" w:rsidP="00845B07">
            <w:pPr>
              <w:rPr>
                <w:rFonts w:asciiTheme="minorHAnsi" w:hAnsiTheme="minorHAnsi" w:cstheme="minorHAnsi"/>
                <w:b/>
                <w:sz w:val="20"/>
                <w:szCs w:val="20"/>
              </w:rPr>
            </w:pPr>
          </w:p>
        </w:tc>
        <w:tc>
          <w:tcPr>
            <w:tcW w:w="1814" w:type="dxa"/>
            <w:gridSpan w:val="2"/>
          </w:tcPr>
          <w:p w:rsidR="00845B07" w:rsidRPr="00845B07" w:rsidRDefault="00845B07" w:rsidP="00845B07">
            <w:pPr>
              <w:rPr>
                <w:rFonts w:asciiTheme="minorHAnsi" w:hAnsiTheme="minorHAnsi" w:cstheme="minorHAnsi"/>
                <w:b/>
                <w:sz w:val="20"/>
                <w:szCs w:val="20"/>
              </w:rPr>
            </w:pPr>
          </w:p>
        </w:tc>
      </w:tr>
      <w:tr w:rsidR="00845B07" w:rsidRPr="00845B07" w:rsidTr="00FD5B06">
        <w:trPr>
          <w:gridAfter w:val="9"/>
          <w:wAfter w:w="2567" w:type="dxa"/>
        </w:trPr>
        <w:tc>
          <w:tcPr>
            <w:tcW w:w="852" w:type="dxa"/>
            <w:gridSpan w:val="3"/>
            <w:tcBorders>
              <w:top w:val="single" w:sz="4" w:space="0" w:color="auto"/>
              <w:left w:val="single" w:sz="4" w:space="0" w:color="auto"/>
              <w:bottom w:val="single" w:sz="4" w:space="0" w:color="auto"/>
              <w:right w:val="single" w:sz="4" w:space="0" w:color="auto"/>
            </w:tcBorders>
            <w:shd w:val="clear" w:color="auto" w:fill="FFFF00"/>
          </w:tcPr>
          <w:p w:rsidR="00845B07" w:rsidRPr="008D5999" w:rsidRDefault="00845B07" w:rsidP="00845B07">
            <w:pPr>
              <w:jc w:val="center"/>
              <w:rPr>
                <w:rFonts w:asciiTheme="minorHAnsi" w:hAnsiTheme="minorHAnsi" w:cstheme="minorHAnsi"/>
                <w:b/>
                <w:sz w:val="18"/>
                <w:szCs w:val="18"/>
              </w:rPr>
            </w:pPr>
            <w:r w:rsidRPr="008D5999">
              <w:rPr>
                <w:rFonts w:asciiTheme="minorHAnsi" w:hAnsiTheme="minorHAnsi" w:cstheme="minorHAnsi"/>
                <w:b/>
                <w:sz w:val="18"/>
                <w:szCs w:val="18"/>
              </w:rPr>
              <w:t>Oddíl, paragraf</w:t>
            </w:r>
          </w:p>
        </w:tc>
        <w:tc>
          <w:tcPr>
            <w:tcW w:w="638" w:type="dxa"/>
            <w:gridSpan w:val="4"/>
            <w:tcBorders>
              <w:top w:val="single" w:sz="4" w:space="0" w:color="auto"/>
              <w:left w:val="single" w:sz="4" w:space="0" w:color="auto"/>
              <w:bottom w:val="single" w:sz="4" w:space="0" w:color="auto"/>
              <w:right w:val="single" w:sz="4" w:space="0" w:color="auto"/>
            </w:tcBorders>
            <w:shd w:val="clear" w:color="auto" w:fill="FFFF00"/>
          </w:tcPr>
          <w:p w:rsidR="00845B07" w:rsidRPr="008D5999" w:rsidRDefault="00FD5B06" w:rsidP="00845B07">
            <w:pPr>
              <w:jc w:val="center"/>
              <w:rPr>
                <w:rFonts w:asciiTheme="minorHAnsi" w:hAnsiTheme="minorHAnsi" w:cstheme="minorHAnsi"/>
                <w:b/>
                <w:sz w:val="18"/>
                <w:szCs w:val="18"/>
              </w:rPr>
            </w:pPr>
            <w:r>
              <w:rPr>
                <w:rFonts w:asciiTheme="minorHAnsi" w:hAnsiTheme="minorHAnsi" w:cstheme="minorHAnsi"/>
                <w:b/>
                <w:sz w:val="18"/>
                <w:szCs w:val="18"/>
              </w:rPr>
              <w:t>Pol.</w:t>
            </w:r>
          </w:p>
        </w:tc>
        <w:tc>
          <w:tcPr>
            <w:tcW w:w="1417" w:type="dxa"/>
            <w:gridSpan w:val="8"/>
            <w:tcBorders>
              <w:top w:val="single" w:sz="4" w:space="0" w:color="auto"/>
              <w:left w:val="single" w:sz="4" w:space="0" w:color="auto"/>
              <w:bottom w:val="single" w:sz="4" w:space="0" w:color="auto"/>
              <w:right w:val="single" w:sz="4" w:space="0" w:color="auto"/>
            </w:tcBorders>
            <w:shd w:val="clear" w:color="auto" w:fill="FFFF00"/>
          </w:tcPr>
          <w:p w:rsidR="00845B07" w:rsidRPr="008D5999" w:rsidRDefault="00845B07" w:rsidP="00845B07">
            <w:pPr>
              <w:jc w:val="center"/>
              <w:rPr>
                <w:rFonts w:asciiTheme="minorHAnsi" w:hAnsiTheme="minorHAnsi" w:cstheme="minorHAnsi"/>
                <w:b/>
                <w:sz w:val="18"/>
                <w:szCs w:val="18"/>
              </w:rPr>
            </w:pPr>
            <w:r w:rsidRPr="008D5999">
              <w:rPr>
                <w:rFonts w:asciiTheme="minorHAnsi" w:hAnsiTheme="minorHAnsi" w:cstheme="minorHAnsi"/>
                <w:b/>
                <w:sz w:val="18"/>
                <w:szCs w:val="18"/>
              </w:rPr>
              <w:t>Organizace</w:t>
            </w:r>
          </w:p>
        </w:tc>
        <w:tc>
          <w:tcPr>
            <w:tcW w:w="773" w:type="dxa"/>
            <w:gridSpan w:val="7"/>
            <w:tcBorders>
              <w:top w:val="single" w:sz="4" w:space="0" w:color="auto"/>
              <w:left w:val="single" w:sz="4" w:space="0" w:color="auto"/>
              <w:bottom w:val="single" w:sz="4" w:space="0" w:color="auto"/>
              <w:right w:val="single" w:sz="4" w:space="0" w:color="auto"/>
            </w:tcBorders>
            <w:shd w:val="clear" w:color="auto" w:fill="FFFF00"/>
          </w:tcPr>
          <w:p w:rsidR="00845B07" w:rsidRPr="008D5999" w:rsidRDefault="00845B07" w:rsidP="00845B07">
            <w:pPr>
              <w:jc w:val="center"/>
              <w:rPr>
                <w:rFonts w:asciiTheme="minorHAnsi" w:hAnsiTheme="minorHAnsi" w:cstheme="minorHAnsi"/>
                <w:b/>
                <w:sz w:val="18"/>
                <w:szCs w:val="18"/>
              </w:rPr>
            </w:pPr>
            <w:r w:rsidRPr="008D5999">
              <w:rPr>
                <w:rFonts w:asciiTheme="minorHAnsi" w:hAnsiTheme="minorHAnsi" w:cstheme="minorHAnsi"/>
                <w:b/>
                <w:sz w:val="18"/>
                <w:szCs w:val="18"/>
              </w:rPr>
              <w:t>Účelový zdroj</w:t>
            </w:r>
          </w:p>
        </w:tc>
        <w:tc>
          <w:tcPr>
            <w:tcW w:w="787" w:type="dxa"/>
            <w:gridSpan w:val="5"/>
            <w:tcBorders>
              <w:top w:val="single" w:sz="4" w:space="0" w:color="auto"/>
              <w:left w:val="single" w:sz="4" w:space="0" w:color="auto"/>
              <w:bottom w:val="single" w:sz="4" w:space="0" w:color="auto"/>
              <w:right w:val="single" w:sz="4" w:space="0" w:color="auto"/>
            </w:tcBorders>
            <w:shd w:val="clear" w:color="auto" w:fill="FFFF00"/>
          </w:tcPr>
          <w:p w:rsidR="00845B07" w:rsidRPr="008D5999" w:rsidRDefault="00845B07" w:rsidP="00FD5B06">
            <w:pPr>
              <w:jc w:val="center"/>
              <w:rPr>
                <w:rFonts w:asciiTheme="minorHAnsi" w:hAnsiTheme="minorHAnsi" w:cstheme="minorHAnsi"/>
                <w:b/>
                <w:sz w:val="18"/>
                <w:szCs w:val="18"/>
              </w:rPr>
            </w:pPr>
            <w:r w:rsidRPr="008D5999">
              <w:rPr>
                <w:rFonts w:asciiTheme="minorHAnsi" w:hAnsiTheme="minorHAnsi" w:cstheme="minorHAnsi"/>
                <w:b/>
                <w:sz w:val="18"/>
                <w:szCs w:val="18"/>
              </w:rPr>
              <w:t>U</w:t>
            </w:r>
            <w:r w:rsidR="00FD5B06">
              <w:rPr>
                <w:rFonts w:asciiTheme="minorHAnsi" w:hAnsiTheme="minorHAnsi" w:cstheme="minorHAnsi"/>
                <w:b/>
                <w:sz w:val="18"/>
                <w:szCs w:val="18"/>
              </w:rPr>
              <w:t>R</w:t>
            </w:r>
            <w:r w:rsidRPr="008D5999">
              <w:rPr>
                <w:rFonts w:asciiTheme="minorHAnsi" w:hAnsiTheme="minorHAnsi" w:cstheme="minorHAnsi"/>
                <w:b/>
                <w:sz w:val="18"/>
                <w:szCs w:val="18"/>
              </w:rPr>
              <w:t xml:space="preserve"> v tis. Kč</w:t>
            </w:r>
          </w:p>
        </w:tc>
        <w:tc>
          <w:tcPr>
            <w:tcW w:w="992" w:type="dxa"/>
            <w:gridSpan w:val="8"/>
            <w:tcBorders>
              <w:top w:val="single" w:sz="4" w:space="0" w:color="auto"/>
              <w:left w:val="single" w:sz="4" w:space="0" w:color="auto"/>
              <w:bottom w:val="single" w:sz="4" w:space="0" w:color="auto"/>
              <w:right w:val="single" w:sz="4" w:space="0" w:color="auto"/>
            </w:tcBorders>
            <w:shd w:val="clear" w:color="auto" w:fill="FFFF00"/>
          </w:tcPr>
          <w:p w:rsidR="00845B07" w:rsidRPr="008D5999" w:rsidRDefault="00845B07" w:rsidP="00845B07">
            <w:pPr>
              <w:jc w:val="center"/>
              <w:rPr>
                <w:rFonts w:asciiTheme="minorHAnsi" w:hAnsiTheme="minorHAnsi" w:cstheme="minorHAnsi"/>
                <w:b/>
                <w:sz w:val="18"/>
                <w:szCs w:val="18"/>
              </w:rPr>
            </w:pPr>
            <w:r w:rsidRPr="008D5999">
              <w:rPr>
                <w:rFonts w:asciiTheme="minorHAnsi" w:hAnsiTheme="minorHAnsi" w:cstheme="minorHAnsi"/>
                <w:b/>
                <w:sz w:val="18"/>
                <w:szCs w:val="18"/>
              </w:rPr>
              <w:t>Skutečnost v tis. Kč</w:t>
            </w:r>
          </w:p>
        </w:tc>
        <w:tc>
          <w:tcPr>
            <w:tcW w:w="4464" w:type="dxa"/>
            <w:gridSpan w:val="33"/>
            <w:tcBorders>
              <w:top w:val="single" w:sz="4" w:space="0" w:color="auto"/>
              <w:left w:val="single" w:sz="4" w:space="0" w:color="auto"/>
              <w:bottom w:val="single" w:sz="4" w:space="0" w:color="auto"/>
              <w:right w:val="single" w:sz="4" w:space="0" w:color="auto"/>
            </w:tcBorders>
            <w:shd w:val="clear" w:color="auto" w:fill="FFFF00"/>
          </w:tcPr>
          <w:p w:rsidR="00845B07" w:rsidRPr="008D5999" w:rsidRDefault="00845B07" w:rsidP="00845B07">
            <w:pPr>
              <w:jc w:val="center"/>
              <w:rPr>
                <w:rFonts w:asciiTheme="minorHAnsi" w:hAnsiTheme="minorHAnsi" w:cstheme="minorHAnsi"/>
                <w:b/>
                <w:sz w:val="18"/>
                <w:szCs w:val="18"/>
              </w:rPr>
            </w:pPr>
            <w:r w:rsidRPr="008D5999">
              <w:rPr>
                <w:rFonts w:asciiTheme="minorHAnsi" w:hAnsiTheme="minorHAnsi" w:cstheme="minorHAnsi"/>
                <w:b/>
                <w:sz w:val="18"/>
                <w:szCs w:val="18"/>
              </w:rPr>
              <w:t>Komentář</w:t>
            </w:r>
          </w:p>
        </w:tc>
      </w:tr>
      <w:tr w:rsidR="00845B07" w:rsidRPr="00845B07" w:rsidTr="00FD5B06">
        <w:trPr>
          <w:gridAfter w:val="9"/>
          <w:wAfter w:w="2567" w:type="dxa"/>
        </w:trPr>
        <w:tc>
          <w:tcPr>
            <w:tcW w:w="852" w:type="dxa"/>
            <w:gridSpan w:val="3"/>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003745</w:t>
            </w:r>
          </w:p>
        </w:tc>
        <w:tc>
          <w:tcPr>
            <w:tcW w:w="638" w:type="dxa"/>
            <w:gridSpan w:val="4"/>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5151</w:t>
            </w:r>
          </w:p>
        </w:tc>
        <w:tc>
          <w:tcPr>
            <w:tcW w:w="1417" w:type="dxa"/>
            <w:gridSpan w:val="8"/>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0900000000000</w:t>
            </w:r>
          </w:p>
        </w:tc>
        <w:tc>
          <w:tcPr>
            <w:tcW w:w="773" w:type="dxa"/>
            <w:gridSpan w:val="7"/>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sz w:val="18"/>
                <w:szCs w:val="18"/>
              </w:rPr>
            </w:pPr>
          </w:p>
        </w:tc>
        <w:tc>
          <w:tcPr>
            <w:tcW w:w="787" w:type="dxa"/>
            <w:gridSpan w:val="5"/>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right"/>
              <w:rPr>
                <w:rFonts w:asciiTheme="minorHAnsi" w:hAnsiTheme="minorHAnsi" w:cstheme="minorHAnsi"/>
                <w:sz w:val="18"/>
                <w:szCs w:val="18"/>
              </w:rPr>
            </w:pPr>
            <w:r w:rsidRPr="008D5999">
              <w:rPr>
                <w:rFonts w:asciiTheme="minorHAnsi" w:hAnsiTheme="minorHAnsi" w:cstheme="minorHAnsi"/>
                <w:sz w:val="18"/>
                <w:szCs w:val="18"/>
              </w:rPr>
              <w:t>1 000,00</w:t>
            </w:r>
          </w:p>
        </w:tc>
        <w:tc>
          <w:tcPr>
            <w:tcW w:w="992" w:type="dxa"/>
            <w:gridSpan w:val="8"/>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right"/>
              <w:rPr>
                <w:rFonts w:asciiTheme="minorHAnsi" w:hAnsiTheme="minorHAnsi" w:cstheme="minorHAnsi"/>
                <w:sz w:val="18"/>
                <w:szCs w:val="18"/>
              </w:rPr>
            </w:pPr>
            <w:r w:rsidRPr="008D5999">
              <w:rPr>
                <w:rFonts w:asciiTheme="minorHAnsi" w:hAnsiTheme="minorHAnsi" w:cstheme="minorHAnsi"/>
                <w:sz w:val="18"/>
                <w:szCs w:val="18"/>
              </w:rPr>
              <w:t>382,89</w:t>
            </w:r>
          </w:p>
        </w:tc>
        <w:tc>
          <w:tcPr>
            <w:tcW w:w="4464" w:type="dxa"/>
            <w:gridSpan w:val="33"/>
            <w:tcBorders>
              <w:top w:val="single" w:sz="4" w:space="0" w:color="auto"/>
              <w:left w:val="single" w:sz="4" w:space="0" w:color="auto"/>
              <w:bottom w:val="single" w:sz="4" w:space="0" w:color="auto"/>
              <w:right w:val="single" w:sz="4" w:space="0" w:color="auto"/>
            </w:tcBorders>
          </w:tcPr>
          <w:p w:rsidR="00845B07" w:rsidRPr="008D5999" w:rsidRDefault="00845B07" w:rsidP="00845B07">
            <w:pPr>
              <w:rPr>
                <w:rFonts w:asciiTheme="minorHAnsi" w:hAnsiTheme="minorHAnsi" w:cstheme="minorHAnsi"/>
                <w:b/>
                <w:sz w:val="18"/>
                <w:szCs w:val="18"/>
                <w:u w:val="single"/>
              </w:rPr>
            </w:pPr>
            <w:r w:rsidRPr="008D5999">
              <w:rPr>
                <w:rFonts w:asciiTheme="minorHAnsi" w:hAnsiTheme="minorHAnsi" w:cstheme="minorHAnsi"/>
                <w:b/>
                <w:sz w:val="18"/>
                <w:szCs w:val="18"/>
                <w:u w:val="single"/>
              </w:rPr>
              <w:t>Studená voda:</w:t>
            </w:r>
          </w:p>
          <w:p w:rsidR="00845B07" w:rsidRPr="008D5999" w:rsidRDefault="00845B07" w:rsidP="00845B07">
            <w:pPr>
              <w:rPr>
                <w:rFonts w:asciiTheme="minorHAnsi" w:hAnsiTheme="minorHAnsi" w:cstheme="minorHAnsi"/>
                <w:sz w:val="18"/>
                <w:szCs w:val="18"/>
              </w:rPr>
            </w:pPr>
            <w:r w:rsidRPr="008D5999">
              <w:rPr>
                <w:rFonts w:asciiTheme="minorHAnsi" w:hAnsiTheme="minorHAnsi" w:cstheme="minorHAnsi"/>
                <w:sz w:val="18"/>
                <w:szCs w:val="18"/>
              </w:rPr>
              <w:t xml:space="preserve">Finanční prostředky na úhradu vodného  a stočného – hřbitovy, zálivky, veřejná WC, kašny, závlahové systémy aj. – čerpání dle skutečně vyfakturované spotřeby. </w:t>
            </w:r>
          </w:p>
        </w:tc>
      </w:tr>
      <w:tr w:rsidR="00845B07" w:rsidRPr="00845B07" w:rsidTr="00FD5B06">
        <w:trPr>
          <w:gridAfter w:val="9"/>
          <w:wAfter w:w="2567" w:type="dxa"/>
        </w:trPr>
        <w:tc>
          <w:tcPr>
            <w:tcW w:w="852" w:type="dxa"/>
            <w:gridSpan w:val="3"/>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003745</w:t>
            </w:r>
          </w:p>
        </w:tc>
        <w:tc>
          <w:tcPr>
            <w:tcW w:w="638" w:type="dxa"/>
            <w:gridSpan w:val="4"/>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5171</w:t>
            </w:r>
          </w:p>
        </w:tc>
        <w:tc>
          <w:tcPr>
            <w:tcW w:w="1417" w:type="dxa"/>
            <w:gridSpan w:val="8"/>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0900000000000</w:t>
            </w:r>
          </w:p>
        </w:tc>
        <w:tc>
          <w:tcPr>
            <w:tcW w:w="773" w:type="dxa"/>
            <w:gridSpan w:val="7"/>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sz w:val="18"/>
                <w:szCs w:val="18"/>
              </w:rPr>
            </w:pPr>
          </w:p>
        </w:tc>
        <w:tc>
          <w:tcPr>
            <w:tcW w:w="787" w:type="dxa"/>
            <w:gridSpan w:val="5"/>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right"/>
              <w:rPr>
                <w:rFonts w:asciiTheme="minorHAnsi" w:hAnsiTheme="minorHAnsi" w:cstheme="minorHAnsi"/>
                <w:sz w:val="18"/>
                <w:szCs w:val="18"/>
              </w:rPr>
            </w:pPr>
            <w:r w:rsidRPr="008D5999">
              <w:rPr>
                <w:rFonts w:asciiTheme="minorHAnsi" w:hAnsiTheme="minorHAnsi" w:cstheme="minorHAnsi"/>
                <w:sz w:val="18"/>
                <w:szCs w:val="18"/>
              </w:rPr>
              <w:t>300,00</w:t>
            </w:r>
          </w:p>
        </w:tc>
        <w:tc>
          <w:tcPr>
            <w:tcW w:w="992" w:type="dxa"/>
            <w:gridSpan w:val="8"/>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right"/>
              <w:rPr>
                <w:rFonts w:asciiTheme="minorHAnsi" w:hAnsiTheme="minorHAnsi" w:cstheme="minorHAnsi"/>
                <w:sz w:val="18"/>
                <w:szCs w:val="18"/>
              </w:rPr>
            </w:pPr>
            <w:r w:rsidRPr="008D5999">
              <w:rPr>
                <w:rFonts w:asciiTheme="minorHAnsi" w:hAnsiTheme="minorHAnsi" w:cstheme="minorHAnsi"/>
                <w:sz w:val="18"/>
                <w:szCs w:val="18"/>
              </w:rPr>
              <w:t>96,19</w:t>
            </w:r>
          </w:p>
        </w:tc>
        <w:tc>
          <w:tcPr>
            <w:tcW w:w="4464" w:type="dxa"/>
            <w:gridSpan w:val="33"/>
            <w:tcBorders>
              <w:top w:val="single" w:sz="4" w:space="0" w:color="auto"/>
              <w:left w:val="single" w:sz="4" w:space="0" w:color="auto"/>
              <w:bottom w:val="single" w:sz="4" w:space="0" w:color="auto"/>
              <w:right w:val="single" w:sz="4" w:space="0" w:color="auto"/>
            </w:tcBorders>
          </w:tcPr>
          <w:p w:rsidR="00845B07" w:rsidRPr="008D5999" w:rsidRDefault="00845B07" w:rsidP="00845B07">
            <w:pPr>
              <w:rPr>
                <w:rFonts w:asciiTheme="minorHAnsi" w:hAnsiTheme="minorHAnsi" w:cstheme="minorHAnsi"/>
                <w:b/>
                <w:sz w:val="18"/>
                <w:szCs w:val="18"/>
                <w:u w:val="single"/>
              </w:rPr>
            </w:pPr>
            <w:r w:rsidRPr="008D5999">
              <w:rPr>
                <w:rFonts w:asciiTheme="minorHAnsi" w:hAnsiTheme="minorHAnsi" w:cstheme="minorHAnsi"/>
                <w:b/>
                <w:sz w:val="18"/>
                <w:szCs w:val="18"/>
                <w:u w:val="single"/>
              </w:rPr>
              <w:t>Opravy a udržování:</w:t>
            </w:r>
          </w:p>
          <w:p w:rsidR="00845B07" w:rsidRPr="008D5999" w:rsidRDefault="00845B07" w:rsidP="00845B07">
            <w:pPr>
              <w:rPr>
                <w:rFonts w:asciiTheme="minorHAnsi" w:hAnsiTheme="minorHAnsi" w:cstheme="minorHAnsi"/>
                <w:sz w:val="18"/>
                <w:szCs w:val="18"/>
              </w:rPr>
            </w:pPr>
            <w:r w:rsidRPr="008D5999">
              <w:rPr>
                <w:rFonts w:asciiTheme="minorHAnsi" w:hAnsiTheme="minorHAnsi" w:cstheme="minorHAnsi"/>
                <w:sz w:val="18"/>
                <w:szCs w:val="18"/>
              </w:rPr>
              <w:t>Finanční prostředky na úhradu oprav závlahových systémů – čerpání dle skutečně vyfakturovaných provedených prací.</w:t>
            </w:r>
          </w:p>
        </w:tc>
      </w:tr>
      <w:tr w:rsidR="00845B07" w:rsidRPr="00845B07" w:rsidTr="00FD5B06">
        <w:trPr>
          <w:gridAfter w:val="9"/>
          <w:wAfter w:w="2567" w:type="dxa"/>
        </w:trPr>
        <w:tc>
          <w:tcPr>
            <w:tcW w:w="852" w:type="dxa"/>
            <w:gridSpan w:val="3"/>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003631</w:t>
            </w:r>
          </w:p>
        </w:tc>
        <w:tc>
          <w:tcPr>
            <w:tcW w:w="638" w:type="dxa"/>
            <w:gridSpan w:val="4"/>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6122</w:t>
            </w:r>
          </w:p>
        </w:tc>
        <w:tc>
          <w:tcPr>
            <w:tcW w:w="1417" w:type="dxa"/>
            <w:gridSpan w:val="8"/>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0900000900200</w:t>
            </w:r>
          </w:p>
        </w:tc>
        <w:tc>
          <w:tcPr>
            <w:tcW w:w="773" w:type="dxa"/>
            <w:gridSpan w:val="7"/>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sz w:val="18"/>
                <w:szCs w:val="18"/>
              </w:rPr>
            </w:pPr>
          </w:p>
        </w:tc>
        <w:tc>
          <w:tcPr>
            <w:tcW w:w="787" w:type="dxa"/>
            <w:gridSpan w:val="5"/>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right"/>
              <w:rPr>
                <w:rFonts w:asciiTheme="minorHAnsi" w:hAnsiTheme="minorHAnsi" w:cstheme="minorHAnsi"/>
                <w:sz w:val="18"/>
                <w:szCs w:val="18"/>
              </w:rPr>
            </w:pPr>
            <w:r w:rsidRPr="008D5999">
              <w:rPr>
                <w:rFonts w:asciiTheme="minorHAnsi" w:hAnsiTheme="minorHAnsi" w:cstheme="minorHAnsi"/>
                <w:sz w:val="18"/>
                <w:szCs w:val="18"/>
              </w:rPr>
              <w:t>160,00</w:t>
            </w:r>
          </w:p>
        </w:tc>
        <w:tc>
          <w:tcPr>
            <w:tcW w:w="992" w:type="dxa"/>
            <w:gridSpan w:val="8"/>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right"/>
              <w:rPr>
                <w:rFonts w:asciiTheme="minorHAnsi" w:hAnsiTheme="minorHAnsi" w:cstheme="minorHAnsi"/>
                <w:sz w:val="18"/>
                <w:szCs w:val="18"/>
              </w:rPr>
            </w:pPr>
            <w:r w:rsidRPr="008D5999">
              <w:rPr>
                <w:rFonts w:asciiTheme="minorHAnsi" w:hAnsiTheme="minorHAnsi" w:cstheme="minorHAnsi"/>
                <w:sz w:val="18"/>
                <w:szCs w:val="18"/>
              </w:rPr>
              <w:t>111,28</w:t>
            </w:r>
          </w:p>
        </w:tc>
        <w:tc>
          <w:tcPr>
            <w:tcW w:w="4464" w:type="dxa"/>
            <w:gridSpan w:val="33"/>
            <w:tcBorders>
              <w:top w:val="single" w:sz="4" w:space="0" w:color="auto"/>
              <w:left w:val="single" w:sz="4" w:space="0" w:color="auto"/>
              <w:bottom w:val="single" w:sz="4" w:space="0" w:color="auto"/>
              <w:right w:val="single" w:sz="4" w:space="0" w:color="auto"/>
            </w:tcBorders>
          </w:tcPr>
          <w:p w:rsidR="00845B07" w:rsidRPr="008D5999" w:rsidRDefault="00845B07" w:rsidP="00845B07">
            <w:pPr>
              <w:rPr>
                <w:rFonts w:asciiTheme="minorHAnsi" w:hAnsiTheme="minorHAnsi" w:cstheme="minorHAnsi"/>
                <w:b/>
                <w:sz w:val="18"/>
                <w:szCs w:val="18"/>
                <w:u w:val="single"/>
              </w:rPr>
            </w:pPr>
            <w:r w:rsidRPr="008D5999">
              <w:rPr>
                <w:rFonts w:asciiTheme="minorHAnsi" w:hAnsiTheme="minorHAnsi" w:cstheme="minorHAnsi"/>
                <w:b/>
                <w:sz w:val="18"/>
                <w:szCs w:val="18"/>
                <w:u w:val="single"/>
              </w:rPr>
              <w:t>Stroje, přístroje, zařízení:</w:t>
            </w:r>
          </w:p>
          <w:p w:rsidR="00845B07" w:rsidRPr="008D5999" w:rsidRDefault="00845B07" w:rsidP="00845B07">
            <w:pPr>
              <w:rPr>
                <w:rFonts w:asciiTheme="minorHAnsi" w:hAnsiTheme="minorHAnsi" w:cstheme="minorHAnsi"/>
                <w:sz w:val="18"/>
                <w:szCs w:val="18"/>
              </w:rPr>
            </w:pPr>
            <w:r w:rsidRPr="008D5999">
              <w:rPr>
                <w:rFonts w:asciiTheme="minorHAnsi" w:hAnsiTheme="minorHAnsi" w:cstheme="minorHAnsi"/>
                <w:sz w:val="18"/>
                <w:szCs w:val="18"/>
              </w:rPr>
              <w:t>2 ks kontejnerů pro sběrný dvůr – oproti předpokladu úspora finančních prostředků při nákupu.</w:t>
            </w:r>
          </w:p>
        </w:tc>
      </w:tr>
      <w:tr w:rsidR="00845B07" w:rsidRPr="00845B07" w:rsidTr="00FD5B06">
        <w:trPr>
          <w:gridAfter w:val="9"/>
          <w:wAfter w:w="2567" w:type="dxa"/>
        </w:trPr>
        <w:tc>
          <w:tcPr>
            <w:tcW w:w="852" w:type="dxa"/>
            <w:gridSpan w:val="3"/>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003722</w:t>
            </w:r>
          </w:p>
        </w:tc>
        <w:tc>
          <w:tcPr>
            <w:tcW w:w="638" w:type="dxa"/>
            <w:gridSpan w:val="4"/>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5171</w:t>
            </w:r>
          </w:p>
        </w:tc>
        <w:tc>
          <w:tcPr>
            <w:tcW w:w="1417" w:type="dxa"/>
            <w:gridSpan w:val="8"/>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0900000900200</w:t>
            </w:r>
          </w:p>
        </w:tc>
        <w:tc>
          <w:tcPr>
            <w:tcW w:w="773" w:type="dxa"/>
            <w:gridSpan w:val="7"/>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sz w:val="18"/>
                <w:szCs w:val="18"/>
              </w:rPr>
            </w:pPr>
          </w:p>
        </w:tc>
        <w:tc>
          <w:tcPr>
            <w:tcW w:w="787" w:type="dxa"/>
            <w:gridSpan w:val="5"/>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right"/>
              <w:rPr>
                <w:rFonts w:asciiTheme="minorHAnsi" w:hAnsiTheme="minorHAnsi" w:cstheme="minorHAnsi"/>
                <w:sz w:val="18"/>
                <w:szCs w:val="18"/>
              </w:rPr>
            </w:pPr>
            <w:r w:rsidRPr="008D5999">
              <w:rPr>
                <w:rFonts w:asciiTheme="minorHAnsi" w:hAnsiTheme="minorHAnsi" w:cstheme="minorHAnsi"/>
                <w:sz w:val="18"/>
                <w:szCs w:val="18"/>
              </w:rPr>
              <w:t>338,14</w:t>
            </w:r>
          </w:p>
        </w:tc>
        <w:tc>
          <w:tcPr>
            <w:tcW w:w="992" w:type="dxa"/>
            <w:gridSpan w:val="8"/>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right"/>
              <w:rPr>
                <w:rFonts w:asciiTheme="minorHAnsi" w:hAnsiTheme="minorHAnsi" w:cstheme="minorHAnsi"/>
                <w:sz w:val="18"/>
                <w:szCs w:val="18"/>
              </w:rPr>
            </w:pPr>
            <w:r w:rsidRPr="008D5999">
              <w:rPr>
                <w:rFonts w:asciiTheme="minorHAnsi" w:hAnsiTheme="minorHAnsi" w:cstheme="minorHAnsi"/>
                <w:sz w:val="18"/>
                <w:szCs w:val="18"/>
              </w:rPr>
              <w:t>205,31</w:t>
            </w:r>
          </w:p>
        </w:tc>
        <w:tc>
          <w:tcPr>
            <w:tcW w:w="4464" w:type="dxa"/>
            <w:gridSpan w:val="33"/>
            <w:tcBorders>
              <w:top w:val="single" w:sz="4" w:space="0" w:color="auto"/>
              <w:left w:val="single" w:sz="4" w:space="0" w:color="auto"/>
              <w:bottom w:val="single" w:sz="4" w:space="0" w:color="auto"/>
              <w:right w:val="single" w:sz="4" w:space="0" w:color="auto"/>
            </w:tcBorders>
          </w:tcPr>
          <w:p w:rsidR="00845B07" w:rsidRPr="008D5999" w:rsidRDefault="00845B07" w:rsidP="00845B07">
            <w:pPr>
              <w:rPr>
                <w:rFonts w:asciiTheme="minorHAnsi" w:hAnsiTheme="minorHAnsi" w:cstheme="minorHAnsi"/>
                <w:b/>
                <w:sz w:val="18"/>
                <w:szCs w:val="18"/>
                <w:u w:val="single"/>
              </w:rPr>
            </w:pPr>
            <w:r w:rsidRPr="008D5999">
              <w:rPr>
                <w:rFonts w:asciiTheme="minorHAnsi" w:hAnsiTheme="minorHAnsi" w:cstheme="minorHAnsi"/>
                <w:b/>
                <w:sz w:val="18"/>
                <w:szCs w:val="18"/>
                <w:u w:val="single"/>
              </w:rPr>
              <w:t>Opravy a udržování – komunální odpad:</w:t>
            </w:r>
          </w:p>
          <w:p w:rsidR="00845B07" w:rsidRPr="008D5999" w:rsidRDefault="00845B07" w:rsidP="00845B07">
            <w:pPr>
              <w:rPr>
                <w:rFonts w:asciiTheme="minorHAnsi" w:hAnsiTheme="minorHAnsi" w:cstheme="minorHAnsi"/>
                <w:sz w:val="18"/>
                <w:szCs w:val="18"/>
              </w:rPr>
            </w:pPr>
            <w:r w:rsidRPr="008D5999">
              <w:rPr>
                <w:rFonts w:asciiTheme="minorHAnsi" w:hAnsiTheme="minorHAnsi" w:cstheme="minorHAnsi"/>
                <w:sz w:val="18"/>
                <w:szCs w:val="18"/>
              </w:rPr>
              <w:t>Čerpání dle skutečně provedených oprav.</w:t>
            </w:r>
          </w:p>
        </w:tc>
      </w:tr>
      <w:tr w:rsidR="00845B07" w:rsidRPr="00845B07" w:rsidTr="00FD5B06">
        <w:trPr>
          <w:gridAfter w:val="9"/>
          <w:wAfter w:w="2567" w:type="dxa"/>
        </w:trPr>
        <w:tc>
          <w:tcPr>
            <w:tcW w:w="852" w:type="dxa"/>
            <w:gridSpan w:val="3"/>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003745</w:t>
            </w:r>
          </w:p>
        </w:tc>
        <w:tc>
          <w:tcPr>
            <w:tcW w:w="638" w:type="dxa"/>
            <w:gridSpan w:val="4"/>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5169</w:t>
            </w:r>
          </w:p>
        </w:tc>
        <w:tc>
          <w:tcPr>
            <w:tcW w:w="1417" w:type="dxa"/>
            <w:gridSpan w:val="8"/>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0900000900401</w:t>
            </w:r>
          </w:p>
        </w:tc>
        <w:tc>
          <w:tcPr>
            <w:tcW w:w="773" w:type="dxa"/>
            <w:gridSpan w:val="7"/>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sz w:val="18"/>
                <w:szCs w:val="18"/>
              </w:rPr>
            </w:pPr>
          </w:p>
        </w:tc>
        <w:tc>
          <w:tcPr>
            <w:tcW w:w="787" w:type="dxa"/>
            <w:gridSpan w:val="5"/>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right"/>
              <w:rPr>
                <w:rFonts w:asciiTheme="minorHAnsi" w:hAnsiTheme="minorHAnsi" w:cstheme="minorHAnsi"/>
                <w:sz w:val="18"/>
                <w:szCs w:val="18"/>
              </w:rPr>
            </w:pPr>
            <w:r w:rsidRPr="008D5999">
              <w:rPr>
                <w:rFonts w:asciiTheme="minorHAnsi" w:hAnsiTheme="minorHAnsi" w:cstheme="minorHAnsi"/>
                <w:sz w:val="18"/>
                <w:szCs w:val="18"/>
              </w:rPr>
              <w:t>398,72</w:t>
            </w:r>
          </w:p>
        </w:tc>
        <w:tc>
          <w:tcPr>
            <w:tcW w:w="992" w:type="dxa"/>
            <w:gridSpan w:val="8"/>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right"/>
              <w:rPr>
                <w:rFonts w:asciiTheme="minorHAnsi" w:hAnsiTheme="minorHAnsi" w:cstheme="minorHAnsi"/>
                <w:sz w:val="18"/>
                <w:szCs w:val="18"/>
              </w:rPr>
            </w:pPr>
            <w:r w:rsidRPr="008D5999">
              <w:rPr>
                <w:rFonts w:asciiTheme="minorHAnsi" w:hAnsiTheme="minorHAnsi" w:cstheme="minorHAnsi"/>
                <w:sz w:val="18"/>
                <w:szCs w:val="18"/>
              </w:rPr>
              <w:t>236,79</w:t>
            </w:r>
          </w:p>
        </w:tc>
        <w:tc>
          <w:tcPr>
            <w:tcW w:w="4464" w:type="dxa"/>
            <w:gridSpan w:val="33"/>
            <w:tcBorders>
              <w:top w:val="single" w:sz="4" w:space="0" w:color="auto"/>
              <w:left w:val="single" w:sz="4" w:space="0" w:color="auto"/>
              <w:bottom w:val="single" w:sz="4" w:space="0" w:color="auto"/>
              <w:right w:val="single" w:sz="4" w:space="0" w:color="auto"/>
            </w:tcBorders>
          </w:tcPr>
          <w:p w:rsidR="00845B07" w:rsidRPr="008D5999" w:rsidRDefault="00845B07" w:rsidP="00845B07">
            <w:pPr>
              <w:rPr>
                <w:rFonts w:asciiTheme="minorHAnsi" w:hAnsiTheme="minorHAnsi" w:cstheme="minorHAnsi"/>
                <w:b/>
                <w:sz w:val="18"/>
                <w:szCs w:val="18"/>
                <w:u w:val="single"/>
              </w:rPr>
            </w:pPr>
            <w:r w:rsidRPr="008D5999">
              <w:rPr>
                <w:rFonts w:asciiTheme="minorHAnsi" w:hAnsiTheme="minorHAnsi" w:cstheme="minorHAnsi"/>
                <w:b/>
                <w:sz w:val="18"/>
                <w:szCs w:val="18"/>
                <w:u w:val="single"/>
              </w:rPr>
              <w:t>Nákup ostatních služeb – veřejná zeleň:</w:t>
            </w:r>
          </w:p>
          <w:p w:rsidR="00845B07" w:rsidRPr="008D5999" w:rsidRDefault="00845B07" w:rsidP="00845B07">
            <w:pPr>
              <w:rPr>
                <w:rFonts w:asciiTheme="minorHAnsi" w:hAnsiTheme="minorHAnsi" w:cstheme="minorHAnsi"/>
                <w:sz w:val="18"/>
                <w:szCs w:val="18"/>
              </w:rPr>
            </w:pPr>
            <w:r w:rsidRPr="008D5999">
              <w:rPr>
                <w:rFonts w:asciiTheme="minorHAnsi" w:hAnsiTheme="minorHAnsi" w:cstheme="minorHAnsi"/>
                <w:sz w:val="18"/>
                <w:szCs w:val="18"/>
              </w:rPr>
              <w:t>Servis a prohlídky závlah</w:t>
            </w:r>
            <w:r w:rsidR="00FD5B06">
              <w:rPr>
                <w:rFonts w:asciiTheme="minorHAnsi" w:hAnsiTheme="minorHAnsi" w:cstheme="minorHAnsi"/>
                <w:sz w:val="18"/>
                <w:szCs w:val="18"/>
              </w:rPr>
              <w:t>ových systémů, následná péče po </w:t>
            </w:r>
            <w:r w:rsidRPr="008D5999">
              <w:rPr>
                <w:rFonts w:asciiTheme="minorHAnsi" w:hAnsiTheme="minorHAnsi" w:cstheme="minorHAnsi"/>
                <w:sz w:val="18"/>
                <w:szCs w:val="18"/>
              </w:rPr>
              <w:t>ukončených investičních akcích – čerpání dle skutečně vyfakturovaných provedených prací.</w:t>
            </w:r>
          </w:p>
        </w:tc>
      </w:tr>
      <w:tr w:rsidR="00845B07" w:rsidRPr="00845B07" w:rsidTr="00FD5B06">
        <w:trPr>
          <w:gridAfter w:val="9"/>
          <w:wAfter w:w="2567" w:type="dxa"/>
        </w:trPr>
        <w:tc>
          <w:tcPr>
            <w:tcW w:w="852" w:type="dxa"/>
            <w:gridSpan w:val="3"/>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003632</w:t>
            </w:r>
          </w:p>
        </w:tc>
        <w:tc>
          <w:tcPr>
            <w:tcW w:w="638" w:type="dxa"/>
            <w:gridSpan w:val="4"/>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5171</w:t>
            </w:r>
          </w:p>
        </w:tc>
        <w:tc>
          <w:tcPr>
            <w:tcW w:w="1417" w:type="dxa"/>
            <w:gridSpan w:val="8"/>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0900000900500</w:t>
            </w:r>
          </w:p>
        </w:tc>
        <w:tc>
          <w:tcPr>
            <w:tcW w:w="773" w:type="dxa"/>
            <w:gridSpan w:val="7"/>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sz w:val="18"/>
                <w:szCs w:val="18"/>
              </w:rPr>
            </w:pPr>
          </w:p>
        </w:tc>
        <w:tc>
          <w:tcPr>
            <w:tcW w:w="787" w:type="dxa"/>
            <w:gridSpan w:val="5"/>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right"/>
              <w:rPr>
                <w:rFonts w:asciiTheme="minorHAnsi" w:hAnsiTheme="minorHAnsi" w:cstheme="minorHAnsi"/>
                <w:sz w:val="18"/>
                <w:szCs w:val="18"/>
              </w:rPr>
            </w:pPr>
            <w:r w:rsidRPr="008D5999">
              <w:rPr>
                <w:rFonts w:asciiTheme="minorHAnsi" w:hAnsiTheme="minorHAnsi" w:cstheme="minorHAnsi"/>
                <w:sz w:val="18"/>
                <w:szCs w:val="18"/>
              </w:rPr>
              <w:t>60,00</w:t>
            </w:r>
          </w:p>
        </w:tc>
        <w:tc>
          <w:tcPr>
            <w:tcW w:w="992" w:type="dxa"/>
            <w:gridSpan w:val="8"/>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right"/>
              <w:rPr>
                <w:rFonts w:asciiTheme="minorHAnsi" w:hAnsiTheme="minorHAnsi" w:cstheme="minorHAnsi"/>
                <w:sz w:val="18"/>
                <w:szCs w:val="18"/>
              </w:rPr>
            </w:pPr>
            <w:r w:rsidRPr="008D5999">
              <w:rPr>
                <w:rFonts w:asciiTheme="minorHAnsi" w:hAnsiTheme="minorHAnsi" w:cstheme="minorHAnsi"/>
                <w:sz w:val="18"/>
                <w:szCs w:val="18"/>
              </w:rPr>
              <w:t>50,03</w:t>
            </w:r>
          </w:p>
        </w:tc>
        <w:tc>
          <w:tcPr>
            <w:tcW w:w="4464" w:type="dxa"/>
            <w:gridSpan w:val="33"/>
            <w:tcBorders>
              <w:top w:val="single" w:sz="4" w:space="0" w:color="auto"/>
              <w:left w:val="single" w:sz="4" w:space="0" w:color="auto"/>
              <w:bottom w:val="single" w:sz="4" w:space="0" w:color="auto"/>
              <w:right w:val="single" w:sz="4" w:space="0" w:color="auto"/>
            </w:tcBorders>
          </w:tcPr>
          <w:p w:rsidR="00845B07" w:rsidRPr="008D5999" w:rsidRDefault="00845B07" w:rsidP="00845B07">
            <w:pPr>
              <w:rPr>
                <w:rFonts w:asciiTheme="minorHAnsi" w:hAnsiTheme="minorHAnsi" w:cstheme="minorHAnsi"/>
                <w:b/>
                <w:sz w:val="18"/>
                <w:szCs w:val="18"/>
                <w:u w:val="single"/>
              </w:rPr>
            </w:pPr>
            <w:r w:rsidRPr="008D5999">
              <w:rPr>
                <w:rFonts w:asciiTheme="minorHAnsi" w:hAnsiTheme="minorHAnsi" w:cstheme="minorHAnsi"/>
                <w:b/>
                <w:sz w:val="18"/>
                <w:szCs w:val="18"/>
                <w:u w:val="single"/>
              </w:rPr>
              <w:t>Opravy a udržování – pohřebnictví:</w:t>
            </w:r>
          </w:p>
          <w:p w:rsidR="00845B07" w:rsidRPr="008D5999" w:rsidRDefault="00845B07" w:rsidP="00845B07">
            <w:pPr>
              <w:rPr>
                <w:rFonts w:asciiTheme="minorHAnsi" w:hAnsiTheme="minorHAnsi" w:cstheme="minorHAnsi"/>
                <w:sz w:val="18"/>
                <w:szCs w:val="18"/>
              </w:rPr>
            </w:pPr>
            <w:r w:rsidRPr="008D5999">
              <w:rPr>
                <w:rFonts w:asciiTheme="minorHAnsi" w:hAnsiTheme="minorHAnsi" w:cstheme="minorHAnsi"/>
                <w:sz w:val="18"/>
                <w:szCs w:val="18"/>
              </w:rPr>
              <w:t>Čerpání dle skutečně provedených oprav.</w:t>
            </w:r>
          </w:p>
        </w:tc>
      </w:tr>
      <w:tr w:rsidR="00845B07" w:rsidRPr="00845B07" w:rsidTr="00FD5B06">
        <w:trPr>
          <w:gridAfter w:val="9"/>
          <w:wAfter w:w="2567" w:type="dxa"/>
        </w:trPr>
        <w:tc>
          <w:tcPr>
            <w:tcW w:w="852" w:type="dxa"/>
            <w:gridSpan w:val="3"/>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003631</w:t>
            </w:r>
          </w:p>
        </w:tc>
        <w:tc>
          <w:tcPr>
            <w:tcW w:w="638" w:type="dxa"/>
            <w:gridSpan w:val="4"/>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6122</w:t>
            </w:r>
          </w:p>
        </w:tc>
        <w:tc>
          <w:tcPr>
            <w:tcW w:w="1417" w:type="dxa"/>
            <w:gridSpan w:val="8"/>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0900000900600</w:t>
            </w:r>
          </w:p>
        </w:tc>
        <w:tc>
          <w:tcPr>
            <w:tcW w:w="773" w:type="dxa"/>
            <w:gridSpan w:val="7"/>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sz w:val="18"/>
                <w:szCs w:val="18"/>
              </w:rPr>
            </w:pPr>
          </w:p>
        </w:tc>
        <w:tc>
          <w:tcPr>
            <w:tcW w:w="787" w:type="dxa"/>
            <w:gridSpan w:val="5"/>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right"/>
              <w:rPr>
                <w:rFonts w:asciiTheme="minorHAnsi" w:hAnsiTheme="minorHAnsi" w:cstheme="minorHAnsi"/>
                <w:sz w:val="18"/>
                <w:szCs w:val="18"/>
              </w:rPr>
            </w:pPr>
            <w:r w:rsidRPr="008D5999">
              <w:rPr>
                <w:rFonts w:asciiTheme="minorHAnsi" w:hAnsiTheme="minorHAnsi" w:cstheme="minorHAnsi"/>
                <w:sz w:val="18"/>
                <w:szCs w:val="18"/>
              </w:rPr>
              <w:t>675,00</w:t>
            </w:r>
          </w:p>
        </w:tc>
        <w:tc>
          <w:tcPr>
            <w:tcW w:w="992" w:type="dxa"/>
            <w:gridSpan w:val="8"/>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right"/>
              <w:rPr>
                <w:rFonts w:asciiTheme="minorHAnsi" w:hAnsiTheme="minorHAnsi" w:cstheme="minorHAnsi"/>
                <w:sz w:val="18"/>
                <w:szCs w:val="18"/>
              </w:rPr>
            </w:pPr>
            <w:r w:rsidRPr="008D5999">
              <w:rPr>
                <w:rFonts w:asciiTheme="minorHAnsi" w:hAnsiTheme="minorHAnsi" w:cstheme="minorHAnsi"/>
                <w:sz w:val="18"/>
                <w:szCs w:val="18"/>
              </w:rPr>
              <w:t>356,66</w:t>
            </w:r>
          </w:p>
        </w:tc>
        <w:tc>
          <w:tcPr>
            <w:tcW w:w="4464" w:type="dxa"/>
            <w:gridSpan w:val="33"/>
            <w:tcBorders>
              <w:top w:val="single" w:sz="4" w:space="0" w:color="auto"/>
              <w:left w:val="single" w:sz="4" w:space="0" w:color="auto"/>
              <w:bottom w:val="single" w:sz="4" w:space="0" w:color="auto"/>
              <w:right w:val="single" w:sz="4" w:space="0" w:color="auto"/>
            </w:tcBorders>
          </w:tcPr>
          <w:p w:rsidR="00845B07" w:rsidRPr="008D5999" w:rsidRDefault="00845B07" w:rsidP="00845B07">
            <w:pPr>
              <w:rPr>
                <w:rFonts w:asciiTheme="minorHAnsi" w:hAnsiTheme="minorHAnsi" w:cstheme="minorHAnsi"/>
                <w:b/>
                <w:sz w:val="18"/>
                <w:szCs w:val="18"/>
                <w:u w:val="single"/>
              </w:rPr>
            </w:pPr>
            <w:r w:rsidRPr="008D5999">
              <w:rPr>
                <w:rFonts w:asciiTheme="minorHAnsi" w:hAnsiTheme="minorHAnsi" w:cstheme="minorHAnsi"/>
                <w:b/>
                <w:sz w:val="18"/>
                <w:szCs w:val="18"/>
                <w:u w:val="single"/>
              </w:rPr>
              <w:t>Stroje, přístroje, zařízení:</w:t>
            </w:r>
          </w:p>
          <w:p w:rsidR="00845B07" w:rsidRPr="008D5999" w:rsidRDefault="00FD5B06" w:rsidP="00845B07">
            <w:pPr>
              <w:rPr>
                <w:rFonts w:asciiTheme="minorHAnsi" w:hAnsiTheme="minorHAnsi" w:cstheme="minorHAnsi"/>
                <w:sz w:val="18"/>
                <w:szCs w:val="18"/>
              </w:rPr>
            </w:pPr>
            <w:r>
              <w:rPr>
                <w:rFonts w:asciiTheme="minorHAnsi" w:hAnsiTheme="minorHAnsi" w:cstheme="minorHAnsi"/>
                <w:sz w:val="18"/>
                <w:szCs w:val="18"/>
              </w:rPr>
              <w:t xml:space="preserve">V rozpočtu schváleny finanční </w:t>
            </w:r>
            <w:r w:rsidR="00845B07" w:rsidRPr="008D5999">
              <w:rPr>
                <w:rFonts w:asciiTheme="minorHAnsi" w:hAnsiTheme="minorHAnsi" w:cstheme="minorHAnsi"/>
                <w:sz w:val="18"/>
                <w:szCs w:val="18"/>
              </w:rPr>
              <w:t xml:space="preserve">prostředky na pořízení vánoční světelné LED výzdoby </w:t>
            </w:r>
            <w:r>
              <w:rPr>
                <w:rFonts w:asciiTheme="minorHAnsi" w:hAnsiTheme="minorHAnsi" w:cstheme="minorHAnsi"/>
                <w:sz w:val="18"/>
                <w:szCs w:val="18"/>
              </w:rPr>
              <w:t>pro ul. Vrahovická. Při </w:t>
            </w:r>
            <w:r w:rsidR="00845B07" w:rsidRPr="008D5999">
              <w:rPr>
                <w:rFonts w:asciiTheme="minorHAnsi" w:hAnsiTheme="minorHAnsi" w:cstheme="minorHAnsi"/>
                <w:sz w:val="18"/>
                <w:szCs w:val="18"/>
              </w:rPr>
              <w:t xml:space="preserve">nákupu byla vybrána levnější varianta. </w:t>
            </w:r>
          </w:p>
        </w:tc>
      </w:tr>
      <w:tr w:rsidR="00845B07" w:rsidRPr="00845B07" w:rsidTr="00FD5B06">
        <w:trPr>
          <w:gridAfter w:val="9"/>
          <w:wAfter w:w="2567" w:type="dxa"/>
        </w:trPr>
        <w:tc>
          <w:tcPr>
            <w:tcW w:w="852" w:type="dxa"/>
            <w:gridSpan w:val="3"/>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003745</w:t>
            </w:r>
          </w:p>
        </w:tc>
        <w:tc>
          <w:tcPr>
            <w:tcW w:w="638" w:type="dxa"/>
            <w:gridSpan w:val="4"/>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5171</w:t>
            </w:r>
          </w:p>
        </w:tc>
        <w:tc>
          <w:tcPr>
            <w:tcW w:w="1417" w:type="dxa"/>
            <w:gridSpan w:val="8"/>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0900000900901</w:t>
            </w:r>
          </w:p>
        </w:tc>
        <w:tc>
          <w:tcPr>
            <w:tcW w:w="773" w:type="dxa"/>
            <w:gridSpan w:val="7"/>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center"/>
              <w:rPr>
                <w:rFonts w:asciiTheme="minorHAnsi" w:hAnsiTheme="minorHAnsi" w:cstheme="minorHAnsi"/>
                <w:sz w:val="18"/>
                <w:szCs w:val="18"/>
              </w:rPr>
            </w:pPr>
          </w:p>
        </w:tc>
        <w:tc>
          <w:tcPr>
            <w:tcW w:w="787" w:type="dxa"/>
            <w:gridSpan w:val="5"/>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right"/>
              <w:rPr>
                <w:rFonts w:asciiTheme="minorHAnsi" w:hAnsiTheme="minorHAnsi" w:cstheme="minorHAnsi"/>
                <w:sz w:val="18"/>
                <w:szCs w:val="18"/>
              </w:rPr>
            </w:pPr>
            <w:r w:rsidRPr="008D5999">
              <w:rPr>
                <w:rFonts w:asciiTheme="minorHAnsi" w:hAnsiTheme="minorHAnsi" w:cstheme="minorHAnsi"/>
                <w:sz w:val="18"/>
                <w:szCs w:val="18"/>
              </w:rPr>
              <w:t>120,00</w:t>
            </w:r>
          </w:p>
        </w:tc>
        <w:tc>
          <w:tcPr>
            <w:tcW w:w="992" w:type="dxa"/>
            <w:gridSpan w:val="8"/>
            <w:tcBorders>
              <w:top w:val="single" w:sz="4" w:space="0" w:color="auto"/>
              <w:left w:val="single" w:sz="4" w:space="0" w:color="auto"/>
              <w:bottom w:val="single" w:sz="4" w:space="0" w:color="auto"/>
              <w:right w:val="single" w:sz="4" w:space="0" w:color="auto"/>
            </w:tcBorders>
          </w:tcPr>
          <w:p w:rsidR="00845B07" w:rsidRPr="008D5999" w:rsidRDefault="00845B07" w:rsidP="00845B07">
            <w:pPr>
              <w:jc w:val="right"/>
              <w:rPr>
                <w:rFonts w:asciiTheme="minorHAnsi" w:hAnsiTheme="minorHAnsi" w:cstheme="minorHAnsi"/>
                <w:sz w:val="18"/>
                <w:szCs w:val="18"/>
              </w:rPr>
            </w:pPr>
            <w:r w:rsidRPr="008D5999">
              <w:rPr>
                <w:rFonts w:asciiTheme="minorHAnsi" w:hAnsiTheme="minorHAnsi" w:cstheme="minorHAnsi"/>
                <w:sz w:val="18"/>
                <w:szCs w:val="18"/>
              </w:rPr>
              <w:t>87,71</w:t>
            </w:r>
          </w:p>
        </w:tc>
        <w:tc>
          <w:tcPr>
            <w:tcW w:w="4464" w:type="dxa"/>
            <w:gridSpan w:val="33"/>
            <w:tcBorders>
              <w:top w:val="single" w:sz="4" w:space="0" w:color="auto"/>
              <w:left w:val="single" w:sz="4" w:space="0" w:color="auto"/>
              <w:bottom w:val="single" w:sz="4" w:space="0" w:color="auto"/>
              <w:right w:val="single" w:sz="4" w:space="0" w:color="auto"/>
            </w:tcBorders>
          </w:tcPr>
          <w:p w:rsidR="00845B07" w:rsidRPr="008D5999" w:rsidRDefault="00845B07" w:rsidP="00845B07">
            <w:pPr>
              <w:rPr>
                <w:rFonts w:asciiTheme="minorHAnsi" w:hAnsiTheme="minorHAnsi" w:cstheme="minorHAnsi"/>
                <w:b/>
                <w:sz w:val="18"/>
                <w:szCs w:val="18"/>
                <w:u w:val="single"/>
              </w:rPr>
            </w:pPr>
            <w:r w:rsidRPr="008D5999">
              <w:rPr>
                <w:rFonts w:asciiTheme="minorHAnsi" w:hAnsiTheme="minorHAnsi" w:cstheme="minorHAnsi"/>
                <w:b/>
                <w:sz w:val="18"/>
                <w:szCs w:val="18"/>
                <w:u w:val="single"/>
              </w:rPr>
              <w:t>Opravy a udržování – veřejná WC:</w:t>
            </w:r>
          </w:p>
          <w:p w:rsidR="00845B07" w:rsidRPr="008D5999" w:rsidRDefault="00845B07" w:rsidP="00845B07">
            <w:pPr>
              <w:rPr>
                <w:rFonts w:asciiTheme="minorHAnsi" w:hAnsiTheme="minorHAnsi" w:cstheme="minorHAnsi"/>
                <w:sz w:val="18"/>
                <w:szCs w:val="18"/>
              </w:rPr>
            </w:pPr>
            <w:r w:rsidRPr="008D5999">
              <w:rPr>
                <w:rFonts w:asciiTheme="minorHAnsi" w:hAnsiTheme="minorHAnsi" w:cstheme="minorHAnsi"/>
                <w:sz w:val="18"/>
                <w:szCs w:val="18"/>
              </w:rPr>
              <w:t>Čerpání dle skutečně provedených oprav.</w:t>
            </w:r>
          </w:p>
        </w:tc>
      </w:tr>
    </w:tbl>
    <w:p w:rsidR="00845B07" w:rsidRPr="00845B07" w:rsidRDefault="00845B07" w:rsidP="00845B07">
      <w:pPr>
        <w:rPr>
          <w:rFonts w:asciiTheme="minorHAnsi" w:hAnsiTheme="minorHAnsi" w:cstheme="minorHAnsi"/>
          <w:b/>
          <w:sz w:val="20"/>
          <w:szCs w:val="20"/>
        </w:rPr>
      </w:pPr>
    </w:p>
    <w:p w:rsidR="00845B07" w:rsidRPr="00845B07" w:rsidRDefault="00845B07" w:rsidP="00845B07">
      <w:pPr>
        <w:rPr>
          <w:rFonts w:asciiTheme="minorHAnsi" w:hAnsiTheme="minorHAnsi" w:cstheme="minorHAnsi"/>
          <w:b/>
          <w:sz w:val="20"/>
          <w:szCs w:val="20"/>
        </w:rPr>
      </w:pPr>
      <w:r w:rsidRPr="00845B07">
        <w:rPr>
          <w:rFonts w:asciiTheme="minorHAnsi" w:hAnsiTheme="minorHAnsi" w:cstheme="minorHAnsi"/>
          <w:b/>
          <w:sz w:val="20"/>
          <w:szCs w:val="20"/>
        </w:rPr>
        <w:t>Přehled schválených rozpočtových opatření k 31. 12. 2022:</w:t>
      </w:r>
    </w:p>
    <w:tbl>
      <w:tblPr>
        <w:tblStyle w:val="Mkatabulky"/>
        <w:tblW w:w="9776" w:type="dxa"/>
        <w:tblLook w:val="04A0" w:firstRow="1" w:lastRow="0" w:firstColumn="1" w:lastColumn="0" w:noHBand="0" w:noVBand="1"/>
      </w:tblPr>
      <w:tblGrid>
        <w:gridCol w:w="1498"/>
        <w:gridCol w:w="1116"/>
        <w:gridCol w:w="941"/>
        <w:gridCol w:w="4509"/>
        <w:gridCol w:w="1712"/>
      </w:tblGrid>
      <w:tr w:rsidR="00845B07" w:rsidRPr="00845B07" w:rsidTr="00845B07">
        <w:tc>
          <w:tcPr>
            <w:tcW w:w="1498" w:type="dxa"/>
            <w:shd w:val="clear" w:color="auto" w:fill="DBDBDB" w:themeFill="accent3" w:themeFillTint="66"/>
            <w:vAlign w:val="center"/>
          </w:tcPr>
          <w:p w:rsidR="00845B07" w:rsidRPr="008D5999" w:rsidRDefault="00845B07" w:rsidP="00845B07">
            <w:pPr>
              <w:jc w:val="center"/>
              <w:rPr>
                <w:rFonts w:asciiTheme="minorHAnsi" w:hAnsiTheme="minorHAnsi" w:cstheme="minorHAnsi"/>
                <w:b/>
                <w:sz w:val="18"/>
                <w:szCs w:val="18"/>
              </w:rPr>
            </w:pPr>
            <w:r w:rsidRPr="008D5999">
              <w:rPr>
                <w:rFonts w:asciiTheme="minorHAnsi" w:hAnsiTheme="minorHAnsi" w:cstheme="minorHAnsi"/>
                <w:b/>
                <w:sz w:val="18"/>
                <w:szCs w:val="18"/>
              </w:rPr>
              <w:t>Usn.č.</w:t>
            </w:r>
          </w:p>
        </w:tc>
        <w:tc>
          <w:tcPr>
            <w:tcW w:w="1116" w:type="dxa"/>
            <w:shd w:val="clear" w:color="auto" w:fill="DBDBDB" w:themeFill="accent3" w:themeFillTint="66"/>
            <w:vAlign w:val="center"/>
          </w:tcPr>
          <w:p w:rsidR="00845B07" w:rsidRPr="008D5999" w:rsidRDefault="00845B07" w:rsidP="00845B07">
            <w:pPr>
              <w:jc w:val="center"/>
              <w:rPr>
                <w:rFonts w:asciiTheme="minorHAnsi" w:hAnsiTheme="minorHAnsi" w:cstheme="minorHAnsi"/>
                <w:b/>
                <w:sz w:val="18"/>
                <w:szCs w:val="18"/>
              </w:rPr>
            </w:pPr>
            <w:r w:rsidRPr="008D5999">
              <w:rPr>
                <w:rFonts w:asciiTheme="minorHAnsi" w:hAnsiTheme="minorHAnsi" w:cstheme="minorHAnsi"/>
                <w:b/>
                <w:sz w:val="18"/>
                <w:szCs w:val="18"/>
              </w:rPr>
              <w:t>Datum</w:t>
            </w:r>
          </w:p>
        </w:tc>
        <w:tc>
          <w:tcPr>
            <w:tcW w:w="941" w:type="dxa"/>
            <w:shd w:val="clear" w:color="auto" w:fill="DBDBDB" w:themeFill="accent3" w:themeFillTint="66"/>
            <w:vAlign w:val="center"/>
          </w:tcPr>
          <w:p w:rsidR="00845B07" w:rsidRPr="008D5999" w:rsidRDefault="00845B07" w:rsidP="00845B07">
            <w:pPr>
              <w:jc w:val="center"/>
              <w:rPr>
                <w:rFonts w:asciiTheme="minorHAnsi" w:hAnsiTheme="minorHAnsi" w:cstheme="minorHAnsi"/>
                <w:b/>
                <w:sz w:val="18"/>
                <w:szCs w:val="18"/>
              </w:rPr>
            </w:pPr>
            <w:r w:rsidRPr="008D5999">
              <w:rPr>
                <w:rFonts w:asciiTheme="minorHAnsi" w:hAnsiTheme="minorHAnsi" w:cstheme="minorHAnsi"/>
                <w:b/>
                <w:sz w:val="18"/>
                <w:szCs w:val="18"/>
              </w:rPr>
              <w:t>Částka v tis. Kč</w:t>
            </w:r>
          </w:p>
        </w:tc>
        <w:tc>
          <w:tcPr>
            <w:tcW w:w="4509" w:type="dxa"/>
            <w:shd w:val="clear" w:color="auto" w:fill="DBDBDB" w:themeFill="accent3" w:themeFillTint="66"/>
            <w:vAlign w:val="center"/>
          </w:tcPr>
          <w:p w:rsidR="00845B07" w:rsidRPr="008D5999" w:rsidRDefault="00845B07" w:rsidP="00845B07">
            <w:pPr>
              <w:jc w:val="center"/>
              <w:rPr>
                <w:rFonts w:asciiTheme="minorHAnsi" w:hAnsiTheme="minorHAnsi" w:cstheme="minorHAnsi"/>
                <w:b/>
                <w:sz w:val="18"/>
                <w:szCs w:val="18"/>
              </w:rPr>
            </w:pPr>
            <w:r w:rsidRPr="008D5999">
              <w:rPr>
                <w:rFonts w:asciiTheme="minorHAnsi" w:hAnsiTheme="minorHAnsi" w:cstheme="minorHAnsi"/>
                <w:b/>
                <w:sz w:val="18"/>
                <w:szCs w:val="18"/>
              </w:rPr>
              <w:t>Rozpočtové opatření</w:t>
            </w:r>
          </w:p>
        </w:tc>
        <w:tc>
          <w:tcPr>
            <w:tcW w:w="1712" w:type="dxa"/>
            <w:shd w:val="clear" w:color="auto" w:fill="DBDBDB" w:themeFill="accent3" w:themeFillTint="66"/>
            <w:vAlign w:val="center"/>
          </w:tcPr>
          <w:p w:rsidR="00845B07" w:rsidRPr="008D5999" w:rsidRDefault="00845B07" w:rsidP="00845B07">
            <w:pPr>
              <w:jc w:val="center"/>
              <w:rPr>
                <w:rFonts w:asciiTheme="minorHAnsi" w:hAnsiTheme="minorHAnsi" w:cstheme="minorHAnsi"/>
                <w:b/>
                <w:sz w:val="18"/>
                <w:szCs w:val="18"/>
              </w:rPr>
            </w:pPr>
            <w:r w:rsidRPr="008D5999">
              <w:rPr>
                <w:rFonts w:asciiTheme="minorHAnsi" w:hAnsiTheme="minorHAnsi" w:cstheme="minorHAnsi"/>
                <w:b/>
                <w:sz w:val="18"/>
                <w:szCs w:val="18"/>
              </w:rPr>
              <w:t>Stupeň realizace</w:t>
            </w:r>
          </w:p>
        </w:tc>
      </w:tr>
      <w:tr w:rsidR="00845B07" w:rsidRPr="00845B07" w:rsidTr="00845B07">
        <w:tc>
          <w:tcPr>
            <w:tcW w:w="1498" w:type="dxa"/>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RM/2022/103/11</w:t>
            </w:r>
          </w:p>
        </w:tc>
        <w:tc>
          <w:tcPr>
            <w:tcW w:w="1116" w:type="dxa"/>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11.01.</w:t>
            </w:r>
          </w:p>
        </w:tc>
        <w:tc>
          <w:tcPr>
            <w:tcW w:w="941" w:type="dxa"/>
          </w:tcPr>
          <w:p w:rsidR="00845B07" w:rsidRPr="008D5999" w:rsidRDefault="00845B07" w:rsidP="00845B07">
            <w:pPr>
              <w:jc w:val="right"/>
              <w:rPr>
                <w:rFonts w:asciiTheme="minorHAnsi" w:hAnsiTheme="minorHAnsi" w:cstheme="minorHAnsi"/>
                <w:sz w:val="18"/>
                <w:szCs w:val="18"/>
              </w:rPr>
            </w:pPr>
            <w:r w:rsidRPr="008D5999">
              <w:rPr>
                <w:rFonts w:asciiTheme="minorHAnsi" w:hAnsiTheme="minorHAnsi" w:cstheme="minorHAnsi"/>
                <w:sz w:val="18"/>
                <w:szCs w:val="18"/>
              </w:rPr>
              <w:t>34,48</w:t>
            </w:r>
          </w:p>
        </w:tc>
        <w:tc>
          <w:tcPr>
            <w:tcW w:w="4509" w:type="dxa"/>
          </w:tcPr>
          <w:p w:rsidR="00845B07" w:rsidRPr="008D5999" w:rsidRDefault="00845B07" w:rsidP="00845B07">
            <w:pPr>
              <w:rPr>
                <w:rFonts w:asciiTheme="minorHAnsi" w:hAnsiTheme="minorHAnsi" w:cstheme="minorHAnsi"/>
                <w:sz w:val="18"/>
                <w:szCs w:val="18"/>
              </w:rPr>
            </w:pPr>
            <w:r w:rsidRPr="008D5999">
              <w:rPr>
                <w:rFonts w:asciiTheme="minorHAnsi" w:hAnsiTheme="minorHAnsi" w:cstheme="minorHAnsi"/>
                <w:sz w:val="18"/>
                <w:szCs w:val="18"/>
              </w:rPr>
              <w:t>DHDM – mlžící sprcha</w:t>
            </w:r>
          </w:p>
        </w:tc>
        <w:tc>
          <w:tcPr>
            <w:tcW w:w="1712" w:type="dxa"/>
          </w:tcPr>
          <w:p w:rsidR="00845B07" w:rsidRPr="008D5999" w:rsidRDefault="00845B07" w:rsidP="00845B07">
            <w:pPr>
              <w:rPr>
                <w:rFonts w:asciiTheme="minorHAnsi" w:hAnsiTheme="minorHAnsi" w:cstheme="minorHAnsi"/>
                <w:b/>
                <w:sz w:val="18"/>
                <w:szCs w:val="18"/>
              </w:rPr>
            </w:pPr>
            <w:r w:rsidRPr="008D5999">
              <w:rPr>
                <w:rFonts w:asciiTheme="minorHAnsi" w:hAnsiTheme="minorHAnsi" w:cstheme="minorHAnsi"/>
                <w:b/>
                <w:sz w:val="18"/>
                <w:szCs w:val="18"/>
              </w:rPr>
              <w:t>ROZOP realizováno</w:t>
            </w:r>
          </w:p>
        </w:tc>
      </w:tr>
      <w:tr w:rsidR="00845B07" w:rsidRPr="00845B07" w:rsidTr="00845B07">
        <w:tc>
          <w:tcPr>
            <w:tcW w:w="1498" w:type="dxa"/>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RM/2022/103/12</w:t>
            </w:r>
          </w:p>
        </w:tc>
        <w:tc>
          <w:tcPr>
            <w:tcW w:w="1116" w:type="dxa"/>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11.01.</w:t>
            </w:r>
          </w:p>
        </w:tc>
        <w:tc>
          <w:tcPr>
            <w:tcW w:w="941" w:type="dxa"/>
          </w:tcPr>
          <w:p w:rsidR="00845B07" w:rsidRPr="008D5999" w:rsidRDefault="00845B07" w:rsidP="00845B07">
            <w:pPr>
              <w:jc w:val="right"/>
              <w:rPr>
                <w:rFonts w:asciiTheme="minorHAnsi" w:hAnsiTheme="minorHAnsi" w:cstheme="minorHAnsi"/>
                <w:sz w:val="18"/>
                <w:szCs w:val="18"/>
              </w:rPr>
            </w:pPr>
            <w:r w:rsidRPr="008D5999">
              <w:rPr>
                <w:rFonts w:asciiTheme="minorHAnsi" w:hAnsiTheme="minorHAnsi" w:cstheme="minorHAnsi"/>
                <w:sz w:val="18"/>
                <w:szCs w:val="18"/>
              </w:rPr>
              <w:t>5 000,00</w:t>
            </w:r>
          </w:p>
        </w:tc>
        <w:tc>
          <w:tcPr>
            <w:tcW w:w="4509" w:type="dxa"/>
          </w:tcPr>
          <w:p w:rsidR="00845B07" w:rsidRPr="008D5999" w:rsidRDefault="00FD5B06" w:rsidP="00845B07">
            <w:pPr>
              <w:rPr>
                <w:rFonts w:asciiTheme="minorHAnsi" w:hAnsiTheme="minorHAnsi" w:cstheme="minorHAnsi"/>
                <w:sz w:val="18"/>
                <w:szCs w:val="18"/>
              </w:rPr>
            </w:pPr>
            <w:r>
              <w:rPr>
                <w:rFonts w:asciiTheme="minorHAnsi" w:hAnsiTheme="minorHAnsi" w:cstheme="minorHAnsi"/>
                <w:sz w:val="18"/>
                <w:szCs w:val="18"/>
              </w:rPr>
              <w:t>V</w:t>
            </w:r>
            <w:r w:rsidR="00845B07" w:rsidRPr="008D5999">
              <w:rPr>
                <w:rFonts w:asciiTheme="minorHAnsi" w:hAnsiTheme="minorHAnsi" w:cstheme="minorHAnsi"/>
                <w:sz w:val="18"/>
                <w:szCs w:val="18"/>
              </w:rPr>
              <w:t>ýdaje na úhradu nákl. spojených s údržbou byt. a nebyt. fondu</w:t>
            </w:r>
          </w:p>
        </w:tc>
        <w:tc>
          <w:tcPr>
            <w:tcW w:w="1712" w:type="dxa"/>
          </w:tcPr>
          <w:p w:rsidR="00845B07" w:rsidRPr="008D5999" w:rsidRDefault="00845B07" w:rsidP="00845B07">
            <w:pPr>
              <w:rPr>
                <w:rFonts w:asciiTheme="minorHAnsi" w:hAnsiTheme="minorHAnsi" w:cstheme="minorHAnsi"/>
                <w:b/>
                <w:sz w:val="18"/>
                <w:szCs w:val="18"/>
              </w:rPr>
            </w:pPr>
            <w:r w:rsidRPr="008D5999">
              <w:rPr>
                <w:rFonts w:asciiTheme="minorHAnsi" w:hAnsiTheme="minorHAnsi" w:cstheme="minorHAnsi"/>
                <w:b/>
                <w:sz w:val="18"/>
                <w:szCs w:val="18"/>
              </w:rPr>
              <w:t>ROZOP realizováno</w:t>
            </w:r>
          </w:p>
        </w:tc>
      </w:tr>
      <w:tr w:rsidR="00845B07" w:rsidRPr="00845B07" w:rsidTr="00845B07">
        <w:tc>
          <w:tcPr>
            <w:tcW w:w="1498" w:type="dxa"/>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RM/2022/107/37</w:t>
            </w:r>
          </w:p>
        </w:tc>
        <w:tc>
          <w:tcPr>
            <w:tcW w:w="1116" w:type="dxa"/>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08.02.</w:t>
            </w:r>
          </w:p>
        </w:tc>
        <w:tc>
          <w:tcPr>
            <w:tcW w:w="941" w:type="dxa"/>
          </w:tcPr>
          <w:p w:rsidR="00845B07" w:rsidRPr="008D5999" w:rsidRDefault="00845B07" w:rsidP="00845B07">
            <w:pPr>
              <w:jc w:val="right"/>
              <w:rPr>
                <w:rFonts w:asciiTheme="minorHAnsi" w:hAnsiTheme="minorHAnsi" w:cstheme="minorHAnsi"/>
                <w:sz w:val="18"/>
                <w:szCs w:val="18"/>
              </w:rPr>
            </w:pPr>
            <w:r w:rsidRPr="008D5999">
              <w:rPr>
                <w:rFonts w:asciiTheme="minorHAnsi" w:hAnsiTheme="minorHAnsi" w:cstheme="minorHAnsi"/>
                <w:sz w:val="18"/>
                <w:szCs w:val="18"/>
              </w:rPr>
              <w:t>5 996,60</w:t>
            </w:r>
          </w:p>
        </w:tc>
        <w:tc>
          <w:tcPr>
            <w:tcW w:w="4509" w:type="dxa"/>
          </w:tcPr>
          <w:p w:rsidR="00845B07" w:rsidRPr="008D5999" w:rsidRDefault="00845B07" w:rsidP="00845B07">
            <w:pPr>
              <w:rPr>
                <w:rFonts w:asciiTheme="minorHAnsi" w:hAnsiTheme="minorHAnsi" w:cstheme="minorHAnsi"/>
                <w:sz w:val="18"/>
                <w:szCs w:val="18"/>
              </w:rPr>
            </w:pPr>
            <w:r w:rsidRPr="008D5999">
              <w:rPr>
                <w:rFonts w:asciiTheme="minorHAnsi" w:hAnsiTheme="minorHAnsi" w:cstheme="minorHAnsi"/>
                <w:sz w:val="18"/>
                <w:szCs w:val="18"/>
              </w:rPr>
              <w:t>Fond zeleně – výsadba letniček, trvalkových záhonů, keřů, stromů a lučních směsí v travnatých plochách</w:t>
            </w:r>
          </w:p>
        </w:tc>
        <w:tc>
          <w:tcPr>
            <w:tcW w:w="1712" w:type="dxa"/>
          </w:tcPr>
          <w:p w:rsidR="00845B07" w:rsidRPr="008D5999" w:rsidRDefault="00845B07" w:rsidP="00845B07">
            <w:pPr>
              <w:rPr>
                <w:rFonts w:asciiTheme="minorHAnsi" w:hAnsiTheme="minorHAnsi" w:cstheme="minorHAnsi"/>
                <w:b/>
                <w:sz w:val="18"/>
                <w:szCs w:val="18"/>
              </w:rPr>
            </w:pPr>
            <w:r w:rsidRPr="008D5999">
              <w:rPr>
                <w:rFonts w:asciiTheme="minorHAnsi" w:hAnsiTheme="minorHAnsi" w:cstheme="minorHAnsi"/>
                <w:b/>
                <w:sz w:val="18"/>
                <w:szCs w:val="18"/>
              </w:rPr>
              <w:t>ROZOP realizováno</w:t>
            </w:r>
          </w:p>
        </w:tc>
      </w:tr>
      <w:tr w:rsidR="00845B07" w:rsidRPr="00845B07" w:rsidTr="00845B07">
        <w:tc>
          <w:tcPr>
            <w:tcW w:w="1498" w:type="dxa"/>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ZM/2022/29/17</w:t>
            </w:r>
          </w:p>
        </w:tc>
        <w:tc>
          <w:tcPr>
            <w:tcW w:w="1116" w:type="dxa"/>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22.02.</w:t>
            </w:r>
          </w:p>
        </w:tc>
        <w:tc>
          <w:tcPr>
            <w:tcW w:w="941" w:type="dxa"/>
          </w:tcPr>
          <w:p w:rsidR="00845B07" w:rsidRPr="008D5999" w:rsidRDefault="00845B07" w:rsidP="00845B07">
            <w:pPr>
              <w:jc w:val="right"/>
              <w:rPr>
                <w:rFonts w:asciiTheme="minorHAnsi" w:hAnsiTheme="minorHAnsi" w:cstheme="minorHAnsi"/>
                <w:sz w:val="18"/>
                <w:szCs w:val="18"/>
              </w:rPr>
            </w:pPr>
            <w:r w:rsidRPr="008D5999">
              <w:rPr>
                <w:rFonts w:asciiTheme="minorHAnsi" w:hAnsiTheme="minorHAnsi" w:cstheme="minorHAnsi"/>
                <w:sz w:val="18"/>
                <w:szCs w:val="18"/>
              </w:rPr>
              <w:t>1 020,00</w:t>
            </w:r>
          </w:p>
        </w:tc>
        <w:tc>
          <w:tcPr>
            <w:tcW w:w="4509" w:type="dxa"/>
          </w:tcPr>
          <w:p w:rsidR="00845B07" w:rsidRPr="008D5999" w:rsidRDefault="00FD5B06" w:rsidP="00845B07">
            <w:pPr>
              <w:rPr>
                <w:rFonts w:asciiTheme="minorHAnsi" w:hAnsiTheme="minorHAnsi" w:cstheme="minorHAnsi"/>
                <w:sz w:val="18"/>
                <w:szCs w:val="18"/>
              </w:rPr>
            </w:pPr>
            <w:r>
              <w:rPr>
                <w:rFonts w:asciiTheme="minorHAnsi" w:hAnsiTheme="minorHAnsi" w:cstheme="minorHAnsi"/>
                <w:sz w:val="18"/>
                <w:szCs w:val="18"/>
              </w:rPr>
              <w:t>R</w:t>
            </w:r>
            <w:r w:rsidR="00845B07" w:rsidRPr="008D5999">
              <w:rPr>
                <w:rFonts w:asciiTheme="minorHAnsi" w:hAnsiTheme="minorHAnsi" w:cstheme="minorHAnsi"/>
                <w:sz w:val="18"/>
                <w:szCs w:val="18"/>
              </w:rPr>
              <w:t>einvestice nájemného – opravy v budovách SŠ a muzea</w:t>
            </w:r>
          </w:p>
        </w:tc>
        <w:tc>
          <w:tcPr>
            <w:tcW w:w="1712" w:type="dxa"/>
          </w:tcPr>
          <w:p w:rsidR="00845B07" w:rsidRPr="008D5999" w:rsidRDefault="00845B07" w:rsidP="00845B07">
            <w:pPr>
              <w:rPr>
                <w:rFonts w:asciiTheme="minorHAnsi" w:hAnsiTheme="minorHAnsi" w:cstheme="minorHAnsi"/>
                <w:b/>
                <w:sz w:val="18"/>
                <w:szCs w:val="18"/>
              </w:rPr>
            </w:pPr>
            <w:r w:rsidRPr="008D5999">
              <w:rPr>
                <w:rFonts w:asciiTheme="minorHAnsi" w:hAnsiTheme="minorHAnsi" w:cstheme="minorHAnsi"/>
                <w:b/>
                <w:sz w:val="18"/>
                <w:szCs w:val="18"/>
              </w:rPr>
              <w:t>ROZOP realizováno</w:t>
            </w:r>
          </w:p>
        </w:tc>
      </w:tr>
      <w:tr w:rsidR="00845B07" w:rsidRPr="00845B07" w:rsidTr="00845B07">
        <w:tc>
          <w:tcPr>
            <w:tcW w:w="1498" w:type="dxa"/>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ZM/2022/29/33</w:t>
            </w:r>
          </w:p>
        </w:tc>
        <w:tc>
          <w:tcPr>
            <w:tcW w:w="1116" w:type="dxa"/>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22.02.</w:t>
            </w:r>
          </w:p>
        </w:tc>
        <w:tc>
          <w:tcPr>
            <w:tcW w:w="941" w:type="dxa"/>
          </w:tcPr>
          <w:p w:rsidR="00845B07" w:rsidRPr="008D5999" w:rsidRDefault="00845B07" w:rsidP="00845B07">
            <w:pPr>
              <w:jc w:val="right"/>
              <w:rPr>
                <w:rFonts w:asciiTheme="minorHAnsi" w:hAnsiTheme="minorHAnsi" w:cstheme="minorHAnsi"/>
                <w:sz w:val="18"/>
                <w:szCs w:val="18"/>
              </w:rPr>
            </w:pPr>
            <w:r w:rsidRPr="008D5999">
              <w:rPr>
                <w:rFonts w:asciiTheme="minorHAnsi" w:hAnsiTheme="minorHAnsi" w:cstheme="minorHAnsi"/>
                <w:sz w:val="18"/>
                <w:szCs w:val="18"/>
              </w:rPr>
              <w:t>21 530,00</w:t>
            </w:r>
          </w:p>
        </w:tc>
        <w:tc>
          <w:tcPr>
            <w:tcW w:w="4509" w:type="dxa"/>
          </w:tcPr>
          <w:p w:rsidR="00845B07" w:rsidRPr="008D5999" w:rsidRDefault="00FD5B06" w:rsidP="00845B07">
            <w:pPr>
              <w:rPr>
                <w:rFonts w:asciiTheme="minorHAnsi" w:hAnsiTheme="minorHAnsi" w:cstheme="minorHAnsi"/>
                <w:sz w:val="18"/>
                <w:szCs w:val="18"/>
              </w:rPr>
            </w:pPr>
            <w:r>
              <w:rPr>
                <w:rFonts w:asciiTheme="minorHAnsi" w:hAnsiTheme="minorHAnsi" w:cstheme="minorHAnsi"/>
                <w:sz w:val="18"/>
                <w:szCs w:val="18"/>
              </w:rPr>
              <w:t>V</w:t>
            </w:r>
            <w:r w:rsidR="00845B07" w:rsidRPr="008D5999">
              <w:rPr>
                <w:rFonts w:asciiTheme="minorHAnsi" w:hAnsiTheme="minorHAnsi" w:cstheme="minorHAnsi"/>
                <w:sz w:val="18"/>
                <w:szCs w:val="18"/>
              </w:rPr>
              <w:t>ýdaje na úhradu nákl. spojených s údržbou byt. a nebyt. fondu</w:t>
            </w:r>
          </w:p>
        </w:tc>
        <w:tc>
          <w:tcPr>
            <w:tcW w:w="1712" w:type="dxa"/>
          </w:tcPr>
          <w:p w:rsidR="00845B07" w:rsidRPr="008D5999" w:rsidRDefault="00845B07" w:rsidP="00845B07">
            <w:pPr>
              <w:rPr>
                <w:rFonts w:asciiTheme="minorHAnsi" w:hAnsiTheme="minorHAnsi" w:cstheme="minorHAnsi"/>
                <w:b/>
                <w:sz w:val="18"/>
                <w:szCs w:val="18"/>
              </w:rPr>
            </w:pPr>
            <w:r w:rsidRPr="008D5999">
              <w:rPr>
                <w:rFonts w:asciiTheme="minorHAnsi" w:hAnsiTheme="minorHAnsi" w:cstheme="minorHAnsi"/>
                <w:b/>
                <w:sz w:val="18"/>
                <w:szCs w:val="18"/>
              </w:rPr>
              <w:t>ROZOP realizováno</w:t>
            </w:r>
          </w:p>
        </w:tc>
      </w:tr>
      <w:tr w:rsidR="00845B07" w:rsidRPr="00845B07" w:rsidTr="00845B07">
        <w:tc>
          <w:tcPr>
            <w:tcW w:w="1498" w:type="dxa"/>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RM/2022/110/32</w:t>
            </w:r>
          </w:p>
        </w:tc>
        <w:tc>
          <w:tcPr>
            <w:tcW w:w="1116" w:type="dxa"/>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08.03.</w:t>
            </w:r>
          </w:p>
        </w:tc>
        <w:tc>
          <w:tcPr>
            <w:tcW w:w="941" w:type="dxa"/>
          </w:tcPr>
          <w:p w:rsidR="00845B07" w:rsidRPr="008D5999" w:rsidRDefault="00845B07" w:rsidP="00845B07">
            <w:pPr>
              <w:jc w:val="right"/>
              <w:rPr>
                <w:rFonts w:asciiTheme="minorHAnsi" w:hAnsiTheme="minorHAnsi" w:cstheme="minorHAnsi"/>
                <w:sz w:val="18"/>
                <w:szCs w:val="18"/>
              </w:rPr>
            </w:pPr>
            <w:r w:rsidRPr="008D5999">
              <w:rPr>
                <w:rFonts w:asciiTheme="minorHAnsi" w:hAnsiTheme="minorHAnsi" w:cstheme="minorHAnsi"/>
                <w:sz w:val="18"/>
                <w:szCs w:val="18"/>
              </w:rPr>
              <w:t>1 045,40</w:t>
            </w:r>
          </w:p>
        </w:tc>
        <w:tc>
          <w:tcPr>
            <w:tcW w:w="4509" w:type="dxa"/>
          </w:tcPr>
          <w:p w:rsidR="00845B07" w:rsidRPr="008D5999" w:rsidRDefault="00FD5B06" w:rsidP="00845B07">
            <w:pPr>
              <w:rPr>
                <w:rFonts w:asciiTheme="minorHAnsi" w:hAnsiTheme="minorHAnsi" w:cstheme="minorHAnsi"/>
                <w:sz w:val="18"/>
                <w:szCs w:val="18"/>
              </w:rPr>
            </w:pPr>
            <w:r>
              <w:rPr>
                <w:rFonts w:asciiTheme="minorHAnsi" w:hAnsiTheme="minorHAnsi" w:cstheme="minorHAnsi"/>
                <w:sz w:val="18"/>
                <w:szCs w:val="18"/>
              </w:rPr>
              <w:t>R</w:t>
            </w:r>
            <w:r w:rsidR="00845B07" w:rsidRPr="008D5999">
              <w:rPr>
                <w:rFonts w:asciiTheme="minorHAnsi" w:hAnsiTheme="minorHAnsi" w:cstheme="minorHAnsi"/>
                <w:sz w:val="18"/>
                <w:szCs w:val="18"/>
              </w:rPr>
              <w:t>evitalizace biokoridoru Hloučela</w:t>
            </w:r>
          </w:p>
        </w:tc>
        <w:tc>
          <w:tcPr>
            <w:tcW w:w="1712" w:type="dxa"/>
          </w:tcPr>
          <w:p w:rsidR="00845B07" w:rsidRPr="008D5999" w:rsidRDefault="00845B07" w:rsidP="00845B07">
            <w:pPr>
              <w:rPr>
                <w:rFonts w:asciiTheme="minorHAnsi" w:hAnsiTheme="minorHAnsi" w:cstheme="minorHAnsi"/>
                <w:b/>
                <w:sz w:val="18"/>
                <w:szCs w:val="18"/>
              </w:rPr>
            </w:pPr>
            <w:r w:rsidRPr="008D5999">
              <w:rPr>
                <w:rFonts w:asciiTheme="minorHAnsi" w:hAnsiTheme="minorHAnsi" w:cstheme="minorHAnsi"/>
                <w:b/>
                <w:sz w:val="18"/>
                <w:szCs w:val="18"/>
              </w:rPr>
              <w:t>ROZOP realizováno</w:t>
            </w:r>
          </w:p>
        </w:tc>
      </w:tr>
      <w:tr w:rsidR="00845B07" w:rsidRPr="00845B07" w:rsidTr="00845B07">
        <w:tc>
          <w:tcPr>
            <w:tcW w:w="1498" w:type="dxa"/>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RM/2022/113/56</w:t>
            </w:r>
          </w:p>
        </w:tc>
        <w:tc>
          <w:tcPr>
            <w:tcW w:w="1116" w:type="dxa"/>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19.04.</w:t>
            </w:r>
          </w:p>
        </w:tc>
        <w:tc>
          <w:tcPr>
            <w:tcW w:w="941" w:type="dxa"/>
          </w:tcPr>
          <w:p w:rsidR="00845B07" w:rsidRPr="008D5999" w:rsidRDefault="00845B07" w:rsidP="00845B07">
            <w:pPr>
              <w:jc w:val="right"/>
              <w:rPr>
                <w:rFonts w:asciiTheme="minorHAnsi" w:hAnsiTheme="minorHAnsi" w:cstheme="minorHAnsi"/>
                <w:sz w:val="18"/>
                <w:szCs w:val="18"/>
              </w:rPr>
            </w:pPr>
            <w:r w:rsidRPr="008D5999">
              <w:rPr>
                <w:rFonts w:asciiTheme="minorHAnsi" w:hAnsiTheme="minorHAnsi" w:cstheme="minorHAnsi"/>
                <w:sz w:val="18"/>
                <w:szCs w:val="18"/>
              </w:rPr>
              <w:t>50,00</w:t>
            </w:r>
          </w:p>
        </w:tc>
        <w:tc>
          <w:tcPr>
            <w:tcW w:w="4509" w:type="dxa"/>
          </w:tcPr>
          <w:p w:rsidR="00845B07" w:rsidRPr="008D5999" w:rsidRDefault="00FD5B06" w:rsidP="00845B07">
            <w:pPr>
              <w:rPr>
                <w:rFonts w:asciiTheme="minorHAnsi" w:hAnsiTheme="minorHAnsi" w:cstheme="minorHAnsi"/>
                <w:sz w:val="18"/>
                <w:szCs w:val="18"/>
              </w:rPr>
            </w:pPr>
            <w:r>
              <w:rPr>
                <w:rFonts w:asciiTheme="minorHAnsi" w:hAnsiTheme="minorHAnsi" w:cstheme="minorHAnsi"/>
                <w:sz w:val="18"/>
                <w:szCs w:val="18"/>
              </w:rPr>
              <w:t>Ú</w:t>
            </w:r>
            <w:r w:rsidR="00845B07" w:rsidRPr="008D5999">
              <w:rPr>
                <w:rFonts w:asciiTheme="minorHAnsi" w:hAnsiTheme="minorHAnsi" w:cstheme="minorHAnsi"/>
                <w:sz w:val="18"/>
                <w:szCs w:val="18"/>
              </w:rPr>
              <w:t>hrada energií (el. energie, voda) – Husovo nám. 91</w:t>
            </w:r>
          </w:p>
        </w:tc>
        <w:tc>
          <w:tcPr>
            <w:tcW w:w="1712" w:type="dxa"/>
          </w:tcPr>
          <w:p w:rsidR="00845B07" w:rsidRPr="008D5999" w:rsidRDefault="00845B07" w:rsidP="00845B07">
            <w:pPr>
              <w:rPr>
                <w:rFonts w:asciiTheme="minorHAnsi" w:hAnsiTheme="minorHAnsi" w:cstheme="minorHAnsi"/>
                <w:b/>
                <w:sz w:val="18"/>
                <w:szCs w:val="18"/>
              </w:rPr>
            </w:pPr>
            <w:r w:rsidRPr="008D5999">
              <w:rPr>
                <w:rFonts w:asciiTheme="minorHAnsi" w:hAnsiTheme="minorHAnsi" w:cstheme="minorHAnsi"/>
                <w:b/>
                <w:sz w:val="18"/>
                <w:szCs w:val="18"/>
              </w:rPr>
              <w:t>ROZOP realizováno</w:t>
            </w:r>
          </w:p>
        </w:tc>
      </w:tr>
      <w:tr w:rsidR="00845B07" w:rsidRPr="00845B07" w:rsidTr="00845B07">
        <w:tc>
          <w:tcPr>
            <w:tcW w:w="1498" w:type="dxa"/>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RM/2022/119/51</w:t>
            </w:r>
          </w:p>
        </w:tc>
        <w:tc>
          <w:tcPr>
            <w:tcW w:w="1116" w:type="dxa"/>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28.06.</w:t>
            </w:r>
          </w:p>
        </w:tc>
        <w:tc>
          <w:tcPr>
            <w:tcW w:w="941" w:type="dxa"/>
          </w:tcPr>
          <w:p w:rsidR="00845B07" w:rsidRPr="008D5999" w:rsidRDefault="00845B07" w:rsidP="00845B07">
            <w:pPr>
              <w:jc w:val="right"/>
              <w:rPr>
                <w:rFonts w:asciiTheme="minorHAnsi" w:hAnsiTheme="minorHAnsi" w:cstheme="minorHAnsi"/>
                <w:sz w:val="18"/>
                <w:szCs w:val="18"/>
              </w:rPr>
            </w:pPr>
            <w:r w:rsidRPr="008D5999">
              <w:rPr>
                <w:rFonts w:asciiTheme="minorHAnsi" w:hAnsiTheme="minorHAnsi" w:cstheme="minorHAnsi"/>
                <w:sz w:val="18"/>
                <w:szCs w:val="18"/>
              </w:rPr>
              <w:t>1 322,48</w:t>
            </w:r>
          </w:p>
        </w:tc>
        <w:tc>
          <w:tcPr>
            <w:tcW w:w="4509" w:type="dxa"/>
          </w:tcPr>
          <w:p w:rsidR="00845B07" w:rsidRPr="008D5999" w:rsidRDefault="00FD5B06" w:rsidP="00845B07">
            <w:pPr>
              <w:rPr>
                <w:rFonts w:asciiTheme="minorHAnsi" w:hAnsiTheme="minorHAnsi" w:cstheme="minorHAnsi"/>
                <w:sz w:val="18"/>
                <w:szCs w:val="18"/>
              </w:rPr>
            </w:pPr>
            <w:r>
              <w:rPr>
                <w:rFonts w:asciiTheme="minorHAnsi" w:hAnsiTheme="minorHAnsi" w:cstheme="minorHAnsi"/>
                <w:sz w:val="18"/>
                <w:szCs w:val="18"/>
              </w:rPr>
              <w:t>R</w:t>
            </w:r>
            <w:r w:rsidR="00845B07" w:rsidRPr="008D5999">
              <w:rPr>
                <w:rFonts w:asciiTheme="minorHAnsi" w:hAnsiTheme="minorHAnsi" w:cstheme="minorHAnsi"/>
                <w:sz w:val="18"/>
                <w:szCs w:val="18"/>
              </w:rPr>
              <w:t>ekonstrukce VO (Kolářovy sady a okolní ulice)</w:t>
            </w:r>
          </w:p>
        </w:tc>
        <w:tc>
          <w:tcPr>
            <w:tcW w:w="1712" w:type="dxa"/>
          </w:tcPr>
          <w:p w:rsidR="00845B07" w:rsidRPr="008D5999" w:rsidRDefault="00845B07" w:rsidP="00845B07">
            <w:pPr>
              <w:rPr>
                <w:rFonts w:asciiTheme="minorHAnsi" w:hAnsiTheme="minorHAnsi" w:cstheme="minorHAnsi"/>
                <w:b/>
                <w:sz w:val="18"/>
                <w:szCs w:val="18"/>
              </w:rPr>
            </w:pPr>
            <w:r w:rsidRPr="008D5999">
              <w:rPr>
                <w:rFonts w:asciiTheme="minorHAnsi" w:hAnsiTheme="minorHAnsi" w:cstheme="minorHAnsi"/>
                <w:b/>
                <w:sz w:val="18"/>
                <w:szCs w:val="18"/>
              </w:rPr>
              <w:t>ROZOP realizováno</w:t>
            </w:r>
          </w:p>
        </w:tc>
      </w:tr>
      <w:tr w:rsidR="00845B07" w:rsidRPr="00845B07" w:rsidTr="00845B07">
        <w:tc>
          <w:tcPr>
            <w:tcW w:w="1498" w:type="dxa"/>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RM/2022/119/52</w:t>
            </w:r>
          </w:p>
        </w:tc>
        <w:tc>
          <w:tcPr>
            <w:tcW w:w="1116" w:type="dxa"/>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28.06.</w:t>
            </w:r>
          </w:p>
        </w:tc>
        <w:tc>
          <w:tcPr>
            <w:tcW w:w="941" w:type="dxa"/>
          </w:tcPr>
          <w:p w:rsidR="00845B07" w:rsidRPr="008D5999" w:rsidRDefault="00845B07" w:rsidP="00845B07">
            <w:pPr>
              <w:jc w:val="right"/>
              <w:rPr>
                <w:rFonts w:asciiTheme="minorHAnsi" w:hAnsiTheme="minorHAnsi" w:cstheme="minorHAnsi"/>
                <w:sz w:val="18"/>
                <w:szCs w:val="18"/>
              </w:rPr>
            </w:pPr>
            <w:r w:rsidRPr="008D5999">
              <w:rPr>
                <w:rFonts w:asciiTheme="minorHAnsi" w:hAnsiTheme="minorHAnsi" w:cstheme="minorHAnsi"/>
                <w:sz w:val="18"/>
                <w:szCs w:val="18"/>
              </w:rPr>
              <w:t>763,11</w:t>
            </w:r>
          </w:p>
        </w:tc>
        <w:tc>
          <w:tcPr>
            <w:tcW w:w="4509" w:type="dxa"/>
          </w:tcPr>
          <w:p w:rsidR="00845B07" w:rsidRPr="008D5999" w:rsidRDefault="00FD5B06" w:rsidP="00845B07">
            <w:pPr>
              <w:rPr>
                <w:rFonts w:asciiTheme="minorHAnsi" w:hAnsiTheme="minorHAnsi" w:cstheme="minorHAnsi"/>
                <w:sz w:val="18"/>
                <w:szCs w:val="18"/>
              </w:rPr>
            </w:pPr>
            <w:r>
              <w:rPr>
                <w:rFonts w:asciiTheme="minorHAnsi" w:hAnsiTheme="minorHAnsi" w:cstheme="minorHAnsi"/>
                <w:sz w:val="18"/>
                <w:szCs w:val="18"/>
              </w:rPr>
              <w:t>V</w:t>
            </w:r>
            <w:r w:rsidR="00845B07" w:rsidRPr="008D5999">
              <w:rPr>
                <w:rFonts w:asciiTheme="minorHAnsi" w:hAnsiTheme="minorHAnsi" w:cstheme="minorHAnsi"/>
                <w:sz w:val="18"/>
                <w:szCs w:val="18"/>
              </w:rPr>
              <w:t>yúčtování služeb obecného hospodářského zájmu</w:t>
            </w:r>
          </w:p>
        </w:tc>
        <w:tc>
          <w:tcPr>
            <w:tcW w:w="1712" w:type="dxa"/>
          </w:tcPr>
          <w:p w:rsidR="00845B07" w:rsidRPr="008D5999" w:rsidRDefault="00845B07" w:rsidP="00845B07">
            <w:pPr>
              <w:rPr>
                <w:rFonts w:asciiTheme="minorHAnsi" w:hAnsiTheme="minorHAnsi" w:cstheme="minorHAnsi"/>
                <w:b/>
                <w:sz w:val="18"/>
                <w:szCs w:val="18"/>
              </w:rPr>
            </w:pPr>
            <w:r w:rsidRPr="008D5999">
              <w:rPr>
                <w:rFonts w:asciiTheme="minorHAnsi" w:hAnsiTheme="minorHAnsi" w:cstheme="minorHAnsi"/>
                <w:b/>
                <w:sz w:val="18"/>
                <w:szCs w:val="18"/>
              </w:rPr>
              <w:t>ROZOP realizováno</w:t>
            </w:r>
          </w:p>
        </w:tc>
      </w:tr>
      <w:tr w:rsidR="00845B07" w:rsidRPr="00845B07" w:rsidTr="00845B07">
        <w:tc>
          <w:tcPr>
            <w:tcW w:w="1498" w:type="dxa"/>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RM/2022/120/23</w:t>
            </w:r>
          </w:p>
        </w:tc>
        <w:tc>
          <w:tcPr>
            <w:tcW w:w="1116" w:type="dxa"/>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12.07.</w:t>
            </w:r>
          </w:p>
        </w:tc>
        <w:tc>
          <w:tcPr>
            <w:tcW w:w="941" w:type="dxa"/>
          </w:tcPr>
          <w:p w:rsidR="00845B07" w:rsidRPr="008D5999" w:rsidRDefault="00845B07" w:rsidP="00845B07">
            <w:pPr>
              <w:jc w:val="right"/>
              <w:rPr>
                <w:rFonts w:asciiTheme="minorHAnsi" w:hAnsiTheme="minorHAnsi" w:cstheme="minorHAnsi"/>
                <w:sz w:val="18"/>
                <w:szCs w:val="18"/>
              </w:rPr>
            </w:pPr>
            <w:r w:rsidRPr="008D5999">
              <w:rPr>
                <w:rFonts w:asciiTheme="minorHAnsi" w:hAnsiTheme="minorHAnsi" w:cstheme="minorHAnsi"/>
                <w:sz w:val="18"/>
                <w:szCs w:val="18"/>
              </w:rPr>
              <w:t>147,62</w:t>
            </w:r>
          </w:p>
        </w:tc>
        <w:tc>
          <w:tcPr>
            <w:tcW w:w="4509" w:type="dxa"/>
          </w:tcPr>
          <w:p w:rsidR="00845B07" w:rsidRPr="008D5999" w:rsidRDefault="00FD5B06" w:rsidP="00845B07">
            <w:pPr>
              <w:rPr>
                <w:rFonts w:asciiTheme="minorHAnsi" w:hAnsiTheme="minorHAnsi" w:cstheme="minorHAnsi"/>
                <w:sz w:val="18"/>
                <w:szCs w:val="18"/>
              </w:rPr>
            </w:pPr>
            <w:r>
              <w:rPr>
                <w:rFonts w:asciiTheme="minorHAnsi" w:hAnsiTheme="minorHAnsi" w:cstheme="minorHAnsi"/>
                <w:sz w:val="18"/>
                <w:szCs w:val="18"/>
              </w:rPr>
              <w:t>P</w:t>
            </w:r>
            <w:r w:rsidR="00845B07" w:rsidRPr="008D5999">
              <w:rPr>
                <w:rFonts w:asciiTheme="minorHAnsi" w:hAnsiTheme="minorHAnsi" w:cstheme="minorHAnsi"/>
                <w:sz w:val="18"/>
                <w:szCs w:val="18"/>
              </w:rPr>
              <w:t>řevody prostředků z likvidace pojistného plnění</w:t>
            </w:r>
          </w:p>
        </w:tc>
        <w:tc>
          <w:tcPr>
            <w:tcW w:w="1712" w:type="dxa"/>
          </w:tcPr>
          <w:p w:rsidR="00845B07" w:rsidRPr="008D5999" w:rsidRDefault="00845B07" w:rsidP="00845B07">
            <w:pPr>
              <w:rPr>
                <w:rFonts w:asciiTheme="minorHAnsi" w:hAnsiTheme="minorHAnsi" w:cstheme="minorHAnsi"/>
                <w:b/>
                <w:sz w:val="18"/>
                <w:szCs w:val="18"/>
              </w:rPr>
            </w:pPr>
            <w:r w:rsidRPr="008D5999">
              <w:rPr>
                <w:rFonts w:asciiTheme="minorHAnsi" w:hAnsiTheme="minorHAnsi" w:cstheme="minorHAnsi"/>
                <w:b/>
                <w:sz w:val="18"/>
                <w:szCs w:val="18"/>
              </w:rPr>
              <w:t>ROZOP realizováno</w:t>
            </w:r>
          </w:p>
        </w:tc>
      </w:tr>
      <w:tr w:rsidR="00845B07" w:rsidRPr="00845B07" w:rsidTr="00845B07">
        <w:tc>
          <w:tcPr>
            <w:tcW w:w="1498" w:type="dxa"/>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RM/2022/121/37</w:t>
            </w:r>
          </w:p>
        </w:tc>
        <w:tc>
          <w:tcPr>
            <w:tcW w:w="1116" w:type="dxa"/>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02.08.</w:t>
            </w:r>
          </w:p>
        </w:tc>
        <w:tc>
          <w:tcPr>
            <w:tcW w:w="941" w:type="dxa"/>
          </w:tcPr>
          <w:p w:rsidR="00845B07" w:rsidRPr="008D5999" w:rsidRDefault="00845B07" w:rsidP="00845B07">
            <w:pPr>
              <w:jc w:val="right"/>
              <w:rPr>
                <w:rFonts w:asciiTheme="minorHAnsi" w:hAnsiTheme="minorHAnsi" w:cstheme="minorHAnsi"/>
                <w:sz w:val="18"/>
                <w:szCs w:val="18"/>
              </w:rPr>
            </w:pPr>
            <w:r w:rsidRPr="008D5999">
              <w:rPr>
                <w:rFonts w:asciiTheme="minorHAnsi" w:hAnsiTheme="minorHAnsi" w:cstheme="minorHAnsi"/>
                <w:sz w:val="18"/>
                <w:szCs w:val="18"/>
              </w:rPr>
              <w:t>941,26</w:t>
            </w:r>
          </w:p>
        </w:tc>
        <w:tc>
          <w:tcPr>
            <w:tcW w:w="4509" w:type="dxa"/>
          </w:tcPr>
          <w:p w:rsidR="00845B07" w:rsidRPr="008D5999" w:rsidRDefault="00FD5B06" w:rsidP="00845B07">
            <w:pPr>
              <w:rPr>
                <w:rFonts w:asciiTheme="minorHAnsi" w:hAnsiTheme="minorHAnsi" w:cstheme="minorHAnsi"/>
                <w:sz w:val="18"/>
                <w:szCs w:val="18"/>
              </w:rPr>
            </w:pPr>
            <w:r>
              <w:rPr>
                <w:rFonts w:asciiTheme="minorHAnsi" w:hAnsiTheme="minorHAnsi" w:cstheme="minorHAnsi"/>
                <w:sz w:val="18"/>
                <w:szCs w:val="18"/>
              </w:rPr>
              <w:t>R</w:t>
            </w:r>
            <w:r w:rsidR="00845B07" w:rsidRPr="008D5999">
              <w:rPr>
                <w:rFonts w:asciiTheme="minorHAnsi" w:hAnsiTheme="minorHAnsi" w:cstheme="minorHAnsi"/>
                <w:sz w:val="18"/>
                <w:szCs w:val="18"/>
              </w:rPr>
              <w:t>ekonstrukce VO na sídl. Svobody</w:t>
            </w:r>
          </w:p>
        </w:tc>
        <w:tc>
          <w:tcPr>
            <w:tcW w:w="1712" w:type="dxa"/>
          </w:tcPr>
          <w:p w:rsidR="00845B07" w:rsidRPr="008D5999" w:rsidRDefault="00845B07" w:rsidP="00845B07">
            <w:pPr>
              <w:rPr>
                <w:rFonts w:asciiTheme="minorHAnsi" w:hAnsiTheme="minorHAnsi" w:cstheme="minorHAnsi"/>
                <w:b/>
                <w:sz w:val="18"/>
                <w:szCs w:val="18"/>
              </w:rPr>
            </w:pPr>
            <w:r w:rsidRPr="008D5999">
              <w:rPr>
                <w:rFonts w:asciiTheme="minorHAnsi" w:hAnsiTheme="minorHAnsi" w:cstheme="minorHAnsi"/>
                <w:b/>
                <w:sz w:val="18"/>
                <w:szCs w:val="18"/>
              </w:rPr>
              <w:t>ROZOP realizováno</w:t>
            </w:r>
          </w:p>
        </w:tc>
      </w:tr>
      <w:tr w:rsidR="00845B07" w:rsidRPr="00845B07" w:rsidTr="00845B07">
        <w:tc>
          <w:tcPr>
            <w:tcW w:w="1498" w:type="dxa"/>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RM/2022/126/23</w:t>
            </w:r>
          </w:p>
        </w:tc>
        <w:tc>
          <w:tcPr>
            <w:tcW w:w="1116" w:type="dxa"/>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10.10.</w:t>
            </w:r>
          </w:p>
        </w:tc>
        <w:tc>
          <w:tcPr>
            <w:tcW w:w="941" w:type="dxa"/>
          </w:tcPr>
          <w:p w:rsidR="00845B07" w:rsidRPr="008D5999" w:rsidRDefault="00845B07" w:rsidP="00845B07">
            <w:pPr>
              <w:jc w:val="right"/>
              <w:rPr>
                <w:rFonts w:asciiTheme="minorHAnsi" w:hAnsiTheme="minorHAnsi" w:cstheme="minorHAnsi"/>
                <w:sz w:val="18"/>
                <w:szCs w:val="18"/>
              </w:rPr>
            </w:pPr>
            <w:r w:rsidRPr="008D5999">
              <w:rPr>
                <w:rFonts w:asciiTheme="minorHAnsi" w:hAnsiTheme="minorHAnsi" w:cstheme="minorHAnsi"/>
                <w:sz w:val="18"/>
                <w:szCs w:val="18"/>
              </w:rPr>
              <w:t>4 000,00</w:t>
            </w:r>
          </w:p>
        </w:tc>
        <w:tc>
          <w:tcPr>
            <w:tcW w:w="4509" w:type="dxa"/>
          </w:tcPr>
          <w:p w:rsidR="00845B07" w:rsidRPr="008D5999" w:rsidRDefault="00FD5B06" w:rsidP="00845B07">
            <w:pPr>
              <w:rPr>
                <w:rFonts w:asciiTheme="minorHAnsi" w:hAnsiTheme="minorHAnsi" w:cstheme="minorHAnsi"/>
                <w:sz w:val="18"/>
                <w:szCs w:val="18"/>
              </w:rPr>
            </w:pPr>
            <w:r>
              <w:rPr>
                <w:rFonts w:asciiTheme="minorHAnsi" w:hAnsiTheme="minorHAnsi" w:cstheme="minorHAnsi"/>
                <w:sz w:val="18"/>
                <w:szCs w:val="18"/>
              </w:rPr>
              <w:t>Navýšení finančních</w:t>
            </w:r>
            <w:r w:rsidR="00845B07" w:rsidRPr="008D5999">
              <w:rPr>
                <w:rFonts w:asciiTheme="minorHAnsi" w:hAnsiTheme="minorHAnsi" w:cstheme="minorHAnsi"/>
                <w:sz w:val="18"/>
                <w:szCs w:val="18"/>
              </w:rPr>
              <w:t xml:space="preserve"> prostředků – služby, komunální odpad</w:t>
            </w:r>
          </w:p>
        </w:tc>
        <w:tc>
          <w:tcPr>
            <w:tcW w:w="1712" w:type="dxa"/>
          </w:tcPr>
          <w:p w:rsidR="00845B07" w:rsidRPr="008D5999" w:rsidRDefault="00845B07" w:rsidP="00845B07">
            <w:pPr>
              <w:rPr>
                <w:rFonts w:asciiTheme="minorHAnsi" w:hAnsiTheme="minorHAnsi" w:cstheme="minorHAnsi"/>
                <w:b/>
                <w:sz w:val="18"/>
                <w:szCs w:val="18"/>
              </w:rPr>
            </w:pPr>
            <w:r w:rsidRPr="008D5999">
              <w:rPr>
                <w:rFonts w:asciiTheme="minorHAnsi" w:hAnsiTheme="minorHAnsi" w:cstheme="minorHAnsi"/>
                <w:b/>
                <w:sz w:val="18"/>
                <w:szCs w:val="18"/>
              </w:rPr>
              <w:t xml:space="preserve">ROZOP realizováno </w:t>
            </w:r>
          </w:p>
        </w:tc>
      </w:tr>
      <w:tr w:rsidR="00845B07" w:rsidRPr="00845B07" w:rsidTr="00845B07">
        <w:tc>
          <w:tcPr>
            <w:tcW w:w="1498" w:type="dxa"/>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RM/2022/04/24</w:t>
            </w:r>
          </w:p>
        </w:tc>
        <w:tc>
          <w:tcPr>
            <w:tcW w:w="1116" w:type="dxa"/>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23.11.</w:t>
            </w:r>
          </w:p>
        </w:tc>
        <w:tc>
          <w:tcPr>
            <w:tcW w:w="941" w:type="dxa"/>
          </w:tcPr>
          <w:p w:rsidR="00845B07" w:rsidRPr="008D5999" w:rsidRDefault="00845B07" w:rsidP="00845B07">
            <w:pPr>
              <w:jc w:val="right"/>
              <w:rPr>
                <w:rFonts w:asciiTheme="minorHAnsi" w:hAnsiTheme="minorHAnsi" w:cstheme="minorHAnsi"/>
                <w:sz w:val="18"/>
                <w:szCs w:val="18"/>
              </w:rPr>
            </w:pPr>
            <w:r w:rsidRPr="008D5999">
              <w:rPr>
                <w:rFonts w:asciiTheme="minorHAnsi" w:hAnsiTheme="minorHAnsi" w:cstheme="minorHAnsi"/>
                <w:sz w:val="18"/>
                <w:szCs w:val="18"/>
              </w:rPr>
              <w:t>1 305,17</w:t>
            </w:r>
          </w:p>
        </w:tc>
        <w:tc>
          <w:tcPr>
            <w:tcW w:w="4509" w:type="dxa"/>
          </w:tcPr>
          <w:p w:rsidR="00845B07" w:rsidRPr="008D5999" w:rsidRDefault="00FD5B06" w:rsidP="00845B07">
            <w:pPr>
              <w:rPr>
                <w:rFonts w:asciiTheme="minorHAnsi" w:hAnsiTheme="minorHAnsi" w:cstheme="minorHAnsi"/>
                <w:sz w:val="18"/>
                <w:szCs w:val="18"/>
              </w:rPr>
            </w:pPr>
            <w:r>
              <w:rPr>
                <w:rFonts w:asciiTheme="minorHAnsi" w:hAnsiTheme="minorHAnsi" w:cstheme="minorHAnsi"/>
                <w:sz w:val="18"/>
                <w:szCs w:val="18"/>
              </w:rPr>
              <w:t>Ú</w:t>
            </w:r>
            <w:r w:rsidR="00845B07" w:rsidRPr="008D5999">
              <w:rPr>
                <w:rFonts w:asciiTheme="minorHAnsi" w:hAnsiTheme="minorHAnsi" w:cstheme="minorHAnsi"/>
                <w:sz w:val="18"/>
                <w:szCs w:val="18"/>
              </w:rPr>
              <w:t>prava rozpočtu kapitoly 90</w:t>
            </w:r>
          </w:p>
        </w:tc>
        <w:tc>
          <w:tcPr>
            <w:tcW w:w="1712" w:type="dxa"/>
          </w:tcPr>
          <w:p w:rsidR="00845B07" w:rsidRPr="008D5999" w:rsidRDefault="00845B07" w:rsidP="00845B07">
            <w:pPr>
              <w:rPr>
                <w:rFonts w:asciiTheme="minorHAnsi" w:hAnsiTheme="minorHAnsi" w:cstheme="minorHAnsi"/>
                <w:b/>
                <w:sz w:val="18"/>
                <w:szCs w:val="18"/>
              </w:rPr>
            </w:pPr>
            <w:r w:rsidRPr="008D5999">
              <w:rPr>
                <w:rFonts w:asciiTheme="minorHAnsi" w:hAnsiTheme="minorHAnsi" w:cstheme="minorHAnsi"/>
                <w:b/>
                <w:sz w:val="18"/>
                <w:szCs w:val="18"/>
              </w:rPr>
              <w:t>ROZOP realizováno</w:t>
            </w:r>
          </w:p>
        </w:tc>
      </w:tr>
      <w:tr w:rsidR="00845B07" w:rsidRPr="00845B07" w:rsidTr="00845B07">
        <w:tc>
          <w:tcPr>
            <w:tcW w:w="1498" w:type="dxa"/>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RM/2022/05/60</w:t>
            </w:r>
          </w:p>
        </w:tc>
        <w:tc>
          <w:tcPr>
            <w:tcW w:w="1116" w:type="dxa"/>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06.12.</w:t>
            </w:r>
          </w:p>
        </w:tc>
        <w:tc>
          <w:tcPr>
            <w:tcW w:w="941" w:type="dxa"/>
          </w:tcPr>
          <w:p w:rsidR="00845B07" w:rsidRPr="008D5999" w:rsidRDefault="00845B07" w:rsidP="00845B07">
            <w:pPr>
              <w:jc w:val="right"/>
              <w:rPr>
                <w:rFonts w:asciiTheme="minorHAnsi" w:hAnsiTheme="minorHAnsi" w:cstheme="minorHAnsi"/>
                <w:sz w:val="18"/>
                <w:szCs w:val="18"/>
              </w:rPr>
            </w:pPr>
            <w:r w:rsidRPr="008D5999">
              <w:rPr>
                <w:rFonts w:asciiTheme="minorHAnsi" w:hAnsiTheme="minorHAnsi" w:cstheme="minorHAnsi"/>
                <w:sz w:val="18"/>
                <w:szCs w:val="18"/>
              </w:rPr>
              <w:t>450,00</w:t>
            </w:r>
          </w:p>
        </w:tc>
        <w:tc>
          <w:tcPr>
            <w:tcW w:w="4509" w:type="dxa"/>
          </w:tcPr>
          <w:p w:rsidR="00845B07" w:rsidRPr="008D5999" w:rsidRDefault="00FD5B06" w:rsidP="00845B07">
            <w:pPr>
              <w:rPr>
                <w:rFonts w:asciiTheme="minorHAnsi" w:hAnsiTheme="minorHAnsi" w:cstheme="minorHAnsi"/>
                <w:sz w:val="18"/>
                <w:szCs w:val="18"/>
              </w:rPr>
            </w:pPr>
            <w:r>
              <w:rPr>
                <w:rFonts w:asciiTheme="minorHAnsi" w:hAnsiTheme="minorHAnsi" w:cstheme="minorHAnsi"/>
                <w:sz w:val="18"/>
                <w:szCs w:val="18"/>
              </w:rPr>
              <w:t>Ú</w:t>
            </w:r>
            <w:r w:rsidR="00845B07" w:rsidRPr="008D5999">
              <w:rPr>
                <w:rFonts w:asciiTheme="minorHAnsi" w:hAnsiTheme="minorHAnsi" w:cstheme="minorHAnsi"/>
                <w:sz w:val="18"/>
                <w:szCs w:val="18"/>
              </w:rPr>
              <w:t>prava rozpočtu kapitoly 90 – dotace na výsadbu zeleně</w:t>
            </w:r>
          </w:p>
        </w:tc>
        <w:tc>
          <w:tcPr>
            <w:tcW w:w="1712" w:type="dxa"/>
          </w:tcPr>
          <w:p w:rsidR="00845B07" w:rsidRPr="008D5999" w:rsidRDefault="00845B07" w:rsidP="00845B07">
            <w:pPr>
              <w:rPr>
                <w:rFonts w:asciiTheme="minorHAnsi" w:hAnsiTheme="minorHAnsi" w:cstheme="minorHAnsi"/>
                <w:b/>
                <w:sz w:val="18"/>
                <w:szCs w:val="18"/>
              </w:rPr>
            </w:pPr>
            <w:r w:rsidRPr="008D5999">
              <w:rPr>
                <w:rFonts w:asciiTheme="minorHAnsi" w:hAnsiTheme="minorHAnsi" w:cstheme="minorHAnsi"/>
                <w:b/>
                <w:sz w:val="18"/>
                <w:szCs w:val="18"/>
              </w:rPr>
              <w:t>ROZOP realizováno</w:t>
            </w:r>
          </w:p>
        </w:tc>
      </w:tr>
      <w:tr w:rsidR="00845B07" w:rsidRPr="00845B07" w:rsidTr="00845B07">
        <w:tc>
          <w:tcPr>
            <w:tcW w:w="1498" w:type="dxa"/>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RM/2022/05/61</w:t>
            </w:r>
          </w:p>
        </w:tc>
        <w:tc>
          <w:tcPr>
            <w:tcW w:w="1116" w:type="dxa"/>
          </w:tcPr>
          <w:p w:rsidR="00845B07" w:rsidRPr="008D5999" w:rsidRDefault="00845B07" w:rsidP="00845B07">
            <w:pPr>
              <w:jc w:val="center"/>
              <w:rPr>
                <w:rFonts w:asciiTheme="minorHAnsi" w:hAnsiTheme="minorHAnsi" w:cstheme="minorHAnsi"/>
                <w:sz w:val="18"/>
                <w:szCs w:val="18"/>
              </w:rPr>
            </w:pPr>
            <w:r w:rsidRPr="008D5999">
              <w:rPr>
                <w:rFonts w:asciiTheme="minorHAnsi" w:hAnsiTheme="minorHAnsi" w:cstheme="minorHAnsi"/>
                <w:sz w:val="18"/>
                <w:szCs w:val="18"/>
              </w:rPr>
              <w:t>06.12.</w:t>
            </w:r>
          </w:p>
        </w:tc>
        <w:tc>
          <w:tcPr>
            <w:tcW w:w="941" w:type="dxa"/>
          </w:tcPr>
          <w:p w:rsidR="00845B07" w:rsidRPr="008D5999" w:rsidRDefault="00845B07" w:rsidP="00845B07">
            <w:pPr>
              <w:jc w:val="right"/>
              <w:rPr>
                <w:rFonts w:asciiTheme="minorHAnsi" w:hAnsiTheme="minorHAnsi" w:cstheme="minorHAnsi"/>
                <w:sz w:val="18"/>
                <w:szCs w:val="18"/>
              </w:rPr>
            </w:pPr>
            <w:r w:rsidRPr="008D5999">
              <w:rPr>
                <w:rFonts w:asciiTheme="minorHAnsi" w:hAnsiTheme="minorHAnsi" w:cstheme="minorHAnsi"/>
                <w:sz w:val="18"/>
                <w:szCs w:val="18"/>
              </w:rPr>
              <w:t>2 263,75</w:t>
            </w:r>
          </w:p>
        </w:tc>
        <w:tc>
          <w:tcPr>
            <w:tcW w:w="4509" w:type="dxa"/>
          </w:tcPr>
          <w:p w:rsidR="00845B07" w:rsidRPr="008D5999" w:rsidRDefault="00FD5B06" w:rsidP="00845B07">
            <w:pPr>
              <w:rPr>
                <w:rFonts w:asciiTheme="minorHAnsi" w:hAnsiTheme="minorHAnsi" w:cstheme="minorHAnsi"/>
                <w:sz w:val="18"/>
                <w:szCs w:val="18"/>
              </w:rPr>
            </w:pPr>
            <w:r>
              <w:rPr>
                <w:rFonts w:asciiTheme="minorHAnsi" w:hAnsiTheme="minorHAnsi" w:cstheme="minorHAnsi"/>
                <w:sz w:val="18"/>
                <w:szCs w:val="18"/>
              </w:rPr>
              <w:t>R</w:t>
            </w:r>
            <w:r w:rsidR="00845B07" w:rsidRPr="008D5999">
              <w:rPr>
                <w:rFonts w:asciiTheme="minorHAnsi" w:hAnsiTheme="minorHAnsi" w:cstheme="minorHAnsi"/>
                <w:sz w:val="18"/>
                <w:szCs w:val="18"/>
              </w:rPr>
              <w:t>ekonstrukce VO – oprava položek</w:t>
            </w:r>
          </w:p>
        </w:tc>
        <w:tc>
          <w:tcPr>
            <w:tcW w:w="1712" w:type="dxa"/>
          </w:tcPr>
          <w:p w:rsidR="00845B07" w:rsidRPr="008D5999" w:rsidRDefault="00845B07" w:rsidP="00845B07">
            <w:pPr>
              <w:rPr>
                <w:rFonts w:asciiTheme="minorHAnsi" w:hAnsiTheme="minorHAnsi" w:cstheme="minorHAnsi"/>
                <w:b/>
                <w:sz w:val="18"/>
                <w:szCs w:val="18"/>
              </w:rPr>
            </w:pPr>
            <w:r w:rsidRPr="008D5999">
              <w:rPr>
                <w:rFonts w:asciiTheme="minorHAnsi" w:hAnsiTheme="minorHAnsi" w:cstheme="minorHAnsi"/>
                <w:b/>
                <w:sz w:val="18"/>
                <w:szCs w:val="18"/>
              </w:rPr>
              <w:t xml:space="preserve">ROZOP realizováno </w:t>
            </w:r>
          </w:p>
        </w:tc>
      </w:tr>
    </w:tbl>
    <w:p w:rsidR="00845B07" w:rsidRPr="00845B07" w:rsidRDefault="00845B07" w:rsidP="00845B07">
      <w:pPr>
        <w:rPr>
          <w:rFonts w:asciiTheme="minorHAnsi" w:hAnsiTheme="minorHAnsi" w:cstheme="minorHAnsi"/>
          <w:b/>
          <w:sz w:val="20"/>
          <w:szCs w:val="20"/>
        </w:rPr>
      </w:pPr>
    </w:p>
    <w:p w:rsidR="00845B07" w:rsidRPr="00845B07" w:rsidRDefault="00845B07" w:rsidP="00845B07">
      <w:pPr>
        <w:rPr>
          <w:rFonts w:asciiTheme="minorHAnsi" w:hAnsiTheme="minorHAnsi" w:cstheme="minorHAnsi"/>
          <w:b/>
          <w:sz w:val="20"/>
          <w:szCs w:val="20"/>
        </w:rPr>
      </w:pPr>
    </w:p>
    <w:p w:rsidR="00845B07" w:rsidRPr="00845B07" w:rsidRDefault="00845B07" w:rsidP="00845B07">
      <w:pPr>
        <w:rPr>
          <w:rFonts w:asciiTheme="minorHAnsi" w:hAnsiTheme="minorHAnsi" w:cstheme="minorHAnsi"/>
          <w:b/>
          <w:sz w:val="20"/>
          <w:szCs w:val="20"/>
        </w:rPr>
      </w:pPr>
      <w:r w:rsidRPr="00845B07">
        <w:rPr>
          <w:rFonts w:asciiTheme="minorHAnsi" w:hAnsiTheme="minorHAnsi" w:cstheme="minorHAnsi"/>
          <w:b/>
          <w:sz w:val="20"/>
          <w:szCs w:val="20"/>
        </w:rPr>
        <w:t>V Prostějově:</w:t>
      </w:r>
      <w:r w:rsidR="00FD5B06">
        <w:rPr>
          <w:rFonts w:asciiTheme="minorHAnsi" w:hAnsiTheme="minorHAnsi" w:cstheme="minorHAnsi"/>
          <w:b/>
          <w:sz w:val="20"/>
          <w:szCs w:val="20"/>
        </w:rPr>
        <w:tab/>
        <w:t xml:space="preserve">14. </w:t>
      </w:r>
      <w:r w:rsidRPr="00845B07">
        <w:rPr>
          <w:rFonts w:asciiTheme="minorHAnsi" w:hAnsiTheme="minorHAnsi" w:cstheme="minorHAnsi"/>
          <w:b/>
          <w:sz w:val="20"/>
          <w:szCs w:val="20"/>
        </w:rPr>
        <w:t>2. 2023</w:t>
      </w:r>
      <w:r w:rsidRPr="00845B07">
        <w:rPr>
          <w:rFonts w:asciiTheme="minorHAnsi" w:hAnsiTheme="minorHAnsi" w:cstheme="minorHAnsi"/>
          <w:b/>
          <w:sz w:val="20"/>
          <w:szCs w:val="20"/>
        </w:rPr>
        <w:tab/>
      </w:r>
      <w:r w:rsidRPr="00845B07">
        <w:rPr>
          <w:rFonts w:asciiTheme="minorHAnsi" w:hAnsiTheme="minorHAnsi" w:cstheme="minorHAnsi"/>
          <w:b/>
          <w:sz w:val="20"/>
          <w:szCs w:val="20"/>
        </w:rPr>
        <w:tab/>
      </w:r>
      <w:r w:rsidRPr="00845B07">
        <w:rPr>
          <w:rFonts w:asciiTheme="minorHAnsi" w:hAnsiTheme="minorHAnsi" w:cstheme="minorHAnsi"/>
          <w:b/>
          <w:sz w:val="20"/>
          <w:szCs w:val="20"/>
        </w:rPr>
        <w:tab/>
      </w:r>
      <w:r w:rsidRPr="00845B07">
        <w:rPr>
          <w:rFonts w:asciiTheme="minorHAnsi" w:hAnsiTheme="minorHAnsi" w:cstheme="minorHAnsi"/>
          <w:b/>
          <w:sz w:val="20"/>
          <w:szCs w:val="20"/>
        </w:rPr>
        <w:tab/>
      </w:r>
      <w:r w:rsidRPr="00845B07">
        <w:rPr>
          <w:rFonts w:asciiTheme="minorHAnsi" w:hAnsiTheme="minorHAnsi" w:cstheme="minorHAnsi"/>
          <w:b/>
          <w:sz w:val="20"/>
          <w:szCs w:val="20"/>
        </w:rPr>
        <w:tab/>
      </w:r>
      <w:r w:rsidRPr="00845B07">
        <w:rPr>
          <w:rFonts w:asciiTheme="minorHAnsi" w:hAnsiTheme="minorHAnsi" w:cstheme="minorHAnsi"/>
          <w:b/>
          <w:sz w:val="20"/>
          <w:szCs w:val="20"/>
        </w:rPr>
        <w:tab/>
      </w:r>
      <w:r w:rsidRPr="00845B07">
        <w:rPr>
          <w:rFonts w:asciiTheme="minorHAnsi" w:hAnsiTheme="minorHAnsi" w:cstheme="minorHAnsi"/>
          <w:b/>
          <w:sz w:val="20"/>
          <w:szCs w:val="20"/>
        </w:rPr>
        <w:tab/>
      </w:r>
      <w:r w:rsidRPr="00845B07">
        <w:rPr>
          <w:rFonts w:asciiTheme="minorHAnsi" w:hAnsiTheme="minorHAnsi" w:cstheme="minorHAnsi"/>
          <w:b/>
          <w:sz w:val="20"/>
          <w:szCs w:val="20"/>
        </w:rPr>
        <w:tab/>
      </w:r>
      <w:r w:rsidRPr="00845B07">
        <w:rPr>
          <w:rFonts w:asciiTheme="minorHAnsi" w:hAnsiTheme="minorHAnsi" w:cstheme="minorHAnsi"/>
          <w:b/>
          <w:sz w:val="20"/>
          <w:szCs w:val="20"/>
        </w:rPr>
        <w:tab/>
      </w:r>
      <w:r w:rsidRPr="00845B07">
        <w:rPr>
          <w:rFonts w:asciiTheme="minorHAnsi" w:hAnsiTheme="minorHAnsi" w:cstheme="minorHAnsi"/>
          <w:b/>
          <w:sz w:val="20"/>
          <w:szCs w:val="20"/>
        </w:rPr>
        <w:tab/>
      </w:r>
      <w:r w:rsidRPr="00845B07">
        <w:rPr>
          <w:rFonts w:asciiTheme="minorHAnsi" w:hAnsiTheme="minorHAnsi" w:cstheme="minorHAnsi"/>
          <w:b/>
          <w:sz w:val="20"/>
          <w:szCs w:val="20"/>
        </w:rPr>
        <w:tab/>
      </w:r>
      <w:r w:rsidRPr="00845B07">
        <w:rPr>
          <w:rFonts w:asciiTheme="minorHAnsi" w:hAnsiTheme="minorHAnsi" w:cstheme="minorHAnsi"/>
          <w:b/>
          <w:sz w:val="20"/>
          <w:szCs w:val="20"/>
        </w:rPr>
        <w:tab/>
      </w:r>
      <w:r w:rsidRPr="00845B07">
        <w:rPr>
          <w:rFonts w:asciiTheme="minorHAnsi" w:hAnsiTheme="minorHAnsi" w:cstheme="minorHAnsi"/>
          <w:b/>
          <w:sz w:val="20"/>
          <w:szCs w:val="20"/>
        </w:rPr>
        <w:tab/>
      </w:r>
      <w:r w:rsidRPr="00845B07">
        <w:rPr>
          <w:rFonts w:asciiTheme="minorHAnsi" w:hAnsiTheme="minorHAnsi" w:cstheme="minorHAnsi"/>
          <w:b/>
          <w:sz w:val="20"/>
          <w:szCs w:val="20"/>
        </w:rPr>
        <w:tab/>
      </w:r>
      <w:r w:rsidRPr="00845B07">
        <w:rPr>
          <w:rFonts w:asciiTheme="minorHAnsi" w:hAnsiTheme="minorHAnsi" w:cstheme="minorHAnsi"/>
          <w:b/>
          <w:sz w:val="20"/>
          <w:szCs w:val="20"/>
        </w:rPr>
        <w:tab/>
      </w:r>
      <w:r w:rsidRPr="00845B07">
        <w:rPr>
          <w:rFonts w:asciiTheme="minorHAnsi" w:hAnsiTheme="minorHAnsi" w:cstheme="minorHAnsi"/>
          <w:b/>
          <w:sz w:val="20"/>
          <w:szCs w:val="20"/>
        </w:rPr>
        <w:tab/>
      </w:r>
      <w:r w:rsidRPr="00845B07">
        <w:rPr>
          <w:rFonts w:asciiTheme="minorHAnsi" w:hAnsiTheme="minorHAnsi" w:cstheme="minorHAnsi"/>
          <w:b/>
          <w:sz w:val="20"/>
          <w:szCs w:val="20"/>
        </w:rPr>
        <w:tab/>
      </w:r>
      <w:r w:rsidRPr="00845B07">
        <w:rPr>
          <w:rFonts w:asciiTheme="minorHAnsi" w:hAnsiTheme="minorHAnsi" w:cstheme="minorHAnsi"/>
          <w:b/>
          <w:sz w:val="20"/>
          <w:szCs w:val="20"/>
        </w:rPr>
        <w:tab/>
      </w:r>
      <w:r w:rsidRPr="00845B07">
        <w:rPr>
          <w:rFonts w:asciiTheme="minorHAnsi" w:hAnsiTheme="minorHAnsi" w:cstheme="minorHAnsi"/>
          <w:b/>
          <w:sz w:val="20"/>
          <w:szCs w:val="20"/>
        </w:rPr>
        <w:tab/>
      </w:r>
      <w:r w:rsidRPr="00845B07">
        <w:rPr>
          <w:rFonts w:asciiTheme="minorHAnsi" w:hAnsiTheme="minorHAnsi" w:cstheme="minorHAnsi"/>
          <w:b/>
          <w:sz w:val="20"/>
          <w:szCs w:val="20"/>
        </w:rPr>
        <w:tab/>
      </w:r>
      <w:r w:rsidRPr="00845B07">
        <w:rPr>
          <w:rFonts w:asciiTheme="minorHAnsi" w:hAnsiTheme="minorHAnsi" w:cstheme="minorHAnsi"/>
          <w:b/>
          <w:sz w:val="20"/>
          <w:szCs w:val="20"/>
        </w:rPr>
        <w:tab/>
      </w:r>
      <w:r w:rsidRPr="00845B07">
        <w:rPr>
          <w:rFonts w:asciiTheme="minorHAnsi" w:hAnsiTheme="minorHAnsi" w:cstheme="minorHAnsi"/>
          <w:b/>
          <w:sz w:val="20"/>
          <w:szCs w:val="20"/>
        </w:rPr>
        <w:tab/>
      </w:r>
    </w:p>
    <w:p w:rsidR="00845B07" w:rsidRPr="00845B07" w:rsidRDefault="00845B07" w:rsidP="00845B07">
      <w:pPr>
        <w:rPr>
          <w:rFonts w:asciiTheme="minorHAnsi" w:hAnsiTheme="minorHAnsi" w:cstheme="minorHAnsi"/>
          <w:b/>
          <w:sz w:val="20"/>
          <w:szCs w:val="20"/>
        </w:rPr>
      </w:pPr>
      <w:r w:rsidRPr="00845B07">
        <w:rPr>
          <w:rFonts w:asciiTheme="minorHAnsi" w:hAnsiTheme="minorHAnsi" w:cstheme="minorHAnsi"/>
          <w:b/>
          <w:sz w:val="20"/>
          <w:szCs w:val="20"/>
        </w:rPr>
        <w:t>Správce kapitoly: Mgr. Alexandra Klímková</w:t>
      </w:r>
    </w:p>
    <w:p w:rsidR="00845B07" w:rsidRPr="00845B07" w:rsidRDefault="00845B07" w:rsidP="00845B07">
      <w:pPr>
        <w:rPr>
          <w:rFonts w:asciiTheme="minorHAnsi" w:hAnsiTheme="minorHAnsi" w:cstheme="minorHAnsi"/>
          <w:b/>
          <w:sz w:val="20"/>
          <w:szCs w:val="20"/>
        </w:rPr>
      </w:pPr>
      <w:r w:rsidRPr="00845B07">
        <w:rPr>
          <w:rFonts w:asciiTheme="minorHAnsi" w:hAnsiTheme="minorHAnsi" w:cstheme="minorHAnsi"/>
          <w:b/>
          <w:sz w:val="20"/>
          <w:szCs w:val="20"/>
        </w:rPr>
        <w:t xml:space="preserve">                               vedoucí Odboru SÚMM </w:t>
      </w:r>
    </w:p>
    <w:p w:rsidR="00845B07" w:rsidRPr="00845B07" w:rsidRDefault="00845B07" w:rsidP="00845B07">
      <w:pPr>
        <w:rPr>
          <w:rFonts w:asciiTheme="minorHAnsi" w:hAnsiTheme="minorHAnsi" w:cstheme="minorHAnsi"/>
          <w:b/>
          <w:sz w:val="20"/>
          <w:szCs w:val="20"/>
        </w:rPr>
      </w:pPr>
    </w:p>
    <w:p w:rsidR="003B4732" w:rsidRPr="00392D17" w:rsidRDefault="003B4732">
      <w:pPr>
        <w:rPr>
          <w:rFonts w:ascii="Calibri" w:hAnsi="Calibri" w:cs="Calibri"/>
          <w:b/>
          <w:sz w:val="20"/>
          <w:szCs w:val="20"/>
        </w:rPr>
      </w:pPr>
    </w:p>
    <w:p w:rsidR="005D0CF8" w:rsidRPr="00CA2AE8" w:rsidRDefault="003F54EB" w:rsidP="00CA6C24">
      <w:pPr>
        <w:pStyle w:val="Nadpis2"/>
      </w:pPr>
      <w:r w:rsidRPr="00CA2AE8">
        <w:t>Kontrola hospodaření příspěvkových organizací</w:t>
      </w:r>
      <w:r w:rsidR="00C817EC">
        <w:t xml:space="preserve"> podle zákona č. 250/2000 Sb., o </w:t>
      </w:r>
      <w:r w:rsidRPr="00CA2AE8">
        <w:t>rozpočtových pravidlech územních rozpočtů</w:t>
      </w:r>
    </w:p>
    <w:p w:rsidR="003F54EB" w:rsidRPr="00CA2AE8" w:rsidRDefault="003F54EB" w:rsidP="005D0CF8">
      <w:pPr>
        <w:jc w:val="both"/>
        <w:rPr>
          <w:rFonts w:ascii="Calibri" w:hAnsi="Calibri"/>
          <w:b/>
          <w:sz w:val="20"/>
          <w:szCs w:val="20"/>
          <w:u w:val="single"/>
        </w:rPr>
      </w:pPr>
    </w:p>
    <w:p w:rsidR="005D0CF8" w:rsidRPr="00CA2AE8" w:rsidRDefault="005D0CF8" w:rsidP="005D0CF8">
      <w:pPr>
        <w:spacing w:after="120"/>
        <w:jc w:val="both"/>
        <w:rPr>
          <w:rFonts w:ascii="Calibri" w:hAnsi="Calibri"/>
          <w:sz w:val="20"/>
          <w:szCs w:val="20"/>
        </w:rPr>
      </w:pPr>
      <w:r w:rsidRPr="00CA2AE8">
        <w:rPr>
          <w:rFonts w:ascii="Calibri" w:hAnsi="Calibri"/>
          <w:sz w:val="20"/>
          <w:szCs w:val="20"/>
        </w:rPr>
        <w:t>Ve všech příspěvkových organizacích zřízených statutárním městem Prostějovem proběhly v měsíci březnu 202</w:t>
      </w:r>
      <w:r w:rsidR="00AC3DEE">
        <w:rPr>
          <w:rFonts w:ascii="Calibri" w:hAnsi="Calibri"/>
          <w:sz w:val="20"/>
          <w:szCs w:val="20"/>
        </w:rPr>
        <w:t>3</w:t>
      </w:r>
      <w:r w:rsidRPr="00CA2AE8">
        <w:rPr>
          <w:rFonts w:ascii="Calibri" w:hAnsi="Calibri"/>
          <w:sz w:val="20"/>
          <w:szCs w:val="20"/>
        </w:rPr>
        <w:t xml:space="preserve"> kontrolní dny k  ho</w:t>
      </w:r>
      <w:r w:rsidR="00CA2AE8">
        <w:rPr>
          <w:rFonts w:ascii="Calibri" w:hAnsi="Calibri"/>
          <w:sz w:val="20"/>
          <w:szCs w:val="20"/>
        </w:rPr>
        <w:t>spodaření organizací za rok 202</w:t>
      </w:r>
      <w:r w:rsidR="00AC3DEE">
        <w:rPr>
          <w:rFonts w:ascii="Calibri" w:hAnsi="Calibri"/>
          <w:sz w:val="20"/>
          <w:szCs w:val="20"/>
        </w:rPr>
        <w:t>2</w:t>
      </w:r>
      <w:r w:rsidRPr="00CA2AE8">
        <w:rPr>
          <w:rFonts w:ascii="Calibri" w:hAnsi="Calibri"/>
          <w:sz w:val="20"/>
          <w:szCs w:val="20"/>
        </w:rPr>
        <w:t xml:space="preserve">. Byly zaměřeny na analýzu výnosů, nákladů, fondového hospodaření organizací, rozbor pohledávek a závazků (v případě pohledávek a závazků po lhůtě splatnosti na jejich vymáhání nebo úhradu), rozbor dosaženého výsledku hospodaření v hlavní i doplňkové činnosti (pokud ji organizace vykonává), na rozdělení zlepšeného výsledku hospodaření do fondů, případně na odvod zřizovateli. </w:t>
      </w:r>
    </w:p>
    <w:p w:rsidR="005D0CF8" w:rsidRPr="00CA2AE8" w:rsidRDefault="005D0CF8" w:rsidP="005D0CF8">
      <w:pPr>
        <w:spacing w:after="120"/>
        <w:jc w:val="both"/>
        <w:rPr>
          <w:rFonts w:ascii="Calibri" w:hAnsi="Calibri"/>
          <w:sz w:val="20"/>
          <w:szCs w:val="20"/>
        </w:rPr>
      </w:pPr>
      <w:r w:rsidRPr="00CA2AE8">
        <w:rPr>
          <w:rFonts w:ascii="Calibri" w:hAnsi="Calibri"/>
          <w:sz w:val="20"/>
          <w:szCs w:val="20"/>
        </w:rPr>
        <w:t>Tyto ukazatele byly posuzovány na základě předloženýc</w:t>
      </w:r>
      <w:r w:rsidR="00CA2AE8">
        <w:rPr>
          <w:rFonts w:ascii="Calibri" w:hAnsi="Calibri"/>
          <w:sz w:val="20"/>
          <w:szCs w:val="20"/>
        </w:rPr>
        <w:t>h rozborů hospodaření za rok 202</w:t>
      </w:r>
      <w:r w:rsidR="00AC3DEE">
        <w:rPr>
          <w:rFonts w:ascii="Calibri" w:hAnsi="Calibri"/>
          <w:sz w:val="20"/>
          <w:szCs w:val="20"/>
        </w:rPr>
        <w:t>2</w:t>
      </w:r>
      <w:r w:rsidR="00C817EC">
        <w:rPr>
          <w:rFonts w:ascii="Calibri" w:hAnsi="Calibri"/>
          <w:sz w:val="20"/>
          <w:szCs w:val="20"/>
        </w:rPr>
        <w:t xml:space="preserve"> a účetních výkazů od </w:t>
      </w:r>
      <w:r w:rsidRPr="00CA2AE8">
        <w:rPr>
          <w:rFonts w:ascii="Calibri" w:hAnsi="Calibri"/>
          <w:sz w:val="20"/>
          <w:szCs w:val="20"/>
        </w:rPr>
        <w:t xml:space="preserve">jednotlivých příspěvkových organizací. </w:t>
      </w:r>
    </w:p>
    <w:p w:rsidR="005D0CF8" w:rsidRDefault="005D0CF8" w:rsidP="005D0CF8">
      <w:pPr>
        <w:spacing w:after="120"/>
        <w:jc w:val="both"/>
        <w:rPr>
          <w:rFonts w:ascii="Calibri" w:hAnsi="Calibri"/>
          <w:sz w:val="20"/>
          <w:szCs w:val="20"/>
        </w:rPr>
      </w:pPr>
      <w:r w:rsidRPr="00CA2AE8">
        <w:rPr>
          <w:rFonts w:ascii="Calibri" w:hAnsi="Calibri"/>
          <w:sz w:val="20"/>
          <w:szCs w:val="20"/>
        </w:rPr>
        <w:t>Z každého kontrolního dne byl pořízen písemný záznam. Jednání se nezabývalo dok</w:t>
      </w:r>
      <w:r w:rsidR="00C817EC">
        <w:rPr>
          <w:rFonts w:ascii="Calibri" w:hAnsi="Calibri"/>
          <w:sz w:val="20"/>
          <w:szCs w:val="20"/>
        </w:rPr>
        <w:t>ladovou kontrolou nákladových a </w:t>
      </w:r>
      <w:r w:rsidRPr="00CA2AE8">
        <w:rPr>
          <w:rFonts w:ascii="Calibri" w:hAnsi="Calibri"/>
          <w:sz w:val="20"/>
          <w:szCs w:val="20"/>
        </w:rPr>
        <w:t>výnosových účtů. Tyto kontroly periodicky provádělo v roce 20</w:t>
      </w:r>
      <w:r w:rsidR="00007DAB">
        <w:rPr>
          <w:rFonts w:ascii="Calibri" w:hAnsi="Calibri"/>
          <w:sz w:val="20"/>
          <w:szCs w:val="20"/>
        </w:rPr>
        <w:t>2</w:t>
      </w:r>
      <w:r w:rsidR="00AC3DEE">
        <w:rPr>
          <w:rFonts w:ascii="Calibri" w:hAnsi="Calibri"/>
          <w:sz w:val="20"/>
          <w:szCs w:val="20"/>
        </w:rPr>
        <w:t>2</w:t>
      </w:r>
      <w:r w:rsidRPr="00CA2AE8">
        <w:rPr>
          <w:rFonts w:ascii="Calibri" w:hAnsi="Calibri"/>
          <w:sz w:val="20"/>
          <w:szCs w:val="20"/>
        </w:rPr>
        <w:t xml:space="preserve"> kontrolní oddělení Finančního odboru MMPv. Kompletní materiály k rozborům (rozborové zprávy, účetní sestavy a záznamy z k</w:t>
      </w:r>
      <w:r w:rsidR="00C817EC">
        <w:rPr>
          <w:rFonts w:ascii="Calibri" w:hAnsi="Calibri"/>
          <w:sz w:val="20"/>
          <w:szCs w:val="20"/>
        </w:rPr>
        <w:t>ontrolního dne) jsou uloženy na </w:t>
      </w:r>
      <w:r w:rsidRPr="00CA2AE8">
        <w:rPr>
          <w:rFonts w:ascii="Calibri" w:hAnsi="Calibri"/>
          <w:sz w:val="20"/>
          <w:szCs w:val="20"/>
        </w:rPr>
        <w:t>Finančním odboru MMPv a jsou k dispozici k nahlédnutí představitelům a orgánům města.</w:t>
      </w:r>
    </w:p>
    <w:p w:rsidR="00B21167" w:rsidRPr="00CA2AE8" w:rsidRDefault="00B21167" w:rsidP="005D0CF8">
      <w:pPr>
        <w:spacing w:after="120"/>
        <w:jc w:val="both"/>
        <w:rPr>
          <w:rFonts w:ascii="Calibri" w:hAnsi="Calibri"/>
          <w:sz w:val="20"/>
          <w:szCs w:val="20"/>
        </w:rPr>
      </w:pPr>
    </w:p>
    <w:p w:rsidR="005D0CF8" w:rsidRDefault="005D0CF8" w:rsidP="005D0CF8">
      <w:pPr>
        <w:spacing w:after="120"/>
        <w:jc w:val="both"/>
        <w:rPr>
          <w:rFonts w:ascii="Calibri" w:hAnsi="Calibri"/>
          <w:b/>
          <w:sz w:val="20"/>
          <w:szCs w:val="20"/>
          <w:u w:val="single"/>
        </w:rPr>
      </w:pPr>
      <w:r w:rsidRPr="00B21167">
        <w:rPr>
          <w:rFonts w:ascii="Calibri" w:hAnsi="Calibri"/>
          <w:b/>
          <w:sz w:val="20"/>
          <w:szCs w:val="20"/>
          <w:u w:val="single"/>
        </w:rPr>
        <w:t>Hospodaření přísp</w:t>
      </w:r>
      <w:r w:rsidR="001B4F03">
        <w:rPr>
          <w:rFonts w:ascii="Calibri" w:hAnsi="Calibri"/>
          <w:b/>
          <w:sz w:val="20"/>
          <w:szCs w:val="20"/>
          <w:u w:val="single"/>
        </w:rPr>
        <w:t>ěvkových organizací v roce 202</w:t>
      </w:r>
      <w:r w:rsidR="00AC3DEE">
        <w:rPr>
          <w:rFonts w:ascii="Calibri" w:hAnsi="Calibri"/>
          <w:b/>
          <w:sz w:val="20"/>
          <w:szCs w:val="20"/>
          <w:u w:val="single"/>
        </w:rPr>
        <w:t>2</w:t>
      </w:r>
      <w:r w:rsidRPr="00B21167">
        <w:rPr>
          <w:rFonts w:ascii="Calibri" w:hAnsi="Calibri"/>
          <w:b/>
          <w:sz w:val="20"/>
          <w:szCs w:val="20"/>
          <w:u w:val="single"/>
        </w:rPr>
        <w:t xml:space="preserve"> – dosažený výsledek hospodaření, návrh na jeho rozdělení</w:t>
      </w:r>
      <w:r w:rsidR="006B034C">
        <w:rPr>
          <w:rFonts w:ascii="Calibri" w:hAnsi="Calibri"/>
          <w:b/>
          <w:sz w:val="20"/>
          <w:szCs w:val="20"/>
          <w:u w:val="single"/>
        </w:rPr>
        <w:t xml:space="preserve"> (v Kč)</w:t>
      </w:r>
    </w:p>
    <w:tbl>
      <w:tblPr>
        <w:tblW w:w="9776" w:type="dxa"/>
        <w:tblCellMar>
          <w:left w:w="70" w:type="dxa"/>
          <w:right w:w="70" w:type="dxa"/>
        </w:tblCellMar>
        <w:tblLook w:val="04A0" w:firstRow="1" w:lastRow="0" w:firstColumn="1" w:lastColumn="0" w:noHBand="0" w:noVBand="1"/>
      </w:tblPr>
      <w:tblGrid>
        <w:gridCol w:w="2972"/>
        <w:gridCol w:w="992"/>
        <w:gridCol w:w="993"/>
        <w:gridCol w:w="992"/>
        <w:gridCol w:w="850"/>
        <w:gridCol w:w="993"/>
        <w:gridCol w:w="992"/>
        <w:gridCol w:w="992"/>
      </w:tblGrid>
      <w:tr w:rsidR="00AC3DEE" w:rsidRPr="00AC3DEE" w:rsidTr="00AC3DEE">
        <w:trPr>
          <w:trHeight w:val="300"/>
        </w:trPr>
        <w:tc>
          <w:tcPr>
            <w:tcW w:w="2972" w:type="dxa"/>
            <w:vMerge w:val="restart"/>
            <w:tcBorders>
              <w:top w:val="single" w:sz="4" w:space="0" w:color="auto"/>
              <w:left w:val="single" w:sz="4" w:space="0" w:color="auto"/>
              <w:bottom w:val="single" w:sz="4" w:space="0" w:color="auto"/>
              <w:right w:val="single" w:sz="4" w:space="0" w:color="auto"/>
            </w:tcBorders>
            <w:shd w:val="clear" w:color="92D050" w:fill="D9E1F2"/>
            <w:noWrap/>
            <w:vAlign w:val="center"/>
            <w:hideMark/>
          </w:tcPr>
          <w:p w:rsidR="00AC3DEE" w:rsidRPr="00AC3DEE" w:rsidRDefault="00AC3DEE">
            <w:pPr>
              <w:jc w:val="center"/>
              <w:rPr>
                <w:rFonts w:ascii="Calibri" w:hAnsi="Calibri" w:cs="Calibri"/>
                <w:b/>
                <w:bCs/>
                <w:color w:val="000000"/>
                <w:sz w:val="16"/>
                <w:szCs w:val="16"/>
              </w:rPr>
            </w:pPr>
            <w:r w:rsidRPr="00AC3DEE">
              <w:rPr>
                <w:rFonts w:ascii="Calibri" w:hAnsi="Calibri" w:cs="Calibri"/>
                <w:b/>
                <w:bCs/>
                <w:color w:val="000000"/>
                <w:sz w:val="16"/>
                <w:szCs w:val="16"/>
              </w:rPr>
              <w:t>Příspěvková organizace</w:t>
            </w:r>
          </w:p>
        </w:tc>
        <w:tc>
          <w:tcPr>
            <w:tcW w:w="2977" w:type="dxa"/>
            <w:gridSpan w:val="3"/>
            <w:tcBorders>
              <w:top w:val="single" w:sz="4" w:space="0" w:color="auto"/>
              <w:left w:val="nil"/>
              <w:bottom w:val="single" w:sz="4" w:space="0" w:color="auto"/>
              <w:right w:val="single" w:sz="4" w:space="0" w:color="auto"/>
            </w:tcBorders>
            <w:shd w:val="clear" w:color="92D050" w:fill="D9E1F2"/>
            <w:noWrap/>
            <w:vAlign w:val="center"/>
            <w:hideMark/>
          </w:tcPr>
          <w:p w:rsidR="00AC3DEE" w:rsidRPr="00AC3DEE" w:rsidRDefault="00AC3DEE">
            <w:pPr>
              <w:jc w:val="center"/>
              <w:rPr>
                <w:rFonts w:ascii="Calibri" w:hAnsi="Calibri" w:cs="Calibri"/>
                <w:b/>
                <w:bCs/>
                <w:color w:val="000000"/>
                <w:sz w:val="16"/>
                <w:szCs w:val="16"/>
              </w:rPr>
            </w:pPr>
            <w:r w:rsidRPr="00AC3DEE">
              <w:rPr>
                <w:rFonts w:ascii="Calibri" w:hAnsi="Calibri" w:cs="Calibri"/>
                <w:b/>
                <w:bCs/>
                <w:color w:val="000000"/>
                <w:sz w:val="16"/>
                <w:szCs w:val="16"/>
              </w:rPr>
              <w:t>Výsledek hospodaření za rok 2022</w:t>
            </w:r>
          </w:p>
        </w:tc>
        <w:tc>
          <w:tcPr>
            <w:tcW w:w="850" w:type="dxa"/>
            <w:vMerge w:val="restart"/>
            <w:tcBorders>
              <w:top w:val="single" w:sz="4" w:space="0" w:color="auto"/>
              <w:left w:val="single" w:sz="4" w:space="0" w:color="auto"/>
              <w:bottom w:val="nil"/>
              <w:right w:val="single" w:sz="4" w:space="0" w:color="auto"/>
            </w:tcBorders>
            <w:shd w:val="clear" w:color="92D050" w:fill="D9E1F2"/>
            <w:vAlign w:val="center"/>
            <w:hideMark/>
          </w:tcPr>
          <w:p w:rsidR="00AC3DEE" w:rsidRPr="00AC3DEE" w:rsidRDefault="0093402A">
            <w:pPr>
              <w:jc w:val="center"/>
              <w:rPr>
                <w:rFonts w:ascii="Calibri" w:hAnsi="Calibri" w:cs="Calibri"/>
                <w:b/>
                <w:bCs/>
                <w:color w:val="000000"/>
                <w:sz w:val="16"/>
                <w:szCs w:val="16"/>
              </w:rPr>
            </w:pPr>
            <w:r>
              <w:rPr>
                <w:rFonts w:ascii="Calibri" w:hAnsi="Calibri" w:cs="Calibri"/>
                <w:b/>
                <w:bCs/>
                <w:color w:val="000000"/>
                <w:sz w:val="16"/>
                <w:szCs w:val="16"/>
              </w:rPr>
              <w:t>Úhrada ztráty z </w:t>
            </w:r>
            <w:r w:rsidR="00AC3DEE" w:rsidRPr="00AC3DEE">
              <w:rPr>
                <w:rFonts w:ascii="Calibri" w:hAnsi="Calibri" w:cs="Calibri"/>
                <w:b/>
                <w:bCs/>
                <w:color w:val="000000"/>
                <w:sz w:val="16"/>
                <w:szCs w:val="16"/>
              </w:rPr>
              <w:t>min.</w:t>
            </w:r>
            <w:r w:rsidR="00AC3DEE">
              <w:rPr>
                <w:rFonts w:ascii="Calibri" w:hAnsi="Calibri" w:cs="Calibri"/>
                <w:b/>
                <w:bCs/>
                <w:color w:val="000000"/>
                <w:sz w:val="16"/>
                <w:szCs w:val="16"/>
              </w:rPr>
              <w:t xml:space="preserve"> </w:t>
            </w:r>
            <w:r w:rsidR="00AC3DEE" w:rsidRPr="00AC3DEE">
              <w:rPr>
                <w:rFonts w:ascii="Calibri" w:hAnsi="Calibri" w:cs="Calibri"/>
                <w:b/>
                <w:bCs/>
                <w:color w:val="000000"/>
                <w:sz w:val="16"/>
                <w:szCs w:val="16"/>
              </w:rPr>
              <w:t>let</w:t>
            </w:r>
          </w:p>
        </w:tc>
        <w:tc>
          <w:tcPr>
            <w:tcW w:w="1985" w:type="dxa"/>
            <w:gridSpan w:val="2"/>
            <w:tcBorders>
              <w:top w:val="single" w:sz="4" w:space="0" w:color="auto"/>
              <w:left w:val="nil"/>
              <w:bottom w:val="single" w:sz="4" w:space="0" w:color="auto"/>
              <w:right w:val="single" w:sz="4" w:space="0" w:color="auto"/>
            </w:tcBorders>
            <w:shd w:val="clear" w:color="92D050" w:fill="D9E1F2"/>
            <w:noWrap/>
            <w:vAlign w:val="center"/>
            <w:hideMark/>
          </w:tcPr>
          <w:p w:rsidR="00AC3DEE" w:rsidRPr="00AC3DEE" w:rsidRDefault="00AC3DEE">
            <w:pPr>
              <w:jc w:val="center"/>
              <w:rPr>
                <w:rFonts w:ascii="Calibri" w:hAnsi="Calibri" w:cs="Calibri"/>
                <w:b/>
                <w:bCs/>
                <w:color w:val="000000"/>
                <w:sz w:val="16"/>
                <w:szCs w:val="16"/>
              </w:rPr>
            </w:pPr>
            <w:r w:rsidRPr="00AC3DEE">
              <w:rPr>
                <w:rFonts w:ascii="Calibri" w:hAnsi="Calibri" w:cs="Calibri"/>
                <w:b/>
                <w:bCs/>
                <w:color w:val="000000"/>
                <w:sz w:val="16"/>
                <w:szCs w:val="16"/>
              </w:rPr>
              <w:t>Příděl do</w:t>
            </w:r>
          </w:p>
        </w:tc>
        <w:tc>
          <w:tcPr>
            <w:tcW w:w="992" w:type="dxa"/>
            <w:vMerge w:val="restart"/>
            <w:tcBorders>
              <w:top w:val="single" w:sz="4" w:space="0" w:color="auto"/>
              <w:left w:val="single" w:sz="4" w:space="0" w:color="auto"/>
              <w:bottom w:val="nil"/>
              <w:right w:val="single" w:sz="4" w:space="0" w:color="auto"/>
            </w:tcBorders>
            <w:shd w:val="clear" w:color="92D050" w:fill="D9E1F2"/>
            <w:vAlign w:val="center"/>
            <w:hideMark/>
          </w:tcPr>
          <w:p w:rsidR="00AC3DEE" w:rsidRPr="00AC3DEE" w:rsidRDefault="0093402A">
            <w:pPr>
              <w:jc w:val="center"/>
              <w:rPr>
                <w:rFonts w:ascii="Calibri" w:hAnsi="Calibri" w:cs="Calibri"/>
                <w:b/>
                <w:bCs/>
                <w:color w:val="000000"/>
                <w:sz w:val="16"/>
                <w:szCs w:val="16"/>
              </w:rPr>
            </w:pPr>
            <w:r>
              <w:rPr>
                <w:rFonts w:ascii="Calibri" w:hAnsi="Calibri" w:cs="Calibri"/>
                <w:b/>
                <w:bCs/>
                <w:color w:val="000000"/>
                <w:sz w:val="16"/>
                <w:szCs w:val="16"/>
              </w:rPr>
              <w:t>Odvod na </w:t>
            </w:r>
            <w:r w:rsidR="00AC3DEE" w:rsidRPr="00AC3DEE">
              <w:rPr>
                <w:rFonts w:ascii="Calibri" w:hAnsi="Calibri" w:cs="Calibri"/>
                <w:b/>
                <w:bCs/>
                <w:color w:val="000000"/>
                <w:sz w:val="16"/>
                <w:szCs w:val="16"/>
              </w:rPr>
              <w:t>účet zřizovatele</w:t>
            </w:r>
          </w:p>
        </w:tc>
      </w:tr>
      <w:tr w:rsidR="00AC3DEE" w:rsidRPr="00AC3DEE" w:rsidTr="0093402A">
        <w:trPr>
          <w:trHeight w:val="480"/>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AC3DEE" w:rsidRPr="00AC3DEE" w:rsidRDefault="00AC3DEE">
            <w:pPr>
              <w:rPr>
                <w:rFonts w:ascii="Calibri" w:hAnsi="Calibri" w:cs="Calibri"/>
                <w:b/>
                <w:bCs/>
                <w:color w:val="000000"/>
                <w:sz w:val="16"/>
                <w:szCs w:val="16"/>
              </w:rPr>
            </w:pPr>
          </w:p>
        </w:tc>
        <w:tc>
          <w:tcPr>
            <w:tcW w:w="992" w:type="dxa"/>
            <w:tcBorders>
              <w:top w:val="nil"/>
              <w:left w:val="nil"/>
              <w:bottom w:val="nil"/>
              <w:right w:val="single" w:sz="4" w:space="0" w:color="auto"/>
            </w:tcBorders>
            <w:shd w:val="clear" w:color="92D050" w:fill="D9E1F2"/>
            <w:vAlign w:val="center"/>
            <w:hideMark/>
          </w:tcPr>
          <w:p w:rsidR="00AC3DEE" w:rsidRPr="00AC3DEE" w:rsidRDefault="00AC3DEE">
            <w:pPr>
              <w:jc w:val="center"/>
              <w:rPr>
                <w:rFonts w:ascii="Calibri" w:hAnsi="Calibri" w:cs="Calibri"/>
                <w:b/>
                <w:bCs/>
                <w:color w:val="000000"/>
                <w:sz w:val="16"/>
                <w:szCs w:val="16"/>
              </w:rPr>
            </w:pPr>
            <w:r w:rsidRPr="00AC3DEE">
              <w:rPr>
                <w:rFonts w:ascii="Calibri" w:hAnsi="Calibri" w:cs="Calibri"/>
                <w:b/>
                <w:bCs/>
                <w:color w:val="000000"/>
                <w:sz w:val="16"/>
                <w:szCs w:val="16"/>
              </w:rPr>
              <w:t>Hlavní činnost</w:t>
            </w:r>
          </w:p>
        </w:tc>
        <w:tc>
          <w:tcPr>
            <w:tcW w:w="993" w:type="dxa"/>
            <w:tcBorders>
              <w:top w:val="nil"/>
              <w:left w:val="nil"/>
              <w:bottom w:val="nil"/>
              <w:right w:val="single" w:sz="4" w:space="0" w:color="auto"/>
            </w:tcBorders>
            <w:shd w:val="clear" w:color="92D050" w:fill="D9E1F2"/>
            <w:vAlign w:val="center"/>
            <w:hideMark/>
          </w:tcPr>
          <w:p w:rsidR="00AC3DEE" w:rsidRPr="00AC3DEE" w:rsidRDefault="00AC3DEE">
            <w:pPr>
              <w:jc w:val="center"/>
              <w:rPr>
                <w:rFonts w:ascii="Calibri" w:hAnsi="Calibri" w:cs="Calibri"/>
                <w:b/>
                <w:bCs/>
                <w:color w:val="000000"/>
                <w:sz w:val="16"/>
                <w:szCs w:val="16"/>
              </w:rPr>
            </w:pPr>
            <w:r w:rsidRPr="00AC3DEE">
              <w:rPr>
                <w:rFonts w:ascii="Calibri" w:hAnsi="Calibri" w:cs="Calibri"/>
                <w:b/>
                <w:bCs/>
                <w:color w:val="000000"/>
                <w:sz w:val="16"/>
                <w:szCs w:val="16"/>
              </w:rPr>
              <w:t>Doplňková činnost</w:t>
            </w:r>
          </w:p>
        </w:tc>
        <w:tc>
          <w:tcPr>
            <w:tcW w:w="992" w:type="dxa"/>
            <w:tcBorders>
              <w:top w:val="nil"/>
              <w:left w:val="nil"/>
              <w:bottom w:val="nil"/>
              <w:right w:val="single" w:sz="4" w:space="0" w:color="auto"/>
            </w:tcBorders>
            <w:shd w:val="clear" w:color="92D050" w:fill="D9E1F2"/>
            <w:noWrap/>
            <w:vAlign w:val="center"/>
            <w:hideMark/>
          </w:tcPr>
          <w:p w:rsidR="00AC3DEE" w:rsidRPr="00AC3DEE" w:rsidRDefault="00AC3DEE">
            <w:pPr>
              <w:jc w:val="center"/>
              <w:rPr>
                <w:rFonts w:ascii="Calibri" w:hAnsi="Calibri" w:cs="Calibri"/>
                <w:b/>
                <w:bCs/>
                <w:color w:val="000000"/>
                <w:sz w:val="16"/>
                <w:szCs w:val="16"/>
              </w:rPr>
            </w:pPr>
            <w:r w:rsidRPr="00AC3DEE">
              <w:rPr>
                <w:rFonts w:ascii="Calibri" w:hAnsi="Calibri" w:cs="Calibri"/>
                <w:b/>
                <w:bCs/>
                <w:color w:val="000000"/>
                <w:sz w:val="16"/>
                <w:szCs w:val="16"/>
              </w:rPr>
              <w:t>Celkem</w:t>
            </w:r>
          </w:p>
        </w:tc>
        <w:tc>
          <w:tcPr>
            <w:tcW w:w="850" w:type="dxa"/>
            <w:vMerge/>
            <w:tcBorders>
              <w:top w:val="single" w:sz="4" w:space="0" w:color="auto"/>
              <w:left w:val="single" w:sz="4" w:space="0" w:color="auto"/>
              <w:bottom w:val="nil"/>
              <w:right w:val="single" w:sz="4" w:space="0" w:color="auto"/>
            </w:tcBorders>
            <w:vAlign w:val="center"/>
            <w:hideMark/>
          </w:tcPr>
          <w:p w:rsidR="00AC3DEE" w:rsidRPr="00AC3DEE" w:rsidRDefault="00AC3DEE">
            <w:pPr>
              <w:rPr>
                <w:rFonts w:ascii="Calibri" w:hAnsi="Calibri" w:cs="Calibri"/>
                <w:b/>
                <w:bCs/>
                <w:color w:val="000000"/>
                <w:sz w:val="16"/>
                <w:szCs w:val="16"/>
              </w:rPr>
            </w:pPr>
          </w:p>
        </w:tc>
        <w:tc>
          <w:tcPr>
            <w:tcW w:w="993" w:type="dxa"/>
            <w:tcBorders>
              <w:top w:val="nil"/>
              <w:left w:val="nil"/>
              <w:bottom w:val="nil"/>
              <w:right w:val="single" w:sz="4" w:space="0" w:color="auto"/>
            </w:tcBorders>
            <w:shd w:val="clear" w:color="92D050" w:fill="D9E1F2"/>
            <w:vAlign w:val="center"/>
            <w:hideMark/>
          </w:tcPr>
          <w:p w:rsidR="00AC3DEE" w:rsidRPr="00AC3DEE" w:rsidRDefault="00AC3DEE">
            <w:pPr>
              <w:jc w:val="center"/>
              <w:rPr>
                <w:rFonts w:ascii="Calibri" w:hAnsi="Calibri" w:cs="Calibri"/>
                <w:b/>
                <w:bCs/>
                <w:color w:val="000000"/>
                <w:sz w:val="16"/>
                <w:szCs w:val="16"/>
              </w:rPr>
            </w:pPr>
            <w:r w:rsidRPr="00AC3DEE">
              <w:rPr>
                <w:rFonts w:ascii="Calibri" w:hAnsi="Calibri" w:cs="Calibri"/>
                <w:b/>
                <w:bCs/>
                <w:color w:val="000000"/>
                <w:sz w:val="16"/>
                <w:szCs w:val="16"/>
              </w:rPr>
              <w:t>Rezervního fondu</w:t>
            </w:r>
          </w:p>
        </w:tc>
        <w:tc>
          <w:tcPr>
            <w:tcW w:w="992" w:type="dxa"/>
            <w:tcBorders>
              <w:top w:val="nil"/>
              <w:left w:val="nil"/>
              <w:bottom w:val="nil"/>
              <w:right w:val="single" w:sz="4" w:space="0" w:color="auto"/>
            </w:tcBorders>
            <w:shd w:val="clear" w:color="92D050" w:fill="D9E1F2"/>
            <w:vAlign w:val="center"/>
            <w:hideMark/>
          </w:tcPr>
          <w:p w:rsidR="00AC3DEE" w:rsidRPr="00AC3DEE" w:rsidRDefault="00AC3DEE">
            <w:pPr>
              <w:jc w:val="center"/>
              <w:rPr>
                <w:rFonts w:ascii="Calibri" w:hAnsi="Calibri" w:cs="Calibri"/>
                <w:b/>
                <w:bCs/>
                <w:color w:val="000000"/>
                <w:sz w:val="16"/>
                <w:szCs w:val="16"/>
              </w:rPr>
            </w:pPr>
            <w:r w:rsidRPr="00AC3DEE">
              <w:rPr>
                <w:rFonts w:ascii="Calibri" w:hAnsi="Calibri" w:cs="Calibri"/>
                <w:b/>
                <w:bCs/>
                <w:color w:val="000000"/>
                <w:sz w:val="16"/>
                <w:szCs w:val="16"/>
              </w:rPr>
              <w:t>Fondu odměn</w:t>
            </w:r>
          </w:p>
        </w:tc>
        <w:tc>
          <w:tcPr>
            <w:tcW w:w="992" w:type="dxa"/>
            <w:vMerge/>
            <w:tcBorders>
              <w:top w:val="single" w:sz="4" w:space="0" w:color="auto"/>
              <w:left w:val="single" w:sz="4" w:space="0" w:color="auto"/>
              <w:bottom w:val="nil"/>
              <w:right w:val="single" w:sz="4" w:space="0" w:color="auto"/>
            </w:tcBorders>
            <w:vAlign w:val="center"/>
            <w:hideMark/>
          </w:tcPr>
          <w:p w:rsidR="00AC3DEE" w:rsidRPr="00AC3DEE" w:rsidRDefault="00AC3DEE">
            <w:pPr>
              <w:rPr>
                <w:rFonts w:ascii="Calibri" w:hAnsi="Calibri" w:cs="Calibri"/>
                <w:b/>
                <w:bCs/>
                <w:color w:val="000000"/>
                <w:sz w:val="16"/>
                <w:szCs w:val="16"/>
              </w:rPr>
            </w:pPr>
          </w:p>
        </w:tc>
      </w:tr>
      <w:tr w:rsidR="00AC3DEE" w:rsidRPr="00AC3DEE" w:rsidTr="0093402A">
        <w:trPr>
          <w:trHeight w:val="288"/>
        </w:trPr>
        <w:tc>
          <w:tcPr>
            <w:tcW w:w="2972" w:type="dxa"/>
            <w:tcBorders>
              <w:top w:val="nil"/>
              <w:left w:val="single" w:sz="4" w:space="0" w:color="auto"/>
              <w:bottom w:val="single" w:sz="4" w:space="0" w:color="auto"/>
              <w:right w:val="nil"/>
            </w:tcBorders>
            <w:shd w:val="clear" w:color="auto" w:fill="auto"/>
            <w:vAlign w:val="center"/>
            <w:hideMark/>
          </w:tcPr>
          <w:p w:rsidR="00AC3DEE" w:rsidRPr="00AC3DEE" w:rsidRDefault="00AC3DEE">
            <w:pPr>
              <w:jc w:val="both"/>
              <w:rPr>
                <w:rFonts w:ascii="Calibri" w:hAnsi="Calibri" w:cs="Calibri"/>
                <w:sz w:val="16"/>
                <w:szCs w:val="16"/>
              </w:rPr>
            </w:pPr>
            <w:r w:rsidRPr="00AC3DEE">
              <w:rPr>
                <w:rFonts w:ascii="Calibri" w:hAnsi="Calibri" w:cs="Calibri"/>
                <w:sz w:val="16"/>
                <w:szCs w:val="16"/>
              </w:rPr>
              <w:t>MŠ Prostějov, Rumunská 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171 609,16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171 609,16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170 201,16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1 408,00</w:t>
            </w:r>
          </w:p>
        </w:tc>
      </w:tr>
      <w:tr w:rsidR="00AC3DEE" w:rsidRPr="00AC3DEE" w:rsidTr="0093402A">
        <w:trPr>
          <w:trHeight w:val="288"/>
        </w:trPr>
        <w:tc>
          <w:tcPr>
            <w:tcW w:w="2972" w:type="dxa"/>
            <w:tcBorders>
              <w:top w:val="nil"/>
              <w:left w:val="single" w:sz="4" w:space="0" w:color="auto"/>
              <w:bottom w:val="single" w:sz="4" w:space="0" w:color="auto"/>
              <w:right w:val="nil"/>
            </w:tcBorders>
            <w:shd w:val="clear" w:color="auto" w:fill="auto"/>
            <w:vAlign w:val="center"/>
            <w:hideMark/>
          </w:tcPr>
          <w:p w:rsidR="00AC3DEE" w:rsidRPr="00AC3DEE" w:rsidRDefault="00AC3DEE">
            <w:pPr>
              <w:jc w:val="both"/>
              <w:rPr>
                <w:rFonts w:ascii="Calibri" w:hAnsi="Calibri" w:cs="Calibri"/>
                <w:sz w:val="16"/>
                <w:szCs w:val="16"/>
              </w:rPr>
            </w:pPr>
            <w:r w:rsidRPr="00AC3DEE">
              <w:rPr>
                <w:rFonts w:ascii="Calibri" w:hAnsi="Calibri" w:cs="Calibri"/>
                <w:sz w:val="16"/>
                <w:szCs w:val="16"/>
              </w:rPr>
              <w:t>MŠ Prostějov, Šárka 4a</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135 680,05</w:t>
            </w:r>
          </w:p>
        </w:tc>
        <w:tc>
          <w:tcPr>
            <w:tcW w:w="993"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135 680,05</w:t>
            </w:r>
          </w:p>
        </w:tc>
        <w:tc>
          <w:tcPr>
            <w:tcW w:w="850"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135 200,05</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480,00</w:t>
            </w:r>
          </w:p>
        </w:tc>
      </w:tr>
      <w:tr w:rsidR="00AC3DEE" w:rsidRPr="00AC3DEE" w:rsidTr="0093402A">
        <w:trPr>
          <w:trHeight w:val="288"/>
        </w:trPr>
        <w:tc>
          <w:tcPr>
            <w:tcW w:w="2972" w:type="dxa"/>
            <w:tcBorders>
              <w:top w:val="nil"/>
              <w:left w:val="single" w:sz="4" w:space="0" w:color="auto"/>
              <w:bottom w:val="single" w:sz="4" w:space="0" w:color="auto"/>
              <w:right w:val="nil"/>
            </w:tcBorders>
            <w:shd w:val="clear" w:color="auto" w:fill="auto"/>
            <w:vAlign w:val="center"/>
            <w:hideMark/>
          </w:tcPr>
          <w:p w:rsidR="00AC3DEE" w:rsidRPr="00AC3DEE" w:rsidRDefault="00AC3DEE">
            <w:pPr>
              <w:jc w:val="both"/>
              <w:rPr>
                <w:rFonts w:ascii="Calibri" w:hAnsi="Calibri" w:cs="Calibri"/>
                <w:sz w:val="16"/>
                <w:szCs w:val="16"/>
              </w:rPr>
            </w:pPr>
            <w:r w:rsidRPr="00AC3DEE">
              <w:rPr>
                <w:rFonts w:ascii="Calibri" w:hAnsi="Calibri" w:cs="Calibri"/>
                <w:sz w:val="16"/>
                <w:szCs w:val="16"/>
              </w:rPr>
              <w:t>MŠ Prostějov, Partyzánská 34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133 185,28</w:t>
            </w:r>
          </w:p>
        </w:tc>
        <w:tc>
          <w:tcPr>
            <w:tcW w:w="993"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5 000,00</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138 185,28</w:t>
            </w:r>
          </w:p>
        </w:tc>
        <w:tc>
          <w:tcPr>
            <w:tcW w:w="850"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138 185,28</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0,00</w:t>
            </w:r>
          </w:p>
        </w:tc>
      </w:tr>
      <w:tr w:rsidR="00AC3DEE" w:rsidRPr="00AC3DEE" w:rsidTr="0093402A">
        <w:trPr>
          <w:trHeight w:val="288"/>
        </w:trPr>
        <w:tc>
          <w:tcPr>
            <w:tcW w:w="2972" w:type="dxa"/>
            <w:tcBorders>
              <w:top w:val="nil"/>
              <w:left w:val="single" w:sz="4" w:space="0" w:color="auto"/>
              <w:bottom w:val="single" w:sz="4" w:space="0" w:color="auto"/>
              <w:right w:val="nil"/>
            </w:tcBorders>
            <w:shd w:val="clear" w:color="auto" w:fill="auto"/>
            <w:vAlign w:val="center"/>
            <w:hideMark/>
          </w:tcPr>
          <w:p w:rsidR="00AC3DEE" w:rsidRPr="00AC3DEE" w:rsidRDefault="00AC3DEE">
            <w:pPr>
              <w:jc w:val="both"/>
              <w:rPr>
                <w:rFonts w:ascii="Calibri" w:hAnsi="Calibri" w:cs="Calibri"/>
                <w:sz w:val="16"/>
                <w:szCs w:val="16"/>
              </w:rPr>
            </w:pPr>
            <w:r w:rsidRPr="00AC3DEE">
              <w:rPr>
                <w:rFonts w:ascii="Calibri" w:hAnsi="Calibri" w:cs="Calibri"/>
                <w:sz w:val="16"/>
                <w:szCs w:val="16"/>
              </w:rPr>
              <w:t>MŠ Prostějov, Smetanova 24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47 391,72</w:t>
            </w:r>
          </w:p>
        </w:tc>
        <w:tc>
          <w:tcPr>
            <w:tcW w:w="993"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52258</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99 649,72</w:t>
            </w:r>
          </w:p>
        </w:tc>
        <w:tc>
          <w:tcPr>
            <w:tcW w:w="850"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83 530,74</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10 000,00</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6 118,98</w:t>
            </w:r>
          </w:p>
        </w:tc>
      </w:tr>
      <w:tr w:rsidR="00AC3DEE" w:rsidRPr="00AC3DEE" w:rsidTr="0093402A">
        <w:trPr>
          <w:trHeight w:val="288"/>
        </w:trPr>
        <w:tc>
          <w:tcPr>
            <w:tcW w:w="2972" w:type="dxa"/>
            <w:tcBorders>
              <w:top w:val="nil"/>
              <w:left w:val="single" w:sz="4" w:space="0" w:color="auto"/>
              <w:bottom w:val="single" w:sz="4" w:space="0" w:color="auto"/>
              <w:right w:val="nil"/>
            </w:tcBorders>
            <w:shd w:val="clear" w:color="auto" w:fill="auto"/>
            <w:vAlign w:val="center"/>
            <w:hideMark/>
          </w:tcPr>
          <w:p w:rsidR="00AC3DEE" w:rsidRPr="00AC3DEE" w:rsidRDefault="00AC3DEE">
            <w:pPr>
              <w:jc w:val="both"/>
              <w:rPr>
                <w:rFonts w:ascii="Calibri" w:hAnsi="Calibri" w:cs="Calibri"/>
                <w:sz w:val="16"/>
                <w:szCs w:val="16"/>
              </w:rPr>
            </w:pPr>
            <w:r w:rsidRPr="00AC3DEE">
              <w:rPr>
                <w:rFonts w:ascii="Calibri" w:hAnsi="Calibri" w:cs="Calibri"/>
                <w:sz w:val="16"/>
                <w:szCs w:val="16"/>
              </w:rPr>
              <w:t>MŠ Prostějov, Moravská 30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18 781,34</w:t>
            </w:r>
          </w:p>
        </w:tc>
        <w:tc>
          <w:tcPr>
            <w:tcW w:w="993"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18 781,34</w:t>
            </w:r>
          </w:p>
        </w:tc>
        <w:tc>
          <w:tcPr>
            <w:tcW w:w="850"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15 781,34</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3 000,00</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0,00</w:t>
            </w:r>
          </w:p>
        </w:tc>
      </w:tr>
      <w:tr w:rsidR="00AC3DEE" w:rsidRPr="00AC3DEE" w:rsidTr="0093402A">
        <w:trPr>
          <w:trHeight w:val="288"/>
        </w:trPr>
        <w:tc>
          <w:tcPr>
            <w:tcW w:w="2972" w:type="dxa"/>
            <w:tcBorders>
              <w:top w:val="nil"/>
              <w:left w:val="single" w:sz="4" w:space="0" w:color="auto"/>
              <w:bottom w:val="single" w:sz="4" w:space="0" w:color="auto"/>
              <w:right w:val="nil"/>
            </w:tcBorders>
            <w:shd w:val="clear" w:color="auto" w:fill="auto"/>
            <w:vAlign w:val="center"/>
            <w:hideMark/>
          </w:tcPr>
          <w:p w:rsidR="00AC3DEE" w:rsidRPr="00AC3DEE" w:rsidRDefault="00AC3DEE">
            <w:pPr>
              <w:jc w:val="both"/>
              <w:rPr>
                <w:rFonts w:ascii="Calibri" w:hAnsi="Calibri" w:cs="Calibri"/>
                <w:sz w:val="16"/>
                <w:szCs w:val="16"/>
              </w:rPr>
            </w:pPr>
            <w:r w:rsidRPr="00AC3DEE">
              <w:rPr>
                <w:rFonts w:ascii="Calibri" w:hAnsi="Calibri" w:cs="Calibri"/>
                <w:sz w:val="16"/>
                <w:szCs w:val="16"/>
              </w:rPr>
              <w:t>ZŠ a MŠ Prostějov, Palackého tř. 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1 435,00</w:t>
            </w:r>
          </w:p>
        </w:tc>
        <w:tc>
          <w:tcPr>
            <w:tcW w:w="993"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256 522,03</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257 957,03</w:t>
            </w:r>
          </w:p>
        </w:tc>
        <w:tc>
          <w:tcPr>
            <w:tcW w:w="850"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206 522,03</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50 000,00</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1 435,00</w:t>
            </w:r>
          </w:p>
        </w:tc>
      </w:tr>
      <w:tr w:rsidR="00AC3DEE" w:rsidRPr="00AC3DEE" w:rsidTr="0093402A">
        <w:trPr>
          <w:trHeight w:val="288"/>
        </w:trPr>
        <w:tc>
          <w:tcPr>
            <w:tcW w:w="2972" w:type="dxa"/>
            <w:tcBorders>
              <w:top w:val="nil"/>
              <w:left w:val="single" w:sz="4" w:space="0" w:color="auto"/>
              <w:bottom w:val="single" w:sz="4" w:space="0" w:color="auto"/>
              <w:right w:val="nil"/>
            </w:tcBorders>
            <w:shd w:val="clear" w:color="auto" w:fill="auto"/>
            <w:vAlign w:val="center"/>
            <w:hideMark/>
          </w:tcPr>
          <w:p w:rsidR="00AC3DEE" w:rsidRPr="00AC3DEE" w:rsidRDefault="00AC3DEE">
            <w:pPr>
              <w:jc w:val="both"/>
              <w:rPr>
                <w:rFonts w:ascii="Calibri" w:hAnsi="Calibri" w:cs="Calibri"/>
                <w:sz w:val="16"/>
                <w:szCs w:val="16"/>
              </w:rPr>
            </w:pPr>
            <w:r w:rsidRPr="00AC3DEE">
              <w:rPr>
                <w:rFonts w:ascii="Calibri" w:hAnsi="Calibri" w:cs="Calibri"/>
                <w:sz w:val="16"/>
                <w:szCs w:val="16"/>
              </w:rPr>
              <w:t>ZŠ a MŠ Prostějov, Kollárova ul. 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69 531,19</w:t>
            </w:r>
          </w:p>
        </w:tc>
        <w:tc>
          <w:tcPr>
            <w:tcW w:w="993"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61 014,70</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130 545,89</w:t>
            </w:r>
          </w:p>
        </w:tc>
        <w:tc>
          <w:tcPr>
            <w:tcW w:w="850"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124 197,93</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6 347,96</w:t>
            </w:r>
          </w:p>
        </w:tc>
      </w:tr>
      <w:tr w:rsidR="00AC3DEE" w:rsidRPr="00AC3DEE" w:rsidTr="0093402A">
        <w:trPr>
          <w:trHeight w:val="288"/>
        </w:trPr>
        <w:tc>
          <w:tcPr>
            <w:tcW w:w="2972" w:type="dxa"/>
            <w:tcBorders>
              <w:top w:val="nil"/>
              <w:left w:val="single" w:sz="4" w:space="0" w:color="auto"/>
              <w:bottom w:val="single" w:sz="4" w:space="0" w:color="auto"/>
              <w:right w:val="nil"/>
            </w:tcBorders>
            <w:shd w:val="clear" w:color="auto" w:fill="auto"/>
            <w:vAlign w:val="center"/>
            <w:hideMark/>
          </w:tcPr>
          <w:p w:rsidR="00AC3DEE" w:rsidRPr="00AC3DEE" w:rsidRDefault="00AC3DEE">
            <w:pPr>
              <w:jc w:val="both"/>
              <w:rPr>
                <w:rFonts w:ascii="Calibri" w:hAnsi="Calibri" w:cs="Calibri"/>
                <w:sz w:val="16"/>
                <w:szCs w:val="16"/>
              </w:rPr>
            </w:pPr>
            <w:r w:rsidRPr="00AC3DEE">
              <w:rPr>
                <w:rFonts w:ascii="Calibri" w:hAnsi="Calibri" w:cs="Calibri"/>
                <w:sz w:val="16"/>
                <w:szCs w:val="16"/>
              </w:rPr>
              <w:t>ZŠ a MŠ Jana Železného Prostějov</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156 545,33</w:t>
            </w:r>
          </w:p>
        </w:tc>
        <w:tc>
          <w:tcPr>
            <w:tcW w:w="993"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126 526,58</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283 071,91</w:t>
            </w:r>
          </w:p>
        </w:tc>
        <w:tc>
          <w:tcPr>
            <w:tcW w:w="850"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256 632,37</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10 000,00</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16 439,54</w:t>
            </w:r>
          </w:p>
        </w:tc>
      </w:tr>
      <w:tr w:rsidR="00AC3DEE" w:rsidRPr="00AC3DEE" w:rsidTr="0093402A">
        <w:trPr>
          <w:trHeight w:val="288"/>
        </w:trPr>
        <w:tc>
          <w:tcPr>
            <w:tcW w:w="2972" w:type="dxa"/>
            <w:tcBorders>
              <w:top w:val="nil"/>
              <w:left w:val="single" w:sz="4" w:space="0" w:color="auto"/>
              <w:bottom w:val="single" w:sz="4" w:space="0" w:color="auto"/>
              <w:right w:val="nil"/>
            </w:tcBorders>
            <w:shd w:val="clear" w:color="auto" w:fill="auto"/>
            <w:vAlign w:val="center"/>
            <w:hideMark/>
          </w:tcPr>
          <w:p w:rsidR="00AC3DEE" w:rsidRPr="00AC3DEE" w:rsidRDefault="00AC3DEE">
            <w:pPr>
              <w:jc w:val="both"/>
              <w:rPr>
                <w:rFonts w:ascii="Calibri" w:hAnsi="Calibri" w:cs="Calibri"/>
                <w:sz w:val="16"/>
                <w:szCs w:val="16"/>
              </w:rPr>
            </w:pPr>
            <w:r w:rsidRPr="00AC3DEE">
              <w:rPr>
                <w:rFonts w:ascii="Calibri" w:hAnsi="Calibri" w:cs="Calibri"/>
                <w:sz w:val="16"/>
                <w:szCs w:val="16"/>
              </w:rPr>
              <w:t>ZŠ a MŠ Prostějov, Melantrichova ul. 60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83 864,26</w:t>
            </w:r>
          </w:p>
        </w:tc>
        <w:tc>
          <w:tcPr>
            <w:tcW w:w="993"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177 990,84</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261 855,10</w:t>
            </w:r>
          </w:p>
        </w:tc>
        <w:tc>
          <w:tcPr>
            <w:tcW w:w="850"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231 891,29</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29 963,81</w:t>
            </w:r>
          </w:p>
        </w:tc>
      </w:tr>
      <w:tr w:rsidR="00AC3DEE" w:rsidRPr="00AC3DEE" w:rsidTr="0093402A">
        <w:trPr>
          <w:trHeight w:val="288"/>
        </w:trPr>
        <w:tc>
          <w:tcPr>
            <w:tcW w:w="2972" w:type="dxa"/>
            <w:tcBorders>
              <w:top w:val="nil"/>
              <w:left w:val="single" w:sz="4" w:space="0" w:color="auto"/>
              <w:bottom w:val="single" w:sz="4" w:space="0" w:color="auto"/>
              <w:right w:val="nil"/>
            </w:tcBorders>
            <w:shd w:val="clear" w:color="auto" w:fill="auto"/>
            <w:vAlign w:val="center"/>
            <w:hideMark/>
          </w:tcPr>
          <w:p w:rsidR="00AC3DEE" w:rsidRPr="00AC3DEE" w:rsidRDefault="00AC3DEE">
            <w:pPr>
              <w:jc w:val="both"/>
              <w:rPr>
                <w:rFonts w:ascii="Calibri" w:hAnsi="Calibri" w:cs="Calibri"/>
                <w:sz w:val="16"/>
                <w:szCs w:val="16"/>
              </w:rPr>
            </w:pPr>
            <w:r w:rsidRPr="00AC3DEE">
              <w:rPr>
                <w:rFonts w:ascii="Calibri" w:hAnsi="Calibri" w:cs="Calibri"/>
                <w:sz w:val="16"/>
                <w:szCs w:val="16"/>
              </w:rPr>
              <w:t>ZŠ Prostějov, ul. Vl. Majakovského 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35 884,76</w:t>
            </w:r>
          </w:p>
        </w:tc>
        <w:tc>
          <w:tcPr>
            <w:tcW w:w="993"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23 927,13</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59 811,89</w:t>
            </w:r>
          </w:p>
        </w:tc>
        <w:tc>
          <w:tcPr>
            <w:tcW w:w="850"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58 341,89</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1 470,00</w:t>
            </w:r>
          </w:p>
        </w:tc>
      </w:tr>
      <w:tr w:rsidR="00AC3DEE" w:rsidRPr="00AC3DEE" w:rsidTr="0093402A">
        <w:trPr>
          <w:trHeight w:val="288"/>
        </w:trPr>
        <w:tc>
          <w:tcPr>
            <w:tcW w:w="2972" w:type="dxa"/>
            <w:tcBorders>
              <w:top w:val="nil"/>
              <w:left w:val="single" w:sz="4" w:space="0" w:color="auto"/>
              <w:bottom w:val="single" w:sz="4" w:space="0" w:color="auto"/>
              <w:right w:val="nil"/>
            </w:tcBorders>
            <w:shd w:val="clear" w:color="auto" w:fill="auto"/>
            <w:vAlign w:val="center"/>
            <w:hideMark/>
          </w:tcPr>
          <w:p w:rsidR="00AC3DEE" w:rsidRPr="00AC3DEE" w:rsidRDefault="00AC3DEE">
            <w:pPr>
              <w:jc w:val="both"/>
              <w:rPr>
                <w:rFonts w:ascii="Calibri" w:hAnsi="Calibri" w:cs="Calibri"/>
                <w:sz w:val="16"/>
                <w:szCs w:val="16"/>
              </w:rPr>
            </w:pPr>
            <w:r w:rsidRPr="00AC3DEE">
              <w:rPr>
                <w:rFonts w:ascii="Calibri" w:hAnsi="Calibri" w:cs="Calibri"/>
                <w:sz w:val="16"/>
                <w:szCs w:val="16"/>
              </w:rPr>
              <w:t>RG a ZŠ Otto Wichterleho,  Studentská ul. 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-10 809,69</w:t>
            </w:r>
          </w:p>
        </w:tc>
        <w:tc>
          <w:tcPr>
            <w:tcW w:w="993"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248 141,50</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237 331,81</w:t>
            </w:r>
          </w:p>
        </w:tc>
        <w:tc>
          <w:tcPr>
            <w:tcW w:w="850"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202 385,37</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30 000,00</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4 946,44</w:t>
            </w:r>
          </w:p>
        </w:tc>
      </w:tr>
      <w:tr w:rsidR="00AC3DEE" w:rsidRPr="00AC3DEE" w:rsidTr="0093402A">
        <w:trPr>
          <w:trHeight w:val="288"/>
        </w:trPr>
        <w:tc>
          <w:tcPr>
            <w:tcW w:w="2972" w:type="dxa"/>
            <w:tcBorders>
              <w:top w:val="nil"/>
              <w:left w:val="single" w:sz="4" w:space="0" w:color="auto"/>
              <w:bottom w:val="single" w:sz="4" w:space="0" w:color="auto"/>
              <w:right w:val="nil"/>
            </w:tcBorders>
            <w:shd w:val="clear" w:color="auto" w:fill="auto"/>
            <w:vAlign w:val="center"/>
            <w:hideMark/>
          </w:tcPr>
          <w:p w:rsidR="00AC3DEE" w:rsidRPr="00AC3DEE" w:rsidRDefault="00AC3DEE">
            <w:pPr>
              <w:jc w:val="both"/>
              <w:rPr>
                <w:rFonts w:ascii="Calibri" w:hAnsi="Calibri" w:cs="Calibri"/>
                <w:sz w:val="16"/>
                <w:szCs w:val="16"/>
              </w:rPr>
            </w:pPr>
            <w:r w:rsidRPr="00AC3DEE">
              <w:rPr>
                <w:rFonts w:ascii="Calibri" w:hAnsi="Calibri" w:cs="Calibri"/>
                <w:sz w:val="16"/>
                <w:szCs w:val="16"/>
              </w:rPr>
              <w:t>ZŠ Prostějov, ul. Dr. Horáka 24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166 512,10</w:t>
            </w:r>
          </w:p>
        </w:tc>
        <w:tc>
          <w:tcPr>
            <w:tcW w:w="993"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326 888,81</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493 400,91</w:t>
            </w:r>
          </w:p>
        </w:tc>
        <w:tc>
          <w:tcPr>
            <w:tcW w:w="850"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390 000,00</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93 619,05</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9 781,86</w:t>
            </w:r>
          </w:p>
        </w:tc>
      </w:tr>
      <w:tr w:rsidR="00AC3DEE" w:rsidRPr="00AC3DEE" w:rsidTr="0093402A">
        <w:trPr>
          <w:trHeight w:val="288"/>
        </w:trPr>
        <w:tc>
          <w:tcPr>
            <w:tcW w:w="2972" w:type="dxa"/>
            <w:tcBorders>
              <w:top w:val="nil"/>
              <w:left w:val="single" w:sz="4" w:space="0" w:color="auto"/>
              <w:bottom w:val="single" w:sz="4" w:space="0" w:color="auto"/>
              <w:right w:val="nil"/>
            </w:tcBorders>
            <w:shd w:val="clear" w:color="auto" w:fill="auto"/>
            <w:vAlign w:val="center"/>
            <w:hideMark/>
          </w:tcPr>
          <w:p w:rsidR="00AC3DEE" w:rsidRPr="00AC3DEE" w:rsidRDefault="00AC3DEE">
            <w:pPr>
              <w:jc w:val="both"/>
              <w:rPr>
                <w:rFonts w:ascii="Calibri" w:hAnsi="Calibri" w:cs="Calibri"/>
                <w:sz w:val="16"/>
                <w:szCs w:val="16"/>
              </w:rPr>
            </w:pPr>
            <w:r w:rsidRPr="00AC3DEE">
              <w:rPr>
                <w:rFonts w:ascii="Calibri" w:hAnsi="Calibri" w:cs="Calibri"/>
                <w:sz w:val="16"/>
                <w:szCs w:val="16"/>
              </w:rPr>
              <w:t>ZŠ Prostějov, ul. E. Valenty 52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22 661,02</w:t>
            </w:r>
          </w:p>
        </w:tc>
        <w:tc>
          <w:tcPr>
            <w:tcW w:w="993"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164 042,24</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186 703,26</w:t>
            </w:r>
          </w:p>
        </w:tc>
        <w:tc>
          <w:tcPr>
            <w:tcW w:w="850"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182 161,04</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4 542,22</w:t>
            </w:r>
          </w:p>
        </w:tc>
      </w:tr>
      <w:tr w:rsidR="00AC3DEE" w:rsidRPr="00AC3DEE" w:rsidTr="0093402A">
        <w:trPr>
          <w:trHeight w:val="288"/>
        </w:trPr>
        <w:tc>
          <w:tcPr>
            <w:tcW w:w="2972" w:type="dxa"/>
            <w:tcBorders>
              <w:top w:val="nil"/>
              <w:left w:val="single" w:sz="4" w:space="0" w:color="auto"/>
              <w:bottom w:val="single" w:sz="4" w:space="0" w:color="auto"/>
              <w:right w:val="nil"/>
            </w:tcBorders>
            <w:shd w:val="clear" w:color="auto" w:fill="auto"/>
            <w:vAlign w:val="center"/>
            <w:hideMark/>
          </w:tcPr>
          <w:p w:rsidR="00AC3DEE" w:rsidRPr="00AC3DEE" w:rsidRDefault="00AC3DEE">
            <w:pPr>
              <w:jc w:val="both"/>
              <w:rPr>
                <w:rFonts w:ascii="Calibri" w:hAnsi="Calibri" w:cs="Calibri"/>
                <w:sz w:val="16"/>
                <w:szCs w:val="16"/>
              </w:rPr>
            </w:pPr>
            <w:r w:rsidRPr="00AC3DEE">
              <w:rPr>
                <w:rFonts w:ascii="Calibri" w:hAnsi="Calibri" w:cs="Calibri"/>
                <w:sz w:val="16"/>
                <w:szCs w:val="16"/>
              </w:rPr>
              <w:t>Sportcentrum DDM, Prostějov</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280 110,54</w:t>
            </w:r>
          </w:p>
        </w:tc>
        <w:tc>
          <w:tcPr>
            <w:tcW w:w="993"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298 048,13</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578 158,67</w:t>
            </w:r>
          </w:p>
        </w:tc>
        <w:tc>
          <w:tcPr>
            <w:tcW w:w="850"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199 032,63</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100 000,00</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279 126,04</w:t>
            </w:r>
          </w:p>
        </w:tc>
      </w:tr>
      <w:tr w:rsidR="00AC3DEE" w:rsidRPr="00AC3DEE" w:rsidTr="0093402A">
        <w:trPr>
          <w:trHeight w:val="288"/>
        </w:trPr>
        <w:tc>
          <w:tcPr>
            <w:tcW w:w="2972" w:type="dxa"/>
            <w:tcBorders>
              <w:top w:val="nil"/>
              <w:left w:val="single" w:sz="4" w:space="0" w:color="auto"/>
              <w:bottom w:val="single" w:sz="4" w:space="0" w:color="auto"/>
              <w:right w:val="nil"/>
            </w:tcBorders>
            <w:shd w:val="clear" w:color="auto" w:fill="auto"/>
            <w:vAlign w:val="center"/>
            <w:hideMark/>
          </w:tcPr>
          <w:p w:rsidR="00AC3DEE" w:rsidRPr="00AC3DEE" w:rsidRDefault="00AC3DEE">
            <w:pPr>
              <w:jc w:val="both"/>
              <w:rPr>
                <w:rFonts w:ascii="Calibri" w:hAnsi="Calibri" w:cs="Calibri"/>
                <w:sz w:val="16"/>
                <w:szCs w:val="16"/>
              </w:rPr>
            </w:pPr>
            <w:r w:rsidRPr="00AC3DEE">
              <w:rPr>
                <w:rFonts w:ascii="Calibri" w:hAnsi="Calibri" w:cs="Calibri"/>
                <w:sz w:val="16"/>
                <w:szCs w:val="16"/>
              </w:rPr>
              <w:t>ZUŠ Vl. Ambrose, Kravařova ul. 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206 734,27</w:t>
            </w:r>
          </w:p>
        </w:tc>
        <w:tc>
          <w:tcPr>
            <w:tcW w:w="993"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45 201,06</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251 935,33</w:t>
            </w:r>
          </w:p>
        </w:tc>
        <w:tc>
          <w:tcPr>
            <w:tcW w:w="850"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182 044,33</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20 000,00</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49 891,00</w:t>
            </w:r>
          </w:p>
        </w:tc>
      </w:tr>
      <w:tr w:rsidR="00AC3DEE" w:rsidRPr="00AC3DEE" w:rsidTr="0093402A">
        <w:trPr>
          <w:trHeight w:val="288"/>
        </w:trPr>
        <w:tc>
          <w:tcPr>
            <w:tcW w:w="2972" w:type="dxa"/>
            <w:tcBorders>
              <w:top w:val="nil"/>
              <w:left w:val="single" w:sz="4" w:space="0" w:color="auto"/>
              <w:bottom w:val="single" w:sz="4" w:space="0" w:color="auto"/>
              <w:right w:val="nil"/>
            </w:tcBorders>
            <w:shd w:val="clear" w:color="auto" w:fill="auto"/>
            <w:vAlign w:val="center"/>
            <w:hideMark/>
          </w:tcPr>
          <w:p w:rsidR="00AC3DEE" w:rsidRPr="00AC3DEE" w:rsidRDefault="00AC3DEE">
            <w:pPr>
              <w:jc w:val="both"/>
              <w:rPr>
                <w:rFonts w:ascii="Calibri" w:hAnsi="Calibri" w:cs="Calibri"/>
                <w:sz w:val="16"/>
                <w:szCs w:val="16"/>
              </w:rPr>
            </w:pPr>
            <w:r w:rsidRPr="00AC3DEE">
              <w:rPr>
                <w:rFonts w:ascii="Calibri" w:hAnsi="Calibri" w:cs="Calibri"/>
                <w:sz w:val="16"/>
                <w:szCs w:val="16"/>
              </w:rPr>
              <w:t>Městské divadlo v Prostějově</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228 262,39</w:t>
            </w:r>
          </w:p>
        </w:tc>
        <w:tc>
          <w:tcPr>
            <w:tcW w:w="993"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41 065,35</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269 327,74</w:t>
            </w:r>
          </w:p>
        </w:tc>
        <w:tc>
          <w:tcPr>
            <w:tcW w:w="850"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131 612,74</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100 000,00</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37 715,00</w:t>
            </w:r>
          </w:p>
        </w:tc>
      </w:tr>
      <w:tr w:rsidR="00AC3DEE" w:rsidRPr="00AC3DEE" w:rsidTr="0093402A">
        <w:trPr>
          <w:trHeight w:val="288"/>
        </w:trPr>
        <w:tc>
          <w:tcPr>
            <w:tcW w:w="2972" w:type="dxa"/>
            <w:tcBorders>
              <w:top w:val="nil"/>
              <w:left w:val="single" w:sz="4" w:space="0" w:color="auto"/>
              <w:bottom w:val="single" w:sz="4" w:space="0" w:color="auto"/>
              <w:right w:val="nil"/>
            </w:tcBorders>
            <w:shd w:val="clear" w:color="auto" w:fill="auto"/>
            <w:vAlign w:val="center"/>
            <w:hideMark/>
          </w:tcPr>
          <w:p w:rsidR="00AC3DEE" w:rsidRPr="00AC3DEE" w:rsidRDefault="00AC3DEE">
            <w:pPr>
              <w:jc w:val="both"/>
              <w:rPr>
                <w:rFonts w:ascii="Calibri" w:hAnsi="Calibri" w:cs="Calibri"/>
                <w:sz w:val="16"/>
                <w:szCs w:val="16"/>
              </w:rPr>
            </w:pPr>
            <w:r w:rsidRPr="00AC3DEE">
              <w:rPr>
                <w:rFonts w:ascii="Calibri" w:hAnsi="Calibri" w:cs="Calibri"/>
                <w:sz w:val="16"/>
                <w:szCs w:val="16"/>
              </w:rPr>
              <w:t>Městská knihovna Prostějov</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134 948,36</w:t>
            </w:r>
          </w:p>
        </w:tc>
        <w:tc>
          <w:tcPr>
            <w:tcW w:w="993"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134 948,36</w:t>
            </w:r>
          </w:p>
        </w:tc>
        <w:tc>
          <w:tcPr>
            <w:tcW w:w="850"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66 852,36</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68 096,00</w:t>
            </w:r>
          </w:p>
        </w:tc>
      </w:tr>
      <w:tr w:rsidR="00AC3DEE" w:rsidRPr="00AC3DEE" w:rsidTr="0093402A">
        <w:trPr>
          <w:trHeight w:val="288"/>
        </w:trPr>
        <w:tc>
          <w:tcPr>
            <w:tcW w:w="2972" w:type="dxa"/>
            <w:tcBorders>
              <w:top w:val="nil"/>
              <w:left w:val="single" w:sz="4" w:space="0" w:color="auto"/>
              <w:bottom w:val="single" w:sz="4" w:space="0" w:color="auto"/>
              <w:right w:val="nil"/>
            </w:tcBorders>
            <w:shd w:val="clear" w:color="auto" w:fill="auto"/>
            <w:vAlign w:val="center"/>
            <w:hideMark/>
          </w:tcPr>
          <w:p w:rsidR="00AC3DEE" w:rsidRPr="00AC3DEE" w:rsidRDefault="00AC3DEE">
            <w:pPr>
              <w:jc w:val="both"/>
              <w:rPr>
                <w:rFonts w:ascii="Calibri" w:hAnsi="Calibri" w:cs="Calibri"/>
                <w:sz w:val="16"/>
                <w:szCs w:val="16"/>
              </w:rPr>
            </w:pPr>
            <w:r w:rsidRPr="00AC3DEE">
              <w:rPr>
                <w:rFonts w:ascii="Calibri" w:hAnsi="Calibri" w:cs="Calibri"/>
                <w:sz w:val="16"/>
                <w:szCs w:val="16"/>
              </w:rPr>
              <w:t>KINO METRO 70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60 609,51</w:t>
            </w:r>
          </w:p>
        </w:tc>
        <w:tc>
          <w:tcPr>
            <w:tcW w:w="993"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24 072,25</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84 681,76</w:t>
            </w:r>
          </w:p>
        </w:tc>
        <w:tc>
          <w:tcPr>
            <w:tcW w:w="850"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84 681,76</w:t>
            </w:r>
          </w:p>
        </w:tc>
        <w:tc>
          <w:tcPr>
            <w:tcW w:w="993"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0,00</w:t>
            </w:r>
          </w:p>
        </w:tc>
      </w:tr>
      <w:tr w:rsidR="00AC3DEE" w:rsidRPr="00AC3DEE" w:rsidTr="0093402A">
        <w:trPr>
          <w:trHeight w:val="288"/>
        </w:trPr>
        <w:tc>
          <w:tcPr>
            <w:tcW w:w="2972" w:type="dxa"/>
            <w:tcBorders>
              <w:top w:val="nil"/>
              <w:left w:val="single" w:sz="4" w:space="0" w:color="auto"/>
              <w:bottom w:val="single" w:sz="4" w:space="0" w:color="auto"/>
              <w:right w:val="nil"/>
            </w:tcBorders>
            <w:shd w:val="clear" w:color="auto" w:fill="auto"/>
            <w:vAlign w:val="center"/>
            <w:hideMark/>
          </w:tcPr>
          <w:p w:rsidR="00AC3DEE" w:rsidRPr="00AC3DEE" w:rsidRDefault="00AC3DEE">
            <w:pPr>
              <w:jc w:val="both"/>
              <w:rPr>
                <w:rFonts w:ascii="Calibri" w:hAnsi="Calibri" w:cs="Calibri"/>
                <w:sz w:val="16"/>
                <w:szCs w:val="16"/>
              </w:rPr>
            </w:pPr>
            <w:r w:rsidRPr="00AC3DEE">
              <w:rPr>
                <w:rFonts w:ascii="Calibri" w:hAnsi="Calibri" w:cs="Calibri"/>
                <w:sz w:val="16"/>
                <w:szCs w:val="16"/>
              </w:rPr>
              <w:t>Dětská skupina Jesle Prostějov</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202 146,03</w:t>
            </w:r>
          </w:p>
        </w:tc>
        <w:tc>
          <w:tcPr>
            <w:tcW w:w="993"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202 146,03</w:t>
            </w:r>
          </w:p>
        </w:tc>
        <w:tc>
          <w:tcPr>
            <w:tcW w:w="850"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191 912,03</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AC3DEE" w:rsidRPr="00AC3DEE" w:rsidRDefault="00AC3DEE">
            <w:pPr>
              <w:jc w:val="right"/>
              <w:rPr>
                <w:rFonts w:ascii="Calibri" w:hAnsi="Calibri" w:cs="Calibri"/>
                <w:color w:val="000000"/>
                <w:sz w:val="16"/>
                <w:szCs w:val="16"/>
              </w:rPr>
            </w:pPr>
            <w:r w:rsidRPr="00AC3DEE">
              <w:rPr>
                <w:rFonts w:ascii="Calibri" w:hAnsi="Calibri" w:cs="Calibri"/>
                <w:color w:val="000000"/>
                <w:sz w:val="16"/>
                <w:szCs w:val="16"/>
              </w:rPr>
              <w:t>10 234,00</w:t>
            </w:r>
          </w:p>
        </w:tc>
      </w:tr>
      <w:tr w:rsidR="00AC3DEE" w:rsidRPr="00AC3DEE" w:rsidTr="0093402A">
        <w:trPr>
          <w:trHeight w:val="288"/>
        </w:trPr>
        <w:tc>
          <w:tcPr>
            <w:tcW w:w="2972" w:type="dxa"/>
            <w:tcBorders>
              <w:top w:val="nil"/>
              <w:left w:val="single" w:sz="4" w:space="0" w:color="auto"/>
              <w:bottom w:val="single" w:sz="4" w:space="0" w:color="auto"/>
              <w:right w:val="nil"/>
            </w:tcBorders>
            <w:shd w:val="clear" w:color="C5E0B4" w:fill="B4C6E7"/>
            <w:vAlign w:val="center"/>
            <w:hideMark/>
          </w:tcPr>
          <w:p w:rsidR="00AC3DEE" w:rsidRPr="00AC3DEE" w:rsidRDefault="00AC3DEE">
            <w:pPr>
              <w:jc w:val="both"/>
              <w:rPr>
                <w:rFonts w:ascii="Calibri" w:hAnsi="Calibri" w:cs="Calibri"/>
                <w:b/>
                <w:bCs/>
                <w:sz w:val="16"/>
                <w:szCs w:val="16"/>
              </w:rPr>
            </w:pPr>
            <w:r w:rsidRPr="00AC3DEE">
              <w:rPr>
                <w:rFonts w:ascii="Calibri" w:hAnsi="Calibri" w:cs="Calibri"/>
                <w:b/>
                <w:bCs/>
                <w:sz w:val="16"/>
                <w:szCs w:val="16"/>
              </w:rPr>
              <w:t>Celkem</w:t>
            </w:r>
          </w:p>
        </w:tc>
        <w:tc>
          <w:tcPr>
            <w:tcW w:w="992" w:type="dxa"/>
            <w:tcBorders>
              <w:top w:val="nil"/>
              <w:left w:val="single" w:sz="4" w:space="0" w:color="auto"/>
              <w:bottom w:val="single" w:sz="4" w:space="0" w:color="auto"/>
              <w:right w:val="single" w:sz="4" w:space="0" w:color="auto"/>
            </w:tcBorders>
            <w:shd w:val="clear" w:color="C5E0B4" w:fill="B4C6E7"/>
            <w:noWrap/>
            <w:vAlign w:val="center"/>
            <w:hideMark/>
          </w:tcPr>
          <w:p w:rsidR="00AC3DEE" w:rsidRPr="00AC3DEE" w:rsidRDefault="00AC3DEE">
            <w:pPr>
              <w:jc w:val="right"/>
              <w:rPr>
                <w:rFonts w:ascii="Calibri" w:hAnsi="Calibri" w:cs="Calibri"/>
                <w:b/>
                <w:bCs/>
                <w:color w:val="000000"/>
                <w:sz w:val="16"/>
                <w:szCs w:val="16"/>
              </w:rPr>
            </w:pPr>
            <w:r w:rsidRPr="00AC3DEE">
              <w:rPr>
                <w:rFonts w:ascii="Calibri" w:hAnsi="Calibri" w:cs="Calibri"/>
                <w:b/>
                <w:bCs/>
                <w:color w:val="000000"/>
                <w:sz w:val="16"/>
                <w:szCs w:val="16"/>
              </w:rPr>
              <w:t>2 145 082,62</w:t>
            </w:r>
          </w:p>
        </w:tc>
        <w:tc>
          <w:tcPr>
            <w:tcW w:w="993" w:type="dxa"/>
            <w:tcBorders>
              <w:top w:val="nil"/>
              <w:left w:val="nil"/>
              <w:bottom w:val="single" w:sz="4" w:space="0" w:color="auto"/>
              <w:right w:val="single" w:sz="4" w:space="0" w:color="auto"/>
            </w:tcBorders>
            <w:shd w:val="clear" w:color="C5E0B4" w:fill="B4C6E7"/>
            <w:noWrap/>
            <w:vAlign w:val="center"/>
            <w:hideMark/>
          </w:tcPr>
          <w:p w:rsidR="00AC3DEE" w:rsidRPr="00AC3DEE" w:rsidRDefault="00AC3DEE">
            <w:pPr>
              <w:jc w:val="right"/>
              <w:rPr>
                <w:rFonts w:ascii="Calibri" w:hAnsi="Calibri" w:cs="Calibri"/>
                <w:b/>
                <w:bCs/>
                <w:color w:val="000000"/>
                <w:sz w:val="16"/>
                <w:szCs w:val="16"/>
              </w:rPr>
            </w:pPr>
            <w:r w:rsidRPr="00AC3DEE">
              <w:rPr>
                <w:rFonts w:ascii="Calibri" w:hAnsi="Calibri" w:cs="Calibri"/>
                <w:b/>
                <w:bCs/>
                <w:color w:val="000000"/>
                <w:sz w:val="16"/>
                <w:szCs w:val="16"/>
              </w:rPr>
              <w:t>1 850 698,62</w:t>
            </w:r>
          </w:p>
        </w:tc>
        <w:tc>
          <w:tcPr>
            <w:tcW w:w="992" w:type="dxa"/>
            <w:tcBorders>
              <w:top w:val="nil"/>
              <w:left w:val="nil"/>
              <w:bottom w:val="single" w:sz="4" w:space="0" w:color="auto"/>
              <w:right w:val="single" w:sz="4" w:space="0" w:color="auto"/>
            </w:tcBorders>
            <w:shd w:val="clear" w:color="C5E0B4" w:fill="B4C6E7"/>
            <w:noWrap/>
            <w:vAlign w:val="center"/>
            <w:hideMark/>
          </w:tcPr>
          <w:p w:rsidR="00AC3DEE" w:rsidRPr="00AC3DEE" w:rsidRDefault="00AC3DEE">
            <w:pPr>
              <w:jc w:val="right"/>
              <w:rPr>
                <w:rFonts w:ascii="Calibri" w:hAnsi="Calibri" w:cs="Calibri"/>
                <w:b/>
                <w:bCs/>
                <w:color w:val="000000"/>
                <w:sz w:val="16"/>
                <w:szCs w:val="16"/>
              </w:rPr>
            </w:pPr>
            <w:r w:rsidRPr="00AC3DEE">
              <w:rPr>
                <w:rFonts w:ascii="Calibri" w:hAnsi="Calibri" w:cs="Calibri"/>
                <w:b/>
                <w:bCs/>
                <w:color w:val="000000"/>
                <w:sz w:val="16"/>
                <w:szCs w:val="16"/>
              </w:rPr>
              <w:t>3 995 781,24</w:t>
            </w:r>
          </w:p>
        </w:tc>
        <w:tc>
          <w:tcPr>
            <w:tcW w:w="850" w:type="dxa"/>
            <w:tcBorders>
              <w:top w:val="nil"/>
              <w:left w:val="nil"/>
              <w:bottom w:val="single" w:sz="4" w:space="0" w:color="auto"/>
              <w:right w:val="single" w:sz="4" w:space="0" w:color="auto"/>
            </w:tcBorders>
            <w:shd w:val="clear" w:color="C5E0B4" w:fill="B4C6E7"/>
            <w:noWrap/>
            <w:vAlign w:val="center"/>
            <w:hideMark/>
          </w:tcPr>
          <w:p w:rsidR="00AC3DEE" w:rsidRPr="00AC3DEE" w:rsidRDefault="00AC3DEE">
            <w:pPr>
              <w:jc w:val="right"/>
              <w:rPr>
                <w:rFonts w:ascii="Calibri" w:hAnsi="Calibri" w:cs="Calibri"/>
                <w:b/>
                <w:bCs/>
                <w:color w:val="000000"/>
                <w:sz w:val="16"/>
                <w:szCs w:val="16"/>
              </w:rPr>
            </w:pPr>
            <w:r w:rsidRPr="00AC3DEE">
              <w:rPr>
                <w:rFonts w:ascii="Calibri" w:hAnsi="Calibri" w:cs="Calibri"/>
                <w:b/>
                <w:bCs/>
                <w:color w:val="000000"/>
                <w:sz w:val="16"/>
                <w:szCs w:val="16"/>
              </w:rPr>
              <w:t>84 681,76</w:t>
            </w:r>
          </w:p>
        </w:tc>
        <w:tc>
          <w:tcPr>
            <w:tcW w:w="993" w:type="dxa"/>
            <w:tcBorders>
              <w:top w:val="nil"/>
              <w:left w:val="nil"/>
              <w:bottom w:val="single" w:sz="4" w:space="0" w:color="auto"/>
              <w:right w:val="single" w:sz="4" w:space="0" w:color="auto"/>
            </w:tcBorders>
            <w:shd w:val="clear" w:color="C5E0B4" w:fill="B4C6E7"/>
            <w:noWrap/>
            <w:vAlign w:val="center"/>
            <w:hideMark/>
          </w:tcPr>
          <w:p w:rsidR="00AC3DEE" w:rsidRPr="00AC3DEE" w:rsidRDefault="00AC3DEE">
            <w:pPr>
              <w:jc w:val="right"/>
              <w:rPr>
                <w:rFonts w:ascii="Calibri" w:hAnsi="Calibri" w:cs="Calibri"/>
                <w:b/>
                <w:bCs/>
                <w:color w:val="000000"/>
                <w:sz w:val="16"/>
                <w:szCs w:val="16"/>
              </w:rPr>
            </w:pPr>
            <w:r w:rsidRPr="00AC3DEE">
              <w:rPr>
                <w:rFonts w:ascii="Calibri" w:hAnsi="Calibri" w:cs="Calibri"/>
                <w:b/>
                <w:bCs/>
                <w:color w:val="000000"/>
                <w:sz w:val="16"/>
                <w:szCs w:val="16"/>
              </w:rPr>
              <w:t>2 966 484,58</w:t>
            </w:r>
          </w:p>
        </w:tc>
        <w:tc>
          <w:tcPr>
            <w:tcW w:w="992" w:type="dxa"/>
            <w:tcBorders>
              <w:top w:val="nil"/>
              <w:left w:val="nil"/>
              <w:bottom w:val="single" w:sz="4" w:space="0" w:color="auto"/>
              <w:right w:val="single" w:sz="4" w:space="0" w:color="auto"/>
            </w:tcBorders>
            <w:shd w:val="clear" w:color="C5E0B4" w:fill="B4C6E7"/>
            <w:noWrap/>
            <w:vAlign w:val="center"/>
            <w:hideMark/>
          </w:tcPr>
          <w:p w:rsidR="00AC3DEE" w:rsidRPr="00AC3DEE" w:rsidRDefault="00AC3DEE">
            <w:pPr>
              <w:jc w:val="right"/>
              <w:rPr>
                <w:rFonts w:ascii="Calibri" w:hAnsi="Calibri" w:cs="Calibri"/>
                <w:b/>
                <w:bCs/>
                <w:color w:val="000000"/>
                <w:sz w:val="16"/>
                <w:szCs w:val="16"/>
              </w:rPr>
            </w:pPr>
            <w:r w:rsidRPr="00AC3DEE">
              <w:rPr>
                <w:rFonts w:ascii="Calibri" w:hAnsi="Calibri" w:cs="Calibri"/>
                <w:b/>
                <w:bCs/>
                <w:color w:val="000000"/>
                <w:sz w:val="16"/>
                <w:szCs w:val="16"/>
              </w:rPr>
              <w:t>416 619,05</w:t>
            </w:r>
          </w:p>
        </w:tc>
        <w:tc>
          <w:tcPr>
            <w:tcW w:w="992" w:type="dxa"/>
            <w:tcBorders>
              <w:top w:val="nil"/>
              <w:left w:val="nil"/>
              <w:bottom w:val="single" w:sz="4" w:space="0" w:color="auto"/>
              <w:right w:val="single" w:sz="4" w:space="0" w:color="auto"/>
            </w:tcBorders>
            <w:shd w:val="clear" w:color="C5E0B4" w:fill="B4C6E7"/>
            <w:noWrap/>
            <w:vAlign w:val="center"/>
            <w:hideMark/>
          </w:tcPr>
          <w:p w:rsidR="00AC3DEE" w:rsidRPr="00AC3DEE" w:rsidRDefault="00AC3DEE">
            <w:pPr>
              <w:jc w:val="right"/>
              <w:rPr>
                <w:rFonts w:ascii="Calibri" w:hAnsi="Calibri" w:cs="Calibri"/>
                <w:b/>
                <w:bCs/>
                <w:color w:val="000000"/>
                <w:sz w:val="16"/>
                <w:szCs w:val="16"/>
              </w:rPr>
            </w:pPr>
            <w:r w:rsidRPr="00AC3DEE">
              <w:rPr>
                <w:rFonts w:ascii="Calibri" w:hAnsi="Calibri" w:cs="Calibri"/>
                <w:b/>
                <w:bCs/>
                <w:color w:val="000000"/>
                <w:sz w:val="16"/>
                <w:szCs w:val="16"/>
              </w:rPr>
              <w:t>527 995,85</w:t>
            </w:r>
          </w:p>
        </w:tc>
      </w:tr>
    </w:tbl>
    <w:p w:rsidR="00AC3DEE" w:rsidRPr="0093402A" w:rsidRDefault="00AC3DEE" w:rsidP="005D0CF8">
      <w:pPr>
        <w:spacing w:after="120"/>
        <w:jc w:val="both"/>
        <w:rPr>
          <w:rFonts w:asciiTheme="minorHAnsi" w:hAnsiTheme="minorHAnsi" w:cstheme="minorHAnsi"/>
          <w:sz w:val="20"/>
          <w:szCs w:val="20"/>
        </w:rPr>
      </w:pPr>
    </w:p>
    <w:p w:rsidR="00C817EC" w:rsidRPr="0093402A" w:rsidRDefault="0093402A" w:rsidP="005D0CF8">
      <w:pPr>
        <w:spacing w:after="120"/>
        <w:jc w:val="both"/>
        <w:rPr>
          <w:rFonts w:asciiTheme="minorHAnsi" w:hAnsiTheme="minorHAnsi" w:cstheme="minorHAnsi"/>
          <w:sz w:val="20"/>
          <w:szCs w:val="20"/>
        </w:rPr>
      </w:pPr>
      <w:r w:rsidRPr="0093402A">
        <w:rPr>
          <w:rFonts w:asciiTheme="minorHAnsi" w:hAnsiTheme="minorHAnsi" w:cstheme="minorHAnsi"/>
          <w:sz w:val="20"/>
          <w:szCs w:val="20"/>
          <w:u w:val="single"/>
        </w:rPr>
        <w:t>Reálné gymnázium a základní škola Otto Wichterleho, Studentská ul. 2</w:t>
      </w:r>
      <w:r>
        <w:rPr>
          <w:rFonts w:asciiTheme="minorHAnsi" w:hAnsiTheme="minorHAnsi" w:cstheme="minorHAnsi"/>
          <w:sz w:val="20"/>
          <w:szCs w:val="20"/>
        </w:rPr>
        <w:t xml:space="preserve"> – ztráta v hlavní činnosti ve výši 10 809,69 Kč byla kryta ziskem z doplňkové činnosti, celkově skončilo hospodaření ziskem ve výši 237 331,81 Kč.</w:t>
      </w:r>
      <w:r w:rsidR="00C817EC" w:rsidRPr="0093402A">
        <w:rPr>
          <w:rFonts w:asciiTheme="minorHAnsi" w:hAnsiTheme="minorHAnsi" w:cstheme="minorHAnsi"/>
          <w:sz w:val="20"/>
          <w:szCs w:val="20"/>
        </w:rPr>
        <w:fldChar w:fldCharType="begin"/>
      </w:r>
      <w:r w:rsidR="00C817EC" w:rsidRPr="0093402A">
        <w:rPr>
          <w:rFonts w:asciiTheme="minorHAnsi" w:hAnsiTheme="minorHAnsi" w:cstheme="minorHAnsi"/>
          <w:sz w:val="20"/>
          <w:szCs w:val="20"/>
        </w:rPr>
        <w:instrText xml:space="preserve"> LINK </w:instrText>
      </w:r>
      <w:r w:rsidR="00FB2BC8" w:rsidRPr="0093402A">
        <w:rPr>
          <w:rFonts w:asciiTheme="minorHAnsi" w:hAnsiTheme="minorHAnsi" w:cstheme="minorHAnsi"/>
          <w:sz w:val="20"/>
          <w:szCs w:val="20"/>
        </w:rPr>
        <w:instrText xml:space="preserve">Excel.Sheet.12 "C:\\Users\\ptackova eva\\Documents\\Závěrečný účet\\Závěrečný účet 2021\\eva_pracovní_verze_pokracovani.xlsx" "VH PO!R24C1:R45C8" </w:instrText>
      </w:r>
      <w:r w:rsidR="00C817EC" w:rsidRPr="0093402A">
        <w:rPr>
          <w:rFonts w:asciiTheme="minorHAnsi" w:hAnsiTheme="minorHAnsi" w:cstheme="minorHAnsi"/>
          <w:sz w:val="20"/>
          <w:szCs w:val="20"/>
        </w:rPr>
        <w:instrText xml:space="preserve">\a \f 4 \h  \* MERGEFORMAT </w:instrText>
      </w:r>
      <w:r w:rsidR="00C817EC" w:rsidRPr="0093402A">
        <w:rPr>
          <w:rFonts w:asciiTheme="minorHAnsi" w:hAnsiTheme="minorHAnsi" w:cstheme="minorHAnsi"/>
          <w:sz w:val="20"/>
          <w:szCs w:val="20"/>
        </w:rPr>
        <w:fldChar w:fldCharType="separate"/>
      </w:r>
    </w:p>
    <w:p w:rsidR="006631A8" w:rsidRDefault="00C817EC" w:rsidP="0093402A">
      <w:pPr>
        <w:spacing w:after="120"/>
        <w:jc w:val="both"/>
        <w:rPr>
          <w:rFonts w:asciiTheme="minorHAnsi" w:hAnsiTheme="minorHAnsi" w:cstheme="minorHAnsi"/>
          <w:b/>
          <w:sz w:val="20"/>
          <w:szCs w:val="20"/>
          <w:u w:val="single"/>
        </w:rPr>
      </w:pPr>
      <w:r w:rsidRPr="0093402A">
        <w:rPr>
          <w:rFonts w:asciiTheme="minorHAnsi" w:hAnsiTheme="minorHAnsi" w:cstheme="minorHAnsi"/>
          <w:b/>
          <w:sz w:val="20"/>
          <w:szCs w:val="20"/>
          <w:u w:val="single"/>
        </w:rPr>
        <w:fldChar w:fldCharType="end"/>
      </w:r>
    </w:p>
    <w:p w:rsidR="0093402A" w:rsidRDefault="0093402A" w:rsidP="0093402A">
      <w:pPr>
        <w:spacing w:after="120"/>
        <w:jc w:val="both"/>
        <w:rPr>
          <w:rFonts w:asciiTheme="minorHAnsi" w:hAnsiTheme="minorHAnsi" w:cstheme="minorHAnsi"/>
          <w:b/>
          <w:sz w:val="20"/>
          <w:szCs w:val="20"/>
          <w:u w:val="single"/>
        </w:rPr>
      </w:pPr>
    </w:p>
    <w:p w:rsidR="0093402A" w:rsidRDefault="0093402A" w:rsidP="0093402A">
      <w:pPr>
        <w:spacing w:after="120"/>
        <w:jc w:val="both"/>
        <w:rPr>
          <w:rFonts w:asciiTheme="minorHAnsi" w:hAnsiTheme="minorHAnsi" w:cstheme="minorHAnsi"/>
          <w:b/>
          <w:sz w:val="20"/>
          <w:szCs w:val="20"/>
          <w:u w:val="single"/>
        </w:rPr>
      </w:pPr>
    </w:p>
    <w:p w:rsidR="0093402A" w:rsidRPr="006631A8" w:rsidRDefault="0093402A" w:rsidP="0093402A">
      <w:pPr>
        <w:spacing w:after="120"/>
        <w:jc w:val="both"/>
        <w:rPr>
          <w:rFonts w:asciiTheme="minorHAnsi" w:hAnsiTheme="minorHAnsi" w:cstheme="minorHAnsi"/>
          <w:sz w:val="22"/>
          <w:szCs w:val="22"/>
        </w:rPr>
      </w:pPr>
    </w:p>
    <w:p w:rsidR="005D0CF8" w:rsidRDefault="001C69C0" w:rsidP="001C69C0">
      <w:pPr>
        <w:jc w:val="both"/>
        <w:rPr>
          <w:rFonts w:ascii="Calibri" w:hAnsi="Calibri"/>
          <w:b/>
          <w:sz w:val="20"/>
          <w:szCs w:val="20"/>
          <w:u w:val="single"/>
        </w:rPr>
      </w:pPr>
      <w:r>
        <w:rPr>
          <w:rFonts w:ascii="Calibri" w:hAnsi="Calibri"/>
          <w:b/>
          <w:sz w:val="20"/>
          <w:szCs w:val="20"/>
          <w:u w:val="single"/>
        </w:rPr>
        <w:t>Investiční a n</w:t>
      </w:r>
      <w:r w:rsidR="005D0CF8" w:rsidRPr="001C69C0">
        <w:rPr>
          <w:rFonts w:ascii="Calibri" w:hAnsi="Calibri"/>
          <w:b/>
          <w:sz w:val="20"/>
          <w:szCs w:val="20"/>
          <w:u w:val="single"/>
        </w:rPr>
        <w:t>einvestiční příspěvky zřízeným pří</w:t>
      </w:r>
      <w:r w:rsidRPr="001C69C0">
        <w:rPr>
          <w:rFonts w:ascii="Calibri" w:hAnsi="Calibri"/>
          <w:b/>
          <w:sz w:val="20"/>
          <w:szCs w:val="20"/>
          <w:u w:val="single"/>
        </w:rPr>
        <w:t>spěvkovým organizacím za rok 202</w:t>
      </w:r>
      <w:r w:rsidR="0093402A">
        <w:rPr>
          <w:rFonts w:ascii="Calibri" w:hAnsi="Calibri"/>
          <w:b/>
          <w:sz w:val="20"/>
          <w:szCs w:val="20"/>
          <w:u w:val="single"/>
        </w:rPr>
        <w:t>2</w:t>
      </w:r>
      <w:r w:rsidR="005D0CF8" w:rsidRPr="001C69C0">
        <w:rPr>
          <w:rFonts w:ascii="Calibri" w:hAnsi="Calibri"/>
          <w:b/>
          <w:sz w:val="20"/>
          <w:szCs w:val="20"/>
          <w:u w:val="single"/>
        </w:rPr>
        <w:t xml:space="preserve"> </w:t>
      </w:r>
      <w:r w:rsidR="006B034C">
        <w:rPr>
          <w:rFonts w:ascii="Calibri" w:hAnsi="Calibri"/>
          <w:b/>
          <w:sz w:val="20"/>
          <w:szCs w:val="20"/>
          <w:u w:val="single"/>
        </w:rPr>
        <w:t>(</w:t>
      </w:r>
      <w:r w:rsidR="005D0CF8" w:rsidRPr="001C69C0">
        <w:rPr>
          <w:rFonts w:ascii="Calibri" w:hAnsi="Calibri"/>
          <w:b/>
          <w:sz w:val="20"/>
          <w:szCs w:val="20"/>
          <w:u w:val="single"/>
        </w:rPr>
        <w:t>v</w:t>
      </w:r>
      <w:r w:rsidR="00C817EC">
        <w:rPr>
          <w:rFonts w:ascii="Calibri" w:hAnsi="Calibri"/>
          <w:b/>
          <w:sz w:val="20"/>
          <w:szCs w:val="20"/>
          <w:u w:val="single"/>
        </w:rPr>
        <w:t> </w:t>
      </w:r>
      <w:r w:rsidR="005D0CF8" w:rsidRPr="001C69C0">
        <w:rPr>
          <w:rFonts w:ascii="Calibri" w:hAnsi="Calibri"/>
          <w:b/>
          <w:sz w:val="20"/>
          <w:szCs w:val="20"/>
          <w:u w:val="single"/>
        </w:rPr>
        <w:t>Kč</w:t>
      </w:r>
      <w:r w:rsidR="006B034C">
        <w:rPr>
          <w:rFonts w:ascii="Calibri" w:hAnsi="Calibri"/>
          <w:b/>
          <w:sz w:val="20"/>
          <w:szCs w:val="20"/>
          <w:u w:val="single"/>
        </w:rPr>
        <w:t>)</w:t>
      </w:r>
    </w:p>
    <w:p w:rsidR="00C817EC" w:rsidRDefault="00C817EC" w:rsidP="001C69C0">
      <w:pPr>
        <w:jc w:val="both"/>
        <w:rPr>
          <w:rFonts w:ascii="Calibri" w:hAnsi="Calibri"/>
          <w:b/>
          <w:sz w:val="20"/>
          <w:szCs w:val="20"/>
          <w:u w:val="single"/>
        </w:rPr>
      </w:pPr>
    </w:p>
    <w:tbl>
      <w:tblPr>
        <w:tblW w:w="6516" w:type="dxa"/>
        <w:tblCellMar>
          <w:left w:w="70" w:type="dxa"/>
          <w:right w:w="70" w:type="dxa"/>
        </w:tblCellMar>
        <w:tblLook w:val="04A0" w:firstRow="1" w:lastRow="0" w:firstColumn="1" w:lastColumn="0" w:noHBand="0" w:noVBand="1"/>
      </w:tblPr>
      <w:tblGrid>
        <w:gridCol w:w="3539"/>
        <w:gridCol w:w="1559"/>
        <w:gridCol w:w="1418"/>
      </w:tblGrid>
      <w:tr w:rsidR="0093402A" w:rsidTr="0093402A">
        <w:trPr>
          <w:trHeight w:val="266"/>
        </w:trPr>
        <w:tc>
          <w:tcPr>
            <w:tcW w:w="3539" w:type="dxa"/>
            <w:vMerge w:val="restart"/>
            <w:tcBorders>
              <w:top w:val="single" w:sz="4" w:space="0" w:color="auto"/>
              <w:left w:val="single" w:sz="4" w:space="0" w:color="auto"/>
              <w:bottom w:val="single" w:sz="4" w:space="0" w:color="auto"/>
              <w:right w:val="single" w:sz="4" w:space="0" w:color="auto"/>
            </w:tcBorders>
            <w:shd w:val="clear" w:color="C4D79B" w:fill="D9E1F2"/>
            <w:noWrap/>
            <w:vAlign w:val="center"/>
            <w:hideMark/>
          </w:tcPr>
          <w:p w:rsidR="0093402A" w:rsidRPr="0093402A" w:rsidRDefault="0093402A">
            <w:pPr>
              <w:jc w:val="center"/>
              <w:rPr>
                <w:rFonts w:ascii="Calibri" w:hAnsi="Calibri" w:cs="Calibri"/>
                <w:b/>
                <w:bCs/>
                <w:sz w:val="16"/>
                <w:szCs w:val="16"/>
              </w:rPr>
            </w:pPr>
            <w:r w:rsidRPr="0093402A">
              <w:rPr>
                <w:rFonts w:ascii="Calibri" w:hAnsi="Calibri" w:cs="Calibri"/>
                <w:b/>
                <w:bCs/>
                <w:sz w:val="16"/>
                <w:szCs w:val="16"/>
              </w:rPr>
              <w:t>Příspěvková organizace</w:t>
            </w:r>
          </w:p>
        </w:tc>
        <w:tc>
          <w:tcPr>
            <w:tcW w:w="2977" w:type="dxa"/>
            <w:gridSpan w:val="2"/>
            <w:tcBorders>
              <w:top w:val="single" w:sz="4" w:space="0" w:color="auto"/>
              <w:left w:val="nil"/>
              <w:bottom w:val="single" w:sz="4" w:space="0" w:color="auto"/>
              <w:right w:val="single" w:sz="4" w:space="0" w:color="auto"/>
            </w:tcBorders>
            <w:shd w:val="clear" w:color="C4D79B" w:fill="D9E1F2"/>
            <w:vAlign w:val="center"/>
            <w:hideMark/>
          </w:tcPr>
          <w:p w:rsidR="0093402A" w:rsidRPr="0093402A" w:rsidRDefault="0093402A">
            <w:pPr>
              <w:jc w:val="center"/>
              <w:rPr>
                <w:rFonts w:ascii="Calibri" w:hAnsi="Calibri" w:cs="Calibri"/>
                <w:b/>
                <w:bCs/>
                <w:sz w:val="16"/>
                <w:szCs w:val="16"/>
              </w:rPr>
            </w:pPr>
            <w:r w:rsidRPr="0093402A">
              <w:rPr>
                <w:rFonts w:ascii="Calibri" w:hAnsi="Calibri" w:cs="Calibri"/>
                <w:b/>
                <w:bCs/>
                <w:sz w:val="16"/>
                <w:szCs w:val="16"/>
              </w:rPr>
              <w:t>Příspěvek od zřizovatele - položka</w:t>
            </w:r>
          </w:p>
        </w:tc>
      </w:tr>
      <w:tr w:rsidR="0093402A" w:rsidTr="0093402A">
        <w:trPr>
          <w:trHeight w:val="266"/>
        </w:trPr>
        <w:tc>
          <w:tcPr>
            <w:tcW w:w="3539" w:type="dxa"/>
            <w:vMerge/>
            <w:tcBorders>
              <w:top w:val="single" w:sz="4" w:space="0" w:color="auto"/>
              <w:left w:val="single" w:sz="4" w:space="0" w:color="auto"/>
              <w:bottom w:val="single" w:sz="4" w:space="0" w:color="auto"/>
              <w:right w:val="single" w:sz="4" w:space="0" w:color="auto"/>
            </w:tcBorders>
            <w:vAlign w:val="center"/>
            <w:hideMark/>
          </w:tcPr>
          <w:p w:rsidR="0093402A" w:rsidRDefault="0093402A">
            <w:pPr>
              <w:rPr>
                <w:rFonts w:ascii="Calibri" w:hAnsi="Calibri" w:cs="Calibri"/>
                <w:b/>
                <w:bCs/>
                <w:sz w:val="18"/>
                <w:szCs w:val="18"/>
              </w:rPr>
            </w:pPr>
          </w:p>
        </w:tc>
        <w:tc>
          <w:tcPr>
            <w:tcW w:w="1559" w:type="dxa"/>
            <w:tcBorders>
              <w:top w:val="nil"/>
              <w:left w:val="nil"/>
              <w:bottom w:val="nil"/>
              <w:right w:val="single" w:sz="4" w:space="0" w:color="auto"/>
            </w:tcBorders>
            <w:shd w:val="clear" w:color="C4D79B" w:fill="D9E1F2"/>
            <w:noWrap/>
            <w:vAlign w:val="center"/>
            <w:hideMark/>
          </w:tcPr>
          <w:p w:rsidR="0093402A" w:rsidRPr="0093402A" w:rsidRDefault="0093402A">
            <w:pPr>
              <w:jc w:val="center"/>
              <w:rPr>
                <w:rFonts w:ascii="Calibri" w:hAnsi="Calibri" w:cs="Calibri"/>
                <w:b/>
                <w:bCs/>
                <w:sz w:val="16"/>
                <w:szCs w:val="16"/>
              </w:rPr>
            </w:pPr>
            <w:r w:rsidRPr="0093402A">
              <w:rPr>
                <w:rFonts w:ascii="Calibri" w:hAnsi="Calibri" w:cs="Calibri"/>
                <w:b/>
                <w:bCs/>
                <w:sz w:val="16"/>
                <w:szCs w:val="16"/>
              </w:rPr>
              <w:t>5331</w:t>
            </w:r>
          </w:p>
        </w:tc>
        <w:tc>
          <w:tcPr>
            <w:tcW w:w="1418" w:type="dxa"/>
            <w:tcBorders>
              <w:top w:val="nil"/>
              <w:left w:val="nil"/>
              <w:bottom w:val="nil"/>
              <w:right w:val="single" w:sz="4" w:space="0" w:color="auto"/>
            </w:tcBorders>
            <w:shd w:val="clear" w:color="C4D79B" w:fill="D9E1F2"/>
            <w:noWrap/>
            <w:vAlign w:val="center"/>
            <w:hideMark/>
          </w:tcPr>
          <w:p w:rsidR="0093402A" w:rsidRPr="0093402A" w:rsidRDefault="0093402A">
            <w:pPr>
              <w:jc w:val="center"/>
              <w:rPr>
                <w:rFonts w:ascii="Calibri" w:hAnsi="Calibri" w:cs="Calibri"/>
                <w:b/>
                <w:bCs/>
                <w:sz w:val="16"/>
                <w:szCs w:val="16"/>
              </w:rPr>
            </w:pPr>
            <w:r w:rsidRPr="0093402A">
              <w:rPr>
                <w:rFonts w:ascii="Calibri" w:hAnsi="Calibri" w:cs="Calibri"/>
                <w:b/>
                <w:bCs/>
                <w:sz w:val="16"/>
                <w:szCs w:val="16"/>
              </w:rPr>
              <w:t>6351</w:t>
            </w:r>
          </w:p>
        </w:tc>
      </w:tr>
      <w:tr w:rsidR="0093402A" w:rsidTr="0093402A">
        <w:trPr>
          <w:trHeight w:val="266"/>
        </w:trPr>
        <w:tc>
          <w:tcPr>
            <w:tcW w:w="3539" w:type="dxa"/>
            <w:tcBorders>
              <w:top w:val="nil"/>
              <w:left w:val="single" w:sz="4" w:space="0" w:color="auto"/>
              <w:bottom w:val="single" w:sz="4" w:space="0" w:color="auto"/>
              <w:right w:val="nil"/>
            </w:tcBorders>
            <w:shd w:val="clear" w:color="auto" w:fill="auto"/>
            <w:vAlign w:val="center"/>
            <w:hideMark/>
          </w:tcPr>
          <w:p w:rsidR="0093402A" w:rsidRDefault="0093402A">
            <w:pPr>
              <w:jc w:val="both"/>
              <w:rPr>
                <w:rFonts w:ascii="Calibri" w:hAnsi="Calibri" w:cs="Calibri"/>
                <w:sz w:val="16"/>
                <w:szCs w:val="16"/>
              </w:rPr>
            </w:pPr>
            <w:r>
              <w:rPr>
                <w:rFonts w:ascii="Calibri" w:hAnsi="Calibri" w:cs="Calibri"/>
                <w:sz w:val="16"/>
                <w:szCs w:val="16"/>
              </w:rPr>
              <w:t>MŠ Prostějov, Rumunská 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color w:val="000000"/>
                <w:sz w:val="16"/>
                <w:szCs w:val="16"/>
              </w:rPr>
            </w:pPr>
            <w:r w:rsidRPr="0093402A">
              <w:rPr>
                <w:rFonts w:ascii="Calibri" w:hAnsi="Calibri" w:cs="Calibri"/>
                <w:color w:val="000000"/>
                <w:sz w:val="16"/>
                <w:szCs w:val="16"/>
              </w:rPr>
              <w:t>1 662 000,00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color w:val="000000"/>
                <w:sz w:val="16"/>
                <w:szCs w:val="16"/>
              </w:rPr>
            </w:pPr>
            <w:r w:rsidRPr="0093402A">
              <w:rPr>
                <w:rFonts w:ascii="Calibri" w:hAnsi="Calibri" w:cs="Calibri"/>
                <w:color w:val="000000"/>
                <w:sz w:val="16"/>
                <w:szCs w:val="16"/>
              </w:rPr>
              <w:t>110 110,00</w:t>
            </w:r>
          </w:p>
        </w:tc>
      </w:tr>
      <w:tr w:rsidR="0093402A" w:rsidTr="0093402A">
        <w:trPr>
          <w:trHeight w:val="266"/>
        </w:trPr>
        <w:tc>
          <w:tcPr>
            <w:tcW w:w="3539" w:type="dxa"/>
            <w:tcBorders>
              <w:top w:val="nil"/>
              <w:left w:val="single" w:sz="4" w:space="0" w:color="auto"/>
              <w:bottom w:val="single" w:sz="4" w:space="0" w:color="auto"/>
              <w:right w:val="nil"/>
            </w:tcBorders>
            <w:shd w:val="clear" w:color="auto" w:fill="auto"/>
            <w:vAlign w:val="center"/>
            <w:hideMark/>
          </w:tcPr>
          <w:p w:rsidR="0093402A" w:rsidRDefault="0093402A">
            <w:pPr>
              <w:jc w:val="both"/>
              <w:rPr>
                <w:rFonts w:ascii="Calibri" w:hAnsi="Calibri" w:cs="Calibri"/>
                <w:sz w:val="16"/>
                <w:szCs w:val="16"/>
              </w:rPr>
            </w:pPr>
            <w:r>
              <w:rPr>
                <w:rFonts w:ascii="Calibri" w:hAnsi="Calibri" w:cs="Calibri"/>
                <w:sz w:val="16"/>
                <w:szCs w:val="16"/>
              </w:rPr>
              <w:t>MŠ Prostějov, Šárka 4a</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color w:val="000000"/>
                <w:sz w:val="16"/>
                <w:szCs w:val="16"/>
              </w:rPr>
            </w:pPr>
            <w:r w:rsidRPr="0093402A">
              <w:rPr>
                <w:rFonts w:ascii="Calibri" w:hAnsi="Calibri" w:cs="Calibri"/>
                <w:color w:val="000000"/>
                <w:sz w:val="16"/>
                <w:szCs w:val="16"/>
              </w:rPr>
              <w:t>3 215 200,00</w:t>
            </w:r>
          </w:p>
        </w:tc>
        <w:tc>
          <w:tcPr>
            <w:tcW w:w="1418"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color w:val="000000"/>
                <w:sz w:val="16"/>
                <w:szCs w:val="16"/>
              </w:rPr>
            </w:pPr>
            <w:r w:rsidRPr="0093402A">
              <w:rPr>
                <w:rFonts w:ascii="Calibri" w:hAnsi="Calibri" w:cs="Calibri"/>
                <w:color w:val="000000"/>
                <w:sz w:val="16"/>
                <w:szCs w:val="16"/>
              </w:rPr>
              <w:t>220 220,00</w:t>
            </w:r>
          </w:p>
        </w:tc>
      </w:tr>
      <w:tr w:rsidR="0093402A" w:rsidTr="0093402A">
        <w:trPr>
          <w:trHeight w:val="266"/>
        </w:trPr>
        <w:tc>
          <w:tcPr>
            <w:tcW w:w="3539" w:type="dxa"/>
            <w:tcBorders>
              <w:top w:val="nil"/>
              <w:left w:val="single" w:sz="4" w:space="0" w:color="auto"/>
              <w:bottom w:val="single" w:sz="4" w:space="0" w:color="auto"/>
              <w:right w:val="nil"/>
            </w:tcBorders>
            <w:shd w:val="clear" w:color="auto" w:fill="auto"/>
            <w:vAlign w:val="center"/>
            <w:hideMark/>
          </w:tcPr>
          <w:p w:rsidR="0093402A" w:rsidRDefault="0093402A">
            <w:pPr>
              <w:jc w:val="both"/>
              <w:rPr>
                <w:rFonts w:ascii="Calibri" w:hAnsi="Calibri" w:cs="Calibri"/>
                <w:sz w:val="16"/>
                <w:szCs w:val="16"/>
              </w:rPr>
            </w:pPr>
            <w:r>
              <w:rPr>
                <w:rFonts w:ascii="Calibri" w:hAnsi="Calibri" w:cs="Calibri"/>
                <w:sz w:val="16"/>
                <w:szCs w:val="16"/>
              </w:rPr>
              <w:t>MŠ Prostějov, Partyzánská 34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color w:val="000000"/>
                <w:sz w:val="16"/>
                <w:szCs w:val="16"/>
              </w:rPr>
            </w:pPr>
            <w:r w:rsidRPr="0093402A">
              <w:rPr>
                <w:rFonts w:ascii="Calibri" w:hAnsi="Calibri" w:cs="Calibri"/>
                <w:color w:val="000000"/>
                <w:sz w:val="16"/>
                <w:szCs w:val="16"/>
              </w:rPr>
              <w:t>4 595 000,00</w:t>
            </w:r>
          </w:p>
        </w:tc>
        <w:tc>
          <w:tcPr>
            <w:tcW w:w="1418"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color w:val="000000"/>
                <w:sz w:val="16"/>
                <w:szCs w:val="16"/>
              </w:rPr>
            </w:pPr>
            <w:r w:rsidRPr="0093402A">
              <w:rPr>
                <w:rFonts w:ascii="Calibri" w:hAnsi="Calibri" w:cs="Calibri"/>
                <w:color w:val="000000"/>
                <w:sz w:val="16"/>
                <w:szCs w:val="16"/>
              </w:rPr>
              <w:t>220 220,00</w:t>
            </w:r>
          </w:p>
        </w:tc>
      </w:tr>
      <w:tr w:rsidR="0093402A" w:rsidTr="0093402A">
        <w:trPr>
          <w:trHeight w:val="266"/>
        </w:trPr>
        <w:tc>
          <w:tcPr>
            <w:tcW w:w="3539" w:type="dxa"/>
            <w:tcBorders>
              <w:top w:val="nil"/>
              <w:left w:val="single" w:sz="4" w:space="0" w:color="auto"/>
              <w:bottom w:val="single" w:sz="4" w:space="0" w:color="auto"/>
              <w:right w:val="nil"/>
            </w:tcBorders>
            <w:shd w:val="clear" w:color="auto" w:fill="auto"/>
            <w:vAlign w:val="center"/>
            <w:hideMark/>
          </w:tcPr>
          <w:p w:rsidR="0093402A" w:rsidRDefault="0093402A">
            <w:pPr>
              <w:jc w:val="both"/>
              <w:rPr>
                <w:rFonts w:ascii="Calibri" w:hAnsi="Calibri" w:cs="Calibri"/>
                <w:sz w:val="16"/>
                <w:szCs w:val="16"/>
              </w:rPr>
            </w:pPr>
            <w:r>
              <w:rPr>
                <w:rFonts w:ascii="Calibri" w:hAnsi="Calibri" w:cs="Calibri"/>
                <w:sz w:val="16"/>
                <w:szCs w:val="16"/>
              </w:rPr>
              <w:t>MŠ Prostějov, Smetanova 24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color w:val="000000"/>
                <w:sz w:val="16"/>
                <w:szCs w:val="16"/>
              </w:rPr>
            </w:pPr>
            <w:r w:rsidRPr="0093402A">
              <w:rPr>
                <w:rFonts w:ascii="Calibri" w:hAnsi="Calibri" w:cs="Calibri"/>
                <w:color w:val="000000"/>
                <w:sz w:val="16"/>
                <w:szCs w:val="16"/>
              </w:rPr>
              <w:t>3 000 250,00</w:t>
            </w:r>
          </w:p>
        </w:tc>
        <w:tc>
          <w:tcPr>
            <w:tcW w:w="1418"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color w:val="000000"/>
                <w:sz w:val="16"/>
                <w:szCs w:val="16"/>
              </w:rPr>
            </w:pPr>
            <w:r w:rsidRPr="0093402A">
              <w:rPr>
                <w:rFonts w:ascii="Calibri" w:hAnsi="Calibri" w:cs="Calibri"/>
                <w:color w:val="000000"/>
                <w:sz w:val="16"/>
                <w:szCs w:val="16"/>
              </w:rPr>
              <w:t>110 110,00</w:t>
            </w:r>
          </w:p>
        </w:tc>
      </w:tr>
      <w:tr w:rsidR="0093402A" w:rsidTr="0093402A">
        <w:trPr>
          <w:trHeight w:val="266"/>
        </w:trPr>
        <w:tc>
          <w:tcPr>
            <w:tcW w:w="3539" w:type="dxa"/>
            <w:tcBorders>
              <w:top w:val="nil"/>
              <w:left w:val="single" w:sz="4" w:space="0" w:color="auto"/>
              <w:bottom w:val="single" w:sz="4" w:space="0" w:color="auto"/>
              <w:right w:val="nil"/>
            </w:tcBorders>
            <w:shd w:val="clear" w:color="auto" w:fill="auto"/>
            <w:vAlign w:val="center"/>
            <w:hideMark/>
          </w:tcPr>
          <w:p w:rsidR="0093402A" w:rsidRDefault="0093402A">
            <w:pPr>
              <w:jc w:val="both"/>
              <w:rPr>
                <w:rFonts w:ascii="Calibri" w:hAnsi="Calibri" w:cs="Calibri"/>
                <w:sz w:val="16"/>
                <w:szCs w:val="16"/>
              </w:rPr>
            </w:pPr>
            <w:r>
              <w:rPr>
                <w:rFonts w:ascii="Calibri" w:hAnsi="Calibri" w:cs="Calibri"/>
                <w:sz w:val="16"/>
                <w:szCs w:val="16"/>
              </w:rPr>
              <w:t>MŠ Prostějov, Moravská 30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color w:val="000000"/>
                <w:sz w:val="16"/>
                <w:szCs w:val="16"/>
              </w:rPr>
            </w:pPr>
            <w:r w:rsidRPr="0093402A">
              <w:rPr>
                <w:rFonts w:ascii="Calibri" w:hAnsi="Calibri" w:cs="Calibri"/>
                <w:color w:val="000000"/>
                <w:sz w:val="16"/>
                <w:szCs w:val="16"/>
              </w:rPr>
              <w:t>1 975 260,00</w:t>
            </w:r>
          </w:p>
        </w:tc>
        <w:tc>
          <w:tcPr>
            <w:tcW w:w="1418"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color w:val="000000"/>
                <w:sz w:val="16"/>
                <w:szCs w:val="16"/>
              </w:rPr>
            </w:pPr>
            <w:r w:rsidRPr="0093402A">
              <w:rPr>
                <w:rFonts w:ascii="Calibri" w:hAnsi="Calibri" w:cs="Calibri"/>
                <w:color w:val="000000"/>
                <w:sz w:val="16"/>
                <w:szCs w:val="16"/>
              </w:rPr>
              <w:t>554 110,00</w:t>
            </w:r>
          </w:p>
        </w:tc>
      </w:tr>
      <w:tr w:rsidR="0093402A" w:rsidTr="0093402A">
        <w:trPr>
          <w:trHeight w:val="266"/>
        </w:trPr>
        <w:tc>
          <w:tcPr>
            <w:tcW w:w="3539" w:type="dxa"/>
            <w:tcBorders>
              <w:top w:val="nil"/>
              <w:left w:val="single" w:sz="4" w:space="0" w:color="auto"/>
              <w:bottom w:val="single" w:sz="4" w:space="0" w:color="auto"/>
              <w:right w:val="nil"/>
            </w:tcBorders>
            <w:shd w:val="clear" w:color="auto" w:fill="auto"/>
            <w:vAlign w:val="center"/>
            <w:hideMark/>
          </w:tcPr>
          <w:p w:rsidR="0093402A" w:rsidRDefault="0093402A">
            <w:pPr>
              <w:jc w:val="both"/>
              <w:rPr>
                <w:rFonts w:ascii="Calibri" w:hAnsi="Calibri" w:cs="Calibri"/>
                <w:sz w:val="16"/>
                <w:szCs w:val="16"/>
              </w:rPr>
            </w:pPr>
            <w:r>
              <w:rPr>
                <w:rFonts w:ascii="Calibri" w:hAnsi="Calibri" w:cs="Calibri"/>
                <w:sz w:val="16"/>
                <w:szCs w:val="16"/>
              </w:rPr>
              <w:t>ZŠ a MŠ Prostějov, Palackého tř. 14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color w:val="000000"/>
                <w:sz w:val="16"/>
                <w:szCs w:val="16"/>
              </w:rPr>
            </w:pPr>
            <w:r w:rsidRPr="0093402A">
              <w:rPr>
                <w:rFonts w:ascii="Calibri" w:hAnsi="Calibri" w:cs="Calibri"/>
                <w:color w:val="000000"/>
                <w:sz w:val="16"/>
                <w:szCs w:val="16"/>
              </w:rPr>
              <w:t>9 108 910,00</w:t>
            </w:r>
          </w:p>
        </w:tc>
        <w:tc>
          <w:tcPr>
            <w:tcW w:w="1418"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color w:val="000000"/>
                <w:sz w:val="16"/>
                <w:szCs w:val="16"/>
              </w:rPr>
            </w:pPr>
            <w:r w:rsidRPr="0093402A">
              <w:rPr>
                <w:rFonts w:ascii="Calibri" w:hAnsi="Calibri" w:cs="Calibri"/>
                <w:color w:val="000000"/>
                <w:sz w:val="16"/>
                <w:szCs w:val="16"/>
              </w:rPr>
              <w:t>110 110,00</w:t>
            </w:r>
          </w:p>
        </w:tc>
      </w:tr>
      <w:tr w:rsidR="0093402A" w:rsidTr="0093402A">
        <w:trPr>
          <w:trHeight w:val="266"/>
        </w:trPr>
        <w:tc>
          <w:tcPr>
            <w:tcW w:w="3539" w:type="dxa"/>
            <w:tcBorders>
              <w:top w:val="nil"/>
              <w:left w:val="single" w:sz="4" w:space="0" w:color="auto"/>
              <w:bottom w:val="single" w:sz="4" w:space="0" w:color="auto"/>
              <w:right w:val="nil"/>
            </w:tcBorders>
            <w:shd w:val="clear" w:color="auto" w:fill="auto"/>
            <w:vAlign w:val="center"/>
            <w:hideMark/>
          </w:tcPr>
          <w:p w:rsidR="0093402A" w:rsidRDefault="0093402A">
            <w:pPr>
              <w:jc w:val="both"/>
              <w:rPr>
                <w:rFonts w:ascii="Calibri" w:hAnsi="Calibri" w:cs="Calibri"/>
                <w:sz w:val="16"/>
                <w:szCs w:val="16"/>
              </w:rPr>
            </w:pPr>
            <w:r>
              <w:rPr>
                <w:rFonts w:ascii="Calibri" w:hAnsi="Calibri" w:cs="Calibri"/>
                <w:sz w:val="16"/>
                <w:szCs w:val="16"/>
              </w:rPr>
              <w:t>ZŠ a MŠ Prostějov, Kollárova ul. 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color w:val="000000"/>
                <w:sz w:val="16"/>
                <w:szCs w:val="16"/>
              </w:rPr>
            </w:pPr>
            <w:r w:rsidRPr="0093402A">
              <w:rPr>
                <w:rFonts w:ascii="Calibri" w:hAnsi="Calibri" w:cs="Calibri"/>
                <w:color w:val="000000"/>
                <w:sz w:val="16"/>
                <w:szCs w:val="16"/>
              </w:rPr>
              <w:t>5 508 320,00</w:t>
            </w:r>
          </w:p>
        </w:tc>
        <w:tc>
          <w:tcPr>
            <w:tcW w:w="1418"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color w:val="000000"/>
                <w:sz w:val="16"/>
                <w:szCs w:val="16"/>
              </w:rPr>
            </w:pPr>
            <w:r w:rsidRPr="0093402A">
              <w:rPr>
                <w:rFonts w:ascii="Calibri" w:hAnsi="Calibri" w:cs="Calibri"/>
                <w:color w:val="000000"/>
                <w:sz w:val="16"/>
                <w:szCs w:val="16"/>
              </w:rPr>
              <w:t>110 110,00</w:t>
            </w:r>
          </w:p>
        </w:tc>
      </w:tr>
      <w:tr w:rsidR="0093402A" w:rsidTr="0093402A">
        <w:trPr>
          <w:trHeight w:val="266"/>
        </w:trPr>
        <w:tc>
          <w:tcPr>
            <w:tcW w:w="3539" w:type="dxa"/>
            <w:tcBorders>
              <w:top w:val="nil"/>
              <w:left w:val="single" w:sz="4" w:space="0" w:color="auto"/>
              <w:bottom w:val="single" w:sz="4" w:space="0" w:color="auto"/>
              <w:right w:val="nil"/>
            </w:tcBorders>
            <w:shd w:val="clear" w:color="auto" w:fill="auto"/>
            <w:vAlign w:val="center"/>
            <w:hideMark/>
          </w:tcPr>
          <w:p w:rsidR="0093402A" w:rsidRDefault="0093402A">
            <w:pPr>
              <w:jc w:val="both"/>
              <w:rPr>
                <w:rFonts w:ascii="Calibri" w:hAnsi="Calibri" w:cs="Calibri"/>
                <w:sz w:val="16"/>
                <w:szCs w:val="16"/>
              </w:rPr>
            </w:pPr>
            <w:r>
              <w:rPr>
                <w:rFonts w:ascii="Calibri" w:hAnsi="Calibri" w:cs="Calibri"/>
                <w:sz w:val="16"/>
                <w:szCs w:val="16"/>
              </w:rPr>
              <w:t>ZŠ a MŠ Jana Železného Prostějov</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color w:val="000000"/>
                <w:sz w:val="16"/>
                <w:szCs w:val="16"/>
              </w:rPr>
            </w:pPr>
            <w:r w:rsidRPr="0093402A">
              <w:rPr>
                <w:rFonts w:ascii="Calibri" w:hAnsi="Calibri" w:cs="Calibri"/>
                <w:color w:val="000000"/>
                <w:sz w:val="16"/>
                <w:szCs w:val="16"/>
              </w:rPr>
              <w:t>8 787 540,00</w:t>
            </w:r>
          </w:p>
        </w:tc>
        <w:tc>
          <w:tcPr>
            <w:tcW w:w="1418"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color w:val="000000"/>
                <w:sz w:val="16"/>
                <w:szCs w:val="16"/>
              </w:rPr>
            </w:pPr>
            <w:r w:rsidRPr="0093402A">
              <w:rPr>
                <w:rFonts w:ascii="Calibri" w:hAnsi="Calibri" w:cs="Calibri"/>
                <w:color w:val="000000"/>
                <w:sz w:val="16"/>
                <w:szCs w:val="16"/>
              </w:rPr>
              <w:t>214 110,00</w:t>
            </w:r>
          </w:p>
        </w:tc>
      </w:tr>
      <w:tr w:rsidR="0093402A" w:rsidTr="0093402A">
        <w:trPr>
          <w:trHeight w:val="266"/>
        </w:trPr>
        <w:tc>
          <w:tcPr>
            <w:tcW w:w="3539" w:type="dxa"/>
            <w:tcBorders>
              <w:top w:val="nil"/>
              <w:left w:val="single" w:sz="4" w:space="0" w:color="auto"/>
              <w:bottom w:val="single" w:sz="4" w:space="0" w:color="auto"/>
              <w:right w:val="nil"/>
            </w:tcBorders>
            <w:shd w:val="clear" w:color="auto" w:fill="auto"/>
            <w:vAlign w:val="center"/>
            <w:hideMark/>
          </w:tcPr>
          <w:p w:rsidR="0093402A" w:rsidRDefault="0093402A">
            <w:pPr>
              <w:jc w:val="both"/>
              <w:rPr>
                <w:rFonts w:ascii="Calibri" w:hAnsi="Calibri" w:cs="Calibri"/>
                <w:sz w:val="16"/>
                <w:szCs w:val="16"/>
              </w:rPr>
            </w:pPr>
            <w:r>
              <w:rPr>
                <w:rFonts w:ascii="Calibri" w:hAnsi="Calibri" w:cs="Calibri"/>
                <w:sz w:val="16"/>
                <w:szCs w:val="16"/>
              </w:rPr>
              <w:t>ZŠ a MŠ Prostějov, Melantrichova ul. 60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color w:val="000000"/>
                <w:sz w:val="16"/>
                <w:szCs w:val="16"/>
              </w:rPr>
            </w:pPr>
            <w:r w:rsidRPr="0093402A">
              <w:rPr>
                <w:rFonts w:ascii="Calibri" w:hAnsi="Calibri" w:cs="Calibri"/>
                <w:color w:val="000000"/>
                <w:sz w:val="16"/>
                <w:szCs w:val="16"/>
              </w:rPr>
              <w:t>5 529 584,00</w:t>
            </w:r>
          </w:p>
        </w:tc>
        <w:tc>
          <w:tcPr>
            <w:tcW w:w="1418"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color w:val="000000"/>
                <w:sz w:val="16"/>
                <w:szCs w:val="16"/>
              </w:rPr>
            </w:pPr>
            <w:r w:rsidRPr="0093402A">
              <w:rPr>
                <w:rFonts w:ascii="Calibri" w:hAnsi="Calibri" w:cs="Calibri"/>
                <w:color w:val="000000"/>
                <w:sz w:val="16"/>
                <w:szCs w:val="16"/>
              </w:rPr>
              <w:t>110 110,00</w:t>
            </w:r>
          </w:p>
        </w:tc>
      </w:tr>
      <w:tr w:rsidR="0093402A" w:rsidTr="0093402A">
        <w:trPr>
          <w:trHeight w:val="266"/>
        </w:trPr>
        <w:tc>
          <w:tcPr>
            <w:tcW w:w="3539" w:type="dxa"/>
            <w:tcBorders>
              <w:top w:val="nil"/>
              <w:left w:val="single" w:sz="4" w:space="0" w:color="auto"/>
              <w:bottom w:val="single" w:sz="4" w:space="0" w:color="auto"/>
              <w:right w:val="nil"/>
            </w:tcBorders>
            <w:shd w:val="clear" w:color="auto" w:fill="auto"/>
            <w:vAlign w:val="center"/>
            <w:hideMark/>
          </w:tcPr>
          <w:p w:rsidR="0093402A" w:rsidRDefault="0093402A">
            <w:pPr>
              <w:jc w:val="both"/>
              <w:rPr>
                <w:rFonts w:ascii="Calibri" w:hAnsi="Calibri" w:cs="Calibri"/>
                <w:sz w:val="16"/>
                <w:szCs w:val="16"/>
              </w:rPr>
            </w:pPr>
            <w:r>
              <w:rPr>
                <w:rFonts w:ascii="Calibri" w:hAnsi="Calibri" w:cs="Calibri"/>
                <w:sz w:val="16"/>
                <w:szCs w:val="16"/>
              </w:rPr>
              <w:t>ZŠ Prostějov, ul. Vl. Majakovského 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color w:val="000000"/>
                <w:sz w:val="16"/>
                <w:szCs w:val="16"/>
              </w:rPr>
            </w:pPr>
            <w:r w:rsidRPr="0093402A">
              <w:rPr>
                <w:rFonts w:ascii="Calibri" w:hAnsi="Calibri" w:cs="Calibri"/>
                <w:color w:val="000000"/>
                <w:sz w:val="16"/>
                <w:szCs w:val="16"/>
              </w:rPr>
              <w:t>3 874 564,00</w:t>
            </w:r>
          </w:p>
        </w:tc>
        <w:tc>
          <w:tcPr>
            <w:tcW w:w="1418"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color w:val="000000"/>
                <w:sz w:val="16"/>
                <w:szCs w:val="16"/>
              </w:rPr>
            </w:pPr>
            <w:r w:rsidRPr="0093402A">
              <w:rPr>
                <w:rFonts w:ascii="Calibri" w:hAnsi="Calibri" w:cs="Calibri"/>
                <w:color w:val="000000"/>
                <w:sz w:val="16"/>
                <w:szCs w:val="16"/>
              </w:rPr>
              <w:t>0,00</w:t>
            </w:r>
          </w:p>
        </w:tc>
      </w:tr>
      <w:tr w:rsidR="0093402A" w:rsidTr="0093402A">
        <w:trPr>
          <w:trHeight w:val="266"/>
        </w:trPr>
        <w:tc>
          <w:tcPr>
            <w:tcW w:w="3539" w:type="dxa"/>
            <w:tcBorders>
              <w:top w:val="nil"/>
              <w:left w:val="single" w:sz="4" w:space="0" w:color="auto"/>
              <w:bottom w:val="single" w:sz="4" w:space="0" w:color="auto"/>
              <w:right w:val="nil"/>
            </w:tcBorders>
            <w:shd w:val="clear" w:color="auto" w:fill="auto"/>
            <w:vAlign w:val="center"/>
            <w:hideMark/>
          </w:tcPr>
          <w:p w:rsidR="0093402A" w:rsidRDefault="0093402A">
            <w:pPr>
              <w:jc w:val="both"/>
              <w:rPr>
                <w:rFonts w:ascii="Calibri" w:hAnsi="Calibri" w:cs="Calibri"/>
                <w:sz w:val="16"/>
                <w:szCs w:val="16"/>
              </w:rPr>
            </w:pPr>
            <w:r>
              <w:rPr>
                <w:rFonts w:ascii="Calibri" w:hAnsi="Calibri" w:cs="Calibri"/>
                <w:sz w:val="16"/>
                <w:szCs w:val="16"/>
              </w:rPr>
              <w:t>RG a ZŠ Otto Wichterleho,  Studentská ul. 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color w:val="000000"/>
                <w:sz w:val="16"/>
                <w:szCs w:val="16"/>
              </w:rPr>
            </w:pPr>
            <w:r w:rsidRPr="0093402A">
              <w:rPr>
                <w:rFonts w:ascii="Calibri" w:hAnsi="Calibri" w:cs="Calibri"/>
                <w:color w:val="000000"/>
                <w:sz w:val="16"/>
                <w:szCs w:val="16"/>
              </w:rPr>
              <w:t>5 228 850,00</w:t>
            </w:r>
          </w:p>
        </w:tc>
        <w:tc>
          <w:tcPr>
            <w:tcW w:w="1418"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color w:val="000000"/>
                <w:sz w:val="16"/>
                <w:szCs w:val="16"/>
              </w:rPr>
            </w:pPr>
            <w:r w:rsidRPr="0093402A">
              <w:rPr>
                <w:rFonts w:ascii="Calibri" w:hAnsi="Calibri" w:cs="Calibri"/>
                <w:color w:val="000000"/>
                <w:sz w:val="16"/>
                <w:szCs w:val="16"/>
              </w:rPr>
              <w:t>0,00</w:t>
            </w:r>
          </w:p>
        </w:tc>
      </w:tr>
      <w:tr w:rsidR="0093402A" w:rsidTr="0093402A">
        <w:trPr>
          <w:trHeight w:val="266"/>
        </w:trPr>
        <w:tc>
          <w:tcPr>
            <w:tcW w:w="3539" w:type="dxa"/>
            <w:tcBorders>
              <w:top w:val="nil"/>
              <w:left w:val="single" w:sz="4" w:space="0" w:color="auto"/>
              <w:bottom w:val="single" w:sz="4" w:space="0" w:color="auto"/>
              <w:right w:val="nil"/>
            </w:tcBorders>
            <w:shd w:val="clear" w:color="auto" w:fill="auto"/>
            <w:vAlign w:val="center"/>
            <w:hideMark/>
          </w:tcPr>
          <w:p w:rsidR="0093402A" w:rsidRDefault="0093402A">
            <w:pPr>
              <w:jc w:val="both"/>
              <w:rPr>
                <w:rFonts w:ascii="Calibri" w:hAnsi="Calibri" w:cs="Calibri"/>
                <w:sz w:val="16"/>
                <w:szCs w:val="16"/>
              </w:rPr>
            </w:pPr>
            <w:r>
              <w:rPr>
                <w:rFonts w:ascii="Calibri" w:hAnsi="Calibri" w:cs="Calibri"/>
                <w:sz w:val="16"/>
                <w:szCs w:val="16"/>
              </w:rPr>
              <w:t>ZŠ Prostějov, ul. Dr. Horáka 24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color w:val="000000"/>
                <w:sz w:val="16"/>
                <w:szCs w:val="16"/>
              </w:rPr>
            </w:pPr>
            <w:r w:rsidRPr="0093402A">
              <w:rPr>
                <w:rFonts w:ascii="Calibri" w:hAnsi="Calibri" w:cs="Calibri"/>
                <w:color w:val="000000"/>
                <w:sz w:val="16"/>
                <w:szCs w:val="16"/>
              </w:rPr>
              <w:t>8 565 860,00</w:t>
            </w:r>
          </w:p>
        </w:tc>
        <w:tc>
          <w:tcPr>
            <w:tcW w:w="1418"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color w:val="000000"/>
                <w:sz w:val="16"/>
                <w:szCs w:val="16"/>
              </w:rPr>
            </w:pPr>
            <w:r w:rsidRPr="0093402A">
              <w:rPr>
                <w:rFonts w:ascii="Calibri" w:hAnsi="Calibri" w:cs="Calibri"/>
                <w:color w:val="000000"/>
                <w:sz w:val="16"/>
                <w:szCs w:val="16"/>
              </w:rPr>
              <w:t>0,00</w:t>
            </w:r>
          </w:p>
        </w:tc>
      </w:tr>
      <w:tr w:rsidR="0093402A" w:rsidTr="0093402A">
        <w:trPr>
          <w:trHeight w:val="266"/>
        </w:trPr>
        <w:tc>
          <w:tcPr>
            <w:tcW w:w="3539" w:type="dxa"/>
            <w:tcBorders>
              <w:top w:val="nil"/>
              <w:left w:val="single" w:sz="4" w:space="0" w:color="auto"/>
              <w:bottom w:val="single" w:sz="4" w:space="0" w:color="auto"/>
              <w:right w:val="nil"/>
            </w:tcBorders>
            <w:shd w:val="clear" w:color="auto" w:fill="auto"/>
            <w:vAlign w:val="center"/>
            <w:hideMark/>
          </w:tcPr>
          <w:p w:rsidR="0093402A" w:rsidRDefault="0093402A">
            <w:pPr>
              <w:jc w:val="both"/>
              <w:rPr>
                <w:rFonts w:ascii="Calibri" w:hAnsi="Calibri" w:cs="Calibri"/>
                <w:sz w:val="16"/>
                <w:szCs w:val="16"/>
              </w:rPr>
            </w:pPr>
            <w:r>
              <w:rPr>
                <w:rFonts w:ascii="Calibri" w:hAnsi="Calibri" w:cs="Calibri"/>
                <w:sz w:val="16"/>
                <w:szCs w:val="16"/>
              </w:rPr>
              <w:t>ZŠ Prostějov, ul. E. Valenty 52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color w:val="000000"/>
                <w:sz w:val="16"/>
                <w:szCs w:val="16"/>
              </w:rPr>
            </w:pPr>
            <w:r w:rsidRPr="0093402A">
              <w:rPr>
                <w:rFonts w:ascii="Calibri" w:hAnsi="Calibri" w:cs="Calibri"/>
                <w:color w:val="000000"/>
                <w:sz w:val="16"/>
                <w:szCs w:val="16"/>
              </w:rPr>
              <w:t>5 150 923,00</w:t>
            </w:r>
          </w:p>
        </w:tc>
        <w:tc>
          <w:tcPr>
            <w:tcW w:w="1418"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color w:val="000000"/>
                <w:sz w:val="16"/>
                <w:szCs w:val="16"/>
              </w:rPr>
            </w:pPr>
            <w:r w:rsidRPr="0093402A">
              <w:rPr>
                <w:rFonts w:ascii="Calibri" w:hAnsi="Calibri" w:cs="Calibri"/>
                <w:color w:val="000000"/>
                <w:sz w:val="16"/>
                <w:szCs w:val="16"/>
              </w:rPr>
              <w:t>0,00</w:t>
            </w:r>
          </w:p>
        </w:tc>
      </w:tr>
      <w:tr w:rsidR="0093402A" w:rsidTr="0093402A">
        <w:trPr>
          <w:trHeight w:val="266"/>
        </w:trPr>
        <w:tc>
          <w:tcPr>
            <w:tcW w:w="3539" w:type="dxa"/>
            <w:tcBorders>
              <w:top w:val="nil"/>
              <w:left w:val="single" w:sz="4" w:space="0" w:color="auto"/>
              <w:bottom w:val="single" w:sz="4" w:space="0" w:color="auto"/>
              <w:right w:val="nil"/>
            </w:tcBorders>
            <w:shd w:val="clear" w:color="auto" w:fill="auto"/>
            <w:vAlign w:val="center"/>
            <w:hideMark/>
          </w:tcPr>
          <w:p w:rsidR="0093402A" w:rsidRDefault="0093402A">
            <w:pPr>
              <w:jc w:val="both"/>
              <w:rPr>
                <w:rFonts w:ascii="Calibri" w:hAnsi="Calibri" w:cs="Calibri"/>
                <w:sz w:val="16"/>
                <w:szCs w:val="16"/>
              </w:rPr>
            </w:pPr>
            <w:r>
              <w:rPr>
                <w:rFonts w:ascii="Calibri" w:hAnsi="Calibri" w:cs="Calibri"/>
                <w:sz w:val="16"/>
                <w:szCs w:val="16"/>
              </w:rPr>
              <w:t>Sportcentrum DDM, Prostějov</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color w:val="000000"/>
                <w:sz w:val="16"/>
                <w:szCs w:val="16"/>
              </w:rPr>
            </w:pPr>
            <w:r w:rsidRPr="0093402A">
              <w:rPr>
                <w:rFonts w:ascii="Calibri" w:hAnsi="Calibri" w:cs="Calibri"/>
                <w:color w:val="000000"/>
                <w:sz w:val="16"/>
                <w:szCs w:val="16"/>
              </w:rPr>
              <w:t>31 727 715,20</w:t>
            </w:r>
          </w:p>
        </w:tc>
        <w:tc>
          <w:tcPr>
            <w:tcW w:w="1418"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color w:val="000000"/>
                <w:sz w:val="16"/>
                <w:szCs w:val="16"/>
              </w:rPr>
            </w:pPr>
            <w:r w:rsidRPr="0093402A">
              <w:rPr>
                <w:rFonts w:ascii="Calibri" w:hAnsi="Calibri" w:cs="Calibri"/>
                <w:color w:val="000000"/>
                <w:sz w:val="16"/>
                <w:szCs w:val="16"/>
              </w:rPr>
              <w:t>2 634 775,80</w:t>
            </w:r>
          </w:p>
        </w:tc>
      </w:tr>
      <w:tr w:rsidR="0093402A" w:rsidTr="0093402A">
        <w:trPr>
          <w:trHeight w:val="266"/>
        </w:trPr>
        <w:tc>
          <w:tcPr>
            <w:tcW w:w="3539" w:type="dxa"/>
            <w:tcBorders>
              <w:top w:val="nil"/>
              <w:left w:val="single" w:sz="4" w:space="0" w:color="auto"/>
              <w:bottom w:val="single" w:sz="4" w:space="0" w:color="auto"/>
              <w:right w:val="nil"/>
            </w:tcBorders>
            <w:shd w:val="clear" w:color="auto" w:fill="auto"/>
            <w:vAlign w:val="center"/>
            <w:hideMark/>
          </w:tcPr>
          <w:p w:rsidR="0093402A" w:rsidRDefault="0093402A">
            <w:pPr>
              <w:jc w:val="both"/>
              <w:rPr>
                <w:rFonts w:ascii="Calibri" w:hAnsi="Calibri" w:cs="Calibri"/>
                <w:sz w:val="16"/>
                <w:szCs w:val="16"/>
              </w:rPr>
            </w:pPr>
            <w:r>
              <w:rPr>
                <w:rFonts w:ascii="Calibri" w:hAnsi="Calibri" w:cs="Calibri"/>
                <w:sz w:val="16"/>
                <w:szCs w:val="16"/>
              </w:rPr>
              <w:t>ZUŠ Vl. Ambrose, Kravařova ul. 14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color w:val="000000"/>
                <w:sz w:val="16"/>
                <w:szCs w:val="16"/>
              </w:rPr>
            </w:pPr>
            <w:r w:rsidRPr="0093402A">
              <w:rPr>
                <w:rFonts w:ascii="Calibri" w:hAnsi="Calibri" w:cs="Calibri"/>
                <w:color w:val="000000"/>
                <w:sz w:val="16"/>
                <w:szCs w:val="16"/>
              </w:rPr>
              <w:t>1 900 000,00</w:t>
            </w:r>
          </w:p>
        </w:tc>
        <w:tc>
          <w:tcPr>
            <w:tcW w:w="1418"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color w:val="000000"/>
                <w:sz w:val="16"/>
                <w:szCs w:val="16"/>
              </w:rPr>
            </w:pPr>
            <w:r w:rsidRPr="0093402A">
              <w:rPr>
                <w:rFonts w:ascii="Calibri" w:hAnsi="Calibri" w:cs="Calibri"/>
                <w:color w:val="000000"/>
                <w:sz w:val="16"/>
                <w:szCs w:val="16"/>
              </w:rPr>
              <w:t>0,00</w:t>
            </w:r>
          </w:p>
        </w:tc>
      </w:tr>
      <w:tr w:rsidR="0093402A" w:rsidTr="0093402A">
        <w:trPr>
          <w:trHeight w:val="266"/>
        </w:trPr>
        <w:tc>
          <w:tcPr>
            <w:tcW w:w="3539" w:type="dxa"/>
            <w:tcBorders>
              <w:top w:val="nil"/>
              <w:left w:val="single" w:sz="4" w:space="0" w:color="auto"/>
              <w:bottom w:val="single" w:sz="4" w:space="0" w:color="auto"/>
              <w:right w:val="nil"/>
            </w:tcBorders>
            <w:shd w:val="clear" w:color="auto" w:fill="auto"/>
            <w:vAlign w:val="center"/>
            <w:hideMark/>
          </w:tcPr>
          <w:p w:rsidR="0093402A" w:rsidRDefault="0093402A">
            <w:pPr>
              <w:jc w:val="both"/>
              <w:rPr>
                <w:rFonts w:ascii="Calibri" w:hAnsi="Calibri" w:cs="Calibri"/>
                <w:sz w:val="16"/>
                <w:szCs w:val="16"/>
              </w:rPr>
            </w:pPr>
            <w:r>
              <w:rPr>
                <w:rFonts w:ascii="Calibri" w:hAnsi="Calibri" w:cs="Calibri"/>
                <w:sz w:val="16"/>
                <w:szCs w:val="16"/>
              </w:rPr>
              <w:t>Městské divadlo v Prostějově</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color w:val="000000"/>
                <w:sz w:val="16"/>
                <w:szCs w:val="16"/>
              </w:rPr>
            </w:pPr>
            <w:r w:rsidRPr="0093402A">
              <w:rPr>
                <w:rFonts w:ascii="Calibri" w:hAnsi="Calibri" w:cs="Calibri"/>
                <w:color w:val="000000"/>
                <w:sz w:val="16"/>
                <w:szCs w:val="16"/>
              </w:rPr>
              <w:t>7 736 410,00</w:t>
            </w:r>
          </w:p>
        </w:tc>
        <w:tc>
          <w:tcPr>
            <w:tcW w:w="1418"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color w:val="000000"/>
                <w:sz w:val="16"/>
                <w:szCs w:val="16"/>
              </w:rPr>
            </w:pPr>
            <w:r w:rsidRPr="0093402A">
              <w:rPr>
                <w:rFonts w:ascii="Calibri" w:hAnsi="Calibri" w:cs="Calibri"/>
                <w:color w:val="000000"/>
                <w:sz w:val="16"/>
                <w:szCs w:val="16"/>
              </w:rPr>
              <w:t>0,00</w:t>
            </w:r>
          </w:p>
        </w:tc>
      </w:tr>
      <w:tr w:rsidR="0093402A" w:rsidTr="0093402A">
        <w:trPr>
          <w:trHeight w:val="266"/>
        </w:trPr>
        <w:tc>
          <w:tcPr>
            <w:tcW w:w="3539" w:type="dxa"/>
            <w:tcBorders>
              <w:top w:val="nil"/>
              <w:left w:val="single" w:sz="4" w:space="0" w:color="auto"/>
              <w:bottom w:val="single" w:sz="4" w:space="0" w:color="auto"/>
              <w:right w:val="nil"/>
            </w:tcBorders>
            <w:shd w:val="clear" w:color="auto" w:fill="auto"/>
            <w:vAlign w:val="center"/>
            <w:hideMark/>
          </w:tcPr>
          <w:p w:rsidR="0093402A" w:rsidRDefault="0093402A">
            <w:pPr>
              <w:jc w:val="both"/>
              <w:rPr>
                <w:rFonts w:ascii="Calibri" w:hAnsi="Calibri" w:cs="Calibri"/>
                <w:sz w:val="16"/>
                <w:szCs w:val="16"/>
              </w:rPr>
            </w:pPr>
            <w:r>
              <w:rPr>
                <w:rFonts w:ascii="Calibri" w:hAnsi="Calibri" w:cs="Calibri"/>
                <w:sz w:val="16"/>
                <w:szCs w:val="16"/>
              </w:rPr>
              <w:t>Městská knihovna Prostějov</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color w:val="000000"/>
                <w:sz w:val="16"/>
                <w:szCs w:val="16"/>
              </w:rPr>
            </w:pPr>
            <w:r w:rsidRPr="0093402A">
              <w:rPr>
                <w:rFonts w:ascii="Calibri" w:hAnsi="Calibri" w:cs="Calibri"/>
                <w:color w:val="000000"/>
                <w:sz w:val="16"/>
                <w:szCs w:val="16"/>
              </w:rPr>
              <w:t>11 390 000,00</w:t>
            </w:r>
          </w:p>
        </w:tc>
        <w:tc>
          <w:tcPr>
            <w:tcW w:w="1418"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color w:val="000000"/>
                <w:sz w:val="16"/>
                <w:szCs w:val="16"/>
              </w:rPr>
            </w:pPr>
            <w:r w:rsidRPr="0093402A">
              <w:rPr>
                <w:rFonts w:ascii="Calibri" w:hAnsi="Calibri" w:cs="Calibri"/>
                <w:color w:val="000000"/>
                <w:sz w:val="16"/>
                <w:szCs w:val="16"/>
              </w:rPr>
              <w:t>0,00</w:t>
            </w:r>
          </w:p>
        </w:tc>
      </w:tr>
      <w:tr w:rsidR="0093402A" w:rsidTr="0093402A">
        <w:trPr>
          <w:trHeight w:val="266"/>
        </w:trPr>
        <w:tc>
          <w:tcPr>
            <w:tcW w:w="3539" w:type="dxa"/>
            <w:tcBorders>
              <w:top w:val="nil"/>
              <w:left w:val="single" w:sz="4" w:space="0" w:color="auto"/>
              <w:bottom w:val="single" w:sz="4" w:space="0" w:color="auto"/>
              <w:right w:val="nil"/>
            </w:tcBorders>
            <w:shd w:val="clear" w:color="auto" w:fill="auto"/>
            <w:vAlign w:val="center"/>
            <w:hideMark/>
          </w:tcPr>
          <w:p w:rsidR="0093402A" w:rsidRDefault="0093402A">
            <w:pPr>
              <w:jc w:val="both"/>
              <w:rPr>
                <w:rFonts w:ascii="Calibri" w:hAnsi="Calibri" w:cs="Calibri"/>
                <w:sz w:val="16"/>
                <w:szCs w:val="16"/>
              </w:rPr>
            </w:pPr>
            <w:r>
              <w:rPr>
                <w:rFonts w:ascii="Calibri" w:hAnsi="Calibri" w:cs="Calibri"/>
                <w:sz w:val="16"/>
                <w:szCs w:val="16"/>
              </w:rPr>
              <w:t>KINO METRO 70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color w:val="000000"/>
                <w:sz w:val="16"/>
                <w:szCs w:val="16"/>
              </w:rPr>
            </w:pPr>
            <w:r w:rsidRPr="0093402A">
              <w:rPr>
                <w:rFonts w:ascii="Calibri" w:hAnsi="Calibri" w:cs="Calibri"/>
                <w:color w:val="000000"/>
                <w:sz w:val="16"/>
                <w:szCs w:val="16"/>
              </w:rPr>
              <w:t>6 022 562,40</w:t>
            </w:r>
          </w:p>
        </w:tc>
        <w:tc>
          <w:tcPr>
            <w:tcW w:w="1418"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color w:val="000000"/>
                <w:sz w:val="16"/>
                <w:szCs w:val="16"/>
              </w:rPr>
            </w:pPr>
            <w:r w:rsidRPr="0093402A">
              <w:rPr>
                <w:rFonts w:ascii="Calibri" w:hAnsi="Calibri" w:cs="Calibri"/>
                <w:color w:val="000000"/>
                <w:sz w:val="16"/>
                <w:szCs w:val="16"/>
              </w:rPr>
              <w:t>0,00</w:t>
            </w:r>
          </w:p>
        </w:tc>
      </w:tr>
      <w:tr w:rsidR="0093402A" w:rsidTr="0093402A">
        <w:trPr>
          <w:trHeight w:val="266"/>
        </w:trPr>
        <w:tc>
          <w:tcPr>
            <w:tcW w:w="3539" w:type="dxa"/>
            <w:tcBorders>
              <w:top w:val="nil"/>
              <w:left w:val="single" w:sz="4" w:space="0" w:color="auto"/>
              <w:bottom w:val="single" w:sz="4" w:space="0" w:color="auto"/>
              <w:right w:val="nil"/>
            </w:tcBorders>
            <w:shd w:val="clear" w:color="auto" w:fill="auto"/>
            <w:vAlign w:val="center"/>
            <w:hideMark/>
          </w:tcPr>
          <w:p w:rsidR="0093402A" w:rsidRDefault="0093402A">
            <w:pPr>
              <w:jc w:val="both"/>
              <w:rPr>
                <w:rFonts w:ascii="Calibri" w:hAnsi="Calibri" w:cs="Calibri"/>
                <w:sz w:val="16"/>
                <w:szCs w:val="16"/>
              </w:rPr>
            </w:pPr>
            <w:r>
              <w:rPr>
                <w:rFonts w:ascii="Calibri" w:hAnsi="Calibri" w:cs="Calibri"/>
                <w:sz w:val="16"/>
                <w:szCs w:val="16"/>
              </w:rPr>
              <w:t>Dětská skupina Jesle Prostějov</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color w:val="000000"/>
                <w:sz w:val="16"/>
                <w:szCs w:val="16"/>
              </w:rPr>
            </w:pPr>
            <w:r w:rsidRPr="0093402A">
              <w:rPr>
                <w:rFonts w:ascii="Calibri" w:hAnsi="Calibri" w:cs="Calibri"/>
                <w:color w:val="000000"/>
                <w:sz w:val="16"/>
                <w:szCs w:val="16"/>
              </w:rPr>
              <w:t>1 783 690,00</w:t>
            </w:r>
          </w:p>
        </w:tc>
        <w:tc>
          <w:tcPr>
            <w:tcW w:w="1418"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color w:val="000000"/>
                <w:sz w:val="16"/>
                <w:szCs w:val="16"/>
              </w:rPr>
            </w:pPr>
            <w:r w:rsidRPr="0093402A">
              <w:rPr>
                <w:rFonts w:ascii="Calibri" w:hAnsi="Calibri" w:cs="Calibri"/>
                <w:color w:val="000000"/>
                <w:sz w:val="16"/>
                <w:szCs w:val="16"/>
              </w:rPr>
              <w:t>0,00</w:t>
            </w:r>
          </w:p>
        </w:tc>
      </w:tr>
      <w:tr w:rsidR="0093402A" w:rsidTr="0093402A">
        <w:trPr>
          <w:trHeight w:val="266"/>
        </w:trPr>
        <w:tc>
          <w:tcPr>
            <w:tcW w:w="3539" w:type="dxa"/>
            <w:tcBorders>
              <w:top w:val="nil"/>
              <w:left w:val="single" w:sz="4" w:space="0" w:color="auto"/>
              <w:bottom w:val="single" w:sz="4" w:space="0" w:color="auto"/>
              <w:right w:val="single" w:sz="4" w:space="0" w:color="auto"/>
            </w:tcBorders>
            <w:shd w:val="clear" w:color="C4D79B" w:fill="B4C6E7"/>
            <w:vAlign w:val="center"/>
            <w:hideMark/>
          </w:tcPr>
          <w:p w:rsidR="0093402A" w:rsidRDefault="0093402A">
            <w:pPr>
              <w:jc w:val="both"/>
              <w:rPr>
                <w:rFonts w:ascii="Calibri" w:hAnsi="Calibri" w:cs="Calibri"/>
                <w:b/>
                <w:bCs/>
                <w:sz w:val="18"/>
                <w:szCs w:val="18"/>
              </w:rPr>
            </w:pPr>
            <w:r>
              <w:rPr>
                <w:rFonts w:ascii="Calibri" w:hAnsi="Calibri" w:cs="Calibri"/>
                <w:b/>
                <w:bCs/>
                <w:sz w:val="18"/>
                <w:szCs w:val="18"/>
              </w:rPr>
              <w:t>Celkem</w:t>
            </w:r>
          </w:p>
        </w:tc>
        <w:tc>
          <w:tcPr>
            <w:tcW w:w="1559" w:type="dxa"/>
            <w:tcBorders>
              <w:top w:val="nil"/>
              <w:left w:val="nil"/>
              <w:bottom w:val="single" w:sz="4" w:space="0" w:color="auto"/>
              <w:right w:val="single" w:sz="4" w:space="0" w:color="auto"/>
            </w:tcBorders>
            <w:shd w:val="clear" w:color="C4D79B" w:fill="B4C6E7"/>
            <w:noWrap/>
            <w:vAlign w:val="center"/>
            <w:hideMark/>
          </w:tcPr>
          <w:p w:rsidR="0093402A" w:rsidRPr="0093402A" w:rsidRDefault="0093402A">
            <w:pPr>
              <w:jc w:val="right"/>
              <w:rPr>
                <w:rFonts w:ascii="Calibri" w:hAnsi="Calibri" w:cs="Calibri"/>
                <w:b/>
                <w:bCs/>
                <w:sz w:val="16"/>
                <w:szCs w:val="16"/>
              </w:rPr>
            </w:pPr>
            <w:r w:rsidRPr="0093402A">
              <w:rPr>
                <w:rFonts w:ascii="Calibri" w:hAnsi="Calibri" w:cs="Calibri"/>
                <w:b/>
                <w:bCs/>
                <w:sz w:val="16"/>
                <w:szCs w:val="16"/>
              </w:rPr>
              <w:t>126 762 638,60</w:t>
            </w:r>
          </w:p>
        </w:tc>
        <w:tc>
          <w:tcPr>
            <w:tcW w:w="1418" w:type="dxa"/>
            <w:tcBorders>
              <w:top w:val="nil"/>
              <w:left w:val="nil"/>
              <w:bottom w:val="single" w:sz="4" w:space="0" w:color="auto"/>
              <w:right w:val="single" w:sz="4" w:space="0" w:color="auto"/>
            </w:tcBorders>
            <w:shd w:val="clear" w:color="C4D79B" w:fill="B4C6E7"/>
            <w:noWrap/>
            <w:vAlign w:val="center"/>
            <w:hideMark/>
          </w:tcPr>
          <w:p w:rsidR="0093402A" w:rsidRPr="0093402A" w:rsidRDefault="0093402A">
            <w:pPr>
              <w:jc w:val="right"/>
              <w:rPr>
                <w:rFonts w:ascii="Calibri" w:hAnsi="Calibri" w:cs="Calibri"/>
                <w:b/>
                <w:bCs/>
                <w:sz w:val="16"/>
                <w:szCs w:val="16"/>
              </w:rPr>
            </w:pPr>
            <w:r w:rsidRPr="0093402A">
              <w:rPr>
                <w:rFonts w:ascii="Calibri" w:hAnsi="Calibri" w:cs="Calibri"/>
                <w:b/>
                <w:bCs/>
                <w:sz w:val="16"/>
                <w:szCs w:val="16"/>
              </w:rPr>
              <w:t>4 393 985,80</w:t>
            </w:r>
          </w:p>
        </w:tc>
      </w:tr>
    </w:tbl>
    <w:p w:rsidR="0093402A" w:rsidRDefault="005D0CF8" w:rsidP="00BB173D">
      <w:pPr>
        <w:keepNext/>
        <w:keepLines/>
        <w:spacing w:before="240" w:after="120"/>
        <w:rPr>
          <w:rFonts w:ascii="Calibri" w:hAnsi="Calibri"/>
          <w:b/>
          <w:sz w:val="20"/>
          <w:szCs w:val="20"/>
          <w:u w:val="single"/>
        </w:rPr>
      </w:pPr>
      <w:r w:rsidRPr="00C817EC">
        <w:rPr>
          <w:rFonts w:ascii="Calibri" w:hAnsi="Calibri"/>
          <w:b/>
          <w:sz w:val="20"/>
          <w:szCs w:val="20"/>
          <w:u w:val="single"/>
        </w:rPr>
        <w:t>Stav fondů příspěv</w:t>
      </w:r>
      <w:r w:rsidR="002D3AF9" w:rsidRPr="00C817EC">
        <w:rPr>
          <w:rFonts w:ascii="Calibri" w:hAnsi="Calibri"/>
          <w:b/>
          <w:sz w:val="20"/>
          <w:szCs w:val="20"/>
          <w:u w:val="single"/>
        </w:rPr>
        <w:t>kových organizací k 31.</w:t>
      </w:r>
      <w:r w:rsidR="00C817EC" w:rsidRPr="00C817EC">
        <w:rPr>
          <w:rFonts w:ascii="Calibri" w:hAnsi="Calibri"/>
          <w:b/>
          <w:sz w:val="20"/>
          <w:szCs w:val="20"/>
          <w:u w:val="single"/>
        </w:rPr>
        <w:t xml:space="preserve"> </w:t>
      </w:r>
      <w:r w:rsidR="002D3AF9" w:rsidRPr="00C817EC">
        <w:rPr>
          <w:rFonts w:ascii="Calibri" w:hAnsi="Calibri"/>
          <w:b/>
          <w:sz w:val="20"/>
          <w:szCs w:val="20"/>
          <w:u w:val="single"/>
        </w:rPr>
        <w:t>12.</w:t>
      </w:r>
      <w:r w:rsidR="00C817EC" w:rsidRPr="00C817EC">
        <w:rPr>
          <w:rFonts w:ascii="Calibri" w:hAnsi="Calibri"/>
          <w:b/>
          <w:sz w:val="20"/>
          <w:szCs w:val="20"/>
          <w:u w:val="single"/>
        </w:rPr>
        <w:t xml:space="preserve"> 202</w:t>
      </w:r>
      <w:r w:rsidR="0093402A">
        <w:rPr>
          <w:rFonts w:ascii="Calibri" w:hAnsi="Calibri"/>
          <w:b/>
          <w:sz w:val="20"/>
          <w:szCs w:val="20"/>
          <w:u w:val="single"/>
        </w:rPr>
        <w:t>2</w:t>
      </w:r>
      <w:r w:rsidR="006B034C">
        <w:rPr>
          <w:rFonts w:ascii="Calibri" w:hAnsi="Calibri"/>
          <w:b/>
          <w:sz w:val="20"/>
          <w:szCs w:val="20"/>
          <w:u w:val="single"/>
        </w:rPr>
        <w:t xml:space="preserve"> (v Kč)</w:t>
      </w:r>
    </w:p>
    <w:tbl>
      <w:tblPr>
        <w:tblW w:w="9493" w:type="dxa"/>
        <w:tblCellMar>
          <w:left w:w="70" w:type="dxa"/>
          <w:right w:w="70" w:type="dxa"/>
        </w:tblCellMar>
        <w:tblLook w:val="04A0" w:firstRow="1" w:lastRow="0" w:firstColumn="1" w:lastColumn="0" w:noHBand="0" w:noVBand="1"/>
      </w:tblPr>
      <w:tblGrid>
        <w:gridCol w:w="3397"/>
        <w:gridCol w:w="993"/>
        <w:gridCol w:w="992"/>
        <w:gridCol w:w="992"/>
        <w:gridCol w:w="992"/>
        <w:gridCol w:w="993"/>
        <w:gridCol w:w="1134"/>
      </w:tblGrid>
      <w:tr w:rsidR="0093402A" w:rsidRPr="0093402A" w:rsidTr="006B034C">
        <w:trPr>
          <w:trHeight w:val="266"/>
        </w:trPr>
        <w:tc>
          <w:tcPr>
            <w:tcW w:w="3397" w:type="dxa"/>
            <w:vMerge w:val="restart"/>
            <w:tcBorders>
              <w:top w:val="single" w:sz="4" w:space="0" w:color="auto"/>
              <w:left w:val="single" w:sz="4" w:space="0" w:color="auto"/>
              <w:bottom w:val="single" w:sz="4" w:space="0" w:color="auto"/>
              <w:right w:val="single" w:sz="4" w:space="0" w:color="auto"/>
            </w:tcBorders>
            <w:shd w:val="clear" w:color="92D050" w:fill="D9E1F2"/>
            <w:noWrap/>
            <w:vAlign w:val="center"/>
            <w:hideMark/>
          </w:tcPr>
          <w:p w:rsidR="0093402A" w:rsidRPr="0093402A" w:rsidRDefault="0093402A">
            <w:pPr>
              <w:jc w:val="center"/>
              <w:rPr>
                <w:rFonts w:ascii="Calibri" w:hAnsi="Calibri" w:cs="Calibri"/>
                <w:b/>
                <w:bCs/>
                <w:sz w:val="16"/>
                <w:szCs w:val="16"/>
              </w:rPr>
            </w:pPr>
            <w:r w:rsidRPr="0093402A">
              <w:rPr>
                <w:rFonts w:ascii="Calibri" w:hAnsi="Calibri" w:cs="Calibri"/>
                <w:b/>
                <w:bCs/>
                <w:sz w:val="16"/>
                <w:szCs w:val="16"/>
              </w:rPr>
              <w:t>Příspěvková organizace</w:t>
            </w:r>
          </w:p>
        </w:tc>
        <w:tc>
          <w:tcPr>
            <w:tcW w:w="6096" w:type="dxa"/>
            <w:gridSpan w:val="6"/>
            <w:tcBorders>
              <w:top w:val="single" w:sz="4" w:space="0" w:color="auto"/>
              <w:left w:val="nil"/>
              <w:bottom w:val="single" w:sz="4" w:space="0" w:color="auto"/>
              <w:right w:val="single" w:sz="4" w:space="0" w:color="auto"/>
            </w:tcBorders>
            <w:shd w:val="clear" w:color="92D050" w:fill="D9E1F2"/>
            <w:noWrap/>
            <w:vAlign w:val="center"/>
            <w:hideMark/>
          </w:tcPr>
          <w:p w:rsidR="0093402A" w:rsidRPr="0093402A" w:rsidRDefault="0093402A">
            <w:pPr>
              <w:jc w:val="center"/>
              <w:rPr>
                <w:rFonts w:ascii="Calibri" w:hAnsi="Calibri" w:cs="Calibri"/>
                <w:b/>
                <w:bCs/>
                <w:sz w:val="16"/>
                <w:szCs w:val="16"/>
              </w:rPr>
            </w:pPr>
            <w:r w:rsidRPr="0093402A">
              <w:rPr>
                <w:rFonts w:ascii="Calibri" w:hAnsi="Calibri" w:cs="Calibri"/>
                <w:b/>
                <w:bCs/>
                <w:sz w:val="16"/>
                <w:szCs w:val="16"/>
              </w:rPr>
              <w:t>Stav fondů organizace k 31. 12. 2022</w:t>
            </w:r>
          </w:p>
        </w:tc>
      </w:tr>
      <w:tr w:rsidR="006B034C" w:rsidRPr="0093402A" w:rsidTr="006B034C">
        <w:trPr>
          <w:trHeight w:val="266"/>
        </w:trPr>
        <w:tc>
          <w:tcPr>
            <w:tcW w:w="3397" w:type="dxa"/>
            <w:vMerge/>
            <w:tcBorders>
              <w:top w:val="single" w:sz="4" w:space="0" w:color="auto"/>
              <w:left w:val="single" w:sz="4" w:space="0" w:color="auto"/>
              <w:bottom w:val="single" w:sz="4" w:space="0" w:color="auto"/>
              <w:right w:val="single" w:sz="4" w:space="0" w:color="auto"/>
            </w:tcBorders>
            <w:vAlign w:val="center"/>
            <w:hideMark/>
          </w:tcPr>
          <w:p w:rsidR="0093402A" w:rsidRPr="0093402A" w:rsidRDefault="0093402A">
            <w:pPr>
              <w:rPr>
                <w:rFonts w:ascii="Calibri" w:hAnsi="Calibri" w:cs="Calibri"/>
                <w:b/>
                <w:bCs/>
                <w:sz w:val="16"/>
                <w:szCs w:val="16"/>
              </w:rPr>
            </w:pPr>
          </w:p>
        </w:tc>
        <w:tc>
          <w:tcPr>
            <w:tcW w:w="993" w:type="dxa"/>
            <w:tcBorders>
              <w:top w:val="nil"/>
              <w:left w:val="nil"/>
              <w:bottom w:val="single" w:sz="4" w:space="0" w:color="auto"/>
              <w:right w:val="single" w:sz="4" w:space="0" w:color="auto"/>
            </w:tcBorders>
            <w:shd w:val="clear" w:color="92D050" w:fill="D9E1F2"/>
            <w:vAlign w:val="center"/>
            <w:hideMark/>
          </w:tcPr>
          <w:p w:rsidR="0093402A" w:rsidRPr="0093402A" w:rsidRDefault="0093402A">
            <w:pPr>
              <w:jc w:val="center"/>
              <w:rPr>
                <w:rFonts w:ascii="Calibri" w:hAnsi="Calibri" w:cs="Calibri"/>
                <w:b/>
                <w:bCs/>
                <w:sz w:val="16"/>
                <w:szCs w:val="16"/>
              </w:rPr>
            </w:pPr>
            <w:r w:rsidRPr="0093402A">
              <w:rPr>
                <w:rFonts w:ascii="Calibri" w:hAnsi="Calibri" w:cs="Calibri"/>
                <w:b/>
                <w:bCs/>
                <w:sz w:val="16"/>
                <w:szCs w:val="16"/>
              </w:rPr>
              <w:t>Fond odměn</w:t>
            </w:r>
          </w:p>
        </w:tc>
        <w:tc>
          <w:tcPr>
            <w:tcW w:w="992" w:type="dxa"/>
            <w:tcBorders>
              <w:top w:val="nil"/>
              <w:left w:val="nil"/>
              <w:bottom w:val="single" w:sz="4" w:space="0" w:color="auto"/>
              <w:right w:val="single" w:sz="4" w:space="0" w:color="auto"/>
            </w:tcBorders>
            <w:shd w:val="clear" w:color="92D050" w:fill="D9E1F2"/>
            <w:vAlign w:val="center"/>
            <w:hideMark/>
          </w:tcPr>
          <w:p w:rsidR="0093402A" w:rsidRPr="0093402A" w:rsidRDefault="0093402A">
            <w:pPr>
              <w:jc w:val="center"/>
              <w:rPr>
                <w:rFonts w:ascii="Calibri" w:hAnsi="Calibri" w:cs="Calibri"/>
                <w:b/>
                <w:bCs/>
                <w:sz w:val="16"/>
                <w:szCs w:val="16"/>
              </w:rPr>
            </w:pPr>
            <w:r w:rsidRPr="0093402A">
              <w:rPr>
                <w:rFonts w:ascii="Calibri" w:hAnsi="Calibri" w:cs="Calibri"/>
                <w:b/>
                <w:bCs/>
                <w:sz w:val="16"/>
                <w:szCs w:val="16"/>
              </w:rPr>
              <w:t>FKSP</w:t>
            </w:r>
          </w:p>
        </w:tc>
        <w:tc>
          <w:tcPr>
            <w:tcW w:w="992" w:type="dxa"/>
            <w:tcBorders>
              <w:top w:val="nil"/>
              <w:left w:val="nil"/>
              <w:bottom w:val="single" w:sz="4" w:space="0" w:color="auto"/>
              <w:right w:val="single" w:sz="4" w:space="0" w:color="auto"/>
            </w:tcBorders>
            <w:shd w:val="clear" w:color="92D050" w:fill="D9E1F2"/>
            <w:vAlign w:val="center"/>
            <w:hideMark/>
          </w:tcPr>
          <w:p w:rsidR="0093402A" w:rsidRPr="0093402A" w:rsidRDefault="0093402A">
            <w:pPr>
              <w:jc w:val="center"/>
              <w:rPr>
                <w:rFonts w:ascii="Calibri" w:hAnsi="Calibri" w:cs="Calibri"/>
                <w:b/>
                <w:bCs/>
                <w:sz w:val="16"/>
                <w:szCs w:val="16"/>
              </w:rPr>
            </w:pPr>
            <w:r w:rsidRPr="0093402A">
              <w:rPr>
                <w:rFonts w:ascii="Calibri" w:hAnsi="Calibri" w:cs="Calibri"/>
                <w:b/>
                <w:bCs/>
                <w:sz w:val="16"/>
                <w:szCs w:val="16"/>
              </w:rPr>
              <w:t>Rezervní fond 413</w:t>
            </w:r>
          </w:p>
        </w:tc>
        <w:tc>
          <w:tcPr>
            <w:tcW w:w="992" w:type="dxa"/>
            <w:tcBorders>
              <w:top w:val="nil"/>
              <w:left w:val="nil"/>
              <w:bottom w:val="single" w:sz="4" w:space="0" w:color="auto"/>
              <w:right w:val="single" w:sz="4" w:space="0" w:color="auto"/>
            </w:tcBorders>
            <w:shd w:val="clear" w:color="92D050" w:fill="D9E1F2"/>
            <w:vAlign w:val="center"/>
            <w:hideMark/>
          </w:tcPr>
          <w:p w:rsidR="0093402A" w:rsidRPr="0093402A" w:rsidRDefault="0093402A">
            <w:pPr>
              <w:jc w:val="center"/>
              <w:rPr>
                <w:rFonts w:ascii="Calibri" w:hAnsi="Calibri" w:cs="Calibri"/>
                <w:b/>
                <w:bCs/>
                <w:sz w:val="16"/>
                <w:szCs w:val="16"/>
              </w:rPr>
            </w:pPr>
            <w:r w:rsidRPr="0093402A">
              <w:rPr>
                <w:rFonts w:ascii="Calibri" w:hAnsi="Calibri" w:cs="Calibri"/>
                <w:b/>
                <w:bCs/>
                <w:sz w:val="16"/>
                <w:szCs w:val="16"/>
              </w:rPr>
              <w:t>Rezervní fond 414</w:t>
            </w:r>
          </w:p>
        </w:tc>
        <w:tc>
          <w:tcPr>
            <w:tcW w:w="993" w:type="dxa"/>
            <w:tcBorders>
              <w:top w:val="nil"/>
              <w:left w:val="nil"/>
              <w:bottom w:val="single" w:sz="4" w:space="0" w:color="auto"/>
              <w:right w:val="single" w:sz="4" w:space="0" w:color="auto"/>
            </w:tcBorders>
            <w:shd w:val="clear" w:color="92D050" w:fill="D9E1F2"/>
            <w:vAlign w:val="center"/>
            <w:hideMark/>
          </w:tcPr>
          <w:p w:rsidR="0093402A" w:rsidRPr="0093402A" w:rsidRDefault="0093402A">
            <w:pPr>
              <w:jc w:val="center"/>
              <w:rPr>
                <w:rFonts w:ascii="Calibri" w:hAnsi="Calibri" w:cs="Calibri"/>
                <w:b/>
                <w:bCs/>
                <w:sz w:val="16"/>
                <w:szCs w:val="16"/>
              </w:rPr>
            </w:pPr>
            <w:r w:rsidRPr="0093402A">
              <w:rPr>
                <w:rFonts w:ascii="Calibri" w:hAnsi="Calibri" w:cs="Calibri"/>
                <w:b/>
                <w:bCs/>
                <w:sz w:val="16"/>
                <w:szCs w:val="16"/>
              </w:rPr>
              <w:t>Fond investic</w:t>
            </w:r>
          </w:p>
        </w:tc>
        <w:tc>
          <w:tcPr>
            <w:tcW w:w="1134" w:type="dxa"/>
            <w:tcBorders>
              <w:top w:val="nil"/>
              <w:left w:val="nil"/>
              <w:bottom w:val="single" w:sz="4" w:space="0" w:color="auto"/>
              <w:right w:val="single" w:sz="4" w:space="0" w:color="auto"/>
            </w:tcBorders>
            <w:shd w:val="clear" w:color="92D050" w:fill="D9E1F2"/>
            <w:vAlign w:val="center"/>
            <w:hideMark/>
          </w:tcPr>
          <w:p w:rsidR="0093402A" w:rsidRPr="0093402A" w:rsidRDefault="0093402A">
            <w:pPr>
              <w:jc w:val="center"/>
              <w:rPr>
                <w:rFonts w:ascii="Calibri" w:hAnsi="Calibri" w:cs="Calibri"/>
                <w:b/>
                <w:bCs/>
                <w:sz w:val="16"/>
                <w:szCs w:val="16"/>
              </w:rPr>
            </w:pPr>
            <w:r w:rsidRPr="0093402A">
              <w:rPr>
                <w:rFonts w:ascii="Calibri" w:hAnsi="Calibri" w:cs="Calibri"/>
                <w:b/>
                <w:bCs/>
                <w:sz w:val="16"/>
                <w:szCs w:val="16"/>
              </w:rPr>
              <w:t>FONDY CELKEM</w:t>
            </w:r>
          </w:p>
        </w:tc>
      </w:tr>
      <w:tr w:rsidR="006B034C" w:rsidRPr="0093402A" w:rsidTr="006B034C">
        <w:trPr>
          <w:trHeight w:val="266"/>
        </w:trPr>
        <w:tc>
          <w:tcPr>
            <w:tcW w:w="3397" w:type="dxa"/>
            <w:tcBorders>
              <w:top w:val="nil"/>
              <w:left w:val="single" w:sz="4" w:space="0" w:color="auto"/>
              <w:bottom w:val="single" w:sz="4" w:space="0" w:color="auto"/>
              <w:right w:val="nil"/>
            </w:tcBorders>
            <w:shd w:val="clear" w:color="auto" w:fill="auto"/>
            <w:vAlign w:val="center"/>
            <w:hideMark/>
          </w:tcPr>
          <w:p w:rsidR="0093402A" w:rsidRPr="0093402A" w:rsidRDefault="0093402A">
            <w:pPr>
              <w:jc w:val="both"/>
              <w:rPr>
                <w:rFonts w:ascii="Calibri" w:hAnsi="Calibri" w:cs="Calibri"/>
                <w:sz w:val="16"/>
                <w:szCs w:val="16"/>
              </w:rPr>
            </w:pPr>
            <w:r w:rsidRPr="0093402A">
              <w:rPr>
                <w:rFonts w:ascii="Calibri" w:hAnsi="Calibri" w:cs="Calibri"/>
                <w:sz w:val="16"/>
                <w:szCs w:val="16"/>
              </w:rPr>
              <w:t>MŠ Prostějov, Rumunská 23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68 683,38</w:t>
            </w:r>
          </w:p>
        </w:tc>
        <w:tc>
          <w:tcPr>
            <w:tcW w:w="992"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48 426,52</w:t>
            </w:r>
          </w:p>
        </w:tc>
        <w:tc>
          <w:tcPr>
            <w:tcW w:w="992"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110 117,07</w:t>
            </w:r>
          </w:p>
        </w:tc>
        <w:tc>
          <w:tcPr>
            <w:tcW w:w="992"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596 464,82</w:t>
            </w:r>
          </w:p>
        </w:tc>
        <w:tc>
          <w:tcPr>
            <w:tcW w:w="993"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145 057,00</w:t>
            </w:r>
          </w:p>
        </w:tc>
        <w:tc>
          <w:tcPr>
            <w:tcW w:w="1134"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b/>
                <w:bCs/>
                <w:color w:val="000000"/>
                <w:sz w:val="16"/>
                <w:szCs w:val="16"/>
              </w:rPr>
            </w:pPr>
            <w:r w:rsidRPr="0093402A">
              <w:rPr>
                <w:rFonts w:ascii="Calibri" w:hAnsi="Calibri" w:cs="Calibri"/>
                <w:b/>
                <w:bCs/>
                <w:color w:val="000000"/>
                <w:sz w:val="16"/>
                <w:szCs w:val="16"/>
              </w:rPr>
              <w:t>968 748,79</w:t>
            </w:r>
          </w:p>
        </w:tc>
      </w:tr>
      <w:tr w:rsidR="006B034C" w:rsidRPr="0093402A" w:rsidTr="006B034C">
        <w:trPr>
          <w:trHeight w:val="266"/>
        </w:trPr>
        <w:tc>
          <w:tcPr>
            <w:tcW w:w="3397" w:type="dxa"/>
            <w:tcBorders>
              <w:top w:val="nil"/>
              <w:left w:val="single" w:sz="4" w:space="0" w:color="auto"/>
              <w:bottom w:val="single" w:sz="4" w:space="0" w:color="auto"/>
              <w:right w:val="nil"/>
            </w:tcBorders>
            <w:shd w:val="clear" w:color="000000" w:fill="D9D9D9"/>
            <w:vAlign w:val="center"/>
            <w:hideMark/>
          </w:tcPr>
          <w:p w:rsidR="0093402A" w:rsidRPr="0093402A" w:rsidRDefault="0093402A">
            <w:pPr>
              <w:jc w:val="both"/>
              <w:rPr>
                <w:rFonts w:ascii="Calibri" w:hAnsi="Calibri" w:cs="Calibri"/>
                <w:sz w:val="16"/>
                <w:szCs w:val="16"/>
              </w:rPr>
            </w:pPr>
            <w:r w:rsidRPr="0093402A">
              <w:rPr>
                <w:rFonts w:ascii="Calibri" w:hAnsi="Calibri" w:cs="Calibri"/>
                <w:sz w:val="16"/>
                <w:szCs w:val="16"/>
              </w:rPr>
              <w:t>MŠ Prostějov, Šárka 4a</w:t>
            </w:r>
          </w:p>
        </w:tc>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42 245,49</w:t>
            </w:r>
          </w:p>
        </w:tc>
        <w:tc>
          <w:tcPr>
            <w:tcW w:w="992" w:type="dxa"/>
            <w:tcBorders>
              <w:top w:val="nil"/>
              <w:left w:val="nil"/>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353 000,00</w:t>
            </w:r>
          </w:p>
        </w:tc>
        <w:tc>
          <w:tcPr>
            <w:tcW w:w="992" w:type="dxa"/>
            <w:tcBorders>
              <w:top w:val="nil"/>
              <w:left w:val="nil"/>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79 181,66</w:t>
            </w:r>
          </w:p>
        </w:tc>
        <w:tc>
          <w:tcPr>
            <w:tcW w:w="992" w:type="dxa"/>
            <w:tcBorders>
              <w:top w:val="nil"/>
              <w:left w:val="nil"/>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259 768,89</w:t>
            </w:r>
          </w:p>
        </w:tc>
        <w:tc>
          <w:tcPr>
            <w:tcW w:w="993" w:type="dxa"/>
            <w:tcBorders>
              <w:top w:val="nil"/>
              <w:left w:val="nil"/>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301 159,75</w:t>
            </w:r>
          </w:p>
        </w:tc>
        <w:tc>
          <w:tcPr>
            <w:tcW w:w="1134" w:type="dxa"/>
            <w:tcBorders>
              <w:top w:val="nil"/>
              <w:left w:val="nil"/>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b/>
                <w:bCs/>
                <w:color w:val="000000"/>
                <w:sz w:val="16"/>
                <w:szCs w:val="16"/>
              </w:rPr>
            </w:pPr>
            <w:r w:rsidRPr="0093402A">
              <w:rPr>
                <w:rFonts w:ascii="Calibri" w:hAnsi="Calibri" w:cs="Calibri"/>
                <w:b/>
                <w:bCs/>
                <w:color w:val="000000"/>
                <w:sz w:val="16"/>
                <w:szCs w:val="16"/>
              </w:rPr>
              <w:t>1 035 355,79</w:t>
            </w:r>
          </w:p>
        </w:tc>
      </w:tr>
      <w:tr w:rsidR="006B034C" w:rsidRPr="0093402A" w:rsidTr="006B034C">
        <w:trPr>
          <w:trHeight w:val="266"/>
        </w:trPr>
        <w:tc>
          <w:tcPr>
            <w:tcW w:w="3397" w:type="dxa"/>
            <w:tcBorders>
              <w:top w:val="nil"/>
              <w:left w:val="single" w:sz="4" w:space="0" w:color="auto"/>
              <w:bottom w:val="single" w:sz="4" w:space="0" w:color="auto"/>
              <w:right w:val="nil"/>
            </w:tcBorders>
            <w:shd w:val="clear" w:color="auto" w:fill="auto"/>
            <w:vAlign w:val="center"/>
            <w:hideMark/>
          </w:tcPr>
          <w:p w:rsidR="0093402A" w:rsidRPr="0093402A" w:rsidRDefault="0093402A">
            <w:pPr>
              <w:jc w:val="both"/>
              <w:rPr>
                <w:rFonts w:ascii="Calibri" w:hAnsi="Calibri" w:cs="Calibri"/>
                <w:sz w:val="16"/>
                <w:szCs w:val="16"/>
              </w:rPr>
            </w:pPr>
            <w:r w:rsidRPr="0093402A">
              <w:rPr>
                <w:rFonts w:ascii="Calibri" w:hAnsi="Calibri" w:cs="Calibri"/>
                <w:sz w:val="16"/>
                <w:szCs w:val="16"/>
              </w:rPr>
              <w:t>MŠ Prostějov, Partyzánská 34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77 310,67</w:t>
            </w:r>
          </w:p>
        </w:tc>
        <w:tc>
          <w:tcPr>
            <w:tcW w:w="992"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756 511,65</w:t>
            </w:r>
          </w:p>
        </w:tc>
        <w:tc>
          <w:tcPr>
            <w:tcW w:w="992"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391 190,90</w:t>
            </w:r>
          </w:p>
        </w:tc>
        <w:tc>
          <w:tcPr>
            <w:tcW w:w="992"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415 009,89</w:t>
            </w:r>
          </w:p>
        </w:tc>
        <w:tc>
          <w:tcPr>
            <w:tcW w:w="993"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222 879,60</w:t>
            </w:r>
          </w:p>
        </w:tc>
        <w:tc>
          <w:tcPr>
            <w:tcW w:w="1134"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b/>
                <w:bCs/>
                <w:color w:val="000000"/>
                <w:sz w:val="16"/>
                <w:szCs w:val="16"/>
              </w:rPr>
            </w:pPr>
            <w:r w:rsidRPr="0093402A">
              <w:rPr>
                <w:rFonts w:ascii="Calibri" w:hAnsi="Calibri" w:cs="Calibri"/>
                <w:b/>
                <w:bCs/>
                <w:color w:val="000000"/>
                <w:sz w:val="16"/>
                <w:szCs w:val="16"/>
              </w:rPr>
              <w:t>1 862 902,71</w:t>
            </w:r>
          </w:p>
        </w:tc>
      </w:tr>
      <w:tr w:rsidR="006B034C" w:rsidRPr="0093402A" w:rsidTr="006B034C">
        <w:trPr>
          <w:trHeight w:val="266"/>
        </w:trPr>
        <w:tc>
          <w:tcPr>
            <w:tcW w:w="3397" w:type="dxa"/>
            <w:tcBorders>
              <w:top w:val="nil"/>
              <w:left w:val="single" w:sz="4" w:space="0" w:color="auto"/>
              <w:bottom w:val="single" w:sz="4" w:space="0" w:color="auto"/>
              <w:right w:val="nil"/>
            </w:tcBorders>
            <w:shd w:val="clear" w:color="000000" w:fill="D9D9D9"/>
            <w:vAlign w:val="center"/>
            <w:hideMark/>
          </w:tcPr>
          <w:p w:rsidR="0093402A" w:rsidRPr="0093402A" w:rsidRDefault="0093402A">
            <w:pPr>
              <w:jc w:val="both"/>
              <w:rPr>
                <w:rFonts w:ascii="Calibri" w:hAnsi="Calibri" w:cs="Calibri"/>
                <w:sz w:val="16"/>
                <w:szCs w:val="16"/>
              </w:rPr>
            </w:pPr>
            <w:r w:rsidRPr="0093402A">
              <w:rPr>
                <w:rFonts w:ascii="Calibri" w:hAnsi="Calibri" w:cs="Calibri"/>
                <w:sz w:val="16"/>
                <w:szCs w:val="16"/>
              </w:rPr>
              <w:t>MŠ Prostějov, Smetanova 24</w:t>
            </w:r>
          </w:p>
        </w:tc>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89 218,95</w:t>
            </w:r>
          </w:p>
        </w:tc>
        <w:tc>
          <w:tcPr>
            <w:tcW w:w="992" w:type="dxa"/>
            <w:tcBorders>
              <w:top w:val="nil"/>
              <w:left w:val="nil"/>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81 879,30</w:t>
            </w:r>
          </w:p>
        </w:tc>
        <w:tc>
          <w:tcPr>
            <w:tcW w:w="992" w:type="dxa"/>
            <w:tcBorders>
              <w:top w:val="nil"/>
              <w:left w:val="nil"/>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263 778,34</w:t>
            </w:r>
          </w:p>
        </w:tc>
        <w:tc>
          <w:tcPr>
            <w:tcW w:w="992" w:type="dxa"/>
            <w:tcBorders>
              <w:top w:val="nil"/>
              <w:left w:val="nil"/>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106 628,72</w:t>
            </w:r>
          </w:p>
        </w:tc>
        <w:tc>
          <w:tcPr>
            <w:tcW w:w="993" w:type="dxa"/>
            <w:tcBorders>
              <w:top w:val="nil"/>
              <w:left w:val="nil"/>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313 378,63</w:t>
            </w:r>
          </w:p>
        </w:tc>
        <w:tc>
          <w:tcPr>
            <w:tcW w:w="1134" w:type="dxa"/>
            <w:tcBorders>
              <w:top w:val="nil"/>
              <w:left w:val="nil"/>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b/>
                <w:bCs/>
                <w:color w:val="000000"/>
                <w:sz w:val="16"/>
                <w:szCs w:val="16"/>
              </w:rPr>
            </w:pPr>
            <w:r w:rsidRPr="0093402A">
              <w:rPr>
                <w:rFonts w:ascii="Calibri" w:hAnsi="Calibri" w:cs="Calibri"/>
                <w:b/>
                <w:bCs/>
                <w:color w:val="000000"/>
                <w:sz w:val="16"/>
                <w:szCs w:val="16"/>
              </w:rPr>
              <w:t>854 883,94</w:t>
            </w:r>
          </w:p>
        </w:tc>
      </w:tr>
      <w:tr w:rsidR="006B034C" w:rsidRPr="0093402A" w:rsidTr="006B034C">
        <w:trPr>
          <w:trHeight w:val="266"/>
        </w:trPr>
        <w:tc>
          <w:tcPr>
            <w:tcW w:w="3397" w:type="dxa"/>
            <w:tcBorders>
              <w:top w:val="nil"/>
              <w:left w:val="single" w:sz="4" w:space="0" w:color="auto"/>
              <w:bottom w:val="single" w:sz="4" w:space="0" w:color="auto"/>
              <w:right w:val="nil"/>
            </w:tcBorders>
            <w:shd w:val="clear" w:color="auto" w:fill="auto"/>
            <w:vAlign w:val="center"/>
            <w:hideMark/>
          </w:tcPr>
          <w:p w:rsidR="0093402A" w:rsidRPr="0093402A" w:rsidRDefault="0093402A">
            <w:pPr>
              <w:jc w:val="both"/>
              <w:rPr>
                <w:rFonts w:ascii="Calibri" w:hAnsi="Calibri" w:cs="Calibri"/>
                <w:sz w:val="16"/>
                <w:szCs w:val="16"/>
              </w:rPr>
            </w:pPr>
            <w:r w:rsidRPr="0093402A">
              <w:rPr>
                <w:rFonts w:ascii="Calibri" w:hAnsi="Calibri" w:cs="Calibri"/>
                <w:sz w:val="16"/>
                <w:szCs w:val="16"/>
              </w:rPr>
              <w:t>MŠ Prostějov, Moravská 30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80 000,00</w:t>
            </w:r>
          </w:p>
        </w:tc>
        <w:tc>
          <w:tcPr>
            <w:tcW w:w="992"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135 265,02</w:t>
            </w:r>
          </w:p>
        </w:tc>
        <w:tc>
          <w:tcPr>
            <w:tcW w:w="992"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322 507,34</w:t>
            </w:r>
          </w:p>
        </w:tc>
        <w:tc>
          <w:tcPr>
            <w:tcW w:w="992"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174 668,23</w:t>
            </w:r>
          </w:p>
        </w:tc>
        <w:tc>
          <w:tcPr>
            <w:tcW w:w="993"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492 460,00</w:t>
            </w:r>
          </w:p>
        </w:tc>
        <w:tc>
          <w:tcPr>
            <w:tcW w:w="1134"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b/>
                <w:bCs/>
                <w:color w:val="000000"/>
                <w:sz w:val="16"/>
                <w:szCs w:val="16"/>
              </w:rPr>
            </w:pPr>
            <w:r w:rsidRPr="0093402A">
              <w:rPr>
                <w:rFonts w:ascii="Calibri" w:hAnsi="Calibri" w:cs="Calibri"/>
                <w:b/>
                <w:bCs/>
                <w:color w:val="000000"/>
                <w:sz w:val="16"/>
                <w:szCs w:val="16"/>
              </w:rPr>
              <w:t>1 204 900,59</w:t>
            </w:r>
          </w:p>
        </w:tc>
      </w:tr>
      <w:tr w:rsidR="006B034C" w:rsidRPr="0093402A" w:rsidTr="006B034C">
        <w:trPr>
          <w:trHeight w:val="266"/>
        </w:trPr>
        <w:tc>
          <w:tcPr>
            <w:tcW w:w="3397" w:type="dxa"/>
            <w:tcBorders>
              <w:top w:val="nil"/>
              <w:left w:val="single" w:sz="4" w:space="0" w:color="auto"/>
              <w:bottom w:val="single" w:sz="4" w:space="0" w:color="auto"/>
              <w:right w:val="nil"/>
            </w:tcBorders>
            <w:shd w:val="clear" w:color="000000" w:fill="D9D9D9"/>
            <w:vAlign w:val="center"/>
            <w:hideMark/>
          </w:tcPr>
          <w:p w:rsidR="0093402A" w:rsidRPr="0093402A" w:rsidRDefault="0093402A">
            <w:pPr>
              <w:jc w:val="both"/>
              <w:rPr>
                <w:rFonts w:ascii="Calibri" w:hAnsi="Calibri" w:cs="Calibri"/>
                <w:sz w:val="16"/>
                <w:szCs w:val="16"/>
              </w:rPr>
            </w:pPr>
            <w:r w:rsidRPr="0093402A">
              <w:rPr>
                <w:rFonts w:ascii="Calibri" w:hAnsi="Calibri" w:cs="Calibri"/>
                <w:sz w:val="16"/>
                <w:szCs w:val="16"/>
              </w:rPr>
              <w:t>ZŠ a MŠ Prostějov, Palackého tř. 14</w:t>
            </w:r>
          </w:p>
        </w:tc>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59 366,12</w:t>
            </w:r>
          </w:p>
        </w:tc>
        <w:tc>
          <w:tcPr>
            <w:tcW w:w="992" w:type="dxa"/>
            <w:tcBorders>
              <w:top w:val="nil"/>
              <w:left w:val="nil"/>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965 537,81</w:t>
            </w:r>
          </w:p>
        </w:tc>
        <w:tc>
          <w:tcPr>
            <w:tcW w:w="992" w:type="dxa"/>
            <w:tcBorders>
              <w:top w:val="nil"/>
              <w:left w:val="nil"/>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93 115,42</w:t>
            </w:r>
          </w:p>
        </w:tc>
        <w:tc>
          <w:tcPr>
            <w:tcW w:w="992" w:type="dxa"/>
            <w:tcBorders>
              <w:top w:val="nil"/>
              <w:left w:val="nil"/>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617 653,82</w:t>
            </w:r>
          </w:p>
        </w:tc>
        <w:tc>
          <w:tcPr>
            <w:tcW w:w="993" w:type="dxa"/>
            <w:tcBorders>
              <w:top w:val="nil"/>
              <w:left w:val="nil"/>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299 289,73</w:t>
            </w:r>
          </w:p>
        </w:tc>
        <w:tc>
          <w:tcPr>
            <w:tcW w:w="1134" w:type="dxa"/>
            <w:tcBorders>
              <w:top w:val="nil"/>
              <w:left w:val="nil"/>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b/>
                <w:bCs/>
                <w:color w:val="000000"/>
                <w:sz w:val="16"/>
                <w:szCs w:val="16"/>
              </w:rPr>
            </w:pPr>
            <w:r w:rsidRPr="0093402A">
              <w:rPr>
                <w:rFonts w:ascii="Calibri" w:hAnsi="Calibri" w:cs="Calibri"/>
                <w:b/>
                <w:bCs/>
                <w:color w:val="000000"/>
                <w:sz w:val="16"/>
                <w:szCs w:val="16"/>
              </w:rPr>
              <w:t>2 034 962,90</w:t>
            </w:r>
          </w:p>
        </w:tc>
      </w:tr>
      <w:tr w:rsidR="006B034C" w:rsidRPr="0093402A" w:rsidTr="006B034C">
        <w:trPr>
          <w:trHeight w:val="266"/>
        </w:trPr>
        <w:tc>
          <w:tcPr>
            <w:tcW w:w="3397" w:type="dxa"/>
            <w:tcBorders>
              <w:top w:val="nil"/>
              <w:left w:val="single" w:sz="4" w:space="0" w:color="auto"/>
              <w:bottom w:val="single" w:sz="4" w:space="0" w:color="auto"/>
              <w:right w:val="nil"/>
            </w:tcBorders>
            <w:shd w:val="clear" w:color="auto" w:fill="auto"/>
            <w:vAlign w:val="center"/>
            <w:hideMark/>
          </w:tcPr>
          <w:p w:rsidR="0093402A" w:rsidRPr="0093402A" w:rsidRDefault="0093402A">
            <w:pPr>
              <w:jc w:val="both"/>
              <w:rPr>
                <w:rFonts w:ascii="Calibri" w:hAnsi="Calibri" w:cs="Calibri"/>
                <w:sz w:val="16"/>
                <w:szCs w:val="16"/>
              </w:rPr>
            </w:pPr>
            <w:r w:rsidRPr="0093402A">
              <w:rPr>
                <w:rFonts w:ascii="Calibri" w:hAnsi="Calibri" w:cs="Calibri"/>
                <w:sz w:val="16"/>
                <w:szCs w:val="16"/>
              </w:rPr>
              <w:t>ZŠ a MŠ Prostějov, Kollárova ul. 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53 035,15</w:t>
            </w:r>
          </w:p>
        </w:tc>
        <w:tc>
          <w:tcPr>
            <w:tcW w:w="992"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837 058,58</w:t>
            </w:r>
          </w:p>
        </w:tc>
        <w:tc>
          <w:tcPr>
            <w:tcW w:w="992"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285 604,05</w:t>
            </w:r>
          </w:p>
        </w:tc>
        <w:tc>
          <w:tcPr>
            <w:tcW w:w="992"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396 511,37</w:t>
            </w:r>
          </w:p>
        </w:tc>
        <w:tc>
          <w:tcPr>
            <w:tcW w:w="993"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55 013,07</w:t>
            </w:r>
          </w:p>
        </w:tc>
        <w:tc>
          <w:tcPr>
            <w:tcW w:w="1134"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b/>
                <w:bCs/>
                <w:color w:val="000000"/>
                <w:sz w:val="16"/>
                <w:szCs w:val="16"/>
              </w:rPr>
            </w:pPr>
            <w:r w:rsidRPr="0093402A">
              <w:rPr>
                <w:rFonts w:ascii="Calibri" w:hAnsi="Calibri" w:cs="Calibri"/>
                <w:b/>
                <w:bCs/>
                <w:color w:val="000000"/>
                <w:sz w:val="16"/>
                <w:szCs w:val="16"/>
              </w:rPr>
              <w:t>1 627 222,22</w:t>
            </w:r>
          </w:p>
        </w:tc>
      </w:tr>
      <w:tr w:rsidR="006B034C" w:rsidRPr="0093402A" w:rsidTr="006B034C">
        <w:trPr>
          <w:trHeight w:val="266"/>
        </w:trPr>
        <w:tc>
          <w:tcPr>
            <w:tcW w:w="3397" w:type="dxa"/>
            <w:tcBorders>
              <w:top w:val="nil"/>
              <w:left w:val="single" w:sz="4" w:space="0" w:color="auto"/>
              <w:bottom w:val="single" w:sz="4" w:space="0" w:color="auto"/>
              <w:right w:val="nil"/>
            </w:tcBorders>
            <w:shd w:val="clear" w:color="000000" w:fill="D9D9D9"/>
            <w:vAlign w:val="center"/>
            <w:hideMark/>
          </w:tcPr>
          <w:p w:rsidR="0093402A" w:rsidRPr="0093402A" w:rsidRDefault="0093402A">
            <w:pPr>
              <w:jc w:val="both"/>
              <w:rPr>
                <w:rFonts w:ascii="Calibri" w:hAnsi="Calibri" w:cs="Calibri"/>
                <w:sz w:val="16"/>
                <w:szCs w:val="16"/>
              </w:rPr>
            </w:pPr>
            <w:r w:rsidRPr="0093402A">
              <w:rPr>
                <w:rFonts w:ascii="Calibri" w:hAnsi="Calibri" w:cs="Calibri"/>
                <w:sz w:val="16"/>
                <w:szCs w:val="16"/>
              </w:rPr>
              <w:t>ZŠ a MŠ Jana Železného Prostějov</w:t>
            </w:r>
          </w:p>
        </w:tc>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96 287,00</w:t>
            </w:r>
          </w:p>
        </w:tc>
        <w:tc>
          <w:tcPr>
            <w:tcW w:w="992" w:type="dxa"/>
            <w:tcBorders>
              <w:top w:val="nil"/>
              <w:left w:val="nil"/>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2 326 490,17</w:t>
            </w:r>
          </w:p>
        </w:tc>
        <w:tc>
          <w:tcPr>
            <w:tcW w:w="992" w:type="dxa"/>
            <w:tcBorders>
              <w:top w:val="nil"/>
              <w:left w:val="nil"/>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181 596,92</w:t>
            </w:r>
          </w:p>
        </w:tc>
        <w:tc>
          <w:tcPr>
            <w:tcW w:w="992" w:type="dxa"/>
            <w:tcBorders>
              <w:top w:val="nil"/>
              <w:left w:val="nil"/>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736 370,00</w:t>
            </w:r>
          </w:p>
        </w:tc>
        <w:tc>
          <w:tcPr>
            <w:tcW w:w="993" w:type="dxa"/>
            <w:tcBorders>
              <w:top w:val="nil"/>
              <w:left w:val="nil"/>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150 399,34</w:t>
            </w:r>
          </w:p>
        </w:tc>
        <w:tc>
          <w:tcPr>
            <w:tcW w:w="1134" w:type="dxa"/>
            <w:tcBorders>
              <w:top w:val="nil"/>
              <w:left w:val="nil"/>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b/>
                <w:bCs/>
                <w:color w:val="000000"/>
                <w:sz w:val="16"/>
                <w:szCs w:val="16"/>
              </w:rPr>
            </w:pPr>
            <w:r w:rsidRPr="0093402A">
              <w:rPr>
                <w:rFonts w:ascii="Calibri" w:hAnsi="Calibri" w:cs="Calibri"/>
                <w:b/>
                <w:bCs/>
                <w:color w:val="000000"/>
                <w:sz w:val="16"/>
                <w:szCs w:val="16"/>
              </w:rPr>
              <w:t>3 491 143,43</w:t>
            </w:r>
          </w:p>
        </w:tc>
      </w:tr>
      <w:tr w:rsidR="006B034C" w:rsidRPr="0093402A" w:rsidTr="006B034C">
        <w:trPr>
          <w:trHeight w:val="266"/>
        </w:trPr>
        <w:tc>
          <w:tcPr>
            <w:tcW w:w="3397" w:type="dxa"/>
            <w:tcBorders>
              <w:top w:val="nil"/>
              <w:left w:val="single" w:sz="4" w:space="0" w:color="auto"/>
              <w:bottom w:val="single" w:sz="4" w:space="0" w:color="auto"/>
              <w:right w:val="nil"/>
            </w:tcBorders>
            <w:shd w:val="clear" w:color="auto" w:fill="auto"/>
            <w:vAlign w:val="center"/>
            <w:hideMark/>
          </w:tcPr>
          <w:p w:rsidR="0093402A" w:rsidRPr="0093402A" w:rsidRDefault="0093402A">
            <w:pPr>
              <w:jc w:val="both"/>
              <w:rPr>
                <w:rFonts w:ascii="Calibri" w:hAnsi="Calibri" w:cs="Calibri"/>
                <w:sz w:val="16"/>
                <w:szCs w:val="16"/>
              </w:rPr>
            </w:pPr>
            <w:r w:rsidRPr="0093402A">
              <w:rPr>
                <w:rFonts w:ascii="Calibri" w:hAnsi="Calibri" w:cs="Calibri"/>
                <w:sz w:val="16"/>
                <w:szCs w:val="16"/>
              </w:rPr>
              <w:t>ZŠ a MŠ Prostějov, Melantrichova ul. 60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40 163,72</w:t>
            </w:r>
          </w:p>
        </w:tc>
        <w:tc>
          <w:tcPr>
            <w:tcW w:w="992"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641 801,60</w:t>
            </w:r>
          </w:p>
        </w:tc>
        <w:tc>
          <w:tcPr>
            <w:tcW w:w="992"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62 490,93</w:t>
            </w:r>
          </w:p>
        </w:tc>
        <w:tc>
          <w:tcPr>
            <w:tcW w:w="992"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459 317,33</w:t>
            </w:r>
          </w:p>
        </w:tc>
        <w:tc>
          <w:tcPr>
            <w:tcW w:w="993"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239 506,94</w:t>
            </w:r>
          </w:p>
        </w:tc>
        <w:tc>
          <w:tcPr>
            <w:tcW w:w="1134"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b/>
                <w:bCs/>
                <w:color w:val="000000"/>
                <w:sz w:val="16"/>
                <w:szCs w:val="16"/>
              </w:rPr>
            </w:pPr>
            <w:r w:rsidRPr="0093402A">
              <w:rPr>
                <w:rFonts w:ascii="Calibri" w:hAnsi="Calibri" w:cs="Calibri"/>
                <w:b/>
                <w:bCs/>
                <w:color w:val="000000"/>
                <w:sz w:val="16"/>
                <w:szCs w:val="16"/>
              </w:rPr>
              <w:t>1 443 280,52</w:t>
            </w:r>
          </w:p>
        </w:tc>
      </w:tr>
      <w:tr w:rsidR="006B034C" w:rsidRPr="0093402A" w:rsidTr="006B034C">
        <w:trPr>
          <w:trHeight w:val="266"/>
        </w:trPr>
        <w:tc>
          <w:tcPr>
            <w:tcW w:w="3397" w:type="dxa"/>
            <w:tcBorders>
              <w:top w:val="nil"/>
              <w:left w:val="single" w:sz="4" w:space="0" w:color="auto"/>
              <w:bottom w:val="single" w:sz="4" w:space="0" w:color="auto"/>
              <w:right w:val="nil"/>
            </w:tcBorders>
            <w:shd w:val="clear" w:color="000000" w:fill="D9D9D9"/>
            <w:vAlign w:val="center"/>
            <w:hideMark/>
          </w:tcPr>
          <w:p w:rsidR="0093402A" w:rsidRPr="0093402A" w:rsidRDefault="0093402A">
            <w:pPr>
              <w:jc w:val="both"/>
              <w:rPr>
                <w:rFonts w:ascii="Calibri" w:hAnsi="Calibri" w:cs="Calibri"/>
                <w:sz w:val="16"/>
                <w:szCs w:val="16"/>
              </w:rPr>
            </w:pPr>
            <w:r w:rsidRPr="0093402A">
              <w:rPr>
                <w:rFonts w:ascii="Calibri" w:hAnsi="Calibri" w:cs="Calibri"/>
                <w:sz w:val="16"/>
                <w:szCs w:val="16"/>
              </w:rPr>
              <w:t>ZŠ Prostějov, ul. Vl. Majakovského 1</w:t>
            </w:r>
          </w:p>
        </w:tc>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30 735,98</w:t>
            </w:r>
          </w:p>
        </w:tc>
        <w:tc>
          <w:tcPr>
            <w:tcW w:w="992" w:type="dxa"/>
            <w:tcBorders>
              <w:top w:val="nil"/>
              <w:left w:val="nil"/>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562 235,19</w:t>
            </w:r>
          </w:p>
        </w:tc>
        <w:tc>
          <w:tcPr>
            <w:tcW w:w="992" w:type="dxa"/>
            <w:tcBorders>
              <w:top w:val="nil"/>
              <w:left w:val="nil"/>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183 314,95</w:t>
            </w:r>
          </w:p>
        </w:tc>
        <w:tc>
          <w:tcPr>
            <w:tcW w:w="992" w:type="dxa"/>
            <w:tcBorders>
              <w:top w:val="nil"/>
              <w:left w:val="nil"/>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169 522,27</w:t>
            </w:r>
          </w:p>
        </w:tc>
        <w:tc>
          <w:tcPr>
            <w:tcW w:w="993" w:type="dxa"/>
            <w:tcBorders>
              <w:top w:val="nil"/>
              <w:left w:val="nil"/>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46 950,80</w:t>
            </w:r>
          </w:p>
        </w:tc>
        <w:tc>
          <w:tcPr>
            <w:tcW w:w="1134" w:type="dxa"/>
            <w:tcBorders>
              <w:top w:val="nil"/>
              <w:left w:val="nil"/>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b/>
                <w:bCs/>
                <w:color w:val="000000"/>
                <w:sz w:val="16"/>
                <w:szCs w:val="16"/>
              </w:rPr>
            </w:pPr>
            <w:r w:rsidRPr="0093402A">
              <w:rPr>
                <w:rFonts w:ascii="Calibri" w:hAnsi="Calibri" w:cs="Calibri"/>
                <w:b/>
                <w:bCs/>
                <w:color w:val="000000"/>
                <w:sz w:val="16"/>
                <w:szCs w:val="16"/>
              </w:rPr>
              <w:t>992 759,19</w:t>
            </w:r>
          </w:p>
        </w:tc>
      </w:tr>
      <w:tr w:rsidR="006B034C" w:rsidRPr="0093402A" w:rsidTr="006B034C">
        <w:trPr>
          <w:trHeight w:val="266"/>
        </w:trPr>
        <w:tc>
          <w:tcPr>
            <w:tcW w:w="3397" w:type="dxa"/>
            <w:tcBorders>
              <w:top w:val="nil"/>
              <w:left w:val="single" w:sz="4" w:space="0" w:color="auto"/>
              <w:bottom w:val="single" w:sz="4" w:space="0" w:color="auto"/>
              <w:right w:val="nil"/>
            </w:tcBorders>
            <w:shd w:val="clear" w:color="auto" w:fill="auto"/>
            <w:vAlign w:val="center"/>
            <w:hideMark/>
          </w:tcPr>
          <w:p w:rsidR="0093402A" w:rsidRPr="0093402A" w:rsidRDefault="0093402A">
            <w:pPr>
              <w:jc w:val="both"/>
              <w:rPr>
                <w:rFonts w:ascii="Calibri" w:hAnsi="Calibri" w:cs="Calibri"/>
                <w:sz w:val="16"/>
                <w:szCs w:val="16"/>
              </w:rPr>
            </w:pPr>
            <w:r w:rsidRPr="0093402A">
              <w:rPr>
                <w:rFonts w:ascii="Calibri" w:hAnsi="Calibri" w:cs="Calibri"/>
                <w:sz w:val="16"/>
                <w:szCs w:val="16"/>
              </w:rPr>
              <w:t>RG a ZŠ Otto Wichterleho,  Studentská ul. 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3 084,00</w:t>
            </w:r>
          </w:p>
        </w:tc>
        <w:tc>
          <w:tcPr>
            <w:tcW w:w="992"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318 559,71</w:t>
            </w:r>
          </w:p>
        </w:tc>
        <w:tc>
          <w:tcPr>
            <w:tcW w:w="992"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44 384,45</w:t>
            </w:r>
          </w:p>
        </w:tc>
        <w:tc>
          <w:tcPr>
            <w:tcW w:w="992"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388 106,01</w:t>
            </w:r>
          </w:p>
        </w:tc>
        <w:tc>
          <w:tcPr>
            <w:tcW w:w="993"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917 582,57</w:t>
            </w:r>
          </w:p>
        </w:tc>
        <w:tc>
          <w:tcPr>
            <w:tcW w:w="1134"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b/>
                <w:bCs/>
                <w:color w:val="000000"/>
                <w:sz w:val="16"/>
                <w:szCs w:val="16"/>
              </w:rPr>
            </w:pPr>
            <w:r w:rsidRPr="0093402A">
              <w:rPr>
                <w:rFonts w:ascii="Calibri" w:hAnsi="Calibri" w:cs="Calibri"/>
                <w:b/>
                <w:bCs/>
                <w:color w:val="000000"/>
                <w:sz w:val="16"/>
                <w:szCs w:val="16"/>
              </w:rPr>
              <w:t>1 671 716,74</w:t>
            </w:r>
          </w:p>
        </w:tc>
      </w:tr>
      <w:tr w:rsidR="006B034C" w:rsidRPr="0093402A" w:rsidTr="006B034C">
        <w:trPr>
          <w:trHeight w:val="266"/>
        </w:trPr>
        <w:tc>
          <w:tcPr>
            <w:tcW w:w="3397" w:type="dxa"/>
            <w:tcBorders>
              <w:top w:val="nil"/>
              <w:left w:val="single" w:sz="4" w:space="0" w:color="auto"/>
              <w:bottom w:val="single" w:sz="4" w:space="0" w:color="auto"/>
              <w:right w:val="nil"/>
            </w:tcBorders>
            <w:shd w:val="clear" w:color="000000" w:fill="D9D9D9"/>
            <w:vAlign w:val="center"/>
            <w:hideMark/>
          </w:tcPr>
          <w:p w:rsidR="0093402A" w:rsidRPr="0093402A" w:rsidRDefault="0093402A">
            <w:pPr>
              <w:jc w:val="both"/>
              <w:rPr>
                <w:rFonts w:ascii="Calibri" w:hAnsi="Calibri" w:cs="Calibri"/>
                <w:sz w:val="16"/>
                <w:szCs w:val="16"/>
              </w:rPr>
            </w:pPr>
            <w:r w:rsidRPr="0093402A">
              <w:rPr>
                <w:rFonts w:ascii="Calibri" w:hAnsi="Calibri" w:cs="Calibri"/>
                <w:sz w:val="16"/>
                <w:szCs w:val="16"/>
              </w:rPr>
              <w:t>ZŠ Prostějov, ul. Dr. Horáka 24</w:t>
            </w:r>
          </w:p>
        </w:tc>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7 183,60</w:t>
            </w:r>
          </w:p>
        </w:tc>
        <w:tc>
          <w:tcPr>
            <w:tcW w:w="992" w:type="dxa"/>
            <w:tcBorders>
              <w:top w:val="nil"/>
              <w:left w:val="nil"/>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344 018,20</w:t>
            </w:r>
          </w:p>
        </w:tc>
        <w:tc>
          <w:tcPr>
            <w:tcW w:w="992" w:type="dxa"/>
            <w:tcBorders>
              <w:top w:val="nil"/>
              <w:left w:val="nil"/>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65 629,37</w:t>
            </w:r>
          </w:p>
        </w:tc>
        <w:tc>
          <w:tcPr>
            <w:tcW w:w="992" w:type="dxa"/>
            <w:tcBorders>
              <w:top w:val="nil"/>
              <w:left w:val="nil"/>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3 489 348,27</w:t>
            </w:r>
          </w:p>
        </w:tc>
        <w:tc>
          <w:tcPr>
            <w:tcW w:w="993" w:type="dxa"/>
            <w:tcBorders>
              <w:top w:val="nil"/>
              <w:left w:val="nil"/>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1 097 558,46</w:t>
            </w:r>
          </w:p>
        </w:tc>
        <w:tc>
          <w:tcPr>
            <w:tcW w:w="1134" w:type="dxa"/>
            <w:tcBorders>
              <w:top w:val="nil"/>
              <w:left w:val="nil"/>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b/>
                <w:bCs/>
                <w:color w:val="000000"/>
                <w:sz w:val="16"/>
                <w:szCs w:val="16"/>
              </w:rPr>
            </w:pPr>
            <w:r w:rsidRPr="0093402A">
              <w:rPr>
                <w:rFonts w:ascii="Calibri" w:hAnsi="Calibri" w:cs="Calibri"/>
                <w:b/>
                <w:bCs/>
                <w:color w:val="000000"/>
                <w:sz w:val="16"/>
                <w:szCs w:val="16"/>
              </w:rPr>
              <w:t>5 003 737,90</w:t>
            </w:r>
          </w:p>
        </w:tc>
      </w:tr>
      <w:tr w:rsidR="006B034C" w:rsidRPr="0093402A" w:rsidTr="006B034C">
        <w:trPr>
          <w:trHeight w:val="266"/>
        </w:trPr>
        <w:tc>
          <w:tcPr>
            <w:tcW w:w="3397" w:type="dxa"/>
            <w:tcBorders>
              <w:top w:val="nil"/>
              <w:left w:val="single" w:sz="4" w:space="0" w:color="auto"/>
              <w:bottom w:val="single" w:sz="4" w:space="0" w:color="auto"/>
              <w:right w:val="nil"/>
            </w:tcBorders>
            <w:shd w:val="clear" w:color="auto" w:fill="auto"/>
            <w:vAlign w:val="center"/>
            <w:hideMark/>
          </w:tcPr>
          <w:p w:rsidR="0093402A" w:rsidRPr="0093402A" w:rsidRDefault="0093402A">
            <w:pPr>
              <w:jc w:val="both"/>
              <w:rPr>
                <w:rFonts w:ascii="Calibri" w:hAnsi="Calibri" w:cs="Calibri"/>
                <w:sz w:val="16"/>
                <w:szCs w:val="16"/>
              </w:rPr>
            </w:pPr>
            <w:r w:rsidRPr="0093402A">
              <w:rPr>
                <w:rFonts w:ascii="Calibri" w:hAnsi="Calibri" w:cs="Calibri"/>
                <w:sz w:val="16"/>
                <w:szCs w:val="16"/>
              </w:rPr>
              <w:t>ZŠ Prostějov, ul. E. Valenty 52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35 600,78</w:t>
            </w:r>
          </w:p>
        </w:tc>
        <w:tc>
          <w:tcPr>
            <w:tcW w:w="992"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357 162,63</w:t>
            </w:r>
          </w:p>
        </w:tc>
        <w:tc>
          <w:tcPr>
            <w:tcW w:w="992"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93 875,92</w:t>
            </w:r>
          </w:p>
        </w:tc>
        <w:tc>
          <w:tcPr>
            <w:tcW w:w="992"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545 953,95</w:t>
            </w:r>
          </w:p>
        </w:tc>
        <w:tc>
          <w:tcPr>
            <w:tcW w:w="993"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111 237,80</w:t>
            </w:r>
          </w:p>
        </w:tc>
        <w:tc>
          <w:tcPr>
            <w:tcW w:w="1134"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b/>
                <w:bCs/>
                <w:color w:val="000000"/>
                <w:sz w:val="16"/>
                <w:szCs w:val="16"/>
              </w:rPr>
            </w:pPr>
            <w:r w:rsidRPr="0093402A">
              <w:rPr>
                <w:rFonts w:ascii="Calibri" w:hAnsi="Calibri" w:cs="Calibri"/>
                <w:b/>
                <w:bCs/>
                <w:color w:val="000000"/>
                <w:sz w:val="16"/>
                <w:szCs w:val="16"/>
              </w:rPr>
              <w:t>1 143 831,08</w:t>
            </w:r>
          </w:p>
        </w:tc>
      </w:tr>
      <w:tr w:rsidR="006B034C" w:rsidRPr="0093402A" w:rsidTr="006B034C">
        <w:trPr>
          <w:trHeight w:val="266"/>
        </w:trPr>
        <w:tc>
          <w:tcPr>
            <w:tcW w:w="3397" w:type="dxa"/>
            <w:tcBorders>
              <w:top w:val="nil"/>
              <w:left w:val="single" w:sz="4" w:space="0" w:color="auto"/>
              <w:bottom w:val="single" w:sz="4" w:space="0" w:color="auto"/>
              <w:right w:val="nil"/>
            </w:tcBorders>
            <w:shd w:val="clear" w:color="000000" w:fill="D9D9D9"/>
            <w:vAlign w:val="center"/>
            <w:hideMark/>
          </w:tcPr>
          <w:p w:rsidR="0093402A" w:rsidRPr="0093402A" w:rsidRDefault="0093402A">
            <w:pPr>
              <w:jc w:val="both"/>
              <w:rPr>
                <w:rFonts w:ascii="Calibri" w:hAnsi="Calibri" w:cs="Calibri"/>
                <w:sz w:val="16"/>
                <w:szCs w:val="16"/>
              </w:rPr>
            </w:pPr>
            <w:r w:rsidRPr="0093402A">
              <w:rPr>
                <w:rFonts w:ascii="Calibri" w:hAnsi="Calibri" w:cs="Calibri"/>
                <w:sz w:val="16"/>
                <w:szCs w:val="16"/>
              </w:rPr>
              <w:t>Sportcentrum DDM, Prostějov</w:t>
            </w:r>
          </w:p>
        </w:tc>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60 426,61</w:t>
            </w:r>
          </w:p>
        </w:tc>
        <w:tc>
          <w:tcPr>
            <w:tcW w:w="992" w:type="dxa"/>
            <w:tcBorders>
              <w:top w:val="nil"/>
              <w:left w:val="nil"/>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155 588,86</w:t>
            </w:r>
          </w:p>
        </w:tc>
        <w:tc>
          <w:tcPr>
            <w:tcW w:w="992" w:type="dxa"/>
            <w:tcBorders>
              <w:top w:val="nil"/>
              <w:left w:val="nil"/>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201 435,41</w:t>
            </w:r>
          </w:p>
        </w:tc>
        <w:tc>
          <w:tcPr>
            <w:tcW w:w="992" w:type="dxa"/>
            <w:tcBorders>
              <w:top w:val="nil"/>
              <w:left w:val="nil"/>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441,99</w:t>
            </w:r>
          </w:p>
        </w:tc>
        <w:tc>
          <w:tcPr>
            <w:tcW w:w="993" w:type="dxa"/>
            <w:tcBorders>
              <w:top w:val="nil"/>
              <w:left w:val="nil"/>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2 767 298,76</w:t>
            </w:r>
          </w:p>
        </w:tc>
        <w:tc>
          <w:tcPr>
            <w:tcW w:w="1134" w:type="dxa"/>
            <w:tcBorders>
              <w:top w:val="nil"/>
              <w:left w:val="nil"/>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b/>
                <w:bCs/>
                <w:color w:val="000000"/>
                <w:sz w:val="16"/>
                <w:szCs w:val="16"/>
              </w:rPr>
            </w:pPr>
            <w:r w:rsidRPr="0093402A">
              <w:rPr>
                <w:rFonts w:ascii="Calibri" w:hAnsi="Calibri" w:cs="Calibri"/>
                <w:b/>
                <w:bCs/>
                <w:color w:val="000000"/>
                <w:sz w:val="16"/>
                <w:szCs w:val="16"/>
              </w:rPr>
              <w:t>3 185 191,63</w:t>
            </w:r>
          </w:p>
        </w:tc>
      </w:tr>
      <w:tr w:rsidR="006B034C" w:rsidRPr="0093402A" w:rsidTr="006B034C">
        <w:trPr>
          <w:trHeight w:val="266"/>
        </w:trPr>
        <w:tc>
          <w:tcPr>
            <w:tcW w:w="3397" w:type="dxa"/>
            <w:tcBorders>
              <w:top w:val="nil"/>
              <w:left w:val="single" w:sz="4" w:space="0" w:color="auto"/>
              <w:bottom w:val="single" w:sz="4" w:space="0" w:color="auto"/>
              <w:right w:val="nil"/>
            </w:tcBorders>
            <w:shd w:val="clear" w:color="auto" w:fill="auto"/>
            <w:vAlign w:val="center"/>
            <w:hideMark/>
          </w:tcPr>
          <w:p w:rsidR="0093402A" w:rsidRPr="0093402A" w:rsidRDefault="0093402A">
            <w:pPr>
              <w:jc w:val="both"/>
              <w:rPr>
                <w:rFonts w:ascii="Calibri" w:hAnsi="Calibri" w:cs="Calibri"/>
                <w:sz w:val="16"/>
                <w:szCs w:val="16"/>
              </w:rPr>
            </w:pPr>
            <w:r w:rsidRPr="0093402A">
              <w:rPr>
                <w:rFonts w:ascii="Calibri" w:hAnsi="Calibri" w:cs="Calibri"/>
                <w:sz w:val="16"/>
                <w:szCs w:val="16"/>
              </w:rPr>
              <w:t>ZUŠ Vl. Ambrose, Kravařova ul. 14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19 100,77</w:t>
            </w:r>
          </w:p>
        </w:tc>
        <w:tc>
          <w:tcPr>
            <w:tcW w:w="992"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326 823,12</w:t>
            </w:r>
          </w:p>
        </w:tc>
        <w:tc>
          <w:tcPr>
            <w:tcW w:w="992"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31 997,99</w:t>
            </w:r>
          </w:p>
        </w:tc>
        <w:tc>
          <w:tcPr>
            <w:tcW w:w="992"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133 290,76</w:t>
            </w:r>
          </w:p>
        </w:tc>
        <w:tc>
          <w:tcPr>
            <w:tcW w:w="1134"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b/>
                <w:bCs/>
                <w:color w:val="000000"/>
                <w:sz w:val="16"/>
                <w:szCs w:val="16"/>
              </w:rPr>
            </w:pPr>
            <w:r w:rsidRPr="0093402A">
              <w:rPr>
                <w:rFonts w:ascii="Calibri" w:hAnsi="Calibri" w:cs="Calibri"/>
                <w:b/>
                <w:bCs/>
                <w:color w:val="000000"/>
                <w:sz w:val="16"/>
                <w:szCs w:val="16"/>
              </w:rPr>
              <w:t>511 212,64</w:t>
            </w:r>
          </w:p>
        </w:tc>
      </w:tr>
      <w:tr w:rsidR="006B034C" w:rsidRPr="0093402A" w:rsidTr="006B034C">
        <w:trPr>
          <w:trHeight w:val="266"/>
        </w:trPr>
        <w:tc>
          <w:tcPr>
            <w:tcW w:w="3397" w:type="dxa"/>
            <w:tcBorders>
              <w:top w:val="nil"/>
              <w:left w:val="single" w:sz="4" w:space="0" w:color="auto"/>
              <w:bottom w:val="single" w:sz="4" w:space="0" w:color="auto"/>
              <w:right w:val="nil"/>
            </w:tcBorders>
            <w:shd w:val="clear" w:color="000000" w:fill="D9D9D9"/>
            <w:vAlign w:val="center"/>
            <w:hideMark/>
          </w:tcPr>
          <w:p w:rsidR="0093402A" w:rsidRPr="0093402A" w:rsidRDefault="0093402A">
            <w:pPr>
              <w:jc w:val="both"/>
              <w:rPr>
                <w:rFonts w:ascii="Calibri" w:hAnsi="Calibri" w:cs="Calibri"/>
                <w:sz w:val="16"/>
                <w:szCs w:val="16"/>
              </w:rPr>
            </w:pPr>
            <w:r w:rsidRPr="0093402A">
              <w:rPr>
                <w:rFonts w:ascii="Calibri" w:hAnsi="Calibri" w:cs="Calibri"/>
                <w:sz w:val="16"/>
                <w:szCs w:val="16"/>
              </w:rPr>
              <w:t>Městské divadlo v Prostějově</w:t>
            </w:r>
          </w:p>
        </w:tc>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45 249,07</w:t>
            </w:r>
          </w:p>
        </w:tc>
        <w:tc>
          <w:tcPr>
            <w:tcW w:w="992" w:type="dxa"/>
            <w:tcBorders>
              <w:top w:val="nil"/>
              <w:left w:val="nil"/>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55 220,26</w:t>
            </w:r>
          </w:p>
        </w:tc>
        <w:tc>
          <w:tcPr>
            <w:tcW w:w="992" w:type="dxa"/>
            <w:tcBorders>
              <w:top w:val="nil"/>
              <w:left w:val="nil"/>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147 432,69</w:t>
            </w:r>
          </w:p>
        </w:tc>
        <w:tc>
          <w:tcPr>
            <w:tcW w:w="992" w:type="dxa"/>
            <w:tcBorders>
              <w:top w:val="nil"/>
              <w:left w:val="nil"/>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100 000,00</w:t>
            </w:r>
          </w:p>
        </w:tc>
        <w:tc>
          <w:tcPr>
            <w:tcW w:w="993" w:type="dxa"/>
            <w:tcBorders>
              <w:top w:val="nil"/>
              <w:left w:val="nil"/>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557 108,03</w:t>
            </w:r>
          </w:p>
        </w:tc>
        <w:tc>
          <w:tcPr>
            <w:tcW w:w="1134" w:type="dxa"/>
            <w:tcBorders>
              <w:top w:val="nil"/>
              <w:left w:val="nil"/>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b/>
                <w:bCs/>
                <w:color w:val="000000"/>
                <w:sz w:val="16"/>
                <w:szCs w:val="16"/>
              </w:rPr>
            </w:pPr>
            <w:r w:rsidRPr="0093402A">
              <w:rPr>
                <w:rFonts w:ascii="Calibri" w:hAnsi="Calibri" w:cs="Calibri"/>
                <w:b/>
                <w:bCs/>
                <w:color w:val="000000"/>
                <w:sz w:val="16"/>
                <w:szCs w:val="16"/>
              </w:rPr>
              <w:t>905 010,05</w:t>
            </w:r>
          </w:p>
        </w:tc>
      </w:tr>
      <w:tr w:rsidR="006B034C" w:rsidRPr="0093402A" w:rsidTr="006B034C">
        <w:trPr>
          <w:trHeight w:val="266"/>
        </w:trPr>
        <w:tc>
          <w:tcPr>
            <w:tcW w:w="3397" w:type="dxa"/>
            <w:tcBorders>
              <w:top w:val="nil"/>
              <w:left w:val="single" w:sz="4" w:space="0" w:color="auto"/>
              <w:bottom w:val="single" w:sz="4" w:space="0" w:color="auto"/>
              <w:right w:val="nil"/>
            </w:tcBorders>
            <w:shd w:val="clear" w:color="auto" w:fill="auto"/>
            <w:vAlign w:val="center"/>
            <w:hideMark/>
          </w:tcPr>
          <w:p w:rsidR="0093402A" w:rsidRPr="0093402A" w:rsidRDefault="0093402A">
            <w:pPr>
              <w:jc w:val="both"/>
              <w:rPr>
                <w:rFonts w:ascii="Calibri" w:hAnsi="Calibri" w:cs="Calibri"/>
                <w:sz w:val="16"/>
                <w:szCs w:val="16"/>
              </w:rPr>
            </w:pPr>
            <w:r w:rsidRPr="0093402A">
              <w:rPr>
                <w:rFonts w:ascii="Calibri" w:hAnsi="Calibri" w:cs="Calibri"/>
                <w:sz w:val="16"/>
                <w:szCs w:val="16"/>
              </w:rPr>
              <w:t>Městská knihovna Prostějov</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130 135,00</w:t>
            </w:r>
          </w:p>
        </w:tc>
        <w:tc>
          <w:tcPr>
            <w:tcW w:w="992"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32 429,54</w:t>
            </w:r>
          </w:p>
        </w:tc>
        <w:tc>
          <w:tcPr>
            <w:tcW w:w="992"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186 252,99</w:t>
            </w:r>
          </w:p>
        </w:tc>
        <w:tc>
          <w:tcPr>
            <w:tcW w:w="992"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263 241,20</w:t>
            </w:r>
          </w:p>
        </w:tc>
        <w:tc>
          <w:tcPr>
            <w:tcW w:w="1134"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b/>
                <w:bCs/>
                <w:color w:val="000000"/>
                <w:sz w:val="16"/>
                <w:szCs w:val="16"/>
              </w:rPr>
            </w:pPr>
            <w:r w:rsidRPr="0093402A">
              <w:rPr>
                <w:rFonts w:ascii="Calibri" w:hAnsi="Calibri" w:cs="Calibri"/>
                <w:b/>
                <w:bCs/>
                <w:color w:val="000000"/>
                <w:sz w:val="16"/>
                <w:szCs w:val="16"/>
              </w:rPr>
              <w:t>612 058,73</w:t>
            </w:r>
          </w:p>
        </w:tc>
      </w:tr>
      <w:tr w:rsidR="006B034C" w:rsidRPr="0093402A" w:rsidTr="006B034C">
        <w:trPr>
          <w:trHeight w:val="266"/>
        </w:trPr>
        <w:tc>
          <w:tcPr>
            <w:tcW w:w="3397" w:type="dxa"/>
            <w:tcBorders>
              <w:top w:val="nil"/>
              <w:left w:val="single" w:sz="4" w:space="0" w:color="auto"/>
              <w:bottom w:val="single" w:sz="4" w:space="0" w:color="auto"/>
              <w:right w:val="nil"/>
            </w:tcBorders>
            <w:shd w:val="clear" w:color="000000" w:fill="D9D9D9"/>
            <w:vAlign w:val="center"/>
            <w:hideMark/>
          </w:tcPr>
          <w:p w:rsidR="0093402A" w:rsidRPr="0093402A" w:rsidRDefault="0093402A">
            <w:pPr>
              <w:jc w:val="both"/>
              <w:rPr>
                <w:rFonts w:ascii="Calibri" w:hAnsi="Calibri" w:cs="Calibri"/>
                <w:sz w:val="16"/>
                <w:szCs w:val="16"/>
              </w:rPr>
            </w:pPr>
            <w:r w:rsidRPr="0093402A">
              <w:rPr>
                <w:rFonts w:ascii="Calibri" w:hAnsi="Calibri" w:cs="Calibri"/>
                <w:sz w:val="16"/>
                <w:szCs w:val="16"/>
              </w:rPr>
              <w:t>KINO METRO 70</w:t>
            </w:r>
          </w:p>
        </w:tc>
        <w:tc>
          <w:tcPr>
            <w:tcW w:w="993" w:type="dxa"/>
            <w:tcBorders>
              <w:top w:val="nil"/>
              <w:left w:val="single" w:sz="4" w:space="0" w:color="auto"/>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32 100,00</w:t>
            </w:r>
          </w:p>
        </w:tc>
        <w:tc>
          <w:tcPr>
            <w:tcW w:w="992" w:type="dxa"/>
            <w:tcBorders>
              <w:top w:val="nil"/>
              <w:left w:val="nil"/>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54 268,00</w:t>
            </w:r>
          </w:p>
        </w:tc>
        <w:tc>
          <w:tcPr>
            <w:tcW w:w="992" w:type="dxa"/>
            <w:tcBorders>
              <w:top w:val="nil"/>
              <w:left w:val="nil"/>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48 046,89</w:t>
            </w:r>
          </w:p>
        </w:tc>
        <w:tc>
          <w:tcPr>
            <w:tcW w:w="992" w:type="dxa"/>
            <w:tcBorders>
              <w:top w:val="nil"/>
              <w:left w:val="nil"/>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0,00</w:t>
            </w:r>
          </w:p>
        </w:tc>
        <w:tc>
          <w:tcPr>
            <w:tcW w:w="993" w:type="dxa"/>
            <w:tcBorders>
              <w:top w:val="nil"/>
              <w:left w:val="nil"/>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1 715 296,14</w:t>
            </w:r>
          </w:p>
        </w:tc>
        <w:tc>
          <w:tcPr>
            <w:tcW w:w="1134" w:type="dxa"/>
            <w:tcBorders>
              <w:top w:val="nil"/>
              <w:left w:val="nil"/>
              <w:bottom w:val="single" w:sz="4" w:space="0" w:color="auto"/>
              <w:right w:val="single" w:sz="4" w:space="0" w:color="auto"/>
            </w:tcBorders>
            <w:shd w:val="clear" w:color="000000" w:fill="D9D9D9"/>
            <w:noWrap/>
            <w:vAlign w:val="center"/>
            <w:hideMark/>
          </w:tcPr>
          <w:p w:rsidR="0093402A" w:rsidRPr="0093402A" w:rsidRDefault="0093402A">
            <w:pPr>
              <w:jc w:val="right"/>
              <w:rPr>
                <w:rFonts w:ascii="Calibri" w:hAnsi="Calibri" w:cs="Calibri"/>
                <w:b/>
                <w:bCs/>
                <w:color w:val="000000"/>
                <w:sz w:val="16"/>
                <w:szCs w:val="16"/>
              </w:rPr>
            </w:pPr>
            <w:r w:rsidRPr="0093402A">
              <w:rPr>
                <w:rFonts w:ascii="Calibri" w:hAnsi="Calibri" w:cs="Calibri"/>
                <w:b/>
                <w:bCs/>
                <w:color w:val="000000"/>
                <w:sz w:val="16"/>
                <w:szCs w:val="16"/>
              </w:rPr>
              <w:t>1 849 711,03</w:t>
            </w:r>
          </w:p>
        </w:tc>
      </w:tr>
      <w:tr w:rsidR="006B034C" w:rsidRPr="0093402A" w:rsidTr="006B034C">
        <w:trPr>
          <w:trHeight w:val="266"/>
        </w:trPr>
        <w:tc>
          <w:tcPr>
            <w:tcW w:w="3397" w:type="dxa"/>
            <w:tcBorders>
              <w:top w:val="nil"/>
              <w:left w:val="single" w:sz="4" w:space="0" w:color="auto"/>
              <w:bottom w:val="single" w:sz="4" w:space="0" w:color="auto"/>
              <w:right w:val="nil"/>
            </w:tcBorders>
            <w:shd w:val="clear" w:color="auto" w:fill="auto"/>
            <w:vAlign w:val="center"/>
            <w:hideMark/>
          </w:tcPr>
          <w:p w:rsidR="0093402A" w:rsidRPr="0093402A" w:rsidRDefault="0093402A">
            <w:pPr>
              <w:jc w:val="both"/>
              <w:rPr>
                <w:rFonts w:ascii="Calibri" w:hAnsi="Calibri" w:cs="Calibri"/>
                <w:sz w:val="16"/>
                <w:szCs w:val="16"/>
              </w:rPr>
            </w:pPr>
            <w:r w:rsidRPr="0093402A">
              <w:rPr>
                <w:rFonts w:ascii="Calibri" w:hAnsi="Calibri" w:cs="Calibri"/>
                <w:sz w:val="16"/>
                <w:szCs w:val="16"/>
              </w:rPr>
              <w:t>Dětská skupina Jesle Prostějov</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40 283,00</w:t>
            </w:r>
          </w:p>
        </w:tc>
        <w:tc>
          <w:tcPr>
            <w:tcW w:w="992"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35 287,84</w:t>
            </w:r>
          </w:p>
        </w:tc>
        <w:tc>
          <w:tcPr>
            <w:tcW w:w="992"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88 225,88</w:t>
            </w:r>
          </w:p>
        </w:tc>
        <w:tc>
          <w:tcPr>
            <w:tcW w:w="992"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sz w:val="16"/>
                <w:szCs w:val="16"/>
              </w:rPr>
            </w:pPr>
            <w:r w:rsidRPr="0093402A">
              <w:rPr>
                <w:rFonts w:ascii="Calibri" w:hAnsi="Calibri" w:cs="Calibri"/>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93402A" w:rsidRPr="0093402A" w:rsidRDefault="0093402A">
            <w:pPr>
              <w:jc w:val="right"/>
              <w:rPr>
                <w:rFonts w:ascii="Calibri" w:hAnsi="Calibri" w:cs="Calibri"/>
                <w:b/>
                <w:bCs/>
                <w:color w:val="000000"/>
                <w:sz w:val="16"/>
                <w:szCs w:val="16"/>
              </w:rPr>
            </w:pPr>
            <w:r w:rsidRPr="0093402A">
              <w:rPr>
                <w:rFonts w:ascii="Calibri" w:hAnsi="Calibri" w:cs="Calibri"/>
                <w:b/>
                <w:bCs/>
                <w:color w:val="000000"/>
                <w:sz w:val="16"/>
                <w:szCs w:val="16"/>
              </w:rPr>
              <w:t>163 796,72</w:t>
            </w:r>
          </w:p>
        </w:tc>
      </w:tr>
      <w:tr w:rsidR="006B034C" w:rsidRPr="0093402A" w:rsidTr="006B034C">
        <w:trPr>
          <w:trHeight w:val="266"/>
        </w:trPr>
        <w:tc>
          <w:tcPr>
            <w:tcW w:w="3397" w:type="dxa"/>
            <w:tcBorders>
              <w:top w:val="nil"/>
              <w:left w:val="single" w:sz="4" w:space="0" w:color="auto"/>
              <w:bottom w:val="single" w:sz="4" w:space="0" w:color="auto"/>
              <w:right w:val="single" w:sz="4" w:space="0" w:color="auto"/>
            </w:tcBorders>
            <w:shd w:val="clear" w:color="C5E0B4" w:fill="B4C6E7"/>
            <w:vAlign w:val="center"/>
            <w:hideMark/>
          </w:tcPr>
          <w:p w:rsidR="0093402A" w:rsidRPr="0093402A" w:rsidRDefault="0093402A">
            <w:pPr>
              <w:jc w:val="both"/>
              <w:rPr>
                <w:rFonts w:ascii="Calibri" w:hAnsi="Calibri" w:cs="Calibri"/>
                <w:b/>
                <w:bCs/>
                <w:color w:val="000000"/>
                <w:sz w:val="16"/>
                <w:szCs w:val="16"/>
              </w:rPr>
            </w:pPr>
            <w:r w:rsidRPr="0093402A">
              <w:rPr>
                <w:rFonts w:ascii="Calibri" w:hAnsi="Calibri" w:cs="Calibri"/>
                <w:b/>
                <w:bCs/>
                <w:color w:val="000000"/>
                <w:sz w:val="16"/>
                <w:szCs w:val="16"/>
              </w:rPr>
              <w:t>Celkem</w:t>
            </w:r>
          </w:p>
        </w:tc>
        <w:tc>
          <w:tcPr>
            <w:tcW w:w="993" w:type="dxa"/>
            <w:tcBorders>
              <w:top w:val="nil"/>
              <w:left w:val="nil"/>
              <w:bottom w:val="single" w:sz="4" w:space="0" w:color="auto"/>
              <w:right w:val="single" w:sz="4" w:space="0" w:color="auto"/>
            </w:tcBorders>
            <w:shd w:val="clear" w:color="C5E0B4" w:fill="B4C6E7"/>
            <w:noWrap/>
            <w:vAlign w:val="center"/>
            <w:hideMark/>
          </w:tcPr>
          <w:p w:rsidR="0093402A" w:rsidRPr="0093402A" w:rsidRDefault="0093402A">
            <w:pPr>
              <w:jc w:val="right"/>
              <w:rPr>
                <w:rFonts w:ascii="Calibri" w:hAnsi="Calibri" w:cs="Calibri"/>
                <w:b/>
                <w:bCs/>
                <w:color w:val="000000"/>
                <w:sz w:val="16"/>
                <w:szCs w:val="16"/>
              </w:rPr>
            </w:pPr>
            <w:r w:rsidRPr="0093402A">
              <w:rPr>
                <w:rFonts w:ascii="Calibri" w:hAnsi="Calibri" w:cs="Calibri"/>
                <w:b/>
                <w:bCs/>
                <w:color w:val="000000"/>
                <w:sz w:val="16"/>
                <w:szCs w:val="16"/>
              </w:rPr>
              <w:t>1 010 209,29</w:t>
            </w:r>
          </w:p>
        </w:tc>
        <w:tc>
          <w:tcPr>
            <w:tcW w:w="992" w:type="dxa"/>
            <w:tcBorders>
              <w:top w:val="nil"/>
              <w:left w:val="nil"/>
              <w:bottom w:val="single" w:sz="4" w:space="0" w:color="auto"/>
              <w:right w:val="single" w:sz="4" w:space="0" w:color="auto"/>
            </w:tcBorders>
            <w:shd w:val="clear" w:color="C5E0B4" w:fill="B4C6E7"/>
            <w:noWrap/>
            <w:vAlign w:val="center"/>
            <w:hideMark/>
          </w:tcPr>
          <w:p w:rsidR="0093402A" w:rsidRPr="0093402A" w:rsidRDefault="0093402A">
            <w:pPr>
              <w:jc w:val="right"/>
              <w:rPr>
                <w:rFonts w:ascii="Calibri" w:hAnsi="Calibri" w:cs="Calibri"/>
                <w:b/>
                <w:bCs/>
                <w:color w:val="000000"/>
                <w:sz w:val="16"/>
                <w:szCs w:val="16"/>
              </w:rPr>
            </w:pPr>
            <w:r w:rsidRPr="0093402A">
              <w:rPr>
                <w:rFonts w:ascii="Calibri" w:hAnsi="Calibri" w:cs="Calibri"/>
                <w:b/>
                <w:bCs/>
                <w:color w:val="000000"/>
                <w:sz w:val="16"/>
                <w:szCs w:val="16"/>
              </w:rPr>
              <w:t>8 387 564,00</w:t>
            </w:r>
          </w:p>
        </w:tc>
        <w:tc>
          <w:tcPr>
            <w:tcW w:w="992" w:type="dxa"/>
            <w:tcBorders>
              <w:top w:val="nil"/>
              <w:left w:val="nil"/>
              <w:bottom w:val="single" w:sz="4" w:space="0" w:color="auto"/>
              <w:right w:val="single" w:sz="4" w:space="0" w:color="auto"/>
            </w:tcBorders>
            <w:shd w:val="clear" w:color="C5E0B4" w:fill="B4C6E7"/>
            <w:noWrap/>
            <w:vAlign w:val="center"/>
            <w:hideMark/>
          </w:tcPr>
          <w:p w:rsidR="0093402A" w:rsidRPr="0093402A" w:rsidRDefault="0093402A">
            <w:pPr>
              <w:jc w:val="right"/>
              <w:rPr>
                <w:rFonts w:ascii="Calibri" w:hAnsi="Calibri" w:cs="Calibri"/>
                <w:b/>
                <w:bCs/>
                <w:color w:val="000000"/>
                <w:sz w:val="16"/>
                <w:szCs w:val="16"/>
              </w:rPr>
            </w:pPr>
            <w:r w:rsidRPr="0093402A">
              <w:rPr>
                <w:rFonts w:ascii="Calibri" w:hAnsi="Calibri" w:cs="Calibri"/>
                <w:b/>
                <w:bCs/>
                <w:color w:val="000000"/>
                <w:sz w:val="16"/>
                <w:szCs w:val="16"/>
              </w:rPr>
              <w:t>2 880 179,17</w:t>
            </w:r>
          </w:p>
        </w:tc>
        <w:tc>
          <w:tcPr>
            <w:tcW w:w="992" w:type="dxa"/>
            <w:tcBorders>
              <w:top w:val="nil"/>
              <w:left w:val="nil"/>
              <w:bottom w:val="single" w:sz="4" w:space="0" w:color="auto"/>
              <w:right w:val="single" w:sz="4" w:space="0" w:color="auto"/>
            </w:tcBorders>
            <w:shd w:val="clear" w:color="C5E0B4" w:fill="B4C6E7"/>
            <w:noWrap/>
            <w:vAlign w:val="center"/>
            <w:hideMark/>
          </w:tcPr>
          <w:p w:rsidR="0093402A" w:rsidRPr="0093402A" w:rsidRDefault="0093402A">
            <w:pPr>
              <w:jc w:val="right"/>
              <w:rPr>
                <w:rFonts w:ascii="Calibri" w:hAnsi="Calibri" w:cs="Calibri"/>
                <w:b/>
                <w:bCs/>
                <w:color w:val="000000"/>
                <w:sz w:val="16"/>
                <w:szCs w:val="16"/>
              </w:rPr>
            </w:pPr>
            <w:r w:rsidRPr="0093402A">
              <w:rPr>
                <w:rFonts w:ascii="Calibri" w:hAnsi="Calibri" w:cs="Calibri"/>
                <w:b/>
                <w:bCs/>
                <w:color w:val="000000"/>
                <w:sz w:val="16"/>
                <w:szCs w:val="16"/>
              </w:rPr>
              <w:t>8 455 765,56</w:t>
            </w:r>
          </w:p>
        </w:tc>
        <w:tc>
          <w:tcPr>
            <w:tcW w:w="993" w:type="dxa"/>
            <w:tcBorders>
              <w:top w:val="nil"/>
              <w:left w:val="nil"/>
              <w:bottom w:val="single" w:sz="4" w:space="0" w:color="auto"/>
              <w:right w:val="single" w:sz="4" w:space="0" w:color="auto"/>
            </w:tcBorders>
            <w:shd w:val="clear" w:color="C5E0B4" w:fill="B4C6E7"/>
            <w:noWrap/>
            <w:vAlign w:val="center"/>
            <w:hideMark/>
          </w:tcPr>
          <w:p w:rsidR="0093402A" w:rsidRPr="0093402A" w:rsidRDefault="0093402A">
            <w:pPr>
              <w:jc w:val="right"/>
              <w:rPr>
                <w:rFonts w:ascii="Calibri" w:hAnsi="Calibri" w:cs="Calibri"/>
                <w:b/>
                <w:bCs/>
                <w:color w:val="000000"/>
                <w:sz w:val="16"/>
                <w:szCs w:val="16"/>
              </w:rPr>
            </w:pPr>
            <w:r w:rsidRPr="0093402A">
              <w:rPr>
                <w:rFonts w:ascii="Calibri" w:hAnsi="Calibri" w:cs="Calibri"/>
                <w:b/>
                <w:bCs/>
                <w:color w:val="000000"/>
                <w:sz w:val="16"/>
                <w:szCs w:val="16"/>
              </w:rPr>
              <w:t>9 828 708,58</w:t>
            </w:r>
          </w:p>
        </w:tc>
        <w:tc>
          <w:tcPr>
            <w:tcW w:w="1134" w:type="dxa"/>
            <w:tcBorders>
              <w:top w:val="nil"/>
              <w:left w:val="nil"/>
              <w:bottom w:val="single" w:sz="4" w:space="0" w:color="auto"/>
              <w:right w:val="single" w:sz="4" w:space="0" w:color="auto"/>
            </w:tcBorders>
            <w:shd w:val="clear" w:color="C5E0B4" w:fill="B4C6E7"/>
            <w:noWrap/>
            <w:vAlign w:val="center"/>
            <w:hideMark/>
          </w:tcPr>
          <w:p w:rsidR="0093402A" w:rsidRPr="0093402A" w:rsidRDefault="0093402A">
            <w:pPr>
              <w:jc w:val="right"/>
              <w:rPr>
                <w:rFonts w:ascii="Calibri" w:hAnsi="Calibri" w:cs="Calibri"/>
                <w:b/>
                <w:bCs/>
                <w:color w:val="000000"/>
                <w:sz w:val="16"/>
                <w:szCs w:val="16"/>
              </w:rPr>
            </w:pPr>
            <w:r w:rsidRPr="0093402A">
              <w:rPr>
                <w:rFonts w:ascii="Calibri" w:hAnsi="Calibri" w:cs="Calibri"/>
                <w:b/>
                <w:bCs/>
                <w:color w:val="000000"/>
                <w:sz w:val="16"/>
                <w:szCs w:val="16"/>
              </w:rPr>
              <w:t>30 562 426,60</w:t>
            </w:r>
          </w:p>
        </w:tc>
      </w:tr>
    </w:tbl>
    <w:p w:rsidR="006B034C" w:rsidRDefault="006B034C" w:rsidP="006B034C">
      <w:pPr>
        <w:rPr>
          <w:rFonts w:ascii="Calibri" w:hAnsi="Calibri" w:cs="Calibri"/>
          <w:sz w:val="20"/>
          <w:szCs w:val="20"/>
        </w:rPr>
      </w:pPr>
    </w:p>
    <w:p w:rsidR="005D0CF8" w:rsidRPr="00DA0F9D" w:rsidRDefault="005D0CF8" w:rsidP="006B034C">
      <w:pPr>
        <w:rPr>
          <w:rFonts w:ascii="Calibri" w:hAnsi="Calibri" w:cs="Calibri"/>
          <w:sz w:val="20"/>
          <w:szCs w:val="20"/>
        </w:rPr>
      </w:pPr>
      <w:r w:rsidRPr="00DA0F9D">
        <w:rPr>
          <w:rFonts w:ascii="Calibri" w:hAnsi="Calibri" w:cs="Calibri"/>
          <w:sz w:val="20"/>
          <w:szCs w:val="20"/>
        </w:rPr>
        <w:t>V Prostějově:</w:t>
      </w:r>
      <w:r w:rsidRPr="00DA0F9D">
        <w:rPr>
          <w:rFonts w:ascii="Calibri" w:hAnsi="Calibri" w:cs="Calibri"/>
          <w:sz w:val="20"/>
          <w:szCs w:val="20"/>
        </w:rPr>
        <w:tab/>
      </w:r>
      <w:r w:rsidR="00DA0F9D" w:rsidRPr="00DA0F9D">
        <w:rPr>
          <w:rFonts w:ascii="Calibri" w:hAnsi="Calibri" w:cs="Calibri"/>
          <w:sz w:val="20"/>
          <w:szCs w:val="20"/>
        </w:rPr>
        <w:t>9</w:t>
      </w:r>
      <w:r w:rsidR="00D25F41" w:rsidRPr="00DA0F9D">
        <w:rPr>
          <w:rFonts w:ascii="Calibri" w:hAnsi="Calibri" w:cs="Calibri"/>
          <w:sz w:val="20"/>
          <w:szCs w:val="20"/>
        </w:rPr>
        <w:t>.</w:t>
      </w:r>
      <w:r w:rsidR="00DA0F9D" w:rsidRPr="00DA0F9D">
        <w:rPr>
          <w:rFonts w:ascii="Calibri" w:hAnsi="Calibri" w:cs="Calibri"/>
          <w:sz w:val="20"/>
          <w:szCs w:val="20"/>
        </w:rPr>
        <w:t xml:space="preserve"> </w:t>
      </w:r>
      <w:r w:rsidR="00D25F41" w:rsidRPr="00DA0F9D">
        <w:rPr>
          <w:rFonts w:ascii="Calibri" w:hAnsi="Calibri" w:cs="Calibri"/>
          <w:sz w:val="20"/>
          <w:szCs w:val="20"/>
        </w:rPr>
        <w:t>5</w:t>
      </w:r>
      <w:r w:rsidR="004D4936" w:rsidRPr="00DA0F9D">
        <w:rPr>
          <w:rFonts w:ascii="Calibri" w:hAnsi="Calibri" w:cs="Calibri"/>
          <w:sz w:val="20"/>
          <w:szCs w:val="20"/>
        </w:rPr>
        <w:t>.</w:t>
      </w:r>
      <w:r w:rsidR="00DA0F9D" w:rsidRPr="00DA0F9D">
        <w:rPr>
          <w:rFonts w:ascii="Calibri" w:hAnsi="Calibri" w:cs="Calibri"/>
          <w:sz w:val="20"/>
          <w:szCs w:val="20"/>
        </w:rPr>
        <w:t xml:space="preserve"> 202</w:t>
      </w:r>
      <w:r w:rsidR="006B034C">
        <w:rPr>
          <w:rFonts w:ascii="Calibri" w:hAnsi="Calibri" w:cs="Calibri"/>
          <w:sz w:val="20"/>
          <w:szCs w:val="20"/>
        </w:rPr>
        <w:t>3</w:t>
      </w:r>
    </w:p>
    <w:p w:rsidR="00675F2F" w:rsidRPr="006B034C" w:rsidRDefault="005D0CF8" w:rsidP="006B034C">
      <w:pPr>
        <w:rPr>
          <w:rFonts w:ascii="Calibri" w:hAnsi="Calibri" w:cs="Calibri"/>
          <w:sz w:val="20"/>
          <w:szCs w:val="20"/>
        </w:rPr>
      </w:pPr>
      <w:r w:rsidRPr="002D3AF9">
        <w:rPr>
          <w:rFonts w:ascii="Calibri" w:hAnsi="Calibri" w:cs="Calibri"/>
          <w:sz w:val="20"/>
          <w:szCs w:val="20"/>
        </w:rPr>
        <w:t>Zpracoval</w:t>
      </w:r>
      <w:r w:rsidR="006B034C">
        <w:rPr>
          <w:rFonts w:ascii="Calibri" w:hAnsi="Calibri" w:cs="Calibri"/>
          <w:sz w:val="20"/>
          <w:szCs w:val="20"/>
        </w:rPr>
        <w:t>a:</w:t>
      </w:r>
      <w:r w:rsidR="006B034C">
        <w:rPr>
          <w:rFonts w:ascii="Calibri" w:hAnsi="Calibri" w:cs="Calibri"/>
          <w:sz w:val="20"/>
          <w:szCs w:val="20"/>
        </w:rPr>
        <w:tab/>
        <w:t>Ing.</w:t>
      </w:r>
      <w:r w:rsidR="00DD2902">
        <w:rPr>
          <w:rFonts w:ascii="Calibri" w:hAnsi="Calibri" w:cs="Calibri"/>
          <w:sz w:val="20"/>
          <w:szCs w:val="20"/>
        </w:rPr>
        <w:t xml:space="preserve"> Eva Ptáčková</w:t>
      </w:r>
      <w:r w:rsidR="006B034C">
        <w:rPr>
          <w:rFonts w:ascii="Calibri" w:hAnsi="Calibri" w:cs="Calibri"/>
          <w:sz w:val="20"/>
          <w:szCs w:val="20"/>
        </w:rPr>
        <w:t>, vedoucí o</w:t>
      </w:r>
      <w:r w:rsidRPr="002D3AF9">
        <w:rPr>
          <w:rFonts w:ascii="Calibri" w:hAnsi="Calibri" w:cs="Calibri"/>
          <w:sz w:val="20"/>
          <w:szCs w:val="20"/>
        </w:rPr>
        <w:t>ddělení rozpo</w:t>
      </w:r>
      <w:r w:rsidR="00DD2902">
        <w:rPr>
          <w:rFonts w:ascii="Calibri" w:hAnsi="Calibri" w:cs="Calibri"/>
          <w:sz w:val="20"/>
          <w:szCs w:val="20"/>
        </w:rPr>
        <w:t>čtu a evidence majetku FO MMPv</w:t>
      </w:r>
    </w:p>
    <w:sectPr w:rsidR="00675F2F" w:rsidRPr="006B034C" w:rsidSect="00521773">
      <w:footerReference w:type="default" r:id="rId44"/>
      <w:pgSz w:w="11906" w:h="16838"/>
      <w:pgMar w:top="1134" w:right="991" w:bottom="1247"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861" w:rsidRDefault="00791861">
      <w:r>
        <w:separator/>
      </w:r>
    </w:p>
    <w:p w:rsidR="00791861" w:rsidRDefault="00791861"/>
  </w:endnote>
  <w:endnote w:type="continuationSeparator" w:id="0">
    <w:p w:rsidR="00791861" w:rsidRDefault="00791861">
      <w:r>
        <w:continuationSeparator/>
      </w:r>
    </w:p>
    <w:p w:rsidR="00791861" w:rsidRDefault="007918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861" w:rsidRPr="00584F61" w:rsidRDefault="00791861">
    <w:pPr>
      <w:pStyle w:val="Zpat"/>
      <w:jc w:val="center"/>
      <w:rPr>
        <w:rFonts w:ascii="Calibri" w:hAnsi="Calibri"/>
        <w:sz w:val="20"/>
        <w:szCs w:val="20"/>
      </w:rPr>
    </w:pPr>
    <w:r w:rsidRPr="00584F61">
      <w:rPr>
        <w:rFonts w:ascii="Calibri" w:hAnsi="Calibri"/>
        <w:sz w:val="20"/>
        <w:szCs w:val="20"/>
      </w:rPr>
      <w:fldChar w:fldCharType="begin"/>
    </w:r>
    <w:r w:rsidRPr="00584F61">
      <w:rPr>
        <w:rFonts w:ascii="Calibri" w:hAnsi="Calibri"/>
        <w:sz w:val="20"/>
        <w:szCs w:val="20"/>
      </w:rPr>
      <w:instrText>PAGE   \* MERGEFORMAT</w:instrText>
    </w:r>
    <w:r w:rsidRPr="00584F61">
      <w:rPr>
        <w:rFonts w:ascii="Calibri" w:hAnsi="Calibri"/>
        <w:sz w:val="20"/>
        <w:szCs w:val="20"/>
      </w:rPr>
      <w:fldChar w:fldCharType="separate"/>
    </w:r>
    <w:r w:rsidR="00232786">
      <w:rPr>
        <w:rFonts w:ascii="Calibri" w:hAnsi="Calibri"/>
        <w:noProof/>
        <w:sz w:val="20"/>
        <w:szCs w:val="20"/>
      </w:rPr>
      <w:t>76</w:t>
    </w:r>
    <w:r w:rsidRPr="00584F61">
      <w:rPr>
        <w:rFonts w:ascii="Calibri" w:hAnsi="Calibri"/>
        <w:sz w:val="20"/>
        <w:szCs w:val="20"/>
      </w:rPr>
      <w:fldChar w:fldCharType="end"/>
    </w:r>
  </w:p>
  <w:p w:rsidR="00791861" w:rsidRPr="00BD504D" w:rsidRDefault="00791861" w:rsidP="00BD504D">
    <w:pPr>
      <w:pStyle w:val="Zpat"/>
    </w:pPr>
  </w:p>
  <w:p w:rsidR="00791861" w:rsidRDefault="007918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861" w:rsidRDefault="00791861">
      <w:r>
        <w:separator/>
      </w:r>
    </w:p>
    <w:p w:rsidR="00791861" w:rsidRDefault="00791861"/>
  </w:footnote>
  <w:footnote w:type="continuationSeparator" w:id="0">
    <w:p w:rsidR="00791861" w:rsidRDefault="00791861">
      <w:r>
        <w:continuationSeparator/>
      </w:r>
    </w:p>
    <w:p w:rsidR="00791861" w:rsidRDefault="0079186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4FEE"/>
    <w:multiLevelType w:val="hybridMultilevel"/>
    <w:tmpl w:val="3CD40A84"/>
    <w:lvl w:ilvl="0" w:tplc="9480A078">
      <w:start w:val="85"/>
      <w:numFmt w:val="bullet"/>
      <w:lvlText w:val="-"/>
      <w:lvlJc w:val="left"/>
      <w:pPr>
        <w:ind w:left="720" w:hanging="360"/>
      </w:pPr>
      <w:rPr>
        <w:rFonts w:ascii="Calibri" w:eastAsia="Times New Roman" w:hAnsi="Calibri"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EC69CE"/>
    <w:multiLevelType w:val="hybridMultilevel"/>
    <w:tmpl w:val="BB6E05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7E4D62"/>
    <w:multiLevelType w:val="hybridMultilevel"/>
    <w:tmpl w:val="D422C6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AC0832"/>
    <w:multiLevelType w:val="hybridMultilevel"/>
    <w:tmpl w:val="162C1A6C"/>
    <w:lvl w:ilvl="0" w:tplc="9480A078">
      <w:start w:val="85"/>
      <w:numFmt w:val="bullet"/>
      <w:lvlText w:val="-"/>
      <w:lvlJc w:val="left"/>
      <w:pPr>
        <w:ind w:left="720" w:hanging="360"/>
      </w:pPr>
      <w:rPr>
        <w:rFonts w:ascii="Calibri" w:eastAsia="Times New Roman" w:hAnsi="Calibri"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D34493"/>
    <w:multiLevelType w:val="hybridMultilevel"/>
    <w:tmpl w:val="117E6580"/>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 w15:restartNumberingAfterBreak="0">
    <w:nsid w:val="0C7942B7"/>
    <w:multiLevelType w:val="hybridMultilevel"/>
    <w:tmpl w:val="9A042BB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0B229C"/>
    <w:multiLevelType w:val="hybridMultilevel"/>
    <w:tmpl w:val="C038D24E"/>
    <w:lvl w:ilvl="0" w:tplc="04050003">
      <w:start w:val="1"/>
      <w:numFmt w:val="bullet"/>
      <w:lvlText w:val="o"/>
      <w:lvlJc w:val="left"/>
      <w:pPr>
        <w:ind w:left="1797" w:hanging="360"/>
      </w:pPr>
      <w:rPr>
        <w:rFonts w:ascii="Courier New" w:hAnsi="Courier New" w:cs="Courier New"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7" w15:restartNumberingAfterBreak="0">
    <w:nsid w:val="147B6A55"/>
    <w:multiLevelType w:val="hybridMultilevel"/>
    <w:tmpl w:val="0EE267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59C418E"/>
    <w:multiLevelType w:val="hybridMultilevel"/>
    <w:tmpl w:val="447A8A5A"/>
    <w:lvl w:ilvl="0" w:tplc="AEC2DB42">
      <w:start w:val="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AF9088A"/>
    <w:multiLevelType w:val="hybridMultilevel"/>
    <w:tmpl w:val="FFD41AF0"/>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C34241"/>
    <w:multiLevelType w:val="hybridMultilevel"/>
    <w:tmpl w:val="F0F0E5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BF66591"/>
    <w:multiLevelType w:val="hybridMultilevel"/>
    <w:tmpl w:val="2C425E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2266B5"/>
    <w:multiLevelType w:val="hybridMultilevel"/>
    <w:tmpl w:val="38FC76B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C4726D"/>
    <w:multiLevelType w:val="hybridMultilevel"/>
    <w:tmpl w:val="5A225E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857587"/>
    <w:multiLevelType w:val="hybridMultilevel"/>
    <w:tmpl w:val="23DABA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41C5501"/>
    <w:multiLevelType w:val="hybridMultilevel"/>
    <w:tmpl w:val="C2EC8D1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5105E9A"/>
    <w:multiLevelType w:val="multilevel"/>
    <w:tmpl w:val="2578CED6"/>
    <w:lvl w:ilvl="0">
      <w:start w:val="1"/>
      <w:numFmt w:val="low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AC0FC0"/>
    <w:multiLevelType w:val="hybridMultilevel"/>
    <w:tmpl w:val="DC0EC6B4"/>
    <w:lvl w:ilvl="0" w:tplc="35520C1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FE5F4F"/>
    <w:multiLevelType w:val="hybridMultilevel"/>
    <w:tmpl w:val="5CA22A0A"/>
    <w:lvl w:ilvl="0" w:tplc="9480A078">
      <w:start w:val="85"/>
      <w:numFmt w:val="bullet"/>
      <w:lvlText w:val="-"/>
      <w:lvlJc w:val="left"/>
      <w:pPr>
        <w:ind w:left="720" w:hanging="360"/>
      </w:pPr>
      <w:rPr>
        <w:rFonts w:ascii="Calibri" w:eastAsia="Times New Roman" w:hAnsi="Calibri"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5AF0A95"/>
    <w:multiLevelType w:val="hybridMultilevel"/>
    <w:tmpl w:val="0130FFDC"/>
    <w:lvl w:ilvl="0" w:tplc="AEC2DB42">
      <w:start w:val="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3E0A24"/>
    <w:multiLevelType w:val="hybridMultilevel"/>
    <w:tmpl w:val="843EA42E"/>
    <w:lvl w:ilvl="0" w:tplc="E0047C12">
      <w:start w:val="1"/>
      <w:numFmt w:val="bullet"/>
      <w:lvlText w:val="-"/>
      <w:lvlJc w:val="left"/>
      <w:pPr>
        <w:tabs>
          <w:tab w:val="num" w:pos="720"/>
        </w:tabs>
        <w:ind w:left="720" w:hanging="360"/>
      </w:pPr>
      <w:rPr>
        <w:rFonts w:ascii="Times New Roman" w:hAnsi="Times New Roman" w:hint="default"/>
      </w:rPr>
    </w:lvl>
    <w:lvl w:ilvl="1" w:tplc="5A2264B0" w:tentative="1">
      <w:start w:val="1"/>
      <w:numFmt w:val="bullet"/>
      <w:lvlText w:val="-"/>
      <w:lvlJc w:val="left"/>
      <w:pPr>
        <w:tabs>
          <w:tab w:val="num" w:pos="1440"/>
        </w:tabs>
        <w:ind w:left="1440" w:hanging="360"/>
      </w:pPr>
      <w:rPr>
        <w:rFonts w:ascii="Times New Roman" w:hAnsi="Times New Roman" w:hint="default"/>
      </w:rPr>
    </w:lvl>
    <w:lvl w:ilvl="2" w:tplc="0CC8AC3A">
      <w:start w:val="1"/>
      <w:numFmt w:val="bullet"/>
      <w:lvlText w:val="-"/>
      <w:lvlJc w:val="left"/>
      <w:pPr>
        <w:tabs>
          <w:tab w:val="num" w:pos="2160"/>
        </w:tabs>
        <w:ind w:left="2160" w:hanging="360"/>
      </w:pPr>
      <w:rPr>
        <w:rFonts w:ascii="Times New Roman" w:hAnsi="Times New Roman" w:hint="default"/>
      </w:rPr>
    </w:lvl>
    <w:lvl w:ilvl="3" w:tplc="DE94809A" w:tentative="1">
      <w:start w:val="1"/>
      <w:numFmt w:val="bullet"/>
      <w:lvlText w:val="-"/>
      <w:lvlJc w:val="left"/>
      <w:pPr>
        <w:tabs>
          <w:tab w:val="num" w:pos="2880"/>
        </w:tabs>
        <w:ind w:left="2880" w:hanging="360"/>
      </w:pPr>
      <w:rPr>
        <w:rFonts w:ascii="Times New Roman" w:hAnsi="Times New Roman" w:hint="default"/>
      </w:rPr>
    </w:lvl>
    <w:lvl w:ilvl="4" w:tplc="1FF43A00" w:tentative="1">
      <w:start w:val="1"/>
      <w:numFmt w:val="bullet"/>
      <w:lvlText w:val="-"/>
      <w:lvlJc w:val="left"/>
      <w:pPr>
        <w:tabs>
          <w:tab w:val="num" w:pos="3600"/>
        </w:tabs>
        <w:ind w:left="3600" w:hanging="360"/>
      </w:pPr>
      <w:rPr>
        <w:rFonts w:ascii="Times New Roman" w:hAnsi="Times New Roman" w:hint="default"/>
      </w:rPr>
    </w:lvl>
    <w:lvl w:ilvl="5" w:tplc="937CAA82" w:tentative="1">
      <w:start w:val="1"/>
      <w:numFmt w:val="bullet"/>
      <w:lvlText w:val="-"/>
      <w:lvlJc w:val="left"/>
      <w:pPr>
        <w:tabs>
          <w:tab w:val="num" w:pos="4320"/>
        </w:tabs>
        <w:ind w:left="4320" w:hanging="360"/>
      </w:pPr>
      <w:rPr>
        <w:rFonts w:ascii="Times New Roman" w:hAnsi="Times New Roman" w:hint="default"/>
      </w:rPr>
    </w:lvl>
    <w:lvl w:ilvl="6" w:tplc="C212B1DA" w:tentative="1">
      <w:start w:val="1"/>
      <w:numFmt w:val="bullet"/>
      <w:lvlText w:val="-"/>
      <w:lvlJc w:val="left"/>
      <w:pPr>
        <w:tabs>
          <w:tab w:val="num" w:pos="5040"/>
        </w:tabs>
        <w:ind w:left="5040" w:hanging="360"/>
      </w:pPr>
      <w:rPr>
        <w:rFonts w:ascii="Times New Roman" w:hAnsi="Times New Roman" w:hint="default"/>
      </w:rPr>
    </w:lvl>
    <w:lvl w:ilvl="7" w:tplc="A3380A4C" w:tentative="1">
      <w:start w:val="1"/>
      <w:numFmt w:val="bullet"/>
      <w:lvlText w:val="-"/>
      <w:lvlJc w:val="left"/>
      <w:pPr>
        <w:tabs>
          <w:tab w:val="num" w:pos="5760"/>
        </w:tabs>
        <w:ind w:left="5760" w:hanging="360"/>
      </w:pPr>
      <w:rPr>
        <w:rFonts w:ascii="Times New Roman" w:hAnsi="Times New Roman" w:hint="default"/>
      </w:rPr>
    </w:lvl>
    <w:lvl w:ilvl="8" w:tplc="7BFE667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92C5F17"/>
    <w:multiLevelType w:val="hybridMultilevel"/>
    <w:tmpl w:val="79FE73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B1367C6"/>
    <w:multiLevelType w:val="hybridMultilevel"/>
    <w:tmpl w:val="5F70CC8C"/>
    <w:lvl w:ilvl="0" w:tplc="AEC2DB42">
      <w:start w:val="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BBA5F9D"/>
    <w:multiLevelType w:val="hybridMultilevel"/>
    <w:tmpl w:val="BC601F88"/>
    <w:lvl w:ilvl="0" w:tplc="9480A078">
      <w:start w:val="85"/>
      <w:numFmt w:val="bullet"/>
      <w:lvlText w:val="-"/>
      <w:lvlJc w:val="left"/>
      <w:pPr>
        <w:ind w:left="720" w:hanging="360"/>
      </w:pPr>
      <w:rPr>
        <w:rFonts w:ascii="Calibri" w:eastAsia="Times New Roman" w:hAnsi="Calibri" w:cstheme="minorHAns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E886FF1"/>
    <w:multiLevelType w:val="hybridMultilevel"/>
    <w:tmpl w:val="E5FEC2FC"/>
    <w:lvl w:ilvl="0" w:tplc="60120D0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F872F00"/>
    <w:multiLevelType w:val="hybridMultilevel"/>
    <w:tmpl w:val="BFCC99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A64737"/>
    <w:multiLevelType w:val="hybridMultilevel"/>
    <w:tmpl w:val="A5CAB772"/>
    <w:lvl w:ilvl="0" w:tplc="AEC2DB42">
      <w:start w:val="9"/>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3">
      <w:start w:val="1"/>
      <w:numFmt w:val="bullet"/>
      <w:lvlText w:val="o"/>
      <w:lvlJc w:val="left"/>
      <w:pPr>
        <w:tabs>
          <w:tab w:val="num" w:pos="2160"/>
        </w:tabs>
        <w:ind w:left="2160" w:hanging="360"/>
      </w:pPr>
      <w:rPr>
        <w:rFonts w:ascii="Courier New" w:hAnsi="Courier New" w:cs="Courier New" w:hint="default"/>
      </w:rPr>
    </w:lvl>
    <w:lvl w:ilvl="3" w:tplc="3C2AAB2C">
      <w:start w:val="1"/>
      <w:numFmt w:val="bullet"/>
      <w:lvlText w:val="-"/>
      <w:lvlJc w:val="left"/>
      <w:pPr>
        <w:tabs>
          <w:tab w:val="num" w:pos="2880"/>
        </w:tabs>
        <w:ind w:left="2880" w:hanging="360"/>
      </w:pPr>
      <w:rPr>
        <w:rFonts w:ascii="Times New Roman" w:hAnsi="Times New Roman" w:hint="default"/>
      </w:rPr>
    </w:lvl>
    <w:lvl w:ilvl="4" w:tplc="55BEE6F2" w:tentative="1">
      <w:start w:val="1"/>
      <w:numFmt w:val="bullet"/>
      <w:lvlText w:val="-"/>
      <w:lvlJc w:val="left"/>
      <w:pPr>
        <w:tabs>
          <w:tab w:val="num" w:pos="3600"/>
        </w:tabs>
        <w:ind w:left="3600" w:hanging="360"/>
      </w:pPr>
      <w:rPr>
        <w:rFonts w:ascii="Times New Roman" w:hAnsi="Times New Roman" w:hint="default"/>
      </w:rPr>
    </w:lvl>
    <w:lvl w:ilvl="5" w:tplc="52ECC2DA" w:tentative="1">
      <w:start w:val="1"/>
      <w:numFmt w:val="bullet"/>
      <w:lvlText w:val="-"/>
      <w:lvlJc w:val="left"/>
      <w:pPr>
        <w:tabs>
          <w:tab w:val="num" w:pos="4320"/>
        </w:tabs>
        <w:ind w:left="4320" w:hanging="360"/>
      </w:pPr>
      <w:rPr>
        <w:rFonts w:ascii="Times New Roman" w:hAnsi="Times New Roman" w:hint="default"/>
      </w:rPr>
    </w:lvl>
    <w:lvl w:ilvl="6" w:tplc="A7D4E152" w:tentative="1">
      <w:start w:val="1"/>
      <w:numFmt w:val="bullet"/>
      <w:lvlText w:val="-"/>
      <w:lvlJc w:val="left"/>
      <w:pPr>
        <w:tabs>
          <w:tab w:val="num" w:pos="5040"/>
        </w:tabs>
        <w:ind w:left="5040" w:hanging="360"/>
      </w:pPr>
      <w:rPr>
        <w:rFonts w:ascii="Times New Roman" w:hAnsi="Times New Roman" w:hint="default"/>
      </w:rPr>
    </w:lvl>
    <w:lvl w:ilvl="7" w:tplc="8DE4E2AA" w:tentative="1">
      <w:start w:val="1"/>
      <w:numFmt w:val="bullet"/>
      <w:lvlText w:val="-"/>
      <w:lvlJc w:val="left"/>
      <w:pPr>
        <w:tabs>
          <w:tab w:val="num" w:pos="5760"/>
        </w:tabs>
        <w:ind w:left="5760" w:hanging="360"/>
      </w:pPr>
      <w:rPr>
        <w:rFonts w:ascii="Times New Roman" w:hAnsi="Times New Roman" w:hint="default"/>
      </w:rPr>
    </w:lvl>
    <w:lvl w:ilvl="8" w:tplc="2862B81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3D44282"/>
    <w:multiLevelType w:val="hybridMultilevel"/>
    <w:tmpl w:val="78163F3C"/>
    <w:lvl w:ilvl="0" w:tplc="AEC2DB42">
      <w:start w:val="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5BF52D2"/>
    <w:multiLevelType w:val="hybridMultilevel"/>
    <w:tmpl w:val="3F003E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4167CF"/>
    <w:multiLevelType w:val="hybridMultilevel"/>
    <w:tmpl w:val="2FF4F2EE"/>
    <w:lvl w:ilvl="0" w:tplc="0405000F">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5CEB61F2"/>
    <w:multiLevelType w:val="hybridMultilevel"/>
    <w:tmpl w:val="A802CF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D2D6104"/>
    <w:multiLevelType w:val="hybridMultilevel"/>
    <w:tmpl w:val="68C24BF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D600433"/>
    <w:multiLevelType w:val="hybridMultilevel"/>
    <w:tmpl w:val="B1164D72"/>
    <w:lvl w:ilvl="0" w:tplc="9480A078">
      <w:start w:val="85"/>
      <w:numFmt w:val="bullet"/>
      <w:lvlText w:val="-"/>
      <w:lvlJc w:val="left"/>
      <w:pPr>
        <w:ind w:left="720" w:hanging="360"/>
      </w:pPr>
      <w:rPr>
        <w:rFonts w:ascii="Calibri" w:eastAsia="Times New Roman" w:hAnsi="Calibri" w:cstheme="minorHAnsi" w:hint="default"/>
      </w:rPr>
    </w:lvl>
    <w:lvl w:ilvl="1" w:tplc="A5CC0802">
      <w:start w:val="1"/>
      <w:numFmt w:val="bullet"/>
      <w:lvlText w:val="o"/>
      <w:lvlJc w:val="left"/>
      <w:pPr>
        <w:ind w:left="1440" w:hanging="360"/>
      </w:pPr>
      <w:rPr>
        <w:rFonts w:ascii="Courier New" w:hAnsi="Courier New" w:cs="Courier New" w:hint="default"/>
        <w:color w:val="auto"/>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D746493"/>
    <w:multiLevelType w:val="hybridMultilevel"/>
    <w:tmpl w:val="E35E1BAA"/>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EEB2468"/>
    <w:multiLevelType w:val="hybridMultilevel"/>
    <w:tmpl w:val="CDFCDBA4"/>
    <w:lvl w:ilvl="0" w:tplc="04050017">
      <w:start w:val="1"/>
      <w:numFmt w:val="lowerLetter"/>
      <w:lvlText w:val="%1)"/>
      <w:lvlJc w:val="left"/>
      <w:pPr>
        <w:tabs>
          <w:tab w:val="num" w:pos="927"/>
        </w:tabs>
        <w:ind w:left="927" w:hanging="360"/>
      </w:pPr>
      <w:rPr>
        <w:rFonts w:hint="default"/>
        <w:b w:val="0"/>
        <w:i w:val="0"/>
        <w:color w:val="auto"/>
        <w:sz w:val="24"/>
      </w:rPr>
    </w:lvl>
    <w:lvl w:ilvl="1" w:tplc="1AF6C698">
      <w:start w:val="1"/>
      <w:numFmt w:val="lowerLetter"/>
      <w:lvlText w:val="%2)"/>
      <w:lvlJc w:val="left"/>
      <w:pPr>
        <w:ind w:left="2007" w:hanging="360"/>
      </w:pPr>
      <w:rPr>
        <w:rFonts w:hint="default"/>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35" w15:restartNumberingAfterBreak="0">
    <w:nsid w:val="5FF912AC"/>
    <w:multiLevelType w:val="hybridMultilevel"/>
    <w:tmpl w:val="06DEE4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6395D52"/>
    <w:multiLevelType w:val="hybridMultilevel"/>
    <w:tmpl w:val="C25257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6F74E84"/>
    <w:multiLevelType w:val="hybridMultilevel"/>
    <w:tmpl w:val="FE3A9624"/>
    <w:lvl w:ilvl="0" w:tplc="B6682A36">
      <w:start w:val="1"/>
      <w:numFmt w:val="bullet"/>
      <w:lvlText w:val="-"/>
      <w:lvlJc w:val="left"/>
      <w:pPr>
        <w:tabs>
          <w:tab w:val="num" w:pos="720"/>
        </w:tabs>
        <w:ind w:left="720" w:hanging="360"/>
      </w:pPr>
      <w:rPr>
        <w:rFonts w:ascii="Times New Roman" w:hAnsi="Times New Roman" w:hint="default"/>
      </w:rPr>
    </w:lvl>
    <w:lvl w:ilvl="1" w:tplc="60120D0C">
      <w:start w:val="1"/>
      <w:numFmt w:val="bullet"/>
      <w:lvlText w:val=""/>
      <w:lvlJc w:val="left"/>
      <w:pPr>
        <w:tabs>
          <w:tab w:val="num" w:pos="1440"/>
        </w:tabs>
        <w:ind w:left="1440" w:hanging="360"/>
      </w:pPr>
      <w:rPr>
        <w:rFonts w:ascii="Symbol" w:hAnsi="Symbol" w:hint="default"/>
      </w:rPr>
    </w:lvl>
    <w:lvl w:ilvl="2" w:tplc="04050003">
      <w:start w:val="1"/>
      <w:numFmt w:val="bullet"/>
      <w:lvlText w:val="o"/>
      <w:lvlJc w:val="left"/>
      <w:pPr>
        <w:tabs>
          <w:tab w:val="num" w:pos="2160"/>
        </w:tabs>
        <w:ind w:left="2160" w:hanging="360"/>
      </w:pPr>
      <w:rPr>
        <w:rFonts w:ascii="Courier New" w:hAnsi="Courier New" w:cs="Courier New" w:hint="default"/>
      </w:rPr>
    </w:lvl>
    <w:lvl w:ilvl="3" w:tplc="3C2AAB2C">
      <w:start w:val="1"/>
      <w:numFmt w:val="bullet"/>
      <w:lvlText w:val="-"/>
      <w:lvlJc w:val="left"/>
      <w:pPr>
        <w:tabs>
          <w:tab w:val="num" w:pos="2880"/>
        </w:tabs>
        <w:ind w:left="2880" w:hanging="360"/>
      </w:pPr>
      <w:rPr>
        <w:rFonts w:ascii="Times New Roman" w:hAnsi="Times New Roman" w:hint="default"/>
      </w:rPr>
    </w:lvl>
    <w:lvl w:ilvl="4" w:tplc="55BEE6F2" w:tentative="1">
      <w:start w:val="1"/>
      <w:numFmt w:val="bullet"/>
      <w:lvlText w:val="-"/>
      <w:lvlJc w:val="left"/>
      <w:pPr>
        <w:tabs>
          <w:tab w:val="num" w:pos="3600"/>
        </w:tabs>
        <w:ind w:left="3600" w:hanging="360"/>
      </w:pPr>
      <w:rPr>
        <w:rFonts w:ascii="Times New Roman" w:hAnsi="Times New Roman" w:hint="default"/>
      </w:rPr>
    </w:lvl>
    <w:lvl w:ilvl="5" w:tplc="52ECC2DA" w:tentative="1">
      <w:start w:val="1"/>
      <w:numFmt w:val="bullet"/>
      <w:lvlText w:val="-"/>
      <w:lvlJc w:val="left"/>
      <w:pPr>
        <w:tabs>
          <w:tab w:val="num" w:pos="4320"/>
        </w:tabs>
        <w:ind w:left="4320" w:hanging="360"/>
      </w:pPr>
      <w:rPr>
        <w:rFonts w:ascii="Times New Roman" w:hAnsi="Times New Roman" w:hint="default"/>
      </w:rPr>
    </w:lvl>
    <w:lvl w:ilvl="6" w:tplc="A7D4E152" w:tentative="1">
      <w:start w:val="1"/>
      <w:numFmt w:val="bullet"/>
      <w:lvlText w:val="-"/>
      <w:lvlJc w:val="left"/>
      <w:pPr>
        <w:tabs>
          <w:tab w:val="num" w:pos="5040"/>
        </w:tabs>
        <w:ind w:left="5040" w:hanging="360"/>
      </w:pPr>
      <w:rPr>
        <w:rFonts w:ascii="Times New Roman" w:hAnsi="Times New Roman" w:hint="default"/>
      </w:rPr>
    </w:lvl>
    <w:lvl w:ilvl="7" w:tplc="8DE4E2AA" w:tentative="1">
      <w:start w:val="1"/>
      <w:numFmt w:val="bullet"/>
      <w:lvlText w:val="-"/>
      <w:lvlJc w:val="left"/>
      <w:pPr>
        <w:tabs>
          <w:tab w:val="num" w:pos="5760"/>
        </w:tabs>
        <w:ind w:left="5760" w:hanging="360"/>
      </w:pPr>
      <w:rPr>
        <w:rFonts w:ascii="Times New Roman" w:hAnsi="Times New Roman" w:hint="default"/>
      </w:rPr>
    </w:lvl>
    <w:lvl w:ilvl="8" w:tplc="2862B81E"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7E205A4"/>
    <w:multiLevelType w:val="multilevel"/>
    <w:tmpl w:val="2578CED6"/>
    <w:lvl w:ilvl="0">
      <w:start w:val="1"/>
      <w:numFmt w:val="low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8D202E9"/>
    <w:multiLevelType w:val="hybridMultilevel"/>
    <w:tmpl w:val="99143948"/>
    <w:lvl w:ilvl="0" w:tplc="15222D84">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C554F59"/>
    <w:multiLevelType w:val="hybridMultilevel"/>
    <w:tmpl w:val="AC0E35D4"/>
    <w:lvl w:ilvl="0" w:tplc="AEC2DB42">
      <w:start w:val="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5B210CD"/>
    <w:multiLevelType w:val="hybridMultilevel"/>
    <w:tmpl w:val="5302DF9E"/>
    <w:lvl w:ilvl="0" w:tplc="60120D0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738717C"/>
    <w:multiLevelType w:val="hybridMultilevel"/>
    <w:tmpl w:val="BFFC9C6A"/>
    <w:lvl w:ilvl="0" w:tplc="9480A078">
      <w:start w:val="85"/>
      <w:numFmt w:val="bullet"/>
      <w:lvlText w:val="-"/>
      <w:lvlJc w:val="left"/>
      <w:pPr>
        <w:ind w:left="720" w:hanging="360"/>
      </w:pPr>
      <w:rPr>
        <w:rFonts w:ascii="Calibri" w:eastAsia="Times New Roman" w:hAnsi="Calibri"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7B64338"/>
    <w:multiLevelType w:val="hybridMultilevel"/>
    <w:tmpl w:val="F2F686A2"/>
    <w:lvl w:ilvl="0" w:tplc="04050003">
      <w:start w:val="1"/>
      <w:numFmt w:val="bullet"/>
      <w:lvlText w:val="o"/>
      <w:lvlJc w:val="left"/>
      <w:pPr>
        <w:ind w:left="1996" w:hanging="360"/>
      </w:pPr>
      <w:rPr>
        <w:rFonts w:ascii="Courier New" w:hAnsi="Courier New" w:cs="Courier New" w:hint="default"/>
      </w:rPr>
    </w:lvl>
    <w:lvl w:ilvl="1" w:tplc="04050003">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AEC2DB42">
      <w:start w:val="9"/>
      <w:numFmt w:val="bullet"/>
      <w:lvlText w:val="-"/>
      <w:lvlJc w:val="left"/>
      <w:pPr>
        <w:ind w:left="4156" w:hanging="360"/>
      </w:pPr>
      <w:rPr>
        <w:rFonts w:ascii="Times New Roman" w:eastAsia="Times New Roman" w:hAnsi="Times New Roman" w:cs="Times New Roman"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44" w15:restartNumberingAfterBreak="0">
    <w:nsid w:val="77E56099"/>
    <w:multiLevelType w:val="hybridMultilevel"/>
    <w:tmpl w:val="D1762E2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81D3438"/>
    <w:multiLevelType w:val="hybridMultilevel"/>
    <w:tmpl w:val="FB6AA2BA"/>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97672E4"/>
    <w:multiLevelType w:val="hybridMultilevel"/>
    <w:tmpl w:val="0750F0CC"/>
    <w:lvl w:ilvl="0" w:tplc="9F9CD4CA">
      <w:start w:val="12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7" w15:restartNumberingAfterBreak="0">
    <w:nsid w:val="7AC93D0F"/>
    <w:multiLevelType w:val="hybridMultilevel"/>
    <w:tmpl w:val="4E64E80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11"/>
  </w:num>
  <w:num w:numId="3">
    <w:abstractNumId w:val="39"/>
  </w:num>
  <w:num w:numId="4">
    <w:abstractNumId w:val="47"/>
  </w:num>
  <w:num w:numId="5">
    <w:abstractNumId w:val="27"/>
  </w:num>
  <w:num w:numId="6">
    <w:abstractNumId w:val="18"/>
  </w:num>
  <w:num w:numId="7">
    <w:abstractNumId w:val="3"/>
  </w:num>
  <w:num w:numId="8">
    <w:abstractNumId w:val="0"/>
  </w:num>
  <w:num w:numId="9">
    <w:abstractNumId w:val="42"/>
  </w:num>
  <w:num w:numId="10">
    <w:abstractNumId w:val="23"/>
  </w:num>
  <w:num w:numId="11">
    <w:abstractNumId w:val="32"/>
  </w:num>
  <w:num w:numId="12">
    <w:abstractNumId w:val="22"/>
  </w:num>
  <w:num w:numId="13">
    <w:abstractNumId w:val="37"/>
  </w:num>
  <w:num w:numId="14">
    <w:abstractNumId w:val="20"/>
  </w:num>
  <w:num w:numId="15">
    <w:abstractNumId w:val="25"/>
  </w:num>
  <w:num w:numId="16">
    <w:abstractNumId w:val="4"/>
  </w:num>
  <w:num w:numId="17">
    <w:abstractNumId w:val="10"/>
  </w:num>
  <w:num w:numId="18">
    <w:abstractNumId w:val="31"/>
  </w:num>
  <w:num w:numId="19">
    <w:abstractNumId w:val="36"/>
  </w:num>
  <w:num w:numId="20">
    <w:abstractNumId w:val="15"/>
  </w:num>
  <w:num w:numId="21">
    <w:abstractNumId w:val="5"/>
  </w:num>
  <w:num w:numId="22">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33"/>
  </w:num>
  <w:num w:numId="25">
    <w:abstractNumId w:val="6"/>
  </w:num>
  <w:num w:numId="26">
    <w:abstractNumId w:val="43"/>
  </w:num>
  <w:num w:numId="27">
    <w:abstractNumId w:val="26"/>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7"/>
  </w:num>
  <w:num w:numId="31">
    <w:abstractNumId w:val="44"/>
  </w:num>
  <w:num w:numId="32">
    <w:abstractNumId w:val="28"/>
  </w:num>
  <w:num w:numId="33">
    <w:abstractNumId w:val="21"/>
  </w:num>
  <w:num w:numId="34">
    <w:abstractNumId w:val="17"/>
  </w:num>
  <w:num w:numId="35">
    <w:abstractNumId w:val="41"/>
  </w:num>
  <w:num w:numId="36">
    <w:abstractNumId w:val="24"/>
  </w:num>
  <w:num w:numId="37">
    <w:abstractNumId w:val="14"/>
  </w:num>
  <w:num w:numId="38">
    <w:abstractNumId w:val="9"/>
  </w:num>
  <w:num w:numId="39">
    <w:abstractNumId w:val="12"/>
  </w:num>
  <w:num w:numId="40">
    <w:abstractNumId w:val="30"/>
  </w:num>
  <w:num w:numId="41">
    <w:abstractNumId w:val="40"/>
  </w:num>
  <w:num w:numId="42">
    <w:abstractNumId w:val="8"/>
  </w:num>
  <w:num w:numId="43">
    <w:abstractNumId w:val="2"/>
  </w:num>
  <w:num w:numId="44">
    <w:abstractNumId w:val="1"/>
  </w:num>
  <w:num w:numId="45">
    <w:abstractNumId w:val="19"/>
  </w:num>
  <w:num w:numId="46">
    <w:abstractNumId w:val="14"/>
  </w:num>
  <w:num w:numId="47">
    <w:abstractNumId w:val="35"/>
  </w:num>
  <w:num w:numId="48">
    <w:abstractNumId w:val="34"/>
  </w:num>
  <w:num w:numId="49">
    <w:abstractNumId w:val="45"/>
  </w:num>
  <w:num w:numId="50">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6865"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DCC"/>
    <w:rsid w:val="000010C5"/>
    <w:rsid w:val="00001517"/>
    <w:rsid w:val="000015ED"/>
    <w:rsid w:val="00002BE9"/>
    <w:rsid w:val="00002F15"/>
    <w:rsid w:val="00003E8B"/>
    <w:rsid w:val="000041F3"/>
    <w:rsid w:val="00004716"/>
    <w:rsid w:val="00004CD5"/>
    <w:rsid w:val="00004EFD"/>
    <w:rsid w:val="000054CC"/>
    <w:rsid w:val="000054D3"/>
    <w:rsid w:val="00005BF7"/>
    <w:rsid w:val="00005F23"/>
    <w:rsid w:val="00005F79"/>
    <w:rsid w:val="000063C7"/>
    <w:rsid w:val="0000648F"/>
    <w:rsid w:val="000078A1"/>
    <w:rsid w:val="00007B92"/>
    <w:rsid w:val="00007DAB"/>
    <w:rsid w:val="000102FD"/>
    <w:rsid w:val="00010A09"/>
    <w:rsid w:val="00010A65"/>
    <w:rsid w:val="00010C21"/>
    <w:rsid w:val="00011632"/>
    <w:rsid w:val="000116A4"/>
    <w:rsid w:val="00011AEE"/>
    <w:rsid w:val="00011C6E"/>
    <w:rsid w:val="00011FDB"/>
    <w:rsid w:val="00012259"/>
    <w:rsid w:val="00012287"/>
    <w:rsid w:val="000124FB"/>
    <w:rsid w:val="00012AB5"/>
    <w:rsid w:val="00013131"/>
    <w:rsid w:val="00013351"/>
    <w:rsid w:val="00013576"/>
    <w:rsid w:val="00013C6D"/>
    <w:rsid w:val="0001436C"/>
    <w:rsid w:val="00014DE1"/>
    <w:rsid w:val="00015214"/>
    <w:rsid w:val="0001537B"/>
    <w:rsid w:val="00015442"/>
    <w:rsid w:val="0001581E"/>
    <w:rsid w:val="00016147"/>
    <w:rsid w:val="000167F0"/>
    <w:rsid w:val="0001682F"/>
    <w:rsid w:val="00016DA9"/>
    <w:rsid w:val="00017903"/>
    <w:rsid w:val="0002094C"/>
    <w:rsid w:val="00020EB3"/>
    <w:rsid w:val="000214C1"/>
    <w:rsid w:val="00021AE4"/>
    <w:rsid w:val="00022655"/>
    <w:rsid w:val="00022C4F"/>
    <w:rsid w:val="00022E5B"/>
    <w:rsid w:val="00022E6A"/>
    <w:rsid w:val="000232D7"/>
    <w:rsid w:val="00023CB0"/>
    <w:rsid w:val="00024200"/>
    <w:rsid w:val="000248E2"/>
    <w:rsid w:val="0002530C"/>
    <w:rsid w:val="0002636E"/>
    <w:rsid w:val="000273D1"/>
    <w:rsid w:val="00027C60"/>
    <w:rsid w:val="00027E1F"/>
    <w:rsid w:val="00027E90"/>
    <w:rsid w:val="0003020E"/>
    <w:rsid w:val="00030C98"/>
    <w:rsid w:val="00031024"/>
    <w:rsid w:val="00031049"/>
    <w:rsid w:val="000313B6"/>
    <w:rsid w:val="0003208D"/>
    <w:rsid w:val="000327D7"/>
    <w:rsid w:val="000327E7"/>
    <w:rsid w:val="00033490"/>
    <w:rsid w:val="00033773"/>
    <w:rsid w:val="00033F03"/>
    <w:rsid w:val="0003443B"/>
    <w:rsid w:val="00034C45"/>
    <w:rsid w:val="00034C47"/>
    <w:rsid w:val="00034C86"/>
    <w:rsid w:val="00034E9C"/>
    <w:rsid w:val="00035497"/>
    <w:rsid w:val="00035564"/>
    <w:rsid w:val="0003585C"/>
    <w:rsid w:val="000359CB"/>
    <w:rsid w:val="000359EE"/>
    <w:rsid w:val="00035AD4"/>
    <w:rsid w:val="0003653A"/>
    <w:rsid w:val="00036664"/>
    <w:rsid w:val="0003678F"/>
    <w:rsid w:val="00036991"/>
    <w:rsid w:val="00036ABE"/>
    <w:rsid w:val="00036EBF"/>
    <w:rsid w:val="00037150"/>
    <w:rsid w:val="00037283"/>
    <w:rsid w:val="000379C6"/>
    <w:rsid w:val="00037E4C"/>
    <w:rsid w:val="000402C3"/>
    <w:rsid w:val="000405E0"/>
    <w:rsid w:val="000409EB"/>
    <w:rsid w:val="00040C94"/>
    <w:rsid w:val="00040D22"/>
    <w:rsid w:val="000417F9"/>
    <w:rsid w:val="00041ED3"/>
    <w:rsid w:val="00042220"/>
    <w:rsid w:val="00042715"/>
    <w:rsid w:val="00042D42"/>
    <w:rsid w:val="000430BA"/>
    <w:rsid w:val="00043190"/>
    <w:rsid w:val="00043971"/>
    <w:rsid w:val="00043C8E"/>
    <w:rsid w:val="00044350"/>
    <w:rsid w:val="00044579"/>
    <w:rsid w:val="000445D7"/>
    <w:rsid w:val="00044974"/>
    <w:rsid w:val="00044A0A"/>
    <w:rsid w:val="00044FEE"/>
    <w:rsid w:val="00045858"/>
    <w:rsid w:val="00045DD7"/>
    <w:rsid w:val="00045EC3"/>
    <w:rsid w:val="000464D6"/>
    <w:rsid w:val="0004685E"/>
    <w:rsid w:val="00046C9A"/>
    <w:rsid w:val="00047A16"/>
    <w:rsid w:val="00050025"/>
    <w:rsid w:val="00051747"/>
    <w:rsid w:val="00051EB0"/>
    <w:rsid w:val="000522BE"/>
    <w:rsid w:val="00053395"/>
    <w:rsid w:val="000538EB"/>
    <w:rsid w:val="00053DA3"/>
    <w:rsid w:val="000542C4"/>
    <w:rsid w:val="000547C9"/>
    <w:rsid w:val="00054B7E"/>
    <w:rsid w:val="00054F0F"/>
    <w:rsid w:val="0005528A"/>
    <w:rsid w:val="000552BC"/>
    <w:rsid w:val="00055362"/>
    <w:rsid w:val="000555C1"/>
    <w:rsid w:val="000555E8"/>
    <w:rsid w:val="00055FCD"/>
    <w:rsid w:val="00056833"/>
    <w:rsid w:val="000573D2"/>
    <w:rsid w:val="00060020"/>
    <w:rsid w:val="00060393"/>
    <w:rsid w:val="000605AE"/>
    <w:rsid w:val="00060A2C"/>
    <w:rsid w:val="00060A69"/>
    <w:rsid w:val="00060FCA"/>
    <w:rsid w:val="00061619"/>
    <w:rsid w:val="000616D8"/>
    <w:rsid w:val="00061995"/>
    <w:rsid w:val="00061ECB"/>
    <w:rsid w:val="00062007"/>
    <w:rsid w:val="00062678"/>
    <w:rsid w:val="00062E8D"/>
    <w:rsid w:val="00063680"/>
    <w:rsid w:val="00063D0E"/>
    <w:rsid w:val="000646B5"/>
    <w:rsid w:val="00064D52"/>
    <w:rsid w:val="0006512B"/>
    <w:rsid w:val="00065CA6"/>
    <w:rsid w:val="00065D86"/>
    <w:rsid w:val="00065FEF"/>
    <w:rsid w:val="00066200"/>
    <w:rsid w:val="0006651C"/>
    <w:rsid w:val="00066540"/>
    <w:rsid w:val="000669AA"/>
    <w:rsid w:val="00067360"/>
    <w:rsid w:val="000674F3"/>
    <w:rsid w:val="00067E4C"/>
    <w:rsid w:val="00067FA1"/>
    <w:rsid w:val="0007032B"/>
    <w:rsid w:val="00071CE2"/>
    <w:rsid w:val="00072677"/>
    <w:rsid w:val="00072CE1"/>
    <w:rsid w:val="00073C5C"/>
    <w:rsid w:val="00073CD4"/>
    <w:rsid w:val="00073E9B"/>
    <w:rsid w:val="00074800"/>
    <w:rsid w:val="00074E4E"/>
    <w:rsid w:val="00075120"/>
    <w:rsid w:val="00075F5F"/>
    <w:rsid w:val="000760B3"/>
    <w:rsid w:val="00076B4A"/>
    <w:rsid w:val="00076F1E"/>
    <w:rsid w:val="00077C17"/>
    <w:rsid w:val="00077C50"/>
    <w:rsid w:val="00077E8A"/>
    <w:rsid w:val="000800E8"/>
    <w:rsid w:val="000801D8"/>
    <w:rsid w:val="0008073B"/>
    <w:rsid w:val="00080C40"/>
    <w:rsid w:val="00080FA7"/>
    <w:rsid w:val="00081D1B"/>
    <w:rsid w:val="00081F02"/>
    <w:rsid w:val="0008221B"/>
    <w:rsid w:val="00083236"/>
    <w:rsid w:val="00083F1B"/>
    <w:rsid w:val="00084443"/>
    <w:rsid w:val="00085479"/>
    <w:rsid w:val="000858E0"/>
    <w:rsid w:val="00085C24"/>
    <w:rsid w:val="00086CD9"/>
    <w:rsid w:val="00086D04"/>
    <w:rsid w:val="000870DD"/>
    <w:rsid w:val="000876EB"/>
    <w:rsid w:val="00090983"/>
    <w:rsid w:val="000912DA"/>
    <w:rsid w:val="00091426"/>
    <w:rsid w:val="00091DC7"/>
    <w:rsid w:val="00091E6B"/>
    <w:rsid w:val="00091F17"/>
    <w:rsid w:val="0009208C"/>
    <w:rsid w:val="00092657"/>
    <w:rsid w:val="000929D2"/>
    <w:rsid w:val="00092BEA"/>
    <w:rsid w:val="00092D82"/>
    <w:rsid w:val="00093891"/>
    <w:rsid w:val="00093A51"/>
    <w:rsid w:val="00093E50"/>
    <w:rsid w:val="0009441D"/>
    <w:rsid w:val="000948D7"/>
    <w:rsid w:val="00094A75"/>
    <w:rsid w:val="000953EA"/>
    <w:rsid w:val="00095522"/>
    <w:rsid w:val="00095F11"/>
    <w:rsid w:val="00096292"/>
    <w:rsid w:val="000967FD"/>
    <w:rsid w:val="00097307"/>
    <w:rsid w:val="00097A03"/>
    <w:rsid w:val="00097D23"/>
    <w:rsid w:val="00097DF3"/>
    <w:rsid w:val="00097F02"/>
    <w:rsid w:val="000A0AD3"/>
    <w:rsid w:val="000A0B1E"/>
    <w:rsid w:val="000A0D2D"/>
    <w:rsid w:val="000A104A"/>
    <w:rsid w:val="000A1217"/>
    <w:rsid w:val="000A166A"/>
    <w:rsid w:val="000A16C0"/>
    <w:rsid w:val="000A16D8"/>
    <w:rsid w:val="000A20DD"/>
    <w:rsid w:val="000A23F6"/>
    <w:rsid w:val="000A274B"/>
    <w:rsid w:val="000A320E"/>
    <w:rsid w:val="000A362F"/>
    <w:rsid w:val="000A3C9C"/>
    <w:rsid w:val="000A42D8"/>
    <w:rsid w:val="000A4316"/>
    <w:rsid w:val="000A4721"/>
    <w:rsid w:val="000A5273"/>
    <w:rsid w:val="000A5350"/>
    <w:rsid w:val="000A5934"/>
    <w:rsid w:val="000A597B"/>
    <w:rsid w:val="000B0443"/>
    <w:rsid w:val="000B0CCD"/>
    <w:rsid w:val="000B0E13"/>
    <w:rsid w:val="000B10DF"/>
    <w:rsid w:val="000B1481"/>
    <w:rsid w:val="000B1810"/>
    <w:rsid w:val="000B26CA"/>
    <w:rsid w:val="000B2C8C"/>
    <w:rsid w:val="000B2D02"/>
    <w:rsid w:val="000B3292"/>
    <w:rsid w:val="000B3C60"/>
    <w:rsid w:val="000B4639"/>
    <w:rsid w:val="000B494C"/>
    <w:rsid w:val="000B4951"/>
    <w:rsid w:val="000B49C7"/>
    <w:rsid w:val="000B5331"/>
    <w:rsid w:val="000B560B"/>
    <w:rsid w:val="000B577F"/>
    <w:rsid w:val="000B5CDF"/>
    <w:rsid w:val="000B606F"/>
    <w:rsid w:val="000B636F"/>
    <w:rsid w:val="000B696E"/>
    <w:rsid w:val="000B7475"/>
    <w:rsid w:val="000B7808"/>
    <w:rsid w:val="000B7874"/>
    <w:rsid w:val="000B7BD8"/>
    <w:rsid w:val="000C0813"/>
    <w:rsid w:val="000C0ADE"/>
    <w:rsid w:val="000C174C"/>
    <w:rsid w:val="000C1ED1"/>
    <w:rsid w:val="000C200A"/>
    <w:rsid w:val="000C28CE"/>
    <w:rsid w:val="000C2CF9"/>
    <w:rsid w:val="000C3059"/>
    <w:rsid w:val="000C3280"/>
    <w:rsid w:val="000C3A6F"/>
    <w:rsid w:val="000C3B39"/>
    <w:rsid w:val="000C3B81"/>
    <w:rsid w:val="000C3BED"/>
    <w:rsid w:val="000C3F1C"/>
    <w:rsid w:val="000C494E"/>
    <w:rsid w:val="000C5265"/>
    <w:rsid w:val="000C56C7"/>
    <w:rsid w:val="000C5992"/>
    <w:rsid w:val="000C5BB9"/>
    <w:rsid w:val="000C5EDA"/>
    <w:rsid w:val="000C60E5"/>
    <w:rsid w:val="000C6BB4"/>
    <w:rsid w:val="000C73FE"/>
    <w:rsid w:val="000C7732"/>
    <w:rsid w:val="000C77F0"/>
    <w:rsid w:val="000C7A67"/>
    <w:rsid w:val="000C7BB7"/>
    <w:rsid w:val="000C7BC0"/>
    <w:rsid w:val="000D01C6"/>
    <w:rsid w:val="000D02D1"/>
    <w:rsid w:val="000D1735"/>
    <w:rsid w:val="000D1AC4"/>
    <w:rsid w:val="000D2DA3"/>
    <w:rsid w:val="000D3010"/>
    <w:rsid w:val="000D3316"/>
    <w:rsid w:val="000D331C"/>
    <w:rsid w:val="000D3C9E"/>
    <w:rsid w:val="000D3E00"/>
    <w:rsid w:val="000D44FE"/>
    <w:rsid w:val="000D502C"/>
    <w:rsid w:val="000D56A6"/>
    <w:rsid w:val="000D5B08"/>
    <w:rsid w:val="000D7631"/>
    <w:rsid w:val="000E0203"/>
    <w:rsid w:val="000E022A"/>
    <w:rsid w:val="000E028E"/>
    <w:rsid w:val="000E090E"/>
    <w:rsid w:val="000E0C4F"/>
    <w:rsid w:val="000E1111"/>
    <w:rsid w:val="000E1AC6"/>
    <w:rsid w:val="000E205C"/>
    <w:rsid w:val="000E297F"/>
    <w:rsid w:val="000E2DA2"/>
    <w:rsid w:val="000E3373"/>
    <w:rsid w:val="000E42EC"/>
    <w:rsid w:val="000E4432"/>
    <w:rsid w:val="000E521E"/>
    <w:rsid w:val="000E55C7"/>
    <w:rsid w:val="000E63FF"/>
    <w:rsid w:val="000E665E"/>
    <w:rsid w:val="000E6DD1"/>
    <w:rsid w:val="000E71C7"/>
    <w:rsid w:val="000E7445"/>
    <w:rsid w:val="000E7454"/>
    <w:rsid w:val="000E75A7"/>
    <w:rsid w:val="000E7600"/>
    <w:rsid w:val="000E7C44"/>
    <w:rsid w:val="000E7F22"/>
    <w:rsid w:val="000F0697"/>
    <w:rsid w:val="000F0DC6"/>
    <w:rsid w:val="000F19BE"/>
    <w:rsid w:val="000F1CB0"/>
    <w:rsid w:val="000F1E6E"/>
    <w:rsid w:val="000F22F9"/>
    <w:rsid w:val="000F2343"/>
    <w:rsid w:val="000F2AF6"/>
    <w:rsid w:val="000F316D"/>
    <w:rsid w:val="000F3A6C"/>
    <w:rsid w:val="000F431E"/>
    <w:rsid w:val="000F4CB9"/>
    <w:rsid w:val="000F4E10"/>
    <w:rsid w:val="000F4F17"/>
    <w:rsid w:val="000F53F8"/>
    <w:rsid w:val="000F5737"/>
    <w:rsid w:val="000F69EC"/>
    <w:rsid w:val="000F6CA8"/>
    <w:rsid w:val="000F7042"/>
    <w:rsid w:val="000F7933"/>
    <w:rsid w:val="000F7A1B"/>
    <w:rsid w:val="000F7BAF"/>
    <w:rsid w:val="000F7F97"/>
    <w:rsid w:val="001001FA"/>
    <w:rsid w:val="00100B70"/>
    <w:rsid w:val="00100F5C"/>
    <w:rsid w:val="0010119E"/>
    <w:rsid w:val="00101612"/>
    <w:rsid w:val="00101622"/>
    <w:rsid w:val="0010176C"/>
    <w:rsid w:val="0010181B"/>
    <w:rsid w:val="00101916"/>
    <w:rsid w:val="00102255"/>
    <w:rsid w:val="001022EE"/>
    <w:rsid w:val="00102CD6"/>
    <w:rsid w:val="00102F58"/>
    <w:rsid w:val="0010310E"/>
    <w:rsid w:val="001032D3"/>
    <w:rsid w:val="00103474"/>
    <w:rsid w:val="00103A0F"/>
    <w:rsid w:val="00104540"/>
    <w:rsid w:val="0010559C"/>
    <w:rsid w:val="00105660"/>
    <w:rsid w:val="00105DA8"/>
    <w:rsid w:val="00106589"/>
    <w:rsid w:val="001073DE"/>
    <w:rsid w:val="00110068"/>
    <w:rsid w:val="00110103"/>
    <w:rsid w:val="001102FB"/>
    <w:rsid w:val="00110398"/>
    <w:rsid w:val="00110A52"/>
    <w:rsid w:val="00111564"/>
    <w:rsid w:val="00111726"/>
    <w:rsid w:val="00111F01"/>
    <w:rsid w:val="001121EB"/>
    <w:rsid w:val="001127C1"/>
    <w:rsid w:val="0011286D"/>
    <w:rsid w:val="00114223"/>
    <w:rsid w:val="00114288"/>
    <w:rsid w:val="001146FF"/>
    <w:rsid w:val="00114B3D"/>
    <w:rsid w:val="00114BB1"/>
    <w:rsid w:val="00114C70"/>
    <w:rsid w:val="00115152"/>
    <w:rsid w:val="00115227"/>
    <w:rsid w:val="001152FA"/>
    <w:rsid w:val="001153B9"/>
    <w:rsid w:val="00115A2B"/>
    <w:rsid w:val="00116289"/>
    <w:rsid w:val="00116570"/>
    <w:rsid w:val="001165DD"/>
    <w:rsid w:val="00116B2C"/>
    <w:rsid w:val="00116B5E"/>
    <w:rsid w:val="00116D6C"/>
    <w:rsid w:val="00116FC4"/>
    <w:rsid w:val="00117255"/>
    <w:rsid w:val="00117483"/>
    <w:rsid w:val="001178B7"/>
    <w:rsid w:val="00117B7E"/>
    <w:rsid w:val="00117BB2"/>
    <w:rsid w:val="00117C04"/>
    <w:rsid w:val="0012113D"/>
    <w:rsid w:val="00121236"/>
    <w:rsid w:val="00121E35"/>
    <w:rsid w:val="00121ECF"/>
    <w:rsid w:val="0012219E"/>
    <w:rsid w:val="00122792"/>
    <w:rsid w:val="00122876"/>
    <w:rsid w:val="00123061"/>
    <w:rsid w:val="001230E0"/>
    <w:rsid w:val="00123E57"/>
    <w:rsid w:val="001246CB"/>
    <w:rsid w:val="0012471C"/>
    <w:rsid w:val="0012477A"/>
    <w:rsid w:val="0012493E"/>
    <w:rsid w:val="00124C67"/>
    <w:rsid w:val="00124DB4"/>
    <w:rsid w:val="00124DCF"/>
    <w:rsid w:val="00125362"/>
    <w:rsid w:val="001254C7"/>
    <w:rsid w:val="00125C95"/>
    <w:rsid w:val="001265F2"/>
    <w:rsid w:val="0012660A"/>
    <w:rsid w:val="00126C84"/>
    <w:rsid w:val="00126F71"/>
    <w:rsid w:val="00127C89"/>
    <w:rsid w:val="00130374"/>
    <w:rsid w:val="00130C77"/>
    <w:rsid w:val="001313CA"/>
    <w:rsid w:val="00131774"/>
    <w:rsid w:val="00131E24"/>
    <w:rsid w:val="001322A8"/>
    <w:rsid w:val="001326AE"/>
    <w:rsid w:val="00132B60"/>
    <w:rsid w:val="00132F04"/>
    <w:rsid w:val="001332EA"/>
    <w:rsid w:val="001339A4"/>
    <w:rsid w:val="00133A10"/>
    <w:rsid w:val="00133F3B"/>
    <w:rsid w:val="00133FAB"/>
    <w:rsid w:val="001341FF"/>
    <w:rsid w:val="001343EF"/>
    <w:rsid w:val="0013458F"/>
    <w:rsid w:val="00135243"/>
    <w:rsid w:val="00135782"/>
    <w:rsid w:val="0013580B"/>
    <w:rsid w:val="00135923"/>
    <w:rsid w:val="00136004"/>
    <w:rsid w:val="0013611A"/>
    <w:rsid w:val="001361B7"/>
    <w:rsid w:val="00136463"/>
    <w:rsid w:val="001376CB"/>
    <w:rsid w:val="00137738"/>
    <w:rsid w:val="00137781"/>
    <w:rsid w:val="00137A4E"/>
    <w:rsid w:val="00137AD9"/>
    <w:rsid w:val="00137D8A"/>
    <w:rsid w:val="00140488"/>
    <w:rsid w:val="00141089"/>
    <w:rsid w:val="0014163F"/>
    <w:rsid w:val="001419CE"/>
    <w:rsid w:val="00142A84"/>
    <w:rsid w:val="001435A1"/>
    <w:rsid w:val="00143762"/>
    <w:rsid w:val="001444AE"/>
    <w:rsid w:val="001447E5"/>
    <w:rsid w:val="0014500C"/>
    <w:rsid w:val="00145024"/>
    <w:rsid w:val="00146806"/>
    <w:rsid w:val="00146EDA"/>
    <w:rsid w:val="001470BE"/>
    <w:rsid w:val="001471ED"/>
    <w:rsid w:val="0014768E"/>
    <w:rsid w:val="001476D7"/>
    <w:rsid w:val="00147961"/>
    <w:rsid w:val="00147A4F"/>
    <w:rsid w:val="00147DE0"/>
    <w:rsid w:val="001502DD"/>
    <w:rsid w:val="0015030C"/>
    <w:rsid w:val="00150454"/>
    <w:rsid w:val="00150D3E"/>
    <w:rsid w:val="00150D66"/>
    <w:rsid w:val="00151826"/>
    <w:rsid w:val="00151A89"/>
    <w:rsid w:val="00151C11"/>
    <w:rsid w:val="00152890"/>
    <w:rsid w:val="0015298B"/>
    <w:rsid w:val="00152A77"/>
    <w:rsid w:val="00152BCF"/>
    <w:rsid w:val="00152E36"/>
    <w:rsid w:val="00152F50"/>
    <w:rsid w:val="001536B5"/>
    <w:rsid w:val="0015382D"/>
    <w:rsid w:val="00153C4D"/>
    <w:rsid w:val="00153E95"/>
    <w:rsid w:val="001545D8"/>
    <w:rsid w:val="001547DE"/>
    <w:rsid w:val="00155843"/>
    <w:rsid w:val="001562C0"/>
    <w:rsid w:val="0015656B"/>
    <w:rsid w:val="00156CDC"/>
    <w:rsid w:val="001571B7"/>
    <w:rsid w:val="00157C55"/>
    <w:rsid w:val="001603EF"/>
    <w:rsid w:val="00160A11"/>
    <w:rsid w:val="00161019"/>
    <w:rsid w:val="001610B6"/>
    <w:rsid w:val="00161219"/>
    <w:rsid w:val="001619EC"/>
    <w:rsid w:val="00162F80"/>
    <w:rsid w:val="00163BE1"/>
    <w:rsid w:val="00163D55"/>
    <w:rsid w:val="00163D92"/>
    <w:rsid w:val="001640A1"/>
    <w:rsid w:val="0016466E"/>
    <w:rsid w:val="001658DD"/>
    <w:rsid w:val="00165EBF"/>
    <w:rsid w:val="00167662"/>
    <w:rsid w:val="001700B9"/>
    <w:rsid w:val="00170AC2"/>
    <w:rsid w:val="00170C42"/>
    <w:rsid w:val="00170CCC"/>
    <w:rsid w:val="00170CDD"/>
    <w:rsid w:val="00171D0F"/>
    <w:rsid w:val="00171DB6"/>
    <w:rsid w:val="00173144"/>
    <w:rsid w:val="001731C5"/>
    <w:rsid w:val="00173283"/>
    <w:rsid w:val="00173AC3"/>
    <w:rsid w:val="00174CC6"/>
    <w:rsid w:val="0017582D"/>
    <w:rsid w:val="0017709B"/>
    <w:rsid w:val="001774F3"/>
    <w:rsid w:val="001807AF"/>
    <w:rsid w:val="00181430"/>
    <w:rsid w:val="00181A2B"/>
    <w:rsid w:val="00182756"/>
    <w:rsid w:val="00182FF6"/>
    <w:rsid w:val="00183B32"/>
    <w:rsid w:val="00183B87"/>
    <w:rsid w:val="00184279"/>
    <w:rsid w:val="0018432D"/>
    <w:rsid w:val="00185657"/>
    <w:rsid w:val="0018577D"/>
    <w:rsid w:val="00185848"/>
    <w:rsid w:val="00185B33"/>
    <w:rsid w:val="00186335"/>
    <w:rsid w:val="001865A6"/>
    <w:rsid w:val="00186822"/>
    <w:rsid w:val="001868B0"/>
    <w:rsid w:val="00186D88"/>
    <w:rsid w:val="0018700F"/>
    <w:rsid w:val="001878F4"/>
    <w:rsid w:val="00187EA2"/>
    <w:rsid w:val="001907FF"/>
    <w:rsid w:val="00190D5A"/>
    <w:rsid w:val="0019180C"/>
    <w:rsid w:val="00191D01"/>
    <w:rsid w:val="00192613"/>
    <w:rsid w:val="00192DFE"/>
    <w:rsid w:val="00193141"/>
    <w:rsid w:val="001931A6"/>
    <w:rsid w:val="001936DD"/>
    <w:rsid w:val="001937CA"/>
    <w:rsid w:val="00193CAF"/>
    <w:rsid w:val="00194234"/>
    <w:rsid w:val="001943AA"/>
    <w:rsid w:val="00195227"/>
    <w:rsid w:val="00196CF3"/>
    <w:rsid w:val="00196D54"/>
    <w:rsid w:val="0019719B"/>
    <w:rsid w:val="00197D2E"/>
    <w:rsid w:val="001A1743"/>
    <w:rsid w:val="001A1CDF"/>
    <w:rsid w:val="001A1E3A"/>
    <w:rsid w:val="001A1FA8"/>
    <w:rsid w:val="001A20F8"/>
    <w:rsid w:val="001A330B"/>
    <w:rsid w:val="001A3FF7"/>
    <w:rsid w:val="001A4654"/>
    <w:rsid w:val="001A477A"/>
    <w:rsid w:val="001A4DDF"/>
    <w:rsid w:val="001A60BC"/>
    <w:rsid w:val="001A6261"/>
    <w:rsid w:val="001A65E0"/>
    <w:rsid w:val="001A6A80"/>
    <w:rsid w:val="001A6DC2"/>
    <w:rsid w:val="001A71D4"/>
    <w:rsid w:val="001A785A"/>
    <w:rsid w:val="001A7A67"/>
    <w:rsid w:val="001A7D02"/>
    <w:rsid w:val="001B0BBE"/>
    <w:rsid w:val="001B0E24"/>
    <w:rsid w:val="001B1C3D"/>
    <w:rsid w:val="001B21EC"/>
    <w:rsid w:val="001B2445"/>
    <w:rsid w:val="001B24CD"/>
    <w:rsid w:val="001B2586"/>
    <w:rsid w:val="001B314E"/>
    <w:rsid w:val="001B31B0"/>
    <w:rsid w:val="001B3A26"/>
    <w:rsid w:val="001B3B83"/>
    <w:rsid w:val="001B3EB4"/>
    <w:rsid w:val="001B3ED3"/>
    <w:rsid w:val="001B3F1B"/>
    <w:rsid w:val="001B3F90"/>
    <w:rsid w:val="001B41DC"/>
    <w:rsid w:val="001B4B34"/>
    <w:rsid w:val="001B4C04"/>
    <w:rsid w:val="001B4F03"/>
    <w:rsid w:val="001B5423"/>
    <w:rsid w:val="001B55D4"/>
    <w:rsid w:val="001B5705"/>
    <w:rsid w:val="001B5866"/>
    <w:rsid w:val="001B65D3"/>
    <w:rsid w:val="001B728C"/>
    <w:rsid w:val="001B73F1"/>
    <w:rsid w:val="001B77C4"/>
    <w:rsid w:val="001B78AD"/>
    <w:rsid w:val="001C00C6"/>
    <w:rsid w:val="001C055A"/>
    <w:rsid w:val="001C0634"/>
    <w:rsid w:val="001C0753"/>
    <w:rsid w:val="001C076A"/>
    <w:rsid w:val="001C13C4"/>
    <w:rsid w:val="001C15E5"/>
    <w:rsid w:val="001C1887"/>
    <w:rsid w:val="001C1AA8"/>
    <w:rsid w:val="001C2410"/>
    <w:rsid w:val="001C3029"/>
    <w:rsid w:val="001C33B4"/>
    <w:rsid w:val="001C397F"/>
    <w:rsid w:val="001C3A98"/>
    <w:rsid w:val="001C3F80"/>
    <w:rsid w:val="001C42F7"/>
    <w:rsid w:val="001C44F6"/>
    <w:rsid w:val="001C5125"/>
    <w:rsid w:val="001C52FA"/>
    <w:rsid w:val="001C6209"/>
    <w:rsid w:val="001C6288"/>
    <w:rsid w:val="001C687A"/>
    <w:rsid w:val="001C69C0"/>
    <w:rsid w:val="001C7424"/>
    <w:rsid w:val="001C7B0A"/>
    <w:rsid w:val="001D01B6"/>
    <w:rsid w:val="001D0569"/>
    <w:rsid w:val="001D067E"/>
    <w:rsid w:val="001D0783"/>
    <w:rsid w:val="001D081A"/>
    <w:rsid w:val="001D0B45"/>
    <w:rsid w:val="001D0BDB"/>
    <w:rsid w:val="001D173D"/>
    <w:rsid w:val="001D18A7"/>
    <w:rsid w:val="001D193D"/>
    <w:rsid w:val="001D1AE3"/>
    <w:rsid w:val="001D1AEB"/>
    <w:rsid w:val="001D1D2F"/>
    <w:rsid w:val="001D1DCD"/>
    <w:rsid w:val="001D23D3"/>
    <w:rsid w:val="001D286D"/>
    <w:rsid w:val="001D2A10"/>
    <w:rsid w:val="001D2C20"/>
    <w:rsid w:val="001D2ED9"/>
    <w:rsid w:val="001D323D"/>
    <w:rsid w:val="001D3D69"/>
    <w:rsid w:val="001D46D8"/>
    <w:rsid w:val="001D471D"/>
    <w:rsid w:val="001D4BFA"/>
    <w:rsid w:val="001D4F7A"/>
    <w:rsid w:val="001D591F"/>
    <w:rsid w:val="001D59F3"/>
    <w:rsid w:val="001D5FF6"/>
    <w:rsid w:val="001D6A6C"/>
    <w:rsid w:val="001D6F25"/>
    <w:rsid w:val="001E0276"/>
    <w:rsid w:val="001E0837"/>
    <w:rsid w:val="001E0C1F"/>
    <w:rsid w:val="001E0D7E"/>
    <w:rsid w:val="001E1A27"/>
    <w:rsid w:val="001E1AB1"/>
    <w:rsid w:val="001E1C57"/>
    <w:rsid w:val="001E1C87"/>
    <w:rsid w:val="001E1E70"/>
    <w:rsid w:val="001E226A"/>
    <w:rsid w:val="001E2AFC"/>
    <w:rsid w:val="001E309A"/>
    <w:rsid w:val="001E347F"/>
    <w:rsid w:val="001E3B83"/>
    <w:rsid w:val="001E489A"/>
    <w:rsid w:val="001E4928"/>
    <w:rsid w:val="001E527E"/>
    <w:rsid w:val="001E52D0"/>
    <w:rsid w:val="001E57E3"/>
    <w:rsid w:val="001E5873"/>
    <w:rsid w:val="001E59EB"/>
    <w:rsid w:val="001E601D"/>
    <w:rsid w:val="001E651E"/>
    <w:rsid w:val="001E7D53"/>
    <w:rsid w:val="001F0463"/>
    <w:rsid w:val="001F0AE1"/>
    <w:rsid w:val="001F17AB"/>
    <w:rsid w:val="001F2095"/>
    <w:rsid w:val="001F22CF"/>
    <w:rsid w:val="001F26CE"/>
    <w:rsid w:val="001F271D"/>
    <w:rsid w:val="001F28AF"/>
    <w:rsid w:val="001F28BE"/>
    <w:rsid w:val="001F388E"/>
    <w:rsid w:val="001F4ACA"/>
    <w:rsid w:val="001F4DF1"/>
    <w:rsid w:val="001F580B"/>
    <w:rsid w:val="001F69E8"/>
    <w:rsid w:val="001F6EE4"/>
    <w:rsid w:val="001F7B9F"/>
    <w:rsid w:val="0020076C"/>
    <w:rsid w:val="00200AFC"/>
    <w:rsid w:val="00200BF3"/>
    <w:rsid w:val="00200F9A"/>
    <w:rsid w:val="002012B3"/>
    <w:rsid w:val="002012DC"/>
    <w:rsid w:val="0020195F"/>
    <w:rsid w:val="00201E96"/>
    <w:rsid w:val="00202C5E"/>
    <w:rsid w:val="00204411"/>
    <w:rsid w:val="0020593D"/>
    <w:rsid w:val="0020594F"/>
    <w:rsid w:val="00205A14"/>
    <w:rsid w:val="00206202"/>
    <w:rsid w:val="00206B6B"/>
    <w:rsid w:val="00207343"/>
    <w:rsid w:val="00207AB6"/>
    <w:rsid w:val="0021017A"/>
    <w:rsid w:val="0021045E"/>
    <w:rsid w:val="0021057E"/>
    <w:rsid w:val="00210728"/>
    <w:rsid w:val="002107B0"/>
    <w:rsid w:val="00210880"/>
    <w:rsid w:val="00210E80"/>
    <w:rsid w:val="002115B1"/>
    <w:rsid w:val="00211CA1"/>
    <w:rsid w:val="00211E7C"/>
    <w:rsid w:val="002126D6"/>
    <w:rsid w:val="0021286E"/>
    <w:rsid w:val="00212D7F"/>
    <w:rsid w:val="00212E2A"/>
    <w:rsid w:val="002136E6"/>
    <w:rsid w:val="00214002"/>
    <w:rsid w:val="002141E9"/>
    <w:rsid w:val="002145A5"/>
    <w:rsid w:val="00215906"/>
    <w:rsid w:val="002160EF"/>
    <w:rsid w:val="0021611D"/>
    <w:rsid w:val="00216AC7"/>
    <w:rsid w:val="0021754E"/>
    <w:rsid w:val="00217C97"/>
    <w:rsid w:val="00217F0A"/>
    <w:rsid w:val="00220288"/>
    <w:rsid w:val="00220B86"/>
    <w:rsid w:val="00220D1A"/>
    <w:rsid w:val="00221CD3"/>
    <w:rsid w:val="0022209B"/>
    <w:rsid w:val="002223D0"/>
    <w:rsid w:val="00222847"/>
    <w:rsid w:val="0022286B"/>
    <w:rsid w:val="00222A04"/>
    <w:rsid w:val="00222B33"/>
    <w:rsid w:val="002234B2"/>
    <w:rsid w:val="002234C1"/>
    <w:rsid w:val="00223D5A"/>
    <w:rsid w:val="002249CC"/>
    <w:rsid w:val="002249EE"/>
    <w:rsid w:val="00224D45"/>
    <w:rsid w:val="00224F3C"/>
    <w:rsid w:val="002251F5"/>
    <w:rsid w:val="00225553"/>
    <w:rsid w:val="00225B7E"/>
    <w:rsid w:val="00226570"/>
    <w:rsid w:val="00226D75"/>
    <w:rsid w:val="002270BA"/>
    <w:rsid w:val="00227435"/>
    <w:rsid w:val="00227B0E"/>
    <w:rsid w:val="00227D93"/>
    <w:rsid w:val="002304D9"/>
    <w:rsid w:val="002306DB"/>
    <w:rsid w:val="0023091D"/>
    <w:rsid w:val="00230A51"/>
    <w:rsid w:val="00230C80"/>
    <w:rsid w:val="00230C98"/>
    <w:rsid w:val="00231010"/>
    <w:rsid w:val="00231182"/>
    <w:rsid w:val="002313FF"/>
    <w:rsid w:val="00231F66"/>
    <w:rsid w:val="0023252D"/>
    <w:rsid w:val="00232786"/>
    <w:rsid w:val="002327C5"/>
    <w:rsid w:val="002328E5"/>
    <w:rsid w:val="00232AAA"/>
    <w:rsid w:val="0023302C"/>
    <w:rsid w:val="0023311B"/>
    <w:rsid w:val="00233B1D"/>
    <w:rsid w:val="00233F3E"/>
    <w:rsid w:val="002348AE"/>
    <w:rsid w:val="00235D05"/>
    <w:rsid w:val="0023624C"/>
    <w:rsid w:val="00236327"/>
    <w:rsid w:val="0023680E"/>
    <w:rsid w:val="00237609"/>
    <w:rsid w:val="00237AA0"/>
    <w:rsid w:val="00237CFA"/>
    <w:rsid w:val="00237E21"/>
    <w:rsid w:val="002402D8"/>
    <w:rsid w:val="0024196B"/>
    <w:rsid w:val="00241EAA"/>
    <w:rsid w:val="0024225E"/>
    <w:rsid w:val="00243915"/>
    <w:rsid w:val="00243A8D"/>
    <w:rsid w:val="00243CDD"/>
    <w:rsid w:val="00243F4C"/>
    <w:rsid w:val="00244407"/>
    <w:rsid w:val="00244B9F"/>
    <w:rsid w:val="00244C89"/>
    <w:rsid w:val="00244D2B"/>
    <w:rsid w:val="002451B3"/>
    <w:rsid w:val="00245AA4"/>
    <w:rsid w:val="002463F7"/>
    <w:rsid w:val="002464FB"/>
    <w:rsid w:val="0024764D"/>
    <w:rsid w:val="00247ACE"/>
    <w:rsid w:val="00247ADF"/>
    <w:rsid w:val="00247CCF"/>
    <w:rsid w:val="002505CA"/>
    <w:rsid w:val="002507A6"/>
    <w:rsid w:val="00250C09"/>
    <w:rsid w:val="0025193F"/>
    <w:rsid w:val="00251967"/>
    <w:rsid w:val="002519CE"/>
    <w:rsid w:val="0025208B"/>
    <w:rsid w:val="0025237F"/>
    <w:rsid w:val="002527AC"/>
    <w:rsid w:val="00252A78"/>
    <w:rsid w:val="00252C63"/>
    <w:rsid w:val="00253C17"/>
    <w:rsid w:val="002544EC"/>
    <w:rsid w:val="00254EA6"/>
    <w:rsid w:val="00255501"/>
    <w:rsid w:val="00255B7D"/>
    <w:rsid w:val="002565C8"/>
    <w:rsid w:val="00256A9C"/>
    <w:rsid w:val="00256C30"/>
    <w:rsid w:val="002570C8"/>
    <w:rsid w:val="00257BC6"/>
    <w:rsid w:val="00257F9F"/>
    <w:rsid w:val="0026034E"/>
    <w:rsid w:val="00260EE3"/>
    <w:rsid w:val="0026197A"/>
    <w:rsid w:val="00261A39"/>
    <w:rsid w:val="00261DF3"/>
    <w:rsid w:val="002623D0"/>
    <w:rsid w:val="00262BED"/>
    <w:rsid w:val="0026302B"/>
    <w:rsid w:val="0026302C"/>
    <w:rsid w:val="002635C8"/>
    <w:rsid w:val="00263CF0"/>
    <w:rsid w:val="00265A30"/>
    <w:rsid w:val="00265CF2"/>
    <w:rsid w:val="00265F6C"/>
    <w:rsid w:val="002665E3"/>
    <w:rsid w:val="00266A28"/>
    <w:rsid w:val="00267301"/>
    <w:rsid w:val="0026738C"/>
    <w:rsid w:val="00270258"/>
    <w:rsid w:val="0027079B"/>
    <w:rsid w:val="00270C63"/>
    <w:rsid w:val="00270E44"/>
    <w:rsid w:val="00271492"/>
    <w:rsid w:val="002719D7"/>
    <w:rsid w:val="00271EC4"/>
    <w:rsid w:val="00272507"/>
    <w:rsid w:val="002732E1"/>
    <w:rsid w:val="00273511"/>
    <w:rsid w:val="00273959"/>
    <w:rsid w:val="002739F0"/>
    <w:rsid w:val="00273D5C"/>
    <w:rsid w:val="00273DEE"/>
    <w:rsid w:val="00274293"/>
    <w:rsid w:val="002742B7"/>
    <w:rsid w:val="00274410"/>
    <w:rsid w:val="00274640"/>
    <w:rsid w:val="002746AC"/>
    <w:rsid w:val="0027585E"/>
    <w:rsid w:val="00275B46"/>
    <w:rsid w:val="002763CA"/>
    <w:rsid w:val="002764C5"/>
    <w:rsid w:val="0027682B"/>
    <w:rsid w:val="0027701C"/>
    <w:rsid w:val="002771A6"/>
    <w:rsid w:val="00277381"/>
    <w:rsid w:val="002775EE"/>
    <w:rsid w:val="002800EC"/>
    <w:rsid w:val="00280161"/>
    <w:rsid w:val="0028045E"/>
    <w:rsid w:val="002807BF"/>
    <w:rsid w:val="002812C6"/>
    <w:rsid w:val="0028166A"/>
    <w:rsid w:val="00281893"/>
    <w:rsid w:val="002824B4"/>
    <w:rsid w:val="00282626"/>
    <w:rsid w:val="002826C2"/>
    <w:rsid w:val="00282B52"/>
    <w:rsid w:val="0028313E"/>
    <w:rsid w:val="002832C5"/>
    <w:rsid w:val="002834A7"/>
    <w:rsid w:val="00283944"/>
    <w:rsid w:val="002842B5"/>
    <w:rsid w:val="002842C5"/>
    <w:rsid w:val="00284AAE"/>
    <w:rsid w:val="002853AF"/>
    <w:rsid w:val="0028598B"/>
    <w:rsid w:val="002859B2"/>
    <w:rsid w:val="00285B76"/>
    <w:rsid w:val="002864D3"/>
    <w:rsid w:val="00286DA6"/>
    <w:rsid w:val="00287487"/>
    <w:rsid w:val="00287D14"/>
    <w:rsid w:val="002902E2"/>
    <w:rsid w:val="00290964"/>
    <w:rsid w:val="00293533"/>
    <w:rsid w:val="002939A3"/>
    <w:rsid w:val="00293B42"/>
    <w:rsid w:val="00293C77"/>
    <w:rsid w:val="00294624"/>
    <w:rsid w:val="002946F4"/>
    <w:rsid w:val="00294EA6"/>
    <w:rsid w:val="002950E6"/>
    <w:rsid w:val="00295F1F"/>
    <w:rsid w:val="00296615"/>
    <w:rsid w:val="002969BA"/>
    <w:rsid w:val="00297846"/>
    <w:rsid w:val="00297F7C"/>
    <w:rsid w:val="002A0167"/>
    <w:rsid w:val="002A032A"/>
    <w:rsid w:val="002A0746"/>
    <w:rsid w:val="002A0F8F"/>
    <w:rsid w:val="002A11A4"/>
    <w:rsid w:val="002A1DB1"/>
    <w:rsid w:val="002A1ED5"/>
    <w:rsid w:val="002A280C"/>
    <w:rsid w:val="002A2B91"/>
    <w:rsid w:val="002A2D30"/>
    <w:rsid w:val="002A3DD6"/>
    <w:rsid w:val="002A4134"/>
    <w:rsid w:val="002A4CF0"/>
    <w:rsid w:val="002A5D90"/>
    <w:rsid w:val="002A65AA"/>
    <w:rsid w:val="002A65BE"/>
    <w:rsid w:val="002A7089"/>
    <w:rsid w:val="002A7409"/>
    <w:rsid w:val="002A7FF0"/>
    <w:rsid w:val="002B010A"/>
    <w:rsid w:val="002B02DF"/>
    <w:rsid w:val="002B02FB"/>
    <w:rsid w:val="002B05C3"/>
    <w:rsid w:val="002B0A28"/>
    <w:rsid w:val="002B0DD4"/>
    <w:rsid w:val="002B152C"/>
    <w:rsid w:val="002B15D1"/>
    <w:rsid w:val="002B2256"/>
    <w:rsid w:val="002B289C"/>
    <w:rsid w:val="002B2B46"/>
    <w:rsid w:val="002B2BD8"/>
    <w:rsid w:val="002B3045"/>
    <w:rsid w:val="002B37EE"/>
    <w:rsid w:val="002B3F54"/>
    <w:rsid w:val="002B45A6"/>
    <w:rsid w:val="002B4904"/>
    <w:rsid w:val="002B546C"/>
    <w:rsid w:val="002B56F3"/>
    <w:rsid w:val="002B5DEE"/>
    <w:rsid w:val="002B5E0A"/>
    <w:rsid w:val="002B6013"/>
    <w:rsid w:val="002B64F9"/>
    <w:rsid w:val="002B7399"/>
    <w:rsid w:val="002C0637"/>
    <w:rsid w:val="002C09C9"/>
    <w:rsid w:val="002C0E7F"/>
    <w:rsid w:val="002C13F2"/>
    <w:rsid w:val="002C1420"/>
    <w:rsid w:val="002C15AD"/>
    <w:rsid w:val="002C1F71"/>
    <w:rsid w:val="002C25BD"/>
    <w:rsid w:val="002C2637"/>
    <w:rsid w:val="002C2707"/>
    <w:rsid w:val="002C29A6"/>
    <w:rsid w:val="002C357F"/>
    <w:rsid w:val="002C5280"/>
    <w:rsid w:val="002C5E91"/>
    <w:rsid w:val="002C6377"/>
    <w:rsid w:val="002C7215"/>
    <w:rsid w:val="002C745E"/>
    <w:rsid w:val="002C7762"/>
    <w:rsid w:val="002C7B51"/>
    <w:rsid w:val="002D0361"/>
    <w:rsid w:val="002D1A7C"/>
    <w:rsid w:val="002D1CB2"/>
    <w:rsid w:val="002D1E5D"/>
    <w:rsid w:val="002D1F54"/>
    <w:rsid w:val="002D2226"/>
    <w:rsid w:val="002D2CE7"/>
    <w:rsid w:val="002D2FD5"/>
    <w:rsid w:val="002D3611"/>
    <w:rsid w:val="002D389C"/>
    <w:rsid w:val="002D3AF9"/>
    <w:rsid w:val="002D3CD7"/>
    <w:rsid w:val="002D4F4D"/>
    <w:rsid w:val="002D539B"/>
    <w:rsid w:val="002D6246"/>
    <w:rsid w:val="002D65D8"/>
    <w:rsid w:val="002D6B67"/>
    <w:rsid w:val="002D6FB6"/>
    <w:rsid w:val="002D7137"/>
    <w:rsid w:val="002E1821"/>
    <w:rsid w:val="002E243B"/>
    <w:rsid w:val="002E2A6F"/>
    <w:rsid w:val="002E2B9A"/>
    <w:rsid w:val="002E388D"/>
    <w:rsid w:val="002E38B4"/>
    <w:rsid w:val="002E39CD"/>
    <w:rsid w:val="002E3EF3"/>
    <w:rsid w:val="002E442F"/>
    <w:rsid w:val="002E4D8C"/>
    <w:rsid w:val="002E51AB"/>
    <w:rsid w:val="002E547D"/>
    <w:rsid w:val="002E556A"/>
    <w:rsid w:val="002E5612"/>
    <w:rsid w:val="002E5ADE"/>
    <w:rsid w:val="002E713A"/>
    <w:rsid w:val="002E7D86"/>
    <w:rsid w:val="002F0713"/>
    <w:rsid w:val="002F0716"/>
    <w:rsid w:val="002F0760"/>
    <w:rsid w:val="002F0E31"/>
    <w:rsid w:val="002F0F10"/>
    <w:rsid w:val="002F19B6"/>
    <w:rsid w:val="002F20A0"/>
    <w:rsid w:val="002F2196"/>
    <w:rsid w:val="002F388D"/>
    <w:rsid w:val="002F3BBC"/>
    <w:rsid w:val="002F3DD4"/>
    <w:rsid w:val="002F41B5"/>
    <w:rsid w:val="002F41DB"/>
    <w:rsid w:val="002F49CD"/>
    <w:rsid w:val="002F49EE"/>
    <w:rsid w:val="002F58C6"/>
    <w:rsid w:val="002F5913"/>
    <w:rsid w:val="002F6674"/>
    <w:rsid w:val="002F67BC"/>
    <w:rsid w:val="002F6AD5"/>
    <w:rsid w:val="002F7462"/>
    <w:rsid w:val="002F752F"/>
    <w:rsid w:val="002F7DD2"/>
    <w:rsid w:val="00301AA6"/>
    <w:rsid w:val="003023F2"/>
    <w:rsid w:val="00303A17"/>
    <w:rsid w:val="00303C6B"/>
    <w:rsid w:val="00303F7C"/>
    <w:rsid w:val="003046D8"/>
    <w:rsid w:val="003049D1"/>
    <w:rsid w:val="00304A7B"/>
    <w:rsid w:val="00305842"/>
    <w:rsid w:val="003058CB"/>
    <w:rsid w:val="00305C5D"/>
    <w:rsid w:val="00306395"/>
    <w:rsid w:val="003072E7"/>
    <w:rsid w:val="00307444"/>
    <w:rsid w:val="00307CA0"/>
    <w:rsid w:val="00310CD7"/>
    <w:rsid w:val="00310EB2"/>
    <w:rsid w:val="00311550"/>
    <w:rsid w:val="0031165F"/>
    <w:rsid w:val="0031286F"/>
    <w:rsid w:val="00312B06"/>
    <w:rsid w:val="003133EB"/>
    <w:rsid w:val="003135BA"/>
    <w:rsid w:val="00313E99"/>
    <w:rsid w:val="0031411A"/>
    <w:rsid w:val="0031470B"/>
    <w:rsid w:val="003149AA"/>
    <w:rsid w:val="00314CF3"/>
    <w:rsid w:val="00314E36"/>
    <w:rsid w:val="003152B7"/>
    <w:rsid w:val="0031583E"/>
    <w:rsid w:val="00315A0F"/>
    <w:rsid w:val="00315E83"/>
    <w:rsid w:val="00316643"/>
    <w:rsid w:val="00316886"/>
    <w:rsid w:val="00317133"/>
    <w:rsid w:val="00317842"/>
    <w:rsid w:val="00317C19"/>
    <w:rsid w:val="00317F29"/>
    <w:rsid w:val="00320053"/>
    <w:rsid w:val="00320E40"/>
    <w:rsid w:val="00320FAD"/>
    <w:rsid w:val="003215A1"/>
    <w:rsid w:val="00321609"/>
    <w:rsid w:val="00321DED"/>
    <w:rsid w:val="00322210"/>
    <w:rsid w:val="00322D2D"/>
    <w:rsid w:val="003232D3"/>
    <w:rsid w:val="0032343B"/>
    <w:rsid w:val="00323DA9"/>
    <w:rsid w:val="00323E00"/>
    <w:rsid w:val="00324A95"/>
    <w:rsid w:val="003254CD"/>
    <w:rsid w:val="003258BD"/>
    <w:rsid w:val="00325E41"/>
    <w:rsid w:val="0032600D"/>
    <w:rsid w:val="0032600E"/>
    <w:rsid w:val="00326122"/>
    <w:rsid w:val="00326171"/>
    <w:rsid w:val="0032664A"/>
    <w:rsid w:val="00326D14"/>
    <w:rsid w:val="00327427"/>
    <w:rsid w:val="003278D5"/>
    <w:rsid w:val="00330D2C"/>
    <w:rsid w:val="00331BDF"/>
    <w:rsid w:val="00331FBE"/>
    <w:rsid w:val="0033230A"/>
    <w:rsid w:val="0033249A"/>
    <w:rsid w:val="003337A5"/>
    <w:rsid w:val="003337E2"/>
    <w:rsid w:val="00333F9C"/>
    <w:rsid w:val="0033420E"/>
    <w:rsid w:val="00334821"/>
    <w:rsid w:val="00334FC1"/>
    <w:rsid w:val="00335085"/>
    <w:rsid w:val="00335243"/>
    <w:rsid w:val="003352DE"/>
    <w:rsid w:val="00335634"/>
    <w:rsid w:val="00335E36"/>
    <w:rsid w:val="00336419"/>
    <w:rsid w:val="00336846"/>
    <w:rsid w:val="003369A1"/>
    <w:rsid w:val="00336CFC"/>
    <w:rsid w:val="003371E9"/>
    <w:rsid w:val="00337268"/>
    <w:rsid w:val="00337395"/>
    <w:rsid w:val="00337BA4"/>
    <w:rsid w:val="00337F78"/>
    <w:rsid w:val="00340926"/>
    <w:rsid w:val="00341709"/>
    <w:rsid w:val="003422E6"/>
    <w:rsid w:val="0034261A"/>
    <w:rsid w:val="003429B1"/>
    <w:rsid w:val="00344083"/>
    <w:rsid w:val="00344352"/>
    <w:rsid w:val="00344AD8"/>
    <w:rsid w:val="00344D77"/>
    <w:rsid w:val="003450E2"/>
    <w:rsid w:val="003456C0"/>
    <w:rsid w:val="00345CF1"/>
    <w:rsid w:val="003460A3"/>
    <w:rsid w:val="0034632D"/>
    <w:rsid w:val="003466C2"/>
    <w:rsid w:val="00346778"/>
    <w:rsid w:val="00346B34"/>
    <w:rsid w:val="003479BA"/>
    <w:rsid w:val="00350194"/>
    <w:rsid w:val="003501F4"/>
    <w:rsid w:val="003513AF"/>
    <w:rsid w:val="0035162C"/>
    <w:rsid w:val="00352009"/>
    <w:rsid w:val="003520C7"/>
    <w:rsid w:val="00352490"/>
    <w:rsid w:val="00352A19"/>
    <w:rsid w:val="00352A1C"/>
    <w:rsid w:val="00352C50"/>
    <w:rsid w:val="00352F1E"/>
    <w:rsid w:val="00352FF6"/>
    <w:rsid w:val="00353F59"/>
    <w:rsid w:val="00354AFB"/>
    <w:rsid w:val="00354C94"/>
    <w:rsid w:val="00355225"/>
    <w:rsid w:val="00355479"/>
    <w:rsid w:val="003559AA"/>
    <w:rsid w:val="00356864"/>
    <w:rsid w:val="003573DF"/>
    <w:rsid w:val="00360E72"/>
    <w:rsid w:val="00360FB1"/>
    <w:rsid w:val="0036122B"/>
    <w:rsid w:val="0036143F"/>
    <w:rsid w:val="00361667"/>
    <w:rsid w:val="00361712"/>
    <w:rsid w:val="00362D71"/>
    <w:rsid w:val="00363084"/>
    <w:rsid w:val="0036348F"/>
    <w:rsid w:val="00363B8D"/>
    <w:rsid w:val="00364216"/>
    <w:rsid w:val="003642CE"/>
    <w:rsid w:val="003647CC"/>
    <w:rsid w:val="00364C81"/>
    <w:rsid w:val="00365C34"/>
    <w:rsid w:val="003660A6"/>
    <w:rsid w:val="00367D1B"/>
    <w:rsid w:val="00370A41"/>
    <w:rsid w:val="003717BD"/>
    <w:rsid w:val="00372F53"/>
    <w:rsid w:val="00373236"/>
    <w:rsid w:val="003738C4"/>
    <w:rsid w:val="003739E1"/>
    <w:rsid w:val="00373E68"/>
    <w:rsid w:val="00374941"/>
    <w:rsid w:val="00374A9A"/>
    <w:rsid w:val="00374F8A"/>
    <w:rsid w:val="00376246"/>
    <w:rsid w:val="003762CF"/>
    <w:rsid w:val="00376533"/>
    <w:rsid w:val="003773EA"/>
    <w:rsid w:val="003775F1"/>
    <w:rsid w:val="00377976"/>
    <w:rsid w:val="00377DB5"/>
    <w:rsid w:val="00377DE6"/>
    <w:rsid w:val="003803F2"/>
    <w:rsid w:val="0038062F"/>
    <w:rsid w:val="00380A7A"/>
    <w:rsid w:val="00380F39"/>
    <w:rsid w:val="003810E5"/>
    <w:rsid w:val="003815D9"/>
    <w:rsid w:val="00381932"/>
    <w:rsid w:val="00381E78"/>
    <w:rsid w:val="00382183"/>
    <w:rsid w:val="003821B8"/>
    <w:rsid w:val="003822BA"/>
    <w:rsid w:val="0038332B"/>
    <w:rsid w:val="0038333D"/>
    <w:rsid w:val="003837F2"/>
    <w:rsid w:val="003838F7"/>
    <w:rsid w:val="003840A7"/>
    <w:rsid w:val="0038465C"/>
    <w:rsid w:val="0038494C"/>
    <w:rsid w:val="00384C61"/>
    <w:rsid w:val="00384ED4"/>
    <w:rsid w:val="00385314"/>
    <w:rsid w:val="003853D6"/>
    <w:rsid w:val="00385534"/>
    <w:rsid w:val="0038567D"/>
    <w:rsid w:val="00385A85"/>
    <w:rsid w:val="00386D98"/>
    <w:rsid w:val="00387FAE"/>
    <w:rsid w:val="0039055F"/>
    <w:rsid w:val="003907CD"/>
    <w:rsid w:val="003908E1"/>
    <w:rsid w:val="00390BAD"/>
    <w:rsid w:val="00390BB3"/>
    <w:rsid w:val="00391610"/>
    <w:rsid w:val="00391B12"/>
    <w:rsid w:val="0039288A"/>
    <w:rsid w:val="00392BFC"/>
    <w:rsid w:val="00392D17"/>
    <w:rsid w:val="00392F42"/>
    <w:rsid w:val="00393290"/>
    <w:rsid w:val="0039356C"/>
    <w:rsid w:val="00393665"/>
    <w:rsid w:val="003936CB"/>
    <w:rsid w:val="0039396C"/>
    <w:rsid w:val="00393B95"/>
    <w:rsid w:val="00394F06"/>
    <w:rsid w:val="00394F46"/>
    <w:rsid w:val="003951EB"/>
    <w:rsid w:val="0039585C"/>
    <w:rsid w:val="00395C2A"/>
    <w:rsid w:val="00396065"/>
    <w:rsid w:val="00396F9F"/>
    <w:rsid w:val="003A02DD"/>
    <w:rsid w:val="003A0542"/>
    <w:rsid w:val="003A057E"/>
    <w:rsid w:val="003A0A66"/>
    <w:rsid w:val="003A1AEF"/>
    <w:rsid w:val="003A1DC1"/>
    <w:rsid w:val="003A2683"/>
    <w:rsid w:val="003A26C1"/>
    <w:rsid w:val="003A26C8"/>
    <w:rsid w:val="003A2946"/>
    <w:rsid w:val="003A30B5"/>
    <w:rsid w:val="003A32B9"/>
    <w:rsid w:val="003A3A90"/>
    <w:rsid w:val="003A4240"/>
    <w:rsid w:val="003A4CD9"/>
    <w:rsid w:val="003A4DC0"/>
    <w:rsid w:val="003A52DD"/>
    <w:rsid w:val="003A5C2D"/>
    <w:rsid w:val="003A5D40"/>
    <w:rsid w:val="003A68DF"/>
    <w:rsid w:val="003A79F7"/>
    <w:rsid w:val="003A7F7C"/>
    <w:rsid w:val="003B0599"/>
    <w:rsid w:val="003B08F1"/>
    <w:rsid w:val="003B0D7D"/>
    <w:rsid w:val="003B110F"/>
    <w:rsid w:val="003B1EFD"/>
    <w:rsid w:val="003B1FB2"/>
    <w:rsid w:val="003B206F"/>
    <w:rsid w:val="003B274C"/>
    <w:rsid w:val="003B2986"/>
    <w:rsid w:val="003B2CB8"/>
    <w:rsid w:val="003B3CAD"/>
    <w:rsid w:val="003B407D"/>
    <w:rsid w:val="003B4732"/>
    <w:rsid w:val="003B4997"/>
    <w:rsid w:val="003B5836"/>
    <w:rsid w:val="003B5D3D"/>
    <w:rsid w:val="003B631B"/>
    <w:rsid w:val="003B66C6"/>
    <w:rsid w:val="003B7985"/>
    <w:rsid w:val="003C0784"/>
    <w:rsid w:val="003C0E72"/>
    <w:rsid w:val="003C13F9"/>
    <w:rsid w:val="003C1D98"/>
    <w:rsid w:val="003C23C2"/>
    <w:rsid w:val="003C2453"/>
    <w:rsid w:val="003C280C"/>
    <w:rsid w:val="003C2962"/>
    <w:rsid w:val="003C2E4A"/>
    <w:rsid w:val="003C33A5"/>
    <w:rsid w:val="003C33CC"/>
    <w:rsid w:val="003C3A7B"/>
    <w:rsid w:val="003C411B"/>
    <w:rsid w:val="003C42BA"/>
    <w:rsid w:val="003C484A"/>
    <w:rsid w:val="003C4F68"/>
    <w:rsid w:val="003C5397"/>
    <w:rsid w:val="003C53FC"/>
    <w:rsid w:val="003C5903"/>
    <w:rsid w:val="003C5A32"/>
    <w:rsid w:val="003C73A0"/>
    <w:rsid w:val="003C749C"/>
    <w:rsid w:val="003C74F6"/>
    <w:rsid w:val="003D03DE"/>
    <w:rsid w:val="003D060F"/>
    <w:rsid w:val="003D09CD"/>
    <w:rsid w:val="003D0EBE"/>
    <w:rsid w:val="003D0FBF"/>
    <w:rsid w:val="003D1320"/>
    <w:rsid w:val="003D13D9"/>
    <w:rsid w:val="003D170A"/>
    <w:rsid w:val="003D26F4"/>
    <w:rsid w:val="003D2892"/>
    <w:rsid w:val="003D3282"/>
    <w:rsid w:val="003D33BE"/>
    <w:rsid w:val="003D380E"/>
    <w:rsid w:val="003D4A73"/>
    <w:rsid w:val="003D4E8F"/>
    <w:rsid w:val="003D5173"/>
    <w:rsid w:val="003D624C"/>
    <w:rsid w:val="003D62B4"/>
    <w:rsid w:val="003D649A"/>
    <w:rsid w:val="003D6652"/>
    <w:rsid w:val="003D7CB9"/>
    <w:rsid w:val="003D7E8D"/>
    <w:rsid w:val="003E012D"/>
    <w:rsid w:val="003E031D"/>
    <w:rsid w:val="003E0C5A"/>
    <w:rsid w:val="003E0CDA"/>
    <w:rsid w:val="003E128D"/>
    <w:rsid w:val="003E18E4"/>
    <w:rsid w:val="003E1B4E"/>
    <w:rsid w:val="003E2BCE"/>
    <w:rsid w:val="003E358E"/>
    <w:rsid w:val="003E3754"/>
    <w:rsid w:val="003E3C24"/>
    <w:rsid w:val="003E3CB1"/>
    <w:rsid w:val="003E3F7A"/>
    <w:rsid w:val="003E40CF"/>
    <w:rsid w:val="003E436F"/>
    <w:rsid w:val="003E456B"/>
    <w:rsid w:val="003E4683"/>
    <w:rsid w:val="003E4E32"/>
    <w:rsid w:val="003E4E6A"/>
    <w:rsid w:val="003E52D0"/>
    <w:rsid w:val="003E5C38"/>
    <w:rsid w:val="003E66D5"/>
    <w:rsid w:val="003E7383"/>
    <w:rsid w:val="003E75E3"/>
    <w:rsid w:val="003F01A4"/>
    <w:rsid w:val="003F086A"/>
    <w:rsid w:val="003F0ADD"/>
    <w:rsid w:val="003F0EAF"/>
    <w:rsid w:val="003F10BA"/>
    <w:rsid w:val="003F15CB"/>
    <w:rsid w:val="003F1790"/>
    <w:rsid w:val="003F1E07"/>
    <w:rsid w:val="003F1FD7"/>
    <w:rsid w:val="003F23C2"/>
    <w:rsid w:val="003F26F8"/>
    <w:rsid w:val="003F2E92"/>
    <w:rsid w:val="003F32D9"/>
    <w:rsid w:val="003F3399"/>
    <w:rsid w:val="003F38F9"/>
    <w:rsid w:val="003F3991"/>
    <w:rsid w:val="003F4212"/>
    <w:rsid w:val="003F44CB"/>
    <w:rsid w:val="003F474D"/>
    <w:rsid w:val="003F4A62"/>
    <w:rsid w:val="003F54EB"/>
    <w:rsid w:val="003F57B2"/>
    <w:rsid w:val="003F5A0A"/>
    <w:rsid w:val="003F5EC2"/>
    <w:rsid w:val="003F63ED"/>
    <w:rsid w:val="003F67D2"/>
    <w:rsid w:val="003F67D8"/>
    <w:rsid w:val="003F6F1F"/>
    <w:rsid w:val="003F6F32"/>
    <w:rsid w:val="003F74F0"/>
    <w:rsid w:val="0040017C"/>
    <w:rsid w:val="00400458"/>
    <w:rsid w:val="00400494"/>
    <w:rsid w:val="0040077C"/>
    <w:rsid w:val="00400C83"/>
    <w:rsid w:val="00400DA7"/>
    <w:rsid w:val="0040121E"/>
    <w:rsid w:val="00401503"/>
    <w:rsid w:val="004026BE"/>
    <w:rsid w:val="00402CBC"/>
    <w:rsid w:val="004032C5"/>
    <w:rsid w:val="00403722"/>
    <w:rsid w:val="0040448B"/>
    <w:rsid w:val="004048EF"/>
    <w:rsid w:val="00404A90"/>
    <w:rsid w:val="00405986"/>
    <w:rsid w:val="00405B60"/>
    <w:rsid w:val="00405DC3"/>
    <w:rsid w:val="00406D32"/>
    <w:rsid w:val="00407A73"/>
    <w:rsid w:val="00407BCF"/>
    <w:rsid w:val="00407D28"/>
    <w:rsid w:val="00410111"/>
    <w:rsid w:val="00410411"/>
    <w:rsid w:val="004105A2"/>
    <w:rsid w:val="004114F9"/>
    <w:rsid w:val="00412CCD"/>
    <w:rsid w:val="004132FB"/>
    <w:rsid w:val="00413AFA"/>
    <w:rsid w:val="004143FC"/>
    <w:rsid w:val="00414B15"/>
    <w:rsid w:val="00415147"/>
    <w:rsid w:val="0041536D"/>
    <w:rsid w:val="004159DD"/>
    <w:rsid w:val="00416776"/>
    <w:rsid w:val="00416DBB"/>
    <w:rsid w:val="00420218"/>
    <w:rsid w:val="00420382"/>
    <w:rsid w:val="004206C6"/>
    <w:rsid w:val="00420935"/>
    <w:rsid w:val="004209A6"/>
    <w:rsid w:val="00420FB7"/>
    <w:rsid w:val="00421185"/>
    <w:rsid w:val="00421758"/>
    <w:rsid w:val="00421817"/>
    <w:rsid w:val="00421A26"/>
    <w:rsid w:val="00421B1E"/>
    <w:rsid w:val="00421B23"/>
    <w:rsid w:val="00421DDA"/>
    <w:rsid w:val="00422700"/>
    <w:rsid w:val="0042305F"/>
    <w:rsid w:val="00423798"/>
    <w:rsid w:val="0042381F"/>
    <w:rsid w:val="00423957"/>
    <w:rsid w:val="004239B2"/>
    <w:rsid w:val="00424035"/>
    <w:rsid w:val="004243A7"/>
    <w:rsid w:val="00424CEE"/>
    <w:rsid w:val="00424DF0"/>
    <w:rsid w:val="004251E3"/>
    <w:rsid w:val="00425AEA"/>
    <w:rsid w:val="00426055"/>
    <w:rsid w:val="00426572"/>
    <w:rsid w:val="00426BD6"/>
    <w:rsid w:val="00430104"/>
    <w:rsid w:val="0043048D"/>
    <w:rsid w:val="004305D0"/>
    <w:rsid w:val="00430F37"/>
    <w:rsid w:val="004314C2"/>
    <w:rsid w:val="00431E76"/>
    <w:rsid w:val="0043211C"/>
    <w:rsid w:val="00432F7F"/>
    <w:rsid w:val="0043343C"/>
    <w:rsid w:val="00433D9E"/>
    <w:rsid w:val="00433FD2"/>
    <w:rsid w:val="00434FE0"/>
    <w:rsid w:val="0043535D"/>
    <w:rsid w:val="00435C32"/>
    <w:rsid w:val="00435FD0"/>
    <w:rsid w:val="0043626B"/>
    <w:rsid w:val="0043681A"/>
    <w:rsid w:val="00436A43"/>
    <w:rsid w:val="00436E3F"/>
    <w:rsid w:val="0043756C"/>
    <w:rsid w:val="00437C2D"/>
    <w:rsid w:val="004405CB"/>
    <w:rsid w:val="00440880"/>
    <w:rsid w:val="00440ACC"/>
    <w:rsid w:val="00441255"/>
    <w:rsid w:val="004418EE"/>
    <w:rsid w:val="00441B9C"/>
    <w:rsid w:val="00442791"/>
    <w:rsid w:val="00442A36"/>
    <w:rsid w:val="00443473"/>
    <w:rsid w:val="00443BD9"/>
    <w:rsid w:val="00444664"/>
    <w:rsid w:val="004448B1"/>
    <w:rsid w:val="00444C3C"/>
    <w:rsid w:val="0044587B"/>
    <w:rsid w:val="00445A01"/>
    <w:rsid w:val="00445D7A"/>
    <w:rsid w:val="00446932"/>
    <w:rsid w:val="00446BA5"/>
    <w:rsid w:val="00447DC6"/>
    <w:rsid w:val="004500FB"/>
    <w:rsid w:val="00450393"/>
    <w:rsid w:val="004504E9"/>
    <w:rsid w:val="00450F10"/>
    <w:rsid w:val="00451189"/>
    <w:rsid w:val="00451228"/>
    <w:rsid w:val="0045169B"/>
    <w:rsid w:val="004516E4"/>
    <w:rsid w:val="004525A2"/>
    <w:rsid w:val="0045290C"/>
    <w:rsid w:val="00452F68"/>
    <w:rsid w:val="0045316E"/>
    <w:rsid w:val="004543FB"/>
    <w:rsid w:val="00455804"/>
    <w:rsid w:val="00455F10"/>
    <w:rsid w:val="0045601C"/>
    <w:rsid w:val="00456CF1"/>
    <w:rsid w:val="0045789D"/>
    <w:rsid w:val="004579BA"/>
    <w:rsid w:val="00457FDC"/>
    <w:rsid w:val="00457FDD"/>
    <w:rsid w:val="0046062F"/>
    <w:rsid w:val="0046118C"/>
    <w:rsid w:val="004611B3"/>
    <w:rsid w:val="004615ED"/>
    <w:rsid w:val="0046164D"/>
    <w:rsid w:val="00461AFC"/>
    <w:rsid w:val="004626C5"/>
    <w:rsid w:val="004626DC"/>
    <w:rsid w:val="00462A68"/>
    <w:rsid w:val="00464176"/>
    <w:rsid w:val="004645FC"/>
    <w:rsid w:val="004677B7"/>
    <w:rsid w:val="00470A28"/>
    <w:rsid w:val="00470A2A"/>
    <w:rsid w:val="004711D2"/>
    <w:rsid w:val="004714C6"/>
    <w:rsid w:val="00471D79"/>
    <w:rsid w:val="00472B6F"/>
    <w:rsid w:val="00474244"/>
    <w:rsid w:val="00474B69"/>
    <w:rsid w:val="00474CFE"/>
    <w:rsid w:val="00475983"/>
    <w:rsid w:val="00475B92"/>
    <w:rsid w:val="00475DE0"/>
    <w:rsid w:val="00475F0D"/>
    <w:rsid w:val="00475F50"/>
    <w:rsid w:val="00475F8A"/>
    <w:rsid w:val="00475FFF"/>
    <w:rsid w:val="00476524"/>
    <w:rsid w:val="004768D9"/>
    <w:rsid w:val="00476E39"/>
    <w:rsid w:val="00476ED1"/>
    <w:rsid w:val="00477D46"/>
    <w:rsid w:val="0048023F"/>
    <w:rsid w:val="004806B5"/>
    <w:rsid w:val="004809F3"/>
    <w:rsid w:val="00480B32"/>
    <w:rsid w:val="00480B4F"/>
    <w:rsid w:val="00480D3F"/>
    <w:rsid w:val="004810F7"/>
    <w:rsid w:val="00481AFC"/>
    <w:rsid w:val="00481BF8"/>
    <w:rsid w:val="00481EE3"/>
    <w:rsid w:val="00482592"/>
    <w:rsid w:val="00482A59"/>
    <w:rsid w:val="00482AFC"/>
    <w:rsid w:val="00483918"/>
    <w:rsid w:val="004839AC"/>
    <w:rsid w:val="004840B0"/>
    <w:rsid w:val="00484690"/>
    <w:rsid w:val="00484DFC"/>
    <w:rsid w:val="0048595B"/>
    <w:rsid w:val="00485C44"/>
    <w:rsid w:val="00485DF3"/>
    <w:rsid w:val="00485F98"/>
    <w:rsid w:val="004860A9"/>
    <w:rsid w:val="004866AB"/>
    <w:rsid w:val="004866C6"/>
    <w:rsid w:val="004866CA"/>
    <w:rsid w:val="00486AA1"/>
    <w:rsid w:val="00486EC3"/>
    <w:rsid w:val="00486EF6"/>
    <w:rsid w:val="00487B2F"/>
    <w:rsid w:val="00487C18"/>
    <w:rsid w:val="004901AE"/>
    <w:rsid w:val="004901E2"/>
    <w:rsid w:val="004902D3"/>
    <w:rsid w:val="00490882"/>
    <w:rsid w:val="004909A2"/>
    <w:rsid w:val="004922F5"/>
    <w:rsid w:val="00492496"/>
    <w:rsid w:val="00492FFC"/>
    <w:rsid w:val="00493945"/>
    <w:rsid w:val="00493DCB"/>
    <w:rsid w:val="004942E4"/>
    <w:rsid w:val="004947FE"/>
    <w:rsid w:val="00494811"/>
    <w:rsid w:val="00494E5C"/>
    <w:rsid w:val="00494F62"/>
    <w:rsid w:val="00495683"/>
    <w:rsid w:val="00495A8A"/>
    <w:rsid w:val="00496551"/>
    <w:rsid w:val="004965B4"/>
    <w:rsid w:val="004968A4"/>
    <w:rsid w:val="00497663"/>
    <w:rsid w:val="00497CE9"/>
    <w:rsid w:val="004A04BE"/>
    <w:rsid w:val="004A0A24"/>
    <w:rsid w:val="004A0E28"/>
    <w:rsid w:val="004A13F4"/>
    <w:rsid w:val="004A3424"/>
    <w:rsid w:val="004A3A7F"/>
    <w:rsid w:val="004A414C"/>
    <w:rsid w:val="004A44EC"/>
    <w:rsid w:val="004A4638"/>
    <w:rsid w:val="004A4708"/>
    <w:rsid w:val="004A4C58"/>
    <w:rsid w:val="004A51FC"/>
    <w:rsid w:val="004A55DF"/>
    <w:rsid w:val="004A63B8"/>
    <w:rsid w:val="004A644A"/>
    <w:rsid w:val="004A66F7"/>
    <w:rsid w:val="004A68F0"/>
    <w:rsid w:val="004A70C5"/>
    <w:rsid w:val="004A713A"/>
    <w:rsid w:val="004A7E7C"/>
    <w:rsid w:val="004B02AC"/>
    <w:rsid w:val="004B030B"/>
    <w:rsid w:val="004B0EB0"/>
    <w:rsid w:val="004B125F"/>
    <w:rsid w:val="004B126F"/>
    <w:rsid w:val="004B148A"/>
    <w:rsid w:val="004B1D56"/>
    <w:rsid w:val="004B2018"/>
    <w:rsid w:val="004B2673"/>
    <w:rsid w:val="004B371D"/>
    <w:rsid w:val="004B39D4"/>
    <w:rsid w:val="004B3F42"/>
    <w:rsid w:val="004B473E"/>
    <w:rsid w:val="004B4A0E"/>
    <w:rsid w:val="004B4B14"/>
    <w:rsid w:val="004B4E11"/>
    <w:rsid w:val="004B5110"/>
    <w:rsid w:val="004B5496"/>
    <w:rsid w:val="004B6CE4"/>
    <w:rsid w:val="004B6CF3"/>
    <w:rsid w:val="004B6D5F"/>
    <w:rsid w:val="004B709F"/>
    <w:rsid w:val="004B7A94"/>
    <w:rsid w:val="004B7C7D"/>
    <w:rsid w:val="004B7FA5"/>
    <w:rsid w:val="004C0A74"/>
    <w:rsid w:val="004C0FE6"/>
    <w:rsid w:val="004C11A4"/>
    <w:rsid w:val="004C1224"/>
    <w:rsid w:val="004C2401"/>
    <w:rsid w:val="004C26A6"/>
    <w:rsid w:val="004C2AED"/>
    <w:rsid w:val="004C3024"/>
    <w:rsid w:val="004C3A52"/>
    <w:rsid w:val="004C3BB5"/>
    <w:rsid w:val="004C4291"/>
    <w:rsid w:val="004C4578"/>
    <w:rsid w:val="004C4734"/>
    <w:rsid w:val="004C51DA"/>
    <w:rsid w:val="004C526F"/>
    <w:rsid w:val="004C541D"/>
    <w:rsid w:val="004C5C9B"/>
    <w:rsid w:val="004C6022"/>
    <w:rsid w:val="004C694A"/>
    <w:rsid w:val="004C6B3C"/>
    <w:rsid w:val="004C78AC"/>
    <w:rsid w:val="004C7908"/>
    <w:rsid w:val="004C7D9D"/>
    <w:rsid w:val="004D0AB5"/>
    <w:rsid w:val="004D0B10"/>
    <w:rsid w:val="004D0F5C"/>
    <w:rsid w:val="004D12B1"/>
    <w:rsid w:val="004D1D71"/>
    <w:rsid w:val="004D2700"/>
    <w:rsid w:val="004D28BA"/>
    <w:rsid w:val="004D2B18"/>
    <w:rsid w:val="004D2B28"/>
    <w:rsid w:val="004D3130"/>
    <w:rsid w:val="004D3574"/>
    <w:rsid w:val="004D4936"/>
    <w:rsid w:val="004D4B5B"/>
    <w:rsid w:val="004D4F04"/>
    <w:rsid w:val="004D5285"/>
    <w:rsid w:val="004D53A5"/>
    <w:rsid w:val="004D5563"/>
    <w:rsid w:val="004D577C"/>
    <w:rsid w:val="004D57B1"/>
    <w:rsid w:val="004D5876"/>
    <w:rsid w:val="004D58E7"/>
    <w:rsid w:val="004D5D38"/>
    <w:rsid w:val="004D5EF9"/>
    <w:rsid w:val="004D73E2"/>
    <w:rsid w:val="004D74E1"/>
    <w:rsid w:val="004D76F6"/>
    <w:rsid w:val="004D7824"/>
    <w:rsid w:val="004E040E"/>
    <w:rsid w:val="004E0B35"/>
    <w:rsid w:val="004E233A"/>
    <w:rsid w:val="004E2BA6"/>
    <w:rsid w:val="004E3533"/>
    <w:rsid w:val="004E3E54"/>
    <w:rsid w:val="004E3E64"/>
    <w:rsid w:val="004E4549"/>
    <w:rsid w:val="004E45DB"/>
    <w:rsid w:val="004E503D"/>
    <w:rsid w:val="004E60C9"/>
    <w:rsid w:val="004E678E"/>
    <w:rsid w:val="004E6B97"/>
    <w:rsid w:val="004E6FA8"/>
    <w:rsid w:val="004E70C2"/>
    <w:rsid w:val="004E72E2"/>
    <w:rsid w:val="004F006A"/>
    <w:rsid w:val="004F0763"/>
    <w:rsid w:val="004F091E"/>
    <w:rsid w:val="004F0FEA"/>
    <w:rsid w:val="004F1066"/>
    <w:rsid w:val="004F11C3"/>
    <w:rsid w:val="004F150B"/>
    <w:rsid w:val="004F16FE"/>
    <w:rsid w:val="004F179D"/>
    <w:rsid w:val="004F1D71"/>
    <w:rsid w:val="004F2A5A"/>
    <w:rsid w:val="004F3244"/>
    <w:rsid w:val="004F3ED1"/>
    <w:rsid w:val="004F412B"/>
    <w:rsid w:val="004F50F4"/>
    <w:rsid w:val="004F5625"/>
    <w:rsid w:val="004F5EDC"/>
    <w:rsid w:val="004F637C"/>
    <w:rsid w:val="004F65D4"/>
    <w:rsid w:val="004F6A97"/>
    <w:rsid w:val="004F6F36"/>
    <w:rsid w:val="004F72DE"/>
    <w:rsid w:val="004F7588"/>
    <w:rsid w:val="004F77AB"/>
    <w:rsid w:val="00500714"/>
    <w:rsid w:val="0050096D"/>
    <w:rsid w:val="00500CFC"/>
    <w:rsid w:val="005011E1"/>
    <w:rsid w:val="005012A6"/>
    <w:rsid w:val="00501758"/>
    <w:rsid w:val="00501FB5"/>
    <w:rsid w:val="00502211"/>
    <w:rsid w:val="00502A47"/>
    <w:rsid w:val="00502C20"/>
    <w:rsid w:val="00502E64"/>
    <w:rsid w:val="00503E2F"/>
    <w:rsid w:val="00504D00"/>
    <w:rsid w:val="00505B11"/>
    <w:rsid w:val="00505D3B"/>
    <w:rsid w:val="0050632F"/>
    <w:rsid w:val="00506EEA"/>
    <w:rsid w:val="00507A3E"/>
    <w:rsid w:val="00507FE0"/>
    <w:rsid w:val="00510099"/>
    <w:rsid w:val="0051056F"/>
    <w:rsid w:val="005105C7"/>
    <w:rsid w:val="00510648"/>
    <w:rsid w:val="00510F36"/>
    <w:rsid w:val="00511517"/>
    <w:rsid w:val="00511C0F"/>
    <w:rsid w:val="00511D3E"/>
    <w:rsid w:val="005127A7"/>
    <w:rsid w:val="0051317E"/>
    <w:rsid w:val="0051335E"/>
    <w:rsid w:val="00513B61"/>
    <w:rsid w:val="00514A8A"/>
    <w:rsid w:val="0051517A"/>
    <w:rsid w:val="00515550"/>
    <w:rsid w:val="00515AFF"/>
    <w:rsid w:val="005161DA"/>
    <w:rsid w:val="00516797"/>
    <w:rsid w:val="00516C0D"/>
    <w:rsid w:val="00517BEB"/>
    <w:rsid w:val="005203E8"/>
    <w:rsid w:val="005208EB"/>
    <w:rsid w:val="005210D2"/>
    <w:rsid w:val="0052142E"/>
    <w:rsid w:val="00521773"/>
    <w:rsid w:val="00521B5C"/>
    <w:rsid w:val="00522724"/>
    <w:rsid w:val="00522A72"/>
    <w:rsid w:val="00522BDC"/>
    <w:rsid w:val="0052348B"/>
    <w:rsid w:val="0052398D"/>
    <w:rsid w:val="00523EE3"/>
    <w:rsid w:val="00523F6C"/>
    <w:rsid w:val="00524247"/>
    <w:rsid w:val="0052427B"/>
    <w:rsid w:val="005245AE"/>
    <w:rsid w:val="00524A71"/>
    <w:rsid w:val="00524D6E"/>
    <w:rsid w:val="00525698"/>
    <w:rsid w:val="00525FC5"/>
    <w:rsid w:val="00526848"/>
    <w:rsid w:val="00526B17"/>
    <w:rsid w:val="005275CD"/>
    <w:rsid w:val="00527D09"/>
    <w:rsid w:val="005300E4"/>
    <w:rsid w:val="0053048B"/>
    <w:rsid w:val="0053082A"/>
    <w:rsid w:val="00530AC0"/>
    <w:rsid w:val="00530B9D"/>
    <w:rsid w:val="00530F53"/>
    <w:rsid w:val="0053170B"/>
    <w:rsid w:val="00532BE9"/>
    <w:rsid w:val="0053314C"/>
    <w:rsid w:val="00533617"/>
    <w:rsid w:val="0053416C"/>
    <w:rsid w:val="005342F2"/>
    <w:rsid w:val="00534870"/>
    <w:rsid w:val="005350F5"/>
    <w:rsid w:val="00535AEC"/>
    <w:rsid w:val="00535B34"/>
    <w:rsid w:val="00535B78"/>
    <w:rsid w:val="005362CF"/>
    <w:rsid w:val="005363E7"/>
    <w:rsid w:val="005366FD"/>
    <w:rsid w:val="005369B4"/>
    <w:rsid w:val="00536DB0"/>
    <w:rsid w:val="0053791F"/>
    <w:rsid w:val="00537C55"/>
    <w:rsid w:val="005402EB"/>
    <w:rsid w:val="00540829"/>
    <w:rsid w:val="00540CD2"/>
    <w:rsid w:val="00541AA9"/>
    <w:rsid w:val="00541BE1"/>
    <w:rsid w:val="005429AD"/>
    <w:rsid w:val="00542BB7"/>
    <w:rsid w:val="00542BF2"/>
    <w:rsid w:val="00542DF2"/>
    <w:rsid w:val="00543149"/>
    <w:rsid w:val="005435B6"/>
    <w:rsid w:val="00543872"/>
    <w:rsid w:val="0054508F"/>
    <w:rsid w:val="0054541E"/>
    <w:rsid w:val="00545CED"/>
    <w:rsid w:val="00545E30"/>
    <w:rsid w:val="005475A5"/>
    <w:rsid w:val="00547E16"/>
    <w:rsid w:val="005503D2"/>
    <w:rsid w:val="005506CA"/>
    <w:rsid w:val="00551871"/>
    <w:rsid w:val="00551A52"/>
    <w:rsid w:val="005521E9"/>
    <w:rsid w:val="005528BD"/>
    <w:rsid w:val="00552A15"/>
    <w:rsid w:val="00552EE6"/>
    <w:rsid w:val="0055347F"/>
    <w:rsid w:val="00553B60"/>
    <w:rsid w:val="0055472E"/>
    <w:rsid w:val="00554F83"/>
    <w:rsid w:val="00555906"/>
    <w:rsid w:val="00555934"/>
    <w:rsid w:val="0055620C"/>
    <w:rsid w:val="0055622D"/>
    <w:rsid w:val="005567C1"/>
    <w:rsid w:val="00556A81"/>
    <w:rsid w:val="00556C77"/>
    <w:rsid w:val="00556DFF"/>
    <w:rsid w:val="005571C9"/>
    <w:rsid w:val="005574ED"/>
    <w:rsid w:val="005575C9"/>
    <w:rsid w:val="005575F1"/>
    <w:rsid w:val="00557B3B"/>
    <w:rsid w:val="0056008B"/>
    <w:rsid w:val="005602F0"/>
    <w:rsid w:val="005607E8"/>
    <w:rsid w:val="005616FD"/>
    <w:rsid w:val="00561BDA"/>
    <w:rsid w:val="005624B9"/>
    <w:rsid w:val="005624FB"/>
    <w:rsid w:val="0056253D"/>
    <w:rsid w:val="0056266B"/>
    <w:rsid w:val="005627AB"/>
    <w:rsid w:val="005628DC"/>
    <w:rsid w:val="00562BB1"/>
    <w:rsid w:val="00562C9B"/>
    <w:rsid w:val="00563324"/>
    <w:rsid w:val="00563E75"/>
    <w:rsid w:val="0056433A"/>
    <w:rsid w:val="00564612"/>
    <w:rsid w:val="00564967"/>
    <w:rsid w:val="00564CDA"/>
    <w:rsid w:val="00565292"/>
    <w:rsid w:val="00565851"/>
    <w:rsid w:val="00566CE5"/>
    <w:rsid w:val="00566E77"/>
    <w:rsid w:val="0056724F"/>
    <w:rsid w:val="0056729F"/>
    <w:rsid w:val="00567B8B"/>
    <w:rsid w:val="00567C2A"/>
    <w:rsid w:val="00567FC2"/>
    <w:rsid w:val="00567FD3"/>
    <w:rsid w:val="005708C8"/>
    <w:rsid w:val="005708FE"/>
    <w:rsid w:val="00570AEF"/>
    <w:rsid w:val="00570B0A"/>
    <w:rsid w:val="0057119E"/>
    <w:rsid w:val="005719ED"/>
    <w:rsid w:val="005724F8"/>
    <w:rsid w:val="005738A1"/>
    <w:rsid w:val="00574B1A"/>
    <w:rsid w:val="00575466"/>
    <w:rsid w:val="005757A1"/>
    <w:rsid w:val="00575B95"/>
    <w:rsid w:val="00575DF4"/>
    <w:rsid w:val="005761DE"/>
    <w:rsid w:val="0057661D"/>
    <w:rsid w:val="00576B43"/>
    <w:rsid w:val="0057710C"/>
    <w:rsid w:val="005772DF"/>
    <w:rsid w:val="0057774D"/>
    <w:rsid w:val="005804F1"/>
    <w:rsid w:val="00580A18"/>
    <w:rsid w:val="00581D6D"/>
    <w:rsid w:val="00581F6E"/>
    <w:rsid w:val="00582163"/>
    <w:rsid w:val="0058244C"/>
    <w:rsid w:val="00582ABC"/>
    <w:rsid w:val="00582D89"/>
    <w:rsid w:val="00582E6C"/>
    <w:rsid w:val="005838E0"/>
    <w:rsid w:val="00583F24"/>
    <w:rsid w:val="00584460"/>
    <w:rsid w:val="0058449F"/>
    <w:rsid w:val="005845F1"/>
    <w:rsid w:val="00584675"/>
    <w:rsid w:val="0058486E"/>
    <w:rsid w:val="00584E8D"/>
    <w:rsid w:val="00584F61"/>
    <w:rsid w:val="005854E8"/>
    <w:rsid w:val="00586960"/>
    <w:rsid w:val="005908E1"/>
    <w:rsid w:val="0059104B"/>
    <w:rsid w:val="005912E5"/>
    <w:rsid w:val="0059185A"/>
    <w:rsid w:val="00591E77"/>
    <w:rsid w:val="0059257B"/>
    <w:rsid w:val="00593282"/>
    <w:rsid w:val="005932EE"/>
    <w:rsid w:val="00593541"/>
    <w:rsid w:val="0059393B"/>
    <w:rsid w:val="00593C78"/>
    <w:rsid w:val="00593CAD"/>
    <w:rsid w:val="00594260"/>
    <w:rsid w:val="00594B94"/>
    <w:rsid w:val="00595588"/>
    <w:rsid w:val="00595786"/>
    <w:rsid w:val="00595AE9"/>
    <w:rsid w:val="00595BA3"/>
    <w:rsid w:val="00596840"/>
    <w:rsid w:val="00597620"/>
    <w:rsid w:val="00597849"/>
    <w:rsid w:val="00597D2E"/>
    <w:rsid w:val="005A0290"/>
    <w:rsid w:val="005A0BC6"/>
    <w:rsid w:val="005A1673"/>
    <w:rsid w:val="005A1854"/>
    <w:rsid w:val="005A2275"/>
    <w:rsid w:val="005A22B1"/>
    <w:rsid w:val="005A30E8"/>
    <w:rsid w:val="005A3752"/>
    <w:rsid w:val="005A4459"/>
    <w:rsid w:val="005A52DD"/>
    <w:rsid w:val="005A537C"/>
    <w:rsid w:val="005A5793"/>
    <w:rsid w:val="005A5DB2"/>
    <w:rsid w:val="005A60F1"/>
    <w:rsid w:val="005A6F4C"/>
    <w:rsid w:val="005A737C"/>
    <w:rsid w:val="005A75BB"/>
    <w:rsid w:val="005B05E4"/>
    <w:rsid w:val="005B0DEE"/>
    <w:rsid w:val="005B10D7"/>
    <w:rsid w:val="005B12E5"/>
    <w:rsid w:val="005B27B5"/>
    <w:rsid w:val="005B2938"/>
    <w:rsid w:val="005B3D1F"/>
    <w:rsid w:val="005B4A64"/>
    <w:rsid w:val="005B5639"/>
    <w:rsid w:val="005B6B5D"/>
    <w:rsid w:val="005B7275"/>
    <w:rsid w:val="005B7813"/>
    <w:rsid w:val="005B7B4A"/>
    <w:rsid w:val="005C0DAF"/>
    <w:rsid w:val="005C1905"/>
    <w:rsid w:val="005C2169"/>
    <w:rsid w:val="005C25E2"/>
    <w:rsid w:val="005C2F05"/>
    <w:rsid w:val="005C3438"/>
    <w:rsid w:val="005C400F"/>
    <w:rsid w:val="005C4189"/>
    <w:rsid w:val="005C4BFB"/>
    <w:rsid w:val="005C4EF4"/>
    <w:rsid w:val="005C5108"/>
    <w:rsid w:val="005C5EB1"/>
    <w:rsid w:val="005C648F"/>
    <w:rsid w:val="005C672B"/>
    <w:rsid w:val="005C6BC9"/>
    <w:rsid w:val="005C6BFA"/>
    <w:rsid w:val="005C6C5D"/>
    <w:rsid w:val="005C6C62"/>
    <w:rsid w:val="005C744D"/>
    <w:rsid w:val="005C7834"/>
    <w:rsid w:val="005C785E"/>
    <w:rsid w:val="005D0CF8"/>
    <w:rsid w:val="005D18E2"/>
    <w:rsid w:val="005D2018"/>
    <w:rsid w:val="005D2E56"/>
    <w:rsid w:val="005D323F"/>
    <w:rsid w:val="005D3A64"/>
    <w:rsid w:val="005D3FBB"/>
    <w:rsid w:val="005D4381"/>
    <w:rsid w:val="005D4A4A"/>
    <w:rsid w:val="005D4B60"/>
    <w:rsid w:val="005D52C5"/>
    <w:rsid w:val="005D6006"/>
    <w:rsid w:val="005D6D61"/>
    <w:rsid w:val="005D6FE4"/>
    <w:rsid w:val="005D713D"/>
    <w:rsid w:val="005D747B"/>
    <w:rsid w:val="005D7770"/>
    <w:rsid w:val="005D7A35"/>
    <w:rsid w:val="005D7CFD"/>
    <w:rsid w:val="005E04CB"/>
    <w:rsid w:val="005E0565"/>
    <w:rsid w:val="005E0B22"/>
    <w:rsid w:val="005E0E4F"/>
    <w:rsid w:val="005E1E15"/>
    <w:rsid w:val="005E1E9F"/>
    <w:rsid w:val="005E210D"/>
    <w:rsid w:val="005E2168"/>
    <w:rsid w:val="005E3180"/>
    <w:rsid w:val="005E3186"/>
    <w:rsid w:val="005E3256"/>
    <w:rsid w:val="005E3257"/>
    <w:rsid w:val="005E3570"/>
    <w:rsid w:val="005E3B25"/>
    <w:rsid w:val="005E400C"/>
    <w:rsid w:val="005E45F2"/>
    <w:rsid w:val="005E4F27"/>
    <w:rsid w:val="005E506E"/>
    <w:rsid w:val="005E5B3C"/>
    <w:rsid w:val="005E6C2E"/>
    <w:rsid w:val="005E749E"/>
    <w:rsid w:val="005E7B03"/>
    <w:rsid w:val="005F06F7"/>
    <w:rsid w:val="005F0D81"/>
    <w:rsid w:val="005F0DCB"/>
    <w:rsid w:val="005F2270"/>
    <w:rsid w:val="005F26AA"/>
    <w:rsid w:val="005F2AE0"/>
    <w:rsid w:val="005F2DF7"/>
    <w:rsid w:val="005F351F"/>
    <w:rsid w:val="005F371E"/>
    <w:rsid w:val="005F383B"/>
    <w:rsid w:val="005F3A20"/>
    <w:rsid w:val="005F3CDE"/>
    <w:rsid w:val="005F3D8A"/>
    <w:rsid w:val="005F4336"/>
    <w:rsid w:val="005F490F"/>
    <w:rsid w:val="005F58A0"/>
    <w:rsid w:val="005F635D"/>
    <w:rsid w:val="005F6A05"/>
    <w:rsid w:val="005F6A8D"/>
    <w:rsid w:val="005F7B0F"/>
    <w:rsid w:val="00600D32"/>
    <w:rsid w:val="00601BB2"/>
    <w:rsid w:val="00601C75"/>
    <w:rsid w:val="00601DA5"/>
    <w:rsid w:val="006020B8"/>
    <w:rsid w:val="00602B15"/>
    <w:rsid w:val="00603022"/>
    <w:rsid w:val="00603DCB"/>
    <w:rsid w:val="00604B34"/>
    <w:rsid w:val="006051D7"/>
    <w:rsid w:val="00605543"/>
    <w:rsid w:val="00606589"/>
    <w:rsid w:val="00606EEA"/>
    <w:rsid w:val="006074E0"/>
    <w:rsid w:val="0061005E"/>
    <w:rsid w:val="0061015F"/>
    <w:rsid w:val="0061077A"/>
    <w:rsid w:val="00610C3A"/>
    <w:rsid w:val="00610E24"/>
    <w:rsid w:val="006111D5"/>
    <w:rsid w:val="006116CE"/>
    <w:rsid w:val="00611DDB"/>
    <w:rsid w:val="00611DF3"/>
    <w:rsid w:val="00612434"/>
    <w:rsid w:val="0061248F"/>
    <w:rsid w:val="00612E68"/>
    <w:rsid w:val="00613139"/>
    <w:rsid w:val="006134D9"/>
    <w:rsid w:val="0061370B"/>
    <w:rsid w:val="00613DC2"/>
    <w:rsid w:val="00613EE3"/>
    <w:rsid w:val="00614445"/>
    <w:rsid w:val="00614692"/>
    <w:rsid w:val="00614C10"/>
    <w:rsid w:val="006152DB"/>
    <w:rsid w:val="00615954"/>
    <w:rsid w:val="00615A3B"/>
    <w:rsid w:val="00615C00"/>
    <w:rsid w:val="00615FFC"/>
    <w:rsid w:val="00616013"/>
    <w:rsid w:val="00616D99"/>
    <w:rsid w:val="00617552"/>
    <w:rsid w:val="00617BEC"/>
    <w:rsid w:val="00617EA9"/>
    <w:rsid w:val="006205C3"/>
    <w:rsid w:val="006206ED"/>
    <w:rsid w:val="006209E1"/>
    <w:rsid w:val="00620D4B"/>
    <w:rsid w:val="00621A0B"/>
    <w:rsid w:val="00621EFE"/>
    <w:rsid w:val="00622479"/>
    <w:rsid w:val="00622763"/>
    <w:rsid w:val="00623BEA"/>
    <w:rsid w:val="006247DC"/>
    <w:rsid w:val="00624A6E"/>
    <w:rsid w:val="0062520B"/>
    <w:rsid w:val="006252A9"/>
    <w:rsid w:val="00625334"/>
    <w:rsid w:val="00625912"/>
    <w:rsid w:val="00625EC2"/>
    <w:rsid w:val="00626267"/>
    <w:rsid w:val="00626517"/>
    <w:rsid w:val="006265D5"/>
    <w:rsid w:val="00626F95"/>
    <w:rsid w:val="006271BF"/>
    <w:rsid w:val="006276B0"/>
    <w:rsid w:val="006278B4"/>
    <w:rsid w:val="00630336"/>
    <w:rsid w:val="0063080B"/>
    <w:rsid w:val="0063186B"/>
    <w:rsid w:val="00631CB9"/>
    <w:rsid w:val="006325E6"/>
    <w:rsid w:val="00633397"/>
    <w:rsid w:val="00634164"/>
    <w:rsid w:val="006344E3"/>
    <w:rsid w:val="00634A25"/>
    <w:rsid w:val="00634CF3"/>
    <w:rsid w:val="00634D48"/>
    <w:rsid w:val="00635ABF"/>
    <w:rsid w:val="00635BEE"/>
    <w:rsid w:val="00635E85"/>
    <w:rsid w:val="00637685"/>
    <w:rsid w:val="00637E98"/>
    <w:rsid w:val="006403FC"/>
    <w:rsid w:val="006410AC"/>
    <w:rsid w:val="0064172C"/>
    <w:rsid w:val="006424E2"/>
    <w:rsid w:val="00642777"/>
    <w:rsid w:val="00642A74"/>
    <w:rsid w:val="00642B54"/>
    <w:rsid w:val="00643A7A"/>
    <w:rsid w:val="006444FB"/>
    <w:rsid w:val="0064470A"/>
    <w:rsid w:val="006447B6"/>
    <w:rsid w:val="0064556E"/>
    <w:rsid w:val="00645E80"/>
    <w:rsid w:val="00646B03"/>
    <w:rsid w:val="00646FEB"/>
    <w:rsid w:val="00647144"/>
    <w:rsid w:val="0064780B"/>
    <w:rsid w:val="00647D3B"/>
    <w:rsid w:val="00650381"/>
    <w:rsid w:val="00650D99"/>
    <w:rsid w:val="006516E0"/>
    <w:rsid w:val="00651F89"/>
    <w:rsid w:val="00652061"/>
    <w:rsid w:val="0065212E"/>
    <w:rsid w:val="00652135"/>
    <w:rsid w:val="00652780"/>
    <w:rsid w:val="00652B78"/>
    <w:rsid w:val="0065362C"/>
    <w:rsid w:val="00653B63"/>
    <w:rsid w:val="006542E6"/>
    <w:rsid w:val="00654AFE"/>
    <w:rsid w:val="00654C78"/>
    <w:rsid w:val="00654F0B"/>
    <w:rsid w:val="00654FC3"/>
    <w:rsid w:val="006554B2"/>
    <w:rsid w:val="006556CC"/>
    <w:rsid w:val="006569BE"/>
    <w:rsid w:val="00656E4F"/>
    <w:rsid w:val="00656F93"/>
    <w:rsid w:val="006573EF"/>
    <w:rsid w:val="0065757F"/>
    <w:rsid w:val="00657727"/>
    <w:rsid w:val="006578AC"/>
    <w:rsid w:val="0065798F"/>
    <w:rsid w:val="006579DB"/>
    <w:rsid w:val="0066049D"/>
    <w:rsid w:val="00660A86"/>
    <w:rsid w:val="006612F2"/>
    <w:rsid w:val="00661988"/>
    <w:rsid w:val="00661A5E"/>
    <w:rsid w:val="00662642"/>
    <w:rsid w:val="0066267E"/>
    <w:rsid w:val="00662FE9"/>
    <w:rsid w:val="006631A8"/>
    <w:rsid w:val="006650F2"/>
    <w:rsid w:val="00665A79"/>
    <w:rsid w:val="00665E3D"/>
    <w:rsid w:val="00666714"/>
    <w:rsid w:val="006667C4"/>
    <w:rsid w:val="00666A0B"/>
    <w:rsid w:val="00666F12"/>
    <w:rsid w:val="0066723B"/>
    <w:rsid w:val="00667C2D"/>
    <w:rsid w:val="00670939"/>
    <w:rsid w:val="00670C21"/>
    <w:rsid w:val="00670E8D"/>
    <w:rsid w:val="00671254"/>
    <w:rsid w:val="0067156D"/>
    <w:rsid w:val="006716C0"/>
    <w:rsid w:val="00671CBE"/>
    <w:rsid w:val="00672478"/>
    <w:rsid w:val="00674616"/>
    <w:rsid w:val="00674B5C"/>
    <w:rsid w:val="00674E47"/>
    <w:rsid w:val="00675E5D"/>
    <w:rsid w:val="00675F2F"/>
    <w:rsid w:val="006769B8"/>
    <w:rsid w:val="00676EF9"/>
    <w:rsid w:val="006773CA"/>
    <w:rsid w:val="006779FC"/>
    <w:rsid w:val="00677B37"/>
    <w:rsid w:val="00677EA8"/>
    <w:rsid w:val="0068008E"/>
    <w:rsid w:val="00680706"/>
    <w:rsid w:val="0068176C"/>
    <w:rsid w:val="0068190F"/>
    <w:rsid w:val="00681DE5"/>
    <w:rsid w:val="00681FD7"/>
    <w:rsid w:val="00682462"/>
    <w:rsid w:val="00682610"/>
    <w:rsid w:val="006827E4"/>
    <w:rsid w:val="00682DB3"/>
    <w:rsid w:val="00683771"/>
    <w:rsid w:val="00683FFC"/>
    <w:rsid w:val="00684142"/>
    <w:rsid w:val="006842E3"/>
    <w:rsid w:val="00684520"/>
    <w:rsid w:val="00684714"/>
    <w:rsid w:val="00685559"/>
    <w:rsid w:val="006866DF"/>
    <w:rsid w:val="006874F7"/>
    <w:rsid w:val="00687677"/>
    <w:rsid w:val="006878E5"/>
    <w:rsid w:val="00687DE9"/>
    <w:rsid w:val="006906AF"/>
    <w:rsid w:val="0069071E"/>
    <w:rsid w:val="006909A7"/>
    <w:rsid w:val="00690AF6"/>
    <w:rsid w:val="00690E50"/>
    <w:rsid w:val="0069113A"/>
    <w:rsid w:val="006919C2"/>
    <w:rsid w:val="00691DB5"/>
    <w:rsid w:val="00691E65"/>
    <w:rsid w:val="00692C41"/>
    <w:rsid w:val="00692D6A"/>
    <w:rsid w:val="00692E16"/>
    <w:rsid w:val="00693515"/>
    <w:rsid w:val="00693885"/>
    <w:rsid w:val="006939E3"/>
    <w:rsid w:val="00693D55"/>
    <w:rsid w:val="006944AF"/>
    <w:rsid w:val="00695681"/>
    <w:rsid w:val="00695CB5"/>
    <w:rsid w:val="00695DBE"/>
    <w:rsid w:val="00696DA2"/>
    <w:rsid w:val="00697ADA"/>
    <w:rsid w:val="006A023E"/>
    <w:rsid w:val="006A057F"/>
    <w:rsid w:val="006A0E9D"/>
    <w:rsid w:val="006A0F7C"/>
    <w:rsid w:val="006A102D"/>
    <w:rsid w:val="006A1C37"/>
    <w:rsid w:val="006A1D3C"/>
    <w:rsid w:val="006A307B"/>
    <w:rsid w:val="006A3635"/>
    <w:rsid w:val="006A3DFD"/>
    <w:rsid w:val="006A44B3"/>
    <w:rsid w:val="006A461E"/>
    <w:rsid w:val="006A5BA1"/>
    <w:rsid w:val="006A5CEE"/>
    <w:rsid w:val="006A5F9B"/>
    <w:rsid w:val="006A6EAE"/>
    <w:rsid w:val="006A6EC1"/>
    <w:rsid w:val="006A7060"/>
    <w:rsid w:val="006A7881"/>
    <w:rsid w:val="006A7FA7"/>
    <w:rsid w:val="006B00F4"/>
    <w:rsid w:val="006B018C"/>
    <w:rsid w:val="006B034C"/>
    <w:rsid w:val="006B076E"/>
    <w:rsid w:val="006B0DFE"/>
    <w:rsid w:val="006B0E10"/>
    <w:rsid w:val="006B163D"/>
    <w:rsid w:val="006B182D"/>
    <w:rsid w:val="006B18CF"/>
    <w:rsid w:val="006B2973"/>
    <w:rsid w:val="006B2B56"/>
    <w:rsid w:val="006B2D42"/>
    <w:rsid w:val="006B3564"/>
    <w:rsid w:val="006B3999"/>
    <w:rsid w:val="006B3A2E"/>
    <w:rsid w:val="006B4BD1"/>
    <w:rsid w:val="006B6A43"/>
    <w:rsid w:val="006B6C07"/>
    <w:rsid w:val="006B7005"/>
    <w:rsid w:val="006B7A6B"/>
    <w:rsid w:val="006B7C4A"/>
    <w:rsid w:val="006C012D"/>
    <w:rsid w:val="006C05D1"/>
    <w:rsid w:val="006C0721"/>
    <w:rsid w:val="006C088E"/>
    <w:rsid w:val="006C0973"/>
    <w:rsid w:val="006C0EF5"/>
    <w:rsid w:val="006C1076"/>
    <w:rsid w:val="006C14BB"/>
    <w:rsid w:val="006C1AD5"/>
    <w:rsid w:val="006C1DB9"/>
    <w:rsid w:val="006C1EAC"/>
    <w:rsid w:val="006C240E"/>
    <w:rsid w:val="006C2780"/>
    <w:rsid w:val="006C2B11"/>
    <w:rsid w:val="006C2F76"/>
    <w:rsid w:val="006C3B97"/>
    <w:rsid w:val="006C4063"/>
    <w:rsid w:val="006C47DD"/>
    <w:rsid w:val="006C4867"/>
    <w:rsid w:val="006C4AE5"/>
    <w:rsid w:val="006C4BF2"/>
    <w:rsid w:val="006C5528"/>
    <w:rsid w:val="006C7CF2"/>
    <w:rsid w:val="006D07A4"/>
    <w:rsid w:val="006D114D"/>
    <w:rsid w:val="006D117C"/>
    <w:rsid w:val="006D1488"/>
    <w:rsid w:val="006D14AC"/>
    <w:rsid w:val="006D189D"/>
    <w:rsid w:val="006D2E38"/>
    <w:rsid w:val="006D30CB"/>
    <w:rsid w:val="006D35EA"/>
    <w:rsid w:val="006D3F0E"/>
    <w:rsid w:val="006D40D2"/>
    <w:rsid w:val="006D45F3"/>
    <w:rsid w:val="006D4AD5"/>
    <w:rsid w:val="006D4B94"/>
    <w:rsid w:val="006D4CE3"/>
    <w:rsid w:val="006D4E58"/>
    <w:rsid w:val="006D5249"/>
    <w:rsid w:val="006D5983"/>
    <w:rsid w:val="006D5A4F"/>
    <w:rsid w:val="006D5CA7"/>
    <w:rsid w:val="006D6197"/>
    <w:rsid w:val="006D61D2"/>
    <w:rsid w:val="006D678E"/>
    <w:rsid w:val="006D6ACC"/>
    <w:rsid w:val="006D736C"/>
    <w:rsid w:val="006D7407"/>
    <w:rsid w:val="006E065F"/>
    <w:rsid w:val="006E13F1"/>
    <w:rsid w:val="006E16A1"/>
    <w:rsid w:val="006E1D76"/>
    <w:rsid w:val="006E244F"/>
    <w:rsid w:val="006E2C3A"/>
    <w:rsid w:val="006E3623"/>
    <w:rsid w:val="006E3961"/>
    <w:rsid w:val="006E3A90"/>
    <w:rsid w:val="006E44CF"/>
    <w:rsid w:val="006E49D4"/>
    <w:rsid w:val="006E4BC3"/>
    <w:rsid w:val="006E4EFD"/>
    <w:rsid w:val="006E55BA"/>
    <w:rsid w:val="006E5983"/>
    <w:rsid w:val="006E59F8"/>
    <w:rsid w:val="006E6EE3"/>
    <w:rsid w:val="006E6FA5"/>
    <w:rsid w:val="006E71B1"/>
    <w:rsid w:val="006E79EB"/>
    <w:rsid w:val="006F0E26"/>
    <w:rsid w:val="006F13D0"/>
    <w:rsid w:val="006F18BE"/>
    <w:rsid w:val="006F1BF7"/>
    <w:rsid w:val="006F1E11"/>
    <w:rsid w:val="006F2A5E"/>
    <w:rsid w:val="006F2DF8"/>
    <w:rsid w:val="006F3FEC"/>
    <w:rsid w:val="006F483F"/>
    <w:rsid w:val="006F4923"/>
    <w:rsid w:val="006F4BAC"/>
    <w:rsid w:val="006F55AA"/>
    <w:rsid w:val="006F6261"/>
    <w:rsid w:val="006F701E"/>
    <w:rsid w:val="006F7701"/>
    <w:rsid w:val="006F77A1"/>
    <w:rsid w:val="006F7C17"/>
    <w:rsid w:val="0070038D"/>
    <w:rsid w:val="00700670"/>
    <w:rsid w:val="00700AA6"/>
    <w:rsid w:val="00700AB6"/>
    <w:rsid w:val="0070172D"/>
    <w:rsid w:val="00701F1E"/>
    <w:rsid w:val="00701F79"/>
    <w:rsid w:val="00702301"/>
    <w:rsid w:val="007025DB"/>
    <w:rsid w:val="00702CBD"/>
    <w:rsid w:val="00702FE4"/>
    <w:rsid w:val="0070467E"/>
    <w:rsid w:val="00705662"/>
    <w:rsid w:val="007058A5"/>
    <w:rsid w:val="00705B68"/>
    <w:rsid w:val="00705F57"/>
    <w:rsid w:val="00705F80"/>
    <w:rsid w:val="00706FD8"/>
    <w:rsid w:val="00707EBB"/>
    <w:rsid w:val="00710248"/>
    <w:rsid w:val="007102C2"/>
    <w:rsid w:val="00710910"/>
    <w:rsid w:val="00710A18"/>
    <w:rsid w:val="007114BA"/>
    <w:rsid w:val="007115B4"/>
    <w:rsid w:val="007117AC"/>
    <w:rsid w:val="007117C3"/>
    <w:rsid w:val="00711C4A"/>
    <w:rsid w:val="00712104"/>
    <w:rsid w:val="00712383"/>
    <w:rsid w:val="00713005"/>
    <w:rsid w:val="00713101"/>
    <w:rsid w:val="007133A7"/>
    <w:rsid w:val="00714A02"/>
    <w:rsid w:val="00715986"/>
    <w:rsid w:val="00715FB8"/>
    <w:rsid w:val="00716C0F"/>
    <w:rsid w:val="00716DCC"/>
    <w:rsid w:val="00717128"/>
    <w:rsid w:val="00717E99"/>
    <w:rsid w:val="00720059"/>
    <w:rsid w:val="0072068F"/>
    <w:rsid w:val="00720B88"/>
    <w:rsid w:val="00720FF1"/>
    <w:rsid w:val="007213CA"/>
    <w:rsid w:val="00721D61"/>
    <w:rsid w:val="00722DE1"/>
    <w:rsid w:val="007237AF"/>
    <w:rsid w:val="00723CFB"/>
    <w:rsid w:val="007241AC"/>
    <w:rsid w:val="0072437D"/>
    <w:rsid w:val="00724414"/>
    <w:rsid w:val="00725288"/>
    <w:rsid w:val="00726AF2"/>
    <w:rsid w:val="00726D56"/>
    <w:rsid w:val="00727AF1"/>
    <w:rsid w:val="00727DC6"/>
    <w:rsid w:val="00727FE4"/>
    <w:rsid w:val="00730092"/>
    <w:rsid w:val="0073040C"/>
    <w:rsid w:val="00730AA4"/>
    <w:rsid w:val="007310FD"/>
    <w:rsid w:val="007315B0"/>
    <w:rsid w:val="00731800"/>
    <w:rsid w:val="0073276B"/>
    <w:rsid w:val="007332B1"/>
    <w:rsid w:val="0073347A"/>
    <w:rsid w:val="00733F5D"/>
    <w:rsid w:val="007341DB"/>
    <w:rsid w:val="007342A6"/>
    <w:rsid w:val="007348EC"/>
    <w:rsid w:val="00734ED4"/>
    <w:rsid w:val="00735C4E"/>
    <w:rsid w:val="00735FF3"/>
    <w:rsid w:val="00736A34"/>
    <w:rsid w:val="00737A10"/>
    <w:rsid w:val="00737D3D"/>
    <w:rsid w:val="007402FC"/>
    <w:rsid w:val="00740541"/>
    <w:rsid w:val="00740593"/>
    <w:rsid w:val="007408FF"/>
    <w:rsid w:val="00740CE9"/>
    <w:rsid w:val="00741306"/>
    <w:rsid w:val="00741E60"/>
    <w:rsid w:val="00742001"/>
    <w:rsid w:val="00742763"/>
    <w:rsid w:val="0074286F"/>
    <w:rsid w:val="00742DCE"/>
    <w:rsid w:val="00742F8B"/>
    <w:rsid w:val="00743067"/>
    <w:rsid w:val="00743EF2"/>
    <w:rsid w:val="0074472C"/>
    <w:rsid w:val="0074475C"/>
    <w:rsid w:val="00745024"/>
    <w:rsid w:val="0074524A"/>
    <w:rsid w:val="00745A6D"/>
    <w:rsid w:val="00745E4C"/>
    <w:rsid w:val="007464C2"/>
    <w:rsid w:val="00746618"/>
    <w:rsid w:val="00746B1C"/>
    <w:rsid w:val="00746D0E"/>
    <w:rsid w:val="00746F04"/>
    <w:rsid w:val="00747317"/>
    <w:rsid w:val="0074755B"/>
    <w:rsid w:val="00747D03"/>
    <w:rsid w:val="00747E3F"/>
    <w:rsid w:val="0075046C"/>
    <w:rsid w:val="00750895"/>
    <w:rsid w:val="007508FE"/>
    <w:rsid w:val="00750BF5"/>
    <w:rsid w:val="00750FB3"/>
    <w:rsid w:val="007514EB"/>
    <w:rsid w:val="00751639"/>
    <w:rsid w:val="00751742"/>
    <w:rsid w:val="00751DBD"/>
    <w:rsid w:val="00752133"/>
    <w:rsid w:val="0075225D"/>
    <w:rsid w:val="007525EF"/>
    <w:rsid w:val="00752613"/>
    <w:rsid w:val="00752A09"/>
    <w:rsid w:val="00753699"/>
    <w:rsid w:val="00754523"/>
    <w:rsid w:val="007546DC"/>
    <w:rsid w:val="00755C0E"/>
    <w:rsid w:val="00756069"/>
    <w:rsid w:val="007564ED"/>
    <w:rsid w:val="007569FA"/>
    <w:rsid w:val="00756A19"/>
    <w:rsid w:val="00757D61"/>
    <w:rsid w:val="00761025"/>
    <w:rsid w:val="00761FBA"/>
    <w:rsid w:val="00762112"/>
    <w:rsid w:val="00762AE2"/>
    <w:rsid w:val="00762B9B"/>
    <w:rsid w:val="00762DA9"/>
    <w:rsid w:val="00763DE3"/>
    <w:rsid w:val="00764659"/>
    <w:rsid w:val="00764B58"/>
    <w:rsid w:val="00764D60"/>
    <w:rsid w:val="007650AB"/>
    <w:rsid w:val="007670EF"/>
    <w:rsid w:val="007676E8"/>
    <w:rsid w:val="00767F36"/>
    <w:rsid w:val="00767FBC"/>
    <w:rsid w:val="007702F7"/>
    <w:rsid w:val="0077057A"/>
    <w:rsid w:val="00770583"/>
    <w:rsid w:val="00771168"/>
    <w:rsid w:val="00771352"/>
    <w:rsid w:val="00771414"/>
    <w:rsid w:val="00771610"/>
    <w:rsid w:val="007716B0"/>
    <w:rsid w:val="00771E88"/>
    <w:rsid w:val="00772049"/>
    <w:rsid w:val="0077206D"/>
    <w:rsid w:val="00772DF3"/>
    <w:rsid w:val="0077308B"/>
    <w:rsid w:val="00773151"/>
    <w:rsid w:val="007733D2"/>
    <w:rsid w:val="0077356F"/>
    <w:rsid w:val="0077380A"/>
    <w:rsid w:val="00773A72"/>
    <w:rsid w:val="007745C7"/>
    <w:rsid w:val="00775534"/>
    <w:rsid w:val="00775E30"/>
    <w:rsid w:val="00775EC6"/>
    <w:rsid w:val="007764D1"/>
    <w:rsid w:val="00776835"/>
    <w:rsid w:val="00776B82"/>
    <w:rsid w:val="0077765B"/>
    <w:rsid w:val="007804B9"/>
    <w:rsid w:val="00780F21"/>
    <w:rsid w:val="0078164A"/>
    <w:rsid w:val="00782346"/>
    <w:rsid w:val="00782685"/>
    <w:rsid w:val="00783269"/>
    <w:rsid w:val="0078382A"/>
    <w:rsid w:val="00783EFB"/>
    <w:rsid w:val="007840A1"/>
    <w:rsid w:val="007840D1"/>
    <w:rsid w:val="00784202"/>
    <w:rsid w:val="00784299"/>
    <w:rsid w:val="007849C3"/>
    <w:rsid w:val="00784AF3"/>
    <w:rsid w:val="00784C30"/>
    <w:rsid w:val="00784D91"/>
    <w:rsid w:val="00784FA9"/>
    <w:rsid w:val="00784FBB"/>
    <w:rsid w:val="00785032"/>
    <w:rsid w:val="00785477"/>
    <w:rsid w:val="0078573D"/>
    <w:rsid w:val="007857D8"/>
    <w:rsid w:val="00785ED9"/>
    <w:rsid w:val="00786E8D"/>
    <w:rsid w:val="00787673"/>
    <w:rsid w:val="007877F5"/>
    <w:rsid w:val="007908CF"/>
    <w:rsid w:val="00791102"/>
    <w:rsid w:val="00791861"/>
    <w:rsid w:val="00791DB2"/>
    <w:rsid w:val="007928BA"/>
    <w:rsid w:val="00792B7F"/>
    <w:rsid w:val="00792F07"/>
    <w:rsid w:val="0079319D"/>
    <w:rsid w:val="00793B97"/>
    <w:rsid w:val="00793D3B"/>
    <w:rsid w:val="0079490E"/>
    <w:rsid w:val="007951A6"/>
    <w:rsid w:val="007955DE"/>
    <w:rsid w:val="00795918"/>
    <w:rsid w:val="00796B13"/>
    <w:rsid w:val="007A00F6"/>
    <w:rsid w:val="007A0263"/>
    <w:rsid w:val="007A0362"/>
    <w:rsid w:val="007A0A77"/>
    <w:rsid w:val="007A19AB"/>
    <w:rsid w:val="007A2121"/>
    <w:rsid w:val="007A2723"/>
    <w:rsid w:val="007A37F5"/>
    <w:rsid w:val="007A3EDA"/>
    <w:rsid w:val="007A421B"/>
    <w:rsid w:val="007A4492"/>
    <w:rsid w:val="007A4C29"/>
    <w:rsid w:val="007A4CA2"/>
    <w:rsid w:val="007A5638"/>
    <w:rsid w:val="007A6A6C"/>
    <w:rsid w:val="007A6F9C"/>
    <w:rsid w:val="007A7924"/>
    <w:rsid w:val="007B0202"/>
    <w:rsid w:val="007B0BD0"/>
    <w:rsid w:val="007B1075"/>
    <w:rsid w:val="007B13CB"/>
    <w:rsid w:val="007B26DF"/>
    <w:rsid w:val="007B2704"/>
    <w:rsid w:val="007B28BB"/>
    <w:rsid w:val="007B2B0F"/>
    <w:rsid w:val="007B2B82"/>
    <w:rsid w:val="007B33B3"/>
    <w:rsid w:val="007B3498"/>
    <w:rsid w:val="007B534B"/>
    <w:rsid w:val="007B5351"/>
    <w:rsid w:val="007B56F5"/>
    <w:rsid w:val="007B589F"/>
    <w:rsid w:val="007B58C1"/>
    <w:rsid w:val="007B5A89"/>
    <w:rsid w:val="007B60C7"/>
    <w:rsid w:val="007B634C"/>
    <w:rsid w:val="007B67CA"/>
    <w:rsid w:val="007B6A3F"/>
    <w:rsid w:val="007B6BCF"/>
    <w:rsid w:val="007B710C"/>
    <w:rsid w:val="007B762F"/>
    <w:rsid w:val="007B7DB9"/>
    <w:rsid w:val="007C01F8"/>
    <w:rsid w:val="007C0560"/>
    <w:rsid w:val="007C0E9A"/>
    <w:rsid w:val="007C1381"/>
    <w:rsid w:val="007C1499"/>
    <w:rsid w:val="007C180D"/>
    <w:rsid w:val="007C1C2F"/>
    <w:rsid w:val="007C1E49"/>
    <w:rsid w:val="007C2347"/>
    <w:rsid w:val="007C27A5"/>
    <w:rsid w:val="007C2883"/>
    <w:rsid w:val="007C2DB1"/>
    <w:rsid w:val="007C2E49"/>
    <w:rsid w:val="007C335E"/>
    <w:rsid w:val="007C36D3"/>
    <w:rsid w:val="007C387A"/>
    <w:rsid w:val="007C43AF"/>
    <w:rsid w:val="007C45AC"/>
    <w:rsid w:val="007C4BB7"/>
    <w:rsid w:val="007C4E2F"/>
    <w:rsid w:val="007C4FB0"/>
    <w:rsid w:val="007C5071"/>
    <w:rsid w:val="007C5594"/>
    <w:rsid w:val="007C60AF"/>
    <w:rsid w:val="007C721E"/>
    <w:rsid w:val="007C7337"/>
    <w:rsid w:val="007C756D"/>
    <w:rsid w:val="007C7736"/>
    <w:rsid w:val="007C7740"/>
    <w:rsid w:val="007C7945"/>
    <w:rsid w:val="007C7AC8"/>
    <w:rsid w:val="007D03F6"/>
    <w:rsid w:val="007D05DB"/>
    <w:rsid w:val="007D0A24"/>
    <w:rsid w:val="007D0C7C"/>
    <w:rsid w:val="007D0C9A"/>
    <w:rsid w:val="007D0EE6"/>
    <w:rsid w:val="007D0FB5"/>
    <w:rsid w:val="007D1A2D"/>
    <w:rsid w:val="007D1B6E"/>
    <w:rsid w:val="007D245E"/>
    <w:rsid w:val="007D2991"/>
    <w:rsid w:val="007D2AF1"/>
    <w:rsid w:val="007D3383"/>
    <w:rsid w:val="007D38DD"/>
    <w:rsid w:val="007D3981"/>
    <w:rsid w:val="007D3C65"/>
    <w:rsid w:val="007D4037"/>
    <w:rsid w:val="007D4881"/>
    <w:rsid w:val="007D4DF9"/>
    <w:rsid w:val="007D5695"/>
    <w:rsid w:val="007D5A60"/>
    <w:rsid w:val="007D5B0A"/>
    <w:rsid w:val="007D5FF7"/>
    <w:rsid w:val="007D7709"/>
    <w:rsid w:val="007D7A16"/>
    <w:rsid w:val="007D7EA7"/>
    <w:rsid w:val="007E0667"/>
    <w:rsid w:val="007E192D"/>
    <w:rsid w:val="007E1AE3"/>
    <w:rsid w:val="007E1B49"/>
    <w:rsid w:val="007E1E0F"/>
    <w:rsid w:val="007E1E79"/>
    <w:rsid w:val="007E294B"/>
    <w:rsid w:val="007E2C7D"/>
    <w:rsid w:val="007E2CAC"/>
    <w:rsid w:val="007E36C9"/>
    <w:rsid w:val="007E4CDA"/>
    <w:rsid w:val="007E58CF"/>
    <w:rsid w:val="007E5AEC"/>
    <w:rsid w:val="007E5BDF"/>
    <w:rsid w:val="007E5CE4"/>
    <w:rsid w:val="007E5E6E"/>
    <w:rsid w:val="007E6311"/>
    <w:rsid w:val="007E6882"/>
    <w:rsid w:val="007E68C9"/>
    <w:rsid w:val="007E6CA3"/>
    <w:rsid w:val="007E776B"/>
    <w:rsid w:val="007E7A49"/>
    <w:rsid w:val="007E7FE7"/>
    <w:rsid w:val="007F07E0"/>
    <w:rsid w:val="007F0B9C"/>
    <w:rsid w:val="007F0F41"/>
    <w:rsid w:val="007F107A"/>
    <w:rsid w:val="007F1384"/>
    <w:rsid w:val="007F1B8C"/>
    <w:rsid w:val="007F2CA5"/>
    <w:rsid w:val="007F2D24"/>
    <w:rsid w:val="007F2FCC"/>
    <w:rsid w:val="007F3129"/>
    <w:rsid w:val="007F330F"/>
    <w:rsid w:val="007F4482"/>
    <w:rsid w:val="007F4796"/>
    <w:rsid w:val="007F47F4"/>
    <w:rsid w:val="007F4B04"/>
    <w:rsid w:val="007F5190"/>
    <w:rsid w:val="007F5376"/>
    <w:rsid w:val="007F57B3"/>
    <w:rsid w:val="007F5EB6"/>
    <w:rsid w:val="007F6FC4"/>
    <w:rsid w:val="007F7107"/>
    <w:rsid w:val="007F7218"/>
    <w:rsid w:val="008003DB"/>
    <w:rsid w:val="008005A6"/>
    <w:rsid w:val="00800D1A"/>
    <w:rsid w:val="00800F97"/>
    <w:rsid w:val="00801702"/>
    <w:rsid w:val="00801817"/>
    <w:rsid w:val="00803719"/>
    <w:rsid w:val="00803874"/>
    <w:rsid w:val="00803C57"/>
    <w:rsid w:val="008042EB"/>
    <w:rsid w:val="0080443A"/>
    <w:rsid w:val="008046B7"/>
    <w:rsid w:val="00804D62"/>
    <w:rsid w:val="00805324"/>
    <w:rsid w:val="00805A2C"/>
    <w:rsid w:val="00806048"/>
    <w:rsid w:val="0080635D"/>
    <w:rsid w:val="00806510"/>
    <w:rsid w:val="0080675B"/>
    <w:rsid w:val="008072B4"/>
    <w:rsid w:val="008075DC"/>
    <w:rsid w:val="00807AF7"/>
    <w:rsid w:val="00810A1C"/>
    <w:rsid w:val="0081101E"/>
    <w:rsid w:val="0081142B"/>
    <w:rsid w:val="008116F6"/>
    <w:rsid w:val="008120CA"/>
    <w:rsid w:val="0081252B"/>
    <w:rsid w:val="0081294F"/>
    <w:rsid w:val="00813A6E"/>
    <w:rsid w:val="00813D98"/>
    <w:rsid w:val="00814167"/>
    <w:rsid w:val="00814847"/>
    <w:rsid w:val="00814C44"/>
    <w:rsid w:val="00814F11"/>
    <w:rsid w:val="00815D12"/>
    <w:rsid w:val="008160C5"/>
    <w:rsid w:val="008168D3"/>
    <w:rsid w:val="00816C00"/>
    <w:rsid w:val="00816CAE"/>
    <w:rsid w:val="00817395"/>
    <w:rsid w:val="008174B3"/>
    <w:rsid w:val="00820291"/>
    <w:rsid w:val="00820C04"/>
    <w:rsid w:val="00820C87"/>
    <w:rsid w:val="0082134B"/>
    <w:rsid w:val="00821FC1"/>
    <w:rsid w:val="00822225"/>
    <w:rsid w:val="008234DF"/>
    <w:rsid w:val="00823A42"/>
    <w:rsid w:val="00823C30"/>
    <w:rsid w:val="00823CA2"/>
    <w:rsid w:val="00824299"/>
    <w:rsid w:val="00824698"/>
    <w:rsid w:val="00824BBC"/>
    <w:rsid w:val="008256FD"/>
    <w:rsid w:val="0082690B"/>
    <w:rsid w:val="00826BDA"/>
    <w:rsid w:val="008270F6"/>
    <w:rsid w:val="00827373"/>
    <w:rsid w:val="00827829"/>
    <w:rsid w:val="0083230C"/>
    <w:rsid w:val="00833101"/>
    <w:rsid w:val="008337E6"/>
    <w:rsid w:val="00833E45"/>
    <w:rsid w:val="00834378"/>
    <w:rsid w:val="00834B30"/>
    <w:rsid w:val="0083652F"/>
    <w:rsid w:val="00836D1E"/>
    <w:rsid w:val="00837A7C"/>
    <w:rsid w:val="00837BBC"/>
    <w:rsid w:val="00840F74"/>
    <w:rsid w:val="00841992"/>
    <w:rsid w:val="00841C60"/>
    <w:rsid w:val="00842E11"/>
    <w:rsid w:val="008437BD"/>
    <w:rsid w:val="00843C03"/>
    <w:rsid w:val="00843D23"/>
    <w:rsid w:val="00844101"/>
    <w:rsid w:val="00844221"/>
    <w:rsid w:val="0084436F"/>
    <w:rsid w:val="008443E6"/>
    <w:rsid w:val="0084462F"/>
    <w:rsid w:val="00844C8A"/>
    <w:rsid w:val="00844CE1"/>
    <w:rsid w:val="00844DB3"/>
    <w:rsid w:val="00845B07"/>
    <w:rsid w:val="00845D4C"/>
    <w:rsid w:val="008463A9"/>
    <w:rsid w:val="0084661E"/>
    <w:rsid w:val="00846F1F"/>
    <w:rsid w:val="00846F8C"/>
    <w:rsid w:val="0084740F"/>
    <w:rsid w:val="00847BFE"/>
    <w:rsid w:val="00850256"/>
    <w:rsid w:val="00850874"/>
    <w:rsid w:val="00850A8D"/>
    <w:rsid w:val="00851A5E"/>
    <w:rsid w:val="0085212B"/>
    <w:rsid w:val="008528DD"/>
    <w:rsid w:val="00852F91"/>
    <w:rsid w:val="0085327F"/>
    <w:rsid w:val="008536C5"/>
    <w:rsid w:val="00853BA2"/>
    <w:rsid w:val="0085539E"/>
    <w:rsid w:val="00855A79"/>
    <w:rsid w:val="00855A91"/>
    <w:rsid w:val="0085691B"/>
    <w:rsid w:val="0085773A"/>
    <w:rsid w:val="00857A96"/>
    <w:rsid w:val="00857FB8"/>
    <w:rsid w:val="00860249"/>
    <w:rsid w:val="008602EB"/>
    <w:rsid w:val="00860C28"/>
    <w:rsid w:val="00861046"/>
    <w:rsid w:val="00861240"/>
    <w:rsid w:val="00861268"/>
    <w:rsid w:val="00862090"/>
    <w:rsid w:val="008627B0"/>
    <w:rsid w:val="008630B4"/>
    <w:rsid w:val="008632E5"/>
    <w:rsid w:val="008635E7"/>
    <w:rsid w:val="00863F3D"/>
    <w:rsid w:val="008641CD"/>
    <w:rsid w:val="00864416"/>
    <w:rsid w:val="00864DB1"/>
    <w:rsid w:val="0086599F"/>
    <w:rsid w:val="00865B7B"/>
    <w:rsid w:val="008667F9"/>
    <w:rsid w:val="00866DE7"/>
    <w:rsid w:val="00866E03"/>
    <w:rsid w:val="00867166"/>
    <w:rsid w:val="00867777"/>
    <w:rsid w:val="00870ACB"/>
    <w:rsid w:val="00870B24"/>
    <w:rsid w:val="00870C8F"/>
    <w:rsid w:val="00870D87"/>
    <w:rsid w:val="00871519"/>
    <w:rsid w:val="00871D04"/>
    <w:rsid w:val="00871D5E"/>
    <w:rsid w:val="00872BEB"/>
    <w:rsid w:val="00874BAE"/>
    <w:rsid w:val="00874DBE"/>
    <w:rsid w:val="00875B58"/>
    <w:rsid w:val="008765D9"/>
    <w:rsid w:val="008766F0"/>
    <w:rsid w:val="008767C7"/>
    <w:rsid w:val="00876A99"/>
    <w:rsid w:val="008770A1"/>
    <w:rsid w:val="00877488"/>
    <w:rsid w:val="008775B0"/>
    <w:rsid w:val="0087769D"/>
    <w:rsid w:val="0088056D"/>
    <w:rsid w:val="00880CDD"/>
    <w:rsid w:val="00881816"/>
    <w:rsid w:val="00882019"/>
    <w:rsid w:val="008823AB"/>
    <w:rsid w:val="008829C3"/>
    <w:rsid w:val="00882BC4"/>
    <w:rsid w:val="00882C4B"/>
    <w:rsid w:val="00882D1B"/>
    <w:rsid w:val="00883057"/>
    <w:rsid w:val="008832C5"/>
    <w:rsid w:val="0088355B"/>
    <w:rsid w:val="008835A6"/>
    <w:rsid w:val="008844F6"/>
    <w:rsid w:val="00884AC7"/>
    <w:rsid w:val="0088517D"/>
    <w:rsid w:val="008856BE"/>
    <w:rsid w:val="00885D41"/>
    <w:rsid w:val="00885EF7"/>
    <w:rsid w:val="00886DDB"/>
    <w:rsid w:val="00887184"/>
    <w:rsid w:val="00887795"/>
    <w:rsid w:val="00890CB0"/>
    <w:rsid w:val="00890D9D"/>
    <w:rsid w:val="00892097"/>
    <w:rsid w:val="00892A8F"/>
    <w:rsid w:val="00892D31"/>
    <w:rsid w:val="00893178"/>
    <w:rsid w:val="0089373C"/>
    <w:rsid w:val="0089374A"/>
    <w:rsid w:val="0089414B"/>
    <w:rsid w:val="008946CC"/>
    <w:rsid w:val="008949F8"/>
    <w:rsid w:val="00894AA2"/>
    <w:rsid w:val="00894F77"/>
    <w:rsid w:val="00896AF6"/>
    <w:rsid w:val="00896D4F"/>
    <w:rsid w:val="0089718B"/>
    <w:rsid w:val="008A12AC"/>
    <w:rsid w:val="008A1AF5"/>
    <w:rsid w:val="008A1B6E"/>
    <w:rsid w:val="008A25C6"/>
    <w:rsid w:val="008A2773"/>
    <w:rsid w:val="008A2AA4"/>
    <w:rsid w:val="008A3197"/>
    <w:rsid w:val="008A38BE"/>
    <w:rsid w:val="008A3AAC"/>
    <w:rsid w:val="008A3FA0"/>
    <w:rsid w:val="008A4756"/>
    <w:rsid w:val="008A4C0B"/>
    <w:rsid w:val="008A4E8A"/>
    <w:rsid w:val="008A4FEA"/>
    <w:rsid w:val="008A549C"/>
    <w:rsid w:val="008A552A"/>
    <w:rsid w:val="008A67A7"/>
    <w:rsid w:val="008A7A07"/>
    <w:rsid w:val="008A7AA4"/>
    <w:rsid w:val="008B031A"/>
    <w:rsid w:val="008B0937"/>
    <w:rsid w:val="008B1A53"/>
    <w:rsid w:val="008B2F18"/>
    <w:rsid w:val="008B3899"/>
    <w:rsid w:val="008B38E0"/>
    <w:rsid w:val="008B3998"/>
    <w:rsid w:val="008B3DBF"/>
    <w:rsid w:val="008B43E7"/>
    <w:rsid w:val="008B4542"/>
    <w:rsid w:val="008B4C5C"/>
    <w:rsid w:val="008B4DF1"/>
    <w:rsid w:val="008B536E"/>
    <w:rsid w:val="008B5D86"/>
    <w:rsid w:val="008B5D8A"/>
    <w:rsid w:val="008B645D"/>
    <w:rsid w:val="008B6533"/>
    <w:rsid w:val="008B6585"/>
    <w:rsid w:val="008B6868"/>
    <w:rsid w:val="008B774E"/>
    <w:rsid w:val="008B7E0F"/>
    <w:rsid w:val="008B7EF4"/>
    <w:rsid w:val="008C07F2"/>
    <w:rsid w:val="008C1637"/>
    <w:rsid w:val="008C2854"/>
    <w:rsid w:val="008C2A0D"/>
    <w:rsid w:val="008C381C"/>
    <w:rsid w:val="008C4193"/>
    <w:rsid w:val="008C4290"/>
    <w:rsid w:val="008C4A96"/>
    <w:rsid w:val="008C4FC1"/>
    <w:rsid w:val="008C5199"/>
    <w:rsid w:val="008C5848"/>
    <w:rsid w:val="008C58EF"/>
    <w:rsid w:val="008C619F"/>
    <w:rsid w:val="008C6246"/>
    <w:rsid w:val="008C6A00"/>
    <w:rsid w:val="008C7904"/>
    <w:rsid w:val="008C7A96"/>
    <w:rsid w:val="008C7B5D"/>
    <w:rsid w:val="008D0186"/>
    <w:rsid w:val="008D06AB"/>
    <w:rsid w:val="008D0845"/>
    <w:rsid w:val="008D0907"/>
    <w:rsid w:val="008D1008"/>
    <w:rsid w:val="008D10F3"/>
    <w:rsid w:val="008D18BC"/>
    <w:rsid w:val="008D19AD"/>
    <w:rsid w:val="008D31C0"/>
    <w:rsid w:val="008D3212"/>
    <w:rsid w:val="008D3845"/>
    <w:rsid w:val="008D392F"/>
    <w:rsid w:val="008D3C69"/>
    <w:rsid w:val="008D4036"/>
    <w:rsid w:val="008D414C"/>
    <w:rsid w:val="008D4385"/>
    <w:rsid w:val="008D5999"/>
    <w:rsid w:val="008D6112"/>
    <w:rsid w:val="008D6FE8"/>
    <w:rsid w:val="008D7026"/>
    <w:rsid w:val="008D721C"/>
    <w:rsid w:val="008D765B"/>
    <w:rsid w:val="008D7D8A"/>
    <w:rsid w:val="008E01EC"/>
    <w:rsid w:val="008E03AB"/>
    <w:rsid w:val="008E0694"/>
    <w:rsid w:val="008E0E9A"/>
    <w:rsid w:val="008E162B"/>
    <w:rsid w:val="008E172F"/>
    <w:rsid w:val="008E191C"/>
    <w:rsid w:val="008E1A8F"/>
    <w:rsid w:val="008E1B28"/>
    <w:rsid w:val="008E240A"/>
    <w:rsid w:val="008E2461"/>
    <w:rsid w:val="008E2713"/>
    <w:rsid w:val="008E3104"/>
    <w:rsid w:val="008E3C22"/>
    <w:rsid w:val="008E41F5"/>
    <w:rsid w:val="008E4231"/>
    <w:rsid w:val="008E436D"/>
    <w:rsid w:val="008E4417"/>
    <w:rsid w:val="008E44FF"/>
    <w:rsid w:val="008E4560"/>
    <w:rsid w:val="008E476F"/>
    <w:rsid w:val="008E4F9A"/>
    <w:rsid w:val="008E588D"/>
    <w:rsid w:val="008E58DC"/>
    <w:rsid w:val="008E5EC7"/>
    <w:rsid w:val="008E6272"/>
    <w:rsid w:val="008E691F"/>
    <w:rsid w:val="008E724A"/>
    <w:rsid w:val="008E7AF4"/>
    <w:rsid w:val="008F1435"/>
    <w:rsid w:val="008F183C"/>
    <w:rsid w:val="008F1B53"/>
    <w:rsid w:val="008F224B"/>
    <w:rsid w:val="008F2954"/>
    <w:rsid w:val="008F295A"/>
    <w:rsid w:val="008F4311"/>
    <w:rsid w:val="008F440C"/>
    <w:rsid w:val="008F4E23"/>
    <w:rsid w:val="008F4EC5"/>
    <w:rsid w:val="008F50F7"/>
    <w:rsid w:val="008F5E79"/>
    <w:rsid w:val="008F677E"/>
    <w:rsid w:val="008F6915"/>
    <w:rsid w:val="008F69FB"/>
    <w:rsid w:val="008F6F73"/>
    <w:rsid w:val="008F70E7"/>
    <w:rsid w:val="008F761A"/>
    <w:rsid w:val="00900076"/>
    <w:rsid w:val="0090078F"/>
    <w:rsid w:val="009009F7"/>
    <w:rsid w:val="00901768"/>
    <w:rsid w:val="00901868"/>
    <w:rsid w:val="00901FD6"/>
    <w:rsid w:val="009029A3"/>
    <w:rsid w:val="00902D5F"/>
    <w:rsid w:val="0090309B"/>
    <w:rsid w:val="00903556"/>
    <w:rsid w:val="0090422C"/>
    <w:rsid w:val="0090449D"/>
    <w:rsid w:val="00904947"/>
    <w:rsid w:val="00904ED1"/>
    <w:rsid w:val="00905153"/>
    <w:rsid w:val="00905960"/>
    <w:rsid w:val="00906071"/>
    <w:rsid w:val="009067B2"/>
    <w:rsid w:val="009073E0"/>
    <w:rsid w:val="0090743F"/>
    <w:rsid w:val="009074A4"/>
    <w:rsid w:val="00907504"/>
    <w:rsid w:val="0090760E"/>
    <w:rsid w:val="009078D3"/>
    <w:rsid w:val="00907B06"/>
    <w:rsid w:val="00907BE6"/>
    <w:rsid w:val="0091054A"/>
    <w:rsid w:val="00910CD6"/>
    <w:rsid w:val="00910F21"/>
    <w:rsid w:val="009121A0"/>
    <w:rsid w:val="00912514"/>
    <w:rsid w:val="00912869"/>
    <w:rsid w:val="009134A9"/>
    <w:rsid w:val="009144D8"/>
    <w:rsid w:val="00914724"/>
    <w:rsid w:val="0091484C"/>
    <w:rsid w:val="00914EE9"/>
    <w:rsid w:val="00915205"/>
    <w:rsid w:val="0091532E"/>
    <w:rsid w:val="00915C82"/>
    <w:rsid w:val="00916B91"/>
    <w:rsid w:val="0091722D"/>
    <w:rsid w:val="009178B4"/>
    <w:rsid w:val="00917A8A"/>
    <w:rsid w:val="009204F3"/>
    <w:rsid w:val="00920A49"/>
    <w:rsid w:val="00920E9C"/>
    <w:rsid w:val="00921E72"/>
    <w:rsid w:val="009223E4"/>
    <w:rsid w:val="00923071"/>
    <w:rsid w:val="00923A66"/>
    <w:rsid w:val="00923F66"/>
    <w:rsid w:val="0092443C"/>
    <w:rsid w:val="00924458"/>
    <w:rsid w:val="00925345"/>
    <w:rsid w:val="0092535C"/>
    <w:rsid w:val="009255A5"/>
    <w:rsid w:val="009258F4"/>
    <w:rsid w:val="00925C72"/>
    <w:rsid w:val="00925D68"/>
    <w:rsid w:val="00926A81"/>
    <w:rsid w:val="00926ED0"/>
    <w:rsid w:val="009272A8"/>
    <w:rsid w:val="0092788B"/>
    <w:rsid w:val="00927CBD"/>
    <w:rsid w:val="00930AC1"/>
    <w:rsid w:val="00930DE5"/>
    <w:rsid w:val="00931F63"/>
    <w:rsid w:val="0093243D"/>
    <w:rsid w:val="0093272C"/>
    <w:rsid w:val="0093284C"/>
    <w:rsid w:val="00933400"/>
    <w:rsid w:val="0093385C"/>
    <w:rsid w:val="0093402A"/>
    <w:rsid w:val="00934B12"/>
    <w:rsid w:val="0093563D"/>
    <w:rsid w:val="009366BB"/>
    <w:rsid w:val="00936B8B"/>
    <w:rsid w:val="00936C3B"/>
    <w:rsid w:val="009371A5"/>
    <w:rsid w:val="00937D4D"/>
    <w:rsid w:val="009404C4"/>
    <w:rsid w:val="00940CE9"/>
    <w:rsid w:val="00940E10"/>
    <w:rsid w:val="009414FD"/>
    <w:rsid w:val="009415B6"/>
    <w:rsid w:val="00941A04"/>
    <w:rsid w:val="00941F51"/>
    <w:rsid w:val="00942442"/>
    <w:rsid w:val="0094445E"/>
    <w:rsid w:val="00944C01"/>
    <w:rsid w:val="00944C89"/>
    <w:rsid w:val="009457D3"/>
    <w:rsid w:val="00945954"/>
    <w:rsid w:val="0094599C"/>
    <w:rsid w:val="009461EC"/>
    <w:rsid w:val="009463B8"/>
    <w:rsid w:val="00946779"/>
    <w:rsid w:val="0094689C"/>
    <w:rsid w:val="009477DD"/>
    <w:rsid w:val="0094789B"/>
    <w:rsid w:val="0094790C"/>
    <w:rsid w:val="009506CC"/>
    <w:rsid w:val="009516F6"/>
    <w:rsid w:val="00951884"/>
    <w:rsid w:val="00951BE8"/>
    <w:rsid w:val="00951D9C"/>
    <w:rsid w:val="00951DA0"/>
    <w:rsid w:val="009523B8"/>
    <w:rsid w:val="00952769"/>
    <w:rsid w:val="00952B10"/>
    <w:rsid w:val="00952D3D"/>
    <w:rsid w:val="0095315C"/>
    <w:rsid w:val="0095334E"/>
    <w:rsid w:val="00953423"/>
    <w:rsid w:val="00953864"/>
    <w:rsid w:val="009541C1"/>
    <w:rsid w:val="00954EF0"/>
    <w:rsid w:val="00955100"/>
    <w:rsid w:val="0095529E"/>
    <w:rsid w:val="009552CD"/>
    <w:rsid w:val="0095539D"/>
    <w:rsid w:val="0095573E"/>
    <w:rsid w:val="00955B12"/>
    <w:rsid w:val="00955C54"/>
    <w:rsid w:val="00955F0D"/>
    <w:rsid w:val="009565E8"/>
    <w:rsid w:val="009566F1"/>
    <w:rsid w:val="00956B9B"/>
    <w:rsid w:val="009572A4"/>
    <w:rsid w:val="00957525"/>
    <w:rsid w:val="00957DED"/>
    <w:rsid w:val="00960215"/>
    <w:rsid w:val="009604FE"/>
    <w:rsid w:val="0096095D"/>
    <w:rsid w:val="00960B58"/>
    <w:rsid w:val="009614A6"/>
    <w:rsid w:val="00961773"/>
    <w:rsid w:val="009617BB"/>
    <w:rsid w:val="0096217A"/>
    <w:rsid w:val="0096268C"/>
    <w:rsid w:val="00962EFD"/>
    <w:rsid w:val="00962F7D"/>
    <w:rsid w:val="00963263"/>
    <w:rsid w:val="00963300"/>
    <w:rsid w:val="009638DA"/>
    <w:rsid w:val="00963B11"/>
    <w:rsid w:val="00963B5D"/>
    <w:rsid w:val="00963B6D"/>
    <w:rsid w:val="00963F48"/>
    <w:rsid w:val="009642F8"/>
    <w:rsid w:val="009648B0"/>
    <w:rsid w:val="0096490E"/>
    <w:rsid w:val="00965432"/>
    <w:rsid w:val="00965713"/>
    <w:rsid w:val="00965AE7"/>
    <w:rsid w:val="00965BF9"/>
    <w:rsid w:val="00966042"/>
    <w:rsid w:val="009665B0"/>
    <w:rsid w:val="009666FC"/>
    <w:rsid w:val="00966866"/>
    <w:rsid w:val="00966A55"/>
    <w:rsid w:val="0096790F"/>
    <w:rsid w:val="0097043B"/>
    <w:rsid w:val="00970867"/>
    <w:rsid w:val="009708DA"/>
    <w:rsid w:val="0097115B"/>
    <w:rsid w:val="00971366"/>
    <w:rsid w:val="009719AA"/>
    <w:rsid w:val="00971BD5"/>
    <w:rsid w:val="00971FA2"/>
    <w:rsid w:val="0097225A"/>
    <w:rsid w:val="0097239F"/>
    <w:rsid w:val="00972B91"/>
    <w:rsid w:val="00972E72"/>
    <w:rsid w:val="009730B5"/>
    <w:rsid w:val="009732D9"/>
    <w:rsid w:val="009738F7"/>
    <w:rsid w:val="00973949"/>
    <w:rsid w:val="00973E60"/>
    <w:rsid w:val="00974156"/>
    <w:rsid w:val="009747C9"/>
    <w:rsid w:val="009748B6"/>
    <w:rsid w:val="00974965"/>
    <w:rsid w:val="00974B2E"/>
    <w:rsid w:val="0097552A"/>
    <w:rsid w:val="0097577C"/>
    <w:rsid w:val="0097578C"/>
    <w:rsid w:val="009758AB"/>
    <w:rsid w:val="00975922"/>
    <w:rsid w:val="00975CD6"/>
    <w:rsid w:val="00975F65"/>
    <w:rsid w:val="00976243"/>
    <w:rsid w:val="009764F5"/>
    <w:rsid w:val="00977293"/>
    <w:rsid w:val="00977624"/>
    <w:rsid w:val="00977EF3"/>
    <w:rsid w:val="009816C5"/>
    <w:rsid w:val="00981EDA"/>
    <w:rsid w:val="00982822"/>
    <w:rsid w:val="00982C3A"/>
    <w:rsid w:val="00982C44"/>
    <w:rsid w:val="00983D5F"/>
    <w:rsid w:val="009843CC"/>
    <w:rsid w:val="00984792"/>
    <w:rsid w:val="009848F4"/>
    <w:rsid w:val="00984D35"/>
    <w:rsid w:val="0098528B"/>
    <w:rsid w:val="00985384"/>
    <w:rsid w:val="00985786"/>
    <w:rsid w:val="009857BA"/>
    <w:rsid w:val="009861BB"/>
    <w:rsid w:val="00986255"/>
    <w:rsid w:val="009865E7"/>
    <w:rsid w:val="00990178"/>
    <w:rsid w:val="00990461"/>
    <w:rsid w:val="00990812"/>
    <w:rsid w:val="0099243E"/>
    <w:rsid w:val="00992BA8"/>
    <w:rsid w:val="00992C64"/>
    <w:rsid w:val="009937EB"/>
    <w:rsid w:val="009956CB"/>
    <w:rsid w:val="009970BE"/>
    <w:rsid w:val="009972E0"/>
    <w:rsid w:val="0099759E"/>
    <w:rsid w:val="00997A97"/>
    <w:rsid w:val="009A0735"/>
    <w:rsid w:val="009A0CD9"/>
    <w:rsid w:val="009A0D28"/>
    <w:rsid w:val="009A0E19"/>
    <w:rsid w:val="009A0E62"/>
    <w:rsid w:val="009A0F65"/>
    <w:rsid w:val="009A1280"/>
    <w:rsid w:val="009A1D78"/>
    <w:rsid w:val="009A2087"/>
    <w:rsid w:val="009A23B8"/>
    <w:rsid w:val="009A273D"/>
    <w:rsid w:val="009A2B06"/>
    <w:rsid w:val="009A3301"/>
    <w:rsid w:val="009A3658"/>
    <w:rsid w:val="009A374E"/>
    <w:rsid w:val="009A3A8B"/>
    <w:rsid w:val="009A4997"/>
    <w:rsid w:val="009A4E6D"/>
    <w:rsid w:val="009A500E"/>
    <w:rsid w:val="009A55EE"/>
    <w:rsid w:val="009A60E7"/>
    <w:rsid w:val="009A62C4"/>
    <w:rsid w:val="009A680A"/>
    <w:rsid w:val="009A6AB3"/>
    <w:rsid w:val="009A6BC4"/>
    <w:rsid w:val="009A6DF1"/>
    <w:rsid w:val="009A6F44"/>
    <w:rsid w:val="009A7019"/>
    <w:rsid w:val="009B03C7"/>
    <w:rsid w:val="009B072F"/>
    <w:rsid w:val="009B2730"/>
    <w:rsid w:val="009B2E94"/>
    <w:rsid w:val="009B3268"/>
    <w:rsid w:val="009B34F7"/>
    <w:rsid w:val="009B3917"/>
    <w:rsid w:val="009B3D31"/>
    <w:rsid w:val="009B3DAF"/>
    <w:rsid w:val="009B3E5B"/>
    <w:rsid w:val="009B3E60"/>
    <w:rsid w:val="009B4075"/>
    <w:rsid w:val="009B4444"/>
    <w:rsid w:val="009B47A4"/>
    <w:rsid w:val="009B47F5"/>
    <w:rsid w:val="009B4D2F"/>
    <w:rsid w:val="009B4F6A"/>
    <w:rsid w:val="009B54DA"/>
    <w:rsid w:val="009B588C"/>
    <w:rsid w:val="009B5966"/>
    <w:rsid w:val="009B5D01"/>
    <w:rsid w:val="009B6883"/>
    <w:rsid w:val="009B6CBF"/>
    <w:rsid w:val="009B713B"/>
    <w:rsid w:val="009B7BD9"/>
    <w:rsid w:val="009B7D85"/>
    <w:rsid w:val="009C0938"/>
    <w:rsid w:val="009C0C09"/>
    <w:rsid w:val="009C2D7D"/>
    <w:rsid w:val="009C3B31"/>
    <w:rsid w:val="009C400E"/>
    <w:rsid w:val="009C48DA"/>
    <w:rsid w:val="009C4CCB"/>
    <w:rsid w:val="009C4E73"/>
    <w:rsid w:val="009C5824"/>
    <w:rsid w:val="009C6088"/>
    <w:rsid w:val="009C6139"/>
    <w:rsid w:val="009C644B"/>
    <w:rsid w:val="009C6DB5"/>
    <w:rsid w:val="009C7904"/>
    <w:rsid w:val="009D1D93"/>
    <w:rsid w:val="009D1E1C"/>
    <w:rsid w:val="009D22F0"/>
    <w:rsid w:val="009D24A6"/>
    <w:rsid w:val="009D2F55"/>
    <w:rsid w:val="009D3017"/>
    <w:rsid w:val="009D3569"/>
    <w:rsid w:val="009D3C33"/>
    <w:rsid w:val="009D4971"/>
    <w:rsid w:val="009D560B"/>
    <w:rsid w:val="009D6F86"/>
    <w:rsid w:val="009D75FA"/>
    <w:rsid w:val="009D7C15"/>
    <w:rsid w:val="009D7E1B"/>
    <w:rsid w:val="009E0CBD"/>
    <w:rsid w:val="009E0E35"/>
    <w:rsid w:val="009E0FFB"/>
    <w:rsid w:val="009E10F3"/>
    <w:rsid w:val="009E17CB"/>
    <w:rsid w:val="009E1B1A"/>
    <w:rsid w:val="009E1F6C"/>
    <w:rsid w:val="009E2561"/>
    <w:rsid w:val="009E2682"/>
    <w:rsid w:val="009E2E74"/>
    <w:rsid w:val="009E37A9"/>
    <w:rsid w:val="009E3DA6"/>
    <w:rsid w:val="009E3E94"/>
    <w:rsid w:val="009E40C9"/>
    <w:rsid w:val="009E4301"/>
    <w:rsid w:val="009E4B18"/>
    <w:rsid w:val="009E54F3"/>
    <w:rsid w:val="009E58F2"/>
    <w:rsid w:val="009E5ECA"/>
    <w:rsid w:val="009E5F59"/>
    <w:rsid w:val="009E663A"/>
    <w:rsid w:val="009E6E77"/>
    <w:rsid w:val="009E73A2"/>
    <w:rsid w:val="009E73BF"/>
    <w:rsid w:val="009E7739"/>
    <w:rsid w:val="009E7E92"/>
    <w:rsid w:val="009F09DD"/>
    <w:rsid w:val="009F1170"/>
    <w:rsid w:val="009F1255"/>
    <w:rsid w:val="009F15F5"/>
    <w:rsid w:val="009F172B"/>
    <w:rsid w:val="009F1859"/>
    <w:rsid w:val="009F1A27"/>
    <w:rsid w:val="009F1D24"/>
    <w:rsid w:val="009F2278"/>
    <w:rsid w:val="009F27EE"/>
    <w:rsid w:val="009F30A9"/>
    <w:rsid w:val="009F3E49"/>
    <w:rsid w:val="009F4E12"/>
    <w:rsid w:val="009F561C"/>
    <w:rsid w:val="009F56F3"/>
    <w:rsid w:val="009F6307"/>
    <w:rsid w:val="009F7115"/>
    <w:rsid w:val="009F74C6"/>
    <w:rsid w:val="009F78C5"/>
    <w:rsid w:val="009F7976"/>
    <w:rsid w:val="009F7A3A"/>
    <w:rsid w:val="00A00BB7"/>
    <w:rsid w:val="00A00EDB"/>
    <w:rsid w:val="00A00F28"/>
    <w:rsid w:val="00A01052"/>
    <w:rsid w:val="00A0108E"/>
    <w:rsid w:val="00A022E1"/>
    <w:rsid w:val="00A026A6"/>
    <w:rsid w:val="00A0270F"/>
    <w:rsid w:val="00A028B5"/>
    <w:rsid w:val="00A02F05"/>
    <w:rsid w:val="00A031BB"/>
    <w:rsid w:val="00A03B4C"/>
    <w:rsid w:val="00A03C9F"/>
    <w:rsid w:val="00A03F25"/>
    <w:rsid w:val="00A0426B"/>
    <w:rsid w:val="00A044E4"/>
    <w:rsid w:val="00A04B5F"/>
    <w:rsid w:val="00A04D84"/>
    <w:rsid w:val="00A0550A"/>
    <w:rsid w:val="00A055B4"/>
    <w:rsid w:val="00A063CC"/>
    <w:rsid w:val="00A063D2"/>
    <w:rsid w:val="00A06466"/>
    <w:rsid w:val="00A06A41"/>
    <w:rsid w:val="00A073C4"/>
    <w:rsid w:val="00A07A44"/>
    <w:rsid w:val="00A07AE7"/>
    <w:rsid w:val="00A10B88"/>
    <w:rsid w:val="00A112C1"/>
    <w:rsid w:val="00A112C5"/>
    <w:rsid w:val="00A11363"/>
    <w:rsid w:val="00A11A3F"/>
    <w:rsid w:val="00A11E92"/>
    <w:rsid w:val="00A12257"/>
    <w:rsid w:val="00A12ADA"/>
    <w:rsid w:val="00A12D3D"/>
    <w:rsid w:val="00A131A2"/>
    <w:rsid w:val="00A131D3"/>
    <w:rsid w:val="00A13480"/>
    <w:rsid w:val="00A1365E"/>
    <w:rsid w:val="00A13ED3"/>
    <w:rsid w:val="00A14FC0"/>
    <w:rsid w:val="00A15F62"/>
    <w:rsid w:val="00A16252"/>
    <w:rsid w:val="00A16633"/>
    <w:rsid w:val="00A168BD"/>
    <w:rsid w:val="00A16B81"/>
    <w:rsid w:val="00A16BCA"/>
    <w:rsid w:val="00A16E9D"/>
    <w:rsid w:val="00A178B7"/>
    <w:rsid w:val="00A17B7B"/>
    <w:rsid w:val="00A20660"/>
    <w:rsid w:val="00A20985"/>
    <w:rsid w:val="00A20CFA"/>
    <w:rsid w:val="00A2193A"/>
    <w:rsid w:val="00A21EFA"/>
    <w:rsid w:val="00A220B3"/>
    <w:rsid w:val="00A220CC"/>
    <w:rsid w:val="00A2211A"/>
    <w:rsid w:val="00A223D1"/>
    <w:rsid w:val="00A2254A"/>
    <w:rsid w:val="00A2321B"/>
    <w:rsid w:val="00A236EA"/>
    <w:rsid w:val="00A25128"/>
    <w:rsid w:val="00A259BB"/>
    <w:rsid w:val="00A2611A"/>
    <w:rsid w:val="00A26B32"/>
    <w:rsid w:val="00A27F16"/>
    <w:rsid w:val="00A305FD"/>
    <w:rsid w:val="00A30745"/>
    <w:rsid w:val="00A30834"/>
    <w:rsid w:val="00A30E1F"/>
    <w:rsid w:val="00A31440"/>
    <w:rsid w:val="00A3209D"/>
    <w:rsid w:val="00A327C6"/>
    <w:rsid w:val="00A32E74"/>
    <w:rsid w:val="00A33337"/>
    <w:rsid w:val="00A33345"/>
    <w:rsid w:val="00A340EC"/>
    <w:rsid w:val="00A34CF4"/>
    <w:rsid w:val="00A3511B"/>
    <w:rsid w:val="00A355C9"/>
    <w:rsid w:val="00A356C3"/>
    <w:rsid w:val="00A35A82"/>
    <w:rsid w:val="00A363AC"/>
    <w:rsid w:val="00A374F6"/>
    <w:rsid w:val="00A37BB6"/>
    <w:rsid w:val="00A37D31"/>
    <w:rsid w:val="00A403D6"/>
    <w:rsid w:val="00A41417"/>
    <w:rsid w:val="00A41823"/>
    <w:rsid w:val="00A41910"/>
    <w:rsid w:val="00A41ACB"/>
    <w:rsid w:val="00A41AF5"/>
    <w:rsid w:val="00A41C66"/>
    <w:rsid w:val="00A4263B"/>
    <w:rsid w:val="00A435E7"/>
    <w:rsid w:val="00A44C93"/>
    <w:rsid w:val="00A45DEA"/>
    <w:rsid w:val="00A45FEC"/>
    <w:rsid w:val="00A46191"/>
    <w:rsid w:val="00A4679E"/>
    <w:rsid w:val="00A46EE8"/>
    <w:rsid w:val="00A476A2"/>
    <w:rsid w:val="00A47E48"/>
    <w:rsid w:val="00A47FDB"/>
    <w:rsid w:val="00A505C8"/>
    <w:rsid w:val="00A50998"/>
    <w:rsid w:val="00A50E49"/>
    <w:rsid w:val="00A51ACC"/>
    <w:rsid w:val="00A52D21"/>
    <w:rsid w:val="00A5331C"/>
    <w:rsid w:val="00A53C16"/>
    <w:rsid w:val="00A53C4D"/>
    <w:rsid w:val="00A54937"/>
    <w:rsid w:val="00A54D6B"/>
    <w:rsid w:val="00A54F5F"/>
    <w:rsid w:val="00A558A9"/>
    <w:rsid w:val="00A55F2C"/>
    <w:rsid w:val="00A562D5"/>
    <w:rsid w:val="00A5769E"/>
    <w:rsid w:val="00A57D45"/>
    <w:rsid w:val="00A60101"/>
    <w:rsid w:val="00A60B95"/>
    <w:rsid w:val="00A60FF1"/>
    <w:rsid w:val="00A61FD5"/>
    <w:rsid w:val="00A620A2"/>
    <w:rsid w:val="00A625B7"/>
    <w:rsid w:val="00A63A1F"/>
    <w:rsid w:val="00A641AF"/>
    <w:rsid w:val="00A642AE"/>
    <w:rsid w:val="00A64E95"/>
    <w:rsid w:val="00A658B4"/>
    <w:rsid w:val="00A66FC9"/>
    <w:rsid w:val="00A671F7"/>
    <w:rsid w:val="00A67679"/>
    <w:rsid w:val="00A67697"/>
    <w:rsid w:val="00A6774A"/>
    <w:rsid w:val="00A678B7"/>
    <w:rsid w:val="00A7019D"/>
    <w:rsid w:val="00A70262"/>
    <w:rsid w:val="00A704EA"/>
    <w:rsid w:val="00A7057E"/>
    <w:rsid w:val="00A70D5B"/>
    <w:rsid w:val="00A70F2A"/>
    <w:rsid w:val="00A712E1"/>
    <w:rsid w:val="00A714AA"/>
    <w:rsid w:val="00A719E1"/>
    <w:rsid w:val="00A71E2E"/>
    <w:rsid w:val="00A7244F"/>
    <w:rsid w:val="00A726E4"/>
    <w:rsid w:val="00A726E7"/>
    <w:rsid w:val="00A7279D"/>
    <w:rsid w:val="00A72BE4"/>
    <w:rsid w:val="00A736B0"/>
    <w:rsid w:val="00A73A3C"/>
    <w:rsid w:val="00A73EB0"/>
    <w:rsid w:val="00A7428F"/>
    <w:rsid w:val="00A75022"/>
    <w:rsid w:val="00A75313"/>
    <w:rsid w:val="00A75520"/>
    <w:rsid w:val="00A755B8"/>
    <w:rsid w:val="00A8062F"/>
    <w:rsid w:val="00A80754"/>
    <w:rsid w:val="00A81055"/>
    <w:rsid w:val="00A814A3"/>
    <w:rsid w:val="00A81EE6"/>
    <w:rsid w:val="00A821ED"/>
    <w:rsid w:val="00A827E6"/>
    <w:rsid w:val="00A828FA"/>
    <w:rsid w:val="00A82FBA"/>
    <w:rsid w:val="00A8369A"/>
    <w:rsid w:val="00A83C6E"/>
    <w:rsid w:val="00A83E07"/>
    <w:rsid w:val="00A8405C"/>
    <w:rsid w:val="00A84281"/>
    <w:rsid w:val="00A84589"/>
    <w:rsid w:val="00A84C33"/>
    <w:rsid w:val="00A8561C"/>
    <w:rsid w:val="00A8628F"/>
    <w:rsid w:val="00A86992"/>
    <w:rsid w:val="00A86AE0"/>
    <w:rsid w:val="00A86EFA"/>
    <w:rsid w:val="00A8741D"/>
    <w:rsid w:val="00A87A6D"/>
    <w:rsid w:val="00A90249"/>
    <w:rsid w:val="00A90656"/>
    <w:rsid w:val="00A90FD0"/>
    <w:rsid w:val="00A91234"/>
    <w:rsid w:val="00A916DF"/>
    <w:rsid w:val="00A91865"/>
    <w:rsid w:val="00A91925"/>
    <w:rsid w:val="00A91ABB"/>
    <w:rsid w:val="00A91E64"/>
    <w:rsid w:val="00A92558"/>
    <w:rsid w:val="00A927F7"/>
    <w:rsid w:val="00A92DBC"/>
    <w:rsid w:val="00A92E4E"/>
    <w:rsid w:val="00A93364"/>
    <w:rsid w:val="00A93EAB"/>
    <w:rsid w:val="00A94499"/>
    <w:rsid w:val="00A9455D"/>
    <w:rsid w:val="00A9506E"/>
    <w:rsid w:val="00A956D7"/>
    <w:rsid w:val="00A96898"/>
    <w:rsid w:val="00A96BE3"/>
    <w:rsid w:val="00A96C06"/>
    <w:rsid w:val="00A96DB4"/>
    <w:rsid w:val="00A97166"/>
    <w:rsid w:val="00A9754B"/>
    <w:rsid w:val="00A97774"/>
    <w:rsid w:val="00A97DEB"/>
    <w:rsid w:val="00AA2BAF"/>
    <w:rsid w:val="00AA2BCB"/>
    <w:rsid w:val="00AA30F7"/>
    <w:rsid w:val="00AA3D87"/>
    <w:rsid w:val="00AA4024"/>
    <w:rsid w:val="00AA405E"/>
    <w:rsid w:val="00AA444D"/>
    <w:rsid w:val="00AA4571"/>
    <w:rsid w:val="00AA5287"/>
    <w:rsid w:val="00AA5780"/>
    <w:rsid w:val="00AA6872"/>
    <w:rsid w:val="00AA6C7E"/>
    <w:rsid w:val="00AA78F4"/>
    <w:rsid w:val="00AB020D"/>
    <w:rsid w:val="00AB0D05"/>
    <w:rsid w:val="00AB12A9"/>
    <w:rsid w:val="00AB1872"/>
    <w:rsid w:val="00AB1EEE"/>
    <w:rsid w:val="00AB23D8"/>
    <w:rsid w:val="00AB24D0"/>
    <w:rsid w:val="00AB24EC"/>
    <w:rsid w:val="00AB2B93"/>
    <w:rsid w:val="00AB2C31"/>
    <w:rsid w:val="00AB2F02"/>
    <w:rsid w:val="00AB30DE"/>
    <w:rsid w:val="00AB31A2"/>
    <w:rsid w:val="00AB336C"/>
    <w:rsid w:val="00AB33E5"/>
    <w:rsid w:val="00AB3E81"/>
    <w:rsid w:val="00AB3F39"/>
    <w:rsid w:val="00AB426C"/>
    <w:rsid w:val="00AB465B"/>
    <w:rsid w:val="00AB4827"/>
    <w:rsid w:val="00AB4AA8"/>
    <w:rsid w:val="00AB4AF5"/>
    <w:rsid w:val="00AB4B2B"/>
    <w:rsid w:val="00AB57F2"/>
    <w:rsid w:val="00AB59DC"/>
    <w:rsid w:val="00AB6168"/>
    <w:rsid w:val="00AB63C8"/>
    <w:rsid w:val="00AB64E0"/>
    <w:rsid w:val="00AB684D"/>
    <w:rsid w:val="00AB6B4D"/>
    <w:rsid w:val="00AB6B6E"/>
    <w:rsid w:val="00AB7A5E"/>
    <w:rsid w:val="00AB7D99"/>
    <w:rsid w:val="00AB7F31"/>
    <w:rsid w:val="00AC0132"/>
    <w:rsid w:val="00AC01B6"/>
    <w:rsid w:val="00AC0318"/>
    <w:rsid w:val="00AC0568"/>
    <w:rsid w:val="00AC0898"/>
    <w:rsid w:val="00AC08B1"/>
    <w:rsid w:val="00AC1014"/>
    <w:rsid w:val="00AC147D"/>
    <w:rsid w:val="00AC15B8"/>
    <w:rsid w:val="00AC1D76"/>
    <w:rsid w:val="00AC3148"/>
    <w:rsid w:val="00AC365C"/>
    <w:rsid w:val="00AC3DEE"/>
    <w:rsid w:val="00AC40AA"/>
    <w:rsid w:val="00AC4702"/>
    <w:rsid w:val="00AC4945"/>
    <w:rsid w:val="00AC49C9"/>
    <w:rsid w:val="00AC58CC"/>
    <w:rsid w:val="00AC6219"/>
    <w:rsid w:val="00AC656F"/>
    <w:rsid w:val="00AC6B78"/>
    <w:rsid w:val="00AC70D1"/>
    <w:rsid w:val="00AC71E9"/>
    <w:rsid w:val="00AC74B8"/>
    <w:rsid w:val="00AC78BF"/>
    <w:rsid w:val="00AC7D7E"/>
    <w:rsid w:val="00AD037D"/>
    <w:rsid w:val="00AD092F"/>
    <w:rsid w:val="00AD142E"/>
    <w:rsid w:val="00AD1F8D"/>
    <w:rsid w:val="00AD1FAA"/>
    <w:rsid w:val="00AD2434"/>
    <w:rsid w:val="00AD2F7E"/>
    <w:rsid w:val="00AD3320"/>
    <w:rsid w:val="00AD37C7"/>
    <w:rsid w:val="00AD3B18"/>
    <w:rsid w:val="00AD3C30"/>
    <w:rsid w:val="00AD4509"/>
    <w:rsid w:val="00AD472F"/>
    <w:rsid w:val="00AD532C"/>
    <w:rsid w:val="00AD57B6"/>
    <w:rsid w:val="00AD58C3"/>
    <w:rsid w:val="00AD5963"/>
    <w:rsid w:val="00AD5A44"/>
    <w:rsid w:val="00AD5D07"/>
    <w:rsid w:val="00AD648C"/>
    <w:rsid w:val="00AD66AF"/>
    <w:rsid w:val="00AD74A4"/>
    <w:rsid w:val="00AD7789"/>
    <w:rsid w:val="00AD7DD5"/>
    <w:rsid w:val="00AE0213"/>
    <w:rsid w:val="00AE09A4"/>
    <w:rsid w:val="00AE0EE7"/>
    <w:rsid w:val="00AE13D5"/>
    <w:rsid w:val="00AE196B"/>
    <w:rsid w:val="00AE231F"/>
    <w:rsid w:val="00AE2A63"/>
    <w:rsid w:val="00AE2DCC"/>
    <w:rsid w:val="00AE2F33"/>
    <w:rsid w:val="00AE31A0"/>
    <w:rsid w:val="00AE3B43"/>
    <w:rsid w:val="00AE3ECA"/>
    <w:rsid w:val="00AE42E0"/>
    <w:rsid w:val="00AE4DEF"/>
    <w:rsid w:val="00AE504D"/>
    <w:rsid w:val="00AE52A1"/>
    <w:rsid w:val="00AE5E85"/>
    <w:rsid w:val="00AE63B5"/>
    <w:rsid w:val="00AF00F3"/>
    <w:rsid w:val="00AF0222"/>
    <w:rsid w:val="00AF0942"/>
    <w:rsid w:val="00AF0A3D"/>
    <w:rsid w:val="00AF1031"/>
    <w:rsid w:val="00AF1C8F"/>
    <w:rsid w:val="00AF2117"/>
    <w:rsid w:val="00AF21AC"/>
    <w:rsid w:val="00AF2579"/>
    <w:rsid w:val="00AF2664"/>
    <w:rsid w:val="00AF2C55"/>
    <w:rsid w:val="00AF2CD5"/>
    <w:rsid w:val="00AF3286"/>
    <w:rsid w:val="00AF3339"/>
    <w:rsid w:val="00AF3429"/>
    <w:rsid w:val="00AF34DB"/>
    <w:rsid w:val="00AF3A01"/>
    <w:rsid w:val="00AF3A2B"/>
    <w:rsid w:val="00AF3B3C"/>
    <w:rsid w:val="00AF4649"/>
    <w:rsid w:val="00AF4773"/>
    <w:rsid w:val="00AF4AD0"/>
    <w:rsid w:val="00AF4C0E"/>
    <w:rsid w:val="00AF4E49"/>
    <w:rsid w:val="00AF4FF3"/>
    <w:rsid w:val="00AF5EBB"/>
    <w:rsid w:val="00AF6293"/>
    <w:rsid w:val="00AF6570"/>
    <w:rsid w:val="00AF7154"/>
    <w:rsid w:val="00AF72D6"/>
    <w:rsid w:val="00AF7330"/>
    <w:rsid w:val="00AF7641"/>
    <w:rsid w:val="00AF7E92"/>
    <w:rsid w:val="00B001C6"/>
    <w:rsid w:val="00B006A9"/>
    <w:rsid w:val="00B006D9"/>
    <w:rsid w:val="00B00DBF"/>
    <w:rsid w:val="00B01129"/>
    <w:rsid w:val="00B01CA3"/>
    <w:rsid w:val="00B01D46"/>
    <w:rsid w:val="00B01E72"/>
    <w:rsid w:val="00B01F39"/>
    <w:rsid w:val="00B027AF"/>
    <w:rsid w:val="00B02B16"/>
    <w:rsid w:val="00B0321C"/>
    <w:rsid w:val="00B03756"/>
    <w:rsid w:val="00B03ADD"/>
    <w:rsid w:val="00B03C39"/>
    <w:rsid w:val="00B03CBB"/>
    <w:rsid w:val="00B03F81"/>
    <w:rsid w:val="00B04204"/>
    <w:rsid w:val="00B042DF"/>
    <w:rsid w:val="00B04465"/>
    <w:rsid w:val="00B04682"/>
    <w:rsid w:val="00B05860"/>
    <w:rsid w:val="00B05914"/>
    <w:rsid w:val="00B05C7B"/>
    <w:rsid w:val="00B061EC"/>
    <w:rsid w:val="00B062EF"/>
    <w:rsid w:val="00B06525"/>
    <w:rsid w:val="00B06C0C"/>
    <w:rsid w:val="00B074AE"/>
    <w:rsid w:val="00B074C1"/>
    <w:rsid w:val="00B07971"/>
    <w:rsid w:val="00B1079E"/>
    <w:rsid w:val="00B109AC"/>
    <w:rsid w:val="00B113F3"/>
    <w:rsid w:val="00B116F0"/>
    <w:rsid w:val="00B11DBD"/>
    <w:rsid w:val="00B11F2D"/>
    <w:rsid w:val="00B1276A"/>
    <w:rsid w:val="00B12A87"/>
    <w:rsid w:val="00B1304A"/>
    <w:rsid w:val="00B14097"/>
    <w:rsid w:val="00B145CB"/>
    <w:rsid w:val="00B14AD8"/>
    <w:rsid w:val="00B15436"/>
    <w:rsid w:val="00B15D8F"/>
    <w:rsid w:val="00B15E4C"/>
    <w:rsid w:val="00B15E97"/>
    <w:rsid w:val="00B16BA3"/>
    <w:rsid w:val="00B16CBD"/>
    <w:rsid w:val="00B16E91"/>
    <w:rsid w:val="00B17D83"/>
    <w:rsid w:val="00B17FD3"/>
    <w:rsid w:val="00B20032"/>
    <w:rsid w:val="00B20353"/>
    <w:rsid w:val="00B20987"/>
    <w:rsid w:val="00B21167"/>
    <w:rsid w:val="00B21A3D"/>
    <w:rsid w:val="00B21CA0"/>
    <w:rsid w:val="00B21D3A"/>
    <w:rsid w:val="00B21FBC"/>
    <w:rsid w:val="00B22692"/>
    <w:rsid w:val="00B22AD6"/>
    <w:rsid w:val="00B23232"/>
    <w:rsid w:val="00B232A5"/>
    <w:rsid w:val="00B237AA"/>
    <w:rsid w:val="00B24090"/>
    <w:rsid w:val="00B24A7A"/>
    <w:rsid w:val="00B24CC4"/>
    <w:rsid w:val="00B24DB7"/>
    <w:rsid w:val="00B24DCC"/>
    <w:rsid w:val="00B252C6"/>
    <w:rsid w:val="00B256B2"/>
    <w:rsid w:val="00B25963"/>
    <w:rsid w:val="00B266EB"/>
    <w:rsid w:val="00B267FF"/>
    <w:rsid w:val="00B303DD"/>
    <w:rsid w:val="00B30481"/>
    <w:rsid w:val="00B306DA"/>
    <w:rsid w:val="00B3084B"/>
    <w:rsid w:val="00B309C6"/>
    <w:rsid w:val="00B30F03"/>
    <w:rsid w:val="00B310D9"/>
    <w:rsid w:val="00B310F2"/>
    <w:rsid w:val="00B32BA7"/>
    <w:rsid w:val="00B32D79"/>
    <w:rsid w:val="00B32E3B"/>
    <w:rsid w:val="00B32FCB"/>
    <w:rsid w:val="00B33BE2"/>
    <w:rsid w:val="00B33CE5"/>
    <w:rsid w:val="00B340FF"/>
    <w:rsid w:val="00B34221"/>
    <w:rsid w:val="00B34B1C"/>
    <w:rsid w:val="00B34FC5"/>
    <w:rsid w:val="00B35FF0"/>
    <w:rsid w:val="00B3640E"/>
    <w:rsid w:val="00B36CAE"/>
    <w:rsid w:val="00B36DC5"/>
    <w:rsid w:val="00B37A6E"/>
    <w:rsid w:val="00B4062D"/>
    <w:rsid w:val="00B408F2"/>
    <w:rsid w:val="00B40A05"/>
    <w:rsid w:val="00B40AF6"/>
    <w:rsid w:val="00B41287"/>
    <w:rsid w:val="00B415D7"/>
    <w:rsid w:val="00B41A4F"/>
    <w:rsid w:val="00B42442"/>
    <w:rsid w:val="00B43AAD"/>
    <w:rsid w:val="00B43DC6"/>
    <w:rsid w:val="00B44175"/>
    <w:rsid w:val="00B44933"/>
    <w:rsid w:val="00B44960"/>
    <w:rsid w:val="00B45431"/>
    <w:rsid w:val="00B4580F"/>
    <w:rsid w:val="00B46211"/>
    <w:rsid w:val="00B4629B"/>
    <w:rsid w:val="00B462F5"/>
    <w:rsid w:val="00B465BC"/>
    <w:rsid w:val="00B46BD8"/>
    <w:rsid w:val="00B46ED6"/>
    <w:rsid w:val="00B4759C"/>
    <w:rsid w:val="00B47AF2"/>
    <w:rsid w:val="00B47FF1"/>
    <w:rsid w:val="00B502C5"/>
    <w:rsid w:val="00B50EB6"/>
    <w:rsid w:val="00B51063"/>
    <w:rsid w:val="00B5117D"/>
    <w:rsid w:val="00B5161B"/>
    <w:rsid w:val="00B51C00"/>
    <w:rsid w:val="00B52326"/>
    <w:rsid w:val="00B53364"/>
    <w:rsid w:val="00B53E36"/>
    <w:rsid w:val="00B53F84"/>
    <w:rsid w:val="00B54189"/>
    <w:rsid w:val="00B54835"/>
    <w:rsid w:val="00B54C53"/>
    <w:rsid w:val="00B54D09"/>
    <w:rsid w:val="00B56006"/>
    <w:rsid w:val="00B5614C"/>
    <w:rsid w:val="00B561C3"/>
    <w:rsid w:val="00B56286"/>
    <w:rsid w:val="00B563A3"/>
    <w:rsid w:val="00B57747"/>
    <w:rsid w:val="00B5775D"/>
    <w:rsid w:val="00B57CDD"/>
    <w:rsid w:val="00B57E26"/>
    <w:rsid w:val="00B57F6D"/>
    <w:rsid w:val="00B57FF5"/>
    <w:rsid w:val="00B60007"/>
    <w:rsid w:val="00B60084"/>
    <w:rsid w:val="00B60866"/>
    <w:rsid w:val="00B608DD"/>
    <w:rsid w:val="00B60E1D"/>
    <w:rsid w:val="00B6110A"/>
    <w:rsid w:val="00B61415"/>
    <w:rsid w:val="00B61AF7"/>
    <w:rsid w:val="00B63128"/>
    <w:rsid w:val="00B6419D"/>
    <w:rsid w:val="00B65C85"/>
    <w:rsid w:val="00B6623B"/>
    <w:rsid w:val="00B66857"/>
    <w:rsid w:val="00B6696E"/>
    <w:rsid w:val="00B66E47"/>
    <w:rsid w:val="00B67440"/>
    <w:rsid w:val="00B67720"/>
    <w:rsid w:val="00B67C55"/>
    <w:rsid w:val="00B67DD9"/>
    <w:rsid w:val="00B67E54"/>
    <w:rsid w:val="00B70220"/>
    <w:rsid w:val="00B7064F"/>
    <w:rsid w:val="00B70A13"/>
    <w:rsid w:val="00B70C65"/>
    <w:rsid w:val="00B70D58"/>
    <w:rsid w:val="00B712A9"/>
    <w:rsid w:val="00B71EDD"/>
    <w:rsid w:val="00B72C46"/>
    <w:rsid w:val="00B72D4A"/>
    <w:rsid w:val="00B7303B"/>
    <w:rsid w:val="00B730D4"/>
    <w:rsid w:val="00B7340C"/>
    <w:rsid w:val="00B7353A"/>
    <w:rsid w:val="00B735D0"/>
    <w:rsid w:val="00B736E7"/>
    <w:rsid w:val="00B7370E"/>
    <w:rsid w:val="00B73AA6"/>
    <w:rsid w:val="00B73D21"/>
    <w:rsid w:val="00B73F7C"/>
    <w:rsid w:val="00B743A5"/>
    <w:rsid w:val="00B74882"/>
    <w:rsid w:val="00B755BF"/>
    <w:rsid w:val="00B75918"/>
    <w:rsid w:val="00B75FE5"/>
    <w:rsid w:val="00B76092"/>
    <w:rsid w:val="00B76D14"/>
    <w:rsid w:val="00B77559"/>
    <w:rsid w:val="00B7777E"/>
    <w:rsid w:val="00B77A58"/>
    <w:rsid w:val="00B77DAE"/>
    <w:rsid w:val="00B80439"/>
    <w:rsid w:val="00B8050D"/>
    <w:rsid w:val="00B81BC1"/>
    <w:rsid w:val="00B81E5C"/>
    <w:rsid w:val="00B82AA8"/>
    <w:rsid w:val="00B82CB7"/>
    <w:rsid w:val="00B842D7"/>
    <w:rsid w:val="00B857BC"/>
    <w:rsid w:val="00B85806"/>
    <w:rsid w:val="00B858B5"/>
    <w:rsid w:val="00B861BD"/>
    <w:rsid w:val="00B865C0"/>
    <w:rsid w:val="00B873B3"/>
    <w:rsid w:val="00B875FF"/>
    <w:rsid w:val="00B90840"/>
    <w:rsid w:val="00B90EB6"/>
    <w:rsid w:val="00B91428"/>
    <w:rsid w:val="00B916C2"/>
    <w:rsid w:val="00B917C1"/>
    <w:rsid w:val="00B91944"/>
    <w:rsid w:val="00B92223"/>
    <w:rsid w:val="00B92465"/>
    <w:rsid w:val="00B928F8"/>
    <w:rsid w:val="00B92F13"/>
    <w:rsid w:val="00B930DC"/>
    <w:rsid w:val="00B93352"/>
    <w:rsid w:val="00B93448"/>
    <w:rsid w:val="00B936F7"/>
    <w:rsid w:val="00B94155"/>
    <w:rsid w:val="00B94293"/>
    <w:rsid w:val="00B94D13"/>
    <w:rsid w:val="00B95207"/>
    <w:rsid w:val="00B95530"/>
    <w:rsid w:val="00B957C2"/>
    <w:rsid w:val="00B957DE"/>
    <w:rsid w:val="00B960A9"/>
    <w:rsid w:val="00B972BD"/>
    <w:rsid w:val="00B97766"/>
    <w:rsid w:val="00B97A1E"/>
    <w:rsid w:val="00BA06DA"/>
    <w:rsid w:val="00BA080B"/>
    <w:rsid w:val="00BA0C21"/>
    <w:rsid w:val="00BA1031"/>
    <w:rsid w:val="00BA11CF"/>
    <w:rsid w:val="00BA1A6F"/>
    <w:rsid w:val="00BA2417"/>
    <w:rsid w:val="00BA24AC"/>
    <w:rsid w:val="00BA3036"/>
    <w:rsid w:val="00BA34FE"/>
    <w:rsid w:val="00BA3509"/>
    <w:rsid w:val="00BA36F1"/>
    <w:rsid w:val="00BA37A0"/>
    <w:rsid w:val="00BA37BE"/>
    <w:rsid w:val="00BA40AE"/>
    <w:rsid w:val="00BA47DF"/>
    <w:rsid w:val="00BA5B1D"/>
    <w:rsid w:val="00BA5E8D"/>
    <w:rsid w:val="00BA63D3"/>
    <w:rsid w:val="00BA70EC"/>
    <w:rsid w:val="00BA73EE"/>
    <w:rsid w:val="00BA7468"/>
    <w:rsid w:val="00BA7E6D"/>
    <w:rsid w:val="00BA7EFD"/>
    <w:rsid w:val="00BB001B"/>
    <w:rsid w:val="00BB0601"/>
    <w:rsid w:val="00BB0C05"/>
    <w:rsid w:val="00BB0CE8"/>
    <w:rsid w:val="00BB0F2E"/>
    <w:rsid w:val="00BB1338"/>
    <w:rsid w:val="00BB173D"/>
    <w:rsid w:val="00BB1C7F"/>
    <w:rsid w:val="00BB2144"/>
    <w:rsid w:val="00BB2681"/>
    <w:rsid w:val="00BB3F74"/>
    <w:rsid w:val="00BB414A"/>
    <w:rsid w:val="00BB4C7E"/>
    <w:rsid w:val="00BB5075"/>
    <w:rsid w:val="00BB523D"/>
    <w:rsid w:val="00BB5D1E"/>
    <w:rsid w:val="00BB6EB4"/>
    <w:rsid w:val="00BB7046"/>
    <w:rsid w:val="00BB7149"/>
    <w:rsid w:val="00BB72C1"/>
    <w:rsid w:val="00BB7936"/>
    <w:rsid w:val="00BC04AB"/>
    <w:rsid w:val="00BC0543"/>
    <w:rsid w:val="00BC0B03"/>
    <w:rsid w:val="00BC18F9"/>
    <w:rsid w:val="00BC23D6"/>
    <w:rsid w:val="00BC31CF"/>
    <w:rsid w:val="00BC381E"/>
    <w:rsid w:val="00BC3AE8"/>
    <w:rsid w:val="00BC4020"/>
    <w:rsid w:val="00BC488E"/>
    <w:rsid w:val="00BC5614"/>
    <w:rsid w:val="00BC58F3"/>
    <w:rsid w:val="00BC5C4E"/>
    <w:rsid w:val="00BC663E"/>
    <w:rsid w:val="00BC6FFA"/>
    <w:rsid w:val="00BC73D9"/>
    <w:rsid w:val="00BC79F5"/>
    <w:rsid w:val="00BC7B1F"/>
    <w:rsid w:val="00BC7E6A"/>
    <w:rsid w:val="00BD0188"/>
    <w:rsid w:val="00BD0DAF"/>
    <w:rsid w:val="00BD0EBB"/>
    <w:rsid w:val="00BD0F76"/>
    <w:rsid w:val="00BD118D"/>
    <w:rsid w:val="00BD13EC"/>
    <w:rsid w:val="00BD155E"/>
    <w:rsid w:val="00BD1591"/>
    <w:rsid w:val="00BD2285"/>
    <w:rsid w:val="00BD2743"/>
    <w:rsid w:val="00BD3353"/>
    <w:rsid w:val="00BD3BA9"/>
    <w:rsid w:val="00BD3BC8"/>
    <w:rsid w:val="00BD4D40"/>
    <w:rsid w:val="00BD504D"/>
    <w:rsid w:val="00BD54F1"/>
    <w:rsid w:val="00BD5A21"/>
    <w:rsid w:val="00BD5DE8"/>
    <w:rsid w:val="00BD601E"/>
    <w:rsid w:val="00BD631D"/>
    <w:rsid w:val="00BD6448"/>
    <w:rsid w:val="00BD691A"/>
    <w:rsid w:val="00BD6EAA"/>
    <w:rsid w:val="00BD7287"/>
    <w:rsid w:val="00BE09A8"/>
    <w:rsid w:val="00BE0A2B"/>
    <w:rsid w:val="00BE18F4"/>
    <w:rsid w:val="00BE1CAB"/>
    <w:rsid w:val="00BE2427"/>
    <w:rsid w:val="00BE2791"/>
    <w:rsid w:val="00BE2AD3"/>
    <w:rsid w:val="00BE3776"/>
    <w:rsid w:val="00BE3EF8"/>
    <w:rsid w:val="00BE5757"/>
    <w:rsid w:val="00BE5881"/>
    <w:rsid w:val="00BE60E0"/>
    <w:rsid w:val="00BE61AB"/>
    <w:rsid w:val="00BE62C8"/>
    <w:rsid w:val="00BE64CC"/>
    <w:rsid w:val="00BE7148"/>
    <w:rsid w:val="00BE73EC"/>
    <w:rsid w:val="00BE742B"/>
    <w:rsid w:val="00BE762B"/>
    <w:rsid w:val="00BE7B5F"/>
    <w:rsid w:val="00BF12BC"/>
    <w:rsid w:val="00BF19D4"/>
    <w:rsid w:val="00BF21D3"/>
    <w:rsid w:val="00BF2C04"/>
    <w:rsid w:val="00BF3003"/>
    <w:rsid w:val="00BF35EE"/>
    <w:rsid w:val="00BF3905"/>
    <w:rsid w:val="00BF3943"/>
    <w:rsid w:val="00BF3A25"/>
    <w:rsid w:val="00BF3E56"/>
    <w:rsid w:val="00BF567B"/>
    <w:rsid w:val="00BF583E"/>
    <w:rsid w:val="00BF5D17"/>
    <w:rsid w:val="00BF60E3"/>
    <w:rsid w:val="00BF624E"/>
    <w:rsid w:val="00BF664C"/>
    <w:rsid w:val="00BF68EA"/>
    <w:rsid w:val="00BF6950"/>
    <w:rsid w:val="00BF6B07"/>
    <w:rsid w:val="00C00056"/>
    <w:rsid w:val="00C002F1"/>
    <w:rsid w:val="00C00592"/>
    <w:rsid w:val="00C01D45"/>
    <w:rsid w:val="00C021CF"/>
    <w:rsid w:val="00C02558"/>
    <w:rsid w:val="00C02F14"/>
    <w:rsid w:val="00C02FC4"/>
    <w:rsid w:val="00C03AA9"/>
    <w:rsid w:val="00C03CA7"/>
    <w:rsid w:val="00C0468B"/>
    <w:rsid w:val="00C0561C"/>
    <w:rsid w:val="00C06197"/>
    <w:rsid w:val="00C06C9A"/>
    <w:rsid w:val="00C06E66"/>
    <w:rsid w:val="00C06EC5"/>
    <w:rsid w:val="00C06FBE"/>
    <w:rsid w:val="00C06FFB"/>
    <w:rsid w:val="00C071F6"/>
    <w:rsid w:val="00C07554"/>
    <w:rsid w:val="00C07D18"/>
    <w:rsid w:val="00C102BD"/>
    <w:rsid w:val="00C1113C"/>
    <w:rsid w:val="00C11154"/>
    <w:rsid w:val="00C11A95"/>
    <w:rsid w:val="00C11BF6"/>
    <w:rsid w:val="00C11C5A"/>
    <w:rsid w:val="00C11D3B"/>
    <w:rsid w:val="00C1245F"/>
    <w:rsid w:val="00C1294C"/>
    <w:rsid w:val="00C12B34"/>
    <w:rsid w:val="00C13564"/>
    <w:rsid w:val="00C13D9A"/>
    <w:rsid w:val="00C14B40"/>
    <w:rsid w:val="00C14C6D"/>
    <w:rsid w:val="00C155AF"/>
    <w:rsid w:val="00C159B0"/>
    <w:rsid w:val="00C16A08"/>
    <w:rsid w:val="00C17E45"/>
    <w:rsid w:val="00C2042F"/>
    <w:rsid w:val="00C20600"/>
    <w:rsid w:val="00C20C13"/>
    <w:rsid w:val="00C20D76"/>
    <w:rsid w:val="00C212F8"/>
    <w:rsid w:val="00C21D1B"/>
    <w:rsid w:val="00C222C6"/>
    <w:rsid w:val="00C228CC"/>
    <w:rsid w:val="00C22D8B"/>
    <w:rsid w:val="00C23072"/>
    <w:rsid w:val="00C23437"/>
    <w:rsid w:val="00C23647"/>
    <w:rsid w:val="00C23AD5"/>
    <w:rsid w:val="00C2412A"/>
    <w:rsid w:val="00C24684"/>
    <w:rsid w:val="00C25271"/>
    <w:rsid w:val="00C25692"/>
    <w:rsid w:val="00C259F7"/>
    <w:rsid w:val="00C26AF5"/>
    <w:rsid w:val="00C2773C"/>
    <w:rsid w:val="00C2780F"/>
    <w:rsid w:val="00C3047C"/>
    <w:rsid w:val="00C30528"/>
    <w:rsid w:val="00C30645"/>
    <w:rsid w:val="00C306E1"/>
    <w:rsid w:val="00C30798"/>
    <w:rsid w:val="00C307ED"/>
    <w:rsid w:val="00C30B31"/>
    <w:rsid w:val="00C30E24"/>
    <w:rsid w:val="00C31144"/>
    <w:rsid w:val="00C31494"/>
    <w:rsid w:val="00C31870"/>
    <w:rsid w:val="00C31E5B"/>
    <w:rsid w:val="00C324E5"/>
    <w:rsid w:val="00C32B82"/>
    <w:rsid w:val="00C33210"/>
    <w:rsid w:val="00C335AF"/>
    <w:rsid w:val="00C33BC8"/>
    <w:rsid w:val="00C33F02"/>
    <w:rsid w:val="00C33FE3"/>
    <w:rsid w:val="00C34999"/>
    <w:rsid w:val="00C34E1E"/>
    <w:rsid w:val="00C3615D"/>
    <w:rsid w:val="00C36468"/>
    <w:rsid w:val="00C36518"/>
    <w:rsid w:val="00C366C4"/>
    <w:rsid w:val="00C369B7"/>
    <w:rsid w:val="00C36E0F"/>
    <w:rsid w:val="00C37209"/>
    <w:rsid w:val="00C37A53"/>
    <w:rsid w:val="00C404E6"/>
    <w:rsid w:val="00C40926"/>
    <w:rsid w:val="00C41544"/>
    <w:rsid w:val="00C41E89"/>
    <w:rsid w:val="00C424C3"/>
    <w:rsid w:val="00C42704"/>
    <w:rsid w:val="00C42B77"/>
    <w:rsid w:val="00C4388F"/>
    <w:rsid w:val="00C43DC8"/>
    <w:rsid w:val="00C4413A"/>
    <w:rsid w:val="00C44185"/>
    <w:rsid w:val="00C44197"/>
    <w:rsid w:val="00C4429F"/>
    <w:rsid w:val="00C442B4"/>
    <w:rsid w:val="00C45BEC"/>
    <w:rsid w:val="00C45F36"/>
    <w:rsid w:val="00C4700D"/>
    <w:rsid w:val="00C473CE"/>
    <w:rsid w:val="00C473D6"/>
    <w:rsid w:val="00C47636"/>
    <w:rsid w:val="00C47AEF"/>
    <w:rsid w:val="00C50283"/>
    <w:rsid w:val="00C50575"/>
    <w:rsid w:val="00C507A9"/>
    <w:rsid w:val="00C50A05"/>
    <w:rsid w:val="00C50A38"/>
    <w:rsid w:val="00C50B67"/>
    <w:rsid w:val="00C5133F"/>
    <w:rsid w:val="00C5186F"/>
    <w:rsid w:val="00C521A5"/>
    <w:rsid w:val="00C52A6E"/>
    <w:rsid w:val="00C538DD"/>
    <w:rsid w:val="00C53BF9"/>
    <w:rsid w:val="00C5463A"/>
    <w:rsid w:val="00C552D3"/>
    <w:rsid w:val="00C5545B"/>
    <w:rsid w:val="00C55ACB"/>
    <w:rsid w:val="00C55B73"/>
    <w:rsid w:val="00C56CF2"/>
    <w:rsid w:val="00C56DBF"/>
    <w:rsid w:val="00C57940"/>
    <w:rsid w:val="00C57ADF"/>
    <w:rsid w:val="00C60567"/>
    <w:rsid w:val="00C6090B"/>
    <w:rsid w:val="00C60EE4"/>
    <w:rsid w:val="00C610E0"/>
    <w:rsid w:val="00C61717"/>
    <w:rsid w:val="00C619CD"/>
    <w:rsid w:val="00C6232E"/>
    <w:rsid w:val="00C6321B"/>
    <w:rsid w:val="00C63D97"/>
    <w:rsid w:val="00C63EA2"/>
    <w:rsid w:val="00C64301"/>
    <w:rsid w:val="00C644DA"/>
    <w:rsid w:val="00C6478F"/>
    <w:rsid w:val="00C64CE9"/>
    <w:rsid w:val="00C64D08"/>
    <w:rsid w:val="00C663BF"/>
    <w:rsid w:val="00C66574"/>
    <w:rsid w:val="00C67565"/>
    <w:rsid w:val="00C676BA"/>
    <w:rsid w:val="00C67C1F"/>
    <w:rsid w:val="00C67EC8"/>
    <w:rsid w:val="00C70240"/>
    <w:rsid w:val="00C7099B"/>
    <w:rsid w:val="00C70B1D"/>
    <w:rsid w:val="00C715DF"/>
    <w:rsid w:val="00C7173E"/>
    <w:rsid w:val="00C7207D"/>
    <w:rsid w:val="00C729C9"/>
    <w:rsid w:val="00C72CC6"/>
    <w:rsid w:val="00C736F9"/>
    <w:rsid w:val="00C73892"/>
    <w:rsid w:val="00C73D88"/>
    <w:rsid w:val="00C73E22"/>
    <w:rsid w:val="00C73FAB"/>
    <w:rsid w:val="00C74652"/>
    <w:rsid w:val="00C74B35"/>
    <w:rsid w:val="00C74C51"/>
    <w:rsid w:val="00C75063"/>
    <w:rsid w:val="00C7672D"/>
    <w:rsid w:val="00C772F7"/>
    <w:rsid w:val="00C775B3"/>
    <w:rsid w:val="00C80681"/>
    <w:rsid w:val="00C80DAE"/>
    <w:rsid w:val="00C817EC"/>
    <w:rsid w:val="00C818D8"/>
    <w:rsid w:val="00C82FA7"/>
    <w:rsid w:val="00C83259"/>
    <w:rsid w:val="00C83310"/>
    <w:rsid w:val="00C834BB"/>
    <w:rsid w:val="00C846BA"/>
    <w:rsid w:val="00C85370"/>
    <w:rsid w:val="00C86001"/>
    <w:rsid w:val="00C8620A"/>
    <w:rsid w:val="00C86C53"/>
    <w:rsid w:val="00C86CE8"/>
    <w:rsid w:val="00C86E34"/>
    <w:rsid w:val="00C87190"/>
    <w:rsid w:val="00C87A62"/>
    <w:rsid w:val="00C87E00"/>
    <w:rsid w:val="00C87F24"/>
    <w:rsid w:val="00C90FD9"/>
    <w:rsid w:val="00C911A1"/>
    <w:rsid w:val="00C911CA"/>
    <w:rsid w:val="00C916F2"/>
    <w:rsid w:val="00C928BD"/>
    <w:rsid w:val="00C92BE9"/>
    <w:rsid w:val="00C93934"/>
    <w:rsid w:val="00C93C9F"/>
    <w:rsid w:val="00C94890"/>
    <w:rsid w:val="00C949BF"/>
    <w:rsid w:val="00C94C1D"/>
    <w:rsid w:val="00C94CCB"/>
    <w:rsid w:val="00C95031"/>
    <w:rsid w:val="00C96D88"/>
    <w:rsid w:val="00C9797E"/>
    <w:rsid w:val="00C97C00"/>
    <w:rsid w:val="00C97D5E"/>
    <w:rsid w:val="00CA0000"/>
    <w:rsid w:val="00CA03EE"/>
    <w:rsid w:val="00CA04BB"/>
    <w:rsid w:val="00CA1E99"/>
    <w:rsid w:val="00CA2147"/>
    <w:rsid w:val="00CA2AE8"/>
    <w:rsid w:val="00CA2D90"/>
    <w:rsid w:val="00CA3801"/>
    <w:rsid w:val="00CA4422"/>
    <w:rsid w:val="00CA47F4"/>
    <w:rsid w:val="00CA4AFD"/>
    <w:rsid w:val="00CA4C00"/>
    <w:rsid w:val="00CA5486"/>
    <w:rsid w:val="00CA5539"/>
    <w:rsid w:val="00CA5652"/>
    <w:rsid w:val="00CA6348"/>
    <w:rsid w:val="00CA643F"/>
    <w:rsid w:val="00CA6ABB"/>
    <w:rsid w:val="00CA6C24"/>
    <w:rsid w:val="00CA720B"/>
    <w:rsid w:val="00CA722E"/>
    <w:rsid w:val="00CA739D"/>
    <w:rsid w:val="00CA75DD"/>
    <w:rsid w:val="00CA7DE3"/>
    <w:rsid w:val="00CA7FB4"/>
    <w:rsid w:val="00CB0783"/>
    <w:rsid w:val="00CB081F"/>
    <w:rsid w:val="00CB08E0"/>
    <w:rsid w:val="00CB110B"/>
    <w:rsid w:val="00CB14FF"/>
    <w:rsid w:val="00CB1A75"/>
    <w:rsid w:val="00CB1B4C"/>
    <w:rsid w:val="00CB2965"/>
    <w:rsid w:val="00CB2A94"/>
    <w:rsid w:val="00CB30BD"/>
    <w:rsid w:val="00CB38D3"/>
    <w:rsid w:val="00CB3909"/>
    <w:rsid w:val="00CB3BA5"/>
    <w:rsid w:val="00CB46F2"/>
    <w:rsid w:val="00CB4777"/>
    <w:rsid w:val="00CB4B41"/>
    <w:rsid w:val="00CB537D"/>
    <w:rsid w:val="00CB6524"/>
    <w:rsid w:val="00CB659E"/>
    <w:rsid w:val="00CB7AAB"/>
    <w:rsid w:val="00CB7FAF"/>
    <w:rsid w:val="00CC017B"/>
    <w:rsid w:val="00CC0432"/>
    <w:rsid w:val="00CC043E"/>
    <w:rsid w:val="00CC0631"/>
    <w:rsid w:val="00CC0A59"/>
    <w:rsid w:val="00CC0FDD"/>
    <w:rsid w:val="00CC17C2"/>
    <w:rsid w:val="00CC2236"/>
    <w:rsid w:val="00CC29F0"/>
    <w:rsid w:val="00CC2BA5"/>
    <w:rsid w:val="00CC2D86"/>
    <w:rsid w:val="00CC2F31"/>
    <w:rsid w:val="00CC2F64"/>
    <w:rsid w:val="00CC36CB"/>
    <w:rsid w:val="00CC384B"/>
    <w:rsid w:val="00CC5AFD"/>
    <w:rsid w:val="00CC62CE"/>
    <w:rsid w:val="00CC717A"/>
    <w:rsid w:val="00CC7F1B"/>
    <w:rsid w:val="00CD00D9"/>
    <w:rsid w:val="00CD121E"/>
    <w:rsid w:val="00CD133D"/>
    <w:rsid w:val="00CD159A"/>
    <w:rsid w:val="00CD1A8A"/>
    <w:rsid w:val="00CD2276"/>
    <w:rsid w:val="00CD2516"/>
    <w:rsid w:val="00CD25B7"/>
    <w:rsid w:val="00CD2972"/>
    <w:rsid w:val="00CD2D46"/>
    <w:rsid w:val="00CD30C9"/>
    <w:rsid w:val="00CD341B"/>
    <w:rsid w:val="00CD38D0"/>
    <w:rsid w:val="00CD40DF"/>
    <w:rsid w:val="00CD4EC7"/>
    <w:rsid w:val="00CD5160"/>
    <w:rsid w:val="00CD54DD"/>
    <w:rsid w:val="00CD5621"/>
    <w:rsid w:val="00CD68AB"/>
    <w:rsid w:val="00CD6F14"/>
    <w:rsid w:val="00CD70F9"/>
    <w:rsid w:val="00CD746E"/>
    <w:rsid w:val="00CD753C"/>
    <w:rsid w:val="00CD76A4"/>
    <w:rsid w:val="00CE1A57"/>
    <w:rsid w:val="00CE2427"/>
    <w:rsid w:val="00CE2B15"/>
    <w:rsid w:val="00CE354C"/>
    <w:rsid w:val="00CE482D"/>
    <w:rsid w:val="00CE494D"/>
    <w:rsid w:val="00CE5116"/>
    <w:rsid w:val="00CE57B4"/>
    <w:rsid w:val="00CE5942"/>
    <w:rsid w:val="00CE5B7B"/>
    <w:rsid w:val="00CE5C47"/>
    <w:rsid w:val="00CE5C72"/>
    <w:rsid w:val="00CE5DFE"/>
    <w:rsid w:val="00CE5FA0"/>
    <w:rsid w:val="00CE658C"/>
    <w:rsid w:val="00CE6636"/>
    <w:rsid w:val="00CE67B4"/>
    <w:rsid w:val="00CE6D5B"/>
    <w:rsid w:val="00CE71D4"/>
    <w:rsid w:val="00CE7497"/>
    <w:rsid w:val="00CF0152"/>
    <w:rsid w:val="00CF01E0"/>
    <w:rsid w:val="00CF07F9"/>
    <w:rsid w:val="00CF0A64"/>
    <w:rsid w:val="00CF0C18"/>
    <w:rsid w:val="00CF1700"/>
    <w:rsid w:val="00CF1820"/>
    <w:rsid w:val="00CF2599"/>
    <w:rsid w:val="00CF28F1"/>
    <w:rsid w:val="00CF2914"/>
    <w:rsid w:val="00CF2BC9"/>
    <w:rsid w:val="00CF2FCB"/>
    <w:rsid w:val="00CF3108"/>
    <w:rsid w:val="00CF3EB6"/>
    <w:rsid w:val="00CF49F7"/>
    <w:rsid w:val="00CF4E93"/>
    <w:rsid w:val="00CF5523"/>
    <w:rsid w:val="00CF58BD"/>
    <w:rsid w:val="00CF5A2B"/>
    <w:rsid w:val="00CF715D"/>
    <w:rsid w:val="00CF7711"/>
    <w:rsid w:val="00CF7937"/>
    <w:rsid w:val="00CF7AED"/>
    <w:rsid w:val="00CF7DBD"/>
    <w:rsid w:val="00D00657"/>
    <w:rsid w:val="00D00BBB"/>
    <w:rsid w:val="00D01959"/>
    <w:rsid w:val="00D01B4B"/>
    <w:rsid w:val="00D020C1"/>
    <w:rsid w:val="00D021BA"/>
    <w:rsid w:val="00D02445"/>
    <w:rsid w:val="00D02A26"/>
    <w:rsid w:val="00D039D6"/>
    <w:rsid w:val="00D04519"/>
    <w:rsid w:val="00D04DF9"/>
    <w:rsid w:val="00D04F4F"/>
    <w:rsid w:val="00D05D89"/>
    <w:rsid w:val="00D05EF0"/>
    <w:rsid w:val="00D0645E"/>
    <w:rsid w:val="00D064B3"/>
    <w:rsid w:val="00D06990"/>
    <w:rsid w:val="00D07587"/>
    <w:rsid w:val="00D07981"/>
    <w:rsid w:val="00D07C73"/>
    <w:rsid w:val="00D07EAF"/>
    <w:rsid w:val="00D07FD1"/>
    <w:rsid w:val="00D1050C"/>
    <w:rsid w:val="00D10F16"/>
    <w:rsid w:val="00D11346"/>
    <w:rsid w:val="00D1165A"/>
    <w:rsid w:val="00D11C67"/>
    <w:rsid w:val="00D11EE6"/>
    <w:rsid w:val="00D11F44"/>
    <w:rsid w:val="00D12DA3"/>
    <w:rsid w:val="00D14644"/>
    <w:rsid w:val="00D147A3"/>
    <w:rsid w:val="00D14A72"/>
    <w:rsid w:val="00D14F6B"/>
    <w:rsid w:val="00D15550"/>
    <w:rsid w:val="00D155FB"/>
    <w:rsid w:val="00D15671"/>
    <w:rsid w:val="00D16AA5"/>
    <w:rsid w:val="00D1718C"/>
    <w:rsid w:val="00D174C9"/>
    <w:rsid w:val="00D1798D"/>
    <w:rsid w:val="00D17B5A"/>
    <w:rsid w:val="00D17BBE"/>
    <w:rsid w:val="00D20347"/>
    <w:rsid w:val="00D2063E"/>
    <w:rsid w:val="00D2067C"/>
    <w:rsid w:val="00D20A07"/>
    <w:rsid w:val="00D2105C"/>
    <w:rsid w:val="00D21139"/>
    <w:rsid w:val="00D21686"/>
    <w:rsid w:val="00D218E9"/>
    <w:rsid w:val="00D21B24"/>
    <w:rsid w:val="00D21C29"/>
    <w:rsid w:val="00D21E59"/>
    <w:rsid w:val="00D220A9"/>
    <w:rsid w:val="00D22324"/>
    <w:rsid w:val="00D22EB4"/>
    <w:rsid w:val="00D23737"/>
    <w:rsid w:val="00D23941"/>
    <w:rsid w:val="00D2471B"/>
    <w:rsid w:val="00D249BC"/>
    <w:rsid w:val="00D24B82"/>
    <w:rsid w:val="00D256B3"/>
    <w:rsid w:val="00D258EF"/>
    <w:rsid w:val="00D25B30"/>
    <w:rsid w:val="00D25F41"/>
    <w:rsid w:val="00D2657F"/>
    <w:rsid w:val="00D2679A"/>
    <w:rsid w:val="00D27B93"/>
    <w:rsid w:val="00D27FFE"/>
    <w:rsid w:val="00D30040"/>
    <w:rsid w:val="00D30697"/>
    <w:rsid w:val="00D30699"/>
    <w:rsid w:val="00D309BD"/>
    <w:rsid w:val="00D30AF7"/>
    <w:rsid w:val="00D30C79"/>
    <w:rsid w:val="00D310BD"/>
    <w:rsid w:val="00D310F3"/>
    <w:rsid w:val="00D316E9"/>
    <w:rsid w:val="00D31768"/>
    <w:rsid w:val="00D3229F"/>
    <w:rsid w:val="00D325DD"/>
    <w:rsid w:val="00D32E5B"/>
    <w:rsid w:val="00D331A9"/>
    <w:rsid w:val="00D339B3"/>
    <w:rsid w:val="00D33B24"/>
    <w:rsid w:val="00D34245"/>
    <w:rsid w:val="00D349BA"/>
    <w:rsid w:val="00D34E3A"/>
    <w:rsid w:val="00D3593D"/>
    <w:rsid w:val="00D36372"/>
    <w:rsid w:val="00D36E67"/>
    <w:rsid w:val="00D37AA3"/>
    <w:rsid w:val="00D37FF5"/>
    <w:rsid w:val="00D4054D"/>
    <w:rsid w:val="00D40949"/>
    <w:rsid w:val="00D409F5"/>
    <w:rsid w:val="00D41F86"/>
    <w:rsid w:val="00D43C34"/>
    <w:rsid w:val="00D43D54"/>
    <w:rsid w:val="00D4418B"/>
    <w:rsid w:val="00D44671"/>
    <w:rsid w:val="00D44BD9"/>
    <w:rsid w:val="00D44BDF"/>
    <w:rsid w:val="00D451C4"/>
    <w:rsid w:val="00D45B4E"/>
    <w:rsid w:val="00D45DB1"/>
    <w:rsid w:val="00D46188"/>
    <w:rsid w:val="00D46528"/>
    <w:rsid w:val="00D46DCD"/>
    <w:rsid w:val="00D476F9"/>
    <w:rsid w:val="00D47FC6"/>
    <w:rsid w:val="00D5088A"/>
    <w:rsid w:val="00D509A0"/>
    <w:rsid w:val="00D50AB8"/>
    <w:rsid w:val="00D51ACF"/>
    <w:rsid w:val="00D51D86"/>
    <w:rsid w:val="00D5228D"/>
    <w:rsid w:val="00D52CF5"/>
    <w:rsid w:val="00D530B3"/>
    <w:rsid w:val="00D566B2"/>
    <w:rsid w:val="00D56999"/>
    <w:rsid w:val="00D56C12"/>
    <w:rsid w:val="00D577AF"/>
    <w:rsid w:val="00D60326"/>
    <w:rsid w:val="00D607E0"/>
    <w:rsid w:val="00D6125C"/>
    <w:rsid w:val="00D614DC"/>
    <w:rsid w:val="00D61776"/>
    <w:rsid w:val="00D61B3C"/>
    <w:rsid w:val="00D62028"/>
    <w:rsid w:val="00D62425"/>
    <w:rsid w:val="00D629DD"/>
    <w:rsid w:val="00D630CB"/>
    <w:rsid w:val="00D635DB"/>
    <w:rsid w:val="00D637DE"/>
    <w:rsid w:val="00D63A2F"/>
    <w:rsid w:val="00D63CC6"/>
    <w:rsid w:val="00D6461C"/>
    <w:rsid w:val="00D64B09"/>
    <w:rsid w:val="00D64E0B"/>
    <w:rsid w:val="00D6578A"/>
    <w:rsid w:val="00D66313"/>
    <w:rsid w:val="00D66986"/>
    <w:rsid w:val="00D66EAB"/>
    <w:rsid w:val="00D6716D"/>
    <w:rsid w:val="00D677E0"/>
    <w:rsid w:val="00D7024E"/>
    <w:rsid w:val="00D705AC"/>
    <w:rsid w:val="00D70650"/>
    <w:rsid w:val="00D712BA"/>
    <w:rsid w:val="00D71372"/>
    <w:rsid w:val="00D71797"/>
    <w:rsid w:val="00D717CE"/>
    <w:rsid w:val="00D72450"/>
    <w:rsid w:val="00D726A8"/>
    <w:rsid w:val="00D729C0"/>
    <w:rsid w:val="00D72E1F"/>
    <w:rsid w:val="00D730AA"/>
    <w:rsid w:val="00D7357D"/>
    <w:rsid w:val="00D74634"/>
    <w:rsid w:val="00D74656"/>
    <w:rsid w:val="00D746D5"/>
    <w:rsid w:val="00D75076"/>
    <w:rsid w:val="00D7558E"/>
    <w:rsid w:val="00D75FE6"/>
    <w:rsid w:val="00D76385"/>
    <w:rsid w:val="00D769B4"/>
    <w:rsid w:val="00D76D9D"/>
    <w:rsid w:val="00D80012"/>
    <w:rsid w:val="00D80382"/>
    <w:rsid w:val="00D80743"/>
    <w:rsid w:val="00D80795"/>
    <w:rsid w:val="00D80A56"/>
    <w:rsid w:val="00D80E68"/>
    <w:rsid w:val="00D80EA7"/>
    <w:rsid w:val="00D810ED"/>
    <w:rsid w:val="00D81175"/>
    <w:rsid w:val="00D8189F"/>
    <w:rsid w:val="00D81977"/>
    <w:rsid w:val="00D82D34"/>
    <w:rsid w:val="00D82E1A"/>
    <w:rsid w:val="00D82F20"/>
    <w:rsid w:val="00D83925"/>
    <w:rsid w:val="00D83B7E"/>
    <w:rsid w:val="00D83C07"/>
    <w:rsid w:val="00D83EC4"/>
    <w:rsid w:val="00D84294"/>
    <w:rsid w:val="00D8438C"/>
    <w:rsid w:val="00D84AD5"/>
    <w:rsid w:val="00D85287"/>
    <w:rsid w:val="00D85522"/>
    <w:rsid w:val="00D857AC"/>
    <w:rsid w:val="00D859BA"/>
    <w:rsid w:val="00D860E6"/>
    <w:rsid w:val="00D86BE2"/>
    <w:rsid w:val="00D86DB7"/>
    <w:rsid w:val="00D87D29"/>
    <w:rsid w:val="00D87FC4"/>
    <w:rsid w:val="00D90033"/>
    <w:rsid w:val="00D909E9"/>
    <w:rsid w:val="00D911CE"/>
    <w:rsid w:val="00D91970"/>
    <w:rsid w:val="00D91ACA"/>
    <w:rsid w:val="00D91FF0"/>
    <w:rsid w:val="00D92208"/>
    <w:rsid w:val="00D9248A"/>
    <w:rsid w:val="00D9267D"/>
    <w:rsid w:val="00D926C3"/>
    <w:rsid w:val="00D928D1"/>
    <w:rsid w:val="00D930F6"/>
    <w:rsid w:val="00D93366"/>
    <w:rsid w:val="00D9398C"/>
    <w:rsid w:val="00D96036"/>
    <w:rsid w:val="00D969C8"/>
    <w:rsid w:val="00D96CC9"/>
    <w:rsid w:val="00D97C12"/>
    <w:rsid w:val="00D97CEA"/>
    <w:rsid w:val="00DA0719"/>
    <w:rsid w:val="00DA0881"/>
    <w:rsid w:val="00DA0A6D"/>
    <w:rsid w:val="00DA0D34"/>
    <w:rsid w:val="00DA0F7E"/>
    <w:rsid w:val="00DA0F9D"/>
    <w:rsid w:val="00DA1A6B"/>
    <w:rsid w:val="00DA1AE6"/>
    <w:rsid w:val="00DA2529"/>
    <w:rsid w:val="00DA2657"/>
    <w:rsid w:val="00DA28C5"/>
    <w:rsid w:val="00DA302B"/>
    <w:rsid w:val="00DA3296"/>
    <w:rsid w:val="00DA36CF"/>
    <w:rsid w:val="00DA396E"/>
    <w:rsid w:val="00DA418E"/>
    <w:rsid w:val="00DA4399"/>
    <w:rsid w:val="00DA47C3"/>
    <w:rsid w:val="00DA4BE9"/>
    <w:rsid w:val="00DA4DD7"/>
    <w:rsid w:val="00DA4E18"/>
    <w:rsid w:val="00DA51B8"/>
    <w:rsid w:val="00DA5266"/>
    <w:rsid w:val="00DA5CE6"/>
    <w:rsid w:val="00DA5E4E"/>
    <w:rsid w:val="00DA5EC3"/>
    <w:rsid w:val="00DA6FAC"/>
    <w:rsid w:val="00DB0152"/>
    <w:rsid w:val="00DB0273"/>
    <w:rsid w:val="00DB12CC"/>
    <w:rsid w:val="00DB13FC"/>
    <w:rsid w:val="00DB14EE"/>
    <w:rsid w:val="00DB1888"/>
    <w:rsid w:val="00DB1DC1"/>
    <w:rsid w:val="00DB1DE3"/>
    <w:rsid w:val="00DB1E6B"/>
    <w:rsid w:val="00DB2C98"/>
    <w:rsid w:val="00DB32C9"/>
    <w:rsid w:val="00DB33F1"/>
    <w:rsid w:val="00DB3CC2"/>
    <w:rsid w:val="00DB4305"/>
    <w:rsid w:val="00DB4550"/>
    <w:rsid w:val="00DB4810"/>
    <w:rsid w:val="00DB50DC"/>
    <w:rsid w:val="00DB5486"/>
    <w:rsid w:val="00DB54FC"/>
    <w:rsid w:val="00DB61D2"/>
    <w:rsid w:val="00DB65A8"/>
    <w:rsid w:val="00DB690E"/>
    <w:rsid w:val="00DB7522"/>
    <w:rsid w:val="00DB779E"/>
    <w:rsid w:val="00DB79D3"/>
    <w:rsid w:val="00DB7C20"/>
    <w:rsid w:val="00DC124B"/>
    <w:rsid w:val="00DC12B3"/>
    <w:rsid w:val="00DC13F8"/>
    <w:rsid w:val="00DC2B20"/>
    <w:rsid w:val="00DC3263"/>
    <w:rsid w:val="00DC336D"/>
    <w:rsid w:val="00DC4714"/>
    <w:rsid w:val="00DC4BC8"/>
    <w:rsid w:val="00DC61AC"/>
    <w:rsid w:val="00DC6317"/>
    <w:rsid w:val="00DC6369"/>
    <w:rsid w:val="00DC641F"/>
    <w:rsid w:val="00DC6613"/>
    <w:rsid w:val="00DC670F"/>
    <w:rsid w:val="00DC67B6"/>
    <w:rsid w:val="00DC6867"/>
    <w:rsid w:val="00DC692C"/>
    <w:rsid w:val="00DC7A29"/>
    <w:rsid w:val="00DD06FB"/>
    <w:rsid w:val="00DD1805"/>
    <w:rsid w:val="00DD1C14"/>
    <w:rsid w:val="00DD1E6B"/>
    <w:rsid w:val="00DD2039"/>
    <w:rsid w:val="00DD2814"/>
    <w:rsid w:val="00DD2902"/>
    <w:rsid w:val="00DD291A"/>
    <w:rsid w:val="00DD373A"/>
    <w:rsid w:val="00DD39CA"/>
    <w:rsid w:val="00DD3D18"/>
    <w:rsid w:val="00DD47E7"/>
    <w:rsid w:val="00DD49E4"/>
    <w:rsid w:val="00DD4C1E"/>
    <w:rsid w:val="00DD5E38"/>
    <w:rsid w:val="00DD6710"/>
    <w:rsid w:val="00DD791C"/>
    <w:rsid w:val="00DE0164"/>
    <w:rsid w:val="00DE0BD4"/>
    <w:rsid w:val="00DE0FA4"/>
    <w:rsid w:val="00DE1A8E"/>
    <w:rsid w:val="00DE1C65"/>
    <w:rsid w:val="00DE1F48"/>
    <w:rsid w:val="00DE202C"/>
    <w:rsid w:val="00DE231B"/>
    <w:rsid w:val="00DE2623"/>
    <w:rsid w:val="00DE2702"/>
    <w:rsid w:val="00DE385C"/>
    <w:rsid w:val="00DE3B02"/>
    <w:rsid w:val="00DE4805"/>
    <w:rsid w:val="00DE4984"/>
    <w:rsid w:val="00DE4D06"/>
    <w:rsid w:val="00DE5149"/>
    <w:rsid w:val="00DE5438"/>
    <w:rsid w:val="00DE58D7"/>
    <w:rsid w:val="00DE5C65"/>
    <w:rsid w:val="00DE60CD"/>
    <w:rsid w:val="00DE6BDB"/>
    <w:rsid w:val="00DE7294"/>
    <w:rsid w:val="00DE7499"/>
    <w:rsid w:val="00DE7914"/>
    <w:rsid w:val="00DE795E"/>
    <w:rsid w:val="00DE7BC5"/>
    <w:rsid w:val="00DE7DC6"/>
    <w:rsid w:val="00DF05E4"/>
    <w:rsid w:val="00DF0C1C"/>
    <w:rsid w:val="00DF1FA5"/>
    <w:rsid w:val="00DF277A"/>
    <w:rsid w:val="00DF3B41"/>
    <w:rsid w:val="00DF3B68"/>
    <w:rsid w:val="00DF4B6F"/>
    <w:rsid w:val="00DF51C2"/>
    <w:rsid w:val="00DF5303"/>
    <w:rsid w:val="00DF5610"/>
    <w:rsid w:val="00DF5CB3"/>
    <w:rsid w:val="00DF6657"/>
    <w:rsid w:val="00DF6A7B"/>
    <w:rsid w:val="00DF6AD6"/>
    <w:rsid w:val="00DF7C0E"/>
    <w:rsid w:val="00E00EFF"/>
    <w:rsid w:val="00E025DE"/>
    <w:rsid w:val="00E0289A"/>
    <w:rsid w:val="00E02B98"/>
    <w:rsid w:val="00E02BE6"/>
    <w:rsid w:val="00E03476"/>
    <w:rsid w:val="00E03BA8"/>
    <w:rsid w:val="00E03EA7"/>
    <w:rsid w:val="00E03F50"/>
    <w:rsid w:val="00E04093"/>
    <w:rsid w:val="00E04750"/>
    <w:rsid w:val="00E049CC"/>
    <w:rsid w:val="00E05296"/>
    <w:rsid w:val="00E0584C"/>
    <w:rsid w:val="00E0586C"/>
    <w:rsid w:val="00E05D4C"/>
    <w:rsid w:val="00E05ECE"/>
    <w:rsid w:val="00E05F14"/>
    <w:rsid w:val="00E063C8"/>
    <w:rsid w:val="00E06425"/>
    <w:rsid w:val="00E06603"/>
    <w:rsid w:val="00E07CEE"/>
    <w:rsid w:val="00E101BC"/>
    <w:rsid w:val="00E10BB8"/>
    <w:rsid w:val="00E119CE"/>
    <w:rsid w:val="00E11E70"/>
    <w:rsid w:val="00E12522"/>
    <w:rsid w:val="00E126A7"/>
    <w:rsid w:val="00E127E8"/>
    <w:rsid w:val="00E1297E"/>
    <w:rsid w:val="00E132AE"/>
    <w:rsid w:val="00E13E69"/>
    <w:rsid w:val="00E13E83"/>
    <w:rsid w:val="00E14391"/>
    <w:rsid w:val="00E14464"/>
    <w:rsid w:val="00E149F4"/>
    <w:rsid w:val="00E151DD"/>
    <w:rsid w:val="00E155B4"/>
    <w:rsid w:val="00E15763"/>
    <w:rsid w:val="00E15878"/>
    <w:rsid w:val="00E16209"/>
    <w:rsid w:val="00E166DC"/>
    <w:rsid w:val="00E1719E"/>
    <w:rsid w:val="00E17629"/>
    <w:rsid w:val="00E20768"/>
    <w:rsid w:val="00E20AAF"/>
    <w:rsid w:val="00E2158B"/>
    <w:rsid w:val="00E21F55"/>
    <w:rsid w:val="00E22C7D"/>
    <w:rsid w:val="00E23075"/>
    <w:rsid w:val="00E2346E"/>
    <w:rsid w:val="00E23618"/>
    <w:rsid w:val="00E23E75"/>
    <w:rsid w:val="00E2558E"/>
    <w:rsid w:val="00E25AF0"/>
    <w:rsid w:val="00E25EE3"/>
    <w:rsid w:val="00E26541"/>
    <w:rsid w:val="00E26B5F"/>
    <w:rsid w:val="00E27251"/>
    <w:rsid w:val="00E27B18"/>
    <w:rsid w:val="00E27C93"/>
    <w:rsid w:val="00E27CB2"/>
    <w:rsid w:val="00E27F58"/>
    <w:rsid w:val="00E30451"/>
    <w:rsid w:val="00E316E6"/>
    <w:rsid w:val="00E321D0"/>
    <w:rsid w:val="00E32249"/>
    <w:rsid w:val="00E32BE3"/>
    <w:rsid w:val="00E334B3"/>
    <w:rsid w:val="00E3438C"/>
    <w:rsid w:val="00E34538"/>
    <w:rsid w:val="00E349B5"/>
    <w:rsid w:val="00E350C4"/>
    <w:rsid w:val="00E35146"/>
    <w:rsid w:val="00E352C8"/>
    <w:rsid w:val="00E35B3A"/>
    <w:rsid w:val="00E35C02"/>
    <w:rsid w:val="00E35E7B"/>
    <w:rsid w:val="00E3625A"/>
    <w:rsid w:val="00E36989"/>
    <w:rsid w:val="00E36BF5"/>
    <w:rsid w:val="00E3760E"/>
    <w:rsid w:val="00E37B88"/>
    <w:rsid w:val="00E37C75"/>
    <w:rsid w:val="00E40098"/>
    <w:rsid w:val="00E409B1"/>
    <w:rsid w:val="00E409BD"/>
    <w:rsid w:val="00E40CC2"/>
    <w:rsid w:val="00E41879"/>
    <w:rsid w:val="00E41FF3"/>
    <w:rsid w:val="00E426F7"/>
    <w:rsid w:val="00E42958"/>
    <w:rsid w:val="00E43474"/>
    <w:rsid w:val="00E436B0"/>
    <w:rsid w:val="00E439E2"/>
    <w:rsid w:val="00E44BA0"/>
    <w:rsid w:val="00E45A3F"/>
    <w:rsid w:val="00E46342"/>
    <w:rsid w:val="00E46F32"/>
    <w:rsid w:val="00E47858"/>
    <w:rsid w:val="00E5017C"/>
    <w:rsid w:val="00E502CA"/>
    <w:rsid w:val="00E50857"/>
    <w:rsid w:val="00E50E9C"/>
    <w:rsid w:val="00E50F2C"/>
    <w:rsid w:val="00E51086"/>
    <w:rsid w:val="00E5243F"/>
    <w:rsid w:val="00E5389F"/>
    <w:rsid w:val="00E53FA5"/>
    <w:rsid w:val="00E5462A"/>
    <w:rsid w:val="00E55334"/>
    <w:rsid w:val="00E5615D"/>
    <w:rsid w:val="00E5630B"/>
    <w:rsid w:val="00E56A1E"/>
    <w:rsid w:val="00E57195"/>
    <w:rsid w:val="00E57A6D"/>
    <w:rsid w:val="00E57BC5"/>
    <w:rsid w:val="00E605CD"/>
    <w:rsid w:val="00E621A6"/>
    <w:rsid w:val="00E62AB5"/>
    <w:rsid w:val="00E62DA5"/>
    <w:rsid w:val="00E64C25"/>
    <w:rsid w:val="00E6538A"/>
    <w:rsid w:val="00E66100"/>
    <w:rsid w:val="00E661A0"/>
    <w:rsid w:val="00E6640B"/>
    <w:rsid w:val="00E66D90"/>
    <w:rsid w:val="00E67033"/>
    <w:rsid w:val="00E67645"/>
    <w:rsid w:val="00E703A4"/>
    <w:rsid w:val="00E70691"/>
    <w:rsid w:val="00E709F8"/>
    <w:rsid w:val="00E71250"/>
    <w:rsid w:val="00E72341"/>
    <w:rsid w:val="00E72864"/>
    <w:rsid w:val="00E74AFB"/>
    <w:rsid w:val="00E759CA"/>
    <w:rsid w:val="00E75C95"/>
    <w:rsid w:val="00E75FD6"/>
    <w:rsid w:val="00E802D8"/>
    <w:rsid w:val="00E802ED"/>
    <w:rsid w:val="00E805DC"/>
    <w:rsid w:val="00E807EC"/>
    <w:rsid w:val="00E81B03"/>
    <w:rsid w:val="00E8204A"/>
    <w:rsid w:val="00E8229C"/>
    <w:rsid w:val="00E826A8"/>
    <w:rsid w:val="00E82B82"/>
    <w:rsid w:val="00E82D91"/>
    <w:rsid w:val="00E82DE1"/>
    <w:rsid w:val="00E831E5"/>
    <w:rsid w:val="00E848A1"/>
    <w:rsid w:val="00E84A98"/>
    <w:rsid w:val="00E84C2E"/>
    <w:rsid w:val="00E84F58"/>
    <w:rsid w:val="00E8513E"/>
    <w:rsid w:val="00E85668"/>
    <w:rsid w:val="00E856EE"/>
    <w:rsid w:val="00E86106"/>
    <w:rsid w:val="00E868C8"/>
    <w:rsid w:val="00E86B16"/>
    <w:rsid w:val="00E86D54"/>
    <w:rsid w:val="00E879CF"/>
    <w:rsid w:val="00E879E2"/>
    <w:rsid w:val="00E87BDF"/>
    <w:rsid w:val="00E90F51"/>
    <w:rsid w:val="00E90F69"/>
    <w:rsid w:val="00E91152"/>
    <w:rsid w:val="00E911D0"/>
    <w:rsid w:val="00E914A6"/>
    <w:rsid w:val="00E91996"/>
    <w:rsid w:val="00E91ABB"/>
    <w:rsid w:val="00E92782"/>
    <w:rsid w:val="00E927A5"/>
    <w:rsid w:val="00E92CDD"/>
    <w:rsid w:val="00E93195"/>
    <w:rsid w:val="00E9370A"/>
    <w:rsid w:val="00E9371E"/>
    <w:rsid w:val="00E93B75"/>
    <w:rsid w:val="00E94FBB"/>
    <w:rsid w:val="00E951EC"/>
    <w:rsid w:val="00E956C3"/>
    <w:rsid w:val="00E95707"/>
    <w:rsid w:val="00E95E2B"/>
    <w:rsid w:val="00E96228"/>
    <w:rsid w:val="00E96529"/>
    <w:rsid w:val="00E96704"/>
    <w:rsid w:val="00E96881"/>
    <w:rsid w:val="00E97115"/>
    <w:rsid w:val="00EA00EA"/>
    <w:rsid w:val="00EA0618"/>
    <w:rsid w:val="00EA0683"/>
    <w:rsid w:val="00EA0E6E"/>
    <w:rsid w:val="00EA1050"/>
    <w:rsid w:val="00EA1558"/>
    <w:rsid w:val="00EA16C0"/>
    <w:rsid w:val="00EA185C"/>
    <w:rsid w:val="00EA1981"/>
    <w:rsid w:val="00EA1BEC"/>
    <w:rsid w:val="00EA2B10"/>
    <w:rsid w:val="00EA2C2B"/>
    <w:rsid w:val="00EA3C77"/>
    <w:rsid w:val="00EA4041"/>
    <w:rsid w:val="00EA410B"/>
    <w:rsid w:val="00EA4366"/>
    <w:rsid w:val="00EA44B9"/>
    <w:rsid w:val="00EA45D2"/>
    <w:rsid w:val="00EA54B6"/>
    <w:rsid w:val="00EA7901"/>
    <w:rsid w:val="00EA7AC9"/>
    <w:rsid w:val="00EB1438"/>
    <w:rsid w:val="00EB1685"/>
    <w:rsid w:val="00EB171E"/>
    <w:rsid w:val="00EB1FD1"/>
    <w:rsid w:val="00EB2582"/>
    <w:rsid w:val="00EB2686"/>
    <w:rsid w:val="00EB2F38"/>
    <w:rsid w:val="00EB3685"/>
    <w:rsid w:val="00EB3D90"/>
    <w:rsid w:val="00EB440C"/>
    <w:rsid w:val="00EB4B3A"/>
    <w:rsid w:val="00EB4FFE"/>
    <w:rsid w:val="00EB5318"/>
    <w:rsid w:val="00EB53DD"/>
    <w:rsid w:val="00EB5805"/>
    <w:rsid w:val="00EB5B68"/>
    <w:rsid w:val="00EB5C79"/>
    <w:rsid w:val="00EB5F83"/>
    <w:rsid w:val="00EB6982"/>
    <w:rsid w:val="00EB698D"/>
    <w:rsid w:val="00EB7A15"/>
    <w:rsid w:val="00EB7B11"/>
    <w:rsid w:val="00EB7C11"/>
    <w:rsid w:val="00EB7D0C"/>
    <w:rsid w:val="00EC05C5"/>
    <w:rsid w:val="00EC0855"/>
    <w:rsid w:val="00EC0AE2"/>
    <w:rsid w:val="00EC17DE"/>
    <w:rsid w:val="00EC1A8C"/>
    <w:rsid w:val="00EC1F33"/>
    <w:rsid w:val="00EC1FA7"/>
    <w:rsid w:val="00EC23D8"/>
    <w:rsid w:val="00EC24F7"/>
    <w:rsid w:val="00EC2546"/>
    <w:rsid w:val="00EC30C4"/>
    <w:rsid w:val="00EC3958"/>
    <w:rsid w:val="00EC4329"/>
    <w:rsid w:val="00EC4458"/>
    <w:rsid w:val="00EC4783"/>
    <w:rsid w:val="00EC4879"/>
    <w:rsid w:val="00EC4DAA"/>
    <w:rsid w:val="00EC4F3B"/>
    <w:rsid w:val="00EC5156"/>
    <w:rsid w:val="00EC523A"/>
    <w:rsid w:val="00EC556F"/>
    <w:rsid w:val="00EC569E"/>
    <w:rsid w:val="00EC59F6"/>
    <w:rsid w:val="00EC5D34"/>
    <w:rsid w:val="00EC6795"/>
    <w:rsid w:val="00EC7361"/>
    <w:rsid w:val="00EC7485"/>
    <w:rsid w:val="00EC768D"/>
    <w:rsid w:val="00EC7FEE"/>
    <w:rsid w:val="00ED0A0B"/>
    <w:rsid w:val="00ED0A64"/>
    <w:rsid w:val="00ED0CCF"/>
    <w:rsid w:val="00ED0E9A"/>
    <w:rsid w:val="00ED12DE"/>
    <w:rsid w:val="00ED13C5"/>
    <w:rsid w:val="00ED23A4"/>
    <w:rsid w:val="00ED2433"/>
    <w:rsid w:val="00ED2C42"/>
    <w:rsid w:val="00ED2E60"/>
    <w:rsid w:val="00ED2FA3"/>
    <w:rsid w:val="00ED3260"/>
    <w:rsid w:val="00ED3943"/>
    <w:rsid w:val="00ED3B89"/>
    <w:rsid w:val="00ED43BA"/>
    <w:rsid w:val="00ED445A"/>
    <w:rsid w:val="00ED4735"/>
    <w:rsid w:val="00ED49A8"/>
    <w:rsid w:val="00ED5763"/>
    <w:rsid w:val="00ED57EB"/>
    <w:rsid w:val="00ED5D4A"/>
    <w:rsid w:val="00ED65F4"/>
    <w:rsid w:val="00ED6B53"/>
    <w:rsid w:val="00ED72E9"/>
    <w:rsid w:val="00ED76E1"/>
    <w:rsid w:val="00ED7A8C"/>
    <w:rsid w:val="00ED7CC7"/>
    <w:rsid w:val="00EE07A3"/>
    <w:rsid w:val="00EE0A53"/>
    <w:rsid w:val="00EE0B4F"/>
    <w:rsid w:val="00EE17A7"/>
    <w:rsid w:val="00EE20DA"/>
    <w:rsid w:val="00EE256F"/>
    <w:rsid w:val="00EE2AED"/>
    <w:rsid w:val="00EE2BC5"/>
    <w:rsid w:val="00EE2DC2"/>
    <w:rsid w:val="00EE56FD"/>
    <w:rsid w:val="00EE5F41"/>
    <w:rsid w:val="00EE5F44"/>
    <w:rsid w:val="00EE72E2"/>
    <w:rsid w:val="00EE7961"/>
    <w:rsid w:val="00EE79C5"/>
    <w:rsid w:val="00EE7AC9"/>
    <w:rsid w:val="00EE7AF6"/>
    <w:rsid w:val="00EE7C88"/>
    <w:rsid w:val="00EE7D63"/>
    <w:rsid w:val="00EF0120"/>
    <w:rsid w:val="00EF0A79"/>
    <w:rsid w:val="00EF1A71"/>
    <w:rsid w:val="00EF1C3A"/>
    <w:rsid w:val="00EF2A73"/>
    <w:rsid w:val="00EF37C2"/>
    <w:rsid w:val="00EF3B28"/>
    <w:rsid w:val="00EF4125"/>
    <w:rsid w:val="00EF422F"/>
    <w:rsid w:val="00EF4471"/>
    <w:rsid w:val="00EF46C6"/>
    <w:rsid w:val="00EF4D02"/>
    <w:rsid w:val="00EF5AA5"/>
    <w:rsid w:val="00EF6DFC"/>
    <w:rsid w:val="00EF6E85"/>
    <w:rsid w:val="00EF7132"/>
    <w:rsid w:val="00EF7B6E"/>
    <w:rsid w:val="00EF7EDE"/>
    <w:rsid w:val="00F00A01"/>
    <w:rsid w:val="00F01E5D"/>
    <w:rsid w:val="00F02607"/>
    <w:rsid w:val="00F02786"/>
    <w:rsid w:val="00F02A44"/>
    <w:rsid w:val="00F02D20"/>
    <w:rsid w:val="00F03431"/>
    <w:rsid w:val="00F040BC"/>
    <w:rsid w:val="00F040C5"/>
    <w:rsid w:val="00F047A4"/>
    <w:rsid w:val="00F048C5"/>
    <w:rsid w:val="00F05A30"/>
    <w:rsid w:val="00F061FA"/>
    <w:rsid w:val="00F06A86"/>
    <w:rsid w:val="00F0712F"/>
    <w:rsid w:val="00F07F8F"/>
    <w:rsid w:val="00F1073D"/>
    <w:rsid w:val="00F10843"/>
    <w:rsid w:val="00F10BE0"/>
    <w:rsid w:val="00F1107C"/>
    <w:rsid w:val="00F112A1"/>
    <w:rsid w:val="00F1180C"/>
    <w:rsid w:val="00F11E4B"/>
    <w:rsid w:val="00F125F1"/>
    <w:rsid w:val="00F12CE5"/>
    <w:rsid w:val="00F133CD"/>
    <w:rsid w:val="00F13AF3"/>
    <w:rsid w:val="00F14076"/>
    <w:rsid w:val="00F141B3"/>
    <w:rsid w:val="00F1424F"/>
    <w:rsid w:val="00F14384"/>
    <w:rsid w:val="00F147B6"/>
    <w:rsid w:val="00F14A45"/>
    <w:rsid w:val="00F14FFD"/>
    <w:rsid w:val="00F15621"/>
    <w:rsid w:val="00F15701"/>
    <w:rsid w:val="00F1625D"/>
    <w:rsid w:val="00F178C9"/>
    <w:rsid w:val="00F2042D"/>
    <w:rsid w:val="00F2044C"/>
    <w:rsid w:val="00F20487"/>
    <w:rsid w:val="00F2077D"/>
    <w:rsid w:val="00F217F1"/>
    <w:rsid w:val="00F21BEB"/>
    <w:rsid w:val="00F21D6A"/>
    <w:rsid w:val="00F22072"/>
    <w:rsid w:val="00F22091"/>
    <w:rsid w:val="00F23482"/>
    <w:rsid w:val="00F23BC9"/>
    <w:rsid w:val="00F23E3C"/>
    <w:rsid w:val="00F24096"/>
    <w:rsid w:val="00F2431E"/>
    <w:rsid w:val="00F24451"/>
    <w:rsid w:val="00F24BF1"/>
    <w:rsid w:val="00F25DE1"/>
    <w:rsid w:val="00F2632D"/>
    <w:rsid w:val="00F26A88"/>
    <w:rsid w:val="00F27213"/>
    <w:rsid w:val="00F273D8"/>
    <w:rsid w:val="00F275B9"/>
    <w:rsid w:val="00F27788"/>
    <w:rsid w:val="00F3027A"/>
    <w:rsid w:val="00F30294"/>
    <w:rsid w:val="00F30447"/>
    <w:rsid w:val="00F315F1"/>
    <w:rsid w:val="00F31610"/>
    <w:rsid w:val="00F321D0"/>
    <w:rsid w:val="00F32C73"/>
    <w:rsid w:val="00F33B1F"/>
    <w:rsid w:val="00F33FD4"/>
    <w:rsid w:val="00F3413C"/>
    <w:rsid w:val="00F349D0"/>
    <w:rsid w:val="00F361AB"/>
    <w:rsid w:val="00F362BF"/>
    <w:rsid w:val="00F365DB"/>
    <w:rsid w:val="00F36B92"/>
    <w:rsid w:val="00F37176"/>
    <w:rsid w:val="00F375D7"/>
    <w:rsid w:val="00F376F0"/>
    <w:rsid w:val="00F37887"/>
    <w:rsid w:val="00F400D2"/>
    <w:rsid w:val="00F404BA"/>
    <w:rsid w:val="00F4148F"/>
    <w:rsid w:val="00F418DD"/>
    <w:rsid w:val="00F424AC"/>
    <w:rsid w:val="00F42E95"/>
    <w:rsid w:val="00F42F4A"/>
    <w:rsid w:val="00F433F2"/>
    <w:rsid w:val="00F43757"/>
    <w:rsid w:val="00F43EDE"/>
    <w:rsid w:val="00F4476F"/>
    <w:rsid w:val="00F4490C"/>
    <w:rsid w:val="00F44CE9"/>
    <w:rsid w:val="00F4592F"/>
    <w:rsid w:val="00F461FB"/>
    <w:rsid w:val="00F46E3D"/>
    <w:rsid w:val="00F46FAA"/>
    <w:rsid w:val="00F479FA"/>
    <w:rsid w:val="00F5102B"/>
    <w:rsid w:val="00F5148E"/>
    <w:rsid w:val="00F5180F"/>
    <w:rsid w:val="00F51823"/>
    <w:rsid w:val="00F51C8C"/>
    <w:rsid w:val="00F522A7"/>
    <w:rsid w:val="00F52FBA"/>
    <w:rsid w:val="00F5306A"/>
    <w:rsid w:val="00F53146"/>
    <w:rsid w:val="00F533F5"/>
    <w:rsid w:val="00F552A5"/>
    <w:rsid w:val="00F56336"/>
    <w:rsid w:val="00F56B01"/>
    <w:rsid w:val="00F56DB1"/>
    <w:rsid w:val="00F56E44"/>
    <w:rsid w:val="00F56EB1"/>
    <w:rsid w:val="00F57257"/>
    <w:rsid w:val="00F57354"/>
    <w:rsid w:val="00F57A60"/>
    <w:rsid w:val="00F603FD"/>
    <w:rsid w:val="00F6048C"/>
    <w:rsid w:val="00F60593"/>
    <w:rsid w:val="00F606E7"/>
    <w:rsid w:val="00F60F08"/>
    <w:rsid w:val="00F60F55"/>
    <w:rsid w:val="00F6124A"/>
    <w:rsid w:val="00F6141F"/>
    <w:rsid w:val="00F6152C"/>
    <w:rsid w:val="00F61598"/>
    <w:rsid w:val="00F6163F"/>
    <w:rsid w:val="00F619CC"/>
    <w:rsid w:val="00F61B87"/>
    <w:rsid w:val="00F62403"/>
    <w:rsid w:val="00F62778"/>
    <w:rsid w:val="00F638AA"/>
    <w:rsid w:val="00F63BFA"/>
    <w:rsid w:val="00F6432C"/>
    <w:rsid w:val="00F6588C"/>
    <w:rsid w:val="00F668AE"/>
    <w:rsid w:val="00F66EDC"/>
    <w:rsid w:val="00F674B0"/>
    <w:rsid w:val="00F67813"/>
    <w:rsid w:val="00F67F54"/>
    <w:rsid w:val="00F70B70"/>
    <w:rsid w:val="00F71749"/>
    <w:rsid w:val="00F71881"/>
    <w:rsid w:val="00F72519"/>
    <w:rsid w:val="00F72B2A"/>
    <w:rsid w:val="00F73D44"/>
    <w:rsid w:val="00F744EB"/>
    <w:rsid w:val="00F75252"/>
    <w:rsid w:val="00F7540A"/>
    <w:rsid w:val="00F756C7"/>
    <w:rsid w:val="00F75D0B"/>
    <w:rsid w:val="00F76787"/>
    <w:rsid w:val="00F76D2E"/>
    <w:rsid w:val="00F77181"/>
    <w:rsid w:val="00F77A4F"/>
    <w:rsid w:val="00F77BF1"/>
    <w:rsid w:val="00F80C4F"/>
    <w:rsid w:val="00F80F59"/>
    <w:rsid w:val="00F8144A"/>
    <w:rsid w:val="00F814E2"/>
    <w:rsid w:val="00F815C3"/>
    <w:rsid w:val="00F8220C"/>
    <w:rsid w:val="00F8230F"/>
    <w:rsid w:val="00F823FE"/>
    <w:rsid w:val="00F82716"/>
    <w:rsid w:val="00F830B5"/>
    <w:rsid w:val="00F835A2"/>
    <w:rsid w:val="00F83F54"/>
    <w:rsid w:val="00F843CD"/>
    <w:rsid w:val="00F84C67"/>
    <w:rsid w:val="00F85316"/>
    <w:rsid w:val="00F85369"/>
    <w:rsid w:val="00F868F7"/>
    <w:rsid w:val="00F86FE7"/>
    <w:rsid w:val="00F87414"/>
    <w:rsid w:val="00F87CF7"/>
    <w:rsid w:val="00F87FD2"/>
    <w:rsid w:val="00F9047D"/>
    <w:rsid w:val="00F90DE9"/>
    <w:rsid w:val="00F90F6A"/>
    <w:rsid w:val="00F91E60"/>
    <w:rsid w:val="00F92A2D"/>
    <w:rsid w:val="00F92E5F"/>
    <w:rsid w:val="00F9356B"/>
    <w:rsid w:val="00F93913"/>
    <w:rsid w:val="00F93BE2"/>
    <w:rsid w:val="00F93BE7"/>
    <w:rsid w:val="00F94354"/>
    <w:rsid w:val="00F947E3"/>
    <w:rsid w:val="00F94DA3"/>
    <w:rsid w:val="00F9532E"/>
    <w:rsid w:val="00F956C9"/>
    <w:rsid w:val="00F95765"/>
    <w:rsid w:val="00F96209"/>
    <w:rsid w:val="00F96C49"/>
    <w:rsid w:val="00F96EDC"/>
    <w:rsid w:val="00F97225"/>
    <w:rsid w:val="00F97351"/>
    <w:rsid w:val="00F973EA"/>
    <w:rsid w:val="00F97ED3"/>
    <w:rsid w:val="00FA0118"/>
    <w:rsid w:val="00FA0175"/>
    <w:rsid w:val="00FA06A3"/>
    <w:rsid w:val="00FA07E4"/>
    <w:rsid w:val="00FA0F06"/>
    <w:rsid w:val="00FA1559"/>
    <w:rsid w:val="00FA1647"/>
    <w:rsid w:val="00FA1AA9"/>
    <w:rsid w:val="00FA1C3A"/>
    <w:rsid w:val="00FA2167"/>
    <w:rsid w:val="00FA23F5"/>
    <w:rsid w:val="00FA2450"/>
    <w:rsid w:val="00FA2812"/>
    <w:rsid w:val="00FA28ED"/>
    <w:rsid w:val="00FA2BEA"/>
    <w:rsid w:val="00FA2FD1"/>
    <w:rsid w:val="00FA3EAD"/>
    <w:rsid w:val="00FA438C"/>
    <w:rsid w:val="00FA5296"/>
    <w:rsid w:val="00FA5766"/>
    <w:rsid w:val="00FA5AA5"/>
    <w:rsid w:val="00FA5C8C"/>
    <w:rsid w:val="00FA5CC9"/>
    <w:rsid w:val="00FA69A6"/>
    <w:rsid w:val="00FA6CDC"/>
    <w:rsid w:val="00FA6F58"/>
    <w:rsid w:val="00FA6FEE"/>
    <w:rsid w:val="00FA75D0"/>
    <w:rsid w:val="00FA79FC"/>
    <w:rsid w:val="00FB0153"/>
    <w:rsid w:val="00FB01E2"/>
    <w:rsid w:val="00FB025C"/>
    <w:rsid w:val="00FB0C7E"/>
    <w:rsid w:val="00FB0FB3"/>
    <w:rsid w:val="00FB1B56"/>
    <w:rsid w:val="00FB2179"/>
    <w:rsid w:val="00FB2359"/>
    <w:rsid w:val="00FB2631"/>
    <w:rsid w:val="00FB2BC8"/>
    <w:rsid w:val="00FB329F"/>
    <w:rsid w:val="00FB3329"/>
    <w:rsid w:val="00FB346B"/>
    <w:rsid w:val="00FB39EC"/>
    <w:rsid w:val="00FB3A30"/>
    <w:rsid w:val="00FB4593"/>
    <w:rsid w:val="00FB47F4"/>
    <w:rsid w:val="00FB4DBD"/>
    <w:rsid w:val="00FB5CA8"/>
    <w:rsid w:val="00FB632C"/>
    <w:rsid w:val="00FB6EB0"/>
    <w:rsid w:val="00FB709E"/>
    <w:rsid w:val="00FB7F20"/>
    <w:rsid w:val="00FC0383"/>
    <w:rsid w:val="00FC045B"/>
    <w:rsid w:val="00FC0715"/>
    <w:rsid w:val="00FC0D36"/>
    <w:rsid w:val="00FC0EBF"/>
    <w:rsid w:val="00FC1567"/>
    <w:rsid w:val="00FC1A5A"/>
    <w:rsid w:val="00FC213B"/>
    <w:rsid w:val="00FC2147"/>
    <w:rsid w:val="00FC26E6"/>
    <w:rsid w:val="00FC286A"/>
    <w:rsid w:val="00FC2CC6"/>
    <w:rsid w:val="00FC30DC"/>
    <w:rsid w:val="00FC3F07"/>
    <w:rsid w:val="00FC45BF"/>
    <w:rsid w:val="00FC5B8C"/>
    <w:rsid w:val="00FC6121"/>
    <w:rsid w:val="00FC637A"/>
    <w:rsid w:val="00FC67B3"/>
    <w:rsid w:val="00FC6C95"/>
    <w:rsid w:val="00FC7050"/>
    <w:rsid w:val="00FC727C"/>
    <w:rsid w:val="00FC7BFF"/>
    <w:rsid w:val="00FC7CF7"/>
    <w:rsid w:val="00FC7F74"/>
    <w:rsid w:val="00FD0085"/>
    <w:rsid w:val="00FD0E47"/>
    <w:rsid w:val="00FD0F90"/>
    <w:rsid w:val="00FD1B47"/>
    <w:rsid w:val="00FD23E6"/>
    <w:rsid w:val="00FD2D38"/>
    <w:rsid w:val="00FD359E"/>
    <w:rsid w:val="00FD452D"/>
    <w:rsid w:val="00FD4C0E"/>
    <w:rsid w:val="00FD5952"/>
    <w:rsid w:val="00FD597B"/>
    <w:rsid w:val="00FD5999"/>
    <w:rsid w:val="00FD5ABB"/>
    <w:rsid w:val="00FD5B06"/>
    <w:rsid w:val="00FD5B18"/>
    <w:rsid w:val="00FD5E78"/>
    <w:rsid w:val="00FD688B"/>
    <w:rsid w:val="00FD68F9"/>
    <w:rsid w:val="00FD6CE3"/>
    <w:rsid w:val="00FD6EDF"/>
    <w:rsid w:val="00FE00C0"/>
    <w:rsid w:val="00FE013B"/>
    <w:rsid w:val="00FE0A38"/>
    <w:rsid w:val="00FE2608"/>
    <w:rsid w:val="00FE2727"/>
    <w:rsid w:val="00FE2DDF"/>
    <w:rsid w:val="00FE37F0"/>
    <w:rsid w:val="00FE3B4F"/>
    <w:rsid w:val="00FE3D88"/>
    <w:rsid w:val="00FE501C"/>
    <w:rsid w:val="00FE57AC"/>
    <w:rsid w:val="00FE7232"/>
    <w:rsid w:val="00FE729D"/>
    <w:rsid w:val="00FE7594"/>
    <w:rsid w:val="00FF0650"/>
    <w:rsid w:val="00FF06E6"/>
    <w:rsid w:val="00FF1489"/>
    <w:rsid w:val="00FF1AC7"/>
    <w:rsid w:val="00FF1FD9"/>
    <w:rsid w:val="00FF20FE"/>
    <w:rsid w:val="00FF236C"/>
    <w:rsid w:val="00FF2DB3"/>
    <w:rsid w:val="00FF2E6C"/>
    <w:rsid w:val="00FF35E1"/>
    <w:rsid w:val="00FF38CD"/>
    <w:rsid w:val="00FF3972"/>
    <w:rsid w:val="00FF39DB"/>
    <w:rsid w:val="00FF4769"/>
    <w:rsid w:val="00FF4ED5"/>
    <w:rsid w:val="00FF516F"/>
    <w:rsid w:val="00FF59E2"/>
    <w:rsid w:val="00FF5A07"/>
    <w:rsid w:val="00FF5C72"/>
    <w:rsid w:val="00FF5EC2"/>
    <w:rsid w:val="00FF5F7A"/>
    <w:rsid w:val="00FF5FF1"/>
    <w:rsid w:val="00FF6DB3"/>
    <w:rsid w:val="00FF6EB6"/>
    <w:rsid w:val="00FF75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style="mso-position-vertical-relative:line" fill="f" fillcolor="white" stroke="f">
      <v:fill color="white" on="f"/>
      <v:stroke on="f"/>
    </o:shapedefaults>
    <o:shapelayout v:ext="edit">
      <o:idmap v:ext="edit" data="1"/>
    </o:shapelayout>
  </w:shapeDefaults>
  <w:decimalSymbol w:val=","/>
  <w:listSeparator w:val=";"/>
  <w15:docId w15:val="{E7663257-227F-49EB-89EB-E4084C56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rsid w:val="00A7279D"/>
    <w:pPr>
      <w:keepNext/>
      <w:spacing w:after="240"/>
      <w:outlineLvl w:val="0"/>
    </w:pPr>
    <w:rPr>
      <w:rFonts w:ascii="Calibri" w:hAnsi="Calibri" w:cs="Calibri"/>
      <w:b/>
      <w:bCs/>
      <w:kern w:val="32"/>
      <w:sz w:val="32"/>
      <w:szCs w:val="32"/>
    </w:rPr>
  </w:style>
  <w:style w:type="paragraph" w:styleId="Nadpis2">
    <w:name w:val="heading 2"/>
    <w:basedOn w:val="Normln"/>
    <w:next w:val="Normln"/>
    <w:link w:val="Nadpis2Char"/>
    <w:unhideWhenUsed/>
    <w:qFormat/>
    <w:rsid w:val="00A7279D"/>
    <w:pPr>
      <w:keepNext/>
      <w:spacing w:after="120"/>
      <w:outlineLvl w:val="1"/>
    </w:pPr>
    <w:rPr>
      <w:rFonts w:ascii="Calibri" w:hAnsi="Calibri" w:cs="Calibri"/>
      <w:b/>
      <w:bCs/>
      <w:iCs/>
      <w:noProof/>
      <w:sz w:val="28"/>
    </w:rPr>
  </w:style>
  <w:style w:type="paragraph" w:styleId="Nadpis3">
    <w:name w:val="heading 3"/>
    <w:basedOn w:val="Normln"/>
    <w:next w:val="Normln"/>
    <w:link w:val="Nadpis3Char"/>
    <w:unhideWhenUsed/>
    <w:qFormat/>
    <w:rsid w:val="0024764D"/>
    <w:pPr>
      <w:keepNext/>
      <w:spacing w:before="240" w:after="60"/>
      <w:outlineLvl w:val="2"/>
    </w:pPr>
    <w:rPr>
      <w:rFonts w:ascii="Calibri" w:hAnsi="Calibri" w:cs="Calibri"/>
      <w:b/>
      <w:bCs/>
      <w:sz w:val="22"/>
      <w:szCs w:val="22"/>
    </w:rPr>
  </w:style>
  <w:style w:type="paragraph" w:styleId="Nadpis4">
    <w:name w:val="heading 4"/>
    <w:basedOn w:val="Normln"/>
    <w:next w:val="Normln"/>
    <w:link w:val="Nadpis4Char"/>
    <w:uiPriority w:val="9"/>
    <w:unhideWhenUsed/>
    <w:qFormat/>
    <w:rsid w:val="00CA6C24"/>
    <w:pPr>
      <w:keepNext/>
      <w:keepLines/>
      <w:spacing w:before="40"/>
      <w:outlineLvl w:val="3"/>
    </w:pPr>
    <w:rPr>
      <w:rFonts w:asciiTheme="minorHAnsi" w:eastAsiaTheme="majorEastAsia" w:hAnsiTheme="minorHAnsi" w:cstheme="minorHAnsi"/>
      <w:b/>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A7279D"/>
    <w:rPr>
      <w:rFonts w:ascii="Calibri" w:hAnsi="Calibri" w:cs="Calibri"/>
      <w:b/>
      <w:bCs/>
      <w:kern w:val="32"/>
      <w:sz w:val="32"/>
      <w:szCs w:val="32"/>
    </w:rPr>
  </w:style>
  <w:style w:type="character" w:customStyle="1" w:styleId="Nadpis2Char">
    <w:name w:val="Nadpis 2 Char"/>
    <w:link w:val="Nadpis2"/>
    <w:rsid w:val="00A7279D"/>
    <w:rPr>
      <w:rFonts w:ascii="Calibri" w:hAnsi="Calibri" w:cs="Calibri"/>
      <w:b/>
      <w:bCs/>
      <w:iCs/>
      <w:noProof/>
      <w:sz w:val="28"/>
      <w:szCs w:val="24"/>
    </w:rPr>
  </w:style>
  <w:style w:type="character" w:customStyle="1" w:styleId="Nadpis3Char">
    <w:name w:val="Nadpis 3 Char"/>
    <w:link w:val="Nadpis3"/>
    <w:rsid w:val="0024764D"/>
    <w:rPr>
      <w:rFonts w:ascii="Calibri" w:hAnsi="Calibri" w:cs="Calibri"/>
      <w:b/>
      <w:bCs/>
      <w:sz w:val="22"/>
      <w:szCs w:val="22"/>
    </w:rPr>
  </w:style>
  <w:style w:type="character" w:styleId="Hypertextovodkaz">
    <w:name w:val="Hyperlink"/>
    <w:uiPriority w:val="99"/>
    <w:rsid w:val="00CA5652"/>
    <w:rPr>
      <w:rFonts w:ascii="Arial" w:hAnsi="Arial" w:cs="Arial" w:hint="default"/>
      <w:b w:val="0"/>
      <w:bCs w:val="0"/>
      <w:i w:val="0"/>
      <w:iCs w:val="0"/>
      <w:color w:val="0000FF"/>
      <w:sz w:val="20"/>
      <w:szCs w:val="20"/>
      <w:u w:val="single"/>
    </w:rPr>
  </w:style>
  <w:style w:type="character" w:styleId="Sledovanodkaz">
    <w:name w:val="FollowedHyperlink"/>
    <w:uiPriority w:val="99"/>
    <w:rsid w:val="00F040C5"/>
    <w:rPr>
      <w:color w:val="800080"/>
      <w:u w:val="single"/>
    </w:rPr>
  </w:style>
  <w:style w:type="paragraph" w:customStyle="1" w:styleId="CharChar">
    <w:name w:val="Char Char"/>
    <w:basedOn w:val="Normln"/>
    <w:uiPriority w:val="99"/>
    <w:rsid w:val="00B23232"/>
    <w:pPr>
      <w:spacing w:after="160" w:line="240" w:lineRule="exact"/>
    </w:pPr>
    <w:rPr>
      <w:rFonts w:ascii="Verdana" w:hAnsi="Verdana" w:cs="Verdana"/>
      <w:sz w:val="20"/>
      <w:szCs w:val="20"/>
      <w:lang w:val="en-US" w:eastAsia="en-US"/>
    </w:rPr>
  </w:style>
  <w:style w:type="table" w:styleId="Mkatabulky">
    <w:name w:val="Table Grid"/>
    <w:basedOn w:val="Normlntabulka"/>
    <w:rsid w:val="00223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rsid w:val="00281893"/>
    <w:pPr>
      <w:tabs>
        <w:tab w:val="center" w:pos="4536"/>
        <w:tab w:val="right" w:pos="9072"/>
      </w:tabs>
    </w:pPr>
  </w:style>
  <w:style w:type="character" w:customStyle="1" w:styleId="ZhlavChar">
    <w:name w:val="Záhlaví Char"/>
    <w:link w:val="Zhlav"/>
    <w:uiPriority w:val="99"/>
    <w:rsid w:val="00992BA8"/>
    <w:rPr>
      <w:sz w:val="24"/>
      <w:szCs w:val="24"/>
    </w:rPr>
  </w:style>
  <w:style w:type="paragraph" w:styleId="Zpat">
    <w:name w:val="footer"/>
    <w:basedOn w:val="Normln"/>
    <w:link w:val="ZpatChar"/>
    <w:uiPriority w:val="99"/>
    <w:rsid w:val="00281893"/>
    <w:pPr>
      <w:tabs>
        <w:tab w:val="center" w:pos="4536"/>
        <w:tab w:val="right" w:pos="9072"/>
      </w:tabs>
    </w:pPr>
  </w:style>
  <w:style w:type="character" w:customStyle="1" w:styleId="ZpatChar">
    <w:name w:val="Zápatí Char"/>
    <w:link w:val="Zpat"/>
    <w:uiPriority w:val="99"/>
    <w:rsid w:val="00992BA8"/>
    <w:rPr>
      <w:sz w:val="24"/>
      <w:szCs w:val="24"/>
    </w:rPr>
  </w:style>
  <w:style w:type="paragraph" w:styleId="Obsah1">
    <w:name w:val="toc 1"/>
    <w:basedOn w:val="Normln"/>
    <w:next w:val="Normln"/>
    <w:autoRedefine/>
    <w:uiPriority w:val="39"/>
    <w:rsid w:val="00093E50"/>
  </w:style>
  <w:style w:type="paragraph" w:styleId="Obsah2">
    <w:name w:val="toc 2"/>
    <w:basedOn w:val="Normln"/>
    <w:next w:val="Normln"/>
    <w:autoRedefine/>
    <w:uiPriority w:val="39"/>
    <w:rsid w:val="00093E50"/>
    <w:pPr>
      <w:ind w:left="240"/>
    </w:pPr>
  </w:style>
  <w:style w:type="paragraph" w:styleId="Obsah3">
    <w:name w:val="toc 3"/>
    <w:basedOn w:val="Normln"/>
    <w:next w:val="Normln"/>
    <w:autoRedefine/>
    <w:uiPriority w:val="39"/>
    <w:rsid w:val="00093E50"/>
    <w:pPr>
      <w:ind w:left="480"/>
    </w:pPr>
  </w:style>
  <w:style w:type="paragraph" w:styleId="Obsah4">
    <w:name w:val="toc 4"/>
    <w:basedOn w:val="Normln"/>
    <w:next w:val="Normln"/>
    <w:autoRedefine/>
    <w:uiPriority w:val="39"/>
    <w:rsid w:val="00093E50"/>
    <w:pPr>
      <w:ind w:left="720"/>
    </w:pPr>
  </w:style>
  <w:style w:type="paragraph" w:styleId="Textbubliny">
    <w:name w:val="Balloon Text"/>
    <w:basedOn w:val="Normln"/>
    <w:link w:val="TextbublinyChar"/>
    <w:semiHidden/>
    <w:rsid w:val="003E031D"/>
    <w:rPr>
      <w:rFonts w:ascii="Tahoma" w:hAnsi="Tahoma" w:cs="Tahoma"/>
      <w:sz w:val="16"/>
      <w:szCs w:val="16"/>
    </w:rPr>
  </w:style>
  <w:style w:type="character" w:customStyle="1" w:styleId="TextbublinyChar">
    <w:name w:val="Text bubliny Char"/>
    <w:link w:val="Textbubliny"/>
    <w:semiHidden/>
    <w:rsid w:val="00992BA8"/>
    <w:rPr>
      <w:rFonts w:ascii="Tahoma" w:hAnsi="Tahoma" w:cs="Tahoma"/>
      <w:sz w:val="16"/>
      <w:szCs w:val="16"/>
    </w:rPr>
  </w:style>
  <w:style w:type="paragraph" w:styleId="Zvr">
    <w:name w:val="Closing"/>
    <w:basedOn w:val="Normln"/>
    <w:link w:val="ZvrChar"/>
    <w:uiPriority w:val="99"/>
    <w:rsid w:val="00B875FF"/>
    <w:pPr>
      <w:spacing w:before="340" w:after="1000"/>
    </w:pPr>
    <w:rPr>
      <w:rFonts w:ascii="Arial" w:hAnsi="Arial"/>
      <w:sz w:val="20"/>
      <w:szCs w:val="20"/>
    </w:rPr>
  </w:style>
  <w:style w:type="character" w:styleId="slostrnky">
    <w:name w:val="page number"/>
    <w:rsid w:val="00992BA8"/>
  </w:style>
  <w:style w:type="paragraph" w:styleId="Zkladntext">
    <w:name w:val="Body Text"/>
    <w:basedOn w:val="Normln"/>
    <w:link w:val="ZkladntextChar"/>
    <w:rsid w:val="00992BA8"/>
    <w:rPr>
      <w:b/>
      <w:sz w:val="18"/>
      <w:szCs w:val="20"/>
      <w:u w:val="single"/>
    </w:rPr>
  </w:style>
  <w:style w:type="character" w:customStyle="1" w:styleId="ZkladntextChar">
    <w:name w:val="Základní text Char"/>
    <w:link w:val="Zkladntext"/>
    <w:rsid w:val="00992BA8"/>
    <w:rPr>
      <w:b/>
      <w:sz w:val="18"/>
      <w:u w:val="single"/>
    </w:rPr>
  </w:style>
  <w:style w:type="paragraph" w:styleId="Odstavecseseznamem">
    <w:name w:val="List Paragraph"/>
    <w:basedOn w:val="Normln"/>
    <w:uiPriority w:val="34"/>
    <w:qFormat/>
    <w:rsid w:val="0035162C"/>
    <w:pPr>
      <w:jc w:val="both"/>
    </w:pPr>
    <w:rPr>
      <w:rFonts w:ascii="Calibri" w:hAnsi="Calibri" w:cs="Calibri"/>
    </w:rPr>
  </w:style>
  <w:style w:type="numbering" w:customStyle="1" w:styleId="Bezseznamu1">
    <w:name w:val="Bez seznamu1"/>
    <w:next w:val="Bezseznamu"/>
    <w:uiPriority w:val="99"/>
    <w:semiHidden/>
    <w:unhideWhenUsed/>
    <w:rsid w:val="00B608DD"/>
  </w:style>
  <w:style w:type="paragraph" w:customStyle="1" w:styleId="Default">
    <w:name w:val="Default"/>
    <w:rsid w:val="00B608DD"/>
    <w:pPr>
      <w:autoSpaceDE w:val="0"/>
      <w:autoSpaceDN w:val="0"/>
      <w:adjustRightInd w:val="0"/>
    </w:pPr>
    <w:rPr>
      <w:rFonts w:eastAsia="Calibri"/>
      <w:color w:val="000000"/>
      <w:sz w:val="24"/>
      <w:szCs w:val="24"/>
      <w:lang w:eastAsia="en-US"/>
    </w:rPr>
  </w:style>
  <w:style w:type="table" w:customStyle="1" w:styleId="Mkatabulky1">
    <w:name w:val="Mřížka tabulky1"/>
    <w:basedOn w:val="Normlntabulka"/>
    <w:next w:val="Mkatabulky"/>
    <w:uiPriority w:val="59"/>
    <w:rsid w:val="00B608D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ln"/>
    <w:uiPriority w:val="99"/>
    <w:rsid w:val="00B608D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6">
    <w:name w:val="xl66"/>
    <w:basedOn w:val="Normln"/>
    <w:uiPriority w:val="99"/>
    <w:rsid w:val="00B608D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7">
    <w:name w:val="xl67"/>
    <w:basedOn w:val="Normln"/>
    <w:uiPriority w:val="99"/>
    <w:rsid w:val="00B608D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Normln"/>
    <w:rsid w:val="00B608DD"/>
    <w:pPr>
      <w:pBdr>
        <w:top w:val="single" w:sz="4" w:space="0" w:color="auto"/>
        <w:left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69">
    <w:name w:val="xl69"/>
    <w:basedOn w:val="Normln"/>
    <w:rsid w:val="00B608DD"/>
    <w:pPr>
      <w:pBdr>
        <w:top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0">
    <w:name w:val="xl70"/>
    <w:basedOn w:val="Normln"/>
    <w:rsid w:val="00B608D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71">
    <w:name w:val="xl71"/>
    <w:basedOn w:val="Normln"/>
    <w:rsid w:val="00B608DD"/>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sz w:val="20"/>
      <w:szCs w:val="20"/>
    </w:rPr>
  </w:style>
  <w:style w:type="paragraph" w:customStyle="1" w:styleId="xl72">
    <w:name w:val="xl72"/>
    <w:basedOn w:val="Normln"/>
    <w:rsid w:val="00B608DD"/>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sz w:val="20"/>
      <w:szCs w:val="20"/>
    </w:rPr>
  </w:style>
  <w:style w:type="table" w:styleId="Barevnseznamzvraznn5">
    <w:name w:val="Colorful List Accent 5"/>
    <w:basedOn w:val="Normlntabulka"/>
    <w:uiPriority w:val="72"/>
    <w:rsid w:val="00B608DD"/>
    <w:rPr>
      <w:color w:val="000000"/>
    </w:rPr>
    <w:tblPr>
      <w:tblStyleRowBandSize w:val="1"/>
      <w:tblStyleColBandSize w:val="1"/>
      <w:tblInd w:w="0" w:type="nil"/>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paragraph" w:styleId="Zkladntextodsazen2">
    <w:name w:val="Body Text Indent 2"/>
    <w:basedOn w:val="Normln"/>
    <w:link w:val="Zkladntextodsazen2Char"/>
    <w:uiPriority w:val="99"/>
    <w:unhideWhenUsed/>
    <w:rsid w:val="00864DB1"/>
    <w:pPr>
      <w:spacing w:after="120" w:line="480" w:lineRule="auto"/>
      <w:ind w:left="283"/>
    </w:pPr>
    <w:rPr>
      <w:sz w:val="20"/>
      <w:szCs w:val="20"/>
    </w:rPr>
  </w:style>
  <w:style w:type="character" w:customStyle="1" w:styleId="Zkladntextodsazen2Char">
    <w:name w:val="Základní text odsazený 2 Char"/>
    <w:basedOn w:val="Standardnpsmoodstavce"/>
    <w:link w:val="Zkladntextodsazen2"/>
    <w:uiPriority w:val="99"/>
    <w:rsid w:val="00864DB1"/>
  </w:style>
  <w:style w:type="character" w:styleId="Odkaznakoment">
    <w:name w:val="annotation reference"/>
    <w:uiPriority w:val="99"/>
    <w:semiHidden/>
    <w:unhideWhenUsed/>
    <w:rsid w:val="001B55D4"/>
    <w:rPr>
      <w:sz w:val="16"/>
      <w:szCs w:val="16"/>
    </w:rPr>
  </w:style>
  <w:style w:type="paragraph" w:styleId="Textkomente">
    <w:name w:val="annotation text"/>
    <w:basedOn w:val="Normln"/>
    <w:link w:val="TextkomenteChar"/>
    <w:uiPriority w:val="99"/>
    <w:semiHidden/>
    <w:unhideWhenUsed/>
    <w:rsid w:val="001B55D4"/>
    <w:rPr>
      <w:sz w:val="20"/>
      <w:szCs w:val="20"/>
    </w:rPr>
  </w:style>
  <w:style w:type="character" w:customStyle="1" w:styleId="TextkomenteChar">
    <w:name w:val="Text komentáře Char"/>
    <w:basedOn w:val="Standardnpsmoodstavce"/>
    <w:link w:val="Textkomente"/>
    <w:uiPriority w:val="99"/>
    <w:semiHidden/>
    <w:rsid w:val="001B55D4"/>
  </w:style>
  <w:style w:type="paragraph" w:styleId="Pedmtkomente">
    <w:name w:val="annotation subject"/>
    <w:basedOn w:val="Textkomente"/>
    <w:next w:val="Textkomente"/>
    <w:link w:val="PedmtkomenteChar"/>
    <w:uiPriority w:val="99"/>
    <w:semiHidden/>
    <w:unhideWhenUsed/>
    <w:rsid w:val="001B55D4"/>
    <w:rPr>
      <w:b/>
      <w:bCs/>
    </w:rPr>
  </w:style>
  <w:style w:type="character" w:customStyle="1" w:styleId="PedmtkomenteChar">
    <w:name w:val="Předmět komentáře Char"/>
    <w:link w:val="Pedmtkomente"/>
    <w:uiPriority w:val="99"/>
    <w:semiHidden/>
    <w:rsid w:val="001B55D4"/>
    <w:rPr>
      <w:b/>
      <w:bCs/>
    </w:rPr>
  </w:style>
  <w:style w:type="paragraph" w:customStyle="1" w:styleId="xl73">
    <w:name w:val="xl73"/>
    <w:basedOn w:val="Normln"/>
    <w:rsid w:val="00AD596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rFonts w:ascii="Calibri" w:hAnsi="Calibri" w:cs="Calibri"/>
      <w:b/>
      <w:bCs/>
      <w:sz w:val="20"/>
      <w:szCs w:val="20"/>
    </w:rPr>
  </w:style>
  <w:style w:type="paragraph" w:customStyle="1" w:styleId="xl74">
    <w:name w:val="xl74"/>
    <w:basedOn w:val="Normln"/>
    <w:rsid w:val="00AD596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rFonts w:ascii="Calibri" w:hAnsi="Calibri" w:cs="Calibri"/>
      <w:b/>
      <w:bCs/>
      <w:sz w:val="20"/>
      <w:szCs w:val="20"/>
    </w:rPr>
  </w:style>
  <w:style w:type="paragraph" w:customStyle="1" w:styleId="xl75">
    <w:name w:val="xl75"/>
    <w:basedOn w:val="Normln"/>
    <w:rsid w:val="00AD596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Calibri" w:hAnsi="Calibri" w:cs="Calibri"/>
      <w:b/>
      <w:bCs/>
      <w:sz w:val="20"/>
      <w:szCs w:val="20"/>
    </w:rPr>
  </w:style>
  <w:style w:type="paragraph" w:customStyle="1" w:styleId="xl76">
    <w:name w:val="xl76"/>
    <w:basedOn w:val="Normln"/>
    <w:rsid w:val="00AD59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sz w:val="20"/>
      <w:szCs w:val="20"/>
    </w:rPr>
  </w:style>
  <w:style w:type="paragraph" w:customStyle="1" w:styleId="xl77">
    <w:name w:val="xl77"/>
    <w:basedOn w:val="Normln"/>
    <w:rsid w:val="00AD596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Calibri" w:hAnsi="Calibri" w:cs="Calibri"/>
      <w:b/>
      <w:bCs/>
    </w:rPr>
  </w:style>
  <w:style w:type="paragraph" w:customStyle="1" w:styleId="xl78">
    <w:name w:val="xl78"/>
    <w:basedOn w:val="Normln"/>
    <w:rsid w:val="00AD596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color w:val="000000"/>
      <w:sz w:val="20"/>
      <w:szCs w:val="20"/>
    </w:rPr>
  </w:style>
  <w:style w:type="paragraph" w:customStyle="1" w:styleId="xl79">
    <w:name w:val="xl79"/>
    <w:basedOn w:val="Normln"/>
    <w:rsid w:val="00AD59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sz w:val="20"/>
      <w:szCs w:val="20"/>
    </w:rPr>
  </w:style>
  <w:style w:type="paragraph" w:customStyle="1" w:styleId="xl80">
    <w:name w:val="xl80"/>
    <w:basedOn w:val="Normln"/>
    <w:rsid w:val="00AD596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Calibri" w:hAnsi="Calibri" w:cs="Calibri"/>
      <w:b/>
      <w:bCs/>
    </w:rPr>
  </w:style>
  <w:style w:type="paragraph" w:customStyle="1" w:styleId="xl81">
    <w:name w:val="xl81"/>
    <w:basedOn w:val="Normln"/>
    <w:rsid w:val="00AD59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sz w:val="20"/>
      <w:szCs w:val="20"/>
    </w:rPr>
  </w:style>
  <w:style w:type="paragraph" w:customStyle="1" w:styleId="xl82">
    <w:name w:val="xl82"/>
    <w:basedOn w:val="Normln"/>
    <w:rsid w:val="00AD596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color w:val="000000"/>
      <w:sz w:val="20"/>
      <w:szCs w:val="20"/>
    </w:rPr>
  </w:style>
  <w:style w:type="paragraph" w:customStyle="1" w:styleId="xl83">
    <w:name w:val="xl83"/>
    <w:basedOn w:val="Normln"/>
    <w:rsid w:val="00AD59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sz w:val="20"/>
      <w:szCs w:val="20"/>
    </w:rPr>
  </w:style>
  <w:style w:type="paragraph" w:customStyle="1" w:styleId="xl84">
    <w:name w:val="xl84"/>
    <w:basedOn w:val="Normln"/>
    <w:rsid w:val="00AD59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sz w:val="20"/>
      <w:szCs w:val="20"/>
    </w:rPr>
  </w:style>
  <w:style w:type="paragraph" w:customStyle="1" w:styleId="xl85">
    <w:name w:val="xl85"/>
    <w:basedOn w:val="Normln"/>
    <w:rsid w:val="00AD596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color w:val="000000"/>
      <w:sz w:val="20"/>
      <w:szCs w:val="20"/>
    </w:rPr>
  </w:style>
  <w:style w:type="paragraph" w:customStyle="1" w:styleId="xl86">
    <w:name w:val="xl86"/>
    <w:basedOn w:val="Normln"/>
    <w:rsid w:val="00AD596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Calibri" w:hAnsi="Calibri" w:cs="Calibri"/>
      <w:color w:val="000000"/>
      <w:sz w:val="20"/>
      <w:szCs w:val="20"/>
    </w:rPr>
  </w:style>
  <w:style w:type="paragraph" w:customStyle="1" w:styleId="xl87">
    <w:name w:val="xl87"/>
    <w:basedOn w:val="Normln"/>
    <w:rsid w:val="00AD596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pPr>
    <w:rPr>
      <w:rFonts w:ascii="Calibri" w:hAnsi="Calibri" w:cs="Calibri"/>
      <w:b/>
      <w:bCs/>
    </w:rPr>
  </w:style>
  <w:style w:type="paragraph" w:customStyle="1" w:styleId="xl88">
    <w:name w:val="xl88"/>
    <w:basedOn w:val="Normln"/>
    <w:rsid w:val="00AD596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pPr>
    <w:rPr>
      <w:rFonts w:ascii="Calibri" w:hAnsi="Calibri" w:cs="Calibri"/>
      <w:b/>
      <w:bCs/>
    </w:rPr>
  </w:style>
  <w:style w:type="paragraph" w:customStyle="1" w:styleId="xl89">
    <w:name w:val="xl89"/>
    <w:basedOn w:val="Normln"/>
    <w:rsid w:val="00AD596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Calibri" w:hAnsi="Calibri" w:cs="Calibri"/>
      <w:b/>
      <w:bCs/>
      <w:sz w:val="20"/>
      <w:szCs w:val="20"/>
    </w:rPr>
  </w:style>
  <w:style w:type="paragraph" w:customStyle="1" w:styleId="xl90">
    <w:name w:val="xl90"/>
    <w:basedOn w:val="Normln"/>
    <w:rsid w:val="00AD596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Calibri" w:hAnsi="Calibri" w:cs="Calibri"/>
      <w:b/>
      <w:bCs/>
    </w:rPr>
  </w:style>
  <w:style w:type="paragraph" w:customStyle="1" w:styleId="xl91">
    <w:name w:val="xl91"/>
    <w:basedOn w:val="Normln"/>
    <w:rsid w:val="00AD59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Normln"/>
    <w:rsid w:val="00AD596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Calibri" w:hAnsi="Calibri" w:cs="Calibri"/>
      <w:b/>
      <w:bCs/>
    </w:rPr>
  </w:style>
  <w:style w:type="character" w:styleId="Zdraznn">
    <w:name w:val="Emphasis"/>
    <w:basedOn w:val="Standardnpsmoodstavce"/>
    <w:uiPriority w:val="20"/>
    <w:qFormat/>
    <w:rsid w:val="00075F5F"/>
    <w:rPr>
      <w:b/>
      <w:bCs/>
      <w:i w:val="0"/>
      <w:iCs w:val="0"/>
    </w:rPr>
  </w:style>
  <w:style w:type="character" w:customStyle="1" w:styleId="st1">
    <w:name w:val="st1"/>
    <w:basedOn w:val="Standardnpsmoodstavce"/>
    <w:rsid w:val="00075F5F"/>
  </w:style>
  <w:style w:type="paragraph" w:styleId="Nadpisobsahu">
    <w:name w:val="TOC Heading"/>
    <w:basedOn w:val="Nadpis1"/>
    <w:next w:val="Normln"/>
    <w:uiPriority w:val="39"/>
    <w:unhideWhenUsed/>
    <w:qFormat/>
    <w:rsid w:val="00524A71"/>
    <w:pPr>
      <w:keepLines/>
      <w:spacing w:before="240"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Normlnweb">
    <w:name w:val="Normal (Web)"/>
    <w:basedOn w:val="Normln"/>
    <w:uiPriority w:val="99"/>
    <w:unhideWhenUsed/>
    <w:rsid w:val="00F93BE2"/>
  </w:style>
  <w:style w:type="character" w:styleId="Siln">
    <w:name w:val="Strong"/>
    <w:basedOn w:val="Standardnpsmoodstavce"/>
    <w:uiPriority w:val="22"/>
    <w:qFormat/>
    <w:rsid w:val="000F316D"/>
    <w:rPr>
      <w:b/>
      <w:bCs/>
    </w:rPr>
  </w:style>
  <w:style w:type="character" w:customStyle="1" w:styleId="Nadpis4Char">
    <w:name w:val="Nadpis 4 Char"/>
    <w:basedOn w:val="Standardnpsmoodstavce"/>
    <w:link w:val="Nadpis4"/>
    <w:uiPriority w:val="9"/>
    <w:rsid w:val="00CA6C24"/>
    <w:rPr>
      <w:rFonts w:asciiTheme="minorHAnsi" w:eastAsiaTheme="majorEastAsia" w:hAnsiTheme="minorHAnsi" w:cstheme="minorHAnsi"/>
      <w:b/>
      <w:iCs/>
      <w:sz w:val="24"/>
      <w:szCs w:val="24"/>
    </w:rPr>
  </w:style>
  <w:style w:type="paragraph" w:styleId="Nzev">
    <w:name w:val="Title"/>
    <w:basedOn w:val="Normln"/>
    <w:next w:val="Normln"/>
    <w:link w:val="NzevChar"/>
    <w:uiPriority w:val="10"/>
    <w:qFormat/>
    <w:rsid w:val="00CA6C24"/>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A6C24"/>
    <w:rPr>
      <w:rFonts w:asciiTheme="majorHAnsi" w:eastAsiaTheme="majorEastAsia" w:hAnsiTheme="majorHAnsi" w:cstheme="majorBidi"/>
      <w:spacing w:val="-10"/>
      <w:kern w:val="28"/>
      <w:sz w:val="56"/>
      <w:szCs w:val="56"/>
    </w:rPr>
  </w:style>
  <w:style w:type="paragraph" w:styleId="Obsah5">
    <w:name w:val="toc 5"/>
    <w:basedOn w:val="Normln"/>
    <w:next w:val="Normln"/>
    <w:autoRedefine/>
    <w:uiPriority w:val="39"/>
    <w:unhideWhenUsed/>
    <w:rsid w:val="00675F2F"/>
    <w:pPr>
      <w:spacing w:after="100" w:line="259" w:lineRule="auto"/>
      <w:ind w:left="880"/>
    </w:pPr>
    <w:rPr>
      <w:rFonts w:asciiTheme="minorHAnsi" w:eastAsiaTheme="minorEastAsia" w:hAnsiTheme="minorHAnsi" w:cstheme="minorBidi"/>
      <w:sz w:val="22"/>
      <w:szCs w:val="22"/>
    </w:rPr>
  </w:style>
  <w:style w:type="paragraph" w:styleId="Obsah6">
    <w:name w:val="toc 6"/>
    <w:basedOn w:val="Normln"/>
    <w:next w:val="Normln"/>
    <w:autoRedefine/>
    <w:uiPriority w:val="39"/>
    <w:unhideWhenUsed/>
    <w:rsid w:val="00675F2F"/>
    <w:pPr>
      <w:spacing w:after="100" w:line="259" w:lineRule="auto"/>
      <w:ind w:left="1100"/>
    </w:pPr>
    <w:rPr>
      <w:rFonts w:asciiTheme="minorHAnsi" w:eastAsiaTheme="minorEastAsia" w:hAnsiTheme="minorHAnsi" w:cstheme="minorBidi"/>
      <w:sz w:val="22"/>
      <w:szCs w:val="22"/>
    </w:rPr>
  </w:style>
  <w:style w:type="paragraph" w:styleId="Obsah7">
    <w:name w:val="toc 7"/>
    <w:basedOn w:val="Normln"/>
    <w:next w:val="Normln"/>
    <w:autoRedefine/>
    <w:uiPriority w:val="39"/>
    <w:unhideWhenUsed/>
    <w:rsid w:val="00675F2F"/>
    <w:pPr>
      <w:spacing w:after="100" w:line="259" w:lineRule="auto"/>
      <w:ind w:left="1320"/>
    </w:pPr>
    <w:rPr>
      <w:rFonts w:asciiTheme="minorHAnsi" w:eastAsiaTheme="minorEastAsia" w:hAnsiTheme="minorHAnsi" w:cstheme="minorBidi"/>
      <w:sz w:val="22"/>
      <w:szCs w:val="22"/>
    </w:rPr>
  </w:style>
  <w:style w:type="paragraph" w:styleId="Obsah8">
    <w:name w:val="toc 8"/>
    <w:basedOn w:val="Normln"/>
    <w:next w:val="Normln"/>
    <w:autoRedefine/>
    <w:uiPriority w:val="39"/>
    <w:unhideWhenUsed/>
    <w:rsid w:val="00675F2F"/>
    <w:pPr>
      <w:spacing w:after="100" w:line="259" w:lineRule="auto"/>
      <w:ind w:left="1540"/>
    </w:pPr>
    <w:rPr>
      <w:rFonts w:asciiTheme="minorHAnsi" w:eastAsiaTheme="minorEastAsia" w:hAnsiTheme="minorHAnsi" w:cstheme="minorBidi"/>
      <w:sz w:val="22"/>
      <w:szCs w:val="22"/>
    </w:rPr>
  </w:style>
  <w:style w:type="paragraph" w:styleId="Obsah9">
    <w:name w:val="toc 9"/>
    <w:basedOn w:val="Normln"/>
    <w:next w:val="Normln"/>
    <w:autoRedefine/>
    <w:uiPriority w:val="39"/>
    <w:unhideWhenUsed/>
    <w:rsid w:val="00675F2F"/>
    <w:pPr>
      <w:spacing w:after="100" w:line="259" w:lineRule="auto"/>
      <w:ind w:left="1760"/>
    </w:pPr>
    <w:rPr>
      <w:rFonts w:asciiTheme="minorHAnsi" w:eastAsiaTheme="minorEastAsia" w:hAnsiTheme="minorHAnsi" w:cstheme="minorBidi"/>
      <w:sz w:val="22"/>
      <w:szCs w:val="22"/>
    </w:rPr>
  </w:style>
  <w:style w:type="paragraph" w:styleId="Zkladntext3">
    <w:name w:val="Body Text 3"/>
    <w:basedOn w:val="Normln"/>
    <w:link w:val="Zkladntext3Char"/>
    <w:uiPriority w:val="99"/>
    <w:semiHidden/>
    <w:unhideWhenUsed/>
    <w:rsid w:val="00111726"/>
    <w:pPr>
      <w:spacing w:after="120"/>
    </w:pPr>
    <w:rPr>
      <w:sz w:val="16"/>
      <w:szCs w:val="16"/>
    </w:rPr>
  </w:style>
  <w:style w:type="character" w:customStyle="1" w:styleId="Zkladntext3Char">
    <w:name w:val="Základní text 3 Char"/>
    <w:basedOn w:val="Standardnpsmoodstavce"/>
    <w:link w:val="Zkladntext3"/>
    <w:uiPriority w:val="99"/>
    <w:semiHidden/>
    <w:rsid w:val="00111726"/>
    <w:rPr>
      <w:sz w:val="16"/>
      <w:szCs w:val="16"/>
    </w:rPr>
  </w:style>
  <w:style w:type="paragraph" w:customStyle="1" w:styleId="xl63">
    <w:name w:val="xl63"/>
    <w:basedOn w:val="Normln"/>
    <w:uiPriority w:val="99"/>
    <w:rsid w:val="00B53E3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000000"/>
      <w:sz w:val="18"/>
      <w:szCs w:val="18"/>
    </w:rPr>
  </w:style>
  <w:style w:type="paragraph" w:customStyle="1" w:styleId="xl64">
    <w:name w:val="xl64"/>
    <w:basedOn w:val="Normln"/>
    <w:uiPriority w:val="99"/>
    <w:rsid w:val="00B53E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rPr>
  </w:style>
  <w:style w:type="paragraph" w:customStyle="1" w:styleId="xl93">
    <w:name w:val="xl93"/>
    <w:basedOn w:val="Normln"/>
    <w:rsid w:val="00B53E3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94">
    <w:name w:val="xl94"/>
    <w:basedOn w:val="Normln"/>
    <w:rsid w:val="00B53E36"/>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95">
    <w:name w:val="xl95"/>
    <w:basedOn w:val="Normln"/>
    <w:rsid w:val="00B53E36"/>
    <w:pPr>
      <w:pBdr>
        <w:top w:val="single" w:sz="4" w:space="0" w:color="auto"/>
        <w:left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96">
    <w:name w:val="xl96"/>
    <w:basedOn w:val="Normln"/>
    <w:rsid w:val="00B53E36"/>
    <w:pPr>
      <w:pBdr>
        <w:left w:val="single" w:sz="4" w:space="0" w:color="auto"/>
        <w:right w:val="single" w:sz="4" w:space="0" w:color="auto"/>
      </w:pBdr>
      <w:spacing w:before="100" w:beforeAutospacing="1" w:after="100" w:afterAutospacing="1"/>
      <w:textAlignment w:val="center"/>
    </w:pPr>
  </w:style>
  <w:style w:type="paragraph" w:customStyle="1" w:styleId="xl97">
    <w:name w:val="xl97"/>
    <w:basedOn w:val="Normln"/>
    <w:rsid w:val="00B53E36"/>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Normln"/>
    <w:rsid w:val="00B53E3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99">
    <w:name w:val="xl99"/>
    <w:basedOn w:val="Normln"/>
    <w:rsid w:val="00B53E36"/>
    <w:pPr>
      <w:pBdr>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Normln"/>
    <w:rsid w:val="00B53E3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Normln"/>
    <w:rsid w:val="00B53E3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2">
    <w:name w:val="xl102"/>
    <w:basedOn w:val="Normln"/>
    <w:rsid w:val="00B53E3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b/>
      <w:bCs/>
      <w:color w:val="000000"/>
      <w:sz w:val="18"/>
      <w:szCs w:val="18"/>
    </w:rPr>
  </w:style>
  <w:style w:type="paragraph" w:customStyle="1" w:styleId="xl103">
    <w:name w:val="xl103"/>
    <w:basedOn w:val="Normln"/>
    <w:rsid w:val="00B53E3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b/>
      <w:bCs/>
      <w:color w:val="000000"/>
      <w:sz w:val="18"/>
      <w:szCs w:val="18"/>
    </w:rPr>
  </w:style>
  <w:style w:type="paragraph" w:customStyle="1" w:styleId="xl104">
    <w:name w:val="xl104"/>
    <w:basedOn w:val="Normln"/>
    <w:rsid w:val="00B53E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5">
    <w:name w:val="xl105"/>
    <w:basedOn w:val="Normln"/>
    <w:rsid w:val="00B53E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06">
    <w:name w:val="xl106"/>
    <w:basedOn w:val="Normln"/>
    <w:rsid w:val="00B53E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Normln"/>
    <w:rsid w:val="00B53E36"/>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08">
    <w:name w:val="xl108"/>
    <w:basedOn w:val="Normln"/>
    <w:rsid w:val="00B53E36"/>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109">
    <w:name w:val="xl109"/>
    <w:basedOn w:val="Normln"/>
    <w:rsid w:val="00B53E36"/>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0">
    <w:name w:val="xl110"/>
    <w:basedOn w:val="Normln"/>
    <w:rsid w:val="00B53E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11">
    <w:name w:val="xl111"/>
    <w:basedOn w:val="Normln"/>
    <w:rsid w:val="00B53E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2">
    <w:name w:val="xl112"/>
    <w:basedOn w:val="Normln"/>
    <w:rsid w:val="00B53E36"/>
    <w:pPr>
      <w:pBdr>
        <w:left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3">
    <w:name w:val="xl113"/>
    <w:basedOn w:val="Normln"/>
    <w:rsid w:val="00B53E36"/>
    <w:pPr>
      <w:pBdr>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4">
    <w:name w:val="xl114"/>
    <w:basedOn w:val="Normln"/>
    <w:uiPriority w:val="99"/>
    <w:rsid w:val="00B53E3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5">
    <w:name w:val="xl115"/>
    <w:basedOn w:val="Normln"/>
    <w:uiPriority w:val="99"/>
    <w:rsid w:val="00B53E3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6">
    <w:name w:val="xl116"/>
    <w:basedOn w:val="Normln"/>
    <w:uiPriority w:val="99"/>
    <w:rsid w:val="00B53E36"/>
    <w:pPr>
      <w:pBdr>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Normln"/>
    <w:uiPriority w:val="99"/>
    <w:rsid w:val="00B53E3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Normln"/>
    <w:uiPriority w:val="99"/>
    <w:rsid w:val="00B53E36"/>
    <w:pPr>
      <w:pBdr>
        <w:top w:val="single" w:sz="4" w:space="0" w:color="auto"/>
        <w:left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9">
    <w:name w:val="xl119"/>
    <w:basedOn w:val="Normln"/>
    <w:uiPriority w:val="99"/>
    <w:rsid w:val="00B53E3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000000"/>
      <w:sz w:val="16"/>
      <w:szCs w:val="16"/>
    </w:rPr>
  </w:style>
  <w:style w:type="paragraph" w:customStyle="1" w:styleId="xl120">
    <w:name w:val="xl120"/>
    <w:basedOn w:val="Normln"/>
    <w:uiPriority w:val="99"/>
    <w:rsid w:val="00B53E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21">
    <w:name w:val="xl121"/>
    <w:basedOn w:val="Normln"/>
    <w:uiPriority w:val="99"/>
    <w:rsid w:val="00B53E36"/>
    <w:pPr>
      <w:pBdr>
        <w:left w:val="single" w:sz="4" w:space="0" w:color="auto"/>
        <w:right w:val="single" w:sz="4" w:space="0" w:color="auto"/>
      </w:pBdr>
      <w:spacing w:before="100" w:beforeAutospacing="1" w:after="100" w:afterAutospacing="1"/>
      <w:textAlignment w:val="center"/>
    </w:pPr>
    <w:rPr>
      <w:color w:val="000000"/>
      <w:sz w:val="18"/>
      <w:szCs w:val="18"/>
    </w:rPr>
  </w:style>
  <w:style w:type="paragraph" w:styleId="Textpoznpodarou">
    <w:name w:val="footnote text"/>
    <w:basedOn w:val="Normln"/>
    <w:link w:val="TextpoznpodarouChar"/>
    <w:uiPriority w:val="99"/>
    <w:semiHidden/>
    <w:unhideWhenUsed/>
    <w:rsid w:val="00AE2A63"/>
    <w:rPr>
      <w:sz w:val="20"/>
      <w:szCs w:val="20"/>
    </w:rPr>
  </w:style>
  <w:style w:type="character" w:customStyle="1" w:styleId="TextpoznpodarouChar">
    <w:name w:val="Text pozn. pod čarou Char"/>
    <w:basedOn w:val="Standardnpsmoodstavce"/>
    <w:link w:val="Textpoznpodarou"/>
    <w:uiPriority w:val="99"/>
    <w:semiHidden/>
    <w:rsid w:val="00AE2A63"/>
  </w:style>
  <w:style w:type="character" w:styleId="Znakapoznpodarou">
    <w:name w:val="footnote reference"/>
    <w:basedOn w:val="Standardnpsmoodstavce"/>
    <w:semiHidden/>
    <w:unhideWhenUsed/>
    <w:rsid w:val="00AE2A63"/>
    <w:rPr>
      <w:vertAlign w:val="superscript"/>
    </w:rPr>
  </w:style>
  <w:style w:type="character" w:customStyle="1" w:styleId="Psmoodstavce">
    <w:name w:val="Písmo odstavce"/>
    <w:rsid w:val="004A713A"/>
    <w:rPr>
      <w:rFonts w:ascii="Arial" w:hAnsi="Arial"/>
      <w:sz w:val="24"/>
    </w:rPr>
  </w:style>
  <w:style w:type="paragraph" w:customStyle="1" w:styleId="western">
    <w:name w:val="western"/>
    <w:basedOn w:val="Normln"/>
    <w:rsid w:val="00B027AF"/>
    <w:pPr>
      <w:spacing w:before="100" w:beforeAutospacing="1" w:after="100" w:afterAutospacing="1"/>
    </w:pPr>
    <w:rPr>
      <w:rFonts w:eastAsiaTheme="minorHAnsi"/>
    </w:rPr>
  </w:style>
  <w:style w:type="character" w:customStyle="1" w:styleId="ZvrChar">
    <w:name w:val="Závěr Char"/>
    <w:basedOn w:val="Standardnpsmoodstavce"/>
    <w:link w:val="Zvr"/>
    <w:uiPriority w:val="99"/>
    <w:rsid w:val="00B113F3"/>
    <w:rPr>
      <w:rFonts w:ascii="Arial" w:hAnsi="Arial"/>
    </w:rPr>
  </w:style>
  <w:style w:type="paragraph" w:customStyle="1" w:styleId="xl122">
    <w:name w:val="xl122"/>
    <w:basedOn w:val="Normln"/>
    <w:uiPriority w:val="99"/>
    <w:rsid w:val="00B113F3"/>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23">
    <w:name w:val="xl123"/>
    <w:basedOn w:val="Normln"/>
    <w:uiPriority w:val="99"/>
    <w:rsid w:val="00B113F3"/>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right"/>
    </w:pPr>
    <w:rPr>
      <w:b/>
      <w:bCs/>
      <w:sz w:val="18"/>
      <w:szCs w:val="18"/>
    </w:rPr>
  </w:style>
  <w:style w:type="paragraph" w:customStyle="1" w:styleId="xl124">
    <w:name w:val="xl124"/>
    <w:basedOn w:val="Normln"/>
    <w:uiPriority w:val="99"/>
    <w:rsid w:val="00B113F3"/>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25">
    <w:name w:val="xl125"/>
    <w:basedOn w:val="Normln"/>
    <w:uiPriority w:val="99"/>
    <w:rsid w:val="00B113F3"/>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26">
    <w:name w:val="xl126"/>
    <w:basedOn w:val="Normln"/>
    <w:uiPriority w:val="99"/>
    <w:rsid w:val="00B113F3"/>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font5">
    <w:name w:val="font5"/>
    <w:basedOn w:val="Normln"/>
    <w:rsid w:val="00EB5F83"/>
    <w:pPr>
      <w:spacing w:before="100" w:beforeAutospacing="1" w:after="100" w:afterAutospacing="1"/>
    </w:pPr>
    <w:rPr>
      <w:rFonts w:ascii="Calibri" w:hAnsi="Calibri" w:cs="Calibri"/>
      <w:b/>
      <w:bCs/>
      <w:color w:val="000000"/>
      <w:sz w:val="15"/>
      <w:szCs w:val="15"/>
    </w:rPr>
  </w:style>
  <w:style w:type="paragraph" w:styleId="Titulek">
    <w:name w:val="caption"/>
    <w:basedOn w:val="Normln"/>
    <w:next w:val="Normln"/>
    <w:qFormat/>
    <w:rsid w:val="00845B07"/>
    <w:pPr>
      <w:spacing w:before="120" w:after="120"/>
    </w:pPr>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9194">
      <w:bodyDiv w:val="1"/>
      <w:marLeft w:val="0"/>
      <w:marRight w:val="0"/>
      <w:marTop w:val="0"/>
      <w:marBottom w:val="0"/>
      <w:divBdr>
        <w:top w:val="none" w:sz="0" w:space="0" w:color="auto"/>
        <w:left w:val="none" w:sz="0" w:space="0" w:color="auto"/>
        <w:bottom w:val="none" w:sz="0" w:space="0" w:color="auto"/>
        <w:right w:val="none" w:sz="0" w:space="0" w:color="auto"/>
      </w:divBdr>
    </w:div>
    <w:div w:id="7610350">
      <w:bodyDiv w:val="1"/>
      <w:marLeft w:val="0"/>
      <w:marRight w:val="0"/>
      <w:marTop w:val="0"/>
      <w:marBottom w:val="0"/>
      <w:divBdr>
        <w:top w:val="none" w:sz="0" w:space="0" w:color="auto"/>
        <w:left w:val="none" w:sz="0" w:space="0" w:color="auto"/>
        <w:bottom w:val="none" w:sz="0" w:space="0" w:color="auto"/>
        <w:right w:val="none" w:sz="0" w:space="0" w:color="auto"/>
      </w:divBdr>
    </w:div>
    <w:div w:id="9183258">
      <w:bodyDiv w:val="1"/>
      <w:marLeft w:val="0"/>
      <w:marRight w:val="0"/>
      <w:marTop w:val="0"/>
      <w:marBottom w:val="0"/>
      <w:divBdr>
        <w:top w:val="none" w:sz="0" w:space="0" w:color="auto"/>
        <w:left w:val="none" w:sz="0" w:space="0" w:color="auto"/>
        <w:bottom w:val="none" w:sz="0" w:space="0" w:color="auto"/>
        <w:right w:val="none" w:sz="0" w:space="0" w:color="auto"/>
      </w:divBdr>
    </w:div>
    <w:div w:id="12197860">
      <w:bodyDiv w:val="1"/>
      <w:marLeft w:val="0"/>
      <w:marRight w:val="0"/>
      <w:marTop w:val="0"/>
      <w:marBottom w:val="0"/>
      <w:divBdr>
        <w:top w:val="none" w:sz="0" w:space="0" w:color="auto"/>
        <w:left w:val="none" w:sz="0" w:space="0" w:color="auto"/>
        <w:bottom w:val="none" w:sz="0" w:space="0" w:color="auto"/>
        <w:right w:val="none" w:sz="0" w:space="0" w:color="auto"/>
      </w:divBdr>
    </w:div>
    <w:div w:id="13506634">
      <w:bodyDiv w:val="1"/>
      <w:marLeft w:val="0"/>
      <w:marRight w:val="0"/>
      <w:marTop w:val="0"/>
      <w:marBottom w:val="0"/>
      <w:divBdr>
        <w:top w:val="none" w:sz="0" w:space="0" w:color="auto"/>
        <w:left w:val="none" w:sz="0" w:space="0" w:color="auto"/>
        <w:bottom w:val="none" w:sz="0" w:space="0" w:color="auto"/>
        <w:right w:val="none" w:sz="0" w:space="0" w:color="auto"/>
      </w:divBdr>
    </w:div>
    <w:div w:id="16153111">
      <w:bodyDiv w:val="1"/>
      <w:marLeft w:val="0"/>
      <w:marRight w:val="0"/>
      <w:marTop w:val="0"/>
      <w:marBottom w:val="0"/>
      <w:divBdr>
        <w:top w:val="none" w:sz="0" w:space="0" w:color="auto"/>
        <w:left w:val="none" w:sz="0" w:space="0" w:color="auto"/>
        <w:bottom w:val="none" w:sz="0" w:space="0" w:color="auto"/>
        <w:right w:val="none" w:sz="0" w:space="0" w:color="auto"/>
      </w:divBdr>
    </w:div>
    <w:div w:id="16663790">
      <w:bodyDiv w:val="1"/>
      <w:marLeft w:val="0"/>
      <w:marRight w:val="0"/>
      <w:marTop w:val="0"/>
      <w:marBottom w:val="0"/>
      <w:divBdr>
        <w:top w:val="none" w:sz="0" w:space="0" w:color="auto"/>
        <w:left w:val="none" w:sz="0" w:space="0" w:color="auto"/>
        <w:bottom w:val="none" w:sz="0" w:space="0" w:color="auto"/>
        <w:right w:val="none" w:sz="0" w:space="0" w:color="auto"/>
      </w:divBdr>
    </w:div>
    <w:div w:id="18312854">
      <w:bodyDiv w:val="1"/>
      <w:marLeft w:val="0"/>
      <w:marRight w:val="0"/>
      <w:marTop w:val="0"/>
      <w:marBottom w:val="0"/>
      <w:divBdr>
        <w:top w:val="none" w:sz="0" w:space="0" w:color="auto"/>
        <w:left w:val="none" w:sz="0" w:space="0" w:color="auto"/>
        <w:bottom w:val="none" w:sz="0" w:space="0" w:color="auto"/>
        <w:right w:val="none" w:sz="0" w:space="0" w:color="auto"/>
      </w:divBdr>
    </w:div>
    <w:div w:id="18438692">
      <w:bodyDiv w:val="1"/>
      <w:marLeft w:val="0"/>
      <w:marRight w:val="0"/>
      <w:marTop w:val="0"/>
      <w:marBottom w:val="0"/>
      <w:divBdr>
        <w:top w:val="none" w:sz="0" w:space="0" w:color="auto"/>
        <w:left w:val="none" w:sz="0" w:space="0" w:color="auto"/>
        <w:bottom w:val="none" w:sz="0" w:space="0" w:color="auto"/>
        <w:right w:val="none" w:sz="0" w:space="0" w:color="auto"/>
      </w:divBdr>
    </w:div>
    <w:div w:id="21519035">
      <w:bodyDiv w:val="1"/>
      <w:marLeft w:val="0"/>
      <w:marRight w:val="0"/>
      <w:marTop w:val="0"/>
      <w:marBottom w:val="0"/>
      <w:divBdr>
        <w:top w:val="none" w:sz="0" w:space="0" w:color="auto"/>
        <w:left w:val="none" w:sz="0" w:space="0" w:color="auto"/>
        <w:bottom w:val="none" w:sz="0" w:space="0" w:color="auto"/>
        <w:right w:val="none" w:sz="0" w:space="0" w:color="auto"/>
      </w:divBdr>
    </w:div>
    <w:div w:id="24718673">
      <w:bodyDiv w:val="1"/>
      <w:marLeft w:val="0"/>
      <w:marRight w:val="0"/>
      <w:marTop w:val="0"/>
      <w:marBottom w:val="0"/>
      <w:divBdr>
        <w:top w:val="none" w:sz="0" w:space="0" w:color="auto"/>
        <w:left w:val="none" w:sz="0" w:space="0" w:color="auto"/>
        <w:bottom w:val="none" w:sz="0" w:space="0" w:color="auto"/>
        <w:right w:val="none" w:sz="0" w:space="0" w:color="auto"/>
      </w:divBdr>
    </w:div>
    <w:div w:id="26680525">
      <w:bodyDiv w:val="1"/>
      <w:marLeft w:val="0"/>
      <w:marRight w:val="0"/>
      <w:marTop w:val="0"/>
      <w:marBottom w:val="0"/>
      <w:divBdr>
        <w:top w:val="none" w:sz="0" w:space="0" w:color="auto"/>
        <w:left w:val="none" w:sz="0" w:space="0" w:color="auto"/>
        <w:bottom w:val="none" w:sz="0" w:space="0" w:color="auto"/>
        <w:right w:val="none" w:sz="0" w:space="0" w:color="auto"/>
      </w:divBdr>
    </w:div>
    <w:div w:id="30304282">
      <w:bodyDiv w:val="1"/>
      <w:marLeft w:val="0"/>
      <w:marRight w:val="0"/>
      <w:marTop w:val="0"/>
      <w:marBottom w:val="0"/>
      <w:divBdr>
        <w:top w:val="none" w:sz="0" w:space="0" w:color="auto"/>
        <w:left w:val="none" w:sz="0" w:space="0" w:color="auto"/>
        <w:bottom w:val="none" w:sz="0" w:space="0" w:color="auto"/>
        <w:right w:val="none" w:sz="0" w:space="0" w:color="auto"/>
      </w:divBdr>
    </w:div>
    <w:div w:id="35469706">
      <w:bodyDiv w:val="1"/>
      <w:marLeft w:val="0"/>
      <w:marRight w:val="0"/>
      <w:marTop w:val="0"/>
      <w:marBottom w:val="0"/>
      <w:divBdr>
        <w:top w:val="none" w:sz="0" w:space="0" w:color="auto"/>
        <w:left w:val="none" w:sz="0" w:space="0" w:color="auto"/>
        <w:bottom w:val="none" w:sz="0" w:space="0" w:color="auto"/>
        <w:right w:val="none" w:sz="0" w:space="0" w:color="auto"/>
      </w:divBdr>
    </w:div>
    <w:div w:id="40254470">
      <w:bodyDiv w:val="1"/>
      <w:marLeft w:val="0"/>
      <w:marRight w:val="0"/>
      <w:marTop w:val="0"/>
      <w:marBottom w:val="0"/>
      <w:divBdr>
        <w:top w:val="none" w:sz="0" w:space="0" w:color="auto"/>
        <w:left w:val="none" w:sz="0" w:space="0" w:color="auto"/>
        <w:bottom w:val="none" w:sz="0" w:space="0" w:color="auto"/>
        <w:right w:val="none" w:sz="0" w:space="0" w:color="auto"/>
      </w:divBdr>
    </w:div>
    <w:div w:id="40714455">
      <w:bodyDiv w:val="1"/>
      <w:marLeft w:val="0"/>
      <w:marRight w:val="0"/>
      <w:marTop w:val="0"/>
      <w:marBottom w:val="0"/>
      <w:divBdr>
        <w:top w:val="none" w:sz="0" w:space="0" w:color="auto"/>
        <w:left w:val="none" w:sz="0" w:space="0" w:color="auto"/>
        <w:bottom w:val="none" w:sz="0" w:space="0" w:color="auto"/>
        <w:right w:val="none" w:sz="0" w:space="0" w:color="auto"/>
      </w:divBdr>
    </w:div>
    <w:div w:id="46413383">
      <w:bodyDiv w:val="1"/>
      <w:marLeft w:val="0"/>
      <w:marRight w:val="0"/>
      <w:marTop w:val="0"/>
      <w:marBottom w:val="0"/>
      <w:divBdr>
        <w:top w:val="none" w:sz="0" w:space="0" w:color="auto"/>
        <w:left w:val="none" w:sz="0" w:space="0" w:color="auto"/>
        <w:bottom w:val="none" w:sz="0" w:space="0" w:color="auto"/>
        <w:right w:val="none" w:sz="0" w:space="0" w:color="auto"/>
      </w:divBdr>
      <w:divsChild>
        <w:div w:id="286546227">
          <w:marLeft w:val="1987"/>
          <w:marRight w:val="0"/>
          <w:marTop w:val="0"/>
          <w:marBottom w:val="0"/>
          <w:divBdr>
            <w:top w:val="none" w:sz="0" w:space="0" w:color="auto"/>
            <w:left w:val="none" w:sz="0" w:space="0" w:color="auto"/>
            <w:bottom w:val="none" w:sz="0" w:space="0" w:color="auto"/>
            <w:right w:val="none" w:sz="0" w:space="0" w:color="auto"/>
          </w:divBdr>
        </w:div>
        <w:div w:id="744885919">
          <w:marLeft w:val="1987"/>
          <w:marRight w:val="0"/>
          <w:marTop w:val="0"/>
          <w:marBottom w:val="0"/>
          <w:divBdr>
            <w:top w:val="none" w:sz="0" w:space="0" w:color="auto"/>
            <w:left w:val="none" w:sz="0" w:space="0" w:color="auto"/>
            <w:bottom w:val="none" w:sz="0" w:space="0" w:color="auto"/>
            <w:right w:val="none" w:sz="0" w:space="0" w:color="auto"/>
          </w:divBdr>
        </w:div>
        <w:div w:id="852378586">
          <w:marLeft w:val="1987"/>
          <w:marRight w:val="0"/>
          <w:marTop w:val="0"/>
          <w:marBottom w:val="0"/>
          <w:divBdr>
            <w:top w:val="none" w:sz="0" w:space="0" w:color="auto"/>
            <w:left w:val="none" w:sz="0" w:space="0" w:color="auto"/>
            <w:bottom w:val="none" w:sz="0" w:space="0" w:color="auto"/>
            <w:right w:val="none" w:sz="0" w:space="0" w:color="auto"/>
          </w:divBdr>
        </w:div>
        <w:div w:id="908075428">
          <w:marLeft w:val="1987"/>
          <w:marRight w:val="0"/>
          <w:marTop w:val="0"/>
          <w:marBottom w:val="0"/>
          <w:divBdr>
            <w:top w:val="none" w:sz="0" w:space="0" w:color="auto"/>
            <w:left w:val="none" w:sz="0" w:space="0" w:color="auto"/>
            <w:bottom w:val="none" w:sz="0" w:space="0" w:color="auto"/>
            <w:right w:val="none" w:sz="0" w:space="0" w:color="auto"/>
          </w:divBdr>
        </w:div>
      </w:divsChild>
    </w:div>
    <w:div w:id="48724176">
      <w:bodyDiv w:val="1"/>
      <w:marLeft w:val="0"/>
      <w:marRight w:val="0"/>
      <w:marTop w:val="0"/>
      <w:marBottom w:val="0"/>
      <w:divBdr>
        <w:top w:val="none" w:sz="0" w:space="0" w:color="auto"/>
        <w:left w:val="none" w:sz="0" w:space="0" w:color="auto"/>
        <w:bottom w:val="none" w:sz="0" w:space="0" w:color="auto"/>
        <w:right w:val="none" w:sz="0" w:space="0" w:color="auto"/>
      </w:divBdr>
    </w:div>
    <w:div w:id="49502477">
      <w:bodyDiv w:val="1"/>
      <w:marLeft w:val="0"/>
      <w:marRight w:val="0"/>
      <w:marTop w:val="0"/>
      <w:marBottom w:val="0"/>
      <w:divBdr>
        <w:top w:val="none" w:sz="0" w:space="0" w:color="auto"/>
        <w:left w:val="none" w:sz="0" w:space="0" w:color="auto"/>
        <w:bottom w:val="none" w:sz="0" w:space="0" w:color="auto"/>
        <w:right w:val="none" w:sz="0" w:space="0" w:color="auto"/>
      </w:divBdr>
    </w:div>
    <w:div w:id="53310216">
      <w:bodyDiv w:val="1"/>
      <w:marLeft w:val="0"/>
      <w:marRight w:val="0"/>
      <w:marTop w:val="0"/>
      <w:marBottom w:val="0"/>
      <w:divBdr>
        <w:top w:val="none" w:sz="0" w:space="0" w:color="auto"/>
        <w:left w:val="none" w:sz="0" w:space="0" w:color="auto"/>
        <w:bottom w:val="none" w:sz="0" w:space="0" w:color="auto"/>
        <w:right w:val="none" w:sz="0" w:space="0" w:color="auto"/>
      </w:divBdr>
      <w:divsChild>
        <w:div w:id="1616403773">
          <w:marLeft w:val="0"/>
          <w:marRight w:val="0"/>
          <w:marTop w:val="0"/>
          <w:marBottom w:val="0"/>
          <w:divBdr>
            <w:top w:val="none" w:sz="0" w:space="0" w:color="auto"/>
            <w:left w:val="none" w:sz="0" w:space="0" w:color="auto"/>
            <w:bottom w:val="none" w:sz="0" w:space="0" w:color="auto"/>
            <w:right w:val="none" w:sz="0" w:space="0" w:color="auto"/>
          </w:divBdr>
          <w:divsChild>
            <w:div w:id="1763527311">
              <w:marLeft w:val="0"/>
              <w:marRight w:val="0"/>
              <w:marTop w:val="0"/>
              <w:marBottom w:val="0"/>
              <w:divBdr>
                <w:top w:val="none" w:sz="0" w:space="0" w:color="auto"/>
                <w:left w:val="none" w:sz="0" w:space="0" w:color="auto"/>
                <w:bottom w:val="none" w:sz="0" w:space="0" w:color="auto"/>
                <w:right w:val="none" w:sz="0" w:space="0" w:color="auto"/>
              </w:divBdr>
              <w:divsChild>
                <w:div w:id="1896622045">
                  <w:marLeft w:val="0"/>
                  <w:marRight w:val="0"/>
                  <w:marTop w:val="0"/>
                  <w:marBottom w:val="0"/>
                  <w:divBdr>
                    <w:top w:val="none" w:sz="0" w:space="0" w:color="auto"/>
                    <w:left w:val="none" w:sz="0" w:space="0" w:color="auto"/>
                    <w:bottom w:val="none" w:sz="0" w:space="0" w:color="auto"/>
                    <w:right w:val="none" w:sz="0" w:space="0" w:color="auto"/>
                  </w:divBdr>
                  <w:divsChild>
                    <w:div w:id="1541473083">
                      <w:marLeft w:val="0"/>
                      <w:marRight w:val="0"/>
                      <w:marTop w:val="0"/>
                      <w:marBottom w:val="0"/>
                      <w:divBdr>
                        <w:top w:val="none" w:sz="0" w:space="0" w:color="auto"/>
                        <w:left w:val="none" w:sz="0" w:space="0" w:color="auto"/>
                        <w:bottom w:val="none" w:sz="0" w:space="0" w:color="auto"/>
                        <w:right w:val="none" w:sz="0" w:space="0" w:color="auto"/>
                      </w:divBdr>
                      <w:divsChild>
                        <w:div w:id="62070815">
                          <w:marLeft w:val="0"/>
                          <w:marRight w:val="0"/>
                          <w:marTop w:val="15"/>
                          <w:marBottom w:val="0"/>
                          <w:divBdr>
                            <w:top w:val="none" w:sz="0" w:space="0" w:color="auto"/>
                            <w:left w:val="none" w:sz="0" w:space="0" w:color="auto"/>
                            <w:bottom w:val="none" w:sz="0" w:space="0" w:color="auto"/>
                            <w:right w:val="none" w:sz="0" w:space="0" w:color="auto"/>
                          </w:divBdr>
                          <w:divsChild>
                            <w:div w:id="1994329236">
                              <w:marLeft w:val="0"/>
                              <w:marRight w:val="0"/>
                              <w:marTop w:val="0"/>
                              <w:marBottom w:val="0"/>
                              <w:divBdr>
                                <w:top w:val="none" w:sz="0" w:space="0" w:color="auto"/>
                                <w:left w:val="none" w:sz="0" w:space="0" w:color="auto"/>
                                <w:bottom w:val="none" w:sz="0" w:space="0" w:color="auto"/>
                                <w:right w:val="none" w:sz="0" w:space="0" w:color="auto"/>
                              </w:divBdr>
                              <w:divsChild>
                                <w:div w:id="83496637">
                                  <w:marLeft w:val="0"/>
                                  <w:marRight w:val="0"/>
                                  <w:marTop w:val="0"/>
                                  <w:marBottom w:val="0"/>
                                  <w:divBdr>
                                    <w:top w:val="none" w:sz="0" w:space="0" w:color="auto"/>
                                    <w:left w:val="none" w:sz="0" w:space="0" w:color="auto"/>
                                    <w:bottom w:val="none" w:sz="0" w:space="0" w:color="auto"/>
                                    <w:right w:val="none" w:sz="0" w:space="0" w:color="auto"/>
                                  </w:divBdr>
                                </w:div>
                                <w:div w:id="410740161">
                                  <w:marLeft w:val="0"/>
                                  <w:marRight w:val="0"/>
                                  <w:marTop w:val="0"/>
                                  <w:marBottom w:val="0"/>
                                  <w:divBdr>
                                    <w:top w:val="none" w:sz="0" w:space="0" w:color="auto"/>
                                    <w:left w:val="none" w:sz="0" w:space="0" w:color="auto"/>
                                    <w:bottom w:val="none" w:sz="0" w:space="0" w:color="auto"/>
                                    <w:right w:val="none" w:sz="0" w:space="0" w:color="auto"/>
                                  </w:divBdr>
                                </w:div>
                                <w:div w:id="1240212871">
                                  <w:marLeft w:val="0"/>
                                  <w:marRight w:val="0"/>
                                  <w:marTop w:val="0"/>
                                  <w:marBottom w:val="0"/>
                                  <w:divBdr>
                                    <w:top w:val="none" w:sz="0" w:space="0" w:color="auto"/>
                                    <w:left w:val="none" w:sz="0" w:space="0" w:color="auto"/>
                                    <w:bottom w:val="none" w:sz="0" w:space="0" w:color="auto"/>
                                    <w:right w:val="none" w:sz="0" w:space="0" w:color="auto"/>
                                  </w:divBdr>
                                </w:div>
                                <w:div w:id="132146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34597">
      <w:bodyDiv w:val="1"/>
      <w:marLeft w:val="0"/>
      <w:marRight w:val="0"/>
      <w:marTop w:val="0"/>
      <w:marBottom w:val="0"/>
      <w:divBdr>
        <w:top w:val="none" w:sz="0" w:space="0" w:color="auto"/>
        <w:left w:val="none" w:sz="0" w:space="0" w:color="auto"/>
        <w:bottom w:val="none" w:sz="0" w:space="0" w:color="auto"/>
        <w:right w:val="none" w:sz="0" w:space="0" w:color="auto"/>
      </w:divBdr>
    </w:div>
    <w:div w:id="70009251">
      <w:bodyDiv w:val="1"/>
      <w:marLeft w:val="0"/>
      <w:marRight w:val="0"/>
      <w:marTop w:val="0"/>
      <w:marBottom w:val="0"/>
      <w:divBdr>
        <w:top w:val="none" w:sz="0" w:space="0" w:color="auto"/>
        <w:left w:val="none" w:sz="0" w:space="0" w:color="auto"/>
        <w:bottom w:val="none" w:sz="0" w:space="0" w:color="auto"/>
        <w:right w:val="none" w:sz="0" w:space="0" w:color="auto"/>
      </w:divBdr>
    </w:div>
    <w:div w:id="73012465">
      <w:bodyDiv w:val="1"/>
      <w:marLeft w:val="0"/>
      <w:marRight w:val="0"/>
      <w:marTop w:val="0"/>
      <w:marBottom w:val="0"/>
      <w:divBdr>
        <w:top w:val="none" w:sz="0" w:space="0" w:color="auto"/>
        <w:left w:val="none" w:sz="0" w:space="0" w:color="auto"/>
        <w:bottom w:val="none" w:sz="0" w:space="0" w:color="auto"/>
        <w:right w:val="none" w:sz="0" w:space="0" w:color="auto"/>
      </w:divBdr>
    </w:div>
    <w:div w:id="74129101">
      <w:bodyDiv w:val="1"/>
      <w:marLeft w:val="0"/>
      <w:marRight w:val="0"/>
      <w:marTop w:val="0"/>
      <w:marBottom w:val="0"/>
      <w:divBdr>
        <w:top w:val="none" w:sz="0" w:space="0" w:color="auto"/>
        <w:left w:val="none" w:sz="0" w:space="0" w:color="auto"/>
        <w:bottom w:val="none" w:sz="0" w:space="0" w:color="auto"/>
        <w:right w:val="none" w:sz="0" w:space="0" w:color="auto"/>
      </w:divBdr>
    </w:div>
    <w:div w:id="74785930">
      <w:bodyDiv w:val="1"/>
      <w:marLeft w:val="0"/>
      <w:marRight w:val="0"/>
      <w:marTop w:val="0"/>
      <w:marBottom w:val="0"/>
      <w:divBdr>
        <w:top w:val="none" w:sz="0" w:space="0" w:color="auto"/>
        <w:left w:val="none" w:sz="0" w:space="0" w:color="auto"/>
        <w:bottom w:val="none" w:sz="0" w:space="0" w:color="auto"/>
        <w:right w:val="none" w:sz="0" w:space="0" w:color="auto"/>
      </w:divBdr>
    </w:div>
    <w:div w:id="76828557">
      <w:bodyDiv w:val="1"/>
      <w:marLeft w:val="0"/>
      <w:marRight w:val="0"/>
      <w:marTop w:val="0"/>
      <w:marBottom w:val="0"/>
      <w:divBdr>
        <w:top w:val="none" w:sz="0" w:space="0" w:color="auto"/>
        <w:left w:val="none" w:sz="0" w:space="0" w:color="auto"/>
        <w:bottom w:val="none" w:sz="0" w:space="0" w:color="auto"/>
        <w:right w:val="none" w:sz="0" w:space="0" w:color="auto"/>
      </w:divBdr>
    </w:div>
    <w:div w:id="84347332">
      <w:bodyDiv w:val="1"/>
      <w:marLeft w:val="0"/>
      <w:marRight w:val="0"/>
      <w:marTop w:val="0"/>
      <w:marBottom w:val="0"/>
      <w:divBdr>
        <w:top w:val="none" w:sz="0" w:space="0" w:color="auto"/>
        <w:left w:val="none" w:sz="0" w:space="0" w:color="auto"/>
        <w:bottom w:val="none" w:sz="0" w:space="0" w:color="auto"/>
        <w:right w:val="none" w:sz="0" w:space="0" w:color="auto"/>
      </w:divBdr>
    </w:div>
    <w:div w:id="84691564">
      <w:bodyDiv w:val="1"/>
      <w:marLeft w:val="0"/>
      <w:marRight w:val="0"/>
      <w:marTop w:val="0"/>
      <w:marBottom w:val="0"/>
      <w:divBdr>
        <w:top w:val="none" w:sz="0" w:space="0" w:color="auto"/>
        <w:left w:val="none" w:sz="0" w:space="0" w:color="auto"/>
        <w:bottom w:val="none" w:sz="0" w:space="0" w:color="auto"/>
        <w:right w:val="none" w:sz="0" w:space="0" w:color="auto"/>
      </w:divBdr>
    </w:div>
    <w:div w:id="86926659">
      <w:bodyDiv w:val="1"/>
      <w:marLeft w:val="0"/>
      <w:marRight w:val="0"/>
      <w:marTop w:val="0"/>
      <w:marBottom w:val="0"/>
      <w:divBdr>
        <w:top w:val="none" w:sz="0" w:space="0" w:color="auto"/>
        <w:left w:val="none" w:sz="0" w:space="0" w:color="auto"/>
        <w:bottom w:val="none" w:sz="0" w:space="0" w:color="auto"/>
        <w:right w:val="none" w:sz="0" w:space="0" w:color="auto"/>
      </w:divBdr>
    </w:div>
    <w:div w:id="90125274">
      <w:bodyDiv w:val="1"/>
      <w:marLeft w:val="0"/>
      <w:marRight w:val="0"/>
      <w:marTop w:val="0"/>
      <w:marBottom w:val="0"/>
      <w:divBdr>
        <w:top w:val="none" w:sz="0" w:space="0" w:color="auto"/>
        <w:left w:val="none" w:sz="0" w:space="0" w:color="auto"/>
        <w:bottom w:val="none" w:sz="0" w:space="0" w:color="auto"/>
        <w:right w:val="none" w:sz="0" w:space="0" w:color="auto"/>
      </w:divBdr>
    </w:div>
    <w:div w:id="93717463">
      <w:bodyDiv w:val="1"/>
      <w:marLeft w:val="0"/>
      <w:marRight w:val="0"/>
      <w:marTop w:val="0"/>
      <w:marBottom w:val="0"/>
      <w:divBdr>
        <w:top w:val="none" w:sz="0" w:space="0" w:color="auto"/>
        <w:left w:val="none" w:sz="0" w:space="0" w:color="auto"/>
        <w:bottom w:val="none" w:sz="0" w:space="0" w:color="auto"/>
        <w:right w:val="none" w:sz="0" w:space="0" w:color="auto"/>
      </w:divBdr>
    </w:div>
    <w:div w:id="94518449">
      <w:bodyDiv w:val="1"/>
      <w:marLeft w:val="0"/>
      <w:marRight w:val="0"/>
      <w:marTop w:val="0"/>
      <w:marBottom w:val="0"/>
      <w:divBdr>
        <w:top w:val="none" w:sz="0" w:space="0" w:color="auto"/>
        <w:left w:val="none" w:sz="0" w:space="0" w:color="auto"/>
        <w:bottom w:val="none" w:sz="0" w:space="0" w:color="auto"/>
        <w:right w:val="none" w:sz="0" w:space="0" w:color="auto"/>
      </w:divBdr>
    </w:div>
    <w:div w:id="104859627">
      <w:bodyDiv w:val="1"/>
      <w:marLeft w:val="0"/>
      <w:marRight w:val="0"/>
      <w:marTop w:val="0"/>
      <w:marBottom w:val="0"/>
      <w:divBdr>
        <w:top w:val="none" w:sz="0" w:space="0" w:color="auto"/>
        <w:left w:val="none" w:sz="0" w:space="0" w:color="auto"/>
        <w:bottom w:val="none" w:sz="0" w:space="0" w:color="auto"/>
        <w:right w:val="none" w:sz="0" w:space="0" w:color="auto"/>
      </w:divBdr>
    </w:div>
    <w:div w:id="107437242">
      <w:bodyDiv w:val="1"/>
      <w:marLeft w:val="0"/>
      <w:marRight w:val="0"/>
      <w:marTop w:val="0"/>
      <w:marBottom w:val="0"/>
      <w:divBdr>
        <w:top w:val="none" w:sz="0" w:space="0" w:color="auto"/>
        <w:left w:val="none" w:sz="0" w:space="0" w:color="auto"/>
        <w:bottom w:val="none" w:sz="0" w:space="0" w:color="auto"/>
        <w:right w:val="none" w:sz="0" w:space="0" w:color="auto"/>
      </w:divBdr>
    </w:div>
    <w:div w:id="117602031">
      <w:bodyDiv w:val="1"/>
      <w:marLeft w:val="0"/>
      <w:marRight w:val="0"/>
      <w:marTop w:val="0"/>
      <w:marBottom w:val="0"/>
      <w:divBdr>
        <w:top w:val="none" w:sz="0" w:space="0" w:color="auto"/>
        <w:left w:val="none" w:sz="0" w:space="0" w:color="auto"/>
        <w:bottom w:val="none" w:sz="0" w:space="0" w:color="auto"/>
        <w:right w:val="none" w:sz="0" w:space="0" w:color="auto"/>
      </w:divBdr>
    </w:div>
    <w:div w:id="123276194">
      <w:bodyDiv w:val="1"/>
      <w:marLeft w:val="0"/>
      <w:marRight w:val="0"/>
      <w:marTop w:val="0"/>
      <w:marBottom w:val="0"/>
      <w:divBdr>
        <w:top w:val="none" w:sz="0" w:space="0" w:color="auto"/>
        <w:left w:val="none" w:sz="0" w:space="0" w:color="auto"/>
        <w:bottom w:val="none" w:sz="0" w:space="0" w:color="auto"/>
        <w:right w:val="none" w:sz="0" w:space="0" w:color="auto"/>
      </w:divBdr>
    </w:div>
    <w:div w:id="125587501">
      <w:bodyDiv w:val="1"/>
      <w:marLeft w:val="0"/>
      <w:marRight w:val="0"/>
      <w:marTop w:val="0"/>
      <w:marBottom w:val="0"/>
      <w:divBdr>
        <w:top w:val="none" w:sz="0" w:space="0" w:color="auto"/>
        <w:left w:val="none" w:sz="0" w:space="0" w:color="auto"/>
        <w:bottom w:val="none" w:sz="0" w:space="0" w:color="auto"/>
        <w:right w:val="none" w:sz="0" w:space="0" w:color="auto"/>
      </w:divBdr>
    </w:div>
    <w:div w:id="134110856">
      <w:bodyDiv w:val="1"/>
      <w:marLeft w:val="0"/>
      <w:marRight w:val="0"/>
      <w:marTop w:val="0"/>
      <w:marBottom w:val="0"/>
      <w:divBdr>
        <w:top w:val="none" w:sz="0" w:space="0" w:color="auto"/>
        <w:left w:val="none" w:sz="0" w:space="0" w:color="auto"/>
        <w:bottom w:val="none" w:sz="0" w:space="0" w:color="auto"/>
        <w:right w:val="none" w:sz="0" w:space="0" w:color="auto"/>
      </w:divBdr>
    </w:div>
    <w:div w:id="140582558">
      <w:bodyDiv w:val="1"/>
      <w:marLeft w:val="0"/>
      <w:marRight w:val="0"/>
      <w:marTop w:val="0"/>
      <w:marBottom w:val="0"/>
      <w:divBdr>
        <w:top w:val="none" w:sz="0" w:space="0" w:color="auto"/>
        <w:left w:val="none" w:sz="0" w:space="0" w:color="auto"/>
        <w:bottom w:val="none" w:sz="0" w:space="0" w:color="auto"/>
        <w:right w:val="none" w:sz="0" w:space="0" w:color="auto"/>
      </w:divBdr>
    </w:div>
    <w:div w:id="142702731">
      <w:bodyDiv w:val="1"/>
      <w:marLeft w:val="0"/>
      <w:marRight w:val="0"/>
      <w:marTop w:val="0"/>
      <w:marBottom w:val="0"/>
      <w:divBdr>
        <w:top w:val="none" w:sz="0" w:space="0" w:color="auto"/>
        <w:left w:val="none" w:sz="0" w:space="0" w:color="auto"/>
        <w:bottom w:val="none" w:sz="0" w:space="0" w:color="auto"/>
        <w:right w:val="none" w:sz="0" w:space="0" w:color="auto"/>
      </w:divBdr>
    </w:div>
    <w:div w:id="147980497">
      <w:bodyDiv w:val="1"/>
      <w:marLeft w:val="0"/>
      <w:marRight w:val="0"/>
      <w:marTop w:val="0"/>
      <w:marBottom w:val="0"/>
      <w:divBdr>
        <w:top w:val="none" w:sz="0" w:space="0" w:color="auto"/>
        <w:left w:val="none" w:sz="0" w:space="0" w:color="auto"/>
        <w:bottom w:val="none" w:sz="0" w:space="0" w:color="auto"/>
        <w:right w:val="none" w:sz="0" w:space="0" w:color="auto"/>
      </w:divBdr>
    </w:div>
    <w:div w:id="151217675">
      <w:bodyDiv w:val="1"/>
      <w:marLeft w:val="0"/>
      <w:marRight w:val="0"/>
      <w:marTop w:val="0"/>
      <w:marBottom w:val="0"/>
      <w:divBdr>
        <w:top w:val="none" w:sz="0" w:space="0" w:color="auto"/>
        <w:left w:val="none" w:sz="0" w:space="0" w:color="auto"/>
        <w:bottom w:val="none" w:sz="0" w:space="0" w:color="auto"/>
        <w:right w:val="none" w:sz="0" w:space="0" w:color="auto"/>
      </w:divBdr>
    </w:div>
    <w:div w:id="154611492">
      <w:bodyDiv w:val="1"/>
      <w:marLeft w:val="0"/>
      <w:marRight w:val="0"/>
      <w:marTop w:val="0"/>
      <w:marBottom w:val="0"/>
      <w:divBdr>
        <w:top w:val="none" w:sz="0" w:space="0" w:color="auto"/>
        <w:left w:val="none" w:sz="0" w:space="0" w:color="auto"/>
        <w:bottom w:val="none" w:sz="0" w:space="0" w:color="auto"/>
        <w:right w:val="none" w:sz="0" w:space="0" w:color="auto"/>
      </w:divBdr>
    </w:div>
    <w:div w:id="159008101">
      <w:bodyDiv w:val="1"/>
      <w:marLeft w:val="0"/>
      <w:marRight w:val="0"/>
      <w:marTop w:val="0"/>
      <w:marBottom w:val="0"/>
      <w:divBdr>
        <w:top w:val="none" w:sz="0" w:space="0" w:color="auto"/>
        <w:left w:val="none" w:sz="0" w:space="0" w:color="auto"/>
        <w:bottom w:val="none" w:sz="0" w:space="0" w:color="auto"/>
        <w:right w:val="none" w:sz="0" w:space="0" w:color="auto"/>
      </w:divBdr>
    </w:div>
    <w:div w:id="166210462">
      <w:bodyDiv w:val="1"/>
      <w:marLeft w:val="0"/>
      <w:marRight w:val="0"/>
      <w:marTop w:val="0"/>
      <w:marBottom w:val="0"/>
      <w:divBdr>
        <w:top w:val="none" w:sz="0" w:space="0" w:color="auto"/>
        <w:left w:val="none" w:sz="0" w:space="0" w:color="auto"/>
        <w:bottom w:val="none" w:sz="0" w:space="0" w:color="auto"/>
        <w:right w:val="none" w:sz="0" w:space="0" w:color="auto"/>
      </w:divBdr>
    </w:div>
    <w:div w:id="171457509">
      <w:bodyDiv w:val="1"/>
      <w:marLeft w:val="0"/>
      <w:marRight w:val="0"/>
      <w:marTop w:val="0"/>
      <w:marBottom w:val="0"/>
      <w:divBdr>
        <w:top w:val="none" w:sz="0" w:space="0" w:color="auto"/>
        <w:left w:val="none" w:sz="0" w:space="0" w:color="auto"/>
        <w:bottom w:val="none" w:sz="0" w:space="0" w:color="auto"/>
        <w:right w:val="none" w:sz="0" w:space="0" w:color="auto"/>
      </w:divBdr>
    </w:div>
    <w:div w:id="177427092">
      <w:bodyDiv w:val="1"/>
      <w:marLeft w:val="0"/>
      <w:marRight w:val="0"/>
      <w:marTop w:val="0"/>
      <w:marBottom w:val="0"/>
      <w:divBdr>
        <w:top w:val="none" w:sz="0" w:space="0" w:color="auto"/>
        <w:left w:val="none" w:sz="0" w:space="0" w:color="auto"/>
        <w:bottom w:val="none" w:sz="0" w:space="0" w:color="auto"/>
        <w:right w:val="none" w:sz="0" w:space="0" w:color="auto"/>
      </w:divBdr>
    </w:div>
    <w:div w:id="178617711">
      <w:bodyDiv w:val="1"/>
      <w:marLeft w:val="0"/>
      <w:marRight w:val="0"/>
      <w:marTop w:val="0"/>
      <w:marBottom w:val="0"/>
      <w:divBdr>
        <w:top w:val="none" w:sz="0" w:space="0" w:color="auto"/>
        <w:left w:val="none" w:sz="0" w:space="0" w:color="auto"/>
        <w:bottom w:val="none" w:sz="0" w:space="0" w:color="auto"/>
        <w:right w:val="none" w:sz="0" w:space="0" w:color="auto"/>
      </w:divBdr>
    </w:div>
    <w:div w:id="180552942">
      <w:bodyDiv w:val="1"/>
      <w:marLeft w:val="0"/>
      <w:marRight w:val="0"/>
      <w:marTop w:val="0"/>
      <w:marBottom w:val="0"/>
      <w:divBdr>
        <w:top w:val="none" w:sz="0" w:space="0" w:color="auto"/>
        <w:left w:val="none" w:sz="0" w:space="0" w:color="auto"/>
        <w:bottom w:val="none" w:sz="0" w:space="0" w:color="auto"/>
        <w:right w:val="none" w:sz="0" w:space="0" w:color="auto"/>
      </w:divBdr>
    </w:div>
    <w:div w:id="185951105">
      <w:bodyDiv w:val="1"/>
      <w:marLeft w:val="0"/>
      <w:marRight w:val="0"/>
      <w:marTop w:val="0"/>
      <w:marBottom w:val="0"/>
      <w:divBdr>
        <w:top w:val="none" w:sz="0" w:space="0" w:color="auto"/>
        <w:left w:val="none" w:sz="0" w:space="0" w:color="auto"/>
        <w:bottom w:val="none" w:sz="0" w:space="0" w:color="auto"/>
        <w:right w:val="none" w:sz="0" w:space="0" w:color="auto"/>
      </w:divBdr>
    </w:div>
    <w:div w:id="189884160">
      <w:bodyDiv w:val="1"/>
      <w:marLeft w:val="0"/>
      <w:marRight w:val="0"/>
      <w:marTop w:val="0"/>
      <w:marBottom w:val="0"/>
      <w:divBdr>
        <w:top w:val="none" w:sz="0" w:space="0" w:color="auto"/>
        <w:left w:val="none" w:sz="0" w:space="0" w:color="auto"/>
        <w:bottom w:val="none" w:sz="0" w:space="0" w:color="auto"/>
        <w:right w:val="none" w:sz="0" w:space="0" w:color="auto"/>
      </w:divBdr>
    </w:div>
    <w:div w:id="195460588">
      <w:bodyDiv w:val="1"/>
      <w:marLeft w:val="0"/>
      <w:marRight w:val="0"/>
      <w:marTop w:val="0"/>
      <w:marBottom w:val="0"/>
      <w:divBdr>
        <w:top w:val="none" w:sz="0" w:space="0" w:color="auto"/>
        <w:left w:val="none" w:sz="0" w:space="0" w:color="auto"/>
        <w:bottom w:val="none" w:sz="0" w:space="0" w:color="auto"/>
        <w:right w:val="none" w:sz="0" w:space="0" w:color="auto"/>
      </w:divBdr>
    </w:div>
    <w:div w:id="200168722">
      <w:bodyDiv w:val="1"/>
      <w:marLeft w:val="0"/>
      <w:marRight w:val="0"/>
      <w:marTop w:val="0"/>
      <w:marBottom w:val="0"/>
      <w:divBdr>
        <w:top w:val="none" w:sz="0" w:space="0" w:color="auto"/>
        <w:left w:val="none" w:sz="0" w:space="0" w:color="auto"/>
        <w:bottom w:val="none" w:sz="0" w:space="0" w:color="auto"/>
        <w:right w:val="none" w:sz="0" w:space="0" w:color="auto"/>
      </w:divBdr>
    </w:div>
    <w:div w:id="206644411">
      <w:bodyDiv w:val="1"/>
      <w:marLeft w:val="0"/>
      <w:marRight w:val="0"/>
      <w:marTop w:val="0"/>
      <w:marBottom w:val="0"/>
      <w:divBdr>
        <w:top w:val="none" w:sz="0" w:space="0" w:color="auto"/>
        <w:left w:val="none" w:sz="0" w:space="0" w:color="auto"/>
        <w:bottom w:val="none" w:sz="0" w:space="0" w:color="auto"/>
        <w:right w:val="none" w:sz="0" w:space="0" w:color="auto"/>
      </w:divBdr>
    </w:div>
    <w:div w:id="208617610">
      <w:bodyDiv w:val="1"/>
      <w:marLeft w:val="0"/>
      <w:marRight w:val="0"/>
      <w:marTop w:val="0"/>
      <w:marBottom w:val="0"/>
      <w:divBdr>
        <w:top w:val="none" w:sz="0" w:space="0" w:color="auto"/>
        <w:left w:val="none" w:sz="0" w:space="0" w:color="auto"/>
        <w:bottom w:val="none" w:sz="0" w:space="0" w:color="auto"/>
        <w:right w:val="none" w:sz="0" w:space="0" w:color="auto"/>
      </w:divBdr>
    </w:div>
    <w:div w:id="215360693">
      <w:bodyDiv w:val="1"/>
      <w:marLeft w:val="0"/>
      <w:marRight w:val="0"/>
      <w:marTop w:val="0"/>
      <w:marBottom w:val="0"/>
      <w:divBdr>
        <w:top w:val="none" w:sz="0" w:space="0" w:color="auto"/>
        <w:left w:val="none" w:sz="0" w:space="0" w:color="auto"/>
        <w:bottom w:val="none" w:sz="0" w:space="0" w:color="auto"/>
        <w:right w:val="none" w:sz="0" w:space="0" w:color="auto"/>
      </w:divBdr>
    </w:div>
    <w:div w:id="216671328">
      <w:bodyDiv w:val="1"/>
      <w:marLeft w:val="0"/>
      <w:marRight w:val="0"/>
      <w:marTop w:val="0"/>
      <w:marBottom w:val="0"/>
      <w:divBdr>
        <w:top w:val="none" w:sz="0" w:space="0" w:color="auto"/>
        <w:left w:val="none" w:sz="0" w:space="0" w:color="auto"/>
        <w:bottom w:val="none" w:sz="0" w:space="0" w:color="auto"/>
        <w:right w:val="none" w:sz="0" w:space="0" w:color="auto"/>
      </w:divBdr>
    </w:div>
    <w:div w:id="218057811">
      <w:bodyDiv w:val="1"/>
      <w:marLeft w:val="0"/>
      <w:marRight w:val="0"/>
      <w:marTop w:val="0"/>
      <w:marBottom w:val="0"/>
      <w:divBdr>
        <w:top w:val="none" w:sz="0" w:space="0" w:color="auto"/>
        <w:left w:val="none" w:sz="0" w:space="0" w:color="auto"/>
        <w:bottom w:val="none" w:sz="0" w:space="0" w:color="auto"/>
        <w:right w:val="none" w:sz="0" w:space="0" w:color="auto"/>
      </w:divBdr>
    </w:div>
    <w:div w:id="221865912">
      <w:bodyDiv w:val="1"/>
      <w:marLeft w:val="0"/>
      <w:marRight w:val="0"/>
      <w:marTop w:val="0"/>
      <w:marBottom w:val="0"/>
      <w:divBdr>
        <w:top w:val="none" w:sz="0" w:space="0" w:color="auto"/>
        <w:left w:val="none" w:sz="0" w:space="0" w:color="auto"/>
        <w:bottom w:val="none" w:sz="0" w:space="0" w:color="auto"/>
        <w:right w:val="none" w:sz="0" w:space="0" w:color="auto"/>
      </w:divBdr>
    </w:div>
    <w:div w:id="227234018">
      <w:bodyDiv w:val="1"/>
      <w:marLeft w:val="0"/>
      <w:marRight w:val="0"/>
      <w:marTop w:val="0"/>
      <w:marBottom w:val="0"/>
      <w:divBdr>
        <w:top w:val="none" w:sz="0" w:space="0" w:color="auto"/>
        <w:left w:val="none" w:sz="0" w:space="0" w:color="auto"/>
        <w:bottom w:val="none" w:sz="0" w:space="0" w:color="auto"/>
        <w:right w:val="none" w:sz="0" w:space="0" w:color="auto"/>
      </w:divBdr>
    </w:div>
    <w:div w:id="237710327">
      <w:bodyDiv w:val="1"/>
      <w:marLeft w:val="0"/>
      <w:marRight w:val="0"/>
      <w:marTop w:val="0"/>
      <w:marBottom w:val="0"/>
      <w:divBdr>
        <w:top w:val="none" w:sz="0" w:space="0" w:color="auto"/>
        <w:left w:val="none" w:sz="0" w:space="0" w:color="auto"/>
        <w:bottom w:val="none" w:sz="0" w:space="0" w:color="auto"/>
        <w:right w:val="none" w:sz="0" w:space="0" w:color="auto"/>
      </w:divBdr>
    </w:div>
    <w:div w:id="244725239">
      <w:bodyDiv w:val="1"/>
      <w:marLeft w:val="0"/>
      <w:marRight w:val="0"/>
      <w:marTop w:val="0"/>
      <w:marBottom w:val="0"/>
      <w:divBdr>
        <w:top w:val="none" w:sz="0" w:space="0" w:color="auto"/>
        <w:left w:val="none" w:sz="0" w:space="0" w:color="auto"/>
        <w:bottom w:val="none" w:sz="0" w:space="0" w:color="auto"/>
        <w:right w:val="none" w:sz="0" w:space="0" w:color="auto"/>
      </w:divBdr>
    </w:div>
    <w:div w:id="249703379">
      <w:bodyDiv w:val="1"/>
      <w:marLeft w:val="0"/>
      <w:marRight w:val="0"/>
      <w:marTop w:val="0"/>
      <w:marBottom w:val="0"/>
      <w:divBdr>
        <w:top w:val="none" w:sz="0" w:space="0" w:color="auto"/>
        <w:left w:val="none" w:sz="0" w:space="0" w:color="auto"/>
        <w:bottom w:val="none" w:sz="0" w:space="0" w:color="auto"/>
        <w:right w:val="none" w:sz="0" w:space="0" w:color="auto"/>
      </w:divBdr>
    </w:div>
    <w:div w:id="252515691">
      <w:bodyDiv w:val="1"/>
      <w:marLeft w:val="0"/>
      <w:marRight w:val="0"/>
      <w:marTop w:val="0"/>
      <w:marBottom w:val="0"/>
      <w:divBdr>
        <w:top w:val="none" w:sz="0" w:space="0" w:color="auto"/>
        <w:left w:val="none" w:sz="0" w:space="0" w:color="auto"/>
        <w:bottom w:val="none" w:sz="0" w:space="0" w:color="auto"/>
        <w:right w:val="none" w:sz="0" w:space="0" w:color="auto"/>
      </w:divBdr>
    </w:div>
    <w:div w:id="253440282">
      <w:bodyDiv w:val="1"/>
      <w:marLeft w:val="0"/>
      <w:marRight w:val="0"/>
      <w:marTop w:val="0"/>
      <w:marBottom w:val="0"/>
      <w:divBdr>
        <w:top w:val="none" w:sz="0" w:space="0" w:color="auto"/>
        <w:left w:val="none" w:sz="0" w:space="0" w:color="auto"/>
        <w:bottom w:val="none" w:sz="0" w:space="0" w:color="auto"/>
        <w:right w:val="none" w:sz="0" w:space="0" w:color="auto"/>
      </w:divBdr>
    </w:div>
    <w:div w:id="256790950">
      <w:bodyDiv w:val="1"/>
      <w:marLeft w:val="0"/>
      <w:marRight w:val="0"/>
      <w:marTop w:val="0"/>
      <w:marBottom w:val="0"/>
      <w:divBdr>
        <w:top w:val="none" w:sz="0" w:space="0" w:color="auto"/>
        <w:left w:val="none" w:sz="0" w:space="0" w:color="auto"/>
        <w:bottom w:val="none" w:sz="0" w:space="0" w:color="auto"/>
        <w:right w:val="none" w:sz="0" w:space="0" w:color="auto"/>
      </w:divBdr>
    </w:div>
    <w:div w:id="257298099">
      <w:bodyDiv w:val="1"/>
      <w:marLeft w:val="0"/>
      <w:marRight w:val="0"/>
      <w:marTop w:val="0"/>
      <w:marBottom w:val="0"/>
      <w:divBdr>
        <w:top w:val="none" w:sz="0" w:space="0" w:color="auto"/>
        <w:left w:val="none" w:sz="0" w:space="0" w:color="auto"/>
        <w:bottom w:val="none" w:sz="0" w:space="0" w:color="auto"/>
        <w:right w:val="none" w:sz="0" w:space="0" w:color="auto"/>
      </w:divBdr>
    </w:div>
    <w:div w:id="258679792">
      <w:bodyDiv w:val="1"/>
      <w:marLeft w:val="0"/>
      <w:marRight w:val="0"/>
      <w:marTop w:val="0"/>
      <w:marBottom w:val="0"/>
      <w:divBdr>
        <w:top w:val="none" w:sz="0" w:space="0" w:color="auto"/>
        <w:left w:val="none" w:sz="0" w:space="0" w:color="auto"/>
        <w:bottom w:val="none" w:sz="0" w:space="0" w:color="auto"/>
        <w:right w:val="none" w:sz="0" w:space="0" w:color="auto"/>
      </w:divBdr>
    </w:div>
    <w:div w:id="262491409">
      <w:bodyDiv w:val="1"/>
      <w:marLeft w:val="0"/>
      <w:marRight w:val="0"/>
      <w:marTop w:val="0"/>
      <w:marBottom w:val="0"/>
      <w:divBdr>
        <w:top w:val="none" w:sz="0" w:space="0" w:color="auto"/>
        <w:left w:val="none" w:sz="0" w:space="0" w:color="auto"/>
        <w:bottom w:val="none" w:sz="0" w:space="0" w:color="auto"/>
        <w:right w:val="none" w:sz="0" w:space="0" w:color="auto"/>
      </w:divBdr>
    </w:div>
    <w:div w:id="266935412">
      <w:bodyDiv w:val="1"/>
      <w:marLeft w:val="0"/>
      <w:marRight w:val="0"/>
      <w:marTop w:val="0"/>
      <w:marBottom w:val="0"/>
      <w:divBdr>
        <w:top w:val="none" w:sz="0" w:space="0" w:color="auto"/>
        <w:left w:val="none" w:sz="0" w:space="0" w:color="auto"/>
        <w:bottom w:val="none" w:sz="0" w:space="0" w:color="auto"/>
        <w:right w:val="none" w:sz="0" w:space="0" w:color="auto"/>
      </w:divBdr>
    </w:div>
    <w:div w:id="273826153">
      <w:bodyDiv w:val="1"/>
      <w:marLeft w:val="0"/>
      <w:marRight w:val="0"/>
      <w:marTop w:val="0"/>
      <w:marBottom w:val="0"/>
      <w:divBdr>
        <w:top w:val="none" w:sz="0" w:space="0" w:color="auto"/>
        <w:left w:val="none" w:sz="0" w:space="0" w:color="auto"/>
        <w:bottom w:val="none" w:sz="0" w:space="0" w:color="auto"/>
        <w:right w:val="none" w:sz="0" w:space="0" w:color="auto"/>
      </w:divBdr>
    </w:div>
    <w:div w:id="279578791">
      <w:bodyDiv w:val="1"/>
      <w:marLeft w:val="0"/>
      <w:marRight w:val="0"/>
      <w:marTop w:val="0"/>
      <w:marBottom w:val="0"/>
      <w:divBdr>
        <w:top w:val="none" w:sz="0" w:space="0" w:color="auto"/>
        <w:left w:val="none" w:sz="0" w:space="0" w:color="auto"/>
        <w:bottom w:val="none" w:sz="0" w:space="0" w:color="auto"/>
        <w:right w:val="none" w:sz="0" w:space="0" w:color="auto"/>
      </w:divBdr>
    </w:div>
    <w:div w:id="282157982">
      <w:bodyDiv w:val="1"/>
      <w:marLeft w:val="0"/>
      <w:marRight w:val="0"/>
      <w:marTop w:val="0"/>
      <w:marBottom w:val="0"/>
      <w:divBdr>
        <w:top w:val="none" w:sz="0" w:space="0" w:color="auto"/>
        <w:left w:val="none" w:sz="0" w:space="0" w:color="auto"/>
        <w:bottom w:val="none" w:sz="0" w:space="0" w:color="auto"/>
        <w:right w:val="none" w:sz="0" w:space="0" w:color="auto"/>
      </w:divBdr>
    </w:div>
    <w:div w:id="292953945">
      <w:bodyDiv w:val="1"/>
      <w:marLeft w:val="0"/>
      <w:marRight w:val="0"/>
      <w:marTop w:val="0"/>
      <w:marBottom w:val="0"/>
      <w:divBdr>
        <w:top w:val="none" w:sz="0" w:space="0" w:color="auto"/>
        <w:left w:val="none" w:sz="0" w:space="0" w:color="auto"/>
        <w:bottom w:val="none" w:sz="0" w:space="0" w:color="auto"/>
        <w:right w:val="none" w:sz="0" w:space="0" w:color="auto"/>
      </w:divBdr>
    </w:div>
    <w:div w:id="302976784">
      <w:bodyDiv w:val="1"/>
      <w:marLeft w:val="0"/>
      <w:marRight w:val="0"/>
      <w:marTop w:val="0"/>
      <w:marBottom w:val="0"/>
      <w:divBdr>
        <w:top w:val="none" w:sz="0" w:space="0" w:color="auto"/>
        <w:left w:val="none" w:sz="0" w:space="0" w:color="auto"/>
        <w:bottom w:val="none" w:sz="0" w:space="0" w:color="auto"/>
        <w:right w:val="none" w:sz="0" w:space="0" w:color="auto"/>
      </w:divBdr>
    </w:div>
    <w:div w:id="306593414">
      <w:bodyDiv w:val="1"/>
      <w:marLeft w:val="0"/>
      <w:marRight w:val="0"/>
      <w:marTop w:val="0"/>
      <w:marBottom w:val="0"/>
      <w:divBdr>
        <w:top w:val="none" w:sz="0" w:space="0" w:color="auto"/>
        <w:left w:val="none" w:sz="0" w:space="0" w:color="auto"/>
        <w:bottom w:val="none" w:sz="0" w:space="0" w:color="auto"/>
        <w:right w:val="none" w:sz="0" w:space="0" w:color="auto"/>
      </w:divBdr>
    </w:div>
    <w:div w:id="311105479">
      <w:bodyDiv w:val="1"/>
      <w:marLeft w:val="0"/>
      <w:marRight w:val="0"/>
      <w:marTop w:val="0"/>
      <w:marBottom w:val="0"/>
      <w:divBdr>
        <w:top w:val="none" w:sz="0" w:space="0" w:color="auto"/>
        <w:left w:val="none" w:sz="0" w:space="0" w:color="auto"/>
        <w:bottom w:val="none" w:sz="0" w:space="0" w:color="auto"/>
        <w:right w:val="none" w:sz="0" w:space="0" w:color="auto"/>
      </w:divBdr>
    </w:div>
    <w:div w:id="313684999">
      <w:bodyDiv w:val="1"/>
      <w:marLeft w:val="0"/>
      <w:marRight w:val="0"/>
      <w:marTop w:val="0"/>
      <w:marBottom w:val="0"/>
      <w:divBdr>
        <w:top w:val="none" w:sz="0" w:space="0" w:color="auto"/>
        <w:left w:val="none" w:sz="0" w:space="0" w:color="auto"/>
        <w:bottom w:val="none" w:sz="0" w:space="0" w:color="auto"/>
        <w:right w:val="none" w:sz="0" w:space="0" w:color="auto"/>
      </w:divBdr>
    </w:div>
    <w:div w:id="313803897">
      <w:bodyDiv w:val="1"/>
      <w:marLeft w:val="0"/>
      <w:marRight w:val="0"/>
      <w:marTop w:val="0"/>
      <w:marBottom w:val="0"/>
      <w:divBdr>
        <w:top w:val="none" w:sz="0" w:space="0" w:color="auto"/>
        <w:left w:val="none" w:sz="0" w:space="0" w:color="auto"/>
        <w:bottom w:val="none" w:sz="0" w:space="0" w:color="auto"/>
        <w:right w:val="none" w:sz="0" w:space="0" w:color="auto"/>
      </w:divBdr>
    </w:div>
    <w:div w:id="337268182">
      <w:bodyDiv w:val="1"/>
      <w:marLeft w:val="0"/>
      <w:marRight w:val="0"/>
      <w:marTop w:val="0"/>
      <w:marBottom w:val="0"/>
      <w:divBdr>
        <w:top w:val="none" w:sz="0" w:space="0" w:color="auto"/>
        <w:left w:val="none" w:sz="0" w:space="0" w:color="auto"/>
        <w:bottom w:val="none" w:sz="0" w:space="0" w:color="auto"/>
        <w:right w:val="none" w:sz="0" w:space="0" w:color="auto"/>
      </w:divBdr>
    </w:div>
    <w:div w:id="337272359">
      <w:bodyDiv w:val="1"/>
      <w:marLeft w:val="0"/>
      <w:marRight w:val="0"/>
      <w:marTop w:val="0"/>
      <w:marBottom w:val="0"/>
      <w:divBdr>
        <w:top w:val="none" w:sz="0" w:space="0" w:color="auto"/>
        <w:left w:val="none" w:sz="0" w:space="0" w:color="auto"/>
        <w:bottom w:val="none" w:sz="0" w:space="0" w:color="auto"/>
        <w:right w:val="none" w:sz="0" w:space="0" w:color="auto"/>
      </w:divBdr>
    </w:div>
    <w:div w:id="341199113">
      <w:bodyDiv w:val="1"/>
      <w:marLeft w:val="0"/>
      <w:marRight w:val="0"/>
      <w:marTop w:val="0"/>
      <w:marBottom w:val="0"/>
      <w:divBdr>
        <w:top w:val="none" w:sz="0" w:space="0" w:color="auto"/>
        <w:left w:val="none" w:sz="0" w:space="0" w:color="auto"/>
        <w:bottom w:val="none" w:sz="0" w:space="0" w:color="auto"/>
        <w:right w:val="none" w:sz="0" w:space="0" w:color="auto"/>
      </w:divBdr>
    </w:div>
    <w:div w:id="342434768">
      <w:bodyDiv w:val="1"/>
      <w:marLeft w:val="0"/>
      <w:marRight w:val="0"/>
      <w:marTop w:val="0"/>
      <w:marBottom w:val="0"/>
      <w:divBdr>
        <w:top w:val="none" w:sz="0" w:space="0" w:color="auto"/>
        <w:left w:val="none" w:sz="0" w:space="0" w:color="auto"/>
        <w:bottom w:val="none" w:sz="0" w:space="0" w:color="auto"/>
        <w:right w:val="none" w:sz="0" w:space="0" w:color="auto"/>
      </w:divBdr>
    </w:div>
    <w:div w:id="345444352">
      <w:bodyDiv w:val="1"/>
      <w:marLeft w:val="0"/>
      <w:marRight w:val="0"/>
      <w:marTop w:val="0"/>
      <w:marBottom w:val="0"/>
      <w:divBdr>
        <w:top w:val="none" w:sz="0" w:space="0" w:color="auto"/>
        <w:left w:val="none" w:sz="0" w:space="0" w:color="auto"/>
        <w:bottom w:val="none" w:sz="0" w:space="0" w:color="auto"/>
        <w:right w:val="none" w:sz="0" w:space="0" w:color="auto"/>
      </w:divBdr>
    </w:div>
    <w:div w:id="346490802">
      <w:bodyDiv w:val="1"/>
      <w:marLeft w:val="0"/>
      <w:marRight w:val="0"/>
      <w:marTop w:val="0"/>
      <w:marBottom w:val="0"/>
      <w:divBdr>
        <w:top w:val="none" w:sz="0" w:space="0" w:color="auto"/>
        <w:left w:val="none" w:sz="0" w:space="0" w:color="auto"/>
        <w:bottom w:val="none" w:sz="0" w:space="0" w:color="auto"/>
        <w:right w:val="none" w:sz="0" w:space="0" w:color="auto"/>
      </w:divBdr>
    </w:div>
    <w:div w:id="357316937">
      <w:bodyDiv w:val="1"/>
      <w:marLeft w:val="0"/>
      <w:marRight w:val="0"/>
      <w:marTop w:val="0"/>
      <w:marBottom w:val="0"/>
      <w:divBdr>
        <w:top w:val="none" w:sz="0" w:space="0" w:color="auto"/>
        <w:left w:val="none" w:sz="0" w:space="0" w:color="auto"/>
        <w:bottom w:val="none" w:sz="0" w:space="0" w:color="auto"/>
        <w:right w:val="none" w:sz="0" w:space="0" w:color="auto"/>
      </w:divBdr>
    </w:div>
    <w:div w:id="364478234">
      <w:bodyDiv w:val="1"/>
      <w:marLeft w:val="0"/>
      <w:marRight w:val="0"/>
      <w:marTop w:val="0"/>
      <w:marBottom w:val="0"/>
      <w:divBdr>
        <w:top w:val="none" w:sz="0" w:space="0" w:color="auto"/>
        <w:left w:val="none" w:sz="0" w:space="0" w:color="auto"/>
        <w:bottom w:val="none" w:sz="0" w:space="0" w:color="auto"/>
        <w:right w:val="none" w:sz="0" w:space="0" w:color="auto"/>
      </w:divBdr>
    </w:div>
    <w:div w:id="372775570">
      <w:bodyDiv w:val="1"/>
      <w:marLeft w:val="0"/>
      <w:marRight w:val="0"/>
      <w:marTop w:val="0"/>
      <w:marBottom w:val="0"/>
      <w:divBdr>
        <w:top w:val="none" w:sz="0" w:space="0" w:color="auto"/>
        <w:left w:val="none" w:sz="0" w:space="0" w:color="auto"/>
        <w:bottom w:val="none" w:sz="0" w:space="0" w:color="auto"/>
        <w:right w:val="none" w:sz="0" w:space="0" w:color="auto"/>
      </w:divBdr>
    </w:div>
    <w:div w:id="376010954">
      <w:bodyDiv w:val="1"/>
      <w:marLeft w:val="0"/>
      <w:marRight w:val="0"/>
      <w:marTop w:val="0"/>
      <w:marBottom w:val="0"/>
      <w:divBdr>
        <w:top w:val="none" w:sz="0" w:space="0" w:color="auto"/>
        <w:left w:val="none" w:sz="0" w:space="0" w:color="auto"/>
        <w:bottom w:val="none" w:sz="0" w:space="0" w:color="auto"/>
        <w:right w:val="none" w:sz="0" w:space="0" w:color="auto"/>
      </w:divBdr>
    </w:div>
    <w:div w:id="380448926">
      <w:bodyDiv w:val="1"/>
      <w:marLeft w:val="0"/>
      <w:marRight w:val="0"/>
      <w:marTop w:val="0"/>
      <w:marBottom w:val="0"/>
      <w:divBdr>
        <w:top w:val="none" w:sz="0" w:space="0" w:color="auto"/>
        <w:left w:val="none" w:sz="0" w:space="0" w:color="auto"/>
        <w:bottom w:val="none" w:sz="0" w:space="0" w:color="auto"/>
        <w:right w:val="none" w:sz="0" w:space="0" w:color="auto"/>
      </w:divBdr>
    </w:div>
    <w:div w:id="385225929">
      <w:bodyDiv w:val="1"/>
      <w:marLeft w:val="0"/>
      <w:marRight w:val="0"/>
      <w:marTop w:val="0"/>
      <w:marBottom w:val="0"/>
      <w:divBdr>
        <w:top w:val="none" w:sz="0" w:space="0" w:color="auto"/>
        <w:left w:val="none" w:sz="0" w:space="0" w:color="auto"/>
        <w:bottom w:val="none" w:sz="0" w:space="0" w:color="auto"/>
        <w:right w:val="none" w:sz="0" w:space="0" w:color="auto"/>
      </w:divBdr>
    </w:div>
    <w:div w:id="386563383">
      <w:bodyDiv w:val="1"/>
      <w:marLeft w:val="0"/>
      <w:marRight w:val="0"/>
      <w:marTop w:val="0"/>
      <w:marBottom w:val="0"/>
      <w:divBdr>
        <w:top w:val="none" w:sz="0" w:space="0" w:color="auto"/>
        <w:left w:val="none" w:sz="0" w:space="0" w:color="auto"/>
        <w:bottom w:val="none" w:sz="0" w:space="0" w:color="auto"/>
        <w:right w:val="none" w:sz="0" w:space="0" w:color="auto"/>
      </w:divBdr>
    </w:div>
    <w:div w:id="397022340">
      <w:bodyDiv w:val="1"/>
      <w:marLeft w:val="0"/>
      <w:marRight w:val="0"/>
      <w:marTop w:val="0"/>
      <w:marBottom w:val="0"/>
      <w:divBdr>
        <w:top w:val="none" w:sz="0" w:space="0" w:color="auto"/>
        <w:left w:val="none" w:sz="0" w:space="0" w:color="auto"/>
        <w:bottom w:val="none" w:sz="0" w:space="0" w:color="auto"/>
        <w:right w:val="none" w:sz="0" w:space="0" w:color="auto"/>
      </w:divBdr>
    </w:div>
    <w:div w:id="400953188">
      <w:bodyDiv w:val="1"/>
      <w:marLeft w:val="0"/>
      <w:marRight w:val="0"/>
      <w:marTop w:val="0"/>
      <w:marBottom w:val="0"/>
      <w:divBdr>
        <w:top w:val="none" w:sz="0" w:space="0" w:color="auto"/>
        <w:left w:val="none" w:sz="0" w:space="0" w:color="auto"/>
        <w:bottom w:val="none" w:sz="0" w:space="0" w:color="auto"/>
        <w:right w:val="none" w:sz="0" w:space="0" w:color="auto"/>
      </w:divBdr>
    </w:div>
    <w:div w:id="409884934">
      <w:bodyDiv w:val="1"/>
      <w:marLeft w:val="0"/>
      <w:marRight w:val="0"/>
      <w:marTop w:val="0"/>
      <w:marBottom w:val="0"/>
      <w:divBdr>
        <w:top w:val="none" w:sz="0" w:space="0" w:color="auto"/>
        <w:left w:val="none" w:sz="0" w:space="0" w:color="auto"/>
        <w:bottom w:val="none" w:sz="0" w:space="0" w:color="auto"/>
        <w:right w:val="none" w:sz="0" w:space="0" w:color="auto"/>
      </w:divBdr>
    </w:div>
    <w:div w:id="412363266">
      <w:bodyDiv w:val="1"/>
      <w:marLeft w:val="0"/>
      <w:marRight w:val="0"/>
      <w:marTop w:val="0"/>
      <w:marBottom w:val="0"/>
      <w:divBdr>
        <w:top w:val="none" w:sz="0" w:space="0" w:color="auto"/>
        <w:left w:val="none" w:sz="0" w:space="0" w:color="auto"/>
        <w:bottom w:val="none" w:sz="0" w:space="0" w:color="auto"/>
        <w:right w:val="none" w:sz="0" w:space="0" w:color="auto"/>
      </w:divBdr>
    </w:div>
    <w:div w:id="413210274">
      <w:bodyDiv w:val="1"/>
      <w:marLeft w:val="0"/>
      <w:marRight w:val="0"/>
      <w:marTop w:val="0"/>
      <w:marBottom w:val="0"/>
      <w:divBdr>
        <w:top w:val="none" w:sz="0" w:space="0" w:color="auto"/>
        <w:left w:val="none" w:sz="0" w:space="0" w:color="auto"/>
        <w:bottom w:val="none" w:sz="0" w:space="0" w:color="auto"/>
        <w:right w:val="none" w:sz="0" w:space="0" w:color="auto"/>
      </w:divBdr>
    </w:div>
    <w:div w:id="418066581">
      <w:bodyDiv w:val="1"/>
      <w:marLeft w:val="0"/>
      <w:marRight w:val="0"/>
      <w:marTop w:val="0"/>
      <w:marBottom w:val="0"/>
      <w:divBdr>
        <w:top w:val="none" w:sz="0" w:space="0" w:color="auto"/>
        <w:left w:val="none" w:sz="0" w:space="0" w:color="auto"/>
        <w:bottom w:val="none" w:sz="0" w:space="0" w:color="auto"/>
        <w:right w:val="none" w:sz="0" w:space="0" w:color="auto"/>
      </w:divBdr>
    </w:div>
    <w:div w:id="424766553">
      <w:bodyDiv w:val="1"/>
      <w:marLeft w:val="0"/>
      <w:marRight w:val="0"/>
      <w:marTop w:val="0"/>
      <w:marBottom w:val="0"/>
      <w:divBdr>
        <w:top w:val="none" w:sz="0" w:space="0" w:color="auto"/>
        <w:left w:val="none" w:sz="0" w:space="0" w:color="auto"/>
        <w:bottom w:val="none" w:sz="0" w:space="0" w:color="auto"/>
        <w:right w:val="none" w:sz="0" w:space="0" w:color="auto"/>
      </w:divBdr>
    </w:div>
    <w:div w:id="431360818">
      <w:bodyDiv w:val="1"/>
      <w:marLeft w:val="0"/>
      <w:marRight w:val="0"/>
      <w:marTop w:val="0"/>
      <w:marBottom w:val="0"/>
      <w:divBdr>
        <w:top w:val="none" w:sz="0" w:space="0" w:color="auto"/>
        <w:left w:val="none" w:sz="0" w:space="0" w:color="auto"/>
        <w:bottom w:val="none" w:sz="0" w:space="0" w:color="auto"/>
        <w:right w:val="none" w:sz="0" w:space="0" w:color="auto"/>
      </w:divBdr>
    </w:div>
    <w:div w:id="433062533">
      <w:bodyDiv w:val="1"/>
      <w:marLeft w:val="0"/>
      <w:marRight w:val="0"/>
      <w:marTop w:val="0"/>
      <w:marBottom w:val="0"/>
      <w:divBdr>
        <w:top w:val="none" w:sz="0" w:space="0" w:color="auto"/>
        <w:left w:val="none" w:sz="0" w:space="0" w:color="auto"/>
        <w:bottom w:val="none" w:sz="0" w:space="0" w:color="auto"/>
        <w:right w:val="none" w:sz="0" w:space="0" w:color="auto"/>
      </w:divBdr>
    </w:div>
    <w:div w:id="444465652">
      <w:bodyDiv w:val="1"/>
      <w:marLeft w:val="0"/>
      <w:marRight w:val="0"/>
      <w:marTop w:val="0"/>
      <w:marBottom w:val="0"/>
      <w:divBdr>
        <w:top w:val="none" w:sz="0" w:space="0" w:color="auto"/>
        <w:left w:val="none" w:sz="0" w:space="0" w:color="auto"/>
        <w:bottom w:val="none" w:sz="0" w:space="0" w:color="auto"/>
        <w:right w:val="none" w:sz="0" w:space="0" w:color="auto"/>
      </w:divBdr>
    </w:div>
    <w:div w:id="445928255">
      <w:bodyDiv w:val="1"/>
      <w:marLeft w:val="0"/>
      <w:marRight w:val="0"/>
      <w:marTop w:val="0"/>
      <w:marBottom w:val="0"/>
      <w:divBdr>
        <w:top w:val="none" w:sz="0" w:space="0" w:color="auto"/>
        <w:left w:val="none" w:sz="0" w:space="0" w:color="auto"/>
        <w:bottom w:val="none" w:sz="0" w:space="0" w:color="auto"/>
        <w:right w:val="none" w:sz="0" w:space="0" w:color="auto"/>
      </w:divBdr>
      <w:divsChild>
        <w:div w:id="260842655">
          <w:marLeft w:val="547"/>
          <w:marRight w:val="0"/>
          <w:marTop w:val="0"/>
          <w:marBottom w:val="0"/>
          <w:divBdr>
            <w:top w:val="none" w:sz="0" w:space="0" w:color="auto"/>
            <w:left w:val="none" w:sz="0" w:space="0" w:color="auto"/>
            <w:bottom w:val="none" w:sz="0" w:space="0" w:color="auto"/>
            <w:right w:val="none" w:sz="0" w:space="0" w:color="auto"/>
          </w:divBdr>
        </w:div>
        <w:div w:id="341978950">
          <w:marLeft w:val="547"/>
          <w:marRight w:val="0"/>
          <w:marTop w:val="0"/>
          <w:marBottom w:val="0"/>
          <w:divBdr>
            <w:top w:val="none" w:sz="0" w:space="0" w:color="auto"/>
            <w:left w:val="none" w:sz="0" w:space="0" w:color="auto"/>
            <w:bottom w:val="none" w:sz="0" w:space="0" w:color="auto"/>
            <w:right w:val="none" w:sz="0" w:space="0" w:color="auto"/>
          </w:divBdr>
        </w:div>
        <w:div w:id="367605123">
          <w:marLeft w:val="547"/>
          <w:marRight w:val="0"/>
          <w:marTop w:val="0"/>
          <w:marBottom w:val="0"/>
          <w:divBdr>
            <w:top w:val="none" w:sz="0" w:space="0" w:color="auto"/>
            <w:left w:val="none" w:sz="0" w:space="0" w:color="auto"/>
            <w:bottom w:val="none" w:sz="0" w:space="0" w:color="auto"/>
            <w:right w:val="none" w:sz="0" w:space="0" w:color="auto"/>
          </w:divBdr>
        </w:div>
        <w:div w:id="450173732">
          <w:marLeft w:val="547"/>
          <w:marRight w:val="0"/>
          <w:marTop w:val="0"/>
          <w:marBottom w:val="0"/>
          <w:divBdr>
            <w:top w:val="none" w:sz="0" w:space="0" w:color="auto"/>
            <w:left w:val="none" w:sz="0" w:space="0" w:color="auto"/>
            <w:bottom w:val="none" w:sz="0" w:space="0" w:color="auto"/>
            <w:right w:val="none" w:sz="0" w:space="0" w:color="auto"/>
          </w:divBdr>
        </w:div>
        <w:div w:id="574585329">
          <w:marLeft w:val="547"/>
          <w:marRight w:val="0"/>
          <w:marTop w:val="0"/>
          <w:marBottom w:val="0"/>
          <w:divBdr>
            <w:top w:val="none" w:sz="0" w:space="0" w:color="auto"/>
            <w:left w:val="none" w:sz="0" w:space="0" w:color="auto"/>
            <w:bottom w:val="none" w:sz="0" w:space="0" w:color="auto"/>
            <w:right w:val="none" w:sz="0" w:space="0" w:color="auto"/>
          </w:divBdr>
        </w:div>
        <w:div w:id="577253574">
          <w:marLeft w:val="547"/>
          <w:marRight w:val="0"/>
          <w:marTop w:val="0"/>
          <w:marBottom w:val="0"/>
          <w:divBdr>
            <w:top w:val="none" w:sz="0" w:space="0" w:color="auto"/>
            <w:left w:val="none" w:sz="0" w:space="0" w:color="auto"/>
            <w:bottom w:val="none" w:sz="0" w:space="0" w:color="auto"/>
            <w:right w:val="none" w:sz="0" w:space="0" w:color="auto"/>
          </w:divBdr>
        </w:div>
        <w:div w:id="1061950113">
          <w:marLeft w:val="547"/>
          <w:marRight w:val="0"/>
          <w:marTop w:val="0"/>
          <w:marBottom w:val="0"/>
          <w:divBdr>
            <w:top w:val="none" w:sz="0" w:space="0" w:color="auto"/>
            <w:left w:val="none" w:sz="0" w:space="0" w:color="auto"/>
            <w:bottom w:val="none" w:sz="0" w:space="0" w:color="auto"/>
            <w:right w:val="none" w:sz="0" w:space="0" w:color="auto"/>
          </w:divBdr>
        </w:div>
        <w:div w:id="1955557898">
          <w:marLeft w:val="547"/>
          <w:marRight w:val="0"/>
          <w:marTop w:val="0"/>
          <w:marBottom w:val="0"/>
          <w:divBdr>
            <w:top w:val="none" w:sz="0" w:space="0" w:color="auto"/>
            <w:left w:val="none" w:sz="0" w:space="0" w:color="auto"/>
            <w:bottom w:val="none" w:sz="0" w:space="0" w:color="auto"/>
            <w:right w:val="none" w:sz="0" w:space="0" w:color="auto"/>
          </w:divBdr>
        </w:div>
      </w:divsChild>
    </w:div>
    <w:div w:id="446438342">
      <w:bodyDiv w:val="1"/>
      <w:marLeft w:val="0"/>
      <w:marRight w:val="0"/>
      <w:marTop w:val="0"/>
      <w:marBottom w:val="0"/>
      <w:divBdr>
        <w:top w:val="none" w:sz="0" w:space="0" w:color="auto"/>
        <w:left w:val="none" w:sz="0" w:space="0" w:color="auto"/>
        <w:bottom w:val="none" w:sz="0" w:space="0" w:color="auto"/>
        <w:right w:val="none" w:sz="0" w:space="0" w:color="auto"/>
      </w:divBdr>
    </w:div>
    <w:div w:id="448470942">
      <w:bodyDiv w:val="1"/>
      <w:marLeft w:val="0"/>
      <w:marRight w:val="0"/>
      <w:marTop w:val="0"/>
      <w:marBottom w:val="0"/>
      <w:divBdr>
        <w:top w:val="none" w:sz="0" w:space="0" w:color="auto"/>
        <w:left w:val="none" w:sz="0" w:space="0" w:color="auto"/>
        <w:bottom w:val="none" w:sz="0" w:space="0" w:color="auto"/>
        <w:right w:val="none" w:sz="0" w:space="0" w:color="auto"/>
      </w:divBdr>
    </w:div>
    <w:div w:id="453211647">
      <w:bodyDiv w:val="1"/>
      <w:marLeft w:val="0"/>
      <w:marRight w:val="0"/>
      <w:marTop w:val="0"/>
      <w:marBottom w:val="0"/>
      <w:divBdr>
        <w:top w:val="none" w:sz="0" w:space="0" w:color="auto"/>
        <w:left w:val="none" w:sz="0" w:space="0" w:color="auto"/>
        <w:bottom w:val="none" w:sz="0" w:space="0" w:color="auto"/>
        <w:right w:val="none" w:sz="0" w:space="0" w:color="auto"/>
      </w:divBdr>
    </w:div>
    <w:div w:id="454567079">
      <w:bodyDiv w:val="1"/>
      <w:marLeft w:val="0"/>
      <w:marRight w:val="0"/>
      <w:marTop w:val="0"/>
      <w:marBottom w:val="0"/>
      <w:divBdr>
        <w:top w:val="none" w:sz="0" w:space="0" w:color="auto"/>
        <w:left w:val="none" w:sz="0" w:space="0" w:color="auto"/>
        <w:bottom w:val="none" w:sz="0" w:space="0" w:color="auto"/>
        <w:right w:val="none" w:sz="0" w:space="0" w:color="auto"/>
      </w:divBdr>
    </w:div>
    <w:div w:id="455023276">
      <w:bodyDiv w:val="1"/>
      <w:marLeft w:val="0"/>
      <w:marRight w:val="0"/>
      <w:marTop w:val="0"/>
      <w:marBottom w:val="0"/>
      <w:divBdr>
        <w:top w:val="none" w:sz="0" w:space="0" w:color="auto"/>
        <w:left w:val="none" w:sz="0" w:space="0" w:color="auto"/>
        <w:bottom w:val="none" w:sz="0" w:space="0" w:color="auto"/>
        <w:right w:val="none" w:sz="0" w:space="0" w:color="auto"/>
      </w:divBdr>
    </w:div>
    <w:div w:id="455567249">
      <w:bodyDiv w:val="1"/>
      <w:marLeft w:val="0"/>
      <w:marRight w:val="0"/>
      <w:marTop w:val="0"/>
      <w:marBottom w:val="0"/>
      <w:divBdr>
        <w:top w:val="none" w:sz="0" w:space="0" w:color="auto"/>
        <w:left w:val="none" w:sz="0" w:space="0" w:color="auto"/>
        <w:bottom w:val="none" w:sz="0" w:space="0" w:color="auto"/>
        <w:right w:val="none" w:sz="0" w:space="0" w:color="auto"/>
      </w:divBdr>
    </w:div>
    <w:div w:id="456603366">
      <w:bodyDiv w:val="1"/>
      <w:marLeft w:val="0"/>
      <w:marRight w:val="0"/>
      <w:marTop w:val="0"/>
      <w:marBottom w:val="0"/>
      <w:divBdr>
        <w:top w:val="none" w:sz="0" w:space="0" w:color="auto"/>
        <w:left w:val="none" w:sz="0" w:space="0" w:color="auto"/>
        <w:bottom w:val="none" w:sz="0" w:space="0" w:color="auto"/>
        <w:right w:val="none" w:sz="0" w:space="0" w:color="auto"/>
      </w:divBdr>
    </w:div>
    <w:div w:id="456922462">
      <w:bodyDiv w:val="1"/>
      <w:marLeft w:val="0"/>
      <w:marRight w:val="0"/>
      <w:marTop w:val="0"/>
      <w:marBottom w:val="0"/>
      <w:divBdr>
        <w:top w:val="none" w:sz="0" w:space="0" w:color="auto"/>
        <w:left w:val="none" w:sz="0" w:space="0" w:color="auto"/>
        <w:bottom w:val="none" w:sz="0" w:space="0" w:color="auto"/>
        <w:right w:val="none" w:sz="0" w:space="0" w:color="auto"/>
      </w:divBdr>
    </w:div>
    <w:div w:id="457921434">
      <w:bodyDiv w:val="1"/>
      <w:marLeft w:val="0"/>
      <w:marRight w:val="0"/>
      <w:marTop w:val="0"/>
      <w:marBottom w:val="0"/>
      <w:divBdr>
        <w:top w:val="none" w:sz="0" w:space="0" w:color="auto"/>
        <w:left w:val="none" w:sz="0" w:space="0" w:color="auto"/>
        <w:bottom w:val="none" w:sz="0" w:space="0" w:color="auto"/>
        <w:right w:val="none" w:sz="0" w:space="0" w:color="auto"/>
      </w:divBdr>
    </w:div>
    <w:div w:id="458768392">
      <w:bodyDiv w:val="1"/>
      <w:marLeft w:val="0"/>
      <w:marRight w:val="0"/>
      <w:marTop w:val="0"/>
      <w:marBottom w:val="0"/>
      <w:divBdr>
        <w:top w:val="none" w:sz="0" w:space="0" w:color="auto"/>
        <w:left w:val="none" w:sz="0" w:space="0" w:color="auto"/>
        <w:bottom w:val="none" w:sz="0" w:space="0" w:color="auto"/>
        <w:right w:val="none" w:sz="0" w:space="0" w:color="auto"/>
      </w:divBdr>
    </w:div>
    <w:div w:id="466170519">
      <w:bodyDiv w:val="1"/>
      <w:marLeft w:val="0"/>
      <w:marRight w:val="0"/>
      <w:marTop w:val="0"/>
      <w:marBottom w:val="0"/>
      <w:divBdr>
        <w:top w:val="none" w:sz="0" w:space="0" w:color="auto"/>
        <w:left w:val="none" w:sz="0" w:space="0" w:color="auto"/>
        <w:bottom w:val="none" w:sz="0" w:space="0" w:color="auto"/>
        <w:right w:val="none" w:sz="0" w:space="0" w:color="auto"/>
      </w:divBdr>
    </w:div>
    <w:div w:id="470943245">
      <w:bodyDiv w:val="1"/>
      <w:marLeft w:val="0"/>
      <w:marRight w:val="0"/>
      <w:marTop w:val="0"/>
      <w:marBottom w:val="0"/>
      <w:divBdr>
        <w:top w:val="none" w:sz="0" w:space="0" w:color="auto"/>
        <w:left w:val="none" w:sz="0" w:space="0" w:color="auto"/>
        <w:bottom w:val="none" w:sz="0" w:space="0" w:color="auto"/>
        <w:right w:val="none" w:sz="0" w:space="0" w:color="auto"/>
      </w:divBdr>
    </w:div>
    <w:div w:id="477305700">
      <w:bodyDiv w:val="1"/>
      <w:marLeft w:val="0"/>
      <w:marRight w:val="0"/>
      <w:marTop w:val="0"/>
      <w:marBottom w:val="0"/>
      <w:divBdr>
        <w:top w:val="none" w:sz="0" w:space="0" w:color="auto"/>
        <w:left w:val="none" w:sz="0" w:space="0" w:color="auto"/>
        <w:bottom w:val="none" w:sz="0" w:space="0" w:color="auto"/>
        <w:right w:val="none" w:sz="0" w:space="0" w:color="auto"/>
      </w:divBdr>
    </w:div>
    <w:div w:id="479346325">
      <w:bodyDiv w:val="1"/>
      <w:marLeft w:val="0"/>
      <w:marRight w:val="0"/>
      <w:marTop w:val="0"/>
      <w:marBottom w:val="0"/>
      <w:divBdr>
        <w:top w:val="none" w:sz="0" w:space="0" w:color="auto"/>
        <w:left w:val="none" w:sz="0" w:space="0" w:color="auto"/>
        <w:bottom w:val="none" w:sz="0" w:space="0" w:color="auto"/>
        <w:right w:val="none" w:sz="0" w:space="0" w:color="auto"/>
      </w:divBdr>
    </w:div>
    <w:div w:id="480536565">
      <w:bodyDiv w:val="1"/>
      <w:marLeft w:val="0"/>
      <w:marRight w:val="0"/>
      <w:marTop w:val="0"/>
      <w:marBottom w:val="0"/>
      <w:divBdr>
        <w:top w:val="none" w:sz="0" w:space="0" w:color="auto"/>
        <w:left w:val="none" w:sz="0" w:space="0" w:color="auto"/>
        <w:bottom w:val="none" w:sz="0" w:space="0" w:color="auto"/>
        <w:right w:val="none" w:sz="0" w:space="0" w:color="auto"/>
      </w:divBdr>
    </w:div>
    <w:div w:id="487743504">
      <w:bodyDiv w:val="1"/>
      <w:marLeft w:val="0"/>
      <w:marRight w:val="0"/>
      <w:marTop w:val="0"/>
      <w:marBottom w:val="0"/>
      <w:divBdr>
        <w:top w:val="none" w:sz="0" w:space="0" w:color="auto"/>
        <w:left w:val="none" w:sz="0" w:space="0" w:color="auto"/>
        <w:bottom w:val="none" w:sz="0" w:space="0" w:color="auto"/>
        <w:right w:val="none" w:sz="0" w:space="0" w:color="auto"/>
      </w:divBdr>
    </w:div>
    <w:div w:id="491455905">
      <w:bodyDiv w:val="1"/>
      <w:marLeft w:val="0"/>
      <w:marRight w:val="0"/>
      <w:marTop w:val="0"/>
      <w:marBottom w:val="0"/>
      <w:divBdr>
        <w:top w:val="none" w:sz="0" w:space="0" w:color="auto"/>
        <w:left w:val="none" w:sz="0" w:space="0" w:color="auto"/>
        <w:bottom w:val="none" w:sz="0" w:space="0" w:color="auto"/>
        <w:right w:val="none" w:sz="0" w:space="0" w:color="auto"/>
      </w:divBdr>
    </w:div>
    <w:div w:id="498544698">
      <w:bodyDiv w:val="1"/>
      <w:marLeft w:val="0"/>
      <w:marRight w:val="0"/>
      <w:marTop w:val="0"/>
      <w:marBottom w:val="0"/>
      <w:divBdr>
        <w:top w:val="none" w:sz="0" w:space="0" w:color="auto"/>
        <w:left w:val="none" w:sz="0" w:space="0" w:color="auto"/>
        <w:bottom w:val="none" w:sz="0" w:space="0" w:color="auto"/>
        <w:right w:val="none" w:sz="0" w:space="0" w:color="auto"/>
      </w:divBdr>
    </w:div>
    <w:div w:id="498889867">
      <w:bodyDiv w:val="1"/>
      <w:marLeft w:val="0"/>
      <w:marRight w:val="0"/>
      <w:marTop w:val="0"/>
      <w:marBottom w:val="0"/>
      <w:divBdr>
        <w:top w:val="none" w:sz="0" w:space="0" w:color="auto"/>
        <w:left w:val="none" w:sz="0" w:space="0" w:color="auto"/>
        <w:bottom w:val="none" w:sz="0" w:space="0" w:color="auto"/>
        <w:right w:val="none" w:sz="0" w:space="0" w:color="auto"/>
      </w:divBdr>
    </w:div>
    <w:div w:id="500778727">
      <w:bodyDiv w:val="1"/>
      <w:marLeft w:val="0"/>
      <w:marRight w:val="0"/>
      <w:marTop w:val="0"/>
      <w:marBottom w:val="0"/>
      <w:divBdr>
        <w:top w:val="none" w:sz="0" w:space="0" w:color="auto"/>
        <w:left w:val="none" w:sz="0" w:space="0" w:color="auto"/>
        <w:bottom w:val="none" w:sz="0" w:space="0" w:color="auto"/>
        <w:right w:val="none" w:sz="0" w:space="0" w:color="auto"/>
      </w:divBdr>
    </w:div>
    <w:div w:id="501551039">
      <w:bodyDiv w:val="1"/>
      <w:marLeft w:val="0"/>
      <w:marRight w:val="0"/>
      <w:marTop w:val="0"/>
      <w:marBottom w:val="0"/>
      <w:divBdr>
        <w:top w:val="none" w:sz="0" w:space="0" w:color="auto"/>
        <w:left w:val="none" w:sz="0" w:space="0" w:color="auto"/>
        <w:bottom w:val="none" w:sz="0" w:space="0" w:color="auto"/>
        <w:right w:val="none" w:sz="0" w:space="0" w:color="auto"/>
      </w:divBdr>
    </w:div>
    <w:div w:id="501968818">
      <w:bodyDiv w:val="1"/>
      <w:marLeft w:val="0"/>
      <w:marRight w:val="0"/>
      <w:marTop w:val="0"/>
      <w:marBottom w:val="0"/>
      <w:divBdr>
        <w:top w:val="none" w:sz="0" w:space="0" w:color="auto"/>
        <w:left w:val="none" w:sz="0" w:space="0" w:color="auto"/>
        <w:bottom w:val="none" w:sz="0" w:space="0" w:color="auto"/>
        <w:right w:val="none" w:sz="0" w:space="0" w:color="auto"/>
      </w:divBdr>
    </w:div>
    <w:div w:id="503589078">
      <w:bodyDiv w:val="1"/>
      <w:marLeft w:val="0"/>
      <w:marRight w:val="0"/>
      <w:marTop w:val="0"/>
      <w:marBottom w:val="0"/>
      <w:divBdr>
        <w:top w:val="none" w:sz="0" w:space="0" w:color="auto"/>
        <w:left w:val="none" w:sz="0" w:space="0" w:color="auto"/>
        <w:bottom w:val="none" w:sz="0" w:space="0" w:color="auto"/>
        <w:right w:val="none" w:sz="0" w:space="0" w:color="auto"/>
      </w:divBdr>
    </w:div>
    <w:div w:id="505243149">
      <w:bodyDiv w:val="1"/>
      <w:marLeft w:val="0"/>
      <w:marRight w:val="0"/>
      <w:marTop w:val="0"/>
      <w:marBottom w:val="0"/>
      <w:divBdr>
        <w:top w:val="none" w:sz="0" w:space="0" w:color="auto"/>
        <w:left w:val="none" w:sz="0" w:space="0" w:color="auto"/>
        <w:bottom w:val="none" w:sz="0" w:space="0" w:color="auto"/>
        <w:right w:val="none" w:sz="0" w:space="0" w:color="auto"/>
      </w:divBdr>
    </w:div>
    <w:div w:id="507252939">
      <w:bodyDiv w:val="1"/>
      <w:marLeft w:val="0"/>
      <w:marRight w:val="0"/>
      <w:marTop w:val="0"/>
      <w:marBottom w:val="0"/>
      <w:divBdr>
        <w:top w:val="none" w:sz="0" w:space="0" w:color="auto"/>
        <w:left w:val="none" w:sz="0" w:space="0" w:color="auto"/>
        <w:bottom w:val="none" w:sz="0" w:space="0" w:color="auto"/>
        <w:right w:val="none" w:sz="0" w:space="0" w:color="auto"/>
      </w:divBdr>
    </w:div>
    <w:div w:id="508178243">
      <w:bodyDiv w:val="1"/>
      <w:marLeft w:val="0"/>
      <w:marRight w:val="0"/>
      <w:marTop w:val="0"/>
      <w:marBottom w:val="0"/>
      <w:divBdr>
        <w:top w:val="none" w:sz="0" w:space="0" w:color="auto"/>
        <w:left w:val="none" w:sz="0" w:space="0" w:color="auto"/>
        <w:bottom w:val="none" w:sz="0" w:space="0" w:color="auto"/>
        <w:right w:val="none" w:sz="0" w:space="0" w:color="auto"/>
      </w:divBdr>
    </w:div>
    <w:div w:id="508911983">
      <w:bodyDiv w:val="1"/>
      <w:marLeft w:val="0"/>
      <w:marRight w:val="0"/>
      <w:marTop w:val="0"/>
      <w:marBottom w:val="0"/>
      <w:divBdr>
        <w:top w:val="none" w:sz="0" w:space="0" w:color="auto"/>
        <w:left w:val="none" w:sz="0" w:space="0" w:color="auto"/>
        <w:bottom w:val="none" w:sz="0" w:space="0" w:color="auto"/>
        <w:right w:val="none" w:sz="0" w:space="0" w:color="auto"/>
      </w:divBdr>
    </w:div>
    <w:div w:id="509179223">
      <w:bodyDiv w:val="1"/>
      <w:marLeft w:val="0"/>
      <w:marRight w:val="0"/>
      <w:marTop w:val="0"/>
      <w:marBottom w:val="0"/>
      <w:divBdr>
        <w:top w:val="none" w:sz="0" w:space="0" w:color="auto"/>
        <w:left w:val="none" w:sz="0" w:space="0" w:color="auto"/>
        <w:bottom w:val="none" w:sz="0" w:space="0" w:color="auto"/>
        <w:right w:val="none" w:sz="0" w:space="0" w:color="auto"/>
      </w:divBdr>
    </w:div>
    <w:div w:id="513807418">
      <w:bodyDiv w:val="1"/>
      <w:marLeft w:val="0"/>
      <w:marRight w:val="0"/>
      <w:marTop w:val="0"/>
      <w:marBottom w:val="0"/>
      <w:divBdr>
        <w:top w:val="none" w:sz="0" w:space="0" w:color="auto"/>
        <w:left w:val="none" w:sz="0" w:space="0" w:color="auto"/>
        <w:bottom w:val="none" w:sz="0" w:space="0" w:color="auto"/>
        <w:right w:val="none" w:sz="0" w:space="0" w:color="auto"/>
      </w:divBdr>
    </w:div>
    <w:div w:id="517357953">
      <w:bodyDiv w:val="1"/>
      <w:marLeft w:val="0"/>
      <w:marRight w:val="0"/>
      <w:marTop w:val="0"/>
      <w:marBottom w:val="0"/>
      <w:divBdr>
        <w:top w:val="none" w:sz="0" w:space="0" w:color="auto"/>
        <w:left w:val="none" w:sz="0" w:space="0" w:color="auto"/>
        <w:bottom w:val="none" w:sz="0" w:space="0" w:color="auto"/>
        <w:right w:val="none" w:sz="0" w:space="0" w:color="auto"/>
      </w:divBdr>
    </w:div>
    <w:div w:id="523133902">
      <w:bodyDiv w:val="1"/>
      <w:marLeft w:val="0"/>
      <w:marRight w:val="0"/>
      <w:marTop w:val="0"/>
      <w:marBottom w:val="0"/>
      <w:divBdr>
        <w:top w:val="none" w:sz="0" w:space="0" w:color="auto"/>
        <w:left w:val="none" w:sz="0" w:space="0" w:color="auto"/>
        <w:bottom w:val="none" w:sz="0" w:space="0" w:color="auto"/>
        <w:right w:val="none" w:sz="0" w:space="0" w:color="auto"/>
      </w:divBdr>
      <w:divsChild>
        <w:div w:id="863128089">
          <w:marLeft w:val="1411"/>
          <w:marRight w:val="0"/>
          <w:marTop w:val="0"/>
          <w:marBottom w:val="0"/>
          <w:divBdr>
            <w:top w:val="none" w:sz="0" w:space="0" w:color="auto"/>
            <w:left w:val="none" w:sz="0" w:space="0" w:color="auto"/>
            <w:bottom w:val="none" w:sz="0" w:space="0" w:color="auto"/>
            <w:right w:val="none" w:sz="0" w:space="0" w:color="auto"/>
          </w:divBdr>
        </w:div>
        <w:div w:id="1490487224">
          <w:marLeft w:val="1411"/>
          <w:marRight w:val="0"/>
          <w:marTop w:val="0"/>
          <w:marBottom w:val="0"/>
          <w:divBdr>
            <w:top w:val="none" w:sz="0" w:space="0" w:color="auto"/>
            <w:left w:val="none" w:sz="0" w:space="0" w:color="auto"/>
            <w:bottom w:val="none" w:sz="0" w:space="0" w:color="auto"/>
            <w:right w:val="none" w:sz="0" w:space="0" w:color="auto"/>
          </w:divBdr>
        </w:div>
        <w:div w:id="1614552275">
          <w:marLeft w:val="1411"/>
          <w:marRight w:val="0"/>
          <w:marTop w:val="0"/>
          <w:marBottom w:val="0"/>
          <w:divBdr>
            <w:top w:val="none" w:sz="0" w:space="0" w:color="auto"/>
            <w:left w:val="none" w:sz="0" w:space="0" w:color="auto"/>
            <w:bottom w:val="none" w:sz="0" w:space="0" w:color="auto"/>
            <w:right w:val="none" w:sz="0" w:space="0" w:color="auto"/>
          </w:divBdr>
        </w:div>
        <w:div w:id="1688941662">
          <w:marLeft w:val="1411"/>
          <w:marRight w:val="0"/>
          <w:marTop w:val="0"/>
          <w:marBottom w:val="0"/>
          <w:divBdr>
            <w:top w:val="none" w:sz="0" w:space="0" w:color="auto"/>
            <w:left w:val="none" w:sz="0" w:space="0" w:color="auto"/>
            <w:bottom w:val="none" w:sz="0" w:space="0" w:color="auto"/>
            <w:right w:val="none" w:sz="0" w:space="0" w:color="auto"/>
          </w:divBdr>
        </w:div>
      </w:divsChild>
    </w:div>
    <w:div w:id="524565407">
      <w:bodyDiv w:val="1"/>
      <w:marLeft w:val="0"/>
      <w:marRight w:val="0"/>
      <w:marTop w:val="0"/>
      <w:marBottom w:val="0"/>
      <w:divBdr>
        <w:top w:val="none" w:sz="0" w:space="0" w:color="auto"/>
        <w:left w:val="none" w:sz="0" w:space="0" w:color="auto"/>
        <w:bottom w:val="none" w:sz="0" w:space="0" w:color="auto"/>
        <w:right w:val="none" w:sz="0" w:space="0" w:color="auto"/>
      </w:divBdr>
    </w:div>
    <w:div w:id="533006025">
      <w:bodyDiv w:val="1"/>
      <w:marLeft w:val="0"/>
      <w:marRight w:val="0"/>
      <w:marTop w:val="0"/>
      <w:marBottom w:val="0"/>
      <w:divBdr>
        <w:top w:val="none" w:sz="0" w:space="0" w:color="auto"/>
        <w:left w:val="none" w:sz="0" w:space="0" w:color="auto"/>
        <w:bottom w:val="none" w:sz="0" w:space="0" w:color="auto"/>
        <w:right w:val="none" w:sz="0" w:space="0" w:color="auto"/>
      </w:divBdr>
    </w:div>
    <w:div w:id="533006851">
      <w:bodyDiv w:val="1"/>
      <w:marLeft w:val="0"/>
      <w:marRight w:val="0"/>
      <w:marTop w:val="0"/>
      <w:marBottom w:val="0"/>
      <w:divBdr>
        <w:top w:val="none" w:sz="0" w:space="0" w:color="auto"/>
        <w:left w:val="none" w:sz="0" w:space="0" w:color="auto"/>
        <w:bottom w:val="none" w:sz="0" w:space="0" w:color="auto"/>
        <w:right w:val="none" w:sz="0" w:space="0" w:color="auto"/>
      </w:divBdr>
    </w:div>
    <w:div w:id="533424283">
      <w:bodyDiv w:val="1"/>
      <w:marLeft w:val="0"/>
      <w:marRight w:val="0"/>
      <w:marTop w:val="0"/>
      <w:marBottom w:val="0"/>
      <w:divBdr>
        <w:top w:val="none" w:sz="0" w:space="0" w:color="auto"/>
        <w:left w:val="none" w:sz="0" w:space="0" w:color="auto"/>
        <w:bottom w:val="none" w:sz="0" w:space="0" w:color="auto"/>
        <w:right w:val="none" w:sz="0" w:space="0" w:color="auto"/>
      </w:divBdr>
    </w:div>
    <w:div w:id="533739228">
      <w:bodyDiv w:val="1"/>
      <w:marLeft w:val="0"/>
      <w:marRight w:val="0"/>
      <w:marTop w:val="0"/>
      <w:marBottom w:val="0"/>
      <w:divBdr>
        <w:top w:val="none" w:sz="0" w:space="0" w:color="auto"/>
        <w:left w:val="none" w:sz="0" w:space="0" w:color="auto"/>
        <w:bottom w:val="none" w:sz="0" w:space="0" w:color="auto"/>
        <w:right w:val="none" w:sz="0" w:space="0" w:color="auto"/>
      </w:divBdr>
    </w:div>
    <w:div w:id="536699104">
      <w:bodyDiv w:val="1"/>
      <w:marLeft w:val="0"/>
      <w:marRight w:val="0"/>
      <w:marTop w:val="0"/>
      <w:marBottom w:val="0"/>
      <w:divBdr>
        <w:top w:val="none" w:sz="0" w:space="0" w:color="auto"/>
        <w:left w:val="none" w:sz="0" w:space="0" w:color="auto"/>
        <w:bottom w:val="none" w:sz="0" w:space="0" w:color="auto"/>
        <w:right w:val="none" w:sz="0" w:space="0" w:color="auto"/>
      </w:divBdr>
    </w:div>
    <w:div w:id="539708305">
      <w:bodyDiv w:val="1"/>
      <w:marLeft w:val="0"/>
      <w:marRight w:val="0"/>
      <w:marTop w:val="0"/>
      <w:marBottom w:val="0"/>
      <w:divBdr>
        <w:top w:val="none" w:sz="0" w:space="0" w:color="auto"/>
        <w:left w:val="none" w:sz="0" w:space="0" w:color="auto"/>
        <w:bottom w:val="none" w:sz="0" w:space="0" w:color="auto"/>
        <w:right w:val="none" w:sz="0" w:space="0" w:color="auto"/>
      </w:divBdr>
    </w:div>
    <w:div w:id="540943487">
      <w:bodyDiv w:val="1"/>
      <w:marLeft w:val="0"/>
      <w:marRight w:val="0"/>
      <w:marTop w:val="0"/>
      <w:marBottom w:val="0"/>
      <w:divBdr>
        <w:top w:val="none" w:sz="0" w:space="0" w:color="auto"/>
        <w:left w:val="none" w:sz="0" w:space="0" w:color="auto"/>
        <w:bottom w:val="none" w:sz="0" w:space="0" w:color="auto"/>
        <w:right w:val="none" w:sz="0" w:space="0" w:color="auto"/>
      </w:divBdr>
    </w:div>
    <w:div w:id="541866875">
      <w:bodyDiv w:val="1"/>
      <w:marLeft w:val="0"/>
      <w:marRight w:val="0"/>
      <w:marTop w:val="0"/>
      <w:marBottom w:val="0"/>
      <w:divBdr>
        <w:top w:val="none" w:sz="0" w:space="0" w:color="auto"/>
        <w:left w:val="none" w:sz="0" w:space="0" w:color="auto"/>
        <w:bottom w:val="none" w:sz="0" w:space="0" w:color="auto"/>
        <w:right w:val="none" w:sz="0" w:space="0" w:color="auto"/>
      </w:divBdr>
    </w:div>
    <w:div w:id="548418316">
      <w:bodyDiv w:val="1"/>
      <w:marLeft w:val="0"/>
      <w:marRight w:val="0"/>
      <w:marTop w:val="0"/>
      <w:marBottom w:val="0"/>
      <w:divBdr>
        <w:top w:val="none" w:sz="0" w:space="0" w:color="auto"/>
        <w:left w:val="none" w:sz="0" w:space="0" w:color="auto"/>
        <w:bottom w:val="none" w:sz="0" w:space="0" w:color="auto"/>
        <w:right w:val="none" w:sz="0" w:space="0" w:color="auto"/>
      </w:divBdr>
    </w:div>
    <w:div w:id="553783149">
      <w:bodyDiv w:val="1"/>
      <w:marLeft w:val="0"/>
      <w:marRight w:val="0"/>
      <w:marTop w:val="0"/>
      <w:marBottom w:val="0"/>
      <w:divBdr>
        <w:top w:val="none" w:sz="0" w:space="0" w:color="auto"/>
        <w:left w:val="none" w:sz="0" w:space="0" w:color="auto"/>
        <w:bottom w:val="none" w:sz="0" w:space="0" w:color="auto"/>
        <w:right w:val="none" w:sz="0" w:space="0" w:color="auto"/>
      </w:divBdr>
    </w:div>
    <w:div w:id="557522079">
      <w:bodyDiv w:val="1"/>
      <w:marLeft w:val="0"/>
      <w:marRight w:val="0"/>
      <w:marTop w:val="0"/>
      <w:marBottom w:val="0"/>
      <w:divBdr>
        <w:top w:val="none" w:sz="0" w:space="0" w:color="auto"/>
        <w:left w:val="none" w:sz="0" w:space="0" w:color="auto"/>
        <w:bottom w:val="none" w:sz="0" w:space="0" w:color="auto"/>
        <w:right w:val="none" w:sz="0" w:space="0" w:color="auto"/>
      </w:divBdr>
    </w:div>
    <w:div w:id="563372714">
      <w:bodyDiv w:val="1"/>
      <w:marLeft w:val="0"/>
      <w:marRight w:val="0"/>
      <w:marTop w:val="0"/>
      <w:marBottom w:val="0"/>
      <w:divBdr>
        <w:top w:val="none" w:sz="0" w:space="0" w:color="auto"/>
        <w:left w:val="none" w:sz="0" w:space="0" w:color="auto"/>
        <w:bottom w:val="none" w:sz="0" w:space="0" w:color="auto"/>
        <w:right w:val="none" w:sz="0" w:space="0" w:color="auto"/>
      </w:divBdr>
    </w:div>
    <w:div w:id="576937152">
      <w:bodyDiv w:val="1"/>
      <w:marLeft w:val="0"/>
      <w:marRight w:val="0"/>
      <w:marTop w:val="0"/>
      <w:marBottom w:val="0"/>
      <w:divBdr>
        <w:top w:val="none" w:sz="0" w:space="0" w:color="auto"/>
        <w:left w:val="none" w:sz="0" w:space="0" w:color="auto"/>
        <w:bottom w:val="none" w:sz="0" w:space="0" w:color="auto"/>
        <w:right w:val="none" w:sz="0" w:space="0" w:color="auto"/>
      </w:divBdr>
    </w:div>
    <w:div w:id="577129759">
      <w:bodyDiv w:val="1"/>
      <w:marLeft w:val="0"/>
      <w:marRight w:val="0"/>
      <w:marTop w:val="0"/>
      <w:marBottom w:val="0"/>
      <w:divBdr>
        <w:top w:val="none" w:sz="0" w:space="0" w:color="auto"/>
        <w:left w:val="none" w:sz="0" w:space="0" w:color="auto"/>
        <w:bottom w:val="none" w:sz="0" w:space="0" w:color="auto"/>
        <w:right w:val="none" w:sz="0" w:space="0" w:color="auto"/>
      </w:divBdr>
    </w:div>
    <w:div w:id="578255389">
      <w:bodyDiv w:val="1"/>
      <w:marLeft w:val="0"/>
      <w:marRight w:val="0"/>
      <w:marTop w:val="0"/>
      <w:marBottom w:val="0"/>
      <w:divBdr>
        <w:top w:val="none" w:sz="0" w:space="0" w:color="auto"/>
        <w:left w:val="none" w:sz="0" w:space="0" w:color="auto"/>
        <w:bottom w:val="none" w:sz="0" w:space="0" w:color="auto"/>
        <w:right w:val="none" w:sz="0" w:space="0" w:color="auto"/>
      </w:divBdr>
    </w:div>
    <w:div w:id="587471260">
      <w:bodyDiv w:val="1"/>
      <w:marLeft w:val="0"/>
      <w:marRight w:val="0"/>
      <w:marTop w:val="0"/>
      <w:marBottom w:val="0"/>
      <w:divBdr>
        <w:top w:val="none" w:sz="0" w:space="0" w:color="auto"/>
        <w:left w:val="none" w:sz="0" w:space="0" w:color="auto"/>
        <w:bottom w:val="none" w:sz="0" w:space="0" w:color="auto"/>
        <w:right w:val="none" w:sz="0" w:space="0" w:color="auto"/>
      </w:divBdr>
    </w:div>
    <w:div w:id="589435563">
      <w:bodyDiv w:val="1"/>
      <w:marLeft w:val="0"/>
      <w:marRight w:val="0"/>
      <w:marTop w:val="0"/>
      <w:marBottom w:val="0"/>
      <w:divBdr>
        <w:top w:val="none" w:sz="0" w:space="0" w:color="auto"/>
        <w:left w:val="none" w:sz="0" w:space="0" w:color="auto"/>
        <w:bottom w:val="none" w:sz="0" w:space="0" w:color="auto"/>
        <w:right w:val="none" w:sz="0" w:space="0" w:color="auto"/>
      </w:divBdr>
    </w:div>
    <w:div w:id="590161223">
      <w:bodyDiv w:val="1"/>
      <w:marLeft w:val="0"/>
      <w:marRight w:val="0"/>
      <w:marTop w:val="0"/>
      <w:marBottom w:val="0"/>
      <w:divBdr>
        <w:top w:val="none" w:sz="0" w:space="0" w:color="auto"/>
        <w:left w:val="none" w:sz="0" w:space="0" w:color="auto"/>
        <w:bottom w:val="none" w:sz="0" w:space="0" w:color="auto"/>
        <w:right w:val="none" w:sz="0" w:space="0" w:color="auto"/>
      </w:divBdr>
    </w:div>
    <w:div w:id="590820353">
      <w:bodyDiv w:val="1"/>
      <w:marLeft w:val="0"/>
      <w:marRight w:val="0"/>
      <w:marTop w:val="0"/>
      <w:marBottom w:val="0"/>
      <w:divBdr>
        <w:top w:val="none" w:sz="0" w:space="0" w:color="auto"/>
        <w:left w:val="none" w:sz="0" w:space="0" w:color="auto"/>
        <w:bottom w:val="none" w:sz="0" w:space="0" w:color="auto"/>
        <w:right w:val="none" w:sz="0" w:space="0" w:color="auto"/>
      </w:divBdr>
    </w:div>
    <w:div w:id="590822146">
      <w:bodyDiv w:val="1"/>
      <w:marLeft w:val="0"/>
      <w:marRight w:val="0"/>
      <w:marTop w:val="0"/>
      <w:marBottom w:val="0"/>
      <w:divBdr>
        <w:top w:val="none" w:sz="0" w:space="0" w:color="auto"/>
        <w:left w:val="none" w:sz="0" w:space="0" w:color="auto"/>
        <w:bottom w:val="none" w:sz="0" w:space="0" w:color="auto"/>
        <w:right w:val="none" w:sz="0" w:space="0" w:color="auto"/>
      </w:divBdr>
    </w:div>
    <w:div w:id="591090081">
      <w:bodyDiv w:val="1"/>
      <w:marLeft w:val="0"/>
      <w:marRight w:val="0"/>
      <w:marTop w:val="0"/>
      <w:marBottom w:val="0"/>
      <w:divBdr>
        <w:top w:val="none" w:sz="0" w:space="0" w:color="auto"/>
        <w:left w:val="none" w:sz="0" w:space="0" w:color="auto"/>
        <w:bottom w:val="none" w:sz="0" w:space="0" w:color="auto"/>
        <w:right w:val="none" w:sz="0" w:space="0" w:color="auto"/>
      </w:divBdr>
    </w:div>
    <w:div w:id="597367132">
      <w:bodyDiv w:val="1"/>
      <w:marLeft w:val="0"/>
      <w:marRight w:val="0"/>
      <w:marTop w:val="0"/>
      <w:marBottom w:val="0"/>
      <w:divBdr>
        <w:top w:val="none" w:sz="0" w:space="0" w:color="auto"/>
        <w:left w:val="none" w:sz="0" w:space="0" w:color="auto"/>
        <w:bottom w:val="none" w:sz="0" w:space="0" w:color="auto"/>
        <w:right w:val="none" w:sz="0" w:space="0" w:color="auto"/>
      </w:divBdr>
    </w:div>
    <w:div w:id="603924006">
      <w:bodyDiv w:val="1"/>
      <w:marLeft w:val="0"/>
      <w:marRight w:val="0"/>
      <w:marTop w:val="0"/>
      <w:marBottom w:val="0"/>
      <w:divBdr>
        <w:top w:val="none" w:sz="0" w:space="0" w:color="auto"/>
        <w:left w:val="none" w:sz="0" w:space="0" w:color="auto"/>
        <w:bottom w:val="none" w:sz="0" w:space="0" w:color="auto"/>
        <w:right w:val="none" w:sz="0" w:space="0" w:color="auto"/>
      </w:divBdr>
    </w:div>
    <w:div w:id="605313480">
      <w:bodyDiv w:val="1"/>
      <w:marLeft w:val="0"/>
      <w:marRight w:val="0"/>
      <w:marTop w:val="0"/>
      <w:marBottom w:val="0"/>
      <w:divBdr>
        <w:top w:val="none" w:sz="0" w:space="0" w:color="auto"/>
        <w:left w:val="none" w:sz="0" w:space="0" w:color="auto"/>
        <w:bottom w:val="none" w:sz="0" w:space="0" w:color="auto"/>
        <w:right w:val="none" w:sz="0" w:space="0" w:color="auto"/>
      </w:divBdr>
    </w:div>
    <w:div w:id="609969140">
      <w:bodyDiv w:val="1"/>
      <w:marLeft w:val="0"/>
      <w:marRight w:val="0"/>
      <w:marTop w:val="0"/>
      <w:marBottom w:val="0"/>
      <w:divBdr>
        <w:top w:val="none" w:sz="0" w:space="0" w:color="auto"/>
        <w:left w:val="none" w:sz="0" w:space="0" w:color="auto"/>
        <w:bottom w:val="none" w:sz="0" w:space="0" w:color="auto"/>
        <w:right w:val="none" w:sz="0" w:space="0" w:color="auto"/>
      </w:divBdr>
    </w:div>
    <w:div w:id="611324865">
      <w:bodyDiv w:val="1"/>
      <w:marLeft w:val="0"/>
      <w:marRight w:val="0"/>
      <w:marTop w:val="0"/>
      <w:marBottom w:val="0"/>
      <w:divBdr>
        <w:top w:val="none" w:sz="0" w:space="0" w:color="auto"/>
        <w:left w:val="none" w:sz="0" w:space="0" w:color="auto"/>
        <w:bottom w:val="none" w:sz="0" w:space="0" w:color="auto"/>
        <w:right w:val="none" w:sz="0" w:space="0" w:color="auto"/>
      </w:divBdr>
    </w:div>
    <w:div w:id="612369282">
      <w:bodyDiv w:val="1"/>
      <w:marLeft w:val="0"/>
      <w:marRight w:val="0"/>
      <w:marTop w:val="0"/>
      <w:marBottom w:val="0"/>
      <w:divBdr>
        <w:top w:val="none" w:sz="0" w:space="0" w:color="auto"/>
        <w:left w:val="none" w:sz="0" w:space="0" w:color="auto"/>
        <w:bottom w:val="none" w:sz="0" w:space="0" w:color="auto"/>
        <w:right w:val="none" w:sz="0" w:space="0" w:color="auto"/>
      </w:divBdr>
    </w:div>
    <w:div w:id="618340483">
      <w:bodyDiv w:val="1"/>
      <w:marLeft w:val="0"/>
      <w:marRight w:val="0"/>
      <w:marTop w:val="0"/>
      <w:marBottom w:val="0"/>
      <w:divBdr>
        <w:top w:val="none" w:sz="0" w:space="0" w:color="auto"/>
        <w:left w:val="none" w:sz="0" w:space="0" w:color="auto"/>
        <w:bottom w:val="none" w:sz="0" w:space="0" w:color="auto"/>
        <w:right w:val="none" w:sz="0" w:space="0" w:color="auto"/>
      </w:divBdr>
    </w:div>
    <w:div w:id="622463749">
      <w:bodyDiv w:val="1"/>
      <w:marLeft w:val="0"/>
      <w:marRight w:val="0"/>
      <w:marTop w:val="0"/>
      <w:marBottom w:val="0"/>
      <w:divBdr>
        <w:top w:val="none" w:sz="0" w:space="0" w:color="auto"/>
        <w:left w:val="none" w:sz="0" w:space="0" w:color="auto"/>
        <w:bottom w:val="none" w:sz="0" w:space="0" w:color="auto"/>
        <w:right w:val="none" w:sz="0" w:space="0" w:color="auto"/>
      </w:divBdr>
    </w:div>
    <w:div w:id="624891747">
      <w:bodyDiv w:val="1"/>
      <w:marLeft w:val="0"/>
      <w:marRight w:val="0"/>
      <w:marTop w:val="0"/>
      <w:marBottom w:val="0"/>
      <w:divBdr>
        <w:top w:val="none" w:sz="0" w:space="0" w:color="auto"/>
        <w:left w:val="none" w:sz="0" w:space="0" w:color="auto"/>
        <w:bottom w:val="none" w:sz="0" w:space="0" w:color="auto"/>
        <w:right w:val="none" w:sz="0" w:space="0" w:color="auto"/>
      </w:divBdr>
    </w:div>
    <w:div w:id="630403732">
      <w:bodyDiv w:val="1"/>
      <w:marLeft w:val="0"/>
      <w:marRight w:val="0"/>
      <w:marTop w:val="0"/>
      <w:marBottom w:val="0"/>
      <w:divBdr>
        <w:top w:val="none" w:sz="0" w:space="0" w:color="auto"/>
        <w:left w:val="none" w:sz="0" w:space="0" w:color="auto"/>
        <w:bottom w:val="none" w:sz="0" w:space="0" w:color="auto"/>
        <w:right w:val="none" w:sz="0" w:space="0" w:color="auto"/>
      </w:divBdr>
    </w:div>
    <w:div w:id="638338506">
      <w:bodyDiv w:val="1"/>
      <w:marLeft w:val="0"/>
      <w:marRight w:val="0"/>
      <w:marTop w:val="0"/>
      <w:marBottom w:val="0"/>
      <w:divBdr>
        <w:top w:val="none" w:sz="0" w:space="0" w:color="auto"/>
        <w:left w:val="none" w:sz="0" w:space="0" w:color="auto"/>
        <w:bottom w:val="none" w:sz="0" w:space="0" w:color="auto"/>
        <w:right w:val="none" w:sz="0" w:space="0" w:color="auto"/>
      </w:divBdr>
    </w:div>
    <w:div w:id="641008807">
      <w:bodyDiv w:val="1"/>
      <w:marLeft w:val="0"/>
      <w:marRight w:val="0"/>
      <w:marTop w:val="0"/>
      <w:marBottom w:val="0"/>
      <w:divBdr>
        <w:top w:val="none" w:sz="0" w:space="0" w:color="auto"/>
        <w:left w:val="none" w:sz="0" w:space="0" w:color="auto"/>
        <w:bottom w:val="none" w:sz="0" w:space="0" w:color="auto"/>
        <w:right w:val="none" w:sz="0" w:space="0" w:color="auto"/>
      </w:divBdr>
    </w:div>
    <w:div w:id="644159882">
      <w:bodyDiv w:val="1"/>
      <w:marLeft w:val="0"/>
      <w:marRight w:val="0"/>
      <w:marTop w:val="0"/>
      <w:marBottom w:val="0"/>
      <w:divBdr>
        <w:top w:val="none" w:sz="0" w:space="0" w:color="auto"/>
        <w:left w:val="none" w:sz="0" w:space="0" w:color="auto"/>
        <w:bottom w:val="none" w:sz="0" w:space="0" w:color="auto"/>
        <w:right w:val="none" w:sz="0" w:space="0" w:color="auto"/>
      </w:divBdr>
    </w:div>
    <w:div w:id="646519917">
      <w:bodyDiv w:val="1"/>
      <w:marLeft w:val="0"/>
      <w:marRight w:val="0"/>
      <w:marTop w:val="0"/>
      <w:marBottom w:val="0"/>
      <w:divBdr>
        <w:top w:val="none" w:sz="0" w:space="0" w:color="auto"/>
        <w:left w:val="none" w:sz="0" w:space="0" w:color="auto"/>
        <w:bottom w:val="none" w:sz="0" w:space="0" w:color="auto"/>
        <w:right w:val="none" w:sz="0" w:space="0" w:color="auto"/>
      </w:divBdr>
    </w:div>
    <w:div w:id="650863491">
      <w:bodyDiv w:val="1"/>
      <w:marLeft w:val="0"/>
      <w:marRight w:val="0"/>
      <w:marTop w:val="0"/>
      <w:marBottom w:val="0"/>
      <w:divBdr>
        <w:top w:val="none" w:sz="0" w:space="0" w:color="auto"/>
        <w:left w:val="none" w:sz="0" w:space="0" w:color="auto"/>
        <w:bottom w:val="none" w:sz="0" w:space="0" w:color="auto"/>
        <w:right w:val="none" w:sz="0" w:space="0" w:color="auto"/>
      </w:divBdr>
    </w:div>
    <w:div w:id="654992882">
      <w:bodyDiv w:val="1"/>
      <w:marLeft w:val="0"/>
      <w:marRight w:val="0"/>
      <w:marTop w:val="0"/>
      <w:marBottom w:val="0"/>
      <w:divBdr>
        <w:top w:val="none" w:sz="0" w:space="0" w:color="auto"/>
        <w:left w:val="none" w:sz="0" w:space="0" w:color="auto"/>
        <w:bottom w:val="none" w:sz="0" w:space="0" w:color="auto"/>
        <w:right w:val="none" w:sz="0" w:space="0" w:color="auto"/>
      </w:divBdr>
    </w:div>
    <w:div w:id="656036507">
      <w:bodyDiv w:val="1"/>
      <w:marLeft w:val="0"/>
      <w:marRight w:val="0"/>
      <w:marTop w:val="0"/>
      <w:marBottom w:val="0"/>
      <w:divBdr>
        <w:top w:val="none" w:sz="0" w:space="0" w:color="auto"/>
        <w:left w:val="none" w:sz="0" w:space="0" w:color="auto"/>
        <w:bottom w:val="none" w:sz="0" w:space="0" w:color="auto"/>
        <w:right w:val="none" w:sz="0" w:space="0" w:color="auto"/>
      </w:divBdr>
    </w:div>
    <w:div w:id="657222429">
      <w:bodyDiv w:val="1"/>
      <w:marLeft w:val="0"/>
      <w:marRight w:val="0"/>
      <w:marTop w:val="0"/>
      <w:marBottom w:val="0"/>
      <w:divBdr>
        <w:top w:val="none" w:sz="0" w:space="0" w:color="auto"/>
        <w:left w:val="none" w:sz="0" w:space="0" w:color="auto"/>
        <w:bottom w:val="none" w:sz="0" w:space="0" w:color="auto"/>
        <w:right w:val="none" w:sz="0" w:space="0" w:color="auto"/>
      </w:divBdr>
      <w:divsChild>
        <w:div w:id="426660304">
          <w:marLeft w:val="0"/>
          <w:marRight w:val="0"/>
          <w:marTop w:val="0"/>
          <w:marBottom w:val="0"/>
          <w:divBdr>
            <w:top w:val="none" w:sz="0" w:space="0" w:color="auto"/>
            <w:left w:val="none" w:sz="0" w:space="0" w:color="auto"/>
            <w:bottom w:val="none" w:sz="0" w:space="0" w:color="auto"/>
            <w:right w:val="none" w:sz="0" w:space="0" w:color="auto"/>
          </w:divBdr>
          <w:divsChild>
            <w:div w:id="788207521">
              <w:marLeft w:val="0"/>
              <w:marRight w:val="0"/>
              <w:marTop w:val="0"/>
              <w:marBottom w:val="0"/>
              <w:divBdr>
                <w:top w:val="none" w:sz="0" w:space="0" w:color="auto"/>
                <w:left w:val="none" w:sz="0" w:space="0" w:color="auto"/>
                <w:bottom w:val="none" w:sz="0" w:space="0" w:color="auto"/>
                <w:right w:val="none" w:sz="0" w:space="0" w:color="auto"/>
              </w:divBdr>
              <w:divsChild>
                <w:div w:id="149710029">
                  <w:marLeft w:val="0"/>
                  <w:marRight w:val="0"/>
                  <w:marTop w:val="0"/>
                  <w:marBottom w:val="0"/>
                  <w:divBdr>
                    <w:top w:val="none" w:sz="0" w:space="0" w:color="auto"/>
                    <w:left w:val="none" w:sz="0" w:space="0" w:color="auto"/>
                    <w:bottom w:val="none" w:sz="0" w:space="0" w:color="auto"/>
                    <w:right w:val="none" w:sz="0" w:space="0" w:color="auto"/>
                  </w:divBdr>
                  <w:divsChild>
                    <w:div w:id="442307906">
                      <w:marLeft w:val="0"/>
                      <w:marRight w:val="0"/>
                      <w:marTop w:val="0"/>
                      <w:marBottom w:val="0"/>
                      <w:divBdr>
                        <w:top w:val="none" w:sz="0" w:space="0" w:color="auto"/>
                        <w:left w:val="none" w:sz="0" w:space="0" w:color="auto"/>
                        <w:bottom w:val="none" w:sz="0" w:space="0" w:color="auto"/>
                        <w:right w:val="none" w:sz="0" w:space="0" w:color="auto"/>
                      </w:divBdr>
                      <w:divsChild>
                        <w:div w:id="947935279">
                          <w:marLeft w:val="0"/>
                          <w:marRight w:val="0"/>
                          <w:marTop w:val="15"/>
                          <w:marBottom w:val="0"/>
                          <w:divBdr>
                            <w:top w:val="none" w:sz="0" w:space="0" w:color="auto"/>
                            <w:left w:val="none" w:sz="0" w:space="0" w:color="auto"/>
                            <w:bottom w:val="none" w:sz="0" w:space="0" w:color="auto"/>
                            <w:right w:val="none" w:sz="0" w:space="0" w:color="auto"/>
                          </w:divBdr>
                          <w:divsChild>
                            <w:div w:id="1850220941">
                              <w:marLeft w:val="0"/>
                              <w:marRight w:val="0"/>
                              <w:marTop w:val="0"/>
                              <w:marBottom w:val="0"/>
                              <w:divBdr>
                                <w:top w:val="none" w:sz="0" w:space="0" w:color="auto"/>
                                <w:left w:val="none" w:sz="0" w:space="0" w:color="auto"/>
                                <w:bottom w:val="none" w:sz="0" w:space="0" w:color="auto"/>
                                <w:right w:val="none" w:sz="0" w:space="0" w:color="auto"/>
                              </w:divBdr>
                              <w:divsChild>
                                <w:div w:id="1089698386">
                                  <w:marLeft w:val="0"/>
                                  <w:marRight w:val="0"/>
                                  <w:marTop w:val="0"/>
                                  <w:marBottom w:val="0"/>
                                  <w:divBdr>
                                    <w:top w:val="none" w:sz="0" w:space="0" w:color="auto"/>
                                    <w:left w:val="none" w:sz="0" w:space="0" w:color="auto"/>
                                    <w:bottom w:val="none" w:sz="0" w:space="0" w:color="auto"/>
                                    <w:right w:val="none" w:sz="0" w:space="0" w:color="auto"/>
                                  </w:divBdr>
                                </w:div>
                                <w:div w:id="1136024892">
                                  <w:marLeft w:val="0"/>
                                  <w:marRight w:val="0"/>
                                  <w:marTop w:val="0"/>
                                  <w:marBottom w:val="0"/>
                                  <w:divBdr>
                                    <w:top w:val="none" w:sz="0" w:space="0" w:color="auto"/>
                                    <w:left w:val="none" w:sz="0" w:space="0" w:color="auto"/>
                                    <w:bottom w:val="none" w:sz="0" w:space="0" w:color="auto"/>
                                    <w:right w:val="none" w:sz="0" w:space="0" w:color="auto"/>
                                  </w:divBdr>
                                </w:div>
                                <w:div w:id="148840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736011">
      <w:bodyDiv w:val="1"/>
      <w:marLeft w:val="0"/>
      <w:marRight w:val="0"/>
      <w:marTop w:val="0"/>
      <w:marBottom w:val="0"/>
      <w:divBdr>
        <w:top w:val="none" w:sz="0" w:space="0" w:color="auto"/>
        <w:left w:val="none" w:sz="0" w:space="0" w:color="auto"/>
        <w:bottom w:val="none" w:sz="0" w:space="0" w:color="auto"/>
        <w:right w:val="none" w:sz="0" w:space="0" w:color="auto"/>
      </w:divBdr>
    </w:div>
    <w:div w:id="673990772">
      <w:bodyDiv w:val="1"/>
      <w:marLeft w:val="0"/>
      <w:marRight w:val="0"/>
      <w:marTop w:val="0"/>
      <w:marBottom w:val="0"/>
      <w:divBdr>
        <w:top w:val="none" w:sz="0" w:space="0" w:color="auto"/>
        <w:left w:val="none" w:sz="0" w:space="0" w:color="auto"/>
        <w:bottom w:val="none" w:sz="0" w:space="0" w:color="auto"/>
        <w:right w:val="none" w:sz="0" w:space="0" w:color="auto"/>
      </w:divBdr>
    </w:div>
    <w:div w:id="676495198">
      <w:bodyDiv w:val="1"/>
      <w:marLeft w:val="0"/>
      <w:marRight w:val="0"/>
      <w:marTop w:val="0"/>
      <w:marBottom w:val="0"/>
      <w:divBdr>
        <w:top w:val="none" w:sz="0" w:space="0" w:color="auto"/>
        <w:left w:val="none" w:sz="0" w:space="0" w:color="auto"/>
        <w:bottom w:val="none" w:sz="0" w:space="0" w:color="auto"/>
        <w:right w:val="none" w:sz="0" w:space="0" w:color="auto"/>
      </w:divBdr>
    </w:div>
    <w:div w:id="686172673">
      <w:bodyDiv w:val="1"/>
      <w:marLeft w:val="0"/>
      <w:marRight w:val="0"/>
      <w:marTop w:val="0"/>
      <w:marBottom w:val="0"/>
      <w:divBdr>
        <w:top w:val="none" w:sz="0" w:space="0" w:color="auto"/>
        <w:left w:val="none" w:sz="0" w:space="0" w:color="auto"/>
        <w:bottom w:val="none" w:sz="0" w:space="0" w:color="auto"/>
        <w:right w:val="none" w:sz="0" w:space="0" w:color="auto"/>
      </w:divBdr>
    </w:div>
    <w:div w:id="688989261">
      <w:bodyDiv w:val="1"/>
      <w:marLeft w:val="0"/>
      <w:marRight w:val="0"/>
      <w:marTop w:val="0"/>
      <w:marBottom w:val="0"/>
      <w:divBdr>
        <w:top w:val="none" w:sz="0" w:space="0" w:color="auto"/>
        <w:left w:val="none" w:sz="0" w:space="0" w:color="auto"/>
        <w:bottom w:val="none" w:sz="0" w:space="0" w:color="auto"/>
        <w:right w:val="none" w:sz="0" w:space="0" w:color="auto"/>
      </w:divBdr>
    </w:div>
    <w:div w:id="691492137">
      <w:bodyDiv w:val="1"/>
      <w:marLeft w:val="0"/>
      <w:marRight w:val="0"/>
      <w:marTop w:val="0"/>
      <w:marBottom w:val="0"/>
      <w:divBdr>
        <w:top w:val="none" w:sz="0" w:space="0" w:color="auto"/>
        <w:left w:val="none" w:sz="0" w:space="0" w:color="auto"/>
        <w:bottom w:val="none" w:sz="0" w:space="0" w:color="auto"/>
        <w:right w:val="none" w:sz="0" w:space="0" w:color="auto"/>
      </w:divBdr>
    </w:div>
    <w:div w:id="692994073">
      <w:bodyDiv w:val="1"/>
      <w:marLeft w:val="0"/>
      <w:marRight w:val="0"/>
      <w:marTop w:val="0"/>
      <w:marBottom w:val="0"/>
      <w:divBdr>
        <w:top w:val="none" w:sz="0" w:space="0" w:color="auto"/>
        <w:left w:val="none" w:sz="0" w:space="0" w:color="auto"/>
        <w:bottom w:val="none" w:sz="0" w:space="0" w:color="auto"/>
        <w:right w:val="none" w:sz="0" w:space="0" w:color="auto"/>
      </w:divBdr>
    </w:div>
    <w:div w:id="693924453">
      <w:bodyDiv w:val="1"/>
      <w:marLeft w:val="0"/>
      <w:marRight w:val="0"/>
      <w:marTop w:val="0"/>
      <w:marBottom w:val="0"/>
      <w:divBdr>
        <w:top w:val="none" w:sz="0" w:space="0" w:color="auto"/>
        <w:left w:val="none" w:sz="0" w:space="0" w:color="auto"/>
        <w:bottom w:val="none" w:sz="0" w:space="0" w:color="auto"/>
        <w:right w:val="none" w:sz="0" w:space="0" w:color="auto"/>
      </w:divBdr>
    </w:div>
    <w:div w:id="700205709">
      <w:bodyDiv w:val="1"/>
      <w:marLeft w:val="0"/>
      <w:marRight w:val="0"/>
      <w:marTop w:val="0"/>
      <w:marBottom w:val="0"/>
      <w:divBdr>
        <w:top w:val="none" w:sz="0" w:space="0" w:color="auto"/>
        <w:left w:val="none" w:sz="0" w:space="0" w:color="auto"/>
        <w:bottom w:val="none" w:sz="0" w:space="0" w:color="auto"/>
        <w:right w:val="none" w:sz="0" w:space="0" w:color="auto"/>
      </w:divBdr>
    </w:div>
    <w:div w:id="706687712">
      <w:bodyDiv w:val="1"/>
      <w:marLeft w:val="0"/>
      <w:marRight w:val="0"/>
      <w:marTop w:val="0"/>
      <w:marBottom w:val="0"/>
      <w:divBdr>
        <w:top w:val="none" w:sz="0" w:space="0" w:color="auto"/>
        <w:left w:val="none" w:sz="0" w:space="0" w:color="auto"/>
        <w:bottom w:val="none" w:sz="0" w:space="0" w:color="auto"/>
        <w:right w:val="none" w:sz="0" w:space="0" w:color="auto"/>
      </w:divBdr>
    </w:div>
    <w:div w:id="707800255">
      <w:bodyDiv w:val="1"/>
      <w:marLeft w:val="0"/>
      <w:marRight w:val="0"/>
      <w:marTop w:val="0"/>
      <w:marBottom w:val="0"/>
      <w:divBdr>
        <w:top w:val="none" w:sz="0" w:space="0" w:color="auto"/>
        <w:left w:val="none" w:sz="0" w:space="0" w:color="auto"/>
        <w:bottom w:val="none" w:sz="0" w:space="0" w:color="auto"/>
        <w:right w:val="none" w:sz="0" w:space="0" w:color="auto"/>
      </w:divBdr>
    </w:div>
    <w:div w:id="716665181">
      <w:bodyDiv w:val="1"/>
      <w:marLeft w:val="0"/>
      <w:marRight w:val="0"/>
      <w:marTop w:val="0"/>
      <w:marBottom w:val="0"/>
      <w:divBdr>
        <w:top w:val="none" w:sz="0" w:space="0" w:color="auto"/>
        <w:left w:val="none" w:sz="0" w:space="0" w:color="auto"/>
        <w:bottom w:val="none" w:sz="0" w:space="0" w:color="auto"/>
        <w:right w:val="none" w:sz="0" w:space="0" w:color="auto"/>
      </w:divBdr>
    </w:div>
    <w:div w:id="723723921">
      <w:bodyDiv w:val="1"/>
      <w:marLeft w:val="0"/>
      <w:marRight w:val="0"/>
      <w:marTop w:val="0"/>
      <w:marBottom w:val="0"/>
      <w:divBdr>
        <w:top w:val="none" w:sz="0" w:space="0" w:color="auto"/>
        <w:left w:val="none" w:sz="0" w:space="0" w:color="auto"/>
        <w:bottom w:val="none" w:sz="0" w:space="0" w:color="auto"/>
        <w:right w:val="none" w:sz="0" w:space="0" w:color="auto"/>
      </w:divBdr>
    </w:div>
    <w:div w:id="723792716">
      <w:bodyDiv w:val="1"/>
      <w:marLeft w:val="0"/>
      <w:marRight w:val="0"/>
      <w:marTop w:val="0"/>
      <w:marBottom w:val="0"/>
      <w:divBdr>
        <w:top w:val="none" w:sz="0" w:space="0" w:color="auto"/>
        <w:left w:val="none" w:sz="0" w:space="0" w:color="auto"/>
        <w:bottom w:val="none" w:sz="0" w:space="0" w:color="auto"/>
        <w:right w:val="none" w:sz="0" w:space="0" w:color="auto"/>
      </w:divBdr>
    </w:div>
    <w:div w:id="731123829">
      <w:bodyDiv w:val="1"/>
      <w:marLeft w:val="0"/>
      <w:marRight w:val="0"/>
      <w:marTop w:val="0"/>
      <w:marBottom w:val="0"/>
      <w:divBdr>
        <w:top w:val="none" w:sz="0" w:space="0" w:color="auto"/>
        <w:left w:val="none" w:sz="0" w:space="0" w:color="auto"/>
        <w:bottom w:val="none" w:sz="0" w:space="0" w:color="auto"/>
        <w:right w:val="none" w:sz="0" w:space="0" w:color="auto"/>
      </w:divBdr>
    </w:div>
    <w:div w:id="733818525">
      <w:bodyDiv w:val="1"/>
      <w:marLeft w:val="0"/>
      <w:marRight w:val="0"/>
      <w:marTop w:val="0"/>
      <w:marBottom w:val="0"/>
      <w:divBdr>
        <w:top w:val="none" w:sz="0" w:space="0" w:color="auto"/>
        <w:left w:val="none" w:sz="0" w:space="0" w:color="auto"/>
        <w:bottom w:val="none" w:sz="0" w:space="0" w:color="auto"/>
        <w:right w:val="none" w:sz="0" w:space="0" w:color="auto"/>
      </w:divBdr>
    </w:div>
    <w:div w:id="734088646">
      <w:bodyDiv w:val="1"/>
      <w:marLeft w:val="0"/>
      <w:marRight w:val="0"/>
      <w:marTop w:val="0"/>
      <w:marBottom w:val="0"/>
      <w:divBdr>
        <w:top w:val="none" w:sz="0" w:space="0" w:color="auto"/>
        <w:left w:val="none" w:sz="0" w:space="0" w:color="auto"/>
        <w:bottom w:val="none" w:sz="0" w:space="0" w:color="auto"/>
        <w:right w:val="none" w:sz="0" w:space="0" w:color="auto"/>
      </w:divBdr>
    </w:div>
    <w:div w:id="737870258">
      <w:bodyDiv w:val="1"/>
      <w:marLeft w:val="0"/>
      <w:marRight w:val="0"/>
      <w:marTop w:val="0"/>
      <w:marBottom w:val="0"/>
      <w:divBdr>
        <w:top w:val="none" w:sz="0" w:space="0" w:color="auto"/>
        <w:left w:val="none" w:sz="0" w:space="0" w:color="auto"/>
        <w:bottom w:val="none" w:sz="0" w:space="0" w:color="auto"/>
        <w:right w:val="none" w:sz="0" w:space="0" w:color="auto"/>
      </w:divBdr>
    </w:div>
    <w:div w:id="740179479">
      <w:bodyDiv w:val="1"/>
      <w:marLeft w:val="0"/>
      <w:marRight w:val="0"/>
      <w:marTop w:val="0"/>
      <w:marBottom w:val="0"/>
      <w:divBdr>
        <w:top w:val="none" w:sz="0" w:space="0" w:color="auto"/>
        <w:left w:val="none" w:sz="0" w:space="0" w:color="auto"/>
        <w:bottom w:val="none" w:sz="0" w:space="0" w:color="auto"/>
        <w:right w:val="none" w:sz="0" w:space="0" w:color="auto"/>
      </w:divBdr>
    </w:div>
    <w:div w:id="746146944">
      <w:bodyDiv w:val="1"/>
      <w:marLeft w:val="0"/>
      <w:marRight w:val="0"/>
      <w:marTop w:val="0"/>
      <w:marBottom w:val="0"/>
      <w:divBdr>
        <w:top w:val="none" w:sz="0" w:space="0" w:color="auto"/>
        <w:left w:val="none" w:sz="0" w:space="0" w:color="auto"/>
        <w:bottom w:val="none" w:sz="0" w:space="0" w:color="auto"/>
        <w:right w:val="none" w:sz="0" w:space="0" w:color="auto"/>
      </w:divBdr>
    </w:div>
    <w:div w:id="750002834">
      <w:bodyDiv w:val="1"/>
      <w:marLeft w:val="0"/>
      <w:marRight w:val="0"/>
      <w:marTop w:val="0"/>
      <w:marBottom w:val="0"/>
      <w:divBdr>
        <w:top w:val="none" w:sz="0" w:space="0" w:color="auto"/>
        <w:left w:val="none" w:sz="0" w:space="0" w:color="auto"/>
        <w:bottom w:val="none" w:sz="0" w:space="0" w:color="auto"/>
        <w:right w:val="none" w:sz="0" w:space="0" w:color="auto"/>
      </w:divBdr>
    </w:div>
    <w:div w:id="750200597">
      <w:bodyDiv w:val="1"/>
      <w:marLeft w:val="0"/>
      <w:marRight w:val="0"/>
      <w:marTop w:val="0"/>
      <w:marBottom w:val="0"/>
      <w:divBdr>
        <w:top w:val="none" w:sz="0" w:space="0" w:color="auto"/>
        <w:left w:val="none" w:sz="0" w:space="0" w:color="auto"/>
        <w:bottom w:val="none" w:sz="0" w:space="0" w:color="auto"/>
        <w:right w:val="none" w:sz="0" w:space="0" w:color="auto"/>
      </w:divBdr>
    </w:div>
    <w:div w:id="758452343">
      <w:bodyDiv w:val="1"/>
      <w:marLeft w:val="0"/>
      <w:marRight w:val="0"/>
      <w:marTop w:val="0"/>
      <w:marBottom w:val="0"/>
      <w:divBdr>
        <w:top w:val="none" w:sz="0" w:space="0" w:color="auto"/>
        <w:left w:val="none" w:sz="0" w:space="0" w:color="auto"/>
        <w:bottom w:val="none" w:sz="0" w:space="0" w:color="auto"/>
        <w:right w:val="none" w:sz="0" w:space="0" w:color="auto"/>
      </w:divBdr>
    </w:div>
    <w:div w:id="762647803">
      <w:bodyDiv w:val="1"/>
      <w:marLeft w:val="0"/>
      <w:marRight w:val="0"/>
      <w:marTop w:val="0"/>
      <w:marBottom w:val="0"/>
      <w:divBdr>
        <w:top w:val="none" w:sz="0" w:space="0" w:color="auto"/>
        <w:left w:val="none" w:sz="0" w:space="0" w:color="auto"/>
        <w:bottom w:val="none" w:sz="0" w:space="0" w:color="auto"/>
        <w:right w:val="none" w:sz="0" w:space="0" w:color="auto"/>
      </w:divBdr>
    </w:div>
    <w:div w:id="770516518">
      <w:bodyDiv w:val="1"/>
      <w:marLeft w:val="0"/>
      <w:marRight w:val="0"/>
      <w:marTop w:val="0"/>
      <w:marBottom w:val="0"/>
      <w:divBdr>
        <w:top w:val="none" w:sz="0" w:space="0" w:color="auto"/>
        <w:left w:val="none" w:sz="0" w:space="0" w:color="auto"/>
        <w:bottom w:val="none" w:sz="0" w:space="0" w:color="auto"/>
        <w:right w:val="none" w:sz="0" w:space="0" w:color="auto"/>
      </w:divBdr>
    </w:div>
    <w:div w:id="777260560">
      <w:bodyDiv w:val="1"/>
      <w:marLeft w:val="0"/>
      <w:marRight w:val="0"/>
      <w:marTop w:val="0"/>
      <w:marBottom w:val="0"/>
      <w:divBdr>
        <w:top w:val="none" w:sz="0" w:space="0" w:color="auto"/>
        <w:left w:val="none" w:sz="0" w:space="0" w:color="auto"/>
        <w:bottom w:val="none" w:sz="0" w:space="0" w:color="auto"/>
        <w:right w:val="none" w:sz="0" w:space="0" w:color="auto"/>
      </w:divBdr>
    </w:div>
    <w:div w:id="777674373">
      <w:bodyDiv w:val="1"/>
      <w:marLeft w:val="0"/>
      <w:marRight w:val="0"/>
      <w:marTop w:val="0"/>
      <w:marBottom w:val="0"/>
      <w:divBdr>
        <w:top w:val="none" w:sz="0" w:space="0" w:color="auto"/>
        <w:left w:val="none" w:sz="0" w:space="0" w:color="auto"/>
        <w:bottom w:val="none" w:sz="0" w:space="0" w:color="auto"/>
        <w:right w:val="none" w:sz="0" w:space="0" w:color="auto"/>
      </w:divBdr>
    </w:div>
    <w:div w:id="778332044">
      <w:bodyDiv w:val="1"/>
      <w:marLeft w:val="0"/>
      <w:marRight w:val="0"/>
      <w:marTop w:val="0"/>
      <w:marBottom w:val="0"/>
      <w:divBdr>
        <w:top w:val="none" w:sz="0" w:space="0" w:color="auto"/>
        <w:left w:val="none" w:sz="0" w:space="0" w:color="auto"/>
        <w:bottom w:val="none" w:sz="0" w:space="0" w:color="auto"/>
        <w:right w:val="none" w:sz="0" w:space="0" w:color="auto"/>
      </w:divBdr>
    </w:div>
    <w:div w:id="778767664">
      <w:bodyDiv w:val="1"/>
      <w:marLeft w:val="0"/>
      <w:marRight w:val="0"/>
      <w:marTop w:val="0"/>
      <w:marBottom w:val="0"/>
      <w:divBdr>
        <w:top w:val="none" w:sz="0" w:space="0" w:color="auto"/>
        <w:left w:val="none" w:sz="0" w:space="0" w:color="auto"/>
        <w:bottom w:val="none" w:sz="0" w:space="0" w:color="auto"/>
        <w:right w:val="none" w:sz="0" w:space="0" w:color="auto"/>
      </w:divBdr>
    </w:div>
    <w:div w:id="782001108">
      <w:bodyDiv w:val="1"/>
      <w:marLeft w:val="0"/>
      <w:marRight w:val="0"/>
      <w:marTop w:val="0"/>
      <w:marBottom w:val="0"/>
      <w:divBdr>
        <w:top w:val="none" w:sz="0" w:space="0" w:color="auto"/>
        <w:left w:val="none" w:sz="0" w:space="0" w:color="auto"/>
        <w:bottom w:val="none" w:sz="0" w:space="0" w:color="auto"/>
        <w:right w:val="none" w:sz="0" w:space="0" w:color="auto"/>
      </w:divBdr>
    </w:div>
    <w:div w:id="785276218">
      <w:bodyDiv w:val="1"/>
      <w:marLeft w:val="0"/>
      <w:marRight w:val="0"/>
      <w:marTop w:val="0"/>
      <w:marBottom w:val="0"/>
      <w:divBdr>
        <w:top w:val="none" w:sz="0" w:space="0" w:color="auto"/>
        <w:left w:val="none" w:sz="0" w:space="0" w:color="auto"/>
        <w:bottom w:val="none" w:sz="0" w:space="0" w:color="auto"/>
        <w:right w:val="none" w:sz="0" w:space="0" w:color="auto"/>
      </w:divBdr>
    </w:div>
    <w:div w:id="789012304">
      <w:bodyDiv w:val="1"/>
      <w:marLeft w:val="0"/>
      <w:marRight w:val="0"/>
      <w:marTop w:val="0"/>
      <w:marBottom w:val="0"/>
      <w:divBdr>
        <w:top w:val="none" w:sz="0" w:space="0" w:color="auto"/>
        <w:left w:val="none" w:sz="0" w:space="0" w:color="auto"/>
        <w:bottom w:val="none" w:sz="0" w:space="0" w:color="auto"/>
        <w:right w:val="none" w:sz="0" w:space="0" w:color="auto"/>
      </w:divBdr>
    </w:div>
    <w:div w:id="790435820">
      <w:bodyDiv w:val="1"/>
      <w:marLeft w:val="0"/>
      <w:marRight w:val="0"/>
      <w:marTop w:val="0"/>
      <w:marBottom w:val="0"/>
      <w:divBdr>
        <w:top w:val="none" w:sz="0" w:space="0" w:color="auto"/>
        <w:left w:val="none" w:sz="0" w:space="0" w:color="auto"/>
        <w:bottom w:val="none" w:sz="0" w:space="0" w:color="auto"/>
        <w:right w:val="none" w:sz="0" w:space="0" w:color="auto"/>
      </w:divBdr>
    </w:div>
    <w:div w:id="791479074">
      <w:bodyDiv w:val="1"/>
      <w:marLeft w:val="0"/>
      <w:marRight w:val="0"/>
      <w:marTop w:val="0"/>
      <w:marBottom w:val="0"/>
      <w:divBdr>
        <w:top w:val="none" w:sz="0" w:space="0" w:color="auto"/>
        <w:left w:val="none" w:sz="0" w:space="0" w:color="auto"/>
        <w:bottom w:val="none" w:sz="0" w:space="0" w:color="auto"/>
        <w:right w:val="none" w:sz="0" w:space="0" w:color="auto"/>
      </w:divBdr>
    </w:div>
    <w:div w:id="794131456">
      <w:bodyDiv w:val="1"/>
      <w:marLeft w:val="0"/>
      <w:marRight w:val="0"/>
      <w:marTop w:val="0"/>
      <w:marBottom w:val="0"/>
      <w:divBdr>
        <w:top w:val="none" w:sz="0" w:space="0" w:color="auto"/>
        <w:left w:val="none" w:sz="0" w:space="0" w:color="auto"/>
        <w:bottom w:val="none" w:sz="0" w:space="0" w:color="auto"/>
        <w:right w:val="none" w:sz="0" w:space="0" w:color="auto"/>
      </w:divBdr>
    </w:div>
    <w:div w:id="796529858">
      <w:bodyDiv w:val="1"/>
      <w:marLeft w:val="0"/>
      <w:marRight w:val="0"/>
      <w:marTop w:val="0"/>
      <w:marBottom w:val="0"/>
      <w:divBdr>
        <w:top w:val="none" w:sz="0" w:space="0" w:color="auto"/>
        <w:left w:val="none" w:sz="0" w:space="0" w:color="auto"/>
        <w:bottom w:val="none" w:sz="0" w:space="0" w:color="auto"/>
        <w:right w:val="none" w:sz="0" w:space="0" w:color="auto"/>
      </w:divBdr>
    </w:div>
    <w:div w:id="808010208">
      <w:bodyDiv w:val="1"/>
      <w:marLeft w:val="0"/>
      <w:marRight w:val="0"/>
      <w:marTop w:val="0"/>
      <w:marBottom w:val="0"/>
      <w:divBdr>
        <w:top w:val="none" w:sz="0" w:space="0" w:color="auto"/>
        <w:left w:val="none" w:sz="0" w:space="0" w:color="auto"/>
        <w:bottom w:val="none" w:sz="0" w:space="0" w:color="auto"/>
        <w:right w:val="none" w:sz="0" w:space="0" w:color="auto"/>
      </w:divBdr>
    </w:div>
    <w:div w:id="810757322">
      <w:bodyDiv w:val="1"/>
      <w:marLeft w:val="0"/>
      <w:marRight w:val="0"/>
      <w:marTop w:val="0"/>
      <w:marBottom w:val="0"/>
      <w:divBdr>
        <w:top w:val="none" w:sz="0" w:space="0" w:color="auto"/>
        <w:left w:val="none" w:sz="0" w:space="0" w:color="auto"/>
        <w:bottom w:val="none" w:sz="0" w:space="0" w:color="auto"/>
        <w:right w:val="none" w:sz="0" w:space="0" w:color="auto"/>
      </w:divBdr>
    </w:div>
    <w:div w:id="813064451">
      <w:bodyDiv w:val="1"/>
      <w:marLeft w:val="0"/>
      <w:marRight w:val="0"/>
      <w:marTop w:val="0"/>
      <w:marBottom w:val="0"/>
      <w:divBdr>
        <w:top w:val="none" w:sz="0" w:space="0" w:color="auto"/>
        <w:left w:val="none" w:sz="0" w:space="0" w:color="auto"/>
        <w:bottom w:val="none" w:sz="0" w:space="0" w:color="auto"/>
        <w:right w:val="none" w:sz="0" w:space="0" w:color="auto"/>
      </w:divBdr>
    </w:div>
    <w:div w:id="814220851">
      <w:bodyDiv w:val="1"/>
      <w:marLeft w:val="0"/>
      <w:marRight w:val="0"/>
      <w:marTop w:val="0"/>
      <w:marBottom w:val="0"/>
      <w:divBdr>
        <w:top w:val="none" w:sz="0" w:space="0" w:color="auto"/>
        <w:left w:val="none" w:sz="0" w:space="0" w:color="auto"/>
        <w:bottom w:val="none" w:sz="0" w:space="0" w:color="auto"/>
        <w:right w:val="none" w:sz="0" w:space="0" w:color="auto"/>
      </w:divBdr>
    </w:div>
    <w:div w:id="814369536">
      <w:bodyDiv w:val="1"/>
      <w:marLeft w:val="0"/>
      <w:marRight w:val="0"/>
      <w:marTop w:val="0"/>
      <w:marBottom w:val="0"/>
      <w:divBdr>
        <w:top w:val="none" w:sz="0" w:space="0" w:color="auto"/>
        <w:left w:val="none" w:sz="0" w:space="0" w:color="auto"/>
        <w:bottom w:val="none" w:sz="0" w:space="0" w:color="auto"/>
        <w:right w:val="none" w:sz="0" w:space="0" w:color="auto"/>
      </w:divBdr>
    </w:div>
    <w:div w:id="818031709">
      <w:bodyDiv w:val="1"/>
      <w:marLeft w:val="0"/>
      <w:marRight w:val="0"/>
      <w:marTop w:val="0"/>
      <w:marBottom w:val="0"/>
      <w:divBdr>
        <w:top w:val="none" w:sz="0" w:space="0" w:color="auto"/>
        <w:left w:val="none" w:sz="0" w:space="0" w:color="auto"/>
        <w:bottom w:val="none" w:sz="0" w:space="0" w:color="auto"/>
        <w:right w:val="none" w:sz="0" w:space="0" w:color="auto"/>
      </w:divBdr>
    </w:div>
    <w:div w:id="820997518">
      <w:bodyDiv w:val="1"/>
      <w:marLeft w:val="0"/>
      <w:marRight w:val="0"/>
      <w:marTop w:val="0"/>
      <w:marBottom w:val="0"/>
      <w:divBdr>
        <w:top w:val="none" w:sz="0" w:space="0" w:color="auto"/>
        <w:left w:val="none" w:sz="0" w:space="0" w:color="auto"/>
        <w:bottom w:val="none" w:sz="0" w:space="0" w:color="auto"/>
        <w:right w:val="none" w:sz="0" w:space="0" w:color="auto"/>
      </w:divBdr>
    </w:div>
    <w:div w:id="827330471">
      <w:bodyDiv w:val="1"/>
      <w:marLeft w:val="0"/>
      <w:marRight w:val="0"/>
      <w:marTop w:val="0"/>
      <w:marBottom w:val="0"/>
      <w:divBdr>
        <w:top w:val="none" w:sz="0" w:space="0" w:color="auto"/>
        <w:left w:val="none" w:sz="0" w:space="0" w:color="auto"/>
        <w:bottom w:val="none" w:sz="0" w:space="0" w:color="auto"/>
        <w:right w:val="none" w:sz="0" w:space="0" w:color="auto"/>
      </w:divBdr>
    </w:div>
    <w:div w:id="827745605">
      <w:bodyDiv w:val="1"/>
      <w:marLeft w:val="0"/>
      <w:marRight w:val="0"/>
      <w:marTop w:val="0"/>
      <w:marBottom w:val="0"/>
      <w:divBdr>
        <w:top w:val="none" w:sz="0" w:space="0" w:color="auto"/>
        <w:left w:val="none" w:sz="0" w:space="0" w:color="auto"/>
        <w:bottom w:val="none" w:sz="0" w:space="0" w:color="auto"/>
        <w:right w:val="none" w:sz="0" w:space="0" w:color="auto"/>
      </w:divBdr>
    </w:div>
    <w:div w:id="828987234">
      <w:bodyDiv w:val="1"/>
      <w:marLeft w:val="0"/>
      <w:marRight w:val="0"/>
      <w:marTop w:val="0"/>
      <w:marBottom w:val="0"/>
      <w:divBdr>
        <w:top w:val="none" w:sz="0" w:space="0" w:color="auto"/>
        <w:left w:val="none" w:sz="0" w:space="0" w:color="auto"/>
        <w:bottom w:val="none" w:sz="0" w:space="0" w:color="auto"/>
        <w:right w:val="none" w:sz="0" w:space="0" w:color="auto"/>
      </w:divBdr>
    </w:div>
    <w:div w:id="832186988">
      <w:bodyDiv w:val="1"/>
      <w:marLeft w:val="0"/>
      <w:marRight w:val="0"/>
      <w:marTop w:val="0"/>
      <w:marBottom w:val="0"/>
      <w:divBdr>
        <w:top w:val="none" w:sz="0" w:space="0" w:color="auto"/>
        <w:left w:val="none" w:sz="0" w:space="0" w:color="auto"/>
        <w:bottom w:val="none" w:sz="0" w:space="0" w:color="auto"/>
        <w:right w:val="none" w:sz="0" w:space="0" w:color="auto"/>
      </w:divBdr>
    </w:div>
    <w:div w:id="835539713">
      <w:bodyDiv w:val="1"/>
      <w:marLeft w:val="0"/>
      <w:marRight w:val="0"/>
      <w:marTop w:val="0"/>
      <w:marBottom w:val="0"/>
      <w:divBdr>
        <w:top w:val="none" w:sz="0" w:space="0" w:color="auto"/>
        <w:left w:val="none" w:sz="0" w:space="0" w:color="auto"/>
        <w:bottom w:val="none" w:sz="0" w:space="0" w:color="auto"/>
        <w:right w:val="none" w:sz="0" w:space="0" w:color="auto"/>
      </w:divBdr>
    </w:div>
    <w:div w:id="836381538">
      <w:bodyDiv w:val="1"/>
      <w:marLeft w:val="0"/>
      <w:marRight w:val="0"/>
      <w:marTop w:val="0"/>
      <w:marBottom w:val="0"/>
      <w:divBdr>
        <w:top w:val="none" w:sz="0" w:space="0" w:color="auto"/>
        <w:left w:val="none" w:sz="0" w:space="0" w:color="auto"/>
        <w:bottom w:val="none" w:sz="0" w:space="0" w:color="auto"/>
        <w:right w:val="none" w:sz="0" w:space="0" w:color="auto"/>
      </w:divBdr>
    </w:div>
    <w:div w:id="842739887">
      <w:bodyDiv w:val="1"/>
      <w:marLeft w:val="0"/>
      <w:marRight w:val="0"/>
      <w:marTop w:val="0"/>
      <w:marBottom w:val="0"/>
      <w:divBdr>
        <w:top w:val="none" w:sz="0" w:space="0" w:color="auto"/>
        <w:left w:val="none" w:sz="0" w:space="0" w:color="auto"/>
        <w:bottom w:val="none" w:sz="0" w:space="0" w:color="auto"/>
        <w:right w:val="none" w:sz="0" w:space="0" w:color="auto"/>
      </w:divBdr>
    </w:div>
    <w:div w:id="844172238">
      <w:bodyDiv w:val="1"/>
      <w:marLeft w:val="0"/>
      <w:marRight w:val="0"/>
      <w:marTop w:val="0"/>
      <w:marBottom w:val="0"/>
      <w:divBdr>
        <w:top w:val="none" w:sz="0" w:space="0" w:color="auto"/>
        <w:left w:val="none" w:sz="0" w:space="0" w:color="auto"/>
        <w:bottom w:val="none" w:sz="0" w:space="0" w:color="auto"/>
        <w:right w:val="none" w:sz="0" w:space="0" w:color="auto"/>
      </w:divBdr>
    </w:div>
    <w:div w:id="849223534">
      <w:bodyDiv w:val="1"/>
      <w:marLeft w:val="0"/>
      <w:marRight w:val="0"/>
      <w:marTop w:val="0"/>
      <w:marBottom w:val="0"/>
      <w:divBdr>
        <w:top w:val="none" w:sz="0" w:space="0" w:color="auto"/>
        <w:left w:val="none" w:sz="0" w:space="0" w:color="auto"/>
        <w:bottom w:val="none" w:sz="0" w:space="0" w:color="auto"/>
        <w:right w:val="none" w:sz="0" w:space="0" w:color="auto"/>
      </w:divBdr>
    </w:div>
    <w:div w:id="851336025">
      <w:bodyDiv w:val="1"/>
      <w:marLeft w:val="0"/>
      <w:marRight w:val="0"/>
      <w:marTop w:val="0"/>
      <w:marBottom w:val="0"/>
      <w:divBdr>
        <w:top w:val="none" w:sz="0" w:space="0" w:color="auto"/>
        <w:left w:val="none" w:sz="0" w:space="0" w:color="auto"/>
        <w:bottom w:val="none" w:sz="0" w:space="0" w:color="auto"/>
        <w:right w:val="none" w:sz="0" w:space="0" w:color="auto"/>
      </w:divBdr>
    </w:div>
    <w:div w:id="852963764">
      <w:bodyDiv w:val="1"/>
      <w:marLeft w:val="0"/>
      <w:marRight w:val="0"/>
      <w:marTop w:val="0"/>
      <w:marBottom w:val="0"/>
      <w:divBdr>
        <w:top w:val="none" w:sz="0" w:space="0" w:color="auto"/>
        <w:left w:val="none" w:sz="0" w:space="0" w:color="auto"/>
        <w:bottom w:val="none" w:sz="0" w:space="0" w:color="auto"/>
        <w:right w:val="none" w:sz="0" w:space="0" w:color="auto"/>
      </w:divBdr>
    </w:div>
    <w:div w:id="854464369">
      <w:bodyDiv w:val="1"/>
      <w:marLeft w:val="0"/>
      <w:marRight w:val="0"/>
      <w:marTop w:val="0"/>
      <w:marBottom w:val="0"/>
      <w:divBdr>
        <w:top w:val="none" w:sz="0" w:space="0" w:color="auto"/>
        <w:left w:val="none" w:sz="0" w:space="0" w:color="auto"/>
        <w:bottom w:val="none" w:sz="0" w:space="0" w:color="auto"/>
        <w:right w:val="none" w:sz="0" w:space="0" w:color="auto"/>
      </w:divBdr>
    </w:div>
    <w:div w:id="856693745">
      <w:bodyDiv w:val="1"/>
      <w:marLeft w:val="0"/>
      <w:marRight w:val="0"/>
      <w:marTop w:val="0"/>
      <w:marBottom w:val="0"/>
      <w:divBdr>
        <w:top w:val="none" w:sz="0" w:space="0" w:color="auto"/>
        <w:left w:val="none" w:sz="0" w:space="0" w:color="auto"/>
        <w:bottom w:val="none" w:sz="0" w:space="0" w:color="auto"/>
        <w:right w:val="none" w:sz="0" w:space="0" w:color="auto"/>
      </w:divBdr>
    </w:div>
    <w:div w:id="866524622">
      <w:bodyDiv w:val="1"/>
      <w:marLeft w:val="0"/>
      <w:marRight w:val="0"/>
      <w:marTop w:val="0"/>
      <w:marBottom w:val="0"/>
      <w:divBdr>
        <w:top w:val="none" w:sz="0" w:space="0" w:color="auto"/>
        <w:left w:val="none" w:sz="0" w:space="0" w:color="auto"/>
        <w:bottom w:val="none" w:sz="0" w:space="0" w:color="auto"/>
        <w:right w:val="none" w:sz="0" w:space="0" w:color="auto"/>
      </w:divBdr>
    </w:div>
    <w:div w:id="869342306">
      <w:bodyDiv w:val="1"/>
      <w:marLeft w:val="0"/>
      <w:marRight w:val="0"/>
      <w:marTop w:val="0"/>
      <w:marBottom w:val="0"/>
      <w:divBdr>
        <w:top w:val="none" w:sz="0" w:space="0" w:color="auto"/>
        <w:left w:val="none" w:sz="0" w:space="0" w:color="auto"/>
        <w:bottom w:val="none" w:sz="0" w:space="0" w:color="auto"/>
        <w:right w:val="none" w:sz="0" w:space="0" w:color="auto"/>
      </w:divBdr>
    </w:div>
    <w:div w:id="870653990">
      <w:bodyDiv w:val="1"/>
      <w:marLeft w:val="0"/>
      <w:marRight w:val="0"/>
      <w:marTop w:val="0"/>
      <w:marBottom w:val="0"/>
      <w:divBdr>
        <w:top w:val="none" w:sz="0" w:space="0" w:color="auto"/>
        <w:left w:val="none" w:sz="0" w:space="0" w:color="auto"/>
        <w:bottom w:val="none" w:sz="0" w:space="0" w:color="auto"/>
        <w:right w:val="none" w:sz="0" w:space="0" w:color="auto"/>
      </w:divBdr>
    </w:div>
    <w:div w:id="873543637">
      <w:bodyDiv w:val="1"/>
      <w:marLeft w:val="0"/>
      <w:marRight w:val="0"/>
      <w:marTop w:val="0"/>
      <w:marBottom w:val="0"/>
      <w:divBdr>
        <w:top w:val="none" w:sz="0" w:space="0" w:color="auto"/>
        <w:left w:val="none" w:sz="0" w:space="0" w:color="auto"/>
        <w:bottom w:val="none" w:sz="0" w:space="0" w:color="auto"/>
        <w:right w:val="none" w:sz="0" w:space="0" w:color="auto"/>
      </w:divBdr>
    </w:div>
    <w:div w:id="878709324">
      <w:bodyDiv w:val="1"/>
      <w:marLeft w:val="0"/>
      <w:marRight w:val="0"/>
      <w:marTop w:val="0"/>
      <w:marBottom w:val="0"/>
      <w:divBdr>
        <w:top w:val="none" w:sz="0" w:space="0" w:color="auto"/>
        <w:left w:val="none" w:sz="0" w:space="0" w:color="auto"/>
        <w:bottom w:val="none" w:sz="0" w:space="0" w:color="auto"/>
        <w:right w:val="none" w:sz="0" w:space="0" w:color="auto"/>
      </w:divBdr>
    </w:div>
    <w:div w:id="880018390">
      <w:bodyDiv w:val="1"/>
      <w:marLeft w:val="0"/>
      <w:marRight w:val="0"/>
      <w:marTop w:val="0"/>
      <w:marBottom w:val="0"/>
      <w:divBdr>
        <w:top w:val="none" w:sz="0" w:space="0" w:color="auto"/>
        <w:left w:val="none" w:sz="0" w:space="0" w:color="auto"/>
        <w:bottom w:val="none" w:sz="0" w:space="0" w:color="auto"/>
        <w:right w:val="none" w:sz="0" w:space="0" w:color="auto"/>
      </w:divBdr>
    </w:div>
    <w:div w:id="901869480">
      <w:bodyDiv w:val="1"/>
      <w:marLeft w:val="0"/>
      <w:marRight w:val="0"/>
      <w:marTop w:val="0"/>
      <w:marBottom w:val="0"/>
      <w:divBdr>
        <w:top w:val="none" w:sz="0" w:space="0" w:color="auto"/>
        <w:left w:val="none" w:sz="0" w:space="0" w:color="auto"/>
        <w:bottom w:val="none" w:sz="0" w:space="0" w:color="auto"/>
        <w:right w:val="none" w:sz="0" w:space="0" w:color="auto"/>
      </w:divBdr>
    </w:div>
    <w:div w:id="903417949">
      <w:bodyDiv w:val="1"/>
      <w:marLeft w:val="0"/>
      <w:marRight w:val="0"/>
      <w:marTop w:val="0"/>
      <w:marBottom w:val="0"/>
      <w:divBdr>
        <w:top w:val="none" w:sz="0" w:space="0" w:color="auto"/>
        <w:left w:val="none" w:sz="0" w:space="0" w:color="auto"/>
        <w:bottom w:val="none" w:sz="0" w:space="0" w:color="auto"/>
        <w:right w:val="none" w:sz="0" w:space="0" w:color="auto"/>
      </w:divBdr>
    </w:div>
    <w:div w:id="914707166">
      <w:bodyDiv w:val="1"/>
      <w:marLeft w:val="0"/>
      <w:marRight w:val="0"/>
      <w:marTop w:val="0"/>
      <w:marBottom w:val="0"/>
      <w:divBdr>
        <w:top w:val="none" w:sz="0" w:space="0" w:color="auto"/>
        <w:left w:val="none" w:sz="0" w:space="0" w:color="auto"/>
        <w:bottom w:val="none" w:sz="0" w:space="0" w:color="auto"/>
        <w:right w:val="none" w:sz="0" w:space="0" w:color="auto"/>
      </w:divBdr>
    </w:div>
    <w:div w:id="924415718">
      <w:bodyDiv w:val="1"/>
      <w:marLeft w:val="0"/>
      <w:marRight w:val="0"/>
      <w:marTop w:val="0"/>
      <w:marBottom w:val="0"/>
      <w:divBdr>
        <w:top w:val="none" w:sz="0" w:space="0" w:color="auto"/>
        <w:left w:val="none" w:sz="0" w:space="0" w:color="auto"/>
        <w:bottom w:val="none" w:sz="0" w:space="0" w:color="auto"/>
        <w:right w:val="none" w:sz="0" w:space="0" w:color="auto"/>
      </w:divBdr>
    </w:div>
    <w:div w:id="929704035">
      <w:bodyDiv w:val="1"/>
      <w:marLeft w:val="0"/>
      <w:marRight w:val="0"/>
      <w:marTop w:val="0"/>
      <w:marBottom w:val="0"/>
      <w:divBdr>
        <w:top w:val="none" w:sz="0" w:space="0" w:color="auto"/>
        <w:left w:val="none" w:sz="0" w:space="0" w:color="auto"/>
        <w:bottom w:val="none" w:sz="0" w:space="0" w:color="auto"/>
        <w:right w:val="none" w:sz="0" w:space="0" w:color="auto"/>
      </w:divBdr>
    </w:div>
    <w:div w:id="929854624">
      <w:bodyDiv w:val="1"/>
      <w:marLeft w:val="0"/>
      <w:marRight w:val="0"/>
      <w:marTop w:val="0"/>
      <w:marBottom w:val="0"/>
      <w:divBdr>
        <w:top w:val="none" w:sz="0" w:space="0" w:color="auto"/>
        <w:left w:val="none" w:sz="0" w:space="0" w:color="auto"/>
        <w:bottom w:val="none" w:sz="0" w:space="0" w:color="auto"/>
        <w:right w:val="none" w:sz="0" w:space="0" w:color="auto"/>
      </w:divBdr>
    </w:div>
    <w:div w:id="934900543">
      <w:bodyDiv w:val="1"/>
      <w:marLeft w:val="0"/>
      <w:marRight w:val="0"/>
      <w:marTop w:val="0"/>
      <w:marBottom w:val="0"/>
      <w:divBdr>
        <w:top w:val="none" w:sz="0" w:space="0" w:color="auto"/>
        <w:left w:val="none" w:sz="0" w:space="0" w:color="auto"/>
        <w:bottom w:val="none" w:sz="0" w:space="0" w:color="auto"/>
        <w:right w:val="none" w:sz="0" w:space="0" w:color="auto"/>
      </w:divBdr>
    </w:div>
    <w:div w:id="949165363">
      <w:bodyDiv w:val="1"/>
      <w:marLeft w:val="0"/>
      <w:marRight w:val="0"/>
      <w:marTop w:val="0"/>
      <w:marBottom w:val="0"/>
      <w:divBdr>
        <w:top w:val="none" w:sz="0" w:space="0" w:color="auto"/>
        <w:left w:val="none" w:sz="0" w:space="0" w:color="auto"/>
        <w:bottom w:val="none" w:sz="0" w:space="0" w:color="auto"/>
        <w:right w:val="none" w:sz="0" w:space="0" w:color="auto"/>
      </w:divBdr>
    </w:div>
    <w:div w:id="951669895">
      <w:bodyDiv w:val="1"/>
      <w:marLeft w:val="0"/>
      <w:marRight w:val="0"/>
      <w:marTop w:val="0"/>
      <w:marBottom w:val="0"/>
      <w:divBdr>
        <w:top w:val="none" w:sz="0" w:space="0" w:color="auto"/>
        <w:left w:val="none" w:sz="0" w:space="0" w:color="auto"/>
        <w:bottom w:val="none" w:sz="0" w:space="0" w:color="auto"/>
        <w:right w:val="none" w:sz="0" w:space="0" w:color="auto"/>
      </w:divBdr>
    </w:div>
    <w:div w:id="952052147">
      <w:bodyDiv w:val="1"/>
      <w:marLeft w:val="0"/>
      <w:marRight w:val="0"/>
      <w:marTop w:val="0"/>
      <w:marBottom w:val="0"/>
      <w:divBdr>
        <w:top w:val="none" w:sz="0" w:space="0" w:color="auto"/>
        <w:left w:val="none" w:sz="0" w:space="0" w:color="auto"/>
        <w:bottom w:val="none" w:sz="0" w:space="0" w:color="auto"/>
        <w:right w:val="none" w:sz="0" w:space="0" w:color="auto"/>
      </w:divBdr>
      <w:divsChild>
        <w:div w:id="54352697">
          <w:marLeft w:val="1267"/>
          <w:marRight w:val="0"/>
          <w:marTop w:val="0"/>
          <w:marBottom w:val="0"/>
          <w:divBdr>
            <w:top w:val="none" w:sz="0" w:space="0" w:color="auto"/>
            <w:left w:val="none" w:sz="0" w:space="0" w:color="auto"/>
            <w:bottom w:val="none" w:sz="0" w:space="0" w:color="auto"/>
            <w:right w:val="none" w:sz="0" w:space="0" w:color="auto"/>
          </w:divBdr>
        </w:div>
      </w:divsChild>
    </w:div>
    <w:div w:id="955525239">
      <w:bodyDiv w:val="1"/>
      <w:marLeft w:val="0"/>
      <w:marRight w:val="0"/>
      <w:marTop w:val="0"/>
      <w:marBottom w:val="0"/>
      <w:divBdr>
        <w:top w:val="none" w:sz="0" w:space="0" w:color="auto"/>
        <w:left w:val="none" w:sz="0" w:space="0" w:color="auto"/>
        <w:bottom w:val="none" w:sz="0" w:space="0" w:color="auto"/>
        <w:right w:val="none" w:sz="0" w:space="0" w:color="auto"/>
      </w:divBdr>
    </w:div>
    <w:div w:id="956834491">
      <w:bodyDiv w:val="1"/>
      <w:marLeft w:val="0"/>
      <w:marRight w:val="0"/>
      <w:marTop w:val="0"/>
      <w:marBottom w:val="0"/>
      <w:divBdr>
        <w:top w:val="none" w:sz="0" w:space="0" w:color="auto"/>
        <w:left w:val="none" w:sz="0" w:space="0" w:color="auto"/>
        <w:bottom w:val="none" w:sz="0" w:space="0" w:color="auto"/>
        <w:right w:val="none" w:sz="0" w:space="0" w:color="auto"/>
      </w:divBdr>
    </w:div>
    <w:div w:id="956984615">
      <w:bodyDiv w:val="1"/>
      <w:marLeft w:val="0"/>
      <w:marRight w:val="0"/>
      <w:marTop w:val="0"/>
      <w:marBottom w:val="0"/>
      <w:divBdr>
        <w:top w:val="none" w:sz="0" w:space="0" w:color="auto"/>
        <w:left w:val="none" w:sz="0" w:space="0" w:color="auto"/>
        <w:bottom w:val="none" w:sz="0" w:space="0" w:color="auto"/>
        <w:right w:val="none" w:sz="0" w:space="0" w:color="auto"/>
      </w:divBdr>
    </w:div>
    <w:div w:id="957415449">
      <w:bodyDiv w:val="1"/>
      <w:marLeft w:val="0"/>
      <w:marRight w:val="0"/>
      <w:marTop w:val="0"/>
      <w:marBottom w:val="0"/>
      <w:divBdr>
        <w:top w:val="none" w:sz="0" w:space="0" w:color="auto"/>
        <w:left w:val="none" w:sz="0" w:space="0" w:color="auto"/>
        <w:bottom w:val="none" w:sz="0" w:space="0" w:color="auto"/>
        <w:right w:val="none" w:sz="0" w:space="0" w:color="auto"/>
      </w:divBdr>
      <w:divsChild>
        <w:div w:id="100536148">
          <w:marLeft w:val="547"/>
          <w:marRight w:val="0"/>
          <w:marTop w:val="0"/>
          <w:marBottom w:val="0"/>
          <w:divBdr>
            <w:top w:val="none" w:sz="0" w:space="0" w:color="auto"/>
            <w:left w:val="none" w:sz="0" w:space="0" w:color="auto"/>
            <w:bottom w:val="none" w:sz="0" w:space="0" w:color="auto"/>
            <w:right w:val="none" w:sz="0" w:space="0" w:color="auto"/>
          </w:divBdr>
        </w:div>
        <w:div w:id="213202669">
          <w:marLeft w:val="547"/>
          <w:marRight w:val="0"/>
          <w:marTop w:val="0"/>
          <w:marBottom w:val="0"/>
          <w:divBdr>
            <w:top w:val="none" w:sz="0" w:space="0" w:color="auto"/>
            <w:left w:val="none" w:sz="0" w:space="0" w:color="auto"/>
            <w:bottom w:val="none" w:sz="0" w:space="0" w:color="auto"/>
            <w:right w:val="none" w:sz="0" w:space="0" w:color="auto"/>
          </w:divBdr>
        </w:div>
        <w:div w:id="948010294">
          <w:marLeft w:val="547"/>
          <w:marRight w:val="0"/>
          <w:marTop w:val="0"/>
          <w:marBottom w:val="0"/>
          <w:divBdr>
            <w:top w:val="none" w:sz="0" w:space="0" w:color="auto"/>
            <w:left w:val="none" w:sz="0" w:space="0" w:color="auto"/>
            <w:bottom w:val="none" w:sz="0" w:space="0" w:color="auto"/>
            <w:right w:val="none" w:sz="0" w:space="0" w:color="auto"/>
          </w:divBdr>
        </w:div>
        <w:div w:id="1156989641">
          <w:marLeft w:val="547"/>
          <w:marRight w:val="0"/>
          <w:marTop w:val="0"/>
          <w:marBottom w:val="0"/>
          <w:divBdr>
            <w:top w:val="none" w:sz="0" w:space="0" w:color="auto"/>
            <w:left w:val="none" w:sz="0" w:space="0" w:color="auto"/>
            <w:bottom w:val="none" w:sz="0" w:space="0" w:color="auto"/>
            <w:right w:val="none" w:sz="0" w:space="0" w:color="auto"/>
          </w:divBdr>
        </w:div>
        <w:div w:id="1416824874">
          <w:marLeft w:val="547"/>
          <w:marRight w:val="0"/>
          <w:marTop w:val="0"/>
          <w:marBottom w:val="0"/>
          <w:divBdr>
            <w:top w:val="none" w:sz="0" w:space="0" w:color="auto"/>
            <w:left w:val="none" w:sz="0" w:space="0" w:color="auto"/>
            <w:bottom w:val="none" w:sz="0" w:space="0" w:color="auto"/>
            <w:right w:val="none" w:sz="0" w:space="0" w:color="auto"/>
          </w:divBdr>
        </w:div>
        <w:div w:id="1919511679">
          <w:marLeft w:val="547"/>
          <w:marRight w:val="0"/>
          <w:marTop w:val="0"/>
          <w:marBottom w:val="0"/>
          <w:divBdr>
            <w:top w:val="none" w:sz="0" w:space="0" w:color="auto"/>
            <w:left w:val="none" w:sz="0" w:space="0" w:color="auto"/>
            <w:bottom w:val="none" w:sz="0" w:space="0" w:color="auto"/>
            <w:right w:val="none" w:sz="0" w:space="0" w:color="auto"/>
          </w:divBdr>
        </w:div>
      </w:divsChild>
    </w:div>
    <w:div w:id="961612647">
      <w:bodyDiv w:val="1"/>
      <w:marLeft w:val="0"/>
      <w:marRight w:val="0"/>
      <w:marTop w:val="0"/>
      <w:marBottom w:val="0"/>
      <w:divBdr>
        <w:top w:val="none" w:sz="0" w:space="0" w:color="auto"/>
        <w:left w:val="none" w:sz="0" w:space="0" w:color="auto"/>
        <w:bottom w:val="none" w:sz="0" w:space="0" w:color="auto"/>
        <w:right w:val="none" w:sz="0" w:space="0" w:color="auto"/>
      </w:divBdr>
    </w:div>
    <w:div w:id="962735297">
      <w:bodyDiv w:val="1"/>
      <w:marLeft w:val="0"/>
      <w:marRight w:val="0"/>
      <w:marTop w:val="0"/>
      <w:marBottom w:val="0"/>
      <w:divBdr>
        <w:top w:val="none" w:sz="0" w:space="0" w:color="auto"/>
        <w:left w:val="none" w:sz="0" w:space="0" w:color="auto"/>
        <w:bottom w:val="none" w:sz="0" w:space="0" w:color="auto"/>
        <w:right w:val="none" w:sz="0" w:space="0" w:color="auto"/>
      </w:divBdr>
    </w:div>
    <w:div w:id="963119658">
      <w:bodyDiv w:val="1"/>
      <w:marLeft w:val="0"/>
      <w:marRight w:val="0"/>
      <w:marTop w:val="0"/>
      <w:marBottom w:val="0"/>
      <w:divBdr>
        <w:top w:val="none" w:sz="0" w:space="0" w:color="auto"/>
        <w:left w:val="none" w:sz="0" w:space="0" w:color="auto"/>
        <w:bottom w:val="none" w:sz="0" w:space="0" w:color="auto"/>
        <w:right w:val="none" w:sz="0" w:space="0" w:color="auto"/>
      </w:divBdr>
    </w:div>
    <w:div w:id="963540520">
      <w:bodyDiv w:val="1"/>
      <w:marLeft w:val="0"/>
      <w:marRight w:val="0"/>
      <w:marTop w:val="0"/>
      <w:marBottom w:val="0"/>
      <w:divBdr>
        <w:top w:val="none" w:sz="0" w:space="0" w:color="auto"/>
        <w:left w:val="none" w:sz="0" w:space="0" w:color="auto"/>
        <w:bottom w:val="none" w:sz="0" w:space="0" w:color="auto"/>
        <w:right w:val="none" w:sz="0" w:space="0" w:color="auto"/>
      </w:divBdr>
    </w:div>
    <w:div w:id="967324060">
      <w:bodyDiv w:val="1"/>
      <w:marLeft w:val="0"/>
      <w:marRight w:val="0"/>
      <w:marTop w:val="0"/>
      <w:marBottom w:val="0"/>
      <w:divBdr>
        <w:top w:val="none" w:sz="0" w:space="0" w:color="auto"/>
        <w:left w:val="none" w:sz="0" w:space="0" w:color="auto"/>
        <w:bottom w:val="none" w:sz="0" w:space="0" w:color="auto"/>
        <w:right w:val="none" w:sz="0" w:space="0" w:color="auto"/>
      </w:divBdr>
    </w:div>
    <w:div w:id="968390492">
      <w:bodyDiv w:val="1"/>
      <w:marLeft w:val="0"/>
      <w:marRight w:val="0"/>
      <w:marTop w:val="0"/>
      <w:marBottom w:val="0"/>
      <w:divBdr>
        <w:top w:val="none" w:sz="0" w:space="0" w:color="auto"/>
        <w:left w:val="none" w:sz="0" w:space="0" w:color="auto"/>
        <w:bottom w:val="none" w:sz="0" w:space="0" w:color="auto"/>
        <w:right w:val="none" w:sz="0" w:space="0" w:color="auto"/>
      </w:divBdr>
    </w:div>
    <w:div w:id="968824003">
      <w:bodyDiv w:val="1"/>
      <w:marLeft w:val="0"/>
      <w:marRight w:val="0"/>
      <w:marTop w:val="0"/>
      <w:marBottom w:val="0"/>
      <w:divBdr>
        <w:top w:val="none" w:sz="0" w:space="0" w:color="auto"/>
        <w:left w:val="none" w:sz="0" w:space="0" w:color="auto"/>
        <w:bottom w:val="none" w:sz="0" w:space="0" w:color="auto"/>
        <w:right w:val="none" w:sz="0" w:space="0" w:color="auto"/>
      </w:divBdr>
    </w:div>
    <w:div w:id="972909681">
      <w:bodyDiv w:val="1"/>
      <w:marLeft w:val="0"/>
      <w:marRight w:val="0"/>
      <w:marTop w:val="0"/>
      <w:marBottom w:val="0"/>
      <w:divBdr>
        <w:top w:val="none" w:sz="0" w:space="0" w:color="auto"/>
        <w:left w:val="none" w:sz="0" w:space="0" w:color="auto"/>
        <w:bottom w:val="none" w:sz="0" w:space="0" w:color="auto"/>
        <w:right w:val="none" w:sz="0" w:space="0" w:color="auto"/>
      </w:divBdr>
    </w:div>
    <w:div w:id="975911177">
      <w:bodyDiv w:val="1"/>
      <w:marLeft w:val="0"/>
      <w:marRight w:val="0"/>
      <w:marTop w:val="0"/>
      <w:marBottom w:val="0"/>
      <w:divBdr>
        <w:top w:val="none" w:sz="0" w:space="0" w:color="auto"/>
        <w:left w:val="none" w:sz="0" w:space="0" w:color="auto"/>
        <w:bottom w:val="none" w:sz="0" w:space="0" w:color="auto"/>
        <w:right w:val="none" w:sz="0" w:space="0" w:color="auto"/>
      </w:divBdr>
    </w:div>
    <w:div w:id="976492574">
      <w:bodyDiv w:val="1"/>
      <w:marLeft w:val="0"/>
      <w:marRight w:val="0"/>
      <w:marTop w:val="0"/>
      <w:marBottom w:val="0"/>
      <w:divBdr>
        <w:top w:val="none" w:sz="0" w:space="0" w:color="auto"/>
        <w:left w:val="none" w:sz="0" w:space="0" w:color="auto"/>
        <w:bottom w:val="none" w:sz="0" w:space="0" w:color="auto"/>
        <w:right w:val="none" w:sz="0" w:space="0" w:color="auto"/>
      </w:divBdr>
    </w:div>
    <w:div w:id="986322268">
      <w:bodyDiv w:val="1"/>
      <w:marLeft w:val="0"/>
      <w:marRight w:val="0"/>
      <w:marTop w:val="0"/>
      <w:marBottom w:val="0"/>
      <w:divBdr>
        <w:top w:val="none" w:sz="0" w:space="0" w:color="auto"/>
        <w:left w:val="none" w:sz="0" w:space="0" w:color="auto"/>
        <w:bottom w:val="none" w:sz="0" w:space="0" w:color="auto"/>
        <w:right w:val="none" w:sz="0" w:space="0" w:color="auto"/>
      </w:divBdr>
    </w:div>
    <w:div w:id="988900313">
      <w:bodyDiv w:val="1"/>
      <w:marLeft w:val="0"/>
      <w:marRight w:val="0"/>
      <w:marTop w:val="0"/>
      <w:marBottom w:val="0"/>
      <w:divBdr>
        <w:top w:val="none" w:sz="0" w:space="0" w:color="auto"/>
        <w:left w:val="none" w:sz="0" w:space="0" w:color="auto"/>
        <w:bottom w:val="none" w:sz="0" w:space="0" w:color="auto"/>
        <w:right w:val="none" w:sz="0" w:space="0" w:color="auto"/>
      </w:divBdr>
    </w:div>
    <w:div w:id="997810966">
      <w:bodyDiv w:val="1"/>
      <w:marLeft w:val="0"/>
      <w:marRight w:val="0"/>
      <w:marTop w:val="0"/>
      <w:marBottom w:val="0"/>
      <w:divBdr>
        <w:top w:val="none" w:sz="0" w:space="0" w:color="auto"/>
        <w:left w:val="none" w:sz="0" w:space="0" w:color="auto"/>
        <w:bottom w:val="none" w:sz="0" w:space="0" w:color="auto"/>
        <w:right w:val="none" w:sz="0" w:space="0" w:color="auto"/>
      </w:divBdr>
    </w:div>
    <w:div w:id="1012343566">
      <w:bodyDiv w:val="1"/>
      <w:marLeft w:val="0"/>
      <w:marRight w:val="0"/>
      <w:marTop w:val="0"/>
      <w:marBottom w:val="0"/>
      <w:divBdr>
        <w:top w:val="none" w:sz="0" w:space="0" w:color="auto"/>
        <w:left w:val="none" w:sz="0" w:space="0" w:color="auto"/>
        <w:bottom w:val="none" w:sz="0" w:space="0" w:color="auto"/>
        <w:right w:val="none" w:sz="0" w:space="0" w:color="auto"/>
      </w:divBdr>
    </w:div>
    <w:div w:id="1014650609">
      <w:bodyDiv w:val="1"/>
      <w:marLeft w:val="0"/>
      <w:marRight w:val="0"/>
      <w:marTop w:val="0"/>
      <w:marBottom w:val="0"/>
      <w:divBdr>
        <w:top w:val="none" w:sz="0" w:space="0" w:color="auto"/>
        <w:left w:val="none" w:sz="0" w:space="0" w:color="auto"/>
        <w:bottom w:val="none" w:sz="0" w:space="0" w:color="auto"/>
        <w:right w:val="none" w:sz="0" w:space="0" w:color="auto"/>
      </w:divBdr>
    </w:div>
    <w:div w:id="1016728896">
      <w:bodyDiv w:val="1"/>
      <w:marLeft w:val="0"/>
      <w:marRight w:val="0"/>
      <w:marTop w:val="0"/>
      <w:marBottom w:val="0"/>
      <w:divBdr>
        <w:top w:val="none" w:sz="0" w:space="0" w:color="auto"/>
        <w:left w:val="none" w:sz="0" w:space="0" w:color="auto"/>
        <w:bottom w:val="none" w:sz="0" w:space="0" w:color="auto"/>
        <w:right w:val="none" w:sz="0" w:space="0" w:color="auto"/>
      </w:divBdr>
    </w:div>
    <w:div w:id="1017318165">
      <w:bodyDiv w:val="1"/>
      <w:marLeft w:val="0"/>
      <w:marRight w:val="0"/>
      <w:marTop w:val="0"/>
      <w:marBottom w:val="0"/>
      <w:divBdr>
        <w:top w:val="none" w:sz="0" w:space="0" w:color="auto"/>
        <w:left w:val="none" w:sz="0" w:space="0" w:color="auto"/>
        <w:bottom w:val="none" w:sz="0" w:space="0" w:color="auto"/>
        <w:right w:val="none" w:sz="0" w:space="0" w:color="auto"/>
      </w:divBdr>
    </w:div>
    <w:div w:id="1031372740">
      <w:bodyDiv w:val="1"/>
      <w:marLeft w:val="0"/>
      <w:marRight w:val="0"/>
      <w:marTop w:val="0"/>
      <w:marBottom w:val="0"/>
      <w:divBdr>
        <w:top w:val="none" w:sz="0" w:space="0" w:color="auto"/>
        <w:left w:val="none" w:sz="0" w:space="0" w:color="auto"/>
        <w:bottom w:val="none" w:sz="0" w:space="0" w:color="auto"/>
        <w:right w:val="none" w:sz="0" w:space="0" w:color="auto"/>
      </w:divBdr>
    </w:div>
    <w:div w:id="1033503401">
      <w:bodyDiv w:val="1"/>
      <w:marLeft w:val="0"/>
      <w:marRight w:val="0"/>
      <w:marTop w:val="0"/>
      <w:marBottom w:val="0"/>
      <w:divBdr>
        <w:top w:val="none" w:sz="0" w:space="0" w:color="auto"/>
        <w:left w:val="none" w:sz="0" w:space="0" w:color="auto"/>
        <w:bottom w:val="none" w:sz="0" w:space="0" w:color="auto"/>
        <w:right w:val="none" w:sz="0" w:space="0" w:color="auto"/>
      </w:divBdr>
    </w:div>
    <w:div w:id="1037006771">
      <w:bodyDiv w:val="1"/>
      <w:marLeft w:val="0"/>
      <w:marRight w:val="0"/>
      <w:marTop w:val="0"/>
      <w:marBottom w:val="0"/>
      <w:divBdr>
        <w:top w:val="none" w:sz="0" w:space="0" w:color="auto"/>
        <w:left w:val="none" w:sz="0" w:space="0" w:color="auto"/>
        <w:bottom w:val="none" w:sz="0" w:space="0" w:color="auto"/>
        <w:right w:val="none" w:sz="0" w:space="0" w:color="auto"/>
      </w:divBdr>
    </w:div>
    <w:div w:id="1040010749">
      <w:bodyDiv w:val="1"/>
      <w:marLeft w:val="0"/>
      <w:marRight w:val="0"/>
      <w:marTop w:val="0"/>
      <w:marBottom w:val="0"/>
      <w:divBdr>
        <w:top w:val="none" w:sz="0" w:space="0" w:color="auto"/>
        <w:left w:val="none" w:sz="0" w:space="0" w:color="auto"/>
        <w:bottom w:val="none" w:sz="0" w:space="0" w:color="auto"/>
        <w:right w:val="none" w:sz="0" w:space="0" w:color="auto"/>
      </w:divBdr>
    </w:div>
    <w:div w:id="1044137547">
      <w:bodyDiv w:val="1"/>
      <w:marLeft w:val="0"/>
      <w:marRight w:val="0"/>
      <w:marTop w:val="0"/>
      <w:marBottom w:val="0"/>
      <w:divBdr>
        <w:top w:val="none" w:sz="0" w:space="0" w:color="auto"/>
        <w:left w:val="none" w:sz="0" w:space="0" w:color="auto"/>
        <w:bottom w:val="none" w:sz="0" w:space="0" w:color="auto"/>
        <w:right w:val="none" w:sz="0" w:space="0" w:color="auto"/>
      </w:divBdr>
    </w:div>
    <w:div w:id="1044864199">
      <w:bodyDiv w:val="1"/>
      <w:marLeft w:val="0"/>
      <w:marRight w:val="0"/>
      <w:marTop w:val="0"/>
      <w:marBottom w:val="0"/>
      <w:divBdr>
        <w:top w:val="none" w:sz="0" w:space="0" w:color="auto"/>
        <w:left w:val="none" w:sz="0" w:space="0" w:color="auto"/>
        <w:bottom w:val="none" w:sz="0" w:space="0" w:color="auto"/>
        <w:right w:val="none" w:sz="0" w:space="0" w:color="auto"/>
      </w:divBdr>
    </w:div>
    <w:div w:id="1046181870">
      <w:bodyDiv w:val="1"/>
      <w:marLeft w:val="0"/>
      <w:marRight w:val="0"/>
      <w:marTop w:val="0"/>
      <w:marBottom w:val="0"/>
      <w:divBdr>
        <w:top w:val="none" w:sz="0" w:space="0" w:color="auto"/>
        <w:left w:val="none" w:sz="0" w:space="0" w:color="auto"/>
        <w:bottom w:val="none" w:sz="0" w:space="0" w:color="auto"/>
        <w:right w:val="none" w:sz="0" w:space="0" w:color="auto"/>
      </w:divBdr>
    </w:div>
    <w:div w:id="1049763844">
      <w:bodyDiv w:val="1"/>
      <w:marLeft w:val="0"/>
      <w:marRight w:val="0"/>
      <w:marTop w:val="0"/>
      <w:marBottom w:val="0"/>
      <w:divBdr>
        <w:top w:val="none" w:sz="0" w:space="0" w:color="auto"/>
        <w:left w:val="none" w:sz="0" w:space="0" w:color="auto"/>
        <w:bottom w:val="none" w:sz="0" w:space="0" w:color="auto"/>
        <w:right w:val="none" w:sz="0" w:space="0" w:color="auto"/>
      </w:divBdr>
    </w:div>
    <w:div w:id="1052459233">
      <w:bodyDiv w:val="1"/>
      <w:marLeft w:val="0"/>
      <w:marRight w:val="0"/>
      <w:marTop w:val="0"/>
      <w:marBottom w:val="0"/>
      <w:divBdr>
        <w:top w:val="none" w:sz="0" w:space="0" w:color="auto"/>
        <w:left w:val="none" w:sz="0" w:space="0" w:color="auto"/>
        <w:bottom w:val="none" w:sz="0" w:space="0" w:color="auto"/>
        <w:right w:val="none" w:sz="0" w:space="0" w:color="auto"/>
      </w:divBdr>
    </w:div>
    <w:div w:id="1053113953">
      <w:bodyDiv w:val="1"/>
      <w:marLeft w:val="0"/>
      <w:marRight w:val="0"/>
      <w:marTop w:val="0"/>
      <w:marBottom w:val="0"/>
      <w:divBdr>
        <w:top w:val="none" w:sz="0" w:space="0" w:color="auto"/>
        <w:left w:val="none" w:sz="0" w:space="0" w:color="auto"/>
        <w:bottom w:val="none" w:sz="0" w:space="0" w:color="auto"/>
        <w:right w:val="none" w:sz="0" w:space="0" w:color="auto"/>
      </w:divBdr>
    </w:div>
    <w:div w:id="1058557831">
      <w:bodyDiv w:val="1"/>
      <w:marLeft w:val="0"/>
      <w:marRight w:val="0"/>
      <w:marTop w:val="0"/>
      <w:marBottom w:val="0"/>
      <w:divBdr>
        <w:top w:val="none" w:sz="0" w:space="0" w:color="auto"/>
        <w:left w:val="none" w:sz="0" w:space="0" w:color="auto"/>
        <w:bottom w:val="none" w:sz="0" w:space="0" w:color="auto"/>
        <w:right w:val="none" w:sz="0" w:space="0" w:color="auto"/>
      </w:divBdr>
    </w:div>
    <w:div w:id="1060399432">
      <w:bodyDiv w:val="1"/>
      <w:marLeft w:val="0"/>
      <w:marRight w:val="0"/>
      <w:marTop w:val="0"/>
      <w:marBottom w:val="0"/>
      <w:divBdr>
        <w:top w:val="none" w:sz="0" w:space="0" w:color="auto"/>
        <w:left w:val="none" w:sz="0" w:space="0" w:color="auto"/>
        <w:bottom w:val="none" w:sz="0" w:space="0" w:color="auto"/>
        <w:right w:val="none" w:sz="0" w:space="0" w:color="auto"/>
      </w:divBdr>
    </w:div>
    <w:div w:id="1074159656">
      <w:bodyDiv w:val="1"/>
      <w:marLeft w:val="0"/>
      <w:marRight w:val="0"/>
      <w:marTop w:val="0"/>
      <w:marBottom w:val="0"/>
      <w:divBdr>
        <w:top w:val="none" w:sz="0" w:space="0" w:color="auto"/>
        <w:left w:val="none" w:sz="0" w:space="0" w:color="auto"/>
        <w:bottom w:val="none" w:sz="0" w:space="0" w:color="auto"/>
        <w:right w:val="none" w:sz="0" w:space="0" w:color="auto"/>
      </w:divBdr>
      <w:divsChild>
        <w:div w:id="60058656">
          <w:marLeft w:val="0"/>
          <w:marRight w:val="0"/>
          <w:marTop w:val="0"/>
          <w:marBottom w:val="0"/>
          <w:divBdr>
            <w:top w:val="none" w:sz="0" w:space="0" w:color="auto"/>
            <w:left w:val="none" w:sz="0" w:space="0" w:color="auto"/>
            <w:bottom w:val="none" w:sz="0" w:space="0" w:color="auto"/>
            <w:right w:val="none" w:sz="0" w:space="0" w:color="auto"/>
          </w:divBdr>
          <w:divsChild>
            <w:div w:id="2123914700">
              <w:marLeft w:val="0"/>
              <w:marRight w:val="0"/>
              <w:marTop w:val="0"/>
              <w:marBottom w:val="0"/>
              <w:divBdr>
                <w:top w:val="none" w:sz="0" w:space="0" w:color="auto"/>
                <w:left w:val="none" w:sz="0" w:space="0" w:color="auto"/>
                <w:bottom w:val="none" w:sz="0" w:space="0" w:color="auto"/>
                <w:right w:val="none" w:sz="0" w:space="0" w:color="auto"/>
              </w:divBdr>
              <w:divsChild>
                <w:div w:id="555431876">
                  <w:marLeft w:val="0"/>
                  <w:marRight w:val="0"/>
                  <w:marTop w:val="0"/>
                  <w:marBottom w:val="0"/>
                  <w:divBdr>
                    <w:top w:val="none" w:sz="0" w:space="0" w:color="auto"/>
                    <w:left w:val="none" w:sz="0" w:space="0" w:color="auto"/>
                    <w:bottom w:val="none" w:sz="0" w:space="0" w:color="auto"/>
                    <w:right w:val="none" w:sz="0" w:space="0" w:color="auto"/>
                  </w:divBdr>
                  <w:divsChild>
                    <w:div w:id="844244962">
                      <w:marLeft w:val="0"/>
                      <w:marRight w:val="0"/>
                      <w:marTop w:val="0"/>
                      <w:marBottom w:val="0"/>
                      <w:divBdr>
                        <w:top w:val="none" w:sz="0" w:space="0" w:color="auto"/>
                        <w:left w:val="none" w:sz="0" w:space="0" w:color="auto"/>
                        <w:bottom w:val="none" w:sz="0" w:space="0" w:color="auto"/>
                        <w:right w:val="none" w:sz="0" w:space="0" w:color="auto"/>
                      </w:divBdr>
                      <w:divsChild>
                        <w:div w:id="59333039">
                          <w:marLeft w:val="0"/>
                          <w:marRight w:val="0"/>
                          <w:marTop w:val="0"/>
                          <w:marBottom w:val="0"/>
                          <w:divBdr>
                            <w:top w:val="none" w:sz="0" w:space="0" w:color="auto"/>
                            <w:left w:val="none" w:sz="0" w:space="0" w:color="auto"/>
                            <w:bottom w:val="none" w:sz="0" w:space="0" w:color="auto"/>
                            <w:right w:val="none" w:sz="0" w:space="0" w:color="auto"/>
                          </w:divBdr>
                          <w:divsChild>
                            <w:div w:id="1000620053">
                              <w:marLeft w:val="15"/>
                              <w:marRight w:val="195"/>
                              <w:marTop w:val="0"/>
                              <w:marBottom w:val="0"/>
                              <w:divBdr>
                                <w:top w:val="none" w:sz="0" w:space="0" w:color="auto"/>
                                <w:left w:val="none" w:sz="0" w:space="0" w:color="auto"/>
                                <w:bottom w:val="none" w:sz="0" w:space="0" w:color="auto"/>
                                <w:right w:val="none" w:sz="0" w:space="0" w:color="auto"/>
                              </w:divBdr>
                              <w:divsChild>
                                <w:div w:id="559554644">
                                  <w:marLeft w:val="0"/>
                                  <w:marRight w:val="0"/>
                                  <w:marTop w:val="0"/>
                                  <w:marBottom w:val="0"/>
                                  <w:divBdr>
                                    <w:top w:val="none" w:sz="0" w:space="0" w:color="auto"/>
                                    <w:left w:val="none" w:sz="0" w:space="0" w:color="auto"/>
                                    <w:bottom w:val="none" w:sz="0" w:space="0" w:color="auto"/>
                                    <w:right w:val="none" w:sz="0" w:space="0" w:color="auto"/>
                                  </w:divBdr>
                                  <w:divsChild>
                                    <w:div w:id="151800468">
                                      <w:marLeft w:val="0"/>
                                      <w:marRight w:val="0"/>
                                      <w:marTop w:val="0"/>
                                      <w:marBottom w:val="0"/>
                                      <w:divBdr>
                                        <w:top w:val="none" w:sz="0" w:space="0" w:color="auto"/>
                                        <w:left w:val="none" w:sz="0" w:space="0" w:color="auto"/>
                                        <w:bottom w:val="none" w:sz="0" w:space="0" w:color="auto"/>
                                        <w:right w:val="none" w:sz="0" w:space="0" w:color="auto"/>
                                      </w:divBdr>
                                      <w:divsChild>
                                        <w:div w:id="2103791291">
                                          <w:marLeft w:val="0"/>
                                          <w:marRight w:val="0"/>
                                          <w:marTop w:val="0"/>
                                          <w:marBottom w:val="0"/>
                                          <w:divBdr>
                                            <w:top w:val="none" w:sz="0" w:space="0" w:color="auto"/>
                                            <w:left w:val="none" w:sz="0" w:space="0" w:color="auto"/>
                                            <w:bottom w:val="none" w:sz="0" w:space="0" w:color="auto"/>
                                            <w:right w:val="none" w:sz="0" w:space="0" w:color="auto"/>
                                          </w:divBdr>
                                          <w:divsChild>
                                            <w:div w:id="1621759594">
                                              <w:marLeft w:val="0"/>
                                              <w:marRight w:val="0"/>
                                              <w:marTop w:val="0"/>
                                              <w:marBottom w:val="0"/>
                                              <w:divBdr>
                                                <w:top w:val="none" w:sz="0" w:space="0" w:color="auto"/>
                                                <w:left w:val="none" w:sz="0" w:space="0" w:color="auto"/>
                                                <w:bottom w:val="none" w:sz="0" w:space="0" w:color="auto"/>
                                                <w:right w:val="none" w:sz="0" w:space="0" w:color="auto"/>
                                              </w:divBdr>
                                              <w:divsChild>
                                                <w:div w:id="1399207255">
                                                  <w:marLeft w:val="0"/>
                                                  <w:marRight w:val="0"/>
                                                  <w:marTop w:val="0"/>
                                                  <w:marBottom w:val="0"/>
                                                  <w:divBdr>
                                                    <w:top w:val="none" w:sz="0" w:space="0" w:color="auto"/>
                                                    <w:left w:val="none" w:sz="0" w:space="0" w:color="auto"/>
                                                    <w:bottom w:val="none" w:sz="0" w:space="0" w:color="auto"/>
                                                    <w:right w:val="none" w:sz="0" w:space="0" w:color="auto"/>
                                                  </w:divBdr>
                                                  <w:divsChild>
                                                    <w:div w:id="867378828">
                                                      <w:marLeft w:val="0"/>
                                                      <w:marRight w:val="0"/>
                                                      <w:marTop w:val="0"/>
                                                      <w:marBottom w:val="0"/>
                                                      <w:divBdr>
                                                        <w:top w:val="none" w:sz="0" w:space="0" w:color="auto"/>
                                                        <w:left w:val="none" w:sz="0" w:space="0" w:color="auto"/>
                                                        <w:bottom w:val="none" w:sz="0" w:space="0" w:color="auto"/>
                                                        <w:right w:val="none" w:sz="0" w:space="0" w:color="auto"/>
                                                      </w:divBdr>
                                                      <w:divsChild>
                                                        <w:div w:id="322975015">
                                                          <w:marLeft w:val="0"/>
                                                          <w:marRight w:val="0"/>
                                                          <w:marTop w:val="0"/>
                                                          <w:marBottom w:val="0"/>
                                                          <w:divBdr>
                                                            <w:top w:val="none" w:sz="0" w:space="0" w:color="auto"/>
                                                            <w:left w:val="none" w:sz="0" w:space="0" w:color="auto"/>
                                                            <w:bottom w:val="none" w:sz="0" w:space="0" w:color="auto"/>
                                                            <w:right w:val="none" w:sz="0" w:space="0" w:color="auto"/>
                                                          </w:divBdr>
                                                          <w:divsChild>
                                                            <w:div w:id="1848671448">
                                                              <w:marLeft w:val="0"/>
                                                              <w:marRight w:val="0"/>
                                                              <w:marTop w:val="0"/>
                                                              <w:marBottom w:val="0"/>
                                                              <w:divBdr>
                                                                <w:top w:val="none" w:sz="0" w:space="0" w:color="auto"/>
                                                                <w:left w:val="none" w:sz="0" w:space="0" w:color="auto"/>
                                                                <w:bottom w:val="none" w:sz="0" w:space="0" w:color="auto"/>
                                                                <w:right w:val="none" w:sz="0" w:space="0" w:color="auto"/>
                                                              </w:divBdr>
                                                              <w:divsChild>
                                                                <w:div w:id="263926393">
                                                                  <w:marLeft w:val="0"/>
                                                                  <w:marRight w:val="0"/>
                                                                  <w:marTop w:val="0"/>
                                                                  <w:marBottom w:val="0"/>
                                                                  <w:divBdr>
                                                                    <w:top w:val="none" w:sz="0" w:space="0" w:color="auto"/>
                                                                    <w:left w:val="none" w:sz="0" w:space="0" w:color="auto"/>
                                                                    <w:bottom w:val="none" w:sz="0" w:space="0" w:color="auto"/>
                                                                    <w:right w:val="none" w:sz="0" w:space="0" w:color="auto"/>
                                                                  </w:divBdr>
                                                                  <w:divsChild>
                                                                    <w:div w:id="1863322031">
                                                                      <w:marLeft w:val="405"/>
                                                                      <w:marRight w:val="0"/>
                                                                      <w:marTop w:val="0"/>
                                                                      <w:marBottom w:val="0"/>
                                                                      <w:divBdr>
                                                                        <w:top w:val="none" w:sz="0" w:space="0" w:color="auto"/>
                                                                        <w:left w:val="none" w:sz="0" w:space="0" w:color="auto"/>
                                                                        <w:bottom w:val="none" w:sz="0" w:space="0" w:color="auto"/>
                                                                        <w:right w:val="none" w:sz="0" w:space="0" w:color="auto"/>
                                                                      </w:divBdr>
                                                                      <w:divsChild>
                                                                        <w:div w:id="1516193479">
                                                                          <w:marLeft w:val="0"/>
                                                                          <w:marRight w:val="0"/>
                                                                          <w:marTop w:val="0"/>
                                                                          <w:marBottom w:val="0"/>
                                                                          <w:divBdr>
                                                                            <w:top w:val="none" w:sz="0" w:space="0" w:color="auto"/>
                                                                            <w:left w:val="none" w:sz="0" w:space="0" w:color="auto"/>
                                                                            <w:bottom w:val="none" w:sz="0" w:space="0" w:color="auto"/>
                                                                            <w:right w:val="none" w:sz="0" w:space="0" w:color="auto"/>
                                                                          </w:divBdr>
                                                                          <w:divsChild>
                                                                            <w:div w:id="547690049">
                                                                              <w:marLeft w:val="0"/>
                                                                              <w:marRight w:val="0"/>
                                                                              <w:marTop w:val="0"/>
                                                                              <w:marBottom w:val="0"/>
                                                                              <w:divBdr>
                                                                                <w:top w:val="none" w:sz="0" w:space="0" w:color="auto"/>
                                                                                <w:left w:val="none" w:sz="0" w:space="0" w:color="auto"/>
                                                                                <w:bottom w:val="none" w:sz="0" w:space="0" w:color="auto"/>
                                                                                <w:right w:val="none" w:sz="0" w:space="0" w:color="auto"/>
                                                                              </w:divBdr>
                                                                              <w:divsChild>
                                                                                <w:div w:id="767502039">
                                                                                  <w:marLeft w:val="0"/>
                                                                                  <w:marRight w:val="0"/>
                                                                                  <w:marTop w:val="0"/>
                                                                                  <w:marBottom w:val="0"/>
                                                                                  <w:divBdr>
                                                                                    <w:top w:val="none" w:sz="0" w:space="0" w:color="auto"/>
                                                                                    <w:left w:val="none" w:sz="0" w:space="0" w:color="auto"/>
                                                                                    <w:bottom w:val="none" w:sz="0" w:space="0" w:color="auto"/>
                                                                                    <w:right w:val="none" w:sz="0" w:space="0" w:color="auto"/>
                                                                                  </w:divBdr>
                                                                                  <w:divsChild>
                                                                                    <w:div w:id="1010572351">
                                                                                      <w:marLeft w:val="0"/>
                                                                                      <w:marRight w:val="0"/>
                                                                                      <w:marTop w:val="0"/>
                                                                                      <w:marBottom w:val="0"/>
                                                                                      <w:divBdr>
                                                                                        <w:top w:val="none" w:sz="0" w:space="0" w:color="auto"/>
                                                                                        <w:left w:val="none" w:sz="0" w:space="0" w:color="auto"/>
                                                                                        <w:bottom w:val="none" w:sz="0" w:space="0" w:color="auto"/>
                                                                                        <w:right w:val="none" w:sz="0" w:space="0" w:color="auto"/>
                                                                                      </w:divBdr>
                                                                                      <w:divsChild>
                                                                                        <w:div w:id="1129544087">
                                                                                          <w:marLeft w:val="0"/>
                                                                                          <w:marRight w:val="0"/>
                                                                                          <w:marTop w:val="0"/>
                                                                                          <w:marBottom w:val="0"/>
                                                                                          <w:divBdr>
                                                                                            <w:top w:val="none" w:sz="0" w:space="0" w:color="auto"/>
                                                                                            <w:left w:val="none" w:sz="0" w:space="0" w:color="auto"/>
                                                                                            <w:bottom w:val="none" w:sz="0" w:space="0" w:color="auto"/>
                                                                                            <w:right w:val="none" w:sz="0" w:space="0" w:color="auto"/>
                                                                                          </w:divBdr>
                                                                                          <w:divsChild>
                                                                                            <w:div w:id="207306294">
                                                                                              <w:marLeft w:val="0"/>
                                                                                              <w:marRight w:val="0"/>
                                                                                              <w:marTop w:val="0"/>
                                                                                              <w:marBottom w:val="0"/>
                                                                                              <w:divBdr>
                                                                                                <w:top w:val="none" w:sz="0" w:space="0" w:color="auto"/>
                                                                                                <w:left w:val="none" w:sz="0" w:space="0" w:color="auto"/>
                                                                                                <w:bottom w:val="none" w:sz="0" w:space="0" w:color="auto"/>
                                                                                                <w:right w:val="none" w:sz="0" w:space="0" w:color="auto"/>
                                                                                              </w:divBdr>
                                                                                              <w:divsChild>
                                                                                                <w:div w:id="1948929790">
                                                                                                  <w:marLeft w:val="0"/>
                                                                                                  <w:marRight w:val="0"/>
                                                                                                  <w:marTop w:val="15"/>
                                                                                                  <w:marBottom w:val="0"/>
                                                                                                  <w:divBdr>
                                                                                                    <w:top w:val="none" w:sz="0" w:space="0" w:color="auto"/>
                                                                                                    <w:left w:val="none" w:sz="0" w:space="0" w:color="auto"/>
                                                                                                    <w:bottom w:val="single" w:sz="6" w:space="15" w:color="auto"/>
                                                                                                    <w:right w:val="none" w:sz="0" w:space="0" w:color="auto"/>
                                                                                                  </w:divBdr>
                                                                                                  <w:divsChild>
                                                                                                    <w:div w:id="487131843">
                                                                                                      <w:marLeft w:val="0"/>
                                                                                                      <w:marRight w:val="0"/>
                                                                                                      <w:marTop w:val="180"/>
                                                                                                      <w:marBottom w:val="0"/>
                                                                                                      <w:divBdr>
                                                                                                        <w:top w:val="none" w:sz="0" w:space="0" w:color="auto"/>
                                                                                                        <w:left w:val="none" w:sz="0" w:space="0" w:color="auto"/>
                                                                                                        <w:bottom w:val="none" w:sz="0" w:space="0" w:color="auto"/>
                                                                                                        <w:right w:val="none" w:sz="0" w:space="0" w:color="auto"/>
                                                                                                      </w:divBdr>
                                                                                                      <w:divsChild>
                                                                                                        <w:div w:id="1574926315">
                                                                                                          <w:marLeft w:val="0"/>
                                                                                                          <w:marRight w:val="0"/>
                                                                                                          <w:marTop w:val="0"/>
                                                                                                          <w:marBottom w:val="0"/>
                                                                                                          <w:divBdr>
                                                                                                            <w:top w:val="none" w:sz="0" w:space="0" w:color="auto"/>
                                                                                                            <w:left w:val="none" w:sz="0" w:space="0" w:color="auto"/>
                                                                                                            <w:bottom w:val="none" w:sz="0" w:space="0" w:color="auto"/>
                                                                                                            <w:right w:val="none" w:sz="0" w:space="0" w:color="auto"/>
                                                                                                          </w:divBdr>
                                                                                                          <w:divsChild>
                                                                                                            <w:div w:id="1394889479">
                                                                                                              <w:marLeft w:val="0"/>
                                                                                                              <w:marRight w:val="0"/>
                                                                                                              <w:marTop w:val="0"/>
                                                                                                              <w:marBottom w:val="0"/>
                                                                                                              <w:divBdr>
                                                                                                                <w:top w:val="none" w:sz="0" w:space="0" w:color="auto"/>
                                                                                                                <w:left w:val="none" w:sz="0" w:space="0" w:color="auto"/>
                                                                                                                <w:bottom w:val="none" w:sz="0" w:space="0" w:color="auto"/>
                                                                                                                <w:right w:val="none" w:sz="0" w:space="0" w:color="auto"/>
                                                                                                              </w:divBdr>
                                                                                                              <w:divsChild>
                                                                                                                <w:div w:id="577708510">
                                                                                                                  <w:marLeft w:val="0"/>
                                                                                                                  <w:marRight w:val="0"/>
                                                                                                                  <w:marTop w:val="30"/>
                                                                                                                  <w:marBottom w:val="0"/>
                                                                                                                  <w:divBdr>
                                                                                                                    <w:top w:val="none" w:sz="0" w:space="0" w:color="auto"/>
                                                                                                                    <w:left w:val="none" w:sz="0" w:space="0" w:color="auto"/>
                                                                                                                    <w:bottom w:val="none" w:sz="0" w:space="0" w:color="auto"/>
                                                                                                                    <w:right w:val="none" w:sz="0" w:space="0" w:color="auto"/>
                                                                                                                  </w:divBdr>
                                                                                                                  <w:divsChild>
                                                                                                                    <w:div w:id="1648171197">
                                                                                                                      <w:marLeft w:val="0"/>
                                                                                                                      <w:marRight w:val="0"/>
                                                                                                                      <w:marTop w:val="0"/>
                                                                                                                      <w:marBottom w:val="0"/>
                                                                                                                      <w:divBdr>
                                                                                                                        <w:top w:val="none" w:sz="0" w:space="0" w:color="auto"/>
                                                                                                                        <w:left w:val="none" w:sz="0" w:space="0" w:color="auto"/>
                                                                                                                        <w:bottom w:val="none" w:sz="0" w:space="0" w:color="auto"/>
                                                                                                                        <w:right w:val="none" w:sz="0" w:space="0" w:color="auto"/>
                                                                                                                      </w:divBdr>
                                                                                                                      <w:divsChild>
                                                                                                                        <w:div w:id="635136367">
                                                                                                                          <w:marLeft w:val="0"/>
                                                                                                                          <w:marRight w:val="0"/>
                                                                                                                          <w:marTop w:val="0"/>
                                                                                                                          <w:marBottom w:val="0"/>
                                                                                                                          <w:divBdr>
                                                                                                                            <w:top w:val="none" w:sz="0" w:space="0" w:color="auto"/>
                                                                                                                            <w:left w:val="none" w:sz="0" w:space="0" w:color="auto"/>
                                                                                                                            <w:bottom w:val="none" w:sz="0" w:space="0" w:color="auto"/>
                                                                                                                            <w:right w:val="none" w:sz="0" w:space="0" w:color="auto"/>
                                                                                                                          </w:divBdr>
                                                                                                                          <w:divsChild>
                                                                                                                            <w:div w:id="1079059336">
                                                                                                                              <w:marLeft w:val="0"/>
                                                                                                                              <w:marRight w:val="0"/>
                                                                                                                              <w:marTop w:val="0"/>
                                                                                                                              <w:marBottom w:val="0"/>
                                                                                                                              <w:divBdr>
                                                                                                                                <w:top w:val="none" w:sz="0" w:space="0" w:color="auto"/>
                                                                                                                                <w:left w:val="none" w:sz="0" w:space="0" w:color="auto"/>
                                                                                                                                <w:bottom w:val="none" w:sz="0" w:space="0" w:color="auto"/>
                                                                                                                                <w:right w:val="none" w:sz="0" w:space="0" w:color="auto"/>
                                                                                                                              </w:divBdr>
                                                                                                                              <w:divsChild>
                                                                                                                                <w:div w:id="689525817">
                                                                                                                                  <w:marLeft w:val="0"/>
                                                                                                                                  <w:marRight w:val="0"/>
                                                                                                                                  <w:marTop w:val="0"/>
                                                                                                                                  <w:marBottom w:val="0"/>
                                                                                                                                  <w:divBdr>
                                                                                                                                    <w:top w:val="none" w:sz="0" w:space="0" w:color="auto"/>
                                                                                                                                    <w:left w:val="none" w:sz="0" w:space="0" w:color="auto"/>
                                                                                                                                    <w:bottom w:val="none" w:sz="0" w:space="0" w:color="auto"/>
                                                                                                                                    <w:right w:val="none" w:sz="0" w:space="0" w:color="auto"/>
                                                                                                                                  </w:divBdr>
                                                                                                                                </w:div>
                                                                                                                                <w:div w:id="8418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5057130">
      <w:bodyDiv w:val="1"/>
      <w:marLeft w:val="0"/>
      <w:marRight w:val="0"/>
      <w:marTop w:val="0"/>
      <w:marBottom w:val="0"/>
      <w:divBdr>
        <w:top w:val="none" w:sz="0" w:space="0" w:color="auto"/>
        <w:left w:val="none" w:sz="0" w:space="0" w:color="auto"/>
        <w:bottom w:val="none" w:sz="0" w:space="0" w:color="auto"/>
        <w:right w:val="none" w:sz="0" w:space="0" w:color="auto"/>
      </w:divBdr>
    </w:div>
    <w:div w:id="1076125317">
      <w:bodyDiv w:val="1"/>
      <w:marLeft w:val="0"/>
      <w:marRight w:val="0"/>
      <w:marTop w:val="0"/>
      <w:marBottom w:val="0"/>
      <w:divBdr>
        <w:top w:val="none" w:sz="0" w:space="0" w:color="auto"/>
        <w:left w:val="none" w:sz="0" w:space="0" w:color="auto"/>
        <w:bottom w:val="none" w:sz="0" w:space="0" w:color="auto"/>
        <w:right w:val="none" w:sz="0" w:space="0" w:color="auto"/>
      </w:divBdr>
    </w:div>
    <w:div w:id="1076898213">
      <w:bodyDiv w:val="1"/>
      <w:marLeft w:val="0"/>
      <w:marRight w:val="0"/>
      <w:marTop w:val="0"/>
      <w:marBottom w:val="0"/>
      <w:divBdr>
        <w:top w:val="none" w:sz="0" w:space="0" w:color="auto"/>
        <w:left w:val="none" w:sz="0" w:space="0" w:color="auto"/>
        <w:bottom w:val="none" w:sz="0" w:space="0" w:color="auto"/>
        <w:right w:val="none" w:sz="0" w:space="0" w:color="auto"/>
      </w:divBdr>
    </w:div>
    <w:div w:id="1087531752">
      <w:bodyDiv w:val="1"/>
      <w:marLeft w:val="0"/>
      <w:marRight w:val="0"/>
      <w:marTop w:val="0"/>
      <w:marBottom w:val="0"/>
      <w:divBdr>
        <w:top w:val="none" w:sz="0" w:space="0" w:color="auto"/>
        <w:left w:val="none" w:sz="0" w:space="0" w:color="auto"/>
        <w:bottom w:val="none" w:sz="0" w:space="0" w:color="auto"/>
        <w:right w:val="none" w:sz="0" w:space="0" w:color="auto"/>
      </w:divBdr>
    </w:div>
    <w:div w:id="1090396048">
      <w:bodyDiv w:val="1"/>
      <w:marLeft w:val="0"/>
      <w:marRight w:val="0"/>
      <w:marTop w:val="0"/>
      <w:marBottom w:val="0"/>
      <w:divBdr>
        <w:top w:val="none" w:sz="0" w:space="0" w:color="auto"/>
        <w:left w:val="none" w:sz="0" w:space="0" w:color="auto"/>
        <w:bottom w:val="none" w:sz="0" w:space="0" w:color="auto"/>
        <w:right w:val="none" w:sz="0" w:space="0" w:color="auto"/>
      </w:divBdr>
    </w:div>
    <w:div w:id="1092625873">
      <w:bodyDiv w:val="1"/>
      <w:marLeft w:val="0"/>
      <w:marRight w:val="0"/>
      <w:marTop w:val="0"/>
      <w:marBottom w:val="0"/>
      <w:divBdr>
        <w:top w:val="none" w:sz="0" w:space="0" w:color="auto"/>
        <w:left w:val="none" w:sz="0" w:space="0" w:color="auto"/>
        <w:bottom w:val="none" w:sz="0" w:space="0" w:color="auto"/>
        <w:right w:val="none" w:sz="0" w:space="0" w:color="auto"/>
      </w:divBdr>
      <w:divsChild>
        <w:div w:id="32311255">
          <w:marLeft w:val="1886"/>
          <w:marRight w:val="0"/>
          <w:marTop w:val="0"/>
          <w:marBottom w:val="0"/>
          <w:divBdr>
            <w:top w:val="none" w:sz="0" w:space="0" w:color="auto"/>
            <w:left w:val="none" w:sz="0" w:space="0" w:color="auto"/>
            <w:bottom w:val="none" w:sz="0" w:space="0" w:color="auto"/>
            <w:right w:val="none" w:sz="0" w:space="0" w:color="auto"/>
          </w:divBdr>
        </w:div>
        <w:div w:id="217789723">
          <w:marLeft w:val="1166"/>
          <w:marRight w:val="0"/>
          <w:marTop w:val="0"/>
          <w:marBottom w:val="0"/>
          <w:divBdr>
            <w:top w:val="none" w:sz="0" w:space="0" w:color="auto"/>
            <w:left w:val="none" w:sz="0" w:space="0" w:color="auto"/>
            <w:bottom w:val="none" w:sz="0" w:space="0" w:color="auto"/>
            <w:right w:val="none" w:sz="0" w:space="0" w:color="auto"/>
          </w:divBdr>
        </w:div>
        <w:div w:id="330986636">
          <w:marLeft w:val="1886"/>
          <w:marRight w:val="0"/>
          <w:marTop w:val="0"/>
          <w:marBottom w:val="0"/>
          <w:divBdr>
            <w:top w:val="none" w:sz="0" w:space="0" w:color="auto"/>
            <w:left w:val="none" w:sz="0" w:space="0" w:color="auto"/>
            <w:bottom w:val="none" w:sz="0" w:space="0" w:color="auto"/>
            <w:right w:val="none" w:sz="0" w:space="0" w:color="auto"/>
          </w:divBdr>
        </w:div>
        <w:div w:id="1818062350">
          <w:marLeft w:val="720"/>
          <w:marRight w:val="0"/>
          <w:marTop w:val="0"/>
          <w:marBottom w:val="0"/>
          <w:divBdr>
            <w:top w:val="none" w:sz="0" w:space="0" w:color="auto"/>
            <w:left w:val="none" w:sz="0" w:space="0" w:color="auto"/>
            <w:bottom w:val="none" w:sz="0" w:space="0" w:color="auto"/>
            <w:right w:val="none" w:sz="0" w:space="0" w:color="auto"/>
          </w:divBdr>
        </w:div>
        <w:div w:id="1838883774">
          <w:marLeft w:val="1166"/>
          <w:marRight w:val="0"/>
          <w:marTop w:val="0"/>
          <w:marBottom w:val="0"/>
          <w:divBdr>
            <w:top w:val="none" w:sz="0" w:space="0" w:color="auto"/>
            <w:left w:val="none" w:sz="0" w:space="0" w:color="auto"/>
            <w:bottom w:val="none" w:sz="0" w:space="0" w:color="auto"/>
            <w:right w:val="none" w:sz="0" w:space="0" w:color="auto"/>
          </w:divBdr>
        </w:div>
      </w:divsChild>
    </w:div>
    <w:div w:id="1099063126">
      <w:bodyDiv w:val="1"/>
      <w:marLeft w:val="0"/>
      <w:marRight w:val="0"/>
      <w:marTop w:val="0"/>
      <w:marBottom w:val="0"/>
      <w:divBdr>
        <w:top w:val="none" w:sz="0" w:space="0" w:color="auto"/>
        <w:left w:val="none" w:sz="0" w:space="0" w:color="auto"/>
        <w:bottom w:val="none" w:sz="0" w:space="0" w:color="auto"/>
        <w:right w:val="none" w:sz="0" w:space="0" w:color="auto"/>
      </w:divBdr>
    </w:div>
    <w:div w:id="1106654950">
      <w:bodyDiv w:val="1"/>
      <w:marLeft w:val="0"/>
      <w:marRight w:val="0"/>
      <w:marTop w:val="0"/>
      <w:marBottom w:val="0"/>
      <w:divBdr>
        <w:top w:val="none" w:sz="0" w:space="0" w:color="auto"/>
        <w:left w:val="none" w:sz="0" w:space="0" w:color="auto"/>
        <w:bottom w:val="none" w:sz="0" w:space="0" w:color="auto"/>
        <w:right w:val="none" w:sz="0" w:space="0" w:color="auto"/>
      </w:divBdr>
    </w:div>
    <w:div w:id="1110123273">
      <w:bodyDiv w:val="1"/>
      <w:marLeft w:val="0"/>
      <w:marRight w:val="0"/>
      <w:marTop w:val="0"/>
      <w:marBottom w:val="0"/>
      <w:divBdr>
        <w:top w:val="none" w:sz="0" w:space="0" w:color="auto"/>
        <w:left w:val="none" w:sz="0" w:space="0" w:color="auto"/>
        <w:bottom w:val="none" w:sz="0" w:space="0" w:color="auto"/>
        <w:right w:val="none" w:sz="0" w:space="0" w:color="auto"/>
      </w:divBdr>
    </w:div>
    <w:div w:id="1115170857">
      <w:bodyDiv w:val="1"/>
      <w:marLeft w:val="0"/>
      <w:marRight w:val="0"/>
      <w:marTop w:val="0"/>
      <w:marBottom w:val="0"/>
      <w:divBdr>
        <w:top w:val="none" w:sz="0" w:space="0" w:color="auto"/>
        <w:left w:val="none" w:sz="0" w:space="0" w:color="auto"/>
        <w:bottom w:val="none" w:sz="0" w:space="0" w:color="auto"/>
        <w:right w:val="none" w:sz="0" w:space="0" w:color="auto"/>
      </w:divBdr>
    </w:div>
    <w:div w:id="1116170706">
      <w:bodyDiv w:val="1"/>
      <w:marLeft w:val="0"/>
      <w:marRight w:val="0"/>
      <w:marTop w:val="0"/>
      <w:marBottom w:val="0"/>
      <w:divBdr>
        <w:top w:val="none" w:sz="0" w:space="0" w:color="auto"/>
        <w:left w:val="none" w:sz="0" w:space="0" w:color="auto"/>
        <w:bottom w:val="none" w:sz="0" w:space="0" w:color="auto"/>
        <w:right w:val="none" w:sz="0" w:space="0" w:color="auto"/>
      </w:divBdr>
    </w:div>
    <w:div w:id="1116369277">
      <w:bodyDiv w:val="1"/>
      <w:marLeft w:val="0"/>
      <w:marRight w:val="0"/>
      <w:marTop w:val="0"/>
      <w:marBottom w:val="0"/>
      <w:divBdr>
        <w:top w:val="none" w:sz="0" w:space="0" w:color="auto"/>
        <w:left w:val="none" w:sz="0" w:space="0" w:color="auto"/>
        <w:bottom w:val="none" w:sz="0" w:space="0" w:color="auto"/>
        <w:right w:val="none" w:sz="0" w:space="0" w:color="auto"/>
      </w:divBdr>
    </w:div>
    <w:div w:id="1120297045">
      <w:bodyDiv w:val="1"/>
      <w:marLeft w:val="0"/>
      <w:marRight w:val="0"/>
      <w:marTop w:val="0"/>
      <w:marBottom w:val="0"/>
      <w:divBdr>
        <w:top w:val="none" w:sz="0" w:space="0" w:color="auto"/>
        <w:left w:val="none" w:sz="0" w:space="0" w:color="auto"/>
        <w:bottom w:val="none" w:sz="0" w:space="0" w:color="auto"/>
        <w:right w:val="none" w:sz="0" w:space="0" w:color="auto"/>
      </w:divBdr>
    </w:div>
    <w:div w:id="1121799106">
      <w:bodyDiv w:val="1"/>
      <w:marLeft w:val="0"/>
      <w:marRight w:val="0"/>
      <w:marTop w:val="0"/>
      <w:marBottom w:val="0"/>
      <w:divBdr>
        <w:top w:val="none" w:sz="0" w:space="0" w:color="auto"/>
        <w:left w:val="none" w:sz="0" w:space="0" w:color="auto"/>
        <w:bottom w:val="none" w:sz="0" w:space="0" w:color="auto"/>
        <w:right w:val="none" w:sz="0" w:space="0" w:color="auto"/>
      </w:divBdr>
    </w:div>
    <w:div w:id="1121916689">
      <w:bodyDiv w:val="1"/>
      <w:marLeft w:val="0"/>
      <w:marRight w:val="0"/>
      <w:marTop w:val="0"/>
      <w:marBottom w:val="0"/>
      <w:divBdr>
        <w:top w:val="none" w:sz="0" w:space="0" w:color="auto"/>
        <w:left w:val="none" w:sz="0" w:space="0" w:color="auto"/>
        <w:bottom w:val="none" w:sz="0" w:space="0" w:color="auto"/>
        <w:right w:val="none" w:sz="0" w:space="0" w:color="auto"/>
      </w:divBdr>
    </w:div>
    <w:div w:id="1125587255">
      <w:bodyDiv w:val="1"/>
      <w:marLeft w:val="0"/>
      <w:marRight w:val="0"/>
      <w:marTop w:val="0"/>
      <w:marBottom w:val="0"/>
      <w:divBdr>
        <w:top w:val="none" w:sz="0" w:space="0" w:color="auto"/>
        <w:left w:val="none" w:sz="0" w:space="0" w:color="auto"/>
        <w:bottom w:val="none" w:sz="0" w:space="0" w:color="auto"/>
        <w:right w:val="none" w:sz="0" w:space="0" w:color="auto"/>
      </w:divBdr>
    </w:div>
    <w:div w:id="1130169621">
      <w:bodyDiv w:val="1"/>
      <w:marLeft w:val="0"/>
      <w:marRight w:val="0"/>
      <w:marTop w:val="0"/>
      <w:marBottom w:val="0"/>
      <w:divBdr>
        <w:top w:val="none" w:sz="0" w:space="0" w:color="auto"/>
        <w:left w:val="none" w:sz="0" w:space="0" w:color="auto"/>
        <w:bottom w:val="none" w:sz="0" w:space="0" w:color="auto"/>
        <w:right w:val="none" w:sz="0" w:space="0" w:color="auto"/>
      </w:divBdr>
    </w:div>
    <w:div w:id="1131362899">
      <w:bodyDiv w:val="1"/>
      <w:marLeft w:val="0"/>
      <w:marRight w:val="0"/>
      <w:marTop w:val="0"/>
      <w:marBottom w:val="0"/>
      <w:divBdr>
        <w:top w:val="none" w:sz="0" w:space="0" w:color="auto"/>
        <w:left w:val="none" w:sz="0" w:space="0" w:color="auto"/>
        <w:bottom w:val="none" w:sz="0" w:space="0" w:color="auto"/>
        <w:right w:val="none" w:sz="0" w:space="0" w:color="auto"/>
      </w:divBdr>
    </w:div>
    <w:div w:id="1136874991">
      <w:bodyDiv w:val="1"/>
      <w:marLeft w:val="0"/>
      <w:marRight w:val="0"/>
      <w:marTop w:val="0"/>
      <w:marBottom w:val="0"/>
      <w:divBdr>
        <w:top w:val="none" w:sz="0" w:space="0" w:color="auto"/>
        <w:left w:val="none" w:sz="0" w:space="0" w:color="auto"/>
        <w:bottom w:val="none" w:sz="0" w:space="0" w:color="auto"/>
        <w:right w:val="none" w:sz="0" w:space="0" w:color="auto"/>
      </w:divBdr>
    </w:div>
    <w:div w:id="1141383863">
      <w:bodyDiv w:val="1"/>
      <w:marLeft w:val="0"/>
      <w:marRight w:val="0"/>
      <w:marTop w:val="0"/>
      <w:marBottom w:val="0"/>
      <w:divBdr>
        <w:top w:val="none" w:sz="0" w:space="0" w:color="auto"/>
        <w:left w:val="none" w:sz="0" w:space="0" w:color="auto"/>
        <w:bottom w:val="none" w:sz="0" w:space="0" w:color="auto"/>
        <w:right w:val="none" w:sz="0" w:space="0" w:color="auto"/>
      </w:divBdr>
    </w:div>
    <w:div w:id="1144588719">
      <w:bodyDiv w:val="1"/>
      <w:marLeft w:val="0"/>
      <w:marRight w:val="0"/>
      <w:marTop w:val="0"/>
      <w:marBottom w:val="0"/>
      <w:divBdr>
        <w:top w:val="none" w:sz="0" w:space="0" w:color="auto"/>
        <w:left w:val="none" w:sz="0" w:space="0" w:color="auto"/>
        <w:bottom w:val="none" w:sz="0" w:space="0" w:color="auto"/>
        <w:right w:val="none" w:sz="0" w:space="0" w:color="auto"/>
      </w:divBdr>
    </w:div>
    <w:div w:id="1145703362">
      <w:bodyDiv w:val="1"/>
      <w:marLeft w:val="0"/>
      <w:marRight w:val="0"/>
      <w:marTop w:val="0"/>
      <w:marBottom w:val="0"/>
      <w:divBdr>
        <w:top w:val="none" w:sz="0" w:space="0" w:color="auto"/>
        <w:left w:val="none" w:sz="0" w:space="0" w:color="auto"/>
        <w:bottom w:val="none" w:sz="0" w:space="0" w:color="auto"/>
        <w:right w:val="none" w:sz="0" w:space="0" w:color="auto"/>
      </w:divBdr>
    </w:div>
    <w:div w:id="1147939317">
      <w:bodyDiv w:val="1"/>
      <w:marLeft w:val="0"/>
      <w:marRight w:val="0"/>
      <w:marTop w:val="0"/>
      <w:marBottom w:val="0"/>
      <w:divBdr>
        <w:top w:val="none" w:sz="0" w:space="0" w:color="auto"/>
        <w:left w:val="none" w:sz="0" w:space="0" w:color="auto"/>
        <w:bottom w:val="none" w:sz="0" w:space="0" w:color="auto"/>
        <w:right w:val="none" w:sz="0" w:space="0" w:color="auto"/>
      </w:divBdr>
      <w:divsChild>
        <w:div w:id="1171918460">
          <w:marLeft w:val="0"/>
          <w:marRight w:val="0"/>
          <w:marTop w:val="0"/>
          <w:marBottom w:val="0"/>
          <w:divBdr>
            <w:top w:val="none" w:sz="0" w:space="0" w:color="auto"/>
            <w:left w:val="none" w:sz="0" w:space="0" w:color="auto"/>
            <w:bottom w:val="none" w:sz="0" w:space="0" w:color="auto"/>
            <w:right w:val="none" w:sz="0" w:space="0" w:color="auto"/>
          </w:divBdr>
          <w:divsChild>
            <w:div w:id="1675066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8324834">
      <w:bodyDiv w:val="1"/>
      <w:marLeft w:val="0"/>
      <w:marRight w:val="0"/>
      <w:marTop w:val="0"/>
      <w:marBottom w:val="0"/>
      <w:divBdr>
        <w:top w:val="none" w:sz="0" w:space="0" w:color="auto"/>
        <w:left w:val="none" w:sz="0" w:space="0" w:color="auto"/>
        <w:bottom w:val="none" w:sz="0" w:space="0" w:color="auto"/>
        <w:right w:val="none" w:sz="0" w:space="0" w:color="auto"/>
      </w:divBdr>
    </w:div>
    <w:div w:id="1150711049">
      <w:bodyDiv w:val="1"/>
      <w:marLeft w:val="0"/>
      <w:marRight w:val="0"/>
      <w:marTop w:val="0"/>
      <w:marBottom w:val="0"/>
      <w:divBdr>
        <w:top w:val="none" w:sz="0" w:space="0" w:color="auto"/>
        <w:left w:val="none" w:sz="0" w:space="0" w:color="auto"/>
        <w:bottom w:val="none" w:sz="0" w:space="0" w:color="auto"/>
        <w:right w:val="none" w:sz="0" w:space="0" w:color="auto"/>
      </w:divBdr>
    </w:div>
    <w:div w:id="1154250641">
      <w:bodyDiv w:val="1"/>
      <w:marLeft w:val="0"/>
      <w:marRight w:val="0"/>
      <w:marTop w:val="0"/>
      <w:marBottom w:val="0"/>
      <w:divBdr>
        <w:top w:val="none" w:sz="0" w:space="0" w:color="auto"/>
        <w:left w:val="none" w:sz="0" w:space="0" w:color="auto"/>
        <w:bottom w:val="none" w:sz="0" w:space="0" w:color="auto"/>
        <w:right w:val="none" w:sz="0" w:space="0" w:color="auto"/>
      </w:divBdr>
    </w:div>
    <w:div w:id="1161503308">
      <w:bodyDiv w:val="1"/>
      <w:marLeft w:val="0"/>
      <w:marRight w:val="0"/>
      <w:marTop w:val="0"/>
      <w:marBottom w:val="0"/>
      <w:divBdr>
        <w:top w:val="none" w:sz="0" w:space="0" w:color="auto"/>
        <w:left w:val="none" w:sz="0" w:space="0" w:color="auto"/>
        <w:bottom w:val="none" w:sz="0" w:space="0" w:color="auto"/>
        <w:right w:val="none" w:sz="0" w:space="0" w:color="auto"/>
      </w:divBdr>
    </w:div>
    <w:div w:id="1164320466">
      <w:bodyDiv w:val="1"/>
      <w:marLeft w:val="0"/>
      <w:marRight w:val="0"/>
      <w:marTop w:val="0"/>
      <w:marBottom w:val="0"/>
      <w:divBdr>
        <w:top w:val="none" w:sz="0" w:space="0" w:color="auto"/>
        <w:left w:val="none" w:sz="0" w:space="0" w:color="auto"/>
        <w:bottom w:val="none" w:sz="0" w:space="0" w:color="auto"/>
        <w:right w:val="none" w:sz="0" w:space="0" w:color="auto"/>
      </w:divBdr>
    </w:div>
    <w:div w:id="1165777045">
      <w:bodyDiv w:val="1"/>
      <w:marLeft w:val="0"/>
      <w:marRight w:val="0"/>
      <w:marTop w:val="0"/>
      <w:marBottom w:val="0"/>
      <w:divBdr>
        <w:top w:val="none" w:sz="0" w:space="0" w:color="auto"/>
        <w:left w:val="none" w:sz="0" w:space="0" w:color="auto"/>
        <w:bottom w:val="none" w:sz="0" w:space="0" w:color="auto"/>
        <w:right w:val="none" w:sz="0" w:space="0" w:color="auto"/>
      </w:divBdr>
    </w:div>
    <w:div w:id="1167358488">
      <w:bodyDiv w:val="1"/>
      <w:marLeft w:val="0"/>
      <w:marRight w:val="0"/>
      <w:marTop w:val="0"/>
      <w:marBottom w:val="0"/>
      <w:divBdr>
        <w:top w:val="none" w:sz="0" w:space="0" w:color="auto"/>
        <w:left w:val="none" w:sz="0" w:space="0" w:color="auto"/>
        <w:bottom w:val="none" w:sz="0" w:space="0" w:color="auto"/>
        <w:right w:val="none" w:sz="0" w:space="0" w:color="auto"/>
      </w:divBdr>
    </w:div>
    <w:div w:id="1170565362">
      <w:bodyDiv w:val="1"/>
      <w:marLeft w:val="0"/>
      <w:marRight w:val="0"/>
      <w:marTop w:val="0"/>
      <w:marBottom w:val="0"/>
      <w:divBdr>
        <w:top w:val="none" w:sz="0" w:space="0" w:color="auto"/>
        <w:left w:val="none" w:sz="0" w:space="0" w:color="auto"/>
        <w:bottom w:val="none" w:sz="0" w:space="0" w:color="auto"/>
        <w:right w:val="none" w:sz="0" w:space="0" w:color="auto"/>
      </w:divBdr>
    </w:div>
    <w:div w:id="1171021300">
      <w:bodyDiv w:val="1"/>
      <w:marLeft w:val="0"/>
      <w:marRight w:val="0"/>
      <w:marTop w:val="0"/>
      <w:marBottom w:val="0"/>
      <w:divBdr>
        <w:top w:val="none" w:sz="0" w:space="0" w:color="auto"/>
        <w:left w:val="none" w:sz="0" w:space="0" w:color="auto"/>
        <w:bottom w:val="none" w:sz="0" w:space="0" w:color="auto"/>
        <w:right w:val="none" w:sz="0" w:space="0" w:color="auto"/>
      </w:divBdr>
    </w:div>
    <w:div w:id="1178499393">
      <w:bodyDiv w:val="1"/>
      <w:marLeft w:val="0"/>
      <w:marRight w:val="0"/>
      <w:marTop w:val="0"/>
      <w:marBottom w:val="0"/>
      <w:divBdr>
        <w:top w:val="none" w:sz="0" w:space="0" w:color="auto"/>
        <w:left w:val="none" w:sz="0" w:space="0" w:color="auto"/>
        <w:bottom w:val="none" w:sz="0" w:space="0" w:color="auto"/>
        <w:right w:val="none" w:sz="0" w:space="0" w:color="auto"/>
      </w:divBdr>
    </w:div>
    <w:div w:id="1179008379">
      <w:bodyDiv w:val="1"/>
      <w:marLeft w:val="0"/>
      <w:marRight w:val="0"/>
      <w:marTop w:val="0"/>
      <w:marBottom w:val="0"/>
      <w:divBdr>
        <w:top w:val="none" w:sz="0" w:space="0" w:color="auto"/>
        <w:left w:val="none" w:sz="0" w:space="0" w:color="auto"/>
        <w:bottom w:val="none" w:sz="0" w:space="0" w:color="auto"/>
        <w:right w:val="none" w:sz="0" w:space="0" w:color="auto"/>
      </w:divBdr>
    </w:div>
    <w:div w:id="1180316496">
      <w:bodyDiv w:val="1"/>
      <w:marLeft w:val="0"/>
      <w:marRight w:val="0"/>
      <w:marTop w:val="0"/>
      <w:marBottom w:val="0"/>
      <w:divBdr>
        <w:top w:val="none" w:sz="0" w:space="0" w:color="auto"/>
        <w:left w:val="none" w:sz="0" w:space="0" w:color="auto"/>
        <w:bottom w:val="none" w:sz="0" w:space="0" w:color="auto"/>
        <w:right w:val="none" w:sz="0" w:space="0" w:color="auto"/>
      </w:divBdr>
    </w:div>
    <w:div w:id="1206716983">
      <w:bodyDiv w:val="1"/>
      <w:marLeft w:val="0"/>
      <w:marRight w:val="0"/>
      <w:marTop w:val="0"/>
      <w:marBottom w:val="0"/>
      <w:divBdr>
        <w:top w:val="none" w:sz="0" w:space="0" w:color="auto"/>
        <w:left w:val="none" w:sz="0" w:space="0" w:color="auto"/>
        <w:bottom w:val="none" w:sz="0" w:space="0" w:color="auto"/>
        <w:right w:val="none" w:sz="0" w:space="0" w:color="auto"/>
      </w:divBdr>
    </w:div>
    <w:div w:id="1210992257">
      <w:bodyDiv w:val="1"/>
      <w:marLeft w:val="0"/>
      <w:marRight w:val="0"/>
      <w:marTop w:val="0"/>
      <w:marBottom w:val="0"/>
      <w:divBdr>
        <w:top w:val="none" w:sz="0" w:space="0" w:color="auto"/>
        <w:left w:val="none" w:sz="0" w:space="0" w:color="auto"/>
        <w:bottom w:val="none" w:sz="0" w:space="0" w:color="auto"/>
        <w:right w:val="none" w:sz="0" w:space="0" w:color="auto"/>
      </w:divBdr>
    </w:div>
    <w:div w:id="1212812688">
      <w:bodyDiv w:val="1"/>
      <w:marLeft w:val="0"/>
      <w:marRight w:val="0"/>
      <w:marTop w:val="0"/>
      <w:marBottom w:val="0"/>
      <w:divBdr>
        <w:top w:val="none" w:sz="0" w:space="0" w:color="auto"/>
        <w:left w:val="none" w:sz="0" w:space="0" w:color="auto"/>
        <w:bottom w:val="none" w:sz="0" w:space="0" w:color="auto"/>
        <w:right w:val="none" w:sz="0" w:space="0" w:color="auto"/>
      </w:divBdr>
    </w:div>
    <w:div w:id="1213494604">
      <w:bodyDiv w:val="1"/>
      <w:marLeft w:val="0"/>
      <w:marRight w:val="0"/>
      <w:marTop w:val="0"/>
      <w:marBottom w:val="0"/>
      <w:divBdr>
        <w:top w:val="none" w:sz="0" w:space="0" w:color="auto"/>
        <w:left w:val="none" w:sz="0" w:space="0" w:color="auto"/>
        <w:bottom w:val="none" w:sz="0" w:space="0" w:color="auto"/>
        <w:right w:val="none" w:sz="0" w:space="0" w:color="auto"/>
      </w:divBdr>
    </w:div>
    <w:div w:id="1221554499">
      <w:bodyDiv w:val="1"/>
      <w:marLeft w:val="0"/>
      <w:marRight w:val="0"/>
      <w:marTop w:val="0"/>
      <w:marBottom w:val="0"/>
      <w:divBdr>
        <w:top w:val="none" w:sz="0" w:space="0" w:color="auto"/>
        <w:left w:val="none" w:sz="0" w:space="0" w:color="auto"/>
        <w:bottom w:val="none" w:sz="0" w:space="0" w:color="auto"/>
        <w:right w:val="none" w:sz="0" w:space="0" w:color="auto"/>
      </w:divBdr>
    </w:div>
    <w:div w:id="1234853434">
      <w:bodyDiv w:val="1"/>
      <w:marLeft w:val="0"/>
      <w:marRight w:val="0"/>
      <w:marTop w:val="0"/>
      <w:marBottom w:val="0"/>
      <w:divBdr>
        <w:top w:val="none" w:sz="0" w:space="0" w:color="auto"/>
        <w:left w:val="none" w:sz="0" w:space="0" w:color="auto"/>
        <w:bottom w:val="none" w:sz="0" w:space="0" w:color="auto"/>
        <w:right w:val="none" w:sz="0" w:space="0" w:color="auto"/>
      </w:divBdr>
    </w:div>
    <w:div w:id="1236666685">
      <w:bodyDiv w:val="1"/>
      <w:marLeft w:val="0"/>
      <w:marRight w:val="0"/>
      <w:marTop w:val="0"/>
      <w:marBottom w:val="0"/>
      <w:divBdr>
        <w:top w:val="none" w:sz="0" w:space="0" w:color="auto"/>
        <w:left w:val="none" w:sz="0" w:space="0" w:color="auto"/>
        <w:bottom w:val="none" w:sz="0" w:space="0" w:color="auto"/>
        <w:right w:val="none" w:sz="0" w:space="0" w:color="auto"/>
      </w:divBdr>
    </w:div>
    <w:div w:id="1239364748">
      <w:bodyDiv w:val="1"/>
      <w:marLeft w:val="0"/>
      <w:marRight w:val="0"/>
      <w:marTop w:val="0"/>
      <w:marBottom w:val="0"/>
      <w:divBdr>
        <w:top w:val="none" w:sz="0" w:space="0" w:color="auto"/>
        <w:left w:val="none" w:sz="0" w:space="0" w:color="auto"/>
        <w:bottom w:val="none" w:sz="0" w:space="0" w:color="auto"/>
        <w:right w:val="none" w:sz="0" w:space="0" w:color="auto"/>
      </w:divBdr>
    </w:div>
    <w:div w:id="1241018343">
      <w:bodyDiv w:val="1"/>
      <w:marLeft w:val="0"/>
      <w:marRight w:val="0"/>
      <w:marTop w:val="0"/>
      <w:marBottom w:val="0"/>
      <w:divBdr>
        <w:top w:val="none" w:sz="0" w:space="0" w:color="auto"/>
        <w:left w:val="none" w:sz="0" w:space="0" w:color="auto"/>
        <w:bottom w:val="none" w:sz="0" w:space="0" w:color="auto"/>
        <w:right w:val="none" w:sz="0" w:space="0" w:color="auto"/>
      </w:divBdr>
    </w:div>
    <w:div w:id="1243947780">
      <w:bodyDiv w:val="1"/>
      <w:marLeft w:val="0"/>
      <w:marRight w:val="0"/>
      <w:marTop w:val="0"/>
      <w:marBottom w:val="0"/>
      <w:divBdr>
        <w:top w:val="none" w:sz="0" w:space="0" w:color="auto"/>
        <w:left w:val="none" w:sz="0" w:space="0" w:color="auto"/>
        <w:bottom w:val="none" w:sz="0" w:space="0" w:color="auto"/>
        <w:right w:val="none" w:sz="0" w:space="0" w:color="auto"/>
      </w:divBdr>
    </w:div>
    <w:div w:id="1247879066">
      <w:bodyDiv w:val="1"/>
      <w:marLeft w:val="0"/>
      <w:marRight w:val="0"/>
      <w:marTop w:val="0"/>
      <w:marBottom w:val="0"/>
      <w:divBdr>
        <w:top w:val="none" w:sz="0" w:space="0" w:color="auto"/>
        <w:left w:val="none" w:sz="0" w:space="0" w:color="auto"/>
        <w:bottom w:val="none" w:sz="0" w:space="0" w:color="auto"/>
        <w:right w:val="none" w:sz="0" w:space="0" w:color="auto"/>
      </w:divBdr>
    </w:div>
    <w:div w:id="1252544621">
      <w:bodyDiv w:val="1"/>
      <w:marLeft w:val="0"/>
      <w:marRight w:val="0"/>
      <w:marTop w:val="0"/>
      <w:marBottom w:val="0"/>
      <w:divBdr>
        <w:top w:val="none" w:sz="0" w:space="0" w:color="auto"/>
        <w:left w:val="none" w:sz="0" w:space="0" w:color="auto"/>
        <w:bottom w:val="none" w:sz="0" w:space="0" w:color="auto"/>
        <w:right w:val="none" w:sz="0" w:space="0" w:color="auto"/>
      </w:divBdr>
    </w:div>
    <w:div w:id="1255165691">
      <w:bodyDiv w:val="1"/>
      <w:marLeft w:val="0"/>
      <w:marRight w:val="0"/>
      <w:marTop w:val="0"/>
      <w:marBottom w:val="0"/>
      <w:divBdr>
        <w:top w:val="none" w:sz="0" w:space="0" w:color="auto"/>
        <w:left w:val="none" w:sz="0" w:space="0" w:color="auto"/>
        <w:bottom w:val="none" w:sz="0" w:space="0" w:color="auto"/>
        <w:right w:val="none" w:sz="0" w:space="0" w:color="auto"/>
      </w:divBdr>
    </w:div>
    <w:div w:id="1257204796">
      <w:bodyDiv w:val="1"/>
      <w:marLeft w:val="0"/>
      <w:marRight w:val="0"/>
      <w:marTop w:val="0"/>
      <w:marBottom w:val="0"/>
      <w:divBdr>
        <w:top w:val="none" w:sz="0" w:space="0" w:color="auto"/>
        <w:left w:val="none" w:sz="0" w:space="0" w:color="auto"/>
        <w:bottom w:val="none" w:sz="0" w:space="0" w:color="auto"/>
        <w:right w:val="none" w:sz="0" w:space="0" w:color="auto"/>
      </w:divBdr>
    </w:div>
    <w:div w:id="1259675587">
      <w:bodyDiv w:val="1"/>
      <w:marLeft w:val="0"/>
      <w:marRight w:val="0"/>
      <w:marTop w:val="0"/>
      <w:marBottom w:val="0"/>
      <w:divBdr>
        <w:top w:val="none" w:sz="0" w:space="0" w:color="auto"/>
        <w:left w:val="none" w:sz="0" w:space="0" w:color="auto"/>
        <w:bottom w:val="none" w:sz="0" w:space="0" w:color="auto"/>
        <w:right w:val="none" w:sz="0" w:space="0" w:color="auto"/>
      </w:divBdr>
    </w:div>
    <w:div w:id="1260524290">
      <w:bodyDiv w:val="1"/>
      <w:marLeft w:val="0"/>
      <w:marRight w:val="0"/>
      <w:marTop w:val="0"/>
      <w:marBottom w:val="0"/>
      <w:divBdr>
        <w:top w:val="none" w:sz="0" w:space="0" w:color="auto"/>
        <w:left w:val="none" w:sz="0" w:space="0" w:color="auto"/>
        <w:bottom w:val="none" w:sz="0" w:space="0" w:color="auto"/>
        <w:right w:val="none" w:sz="0" w:space="0" w:color="auto"/>
      </w:divBdr>
    </w:div>
    <w:div w:id="1270697806">
      <w:bodyDiv w:val="1"/>
      <w:marLeft w:val="0"/>
      <w:marRight w:val="0"/>
      <w:marTop w:val="0"/>
      <w:marBottom w:val="0"/>
      <w:divBdr>
        <w:top w:val="none" w:sz="0" w:space="0" w:color="auto"/>
        <w:left w:val="none" w:sz="0" w:space="0" w:color="auto"/>
        <w:bottom w:val="none" w:sz="0" w:space="0" w:color="auto"/>
        <w:right w:val="none" w:sz="0" w:space="0" w:color="auto"/>
      </w:divBdr>
    </w:div>
    <w:div w:id="1272544354">
      <w:bodyDiv w:val="1"/>
      <w:marLeft w:val="0"/>
      <w:marRight w:val="0"/>
      <w:marTop w:val="0"/>
      <w:marBottom w:val="0"/>
      <w:divBdr>
        <w:top w:val="none" w:sz="0" w:space="0" w:color="auto"/>
        <w:left w:val="none" w:sz="0" w:space="0" w:color="auto"/>
        <w:bottom w:val="none" w:sz="0" w:space="0" w:color="auto"/>
        <w:right w:val="none" w:sz="0" w:space="0" w:color="auto"/>
      </w:divBdr>
    </w:div>
    <w:div w:id="1277906770">
      <w:bodyDiv w:val="1"/>
      <w:marLeft w:val="0"/>
      <w:marRight w:val="0"/>
      <w:marTop w:val="0"/>
      <w:marBottom w:val="0"/>
      <w:divBdr>
        <w:top w:val="none" w:sz="0" w:space="0" w:color="auto"/>
        <w:left w:val="none" w:sz="0" w:space="0" w:color="auto"/>
        <w:bottom w:val="none" w:sz="0" w:space="0" w:color="auto"/>
        <w:right w:val="none" w:sz="0" w:space="0" w:color="auto"/>
      </w:divBdr>
    </w:div>
    <w:div w:id="1279528062">
      <w:bodyDiv w:val="1"/>
      <w:marLeft w:val="0"/>
      <w:marRight w:val="0"/>
      <w:marTop w:val="0"/>
      <w:marBottom w:val="0"/>
      <w:divBdr>
        <w:top w:val="none" w:sz="0" w:space="0" w:color="auto"/>
        <w:left w:val="none" w:sz="0" w:space="0" w:color="auto"/>
        <w:bottom w:val="none" w:sz="0" w:space="0" w:color="auto"/>
        <w:right w:val="none" w:sz="0" w:space="0" w:color="auto"/>
      </w:divBdr>
      <w:divsChild>
        <w:div w:id="1515193299">
          <w:marLeft w:val="0"/>
          <w:marRight w:val="0"/>
          <w:marTop w:val="0"/>
          <w:marBottom w:val="0"/>
          <w:divBdr>
            <w:top w:val="none" w:sz="0" w:space="0" w:color="auto"/>
            <w:left w:val="none" w:sz="0" w:space="0" w:color="auto"/>
            <w:bottom w:val="none" w:sz="0" w:space="0" w:color="auto"/>
            <w:right w:val="none" w:sz="0" w:space="0" w:color="auto"/>
          </w:divBdr>
          <w:divsChild>
            <w:div w:id="200897286">
              <w:marLeft w:val="0"/>
              <w:marRight w:val="0"/>
              <w:marTop w:val="0"/>
              <w:marBottom w:val="0"/>
              <w:divBdr>
                <w:top w:val="none" w:sz="0" w:space="0" w:color="auto"/>
                <w:left w:val="none" w:sz="0" w:space="0" w:color="auto"/>
                <w:bottom w:val="none" w:sz="0" w:space="0" w:color="auto"/>
                <w:right w:val="none" w:sz="0" w:space="0" w:color="auto"/>
              </w:divBdr>
              <w:divsChild>
                <w:div w:id="1725179740">
                  <w:marLeft w:val="0"/>
                  <w:marRight w:val="0"/>
                  <w:marTop w:val="0"/>
                  <w:marBottom w:val="0"/>
                  <w:divBdr>
                    <w:top w:val="none" w:sz="0" w:space="0" w:color="auto"/>
                    <w:left w:val="none" w:sz="0" w:space="0" w:color="auto"/>
                    <w:bottom w:val="none" w:sz="0" w:space="0" w:color="auto"/>
                    <w:right w:val="none" w:sz="0" w:space="0" w:color="auto"/>
                  </w:divBdr>
                  <w:divsChild>
                    <w:div w:id="1873305049">
                      <w:marLeft w:val="0"/>
                      <w:marRight w:val="0"/>
                      <w:marTop w:val="0"/>
                      <w:marBottom w:val="0"/>
                      <w:divBdr>
                        <w:top w:val="none" w:sz="0" w:space="0" w:color="auto"/>
                        <w:left w:val="none" w:sz="0" w:space="0" w:color="auto"/>
                        <w:bottom w:val="none" w:sz="0" w:space="0" w:color="auto"/>
                        <w:right w:val="none" w:sz="0" w:space="0" w:color="auto"/>
                      </w:divBdr>
                      <w:divsChild>
                        <w:div w:id="1145663899">
                          <w:marLeft w:val="0"/>
                          <w:marRight w:val="0"/>
                          <w:marTop w:val="15"/>
                          <w:marBottom w:val="0"/>
                          <w:divBdr>
                            <w:top w:val="none" w:sz="0" w:space="0" w:color="auto"/>
                            <w:left w:val="none" w:sz="0" w:space="0" w:color="auto"/>
                            <w:bottom w:val="none" w:sz="0" w:space="0" w:color="auto"/>
                            <w:right w:val="none" w:sz="0" w:space="0" w:color="auto"/>
                          </w:divBdr>
                          <w:divsChild>
                            <w:div w:id="1717466412">
                              <w:marLeft w:val="0"/>
                              <w:marRight w:val="0"/>
                              <w:marTop w:val="0"/>
                              <w:marBottom w:val="0"/>
                              <w:divBdr>
                                <w:top w:val="none" w:sz="0" w:space="0" w:color="auto"/>
                                <w:left w:val="none" w:sz="0" w:space="0" w:color="auto"/>
                                <w:bottom w:val="none" w:sz="0" w:space="0" w:color="auto"/>
                                <w:right w:val="none" w:sz="0" w:space="0" w:color="auto"/>
                              </w:divBdr>
                              <w:divsChild>
                                <w:div w:id="2900566">
                                  <w:marLeft w:val="0"/>
                                  <w:marRight w:val="0"/>
                                  <w:marTop w:val="0"/>
                                  <w:marBottom w:val="0"/>
                                  <w:divBdr>
                                    <w:top w:val="none" w:sz="0" w:space="0" w:color="auto"/>
                                    <w:left w:val="none" w:sz="0" w:space="0" w:color="auto"/>
                                    <w:bottom w:val="none" w:sz="0" w:space="0" w:color="auto"/>
                                    <w:right w:val="none" w:sz="0" w:space="0" w:color="auto"/>
                                  </w:divBdr>
                                </w:div>
                                <w:div w:id="483274511">
                                  <w:marLeft w:val="0"/>
                                  <w:marRight w:val="0"/>
                                  <w:marTop w:val="0"/>
                                  <w:marBottom w:val="0"/>
                                  <w:divBdr>
                                    <w:top w:val="none" w:sz="0" w:space="0" w:color="auto"/>
                                    <w:left w:val="none" w:sz="0" w:space="0" w:color="auto"/>
                                    <w:bottom w:val="none" w:sz="0" w:space="0" w:color="auto"/>
                                    <w:right w:val="none" w:sz="0" w:space="0" w:color="auto"/>
                                  </w:divBdr>
                                </w:div>
                                <w:div w:id="1487623730">
                                  <w:marLeft w:val="0"/>
                                  <w:marRight w:val="0"/>
                                  <w:marTop w:val="0"/>
                                  <w:marBottom w:val="0"/>
                                  <w:divBdr>
                                    <w:top w:val="none" w:sz="0" w:space="0" w:color="auto"/>
                                    <w:left w:val="none" w:sz="0" w:space="0" w:color="auto"/>
                                    <w:bottom w:val="none" w:sz="0" w:space="0" w:color="auto"/>
                                    <w:right w:val="none" w:sz="0" w:space="0" w:color="auto"/>
                                  </w:divBdr>
                                </w:div>
                                <w:div w:id="17270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571082">
      <w:bodyDiv w:val="1"/>
      <w:marLeft w:val="0"/>
      <w:marRight w:val="0"/>
      <w:marTop w:val="0"/>
      <w:marBottom w:val="0"/>
      <w:divBdr>
        <w:top w:val="none" w:sz="0" w:space="0" w:color="auto"/>
        <w:left w:val="none" w:sz="0" w:space="0" w:color="auto"/>
        <w:bottom w:val="none" w:sz="0" w:space="0" w:color="auto"/>
        <w:right w:val="none" w:sz="0" w:space="0" w:color="auto"/>
      </w:divBdr>
    </w:div>
    <w:div w:id="1282766824">
      <w:bodyDiv w:val="1"/>
      <w:marLeft w:val="0"/>
      <w:marRight w:val="0"/>
      <w:marTop w:val="0"/>
      <w:marBottom w:val="0"/>
      <w:divBdr>
        <w:top w:val="none" w:sz="0" w:space="0" w:color="auto"/>
        <w:left w:val="none" w:sz="0" w:space="0" w:color="auto"/>
        <w:bottom w:val="none" w:sz="0" w:space="0" w:color="auto"/>
        <w:right w:val="none" w:sz="0" w:space="0" w:color="auto"/>
      </w:divBdr>
    </w:div>
    <w:div w:id="1286279350">
      <w:bodyDiv w:val="1"/>
      <w:marLeft w:val="0"/>
      <w:marRight w:val="0"/>
      <w:marTop w:val="0"/>
      <w:marBottom w:val="0"/>
      <w:divBdr>
        <w:top w:val="none" w:sz="0" w:space="0" w:color="auto"/>
        <w:left w:val="none" w:sz="0" w:space="0" w:color="auto"/>
        <w:bottom w:val="none" w:sz="0" w:space="0" w:color="auto"/>
        <w:right w:val="none" w:sz="0" w:space="0" w:color="auto"/>
      </w:divBdr>
    </w:div>
    <w:div w:id="1289974262">
      <w:bodyDiv w:val="1"/>
      <w:marLeft w:val="0"/>
      <w:marRight w:val="0"/>
      <w:marTop w:val="0"/>
      <w:marBottom w:val="0"/>
      <w:divBdr>
        <w:top w:val="none" w:sz="0" w:space="0" w:color="auto"/>
        <w:left w:val="none" w:sz="0" w:space="0" w:color="auto"/>
        <w:bottom w:val="none" w:sz="0" w:space="0" w:color="auto"/>
        <w:right w:val="none" w:sz="0" w:space="0" w:color="auto"/>
      </w:divBdr>
    </w:div>
    <w:div w:id="1299412830">
      <w:bodyDiv w:val="1"/>
      <w:marLeft w:val="0"/>
      <w:marRight w:val="0"/>
      <w:marTop w:val="0"/>
      <w:marBottom w:val="0"/>
      <w:divBdr>
        <w:top w:val="none" w:sz="0" w:space="0" w:color="auto"/>
        <w:left w:val="none" w:sz="0" w:space="0" w:color="auto"/>
        <w:bottom w:val="none" w:sz="0" w:space="0" w:color="auto"/>
        <w:right w:val="none" w:sz="0" w:space="0" w:color="auto"/>
      </w:divBdr>
    </w:div>
    <w:div w:id="1300846528">
      <w:bodyDiv w:val="1"/>
      <w:marLeft w:val="0"/>
      <w:marRight w:val="0"/>
      <w:marTop w:val="0"/>
      <w:marBottom w:val="0"/>
      <w:divBdr>
        <w:top w:val="none" w:sz="0" w:space="0" w:color="auto"/>
        <w:left w:val="none" w:sz="0" w:space="0" w:color="auto"/>
        <w:bottom w:val="none" w:sz="0" w:space="0" w:color="auto"/>
        <w:right w:val="none" w:sz="0" w:space="0" w:color="auto"/>
      </w:divBdr>
    </w:div>
    <w:div w:id="1307513537">
      <w:bodyDiv w:val="1"/>
      <w:marLeft w:val="0"/>
      <w:marRight w:val="0"/>
      <w:marTop w:val="0"/>
      <w:marBottom w:val="0"/>
      <w:divBdr>
        <w:top w:val="none" w:sz="0" w:space="0" w:color="auto"/>
        <w:left w:val="none" w:sz="0" w:space="0" w:color="auto"/>
        <w:bottom w:val="none" w:sz="0" w:space="0" w:color="auto"/>
        <w:right w:val="none" w:sz="0" w:space="0" w:color="auto"/>
      </w:divBdr>
    </w:div>
    <w:div w:id="1309936395">
      <w:bodyDiv w:val="1"/>
      <w:marLeft w:val="0"/>
      <w:marRight w:val="0"/>
      <w:marTop w:val="0"/>
      <w:marBottom w:val="0"/>
      <w:divBdr>
        <w:top w:val="none" w:sz="0" w:space="0" w:color="auto"/>
        <w:left w:val="none" w:sz="0" w:space="0" w:color="auto"/>
        <w:bottom w:val="none" w:sz="0" w:space="0" w:color="auto"/>
        <w:right w:val="none" w:sz="0" w:space="0" w:color="auto"/>
      </w:divBdr>
    </w:div>
    <w:div w:id="1314602604">
      <w:bodyDiv w:val="1"/>
      <w:marLeft w:val="0"/>
      <w:marRight w:val="0"/>
      <w:marTop w:val="0"/>
      <w:marBottom w:val="0"/>
      <w:divBdr>
        <w:top w:val="none" w:sz="0" w:space="0" w:color="auto"/>
        <w:left w:val="none" w:sz="0" w:space="0" w:color="auto"/>
        <w:bottom w:val="none" w:sz="0" w:space="0" w:color="auto"/>
        <w:right w:val="none" w:sz="0" w:space="0" w:color="auto"/>
      </w:divBdr>
    </w:div>
    <w:div w:id="1337727349">
      <w:bodyDiv w:val="1"/>
      <w:marLeft w:val="0"/>
      <w:marRight w:val="0"/>
      <w:marTop w:val="0"/>
      <w:marBottom w:val="0"/>
      <w:divBdr>
        <w:top w:val="none" w:sz="0" w:space="0" w:color="auto"/>
        <w:left w:val="none" w:sz="0" w:space="0" w:color="auto"/>
        <w:bottom w:val="none" w:sz="0" w:space="0" w:color="auto"/>
        <w:right w:val="none" w:sz="0" w:space="0" w:color="auto"/>
      </w:divBdr>
    </w:div>
    <w:div w:id="1345552231">
      <w:bodyDiv w:val="1"/>
      <w:marLeft w:val="0"/>
      <w:marRight w:val="0"/>
      <w:marTop w:val="0"/>
      <w:marBottom w:val="0"/>
      <w:divBdr>
        <w:top w:val="none" w:sz="0" w:space="0" w:color="auto"/>
        <w:left w:val="none" w:sz="0" w:space="0" w:color="auto"/>
        <w:bottom w:val="none" w:sz="0" w:space="0" w:color="auto"/>
        <w:right w:val="none" w:sz="0" w:space="0" w:color="auto"/>
      </w:divBdr>
    </w:div>
    <w:div w:id="1345783335">
      <w:bodyDiv w:val="1"/>
      <w:marLeft w:val="0"/>
      <w:marRight w:val="0"/>
      <w:marTop w:val="0"/>
      <w:marBottom w:val="0"/>
      <w:divBdr>
        <w:top w:val="none" w:sz="0" w:space="0" w:color="auto"/>
        <w:left w:val="none" w:sz="0" w:space="0" w:color="auto"/>
        <w:bottom w:val="none" w:sz="0" w:space="0" w:color="auto"/>
        <w:right w:val="none" w:sz="0" w:space="0" w:color="auto"/>
      </w:divBdr>
    </w:div>
    <w:div w:id="1346322841">
      <w:bodyDiv w:val="1"/>
      <w:marLeft w:val="0"/>
      <w:marRight w:val="0"/>
      <w:marTop w:val="0"/>
      <w:marBottom w:val="0"/>
      <w:divBdr>
        <w:top w:val="none" w:sz="0" w:space="0" w:color="auto"/>
        <w:left w:val="none" w:sz="0" w:space="0" w:color="auto"/>
        <w:bottom w:val="none" w:sz="0" w:space="0" w:color="auto"/>
        <w:right w:val="none" w:sz="0" w:space="0" w:color="auto"/>
      </w:divBdr>
    </w:div>
    <w:div w:id="1350526016">
      <w:bodyDiv w:val="1"/>
      <w:marLeft w:val="0"/>
      <w:marRight w:val="0"/>
      <w:marTop w:val="0"/>
      <w:marBottom w:val="0"/>
      <w:divBdr>
        <w:top w:val="none" w:sz="0" w:space="0" w:color="auto"/>
        <w:left w:val="none" w:sz="0" w:space="0" w:color="auto"/>
        <w:bottom w:val="none" w:sz="0" w:space="0" w:color="auto"/>
        <w:right w:val="none" w:sz="0" w:space="0" w:color="auto"/>
      </w:divBdr>
    </w:div>
    <w:div w:id="1359821038">
      <w:bodyDiv w:val="1"/>
      <w:marLeft w:val="0"/>
      <w:marRight w:val="0"/>
      <w:marTop w:val="0"/>
      <w:marBottom w:val="0"/>
      <w:divBdr>
        <w:top w:val="none" w:sz="0" w:space="0" w:color="auto"/>
        <w:left w:val="none" w:sz="0" w:space="0" w:color="auto"/>
        <w:bottom w:val="none" w:sz="0" w:space="0" w:color="auto"/>
        <w:right w:val="none" w:sz="0" w:space="0" w:color="auto"/>
      </w:divBdr>
    </w:div>
    <w:div w:id="1377848596">
      <w:bodyDiv w:val="1"/>
      <w:marLeft w:val="0"/>
      <w:marRight w:val="0"/>
      <w:marTop w:val="0"/>
      <w:marBottom w:val="0"/>
      <w:divBdr>
        <w:top w:val="none" w:sz="0" w:space="0" w:color="auto"/>
        <w:left w:val="none" w:sz="0" w:space="0" w:color="auto"/>
        <w:bottom w:val="none" w:sz="0" w:space="0" w:color="auto"/>
        <w:right w:val="none" w:sz="0" w:space="0" w:color="auto"/>
      </w:divBdr>
    </w:div>
    <w:div w:id="1378165390">
      <w:bodyDiv w:val="1"/>
      <w:marLeft w:val="0"/>
      <w:marRight w:val="0"/>
      <w:marTop w:val="0"/>
      <w:marBottom w:val="0"/>
      <w:divBdr>
        <w:top w:val="none" w:sz="0" w:space="0" w:color="auto"/>
        <w:left w:val="none" w:sz="0" w:space="0" w:color="auto"/>
        <w:bottom w:val="none" w:sz="0" w:space="0" w:color="auto"/>
        <w:right w:val="none" w:sz="0" w:space="0" w:color="auto"/>
      </w:divBdr>
    </w:div>
    <w:div w:id="1381133624">
      <w:bodyDiv w:val="1"/>
      <w:marLeft w:val="0"/>
      <w:marRight w:val="0"/>
      <w:marTop w:val="0"/>
      <w:marBottom w:val="0"/>
      <w:divBdr>
        <w:top w:val="none" w:sz="0" w:space="0" w:color="auto"/>
        <w:left w:val="none" w:sz="0" w:space="0" w:color="auto"/>
        <w:bottom w:val="none" w:sz="0" w:space="0" w:color="auto"/>
        <w:right w:val="none" w:sz="0" w:space="0" w:color="auto"/>
      </w:divBdr>
    </w:div>
    <w:div w:id="1381443376">
      <w:bodyDiv w:val="1"/>
      <w:marLeft w:val="0"/>
      <w:marRight w:val="0"/>
      <w:marTop w:val="0"/>
      <w:marBottom w:val="0"/>
      <w:divBdr>
        <w:top w:val="none" w:sz="0" w:space="0" w:color="auto"/>
        <w:left w:val="none" w:sz="0" w:space="0" w:color="auto"/>
        <w:bottom w:val="none" w:sz="0" w:space="0" w:color="auto"/>
        <w:right w:val="none" w:sz="0" w:space="0" w:color="auto"/>
      </w:divBdr>
    </w:div>
    <w:div w:id="1385132911">
      <w:bodyDiv w:val="1"/>
      <w:marLeft w:val="0"/>
      <w:marRight w:val="0"/>
      <w:marTop w:val="0"/>
      <w:marBottom w:val="0"/>
      <w:divBdr>
        <w:top w:val="none" w:sz="0" w:space="0" w:color="auto"/>
        <w:left w:val="none" w:sz="0" w:space="0" w:color="auto"/>
        <w:bottom w:val="none" w:sz="0" w:space="0" w:color="auto"/>
        <w:right w:val="none" w:sz="0" w:space="0" w:color="auto"/>
      </w:divBdr>
    </w:div>
    <w:div w:id="1389376861">
      <w:bodyDiv w:val="1"/>
      <w:marLeft w:val="0"/>
      <w:marRight w:val="0"/>
      <w:marTop w:val="0"/>
      <w:marBottom w:val="0"/>
      <w:divBdr>
        <w:top w:val="none" w:sz="0" w:space="0" w:color="auto"/>
        <w:left w:val="none" w:sz="0" w:space="0" w:color="auto"/>
        <w:bottom w:val="none" w:sz="0" w:space="0" w:color="auto"/>
        <w:right w:val="none" w:sz="0" w:space="0" w:color="auto"/>
      </w:divBdr>
    </w:div>
    <w:div w:id="1390883659">
      <w:bodyDiv w:val="1"/>
      <w:marLeft w:val="0"/>
      <w:marRight w:val="0"/>
      <w:marTop w:val="0"/>
      <w:marBottom w:val="0"/>
      <w:divBdr>
        <w:top w:val="none" w:sz="0" w:space="0" w:color="auto"/>
        <w:left w:val="none" w:sz="0" w:space="0" w:color="auto"/>
        <w:bottom w:val="none" w:sz="0" w:space="0" w:color="auto"/>
        <w:right w:val="none" w:sz="0" w:space="0" w:color="auto"/>
      </w:divBdr>
    </w:div>
    <w:div w:id="1403257037">
      <w:bodyDiv w:val="1"/>
      <w:marLeft w:val="0"/>
      <w:marRight w:val="0"/>
      <w:marTop w:val="0"/>
      <w:marBottom w:val="0"/>
      <w:divBdr>
        <w:top w:val="none" w:sz="0" w:space="0" w:color="auto"/>
        <w:left w:val="none" w:sz="0" w:space="0" w:color="auto"/>
        <w:bottom w:val="none" w:sz="0" w:space="0" w:color="auto"/>
        <w:right w:val="none" w:sz="0" w:space="0" w:color="auto"/>
      </w:divBdr>
    </w:div>
    <w:div w:id="1405029136">
      <w:bodyDiv w:val="1"/>
      <w:marLeft w:val="0"/>
      <w:marRight w:val="0"/>
      <w:marTop w:val="0"/>
      <w:marBottom w:val="0"/>
      <w:divBdr>
        <w:top w:val="none" w:sz="0" w:space="0" w:color="auto"/>
        <w:left w:val="none" w:sz="0" w:space="0" w:color="auto"/>
        <w:bottom w:val="none" w:sz="0" w:space="0" w:color="auto"/>
        <w:right w:val="none" w:sz="0" w:space="0" w:color="auto"/>
      </w:divBdr>
    </w:div>
    <w:div w:id="1407340009">
      <w:bodyDiv w:val="1"/>
      <w:marLeft w:val="0"/>
      <w:marRight w:val="0"/>
      <w:marTop w:val="0"/>
      <w:marBottom w:val="0"/>
      <w:divBdr>
        <w:top w:val="none" w:sz="0" w:space="0" w:color="auto"/>
        <w:left w:val="none" w:sz="0" w:space="0" w:color="auto"/>
        <w:bottom w:val="none" w:sz="0" w:space="0" w:color="auto"/>
        <w:right w:val="none" w:sz="0" w:space="0" w:color="auto"/>
      </w:divBdr>
    </w:div>
    <w:div w:id="1412388928">
      <w:bodyDiv w:val="1"/>
      <w:marLeft w:val="0"/>
      <w:marRight w:val="0"/>
      <w:marTop w:val="0"/>
      <w:marBottom w:val="0"/>
      <w:divBdr>
        <w:top w:val="none" w:sz="0" w:space="0" w:color="auto"/>
        <w:left w:val="none" w:sz="0" w:space="0" w:color="auto"/>
        <w:bottom w:val="none" w:sz="0" w:space="0" w:color="auto"/>
        <w:right w:val="none" w:sz="0" w:space="0" w:color="auto"/>
      </w:divBdr>
    </w:div>
    <w:div w:id="1412775583">
      <w:bodyDiv w:val="1"/>
      <w:marLeft w:val="0"/>
      <w:marRight w:val="0"/>
      <w:marTop w:val="0"/>
      <w:marBottom w:val="0"/>
      <w:divBdr>
        <w:top w:val="none" w:sz="0" w:space="0" w:color="auto"/>
        <w:left w:val="none" w:sz="0" w:space="0" w:color="auto"/>
        <w:bottom w:val="none" w:sz="0" w:space="0" w:color="auto"/>
        <w:right w:val="none" w:sz="0" w:space="0" w:color="auto"/>
      </w:divBdr>
    </w:div>
    <w:div w:id="1416131294">
      <w:bodyDiv w:val="1"/>
      <w:marLeft w:val="0"/>
      <w:marRight w:val="0"/>
      <w:marTop w:val="0"/>
      <w:marBottom w:val="0"/>
      <w:divBdr>
        <w:top w:val="none" w:sz="0" w:space="0" w:color="auto"/>
        <w:left w:val="none" w:sz="0" w:space="0" w:color="auto"/>
        <w:bottom w:val="none" w:sz="0" w:space="0" w:color="auto"/>
        <w:right w:val="none" w:sz="0" w:space="0" w:color="auto"/>
      </w:divBdr>
    </w:div>
    <w:div w:id="1420442614">
      <w:bodyDiv w:val="1"/>
      <w:marLeft w:val="0"/>
      <w:marRight w:val="0"/>
      <w:marTop w:val="0"/>
      <w:marBottom w:val="0"/>
      <w:divBdr>
        <w:top w:val="none" w:sz="0" w:space="0" w:color="auto"/>
        <w:left w:val="none" w:sz="0" w:space="0" w:color="auto"/>
        <w:bottom w:val="none" w:sz="0" w:space="0" w:color="auto"/>
        <w:right w:val="none" w:sz="0" w:space="0" w:color="auto"/>
      </w:divBdr>
    </w:div>
    <w:div w:id="1429891628">
      <w:bodyDiv w:val="1"/>
      <w:marLeft w:val="0"/>
      <w:marRight w:val="0"/>
      <w:marTop w:val="0"/>
      <w:marBottom w:val="0"/>
      <w:divBdr>
        <w:top w:val="none" w:sz="0" w:space="0" w:color="auto"/>
        <w:left w:val="none" w:sz="0" w:space="0" w:color="auto"/>
        <w:bottom w:val="none" w:sz="0" w:space="0" w:color="auto"/>
        <w:right w:val="none" w:sz="0" w:space="0" w:color="auto"/>
      </w:divBdr>
    </w:div>
    <w:div w:id="1436100983">
      <w:bodyDiv w:val="1"/>
      <w:marLeft w:val="0"/>
      <w:marRight w:val="0"/>
      <w:marTop w:val="0"/>
      <w:marBottom w:val="0"/>
      <w:divBdr>
        <w:top w:val="none" w:sz="0" w:space="0" w:color="auto"/>
        <w:left w:val="none" w:sz="0" w:space="0" w:color="auto"/>
        <w:bottom w:val="none" w:sz="0" w:space="0" w:color="auto"/>
        <w:right w:val="none" w:sz="0" w:space="0" w:color="auto"/>
      </w:divBdr>
    </w:div>
    <w:div w:id="1439257126">
      <w:bodyDiv w:val="1"/>
      <w:marLeft w:val="0"/>
      <w:marRight w:val="0"/>
      <w:marTop w:val="0"/>
      <w:marBottom w:val="0"/>
      <w:divBdr>
        <w:top w:val="none" w:sz="0" w:space="0" w:color="auto"/>
        <w:left w:val="none" w:sz="0" w:space="0" w:color="auto"/>
        <w:bottom w:val="none" w:sz="0" w:space="0" w:color="auto"/>
        <w:right w:val="none" w:sz="0" w:space="0" w:color="auto"/>
      </w:divBdr>
    </w:div>
    <w:div w:id="1439830463">
      <w:bodyDiv w:val="1"/>
      <w:marLeft w:val="0"/>
      <w:marRight w:val="0"/>
      <w:marTop w:val="0"/>
      <w:marBottom w:val="0"/>
      <w:divBdr>
        <w:top w:val="none" w:sz="0" w:space="0" w:color="auto"/>
        <w:left w:val="none" w:sz="0" w:space="0" w:color="auto"/>
        <w:bottom w:val="none" w:sz="0" w:space="0" w:color="auto"/>
        <w:right w:val="none" w:sz="0" w:space="0" w:color="auto"/>
      </w:divBdr>
    </w:div>
    <w:div w:id="1439838153">
      <w:bodyDiv w:val="1"/>
      <w:marLeft w:val="0"/>
      <w:marRight w:val="0"/>
      <w:marTop w:val="0"/>
      <w:marBottom w:val="0"/>
      <w:divBdr>
        <w:top w:val="none" w:sz="0" w:space="0" w:color="auto"/>
        <w:left w:val="none" w:sz="0" w:space="0" w:color="auto"/>
        <w:bottom w:val="none" w:sz="0" w:space="0" w:color="auto"/>
        <w:right w:val="none" w:sz="0" w:space="0" w:color="auto"/>
      </w:divBdr>
    </w:div>
    <w:div w:id="1440101724">
      <w:bodyDiv w:val="1"/>
      <w:marLeft w:val="0"/>
      <w:marRight w:val="0"/>
      <w:marTop w:val="0"/>
      <w:marBottom w:val="0"/>
      <w:divBdr>
        <w:top w:val="none" w:sz="0" w:space="0" w:color="auto"/>
        <w:left w:val="none" w:sz="0" w:space="0" w:color="auto"/>
        <w:bottom w:val="none" w:sz="0" w:space="0" w:color="auto"/>
        <w:right w:val="none" w:sz="0" w:space="0" w:color="auto"/>
      </w:divBdr>
    </w:div>
    <w:div w:id="1442652362">
      <w:bodyDiv w:val="1"/>
      <w:marLeft w:val="0"/>
      <w:marRight w:val="0"/>
      <w:marTop w:val="0"/>
      <w:marBottom w:val="0"/>
      <w:divBdr>
        <w:top w:val="none" w:sz="0" w:space="0" w:color="auto"/>
        <w:left w:val="none" w:sz="0" w:space="0" w:color="auto"/>
        <w:bottom w:val="none" w:sz="0" w:space="0" w:color="auto"/>
        <w:right w:val="none" w:sz="0" w:space="0" w:color="auto"/>
      </w:divBdr>
    </w:div>
    <w:div w:id="1452935344">
      <w:bodyDiv w:val="1"/>
      <w:marLeft w:val="0"/>
      <w:marRight w:val="0"/>
      <w:marTop w:val="0"/>
      <w:marBottom w:val="0"/>
      <w:divBdr>
        <w:top w:val="none" w:sz="0" w:space="0" w:color="auto"/>
        <w:left w:val="none" w:sz="0" w:space="0" w:color="auto"/>
        <w:bottom w:val="none" w:sz="0" w:space="0" w:color="auto"/>
        <w:right w:val="none" w:sz="0" w:space="0" w:color="auto"/>
      </w:divBdr>
    </w:div>
    <w:div w:id="1453203577">
      <w:bodyDiv w:val="1"/>
      <w:marLeft w:val="0"/>
      <w:marRight w:val="0"/>
      <w:marTop w:val="0"/>
      <w:marBottom w:val="0"/>
      <w:divBdr>
        <w:top w:val="none" w:sz="0" w:space="0" w:color="auto"/>
        <w:left w:val="none" w:sz="0" w:space="0" w:color="auto"/>
        <w:bottom w:val="none" w:sz="0" w:space="0" w:color="auto"/>
        <w:right w:val="none" w:sz="0" w:space="0" w:color="auto"/>
      </w:divBdr>
    </w:div>
    <w:div w:id="1453667850">
      <w:bodyDiv w:val="1"/>
      <w:marLeft w:val="0"/>
      <w:marRight w:val="0"/>
      <w:marTop w:val="0"/>
      <w:marBottom w:val="0"/>
      <w:divBdr>
        <w:top w:val="none" w:sz="0" w:space="0" w:color="auto"/>
        <w:left w:val="none" w:sz="0" w:space="0" w:color="auto"/>
        <w:bottom w:val="none" w:sz="0" w:space="0" w:color="auto"/>
        <w:right w:val="none" w:sz="0" w:space="0" w:color="auto"/>
      </w:divBdr>
    </w:div>
    <w:div w:id="1456677255">
      <w:bodyDiv w:val="1"/>
      <w:marLeft w:val="0"/>
      <w:marRight w:val="0"/>
      <w:marTop w:val="0"/>
      <w:marBottom w:val="0"/>
      <w:divBdr>
        <w:top w:val="none" w:sz="0" w:space="0" w:color="auto"/>
        <w:left w:val="none" w:sz="0" w:space="0" w:color="auto"/>
        <w:bottom w:val="none" w:sz="0" w:space="0" w:color="auto"/>
        <w:right w:val="none" w:sz="0" w:space="0" w:color="auto"/>
      </w:divBdr>
    </w:div>
    <w:div w:id="1461342560">
      <w:bodyDiv w:val="1"/>
      <w:marLeft w:val="0"/>
      <w:marRight w:val="0"/>
      <w:marTop w:val="0"/>
      <w:marBottom w:val="0"/>
      <w:divBdr>
        <w:top w:val="none" w:sz="0" w:space="0" w:color="auto"/>
        <w:left w:val="none" w:sz="0" w:space="0" w:color="auto"/>
        <w:bottom w:val="none" w:sz="0" w:space="0" w:color="auto"/>
        <w:right w:val="none" w:sz="0" w:space="0" w:color="auto"/>
      </w:divBdr>
    </w:div>
    <w:div w:id="1471897465">
      <w:bodyDiv w:val="1"/>
      <w:marLeft w:val="0"/>
      <w:marRight w:val="0"/>
      <w:marTop w:val="0"/>
      <w:marBottom w:val="0"/>
      <w:divBdr>
        <w:top w:val="none" w:sz="0" w:space="0" w:color="auto"/>
        <w:left w:val="none" w:sz="0" w:space="0" w:color="auto"/>
        <w:bottom w:val="none" w:sz="0" w:space="0" w:color="auto"/>
        <w:right w:val="none" w:sz="0" w:space="0" w:color="auto"/>
      </w:divBdr>
    </w:div>
    <w:div w:id="1475370004">
      <w:bodyDiv w:val="1"/>
      <w:marLeft w:val="0"/>
      <w:marRight w:val="0"/>
      <w:marTop w:val="0"/>
      <w:marBottom w:val="0"/>
      <w:divBdr>
        <w:top w:val="none" w:sz="0" w:space="0" w:color="auto"/>
        <w:left w:val="none" w:sz="0" w:space="0" w:color="auto"/>
        <w:bottom w:val="none" w:sz="0" w:space="0" w:color="auto"/>
        <w:right w:val="none" w:sz="0" w:space="0" w:color="auto"/>
      </w:divBdr>
    </w:div>
    <w:div w:id="1488354276">
      <w:bodyDiv w:val="1"/>
      <w:marLeft w:val="0"/>
      <w:marRight w:val="0"/>
      <w:marTop w:val="0"/>
      <w:marBottom w:val="0"/>
      <w:divBdr>
        <w:top w:val="none" w:sz="0" w:space="0" w:color="auto"/>
        <w:left w:val="none" w:sz="0" w:space="0" w:color="auto"/>
        <w:bottom w:val="none" w:sz="0" w:space="0" w:color="auto"/>
        <w:right w:val="none" w:sz="0" w:space="0" w:color="auto"/>
      </w:divBdr>
    </w:div>
    <w:div w:id="1494568484">
      <w:bodyDiv w:val="1"/>
      <w:marLeft w:val="0"/>
      <w:marRight w:val="0"/>
      <w:marTop w:val="0"/>
      <w:marBottom w:val="0"/>
      <w:divBdr>
        <w:top w:val="none" w:sz="0" w:space="0" w:color="auto"/>
        <w:left w:val="none" w:sz="0" w:space="0" w:color="auto"/>
        <w:bottom w:val="none" w:sz="0" w:space="0" w:color="auto"/>
        <w:right w:val="none" w:sz="0" w:space="0" w:color="auto"/>
      </w:divBdr>
    </w:div>
    <w:div w:id="1495335895">
      <w:bodyDiv w:val="1"/>
      <w:marLeft w:val="0"/>
      <w:marRight w:val="0"/>
      <w:marTop w:val="0"/>
      <w:marBottom w:val="0"/>
      <w:divBdr>
        <w:top w:val="none" w:sz="0" w:space="0" w:color="auto"/>
        <w:left w:val="none" w:sz="0" w:space="0" w:color="auto"/>
        <w:bottom w:val="none" w:sz="0" w:space="0" w:color="auto"/>
        <w:right w:val="none" w:sz="0" w:space="0" w:color="auto"/>
      </w:divBdr>
      <w:divsChild>
        <w:div w:id="606355896">
          <w:marLeft w:val="0"/>
          <w:marRight w:val="0"/>
          <w:marTop w:val="0"/>
          <w:marBottom w:val="0"/>
          <w:divBdr>
            <w:top w:val="none" w:sz="0" w:space="0" w:color="auto"/>
            <w:left w:val="none" w:sz="0" w:space="0" w:color="auto"/>
            <w:bottom w:val="none" w:sz="0" w:space="0" w:color="auto"/>
            <w:right w:val="none" w:sz="0" w:space="0" w:color="auto"/>
          </w:divBdr>
          <w:divsChild>
            <w:div w:id="1122071114">
              <w:marLeft w:val="0"/>
              <w:marRight w:val="0"/>
              <w:marTop w:val="0"/>
              <w:marBottom w:val="0"/>
              <w:divBdr>
                <w:top w:val="none" w:sz="0" w:space="0" w:color="auto"/>
                <w:left w:val="none" w:sz="0" w:space="0" w:color="auto"/>
                <w:bottom w:val="none" w:sz="0" w:space="0" w:color="auto"/>
                <w:right w:val="none" w:sz="0" w:space="0" w:color="auto"/>
              </w:divBdr>
              <w:divsChild>
                <w:div w:id="1282151737">
                  <w:marLeft w:val="0"/>
                  <w:marRight w:val="0"/>
                  <w:marTop w:val="0"/>
                  <w:marBottom w:val="0"/>
                  <w:divBdr>
                    <w:top w:val="none" w:sz="0" w:space="0" w:color="auto"/>
                    <w:left w:val="none" w:sz="0" w:space="0" w:color="auto"/>
                    <w:bottom w:val="none" w:sz="0" w:space="0" w:color="auto"/>
                    <w:right w:val="none" w:sz="0" w:space="0" w:color="auto"/>
                  </w:divBdr>
                  <w:divsChild>
                    <w:div w:id="1721126189">
                      <w:marLeft w:val="0"/>
                      <w:marRight w:val="0"/>
                      <w:marTop w:val="0"/>
                      <w:marBottom w:val="0"/>
                      <w:divBdr>
                        <w:top w:val="none" w:sz="0" w:space="0" w:color="auto"/>
                        <w:left w:val="none" w:sz="0" w:space="0" w:color="auto"/>
                        <w:bottom w:val="none" w:sz="0" w:space="0" w:color="auto"/>
                        <w:right w:val="none" w:sz="0" w:space="0" w:color="auto"/>
                      </w:divBdr>
                      <w:divsChild>
                        <w:div w:id="27923523">
                          <w:marLeft w:val="0"/>
                          <w:marRight w:val="0"/>
                          <w:marTop w:val="15"/>
                          <w:marBottom w:val="0"/>
                          <w:divBdr>
                            <w:top w:val="none" w:sz="0" w:space="0" w:color="auto"/>
                            <w:left w:val="none" w:sz="0" w:space="0" w:color="auto"/>
                            <w:bottom w:val="none" w:sz="0" w:space="0" w:color="auto"/>
                            <w:right w:val="none" w:sz="0" w:space="0" w:color="auto"/>
                          </w:divBdr>
                          <w:divsChild>
                            <w:div w:id="2010912639">
                              <w:marLeft w:val="0"/>
                              <w:marRight w:val="0"/>
                              <w:marTop w:val="0"/>
                              <w:marBottom w:val="0"/>
                              <w:divBdr>
                                <w:top w:val="none" w:sz="0" w:space="0" w:color="auto"/>
                                <w:left w:val="none" w:sz="0" w:space="0" w:color="auto"/>
                                <w:bottom w:val="none" w:sz="0" w:space="0" w:color="auto"/>
                                <w:right w:val="none" w:sz="0" w:space="0" w:color="auto"/>
                              </w:divBdr>
                              <w:divsChild>
                                <w:div w:id="1029068746">
                                  <w:marLeft w:val="0"/>
                                  <w:marRight w:val="0"/>
                                  <w:marTop w:val="0"/>
                                  <w:marBottom w:val="0"/>
                                  <w:divBdr>
                                    <w:top w:val="none" w:sz="0" w:space="0" w:color="auto"/>
                                    <w:left w:val="none" w:sz="0" w:space="0" w:color="auto"/>
                                    <w:bottom w:val="none" w:sz="0" w:space="0" w:color="auto"/>
                                    <w:right w:val="none" w:sz="0" w:space="0" w:color="auto"/>
                                  </w:divBdr>
                                </w:div>
                                <w:div w:id="20698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314757">
      <w:bodyDiv w:val="1"/>
      <w:marLeft w:val="0"/>
      <w:marRight w:val="0"/>
      <w:marTop w:val="0"/>
      <w:marBottom w:val="0"/>
      <w:divBdr>
        <w:top w:val="none" w:sz="0" w:space="0" w:color="auto"/>
        <w:left w:val="none" w:sz="0" w:space="0" w:color="auto"/>
        <w:bottom w:val="none" w:sz="0" w:space="0" w:color="auto"/>
        <w:right w:val="none" w:sz="0" w:space="0" w:color="auto"/>
      </w:divBdr>
    </w:div>
    <w:div w:id="1518736138">
      <w:bodyDiv w:val="1"/>
      <w:marLeft w:val="0"/>
      <w:marRight w:val="0"/>
      <w:marTop w:val="0"/>
      <w:marBottom w:val="0"/>
      <w:divBdr>
        <w:top w:val="none" w:sz="0" w:space="0" w:color="auto"/>
        <w:left w:val="none" w:sz="0" w:space="0" w:color="auto"/>
        <w:bottom w:val="none" w:sz="0" w:space="0" w:color="auto"/>
        <w:right w:val="none" w:sz="0" w:space="0" w:color="auto"/>
      </w:divBdr>
    </w:div>
    <w:div w:id="1518810834">
      <w:bodyDiv w:val="1"/>
      <w:marLeft w:val="0"/>
      <w:marRight w:val="0"/>
      <w:marTop w:val="0"/>
      <w:marBottom w:val="0"/>
      <w:divBdr>
        <w:top w:val="none" w:sz="0" w:space="0" w:color="auto"/>
        <w:left w:val="none" w:sz="0" w:space="0" w:color="auto"/>
        <w:bottom w:val="none" w:sz="0" w:space="0" w:color="auto"/>
        <w:right w:val="none" w:sz="0" w:space="0" w:color="auto"/>
      </w:divBdr>
    </w:div>
    <w:div w:id="1521241739">
      <w:bodyDiv w:val="1"/>
      <w:marLeft w:val="0"/>
      <w:marRight w:val="0"/>
      <w:marTop w:val="0"/>
      <w:marBottom w:val="0"/>
      <w:divBdr>
        <w:top w:val="none" w:sz="0" w:space="0" w:color="auto"/>
        <w:left w:val="none" w:sz="0" w:space="0" w:color="auto"/>
        <w:bottom w:val="none" w:sz="0" w:space="0" w:color="auto"/>
        <w:right w:val="none" w:sz="0" w:space="0" w:color="auto"/>
      </w:divBdr>
    </w:div>
    <w:div w:id="1530492446">
      <w:bodyDiv w:val="1"/>
      <w:marLeft w:val="0"/>
      <w:marRight w:val="0"/>
      <w:marTop w:val="0"/>
      <w:marBottom w:val="0"/>
      <w:divBdr>
        <w:top w:val="none" w:sz="0" w:space="0" w:color="auto"/>
        <w:left w:val="none" w:sz="0" w:space="0" w:color="auto"/>
        <w:bottom w:val="none" w:sz="0" w:space="0" w:color="auto"/>
        <w:right w:val="none" w:sz="0" w:space="0" w:color="auto"/>
      </w:divBdr>
    </w:div>
    <w:div w:id="1536622949">
      <w:bodyDiv w:val="1"/>
      <w:marLeft w:val="0"/>
      <w:marRight w:val="0"/>
      <w:marTop w:val="0"/>
      <w:marBottom w:val="0"/>
      <w:divBdr>
        <w:top w:val="none" w:sz="0" w:space="0" w:color="auto"/>
        <w:left w:val="none" w:sz="0" w:space="0" w:color="auto"/>
        <w:bottom w:val="none" w:sz="0" w:space="0" w:color="auto"/>
        <w:right w:val="none" w:sz="0" w:space="0" w:color="auto"/>
      </w:divBdr>
    </w:div>
    <w:div w:id="1537697099">
      <w:bodyDiv w:val="1"/>
      <w:marLeft w:val="0"/>
      <w:marRight w:val="0"/>
      <w:marTop w:val="0"/>
      <w:marBottom w:val="0"/>
      <w:divBdr>
        <w:top w:val="none" w:sz="0" w:space="0" w:color="auto"/>
        <w:left w:val="none" w:sz="0" w:space="0" w:color="auto"/>
        <w:bottom w:val="none" w:sz="0" w:space="0" w:color="auto"/>
        <w:right w:val="none" w:sz="0" w:space="0" w:color="auto"/>
      </w:divBdr>
    </w:div>
    <w:div w:id="1537741751">
      <w:bodyDiv w:val="1"/>
      <w:marLeft w:val="0"/>
      <w:marRight w:val="0"/>
      <w:marTop w:val="0"/>
      <w:marBottom w:val="0"/>
      <w:divBdr>
        <w:top w:val="none" w:sz="0" w:space="0" w:color="auto"/>
        <w:left w:val="none" w:sz="0" w:space="0" w:color="auto"/>
        <w:bottom w:val="none" w:sz="0" w:space="0" w:color="auto"/>
        <w:right w:val="none" w:sz="0" w:space="0" w:color="auto"/>
      </w:divBdr>
    </w:div>
    <w:div w:id="1544057176">
      <w:bodyDiv w:val="1"/>
      <w:marLeft w:val="0"/>
      <w:marRight w:val="0"/>
      <w:marTop w:val="0"/>
      <w:marBottom w:val="0"/>
      <w:divBdr>
        <w:top w:val="none" w:sz="0" w:space="0" w:color="auto"/>
        <w:left w:val="none" w:sz="0" w:space="0" w:color="auto"/>
        <w:bottom w:val="none" w:sz="0" w:space="0" w:color="auto"/>
        <w:right w:val="none" w:sz="0" w:space="0" w:color="auto"/>
      </w:divBdr>
    </w:div>
    <w:div w:id="1545099753">
      <w:bodyDiv w:val="1"/>
      <w:marLeft w:val="0"/>
      <w:marRight w:val="0"/>
      <w:marTop w:val="0"/>
      <w:marBottom w:val="0"/>
      <w:divBdr>
        <w:top w:val="none" w:sz="0" w:space="0" w:color="auto"/>
        <w:left w:val="none" w:sz="0" w:space="0" w:color="auto"/>
        <w:bottom w:val="none" w:sz="0" w:space="0" w:color="auto"/>
        <w:right w:val="none" w:sz="0" w:space="0" w:color="auto"/>
      </w:divBdr>
    </w:div>
    <w:div w:id="1553540532">
      <w:bodyDiv w:val="1"/>
      <w:marLeft w:val="0"/>
      <w:marRight w:val="0"/>
      <w:marTop w:val="0"/>
      <w:marBottom w:val="0"/>
      <w:divBdr>
        <w:top w:val="none" w:sz="0" w:space="0" w:color="auto"/>
        <w:left w:val="none" w:sz="0" w:space="0" w:color="auto"/>
        <w:bottom w:val="none" w:sz="0" w:space="0" w:color="auto"/>
        <w:right w:val="none" w:sz="0" w:space="0" w:color="auto"/>
      </w:divBdr>
    </w:div>
    <w:div w:id="1554778215">
      <w:bodyDiv w:val="1"/>
      <w:marLeft w:val="0"/>
      <w:marRight w:val="0"/>
      <w:marTop w:val="0"/>
      <w:marBottom w:val="0"/>
      <w:divBdr>
        <w:top w:val="none" w:sz="0" w:space="0" w:color="auto"/>
        <w:left w:val="none" w:sz="0" w:space="0" w:color="auto"/>
        <w:bottom w:val="none" w:sz="0" w:space="0" w:color="auto"/>
        <w:right w:val="none" w:sz="0" w:space="0" w:color="auto"/>
      </w:divBdr>
    </w:div>
    <w:div w:id="1564875352">
      <w:bodyDiv w:val="1"/>
      <w:marLeft w:val="0"/>
      <w:marRight w:val="0"/>
      <w:marTop w:val="0"/>
      <w:marBottom w:val="0"/>
      <w:divBdr>
        <w:top w:val="none" w:sz="0" w:space="0" w:color="auto"/>
        <w:left w:val="none" w:sz="0" w:space="0" w:color="auto"/>
        <w:bottom w:val="none" w:sz="0" w:space="0" w:color="auto"/>
        <w:right w:val="none" w:sz="0" w:space="0" w:color="auto"/>
      </w:divBdr>
    </w:div>
    <w:div w:id="1569878682">
      <w:bodyDiv w:val="1"/>
      <w:marLeft w:val="0"/>
      <w:marRight w:val="0"/>
      <w:marTop w:val="0"/>
      <w:marBottom w:val="0"/>
      <w:divBdr>
        <w:top w:val="none" w:sz="0" w:space="0" w:color="auto"/>
        <w:left w:val="none" w:sz="0" w:space="0" w:color="auto"/>
        <w:bottom w:val="none" w:sz="0" w:space="0" w:color="auto"/>
        <w:right w:val="none" w:sz="0" w:space="0" w:color="auto"/>
      </w:divBdr>
    </w:div>
    <w:div w:id="1572499895">
      <w:bodyDiv w:val="1"/>
      <w:marLeft w:val="0"/>
      <w:marRight w:val="0"/>
      <w:marTop w:val="0"/>
      <w:marBottom w:val="0"/>
      <w:divBdr>
        <w:top w:val="none" w:sz="0" w:space="0" w:color="auto"/>
        <w:left w:val="none" w:sz="0" w:space="0" w:color="auto"/>
        <w:bottom w:val="none" w:sz="0" w:space="0" w:color="auto"/>
        <w:right w:val="none" w:sz="0" w:space="0" w:color="auto"/>
      </w:divBdr>
    </w:div>
    <w:div w:id="1575385247">
      <w:bodyDiv w:val="1"/>
      <w:marLeft w:val="0"/>
      <w:marRight w:val="0"/>
      <w:marTop w:val="0"/>
      <w:marBottom w:val="0"/>
      <w:divBdr>
        <w:top w:val="none" w:sz="0" w:space="0" w:color="auto"/>
        <w:left w:val="none" w:sz="0" w:space="0" w:color="auto"/>
        <w:bottom w:val="none" w:sz="0" w:space="0" w:color="auto"/>
        <w:right w:val="none" w:sz="0" w:space="0" w:color="auto"/>
      </w:divBdr>
    </w:div>
    <w:div w:id="1575895200">
      <w:bodyDiv w:val="1"/>
      <w:marLeft w:val="0"/>
      <w:marRight w:val="0"/>
      <w:marTop w:val="0"/>
      <w:marBottom w:val="0"/>
      <w:divBdr>
        <w:top w:val="none" w:sz="0" w:space="0" w:color="auto"/>
        <w:left w:val="none" w:sz="0" w:space="0" w:color="auto"/>
        <w:bottom w:val="none" w:sz="0" w:space="0" w:color="auto"/>
        <w:right w:val="none" w:sz="0" w:space="0" w:color="auto"/>
      </w:divBdr>
    </w:div>
    <w:div w:id="1576937277">
      <w:bodyDiv w:val="1"/>
      <w:marLeft w:val="0"/>
      <w:marRight w:val="0"/>
      <w:marTop w:val="0"/>
      <w:marBottom w:val="0"/>
      <w:divBdr>
        <w:top w:val="none" w:sz="0" w:space="0" w:color="auto"/>
        <w:left w:val="none" w:sz="0" w:space="0" w:color="auto"/>
        <w:bottom w:val="none" w:sz="0" w:space="0" w:color="auto"/>
        <w:right w:val="none" w:sz="0" w:space="0" w:color="auto"/>
      </w:divBdr>
    </w:div>
    <w:div w:id="1578902834">
      <w:bodyDiv w:val="1"/>
      <w:marLeft w:val="0"/>
      <w:marRight w:val="0"/>
      <w:marTop w:val="0"/>
      <w:marBottom w:val="0"/>
      <w:divBdr>
        <w:top w:val="none" w:sz="0" w:space="0" w:color="auto"/>
        <w:left w:val="none" w:sz="0" w:space="0" w:color="auto"/>
        <w:bottom w:val="none" w:sz="0" w:space="0" w:color="auto"/>
        <w:right w:val="none" w:sz="0" w:space="0" w:color="auto"/>
      </w:divBdr>
    </w:div>
    <w:div w:id="1599212712">
      <w:bodyDiv w:val="1"/>
      <w:marLeft w:val="0"/>
      <w:marRight w:val="0"/>
      <w:marTop w:val="0"/>
      <w:marBottom w:val="0"/>
      <w:divBdr>
        <w:top w:val="none" w:sz="0" w:space="0" w:color="auto"/>
        <w:left w:val="none" w:sz="0" w:space="0" w:color="auto"/>
        <w:bottom w:val="none" w:sz="0" w:space="0" w:color="auto"/>
        <w:right w:val="none" w:sz="0" w:space="0" w:color="auto"/>
      </w:divBdr>
    </w:div>
    <w:div w:id="1601374937">
      <w:bodyDiv w:val="1"/>
      <w:marLeft w:val="0"/>
      <w:marRight w:val="0"/>
      <w:marTop w:val="0"/>
      <w:marBottom w:val="0"/>
      <w:divBdr>
        <w:top w:val="none" w:sz="0" w:space="0" w:color="auto"/>
        <w:left w:val="none" w:sz="0" w:space="0" w:color="auto"/>
        <w:bottom w:val="none" w:sz="0" w:space="0" w:color="auto"/>
        <w:right w:val="none" w:sz="0" w:space="0" w:color="auto"/>
      </w:divBdr>
    </w:div>
    <w:div w:id="1601984022">
      <w:bodyDiv w:val="1"/>
      <w:marLeft w:val="0"/>
      <w:marRight w:val="0"/>
      <w:marTop w:val="0"/>
      <w:marBottom w:val="0"/>
      <w:divBdr>
        <w:top w:val="none" w:sz="0" w:space="0" w:color="auto"/>
        <w:left w:val="none" w:sz="0" w:space="0" w:color="auto"/>
        <w:bottom w:val="none" w:sz="0" w:space="0" w:color="auto"/>
        <w:right w:val="none" w:sz="0" w:space="0" w:color="auto"/>
      </w:divBdr>
    </w:div>
    <w:div w:id="1605649486">
      <w:bodyDiv w:val="1"/>
      <w:marLeft w:val="0"/>
      <w:marRight w:val="0"/>
      <w:marTop w:val="0"/>
      <w:marBottom w:val="0"/>
      <w:divBdr>
        <w:top w:val="none" w:sz="0" w:space="0" w:color="auto"/>
        <w:left w:val="none" w:sz="0" w:space="0" w:color="auto"/>
        <w:bottom w:val="none" w:sz="0" w:space="0" w:color="auto"/>
        <w:right w:val="none" w:sz="0" w:space="0" w:color="auto"/>
      </w:divBdr>
    </w:div>
    <w:div w:id="1606115841">
      <w:bodyDiv w:val="1"/>
      <w:marLeft w:val="0"/>
      <w:marRight w:val="0"/>
      <w:marTop w:val="0"/>
      <w:marBottom w:val="0"/>
      <w:divBdr>
        <w:top w:val="none" w:sz="0" w:space="0" w:color="auto"/>
        <w:left w:val="none" w:sz="0" w:space="0" w:color="auto"/>
        <w:bottom w:val="none" w:sz="0" w:space="0" w:color="auto"/>
        <w:right w:val="none" w:sz="0" w:space="0" w:color="auto"/>
      </w:divBdr>
    </w:div>
    <w:div w:id="1607888033">
      <w:bodyDiv w:val="1"/>
      <w:marLeft w:val="0"/>
      <w:marRight w:val="0"/>
      <w:marTop w:val="0"/>
      <w:marBottom w:val="0"/>
      <w:divBdr>
        <w:top w:val="none" w:sz="0" w:space="0" w:color="auto"/>
        <w:left w:val="none" w:sz="0" w:space="0" w:color="auto"/>
        <w:bottom w:val="none" w:sz="0" w:space="0" w:color="auto"/>
        <w:right w:val="none" w:sz="0" w:space="0" w:color="auto"/>
      </w:divBdr>
    </w:div>
    <w:div w:id="1613316210">
      <w:bodyDiv w:val="1"/>
      <w:marLeft w:val="0"/>
      <w:marRight w:val="0"/>
      <w:marTop w:val="0"/>
      <w:marBottom w:val="0"/>
      <w:divBdr>
        <w:top w:val="none" w:sz="0" w:space="0" w:color="auto"/>
        <w:left w:val="none" w:sz="0" w:space="0" w:color="auto"/>
        <w:bottom w:val="none" w:sz="0" w:space="0" w:color="auto"/>
        <w:right w:val="none" w:sz="0" w:space="0" w:color="auto"/>
      </w:divBdr>
    </w:div>
    <w:div w:id="1617903055">
      <w:bodyDiv w:val="1"/>
      <w:marLeft w:val="0"/>
      <w:marRight w:val="0"/>
      <w:marTop w:val="0"/>
      <w:marBottom w:val="0"/>
      <w:divBdr>
        <w:top w:val="none" w:sz="0" w:space="0" w:color="auto"/>
        <w:left w:val="none" w:sz="0" w:space="0" w:color="auto"/>
        <w:bottom w:val="none" w:sz="0" w:space="0" w:color="auto"/>
        <w:right w:val="none" w:sz="0" w:space="0" w:color="auto"/>
      </w:divBdr>
    </w:div>
    <w:div w:id="1618297915">
      <w:bodyDiv w:val="1"/>
      <w:marLeft w:val="0"/>
      <w:marRight w:val="0"/>
      <w:marTop w:val="0"/>
      <w:marBottom w:val="0"/>
      <w:divBdr>
        <w:top w:val="none" w:sz="0" w:space="0" w:color="auto"/>
        <w:left w:val="none" w:sz="0" w:space="0" w:color="auto"/>
        <w:bottom w:val="none" w:sz="0" w:space="0" w:color="auto"/>
        <w:right w:val="none" w:sz="0" w:space="0" w:color="auto"/>
      </w:divBdr>
    </w:div>
    <w:div w:id="1622420209">
      <w:bodyDiv w:val="1"/>
      <w:marLeft w:val="0"/>
      <w:marRight w:val="0"/>
      <w:marTop w:val="0"/>
      <w:marBottom w:val="0"/>
      <w:divBdr>
        <w:top w:val="none" w:sz="0" w:space="0" w:color="auto"/>
        <w:left w:val="none" w:sz="0" w:space="0" w:color="auto"/>
        <w:bottom w:val="none" w:sz="0" w:space="0" w:color="auto"/>
        <w:right w:val="none" w:sz="0" w:space="0" w:color="auto"/>
      </w:divBdr>
    </w:div>
    <w:div w:id="1622612213">
      <w:bodyDiv w:val="1"/>
      <w:marLeft w:val="0"/>
      <w:marRight w:val="0"/>
      <w:marTop w:val="0"/>
      <w:marBottom w:val="0"/>
      <w:divBdr>
        <w:top w:val="none" w:sz="0" w:space="0" w:color="auto"/>
        <w:left w:val="none" w:sz="0" w:space="0" w:color="auto"/>
        <w:bottom w:val="none" w:sz="0" w:space="0" w:color="auto"/>
        <w:right w:val="none" w:sz="0" w:space="0" w:color="auto"/>
      </w:divBdr>
    </w:div>
    <w:div w:id="1629510325">
      <w:bodyDiv w:val="1"/>
      <w:marLeft w:val="0"/>
      <w:marRight w:val="0"/>
      <w:marTop w:val="0"/>
      <w:marBottom w:val="0"/>
      <w:divBdr>
        <w:top w:val="none" w:sz="0" w:space="0" w:color="auto"/>
        <w:left w:val="none" w:sz="0" w:space="0" w:color="auto"/>
        <w:bottom w:val="none" w:sz="0" w:space="0" w:color="auto"/>
        <w:right w:val="none" w:sz="0" w:space="0" w:color="auto"/>
      </w:divBdr>
    </w:div>
    <w:div w:id="1630209796">
      <w:bodyDiv w:val="1"/>
      <w:marLeft w:val="0"/>
      <w:marRight w:val="0"/>
      <w:marTop w:val="0"/>
      <w:marBottom w:val="0"/>
      <w:divBdr>
        <w:top w:val="none" w:sz="0" w:space="0" w:color="auto"/>
        <w:left w:val="none" w:sz="0" w:space="0" w:color="auto"/>
        <w:bottom w:val="none" w:sz="0" w:space="0" w:color="auto"/>
        <w:right w:val="none" w:sz="0" w:space="0" w:color="auto"/>
      </w:divBdr>
    </w:div>
    <w:div w:id="1630895715">
      <w:bodyDiv w:val="1"/>
      <w:marLeft w:val="0"/>
      <w:marRight w:val="0"/>
      <w:marTop w:val="0"/>
      <w:marBottom w:val="0"/>
      <w:divBdr>
        <w:top w:val="none" w:sz="0" w:space="0" w:color="auto"/>
        <w:left w:val="none" w:sz="0" w:space="0" w:color="auto"/>
        <w:bottom w:val="none" w:sz="0" w:space="0" w:color="auto"/>
        <w:right w:val="none" w:sz="0" w:space="0" w:color="auto"/>
      </w:divBdr>
    </w:div>
    <w:div w:id="1632705012">
      <w:bodyDiv w:val="1"/>
      <w:marLeft w:val="0"/>
      <w:marRight w:val="0"/>
      <w:marTop w:val="0"/>
      <w:marBottom w:val="0"/>
      <w:divBdr>
        <w:top w:val="none" w:sz="0" w:space="0" w:color="auto"/>
        <w:left w:val="none" w:sz="0" w:space="0" w:color="auto"/>
        <w:bottom w:val="none" w:sz="0" w:space="0" w:color="auto"/>
        <w:right w:val="none" w:sz="0" w:space="0" w:color="auto"/>
      </w:divBdr>
    </w:div>
    <w:div w:id="1642423714">
      <w:bodyDiv w:val="1"/>
      <w:marLeft w:val="0"/>
      <w:marRight w:val="0"/>
      <w:marTop w:val="0"/>
      <w:marBottom w:val="0"/>
      <w:divBdr>
        <w:top w:val="none" w:sz="0" w:space="0" w:color="auto"/>
        <w:left w:val="none" w:sz="0" w:space="0" w:color="auto"/>
        <w:bottom w:val="none" w:sz="0" w:space="0" w:color="auto"/>
        <w:right w:val="none" w:sz="0" w:space="0" w:color="auto"/>
      </w:divBdr>
    </w:div>
    <w:div w:id="1646474698">
      <w:bodyDiv w:val="1"/>
      <w:marLeft w:val="0"/>
      <w:marRight w:val="0"/>
      <w:marTop w:val="0"/>
      <w:marBottom w:val="0"/>
      <w:divBdr>
        <w:top w:val="none" w:sz="0" w:space="0" w:color="auto"/>
        <w:left w:val="none" w:sz="0" w:space="0" w:color="auto"/>
        <w:bottom w:val="none" w:sz="0" w:space="0" w:color="auto"/>
        <w:right w:val="none" w:sz="0" w:space="0" w:color="auto"/>
      </w:divBdr>
    </w:div>
    <w:div w:id="1648321375">
      <w:bodyDiv w:val="1"/>
      <w:marLeft w:val="0"/>
      <w:marRight w:val="0"/>
      <w:marTop w:val="0"/>
      <w:marBottom w:val="0"/>
      <w:divBdr>
        <w:top w:val="none" w:sz="0" w:space="0" w:color="auto"/>
        <w:left w:val="none" w:sz="0" w:space="0" w:color="auto"/>
        <w:bottom w:val="none" w:sz="0" w:space="0" w:color="auto"/>
        <w:right w:val="none" w:sz="0" w:space="0" w:color="auto"/>
      </w:divBdr>
    </w:div>
    <w:div w:id="1652247107">
      <w:bodyDiv w:val="1"/>
      <w:marLeft w:val="0"/>
      <w:marRight w:val="0"/>
      <w:marTop w:val="0"/>
      <w:marBottom w:val="0"/>
      <w:divBdr>
        <w:top w:val="none" w:sz="0" w:space="0" w:color="auto"/>
        <w:left w:val="none" w:sz="0" w:space="0" w:color="auto"/>
        <w:bottom w:val="none" w:sz="0" w:space="0" w:color="auto"/>
        <w:right w:val="none" w:sz="0" w:space="0" w:color="auto"/>
      </w:divBdr>
    </w:div>
    <w:div w:id="1652950973">
      <w:bodyDiv w:val="1"/>
      <w:marLeft w:val="0"/>
      <w:marRight w:val="0"/>
      <w:marTop w:val="0"/>
      <w:marBottom w:val="0"/>
      <w:divBdr>
        <w:top w:val="none" w:sz="0" w:space="0" w:color="auto"/>
        <w:left w:val="none" w:sz="0" w:space="0" w:color="auto"/>
        <w:bottom w:val="none" w:sz="0" w:space="0" w:color="auto"/>
        <w:right w:val="none" w:sz="0" w:space="0" w:color="auto"/>
      </w:divBdr>
    </w:div>
    <w:div w:id="1657418698">
      <w:bodyDiv w:val="1"/>
      <w:marLeft w:val="0"/>
      <w:marRight w:val="0"/>
      <w:marTop w:val="0"/>
      <w:marBottom w:val="0"/>
      <w:divBdr>
        <w:top w:val="none" w:sz="0" w:space="0" w:color="auto"/>
        <w:left w:val="none" w:sz="0" w:space="0" w:color="auto"/>
        <w:bottom w:val="none" w:sz="0" w:space="0" w:color="auto"/>
        <w:right w:val="none" w:sz="0" w:space="0" w:color="auto"/>
      </w:divBdr>
    </w:div>
    <w:div w:id="1658340975">
      <w:bodyDiv w:val="1"/>
      <w:marLeft w:val="0"/>
      <w:marRight w:val="0"/>
      <w:marTop w:val="0"/>
      <w:marBottom w:val="0"/>
      <w:divBdr>
        <w:top w:val="none" w:sz="0" w:space="0" w:color="auto"/>
        <w:left w:val="none" w:sz="0" w:space="0" w:color="auto"/>
        <w:bottom w:val="none" w:sz="0" w:space="0" w:color="auto"/>
        <w:right w:val="none" w:sz="0" w:space="0" w:color="auto"/>
      </w:divBdr>
    </w:div>
    <w:div w:id="1660622219">
      <w:bodyDiv w:val="1"/>
      <w:marLeft w:val="0"/>
      <w:marRight w:val="0"/>
      <w:marTop w:val="0"/>
      <w:marBottom w:val="0"/>
      <w:divBdr>
        <w:top w:val="none" w:sz="0" w:space="0" w:color="auto"/>
        <w:left w:val="none" w:sz="0" w:space="0" w:color="auto"/>
        <w:bottom w:val="none" w:sz="0" w:space="0" w:color="auto"/>
        <w:right w:val="none" w:sz="0" w:space="0" w:color="auto"/>
      </w:divBdr>
    </w:div>
    <w:div w:id="1662126020">
      <w:bodyDiv w:val="1"/>
      <w:marLeft w:val="0"/>
      <w:marRight w:val="0"/>
      <w:marTop w:val="0"/>
      <w:marBottom w:val="0"/>
      <w:divBdr>
        <w:top w:val="none" w:sz="0" w:space="0" w:color="auto"/>
        <w:left w:val="none" w:sz="0" w:space="0" w:color="auto"/>
        <w:bottom w:val="none" w:sz="0" w:space="0" w:color="auto"/>
        <w:right w:val="none" w:sz="0" w:space="0" w:color="auto"/>
      </w:divBdr>
    </w:div>
    <w:div w:id="1668248570">
      <w:bodyDiv w:val="1"/>
      <w:marLeft w:val="0"/>
      <w:marRight w:val="0"/>
      <w:marTop w:val="0"/>
      <w:marBottom w:val="0"/>
      <w:divBdr>
        <w:top w:val="none" w:sz="0" w:space="0" w:color="auto"/>
        <w:left w:val="none" w:sz="0" w:space="0" w:color="auto"/>
        <w:bottom w:val="none" w:sz="0" w:space="0" w:color="auto"/>
        <w:right w:val="none" w:sz="0" w:space="0" w:color="auto"/>
      </w:divBdr>
    </w:div>
    <w:div w:id="1678917999">
      <w:bodyDiv w:val="1"/>
      <w:marLeft w:val="0"/>
      <w:marRight w:val="0"/>
      <w:marTop w:val="0"/>
      <w:marBottom w:val="0"/>
      <w:divBdr>
        <w:top w:val="none" w:sz="0" w:space="0" w:color="auto"/>
        <w:left w:val="none" w:sz="0" w:space="0" w:color="auto"/>
        <w:bottom w:val="none" w:sz="0" w:space="0" w:color="auto"/>
        <w:right w:val="none" w:sz="0" w:space="0" w:color="auto"/>
      </w:divBdr>
    </w:div>
    <w:div w:id="1679766547">
      <w:bodyDiv w:val="1"/>
      <w:marLeft w:val="0"/>
      <w:marRight w:val="0"/>
      <w:marTop w:val="0"/>
      <w:marBottom w:val="0"/>
      <w:divBdr>
        <w:top w:val="none" w:sz="0" w:space="0" w:color="auto"/>
        <w:left w:val="none" w:sz="0" w:space="0" w:color="auto"/>
        <w:bottom w:val="none" w:sz="0" w:space="0" w:color="auto"/>
        <w:right w:val="none" w:sz="0" w:space="0" w:color="auto"/>
      </w:divBdr>
    </w:div>
    <w:div w:id="1683046537">
      <w:bodyDiv w:val="1"/>
      <w:marLeft w:val="0"/>
      <w:marRight w:val="0"/>
      <w:marTop w:val="0"/>
      <w:marBottom w:val="0"/>
      <w:divBdr>
        <w:top w:val="none" w:sz="0" w:space="0" w:color="auto"/>
        <w:left w:val="none" w:sz="0" w:space="0" w:color="auto"/>
        <w:bottom w:val="none" w:sz="0" w:space="0" w:color="auto"/>
        <w:right w:val="none" w:sz="0" w:space="0" w:color="auto"/>
      </w:divBdr>
    </w:div>
    <w:div w:id="1685402481">
      <w:bodyDiv w:val="1"/>
      <w:marLeft w:val="0"/>
      <w:marRight w:val="0"/>
      <w:marTop w:val="0"/>
      <w:marBottom w:val="0"/>
      <w:divBdr>
        <w:top w:val="none" w:sz="0" w:space="0" w:color="auto"/>
        <w:left w:val="none" w:sz="0" w:space="0" w:color="auto"/>
        <w:bottom w:val="none" w:sz="0" w:space="0" w:color="auto"/>
        <w:right w:val="none" w:sz="0" w:space="0" w:color="auto"/>
      </w:divBdr>
    </w:div>
    <w:div w:id="1700468131">
      <w:bodyDiv w:val="1"/>
      <w:marLeft w:val="0"/>
      <w:marRight w:val="0"/>
      <w:marTop w:val="0"/>
      <w:marBottom w:val="0"/>
      <w:divBdr>
        <w:top w:val="none" w:sz="0" w:space="0" w:color="auto"/>
        <w:left w:val="none" w:sz="0" w:space="0" w:color="auto"/>
        <w:bottom w:val="none" w:sz="0" w:space="0" w:color="auto"/>
        <w:right w:val="none" w:sz="0" w:space="0" w:color="auto"/>
      </w:divBdr>
    </w:div>
    <w:div w:id="1701584390">
      <w:bodyDiv w:val="1"/>
      <w:marLeft w:val="0"/>
      <w:marRight w:val="0"/>
      <w:marTop w:val="0"/>
      <w:marBottom w:val="0"/>
      <w:divBdr>
        <w:top w:val="none" w:sz="0" w:space="0" w:color="auto"/>
        <w:left w:val="none" w:sz="0" w:space="0" w:color="auto"/>
        <w:bottom w:val="none" w:sz="0" w:space="0" w:color="auto"/>
        <w:right w:val="none" w:sz="0" w:space="0" w:color="auto"/>
      </w:divBdr>
    </w:div>
    <w:div w:id="1719819617">
      <w:bodyDiv w:val="1"/>
      <w:marLeft w:val="0"/>
      <w:marRight w:val="0"/>
      <w:marTop w:val="0"/>
      <w:marBottom w:val="0"/>
      <w:divBdr>
        <w:top w:val="none" w:sz="0" w:space="0" w:color="auto"/>
        <w:left w:val="none" w:sz="0" w:space="0" w:color="auto"/>
        <w:bottom w:val="none" w:sz="0" w:space="0" w:color="auto"/>
        <w:right w:val="none" w:sz="0" w:space="0" w:color="auto"/>
      </w:divBdr>
    </w:div>
    <w:div w:id="1726099181">
      <w:bodyDiv w:val="1"/>
      <w:marLeft w:val="0"/>
      <w:marRight w:val="0"/>
      <w:marTop w:val="0"/>
      <w:marBottom w:val="0"/>
      <w:divBdr>
        <w:top w:val="none" w:sz="0" w:space="0" w:color="auto"/>
        <w:left w:val="none" w:sz="0" w:space="0" w:color="auto"/>
        <w:bottom w:val="none" w:sz="0" w:space="0" w:color="auto"/>
        <w:right w:val="none" w:sz="0" w:space="0" w:color="auto"/>
      </w:divBdr>
    </w:div>
    <w:div w:id="1726293176">
      <w:bodyDiv w:val="1"/>
      <w:marLeft w:val="0"/>
      <w:marRight w:val="0"/>
      <w:marTop w:val="0"/>
      <w:marBottom w:val="0"/>
      <w:divBdr>
        <w:top w:val="none" w:sz="0" w:space="0" w:color="auto"/>
        <w:left w:val="none" w:sz="0" w:space="0" w:color="auto"/>
        <w:bottom w:val="none" w:sz="0" w:space="0" w:color="auto"/>
        <w:right w:val="none" w:sz="0" w:space="0" w:color="auto"/>
      </w:divBdr>
    </w:div>
    <w:div w:id="1730421524">
      <w:bodyDiv w:val="1"/>
      <w:marLeft w:val="0"/>
      <w:marRight w:val="0"/>
      <w:marTop w:val="0"/>
      <w:marBottom w:val="0"/>
      <w:divBdr>
        <w:top w:val="none" w:sz="0" w:space="0" w:color="auto"/>
        <w:left w:val="none" w:sz="0" w:space="0" w:color="auto"/>
        <w:bottom w:val="none" w:sz="0" w:space="0" w:color="auto"/>
        <w:right w:val="none" w:sz="0" w:space="0" w:color="auto"/>
      </w:divBdr>
    </w:div>
    <w:div w:id="1730688470">
      <w:bodyDiv w:val="1"/>
      <w:marLeft w:val="0"/>
      <w:marRight w:val="0"/>
      <w:marTop w:val="0"/>
      <w:marBottom w:val="0"/>
      <w:divBdr>
        <w:top w:val="none" w:sz="0" w:space="0" w:color="auto"/>
        <w:left w:val="none" w:sz="0" w:space="0" w:color="auto"/>
        <w:bottom w:val="none" w:sz="0" w:space="0" w:color="auto"/>
        <w:right w:val="none" w:sz="0" w:space="0" w:color="auto"/>
      </w:divBdr>
    </w:div>
    <w:div w:id="1732145856">
      <w:bodyDiv w:val="1"/>
      <w:marLeft w:val="0"/>
      <w:marRight w:val="0"/>
      <w:marTop w:val="0"/>
      <w:marBottom w:val="0"/>
      <w:divBdr>
        <w:top w:val="none" w:sz="0" w:space="0" w:color="auto"/>
        <w:left w:val="none" w:sz="0" w:space="0" w:color="auto"/>
        <w:bottom w:val="none" w:sz="0" w:space="0" w:color="auto"/>
        <w:right w:val="none" w:sz="0" w:space="0" w:color="auto"/>
      </w:divBdr>
    </w:div>
    <w:div w:id="1739285476">
      <w:bodyDiv w:val="1"/>
      <w:marLeft w:val="0"/>
      <w:marRight w:val="0"/>
      <w:marTop w:val="0"/>
      <w:marBottom w:val="0"/>
      <w:divBdr>
        <w:top w:val="none" w:sz="0" w:space="0" w:color="auto"/>
        <w:left w:val="none" w:sz="0" w:space="0" w:color="auto"/>
        <w:bottom w:val="none" w:sz="0" w:space="0" w:color="auto"/>
        <w:right w:val="none" w:sz="0" w:space="0" w:color="auto"/>
      </w:divBdr>
    </w:div>
    <w:div w:id="1741518134">
      <w:bodyDiv w:val="1"/>
      <w:marLeft w:val="0"/>
      <w:marRight w:val="0"/>
      <w:marTop w:val="0"/>
      <w:marBottom w:val="0"/>
      <w:divBdr>
        <w:top w:val="none" w:sz="0" w:space="0" w:color="auto"/>
        <w:left w:val="none" w:sz="0" w:space="0" w:color="auto"/>
        <w:bottom w:val="none" w:sz="0" w:space="0" w:color="auto"/>
        <w:right w:val="none" w:sz="0" w:space="0" w:color="auto"/>
      </w:divBdr>
    </w:div>
    <w:div w:id="1743675035">
      <w:bodyDiv w:val="1"/>
      <w:marLeft w:val="0"/>
      <w:marRight w:val="0"/>
      <w:marTop w:val="0"/>
      <w:marBottom w:val="0"/>
      <w:divBdr>
        <w:top w:val="none" w:sz="0" w:space="0" w:color="auto"/>
        <w:left w:val="none" w:sz="0" w:space="0" w:color="auto"/>
        <w:bottom w:val="none" w:sz="0" w:space="0" w:color="auto"/>
        <w:right w:val="none" w:sz="0" w:space="0" w:color="auto"/>
      </w:divBdr>
    </w:div>
    <w:div w:id="1744453722">
      <w:bodyDiv w:val="1"/>
      <w:marLeft w:val="0"/>
      <w:marRight w:val="0"/>
      <w:marTop w:val="0"/>
      <w:marBottom w:val="0"/>
      <w:divBdr>
        <w:top w:val="none" w:sz="0" w:space="0" w:color="auto"/>
        <w:left w:val="none" w:sz="0" w:space="0" w:color="auto"/>
        <w:bottom w:val="none" w:sz="0" w:space="0" w:color="auto"/>
        <w:right w:val="none" w:sz="0" w:space="0" w:color="auto"/>
      </w:divBdr>
    </w:div>
    <w:div w:id="1745646091">
      <w:bodyDiv w:val="1"/>
      <w:marLeft w:val="0"/>
      <w:marRight w:val="0"/>
      <w:marTop w:val="0"/>
      <w:marBottom w:val="0"/>
      <w:divBdr>
        <w:top w:val="none" w:sz="0" w:space="0" w:color="auto"/>
        <w:left w:val="none" w:sz="0" w:space="0" w:color="auto"/>
        <w:bottom w:val="none" w:sz="0" w:space="0" w:color="auto"/>
        <w:right w:val="none" w:sz="0" w:space="0" w:color="auto"/>
      </w:divBdr>
    </w:div>
    <w:div w:id="1761758181">
      <w:bodyDiv w:val="1"/>
      <w:marLeft w:val="0"/>
      <w:marRight w:val="0"/>
      <w:marTop w:val="0"/>
      <w:marBottom w:val="0"/>
      <w:divBdr>
        <w:top w:val="none" w:sz="0" w:space="0" w:color="auto"/>
        <w:left w:val="none" w:sz="0" w:space="0" w:color="auto"/>
        <w:bottom w:val="none" w:sz="0" w:space="0" w:color="auto"/>
        <w:right w:val="none" w:sz="0" w:space="0" w:color="auto"/>
      </w:divBdr>
    </w:div>
    <w:div w:id="1765758375">
      <w:bodyDiv w:val="1"/>
      <w:marLeft w:val="0"/>
      <w:marRight w:val="0"/>
      <w:marTop w:val="0"/>
      <w:marBottom w:val="0"/>
      <w:divBdr>
        <w:top w:val="none" w:sz="0" w:space="0" w:color="auto"/>
        <w:left w:val="none" w:sz="0" w:space="0" w:color="auto"/>
        <w:bottom w:val="none" w:sz="0" w:space="0" w:color="auto"/>
        <w:right w:val="none" w:sz="0" w:space="0" w:color="auto"/>
      </w:divBdr>
    </w:div>
    <w:div w:id="1769420031">
      <w:bodyDiv w:val="1"/>
      <w:marLeft w:val="0"/>
      <w:marRight w:val="0"/>
      <w:marTop w:val="0"/>
      <w:marBottom w:val="0"/>
      <w:divBdr>
        <w:top w:val="none" w:sz="0" w:space="0" w:color="auto"/>
        <w:left w:val="none" w:sz="0" w:space="0" w:color="auto"/>
        <w:bottom w:val="none" w:sz="0" w:space="0" w:color="auto"/>
        <w:right w:val="none" w:sz="0" w:space="0" w:color="auto"/>
      </w:divBdr>
    </w:div>
    <w:div w:id="1780417160">
      <w:bodyDiv w:val="1"/>
      <w:marLeft w:val="0"/>
      <w:marRight w:val="0"/>
      <w:marTop w:val="0"/>
      <w:marBottom w:val="0"/>
      <w:divBdr>
        <w:top w:val="none" w:sz="0" w:space="0" w:color="auto"/>
        <w:left w:val="none" w:sz="0" w:space="0" w:color="auto"/>
        <w:bottom w:val="none" w:sz="0" w:space="0" w:color="auto"/>
        <w:right w:val="none" w:sz="0" w:space="0" w:color="auto"/>
      </w:divBdr>
    </w:div>
    <w:div w:id="1785079634">
      <w:bodyDiv w:val="1"/>
      <w:marLeft w:val="0"/>
      <w:marRight w:val="0"/>
      <w:marTop w:val="0"/>
      <w:marBottom w:val="0"/>
      <w:divBdr>
        <w:top w:val="none" w:sz="0" w:space="0" w:color="auto"/>
        <w:left w:val="none" w:sz="0" w:space="0" w:color="auto"/>
        <w:bottom w:val="none" w:sz="0" w:space="0" w:color="auto"/>
        <w:right w:val="none" w:sz="0" w:space="0" w:color="auto"/>
      </w:divBdr>
    </w:div>
    <w:div w:id="1790513132">
      <w:bodyDiv w:val="1"/>
      <w:marLeft w:val="0"/>
      <w:marRight w:val="0"/>
      <w:marTop w:val="0"/>
      <w:marBottom w:val="0"/>
      <w:divBdr>
        <w:top w:val="none" w:sz="0" w:space="0" w:color="auto"/>
        <w:left w:val="none" w:sz="0" w:space="0" w:color="auto"/>
        <w:bottom w:val="none" w:sz="0" w:space="0" w:color="auto"/>
        <w:right w:val="none" w:sz="0" w:space="0" w:color="auto"/>
      </w:divBdr>
    </w:div>
    <w:div w:id="1806001179">
      <w:bodyDiv w:val="1"/>
      <w:marLeft w:val="0"/>
      <w:marRight w:val="0"/>
      <w:marTop w:val="0"/>
      <w:marBottom w:val="0"/>
      <w:divBdr>
        <w:top w:val="none" w:sz="0" w:space="0" w:color="auto"/>
        <w:left w:val="none" w:sz="0" w:space="0" w:color="auto"/>
        <w:bottom w:val="none" w:sz="0" w:space="0" w:color="auto"/>
        <w:right w:val="none" w:sz="0" w:space="0" w:color="auto"/>
      </w:divBdr>
    </w:div>
    <w:div w:id="1815291537">
      <w:bodyDiv w:val="1"/>
      <w:marLeft w:val="0"/>
      <w:marRight w:val="0"/>
      <w:marTop w:val="0"/>
      <w:marBottom w:val="0"/>
      <w:divBdr>
        <w:top w:val="none" w:sz="0" w:space="0" w:color="auto"/>
        <w:left w:val="none" w:sz="0" w:space="0" w:color="auto"/>
        <w:bottom w:val="none" w:sz="0" w:space="0" w:color="auto"/>
        <w:right w:val="none" w:sz="0" w:space="0" w:color="auto"/>
      </w:divBdr>
    </w:div>
    <w:div w:id="1822652965">
      <w:bodyDiv w:val="1"/>
      <w:marLeft w:val="0"/>
      <w:marRight w:val="0"/>
      <w:marTop w:val="0"/>
      <w:marBottom w:val="0"/>
      <w:divBdr>
        <w:top w:val="none" w:sz="0" w:space="0" w:color="auto"/>
        <w:left w:val="none" w:sz="0" w:space="0" w:color="auto"/>
        <w:bottom w:val="none" w:sz="0" w:space="0" w:color="auto"/>
        <w:right w:val="none" w:sz="0" w:space="0" w:color="auto"/>
      </w:divBdr>
    </w:div>
    <w:div w:id="1823813942">
      <w:bodyDiv w:val="1"/>
      <w:marLeft w:val="0"/>
      <w:marRight w:val="0"/>
      <w:marTop w:val="0"/>
      <w:marBottom w:val="0"/>
      <w:divBdr>
        <w:top w:val="none" w:sz="0" w:space="0" w:color="auto"/>
        <w:left w:val="none" w:sz="0" w:space="0" w:color="auto"/>
        <w:bottom w:val="none" w:sz="0" w:space="0" w:color="auto"/>
        <w:right w:val="none" w:sz="0" w:space="0" w:color="auto"/>
      </w:divBdr>
    </w:div>
    <w:div w:id="1826967938">
      <w:bodyDiv w:val="1"/>
      <w:marLeft w:val="0"/>
      <w:marRight w:val="0"/>
      <w:marTop w:val="0"/>
      <w:marBottom w:val="0"/>
      <w:divBdr>
        <w:top w:val="none" w:sz="0" w:space="0" w:color="auto"/>
        <w:left w:val="none" w:sz="0" w:space="0" w:color="auto"/>
        <w:bottom w:val="none" w:sz="0" w:space="0" w:color="auto"/>
        <w:right w:val="none" w:sz="0" w:space="0" w:color="auto"/>
      </w:divBdr>
    </w:div>
    <w:div w:id="1831863952">
      <w:bodyDiv w:val="1"/>
      <w:marLeft w:val="0"/>
      <w:marRight w:val="0"/>
      <w:marTop w:val="0"/>
      <w:marBottom w:val="0"/>
      <w:divBdr>
        <w:top w:val="none" w:sz="0" w:space="0" w:color="auto"/>
        <w:left w:val="none" w:sz="0" w:space="0" w:color="auto"/>
        <w:bottom w:val="none" w:sz="0" w:space="0" w:color="auto"/>
        <w:right w:val="none" w:sz="0" w:space="0" w:color="auto"/>
      </w:divBdr>
    </w:div>
    <w:div w:id="1841234522">
      <w:bodyDiv w:val="1"/>
      <w:marLeft w:val="0"/>
      <w:marRight w:val="0"/>
      <w:marTop w:val="0"/>
      <w:marBottom w:val="0"/>
      <w:divBdr>
        <w:top w:val="none" w:sz="0" w:space="0" w:color="auto"/>
        <w:left w:val="none" w:sz="0" w:space="0" w:color="auto"/>
        <w:bottom w:val="none" w:sz="0" w:space="0" w:color="auto"/>
        <w:right w:val="none" w:sz="0" w:space="0" w:color="auto"/>
      </w:divBdr>
    </w:div>
    <w:div w:id="1846244332">
      <w:bodyDiv w:val="1"/>
      <w:marLeft w:val="0"/>
      <w:marRight w:val="0"/>
      <w:marTop w:val="0"/>
      <w:marBottom w:val="0"/>
      <w:divBdr>
        <w:top w:val="none" w:sz="0" w:space="0" w:color="auto"/>
        <w:left w:val="none" w:sz="0" w:space="0" w:color="auto"/>
        <w:bottom w:val="none" w:sz="0" w:space="0" w:color="auto"/>
        <w:right w:val="none" w:sz="0" w:space="0" w:color="auto"/>
      </w:divBdr>
    </w:div>
    <w:div w:id="1854491823">
      <w:bodyDiv w:val="1"/>
      <w:marLeft w:val="0"/>
      <w:marRight w:val="0"/>
      <w:marTop w:val="0"/>
      <w:marBottom w:val="0"/>
      <w:divBdr>
        <w:top w:val="none" w:sz="0" w:space="0" w:color="auto"/>
        <w:left w:val="none" w:sz="0" w:space="0" w:color="auto"/>
        <w:bottom w:val="none" w:sz="0" w:space="0" w:color="auto"/>
        <w:right w:val="none" w:sz="0" w:space="0" w:color="auto"/>
      </w:divBdr>
      <w:divsChild>
        <w:div w:id="202257815">
          <w:marLeft w:val="1267"/>
          <w:marRight w:val="0"/>
          <w:marTop w:val="0"/>
          <w:marBottom w:val="0"/>
          <w:divBdr>
            <w:top w:val="none" w:sz="0" w:space="0" w:color="auto"/>
            <w:left w:val="none" w:sz="0" w:space="0" w:color="auto"/>
            <w:bottom w:val="none" w:sz="0" w:space="0" w:color="auto"/>
            <w:right w:val="none" w:sz="0" w:space="0" w:color="auto"/>
          </w:divBdr>
        </w:div>
        <w:div w:id="567812608">
          <w:marLeft w:val="1267"/>
          <w:marRight w:val="0"/>
          <w:marTop w:val="0"/>
          <w:marBottom w:val="0"/>
          <w:divBdr>
            <w:top w:val="none" w:sz="0" w:space="0" w:color="auto"/>
            <w:left w:val="none" w:sz="0" w:space="0" w:color="auto"/>
            <w:bottom w:val="none" w:sz="0" w:space="0" w:color="auto"/>
            <w:right w:val="none" w:sz="0" w:space="0" w:color="auto"/>
          </w:divBdr>
        </w:div>
        <w:div w:id="672269327">
          <w:marLeft w:val="1267"/>
          <w:marRight w:val="0"/>
          <w:marTop w:val="0"/>
          <w:marBottom w:val="0"/>
          <w:divBdr>
            <w:top w:val="none" w:sz="0" w:space="0" w:color="auto"/>
            <w:left w:val="none" w:sz="0" w:space="0" w:color="auto"/>
            <w:bottom w:val="none" w:sz="0" w:space="0" w:color="auto"/>
            <w:right w:val="none" w:sz="0" w:space="0" w:color="auto"/>
          </w:divBdr>
        </w:div>
        <w:div w:id="2110347120">
          <w:marLeft w:val="547"/>
          <w:marRight w:val="0"/>
          <w:marTop w:val="0"/>
          <w:marBottom w:val="0"/>
          <w:divBdr>
            <w:top w:val="none" w:sz="0" w:space="0" w:color="auto"/>
            <w:left w:val="none" w:sz="0" w:space="0" w:color="auto"/>
            <w:bottom w:val="none" w:sz="0" w:space="0" w:color="auto"/>
            <w:right w:val="none" w:sz="0" w:space="0" w:color="auto"/>
          </w:divBdr>
        </w:div>
      </w:divsChild>
    </w:div>
    <w:div w:id="1855074977">
      <w:bodyDiv w:val="1"/>
      <w:marLeft w:val="0"/>
      <w:marRight w:val="0"/>
      <w:marTop w:val="0"/>
      <w:marBottom w:val="0"/>
      <w:divBdr>
        <w:top w:val="none" w:sz="0" w:space="0" w:color="auto"/>
        <w:left w:val="none" w:sz="0" w:space="0" w:color="auto"/>
        <w:bottom w:val="none" w:sz="0" w:space="0" w:color="auto"/>
        <w:right w:val="none" w:sz="0" w:space="0" w:color="auto"/>
      </w:divBdr>
    </w:div>
    <w:div w:id="1858998893">
      <w:bodyDiv w:val="1"/>
      <w:marLeft w:val="0"/>
      <w:marRight w:val="0"/>
      <w:marTop w:val="0"/>
      <w:marBottom w:val="0"/>
      <w:divBdr>
        <w:top w:val="none" w:sz="0" w:space="0" w:color="auto"/>
        <w:left w:val="none" w:sz="0" w:space="0" w:color="auto"/>
        <w:bottom w:val="none" w:sz="0" w:space="0" w:color="auto"/>
        <w:right w:val="none" w:sz="0" w:space="0" w:color="auto"/>
      </w:divBdr>
    </w:div>
    <w:div w:id="1860507739">
      <w:bodyDiv w:val="1"/>
      <w:marLeft w:val="0"/>
      <w:marRight w:val="0"/>
      <w:marTop w:val="0"/>
      <w:marBottom w:val="0"/>
      <w:divBdr>
        <w:top w:val="none" w:sz="0" w:space="0" w:color="auto"/>
        <w:left w:val="none" w:sz="0" w:space="0" w:color="auto"/>
        <w:bottom w:val="none" w:sz="0" w:space="0" w:color="auto"/>
        <w:right w:val="none" w:sz="0" w:space="0" w:color="auto"/>
      </w:divBdr>
    </w:div>
    <w:div w:id="1866483950">
      <w:bodyDiv w:val="1"/>
      <w:marLeft w:val="0"/>
      <w:marRight w:val="0"/>
      <w:marTop w:val="0"/>
      <w:marBottom w:val="0"/>
      <w:divBdr>
        <w:top w:val="none" w:sz="0" w:space="0" w:color="auto"/>
        <w:left w:val="none" w:sz="0" w:space="0" w:color="auto"/>
        <w:bottom w:val="none" w:sz="0" w:space="0" w:color="auto"/>
        <w:right w:val="none" w:sz="0" w:space="0" w:color="auto"/>
      </w:divBdr>
    </w:div>
    <w:div w:id="1872105649">
      <w:bodyDiv w:val="1"/>
      <w:marLeft w:val="0"/>
      <w:marRight w:val="0"/>
      <w:marTop w:val="0"/>
      <w:marBottom w:val="0"/>
      <w:divBdr>
        <w:top w:val="none" w:sz="0" w:space="0" w:color="auto"/>
        <w:left w:val="none" w:sz="0" w:space="0" w:color="auto"/>
        <w:bottom w:val="none" w:sz="0" w:space="0" w:color="auto"/>
        <w:right w:val="none" w:sz="0" w:space="0" w:color="auto"/>
      </w:divBdr>
    </w:div>
    <w:div w:id="1873222391">
      <w:bodyDiv w:val="1"/>
      <w:marLeft w:val="0"/>
      <w:marRight w:val="0"/>
      <w:marTop w:val="0"/>
      <w:marBottom w:val="0"/>
      <w:divBdr>
        <w:top w:val="none" w:sz="0" w:space="0" w:color="auto"/>
        <w:left w:val="none" w:sz="0" w:space="0" w:color="auto"/>
        <w:bottom w:val="none" w:sz="0" w:space="0" w:color="auto"/>
        <w:right w:val="none" w:sz="0" w:space="0" w:color="auto"/>
      </w:divBdr>
    </w:div>
    <w:div w:id="1884052653">
      <w:bodyDiv w:val="1"/>
      <w:marLeft w:val="0"/>
      <w:marRight w:val="0"/>
      <w:marTop w:val="0"/>
      <w:marBottom w:val="0"/>
      <w:divBdr>
        <w:top w:val="none" w:sz="0" w:space="0" w:color="auto"/>
        <w:left w:val="none" w:sz="0" w:space="0" w:color="auto"/>
        <w:bottom w:val="none" w:sz="0" w:space="0" w:color="auto"/>
        <w:right w:val="none" w:sz="0" w:space="0" w:color="auto"/>
      </w:divBdr>
      <w:divsChild>
        <w:div w:id="834615613">
          <w:marLeft w:val="850"/>
          <w:marRight w:val="0"/>
          <w:marTop w:val="0"/>
          <w:marBottom w:val="120"/>
          <w:divBdr>
            <w:top w:val="none" w:sz="0" w:space="0" w:color="auto"/>
            <w:left w:val="none" w:sz="0" w:space="0" w:color="auto"/>
            <w:bottom w:val="none" w:sz="0" w:space="0" w:color="auto"/>
            <w:right w:val="none" w:sz="0" w:space="0" w:color="auto"/>
          </w:divBdr>
        </w:div>
        <w:div w:id="1219827241">
          <w:marLeft w:val="850"/>
          <w:marRight w:val="0"/>
          <w:marTop w:val="0"/>
          <w:marBottom w:val="120"/>
          <w:divBdr>
            <w:top w:val="none" w:sz="0" w:space="0" w:color="auto"/>
            <w:left w:val="none" w:sz="0" w:space="0" w:color="auto"/>
            <w:bottom w:val="none" w:sz="0" w:space="0" w:color="auto"/>
            <w:right w:val="none" w:sz="0" w:space="0" w:color="auto"/>
          </w:divBdr>
        </w:div>
        <w:div w:id="1779368800">
          <w:marLeft w:val="850"/>
          <w:marRight w:val="0"/>
          <w:marTop w:val="0"/>
          <w:marBottom w:val="120"/>
          <w:divBdr>
            <w:top w:val="none" w:sz="0" w:space="0" w:color="auto"/>
            <w:left w:val="none" w:sz="0" w:space="0" w:color="auto"/>
            <w:bottom w:val="none" w:sz="0" w:space="0" w:color="auto"/>
            <w:right w:val="none" w:sz="0" w:space="0" w:color="auto"/>
          </w:divBdr>
        </w:div>
      </w:divsChild>
    </w:div>
    <w:div w:id="1886020411">
      <w:bodyDiv w:val="1"/>
      <w:marLeft w:val="0"/>
      <w:marRight w:val="0"/>
      <w:marTop w:val="0"/>
      <w:marBottom w:val="0"/>
      <w:divBdr>
        <w:top w:val="none" w:sz="0" w:space="0" w:color="auto"/>
        <w:left w:val="none" w:sz="0" w:space="0" w:color="auto"/>
        <w:bottom w:val="none" w:sz="0" w:space="0" w:color="auto"/>
        <w:right w:val="none" w:sz="0" w:space="0" w:color="auto"/>
      </w:divBdr>
    </w:div>
    <w:div w:id="1891921202">
      <w:bodyDiv w:val="1"/>
      <w:marLeft w:val="0"/>
      <w:marRight w:val="0"/>
      <w:marTop w:val="0"/>
      <w:marBottom w:val="0"/>
      <w:divBdr>
        <w:top w:val="none" w:sz="0" w:space="0" w:color="auto"/>
        <w:left w:val="none" w:sz="0" w:space="0" w:color="auto"/>
        <w:bottom w:val="none" w:sz="0" w:space="0" w:color="auto"/>
        <w:right w:val="none" w:sz="0" w:space="0" w:color="auto"/>
      </w:divBdr>
    </w:div>
    <w:div w:id="1893883090">
      <w:bodyDiv w:val="1"/>
      <w:marLeft w:val="0"/>
      <w:marRight w:val="0"/>
      <w:marTop w:val="0"/>
      <w:marBottom w:val="0"/>
      <w:divBdr>
        <w:top w:val="none" w:sz="0" w:space="0" w:color="auto"/>
        <w:left w:val="none" w:sz="0" w:space="0" w:color="auto"/>
        <w:bottom w:val="none" w:sz="0" w:space="0" w:color="auto"/>
        <w:right w:val="none" w:sz="0" w:space="0" w:color="auto"/>
      </w:divBdr>
    </w:div>
    <w:div w:id="1895005327">
      <w:bodyDiv w:val="1"/>
      <w:marLeft w:val="0"/>
      <w:marRight w:val="0"/>
      <w:marTop w:val="0"/>
      <w:marBottom w:val="0"/>
      <w:divBdr>
        <w:top w:val="none" w:sz="0" w:space="0" w:color="auto"/>
        <w:left w:val="none" w:sz="0" w:space="0" w:color="auto"/>
        <w:bottom w:val="none" w:sz="0" w:space="0" w:color="auto"/>
        <w:right w:val="none" w:sz="0" w:space="0" w:color="auto"/>
      </w:divBdr>
    </w:div>
    <w:div w:id="1895039125">
      <w:bodyDiv w:val="1"/>
      <w:marLeft w:val="0"/>
      <w:marRight w:val="0"/>
      <w:marTop w:val="0"/>
      <w:marBottom w:val="0"/>
      <w:divBdr>
        <w:top w:val="none" w:sz="0" w:space="0" w:color="auto"/>
        <w:left w:val="none" w:sz="0" w:space="0" w:color="auto"/>
        <w:bottom w:val="none" w:sz="0" w:space="0" w:color="auto"/>
        <w:right w:val="none" w:sz="0" w:space="0" w:color="auto"/>
      </w:divBdr>
    </w:div>
    <w:div w:id="1896161955">
      <w:bodyDiv w:val="1"/>
      <w:marLeft w:val="0"/>
      <w:marRight w:val="0"/>
      <w:marTop w:val="0"/>
      <w:marBottom w:val="0"/>
      <w:divBdr>
        <w:top w:val="none" w:sz="0" w:space="0" w:color="auto"/>
        <w:left w:val="none" w:sz="0" w:space="0" w:color="auto"/>
        <w:bottom w:val="none" w:sz="0" w:space="0" w:color="auto"/>
        <w:right w:val="none" w:sz="0" w:space="0" w:color="auto"/>
      </w:divBdr>
    </w:div>
    <w:div w:id="1900702859">
      <w:bodyDiv w:val="1"/>
      <w:marLeft w:val="0"/>
      <w:marRight w:val="0"/>
      <w:marTop w:val="0"/>
      <w:marBottom w:val="0"/>
      <w:divBdr>
        <w:top w:val="none" w:sz="0" w:space="0" w:color="auto"/>
        <w:left w:val="none" w:sz="0" w:space="0" w:color="auto"/>
        <w:bottom w:val="none" w:sz="0" w:space="0" w:color="auto"/>
        <w:right w:val="none" w:sz="0" w:space="0" w:color="auto"/>
      </w:divBdr>
    </w:div>
    <w:div w:id="1901593910">
      <w:bodyDiv w:val="1"/>
      <w:marLeft w:val="0"/>
      <w:marRight w:val="0"/>
      <w:marTop w:val="0"/>
      <w:marBottom w:val="0"/>
      <w:divBdr>
        <w:top w:val="none" w:sz="0" w:space="0" w:color="auto"/>
        <w:left w:val="none" w:sz="0" w:space="0" w:color="auto"/>
        <w:bottom w:val="none" w:sz="0" w:space="0" w:color="auto"/>
        <w:right w:val="none" w:sz="0" w:space="0" w:color="auto"/>
      </w:divBdr>
    </w:div>
    <w:div w:id="1903369387">
      <w:bodyDiv w:val="1"/>
      <w:marLeft w:val="0"/>
      <w:marRight w:val="0"/>
      <w:marTop w:val="0"/>
      <w:marBottom w:val="0"/>
      <w:divBdr>
        <w:top w:val="none" w:sz="0" w:space="0" w:color="auto"/>
        <w:left w:val="none" w:sz="0" w:space="0" w:color="auto"/>
        <w:bottom w:val="none" w:sz="0" w:space="0" w:color="auto"/>
        <w:right w:val="none" w:sz="0" w:space="0" w:color="auto"/>
      </w:divBdr>
    </w:div>
    <w:div w:id="1914856784">
      <w:bodyDiv w:val="1"/>
      <w:marLeft w:val="0"/>
      <w:marRight w:val="0"/>
      <w:marTop w:val="0"/>
      <w:marBottom w:val="0"/>
      <w:divBdr>
        <w:top w:val="none" w:sz="0" w:space="0" w:color="auto"/>
        <w:left w:val="none" w:sz="0" w:space="0" w:color="auto"/>
        <w:bottom w:val="none" w:sz="0" w:space="0" w:color="auto"/>
        <w:right w:val="none" w:sz="0" w:space="0" w:color="auto"/>
      </w:divBdr>
    </w:div>
    <w:div w:id="1923220525">
      <w:bodyDiv w:val="1"/>
      <w:marLeft w:val="0"/>
      <w:marRight w:val="0"/>
      <w:marTop w:val="0"/>
      <w:marBottom w:val="0"/>
      <w:divBdr>
        <w:top w:val="none" w:sz="0" w:space="0" w:color="auto"/>
        <w:left w:val="none" w:sz="0" w:space="0" w:color="auto"/>
        <w:bottom w:val="none" w:sz="0" w:space="0" w:color="auto"/>
        <w:right w:val="none" w:sz="0" w:space="0" w:color="auto"/>
      </w:divBdr>
    </w:div>
    <w:div w:id="1925650804">
      <w:bodyDiv w:val="1"/>
      <w:marLeft w:val="0"/>
      <w:marRight w:val="0"/>
      <w:marTop w:val="0"/>
      <w:marBottom w:val="0"/>
      <w:divBdr>
        <w:top w:val="none" w:sz="0" w:space="0" w:color="auto"/>
        <w:left w:val="none" w:sz="0" w:space="0" w:color="auto"/>
        <w:bottom w:val="none" w:sz="0" w:space="0" w:color="auto"/>
        <w:right w:val="none" w:sz="0" w:space="0" w:color="auto"/>
      </w:divBdr>
    </w:div>
    <w:div w:id="1930000319">
      <w:bodyDiv w:val="1"/>
      <w:marLeft w:val="0"/>
      <w:marRight w:val="0"/>
      <w:marTop w:val="0"/>
      <w:marBottom w:val="0"/>
      <w:divBdr>
        <w:top w:val="none" w:sz="0" w:space="0" w:color="auto"/>
        <w:left w:val="none" w:sz="0" w:space="0" w:color="auto"/>
        <w:bottom w:val="none" w:sz="0" w:space="0" w:color="auto"/>
        <w:right w:val="none" w:sz="0" w:space="0" w:color="auto"/>
      </w:divBdr>
    </w:div>
    <w:div w:id="1938172768">
      <w:bodyDiv w:val="1"/>
      <w:marLeft w:val="0"/>
      <w:marRight w:val="0"/>
      <w:marTop w:val="0"/>
      <w:marBottom w:val="0"/>
      <w:divBdr>
        <w:top w:val="none" w:sz="0" w:space="0" w:color="auto"/>
        <w:left w:val="none" w:sz="0" w:space="0" w:color="auto"/>
        <w:bottom w:val="none" w:sz="0" w:space="0" w:color="auto"/>
        <w:right w:val="none" w:sz="0" w:space="0" w:color="auto"/>
      </w:divBdr>
    </w:div>
    <w:div w:id="1938294317">
      <w:bodyDiv w:val="1"/>
      <w:marLeft w:val="0"/>
      <w:marRight w:val="0"/>
      <w:marTop w:val="0"/>
      <w:marBottom w:val="0"/>
      <w:divBdr>
        <w:top w:val="none" w:sz="0" w:space="0" w:color="auto"/>
        <w:left w:val="none" w:sz="0" w:space="0" w:color="auto"/>
        <w:bottom w:val="none" w:sz="0" w:space="0" w:color="auto"/>
        <w:right w:val="none" w:sz="0" w:space="0" w:color="auto"/>
      </w:divBdr>
    </w:div>
    <w:div w:id="1940016016">
      <w:bodyDiv w:val="1"/>
      <w:marLeft w:val="0"/>
      <w:marRight w:val="0"/>
      <w:marTop w:val="0"/>
      <w:marBottom w:val="0"/>
      <w:divBdr>
        <w:top w:val="none" w:sz="0" w:space="0" w:color="auto"/>
        <w:left w:val="none" w:sz="0" w:space="0" w:color="auto"/>
        <w:bottom w:val="none" w:sz="0" w:space="0" w:color="auto"/>
        <w:right w:val="none" w:sz="0" w:space="0" w:color="auto"/>
      </w:divBdr>
    </w:div>
    <w:div w:id="1942490519">
      <w:bodyDiv w:val="1"/>
      <w:marLeft w:val="0"/>
      <w:marRight w:val="0"/>
      <w:marTop w:val="0"/>
      <w:marBottom w:val="0"/>
      <w:divBdr>
        <w:top w:val="none" w:sz="0" w:space="0" w:color="auto"/>
        <w:left w:val="none" w:sz="0" w:space="0" w:color="auto"/>
        <w:bottom w:val="none" w:sz="0" w:space="0" w:color="auto"/>
        <w:right w:val="none" w:sz="0" w:space="0" w:color="auto"/>
      </w:divBdr>
    </w:div>
    <w:div w:id="1943298883">
      <w:bodyDiv w:val="1"/>
      <w:marLeft w:val="0"/>
      <w:marRight w:val="0"/>
      <w:marTop w:val="0"/>
      <w:marBottom w:val="0"/>
      <w:divBdr>
        <w:top w:val="none" w:sz="0" w:space="0" w:color="auto"/>
        <w:left w:val="none" w:sz="0" w:space="0" w:color="auto"/>
        <w:bottom w:val="none" w:sz="0" w:space="0" w:color="auto"/>
        <w:right w:val="none" w:sz="0" w:space="0" w:color="auto"/>
      </w:divBdr>
    </w:div>
    <w:div w:id="1945461138">
      <w:bodyDiv w:val="1"/>
      <w:marLeft w:val="0"/>
      <w:marRight w:val="0"/>
      <w:marTop w:val="0"/>
      <w:marBottom w:val="0"/>
      <w:divBdr>
        <w:top w:val="none" w:sz="0" w:space="0" w:color="auto"/>
        <w:left w:val="none" w:sz="0" w:space="0" w:color="auto"/>
        <w:bottom w:val="none" w:sz="0" w:space="0" w:color="auto"/>
        <w:right w:val="none" w:sz="0" w:space="0" w:color="auto"/>
      </w:divBdr>
    </w:div>
    <w:div w:id="1948200313">
      <w:bodyDiv w:val="1"/>
      <w:marLeft w:val="0"/>
      <w:marRight w:val="0"/>
      <w:marTop w:val="0"/>
      <w:marBottom w:val="0"/>
      <w:divBdr>
        <w:top w:val="none" w:sz="0" w:space="0" w:color="auto"/>
        <w:left w:val="none" w:sz="0" w:space="0" w:color="auto"/>
        <w:bottom w:val="none" w:sz="0" w:space="0" w:color="auto"/>
        <w:right w:val="none" w:sz="0" w:space="0" w:color="auto"/>
      </w:divBdr>
    </w:div>
    <w:div w:id="1950165915">
      <w:bodyDiv w:val="1"/>
      <w:marLeft w:val="0"/>
      <w:marRight w:val="0"/>
      <w:marTop w:val="0"/>
      <w:marBottom w:val="0"/>
      <w:divBdr>
        <w:top w:val="none" w:sz="0" w:space="0" w:color="auto"/>
        <w:left w:val="none" w:sz="0" w:space="0" w:color="auto"/>
        <w:bottom w:val="none" w:sz="0" w:space="0" w:color="auto"/>
        <w:right w:val="none" w:sz="0" w:space="0" w:color="auto"/>
      </w:divBdr>
    </w:div>
    <w:div w:id="1958248055">
      <w:bodyDiv w:val="1"/>
      <w:marLeft w:val="0"/>
      <w:marRight w:val="0"/>
      <w:marTop w:val="0"/>
      <w:marBottom w:val="0"/>
      <w:divBdr>
        <w:top w:val="none" w:sz="0" w:space="0" w:color="auto"/>
        <w:left w:val="none" w:sz="0" w:space="0" w:color="auto"/>
        <w:bottom w:val="none" w:sz="0" w:space="0" w:color="auto"/>
        <w:right w:val="none" w:sz="0" w:space="0" w:color="auto"/>
      </w:divBdr>
    </w:div>
    <w:div w:id="1958758736">
      <w:bodyDiv w:val="1"/>
      <w:marLeft w:val="0"/>
      <w:marRight w:val="0"/>
      <w:marTop w:val="0"/>
      <w:marBottom w:val="0"/>
      <w:divBdr>
        <w:top w:val="none" w:sz="0" w:space="0" w:color="auto"/>
        <w:left w:val="none" w:sz="0" w:space="0" w:color="auto"/>
        <w:bottom w:val="none" w:sz="0" w:space="0" w:color="auto"/>
        <w:right w:val="none" w:sz="0" w:space="0" w:color="auto"/>
      </w:divBdr>
    </w:div>
    <w:div w:id="1960525284">
      <w:bodyDiv w:val="1"/>
      <w:marLeft w:val="0"/>
      <w:marRight w:val="0"/>
      <w:marTop w:val="0"/>
      <w:marBottom w:val="0"/>
      <w:divBdr>
        <w:top w:val="none" w:sz="0" w:space="0" w:color="auto"/>
        <w:left w:val="none" w:sz="0" w:space="0" w:color="auto"/>
        <w:bottom w:val="none" w:sz="0" w:space="0" w:color="auto"/>
        <w:right w:val="none" w:sz="0" w:space="0" w:color="auto"/>
      </w:divBdr>
    </w:div>
    <w:div w:id="1961841101">
      <w:bodyDiv w:val="1"/>
      <w:marLeft w:val="0"/>
      <w:marRight w:val="0"/>
      <w:marTop w:val="0"/>
      <w:marBottom w:val="0"/>
      <w:divBdr>
        <w:top w:val="none" w:sz="0" w:space="0" w:color="auto"/>
        <w:left w:val="none" w:sz="0" w:space="0" w:color="auto"/>
        <w:bottom w:val="none" w:sz="0" w:space="0" w:color="auto"/>
        <w:right w:val="none" w:sz="0" w:space="0" w:color="auto"/>
      </w:divBdr>
    </w:div>
    <w:div w:id="1962422140">
      <w:bodyDiv w:val="1"/>
      <w:marLeft w:val="0"/>
      <w:marRight w:val="0"/>
      <w:marTop w:val="0"/>
      <w:marBottom w:val="0"/>
      <w:divBdr>
        <w:top w:val="none" w:sz="0" w:space="0" w:color="auto"/>
        <w:left w:val="none" w:sz="0" w:space="0" w:color="auto"/>
        <w:bottom w:val="none" w:sz="0" w:space="0" w:color="auto"/>
        <w:right w:val="none" w:sz="0" w:space="0" w:color="auto"/>
      </w:divBdr>
    </w:div>
    <w:div w:id="1964535894">
      <w:bodyDiv w:val="1"/>
      <w:marLeft w:val="0"/>
      <w:marRight w:val="0"/>
      <w:marTop w:val="0"/>
      <w:marBottom w:val="0"/>
      <w:divBdr>
        <w:top w:val="none" w:sz="0" w:space="0" w:color="auto"/>
        <w:left w:val="none" w:sz="0" w:space="0" w:color="auto"/>
        <w:bottom w:val="none" w:sz="0" w:space="0" w:color="auto"/>
        <w:right w:val="none" w:sz="0" w:space="0" w:color="auto"/>
      </w:divBdr>
    </w:div>
    <w:div w:id="1979993848">
      <w:bodyDiv w:val="1"/>
      <w:marLeft w:val="0"/>
      <w:marRight w:val="0"/>
      <w:marTop w:val="0"/>
      <w:marBottom w:val="0"/>
      <w:divBdr>
        <w:top w:val="none" w:sz="0" w:space="0" w:color="auto"/>
        <w:left w:val="none" w:sz="0" w:space="0" w:color="auto"/>
        <w:bottom w:val="none" w:sz="0" w:space="0" w:color="auto"/>
        <w:right w:val="none" w:sz="0" w:space="0" w:color="auto"/>
      </w:divBdr>
    </w:div>
    <w:div w:id="1981615957">
      <w:bodyDiv w:val="1"/>
      <w:marLeft w:val="0"/>
      <w:marRight w:val="0"/>
      <w:marTop w:val="0"/>
      <w:marBottom w:val="0"/>
      <w:divBdr>
        <w:top w:val="none" w:sz="0" w:space="0" w:color="auto"/>
        <w:left w:val="none" w:sz="0" w:space="0" w:color="auto"/>
        <w:bottom w:val="none" w:sz="0" w:space="0" w:color="auto"/>
        <w:right w:val="none" w:sz="0" w:space="0" w:color="auto"/>
      </w:divBdr>
    </w:div>
    <w:div w:id="1981956882">
      <w:bodyDiv w:val="1"/>
      <w:marLeft w:val="0"/>
      <w:marRight w:val="0"/>
      <w:marTop w:val="0"/>
      <w:marBottom w:val="0"/>
      <w:divBdr>
        <w:top w:val="none" w:sz="0" w:space="0" w:color="auto"/>
        <w:left w:val="none" w:sz="0" w:space="0" w:color="auto"/>
        <w:bottom w:val="none" w:sz="0" w:space="0" w:color="auto"/>
        <w:right w:val="none" w:sz="0" w:space="0" w:color="auto"/>
      </w:divBdr>
    </w:div>
    <w:div w:id="1982148416">
      <w:bodyDiv w:val="1"/>
      <w:marLeft w:val="0"/>
      <w:marRight w:val="0"/>
      <w:marTop w:val="0"/>
      <w:marBottom w:val="0"/>
      <w:divBdr>
        <w:top w:val="none" w:sz="0" w:space="0" w:color="auto"/>
        <w:left w:val="none" w:sz="0" w:space="0" w:color="auto"/>
        <w:bottom w:val="none" w:sz="0" w:space="0" w:color="auto"/>
        <w:right w:val="none" w:sz="0" w:space="0" w:color="auto"/>
      </w:divBdr>
    </w:div>
    <w:div w:id="1982809040">
      <w:bodyDiv w:val="1"/>
      <w:marLeft w:val="0"/>
      <w:marRight w:val="0"/>
      <w:marTop w:val="0"/>
      <w:marBottom w:val="0"/>
      <w:divBdr>
        <w:top w:val="none" w:sz="0" w:space="0" w:color="auto"/>
        <w:left w:val="none" w:sz="0" w:space="0" w:color="auto"/>
        <w:bottom w:val="none" w:sz="0" w:space="0" w:color="auto"/>
        <w:right w:val="none" w:sz="0" w:space="0" w:color="auto"/>
      </w:divBdr>
    </w:div>
    <w:div w:id="1983341076">
      <w:bodyDiv w:val="1"/>
      <w:marLeft w:val="0"/>
      <w:marRight w:val="0"/>
      <w:marTop w:val="0"/>
      <w:marBottom w:val="0"/>
      <w:divBdr>
        <w:top w:val="none" w:sz="0" w:space="0" w:color="auto"/>
        <w:left w:val="none" w:sz="0" w:space="0" w:color="auto"/>
        <w:bottom w:val="none" w:sz="0" w:space="0" w:color="auto"/>
        <w:right w:val="none" w:sz="0" w:space="0" w:color="auto"/>
      </w:divBdr>
    </w:div>
    <w:div w:id="1991443476">
      <w:bodyDiv w:val="1"/>
      <w:marLeft w:val="0"/>
      <w:marRight w:val="0"/>
      <w:marTop w:val="0"/>
      <w:marBottom w:val="0"/>
      <w:divBdr>
        <w:top w:val="none" w:sz="0" w:space="0" w:color="auto"/>
        <w:left w:val="none" w:sz="0" w:space="0" w:color="auto"/>
        <w:bottom w:val="none" w:sz="0" w:space="0" w:color="auto"/>
        <w:right w:val="none" w:sz="0" w:space="0" w:color="auto"/>
      </w:divBdr>
    </w:div>
    <w:div w:id="1996254368">
      <w:bodyDiv w:val="1"/>
      <w:marLeft w:val="0"/>
      <w:marRight w:val="0"/>
      <w:marTop w:val="0"/>
      <w:marBottom w:val="0"/>
      <w:divBdr>
        <w:top w:val="none" w:sz="0" w:space="0" w:color="auto"/>
        <w:left w:val="none" w:sz="0" w:space="0" w:color="auto"/>
        <w:bottom w:val="none" w:sz="0" w:space="0" w:color="auto"/>
        <w:right w:val="none" w:sz="0" w:space="0" w:color="auto"/>
      </w:divBdr>
    </w:div>
    <w:div w:id="1998804134">
      <w:bodyDiv w:val="1"/>
      <w:marLeft w:val="0"/>
      <w:marRight w:val="0"/>
      <w:marTop w:val="0"/>
      <w:marBottom w:val="0"/>
      <w:divBdr>
        <w:top w:val="none" w:sz="0" w:space="0" w:color="auto"/>
        <w:left w:val="none" w:sz="0" w:space="0" w:color="auto"/>
        <w:bottom w:val="none" w:sz="0" w:space="0" w:color="auto"/>
        <w:right w:val="none" w:sz="0" w:space="0" w:color="auto"/>
      </w:divBdr>
    </w:div>
    <w:div w:id="1999112410">
      <w:bodyDiv w:val="1"/>
      <w:marLeft w:val="0"/>
      <w:marRight w:val="0"/>
      <w:marTop w:val="0"/>
      <w:marBottom w:val="0"/>
      <w:divBdr>
        <w:top w:val="none" w:sz="0" w:space="0" w:color="auto"/>
        <w:left w:val="none" w:sz="0" w:space="0" w:color="auto"/>
        <w:bottom w:val="none" w:sz="0" w:space="0" w:color="auto"/>
        <w:right w:val="none" w:sz="0" w:space="0" w:color="auto"/>
      </w:divBdr>
    </w:div>
    <w:div w:id="2001077120">
      <w:bodyDiv w:val="1"/>
      <w:marLeft w:val="0"/>
      <w:marRight w:val="0"/>
      <w:marTop w:val="0"/>
      <w:marBottom w:val="0"/>
      <w:divBdr>
        <w:top w:val="none" w:sz="0" w:space="0" w:color="auto"/>
        <w:left w:val="none" w:sz="0" w:space="0" w:color="auto"/>
        <w:bottom w:val="none" w:sz="0" w:space="0" w:color="auto"/>
        <w:right w:val="none" w:sz="0" w:space="0" w:color="auto"/>
      </w:divBdr>
    </w:div>
    <w:div w:id="2005549784">
      <w:bodyDiv w:val="1"/>
      <w:marLeft w:val="0"/>
      <w:marRight w:val="0"/>
      <w:marTop w:val="0"/>
      <w:marBottom w:val="0"/>
      <w:divBdr>
        <w:top w:val="none" w:sz="0" w:space="0" w:color="auto"/>
        <w:left w:val="none" w:sz="0" w:space="0" w:color="auto"/>
        <w:bottom w:val="none" w:sz="0" w:space="0" w:color="auto"/>
        <w:right w:val="none" w:sz="0" w:space="0" w:color="auto"/>
      </w:divBdr>
    </w:div>
    <w:div w:id="2006548016">
      <w:bodyDiv w:val="1"/>
      <w:marLeft w:val="0"/>
      <w:marRight w:val="0"/>
      <w:marTop w:val="0"/>
      <w:marBottom w:val="0"/>
      <w:divBdr>
        <w:top w:val="none" w:sz="0" w:space="0" w:color="auto"/>
        <w:left w:val="none" w:sz="0" w:space="0" w:color="auto"/>
        <w:bottom w:val="none" w:sz="0" w:space="0" w:color="auto"/>
        <w:right w:val="none" w:sz="0" w:space="0" w:color="auto"/>
      </w:divBdr>
    </w:div>
    <w:div w:id="2007315556">
      <w:bodyDiv w:val="1"/>
      <w:marLeft w:val="0"/>
      <w:marRight w:val="0"/>
      <w:marTop w:val="0"/>
      <w:marBottom w:val="0"/>
      <w:divBdr>
        <w:top w:val="none" w:sz="0" w:space="0" w:color="auto"/>
        <w:left w:val="none" w:sz="0" w:space="0" w:color="auto"/>
        <w:bottom w:val="none" w:sz="0" w:space="0" w:color="auto"/>
        <w:right w:val="none" w:sz="0" w:space="0" w:color="auto"/>
      </w:divBdr>
    </w:div>
    <w:div w:id="2011130674">
      <w:bodyDiv w:val="1"/>
      <w:marLeft w:val="0"/>
      <w:marRight w:val="0"/>
      <w:marTop w:val="0"/>
      <w:marBottom w:val="0"/>
      <w:divBdr>
        <w:top w:val="none" w:sz="0" w:space="0" w:color="auto"/>
        <w:left w:val="none" w:sz="0" w:space="0" w:color="auto"/>
        <w:bottom w:val="none" w:sz="0" w:space="0" w:color="auto"/>
        <w:right w:val="none" w:sz="0" w:space="0" w:color="auto"/>
      </w:divBdr>
    </w:div>
    <w:div w:id="2011519949">
      <w:bodyDiv w:val="1"/>
      <w:marLeft w:val="0"/>
      <w:marRight w:val="0"/>
      <w:marTop w:val="0"/>
      <w:marBottom w:val="0"/>
      <w:divBdr>
        <w:top w:val="none" w:sz="0" w:space="0" w:color="auto"/>
        <w:left w:val="none" w:sz="0" w:space="0" w:color="auto"/>
        <w:bottom w:val="none" w:sz="0" w:space="0" w:color="auto"/>
        <w:right w:val="none" w:sz="0" w:space="0" w:color="auto"/>
      </w:divBdr>
    </w:div>
    <w:div w:id="2011905180">
      <w:bodyDiv w:val="1"/>
      <w:marLeft w:val="0"/>
      <w:marRight w:val="0"/>
      <w:marTop w:val="0"/>
      <w:marBottom w:val="0"/>
      <w:divBdr>
        <w:top w:val="none" w:sz="0" w:space="0" w:color="auto"/>
        <w:left w:val="none" w:sz="0" w:space="0" w:color="auto"/>
        <w:bottom w:val="none" w:sz="0" w:space="0" w:color="auto"/>
        <w:right w:val="none" w:sz="0" w:space="0" w:color="auto"/>
      </w:divBdr>
    </w:div>
    <w:div w:id="2020037082">
      <w:bodyDiv w:val="1"/>
      <w:marLeft w:val="0"/>
      <w:marRight w:val="0"/>
      <w:marTop w:val="0"/>
      <w:marBottom w:val="0"/>
      <w:divBdr>
        <w:top w:val="none" w:sz="0" w:space="0" w:color="auto"/>
        <w:left w:val="none" w:sz="0" w:space="0" w:color="auto"/>
        <w:bottom w:val="none" w:sz="0" w:space="0" w:color="auto"/>
        <w:right w:val="none" w:sz="0" w:space="0" w:color="auto"/>
      </w:divBdr>
    </w:div>
    <w:div w:id="2021424846">
      <w:bodyDiv w:val="1"/>
      <w:marLeft w:val="0"/>
      <w:marRight w:val="0"/>
      <w:marTop w:val="0"/>
      <w:marBottom w:val="0"/>
      <w:divBdr>
        <w:top w:val="none" w:sz="0" w:space="0" w:color="auto"/>
        <w:left w:val="none" w:sz="0" w:space="0" w:color="auto"/>
        <w:bottom w:val="none" w:sz="0" w:space="0" w:color="auto"/>
        <w:right w:val="none" w:sz="0" w:space="0" w:color="auto"/>
      </w:divBdr>
    </w:div>
    <w:div w:id="2026325724">
      <w:bodyDiv w:val="1"/>
      <w:marLeft w:val="0"/>
      <w:marRight w:val="0"/>
      <w:marTop w:val="0"/>
      <w:marBottom w:val="0"/>
      <w:divBdr>
        <w:top w:val="none" w:sz="0" w:space="0" w:color="auto"/>
        <w:left w:val="none" w:sz="0" w:space="0" w:color="auto"/>
        <w:bottom w:val="none" w:sz="0" w:space="0" w:color="auto"/>
        <w:right w:val="none" w:sz="0" w:space="0" w:color="auto"/>
      </w:divBdr>
    </w:div>
    <w:div w:id="2028409880">
      <w:bodyDiv w:val="1"/>
      <w:marLeft w:val="0"/>
      <w:marRight w:val="0"/>
      <w:marTop w:val="0"/>
      <w:marBottom w:val="0"/>
      <w:divBdr>
        <w:top w:val="none" w:sz="0" w:space="0" w:color="auto"/>
        <w:left w:val="none" w:sz="0" w:space="0" w:color="auto"/>
        <w:bottom w:val="none" w:sz="0" w:space="0" w:color="auto"/>
        <w:right w:val="none" w:sz="0" w:space="0" w:color="auto"/>
      </w:divBdr>
    </w:div>
    <w:div w:id="2030325557">
      <w:bodyDiv w:val="1"/>
      <w:marLeft w:val="0"/>
      <w:marRight w:val="0"/>
      <w:marTop w:val="0"/>
      <w:marBottom w:val="0"/>
      <w:divBdr>
        <w:top w:val="none" w:sz="0" w:space="0" w:color="auto"/>
        <w:left w:val="none" w:sz="0" w:space="0" w:color="auto"/>
        <w:bottom w:val="none" w:sz="0" w:space="0" w:color="auto"/>
        <w:right w:val="none" w:sz="0" w:space="0" w:color="auto"/>
      </w:divBdr>
    </w:div>
    <w:div w:id="2031712010">
      <w:bodyDiv w:val="1"/>
      <w:marLeft w:val="0"/>
      <w:marRight w:val="0"/>
      <w:marTop w:val="0"/>
      <w:marBottom w:val="0"/>
      <w:divBdr>
        <w:top w:val="none" w:sz="0" w:space="0" w:color="auto"/>
        <w:left w:val="none" w:sz="0" w:space="0" w:color="auto"/>
        <w:bottom w:val="none" w:sz="0" w:space="0" w:color="auto"/>
        <w:right w:val="none" w:sz="0" w:space="0" w:color="auto"/>
      </w:divBdr>
    </w:div>
    <w:div w:id="2033917083">
      <w:bodyDiv w:val="1"/>
      <w:marLeft w:val="0"/>
      <w:marRight w:val="0"/>
      <w:marTop w:val="0"/>
      <w:marBottom w:val="0"/>
      <w:divBdr>
        <w:top w:val="none" w:sz="0" w:space="0" w:color="auto"/>
        <w:left w:val="none" w:sz="0" w:space="0" w:color="auto"/>
        <w:bottom w:val="none" w:sz="0" w:space="0" w:color="auto"/>
        <w:right w:val="none" w:sz="0" w:space="0" w:color="auto"/>
      </w:divBdr>
    </w:div>
    <w:div w:id="2034645951">
      <w:bodyDiv w:val="1"/>
      <w:marLeft w:val="0"/>
      <w:marRight w:val="0"/>
      <w:marTop w:val="0"/>
      <w:marBottom w:val="0"/>
      <w:divBdr>
        <w:top w:val="none" w:sz="0" w:space="0" w:color="auto"/>
        <w:left w:val="none" w:sz="0" w:space="0" w:color="auto"/>
        <w:bottom w:val="none" w:sz="0" w:space="0" w:color="auto"/>
        <w:right w:val="none" w:sz="0" w:space="0" w:color="auto"/>
      </w:divBdr>
    </w:div>
    <w:div w:id="2036080697">
      <w:bodyDiv w:val="1"/>
      <w:marLeft w:val="0"/>
      <w:marRight w:val="0"/>
      <w:marTop w:val="0"/>
      <w:marBottom w:val="0"/>
      <w:divBdr>
        <w:top w:val="none" w:sz="0" w:space="0" w:color="auto"/>
        <w:left w:val="none" w:sz="0" w:space="0" w:color="auto"/>
        <w:bottom w:val="none" w:sz="0" w:space="0" w:color="auto"/>
        <w:right w:val="none" w:sz="0" w:space="0" w:color="auto"/>
      </w:divBdr>
    </w:div>
    <w:div w:id="2051108743">
      <w:bodyDiv w:val="1"/>
      <w:marLeft w:val="0"/>
      <w:marRight w:val="0"/>
      <w:marTop w:val="0"/>
      <w:marBottom w:val="0"/>
      <w:divBdr>
        <w:top w:val="none" w:sz="0" w:space="0" w:color="auto"/>
        <w:left w:val="none" w:sz="0" w:space="0" w:color="auto"/>
        <w:bottom w:val="none" w:sz="0" w:space="0" w:color="auto"/>
        <w:right w:val="none" w:sz="0" w:space="0" w:color="auto"/>
      </w:divBdr>
    </w:div>
    <w:div w:id="2053571053">
      <w:bodyDiv w:val="1"/>
      <w:marLeft w:val="0"/>
      <w:marRight w:val="0"/>
      <w:marTop w:val="0"/>
      <w:marBottom w:val="0"/>
      <w:divBdr>
        <w:top w:val="none" w:sz="0" w:space="0" w:color="auto"/>
        <w:left w:val="none" w:sz="0" w:space="0" w:color="auto"/>
        <w:bottom w:val="none" w:sz="0" w:space="0" w:color="auto"/>
        <w:right w:val="none" w:sz="0" w:space="0" w:color="auto"/>
      </w:divBdr>
    </w:div>
    <w:div w:id="2053996242">
      <w:bodyDiv w:val="1"/>
      <w:marLeft w:val="0"/>
      <w:marRight w:val="0"/>
      <w:marTop w:val="0"/>
      <w:marBottom w:val="0"/>
      <w:divBdr>
        <w:top w:val="none" w:sz="0" w:space="0" w:color="auto"/>
        <w:left w:val="none" w:sz="0" w:space="0" w:color="auto"/>
        <w:bottom w:val="none" w:sz="0" w:space="0" w:color="auto"/>
        <w:right w:val="none" w:sz="0" w:space="0" w:color="auto"/>
      </w:divBdr>
    </w:div>
    <w:div w:id="2054501375">
      <w:bodyDiv w:val="1"/>
      <w:marLeft w:val="0"/>
      <w:marRight w:val="0"/>
      <w:marTop w:val="0"/>
      <w:marBottom w:val="0"/>
      <w:divBdr>
        <w:top w:val="none" w:sz="0" w:space="0" w:color="auto"/>
        <w:left w:val="none" w:sz="0" w:space="0" w:color="auto"/>
        <w:bottom w:val="none" w:sz="0" w:space="0" w:color="auto"/>
        <w:right w:val="none" w:sz="0" w:space="0" w:color="auto"/>
      </w:divBdr>
    </w:div>
    <w:div w:id="2055500134">
      <w:bodyDiv w:val="1"/>
      <w:marLeft w:val="0"/>
      <w:marRight w:val="0"/>
      <w:marTop w:val="0"/>
      <w:marBottom w:val="0"/>
      <w:divBdr>
        <w:top w:val="none" w:sz="0" w:space="0" w:color="auto"/>
        <w:left w:val="none" w:sz="0" w:space="0" w:color="auto"/>
        <w:bottom w:val="none" w:sz="0" w:space="0" w:color="auto"/>
        <w:right w:val="none" w:sz="0" w:space="0" w:color="auto"/>
      </w:divBdr>
    </w:div>
    <w:div w:id="2058895957">
      <w:bodyDiv w:val="1"/>
      <w:marLeft w:val="0"/>
      <w:marRight w:val="0"/>
      <w:marTop w:val="0"/>
      <w:marBottom w:val="0"/>
      <w:divBdr>
        <w:top w:val="none" w:sz="0" w:space="0" w:color="auto"/>
        <w:left w:val="none" w:sz="0" w:space="0" w:color="auto"/>
        <w:bottom w:val="none" w:sz="0" w:space="0" w:color="auto"/>
        <w:right w:val="none" w:sz="0" w:space="0" w:color="auto"/>
      </w:divBdr>
    </w:div>
    <w:div w:id="2059237240">
      <w:bodyDiv w:val="1"/>
      <w:marLeft w:val="0"/>
      <w:marRight w:val="0"/>
      <w:marTop w:val="0"/>
      <w:marBottom w:val="0"/>
      <w:divBdr>
        <w:top w:val="none" w:sz="0" w:space="0" w:color="auto"/>
        <w:left w:val="none" w:sz="0" w:space="0" w:color="auto"/>
        <w:bottom w:val="none" w:sz="0" w:space="0" w:color="auto"/>
        <w:right w:val="none" w:sz="0" w:space="0" w:color="auto"/>
      </w:divBdr>
    </w:div>
    <w:div w:id="2064062772">
      <w:bodyDiv w:val="1"/>
      <w:marLeft w:val="0"/>
      <w:marRight w:val="0"/>
      <w:marTop w:val="0"/>
      <w:marBottom w:val="0"/>
      <w:divBdr>
        <w:top w:val="none" w:sz="0" w:space="0" w:color="auto"/>
        <w:left w:val="none" w:sz="0" w:space="0" w:color="auto"/>
        <w:bottom w:val="none" w:sz="0" w:space="0" w:color="auto"/>
        <w:right w:val="none" w:sz="0" w:space="0" w:color="auto"/>
      </w:divBdr>
    </w:div>
    <w:div w:id="2071346357">
      <w:bodyDiv w:val="1"/>
      <w:marLeft w:val="0"/>
      <w:marRight w:val="0"/>
      <w:marTop w:val="0"/>
      <w:marBottom w:val="0"/>
      <w:divBdr>
        <w:top w:val="none" w:sz="0" w:space="0" w:color="auto"/>
        <w:left w:val="none" w:sz="0" w:space="0" w:color="auto"/>
        <w:bottom w:val="none" w:sz="0" w:space="0" w:color="auto"/>
        <w:right w:val="none" w:sz="0" w:space="0" w:color="auto"/>
      </w:divBdr>
    </w:div>
    <w:div w:id="2072650551">
      <w:bodyDiv w:val="1"/>
      <w:marLeft w:val="0"/>
      <w:marRight w:val="0"/>
      <w:marTop w:val="0"/>
      <w:marBottom w:val="0"/>
      <w:divBdr>
        <w:top w:val="none" w:sz="0" w:space="0" w:color="auto"/>
        <w:left w:val="none" w:sz="0" w:space="0" w:color="auto"/>
        <w:bottom w:val="none" w:sz="0" w:space="0" w:color="auto"/>
        <w:right w:val="none" w:sz="0" w:space="0" w:color="auto"/>
      </w:divBdr>
    </w:div>
    <w:div w:id="2077127673">
      <w:bodyDiv w:val="1"/>
      <w:marLeft w:val="0"/>
      <w:marRight w:val="0"/>
      <w:marTop w:val="0"/>
      <w:marBottom w:val="0"/>
      <w:divBdr>
        <w:top w:val="none" w:sz="0" w:space="0" w:color="auto"/>
        <w:left w:val="none" w:sz="0" w:space="0" w:color="auto"/>
        <w:bottom w:val="none" w:sz="0" w:space="0" w:color="auto"/>
        <w:right w:val="none" w:sz="0" w:space="0" w:color="auto"/>
      </w:divBdr>
    </w:div>
    <w:div w:id="2078043120">
      <w:bodyDiv w:val="1"/>
      <w:marLeft w:val="0"/>
      <w:marRight w:val="0"/>
      <w:marTop w:val="0"/>
      <w:marBottom w:val="0"/>
      <w:divBdr>
        <w:top w:val="none" w:sz="0" w:space="0" w:color="auto"/>
        <w:left w:val="none" w:sz="0" w:space="0" w:color="auto"/>
        <w:bottom w:val="none" w:sz="0" w:space="0" w:color="auto"/>
        <w:right w:val="none" w:sz="0" w:space="0" w:color="auto"/>
      </w:divBdr>
    </w:div>
    <w:div w:id="2078552979">
      <w:bodyDiv w:val="1"/>
      <w:marLeft w:val="0"/>
      <w:marRight w:val="0"/>
      <w:marTop w:val="0"/>
      <w:marBottom w:val="0"/>
      <w:divBdr>
        <w:top w:val="none" w:sz="0" w:space="0" w:color="auto"/>
        <w:left w:val="none" w:sz="0" w:space="0" w:color="auto"/>
        <w:bottom w:val="none" w:sz="0" w:space="0" w:color="auto"/>
        <w:right w:val="none" w:sz="0" w:space="0" w:color="auto"/>
      </w:divBdr>
    </w:div>
    <w:div w:id="2079404144">
      <w:bodyDiv w:val="1"/>
      <w:marLeft w:val="0"/>
      <w:marRight w:val="0"/>
      <w:marTop w:val="0"/>
      <w:marBottom w:val="0"/>
      <w:divBdr>
        <w:top w:val="none" w:sz="0" w:space="0" w:color="auto"/>
        <w:left w:val="none" w:sz="0" w:space="0" w:color="auto"/>
        <w:bottom w:val="none" w:sz="0" w:space="0" w:color="auto"/>
        <w:right w:val="none" w:sz="0" w:space="0" w:color="auto"/>
      </w:divBdr>
    </w:div>
    <w:div w:id="2095779103">
      <w:bodyDiv w:val="1"/>
      <w:marLeft w:val="0"/>
      <w:marRight w:val="0"/>
      <w:marTop w:val="0"/>
      <w:marBottom w:val="0"/>
      <w:divBdr>
        <w:top w:val="none" w:sz="0" w:space="0" w:color="auto"/>
        <w:left w:val="none" w:sz="0" w:space="0" w:color="auto"/>
        <w:bottom w:val="none" w:sz="0" w:space="0" w:color="auto"/>
        <w:right w:val="none" w:sz="0" w:space="0" w:color="auto"/>
      </w:divBdr>
    </w:div>
    <w:div w:id="2103840822">
      <w:bodyDiv w:val="1"/>
      <w:marLeft w:val="0"/>
      <w:marRight w:val="0"/>
      <w:marTop w:val="0"/>
      <w:marBottom w:val="0"/>
      <w:divBdr>
        <w:top w:val="none" w:sz="0" w:space="0" w:color="auto"/>
        <w:left w:val="none" w:sz="0" w:space="0" w:color="auto"/>
        <w:bottom w:val="none" w:sz="0" w:space="0" w:color="auto"/>
        <w:right w:val="none" w:sz="0" w:space="0" w:color="auto"/>
      </w:divBdr>
    </w:div>
    <w:div w:id="2105296223">
      <w:bodyDiv w:val="1"/>
      <w:marLeft w:val="0"/>
      <w:marRight w:val="0"/>
      <w:marTop w:val="0"/>
      <w:marBottom w:val="0"/>
      <w:divBdr>
        <w:top w:val="none" w:sz="0" w:space="0" w:color="auto"/>
        <w:left w:val="none" w:sz="0" w:space="0" w:color="auto"/>
        <w:bottom w:val="none" w:sz="0" w:space="0" w:color="auto"/>
        <w:right w:val="none" w:sz="0" w:space="0" w:color="auto"/>
      </w:divBdr>
    </w:div>
    <w:div w:id="2121413577">
      <w:bodyDiv w:val="1"/>
      <w:marLeft w:val="0"/>
      <w:marRight w:val="0"/>
      <w:marTop w:val="0"/>
      <w:marBottom w:val="0"/>
      <w:divBdr>
        <w:top w:val="none" w:sz="0" w:space="0" w:color="auto"/>
        <w:left w:val="none" w:sz="0" w:space="0" w:color="auto"/>
        <w:bottom w:val="none" w:sz="0" w:space="0" w:color="auto"/>
        <w:right w:val="none" w:sz="0" w:space="0" w:color="auto"/>
      </w:divBdr>
    </w:div>
    <w:div w:id="2125148873">
      <w:bodyDiv w:val="1"/>
      <w:marLeft w:val="0"/>
      <w:marRight w:val="0"/>
      <w:marTop w:val="0"/>
      <w:marBottom w:val="0"/>
      <w:divBdr>
        <w:top w:val="none" w:sz="0" w:space="0" w:color="auto"/>
        <w:left w:val="none" w:sz="0" w:space="0" w:color="auto"/>
        <w:bottom w:val="none" w:sz="0" w:space="0" w:color="auto"/>
        <w:right w:val="none" w:sz="0" w:space="0" w:color="auto"/>
      </w:divBdr>
    </w:div>
    <w:div w:id="2126607399">
      <w:bodyDiv w:val="1"/>
      <w:marLeft w:val="0"/>
      <w:marRight w:val="0"/>
      <w:marTop w:val="0"/>
      <w:marBottom w:val="0"/>
      <w:divBdr>
        <w:top w:val="none" w:sz="0" w:space="0" w:color="auto"/>
        <w:left w:val="none" w:sz="0" w:space="0" w:color="auto"/>
        <w:bottom w:val="none" w:sz="0" w:space="0" w:color="auto"/>
        <w:right w:val="none" w:sz="0" w:space="0" w:color="auto"/>
      </w:divBdr>
    </w:div>
    <w:div w:id="2127575270">
      <w:bodyDiv w:val="1"/>
      <w:marLeft w:val="0"/>
      <w:marRight w:val="0"/>
      <w:marTop w:val="0"/>
      <w:marBottom w:val="0"/>
      <w:divBdr>
        <w:top w:val="none" w:sz="0" w:space="0" w:color="auto"/>
        <w:left w:val="none" w:sz="0" w:space="0" w:color="auto"/>
        <w:bottom w:val="none" w:sz="0" w:space="0" w:color="auto"/>
        <w:right w:val="none" w:sz="0" w:space="0" w:color="auto"/>
      </w:divBdr>
    </w:div>
    <w:div w:id="2129424565">
      <w:bodyDiv w:val="1"/>
      <w:marLeft w:val="0"/>
      <w:marRight w:val="0"/>
      <w:marTop w:val="0"/>
      <w:marBottom w:val="0"/>
      <w:divBdr>
        <w:top w:val="none" w:sz="0" w:space="0" w:color="auto"/>
        <w:left w:val="none" w:sz="0" w:space="0" w:color="auto"/>
        <w:bottom w:val="none" w:sz="0" w:space="0" w:color="auto"/>
        <w:right w:val="none" w:sz="0" w:space="0" w:color="auto"/>
      </w:divBdr>
    </w:div>
    <w:div w:id="2136217046">
      <w:bodyDiv w:val="1"/>
      <w:marLeft w:val="0"/>
      <w:marRight w:val="0"/>
      <w:marTop w:val="0"/>
      <w:marBottom w:val="0"/>
      <w:divBdr>
        <w:top w:val="none" w:sz="0" w:space="0" w:color="auto"/>
        <w:left w:val="none" w:sz="0" w:space="0" w:color="auto"/>
        <w:bottom w:val="none" w:sz="0" w:space="0" w:color="auto"/>
        <w:right w:val="none" w:sz="0" w:space="0" w:color="auto"/>
      </w:divBdr>
    </w:div>
    <w:div w:id="2138988435">
      <w:bodyDiv w:val="1"/>
      <w:marLeft w:val="0"/>
      <w:marRight w:val="0"/>
      <w:marTop w:val="0"/>
      <w:marBottom w:val="0"/>
      <w:divBdr>
        <w:top w:val="none" w:sz="0" w:space="0" w:color="auto"/>
        <w:left w:val="none" w:sz="0" w:space="0" w:color="auto"/>
        <w:bottom w:val="none" w:sz="0" w:space="0" w:color="auto"/>
        <w:right w:val="none" w:sz="0" w:space="0" w:color="auto"/>
      </w:divBdr>
    </w:div>
    <w:div w:id="2142767774">
      <w:bodyDiv w:val="1"/>
      <w:marLeft w:val="0"/>
      <w:marRight w:val="0"/>
      <w:marTop w:val="0"/>
      <w:marBottom w:val="0"/>
      <w:divBdr>
        <w:top w:val="none" w:sz="0" w:space="0" w:color="auto"/>
        <w:left w:val="none" w:sz="0" w:space="0" w:color="auto"/>
        <w:bottom w:val="none" w:sz="0" w:space="0" w:color="auto"/>
        <w:right w:val="none" w:sz="0" w:space="0" w:color="auto"/>
      </w:divBdr>
    </w:div>
    <w:div w:id="2142914548">
      <w:bodyDiv w:val="1"/>
      <w:marLeft w:val="0"/>
      <w:marRight w:val="0"/>
      <w:marTop w:val="0"/>
      <w:marBottom w:val="0"/>
      <w:divBdr>
        <w:top w:val="none" w:sz="0" w:space="0" w:color="auto"/>
        <w:left w:val="none" w:sz="0" w:space="0" w:color="auto"/>
        <w:bottom w:val="none" w:sz="0" w:space="0" w:color="auto"/>
        <w:right w:val="none" w:sz="0" w:space="0" w:color="auto"/>
      </w:divBdr>
    </w:div>
    <w:div w:id="214396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chart" Target="charts/chart29.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chart" Target="charts/chart25.xml"/><Relationship Id="rId42"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8.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41"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image" Target="media/image3.png"/><Relationship Id="rId40" Type="http://schemas.openxmlformats.org/officeDocument/2006/relationships/chart" Target="charts/chart30.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10" Type="http://schemas.openxmlformats.org/officeDocument/2006/relationships/chart" Target="charts/chart2.xml"/><Relationship Id="rId19" Type="http://schemas.openxmlformats.org/officeDocument/2006/relationships/chart" Target="charts/chart10.xml"/><Relationship Id="rId31" Type="http://schemas.openxmlformats.org/officeDocument/2006/relationships/chart" Target="charts/chart22.xm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oleObject" Target="embeddings/List_aplikace_Microsoft_Excel_97_20031.xls"/></Relationships>
</file>

<file path=word/charts/_rels/chart1.xml.rels><?xml version="1.0" encoding="UTF-8" standalone="yes"?>
<Relationships xmlns="http://schemas.openxmlformats.org/package/2006/relationships"><Relationship Id="rId3" Type="http://schemas.openxmlformats.org/officeDocument/2006/relationships/oleObject" Target="file:///\\fileserver.mesto-prostejov.local\data4\Data_odbory\FO\Ptackova%20Eva\Dokumenty\Z&#225;v&#283;re&#269;n&#253;%20&#250;&#269;et\Z&#225;v&#283;re&#269;n&#253;%20&#250;&#269;et%202022\Podklady\pracovn&#237;_verze_202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fileserver.mesto-prostejov.local\data4\Data_odbory\FO\Ptackova%20Eva\Dokumenty\Z&#225;v&#283;re&#269;n&#253;%20&#250;&#269;et\Z&#225;v&#283;re&#269;n&#253;%20&#250;&#269;et%202022\Podklady\pracovn&#237;_verze_2022.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oleObject" Target="file:///\\fileserver.mesto-prostejov.local\data4\Data_odbory\FO\Ptackova%20Eva\Dokumenty\Z&#225;v&#283;re&#269;n&#253;%20&#250;&#269;et\Z&#225;v&#283;re&#269;n&#253;%20&#250;&#269;et%202022\Podklady\pracovn&#237;_verze_2022.xlsx" TargetMode="External"/><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oleObject" Target="file:///\\fileserver.mesto-prostejov.local\data4\Data_odbory\FO\Ptackova%20Eva\Dokumenty\Z&#225;v&#283;re&#269;n&#253;%20&#250;&#269;et\Z&#225;v&#283;re&#269;n&#253;%20&#250;&#269;et%202022\Podklady\pracovn&#237;_verze_2022.xlsx" TargetMode="External"/><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oleObject" Target="file:///\\fileserver.mesto-prostejov.local\data4\Data_odbory\FO\Ptackova%20Eva\Dokumenty\Z&#225;v&#283;re&#269;n&#253;%20&#250;&#269;et\Z&#225;v&#283;re&#269;n&#253;%20&#250;&#269;et%202022\Podklady\pracovn&#237;_verze_2022.xlsx" TargetMode="External"/><Relationship Id="rId2" Type="http://schemas.microsoft.com/office/2011/relationships/chartColorStyle" Target="colors12.xml"/><Relationship Id="rId1" Type="http://schemas.microsoft.com/office/2011/relationships/chartStyle" Target="style12.xml"/></Relationships>
</file>

<file path=word/charts/_rels/chart14.xml.rels><?xml version="1.0" encoding="UTF-8" standalone="yes"?>
<Relationships xmlns="http://schemas.openxmlformats.org/package/2006/relationships"><Relationship Id="rId3" Type="http://schemas.openxmlformats.org/officeDocument/2006/relationships/oleObject" Target="file:///\\fileserver.mesto-prostejov.local\data4\Data_odbory\FO\Ptackova%20Eva\Dokumenty\Z&#225;v&#283;re&#269;n&#253;%20&#250;&#269;et\Z&#225;v&#283;re&#269;n&#253;%20&#250;&#269;et%202022\Podklady\pracovn&#237;_verze_2022.xlsx" TargetMode="External"/><Relationship Id="rId2" Type="http://schemas.microsoft.com/office/2011/relationships/chartColorStyle" Target="colors13.xml"/><Relationship Id="rId1" Type="http://schemas.microsoft.com/office/2011/relationships/chartStyle" Target="style13.xml"/></Relationships>
</file>

<file path=word/charts/_rels/chart15.xml.rels><?xml version="1.0" encoding="UTF-8" standalone="yes"?>
<Relationships xmlns="http://schemas.openxmlformats.org/package/2006/relationships"><Relationship Id="rId3" Type="http://schemas.openxmlformats.org/officeDocument/2006/relationships/oleObject" Target="file:///\\fileserver.mesto-prostejov.local\data4\Data_odbory\FO\Ptackova%20Eva\Dokumenty\Z&#225;v&#283;re&#269;n&#253;%20&#250;&#269;et\Z&#225;v&#283;re&#269;n&#253;%20&#250;&#269;et%202022\Podklady\pracovn&#237;_verze_2022.xlsx" TargetMode="External"/><Relationship Id="rId2" Type="http://schemas.microsoft.com/office/2011/relationships/chartColorStyle" Target="colors14.xml"/><Relationship Id="rId1" Type="http://schemas.microsoft.com/office/2011/relationships/chartStyle" Target="style14.xml"/></Relationships>
</file>

<file path=word/charts/_rels/chart16.xml.rels><?xml version="1.0" encoding="UTF-8" standalone="yes"?>
<Relationships xmlns="http://schemas.openxmlformats.org/package/2006/relationships"><Relationship Id="rId3" Type="http://schemas.openxmlformats.org/officeDocument/2006/relationships/oleObject" Target="file:///\\fileserver.mesto-prostejov.local\data4\Data_odbory\FO\Ptackova%20Eva\Dokumenty\Z&#225;v&#283;re&#269;n&#253;%20&#250;&#269;et\Z&#225;v&#283;re&#269;n&#253;%20&#250;&#269;et%202022\Podklady\pracovn&#237;_verze_2022.xlsx" TargetMode="External"/><Relationship Id="rId2" Type="http://schemas.microsoft.com/office/2011/relationships/chartColorStyle" Target="colors15.xml"/><Relationship Id="rId1" Type="http://schemas.microsoft.com/office/2011/relationships/chartStyle" Target="style15.xml"/></Relationships>
</file>

<file path=word/charts/_rels/chart17.xml.rels><?xml version="1.0" encoding="UTF-8" standalone="yes"?>
<Relationships xmlns="http://schemas.openxmlformats.org/package/2006/relationships"><Relationship Id="rId3" Type="http://schemas.openxmlformats.org/officeDocument/2006/relationships/oleObject" Target="file:///\\fileserver.mesto-prostejov.local\data4\Data_odbory\FO\Ptackova%20Eva\Dokumenty\Z&#225;v&#283;re&#269;n&#253;%20&#250;&#269;et\Z&#225;v&#283;re&#269;n&#253;%20&#250;&#269;et%202022\Podklady\pracovn&#237;_verze_2022.xlsx" TargetMode="External"/><Relationship Id="rId2" Type="http://schemas.microsoft.com/office/2011/relationships/chartColorStyle" Target="colors16.xml"/><Relationship Id="rId1" Type="http://schemas.microsoft.com/office/2011/relationships/chartStyle" Target="style16.xml"/></Relationships>
</file>

<file path=word/charts/_rels/chart18.xml.rels><?xml version="1.0" encoding="UTF-8" standalone="yes"?>
<Relationships xmlns="http://schemas.openxmlformats.org/package/2006/relationships"><Relationship Id="rId3" Type="http://schemas.openxmlformats.org/officeDocument/2006/relationships/oleObject" Target="file:///\\fileserver.mesto-prostejov.local\data4\Data_odbory\FO\Ptackova%20Eva\Dokumenty\Z&#225;v&#283;re&#269;n&#253;%20&#250;&#269;et\Z&#225;v&#283;re&#269;n&#253;%20&#250;&#269;et%202022\Podklady\pracovn&#237;_verze_2022.xlsx" TargetMode="External"/><Relationship Id="rId2" Type="http://schemas.microsoft.com/office/2011/relationships/chartColorStyle" Target="colors17.xml"/><Relationship Id="rId1" Type="http://schemas.microsoft.com/office/2011/relationships/chartStyle" Target="style17.xml"/></Relationships>
</file>

<file path=word/charts/_rels/chart19.xml.rels><?xml version="1.0" encoding="UTF-8" standalone="yes"?>
<Relationships xmlns="http://schemas.openxmlformats.org/package/2006/relationships"><Relationship Id="rId3" Type="http://schemas.openxmlformats.org/officeDocument/2006/relationships/oleObject" Target="file:///\\fileserver.mesto-prostejov.local\data4\Data_odbory\FO\Ptackova%20Eva\Dokumenty\Z&#225;v&#283;re&#269;n&#253;%20&#250;&#269;et\Z&#225;v&#283;re&#269;n&#253;%20&#250;&#269;et%202022\Podklady\pracovn&#237;_verze_2022.xlsx" TargetMode="External"/><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1" Type="http://schemas.openxmlformats.org/officeDocument/2006/relationships/oleObject" Target="file:///\\fileserver.mesto-prostejov.local\data4\Data_odbory\FO\Ptackova%20Eva\Dokumenty\Z&#225;v&#283;re&#269;n&#253;%20&#250;&#269;et\Z&#225;v&#283;re&#269;n&#253;%20&#250;&#269;et%202022\Podklady\pracovn&#237;_verze_2022.xlsx" TargetMode="External"/></Relationships>
</file>

<file path=word/charts/_rels/chart20.xml.rels><?xml version="1.0" encoding="UTF-8" standalone="yes"?>
<Relationships xmlns="http://schemas.openxmlformats.org/package/2006/relationships"><Relationship Id="rId3" Type="http://schemas.openxmlformats.org/officeDocument/2006/relationships/oleObject" Target="file:///\\fileserver.mesto-prostejov.local\data4\Data_odbory\FO\Ptackova%20Eva\Dokumenty\Z&#225;v&#283;re&#269;n&#253;%20&#250;&#269;et\Z&#225;v&#283;re&#269;n&#253;%20&#250;&#269;et%202022\Podklady\pracovn&#237;_verze_2022.xlsx" TargetMode="External"/><Relationship Id="rId2" Type="http://schemas.microsoft.com/office/2011/relationships/chartColorStyle" Target="colors19.xml"/><Relationship Id="rId1" Type="http://schemas.microsoft.com/office/2011/relationships/chartStyle" Target="style19.xml"/></Relationships>
</file>

<file path=word/charts/_rels/chart21.xml.rels><?xml version="1.0" encoding="UTF-8" standalone="yes"?>
<Relationships xmlns="http://schemas.openxmlformats.org/package/2006/relationships"><Relationship Id="rId3" Type="http://schemas.openxmlformats.org/officeDocument/2006/relationships/oleObject" Target="file:///\\fileserver.mesto-prostejov.local\data4\Data_odbory\FO\Ptackova%20Eva\Dokumenty\Z&#225;v&#283;re&#269;n&#253;%20&#250;&#269;et\Z&#225;v&#283;re&#269;n&#253;%20&#250;&#269;et%202022\Podklady\pracovn&#237;_verze_2022.xlsx" TargetMode="External"/><Relationship Id="rId2" Type="http://schemas.microsoft.com/office/2011/relationships/chartColorStyle" Target="colors20.xml"/><Relationship Id="rId1" Type="http://schemas.microsoft.com/office/2011/relationships/chartStyle" Target="style20.xml"/></Relationships>
</file>

<file path=word/charts/_rels/chart22.xml.rels><?xml version="1.0" encoding="UTF-8" standalone="yes"?>
<Relationships xmlns="http://schemas.openxmlformats.org/package/2006/relationships"><Relationship Id="rId3" Type="http://schemas.openxmlformats.org/officeDocument/2006/relationships/oleObject" Target="file:///\\fileserver.mesto-prostejov.local\data4\Data_odbory\FO\Ptackova%20Eva\Dokumenty\Z&#225;v&#283;re&#269;n&#253;%20&#250;&#269;et\Z&#225;v&#283;re&#269;n&#253;%20&#250;&#269;et%202022\Podklady\pracovn&#237;_verze_2022.xlsx" TargetMode="External"/><Relationship Id="rId2" Type="http://schemas.microsoft.com/office/2011/relationships/chartColorStyle" Target="colors21.xml"/><Relationship Id="rId1" Type="http://schemas.microsoft.com/office/2011/relationships/chartStyle" Target="style21.xml"/></Relationships>
</file>

<file path=word/charts/_rels/chart23.xml.rels><?xml version="1.0" encoding="UTF-8" standalone="yes"?>
<Relationships xmlns="http://schemas.openxmlformats.org/package/2006/relationships"><Relationship Id="rId3" Type="http://schemas.openxmlformats.org/officeDocument/2006/relationships/oleObject" Target="file:///\\fileserver.mesto-prostejov.local\data4\Data_odbory\FO\Ptackova%20Eva\Dokumenty\Z&#225;v&#283;re&#269;n&#253;%20&#250;&#269;et\Z&#225;v&#283;re&#269;n&#253;%20&#250;&#269;et%202022\Podklady\pracovn&#237;_verze_2022.xlsx" TargetMode="External"/><Relationship Id="rId2" Type="http://schemas.microsoft.com/office/2011/relationships/chartColorStyle" Target="colors22.xml"/><Relationship Id="rId1" Type="http://schemas.microsoft.com/office/2011/relationships/chartStyle" Target="style22.xml"/></Relationships>
</file>

<file path=word/charts/_rels/chart24.xml.rels><?xml version="1.0" encoding="UTF-8" standalone="yes"?>
<Relationships xmlns="http://schemas.openxmlformats.org/package/2006/relationships"><Relationship Id="rId3" Type="http://schemas.openxmlformats.org/officeDocument/2006/relationships/oleObject" Target="file:///\\fileserver.mesto-prostejov.local\data4\Data_odbory\FO\Ptackova%20Eva\Dokumenty\Z&#225;v&#283;re&#269;n&#253;%20&#250;&#269;et\Z&#225;v&#283;re&#269;n&#253;%20&#250;&#269;et%202022\Podklady\pracovn&#237;_verze_2022.xlsx" TargetMode="External"/><Relationship Id="rId2" Type="http://schemas.microsoft.com/office/2011/relationships/chartColorStyle" Target="colors23.xml"/><Relationship Id="rId1" Type="http://schemas.microsoft.com/office/2011/relationships/chartStyle" Target="style23.xml"/></Relationships>
</file>

<file path=word/charts/_rels/chart25.xml.rels><?xml version="1.0" encoding="UTF-8" standalone="yes"?>
<Relationships xmlns="http://schemas.openxmlformats.org/package/2006/relationships"><Relationship Id="rId3" Type="http://schemas.openxmlformats.org/officeDocument/2006/relationships/oleObject" Target="file:///\\fileserver.mesto-prostejov.local\data4\Data_odbory\FO\Ptackova%20Eva\Dokumenty\Z&#225;v&#283;re&#269;n&#253;%20&#250;&#269;et\Z&#225;v&#283;re&#269;n&#253;%20&#250;&#269;et%202022\Podklady\pracovn&#237;_verze_2022.xlsx" TargetMode="External"/><Relationship Id="rId2" Type="http://schemas.microsoft.com/office/2011/relationships/chartColorStyle" Target="colors24.xml"/><Relationship Id="rId1" Type="http://schemas.microsoft.com/office/2011/relationships/chartStyle" Target="style24.xml"/></Relationships>
</file>

<file path=word/charts/_rels/chart26.xml.rels><?xml version="1.0" encoding="UTF-8" standalone="yes"?>
<Relationships xmlns="http://schemas.openxmlformats.org/package/2006/relationships"><Relationship Id="rId3" Type="http://schemas.openxmlformats.org/officeDocument/2006/relationships/oleObject" Target="file:///\\fileserver.mesto-prostejov.local\data4\Data_odbory\FO\Ptackova%20Eva\Dokumenty\Z&#225;v&#283;re&#269;n&#253;%20&#250;&#269;et\Z&#225;v&#283;re&#269;n&#253;%20&#250;&#269;et%202022\Podklady\pracovn&#237;_verze_2022.xlsx" TargetMode="External"/><Relationship Id="rId2" Type="http://schemas.microsoft.com/office/2011/relationships/chartColorStyle" Target="colors25.xml"/><Relationship Id="rId1" Type="http://schemas.microsoft.com/office/2011/relationships/chartStyle" Target="style25.xml"/></Relationships>
</file>

<file path=word/charts/_rels/chart27.xml.rels><?xml version="1.0" encoding="UTF-8" standalone="yes"?>
<Relationships xmlns="http://schemas.openxmlformats.org/package/2006/relationships"><Relationship Id="rId3" Type="http://schemas.openxmlformats.org/officeDocument/2006/relationships/oleObject" Target="file:///\\fileserver.mesto-prostejov.local\data4\Data_odbory\FO\Ptackova%20Eva\Dokumenty\Z&#225;v&#283;re&#269;n&#253;%20&#250;&#269;et\Z&#225;v&#283;re&#269;n&#253;%20&#250;&#269;et%202022\Podklady\pracovn&#237;_verze_2022.xlsx" TargetMode="External"/><Relationship Id="rId2" Type="http://schemas.microsoft.com/office/2011/relationships/chartColorStyle" Target="colors26.xml"/><Relationship Id="rId1" Type="http://schemas.microsoft.com/office/2011/relationships/chartStyle" Target="style26.xml"/></Relationships>
</file>

<file path=word/charts/_rels/chart28.xml.rels><?xml version="1.0" encoding="UTF-8" standalone="yes"?>
<Relationships xmlns="http://schemas.openxmlformats.org/package/2006/relationships"><Relationship Id="rId3" Type="http://schemas.openxmlformats.org/officeDocument/2006/relationships/oleObject" Target="file:///\\fileserver.mesto-prostejov.local\data4\Data_odbory\FO\Ptackova%20Eva\Dokumenty\Z&#225;v&#283;re&#269;n&#253;%20&#250;&#269;et\Z&#225;v&#283;re&#269;n&#253;%20&#250;&#269;et%202022\Podklady\pracovn&#237;_verze_2022.xlsx" TargetMode="External"/><Relationship Id="rId2" Type="http://schemas.microsoft.com/office/2011/relationships/chartColorStyle" Target="colors27.xml"/><Relationship Id="rId1" Type="http://schemas.microsoft.com/office/2011/relationships/chartStyle" Target="style27.xml"/></Relationships>
</file>

<file path=word/charts/_rels/chart29.xml.rels><?xml version="1.0" encoding="UTF-8" standalone="yes"?>
<Relationships xmlns="http://schemas.openxmlformats.org/package/2006/relationships"><Relationship Id="rId3" Type="http://schemas.openxmlformats.org/officeDocument/2006/relationships/oleObject" Target="file:///\\fileserver.mesto-prostejov.local\data4\Data_odbory\FO\Ptackova%20Eva\Dokumenty\Z&#225;v&#283;re&#269;n&#253;%20&#250;&#269;et\Z&#225;v&#283;re&#269;n&#253;%20&#250;&#269;et%202022\Podklady\pracovn&#237;_verze_2022.xlsx" TargetMode="External"/><Relationship Id="rId2" Type="http://schemas.microsoft.com/office/2011/relationships/chartColorStyle" Target="colors28.xml"/><Relationship Id="rId1" Type="http://schemas.microsoft.com/office/2011/relationships/chartStyle" Target="style28.xml"/></Relationships>
</file>

<file path=word/charts/_rels/chart3.xml.rels><?xml version="1.0" encoding="UTF-8" standalone="yes"?>
<Relationships xmlns="http://schemas.openxmlformats.org/package/2006/relationships"><Relationship Id="rId3" Type="http://schemas.openxmlformats.org/officeDocument/2006/relationships/oleObject" Target="file:///\\fileserver.mesto-prostejov.local\data4\Data_odbory\FO\Ptackova%20Eva\Dokumenty\Z&#225;v&#283;re&#269;n&#253;%20&#250;&#269;et\Z&#225;v&#283;re&#269;n&#253;%20&#250;&#269;et%202022\Podklady\pracovn&#237;_verze_2022.xlsx" TargetMode="External"/><Relationship Id="rId2" Type="http://schemas.microsoft.com/office/2011/relationships/chartColorStyle" Target="colors2.xml"/><Relationship Id="rId1" Type="http://schemas.microsoft.com/office/2011/relationships/chartStyle" Target="style2.xml"/></Relationships>
</file>

<file path=word/charts/_rels/chart30.xml.rels><?xml version="1.0" encoding="UTF-8" standalone="yes"?>
<Relationships xmlns="http://schemas.openxmlformats.org/package/2006/relationships"><Relationship Id="rId3" Type="http://schemas.openxmlformats.org/officeDocument/2006/relationships/oleObject" Target="file:///\\fileserver.mesto-prostejov.local\data4\Data_odbory\FO\Ptackova%20Eva\Dokumenty\Z&#225;v&#283;re&#269;n&#253;%20&#250;&#269;et\Z&#225;v&#283;re&#269;n&#253;%20&#250;&#269;et%202022\Podklady\pracovn&#237;_verze_2022.xlsx" TargetMode="External"/><Relationship Id="rId2" Type="http://schemas.microsoft.com/office/2011/relationships/chartColorStyle" Target="colors29.xml"/><Relationship Id="rId1" Type="http://schemas.microsoft.com/office/2011/relationships/chartStyle" Target="style29.xml"/></Relationships>
</file>

<file path=word/charts/_rels/chart4.xml.rels><?xml version="1.0" encoding="UTF-8" standalone="yes"?>
<Relationships xmlns="http://schemas.openxmlformats.org/package/2006/relationships"><Relationship Id="rId3" Type="http://schemas.openxmlformats.org/officeDocument/2006/relationships/oleObject" Target="file:///\\fileserver.mesto-prostejov.local\data4\Data_odbory\FO\Ptackova%20Eva\Dokumenty\Z&#225;v&#283;re&#269;n&#253;%20&#250;&#269;et\Z&#225;v&#283;re&#269;n&#253;%20&#250;&#269;et%202022\Podklady\pracovn&#237;_verze_2022.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fileserver.mesto-prostejov.local\data4\Data_odbory\FO\Ptackova%20Eva\Dokumenty\Z&#225;v&#283;re&#269;n&#253;%20&#250;&#269;et\Z&#225;v&#283;re&#269;n&#253;%20&#250;&#269;et%202022\Podklady\pracovn&#237;_verze_2022.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fileserver.mesto-prostejov.local\data4\Data_odbory\FO\Ptackova%20Eva\Dokumenty\Z&#225;v&#283;re&#269;n&#253;%20&#250;&#269;et\Z&#225;v&#283;re&#269;n&#253;%20&#250;&#269;et%202022\Podklady\pracovn&#237;_verze_2022.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fileserver.mesto-prostejov.local\data4\Data_odbory\FO\Ptackova%20Eva\Dokumenty\Z&#225;v&#283;re&#269;n&#253;%20&#250;&#269;et\Z&#225;v&#283;re&#269;n&#253;%20&#250;&#269;et%202022\Podklady\pracovn&#237;_verze_2022.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fileserver.mesto-prostejov.local\data4\Data_odbory\FO\Ptackova%20Eva\Dokumenty\Z&#225;v&#283;re&#269;n&#253;%20&#250;&#269;et\Z&#225;v&#283;re&#269;n&#253;%20&#250;&#269;et%202022\Podklady\pracovn&#237;_verze_2022.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fileserver.mesto-prostejov.local\data4\Data_odbory\FO\Ptackova%20Eva\Dokumenty\Z&#225;v&#283;re&#269;n&#253;%20&#250;&#269;et\Z&#225;v&#283;re&#269;n&#253;%20&#250;&#269;et%202022\Podklady\pracovn&#237;_verze_2022.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cs-CZ" sz="1100"/>
              <a:t>Příjmy - skutečnost roku 2022</a:t>
            </a:r>
          </a:p>
        </c:rich>
      </c:tx>
      <c:layout>
        <c:manualLayout>
          <c:xMode val="edge"/>
          <c:yMode val="edge"/>
          <c:x val="0.28700112598523703"/>
          <c:y val="1.51612214392483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'Příjmy-druhové třídění'!$B$3</c:f>
              <c:strCache>
                <c:ptCount val="1"/>
                <c:pt idx="0">
                  <c:v>Skutečnost</c:v>
                </c:pt>
              </c:strCache>
            </c:strRef>
          </c:tx>
          <c:explosion val="1"/>
          <c:dPt>
            <c:idx val="0"/>
            <c:bubble3D val="0"/>
            <c:explosion val="3"/>
            <c:spPr>
              <a:solidFill>
                <a:schemeClr val="accent1">
                  <a:lumMod val="60000"/>
                  <a:lumOff val="40000"/>
                </a:schemeClr>
              </a:solidFill>
              <a:ln>
                <a:noFill/>
              </a:ln>
              <a:effectLst>
                <a:outerShdw blurRad="57150" dist="19050" dir="5400000" algn="ctr" rotWithShape="0">
                  <a:srgbClr val="000000">
                    <a:alpha val="63000"/>
                  </a:srgbClr>
                </a:outerShdw>
              </a:effectLst>
              <a:sp3d/>
            </c:spPr>
          </c:dPt>
          <c:dPt>
            <c:idx val="1"/>
            <c:bubble3D val="0"/>
            <c:explosion val="10"/>
            <c:spPr>
              <a:solidFill>
                <a:schemeClr val="accent6"/>
              </a:solidFill>
              <a:ln>
                <a:noFill/>
              </a:ln>
              <a:effectLst>
                <a:outerShdw blurRad="57150" dist="19050" dir="5400000" algn="ctr" rotWithShape="0">
                  <a:srgbClr val="000000">
                    <a:alpha val="63000"/>
                  </a:srgbClr>
                </a:outerShdw>
              </a:effectLst>
              <a:sp3d/>
            </c:spPr>
          </c:dPt>
          <c:dPt>
            <c:idx val="2"/>
            <c:bubble3D val="0"/>
            <c:explosion val="8"/>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3"/>
            <c:bubble3D val="0"/>
            <c:explosion val="6"/>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dLbl>
              <c:idx val="0"/>
              <c:layout>
                <c:manualLayout>
                  <c:x val="-0.2140979584282747"/>
                  <c:y val="-0.19588301595776236"/>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dLbl>
              <c:idx val="1"/>
              <c:layout>
                <c:manualLayout>
                  <c:x val="-4.9140885485170809E-2"/>
                  <c:y val="9.8926100349228038E-3"/>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dLbl>
              <c:idx val="2"/>
              <c:layout>
                <c:manualLayout>
                  <c:x val="-4.8971711731642088E-2"/>
                  <c:y val="-1.329906591640375E-2"/>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dLbl>
              <c:idx val="3"/>
              <c:layout>
                <c:manualLayout>
                  <c:x val="0.11079765424788789"/>
                  <c:y val="-1.6209488605545996E-2"/>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0"/>
            <c:showCatName val="1"/>
            <c:showSerName val="0"/>
            <c:showPercent val="1"/>
            <c:showBubbleSize val="1"/>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'Příjmy-druhové třídění'!$A$4:$A$7</c:f>
              <c:strCache>
                <c:ptCount val="4"/>
                <c:pt idx="0">
                  <c:v>Daňové příjmy</c:v>
                </c:pt>
                <c:pt idx="1">
                  <c:v>Nedaňové příjmy</c:v>
                </c:pt>
                <c:pt idx="2">
                  <c:v>Kapitálové příjmy</c:v>
                </c:pt>
                <c:pt idx="3">
                  <c:v>Přijaté dotace</c:v>
                </c:pt>
              </c:strCache>
            </c:strRef>
          </c:cat>
          <c:val>
            <c:numRef>
              <c:f>'Příjmy-druhové třídění'!$B$4:$B$7</c:f>
              <c:numCache>
                <c:formatCode>#,##0.00</c:formatCode>
                <c:ptCount val="4"/>
                <c:pt idx="0">
                  <c:v>982699253.25</c:v>
                </c:pt>
                <c:pt idx="1">
                  <c:v>169765898.22</c:v>
                </c:pt>
                <c:pt idx="2">
                  <c:v>5103947.93</c:v>
                </c:pt>
                <c:pt idx="3">
                  <c:v>111101254.25</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cs-CZ" sz="1100"/>
              <a:t>Srovnání přijatých splátek půjčených prostředků (v tis. Kč)</a:t>
            </a:r>
          </a:p>
        </c:rich>
      </c:tx>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a:sp3d contourW="9525">
              <a:contourClr>
                <a:schemeClr val="accent4">
                  <a:shade val="95000"/>
                </a:schemeClr>
              </a:contourClr>
            </a:sp3d>
          </c:spPr>
          <c:invertIfNegative val="0"/>
          <c:dPt>
            <c:idx val="0"/>
            <c:invertIfNegative val="0"/>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a:sp3d contourW="9525">
                <a:contourClr>
                  <a:schemeClr val="accent4">
                    <a:shade val="95000"/>
                  </a:schemeClr>
                </a:contourClr>
              </a:sp3d>
            </c:spPr>
          </c:dPt>
          <c:dPt>
            <c:idx val="1"/>
            <c:invertIfNegative val="0"/>
            <c:bubble3D val="0"/>
          </c:dPt>
          <c:dPt>
            <c:idx val="2"/>
            <c:invertIfNegative val="0"/>
            <c:bubble3D val="0"/>
          </c:dPt>
          <c:dLbls>
            <c:dLbl>
              <c:idx val="0"/>
              <c:layout>
                <c:manualLayout>
                  <c:x val="0"/>
                  <c:y val="0.12962962962963001"/>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1"/>
              <c:layout>
                <c:manualLayout>
                  <c:x val="-2.7777777777777801E-3"/>
                  <c:y val="0.115740740740741"/>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2"/>
              <c:layout>
                <c:manualLayout>
                  <c:x val="5.5555555555554499E-3"/>
                  <c:y val="0.134259259259259"/>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3"/>
              <c:layout>
                <c:manualLayout>
                  <c:x val="0"/>
                  <c:y val="0.12038090238282731"/>
                </c:manualLayout>
              </c:layout>
              <c:showLegendKey val="0"/>
              <c:showVal val="1"/>
              <c:showCatName val="0"/>
              <c:showSerName val="0"/>
              <c:showPercent val="0"/>
              <c:showBubbleSize val="1"/>
              <c:separator>; </c:separator>
              <c:extLst>
                <c:ext xmlns:c15="http://schemas.microsoft.com/office/drawing/2012/chart" uri="{CE6537A1-D6FC-4f65-9D91-7224C49458BB}"/>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cs-CZ"/>
              </a:p>
            </c:txP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'Přijaté splátky půjč.prostř.'!$I$12:$L$12</c:f>
              <c:numCache>
                <c:formatCode>General</c:formatCode>
                <c:ptCount val="3"/>
                <c:pt idx="0">
                  <c:v>2020</c:v>
                </c:pt>
                <c:pt idx="1">
                  <c:v>2021</c:v>
                </c:pt>
                <c:pt idx="2">
                  <c:v>2022</c:v>
                </c:pt>
              </c:numCache>
            </c:numRef>
          </c:cat>
          <c:val>
            <c:numRef>
              <c:f>'Přijaté splátky půjč.prostř.'!$I$13:$L$13</c:f>
              <c:numCache>
                <c:formatCode>#,##0</c:formatCode>
                <c:ptCount val="3"/>
                <c:pt idx="0">
                  <c:v>194.86500000000001</c:v>
                </c:pt>
                <c:pt idx="1">
                  <c:v>646.62300000000005</c:v>
                </c:pt>
                <c:pt idx="2">
                  <c:v>240.25200000000001</c:v>
                </c:pt>
              </c:numCache>
            </c:numRef>
          </c:val>
        </c:ser>
        <c:dLbls>
          <c:showLegendKey val="0"/>
          <c:showVal val="0"/>
          <c:showCatName val="0"/>
          <c:showSerName val="0"/>
          <c:showPercent val="0"/>
          <c:showBubbleSize val="0"/>
        </c:dLbls>
        <c:gapWidth val="150"/>
        <c:shape val="box"/>
        <c:axId val="521778048"/>
        <c:axId val="521777656"/>
        <c:axId val="0"/>
      </c:bar3DChart>
      <c:catAx>
        <c:axId val="521778048"/>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521777656"/>
        <c:crosses val="autoZero"/>
        <c:auto val="1"/>
        <c:lblAlgn val="ctr"/>
        <c:lblOffset val="100"/>
        <c:noMultiLvlLbl val="0"/>
      </c:catAx>
      <c:valAx>
        <c:axId val="5217776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521778048"/>
        <c:crosses val="autoZero"/>
        <c:crossBetween val="between"/>
      </c:valAx>
      <c:spPr>
        <a:noFill/>
        <a:ln>
          <a:noFill/>
        </a:ln>
        <a:effectLst/>
      </c:spPr>
    </c:plotArea>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cs-CZ" sz="1200"/>
              <a:t>Srovnání kapitálových příjmů (v tis. Kč)</a:t>
            </a:r>
          </a:p>
        </c:rich>
      </c:tx>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a:sp3d contourW="9525">
              <a:contourClr>
                <a:schemeClr val="accent4">
                  <a:shade val="95000"/>
                </a:schemeClr>
              </a:contourClr>
            </a:sp3d>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Lbls>
            <c:dLbl>
              <c:idx val="0"/>
              <c:layout>
                <c:manualLayout>
                  <c:x val="8.3333333333333107E-3"/>
                  <c:y val="0"/>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1"/>
              <c:layout>
                <c:manualLayout>
                  <c:x val="1.6666666666666601E-2"/>
                  <c:y val="4.62962962962954E-3"/>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2"/>
              <c:layout>
                <c:manualLayout>
                  <c:x val="1.1111111111111099E-2"/>
                  <c:y val="4.6296296296296302E-3"/>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3"/>
              <c:layout>
                <c:manualLayout>
                  <c:x val="-1.5079891463201571E-3"/>
                  <c:y val="0.17594131886720915"/>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4"/>
              <c:layout>
                <c:manualLayout>
                  <c:x val="6.3095087277397306E-3"/>
                  <c:y val="-2.0780470732432418E-5"/>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5"/>
              <c:layout>
                <c:manualLayout>
                  <c:x val="1.1111111111111099E-2"/>
                  <c:y val="-8.4875562720133296E-17"/>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6"/>
              <c:layout>
                <c:manualLayout>
                  <c:x val="1.38888888888888E-2"/>
                  <c:y val="4.6296296296296302E-3"/>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7"/>
              <c:layout>
                <c:manualLayout>
                  <c:x val="1.38888888888889E-2"/>
                  <c:y val="-8.4875562720133296E-17"/>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cs-CZ"/>
              </a:p>
            </c:txP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'Kapitálové P'!$B$12:$J$12</c:f>
              <c:numCache>
                <c:formatCode>General</c:formatCode>
                <c:ptCount val="8"/>
                <c:pt idx="0">
                  <c:v>2015</c:v>
                </c:pt>
                <c:pt idx="1">
                  <c:v>2016</c:v>
                </c:pt>
                <c:pt idx="2">
                  <c:v>2017</c:v>
                </c:pt>
                <c:pt idx="3">
                  <c:v>2018</c:v>
                </c:pt>
                <c:pt idx="4">
                  <c:v>2019</c:v>
                </c:pt>
                <c:pt idx="5">
                  <c:v>2020</c:v>
                </c:pt>
                <c:pt idx="6">
                  <c:v>2021</c:v>
                </c:pt>
                <c:pt idx="7">
                  <c:v>2022</c:v>
                </c:pt>
              </c:numCache>
            </c:numRef>
          </c:cat>
          <c:val>
            <c:numRef>
              <c:f>'Kapitálové P'!$B$13:$J$13</c:f>
              <c:numCache>
                <c:formatCode>#,##0</c:formatCode>
                <c:ptCount val="8"/>
                <c:pt idx="0">
                  <c:v>10662.255999999999</c:v>
                </c:pt>
                <c:pt idx="1">
                  <c:v>2424.3960000000002</c:v>
                </c:pt>
                <c:pt idx="2">
                  <c:v>7635.8310000000001</c:v>
                </c:pt>
                <c:pt idx="3">
                  <c:v>91444.051000000007</c:v>
                </c:pt>
                <c:pt idx="4">
                  <c:v>20304.324000000001</c:v>
                </c:pt>
                <c:pt idx="5">
                  <c:v>14539.5389</c:v>
                </c:pt>
                <c:pt idx="6">
                  <c:v>6014.8220000000001</c:v>
                </c:pt>
                <c:pt idx="7">
                  <c:v>5103.9479300000003</c:v>
                </c:pt>
              </c:numCache>
            </c:numRef>
          </c:val>
        </c:ser>
        <c:dLbls>
          <c:showLegendKey val="0"/>
          <c:showVal val="0"/>
          <c:showCatName val="0"/>
          <c:showSerName val="0"/>
          <c:showPercent val="0"/>
          <c:showBubbleSize val="0"/>
        </c:dLbls>
        <c:gapWidth val="150"/>
        <c:shape val="box"/>
        <c:axId val="521779616"/>
        <c:axId val="521778832"/>
        <c:axId val="0"/>
      </c:bar3DChart>
      <c:catAx>
        <c:axId val="521779616"/>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521778832"/>
        <c:crosses val="autoZero"/>
        <c:auto val="1"/>
        <c:lblAlgn val="ctr"/>
        <c:lblOffset val="100"/>
        <c:noMultiLvlLbl val="0"/>
      </c:catAx>
      <c:valAx>
        <c:axId val="5217788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521779616"/>
        <c:crosses val="autoZero"/>
        <c:crossBetween val="between"/>
      </c:valAx>
      <c:spPr>
        <a:noFill/>
        <a:ln>
          <a:noFill/>
        </a:ln>
        <a:effectLst/>
      </c:spPr>
    </c:plotArea>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cs-CZ" sz="1100"/>
              <a:t>Srovnání přijatých transferů (v tis. Kč)</a:t>
            </a:r>
          </a:p>
        </c:rich>
      </c:tx>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a:sp3d contourW="9525">
              <a:contourClr>
                <a:schemeClr val="accent4">
                  <a:shade val="95000"/>
                </a:schemeClr>
              </a:contourClr>
            </a:sp3d>
          </c:spPr>
          <c:invertIfNegative val="0"/>
          <c:dPt>
            <c:idx val="0"/>
            <c:invertIfNegative val="0"/>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a:sp3d contourW="9525">
                <a:contourClr>
                  <a:schemeClr val="accent4">
                    <a:shade val="95000"/>
                  </a:schemeClr>
                </a:contourClr>
              </a:sp3d>
            </c:spPr>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Lbls>
            <c:dLbl>
              <c:idx val="0"/>
              <c:layout>
                <c:manualLayout>
                  <c:x val="-2.7777777777777801E-3"/>
                  <c:y val="0.18518518518518501"/>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1"/>
              <c:layout>
                <c:manualLayout>
                  <c:x val="0"/>
                  <c:y val="0.180555555555555"/>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2"/>
              <c:layout>
                <c:manualLayout>
                  <c:x val="-5.0925337632080002E-17"/>
                  <c:y val="0.157407407407407"/>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3"/>
              <c:layout>
                <c:manualLayout>
                  <c:x val="0"/>
                  <c:y val="0.16666666666666699"/>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4"/>
              <c:layout>
                <c:manualLayout>
                  <c:x val="0"/>
                  <c:y val="0.194444444444444"/>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5"/>
              <c:layout>
                <c:manualLayout>
                  <c:x val="0"/>
                  <c:y val="0.17592592592592601"/>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6"/>
              <c:layout>
                <c:manualLayout>
                  <c:x val="-2.7777777777778798E-3"/>
                  <c:y val="0.171296296296296"/>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7"/>
              <c:layout>
                <c:manualLayout>
                  <c:x val="1.0185067526416E-16"/>
                  <c:y val="0.18518518518518501"/>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8"/>
              <c:layout>
                <c:manualLayout>
                  <c:x val="-1.0185802722150533E-16"/>
                  <c:y val="0.17594131886720915"/>
                </c:manualLayout>
              </c:layout>
              <c:showLegendKey val="0"/>
              <c:showVal val="1"/>
              <c:showCatName val="0"/>
              <c:showSerName val="0"/>
              <c:showPercent val="0"/>
              <c:showBubbleSize val="1"/>
              <c:separator>; </c:separator>
              <c:extLst>
                <c:ext xmlns:c15="http://schemas.microsoft.com/office/drawing/2012/chart" uri="{CE6537A1-D6FC-4f65-9D91-7224C49458BB}"/>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cs-CZ"/>
              </a:p>
            </c:txP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'Přijaté transfery'!$C$13:$K$13</c:f>
              <c:numCache>
                <c:formatCode>General</c:formatCode>
                <c:ptCount val="8"/>
                <c:pt idx="0">
                  <c:v>2015</c:v>
                </c:pt>
                <c:pt idx="1">
                  <c:v>2016</c:v>
                </c:pt>
                <c:pt idx="2">
                  <c:v>2017</c:v>
                </c:pt>
                <c:pt idx="3">
                  <c:v>2018</c:v>
                </c:pt>
                <c:pt idx="4">
                  <c:v>2019</c:v>
                </c:pt>
                <c:pt idx="5">
                  <c:v>2020</c:v>
                </c:pt>
                <c:pt idx="6">
                  <c:v>2021</c:v>
                </c:pt>
                <c:pt idx="7">
                  <c:v>2022</c:v>
                </c:pt>
              </c:numCache>
            </c:numRef>
          </c:cat>
          <c:val>
            <c:numRef>
              <c:f>'Přijaté transfery'!$C$14:$K$14</c:f>
              <c:numCache>
                <c:formatCode>#,##0</c:formatCode>
                <c:ptCount val="8"/>
                <c:pt idx="0">
                  <c:v>109740.21227000002</c:v>
                </c:pt>
                <c:pt idx="1">
                  <c:v>73383.115000000005</c:v>
                </c:pt>
                <c:pt idx="2">
                  <c:v>99173.569889999984</c:v>
                </c:pt>
                <c:pt idx="3">
                  <c:v>116684.14136000001</c:v>
                </c:pt>
                <c:pt idx="4">
                  <c:v>174679.76926</c:v>
                </c:pt>
                <c:pt idx="5">
                  <c:v>291109.19487999997</c:v>
                </c:pt>
                <c:pt idx="6">
                  <c:v>146830.29532</c:v>
                </c:pt>
                <c:pt idx="7">
                  <c:v>111101.25425000001</c:v>
                </c:pt>
              </c:numCache>
            </c:numRef>
          </c:val>
        </c:ser>
        <c:dLbls>
          <c:showLegendKey val="0"/>
          <c:showVal val="0"/>
          <c:showCatName val="0"/>
          <c:showSerName val="0"/>
          <c:showPercent val="0"/>
          <c:showBubbleSize val="0"/>
        </c:dLbls>
        <c:gapWidth val="150"/>
        <c:shape val="box"/>
        <c:axId val="316749080"/>
        <c:axId val="517553080"/>
        <c:axId val="0"/>
      </c:bar3DChart>
      <c:catAx>
        <c:axId val="316749080"/>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517553080"/>
        <c:crosses val="autoZero"/>
        <c:auto val="1"/>
        <c:lblAlgn val="ctr"/>
        <c:lblOffset val="100"/>
        <c:noMultiLvlLbl val="0"/>
      </c:catAx>
      <c:valAx>
        <c:axId val="5175530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316749080"/>
        <c:crosses val="autoZero"/>
        <c:crossBetween val="between"/>
      </c:valAx>
      <c:spPr>
        <a:noFill/>
        <a:ln>
          <a:noFill/>
        </a:ln>
        <a:effectLst/>
      </c:spPr>
    </c:plotArea>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cs-CZ" sz="1100"/>
              <a:t>Srovnání neinvestičních přijatých transferů (v tis. Kč)</a:t>
            </a:r>
          </a:p>
        </c:rich>
      </c:tx>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a:sp3d contourW="9525">
              <a:contourClr>
                <a:schemeClr val="accent4">
                  <a:shade val="95000"/>
                </a:schemeClr>
              </a:contourClr>
            </a:sp3d>
          </c:spPr>
          <c:invertIfNegative val="0"/>
          <c:dPt>
            <c:idx val="0"/>
            <c:invertIfNegative val="0"/>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a:sp3d contourW="9525">
                <a:contourClr>
                  <a:schemeClr val="accent4">
                    <a:shade val="95000"/>
                  </a:schemeClr>
                </a:contourClr>
              </a:sp3d>
            </c:spPr>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Lbls>
            <c:dLbl>
              <c:idx val="0"/>
              <c:layout>
                <c:manualLayout>
                  <c:x val="-5.1793835977489916E-17"/>
                  <c:y val="0.21296664916732289"/>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1"/>
              <c:layout>
                <c:manualLayout>
                  <c:x val="-1.0358767195497983E-16"/>
                  <c:y val="0.23611718727214387"/>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2"/>
              <c:layout>
                <c:manualLayout>
                  <c:x val="0"/>
                  <c:y val="0.20833807273893895"/>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3"/>
              <c:layout>
                <c:manualLayout>
                  <c:x val="0"/>
                  <c:y val="0.18518717006445584"/>
                </c:manualLayout>
              </c:layout>
              <c:showLegendKey val="0"/>
              <c:showVal val="1"/>
              <c:showCatName val="0"/>
              <c:showSerName val="0"/>
              <c:showPercent val="0"/>
              <c:showBubbleSize val="1"/>
              <c:separator>; </c:separator>
              <c:extLst>
                <c:ext xmlns:c15="http://schemas.microsoft.com/office/drawing/2012/chart" uri="{CE6537A1-D6FC-4f65-9D91-7224C49458BB}"/>
              </c:extLst>
            </c:dLbl>
            <c:dLbl>
              <c:idx val="4"/>
              <c:layout>
                <c:manualLayout>
                  <c:x val="0"/>
                  <c:y val="0.16666666666666699"/>
                </c:manualLayout>
              </c:layout>
              <c:showLegendKey val="0"/>
              <c:showVal val="1"/>
              <c:showCatName val="0"/>
              <c:showSerName val="0"/>
              <c:showPercent val="0"/>
              <c:showBubbleSize val="1"/>
              <c:separator>; </c:separator>
              <c:extLst>
                <c:ext xmlns:c15="http://schemas.microsoft.com/office/drawing/2012/chart" uri="{CE6537A1-D6FC-4f65-9D91-7224C49458BB}"/>
              </c:extLst>
            </c:dLbl>
            <c:dLbl>
              <c:idx val="5"/>
              <c:layout>
                <c:manualLayout>
                  <c:x val="0"/>
                  <c:y val="0.17592592592592601"/>
                </c:manualLayout>
              </c:layout>
              <c:showLegendKey val="0"/>
              <c:showVal val="1"/>
              <c:showCatName val="0"/>
              <c:showSerName val="0"/>
              <c:showPercent val="0"/>
              <c:showBubbleSize val="1"/>
              <c:separator>; </c:separator>
              <c:extLst>
                <c:ext xmlns:c15="http://schemas.microsoft.com/office/drawing/2012/chart" uri="{CE6537A1-D6FC-4f65-9D91-7224C49458BB}"/>
              </c:extLst>
            </c:dLbl>
            <c:dLbl>
              <c:idx val="6"/>
              <c:layout>
                <c:manualLayout>
                  <c:x val="-1.0185067526416E-16"/>
                  <c:y val="0.180555555555556"/>
                </c:manualLayout>
              </c:layout>
              <c:showLegendKey val="0"/>
              <c:showVal val="1"/>
              <c:showCatName val="0"/>
              <c:showSerName val="0"/>
              <c:showPercent val="0"/>
              <c:showBubbleSize val="1"/>
              <c:separator>; </c:separator>
              <c:extLst>
                <c:ext xmlns:c15="http://schemas.microsoft.com/office/drawing/2012/chart" uri="{CE6537A1-D6FC-4f65-9D91-7224C49458BB}"/>
              </c:extLst>
            </c:dLbl>
            <c:dLbl>
              <c:idx val="7"/>
              <c:layout>
                <c:manualLayout>
                  <c:x val="1.0185067526416E-16"/>
                  <c:y val="0.180555555555556"/>
                </c:manualLayout>
              </c:layout>
              <c:showLegendKey val="0"/>
              <c:showVal val="1"/>
              <c:showCatName val="0"/>
              <c:showSerName val="0"/>
              <c:showPercent val="0"/>
              <c:showBubbleSize val="1"/>
              <c:separator>; </c:separator>
              <c:extLst>
                <c:ext xmlns:c15="http://schemas.microsoft.com/office/drawing/2012/chart" uri="{CE6537A1-D6FC-4f65-9D91-7224C49458BB}"/>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cs-CZ"/>
              </a:p>
            </c:txP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Neinv.přij.transf.!$I$13:$L$13</c:f>
              <c:numCache>
                <c:formatCode>General</c:formatCode>
                <c:ptCount val="3"/>
                <c:pt idx="0">
                  <c:v>2020</c:v>
                </c:pt>
                <c:pt idx="1">
                  <c:v>2021</c:v>
                </c:pt>
                <c:pt idx="2">
                  <c:v>2022</c:v>
                </c:pt>
              </c:numCache>
            </c:numRef>
          </c:cat>
          <c:val>
            <c:numRef>
              <c:f>Neinv.přij.transf.!$I$14:$L$14</c:f>
              <c:numCache>
                <c:formatCode>#,##0</c:formatCode>
                <c:ptCount val="3"/>
                <c:pt idx="0">
                  <c:v>191728.45228</c:v>
                </c:pt>
                <c:pt idx="1">
                  <c:v>121981.25497000001</c:v>
                </c:pt>
                <c:pt idx="2">
                  <c:v>106188.11338000001</c:v>
                </c:pt>
              </c:numCache>
            </c:numRef>
          </c:val>
        </c:ser>
        <c:dLbls>
          <c:showLegendKey val="0"/>
          <c:showVal val="0"/>
          <c:showCatName val="0"/>
          <c:showSerName val="0"/>
          <c:showPercent val="0"/>
          <c:showBubbleSize val="0"/>
        </c:dLbls>
        <c:gapWidth val="150"/>
        <c:shape val="box"/>
        <c:axId val="517555824"/>
        <c:axId val="517553472"/>
        <c:axId val="0"/>
      </c:bar3DChart>
      <c:catAx>
        <c:axId val="517555824"/>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517553472"/>
        <c:crosses val="autoZero"/>
        <c:auto val="1"/>
        <c:lblAlgn val="ctr"/>
        <c:lblOffset val="100"/>
        <c:noMultiLvlLbl val="0"/>
      </c:catAx>
      <c:valAx>
        <c:axId val="5175534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517555824"/>
        <c:crosses val="autoZero"/>
        <c:crossBetween val="between"/>
      </c:valAx>
      <c:spPr>
        <a:noFill/>
        <a:ln>
          <a:noFill/>
        </a:ln>
        <a:effectLst/>
      </c:spPr>
    </c:plotArea>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cs-CZ" sz="1100"/>
              <a:t>Srovnání investičních přijatých transferů (v tis. Kč)</a:t>
            </a:r>
          </a:p>
        </c:rich>
      </c:tx>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a:sp3d contourW="9525">
              <a:contourClr>
                <a:schemeClr val="accent4">
                  <a:shade val="95000"/>
                </a:schemeClr>
              </a:contourClr>
            </a:sp3d>
          </c:spPr>
          <c:invertIfNegative val="0"/>
          <c:dPt>
            <c:idx val="0"/>
            <c:invertIfNegative val="0"/>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a:sp3d contourW="9525">
                <a:contourClr>
                  <a:schemeClr val="accent4">
                    <a:shade val="95000"/>
                  </a:schemeClr>
                </a:contourClr>
              </a:sp3d>
            </c:spPr>
          </c:dPt>
          <c:dPt>
            <c:idx val="1"/>
            <c:invertIfNegative val="0"/>
            <c:bubble3D val="0"/>
          </c:dPt>
          <c:dPt>
            <c:idx val="4"/>
            <c:invertIfNegative val="0"/>
            <c:bubble3D val="0"/>
          </c:dPt>
          <c:dPt>
            <c:idx val="5"/>
            <c:invertIfNegative val="0"/>
            <c:bubble3D val="0"/>
          </c:dPt>
          <c:dPt>
            <c:idx val="6"/>
            <c:invertIfNegative val="0"/>
            <c:bubble3D val="0"/>
          </c:dPt>
          <c:dLbls>
            <c:dLbl>
              <c:idx val="0"/>
              <c:layout>
                <c:manualLayout>
                  <c:x val="0"/>
                  <c:y val="0.171296296296296"/>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1"/>
              <c:layout>
                <c:manualLayout>
                  <c:x val="0"/>
                  <c:y val="0.15277777777777801"/>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2"/>
              <c:layout>
                <c:manualLayout>
                  <c:x val="2.2223753386333485E-2"/>
                  <c:y val="-1.8520138828127277E-2"/>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3"/>
              <c:layout>
                <c:manualLayout>
                  <c:x val="1.94457842130418E-2"/>
                  <c:y val="-1.3890104121095544E-2"/>
                </c:manualLayout>
              </c:layout>
              <c:showLegendKey val="0"/>
              <c:showVal val="1"/>
              <c:showCatName val="0"/>
              <c:showSerName val="0"/>
              <c:showPercent val="0"/>
              <c:showBubbleSize val="1"/>
              <c:separator>; </c:separator>
              <c:extLst>
                <c:ext xmlns:c15="http://schemas.microsoft.com/office/drawing/2012/chart" uri="{CE6537A1-D6FC-4f65-9D91-7224C49458BB}"/>
              </c:extLst>
            </c:dLbl>
            <c:dLbl>
              <c:idx val="4"/>
              <c:layout>
                <c:manualLayout>
                  <c:x val="2.7777777777777801E-3"/>
                  <c:y val="0.148148148148148"/>
                </c:manualLayout>
              </c:layout>
              <c:showLegendKey val="0"/>
              <c:showVal val="1"/>
              <c:showCatName val="0"/>
              <c:showSerName val="0"/>
              <c:showPercent val="0"/>
              <c:showBubbleSize val="1"/>
              <c:separator>; </c:separator>
              <c:extLst>
                <c:ext xmlns:c15="http://schemas.microsoft.com/office/drawing/2012/chart" uri="{CE6537A1-D6FC-4f65-9D91-7224C49458BB}"/>
              </c:extLst>
            </c:dLbl>
            <c:dLbl>
              <c:idx val="5"/>
              <c:layout>
                <c:manualLayout>
                  <c:x val="0"/>
                  <c:y val="0.15277777777777801"/>
                </c:manualLayout>
              </c:layout>
              <c:showLegendKey val="0"/>
              <c:showVal val="1"/>
              <c:showCatName val="0"/>
              <c:showSerName val="0"/>
              <c:showPercent val="0"/>
              <c:showBubbleSize val="1"/>
              <c:separator>; </c:separator>
              <c:extLst>
                <c:ext xmlns:c15="http://schemas.microsoft.com/office/drawing/2012/chart" uri="{CE6537A1-D6FC-4f65-9D91-7224C49458BB}"/>
              </c:extLst>
            </c:dLbl>
            <c:dLbl>
              <c:idx val="6"/>
              <c:layout>
                <c:manualLayout>
                  <c:x val="-1.0185067526416E-16"/>
                  <c:y val="0.157407407407407"/>
                </c:manualLayout>
              </c:layout>
              <c:showLegendKey val="0"/>
              <c:showVal val="1"/>
              <c:showCatName val="0"/>
              <c:showSerName val="0"/>
              <c:showPercent val="0"/>
              <c:showBubbleSize val="1"/>
              <c:separator>; </c:separator>
              <c:extLst>
                <c:ext xmlns:c15="http://schemas.microsoft.com/office/drawing/2012/chart" uri="{CE6537A1-D6FC-4f65-9D91-7224C49458BB}"/>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cs-CZ"/>
              </a:p>
            </c:txP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Inv.přij.transf.!$I$11:$L$11</c:f>
              <c:numCache>
                <c:formatCode>General</c:formatCode>
                <c:ptCount val="3"/>
                <c:pt idx="0">
                  <c:v>2020</c:v>
                </c:pt>
                <c:pt idx="1">
                  <c:v>2021</c:v>
                </c:pt>
                <c:pt idx="2">
                  <c:v>2022</c:v>
                </c:pt>
              </c:numCache>
            </c:numRef>
          </c:cat>
          <c:val>
            <c:numRef>
              <c:f>Inv.přij.transf.!$I$12:$L$12</c:f>
              <c:numCache>
                <c:formatCode>#,##0</c:formatCode>
                <c:ptCount val="3"/>
                <c:pt idx="0">
                  <c:v>99380.742600000012</c:v>
                </c:pt>
                <c:pt idx="1">
                  <c:v>24849.040350000003</c:v>
                </c:pt>
                <c:pt idx="2">
                  <c:v>4913.1408700000002</c:v>
                </c:pt>
              </c:numCache>
            </c:numRef>
          </c:val>
        </c:ser>
        <c:dLbls>
          <c:showLegendKey val="0"/>
          <c:showVal val="0"/>
          <c:showCatName val="0"/>
          <c:showSerName val="0"/>
          <c:showPercent val="0"/>
          <c:showBubbleSize val="0"/>
        </c:dLbls>
        <c:gapWidth val="150"/>
        <c:shape val="box"/>
        <c:axId val="517556216"/>
        <c:axId val="517552688"/>
        <c:axId val="0"/>
      </c:bar3DChart>
      <c:catAx>
        <c:axId val="517556216"/>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517552688"/>
        <c:crosses val="autoZero"/>
        <c:auto val="1"/>
        <c:lblAlgn val="ctr"/>
        <c:lblOffset val="100"/>
        <c:noMultiLvlLbl val="0"/>
      </c:catAx>
      <c:valAx>
        <c:axId val="5175526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517556216"/>
        <c:crosses val="autoZero"/>
        <c:crossBetween val="between"/>
      </c:valAx>
      <c:spPr>
        <a:noFill/>
        <a:ln>
          <a:noFill/>
        </a:ln>
        <a:effectLst/>
      </c:spPr>
    </c:plotArea>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cs-CZ" sz="1100"/>
              <a:t>Výdaje - skutečnost roku 2022</a:t>
            </a:r>
          </a:p>
        </c:rich>
      </c:tx>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a:noFill/>
              </a:ln>
              <a:effectLst/>
              <a:sp3d/>
            </c:spPr>
          </c:dPt>
          <c:dPt>
            <c:idx val="1"/>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a:noFill/>
              </a:ln>
              <a:effectLst/>
              <a:sp3d/>
            </c:spPr>
          </c:dPt>
          <c:dLbls>
            <c:dLbl>
              <c:idx val="0"/>
              <c:layout/>
              <c:dLblPos val="ctr"/>
              <c:showLegendKey val="0"/>
              <c:showVal val="0"/>
              <c:showCatName val="1"/>
              <c:showSerName val="0"/>
              <c:showPercent val="1"/>
              <c:showBubbleSize val="1"/>
              <c:extLst>
                <c:ext xmlns:c15="http://schemas.microsoft.com/office/drawing/2012/chart" uri="{CE6537A1-D6FC-4f65-9D91-7224C49458BB}">
                  <c15:layout/>
                </c:ext>
              </c:extLst>
            </c:dLbl>
            <c:dLbl>
              <c:idx val="1"/>
              <c:layout>
                <c:manualLayout>
                  <c:x val="0.18619814515206118"/>
                  <c:y val="0.12983214080075114"/>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cs-CZ"/>
              </a:p>
            </c:txPr>
            <c:dLblPos val="ctr"/>
            <c:showLegendKey val="0"/>
            <c:showVal val="0"/>
            <c:showCatName val="1"/>
            <c:showSerName val="0"/>
            <c:showPercent val="1"/>
            <c:showBubbleSize val="1"/>
            <c:separator>
</c:separator>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Výdaje!$F$15:$F$16</c:f>
              <c:strCache>
                <c:ptCount val="2"/>
                <c:pt idx="0">
                  <c:v>Běžné výdaje</c:v>
                </c:pt>
                <c:pt idx="1">
                  <c:v>Kapitálové výdaje</c:v>
                </c:pt>
              </c:strCache>
            </c:strRef>
          </c:cat>
          <c:val>
            <c:numRef>
              <c:f>Výdaje!$G$15:$G$16</c:f>
              <c:numCache>
                <c:formatCode>#,##0.00</c:formatCode>
                <c:ptCount val="2"/>
                <c:pt idx="0">
                  <c:v>916738437.70000005</c:v>
                </c:pt>
                <c:pt idx="1">
                  <c:v>237799832.15000001</c:v>
                </c:pt>
              </c:numCache>
            </c:numRef>
          </c:val>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cs-CZ" sz="1100"/>
              <a:t>Srovnání běžných výdajů (v tis. Kč)</a:t>
            </a:r>
          </a:p>
        </c:rich>
      </c:tx>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821092641969705"/>
          <c:y val="0.20651059626102031"/>
          <c:w val="0.84650346038632396"/>
          <c:h val="0.72078720787207895"/>
        </c:manualLayout>
      </c:layout>
      <c:bar3DChart>
        <c:barDir val="col"/>
        <c:grouping val="clustered"/>
        <c:varyColors val="0"/>
        <c:ser>
          <c:idx val="0"/>
          <c:order val="0"/>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a:sp3d contourW="9525">
              <a:contourClr>
                <a:schemeClr val="accent6">
                  <a:shade val="95000"/>
                </a:schemeClr>
              </a:contourClr>
            </a:sp3d>
          </c:spPr>
          <c:invertIfNegative val="0"/>
          <c:dPt>
            <c:idx val="0"/>
            <c:invertIfNegative val="0"/>
            <c:bubble3D val="0"/>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a:sp3d contourW="9525">
                <a:contourClr>
                  <a:schemeClr val="accent6">
                    <a:shade val="95000"/>
                  </a:schemeClr>
                </a:contourClr>
              </a:sp3d>
            </c:spPr>
          </c:dPt>
          <c:dPt>
            <c:idx val="1"/>
            <c:invertIfNegative val="0"/>
            <c:bubble3D val="0"/>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a:sp3d contourW="9525">
                <a:contourClr>
                  <a:schemeClr val="accent6">
                    <a:shade val="95000"/>
                  </a:schemeClr>
                </a:contourClr>
              </a:sp3d>
            </c:spPr>
          </c:dPt>
          <c:dPt>
            <c:idx val="2"/>
            <c:invertIfNegative val="0"/>
            <c:bubble3D val="0"/>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a:sp3d contourW="9525">
                <a:contourClr>
                  <a:schemeClr val="accent6">
                    <a:shade val="95000"/>
                  </a:schemeClr>
                </a:contourClr>
              </a:sp3d>
            </c:spPr>
          </c:dPt>
          <c:dPt>
            <c:idx val="3"/>
            <c:invertIfNegative val="0"/>
            <c:bubble3D val="0"/>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a:sp3d contourW="9525">
                <a:contourClr>
                  <a:schemeClr val="accent6">
                    <a:shade val="95000"/>
                  </a:schemeClr>
                </a:contourClr>
              </a:sp3d>
            </c:spPr>
          </c:dPt>
          <c:dPt>
            <c:idx val="4"/>
            <c:invertIfNegative val="0"/>
            <c:bubble3D val="0"/>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a:sp3d contourW="9525">
                <a:contourClr>
                  <a:schemeClr val="accent6">
                    <a:shade val="95000"/>
                  </a:schemeClr>
                </a:contourClr>
              </a:sp3d>
            </c:spPr>
          </c:dPt>
          <c:dPt>
            <c:idx val="5"/>
            <c:invertIfNegative val="0"/>
            <c:bubble3D val="0"/>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a:sp3d contourW="9525">
                <a:contourClr>
                  <a:schemeClr val="accent6">
                    <a:shade val="95000"/>
                  </a:schemeClr>
                </a:contourClr>
              </a:sp3d>
            </c:spPr>
          </c:dPt>
          <c:dPt>
            <c:idx val="6"/>
            <c:invertIfNegative val="0"/>
            <c:bubble3D val="0"/>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a:sp3d contourW="9525">
                <a:contourClr>
                  <a:schemeClr val="accent6">
                    <a:shade val="95000"/>
                  </a:schemeClr>
                </a:contourClr>
              </a:sp3d>
            </c:spPr>
          </c:dPt>
          <c:dPt>
            <c:idx val="7"/>
            <c:invertIfNegative val="0"/>
            <c:bubble3D val="0"/>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a:sp3d contourW="9525">
                <a:contourClr>
                  <a:schemeClr val="accent6">
                    <a:shade val="95000"/>
                  </a:schemeClr>
                </a:contourClr>
              </a:sp3d>
            </c:spPr>
          </c:dPt>
          <c:dLbls>
            <c:dLbl>
              <c:idx val="0"/>
              <c:layout>
                <c:manualLayout>
                  <c:x val="-2.2922132467552899E-17"/>
                  <c:y val="0.191142191142191"/>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1"/>
              <c:layout>
                <c:manualLayout>
                  <c:x val="2.77769868474371E-3"/>
                  <c:y val="0.203703703703704"/>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2"/>
              <c:layout>
                <c:manualLayout>
                  <c:x val="2.7739752280617198E-3"/>
                  <c:y val="0.194444444444444"/>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3"/>
              <c:layout>
                <c:manualLayout>
                  <c:x val="-2.7777777777777801E-3"/>
                  <c:y val="0.18518518518518501"/>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4"/>
              <c:layout>
                <c:manualLayout>
                  <c:x val="0"/>
                  <c:y val="0.21296296296296299"/>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5"/>
              <c:layout>
                <c:manualLayout>
                  <c:x val="2.7777777777776799E-3"/>
                  <c:y val="0.20833333333333301"/>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6"/>
              <c:layout>
                <c:manualLayout>
                  <c:x val="0"/>
                  <c:y val="0.20046620046620001"/>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7"/>
              <c:layout>
                <c:manualLayout>
                  <c:x val="2.50062515628907E-3"/>
                  <c:y val="0.191142191142191"/>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8"/>
              <c:layout>
                <c:manualLayout>
                  <c:x val="0"/>
                  <c:y val="0.17264817835780311"/>
                </c:manualLayout>
              </c:layout>
              <c:showLegendKey val="0"/>
              <c:showVal val="1"/>
              <c:showCatName val="0"/>
              <c:showSerName val="0"/>
              <c:showPercent val="0"/>
              <c:showBubbleSize val="1"/>
              <c:separator>; </c:separator>
              <c:extLst>
                <c:ext xmlns:c15="http://schemas.microsoft.com/office/drawing/2012/chart" uri="{CE6537A1-D6FC-4f65-9D91-7224C49458BB}"/>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cs-CZ"/>
              </a:p>
            </c:txP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'Běžné výdaje'!$B$23:$J$23</c:f>
              <c:numCache>
                <c:formatCode>General</c:formatCode>
                <c:ptCount val="8"/>
                <c:pt idx="0">
                  <c:v>2015</c:v>
                </c:pt>
                <c:pt idx="1">
                  <c:v>2016</c:v>
                </c:pt>
                <c:pt idx="2">
                  <c:v>2017</c:v>
                </c:pt>
                <c:pt idx="3">
                  <c:v>2018</c:v>
                </c:pt>
                <c:pt idx="4">
                  <c:v>2019</c:v>
                </c:pt>
                <c:pt idx="5">
                  <c:v>2020</c:v>
                </c:pt>
                <c:pt idx="6">
                  <c:v>2021</c:v>
                </c:pt>
                <c:pt idx="7">
                  <c:v>2022</c:v>
                </c:pt>
              </c:numCache>
            </c:numRef>
          </c:cat>
          <c:val>
            <c:numRef>
              <c:f>'Běžné výdaje'!$B$32:$J$32</c:f>
              <c:numCache>
                <c:formatCode>#,##0</c:formatCode>
                <c:ptCount val="8"/>
                <c:pt idx="0">
                  <c:v>633512.06262999994</c:v>
                </c:pt>
                <c:pt idx="1">
                  <c:v>658527.17116999999</c:v>
                </c:pt>
                <c:pt idx="2">
                  <c:v>698619.97044999991</c:v>
                </c:pt>
                <c:pt idx="3">
                  <c:v>758494.08812999993</c:v>
                </c:pt>
                <c:pt idx="4">
                  <c:v>888013.5186500001</c:v>
                </c:pt>
                <c:pt idx="5">
                  <c:v>811306.8589600001</c:v>
                </c:pt>
                <c:pt idx="6">
                  <c:v>845146.93990999996</c:v>
                </c:pt>
                <c:pt idx="7">
                  <c:v>916738.43769999978</c:v>
                </c:pt>
              </c:numCache>
            </c:numRef>
          </c:val>
        </c:ser>
        <c:dLbls>
          <c:showLegendKey val="0"/>
          <c:showVal val="0"/>
          <c:showCatName val="0"/>
          <c:showSerName val="0"/>
          <c:showPercent val="0"/>
          <c:showBubbleSize val="0"/>
        </c:dLbls>
        <c:gapWidth val="150"/>
        <c:shape val="box"/>
        <c:axId val="517554648"/>
        <c:axId val="521780008"/>
        <c:axId val="0"/>
      </c:bar3DChart>
      <c:catAx>
        <c:axId val="517554648"/>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521780008"/>
        <c:crosses val="autoZero"/>
        <c:auto val="1"/>
        <c:lblAlgn val="ctr"/>
        <c:lblOffset val="100"/>
        <c:noMultiLvlLbl val="0"/>
      </c:catAx>
      <c:valAx>
        <c:axId val="521780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517554648"/>
        <c:crosses val="autoZero"/>
        <c:crossBetween val="between"/>
      </c:valAx>
      <c:spPr>
        <a:noFill/>
        <a:ln>
          <a:noFill/>
        </a:ln>
        <a:effectLst/>
      </c:spPr>
    </c:plotArea>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cs-CZ" sz="1050"/>
              <a:t>Srovnání platů a podobných a souvisejících výdajů (v tis. Kč)</a:t>
            </a:r>
            <a:r>
              <a:rPr lang="cs-CZ"/>
              <a:t>
</a:t>
            </a:r>
          </a:p>
        </c:rich>
      </c:tx>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5872480589758"/>
          <c:y val="0.275840978593272"/>
          <c:w val="0.84275743078974197"/>
          <c:h val="0.61590214067278304"/>
        </c:manualLayout>
      </c:layout>
      <c:bar3DChart>
        <c:barDir val="col"/>
        <c:grouping val="clustered"/>
        <c:varyColors val="0"/>
        <c:ser>
          <c:idx val="0"/>
          <c:order val="0"/>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a:sp3d contourW="9525">
              <a:contourClr>
                <a:schemeClr val="accent6">
                  <a:shade val="95000"/>
                </a:schemeClr>
              </a:contourClr>
            </a:sp3d>
          </c:spPr>
          <c:invertIfNegative val="0"/>
          <c:dPt>
            <c:idx val="0"/>
            <c:invertIfNegative val="0"/>
            <c:bubble3D val="0"/>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a:sp3d contourW="9525">
                <a:contourClr>
                  <a:schemeClr val="accent6">
                    <a:shade val="95000"/>
                  </a:schemeClr>
                </a:contourClr>
              </a:sp3d>
            </c:spPr>
          </c:dPt>
          <c:dPt>
            <c:idx val="1"/>
            <c:invertIfNegative val="0"/>
            <c:bubble3D val="0"/>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a:sp3d contourW="9525">
                <a:contourClr>
                  <a:schemeClr val="accent6">
                    <a:shade val="95000"/>
                  </a:schemeClr>
                </a:contourClr>
              </a:sp3d>
            </c:spPr>
          </c:dPt>
          <c:dPt>
            <c:idx val="2"/>
            <c:invertIfNegative val="0"/>
            <c:bubble3D val="0"/>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a:sp3d contourW="9525">
                <a:contourClr>
                  <a:schemeClr val="accent6">
                    <a:shade val="95000"/>
                  </a:schemeClr>
                </a:contourClr>
              </a:sp3d>
            </c:spPr>
          </c:dPt>
          <c:dLbls>
            <c:dLbl>
              <c:idx val="0"/>
              <c:layout>
                <c:manualLayout>
                  <c:x val="-8.2654624627046211E-5"/>
                  <c:y val="0.26076340493450073"/>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1"/>
              <c:layout>
                <c:manualLayout>
                  <c:x val="-9.0718490444371158E-5"/>
                  <c:y val="0.25052094795410945"/>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2"/>
              <c:layout>
                <c:manualLayout>
                  <c:x val="2.6765314625163596E-3"/>
                  <c:y val="0.25376511882770592"/>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3"/>
              <c:layout>
                <c:manualLayout>
                  <c:x val="0"/>
                  <c:y val="0.23149784485154035"/>
                </c:manualLayout>
              </c:layout>
              <c:showLegendKey val="0"/>
              <c:showVal val="1"/>
              <c:showCatName val="0"/>
              <c:showSerName val="0"/>
              <c:showPercent val="0"/>
              <c:showBubbleSize val="1"/>
              <c:separator>; </c:separator>
              <c:extLst>
                <c:ext xmlns:c15="http://schemas.microsoft.com/office/drawing/2012/chart" uri="{CE6537A1-D6FC-4f65-9D91-7224C49458BB}"/>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cs-CZ"/>
              </a:p>
            </c:txP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'50xx'!$J$2:$M$2</c:f>
              <c:numCache>
                <c:formatCode>General</c:formatCode>
                <c:ptCount val="3"/>
                <c:pt idx="0">
                  <c:v>2020</c:v>
                </c:pt>
                <c:pt idx="1">
                  <c:v>2021</c:v>
                </c:pt>
                <c:pt idx="2">
                  <c:v>2022</c:v>
                </c:pt>
              </c:numCache>
            </c:numRef>
          </c:cat>
          <c:val>
            <c:numRef>
              <c:f>'50xx'!$J$3:$M$3</c:f>
              <c:numCache>
                <c:formatCode>#,##0</c:formatCode>
                <c:ptCount val="3"/>
                <c:pt idx="0">
                  <c:v>243451.18881999995</c:v>
                </c:pt>
                <c:pt idx="1">
                  <c:v>250347.87684999997</c:v>
                </c:pt>
                <c:pt idx="2">
                  <c:v>264499.59659999999</c:v>
                </c:pt>
              </c:numCache>
            </c:numRef>
          </c:val>
        </c:ser>
        <c:dLbls>
          <c:showLegendKey val="0"/>
          <c:showVal val="0"/>
          <c:showCatName val="0"/>
          <c:showSerName val="0"/>
          <c:showPercent val="0"/>
          <c:showBubbleSize val="0"/>
        </c:dLbls>
        <c:gapWidth val="150"/>
        <c:shape val="box"/>
        <c:axId val="615927256"/>
        <c:axId val="615926472"/>
        <c:axId val="0"/>
      </c:bar3DChart>
      <c:catAx>
        <c:axId val="615927256"/>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615926472"/>
        <c:crosses val="autoZero"/>
        <c:auto val="1"/>
        <c:lblAlgn val="ctr"/>
        <c:lblOffset val="100"/>
        <c:noMultiLvlLbl val="0"/>
      </c:catAx>
      <c:valAx>
        <c:axId val="615926472"/>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615927256"/>
        <c:crosses val="autoZero"/>
        <c:crossBetween val="between"/>
      </c:valAx>
      <c:spPr>
        <a:noFill/>
        <a:ln>
          <a:noFill/>
        </a:ln>
        <a:effectLst/>
      </c:spPr>
    </c:plotArea>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cs-CZ" sz="1100"/>
              <a:t>Srovnání neinvestičních nákupů a souvisejících výdajů           (v tis. Kč)</a:t>
            </a:r>
            <a:r>
              <a:rPr lang="cs-CZ"/>
              <a:t>
</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5872480589758"/>
          <c:y val="0.275954738330976"/>
          <c:w val="0.84275743078974197"/>
          <c:h val="0.61598302687411599"/>
        </c:manualLayout>
      </c:layout>
      <c:bar3DChart>
        <c:barDir val="col"/>
        <c:grouping val="clustered"/>
        <c:varyColors val="0"/>
        <c:ser>
          <c:idx val="0"/>
          <c:order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Pt>
            <c:idx val="0"/>
            <c:invertIfNegative val="0"/>
            <c:bubble3D val="0"/>
          </c:dPt>
          <c:dPt>
            <c:idx val="1"/>
            <c:invertIfNegative val="0"/>
            <c:bubble3D val="0"/>
          </c:dPt>
          <c:dPt>
            <c:idx val="2"/>
            <c:invertIfNegative val="0"/>
            <c:bubble3D val="0"/>
          </c:dPt>
          <c:dLbls>
            <c:dLbl>
              <c:idx val="0"/>
              <c:layout>
                <c:manualLayout>
                  <c:x val="-8.2654624627046211E-5"/>
                  <c:y val="0.21825535510652785"/>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1"/>
              <c:layout>
                <c:manualLayout>
                  <c:x val="2.7538101765986612E-3"/>
                  <c:y val="0.21930545642489724"/>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2"/>
              <c:layout>
                <c:manualLayout>
                  <c:x val="-1.682212007992187E-4"/>
                  <c:y val="0.22687644081284405"/>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3"/>
              <c:layout>
                <c:manualLayout>
                  <c:x val="0"/>
                  <c:y val="0.21879845438212203"/>
                </c:manualLayout>
              </c:layout>
              <c:showLegendKey val="0"/>
              <c:showVal val="1"/>
              <c:showCatName val="0"/>
              <c:showSerName val="0"/>
              <c:showPercent val="0"/>
              <c:showBubbleSize val="1"/>
              <c:separator>; </c:separator>
              <c:extLst>
                <c:ext xmlns:c15="http://schemas.microsoft.com/office/drawing/2012/chart" uri="{CE6537A1-D6FC-4f65-9D91-7224C49458BB}"/>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'51xx'!$K$2:$N$2</c:f>
              <c:numCache>
                <c:formatCode>General</c:formatCode>
                <c:ptCount val="3"/>
                <c:pt idx="0">
                  <c:v>2020</c:v>
                </c:pt>
                <c:pt idx="1">
                  <c:v>2021</c:v>
                </c:pt>
                <c:pt idx="2">
                  <c:v>2022</c:v>
                </c:pt>
              </c:numCache>
            </c:numRef>
          </c:cat>
          <c:val>
            <c:numRef>
              <c:f>'51xx'!$K$3:$N$3</c:f>
              <c:numCache>
                <c:formatCode>#,##0</c:formatCode>
                <c:ptCount val="3"/>
                <c:pt idx="0">
                  <c:v>356151.51603000006</c:v>
                </c:pt>
                <c:pt idx="1">
                  <c:v>359368.68154000002</c:v>
                </c:pt>
                <c:pt idx="2">
                  <c:v>387727.30244999996</c:v>
                </c:pt>
              </c:numCache>
            </c:numRef>
          </c:val>
        </c:ser>
        <c:dLbls>
          <c:showLegendKey val="0"/>
          <c:showVal val="0"/>
          <c:showCatName val="0"/>
          <c:showSerName val="0"/>
          <c:showPercent val="0"/>
          <c:showBubbleSize val="0"/>
        </c:dLbls>
        <c:gapWidth val="150"/>
        <c:shape val="box"/>
        <c:axId val="615928040"/>
        <c:axId val="615926864"/>
        <c:axId val="0"/>
      </c:bar3DChart>
      <c:catAx>
        <c:axId val="615928040"/>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15926864"/>
        <c:crosses val="autoZero"/>
        <c:auto val="1"/>
        <c:lblAlgn val="ctr"/>
        <c:lblOffset val="100"/>
        <c:noMultiLvlLbl val="0"/>
      </c:catAx>
      <c:valAx>
        <c:axId val="615926864"/>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15928040"/>
        <c:crosses val="autoZero"/>
        <c:crossBetween val="between"/>
      </c:valAx>
      <c:spPr>
        <a:noFill/>
        <a:ln>
          <a:noFill/>
        </a:ln>
        <a:effectLst/>
      </c:spPr>
    </c:plotArea>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cs-CZ" sz="1100"/>
              <a:t>Srovnání neinvestičních transferů podnikatelským subjektům            a neziskovým organizacím (v tis. Kč)</a:t>
            </a:r>
            <a:r>
              <a:rPr lang="cs-CZ"/>
              <a:t>
</a:t>
            </a:r>
          </a:p>
        </c:rich>
      </c:tx>
      <c:layout>
        <c:manualLayout>
          <c:xMode val="edge"/>
          <c:yMode val="edge"/>
          <c:x val="0.14079121184731999"/>
          <c:y val="4.1373239436619698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5843009107975"/>
          <c:y val="0.275821596244131"/>
          <c:w val="0.84280052840158504"/>
          <c:h val="0.61605046948356801"/>
        </c:manualLayout>
      </c:layout>
      <c:bar3DChart>
        <c:barDir val="col"/>
        <c:grouping val="clustered"/>
        <c:varyColors val="0"/>
        <c:ser>
          <c:idx val="0"/>
          <c:order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Pt>
            <c:idx val="0"/>
            <c:invertIfNegative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invertIfNegative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invertIfNegative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dLbl>
              <c:idx val="0"/>
              <c:layout>
                <c:manualLayout>
                  <c:x val="-4.0068598076552762E-4"/>
                  <c:y val="0.20608393029517857"/>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1"/>
              <c:layout>
                <c:manualLayout>
                  <c:x val="2.1176273978489491E-3"/>
                  <c:y val="0.19556470050297201"/>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2"/>
              <c:layout>
                <c:manualLayout>
                  <c:x val="2.6766778476755705E-3"/>
                  <c:y val="0.19731367169638775"/>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3"/>
              <c:layout>
                <c:manualLayout>
                  <c:x val="0"/>
                  <c:y val="0.18819116327118157"/>
                </c:manualLayout>
              </c:layout>
              <c:showLegendKey val="0"/>
              <c:showVal val="1"/>
              <c:showCatName val="0"/>
              <c:showSerName val="0"/>
              <c:showPercent val="0"/>
              <c:showBubbleSize val="1"/>
              <c:separator>; </c:separator>
              <c:extLst>
                <c:ext xmlns:c15="http://schemas.microsoft.com/office/drawing/2012/chart" uri="{CE6537A1-D6FC-4f65-9D91-7224C49458BB}"/>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'52xx'!$K$2:$N$2</c:f>
              <c:numCache>
                <c:formatCode>General</c:formatCode>
                <c:ptCount val="3"/>
                <c:pt idx="0">
                  <c:v>2020</c:v>
                </c:pt>
                <c:pt idx="1">
                  <c:v>2021</c:v>
                </c:pt>
                <c:pt idx="2">
                  <c:v>2022</c:v>
                </c:pt>
              </c:numCache>
            </c:numRef>
          </c:cat>
          <c:val>
            <c:numRef>
              <c:f>'52xx'!$K$3:$N$3</c:f>
              <c:numCache>
                <c:formatCode>#,##0</c:formatCode>
                <c:ptCount val="3"/>
                <c:pt idx="0">
                  <c:v>51070.308799999999</c:v>
                </c:pt>
                <c:pt idx="1">
                  <c:v>47946.60742</c:v>
                </c:pt>
                <c:pt idx="2">
                  <c:v>80248.593640000006</c:v>
                </c:pt>
              </c:numCache>
            </c:numRef>
          </c:val>
        </c:ser>
        <c:dLbls>
          <c:showLegendKey val="0"/>
          <c:showVal val="0"/>
          <c:showCatName val="0"/>
          <c:showSerName val="0"/>
          <c:showPercent val="0"/>
          <c:showBubbleSize val="0"/>
        </c:dLbls>
        <c:gapWidth val="150"/>
        <c:shape val="box"/>
        <c:axId val="615928824"/>
        <c:axId val="615929216"/>
        <c:axId val="0"/>
      </c:bar3DChart>
      <c:catAx>
        <c:axId val="615928824"/>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15929216"/>
        <c:crosses val="autoZero"/>
        <c:auto val="1"/>
        <c:lblAlgn val="ctr"/>
        <c:lblOffset val="100"/>
        <c:noMultiLvlLbl val="0"/>
      </c:catAx>
      <c:valAx>
        <c:axId val="615929216"/>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15928824"/>
        <c:crosses val="autoZero"/>
        <c:crossBetween val="between"/>
      </c:valAx>
      <c:spPr>
        <a:noFill/>
        <a:ln>
          <a:noFill/>
        </a:ln>
        <a:effectLst/>
      </c:spPr>
    </c:plotArea>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lang="en-US" sz="1400" b="0" strike="noStrike" spc="-1">
                <a:solidFill>
                  <a:srgbClr val="595959"/>
                </a:solidFill>
                <a:latin typeface="Calibri"/>
              </a:defRPr>
            </a:pPr>
            <a:r>
              <a:rPr lang="en-US" sz="1200" b="0" strike="noStrike" spc="-1">
                <a:solidFill>
                  <a:srgbClr val="595959"/>
                </a:solidFill>
                <a:latin typeface="Calibri"/>
              </a:rPr>
              <a:t>Vyhodnocení rozpočtu - rok 202</a:t>
            </a:r>
            <a:r>
              <a:rPr lang="cs-CZ" sz="1200" b="0" strike="noStrike" spc="-1">
                <a:solidFill>
                  <a:srgbClr val="595959"/>
                </a:solidFill>
                <a:latin typeface="Calibri"/>
              </a:rPr>
              <a:t>2</a:t>
            </a:r>
            <a:r>
              <a:rPr lang="en-US" sz="1200" b="0" strike="noStrike" spc="-1">
                <a:solidFill>
                  <a:srgbClr val="595959"/>
                </a:solidFill>
                <a:latin typeface="Calibri"/>
              </a:rPr>
              <a:t> příjmy po konsolidaci dle tříd (v Kč)</a:t>
            </a:r>
          </a:p>
        </c:rich>
      </c:tx>
      <c:layout>
        <c:manualLayout>
          <c:xMode val="edge"/>
          <c:yMode val="edge"/>
          <c:x val="0.121344629680241"/>
          <c:y val="2.3126431766117599E-2"/>
        </c:manualLayout>
      </c:layout>
      <c:overlay val="0"/>
      <c:spPr>
        <a:noFill/>
        <a:ln w="0">
          <a:noFill/>
        </a:ln>
      </c:spPr>
    </c:title>
    <c:autoTitleDeleted val="0"/>
    <c:view3D>
      <c:rotX val="15"/>
      <c:rotY val="20"/>
      <c:rAngAx val="1"/>
    </c:view3D>
    <c:floor>
      <c:thickness val="0"/>
      <c:spPr>
        <a:noFill/>
        <a:ln w="6480">
          <a:noFill/>
        </a:ln>
      </c:spPr>
    </c:floor>
    <c:sideWall>
      <c:thickness val="0"/>
      <c:spPr>
        <a:noFill/>
        <a:ln w="6480">
          <a:noFill/>
        </a:ln>
      </c:spPr>
    </c:sideWall>
    <c:backWall>
      <c:thickness val="0"/>
      <c:spPr>
        <a:noFill/>
        <a:ln w="6480">
          <a:noFill/>
        </a:ln>
      </c:spPr>
    </c:backWall>
    <c:plotArea>
      <c:layout/>
      <c:bar3DChart>
        <c:barDir val="col"/>
        <c:grouping val="clustered"/>
        <c:varyColors val="0"/>
        <c:ser>
          <c:idx val="0"/>
          <c:order val="0"/>
          <c:tx>
            <c:strRef>
              <c:f>'Příjmy-druhové třídění'!$A$22</c:f>
              <c:strCache>
                <c:ptCount val="1"/>
                <c:pt idx="0">
                  <c:v>Schválený rozpočet</c:v>
                </c:pt>
              </c:strCache>
            </c:strRef>
          </c:tx>
          <c:spPr>
            <a:gradFill>
              <a:gsLst>
                <a:gs pos="50000">
                  <a:srgbClr val="92D050"/>
                </a:gs>
                <a:gs pos="100000">
                  <a:srgbClr val="FFFFFF"/>
                </a:gs>
              </a:gsLst>
              <a:lin ang="18900000"/>
            </a:gradFill>
            <a:ln w="0">
              <a:noFill/>
            </a:ln>
          </c:spPr>
          <c:invertIfNegative val="0"/>
          <c:dLbls>
            <c:spPr>
              <a:noFill/>
              <a:ln>
                <a:noFill/>
              </a:ln>
              <a:effectLst/>
            </c:spPr>
            <c:txPr>
              <a:bodyPr wrap="square"/>
              <a:lstStyle/>
              <a:p>
                <a:pPr>
                  <a:defRPr sz="1000" b="0" strike="noStrike" spc="-1">
                    <a:solidFill>
                      <a:srgbClr val="000000"/>
                    </a:solidFill>
                    <a:latin typeface="Calibri"/>
                  </a:defRPr>
                </a:pPr>
                <a:endParaRPr lang="cs-CZ"/>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'Příjmy-druhové třídění'!$B$21:$E$21</c:f>
              <c:strCache>
                <c:ptCount val="4"/>
                <c:pt idx="0">
                  <c:v>Daňové příjmy</c:v>
                </c:pt>
                <c:pt idx="1">
                  <c:v>Nedaňové příjmy</c:v>
                </c:pt>
                <c:pt idx="2">
                  <c:v>Kapitálové příjmy</c:v>
                </c:pt>
                <c:pt idx="3">
                  <c:v>Přijaté dotace</c:v>
                </c:pt>
              </c:strCache>
            </c:strRef>
          </c:cat>
          <c:val>
            <c:numRef>
              <c:f>'Příjmy-druhové třídění'!$B$22:$E$22</c:f>
              <c:numCache>
                <c:formatCode>#,##0.00</c:formatCode>
                <c:ptCount val="4"/>
                <c:pt idx="0">
                  <c:v>777929604.27999997</c:v>
                </c:pt>
                <c:pt idx="1">
                  <c:v>137916079</c:v>
                </c:pt>
                <c:pt idx="2">
                  <c:v>1003000</c:v>
                </c:pt>
                <c:pt idx="3">
                  <c:v>84050998.719999999</c:v>
                </c:pt>
              </c:numCache>
            </c:numRef>
          </c:val>
        </c:ser>
        <c:ser>
          <c:idx val="1"/>
          <c:order val="1"/>
          <c:tx>
            <c:strRef>
              <c:f>'Příjmy-druhové třídění'!$A$23</c:f>
              <c:strCache>
                <c:ptCount val="1"/>
                <c:pt idx="0">
                  <c:v>Upravený rozpočet</c:v>
                </c:pt>
              </c:strCache>
            </c:strRef>
          </c:tx>
          <c:spPr>
            <a:gradFill>
              <a:gsLst>
                <a:gs pos="50000">
                  <a:srgbClr val="0070C0"/>
                </a:gs>
                <a:gs pos="100000">
                  <a:srgbClr val="FFFFFF"/>
                </a:gs>
              </a:gsLst>
              <a:lin ang="18900000"/>
            </a:gradFill>
            <a:ln w="0">
              <a:noFill/>
            </a:ln>
          </c:spPr>
          <c:invertIfNegative val="0"/>
          <c:dLbls>
            <c:spPr>
              <a:noFill/>
              <a:ln>
                <a:noFill/>
              </a:ln>
              <a:effectLst/>
            </c:spPr>
            <c:txPr>
              <a:bodyPr wrap="square"/>
              <a:lstStyle/>
              <a:p>
                <a:pPr>
                  <a:defRPr sz="1000" b="0" strike="noStrike" spc="-1">
                    <a:solidFill>
                      <a:srgbClr val="000000"/>
                    </a:solidFill>
                    <a:latin typeface="Calibri"/>
                  </a:defRPr>
                </a:pPr>
                <a:endParaRPr lang="cs-CZ"/>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'Příjmy-druhové třídění'!$B$21:$E$21</c:f>
              <c:strCache>
                <c:ptCount val="4"/>
                <c:pt idx="0">
                  <c:v>Daňové příjmy</c:v>
                </c:pt>
                <c:pt idx="1">
                  <c:v>Nedaňové příjmy</c:v>
                </c:pt>
                <c:pt idx="2">
                  <c:v>Kapitálové příjmy</c:v>
                </c:pt>
                <c:pt idx="3">
                  <c:v>Přijaté dotace</c:v>
                </c:pt>
              </c:strCache>
            </c:strRef>
          </c:cat>
          <c:val>
            <c:numRef>
              <c:f>'Příjmy-druhové třídění'!$B$23:$E$23</c:f>
              <c:numCache>
                <c:formatCode>#,##0.00</c:formatCode>
                <c:ptCount val="4"/>
                <c:pt idx="0">
                  <c:v>774962313.94000006</c:v>
                </c:pt>
                <c:pt idx="1">
                  <c:v>144118074.02000001</c:v>
                </c:pt>
                <c:pt idx="2">
                  <c:v>4740148</c:v>
                </c:pt>
                <c:pt idx="3">
                  <c:v>123478514.97</c:v>
                </c:pt>
              </c:numCache>
            </c:numRef>
          </c:val>
        </c:ser>
        <c:ser>
          <c:idx val="2"/>
          <c:order val="2"/>
          <c:tx>
            <c:strRef>
              <c:f>'Příjmy-druhové třídění'!$A$24</c:f>
              <c:strCache>
                <c:ptCount val="1"/>
                <c:pt idx="0">
                  <c:v>Skutečnost</c:v>
                </c:pt>
              </c:strCache>
            </c:strRef>
          </c:tx>
          <c:spPr>
            <a:gradFill>
              <a:gsLst>
                <a:gs pos="50000">
                  <a:srgbClr val="FFC000"/>
                </a:gs>
                <a:gs pos="100000">
                  <a:srgbClr val="FFFFFF"/>
                </a:gs>
              </a:gsLst>
              <a:lin ang="18900000"/>
            </a:gradFill>
            <a:ln w="0">
              <a:noFill/>
            </a:ln>
          </c:spPr>
          <c:invertIfNegative val="0"/>
          <c:dLbls>
            <c:spPr>
              <a:noFill/>
              <a:ln>
                <a:noFill/>
              </a:ln>
              <a:effectLst/>
            </c:spPr>
            <c:txPr>
              <a:bodyPr wrap="square"/>
              <a:lstStyle/>
              <a:p>
                <a:pPr>
                  <a:defRPr sz="1000" b="0" strike="noStrike" spc="-1">
                    <a:solidFill>
                      <a:srgbClr val="000000"/>
                    </a:solidFill>
                    <a:latin typeface="Calibri"/>
                  </a:defRPr>
                </a:pPr>
                <a:endParaRPr lang="cs-CZ"/>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'Příjmy-druhové třídění'!$B$21:$E$21</c:f>
              <c:strCache>
                <c:ptCount val="4"/>
                <c:pt idx="0">
                  <c:v>Daňové příjmy</c:v>
                </c:pt>
                <c:pt idx="1">
                  <c:v>Nedaňové příjmy</c:v>
                </c:pt>
                <c:pt idx="2">
                  <c:v>Kapitálové příjmy</c:v>
                </c:pt>
                <c:pt idx="3">
                  <c:v>Přijaté dotace</c:v>
                </c:pt>
              </c:strCache>
            </c:strRef>
          </c:cat>
          <c:val>
            <c:numRef>
              <c:f>'Příjmy-druhové třídění'!$B$24:$E$24</c:f>
              <c:numCache>
                <c:formatCode>#,##0.00</c:formatCode>
                <c:ptCount val="4"/>
                <c:pt idx="0">
                  <c:v>982699253.25</c:v>
                </c:pt>
                <c:pt idx="1">
                  <c:v>169765898.22</c:v>
                </c:pt>
                <c:pt idx="2">
                  <c:v>5103947.93</c:v>
                </c:pt>
                <c:pt idx="3">
                  <c:v>111101254.25</c:v>
                </c:pt>
              </c:numCache>
            </c:numRef>
          </c:val>
        </c:ser>
        <c:dLbls>
          <c:showLegendKey val="0"/>
          <c:showVal val="0"/>
          <c:showCatName val="0"/>
          <c:showSerName val="0"/>
          <c:showPercent val="0"/>
          <c:showBubbleSize val="0"/>
        </c:dLbls>
        <c:gapWidth val="150"/>
        <c:shape val="box"/>
        <c:axId val="523499648"/>
        <c:axId val="523500040"/>
        <c:axId val="0"/>
      </c:bar3DChart>
      <c:catAx>
        <c:axId val="523499648"/>
        <c:scaling>
          <c:orientation val="minMax"/>
        </c:scaling>
        <c:delete val="0"/>
        <c:axPos val="b"/>
        <c:numFmt formatCode="General" sourceLinked="0"/>
        <c:majorTickMark val="none"/>
        <c:minorTickMark val="none"/>
        <c:tickLblPos val="nextTo"/>
        <c:spPr>
          <a:ln w="6480">
            <a:noFill/>
          </a:ln>
        </c:spPr>
        <c:txPr>
          <a:bodyPr/>
          <a:lstStyle/>
          <a:p>
            <a:pPr>
              <a:defRPr sz="900" b="0" strike="noStrike" spc="-1">
                <a:solidFill>
                  <a:srgbClr val="595959"/>
                </a:solidFill>
                <a:latin typeface="Calibri"/>
              </a:defRPr>
            </a:pPr>
            <a:endParaRPr lang="cs-CZ"/>
          </a:p>
        </c:txPr>
        <c:crossAx val="523500040"/>
        <c:crosses val="autoZero"/>
        <c:auto val="1"/>
        <c:lblAlgn val="ctr"/>
        <c:lblOffset val="100"/>
        <c:noMultiLvlLbl val="0"/>
      </c:catAx>
      <c:valAx>
        <c:axId val="523500040"/>
        <c:scaling>
          <c:orientation val="minMax"/>
        </c:scaling>
        <c:delete val="0"/>
        <c:axPos val="l"/>
        <c:majorGridlines>
          <c:spPr>
            <a:ln w="9360">
              <a:solidFill>
                <a:srgbClr val="D9D9D9"/>
              </a:solidFill>
              <a:round/>
            </a:ln>
          </c:spPr>
        </c:majorGridlines>
        <c:numFmt formatCode="#,##0.00" sourceLinked="0"/>
        <c:majorTickMark val="none"/>
        <c:minorTickMark val="none"/>
        <c:tickLblPos val="nextTo"/>
        <c:spPr>
          <a:ln w="6480">
            <a:noFill/>
          </a:ln>
        </c:spPr>
        <c:txPr>
          <a:bodyPr/>
          <a:lstStyle/>
          <a:p>
            <a:pPr>
              <a:defRPr sz="800" b="0" strike="noStrike" spc="-1">
                <a:solidFill>
                  <a:srgbClr val="595959"/>
                </a:solidFill>
                <a:latin typeface="Calibri"/>
              </a:defRPr>
            </a:pPr>
            <a:endParaRPr lang="cs-CZ"/>
          </a:p>
        </c:txPr>
        <c:crossAx val="523499648"/>
        <c:crosses val="autoZero"/>
        <c:crossBetween val="between"/>
      </c:valAx>
      <c:dTable>
        <c:showHorzBorder val="1"/>
        <c:showVertBorder val="1"/>
        <c:showOutline val="1"/>
        <c:showKeys val="1"/>
        <c:txPr>
          <a:bodyPr/>
          <a:lstStyle/>
          <a:p>
            <a:pPr rtl="0">
              <a:defRPr sz="900"/>
            </a:pPr>
            <a:endParaRPr lang="cs-CZ"/>
          </a:p>
        </c:txPr>
      </c:dTable>
    </c:plotArea>
    <c:plotVisOnly val="1"/>
    <c:dispBlanksAs val="gap"/>
    <c:showDLblsOverMax val="1"/>
  </c:chart>
  <c:spPr>
    <a:solidFill>
      <a:srgbClr val="FFFFFF"/>
    </a:solidFill>
    <a:ln w="9360">
      <a:solidFill>
        <a:srgbClr val="D9D9D9"/>
      </a:solidFill>
      <a:round/>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cs-CZ" sz="1100"/>
              <a:t>Srovnání neinvestičních transferů veřejnoprávním subjektům a platby daní (v tis. Kč)</a:t>
            </a:r>
          </a:p>
        </c:rich>
      </c:tx>
      <c:layout>
        <c:manualLayout>
          <c:xMode val="edge"/>
          <c:yMode val="edge"/>
          <c:x val="0.10302291936343599"/>
          <c:y val="3.6029171655600302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586613873448599"/>
          <c:y val="0.27593338412974899"/>
          <c:w val="0.84276250666260599"/>
          <c:h val="0.61597910090345098"/>
        </c:manualLayout>
      </c:layout>
      <c:bar3DChart>
        <c:barDir val="col"/>
        <c:grouping val="clustered"/>
        <c:varyColors val="0"/>
        <c:ser>
          <c:idx val="0"/>
          <c:order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Pt>
            <c:idx val="0"/>
            <c:invertIfNegative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invertIfNegative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invertIfNegative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dLbl>
              <c:idx val="0"/>
              <c:layout>
                <c:manualLayout>
                  <c:x val="-1.620173776703469E-4"/>
                  <c:y val="0.1755068375175331"/>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1"/>
              <c:layout>
                <c:manualLayout>
                  <c:x val="-1.6963916291031677E-4"/>
                  <c:y val="0.17670209700757683"/>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2"/>
              <c:layout>
                <c:manualLayout>
                  <c:x val="2.6765532109492389E-3"/>
                  <c:y val="0.18155184259936485"/>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3"/>
              <c:layout>
                <c:manualLayout>
                  <c:x val="0"/>
                  <c:y val="0.18899348069062244"/>
                </c:manualLayout>
              </c:layout>
              <c:showLegendKey val="0"/>
              <c:showVal val="1"/>
              <c:showCatName val="0"/>
              <c:showSerName val="0"/>
              <c:showPercent val="0"/>
              <c:showBubbleSize val="1"/>
              <c:separator>; </c:separator>
              <c:extLst>
                <c:ext xmlns:c15="http://schemas.microsoft.com/office/drawing/2012/chart" uri="{CE6537A1-D6FC-4f65-9D91-7224C49458BB}"/>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'53xx'!$K$2:$N$2</c:f>
              <c:numCache>
                <c:formatCode>General</c:formatCode>
                <c:ptCount val="3"/>
                <c:pt idx="0">
                  <c:v>2020</c:v>
                </c:pt>
                <c:pt idx="1">
                  <c:v>2021</c:v>
                </c:pt>
                <c:pt idx="2">
                  <c:v>2022</c:v>
                </c:pt>
              </c:numCache>
            </c:numRef>
          </c:cat>
          <c:val>
            <c:numRef>
              <c:f>'53xx'!$K$3:$N$3</c:f>
              <c:numCache>
                <c:formatCode>#,##0</c:formatCode>
                <c:ptCount val="3"/>
                <c:pt idx="0">
                  <c:v>151101.77705999999</c:v>
                </c:pt>
                <c:pt idx="1">
                  <c:v>179153.59432000003</c:v>
                </c:pt>
                <c:pt idx="2">
                  <c:v>175301.89774999997</c:v>
                </c:pt>
              </c:numCache>
            </c:numRef>
          </c:val>
        </c:ser>
        <c:dLbls>
          <c:showLegendKey val="0"/>
          <c:showVal val="0"/>
          <c:showCatName val="0"/>
          <c:showSerName val="0"/>
          <c:showPercent val="0"/>
          <c:showBubbleSize val="0"/>
        </c:dLbls>
        <c:gapWidth val="150"/>
        <c:shape val="box"/>
        <c:axId val="315630544"/>
        <c:axId val="315629760"/>
        <c:axId val="0"/>
      </c:bar3DChart>
      <c:catAx>
        <c:axId val="315630544"/>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15629760"/>
        <c:crosses val="autoZero"/>
        <c:auto val="1"/>
        <c:lblAlgn val="ctr"/>
        <c:lblOffset val="100"/>
        <c:noMultiLvlLbl val="0"/>
      </c:catAx>
      <c:valAx>
        <c:axId val="31562976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15630544"/>
        <c:crosses val="autoZero"/>
        <c:crossBetween val="between"/>
      </c:valAx>
      <c:spPr>
        <a:noFill/>
        <a:ln>
          <a:noFill/>
        </a:ln>
        <a:effectLst/>
      </c:spPr>
    </c:plotArea>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cs-CZ" sz="1100"/>
              <a:t>Srovnání neinvestičních transferů obyvatelstvu (v tis. Kč)</a:t>
            </a:r>
            <a:r>
              <a:rPr lang="cs-CZ"/>
              <a:t>
</a:t>
            </a:r>
          </a:p>
        </c:rich>
      </c:tx>
      <c:layout>
        <c:manualLayout>
          <c:xMode val="edge"/>
          <c:yMode val="edge"/>
          <c:x val="0.13752298712720901"/>
          <c:y val="4.1396745141412498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584952426641099"/>
          <c:y val="0.27587296571338299"/>
          <c:w val="0.84280802750459705"/>
          <c:h val="0.61589508611154997"/>
        </c:manualLayout>
      </c:layout>
      <c:bar3DChart>
        <c:barDir val="col"/>
        <c:grouping val="clustered"/>
        <c:varyColors val="0"/>
        <c:ser>
          <c:idx val="0"/>
          <c:order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Pt>
            <c:idx val="0"/>
            <c:invertIfNegative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invertIfNegative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invertIfNegative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dLbl>
              <c:idx val="0"/>
              <c:layout>
                <c:manualLayout>
                  <c:x val="2.8630504857998702E-3"/>
                  <c:y val="0.18772167837128501"/>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1"/>
              <c:layout>
                <c:manualLayout>
                  <c:x val="2.3418370836468094E-3"/>
                  <c:y val="0.2054832985768118"/>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2"/>
              <c:layout>
                <c:manualLayout>
                  <c:x val="2.6765155142147142E-3"/>
                  <c:y val="0.20200490249881095"/>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3"/>
              <c:layout>
                <c:manualLayout>
                  <c:x val="-1.061626626787359E-16"/>
                  <c:y val="0.20908791570628904"/>
                </c:manualLayout>
              </c:layout>
              <c:showLegendKey val="0"/>
              <c:showVal val="1"/>
              <c:showCatName val="0"/>
              <c:showSerName val="0"/>
              <c:showPercent val="0"/>
              <c:showBubbleSize val="1"/>
              <c:separator>; </c:separator>
              <c:extLst>
                <c:ext xmlns:c15="http://schemas.microsoft.com/office/drawing/2012/chart" uri="{CE6537A1-D6FC-4f65-9D91-7224C49458BB}"/>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'54xx'!$K$2:$N$2</c:f>
              <c:numCache>
                <c:formatCode>General</c:formatCode>
                <c:ptCount val="3"/>
                <c:pt idx="0">
                  <c:v>2020</c:v>
                </c:pt>
                <c:pt idx="1">
                  <c:v>2021</c:v>
                </c:pt>
                <c:pt idx="2">
                  <c:v>2022</c:v>
                </c:pt>
              </c:numCache>
            </c:numRef>
          </c:cat>
          <c:val>
            <c:numRef>
              <c:f>'54xx'!$K$3:$N$3</c:f>
              <c:numCache>
                <c:formatCode>#,##0</c:formatCode>
                <c:ptCount val="3"/>
                <c:pt idx="0">
                  <c:v>6014.1812499999996</c:v>
                </c:pt>
                <c:pt idx="1">
                  <c:v>7087.8433700000005</c:v>
                </c:pt>
                <c:pt idx="2">
                  <c:v>8827.9105399999989</c:v>
                </c:pt>
              </c:numCache>
            </c:numRef>
          </c:val>
        </c:ser>
        <c:dLbls>
          <c:showLegendKey val="0"/>
          <c:showVal val="0"/>
          <c:showCatName val="0"/>
          <c:showSerName val="0"/>
          <c:showPercent val="0"/>
          <c:showBubbleSize val="0"/>
        </c:dLbls>
        <c:gapWidth val="150"/>
        <c:shape val="box"/>
        <c:axId val="315628976"/>
        <c:axId val="315627408"/>
        <c:axId val="0"/>
      </c:bar3DChart>
      <c:catAx>
        <c:axId val="315628976"/>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15627408"/>
        <c:crosses val="autoZero"/>
        <c:auto val="1"/>
        <c:lblAlgn val="ctr"/>
        <c:lblOffset val="100"/>
        <c:noMultiLvlLbl val="0"/>
      </c:catAx>
      <c:valAx>
        <c:axId val="315627408"/>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15628976"/>
        <c:crosses val="autoZero"/>
        <c:crossBetween val="between"/>
      </c:valAx>
      <c:spPr>
        <a:noFill/>
        <a:ln>
          <a:noFill/>
        </a:ln>
        <a:effectLst/>
      </c:spPr>
    </c:plotArea>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cs-CZ" sz="1100"/>
              <a:t>Srovnání neinvestičních půjčených prostředků             (v tis. Kč)</a:t>
            </a:r>
            <a:r>
              <a:rPr lang="cs-CZ"/>
              <a:t>
</a:t>
            </a:r>
          </a:p>
        </c:rich>
      </c:tx>
      <c:layout>
        <c:manualLayout>
          <c:xMode val="edge"/>
          <c:yMode val="edge"/>
          <c:x val="0.12319866722199101"/>
          <c:y val="2.38845144356955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586422324031701"/>
          <c:y val="0.27585301837270298"/>
          <c:w val="0.84281549354435603"/>
          <c:h val="0.616010498687664"/>
        </c:manualLayout>
      </c:layout>
      <c:bar3DChart>
        <c:barDir val="col"/>
        <c:grouping val="clustered"/>
        <c:varyColors val="0"/>
        <c:ser>
          <c:idx val="0"/>
          <c:order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Pt>
            <c:idx val="0"/>
            <c:invertIfNegative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invertIfNegative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invertIfNegative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dLbl>
              <c:idx val="0"/>
              <c:layout>
                <c:manualLayout>
                  <c:x val="5.0764902603507968E-3"/>
                  <c:y val="0.1425893924811153"/>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1"/>
              <c:layout>
                <c:manualLayout>
                  <c:x val="2.6643462101462864E-3"/>
                  <c:y val="0.10365845655787909"/>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2"/>
              <c:layout>
                <c:manualLayout>
                  <c:x val="1.8378616711950044E-2"/>
                  <c:y val="-2.6943268545071085E-2"/>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3"/>
              <c:layout>
                <c:manualLayout>
                  <c:x val="1.2107345440678662E-2"/>
                  <c:y val="-9.6347884139772709E-3"/>
                </c:manualLayout>
              </c:layout>
              <c:showLegendKey val="0"/>
              <c:showVal val="1"/>
              <c:showCatName val="0"/>
              <c:showSerName val="0"/>
              <c:showPercent val="0"/>
              <c:showBubbleSize val="1"/>
              <c:separator>; </c:separator>
              <c:extLst>
                <c:ext xmlns:c15="http://schemas.microsoft.com/office/drawing/2012/chart" uri="{CE6537A1-D6FC-4f65-9D91-7224C49458BB}"/>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0"/>
              </c:ext>
            </c:extLst>
          </c:dLbls>
          <c:cat>
            <c:numRef>
              <c:f>'56xx'!$K$2:$N$2</c:f>
              <c:numCache>
                <c:formatCode>General</c:formatCode>
                <c:ptCount val="3"/>
                <c:pt idx="0">
                  <c:v>2020</c:v>
                </c:pt>
                <c:pt idx="1">
                  <c:v>2021</c:v>
                </c:pt>
                <c:pt idx="2">
                  <c:v>2022</c:v>
                </c:pt>
              </c:numCache>
            </c:numRef>
          </c:cat>
          <c:val>
            <c:numRef>
              <c:f>'56xx'!$K$3:$N$3</c:f>
              <c:numCache>
                <c:formatCode>#,##0</c:formatCode>
                <c:ptCount val="3"/>
                <c:pt idx="0">
                  <c:v>3517.8870000000002</c:v>
                </c:pt>
                <c:pt idx="1">
                  <c:v>758.63300000000004</c:v>
                </c:pt>
                <c:pt idx="2">
                  <c:v>133.13672</c:v>
                </c:pt>
              </c:numCache>
            </c:numRef>
          </c:val>
        </c:ser>
        <c:dLbls>
          <c:showLegendKey val="0"/>
          <c:showVal val="0"/>
          <c:showCatName val="0"/>
          <c:showSerName val="0"/>
          <c:showPercent val="0"/>
          <c:showBubbleSize val="0"/>
        </c:dLbls>
        <c:gapWidth val="150"/>
        <c:shape val="box"/>
        <c:axId val="315630936"/>
        <c:axId val="315628584"/>
        <c:axId val="0"/>
      </c:bar3DChart>
      <c:catAx>
        <c:axId val="315630936"/>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15628584"/>
        <c:crosses val="autoZero"/>
        <c:auto val="1"/>
        <c:lblAlgn val="ctr"/>
        <c:lblOffset val="100"/>
        <c:noMultiLvlLbl val="0"/>
      </c:catAx>
      <c:valAx>
        <c:axId val="315628584"/>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15630936"/>
        <c:crosses val="autoZero"/>
        <c:crossBetween val="between"/>
      </c:valAx>
      <c:spPr>
        <a:noFill/>
        <a:ln>
          <a:noFill/>
        </a:ln>
        <a:effectLst/>
      </c:spPr>
    </c:plotArea>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cs-CZ" sz="1200"/>
              <a:t>Srovnání kapitálových výdajů (v tis. Kč)</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0145631067961"/>
          <c:y val="0.16702599873176899"/>
          <c:w val="0.84648058252427205"/>
          <c:h val="0.72073557387444498"/>
        </c:manualLayout>
      </c:layout>
      <c:bar3DChart>
        <c:barDir val="col"/>
        <c:grouping val="clustered"/>
        <c:varyColors val="0"/>
        <c:ser>
          <c:idx val="0"/>
          <c:order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Pt>
            <c:idx val="0"/>
            <c:invertIfNegative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invertIfNegative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invertIfNegative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3"/>
            <c:invertIfNegative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4"/>
            <c:invertIfNegative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5"/>
            <c:invertIfNegative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6"/>
            <c:invertIfNegative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7"/>
            <c:invertIfNegative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dLbl>
              <c:idx val="0"/>
              <c:layout>
                <c:manualLayout>
                  <c:x val="-2.22219655121803E-17"/>
                  <c:y val="0.191142191142191"/>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1"/>
              <c:layout>
                <c:manualLayout>
                  <c:x val="-4.44439310243607E-17"/>
                  <c:y val="0.21445221445221399"/>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2"/>
              <c:layout>
                <c:manualLayout>
                  <c:x val="-4.44439310243607E-17"/>
                  <c:y val="0.20046620046620001"/>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3"/>
              <c:layout>
                <c:manualLayout>
                  <c:x val="0"/>
                  <c:y val="0.195804195804196"/>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4"/>
              <c:layout>
                <c:manualLayout>
                  <c:x val="-8.8887862048721399E-17"/>
                  <c:y val="0.195804195804196"/>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5"/>
              <c:layout>
                <c:manualLayout>
                  <c:x val="2.4242424242423401E-3"/>
                  <c:y val="0.195804195804196"/>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6"/>
              <c:layout>
                <c:manualLayout>
                  <c:x val="2.4242424242424199E-3"/>
                  <c:y val="0.20979020979021001"/>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7"/>
              <c:layout>
                <c:manualLayout>
                  <c:x val="0"/>
                  <c:y val="0.195804195804196"/>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Kapitál.V!$B$3:$J$3</c:f>
              <c:numCache>
                <c:formatCode>General</c:formatCode>
                <c:ptCount val="8"/>
                <c:pt idx="0">
                  <c:v>2015</c:v>
                </c:pt>
                <c:pt idx="1">
                  <c:v>2016</c:v>
                </c:pt>
                <c:pt idx="2">
                  <c:v>2017</c:v>
                </c:pt>
                <c:pt idx="3">
                  <c:v>2018</c:v>
                </c:pt>
                <c:pt idx="4">
                  <c:v>2019</c:v>
                </c:pt>
                <c:pt idx="5">
                  <c:v>2020</c:v>
                </c:pt>
                <c:pt idx="6">
                  <c:v>2021</c:v>
                </c:pt>
                <c:pt idx="7">
                  <c:v>2022</c:v>
                </c:pt>
              </c:numCache>
            </c:numRef>
          </c:cat>
          <c:val>
            <c:numRef>
              <c:f>Kapitál.V!$B$8:$J$8</c:f>
              <c:numCache>
                <c:formatCode>#,##0</c:formatCode>
                <c:ptCount val="8"/>
                <c:pt idx="0">
                  <c:v>186113.66048000002</c:v>
                </c:pt>
                <c:pt idx="1">
                  <c:v>159384.71752000001</c:v>
                </c:pt>
                <c:pt idx="2">
                  <c:v>257005.21756000002</c:v>
                </c:pt>
                <c:pt idx="3">
                  <c:v>373596.29946000001</c:v>
                </c:pt>
                <c:pt idx="4">
                  <c:v>304480.59640000004</c:v>
                </c:pt>
                <c:pt idx="5">
                  <c:v>234671.64233</c:v>
                </c:pt>
                <c:pt idx="6">
                  <c:v>267943.19822000002</c:v>
                </c:pt>
                <c:pt idx="7">
                  <c:v>237799.83215</c:v>
                </c:pt>
              </c:numCache>
            </c:numRef>
          </c:val>
        </c:ser>
        <c:dLbls>
          <c:showLegendKey val="0"/>
          <c:showVal val="0"/>
          <c:showCatName val="0"/>
          <c:showSerName val="0"/>
          <c:showPercent val="0"/>
          <c:showBubbleSize val="0"/>
        </c:dLbls>
        <c:gapWidth val="150"/>
        <c:shape val="box"/>
        <c:axId val="315630152"/>
        <c:axId val="514060112"/>
        <c:axId val="0"/>
      </c:bar3DChart>
      <c:catAx>
        <c:axId val="315630152"/>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14060112"/>
        <c:crosses val="autoZero"/>
        <c:auto val="1"/>
        <c:lblAlgn val="ctr"/>
        <c:lblOffset val="100"/>
        <c:noMultiLvlLbl val="0"/>
      </c:catAx>
      <c:valAx>
        <c:axId val="514060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15630152"/>
        <c:crosses val="autoZero"/>
        <c:crossBetween val="between"/>
      </c:valAx>
      <c:spPr>
        <a:noFill/>
        <a:ln>
          <a:noFill/>
        </a:ln>
        <a:effectLst/>
      </c:spPr>
    </c:plotArea>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cs-CZ" sz="1100"/>
              <a:t>Srovnání investičních nákupů a souvisejících výdajů (v tis. Kč)</a:t>
            </a:r>
            <a:r>
              <a:rPr lang="cs-CZ"/>
              <a:t>
</a:t>
            </a:r>
          </a:p>
        </c:rich>
      </c:tx>
      <c:layout>
        <c:manualLayout>
          <c:xMode val="edge"/>
          <c:yMode val="edge"/>
          <c:x val="0.14046644332812064"/>
          <c:y val="1.9703012824446219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584880036215501"/>
          <c:y val="0.27595092024539902"/>
          <c:w val="0.84276444846838705"/>
          <c:h val="0.61595092024539899"/>
        </c:manualLayout>
      </c:layout>
      <c:bar3DChart>
        <c:barDir val="col"/>
        <c:grouping val="clustered"/>
        <c:varyColors val="0"/>
        <c:ser>
          <c:idx val="0"/>
          <c:order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Pt>
            <c:idx val="0"/>
            <c:invertIfNegative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invertIfNegative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invertIfNegative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dLbl>
              <c:idx val="0"/>
              <c:layout>
                <c:manualLayout>
                  <c:x val="2.5399502634575861E-3"/>
                  <c:y val="0.17954429240555522"/>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1"/>
              <c:layout>
                <c:manualLayout>
                  <c:x val="-3.0899961375048281E-3"/>
                  <c:y val="0.19170399460023319"/>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2"/>
              <c:layout>
                <c:manualLayout>
                  <c:x val="-5.7107378472510433E-5"/>
                  <c:y val="0.17638761053499954"/>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3"/>
              <c:layout>
                <c:manualLayout>
                  <c:x val="-1.0307246269100576E-16"/>
                  <c:y val="0.17317434019894595"/>
                </c:manualLayout>
              </c:layout>
              <c:showLegendKey val="0"/>
              <c:showVal val="1"/>
              <c:showCatName val="0"/>
              <c:showSerName val="0"/>
              <c:showPercent val="0"/>
              <c:showBubbleSize val="1"/>
              <c:separator>; </c:separator>
              <c:extLst>
                <c:ext xmlns:c15="http://schemas.microsoft.com/office/drawing/2012/chart" uri="{CE6537A1-D6FC-4f65-9D91-7224C49458BB}"/>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'61xx'!$K$2:$N$2</c:f>
              <c:numCache>
                <c:formatCode>General</c:formatCode>
                <c:ptCount val="3"/>
                <c:pt idx="0">
                  <c:v>2020</c:v>
                </c:pt>
                <c:pt idx="1">
                  <c:v>2021</c:v>
                </c:pt>
                <c:pt idx="2">
                  <c:v>2022</c:v>
                </c:pt>
              </c:numCache>
            </c:numRef>
          </c:cat>
          <c:val>
            <c:numRef>
              <c:f>'61xx'!$K$3:$N$3</c:f>
              <c:numCache>
                <c:formatCode>#,##0</c:formatCode>
                <c:ptCount val="3"/>
                <c:pt idx="0">
                  <c:v>195368.16432999997</c:v>
                </c:pt>
                <c:pt idx="1">
                  <c:v>238597.67442999998</c:v>
                </c:pt>
                <c:pt idx="2">
                  <c:v>228448.45435000001</c:v>
                </c:pt>
              </c:numCache>
            </c:numRef>
          </c:val>
        </c:ser>
        <c:dLbls>
          <c:showLegendKey val="0"/>
          <c:showVal val="0"/>
          <c:showCatName val="0"/>
          <c:showSerName val="0"/>
          <c:showPercent val="0"/>
          <c:showBubbleSize val="0"/>
        </c:dLbls>
        <c:gapWidth val="150"/>
        <c:shape val="box"/>
        <c:axId val="514058936"/>
        <c:axId val="514060504"/>
        <c:axId val="0"/>
      </c:bar3DChart>
      <c:catAx>
        <c:axId val="514058936"/>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14060504"/>
        <c:crosses val="autoZero"/>
        <c:auto val="1"/>
        <c:lblAlgn val="ctr"/>
        <c:lblOffset val="100"/>
        <c:noMultiLvlLbl val="0"/>
      </c:catAx>
      <c:valAx>
        <c:axId val="514060504"/>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14058936"/>
        <c:crosses val="autoZero"/>
        <c:crossBetween val="between"/>
      </c:valAx>
      <c:spPr>
        <a:noFill/>
        <a:ln>
          <a:noFill/>
        </a:ln>
        <a:effectLst/>
      </c:spPr>
    </c:plotArea>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cs-CZ" sz="1100"/>
              <a:t>Srovnání nákupu akcií a majetkových podílů                   (v tis. Kč)</a:t>
            </a:r>
            <a:r>
              <a:rPr lang="cs-CZ"/>
              <a:t>
</a:t>
            </a:r>
          </a:p>
        </c:rich>
      </c:tx>
      <c:layout>
        <c:manualLayout>
          <c:xMode val="edge"/>
          <c:yMode val="edge"/>
          <c:x val="0.21841117716194713"/>
          <c:y val="1.1985837467186088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583120204603601"/>
          <c:y val="0.27589105581708101"/>
          <c:w val="0.84279624893435601"/>
          <c:h val="0.61600537995964999"/>
        </c:manualLayout>
      </c:layout>
      <c:bar3DChart>
        <c:barDir val="col"/>
        <c:grouping val="clustered"/>
        <c:varyColors val="0"/>
        <c:ser>
          <c:idx val="0"/>
          <c:order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Pt>
            <c:idx val="0"/>
            <c:invertIfNegative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invertIfNegative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invertIfNegative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dLbl>
              <c:idx val="0"/>
              <c:layout>
                <c:manualLayout>
                  <c:x val="2.6731063082536923E-3"/>
                  <c:y val="0.17227235783750455"/>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1"/>
              <c:layout>
                <c:manualLayout>
                  <c:x val="1.5963055201786775E-2"/>
                  <c:y val="-4.2803359397625362E-2"/>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2"/>
              <c:layout>
                <c:manualLayout>
                  <c:x val="1.8075842148159507E-2"/>
                  <c:y val="-1.281447642536177E-2"/>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3"/>
              <c:layout>
                <c:manualLayout>
                  <c:x val="2.8796988787314209E-2"/>
                  <c:y val="-3.5593172837084165E-2"/>
                </c:manualLayout>
              </c:layout>
              <c:showLegendKey val="0"/>
              <c:showVal val="1"/>
              <c:showCatName val="0"/>
              <c:showSerName val="0"/>
              <c:showPercent val="0"/>
              <c:showBubbleSize val="1"/>
              <c:separator>; </c:separator>
              <c:extLst>
                <c:ext xmlns:c15="http://schemas.microsoft.com/office/drawing/2012/chart" uri="{CE6537A1-D6FC-4f65-9D91-7224C49458BB}"/>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0"/>
              </c:ext>
            </c:extLst>
          </c:dLbls>
          <c:cat>
            <c:numRef>
              <c:f>'62xx'!$K$2:$N$2</c:f>
              <c:numCache>
                <c:formatCode>General</c:formatCode>
                <c:ptCount val="3"/>
                <c:pt idx="0">
                  <c:v>2020</c:v>
                </c:pt>
                <c:pt idx="1">
                  <c:v>2021</c:v>
                </c:pt>
                <c:pt idx="2">
                  <c:v>2022</c:v>
                </c:pt>
              </c:numCache>
            </c:numRef>
          </c:cat>
          <c:val>
            <c:numRef>
              <c:f>'62xx'!$K$3:$N$3</c:f>
              <c:numCache>
                <c:formatCode>#,##0</c:formatCode>
                <c:ptCount val="3"/>
                <c:pt idx="0">
                  <c:v>663.15</c:v>
                </c:pt>
                <c:pt idx="1">
                  <c:v>100</c:v>
                </c:pt>
                <c:pt idx="2">
                  <c:v>0</c:v>
                </c:pt>
              </c:numCache>
            </c:numRef>
          </c:val>
        </c:ser>
        <c:dLbls>
          <c:showLegendKey val="0"/>
          <c:showVal val="0"/>
          <c:showCatName val="0"/>
          <c:showSerName val="0"/>
          <c:showPercent val="0"/>
          <c:showBubbleSize val="0"/>
        </c:dLbls>
        <c:gapWidth val="150"/>
        <c:shape val="box"/>
        <c:axId val="514061288"/>
        <c:axId val="514061680"/>
        <c:axId val="0"/>
      </c:bar3DChart>
      <c:catAx>
        <c:axId val="514061288"/>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14061680"/>
        <c:crosses val="autoZero"/>
        <c:auto val="1"/>
        <c:lblAlgn val="ctr"/>
        <c:lblOffset val="100"/>
        <c:noMultiLvlLbl val="0"/>
      </c:catAx>
      <c:valAx>
        <c:axId val="51406168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14061288"/>
        <c:crosses val="autoZero"/>
        <c:crossBetween val="between"/>
      </c:valAx>
      <c:spPr>
        <a:noFill/>
        <a:ln>
          <a:noFill/>
        </a:ln>
        <a:effectLst/>
      </c:spPr>
    </c:plotArea>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cs-CZ" sz="1100"/>
              <a:t>Srovnání investičních transferů (v tis. Kč)</a:t>
            </a:r>
            <a:r>
              <a:rPr lang="cs-CZ"/>
              <a:t>
</a:t>
            </a:r>
          </a:p>
        </c:rich>
      </c:tx>
      <c:layout>
        <c:manualLayout>
          <c:xMode val="edge"/>
          <c:yMode val="edge"/>
          <c:x val="0.20607504626799938"/>
          <c:y val="4.1338553970892762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789395318057701"/>
          <c:y val="0.25944881889763799"/>
          <c:w val="0.84274960708081703"/>
          <c:h val="0.616010498687664"/>
        </c:manualLayout>
      </c:layout>
      <c:bar3DChart>
        <c:barDir val="col"/>
        <c:grouping val="clustered"/>
        <c:varyColors val="0"/>
        <c:ser>
          <c:idx val="0"/>
          <c:order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Pt>
            <c:idx val="0"/>
            <c:invertIfNegative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invertIfNegative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invertIfNegative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dLbl>
              <c:idx val="0"/>
              <c:layout>
                <c:manualLayout>
                  <c:x val="5.7112462043160126E-3"/>
                  <c:y val="0.18797065943360458"/>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1"/>
              <c:layout>
                <c:manualLayout>
                  <c:x val="6.07917549969715E-3"/>
                  <c:y val="0.214553887285828"/>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2"/>
              <c:layout>
                <c:manualLayout>
                  <c:x val="-3.2817644913082038E-4"/>
                  <c:y val="0.13388492723189538"/>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3"/>
              <c:layout>
                <c:manualLayout>
                  <c:x val="1.8592598828080679E-2"/>
                  <c:y val="-1.3890104121095544E-2"/>
                </c:manualLayout>
              </c:layout>
              <c:showLegendKey val="0"/>
              <c:showVal val="1"/>
              <c:showCatName val="0"/>
              <c:showSerName val="0"/>
              <c:showPercent val="0"/>
              <c:showBubbleSize val="1"/>
              <c:separator>; </c:separator>
              <c:extLst>
                <c:ext xmlns:c15="http://schemas.microsoft.com/office/drawing/2012/chart" uri="{CE6537A1-D6FC-4f65-9D91-7224C49458BB}"/>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0"/>
              </c:ext>
            </c:extLst>
          </c:dLbls>
          <c:cat>
            <c:numRef>
              <c:f>'63xx'!$K$2:$N$2</c:f>
              <c:numCache>
                <c:formatCode>General</c:formatCode>
                <c:ptCount val="3"/>
                <c:pt idx="0">
                  <c:v>2020</c:v>
                </c:pt>
                <c:pt idx="1">
                  <c:v>2021</c:v>
                </c:pt>
                <c:pt idx="2">
                  <c:v>2022</c:v>
                </c:pt>
              </c:numCache>
            </c:numRef>
          </c:cat>
          <c:val>
            <c:numRef>
              <c:f>'63xx'!$K$3:$N$3</c:f>
              <c:numCache>
                <c:formatCode>#,##0</c:formatCode>
                <c:ptCount val="3"/>
                <c:pt idx="0">
                  <c:v>38640.328000000001</c:v>
                </c:pt>
                <c:pt idx="1">
                  <c:v>29245.523789999999</c:v>
                </c:pt>
                <c:pt idx="2">
                  <c:v>9351.3778000000002</c:v>
                </c:pt>
              </c:numCache>
            </c:numRef>
          </c:val>
        </c:ser>
        <c:dLbls>
          <c:showLegendKey val="0"/>
          <c:showVal val="0"/>
          <c:showCatName val="0"/>
          <c:showSerName val="0"/>
          <c:showPercent val="0"/>
          <c:showBubbleSize val="0"/>
        </c:dLbls>
        <c:gapWidth val="150"/>
        <c:shape val="box"/>
        <c:axId val="514059720"/>
        <c:axId val="521776480"/>
        <c:axId val="0"/>
      </c:bar3DChart>
      <c:catAx>
        <c:axId val="514059720"/>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21776480"/>
        <c:crosses val="autoZero"/>
        <c:auto val="1"/>
        <c:lblAlgn val="ctr"/>
        <c:lblOffset val="100"/>
        <c:noMultiLvlLbl val="0"/>
      </c:catAx>
      <c:valAx>
        <c:axId val="52177648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14059720"/>
        <c:crosses val="autoZero"/>
        <c:crossBetween val="between"/>
      </c:valAx>
      <c:spPr>
        <a:noFill/>
        <a:ln>
          <a:noFill/>
        </a:ln>
        <a:effectLst/>
      </c:spPr>
    </c:plotArea>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100"/>
              <a:t>Vyhodnocení výdajů rozpočtu za skupiny - rok 2022 (v tis. Kč)</a:t>
            </a:r>
          </a:p>
        </c:rich>
      </c:tx>
      <c:layout>
        <c:manualLayout>
          <c:xMode val="edge"/>
          <c:yMode val="edge"/>
          <c:x val="0.23500025488097101"/>
          <c:y val="2.6637645107794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0.124636794616914"/>
          <c:y val="0.17796434494195701"/>
          <c:w val="0.82362236835397895"/>
          <c:h val="0.47771558872305098"/>
        </c:manualLayout>
      </c:layout>
      <c:barChart>
        <c:barDir val="col"/>
        <c:grouping val="clustered"/>
        <c:varyColors val="0"/>
        <c:ser>
          <c:idx val="0"/>
          <c:order val="0"/>
          <c:tx>
            <c:strRef>
              <c:f>'Celkové V za skupiny'!$B$13</c:f>
              <c:strCache>
                <c:ptCount val="1"/>
                <c:pt idx="0">
                  <c:v>Schválený</c:v>
                </c:pt>
              </c:strCache>
            </c:strRef>
          </c:tx>
          <c:spPr>
            <a:solidFill>
              <a:schemeClr val="accent6"/>
            </a:solidFill>
            <a:ln>
              <a:noFill/>
            </a:ln>
            <a:effectLst/>
          </c:spPr>
          <c:invertIfNegative val="0"/>
          <c:cat>
            <c:strRef>
              <c:f>'Celkové V za skupiny'!$A$14:$A$19</c:f>
              <c:strCache>
                <c:ptCount val="6"/>
                <c:pt idx="0">
                  <c:v>1 Zemědělství, lesní hospodářství a rybářství</c:v>
                </c:pt>
                <c:pt idx="1">
                  <c:v>2 Průmyslová a ostatní odvětví hospodářství</c:v>
                </c:pt>
                <c:pt idx="2">
                  <c:v>3 Služby pro obyvatelstvo</c:v>
                </c:pt>
                <c:pt idx="3">
                  <c:v>4 Sociální věci a politika zaměstnanosti</c:v>
                </c:pt>
                <c:pt idx="4">
                  <c:v>5 Bezpečnost státu a právní ochrana</c:v>
                </c:pt>
                <c:pt idx="5">
                  <c:v>6 Všeobecná veřejná správa a služby</c:v>
                </c:pt>
              </c:strCache>
            </c:strRef>
          </c:cat>
          <c:val>
            <c:numRef>
              <c:f>'Celkové V za skupiny'!$B$14:$B$19</c:f>
              <c:numCache>
                <c:formatCode>#,##0.00</c:formatCode>
                <c:ptCount val="6"/>
                <c:pt idx="0">
                  <c:v>532</c:v>
                </c:pt>
                <c:pt idx="1">
                  <c:v>200034.45600000001</c:v>
                </c:pt>
                <c:pt idx="2">
                  <c:v>490239.60100000002</c:v>
                </c:pt>
                <c:pt idx="3">
                  <c:v>2147.5819999999999</c:v>
                </c:pt>
                <c:pt idx="4">
                  <c:v>72892.164000000004</c:v>
                </c:pt>
                <c:pt idx="5">
                  <c:v>388685.22700000001</c:v>
                </c:pt>
              </c:numCache>
            </c:numRef>
          </c:val>
        </c:ser>
        <c:ser>
          <c:idx val="1"/>
          <c:order val="1"/>
          <c:tx>
            <c:strRef>
              <c:f>'Celkové V za skupiny'!$C$13</c:f>
              <c:strCache>
                <c:ptCount val="1"/>
                <c:pt idx="0">
                  <c:v>Upravený</c:v>
                </c:pt>
              </c:strCache>
            </c:strRef>
          </c:tx>
          <c:spPr>
            <a:solidFill>
              <a:schemeClr val="accent5"/>
            </a:solidFill>
            <a:ln>
              <a:noFill/>
            </a:ln>
            <a:effectLst/>
          </c:spPr>
          <c:invertIfNegative val="0"/>
          <c:cat>
            <c:strRef>
              <c:f>'Celkové V za skupiny'!$A$14:$A$19</c:f>
              <c:strCache>
                <c:ptCount val="6"/>
                <c:pt idx="0">
                  <c:v>1 Zemědělství, lesní hospodářství a rybářství</c:v>
                </c:pt>
                <c:pt idx="1">
                  <c:v>2 Průmyslová a ostatní odvětví hospodářství</c:v>
                </c:pt>
                <c:pt idx="2">
                  <c:v>3 Služby pro obyvatelstvo</c:v>
                </c:pt>
                <c:pt idx="3">
                  <c:v>4 Sociální věci a politika zaměstnanosti</c:v>
                </c:pt>
                <c:pt idx="4">
                  <c:v>5 Bezpečnost státu a právní ochrana</c:v>
                </c:pt>
                <c:pt idx="5">
                  <c:v>6 Všeobecná veřejná správa a služby</c:v>
                </c:pt>
              </c:strCache>
            </c:strRef>
          </c:cat>
          <c:val>
            <c:numRef>
              <c:f>'Celkové V za skupiny'!$C$14:$C$19</c:f>
              <c:numCache>
                <c:formatCode>#,##0.00</c:formatCode>
                <c:ptCount val="6"/>
                <c:pt idx="0">
                  <c:v>693</c:v>
                </c:pt>
                <c:pt idx="1">
                  <c:v>209500.22099999999</c:v>
                </c:pt>
                <c:pt idx="2">
                  <c:v>583662.28908999986</c:v>
                </c:pt>
                <c:pt idx="3">
                  <c:v>8100.1674999999996</c:v>
                </c:pt>
                <c:pt idx="4">
                  <c:v>78426.868000000002</c:v>
                </c:pt>
                <c:pt idx="5">
                  <c:v>375351.09476000001</c:v>
                </c:pt>
              </c:numCache>
            </c:numRef>
          </c:val>
        </c:ser>
        <c:ser>
          <c:idx val="2"/>
          <c:order val="2"/>
          <c:tx>
            <c:strRef>
              <c:f>'Celkové V za skupiny'!$D$13</c:f>
              <c:strCache>
                <c:ptCount val="1"/>
                <c:pt idx="0">
                  <c:v>Skutečnost</c:v>
                </c:pt>
              </c:strCache>
            </c:strRef>
          </c:tx>
          <c:spPr>
            <a:solidFill>
              <a:schemeClr val="accent4"/>
            </a:solidFill>
            <a:ln>
              <a:noFill/>
            </a:ln>
            <a:effectLst/>
          </c:spPr>
          <c:invertIfNegative val="0"/>
          <c:cat>
            <c:strRef>
              <c:f>'Celkové V za skupiny'!$A$14:$A$19</c:f>
              <c:strCache>
                <c:ptCount val="6"/>
                <c:pt idx="0">
                  <c:v>1 Zemědělství, lesní hospodářství a rybářství</c:v>
                </c:pt>
                <c:pt idx="1">
                  <c:v>2 Průmyslová a ostatní odvětví hospodářství</c:v>
                </c:pt>
                <c:pt idx="2">
                  <c:v>3 Služby pro obyvatelstvo</c:v>
                </c:pt>
                <c:pt idx="3">
                  <c:v>4 Sociální věci a politika zaměstnanosti</c:v>
                </c:pt>
                <c:pt idx="4">
                  <c:v>5 Bezpečnost státu a právní ochrana</c:v>
                </c:pt>
                <c:pt idx="5">
                  <c:v>6 Všeobecná veřejná správa a služby</c:v>
                </c:pt>
              </c:strCache>
            </c:strRef>
          </c:cat>
          <c:val>
            <c:numRef>
              <c:f>'Celkové V za skupiny'!$D$14:$D$19</c:f>
              <c:numCache>
                <c:formatCode>#,##0.00</c:formatCode>
                <c:ptCount val="6"/>
                <c:pt idx="0">
                  <c:v>650.42600000000004</c:v>
                </c:pt>
                <c:pt idx="1">
                  <c:v>202664.16396000001</c:v>
                </c:pt>
                <c:pt idx="2">
                  <c:v>553266.58237000008</c:v>
                </c:pt>
                <c:pt idx="3">
                  <c:v>5419.8989599999995</c:v>
                </c:pt>
                <c:pt idx="4">
                  <c:v>58282.131379999992</c:v>
                </c:pt>
                <c:pt idx="5">
                  <c:v>334255.06718000013</c:v>
                </c:pt>
              </c:numCache>
            </c:numRef>
          </c:val>
        </c:ser>
        <c:dLbls>
          <c:showLegendKey val="0"/>
          <c:showVal val="0"/>
          <c:showCatName val="0"/>
          <c:showSerName val="0"/>
          <c:showPercent val="0"/>
          <c:showBubbleSize val="0"/>
        </c:dLbls>
        <c:gapWidth val="219"/>
        <c:overlap val="-27"/>
        <c:axId val="521136360"/>
        <c:axId val="521135184"/>
      </c:barChart>
      <c:catAx>
        <c:axId val="52113636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21135184"/>
        <c:crosses val="autoZero"/>
        <c:auto val="1"/>
        <c:lblAlgn val="ctr"/>
        <c:lblOffset val="100"/>
        <c:noMultiLvlLbl val="0"/>
      </c:catAx>
      <c:valAx>
        <c:axId val="5211351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2113636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noFill/>
        <a:ln>
          <a:noFill/>
        </a:ln>
        <a:effectLst/>
      </c:spPr>
    </c:plotArea>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cs-CZ" sz="1000"/>
              <a:t>Vyhodnocení skutečnosti příjmů a výdajů po měsících absolutně - rok 2022 (v tis. Kč)</a:t>
            </a:r>
          </a:p>
        </c:rich>
      </c:tx>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9916961777995"/>
          <c:y val="0.14481461579795801"/>
          <c:w val="0.84116904790979796"/>
          <c:h val="0.646426652337453"/>
        </c:manualLayout>
      </c:layout>
      <c:bar3DChart>
        <c:barDir val="col"/>
        <c:grouping val="clustered"/>
        <c:varyColors val="0"/>
        <c:ser>
          <c:idx val="0"/>
          <c:order val="0"/>
          <c:tx>
            <c:strRef>
              <c:f>'P a V po měsících'!$B$54</c:f>
              <c:strCache>
                <c:ptCount val="1"/>
                <c:pt idx="0">
                  <c:v>Příjmy</c:v>
                </c:pt>
              </c:strCache>
            </c:strRef>
          </c:tx>
          <c:spPr>
            <a:solidFill>
              <a:schemeClr val="accent4">
                <a:lumMod val="60000"/>
                <a:lumOff val="40000"/>
              </a:schemeClr>
            </a:solidFill>
            <a:ln>
              <a:noFill/>
            </a:ln>
            <a:effectLst>
              <a:outerShdw blurRad="57150" dist="19050" dir="5400000" algn="ctr" rotWithShape="0">
                <a:srgbClr val="000000">
                  <a:alpha val="63000"/>
                </a:srgbClr>
              </a:outerShdw>
            </a:effectLst>
            <a:sp3d/>
          </c:spPr>
          <c:invertIfNegative val="0"/>
          <c:cat>
            <c:strRef>
              <c:f>'P a V po měsících'!$A$55:$A$66</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'P a V po měsících'!$B$55:$B$66</c:f>
              <c:numCache>
                <c:formatCode>#,##0</c:formatCode>
                <c:ptCount val="12"/>
                <c:pt idx="0">
                  <c:v>78520.91909000001</c:v>
                </c:pt>
                <c:pt idx="1">
                  <c:v>93168.657919999983</c:v>
                </c:pt>
                <c:pt idx="2">
                  <c:v>88305.731069999994</c:v>
                </c:pt>
                <c:pt idx="3">
                  <c:v>86638.996469999969</c:v>
                </c:pt>
                <c:pt idx="4">
                  <c:v>109209.48644000005</c:v>
                </c:pt>
                <c:pt idx="5">
                  <c:v>150468.88514000011</c:v>
                </c:pt>
                <c:pt idx="6">
                  <c:v>130296.5179499998</c:v>
                </c:pt>
                <c:pt idx="7">
                  <c:v>98979.102169999955</c:v>
                </c:pt>
                <c:pt idx="8">
                  <c:v>106344.52861000026</c:v>
                </c:pt>
                <c:pt idx="9">
                  <c:v>79563.203769999978</c:v>
                </c:pt>
                <c:pt idx="10">
                  <c:v>122381.83761000013</c:v>
                </c:pt>
                <c:pt idx="11">
                  <c:v>124792.48740999961</c:v>
                </c:pt>
              </c:numCache>
            </c:numRef>
          </c:val>
        </c:ser>
        <c:ser>
          <c:idx val="1"/>
          <c:order val="1"/>
          <c:tx>
            <c:strRef>
              <c:f>'P a V po měsících'!$C$54</c:f>
              <c:strCache>
                <c:ptCount val="1"/>
                <c:pt idx="0">
                  <c:v>Výdaje</c:v>
                </c:pt>
              </c:strCache>
            </c:strRef>
          </c:tx>
          <c:spPr>
            <a:solidFill>
              <a:schemeClr val="accent6"/>
            </a:solidFill>
            <a:ln>
              <a:noFill/>
            </a:ln>
            <a:effectLst>
              <a:outerShdw blurRad="57150" dist="19050" dir="5400000" algn="ctr" rotWithShape="0">
                <a:srgbClr val="000000">
                  <a:alpha val="63000"/>
                </a:srgbClr>
              </a:outerShdw>
            </a:effectLst>
            <a:sp3d/>
          </c:spPr>
          <c:invertIfNegative val="0"/>
          <c:cat>
            <c:strRef>
              <c:f>'P a V po měsících'!$A$55:$A$66</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'P a V po měsících'!$C$55:$C$66</c:f>
              <c:numCache>
                <c:formatCode>#,##0</c:formatCode>
                <c:ptCount val="12"/>
                <c:pt idx="0">
                  <c:v>75323.362139999983</c:v>
                </c:pt>
                <c:pt idx="1">
                  <c:v>54027.932210000006</c:v>
                </c:pt>
                <c:pt idx="2">
                  <c:v>65496.73156</c:v>
                </c:pt>
                <c:pt idx="3">
                  <c:v>103395.02121000001</c:v>
                </c:pt>
                <c:pt idx="4">
                  <c:v>88409.698770000017</c:v>
                </c:pt>
                <c:pt idx="5">
                  <c:v>129368.56429000001</c:v>
                </c:pt>
                <c:pt idx="6">
                  <c:v>100043.12869999999</c:v>
                </c:pt>
                <c:pt idx="7">
                  <c:v>89012.544250000006</c:v>
                </c:pt>
                <c:pt idx="8">
                  <c:v>79382.791610000015</c:v>
                </c:pt>
                <c:pt idx="9">
                  <c:v>115545.01238999999</c:v>
                </c:pt>
                <c:pt idx="10">
                  <c:v>93295.914330000014</c:v>
                </c:pt>
                <c:pt idx="11">
                  <c:v>161237.56838999997</c:v>
                </c:pt>
              </c:numCache>
            </c:numRef>
          </c:val>
        </c:ser>
        <c:dLbls>
          <c:showLegendKey val="0"/>
          <c:showVal val="0"/>
          <c:showCatName val="0"/>
          <c:showSerName val="0"/>
          <c:showPercent val="0"/>
          <c:showBubbleSize val="0"/>
        </c:dLbls>
        <c:gapWidth val="150"/>
        <c:shape val="box"/>
        <c:axId val="521138320"/>
        <c:axId val="521136752"/>
        <c:axId val="0"/>
      </c:bar3DChart>
      <c:catAx>
        <c:axId val="521138320"/>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21136752"/>
        <c:crosses val="autoZero"/>
        <c:auto val="1"/>
        <c:lblAlgn val="ctr"/>
        <c:lblOffset val="100"/>
        <c:noMultiLvlLbl val="0"/>
      </c:catAx>
      <c:valAx>
        <c:axId val="5211367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211383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650" b="0" i="0" u="none" strike="noStrike" kern="1200" baseline="0">
                <a:solidFill>
                  <a:schemeClr val="tx1">
                    <a:lumMod val="65000"/>
                    <a:lumOff val="35000"/>
                  </a:schemeClr>
                </a:solidFill>
                <a:latin typeface="+mn-lt"/>
                <a:ea typeface="+mn-ea"/>
                <a:cs typeface="+mn-cs"/>
              </a:defRPr>
            </a:pPr>
            <a:endParaRPr lang="cs-CZ"/>
          </a:p>
        </c:txPr>
      </c:dTable>
      <c:spPr>
        <a:noFill/>
        <a:ln>
          <a:noFill/>
        </a:ln>
        <a:effectLst/>
      </c:spPr>
    </c:plotArea>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cs-CZ" sz="1050"/>
              <a:t>Vyhodnocení běžných a kapitálových výdajů po měsících absolutně 
rok 2022 (v tis. Kč)</a:t>
            </a:r>
          </a:p>
        </c:rich>
      </c:tx>
      <c:layout>
        <c:manualLayout>
          <c:xMode val="edge"/>
          <c:yMode val="edge"/>
          <c:x val="0.222565533738662"/>
          <c:y val="2.19414893617021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0.114771254858965"/>
          <c:y val="0.18029698581560299"/>
          <c:w val="0.84854978570716599"/>
          <c:h val="0.604942375886525"/>
        </c:manualLayout>
      </c:layout>
      <c:barChart>
        <c:barDir val="col"/>
        <c:grouping val="clustered"/>
        <c:varyColors val="0"/>
        <c:ser>
          <c:idx val="0"/>
          <c:order val="0"/>
          <c:tx>
            <c:strRef>
              <c:f>'běžné a kap. V po měsících'!$B$34:$B$35</c:f>
              <c:strCache>
                <c:ptCount val="2"/>
                <c:pt idx="0">
                  <c:v>Výdaje</c:v>
                </c:pt>
                <c:pt idx="1">
                  <c:v>Běžné</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'běžné a kap. V po měsících'!$A$36:$A$47</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'běžné a kap. V po měsících'!$B$36:$B$47</c:f>
              <c:numCache>
                <c:formatCode>#,##0</c:formatCode>
                <c:ptCount val="12"/>
                <c:pt idx="0">
                  <c:v>70751.709279999995</c:v>
                </c:pt>
                <c:pt idx="1">
                  <c:v>44464.098389999985</c:v>
                </c:pt>
                <c:pt idx="2">
                  <c:v>59673.641180000006</c:v>
                </c:pt>
                <c:pt idx="3">
                  <c:v>94000.716650000002</c:v>
                </c:pt>
                <c:pt idx="4">
                  <c:v>72213.055659999998</c:v>
                </c:pt>
                <c:pt idx="5">
                  <c:v>97183.578730000008</c:v>
                </c:pt>
                <c:pt idx="6">
                  <c:v>83996.765800000008</c:v>
                </c:pt>
                <c:pt idx="7">
                  <c:v>62349.894599999992</c:v>
                </c:pt>
                <c:pt idx="8">
                  <c:v>61643.932720000026</c:v>
                </c:pt>
                <c:pt idx="9">
                  <c:v>94950.526249999995</c:v>
                </c:pt>
                <c:pt idx="10">
                  <c:v>72028.378169999982</c:v>
                </c:pt>
                <c:pt idx="11">
                  <c:v>103482.14027000005</c:v>
                </c:pt>
              </c:numCache>
            </c:numRef>
          </c:val>
        </c:ser>
        <c:ser>
          <c:idx val="1"/>
          <c:order val="1"/>
          <c:tx>
            <c:strRef>
              <c:f>'běžné a kap. V po měsících'!$C$34:$C$35</c:f>
              <c:strCache>
                <c:ptCount val="2"/>
                <c:pt idx="0">
                  <c:v>Výdaje</c:v>
                </c:pt>
                <c:pt idx="1">
                  <c:v>Kapitálové</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'běžné a kap. V po měsících'!$A$36:$A$47</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'běžné a kap. V po měsících'!$C$36:$C$47</c:f>
              <c:numCache>
                <c:formatCode>#,##0</c:formatCode>
                <c:ptCount val="12"/>
                <c:pt idx="0">
                  <c:v>4571.6528600000001</c:v>
                </c:pt>
                <c:pt idx="1">
                  <c:v>9563.8338199999998</c:v>
                </c:pt>
                <c:pt idx="2">
                  <c:v>5823.0903799999996</c:v>
                </c:pt>
                <c:pt idx="3">
                  <c:v>9394.3045600000005</c:v>
                </c:pt>
                <c:pt idx="4">
                  <c:v>16196.643109999999</c:v>
                </c:pt>
                <c:pt idx="5">
                  <c:v>32184.985559999997</c:v>
                </c:pt>
                <c:pt idx="6">
                  <c:v>16046.3629</c:v>
                </c:pt>
                <c:pt idx="7">
                  <c:v>26662.649649999999</c:v>
                </c:pt>
                <c:pt idx="8">
                  <c:v>17738.85889</c:v>
                </c:pt>
                <c:pt idx="9">
                  <c:v>20594.486140000001</c:v>
                </c:pt>
                <c:pt idx="10">
                  <c:v>21267.53616</c:v>
                </c:pt>
                <c:pt idx="11">
                  <c:v>57755.428119999997</c:v>
                </c:pt>
              </c:numCache>
            </c:numRef>
          </c:val>
        </c:ser>
        <c:dLbls>
          <c:showLegendKey val="0"/>
          <c:showVal val="0"/>
          <c:showCatName val="0"/>
          <c:showSerName val="0"/>
          <c:showPercent val="0"/>
          <c:showBubbleSize val="0"/>
        </c:dLbls>
        <c:gapWidth val="100"/>
        <c:overlap val="-24"/>
        <c:axId val="521137536"/>
        <c:axId val="521137144"/>
      </c:barChart>
      <c:catAx>
        <c:axId val="521137536"/>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21137144"/>
        <c:crosses val="autoZero"/>
        <c:auto val="1"/>
        <c:lblAlgn val="ctr"/>
        <c:lblOffset val="100"/>
        <c:noMultiLvlLbl val="0"/>
      </c:catAx>
      <c:valAx>
        <c:axId val="521137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2113753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50" b="0" i="0" u="none" strike="noStrike" kern="1200" baseline="0">
                <a:solidFill>
                  <a:schemeClr val="tx1">
                    <a:lumMod val="65000"/>
                    <a:lumOff val="35000"/>
                  </a:schemeClr>
                </a:solidFill>
                <a:latin typeface="+mn-lt"/>
                <a:ea typeface="+mn-ea"/>
                <a:cs typeface="+mn-cs"/>
              </a:defRPr>
            </a:pPr>
            <a:endParaRPr lang="cs-CZ"/>
          </a:p>
        </c:txPr>
      </c:dTable>
      <c:spPr>
        <a:noFill/>
        <a:ln>
          <a:noFill/>
        </a:ln>
        <a:effectLst/>
      </c:spPr>
    </c:plotArea>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cs-CZ" sz="1200"/>
              <a:t>Srovnání daňových příjmů (v tis. Kč)</a:t>
            </a:r>
          </a:p>
        </c:rich>
      </c:tx>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'Srovnání daň.P v letech'!$A$27</c:f>
              <c:strCache>
                <c:ptCount val="1"/>
                <c:pt idx="0">
                  <c:v>Daňové příjmy celkem</c:v>
                </c:pt>
              </c:strCache>
            </c:strRef>
          </c:tx>
          <c:spPr>
            <a:gradFill flip="none" rotWithShape="1">
              <a:gsLst>
                <a:gs pos="0">
                  <a:schemeClr val="accent4">
                    <a:tint val="66000"/>
                    <a:satMod val="160000"/>
                  </a:schemeClr>
                </a:gs>
                <a:gs pos="50000">
                  <a:schemeClr val="accent4">
                    <a:tint val="44500"/>
                    <a:satMod val="160000"/>
                  </a:schemeClr>
                </a:gs>
                <a:gs pos="100000">
                  <a:schemeClr val="accent4">
                    <a:tint val="23500"/>
                    <a:satMod val="160000"/>
                  </a:schemeClr>
                </a:gs>
              </a:gsLst>
              <a:lin ang="0" scaled="1"/>
              <a:tileRect/>
            </a:gradFill>
            <a:ln w="9525" cap="flat" cmpd="sng" algn="ctr">
              <a:solidFill>
                <a:srgbClr val="FFC000"/>
              </a:solidFill>
              <a:round/>
            </a:ln>
            <a:effectLst/>
            <a:sp3d contourW="9525">
              <a:contourClr>
                <a:srgbClr val="FFC000"/>
              </a:contourClr>
            </a:sp3d>
          </c:spPr>
          <c:invertIfNegative val="0"/>
          <c:dPt>
            <c:idx val="0"/>
            <c:invertIfNegative val="0"/>
            <c:bubble3D val="0"/>
            <c:spPr>
              <a:gradFill flip="none" rotWithShape="1">
                <a:gsLst>
                  <a:gs pos="0">
                    <a:schemeClr val="accent4">
                      <a:tint val="66000"/>
                      <a:satMod val="160000"/>
                    </a:schemeClr>
                  </a:gs>
                  <a:gs pos="50000">
                    <a:schemeClr val="accent4">
                      <a:tint val="44500"/>
                      <a:satMod val="160000"/>
                    </a:schemeClr>
                  </a:gs>
                  <a:gs pos="100000">
                    <a:schemeClr val="accent4">
                      <a:tint val="23500"/>
                      <a:satMod val="160000"/>
                    </a:schemeClr>
                  </a:gs>
                </a:gsLst>
                <a:lin ang="0" scaled="1"/>
                <a:tileRect/>
              </a:gradFill>
              <a:ln w="9525" cap="flat" cmpd="sng" algn="ctr">
                <a:solidFill>
                  <a:srgbClr val="FFC000"/>
                </a:solidFill>
                <a:round/>
              </a:ln>
              <a:effectLst/>
              <a:sp3d contourW="9525">
                <a:contourClr>
                  <a:srgbClr val="FFC000"/>
                </a:contourClr>
              </a:sp3d>
            </c:spPr>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Lbls>
            <c:dLbl>
              <c:idx val="0"/>
              <c:layout>
                <c:manualLayout>
                  <c:x val="0"/>
                  <c:y val="0.217592592592592"/>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1"/>
              <c:layout>
                <c:manualLayout>
                  <c:x val="-5.0925337632080002E-17"/>
                  <c:y val="0.194444444444444"/>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2"/>
              <c:layout>
                <c:manualLayout>
                  <c:x val="-5.0925337632080002E-17"/>
                  <c:y val="0.194444444444444"/>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3"/>
              <c:layout>
                <c:manualLayout>
                  <c:x val="0"/>
                  <c:y val="0.194444444444444"/>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4"/>
              <c:layout>
                <c:manualLayout>
                  <c:x val="2.7777777777776799E-3"/>
                  <c:y val="0.17592592592592601"/>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5"/>
              <c:layout>
                <c:manualLayout>
                  <c:x val="0"/>
                  <c:y val="0.180555555555556"/>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6"/>
              <c:layout>
                <c:manualLayout>
                  <c:x val="1.0185067526416E-16"/>
                  <c:y val="0.180555555555556"/>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7"/>
              <c:layout>
                <c:manualLayout>
                  <c:x val="-1.0185067526416E-16"/>
                  <c:y val="0.180555555555556"/>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8"/>
              <c:layout>
                <c:manualLayout>
                  <c:x val="-1.0721901305356429E-16"/>
                  <c:y val="0.1898314229883046"/>
                </c:manualLayout>
              </c:layout>
              <c:showLegendKey val="0"/>
              <c:showVal val="1"/>
              <c:showCatName val="0"/>
              <c:showSerName val="0"/>
              <c:showPercent val="0"/>
              <c:showBubbleSize val="1"/>
              <c:separator>; </c:separator>
              <c:extLst>
                <c:ext xmlns:c15="http://schemas.microsoft.com/office/drawing/2012/chart" uri="{CE6537A1-D6FC-4f65-9D91-7224C49458BB}"/>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cs-CZ"/>
              </a:p>
            </c:txP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'Srovnání daň.P v letech'!$B$26:$J$26</c:f>
              <c:numCache>
                <c:formatCode>General</c:formatCode>
                <c:ptCount val="8"/>
                <c:pt idx="0">
                  <c:v>2015</c:v>
                </c:pt>
                <c:pt idx="1">
                  <c:v>2016</c:v>
                </c:pt>
                <c:pt idx="2">
                  <c:v>2017</c:v>
                </c:pt>
                <c:pt idx="3">
                  <c:v>2018</c:v>
                </c:pt>
                <c:pt idx="4">
                  <c:v>2019</c:v>
                </c:pt>
                <c:pt idx="5">
                  <c:v>2020</c:v>
                </c:pt>
                <c:pt idx="6">
                  <c:v>2021</c:v>
                </c:pt>
                <c:pt idx="7">
                  <c:v>2022</c:v>
                </c:pt>
              </c:numCache>
            </c:numRef>
          </c:cat>
          <c:val>
            <c:numRef>
              <c:f>'Srovnání daň.P v letech'!$B$27:$J$27</c:f>
              <c:numCache>
                <c:formatCode>#,##0</c:formatCode>
                <c:ptCount val="8"/>
                <c:pt idx="0">
                  <c:v>603970.88954</c:v>
                </c:pt>
                <c:pt idx="1">
                  <c:v>653905.80217000004</c:v>
                </c:pt>
                <c:pt idx="2">
                  <c:v>712548.28888000001</c:v>
                </c:pt>
                <c:pt idx="3">
                  <c:v>768810.28400999994</c:v>
                </c:pt>
                <c:pt idx="4">
                  <c:v>820132.01026000001</c:v>
                </c:pt>
                <c:pt idx="5">
                  <c:v>767090.10407</c:v>
                </c:pt>
                <c:pt idx="6">
                  <c:v>829113.74297999998</c:v>
                </c:pt>
                <c:pt idx="7">
                  <c:v>982699.25324999995</c:v>
                </c:pt>
              </c:numCache>
            </c:numRef>
          </c:val>
        </c:ser>
        <c:dLbls>
          <c:showLegendKey val="0"/>
          <c:showVal val="0"/>
          <c:showCatName val="0"/>
          <c:showSerName val="0"/>
          <c:showPercent val="0"/>
          <c:showBubbleSize val="0"/>
        </c:dLbls>
        <c:gapWidth val="150"/>
        <c:shape val="box"/>
        <c:axId val="517559176"/>
        <c:axId val="517558392"/>
        <c:axId val="0"/>
      </c:bar3DChart>
      <c:catAx>
        <c:axId val="517559176"/>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517558392"/>
        <c:crosses val="autoZero"/>
        <c:auto val="1"/>
        <c:lblAlgn val="ctr"/>
        <c:lblOffset val="100"/>
        <c:noMultiLvlLbl val="0"/>
      </c:catAx>
      <c:valAx>
        <c:axId val="5175583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517559176"/>
        <c:crosses val="autoZero"/>
        <c:crossBetween val="between"/>
      </c:valAx>
      <c:spPr>
        <a:noFill/>
        <a:ln>
          <a:noFill/>
        </a:ln>
        <a:effectLst/>
      </c:spPr>
    </c:plotArea>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100"/>
              <a:t>Saldo provozního přebytku/deficitu po měsících - rok 202</a:t>
            </a:r>
            <a:r>
              <a:rPr lang="cs-CZ" sz="1100"/>
              <a:t>2</a:t>
            </a:r>
            <a:r>
              <a:rPr lang="en-US" sz="1100"/>
              <a:t> (v tis.Kč)</a:t>
            </a:r>
          </a:p>
        </c:rich>
      </c:tx>
      <c:layout>
        <c:manualLayout>
          <c:xMode val="edge"/>
          <c:yMode val="edge"/>
          <c:x val="0.271283496622377"/>
          <c:y val="3.3350757971772102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8.6386614772066397E-2"/>
          <c:y val="0.17396759017250399"/>
          <c:w val="0.89446606719456001"/>
          <c:h val="0.71667537898588596"/>
        </c:manualLayout>
      </c:layout>
      <c:barChart>
        <c:barDir val="col"/>
        <c:grouping val="clustered"/>
        <c:varyColors val="0"/>
        <c:ser>
          <c:idx val="0"/>
          <c:order val="0"/>
          <c:tx>
            <c:strRef>
              <c:f>'provozní saldo po měsících'!$D$20:$D$21</c:f>
              <c:strCache>
                <c:ptCount val="2"/>
                <c:pt idx="0">
                  <c:v>Saldo</c:v>
                </c:pt>
              </c:strCache>
            </c:strRef>
          </c:tx>
          <c:spPr>
            <a:solidFill>
              <a:schemeClr val="accent5">
                <a:lumMod val="60000"/>
                <a:lumOff val="40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'provozní saldo po měsících'!$A$22:$A$33</c:f>
              <c:strCache>
                <c:ptCount val="12"/>
                <c:pt idx="0">
                  <c:v>Leden</c:v>
                </c:pt>
                <c:pt idx="1">
                  <c:v>Únor</c:v>
                </c:pt>
                <c:pt idx="2">
                  <c:v>Březen</c:v>
                </c:pt>
                <c:pt idx="3">
                  <c:v>Duben</c:v>
                </c:pt>
                <c:pt idx="4">
                  <c:v>Květen</c:v>
                </c:pt>
                <c:pt idx="5">
                  <c:v>Červen</c:v>
                </c:pt>
                <c:pt idx="6">
                  <c:v>Červenec</c:v>
                </c:pt>
                <c:pt idx="7">
                  <c:v>Srpen</c:v>
                </c:pt>
                <c:pt idx="8">
                  <c:v>Září</c:v>
                </c:pt>
                <c:pt idx="9">
                  <c:v>Říjen</c:v>
                </c:pt>
                <c:pt idx="10">
                  <c:v>Listopad</c:v>
                </c:pt>
                <c:pt idx="11">
                  <c:v>Prosinec</c:v>
                </c:pt>
              </c:strCache>
            </c:strRef>
          </c:cat>
          <c:val>
            <c:numRef>
              <c:f>'provozní saldo po měsících'!$D$22:$D$33</c:f>
              <c:numCache>
                <c:formatCode>#,##0</c:formatCode>
                <c:ptCount val="12"/>
                <c:pt idx="0">
                  <c:v>7677.2098799999949</c:v>
                </c:pt>
                <c:pt idx="1">
                  <c:v>48671.359530000002</c:v>
                </c:pt>
                <c:pt idx="2">
                  <c:v>27953.292019999979</c:v>
                </c:pt>
                <c:pt idx="3">
                  <c:v>-7546.5651800000342</c:v>
                </c:pt>
                <c:pt idx="4">
                  <c:v>36996.430780000053</c:v>
                </c:pt>
                <c:pt idx="5">
                  <c:v>53202.446410000091</c:v>
                </c:pt>
                <c:pt idx="6">
                  <c:v>44441.086149999799</c:v>
                </c:pt>
                <c:pt idx="7">
                  <c:v>36447.932569999968</c:v>
                </c:pt>
                <c:pt idx="8">
                  <c:v>44259.633390000221</c:v>
                </c:pt>
                <c:pt idx="9">
                  <c:v>-18536.11798000001</c:v>
                </c:pt>
                <c:pt idx="10">
                  <c:v>48987.442440000159</c:v>
                </c:pt>
                <c:pt idx="11">
                  <c:v>19360.677139999563</c:v>
                </c:pt>
              </c:numCache>
            </c:numRef>
          </c:val>
        </c:ser>
        <c:dLbls>
          <c:showLegendKey val="0"/>
          <c:showVal val="0"/>
          <c:showCatName val="0"/>
          <c:showSerName val="0"/>
          <c:showPercent val="0"/>
          <c:showBubbleSize val="0"/>
        </c:dLbls>
        <c:gapWidth val="100"/>
        <c:overlap val="-24"/>
        <c:axId val="521138712"/>
        <c:axId val="521139104"/>
      </c:barChart>
      <c:catAx>
        <c:axId val="521138712"/>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21139104"/>
        <c:crosses val="autoZero"/>
        <c:auto val="1"/>
        <c:lblAlgn val="ctr"/>
        <c:lblOffset val="100"/>
        <c:noMultiLvlLbl val="0"/>
      </c:catAx>
      <c:valAx>
        <c:axId val="521139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2113871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mn-lt"/>
                <a:ea typeface="+mn-ea"/>
                <a:cs typeface="+mn-cs"/>
              </a:defRPr>
            </a:pPr>
            <a:endParaRPr lang="cs-CZ"/>
          </a:p>
        </c:txPr>
      </c:dTable>
      <c:spPr>
        <a:noFill/>
        <a:ln>
          <a:noFill/>
        </a:ln>
        <a:effectLst/>
      </c:spPr>
    </c:plotArea>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cs-CZ" sz="1200"/>
              <a:t>Srovnání sdílených daní (v tis. Kč)</a:t>
            </a:r>
          </a:p>
        </c:rich>
      </c:tx>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flip="none" rotWithShape="1">
              <a:gsLst>
                <a:gs pos="0">
                  <a:schemeClr val="accent4">
                    <a:lumMod val="5000"/>
                    <a:lumOff val="95000"/>
                  </a:schemeClr>
                </a:gs>
                <a:gs pos="74000">
                  <a:schemeClr val="accent4">
                    <a:lumMod val="45000"/>
                    <a:lumOff val="55000"/>
                  </a:schemeClr>
                </a:gs>
                <a:gs pos="83000">
                  <a:schemeClr val="accent4">
                    <a:lumMod val="45000"/>
                    <a:lumOff val="55000"/>
                  </a:schemeClr>
                </a:gs>
                <a:gs pos="100000">
                  <a:schemeClr val="accent4">
                    <a:lumMod val="30000"/>
                    <a:lumOff val="70000"/>
                  </a:schemeClr>
                </a:gs>
              </a:gsLst>
              <a:lin ang="5400000" scaled="1"/>
              <a:tileRect/>
            </a:gradFill>
            <a:ln w="9525" cap="flat" cmpd="sng" algn="ctr">
              <a:solidFill>
                <a:schemeClr val="accent4"/>
              </a:solidFill>
              <a:round/>
            </a:ln>
            <a:effectLst/>
            <a:sp3d contourW="9525">
              <a:contourClr>
                <a:schemeClr val="accent4"/>
              </a:contourClr>
            </a:sp3d>
          </c:spPr>
          <c:invertIfNegative val="0"/>
          <c:dPt>
            <c:idx val="0"/>
            <c:invertIfNegative val="0"/>
            <c:bubble3D val="0"/>
            <c:spPr>
              <a:gradFill flip="none" rotWithShape="1">
                <a:gsLst>
                  <a:gs pos="0">
                    <a:schemeClr val="accent4">
                      <a:lumMod val="5000"/>
                      <a:lumOff val="95000"/>
                    </a:schemeClr>
                  </a:gs>
                  <a:gs pos="74000">
                    <a:schemeClr val="accent4">
                      <a:lumMod val="45000"/>
                      <a:lumOff val="55000"/>
                    </a:schemeClr>
                  </a:gs>
                  <a:gs pos="83000">
                    <a:schemeClr val="accent4">
                      <a:lumMod val="45000"/>
                      <a:lumOff val="55000"/>
                    </a:schemeClr>
                  </a:gs>
                  <a:gs pos="100000">
                    <a:schemeClr val="accent4">
                      <a:lumMod val="30000"/>
                      <a:lumOff val="70000"/>
                    </a:schemeClr>
                  </a:gs>
                </a:gsLst>
                <a:lin ang="5400000" scaled="1"/>
                <a:tileRect/>
              </a:gradFill>
              <a:ln w="9525" cap="flat" cmpd="sng" algn="ctr">
                <a:solidFill>
                  <a:schemeClr val="accent4"/>
                </a:solidFill>
                <a:round/>
              </a:ln>
              <a:effectLst/>
              <a:sp3d contourW="9525">
                <a:contourClr>
                  <a:schemeClr val="accent4"/>
                </a:contourClr>
              </a:sp3d>
            </c:spPr>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Lbls>
            <c:dLbl>
              <c:idx val="0"/>
              <c:layout>
                <c:manualLayout>
                  <c:x val="-5.0925337632080002E-17"/>
                  <c:y val="0.18518518518518501"/>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1"/>
              <c:layout>
                <c:manualLayout>
                  <c:x val="2.7777777777777801E-3"/>
                  <c:y val="0.180555555555556"/>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2"/>
              <c:layout>
                <c:manualLayout>
                  <c:x val="2.7777777777777801E-3"/>
                  <c:y val="0.180555555555556"/>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3"/>
              <c:layout>
                <c:manualLayout>
                  <c:x val="0"/>
                  <c:y val="0.171296296296296"/>
                </c:manualLayout>
              </c:layout>
              <c:showLegendKey val="0"/>
              <c:showVal val="1"/>
              <c:showCatName val="0"/>
              <c:showSerName val="0"/>
              <c:showPercent val="0"/>
              <c:showBubbleSize val="1"/>
              <c:separator>; </c:separator>
              <c:extLst>
                <c:ext xmlns:c15="http://schemas.microsoft.com/office/drawing/2012/chart" uri="{CE6537A1-D6FC-4f65-9D91-7224C49458BB}"/>
              </c:extLst>
            </c:dLbl>
            <c:dLbl>
              <c:idx val="4"/>
              <c:layout>
                <c:manualLayout>
                  <c:x val="2.7777777777776799E-3"/>
                  <c:y val="0.180555555555556"/>
                </c:manualLayout>
              </c:layout>
              <c:showLegendKey val="0"/>
              <c:showVal val="1"/>
              <c:showCatName val="0"/>
              <c:showSerName val="0"/>
              <c:showPercent val="0"/>
              <c:showBubbleSize val="1"/>
              <c:separator>; </c:separator>
              <c:extLst>
                <c:ext xmlns:c15="http://schemas.microsoft.com/office/drawing/2012/chart" uri="{CE6537A1-D6FC-4f65-9D91-7224C49458BB}"/>
              </c:extLst>
            </c:dLbl>
            <c:dLbl>
              <c:idx val="5"/>
              <c:layout>
                <c:manualLayout>
                  <c:x val="-1.0185067526416E-16"/>
                  <c:y val="0.18518518518518501"/>
                </c:manualLayout>
              </c:layout>
              <c:showLegendKey val="0"/>
              <c:showVal val="1"/>
              <c:showCatName val="0"/>
              <c:showSerName val="0"/>
              <c:showPercent val="0"/>
              <c:showBubbleSize val="1"/>
              <c:separator>; </c:separator>
              <c:extLst>
                <c:ext xmlns:c15="http://schemas.microsoft.com/office/drawing/2012/chart" uri="{CE6537A1-D6FC-4f65-9D91-7224C49458BB}"/>
              </c:extLst>
            </c:dLbl>
            <c:dLbl>
              <c:idx val="6"/>
              <c:layout>
                <c:manualLayout>
                  <c:x val="5.5555555555555601E-3"/>
                  <c:y val="0.171296296296296"/>
                </c:manualLayout>
              </c:layout>
              <c:showLegendKey val="0"/>
              <c:showVal val="1"/>
              <c:showCatName val="0"/>
              <c:showSerName val="0"/>
              <c:showPercent val="0"/>
              <c:showBubbleSize val="1"/>
              <c:separator>; </c:separator>
              <c:extLst>
                <c:ext xmlns:c15="http://schemas.microsoft.com/office/drawing/2012/chart" uri="{CE6537A1-D6FC-4f65-9D91-7224C49458BB}"/>
              </c:extLst>
            </c:dLbl>
            <c:dLbl>
              <c:idx val="7"/>
              <c:layout>
                <c:manualLayout>
                  <c:x val="2.7777777777777801E-3"/>
                  <c:y val="0.180555555555556"/>
                </c:manualLayout>
              </c:layout>
              <c:showLegendKey val="0"/>
              <c:showVal val="1"/>
              <c:showCatName val="0"/>
              <c:showSerName val="0"/>
              <c:showPercent val="0"/>
              <c:showBubbleSize val="1"/>
              <c:separator>; </c:separator>
              <c:extLst>
                <c:ext xmlns:c15="http://schemas.microsoft.com/office/drawing/2012/chart" uri="{CE6537A1-D6FC-4f65-9D91-7224C49458BB}"/>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cs-CZ"/>
              </a:p>
            </c:txP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'Sdílené daně'!$I$14:$L$14</c:f>
              <c:numCache>
                <c:formatCode>General</c:formatCode>
                <c:ptCount val="3"/>
                <c:pt idx="0">
                  <c:v>2020</c:v>
                </c:pt>
                <c:pt idx="1">
                  <c:v>2021</c:v>
                </c:pt>
                <c:pt idx="2">
                  <c:v>2022</c:v>
                </c:pt>
              </c:numCache>
            </c:numRef>
          </c:cat>
          <c:val>
            <c:numRef>
              <c:f>'Sdílené daně'!$I$15:$L$15</c:f>
              <c:numCache>
                <c:formatCode>#,##0</c:formatCode>
                <c:ptCount val="3"/>
                <c:pt idx="0">
                  <c:v>645310.18390000006</c:v>
                </c:pt>
                <c:pt idx="1">
                  <c:v>708237.37305000005</c:v>
                </c:pt>
                <c:pt idx="2">
                  <c:v>815822.00212000008</c:v>
                </c:pt>
              </c:numCache>
            </c:numRef>
          </c:val>
        </c:ser>
        <c:dLbls>
          <c:showLegendKey val="0"/>
          <c:showVal val="0"/>
          <c:showCatName val="0"/>
          <c:showSerName val="0"/>
          <c:showPercent val="0"/>
          <c:showBubbleSize val="0"/>
        </c:dLbls>
        <c:gapWidth val="150"/>
        <c:shape val="box"/>
        <c:axId val="517561528"/>
        <c:axId val="517559960"/>
        <c:axId val="0"/>
      </c:bar3DChart>
      <c:catAx>
        <c:axId val="517561528"/>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517559960"/>
        <c:crosses val="autoZero"/>
        <c:auto val="1"/>
        <c:lblAlgn val="ctr"/>
        <c:lblOffset val="100"/>
        <c:noMultiLvlLbl val="0"/>
      </c:catAx>
      <c:valAx>
        <c:axId val="5175599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517561528"/>
        <c:crosses val="autoZero"/>
        <c:crossBetween val="between"/>
      </c:valAx>
      <c:spPr>
        <a:noFill/>
        <a:ln>
          <a:noFill/>
        </a:ln>
        <a:effectLst/>
      </c:spPr>
    </c:plotArea>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cs-CZ" sz="1100"/>
              <a:t>Srovnání daní a poplatků z vybraných činností a služeb   (v tis. Kč)</a:t>
            </a:r>
          </a:p>
        </c:rich>
      </c:tx>
      <c:layout>
        <c:manualLayout>
          <c:xMode val="edge"/>
          <c:yMode val="edge"/>
          <c:x val="0.1182234393945729"/>
          <c:y val="2.7780208242190917E-2"/>
        </c:manualLayout>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'Daně a popl.z vybran. čin.a sl.'!$A$23:$C$23</c:f>
              <c:strCache>
                <c:ptCount val="3"/>
                <c:pt idx="0">
                  <c:v>Daně a poplatky z vybraných činností a služeb</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a:sp3d contourW="9525">
              <a:contourClr>
                <a:schemeClr val="accent4">
                  <a:shade val="95000"/>
                </a:schemeClr>
              </a:contourClr>
            </a:sp3d>
          </c:spPr>
          <c:invertIfNegative val="0"/>
          <c:dPt>
            <c:idx val="0"/>
            <c:invertIfNegative val="0"/>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a:sp3d contourW="9525">
                <a:contourClr>
                  <a:schemeClr val="accent4">
                    <a:shade val="95000"/>
                  </a:schemeClr>
                </a:contourClr>
              </a:sp3d>
            </c:spPr>
          </c:dPt>
          <c:dPt>
            <c:idx val="1"/>
            <c:invertIfNegative val="0"/>
            <c:bubble3D val="0"/>
          </c:dPt>
          <c:dPt>
            <c:idx val="2"/>
            <c:invertIfNegative val="0"/>
            <c:bubble3D val="0"/>
          </c:dPt>
          <c:dLbls>
            <c:dLbl>
              <c:idx val="0"/>
              <c:layout>
                <c:manualLayout>
                  <c:x val="0"/>
                  <c:y val="0.226851851851852"/>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1"/>
              <c:layout>
                <c:manualLayout>
                  <c:x val="0"/>
                  <c:y val="0.23148148148148101"/>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2"/>
              <c:layout>
                <c:manualLayout>
                  <c:x val="2.9502876530460636E-3"/>
                  <c:y val="0.23148694743789114"/>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3"/>
              <c:layout>
                <c:manualLayout>
                  <c:x val="0"/>
                  <c:y val="0.23613177005862279"/>
                </c:manualLayout>
              </c:layout>
              <c:showLegendKey val="0"/>
              <c:showVal val="1"/>
              <c:showCatName val="0"/>
              <c:showSerName val="0"/>
              <c:showPercent val="0"/>
              <c:showBubbleSize val="1"/>
              <c:separator>; </c:separator>
              <c:extLst>
                <c:ext xmlns:c15="http://schemas.microsoft.com/office/drawing/2012/chart" uri="{CE6537A1-D6FC-4f65-9D91-7224C49458BB}"/>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cs-CZ"/>
              </a:p>
            </c:txP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'Daně a popl.z vybran. čin.a sl.'!$D$21:$G$21</c:f>
              <c:numCache>
                <c:formatCode>General</c:formatCode>
                <c:ptCount val="3"/>
                <c:pt idx="0">
                  <c:v>2020</c:v>
                </c:pt>
                <c:pt idx="1">
                  <c:v>2021</c:v>
                </c:pt>
                <c:pt idx="2">
                  <c:v>2022</c:v>
                </c:pt>
              </c:numCache>
            </c:numRef>
          </c:cat>
          <c:val>
            <c:numRef>
              <c:f>'Daně a popl.z vybran. čin.a sl.'!$D$23:$G$23</c:f>
              <c:numCache>
                <c:formatCode>#,##0.00</c:formatCode>
                <c:ptCount val="3"/>
                <c:pt idx="0">
                  <c:v>93450.305400000012</c:v>
                </c:pt>
                <c:pt idx="1">
                  <c:v>90020.460599999991</c:v>
                </c:pt>
                <c:pt idx="2">
                  <c:v>135392.07272999999</c:v>
                </c:pt>
              </c:numCache>
            </c:numRef>
          </c:val>
        </c:ser>
        <c:dLbls>
          <c:showLegendKey val="0"/>
          <c:showVal val="0"/>
          <c:showCatName val="0"/>
          <c:showSerName val="0"/>
          <c:showPercent val="0"/>
          <c:showBubbleSize val="0"/>
        </c:dLbls>
        <c:gapWidth val="150"/>
        <c:shape val="box"/>
        <c:axId val="316747904"/>
        <c:axId val="316748688"/>
        <c:axId val="0"/>
      </c:bar3DChart>
      <c:catAx>
        <c:axId val="316747904"/>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316748688"/>
        <c:crosses val="autoZero"/>
        <c:auto val="1"/>
        <c:lblAlgn val="ctr"/>
        <c:lblOffset val="100"/>
        <c:noMultiLvlLbl val="0"/>
      </c:catAx>
      <c:valAx>
        <c:axId val="3167486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316747904"/>
        <c:crosses val="autoZero"/>
        <c:crossBetween val="between"/>
      </c:valAx>
      <c:spPr>
        <a:noFill/>
        <a:ln>
          <a:noFill/>
        </a:ln>
        <a:effectLst/>
      </c:spPr>
    </c:plotArea>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cs-CZ" sz="1100"/>
              <a:t>Srovnání nedaňových příjmů (v tis. Kč)</a:t>
            </a:r>
          </a:p>
        </c:rich>
      </c:tx>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'Nedaňové P'!$A$9</c:f>
              <c:strCache>
                <c:ptCount val="1"/>
                <c:pt idx="0">
                  <c:v>Nedaňové příjmy celkem</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a:sp3d contourW="9525">
              <a:contourClr>
                <a:schemeClr val="accent4">
                  <a:shade val="95000"/>
                </a:schemeClr>
              </a:contourClr>
            </a:sp3d>
          </c:spPr>
          <c:invertIfNegative val="0"/>
          <c:dPt>
            <c:idx val="0"/>
            <c:invertIfNegative val="0"/>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a:sp3d contourW="9525">
                <a:contourClr>
                  <a:schemeClr val="accent4">
                    <a:shade val="95000"/>
                  </a:schemeClr>
                </a:contourClr>
              </a:sp3d>
            </c:spPr>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Lbls>
            <c:dLbl>
              <c:idx val="0"/>
              <c:layout>
                <c:manualLayout>
                  <c:x val="-2.7777777777777801E-3"/>
                  <c:y val="0.25"/>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1"/>
              <c:layout>
                <c:manualLayout>
                  <c:x val="0"/>
                  <c:y val="0.26388888888888901"/>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2"/>
              <c:layout>
                <c:manualLayout>
                  <c:x val="-5.0925337632080002E-17"/>
                  <c:y val="0.194444444444444"/>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3"/>
              <c:layout>
                <c:manualLayout>
                  <c:x val="0"/>
                  <c:y val="0.18981481481481499"/>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4"/>
              <c:layout>
                <c:manualLayout>
                  <c:x val="0"/>
                  <c:y val="0.17592592592592601"/>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5"/>
              <c:layout>
                <c:manualLayout>
                  <c:x val="0"/>
                  <c:y val="0.18981481481481499"/>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6"/>
              <c:layout>
                <c:manualLayout>
                  <c:x val="-1.0185067526416E-16"/>
                  <c:y val="0.18518518518518501"/>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7"/>
              <c:layout>
                <c:manualLayout>
                  <c:x val="1.0185067526416E-16"/>
                  <c:y val="0.18981481481481499"/>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8"/>
              <c:layout>
                <c:manualLayout>
                  <c:x val="0"/>
                  <c:y val="0.18519733724143461"/>
                </c:manualLayout>
              </c:layout>
              <c:showLegendKey val="0"/>
              <c:showVal val="1"/>
              <c:showCatName val="0"/>
              <c:showSerName val="0"/>
              <c:showPercent val="0"/>
              <c:showBubbleSize val="1"/>
              <c:separator>; </c:separator>
              <c:extLst>
                <c:ext xmlns:c15="http://schemas.microsoft.com/office/drawing/2012/chart" uri="{CE6537A1-D6FC-4f65-9D91-7224C49458BB}"/>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cs-CZ"/>
              </a:p>
            </c:txP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'Nedaňové P'!$B$8:$J$8</c:f>
              <c:numCache>
                <c:formatCode>General</c:formatCode>
                <c:ptCount val="8"/>
                <c:pt idx="0">
                  <c:v>2015</c:v>
                </c:pt>
                <c:pt idx="1">
                  <c:v>2016</c:v>
                </c:pt>
                <c:pt idx="2">
                  <c:v>2017</c:v>
                </c:pt>
                <c:pt idx="3">
                  <c:v>2018</c:v>
                </c:pt>
                <c:pt idx="4">
                  <c:v>2019</c:v>
                </c:pt>
                <c:pt idx="5">
                  <c:v>2020</c:v>
                </c:pt>
                <c:pt idx="6">
                  <c:v>2021</c:v>
                </c:pt>
                <c:pt idx="7">
                  <c:v>2022</c:v>
                </c:pt>
              </c:numCache>
            </c:numRef>
          </c:cat>
          <c:val>
            <c:numRef>
              <c:f>'Nedaňové P'!$B$9:$J$9</c:f>
              <c:numCache>
                <c:formatCode>#,##0</c:formatCode>
                <c:ptCount val="8"/>
                <c:pt idx="0">
                  <c:v>128439.42545</c:v>
                </c:pt>
                <c:pt idx="1">
                  <c:v>126823.09359</c:v>
                </c:pt>
                <c:pt idx="2">
                  <c:v>120827.79349</c:v>
                </c:pt>
                <c:pt idx="3">
                  <c:v>137031.91115</c:v>
                </c:pt>
                <c:pt idx="4">
                  <c:v>131745.08215999999</c:v>
                </c:pt>
                <c:pt idx="5">
                  <c:v>147828.98443000001</c:v>
                </c:pt>
                <c:pt idx="6">
                  <c:v>150380.05694000001</c:v>
                </c:pt>
                <c:pt idx="7">
                  <c:v>169765.89822</c:v>
                </c:pt>
              </c:numCache>
            </c:numRef>
          </c:val>
        </c:ser>
        <c:dLbls>
          <c:showLegendKey val="0"/>
          <c:showVal val="0"/>
          <c:showCatName val="0"/>
          <c:showSerName val="0"/>
          <c:showPercent val="0"/>
          <c:showBubbleSize val="0"/>
        </c:dLbls>
        <c:gapWidth val="150"/>
        <c:shape val="box"/>
        <c:axId val="516599328"/>
        <c:axId val="516597368"/>
        <c:axId val="0"/>
      </c:bar3DChart>
      <c:catAx>
        <c:axId val="516599328"/>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516597368"/>
        <c:crosses val="autoZero"/>
        <c:auto val="1"/>
        <c:lblAlgn val="ctr"/>
        <c:lblOffset val="100"/>
        <c:noMultiLvlLbl val="0"/>
      </c:catAx>
      <c:valAx>
        <c:axId val="5165973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516599328"/>
        <c:crosses val="autoZero"/>
        <c:crossBetween val="between"/>
      </c:valAx>
      <c:spPr>
        <a:noFill/>
        <a:ln>
          <a:noFill/>
        </a:ln>
        <a:effectLst/>
      </c:spPr>
    </c:plotArea>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cs-CZ" sz="1100"/>
              <a:t>Srovnání příjmů z vlastní činnosti a odvody přebytků organizací s přímým vztahem (v tis. Kč)</a:t>
            </a:r>
          </a:p>
        </c:rich>
      </c:tx>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a:sp3d contourW="9525">
              <a:contourClr>
                <a:schemeClr val="accent4">
                  <a:shade val="95000"/>
                </a:schemeClr>
              </a:contourClr>
            </a:sp3d>
          </c:spPr>
          <c:invertIfNegative val="0"/>
          <c:dPt>
            <c:idx val="0"/>
            <c:invertIfNegative val="0"/>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a:sp3d contourW="9525">
                <a:contourClr>
                  <a:schemeClr val="accent4">
                    <a:shade val="95000"/>
                  </a:schemeClr>
                </a:contourClr>
              </a:sp3d>
            </c:spPr>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Lbls>
            <c:dLbl>
              <c:idx val="0"/>
              <c:layout>
                <c:manualLayout>
                  <c:x val="0"/>
                  <c:y val="0.1851875346341178"/>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1"/>
              <c:layout>
                <c:manualLayout>
                  <c:x val="0"/>
                  <c:y val="0.18518518518518501"/>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2"/>
              <c:layout>
                <c:manualLayout>
                  <c:x val="0"/>
                  <c:y val="0.180555555555556"/>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3"/>
              <c:layout>
                <c:manualLayout>
                  <c:x val="0"/>
                  <c:y val="0.171296296296296"/>
                </c:manualLayout>
              </c:layout>
              <c:showLegendKey val="0"/>
              <c:showVal val="1"/>
              <c:showCatName val="0"/>
              <c:showSerName val="0"/>
              <c:showPercent val="0"/>
              <c:showBubbleSize val="1"/>
              <c:separator>; </c:separator>
              <c:extLst>
                <c:ext xmlns:c15="http://schemas.microsoft.com/office/drawing/2012/chart" uri="{CE6537A1-D6FC-4f65-9D91-7224C49458BB}"/>
              </c:extLst>
            </c:dLbl>
            <c:dLbl>
              <c:idx val="4"/>
              <c:layout>
                <c:manualLayout>
                  <c:x val="-1.0185067526416E-16"/>
                  <c:y val="0.18518518518518501"/>
                </c:manualLayout>
              </c:layout>
              <c:showLegendKey val="0"/>
              <c:showVal val="1"/>
              <c:showCatName val="0"/>
              <c:showSerName val="0"/>
              <c:showPercent val="0"/>
              <c:showBubbleSize val="1"/>
              <c:separator>; </c:separator>
              <c:extLst>
                <c:ext xmlns:c15="http://schemas.microsoft.com/office/drawing/2012/chart" uri="{CE6537A1-D6FC-4f65-9D91-7224C49458BB}"/>
              </c:extLst>
            </c:dLbl>
            <c:dLbl>
              <c:idx val="5"/>
              <c:layout>
                <c:manualLayout>
                  <c:x val="0"/>
                  <c:y val="0.180555555555556"/>
                </c:manualLayout>
              </c:layout>
              <c:showLegendKey val="0"/>
              <c:showVal val="1"/>
              <c:showCatName val="0"/>
              <c:showSerName val="0"/>
              <c:showPercent val="0"/>
              <c:showBubbleSize val="1"/>
              <c:separator>; </c:separator>
              <c:extLst>
                <c:ext xmlns:c15="http://schemas.microsoft.com/office/drawing/2012/chart" uri="{CE6537A1-D6FC-4f65-9D91-7224C49458BB}"/>
              </c:extLst>
            </c:dLbl>
            <c:dLbl>
              <c:idx val="6"/>
              <c:layout>
                <c:manualLayout>
                  <c:x val="0"/>
                  <c:y val="0.180555555555556"/>
                </c:manualLayout>
              </c:layout>
              <c:showLegendKey val="0"/>
              <c:showVal val="1"/>
              <c:showCatName val="0"/>
              <c:showSerName val="0"/>
              <c:showPercent val="0"/>
              <c:showBubbleSize val="1"/>
              <c:separator>; </c:separator>
              <c:extLst>
                <c:ext xmlns:c15="http://schemas.microsoft.com/office/drawing/2012/chart" uri="{CE6537A1-D6FC-4f65-9D91-7224C49458BB}"/>
              </c:extLst>
            </c:dLbl>
            <c:dLbl>
              <c:idx val="7"/>
              <c:layout>
                <c:manualLayout>
                  <c:x val="-1.0185067526416E-16"/>
                  <c:y val="0.180555555555556"/>
                </c:manualLayout>
              </c:layout>
              <c:showLegendKey val="0"/>
              <c:showVal val="1"/>
              <c:showCatName val="0"/>
              <c:showSerName val="0"/>
              <c:showPercent val="0"/>
              <c:showBubbleSize val="1"/>
              <c:separator>; </c:separator>
              <c:extLst>
                <c:ext xmlns:c15="http://schemas.microsoft.com/office/drawing/2012/chart" uri="{CE6537A1-D6FC-4f65-9D91-7224C49458BB}"/>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cs-CZ"/>
              </a:p>
            </c:txP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'P z vl.čin.a odvody org.'!$I$24:$L$24</c:f>
              <c:numCache>
                <c:formatCode>General</c:formatCode>
                <c:ptCount val="3"/>
                <c:pt idx="0">
                  <c:v>2020</c:v>
                </c:pt>
                <c:pt idx="1">
                  <c:v>2021</c:v>
                </c:pt>
                <c:pt idx="2">
                  <c:v>2022</c:v>
                </c:pt>
              </c:numCache>
            </c:numRef>
          </c:cat>
          <c:val>
            <c:numRef>
              <c:f>'P z vl.čin.a odvody org.'!$I$25:$L$25</c:f>
              <c:numCache>
                <c:formatCode>#,##0</c:formatCode>
                <c:ptCount val="3"/>
                <c:pt idx="0">
                  <c:v>130358.57026999998</c:v>
                </c:pt>
                <c:pt idx="1">
                  <c:v>124079.31747999997</c:v>
                </c:pt>
                <c:pt idx="2">
                  <c:v>141713.19265000001</c:v>
                </c:pt>
              </c:numCache>
            </c:numRef>
          </c:val>
        </c:ser>
        <c:dLbls>
          <c:showLegendKey val="0"/>
          <c:showVal val="0"/>
          <c:showCatName val="0"/>
          <c:showSerName val="0"/>
          <c:showPercent val="0"/>
          <c:showBubbleSize val="0"/>
        </c:dLbls>
        <c:gapWidth val="150"/>
        <c:shape val="box"/>
        <c:axId val="516597760"/>
        <c:axId val="516600112"/>
        <c:axId val="0"/>
      </c:bar3DChart>
      <c:catAx>
        <c:axId val="516597760"/>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516600112"/>
        <c:crosses val="autoZero"/>
        <c:auto val="1"/>
        <c:lblAlgn val="ctr"/>
        <c:lblOffset val="100"/>
        <c:noMultiLvlLbl val="0"/>
      </c:catAx>
      <c:valAx>
        <c:axId val="5166001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516597760"/>
        <c:crosses val="autoZero"/>
        <c:crossBetween val="between"/>
      </c:valAx>
      <c:spPr>
        <a:noFill/>
        <a:ln>
          <a:noFill/>
        </a:ln>
        <a:effectLst/>
      </c:spPr>
    </c:plotArea>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cs-CZ" sz="1100"/>
              <a:t>Srovnání přijatých sankčních plateb a vratek transferů         (v tis. Kč)</a:t>
            </a:r>
          </a:p>
        </c:rich>
      </c:tx>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a:sp3d contourW="9525">
              <a:contourClr>
                <a:schemeClr val="accent4">
                  <a:shade val="95000"/>
                </a:schemeClr>
              </a:contourClr>
            </a:sp3d>
          </c:spPr>
          <c:invertIfNegative val="0"/>
          <c:dPt>
            <c:idx val="0"/>
            <c:invertIfNegative val="0"/>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a:sp3d contourW="9525">
                <a:contourClr>
                  <a:schemeClr val="accent4">
                    <a:shade val="95000"/>
                  </a:schemeClr>
                </a:contourClr>
              </a:sp3d>
            </c:spPr>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Lbls>
            <c:dLbl>
              <c:idx val="0"/>
              <c:layout>
                <c:manualLayout>
                  <c:x val="-2.7777777777778E-3"/>
                  <c:y val="0.148148148148148"/>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1"/>
              <c:layout>
                <c:manualLayout>
                  <c:x val="0"/>
                  <c:y val="0.13888888888888901"/>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2"/>
              <c:layout>
                <c:manualLayout>
                  <c:x val="0"/>
                  <c:y val="0.148148148148148"/>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3"/>
              <c:layout>
                <c:manualLayout>
                  <c:x val="0"/>
                  <c:y val="0.14351851851851899"/>
                </c:manualLayout>
              </c:layout>
              <c:showLegendKey val="0"/>
              <c:showVal val="1"/>
              <c:showCatName val="0"/>
              <c:showSerName val="0"/>
              <c:showPercent val="0"/>
              <c:showBubbleSize val="1"/>
              <c:separator>; </c:separator>
              <c:extLst>
                <c:ext xmlns:c15="http://schemas.microsoft.com/office/drawing/2012/chart" uri="{CE6537A1-D6FC-4f65-9D91-7224C49458BB}"/>
              </c:extLst>
            </c:dLbl>
            <c:dLbl>
              <c:idx val="4"/>
              <c:layout>
                <c:manualLayout>
                  <c:x val="0"/>
                  <c:y val="0.15277777777777801"/>
                </c:manualLayout>
              </c:layout>
              <c:showLegendKey val="0"/>
              <c:showVal val="1"/>
              <c:showCatName val="0"/>
              <c:showSerName val="0"/>
              <c:showPercent val="0"/>
              <c:showBubbleSize val="1"/>
              <c:separator>; </c:separator>
              <c:extLst>
                <c:ext xmlns:c15="http://schemas.microsoft.com/office/drawing/2012/chart" uri="{CE6537A1-D6FC-4f65-9D91-7224C49458BB}"/>
              </c:extLst>
            </c:dLbl>
            <c:dLbl>
              <c:idx val="5"/>
              <c:layout>
                <c:manualLayout>
                  <c:x val="0"/>
                  <c:y val="0.15277777777777801"/>
                </c:manualLayout>
              </c:layout>
              <c:showLegendKey val="0"/>
              <c:showVal val="1"/>
              <c:showCatName val="0"/>
              <c:showSerName val="0"/>
              <c:showPercent val="0"/>
              <c:showBubbleSize val="1"/>
              <c:separator>; </c:separator>
              <c:extLst>
                <c:ext xmlns:c15="http://schemas.microsoft.com/office/drawing/2012/chart" uri="{CE6537A1-D6FC-4f65-9D91-7224C49458BB}"/>
              </c:extLst>
            </c:dLbl>
            <c:dLbl>
              <c:idx val="6"/>
              <c:layout>
                <c:manualLayout>
                  <c:x val="0"/>
                  <c:y val="0.13888888888888901"/>
                </c:manualLayout>
              </c:layout>
              <c:showLegendKey val="0"/>
              <c:showVal val="1"/>
              <c:showCatName val="0"/>
              <c:showSerName val="0"/>
              <c:showPercent val="0"/>
              <c:showBubbleSize val="1"/>
              <c:separator>; </c:separator>
              <c:extLst>
                <c:ext xmlns:c15="http://schemas.microsoft.com/office/drawing/2012/chart" uri="{CE6537A1-D6FC-4f65-9D91-7224C49458BB}"/>
              </c:extLst>
            </c:dLbl>
            <c:dLbl>
              <c:idx val="7"/>
              <c:layout>
                <c:manualLayout>
                  <c:x val="-2.0370135052832001E-16"/>
                  <c:y val="0.148148148148148"/>
                </c:manualLayout>
              </c:layout>
              <c:showLegendKey val="0"/>
              <c:showVal val="1"/>
              <c:showCatName val="0"/>
              <c:showSerName val="0"/>
              <c:showPercent val="0"/>
              <c:showBubbleSize val="1"/>
              <c:separator>; </c:separator>
              <c:extLst>
                <c:ext xmlns:c15="http://schemas.microsoft.com/office/drawing/2012/chart" uri="{CE6537A1-D6FC-4f65-9D91-7224C49458BB}"/>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cs-CZ"/>
              </a:p>
            </c:txP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'sankční platby a vratky z trans'!$D$13:$F$13</c:f>
              <c:numCache>
                <c:formatCode>General</c:formatCode>
                <c:ptCount val="3"/>
                <c:pt idx="0">
                  <c:v>2020</c:v>
                </c:pt>
                <c:pt idx="1">
                  <c:v>2021</c:v>
                </c:pt>
                <c:pt idx="2">
                  <c:v>2022</c:v>
                </c:pt>
              </c:numCache>
            </c:numRef>
          </c:cat>
          <c:val>
            <c:numRef>
              <c:f>'sankční platby a vratky z trans'!$D$14:$F$14</c:f>
              <c:numCache>
                <c:formatCode>#,##0</c:formatCode>
                <c:ptCount val="3"/>
                <c:pt idx="0">
                  <c:v>6898.7275199999995</c:v>
                </c:pt>
                <c:pt idx="1">
                  <c:v>9355.5118199999997</c:v>
                </c:pt>
                <c:pt idx="2">
                  <c:v>12950.88155</c:v>
                </c:pt>
              </c:numCache>
            </c:numRef>
          </c:val>
        </c:ser>
        <c:dLbls>
          <c:showLegendKey val="0"/>
          <c:showVal val="0"/>
          <c:showCatName val="0"/>
          <c:showSerName val="0"/>
          <c:showPercent val="0"/>
          <c:showBubbleSize val="0"/>
        </c:dLbls>
        <c:gapWidth val="150"/>
        <c:shape val="box"/>
        <c:axId val="516598152"/>
        <c:axId val="516599720"/>
        <c:axId val="0"/>
      </c:bar3DChart>
      <c:catAx>
        <c:axId val="516598152"/>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516599720"/>
        <c:crosses val="autoZero"/>
        <c:auto val="1"/>
        <c:lblAlgn val="ctr"/>
        <c:lblOffset val="100"/>
        <c:noMultiLvlLbl val="0"/>
      </c:catAx>
      <c:valAx>
        <c:axId val="5165997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516598152"/>
        <c:crosses val="autoZero"/>
        <c:crossBetween val="between"/>
      </c:valAx>
      <c:spPr>
        <a:noFill/>
        <a:ln>
          <a:noFill/>
        </a:ln>
        <a:effectLst/>
      </c:spPr>
    </c:plotArea>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cs-CZ" sz="1100"/>
              <a:t>Srovnání příjmů z prodeje nekapitálového majetku a ostatních nedaňových příjmů (v tis. Kč)</a:t>
            </a:r>
          </a:p>
        </c:rich>
      </c:tx>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a:sp3d contourW="9525">
              <a:contourClr>
                <a:schemeClr val="accent4">
                  <a:shade val="95000"/>
                </a:schemeClr>
              </a:contourClr>
            </a:sp3d>
          </c:spPr>
          <c:invertIfNegative val="0"/>
          <c:dPt>
            <c:idx val="0"/>
            <c:invertIfNegative val="0"/>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a:sp3d contourW="9525">
                <a:contourClr>
                  <a:schemeClr val="accent4">
                    <a:shade val="95000"/>
                  </a:schemeClr>
                </a:contourClr>
              </a:sp3d>
            </c:spPr>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Lbls>
            <c:dLbl>
              <c:idx val="0"/>
              <c:layout>
                <c:manualLayout>
                  <c:x val="0"/>
                  <c:y val="0.171296296296296"/>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1"/>
              <c:layout>
                <c:manualLayout>
                  <c:x val="0"/>
                  <c:y val="0.16666666666666699"/>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2"/>
              <c:layout>
                <c:manualLayout>
                  <c:x val="-1.0185969826892785E-16"/>
                  <c:y val="0.21296920115495668"/>
                </c:manualLayout>
              </c:layout>
              <c:showLegendKey val="0"/>
              <c:showVal val="1"/>
              <c:showCatName val="0"/>
              <c:showSerName val="0"/>
              <c:showPercent val="0"/>
              <c:showBubbleSize val="1"/>
              <c:separator>; </c:separator>
              <c:extLst>
                <c:ext xmlns:c15="http://schemas.microsoft.com/office/drawing/2012/chart" uri="{CE6537A1-D6FC-4f65-9D91-7224C49458BB}">
                  <c15:layout/>
                </c:ext>
              </c:extLst>
            </c:dLbl>
            <c:dLbl>
              <c:idx val="3"/>
              <c:layout>
                <c:manualLayout>
                  <c:x val="0"/>
                  <c:y val="0.16666666666666699"/>
                </c:manualLayout>
              </c:layout>
              <c:showLegendKey val="0"/>
              <c:showVal val="1"/>
              <c:showCatName val="0"/>
              <c:showSerName val="0"/>
              <c:showPercent val="0"/>
              <c:showBubbleSize val="1"/>
              <c:separator>; </c:separator>
              <c:extLst>
                <c:ext xmlns:c15="http://schemas.microsoft.com/office/drawing/2012/chart" uri="{CE6537A1-D6FC-4f65-9D91-7224C49458BB}"/>
              </c:extLst>
            </c:dLbl>
            <c:dLbl>
              <c:idx val="4"/>
              <c:layout>
                <c:manualLayout>
                  <c:x val="0"/>
                  <c:y val="0.16666666666666699"/>
                </c:manualLayout>
              </c:layout>
              <c:showLegendKey val="0"/>
              <c:showVal val="1"/>
              <c:showCatName val="0"/>
              <c:showSerName val="0"/>
              <c:showPercent val="0"/>
              <c:showBubbleSize val="1"/>
              <c:separator>; </c:separator>
              <c:extLst>
                <c:ext xmlns:c15="http://schemas.microsoft.com/office/drawing/2012/chart" uri="{CE6537A1-D6FC-4f65-9D91-7224C49458BB}"/>
              </c:extLst>
            </c:dLbl>
            <c:dLbl>
              <c:idx val="5"/>
              <c:layout>
                <c:manualLayout>
                  <c:x val="0"/>
                  <c:y val="0.16666666666666699"/>
                </c:manualLayout>
              </c:layout>
              <c:showLegendKey val="0"/>
              <c:showVal val="1"/>
              <c:showCatName val="0"/>
              <c:showSerName val="0"/>
              <c:showPercent val="0"/>
              <c:showBubbleSize val="1"/>
              <c:separator>; </c:separator>
              <c:extLst>
                <c:ext xmlns:c15="http://schemas.microsoft.com/office/drawing/2012/chart" uri="{CE6537A1-D6FC-4f65-9D91-7224C49458BB}"/>
              </c:extLst>
            </c:dLbl>
            <c:dLbl>
              <c:idx val="6"/>
              <c:layout>
                <c:manualLayout>
                  <c:x val="2.7777777777777801E-3"/>
                  <c:y val="0.16666666666666699"/>
                </c:manualLayout>
              </c:layout>
              <c:showLegendKey val="0"/>
              <c:showVal val="1"/>
              <c:showCatName val="0"/>
              <c:showSerName val="0"/>
              <c:showPercent val="0"/>
              <c:showBubbleSize val="1"/>
              <c:separator>; </c:separator>
              <c:extLst>
                <c:ext xmlns:c15="http://schemas.microsoft.com/office/drawing/2012/chart" uri="{CE6537A1-D6FC-4f65-9D91-7224C49458BB}"/>
              </c:extLst>
            </c:dLbl>
            <c:dLbl>
              <c:idx val="7"/>
              <c:layout>
                <c:manualLayout>
                  <c:x val="-1.0185067526416E-16"/>
                  <c:y val="0.16666666666666699"/>
                </c:manualLayout>
              </c:layout>
              <c:showLegendKey val="0"/>
              <c:showVal val="1"/>
              <c:showCatName val="0"/>
              <c:showSerName val="0"/>
              <c:showPercent val="0"/>
              <c:showBubbleSize val="1"/>
              <c:separator>; </c:separator>
              <c:extLst>
                <c:ext xmlns:c15="http://schemas.microsoft.com/office/drawing/2012/chart" uri="{CE6537A1-D6FC-4f65-9D91-7224C49458BB}"/>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cs-CZ"/>
              </a:p>
            </c:txP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'P z prod.nekap.maj. a ost.nedaň'!$I$12:$L$12</c:f>
              <c:numCache>
                <c:formatCode>General</c:formatCode>
                <c:ptCount val="3"/>
                <c:pt idx="0">
                  <c:v>2020</c:v>
                </c:pt>
                <c:pt idx="1">
                  <c:v>2021</c:v>
                </c:pt>
                <c:pt idx="2">
                  <c:v>2022</c:v>
                </c:pt>
              </c:numCache>
            </c:numRef>
          </c:cat>
          <c:val>
            <c:numRef>
              <c:f>'P z prod.nekap.maj. a ost.nedaň'!$I$13:$L$13</c:f>
              <c:numCache>
                <c:formatCode>#,##0</c:formatCode>
                <c:ptCount val="3"/>
                <c:pt idx="0">
                  <c:v>10376.82164</c:v>
                </c:pt>
                <c:pt idx="1">
                  <c:v>16298.60464</c:v>
                </c:pt>
                <c:pt idx="2">
                  <c:v>14861.57202</c:v>
                </c:pt>
              </c:numCache>
            </c:numRef>
          </c:val>
        </c:ser>
        <c:dLbls>
          <c:showLegendKey val="0"/>
          <c:showVal val="0"/>
          <c:showCatName val="0"/>
          <c:showSerName val="0"/>
          <c:showPercent val="0"/>
          <c:showBubbleSize val="0"/>
        </c:dLbls>
        <c:gapWidth val="150"/>
        <c:shape val="box"/>
        <c:axId val="516598936"/>
        <c:axId val="521779224"/>
        <c:axId val="0"/>
      </c:bar3DChart>
      <c:catAx>
        <c:axId val="516598936"/>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521779224"/>
        <c:crosses val="autoZero"/>
        <c:auto val="1"/>
        <c:lblAlgn val="ctr"/>
        <c:lblOffset val="100"/>
        <c:noMultiLvlLbl val="0"/>
      </c:catAx>
      <c:valAx>
        <c:axId val="5217792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crossAx val="516598936"/>
        <c:crosses val="autoZero"/>
        <c:crossBetween val="between"/>
      </c:valAx>
      <c:spPr>
        <a:noFill/>
        <a:ln>
          <a:noFill/>
        </a:ln>
        <a:effectLst/>
      </c:spPr>
    </c:plotArea>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withinLinear" id="17">
  <a:schemeClr val="accent4"/>
</cs:colorStyle>
</file>

<file path=word/charts/colors11.xml><?xml version="1.0" encoding="utf-8"?>
<cs:colorStyle xmlns:cs="http://schemas.microsoft.com/office/drawing/2012/chartStyle" xmlns:a="http://schemas.openxmlformats.org/drawingml/2006/main" meth="withinLinear" id="17">
  <a:schemeClr val="accent4"/>
</cs:colorStyle>
</file>

<file path=word/charts/colors12.xml><?xml version="1.0" encoding="utf-8"?>
<cs:colorStyle xmlns:cs="http://schemas.microsoft.com/office/drawing/2012/chartStyle" xmlns:a="http://schemas.openxmlformats.org/drawingml/2006/main" meth="withinLinear" id="17">
  <a:schemeClr val="accent4"/>
</cs:colorStyle>
</file>

<file path=word/charts/colors13.xml><?xml version="1.0" encoding="utf-8"?>
<cs:colorStyle xmlns:cs="http://schemas.microsoft.com/office/drawing/2012/chartStyle" xmlns:a="http://schemas.openxmlformats.org/drawingml/2006/main" meth="withinLinear" id="17">
  <a:schemeClr val="accent4"/>
</cs:colorStyle>
</file>

<file path=word/charts/colors1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withinLinear" id="19">
  <a:schemeClr val="accent6"/>
</cs:colorStyle>
</file>

<file path=word/charts/colors16.xml><?xml version="1.0" encoding="utf-8"?>
<cs:colorStyle xmlns:cs="http://schemas.microsoft.com/office/drawing/2012/chartStyle" xmlns:a="http://schemas.openxmlformats.org/drawingml/2006/main" meth="withinLinear" id="19">
  <a:schemeClr val="accent6"/>
</cs:colorStyle>
</file>

<file path=word/charts/colors17.xml><?xml version="1.0" encoding="utf-8"?>
<cs:colorStyle xmlns:cs="http://schemas.microsoft.com/office/drawing/2012/chartStyle" xmlns:a="http://schemas.openxmlformats.org/drawingml/2006/main" meth="withinLinear" id="19">
  <a:schemeClr val="accent6"/>
</cs:colorStyle>
</file>

<file path=word/charts/colors18.xml><?xml version="1.0" encoding="utf-8"?>
<cs:colorStyle xmlns:cs="http://schemas.microsoft.com/office/drawing/2012/chartStyle" xmlns:a="http://schemas.openxmlformats.org/drawingml/2006/main" meth="withinLinear" id="19">
  <a:schemeClr val="accent6"/>
</cs:colorStyle>
</file>

<file path=word/charts/colors19.xml><?xml version="1.0" encoding="utf-8"?>
<cs:colorStyle xmlns:cs="http://schemas.microsoft.com/office/drawing/2012/chartStyle" xmlns:a="http://schemas.openxmlformats.org/drawingml/2006/main" meth="withinLinear" id="19">
  <a:schemeClr val="accent6"/>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withinLinear" id="19">
  <a:schemeClr val="accent6"/>
</cs:colorStyle>
</file>

<file path=word/charts/colors21.xml><?xml version="1.0" encoding="utf-8"?>
<cs:colorStyle xmlns:cs="http://schemas.microsoft.com/office/drawing/2012/chartStyle" xmlns:a="http://schemas.openxmlformats.org/drawingml/2006/main" meth="withinLinear" id="19">
  <a:schemeClr val="accent6"/>
</cs:colorStyle>
</file>

<file path=word/charts/colors22.xml><?xml version="1.0" encoding="utf-8"?>
<cs:colorStyle xmlns:cs="http://schemas.microsoft.com/office/drawing/2012/chartStyle" xmlns:a="http://schemas.openxmlformats.org/drawingml/2006/main" meth="withinLinear" id="19">
  <a:schemeClr val="accent6"/>
</cs:colorStyle>
</file>

<file path=word/charts/colors23.xml><?xml version="1.0" encoding="utf-8"?>
<cs:colorStyle xmlns:cs="http://schemas.microsoft.com/office/drawing/2012/chartStyle" xmlns:a="http://schemas.openxmlformats.org/drawingml/2006/main" meth="withinLinear" id="19">
  <a:schemeClr val="accent6"/>
</cs:colorStyle>
</file>

<file path=word/charts/colors24.xml><?xml version="1.0" encoding="utf-8"?>
<cs:colorStyle xmlns:cs="http://schemas.microsoft.com/office/drawing/2012/chartStyle" xmlns:a="http://schemas.openxmlformats.org/drawingml/2006/main" meth="withinLinear" id="19">
  <a:schemeClr val="accent6"/>
</cs:colorStyle>
</file>

<file path=word/charts/colors25.xml><?xml version="1.0" encoding="utf-8"?>
<cs:colorStyle xmlns:cs="http://schemas.microsoft.com/office/drawing/2012/chartStyle" xmlns:a="http://schemas.openxmlformats.org/drawingml/2006/main" meth="withinLinear" id="19">
  <a:schemeClr val="accent6"/>
</cs:colorStyle>
</file>

<file path=word/charts/colors2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withinLinear" id="17">
  <a:schemeClr val="accent4"/>
</cs:colorStyle>
</file>

<file path=word/charts/colors2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7">
  <a:schemeClr val="accent4"/>
</cs:colorStyle>
</file>

<file path=word/charts/colors5.xml><?xml version="1.0" encoding="utf-8"?>
<cs:colorStyle xmlns:cs="http://schemas.microsoft.com/office/drawing/2012/chartStyle" xmlns:a="http://schemas.openxmlformats.org/drawingml/2006/main" meth="withinLinear" id="17">
  <a:schemeClr val="accent4"/>
</cs:colorStyle>
</file>

<file path=word/charts/colors6.xml><?xml version="1.0" encoding="utf-8"?>
<cs:colorStyle xmlns:cs="http://schemas.microsoft.com/office/drawing/2012/chartStyle" xmlns:a="http://schemas.openxmlformats.org/drawingml/2006/main" meth="withinLinear" id="17">
  <a:schemeClr val="accent4"/>
</cs:colorStyle>
</file>

<file path=word/charts/colors7.xml><?xml version="1.0" encoding="utf-8"?>
<cs:colorStyle xmlns:cs="http://schemas.microsoft.com/office/drawing/2012/chartStyle" xmlns:a="http://schemas.openxmlformats.org/drawingml/2006/main" meth="withinLinear" id="17">
  <a:schemeClr val="accent4"/>
</cs:colorStyle>
</file>

<file path=word/charts/colors8.xml><?xml version="1.0" encoding="utf-8"?>
<cs:colorStyle xmlns:cs="http://schemas.microsoft.com/office/drawing/2012/chartStyle" xmlns:a="http://schemas.openxmlformats.org/drawingml/2006/main" meth="withinLinear" id="17">
  <a:schemeClr val="accent4"/>
</cs:colorStyle>
</file>

<file path=word/charts/colors9.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8.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9.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0.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4.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5.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61C47-5221-4CD1-A079-3116952CB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5126</TotalTime>
  <Pages>107</Pages>
  <Words>41181</Words>
  <Characters>218022</Characters>
  <Application>Microsoft Office Word</Application>
  <DocSecurity>0</DocSecurity>
  <Lines>1816</Lines>
  <Paragraphs>517</Paragraphs>
  <ScaleCrop>false</ScaleCrop>
  <HeadingPairs>
    <vt:vector size="2" baseType="variant">
      <vt:variant>
        <vt:lpstr>Název</vt:lpstr>
      </vt:variant>
      <vt:variant>
        <vt:i4>1</vt:i4>
      </vt:variant>
    </vt:vector>
  </HeadingPairs>
  <TitlesOfParts>
    <vt:vector size="1" baseType="lpstr">
      <vt:lpstr>Závěrečný účet Statutárního města Opavy za rok 2008</vt:lpstr>
    </vt:vector>
  </TitlesOfParts>
  <Company/>
  <LinksUpToDate>false</LinksUpToDate>
  <CharactersWithSpaces>258686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Závěrečný účet Statutárního města Opavy za rok 2008</dc:title>
  <dc:subject/>
  <dc:creator>GrigarovaL</dc:creator>
  <cp:keywords/>
  <dc:description/>
  <cp:lastModifiedBy>Ptáčková Eva</cp:lastModifiedBy>
  <cp:revision>84</cp:revision>
  <cp:lastPrinted>2023-05-10T06:15:00Z</cp:lastPrinted>
  <dcterms:created xsi:type="dcterms:W3CDTF">2023-04-25T07:13:00Z</dcterms:created>
  <dcterms:modified xsi:type="dcterms:W3CDTF">2023-05-10T06:19:00Z</dcterms:modified>
</cp:coreProperties>
</file>